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0CADCB" w14:textId="77777777" w:rsidR="002133E3" w:rsidRDefault="00C22CFA">
      <w:pPr>
        <w:pStyle w:val="affff3"/>
        <w:numPr>
          <w:ilvl w:val="0"/>
          <w:numId w:val="2"/>
        </w:numPr>
        <w:ind w:left="0" w:firstLineChars="0" w:firstLine="0"/>
        <w:outlineLvl w:val="0"/>
        <w:rPr>
          <w:rFonts w:ascii="Times New Roman" w:eastAsia="宋体" w:hAnsi="Times New Roman" w:cs="Times New Roman"/>
          <w:b/>
          <w:sz w:val="30"/>
          <w:szCs w:val="30"/>
        </w:rPr>
      </w:pPr>
      <w:bookmarkStart w:id="0" w:name="_Toc47604305"/>
      <w:r>
        <w:rPr>
          <w:rFonts w:ascii="Times New Roman" w:eastAsia="宋体" w:hAnsi="Times New Roman" w:cs="Times New Roman"/>
          <w:b/>
          <w:sz w:val="30"/>
          <w:szCs w:val="30"/>
        </w:rPr>
        <w:t>概述</w:t>
      </w:r>
      <w:bookmarkEnd w:id="0"/>
    </w:p>
    <w:p w14:paraId="4B74130C" w14:textId="77777777" w:rsidR="002133E3" w:rsidRDefault="00C22CFA">
      <w:pPr>
        <w:pStyle w:val="affff3"/>
        <w:numPr>
          <w:ilvl w:val="1"/>
          <w:numId w:val="2"/>
        </w:numPr>
        <w:ind w:left="0" w:firstLineChars="0" w:firstLine="0"/>
        <w:outlineLvl w:val="1"/>
        <w:rPr>
          <w:rFonts w:ascii="Times New Roman" w:eastAsia="宋体" w:hAnsi="Times New Roman" w:cs="Times New Roman"/>
          <w:b/>
        </w:rPr>
      </w:pPr>
      <w:bookmarkStart w:id="1" w:name="_Toc47604306"/>
      <w:r>
        <w:rPr>
          <w:rFonts w:ascii="Times New Roman" w:eastAsia="宋体" w:hAnsi="Times New Roman" w:cs="Times New Roman"/>
          <w:b/>
          <w:sz w:val="30"/>
          <w:szCs w:val="30"/>
        </w:rPr>
        <w:t>项目由来</w:t>
      </w:r>
      <w:bookmarkEnd w:id="1"/>
    </w:p>
    <w:p w14:paraId="3F0B8615" w14:textId="77777777" w:rsidR="002133E3" w:rsidRDefault="00C22CFA">
      <w:pPr>
        <w:autoSpaceDE w:val="0"/>
        <w:autoSpaceDN w:val="0"/>
        <w:adjustRightInd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江苏金茂源生物化工有限责任公司是由赣榆县金山化工有限公司和香港曙光贸易有限公司合作共同投资成立的一家合资公司，成立于</w:t>
      </w:r>
      <w:r>
        <w:rPr>
          <w:rFonts w:ascii="Times New Roman" w:eastAsia="宋体" w:hAnsi="Times New Roman" w:cs="Times New Roman"/>
          <w:sz w:val="28"/>
          <w:szCs w:val="24"/>
        </w:rPr>
        <w:t>2006</w:t>
      </w:r>
      <w:r>
        <w:rPr>
          <w:rFonts w:ascii="Times New Roman" w:eastAsia="宋体" w:hAnsi="Times New Roman" w:cs="Times New Roman"/>
          <w:sz w:val="28"/>
          <w:szCs w:val="24"/>
        </w:rPr>
        <w:t>年</w:t>
      </w:r>
      <w:r>
        <w:rPr>
          <w:rFonts w:ascii="Times New Roman" w:eastAsia="宋体" w:hAnsi="Times New Roman" w:cs="Times New Roman"/>
          <w:sz w:val="28"/>
          <w:szCs w:val="24"/>
        </w:rPr>
        <w:t>7</w:t>
      </w:r>
      <w:r>
        <w:rPr>
          <w:rFonts w:ascii="Times New Roman" w:eastAsia="宋体" w:hAnsi="Times New Roman" w:cs="Times New Roman"/>
          <w:sz w:val="28"/>
          <w:szCs w:val="24"/>
        </w:rPr>
        <w:t>月，位于海州湾生物科技园，公司注册资金</w:t>
      </w:r>
      <w:r>
        <w:rPr>
          <w:rFonts w:ascii="Times New Roman" w:eastAsia="宋体" w:hAnsi="Times New Roman" w:cs="Times New Roman"/>
          <w:sz w:val="28"/>
          <w:szCs w:val="24"/>
        </w:rPr>
        <w:t>20400</w:t>
      </w:r>
      <w:r>
        <w:rPr>
          <w:rFonts w:ascii="Times New Roman" w:eastAsia="宋体" w:hAnsi="Times New Roman" w:cs="Times New Roman"/>
          <w:sz w:val="28"/>
          <w:szCs w:val="24"/>
        </w:rPr>
        <w:t>万元，是一家集生物化工研发、设计、生产、销售于一体的民营企业，目前拥有总资产</w:t>
      </w:r>
      <w:r>
        <w:rPr>
          <w:rFonts w:ascii="Times New Roman" w:eastAsia="宋体" w:hAnsi="Times New Roman" w:cs="Times New Roman"/>
          <w:sz w:val="28"/>
          <w:szCs w:val="24"/>
        </w:rPr>
        <w:t>9</w:t>
      </w:r>
      <w:r>
        <w:rPr>
          <w:rFonts w:ascii="Times New Roman" w:eastAsia="宋体" w:hAnsi="Times New Roman" w:cs="Times New Roman"/>
          <w:sz w:val="28"/>
          <w:szCs w:val="24"/>
        </w:rPr>
        <w:t>亿余元，主要从事生物化工和精细化化工生产，重点生产以木薯、玉米为原料的深加工系列产品。目前主要项目有</w:t>
      </w:r>
      <w:r>
        <w:rPr>
          <w:rFonts w:ascii="Times New Roman" w:eastAsia="宋体" w:hAnsi="Times New Roman" w:cs="Times New Roman"/>
          <w:sz w:val="28"/>
          <w:szCs w:val="24"/>
        </w:rPr>
        <w:t>20</w:t>
      </w:r>
      <w:r>
        <w:rPr>
          <w:rFonts w:ascii="Times New Roman" w:eastAsia="宋体" w:hAnsi="Times New Roman" w:cs="Times New Roman"/>
          <w:sz w:val="28"/>
          <w:szCs w:val="24"/>
        </w:rPr>
        <w:t>万吨</w:t>
      </w:r>
      <w:r>
        <w:rPr>
          <w:rFonts w:ascii="Times New Roman" w:eastAsia="宋体" w:hAnsi="Times New Roman" w:cs="Times New Roman"/>
          <w:sz w:val="28"/>
          <w:szCs w:val="24"/>
        </w:rPr>
        <w:t>/</w:t>
      </w:r>
      <w:r>
        <w:rPr>
          <w:rFonts w:ascii="Times New Roman" w:eastAsia="宋体" w:hAnsi="Times New Roman" w:cs="Times New Roman"/>
          <w:sz w:val="28"/>
          <w:szCs w:val="24"/>
        </w:rPr>
        <w:t>年醋酸乙（丁）酯、</w:t>
      </w:r>
      <w:r>
        <w:rPr>
          <w:rFonts w:ascii="Times New Roman" w:eastAsia="宋体" w:hAnsi="Times New Roman" w:cs="Times New Roman"/>
          <w:sz w:val="28"/>
          <w:szCs w:val="24"/>
        </w:rPr>
        <w:t>10</w:t>
      </w:r>
      <w:r>
        <w:rPr>
          <w:rFonts w:ascii="Times New Roman" w:eastAsia="宋体" w:hAnsi="Times New Roman" w:cs="Times New Roman"/>
          <w:sz w:val="28"/>
          <w:szCs w:val="24"/>
        </w:rPr>
        <w:t>万吨</w:t>
      </w:r>
      <w:r>
        <w:rPr>
          <w:rFonts w:ascii="Times New Roman" w:eastAsia="宋体" w:hAnsi="Times New Roman" w:cs="Times New Roman"/>
          <w:sz w:val="28"/>
          <w:szCs w:val="24"/>
        </w:rPr>
        <w:t>/</w:t>
      </w:r>
      <w:r>
        <w:rPr>
          <w:rFonts w:ascii="Times New Roman" w:eastAsia="宋体" w:hAnsi="Times New Roman" w:cs="Times New Roman"/>
          <w:sz w:val="28"/>
          <w:szCs w:val="24"/>
        </w:rPr>
        <w:t>年酒精项目和</w:t>
      </w:r>
      <w:r>
        <w:rPr>
          <w:rFonts w:ascii="Times New Roman" w:eastAsia="宋体" w:hAnsi="Times New Roman" w:cs="Times New Roman"/>
          <w:sz w:val="28"/>
          <w:szCs w:val="24"/>
        </w:rPr>
        <w:t>10</w:t>
      </w:r>
      <w:r>
        <w:rPr>
          <w:rFonts w:ascii="Times New Roman" w:eastAsia="宋体" w:hAnsi="Times New Roman" w:cs="Times New Roman"/>
          <w:sz w:val="28"/>
          <w:szCs w:val="24"/>
        </w:rPr>
        <w:t>万吨</w:t>
      </w:r>
      <w:r>
        <w:rPr>
          <w:rFonts w:ascii="Times New Roman" w:eastAsia="宋体" w:hAnsi="Times New Roman" w:cs="Times New Roman"/>
          <w:sz w:val="28"/>
          <w:szCs w:val="24"/>
        </w:rPr>
        <w:t>/</w:t>
      </w:r>
      <w:r>
        <w:rPr>
          <w:rFonts w:ascii="Times New Roman" w:eastAsia="宋体" w:hAnsi="Times New Roman" w:cs="Times New Roman"/>
          <w:sz w:val="28"/>
          <w:szCs w:val="24"/>
        </w:rPr>
        <w:t>年乙醛项目、</w:t>
      </w:r>
      <w:r>
        <w:rPr>
          <w:rFonts w:ascii="Times New Roman" w:eastAsia="宋体" w:hAnsi="Times New Roman" w:cs="Times New Roman"/>
          <w:sz w:val="28"/>
          <w:szCs w:val="24"/>
        </w:rPr>
        <w:t>3</w:t>
      </w:r>
      <w:r>
        <w:rPr>
          <w:rFonts w:ascii="Times New Roman" w:eastAsia="宋体" w:hAnsi="Times New Roman" w:cs="Times New Roman"/>
          <w:sz w:val="28"/>
          <w:szCs w:val="24"/>
        </w:rPr>
        <w:t>万吨丁二酸项目、</w:t>
      </w:r>
      <w:r>
        <w:rPr>
          <w:rFonts w:ascii="Times New Roman" w:eastAsia="宋体" w:hAnsi="Times New Roman" w:cs="Times New Roman"/>
          <w:sz w:val="28"/>
          <w:szCs w:val="24"/>
        </w:rPr>
        <w:t>6</w:t>
      </w:r>
      <w:r>
        <w:rPr>
          <w:rFonts w:ascii="Times New Roman" w:eastAsia="宋体" w:hAnsi="Times New Roman" w:cs="Times New Roman"/>
          <w:sz w:val="28"/>
          <w:szCs w:val="24"/>
        </w:rPr>
        <w:t>万吨发酵法混合物技改项目及配套建设</w:t>
      </w:r>
      <w:r>
        <w:rPr>
          <w:rFonts w:ascii="Times New Roman" w:eastAsia="宋体" w:hAnsi="Times New Roman" w:cs="Times New Roman"/>
          <w:sz w:val="28"/>
          <w:szCs w:val="24"/>
        </w:rPr>
        <w:t>6MW</w:t>
      </w:r>
      <w:r>
        <w:rPr>
          <w:rFonts w:ascii="Times New Roman" w:eastAsia="宋体" w:hAnsi="Times New Roman" w:cs="Times New Roman"/>
          <w:sz w:val="28"/>
          <w:szCs w:val="24"/>
        </w:rPr>
        <w:t>热电联产发电机组、</w:t>
      </w:r>
      <w:r>
        <w:rPr>
          <w:rFonts w:ascii="Times New Roman" w:eastAsia="宋体" w:hAnsi="Times New Roman" w:cs="Times New Roman"/>
          <w:sz w:val="28"/>
          <w:szCs w:val="24"/>
        </w:rPr>
        <w:t>2×75t/h</w:t>
      </w:r>
      <w:r>
        <w:rPr>
          <w:rFonts w:ascii="Times New Roman" w:eastAsia="宋体" w:hAnsi="Times New Roman" w:cs="Times New Roman"/>
          <w:sz w:val="28"/>
          <w:szCs w:val="24"/>
        </w:rPr>
        <w:t>循环流化床锅炉烟气脱硫脱硝工程、日处理</w:t>
      </w:r>
      <w:r>
        <w:rPr>
          <w:rFonts w:ascii="Times New Roman" w:eastAsia="宋体" w:hAnsi="Times New Roman" w:cs="Times New Roman"/>
          <w:sz w:val="28"/>
          <w:szCs w:val="24"/>
        </w:rPr>
        <w:t>2</w:t>
      </w:r>
      <w:r>
        <w:rPr>
          <w:rFonts w:ascii="Times New Roman" w:eastAsia="宋体" w:hAnsi="Times New Roman" w:cs="Times New Roman"/>
          <w:sz w:val="28"/>
          <w:szCs w:val="24"/>
        </w:rPr>
        <w:t>万立方米污水处理厂等装置。</w:t>
      </w:r>
    </w:p>
    <w:p w14:paraId="38239B7C" w14:textId="21FCCB97" w:rsidR="002133E3" w:rsidRDefault="00C22CFA">
      <w:pPr>
        <w:autoSpaceDE w:val="0"/>
        <w:autoSpaceDN w:val="0"/>
        <w:adjustRightInd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在酒精生产的过程中，蒸馏既是最重要的生产环节，同时也是整个生产过程中能量消耗最多的环节。因此，采用节能技术生产酒精蒸馏，不仅有利于酒精生产企业降低生产成本，实现可持续发展策略，还能够在满足合格酒精产品的要求上，实现节能控制的需求。江苏金茂源生物化工有限责任公司决定对酒精装置进行节能升级改造总产能保持</w:t>
      </w:r>
      <w:r>
        <w:rPr>
          <w:rFonts w:ascii="Times New Roman" w:eastAsia="宋体" w:hAnsi="Times New Roman" w:cs="Times New Roman"/>
          <w:sz w:val="28"/>
          <w:szCs w:val="24"/>
        </w:rPr>
        <w:t>10</w:t>
      </w:r>
      <w:r>
        <w:rPr>
          <w:rFonts w:ascii="Times New Roman" w:eastAsia="宋体" w:hAnsi="Times New Roman" w:cs="Times New Roman"/>
          <w:sz w:val="28"/>
          <w:szCs w:val="24"/>
        </w:rPr>
        <w:t>万吨</w:t>
      </w:r>
      <w:r>
        <w:rPr>
          <w:rFonts w:ascii="Times New Roman" w:eastAsia="宋体" w:hAnsi="Times New Roman" w:cs="Times New Roman"/>
          <w:sz w:val="28"/>
          <w:szCs w:val="24"/>
        </w:rPr>
        <w:t>/</w:t>
      </w:r>
      <w:r>
        <w:rPr>
          <w:rFonts w:ascii="Times New Roman" w:eastAsia="宋体" w:hAnsi="Times New Roman" w:cs="Times New Roman"/>
          <w:sz w:val="28"/>
          <w:szCs w:val="24"/>
        </w:rPr>
        <w:t>年不变，蒸汽单耗由</w:t>
      </w:r>
      <w:r>
        <w:rPr>
          <w:rFonts w:ascii="Times New Roman" w:eastAsia="宋体" w:hAnsi="Times New Roman" w:cs="Times New Roman"/>
          <w:sz w:val="28"/>
          <w:szCs w:val="24"/>
        </w:rPr>
        <w:t>2.0</w:t>
      </w:r>
      <w:r>
        <w:rPr>
          <w:rFonts w:ascii="Times New Roman" w:eastAsia="宋体" w:hAnsi="Times New Roman" w:cs="Times New Roman"/>
          <w:sz w:val="28"/>
          <w:szCs w:val="24"/>
        </w:rPr>
        <w:t>吨降至</w:t>
      </w:r>
      <w:r>
        <w:rPr>
          <w:rFonts w:ascii="Times New Roman" w:eastAsia="宋体" w:hAnsi="Times New Roman" w:cs="Times New Roman"/>
          <w:sz w:val="28"/>
          <w:szCs w:val="24"/>
        </w:rPr>
        <w:t>1.7</w:t>
      </w:r>
      <w:r>
        <w:rPr>
          <w:rFonts w:ascii="Times New Roman" w:eastAsia="宋体" w:hAnsi="Times New Roman" w:cs="Times New Roman"/>
          <w:sz w:val="28"/>
          <w:szCs w:val="24"/>
        </w:rPr>
        <w:t>吨；同时增加脱水工序对酒精进行提纯改造，将浓度</w:t>
      </w:r>
      <w:r>
        <w:rPr>
          <w:rFonts w:ascii="Times New Roman" w:eastAsia="宋体" w:hAnsi="Times New Roman" w:cs="Times New Roman"/>
          <w:sz w:val="28"/>
          <w:szCs w:val="24"/>
        </w:rPr>
        <w:t>95%</w:t>
      </w:r>
      <w:r>
        <w:rPr>
          <w:rFonts w:ascii="Times New Roman" w:eastAsia="宋体" w:hAnsi="Times New Roman" w:cs="Times New Roman"/>
          <w:sz w:val="28"/>
          <w:szCs w:val="24"/>
        </w:rPr>
        <w:t>酒精经过脱水变成浓度为</w:t>
      </w:r>
      <w:r>
        <w:rPr>
          <w:rFonts w:ascii="Times New Roman" w:eastAsia="宋体" w:hAnsi="Times New Roman" w:cs="Times New Roman"/>
          <w:sz w:val="28"/>
          <w:szCs w:val="24"/>
        </w:rPr>
        <w:t>99.99%</w:t>
      </w:r>
      <w:r w:rsidRPr="002D3369">
        <w:rPr>
          <w:rFonts w:ascii="Times New Roman" w:eastAsia="宋体" w:hAnsi="Times New Roman" w:cs="Times New Roman" w:hint="eastAsia"/>
          <w:sz w:val="28"/>
          <w:szCs w:val="24"/>
        </w:rPr>
        <w:t>无</w:t>
      </w:r>
      <w:r w:rsidRPr="002D3369">
        <w:rPr>
          <w:rFonts w:ascii="Times New Roman" w:eastAsia="宋体" w:hAnsi="Times New Roman" w:cs="Times New Roman"/>
          <w:sz w:val="28"/>
          <w:szCs w:val="24"/>
        </w:rPr>
        <w:t>水乙醇。</w:t>
      </w:r>
      <w:r>
        <w:rPr>
          <w:rFonts w:ascii="Times New Roman" w:eastAsia="宋体" w:hAnsi="Times New Roman" w:cs="Times New Roman"/>
          <w:sz w:val="28"/>
          <w:szCs w:val="24"/>
        </w:rPr>
        <w:t>改造后，年产</w:t>
      </w:r>
      <w:r>
        <w:rPr>
          <w:rFonts w:ascii="Times New Roman" w:eastAsia="宋体" w:hAnsi="Times New Roman" w:cs="Times New Roman"/>
          <w:sz w:val="28"/>
          <w:szCs w:val="24"/>
        </w:rPr>
        <w:t>10</w:t>
      </w:r>
      <w:r>
        <w:rPr>
          <w:rFonts w:ascii="Times New Roman" w:eastAsia="宋体" w:hAnsi="Times New Roman" w:cs="Times New Roman"/>
          <w:sz w:val="28"/>
          <w:szCs w:val="24"/>
        </w:rPr>
        <w:t>万吨酒精产能保持不变并具备年产</w:t>
      </w:r>
      <w:r>
        <w:rPr>
          <w:rFonts w:ascii="Times New Roman" w:eastAsia="宋体" w:hAnsi="Times New Roman" w:cs="Times New Roman"/>
          <w:sz w:val="28"/>
          <w:szCs w:val="24"/>
        </w:rPr>
        <w:t>6</w:t>
      </w:r>
      <w:r>
        <w:rPr>
          <w:rFonts w:ascii="Times New Roman" w:eastAsia="宋体" w:hAnsi="Times New Roman" w:cs="Times New Roman"/>
          <w:sz w:val="28"/>
          <w:szCs w:val="24"/>
        </w:rPr>
        <w:t>万吨无水乙醇（</w:t>
      </w:r>
      <w:r>
        <w:rPr>
          <w:rFonts w:ascii="Times New Roman" w:eastAsia="宋体" w:hAnsi="Times New Roman" w:cs="Times New Roman"/>
          <w:sz w:val="28"/>
          <w:szCs w:val="24"/>
        </w:rPr>
        <w:t>99.99%</w:t>
      </w:r>
      <w:r>
        <w:rPr>
          <w:rFonts w:ascii="Times New Roman" w:eastAsia="宋体" w:hAnsi="Times New Roman" w:cs="Times New Roman"/>
          <w:sz w:val="28"/>
          <w:szCs w:val="24"/>
        </w:rPr>
        <w:t>）的生产能力。</w:t>
      </w:r>
    </w:p>
    <w:p w14:paraId="4910C54E"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根据《中华人民共和国环境保护法》和《建设项目环境保护管理条例》</w:t>
      </w:r>
      <w:r>
        <w:rPr>
          <w:rFonts w:ascii="Times New Roman" w:eastAsia="宋体" w:hAnsi="Times New Roman" w:cs="Times New Roman"/>
          <w:sz w:val="28"/>
          <w:szCs w:val="28"/>
        </w:rPr>
        <w:t>(</w:t>
      </w:r>
      <w:r>
        <w:rPr>
          <w:rFonts w:ascii="Times New Roman" w:eastAsia="宋体" w:hAnsi="Times New Roman" w:cs="Times New Roman"/>
          <w:sz w:val="28"/>
          <w:szCs w:val="28"/>
        </w:rPr>
        <w:t>国务院</w:t>
      </w:r>
      <w:r>
        <w:rPr>
          <w:rFonts w:ascii="Times New Roman" w:eastAsia="宋体" w:hAnsi="Times New Roman" w:cs="Times New Roman"/>
          <w:sz w:val="28"/>
          <w:szCs w:val="28"/>
        </w:rPr>
        <w:t>253</w:t>
      </w:r>
      <w:r>
        <w:rPr>
          <w:rFonts w:ascii="Times New Roman" w:eastAsia="宋体" w:hAnsi="Times New Roman" w:cs="Times New Roman"/>
          <w:sz w:val="28"/>
          <w:szCs w:val="28"/>
        </w:rPr>
        <w:t>号令</w:t>
      </w:r>
      <w:r>
        <w:rPr>
          <w:rFonts w:ascii="Times New Roman" w:eastAsia="宋体" w:hAnsi="Times New Roman" w:cs="Times New Roman"/>
          <w:sz w:val="28"/>
          <w:szCs w:val="28"/>
        </w:rPr>
        <w:t>)</w:t>
      </w:r>
      <w:r>
        <w:rPr>
          <w:rFonts w:ascii="Times New Roman" w:eastAsia="宋体" w:hAnsi="Times New Roman" w:cs="Times New Roman"/>
          <w:sz w:val="28"/>
          <w:szCs w:val="28"/>
        </w:rPr>
        <w:t>、《中华人民共和国环境影响评价法》和《建设项目环境影响评价分类管理名录》的规定，本项目主要类别为</w:t>
      </w:r>
      <w:r>
        <w:rPr>
          <w:rFonts w:ascii="Times New Roman" w:eastAsia="宋体" w:hAnsi="Times New Roman" w:cs="Times New Roman"/>
          <w:sz w:val="28"/>
          <w:szCs w:val="28"/>
        </w:rPr>
        <w:t>“</w:t>
      </w:r>
      <w:r>
        <w:rPr>
          <w:rFonts w:ascii="Times New Roman" w:eastAsia="宋体" w:hAnsi="Times New Roman" w:cs="Times New Roman"/>
          <w:sz w:val="28"/>
          <w:szCs w:val="28"/>
        </w:rPr>
        <w:t>十二、酒、饮料制造业</w:t>
      </w:r>
      <w:r>
        <w:rPr>
          <w:rFonts w:ascii="Times New Roman" w:eastAsia="宋体" w:hAnsi="Times New Roman" w:cs="Times New Roman"/>
          <w:sz w:val="28"/>
          <w:szCs w:val="28"/>
        </w:rPr>
        <w:t>”</w:t>
      </w:r>
      <w:r>
        <w:rPr>
          <w:rFonts w:ascii="Times New Roman" w:eastAsia="宋体" w:hAnsi="Times New Roman" w:cs="Times New Roman"/>
          <w:sz w:val="28"/>
          <w:szCs w:val="28"/>
        </w:rPr>
        <w:t>第</w:t>
      </w:r>
      <w:r>
        <w:rPr>
          <w:rFonts w:ascii="Times New Roman" w:eastAsia="宋体" w:hAnsi="Times New Roman" w:cs="Times New Roman"/>
          <w:sz w:val="28"/>
          <w:szCs w:val="28"/>
        </w:rPr>
        <w:t>25</w:t>
      </w:r>
      <w:r>
        <w:rPr>
          <w:rFonts w:ascii="Times New Roman" w:eastAsia="宋体" w:hAnsi="Times New Roman" w:cs="Times New Roman"/>
          <w:sz w:val="28"/>
          <w:szCs w:val="28"/>
        </w:rPr>
        <w:t>条</w:t>
      </w:r>
      <w:r>
        <w:rPr>
          <w:rFonts w:ascii="Times New Roman" w:eastAsia="宋体" w:hAnsi="Times New Roman" w:cs="Times New Roman"/>
          <w:sz w:val="28"/>
          <w:szCs w:val="28"/>
        </w:rPr>
        <w:t>“</w:t>
      </w:r>
      <w:r>
        <w:rPr>
          <w:rFonts w:ascii="Times New Roman" w:eastAsia="宋体" w:hAnsi="Times New Roman" w:cs="Times New Roman"/>
          <w:sz w:val="28"/>
          <w:szCs w:val="28"/>
        </w:rPr>
        <w:t>酒的制造</w:t>
      </w:r>
      <w:r>
        <w:rPr>
          <w:rFonts w:ascii="Times New Roman" w:eastAsia="宋体" w:hAnsi="Times New Roman" w:cs="Times New Roman"/>
          <w:sz w:val="28"/>
          <w:szCs w:val="28"/>
        </w:rPr>
        <w:t>”</w:t>
      </w:r>
      <w:r>
        <w:rPr>
          <w:rFonts w:ascii="Times New Roman" w:eastAsia="宋体" w:hAnsi="Times New Roman" w:cs="Times New Roman"/>
          <w:sz w:val="28"/>
          <w:szCs w:val="28"/>
        </w:rPr>
        <w:t>，有发酵工艺的需编制环境影响报告书，对其产生的污染和环境影响情况进行详细评价，从环境保护角度评估项目建设的可行性。因此，</w:t>
      </w:r>
      <w:r>
        <w:rPr>
          <w:rFonts w:ascii="Times New Roman" w:eastAsia="宋体" w:hAnsi="Times New Roman" w:cs="Times New Roman"/>
          <w:sz w:val="28"/>
          <w:szCs w:val="24"/>
        </w:rPr>
        <w:t>江苏金茂源生物化工有限责任公司</w:t>
      </w:r>
      <w:r>
        <w:rPr>
          <w:rFonts w:ascii="Times New Roman" w:eastAsia="宋体" w:hAnsi="Times New Roman" w:cs="Times New Roman"/>
          <w:sz w:val="28"/>
          <w:szCs w:val="28"/>
        </w:rPr>
        <w:t>委托江苏智盛环境科技有限公司对项目进行环境影响评价，评价单位在接受委托后，在现场踏勘、调研及资料收集、现状监测和工程分析的基础上，根据国家环保法规和标准编制了本环境影响报告书，提交主管部门和建设单位，供决策使用。</w:t>
      </w:r>
    </w:p>
    <w:p w14:paraId="236E1256" w14:textId="77777777" w:rsidR="002133E3" w:rsidRDefault="00C22CFA">
      <w:pPr>
        <w:pStyle w:val="affff3"/>
        <w:numPr>
          <w:ilvl w:val="1"/>
          <w:numId w:val="2"/>
        </w:numPr>
        <w:ind w:left="0" w:firstLineChars="0" w:firstLine="0"/>
        <w:outlineLvl w:val="1"/>
        <w:rPr>
          <w:rFonts w:ascii="Times New Roman" w:eastAsia="宋体" w:hAnsi="Times New Roman" w:cs="Times New Roman"/>
          <w:b/>
          <w:sz w:val="30"/>
          <w:szCs w:val="30"/>
        </w:rPr>
      </w:pPr>
      <w:bookmarkStart w:id="2" w:name="_Toc47604307"/>
      <w:r>
        <w:rPr>
          <w:rFonts w:ascii="Times New Roman" w:eastAsia="宋体" w:hAnsi="Times New Roman" w:cs="Times New Roman"/>
          <w:b/>
          <w:sz w:val="30"/>
          <w:szCs w:val="30"/>
        </w:rPr>
        <w:t>环境影响评价工作过程</w:t>
      </w:r>
      <w:bookmarkEnd w:id="2"/>
    </w:p>
    <w:p w14:paraId="50C22E47" w14:textId="77777777" w:rsidR="002133E3" w:rsidRDefault="00C22CFA">
      <w:pPr>
        <w:autoSpaceDE w:val="0"/>
        <w:autoSpaceDN w:val="0"/>
        <w:adjustRightInd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lastRenderedPageBreak/>
        <w:t>根据《中华人民共和国环境保护法》、《中华人民共和国环境影响评价法》、《建设项目环境保护管理条例》和《建设项目环境影响评价分类管理名录》</w:t>
      </w:r>
      <w:r>
        <w:rPr>
          <w:rFonts w:ascii="Times New Roman" w:eastAsia="宋体" w:hAnsi="Times New Roman" w:cs="Times New Roman"/>
          <w:sz w:val="28"/>
          <w:szCs w:val="24"/>
        </w:rPr>
        <w:t>(2018</w:t>
      </w:r>
      <w:r>
        <w:rPr>
          <w:rFonts w:ascii="Times New Roman" w:eastAsia="宋体" w:hAnsi="Times New Roman" w:cs="Times New Roman"/>
          <w:sz w:val="28"/>
          <w:szCs w:val="24"/>
        </w:rPr>
        <w:t>年</w:t>
      </w:r>
      <w:r>
        <w:rPr>
          <w:rFonts w:ascii="Times New Roman" w:eastAsia="宋体" w:hAnsi="Times New Roman" w:cs="Times New Roman"/>
          <w:sz w:val="28"/>
          <w:szCs w:val="24"/>
        </w:rPr>
        <w:t>4</w:t>
      </w:r>
      <w:r>
        <w:rPr>
          <w:rFonts w:ascii="Times New Roman" w:eastAsia="宋体" w:hAnsi="Times New Roman" w:cs="Times New Roman"/>
          <w:sz w:val="28"/>
          <w:szCs w:val="24"/>
        </w:rPr>
        <w:t>月修订</w:t>
      </w:r>
      <w:r>
        <w:rPr>
          <w:rFonts w:ascii="Times New Roman" w:eastAsia="宋体" w:hAnsi="Times New Roman" w:cs="Times New Roman"/>
          <w:sz w:val="28"/>
          <w:szCs w:val="24"/>
        </w:rPr>
        <w:t>)</w:t>
      </w:r>
      <w:r>
        <w:rPr>
          <w:rFonts w:ascii="Times New Roman" w:eastAsia="宋体" w:hAnsi="Times New Roman" w:cs="Times New Roman"/>
          <w:sz w:val="28"/>
          <w:szCs w:val="24"/>
        </w:rPr>
        <w:t>的规定，本项目需编制环境影响报告书，对项目产生的污染和环境影响情况进行详细评价，从环境保护角度评估项目建设的可行性。</w:t>
      </w:r>
    </w:p>
    <w:p w14:paraId="44764D1C" w14:textId="77777777" w:rsidR="002133E3" w:rsidRDefault="00C22CFA">
      <w:pPr>
        <w:autoSpaceDE w:val="0"/>
        <w:autoSpaceDN w:val="0"/>
        <w:adjustRightInd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环境影响评价工作一般分为三个阶段，即前期阶段、调研和工作方案阶段，分析论证和预测评价阶段，环境影响评价文件编制阶段，具体详见图</w:t>
      </w:r>
      <w:r>
        <w:rPr>
          <w:rFonts w:ascii="Times New Roman" w:eastAsia="宋体" w:hAnsi="Times New Roman" w:cs="Times New Roman"/>
          <w:sz w:val="28"/>
          <w:szCs w:val="24"/>
        </w:rPr>
        <w:t>1.2-1</w:t>
      </w:r>
      <w:r>
        <w:rPr>
          <w:rFonts w:ascii="Times New Roman" w:eastAsia="宋体" w:hAnsi="Times New Roman" w:cs="Times New Roman"/>
          <w:sz w:val="28"/>
          <w:szCs w:val="24"/>
        </w:rPr>
        <w:t>。</w:t>
      </w:r>
    </w:p>
    <w:p w14:paraId="0978F38E" w14:textId="77777777" w:rsidR="002133E3" w:rsidRDefault="00C22CFA">
      <w:pPr>
        <w:ind w:firstLine="482"/>
        <w:jc w:val="center"/>
        <w:rPr>
          <w:rFonts w:ascii="Times New Roman" w:eastAsia="宋体" w:hAnsi="Times New Roman" w:cs="Times New Roman"/>
          <w:sz w:val="28"/>
          <w:szCs w:val="24"/>
        </w:rPr>
      </w:pPr>
      <w:r>
        <w:rPr>
          <w:rFonts w:ascii="Times New Roman" w:eastAsia="宋体" w:hAnsi="Times New Roman" w:cs="Times New Roman"/>
          <w:noProof/>
          <w:szCs w:val="24"/>
        </w:rPr>
        <w:drawing>
          <wp:inline distT="0" distB="0" distL="0" distR="0" wp14:anchorId="397814EB" wp14:editId="4EC754C3">
            <wp:extent cx="4324350" cy="5486400"/>
            <wp:effectExtent l="0" t="0" r="0" b="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4324350" cy="5486400"/>
                    </a:xfrm>
                    <a:prstGeom prst="rect">
                      <a:avLst/>
                    </a:prstGeom>
                    <a:noFill/>
                    <a:ln>
                      <a:noFill/>
                    </a:ln>
                  </pic:spPr>
                </pic:pic>
              </a:graphicData>
            </a:graphic>
          </wp:inline>
        </w:drawing>
      </w:r>
    </w:p>
    <w:p w14:paraId="002453E6" w14:textId="77777777" w:rsidR="002133E3" w:rsidRDefault="00C22CFA">
      <w:pPr>
        <w:snapToGrid w:val="0"/>
        <w:spacing w:line="500" w:lineRule="atLeast"/>
        <w:jc w:val="center"/>
        <w:rPr>
          <w:rFonts w:ascii="Times New Roman" w:eastAsia="宋体" w:hAnsi="Times New Roman" w:cs="Times New Roman"/>
          <w:b/>
          <w:szCs w:val="24"/>
        </w:rPr>
      </w:pPr>
      <w:r>
        <w:rPr>
          <w:rFonts w:ascii="Times New Roman" w:eastAsia="宋体" w:hAnsi="Times New Roman" w:cs="Times New Roman"/>
          <w:b/>
          <w:szCs w:val="24"/>
        </w:rPr>
        <w:t>图</w:t>
      </w:r>
      <w:r>
        <w:rPr>
          <w:rFonts w:ascii="Times New Roman" w:eastAsia="宋体" w:hAnsi="Times New Roman" w:cs="Times New Roman"/>
          <w:b/>
          <w:szCs w:val="24"/>
        </w:rPr>
        <w:t xml:space="preserve">1.2-1  </w:t>
      </w:r>
      <w:r>
        <w:rPr>
          <w:rFonts w:ascii="Times New Roman" w:eastAsia="宋体" w:hAnsi="Times New Roman" w:cs="Times New Roman"/>
          <w:b/>
          <w:szCs w:val="24"/>
        </w:rPr>
        <w:t>环境影响评价工作流程图</w:t>
      </w:r>
    </w:p>
    <w:p w14:paraId="0CB352B5"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3" w:name="_Toc47604308"/>
      <w:r>
        <w:rPr>
          <w:rFonts w:ascii="Times New Roman" w:eastAsia="宋体" w:hAnsi="Times New Roman" w:cs="Times New Roman"/>
          <w:b/>
          <w:sz w:val="30"/>
          <w:szCs w:val="30"/>
        </w:rPr>
        <w:t>分析判定相关情况</w:t>
      </w:r>
      <w:bookmarkEnd w:id="3"/>
    </w:p>
    <w:p w14:paraId="5678AD6A"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与相关产业政策相符性分析</w:t>
      </w:r>
    </w:p>
    <w:p w14:paraId="6EA1A48C" w14:textId="77777777" w:rsidR="002133E3" w:rsidRDefault="00C22CFA">
      <w:pPr>
        <w:pStyle w:val="affff3"/>
        <w:numPr>
          <w:ilvl w:val="3"/>
          <w:numId w:val="2"/>
        </w:numPr>
        <w:tabs>
          <w:tab w:val="left" w:pos="851"/>
        </w:tabs>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t>与《产业结构调整指导目录</w:t>
      </w:r>
      <w:r>
        <w:rPr>
          <w:rFonts w:ascii="Times New Roman" w:eastAsia="宋体" w:hAnsi="Times New Roman" w:cs="Times New Roman"/>
          <w:b/>
          <w:sz w:val="28"/>
          <w:szCs w:val="28"/>
        </w:rPr>
        <w:t>(2019</w:t>
      </w:r>
      <w:r>
        <w:rPr>
          <w:rFonts w:ascii="Times New Roman" w:eastAsia="宋体" w:hAnsi="Times New Roman" w:cs="Times New Roman"/>
          <w:b/>
          <w:sz w:val="28"/>
          <w:szCs w:val="28"/>
        </w:rPr>
        <w:t>年本</w:t>
      </w:r>
      <w:r>
        <w:rPr>
          <w:rFonts w:ascii="Times New Roman" w:eastAsia="宋体" w:hAnsi="Times New Roman" w:cs="Times New Roman"/>
          <w:b/>
          <w:sz w:val="28"/>
          <w:szCs w:val="28"/>
        </w:rPr>
        <w:t>)</w:t>
      </w:r>
      <w:r>
        <w:rPr>
          <w:rFonts w:ascii="Times New Roman" w:eastAsia="宋体" w:hAnsi="Times New Roman" w:cs="Times New Roman"/>
          <w:b/>
          <w:sz w:val="28"/>
          <w:szCs w:val="28"/>
        </w:rPr>
        <w:t>》</w:t>
      </w:r>
      <w:r>
        <w:rPr>
          <w:rFonts w:ascii="Times New Roman" w:eastAsia="宋体" w:hAnsi="Times New Roman" w:cs="Times New Roman"/>
          <w:b/>
          <w:sz w:val="28"/>
          <w:szCs w:val="28"/>
        </w:rPr>
        <w:t xml:space="preserve"> (2019</w:t>
      </w:r>
      <w:r>
        <w:rPr>
          <w:rFonts w:ascii="Times New Roman" w:eastAsia="宋体" w:hAnsi="Times New Roman" w:cs="Times New Roman"/>
          <w:b/>
          <w:sz w:val="28"/>
          <w:szCs w:val="28"/>
        </w:rPr>
        <w:t>年修正</w:t>
      </w:r>
      <w:r>
        <w:rPr>
          <w:rFonts w:ascii="Times New Roman" w:eastAsia="宋体" w:hAnsi="Times New Roman" w:cs="Times New Roman"/>
          <w:b/>
          <w:sz w:val="28"/>
          <w:szCs w:val="28"/>
        </w:rPr>
        <w:t>)</w:t>
      </w:r>
      <w:r>
        <w:rPr>
          <w:rFonts w:ascii="Times New Roman" w:eastAsia="宋体" w:hAnsi="Times New Roman" w:cs="Times New Roman"/>
          <w:b/>
          <w:sz w:val="28"/>
          <w:szCs w:val="28"/>
        </w:rPr>
        <w:t>及《江苏省工业结构调整指导目录</w:t>
      </w:r>
      <w:r>
        <w:rPr>
          <w:rFonts w:ascii="Times New Roman" w:eastAsia="宋体" w:hAnsi="Times New Roman" w:cs="Times New Roman"/>
          <w:b/>
          <w:sz w:val="28"/>
          <w:szCs w:val="28"/>
        </w:rPr>
        <w:t>(2012</w:t>
      </w:r>
      <w:r>
        <w:rPr>
          <w:rFonts w:ascii="Times New Roman" w:eastAsia="宋体" w:hAnsi="Times New Roman" w:cs="Times New Roman"/>
          <w:b/>
          <w:sz w:val="28"/>
          <w:szCs w:val="28"/>
        </w:rPr>
        <w:t>年本</w:t>
      </w:r>
      <w:r>
        <w:rPr>
          <w:rFonts w:ascii="Times New Roman" w:eastAsia="宋体" w:hAnsi="Times New Roman" w:cs="Times New Roman"/>
          <w:b/>
          <w:sz w:val="28"/>
          <w:szCs w:val="28"/>
        </w:rPr>
        <w:t>)</w:t>
      </w:r>
      <w:r>
        <w:rPr>
          <w:rFonts w:ascii="Times New Roman" w:eastAsia="宋体" w:hAnsi="Times New Roman" w:cs="Times New Roman"/>
          <w:b/>
          <w:sz w:val="28"/>
          <w:szCs w:val="28"/>
        </w:rPr>
        <w:t>》</w:t>
      </w:r>
      <w:r>
        <w:rPr>
          <w:rFonts w:ascii="Times New Roman" w:eastAsia="宋体" w:hAnsi="Times New Roman" w:cs="Times New Roman"/>
          <w:b/>
          <w:sz w:val="28"/>
          <w:szCs w:val="28"/>
        </w:rPr>
        <w:t>(2013</w:t>
      </w:r>
      <w:r>
        <w:rPr>
          <w:rFonts w:ascii="Times New Roman" w:eastAsia="宋体" w:hAnsi="Times New Roman" w:cs="Times New Roman"/>
          <w:b/>
          <w:sz w:val="28"/>
          <w:szCs w:val="28"/>
        </w:rPr>
        <w:t>年修正</w:t>
      </w:r>
      <w:r>
        <w:rPr>
          <w:rFonts w:ascii="Times New Roman" w:eastAsia="宋体" w:hAnsi="Times New Roman" w:cs="Times New Roman"/>
          <w:b/>
          <w:sz w:val="28"/>
          <w:szCs w:val="28"/>
        </w:rPr>
        <w:t>)</w:t>
      </w:r>
      <w:r>
        <w:rPr>
          <w:rFonts w:ascii="Times New Roman" w:eastAsia="宋体" w:hAnsi="Times New Roman" w:cs="Times New Roman"/>
          <w:b/>
          <w:sz w:val="28"/>
          <w:szCs w:val="28"/>
        </w:rPr>
        <w:t>相符性</w:t>
      </w:r>
    </w:p>
    <w:p w14:paraId="4A3272BD"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本项目</w:t>
      </w:r>
      <w:bookmarkStart w:id="4" w:name="_Hlk72747317"/>
      <w:r>
        <w:rPr>
          <w:rFonts w:ascii="Times New Roman" w:eastAsia="宋体" w:hAnsi="Times New Roman" w:cs="Times New Roman"/>
          <w:sz w:val="28"/>
          <w:szCs w:val="28"/>
        </w:rPr>
        <w:t>酒精制造</w:t>
      </w:r>
      <w:bookmarkEnd w:id="4"/>
      <w:r>
        <w:rPr>
          <w:rFonts w:ascii="Times New Roman" w:eastAsia="宋体" w:hAnsi="Times New Roman" w:cs="Times New Roman"/>
          <w:sz w:val="28"/>
          <w:szCs w:val="28"/>
        </w:rPr>
        <w:t>（</w:t>
      </w:r>
      <w:r>
        <w:rPr>
          <w:rFonts w:ascii="Times New Roman" w:eastAsia="宋体" w:hAnsi="Times New Roman" w:cs="Times New Roman"/>
          <w:sz w:val="28"/>
          <w:szCs w:val="28"/>
        </w:rPr>
        <w:t>C1511</w:t>
      </w:r>
      <w:r>
        <w:rPr>
          <w:rFonts w:ascii="Times New Roman" w:eastAsia="宋体" w:hAnsi="Times New Roman" w:cs="Times New Roman"/>
          <w:sz w:val="28"/>
          <w:szCs w:val="28"/>
        </w:rPr>
        <w:t>），对照国家《产业结构调整指导目录</w:t>
      </w:r>
      <w:r>
        <w:rPr>
          <w:rFonts w:ascii="Times New Roman" w:eastAsia="宋体" w:hAnsi="Times New Roman" w:cs="Times New Roman"/>
          <w:sz w:val="28"/>
          <w:szCs w:val="28"/>
        </w:rPr>
        <w:t>(2019</w:t>
      </w:r>
      <w:r>
        <w:rPr>
          <w:rFonts w:ascii="Times New Roman" w:eastAsia="宋体" w:hAnsi="Times New Roman" w:cs="Times New Roman"/>
          <w:sz w:val="28"/>
          <w:szCs w:val="28"/>
        </w:rPr>
        <w:t>年</w:t>
      </w:r>
      <w:r>
        <w:rPr>
          <w:rFonts w:ascii="Times New Roman" w:eastAsia="宋体" w:hAnsi="Times New Roman" w:cs="Times New Roman"/>
          <w:sz w:val="28"/>
          <w:szCs w:val="28"/>
        </w:rPr>
        <w:t>)(</w:t>
      </w:r>
      <w:r>
        <w:rPr>
          <w:rFonts w:ascii="Times New Roman" w:eastAsia="宋体" w:hAnsi="Times New Roman" w:cs="Times New Roman"/>
          <w:sz w:val="28"/>
          <w:szCs w:val="28"/>
        </w:rPr>
        <w:t>修正</w:t>
      </w:r>
      <w:r>
        <w:rPr>
          <w:rFonts w:ascii="Times New Roman" w:eastAsia="宋体" w:hAnsi="Times New Roman" w:cs="Times New Roman"/>
          <w:sz w:val="28"/>
          <w:szCs w:val="28"/>
        </w:rPr>
        <w:t>)</w:t>
      </w:r>
      <w:r>
        <w:rPr>
          <w:rFonts w:ascii="Times New Roman" w:eastAsia="宋体" w:hAnsi="Times New Roman" w:cs="Times New Roman"/>
          <w:sz w:val="28"/>
          <w:szCs w:val="28"/>
        </w:rPr>
        <w:t>》属于限制类</w:t>
      </w:r>
      <w:r>
        <w:rPr>
          <w:rFonts w:ascii="Times New Roman" w:eastAsia="宋体" w:hAnsi="Times New Roman" w:cs="Times New Roman"/>
          <w:sz w:val="28"/>
          <w:szCs w:val="28"/>
        </w:rPr>
        <w:t>“</w:t>
      </w:r>
      <w:r>
        <w:rPr>
          <w:rFonts w:ascii="Times New Roman" w:eastAsia="宋体" w:hAnsi="Times New Roman" w:cs="Times New Roman"/>
          <w:sz w:val="28"/>
          <w:szCs w:val="28"/>
        </w:rPr>
        <w:t>十二、轻工</w:t>
      </w:r>
      <w:r>
        <w:rPr>
          <w:rFonts w:ascii="Times New Roman" w:eastAsia="宋体" w:hAnsi="Times New Roman" w:cs="Times New Roman"/>
          <w:sz w:val="28"/>
          <w:szCs w:val="28"/>
        </w:rPr>
        <w:t>”</w:t>
      </w:r>
      <w:r>
        <w:rPr>
          <w:rFonts w:ascii="Times New Roman" w:eastAsia="宋体" w:hAnsi="Times New Roman" w:cs="Times New Roman"/>
          <w:sz w:val="28"/>
          <w:szCs w:val="28"/>
        </w:rPr>
        <w:t>中</w:t>
      </w:r>
      <w:r>
        <w:rPr>
          <w:rFonts w:ascii="Times New Roman" w:eastAsia="宋体" w:hAnsi="Times New Roman" w:cs="Times New Roman"/>
          <w:sz w:val="28"/>
          <w:szCs w:val="28"/>
        </w:rPr>
        <w:t>“20</w:t>
      </w:r>
      <w:r>
        <w:rPr>
          <w:rFonts w:ascii="Times New Roman" w:eastAsia="宋体" w:hAnsi="Times New Roman" w:cs="Times New Roman"/>
          <w:sz w:val="28"/>
          <w:szCs w:val="28"/>
        </w:rPr>
        <w:t>、酒精生产线</w:t>
      </w:r>
      <w:r>
        <w:rPr>
          <w:rFonts w:ascii="Times New Roman" w:eastAsia="宋体" w:hAnsi="Times New Roman" w:cs="Times New Roman"/>
          <w:sz w:val="28"/>
          <w:szCs w:val="28"/>
        </w:rPr>
        <w:t>”</w:t>
      </w:r>
      <w:r>
        <w:rPr>
          <w:rFonts w:ascii="Times New Roman" w:eastAsia="宋体" w:hAnsi="Times New Roman" w:cs="Times New Roman"/>
          <w:sz w:val="28"/>
          <w:szCs w:val="28"/>
        </w:rPr>
        <w:t>，对照《江苏省工业和信息产业结构调整指导目录》</w:t>
      </w:r>
      <w:r>
        <w:rPr>
          <w:rFonts w:ascii="Times New Roman" w:eastAsia="宋体" w:hAnsi="Times New Roman" w:cs="Times New Roman"/>
          <w:sz w:val="28"/>
          <w:szCs w:val="28"/>
        </w:rPr>
        <w:t>(2012</w:t>
      </w:r>
      <w:r>
        <w:rPr>
          <w:rFonts w:ascii="Times New Roman" w:eastAsia="宋体" w:hAnsi="Times New Roman" w:cs="Times New Roman"/>
          <w:sz w:val="28"/>
          <w:szCs w:val="28"/>
        </w:rPr>
        <w:t>年本</w:t>
      </w:r>
      <w:r>
        <w:rPr>
          <w:rFonts w:ascii="Times New Roman" w:eastAsia="宋体" w:hAnsi="Times New Roman" w:cs="Times New Roman"/>
          <w:sz w:val="28"/>
          <w:szCs w:val="28"/>
        </w:rPr>
        <w:t>)(</w:t>
      </w:r>
      <w:r>
        <w:rPr>
          <w:rFonts w:ascii="Times New Roman" w:eastAsia="宋体" w:hAnsi="Times New Roman" w:cs="Times New Roman"/>
          <w:sz w:val="28"/>
          <w:szCs w:val="28"/>
        </w:rPr>
        <w:t>修正</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属于限制类</w:t>
      </w:r>
      <w:r>
        <w:rPr>
          <w:rFonts w:ascii="Times New Roman" w:eastAsia="宋体" w:hAnsi="Times New Roman" w:cs="Times New Roman"/>
          <w:sz w:val="28"/>
          <w:szCs w:val="28"/>
        </w:rPr>
        <w:t>“</w:t>
      </w:r>
      <w:r>
        <w:rPr>
          <w:rFonts w:ascii="Times New Roman" w:eastAsia="宋体" w:hAnsi="Times New Roman" w:cs="Times New Roman"/>
          <w:sz w:val="28"/>
          <w:szCs w:val="28"/>
        </w:rPr>
        <w:t>十一、轻工</w:t>
      </w:r>
      <w:r>
        <w:rPr>
          <w:rFonts w:ascii="Times New Roman" w:eastAsia="宋体" w:hAnsi="Times New Roman" w:cs="Times New Roman"/>
          <w:sz w:val="28"/>
          <w:szCs w:val="28"/>
        </w:rPr>
        <w:t>”</w:t>
      </w:r>
      <w:r>
        <w:rPr>
          <w:rFonts w:ascii="Times New Roman" w:eastAsia="宋体" w:hAnsi="Times New Roman" w:cs="Times New Roman"/>
          <w:sz w:val="28"/>
          <w:szCs w:val="28"/>
        </w:rPr>
        <w:t>中</w:t>
      </w:r>
      <w:r>
        <w:rPr>
          <w:rFonts w:ascii="Times New Roman" w:eastAsia="宋体" w:hAnsi="Times New Roman" w:cs="Times New Roman"/>
          <w:sz w:val="28"/>
          <w:szCs w:val="28"/>
        </w:rPr>
        <w:t>“27</w:t>
      </w:r>
      <w:r>
        <w:rPr>
          <w:rFonts w:ascii="Times New Roman" w:eastAsia="宋体" w:hAnsi="Times New Roman" w:cs="Times New Roman"/>
          <w:sz w:val="28"/>
          <w:szCs w:val="28"/>
        </w:rPr>
        <w:t>、酒精生产线</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0C689B73"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在现有酒精生产线上进行技术改造，建成后产能维持不变，无水乙醇生产线为在酒精生产线的基础上的精加工，本项目建成后酒精及无水乙醇的总产能不超过现有酒精产能，项目的实施符合国家及地方产业政策的要求。</w:t>
      </w:r>
    </w:p>
    <w:p w14:paraId="242035A3" w14:textId="77777777" w:rsidR="002133E3" w:rsidRDefault="00C22CFA">
      <w:pPr>
        <w:pStyle w:val="affff3"/>
        <w:numPr>
          <w:ilvl w:val="3"/>
          <w:numId w:val="2"/>
        </w:numPr>
        <w:tabs>
          <w:tab w:val="left" w:pos="851"/>
        </w:tabs>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t>与《省政府办公厅转发省经济和信息化委、省发展改革委江苏省工业和信息产业结构调整限制淘汰目录和能耗限额的通知》（苏政办发</w:t>
      </w:r>
      <w:r>
        <w:rPr>
          <w:rFonts w:ascii="Times New Roman" w:eastAsia="宋体" w:hAnsi="Times New Roman" w:cs="Times New Roman"/>
          <w:b/>
          <w:sz w:val="28"/>
          <w:szCs w:val="28"/>
        </w:rPr>
        <w:t>[2015]118</w:t>
      </w:r>
      <w:r>
        <w:rPr>
          <w:rFonts w:ascii="Times New Roman" w:eastAsia="宋体" w:hAnsi="Times New Roman" w:cs="Times New Roman"/>
          <w:b/>
          <w:sz w:val="28"/>
          <w:szCs w:val="28"/>
        </w:rPr>
        <w:t>号）相符性</w:t>
      </w:r>
    </w:p>
    <w:p w14:paraId="02B68429"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本项目各产品生产线不属于《省政府办公厅转发省经济和信息化委、省发展改革委江苏省工业和信息产业结构调整限制淘汰目录和能耗限额的通知》（苏政办发</w:t>
      </w:r>
      <w:r>
        <w:rPr>
          <w:rFonts w:ascii="Times New Roman" w:eastAsia="宋体" w:hAnsi="Times New Roman" w:cs="Times New Roman"/>
          <w:sz w:val="28"/>
          <w:szCs w:val="28"/>
        </w:rPr>
        <w:t>[2015]118</w:t>
      </w:r>
      <w:r>
        <w:rPr>
          <w:rFonts w:ascii="Times New Roman" w:eastAsia="宋体" w:hAnsi="Times New Roman" w:cs="Times New Roman"/>
          <w:sz w:val="28"/>
          <w:szCs w:val="28"/>
        </w:rPr>
        <w:t>号）中提出的限制类和淘汰类项目，同时各产品的能耗能够满足规定的限额。</w:t>
      </w:r>
    </w:p>
    <w:p w14:paraId="2EF8D97C"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同时，根据《江苏省打赢蓝天保卫战三年行动计划实施方案》，本项目不属于明确禁止和限制发展的行业、生产工艺和产业目录，不属于江苏省产业结构调整限制、淘汰和禁止目录，符合实施方案中调整优化产业结构，推进产业绿色发展的要求。</w:t>
      </w:r>
    </w:p>
    <w:p w14:paraId="1BBC338E" w14:textId="77777777" w:rsidR="002133E3" w:rsidRDefault="00C22CFA">
      <w:pPr>
        <w:pStyle w:val="affff3"/>
        <w:numPr>
          <w:ilvl w:val="3"/>
          <w:numId w:val="2"/>
        </w:numPr>
        <w:tabs>
          <w:tab w:val="left" w:pos="851"/>
        </w:tabs>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t>与《市场准入负面清单（</w:t>
      </w:r>
      <w:r>
        <w:rPr>
          <w:rFonts w:ascii="Times New Roman" w:eastAsia="宋体" w:hAnsi="Times New Roman" w:cs="Times New Roman"/>
          <w:b/>
          <w:sz w:val="28"/>
          <w:szCs w:val="28"/>
        </w:rPr>
        <w:t>2018</w:t>
      </w:r>
      <w:r>
        <w:rPr>
          <w:rFonts w:ascii="Times New Roman" w:eastAsia="宋体" w:hAnsi="Times New Roman" w:cs="Times New Roman"/>
          <w:b/>
          <w:sz w:val="28"/>
          <w:szCs w:val="28"/>
        </w:rPr>
        <w:t>年版）》的相符性分析</w:t>
      </w:r>
    </w:p>
    <w:p w14:paraId="1E12A056"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项目为</w:t>
      </w:r>
      <w:r>
        <w:rPr>
          <w:rFonts w:ascii="Times New Roman" w:eastAsia="宋体" w:hAnsi="Times New Roman" w:cs="Times New Roman"/>
          <w:sz w:val="28"/>
          <w:szCs w:val="28"/>
        </w:rPr>
        <w:t>酒精制造</w:t>
      </w:r>
      <w:r>
        <w:rPr>
          <w:rFonts w:ascii="Times New Roman" w:eastAsia="宋体" w:hAnsi="Times New Roman" w:cs="Times New Roman"/>
          <w:kern w:val="0"/>
          <w:sz w:val="28"/>
          <w:szCs w:val="28"/>
        </w:rPr>
        <w:t>项目，经查询，不属于《</w:t>
      </w:r>
      <w:r>
        <w:rPr>
          <w:rFonts w:ascii="Times New Roman" w:eastAsia="宋体" w:hAnsi="Times New Roman" w:cs="Times New Roman"/>
          <w:bCs/>
          <w:kern w:val="0"/>
          <w:sz w:val="28"/>
          <w:szCs w:val="28"/>
        </w:rPr>
        <w:t>市场准入负面清单（</w:t>
      </w:r>
      <w:r>
        <w:rPr>
          <w:rFonts w:ascii="Times New Roman" w:eastAsia="宋体" w:hAnsi="Times New Roman" w:cs="Times New Roman"/>
          <w:bCs/>
          <w:kern w:val="0"/>
          <w:sz w:val="28"/>
          <w:szCs w:val="28"/>
        </w:rPr>
        <w:t>2018</w:t>
      </w:r>
      <w:r>
        <w:rPr>
          <w:rFonts w:ascii="Times New Roman" w:eastAsia="宋体" w:hAnsi="Times New Roman" w:cs="Times New Roman"/>
          <w:bCs/>
          <w:kern w:val="0"/>
          <w:sz w:val="28"/>
          <w:szCs w:val="28"/>
        </w:rPr>
        <w:t>年版）</w:t>
      </w:r>
      <w:r>
        <w:rPr>
          <w:rFonts w:ascii="Times New Roman" w:eastAsia="宋体" w:hAnsi="Times New Roman" w:cs="Times New Roman"/>
          <w:kern w:val="0"/>
          <w:sz w:val="28"/>
          <w:szCs w:val="28"/>
        </w:rPr>
        <w:t>》</w:t>
      </w:r>
      <w:r>
        <w:rPr>
          <w:rFonts w:ascii="Times New Roman" w:eastAsia="宋体" w:hAnsi="Times New Roman" w:cs="Times New Roman"/>
          <w:bCs/>
          <w:kern w:val="0"/>
          <w:sz w:val="28"/>
          <w:szCs w:val="28"/>
        </w:rPr>
        <w:t>中</w:t>
      </w:r>
      <w:r>
        <w:rPr>
          <w:rFonts w:ascii="Times New Roman" w:eastAsia="宋体" w:hAnsi="Times New Roman" w:cs="Times New Roman"/>
          <w:kern w:val="0"/>
          <w:sz w:val="28"/>
          <w:szCs w:val="28"/>
        </w:rPr>
        <w:t>禁止准入类，也不属于许可准入类。</w:t>
      </w:r>
    </w:p>
    <w:p w14:paraId="4B9DBD3C"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综上，项目的实施符合国家及地方产业政策的要求。</w:t>
      </w:r>
    </w:p>
    <w:p w14:paraId="7D71974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选址合理性分析</w:t>
      </w:r>
    </w:p>
    <w:p w14:paraId="09C4D7D5"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本项目位于赣榆海州湾生物科技园，用地性质为工业用地。规划产业定位为：以酒精酿造产业、通用零部件加工产业、新材料等轻工产业为重点，兼顾发展高端装备制造产业。规划空间布局为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两轴、八组团</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，本项目属于</w:t>
      </w:r>
      <w:r>
        <w:rPr>
          <w:rFonts w:ascii="Times New Roman" w:eastAsia="宋体" w:hAnsi="Times New Roman" w:cs="Times New Roman"/>
          <w:kern w:val="0"/>
          <w:sz w:val="28"/>
          <w:szCs w:val="28"/>
        </w:rPr>
        <w:t>C1511</w:t>
      </w:r>
      <w:r>
        <w:rPr>
          <w:rFonts w:ascii="Times New Roman" w:eastAsia="宋体" w:hAnsi="Times New Roman" w:cs="Times New Roman"/>
          <w:sz w:val="28"/>
          <w:szCs w:val="28"/>
        </w:rPr>
        <w:t>酒精制造</w:t>
      </w:r>
      <w:r>
        <w:rPr>
          <w:rFonts w:ascii="Times New Roman" w:eastAsia="宋体" w:hAnsi="Times New Roman" w:cs="Times New Roman"/>
          <w:kern w:val="0"/>
          <w:sz w:val="28"/>
          <w:szCs w:val="28"/>
        </w:rPr>
        <w:t>，位于金茂源乙醇产业集聚组团内符合园区规划的产业定位及空间布局。</w:t>
      </w:r>
    </w:p>
    <w:p w14:paraId="5F98CED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三线一单</w:t>
      </w:r>
      <w:r>
        <w:rPr>
          <w:rFonts w:ascii="Times New Roman" w:eastAsia="宋体" w:hAnsi="Times New Roman" w:cs="Times New Roman"/>
          <w:b/>
          <w:sz w:val="30"/>
          <w:szCs w:val="30"/>
        </w:rPr>
        <w:t>”</w:t>
      </w:r>
      <w:r>
        <w:rPr>
          <w:rFonts w:ascii="Times New Roman" w:eastAsia="宋体" w:hAnsi="Times New Roman" w:cs="Times New Roman"/>
          <w:b/>
          <w:sz w:val="30"/>
          <w:szCs w:val="30"/>
        </w:rPr>
        <w:t>控制要求相符性分析</w:t>
      </w:r>
    </w:p>
    <w:p w14:paraId="0443B406" w14:textId="77777777" w:rsidR="002133E3" w:rsidRDefault="00C22CFA">
      <w:pPr>
        <w:numPr>
          <w:ilvl w:val="3"/>
          <w:numId w:val="2"/>
        </w:numPr>
        <w:tabs>
          <w:tab w:val="left" w:pos="851"/>
        </w:tabs>
        <w:ind w:left="993" w:hanging="993"/>
        <w:outlineLvl w:val="3"/>
        <w:rPr>
          <w:rFonts w:ascii="Times New Roman" w:eastAsia="宋体" w:hAnsi="Times New Roman" w:cs="Times New Roman"/>
          <w:b/>
          <w:bCs/>
          <w:sz w:val="28"/>
          <w:szCs w:val="28"/>
        </w:rPr>
      </w:pPr>
      <w:r>
        <w:rPr>
          <w:rFonts w:ascii="Times New Roman" w:eastAsia="宋体" w:hAnsi="Times New Roman" w:cs="Times New Roman"/>
          <w:b/>
          <w:bCs/>
          <w:sz w:val="28"/>
          <w:szCs w:val="28"/>
        </w:rPr>
        <w:lastRenderedPageBreak/>
        <w:t>与生态保护红线相符性</w:t>
      </w:r>
    </w:p>
    <w:p w14:paraId="345DFA36"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与《江苏省国家级生态保护红线规划》的符合性</w:t>
      </w:r>
    </w:p>
    <w:p w14:paraId="1454ADA8" w14:textId="77777777" w:rsidR="002133E3" w:rsidRDefault="00C22CFA">
      <w:pPr>
        <w:tabs>
          <w:tab w:val="left" w:leader="middleDot" w:pos="7740"/>
        </w:tabs>
        <w:spacing w:line="500" w:lineRule="exact"/>
        <w:ind w:firstLine="482"/>
        <w:rPr>
          <w:rFonts w:ascii="Times New Roman" w:eastAsia="宋体" w:hAnsi="Times New Roman" w:cs="Times New Roman"/>
          <w:sz w:val="28"/>
          <w:szCs w:val="28"/>
        </w:rPr>
      </w:pPr>
      <w:r>
        <w:rPr>
          <w:rFonts w:ascii="Times New Roman" w:eastAsia="宋体" w:hAnsi="Times New Roman" w:cs="Times New Roman"/>
          <w:sz w:val="28"/>
          <w:szCs w:val="28"/>
        </w:rPr>
        <w:t>根据《江苏省国家级生态保护红线规划》</w:t>
      </w:r>
      <w:r>
        <w:rPr>
          <w:rFonts w:ascii="Times New Roman" w:eastAsia="宋体" w:hAnsi="Times New Roman" w:cs="Times New Roman"/>
          <w:sz w:val="28"/>
          <w:szCs w:val="28"/>
        </w:rPr>
        <w:t>(</w:t>
      </w:r>
      <w:r>
        <w:rPr>
          <w:rFonts w:ascii="Times New Roman" w:eastAsia="宋体" w:hAnsi="Times New Roman" w:cs="Times New Roman"/>
          <w:sz w:val="28"/>
          <w:szCs w:val="28"/>
        </w:rPr>
        <w:t>苏政发〔</w:t>
      </w:r>
      <w:r>
        <w:rPr>
          <w:rFonts w:ascii="Times New Roman" w:eastAsia="宋体" w:hAnsi="Times New Roman" w:cs="Times New Roman"/>
          <w:sz w:val="28"/>
          <w:szCs w:val="28"/>
        </w:rPr>
        <w:t>2018</w:t>
      </w:r>
      <w:r>
        <w:rPr>
          <w:rFonts w:ascii="Times New Roman" w:eastAsia="宋体" w:hAnsi="Times New Roman" w:cs="Times New Roman"/>
          <w:sz w:val="28"/>
          <w:szCs w:val="28"/>
        </w:rPr>
        <w:t>〕</w:t>
      </w:r>
      <w:r>
        <w:rPr>
          <w:rFonts w:ascii="Times New Roman" w:eastAsia="宋体" w:hAnsi="Times New Roman" w:cs="Times New Roman"/>
          <w:sz w:val="28"/>
          <w:szCs w:val="28"/>
        </w:rPr>
        <w:t>74</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文件，与本项目有关的生态红线区具体情况见表</w:t>
      </w:r>
      <w:r>
        <w:rPr>
          <w:rFonts w:ascii="Times New Roman" w:eastAsia="宋体" w:hAnsi="Times New Roman" w:cs="Times New Roman"/>
          <w:sz w:val="28"/>
          <w:szCs w:val="28"/>
        </w:rPr>
        <w:t>1.3-1</w:t>
      </w:r>
      <w:r>
        <w:rPr>
          <w:rFonts w:ascii="Times New Roman" w:eastAsia="宋体" w:hAnsi="Times New Roman" w:cs="Times New Roman"/>
          <w:sz w:val="28"/>
          <w:szCs w:val="28"/>
        </w:rPr>
        <w:t>、</w:t>
      </w:r>
      <w:r>
        <w:rPr>
          <w:rFonts w:ascii="Times New Roman" w:eastAsia="宋体" w:hAnsi="Times New Roman" w:cs="Times New Roman"/>
          <w:sz w:val="28"/>
          <w:szCs w:val="28"/>
          <w:highlight w:val="yellow"/>
        </w:rPr>
        <w:t>图</w:t>
      </w:r>
      <w:r>
        <w:rPr>
          <w:rFonts w:ascii="Times New Roman" w:eastAsia="宋体" w:hAnsi="Times New Roman" w:cs="Times New Roman"/>
          <w:sz w:val="28"/>
          <w:szCs w:val="28"/>
          <w:highlight w:val="yellow"/>
        </w:rPr>
        <w:t>1.3-1</w:t>
      </w:r>
      <w:r>
        <w:rPr>
          <w:rFonts w:ascii="Times New Roman" w:eastAsia="宋体" w:hAnsi="Times New Roman" w:cs="Times New Roman"/>
          <w:sz w:val="28"/>
          <w:szCs w:val="28"/>
        </w:rPr>
        <w:t>。本项目不在保护范围内，与《江苏省国家级生态保护红线规划》相符。</w:t>
      </w:r>
    </w:p>
    <w:p w14:paraId="0F96B6D0" w14:textId="77777777" w:rsidR="002133E3" w:rsidRDefault="00C22CFA">
      <w:pPr>
        <w:snapToGrid w:val="0"/>
        <w:spacing w:line="476"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表</w:t>
      </w:r>
      <w:r>
        <w:rPr>
          <w:rFonts w:ascii="Times New Roman" w:eastAsia="宋体" w:hAnsi="Times New Roman" w:cs="Times New Roman"/>
          <w:b/>
          <w:kern w:val="0"/>
          <w:szCs w:val="21"/>
        </w:rPr>
        <w:t xml:space="preserve">1.3.1 </w:t>
      </w:r>
      <w:r>
        <w:rPr>
          <w:rFonts w:ascii="Times New Roman" w:eastAsia="宋体" w:hAnsi="Times New Roman" w:cs="Times New Roman"/>
          <w:b/>
          <w:kern w:val="0"/>
          <w:szCs w:val="21"/>
        </w:rPr>
        <w:t>与项目相关的江苏省国家级生态保护区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1374"/>
        <w:gridCol w:w="845"/>
        <w:gridCol w:w="3337"/>
        <w:gridCol w:w="1845"/>
        <w:gridCol w:w="709"/>
        <w:gridCol w:w="954"/>
      </w:tblGrid>
      <w:tr w:rsidR="002133E3" w14:paraId="3AC91EAA" w14:textId="77777777">
        <w:trPr>
          <w:jc w:val="center"/>
        </w:trPr>
        <w:tc>
          <w:tcPr>
            <w:tcW w:w="401" w:type="pct"/>
            <w:vAlign w:val="center"/>
          </w:tcPr>
          <w:p w14:paraId="23F0068E"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kern w:val="0"/>
                <w:szCs w:val="21"/>
              </w:rPr>
              <w:t>红线级别</w:t>
            </w:r>
          </w:p>
        </w:tc>
        <w:tc>
          <w:tcPr>
            <w:tcW w:w="697" w:type="pct"/>
            <w:vAlign w:val="center"/>
          </w:tcPr>
          <w:p w14:paraId="4A3849E1"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kern w:val="0"/>
                <w:szCs w:val="21"/>
              </w:rPr>
              <w:t>生态保护红线名称</w:t>
            </w:r>
          </w:p>
        </w:tc>
        <w:tc>
          <w:tcPr>
            <w:tcW w:w="429" w:type="pct"/>
            <w:vAlign w:val="center"/>
          </w:tcPr>
          <w:p w14:paraId="6C7723D6"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kern w:val="0"/>
                <w:szCs w:val="21"/>
              </w:rPr>
              <w:t>类型</w:t>
            </w:r>
          </w:p>
        </w:tc>
        <w:tc>
          <w:tcPr>
            <w:tcW w:w="1693" w:type="pct"/>
            <w:vAlign w:val="center"/>
          </w:tcPr>
          <w:p w14:paraId="31A6C68C"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kern w:val="0"/>
                <w:szCs w:val="21"/>
              </w:rPr>
              <w:t>地理位置</w:t>
            </w:r>
          </w:p>
        </w:tc>
        <w:tc>
          <w:tcPr>
            <w:tcW w:w="936" w:type="pct"/>
            <w:vAlign w:val="center"/>
          </w:tcPr>
          <w:p w14:paraId="661BC1CC"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kern w:val="0"/>
                <w:szCs w:val="21"/>
              </w:rPr>
              <w:t>区域面积（</w:t>
            </w:r>
            <w:r>
              <w:rPr>
                <w:rFonts w:ascii="Times New Roman" w:eastAsia="宋体" w:hAnsi="Times New Roman" w:cs="Times New Roman"/>
                <w:b/>
                <w:bCs/>
                <w:kern w:val="0"/>
                <w:szCs w:val="21"/>
              </w:rPr>
              <w:t>km</w:t>
            </w:r>
            <w:r>
              <w:rPr>
                <w:rFonts w:ascii="Times New Roman" w:eastAsia="宋体" w:hAnsi="Times New Roman" w:cs="Times New Roman"/>
                <w:b/>
                <w:bCs/>
                <w:kern w:val="0"/>
                <w:szCs w:val="21"/>
                <w:vertAlign w:val="superscript"/>
              </w:rPr>
              <w:t>2</w:t>
            </w:r>
            <w:r>
              <w:rPr>
                <w:rFonts w:ascii="Times New Roman" w:eastAsia="宋体" w:hAnsi="Times New Roman" w:cs="Times New Roman"/>
                <w:b/>
                <w:bCs/>
                <w:kern w:val="0"/>
                <w:szCs w:val="21"/>
              </w:rPr>
              <w:t>）</w:t>
            </w:r>
          </w:p>
        </w:tc>
        <w:tc>
          <w:tcPr>
            <w:tcW w:w="360" w:type="pct"/>
            <w:vAlign w:val="center"/>
          </w:tcPr>
          <w:p w14:paraId="51E6A040"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方位</w:t>
            </w:r>
          </w:p>
        </w:tc>
        <w:tc>
          <w:tcPr>
            <w:tcW w:w="485" w:type="pct"/>
            <w:vAlign w:val="center"/>
          </w:tcPr>
          <w:p w14:paraId="179E9BBB"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szCs w:val="21"/>
              </w:rPr>
              <w:t>距离</w:t>
            </w:r>
            <w:r>
              <w:rPr>
                <w:rFonts w:ascii="Times New Roman" w:eastAsia="宋体" w:hAnsi="Times New Roman" w:cs="Times New Roman"/>
                <w:b/>
                <w:bCs/>
                <w:szCs w:val="21"/>
              </w:rPr>
              <w:t>(km)</w:t>
            </w:r>
          </w:p>
        </w:tc>
      </w:tr>
      <w:tr w:rsidR="002133E3" w14:paraId="6CD9406A" w14:textId="77777777">
        <w:trPr>
          <w:jc w:val="center"/>
        </w:trPr>
        <w:tc>
          <w:tcPr>
            <w:tcW w:w="401" w:type="pct"/>
            <w:vAlign w:val="center"/>
          </w:tcPr>
          <w:p w14:paraId="50AA2F6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省级</w:t>
            </w:r>
          </w:p>
        </w:tc>
        <w:tc>
          <w:tcPr>
            <w:tcW w:w="697" w:type="pct"/>
            <w:vAlign w:val="center"/>
          </w:tcPr>
          <w:p w14:paraId="2BE985D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CN"/>
              </w:rPr>
              <w:t>龙王河洪水调蓄区</w:t>
            </w:r>
          </w:p>
        </w:tc>
        <w:tc>
          <w:tcPr>
            <w:tcW w:w="429" w:type="pct"/>
            <w:vAlign w:val="center"/>
          </w:tcPr>
          <w:p w14:paraId="38C079E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洪水调蓄</w:t>
            </w:r>
          </w:p>
        </w:tc>
        <w:tc>
          <w:tcPr>
            <w:tcW w:w="1693" w:type="pct"/>
            <w:vAlign w:val="center"/>
          </w:tcPr>
          <w:p w14:paraId="4B10480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龙王河（苏鲁边境－入海口）河道及两侧堤脚内范围，长度</w:t>
            </w:r>
            <w:r>
              <w:rPr>
                <w:rFonts w:ascii="Times New Roman" w:eastAsia="宋体" w:hAnsi="Times New Roman" w:cs="Times New Roman"/>
                <w:szCs w:val="21"/>
              </w:rPr>
              <w:t>23</w:t>
            </w:r>
            <w:r>
              <w:rPr>
                <w:rFonts w:ascii="Times New Roman" w:eastAsia="宋体" w:hAnsi="Times New Roman" w:cs="Times New Roman"/>
                <w:szCs w:val="21"/>
              </w:rPr>
              <w:t>公里（</w:t>
            </w:r>
            <w:r>
              <w:rPr>
                <w:rFonts w:ascii="Times New Roman" w:eastAsia="宋体" w:hAnsi="Times New Roman" w:cs="Times New Roman"/>
                <w:bCs/>
                <w:szCs w:val="21"/>
              </w:rPr>
              <w:t>该区域有</w:t>
            </w:r>
            <w:r>
              <w:rPr>
                <w:rFonts w:ascii="Times New Roman" w:eastAsia="宋体" w:hAnsi="Times New Roman" w:cs="Times New Roman"/>
                <w:bCs/>
                <w:szCs w:val="21"/>
              </w:rPr>
              <w:t>0.4</w:t>
            </w:r>
            <w:r>
              <w:rPr>
                <w:rFonts w:ascii="Times New Roman" w:eastAsia="宋体" w:hAnsi="Times New Roman" w:cs="Times New Roman"/>
                <w:bCs/>
                <w:szCs w:val="21"/>
              </w:rPr>
              <w:t>平方公里与通榆河清水通道维护区重合，有</w:t>
            </w:r>
            <w:r>
              <w:rPr>
                <w:rFonts w:ascii="Times New Roman" w:eastAsia="宋体" w:hAnsi="Times New Roman" w:cs="Times New Roman"/>
                <w:bCs/>
                <w:szCs w:val="21"/>
              </w:rPr>
              <w:t>0.8</w:t>
            </w:r>
            <w:r>
              <w:rPr>
                <w:rFonts w:ascii="Times New Roman" w:eastAsia="宋体" w:hAnsi="Times New Roman" w:cs="Times New Roman"/>
                <w:bCs/>
                <w:szCs w:val="21"/>
              </w:rPr>
              <w:t>平方公里与神龙泉水源涵养区重合</w:t>
            </w:r>
            <w:r>
              <w:rPr>
                <w:rFonts w:ascii="Times New Roman" w:eastAsia="宋体" w:hAnsi="Times New Roman" w:cs="Times New Roman"/>
                <w:szCs w:val="21"/>
              </w:rPr>
              <w:t>）</w:t>
            </w:r>
          </w:p>
        </w:tc>
        <w:tc>
          <w:tcPr>
            <w:tcW w:w="936" w:type="pct"/>
            <w:vAlign w:val="center"/>
          </w:tcPr>
          <w:p w14:paraId="4AA7796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7.19</w:t>
            </w:r>
          </w:p>
        </w:tc>
        <w:tc>
          <w:tcPr>
            <w:tcW w:w="360" w:type="pct"/>
            <w:vAlign w:val="center"/>
          </w:tcPr>
          <w:p w14:paraId="15EA186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N</w:t>
            </w:r>
          </w:p>
        </w:tc>
        <w:tc>
          <w:tcPr>
            <w:tcW w:w="485" w:type="pct"/>
            <w:vAlign w:val="center"/>
          </w:tcPr>
          <w:p w14:paraId="50B5E32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1310</w:t>
            </w:r>
          </w:p>
        </w:tc>
      </w:tr>
      <w:tr w:rsidR="002133E3" w14:paraId="208C52F1" w14:textId="77777777">
        <w:trPr>
          <w:jc w:val="center"/>
        </w:trPr>
        <w:tc>
          <w:tcPr>
            <w:tcW w:w="401" w:type="pct"/>
            <w:vAlign w:val="center"/>
          </w:tcPr>
          <w:p w14:paraId="6589012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省级</w:t>
            </w:r>
          </w:p>
        </w:tc>
        <w:tc>
          <w:tcPr>
            <w:tcW w:w="697" w:type="pct"/>
            <w:vAlign w:val="center"/>
          </w:tcPr>
          <w:p w14:paraId="53FDABC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通榆河（赣榆区）清水通道维护区</w:t>
            </w:r>
          </w:p>
        </w:tc>
        <w:tc>
          <w:tcPr>
            <w:tcW w:w="429" w:type="pct"/>
            <w:vAlign w:val="center"/>
          </w:tcPr>
          <w:p w14:paraId="45B4BCA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水源水质保护</w:t>
            </w:r>
          </w:p>
        </w:tc>
        <w:tc>
          <w:tcPr>
            <w:tcW w:w="1693" w:type="pct"/>
            <w:vAlign w:val="center"/>
          </w:tcPr>
          <w:p w14:paraId="41B5283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包括通榆河一级保护区和三级保护区。一级保护区：通榆河（赣榆段）南起沭北闸，北至柘汪临港开发区，全长</w:t>
            </w:r>
            <w:r>
              <w:rPr>
                <w:rFonts w:ascii="Times New Roman" w:eastAsia="宋体" w:hAnsi="Times New Roman" w:cs="Times New Roman"/>
                <w:kern w:val="0"/>
                <w:szCs w:val="21"/>
              </w:rPr>
              <w:t>59</w:t>
            </w:r>
            <w:r>
              <w:rPr>
                <w:rFonts w:ascii="Times New Roman" w:eastAsia="宋体" w:hAnsi="Times New Roman" w:cs="Times New Roman"/>
                <w:kern w:val="0"/>
                <w:szCs w:val="21"/>
              </w:rPr>
              <w:t>公里及其两侧各</w:t>
            </w:r>
            <w:r>
              <w:rPr>
                <w:rFonts w:ascii="Times New Roman" w:eastAsia="宋体" w:hAnsi="Times New Roman" w:cs="Times New Roman"/>
                <w:kern w:val="0"/>
                <w:szCs w:val="21"/>
              </w:rPr>
              <w:t>1000</w:t>
            </w:r>
            <w:r>
              <w:rPr>
                <w:rFonts w:ascii="Times New Roman" w:eastAsia="宋体" w:hAnsi="Times New Roman" w:cs="Times New Roman"/>
                <w:kern w:val="0"/>
                <w:szCs w:val="21"/>
              </w:rPr>
              <w:t>米。三级保护区</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新沭河北侧河道及其北侧</w:t>
            </w:r>
            <w:r>
              <w:rPr>
                <w:rFonts w:ascii="Times New Roman" w:eastAsia="宋体" w:hAnsi="Times New Roman" w:cs="Times New Roman"/>
                <w:kern w:val="0"/>
                <w:szCs w:val="21"/>
              </w:rPr>
              <w:t>1000</w:t>
            </w:r>
            <w:r>
              <w:rPr>
                <w:rFonts w:ascii="Times New Roman" w:eastAsia="宋体" w:hAnsi="Times New Roman" w:cs="Times New Roman"/>
                <w:kern w:val="0"/>
                <w:szCs w:val="21"/>
              </w:rPr>
              <w:t>米，与通榆河平交</w:t>
            </w:r>
            <w:r>
              <w:rPr>
                <w:rFonts w:ascii="Times New Roman" w:eastAsia="宋体" w:hAnsi="Times New Roman" w:cs="Times New Roman"/>
                <w:kern w:val="0"/>
                <w:szCs w:val="21"/>
              </w:rPr>
              <w:t>6</w:t>
            </w:r>
            <w:r>
              <w:rPr>
                <w:rFonts w:ascii="Times New Roman" w:eastAsia="宋体" w:hAnsi="Times New Roman" w:cs="Times New Roman"/>
                <w:kern w:val="0"/>
                <w:szCs w:val="21"/>
              </w:rPr>
              <w:t>个河道（范河、朱稽河、青口河、兴庄河、官庄河、韩口河）上游</w:t>
            </w:r>
            <w:r>
              <w:rPr>
                <w:rFonts w:ascii="Times New Roman" w:eastAsia="宋体" w:hAnsi="Times New Roman" w:cs="Times New Roman"/>
                <w:kern w:val="0"/>
                <w:szCs w:val="21"/>
              </w:rPr>
              <w:t>5000</w:t>
            </w:r>
            <w:r>
              <w:rPr>
                <w:rFonts w:ascii="Times New Roman" w:eastAsia="宋体" w:hAnsi="Times New Roman" w:cs="Times New Roman"/>
                <w:kern w:val="0"/>
                <w:szCs w:val="21"/>
              </w:rPr>
              <w:t>米及其两侧各</w:t>
            </w:r>
            <w:r>
              <w:rPr>
                <w:rFonts w:ascii="Times New Roman" w:eastAsia="宋体" w:hAnsi="Times New Roman" w:cs="Times New Roman"/>
                <w:kern w:val="0"/>
                <w:szCs w:val="21"/>
              </w:rPr>
              <w:t>1000</w:t>
            </w:r>
            <w:r>
              <w:rPr>
                <w:rFonts w:ascii="Times New Roman" w:eastAsia="宋体" w:hAnsi="Times New Roman" w:cs="Times New Roman"/>
                <w:kern w:val="0"/>
                <w:szCs w:val="21"/>
              </w:rPr>
              <w:t>米</w:t>
            </w:r>
          </w:p>
        </w:tc>
        <w:tc>
          <w:tcPr>
            <w:tcW w:w="936" w:type="pct"/>
            <w:vAlign w:val="center"/>
          </w:tcPr>
          <w:p w14:paraId="5DD44A2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144.88</w:t>
            </w:r>
          </w:p>
        </w:tc>
        <w:tc>
          <w:tcPr>
            <w:tcW w:w="360" w:type="pct"/>
            <w:vAlign w:val="center"/>
          </w:tcPr>
          <w:p w14:paraId="342E80C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W</w:t>
            </w:r>
            <w:r>
              <w:rPr>
                <w:rFonts w:ascii="Times New Roman" w:eastAsia="宋体" w:hAnsi="Times New Roman" w:cs="Times New Roman"/>
                <w:szCs w:val="21"/>
              </w:rPr>
              <w:t>，</w:t>
            </w:r>
            <w:r>
              <w:rPr>
                <w:rFonts w:ascii="Times New Roman" w:eastAsia="宋体" w:hAnsi="Times New Roman" w:cs="Times New Roman"/>
                <w:szCs w:val="21"/>
              </w:rPr>
              <w:t>S</w:t>
            </w:r>
          </w:p>
        </w:tc>
        <w:tc>
          <w:tcPr>
            <w:tcW w:w="485" w:type="pct"/>
            <w:vAlign w:val="center"/>
          </w:tcPr>
          <w:p w14:paraId="770F49B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1030</w:t>
            </w:r>
          </w:p>
        </w:tc>
      </w:tr>
      <w:tr w:rsidR="002133E3" w14:paraId="02E53DFE" w14:textId="77777777">
        <w:trPr>
          <w:jc w:val="center"/>
        </w:trPr>
        <w:tc>
          <w:tcPr>
            <w:tcW w:w="401" w:type="pct"/>
            <w:vAlign w:val="center"/>
          </w:tcPr>
          <w:p w14:paraId="4256B07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省级</w:t>
            </w:r>
          </w:p>
        </w:tc>
        <w:tc>
          <w:tcPr>
            <w:tcW w:w="697" w:type="pct"/>
            <w:vAlign w:val="center"/>
          </w:tcPr>
          <w:p w14:paraId="12BC483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CN"/>
              </w:rPr>
              <w:t>海州湾国家级海洋公园</w:t>
            </w:r>
          </w:p>
        </w:tc>
        <w:tc>
          <w:tcPr>
            <w:tcW w:w="429" w:type="pct"/>
            <w:vAlign w:val="center"/>
          </w:tcPr>
          <w:p w14:paraId="5C2BBD1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自然与人文景观保护</w:t>
            </w:r>
          </w:p>
        </w:tc>
        <w:tc>
          <w:tcPr>
            <w:tcW w:w="1693" w:type="pct"/>
            <w:vAlign w:val="center"/>
          </w:tcPr>
          <w:p w14:paraId="150254B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一级管控区：</w:t>
            </w:r>
            <w:r>
              <w:rPr>
                <w:rFonts w:ascii="Times New Roman" w:eastAsia="宋体" w:hAnsi="Times New Roman" w:cs="Times New Roman"/>
                <w:szCs w:val="21"/>
              </w:rPr>
              <w:t>以秦山岛为中心，南北长</w:t>
            </w:r>
            <w:r>
              <w:rPr>
                <w:rFonts w:ascii="Times New Roman" w:eastAsia="宋体" w:hAnsi="Times New Roman" w:cs="Times New Roman"/>
                <w:szCs w:val="21"/>
              </w:rPr>
              <w:t>4000</w:t>
            </w:r>
            <w:r>
              <w:rPr>
                <w:rFonts w:ascii="Times New Roman" w:eastAsia="宋体" w:hAnsi="Times New Roman" w:cs="Times New Roman"/>
                <w:szCs w:val="21"/>
              </w:rPr>
              <w:t>米，东西长</w:t>
            </w:r>
            <w:r>
              <w:rPr>
                <w:rFonts w:ascii="Times New Roman" w:eastAsia="宋体" w:hAnsi="Times New Roman" w:cs="Times New Roman"/>
                <w:szCs w:val="21"/>
              </w:rPr>
              <w:t>5</w:t>
            </w:r>
            <w:r>
              <w:rPr>
                <w:rFonts w:ascii="Times New Roman" w:eastAsia="宋体" w:hAnsi="Times New Roman" w:cs="Times New Roman"/>
                <w:szCs w:val="21"/>
              </w:rPr>
              <w:t>公里的矩形区域。</w:t>
            </w:r>
            <w:r>
              <w:rPr>
                <w:rFonts w:ascii="Times New Roman" w:eastAsia="宋体" w:hAnsi="Times New Roman" w:cs="Times New Roman"/>
                <w:kern w:val="0"/>
                <w:szCs w:val="21"/>
              </w:rPr>
              <w:t>二级管控区：</w:t>
            </w:r>
            <w:r>
              <w:rPr>
                <w:rFonts w:ascii="Times New Roman" w:eastAsia="宋体" w:hAnsi="Times New Roman" w:cs="Times New Roman"/>
                <w:szCs w:val="21"/>
              </w:rPr>
              <w:t>以秦山岛为中心划定，南侧和西侧以现有海岸线为界，东侧和北侧界线依据连云港人工鱼礁工程区的东界和北界划定（</w:t>
            </w:r>
            <w:r>
              <w:rPr>
                <w:rFonts w:ascii="Times New Roman" w:eastAsia="宋体" w:hAnsi="Times New Roman" w:cs="Times New Roman"/>
                <w:bCs/>
                <w:szCs w:val="21"/>
              </w:rPr>
              <w:t>该区域有</w:t>
            </w:r>
            <w:r>
              <w:rPr>
                <w:rFonts w:ascii="Times New Roman" w:eastAsia="宋体" w:hAnsi="Times New Roman" w:cs="Times New Roman"/>
                <w:bCs/>
                <w:szCs w:val="21"/>
              </w:rPr>
              <w:t>10</w:t>
            </w:r>
            <w:r>
              <w:rPr>
                <w:rFonts w:ascii="Times New Roman" w:eastAsia="宋体" w:hAnsi="Times New Roman" w:cs="Times New Roman"/>
                <w:bCs/>
                <w:szCs w:val="21"/>
              </w:rPr>
              <w:t>平方公里海域与云台山风景名胜区重合</w:t>
            </w:r>
            <w:r>
              <w:rPr>
                <w:rFonts w:ascii="Times New Roman" w:eastAsia="宋体" w:hAnsi="Times New Roman" w:cs="Times New Roman"/>
                <w:szCs w:val="21"/>
              </w:rPr>
              <w:t>）</w:t>
            </w:r>
          </w:p>
        </w:tc>
        <w:tc>
          <w:tcPr>
            <w:tcW w:w="936" w:type="pct"/>
            <w:vAlign w:val="center"/>
          </w:tcPr>
          <w:p w14:paraId="15794BF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总面积</w:t>
            </w:r>
            <w:r>
              <w:rPr>
                <w:rFonts w:ascii="Times New Roman" w:eastAsia="宋体" w:hAnsi="Times New Roman" w:cs="Times New Roman"/>
                <w:szCs w:val="21"/>
              </w:rPr>
              <w:t>518.47</w:t>
            </w:r>
            <w:r>
              <w:rPr>
                <w:rFonts w:ascii="Times New Roman" w:eastAsia="宋体" w:hAnsi="Times New Roman" w:cs="Times New Roman"/>
                <w:szCs w:val="21"/>
              </w:rPr>
              <w:t>（包括</w:t>
            </w:r>
            <w:r>
              <w:rPr>
                <w:rFonts w:ascii="Times New Roman" w:eastAsia="宋体" w:hAnsi="Times New Roman" w:cs="Times New Roman"/>
                <w:szCs w:val="21"/>
              </w:rPr>
              <w:t>507.2</w:t>
            </w:r>
            <w:r>
              <w:rPr>
                <w:rFonts w:ascii="Times New Roman" w:eastAsia="宋体" w:hAnsi="Times New Roman" w:cs="Times New Roman"/>
                <w:szCs w:val="21"/>
              </w:rPr>
              <w:t>海域面积）。</w:t>
            </w:r>
            <w:r>
              <w:rPr>
                <w:rFonts w:ascii="Times New Roman" w:eastAsia="宋体" w:hAnsi="Times New Roman" w:cs="Times New Roman"/>
                <w:kern w:val="0"/>
                <w:szCs w:val="21"/>
              </w:rPr>
              <w:t>一级管控区</w:t>
            </w:r>
            <w:r>
              <w:rPr>
                <w:rFonts w:ascii="Times New Roman" w:eastAsia="宋体" w:hAnsi="Times New Roman" w:cs="Times New Roman"/>
                <w:szCs w:val="21"/>
              </w:rPr>
              <w:t>20</w:t>
            </w:r>
            <w:r>
              <w:rPr>
                <w:rFonts w:ascii="Times New Roman" w:eastAsia="宋体" w:hAnsi="Times New Roman" w:cs="Times New Roman"/>
                <w:szCs w:val="21"/>
              </w:rPr>
              <w:t>（包括</w:t>
            </w:r>
            <w:r>
              <w:rPr>
                <w:rFonts w:ascii="Times New Roman" w:eastAsia="宋体" w:hAnsi="Times New Roman" w:cs="Times New Roman"/>
                <w:szCs w:val="21"/>
              </w:rPr>
              <w:t>16.27</w:t>
            </w:r>
            <w:r>
              <w:rPr>
                <w:rFonts w:ascii="Times New Roman" w:eastAsia="宋体" w:hAnsi="Times New Roman" w:cs="Times New Roman"/>
                <w:szCs w:val="21"/>
              </w:rPr>
              <w:t>海域面积）。</w:t>
            </w:r>
            <w:r>
              <w:rPr>
                <w:rFonts w:ascii="Times New Roman" w:eastAsia="宋体" w:hAnsi="Times New Roman" w:cs="Times New Roman"/>
                <w:kern w:val="0"/>
                <w:szCs w:val="21"/>
              </w:rPr>
              <w:t>二级管控区</w:t>
            </w:r>
            <w:r>
              <w:rPr>
                <w:rFonts w:ascii="Times New Roman" w:eastAsia="宋体" w:hAnsi="Times New Roman" w:cs="Times New Roman"/>
                <w:szCs w:val="21"/>
              </w:rPr>
              <w:t>498.47</w:t>
            </w:r>
            <w:r>
              <w:rPr>
                <w:rFonts w:ascii="Times New Roman" w:eastAsia="宋体" w:hAnsi="Times New Roman" w:cs="Times New Roman"/>
                <w:szCs w:val="21"/>
              </w:rPr>
              <w:t>（包括</w:t>
            </w:r>
            <w:r>
              <w:rPr>
                <w:rFonts w:ascii="Times New Roman" w:eastAsia="宋体" w:hAnsi="Times New Roman" w:cs="Times New Roman"/>
                <w:szCs w:val="21"/>
              </w:rPr>
              <w:t>490.93</w:t>
            </w:r>
            <w:r>
              <w:rPr>
                <w:rFonts w:ascii="Times New Roman" w:eastAsia="宋体" w:hAnsi="Times New Roman" w:cs="Times New Roman"/>
                <w:szCs w:val="21"/>
              </w:rPr>
              <w:t>海域面积）</w:t>
            </w:r>
          </w:p>
        </w:tc>
        <w:tc>
          <w:tcPr>
            <w:tcW w:w="360" w:type="pct"/>
            <w:vAlign w:val="center"/>
          </w:tcPr>
          <w:p w14:paraId="69635DB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E</w:t>
            </w:r>
          </w:p>
        </w:tc>
        <w:tc>
          <w:tcPr>
            <w:tcW w:w="485" w:type="pct"/>
            <w:vAlign w:val="center"/>
          </w:tcPr>
          <w:p w14:paraId="240F881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1250</w:t>
            </w:r>
          </w:p>
        </w:tc>
      </w:tr>
    </w:tbl>
    <w:p w14:paraId="2F87E602"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与《江苏生态空间管控区域规划》的符合性</w:t>
      </w:r>
    </w:p>
    <w:p w14:paraId="0B8F9F11"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根据《江苏省生态空间管控区域规划》（苏政发</w:t>
      </w:r>
      <w:r>
        <w:rPr>
          <w:rFonts w:ascii="Times New Roman" w:eastAsia="宋体" w:hAnsi="Times New Roman" w:cs="Times New Roman"/>
          <w:color w:val="0D0D0D"/>
          <w:sz w:val="28"/>
          <w:szCs w:val="28"/>
        </w:rPr>
        <w:t>[2020]1</w:t>
      </w:r>
      <w:r>
        <w:rPr>
          <w:rFonts w:ascii="Times New Roman" w:eastAsia="宋体" w:hAnsi="Times New Roman" w:cs="Times New Roman"/>
          <w:color w:val="0D0D0D"/>
          <w:sz w:val="28"/>
          <w:szCs w:val="28"/>
        </w:rPr>
        <w:t>号），项目周边生态空间管控区域范围表</w:t>
      </w:r>
      <w:r>
        <w:rPr>
          <w:rFonts w:ascii="Times New Roman" w:eastAsia="宋体" w:hAnsi="Times New Roman" w:cs="Times New Roman"/>
          <w:color w:val="0D0D0D"/>
          <w:sz w:val="28"/>
          <w:szCs w:val="28"/>
        </w:rPr>
        <w:t>1.3-2</w:t>
      </w:r>
      <w:r>
        <w:rPr>
          <w:rFonts w:ascii="Times New Roman" w:eastAsia="宋体" w:hAnsi="Times New Roman" w:cs="Times New Roman"/>
          <w:color w:val="0D0D0D"/>
          <w:sz w:val="28"/>
          <w:szCs w:val="28"/>
        </w:rPr>
        <w:t>。</w:t>
      </w:r>
    </w:p>
    <w:p w14:paraId="1FD60C78" w14:textId="77777777" w:rsidR="002133E3" w:rsidRDefault="00C22CFA">
      <w:pPr>
        <w:spacing w:line="440" w:lineRule="exact"/>
        <w:jc w:val="center"/>
        <w:rPr>
          <w:rFonts w:ascii="Times New Roman" w:eastAsia="宋体" w:hAnsi="Times New Roman" w:cs="Times New Roman"/>
          <w:b/>
          <w:bCs/>
          <w:color w:val="0D0D0D"/>
          <w:sz w:val="24"/>
          <w:szCs w:val="21"/>
        </w:rPr>
      </w:pPr>
      <w:r>
        <w:rPr>
          <w:rFonts w:ascii="Times New Roman" w:eastAsia="宋体" w:hAnsi="Times New Roman" w:cs="Times New Roman"/>
          <w:b/>
          <w:bCs/>
          <w:color w:val="0D0D0D"/>
          <w:sz w:val="24"/>
          <w:szCs w:val="21"/>
        </w:rPr>
        <w:t>表</w:t>
      </w:r>
      <w:r>
        <w:rPr>
          <w:rFonts w:ascii="Times New Roman" w:eastAsia="宋体" w:hAnsi="Times New Roman" w:cs="Times New Roman"/>
          <w:b/>
          <w:bCs/>
          <w:color w:val="0D0D0D"/>
          <w:sz w:val="24"/>
          <w:szCs w:val="21"/>
        </w:rPr>
        <w:t xml:space="preserve">1.3-2  </w:t>
      </w:r>
      <w:r>
        <w:rPr>
          <w:rFonts w:ascii="Times New Roman" w:eastAsia="宋体" w:hAnsi="Times New Roman" w:cs="Times New Roman"/>
          <w:b/>
          <w:bCs/>
          <w:color w:val="0D0D0D"/>
          <w:sz w:val="24"/>
          <w:szCs w:val="21"/>
        </w:rPr>
        <w:t>项目周边生态空间管控区域</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808"/>
        <w:gridCol w:w="1076"/>
        <w:gridCol w:w="2454"/>
        <w:gridCol w:w="1096"/>
        <w:gridCol w:w="1104"/>
        <w:gridCol w:w="897"/>
        <w:gridCol w:w="727"/>
        <w:gridCol w:w="775"/>
      </w:tblGrid>
      <w:tr w:rsidR="002133E3" w14:paraId="64F0740B" w14:textId="77777777">
        <w:trPr>
          <w:jc w:val="center"/>
        </w:trPr>
        <w:tc>
          <w:tcPr>
            <w:tcW w:w="465" w:type="pct"/>
            <w:vMerge w:val="restart"/>
            <w:vAlign w:val="center"/>
          </w:tcPr>
          <w:p w14:paraId="71A92165"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00000"/>
                <w:szCs w:val="21"/>
              </w:rPr>
              <w:t>生态空间保护区域名称</w:t>
            </w:r>
          </w:p>
        </w:tc>
        <w:tc>
          <w:tcPr>
            <w:tcW w:w="410" w:type="pct"/>
            <w:vMerge w:val="restart"/>
            <w:vAlign w:val="center"/>
          </w:tcPr>
          <w:p w14:paraId="00731CAD"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D0D0D"/>
                <w:szCs w:val="21"/>
              </w:rPr>
              <w:t>主导生态功能</w:t>
            </w:r>
          </w:p>
        </w:tc>
        <w:tc>
          <w:tcPr>
            <w:tcW w:w="1791" w:type="pct"/>
            <w:gridSpan w:val="2"/>
            <w:vAlign w:val="center"/>
          </w:tcPr>
          <w:p w14:paraId="5B1FCB6C"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D0D0D"/>
                <w:szCs w:val="21"/>
              </w:rPr>
              <w:t>范围</w:t>
            </w:r>
          </w:p>
        </w:tc>
        <w:tc>
          <w:tcPr>
            <w:tcW w:w="1571" w:type="pct"/>
            <w:gridSpan w:val="3"/>
            <w:vAlign w:val="center"/>
          </w:tcPr>
          <w:p w14:paraId="6DCBDF60"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00000"/>
                <w:szCs w:val="21"/>
              </w:rPr>
              <w:t>面积</w:t>
            </w:r>
            <w:r>
              <w:rPr>
                <w:rFonts w:ascii="Times New Roman" w:eastAsia="宋体" w:hAnsi="Times New Roman" w:cs="Times New Roman"/>
                <w:b/>
                <w:bCs/>
                <w:color w:val="000000"/>
                <w:szCs w:val="21"/>
              </w:rPr>
              <w:t>(</w:t>
            </w:r>
            <w:r>
              <w:rPr>
                <w:rFonts w:ascii="Times New Roman" w:eastAsia="宋体" w:hAnsi="Times New Roman" w:cs="Times New Roman"/>
                <w:b/>
                <w:bCs/>
                <w:color w:val="000000"/>
                <w:szCs w:val="21"/>
              </w:rPr>
              <w:t>平方公里</w:t>
            </w:r>
            <w:r>
              <w:rPr>
                <w:rFonts w:ascii="Times New Roman" w:eastAsia="宋体" w:hAnsi="Times New Roman" w:cs="Times New Roman"/>
                <w:b/>
                <w:bCs/>
                <w:color w:val="000000"/>
                <w:szCs w:val="21"/>
              </w:rPr>
              <w:t>)</w:t>
            </w:r>
          </w:p>
        </w:tc>
        <w:tc>
          <w:tcPr>
            <w:tcW w:w="369" w:type="pct"/>
            <w:vMerge w:val="restart"/>
            <w:vAlign w:val="center"/>
          </w:tcPr>
          <w:p w14:paraId="414555D1"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szCs w:val="21"/>
              </w:rPr>
              <w:t>方位</w:t>
            </w:r>
          </w:p>
        </w:tc>
        <w:tc>
          <w:tcPr>
            <w:tcW w:w="393" w:type="pct"/>
            <w:vMerge w:val="restart"/>
            <w:vAlign w:val="center"/>
          </w:tcPr>
          <w:p w14:paraId="1BFA1B27"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szCs w:val="21"/>
              </w:rPr>
              <w:t>距离</w:t>
            </w:r>
            <w:r>
              <w:rPr>
                <w:rFonts w:ascii="Times New Roman" w:eastAsia="宋体" w:hAnsi="Times New Roman" w:cs="Times New Roman"/>
                <w:b/>
                <w:bCs/>
                <w:szCs w:val="21"/>
              </w:rPr>
              <w:t>(km)</w:t>
            </w:r>
          </w:p>
        </w:tc>
      </w:tr>
      <w:tr w:rsidR="002133E3" w14:paraId="125194B3" w14:textId="77777777">
        <w:trPr>
          <w:jc w:val="center"/>
        </w:trPr>
        <w:tc>
          <w:tcPr>
            <w:tcW w:w="465" w:type="pct"/>
            <w:vMerge/>
            <w:vAlign w:val="center"/>
          </w:tcPr>
          <w:p w14:paraId="77A0B1C5" w14:textId="77777777" w:rsidR="002133E3" w:rsidRDefault="002133E3">
            <w:pPr>
              <w:jc w:val="center"/>
              <w:rPr>
                <w:rFonts w:ascii="Times New Roman" w:eastAsia="宋体" w:hAnsi="Times New Roman" w:cs="Times New Roman"/>
                <w:b/>
                <w:bCs/>
                <w:color w:val="0D0D0D"/>
                <w:szCs w:val="21"/>
              </w:rPr>
            </w:pPr>
          </w:p>
        </w:tc>
        <w:tc>
          <w:tcPr>
            <w:tcW w:w="410" w:type="pct"/>
            <w:vMerge/>
            <w:vAlign w:val="center"/>
          </w:tcPr>
          <w:p w14:paraId="6AD0C25B" w14:textId="77777777" w:rsidR="002133E3" w:rsidRDefault="002133E3">
            <w:pPr>
              <w:jc w:val="center"/>
              <w:rPr>
                <w:rFonts w:ascii="Times New Roman" w:eastAsia="宋体" w:hAnsi="Times New Roman" w:cs="Times New Roman"/>
                <w:b/>
                <w:bCs/>
                <w:color w:val="0D0D0D"/>
                <w:szCs w:val="21"/>
              </w:rPr>
            </w:pPr>
          </w:p>
        </w:tc>
        <w:tc>
          <w:tcPr>
            <w:tcW w:w="546" w:type="pct"/>
            <w:vAlign w:val="center"/>
          </w:tcPr>
          <w:p w14:paraId="65BD1D8F"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D0D0D"/>
                <w:szCs w:val="21"/>
              </w:rPr>
              <w:t>国家级生态保护红线范围</w:t>
            </w:r>
          </w:p>
        </w:tc>
        <w:tc>
          <w:tcPr>
            <w:tcW w:w="1245" w:type="pct"/>
            <w:vAlign w:val="center"/>
          </w:tcPr>
          <w:p w14:paraId="2323E492"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D0D0D"/>
                <w:szCs w:val="21"/>
              </w:rPr>
              <w:t>生态空间管控区域范围</w:t>
            </w:r>
          </w:p>
        </w:tc>
        <w:tc>
          <w:tcPr>
            <w:tcW w:w="556" w:type="pct"/>
            <w:vAlign w:val="center"/>
          </w:tcPr>
          <w:p w14:paraId="330484EA"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00000"/>
                <w:szCs w:val="21"/>
              </w:rPr>
              <w:t>国家级生态保护红线面积</w:t>
            </w:r>
          </w:p>
        </w:tc>
        <w:tc>
          <w:tcPr>
            <w:tcW w:w="560" w:type="pct"/>
            <w:vAlign w:val="center"/>
          </w:tcPr>
          <w:p w14:paraId="4F6BD09C"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00000"/>
                <w:szCs w:val="21"/>
              </w:rPr>
              <w:t>生态空间管控区域面积</w:t>
            </w:r>
          </w:p>
        </w:tc>
        <w:tc>
          <w:tcPr>
            <w:tcW w:w="455" w:type="pct"/>
            <w:vAlign w:val="center"/>
          </w:tcPr>
          <w:p w14:paraId="762ED513" w14:textId="77777777" w:rsidR="002133E3" w:rsidRDefault="00C22CFA">
            <w:pPr>
              <w:jc w:val="center"/>
              <w:rPr>
                <w:rFonts w:ascii="Times New Roman" w:eastAsia="宋体" w:hAnsi="Times New Roman" w:cs="Times New Roman"/>
                <w:b/>
                <w:bCs/>
                <w:color w:val="0D0D0D"/>
                <w:szCs w:val="21"/>
              </w:rPr>
            </w:pPr>
            <w:r>
              <w:rPr>
                <w:rFonts w:ascii="Times New Roman" w:eastAsia="宋体" w:hAnsi="Times New Roman" w:cs="Times New Roman"/>
                <w:b/>
                <w:bCs/>
                <w:color w:val="000000"/>
                <w:szCs w:val="21"/>
              </w:rPr>
              <w:t>总面积</w:t>
            </w:r>
          </w:p>
        </w:tc>
        <w:tc>
          <w:tcPr>
            <w:tcW w:w="369" w:type="pct"/>
            <w:vMerge/>
            <w:vAlign w:val="center"/>
          </w:tcPr>
          <w:p w14:paraId="7DB12306" w14:textId="77777777" w:rsidR="002133E3" w:rsidRDefault="002133E3">
            <w:pPr>
              <w:jc w:val="center"/>
              <w:rPr>
                <w:rFonts w:ascii="Times New Roman" w:eastAsia="宋体" w:hAnsi="Times New Roman" w:cs="Times New Roman"/>
                <w:b/>
                <w:bCs/>
                <w:color w:val="0D0D0D"/>
                <w:szCs w:val="21"/>
              </w:rPr>
            </w:pPr>
          </w:p>
        </w:tc>
        <w:tc>
          <w:tcPr>
            <w:tcW w:w="393" w:type="pct"/>
            <w:vMerge/>
            <w:vAlign w:val="center"/>
          </w:tcPr>
          <w:p w14:paraId="0F999764" w14:textId="77777777" w:rsidR="002133E3" w:rsidRDefault="002133E3">
            <w:pPr>
              <w:jc w:val="center"/>
              <w:rPr>
                <w:rFonts w:ascii="Times New Roman" w:eastAsia="宋体" w:hAnsi="Times New Roman" w:cs="Times New Roman"/>
                <w:b/>
                <w:bCs/>
                <w:color w:val="0D0D0D"/>
                <w:szCs w:val="21"/>
              </w:rPr>
            </w:pPr>
          </w:p>
        </w:tc>
      </w:tr>
      <w:tr w:rsidR="002133E3" w14:paraId="29A0A824" w14:textId="77777777">
        <w:trPr>
          <w:jc w:val="center"/>
        </w:trPr>
        <w:tc>
          <w:tcPr>
            <w:tcW w:w="465" w:type="pct"/>
            <w:vAlign w:val="center"/>
          </w:tcPr>
          <w:p w14:paraId="5EC2416F"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color w:val="000000"/>
                <w:szCs w:val="21"/>
                <w:lang w:bidi="ar"/>
              </w:rPr>
              <w:t>龙王河洪水调</w:t>
            </w:r>
            <w:r>
              <w:rPr>
                <w:rFonts w:ascii="Times New Roman" w:eastAsia="宋体" w:hAnsi="Times New Roman" w:cs="Times New Roman"/>
                <w:color w:val="000000"/>
                <w:szCs w:val="21"/>
                <w:lang w:bidi="ar"/>
              </w:rPr>
              <w:lastRenderedPageBreak/>
              <w:t>蓄区</w:t>
            </w:r>
          </w:p>
        </w:tc>
        <w:tc>
          <w:tcPr>
            <w:tcW w:w="410" w:type="pct"/>
            <w:vAlign w:val="center"/>
          </w:tcPr>
          <w:p w14:paraId="5D55382F"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lastRenderedPageBreak/>
              <w:t>洪水调蓄</w:t>
            </w:r>
          </w:p>
        </w:tc>
        <w:tc>
          <w:tcPr>
            <w:tcW w:w="546" w:type="pct"/>
            <w:vAlign w:val="center"/>
          </w:tcPr>
          <w:p w14:paraId="29593C64"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w:t>
            </w:r>
          </w:p>
        </w:tc>
        <w:tc>
          <w:tcPr>
            <w:tcW w:w="1245" w:type="pct"/>
            <w:vAlign w:val="center"/>
          </w:tcPr>
          <w:p w14:paraId="5F6E8F95"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color w:val="000000"/>
                <w:szCs w:val="21"/>
                <w:lang w:bidi="ar"/>
              </w:rPr>
              <w:t>龙王河（苏鲁边境－入海口）河道及两侧堤脚内范</w:t>
            </w:r>
            <w:r>
              <w:rPr>
                <w:rFonts w:ascii="Times New Roman" w:eastAsia="宋体" w:hAnsi="Times New Roman" w:cs="Times New Roman"/>
                <w:color w:val="000000"/>
                <w:szCs w:val="21"/>
                <w:lang w:bidi="ar"/>
              </w:rPr>
              <w:lastRenderedPageBreak/>
              <w:t>围，长度</w:t>
            </w:r>
            <w:r>
              <w:rPr>
                <w:rFonts w:ascii="Times New Roman" w:eastAsia="宋体" w:hAnsi="Times New Roman" w:cs="Times New Roman"/>
                <w:color w:val="000000"/>
                <w:szCs w:val="21"/>
                <w:lang w:bidi="ar"/>
              </w:rPr>
              <w:t>23</w:t>
            </w:r>
            <w:r>
              <w:rPr>
                <w:rFonts w:ascii="Times New Roman" w:eastAsia="宋体" w:hAnsi="Times New Roman" w:cs="Times New Roman"/>
                <w:color w:val="000000"/>
                <w:szCs w:val="21"/>
                <w:lang w:bidi="ar"/>
              </w:rPr>
              <w:t>公里</w:t>
            </w:r>
          </w:p>
        </w:tc>
        <w:tc>
          <w:tcPr>
            <w:tcW w:w="556" w:type="pct"/>
            <w:vAlign w:val="center"/>
          </w:tcPr>
          <w:p w14:paraId="2F873D5E"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lastRenderedPageBreak/>
              <w:t>-</w:t>
            </w:r>
          </w:p>
        </w:tc>
        <w:tc>
          <w:tcPr>
            <w:tcW w:w="560" w:type="pct"/>
            <w:vAlign w:val="center"/>
          </w:tcPr>
          <w:p w14:paraId="724A0AC0"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color w:val="000000"/>
                <w:szCs w:val="21"/>
                <w:lang w:bidi="ar"/>
              </w:rPr>
              <w:t xml:space="preserve">7.19 </w:t>
            </w:r>
          </w:p>
        </w:tc>
        <w:tc>
          <w:tcPr>
            <w:tcW w:w="455" w:type="pct"/>
            <w:vAlign w:val="center"/>
          </w:tcPr>
          <w:p w14:paraId="1D8B4C28"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color w:val="000000"/>
                <w:szCs w:val="21"/>
                <w:lang w:bidi="ar"/>
              </w:rPr>
              <w:t xml:space="preserve">7.19 </w:t>
            </w:r>
          </w:p>
        </w:tc>
        <w:tc>
          <w:tcPr>
            <w:tcW w:w="369" w:type="pct"/>
            <w:vAlign w:val="center"/>
          </w:tcPr>
          <w:p w14:paraId="03F55D4C"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szCs w:val="21"/>
              </w:rPr>
              <w:t>N</w:t>
            </w:r>
          </w:p>
        </w:tc>
        <w:tc>
          <w:tcPr>
            <w:tcW w:w="393" w:type="pct"/>
            <w:vAlign w:val="center"/>
          </w:tcPr>
          <w:p w14:paraId="7708DA03"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szCs w:val="21"/>
              </w:rPr>
              <w:t>1310</w:t>
            </w:r>
          </w:p>
        </w:tc>
      </w:tr>
      <w:tr w:rsidR="002133E3" w14:paraId="11B6B433" w14:textId="77777777">
        <w:trPr>
          <w:jc w:val="center"/>
        </w:trPr>
        <w:tc>
          <w:tcPr>
            <w:tcW w:w="465" w:type="pct"/>
            <w:vAlign w:val="center"/>
          </w:tcPr>
          <w:p w14:paraId="135F3B15"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kern w:val="0"/>
                <w:szCs w:val="21"/>
              </w:rPr>
              <w:t>通榆河（赣榆区）清水通道维护区</w:t>
            </w:r>
          </w:p>
        </w:tc>
        <w:tc>
          <w:tcPr>
            <w:tcW w:w="410" w:type="pct"/>
            <w:vAlign w:val="center"/>
          </w:tcPr>
          <w:p w14:paraId="476A4B7A"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kern w:val="0"/>
                <w:szCs w:val="21"/>
              </w:rPr>
              <w:t>水源水质保护</w:t>
            </w:r>
          </w:p>
        </w:tc>
        <w:tc>
          <w:tcPr>
            <w:tcW w:w="546" w:type="pct"/>
            <w:vAlign w:val="center"/>
          </w:tcPr>
          <w:p w14:paraId="53DE5FA9"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w:t>
            </w:r>
          </w:p>
        </w:tc>
        <w:tc>
          <w:tcPr>
            <w:tcW w:w="1245" w:type="pct"/>
            <w:vAlign w:val="center"/>
          </w:tcPr>
          <w:p w14:paraId="1508B628"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color w:val="000000"/>
                <w:szCs w:val="21"/>
                <w:lang w:bidi="ar"/>
              </w:rPr>
              <w:t>包括通榆河一级保护区和二级保护区。一级保护区：通榆河（赣榆段）南起沭北闸，北至东温庄水库，全长</w:t>
            </w:r>
            <w:r>
              <w:rPr>
                <w:rFonts w:ascii="Times New Roman" w:eastAsia="宋体" w:hAnsi="Times New Roman" w:cs="Times New Roman"/>
                <w:color w:val="000000"/>
                <w:szCs w:val="21"/>
                <w:lang w:bidi="ar"/>
              </w:rPr>
              <w:t>29</w:t>
            </w:r>
            <w:r>
              <w:rPr>
                <w:rFonts w:ascii="Times New Roman" w:eastAsia="宋体" w:hAnsi="Times New Roman" w:cs="Times New Roman"/>
                <w:color w:val="000000"/>
                <w:szCs w:val="21"/>
                <w:lang w:bidi="ar"/>
              </w:rPr>
              <w:t>公里及其两侧各</w:t>
            </w:r>
            <w:r>
              <w:rPr>
                <w:rFonts w:ascii="Times New Roman" w:eastAsia="宋体" w:hAnsi="Times New Roman" w:cs="Times New Roman"/>
                <w:color w:val="000000"/>
                <w:szCs w:val="21"/>
                <w:lang w:bidi="ar"/>
              </w:rPr>
              <w:t>1000</w:t>
            </w:r>
            <w:r>
              <w:rPr>
                <w:rFonts w:ascii="Times New Roman" w:eastAsia="宋体" w:hAnsi="Times New Roman" w:cs="Times New Roman"/>
                <w:color w:val="000000"/>
                <w:szCs w:val="21"/>
                <w:lang w:bidi="ar"/>
              </w:rPr>
              <w:t>米。二级保护区：新沭河北侧河道及其北侧</w:t>
            </w:r>
            <w:r>
              <w:rPr>
                <w:rFonts w:ascii="Times New Roman" w:eastAsia="宋体" w:hAnsi="Times New Roman" w:cs="Times New Roman"/>
                <w:color w:val="000000"/>
                <w:szCs w:val="21"/>
                <w:lang w:bidi="ar"/>
              </w:rPr>
              <w:t>1000</w:t>
            </w:r>
            <w:r>
              <w:rPr>
                <w:rFonts w:ascii="Times New Roman" w:eastAsia="宋体" w:hAnsi="Times New Roman" w:cs="Times New Roman"/>
                <w:color w:val="000000"/>
                <w:szCs w:val="21"/>
                <w:lang w:bidi="ar"/>
              </w:rPr>
              <w:t>米，与通榆河平交</w:t>
            </w:r>
            <w:r>
              <w:rPr>
                <w:rFonts w:ascii="Times New Roman" w:eastAsia="宋体" w:hAnsi="Times New Roman" w:cs="Times New Roman"/>
                <w:color w:val="000000"/>
                <w:szCs w:val="21"/>
                <w:lang w:bidi="ar"/>
              </w:rPr>
              <w:t>6</w:t>
            </w:r>
            <w:r>
              <w:rPr>
                <w:rFonts w:ascii="Times New Roman" w:eastAsia="宋体" w:hAnsi="Times New Roman" w:cs="Times New Roman"/>
                <w:color w:val="000000"/>
                <w:szCs w:val="21"/>
                <w:lang w:bidi="ar"/>
              </w:rPr>
              <w:t>个河道（范河、朱稽河、青口河、兴庄河、官庄河、韩口河）上游</w:t>
            </w:r>
            <w:r>
              <w:rPr>
                <w:rFonts w:ascii="Times New Roman" w:eastAsia="宋体" w:hAnsi="Times New Roman" w:cs="Times New Roman"/>
                <w:color w:val="000000"/>
                <w:szCs w:val="21"/>
                <w:lang w:bidi="ar"/>
              </w:rPr>
              <w:t>5000</w:t>
            </w:r>
            <w:r>
              <w:rPr>
                <w:rFonts w:ascii="Times New Roman" w:eastAsia="宋体" w:hAnsi="Times New Roman" w:cs="Times New Roman"/>
                <w:color w:val="000000"/>
                <w:szCs w:val="21"/>
                <w:lang w:bidi="ar"/>
              </w:rPr>
              <w:t>米及其两侧各</w:t>
            </w:r>
            <w:r>
              <w:rPr>
                <w:rFonts w:ascii="Times New Roman" w:eastAsia="宋体" w:hAnsi="Times New Roman" w:cs="Times New Roman"/>
                <w:color w:val="000000"/>
                <w:szCs w:val="21"/>
                <w:lang w:bidi="ar"/>
              </w:rPr>
              <w:t>1000</w:t>
            </w:r>
            <w:r>
              <w:rPr>
                <w:rFonts w:ascii="Times New Roman" w:eastAsia="宋体" w:hAnsi="Times New Roman" w:cs="Times New Roman"/>
                <w:color w:val="000000"/>
                <w:szCs w:val="21"/>
                <w:lang w:bidi="ar"/>
              </w:rPr>
              <w:t>米</w:t>
            </w:r>
          </w:p>
        </w:tc>
        <w:tc>
          <w:tcPr>
            <w:tcW w:w="556" w:type="pct"/>
            <w:vAlign w:val="center"/>
          </w:tcPr>
          <w:p w14:paraId="0A40D541"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w:t>
            </w:r>
          </w:p>
        </w:tc>
        <w:tc>
          <w:tcPr>
            <w:tcW w:w="560" w:type="pct"/>
            <w:vAlign w:val="center"/>
          </w:tcPr>
          <w:p w14:paraId="7441E558"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color w:val="000000"/>
                <w:szCs w:val="21"/>
                <w:lang w:bidi="ar"/>
              </w:rPr>
              <w:t xml:space="preserve">144.88 </w:t>
            </w:r>
          </w:p>
        </w:tc>
        <w:tc>
          <w:tcPr>
            <w:tcW w:w="455" w:type="pct"/>
            <w:vAlign w:val="center"/>
          </w:tcPr>
          <w:p w14:paraId="1F084CCB"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color w:val="000000"/>
                <w:szCs w:val="21"/>
                <w:lang w:bidi="ar"/>
              </w:rPr>
              <w:t xml:space="preserve">144.88 </w:t>
            </w:r>
          </w:p>
        </w:tc>
        <w:tc>
          <w:tcPr>
            <w:tcW w:w="369" w:type="pct"/>
            <w:vAlign w:val="center"/>
          </w:tcPr>
          <w:p w14:paraId="1C76C9E9"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szCs w:val="21"/>
              </w:rPr>
              <w:t>W</w:t>
            </w:r>
            <w:r>
              <w:rPr>
                <w:rFonts w:ascii="Times New Roman" w:eastAsia="宋体" w:hAnsi="Times New Roman" w:cs="Times New Roman"/>
                <w:szCs w:val="21"/>
              </w:rPr>
              <w:t>，</w:t>
            </w:r>
            <w:r>
              <w:rPr>
                <w:rFonts w:ascii="Times New Roman" w:eastAsia="宋体" w:hAnsi="Times New Roman" w:cs="Times New Roman"/>
                <w:szCs w:val="21"/>
              </w:rPr>
              <w:t>S</w:t>
            </w:r>
          </w:p>
        </w:tc>
        <w:tc>
          <w:tcPr>
            <w:tcW w:w="393" w:type="pct"/>
            <w:vAlign w:val="center"/>
          </w:tcPr>
          <w:p w14:paraId="142CB209"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szCs w:val="21"/>
              </w:rPr>
              <w:t>1030</w:t>
            </w:r>
          </w:p>
        </w:tc>
      </w:tr>
      <w:tr w:rsidR="002133E3" w14:paraId="65A1B9F7" w14:textId="77777777">
        <w:trPr>
          <w:jc w:val="center"/>
        </w:trPr>
        <w:tc>
          <w:tcPr>
            <w:tcW w:w="465" w:type="pct"/>
            <w:vAlign w:val="center"/>
          </w:tcPr>
          <w:p w14:paraId="292BD37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CN"/>
              </w:rPr>
              <w:t>海州湾国家级海洋公园</w:t>
            </w:r>
          </w:p>
        </w:tc>
        <w:tc>
          <w:tcPr>
            <w:tcW w:w="410" w:type="pct"/>
            <w:vAlign w:val="center"/>
          </w:tcPr>
          <w:p w14:paraId="115BFB8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自然与人文景观保护</w:t>
            </w:r>
          </w:p>
        </w:tc>
        <w:tc>
          <w:tcPr>
            <w:tcW w:w="546" w:type="pct"/>
            <w:vAlign w:val="center"/>
          </w:tcPr>
          <w:p w14:paraId="10CE5E71" w14:textId="77777777" w:rsidR="002133E3" w:rsidRDefault="00C22CFA">
            <w:pPr>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w:t>
            </w:r>
          </w:p>
        </w:tc>
        <w:tc>
          <w:tcPr>
            <w:tcW w:w="1245" w:type="pct"/>
            <w:vAlign w:val="center"/>
          </w:tcPr>
          <w:p w14:paraId="5809BF16" w14:textId="77777777" w:rsidR="002133E3" w:rsidRDefault="00C22CFA">
            <w:pPr>
              <w:jc w:val="center"/>
              <w:rPr>
                <w:rFonts w:ascii="Times New Roman" w:eastAsia="宋体" w:hAnsi="Times New Roman" w:cs="Times New Roman"/>
                <w:color w:val="000000"/>
                <w:szCs w:val="21"/>
                <w:lang w:bidi="ar"/>
              </w:rPr>
            </w:pPr>
            <w:r>
              <w:rPr>
                <w:rFonts w:ascii="Times New Roman" w:eastAsia="宋体" w:hAnsi="Times New Roman" w:cs="Times New Roman"/>
                <w:color w:val="000000"/>
                <w:spacing w:val="-12"/>
                <w:szCs w:val="21"/>
                <w:lang w:bidi="ar"/>
              </w:rPr>
              <w:t>以秦山岛为中心，南北长</w:t>
            </w:r>
            <w:r>
              <w:rPr>
                <w:rFonts w:ascii="Times New Roman" w:eastAsia="宋体" w:hAnsi="Times New Roman" w:cs="Times New Roman"/>
                <w:color w:val="000000"/>
                <w:spacing w:val="-12"/>
                <w:szCs w:val="21"/>
                <w:lang w:bidi="ar"/>
              </w:rPr>
              <w:t>4000</w:t>
            </w:r>
            <w:r>
              <w:rPr>
                <w:rFonts w:ascii="Times New Roman" w:eastAsia="宋体" w:hAnsi="Times New Roman" w:cs="Times New Roman"/>
                <w:color w:val="000000"/>
                <w:spacing w:val="-12"/>
                <w:szCs w:val="21"/>
                <w:lang w:bidi="ar"/>
              </w:rPr>
              <w:t>米，东西长</w:t>
            </w:r>
            <w:r>
              <w:rPr>
                <w:rFonts w:ascii="Times New Roman" w:eastAsia="宋体" w:hAnsi="Times New Roman" w:cs="Times New Roman"/>
                <w:color w:val="000000"/>
                <w:spacing w:val="-12"/>
                <w:szCs w:val="21"/>
                <w:lang w:bidi="ar"/>
              </w:rPr>
              <w:t>5</w:t>
            </w:r>
            <w:r>
              <w:rPr>
                <w:rFonts w:ascii="Times New Roman" w:eastAsia="宋体" w:hAnsi="Times New Roman" w:cs="Times New Roman"/>
                <w:color w:val="000000"/>
                <w:spacing w:val="-12"/>
                <w:szCs w:val="21"/>
                <w:lang w:bidi="ar"/>
              </w:rPr>
              <w:t>公里的矩形区域。以秦山岛为中心划定，南侧和西侧以现有海岸线为界，东侧和北侧界线依据连云港人工鱼礁工程区的东界和北界划定</w:t>
            </w:r>
          </w:p>
        </w:tc>
        <w:tc>
          <w:tcPr>
            <w:tcW w:w="556" w:type="pct"/>
            <w:vAlign w:val="center"/>
          </w:tcPr>
          <w:p w14:paraId="08F48503"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w:t>
            </w:r>
          </w:p>
        </w:tc>
        <w:tc>
          <w:tcPr>
            <w:tcW w:w="560" w:type="pct"/>
            <w:vAlign w:val="center"/>
          </w:tcPr>
          <w:p w14:paraId="279F8BA6" w14:textId="77777777" w:rsidR="002133E3" w:rsidRDefault="00C22CFA">
            <w:pPr>
              <w:ind w:right="102"/>
              <w:jc w:val="center"/>
              <w:rPr>
                <w:rFonts w:ascii="Times New Roman" w:eastAsia="宋体" w:hAnsi="Times New Roman" w:cs="Times New Roman"/>
                <w:color w:val="000000"/>
                <w:szCs w:val="21"/>
                <w:lang w:bidi="ar"/>
              </w:rPr>
            </w:pPr>
            <w:r>
              <w:rPr>
                <w:rFonts w:ascii="Times New Roman" w:eastAsia="宋体" w:hAnsi="Times New Roman" w:cs="Times New Roman"/>
                <w:color w:val="000000"/>
                <w:szCs w:val="21"/>
                <w:lang w:bidi="ar"/>
              </w:rPr>
              <w:t>518.47</w:t>
            </w:r>
            <w:r>
              <w:rPr>
                <w:rFonts w:ascii="Times New Roman" w:eastAsia="宋体" w:hAnsi="Times New Roman" w:cs="Times New Roman"/>
                <w:color w:val="000000"/>
                <w:szCs w:val="21"/>
                <w:lang w:bidi="ar"/>
              </w:rPr>
              <w:t>（含海域）</w:t>
            </w:r>
          </w:p>
        </w:tc>
        <w:tc>
          <w:tcPr>
            <w:tcW w:w="455" w:type="pct"/>
            <w:vAlign w:val="center"/>
          </w:tcPr>
          <w:p w14:paraId="2EBD24B1" w14:textId="77777777" w:rsidR="002133E3" w:rsidRDefault="00C22CFA">
            <w:pPr>
              <w:ind w:right="102"/>
              <w:jc w:val="center"/>
              <w:rPr>
                <w:rFonts w:ascii="Times New Roman" w:eastAsia="宋体" w:hAnsi="Times New Roman" w:cs="Times New Roman"/>
                <w:color w:val="000000"/>
                <w:szCs w:val="21"/>
                <w:lang w:bidi="ar"/>
              </w:rPr>
            </w:pPr>
            <w:r>
              <w:rPr>
                <w:rFonts w:ascii="Times New Roman" w:eastAsia="宋体" w:hAnsi="Times New Roman" w:cs="Times New Roman"/>
                <w:color w:val="000000"/>
                <w:szCs w:val="21"/>
                <w:lang w:bidi="ar"/>
              </w:rPr>
              <w:t>518.47</w:t>
            </w:r>
            <w:r>
              <w:rPr>
                <w:rFonts w:ascii="Times New Roman" w:eastAsia="宋体" w:hAnsi="Times New Roman" w:cs="Times New Roman"/>
                <w:color w:val="000000"/>
                <w:szCs w:val="21"/>
                <w:lang w:bidi="ar"/>
              </w:rPr>
              <w:t>（含海域）</w:t>
            </w:r>
          </w:p>
        </w:tc>
        <w:tc>
          <w:tcPr>
            <w:tcW w:w="369" w:type="pct"/>
            <w:vAlign w:val="center"/>
          </w:tcPr>
          <w:p w14:paraId="2935556C"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szCs w:val="21"/>
              </w:rPr>
              <w:t>E</w:t>
            </w:r>
          </w:p>
        </w:tc>
        <w:tc>
          <w:tcPr>
            <w:tcW w:w="393" w:type="pct"/>
            <w:vAlign w:val="center"/>
          </w:tcPr>
          <w:p w14:paraId="7E1ACFC5" w14:textId="77777777" w:rsidR="002133E3" w:rsidRDefault="00C22CFA">
            <w:pPr>
              <w:ind w:right="102"/>
              <w:jc w:val="center"/>
              <w:rPr>
                <w:rFonts w:ascii="Times New Roman" w:eastAsia="宋体" w:hAnsi="Times New Roman" w:cs="Times New Roman"/>
                <w:color w:val="0D0D0D"/>
                <w:szCs w:val="21"/>
              </w:rPr>
            </w:pPr>
            <w:r>
              <w:rPr>
                <w:rFonts w:ascii="Times New Roman" w:eastAsia="宋体" w:hAnsi="Times New Roman" w:cs="Times New Roman"/>
                <w:szCs w:val="21"/>
              </w:rPr>
              <w:t>1250</w:t>
            </w:r>
          </w:p>
        </w:tc>
      </w:tr>
    </w:tbl>
    <w:p w14:paraId="08682D3F"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根据表</w:t>
      </w:r>
      <w:r>
        <w:rPr>
          <w:rFonts w:ascii="Times New Roman" w:eastAsia="宋体" w:hAnsi="Times New Roman" w:cs="Times New Roman"/>
          <w:color w:val="0D0D0D"/>
          <w:sz w:val="28"/>
          <w:szCs w:val="28"/>
        </w:rPr>
        <w:t>1.3-2</w:t>
      </w:r>
      <w:r>
        <w:rPr>
          <w:rFonts w:ascii="Times New Roman" w:eastAsia="宋体" w:hAnsi="Times New Roman" w:cs="Times New Roman"/>
          <w:color w:val="0D0D0D"/>
          <w:sz w:val="28"/>
          <w:szCs w:val="28"/>
        </w:rPr>
        <w:t>，本项目上述管控区范围内，故本项目不违反其相关的保护政策，符合《江苏省生态空间管控区域规划》的相关要求。</w:t>
      </w:r>
    </w:p>
    <w:p w14:paraId="1F9C8EAC"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与《</w:t>
      </w:r>
      <w:bookmarkStart w:id="5" w:name="_Hlk72767736"/>
      <w:r>
        <w:rPr>
          <w:rFonts w:ascii="Times New Roman" w:eastAsia="宋体" w:hAnsi="Times New Roman" w:cs="Times New Roman"/>
          <w:sz w:val="28"/>
          <w:szCs w:val="28"/>
        </w:rPr>
        <w:t>连云港市生态环境管理底图</w:t>
      </w:r>
      <w:bookmarkEnd w:id="5"/>
      <w:r>
        <w:rPr>
          <w:rFonts w:ascii="Times New Roman" w:eastAsia="宋体" w:hAnsi="Times New Roman" w:cs="Times New Roman"/>
          <w:sz w:val="28"/>
          <w:szCs w:val="28"/>
        </w:rPr>
        <w:t>》的符合性</w:t>
      </w:r>
    </w:p>
    <w:p w14:paraId="541A2C95" w14:textId="77777777" w:rsidR="002133E3" w:rsidRDefault="00C22CFA">
      <w:pPr>
        <w:tabs>
          <w:tab w:val="left" w:leader="middleDot" w:pos="774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2017</w:t>
      </w:r>
      <w:r>
        <w:rPr>
          <w:rFonts w:ascii="Times New Roman" w:eastAsia="宋体" w:hAnsi="Times New Roman" w:cs="Times New Roman"/>
          <w:sz w:val="28"/>
          <w:szCs w:val="28"/>
        </w:rPr>
        <w:t>年</w:t>
      </w:r>
      <w:r>
        <w:rPr>
          <w:rFonts w:ascii="Times New Roman" w:eastAsia="宋体" w:hAnsi="Times New Roman" w:cs="Times New Roman"/>
          <w:sz w:val="28"/>
          <w:szCs w:val="28"/>
        </w:rPr>
        <w:t>12</w:t>
      </w:r>
      <w:r>
        <w:rPr>
          <w:rFonts w:ascii="Times New Roman" w:eastAsia="宋体" w:hAnsi="Times New Roman" w:cs="Times New Roman"/>
          <w:sz w:val="28"/>
          <w:szCs w:val="28"/>
        </w:rPr>
        <w:t>月</w:t>
      </w:r>
      <w:r>
        <w:rPr>
          <w:rFonts w:ascii="Times New Roman" w:eastAsia="宋体" w:hAnsi="Times New Roman" w:cs="Times New Roman"/>
          <w:sz w:val="28"/>
          <w:szCs w:val="28"/>
        </w:rPr>
        <w:t>29</w:t>
      </w:r>
      <w:r>
        <w:rPr>
          <w:rFonts w:ascii="Times New Roman" w:eastAsia="宋体" w:hAnsi="Times New Roman" w:cs="Times New Roman"/>
          <w:sz w:val="28"/>
          <w:szCs w:val="28"/>
        </w:rPr>
        <w:t>日，连云港市人民政府办公室印发了《关于印发连云港市生态环境管理底图的通知》</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连政办发</w:t>
      </w:r>
      <w:r>
        <w:rPr>
          <w:rFonts w:ascii="Times New Roman" w:eastAsia="宋体" w:hAnsi="Times New Roman" w:cs="Times New Roman"/>
          <w:sz w:val="28"/>
          <w:szCs w:val="28"/>
        </w:rPr>
        <w:t>[2017]188</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，发布了《连云港市生态环境管理底图》。</w:t>
      </w:r>
    </w:p>
    <w:p w14:paraId="0B2D30A4"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kern w:val="0"/>
          <w:sz w:val="28"/>
          <w:szCs w:val="28"/>
          <w:lang w:val="zh-CN"/>
        </w:rPr>
        <w:t>①</w:t>
      </w:r>
      <w:r>
        <w:rPr>
          <w:rFonts w:ascii="Times New Roman" w:eastAsia="宋体" w:hAnsi="Times New Roman" w:cs="Times New Roman"/>
          <w:kern w:val="0"/>
          <w:sz w:val="28"/>
          <w:szCs w:val="28"/>
          <w:lang w:val="zh-CN"/>
        </w:rPr>
        <w:t>生态保护红线图</w:t>
      </w:r>
    </w:p>
    <w:p w14:paraId="5FAFB541"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连云港市生态保护红线图包括连云港市重要生态功能区、生态敏感区以及连云港市和各县区国民经济发展规划、主体功能区划等划定的禁止开发区等其他重要生态保护空间，具体见图</w:t>
      </w:r>
      <w:r>
        <w:rPr>
          <w:rFonts w:ascii="Times New Roman" w:eastAsia="宋体" w:hAnsi="Times New Roman" w:cs="Times New Roman"/>
          <w:sz w:val="28"/>
          <w:szCs w:val="28"/>
        </w:rPr>
        <w:t>1.3-7</w:t>
      </w:r>
      <w:r>
        <w:rPr>
          <w:rFonts w:ascii="Times New Roman" w:eastAsia="宋体" w:hAnsi="Times New Roman" w:cs="Times New Roman"/>
          <w:sz w:val="28"/>
          <w:szCs w:val="28"/>
        </w:rPr>
        <w:t>。</w:t>
      </w:r>
    </w:p>
    <w:p w14:paraId="72C968DC" w14:textId="77777777" w:rsidR="002133E3" w:rsidRDefault="00C22CFA">
      <w:pPr>
        <w:jc w:val="center"/>
        <w:rPr>
          <w:rFonts w:ascii="Times New Roman" w:eastAsia="宋体" w:hAnsi="Times New Roman" w:cs="Times New Roman"/>
          <w:kern w:val="0"/>
          <w:sz w:val="28"/>
          <w:szCs w:val="28"/>
          <w:lang w:val="zh-CN"/>
        </w:rPr>
      </w:pPr>
      <w:r>
        <w:rPr>
          <w:rFonts w:ascii="Times New Roman" w:eastAsia="宋体" w:hAnsi="Times New Roman" w:cs="Times New Roman"/>
          <w:b/>
          <w:noProof/>
          <w:szCs w:val="24"/>
        </w:rPr>
        <w:lastRenderedPageBreak/>
        <mc:AlternateContent>
          <mc:Choice Requires="wps">
            <w:drawing>
              <wp:anchor distT="0" distB="0" distL="114300" distR="114300" simplePos="0" relativeHeight="251644416" behindDoc="0" locked="0" layoutInCell="1" allowOverlap="1" wp14:anchorId="500B8B10" wp14:editId="65E2D6ED">
                <wp:simplePos x="0" y="0"/>
                <wp:positionH relativeFrom="column">
                  <wp:posOffset>4114165</wp:posOffset>
                </wp:positionH>
                <wp:positionV relativeFrom="paragraph">
                  <wp:posOffset>365125</wp:posOffset>
                </wp:positionV>
                <wp:extent cx="808355" cy="309245"/>
                <wp:effectExtent l="1219200" t="0" r="10795" b="262255"/>
                <wp:wrapNone/>
                <wp:docPr id="53" name="对话气泡: 圆角矩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355" cy="309245"/>
                        </a:xfrm>
                        <a:prstGeom prst="wedgeRoundRectCallout">
                          <a:avLst>
                            <a:gd name="adj1" fmla="val -196043"/>
                            <a:gd name="adj2" fmla="val 123305"/>
                            <a:gd name="adj3" fmla="val 16667"/>
                          </a:avLst>
                        </a:prstGeom>
                        <a:solidFill>
                          <a:srgbClr val="FFFFFF"/>
                        </a:solidFill>
                        <a:ln w="9525" cmpd="sng">
                          <a:solidFill>
                            <a:srgbClr val="000000"/>
                          </a:solidFill>
                          <a:miter lim="800000"/>
                        </a:ln>
                      </wps:spPr>
                      <wps:txbx>
                        <w:txbxContent>
                          <w:p w14:paraId="1BAAD91B" w14:textId="77777777" w:rsidR="00F553A8" w:rsidRDefault="00F553A8">
                            <w:pPr>
                              <w:rPr>
                                <w:b/>
                                <w:bCs/>
                                <w:sz w:val="18"/>
                                <w:szCs w:val="18"/>
                              </w:rPr>
                            </w:pPr>
                            <w:r>
                              <w:rPr>
                                <w:rFonts w:hint="eastAsia"/>
                                <w:b/>
                                <w:bCs/>
                                <w:sz w:val="18"/>
                                <w:szCs w:val="18"/>
                              </w:rPr>
                              <w:t>项目所在地</w:t>
                            </w:r>
                          </w:p>
                        </w:txbxContent>
                      </wps:txbx>
                      <wps:bodyPr rot="0" vert="horz" wrap="square" lIns="91440" tIns="45720" rIns="91440" bIns="45720" anchor="t" anchorCtr="0" upright="1">
                        <a:noAutofit/>
                      </wps:bodyPr>
                    </wps:wsp>
                  </a:graphicData>
                </a:graphic>
              </wp:anchor>
            </w:drawing>
          </mc:Choice>
          <mc:Fallback>
            <w:pict>
              <v:shapetype w14:anchorId="500B8B1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53" o:spid="_x0000_s1026" type="#_x0000_t62" style="position:absolute;left:0;text-align:left;margin-left:323.95pt;margin-top:28.75pt;width:63.65pt;height:24.3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" adj="-31545,37434">
                <v:textbox>
                  <w:txbxContent>
                    <w:p w14:paraId="1BAAD91B" w14:textId="77777777" w:rsidR="00F553A8" w:rsidRDefault="00F553A8">
                      <w:pPr>
                        <w:rPr>
                          <w:b/>
                          <w:bCs/>
                          <w:sz w:val="18"/>
                          <w:szCs w:val="18"/>
                        </w:rPr>
                      </w:pPr>
                      <w:r>
                        <w:rPr>
                          <w:rFonts w:hint="eastAsia"/>
                          <w:b/>
                          <w:bCs/>
                          <w:sz w:val="18"/>
                          <w:szCs w:val="18"/>
                        </w:rPr>
                        <w:t>项目所在地</w:t>
                      </w:r>
                    </w:p>
                  </w:txbxContent>
                </v:textbox>
              </v:shape>
            </w:pict>
          </mc:Fallback>
        </mc:AlternateContent>
      </w:r>
      <w:r>
        <w:rPr>
          <w:rFonts w:ascii="Times New Roman" w:eastAsia="宋体" w:hAnsi="Times New Roman" w:cs="Times New Roman"/>
          <w:b/>
          <w:noProof/>
          <w:szCs w:val="24"/>
        </w:rPr>
        <mc:AlternateContent>
          <mc:Choice Requires="wps">
            <w:drawing>
              <wp:anchor distT="0" distB="0" distL="114300" distR="114300" simplePos="0" relativeHeight="251652608" behindDoc="0" locked="0" layoutInCell="1" allowOverlap="1" wp14:anchorId="4A5C3470" wp14:editId="4E548D92">
                <wp:simplePos x="0" y="0"/>
                <wp:positionH relativeFrom="column">
                  <wp:posOffset>2865120</wp:posOffset>
                </wp:positionH>
                <wp:positionV relativeFrom="paragraph">
                  <wp:posOffset>890905</wp:posOffset>
                </wp:positionV>
                <wp:extent cx="45720" cy="45720"/>
                <wp:effectExtent l="0" t="0" r="0" b="0"/>
                <wp:wrapNone/>
                <wp:docPr id="75" name="椭圆 75"/>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a:ln w="12700" cap="flat" cmpd="sng" algn="ctr">
                          <a:noFill/>
                          <a:prstDash val="solid"/>
                          <a:miter lim="800000"/>
                        </a:ln>
                        <a:effectLst/>
                      </wps:spPr>
                      <wps:txbx>
                        <w:txbxContent>
                          <w:p w14:paraId="338F6BFD" w14:textId="77777777" w:rsidR="00F553A8" w:rsidRDefault="00F553A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4A5C3470" id="椭圆 75" o:spid="_x0000_s1027" style="position:absolute;left:0;text-align:left;margin-left:225.6pt;margin-top:70.15pt;width:3.6pt;height:3.6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" fillcolor="red" stroked="f" strokeweight="1pt">
                <v:stroke joinstyle="miter"/>
                <v:textbox>
                  <w:txbxContent>
                    <w:p w14:paraId="338F6BFD" w14:textId="77777777" w:rsidR="00F553A8" w:rsidRDefault="00F553A8">
                      <w:pPr>
                        <w:jc w:val="center"/>
                      </w:pPr>
                    </w:p>
                  </w:txbxContent>
                </v:textbox>
              </v:oval>
            </w:pict>
          </mc:Fallback>
        </mc:AlternateContent>
      </w:r>
      <w:r>
        <w:rPr>
          <w:rFonts w:ascii="Times New Roman" w:eastAsia="宋体" w:hAnsi="Times New Roman" w:cs="Times New Roman"/>
          <w:noProof/>
          <w:kern w:val="0"/>
          <w:sz w:val="28"/>
          <w:szCs w:val="28"/>
        </w:rPr>
        <w:drawing>
          <wp:inline distT="0" distB="0" distL="0" distR="0" wp14:anchorId="1CC7EE90" wp14:editId="3D17B998">
            <wp:extent cx="6120130" cy="375602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120130" cy="3756025"/>
                    </a:xfrm>
                    <a:prstGeom prst="rect">
                      <a:avLst/>
                    </a:prstGeom>
                    <a:noFill/>
                    <a:ln>
                      <a:noFill/>
                    </a:ln>
                  </pic:spPr>
                </pic:pic>
              </a:graphicData>
            </a:graphic>
          </wp:inline>
        </w:drawing>
      </w:r>
    </w:p>
    <w:p w14:paraId="202E9B42" w14:textId="77777777" w:rsidR="002133E3" w:rsidRDefault="00C22CFA">
      <w:pPr>
        <w:jc w:val="center"/>
        <w:rPr>
          <w:rFonts w:ascii="Times New Roman" w:eastAsia="宋体" w:hAnsi="Times New Roman" w:cs="Times New Roman"/>
          <w:b/>
          <w:szCs w:val="24"/>
        </w:rPr>
      </w:pPr>
      <w:r>
        <w:rPr>
          <w:rFonts w:ascii="Times New Roman" w:eastAsia="宋体" w:hAnsi="Times New Roman" w:cs="Times New Roman"/>
          <w:b/>
          <w:szCs w:val="24"/>
        </w:rPr>
        <w:t>图</w:t>
      </w:r>
      <w:r>
        <w:rPr>
          <w:rFonts w:ascii="Times New Roman" w:eastAsia="宋体" w:hAnsi="Times New Roman" w:cs="Times New Roman"/>
          <w:b/>
          <w:szCs w:val="24"/>
        </w:rPr>
        <w:t xml:space="preserve">1.3-7 </w:t>
      </w:r>
      <w:r>
        <w:rPr>
          <w:rFonts w:ascii="Times New Roman" w:eastAsia="宋体" w:hAnsi="Times New Roman" w:cs="Times New Roman"/>
          <w:b/>
          <w:szCs w:val="24"/>
        </w:rPr>
        <w:t>连云港市生态保护红线图</w:t>
      </w:r>
    </w:p>
    <w:p w14:paraId="3706FE5B" w14:textId="77777777" w:rsidR="002133E3" w:rsidRDefault="00C22CFA">
      <w:pPr>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lang w:val="zh-CN"/>
        </w:rPr>
        <w:t xml:space="preserve"> </w:t>
      </w:r>
      <w:r>
        <w:rPr>
          <w:rFonts w:ascii="宋体" w:eastAsia="宋体" w:hAnsi="宋体" w:cs="宋体" w:hint="eastAsia"/>
          <w:kern w:val="0"/>
          <w:sz w:val="28"/>
          <w:szCs w:val="28"/>
          <w:lang w:val="zh-CN"/>
        </w:rPr>
        <w:t>②</w:t>
      </w:r>
      <w:r>
        <w:rPr>
          <w:rFonts w:ascii="Times New Roman" w:eastAsia="宋体" w:hAnsi="Times New Roman" w:cs="Times New Roman"/>
          <w:kern w:val="0"/>
          <w:sz w:val="28"/>
          <w:szCs w:val="28"/>
          <w:lang w:val="zh-CN"/>
        </w:rPr>
        <w:t xml:space="preserve"> </w:t>
      </w:r>
      <w:r>
        <w:rPr>
          <w:rFonts w:ascii="Times New Roman" w:eastAsia="宋体" w:hAnsi="Times New Roman" w:cs="Times New Roman"/>
          <w:kern w:val="0"/>
          <w:sz w:val="28"/>
          <w:szCs w:val="28"/>
          <w:lang w:val="zh-CN"/>
        </w:rPr>
        <w:t>生态岸线图</w:t>
      </w:r>
    </w:p>
    <w:p w14:paraId="2258B88F"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lang w:val="zh-CN"/>
        </w:rPr>
        <w:t>连云港市拥有江苏省独有的砂质岸线和基岩岸线。到</w:t>
      </w:r>
      <w:r>
        <w:rPr>
          <w:rFonts w:ascii="Times New Roman" w:eastAsia="宋体" w:hAnsi="Times New Roman" w:cs="Times New Roman"/>
          <w:kern w:val="0"/>
          <w:sz w:val="28"/>
          <w:szCs w:val="28"/>
          <w:lang w:val="zh-CN"/>
        </w:rPr>
        <w:t>2030</w:t>
      </w:r>
      <w:r>
        <w:rPr>
          <w:rFonts w:ascii="Times New Roman" w:eastAsia="宋体" w:hAnsi="Times New Roman" w:cs="Times New Roman"/>
          <w:kern w:val="0"/>
          <w:sz w:val="28"/>
          <w:szCs w:val="28"/>
          <w:lang w:val="zh-CN"/>
        </w:rPr>
        <w:t>年，连云港市生态岸线图</w:t>
      </w:r>
      <w:r>
        <w:rPr>
          <w:rFonts w:ascii="Times New Roman" w:eastAsia="宋体" w:hAnsi="Times New Roman" w:cs="Times New Roman"/>
          <w:kern w:val="0"/>
          <w:sz w:val="28"/>
          <w:szCs w:val="28"/>
          <w:lang w:val="zh-CN"/>
        </w:rPr>
        <w:t>(</w:t>
      </w:r>
      <w:r>
        <w:rPr>
          <w:rFonts w:ascii="Times New Roman" w:eastAsia="宋体" w:hAnsi="Times New Roman" w:cs="Times New Roman"/>
          <w:sz w:val="28"/>
          <w:szCs w:val="28"/>
        </w:rPr>
        <w:t>见图</w:t>
      </w:r>
      <w:r>
        <w:rPr>
          <w:rFonts w:ascii="Times New Roman" w:eastAsia="宋体" w:hAnsi="Times New Roman" w:cs="Times New Roman"/>
          <w:sz w:val="28"/>
          <w:szCs w:val="28"/>
        </w:rPr>
        <w:t>1.3-8</w:t>
      </w:r>
      <w:r>
        <w:rPr>
          <w:rFonts w:ascii="Times New Roman" w:eastAsia="宋体" w:hAnsi="Times New Roman" w:cs="Times New Roman"/>
          <w:kern w:val="0"/>
          <w:sz w:val="28"/>
          <w:szCs w:val="28"/>
          <w:lang w:val="zh-CN"/>
        </w:rPr>
        <w:t>)</w:t>
      </w:r>
      <w:r>
        <w:rPr>
          <w:rFonts w:ascii="Times New Roman" w:eastAsia="宋体" w:hAnsi="Times New Roman" w:cs="Times New Roman"/>
          <w:kern w:val="0"/>
          <w:sz w:val="28"/>
          <w:szCs w:val="28"/>
          <w:lang w:val="zh-CN"/>
        </w:rPr>
        <w:t>划定生态岸线</w:t>
      </w:r>
      <w:r>
        <w:rPr>
          <w:rFonts w:ascii="Times New Roman" w:eastAsia="宋体" w:hAnsi="Times New Roman" w:cs="Times New Roman"/>
          <w:kern w:val="0"/>
          <w:sz w:val="28"/>
          <w:szCs w:val="28"/>
          <w:lang w:val="zh-CN"/>
        </w:rPr>
        <w:t>72.35</w:t>
      </w:r>
      <w:r>
        <w:rPr>
          <w:rFonts w:ascii="Times New Roman" w:eastAsia="宋体" w:hAnsi="Times New Roman" w:cs="Times New Roman"/>
          <w:kern w:val="0"/>
          <w:sz w:val="28"/>
          <w:szCs w:val="28"/>
          <w:lang w:val="zh-CN"/>
        </w:rPr>
        <w:t>公里，占全市岸线总长的</w:t>
      </w:r>
      <w:r>
        <w:rPr>
          <w:rFonts w:ascii="Times New Roman" w:eastAsia="宋体" w:hAnsi="Times New Roman" w:cs="Times New Roman"/>
          <w:kern w:val="0"/>
          <w:sz w:val="28"/>
          <w:szCs w:val="28"/>
          <w:lang w:val="zh-CN"/>
        </w:rPr>
        <w:t>32.95%</w:t>
      </w:r>
      <w:r>
        <w:rPr>
          <w:rFonts w:ascii="Times New Roman" w:eastAsia="宋体" w:hAnsi="Times New Roman" w:cs="Times New Roman"/>
          <w:kern w:val="0"/>
          <w:sz w:val="28"/>
          <w:szCs w:val="28"/>
          <w:lang w:val="zh-CN"/>
        </w:rPr>
        <w:t>，主要包括龙王河口以北砂质岸线、临洪河口以北粉砂淤泥质岸线、临洪河口以南至连云新城粉砂淤泥质岸线、西墅沙滩砂质岸线、连云区北固山段基岩岸线、在海一方公园砂质岸线、国展中心东北侧后方基岩岸线、捋子河口粉砂淤泥质岸线、灌云县外侧粉砂淤泥质岸线。</w:t>
      </w:r>
    </w:p>
    <w:p w14:paraId="40AD1513" w14:textId="77777777" w:rsidR="002133E3" w:rsidRDefault="00C22CFA">
      <w:pPr>
        <w:jc w:val="center"/>
        <w:rPr>
          <w:rFonts w:ascii="Times New Roman" w:eastAsia="宋体" w:hAnsi="Times New Roman" w:cs="Times New Roman"/>
          <w:b/>
          <w:szCs w:val="24"/>
        </w:rPr>
      </w:pPr>
      <w:r>
        <w:rPr>
          <w:rFonts w:ascii="Times New Roman" w:eastAsia="宋体" w:hAnsi="Times New Roman" w:cs="Times New Roman"/>
          <w:b/>
          <w:noProof/>
          <w:szCs w:val="24"/>
        </w:rPr>
        <w:lastRenderedPageBreak/>
        <mc:AlternateContent>
          <mc:Choice Requires="wps">
            <w:drawing>
              <wp:anchor distT="0" distB="0" distL="114300" distR="114300" simplePos="0" relativeHeight="251662848" behindDoc="0" locked="0" layoutInCell="1" allowOverlap="1" wp14:anchorId="5237C74C" wp14:editId="40E58899">
                <wp:simplePos x="0" y="0"/>
                <wp:positionH relativeFrom="column">
                  <wp:posOffset>2008505</wp:posOffset>
                </wp:positionH>
                <wp:positionV relativeFrom="paragraph">
                  <wp:posOffset>850265</wp:posOffset>
                </wp:positionV>
                <wp:extent cx="808355" cy="309245"/>
                <wp:effectExtent l="1428750" t="0" r="10795" b="33655"/>
                <wp:wrapNone/>
                <wp:docPr id="79" name="对话气泡: 圆角矩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355" cy="309245"/>
                        </a:xfrm>
                        <a:prstGeom prst="wedgeRoundRectCallout">
                          <a:avLst>
                            <a:gd name="adj1" fmla="val -223883"/>
                            <a:gd name="adj2" fmla="val 44126"/>
                            <a:gd name="adj3" fmla="val 16667"/>
                          </a:avLst>
                        </a:prstGeom>
                        <a:solidFill>
                          <a:srgbClr val="FFFFFF"/>
                        </a:solidFill>
                        <a:ln w="9525" cmpd="sng">
                          <a:solidFill>
                            <a:srgbClr val="000000"/>
                          </a:solidFill>
                          <a:miter lim="800000"/>
                        </a:ln>
                      </wps:spPr>
                      <wps:txbx>
                        <w:txbxContent>
                          <w:p w14:paraId="2E41DD8D" w14:textId="77777777" w:rsidR="00F553A8" w:rsidRDefault="00F553A8">
                            <w:pPr>
                              <w:rPr>
                                <w:b/>
                                <w:bCs/>
                                <w:sz w:val="18"/>
                                <w:szCs w:val="18"/>
                              </w:rPr>
                            </w:pPr>
                            <w:r>
                              <w:rPr>
                                <w:rFonts w:hint="eastAsia"/>
                                <w:b/>
                                <w:bCs/>
                                <w:sz w:val="18"/>
                                <w:szCs w:val="18"/>
                              </w:rPr>
                              <w:t>项目所在地</w:t>
                            </w:r>
                          </w:p>
                        </w:txbxContent>
                      </wps:txbx>
                      <wps:bodyPr rot="0" vert="horz" wrap="square" lIns="91440" tIns="45720" rIns="91440" bIns="45720" anchor="t" anchorCtr="0" upright="1">
                        <a:noAutofit/>
                      </wps:bodyPr>
                    </wps:wsp>
                  </a:graphicData>
                </a:graphic>
              </wp:anchor>
            </w:drawing>
          </mc:Choice>
          <mc:Fallback>
            <w:pict>
              <v:shape w14:anchorId="5237C74C" id="对话气泡: 圆角矩形 79" o:spid="_x0000_s1028" type="#_x0000_t62" style="position:absolute;left:0;text-align:left;margin-left:158.15pt;margin-top:66.95pt;width:63.65pt;height:24.3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" adj="-37559,20331">
                <v:textbox>
                  <w:txbxContent>
                    <w:p w14:paraId="2E41DD8D" w14:textId="77777777" w:rsidR="00F553A8" w:rsidRDefault="00F553A8">
                      <w:pPr>
                        <w:rPr>
                          <w:b/>
                          <w:bCs/>
                          <w:sz w:val="18"/>
                          <w:szCs w:val="18"/>
                        </w:rPr>
                      </w:pPr>
                      <w:r>
                        <w:rPr>
                          <w:rFonts w:hint="eastAsia"/>
                          <w:b/>
                          <w:bCs/>
                          <w:sz w:val="18"/>
                          <w:szCs w:val="18"/>
                        </w:rPr>
                        <w:t>项目所在地</w:t>
                      </w:r>
                    </w:p>
                  </w:txbxContent>
                </v:textbox>
              </v:shape>
            </w:pict>
          </mc:Fallback>
        </mc:AlternateContent>
      </w:r>
      <w:r>
        <w:rPr>
          <w:rFonts w:ascii="Times New Roman" w:eastAsia="宋体" w:hAnsi="Times New Roman" w:cs="Times New Roman"/>
          <w:b/>
          <w:noProof/>
          <w:szCs w:val="24"/>
        </w:rPr>
        <mc:AlternateContent>
          <mc:Choice Requires="wps">
            <w:drawing>
              <wp:anchor distT="0" distB="0" distL="114300" distR="114300" simplePos="0" relativeHeight="251672064" behindDoc="0" locked="0" layoutInCell="1" allowOverlap="1" wp14:anchorId="40B63531" wp14:editId="292369F3">
                <wp:simplePos x="0" y="0"/>
                <wp:positionH relativeFrom="column">
                  <wp:posOffset>535305</wp:posOffset>
                </wp:positionH>
                <wp:positionV relativeFrom="paragraph">
                  <wp:posOffset>1130300</wp:posOffset>
                </wp:positionV>
                <wp:extent cx="45720" cy="45720"/>
                <wp:effectExtent l="0" t="0" r="0" b="0"/>
                <wp:wrapNone/>
                <wp:docPr id="84" name="椭圆 84"/>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31526047" id="椭圆 84" o:spid="_x0000_s1026" style="position:absolute;left:0;text-align:left;margin-left:42.15pt;margin-top:89pt;width:3.6pt;height:3.6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" fillcolor="red" stroked="f" strokeweight="1pt">
                <v:stroke joinstyle="miter"/>
              </v:oval>
            </w:pict>
          </mc:Fallback>
        </mc:AlternateContent>
      </w:r>
      <w:r>
        <w:rPr>
          <w:rFonts w:ascii="Times New Roman" w:eastAsia="宋体" w:hAnsi="Times New Roman" w:cs="Times New Roman"/>
          <w:b/>
          <w:noProof/>
          <w:szCs w:val="24"/>
        </w:rPr>
        <w:drawing>
          <wp:inline distT="0" distB="0" distL="0" distR="0" wp14:anchorId="4EA45E40" wp14:editId="12C0A853">
            <wp:extent cx="6106160" cy="3437890"/>
            <wp:effectExtent l="0" t="0" r="889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0" cstate="print">
                      <a:extLst>
                        <a:ext uri="{28A0092B-C50C-407E-A947-70E740481C1C}">
                          <a14:useLocalDpi xmlns:a14="http://schemas.microsoft.com/office/drawing/2010/main" val="0"/>
                        </a:ext>
                      </a:extLst>
                    </a:blip>
                    <a:srcRect t="1667" b="1766"/>
                    <a:stretch>
                      <a:fillRect/>
                    </a:stretch>
                  </pic:blipFill>
                  <pic:spPr>
                    <a:xfrm>
                      <a:off x="0" y="0"/>
                      <a:ext cx="6115943" cy="3443062"/>
                    </a:xfrm>
                    <a:prstGeom prst="rect">
                      <a:avLst/>
                    </a:prstGeom>
                    <a:noFill/>
                    <a:ln>
                      <a:noFill/>
                    </a:ln>
                  </pic:spPr>
                </pic:pic>
              </a:graphicData>
            </a:graphic>
          </wp:inline>
        </w:drawing>
      </w:r>
    </w:p>
    <w:p w14:paraId="2FDD3AEC" w14:textId="77777777" w:rsidR="002133E3" w:rsidRDefault="00C22CFA">
      <w:pPr>
        <w:jc w:val="center"/>
        <w:rPr>
          <w:rFonts w:ascii="Times New Roman" w:eastAsia="宋体" w:hAnsi="Times New Roman" w:cs="Times New Roman"/>
          <w:b/>
          <w:szCs w:val="24"/>
        </w:rPr>
      </w:pPr>
      <w:r>
        <w:rPr>
          <w:rFonts w:ascii="Times New Roman" w:eastAsia="宋体" w:hAnsi="Times New Roman" w:cs="Times New Roman"/>
          <w:b/>
          <w:szCs w:val="24"/>
        </w:rPr>
        <w:t>图</w:t>
      </w:r>
      <w:r>
        <w:rPr>
          <w:rFonts w:ascii="Times New Roman" w:eastAsia="宋体" w:hAnsi="Times New Roman" w:cs="Times New Roman"/>
          <w:b/>
          <w:szCs w:val="24"/>
        </w:rPr>
        <w:t xml:space="preserve">1.3-8 </w:t>
      </w:r>
      <w:r>
        <w:rPr>
          <w:rFonts w:ascii="Times New Roman" w:eastAsia="宋体" w:hAnsi="Times New Roman" w:cs="Times New Roman"/>
          <w:b/>
          <w:szCs w:val="24"/>
        </w:rPr>
        <w:t>连云港市生态岸线图</w:t>
      </w:r>
    </w:p>
    <w:p w14:paraId="552A3B43"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本项目位于</w:t>
      </w:r>
      <w:r>
        <w:rPr>
          <w:rFonts w:ascii="Times New Roman" w:eastAsia="宋体" w:hAnsi="Times New Roman" w:cs="Times New Roman"/>
          <w:kern w:val="0"/>
          <w:sz w:val="28"/>
          <w:szCs w:val="28"/>
          <w:lang w:val="zh-CN"/>
        </w:rPr>
        <w:t>生态保护红线及生态岸</w:t>
      </w:r>
      <w:r>
        <w:rPr>
          <w:rFonts w:ascii="Times New Roman" w:eastAsia="宋体" w:hAnsi="Times New Roman" w:cs="Times New Roman"/>
          <w:sz w:val="28"/>
          <w:szCs w:val="28"/>
        </w:rPr>
        <w:t>外，符合连云港市生态环境管理底图要求。</w:t>
      </w:r>
    </w:p>
    <w:p w14:paraId="503056C6" w14:textId="77777777" w:rsidR="002133E3" w:rsidRDefault="00C22CFA">
      <w:pPr>
        <w:numPr>
          <w:ilvl w:val="3"/>
          <w:numId w:val="2"/>
        </w:numPr>
        <w:tabs>
          <w:tab w:val="left" w:pos="851"/>
        </w:tabs>
        <w:ind w:left="993" w:hanging="993"/>
        <w:outlineLvl w:val="3"/>
        <w:rPr>
          <w:rFonts w:ascii="Times New Roman" w:eastAsia="宋体" w:hAnsi="Times New Roman" w:cs="Times New Roman"/>
          <w:b/>
          <w:bCs/>
          <w:sz w:val="28"/>
          <w:szCs w:val="28"/>
        </w:rPr>
      </w:pPr>
      <w:r>
        <w:rPr>
          <w:rFonts w:ascii="Times New Roman" w:eastAsia="宋体" w:hAnsi="Times New Roman" w:cs="Times New Roman"/>
          <w:b/>
          <w:bCs/>
          <w:sz w:val="28"/>
          <w:szCs w:val="28"/>
        </w:rPr>
        <w:t>与环境质量底线相符性</w:t>
      </w:r>
    </w:p>
    <w:p w14:paraId="697DD72C"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与《国家发展改革委等</w:t>
      </w:r>
      <w:r>
        <w:rPr>
          <w:rFonts w:ascii="Times New Roman" w:eastAsia="宋体" w:hAnsi="Times New Roman" w:cs="Times New Roman"/>
          <w:sz w:val="28"/>
          <w:szCs w:val="28"/>
        </w:rPr>
        <w:t>9</w:t>
      </w:r>
      <w:r>
        <w:rPr>
          <w:rFonts w:ascii="Times New Roman" w:eastAsia="宋体" w:hAnsi="Times New Roman" w:cs="Times New Roman"/>
          <w:sz w:val="28"/>
          <w:szCs w:val="28"/>
        </w:rPr>
        <w:t>部委印发</w:t>
      </w:r>
      <w:r>
        <w:rPr>
          <w:rFonts w:ascii="Times New Roman" w:eastAsia="宋体" w:hAnsi="Times New Roman" w:cs="Times New Roman"/>
          <w:sz w:val="28"/>
          <w:szCs w:val="28"/>
        </w:rPr>
        <w:t>&lt;</w:t>
      </w:r>
      <w:r>
        <w:rPr>
          <w:rFonts w:ascii="Times New Roman" w:eastAsia="宋体" w:hAnsi="Times New Roman" w:cs="Times New Roman"/>
          <w:sz w:val="28"/>
          <w:szCs w:val="28"/>
        </w:rPr>
        <w:t>关于加强资源环境生态红线管控的指导意见</w:t>
      </w:r>
      <w:r>
        <w:rPr>
          <w:rFonts w:ascii="Times New Roman" w:eastAsia="宋体" w:hAnsi="Times New Roman" w:cs="Times New Roman"/>
          <w:sz w:val="28"/>
          <w:szCs w:val="28"/>
        </w:rPr>
        <w:t>&gt;</w:t>
      </w:r>
      <w:r>
        <w:rPr>
          <w:rFonts w:ascii="Times New Roman" w:eastAsia="宋体" w:hAnsi="Times New Roman" w:cs="Times New Roman"/>
          <w:sz w:val="28"/>
          <w:szCs w:val="28"/>
        </w:rPr>
        <w:t>的通知》相符性</w:t>
      </w:r>
    </w:p>
    <w:p w14:paraId="1BB4ACBF" w14:textId="77777777" w:rsidR="002133E3" w:rsidRDefault="00C22CFA">
      <w:pPr>
        <w:spacing w:line="500" w:lineRule="exact"/>
        <w:ind w:firstLineChars="200" w:firstLine="560"/>
        <w:rPr>
          <w:rFonts w:ascii="Times New Roman" w:eastAsia="宋体" w:hAnsi="Times New Roman" w:cs="Times New Roman"/>
          <w:b/>
          <w:szCs w:val="24"/>
        </w:rPr>
      </w:pPr>
      <w:r>
        <w:rPr>
          <w:rFonts w:ascii="Times New Roman" w:eastAsia="宋体" w:hAnsi="Times New Roman" w:cs="Times New Roman"/>
          <w:sz w:val="28"/>
          <w:szCs w:val="28"/>
        </w:rPr>
        <w:t>根据《国家发展改革委等</w:t>
      </w:r>
      <w:r>
        <w:rPr>
          <w:rFonts w:ascii="Times New Roman" w:eastAsia="宋体" w:hAnsi="Times New Roman" w:cs="Times New Roman"/>
          <w:sz w:val="28"/>
          <w:szCs w:val="28"/>
        </w:rPr>
        <w:t>9</w:t>
      </w:r>
      <w:r>
        <w:rPr>
          <w:rFonts w:ascii="Times New Roman" w:eastAsia="宋体" w:hAnsi="Times New Roman" w:cs="Times New Roman"/>
          <w:sz w:val="28"/>
          <w:szCs w:val="28"/>
        </w:rPr>
        <w:t>部委印发</w:t>
      </w:r>
      <w:r>
        <w:rPr>
          <w:rFonts w:ascii="Times New Roman" w:eastAsia="宋体" w:hAnsi="Times New Roman" w:cs="Times New Roman"/>
          <w:sz w:val="28"/>
          <w:szCs w:val="28"/>
        </w:rPr>
        <w:t>&lt;</w:t>
      </w:r>
      <w:r>
        <w:rPr>
          <w:rFonts w:ascii="Times New Roman" w:eastAsia="宋体" w:hAnsi="Times New Roman" w:cs="Times New Roman"/>
          <w:sz w:val="28"/>
          <w:szCs w:val="28"/>
        </w:rPr>
        <w:t>关于加强资源环境生态红线管控的指导意见</w:t>
      </w:r>
      <w:r>
        <w:rPr>
          <w:rFonts w:ascii="Times New Roman" w:eastAsia="宋体" w:hAnsi="Times New Roman" w:cs="Times New Roman"/>
          <w:sz w:val="28"/>
          <w:szCs w:val="28"/>
        </w:rPr>
        <w:t>&gt;</w:t>
      </w:r>
      <w:r>
        <w:rPr>
          <w:rFonts w:ascii="Times New Roman" w:eastAsia="宋体" w:hAnsi="Times New Roman" w:cs="Times New Roman"/>
          <w:sz w:val="28"/>
          <w:szCs w:val="28"/>
        </w:rPr>
        <w:t>的通知》</w:t>
      </w:r>
      <w:r>
        <w:rPr>
          <w:rFonts w:ascii="Times New Roman" w:eastAsia="宋体" w:hAnsi="Times New Roman" w:cs="Times New Roman"/>
          <w:sz w:val="28"/>
          <w:szCs w:val="28"/>
        </w:rPr>
        <w:t>(</w:t>
      </w:r>
      <w:r>
        <w:rPr>
          <w:rFonts w:ascii="Times New Roman" w:eastAsia="宋体" w:hAnsi="Times New Roman" w:cs="Times New Roman"/>
          <w:sz w:val="28"/>
          <w:szCs w:val="28"/>
        </w:rPr>
        <w:t>发改环资〔</w:t>
      </w:r>
      <w:r>
        <w:rPr>
          <w:rFonts w:ascii="Times New Roman" w:eastAsia="宋体" w:hAnsi="Times New Roman" w:cs="Times New Roman"/>
          <w:sz w:val="28"/>
          <w:szCs w:val="28"/>
        </w:rPr>
        <w:t>2016</w:t>
      </w:r>
      <w:r>
        <w:rPr>
          <w:rFonts w:ascii="Times New Roman" w:eastAsia="宋体" w:hAnsi="Times New Roman" w:cs="Times New Roman"/>
          <w:sz w:val="28"/>
          <w:szCs w:val="28"/>
        </w:rPr>
        <w:t>〕</w:t>
      </w:r>
      <w:r>
        <w:rPr>
          <w:rFonts w:ascii="Times New Roman" w:eastAsia="宋体" w:hAnsi="Times New Roman" w:cs="Times New Roman"/>
          <w:sz w:val="28"/>
          <w:szCs w:val="28"/>
        </w:rPr>
        <w:t>1162</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，通知明确提出了</w:t>
      </w:r>
      <w:r>
        <w:rPr>
          <w:rFonts w:ascii="Times New Roman" w:eastAsia="宋体" w:hAnsi="Times New Roman" w:cs="Times New Roman"/>
          <w:sz w:val="28"/>
          <w:szCs w:val="28"/>
        </w:rPr>
        <w:t>“</w:t>
      </w:r>
      <w:r>
        <w:rPr>
          <w:rFonts w:ascii="Times New Roman" w:eastAsia="宋体" w:hAnsi="Times New Roman" w:cs="Times New Roman"/>
          <w:sz w:val="28"/>
          <w:szCs w:val="28"/>
        </w:rPr>
        <w:t>环境质量底线</w:t>
      </w:r>
      <w:r>
        <w:rPr>
          <w:rFonts w:ascii="Times New Roman" w:eastAsia="宋体" w:hAnsi="Times New Roman" w:cs="Times New Roman"/>
          <w:sz w:val="28"/>
          <w:szCs w:val="28"/>
        </w:rPr>
        <w:t>”</w:t>
      </w:r>
      <w:r>
        <w:rPr>
          <w:rFonts w:ascii="Times New Roman" w:eastAsia="宋体" w:hAnsi="Times New Roman" w:cs="Times New Roman"/>
          <w:sz w:val="28"/>
          <w:szCs w:val="28"/>
        </w:rPr>
        <w:t>管控内涵及指标设置要求，本环评对照该文件进行符合性分析，具体分析结果见表</w:t>
      </w:r>
      <w:r>
        <w:rPr>
          <w:rFonts w:ascii="Times New Roman" w:eastAsia="宋体" w:hAnsi="Times New Roman" w:cs="Times New Roman"/>
          <w:sz w:val="28"/>
          <w:szCs w:val="28"/>
        </w:rPr>
        <w:t>1.3-3</w:t>
      </w:r>
      <w:r>
        <w:rPr>
          <w:rFonts w:ascii="Times New Roman" w:eastAsia="宋体" w:hAnsi="Times New Roman" w:cs="Times New Roman"/>
          <w:sz w:val="28"/>
          <w:szCs w:val="28"/>
        </w:rPr>
        <w:t>所示。</w:t>
      </w:r>
    </w:p>
    <w:p w14:paraId="2911516D" w14:textId="77777777" w:rsidR="002133E3" w:rsidRDefault="002133E3">
      <w:pPr>
        <w:spacing w:line="500" w:lineRule="exact"/>
        <w:jc w:val="center"/>
        <w:rPr>
          <w:rFonts w:ascii="Times New Roman" w:eastAsia="宋体" w:hAnsi="Times New Roman" w:cs="Times New Roman"/>
          <w:b/>
          <w:szCs w:val="24"/>
        </w:rPr>
        <w:sectPr w:rsidR="002133E3">
          <w:headerReference w:type="default" r:id="rId11"/>
          <w:pgSz w:w="11906" w:h="16838"/>
          <w:pgMar w:top="1134" w:right="1134" w:bottom="1134" w:left="1134" w:header="851" w:footer="992" w:gutter="0"/>
          <w:cols w:space="425"/>
          <w:docGrid w:type="lines" w:linePitch="312"/>
        </w:sectPr>
      </w:pPr>
    </w:p>
    <w:p w14:paraId="186D7C4C"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lastRenderedPageBreak/>
        <w:t>表</w:t>
      </w:r>
      <w:r>
        <w:rPr>
          <w:rFonts w:ascii="Times New Roman" w:eastAsia="宋体" w:hAnsi="Times New Roman" w:cs="Times New Roman"/>
          <w:b/>
          <w:szCs w:val="24"/>
        </w:rPr>
        <w:t xml:space="preserve">1.3-3  </w:t>
      </w:r>
      <w:r>
        <w:rPr>
          <w:rFonts w:ascii="Times New Roman" w:eastAsia="宋体" w:hAnsi="Times New Roman" w:cs="Times New Roman"/>
          <w:b/>
          <w:szCs w:val="24"/>
        </w:rPr>
        <w:t>项目与当地环境质量底线的相符性分析表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4652"/>
        <w:gridCol w:w="8765"/>
        <w:gridCol w:w="668"/>
      </w:tblGrid>
      <w:tr w:rsidR="002133E3" w14:paraId="6A79E9D4" w14:textId="77777777">
        <w:trPr>
          <w:trHeight w:val="219"/>
          <w:jc w:val="center"/>
        </w:trPr>
        <w:tc>
          <w:tcPr>
            <w:tcW w:w="237" w:type="pct"/>
            <w:vAlign w:val="center"/>
          </w:tcPr>
          <w:p w14:paraId="3B461DD7"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指标设置</w:t>
            </w:r>
          </w:p>
        </w:tc>
        <w:tc>
          <w:tcPr>
            <w:tcW w:w="1573" w:type="pct"/>
            <w:vAlign w:val="center"/>
          </w:tcPr>
          <w:p w14:paraId="0BF39DB8"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管控内涵</w:t>
            </w:r>
          </w:p>
        </w:tc>
        <w:tc>
          <w:tcPr>
            <w:tcW w:w="2964" w:type="pct"/>
            <w:vAlign w:val="center"/>
          </w:tcPr>
          <w:p w14:paraId="1BF662CE"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项目情况</w:t>
            </w:r>
          </w:p>
        </w:tc>
        <w:tc>
          <w:tcPr>
            <w:tcW w:w="226" w:type="pct"/>
            <w:vAlign w:val="center"/>
          </w:tcPr>
          <w:p w14:paraId="56392CD6"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相符性</w:t>
            </w:r>
          </w:p>
        </w:tc>
      </w:tr>
      <w:tr w:rsidR="002133E3" w14:paraId="27BD6B53" w14:textId="77777777">
        <w:trPr>
          <w:trHeight w:val="340"/>
          <w:jc w:val="center"/>
        </w:trPr>
        <w:tc>
          <w:tcPr>
            <w:tcW w:w="237" w:type="pct"/>
            <w:vAlign w:val="center"/>
          </w:tcPr>
          <w:p w14:paraId="620C4CEB"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大气环境质量</w:t>
            </w:r>
          </w:p>
        </w:tc>
        <w:tc>
          <w:tcPr>
            <w:tcW w:w="1573" w:type="pct"/>
            <w:vAlign w:val="center"/>
          </w:tcPr>
          <w:p w14:paraId="0CEFCA96"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以达到《环境空气质量标准》</w:t>
            </w:r>
            <w:r>
              <w:rPr>
                <w:rFonts w:ascii="Times New Roman" w:eastAsia="宋体" w:hAnsi="Times New Roman" w:cs="Times New Roman"/>
                <w:szCs w:val="21"/>
              </w:rPr>
              <w:t>(GB3095-2012)</w:t>
            </w:r>
            <w:r>
              <w:rPr>
                <w:rFonts w:ascii="Times New Roman" w:eastAsia="宋体" w:hAnsi="Times New Roman" w:cs="Times New Roman"/>
                <w:szCs w:val="21"/>
              </w:rPr>
              <w:t>为主要目标，与《大气污染防治行动计划》相衔接，地区和区域大气环境质量不低于现状，向更好转变。</w:t>
            </w:r>
          </w:p>
        </w:tc>
        <w:tc>
          <w:tcPr>
            <w:tcW w:w="2964" w:type="pct"/>
            <w:vAlign w:val="center"/>
          </w:tcPr>
          <w:p w14:paraId="663B8F97" w14:textId="77777777" w:rsidR="002133E3" w:rsidRDefault="00C22CFA">
            <w:pPr>
              <w:keepNext/>
              <w:ind w:firstLineChars="200" w:firstLine="420"/>
              <w:outlineLvl w:val="3"/>
              <w:rPr>
                <w:rFonts w:ascii="Times New Roman" w:eastAsia="宋体" w:hAnsi="Times New Roman" w:cs="Times New Roman"/>
                <w:bCs/>
                <w:szCs w:val="21"/>
              </w:rPr>
            </w:pPr>
            <w:r>
              <w:rPr>
                <w:rFonts w:ascii="Times New Roman" w:eastAsia="宋体" w:hAnsi="Times New Roman" w:cs="Times New Roman"/>
                <w:bCs/>
                <w:szCs w:val="21"/>
              </w:rPr>
              <w:t>经调查，</w:t>
            </w:r>
            <w:r>
              <w:rPr>
                <w:rFonts w:ascii="Times New Roman" w:eastAsia="宋体" w:hAnsi="Times New Roman" w:cs="Times New Roman"/>
                <w:bCs/>
                <w:szCs w:val="21"/>
              </w:rPr>
              <w:t>2018</w:t>
            </w:r>
            <w:r>
              <w:rPr>
                <w:rFonts w:ascii="Times New Roman" w:eastAsia="宋体" w:hAnsi="Times New Roman" w:cs="Times New Roman"/>
                <w:bCs/>
                <w:szCs w:val="21"/>
              </w:rPr>
              <w:t>年连云港市环境空气中，</w:t>
            </w:r>
            <w:r>
              <w:rPr>
                <w:rFonts w:ascii="Times New Roman" w:eastAsia="宋体" w:hAnsi="Times New Roman" w:cs="Times New Roman"/>
                <w:bCs/>
                <w:szCs w:val="21"/>
              </w:rPr>
              <w:t>SO</w:t>
            </w:r>
            <w:r>
              <w:rPr>
                <w:rFonts w:ascii="Times New Roman" w:eastAsia="宋体" w:hAnsi="Times New Roman" w:cs="Times New Roman"/>
                <w:bCs/>
                <w:szCs w:val="21"/>
                <w:vertAlign w:val="subscript"/>
              </w:rPr>
              <w:t>2</w:t>
            </w:r>
            <w:r>
              <w:rPr>
                <w:rFonts w:ascii="Times New Roman" w:eastAsia="宋体" w:hAnsi="Times New Roman" w:cs="Times New Roman"/>
                <w:bCs/>
                <w:szCs w:val="21"/>
              </w:rPr>
              <w:t>、</w:t>
            </w:r>
            <w:r>
              <w:rPr>
                <w:rFonts w:ascii="Times New Roman" w:eastAsia="宋体" w:hAnsi="Times New Roman" w:cs="Times New Roman"/>
                <w:bCs/>
                <w:szCs w:val="21"/>
              </w:rPr>
              <w:t>NO</w:t>
            </w:r>
            <w:r>
              <w:rPr>
                <w:rFonts w:ascii="Times New Roman" w:eastAsia="宋体" w:hAnsi="Times New Roman" w:cs="Times New Roman"/>
                <w:bCs/>
                <w:szCs w:val="21"/>
                <w:vertAlign w:val="subscript"/>
              </w:rPr>
              <w:t>2</w:t>
            </w:r>
            <w:r>
              <w:rPr>
                <w:rFonts w:ascii="Times New Roman" w:eastAsia="宋体" w:hAnsi="Times New Roman" w:cs="Times New Roman"/>
                <w:bCs/>
                <w:szCs w:val="21"/>
              </w:rPr>
              <w:t>、</w:t>
            </w:r>
            <w:r>
              <w:rPr>
                <w:rFonts w:ascii="Times New Roman" w:eastAsia="宋体" w:hAnsi="Times New Roman" w:cs="Times New Roman"/>
                <w:bCs/>
                <w:szCs w:val="21"/>
              </w:rPr>
              <w:t>PM</w:t>
            </w:r>
            <w:r>
              <w:rPr>
                <w:rFonts w:ascii="Times New Roman" w:eastAsia="宋体" w:hAnsi="Times New Roman" w:cs="Times New Roman"/>
                <w:bCs/>
                <w:szCs w:val="21"/>
                <w:vertAlign w:val="subscript"/>
              </w:rPr>
              <w:t>10</w:t>
            </w:r>
            <w:r>
              <w:rPr>
                <w:rFonts w:ascii="Times New Roman" w:eastAsia="宋体" w:hAnsi="Times New Roman" w:cs="Times New Roman"/>
                <w:bCs/>
                <w:szCs w:val="21"/>
              </w:rPr>
              <w:t>年平均浓度、</w:t>
            </w:r>
            <w:r>
              <w:rPr>
                <w:rFonts w:ascii="Times New Roman" w:eastAsia="宋体" w:hAnsi="Times New Roman" w:cs="Times New Roman"/>
                <w:bCs/>
                <w:szCs w:val="21"/>
              </w:rPr>
              <w:t>CO</w:t>
            </w:r>
            <w:r>
              <w:rPr>
                <w:rFonts w:ascii="Times New Roman" w:eastAsia="宋体" w:hAnsi="Times New Roman" w:cs="Times New Roman"/>
                <w:bCs/>
                <w:szCs w:val="21"/>
              </w:rPr>
              <w:t>日均值的第</w:t>
            </w:r>
            <w:r>
              <w:rPr>
                <w:rFonts w:ascii="Times New Roman" w:eastAsia="宋体" w:hAnsi="Times New Roman" w:cs="Times New Roman"/>
                <w:bCs/>
                <w:szCs w:val="21"/>
              </w:rPr>
              <w:t>95</w:t>
            </w:r>
            <w:r>
              <w:rPr>
                <w:rFonts w:ascii="Times New Roman" w:eastAsia="宋体" w:hAnsi="Times New Roman" w:cs="Times New Roman"/>
                <w:bCs/>
                <w:szCs w:val="21"/>
              </w:rPr>
              <w:t>百分位浓度均符合国家二级标准要求；</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年平均浓度、臭氧</w:t>
            </w:r>
            <w:r>
              <w:rPr>
                <w:rFonts w:ascii="Times New Roman" w:eastAsia="宋体" w:hAnsi="Times New Roman" w:cs="Times New Roman"/>
                <w:bCs/>
                <w:szCs w:val="21"/>
              </w:rPr>
              <w:t>8</w:t>
            </w:r>
            <w:r>
              <w:rPr>
                <w:rFonts w:ascii="Times New Roman" w:eastAsia="宋体" w:hAnsi="Times New Roman" w:cs="Times New Roman"/>
                <w:bCs/>
                <w:szCs w:val="21"/>
              </w:rPr>
              <w:t>小时第</w:t>
            </w:r>
            <w:r>
              <w:rPr>
                <w:rFonts w:ascii="Times New Roman" w:eastAsia="宋体" w:hAnsi="Times New Roman" w:cs="Times New Roman"/>
                <w:bCs/>
                <w:szCs w:val="21"/>
              </w:rPr>
              <w:t>90</w:t>
            </w:r>
            <w:r>
              <w:rPr>
                <w:rFonts w:ascii="Times New Roman" w:eastAsia="宋体" w:hAnsi="Times New Roman" w:cs="Times New Roman"/>
                <w:bCs/>
                <w:szCs w:val="21"/>
              </w:rPr>
              <w:t>位百分位浓度均超过《环境空气质量标准》（</w:t>
            </w:r>
            <w:r>
              <w:rPr>
                <w:rFonts w:ascii="Times New Roman" w:eastAsia="宋体" w:hAnsi="Times New Roman" w:cs="Times New Roman"/>
                <w:bCs/>
                <w:szCs w:val="21"/>
              </w:rPr>
              <w:t>GB3095-2012</w:t>
            </w:r>
            <w:r>
              <w:rPr>
                <w:rFonts w:ascii="Times New Roman" w:eastAsia="宋体" w:hAnsi="Times New Roman" w:cs="Times New Roman"/>
                <w:bCs/>
                <w:szCs w:val="21"/>
              </w:rPr>
              <w:t>）二级标准值。</w:t>
            </w:r>
          </w:p>
          <w:p w14:paraId="16008F6A" w14:textId="77777777" w:rsidR="002133E3" w:rsidRDefault="00C22CFA">
            <w:pPr>
              <w:ind w:firstLineChars="200" w:firstLine="420"/>
              <w:rPr>
                <w:rFonts w:ascii="Times New Roman" w:eastAsia="宋体" w:hAnsi="Times New Roman" w:cs="Times New Roman"/>
                <w:bCs/>
                <w:szCs w:val="21"/>
              </w:rPr>
            </w:pPr>
            <w:r>
              <w:rPr>
                <w:rFonts w:ascii="Times New Roman" w:eastAsia="宋体" w:hAnsi="Times New Roman" w:cs="Times New Roman"/>
                <w:bCs/>
                <w:szCs w:val="21"/>
              </w:rPr>
              <w:t>连云港市环境空气质量达标规划由环境保护部华南环境科学研究所编制，</w:t>
            </w:r>
            <w:r>
              <w:rPr>
                <w:rFonts w:ascii="Times New Roman" w:eastAsia="宋体" w:hAnsi="Times New Roman" w:cs="Times New Roman"/>
                <w:bCs/>
                <w:szCs w:val="21"/>
              </w:rPr>
              <w:t>2016</w:t>
            </w:r>
            <w:r>
              <w:rPr>
                <w:rFonts w:ascii="Times New Roman" w:eastAsia="宋体" w:hAnsi="Times New Roman" w:cs="Times New Roman"/>
                <w:bCs/>
                <w:szCs w:val="21"/>
              </w:rPr>
              <w:t>年</w:t>
            </w:r>
            <w:r>
              <w:rPr>
                <w:rFonts w:ascii="Times New Roman" w:eastAsia="宋体" w:hAnsi="Times New Roman" w:cs="Times New Roman"/>
                <w:bCs/>
                <w:szCs w:val="21"/>
              </w:rPr>
              <w:t>9</w:t>
            </w:r>
            <w:r>
              <w:rPr>
                <w:rFonts w:ascii="Times New Roman" w:eastAsia="宋体" w:hAnsi="Times New Roman" w:cs="Times New Roman"/>
                <w:bCs/>
                <w:szCs w:val="21"/>
              </w:rPr>
              <w:t>月获得连云港市人民政府批复（批复文号：连政复</w:t>
            </w:r>
            <w:r>
              <w:rPr>
                <w:rFonts w:ascii="Times New Roman" w:eastAsia="宋体" w:hAnsi="Times New Roman" w:cs="Times New Roman"/>
                <w:bCs/>
                <w:szCs w:val="21"/>
              </w:rPr>
              <w:t>[2016]38</w:t>
            </w:r>
            <w:r>
              <w:rPr>
                <w:rFonts w:ascii="Times New Roman" w:eastAsia="宋体" w:hAnsi="Times New Roman" w:cs="Times New Roman"/>
                <w:bCs/>
                <w:szCs w:val="21"/>
              </w:rPr>
              <w:t>号）。在落实了《连云港市空气质量达标规划》中的减排方案后，</w:t>
            </w:r>
            <w:r>
              <w:rPr>
                <w:rFonts w:ascii="Times New Roman" w:eastAsia="宋体" w:hAnsi="Times New Roman" w:cs="Times New Roman"/>
                <w:bCs/>
                <w:szCs w:val="21"/>
              </w:rPr>
              <w:t>2020</w:t>
            </w:r>
            <w:r>
              <w:rPr>
                <w:rFonts w:ascii="Times New Roman" w:eastAsia="宋体" w:hAnsi="Times New Roman" w:cs="Times New Roman"/>
                <w:bCs/>
                <w:szCs w:val="21"/>
              </w:rPr>
              <w:t>年</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浓度相比</w:t>
            </w:r>
            <w:r>
              <w:rPr>
                <w:rFonts w:ascii="Times New Roman" w:eastAsia="宋体" w:hAnsi="Times New Roman" w:cs="Times New Roman"/>
                <w:bCs/>
                <w:szCs w:val="21"/>
              </w:rPr>
              <w:t>2014</w:t>
            </w:r>
            <w:r>
              <w:rPr>
                <w:rFonts w:ascii="Times New Roman" w:eastAsia="宋体" w:hAnsi="Times New Roman" w:cs="Times New Roman"/>
                <w:bCs/>
                <w:szCs w:val="21"/>
              </w:rPr>
              <w:t>年下降</w:t>
            </w:r>
            <w:r>
              <w:rPr>
                <w:rFonts w:ascii="Times New Roman" w:eastAsia="宋体" w:hAnsi="Times New Roman" w:cs="Times New Roman"/>
                <w:bCs/>
                <w:szCs w:val="21"/>
              </w:rPr>
              <w:t>31.7%</w:t>
            </w:r>
            <w:r>
              <w:rPr>
                <w:rFonts w:ascii="Times New Roman" w:eastAsia="宋体" w:hAnsi="Times New Roman" w:cs="Times New Roman"/>
                <w:bCs/>
                <w:szCs w:val="21"/>
              </w:rPr>
              <w:t>，年均浓度</w:t>
            </w:r>
            <w:r>
              <w:rPr>
                <w:rFonts w:ascii="Times New Roman" w:eastAsia="宋体" w:hAnsi="Times New Roman" w:cs="Times New Roman"/>
                <w:bCs/>
                <w:szCs w:val="21"/>
              </w:rPr>
              <w:t>43.9</w:t>
            </w:r>
            <w:r>
              <w:rPr>
                <w:rFonts w:ascii="Times New Roman" w:eastAsia="宋体" w:hAnsi="Times New Roman" w:cs="Times New Roman"/>
                <w:bCs/>
                <w:szCs w:val="21"/>
              </w:rPr>
              <w:t>微克</w:t>
            </w:r>
            <w:r>
              <w:rPr>
                <w:rFonts w:ascii="Times New Roman" w:eastAsia="宋体" w:hAnsi="Times New Roman" w:cs="Times New Roman"/>
                <w:bCs/>
                <w:szCs w:val="21"/>
              </w:rPr>
              <w:t>/</w:t>
            </w:r>
            <w:r>
              <w:rPr>
                <w:rFonts w:ascii="Times New Roman" w:eastAsia="宋体" w:hAnsi="Times New Roman" w:cs="Times New Roman"/>
                <w:bCs/>
                <w:szCs w:val="21"/>
              </w:rPr>
              <w:t>立方米，基本达到污染控制目标（下降</w:t>
            </w:r>
            <w:r>
              <w:rPr>
                <w:rFonts w:ascii="Times New Roman" w:eastAsia="宋体" w:hAnsi="Times New Roman" w:cs="Times New Roman"/>
                <w:bCs/>
                <w:szCs w:val="21"/>
              </w:rPr>
              <w:t xml:space="preserve"> 28%</w:t>
            </w:r>
            <w:r>
              <w:rPr>
                <w:rFonts w:ascii="Times New Roman" w:eastAsia="宋体" w:hAnsi="Times New Roman" w:cs="Times New Roman"/>
                <w:bCs/>
                <w:szCs w:val="21"/>
              </w:rPr>
              <w:t>），</w:t>
            </w:r>
            <w:r>
              <w:rPr>
                <w:rFonts w:ascii="Times New Roman" w:eastAsia="宋体" w:hAnsi="Times New Roman" w:cs="Times New Roman"/>
                <w:bCs/>
                <w:szCs w:val="21"/>
              </w:rPr>
              <w:t>2030</w:t>
            </w:r>
            <w:r>
              <w:rPr>
                <w:rFonts w:ascii="Times New Roman" w:eastAsia="宋体" w:hAnsi="Times New Roman" w:cs="Times New Roman"/>
                <w:bCs/>
                <w:szCs w:val="21"/>
              </w:rPr>
              <w:t>年</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浓度相比</w:t>
            </w:r>
            <w:r>
              <w:rPr>
                <w:rFonts w:ascii="Times New Roman" w:eastAsia="宋体" w:hAnsi="Times New Roman" w:cs="Times New Roman"/>
                <w:bCs/>
                <w:szCs w:val="21"/>
              </w:rPr>
              <w:t>2014</w:t>
            </w:r>
            <w:r>
              <w:rPr>
                <w:rFonts w:ascii="Times New Roman" w:eastAsia="宋体" w:hAnsi="Times New Roman" w:cs="Times New Roman"/>
                <w:bCs/>
                <w:szCs w:val="21"/>
              </w:rPr>
              <w:t>年下降</w:t>
            </w:r>
            <w:r>
              <w:rPr>
                <w:rFonts w:ascii="Times New Roman" w:eastAsia="宋体" w:hAnsi="Times New Roman" w:cs="Times New Roman"/>
                <w:bCs/>
                <w:szCs w:val="21"/>
              </w:rPr>
              <w:t>46%</w:t>
            </w:r>
            <w:r>
              <w:rPr>
                <w:rFonts w:ascii="Times New Roman" w:eastAsia="宋体" w:hAnsi="Times New Roman" w:cs="Times New Roman"/>
                <w:bCs/>
                <w:szCs w:val="21"/>
              </w:rPr>
              <w:t>，年均浓度</w:t>
            </w:r>
            <w:r>
              <w:rPr>
                <w:rFonts w:ascii="Times New Roman" w:eastAsia="宋体" w:hAnsi="Times New Roman" w:cs="Times New Roman"/>
                <w:bCs/>
                <w:szCs w:val="21"/>
              </w:rPr>
              <w:t>33.05</w:t>
            </w:r>
            <w:r>
              <w:rPr>
                <w:rFonts w:ascii="Times New Roman" w:eastAsia="宋体" w:hAnsi="Times New Roman" w:cs="Times New Roman"/>
                <w:bCs/>
                <w:szCs w:val="21"/>
              </w:rPr>
              <w:t>微克</w:t>
            </w:r>
            <w:r>
              <w:rPr>
                <w:rFonts w:ascii="Times New Roman" w:eastAsia="宋体" w:hAnsi="Times New Roman" w:cs="Times New Roman"/>
                <w:bCs/>
                <w:szCs w:val="21"/>
              </w:rPr>
              <w:t>/</w:t>
            </w:r>
            <w:r>
              <w:rPr>
                <w:rFonts w:ascii="Times New Roman" w:eastAsia="宋体" w:hAnsi="Times New Roman" w:cs="Times New Roman"/>
                <w:bCs/>
                <w:szCs w:val="21"/>
              </w:rPr>
              <w:t>立方米，占标率</w:t>
            </w:r>
            <w:r>
              <w:rPr>
                <w:rFonts w:ascii="Times New Roman" w:eastAsia="宋体" w:hAnsi="Times New Roman" w:cs="Times New Roman"/>
                <w:bCs/>
                <w:szCs w:val="21"/>
              </w:rPr>
              <w:t>94.42%</w:t>
            </w:r>
            <w:r>
              <w:rPr>
                <w:rFonts w:ascii="Times New Roman" w:eastAsia="宋体" w:hAnsi="Times New Roman" w:cs="Times New Roman"/>
                <w:bCs/>
                <w:szCs w:val="21"/>
              </w:rPr>
              <w:t>，优于二级标准要求。</w:t>
            </w:r>
          </w:p>
          <w:p w14:paraId="2E8A9D24"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bCs/>
                <w:szCs w:val="21"/>
              </w:rPr>
              <w:t>据《连云港市空气质量达标规划报告》，赣榆区是改善连云港市环境空气质量的</w:t>
            </w:r>
            <w:r>
              <w:rPr>
                <w:rFonts w:ascii="Times New Roman" w:eastAsia="宋体" w:hAnsi="Times New Roman" w:cs="Times New Roman"/>
                <w:bCs/>
                <w:szCs w:val="21"/>
              </w:rPr>
              <w:t>2016-2020</w:t>
            </w:r>
            <w:r>
              <w:rPr>
                <w:rFonts w:ascii="Times New Roman" w:eastAsia="宋体" w:hAnsi="Times New Roman" w:cs="Times New Roman"/>
                <w:bCs/>
                <w:szCs w:val="21"/>
              </w:rPr>
              <w:t>年重点工程中烟（粉）尘减排的重点区域之一，赣榆区已实施区域大气环境综合整治工程，工程实施后可对赣榆区的环境空气质量</w:t>
            </w:r>
            <w:r>
              <w:rPr>
                <w:rFonts w:ascii="Times New Roman" w:eastAsia="宋体" w:hAnsi="Times New Roman" w:cs="Times New Roman"/>
                <w:bCs/>
                <w:szCs w:val="21"/>
              </w:rPr>
              <w:t>(PM</w:t>
            </w:r>
            <w:r>
              <w:rPr>
                <w:rFonts w:ascii="Times New Roman" w:eastAsia="宋体" w:hAnsi="Times New Roman" w:cs="Times New Roman"/>
                <w:bCs/>
                <w:szCs w:val="21"/>
                <w:vertAlign w:val="subscript"/>
              </w:rPr>
              <w:t>10</w:t>
            </w:r>
            <w:r>
              <w:rPr>
                <w:rFonts w:ascii="Times New Roman" w:eastAsia="宋体" w:hAnsi="Times New Roman" w:cs="Times New Roman"/>
                <w:bCs/>
                <w:szCs w:val="21"/>
              </w:rPr>
              <w:t>、</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w:t>
            </w:r>
            <w:r>
              <w:rPr>
                <w:rFonts w:ascii="Times New Roman" w:eastAsia="宋体" w:hAnsi="Times New Roman" w:cs="Times New Roman"/>
                <w:bCs/>
                <w:szCs w:val="21"/>
              </w:rPr>
              <w:t>带来极大改善。全市也在积极响应省政府</w:t>
            </w:r>
            <w:r>
              <w:rPr>
                <w:rFonts w:ascii="Times New Roman" w:eastAsia="宋体" w:hAnsi="Times New Roman" w:cs="Times New Roman"/>
                <w:bCs/>
                <w:szCs w:val="21"/>
              </w:rPr>
              <w:t>“</w:t>
            </w:r>
            <w:r>
              <w:rPr>
                <w:rFonts w:ascii="Times New Roman" w:eastAsia="宋体" w:hAnsi="Times New Roman" w:cs="Times New Roman"/>
                <w:bCs/>
                <w:szCs w:val="21"/>
              </w:rPr>
              <w:t>两减六治三提升</w:t>
            </w:r>
            <w:r>
              <w:rPr>
                <w:rFonts w:ascii="Times New Roman" w:eastAsia="宋体" w:hAnsi="Times New Roman" w:cs="Times New Roman"/>
                <w:bCs/>
                <w:szCs w:val="21"/>
              </w:rPr>
              <w:t>”</w:t>
            </w:r>
            <w:r>
              <w:rPr>
                <w:rFonts w:ascii="Times New Roman" w:eastAsia="宋体" w:hAnsi="Times New Roman" w:cs="Times New Roman"/>
                <w:bCs/>
                <w:szCs w:val="21"/>
              </w:rPr>
              <w:t>专项行动。</w:t>
            </w:r>
            <w:r>
              <w:rPr>
                <w:rFonts w:ascii="Times New Roman" w:eastAsia="宋体" w:hAnsi="Times New Roman" w:cs="Times New Roman"/>
                <w:bCs/>
                <w:szCs w:val="21"/>
              </w:rPr>
              <w:t>“</w:t>
            </w:r>
            <w:r>
              <w:rPr>
                <w:rFonts w:ascii="Times New Roman" w:eastAsia="宋体" w:hAnsi="Times New Roman" w:cs="Times New Roman"/>
                <w:bCs/>
                <w:szCs w:val="21"/>
              </w:rPr>
              <w:t>两减六治三提升</w:t>
            </w:r>
            <w:r>
              <w:rPr>
                <w:rFonts w:ascii="Times New Roman" w:eastAsia="宋体" w:hAnsi="Times New Roman" w:cs="Times New Roman"/>
                <w:bCs/>
                <w:szCs w:val="21"/>
              </w:rPr>
              <w:t>”</w:t>
            </w:r>
            <w:r>
              <w:rPr>
                <w:rFonts w:ascii="Times New Roman" w:eastAsia="宋体" w:hAnsi="Times New Roman" w:cs="Times New Roman"/>
                <w:bCs/>
                <w:szCs w:val="21"/>
              </w:rPr>
              <w:t>专项行动方案中的主要工作举措包括：减少煤炭消费总量；减少落后化工产能；治理挥发性有机物污染。随着各项废气整治方案的逐步实施，环境质量状况能够得到提高。</w:t>
            </w:r>
          </w:p>
        </w:tc>
        <w:tc>
          <w:tcPr>
            <w:tcW w:w="226" w:type="pct"/>
            <w:vAlign w:val="center"/>
          </w:tcPr>
          <w:p w14:paraId="16BB3A6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相符</w:t>
            </w:r>
          </w:p>
        </w:tc>
      </w:tr>
      <w:tr w:rsidR="002133E3" w14:paraId="250BE265" w14:textId="77777777">
        <w:trPr>
          <w:trHeight w:val="340"/>
          <w:jc w:val="center"/>
        </w:trPr>
        <w:tc>
          <w:tcPr>
            <w:tcW w:w="237" w:type="pct"/>
            <w:vAlign w:val="center"/>
          </w:tcPr>
          <w:p w14:paraId="28CB0F11"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水环境质量</w:t>
            </w:r>
          </w:p>
        </w:tc>
        <w:tc>
          <w:tcPr>
            <w:tcW w:w="1573" w:type="pct"/>
            <w:vAlign w:val="center"/>
          </w:tcPr>
          <w:p w14:paraId="110DD6B2"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以水环境质量持续改善为目标，与《水污染防治行动计划》、《国务院关于实行最严格水资源管理制度的意见》相衔接，各地区、各流域水质优良比例不低于现状，向更好转变。</w:t>
            </w:r>
          </w:p>
        </w:tc>
        <w:tc>
          <w:tcPr>
            <w:tcW w:w="2964" w:type="pct"/>
            <w:vAlign w:val="center"/>
          </w:tcPr>
          <w:p w14:paraId="5AF22422" w14:textId="77777777" w:rsidR="002133E3" w:rsidRDefault="00C22CFA">
            <w:pPr>
              <w:ind w:firstLineChars="200" w:firstLine="420"/>
              <w:jc w:val="left"/>
              <w:rPr>
                <w:rFonts w:ascii="Times New Roman" w:eastAsia="宋体" w:hAnsi="Times New Roman" w:cs="Times New Roman"/>
                <w:szCs w:val="21"/>
                <w:highlight w:val="yellow"/>
              </w:rPr>
            </w:pPr>
            <w:r>
              <w:rPr>
                <w:rFonts w:ascii="Times New Roman" w:eastAsia="宋体" w:hAnsi="Times New Roman" w:cs="Times New Roman"/>
                <w:szCs w:val="21"/>
              </w:rPr>
              <w:t>从地表水现状监测结果可以看出，兴庄河化学需氧量、氨氮、总磷、石油类超标，其它指标均能满足《地表水环境质量标准》</w:t>
            </w:r>
            <w:r>
              <w:rPr>
                <w:rFonts w:ascii="宋体" w:eastAsia="宋体" w:hAnsi="宋体" w:cs="宋体" w:hint="eastAsia"/>
                <w:szCs w:val="21"/>
              </w:rPr>
              <w:t>Ⅲ</w:t>
            </w:r>
            <w:r>
              <w:rPr>
                <w:rFonts w:ascii="Times New Roman" w:eastAsia="宋体" w:hAnsi="Times New Roman" w:cs="Times New Roman"/>
                <w:szCs w:val="21"/>
              </w:rPr>
              <w:t>类水相应要求。区域已制定了《赣榆区兴庄河水体达标整治方案》，根据方案结论，在落实各项整治措施的基础上，兴庄河水质将明显得到改善。</w:t>
            </w:r>
          </w:p>
        </w:tc>
        <w:tc>
          <w:tcPr>
            <w:tcW w:w="226" w:type="pct"/>
            <w:vAlign w:val="center"/>
          </w:tcPr>
          <w:p w14:paraId="16611268" w14:textId="77777777" w:rsidR="002133E3" w:rsidRDefault="00C22CFA">
            <w:pPr>
              <w:jc w:val="center"/>
              <w:rPr>
                <w:rFonts w:ascii="Times New Roman" w:eastAsia="宋体" w:hAnsi="Times New Roman" w:cs="Times New Roman"/>
                <w:szCs w:val="21"/>
                <w:highlight w:val="yellow"/>
              </w:rPr>
            </w:pPr>
            <w:r>
              <w:rPr>
                <w:rFonts w:ascii="Times New Roman" w:eastAsia="宋体" w:hAnsi="Times New Roman" w:cs="Times New Roman"/>
                <w:szCs w:val="21"/>
              </w:rPr>
              <w:t>相符</w:t>
            </w:r>
          </w:p>
        </w:tc>
      </w:tr>
      <w:tr w:rsidR="002133E3" w14:paraId="51FFCC35" w14:textId="77777777">
        <w:trPr>
          <w:trHeight w:val="340"/>
          <w:jc w:val="center"/>
        </w:trPr>
        <w:tc>
          <w:tcPr>
            <w:tcW w:w="237" w:type="pct"/>
            <w:vAlign w:val="center"/>
          </w:tcPr>
          <w:p w14:paraId="53F90286"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土壤环境质量</w:t>
            </w:r>
          </w:p>
        </w:tc>
        <w:tc>
          <w:tcPr>
            <w:tcW w:w="1573" w:type="pct"/>
            <w:vAlign w:val="center"/>
          </w:tcPr>
          <w:p w14:paraId="12E2B39C"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以农用地土壤镉</w:t>
            </w:r>
            <w:r>
              <w:rPr>
                <w:rFonts w:ascii="Times New Roman" w:eastAsia="宋体" w:hAnsi="Times New Roman" w:cs="Times New Roman"/>
                <w:szCs w:val="21"/>
              </w:rPr>
              <w:t>(Cd)</w:t>
            </w:r>
            <w:r>
              <w:rPr>
                <w:rFonts w:ascii="Times New Roman" w:eastAsia="宋体" w:hAnsi="Times New Roman" w:cs="Times New Roman"/>
                <w:szCs w:val="21"/>
              </w:rPr>
              <w:t>、汞</w:t>
            </w:r>
            <w:r>
              <w:rPr>
                <w:rFonts w:ascii="Times New Roman" w:eastAsia="宋体" w:hAnsi="Times New Roman" w:cs="Times New Roman"/>
                <w:szCs w:val="21"/>
              </w:rPr>
              <w:t>(Hg)</w:t>
            </w:r>
            <w:r>
              <w:rPr>
                <w:rFonts w:ascii="Times New Roman" w:eastAsia="宋体" w:hAnsi="Times New Roman" w:cs="Times New Roman"/>
                <w:szCs w:val="21"/>
              </w:rPr>
              <w:t>、砷</w:t>
            </w:r>
            <w:r>
              <w:rPr>
                <w:rFonts w:ascii="Times New Roman" w:eastAsia="宋体" w:hAnsi="Times New Roman" w:cs="Times New Roman"/>
                <w:szCs w:val="21"/>
              </w:rPr>
              <w:t>(As)</w:t>
            </w:r>
            <w:r>
              <w:rPr>
                <w:rFonts w:ascii="Times New Roman" w:eastAsia="宋体" w:hAnsi="Times New Roman" w:cs="Times New Roman"/>
                <w:szCs w:val="21"/>
              </w:rPr>
              <w:t>、铅</w:t>
            </w:r>
            <w:r>
              <w:rPr>
                <w:rFonts w:ascii="Times New Roman" w:eastAsia="宋体" w:hAnsi="Times New Roman" w:cs="Times New Roman"/>
                <w:szCs w:val="21"/>
              </w:rPr>
              <w:t>(Pb)</w:t>
            </w:r>
            <w:r>
              <w:rPr>
                <w:rFonts w:ascii="Times New Roman" w:eastAsia="宋体" w:hAnsi="Times New Roman" w:cs="Times New Roman"/>
                <w:szCs w:val="21"/>
              </w:rPr>
              <w:t>、铬</w:t>
            </w:r>
            <w:r>
              <w:rPr>
                <w:rFonts w:ascii="Times New Roman" w:eastAsia="宋体" w:hAnsi="Times New Roman" w:cs="Times New Roman"/>
                <w:szCs w:val="21"/>
              </w:rPr>
              <w:t>(Cr)</w:t>
            </w:r>
            <w:r>
              <w:rPr>
                <w:rFonts w:ascii="Times New Roman" w:eastAsia="宋体" w:hAnsi="Times New Roman" w:cs="Times New Roman"/>
                <w:szCs w:val="21"/>
              </w:rPr>
              <w:t>等重金属和多环芳烃、石油烃等有机污染物含量为主要指标，设置农用地土壤环境质量底线指标，与国家有关土壤污染防治计划规划相衔接，各地区农用地土壤环境质量达标率不低于现状，向更好转变。条件成熟地区，应将城市、工矿等污染地块环境质量纳入底线管理。</w:t>
            </w:r>
          </w:p>
        </w:tc>
        <w:tc>
          <w:tcPr>
            <w:tcW w:w="2964" w:type="pct"/>
            <w:vAlign w:val="center"/>
          </w:tcPr>
          <w:p w14:paraId="1E1134DA"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根据环境现状监测，项目所在区域土壤监测因子均符合《土壤环境质量</w:t>
            </w:r>
            <w:r>
              <w:rPr>
                <w:rFonts w:ascii="Times New Roman" w:eastAsia="宋体" w:hAnsi="Times New Roman" w:cs="Times New Roman"/>
                <w:szCs w:val="21"/>
              </w:rPr>
              <w:t xml:space="preserve"> </w:t>
            </w:r>
            <w:r>
              <w:rPr>
                <w:rFonts w:ascii="Times New Roman" w:eastAsia="宋体" w:hAnsi="Times New Roman" w:cs="Times New Roman"/>
                <w:szCs w:val="21"/>
              </w:rPr>
              <w:t>建设用地土壤污染风险管控标准》</w:t>
            </w:r>
            <w:r>
              <w:rPr>
                <w:rFonts w:ascii="Times New Roman" w:eastAsia="宋体" w:hAnsi="Times New Roman" w:cs="Times New Roman"/>
                <w:szCs w:val="21"/>
              </w:rPr>
              <w:t>(GB36600-2018)</w:t>
            </w:r>
            <w:r>
              <w:rPr>
                <w:rFonts w:ascii="Times New Roman" w:eastAsia="宋体" w:hAnsi="Times New Roman" w:cs="Times New Roman"/>
                <w:szCs w:val="21"/>
              </w:rPr>
              <w:t>中表</w:t>
            </w:r>
            <w:r>
              <w:rPr>
                <w:rFonts w:ascii="Times New Roman" w:eastAsia="宋体" w:hAnsi="Times New Roman" w:cs="Times New Roman"/>
                <w:szCs w:val="21"/>
              </w:rPr>
              <w:t>1</w:t>
            </w:r>
            <w:r>
              <w:rPr>
                <w:rFonts w:ascii="Times New Roman" w:eastAsia="宋体" w:hAnsi="Times New Roman" w:cs="Times New Roman"/>
                <w:szCs w:val="21"/>
              </w:rPr>
              <w:t>的第二类用地筛选值，土壤环境质量较好。</w:t>
            </w:r>
          </w:p>
        </w:tc>
        <w:tc>
          <w:tcPr>
            <w:tcW w:w="226" w:type="pct"/>
            <w:vAlign w:val="center"/>
          </w:tcPr>
          <w:p w14:paraId="152546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相符</w:t>
            </w:r>
          </w:p>
        </w:tc>
      </w:tr>
    </w:tbl>
    <w:p w14:paraId="5D49E8E4" w14:textId="77777777" w:rsidR="002133E3" w:rsidRDefault="002133E3">
      <w:pPr>
        <w:spacing w:line="500" w:lineRule="exact"/>
        <w:jc w:val="center"/>
        <w:rPr>
          <w:rFonts w:ascii="Times New Roman" w:eastAsia="宋体" w:hAnsi="Times New Roman" w:cs="Times New Roman"/>
          <w:b/>
          <w:szCs w:val="24"/>
        </w:rPr>
      </w:pPr>
    </w:p>
    <w:p w14:paraId="77785249" w14:textId="77777777" w:rsidR="002133E3" w:rsidRDefault="002133E3">
      <w:pPr>
        <w:pStyle w:val="affff3"/>
        <w:tabs>
          <w:tab w:val="left" w:pos="851"/>
        </w:tabs>
        <w:snapToGrid w:val="0"/>
        <w:spacing w:line="500" w:lineRule="atLeast"/>
        <w:ind w:firstLineChars="0" w:firstLine="0"/>
        <w:outlineLvl w:val="2"/>
        <w:rPr>
          <w:rFonts w:ascii="Times New Roman" w:eastAsia="宋体" w:hAnsi="Times New Roman" w:cs="Times New Roman"/>
          <w:b/>
          <w:sz w:val="30"/>
          <w:szCs w:val="30"/>
        </w:rPr>
        <w:sectPr w:rsidR="002133E3">
          <w:pgSz w:w="16838" w:h="11906" w:orient="landscape"/>
          <w:pgMar w:top="1134" w:right="1134" w:bottom="1134" w:left="1134" w:header="851" w:footer="992" w:gutter="0"/>
          <w:cols w:space="425"/>
          <w:docGrid w:type="linesAndChars" w:linePitch="312"/>
        </w:sectPr>
      </w:pPr>
    </w:p>
    <w:p w14:paraId="5DF9A418"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lastRenderedPageBreak/>
        <w:t xml:space="preserve">(2) </w:t>
      </w:r>
      <w:r>
        <w:rPr>
          <w:rFonts w:ascii="Times New Roman" w:eastAsia="宋体" w:hAnsi="Times New Roman" w:cs="Times New Roman"/>
          <w:sz w:val="28"/>
          <w:szCs w:val="28"/>
        </w:rPr>
        <w:t>与《关于印发连云港市环境质量底线管理办法</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的通知》相符性</w:t>
      </w:r>
    </w:p>
    <w:p w14:paraId="4D190402" w14:textId="77777777" w:rsidR="002133E3" w:rsidRDefault="00C22CFA">
      <w:pPr>
        <w:spacing w:line="500" w:lineRule="exact"/>
        <w:ind w:right="57"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根据《关于印发连云港市环境质量底线管理办法</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的通知》连政办发</w:t>
      </w:r>
      <w:r>
        <w:rPr>
          <w:rFonts w:ascii="Times New Roman" w:eastAsia="宋体" w:hAnsi="Times New Roman" w:cs="Times New Roman"/>
          <w:sz w:val="28"/>
          <w:szCs w:val="28"/>
        </w:rPr>
        <w:t>[2018]38</w:t>
      </w:r>
      <w:r>
        <w:rPr>
          <w:rFonts w:ascii="Times New Roman" w:eastAsia="宋体" w:hAnsi="Times New Roman" w:cs="Times New Roman"/>
          <w:sz w:val="28"/>
          <w:szCs w:val="28"/>
        </w:rPr>
        <w:t>号要求，本环评对照该文件进行符合性分析，具体分析见表</w:t>
      </w:r>
      <w:r>
        <w:rPr>
          <w:rFonts w:ascii="Times New Roman" w:eastAsia="宋体" w:hAnsi="Times New Roman" w:cs="Times New Roman"/>
          <w:sz w:val="28"/>
          <w:szCs w:val="28"/>
        </w:rPr>
        <w:t>1.3-4</w:t>
      </w:r>
      <w:r>
        <w:rPr>
          <w:rFonts w:ascii="Times New Roman" w:eastAsia="宋体" w:hAnsi="Times New Roman" w:cs="Times New Roman"/>
          <w:sz w:val="28"/>
          <w:szCs w:val="28"/>
        </w:rPr>
        <w:t>所示。</w:t>
      </w:r>
    </w:p>
    <w:p w14:paraId="53BBB204" w14:textId="77777777" w:rsidR="002133E3" w:rsidRDefault="00C22CFA">
      <w:pPr>
        <w:spacing w:line="500" w:lineRule="exact"/>
        <w:jc w:val="center"/>
        <w:rPr>
          <w:rFonts w:ascii="Times New Roman" w:eastAsia="宋体" w:hAnsi="Times New Roman" w:cs="Times New Roman"/>
          <w:sz w:val="28"/>
          <w:szCs w:val="28"/>
        </w:rPr>
      </w:pPr>
      <w:r>
        <w:rPr>
          <w:rFonts w:ascii="Times New Roman" w:eastAsia="宋体" w:hAnsi="Times New Roman" w:cs="Times New Roman"/>
          <w:b/>
          <w:szCs w:val="24"/>
        </w:rPr>
        <w:t>表</w:t>
      </w:r>
      <w:r>
        <w:rPr>
          <w:rFonts w:ascii="Times New Roman" w:eastAsia="宋体" w:hAnsi="Times New Roman" w:cs="Times New Roman"/>
          <w:b/>
          <w:szCs w:val="24"/>
        </w:rPr>
        <w:t xml:space="preserve">1.3-4  </w:t>
      </w:r>
      <w:r>
        <w:rPr>
          <w:rFonts w:ascii="Times New Roman" w:eastAsia="宋体" w:hAnsi="Times New Roman" w:cs="Times New Roman"/>
          <w:b/>
          <w:szCs w:val="24"/>
        </w:rPr>
        <w:t>项目与连政办发</w:t>
      </w:r>
      <w:r>
        <w:rPr>
          <w:rFonts w:ascii="Times New Roman" w:eastAsia="宋体" w:hAnsi="Times New Roman" w:cs="Times New Roman"/>
          <w:b/>
          <w:szCs w:val="24"/>
        </w:rPr>
        <w:t>[2018]38</w:t>
      </w:r>
      <w:r>
        <w:rPr>
          <w:rFonts w:ascii="Times New Roman" w:eastAsia="宋体" w:hAnsi="Times New Roman" w:cs="Times New Roman"/>
          <w:b/>
          <w:szCs w:val="24"/>
        </w:rPr>
        <w:t>号的符合性分析表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
        <w:gridCol w:w="3543"/>
        <w:gridCol w:w="4962"/>
        <w:gridCol w:w="758"/>
      </w:tblGrid>
      <w:tr w:rsidR="002133E3" w14:paraId="0C2256F6" w14:textId="77777777">
        <w:trPr>
          <w:trHeight w:val="303"/>
          <w:jc w:val="center"/>
        </w:trPr>
        <w:tc>
          <w:tcPr>
            <w:tcW w:w="478" w:type="dxa"/>
            <w:vAlign w:val="center"/>
          </w:tcPr>
          <w:p w14:paraId="62A935DE"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名称</w:t>
            </w:r>
          </w:p>
        </w:tc>
        <w:tc>
          <w:tcPr>
            <w:tcW w:w="3543" w:type="dxa"/>
            <w:vAlign w:val="center"/>
          </w:tcPr>
          <w:p w14:paraId="10846D81"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管控要求</w:t>
            </w:r>
          </w:p>
        </w:tc>
        <w:tc>
          <w:tcPr>
            <w:tcW w:w="4962" w:type="dxa"/>
            <w:vAlign w:val="center"/>
          </w:tcPr>
          <w:p w14:paraId="436997E6"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项目情况</w:t>
            </w:r>
          </w:p>
        </w:tc>
        <w:tc>
          <w:tcPr>
            <w:tcW w:w="758" w:type="dxa"/>
            <w:vAlign w:val="center"/>
          </w:tcPr>
          <w:p w14:paraId="44F52893"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符合性</w:t>
            </w:r>
          </w:p>
        </w:tc>
      </w:tr>
      <w:tr w:rsidR="002133E3" w14:paraId="67928A25" w14:textId="77777777">
        <w:trPr>
          <w:trHeight w:val="303"/>
          <w:jc w:val="center"/>
        </w:trPr>
        <w:tc>
          <w:tcPr>
            <w:tcW w:w="478" w:type="dxa"/>
            <w:vMerge w:val="restart"/>
            <w:vAlign w:val="center"/>
          </w:tcPr>
          <w:p w14:paraId="1C6EE0C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《关于印发连云港市环境质量底线管理办法</w:t>
            </w:r>
            <w:r>
              <w:rPr>
                <w:rFonts w:ascii="Times New Roman" w:eastAsia="宋体" w:hAnsi="Times New Roman" w:cs="Times New Roman"/>
                <w:szCs w:val="21"/>
              </w:rPr>
              <w:t>(</w:t>
            </w:r>
            <w:r>
              <w:rPr>
                <w:rFonts w:ascii="Times New Roman" w:eastAsia="宋体" w:hAnsi="Times New Roman" w:cs="Times New Roman"/>
                <w:szCs w:val="21"/>
              </w:rPr>
              <w:t>试行</w:t>
            </w:r>
            <w:r>
              <w:rPr>
                <w:rFonts w:ascii="Times New Roman" w:eastAsia="宋体" w:hAnsi="Times New Roman" w:cs="Times New Roman"/>
                <w:szCs w:val="21"/>
              </w:rPr>
              <w:t>)</w:t>
            </w:r>
            <w:r>
              <w:rPr>
                <w:rFonts w:ascii="Times New Roman" w:eastAsia="宋体" w:hAnsi="Times New Roman" w:cs="Times New Roman"/>
                <w:szCs w:val="21"/>
              </w:rPr>
              <w:t>的通知》</w:t>
            </w:r>
          </w:p>
        </w:tc>
        <w:tc>
          <w:tcPr>
            <w:tcW w:w="3543" w:type="dxa"/>
            <w:vAlign w:val="center"/>
          </w:tcPr>
          <w:p w14:paraId="64B1073B"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第三条</w:t>
            </w:r>
            <w:r>
              <w:rPr>
                <w:rFonts w:ascii="Times New Roman" w:eastAsia="宋体" w:hAnsi="Times New Roman" w:cs="Times New Roman"/>
                <w:szCs w:val="21"/>
              </w:rPr>
              <w:t xml:space="preserve">  </w:t>
            </w:r>
            <w:r>
              <w:rPr>
                <w:rFonts w:ascii="Times New Roman" w:eastAsia="宋体" w:hAnsi="Times New Roman" w:cs="Times New Roman"/>
                <w:szCs w:val="21"/>
              </w:rPr>
              <w:t>大气环境质量管控要求。到</w:t>
            </w:r>
            <w:r>
              <w:rPr>
                <w:rFonts w:ascii="Times New Roman" w:eastAsia="宋体" w:hAnsi="Times New Roman" w:cs="Times New Roman"/>
                <w:szCs w:val="21"/>
              </w:rPr>
              <w:t>2020</w:t>
            </w:r>
            <w:r>
              <w:rPr>
                <w:rFonts w:ascii="Times New Roman" w:eastAsia="宋体" w:hAnsi="Times New Roman" w:cs="Times New Roman"/>
                <w:szCs w:val="21"/>
              </w:rPr>
              <w:t>年，我市</w:t>
            </w:r>
            <w:r>
              <w:rPr>
                <w:rFonts w:ascii="Times New Roman" w:eastAsia="宋体" w:hAnsi="Times New Roman" w:cs="Times New Roman"/>
                <w:szCs w:val="21"/>
              </w:rPr>
              <w:t>PM2.5</w:t>
            </w:r>
            <w:r>
              <w:rPr>
                <w:rFonts w:ascii="Times New Roman" w:eastAsia="宋体" w:hAnsi="Times New Roman" w:cs="Times New Roman"/>
                <w:szCs w:val="21"/>
              </w:rPr>
              <w:t>浓度与</w:t>
            </w:r>
            <w:r>
              <w:rPr>
                <w:rFonts w:ascii="Times New Roman" w:eastAsia="宋体" w:hAnsi="Times New Roman" w:cs="Times New Roman"/>
                <w:szCs w:val="21"/>
              </w:rPr>
              <w:t>2015</w:t>
            </w:r>
            <w:r>
              <w:rPr>
                <w:rFonts w:ascii="Times New Roman" w:eastAsia="宋体" w:hAnsi="Times New Roman" w:cs="Times New Roman"/>
                <w:szCs w:val="21"/>
              </w:rPr>
              <w:t>年相比下降</w:t>
            </w:r>
            <w:r>
              <w:rPr>
                <w:rFonts w:ascii="Times New Roman" w:eastAsia="宋体" w:hAnsi="Times New Roman" w:cs="Times New Roman"/>
                <w:szCs w:val="21"/>
              </w:rPr>
              <w:t>20%</w:t>
            </w:r>
            <w:r>
              <w:rPr>
                <w:rFonts w:ascii="Times New Roman" w:eastAsia="宋体" w:hAnsi="Times New Roman" w:cs="Times New Roman"/>
                <w:szCs w:val="21"/>
              </w:rPr>
              <w:t>以上，确保降低至</w:t>
            </w:r>
            <w:r>
              <w:rPr>
                <w:rFonts w:ascii="Times New Roman" w:eastAsia="宋体" w:hAnsi="Times New Roman" w:cs="Times New Roman"/>
                <w:szCs w:val="21"/>
              </w:rPr>
              <w:t>44</w:t>
            </w:r>
            <w:r>
              <w:rPr>
                <w:rFonts w:ascii="Times New Roman" w:eastAsia="宋体" w:hAnsi="Times New Roman" w:cs="Times New Roman"/>
                <w:szCs w:val="21"/>
              </w:rPr>
              <w:t>微克</w:t>
            </w:r>
            <w:r>
              <w:rPr>
                <w:rFonts w:ascii="Times New Roman" w:eastAsia="宋体" w:hAnsi="Times New Roman" w:cs="Times New Roman"/>
                <w:szCs w:val="21"/>
              </w:rPr>
              <w:t>/</w:t>
            </w:r>
            <w:r>
              <w:rPr>
                <w:rFonts w:ascii="Times New Roman" w:eastAsia="宋体" w:hAnsi="Times New Roman" w:cs="Times New Roman"/>
                <w:szCs w:val="21"/>
              </w:rPr>
              <w:t>立方米以下，力争降低到</w:t>
            </w:r>
            <w:r>
              <w:rPr>
                <w:rFonts w:ascii="Times New Roman" w:eastAsia="宋体" w:hAnsi="Times New Roman" w:cs="Times New Roman"/>
                <w:szCs w:val="21"/>
              </w:rPr>
              <w:t>35</w:t>
            </w:r>
            <w:r>
              <w:rPr>
                <w:rFonts w:ascii="Times New Roman" w:eastAsia="宋体" w:hAnsi="Times New Roman" w:cs="Times New Roman"/>
                <w:szCs w:val="21"/>
              </w:rPr>
              <w:t>微克</w:t>
            </w:r>
            <w:r>
              <w:rPr>
                <w:rFonts w:ascii="Times New Roman" w:eastAsia="宋体" w:hAnsi="Times New Roman" w:cs="Times New Roman"/>
                <w:szCs w:val="21"/>
              </w:rPr>
              <w:t>/</w:t>
            </w:r>
            <w:r>
              <w:rPr>
                <w:rFonts w:ascii="Times New Roman" w:eastAsia="宋体" w:hAnsi="Times New Roman" w:cs="Times New Roman"/>
                <w:szCs w:val="21"/>
              </w:rPr>
              <w:t>立方米。到</w:t>
            </w:r>
            <w:r>
              <w:rPr>
                <w:rFonts w:ascii="Times New Roman" w:eastAsia="宋体" w:hAnsi="Times New Roman" w:cs="Times New Roman"/>
                <w:szCs w:val="21"/>
              </w:rPr>
              <w:t>2030</w:t>
            </w:r>
            <w:r>
              <w:rPr>
                <w:rFonts w:ascii="Times New Roman" w:eastAsia="宋体" w:hAnsi="Times New Roman" w:cs="Times New Roman"/>
                <w:szCs w:val="21"/>
              </w:rPr>
              <w:t>年，我市</w:t>
            </w:r>
            <w:r>
              <w:rPr>
                <w:rFonts w:ascii="Times New Roman" w:eastAsia="宋体" w:hAnsi="Times New Roman" w:cs="Times New Roman"/>
                <w:szCs w:val="21"/>
              </w:rPr>
              <w:t>PM2.5</w:t>
            </w:r>
            <w:r>
              <w:rPr>
                <w:rFonts w:ascii="Times New Roman" w:eastAsia="宋体" w:hAnsi="Times New Roman" w:cs="Times New Roman"/>
                <w:szCs w:val="21"/>
              </w:rPr>
              <w:t>浓度稳定达到二级标准要求。主要污染物总量减排目标：</w:t>
            </w:r>
            <w:r>
              <w:rPr>
                <w:rFonts w:ascii="Times New Roman" w:eastAsia="宋体" w:hAnsi="Times New Roman" w:cs="Times New Roman"/>
                <w:szCs w:val="21"/>
              </w:rPr>
              <w:t>2020</w:t>
            </w:r>
            <w:r>
              <w:rPr>
                <w:rFonts w:ascii="Times New Roman" w:eastAsia="宋体" w:hAnsi="Times New Roman" w:cs="Times New Roman"/>
                <w:szCs w:val="21"/>
              </w:rPr>
              <w:t>年大气环境污染物排放总量</w:t>
            </w:r>
            <w:r>
              <w:rPr>
                <w:rFonts w:ascii="Times New Roman" w:eastAsia="宋体" w:hAnsi="Times New Roman" w:cs="Times New Roman"/>
                <w:szCs w:val="21"/>
              </w:rPr>
              <w:t>(</w:t>
            </w:r>
            <w:r>
              <w:rPr>
                <w:rFonts w:ascii="Times New Roman" w:eastAsia="宋体" w:hAnsi="Times New Roman" w:cs="Times New Roman"/>
                <w:szCs w:val="21"/>
              </w:rPr>
              <w:t>不含船舶</w:t>
            </w:r>
            <w:r>
              <w:rPr>
                <w:rFonts w:ascii="Times New Roman" w:eastAsia="宋体" w:hAnsi="Times New Roman" w:cs="Times New Roman"/>
                <w:szCs w:val="21"/>
              </w:rPr>
              <w:t>)SO2</w:t>
            </w:r>
            <w:r>
              <w:rPr>
                <w:rFonts w:ascii="Times New Roman" w:eastAsia="宋体" w:hAnsi="Times New Roman" w:cs="Times New Roman"/>
                <w:szCs w:val="21"/>
              </w:rPr>
              <w:t>控制在</w:t>
            </w:r>
            <w:r>
              <w:rPr>
                <w:rFonts w:ascii="Times New Roman" w:eastAsia="宋体" w:hAnsi="Times New Roman" w:cs="Times New Roman"/>
                <w:szCs w:val="21"/>
              </w:rPr>
              <w:t>3.5</w:t>
            </w:r>
            <w:r>
              <w:rPr>
                <w:rFonts w:ascii="Times New Roman" w:eastAsia="宋体" w:hAnsi="Times New Roman" w:cs="Times New Roman"/>
                <w:szCs w:val="21"/>
              </w:rPr>
              <w:t>万吨，</w:t>
            </w:r>
            <w:r>
              <w:rPr>
                <w:rFonts w:ascii="Times New Roman" w:eastAsia="宋体" w:hAnsi="Times New Roman" w:cs="Times New Roman"/>
                <w:szCs w:val="21"/>
              </w:rPr>
              <w:t>NOx</w:t>
            </w:r>
            <w:r>
              <w:rPr>
                <w:rFonts w:ascii="Times New Roman" w:eastAsia="宋体" w:hAnsi="Times New Roman" w:cs="Times New Roman"/>
                <w:szCs w:val="21"/>
              </w:rPr>
              <w:t>控制在</w:t>
            </w:r>
            <w:r>
              <w:rPr>
                <w:rFonts w:ascii="Times New Roman" w:eastAsia="宋体" w:hAnsi="Times New Roman" w:cs="Times New Roman"/>
                <w:szCs w:val="21"/>
              </w:rPr>
              <w:t>4.7</w:t>
            </w:r>
            <w:r>
              <w:rPr>
                <w:rFonts w:ascii="Times New Roman" w:eastAsia="宋体" w:hAnsi="Times New Roman" w:cs="Times New Roman"/>
                <w:szCs w:val="21"/>
              </w:rPr>
              <w:t>万吨，一次</w:t>
            </w:r>
            <w:r>
              <w:rPr>
                <w:rFonts w:ascii="Times New Roman" w:eastAsia="宋体" w:hAnsi="Times New Roman" w:cs="Times New Roman"/>
                <w:szCs w:val="21"/>
              </w:rPr>
              <w:t>PM2.5</w:t>
            </w:r>
            <w:r>
              <w:rPr>
                <w:rFonts w:ascii="Times New Roman" w:eastAsia="宋体" w:hAnsi="Times New Roman" w:cs="Times New Roman"/>
                <w:szCs w:val="21"/>
              </w:rPr>
              <w:t>控制在</w:t>
            </w:r>
            <w:r>
              <w:rPr>
                <w:rFonts w:ascii="Times New Roman" w:eastAsia="宋体" w:hAnsi="Times New Roman" w:cs="Times New Roman"/>
                <w:szCs w:val="21"/>
              </w:rPr>
              <w:t>2.2</w:t>
            </w:r>
            <w:r>
              <w:rPr>
                <w:rFonts w:ascii="Times New Roman" w:eastAsia="宋体" w:hAnsi="Times New Roman" w:cs="Times New Roman"/>
                <w:szCs w:val="21"/>
              </w:rPr>
              <w:t>万吨，</w:t>
            </w:r>
            <w:r>
              <w:rPr>
                <w:rFonts w:ascii="Times New Roman" w:eastAsia="宋体" w:hAnsi="Times New Roman" w:cs="Times New Roman"/>
                <w:szCs w:val="21"/>
              </w:rPr>
              <w:t>VOCs</w:t>
            </w:r>
            <w:r>
              <w:rPr>
                <w:rFonts w:ascii="Times New Roman" w:eastAsia="宋体" w:hAnsi="Times New Roman" w:cs="Times New Roman"/>
                <w:szCs w:val="21"/>
              </w:rPr>
              <w:t>控制在</w:t>
            </w:r>
            <w:r>
              <w:rPr>
                <w:rFonts w:ascii="Times New Roman" w:eastAsia="宋体" w:hAnsi="Times New Roman" w:cs="Times New Roman"/>
                <w:szCs w:val="21"/>
              </w:rPr>
              <w:t>6.9</w:t>
            </w:r>
            <w:r>
              <w:rPr>
                <w:rFonts w:ascii="Times New Roman" w:eastAsia="宋体" w:hAnsi="Times New Roman" w:cs="Times New Roman"/>
                <w:szCs w:val="21"/>
              </w:rPr>
              <w:t>万吨。</w:t>
            </w:r>
            <w:r>
              <w:rPr>
                <w:rFonts w:ascii="Times New Roman" w:eastAsia="宋体" w:hAnsi="Times New Roman" w:cs="Times New Roman"/>
                <w:szCs w:val="21"/>
              </w:rPr>
              <w:t>2030</w:t>
            </w:r>
            <w:r>
              <w:rPr>
                <w:rFonts w:ascii="Times New Roman" w:eastAsia="宋体" w:hAnsi="Times New Roman" w:cs="Times New Roman"/>
                <w:szCs w:val="21"/>
              </w:rPr>
              <w:t>年，大气环境污染物排放总量</w:t>
            </w:r>
            <w:r>
              <w:rPr>
                <w:rFonts w:ascii="Times New Roman" w:eastAsia="宋体" w:hAnsi="Times New Roman" w:cs="Times New Roman"/>
                <w:szCs w:val="21"/>
              </w:rPr>
              <w:t>(</w:t>
            </w:r>
            <w:r>
              <w:rPr>
                <w:rFonts w:ascii="Times New Roman" w:eastAsia="宋体" w:hAnsi="Times New Roman" w:cs="Times New Roman"/>
                <w:szCs w:val="21"/>
              </w:rPr>
              <w:t>不含船舶</w:t>
            </w:r>
            <w:r>
              <w:rPr>
                <w:rFonts w:ascii="Times New Roman" w:eastAsia="宋体" w:hAnsi="Times New Roman" w:cs="Times New Roman"/>
                <w:szCs w:val="21"/>
              </w:rPr>
              <w:t>)SO2</w:t>
            </w:r>
            <w:r>
              <w:rPr>
                <w:rFonts w:ascii="Times New Roman" w:eastAsia="宋体" w:hAnsi="Times New Roman" w:cs="Times New Roman"/>
                <w:szCs w:val="21"/>
              </w:rPr>
              <w:t>控制在</w:t>
            </w:r>
            <w:r>
              <w:rPr>
                <w:rFonts w:ascii="Times New Roman" w:eastAsia="宋体" w:hAnsi="Times New Roman" w:cs="Times New Roman"/>
                <w:szCs w:val="21"/>
              </w:rPr>
              <w:t>2.6</w:t>
            </w:r>
            <w:r>
              <w:rPr>
                <w:rFonts w:ascii="Times New Roman" w:eastAsia="宋体" w:hAnsi="Times New Roman" w:cs="Times New Roman"/>
                <w:szCs w:val="21"/>
              </w:rPr>
              <w:t>万吨，</w:t>
            </w:r>
            <w:r>
              <w:rPr>
                <w:rFonts w:ascii="Times New Roman" w:eastAsia="宋体" w:hAnsi="Times New Roman" w:cs="Times New Roman"/>
                <w:szCs w:val="21"/>
              </w:rPr>
              <w:t>NOx</w:t>
            </w:r>
            <w:r>
              <w:rPr>
                <w:rFonts w:ascii="Times New Roman" w:eastAsia="宋体" w:hAnsi="Times New Roman" w:cs="Times New Roman"/>
                <w:szCs w:val="21"/>
              </w:rPr>
              <w:t>控制在</w:t>
            </w:r>
            <w:r>
              <w:rPr>
                <w:rFonts w:ascii="Times New Roman" w:eastAsia="宋体" w:hAnsi="Times New Roman" w:cs="Times New Roman"/>
                <w:szCs w:val="21"/>
              </w:rPr>
              <w:t>4.4</w:t>
            </w:r>
            <w:r>
              <w:rPr>
                <w:rFonts w:ascii="Times New Roman" w:eastAsia="宋体" w:hAnsi="Times New Roman" w:cs="Times New Roman"/>
                <w:szCs w:val="21"/>
              </w:rPr>
              <w:t>万吨，一次</w:t>
            </w:r>
            <w:r>
              <w:rPr>
                <w:rFonts w:ascii="Times New Roman" w:eastAsia="宋体" w:hAnsi="Times New Roman" w:cs="Times New Roman"/>
                <w:szCs w:val="21"/>
              </w:rPr>
              <w:t>PM2.5</w:t>
            </w:r>
            <w:r>
              <w:rPr>
                <w:rFonts w:ascii="Times New Roman" w:eastAsia="宋体" w:hAnsi="Times New Roman" w:cs="Times New Roman"/>
                <w:szCs w:val="21"/>
              </w:rPr>
              <w:t>控制在</w:t>
            </w:r>
            <w:r>
              <w:rPr>
                <w:rFonts w:ascii="Times New Roman" w:eastAsia="宋体" w:hAnsi="Times New Roman" w:cs="Times New Roman"/>
                <w:szCs w:val="21"/>
              </w:rPr>
              <w:t>1.6</w:t>
            </w:r>
            <w:r>
              <w:rPr>
                <w:rFonts w:ascii="Times New Roman" w:eastAsia="宋体" w:hAnsi="Times New Roman" w:cs="Times New Roman"/>
                <w:szCs w:val="21"/>
              </w:rPr>
              <w:t>万吨，</w:t>
            </w:r>
            <w:r>
              <w:rPr>
                <w:rFonts w:ascii="Times New Roman" w:eastAsia="宋体" w:hAnsi="Times New Roman" w:cs="Times New Roman"/>
                <w:szCs w:val="21"/>
              </w:rPr>
              <w:t>VOCs</w:t>
            </w:r>
            <w:r>
              <w:rPr>
                <w:rFonts w:ascii="Times New Roman" w:eastAsia="宋体" w:hAnsi="Times New Roman" w:cs="Times New Roman"/>
                <w:szCs w:val="21"/>
              </w:rPr>
              <w:t>控制在</w:t>
            </w:r>
            <w:r>
              <w:rPr>
                <w:rFonts w:ascii="Times New Roman" w:eastAsia="宋体" w:hAnsi="Times New Roman" w:cs="Times New Roman"/>
                <w:szCs w:val="21"/>
              </w:rPr>
              <w:t>6.1</w:t>
            </w:r>
            <w:r>
              <w:rPr>
                <w:rFonts w:ascii="Times New Roman" w:eastAsia="宋体" w:hAnsi="Times New Roman" w:cs="Times New Roman"/>
                <w:szCs w:val="21"/>
              </w:rPr>
              <w:t>万吨。</w:t>
            </w:r>
          </w:p>
        </w:tc>
        <w:tc>
          <w:tcPr>
            <w:tcW w:w="4962" w:type="dxa"/>
            <w:vAlign w:val="center"/>
          </w:tcPr>
          <w:p w14:paraId="766F4855" w14:textId="77777777" w:rsidR="002133E3" w:rsidRDefault="00C22CFA">
            <w:pPr>
              <w:keepNext/>
              <w:ind w:firstLineChars="200" w:firstLine="420"/>
              <w:outlineLvl w:val="3"/>
              <w:rPr>
                <w:rFonts w:ascii="Times New Roman" w:eastAsia="宋体" w:hAnsi="Times New Roman" w:cs="Times New Roman"/>
                <w:bCs/>
                <w:szCs w:val="21"/>
              </w:rPr>
            </w:pPr>
            <w:r>
              <w:rPr>
                <w:rFonts w:ascii="Times New Roman" w:eastAsia="宋体" w:hAnsi="Times New Roman" w:cs="Times New Roman"/>
                <w:bCs/>
                <w:szCs w:val="21"/>
              </w:rPr>
              <w:t>经调查，</w:t>
            </w:r>
            <w:r>
              <w:rPr>
                <w:rFonts w:ascii="Times New Roman" w:eastAsia="宋体" w:hAnsi="Times New Roman" w:cs="Times New Roman"/>
                <w:bCs/>
                <w:szCs w:val="21"/>
              </w:rPr>
              <w:t>2018</w:t>
            </w:r>
            <w:r>
              <w:rPr>
                <w:rFonts w:ascii="Times New Roman" w:eastAsia="宋体" w:hAnsi="Times New Roman" w:cs="Times New Roman"/>
                <w:bCs/>
                <w:szCs w:val="21"/>
              </w:rPr>
              <w:t>年连云港市环境空气中，</w:t>
            </w:r>
            <w:r>
              <w:rPr>
                <w:rFonts w:ascii="Times New Roman" w:eastAsia="宋体" w:hAnsi="Times New Roman" w:cs="Times New Roman"/>
                <w:bCs/>
                <w:szCs w:val="21"/>
              </w:rPr>
              <w:t>SO</w:t>
            </w:r>
            <w:r>
              <w:rPr>
                <w:rFonts w:ascii="Times New Roman" w:eastAsia="宋体" w:hAnsi="Times New Roman" w:cs="Times New Roman"/>
                <w:bCs/>
                <w:szCs w:val="21"/>
                <w:vertAlign w:val="subscript"/>
              </w:rPr>
              <w:t>2</w:t>
            </w:r>
            <w:r>
              <w:rPr>
                <w:rFonts w:ascii="Times New Roman" w:eastAsia="宋体" w:hAnsi="Times New Roman" w:cs="Times New Roman"/>
                <w:bCs/>
                <w:szCs w:val="21"/>
              </w:rPr>
              <w:t>、</w:t>
            </w:r>
            <w:r>
              <w:rPr>
                <w:rFonts w:ascii="Times New Roman" w:eastAsia="宋体" w:hAnsi="Times New Roman" w:cs="Times New Roman"/>
                <w:bCs/>
                <w:szCs w:val="21"/>
              </w:rPr>
              <w:t>NO</w:t>
            </w:r>
            <w:r>
              <w:rPr>
                <w:rFonts w:ascii="Times New Roman" w:eastAsia="宋体" w:hAnsi="Times New Roman" w:cs="Times New Roman"/>
                <w:bCs/>
                <w:szCs w:val="21"/>
                <w:vertAlign w:val="subscript"/>
              </w:rPr>
              <w:t>2</w:t>
            </w:r>
            <w:r>
              <w:rPr>
                <w:rFonts w:ascii="Times New Roman" w:eastAsia="宋体" w:hAnsi="Times New Roman" w:cs="Times New Roman"/>
                <w:bCs/>
                <w:szCs w:val="21"/>
              </w:rPr>
              <w:t>、</w:t>
            </w:r>
            <w:r>
              <w:rPr>
                <w:rFonts w:ascii="Times New Roman" w:eastAsia="宋体" w:hAnsi="Times New Roman" w:cs="Times New Roman"/>
                <w:bCs/>
                <w:szCs w:val="21"/>
              </w:rPr>
              <w:t>PM</w:t>
            </w:r>
            <w:r>
              <w:rPr>
                <w:rFonts w:ascii="Times New Roman" w:eastAsia="宋体" w:hAnsi="Times New Roman" w:cs="Times New Roman"/>
                <w:bCs/>
                <w:szCs w:val="21"/>
                <w:vertAlign w:val="subscript"/>
              </w:rPr>
              <w:t>10</w:t>
            </w:r>
            <w:r>
              <w:rPr>
                <w:rFonts w:ascii="Times New Roman" w:eastAsia="宋体" w:hAnsi="Times New Roman" w:cs="Times New Roman"/>
                <w:bCs/>
                <w:szCs w:val="21"/>
              </w:rPr>
              <w:t>年平均浓度、</w:t>
            </w:r>
            <w:r>
              <w:rPr>
                <w:rFonts w:ascii="Times New Roman" w:eastAsia="宋体" w:hAnsi="Times New Roman" w:cs="Times New Roman"/>
                <w:bCs/>
                <w:szCs w:val="21"/>
              </w:rPr>
              <w:t>CO</w:t>
            </w:r>
            <w:r>
              <w:rPr>
                <w:rFonts w:ascii="Times New Roman" w:eastAsia="宋体" w:hAnsi="Times New Roman" w:cs="Times New Roman"/>
                <w:bCs/>
                <w:szCs w:val="21"/>
              </w:rPr>
              <w:t>日均值的第</w:t>
            </w:r>
            <w:r>
              <w:rPr>
                <w:rFonts w:ascii="Times New Roman" w:eastAsia="宋体" w:hAnsi="Times New Roman" w:cs="Times New Roman"/>
                <w:bCs/>
                <w:szCs w:val="21"/>
              </w:rPr>
              <w:t>95</w:t>
            </w:r>
            <w:r>
              <w:rPr>
                <w:rFonts w:ascii="Times New Roman" w:eastAsia="宋体" w:hAnsi="Times New Roman" w:cs="Times New Roman"/>
                <w:bCs/>
                <w:szCs w:val="21"/>
              </w:rPr>
              <w:t>百分位浓度均符合国家二级标准要求；</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年平均浓度、臭氧</w:t>
            </w:r>
            <w:r>
              <w:rPr>
                <w:rFonts w:ascii="Times New Roman" w:eastAsia="宋体" w:hAnsi="Times New Roman" w:cs="Times New Roman"/>
                <w:bCs/>
                <w:szCs w:val="21"/>
              </w:rPr>
              <w:t>8</w:t>
            </w:r>
            <w:r>
              <w:rPr>
                <w:rFonts w:ascii="Times New Roman" w:eastAsia="宋体" w:hAnsi="Times New Roman" w:cs="Times New Roman"/>
                <w:bCs/>
                <w:szCs w:val="21"/>
              </w:rPr>
              <w:t>小时第</w:t>
            </w:r>
            <w:r>
              <w:rPr>
                <w:rFonts w:ascii="Times New Roman" w:eastAsia="宋体" w:hAnsi="Times New Roman" w:cs="Times New Roman"/>
                <w:bCs/>
                <w:szCs w:val="21"/>
              </w:rPr>
              <w:t>90</w:t>
            </w:r>
            <w:r>
              <w:rPr>
                <w:rFonts w:ascii="Times New Roman" w:eastAsia="宋体" w:hAnsi="Times New Roman" w:cs="Times New Roman"/>
                <w:bCs/>
                <w:szCs w:val="21"/>
              </w:rPr>
              <w:t>位百分位浓度均超过《环境空气质量标准》（</w:t>
            </w:r>
            <w:r>
              <w:rPr>
                <w:rFonts w:ascii="Times New Roman" w:eastAsia="宋体" w:hAnsi="Times New Roman" w:cs="Times New Roman"/>
                <w:bCs/>
                <w:szCs w:val="21"/>
              </w:rPr>
              <w:t>GB3095-2012</w:t>
            </w:r>
            <w:r>
              <w:rPr>
                <w:rFonts w:ascii="Times New Roman" w:eastAsia="宋体" w:hAnsi="Times New Roman" w:cs="Times New Roman"/>
                <w:bCs/>
                <w:szCs w:val="21"/>
              </w:rPr>
              <w:t>）二级标准值。</w:t>
            </w:r>
          </w:p>
          <w:p w14:paraId="2636E648" w14:textId="77777777" w:rsidR="002133E3" w:rsidRDefault="00C22CFA">
            <w:pPr>
              <w:ind w:firstLineChars="200" w:firstLine="420"/>
              <w:rPr>
                <w:rFonts w:ascii="Times New Roman" w:eastAsia="宋体" w:hAnsi="Times New Roman" w:cs="Times New Roman"/>
                <w:bCs/>
                <w:szCs w:val="21"/>
              </w:rPr>
            </w:pPr>
            <w:r>
              <w:rPr>
                <w:rFonts w:ascii="Times New Roman" w:eastAsia="宋体" w:hAnsi="Times New Roman" w:cs="Times New Roman"/>
                <w:bCs/>
                <w:szCs w:val="21"/>
              </w:rPr>
              <w:t>连云港市环境空气质量达标规划由环境保护部华南环境科学研究所编制，</w:t>
            </w:r>
            <w:r>
              <w:rPr>
                <w:rFonts w:ascii="Times New Roman" w:eastAsia="宋体" w:hAnsi="Times New Roman" w:cs="Times New Roman"/>
                <w:bCs/>
                <w:szCs w:val="21"/>
              </w:rPr>
              <w:t>2016</w:t>
            </w:r>
            <w:r>
              <w:rPr>
                <w:rFonts w:ascii="Times New Roman" w:eastAsia="宋体" w:hAnsi="Times New Roman" w:cs="Times New Roman"/>
                <w:bCs/>
                <w:szCs w:val="21"/>
              </w:rPr>
              <w:t>年</w:t>
            </w:r>
            <w:r>
              <w:rPr>
                <w:rFonts w:ascii="Times New Roman" w:eastAsia="宋体" w:hAnsi="Times New Roman" w:cs="Times New Roman"/>
                <w:bCs/>
                <w:szCs w:val="21"/>
              </w:rPr>
              <w:t>9</w:t>
            </w:r>
            <w:r>
              <w:rPr>
                <w:rFonts w:ascii="Times New Roman" w:eastAsia="宋体" w:hAnsi="Times New Roman" w:cs="Times New Roman"/>
                <w:bCs/>
                <w:szCs w:val="21"/>
              </w:rPr>
              <w:t>月获得连云港市人民政府批复（批复文号：连政复</w:t>
            </w:r>
            <w:r>
              <w:rPr>
                <w:rFonts w:ascii="Times New Roman" w:eastAsia="宋体" w:hAnsi="Times New Roman" w:cs="Times New Roman"/>
                <w:bCs/>
                <w:szCs w:val="21"/>
              </w:rPr>
              <w:t>[2016]38</w:t>
            </w:r>
            <w:r>
              <w:rPr>
                <w:rFonts w:ascii="Times New Roman" w:eastAsia="宋体" w:hAnsi="Times New Roman" w:cs="Times New Roman"/>
                <w:bCs/>
                <w:szCs w:val="21"/>
              </w:rPr>
              <w:t>号）。在落实了《连云港市空气质量达标规划》中的减排方案后，</w:t>
            </w:r>
            <w:r>
              <w:rPr>
                <w:rFonts w:ascii="Times New Roman" w:eastAsia="宋体" w:hAnsi="Times New Roman" w:cs="Times New Roman"/>
                <w:bCs/>
                <w:szCs w:val="21"/>
              </w:rPr>
              <w:t>2020</w:t>
            </w:r>
            <w:r>
              <w:rPr>
                <w:rFonts w:ascii="Times New Roman" w:eastAsia="宋体" w:hAnsi="Times New Roman" w:cs="Times New Roman"/>
                <w:bCs/>
                <w:szCs w:val="21"/>
              </w:rPr>
              <w:t>年</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浓度相比</w:t>
            </w:r>
            <w:r>
              <w:rPr>
                <w:rFonts w:ascii="Times New Roman" w:eastAsia="宋体" w:hAnsi="Times New Roman" w:cs="Times New Roman"/>
                <w:bCs/>
                <w:szCs w:val="21"/>
              </w:rPr>
              <w:t>2014</w:t>
            </w:r>
            <w:r>
              <w:rPr>
                <w:rFonts w:ascii="Times New Roman" w:eastAsia="宋体" w:hAnsi="Times New Roman" w:cs="Times New Roman"/>
                <w:bCs/>
                <w:szCs w:val="21"/>
              </w:rPr>
              <w:t>年下降</w:t>
            </w:r>
            <w:r>
              <w:rPr>
                <w:rFonts w:ascii="Times New Roman" w:eastAsia="宋体" w:hAnsi="Times New Roman" w:cs="Times New Roman"/>
                <w:bCs/>
                <w:szCs w:val="21"/>
              </w:rPr>
              <w:t>31.7%</w:t>
            </w:r>
            <w:r>
              <w:rPr>
                <w:rFonts w:ascii="Times New Roman" w:eastAsia="宋体" w:hAnsi="Times New Roman" w:cs="Times New Roman"/>
                <w:bCs/>
                <w:szCs w:val="21"/>
              </w:rPr>
              <w:t>，年均浓度</w:t>
            </w:r>
            <w:r>
              <w:rPr>
                <w:rFonts w:ascii="Times New Roman" w:eastAsia="宋体" w:hAnsi="Times New Roman" w:cs="Times New Roman"/>
                <w:bCs/>
                <w:szCs w:val="21"/>
              </w:rPr>
              <w:t>43.9</w:t>
            </w:r>
            <w:r>
              <w:rPr>
                <w:rFonts w:ascii="Times New Roman" w:eastAsia="宋体" w:hAnsi="Times New Roman" w:cs="Times New Roman"/>
                <w:bCs/>
                <w:szCs w:val="21"/>
              </w:rPr>
              <w:t>微克</w:t>
            </w:r>
            <w:r>
              <w:rPr>
                <w:rFonts w:ascii="Times New Roman" w:eastAsia="宋体" w:hAnsi="Times New Roman" w:cs="Times New Roman"/>
                <w:bCs/>
                <w:szCs w:val="21"/>
              </w:rPr>
              <w:t>/</w:t>
            </w:r>
            <w:r>
              <w:rPr>
                <w:rFonts w:ascii="Times New Roman" w:eastAsia="宋体" w:hAnsi="Times New Roman" w:cs="Times New Roman"/>
                <w:bCs/>
                <w:szCs w:val="21"/>
              </w:rPr>
              <w:t>立方米，基本达到污染控制目标（下降</w:t>
            </w:r>
            <w:r>
              <w:rPr>
                <w:rFonts w:ascii="Times New Roman" w:eastAsia="宋体" w:hAnsi="Times New Roman" w:cs="Times New Roman"/>
                <w:bCs/>
                <w:szCs w:val="21"/>
              </w:rPr>
              <w:t xml:space="preserve"> 28%</w:t>
            </w:r>
            <w:r>
              <w:rPr>
                <w:rFonts w:ascii="Times New Roman" w:eastAsia="宋体" w:hAnsi="Times New Roman" w:cs="Times New Roman"/>
                <w:bCs/>
                <w:szCs w:val="21"/>
              </w:rPr>
              <w:t>），</w:t>
            </w:r>
            <w:r>
              <w:rPr>
                <w:rFonts w:ascii="Times New Roman" w:eastAsia="宋体" w:hAnsi="Times New Roman" w:cs="Times New Roman"/>
                <w:bCs/>
                <w:szCs w:val="21"/>
              </w:rPr>
              <w:t>2030</w:t>
            </w:r>
            <w:r>
              <w:rPr>
                <w:rFonts w:ascii="Times New Roman" w:eastAsia="宋体" w:hAnsi="Times New Roman" w:cs="Times New Roman"/>
                <w:bCs/>
                <w:szCs w:val="21"/>
              </w:rPr>
              <w:t>年</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浓度相比</w:t>
            </w:r>
            <w:r>
              <w:rPr>
                <w:rFonts w:ascii="Times New Roman" w:eastAsia="宋体" w:hAnsi="Times New Roman" w:cs="Times New Roman"/>
                <w:bCs/>
                <w:szCs w:val="21"/>
              </w:rPr>
              <w:t>2014</w:t>
            </w:r>
            <w:r>
              <w:rPr>
                <w:rFonts w:ascii="Times New Roman" w:eastAsia="宋体" w:hAnsi="Times New Roman" w:cs="Times New Roman"/>
                <w:bCs/>
                <w:szCs w:val="21"/>
              </w:rPr>
              <w:t>年下降</w:t>
            </w:r>
            <w:r>
              <w:rPr>
                <w:rFonts w:ascii="Times New Roman" w:eastAsia="宋体" w:hAnsi="Times New Roman" w:cs="Times New Roman"/>
                <w:bCs/>
                <w:szCs w:val="21"/>
              </w:rPr>
              <w:t>46%</w:t>
            </w:r>
            <w:r>
              <w:rPr>
                <w:rFonts w:ascii="Times New Roman" w:eastAsia="宋体" w:hAnsi="Times New Roman" w:cs="Times New Roman"/>
                <w:bCs/>
                <w:szCs w:val="21"/>
              </w:rPr>
              <w:t>，年均浓度</w:t>
            </w:r>
            <w:r>
              <w:rPr>
                <w:rFonts w:ascii="Times New Roman" w:eastAsia="宋体" w:hAnsi="Times New Roman" w:cs="Times New Roman"/>
                <w:bCs/>
                <w:szCs w:val="21"/>
              </w:rPr>
              <w:t>33.05</w:t>
            </w:r>
            <w:r>
              <w:rPr>
                <w:rFonts w:ascii="Times New Roman" w:eastAsia="宋体" w:hAnsi="Times New Roman" w:cs="Times New Roman"/>
                <w:bCs/>
                <w:szCs w:val="21"/>
              </w:rPr>
              <w:t>微克</w:t>
            </w:r>
            <w:r>
              <w:rPr>
                <w:rFonts w:ascii="Times New Roman" w:eastAsia="宋体" w:hAnsi="Times New Roman" w:cs="Times New Roman"/>
                <w:bCs/>
                <w:szCs w:val="21"/>
              </w:rPr>
              <w:t>/</w:t>
            </w:r>
            <w:r>
              <w:rPr>
                <w:rFonts w:ascii="Times New Roman" w:eastAsia="宋体" w:hAnsi="Times New Roman" w:cs="Times New Roman"/>
                <w:bCs/>
                <w:szCs w:val="21"/>
              </w:rPr>
              <w:t>立方米，占标率</w:t>
            </w:r>
            <w:r>
              <w:rPr>
                <w:rFonts w:ascii="Times New Roman" w:eastAsia="宋体" w:hAnsi="Times New Roman" w:cs="Times New Roman"/>
                <w:bCs/>
                <w:szCs w:val="21"/>
              </w:rPr>
              <w:t>94.42%</w:t>
            </w:r>
            <w:r>
              <w:rPr>
                <w:rFonts w:ascii="Times New Roman" w:eastAsia="宋体" w:hAnsi="Times New Roman" w:cs="Times New Roman"/>
                <w:bCs/>
                <w:szCs w:val="21"/>
              </w:rPr>
              <w:t>，优于二级标准要求。</w:t>
            </w:r>
          </w:p>
          <w:p w14:paraId="232D264F" w14:textId="77777777" w:rsidR="002133E3" w:rsidRDefault="00C22CFA">
            <w:pPr>
              <w:ind w:firstLineChars="200" w:firstLine="420"/>
              <w:rPr>
                <w:rFonts w:ascii="Times New Roman" w:eastAsia="宋体" w:hAnsi="Times New Roman" w:cs="Times New Roman"/>
                <w:szCs w:val="21"/>
                <w:highlight w:val="yellow"/>
              </w:rPr>
            </w:pPr>
            <w:r>
              <w:rPr>
                <w:rFonts w:ascii="Times New Roman" w:eastAsia="宋体" w:hAnsi="Times New Roman" w:cs="Times New Roman"/>
                <w:bCs/>
                <w:szCs w:val="21"/>
              </w:rPr>
              <w:t>据《连云港市空气质量达标规划报告》，赣榆区是改善连云港市环境空气质量的</w:t>
            </w:r>
            <w:r>
              <w:rPr>
                <w:rFonts w:ascii="Times New Roman" w:eastAsia="宋体" w:hAnsi="Times New Roman" w:cs="Times New Roman"/>
                <w:bCs/>
                <w:szCs w:val="21"/>
              </w:rPr>
              <w:t>2016-2020</w:t>
            </w:r>
            <w:r>
              <w:rPr>
                <w:rFonts w:ascii="Times New Roman" w:eastAsia="宋体" w:hAnsi="Times New Roman" w:cs="Times New Roman"/>
                <w:bCs/>
                <w:szCs w:val="21"/>
              </w:rPr>
              <w:t>年重点工程中烟（粉）尘减排的重点区域之一，赣榆区已实施区域大气环境综合整治工程，工程实施后可对赣榆区的环境空气质量</w:t>
            </w:r>
            <w:r>
              <w:rPr>
                <w:rFonts w:ascii="Times New Roman" w:eastAsia="宋体" w:hAnsi="Times New Roman" w:cs="Times New Roman"/>
                <w:bCs/>
                <w:szCs w:val="21"/>
              </w:rPr>
              <w:t>(PM</w:t>
            </w:r>
            <w:r>
              <w:rPr>
                <w:rFonts w:ascii="Times New Roman" w:eastAsia="宋体" w:hAnsi="Times New Roman" w:cs="Times New Roman"/>
                <w:bCs/>
                <w:szCs w:val="21"/>
                <w:vertAlign w:val="subscript"/>
              </w:rPr>
              <w:t>10</w:t>
            </w:r>
            <w:r>
              <w:rPr>
                <w:rFonts w:ascii="Times New Roman" w:eastAsia="宋体" w:hAnsi="Times New Roman" w:cs="Times New Roman"/>
                <w:bCs/>
                <w:szCs w:val="21"/>
              </w:rPr>
              <w:t>、</w:t>
            </w:r>
            <w:r>
              <w:rPr>
                <w:rFonts w:ascii="Times New Roman" w:eastAsia="宋体" w:hAnsi="Times New Roman" w:cs="Times New Roman"/>
                <w:bCs/>
                <w:szCs w:val="21"/>
              </w:rPr>
              <w:t>PM</w:t>
            </w:r>
            <w:r>
              <w:rPr>
                <w:rFonts w:ascii="Times New Roman" w:eastAsia="宋体" w:hAnsi="Times New Roman" w:cs="Times New Roman"/>
                <w:bCs/>
                <w:szCs w:val="21"/>
                <w:vertAlign w:val="subscript"/>
              </w:rPr>
              <w:t>2.5</w:t>
            </w:r>
            <w:r>
              <w:rPr>
                <w:rFonts w:ascii="Times New Roman" w:eastAsia="宋体" w:hAnsi="Times New Roman" w:cs="Times New Roman"/>
                <w:bCs/>
                <w:szCs w:val="21"/>
              </w:rPr>
              <w:t>)</w:t>
            </w:r>
            <w:r>
              <w:rPr>
                <w:rFonts w:ascii="Times New Roman" w:eastAsia="宋体" w:hAnsi="Times New Roman" w:cs="Times New Roman"/>
                <w:bCs/>
                <w:szCs w:val="21"/>
              </w:rPr>
              <w:t>带来极大改善。全市也在积极响应省政府</w:t>
            </w:r>
            <w:r>
              <w:rPr>
                <w:rFonts w:ascii="Times New Roman" w:eastAsia="宋体" w:hAnsi="Times New Roman" w:cs="Times New Roman"/>
                <w:bCs/>
                <w:szCs w:val="21"/>
              </w:rPr>
              <w:t>“</w:t>
            </w:r>
            <w:r>
              <w:rPr>
                <w:rFonts w:ascii="Times New Roman" w:eastAsia="宋体" w:hAnsi="Times New Roman" w:cs="Times New Roman"/>
                <w:bCs/>
                <w:szCs w:val="21"/>
              </w:rPr>
              <w:t>两减六治三提升</w:t>
            </w:r>
            <w:r>
              <w:rPr>
                <w:rFonts w:ascii="Times New Roman" w:eastAsia="宋体" w:hAnsi="Times New Roman" w:cs="Times New Roman"/>
                <w:bCs/>
                <w:szCs w:val="21"/>
              </w:rPr>
              <w:t>”</w:t>
            </w:r>
            <w:r>
              <w:rPr>
                <w:rFonts w:ascii="Times New Roman" w:eastAsia="宋体" w:hAnsi="Times New Roman" w:cs="Times New Roman"/>
                <w:bCs/>
                <w:szCs w:val="21"/>
              </w:rPr>
              <w:t>专项行动。</w:t>
            </w:r>
            <w:r>
              <w:rPr>
                <w:rFonts w:ascii="Times New Roman" w:eastAsia="宋体" w:hAnsi="Times New Roman" w:cs="Times New Roman"/>
                <w:bCs/>
                <w:szCs w:val="21"/>
              </w:rPr>
              <w:t>“</w:t>
            </w:r>
            <w:r>
              <w:rPr>
                <w:rFonts w:ascii="Times New Roman" w:eastAsia="宋体" w:hAnsi="Times New Roman" w:cs="Times New Roman"/>
                <w:bCs/>
                <w:szCs w:val="21"/>
              </w:rPr>
              <w:t>两减六治三提升</w:t>
            </w:r>
            <w:r>
              <w:rPr>
                <w:rFonts w:ascii="Times New Roman" w:eastAsia="宋体" w:hAnsi="Times New Roman" w:cs="Times New Roman"/>
                <w:bCs/>
                <w:szCs w:val="21"/>
              </w:rPr>
              <w:t>”</w:t>
            </w:r>
            <w:r>
              <w:rPr>
                <w:rFonts w:ascii="Times New Roman" w:eastAsia="宋体" w:hAnsi="Times New Roman" w:cs="Times New Roman"/>
                <w:bCs/>
                <w:szCs w:val="21"/>
              </w:rPr>
              <w:t>专项行动方案中的主要工作举措包括：减少煤炭消费总量；减少落后化工产能；治理挥发性有机物污染。随着各项废气整治方案的逐步实施，环境质量状况能够得到提高。</w:t>
            </w:r>
          </w:p>
        </w:tc>
        <w:tc>
          <w:tcPr>
            <w:tcW w:w="758" w:type="dxa"/>
            <w:vAlign w:val="center"/>
          </w:tcPr>
          <w:p w14:paraId="162369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w:t>
            </w:r>
          </w:p>
        </w:tc>
      </w:tr>
      <w:tr w:rsidR="002133E3" w14:paraId="364C0236" w14:textId="77777777">
        <w:trPr>
          <w:trHeight w:val="303"/>
          <w:jc w:val="center"/>
        </w:trPr>
        <w:tc>
          <w:tcPr>
            <w:tcW w:w="478" w:type="dxa"/>
            <w:vMerge/>
            <w:vAlign w:val="center"/>
          </w:tcPr>
          <w:p w14:paraId="7BCA8DF2" w14:textId="77777777" w:rsidR="002133E3" w:rsidRDefault="002133E3">
            <w:pPr>
              <w:rPr>
                <w:rFonts w:ascii="Times New Roman" w:eastAsia="宋体" w:hAnsi="Times New Roman" w:cs="Times New Roman"/>
                <w:szCs w:val="21"/>
              </w:rPr>
            </w:pPr>
          </w:p>
        </w:tc>
        <w:tc>
          <w:tcPr>
            <w:tcW w:w="3543" w:type="dxa"/>
            <w:vAlign w:val="center"/>
          </w:tcPr>
          <w:p w14:paraId="24B47B52"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第四条</w:t>
            </w:r>
            <w:r>
              <w:rPr>
                <w:rFonts w:ascii="Times New Roman" w:eastAsia="宋体" w:hAnsi="Times New Roman" w:cs="Times New Roman"/>
                <w:szCs w:val="21"/>
              </w:rPr>
              <w:t xml:space="preserve">  </w:t>
            </w:r>
            <w:r>
              <w:rPr>
                <w:rFonts w:ascii="Times New Roman" w:eastAsia="宋体" w:hAnsi="Times New Roman" w:cs="Times New Roman"/>
                <w:szCs w:val="21"/>
              </w:rPr>
              <w:t>水环境质量管控要求。到</w:t>
            </w:r>
            <w:r>
              <w:rPr>
                <w:rFonts w:ascii="Times New Roman" w:eastAsia="宋体" w:hAnsi="Times New Roman" w:cs="Times New Roman"/>
                <w:szCs w:val="21"/>
              </w:rPr>
              <w:t>2020</w:t>
            </w:r>
            <w:r>
              <w:rPr>
                <w:rFonts w:ascii="Times New Roman" w:eastAsia="宋体" w:hAnsi="Times New Roman" w:cs="Times New Roman"/>
                <w:szCs w:val="21"/>
              </w:rPr>
              <w:t>年，地表水省级以上考核断面水质优良</w:t>
            </w:r>
            <w:r>
              <w:rPr>
                <w:rFonts w:ascii="Times New Roman" w:eastAsia="宋体" w:hAnsi="Times New Roman" w:cs="Times New Roman"/>
                <w:szCs w:val="21"/>
              </w:rPr>
              <w:t>(</w:t>
            </w:r>
            <w:r>
              <w:rPr>
                <w:rFonts w:ascii="Times New Roman" w:eastAsia="宋体" w:hAnsi="Times New Roman" w:cs="Times New Roman"/>
                <w:szCs w:val="21"/>
              </w:rPr>
              <w:t>达到或优于</w:t>
            </w:r>
            <w:r>
              <w:rPr>
                <w:rFonts w:ascii="宋体" w:eastAsia="宋体" w:hAnsi="宋体" w:cs="宋体" w:hint="eastAsia"/>
                <w:szCs w:val="21"/>
              </w:rPr>
              <w:t>Ⅲ</w:t>
            </w:r>
            <w:r>
              <w:rPr>
                <w:rFonts w:ascii="Times New Roman" w:eastAsia="宋体" w:hAnsi="Times New Roman" w:cs="Times New Roman"/>
                <w:szCs w:val="21"/>
              </w:rPr>
              <w:t>类</w:t>
            </w:r>
            <w:r>
              <w:rPr>
                <w:rFonts w:ascii="Times New Roman" w:eastAsia="宋体" w:hAnsi="Times New Roman" w:cs="Times New Roman"/>
                <w:szCs w:val="21"/>
              </w:rPr>
              <w:t>)</w:t>
            </w:r>
            <w:r>
              <w:rPr>
                <w:rFonts w:ascii="Times New Roman" w:eastAsia="宋体" w:hAnsi="Times New Roman" w:cs="Times New Roman"/>
                <w:szCs w:val="21"/>
              </w:rPr>
              <w:t>比例达到</w:t>
            </w:r>
            <w:r>
              <w:rPr>
                <w:rFonts w:ascii="Times New Roman" w:eastAsia="宋体" w:hAnsi="Times New Roman" w:cs="Times New Roman"/>
                <w:szCs w:val="21"/>
              </w:rPr>
              <w:t>72.7%</w:t>
            </w:r>
            <w:r>
              <w:rPr>
                <w:rFonts w:ascii="Times New Roman" w:eastAsia="宋体" w:hAnsi="Times New Roman" w:cs="Times New Roman"/>
                <w:szCs w:val="21"/>
              </w:rPr>
              <w:t>以上。县级以上集中式饮用水水源水质达到或优于</w:t>
            </w:r>
            <w:r>
              <w:rPr>
                <w:rFonts w:ascii="宋体" w:eastAsia="宋体" w:hAnsi="宋体" w:cs="宋体" w:hint="eastAsia"/>
                <w:szCs w:val="21"/>
              </w:rPr>
              <w:t>Ⅲ</w:t>
            </w:r>
            <w:r>
              <w:rPr>
                <w:rFonts w:ascii="Times New Roman" w:eastAsia="宋体" w:hAnsi="Times New Roman" w:cs="Times New Roman"/>
                <w:szCs w:val="21"/>
              </w:rPr>
              <w:t>类比例总体达到</w:t>
            </w:r>
            <w:r>
              <w:rPr>
                <w:rFonts w:ascii="Times New Roman" w:eastAsia="宋体" w:hAnsi="Times New Roman" w:cs="Times New Roman"/>
                <w:szCs w:val="21"/>
              </w:rPr>
              <w:t>100%</w:t>
            </w:r>
            <w:r>
              <w:rPr>
                <w:rFonts w:ascii="Times New Roman" w:eastAsia="宋体" w:hAnsi="Times New Roman" w:cs="Times New Roman"/>
                <w:szCs w:val="21"/>
              </w:rPr>
              <w:t>，劣于</w:t>
            </w:r>
            <w:r>
              <w:rPr>
                <w:rFonts w:ascii="宋体" w:eastAsia="宋体" w:hAnsi="宋体" w:cs="宋体" w:hint="eastAsia"/>
                <w:szCs w:val="21"/>
              </w:rPr>
              <w:t>Ⅴ</w:t>
            </w:r>
            <w:r>
              <w:rPr>
                <w:rFonts w:ascii="Times New Roman" w:eastAsia="宋体" w:hAnsi="Times New Roman" w:cs="Times New Roman"/>
                <w:szCs w:val="21"/>
              </w:rPr>
              <w:t>类水体基本消除，地下水、近岸海域水质保持稳定。</w:t>
            </w:r>
            <w:r>
              <w:rPr>
                <w:rFonts w:ascii="Times New Roman" w:eastAsia="宋体" w:hAnsi="Times New Roman" w:cs="Times New Roman"/>
                <w:szCs w:val="21"/>
              </w:rPr>
              <w:t>2019</w:t>
            </w:r>
            <w:r>
              <w:rPr>
                <w:rFonts w:ascii="Times New Roman" w:eastAsia="宋体" w:hAnsi="Times New Roman" w:cs="Times New Roman"/>
                <w:szCs w:val="21"/>
              </w:rPr>
              <w:t>年，城市建成区黑臭水体基本消除。到</w:t>
            </w:r>
            <w:r>
              <w:rPr>
                <w:rFonts w:ascii="Times New Roman" w:eastAsia="宋体" w:hAnsi="Times New Roman" w:cs="Times New Roman"/>
                <w:szCs w:val="21"/>
              </w:rPr>
              <w:t>2030</w:t>
            </w:r>
            <w:r>
              <w:rPr>
                <w:rFonts w:ascii="Times New Roman" w:eastAsia="宋体" w:hAnsi="Times New Roman" w:cs="Times New Roman"/>
                <w:szCs w:val="21"/>
              </w:rPr>
              <w:t>年，地表水省级以上考核断面水质优良</w:t>
            </w:r>
            <w:r>
              <w:rPr>
                <w:rFonts w:ascii="Times New Roman" w:eastAsia="宋体" w:hAnsi="Times New Roman" w:cs="Times New Roman"/>
                <w:szCs w:val="21"/>
              </w:rPr>
              <w:t>(</w:t>
            </w:r>
            <w:r>
              <w:rPr>
                <w:rFonts w:ascii="Times New Roman" w:eastAsia="宋体" w:hAnsi="Times New Roman" w:cs="Times New Roman"/>
                <w:szCs w:val="21"/>
              </w:rPr>
              <w:t>达到或优于</w:t>
            </w:r>
            <w:r>
              <w:rPr>
                <w:rFonts w:ascii="宋体" w:eastAsia="宋体" w:hAnsi="宋体" w:cs="宋体" w:hint="eastAsia"/>
                <w:szCs w:val="21"/>
              </w:rPr>
              <w:t>Ⅲ</w:t>
            </w:r>
            <w:r>
              <w:rPr>
                <w:rFonts w:ascii="Times New Roman" w:eastAsia="宋体" w:hAnsi="Times New Roman" w:cs="Times New Roman"/>
                <w:szCs w:val="21"/>
              </w:rPr>
              <w:t>类</w:t>
            </w:r>
            <w:r>
              <w:rPr>
                <w:rFonts w:ascii="Times New Roman" w:eastAsia="宋体" w:hAnsi="Times New Roman" w:cs="Times New Roman"/>
                <w:szCs w:val="21"/>
              </w:rPr>
              <w:t>)</w:t>
            </w:r>
            <w:r>
              <w:rPr>
                <w:rFonts w:ascii="Times New Roman" w:eastAsia="宋体" w:hAnsi="Times New Roman" w:cs="Times New Roman"/>
                <w:szCs w:val="21"/>
              </w:rPr>
              <w:t>比例达到</w:t>
            </w:r>
            <w:r>
              <w:rPr>
                <w:rFonts w:ascii="Times New Roman" w:eastAsia="宋体" w:hAnsi="Times New Roman" w:cs="Times New Roman"/>
                <w:szCs w:val="21"/>
              </w:rPr>
              <w:t>77.3%</w:t>
            </w:r>
            <w:r>
              <w:rPr>
                <w:rFonts w:ascii="Times New Roman" w:eastAsia="宋体" w:hAnsi="Times New Roman" w:cs="Times New Roman"/>
                <w:szCs w:val="21"/>
              </w:rPr>
              <w:t>以上，县级以上集中式饮用水水源水质达到或优于</w:t>
            </w:r>
            <w:r>
              <w:rPr>
                <w:rFonts w:ascii="宋体" w:eastAsia="宋体" w:hAnsi="宋体" w:cs="宋体" w:hint="eastAsia"/>
                <w:szCs w:val="21"/>
              </w:rPr>
              <w:t>Ⅲ</w:t>
            </w:r>
            <w:r>
              <w:rPr>
                <w:rFonts w:ascii="Times New Roman" w:eastAsia="宋体" w:hAnsi="Times New Roman" w:cs="Times New Roman"/>
                <w:szCs w:val="21"/>
              </w:rPr>
              <w:t>类比例保持</w:t>
            </w:r>
            <w:r>
              <w:rPr>
                <w:rFonts w:ascii="Times New Roman" w:eastAsia="宋体" w:hAnsi="Times New Roman" w:cs="Times New Roman"/>
                <w:szCs w:val="21"/>
              </w:rPr>
              <w:t>100%</w:t>
            </w:r>
            <w:r>
              <w:rPr>
                <w:rFonts w:ascii="Times New Roman" w:eastAsia="宋体" w:hAnsi="Times New Roman" w:cs="Times New Roman"/>
                <w:szCs w:val="21"/>
              </w:rPr>
              <w:t>，水生态系统功能基本恢复。</w:t>
            </w:r>
            <w:r>
              <w:rPr>
                <w:rFonts w:ascii="Times New Roman" w:eastAsia="宋体" w:hAnsi="Times New Roman" w:cs="Times New Roman"/>
                <w:szCs w:val="21"/>
              </w:rPr>
              <w:t>2020</w:t>
            </w:r>
            <w:r>
              <w:rPr>
                <w:rFonts w:ascii="Times New Roman" w:eastAsia="宋体" w:hAnsi="Times New Roman" w:cs="Times New Roman"/>
                <w:szCs w:val="21"/>
              </w:rPr>
              <w:t>年全市</w:t>
            </w:r>
            <w:r>
              <w:rPr>
                <w:rFonts w:ascii="Times New Roman" w:eastAsia="宋体" w:hAnsi="Times New Roman" w:cs="Times New Roman"/>
                <w:szCs w:val="21"/>
              </w:rPr>
              <w:t>COD</w:t>
            </w:r>
            <w:r>
              <w:rPr>
                <w:rFonts w:ascii="Times New Roman" w:eastAsia="宋体" w:hAnsi="Times New Roman" w:cs="Times New Roman"/>
                <w:szCs w:val="21"/>
              </w:rPr>
              <w:t>控制在</w:t>
            </w:r>
            <w:r>
              <w:rPr>
                <w:rFonts w:ascii="Times New Roman" w:eastAsia="宋体" w:hAnsi="Times New Roman" w:cs="Times New Roman"/>
                <w:szCs w:val="21"/>
              </w:rPr>
              <w:t>16.5</w:t>
            </w:r>
            <w:r>
              <w:rPr>
                <w:rFonts w:ascii="Times New Roman" w:eastAsia="宋体" w:hAnsi="Times New Roman" w:cs="Times New Roman"/>
                <w:szCs w:val="21"/>
              </w:rPr>
              <w:lastRenderedPageBreak/>
              <w:t>万吨，氨氮控制在</w:t>
            </w:r>
            <w:r>
              <w:rPr>
                <w:rFonts w:ascii="Times New Roman" w:eastAsia="宋体" w:hAnsi="Times New Roman" w:cs="Times New Roman"/>
                <w:szCs w:val="21"/>
              </w:rPr>
              <w:t>1.04</w:t>
            </w:r>
            <w:r>
              <w:rPr>
                <w:rFonts w:ascii="Times New Roman" w:eastAsia="宋体" w:hAnsi="Times New Roman" w:cs="Times New Roman"/>
                <w:szCs w:val="21"/>
              </w:rPr>
              <w:t>万吨，</w:t>
            </w:r>
            <w:r>
              <w:rPr>
                <w:rFonts w:ascii="Times New Roman" w:eastAsia="宋体" w:hAnsi="Times New Roman" w:cs="Times New Roman"/>
                <w:szCs w:val="21"/>
              </w:rPr>
              <w:t>2030</w:t>
            </w:r>
            <w:r>
              <w:rPr>
                <w:rFonts w:ascii="Times New Roman" w:eastAsia="宋体" w:hAnsi="Times New Roman" w:cs="Times New Roman"/>
                <w:szCs w:val="21"/>
              </w:rPr>
              <w:t>年全市</w:t>
            </w:r>
            <w:r>
              <w:rPr>
                <w:rFonts w:ascii="Times New Roman" w:eastAsia="宋体" w:hAnsi="Times New Roman" w:cs="Times New Roman"/>
                <w:szCs w:val="21"/>
              </w:rPr>
              <w:t>COD</w:t>
            </w:r>
            <w:r>
              <w:rPr>
                <w:rFonts w:ascii="Times New Roman" w:eastAsia="宋体" w:hAnsi="Times New Roman" w:cs="Times New Roman"/>
                <w:szCs w:val="21"/>
              </w:rPr>
              <w:t>控制在</w:t>
            </w:r>
            <w:r>
              <w:rPr>
                <w:rFonts w:ascii="Times New Roman" w:eastAsia="宋体" w:hAnsi="Times New Roman" w:cs="Times New Roman"/>
                <w:szCs w:val="21"/>
              </w:rPr>
              <w:t>15.61</w:t>
            </w:r>
            <w:r>
              <w:rPr>
                <w:rFonts w:ascii="Times New Roman" w:eastAsia="宋体" w:hAnsi="Times New Roman" w:cs="Times New Roman"/>
                <w:szCs w:val="21"/>
              </w:rPr>
              <w:t>万吨</w:t>
            </w:r>
            <w:r>
              <w:rPr>
                <w:rFonts w:ascii="Times New Roman" w:eastAsia="宋体" w:hAnsi="Times New Roman" w:cs="Times New Roman"/>
                <w:szCs w:val="21"/>
              </w:rPr>
              <w:t>,</w:t>
            </w:r>
            <w:r>
              <w:rPr>
                <w:rFonts w:ascii="Times New Roman" w:eastAsia="宋体" w:hAnsi="Times New Roman" w:cs="Times New Roman"/>
                <w:szCs w:val="21"/>
              </w:rPr>
              <w:t>氨氮控制在</w:t>
            </w:r>
            <w:r>
              <w:rPr>
                <w:rFonts w:ascii="Times New Roman" w:eastAsia="宋体" w:hAnsi="Times New Roman" w:cs="Times New Roman"/>
                <w:szCs w:val="21"/>
              </w:rPr>
              <w:t>1.03</w:t>
            </w:r>
            <w:r>
              <w:rPr>
                <w:rFonts w:ascii="Times New Roman" w:eastAsia="宋体" w:hAnsi="Times New Roman" w:cs="Times New Roman"/>
                <w:szCs w:val="21"/>
              </w:rPr>
              <w:t>万吨。</w:t>
            </w:r>
          </w:p>
        </w:tc>
        <w:tc>
          <w:tcPr>
            <w:tcW w:w="4962" w:type="dxa"/>
            <w:vAlign w:val="center"/>
          </w:tcPr>
          <w:p w14:paraId="3AEBBCC0"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bCs/>
              </w:rPr>
              <w:lastRenderedPageBreak/>
              <w:t>从地表水现状监测结果可以看出，兴庄河化学需氧量、氨氮、总磷、石油类超标，其它指标均能满足《地表水环境质量标准》</w:t>
            </w:r>
            <w:r>
              <w:rPr>
                <w:rFonts w:ascii="宋体" w:eastAsia="宋体" w:hAnsi="宋体" w:cs="宋体" w:hint="eastAsia"/>
                <w:bCs/>
              </w:rPr>
              <w:t>Ⅲ</w:t>
            </w:r>
            <w:r>
              <w:rPr>
                <w:rFonts w:ascii="Times New Roman" w:eastAsia="宋体" w:hAnsi="Times New Roman" w:cs="Times New Roman"/>
                <w:bCs/>
              </w:rPr>
              <w:t>类水相应要求。区域已制定了《赣榆区兴庄河水体达标整治方案》，根据方案结论，在落实各项整治措施的基础上，兴庄河水质将明显得到改善。</w:t>
            </w:r>
          </w:p>
        </w:tc>
        <w:tc>
          <w:tcPr>
            <w:tcW w:w="758" w:type="dxa"/>
            <w:vAlign w:val="center"/>
          </w:tcPr>
          <w:p w14:paraId="00B4E1ED" w14:textId="77777777" w:rsidR="002133E3" w:rsidRDefault="002133E3">
            <w:pPr>
              <w:jc w:val="center"/>
              <w:rPr>
                <w:rFonts w:ascii="Times New Roman" w:eastAsia="宋体" w:hAnsi="Times New Roman" w:cs="Times New Roman"/>
                <w:szCs w:val="21"/>
              </w:rPr>
            </w:pPr>
          </w:p>
        </w:tc>
      </w:tr>
      <w:tr w:rsidR="002133E3" w14:paraId="6982D516" w14:textId="77777777">
        <w:trPr>
          <w:trHeight w:val="303"/>
          <w:jc w:val="center"/>
        </w:trPr>
        <w:tc>
          <w:tcPr>
            <w:tcW w:w="478" w:type="dxa"/>
            <w:vMerge/>
            <w:vAlign w:val="center"/>
          </w:tcPr>
          <w:p w14:paraId="1CFDA58A" w14:textId="77777777" w:rsidR="002133E3" w:rsidRDefault="002133E3">
            <w:pPr>
              <w:rPr>
                <w:rFonts w:ascii="Times New Roman" w:eastAsia="宋体" w:hAnsi="Times New Roman" w:cs="Times New Roman"/>
                <w:szCs w:val="21"/>
              </w:rPr>
            </w:pPr>
          </w:p>
        </w:tc>
        <w:tc>
          <w:tcPr>
            <w:tcW w:w="3543" w:type="dxa"/>
            <w:vAlign w:val="center"/>
          </w:tcPr>
          <w:p w14:paraId="49C46EDB"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第五条</w:t>
            </w:r>
            <w:r>
              <w:rPr>
                <w:rFonts w:ascii="Times New Roman" w:eastAsia="宋体" w:hAnsi="Times New Roman" w:cs="Times New Roman"/>
                <w:szCs w:val="21"/>
              </w:rPr>
              <w:t xml:space="preserve">  </w:t>
            </w:r>
            <w:r>
              <w:rPr>
                <w:rFonts w:ascii="Times New Roman" w:eastAsia="宋体" w:hAnsi="Times New Roman" w:cs="Times New Roman"/>
                <w:szCs w:val="21"/>
              </w:rPr>
              <w:t>加强土壤环境风险管控。利用国土、农业、环保等部门的土壤环境监测调查数据，结合土壤污染状况详查，确定土壤环境风险重点管控区域和管控要求。</w:t>
            </w:r>
          </w:p>
        </w:tc>
        <w:tc>
          <w:tcPr>
            <w:tcW w:w="4962" w:type="dxa"/>
            <w:vAlign w:val="center"/>
          </w:tcPr>
          <w:p w14:paraId="0FDDAB97"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rPr>
              <w:t>根据环境现状监测，项目所在区域土壤监测因子均符合《土壤环境质量</w:t>
            </w:r>
            <w:r>
              <w:rPr>
                <w:rFonts w:ascii="Times New Roman" w:eastAsia="宋体" w:hAnsi="Times New Roman" w:cs="Times New Roman"/>
              </w:rPr>
              <w:t xml:space="preserve"> </w:t>
            </w:r>
            <w:r>
              <w:rPr>
                <w:rFonts w:ascii="Times New Roman" w:eastAsia="宋体" w:hAnsi="Times New Roman" w:cs="Times New Roman"/>
              </w:rPr>
              <w:t>建设用地土壤污染风险管控标准》</w:t>
            </w:r>
            <w:r>
              <w:rPr>
                <w:rFonts w:ascii="Times New Roman" w:eastAsia="宋体" w:hAnsi="Times New Roman" w:cs="Times New Roman"/>
              </w:rPr>
              <w:t>(GB36600-2018)</w:t>
            </w:r>
            <w:r>
              <w:rPr>
                <w:rFonts w:ascii="Times New Roman" w:eastAsia="宋体" w:hAnsi="Times New Roman" w:cs="Times New Roman"/>
              </w:rPr>
              <w:t>中表</w:t>
            </w:r>
            <w:r>
              <w:rPr>
                <w:rFonts w:ascii="Times New Roman" w:eastAsia="宋体" w:hAnsi="Times New Roman" w:cs="Times New Roman"/>
              </w:rPr>
              <w:t>1</w:t>
            </w:r>
            <w:r>
              <w:rPr>
                <w:rFonts w:ascii="Times New Roman" w:eastAsia="宋体" w:hAnsi="Times New Roman" w:cs="Times New Roman"/>
              </w:rPr>
              <w:t>的第二类用地筛选值，土壤环境质量较好。</w:t>
            </w:r>
          </w:p>
        </w:tc>
        <w:tc>
          <w:tcPr>
            <w:tcW w:w="758" w:type="dxa"/>
            <w:vAlign w:val="center"/>
          </w:tcPr>
          <w:p w14:paraId="460C8623" w14:textId="77777777" w:rsidR="002133E3" w:rsidRDefault="002133E3">
            <w:pPr>
              <w:jc w:val="center"/>
              <w:rPr>
                <w:rFonts w:ascii="Times New Roman" w:eastAsia="宋体" w:hAnsi="Times New Roman" w:cs="Times New Roman"/>
                <w:szCs w:val="21"/>
              </w:rPr>
            </w:pPr>
          </w:p>
        </w:tc>
      </w:tr>
    </w:tbl>
    <w:p w14:paraId="5B35AE2B" w14:textId="77777777" w:rsidR="002133E3" w:rsidRDefault="00C22CFA">
      <w:pPr>
        <w:spacing w:line="500" w:lineRule="exact"/>
        <w:ind w:leftChars="24" w:left="50" w:right="57"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由表</w:t>
      </w:r>
      <w:r>
        <w:rPr>
          <w:rFonts w:ascii="Times New Roman" w:eastAsia="宋体" w:hAnsi="Times New Roman" w:cs="Times New Roman"/>
          <w:sz w:val="28"/>
          <w:szCs w:val="28"/>
        </w:rPr>
        <w:t>1.3-3</w:t>
      </w:r>
      <w:r>
        <w:rPr>
          <w:rFonts w:ascii="Times New Roman" w:eastAsia="宋体" w:hAnsi="Times New Roman" w:cs="Times New Roman"/>
          <w:sz w:val="28"/>
          <w:szCs w:val="28"/>
        </w:rPr>
        <w:t>、表</w:t>
      </w:r>
      <w:r>
        <w:rPr>
          <w:rFonts w:ascii="Times New Roman" w:eastAsia="宋体" w:hAnsi="Times New Roman" w:cs="Times New Roman"/>
          <w:sz w:val="28"/>
          <w:szCs w:val="28"/>
        </w:rPr>
        <w:t>1.3-4</w:t>
      </w:r>
      <w:r>
        <w:rPr>
          <w:rFonts w:ascii="Times New Roman" w:eastAsia="宋体" w:hAnsi="Times New Roman" w:cs="Times New Roman"/>
          <w:sz w:val="28"/>
          <w:szCs w:val="28"/>
        </w:rPr>
        <w:t>可知，本项目与当地环境质量底线要求相符。</w:t>
      </w:r>
    </w:p>
    <w:p w14:paraId="35678728" w14:textId="77777777" w:rsidR="002133E3" w:rsidRDefault="00C22CFA">
      <w:pPr>
        <w:numPr>
          <w:ilvl w:val="3"/>
          <w:numId w:val="2"/>
        </w:numPr>
        <w:tabs>
          <w:tab w:val="left" w:pos="851"/>
        </w:tabs>
        <w:ind w:left="993" w:hanging="993"/>
        <w:outlineLvl w:val="3"/>
        <w:rPr>
          <w:rFonts w:ascii="Times New Roman" w:eastAsia="宋体" w:hAnsi="Times New Roman" w:cs="Times New Roman"/>
          <w:b/>
          <w:bCs/>
          <w:sz w:val="28"/>
          <w:szCs w:val="28"/>
        </w:rPr>
      </w:pPr>
      <w:r>
        <w:rPr>
          <w:rFonts w:ascii="Times New Roman" w:eastAsia="宋体" w:hAnsi="Times New Roman" w:cs="Times New Roman"/>
          <w:b/>
          <w:bCs/>
          <w:sz w:val="28"/>
          <w:szCs w:val="28"/>
        </w:rPr>
        <w:t>与资源利用上线相符性</w:t>
      </w:r>
    </w:p>
    <w:p w14:paraId="5FB8D3B5"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与《连云港市战略环境评价报告》中</w:t>
      </w:r>
      <w:r>
        <w:rPr>
          <w:rFonts w:ascii="Times New Roman" w:eastAsia="宋体" w:hAnsi="Times New Roman" w:cs="Times New Roman"/>
          <w:sz w:val="28"/>
          <w:szCs w:val="28"/>
        </w:rPr>
        <w:t>“</w:t>
      </w:r>
      <w:r>
        <w:rPr>
          <w:rFonts w:ascii="Times New Roman" w:eastAsia="宋体" w:hAnsi="Times New Roman" w:cs="Times New Roman"/>
          <w:sz w:val="28"/>
          <w:szCs w:val="28"/>
        </w:rPr>
        <w:t>严控资源消耗上线</w:t>
      </w:r>
      <w:r>
        <w:rPr>
          <w:rFonts w:ascii="Times New Roman" w:eastAsia="宋体" w:hAnsi="Times New Roman" w:cs="Times New Roman"/>
          <w:sz w:val="28"/>
          <w:szCs w:val="28"/>
        </w:rPr>
        <w:t>”</w:t>
      </w:r>
      <w:r>
        <w:rPr>
          <w:rFonts w:ascii="Times New Roman" w:eastAsia="宋体" w:hAnsi="Times New Roman" w:cs="Times New Roman"/>
          <w:sz w:val="28"/>
          <w:szCs w:val="28"/>
        </w:rPr>
        <w:t>符合性</w:t>
      </w:r>
    </w:p>
    <w:p w14:paraId="509EC036" w14:textId="77777777" w:rsidR="002133E3" w:rsidRDefault="00C22CFA">
      <w:pPr>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w:t>
      </w:r>
      <w:r>
        <w:rPr>
          <w:rFonts w:ascii="Times New Roman" w:eastAsia="宋体" w:hAnsi="Times New Roman" w:cs="Times New Roman"/>
          <w:sz w:val="28"/>
          <w:szCs w:val="28"/>
        </w:rPr>
        <w:t>《连云港市战略环境评价报告》中</w:t>
      </w:r>
      <w:r>
        <w:rPr>
          <w:rFonts w:ascii="Times New Roman" w:eastAsia="宋体" w:hAnsi="Times New Roman" w:cs="Times New Roman"/>
          <w:sz w:val="28"/>
          <w:szCs w:val="28"/>
        </w:rPr>
        <w:t>“</w:t>
      </w:r>
      <w:r>
        <w:rPr>
          <w:rFonts w:ascii="Times New Roman" w:eastAsia="宋体" w:hAnsi="Times New Roman" w:cs="Times New Roman"/>
          <w:sz w:val="28"/>
          <w:szCs w:val="28"/>
        </w:rPr>
        <w:t>严控资源消耗上线</w:t>
      </w:r>
      <w:r>
        <w:rPr>
          <w:rFonts w:ascii="Times New Roman" w:eastAsia="宋体" w:hAnsi="Times New Roman" w:cs="Times New Roman"/>
          <w:sz w:val="28"/>
          <w:szCs w:val="28"/>
        </w:rPr>
        <w:t>”</w:t>
      </w:r>
      <w:r>
        <w:rPr>
          <w:rFonts w:ascii="Times New Roman" w:eastAsia="宋体" w:hAnsi="Times New Roman" w:cs="Times New Roman"/>
          <w:sz w:val="28"/>
          <w:szCs w:val="28"/>
        </w:rPr>
        <w:t>内容，其</w:t>
      </w:r>
      <w:r>
        <w:rPr>
          <w:rFonts w:ascii="Times New Roman" w:eastAsia="宋体" w:hAnsi="Times New Roman" w:cs="Times New Roman"/>
          <w:sz w:val="28"/>
          <w:szCs w:val="24"/>
        </w:rPr>
        <w:t>明确提出了</w:t>
      </w:r>
      <w:r>
        <w:rPr>
          <w:rFonts w:ascii="Times New Roman" w:eastAsia="宋体" w:hAnsi="Times New Roman" w:cs="Times New Roman"/>
          <w:sz w:val="28"/>
          <w:szCs w:val="24"/>
        </w:rPr>
        <w:t>“</w:t>
      </w:r>
      <w:r>
        <w:rPr>
          <w:rFonts w:ascii="Times New Roman" w:eastAsia="宋体" w:hAnsi="Times New Roman" w:cs="Times New Roman"/>
          <w:sz w:val="28"/>
          <w:szCs w:val="24"/>
        </w:rPr>
        <w:t>资源消耗上限</w:t>
      </w:r>
      <w:r>
        <w:rPr>
          <w:rFonts w:ascii="Times New Roman" w:eastAsia="宋体" w:hAnsi="Times New Roman" w:cs="Times New Roman"/>
          <w:sz w:val="28"/>
          <w:szCs w:val="24"/>
        </w:rPr>
        <w:t>”</w:t>
      </w:r>
      <w:r>
        <w:rPr>
          <w:rFonts w:ascii="Times New Roman" w:eastAsia="宋体" w:hAnsi="Times New Roman" w:cs="Times New Roman"/>
          <w:sz w:val="28"/>
          <w:szCs w:val="24"/>
        </w:rPr>
        <w:t>管控内涵及指标设置要求，本环评对照该文件进行相符性分析，具体分析结果见表</w:t>
      </w:r>
      <w:r>
        <w:rPr>
          <w:rFonts w:ascii="Times New Roman" w:eastAsia="宋体" w:hAnsi="Times New Roman" w:cs="Times New Roman"/>
          <w:sz w:val="28"/>
          <w:szCs w:val="24"/>
        </w:rPr>
        <w:t>1.3-5</w:t>
      </w:r>
      <w:r>
        <w:rPr>
          <w:rFonts w:ascii="Times New Roman" w:eastAsia="宋体" w:hAnsi="Times New Roman" w:cs="Times New Roman"/>
          <w:sz w:val="28"/>
          <w:szCs w:val="24"/>
        </w:rPr>
        <w:t>所示。</w:t>
      </w:r>
    </w:p>
    <w:p w14:paraId="7540C250"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1.3-5 </w:t>
      </w:r>
      <w:r>
        <w:rPr>
          <w:rFonts w:ascii="Times New Roman" w:eastAsia="宋体" w:hAnsi="Times New Roman" w:cs="Times New Roman"/>
          <w:b/>
          <w:szCs w:val="24"/>
        </w:rPr>
        <w:t>项目与当地资源消耗上限的符合性分析表</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528"/>
        <w:gridCol w:w="2138"/>
        <w:gridCol w:w="974"/>
      </w:tblGrid>
      <w:tr w:rsidR="002133E3" w14:paraId="64454879" w14:textId="77777777">
        <w:trPr>
          <w:trHeight w:val="340"/>
          <w:tblHeader/>
          <w:jc w:val="center"/>
        </w:trPr>
        <w:tc>
          <w:tcPr>
            <w:tcW w:w="1101" w:type="dxa"/>
            <w:vAlign w:val="center"/>
          </w:tcPr>
          <w:p w14:paraId="506B6A14"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指标设置</w:t>
            </w:r>
          </w:p>
        </w:tc>
        <w:tc>
          <w:tcPr>
            <w:tcW w:w="5528" w:type="dxa"/>
            <w:vAlign w:val="center"/>
          </w:tcPr>
          <w:p w14:paraId="43D15436"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管控内涵</w:t>
            </w:r>
          </w:p>
        </w:tc>
        <w:tc>
          <w:tcPr>
            <w:tcW w:w="2138" w:type="dxa"/>
            <w:vAlign w:val="center"/>
          </w:tcPr>
          <w:p w14:paraId="50987861"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项目情况</w:t>
            </w:r>
          </w:p>
        </w:tc>
        <w:tc>
          <w:tcPr>
            <w:tcW w:w="974" w:type="dxa"/>
            <w:vAlign w:val="center"/>
          </w:tcPr>
          <w:p w14:paraId="044EF623"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符合性</w:t>
            </w:r>
          </w:p>
        </w:tc>
      </w:tr>
      <w:tr w:rsidR="002133E3" w14:paraId="69944301" w14:textId="77777777">
        <w:trPr>
          <w:trHeight w:val="340"/>
          <w:jc w:val="center"/>
        </w:trPr>
        <w:tc>
          <w:tcPr>
            <w:tcW w:w="1101" w:type="dxa"/>
            <w:vMerge w:val="restart"/>
            <w:vAlign w:val="center"/>
          </w:tcPr>
          <w:p w14:paraId="50FA26C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水资源总量红线</w:t>
            </w:r>
          </w:p>
        </w:tc>
        <w:tc>
          <w:tcPr>
            <w:tcW w:w="5528" w:type="dxa"/>
            <w:vAlign w:val="center"/>
          </w:tcPr>
          <w:p w14:paraId="27AF159C"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以水资源配置、节约和保护为重点，强化生活、生产和生态用水需求和用水过程管理，严格控制用水总量，全面提高用水效率，加快节水型社会建设，促进水资源可持续利用和经济发展方式转变，推动经济社会发展与水资源载能力相协调。</w:t>
            </w:r>
          </w:p>
        </w:tc>
        <w:tc>
          <w:tcPr>
            <w:tcW w:w="2138" w:type="dxa"/>
            <w:vAlign w:val="center"/>
          </w:tcPr>
          <w:p w14:paraId="02DCCFA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本项目建成后，新鲜水用量</w:t>
            </w:r>
            <w:r>
              <w:rPr>
                <w:rFonts w:ascii="Times New Roman" w:eastAsia="宋体" w:hAnsi="Times New Roman" w:cs="Times New Roman"/>
                <w:kern w:val="0"/>
                <w:szCs w:val="21"/>
              </w:rPr>
              <w:t>1166518.18</w:t>
            </w:r>
            <w:r>
              <w:rPr>
                <w:rFonts w:ascii="Times New Roman" w:eastAsia="宋体" w:hAnsi="Times New Roman" w:cs="Times New Roman"/>
                <w:szCs w:val="21"/>
              </w:rPr>
              <w:t>m</w:t>
            </w:r>
            <w:r>
              <w:rPr>
                <w:rFonts w:ascii="Times New Roman" w:eastAsia="宋体" w:hAnsi="Times New Roman" w:cs="Times New Roman"/>
                <w:szCs w:val="21"/>
                <w:vertAlign w:val="superscript"/>
              </w:rPr>
              <w:t>3</w:t>
            </w:r>
            <w:r>
              <w:rPr>
                <w:rFonts w:ascii="Times New Roman" w:eastAsia="宋体" w:hAnsi="Times New Roman" w:cs="Times New Roman"/>
                <w:szCs w:val="21"/>
              </w:rPr>
              <w:t>/a</w:t>
            </w:r>
            <w:r>
              <w:rPr>
                <w:rFonts w:ascii="Times New Roman" w:eastAsia="宋体" w:hAnsi="Times New Roman" w:cs="Times New Roman"/>
                <w:szCs w:val="21"/>
              </w:rPr>
              <w:t>。</w:t>
            </w:r>
          </w:p>
        </w:tc>
        <w:tc>
          <w:tcPr>
            <w:tcW w:w="974" w:type="dxa"/>
            <w:vAlign w:val="center"/>
          </w:tcPr>
          <w:p w14:paraId="6C17D6B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w:t>
            </w:r>
          </w:p>
        </w:tc>
      </w:tr>
      <w:tr w:rsidR="002133E3" w14:paraId="19812896" w14:textId="77777777">
        <w:trPr>
          <w:trHeight w:val="485"/>
          <w:jc w:val="center"/>
        </w:trPr>
        <w:tc>
          <w:tcPr>
            <w:tcW w:w="1101" w:type="dxa"/>
            <w:vMerge/>
            <w:vAlign w:val="center"/>
          </w:tcPr>
          <w:p w14:paraId="77DB741F" w14:textId="77777777" w:rsidR="002133E3" w:rsidRDefault="002133E3">
            <w:pPr>
              <w:jc w:val="center"/>
              <w:rPr>
                <w:rFonts w:ascii="Times New Roman" w:eastAsia="宋体" w:hAnsi="Times New Roman" w:cs="Times New Roman"/>
                <w:szCs w:val="21"/>
              </w:rPr>
            </w:pPr>
          </w:p>
        </w:tc>
        <w:tc>
          <w:tcPr>
            <w:tcW w:w="5528" w:type="dxa"/>
            <w:vAlign w:val="center"/>
          </w:tcPr>
          <w:p w14:paraId="3902C5A5" w14:textId="77777777" w:rsidR="002133E3" w:rsidRDefault="00C22CFA">
            <w:pPr>
              <w:ind w:firstLineChars="200" w:firstLine="420"/>
              <w:jc w:val="center"/>
              <w:rPr>
                <w:rFonts w:ascii="Times New Roman" w:eastAsia="宋体" w:hAnsi="Times New Roman" w:cs="Times New Roman"/>
                <w:szCs w:val="21"/>
              </w:rPr>
            </w:pPr>
            <w:r>
              <w:rPr>
                <w:rFonts w:ascii="Times New Roman" w:eastAsia="宋体" w:hAnsi="Times New Roman" w:cs="Times New Roman"/>
                <w:szCs w:val="21"/>
              </w:rPr>
              <w:t>严格设定地下水开采总量指标。</w:t>
            </w:r>
          </w:p>
        </w:tc>
        <w:tc>
          <w:tcPr>
            <w:tcW w:w="2138" w:type="dxa"/>
            <w:vAlign w:val="center"/>
          </w:tcPr>
          <w:p w14:paraId="3A6512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本项目所用水量均来自市政给水管网，不开采地下水。</w:t>
            </w:r>
          </w:p>
        </w:tc>
        <w:tc>
          <w:tcPr>
            <w:tcW w:w="974" w:type="dxa"/>
            <w:vAlign w:val="center"/>
          </w:tcPr>
          <w:p w14:paraId="52837DE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w:t>
            </w:r>
          </w:p>
        </w:tc>
      </w:tr>
      <w:tr w:rsidR="002133E3" w14:paraId="3BA518A6" w14:textId="77777777">
        <w:trPr>
          <w:trHeight w:val="185"/>
          <w:jc w:val="center"/>
        </w:trPr>
        <w:tc>
          <w:tcPr>
            <w:tcW w:w="1101" w:type="dxa"/>
            <w:vMerge/>
            <w:vAlign w:val="center"/>
          </w:tcPr>
          <w:p w14:paraId="0AFEC209" w14:textId="77777777" w:rsidR="002133E3" w:rsidRDefault="002133E3">
            <w:pPr>
              <w:jc w:val="center"/>
              <w:rPr>
                <w:rFonts w:ascii="Times New Roman" w:eastAsia="宋体" w:hAnsi="Times New Roman" w:cs="Times New Roman"/>
                <w:szCs w:val="21"/>
              </w:rPr>
            </w:pPr>
          </w:p>
        </w:tc>
        <w:tc>
          <w:tcPr>
            <w:tcW w:w="5528" w:type="dxa"/>
            <w:vAlign w:val="center"/>
          </w:tcPr>
          <w:p w14:paraId="6A6687F1"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2020</w:t>
            </w:r>
            <w:r>
              <w:rPr>
                <w:rFonts w:ascii="Times New Roman" w:eastAsia="宋体" w:hAnsi="Times New Roman" w:cs="Times New Roman"/>
                <w:szCs w:val="21"/>
              </w:rPr>
              <w:t>年，全市用水总量控制在</w:t>
            </w:r>
            <w:r>
              <w:rPr>
                <w:rFonts w:ascii="Times New Roman" w:eastAsia="宋体" w:hAnsi="Times New Roman" w:cs="Times New Roman"/>
                <w:szCs w:val="21"/>
              </w:rPr>
              <w:t>29.43</w:t>
            </w:r>
            <w:r>
              <w:rPr>
                <w:rFonts w:ascii="Times New Roman" w:eastAsia="宋体" w:hAnsi="Times New Roman" w:cs="Times New Roman"/>
                <w:szCs w:val="21"/>
              </w:rPr>
              <w:t>亿立方米以内，万元工业增加值用水量控制在</w:t>
            </w:r>
            <w:r>
              <w:rPr>
                <w:rFonts w:ascii="Times New Roman" w:eastAsia="宋体" w:hAnsi="Times New Roman" w:cs="Times New Roman"/>
                <w:szCs w:val="21"/>
              </w:rPr>
              <w:t>18</w:t>
            </w:r>
            <w:r>
              <w:rPr>
                <w:rFonts w:ascii="Times New Roman" w:eastAsia="宋体" w:hAnsi="Times New Roman" w:cs="Times New Roman"/>
                <w:szCs w:val="21"/>
              </w:rPr>
              <w:t>立方米以内。</w:t>
            </w:r>
          </w:p>
        </w:tc>
        <w:tc>
          <w:tcPr>
            <w:tcW w:w="2138" w:type="dxa"/>
            <w:vMerge w:val="restart"/>
            <w:vAlign w:val="center"/>
          </w:tcPr>
          <w:p w14:paraId="7A7A1CF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根据计算，本项目建成后，</w:t>
            </w:r>
            <w:r>
              <w:rPr>
                <w:rFonts w:ascii="Times New Roman" w:eastAsia="宋体" w:hAnsi="Times New Roman" w:cs="Times New Roman"/>
                <w:szCs w:val="21"/>
                <w:highlight w:val="yellow"/>
              </w:rPr>
              <w:t>新增用水指标约为</w:t>
            </w:r>
            <w:r>
              <w:rPr>
                <w:rFonts w:ascii="Times New Roman" w:eastAsia="宋体" w:hAnsi="Times New Roman" w:cs="Times New Roman"/>
                <w:szCs w:val="21"/>
                <w:highlight w:val="yellow"/>
              </w:rPr>
              <w:t>0.002m</w:t>
            </w:r>
            <w:r>
              <w:rPr>
                <w:rFonts w:ascii="Times New Roman" w:eastAsia="宋体" w:hAnsi="Times New Roman" w:cs="Times New Roman"/>
                <w:szCs w:val="21"/>
                <w:highlight w:val="yellow"/>
                <w:vertAlign w:val="superscript"/>
              </w:rPr>
              <w:t>3</w:t>
            </w:r>
            <w:r>
              <w:rPr>
                <w:rFonts w:ascii="Times New Roman" w:eastAsia="宋体" w:hAnsi="Times New Roman" w:cs="Times New Roman"/>
                <w:szCs w:val="21"/>
                <w:highlight w:val="yellow"/>
              </w:rPr>
              <w:t>/</w:t>
            </w:r>
            <w:r>
              <w:rPr>
                <w:rFonts w:ascii="Times New Roman" w:eastAsia="宋体" w:hAnsi="Times New Roman" w:cs="Times New Roman"/>
                <w:szCs w:val="21"/>
                <w:highlight w:val="yellow"/>
              </w:rPr>
              <w:t>万元。</w:t>
            </w:r>
          </w:p>
        </w:tc>
        <w:tc>
          <w:tcPr>
            <w:tcW w:w="974" w:type="dxa"/>
            <w:vMerge w:val="restart"/>
            <w:vAlign w:val="center"/>
          </w:tcPr>
          <w:p w14:paraId="39B6FA1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w:t>
            </w:r>
          </w:p>
        </w:tc>
      </w:tr>
      <w:tr w:rsidR="002133E3" w14:paraId="21D24A38" w14:textId="77777777">
        <w:trPr>
          <w:trHeight w:val="281"/>
          <w:jc w:val="center"/>
        </w:trPr>
        <w:tc>
          <w:tcPr>
            <w:tcW w:w="1101" w:type="dxa"/>
            <w:vMerge/>
            <w:vAlign w:val="center"/>
          </w:tcPr>
          <w:p w14:paraId="47AF7F68" w14:textId="77777777" w:rsidR="002133E3" w:rsidRDefault="002133E3">
            <w:pPr>
              <w:jc w:val="center"/>
              <w:rPr>
                <w:rFonts w:ascii="Times New Roman" w:eastAsia="宋体" w:hAnsi="Times New Roman" w:cs="Times New Roman"/>
                <w:szCs w:val="21"/>
              </w:rPr>
            </w:pPr>
          </w:p>
        </w:tc>
        <w:tc>
          <w:tcPr>
            <w:tcW w:w="5528" w:type="dxa"/>
            <w:vAlign w:val="center"/>
          </w:tcPr>
          <w:p w14:paraId="32B79039"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2030</w:t>
            </w:r>
            <w:r>
              <w:rPr>
                <w:rFonts w:ascii="Times New Roman" w:eastAsia="宋体" w:hAnsi="Times New Roman" w:cs="Times New Roman"/>
                <w:szCs w:val="21"/>
              </w:rPr>
              <w:t>年，全市用水总量控制在</w:t>
            </w:r>
            <w:r>
              <w:rPr>
                <w:rFonts w:ascii="Times New Roman" w:eastAsia="宋体" w:hAnsi="Times New Roman" w:cs="Times New Roman"/>
                <w:szCs w:val="21"/>
              </w:rPr>
              <w:t>31.4</w:t>
            </w:r>
            <w:r>
              <w:rPr>
                <w:rFonts w:ascii="Times New Roman" w:eastAsia="宋体" w:hAnsi="Times New Roman" w:cs="Times New Roman"/>
                <w:szCs w:val="21"/>
              </w:rPr>
              <w:t>亿立方米以内，万元工业增加值用水量控制在</w:t>
            </w:r>
            <w:r>
              <w:rPr>
                <w:rFonts w:ascii="Times New Roman" w:eastAsia="宋体" w:hAnsi="Times New Roman" w:cs="Times New Roman"/>
                <w:szCs w:val="21"/>
              </w:rPr>
              <w:t>12</w:t>
            </w:r>
            <w:r>
              <w:rPr>
                <w:rFonts w:ascii="Times New Roman" w:eastAsia="宋体" w:hAnsi="Times New Roman" w:cs="Times New Roman"/>
                <w:szCs w:val="21"/>
              </w:rPr>
              <w:t>立方米以内。</w:t>
            </w:r>
          </w:p>
        </w:tc>
        <w:tc>
          <w:tcPr>
            <w:tcW w:w="2138" w:type="dxa"/>
            <w:vMerge/>
            <w:vAlign w:val="center"/>
          </w:tcPr>
          <w:p w14:paraId="4724B392" w14:textId="77777777" w:rsidR="002133E3" w:rsidRDefault="002133E3">
            <w:pPr>
              <w:jc w:val="center"/>
              <w:rPr>
                <w:rFonts w:ascii="Times New Roman" w:eastAsia="宋体" w:hAnsi="Times New Roman" w:cs="Times New Roman"/>
                <w:szCs w:val="21"/>
              </w:rPr>
            </w:pPr>
          </w:p>
        </w:tc>
        <w:tc>
          <w:tcPr>
            <w:tcW w:w="974" w:type="dxa"/>
            <w:vMerge/>
            <w:vAlign w:val="center"/>
          </w:tcPr>
          <w:p w14:paraId="6609D236" w14:textId="77777777" w:rsidR="002133E3" w:rsidRDefault="002133E3">
            <w:pPr>
              <w:jc w:val="center"/>
              <w:rPr>
                <w:rFonts w:ascii="Times New Roman" w:eastAsia="宋体" w:hAnsi="Times New Roman" w:cs="Times New Roman"/>
                <w:szCs w:val="21"/>
              </w:rPr>
            </w:pPr>
          </w:p>
        </w:tc>
      </w:tr>
      <w:tr w:rsidR="002133E3" w14:paraId="65DE68E3" w14:textId="77777777">
        <w:trPr>
          <w:trHeight w:val="340"/>
          <w:jc w:val="center"/>
        </w:trPr>
        <w:tc>
          <w:tcPr>
            <w:tcW w:w="1101" w:type="dxa"/>
            <w:vAlign w:val="center"/>
          </w:tcPr>
          <w:p w14:paraId="1B760FB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能源总量红线</w:t>
            </w:r>
          </w:p>
        </w:tc>
        <w:tc>
          <w:tcPr>
            <w:tcW w:w="5528" w:type="dxa"/>
            <w:vAlign w:val="center"/>
          </w:tcPr>
          <w:p w14:paraId="1B451933"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考虑到连云港市经济发展现状情况，以及石化基地、精品钢基地及大港口的发展战略需求，综合能源消耗总量将在较长一段时间内，保持较高的增速，因此综合能源消耗总量增速控制</w:t>
            </w:r>
            <w:r>
              <w:rPr>
                <w:rFonts w:ascii="Times New Roman" w:eastAsia="宋体" w:hAnsi="Times New Roman" w:cs="Times New Roman"/>
                <w:szCs w:val="21"/>
              </w:rPr>
              <w:t>3.5%-5%</w:t>
            </w:r>
            <w:r>
              <w:rPr>
                <w:rFonts w:ascii="Times New Roman" w:eastAsia="宋体" w:hAnsi="Times New Roman" w:cs="Times New Roman"/>
                <w:szCs w:val="21"/>
              </w:rPr>
              <w:t>，</w:t>
            </w:r>
            <w:r>
              <w:rPr>
                <w:rFonts w:ascii="Times New Roman" w:eastAsia="宋体" w:hAnsi="Times New Roman" w:cs="Times New Roman"/>
                <w:szCs w:val="21"/>
              </w:rPr>
              <w:t>2020</w:t>
            </w:r>
            <w:r>
              <w:rPr>
                <w:rFonts w:ascii="Times New Roman" w:eastAsia="宋体" w:hAnsi="Times New Roman" w:cs="Times New Roman"/>
                <w:szCs w:val="21"/>
              </w:rPr>
              <w:t>年和</w:t>
            </w:r>
            <w:r>
              <w:rPr>
                <w:rFonts w:ascii="Times New Roman" w:eastAsia="宋体" w:hAnsi="Times New Roman" w:cs="Times New Roman"/>
                <w:szCs w:val="21"/>
              </w:rPr>
              <w:t>2030</w:t>
            </w:r>
            <w:r>
              <w:rPr>
                <w:rFonts w:ascii="Times New Roman" w:eastAsia="宋体" w:hAnsi="Times New Roman" w:cs="Times New Roman"/>
                <w:szCs w:val="21"/>
              </w:rPr>
              <w:t>年综合能源消耗总量控制在</w:t>
            </w:r>
            <w:r>
              <w:rPr>
                <w:rFonts w:ascii="Times New Roman" w:eastAsia="宋体" w:hAnsi="Times New Roman" w:cs="Times New Roman"/>
                <w:szCs w:val="21"/>
              </w:rPr>
              <w:t>2100</w:t>
            </w:r>
            <w:r>
              <w:rPr>
                <w:rFonts w:ascii="Times New Roman" w:eastAsia="宋体" w:hAnsi="Times New Roman" w:cs="Times New Roman"/>
                <w:szCs w:val="21"/>
              </w:rPr>
              <w:t>万吨标准煤和</w:t>
            </w:r>
            <w:r>
              <w:rPr>
                <w:rFonts w:ascii="Times New Roman" w:eastAsia="宋体" w:hAnsi="Times New Roman" w:cs="Times New Roman"/>
                <w:szCs w:val="21"/>
              </w:rPr>
              <w:t>3200</w:t>
            </w:r>
            <w:r>
              <w:rPr>
                <w:rFonts w:ascii="Times New Roman" w:eastAsia="宋体" w:hAnsi="Times New Roman" w:cs="Times New Roman"/>
                <w:szCs w:val="21"/>
              </w:rPr>
              <w:t>万吨标准煤。</w:t>
            </w:r>
          </w:p>
        </w:tc>
        <w:tc>
          <w:tcPr>
            <w:tcW w:w="2138" w:type="dxa"/>
            <w:vAlign w:val="center"/>
          </w:tcPr>
          <w:p w14:paraId="44E484D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本项目建成后能源消耗为</w:t>
            </w:r>
            <w:r>
              <w:rPr>
                <w:rFonts w:ascii="Times New Roman" w:eastAsia="宋体" w:hAnsi="Times New Roman" w:cs="Times New Roman"/>
                <w:szCs w:val="21"/>
                <w:highlight w:val="yellow"/>
              </w:rPr>
              <w:t>30.73</w:t>
            </w:r>
            <w:r>
              <w:rPr>
                <w:rFonts w:ascii="Times New Roman" w:eastAsia="宋体" w:hAnsi="Times New Roman" w:cs="Times New Roman"/>
                <w:szCs w:val="21"/>
                <w:highlight w:val="yellow"/>
              </w:rPr>
              <w:t>吨标准煤</w:t>
            </w:r>
            <w:r>
              <w:rPr>
                <w:rFonts w:ascii="Times New Roman" w:eastAsia="宋体" w:hAnsi="Times New Roman" w:cs="Times New Roman"/>
                <w:szCs w:val="21"/>
              </w:rPr>
              <w:t>(</w:t>
            </w:r>
            <w:r>
              <w:rPr>
                <w:rFonts w:ascii="Times New Roman" w:eastAsia="宋体" w:hAnsi="Times New Roman" w:cs="Times New Roman"/>
                <w:szCs w:val="21"/>
              </w:rPr>
              <w:t>电耗、水等消耗折算</w:t>
            </w:r>
            <w:r>
              <w:rPr>
                <w:rFonts w:ascii="Times New Roman" w:eastAsia="宋体" w:hAnsi="Times New Roman" w:cs="Times New Roman"/>
                <w:szCs w:val="21"/>
              </w:rPr>
              <w:t>)</w:t>
            </w:r>
            <w:r>
              <w:rPr>
                <w:rFonts w:ascii="Times New Roman" w:eastAsia="宋体" w:hAnsi="Times New Roman" w:cs="Times New Roman"/>
                <w:szCs w:val="21"/>
              </w:rPr>
              <w:t>。</w:t>
            </w:r>
          </w:p>
        </w:tc>
        <w:tc>
          <w:tcPr>
            <w:tcW w:w="974" w:type="dxa"/>
            <w:vAlign w:val="center"/>
          </w:tcPr>
          <w:p w14:paraId="0DC8A7E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w:t>
            </w:r>
          </w:p>
        </w:tc>
      </w:tr>
    </w:tbl>
    <w:p w14:paraId="206AC51A"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与《关于印发连云港市资源利用上线管理办法</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的通知》符合性</w:t>
      </w:r>
    </w:p>
    <w:p w14:paraId="3B183ADB" w14:textId="77777777" w:rsidR="002133E3" w:rsidRDefault="00C22CFA">
      <w:pPr>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根据《关于印发连云港市资源利用上线管理办法</w:t>
      </w:r>
      <w:r>
        <w:rPr>
          <w:rFonts w:ascii="Times New Roman" w:eastAsia="宋体" w:hAnsi="Times New Roman" w:cs="Times New Roman"/>
          <w:sz w:val="28"/>
          <w:szCs w:val="24"/>
        </w:rPr>
        <w:t>(</w:t>
      </w:r>
      <w:r>
        <w:rPr>
          <w:rFonts w:ascii="Times New Roman" w:eastAsia="宋体" w:hAnsi="Times New Roman" w:cs="Times New Roman"/>
          <w:sz w:val="28"/>
          <w:szCs w:val="24"/>
        </w:rPr>
        <w:t>试行</w:t>
      </w:r>
      <w:r>
        <w:rPr>
          <w:rFonts w:ascii="Times New Roman" w:eastAsia="宋体" w:hAnsi="Times New Roman" w:cs="Times New Roman"/>
          <w:sz w:val="28"/>
          <w:szCs w:val="24"/>
        </w:rPr>
        <w:t>)</w:t>
      </w:r>
      <w:r>
        <w:rPr>
          <w:rFonts w:ascii="Times New Roman" w:eastAsia="宋体" w:hAnsi="Times New Roman" w:cs="Times New Roman"/>
          <w:sz w:val="28"/>
          <w:szCs w:val="24"/>
        </w:rPr>
        <w:t>的通知》</w:t>
      </w:r>
      <w:r>
        <w:rPr>
          <w:rFonts w:ascii="Times New Roman" w:eastAsia="宋体" w:hAnsi="Times New Roman" w:cs="Times New Roman"/>
          <w:sz w:val="28"/>
          <w:szCs w:val="24"/>
        </w:rPr>
        <w:t>(</w:t>
      </w:r>
      <w:r>
        <w:rPr>
          <w:rFonts w:ascii="Times New Roman" w:eastAsia="宋体" w:hAnsi="Times New Roman" w:cs="Times New Roman"/>
          <w:sz w:val="28"/>
          <w:szCs w:val="24"/>
        </w:rPr>
        <w:t>连政办发</w:t>
      </w:r>
      <w:r>
        <w:rPr>
          <w:rFonts w:ascii="Times New Roman" w:eastAsia="宋体" w:hAnsi="Times New Roman" w:cs="Times New Roman"/>
          <w:sz w:val="28"/>
          <w:szCs w:val="24"/>
        </w:rPr>
        <w:t>[2018]37</w:t>
      </w:r>
      <w:r>
        <w:rPr>
          <w:rFonts w:ascii="Times New Roman" w:eastAsia="宋体" w:hAnsi="Times New Roman" w:cs="Times New Roman"/>
          <w:sz w:val="28"/>
          <w:szCs w:val="24"/>
        </w:rPr>
        <w:t>号</w:t>
      </w:r>
      <w:r>
        <w:rPr>
          <w:rFonts w:ascii="Times New Roman" w:eastAsia="宋体" w:hAnsi="Times New Roman" w:cs="Times New Roman"/>
          <w:sz w:val="28"/>
          <w:szCs w:val="24"/>
        </w:rPr>
        <w:t>)</w:t>
      </w:r>
      <w:r>
        <w:rPr>
          <w:rFonts w:ascii="Times New Roman" w:eastAsia="宋体" w:hAnsi="Times New Roman" w:cs="Times New Roman"/>
          <w:sz w:val="28"/>
          <w:szCs w:val="24"/>
        </w:rPr>
        <w:t>要求，本环评对照该文件进行相符性分析，具体分析见表</w:t>
      </w:r>
      <w:r>
        <w:rPr>
          <w:rFonts w:ascii="Times New Roman" w:eastAsia="宋体" w:hAnsi="Times New Roman" w:cs="Times New Roman"/>
          <w:sz w:val="28"/>
          <w:szCs w:val="24"/>
        </w:rPr>
        <w:t>1.3-6</w:t>
      </w:r>
      <w:r>
        <w:rPr>
          <w:rFonts w:ascii="Times New Roman" w:eastAsia="宋体" w:hAnsi="Times New Roman" w:cs="Times New Roman"/>
          <w:sz w:val="28"/>
          <w:szCs w:val="24"/>
        </w:rPr>
        <w:t>。</w:t>
      </w:r>
    </w:p>
    <w:p w14:paraId="2B96B72E"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1.3-6  </w:t>
      </w:r>
      <w:r>
        <w:rPr>
          <w:rFonts w:ascii="Times New Roman" w:eastAsia="宋体" w:hAnsi="Times New Roman" w:cs="Times New Roman"/>
          <w:b/>
          <w:szCs w:val="24"/>
        </w:rPr>
        <w:t>项目与连政办发</w:t>
      </w:r>
      <w:r>
        <w:rPr>
          <w:rFonts w:ascii="Times New Roman" w:eastAsia="宋体" w:hAnsi="Times New Roman" w:cs="Times New Roman"/>
          <w:b/>
          <w:szCs w:val="24"/>
        </w:rPr>
        <w:t>[2018]37</w:t>
      </w:r>
      <w:r>
        <w:rPr>
          <w:rFonts w:ascii="Times New Roman" w:eastAsia="宋体" w:hAnsi="Times New Roman" w:cs="Times New Roman"/>
          <w:b/>
          <w:szCs w:val="24"/>
        </w:rPr>
        <w:t>号的符合性分析表</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6833"/>
        <w:gridCol w:w="1620"/>
        <w:gridCol w:w="903"/>
      </w:tblGrid>
      <w:tr w:rsidR="002133E3" w14:paraId="132C8334" w14:textId="77777777">
        <w:trPr>
          <w:trHeight w:val="303"/>
          <w:jc w:val="center"/>
        </w:trPr>
        <w:tc>
          <w:tcPr>
            <w:tcW w:w="675" w:type="dxa"/>
            <w:tcBorders>
              <w:top w:val="single" w:sz="4" w:space="0" w:color="auto"/>
              <w:left w:val="single" w:sz="4" w:space="0" w:color="auto"/>
              <w:bottom w:val="single" w:sz="4" w:space="0" w:color="auto"/>
              <w:right w:val="single" w:sz="4" w:space="0" w:color="auto"/>
            </w:tcBorders>
            <w:vAlign w:val="center"/>
          </w:tcPr>
          <w:p w14:paraId="4FFE2E76"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名称</w:t>
            </w:r>
          </w:p>
        </w:tc>
        <w:tc>
          <w:tcPr>
            <w:tcW w:w="6833" w:type="dxa"/>
            <w:tcBorders>
              <w:top w:val="single" w:sz="4" w:space="0" w:color="auto"/>
              <w:left w:val="single" w:sz="4" w:space="0" w:color="auto"/>
              <w:bottom w:val="single" w:sz="4" w:space="0" w:color="auto"/>
              <w:right w:val="single" w:sz="4" w:space="0" w:color="auto"/>
            </w:tcBorders>
            <w:vAlign w:val="center"/>
          </w:tcPr>
          <w:p w14:paraId="65493B08" w14:textId="77777777" w:rsidR="002133E3" w:rsidRDefault="00C22CFA">
            <w:pPr>
              <w:ind w:firstLineChars="200" w:firstLine="422"/>
              <w:jc w:val="center"/>
              <w:rPr>
                <w:rFonts w:ascii="Times New Roman" w:eastAsia="宋体" w:hAnsi="Times New Roman" w:cs="Times New Roman"/>
                <w:b/>
                <w:szCs w:val="21"/>
              </w:rPr>
            </w:pPr>
            <w:r>
              <w:rPr>
                <w:rFonts w:ascii="Times New Roman" w:eastAsia="宋体" w:hAnsi="Times New Roman" w:cs="Times New Roman"/>
                <w:b/>
                <w:szCs w:val="21"/>
              </w:rPr>
              <w:t>管控要求</w:t>
            </w:r>
          </w:p>
        </w:tc>
        <w:tc>
          <w:tcPr>
            <w:tcW w:w="1620" w:type="dxa"/>
            <w:tcBorders>
              <w:top w:val="single" w:sz="4" w:space="0" w:color="auto"/>
              <w:left w:val="single" w:sz="4" w:space="0" w:color="auto"/>
              <w:bottom w:val="single" w:sz="4" w:space="0" w:color="auto"/>
              <w:right w:val="single" w:sz="4" w:space="0" w:color="auto"/>
            </w:tcBorders>
            <w:vAlign w:val="center"/>
          </w:tcPr>
          <w:p w14:paraId="456A9DC3"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bCs/>
                <w:szCs w:val="21"/>
              </w:rPr>
              <w:t>项目情况</w:t>
            </w:r>
          </w:p>
        </w:tc>
        <w:tc>
          <w:tcPr>
            <w:tcW w:w="903" w:type="dxa"/>
            <w:tcBorders>
              <w:top w:val="single" w:sz="4" w:space="0" w:color="auto"/>
              <w:left w:val="single" w:sz="4" w:space="0" w:color="auto"/>
              <w:bottom w:val="single" w:sz="4" w:space="0" w:color="auto"/>
              <w:right w:val="single" w:sz="4" w:space="0" w:color="auto"/>
            </w:tcBorders>
            <w:vAlign w:val="center"/>
          </w:tcPr>
          <w:p w14:paraId="26332559"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符合性</w:t>
            </w:r>
          </w:p>
        </w:tc>
      </w:tr>
      <w:tr w:rsidR="002133E3" w14:paraId="0BD7C8DA" w14:textId="77777777">
        <w:trPr>
          <w:trHeight w:val="303"/>
          <w:jc w:val="center"/>
        </w:trPr>
        <w:tc>
          <w:tcPr>
            <w:tcW w:w="675" w:type="dxa"/>
            <w:vAlign w:val="center"/>
          </w:tcPr>
          <w:p w14:paraId="2DB21A6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《关</w:t>
            </w:r>
            <w:r>
              <w:rPr>
                <w:rFonts w:ascii="Times New Roman" w:eastAsia="宋体" w:hAnsi="Times New Roman" w:cs="Times New Roman"/>
                <w:szCs w:val="21"/>
              </w:rPr>
              <w:lastRenderedPageBreak/>
              <w:t>于印发连云港市资源利用上线管理办法</w:t>
            </w:r>
            <w:r>
              <w:rPr>
                <w:rFonts w:ascii="Times New Roman" w:eastAsia="宋体" w:hAnsi="Times New Roman" w:cs="Times New Roman"/>
                <w:szCs w:val="21"/>
              </w:rPr>
              <w:t>(</w:t>
            </w:r>
            <w:r>
              <w:rPr>
                <w:rFonts w:ascii="Times New Roman" w:eastAsia="宋体" w:hAnsi="Times New Roman" w:cs="Times New Roman"/>
                <w:szCs w:val="21"/>
              </w:rPr>
              <w:t>试行</w:t>
            </w:r>
            <w:r>
              <w:rPr>
                <w:rFonts w:ascii="Times New Roman" w:eastAsia="宋体" w:hAnsi="Times New Roman" w:cs="Times New Roman"/>
                <w:szCs w:val="21"/>
              </w:rPr>
              <w:t>)</w:t>
            </w:r>
            <w:r>
              <w:rPr>
                <w:rFonts w:ascii="Times New Roman" w:eastAsia="宋体" w:hAnsi="Times New Roman" w:cs="Times New Roman"/>
                <w:szCs w:val="21"/>
              </w:rPr>
              <w:t>的通知》</w:t>
            </w:r>
          </w:p>
        </w:tc>
        <w:tc>
          <w:tcPr>
            <w:tcW w:w="6833" w:type="dxa"/>
            <w:vAlign w:val="center"/>
          </w:tcPr>
          <w:p w14:paraId="24AB2028" w14:textId="77777777" w:rsidR="002133E3" w:rsidRDefault="00C22CFA">
            <w:pPr>
              <w:ind w:firstLineChars="200" w:firstLine="420"/>
              <w:jc w:val="left"/>
              <w:rPr>
                <w:rFonts w:ascii="Times New Roman" w:eastAsia="宋体" w:hAnsi="Times New Roman" w:cs="Times New Roman"/>
                <w:szCs w:val="21"/>
              </w:rPr>
            </w:pPr>
            <w:r>
              <w:rPr>
                <w:rFonts w:ascii="Times New Roman" w:eastAsia="宋体" w:hAnsi="Times New Roman" w:cs="Times New Roman"/>
                <w:szCs w:val="21"/>
              </w:rPr>
              <w:lastRenderedPageBreak/>
              <w:t>第三条</w:t>
            </w:r>
            <w:r>
              <w:rPr>
                <w:rFonts w:ascii="Times New Roman" w:eastAsia="宋体" w:hAnsi="Times New Roman" w:cs="Times New Roman"/>
                <w:szCs w:val="21"/>
              </w:rPr>
              <w:t xml:space="preserve">  </w:t>
            </w:r>
            <w:r>
              <w:rPr>
                <w:rFonts w:ascii="Times New Roman" w:eastAsia="宋体" w:hAnsi="Times New Roman" w:cs="Times New Roman"/>
                <w:szCs w:val="21"/>
              </w:rPr>
              <w:t>水资源利用管控要求。严格控制全市水资源利用总量，到</w:t>
            </w:r>
            <w:r>
              <w:rPr>
                <w:rFonts w:ascii="Times New Roman" w:eastAsia="宋体" w:hAnsi="Times New Roman" w:cs="Times New Roman"/>
                <w:szCs w:val="21"/>
              </w:rPr>
              <w:lastRenderedPageBreak/>
              <w:t>2020</w:t>
            </w:r>
            <w:r>
              <w:rPr>
                <w:rFonts w:ascii="Times New Roman" w:eastAsia="宋体" w:hAnsi="Times New Roman" w:cs="Times New Roman"/>
                <w:szCs w:val="21"/>
              </w:rPr>
              <w:t>年，全市年用水总量控制在</w:t>
            </w:r>
            <w:r>
              <w:rPr>
                <w:rFonts w:ascii="Times New Roman" w:eastAsia="宋体" w:hAnsi="Times New Roman" w:cs="Times New Roman"/>
                <w:szCs w:val="21"/>
              </w:rPr>
              <w:t>29.43</w:t>
            </w:r>
            <w:r>
              <w:rPr>
                <w:rFonts w:ascii="Times New Roman" w:eastAsia="宋体" w:hAnsi="Times New Roman" w:cs="Times New Roman"/>
                <w:szCs w:val="21"/>
              </w:rPr>
              <w:t>亿立方米以内，其中地下水控制在</w:t>
            </w:r>
            <w:r>
              <w:rPr>
                <w:rFonts w:ascii="Times New Roman" w:eastAsia="宋体" w:hAnsi="Times New Roman" w:cs="Times New Roman"/>
                <w:szCs w:val="21"/>
              </w:rPr>
              <w:t>2500</w:t>
            </w:r>
            <w:r>
              <w:rPr>
                <w:rFonts w:ascii="Times New Roman" w:eastAsia="宋体" w:hAnsi="Times New Roman" w:cs="Times New Roman"/>
                <w:szCs w:val="21"/>
              </w:rPr>
              <w:t>万立方米以内；万元国内生产总值用水量、万元工业增加值用水量分别要比</w:t>
            </w:r>
            <w:r>
              <w:rPr>
                <w:rFonts w:ascii="Times New Roman" w:eastAsia="宋体" w:hAnsi="Times New Roman" w:cs="Times New Roman"/>
                <w:szCs w:val="21"/>
              </w:rPr>
              <w:t>2015</w:t>
            </w:r>
            <w:r>
              <w:rPr>
                <w:rFonts w:ascii="Times New Roman" w:eastAsia="宋体" w:hAnsi="Times New Roman" w:cs="Times New Roman"/>
                <w:szCs w:val="21"/>
              </w:rPr>
              <w:t>年下降</w:t>
            </w:r>
            <w:r>
              <w:rPr>
                <w:rFonts w:ascii="Times New Roman" w:eastAsia="宋体" w:hAnsi="Times New Roman" w:cs="Times New Roman"/>
                <w:szCs w:val="21"/>
              </w:rPr>
              <w:t>28%</w:t>
            </w:r>
            <w:r>
              <w:rPr>
                <w:rFonts w:ascii="Times New Roman" w:eastAsia="宋体" w:hAnsi="Times New Roman" w:cs="Times New Roman"/>
                <w:szCs w:val="21"/>
              </w:rPr>
              <w:t>和</w:t>
            </w:r>
            <w:r>
              <w:rPr>
                <w:rFonts w:ascii="Times New Roman" w:eastAsia="宋体" w:hAnsi="Times New Roman" w:cs="Times New Roman"/>
                <w:szCs w:val="21"/>
              </w:rPr>
              <w:t>23%</w:t>
            </w:r>
            <w:r>
              <w:rPr>
                <w:rFonts w:ascii="Times New Roman" w:eastAsia="宋体" w:hAnsi="Times New Roman" w:cs="Times New Roman"/>
                <w:szCs w:val="21"/>
              </w:rPr>
              <w:t>；农田灌溉水有效利用系数提高至</w:t>
            </w:r>
            <w:r>
              <w:rPr>
                <w:rFonts w:ascii="Times New Roman" w:eastAsia="宋体" w:hAnsi="Times New Roman" w:cs="Times New Roman"/>
                <w:szCs w:val="21"/>
              </w:rPr>
              <w:t>0.60</w:t>
            </w:r>
            <w:r>
              <w:rPr>
                <w:rFonts w:ascii="Times New Roman" w:eastAsia="宋体" w:hAnsi="Times New Roman" w:cs="Times New Roman"/>
                <w:szCs w:val="21"/>
              </w:rPr>
              <w:t>以上。工业、服务业和生活用水严格按照《江苏省工业、服务业和生活用水定额</w:t>
            </w:r>
            <w:r>
              <w:rPr>
                <w:rFonts w:ascii="Times New Roman" w:eastAsia="宋体" w:hAnsi="Times New Roman" w:cs="Times New Roman"/>
                <w:szCs w:val="21"/>
              </w:rPr>
              <w:t>(2014</w:t>
            </w:r>
            <w:r>
              <w:rPr>
                <w:rFonts w:ascii="Times New Roman" w:eastAsia="宋体" w:hAnsi="Times New Roman" w:cs="Times New Roman"/>
                <w:szCs w:val="21"/>
              </w:rPr>
              <w:t>年修订</w:t>
            </w:r>
            <w:r>
              <w:rPr>
                <w:rFonts w:ascii="Times New Roman" w:eastAsia="宋体" w:hAnsi="Times New Roman" w:cs="Times New Roman"/>
                <w:szCs w:val="21"/>
              </w:rPr>
              <w:t>)</w:t>
            </w:r>
            <w:r>
              <w:rPr>
                <w:rFonts w:ascii="Times New Roman" w:eastAsia="宋体" w:hAnsi="Times New Roman" w:cs="Times New Roman"/>
                <w:szCs w:val="21"/>
              </w:rPr>
              <w:t>》执行。到</w:t>
            </w:r>
            <w:r>
              <w:rPr>
                <w:rFonts w:ascii="Times New Roman" w:eastAsia="宋体" w:hAnsi="Times New Roman" w:cs="Times New Roman"/>
                <w:szCs w:val="21"/>
              </w:rPr>
              <w:t>2030</w:t>
            </w:r>
            <w:r>
              <w:rPr>
                <w:rFonts w:ascii="Times New Roman" w:eastAsia="宋体" w:hAnsi="Times New Roman" w:cs="Times New Roman"/>
                <w:szCs w:val="21"/>
              </w:rPr>
              <w:t>年，全市年用水总量控制在</w:t>
            </w:r>
            <w:r>
              <w:rPr>
                <w:rFonts w:ascii="Times New Roman" w:eastAsia="宋体" w:hAnsi="Times New Roman" w:cs="Times New Roman"/>
                <w:szCs w:val="21"/>
              </w:rPr>
              <w:t>30.23</w:t>
            </w:r>
            <w:r>
              <w:rPr>
                <w:rFonts w:ascii="Times New Roman" w:eastAsia="宋体" w:hAnsi="Times New Roman" w:cs="Times New Roman"/>
                <w:szCs w:val="21"/>
              </w:rPr>
              <w:t>亿立方米以内，提高河流生态流量保障力度。</w:t>
            </w:r>
          </w:p>
          <w:p w14:paraId="53FD705A" w14:textId="77777777" w:rsidR="002133E3" w:rsidRDefault="00C22CFA">
            <w:pPr>
              <w:ind w:firstLineChars="200" w:firstLine="420"/>
              <w:jc w:val="left"/>
              <w:rPr>
                <w:rFonts w:ascii="Times New Roman" w:eastAsia="宋体" w:hAnsi="Times New Roman" w:cs="Times New Roman"/>
                <w:szCs w:val="21"/>
              </w:rPr>
            </w:pPr>
            <w:r>
              <w:rPr>
                <w:rFonts w:ascii="Times New Roman" w:eastAsia="宋体" w:hAnsi="Times New Roman" w:cs="Times New Roman"/>
                <w:szCs w:val="21"/>
              </w:rPr>
              <w:t>第四条</w:t>
            </w:r>
            <w:r>
              <w:rPr>
                <w:rFonts w:ascii="Times New Roman" w:eastAsia="宋体" w:hAnsi="Times New Roman" w:cs="Times New Roman"/>
                <w:szCs w:val="21"/>
              </w:rPr>
              <w:t xml:space="preserve">  </w:t>
            </w:r>
            <w:r>
              <w:rPr>
                <w:rFonts w:ascii="Times New Roman" w:eastAsia="宋体" w:hAnsi="Times New Roman" w:cs="Times New Roman"/>
                <w:szCs w:val="21"/>
              </w:rPr>
              <w:t>土地利用管控要求。优化国土空间开展格局，完善土地节约利用体制，全面推进节约集约用地，控制土地开发总体强度。国家级开发区、省级开发区和市区、其他工业集中区新建工业项目平均投资强度分别不低于</w:t>
            </w:r>
            <w:r>
              <w:rPr>
                <w:rFonts w:ascii="Times New Roman" w:eastAsia="宋体" w:hAnsi="Times New Roman" w:cs="Times New Roman"/>
                <w:szCs w:val="21"/>
              </w:rPr>
              <w:t>350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w:t>
            </w:r>
            <w:r>
              <w:rPr>
                <w:rFonts w:ascii="Times New Roman" w:eastAsia="宋体" w:hAnsi="Times New Roman" w:cs="Times New Roman"/>
                <w:szCs w:val="21"/>
              </w:rPr>
              <w:t>280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w:t>
            </w:r>
            <w:r>
              <w:rPr>
                <w:rFonts w:ascii="Times New Roman" w:eastAsia="宋体" w:hAnsi="Times New Roman" w:cs="Times New Roman"/>
                <w:szCs w:val="21"/>
              </w:rPr>
              <w:t>220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亩，项目达产后亩均产值分别不低于</w:t>
            </w:r>
            <w:r>
              <w:rPr>
                <w:rFonts w:ascii="Times New Roman" w:eastAsia="宋体" w:hAnsi="Times New Roman" w:cs="Times New Roman"/>
                <w:szCs w:val="21"/>
              </w:rPr>
              <w:t>520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w:t>
            </w:r>
            <w:r>
              <w:rPr>
                <w:rFonts w:ascii="Times New Roman" w:eastAsia="宋体" w:hAnsi="Times New Roman" w:cs="Times New Roman"/>
                <w:szCs w:val="21"/>
              </w:rPr>
              <w:t>400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w:t>
            </w:r>
            <w:r>
              <w:rPr>
                <w:rFonts w:ascii="Times New Roman" w:eastAsia="宋体" w:hAnsi="Times New Roman" w:cs="Times New Roman"/>
                <w:szCs w:val="21"/>
              </w:rPr>
              <w:t>280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亩，亩均税收不低于</w:t>
            </w:r>
            <w:r>
              <w:rPr>
                <w:rFonts w:ascii="Times New Roman" w:eastAsia="宋体" w:hAnsi="Times New Roman" w:cs="Times New Roman"/>
                <w:szCs w:val="21"/>
              </w:rPr>
              <w:t>30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w:t>
            </w:r>
            <w:r>
              <w:rPr>
                <w:rFonts w:ascii="Times New Roman" w:eastAsia="宋体" w:hAnsi="Times New Roman" w:cs="Times New Roman"/>
                <w:szCs w:val="21"/>
              </w:rPr>
              <w:t>20</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w:t>
            </w:r>
            <w:r>
              <w:rPr>
                <w:rFonts w:ascii="Times New Roman" w:eastAsia="宋体" w:hAnsi="Times New Roman" w:cs="Times New Roman"/>
                <w:szCs w:val="21"/>
              </w:rPr>
              <w:t>15</w:t>
            </w:r>
            <w:r>
              <w:rPr>
                <w:rFonts w:ascii="Times New Roman" w:eastAsia="宋体" w:hAnsi="Times New Roman" w:cs="Times New Roman"/>
                <w:szCs w:val="21"/>
              </w:rPr>
              <w:t>万元</w:t>
            </w:r>
            <w:r>
              <w:rPr>
                <w:rFonts w:ascii="Times New Roman" w:eastAsia="宋体" w:hAnsi="Times New Roman" w:cs="Times New Roman"/>
                <w:szCs w:val="21"/>
              </w:rPr>
              <w:t>/</w:t>
            </w:r>
            <w:r>
              <w:rPr>
                <w:rFonts w:ascii="Times New Roman" w:eastAsia="宋体" w:hAnsi="Times New Roman" w:cs="Times New Roman"/>
                <w:szCs w:val="21"/>
              </w:rPr>
              <w:t>亩。工业用地容积率不得低于</w:t>
            </w:r>
            <w:r>
              <w:rPr>
                <w:rFonts w:ascii="Times New Roman" w:eastAsia="宋体" w:hAnsi="Times New Roman" w:cs="Times New Roman"/>
                <w:szCs w:val="21"/>
              </w:rPr>
              <w:t>1.0</w:t>
            </w:r>
            <w:r>
              <w:rPr>
                <w:rFonts w:ascii="Times New Roman" w:eastAsia="宋体" w:hAnsi="Times New Roman" w:cs="Times New Roman"/>
                <w:szCs w:val="21"/>
              </w:rPr>
              <w:t>，特殊行业容积率不得低于</w:t>
            </w:r>
            <w:r>
              <w:rPr>
                <w:rFonts w:ascii="Times New Roman" w:eastAsia="宋体" w:hAnsi="Times New Roman" w:cs="Times New Roman"/>
                <w:szCs w:val="21"/>
              </w:rPr>
              <w:t>0.8</w:t>
            </w:r>
            <w:r>
              <w:rPr>
                <w:rFonts w:ascii="Times New Roman" w:eastAsia="宋体" w:hAnsi="Times New Roman" w:cs="Times New Roman"/>
                <w:szCs w:val="21"/>
              </w:rPr>
              <w:t>，化工行业用地容积率不得低于</w:t>
            </w:r>
            <w:r>
              <w:rPr>
                <w:rFonts w:ascii="Times New Roman" w:eastAsia="宋体" w:hAnsi="Times New Roman" w:cs="Times New Roman"/>
                <w:szCs w:val="21"/>
              </w:rPr>
              <w:t>0.6</w:t>
            </w:r>
            <w:r>
              <w:rPr>
                <w:rFonts w:ascii="Times New Roman" w:eastAsia="宋体" w:hAnsi="Times New Roman" w:cs="Times New Roman"/>
                <w:szCs w:val="21"/>
              </w:rPr>
              <w:t>，标准厂房用地容积率不得低于</w:t>
            </w:r>
            <w:r>
              <w:rPr>
                <w:rFonts w:ascii="Times New Roman" w:eastAsia="宋体" w:hAnsi="Times New Roman" w:cs="Times New Roman"/>
                <w:szCs w:val="21"/>
              </w:rPr>
              <w:t>1.2</w:t>
            </w:r>
            <w:r>
              <w:rPr>
                <w:rFonts w:ascii="Times New Roman" w:eastAsia="宋体" w:hAnsi="Times New Roman" w:cs="Times New Roman"/>
                <w:szCs w:val="21"/>
              </w:rPr>
              <w:t>，绿地率不得超过</w:t>
            </w:r>
            <w:r>
              <w:rPr>
                <w:rFonts w:ascii="Times New Roman" w:eastAsia="宋体" w:hAnsi="Times New Roman" w:cs="Times New Roman"/>
                <w:szCs w:val="21"/>
              </w:rPr>
              <w:t>15%</w:t>
            </w:r>
            <w:r>
              <w:rPr>
                <w:rFonts w:ascii="Times New Roman" w:eastAsia="宋体" w:hAnsi="Times New Roman" w:cs="Times New Roman"/>
                <w:szCs w:val="21"/>
              </w:rPr>
              <w:t>，工业用地中企业内部行政办公用生活服务设施用地面积不得超过总用地面积的</w:t>
            </w:r>
            <w:r>
              <w:rPr>
                <w:rFonts w:ascii="Times New Roman" w:eastAsia="宋体" w:hAnsi="Times New Roman" w:cs="Times New Roman"/>
                <w:szCs w:val="21"/>
              </w:rPr>
              <w:t>7%</w:t>
            </w:r>
            <w:r>
              <w:rPr>
                <w:rFonts w:ascii="Times New Roman" w:eastAsia="宋体" w:hAnsi="Times New Roman" w:cs="Times New Roman"/>
                <w:szCs w:val="21"/>
              </w:rPr>
              <w:t>，建筑面积不得超过总建筑面积的</w:t>
            </w:r>
            <w:r>
              <w:rPr>
                <w:rFonts w:ascii="Times New Roman" w:eastAsia="宋体" w:hAnsi="Times New Roman" w:cs="Times New Roman"/>
                <w:szCs w:val="21"/>
              </w:rPr>
              <w:t>15%</w:t>
            </w:r>
            <w:r>
              <w:rPr>
                <w:rFonts w:ascii="Times New Roman" w:eastAsia="宋体" w:hAnsi="Times New Roman" w:cs="Times New Roman"/>
                <w:szCs w:val="21"/>
              </w:rPr>
              <w:t>。</w:t>
            </w:r>
          </w:p>
          <w:p w14:paraId="3CCC1406" w14:textId="77777777" w:rsidR="002133E3" w:rsidRDefault="00C22CFA">
            <w:pPr>
              <w:ind w:firstLineChars="200" w:firstLine="420"/>
              <w:jc w:val="left"/>
              <w:rPr>
                <w:rFonts w:ascii="Times New Roman" w:eastAsia="宋体" w:hAnsi="Times New Roman" w:cs="Times New Roman"/>
                <w:szCs w:val="21"/>
              </w:rPr>
            </w:pPr>
            <w:r>
              <w:rPr>
                <w:rFonts w:ascii="Times New Roman" w:eastAsia="宋体" w:hAnsi="Times New Roman" w:cs="Times New Roman"/>
                <w:szCs w:val="21"/>
              </w:rPr>
              <w:t>第五条</w:t>
            </w:r>
            <w:r>
              <w:rPr>
                <w:rFonts w:ascii="Times New Roman" w:eastAsia="宋体" w:hAnsi="Times New Roman" w:cs="Times New Roman"/>
                <w:szCs w:val="21"/>
              </w:rPr>
              <w:t xml:space="preserve">  </w:t>
            </w:r>
            <w:r>
              <w:rPr>
                <w:rFonts w:ascii="Times New Roman" w:eastAsia="宋体" w:hAnsi="Times New Roman" w:cs="Times New Roman"/>
                <w:szCs w:val="21"/>
              </w:rPr>
              <w:t>能源消耗管控要求。加强对全市能源消耗总量和强度</w:t>
            </w:r>
            <w:r>
              <w:rPr>
                <w:rFonts w:ascii="Times New Roman" w:eastAsia="宋体" w:hAnsi="Times New Roman" w:cs="Times New Roman"/>
                <w:szCs w:val="21"/>
              </w:rPr>
              <w:t>“</w:t>
            </w:r>
            <w:r>
              <w:rPr>
                <w:rFonts w:ascii="Times New Roman" w:eastAsia="宋体" w:hAnsi="Times New Roman" w:cs="Times New Roman"/>
                <w:szCs w:val="21"/>
              </w:rPr>
              <w:t>双控</w:t>
            </w:r>
            <w:r>
              <w:rPr>
                <w:rFonts w:ascii="Times New Roman" w:eastAsia="宋体" w:hAnsi="Times New Roman" w:cs="Times New Roman"/>
                <w:szCs w:val="21"/>
              </w:rPr>
              <w:t>”</w:t>
            </w:r>
            <w:r>
              <w:rPr>
                <w:rFonts w:ascii="Times New Roman" w:eastAsia="宋体" w:hAnsi="Times New Roman" w:cs="Times New Roman"/>
                <w:szCs w:val="21"/>
              </w:rPr>
              <w:t>管理，提高清洁能源使用比例。到</w:t>
            </w:r>
            <w:r>
              <w:rPr>
                <w:rFonts w:ascii="Times New Roman" w:eastAsia="宋体" w:hAnsi="Times New Roman" w:cs="Times New Roman"/>
                <w:szCs w:val="21"/>
              </w:rPr>
              <w:t>2020</w:t>
            </w:r>
            <w:r>
              <w:rPr>
                <w:rFonts w:ascii="Times New Roman" w:eastAsia="宋体" w:hAnsi="Times New Roman" w:cs="Times New Roman"/>
                <w:szCs w:val="21"/>
              </w:rPr>
              <w:t>年，全市能源消费总量增量目标控制在</w:t>
            </w:r>
            <w:r>
              <w:rPr>
                <w:rFonts w:ascii="Times New Roman" w:eastAsia="宋体" w:hAnsi="Times New Roman" w:cs="Times New Roman"/>
                <w:szCs w:val="21"/>
              </w:rPr>
              <w:t>161</w:t>
            </w:r>
            <w:r>
              <w:rPr>
                <w:rFonts w:ascii="Times New Roman" w:eastAsia="宋体" w:hAnsi="Times New Roman" w:cs="Times New Roman"/>
                <w:szCs w:val="21"/>
              </w:rPr>
              <w:t>万吨标煤以内，全市煤炭消费量减少</w:t>
            </w:r>
            <w:r>
              <w:rPr>
                <w:rFonts w:ascii="Times New Roman" w:eastAsia="宋体" w:hAnsi="Times New Roman" w:cs="Times New Roman"/>
                <w:szCs w:val="21"/>
              </w:rPr>
              <w:t>77</w:t>
            </w:r>
            <w:r>
              <w:rPr>
                <w:rFonts w:ascii="Times New Roman" w:eastAsia="宋体" w:hAnsi="Times New Roman" w:cs="Times New Roman"/>
                <w:szCs w:val="21"/>
              </w:rPr>
              <w:t>万吨，电力行业煤炭消费占煤炭消费总量比重提高到</w:t>
            </w:r>
            <w:r>
              <w:rPr>
                <w:rFonts w:ascii="Times New Roman" w:eastAsia="宋体" w:hAnsi="Times New Roman" w:cs="Times New Roman"/>
                <w:szCs w:val="21"/>
              </w:rPr>
              <w:t>65%</w:t>
            </w:r>
            <w:r>
              <w:rPr>
                <w:rFonts w:ascii="Times New Roman" w:eastAsia="宋体" w:hAnsi="Times New Roman" w:cs="Times New Roman"/>
                <w:szCs w:val="21"/>
              </w:rPr>
              <w:t>以上。各行业现有企业能耗严格按照相应行业国家</w:t>
            </w:r>
            <w:r>
              <w:rPr>
                <w:rFonts w:ascii="Times New Roman" w:eastAsia="宋体" w:hAnsi="Times New Roman" w:cs="Times New Roman"/>
                <w:szCs w:val="21"/>
              </w:rPr>
              <w:t>(</w:t>
            </w:r>
            <w:r>
              <w:rPr>
                <w:rFonts w:ascii="Times New Roman" w:eastAsia="宋体" w:hAnsi="Times New Roman" w:cs="Times New Roman"/>
                <w:szCs w:val="21"/>
              </w:rPr>
              <w:t>或省级</w:t>
            </w:r>
            <w:r>
              <w:rPr>
                <w:rFonts w:ascii="Times New Roman" w:eastAsia="宋体" w:hAnsi="Times New Roman" w:cs="Times New Roman"/>
                <w:szCs w:val="21"/>
              </w:rPr>
              <w:t>)</w:t>
            </w:r>
            <w:r>
              <w:rPr>
                <w:rFonts w:ascii="Times New Roman" w:eastAsia="宋体" w:hAnsi="Times New Roman" w:cs="Times New Roman"/>
                <w:szCs w:val="21"/>
              </w:rPr>
              <w:t>标准中对应的单位产品能源消耗限额执行，新建企业能耗严格按照相应行业国家</w:t>
            </w:r>
            <w:r>
              <w:rPr>
                <w:rFonts w:ascii="Times New Roman" w:eastAsia="宋体" w:hAnsi="Times New Roman" w:cs="Times New Roman"/>
                <w:szCs w:val="21"/>
              </w:rPr>
              <w:t>(</w:t>
            </w:r>
            <w:r>
              <w:rPr>
                <w:rFonts w:ascii="Times New Roman" w:eastAsia="宋体" w:hAnsi="Times New Roman" w:cs="Times New Roman"/>
                <w:szCs w:val="21"/>
              </w:rPr>
              <w:t>或省级</w:t>
            </w:r>
            <w:r>
              <w:rPr>
                <w:rFonts w:ascii="Times New Roman" w:eastAsia="宋体" w:hAnsi="Times New Roman" w:cs="Times New Roman"/>
                <w:szCs w:val="21"/>
              </w:rPr>
              <w:t>)</w:t>
            </w:r>
            <w:r>
              <w:rPr>
                <w:rFonts w:ascii="Times New Roman" w:eastAsia="宋体" w:hAnsi="Times New Roman" w:cs="Times New Roman"/>
                <w:szCs w:val="21"/>
              </w:rPr>
              <w:t>标准中对应的单位产品能源消耗准入值执行。</w:t>
            </w:r>
          </w:p>
        </w:tc>
        <w:tc>
          <w:tcPr>
            <w:tcW w:w="1620" w:type="dxa"/>
            <w:vAlign w:val="center"/>
          </w:tcPr>
          <w:p w14:paraId="7C28F02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lastRenderedPageBreak/>
              <w:t>本项目建成后，</w:t>
            </w:r>
            <w:r>
              <w:rPr>
                <w:rFonts w:ascii="Times New Roman" w:eastAsia="宋体" w:hAnsi="Times New Roman" w:cs="Times New Roman"/>
                <w:szCs w:val="21"/>
                <w:highlight w:val="yellow"/>
              </w:rPr>
              <w:lastRenderedPageBreak/>
              <w:t>新鲜水用量</w:t>
            </w:r>
            <w:r>
              <w:rPr>
                <w:rFonts w:ascii="Times New Roman" w:eastAsia="宋体" w:hAnsi="Times New Roman" w:cs="Times New Roman"/>
                <w:kern w:val="0"/>
                <w:szCs w:val="21"/>
                <w:highlight w:val="yellow"/>
              </w:rPr>
              <w:t>2</w:t>
            </w:r>
            <w:r>
              <w:rPr>
                <w:rFonts w:ascii="Times New Roman" w:eastAsia="宋体" w:hAnsi="Times New Roman" w:cs="Times New Roman"/>
                <w:szCs w:val="21"/>
                <w:highlight w:val="yellow"/>
              </w:rPr>
              <w:t>m</w:t>
            </w:r>
            <w:r>
              <w:rPr>
                <w:rFonts w:ascii="Times New Roman" w:eastAsia="宋体" w:hAnsi="Times New Roman" w:cs="Times New Roman"/>
                <w:szCs w:val="21"/>
                <w:highlight w:val="yellow"/>
                <w:vertAlign w:val="superscript"/>
              </w:rPr>
              <w:t>3</w:t>
            </w:r>
            <w:r>
              <w:rPr>
                <w:rFonts w:ascii="Times New Roman" w:eastAsia="宋体" w:hAnsi="Times New Roman" w:cs="Times New Roman"/>
                <w:szCs w:val="21"/>
                <w:highlight w:val="yellow"/>
              </w:rPr>
              <w:t>/a</w:t>
            </w:r>
            <w:r>
              <w:rPr>
                <w:rFonts w:ascii="Times New Roman" w:eastAsia="宋体" w:hAnsi="Times New Roman" w:cs="Times New Roman"/>
                <w:szCs w:val="21"/>
                <w:highlight w:val="yellow"/>
              </w:rPr>
              <w:t>。</w:t>
            </w:r>
            <w:r>
              <w:rPr>
                <w:rFonts w:ascii="Times New Roman" w:eastAsia="宋体" w:hAnsi="Times New Roman" w:cs="Times New Roman"/>
                <w:szCs w:val="21"/>
              </w:rPr>
              <w:t>本项目所用水量均来自市政给水管网，不开采地下水。根据计算，新增用水指标约为</w:t>
            </w:r>
            <w:r>
              <w:rPr>
                <w:rFonts w:ascii="Times New Roman" w:eastAsia="宋体" w:hAnsi="Times New Roman" w:cs="Times New Roman"/>
                <w:szCs w:val="21"/>
                <w:highlight w:val="yellow"/>
              </w:rPr>
              <w:t>0.002m</w:t>
            </w:r>
            <w:r>
              <w:rPr>
                <w:rFonts w:ascii="Times New Roman" w:eastAsia="宋体" w:hAnsi="Times New Roman" w:cs="Times New Roman"/>
                <w:szCs w:val="21"/>
                <w:highlight w:val="yellow"/>
                <w:vertAlign w:val="superscript"/>
              </w:rPr>
              <w:t>3</w:t>
            </w:r>
            <w:r>
              <w:rPr>
                <w:rFonts w:ascii="Times New Roman" w:eastAsia="宋体" w:hAnsi="Times New Roman" w:cs="Times New Roman"/>
                <w:szCs w:val="21"/>
                <w:highlight w:val="yellow"/>
              </w:rPr>
              <w:t>/</w:t>
            </w:r>
            <w:r>
              <w:rPr>
                <w:rFonts w:ascii="Times New Roman" w:eastAsia="宋体" w:hAnsi="Times New Roman" w:cs="Times New Roman"/>
                <w:szCs w:val="21"/>
                <w:highlight w:val="yellow"/>
              </w:rPr>
              <w:t>万元。</w:t>
            </w:r>
            <w:r>
              <w:rPr>
                <w:rFonts w:ascii="Times New Roman" w:eastAsia="宋体" w:hAnsi="Times New Roman" w:cs="Times New Roman"/>
                <w:szCs w:val="21"/>
              </w:rPr>
              <w:t>技改项目建成后能源消耗为</w:t>
            </w:r>
            <w:r>
              <w:rPr>
                <w:rFonts w:ascii="Times New Roman" w:eastAsia="宋体" w:hAnsi="Times New Roman" w:cs="Times New Roman"/>
                <w:szCs w:val="21"/>
                <w:highlight w:val="yellow"/>
              </w:rPr>
              <w:t>30.73</w:t>
            </w:r>
            <w:r>
              <w:rPr>
                <w:rFonts w:ascii="Times New Roman" w:eastAsia="宋体" w:hAnsi="Times New Roman" w:cs="Times New Roman"/>
                <w:szCs w:val="21"/>
                <w:highlight w:val="yellow"/>
              </w:rPr>
              <w:t>吨标准煤</w:t>
            </w:r>
            <w:r>
              <w:rPr>
                <w:rFonts w:ascii="Times New Roman" w:eastAsia="宋体" w:hAnsi="Times New Roman" w:cs="Times New Roman"/>
                <w:szCs w:val="21"/>
              </w:rPr>
              <w:t>(</w:t>
            </w:r>
            <w:r>
              <w:rPr>
                <w:rFonts w:ascii="Times New Roman" w:eastAsia="宋体" w:hAnsi="Times New Roman" w:cs="Times New Roman"/>
                <w:szCs w:val="21"/>
              </w:rPr>
              <w:t>电耗、水等消耗折算</w:t>
            </w:r>
            <w:r>
              <w:rPr>
                <w:rFonts w:ascii="Times New Roman" w:eastAsia="宋体" w:hAnsi="Times New Roman" w:cs="Times New Roman"/>
                <w:szCs w:val="21"/>
              </w:rPr>
              <w:t>)</w:t>
            </w:r>
            <w:r>
              <w:rPr>
                <w:rFonts w:ascii="Times New Roman" w:eastAsia="宋体" w:hAnsi="Times New Roman" w:cs="Times New Roman"/>
                <w:szCs w:val="21"/>
              </w:rPr>
              <w:t>。</w:t>
            </w:r>
          </w:p>
        </w:tc>
        <w:tc>
          <w:tcPr>
            <w:tcW w:w="903" w:type="dxa"/>
            <w:vAlign w:val="center"/>
          </w:tcPr>
          <w:p w14:paraId="499247C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符合</w:t>
            </w:r>
          </w:p>
        </w:tc>
      </w:tr>
    </w:tbl>
    <w:p w14:paraId="704111D5"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与《国家发展改革委等</w:t>
      </w:r>
      <w:r>
        <w:rPr>
          <w:rFonts w:ascii="Times New Roman" w:eastAsia="宋体" w:hAnsi="Times New Roman" w:cs="Times New Roman"/>
          <w:sz w:val="28"/>
          <w:szCs w:val="28"/>
        </w:rPr>
        <w:t>9</w:t>
      </w:r>
      <w:r>
        <w:rPr>
          <w:rFonts w:ascii="Times New Roman" w:eastAsia="宋体" w:hAnsi="Times New Roman" w:cs="Times New Roman"/>
          <w:sz w:val="28"/>
          <w:szCs w:val="28"/>
        </w:rPr>
        <w:t>部委印发</w:t>
      </w:r>
      <w:r>
        <w:rPr>
          <w:rFonts w:ascii="Times New Roman" w:eastAsia="宋体" w:hAnsi="Times New Roman" w:cs="Times New Roman"/>
          <w:sz w:val="28"/>
          <w:szCs w:val="28"/>
        </w:rPr>
        <w:t>&lt;</w:t>
      </w:r>
      <w:r>
        <w:rPr>
          <w:rFonts w:ascii="Times New Roman" w:eastAsia="宋体" w:hAnsi="Times New Roman" w:cs="Times New Roman"/>
          <w:sz w:val="28"/>
          <w:szCs w:val="28"/>
        </w:rPr>
        <w:t>关于加强资源环境生态红线管控的指导意见</w:t>
      </w:r>
      <w:r>
        <w:rPr>
          <w:rFonts w:ascii="Times New Roman" w:eastAsia="宋体" w:hAnsi="Times New Roman" w:cs="Times New Roman"/>
          <w:sz w:val="28"/>
          <w:szCs w:val="28"/>
        </w:rPr>
        <w:t>&gt;</w:t>
      </w:r>
      <w:r>
        <w:rPr>
          <w:rFonts w:ascii="Times New Roman" w:eastAsia="宋体" w:hAnsi="Times New Roman" w:cs="Times New Roman"/>
          <w:sz w:val="28"/>
          <w:szCs w:val="28"/>
        </w:rPr>
        <w:t>的通知》相符性</w:t>
      </w:r>
    </w:p>
    <w:p w14:paraId="0B5612E4" w14:textId="77777777" w:rsidR="002133E3" w:rsidRDefault="00C22CFA">
      <w:pPr>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《国家发展改革委等</w:t>
      </w:r>
      <w:r>
        <w:rPr>
          <w:rFonts w:ascii="Times New Roman" w:eastAsia="宋体" w:hAnsi="Times New Roman" w:cs="Times New Roman"/>
          <w:sz w:val="28"/>
          <w:szCs w:val="24"/>
        </w:rPr>
        <w:t>9</w:t>
      </w:r>
      <w:r>
        <w:rPr>
          <w:rFonts w:ascii="Times New Roman" w:eastAsia="宋体" w:hAnsi="Times New Roman" w:cs="Times New Roman"/>
          <w:sz w:val="28"/>
          <w:szCs w:val="24"/>
        </w:rPr>
        <w:t>部委印发</w:t>
      </w:r>
      <w:r>
        <w:rPr>
          <w:rFonts w:ascii="Times New Roman" w:eastAsia="宋体" w:hAnsi="Times New Roman" w:cs="Times New Roman"/>
          <w:sz w:val="28"/>
          <w:szCs w:val="24"/>
        </w:rPr>
        <w:t>&lt;</w:t>
      </w:r>
      <w:r>
        <w:rPr>
          <w:rFonts w:ascii="Times New Roman" w:eastAsia="宋体" w:hAnsi="Times New Roman" w:cs="Times New Roman"/>
          <w:sz w:val="28"/>
          <w:szCs w:val="24"/>
        </w:rPr>
        <w:t>关于加强资源环境生态红线管控的指导意见</w:t>
      </w:r>
      <w:r>
        <w:rPr>
          <w:rFonts w:ascii="Times New Roman" w:eastAsia="宋体" w:hAnsi="Times New Roman" w:cs="Times New Roman"/>
          <w:sz w:val="28"/>
          <w:szCs w:val="24"/>
        </w:rPr>
        <w:t>&gt;</w:t>
      </w:r>
      <w:r>
        <w:rPr>
          <w:rFonts w:ascii="Times New Roman" w:eastAsia="宋体" w:hAnsi="Times New Roman" w:cs="Times New Roman"/>
          <w:sz w:val="28"/>
          <w:szCs w:val="24"/>
        </w:rPr>
        <w:t>的通知》</w:t>
      </w:r>
      <w:r>
        <w:rPr>
          <w:rFonts w:ascii="Times New Roman" w:eastAsia="宋体" w:hAnsi="Times New Roman" w:cs="Times New Roman"/>
          <w:sz w:val="28"/>
          <w:szCs w:val="24"/>
        </w:rPr>
        <w:t>(</w:t>
      </w:r>
      <w:r>
        <w:rPr>
          <w:rFonts w:ascii="Times New Roman" w:eastAsia="宋体" w:hAnsi="Times New Roman" w:cs="Times New Roman"/>
          <w:sz w:val="28"/>
          <w:szCs w:val="24"/>
        </w:rPr>
        <w:t>发改环资〔</w:t>
      </w:r>
      <w:r>
        <w:rPr>
          <w:rFonts w:ascii="Times New Roman" w:eastAsia="宋体" w:hAnsi="Times New Roman" w:cs="Times New Roman"/>
          <w:sz w:val="28"/>
          <w:szCs w:val="24"/>
        </w:rPr>
        <w:t>2016</w:t>
      </w:r>
      <w:r>
        <w:rPr>
          <w:rFonts w:ascii="Times New Roman" w:eastAsia="宋体" w:hAnsi="Times New Roman" w:cs="Times New Roman"/>
          <w:sz w:val="28"/>
          <w:szCs w:val="24"/>
        </w:rPr>
        <w:t>〕</w:t>
      </w:r>
      <w:r>
        <w:rPr>
          <w:rFonts w:ascii="Times New Roman" w:eastAsia="宋体" w:hAnsi="Times New Roman" w:cs="Times New Roman"/>
          <w:sz w:val="28"/>
          <w:szCs w:val="24"/>
        </w:rPr>
        <w:t>1162</w:t>
      </w:r>
      <w:r>
        <w:rPr>
          <w:rFonts w:ascii="Times New Roman" w:eastAsia="宋体" w:hAnsi="Times New Roman" w:cs="Times New Roman"/>
          <w:sz w:val="28"/>
          <w:szCs w:val="24"/>
        </w:rPr>
        <w:t>号</w:t>
      </w:r>
      <w:r>
        <w:rPr>
          <w:rFonts w:ascii="Times New Roman" w:eastAsia="宋体" w:hAnsi="Times New Roman" w:cs="Times New Roman"/>
          <w:sz w:val="28"/>
          <w:szCs w:val="24"/>
        </w:rPr>
        <w:t>)</w:t>
      </w:r>
      <w:r>
        <w:rPr>
          <w:rFonts w:ascii="Times New Roman" w:eastAsia="宋体" w:hAnsi="Times New Roman" w:cs="Times New Roman"/>
          <w:sz w:val="28"/>
          <w:szCs w:val="24"/>
        </w:rPr>
        <w:t>中明确提出了</w:t>
      </w:r>
      <w:r>
        <w:rPr>
          <w:rFonts w:ascii="Times New Roman" w:eastAsia="宋体" w:hAnsi="Times New Roman" w:cs="Times New Roman"/>
          <w:sz w:val="28"/>
          <w:szCs w:val="24"/>
        </w:rPr>
        <w:t>“</w:t>
      </w:r>
      <w:r>
        <w:rPr>
          <w:rFonts w:ascii="Times New Roman" w:eastAsia="宋体" w:hAnsi="Times New Roman" w:cs="Times New Roman"/>
          <w:sz w:val="28"/>
          <w:szCs w:val="24"/>
        </w:rPr>
        <w:t>资源消耗上限</w:t>
      </w:r>
      <w:r>
        <w:rPr>
          <w:rFonts w:ascii="Times New Roman" w:eastAsia="宋体" w:hAnsi="Times New Roman" w:cs="Times New Roman"/>
          <w:sz w:val="28"/>
          <w:szCs w:val="24"/>
        </w:rPr>
        <w:t>”</w:t>
      </w:r>
      <w:r>
        <w:rPr>
          <w:rFonts w:ascii="Times New Roman" w:eastAsia="宋体" w:hAnsi="Times New Roman" w:cs="Times New Roman"/>
          <w:sz w:val="28"/>
          <w:szCs w:val="24"/>
        </w:rPr>
        <w:t>管控内涵及指标设置要求，对照该文件进行相符性分析，具体分析见表</w:t>
      </w:r>
      <w:r>
        <w:rPr>
          <w:rFonts w:ascii="Times New Roman" w:eastAsia="宋体" w:hAnsi="Times New Roman" w:cs="Times New Roman"/>
          <w:sz w:val="28"/>
          <w:szCs w:val="24"/>
        </w:rPr>
        <w:t>1.3-7</w:t>
      </w:r>
      <w:r>
        <w:rPr>
          <w:rFonts w:ascii="Times New Roman" w:eastAsia="宋体" w:hAnsi="Times New Roman" w:cs="Times New Roman"/>
          <w:sz w:val="28"/>
          <w:szCs w:val="24"/>
        </w:rPr>
        <w:t>。</w:t>
      </w:r>
    </w:p>
    <w:p w14:paraId="001F67B5"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1.3-7 </w:t>
      </w:r>
      <w:r>
        <w:rPr>
          <w:rFonts w:ascii="Times New Roman" w:eastAsia="宋体" w:hAnsi="Times New Roman" w:cs="Times New Roman"/>
          <w:b/>
          <w:szCs w:val="24"/>
        </w:rPr>
        <w:t>项目与发改环资〔</w:t>
      </w:r>
      <w:r>
        <w:rPr>
          <w:rFonts w:ascii="Times New Roman" w:eastAsia="宋体" w:hAnsi="Times New Roman" w:cs="Times New Roman"/>
          <w:b/>
          <w:szCs w:val="24"/>
        </w:rPr>
        <w:t>2016</w:t>
      </w:r>
      <w:r>
        <w:rPr>
          <w:rFonts w:ascii="Times New Roman" w:eastAsia="宋体" w:hAnsi="Times New Roman" w:cs="Times New Roman"/>
          <w:b/>
          <w:szCs w:val="24"/>
        </w:rPr>
        <w:t>〕</w:t>
      </w:r>
      <w:r>
        <w:rPr>
          <w:rFonts w:ascii="Times New Roman" w:eastAsia="宋体" w:hAnsi="Times New Roman" w:cs="Times New Roman"/>
          <w:b/>
          <w:szCs w:val="24"/>
        </w:rPr>
        <w:t>1162</w:t>
      </w:r>
      <w:r>
        <w:rPr>
          <w:rFonts w:ascii="Times New Roman" w:eastAsia="宋体" w:hAnsi="Times New Roman" w:cs="Times New Roman"/>
          <w:b/>
          <w:szCs w:val="24"/>
        </w:rPr>
        <w:t>号的符合性分析表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2"/>
        <w:gridCol w:w="4512"/>
        <w:gridCol w:w="3523"/>
        <w:gridCol w:w="694"/>
      </w:tblGrid>
      <w:tr w:rsidR="002133E3" w14:paraId="2FAA20F9" w14:textId="77777777">
        <w:trPr>
          <w:trHeight w:val="284"/>
          <w:jc w:val="center"/>
        </w:trPr>
        <w:tc>
          <w:tcPr>
            <w:tcW w:w="842" w:type="dxa"/>
            <w:vAlign w:val="center"/>
          </w:tcPr>
          <w:p w14:paraId="4FDA4B0B"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指标设置</w:t>
            </w:r>
          </w:p>
        </w:tc>
        <w:tc>
          <w:tcPr>
            <w:tcW w:w="4512" w:type="dxa"/>
            <w:vAlign w:val="center"/>
          </w:tcPr>
          <w:p w14:paraId="047DB8FF"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管控内涵</w:t>
            </w:r>
          </w:p>
        </w:tc>
        <w:tc>
          <w:tcPr>
            <w:tcW w:w="3523" w:type="dxa"/>
            <w:vAlign w:val="center"/>
          </w:tcPr>
          <w:p w14:paraId="662EC1E3"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项目情况</w:t>
            </w:r>
          </w:p>
        </w:tc>
        <w:tc>
          <w:tcPr>
            <w:tcW w:w="694" w:type="dxa"/>
            <w:vAlign w:val="center"/>
          </w:tcPr>
          <w:p w14:paraId="2AD10499"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符合性</w:t>
            </w:r>
          </w:p>
        </w:tc>
      </w:tr>
      <w:tr w:rsidR="002133E3" w14:paraId="7BFE0603" w14:textId="77777777">
        <w:trPr>
          <w:trHeight w:val="284"/>
          <w:jc w:val="center"/>
        </w:trPr>
        <w:tc>
          <w:tcPr>
            <w:tcW w:w="842" w:type="dxa"/>
            <w:vAlign w:val="center"/>
          </w:tcPr>
          <w:p w14:paraId="2CBFBD8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能源消耗</w:t>
            </w:r>
          </w:p>
        </w:tc>
        <w:tc>
          <w:tcPr>
            <w:tcW w:w="4512" w:type="dxa"/>
            <w:vAlign w:val="center"/>
          </w:tcPr>
          <w:p w14:paraId="52D7ED44"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依据经济社会发展水平、产业结构和布局、资源禀赋、环境容量、总量减排和环境质量改善要求等因素，确定能源消费总量控制目标。京津冀、长三角、珠三角和山东省等大气污染治理重点地区及城市，要明确煤炭占能源消费比重、煤炭消费减量控制等指标要求。</w:t>
            </w:r>
          </w:p>
        </w:tc>
        <w:tc>
          <w:tcPr>
            <w:tcW w:w="3523" w:type="dxa"/>
            <w:vAlign w:val="center"/>
          </w:tcPr>
          <w:p w14:paraId="40B62D22"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本项目不使用煤炭，因此不涉及煤炭消费减量控制等指标要求。</w:t>
            </w:r>
          </w:p>
        </w:tc>
        <w:tc>
          <w:tcPr>
            <w:tcW w:w="694" w:type="dxa"/>
            <w:vAlign w:val="center"/>
          </w:tcPr>
          <w:p w14:paraId="27EE4C9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w:t>
            </w:r>
          </w:p>
        </w:tc>
      </w:tr>
      <w:tr w:rsidR="002133E3" w14:paraId="2D5A4CF7" w14:textId="77777777">
        <w:trPr>
          <w:trHeight w:val="284"/>
          <w:jc w:val="center"/>
        </w:trPr>
        <w:tc>
          <w:tcPr>
            <w:tcW w:w="842" w:type="dxa"/>
            <w:vAlign w:val="center"/>
          </w:tcPr>
          <w:p w14:paraId="5B399F4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水资源消耗</w:t>
            </w:r>
          </w:p>
        </w:tc>
        <w:tc>
          <w:tcPr>
            <w:tcW w:w="4512" w:type="dxa"/>
            <w:vAlign w:val="center"/>
          </w:tcPr>
          <w:p w14:paraId="4C9FEF69"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依据水资源禀赋、生态用水需求、经济社会发展合理需要等因素，确定用水总量控制目标。严重缺水以及地下水超采地区，要严格设定地下水开采总量指标。</w:t>
            </w:r>
          </w:p>
        </w:tc>
        <w:tc>
          <w:tcPr>
            <w:tcW w:w="3523" w:type="dxa"/>
            <w:vAlign w:val="center"/>
          </w:tcPr>
          <w:p w14:paraId="2EB064B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、本工程供水水源为市政给水管网，本着</w:t>
            </w:r>
            <w:r>
              <w:rPr>
                <w:rFonts w:ascii="Times New Roman" w:eastAsia="宋体" w:hAnsi="Times New Roman" w:cs="Times New Roman"/>
                <w:szCs w:val="21"/>
              </w:rPr>
              <w:t>“</w:t>
            </w:r>
            <w:r>
              <w:rPr>
                <w:rFonts w:ascii="Times New Roman" w:eastAsia="宋体" w:hAnsi="Times New Roman" w:cs="Times New Roman"/>
                <w:szCs w:val="21"/>
              </w:rPr>
              <w:t>循环用水、节约用水</w:t>
            </w:r>
            <w:r>
              <w:rPr>
                <w:rFonts w:ascii="Times New Roman" w:eastAsia="宋体" w:hAnsi="Times New Roman" w:cs="Times New Roman"/>
                <w:szCs w:val="21"/>
              </w:rPr>
              <w:t>”</w:t>
            </w:r>
            <w:r>
              <w:rPr>
                <w:rFonts w:ascii="Times New Roman" w:eastAsia="宋体" w:hAnsi="Times New Roman" w:cs="Times New Roman"/>
                <w:szCs w:val="21"/>
              </w:rPr>
              <w:t>原则，控制用水量，本项目用水量在企业给水系统设计能力范围内，不超出用水总量控制目标；</w:t>
            </w:r>
          </w:p>
          <w:p w14:paraId="401484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lastRenderedPageBreak/>
              <w:t>2</w:t>
            </w:r>
            <w:r>
              <w:rPr>
                <w:rFonts w:ascii="Times New Roman" w:eastAsia="宋体" w:hAnsi="Times New Roman" w:cs="Times New Roman"/>
                <w:szCs w:val="21"/>
              </w:rPr>
              <w:t>、本项目不开采使用地下水，不涉及地下水开采总量指标。</w:t>
            </w:r>
          </w:p>
        </w:tc>
        <w:tc>
          <w:tcPr>
            <w:tcW w:w="694" w:type="dxa"/>
            <w:vAlign w:val="center"/>
          </w:tcPr>
          <w:p w14:paraId="6E2F72F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符合</w:t>
            </w:r>
          </w:p>
        </w:tc>
      </w:tr>
      <w:tr w:rsidR="002133E3" w14:paraId="1DABEBBC" w14:textId="77777777">
        <w:trPr>
          <w:trHeight w:val="284"/>
          <w:jc w:val="center"/>
        </w:trPr>
        <w:tc>
          <w:tcPr>
            <w:tcW w:w="842" w:type="dxa"/>
            <w:vAlign w:val="center"/>
          </w:tcPr>
          <w:p w14:paraId="7C47747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土地资源消耗</w:t>
            </w:r>
          </w:p>
        </w:tc>
        <w:tc>
          <w:tcPr>
            <w:tcW w:w="4512" w:type="dxa"/>
            <w:vAlign w:val="center"/>
          </w:tcPr>
          <w:p w14:paraId="5C4C3081"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依据粮食和生态安全、主体功能定位、开发强度、城乡人口规模、人均建设用地标准等因素，划定永久基本农田，严格实施永久保护，对新增建设用地占用耕地规模实行总量控制，落实耕地占补平衡，确保耕地数量不下降、质量不降低。用地供需矛盾特别突出地区，要严格设定城乡建设用地总量控制目标。</w:t>
            </w:r>
          </w:p>
        </w:tc>
        <w:tc>
          <w:tcPr>
            <w:tcW w:w="3523" w:type="dxa"/>
            <w:vAlign w:val="center"/>
          </w:tcPr>
          <w:p w14:paraId="71EDAA17" w14:textId="77777777" w:rsidR="002133E3" w:rsidRDefault="00C22CFA">
            <w:pPr>
              <w:ind w:firstLineChars="200" w:firstLine="420"/>
              <w:rPr>
                <w:rFonts w:ascii="Times New Roman" w:eastAsia="宋体" w:hAnsi="Times New Roman" w:cs="Times New Roman"/>
                <w:szCs w:val="21"/>
              </w:rPr>
            </w:pPr>
            <w:r>
              <w:rPr>
                <w:rFonts w:ascii="Times New Roman" w:eastAsia="宋体" w:hAnsi="Times New Roman" w:cs="Times New Roman"/>
                <w:szCs w:val="21"/>
              </w:rPr>
              <w:t>项目在现有厂区范围内建设，不新增厂外占地，因此，本项目不涉及用地总量控制目标。</w:t>
            </w:r>
          </w:p>
        </w:tc>
        <w:tc>
          <w:tcPr>
            <w:tcW w:w="694" w:type="dxa"/>
            <w:vAlign w:val="center"/>
          </w:tcPr>
          <w:p w14:paraId="45A31D6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w:t>
            </w:r>
          </w:p>
        </w:tc>
      </w:tr>
    </w:tbl>
    <w:p w14:paraId="677F53AD"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由表</w:t>
      </w:r>
      <w:r>
        <w:rPr>
          <w:rFonts w:ascii="Times New Roman" w:eastAsia="宋体" w:hAnsi="Times New Roman" w:cs="Times New Roman"/>
          <w:sz w:val="28"/>
          <w:szCs w:val="24"/>
        </w:rPr>
        <w:t>1.3-5~1.3-7</w:t>
      </w:r>
      <w:r>
        <w:rPr>
          <w:rFonts w:ascii="Times New Roman" w:eastAsia="宋体" w:hAnsi="Times New Roman" w:cs="Times New Roman"/>
          <w:sz w:val="28"/>
          <w:szCs w:val="24"/>
        </w:rPr>
        <w:t>可知，本项目与当地资源消耗上限要求相符。</w:t>
      </w:r>
    </w:p>
    <w:p w14:paraId="1AB9FF86" w14:textId="77777777" w:rsidR="002133E3" w:rsidRDefault="00C22CFA">
      <w:pPr>
        <w:numPr>
          <w:ilvl w:val="3"/>
          <w:numId w:val="2"/>
        </w:numPr>
        <w:tabs>
          <w:tab w:val="left" w:pos="851"/>
        </w:tabs>
        <w:ind w:left="993" w:hanging="993"/>
        <w:outlineLvl w:val="3"/>
        <w:rPr>
          <w:rFonts w:ascii="Times New Roman" w:eastAsia="宋体" w:hAnsi="Times New Roman" w:cs="Times New Roman"/>
          <w:b/>
          <w:bCs/>
          <w:sz w:val="28"/>
          <w:szCs w:val="28"/>
        </w:rPr>
      </w:pPr>
      <w:r>
        <w:rPr>
          <w:rFonts w:ascii="Times New Roman" w:eastAsia="宋体" w:hAnsi="Times New Roman" w:cs="Times New Roman"/>
          <w:b/>
          <w:bCs/>
          <w:sz w:val="28"/>
          <w:szCs w:val="28"/>
        </w:rPr>
        <w:t>环境准入负面清单相符性</w:t>
      </w:r>
    </w:p>
    <w:p w14:paraId="6C8C6BD4"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与《长江经济带发展负面清单指南</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》相符性</w:t>
      </w:r>
    </w:p>
    <w:p w14:paraId="62118E0A"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对照《长江经济带发展负面清单指南</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》，项目位于文件中划定的一般管控区内，且不在文件划定的负面清单内，能满足我市环境管理要求。具体分析结果见表</w:t>
      </w:r>
      <w:r>
        <w:rPr>
          <w:rFonts w:ascii="Times New Roman" w:eastAsia="宋体" w:hAnsi="Times New Roman" w:cs="Times New Roman"/>
          <w:sz w:val="28"/>
          <w:szCs w:val="28"/>
        </w:rPr>
        <w:t>1.3-8</w:t>
      </w:r>
      <w:r>
        <w:rPr>
          <w:rFonts w:ascii="Times New Roman" w:eastAsia="宋体" w:hAnsi="Times New Roman" w:cs="Times New Roman"/>
          <w:sz w:val="28"/>
          <w:szCs w:val="28"/>
        </w:rPr>
        <w:t>所示。</w:t>
      </w:r>
    </w:p>
    <w:p w14:paraId="5682F05F"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1.3-8  </w:t>
      </w:r>
      <w:r>
        <w:rPr>
          <w:rFonts w:ascii="Times New Roman" w:eastAsia="宋体" w:hAnsi="Times New Roman" w:cs="Times New Roman"/>
          <w:b/>
          <w:szCs w:val="24"/>
        </w:rPr>
        <w:t>与《长江经济带发展负面清单指南</w:t>
      </w:r>
      <w:r>
        <w:rPr>
          <w:rFonts w:ascii="Times New Roman" w:eastAsia="宋体" w:hAnsi="Times New Roman" w:cs="Times New Roman"/>
          <w:b/>
          <w:szCs w:val="24"/>
        </w:rPr>
        <w:t>(</w:t>
      </w:r>
      <w:r>
        <w:rPr>
          <w:rFonts w:ascii="Times New Roman" w:eastAsia="宋体" w:hAnsi="Times New Roman" w:cs="Times New Roman"/>
          <w:b/>
          <w:szCs w:val="24"/>
        </w:rPr>
        <w:t>试行</w:t>
      </w:r>
      <w:r>
        <w:rPr>
          <w:rFonts w:ascii="Times New Roman" w:eastAsia="宋体" w:hAnsi="Times New Roman" w:cs="Times New Roman"/>
          <w:b/>
          <w:szCs w:val="24"/>
        </w:rPr>
        <w:t>)</w:t>
      </w:r>
      <w:r>
        <w:rPr>
          <w:rFonts w:ascii="Times New Roman" w:eastAsia="宋体" w:hAnsi="Times New Roman" w:cs="Times New Roman"/>
          <w:b/>
          <w:szCs w:val="24"/>
        </w:rPr>
        <w:t>》的符合性分析表</w:t>
      </w:r>
    </w:p>
    <w:tbl>
      <w:tblPr>
        <w:tblW w:w="9741" w:type="dxa"/>
        <w:jc w:val="center"/>
        <w:tblLayout w:type="fixed"/>
        <w:tblLook w:val="04A0" w:firstRow="1" w:lastRow="0" w:firstColumn="1" w:lastColumn="0" w:noHBand="0" w:noVBand="1"/>
      </w:tblPr>
      <w:tblGrid>
        <w:gridCol w:w="675"/>
        <w:gridCol w:w="4963"/>
        <w:gridCol w:w="3288"/>
        <w:gridCol w:w="815"/>
      </w:tblGrid>
      <w:tr w:rsidR="002133E3" w14:paraId="6CC010CA" w14:textId="77777777">
        <w:trPr>
          <w:trHeight w:val="284"/>
          <w:jc w:val="center"/>
        </w:trPr>
        <w:tc>
          <w:tcPr>
            <w:tcW w:w="675" w:type="dxa"/>
            <w:tcBorders>
              <w:top w:val="single" w:sz="4" w:space="0" w:color="auto"/>
              <w:left w:val="single" w:sz="4" w:space="0" w:color="auto"/>
              <w:bottom w:val="single" w:sz="4" w:space="0" w:color="auto"/>
              <w:right w:val="single" w:sz="4" w:space="0" w:color="auto"/>
            </w:tcBorders>
            <w:vAlign w:val="center"/>
          </w:tcPr>
          <w:p w14:paraId="784C451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指标设置</w:t>
            </w:r>
          </w:p>
        </w:tc>
        <w:tc>
          <w:tcPr>
            <w:tcW w:w="4963" w:type="dxa"/>
            <w:tcBorders>
              <w:top w:val="single" w:sz="4" w:space="0" w:color="auto"/>
              <w:left w:val="nil"/>
              <w:bottom w:val="single" w:sz="4" w:space="0" w:color="auto"/>
              <w:right w:val="single" w:sz="4" w:space="0" w:color="auto"/>
            </w:tcBorders>
            <w:vAlign w:val="center"/>
          </w:tcPr>
          <w:p w14:paraId="2102DE9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管控内涵</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要求</w:t>
            </w:r>
          </w:p>
        </w:tc>
        <w:tc>
          <w:tcPr>
            <w:tcW w:w="3288" w:type="dxa"/>
            <w:tcBorders>
              <w:top w:val="single" w:sz="4" w:space="0" w:color="auto"/>
              <w:left w:val="nil"/>
              <w:bottom w:val="single" w:sz="4" w:space="0" w:color="auto"/>
              <w:right w:val="single" w:sz="4" w:space="0" w:color="auto"/>
            </w:tcBorders>
            <w:vAlign w:val="center"/>
          </w:tcPr>
          <w:p w14:paraId="0621337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项目情况</w:t>
            </w:r>
          </w:p>
        </w:tc>
        <w:tc>
          <w:tcPr>
            <w:tcW w:w="815" w:type="dxa"/>
            <w:tcBorders>
              <w:top w:val="single" w:sz="4" w:space="0" w:color="auto"/>
              <w:left w:val="nil"/>
              <w:bottom w:val="single" w:sz="4" w:space="0" w:color="auto"/>
              <w:right w:val="single" w:sz="4" w:space="0" w:color="auto"/>
            </w:tcBorders>
            <w:vAlign w:val="center"/>
          </w:tcPr>
          <w:p w14:paraId="42C077C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符合性</w:t>
            </w:r>
          </w:p>
        </w:tc>
      </w:tr>
      <w:tr w:rsidR="002133E3" w14:paraId="788FD7DD" w14:textId="77777777">
        <w:trPr>
          <w:trHeight w:val="284"/>
          <w:jc w:val="center"/>
        </w:trPr>
        <w:tc>
          <w:tcPr>
            <w:tcW w:w="675" w:type="dxa"/>
            <w:vMerge w:val="restart"/>
            <w:tcBorders>
              <w:top w:val="nil"/>
              <w:left w:val="single" w:sz="4" w:space="0" w:color="auto"/>
              <w:bottom w:val="single" w:sz="4" w:space="0" w:color="auto"/>
              <w:right w:val="single" w:sz="4" w:space="0" w:color="auto"/>
            </w:tcBorders>
            <w:vAlign w:val="center"/>
          </w:tcPr>
          <w:p w14:paraId="1F510D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长江经济带发展负面清单指南</w:t>
            </w:r>
            <w:r>
              <w:rPr>
                <w:rFonts w:ascii="Times New Roman" w:eastAsia="宋体" w:hAnsi="Times New Roman" w:cs="Times New Roman"/>
                <w:szCs w:val="21"/>
              </w:rPr>
              <w:t>(</w:t>
            </w:r>
            <w:r>
              <w:rPr>
                <w:rFonts w:ascii="Times New Roman" w:eastAsia="宋体" w:hAnsi="Times New Roman" w:cs="Times New Roman"/>
                <w:szCs w:val="21"/>
              </w:rPr>
              <w:t>试行</w:t>
            </w:r>
            <w:r>
              <w:rPr>
                <w:rFonts w:ascii="Times New Roman" w:eastAsia="宋体" w:hAnsi="Times New Roman" w:cs="Times New Roman"/>
                <w:szCs w:val="21"/>
              </w:rPr>
              <w:t>)</w:t>
            </w:r>
          </w:p>
        </w:tc>
        <w:tc>
          <w:tcPr>
            <w:tcW w:w="4963" w:type="dxa"/>
            <w:tcBorders>
              <w:top w:val="nil"/>
              <w:left w:val="nil"/>
              <w:bottom w:val="single" w:sz="4" w:space="0" w:color="auto"/>
              <w:right w:val="single" w:sz="4" w:space="0" w:color="auto"/>
            </w:tcBorders>
            <w:vAlign w:val="center"/>
          </w:tcPr>
          <w:p w14:paraId="03711BEF" w14:textId="77777777" w:rsidR="002133E3" w:rsidRDefault="00C22CFA">
            <w:pPr>
              <w:autoSpaceDE w:val="0"/>
              <w:autoSpaceDN w:val="0"/>
              <w:adjustRightInd w:val="0"/>
              <w:rPr>
                <w:rFonts w:ascii="Times New Roman" w:eastAsia="宋体" w:hAnsi="Times New Roman" w:cs="Times New Roman"/>
                <w:kern w:val="0"/>
                <w:szCs w:val="21"/>
              </w:rPr>
            </w:pPr>
            <w:r>
              <w:rPr>
                <w:rFonts w:ascii="Times New Roman" w:eastAsia="宋体" w:hAnsi="Times New Roman" w:cs="Times New Roman"/>
                <w:kern w:val="0"/>
                <w:szCs w:val="21"/>
                <w:lang w:val="zh-CN"/>
              </w:rPr>
              <w:t>1.</w:t>
            </w:r>
            <w:r>
              <w:rPr>
                <w:rFonts w:ascii="Times New Roman" w:eastAsia="宋体" w:hAnsi="Times New Roman" w:cs="Times New Roman"/>
                <w:kern w:val="0"/>
                <w:szCs w:val="21"/>
                <w:lang w:val="zh-CN"/>
              </w:rPr>
              <w:t>禁止建设不符合全国和省级港口布局规划以及港口总体规划的码头项目，禁止建设不符合《长江干线过江通道布局规划》的过长江通道项目。</w:t>
            </w:r>
          </w:p>
        </w:tc>
        <w:tc>
          <w:tcPr>
            <w:tcW w:w="3288" w:type="dxa"/>
            <w:tcBorders>
              <w:top w:val="nil"/>
              <w:left w:val="nil"/>
              <w:bottom w:val="single" w:sz="4" w:space="0" w:color="auto"/>
              <w:right w:val="single" w:sz="4" w:space="0" w:color="auto"/>
            </w:tcBorders>
            <w:vAlign w:val="center"/>
          </w:tcPr>
          <w:p w14:paraId="25493FBF" w14:textId="77777777" w:rsidR="002133E3" w:rsidRDefault="00C22CFA">
            <w:pPr>
              <w:widowControl/>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本项目不涉及</w:t>
            </w:r>
          </w:p>
        </w:tc>
        <w:tc>
          <w:tcPr>
            <w:tcW w:w="815" w:type="dxa"/>
            <w:tcBorders>
              <w:top w:val="nil"/>
              <w:left w:val="nil"/>
              <w:bottom w:val="single" w:sz="4" w:space="0" w:color="auto"/>
              <w:right w:val="single" w:sz="4" w:space="0" w:color="auto"/>
            </w:tcBorders>
            <w:vAlign w:val="center"/>
          </w:tcPr>
          <w:p w14:paraId="061F446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0179C900"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41593F2F" w14:textId="77777777" w:rsidR="002133E3" w:rsidRDefault="002133E3">
            <w:pPr>
              <w:widowControl/>
              <w:jc w:val="center"/>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17D9B855" w14:textId="77777777" w:rsidR="002133E3" w:rsidRDefault="00C22CFA">
            <w:pPr>
              <w:autoSpaceDE w:val="0"/>
              <w:autoSpaceDN w:val="0"/>
              <w:adjustRightInd w:val="0"/>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2.</w:t>
            </w:r>
            <w:r>
              <w:rPr>
                <w:rFonts w:ascii="Times New Roman" w:eastAsia="宋体" w:hAnsi="Times New Roman" w:cs="Times New Roman"/>
                <w:kern w:val="0"/>
                <w:szCs w:val="21"/>
                <w:lang w:val="zh-CN"/>
              </w:rPr>
              <w:t>禁止在自然保护区核心区、缓冲区的岸线和河段范围内投资建设旅游和生产经营项目。禁止在风景名胜区核心景区的岸线和河段范围内投资建设与风景名胜资源保护无关的项目。</w:t>
            </w:r>
          </w:p>
        </w:tc>
        <w:tc>
          <w:tcPr>
            <w:tcW w:w="3288" w:type="dxa"/>
            <w:tcBorders>
              <w:top w:val="nil"/>
              <w:left w:val="nil"/>
              <w:bottom w:val="single" w:sz="4" w:space="0" w:color="auto"/>
              <w:right w:val="single" w:sz="4" w:space="0" w:color="auto"/>
            </w:tcBorders>
            <w:vAlign w:val="center"/>
          </w:tcPr>
          <w:p w14:paraId="1681489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本项目不在</w:t>
            </w:r>
            <w:r>
              <w:rPr>
                <w:rFonts w:ascii="Times New Roman" w:eastAsia="宋体" w:hAnsi="Times New Roman" w:cs="Times New Roman"/>
                <w:kern w:val="0"/>
                <w:szCs w:val="21"/>
                <w:lang w:val="zh-CN"/>
              </w:rPr>
              <w:t>自然保护区核心区、缓冲区的岸线和河段范围内</w:t>
            </w:r>
          </w:p>
        </w:tc>
        <w:tc>
          <w:tcPr>
            <w:tcW w:w="815" w:type="dxa"/>
            <w:tcBorders>
              <w:top w:val="nil"/>
              <w:left w:val="nil"/>
              <w:bottom w:val="single" w:sz="4" w:space="0" w:color="auto"/>
              <w:right w:val="single" w:sz="4" w:space="0" w:color="auto"/>
            </w:tcBorders>
            <w:vAlign w:val="center"/>
          </w:tcPr>
          <w:p w14:paraId="78CA3C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21A381EA"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3820ADFD" w14:textId="77777777" w:rsidR="002133E3" w:rsidRDefault="002133E3">
            <w:pPr>
              <w:widowControl/>
              <w:jc w:val="center"/>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58BF8419" w14:textId="77777777" w:rsidR="002133E3" w:rsidRDefault="00C22CFA">
            <w:pPr>
              <w:autoSpaceDE w:val="0"/>
              <w:autoSpaceDN w:val="0"/>
              <w:adjustRightInd w:val="0"/>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3.</w:t>
            </w:r>
            <w:r>
              <w:rPr>
                <w:rFonts w:ascii="Times New Roman" w:eastAsia="宋体" w:hAnsi="Times New Roman" w:cs="Times New Roman"/>
                <w:kern w:val="0"/>
                <w:szCs w:val="21"/>
                <w:lang w:val="zh-CN"/>
              </w:rPr>
              <w:t>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p>
        </w:tc>
        <w:tc>
          <w:tcPr>
            <w:tcW w:w="3288" w:type="dxa"/>
            <w:tcBorders>
              <w:top w:val="nil"/>
              <w:left w:val="nil"/>
              <w:bottom w:val="single" w:sz="4" w:space="0" w:color="auto"/>
              <w:right w:val="single" w:sz="4" w:space="0" w:color="auto"/>
            </w:tcBorders>
            <w:vAlign w:val="center"/>
          </w:tcPr>
          <w:p w14:paraId="463B996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本项目所在地不涉及</w:t>
            </w:r>
            <w:r>
              <w:rPr>
                <w:rFonts w:ascii="Times New Roman" w:eastAsia="宋体" w:hAnsi="Times New Roman" w:cs="Times New Roman"/>
                <w:kern w:val="0"/>
                <w:szCs w:val="21"/>
                <w:lang w:val="zh-CN"/>
              </w:rPr>
              <w:t>饮用水水源一、二级保护区</w:t>
            </w:r>
          </w:p>
        </w:tc>
        <w:tc>
          <w:tcPr>
            <w:tcW w:w="815" w:type="dxa"/>
            <w:tcBorders>
              <w:top w:val="nil"/>
              <w:left w:val="nil"/>
              <w:bottom w:val="single" w:sz="4" w:space="0" w:color="auto"/>
              <w:right w:val="single" w:sz="4" w:space="0" w:color="auto"/>
            </w:tcBorders>
            <w:vAlign w:val="center"/>
          </w:tcPr>
          <w:p w14:paraId="777A15C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368C3ECC"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18BBAE13" w14:textId="77777777" w:rsidR="002133E3" w:rsidRDefault="002133E3">
            <w:pPr>
              <w:widowControl/>
              <w:jc w:val="center"/>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7311CDFD" w14:textId="77777777" w:rsidR="002133E3" w:rsidRDefault="00C22CFA">
            <w:pPr>
              <w:autoSpaceDE w:val="0"/>
              <w:autoSpaceDN w:val="0"/>
              <w:adjustRightInd w:val="0"/>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4.</w:t>
            </w:r>
            <w:r>
              <w:rPr>
                <w:rFonts w:ascii="Times New Roman" w:eastAsia="宋体" w:hAnsi="Times New Roman" w:cs="Times New Roman"/>
                <w:kern w:val="0"/>
                <w:szCs w:val="21"/>
                <w:lang w:val="zh-CN"/>
              </w:rPr>
              <w:t>禁止在水产种质资源保护区的岸线和河段范围内新建排污口，以及围湖造田、围海造地或围填海等投资建设项目。禁止在国家湿地公园的岸线和河段范围内挖沙、采矿，以及任何不符合主体功能定位的投资建设项目。</w:t>
            </w:r>
          </w:p>
        </w:tc>
        <w:tc>
          <w:tcPr>
            <w:tcW w:w="3288" w:type="dxa"/>
            <w:tcBorders>
              <w:top w:val="nil"/>
              <w:left w:val="nil"/>
              <w:bottom w:val="single" w:sz="4" w:space="0" w:color="auto"/>
              <w:right w:val="single" w:sz="4" w:space="0" w:color="auto"/>
            </w:tcBorders>
            <w:vAlign w:val="center"/>
          </w:tcPr>
          <w:p w14:paraId="0D1860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lang w:val="zh-CN"/>
              </w:rPr>
              <w:t>本项目不涉及</w:t>
            </w:r>
          </w:p>
        </w:tc>
        <w:tc>
          <w:tcPr>
            <w:tcW w:w="815" w:type="dxa"/>
            <w:tcBorders>
              <w:top w:val="nil"/>
              <w:left w:val="nil"/>
              <w:bottom w:val="single" w:sz="4" w:space="0" w:color="auto"/>
              <w:right w:val="single" w:sz="4" w:space="0" w:color="auto"/>
            </w:tcBorders>
            <w:vAlign w:val="center"/>
          </w:tcPr>
          <w:p w14:paraId="7B48E5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5644BE3F"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3D51D6FA" w14:textId="77777777" w:rsidR="002133E3" w:rsidRDefault="002133E3">
            <w:pPr>
              <w:widowControl/>
              <w:jc w:val="left"/>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07B0F783" w14:textId="77777777" w:rsidR="002133E3" w:rsidRDefault="00C22CFA">
            <w:pPr>
              <w:autoSpaceDE w:val="0"/>
              <w:autoSpaceDN w:val="0"/>
              <w:adjustRightInd w:val="0"/>
              <w:rPr>
                <w:rFonts w:ascii="Times New Roman" w:eastAsia="宋体" w:hAnsi="Times New Roman" w:cs="Times New Roman"/>
                <w:kern w:val="0"/>
                <w:szCs w:val="21"/>
              </w:rPr>
            </w:pPr>
            <w:r>
              <w:rPr>
                <w:rFonts w:ascii="Times New Roman" w:eastAsia="宋体" w:hAnsi="Times New Roman" w:cs="Times New Roman"/>
                <w:kern w:val="0"/>
                <w:szCs w:val="21"/>
                <w:lang w:val="zh-CN"/>
              </w:rPr>
              <w:t>5.</w:t>
            </w:r>
            <w:r>
              <w:rPr>
                <w:rFonts w:ascii="Times New Roman" w:eastAsia="宋体" w:hAnsi="Times New Roman" w:cs="Times New Roman"/>
                <w:kern w:val="0"/>
                <w:szCs w:val="21"/>
                <w:lang w:val="zh-CN"/>
              </w:rPr>
              <w:t>禁止在《长江岸线保护和开发利用总体规划》划定的岸线保护区内投资建设除保障防洪安全、河势稳定、供水安全以及保护生态环境、已建重要枢纽工程以外的项目，禁止在岸线保留区内投资建设除保障防洪安全、河势稳定、供水安全、航道稳定以及保护生</w:t>
            </w:r>
            <w:r>
              <w:rPr>
                <w:rFonts w:ascii="Times New Roman" w:eastAsia="宋体" w:hAnsi="Times New Roman" w:cs="Times New Roman"/>
                <w:kern w:val="0"/>
                <w:szCs w:val="21"/>
                <w:lang w:val="zh-CN"/>
              </w:rPr>
              <w:lastRenderedPageBreak/>
              <w:t>态环境以外的项目。禁止在《全国重要江河湖泊水功能区划》划定的河段保护区、保留区内投资建设不利干水资源及自然生态保护的项目。</w:t>
            </w:r>
          </w:p>
        </w:tc>
        <w:tc>
          <w:tcPr>
            <w:tcW w:w="3288" w:type="dxa"/>
            <w:tcBorders>
              <w:top w:val="nil"/>
              <w:left w:val="nil"/>
              <w:bottom w:val="single" w:sz="4" w:space="0" w:color="auto"/>
              <w:right w:val="single" w:sz="4" w:space="0" w:color="auto"/>
            </w:tcBorders>
            <w:vAlign w:val="center"/>
          </w:tcPr>
          <w:p w14:paraId="2B14030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本项目不涉及长江岸线及</w:t>
            </w:r>
            <w:r>
              <w:rPr>
                <w:rFonts w:ascii="Times New Roman" w:eastAsia="宋体" w:hAnsi="Times New Roman" w:cs="Times New Roman"/>
                <w:kern w:val="0"/>
                <w:szCs w:val="21"/>
                <w:lang w:val="zh-CN"/>
              </w:rPr>
              <w:t>江河湖泊</w:t>
            </w:r>
          </w:p>
        </w:tc>
        <w:tc>
          <w:tcPr>
            <w:tcW w:w="815" w:type="dxa"/>
            <w:tcBorders>
              <w:top w:val="nil"/>
              <w:left w:val="nil"/>
              <w:bottom w:val="single" w:sz="4" w:space="0" w:color="auto"/>
              <w:right w:val="single" w:sz="4" w:space="0" w:color="auto"/>
            </w:tcBorders>
            <w:vAlign w:val="center"/>
          </w:tcPr>
          <w:p w14:paraId="39C504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5063352F"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264350A7" w14:textId="77777777" w:rsidR="002133E3" w:rsidRDefault="002133E3">
            <w:pPr>
              <w:widowControl/>
              <w:jc w:val="left"/>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7F79E15E" w14:textId="77777777" w:rsidR="002133E3" w:rsidRDefault="00C22CFA">
            <w:pPr>
              <w:autoSpaceDE w:val="0"/>
              <w:autoSpaceDN w:val="0"/>
              <w:adjustRightInd w:val="0"/>
              <w:rPr>
                <w:rFonts w:ascii="Times New Roman" w:eastAsia="宋体" w:hAnsi="Times New Roman" w:cs="Times New Roman"/>
                <w:kern w:val="0"/>
                <w:szCs w:val="21"/>
              </w:rPr>
            </w:pPr>
            <w:r>
              <w:rPr>
                <w:rFonts w:ascii="Times New Roman" w:eastAsia="宋体" w:hAnsi="Times New Roman" w:cs="Times New Roman"/>
                <w:kern w:val="0"/>
                <w:szCs w:val="21"/>
                <w:lang w:val="zh-CN"/>
              </w:rPr>
              <w:t>6.</w:t>
            </w:r>
            <w:r>
              <w:rPr>
                <w:rFonts w:ascii="Times New Roman" w:eastAsia="宋体" w:hAnsi="Times New Roman" w:cs="Times New Roman"/>
                <w:kern w:val="0"/>
                <w:szCs w:val="21"/>
                <w:lang w:val="zh-CN"/>
              </w:rPr>
              <w:t>禁止在生态保护红线和基本农田范围内投资建设除国家重大战略资源勘查项目、生态保护修复和环境治理项目、重大基础设施项目、军事国防项目以及农牧民基本生产生活等必要的民生项目以外的项目。</w:t>
            </w:r>
          </w:p>
        </w:tc>
        <w:tc>
          <w:tcPr>
            <w:tcW w:w="3288" w:type="dxa"/>
            <w:tcBorders>
              <w:top w:val="nil"/>
              <w:left w:val="nil"/>
              <w:bottom w:val="single" w:sz="4" w:space="0" w:color="auto"/>
              <w:right w:val="single" w:sz="4" w:space="0" w:color="auto"/>
            </w:tcBorders>
            <w:vAlign w:val="center"/>
          </w:tcPr>
          <w:p w14:paraId="01C7D70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本项目不涉及基本农田，距最近的生态保护红线</w:t>
            </w:r>
            <w:r>
              <w:rPr>
                <w:rFonts w:ascii="Times New Roman" w:eastAsia="宋体" w:hAnsi="Times New Roman" w:cs="Times New Roman"/>
                <w:kern w:val="0"/>
                <w:szCs w:val="21"/>
              </w:rPr>
              <w:t>1.03km</w:t>
            </w:r>
          </w:p>
        </w:tc>
        <w:tc>
          <w:tcPr>
            <w:tcW w:w="815" w:type="dxa"/>
            <w:tcBorders>
              <w:top w:val="nil"/>
              <w:left w:val="nil"/>
              <w:bottom w:val="single" w:sz="4" w:space="0" w:color="auto"/>
              <w:right w:val="single" w:sz="4" w:space="0" w:color="auto"/>
            </w:tcBorders>
            <w:vAlign w:val="center"/>
          </w:tcPr>
          <w:p w14:paraId="6A90CF0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116FA94E"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08FC1D4D" w14:textId="77777777" w:rsidR="002133E3" w:rsidRDefault="002133E3">
            <w:pPr>
              <w:widowControl/>
              <w:jc w:val="left"/>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4AFCC28D" w14:textId="77777777" w:rsidR="002133E3" w:rsidRDefault="00C22CFA">
            <w:pPr>
              <w:autoSpaceDE w:val="0"/>
              <w:autoSpaceDN w:val="0"/>
              <w:adjustRightInd w:val="0"/>
              <w:rPr>
                <w:rFonts w:ascii="Times New Roman" w:eastAsia="宋体" w:hAnsi="Times New Roman" w:cs="Times New Roman"/>
                <w:kern w:val="0"/>
                <w:szCs w:val="21"/>
              </w:rPr>
            </w:pPr>
            <w:r>
              <w:rPr>
                <w:rFonts w:ascii="Times New Roman" w:eastAsia="宋体" w:hAnsi="Times New Roman" w:cs="Times New Roman"/>
                <w:kern w:val="0"/>
                <w:szCs w:val="21"/>
                <w:lang w:val="zh-CN"/>
              </w:rPr>
              <w:t>7.</w:t>
            </w:r>
            <w:r>
              <w:rPr>
                <w:rFonts w:ascii="Times New Roman" w:eastAsia="宋体" w:hAnsi="Times New Roman" w:cs="Times New Roman"/>
                <w:kern w:val="0"/>
                <w:szCs w:val="21"/>
                <w:lang w:val="zh-CN"/>
              </w:rPr>
              <w:t>禁止在长江干支流</w:t>
            </w:r>
            <w:r>
              <w:rPr>
                <w:rFonts w:ascii="Times New Roman" w:eastAsia="宋体" w:hAnsi="Times New Roman" w:cs="Times New Roman"/>
                <w:kern w:val="0"/>
                <w:szCs w:val="21"/>
                <w:lang w:val="zh-CN"/>
              </w:rPr>
              <w:t>1</w:t>
            </w:r>
            <w:r>
              <w:rPr>
                <w:rFonts w:ascii="Times New Roman" w:eastAsia="宋体" w:hAnsi="Times New Roman" w:cs="Times New Roman"/>
                <w:kern w:val="0"/>
                <w:szCs w:val="21"/>
                <w:lang w:val="zh-CN"/>
              </w:rPr>
              <w:t>公里范围内新建、扩建化工园区和化工项目。禁止在合规园区外新建、扩建钢铁、石化、化工、焦化、建材、有色等高污染项目。</w:t>
            </w:r>
          </w:p>
        </w:tc>
        <w:tc>
          <w:tcPr>
            <w:tcW w:w="3288" w:type="dxa"/>
            <w:tcBorders>
              <w:top w:val="nil"/>
              <w:left w:val="nil"/>
              <w:bottom w:val="single" w:sz="4" w:space="0" w:color="auto"/>
              <w:right w:val="single" w:sz="4" w:space="0" w:color="auto"/>
            </w:tcBorders>
            <w:vAlign w:val="center"/>
          </w:tcPr>
          <w:p w14:paraId="5DC082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本项目不涉及</w:t>
            </w:r>
            <w:r>
              <w:rPr>
                <w:rFonts w:ascii="Times New Roman" w:eastAsia="宋体" w:hAnsi="Times New Roman" w:cs="Times New Roman"/>
                <w:kern w:val="0"/>
                <w:szCs w:val="21"/>
                <w:lang w:val="zh-CN"/>
              </w:rPr>
              <w:t>长江干支流，不属于高污染项目。</w:t>
            </w:r>
          </w:p>
        </w:tc>
        <w:tc>
          <w:tcPr>
            <w:tcW w:w="815" w:type="dxa"/>
            <w:tcBorders>
              <w:top w:val="nil"/>
              <w:left w:val="nil"/>
              <w:bottom w:val="single" w:sz="4" w:space="0" w:color="auto"/>
              <w:right w:val="single" w:sz="4" w:space="0" w:color="auto"/>
            </w:tcBorders>
            <w:vAlign w:val="center"/>
          </w:tcPr>
          <w:p w14:paraId="3D4EC1D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5690ED43"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03BED867" w14:textId="77777777" w:rsidR="002133E3" w:rsidRDefault="002133E3">
            <w:pPr>
              <w:widowControl/>
              <w:jc w:val="left"/>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4B808A56" w14:textId="77777777" w:rsidR="002133E3" w:rsidRDefault="00C22CFA">
            <w:pPr>
              <w:autoSpaceDE w:val="0"/>
              <w:autoSpaceDN w:val="0"/>
              <w:adjustRightInd w:val="0"/>
              <w:rPr>
                <w:rFonts w:ascii="Times New Roman" w:eastAsia="宋体" w:hAnsi="Times New Roman" w:cs="Times New Roman"/>
                <w:kern w:val="0"/>
                <w:szCs w:val="21"/>
              </w:rPr>
            </w:pPr>
            <w:r>
              <w:rPr>
                <w:rFonts w:ascii="Times New Roman" w:eastAsia="宋体" w:hAnsi="Times New Roman" w:cs="Times New Roman"/>
                <w:kern w:val="0"/>
                <w:szCs w:val="21"/>
                <w:lang w:val="zh-CN"/>
              </w:rPr>
              <w:t>8.</w:t>
            </w:r>
            <w:r>
              <w:rPr>
                <w:rFonts w:ascii="Times New Roman" w:eastAsia="宋体" w:hAnsi="Times New Roman" w:cs="Times New Roman"/>
                <w:kern w:val="0"/>
                <w:szCs w:val="21"/>
                <w:lang w:val="zh-CN"/>
              </w:rPr>
              <w:t>禁止新建、扩建不符合国家石化、现代煤化工等产业布局规划的项目。</w:t>
            </w:r>
          </w:p>
        </w:tc>
        <w:tc>
          <w:tcPr>
            <w:tcW w:w="3288" w:type="dxa"/>
            <w:tcBorders>
              <w:top w:val="nil"/>
              <w:left w:val="nil"/>
              <w:bottom w:val="single" w:sz="4" w:space="0" w:color="auto"/>
              <w:right w:val="single" w:sz="4" w:space="0" w:color="auto"/>
            </w:tcBorders>
            <w:vAlign w:val="center"/>
          </w:tcPr>
          <w:p w14:paraId="1D47D1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本项目为不属于</w:t>
            </w:r>
            <w:r>
              <w:rPr>
                <w:rFonts w:ascii="Times New Roman" w:eastAsia="宋体" w:hAnsi="Times New Roman" w:cs="Times New Roman"/>
                <w:kern w:val="0"/>
                <w:szCs w:val="21"/>
                <w:lang w:val="zh-CN"/>
              </w:rPr>
              <w:t>石化、现代煤化工等项目</w:t>
            </w:r>
          </w:p>
        </w:tc>
        <w:tc>
          <w:tcPr>
            <w:tcW w:w="815" w:type="dxa"/>
            <w:tcBorders>
              <w:top w:val="nil"/>
              <w:left w:val="nil"/>
              <w:bottom w:val="single" w:sz="4" w:space="0" w:color="auto"/>
              <w:right w:val="single" w:sz="4" w:space="0" w:color="auto"/>
            </w:tcBorders>
            <w:vAlign w:val="center"/>
          </w:tcPr>
          <w:p w14:paraId="673AD1D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7908051F"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10EAFA1C" w14:textId="77777777" w:rsidR="002133E3" w:rsidRDefault="002133E3">
            <w:pPr>
              <w:widowControl/>
              <w:jc w:val="left"/>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2189C4B0" w14:textId="77777777" w:rsidR="002133E3" w:rsidRDefault="00C22CFA">
            <w:pPr>
              <w:autoSpaceDE w:val="0"/>
              <w:autoSpaceDN w:val="0"/>
              <w:adjustRightInd w:val="0"/>
              <w:rPr>
                <w:rFonts w:ascii="Times New Roman" w:eastAsia="宋体" w:hAnsi="Times New Roman" w:cs="Times New Roman"/>
                <w:kern w:val="0"/>
                <w:szCs w:val="21"/>
              </w:rPr>
            </w:pPr>
            <w:r>
              <w:rPr>
                <w:rFonts w:ascii="Times New Roman" w:eastAsia="宋体" w:hAnsi="Times New Roman" w:cs="Times New Roman"/>
                <w:kern w:val="0"/>
                <w:szCs w:val="21"/>
                <w:lang w:val="zh-CN"/>
              </w:rPr>
              <w:t>9.</w:t>
            </w:r>
            <w:r>
              <w:rPr>
                <w:rFonts w:ascii="Times New Roman" w:eastAsia="宋体" w:hAnsi="Times New Roman" w:cs="Times New Roman"/>
                <w:kern w:val="0"/>
                <w:szCs w:val="21"/>
                <w:lang w:val="zh-CN"/>
              </w:rPr>
              <w:t>禁止新建、扩建法律法规和相关政策明令禁止的落后产能项旦。</w:t>
            </w:r>
          </w:p>
        </w:tc>
        <w:tc>
          <w:tcPr>
            <w:tcW w:w="3288" w:type="dxa"/>
            <w:tcBorders>
              <w:top w:val="nil"/>
              <w:left w:val="nil"/>
              <w:bottom w:val="single" w:sz="4" w:space="0" w:color="auto"/>
              <w:right w:val="single" w:sz="4" w:space="0" w:color="auto"/>
            </w:tcBorders>
            <w:vAlign w:val="center"/>
          </w:tcPr>
          <w:p w14:paraId="3D4B567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本项目不涉及</w:t>
            </w:r>
          </w:p>
        </w:tc>
        <w:tc>
          <w:tcPr>
            <w:tcW w:w="815" w:type="dxa"/>
            <w:tcBorders>
              <w:top w:val="nil"/>
              <w:left w:val="nil"/>
              <w:bottom w:val="single" w:sz="4" w:space="0" w:color="auto"/>
              <w:right w:val="single" w:sz="4" w:space="0" w:color="auto"/>
            </w:tcBorders>
            <w:vAlign w:val="center"/>
          </w:tcPr>
          <w:p w14:paraId="0E4145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3DC1D4D9" w14:textId="77777777">
        <w:trPr>
          <w:trHeight w:val="284"/>
          <w:jc w:val="center"/>
        </w:trPr>
        <w:tc>
          <w:tcPr>
            <w:tcW w:w="675" w:type="dxa"/>
            <w:vMerge/>
            <w:tcBorders>
              <w:top w:val="nil"/>
              <w:left w:val="single" w:sz="4" w:space="0" w:color="auto"/>
              <w:bottom w:val="single" w:sz="4" w:space="0" w:color="auto"/>
              <w:right w:val="single" w:sz="4" w:space="0" w:color="auto"/>
            </w:tcBorders>
            <w:vAlign w:val="center"/>
          </w:tcPr>
          <w:p w14:paraId="43B9696D" w14:textId="77777777" w:rsidR="002133E3" w:rsidRDefault="002133E3">
            <w:pPr>
              <w:widowControl/>
              <w:jc w:val="left"/>
              <w:rPr>
                <w:rFonts w:ascii="Times New Roman" w:eastAsia="宋体" w:hAnsi="Times New Roman" w:cs="Times New Roman"/>
                <w:kern w:val="0"/>
                <w:szCs w:val="21"/>
              </w:rPr>
            </w:pPr>
          </w:p>
        </w:tc>
        <w:tc>
          <w:tcPr>
            <w:tcW w:w="4963" w:type="dxa"/>
            <w:tcBorders>
              <w:top w:val="nil"/>
              <w:left w:val="nil"/>
              <w:bottom w:val="single" w:sz="4" w:space="0" w:color="auto"/>
              <w:right w:val="single" w:sz="4" w:space="0" w:color="auto"/>
            </w:tcBorders>
            <w:vAlign w:val="center"/>
          </w:tcPr>
          <w:p w14:paraId="3B0E5B7B" w14:textId="77777777" w:rsidR="002133E3" w:rsidRDefault="00C22CFA">
            <w:pPr>
              <w:autoSpaceDE w:val="0"/>
              <w:autoSpaceDN w:val="0"/>
              <w:adjustRightInd w:val="0"/>
              <w:rPr>
                <w:rFonts w:ascii="Times New Roman" w:eastAsia="宋体" w:hAnsi="Times New Roman" w:cs="Times New Roman"/>
                <w:kern w:val="0"/>
                <w:szCs w:val="21"/>
              </w:rPr>
            </w:pPr>
            <w:r>
              <w:rPr>
                <w:rFonts w:ascii="Times New Roman" w:eastAsia="宋体" w:hAnsi="Times New Roman" w:cs="Times New Roman"/>
                <w:kern w:val="0"/>
                <w:szCs w:val="21"/>
                <w:lang w:val="zh-CN"/>
              </w:rPr>
              <w:t>10.</w:t>
            </w:r>
            <w:r>
              <w:rPr>
                <w:rFonts w:ascii="Times New Roman" w:eastAsia="宋体" w:hAnsi="Times New Roman" w:cs="Times New Roman"/>
                <w:kern w:val="0"/>
                <w:szCs w:val="21"/>
                <w:lang w:val="zh-CN"/>
              </w:rPr>
              <w:t>禁止新建、扩建不符合国家产能置换要求的严重过剩产能行业的项目。</w:t>
            </w:r>
          </w:p>
        </w:tc>
        <w:tc>
          <w:tcPr>
            <w:tcW w:w="3288" w:type="dxa"/>
            <w:tcBorders>
              <w:top w:val="nil"/>
              <w:left w:val="nil"/>
              <w:bottom w:val="single" w:sz="4" w:space="0" w:color="auto"/>
              <w:right w:val="single" w:sz="4" w:space="0" w:color="auto"/>
            </w:tcBorders>
            <w:vAlign w:val="center"/>
          </w:tcPr>
          <w:p w14:paraId="30D85234"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本项目不属于</w:t>
            </w:r>
            <w:r>
              <w:rPr>
                <w:rFonts w:ascii="Times New Roman" w:eastAsia="宋体" w:hAnsi="Times New Roman" w:cs="Times New Roman"/>
                <w:kern w:val="0"/>
                <w:szCs w:val="21"/>
                <w:lang w:val="zh-CN"/>
              </w:rPr>
              <w:t>国家产能置换要求的严重过剩产能行业的项目</w:t>
            </w:r>
          </w:p>
        </w:tc>
        <w:tc>
          <w:tcPr>
            <w:tcW w:w="815" w:type="dxa"/>
            <w:tcBorders>
              <w:top w:val="nil"/>
              <w:left w:val="nil"/>
              <w:bottom w:val="single" w:sz="4" w:space="0" w:color="auto"/>
              <w:right w:val="single" w:sz="4" w:space="0" w:color="auto"/>
            </w:tcBorders>
            <w:vAlign w:val="center"/>
          </w:tcPr>
          <w:p w14:paraId="75D66A8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bl>
    <w:p w14:paraId="500F62F8" w14:textId="77777777" w:rsidR="002133E3" w:rsidRDefault="00C22CFA">
      <w:pPr>
        <w:tabs>
          <w:tab w:val="left" w:pos="3600"/>
        </w:tabs>
        <w:spacing w:line="500" w:lineRule="exac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与《连云港市基于空间控制单元的环境准入制度及负面清单管理办法</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》相符性</w:t>
      </w:r>
    </w:p>
    <w:p w14:paraId="7954B1A3"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对照《连云港市基于空间控制单元的环境准入制度及负面清单管理办法</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》，项目位于文件中划定的一般管控区内，且不在文件划定的负面清单内，能满足我市环境管理要求。具体分析结果见表</w:t>
      </w:r>
      <w:r>
        <w:rPr>
          <w:rFonts w:ascii="Times New Roman" w:eastAsia="宋体" w:hAnsi="Times New Roman" w:cs="Times New Roman"/>
          <w:sz w:val="28"/>
          <w:szCs w:val="28"/>
        </w:rPr>
        <w:t>1.3-9</w:t>
      </w:r>
      <w:r>
        <w:rPr>
          <w:rFonts w:ascii="Times New Roman" w:eastAsia="宋体" w:hAnsi="Times New Roman" w:cs="Times New Roman"/>
          <w:sz w:val="28"/>
          <w:szCs w:val="28"/>
        </w:rPr>
        <w:t>所示。</w:t>
      </w:r>
    </w:p>
    <w:p w14:paraId="412FA97C"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1.3-9 </w:t>
      </w:r>
      <w:r>
        <w:rPr>
          <w:rFonts w:ascii="Times New Roman" w:eastAsia="宋体" w:hAnsi="Times New Roman" w:cs="Times New Roman"/>
          <w:b/>
          <w:szCs w:val="24"/>
        </w:rPr>
        <w:t>与当地负面清单的符合性分析表</w:t>
      </w:r>
    </w:p>
    <w:tbl>
      <w:tblPr>
        <w:tblW w:w="0" w:type="auto"/>
        <w:jc w:val="center"/>
        <w:tblLayout w:type="fixed"/>
        <w:tblLook w:val="04A0" w:firstRow="1" w:lastRow="0" w:firstColumn="1" w:lastColumn="0" w:noHBand="0" w:noVBand="1"/>
      </w:tblPr>
      <w:tblGrid>
        <w:gridCol w:w="761"/>
        <w:gridCol w:w="4820"/>
        <w:gridCol w:w="3402"/>
        <w:gridCol w:w="758"/>
      </w:tblGrid>
      <w:tr w:rsidR="002133E3" w14:paraId="3F85E494" w14:textId="77777777">
        <w:trPr>
          <w:trHeight w:val="270"/>
          <w:jc w:val="center"/>
        </w:trPr>
        <w:tc>
          <w:tcPr>
            <w:tcW w:w="761" w:type="dxa"/>
            <w:tcBorders>
              <w:top w:val="single" w:sz="4" w:space="0" w:color="auto"/>
              <w:left w:val="single" w:sz="4" w:space="0" w:color="auto"/>
              <w:bottom w:val="single" w:sz="4" w:space="0" w:color="auto"/>
              <w:right w:val="single" w:sz="4" w:space="0" w:color="auto"/>
            </w:tcBorders>
            <w:vAlign w:val="center"/>
          </w:tcPr>
          <w:p w14:paraId="5C85C9D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指标设置</w:t>
            </w:r>
          </w:p>
        </w:tc>
        <w:tc>
          <w:tcPr>
            <w:tcW w:w="4820" w:type="dxa"/>
            <w:tcBorders>
              <w:top w:val="single" w:sz="4" w:space="0" w:color="auto"/>
              <w:left w:val="nil"/>
              <w:bottom w:val="single" w:sz="4" w:space="0" w:color="auto"/>
              <w:right w:val="single" w:sz="4" w:space="0" w:color="auto"/>
            </w:tcBorders>
            <w:vAlign w:val="center"/>
          </w:tcPr>
          <w:p w14:paraId="139D4E7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管控内涵</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要求</w:t>
            </w:r>
          </w:p>
        </w:tc>
        <w:tc>
          <w:tcPr>
            <w:tcW w:w="3402" w:type="dxa"/>
            <w:tcBorders>
              <w:top w:val="single" w:sz="4" w:space="0" w:color="auto"/>
              <w:left w:val="nil"/>
              <w:bottom w:val="single" w:sz="4" w:space="0" w:color="auto"/>
              <w:right w:val="single" w:sz="4" w:space="0" w:color="auto"/>
            </w:tcBorders>
            <w:vAlign w:val="center"/>
          </w:tcPr>
          <w:p w14:paraId="14D813C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项目情况</w:t>
            </w:r>
          </w:p>
        </w:tc>
        <w:tc>
          <w:tcPr>
            <w:tcW w:w="758" w:type="dxa"/>
            <w:tcBorders>
              <w:top w:val="single" w:sz="4" w:space="0" w:color="auto"/>
              <w:left w:val="nil"/>
              <w:bottom w:val="single" w:sz="4" w:space="0" w:color="auto"/>
              <w:right w:val="single" w:sz="4" w:space="0" w:color="auto"/>
            </w:tcBorders>
            <w:vAlign w:val="center"/>
          </w:tcPr>
          <w:p w14:paraId="407ABBD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符合性</w:t>
            </w:r>
          </w:p>
        </w:tc>
      </w:tr>
      <w:tr w:rsidR="002133E3" w14:paraId="1C3F4A8E" w14:textId="77777777">
        <w:trPr>
          <w:trHeight w:val="810"/>
          <w:jc w:val="center"/>
        </w:trPr>
        <w:tc>
          <w:tcPr>
            <w:tcW w:w="761" w:type="dxa"/>
            <w:vMerge w:val="restart"/>
            <w:tcBorders>
              <w:top w:val="nil"/>
              <w:left w:val="single" w:sz="4" w:space="0" w:color="auto"/>
              <w:bottom w:val="single" w:sz="4" w:space="0" w:color="auto"/>
              <w:right w:val="single" w:sz="4" w:space="0" w:color="auto"/>
            </w:tcBorders>
            <w:vAlign w:val="center"/>
          </w:tcPr>
          <w:p w14:paraId="0E9ECCB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连云港市基于空间单元的环境准入要求及负面清单管理要求</w:t>
            </w:r>
          </w:p>
        </w:tc>
        <w:tc>
          <w:tcPr>
            <w:tcW w:w="4820" w:type="dxa"/>
            <w:tcBorders>
              <w:top w:val="nil"/>
              <w:left w:val="nil"/>
              <w:bottom w:val="single" w:sz="4" w:space="0" w:color="auto"/>
              <w:right w:val="single" w:sz="4" w:space="0" w:color="auto"/>
            </w:tcBorders>
            <w:vAlign w:val="center"/>
          </w:tcPr>
          <w:p w14:paraId="7D1F94B6"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1)</w:t>
            </w:r>
            <w:r>
              <w:rPr>
                <w:rFonts w:ascii="Times New Roman" w:eastAsia="宋体" w:hAnsi="Times New Roman" w:cs="Times New Roman"/>
                <w:kern w:val="0"/>
                <w:szCs w:val="21"/>
              </w:rPr>
              <w:t>建设项目选址应符合主体功能区划、产业发展规划、城市总体规划、土地利用规划、环境保护规划、生态保护红线等要求。新建有污染物排放的工业项目应按规划进入符合产业定位的工业园区或工业集中区。</w:t>
            </w:r>
          </w:p>
        </w:tc>
        <w:tc>
          <w:tcPr>
            <w:tcW w:w="3402" w:type="dxa"/>
            <w:tcBorders>
              <w:top w:val="nil"/>
              <w:left w:val="nil"/>
              <w:bottom w:val="single" w:sz="4" w:space="0" w:color="auto"/>
              <w:right w:val="single" w:sz="4" w:space="0" w:color="auto"/>
            </w:tcBorders>
            <w:vAlign w:val="center"/>
          </w:tcPr>
          <w:p w14:paraId="3F9918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本项目位于赣榆海州湾生物科技产业园内，项目不在生态红线范围内。</w:t>
            </w:r>
          </w:p>
        </w:tc>
        <w:tc>
          <w:tcPr>
            <w:tcW w:w="758" w:type="dxa"/>
            <w:tcBorders>
              <w:top w:val="nil"/>
              <w:left w:val="nil"/>
              <w:bottom w:val="single" w:sz="4" w:space="0" w:color="auto"/>
              <w:right w:val="single" w:sz="4" w:space="0" w:color="auto"/>
            </w:tcBorders>
            <w:vAlign w:val="center"/>
          </w:tcPr>
          <w:p w14:paraId="6F47456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6E8BD3CC" w14:textId="77777777">
        <w:trPr>
          <w:trHeight w:val="1080"/>
          <w:jc w:val="center"/>
        </w:trPr>
        <w:tc>
          <w:tcPr>
            <w:tcW w:w="761" w:type="dxa"/>
            <w:vMerge/>
            <w:tcBorders>
              <w:top w:val="nil"/>
              <w:left w:val="single" w:sz="4" w:space="0" w:color="auto"/>
              <w:bottom w:val="single" w:sz="4" w:space="0" w:color="auto"/>
              <w:right w:val="single" w:sz="4" w:space="0" w:color="auto"/>
            </w:tcBorders>
            <w:vAlign w:val="center"/>
          </w:tcPr>
          <w:p w14:paraId="431BE90D" w14:textId="77777777" w:rsidR="002133E3" w:rsidRDefault="002133E3">
            <w:pPr>
              <w:widowControl/>
              <w:jc w:val="left"/>
              <w:rPr>
                <w:rFonts w:ascii="Times New Roman" w:eastAsia="宋体" w:hAnsi="Times New Roman" w:cs="Times New Roman"/>
                <w:kern w:val="0"/>
                <w:szCs w:val="21"/>
              </w:rPr>
            </w:pPr>
          </w:p>
        </w:tc>
        <w:tc>
          <w:tcPr>
            <w:tcW w:w="4820" w:type="dxa"/>
            <w:tcBorders>
              <w:top w:val="nil"/>
              <w:left w:val="nil"/>
              <w:bottom w:val="single" w:sz="4" w:space="0" w:color="auto"/>
              <w:right w:val="single" w:sz="4" w:space="0" w:color="auto"/>
            </w:tcBorders>
            <w:vAlign w:val="center"/>
          </w:tcPr>
          <w:p w14:paraId="20C86BCB"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2)</w:t>
            </w:r>
            <w:r>
              <w:rPr>
                <w:rFonts w:ascii="Times New Roman" w:eastAsia="宋体" w:hAnsi="Times New Roman" w:cs="Times New Roman"/>
                <w:kern w:val="0"/>
                <w:szCs w:val="21"/>
              </w:rPr>
              <w:t>依据空间管制红线，实行分级分类管控。禁止开发区域内，禁止一切形式的建设活动。风景名胜区、森林公园、重要湿地、饮用水源保护区、生态公益林、水源涵养区、洪水调蓄区、清水通道维护区、海洋保护区内实行有限准入的原则，严格限制有损主导生态功能的建设活动。</w:t>
            </w:r>
          </w:p>
        </w:tc>
        <w:tc>
          <w:tcPr>
            <w:tcW w:w="3402" w:type="dxa"/>
            <w:tcBorders>
              <w:top w:val="nil"/>
              <w:left w:val="nil"/>
              <w:bottom w:val="single" w:sz="4" w:space="0" w:color="auto"/>
              <w:right w:val="single" w:sz="4" w:space="0" w:color="auto"/>
            </w:tcBorders>
            <w:vAlign w:val="center"/>
          </w:tcPr>
          <w:p w14:paraId="43DC1CF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本项目不在生态红线管控范围内。</w:t>
            </w:r>
          </w:p>
        </w:tc>
        <w:tc>
          <w:tcPr>
            <w:tcW w:w="758" w:type="dxa"/>
            <w:tcBorders>
              <w:top w:val="nil"/>
              <w:left w:val="nil"/>
              <w:bottom w:val="single" w:sz="4" w:space="0" w:color="auto"/>
              <w:right w:val="single" w:sz="4" w:space="0" w:color="auto"/>
            </w:tcBorders>
            <w:vAlign w:val="center"/>
          </w:tcPr>
          <w:p w14:paraId="6E4F2D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4CF7B920" w14:textId="77777777">
        <w:trPr>
          <w:trHeight w:val="1350"/>
          <w:jc w:val="center"/>
        </w:trPr>
        <w:tc>
          <w:tcPr>
            <w:tcW w:w="761" w:type="dxa"/>
            <w:vMerge/>
            <w:tcBorders>
              <w:top w:val="nil"/>
              <w:left w:val="single" w:sz="4" w:space="0" w:color="auto"/>
              <w:bottom w:val="single" w:sz="4" w:space="0" w:color="auto"/>
              <w:right w:val="single" w:sz="4" w:space="0" w:color="auto"/>
            </w:tcBorders>
            <w:vAlign w:val="center"/>
          </w:tcPr>
          <w:p w14:paraId="05492DED" w14:textId="77777777" w:rsidR="002133E3" w:rsidRDefault="002133E3">
            <w:pPr>
              <w:widowControl/>
              <w:jc w:val="left"/>
              <w:rPr>
                <w:rFonts w:ascii="Times New Roman" w:eastAsia="宋体" w:hAnsi="Times New Roman" w:cs="Times New Roman"/>
                <w:kern w:val="0"/>
                <w:szCs w:val="21"/>
              </w:rPr>
            </w:pPr>
          </w:p>
        </w:tc>
        <w:tc>
          <w:tcPr>
            <w:tcW w:w="4820" w:type="dxa"/>
            <w:tcBorders>
              <w:top w:val="nil"/>
              <w:left w:val="nil"/>
              <w:bottom w:val="single" w:sz="4" w:space="0" w:color="auto"/>
              <w:right w:val="single" w:sz="4" w:space="0" w:color="auto"/>
            </w:tcBorders>
            <w:vAlign w:val="center"/>
          </w:tcPr>
          <w:p w14:paraId="63739777"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实施严格的流域准入控制。水环境综合整治区在无法做到增产不增污的情况下，禁止新</w:t>
            </w:r>
            <w:r>
              <w:rPr>
                <w:rFonts w:ascii="Times New Roman" w:eastAsia="宋体" w:hAnsi="Times New Roman" w:cs="Times New Roman"/>
                <w:kern w:val="0"/>
                <w:szCs w:val="21"/>
              </w:rPr>
              <w:t>(</w:t>
            </w:r>
            <w:r>
              <w:rPr>
                <w:rFonts w:ascii="Times New Roman" w:eastAsia="宋体" w:hAnsi="Times New Roman" w:cs="Times New Roman"/>
                <w:kern w:val="0"/>
                <w:szCs w:val="21"/>
              </w:rPr>
              <w:t>扩</w:t>
            </w:r>
            <w:r>
              <w:rPr>
                <w:rFonts w:ascii="Times New Roman" w:eastAsia="宋体" w:hAnsi="Times New Roman" w:cs="Times New Roman"/>
                <w:kern w:val="0"/>
                <w:szCs w:val="21"/>
              </w:rPr>
              <w:t>)</w:t>
            </w:r>
            <w:r>
              <w:rPr>
                <w:rFonts w:ascii="Times New Roman" w:eastAsia="宋体" w:hAnsi="Times New Roman" w:cs="Times New Roman"/>
                <w:kern w:val="0"/>
                <w:szCs w:val="21"/>
              </w:rPr>
              <w:t>建造纸、焦化、氮肥、有色金属、印染、农副食品加工、原料药制造、制革、农药、电镀等水污染重的项目，禁止建设排放含汞、砷、镉、铬、铅等重金属污染物以及持久性有机污染物的工业项目。</w:t>
            </w:r>
          </w:p>
        </w:tc>
        <w:tc>
          <w:tcPr>
            <w:tcW w:w="3402" w:type="dxa"/>
            <w:tcBorders>
              <w:top w:val="nil"/>
              <w:left w:val="nil"/>
              <w:bottom w:val="single" w:sz="4" w:space="0" w:color="auto"/>
              <w:right w:val="single" w:sz="4" w:space="0" w:color="auto"/>
            </w:tcBorders>
            <w:vAlign w:val="center"/>
          </w:tcPr>
          <w:p w14:paraId="64869D2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本项目酒精制造的技改项目不涉及新</w:t>
            </w:r>
            <w:r>
              <w:rPr>
                <w:rFonts w:ascii="Times New Roman" w:eastAsia="宋体" w:hAnsi="Times New Roman" w:cs="Times New Roman"/>
                <w:kern w:val="0"/>
                <w:szCs w:val="21"/>
              </w:rPr>
              <w:t>(</w:t>
            </w:r>
            <w:r>
              <w:rPr>
                <w:rFonts w:ascii="Times New Roman" w:eastAsia="宋体" w:hAnsi="Times New Roman" w:cs="Times New Roman"/>
                <w:kern w:val="0"/>
                <w:szCs w:val="21"/>
              </w:rPr>
              <w:t>扩</w:t>
            </w:r>
            <w:r>
              <w:rPr>
                <w:rFonts w:ascii="Times New Roman" w:eastAsia="宋体" w:hAnsi="Times New Roman" w:cs="Times New Roman"/>
                <w:kern w:val="0"/>
                <w:szCs w:val="21"/>
              </w:rPr>
              <w:t>)</w:t>
            </w:r>
            <w:r>
              <w:rPr>
                <w:rFonts w:ascii="Times New Roman" w:eastAsia="宋体" w:hAnsi="Times New Roman" w:cs="Times New Roman"/>
                <w:kern w:val="0"/>
                <w:szCs w:val="21"/>
              </w:rPr>
              <w:t>建。</w:t>
            </w:r>
          </w:p>
        </w:tc>
        <w:tc>
          <w:tcPr>
            <w:tcW w:w="758" w:type="dxa"/>
            <w:tcBorders>
              <w:top w:val="nil"/>
              <w:left w:val="nil"/>
              <w:bottom w:val="single" w:sz="4" w:space="0" w:color="auto"/>
              <w:right w:val="single" w:sz="4" w:space="0" w:color="auto"/>
            </w:tcBorders>
            <w:vAlign w:val="center"/>
          </w:tcPr>
          <w:p w14:paraId="1B48A53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4D324E46" w14:textId="77777777">
        <w:trPr>
          <w:trHeight w:val="810"/>
          <w:jc w:val="center"/>
        </w:trPr>
        <w:tc>
          <w:tcPr>
            <w:tcW w:w="761" w:type="dxa"/>
            <w:vMerge/>
            <w:tcBorders>
              <w:top w:val="nil"/>
              <w:left w:val="single" w:sz="4" w:space="0" w:color="auto"/>
              <w:bottom w:val="single" w:sz="4" w:space="0" w:color="auto"/>
              <w:right w:val="single" w:sz="4" w:space="0" w:color="auto"/>
            </w:tcBorders>
            <w:vAlign w:val="center"/>
          </w:tcPr>
          <w:p w14:paraId="5685E1A8" w14:textId="77777777" w:rsidR="002133E3" w:rsidRDefault="002133E3">
            <w:pPr>
              <w:widowControl/>
              <w:jc w:val="left"/>
              <w:rPr>
                <w:rFonts w:ascii="Times New Roman" w:eastAsia="宋体" w:hAnsi="Times New Roman" w:cs="Times New Roman"/>
                <w:kern w:val="0"/>
                <w:szCs w:val="21"/>
              </w:rPr>
            </w:pPr>
          </w:p>
        </w:tc>
        <w:tc>
          <w:tcPr>
            <w:tcW w:w="4820" w:type="dxa"/>
            <w:tcBorders>
              <w:top w:val="nil"/>
              <w:left w:val="nil"/>
              <w:bottom w:val="single" w:sz="4" w:space="0" w:color="auto"/>
              <w:right w:val="single" w:sz="4" w:space="0" w:color="auto"/>
            </w:tcBorders>
            <w:vAlign w:val="center"/>
          </w:tcPr>
          <w:p w14:paraId="692ECC7C"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严控大气污染项目，落实禁燃区要求。大气环境质量红线区禁止新</w:t>
            </w:r>
            <w:r>
              <w:rPr>
                <w:rFonts w:ascii="Times New Roman" w:eastAsia="宋体" w:hAnsi="Times New Roman" w:cs="Times New Roman"/>
                <w:kern w:val="0"/>
                <w:szCs w:val="21"/>
              </w:rPr>
              <w:t>(</w:t>
            </w:r>
            <w:r>
              <w:rPr>
                <w:rFonts w:ascii="Times New Roman" w:eastAsia="宋体" w:hAnsi="Times New Roman" w:cs="Times New Roman"/>
                <w:kern w:val="0"/>
                <w:szCs w:val="21"/>
              </w:rPr>
              <w:t>扩</w:t>
            </w:r>
            <w:r>
              <w:rPr>
                <w:rFonts w:ascii="Times New Roman" w:eastAsia="宋体" w:hAnsi="Times New Roman" w:cs="Times New Roman"/>
                <w:kern w:val="0"/>
                <w:szCs w:val="21"/>
              </w:rPr>
              <w:t>)</w:t>
            </w:r>
            <w:r>
              <w:rPr>
                <w:rFonts w:ascii="Times New Roman" w:eastAsia="宋体" w:hAnsi="Times New Roman" w:cs="Times New Roman"/>
                <w:kern w:val="0"/>
                <w:szCs w:val="21"/>
              </w:rPr>
              <w:t>建大气污染严重的火电、冶炼、水泥项目以及燃煤锅炉。禁燃区禁止销售、使用一切高污染燃料项目。</w:t>
            </w:r>
          </w:p>
        </w:tc>
        <w:tc>
          <w:tcPr>
            <w:tcW w:w="3402" w:type="dxa"/>
            <w:tcBorders>
              <w:top w:val="nil"/>
              <w:left w:val="nil"/>
              <w:bottom w:val="single" w:sz="4" w:space="0" w:color="auto"/>
              <w:right w:val="single" w:sz="4" w:space="0" w:color="auto"/>
            </w:tcBorders>
            <w:vAlign w:val="center"/>
          </w:tcPr>
          <w:p w14:paraId="4367A4D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本项目不属于火电、冶炼、水泥项目，本项目涉及的车辆及装卸机械燃烧柴油均为轻柴油。</w:t>
            </w:r>
          </w:p>
        </w:tc>
        <w:tc>
          <w:tcPr>
            <w:tcW w:w="758" w:type="dxa"/>
            <w:tcBorders>
              <w:top w:val="nil"/>
              <w:left w:val="nil"/>
              <w:bottom w:val="single" w:sz="4" w:space="0" w:color="auto"/>
              <w:right w:val="single" w:sz="4" w:space="0" w:color="auto"/>
            </w:tcBorders>
            <w:vAlign w:val="center"/>
          </w:tcPr>
          <w:p w14:paraId="7A2A8B6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1B9B2DCB" w14:textId="77777777">
        <w:trPr>
          <w:trHeight w:val="270"/>
          <w:jc w:val="center"/>
        </w:trPr>
        <w:tc>
          <w:tcPr>
            <w:tcW w:w="761" w:type="dxa"/>
            <w:vMerge/>
            <w:tcBorders>
              <w:top w:val="nil"/>
              <w:left w:val="single" w:sz="4" w:space="0" w:color="auto"/>
              <w:bottom w:val="single" w:sz="4" w:space="0" w:color="auto"/>
              <w:right w:val="single" w:sz="4" w:space="0" w:color="auto"/>
            </w:tcBorders>
            <w:vAlign w:val="center"/>
          </w:tcPr>
          <w:p w14:paraId="1DF1B045" w14:textId="77777777" w:rsidR="002133E3" w:rsidRDefault="002133E3">
            <w:pPr>
              <w:widowControl/>
              <w:jc w:val="left"/>
              <w:rPr>
                <w:rFonts w:ascii="Times New Roman" w:eastAsia="宋体" w:hAnsi="Times New Roman" w:cs="Times New Roman"/>
                <w:kern w:val="0"/>
                <w:szCs w:val="21"/>
              </w:rPr>
            </w:pPr>
          </w:p>
        </w:tc>
        <w:tc>
          <w:tcPr>
            <w:tcW w:w="4820" w:type="dxa"/>
            <w:tcBorders>
              <w:top w:val="nil"/>
              <w:left w:val="nil"/>
              <w:bottom w:val="single" w:sz="4" w:space="0" w:color="auto"/>
              <w:right w:val="single" w:sz="4" w:space="0" w:color="auto"/>
            </w:tcBorders>
            <w:vAlign w:val="center"/>
          </w:tcPr>
          <w:p w14:paraId="5C03FC90"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5)</w:t>
            </w:r>
            <w:r>
              <w:rPr>
                <w:rFonts w:ascii="Times New Roman" w:eastAsia="宋体" w:hAnsi="Times New Roman" w:cs="Times New Roman"/>
                <w:kern w:val="0"/>
                <w:szCs w:val="21"/>
              </w:rPr>
              <w:t>人居安全保障区禁止新</w:t>
            </w:r>
            <w:r>
              <w:rPr>
                <w:rFonts w:ascii="Times New Roman" w:eastAsia="宋体" w:hAnsi="Times New Roman" w:cs="Times New Roman"/>
                <w:kern w:val="0"/>
                <w:szCs w:val="21"/>
              </w:rPr>
              <w:t>(</w:t>
            </w:r>
            <w:r>
              <w:rPr>
                <w:rFonts w:ascii="Times New Roman" w:eastAsia="宋体" w:hAnsi="Times New Roman" w:cs="Times New Roman"/>
                <w:kern w:val="0"/>
                <w:szCs w:val="21"/>
              </w:rPr>
              <w:t>扩</w:t>
            </w:r>
            <w:r>
              <w:rPr>
                <w:rFonts w:ascii="Times New Roman" w:eastAsia="宋体" w:hAnsi="Times New Roman" w:cs="Times New Roman"/>
                <w:kern w:val="0"/>
                <w:szCs w:val="21"/>
              </w:rPr>
              <w:t>)</w:t>
            </w:r>
            <w:r>
              <w:rPr>
                <w:rFonts w:ascii="Times New Roman" w:eastAsia="宋体" w:hAnsi="Times New Roman" w:cs="Times New Roman"/>
                <w:kern w:val="0"/>
                <w:szCs w:val="21"/>
              </w:rPr>
              <w:t>建存在重大环境安全隐患的工业项目。</w:t>
            </w:r>
          </w:p>
        </w:tc>
        <w:tc>
          <w:tcPr>
            <w:tcW w:w="3402" w:type="dxa"/>
            <w:tcBorders>
              <w:top w:val="nil"/>
              <w:left w:val="nil"/>
              <w:bottom w:val="single" w:sz="4" w:space="0" w:color="auto"/>
              <w:right w:val="single" w:sz="4" w:space="0" w:color="auto"/>
            </w:tcBorders>
            <w:vAlign w:val="center"/>
          </w:tcPr>
          <w:p w14:paraId="1FFD14A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建设项目不存在重大环境安全隐患</w:t>
            </w:r>
          </w:p>
        </w:tc>
        <w:tc>
          <w:tcPr>
            <w:tcW w:w="758" w:type="dxa"/>
            <w:tcBorders>
              <w:top w:val="nil"/>
              <w:left w:val="nil"/>
              <w:bottom w:val="single" w:sz="4" w:space="0" w:color="auto"/>
              <w:right w:val="single" w:sz="4" w:space="0" w:color="auto"/>
            </w:tcBorders>
            <w:vAlign w:val="center"/>
          </w:tcPr>
          <w:p w14:paraId="4B0F0E0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290FDA63" w14:textId="77777777">
        <w:trPr>
          <w:trHeight w:val="1350"/>
          <w:jc w:val="center"/>
        </w:trPr>
        <w:tc>
          <w:tcPr>
            <w:tcW w:w="761" w:type="dxa"/>
            <w:vMerge/>
            <w:tcBorders>
              <w:top w:val="nil"/>
              <w:left w:val="single" w:sz="4" w:space="0" w:color="auto"/>
              <w:bottom w:val="single" w:sz="4" w:space="0" w:color="auto"/>
              <w:right w:val="single" w:sz="4" w:space="0" w:color="auto"/>
            </w:tcBorders>
            <w:vAlign w:val="center"/>
          </w:tcPr>
          <w:p w14:paraId="2B387E25" w14:textId="77777777" w:rsidR="002133E3" w:rsidRDefault="002133E3">
            <w:pPr>
              <w:widowControl/>
              <w:jc w:val="left"/>
              <w:rPr>
                <w:rFonts w:ascii="Times New Roman" w:eastAsia="宋体" w:hAnsi="Times New Roman" w:cs="Times New Roman"/>
                <w:kern w:val="0"/>
                <w:szCs w:val="21"/>
              </w:rPr>
            </w:pPr>
          </w:p>
        </w:tc>
        <w:tc>
          <w:tcPr>
            <w:tcW w:w="4820" w:type="dxa"/>
            <w:tcBorders>
              <w:top w:val="nil"/>
              <w:left w:val="nil"/>
              <w:bottom w:val="single" w:sz="4" w:space="0" w:color="auto"/>
              <w:right w:val="single" w:sz="4" w:space="0" w:color="auto"/>
            </w:tcBorders>
            <w:vAlign w:val="center"/>
          </w:tcPr>
          <w:p w14:paraId="314C0A2A"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工业项目应符合产业政策，不得采用国家、省和本市淘汰的或禁止使用的工艺、技术和设备，不得建设生产工艺或污染防治技术不成熟的项目；限制列入环境保护综合名录</w:t>
            </w:r>
            <w:r>
              <w:rPr>
                <w:rFonts w:ascii="Times New Roman" w:eastAsia="宋体" w:hAnsi="Times New Roman" w:cs="Times New Roman"/>
                <w:kern w:val="0"/>
                <w:szCs w:val="21"/>
              </w:rPr>
              <w:t>(2015</w:t>
            </w:r>
            <w:r>
              <w:rPr>
                <w:rFonts w:ascii="Times New Roman" w:eastAsia="宋体" w:hAnsi="Times New Roman" w:cs="Times New Roman"/>
                <w:kern w:val="0"/>
                <w:szCs w:val="21"/>
              </w:rPr>
              <w:t>年版</w:t>
            </w:r>
            <w:r>
              <w:rPr>
                <w:rFonts w:ascii="Times New Roman" w:eastAsia="宋体" w:hAnsi="Times New Roman" w:cs="Times New Roman"/>
                <w:kern w:val="0"/>
                <w:szCs w:val="21"/>
              </w:rPr>
              <w:t>)</w:t>
            </w:r>
            <w:r>
              <w:rPr>
                <w:rFonts w:ascii="Times New Roman" w:eastAsia="宋体" w:hAnsi="Times New Roman" w:cs="Times New Roman"/>
                <w:kern w:val="0"/>
                <w:szCs w:val="21"/>
              </w:rPr>
              <w:t>的高污染、高环境风险产品的生产。</w:t>
            </w:r>
          </w:p>
        </w:tc>
        <w:tc>
          <w:tcPr>
            <w:tcW w:w="3402" w:type="dxa"/>
            <w:tcBorders>
              <w:top w:val="nil"/>
              <w:left w:val="nil"/>
              <w:bottom w:val="single" w:sz="4" w:space="0" w:color="auto"/>
              <w:right w:val="single" w:sz="4" w:space="0" w:color="auto"/>
            </w:tcBorders>
            <w:vAlign w:val="center"/>
          </w:tcPr>
          <w:p w14:paraId="4D2EB3F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本项目已通过连云港市发展改革委备案，不采用国家、省和本市淘汰的或禁止使用的工艺、技术和设备，项目生产工艺成熟，污染防治技术可靠；项目不属于环境保护综合名录</w:t>
            </w:r>
            <w:r>
              <w:rPr>
                <w:rFonts w:ascii="Times New Roman" w:eastAsia="宋体" w:hAnsi="Times New Roman" w:cs="Times New Roman"/>
                <w:kern w:val="0"/>
                <w:szCs w:val="21"/>
              </w:rPr>
              <w:t>(2018</w:t>
            </w:r>
            <w:r>
              <w:rPr>
                <w:rFonts w:ascii="Times New Roman" w:eastAsia="宋体" w:hAnsi="Times New Roman" w:cs="Times New Roman"/>
                <w:kern w:val="0"/>
                <w:szCs w:val="21"/>
              </w:rPr>
              <w:t>年版</w:t>
            </w:r>
            <w:r>
              <w:rPr>
                <w:rFonts w:ascii="Times New Roman" w:eastAsia="宋体" w:hAnsi="Times New Roman" w:cs="Times New Roman"/>
                <w:kern w:val="0"/>
                <w:szCs w:val="21"/>
              </w:rPr>
              <w:t>)</w:t>
            </w:r>
            <w:r>
              <w:rPr>
                <w:rFonts w:ascii="Times New Roman" w:eastAsia="宋体" w:hAnsi="Times New Roman" w:cs="Times New Roman"/>
                <w:kern w:val="0"/>
                <w:szCs w:val="21"/>
              </w:rPr>
              <w:t>中的高污染、高环境风险产品。</w:t>
            </w:r>
          </w:p>
        </w:tc>
        <w:tc>
          <w:tcPr>
            <w:tcW w:w="758" w:type="dxa"/>
            <w:tcBorders>
              <w:top w:val="nil"/>
              <w:left w:val="nil"/>
              <w:bottom w:val="single" w:sz="4" w:space="0" w:color="auto"/>
              <w:right w:val="single" w:sz="4" w:space="0" w:color="auto"/>
            </w:tcBorders>
            <w:vAlign w:val="center"/>
          </w:tcPr>
          <w:p w14:paraId="13BBDCB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6719FA10" w14:textId="77777777">
        <w:trPr>
          <w:trHeight w:val="1350"/>
          <w:jc w:val="center"/>
        </w:trPr>
        <w:tc>
          <w:tcPr>
            <w:tcW w:w="761" w:type="dxa"/>
            <w:vMerge/>
            <w:tcBorders>
              <w:top w:val="nil"/>
              <w:left w:val="single" w:sz="4" w:space="0" w:color="auto"/>
              <w:bottom w:val="single" w:sz="4" w:space="0" w:color="auto"/>
              <w:right w:val="single" w:sz="4" w:space="0" w:color="auto"/>
            </w:tcBorders>
            <w:vAlign w:val="center"/>
          </w:tcPr>
          <w:p w14:paraId="6039C362" w14:textId="77777777" w:rsidR="002133E3" w:rsidRDefault="002133E3">
            <w:pPr>
              <w:widowControl/>
              <w:jc w:val="left"/>
              <w:rPr>
                <w:rFonts w:ascii="Times New Roman" w:eastAsia="宋体" w:hAnsi="Times New Roman" w:cs="Times New Roman"/>
                <w:kern w:val="0"/>
                <w:szCs w:val="21"/>
              </w:rPr>
            </w:pPr>
          </w:p>
        </w:tc>
        <w:tc>
          <w:tcPr>
            <w:tcW w:w="4820" w:type="dxa"/>
            <w:tcBorders>
              <w:top w:val="nil"/>
              <w:left w:val="nil"/>
              <w:bottom w:val="single" w:sz="4" w:space="0" w:color="auto"/>
              <w:right w:val="single" w:sz="4" w:space="0" w:color="auto"/>
            </w:tcBorders>
            <w:vAlign w:val="center"/>
          </w:tcPr>
          <w:p w14:paraId="23096204"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7)</w:t>
            </w:r>
            <w:r>
              <w:rPr>
                <w:rFonts w:ascii="Times New Roman" w:eastAsia="宋体" w:hAnsi="Times New Roman" w:cs="Times New Roman"/>
                <w:kern w:val="0"/>
                <w:szCs w:val="21"/>
              </w:rPr>
              <w:t>工业项目排放污染物必须达到国家和地方规定的污染物排放标准，新建企业生产技术和工艺、水耗、能耗、物耗、产排污情况及环境管理等方面应达到国内先进水平</w:t>
            </w:r>
            <w:r>
              <w:rPr>
                <w:rFonts w:ascii="Times New Roman" w:eastAsia="宋体" w:hAnsi="Times New Roman" w:cs="Times New Roman"/>
                <w:kern w:val="0"/>
                <w:szCs w:val="21"/>
              </w:rPr>
              <w:t>(</w:t>
            </w:r>
            <w:r>
              <w:rPr>
                <w:rFonts w:ascii="Times New Roman" w:eastAsia="宋体" w:hAnsi="Times New Roman" w:cs="Times New Roman"/>
                <w:kern w:val="0"/>
                <w:szCs w:val="21"/>
              </w:rPr>
              <w:t>有清洁生产标准的不得低于国内清洁生产先进水平，有国家效率指南的执行国家先进</w:t>
            </w:r>
            <w:r>
              <w:rPr>
                <w:rFonts w:ascii="Times New Roman" w:eastAsia="宋体" w:hAnsi="Times New Roman" w:cs="Times New Roman"/>
                <w:kern w:val="0"/>
                <w:szCs w:val="21"/>
              </w:rPr>
              <w:t>/</w:t>
            </w:r>
            <w:r>
              <w:rPr>
                <w:rFonts w:ascii="Times New Roman" w:eastAsia="宋体" w:hAnsi="Times New Roman" w:cs="Times New Roman"/>
                <w:kern w:val="0"/>
                <w:szCs w:val="21"/>
              </w:rPr>
              <w:t>标杆水平</w:t>
            </w:r>
            <w:r>
              <w:rPr>
                <w:rFonts w:ascii="Times New Roman" w:eastAsia="宋体" w:hAnsi="Times New Roman" w:cs="Times New Roman"/>
                <w:kern w:val="0"/>
                <w:szCs w:val="21"/>
              </w:rPr>
              <w:t>)</w:t>
            </w:r>
            <w:r>
              <w:rPr>
                <w:rFonts w:ascii="Times New Roman" w:eastAsia="宋体" w:hAnsi="Times New Roman" w:cs="Times New Roman"/>
                <w:kern w:val="0"/>
                <w:szCs w:val="21"/>
              </w:rPr>
              <w:t>，扩建、改建的工业项目清洁生产水平不得低于国家清洁生产先进水平。</w:t>
            </w:r>
          </w:p>
        </w:tc>
        <w:tc>
          <w:tcPr>
            <w:tcW w:w="3402" w:type="dxa"/>
            <w:tcBorders>
              <w:top w:val="nil"/>
              <w:left w:val="nil"/>
              <w:bottom w:val="single" w:sz="4" w:space="0" w:color="auto"/>
              <w:right w:val="single" w:sz="4" w:space="0" w:color="auto"/>
            </w:tcBorders>
            <w:vAlign w:val="center"/>
          </w:tcPr>
          <w:p w14:paraId="3A01FE0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项目排放污染物均达到国家和地方规定的污染物排放标准，企业生产技术和工艺、水耗、能耗、物耗、产排污情况及环境管理等方面均达到国内先进水平。</w:t>
            </w:r>
          </w:p>
        </w:tc>
        <w:tc>
          <w:tcPr>
            <w:tcW w:w="758" w:type="dxa"/>
            <w:tcBorders>
              <w:top w:val="nil"/>
              <w:left w:val="nil"/>
              <w:bottom w:val="single" w:sz="4" w:space="0" w:color="auto"/>
              <w:right w:val="single" w:sz="4" w:space="0" w:color="auto"/>
            </w:tcBorders>
            <w:vAlign w:val="center"/>
          </w:tcPr>
          <w:p w14:paraId="797A624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2133E3" w14:paraId="1CD8749E" w14:textId="77777777">
        <w:trPr>
          <w:trHeight w:val="810"/>
          <w:jc w:val="center"/>
        </w:trPr>
        <w:tc>
          <w:tcPr>
            <w:tcW w:w="761" w:type="dxa"/>
            <w:vMerge/>
            <w:tcBorders>
              <w:top w:val="nil"/>
              <w:left w:val="single" w:sz="4" w:space="0" w:color="auto"/>
              <w:bottom w:val="single" w:sz="4" w:space="0" w:color="auto"/>
              <w:right w:val="single" w:sz="4" w:space="0" w:color="auto"/>
            </w:tcBorders>
            <w:vAlign w:val="center"/>
          </w:tcPr>
          <w:p w14:paraId="6A9B2CC6" w14:textId="77777777" w:rsidR="002133E3" w:rsidRDefault="002133E3">
            <w:pPr>
              <w:widowControl/>
              <w:jc w:val="left"/>
              <w:rPr>
                <w:rFonts w:ascii="Times New Roman" w:eastAsia="宋体" w:hAnsi="Times New Roman" w:cs="Times New Roman"/>
                <w:kern w:val="0"/>
                <w:szCs w:val="21"/>
              </w:rPr>
            </w:pPr>
          </w:p>
        </w:tc>
        <w:tc>
          <w:tcPr>
            <w:tcW w:w="4820" w:type="dxa"/>
            <w:tcBorders>
              <w:top w:val="nil"/>
              <w:left w:val="nil"/>
              <w:bottom w:val="single" w:sz="4" w:space="0" w:color="auto"/>
              <w:right w:val="single" w:sz="4" w:space="0" w:color="auto"/>
            </w:tcBorders>
            <w:vAlign w:val="center"/>
          </w:tcPr>
          <w:p w14:paraId="5E119686"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9)</w:t>
            </w:r>
            <w:r>
              <w:rPr>
                <w:rFonts w:ascii="Times New Roman" w:eastAsia="宋体" w:hAnsi="Times New Roman" w:cs="Times New Roman"/>
                <w:kern w:val="0"/>
                <w:szCs w:val="21"/>
              </w:rPr>
              <w:t>工业项目选址区域应有相应的环境容量，未按要求完成污染物总量削减任务的区域和流域，不得建设新增相应污染物排放量的工业项目。</w:t>
            </w:r>
          </w:p>
        </w:tc>
        <w:tc>
          <w:tcPr>
            <w:tcW w:w="3402" w:type="dxa"/>
            <w:tcBorders>
              <w:top w:val="nil"/>
              <w:left w:val="nil"/>
              <w:bottom w:val="single" w:sz="4" w:space="0" w:color="auto"/>
              <w:right w:val="single" w:sz="4" w:space="0" w:color="auto"/>
            </w:tcBorders>
            <w:vAlign w:val="center"/>
          </w:tcPr>
          <w:p w14:paraId="63C870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本项目污染物排放量较小，且各污染物均能达标排放，不会降低区域的环境功能类别，项目的建设在连云港区环境容量范围内。</w:t>
            </w:r>
          </w:p>
        </w:tc>
        <w:tc>
          <w:tcPr>
            <w:tcW w:w="758" w:type="dxa"/>
            <w:tcBorders>
              <w:top w:val="nil"/>
              <w:left w:val="nil"/>
              <w:bottom w:val="single" w:sz="4" w:space="0" w:color="auto"/>
              <w:right w:val="single" w:sz="4" w:space="0" w:color="auto"/>
            </w:tcBorders>
            <w:vAlign w:val="center"/>
          </w:tcPr>
          <w:p w14:paraId="1B8D754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bl>
    <w:p w14:paraId="36FE8CBE" w14:textId="77777777" w:rsidR="002133E3" w:rsidRDefault="00C22CFA">
      <w:pPr>
        <w:tabs>
          <w:tab w:val="left" w:pos="3600"/>
        </w:tabs>
        <w:spacing w:line="500" w:lineRule="atLeast"/>
        <w:ind w:firstLineChars="200" w:firstLine="560"/>
        <w:outlineLvl w:val="4"/>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与《赣榆海州湾生物科技园规划环境影响报告书》中准入条件及负面清单相符性</w:t>
      </w:r>
    </w:p>
    <w:p w14:paraId="5E6A2977" w14:textId="77777777" w:rsidR="002133E3" w:rsidRDefault="00C22CFA">
      <w:pPr>
        <w:topLinePunct/>
        <w:adjustRightInd w:val="0"/>
        <w:snapToGrid w:val="0"/>
        <w:spacing w:line="500" w:lineRule="atLeast"/>
        <w:ind w:rightChars="-42" w:right="-88"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本项目位于赣榆海州湾生物科技园内，酒精制造的技改项目，本项目建成后酒精生产能力维持不变。园区准入负面清单见表</w:t>
      </w:r>
      <w:r>
        <w:rPr>
          <w:rFonts w:ascii="Times New Roman" w:eastAsia="宋体" w:hAnsi="Times New Roman" w:cs="Times New Roman"/>
          <w:sz w:val="28"/>
          <w:szCs w:val="24"/>
        </w:rPr>
        <w:t>1.3-10</w:t>
      </w:r>
      <w:r>
        <w:rPr>
          <w:rFonts w:ascii="Times New Roman" w:eastAsia="宋体" w:hAnsi="Times New Roman" w:cs="Times New Roman"/>
          <w:sz w:val="28"/>
          <w:szCs w:val="24"/>
        </w:rPr>
        <w:t>。</w:t>
      </w:r>
    </w:p>
    <w:p w14:paraId="29C5AF45" w14:textId="77777777" w:rsidR="002133E3" w:rsidRDefault="00C22CFA">
      <w:pPr>
        <w:widowControl/>
        <w:adjustRightInd w:val="0"/>
        <w:snapToGrid w:val="0"/>
        <w:spacing w:line="500" w:lineRule="atLeast"/>
        <w:jc w:val="center"/>
        <w:rPr>
          <w:rFonts w:ascii="Times New Roman" w:eastAsia="宋体" w:hAnsi="Times New Roman" w:cs="Times New Roman"/>
          <w:b/>
          <w:bCs/>
          <w:sz w:val="24"/>
          <w:szCs w:val="20"/>
          <w:lang w:val="zh-CN"/>
        </w:rPr>
      </w:pPr>
      <w:r>
        <w:rPr>
          <w:rFonts w:ascii="Times New Roman" w:eastAsia="宋体" w:hAnsi="Times New Roman" w:cs="Times New Roman"/>
          <w:b/>
          <w:bCs/>
          <w:sz w:val="24"/>
          <w:szCs w:val="20"/>
          <w:lang w:val="zh-CN"/>
        </w:rPr>
        <w:t>表</w:t>
      </w:r>
      <w:r>
        <w:rPr>
          <w:rFonts w:ascii="Times New Roman" w:eastAsia="宋体" w:hAnsi="Times New Roman" w:cs="Times New Roman"/>
          <w:b/>
          <w:bCs/>
          <w:sz w:val="24"/>
          <w:szCs w:val="20"/>
          <w:lang w:val="zh-CN"/>
        </w:rPr>
        <w:t xml:space="preserve">1.3-10  </w:t>
      </w:r>
      <w:r>
        <w:rPr>
          <w:rFonts w:ascii="Times New Roman" w:eastAsia="宋体" w:hAnsi="Times New Roman" w:cs="Times New Roman"/>
          <w:b/>
          <w:bCs/>
          <w:sz w:val="24"/>
          <w:szCs w:val="20"/>
          <w:lang w:val="zh-CN"/>
        </w:rPr>
        <w:t>环境准入负面清单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561"/>
        <w:gridCol w:w="991"/>
        <w:gridCol w:w="6344"/>
      </w:tblGrid>
      <w:tr w:rsidR="002133E3" w14:paraId="12C2E98F" w14:textId="77777777">
        <w:trPr>
          <w:trHeight w:val="284"/>
          <w:jc w:val="center"/>
        </w:trPr>
        <w:tc>
          <w:tcPr>
            <w:tcW w:w="486" w:type="pct"/>
            <w:vAlign w:val="center"/>
          </w:tcPr>
          <w:p w14:paraId="1FE1B945" w14:textId="77777777" w:rsidR="002133E3" w:rsidRDefault="00C22CFA">
            <w:pPr>
              <w:autoSpaceDE w:val="0"/>
              <w:autoSpaceDN w:val="0"/>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类别</w:t>
            </w:r>
          </w:p>
        </w:tc>
        <w:tc>
          <w:tcPr>
            <w:tcW w:w="4514" w:type="pct"/>
            <w:gridSpan w:val="3"/>
            <w:vAlign w:val="center"/>
          </w:tcPr>
          <w:p w14:paraId="318D3F52" w14:textId="77777777" w:rsidR="002133E3" w:rsidRDefault="00C22CFA">
            <w:pPr>
              <w:autoSpaceDE w:val="0"/>
              <w:autoSpaceDN w:val="0"/>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具体内容</w:t>
            </w:r>
          </w:p>
        </w:tc>
      </w:tr>
      <w:tr w:rsidR="002133E3" w14:paraId="1A1113F9" w14:textId="77777777">
        <w:trPr>
          <w:trHeight w:val="284"/>
          <w:jc w:val="center"/>
        </w:trPr>
        <w:tc>
          <w:tcPr>
            <w:tcW w:w="486" w:type="pct"/>
            <w:vMerge w:val="restart"/>
            <w:vAlign w:val="center"/>
          </w:tcPr>
          <w:p w14:paraId="5A86D256"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禁止引入产业</w:t>
            </w:r>
          </w:p>
        </w:tc>
        <w:tc>
          <w:tcPr>
            <w:tcW w:w="1295" w:type="pct"/>
            <w:gridSpan w:val="2"/>
            <w:vMerge w:val="restart"/>
            <w:vAlign w:val="center"/>
          </w:tcPr>
          <w:p w14:paraId="014020B6"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机电加工、装备制造产业</w:t>
            </w:r>
          </w:p>
        </w:tc>
        <w:tc>
          <w:tcPr>
            <w:tcW w:w="3219" w:type="pct"/>
            <w:vAlign w:val="center"/>
          </w:tcPr>
          <w:p w14:paraId="14339613"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含电镀工序的新型电子元器件和机械加工项目以外的其他电镀产业</w:t>
            </w:r>
          </w:p>
        </w:tc>
      </w:tr>
      <w:tr w:rsidR="002133E3" w14:paraId="62B8953E" w14:textId="77777777">
        <w:trPr>
          <w:trHeight w:val="284"/>
          <w:jc w:val="center"/>
        </w:trPr>
        <w:tc>
          <w:tcPr>
            <w:tcW w:w="486" w:type="pct"/>
            <w:vMerge/>
            <w:vAlign w:val="center"/>
          </w:tcPr>
          <w:p w14:paraId="1C37F7DC"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1295" w:type="pct"/>
            <w:gridSpan w:val="2"/>
            <w:vMerge/>
            <w:vAlign w:val="center"/>
          </w:tcPr>
          <w:p w14:paraId="2A2C7E30" w14:textId="77777777" w:rsidR="002133E3" w:rsidRDefault="002133E3">
            <w:pPr>
              <w:autoSpaceDE w:val="0"/>
              <w:autoSpaceDN w:val="0"/>
              <w:adjustRightInd w:val="0"/>
              <w:snapToGrid w:val="0"/>
              <w:jc w:val="left"/>
              <w:rPr>
                <w:rFonts w:ascii="Times New Roman" w:eastAsia="宋体" w:hAnsi="Times New Roman" w:cs="Times New Roman"/>
                <w:kern w:val="0"/>
                <w:szCs w:val="21"/>
              </w:rPr>
            </w:pPr>
          </w:p>
        </w:tc>
        <w:tc>
          <w:tcPr>
            <w:tcW w:w="3219" w:type="pct"/>
            <w:vAlign w:val="center"/>
          </w:tcPr>
          <w:p w14:paraId="07F1CFAB"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喷漆涂料使用油性漆；</w:t>
            </w:r>
          </w:p>
        </w:tc>
      </w:tr>
      <w:tr w:rsidR="002133E3" w14:paraId="4773044D" w14:textId="77777777">
        <w:trPr>
          <w:trHeight w:val="284"/>
          <w:jc w:val="center"/>
        </w:trPr>
        <w:tc>
          <w:tcPr>
            <w:tcW w:w="486" w:type="pct"/>
            <w:vMerge/>
            <w:vAlign w:val="center"/>
          </w:tcPr>
          <w:p w14:paraId="5E4263F8"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1295" w:type="pct"/>
            <w:gridSpan w:val="2"/>
            <w:vMerge/>
            <w:vAlign w:val="center"/>
          </w:tcPr>
          <w:p w14:paraId="34020D97" w14:textId="77777777" w:rsidR="002133E3" w:rsidRDefault="002133E3">
            <w:pPr>
              <w:autoSpaceDE w:val="0"/>
              <w:autoSpaceDN w:val="0"/>
              <w:adjustRightInd w:val="0"/>
              <w:snapToGrid w:val="0"/>
              <w:jc w:val="left"/>
              <w:rPr>
                <w:rFonts w:ascii="Times New Roman" w:eastAsia="宋体" w:hAnsi="Times New Roman" w:cs="Times New Roman"/>
                <w:kern w:val="0"/>
                <w:szCs w:val="21"/>
              </w:rPr>
            </w:pPr>
          </w:p>
        </w:tc>
        <w:tc>
          <w:tcPr>
            <w:tcW w:w="3219" w:type="pct"/>
            <w:vAlign w:val="center"/>
          </w:tcPr>
          <w:p w14:paraId="4DD0344B"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含六价铬、氰化物、镉电镀工序的机械加工项目；</w:t>
            </w:r>
          </w:p>
        </w:tc>
      </w:tr>
      <w:tr w:rsidR="002133E3" w14:paraId="6540A00B" w14:textId="77777777">
        <w:trPr>
          <w:trHeight w:val="284"/>
          <w:jc w:val="center"/>
        </w:trPr>
        <w:tc>
          <w:tcPr>
            <w:tcW w:w="486" w:type="pct"/>
            <w:vMerge/>
            <w:vAlign w:val="center"/>
          </w:tcPr>
          <w:p w14:paraId="2278DCC2"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1295" w:type="pct"/>
            <w:gridSpan w:val="2"/>
            <w:vMerge/>
            <w:vAlign w:val="center"/>
          </w:tcPr>
          <w:p w14:paraId="11B9CFB4" w14:textId="77777777" w:rsidR="002133E3" w:rsidRDefault="002133E3">
            <w:pPr>
              <w:autoSpaceDE w:val="0"/>
              <w:autoSpaceDN w:val="0"/>
              <w:adjustRightInd w:val="0"/>
              <w:snapToGrid w:val="0"/>
              <w:jc w:val="left"/>
              <w:rPr>
                <w:rFonts w:ascii="Times New Roman" w:eastAsia="宋体" w:hAnsi="Times New Roman" w:cs="Times New Roman"/>
                <w:kern w:val="0"/>
                <w:szCs w:val="21"/>
              </w:rPr>
            </w:pPr>
          </w:p>
        </w:tc>
        <w:tc>
          <w:tcPr>
            <w:tcW w:w="3219" w:type="pct"/>
            <w:vAlign w:val="center"/>
          </w:tcPr>
          <w:p w14:paraId="2061DBF9"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采用含氯烷烃等高毒溶剂清洗的机械加工项目；</w:t>
            </w:r>
          </w:p>
        </w:tc>
      </w:tr>
      <w:tr w:rsidR="002133E3" w14:paraId="0A7DA666" w14:textId="77777777">
        <w:trPr>
          <w:trHeight w:val="284"/>
          <w:jc w:val="center"/>
        </w:trPr>
        <w:tc>
          <w:tcPr>
            <w:tcW w:w="486" w:type="pct"/>
            <w:vMerge/>
            <w:vAlign w:val="center"/>
          </w:tcPr>
          <w:p w14:paraId="7B48B5DC"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1295" w:type="pct"/>
            <w:gridSpan w:val="2"/>
            <w:vMerge/>
            <w:vAlign w:val="center"/>
          </w:tcPr>
          <w:p w14:paraId="2F75C065" w14:textId="77777777" w:rsidR="002133E3" w:rsidRDefault="002133E3">
            <w:pPr>
              <w:autoSpaceDE w:val="0"/>
              <w:autoSpaceDN w:val="0"/>
              <w:adjustRightInd w:val="0"/>
              <w:snapToGrid w:val="0"/>
              <w:jc w:val="left"/>
              <w:rPr>
                <w:rFonts w:ascii="Times New Roman" w:eastAsia="宋体" w:hAnsi="Times New Roman" w:cs="Times New Roman"/>
                <w:kern w:val="0"/>
                <w:szCs w:val="21"/>
              </w:rPr>
            </w:pPr>
          </w:p>
        </w:tc>
        <w:tc>
          <w:tcPr>
            <w:tcW w:w="3219" w:type="pct"/>
            <w:vAlign w:val="center"/>
          </w:tcPr>
          <w:p w14:paraId="5362A5C0"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采用含铬抛光液金属表面处理项目</w:t>
            </w:r>
          </w:p>
        </w:tc>
      </w:tr>
      <w:tr w:rsidR="002133E3" w14:paraId="4538EB6E" w14:textId="77777777">
        <w:trPr>
          <w:trHeight w:val="284"/>
          <w:jc w:val="center"/>
        </w:trPr>
        <w:tc>
          <w:tcPr>
            <w:tcW w:w="486" w:type="pct"/>
            <w:vMerge/>
            <w:vAlign w:val="center"/>
          </w:tcPr>
          <w:p w14:paraId="11653CE6"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1295" w:type="pct"/>
            <w:gridSpan w:val="2"/>
            <w:vMerge/>
            <w:vAlign w:val="center"/>
          </w:tcPr>
          <w:p w14:paraId="73DDEC9D" w14:textId="77777777" w:rsidR="002133E3" w:rsidRDefault="002133E3">
            <w:pPr>
              <w:autoSpaceDE w:val="0"/>
              <w:autoSpaceDN w:val="0"/>
              <w:adjustRightInd w:val="0"/>
              <w:snapToGrid w:val="0"/>
              <w:jc w:val="left"/>
              <w:rPr>
                <w:rFonts w:ascii="Times New Roman" w:eastAsia="宋体" w:hAnsi="Times New Roman" w:cs="Times New Roman"/>
                <w:kern w:val="0"/>
                <w:szCs w:val="21"/>
              </w:rPr>
            </w:pPr>
          </w:p>
        </w:tc>
        <w:tc>
          <w:tcPr>
            <w:tcW w:w="3219" w:type="pct"/>
            <w:vAlign w:val="center"/>
          </w:tcPr>
          <w:p w14:paraId="23CB318E"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采用高污染燃料锅炉</w:t>
            </w:r>
            <w:r>
              <w:rPr>
                <w:rFonts w:ascii="Times New Roman" w:eastAsia="宋体" w:hAnsi="Times New Roman" w:cs="Times New Roman"/>
                <w:kern w:val="0"/>
                <w:szCs w:val="21"/>
              </w:rPr>
              <w:t>(</w:t>
            </w:r>
            <w:r>
              <w:rPr>
                <w:rFonts w:ascii="Times New Roman" w:eastAsia="宋体" w:hAnsi="Times New Roman" w:cs="Times New Roman"/>
                <w:kern w:val="0"/>
                <w:szCs w:val="21"/>
              </w:rPr>
              <w:t>炉窑</w:t>
            </w:r>
            <w:r>
              <w:rPr>
                <w:rFonts w:ascii="Times New Roman" w:eastAsia="宋体" w:hAnsi="Times New Roman" w:cs="Times New Roman"/>
                <w:kern w:val="0"/>
                <w:szCs w:val="21"/>
              </w:rPr>
              <w:t>)</w:t>
            </w:r>
          </w:p>
        </w:tc>
      </w:tr>
      <w:tr w:rsidR="002133E3" w14:paraId="3EBB29EE" w14:textId="77777777">
        <w:trPr>
          <w:trHeight w:val="284"/>
          <w:jc w:val="center"/>
        </w:trPr>
        <w:tc>
          <w:tcPr>
            <w:tcW w:w="486" w:type="pct"/>
            <w:vMerge/>
            <w:vAlign w:val="center"/>
          </w:tcPr>
          <w:p w14:paraId="33ACA272" w14:textId="77777777" w:rsidR="002133E3" w:rsidRDefault="002133E3">
            <w:pPr>
              <w:autoSpaceDE w:val="0"/>
              <w:autoSpaceDN w:val="0"/>
              <w:adjustRightInd w:val="0"/>
              <w:snapToGrid w:val="0"/>
              <w:jc w:val="center"/>
              <w:rPr>
                <w:rFonts w:ascii="Times New Roman" w:eastAsia="宋体" w:hAnsi="Times New Roman" w:cs="Times New Roman"/>
                <w:kern w:val="0"/>
                <w:szCs w:val="21"/>
              </w:rPr>
            </w:pPr>
          </w:p>
        </w:tc>
        <w:tc>
          <w:tcPr>
            <w:tcW w:w="1295" w:type="pct"/>
            <w:gridSpan w:val="2"/>
            <w:vMerge w:val="restart"/>
            <w:vAlign w:val="center"/>
          </w:tcPr>
          <w:p w14:paraId="00E0ADD5"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新材料等轻工产业</w:t>
            </w:r>
          </w:p>
        </w:tc>
        <w:tc>
          <w:tcPr>
            <w:tcW w:w="3219" w:type="pct"/>
            <w:vAlign w:val="center"/>
          </w:tcPr>
          <w:p w14:paraId="4679839E"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有炼化和硫化工艺轮胎、橡胶制造项目</w:t>
            </w:r>
          </w:p>
        </w:tc>
      </w:tr>
      <w:tr w:rsidR="002133E3" w14:paraId="4101B616" w14:textId="77777777">
        <w:trPr>
          <w:trHeight w:val="284"/>
          <w:jc w:val="center"/>
        </w:trPr>
        <w:tc>
          <w:tcPr>
            <w:tcW w:w="486" w:type="pct"/>
            <w:vMerge/>
            <w:vAlign w:val="center"/>
          </w:tcPr>
          <w:p w14:paraId="2D44531F" w14:textId="77777777" w:rsidR="002133E3" w:rsidRDefault="002133E3">
            <w:pPr>
              <w:autoSpaceDE w:val="0"/>
              <w:autoSpaceDN w:val="0"/>
              <w:adjustRightInd w:val="0"/>
              <w:snapToGrid w:val="0"/>
              <w:jc w:val="center"/>
              <w:rPr>
                <w:rFonts w:ascii="Times New Roman" w:eastAsia="宋体" w:hAnsi="Times New Roman" w:cs="Times New Roman"/>
                <w:kern w:val="0"/>
                <w:szCs w:val="21"/>
              </w:rPr>
            </w:pPr>
          </w:p>
        </w:tc>
        <w:tc>
          <w:tcPr>
            <w:tcW w:w="1295" w:type="pct"/>
            <w:gridSpan w:val="2"/>
            <w:vMerge/>
            <w:vAlign w:val="center"/>
          </w:tcPr>
          <w:p w14:paraId="3135A6ED"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3219" w:type="pct"/>
            <w:vAlign w:val="center"/>
          </w:tcPr>
          <w:p w14:paraId="7251A3B1"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化学纤维制造业</w:t>
            </w:r>
          </w:p>
        </w:tc>
      </w:tr>
      <w:tr w:rsidR="002133E3" w14:paraId="5E71624C" w14:textId="77777777">
        <w:trPr>
          <w:trHeight w:val="284"/>
          <w:jc w:val="center"/>
        </w:trPr>
        <w:tc>
          <w:tcPr>
            <w:tcW w:w="486" w:type="pct"/>
            <w:vMerge/>
            <w:vAlign w:val="center"/>
          </w:tcPr>
          <w:p w14:paraId="79B33C56" w14:textId="77777777" w:rsidR="002133E3" w:rsidRDefault="002133E3">
            <w:pPr>
              <w:autoSpaceDE w:val="0"/>
              <w:autoSpaceDN w:val="0"/>
              <w:adjustRightInd w:val="0"/>
              <w:snapToGrid w:val="0"/>
              <w:jc w:val="center"/>
              <w:rPr>
                <w:rFonts w:ascii="Times New Roman" w:eastAsia="宋体" w:hAnsi="Times New Roman" w:cs="Times New Roman"/>
                <w:kern w:val="0"/>
                <w:szCs w:val="21"/>
              </w:rPr>
            </w:pPr>
          </w:p>
        </w:tc>
        <w:tc>
          <w:tcPr>
            <w:tcW w:w="1295" w:type="pct"/>
            <w:gridSpan w:val="2"/>
            <w:vMerge/>
            <w:vAlign w:val="center"/>
          </w:tcPr>
          <w:p w14:paraId="6C1EA0FB"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3219" w:type="pct"/>
            <w:vAlign w:val="center"/>
          </w:tcPr>
          <w:p w14:paraId="6E12B331"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化学制浆造纸业</w:t>
            </w:r>
          </w:p>
        </w:tc>
      </w:tr>
      <w:tr w:rsidR="002133E3" w14:paraId="77AD99F3" w14:textId="77777777">
        <w:trPr>
          <w:trHeight w:val="284"/>
          <w:jc w:val="center"/>
        </w:trPr>
        <w:tc>
          <w:tcPr>
            <w:tcW w:w="486" w:type="pct"/>
            <w:vMerge/>
            <w:vAlign w:val="center"/>
          </w:tcPr>
          <w:p w14:paraId="3ED4F56C" w14:textId="77777777" w:rsidR="002133E3" w:rsidRDefault="002133E3">
            <w:pPr>
              <w:autoSpaceDE w:val="0"/>
              <w:autoSpaceDN w:val="0"/>
              <w:adjustRightInd w:val="0"/>
              <w:snapToGrid w:val="0"/>
              <w:jc w:val="center"/>
              <w:rPr>
                <w:rFonts w:ascii="Times New Roman" w:eastAsia="宋体" w:hAnsi="Times New Roman" w:cs="Times New Roman"/>
                <w:kern w:val="0"/>
                <w:szCs w:val="21"/>
              </w:rPr>
            </w:pPr>
          </w:p>
        </w:tc>
        <w:tc>
          <w:tcPr>
            <w:tcW w:w="1295" w:type="pct"/>
            <w:gridSpan w:val="2"/>
            <w:vMerge/>
            <w:vAlign w:val="center"/>
          </w:tcPr>
          <w:p w14:paraId="0AD7F4B9"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3219" w:type="pct"/>
            <w:vAlign w:val="center"/>
          </w:tcPr>
          <w:p w14:paraId="19D4116F"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涉及金属冶炼及压延加工工艺的新材料生产项目</w:t>
            </w:r>
          </w:p>
        </w:tc>
      </w:tr>
      <w:tr w:rsidR="002133E3" w14:paraId="0B26F1FA" w14:textId="77777777">
        <w:trPr>
          <w:trHeight w:val="284"/>
          <w:jc w:val="center"/>
        </w:trPr>
        <w:tc>
          <w:tcPr>
            <w:tcW w:w="486" w:type="pct"/>
            <w:vMerge/>
            <w:vAlign w:val="center"/>
          </w:tcPr>
          <w:p w14:paraId="59F7FC2E" w14:textId="77777777" w:rsidR="002133E3" w:rsidRDefault="002133E3">
            <w:pPr>
              <w:autoSpaceDE w:val="0"/>
              <w:autoSpaceDN w:val="0"/>
              <w:adjustRightInd w:val="0"/>
              <w:snapToGrid w:val="0"/>
              <w:jc w:val="center"/>
              <w:rPr>
                <w:rFonts w:ascii="Times New Roman" w:eastAsia="宋体" w:hAnsi="Times New Roman" w:cs="Times New Roman"/>
                <w:kern w:val="0"/>
                <w:szCs w:val="21"/>
              </w:rPr>
            </w:pPr>
          </w:p>
        </w:tc>
        <w:tc>
          <w:tcPr>
            <w:tcW w:w="1295" w:type="pct"/>
            <w:gridSpan w:val="2"/>
            <w:vMerge/>
            <w:vAlign w:val="center"/>
          </w:tcPr>
          <w:p w14:paraId="19926920"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3219" w:type="pct"/>
            <w:vAlign w:val="center"/>
          </w:tcPr>
          <w:p w14:paraId="20D7A022"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以化学合成为主要工艺的新材料等轻工产业</w:t>
            </w:r>
          </w:p>
        </w:tc>
      </w:tr>
      <w:tr w:rsidR="002133E3" w14:paraId="4804FEE7" w14:textId="77777777">
        <w:trPr>
          <w:trHeight w:val="284"/>
          <w:jc w:val="center"/>
        </w:trPr>
        <w:tc>
          <w:tcPr>
            <w:tcW w:w="486" w:type="pct"/>
            <w:vMerge/>
            <w:vAlign w:val="center"/>
          </w:tcPr>
          <w:p w14:paraId="701DAB15" w14:textId="77777777" w:rsidR="002133E3" w:rsidRDefault="002133E3">
            <w:pPr>
              <w:autoSpaceDE w:val="0"/>
              <w:autoSpaceDN w:val="0"/>
              <w:adjustRightInd w:val="0"/>
              <w:snapToGrid w:val="0"/>
              <w:jc w:val="center"/>
              <w:rPr>
                <w:rFonts w:ascii="Times New Roman" w:eastAsia="宋体" w:hAnsi="Times New Roman" w:cs="Times New Roman"/>
                <w:kern w:val="0"/>
                <w:szCs w:val="21"/>
              </w:rPr>
            </w:pPr>
          </w:p>
        </w:tc>
        <w:tc>
          <w:tcPr>
            <w:tcW w:w="1295" w:type="pct"/>
            <w:gridSpan w:val="2"/>
            <w:vMerge/>
            <w:vAlign w:val="center"/>
          </w:tcPr>
          <w:p w14:paraId="3D39255D" w14:textId="77777777" w:rsidR="002133E3" w:rsidRDefault="002133E3">
            <w:pPr>
              <w:autoSpaceDE w:val="0"/>
              <w:autoSpaceDN w:val="0"/>
              <w:adjustRightInd w:val="0"/>
              <w:snapToGrid w:val="0"/>
              <w:rPr>
                <w:rFonts w:ascii="Times New Roman" w:eastAsia="宋体" w:hAnsi="Times New Roman" w:cs="Times New Roman"/>
                <w:kern w:val="0"/>
                <w:szCs w:val="21"/>
              </w:rPr>
            </w:pPr>
          </w:p>
        </w:tc>
        <w:tc>
          <w:tcPr>
            <w:tcW w:w="3219" w:type="pct"/>
            <w:vAlign w:val="center"/>
          </w:tcPr>
          <w:p w14:paraId="545B2771"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涉重</w:t>
            </w:r>
            <w:r>
              <w:rPr>
                <w:rFonts w:ascii="Times New Roman" w:eastAsia="宋体" w:hAnsi="Times New Roman" w:cs="Times New Roman"/>
                <w:kern w:val="0"/>
                <w:szCs w:val="21"/>
              </w:rPr>
              <w:t>(</w:t>
            </w:r>
            <w:r>
              <w:rPr>
                <w:rFonts w:ascii="Times New Roman" w:eastAsia="宋体" w:hAnsi="Times New Roman" w:cs="Times New Roman"/>
                <w:kern w:val="0"/>
                <w:szCs w:val="21"/>
              </w:rPr>
              <w:t>铅、汞、铬、镉和类金属砷</w:t>
            </w:r>
            <w:r>
              <w:rPr>
                <w:rFonts w:ascii="Times New Roman" w:eastAsia="宋体" w:hAnsi="Times New Roman" w:cs="Times New Roman"/>
                <w:kern w:val="0"/>
                <w:szCs w:val="21"/>
              </w:rPr>
              <w:t>5</w:t>
            </w:r>
            <w:r>
              <w:rPr>
                <w:rFonts w:ascii="Times New Roman" w:eastAsia="宋体" w:hAnsi="Times New Roman" w:cs="Times New Roman"/>
                <w:kern w:val="0"/>
                <w:szCs w:val="21"/>
              </w:rPr>
              <w:t>种重金属</w:t>
            </w:r>
            <w:r>
              <w:rPr>
                <w:rFonts w:ascii="Times New Roman" w:eastAsia="宋体" w:hAnsi="Times New Roman" w:cs="Times New Roman"/>
                <w:kern w:val="0"/>
                <w:szCs w:val="21"/>
              </w:rPr>
              <w:t>)</w:t>
            </w:r>
            <w:r>
              <w:rPr>
                <w:rFonts w:ascii="Times New Roman" w:eastAsia="宋体" w:hAnsi="Times New Roman" w:cs="Times New Roman"/>
                <w:kern w:val="0"/>
                <w:szCs w:val="21"/>
              </w:rPr>
              <w:t>新材料等轻工产业</w:t>
            </w:r>
          </w:p>
        </w:tc>
      </w:tr>
      <w:tr w:rsidR="002133E3" w14:paraId="075BEA16" w14:textId="77777777">
        <w:trPr>
          <w:trHeight w:val="284"/>
          <w:jc w:val="center"/>
        </w:trPr>
        <w:tc>
          <w:tcPr>
            <w:tcW w:w="486" w:type="pct"/>
            <w:vMerge w:val="restart"/>
            <w:vAlign w:val="center"/>
          </w:tcPr>
          <w:p w14:paraId="02B3D07E" w14:textId="77777777" w:rsidR="002133E3" w:rsidRDefault="00C22CFA">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限制引</w:t>
            </w:r>
            <w:r>
              <w:rPr>
                <w:rFonts w:ascii="Times New Roman" w:eastAsia="宋体" w:hAnsi="Times New Roman" w:cs="Times New Roman"/>
                <w:kern w:val="0"/>
                <w:szCs w:val="21"/>
              </w:rPr>
              <w:lastRenderedPageBreak/>
              <w:t>入产业</w:t>
            </w:r>
          </w:p>
          <w:p w14:paraId="47522CD1" w14:textId="77777777" w:rsidR="002133E3" w:rsidRDefault="002133E3">
            <w:pPr>
              <w:autoSpaceDE w:val="0"/>
              <w:autoSpaceDN w:val="0"/>
              <w:adjustRightInd w:val="0"/>
              <w:snapToGrid w:val="0"/>
              <w:jc w:val="left"/>
              <w:rPr>
                <w:rFonts w:ascii="Times New Roman" w:eastAsia="宋体" w:hAnsi="Times New Roman" w:cs="Times New Roman"/>
                <w:kern w:val="0"/>
                <w:szCs w:val="21"/>
              </w:rPr>
            </w:pPr>
          </w:p>
        </w:tc>
        <w:tc>
          <w:tcPr>
            <w:tcW w:w="4514" w:type="pct"/>
            <w:gridSpan w:val="3"/>
            <w:vAlign w:val="center"/>
          </w:tcPr>
          <w:p w14:paraId="368E2CDD"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lastRenderedPageBreak/>
              <w:t>1</w:t>
            </w:r>
            <w:r>
              <w:rPr>
                <w:rFonts w:ascii="Times New Roman" w:eastAsia="宋体" w:hAnsi="Times New Roman" w:cs="Times New Roman"/>
                <w:kern w:val="0"/>
                <w:szCs w:val="21"/>
              </w:rPr>
              <w:t>、高水耗、高物耗、高能耗的项目</w:t>
            </w:r>
          </w:p>
        </w:tc>
      </w:tr>
      <w:tr w:rsidR="002133E3" w14:paraId="4E200521" w14:textId="77777777">
        <w:trPr>
          <w:trHeight w:val="284"/>
          <w:jc w:val="center"/>
        </w:trPr>
        <w:tc>
          <w:tcPr>
            <w:tcW w:w="486" w:type="pct"/>
            <w:vMerge/>
            <w:vAlign w:val="center"/>
          </w:tcPr>
          <w:p w14:paraId="6C3012A0"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4514" w:type="pct"/>
            <w:gridSpan w:val="3"/>
            <w:vAlign w:val="center"/>
          </w:tcPr>
          <w:p w14:paraId="0B476CA7"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2</w:t>
            </w:r>
            <w:r>
              <w:rPr>
                <w:rFonts w:ascii="Times New Roman" w:eastAsia="宋体" w:hAnsi="Times New Roman" w:cs="Times New Roman"/>
                <w:kern w:val="0"/>
                <w:szCs w:val="21"/>
              </w:rPr>
              <w:t>、废水含难降解有机物，水质经预处理难以满足园区污水处理厂处理要求。</w:t>
            </w:r>
          </w:p>
        </w:tc>
      </w:tr>
      <w:tr w:rsidR="002133E3" w14:paraId="05379AE1" w14:textId="77777777">
        <w:trPr>
          <w:trHeight w:val="284"/>
          <w:jc w:val="center"/>
        </w:trPr>
        <w:tc>
          <w:tcPr>
            <w:tcW w:w="486" w:type="pct"/>
            <w:vMerge/>
            <w:vAlign w:val="center"/>
          </w:tcPr>
          <w:p w14:paraId="3D71A140"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4514" w:type="pct"/>
            <w:gridSpan w:val="3"/>
            <w:vAlign w:val="center"/>
          </w:tcPr>
          <w:p w14:paraId="4B43DB0F"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、工艺废气难处理达标项目，排放恶臭、</w:t>
            </w:r>
            <w:r>
              <w:rPr>
                <w:rFonts w:ascii="Times New Roman" w:eastAsia="宋体" w:hAnsi="Times New Roman" w:cs="Times New Roman"/>
                <w:kern w:val="0"/>
                <w:szCs w:val="21"/>
              </w:rPr>
              <w:t>“</w:t>
            </w:r>
            <w:r>
              <w:rPr>
                <w:rFonts w:ascii="Times New Roman" w:eastAsia="宋体" w:hAnsi="Times New Roman" w:cs="Times New Roman"/>
                <w:kern w:val="0"/>
                <w:szCs w:val="21"/>
              </w:rPr>
              <w:t>三致</w:t>
            </w:r>
            <w:r>
              <w:rPr>
                <w:rFonts w:ascii="Times New Roman" w:eastAsia="宋体" w:hAnsi="Times New Roman" w:cs="Times New Roman"/>
                <w:kern w:val="0"/>
                <w:szCs w:val="21"/>
              </w:rPr>
              <w:t>”</w:t>
            </w:r>
            <w:r>
              <w:rPr>
                <w:rFonts w:ascii="Times New Roman" w:eastAsia="宋体" w:hAnsi="Times New Roman" w:cs="Times New Roman"/>
                <w:kern w:val="0"/>
                <w:szCs w:val="21"/>
              </w:rPr>
              <w:t>物质、</w:t>
            </w:r>
            <w:r>
              <w:rPr>
                <w:rFonts w:ascii="Times New Roman" w:eastAsia="宋体" w:hAnsi="Times New Roman" w:cs="Times New Roman"/>
                <w:kern w:val="0"/>
                <w:szCs w:val="21"/>
              </w:rPr>
              <w:t>“POPs”</w:t>
            </w:r>
            <w:r>
              <w:rPr>
                <w:rFonts w:ascii="Times New Roman" w:eastAsia="宋体" w:hAnsi="Times New Roman" w:cs="Times New Roman"/>
                <w:kern w:val="0"/>
                <w:szCs w:val="21"/>
              </w:rPr>
              <w:t>清单物质项目</w:t>
            </w:r>
          </w:p>
        </w:tc>
      </w:tr>
      <w:tr w:rsidR="002133E3" w14:paraId="4A5F40C0" w14:textId="77777777">
        <w:trPr>
          <w:trHeight w:val="284"/>
          <w:jc w:val="center"/>
        </w:trPr>
        <w:tc>
          <w:tcPr>
            <w:tcW w:w="486" w:type="pct"/>
            <w:vMerge/>
            <w:vAlign w:val="center"/>
          </w:tcPr>
          <w:p w14:paraId="413D67B4"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4514" w:type="pct"/>
            <w:gridSpan w:val="3"/>
            <w:vAlign w:val="center"/>
          </w:tcPr>
          <w:p w14:paraId="6BC0468B"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、对生态红线保护区有明显不良影响的建设项目</w:t>
            </w:r>
          </w:p>
        </w:tc>
      </w:tr>
      <w:tr w:rsidR="002133E3" w14:paraId="7AC63871" w14:textId="77777777">
        <w:trPr>
          <w:trHeight w:val="284"/>
          <w:jc w:val="center"/>
        </w:trPr>
        <w:tc>
          <w:tcPr>
            <w:tcW w:w="486" w:type="pct"/>
            <w:vMerge/>
            <w:vAlign w:val="center"/>
          </w:tcPr>
          <w:p w14:paraId="4343E223"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792" w:type="pct"/>
            <w:vMerge w:val="restart"/>
            <w:vAlign w:val="center"/>
          </w:tcPr>
          <w:p w14:paraId="1E473122"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机械加工、装备制造产业</w:t>
            </w:r>
          </w:p>
        </w:tc>
        <w:tc>
          <w:tcPr>
            <w:tcW w:w="3722" w:type="pct"/>
            <w:gridSpan w:val="2"/>
            <w:vAlign w:val="center"/>
          </w:tcPr>
          <w:p w14:paraId="2C34A5B7"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含磷化工序金属表面处理成膜工艺</w:t>
            </w:r>
            <w:r>
              <w:rPr>
                <w:rFonts w:ascii="Times New Roman" w:eastAsia="宋体" w:hAnsi="Times New Roman" w:cs="Times New Roman"/>
                <w:kern w:val="0"/>
                <w:szCs w:val="21"/>
              </w:rPr>
              <w:t>(</w:t>
            </w:r>
            <w:r>
              <w:rPr>
                <w:rFonts w:ascii="Times New Roman" w:eastAsia="宋体" w:hAnsi="Times New Roman" w:cs="Times New Roman"/>
                <w:kern w:val="0"/>
                <w:szCs w:val="21"/>
              </w:rPr>
              <w:t>需进行磷化工艺技术替代</w:t>
            </w:r>
            <w:r>
              <w:rPr>
                <w:rFonts w:ascii="Times New Roman" w:eastAsia="宋体" w:hAnsi="Times New Roman" w:cs="Times New Roman"/>
                <w:kern w:val="0"/>
                <w:szCs w:val="21"/>
              </w:rPr>
              <w:t>)</w:t>
            </w:r>
          </w:p>
        </w:tc>
      </w:tr>
      <w:tr w:rsidR="002133E3" w14:paraId="315C7F12" w14:textId="77777777">
        <w:trPr>
          <w:trHeight w:val="284"/>
          <w:jc w:val="center"/>
        </w:trPr>
        <w:tc>
          <w:tcPr>
            <w:tcW w:w="486" w:type="pct"/>
            <w:vMerge/>
            <w:vAlign w:val="center"/>
          </w:tcPr>
          <w:p w14:paraId="21703486"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792" w:type="pct"/>
            <w:vMerge/>
            <w:vAlign w:val="center"/>
          </w:tcPr>
          <w:p w14:paraId="689BBAB0"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3722" w:type="pct"/>
            <w:gridSpan w:val="2"/>
            <w:vAlign w:val="center"/>
          </w:tcPr>
          <w:p w14:paraId="3955F31D"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酸洗未采用连续化、自动化、密闭化设计</w:t>
            </w:r>
          </w:p>
        </w:tc>
      </w:tr>
      <w:tr w:rsidR="002133E3" w14:paraId="7568F61D" w14:textId="77777777">
        <w:trPr>
          <w:trHeight w:val="284"/>
          <w:jc w:val="center"/>
        </w:trPr>
        <w:tc>
          <w:tcPr>
            <w:tcW w:w="486" w:type="pct"/>
            <w:vMerge/>
            <w:vAlign w:val="center"/>
          </w:tcPr>
          <w:p w14:paraId="44839FB8"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792" w:type="pct"/>
            <w:vMerge/>
            <w:vAlign w:val="center"/>
          </w:tcPr>
          <w:p w14:paraId="089328F1"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3722" w:type="pct"/>
            <w:gridSpan w:val="2"/>
            <w:vAlign w:val="center"/>
          </w:tcPr>
          <w:p w14:paraId="109669E3"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污水回用率低于</w:t>
            </w:r>
            <w:r>
              <w:rPr>
                <w:rFonts w:ascii="Times New Roman" w:eastAsia="宋体" w:hAnsi="Times New Roman" w:cs="Times New Roman"/>
                <w:kern w:val="0"/>
                <w:szCs w:val="21"/>
              </w:rPr>
              <w:t>50%</w:t>
            </w:r>
          </w:p>
        </w:tc>
      </w:tr>
      <w:tr w:rsidR="002133E3" w14:paraId="6A1D2637" w14:textId="77777777">
        <w:trPr>
          <w:trHeight w:val="284"/>
          <w:jc w:val="center"/>
        </w:trPr>
        <w:tc>
          <w:tcPr>
            <w:tcW w:w="486" w:type="pct"/>
            <w:vMerge/>
            <w:vAlign w:val="center"/>
          </w:tcPr>
          <w:p w14:paraId="56B6AFC5"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792" w:type="pct"/>
            <w:vMerge/>
            <w:vAlign w:val="center"/>
          </w:tcPr>
          <w:p w14:paraId="3981EE83"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3722" w:type="pct"/>
            <w:gridSpan w:val="2"/>
            <w:vAlign w:val="center"/>
          </w:tcPr>
          <w:p w14:paraId="48A7D82E"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选用高毒、高尘焊接材料；</w:t>
            </w:r>
          </w:p>
        </w:tc>
      </w:tr>
      <w:tr w:rsidR="002133E3" w14:paraId="2E4C0C3E" w14:textId="77777777">
        <w:trPr>
          <w:trHeight w:val="284"/>
          <w:jc w:val="center"/>
        </w:trPr>
        <w:tc>
          <w:tcPr>
            <w:tcW w:w="486" w:type="pct"/>
            <w:vMerge/>
            <w:vAlign w:val="center"/>
          </w:tcPr>
          <w:p w14:paraId="7B4FED16"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792" w:type="pct"/>
            <w:vMerge w:val="restart"/>
            <w:vAlign w:val="center"/>
          </w:tcPr>
          <w:p w14:paraId="44474E6B"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新材料产业</w:t>
            </w:r>
          </w:p>
        </w:tc>
        <w:tc>
          <w:tcPr>
            <w:tcW w:w="3722" w:type="pct"/>
            <w:gridSpan w:val="2"/>
            <w:vAlign w:val="center"/>
          </w:tcPr>
          <w:p w14:paraId="7E982839"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含高氮、磷废水排放项目</w:t>
            </w:r>
          </w:p>
        </w:tc>
      </w:tr>
      <w:tr w:rsidR="002133E3" w14:paraId="6A593E7C" w14:textId="77777777">
        <w:trPr>
          <w:trHeight w:val="284"/>
          <w:jc w:val="center"/>
        </w:trPr>
        <w:tc>
          <w:tcPr>
            <w:tcW w:w="486" w:type="pct"/>
            <w:vMerge/>
            <w:vAlign w:val="center"/>
          </w:tcPr>
          <w:p w14:paraId="367E71FA"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792" w:type="pct"/>
            <w:vMerge/>
            <w:vAlign w:val="center"/>
          </w:tcPr>
          <w:p w14:paraId="2BE75A4A"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3722" w:type="pct"/>
            <w:gridSpan w:val="2"/>
            <w:vAlign w:val="center"/>
          </w:tcPr>
          <w:p w14:paraId="657F93E2"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建筑陶瓷生产线、混凝土生产线、改性沥青类生产线、石棉项目、砖瓦生产线、石材加工生产线、水泥生产线</w:t>
            </w:r>
          </w:p>
        </w:tc>
      </w:tr>
      <w:tr w:rsidR="002133E3" w14:paraId="23B1768B" w14:textId="77777777">
        <w:trPr>
          <w:trHeight w:val="284"/>
          <w:jc w:val="center"/>
        </w:trPr>
        <w:tc>
          <w:tcPr>
            <w:tcW w:w="486" w:type="pct"/>
            <w:vMerge/>
            <w:vAlign w:val="center"/>
          </w:tcPr>
          <w:p w14:paraId="7CBEFEC6" w14:textId="77777777" w:rsidR="002133E3" w:rsidRDefault="002133E3">
            <w:pPr>
              <w:numPr>
                <w:ilvl w:val="0"/>
                <w:numId w:val="4"/>
              </w:numPr>
              <w:autoSpaceDE w:val="0"/>
              <w:autoSpaceDN w:val="0"/>
              <w:adjustRightInd w:val="0"/>
              <w:snapToGrid w:val="0"/>
              <w:ind w:left="0" w:firstLine="0"/>
              <w:jc w:val="left"/>
              <w:rPr>
                <w:rFonts w:ascii="Times New Roman" w:eastAsia="宋体" w:hAnsi="Times New Roman" w:cs="Times New Roman"/>
                <w:kern w:val="0"/>
                <w:szCs w:val="21"/>
              </w:rPr>
            </w:pPr>
          </w:p>
        </w:tc>
        <w:tc>
          <w:tcPr>
            <w:tcW w:w="792" w:type="pct"/>
            <w:vAlign w:val="center"/>
          </w:tcPr>
          <w:p w14:paraId="4640E911"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酒精酿造产业</w:t>
            </w:r>
          </w:p>
        </w:tc>
        <w:tc>
          <w:tcPr>
            <w:tcW w:w="3722" w:type="pct"/>
            <w:gridSpan w:val="2"/>
            <w:vAlign w:val="center"/>
          </w:tcPr>
          <w:p w14:paraId="433A03D2" w14:textId="77777777" w:rsidR="002133E3" w:rsidRDefault="00C22CFA">
            <w:pPr>
              <w:autoSpaceDE w:val="0"/>
              <w:autoSpaceDN w:val="0"/>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扩建乙醇生产线</w:t>
            </w:r>
          </w:p>
        </w:tc>
      </w:tr>
    </w:tbl>
    <w:p w14:paraId="6A1D7182" w14:textId="77777777" w:rsidR="002133E3" w:rsidRDefault="00C22CFA">
      <w:pPr>
        <w:topLinePunct/>
        <w:adjustRightInd w:val="0"/>
        <w:snapToGrid w:val="0"/>
        <w:spacing w:line="500" w:lineRule="atLeast"/>
        <w:ind w:rightChars="-42" w:right="-88"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综上所述，本项目的建设符合</w:t>
      </w:r>
      <w:r>
        <w:rPr>
          <w:rFonts w:ascii="Times New Roman" w:eastAsia="宋体" w:hAnsi="Times New Roman" w:cs="Times New Roman"/>
          <w:sz w:val="28"/>
          <w:szCs w:val="24"/>
        </w:rPr>
        <w:t>“</w:t>
      </w:r>
      <w:r>
        <w:rPr>
          <w:rFonts w:ascii="Times New Roman" w:eastAsia="宋体" w:hAnsi="Times New Roman" w:cs="Times New Roman"/>
          <w:sz w:val="28"/>
          <w:szCs w:val="24"/>
        </w:rPr>
        <w:t>三线一单</w:t>
      </w:r>
      <w:r>
        <w:rPr>
          <w:rFonts w:ascii="Times New Roman" w:eastAsia="宋体" w:hAnsi="Times New Roman" w:cs="Times New Roman"/>
          <w:sz w:val="28"/>
          <w:szCs w:val="24"/>
        </w:rPr>
        <w:t>”</w:t>
      </w:r>
      <w:r>
        <w:rPr>
          <w:rFonts w:ascii="Times New Roman" w:eastAsia="宋体" w:hAnsi="Times New Roman" w:cs="Times New Roman"/>
          <w:sz w:val="28"/>
          <w:szCs w:val="24"/>
        </w:rPr>
        <w:t>相关要求。</w:t>
      </w:r>
    </w:p>
    <w:p w14:paraId="06987F3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相关环保政策的相符性</w:t>
      </w:r>
    </w:p>
    <w:p w14:paraId="2355258B"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本项目与国家和地方相关环保政策的相符性分析情况见表</w:t>
      </w:r>
      <w:r>
        <w:rPr>
          <w:rFonts w:ascii="Times New Roman" w:eastAsia="宋体" w:hAnsi="Times New Roman" w:cs="Times New Roman"/>
          <w:sz w:val="28"/>
          <w:szCs w:val="28"/>
        </w:rPr>
        <w:t>1.3-11</w:t>
      </w:r>
      <w:r>
        <w:rPr>
          <w:rFonts w:ascii="Times New Roman" w:eastAsia="宋体" w:hAnsi="Times New Roman" w:cs="Times New Roman"/>
          <w:sz w:val="28"/>
          <w:szCs w:val="28"/>
        </w:rPr>
        <w:t>。</w:t>
      </w:r>
    </w:p>
    <w:p w14:paraId="148E00B1"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⑴</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与《环境保护综合目录》（</w:t>
      </w:r>
      <w:r>
        <w:rPr>
          <w:rFonts w:ascii="Times New Roman" w:eastAsia="宋体" w:hAnsi="Times New Roman" w:cs="Times New Roman"/>
          <w:sz w:val="28"/>
          <w:szCs w:val="28"/>
        </w:rPr>
        <w:t>2017</w:t>
      </w:r>
      <w:r>
        <w:rPr>
          <w:rFonts w:ascii="Times New Roman" w:eastAsia="宋体" w:hAnsi="Times New Roman" w:cs="Times New Roman"/>
          <w:sz w:val="28"/>
          <w:szCs w:val="28"/>
        </w:rPr>
        <w:t>）相符性</w:t>
      </w:r>
    </w:p>
    <w:p w14:paraId="26BD4CCF"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经查询，本项目产品不在《环境保护综合目录》（</w:t>
      </w:r>
      <w:r>
        <w:rPr>
          <w:rFonts w:ascii="Times New Roman" w:eastAsia="宋体" w:hAnsi="Times New Roman" w:cs="Times New Roman"/>
          <w:sz w:val="28"/>
          <w:szCs w:val="28"/>
        </w:rPr>
        <w:t>2017</w:t>
      </w:r>
      <w:r>
        <w:rPr>
          <w:rFonts w:ascii="Times New Roman" w:eastAsia="宋体" w:hAnsi="Times New Roman" w:cs="Times New Roman"/>
          <w:sz w:val="28"/>
          <w:szCs w:val="28"/>
        </w:rPr>
        <w:t>）所列的高污染、高环境风险产品名录</w:t>
      </w:r>
      <w:r>
        <w:rPr>
          <w:rFonts w:ascii="Times New Roman" w:eastAsia="宋体" w:hAnsi="Times New Roman" w:cs="Times New Roman"/>
          <w:sz w:val="28"/>
          <w:szCs w:val="28"/>
        </w:rPr>
        <w:t>(2017</w:t>
      </w:r>
      <w:r>
        <w:rPr>
          <w:rFonts w:ascii="Times New Roman" w:eastAsia="宋体" w:hAnsi="Times New Roman" w:cs="Times New Roman"/>
          <w:sz w:val="28"/>
          <w:szCs w:val="28"/>
        </w:rPr>
        <w:t>年版</w:t>
      </w:r>
      <w:r>
        <w:rPr>
          <w:rFonts w:ascii="Times New Roman" w:eastAsia="宋体" w:hAnsi="Times New Roman" w:cs="Times New Roman"/>
          <w:sz w:val="28"/>
          <w:szCs w:val="28"/>
        </w:rPr>
        <w:t>)</w:t>
      </w:r>
      <w:r>
        <w:rPr>
          <w:rFonts w:ascii="Times New Roman" w:eastAsia="宋体" w:hAnsi="Times New Roman" w:cs="Times New Roman"/>
          <w:sz w:val="28"/>
          <w:szCs w:val="28"/>
        </w:rPr>
        <w:t>的范围内。</w:t>
      </w:r>
    </w:p>
    <w:p w14:paraId="4738781E" w14:textId="77777777" w:rsidR="002133E3" w:rsidRDefault="002133E3">
      <w:pPr>
        <w:snapToGrid w:val="0"/>
        <w:spacing w:line="500" w:lineRule="atLeast"/>
        <w:jc w:val="center"/>
        <w:rPr>
          <w:rFonts w:ascii="Times New Roman" w:eastAsia="宋体" w:hAnsi="Times New Roman" w:cs="Times New Roman"/>
          <w:b/>
          <w:szCs w:val="24"/>
        </w:rPr>
        <w:sectPr w:rsidR="002133E3">
          <w:pgSz w:w="11906" w:h="16838"/>
          <w:pgMar w:top="1134" w:right="1134" w:bottom="1134" w:left="1134" w:header="851" w:footer="992" w:gutter="0"/>
          <w:cols w:space="425"/>
          <w:docGrid w:type="lines" w:linePitch="312"/>
        </w:sectPr>
      </w:pPr>
    </w:p>
    <w:p w14:paraId="5C64E559" w14:textId="77777777" w:rsidR="002133E3" w:rsidRDefault="00C22CFA">
      <w:pPr>
        <w:snapToGrid w:val="0"/>
        <w:spacing w:line="500" w:lineRule="atLeast"/>
        <w:jc w:val="center"/>
        <w:rPr>
          <w:rFonts w:ascii="Times New Roman" w:eastAsia="宋体" w:hAnsi="Times New Roman" w:cs="Times New Roman"/>
          <w:sz w:val="28"/>
          <w:szCs w:val="24"/>
        </w:rPr>
      </w:pPr>
      <w:r>
        <w:rPr>
          <w:rFonts w:ascii="Times New Roman" w:eastAsia="宋体" w:hAnsi="Times New Roman" w:cs="Times New Roman"/>
          <w:b/>
          <w:szCs w:val="24"/>
        </w:rPr>
        <w:lastRenderedPageBreak/>
        <w:t>表</w:t>
      </w:r>
      <w:r>
        <w:rPr>
          <w:rFonts w:ascii="Times New Roman" w:eastAsia="宋体" w:hAnsi="Times New Roman" w:cs="Times New Roman"/>
          <w:b/>
          <w:szCs w:val="24"/>
        </w:rPr>
        <w:t xml:space="preserve">1.3-11 </w:t>
      </w:r>
      <w:r>
        <w:rPr>
          <w:rFonts w:ascii="Times New Roman" w:eastAsia="宋体" w:hAnsi="Times New Roman" w:cs="Times New Roman"/>
          <w:b/>
          <w:szCs w:val="24"/>
        </w:rPr>
        <w:t>与相关环保政策相符性分析</w:t>
      </w:r>
    </w:p>
    <w:tbl>
      <w:tblPr>
        <w:tblW w:w="145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575"/>
        <w:gridCol w:w="2415"/>
        <w:gridCol w:w="6521"/>
        <w:gridCol w:w="4253"/>
        <w:gridCol w:w="832"/>
      </w:tblGrid>
      <w:tr w:rsidR="002133E3" w:rsidRPr="00F9162B" w14:paraId="52323204" w14:textId="77777777">
        <w:trPr>
          <w:trHeight w:val="284"/>
          <w:jc w:val="center"/>
        </w:trPr>
        <w:tc>
          <w:tcPr>
            <w:tcW w:w="575" w:type="dxa"/>
            <w:vAlign w:val="center"/>
          </w:tcPr>
          <w:p w14:paraId="52B0F878" w14:textId="77777777" w:rsidR="002133E3" w:rsidRPr="00F9162B" w:rsidRDefault="00C22CFA">
            <w:pPr>
              <w:snapToGrid w:val="0"/>
              <w:jc w:val="center"/>
              <w:rPr>
                <w:rFonts w:ascii="Times New Roman" w:eastAsia="宋体" w:hAnsi="Times New Roman" w:cs="Times New Roman"/>
                <w:b/>
                <w:szCs w:val="21"/>
              </w:rPr>
            </w:pPr>
            <w:r w:rsidRPr="00F9162B">
              <w:rPr>
                <w:rFonts w:ascii="Times New Roman" w:eastAsia="宋体" w:hAnsi="Times New Roman" w:cs="Times New Roman"/>
                <w:b/>
                <w:szCs w:val="21"/>
              </w:rPr>
              <w:t>序号</w:t>
            </w:r>
          </w:p>
        </w:tc>
        <w:tc>
          <w:tcPr>
            <w:tcW w:w="2415" w:type="dxa"/>
            <w:vAlign w:val="center"/>
          </w:tcPr>
          <w:p w14:paraId="6A3903E9" w14:textId="77777777" w:rsidR="002133E3" w:rsidRPr="00F9162B" w:rsidRDefault="00C22CFA">
            <w:pPr>
              <w:snapToGrid w:val="0"/>
              <w:jc w:val="center"/>
              <w:rPr>
                <w:rFonts w:ascii="Times New Roman" w:eastAsia="宋体" w:hAnsi="Times New Roman" w:cs="Times New Roman"/>
                <w:b/>
                <w:szCs w:val="21"/>
              </w:rPr>
            </w:pPr>
            <w:r w:rsidRPr="00F9162B">
              <w:rPr>
                <w:rFonts w:ascii="Times New Roman" w:eastAsia="宋体" w:hAnsi="Times New Roman" w:cs="Times New Roman"/>
                <w:b/>
                <w:szCs w:val="21"/>
              </w:rPr>
              <w:t>文件名称</w:t>
            </w:r>
          </w:p>
        </w:tc>
        <w:tc>
          <w:tcPr>
            <w:tcW w:w="6521" w:type="dxa"/>
            <w:vAlign w:val="center"/>
          </w:tcPr>
          <w:p w14:paraId="2857E633" w14:textId="77777777" w:rsidR="002133E3" w:rsidRPr="00F9162B" w:rsidRDefault="00C22CFA">
            <w:pPr>
              <w:snapToGrid w:val="0"/>
              <w:jc w:val="center"/>
              <w:rPr>
                <w:rFonts w:ascii="Times New Roman" w:eastAsia="宋体" w:hAnsi="Times New Roman" w:cs="Times New Roman"/>
                <w:b/>
                <w:szCs w:val="21"/>
              </w:rPr>
            </w:pPr>
            <w:r w:rsidRPr="00F9162B">
              <w:rPr>
                <w:rFonts w:ascii="Times New Roman" w:eastAsia="宋体" w:hAnsi="Times New Roman" w:cs="Times New Roman"/>
                <w:b/>
                <w:szCs w:val="21"/>
              </w:rPr>
              <w:t>主要内容</w:t>
            </w:r>
          </w:p>
        </w:tc>
        <w:tc>
          <w:tcPr>
            <w:tcW w:w="4253" w:type="dxa"/>
            <w:vAlign w:val="center"/>
          </w:tcPr>
          <w:p w14:paraId="4F270339" w14:textId="77777777" w:rsidR="002133E3" w:rsidRPr="00F9162B" w:rsidRDefault="00C22CFA">
            <w:pPr>
              <w:snapToGrid w:val="0"/>
              <w:jc w:val="center"/>
              <w:rPr>
                <w:rFonts w:ascii="Times New Roman" w:eastAsia="宋体" w:hAnsi="Times New Roman" w:cs="Times New Roman"/>
                <w:b/>
                <w:szCs w:val="21"/>
              </w:rPr>
            </w:pPr>
            <w:r w:rsidRPr="00F9162B">
              <w:rPr>
                <w:rFonts w:ascii="Times New Roman" w:eastAsia="宋体" w:hAnsi="Times New Roman" w:cs="Times New Roman"/>
                <w:b/>
                <w:szCs w:val="21"/>
              </w:rPr>
              <w:t>本项目情况</w:t>
            </w:r>
          </w:p>
        </w:tc>
        <w:tc>
          <w:tcPr>
            <w:tcW w:w="832" w:type="dxa"/>
            <w:vAlign w:val="center"/>
          </w:tcPr>
          <w:p w14:paraId="26B3939A" w14:textId="77777777" w:rsidR="002133E3" w:rsidRPr="00F9162B" w:rsidRDefault="00C22CFA">
            <w:pPr>
              <w:snapToGrid w:val="0"/>
              <w:jc w:val="center"/>
              <w:rPr>
                <w:rFonts w:ascii="Times New Roman" w:eastAsia="宋体" w:hAnsi="Times New Roman" w:cs="Times New Roman"/>
                <w:b/>
                <w:szCs w:val="21"/>
              </w:rPr>
            </w:pPr>
            <w:r w:rsidRPr="00F9162B">
              <w:rPr>
                <w:rFonts w:ascii="Times New Roman" w:eastAsia="宋体" w:hAnsi="Times New Roman" w:cs="Times New Roman"/>
                <w:b/>
                <w:szCs w:val="21"/>
              </w:rPr>
              <w:t>相符性</w:t>
            </w:r>
          </w:p>
        </w:tc>
      </w:tr>
      <w:tr w:rsidR="002133E3" w:rsidRPr="00F9162B" w14:paraId="3A715835" w14:textId="77777777">
        <w:trPr>
          <w:trHeight w:val="284"/>
          <w:jc w:val="center"/>
        </w:trPr>
        <w:tc>
          <w:tcPr>
            <w:tcW w:w="575" w:type="dxa"/>
            <w:vAlign w:val="center"/>
          </w:tcPr>
          <w:p w14:paraId="6AB5B0B2"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1</w:t>
            </w:r>
          </w:p>
        </w:tc>
        <w:tc>
          <w:tcPr>
            <w:tcW w:w="2415" w:type="dxa"/>
            <w:vAlign w:val="center"/>
          </w:tcPr>
          <w:p w14:paraId="5748966C"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《关于落实省大气污染防治行动计划实施方案</w:t>
            </w:r>
            <w:r w:rsidRPr="00F9162B">
              <w:rPr>
                <w:rFonts w:ascii="Times New Roman" w:eastAsia="宋体" w:hAnsi="Times New Roman" w:cs="Times New Roman"/>
                <w:szCs w:val="21"/>
              </w:rPr>
              <w:t xml:space="preserve"> </w:t>
            </w:r>
            <w:r w:rsidRPr="00F9162B">
              <w:rPr>
                <w:rFonts w:ascii="Times New Roman" w:eastAsia="宋体" w:hAnsi="Times New Roman" w:cs="Times New Roman"/>
                <w:szCs w:val="21"/>
              </w:rPr>
              <w:t>严格环境影响评价准入的通知》</w:t>
            </w:r>
            <w:r w:rsidRPr="00F9162B">
              <w:rPr>
                <w:rFonts w:ascii="Times New Roman" w:eastAsia="宋体" w:hAnsi="Times New Roman" w:cs="Times New Roman"/>
                <w:szCs w:val="21"/>
              </w:rPr>
              <w:t>(</w:t>
            </w:r>
            <w:r w:rsidRPr="00F9162B">
              <w:rPr>
                <w:rFonts w:ascii="Times New Roman" w:eastAsia="宋体" w:hAnsi="Times New Roman" w:cs="Times New Roman"/>
                <w:szCs w:val="21"/>
              </w:rPr>
              <w:t>苏环办</w:t>
            </w:r>
            <w:r w:rsidRPr="00F9162B">
              <w:rPr>
                <w:rFonts w:ascii="Times New Roman" w:eastAsia="宋体" w:hAnsi="Times New Roman" w:cs="Times New Roman"/>
                <w:szCs w:val="21"/>
              </w:rPr>
              <w:t>[2014]104</w:t>
            </w:r>
            <w:r w:rsidRPr="00F9162B">
              <w:rPr>
                <w:rFonts w:ascii="Times New Roman" w:eastAsia="宋体" w:hAnsi="Times New Roman" w:cs="Times New Roman"/>
                <w:szCs w:val="21"/>
              </w:rPr>
              <w:t>号</w:t>
            </w:r>
            <w:r w:rsidRPr="00F9162B">
              <w:rPr>
                <w:rFonts w:ascii="Times New Roman" w:eastAsia="宋体" w:hAnsi="Times New Roman" w:cs="Times New Roman"/>
                <w:szCs w:val="21"/>
              </w:rPr>
              <w:t>)</w:t>
            </w:r>
          </w:p>
        </w:tc>
        <w:tc>
          <w:tcPr>
            <w:tcW w:w="6521" w:type="dxa"/>
            <w:vAlign w:val="center"/>
          </w:tcPr>
          <w:p w14:paraId="16BF8D72"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w:t>
            </w:r>
            <w:r w:rsidRPr="00F9162B">
              <w:rPr>
                <w:rFonts w:ascii="Times New Roman" w:eastAsia="宋体" w:hAnsi="Times New Roman" w:cs="Times New Roman"/>
                <w:szCs w:val="21"/>
              </w:rPr>
              <w:t>严格落实规划与建设项目环境影响评价的联动机制</w:t>
            </w:r>
            <w:r w:rsidRPr="00F9162B">
              <w:rPr>
                <w:rFonts w:ascii="Times New Roman" w:eastAsia="宋体" w:hAnsi="Times New Roman" w:cs="Times New Roman"/>
                <w:szCs w:val="21"/>
              </w:rPr>
              <w:t>”</w:t>
            </w:r>
            <w:r w:rsidRPr="00F9162B">
              <w:rPr>
                <w:rFonts w:ascii="Times New Roman" w:eastAsia="宋体" w:hAnsi="Times New Roman" w:cs="Times New Roman"/>
                <w:szCs w:val="21"/>
              </w:rPr>
              <w:t>；</w:t>
            </w:r>
            <w:r w:rsidRPr="00F9162B">
              <w:rPr>
                <w:rFonts w:ascii="Times New Roman" w:eastAsia="宋体" w:hAnsi="Times New Roman" w:cs="Times New Roman"/>
                <w:szCs w:val="21"/>
              </w:rPr>
              <w:t xml:space="preserve"> “</w:t>
            </w:r>
            <w:r w:rsidRPr="00F9162B">
              <w:rPr>
                <w:rFonts w:ascii="Times New Roman" w:eastAsia="宋体" w:hAnsi="Times New Roman" w:cs="Times New Roman"/>
                <w:szCs w:val="21"/>
              </w:rPr>
              <w:t>新建项目禁止配套建设自备燃煤电站</w:t>
            </w:r>
            <w:r w:rsidRPr="00F9162B">
              <w:rPr>
                <w:rFonts w:ascii="Times New Roman" w:eastAsia="宋体" w:hAnsi="Times New Roman" w:cs="Times New Roman"/>
                <w:szCs w:val="21"/>
              </w:rPr>
              <w:t>”</w:t>
            </w:r>
            <w:r w:rsidRPr="00F9162B">
              <w:rPr>
                <w:rFonts w:ascii="Times New Roman" w:eastAsia="宋体" w:hAnsi="Times New Roman" w:cs="Times New Roman"/>
                <w:szCs w:val="21"/>
              </w:rPr>
              <w:t>；</w:t>
            </w:r>
            <w:r w:rsidRPr="00F9162B">
              <w:rPr>
                <w:rFonts w:ascii="Times New Roman" w:eastAsia="宋体" w:hAnsi="Times New Roman" w:cs="Times New Roman"/>
                <w:szCs w:val="21"/>
              </w:rPr>
              <w:t>“</w:t>
            </w:r>
            <w:r w:rsidRPr="00F9162B">
              <w:rPr>
                <w:rFonts w:ascii="Times New Roman" w:eastAsia="宋体" w:hAnsi="Times New Roman" w:cs="Times New Roman"/>
                <w:szCs w:val="21"/>
              </w:rPr>
              <w:t>新建排放二氧化硫、氮氧化物、烟粉尘、挥发性有机物的项目，实行现役源</w:t>
            </w:r>
            <w:r w:rsidRPr="00F9162B">
              <w:rPr>
                <w:rFonts w:ascii="Times New Roman" w:eastAsia="宋体" w:hAnsi="Times New Roman" w:cs="Times New Roman"/>
                <w:szCs w:val="21"/>
              </w:rPr>
              <w:t>2</w:t>
            </w:r>
            <w:r w:rsidRPr="00F9162B">
              <w:rPr>
                <w:rFonts w:ascii="Times New Roman" w:eastAsia="宋体" w:hAnsi="Times New Roman" w:cs="Times New Roman"/>
                <w:szCs w:val="21"/>
              </w:rPr>
              <w:t>倍削减量替代。</w:t>
            </w:r>
          </w:p>
        </w:tc>
        <w:tc>
          <w:tcPr>
            <w:tcW w:w="4253" w:type="dxa"/>
            <w:vAlign w:val="center"/>
          </w:tcPr>
          <w:p w14:paraId="4DA20A95"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项目位于赣榆海州湾生物科技园。该园区已通过区域环境影响评价。本项目建成后，大气污染物排放总量在现有项目已批总量内平衡。</w:t>
            </w:r>
          </w:p>
        </w:tc>
        <w:tc>
          <w:tcPr>
            <w:tcW w:w="832" w:type="dxa"/>
            <w:vAlign w:val="center"/>
          </w:tcPr>
          <w:p w14:paraId="5C7CCA7F" w14:textId="77777777" w:rsidR="002133E3" w:rsidRPr="00F9162B" w:rsidRDefault="002133E3">
            <w:pPr>
              <w:snapToGrid w:val="0"/>
              <w:jc w:val="center"/>
              <w:rPr>
                <w:rFonts w:ascii="Times New Roman" w:eastAsia="宋体" w:hAnsi="Times New Roman" w:cs="Times New Roman"/>
                <w:szCs w:val="21"/>
              </w:rPr>
            </w:pPr>
          </w:p>
        </w:tc>
      </w:tr>
      <w:tr w:rsidR="002133E3" w:rsidRPr="00F9162B" w14:paraId="40E2755D" w14:textId="77777777">
        <w:trPr>
          <w:trHeight w:val="284"/>
          <w:jc w:val="center"/>
        </w:trPr>
        <w:tc>
          <w:tcPr>
            <w:tcW w:w="575" w:type="dxa"/>
            <w:vAlign w:val="center"/>
          </w:tcPr>
          <w:p w14:paraId="2951BC93"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2</w:t>
            </w:r>
          </w:p>
        </w:tc>
        <w:tc>
          <w:tcPr>
            <w:tcW w:w="2415" w:type="dxa"/>
            <w:vAlign w:val="center"/>
          </w:tcPr>
          <w:p w14:paraId="3FBC2CA4"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《关于加强建设项目烟粉尘、挥发性有机物准入审核的通知》</w:t>
            </w:r>
            <w:r w:rsidRPr="00F9162B">
              <w:rPr>
                <w:rFonts w:ascii="Times New Roman" w:eastAsia="宋体" w:hAnsi="Times New Roman" w:cs="Times New Roman"/>
                <w:szCs w:val="21"/>
              </w:rPr>
              <w:t>(</w:t>
            </w:r>
            <w:r w:rsidRPr="00F9162B">
              <w:rPr>
                <w:rFonts w:ascii="Times New Roman" w:eastAsia="宋体" w:hAnsi="Times New Roman" w:cs="Times New Roman"/>
                <w:szCs w:val="21"/>
              </w:rPr>
              <w:t>苏环办</w:t>
            </w:r>
            <w:r w:rsidRPr="00F9162B">
              <w:rPr>
                <w:rFonts w:ascii="Times New Roman" w:eastAsia="宋体" w:hAnsi="Times New Roman" w:cs="Times New Roman"/>
                <w:szCs w:val="21"/>
              </w:rPr>
              <w:t>[2014]148</w:t>
            </w:r>
            <w:r w:rsidRPr="00F9162B">
              <w:rPr>
                <w:rFonts w:ascii="Times New Roman" w:eastAsia="宋体" w:hAnsi="Times New Roman" w:cs="Times New Roman"/>
                <w:szCs w:val="21"/>
              </w:rPr>
              <w:t>号</w:t>
            </w:r>
            <w:r w:rsidRPr="00F9162B">
              <w:rPr>
                <w:rFonts w:ascii="Times New Roman" w:eastAsia="宋体" w:hAnsi="Times New Roman" w:cs="Times New Roman"/>
                <w:szCs w:val="21"/>
              </w:rPr>
              <w:t>)</w:t>
            </w:r>
          </w:p>
        </w:tc>
        <w:tc>
          <w:tcPr>
            <w:tcW w:w="6521" w:type="dxa"/>
            <w:vAlign w:val="center"/>
          </w:tcPr>
          <w:p w14:paraId="3109763B"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新、改、扩建排放烟粉尘、挥发性有机物的项目，实行现役源</w:t>
            </w:r>
            <w:r w:rsidRPr="00F9162B">
              <w:rPr>
                <w:rFonts w:ascii="Times New Roman" w:eastAsia="宋体" w:hAnsi="Times New Roman" w:cs="Times New Roman"/>
                <w:szCs w:val="21"/>
              </w:rPr>
              <w:t>2</w:t>
            </w:r>
            <w:r w:rsidRPr="00F9162B">
              <w:rPr>
                <w:rFonts w:ascii="Times New Roman" w:eastAsia="宋体" w:hAnsi="Times New Roman" w:cs="Times New Roman"/>
                <w:szCs w:val="21"/>
              </w:rPr>
              <w:t>倍削减量替代或关闭类项目</w:t>
            </w:r>
            <w:r w:rsidRPr="00F9162B">
              <w:rPr>
                <w:rFonts w:ascii="Times New Roman" w:eastAsia="宋体" w:hAnsi="Times New Roman" w:cs="Times New Roman"/>
                <w:szCs w:val="21"/>
              </w:rPr>
              <w:t>1.5</w:t>
            </w:r>
            <w:r w:rsidRPr="00F9162B">
              <w:rPr>
                <w:rFonts w:ascii="Times New Roman" w:eastAsia="宋体" w:hAnsi="Times New Roman" w:cs="Times New Roman"/>
                <w:szCs w:val="21"/>
              </w:rPr>
              <w:t>倍削减量替代。</w:t>
            </w:r>
          </w:p>
        </w:tc>
        <w:tc>
          <w:tcPr>
            <w:tcW w:w="4253" w:type="dxa"/>
            <w:vAlign w:val="center"/>
          </w:tcPr>
          <w:p w14:paraId="5309896D"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项目位于赣榆海州湾生物科技园。该园区已通过区域环境影响评价。本项目建成后，大气污染物排放总量在现有项目已批总量内平衡。</w:t>
            </w:r>
          </w:p>
        </w:tc>
        <w:tc>
          <w:tcPr>
            <w:tcW w:w="832" w:type="dxa"/>
            <w:vAlign w:val="center"/>
          </w:tcPr>
          <w:p w14:paraId="2FEA0C31" w14:textId="77777777" w:rsidR="002133E3" w:rsidRPr="00F9162B" w:rsidRDefault="002133E3">
            <w:pPr>
              <w:snapToGrid w:val="0"/>
              <w:jc w:val="center"/>
              <w:rPr>
                <w:rFonts w:ascii="Times New Roman" w:eastAsia="宋体" w:hAnsi="Times New Roman" w:cs="Times New Roman"/>
                <w:szCs w:val="21"/>
              </w:rPr>
            </w:pPr>
          </w:p>
        </w:tc>
      </w:tr>
      <w:tr w:rsidR="002133E3" w:rsidRPr="00F9162B" w14:paraId="2C648CC6" w14:textId="77777777">
        <w:trPr>
          <w:trHeight w:val="284"/>
          <w:jc w:val="center"/>
        </w:trPr>
        <w:tc>
          <w:tcPr>
            <w:tcW w:w="575" w:type="dxa"/>
            <w:vAlign w:val="center"/>
          </w:tcPr>
          <w:p w14:paraId="4ABD4827"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6</w:t>
            </w:r>
          </w:p>
        </w:tc>
        <w:tc>
          <w:tcPr>
            <w:tcW w:w="2415" w:type="dxa"/>
            <w:vAlign w:val="center"/>
          </w:tcPr>
          <w:p w14:paraId="5A85D210"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w:t>
            </w:r>
            <w:r w:rsidRPr="00F9162B">
              <w:rPr>
                <w:rFonts w:ascii="Times New Roman" w:eastAsia="宋体" w:hAnsi="Times New Roman" w:cs="Times New Roman"/>
                <w:kern w:val="32"/>
                <w:szCs w:val="24"/>
              </w:rPr>
              <w:t>中共江苏省委江苏省人民政府关于印发〈</w:t>
            </w:r>
            <w:r w:rsidRPr="00F9162B">
              <w:rPr>
                <w:rFonts w:ascii="Times New Roman" w:eastAsia="宋体" w:hAnsi="Times New Roman" w:cs="Times New Roman"/>
                <w:kern w:val="32"/>
                <w:szCs w:val="24"/>
              </w:rPr>
              <w:t>“</w:t>
            </w:r>
            <w:r w:rsidRPr="00F9162B">
              <w:rPr>
                <w:rFonts w:ascii="Times New Roman" w:eastAsia="宋体" w:hAnsi="Times New Roman" w:cs="Times New Roman"/>
                <w:kern w:val="32"/>
                <w:szCs w:val="24"/>
              </w:rPr>
              <w:t>两减六治三提升</w:t>
            </w:r>
            <w:r w:rsidRPr="00F9162B">
              <w:rPr>
                <w:rFonts w:ascii="Times New Roman" w:eastAsia="宋体" w:hAnsi="Times New Roman" w:cs="Times New Roman"/>
                <w:kern w:val="32"/>
                <w:szCs w:val="24"/>
              </w:rPr>
              <w:t>”</w:t>
            </w:r>
            <w:r w:rsidRPr="00F9162B">
              <w:rPr>
                <w:rFonts w:ascii="Times New Roman" w:eastAsia="宋体" w:hAnsi="Times New Roman" w:cs="Times New Roman"/>
                <w:kern w:val="32"/>
                <w:szCs w:val="24"/>
              </w:rPr>
              <w:t>专项行动方案〉的通知》</w:t>
            </w:r>
            <w:r w:rsidRPr="00F9162B">
              <w:rPr>
                <w:rFonts w:ascii="Times New Roman" w:eastAsia="宋体" w:hAnsi="Times New Roman" w:cs="Times New Roman"/>
                <w:kern w:val="32"/>
                <w:szCs w:val="24"/>
              </w:rPr>
              <w:t>(</w:t>
            </w:r>
            <w:r w:rsidRPr="00F9162B">
              <w:rPr>
                <w:rFonts w:ascii="Times New Roman" w:eastAsia="宋体" w:hAnsi="Times New Roman" w:cs="Times New Roman"/>
                <w:kern w:val="32"/>
                <w:szCs w:val="24"/>
              </w:rPr>
              <w:t>苏发</w:t>
            </w:r>
            <w:r w:rsidRPr="00F9162B">
              <w:rPr>
                <w:rFonts w:ascii="Times New Roman" w:eastAsia="宋体" w:hAnsi="Times New Roman" w:cs="Times New Roman"/>
                <w:szCs w:val="21"/>
              </w:rPr>
              <w:t>[</w:t>
            </w:r>
            <w:r w:rsidRPr="00F9162B">
              <w:rPr>
                <w:rFonts w:ascii="Times New Roman" w:eastAsia="宋体" w:hAnsi="Times New Roman" w:cs="Times New Roman"/>
                <w:kern w:val="32"/>
                <w:szCs w:val="24"/>
              </w:rPr>
              <w:t>2016</w:t>
            </w:r>
            <w:r w:rsidRPr="00F9162B">
              <w:rPr>
                <w:rFonts w:ascii="Times New Roman" w:eastAsia="宋体" w:hAnsi="Times New Roman" w:cs="Times New Roman"/>
                <w:szCs w:val="21"/>
              </w:rPr>
              <w:t>]</w:t>
            </w:r>
            <w:r w:rsidRPr="00F9162B">
              <w:rPr>
                <w:rFonts w:ascii="Times New Roman" w:eastAsia="宋体" w:hAnsi="Times New Roman" w:cs="Times New Roman"/>
                <w:kern w:val="32"/>
                <w:szCs w:val="24"/>
              </w:rPr>
              <w:t>47</w:t>
            </w:r>
            <w:r w:rsidRPr="00F9162B">
              <w:rPr>
                <w:rFonts w:ascii="Times New Roman" w:eastAsia="宋体" w:hAnsi="Times New Roman" w:cs="Times New Roman"/>
                <w:kern w:val="32"/>
                <w:szCs w:val="24"/>
              </w:rPr>
              <w:t>号</w:t>
            </w:r>
            <w:r w:rsidRPr="00F9162B">
              <w:rPr>
                <w:rFonts w:ascii="Times New Roman" w:eastAsia="宋体" w:hAnsi="Times New Roman" w:cs="Times New Roman"/>
                <w:kern w:val="32"/>
                <w:szCs w:val="24"/>
              </w:rPr>
              <w:t>)</w:t>
            </w:r>
          </w:p>
        </w:tc>
        <w:tc>
          <w:tcPr>
            <w:tcW w:w="6521" w:type="dxa"/>
            <w:vAlign w:val="center"/>
          </w:tcPr>
          <w:p w14:paraId="5AD89E1B"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 xml:space="preserve"> “</w:t>
            </w:r>
            <w:r w:rsidRPr="00F9162B">
              <w:rPr>
                <w:rFonts w:ascii="Times New Roman" w:eastAsia="宋体" w:hAnsi="Times New Roman" w:cs="Times New Roman"/>
                <w:szCs w:val="21"/>
              </w:rPr>
              <w:t>六治</w:t>
            </w:r>
            <w:r w:rsidRPr="00F9162B">
              <w:rPr>
                <w:rFonts w:ascii="Times New Roman" w:eastAsia="宋体" w:hAnsi="Times New Roman" w:cs="Times New Roman"/>
                <w:szCs w:val="21"/>
              </w:rPr>
              <w:t>”</w:t>
            </w:r>
            <w:r w:rsidRPr="00F9162B">
              <w:rPr>
                <w:rFonts w:ascii="Times New Roman" w:eastAsia="宋体" w:hAnsi="Times New Roman" w:cs="Times New Roman"/>
                <w:szCs w:val="21"/>
              </w:rPr>
              <w:t>即治理太湖水环境、治理生活垃圾、治理黑臭水体、治理畜禽养殖污染、治理挥发性有机物污染、治理环境隐患。到</w:t>
            </w:r>
            <w:r w:rsidRPr="00F9162B">
              <w:rPr>
                <w:rFonts w:ascii="Times New Roman" w:eastAsia="宋体" w:hAnsi="Times New Roman" w:cs="Times New Roman"/>
                <w:szCs w:val="21"/>
              </w:rPr>
              <w:t>2020</w:t>
            </w:r>
            <w:r w:rsidRPr="00F9162B">
              <w:rPr>
                <w:rFonts w:ascii="Times New Roman" w:eastAsia="宋体" w:hAnsi="Times New Roman" w:cs="Times New Roman"/>
                <w:szCs w:val="21"/>
              </w:rPr>
              <w:t>年，太湖湖体高锰酸盐指数和氨氮稳定保持在</w:t>
            </w:r>
            <w:r w:rsidRPr="00F9162B">
              <w:rPr>
                <w:rFonts w:ascii="宋体" w:eastAsia="宋体" w:hAnsi="宋体" w:cs="宋体" w:hint="eastAsia"/>
                <w:szCs w:val="21"/>
              </w:rPr>
              <w:t>Ⅱ</w:t>
            </w:r>
            <w:r w:rsidRPr="00F9162B">
              <w:rPr>
                <w:rFonts w:ascii="Times New Roman" w:eastAsia="宋体" w:hAnsi="Times New Roman" w:cs="Times New Roman"/>
                <w:szCs w:val="21"/>
              </w:rPr>
              <w:t>类，总磷达到</w:t>
            </w:r>
            <w:r w:rsidRPr="00F9162B">
              <w:rPr>
                <w:rFonts w:ascii="宋体" w:eastAsia="宋体" w:hAnsi="宋体" w:cs="宋体" w:hint="eastAsia"/>
                <w:szCs w:val="21"/>
              </w:rPr>
              <w:t>Ⅲ</w:t>
            </w:r>
            <w:r w:rsidRPr="00F9162B">
              <w:rPr>
                <w:rFonts w:ascii="Times New Roman" w:eastAsia="宋体" w:hAnsi="Times New Roman" w:cs="Times New Roman"/>
                <w:szCs w:val="21"/>
              </w:rPr>
              <w:t>类，总氮达到</w:t>
            </w:r>
            <w:r w:rsidRPr="00F9162B">
              <w:rPr>
                <w:rFonts w:ascii="宋体" w:eastAsia="宋体" w:hAnsi="宋体" w:cs="宋体" w:hint="eastAsia"/>
                <w:szCs w:val="21"/>
              </w:rPr>
              <w:t>Ⅴ</w:t>
            </w:r>
            <w:r w:rsidRPr="00F9162B">
              <w:rPr>
                <w:rFonts w:ascii="Times New Roman" w:eastAsia="宋体" w:hAnsi="Times New Roman" w:cs="Times New Roman"/>
                <w:szCs w:val="21"/>
              </w:rPr>
              <w:t>类，流域总磷、总氮污染物排放量均比</w:t>
            </w:r>
            <w:r w:rsidRPr="00F9162B">
              <w:rPr>
                <w:rFonts w:ascii="Times New Roman" w:eastAsia="宋体" w:hAnsi="Times New Roman" w:cs="Times New Roman"/>
                <w:szCs w:val="21"/>
              </w:rPr>
              <w:t>2015</w:t>
            </w:r>
            <w:r w:rsidRPr="00F9162B">
              <w:rPr>
                <w:rFonts w:ascii="Times New Roman" w:eastAsia="宋体" w:hAnsi="Times New Roman" w:cs="Times New Roman"/>
                <w:szCs w:val="21"/>
              </w:rPr>
              <w:t>年消减</w:t>
            </w:r>
            <w:r w:rsidRPr="00F9162B">
              <w:rPr>
                <w:rFonts w:ascii="Times New Roman" w:eastAsia="宋体" w:hAnsi="Times New Roman" w:cs="Times New Roman"/>
                <w:szCs w:val="21"/>
              </w:rPr>
              <w:t>16%</w:t>
            </w:r>
            <w:r w:rsidRPr="00F9162B">
              <w:rPr>
                <w:rFonts w:ascii="Times New Roman" w:eastAsia="宋体" w:hAnsi="Times New Roman" w:cs="Times New Roman"/>
                <w:szCs w:val="21"/>
              </w:rPr>
              <w:t>以上；设区市建成区生活垃圾分类设施覆盖率达到</w:t>
            </w:r>
            <w:r w:rsidRPr="00F9162B">
              <w:rPr>
                <w:rFonts w:ascii="Times New Roman" w:eastAsia="宋体" w:hAnsi="Times New Roman" w:cs="Times New Roman"/>
                <w:szCs w:val="21"/>
              </w:rPr>
              <w:t>70%</w:t>
            </w:r>
            <w:r w:rsidRPr="00F9162B">
              <w:rPr>
                <w:rFonts w:ascii="Times New Roman" w:eastAsia="宋体" w:hAnsi="Times New Roman" w:cs="Times New Roman"/>
                <w:szCs w:val="21"/>
              </w:rPr>
              <w:t>，其他城市建成区生活垃圾分类设施覆盖率达到</w:t>
            </w:r>
            <w:r w:rsidRPr="00F9162B">
              <w:rPr>
                <w:rFonts w:ascii="Times New Roman" w:eastAsia="宋体" w:hAnsi="Times New Roman" w:cs="Times New Roman"/>
                <w:szCs w:val="21"/>
              </w:rPr>
              <w:t>60%</w:t>
            </w:r>
            <w:r w:rsidRPr="00F9162B">
              <w:rPr>
                <w:rFonts w:ascii="Times New Roman" w:eastAsia="宋体" w:hAnsi="Times New Roman" w:cs="Times New Roman"/>
                <w:szCs w:val="21"/>
              </w:rPr>
              <w:t>，全省城乡生活垃圾无害化处理率达到</w:t>
            </w:r>
            <w:r w:rsidRPr="00F9162B">
              <w:rPr>
                <w:rFonts w:ascii="Times New Roman" w:eastAsia="宋体" w:hAnsi="Times New Roman" w:cs="Times New Roman"/>
                <w:szCs w:val="21"/>
              </w:rPr>
              <w:t>98%</w:t>
            </w:r>
            <w:r w:rsidRPr="00F9162B">
              <w:rPr>
                <w:rFonts w:ascii="Times New Roman" w:eastAsia="宋体" w:hAnsi="Times New Roman" w:cs="Times New Roman"/>
                <w:szCs w:val="21"/>
              </w:rPr>
              <w:t>以上；设区市建成区基本消除黑臭水体，同步牵头推进太湖流域所辖县</w:t>
            </w:r>
            <w:r w:rsidRPr="00F9162B">
              <w:rPr>
                <w:rFonts w:ascii="Times New Roman" w:eastAsia="宋体" w:hAnsi="Times New Roman" w:cs="Times New Roman"/>
                <w:szCs w:val="21"/>
              </w:rPr>
              <w:t>(</w:t>
            </w:r>
            <w:r w:rsidRPr="00F9162B">
              <w:rPr>
                <w:rFonts w:ascii="Times New Roman" w:eastAsia="宋体" w:hAnsi="Times New Roman" w:cs="Times New Roman"/>
                <w:szCs w:val="21"/>
              </w:rPr>
              <w:t>市</w:t>
            </w:r>
            <w:r w:rsidRPr="00F9162B">
              <w:rPr>
                <w:rFonts w:ascii="Times New Roman" w:eastAsia="宋体" w:hAnsi="Times New Roman" w:cs="Times New Roman"/>
                <w:szCs w:val="21"/>
              </w:rPr>
              <w:t>)</w:t>
            </w:r>
            <w:r w:rsidRPr="00F9162B">
              <w:rPr>
                <w:rFonts w:ascii="Times New Roman" w:eastAsia="宋体" w:hAnsi="Times New Roman" w:cs="Times New Roman"/>
                <w:szCs w:val="21"/>
              </w:rPr>
              <w:t>建成区黑臭水体整治工作；到</w:t>
            </w:r>
            <w:r w:rsidRPr="00F9162B">
              <w:rPr>
                <w:rFonts w:ascii="Times New Roman" w:eastAsia="宋体" w:hAnsi="Times New Roman" w:cs="Times New Roman"/>
                <w:szCs w:val="21"/>
              </w:rPr>
              <w:t>2017</w:t>
            </w:r>
            <w:r w:rsidRPr="00F9162B">
              <w:rPr>
                <w:rFonts w:ascii="Times New Roman" w:eastAsia="宋体" w:hAnsi="Times New Roman" w:cs="Times New Roman"/>
                <w:szCs w:val="21"/>
              </w:rPr>
              <w:t>年、</w:t>
            </w:r>
            <w:r w:rsidRPr="00F9162B">
              <w:rPr>
                <w:rFonts w:ascii="Times New Roman" w:eastAsia="宋体" w:hAnsi="Times New Roman" w:cs="Times New Roman"/>
                <w:szCs w:val="21"/>
              </w:rPr>
              <w:t>2020</w:t>
            </w:r>
            <w:r w:rsidRPr="00F9162B">
              <w:rPr>
                <w:rFonts w:ascii="Times New Roman" w:eastAsia="宋体" w:hAnsi="Times New Roman" w:cs="Times New Roman"/>
                <w:szCs w:val="21"/>
              </w:rPr>
              <w:t>年规模化养殖场</w:t>
            </w:r>
            <w:r w:rsidRPr="00F9162B">
              <w:rPr>
                <w:rFonts w:ascii="Times New Roman" w:eastAsia="宋体" w:hAnsi="Times New Roman" w:cs="Times New Roman"/>
                <w:szCs w:val="21"/>
              </w:rPr>
              <w:t>(</w:t>
            </w:r>
            <w:r w:rsidRPr="00F9162B">
              <w:rPr>
                <w:rFonts w:ascii="Times New Roman" w:eastAsia="宋体" w:hAnsi="Times New Roman" w:cs="Times New Roman"/>
                <w:szCs w:val="21"/>
              </w:rPr>
              <w:t>小区</w:t>
            </w:r>
            <w:r w:rsidRPr="00F9162B">
              <w:rPr>
                <w:rFonts w:ascii="Times New Roman" w:eastAsia="宋体" w:hAnsi="Times New Roman" w:cs="Times New Roman"/>
                <w:szCs w:val="21"/>
              </w:rPr>
              <w:t>)</w:t>
            </w:r>
            <w:r w:rsidRPr="00F9162B">
              <w:rPr>
                <w:rFonts w:ascii="Times New Roman" w:eastAsia="宋体" w:hAnsi="Times New Roman" w:cs="Times New Roman"/>
                <w:szCs w:val="21"/>
              </w:rPr>
              <w:t>治理率分别达到</w:t>
            </w:r>
            <w:r w:rsidRPr="00F9162B">
              <w:rPr>
                <w:rFonts w:ascii="Times New Roman" w:eastAsia="宋体" w:hAnsi="Times New Roman" w:cs="Times New Roman"/>
                <w:szCs w:val="21"/>
              </w:rPr>
              <w:t>60%</w:t>
            </w:r>
            <w:r w:rsidRPr="00F9162B">
              <w:rPr>
                <w:rFonts w:ascii="Times New Roman" w:eastAsia="宋体" w:hAnsi="Times New Roman" w:cs="Times New Roman"/>
                <w:szCs w:val="21"/>
              </w:rPr>
              <w:t>、</w:t>
            </w:r>
            <w:r w:rsidRPr="00F9162B">
              <w:rPr>
                <w:rFonts w:ascii="Times New Roman" w:eastAsia="宋体" w:hAnsi="Times New Roman" w:cs="Times New Roman"/>
                <w:szCs w:val="21"/>
              </w:rPr>
              <w:t>90%</w:t>
            </w:r>
            <w:r w:rsidRPr="00F9162B">
              <w:rPr>
                <w:rFonts w:ascii="Times New Roman" w:eastAsia="宋体" w:hAnsi="Times New Roman" w:cs="Times New Roman"/>
                <w:szCs w:val="21"/>
              </w:rPr>
              <w:t>；全省挥发性有机物排放总量消减</w:t>
            </w:r>
            <w:r w:rsidRPr="00F9162B">
              <w:rPr>
                <w:rFonts w:ascii="Times New Roman" w:eastAsia="宋体" w:hAnsi="Times New Roman" w:cs="Times New Roman"/>
                <w:szCs w:val="21"/>
              </w:rPr>
              <w:t>20%</w:t>
            </w:r>
            <w:r w:rsidRPr="00F9162B">
              <w:rPr>
                <w:rFonts w:ascii="Times New Roman" w:eastAsia="宋体" w:hAnsi="Times New Roman" w:cs="Times New Roman"/>
                <w:szCs w:val="21"/>
              </w:rPr>
              <w:t>以上；环境风险隐患得到有效防范和化解。</w:t>
            </w:r>
          </w:p>
          <w:p w14:paraId="43365A09"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为落实《</w:t>
            </w:r>
            <w:r w:rsidRPr="00F9162B">
              <w:rPr>
                <w:rFonts w:ascii="Times New Roman" w:eastAsia="宋体" w:hAnsi="Times New Roman" w:cs="Times New Roman"/>
                <w:szCs w:val="21"/>
              </w:rPr>
              <w:t>“</w:t>
            </w:r>
            <w:r w:rsidRPr="00F9162B">
              <w:rPr>
                <w:rFonts w:ascii="Times New Roman" w:eastAsia="宋体" w:hAnsi="Times New Roman" w:cs="Times New Roman"/>
                <w:szCs w:val="21"/>
              </w:rPr>
              <w:t>两减六治三提升</w:t>
            </w:r>
            <w:r w:rsidRPr="00F9162B">
              <w:rPr>
                <w:rFonts w:ascii="Times New Roman" w:eastAsia="宋体" w:hAnsi="Times New Roman" w:cs="Times New Roman"/>
                <w:szCs w:val="21"/>
              </w:rPr>
              <w:t>”</w:t>
            </w:r>
            <w:r w:rsidRPr="00F9162B">
              <w:rPr>
                <w:rFonts w:ascii="Times New Roman" w:eastAsia="宋体" w:hAnsi="Times New Roman" w:cs="Times New Roman"/>
                <w:szCs w:val="21"/>
              </w:rPr>
              <w:t>专项行动方案》，采取更加系统、精准、严格的挥发性有机物治理措施，减少挥发性有机物排放总量，确保在实现</w:t>
            </w:r>
            <w:r w:rsidRPr="00F9162B">
              <w:rPr>
                <w:rFonts w:ascii="Times New Roman" w:eastAsia="宋体" w:hAnsi="Times New Roman" w:cs="Times New Roman"/>
                <w:szCs w:val="21"/>
              </w:rPr>
              <w:t>“</w:t>
            </w:r>
            <w:r w:rsidRPr="00F9162B">
              <w:rPr>
                <w:rFonts w:ascii="Times New Roman" w:eastAsia="宋体" w:hAnsi="Times New Roman" w:cs="Times New Roman"/>
                <w:szCs w:val="21"/>
              </w:rPr>
              <w:t>十三五</w:t>
            </w:r>
            <w:r w:rsidRPr="00F9162B">
              <w:rPr>
                <w:rFonts w:ascii="Times New Roman" w:eastAsia="宋体" w:hAnsi="Times New Roman" w:cs="Times New Roman"/>
                <w:szCs w:val="21"/>
              </w:rPr>
              <w:t>”</w:t>
            </w:r>
            <w:r w:rsidRPr="00F9162B">
              <w:rPr>
                <w:rFonts w:ascii="Times New Roman" w:eastAsia="宋体" w:hAnsi="Times New Roman" w:cs="Times New Roman"/>
                <w:szCs w:val="21"/>
              </w:rPr>
              <w:t>生态环境保护目标的基础上，更大幅度地改善环境空气质量，结合本省实际，制定了江苏省挥发性有机物污染治理专项行动实施方案。</w:t>
            </w:r>
          </w:p>
        </w:tc>
        <w:tc>
          <w:tcPr>
            <w:tcW w:w="4253" w:type="dxa"/>
            <w:vAlign w:val="center"/>
          </w:tcPr>
          <w:p w14:paraId="1728D826"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本项目生活垃圾由环卫部门统一清运处理，进行卫生填埋；车船直取产生挥发性有机废气，密闭收集输送至液体化工泊位现有油气处理装置处理。</w:t>
            </w:r>
          </w:p>
        </w:tc>
        <w:tc>
          <w:tcPr>
            <w:tcW w:w="832" w:type="dxa"/>
            <w:vAlign w:val="center"/>
          </w:tcPr>
          <w:p w14:paraId="14F8EB38"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符合</w:t>
            </w:r>
          </w:p>
        </w:tc>
      </w:tr>
      <w:tr w:rsidR="002133E3" w:rsidRPr="00F9162B" w14:paraId="2B7D22D6" w14:textId="77777777">
        <w:trPr>
          <w:trHeight w:val="284"/>
          <w:jc w:val="center"/>
        </w:trPr>
        <w:tc>
          <w:tcPr>
            <w:tcW w:w="575" w:type="dxa"/>
            <w:vAlign w:val="center"/>
          </w:tcPr>
          <w:p w14:paraId="28796212"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7</w:t>
            </w:r>
          </w:p>
        </w:tc>
        <w:tc>
          <w:tcPr>
            <w:tcW w:w="2415" w:type="dxa"/>
            <w:vAlign w:val="center"/>
          </w:tcPr>
          <w:p w14:paraId="53B413B8"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《挥发性有机物无组织排放控制标准》</w:t>
            </w:r>
            <w:r w:rsidRPr="00F9162B">
              <w:rPr>
                <w:rFonts w:ascii="Times New Roman" w:eastAsia="宋体" w:hAnsi="Times New Roman" w:cs="Times New Roman"/>
                <w:szCs w:val="21"/>
              </w:rPr>
              <w:t>(GB37822-2019)</w:t>
            </w:r>
          </w:p>
        </w:tc>
        <w:tc>
          <w:tcPr>
            <w:tcW w:w="6521" w:type="dxa"/>
            <w:vAlign w:val="center"/>
          </w:tcPr>
          <w:p w14:paraId="3E65691D"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 VOCs</w:t>
            </w:r>
            <w:r w:rsidRPr="00F9162B">
              <w:rPr>
                <w:rFonts w:ascii="Times New Roman" w:eastAsia="宋体" w:hAnsi="Times New Roman" w:cs="Times New Roman"/>
                <w:szCs w:val="21"/>
              </w:rPr>
              <w:t>物料转移和输送无组织排放控制要求</w:t>
            </w:r>
          </w:p>
          <w:p w14:paraId="537E4D42"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6.1</w:t>
            </w:r>
            <w:r w:rsidRPr="00F9162B">
              <w:rPr>
                <w:rFonts w:ascii="Times New Roman" w:eastAsia="宋体" w:hAnsi="Times New Roman" w:cs="Times New Roman"/>
                <w:szCs w:val="21"/>
              </w:rPr>
              <w:t>基本要求</w:t>
            </w:r>
          </w:p>
          <w:p w14:paraId="2F66C102"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6.1.1</w:t>
            </w:r>
            <w:r w:rsidRPr="00F9162B">
              <w:rPr>
                <w:rFonts w:ascii="Times New Roman" w:eastAsia="宋体" w:hAnsi="Times New Roman" w:cs="Times New Roman"/>
                <w:szCs w:val="21"/>
              </w:rPr>
              <w:t>液态</w:t>
            </w:r>
            <w:r w:rsidRPr="00F9162B">
              <w:rPr>
                <w:rFonts w:ascii="Times New Roman" w:eastAsia="宋体" w:hAnsi="Times New Roman" w:cs="Times New Roman"/>
                <w:szCs w:val="21"/>
              </w:rPr>
              <w:t>VOCs</w:t>
            </w:r>
            <w:r w:rsidRPr="00F9162B">
              <w:rPr>
                <w:rFonts w:ascii="Times New Roman" w:eastAsia="宋体" w:hAnsi="Times New Roman" w:cs="Times New Roman"/>
                <w:szCs w:val="21"/>
              </w:rPr>
              <w:t>物料应采用密闭管道输送。采用非管道输送方式转移液态</w:t>
            </w:r>
            <w:r w:rsidRPr="00F9162B">
              <w:rPr>
                <w:rFonts w:ascii="Times New Roman" w:eastAsia="宋体" w:hAnsi="Times New Roman" w:cs="Times New Roman"/>
                <w:szCs w:val="21"/>
              </w:rPr>
              <w:t>VOCs</w:t>
            </w:r>
            <w:r w:rsidRPr="00F9162B">
              <w:rPr>
                <w:rFonts w:ascii="Times New Roman" w:eastAsia="宋体" w:hAnsi="Times New Roman" w:cs="Times New Roman"/>
                <w:szCs w:val="21"/>
              </w:rPr>
              <w:t>物料时，应采用密闭容器、罐车。</w:t>
            </w:r>
          </w:p>
          <w:p w14:paraId="14073003"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6.1.2</w:t>
            </w:r>
            <w:r w:rsidRPr="00F9162B">
              <w:rPr>
                <w:rFonts w:ascii="Times New Roman" w:eastAsia="宋体" w:hAnsi="Times New Roman" w:cs="Times New Roman"/>
                <w:szCs w:val="21"/>
              </w:rPr>
              <w:t>粉状、粒状</w:t>
            </w:r>
            <w:r w:rsidRPr="00F9162B">
              <w:rPr>
                <w:rFonts w:ascii="Times New Roman" w:eastAsia="宋体" w:hAnsi="Times New Roman" w:cs="Times New Roman"/>
                <w:szCs w:val="21"/>
              </w:rPr>
              <w:t>VOCs</w:t>
            </w:r>
            <w:r w:rsidRPr="00F9162B">
              <w:rPr>
                <w:rFonts w:ascii="Times New Roman" w:eastAsia="宋体" w:hAnsi="Times New Roman" w:cs="Times New Roman"/>
                <w:szCs w:val="21"/>
              </w:rPr>
              <w:t>物料应采用气力输送设备、管状带式输送机、螺旋输送机等密闭输送方式，或者采用密闭的包装袋、容器或罐车进行物料转移。</w:t>
            </w:r>
          </w:p>
          <w:p w14:paraId="72C9A519"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6.1.3</w:t>
            </w:r>
            <w:r w:rsidRPr="00F9162B">
              <w:rPr>
                <w:rFonts w:ascii="Times New Roman" w:eastAsia="宋体" w:hAnsi="Times New Roman" w:cs="Times New Roman"/>
                <w:szCs w:val="21"/>
              </w:rPr>
              <w:t>对挥发性有机液体进行装载时，应符合</w:t>
            </w:r>
            <w:r w:rsidRPr="00F9162B">
              <w:rPr>
                <w:rFonts w:ascii="Times New Roman" w:eastAsia="宋体" w:hAnsi="Times New Roman" w:cs="Times New Roman"/>
                <w:szCs w:val="21"/>
              </w:rPr>
              <w:t>6.2</w:t>
            </w:r>
            <w:r w:rsidRPr="00F9162B">
              <w:rPr>
                <w:rFonts w:ascii="Times New Roman" w:eastAsia="宋体" w:hAnsi="Times New Roman" w:cs="Times New Roman"/>
                <w:szCs w:val="21"/>
              </w:rPr>
              <w:t>条规定。</w:t>
            </w:r>
          </w:p>
          <w:p w14:paraId="3CCFB142"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6.2</w:t>
            </w:r>
            <w:r w:rsidRPr="00F9162B">
              <w:rPr>
                <w:rFonts w:ascii="Times New Roman" w:eastAsia="宋体" w:hAnsi="Times New Roman" w:cs="Times New Roman"/>
                <w:szCs w:val="21"/>
              </w:rPr>
              <w:t>挥发性有机液体装载</w:t>
            </w:r>
          </w:p>
          <w:p w14:paraId="06D01084"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6.2.1</w:t>
            </w:r>
            <w:r w:rsidRPr="00F9162B">
              <w:rPr>
                <w:rFonts w:ascii="Times New Roman" w:eastAsia="宋体" w:hAnsi="Times New Roman" w:cs="Times New Roman"/>
                <w:szCs w:val="21"/>
              </w:rPr>
              <w:t>装载方式</w:t>
            </w:r>
          </w:p>
          <w:p w14:paraId="77163BC4"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lastRenderedPageBreak/>
              <w:t>挥发性有机液体应采用底部装载方式；若采用顶部浸没式装载，出料管口距离槽</w:t>
            </w:r>
            <w:r w:rsidRPr="00F9162B">
              <w:rPr>
                <w:rFonts w:ascii="Times New Roman" w:eastAsia="宋体" w:hAnsi="Times New Roman" w:cs="Times New Roman"/>
                <w:szCs w:val="21"/>
              </w:rPr>
              <w:t>(</w:t>
            </w:r>
            <w:r w:rsidRPr="00F9162B">
              <w:rPr>
                <w:rFonts w:ascii="Times New Roman" w:eastAsia="宋体" w:hAnsi="Times New Roman" w:cs="Times New Roman"/>
                <w:szCs w:val="21"/>
              </w:rPr>
              <w:t>罐</w:t>
            </w:r>
            <w:r w:rsidRPr="00F9162B">
              <w:rPr>
                <w:rFonts w:ascii="Times New Roman" w:eastAsia="宋体" w:hAnsi="Times New Roman" w:cs="Times New Roman"/>
                <w:szCs w:val="21"/>
              </w:rPr>
              <w:t>)</w:t>
            </w:r>
            <w:r w:rsidRPr="00F9162B">
              <w:rPr>
                <w:rFonts w:ascii="Times New Roman" w:eastAsia="宋体" w:hAnsi="Times New Roman" w:cs="Times New Roman"/>
                <w:szCs w:val="21"/>
              </w:rPr>
              <w:t>底部高度应小于</w:t>
            </w:r>
            <w:r w:rsidRPr="00F9162B">
              <w:rPr>
                <w:rFonts w:ascii="Times New Roman" w:eastAsia="宋体" w:hAnsi="Times New Roman" w:cs="Times New Roman"/>
                <w:szCs w:val="21"/>
              </w:rPr>
              <w:t>200mm</w:t>
            </w:r>
            <w:r w:rsidRPr="00F9162B">
              <w:rPr>
                <w:rFonts w:ascii="Times New Roman" w:eastAsia="宋体" w:hAnsi="Times New Roman" w:cs="Times New Roman"/>
                <w:szCs w:val="21"/>
              </w:rPr>
              <w:t>。</w:t>
            </w:r>
          </w:p>
          <w:p w14:paraId="2AFFC7AA"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6.2.2</w:t>
            </w:r>
            <w:r w:rsidRPr="00F9162B">
              <w:rPr>
                <w:rFonts w:ascii="Times New Roman" w:eastAsia="宋体" w:hAnsi="Times New Roman" w:cs="Times New Roman"/>
                <w:szCs w:val="21"/>
              </w:rPr>
              <w:t>装载控制要求</w:t>
            </w:r>
          </w:p>
          <w:p w14:paraId="319B892B"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装载物料真实蒸气压</w:t>
            </w:r>
            <w:r w:rsidRPr="00F9162B">
              <w:rPr>
                <w:rFonts w:ascii="Times New Roman" w:eastAsia="宋体" w:hAnsi="Times New Roman" w:cs="Times New Roman"/>
                <w:szCs w:val="21"/>
              </w:rPr>
              <w:t>≥27.6kPa</w:t>
            </w:r>
            <w:r w:rsidRPr="00F9162B">
              <w:rPr>
                <w:rFonts w:ascii="Times New Roman" w:eastAsia="宋体" w:hAnsi="Times New Roman" w:cs="Times New Roman"/>
                <w:szCs w:val="21"/>
              </w:rPr>
              <w:t>且单一装载设施的年装载量</w:t>
            </w:r>
            <w:r w:rsidRPr="00F9162B">
              <w:rPr>
                <w:rFonts w:ascii="Times New Roman" w:eastAsia="宋体" w:hAnsi="Times New Roman" w:cs="Times New Roman"/>
                <w:szCs w:val="21"/>
              </w:rPr>
              <w:t>≥500m3</w:t>
            </w:r>
            <w:r w:rsidRPr="00F9162B">
              <w:rPr>
                <w:rFonts w:ascii="Times New Roman" w:eastAsia="宋体" w:hAnsi="Times New Roman" w:cs="Times New Roman"/>
                <w:szCs w:val="21"/>
              </w:rPr>
              <w:t>的，装载过程应符合下列规定之一：</w:t>
            </w:r>
          </w:p>
          <w:p w14:paraId="36EA0A3E"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a)</w:t>
            </w:r>
            <w:r w:rsidRPr="00F9162B">
              <w:rPr>
                <w:rFonts w:ascii="Times New Roman" w:eastAsia="宋体" w:hAnsi="Times New Roman" w:cs="Times New Roman"/>
                <w:szCs w:val="21"/>
              </w:rPr>
              <w:t>排放的废气应收集处理并满足相关行业排放标准的要求</w:t>
            </w:r>
            <w:r w:rsidRPr="00F9162B">
              <w:rPr>
                <w:rFonts w:ascii="Times New Roman" w:eastAsia="宋体" w:hAnsi="Times New Roman" w:cs="Times New Roman"/>
                <w:szCs w:val="21"/>
              </w:rPr>
              <w:t>(</w:t>
            </w:r>
            <w:r w:rsidRPr="00F9162B">
              <w:rPr>
                <w:rFonts w:ascii="Times New Roman" w:eastAsia="宋体" w:hAnsi="Times New Roman" w:cs="Times New Roman"/>
                <w:szCs w:val="21"/>
              </w:rPr>
              <w:t>无行业排放标准的应满足</w:t>
            </w:r>
            <w:r w:rsidRPr="00F9162B">
              <w:rPr>
                <w:rFonts w:ascii="Times New Roman" w:eastAsia="宋体" w:hAnsi="Times New Roman" w:cs="Times New Roman"/>
                <w:szCs w:val="21"/>
              </w:rPr>
              <w:t>GB16297</w:t>
            </w:r>
            <w:r w:rsidRPr="00F9162B">
              <w:rPr>
                <w:rFonts w:ascii="Times New Roman" w:eastAsia="宋体" w:hAnsi="Times New Roman" w:cs="Times New Roman"/>
                <w:szCs w:val="21"/>
              </w:rPr>
              <w:t>的要求</w:t>
            </w:r>
            <w:r w:rsidRPr="00F9162B">
              <w:rPr>
                <w:rFonts w:ascii="Times New Roman" w:eastAsia="宋体" w:hAnsi="Times New Roman" w:cs="Times New Roman"/>
                <w:szCs w:val="21"/>
              </w:rPr>
              <w:t>)</w:t>
            </w:r>
            <w:r w:rsidRPr="00F9162B">
              <w:rPr>
                <w:rFonts w:ascii="Times New Roman" w:eastAsia="宋体" w:hAnsi="Times New Roman" w:cs="Times New Roman"/>
                <w:szCs w:val="21"/>
              </w:rPr>
              <w:t>，或者处理效率不低于</w:t>
            </w:r>
            <w:r w:rsidRPr="00F9162B">
              <w:rPr>
                <w:rFonts w:ascii="Times New Roman" w:eastAsia="宋体" w:hAnsi="Times New Roman" w:cs="Times New Roman"/>
                <w:szCs w:val="21"/>
              </w:rPr>
              <w:t>80%</w:t>
            </w:r>
            <w:r w:rsidRPr="00F9162B">
              <w:rPr>
                <w:rFonts w:ascii="Times New Roman" w:eastAsia="宋体" w:hAnsi="Times New Roman" w:cs="Times New Roman"/>
                <w:szCs w:val="21"/>
              </w:rPr>
              <w:t>；</w:t>
            </w:r>
            <w:r w:rsidRPr="00F9162B">
              <w:rPr>
                <w:rFonts w:ascii="Times New Roman" w:eastAsia="宋体" w:hAnsi="Times New Roman" w:cs="Times New Roman"/>
                <w:szCs w:val="21"/>
              </w:rPr>
              <w:t>b)</w:t>
            </w:r>
            <w:r w:rsidRPr="00F9162B">
              <w:rPr>
                <w:rFonts w:ascii="Times New Roman" w:eastAsia="宋体" w:hAnsi="Times New Roman" w:cs="Times New Roman"/>
                <w:szCs w:val="21"/>
              </w:rPr>
              <w:t>排放的废气连接至气相平衡系统。</w:t>
            </w:r>
          </w:p>
          <w:p w14:paraId="4B97BB46"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6.2.3</w:t>
            </w:r>
            <w:r w:rsidRPr="00F9162B">
              <w:rPr>
                <w:rFonts w:ascii="Times New Roman" w:eastAsia="宋体" w:hAnsi="Times New Roman" w:cs="Times New Roman"/>
                <w:szCs w:val="21"/>
              </w:rPr>
              <w:t>装载特别控制要求</w:t>
            </w:r>
          </w:p>
          <w:p w14:paraId="16F8429A"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装载物料真实蒸气压</w:t>
            </w:r>
            <w:r w:rsidRPr="00F9162B">
              <w:rPr>
                <w:rFonts w:ascii="Times New Roman" w:eastAsia="宋体" w:hAnsi="Times New Roman" w:cs="Times New Roman"/>
                <w:szCs w:val="21"/>
              </w:rPr>
              <w:t>≥27.6kPa</w:t>
            </w:r>
            <w:r w:rsidRPr="00F9162B">
              <w:rPr>
                <w:rFonts w:ascii="Times New Roman" w:eastAsia="宋体" w:hAnsi="Times New Roman" w:cs="Times New Roman"/>
                <w:szCs w:val="21"/>
              </w:rPr>
              <w:t>且单一装载设施的年装载量</w:t>
            </w:r>
            <w:r w:rsidRPr="00F9162B">
              <w:rPr>
                <w:rFonts w:ascii="Times New Roman" w:eastAsia="宋体" w:hAnsi="Times New Roman" w:cs="Times New Roman"/>
                <w:szCs w:val="21"/>
              </w:rPr>
              <w:t>≥500m3</w:t>
            </w:r>
            <w:r w:rsidRPr="00F9162B">
              <w:rPr>
                <w:rFonts w:ascii="Times New Roman" w:eastAsia="宋体" w:hAnsi="Times New Roman" w:cs="Times New Roman"/>
                <w:szCs w:val="21"/>
              </w:rPr>
              <w:t>，以及装载物料真实蒸气压</w:t>
            </w:r>
            <w:r w:rsidRPr="00F9162B">
              <w:rPr>
                <w:rFonts w:ascii="Times New Roman" w:eastAsia="宋体" w:hAnsi="Times New Roman" w:cs="Times New Roman"/>
                <w:szCs w:val="21"/>
              </w:rPr>
              <w:t>≥5.2kPa</w:t>
            </w:r>
            <w:r w:rsidRPr="00F9162B">
              <w:rPr>
                <w:rFonts w:ascii="Times New Roman" w:eastAsia="宋体" w:hAnsi="Times New Roman" w:cs="Times New Roman"/>
                <w:szCs w:val="21"/>
              </w:rPr>
              <w:t>但</w:t>
            </w:r>
            <w:r w:rsidRPr="00F9162B">
              <w:rPr>
                <w:rFonts w:ascii="Times New Roman" w:eastAsia="宋体" w:hAnsi="Times New Roman" w:cs="Times New Roman"/>
                <w:szCs w:val="21"/>
              </w:rPr>
              <w:t>&lt;27.6kPa</w:t>
            </w:r>
            <w:r w:rsidRPr="00F9162B">
              <w:rPr>
                <w:rFonts w:ascii="Times New Roman" w:eastAsia="宋体" w:hAnsi="Times New Roman" w:cs="Times New Roman"/>
                <w:szCs w:val="21"/>
              </w:rPr>
              <w:t>且单一装载设施的年装载量</w:t>
            </w:r>
            <w:r w:rsidRPr="00F9162B">
              <w:rPr>
                <w:rFonts w:ascii="Times New Roman" w:eastAsia="宋体" w:hAnsi="Times New Roman" w:cs="Times New Roman"/>
                <w:szCs w:val="21"/>
              </w:rPr>
              <w:t>≥2500m</w:t>
            </w:r>
            <w:r w:rsidRPr="00F9162B">
              <w:rPr>
                <w:rFonts w:ascii="Times New Roman" w:eastAsia="宋体" w:hAnsi="Times New Roman" w:cs="Times New Roman"/>
                <w:szCs w:val="21"/>
                <w:vertAlign w:val="superscript"/>
              </w:rPr>
              <w:t>3</w:t>
            </w:r>
            <w:r w:rsidRPr="00F9162B">
              <w:rPr>
                <w:rFonts w:ascii="Times New Roman" w:eastAsia="宋体" w:hAnsi="Times New Roman" w:cs="Times New Roman"/>
                <w:szCs w:val="21"/>
              </w:rPr>
              <w:t>的，装载过程应符合下列规定之一：</w:t>
            </w:r>
          </w:p>
          <w:p w14:paraId="4D1FBD13"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a)</w:t>
            </w:r>
            <w:r w:rsidRPr="00F9162B">
              <w:rPr>
                <w:rFonts w:ascii="Times New Roman" w:eastAsia="宋体" w:hAnsi="Times New Roman" w:cs="Times New Roman"/>
                <w:szCs w:val="21"/>
              </w:rPr>
              <w:t>排放的废气应收集处理并满足相关行业排放标准的要求</w:t>
            </w:r>
            <w:r w:rsidRPr="00F9162B">
              <w:rPr>
                <w:rFonts w:ascii="Times New Roman" w:eastAsia="宋体" w:hAnsi="Times New Roman" w:cs="Times New Roman"/>
                <w:szCs w:val="21"/>
              </w:rPr>
              <w:t>(</w:t>
            </w:r>
            <w:r w:rsidRPr="00F9162B">
              <w:rPr>
                <w:rFonts w:ascii="Times New Roman" w:eastAsia="宋体" w:hAnsi="Times New Roman" w:cs="Times New Roman"/>
                <w:szCs w:val="21"/>
              </w:rPr>
              <w:t>无行业排放标准的应满足</w:t>
            </w:r>
            <w:r w:rsidRPr="00F9162B">
              <w:rPr>
                <w:rFonts w:ascii="Times New Roman" w:eastAsia="宋体" w:hAnsi="Times New Roman" w:cs="Times New Roman"/>
                <w:szCs w:val="21"/>
              </w:rPr>
              <w:t>GB16297</w:t>
            </w:r>
            <w:r w:rsidRPr="00F9162B">
              <w:rPr>
                <w:rFonts w:ascii="Times New Roman" w:eastAsia="宋体" w:hAnsi="Times New Roman" w:cs="Times New Roman"/>
                <w:szCs w:val="21"/>
              </w:rPr>
              <w:t>的要求</w:t>
            </w:r>
            <w:r w:rsidRPr="00F9162B">
              <w:rPr>
                <w:rFonts w:ascii="Times New Roman" w:eastAsia="宋体" w:hAnsi="Times New Roman" w:cs="Times New Roman"/>
                <w:szCs w:val="21"/>
              </w:rPr>
              <w:t>)</w:t>
            </w:r>
            <w:r w:rsidRPr="00F9162B">
              <w:rPr>
                <w:rFonts w:ascii="Times New Roman" w:eastAsia="宋体" w:hAnsi="Times New Roman" w:cs="Times New Roman"/>
                <w:szCs w:val="21"/>
              </w:rPr>
              <w:t>，或者处理效率不低于</w:t>
            </w:r>
            <w:r w:rsidRPr="00F9162B">
              <w:rPr>
                <w:rFonts w:ascii="Times New Roman" w:eastAsia="宋体" w:hAnsi="Times New Roman" w:cs="Times New Roman"/>
                <w:szCs w:val="21"/>
              </w:rPr>
              <w:t>90%</w:t>
            </w:r>
            <w:r w:rsidRPr="00F9162B">
              <w:rPr>
                <w:rFonts w:ascii="Times New Roman" w:eastAsia="宋体" w:hAnsi="Times New Roman" w:cs="Times New Roman"/>
                <w:szCs w:val="21"/>
              </w:rPr>
              <w:t>：</w:t>
            </w:r>
          </w:p>
          <w:p w14:paraId="55A56568"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b)</w:t>
            </w:r>
            <w:r w:rsidRPr="00F9162B">
              <w:rPr>
                <w:rFonts w:ascii="Times New Roman" w:eastAsia="宋体" w:hAnsi="Times New Roman" w:cs="Times New Roman"/>
                <w:szCs w:val="21"/>
              </w:rPr>
              <w:t>排放的废气连接至气相平衡系统。</w:t>
            </w:r>
          </w:p>
        </w:tc>
        <w:tc>
          <w:tcPr>
            <w:tcW w:w="4253" w:type="dxa"/>
            <w:vAlign w:val="center"/>
          </w:tcPr>
          <w:p w14:paraId="45302903"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lastRenderedPageBreak/>
              <w:t>1</w:t>
            </w:r>
            <w:r w:rsidRPr="00F9162B">
              <w:rPr>
                <w:rFonts w:ascii="Times New Roman" w:eastAsia="宋体" w:hAnsi="Times New Roman" w:cs="Times New Roman"/>
                <w:szCs w:val="21"/>
              </w:rPr>
              <w:t>、船舶靠泊后采用密闭管线输送至车船直取装车区，再通过罐车装载出港。</w:t>
            </w:r>
          </w:p>
          <w:p w14:paraId="63A236F2"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2</w:t>
            </w:r>
            <w:r w:rsidRPr="00F9162B">
              <w:rPr>
                <w:rFonts w:ascii="Times New Roman" w:eastAsia="宋体" w:hAnsi="Times New Roman" w:cs="Times New Roman"/>
                <w:szCs w:val="21"/>
              </w:rPr>
              <w:t>、本项目涉及的货种重油</w:t>
            </w:r>
            <w:r w:rsidRPr="00F9162B">
              <w:rPr>
                <w:rFonts w:ascii="Times New Roman" w:eastAsia="宋体" w:hAnsi="Times New Roman" w:cs="Times New Roman"/>
                <w:szCs w:val="21"/>
              </w:rPr>
              <w:t>(</w:t>
            </w:r>
            <w:r w:rsidRPr="00F9162B">
              <w:rPr>
                <w:rFonts w:ascii="Times New Roman" w:eastAsia="宋体" w:hAnsi="Times New Roman" w:cs="Times New Roman"/>
                <w:szCs w:val="21"/>
              </w:rPr>
              <w:t>闪点大于</w:t>
            </w:r>
            <w:r w:rsidRPr="00F9162B">
              <w:rPr>
                <w:rFonts w:ascii="Times New Roman" w:eastAsia="宋体" w:hAnsi="Times New Roman" w:cs="Times New Roman"/>
                <w:szCs w:val="21"/>
              </w:rPr>
              <w:t>120</w:t>
            </w:r>
            <w:r w:rsidRPr="00F9162B">
              <w:rPr>
                <w:rFonts w:ascii="宋体" w:eastAsia="宋体" w:hAnsi="宋体" w:cs="宋体" w:hint="eastAsia"/>
                <w:szCs w:val="21"/>
              </w:rPr>
              <w:t>℃</w:t>
            </w:r>
            <w:r w:rsidRPr="00F9162B">
              <w:rPr>
                <w:rFonts w:ascii="Times New Roman" w:eastAsia="宋体" w:hAnsi="Times New Roman" w:cs="Times New Roman"/>
                <w:szCs w:val="21"/>
              </w:rPr>
              <w:t>的燃料油</w:t>
            </w:r>
            <w:r w:rsidRPr="00F9162B">
              <w:rPr>
                <w:rFonts w:ascii="Times New Roman" w:eastAsia="宋体" w:hAnsi="Times New Roman" w:cs="Times New Roman"/>
                <w:szCs w:val="21"/>
              </w:rPr>
              <w:t>)</w:t>
            </w:r>
            <w:r w:rsidRPr="00F9162B">
              <w:rPr>
                <w:rFonts w:ascii="Times New Roman" w:eastAsia="宋体" w:hAnsi="Times New Roman" w:cs="Times New Roman"/>
                <w:szCs w:val="21"/>
              </w:rPr>
              <w:t>、渣油及沥青，采用顶部浸没式装载，出料管口距离槽</w:t>
            </w:r>
            <w:r w:rsidRPr="00F9162B">
              <w:rPr>
                <w:rFonts w:ascii="Times New Roman" w:eastAsia="宋体" w:hAnsi="Times New Roman" w:cs="Times New Roman"/>
                <w:szCs w:val="21"/>
              </w:rPr>
              <w:t>(</w:t>
            </w:r>
            <w:r w:rsidRPr="00F9162B">
              <w:rPr>
                <w:rFonts w:ascii="Times New Roman" w:eastAsia="宋体" w:hAnsi="Times New Roman" w:cs="Times New Roman"/>
                <w:szCs w:val="21"/>
              </w:rPr>
              <w:t>罐</w:t>
            </w:r>
            <w:r w:rsidRPr="00F9162B">
              <w:rPr>
                <w:rFonts w:ascii="Times New Roman" w:eastAsia="宋体" w:hAnsi="Times New Roman" w:cs="Times New Roman"/>
                <w:szCs w:val="21"/>
              </w:rPr>
              <w:t>)</w:t>
            </w:r>
            <w:r w:rsidRPr="00F9162B">
              <w:rPr>
                <w:rFonts w:ascii="Times New Roman" w:eastAsia="宋体" w:hAnsi="Times New Roman" w:cs="Times New Roman"/>
                <w:szCs w:val="21"/>
              </w:rPr>
              <w:t>底部高度小于</w:t>
            </w:r>
            <w:r w:rsidRPr="00F9162B">
              <w:rPr>
                <w:rFonts w:ascii="Times New Roman" w:eastAsia="宋体" w:hAnsi="Times New Roman" w:cs="Times New Roman"/>
                <w:szCs w:val="21"/>
              </w:rPr>
              <w:t>200mm</w:t>
            </w:r>
            <w:r w:rsidRPr="00F9162B">
              <w:rPr>
                <w:rFonts w:ascii="Times New Roman" w:eastAsia="宋体" w:hAnsi="Times New Roman" w:cs="Times New Roman"/>
                <w:szCs w:val="21"/>
              </w:rPr>
              <w:t>。</w:t>
            </w:r>
          </w:p>
          <w:p w14:paraId="6122E077"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3</w:t>
            </w:r>
            <w:r w:rsidRPr="00F9162B">
              <w:rPr>
                <w:rFonts w:ascii="Times New Roman" w:eastAsia="宋体" w:hAnsi="Times New Roman" w:cs="Times New Roman"/>
                <w:szCs w:val="21"/>
              </w:rPr>
              <w:t>、装车过程排放的废气密闭收集处理，且处理效率高于</w:t>
            </w:r>
            <w:r w:rsidRPr="00F9162B">
              <w:rPr>
                <w:rFonts w:ascii="Times New Roman" w:eastAsia="宋体" w:hAnsi="Times New Roman" w:cs="Times New Roman"/>
                <w:szCs w:val="21"/>
              </w:rPr>
              <w:t>90%</w:t>
            </w:r>
            <w:r w:rsidRPr="00F9162B">
              <w:rPr>
                <w:rFonts w:ascii="Times New Roman" w:eastAsia="宋体" w:hAnsi="Times New Roman" w:cs="Times New Roman"/>
                <w:szCs w:val="21"/>
              </w:rPr>
              <w:t>。</w:t>
            </w:r>
          </w:p>
        </w:tc>
        <w:tc>
          <w:tcPr>
            <w:tcW w:w="832" w:type="dxa"/>
            <w:vAlign w:val="center"/>
          </w:tcPr>
          <w:p w14:paraId="120A2D6B"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符合</w:t>
            </w:r>
          </w:p>
        </w:tc>
      </w:tr>
      <w:tr w:rsidR="002133E3" w:rsidRPr="00F9162B" w14:paraId="1D82D9F2" w14:textId="77777777">
        <w:trPr>
          <w:trHeight w:val="284"/>
          <w:jc w:val="center"/>
        </w:trPr>
        <w:tc>
          <w:tcPr>
            <w:tcW w:w="575" w:type="dxa"/>
            <w:vAlign w:val="center"/>
          </w:tcPr>
          <w:p w14:paraId="7AAE31B9"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8</w:t>
            </w:r>
          </w:p>
        </w:tc>
        <w:tc>
          <w:tcPr>
            <w:tcW w:w="2415" w:type="dxa"/>
            <w:vAlign w:val="center"/>
          </w:tcPr>
          <w:p w14:paraId="07B67913" w14:textId="77777777" w:rsidR="002133E3" w:rsidRPr="00F9162B" w:rsidRDefault="002133E3">
            <w:pPr>
              <w:snapToGrid w:val="0"/>
              <w:jc w:val="center"/>
              <w:rPr>
                <w:rFonts w:ascii="Times New Roman" w:eastAsia="宋体" w:hAnsi="Times New Roman" w:cs="Times New Roman"/>
                <w:szCs w:val="21"/>
              </w:rPr>
            </w:pPr>
          </w:p>
        </w:tc>
        <w:tc>
          <w:tcPr>
            <w:tcW w:w="6521" w:type="dxa"/>
            <w:vAlign w:val="center"/>
          </w:tcPr>
          <w:p w14:paraId="7E4F92E8" w14:textId="77777777" w:rsidR="002133E3" w:rsidRPr="00F9162B" w:rsidRDefault="002133E3">
            <w:pPr>
              <w:snapToGrid w:val="0"/>
              <w:rPr>
                <w:rFonts w:ascii="Times New Roman" w:eastAsia="宋体" w:hAnsi="Times New Roman" w:cs="Times New Roman"/>
                <w:szCs w:val="21"/>
              </w:rPr>
            </w:pPr>
          </w:p>
        </w:tc>
        <w:tc>
          <w:tcPr>
            <w:tcW w:w="4253" w:type="dxa"/>
            <w:vAlign w:val="center"/>
          </w:tcPr>
          <w:p w14:paraId="4DC3D9A6" w14:textId="77777777" w:rsidR="002133E3" w:rsidRPr="00F9162B" w:rsidRDefault="002133E3">
            <w:pPr>
              <w:snapToGrid w:val="0"/>
              <w:rPr>
                <w:rFonts w:ascii="Times New Roman" w:eastAsia="宋体" w:hAnsi="Times New Roman" w:cs="Times New Roman"/>
                <w:szCs w:val="21"/>
              </w:rPr>
            </w:pPr>
          </w:p>
        </w:tc>
        <w:tc>
          <w:tcPr>
            <w:tcW w:w="832" w:type="dxa"/>
            <w:vAlign w:val="center"/>
          </w:tcPr>
          <w:p w14:paraId="6D818972" w14:textId="77777777" w:rsidR="002133E3" w:rsidRPr="00F9162B" w:rsidRDefault="002133E3">
            <w:pPr>
              <w:snapToGrid w:val="0"/>
              <w:jc w:val="center"/>
              <w:rPr>
                <w:rFonts w:ascii="Times New Roman" w:eastAsia="宋体" w:hAnsi="Times New Roman" w:cs="Times New Roman"/>
                <w:szCs w:val="21"/>
              </w:rPr>
            </w:pPr>
          </w:p>
        </w:tc>
      </w:tr>
      <w:tr w:rsidR="002133E3" w:rsidRPr="00F9162B" w14:paraId="6ABA85E7" w14:textId="77777777">
        <w:trPr>
          <w:trHeight w:val="284"/>
          <w:jc w:val="center"/>
        </w:trPr>
        <w:tc>
          <w:tcPr>
            <w:tcW w:w="575" w:type="dxa"/>
            <w:vAlign w:val="center"/>
          </w:tcPr>
          <w:p w14:paraId="3FEFD262"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9</w:t>
            </w:r>
          </w:p>
        </w:tc>
        <w:tc>
          <w:tcPr>
            <w:tcW w:w="2415" w:type="dxa"/>
            <w:vAlign w:val="center"/>
          </w:tcPr>
          <w:p w14:paraId="6E66DFA7" w14:textId="77777777" w:rsidR="002133E3" w:rsidRPr="00F9162B" w:rsidRDefault="00C22CFA">
            <w:pPr>
              <w:snapToGrid w:val="0"/>
              <w:jc w:val="center"/>
              <w:rPr>
                <w:rFonts w:ascii="Times New Roman" w:eastAsia="宋体" w:hAnsi="Times New Roman" w:cs="Times New Roman"/>
                <w:bCs/>
                <w:szCs w:val="21"/>
              </w:rPr>
            </w:pPr>
            <w:r w:rsidRPr="00F9162B">
              <w:rPr>
                <w:rFonts w:ascii="Times New Roman" w:eastAsia="宋体" w:hAnsi="Times New Roman" w:cs="Times New Roman"/>
                <w:bCs/>
                <w:szCs w:val="21"/>
              </w:rPr>
              <w:t>《江苏省挥发性有机物污染防治管理办法》，省政府令第</w:t>
            </w:r>
            <w:r w:rsidRPr="00F9162B">
              <w:rPr>
                <w:rFonts w:ascii="Times New Roman" w:eastAsia="宋体" w:hAnsi="Times New Roman" w:cs="Times New Roman"/>
                <w:bCs/>
                <w:szCs w:val="21"/>
              </w:rPr>
              <w:t>119</w:t>
            </w:r>
            <w:r w:rsidRPr="00F9162B">
              <w:rPr>
                <w:rFonts w:ascii="Times New Roman" w:eastAsia="宋体" w:hAnsi="Times New Roman" w:cs="Times New Roman"/>
                <w:bCs/>
                <w:szCs w:val="21"/>
              </w:rPr>
              <w:t>号，</w:t>
            </w:r>
            <w:r w:rsidRPr="00F9162B">
              <w:rPr>
                <w:rFonts w:ascii="Times New Roman" w:eastAsia="宋体" w:hAnsi="Times New Roman" w:cs="Times New Roman"/>
                <w:bCs/>
                <w:szCs w:val="21"/>
              </w:rPr>
              <w:t>2018</w:t>
            </w:r>
            <w:r w:rsidRPr="00F9162B">
              <w:rPr>
                <w:rFonts w:ascii="Times New Roman" w:eastAsia="宋体" w:hAnsi="Times New Roman" w:cs="Times New Roman"/>
                <w:bCs/>
                <w:szCs w:val="21"/>
              </w:rPr>
              <w:t>年</w:t>
            </w:r>
            <w:r w:rsidRPr="00F9162B">
              <w:rPr>
                <w:rFonts w:ascii="Times New Roman" w:eastAsia="宋体" w:hAnsi="Times New Roman" w:cs="Times New Roman"/>
                <w:bCs/>
                <w:szCs w:val="21"/>
              </w:rPr>
              <w:t>5</w:t>
            </w:r>
            <w:r w:rsidRPr="00F9162B">
              <w:rPr>
                <w:rFonts w:ascii="Times New Roman" w:eastAsia="宋体" w:hAnsi="Times New Roman" w:cs="Times New Roman"/>
                <w:bCs/>
                <w:szCs w:val="21"/>
              </w:rPr>
              <w:t>月</w:t>
            </w:r>
            <w:r w:rsidRPr="00F9162B">
              <w:rPr>
                <w:rFonts w:ascii="Times New Roman" w:eastAsia="宋体" w:hAnsi="Times New Roman" w:cs="Times New Roman"/>
                <w:bCs/>
                <w:szCs w:val="21"/>
              </w:rPr>
              <w:t>1</w:t>
            </w:r>
            <w:r w:rsidRPr="00F9162B">
              <w:rPr>
                <w:rFonts w:ascii="Times New Roman" w:eastAsia="宋体" w:hAnsi="Times New Roman" w:cs="Times New Roman"/>
                <w:bCs/>
                <w:szCs w:val="21"/>
              </w:rPr>
              <w:t>日；</w:t>
            </w:r>
          </w:p>
        </w:tc>
        <w:tc>
          <w:tcPr>
            <w:tcW w:w="6521" w:type="dxa"/>
            <w:vAlign w:val="center"/>
          </w:tcPr>
          <w:p w14:paraId="7B9EF2A4"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第十三条　新建、改建、扩建排放挥发性有机物的建设项目，应当依法进行环境影响评价。新增挥发性有机物排放总量指标的不足部分，可以依照有关规定通过排污权交易取得。</w:t>
            </w:r>
          </w:p>
          <w:p w14:paraId="1BCF69DA"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第十五条　排放挥发性有机物的生产经营者应当履行防治挥发性有机物污染的义务，根据国家和省相关标准以及防治技术指南，采用挥发性有机物污染控制技术，规范操作规程，组织生产经营管理，确保挥发性有机物的排放符合相应的排放标准。</w:t>
            </w:r>
          </w:p>
          <w:p w14:paraId="7F1C95CD"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第十七条　挥发性有机物排放单位应当按照有关规定和监测规范自行或者委托有关监测机构对其排放的挥发性有机物进行监测，记录、保存监测数据，并按照规定向社会公开。</w:t>
            </w:r>
          </w:p>
          <w:p w14:paraId="06ABCFDD"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监测数据应当真实、可靠，保存时间不得少于</w:t>
            </w:r>
            <w:r w:rsidRPr="00F9162B">
              <w:rPr>
                <w:rFonts w:ascii="Times New Roman" w:eastAsia="宋体" w:hAnsi="Times New Roman" w:cs="Times New Roman"/>
                <w:bCs/>
                <w:szCs w:val="21"/>
              </w:rPr>
              <w:t>3</w:t>
            </w:r>
            <w:r w:rsidRPr="00F9162B">
              <w:rPr>
                <w:rFonts w:ascii="Times New Roman" w:eastAsia="宋体" w:hAnsi="Times New Roman" w:cs="Times New Roman"/>
                <w:bCs/>
                <w:szCs w:val="21"/>
              </w:rPr>
              <w:t>年。</w:t>
            </w:r>
          </w:p>
          <w:p w14:paraId="08520477"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第二十二条　储油储气库、加油加气站、原油成品油码头、原油成品油运输船舶和油罐车、气罐车等，应当按照国家和省有关规定安装并正常使用油气回收装置。</w:t>
            </w:r>
          </w:p>
        </w:tc>
        <w:tc>
          <w:tcPr>
            <w:tcW w:w="4253" w:type="dxa"/>
            <w:vAlign w:val="center"/>
          </w:tcPr>
          <w:p w14:paraId="4D81FF07"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1</w:t>
            </w:r>
            <w:r w:rsidRPr="00F9162B">
              <w:rPr>
                <w:rFonts w:ascii="Times New Roman" w:eastAsia="宋体" w:hAnsi="Times New Roman" w:cs="Times New Roman"/>
                <w:szCs w:val="21"/>
              </w:rPr>
              <w:t>、本项目依法进行环境影响评价，本技改项目建成后，大气污染物排放总量由企业通过排污权交易平台购买获取。</w:t>
            </w:r>
          </w:p>
          <w:p w14:paraId="0F21996C"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szCs w:val="21"/>
              </w:rPr>
              <w:t>2</w:t>
            </w:r>
            <w:r w:rsidRPr="00F9162B">
              <w:rPr>
                <w:rFonts w:ascii="Times New Roman" w:eastAsia="宋体" w:hAnsi="Times New Roman" w:cs="Times New Roman"/>
                <w:szCs w:val="21"/>
              </w:rPr>
              <w:t>、本项目针对产生的挥发性有机物废气采用国家先进污染防治技术进行油气的治理</w:t>
            </w:r>
            <w:r w:rsidRPr="00F9162B">
              <w:rPr>
                <w:rFonts w:ascii="Times New Roman" w:eastAsia="宋体" w:hAnsi="Times New Roman" w:cs="Times New Roman"/>
                <w:bCs/>
                <w:szCs w:val="21"/>
              </w:rPr>
              <w:t>，确保挥发性有机物的排放符合相应的排放标准。</w:t>
            </w:r>
          </w:p>
          <w:p w14:paraId="17076A9A"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3</w:t>
            </w:r>
            <w:r w:rsidRPr="00F9162B">
              <w:rPr>
                <w:rFonts w:ascii="Times New Roman" w:eastAsia="宋体" w:hAnsi="Times New Roman" w:cs="Times New Roman"/>
                <w:szCs w:val="21"/>
              </w:rPr>
              <w:t>、本项目</w:t>
            </w:r>
            <w:r w:rsidRPr="00F9162B">
              <w:rPr>
                <w:rFonts w:ascii="Times New Roman" w:eastAsia="宋体" w:hAnsi="Times New Roman" w:cs="Times New Roman"/>
                <w:bCs/>
                <w:szCs w:val="21"/>
              </w:rPr>
              <w:t>按照有关规定和监测规范制定了相应的监测计划，待建成运营后，严格执行监测计划。</w:t>
            </w:r>
          </w:p>
        </w:tc>
        <w:tc>
          <w:tcPr>
            <w:tcW w:w="832" w:type="dxa"/>
            <w:vAlign w:val="center"/>
          </w:tcPr>
          <w:p w14:paraId="1291496D" w14:textId="77777777" w:rsidR="002133E3" w:rsidRPr="00F9162B" w:rsidRDefault="002133E3">
            <w:pPr>
              <w:snapToGrid w:val="0"/>
              <w:jc w:val="center"/>
              <w:rPr>
                <w:rFonts w:ascii="Times New Roman" w:eastAsia="宋体" w:hAnsi="Times New Roman" w:cs="Times New Roman"/>
                <w:szCs w:val="21"/>
              </w:rPr>
            </w:pPr>
          </w:p>
        </w:tc>
      </w:tr>
      <w:tr w:rsidR="002133E3" w:rsidRPr="00F9162B" w14:paraId="5DCF8E3C" w14:textId="77777777">
        <w:trPr>
          <w:trHeight w:val="284"/>
          <w:jc w:val="center"/>
        </w:trPr>
        <w:tc>
          <w:tcPr>
            <w:tcW w:w="575" w:type="dxa"/>
            <w:vAlign w:val="center"/>
          </w:tcPr>
          <w:p w14:paraId="10AFEEAD"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10</w:t>
            </w:r>
          </w:p>
        </w:tc>
        <w:tc>
          <w:tcPr>
            <w:tcW w:w="2415" w:type="dxa"/>
            <w:vAlign w:val="center"/>
          </w:tcPr>
          <w:p w14:paraId="48640AB6" w14:textId="77777777" w:rsidR="002133E3" w:rsidRPr="00F9162B" w:rsidRDefault="00C22CFA">
            <w:pPr>
              <w:snapToGrid w:val="0"/>
              <w:jc w:val="center"/>
              <w:rPr>
                <w:rFonts w:ascii="Times New Roman" w:eastAsia="宋体" w:hAnsi="Times New Roman" w:cs="Times New Roman"/>
                <w:bCs/>
                <w:szCs w:val="21"/>
              </w:rPr>
            </w:pPr>
            <w:r w:rsidRPr="00F9162B">
              <w:rPr>
                <w:rFonts w:ascii="Times New Roman" w:eastAsia="宋体" w:hAnsi="Times New Roman" w:cs="Times New Roman"/>
                <w:bCs/>
                <w:szCs w:val="21"/>
              </w:rPr>
              <w:t>《关于印发</w:t>
            </w:r>
            <w:r w:rsidRPr="00F9162B">
              <w:rPr>
                <w:rFonts w:ascii="Times New Roman" w:eastAsia="宋体" w:hAnsi="Times New Roman" w:cs="Times New Roman"/>
                <w:bCs/>
                <w:szCs w:val="21"/>
              </w:rPr>
              <w:t>&lt;</w:t>
            </w:r>
            <w:r w:rsidRPr="00F9162B">
              <w:rPr>
                <w:rFonts w:ascii="Times New Roman" w:eastAsia="宋体" w:hAnsi="Times New Roman" w:cs="Times New Roman"/>
                <w:bCs/>
                <w:szCs w:val="21"/>
              </w:rPr>
              <w:t>重点行业挥发性有机物综合治理方案</w:t>
            </w:r>
            <w:r w:rsidRPr="00F9162B">
              <w:rPr>
                <w:rFonts w:ascii="Times New Roman" w:eastAsia="宋体" w:hAnsi="Times New Roman" w:cs="Times New Roman"/>
                <w:bCs/>
                <w:szCs w:val="21"/>
              </w:rPr>
              <w:t>&gt;</w:t>
            </w:r>
            <w:r w:rsidRPr="00F9162B">
              <w:rPr>
                <w:rFonts w:ascii="Times New Roman" w:eastAsia="宋体" w:hAnsi="Times New Roman" w:cs="Times New Roman"/>
                <w:bCs/>
                <w:szCs w:val="21"/>
              </w:rPr>
              <w:t>的通知》</w:t>
            </w: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环大气</w:t>
            </w:r>
            <w:r w:rsidRPr="00F9162B">
              <w:rPr>
                <w:rFonts w:ascii="Times New Roman" w:eastAsia="宋体" w:hAnsi="Times New Roman" w:cs="Times New Roman"/>
                <w:bCs/>
                <w:szCs w:val="21"/>
              </w:rPr>
              <w:t>2019[53])</w:t>
            </w:r>
            <w:r w:rsidRPr="00F9162B">
              <w:rPr>
                <w:rFonts w:ascii="Times New Roman" w:eastAsia="宋体" w:hAnsi="Times New Roman" w:cs="Times New Roman"/>
                <w:bCs/>
                <w:szCs w:val="21"/>
              </w:rPr>
              <w:t>；</w:t>
            </w:r>
          </w:p>
        </w:tc>
        <w:tc>
          <w:tcPr>
            <w:tcW w:w="6521" w:type="dxa"/>
            <w:vAlign w:val="center"/>
          </w:tcPr>
          <w:p w14:paraId="40FBB3DF"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五</w:t>
            </w: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油品储运销</w:t>
            </w:r>
            <w:r w:rsidRPr="00F9162B">
              <w:rPr>
                <w:rFonts w:ascii="Times New Roman" w:eastAsia="宋体" w:hAnsi="Times New Roman" w:cs="Times New Roman"/>
                <w:bCs/>
                <w:szCs w:val="21"/>
              </w:rPr>
              <w:t>VOCs</w:t>
            </w:r>
            <w:r w:rsidRPr="00F9162B">
              <w:rPr>
                <w:rFonts w:ascii="Times New Roman" w:eastAsia="宋体" w:hAnsi="Times New Roman" w:cs="Times New Roman"/>
                <w:bCs/>
                <w:szCs w:val="21"/>
              </w:rPr>
              <w:t>综合治理。加大汽油</w:t>
            </w: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含乙醇汽油</w:t>
            </w: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、石脑油、煤油</w:t>
            </w: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含航空煤油</w:t>
            </w: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以及原油等</w:t>
            </w:r>
            <w:r w:rsidRPr="00F9162B">
              <w:rPr>
                <w:rFonts w:ascii="Times New Roman" w:eastAsia="宋体" w:hAnsi="Times New Roman" w:cs="Times New Roman"/>
                <w:bCs/>
                <w:szCs w:val="21"/>
              </w:rPr>
              <w:t>VOCs</w:t>
            </w:r>
            <w:r w:rsidRPr="00F9162B">
              <w:rPr>
                <w:rFonts w:ascii="Times New Roman" w:eastAsia="宋体" w:hAnsi="Times New Roman" w:cs="Times New Roman"/>
                <w:bCs/>
                <w:szCs w:val="21"/>
              </w:rPr>
              <w:t>排放控制，重点推进加油站、油罐车、储油库油气回收治理。重点区域还应推进油船油气回收治理工作。</w:t>
            </w:r>
          </w:p>
          <w:p w14:paraId="13303DFE"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 xml:space="preserve">　推进储油库油气回收治理。汽油、航空煤油、原油以及真实蒸气压小于</w:t>
            </w:r>
            <w:r w:rsidRPr="00F9162B">
              <w:rPr>
                <w:rFonts w:ascii="Times New Roman" w:eastAsia="宋体" w:hAnsi="Times New Roman" w:cs="Times New Roman"/>
                <w:bCs/>
                <w:szCs w:val="21"/>
              </w:rPr>
              <w:t>76.6 kPa</w:t>
            </w:r>
            <w:r w:rsidRPr="00F9162B">
              <w:rPr>
                <w:rFonts w:ascii="Times New Roman" w:eastAsia="宋体" w:hAnsi="Times New Roman" w:cs="Times New Roman"/>
                <w:bCs/>
                <w:szCs w:val="21"/>
              </w:rPr>
              <w:t>的石脑油应采用浮顶罐储存，其中，油品容积小于等于</w:t>
            </w:r>
            <w:r w:rsidRPr="00F9162B">
              <w:rPr>
                <w:rFonts w:ascii="Times New Roman" w:eastAsia="宋体" w:hAnsi="Times New Roman" w:cs="Times New Roman"/>
                <w:bCs/>
                <w:szCs w:val="21"/>
              </w:rPr>
              <w:t>100</w:t>
            </w:r>
            <w:r w:rsidRPr="00F9162B">
              <w:rPr>
                <w:rFonts w:ascii="Times New Roman" w:eastAsia="宋体" w:hAnsi="Times New Roman" w:cs="Times New Roman"/>
                <w:bCs/>
                <w:szCs w:val="21"/>
              </w:rPr>
              <w:lastRenderedPageBreak/>
              <w:t>立方米的，可采用卧式储罐。真实蒸气压大于等于</w:t>
            </w:r>
            <w:r w:rsidRPr="00F9162B">
              <w:rPr>
                <w:rFonts w:ascii="Times New Roman" w:eastAsia="宋体" w:hAnsi="Times New Roman" w:cs="Times New Roman"/>
                <w:bCs/>
                <w:szCs w:val="21"/>
              </w:rPr>
              <w:t>76.6 kPa</w:t>
            </w:r>
            <w:r w:rsidRPr="00F9162B">
              <w:rPr>
                <w:rFonts w:ascii="Times New Roman" w:eastAsia="宋体" w:hAnsi="Times New Roman" w:cs="Times New Roman"/>
                <w:bCs/>
                <w:szCs w:val="21"/>
              </w:rPr>
              <w:t>的石脑油应采用低压罐、压力罐或其他等效措施储存。加快推进油品收发过程排放的油气收集处理。加强储油库发油油气回收系统接口泄漏检测，提高检测频次，减少油气泄漏，确保油品装卸过程油气回收处理装置正常运行。加强油罐车油气回收系统密闭性和油气回收气动阀门密闭性检测，每年至少开展一次。推动储油库安装油气回收自动监控设施。</w:t>
            </w:r>
          </w:p>
          <w:p w14:paraId="3CC6F3CB"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油品储运销</w:t>
            </w:r>
            <w:r w:rsidRPr="00F9162B">
              <w:rPr>
                <w:rFonts w:ascii="Times New Roman" w:eastAsia="宋体" w:hAnsi="Times New Roman" w:cs="Times New Roman"/>
                <w:bCs/>
                <w:szCs w:val="21"/>
              </w:rPr>
              <w:t>VOCs</w:t>
            </w:r>
            <w:r w:rsidRPr="00F9162B">
              <w:rPr>
                <w:rFonts w:ascii="Times New Roman" w:eastAsia="宋体" w:hAnsi="Times New Roman" w:cs="Times New Roman"/>
                <w:bCs/>
                <w:szCs w:val="21"/>
              </w:rPr>
              <w:t>治理检查要点：</w:t>
            </w:r>
          </w:p>
          <w:p w14:paraId="37838744"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储油库发油阶段</w:t>
            </w:r>
          </w:p>
          <w:p w14:paraId="4BE91159"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1.</w:t>
            </w:r>
            <w:r w:rsidRPr="00F9162B">
              <w:rPr>
                <w:rFonts w:ascii="Times New Roman" w:eastAsia="宋体" w:hAnsi="Times New Roman" w:cs="Times New Roman"/>
                <w:bCs/>
                <w:szCs w:val="21"/>
              </w:rPr>
              <w:t>油罐车或铁路罐车是否采用底部装载或顶部浸没式装载方式。</w:t>
            </w:r>
          </w:p>
          <w:p w14:paraId="474B4E69"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2.</w:t>
            </w:r>
            <w:r w:rsidRPr="00F9162B">
              <w:rPr>
                <w:rFonts w:ascii="Times New Roman" w:eastAsia="宋体" w:hAnsi="Times New Roman" w:cs="Times New Roman"/>
                <w:bCs/>
                <w:szCs w:val="21"/>
              </w:rPr>
              <w:t>气液比、油气收集系统压力等。</w:t>
            </w:r>
          </w:p>
          <w:p w14:paraId="2F0BEC23"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储油库油气处理装置</w:t>
            </w:r>
          </w:p>
          <w:p w14:paraId="776EB3F5"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3.</w:t>
            </w:r>
            <w:r w:rsidRPr="00F9162B">
              <w:rPr>
                <w:rFonts w:ascii="Times New Roman" w:eastAsia="宋体" w:hAnsi="Times New Roman" w:cs="Times New Roman"/>
                <w:bCs/>
                <w:szCs w:val="21"/>
              </w:rPr>
              <w:t>是否有油气处置装置。</w:t>
            </w:r>
          </w:p>
          <w:p w14:paraId="6CFAB583"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4.</w:t>
            </w:r>
            <w:r w:rsidRPr="00F9162B">
              <w:rPr>
                <w:rFonts w:ascii="Times New Roman" w:eastAsia="宋体" w:hAnsi="Times New Roman" w:cs="Times New Roman"/>
                <w:bCs/>
                <w:szCs w:val="21"/>
              </w:rPr>
              <w:t>检测频次、油气排放浓度、油气处理效率，进出口压力。</w:t>
            </w:r>
          </w:p>
          <w:p w14:paraId="69125800"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5.</w:t>
            </w:r>
            <w:r w:rsidRPr="00F9162B">
              <w:rPr>
                <w:rFonts w:ascii="Times New Roman" w:eastAsia="宋体" w:hAnsi="Times New Roman" w:cs="Times New Roman"/>
                <w:bCs/>
                <w:szCs w:val="21"/>
              </w:rPr>
              <w:t>一次性吸附剂更换时间和更换量，再生型吸附剂再生周期、更换情况，废吸附剂储存、处置情况等。</w:t>
            </w:r>
          </w:p>
        </w:tc>
        <w:tc>
          <w:tcPr>
            <w:tcW w:w="4253" w:type="dxa"/>
            <w:vAlign w:val="center"/>
          </w:tcPr>
          <w:p w14:paraId="7FC6EA1D"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szCs w:val="21"/>
              </w:rPr>
              <w:lastRenderedPageBreak/>
              <w:t>1</w:t>
            </w:r>
            <w:r w:rsidRPr="00F9162B">
              <w:rPr>
                <w:rFonts w:ascii="Times New Roman" w:eastAsia="宋体" w:hAnsi="Times New Roman" w:cs="Times New Roman"/>
                <w:szCs w:val="21"/>
              </w:rPr>
              <w:t>、本项目采用</w:t>
            </w:r>
            <w:r w:rsidRPr="00F9162B">
              <w:rPr>
                <w:rFonts w:ascii="Times New Roman" w:eastAsia="宋体" w:hAnsi="Times New Roman" w:cs="Times New Roman"/>
                <w:bCs/>
                <w:szCs w:val="21"/>
              </w:rPr>
              <w:t>顶部浸没式装载方式</w:t>
            </w:r>
          </w:p>
          <w:p w14:paraId="0D104CE1"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bCs/>
                <w:szCs w:val="21"/>
              </w:rPr>
              <w:t>2</w:t>
            </w:r>
            <w:r w:rsidRPr="00F9162B">
              <w:rPr>
                <w:rFonts w:ascii="Times New Roman" w:eastAsia="宋体" w:hAnsi="Times New Roman" w:cs="Times New Roman"/>
                <w:bCs/>
                <w:szCs w:val="21"/>
              </w:rPr>
              <w:t>、本项目针对产生的挥发性有机物废气采用国家先进污染防治技术进行油气的治理，确保挥发性有机物的排放符合相应的排放标准。</w:t>
            </w:r>
          </w:p>
        </w:tc>
        <w:tc>
          <w:tcPr>
            <w:tcW w:w="832" w:type="dxa"/>
            <w:vAlign w:val="center"/>
          </w:tcPr>
          <w:p w14:paraId="45620E68" w14:textId="77777777" w:rsidR="002133E3" w:rsidRPr="00F9162B" w:rsidRDefault="002133E3">
            <w:pPr>
              <w:snapToGrid w:val="0"/>
              <w:jc w:val="center"/>
              <w:rPr>
                <w:rFonts w:ascii="Times New Roman" w:eastAsia="宋体" w:hAnsi="Times New Roman" w:cs="Times New Roman"/>
                <w:szCs w:val="21"/>
              </w:rPr>
            </w:pPr>
          </w:p>
        </w:tc>
      </w:tr>
      <w:tr w:rsidR="002133E3" w14:paraId="24153E70" w14:textId="77777777">
        <w:trPr>
          <w:trHeight w:val="284"/>
          <w:jc w:val="center"/>
        </w:trPr>
        <w:tc>
          <w:tcPr>
            <w:tcW w:w="575" w:type="dxa"/>
            <w:vAlign w:val="center"/>
          </w:tcPr>
          <w:p w14:paraId="7E90878F" w14:textId="77777777" w:rsidR="002133E3" w:rsidRPr="00F9162B" w:rsidRDefault="00C22CFA">
            <w:pPr>
              <w:snapToGrid w:val="0"/>
              <w:jc w:val="center"/>
              <w:rPr>
                <w:rFonts w:ascii="Times New Roman" w:eastAsia="宋体" w:hAnsi="Times New Roman" w:cs="Times New Roman"/>
                <w:szCs w:val="21"/>
              </w:rPr>
            </w:pPr>
            <w:r w:rsidRPr="00F9162B">
              <w:rPr>
                <w:rFonts w:ascii="Times New Roman" w:eastAsia="宋体" w:hAnsi="Times New Roman" w:cs="Times New Roman"/>
                <w:szCs w:val="21"/>
              </w:rPr>
              <w:t>11</w:t>
            </w:r>
          </w:p>
        </w:tc>
        <w:tc>
          <w:tcPr>
            <w:tcW w:w="2415" w:type="dxa"/>
            <w:vAlign w:val="center"/>
          </w:tcPr>
          <w:p w14:paraId="09AD6B25" w14:textId="77777777" w:rsidR="002133E3" w:rsidRPr="00F9162B" w:rsidRDefault="00C22CFA">
            <w:pPr>
              <w:snapToGrid w:val="0"/>
              <w:jc w:val="center"/>
              <w:rPr>
                <w:rFonts w:ascii="Times New Roman" w:eastAsia="宋体" w:hAnsi="Times New Roman" w:cs="Times New Roman"/>
                <w:bCs/>
                <w:szCs w:val="21"/>
              </w:rPr>
            </w:pPr>
            <w:r w:rsidRPr="00F9162B">
              <w:rPr>
                <w:rFonts w:ascii="Times New Roman" w:eastAsia="宋体" w:hAnsi="Times New Roman" w:cs="Times New Roman"/>
                <w:bCs/>
                <w:szCs w:val="21"/>
              </w:rPr>
              <w:t>《省生态环境厅关于进一步做好建设项目环评审批工作的通知》</w:t>
            </w:r>
            <w:r w:rsidRPr="00F9162B">
              <w:rPr>
                <w:rFonts w:ascii="Times New Roman" w:eastAsia="宋体" w:hAnsi="Times New Roman" w:cs="Times New Roman"/>
                <w:bCs/>
                <w:szCs w:val="21"/>
              </w:rPr>
              <w:t>(</w:t>
            </w:r>
            <w:r w:rsidRPr="00F9162B">
              <w:rPr>
                <w:rFonts w:ascii="Times New Roman" w:eastAsia="宋体" w:hAnsi="Times New Roman" w:cs="Times New Roman"/>
                <w:bCs/>
                <w:szCs w:val="21"/>
              </w:rPr>
              <w:t>苏环办</w:t>
            </w:r>
            <w:r w:rsidRPr="00F9162B">
              <w:rPr>
                <w:rFonts w:ascii="Times New Roman" w:eastAsia="宋体" w:hAnsi="Times New Roman" w:cs="Times New Roman"/>
                <w:bCs/>
                <w:szCs w:val="21"/>
              </w:rPr>
              <w:t>[2019]36</w:t>
            </w:r>
            <w:r w:rsidRPr="00F9162B">
              <w:rPr>
                <w:rFonts w:ascii="Times New Roman" w:eastAsia="宋体" w:hAnsi="Times New Roman" w:cs="Times New Roman"/>
                <w:bCs/>
                <w:szCs w:val="21"/>
              </w:rPr>
              <w:t>号</w:t>
            </w:r>
            <w:r w:rsidRPr="00F9162B">
              <w:rPr>
                <w:rFonts w:ascii="Times New Roman" w:eastAsia="宋体" w:hAnsi="Times New Roman" w:cs="Times New Roman"/>
                <w:bCs/>
                <w:szCs w:val="21"/>
              </w:rPr>
              <w:t>)</w:t>
            </w:r>
          </w:p>
        </w:tc>
        <w:tc>
          <w:tcPr>
            <w:tcW w:w="6521" w:type="dxa"/>
            <w:vAlign w:val="center"/>
          </w:tcPr>
          <w:p w14:paraId="5CF41706"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一、有下列情形之一的，不予批准：</w:t>
            </w:r>
            <w:r w:rsidRPr="00F9162B">
              <w:rPr>
                <w:rFonts w:ascii="Times New Roman" w:eastAsia="宋体" w:hAnsi="Times New Roman" w:cs="Times New Roman"/>
                <w:bCs/>
                <w:szCs w:val="21"/>
              </w:rPr>
              <w:t>(1)</w:t>
            </w:r>
            <w:r w:rsidRPr="00F9162B">
              <w:rPr>
                <w:rFonts w:ascii="Times New Roman" w:eastAsia="宋体" w:hAnsi="Times New Roman" w:cs="Times New Roman"/>
                <w:bCs/>
                <w:szCs w:val="21"/>
              </w:rPr>
              <w:t>建设项目类型及其选址、布局、规模等不符合环境保护法律法规和相关法定规划；</w:t>
            </w:r>
            <w:r w:rsidRPr="00F9162B">
              <w:rPr>
                <w:rFonts w:ascii="Times New Roman" w:eastAsia="宋体" w:hAnsi="Times New Roman" w:cs="Times New Roman"/>
                <w:bCs/>
                <w:szCs w:val="21"/>
              </w:rPr>
              <w:t>(2)</w:t>
            </w:r>
            <w:r w:rsidRPr="00F9162B">
              <w:rPr>
                <w:rFonts w:ascii="Times New Roman" w:eastAsia="宋体" w:hAnsi="Times New Roman" w:cs="Times New Roman"/>
                <w:bCs/>
                <w:szCs w:val="21"/>
              </w:rPr>
              <w:t>所在区域环境质量未达到国家或者地方环境质量标准，且建设项目拟采取的措施不能满足区域环境质量改善目标管理要求；</w:t>
            </w:r>
            <w:r w:rsidRPr="00F9162B">
              <w:rPr>
                <w:rFonts w:ascii="Times New Roman" w:eastAsia="宋体" w:hAnsi="Times New Roman" w:cs="Times New Roman"/>
                <w:bCs/>
                <w:szCs w:val="21"/>
              </w:rPr>
              <w:t>(3)</w:t>
            </w:r>
            <w:r w:rsidRPr="00F9162B">
              <w:rPr>
                <w:rFonts w:ascii="Times New Roman" w:eastAsia="宋体" w:hAnsi="Times New Roman" w:cs="Times New Roman"/>
                <w:bCs/>
                <w:szCs w:val="21"/>
              </w:rPr>
              <w:t>建设项目采取的污染防治措施无法确保污染物排放达到国家和地方排放标准，或者未采取必要措施预防和控制生态破坏；</w:t>
            </w:r>
            <w:r w:rsidRPr="00F9162B">
              <w:rPr>
                <w:rFonts w:ascii="Times New Roman" w:eastAsia="宋体" w:hAnsi="Times New Roman" w:cs="Times New Roman"/>
                <w:bCs/>
                <w:szCs w:val="21"/>
              </w:rPr>
              <w:t>(4)</w:t>
            </w:r>
            <w:r w:rsidRPr="00F9162B">
              <w:rPr>
                <w:rFonts w:ascii="Times New Roman" w:eastAsia="宋体" w:hAnsi="Times New Roman" w:cs="Times New Roman"/>
                <w:bCs/>
                <w:szCs w:val="21"/>
              </w:rPr>
              <w:t>改建、扩建和技术改造项目，未针对项目原有环境污染和生态破坏提出有效防止措施；</w:t>
            </w:r>
            <w:r w:rsidRPr="00F9162B">
              <w:rPr>
                <w:rFonts w:ascii="Times New Roman" w:eastAsia="宋体" w:hAnsi="Times New Roman" w:cs="Times New Roman"/>
                <w:bCs/>
                <w:szCs w:val="21"/>
              </w:rPr>
              <w:t>(5)</w:t>
            </w:r>
            <w:r w:rsidRPr="00F9162B">
              <w:rPr>
                <w:rFonts w:ascii="Times New Roman" w:eastAsia="宋体" w:hAnsi="Times New Roman" w:cs="Times New Roman"/>
                <w:bCs/>
                <w:szCs w:val="21"/>
              </w:rPr>
              <w:t>建设项目的环境影响报告书、环境影响报告表的基础资料数据明显不实，内容存在重大缺陷、遗漏，或者环境影响评价结论不明确、不合理。</w:t>
            </w:r>
          </w:p>
          <w:p w14:paraId="1B241DF2"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三、严格落实污染物排放总量控制制度，把主要污染物排放总量指标作为建设项目环境影响评价审批的前置条件。排放主要污染物的建设项目，在环境影响评价文件审批前，须取得主要污染物排放总量指标。</w:t>
            </w:r>
          </w:p>
          <w:p w14:paraId="539D7B72"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四、</w:t>
            </w:r>
            <w:r w:rsidRPr="00F9162B">
              <w:rPr>
                <w:rFonts w:ascii="Times New Roman" w:eastAsia="宋体" w:hAnsi="Times New Roman" w:cs="Times New Roman"/>
                <w:bCs/>
                <w:szCs w:val="21"/>
              </w:rPr>
              <w:t>(1)</w:t>
            </w:r>
            <w:r w:rsidRPr="00F9162B">
              <w:rPr>
                <w:rFonts w:ascii="Times New Roman" w:eastAsia="宋体" w:hAnsi="Times New Roman" w:cs="Times New Roman"/>
                <w:bCs/>
                <w:szCs w:val="21"/>
              </w:rPr>
              <w:t>规划环评要作为规划所包含项目环评的重要依据，对于不符合规划环评结论及审查意见的项目环评，依法不予审批。</w:t>
            </w:r>
            <w:r w:rsidRPr="00F9162B">
              <w:rPr>
                <w:rFonts w:ascii="Times New Roman" w:eastAsia="宋体" w:hAnsi="Times New Roman" w:cs="Times New Roman"/>
                <w:bCs/>
                <w:szCs w:val="21"/>
              </w:rPr>
              <w:t>(2)</w:t>
            </w:r>
            <w:r w:rsidRPr="00F9162B">
              <w:rPr>
                <w:rFonts w:ascii="Times New Roman" w:eastAsia="宋体" w:hAnsi="Times New Roman" w:cs="Times New Roman"/>
                <w:bCs/>
                <w:szCs w:val="21"/>
              </w:rPr>
              <w:t>对于现有同类型项目环境污染或生态破坏严重、环境违法违规现象多发，致使环境容量接近或超过承载能力的地区，在现有问题整改到位前，依法暂停审批该地区同类行业的项目环评文件。</w:t>
            </w:r>
            <w:r w:rsidRPr="00F9162B">
              <w:rPr>
                <w:rFonts w:ascii="Times New Roman" w:eastAsia="宋体" w:hAnsi="Times New Roman" w:cs="Times New Roman"/>
                <w:bCs/>
                <w:szCs w:val="21"/>
              </w:rPr>
              <w:t>(3)</w:t>
            </w:r>
            <w:r w:rsidRPr="00F9162B">
              <w:rPr>
                <w:rFonts w:ascii="Times New Roman" w:eastAsia="宋体" w:hAnsi="Times New Roman" w:cs="Times New Roman"/>
                <w:bCs/>
                <w:szCs w:val="21"/>
              </w:rPr>
              <w:t>对环境质量现状超标的地区，项目拟采取的措施不能满足区域环境质量改善目标管理要求的，依法不予审批其环评文件。对未达到环境质量目标考核要求的地区，除民生项目与节能减排项目外，依法暂停审批该地区新增排放相应重点污染物的项目环</w:t>
            </w:r>
            <w:r w:rsidRPr="00F9162B">
              <w:rPr>
                <w:rFonts w:ascii="Times New Roman" w:eastAsia="宋体" w:hAnsi="Times New Roman" w:cs="Times New Roman"/>
                <w:bCs/>
                <w:szCs w:val="21"/>
              </w:rPr>
              <w:lastRenderedPageBreak/>
              <w:t>评文件。</w:t>
            </w:r>
          </w:p>
          <w:p w14:paraId="5B959689"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 xml:space="preserve">     </w:t>
            </w:r>
            <w:r w:rsidRPr="00F9162B">
              <w:rPr>
                <w:rFonts w:ascii="Times New Roman" w:eastAsia="宋体" w:hAnsi="Times New Roman" w:cs="Times New Roman"/>
                <w:bCs/>
                <w:szCs w:val="21"/>
              </w:rPr>
              <w:t>除受自然条件限制、确实无法避让的铁路、公路、航道、防洪、管道、干渠、通讯、输变电等重要基础设施项目外，在生态保护红线范围内，严控各类开发建设活动，依法不予审批新建工业项目和矿产开发项目的环评文件。</w:t>
            </w:r>
          </w:p>
          <w:p w14:paraId="14BCE29C"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九、生态保护红线原则上按禁止开发区域的要求进行管理，严禁不符合主体功能定位的各类开发活动，严禁任意改变用途。</w:t>
            </w:r>
          </w:p>
          <w:p w14:paraId="2D4E302C"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十、禁止审批无法落实危险废物利用、处置途径的项目，从严审批危险废物产生量大、本地无配套利用处置能力、且需设区市统筹解决的项目。</w:t>
            </w:r>
          </w:p>
          <w:p w14:paraId="2B9AD5FC" w14:textId="77777777" w:rsidR="002133E3" w:rsidRPr="00F9162B" w:rsidRDefault="00C22CFA">
            <w:pPr>
              <w:snapToGrid w:val="0"/>
              <w:rPr>
                <w:rFonts w:ascii="Times New Roman" w:eastAsia="宋体" w:hAnsi="Times New Roman" w:cs="Times New Roman"/>
                <w:bCs/>
                <w:szCs w:val="21"/>
              </w:rPr>
            </w:pPr>
            <w:r w:rsidRPr="00F9162B">
              <w:rPr>
                <w:rFonts w:ascii="Times New Roman" w:eastAsia="宋体" w:hAnsi="Times New Roman" w:cs="Times New Roman"/>
                <w:bCs/>
                <w:szCs w:val="21"/>
              </w:rPr>
              <w:t>十一、</w:t>
            </w:r>
            <w:r w:rsidRPr="00F9162B">
              <w:rPr>
                <w:rFonts w:ascii="Times New Roman" w:eastAsia="宋体" w:hAnsi="Times New Roman" w:cs="Times New Roman"/>
                <w:bCs/>
                <w:szCs w:val="21"/>
              </w:rPr>
              <w:t>(1)</w:t>
            </w:r>
            <w:r w:rsidRPr="00F9162B">
              <w:rPr>
                <w:rFonts w:ascii="Times New Roman" w:eastAsia="宋体" w:hAnsi="Times New Roman" w:cs="Times New Roman"/>
                <w:bCs/>
                <w:szCs w:val="21"/>
              </w:rPr>
              <w:t>禁止建设不符合全国和省级港口布局规划以及港口总体规划的码头项目。</w:t>
            </w:r>
          </w:p>
        </w:tc>
        <w:tc>
          <w:tcPr>
            <w:tcW w:w="4253" w:type="dxa"/>
            <w:vAlign w:val="center"/>
          </w:tcPr>
          <w:p w14:paraId="6E1001C1"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lastRenderedPageBreak/>
              <w:t>1</w:t>
            </w:r>
            <w:r w:rsidRPr="00F9162B">
              <w:rPr>
                <w:rFonts w:ascii="Times New Roman" w:eastAsia="宋体" w:hAnsi="Times New Roman" w:cs="Times New Roman"/>
                <w:szCs w:val="21"/>
              </w:rPr>
              <w:t>、本技改项目建成后，大气污染物排放总量由企业通过排污权交易平台购买获取。</w:t>
            </w:r>
          </w:p>
          <w:p w14:paraId="772047D0"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2</w:t>
            </w:r>
            <w:r w:rsidRPr="00F9162B">
              <w:rPr>
                <w:rFonts w:ascii="Times New Roman" w:eastAsia="宋体" w:hAnsi="Times New Roman" w:cs="Times New Roman"/>
                <w:szCs w:val="21"/>
              </w:rPr>
              <w:t>、本项目符合《连云港港总体规划环境影响报告书》、《连云港港赣榆港区总体规划优化方案环境影响报告书》及批复的要求，具体可见</w:t>
            </w:r>
            <w:r w:rsidRPr="00F9162B">
              <w:rPr>
                <w:rFonts w:ascii="Times New Roman" w:eastAsia="宋体" w:hAnsi="Times New Roman" w:cs="Times New Roman"/>
                <w:szCs w:val="21"/>
              </w:rPr>
              <w:t>1.3.2</w:t>
            </w:r>
            <w:r w:rsidRPr="00F9162B">
              <w:rPr>
                <w:rFonts w:ascii="Times New Roman" w:eastAsia="宋体" w:hAnsi="Times New Roman" w:cs="Times New Roman"/>
                <w:szCs w:val="21"/>
              </w:rPr>
              <w:t>章节。</w:t>
            </w:r>
          </w:p>
          <w:p w14:paraId="2C6FFCC3"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szCs w:val="21"/>
              </w:rPr>
              <w:t>3</w:t>
            </w:r>
            <w:r w:rsidRPr="00F9162B">
              <w:rPr>
                <w:rFonts w:ascii="Times New Roman" w:eastAsia="宋体" w:hAnsi="Times New Roman" w:cs="Times New Roman"/>
                <w:szCs w:val="21"/>
              </w:rPr>
              <w:t>、本项目建设地及影响范围均满足各类生态红线管理要求，具体见</w:t>
            </w:r>
            <w:r w:rsidRPr="00F9162B">
              <w:rPr>
                <w:rFonts w:ascii="Times New Roman" w:eastAsia="宋体" w:hAnsi="Times New Roman" w:cs="Times New Roman"/>
                <w:szCs w:val="21"/>
              </w:rPr>
              <w:t>1.3.5</w:t>
            </w:r>
            <w:r w:rsidRPr="00F9162B">
              <w:rPr>
                <w:rFonts w:ascii="Times New Roman" w:eastAsia="宋体" w:hAnsi="Times New Roman" w:cs="Times New Roman"/>
                <w:szCs w:val="21"/>
              </w:rPr>
              <w:t>章节。</w:t>
            </w:r>
          </w:p>
          <w:p w14:paraId="5F40849A" w14:textId="77777777" w:rsidR="002133E3" w:rsidRPr="00F9162B" w:rsidRDefault="00C22CFA">
            <w:pPr>
              <w:snapToGrid w:val="0"/>
              <w:rPr>
                <w:rFonts w:ascii="Times New Roman" w:eastAsia="宋体" w:hAnsi="Times New Roman" w:cs="Times New Roman"/>
                <w:kern w:val="0"/>
                <w:szCs w:val="21"/>
              </w:rPr>
            </w:pPr>
            <w:r w:rsidRPr="00F9162B">
              <w:rPr>
                <w:rFonts w:ascii="Times New Roman" w:eastAsia="宋体" w:hAnsi="Times New Roman" w:cs="Times New Roman"/>
                <w:szCs w:val="21"/>
              </w:rPr>
              <w:t>4</w:t>
            </w:r>
            <w:r w:rsidRPr="00F9162B">
              <w:rPr>
                <w:rFonts w:ascii="Times New Roman" w:eastAsia="宋体" w:hAnsi="Times New Roman" w:cs="Times New Roman"/>
                <w:szCs w:val="21"/>
              </w:rPr>
              <w:t>、本项目产生的危险废物</w:t>
            </w:r>
            <w:r w:rsidRPr="00F9162B">
              <w:rPr>
                <w:rFonts w:ascii="Times New Roman" w:eastAsia="宋体" w:hAnsi="Times New Roman" w:cs="Times New Roman"/>
                <w:kern w:val="0"/>
                <w:szCs w:val="21"/>
              </w:rPr>
              <w:t>维修废物、污水站污泥、废活性炭、及冷凝废液均交由由中节能</w:t>
            </w:r>
            <w:r w:rsidRPr="00F9162B">
              <w:rPr>
                <w:rFonts w:ascii="Times New Roman" w:eastAsia="宋体" w:hAnsi="Times New Roman" w:cs="Times New Roman"/>
                <w:kern w:val="0"/>
                <w:szCs w:val="21"/>
              </w:rPr>
              <w:t>(</w:t>
            </w:r>
            <w:r w:rsidRPr="00F9162B">
              <w:rPr>
                <w:rFonts w:ascii="Times New Roman" w:eastAsia="宋体" w:hAnsi="Times New Roman" w:cs="Times New Roman"/>
                <w:kern w:val="0"/>
                <w:szCs w:val="21"/>
              </w:rPr>
              <w:t>连云港</w:t>
            </w:r>
            <w:r w:rsidRPr="00F9162B">
              <w:rPr>
                <w:rFonts w:ascii="Times New Roman" w:eastAsia="宋体" w:hAnsi="Times New Roman" w:cs="Times New Roman"/>
                <w:kern w:val="0"/>
                <w:szCs w:val="21"/>
              </w:rPr>
              <w:t>)</w:t>
            </w:r>
            <w:r w:rsidRPr="00F9162B">
              <w:rPr>
                <w:rFonts w:ascii="Times New Roman" w:eastAsia="宋体" w:hAnsi="Times New Roman" w:cs="Times New Roman"/>
                <w:kern w:val="0"/>
                <w:szCs w:val="21"/>
              </w:rPr>
              <w:t>清洁技术发展有限公司进行处理。</w:t>
            </w:r>
          </w:p>
          <w:p w14:paraId="492BF7E3" w14:textId="77777777" w:rsidR="002133E3" w:rsidRPr="00F9162B" w:rsidRDefault="00C22CFA">
            <w:pPr>
              <w:snapToGrid w:val="0"/>
              <w:rPr>
                <w:rFonts w:ascii="Times New Roman" w:eastAsia="宋体" w:hAnsi="Times New Roman" w:cs="Times New Roman"/>
                <w:szCs w:val="21"/>
              </w:rPr>
            </w:pPr>
            <w:r w:rsidRPr="00F9162B">
              <w:rPr>
                <w:rFonts w:ascii="Times New Roman" w:eastAsia="宋体" w:hAnsi="Times New Roman" w:cs="Times New Roman"/>
                <w:kern w:val="0"/>
                <w:szCs w:val="21"/>
              </w:rPr>
              <w:t>5</w:t>
            </w:r>
            <w:r w:rsidRPr="00F9162B">
              <w:rPr>
                <w:rFonts w:ascii="Times New Roman" w:eastAsia="宋体" w:hAnsi="Times New Roman" w:cs="Times New Roman"/>
                <w:kern w:val="0"/>
                <w:szCs w:val="21"/>
              </w:rPr>
              <w:t>、</w:t>
            </w:r>
            <w:r w:rsidRPr="00F9162B">
              <w:rPr>
                <w:rFonts w:ascii="Times New Roman" w:eastAsia="宋体" w:hAnsi="Times New Roman" w:cs="Times New Roman"/>
                <w:szCs w:val="21"/>
              </w:rPr>
              <w:t>本项目符合</w:t>
            </w:r>
            <w:r w:rsidRPr="00F9162B">
              <w:rPr>
                <w:rFonts w:ascii="Times New Roman" w:eastAsia="宋体" w:hAnsi="Times New Roman" w:cs="Times New Roman"/>
                <w:kern w:val="0"/>
                <w:szCs w:val="21"/>
              </w:rPr>
              <w:t>《连云港港总体规划》、《连云港港赣榆港区总体规划》及《连云港港赣榆港区总体规划优化方案》</w:t>
            </w:r>
            <w:r w:rsidRPr="00F9162B">
              <w:rPr>
                <w:rFonts w:ascii="Times New Roman" w:eastAsia="宋体" w:hAnsi="Times New Roman" w:cs="Times New Roman"/>
                <w:szCs w:val="21"/>
              </w:rPr>
              <w:t>的要求，具体可见</w:t>
            </w:r>
            <w:r w:rsidRPr="00F9162B">
              <w:rPr>
                <w:rFonts w:ascii="Times New Roman" w:eastAsia="宋体" w:hAnsi="Times New Roman" w:cs="Times New Roman"/>
                <w:szCs w:val="21"/>
              </w:rPr>
              <w:t>1.3.2</w:t>
            </w:r>
            <w:r w:rsidRPr="00F9162B">
              <w:rPr>
                <w:rFonts w:ascii="Times New Roman" w:eastAsia="宋体" w:hAnsi="Times New Roman" w:cs="Times New Roman"/>
                <w:szCs w:val="21"/>
              </w:rPr>
              <w:t>章节。</w:t>
            </w:r>
          </w:p>
        </w:tc>
        <w:tc>
          <w:tcPr>
            <w:tcW w:w="832" w:type="dxa"/>
            <w:vAlign w:val="center"/>
          </w:tcPr>
          <w:p w14:paraId="36D1A78B" w14:textId="77777777" w:rsidR="002133E3" w:rsidRPr="00F9162B" w:rsidRDefault="002133E3">
            <w:pPr>
              <w:snapToGrid w:val="0"/>
              <w:jc w:val="center"/>
              <w:rPr>
                <w:rFonts w:ascii="Times New Roman" w:eastAsia="宋体" w:hAnsi="Times New Roman" w:cs="Times New Roman"/>
                <w:szCs w:val="21"/>
              </w:rPr>
            </w:pPr>
          </w:p>
        </w:tc>
      </w:tr>
    </w:tbl>
    <w:p w14:paraId="5E091857" w14:textId="77777777" w:rsidR="002133E3" w:rsidRDefault="002133E3">
      <w:pPr>
        <w:topLinePunct/>
        <w:adjustRightInd w:val="0"/>
        <w:snapToGrid w:val="0"/>
        <w:spacing w:line="500" w:lineRule="exact"/>
        <w:ind w:rightChars="-42" w:right="-88" w:firstLineChars="200" w:firstLine="560"/>
        <w:rPr>
          <w:rFonts w:ascii="Times New Roman" w:eastAsia="宋体" w:hAnsi="Times New Roman" w:cs="Times New Roman"/>
          <w:sz w:val="28"/>
          <w:szCs w:val="24"/>
        </w:rPr>
        <w:sectPr w:rsidR="002133E3">
          <w:pgSz w:w="16838" w:h="11906" w:orient="landscape"/>
          <w:pgMar w:top="1134" w:right="1134" w:bottom="1134" w:left="1134" w:header="851" w:footer="992" w:gutter="0"/>
          <w:cols w:space="425"/>
          <w:docGrid w:type="linesAndChars" w:linePitch="312"/>
        </w:sectPr>
      </w:pPr>
    </w:p>
    <w:p w14:paraId="1DF7B0A7" w14:textId="77777777" w:rsidR="002133E3" w:rsidRDefault="00C22CFA">
      <w:pPr>
        <w:pStyle w:val="affff3"/>
        <w:numPr>
          <w:ilvl w:val="2"/>
          <w:numId w:val="2"/>
        </w:numPr>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与排污许可制衔接情况</w:t>
      </w:r>
    </w:p>
    <w:p w14:paraId="4240B17D" w14:textId="77777777" w:rsidR="002133E3" w:rsidRDefault="00C22CFA">
      <w:pPr>
        <w:topLinePunct/>
        <w:adjustRightInd w:val="0"/>
        <w:snapToGrid w:val="0"/>
        <w:spacing w:line="500" w:lineRule="exact"/>
        <w:ind w:rightChars="-42" w:right="-88"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根据《国务院办公厅关于印发控制污染物排放许可制实施方案的通知》</w:t>
      </w:r>
      <w:r>
        <w:rPr>
          <w:rFonts w:ascii="Times New Roman" w:eastAsia="宋体" w:hAnsi="Times New Roman" w:cs="Times New Roman"/>
          <w:sz w:val="28"/>
          <w:szCs w:val="24"/>
        </w:rPr>
        <w:t>(</w:t>
      </w:r>
      <w:r>
        <w:rPr>
          <w:rFonts w:ascii="Times New Roman" w:eastAsia="宋体" w:hAnsi="Times New Roman" w:cs="Times New Roman"/>
          <w:sz w:val="28"/>
          <w:szCs w:val="24"/>
        </w:rPr>
        <w:t>国办发〔</w:t>
      </w:r>
      <w:r>
        <w:rPr>
          <w:rFonts w:ascii="Times New Roman" w:eastAsia="宋体" w:hAnsi="Times New Roman" w:cs="Times New Roman"/>
          <w:sz w:val="28"/>
          <w:szCs w:val="24"/>
        </w:rPr>
        <w:t>2016</w:t>
      </w:r>
      <w:r>
        <w:rPr>
          <w:rFonts w:ascii="Times New Roman" w:eastAsia="宋体" w:hAnsi="Times New Roman" w:cs="Times New Roman"/>
          <w:sz w:val="28"/>
          <w:szCs w:val="24"/>
        </w:rPr>
        <w:t>〕</w:t>
      </w:r>
      <w:r>
        <w:rPr>
          <w:rFonts w:ascii="Times New Roman" w:eastAsia="宋体" w:hAnsi="Times New Roman" w:cs="Times New Roman"/>
          <w:sz w:val="28"/>
          <w:szCs w:val="24"/>
        </w:rPr>
        <w:t>81</w:t>
      </w:r>
      <w:r>
        <w:rPr>
          <w:rFonts w:ascii="Times New Roman" w:eastAsia="宋体" w:hAnsi="Times New Roman" w:cs="Times New Roman"/>
          <w:sz w:val="28"/>
          <w:szCs w:val="24"/>
        </w:rPr>
        <w:t>号</w:t>
      </w:r>
      <w:r>
        <w:rPr>
          <w:rFonts w:ascii="Times New Roman" w:eastAsia="宋体" w:hAnsi="Times New Roman" w:cs="Times New Roman"/>
          <w:sz w:val="28"/>
          <w:szCs w:val="24"/>
        </w:rPr>
        <w:t>)</w:t>
      </w:r>
      <w:r>
        <w:rPr>
          <w:rFonts w:ascii="Times New Roman" w:eastAsia="宋体" w:hAnsi="Times New Roman" w:cs="Times New Roman"/>
          <w:sz w:val="28"/>
          <w:szCs w:val="24"/>
        </w:rPr>
        <w:t>和《环境保护部关于印发〈</w:t>
      </w:r>
      <w:r>
        <w:rPr>
          <w:rFonts w:ascii="Times New Roman" w:eastAsia="宋体" w:hAnsi="Times New Roman" w:cs="Times New Roman"/>
          <w:sz w:val="28"/>
          <w:szCs w:val="24"/>
        </w:rPr>
        <w:t>“</w:t>
      </w:r>
      <w:r>
        <w:rPr>
          <w:rFonts w:ascii="Times New Roman" w:eastAsia="宋体" w:hAnsi="Times New Roman" w:cs="Times New Roman"/>
          <w:sz w:val="28"/>
          <w:szCs w:val="24"/>
        </w:rPr>
        <w:t>十三五</w:t>
      </w:r>
      <w:r>
        <w:rPr>
          <w:rFonts w:ascii="Times New Roman" w:eastAsia="宋体" w:hAnsi="Times New Roman" w:cs="Times New Roman"/>
          <w:sz w:val="28"/>
          <w:szCs w:val="24"/>
        </w:rPr>
        <w:t>”</w:t>
      </w:r>
      <w:r>
        <w:rPr>
          <w:rFonts w:ascii="Times New Roman" w:eastAsia="宋体" w:hAnsi="Times New Roman" w:cs="Times New Roman"/>
          <w:sz w:val="28"/>
          <w:szCs w:val="24"/>
        </w:rPr>
        <w:t>环境影响评价改革实施方案〉的通知》</w:t>
      </w:r>
      <w:r>
        <w:rPr>
          <w:rFonts w:ascii="Times New Roman" w:eastAsia="宋体" w:hAnsi="Times New Roman" w:cs="Times New Roman"/>
          <w:sz w:val="28"/>
          <w:szCs w:val="24"/>
        </w:rPr>
        <w:t>(</w:t>
      </w:r>
      <w:r>
        <w:rPr>
          <w:rFonts w:ascii="Times New Roman" w:eastAsia="宋体" w:hAnsi="Times New Roman" w:cs="Times New Roman"/>
          <w:sz w:val="28"/>
          <w:szCs w:val="24"/>
        </w:rPr>
        <w:t>环环评〔</w:t>
      </w:r>
      <w:r>
        <w:rPr>
          <w:rFonts w:ascii="Times New Roman" w:eastAsia="宋体" w:hAnsi="Times New Roman" w:cs="Times New Roman"/>
          <w:sz w:val="28"/>
          <w:szCs w:val="24"/>
        </w:rPr>
        <w:t>2016</w:t>
      </w:r>
      <w:r>
        <w:rPr>
          <w:rFonts w:ascii="Times New Roman" w:eastAsia="宋体" w:hAnsi="Times New Roman" w:cs="Times New Roman"/>
          <w:sz w:val="28"/>
          <w:szCs w:val="24"/>
        </w:rPr>
        <w:t>〕</w:t>
      </w:r>
      <w:r>
        <w:rPr>
          <w:rFonts w:ascii="Times New Roman" w:eastAsia="宋体" w:hAnsi="Times New Roman" w:cs="Times New Roman"/>
          <w:sz w:val="28"/>
          <w:szCs w:val="24"/>
        </w:rPr>
        <w:t>95</w:t>
      </w:r>
      <w:r>
        <w:rPr>
          <w:rFonts w:ascii="Times New Roman" w:eastAsia="宋体" w:hAnsi="Times New Roman" w:cs="Times New Roman"/>
          <w:sz w:val="28"/>
          <w:szCs w:val="24"/>
        </w:rPr>
        <w:t>号</w:t>
      </w:r>
      <w:r>
        <w:rPr>
          <w:rFonts w:ascii="Times New Roman" w:eastAsia="宋体" w:hAnsi="Times New Roman" w:cs="Times New Roman"/>
          <w:sz w:val="28"/>
          <w:szCs w:val="24"/>
        </w:rPr>
        <w:t>)</w:t>
      </w:r>
      <w:r>
        <w:rPr>
          <w:rFonts w:ascii="Times New Roman" w:eastAsia="宋体" w:hAnsi="Times New Roman" w:cs="Times New Roman"/>
          <w:sz w:val="28"/>
          <w:szCs w:val="24"/>
        </w:rPr>
        <w:t>，要求建设项目环境影响评价应与排污许可制衔接。</w:t>
      </w:r>
    </w:p>
    <w:p w14:paraId="46E5D270" w14:textId="77777777" w:rsidR="002133E3" w:rsidRDefault="00C22CFA">
      <w:pPr>
        <w:topLinePunct/>
        <w:adjustRightInd w:val="0"/>
        <w:snapToGrid w:val="0"/>
        <w:spacing w:line="500" w:lineRule="exact"/>
        <w:ind w:rightChars="-42" w:right="-88"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本项目为纳入排污许可管理的建设项目，编制环境影响报告书的，实行排污许可登记管理；项目环境影响报告书，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等与污染物排放相关的主要内容。</w:t>
      </w:r>
    </w:p>
    <w:p w14:paraId="79C6FE35" w14:textId="77777777" w:rsidR="002133E3" w:rsidRDefault="00C22CFA">
      <w:pPr>
        <w:topLinePunct/>
        <w:adjustRightInd w:val="0"/>
        <w:snapToGrid w:val="0"/>
        <w:spacing w:line="500" w:lineRule="exact"/>
        <w:ind w:rightChars="-42" w:right="-88" w:firstLine="570"/>
        <w:rPr>
          <w:rFonts w:ascii="Times New Roman" w:eastAsia="宋体" w:hAnsi="Times New Roman" w:cs="Times New Roman"/>
          <w:sz w:val="28"/>
          <w:szCs w:val="24"/>
        </w:rPr>
      </w:pPr>
      <w:r>
        <w:rPr>
          <w:rFonts w:ascii="Times New Roman" w:eastAsia="宋体" w:hAnsi="Times New Roman" w:cs="Times New Roman"/>
          <w:sz w:val="28"/>
          <w:szCs w:val="24"/>
        </w:rPr>
        <w:t>企业现有工程已按照相关法律、法规、规章关于排污许可实施范围和步骤的规定，申请并获取排污许可证，许可证编号：</w:t>
      </w:r>
      <w:r>
        <w:rPr>
          <w:rFonts w:ascii="Times New Roman" w:eastAsia="宋体" w:hAnsi="Times New Roman" w:cs="Times New Roman"/>
          <w:sz w:val="28"/>
          <w:szCs w:val="24"/>
        </w:rPr>
        <w:t>91320700790876452E001P</w:t>
      </w:r>
      <w:r>
        <w:rPr>
          <w:rFonts w:ascii="Times New Roman" w:eastAsia="宋体" w:hAnsi="Times New Roman" w:cs="Times New Roman"/>
          <w:sz w:val="28"/>
          <w:szCs w:val="24"/>
        </w:rPr>
        <w:t>。本项目发生实际排污行为之前，排污单位应当按照国家环境保护相关法律法规以及排污许可证申请与核发技术规范要求进行排污许可证变更，不得无证排污或不按证排污。环境影响报告书</w:t>
      </w:r>
      <w:r>
        <w:rPr>
          <w:rFonts w:ascii="Times New Roman" w:eastAsia="宋体" w:hAnsi="Times New Roman" w:cs="Times New Roman"/>
          <w:sz w:val="28"/>
          <w:szCs w:val="24"/>
        </w:rPr>
        <w:t>(</w:t>
      </w:r>
      <w:r>
        <w:rPr>
          <w:rFonts w:ascii="Times New Roman" w:eastAsia="宋体" w:hAnsi="Times New Roman" w:cs="Times New Roman"/>
          <w:sz w:val="28"/>
          <w:szCs w:val="24"/>
        </w:rPr>
        <w:t>表</w:t>
      </w:r>
      <w:r>
        <w:rPr>
          <w:rFonts w:ascii="Times New Roman" w:eastAsia="宋体" w:hAnsi="Times New Roman" w:cs="Times New Roman"/>
          <w:sz w:val="28"/>
          <w:szCs w:val="24"/>
        </w:rPr>
        <w:t>)2015</w:t>
      </w:r>
      <w:r>
        <w:rPr>
          <w:rFonts w:ascii="Times New Roman" w:eastAsia="宋体" w:hAnsi="Times New Roman" w:cs="Times New Roman"/>
          <w:sz w:val="28"/>
          <w:szCs w:val="24"/>
        </w:rPr>
        <w:t>年</w:t>
      </w:r>
      <w:r>
        <w:rPr>
          <w:rFonts w:ascii="Times New Roman" w:eastAsia="宋体" w:hAnsi="Times New Roman" w:cs="Times New Roman"/>
          <w:sz w:val="28"/>
          <w:szCs w:val="24"/>
        </w:rPr>
        <w:t>1</w:t>
      </w:r>
      <w:r>
        <w:rPr>
          <w:rFonts w:ascii="Times New Roman" w:eastAsia="宋体" w:hAnsi="Times New Roman" w:cs="Times New Roman"/>
          <w:sz w:val="28"/>
          <w:szCs w:val="24"/>
        </w:rPr>
        <w:t>月</w:t>
      </w:r>
      <w:r>
        <w:rPr>
          <w:rFonts w:ascii="Times New Roman" w:eastAsia="宋体" w:hAnsi="Times New Roman" w:cs="Times New Roman"/>
          <w:sz w:val="28"/>
          <w:szCs w:val="24"/>
        </w:rPr>
        <w:t>1</w:t>
      </w:r>
      <w:r>
        <w:rPr>
          <w:rFonts w:ascii="Times New Roman" w:eastAsia="宋体" w:hAnsi="Times New Roman" w:cs="Times New Roman"/>
          <w:sz w:val="28"/>
          <w:szCs w:val="24"/>
        </w:rPr>
        <w:t>日</w:t>
      </w:r>
      <w:r>
        <w:rPr>
          <w:rFonts w:ascii="Times New Roman" w:eastAsia="宋体" w:hAnsi="Times New Roman" w:cs="Times New Roman"/>
          <w:sz w:val="28"/>
          <w:szCs w:val="24"/>
        </w:rPr>
        <w:t>(</w:t>
      </w:r>
      <w:r>
        <w:rPr>
          <w:rFonts w:ascii="Times New Roman" w:eastAsia="宋体" w:hAnsi="Times New Roman" w:cs="Times New Roman"/>
          <w:sz w:val="28"/>
          <w:szCs w:val="24"/>
        </w:rPr>
        <w:t>含</w:t>
      </w:r>
      <w:r>
        <w:rPr>
          <w:rFonts w:ascii="Times New Roman" w:eastAsia="宋体" w:hAnsi="Times New Roman" w:cs="Times New Roman"/>
          <w:sz w:val="28"/>
          <w:szCs w:val="24"/>
        </w:rPr>
        <w:t>)</w:t>
      </w:r>
      <w:r>
        <w:rPr>
          <w:rFonts w:ascii="Times New Roman" w:eastAsia="宋体" w:hAnsi="Times New Roman" w:cs="Times New Roman"/>
          <w:sz w:val="28"/>
          <w:szCs w:val="24"/>
        </w:rPr>
        <w:t>后获得批准的建设项目，其环境影响报告书</w:t>
      </w:r>
      <w:r>
        <w:rPr>
          <w:rFonts w:ascii="Times New Roman" w:eastAsia="宋体" w:hAnsi="Times New Roman" w:cs="Times New Roman"/>
          <w:sz w:val="28"/>
          <w:szCs w:val="24"/>
        </w:rPr>
        <w:t>(</w:t>
      </w:r>
      <w:r>
        <w:rPr>
          <w:rFonts w:ascii="Times New Roman" w:eastAsia="宋体" w:hAnsi="Times New Roman" w:cs="Times New Roman"/>
          <w:sz w:val="28"/>
          <w:szCs w:val="24"/>
        </w:rPr>
        <w:t>表</w:t>
      </w:r>
      <w:r>
        <w:rPr>
          <w:rFonts w:ascii="Times New Roman" w:eastAsia="宋体" w:hAnsi="Times New Roman" w:cs="Times New Roman"/>
          <w:sz w:val="28"/>
          <w:szCs w:val="24"/>
        </w:rPr>
        <w:t>)</w:t>
      </w:r>
      <w:r>
        <w:rPr>
          <w:rFonts w:ascii="Times New Roman" w:eastAsia="宋体" w:hAnsi="Times New Roman" w:cs="Times New Roman"/>
          <w:sz w:val="28"/>
          <w:szCs w:val="24"/>
        </w:rPr>
        <w:t>以及审批文件中与污染物排放相关的主要内容应当纳入排污许可证。建设项目无证排污或不按证排污的，建设单位不得出具该项目验收合格的意见。</w:t>
      </w:r>
    </w:p>
    <w:p w14:paraId="62132A31" w14:textId="77777777" w:rsidR="002133E3" w:rsidRDefault="00C22CFA">
      <w:pPr>
        <w:topLinePunct/>
        <w:adjustRightInd w:val="0"/>
        <w:snapToGrid w:val="0"/>
        <w:spacing w:line="500" w:lineRule="exact"/>
        <w:ind w:rightChars="-42" w:right="-88" w:firstLine="570"/>
        <w:rPr>
          <w:rFonts w:ascii="Times New Roman" w:eastAsia="宋体" w:hAnsi="Times New Roman" w:cs="Times New Roman"/>
          <w:sz w:val="28"/>
          <w:szCs w:val="24"/>
        </w:rPr>
      </w:pPr>
      <w:r>
        <w:rPr>
          <w:rFonts w:ascii="Times New Roman" w:eastAsia="宋体" w:hAnsi="Times New Roman" w:cs="Times New Roman"/>
          <w:sz w:val="28"/>
          <w:szCs w:val="24"/>
        </w:rPr>
        <w:t>本项目按照相关要求，与排污许可证相关要求衔接，同时通过计算，项目目前污染物排放种类与排污许可证一致，由于本公司为排污许可登记管理企业，并未许可浓度及排放量。</w:t>
      </w:r>
    </w:p>
    <w:p w14:paraId="14468C38" w14:textId="77777777" w:rsidR="002133E3" w:rsidRDefault="00C22CFA">
      <w:pPr>
        <w:topLinePunct/>
        <w:adjustRightInd w:val="0"/>
        <w:snapToGrid w:val="0"/>
        <w:spacing w:line="500" w:lineRule="exact"/>
        <w:ind w:rightChars="-42" w:right="-88" w:firstLine="570"/>
        <w:rPr>
          <w:rFonts w:ascii="Times New Roman" w:eastAsia="宋体" w:hAnsi="Times New Roman" w:cs="Times New Roman"/>
          <w:b/>
          <w:sz w:val="30"/>
          <w:szCs w:val="30"/>
        </w:rPr>
      </w:pPr>
      <w:r>
        <w:rPr>
          <w:rFonts w:ascii="Times New Roman" w:eastAsia="宋体" w:hAnsi="Times New Roman" w:cs="Times New Roman"/>
          <w:sz w:val="28"/>
          <w:szCs w:val="24"/>
        </w:rPr>
        <w:t>综上所述，本项目满足排污许可的要求。</w:t>
      </w:r>
    </w:p>
    <w:p w14:paraId="717E01D4"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6" w:name="_Toc47604309"/>
      <w:r>
        <w:rPr>
          <w:rFonts w:ascii="Times New Roman" w:eastAsia="宋体" w:hAnsi="Times New Roman" w:cs="Times New Roman"/>
          <w:b/>
          <w:sz w:val="30"/>
          <w:szCs w:val="30"/>
        </w:rPr>
        <w:t>关注的主要环境问题</w:t>
      </w:r>
      <w:bookmarkEnd w:id="6"/>
    </w:p>
    <w:p w14:paraId="0A1918C8" w14:textId="77777777" w:rsidR="002133E3" w:rsidRDefault="00C22CFA">
      <w:pPr>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本次评价关注的主要环境问题是：污染防治措施的可行性、区域污染物总量平衡途径、项目对于区域内的环境敏感保护目标影响程度及环境风险等，报告书将在后续章节对以上问题进行详细说明。</w:t>
      </w:r>
    </w:p>
    <w:p w14:paraId="7FD86062"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7" w:name="_Toc47604310"/>
      <w:r>
        <w:rPr>
          <w:rFonts w:ascii="Times New Roman" w:eastAsia="宋体" w:hAnsi="Times New Roman" w:cs="Times New Roman"/>
          <w:b/>
          <w:sz w:val="30"/>
          <w:szCs w:val="30"/>
        </w:rPr>
        <w:t>环境影响报告书主要结论</w:t>
      </w:r>
      <w:bookmarkEnd w:id="7"/>
    </w:p>
    <w:p w14:paraId="2AF6847E" w14:textId="77777777" w:rsidR="002133E3" w:rsidRDefault="00C22CFA">
      <w:pPr>
        <w:pStyle w:val="af7"/>
        <w:snapToGrid w:val="0"/>
        <w:spacing w:line="500" w:lineRule="atLeast"/>
        <w:ind w:firstLine="560"/>
        <w:rPr>
          <w:rFonts w:ascii="Times New Roman" w:hAnsi="Times New Roman"/>
          <w:b/>
          <w:sz w:val="30"/>
          <w:szCs w:val="30"/>
        </w:rPr>
      </w:pPr>
      <w:r>
        <w:rPr>
          <w:rFonts w:ascii="Times New Roman" w:hAnsi="Times New Roman"/>
          <w:sz w:val="28"/>
          <w:szCs w:val="28"/>
        </w:rPr>
        <w:lastRenderedPageBreak/>
        <w:t>项目主要为集装箱泊位升级改造项目，符合国家产业政策和地方环保政策要求；项目总体工艺及设备符合清洁生产要求；各项污染治理得当，经有效处理后可保证污染物稳定达到相关排放标准要求，对外环境影响不大，不会降低区域功能类别；并能满足总量控制要求；社会效益、经济效益较好；具有完善的环境风险防范措施和应急预案。因此，从环保的角度看，本项目的建设是可行的。</w:t>
      </w:r>
    </w:p>
    <w:p w14:paraId="4E459709" w14:textId="77777777" w:rsidR="002133E3" w:rsidRDefault="00C22CFA">
      <w:pPr>
        <w:widowControl/>
        <w:jc w:val="left"/>
        <w:rPr>
          <w:rFonts w:ascii="Times New Roman" w:eastAsia="宋体" w:hAnsi="Times New Roman" w:cs="Times New Roman"/>
        </w:rPr>
      </w:pPr>
      <w:r>
        <w:rPr>
          <w:rFonts w:ascii="Times New Roman" w:eastAsia="宋体" w:hAnsi="Times New Roman" w:cs="Times New Roman"/>
          <w:b/>
          <w:sz w:val="30"/>
          <w:szCs w:val="30"/>
        </w:rPr>
        <w:br w:type="page"/>
      </w:r>
    </w:p>
    <w:p w14:paraId="5EC01620" w14:textId="77777777" w:rsidR="002133E3" w:rsidRDefault="00C22CFA">
      <w:pPr>
        <w:pStyle w:val="affff3"/>
        <w:numPr>
          <w:ilvl w:val="0"/>
          <w:numId w:val="2"/>
        </w:numPr>
        <w:snapToGrid w:val="0"/>
        <w:spacing w:line="500" w:lineRule="atLeast"/>
        <w:ind w:left="0" w:firstLineChars="0" w:firstLine="0"/>
        <w:outlineLvl w:val="0"/>
        <w:rPr>
          <w:rFonts w:ascii="Times New Roman" w:eastAsia="宋体" w:hAnsi="Times New Roman" w:cs="Times New Roman"/>
          <w:b/>
          <w:sz w:val="30"/>
          <w:szCs w:val="30"/>
        </w:rPr>
      </w:pPr>
      <w:bookmarkStart w:id="8" w:name="_Toc47604311"/>
      <w:r>
        <w:rPr>
          <w:rFonts w:ascii="Times New Roman" w:eastAsia="宋体" w:hAnsi="Times New Roman" w:cs="Times New Roman"/>
          <w:b/>
          <w:sz w:val="30"/>
          <w:szCs w:val="30"/>
        </w:rPr>
        <w:lastRenderedPageBreak/>
        <w:t>总则</w:t>
      </w:r>
      <w:bookmarkEnd w:id="8"/>
    </w:p>
    <w:p w14:paraId="0A1DAC02"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rPr>
      </w:pPr>
      <w:bookmarkStart w:id="9" w:name="_Toc47604312"/>
      <w:r>
        <w:rPr>
          <w:rFonts w:ascii="Times New Roman" w:eastAsia="宋体" w:hAnsi="Times New Roman" w:cs="Times New Roman"/>
          <w:b/>
          <w:sz w:val="30"/>
          <w:szCs w:val="30"/>
        </w:rPr>
        <w:t>总则</w:t>
      </w:r>
      <w:bookmarkEnd w:id="9"/>
    </w:p>
    <w:p w14:paraId="2F5C8F29"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法律、法规、规章</w:t>
      </w:r>
    </w:p>
    <w:p w14:paraId="0CECE7D9" w14:textId="77777777" w:rsidR="002133E3" w:rsidRDefault="00C22CFA">
      <w:pPr>
        <w:numPr>
          <w:ilvl w:val="0"/>
          <w:numId w:val="5"/>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《中华人民共和国环境保护法》，</w:t>
      </w:r>
      <w:r>
        <w:rPr>
          <w:rFonts w:ascii="Times New Roman" w:eastAsia="宋体" w:hAnsi="Times New Roman" w:cs="Times New Roman"/>
          <w:bCs/>
          <w:sz w:val="28"/>
          <w:szCs w:val="28"/>
        </w:rPr>
        <w:t>2015</w:t>
      </w:r>
      <w:r>
        <w:rPr>
          <w:rFonts w:ascii="Times New Roman" w:eastAsia="宋体" w:hAnsi="Times New Roman" w:cs="Times New Roman"/>
          <w:bCs/>
          <w:sz w:val="28"/>
          <w:szCs w:val="28"/>
        </w:rPr>
        <w:t>年</w:t>
      </w:r>
      <w:r>
        <w:rPr>
          <w:rFonts w:ascii="Times New Roman" w:eastAsia="宋体" w:hAnsi="Times New Roman" w:cs="Times New Roman"/>
          <w:bCs/>
          <w:sz w:val="28"/>
          <w:szCs w:val="28"/>
        </w:rPr>
        <w:t>1</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日施行；</w:t>
      </w:r>
    </w:p>
    <w:p w14:paraId="77871C09" w14:textId="77777777" w:rsidR="002133E3" w:rsidRDefault="00C22CFA">
      <w:pPr>
        <w:numPr>
          <w:ilvl w:val="0"/>
          <w:numId w:val="5"/>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《中华人民共和国环境影响评价法》，</w:t>
      </w:r>
      <w:r>
        <w:rPr>
          <w:rFonts w:ascii="Times New Roman" w:eastAsia="宋体" w:hAnsi="Times New Roman" w:cs="Times New Roman"/>
          <w:bCs/>
          <w:sz w:val="28"/>
          <w:szCs w:val="28"/>
        </w:rPr>
        <w:t>2018</w:t>
      </w:r>
      <w:r>
        <w:rPr>
          <w:rFonts w:ascii="Times New Roman" w:eastAsia="宋体" w:hAnsi="Times New Roman" w:cs="Times New Roman"/>
          <w:bCs/>
          <w:sz w:val="28"/>
          <w:szCs w:val="28"/>
        </w:rPr>
        <w:t>年</w:t>
      </w:r>
      <w:r>
        <w:rPr>
          <w:rFonts w:ascii="Times New Roman" w:eastAsia="宋体" w:hAnsi="Times New Roman" w:cs="Times New Roman"/>
          <w:bCs/>
          <w:sz w:val="28"/>
          <w:szCs w:val="28"/>
        </w:rPr>
        <w:t>12</w:t>
      </w:r>
      <w:r>
        <w:rPr>
          <w:rFonts w:ascii="Times New Roman" w:eastAsia="宋体" w:hAnsi="Times New Roman" w:cs="Times New Roman"/>
          <w:bCs/>
          <w:sz w:val="28"/>
          <w:szCs w:val="28"/>
        </w:rPr>
        <w:t>月</w:t>
      </w:r>
      <w:r>
        <w:rPr>
          <w:rFonts w:ascii="Times New Roman" w:eastAsia="宋体" w:hAnsi="Times New Roman" w:cs="Times New Roman"/>
          <w:bCs/>
          <w:sz w:val="28"/>
          <w:szCs w:val="28"/>
        </w:rPr>
        <w:t>29</w:t>
      </w:r>
      <w:r>
        <w:rPr>
          <w:rFonts w:ascii="Times New Roman" w:eastAsia="宋体" w:hAnsi="Times New Roman" w:cs="Times New Roman"/>
          <w:bCs/>
          <w:sz w:val="28"/>
          <w:szCs w:val="28"/>
        </w:rPr>
        <w:t>日修订；</w:t>
      </w:r>
    </w:p>
    <w:p w14:paraId="154B8BEB" w14:textId="77777777" w:rsidR="002133E3" w:rsidRDefault="00C22CFA">
      <w:pPr>
        <w:numPr>
          <w:ilvl w:val="0"/>
          <w:numId w:val="5"/>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《中华人民共和国水污染防治法》，</w:t>
      </w:r>
      <w:r>
        <w:rPr>
          <w:rFonts w:ascii="Times New Roman" w:eastAsia="宋体" w:hAnsi="Times New Roman" w:cs="Times New Roman"/>
          <w:bCs/>
          <w:sz w:val="28"/>
          <w:szCs w:val="28"/>
        </w:rPr>
        <w:t>2017</w:t>
      </w:r>
      <w:r>
        <w:rPr>
          <w:rFonts w:ascii="Times New Roman" w:eastAsia="宋体" w:hAnsi="Times New Roman" w:cs="Times New Roman"/>
          <w:bCs/>
          <w:sz w:val="28"/>
          <w:szCs w:val="28"/>
        </w:rPr>
        <w:t>年</w:t>
      </w:r>
      <w:r>
        <w:rPr>
          <w:rFonts w:ascii="Times New Roman" w:eastAsia="宋体" w:hAnsi="Times New Roman" w:cs="Times New Roman"/>
          <w:bCs/>
          <w:sz w:val="28"/>
          <w:szCs w:val="28"/>
        </w:rPr>
        <w:t>6</w:t>
      </w:r>
      <w:r>
        <w:rPr>
          <w:rFonts w:ascii="Times New Roman" w:eastAsia="宋体" w:hAnsi="Times New Roman" w:cs="Times New Roman"/>
          <w:bCs/>
          <w:sz w:val="28"/>
          <w:szCs w:val="28"/>
        </w:rPr>
        <w:t>月</w:t>
      </w:r>
      <w:r>
        <w:rPr>
          <w:rFonts w:ascii="Times New Roman" w:eastAsia="宋体" w:hAnsi="Times New Roman" w:cs="Times New Roman"/>
          <w:bCs/>
          <w:sz w:val="28"/>
          <w:szCs w:val="28"/>
        </w:rPr>
        <w:t>27</w:t>
      </w:r>
      <w:r>
        <w:rPr>
          <w:rFonts w:ascii="Times New Roman" w:eastAsia="宋体" w:hAnsi="Times New Roman" w:cs="Times New Roman"/>
          <w:bCs/>
          <w:sz w:val="28"/>
          <w:szCs w:val="28"/>
        </w:rPr>
        <w:t>日修订；</w:t>
      </w:r>
    </w:p>
    <w:p w14:paraId="0E437996" w14:textId="77777777" w:rsidR="002133E3" w:rsidRDefault="00C22CFA">
      <w:pPr>
        <w:numPr>
          <w:ilvl w:val="0"/>
          <w:numId w:val="5"/>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《中华人民共和国大气污染防治法》，</w:t>
      </w:r>
      <w:r>
        <w:rPr>
          <w:rFonts w:ascii="Times New Roman" w:eastAsia="宋体" w:hAnsi="Times New Roman" w:cs="Times New Roman"/>
          <w:bCs/>
          <w:sz w:val="28"/>
          <w:szCs w:val="28"/>
        </w:rPr>
        <w:t>2016</w:t>
      </w:r>
      <w:r>
        <w:rPr>
          <w:rFonts w:ascii="Times New Roman" w:eastAsia="宋体" w:hAnsi="Times New Roman" w:cs="Times New Roman"/>
          <w:bCs/>
          <w:sz w:val="28"/>
          <w:szCs w:val="28"/>
        </w:rPr>
        <w:t>年</w:t>
      </w:r>
      <w:r>
        <w:rPr>
          <w:rFonts w:ascii="Times New Roman" w:eastAsia="宋体" w:hAnsi="Times New Roman" w:cs="Times New Roman"/>
          <w:bCs/>
          <w:sz w:val="28"/>
          <w:szCs w:val="28"/>
        </w:rPr>
        <w:t>1</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日施行；</w:t>
      </w:r>
    </w:p>
    <w:p w14:paraId="4D9C2058" w14:textId="77777777" w:rsidR="002133E3" w:rsidRDefault="00C22CFA">
      <w:pPr>
        <w:numPr>
          <w:ilvl w:val="0"/>
          <w:numId w:val="5"/>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《中华人民共和国环境噪声污染防治法》，</w:t>
      </w:r>
      <w:r>
        <w:rPr>
          <w:rFonts w:ascii="Times New Roman" w:eastAsia="宋体" w:hAnsi="Times New Roman" w:cs="Times New Roman"/>
          <w:bCs/>
          <w:sz w:val="28"/>
          <w:szCs w:val="28"/>
        </w:rPr>
        <w:t>2018</w:t>
      </w:r>
      <w:r>
        <w:rPr>
          <w:rFonts w:ascii="Times New Roman" w:eastAsia="宋体" w:hAnsi="Times New Roman" w:cs="Times New Roman"/>
          <w:bCs/>
          <w:sz w:val="28"/>
          <w:szCs w:val="28"/>
        </w:rPr>
        <w:t>年</w:t>
      </w:r>
      <w:r>
        <w:rPr>
          <w:rFonts w:ascii="Times New Roman" w:eastAsia="宋体" w:hAnsi="Times New Roman" w:cs="Times New Roman"/>
          <w:bCs/>
          <w:sz w:val="28"/>
          <w:szCs w:val="28"/>
        </w:rPr>
        <w:t>12</w:t>
      </w:r>
      <w:r>
        <w:rPr>
          <w:rFonts w:ascii="Times New Roman" w:eastAsia="宋体" w:hAnsi="Times New Roman" w:cs="Times New Roman"/>
          <w:bCs/>
          <w:sz w:val="28"/>
          <w:szCs w:val="28"/>
        </w:rPr>
        <w:t>月</w:t>
      </w:r>
      <w:r>
        <w:rPr>
          <w:rFonts w:ascii="Times New Roman" w:eastAsia="宋体" w:hAnsi="Times New Roman" w:cs="Times New Roman"/>
          <w:bCs/>
          <w:sz w:val="28"/>
          <w:szCs w:val="28"/>
        </w:rPr>
        <w:t>29</w:t>
      </w:r>
      <w:r>
        <w:rPr>
          <w:rFonts w:ascii="Times New Roman" w:eastAsia="宋体" w:hAnsi="Times New Roman" w:cs="Times New Roman"/>
          <w:bCs/>
          <w:sz w:val="28"/>
          <w:szCs w:val="28"/>
        </w:rPr>
        <w:t>日修改；</w:t>
      </w:r>
    </w:p>
    <w:p w14:paraId="7991BA4A" w14:textId="77777777" w:rsidR="002133E3" w:rsidRDefault="00C22CFA">
      <w:pPr>
        <w:numPr>
          <w:ilvl w:val="0"/>
          <w:numId w:val="5"/>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《中华人民共和国固体废物污染环境防治法》，</w:t>
      </w:r>
      <w:r>
        <w:rPr>
          <w:rFonts w:ascii="Times New Roman" w:eastAsia="宋体" w:hAnsi="Times New Roman" w:cs="Times New Roman"/>
          <w:bCs/>
          <w:sz w:val="28"/>
          <w:szCs w:val="28"/>
        </w:rPr>
        <w:t>2020</w:t>
      </w:r>
      <w:r>
        <w:rPr>
          <w:rFonts w:ascii="Times New Roman" w:eastAsia="宋体" w:hAnsi="Times New Roman" w:cs="Times New Roman"/>
          <w:bCs/>
          <w:sz w:val="28"/>
          <w:szCs w:val="28"/>
        </w:rPr>
        <w:t>年</w:t>
      </w:r>
      <w:r>
        <w:rPr>
          <w:rFonts w:ascii="Times New Roman" w:eastAsia="宋体" w:hAnsi="Times New Roman" w:cs="Times New Roman"/>
          <w:bCs/>
          <w:sz w:val="28"/>
          <w:szCs w:val="28"/>
        </w:rPr>
        <w:t>9</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号施行；</w:t>
      </w:r>
    </w:p>
    <w:p w14:paraId="66A49F6B"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《中华人民共和国防止陆源污染物污染损害海洋环境管理条例》</w:t>
      </w:r>
      <w:r>
        <w:rPr>
          <w:rFonts w:ascii="Times New Roman" w:eastAsia="宋体" w:hAnsi="Times New Roman" w:cs="Times New Roman"/>
          <w:bCs/>
          <w:sz w:val="28"/>
          <w:szCs w:val="28"/>
        </w:rPr>
        <w:t>(</w:t>
      </w:r>
      <w:r>
        <w:rPr>
          <w:rFonts w:ascii="Times New Roman" w:eastAsia="宋体" w:hAnsi="Times New Roman" w:cs="Times New Roman"/>
          <w:bCs/>
          <w:sz w:val="28"/>
          <w:szCs w:val="28"/>
        </w:rPr>
        <w:t>主席令第</w:t>
      </w:r>
      <w:r>
        <w:rPr>
          <w:rFonts w:ascii="Times New Roman" w:eastAsia="宋体" w:hAnsi="Times New Roman" w:cs="Times New Roman"/>
          <w:bCs/>
          <w:sz w:val="28"/>
          <w:szCs w:val="28"/>
        </w:rPr>
        <w:t>61</w:t>
      </w:r>
      <w:r>
        <w:rPr>
          <w:rFonts w:ascii="Times New Roman" w:eastAsia="宋体" w:hAnsi="Times New Roman" w:cs="Times New Roman"/>
          <w:bCs/>
          <w:sz w:val="28"/>
          <w:szCs w:val="28"/>
        </w:rPr>
        <w:t>号，</w:t>
      </w:r>
      <w:r>
        <w:rPr>
          <w:rFonts w:ascii="Times New Roman" w:eastAsia="宋体" w:hAnsi="Times New Roman" w:cs="Times New Roman"/>
          <w:bCs/>
          <w:sz w:val="28"/>
          <w:szCs w:val="28"/>
        </w:rPr>
        <w:t>1990.06)</w:t>
      </w:r>
      <w:r>
        <w:rPr>
          <w:rFonts w:ascii="Times New Roman" w:eastAsia="宋体" w:hAnsi="Times New Roman" w:cs="Times New Roman"/>
          <w:bCs/>
          <w:sz w:val="28"/>
          <w:szCs w:val="28"/>
        </w:rPr>
        <w:t>；</w:t>
      </w:r>
    </w:p>
    <w:p w14:paraId="5484B37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《中华人民共和国清洁生产促进法》，国家主席令</w:t>
      </w:r>
      <w:r>
        <w:rPr>
          <w:rFonts w:ascii="Times New Roman" w:eastAsia="宋体" w:hAnsi="Times New Roman" w:cs="Times New Roman"/>
          <w:bCs/>
          <w:sz w:val="28"/>
          <w:szCs w:val="28"/>
        </w:rPr>
        <w:t>[2012]</w:t>
      </w:r>
      <w:r>
        <w:rPr>
          <w:rFonts w:ascii="Times New Roman" w:eastAsia="宋体" w:hAnsi="Times New Roman" w:cs="Times New Roman"/>
          <w:bCs/>
          <w:sz w:val="28"/>
          <w:szCs w:val="28"/>
        </w:rPr>
        <w:t>第</w:t>
      </w:r>
      <w:r>
        <w:rPr>
          <w:rFonts w:ascii="Times New Roman" w:eastAsia="宋体" w:hAnsi="Times New Roman" w:cs="Times New Roman"/>
          <w:bCs/>
          <w:sz w:val="28"/>
          <w:szCs w:val="28"/>
        </w:rPr>
        <w:t>54</w:t>
      </w:r>
      <w:r>
        <w:rPr>
          <w:rFonts w:ascii="Times New Roman" w:eastAsia="宋体" w:hAnsi="Times New Roman" w:cs="Times New Roman"/>
          <w:bCs/>
          <w:sz w:val="28"/>
          <w:szCs w:val="28"/>
        </w:rPr>
        <w:t>号；</w:t>
      </w:r>
    </w:p>
    <w:p w14:paraId="01E6F0F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《中华人民共和国节约能源法》，</w:t>
      </w:r>
      <w:r>
        <w:rPr>
          <w:rFonts w:ascii="Times New Roman" w:eastAsia="宋体" w:hAnsi="Times New Roman" w:cs="Times New Roman"/>
          <w:bCs/>
          <w:sz w:val="28"/>
          <w:szCs w:val="28"/>
        </w:rPr>
        <w:t>2016</w:t>
      </w:r>
      <w:r>
        <w:rPr>
          <w:rFonts w:ascii="Times New Roman" w:eastAsia="宋体" w:hAnsi="Times New Roman" w:cs="Times New Roman"/>
          <w:bCs/>
          <w:sz w:val="28"/>
          <w:szCs w:val="28"/>
        </w:rPr>
        <w:t>年</w:t>
      </w:r>
      <w:r>
        <w:rPr>
          <w:rFonts w:ascii="Times New Roman" w:eastAsia="宋体" w:hAnsi="Times New Roman" w:cs="Times New Roman"/>
          <w:bCs/>
          <w:sz w:val="28"/>
          <w:szCs w:val="28"/>
        </w:rPr>
        <w:t>7</w:t>
      </w:r>
      <w:r>
        <w:rPr>
          <w:rFonts w:ascii="Times New Roman" w:eastAsia="宋体" w:hAnsi="Times New Roman" w:cs="Times New Roman"/>
          <w:bCs/>
          <w:sz w:val="28"/>
          <w:szCs w:val="28"/>
        </w:rPr>
        <w:t>月修订；</w:t>
      </w:r>
    </w:p>
    <w:p w14:paraId="13B822A8"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《中华人民共和国循环经济促进法》，</w:t>
      </w:r>
      <w:r>
        <w:rPr>
          <w:rFonts w:ascii="Times New Roman" w:eastAsia="宋体" w:hAnsi="Times New Roman" w:cs="Times New Roman"/>
          <w:bCs/>
          <w:sz w:val="28"/>
          <w:szCs w:val="28"/>
        </w:rPr>
        <w:t>2018</w:t>
      </w:r>
      <w:r>
        <w:rPr>
          <w:rFonts w:ascii="Times New Roman" w:eastAsia="宋体" w:hAnsi="Times New Roman" w:cs="Times New Roman"/>
          <w:bCs/>
          <w:sz w:val="28"/>
          <w:szCs w:val="28"/>
        </w:rPr>
        <w:t>年</w:t>
      </w:r>
      <w:r>
        <w:rPr>
          <w:rFonts w:ascii="Times New Roman" w:eastAsia="宋体" w:hAnsi="Times New Roman" w:cs="Times New Roman"/>
          <w:bCs/>
          <w:sz w:val="28"/>
          <w:szCs w:val="28"/>
        </w:rPr>
        <w:t>10</w:t>
      </w:r>
      <w:r>
        <w:rPr>
          <w:rFonts w:ascii="Times New Roman" w:eastAsia="宋体" w:hAnsi="Times New Roman" w:cs="Times New Roman"/>
          <w:bCs/>
          <w:sz w:val="28"/>
          <w:szCs w:val="28"/>
        </w:rPr>
        <w:t>月</w:t>
      </w:r>
      <w:r>
        <w:rPr>
          <w:rFonts w:ascii="Times New Roman" w:eastAsia="宋体" w:hAnsi="Times New Roman" w:cs="Times New Roman"/>
          <w:bCs/>
          <w:sz w:val="28"/>
          <w:szCs w:val="28"/>
        </w:rPr>
        <w:t>26</w:t>
      </w:r>
      <w:r>
        <w:rPr>
          <w:rFonts w:ascii="Times New Roman" w:eastAsia="宋体" w:hAnsi="Times New Roman" w:cs="Times New Roman"/>
          <w:bCs/>
          <w:sz w:val="28"/>
          <w:szCs w:val="28"/>
        </w:rPr>
        <w:t>日修正；</w:t>
      </w:r>
    </w:p>
    <w:p w14:paraId="1A164D78"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《中华人民共和国海域使用管理法》，</w:t>
      </w:r>
      <w:r>
        <w:rPr>
          <w:rFonts w:ascii="Times New Roman" w:eastAsia="宋体" w:hAnsi="Times New Roman" w:cs="Times New Roman"/>
          <w:bCs/>
          <w:sz w:val="28"/>
          <w:szCs w:val="28"/>
        </w:rPr>
        <w:t>2002</w:t>
      </w:r>
      <w:r>
        <w:rPr>
          <w:rFonts w:ascii="Times New Roman" w:eastAsia="宋体" w:hAnsi="Times New Roman" w:cs="Times New Roman"/>
          <w:bCs/>
          <w:sz w:val="28"/>
          <w:szCs w:val="28"/>
        </w:rPr>
        <w:t>年</w:t>
      </w:r>
      <w:r>
        <w:rPr>
          <w:rFonts w:ascii="Times New Roman" w:eastAsia="宋体" w:hAnsi="Times New Roman" w:cs="Times New Roman"/>
          <w:bCs/>
          <w:sz w:val="28"/>
          <w:szCs w:val="28"/>
        </w:rPr>
        <w:t>1</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日起施行；</w:t>
      </w:r>
    </w:p>
    <w:p w14:paraId="64A6B52E"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《建设项目环境保护管理条例》，</w:t>
      </w:r>
      <w:r>
        <w:rPr>
          <w:rFonts w:ascii="Times New Roman" w:eastAsia="宋体" w:hAnsi="Times New Roman" w:cs="Times New Roman"/>
          <w:bCs/>
          <w:sz w:val="28"/>
          <w:szCs w:val="28"/>
        </w:rPr>
        <w:t xml:space="preserve"> 2017</w:t>
      </w:r>
      <w:r>
        <w:rPr>
          <w:rFonts w:ascii="Times New Roman" w:eastAsia="宋体" w:hAnsi="Times New Roman" w:cs="Times New Roman"/>
          <w:bCs/>
          <w:sz w:val="28"/>
          <w:szCs w:val="28"/>
        </w:rPr>
        <w:t>年修订；</w:t>
      </w:r>
    </w:p>
    <w:p w14:paraId="6A819594"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《中华人民共和国防治海岸工程建设项目污染损害海洋环境管理条例》，</w:t>
      </w:r>
      <w:r>
        <w:rPr>
          <w:rFonts w:ascii="Times New Roman" w:eastAsia="宋体" w:hAnsi="Times New Roman" w:cs="Times New Roman"/>
          <w:bCs/>
          <w:sz w:val="28"/>
          <w:szCs w:val="28"/>
        </w:rPr>
        <w:t xml:space="preserve"> 2017</w:t>
      </w:r>
      <w:r>
        <w:rPr>
          <w:rFonts w:ascii="Times New Roman" w:eastAsia="宋体" w:hAnsi="Times New Roman" w:cs="Times New Roman"/>
          <w:bCs/>
          <w:sz w:val="28"/>
          <w:szCs w:val="28"/>
        </w:rPr>
        <w:t>年修订；</w:t>
      </w:r>
    </w:p>
    <w:p w14:paraId="08542FE0"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《危险化学品安全管理条例》，</w:t>
      </w:r>
      <w:r>
        <w:rPr>
          <w:rFonts w:ascii="Times New Roman" w:eastAsia="宋体" w:hAnsi="Times New Roman" w:cs="Times New Roman"/>
          <w:bCs/>
          <w:sz w:val="28"/>
          <w:szCs w:val="28"/>
        </w:rPr>
        <w:t>2013</w:t>
      </w:r>
      <w:r>
        <w:rPr>
          <w:rFonts w:ascii="Times New Roman" w:eastAsia="宋体" w:hAnsi="Times New Roman" w:cs="Times New Roman"/>
          <w:bCs/>
          <w:sz w:val="28"/>
          <w:szCs w:val="28"/>
        </w:rPr>
        <w:t>年</w:t>
      </w:r>
      <w:r>
        <w:rPr>
          <w:rFonts w:ascii="Times New Roman" w:eastAsia="宋体" w:hAnsi="Times New Roman" w:cs="Times New Roman"/>
          <w:bCs/>
          <w:sz w:val="28"/>
          <w:szCs w:val="28"/>
        </w:rPr>
        <w:t>12</w:t>
      </w:r>
      <w:r>
        <w:rPr>
          <w:rFonts w:ascii="Times New Roman" w:eastAsia="宋体" w:hAnsi="Times New Roman" w:cs="Times New Roman"/>
          <w:bCs/>
          <w:sz w:val="28"/>
          <w:szCs w:val="28"/>
        </w:rPr>
        <w:t>月</w:t>
      </w:r>
      <w:r>
        <w:rPr>
          <w:rFonts w:ascii="Times New Roman" w:eastAsia="宋体" w:hAnsi="Times New Roman" w:cs="Times New Roman"/>
          <w:bCs/>
          <w:sz w:val="28"/>
          <w:szCs w:val="28"/>
        </w:rPr>
        <w:t>7</w:t>
      </w:r>
      <w:r>
        <w:rPr>
          <w:rFonts w:ascii="Times New Roman" w:eastAsia="宋体" w:hAnsi="Times New Roman" w:cs="Times New Roman"/>
          <w:bCs/>
          <w:sz w:val="28"/>
          <w:szCs w:val="28"/>
        </w:rPr>
        <w:t>日施行；</w:t>
      </w:r>
    </w:p>
    <w:p w14:paraId="20BD6770"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《产业结构调整指导目录</w:t>
      </w:r>
      <w:r>
        <w:rPr>
          <w:rFonts w:ascii="Times New Roman" w:eastAsia="宋体" w:hAnsi="Times New Roman" w:cs="Times New Roman"/>
          <w:bCs/>
          <w:sz w:val="28"/>
          <w:szCs w:val="28"/>
        </w:rPr>
        <w:t>(2019</w:t>
      </w:r>
      <w:r>
        <w:rPr>
          <w:rFonts w:ascii="Times New Roman" w:eastAsia="宋体" w:hAnsi="Times New Roman" w:cs="Times New Roman"/>
          <w:bCs/>
          <w:sz w:val="28"/>
          <w:szCs w:val="28"/>
        </w:rPr>
        <w:t>年本</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r>
        <w:rPr>
          <w:rFonts w:ascii="Times New Roman" w:eastAsia="宋体" w:hAnsi="Times New Roman" w:cs="Times New Roman"/>
          <w:bCs/>
          <w:sz w:val="28"/>
          <w:szCs w:val="28"/>
        </w:rPr>
        <w:t>2019</w:t>
      </w:r>
      <w:r>
        <w:rPr>
          <w:rFonts w:ascii="Times New Roman" w:eastAsia="宋体" w:hAnsi="Times New Roman" w:cs="Times New Roman"/>
          <w:bCs/>
          <w:sz w:val="28"/>
          <w:szCs w:val="28"/>
        </w:rPr>
        <w:t>年修正；</w:t>
      </w:r>
    </w:p>
    <w:p w14:paraId="1D35FCF8"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《国务院关于印发</w:t>
      </w:r>
      <w:r>
        <w:rPr>
          <w:rFonts w:ascii="Times New Roman" w:eastAsia="宋体" w:hAnsi="Times New Roman" w:cs="Times New Roman"/>
          <w:bCs/>
          <w:sz w:val="28"/>
          <w:szCs w:val="28"/>
        </w:rPr>
        <w:t>“</w:t>
      </w:r>
      <w:r>
        <w:rPr>
          <w:rFonts w:ascii="Times New Roman" w:eastAsia="宋体" w:hAnsi="Times New Roman" w:cs="Times New Roman"/>
          <w:bCs/>
          <w:sz w:val="28"/>
          <w:szCs w:val="28"/>
        </w:rPr>
        <w:t>十三五</w:t>
      </w:r>
      <w:r>
        <w:rPr>
          <w:rFonts w:ascii="Times New Roman" w:eastAsia="宋体" w:hAnsi="Times New Roman" w:cs="Times New Roman"/>
          <w:bCs/>
          <w:sz w:val="28"/>
          <w:szCs w:val="28"/>
        </w:rPr>
        <w:t>”</w:t>
      </w:r>
      <w:r>
        <w:rPr>
          <w:rFonts w:ascii="Times New Roman" w:eastAsia="宋体" w:hAnsi="Times New Roman" w:cs="Times New Roman"/>
          <w:bCs/>
          <w:sz w:val="28"/>
          <w:szCs w:val="28"/>
        </w:rPr>
        <w:t>节能减排综合工作方案的通知》，国发</w:t>
      </w:r>
      <w:r>
        <w:rPr>
          <w:rFonts w:ascii="Times New Roman" w:eastAsia="宋体" w:hAnsi="Times New Roman" w:cs="Times New Roman"/>
          <w:bCs/>
          <w:sz w:val="28"/>
          <w:szCs w:val="28"/>
        </w:rPr>
        <w:t>[2016]74</w:t>
      </w:r>
      <w:r>
        <w:rPr>
          <w:rFonts w:ascii="Times New Roman" w:eastAsia="宋体" w:hAnsi="Times New Roman" w:cs="Times New Roman"/>
          <w:bCs/>
          <w:sz w:val="28"/>
          <w:szCs w:val="28"/>
        </w:rPr>
        <w:t>号；</w:t>
      </w:r>
    </w:p>
    <w:p w14:paraId="3B36824C"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《国务院关于印发</w:t>
      </w:r>
      <w:r>
        <w:rPr>
          <w:rFonts w:ascii="Times New Roman" w:eastAsia="宋体" w:hAnsi="Times New Roman" w:cs="Times New Roman"/>
          <w:bCs/>
          <w:sz w:val="28"/>
          <w:szCs w:val="28"/>
        </w:rPr>
        <w:t>“</w:t>
      </w:r>
      <w:r>
        <w:rPr>
          <w:rFonts w:ascii="Times New Roman" w:eastAsia="宋体" w:hAnsi="Times New Roman" w:cs="Times New Roman"/>
          <w:bCs/>
          <w:sz w:val="28"/>
          <w:szCs w:val="28"/>
        </w:rPr>
        <w:t>十三五</w:t>
      </w:r>
      <w:r>
        <w:rPr>
          <w:rFonts w:ascii="Times New Roman" w:eastAsia="宋体" w:hAnsi="Times New Roman" w:cs="Times New Roman"/>
          <w:bCs/>
          <w:sz w:val="28"/>
          <w:szCs w:val="28"/>
        </w:rPr>
        <w:t>”</w:t>
      </w:r>
      <w:r>
        <w:rPr>
          <w:rFonts w:ascii="Times New Roman" w:eastAsia="宋体" w:hAnsi="Times New Roman" w:cs="Times New Roman"/>
          <w:bCs/>
          <w:sz w:val="28"/>
          <w:szCs w:val="28"/>
        </w:rPr>
        <w:t>生态环境保护规划的通知》，国发</w:t>
      </w:r>
      <w:r>
        <w:rPr>
          <w:rFonts w:ascii="Times New Roman" w:eastAsia="宋体" w:hAnsi="Times New Roman" w:cs="Times New Roman"/>
          <w:bCs/>
          <w:sz w:val="28"/>
          <w:szCs w:val="28"/>
        </w:rPr>
        <w:t>[2016]65</w:t>
      </w:r>
      <w:r>
        <w:rPr>
          <w:rFonts w:ascii="Times New Roman" w:eastAsia="宋体" w:hAnsi="Times New Roman" w:cs="Times New Roman"/>
          <w:bCs/>
          <w:sz w:val="28"/>
          <w:szCs w:val="28"/>
        </w:rPr>
        <w:t>号；</w:t>
      </w:r>
    </w:p>
    <w:p w14:paraId="35316D09"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《国务院关于印发大气污染防治行动计划的通知》，国发</w:t>
      </w:r>
      <w:r>
        <w:rPr>
          <w:rFonts w:ascii="Times New Roman" w:eastAsia="宋体" w:hAnsi="Times New Roman" w:cs="Times New Roman"/>
          <w:bCs/>
          <w:sz w:val="28"/>
          <w:szCs w:val="28"/>
        </w:rPr>
        <w:t>[2013]37</w:t>
      </w:r>
      <w:r>
        <w:rPr>
          <w:rFonts w:ascii="Times New Roman" w:eastAsia="宋体" w:hAnsi="Times New Roman" w:cs="Times New Roman"/>
          <w:bCs/>
          <w:sz w:val="28"/>
          <w:szCs w:val="28"/>
        </w:rPr>
        <w:t>号；</w:t>
      </w:r>
    </w:p>
    <w:p w14:paraId="4430BA6D"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《国务院关于印发水污染防治行动计划的通知》，国发</w:t>
      </w:r>
      <w:r>
        <w:rPr>
          <w:rFonts w:ascii="Times New Roman" w:eastAsia="宋体" w:hAnsi="Times New Roman" w:cs="Times New Roman"/>
          <w:bCs/>
          <w:sz w:val="28"/>
          <w:szCs w:val="28"/>
        </w:rPr>
        <w:t>[2015]17</w:t>
      </w:r>
      <w:r>
        <w:rPr>
          <w:rFonts w:ascii="Times New Roman" w:eastAsia="宋体" w:hAnsi="Times New Roman" w:cs="Times New Roman"/>
          <w:bCs/>
          <w:sz w:val="28"/>
          <w:szCs w:val="28"/>
        </w:rPr>
        <w:t>号；</w:t>
      </w:r>
    </w:p>
    <w:p w14:paraId="1C6CBE5E"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《土壤污染防治行动计划》，国发</w:t>
      </w:r>
      <w:r>
        <w:rPr>
          <w:rFonts w:ascii="Times New Roman" w:eastAsia="宋体" w:hAnsi="Times New Roman" w:cs="Times New Roman"/>
          <w:bCs/>
          <w:sz w:val="28"/>
          <w:szCs w:val="28"/>
        </w:rPr>
        <w:t>[2016]31</w:t>
      </w:r>
      <w:r>
        <w:rPr>
          <w:rFonts w:ascii="Times New Roman" w:eastAsia="宋体" w:hAnsi="Times New Roman" w:cs="Times New Roman"/>
          <w:bCs/>
          <w:sz w:val="28"/>
          <w:szCs w:val="28"/>
        </w:rPr>
        <w:t>号；</w:t>
      </w:r>
    </w:p>
    <w:p w14:paraId="12CFDCA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《国家危险废物名录》，环境保护部令第</w:t>
      </w:r>
      <w:r>
        <w:rPr>
          <w:rFonts w:ascii="Times New Roman" w:eastAsia="宋体" w:hAnsi="Times New Roman" w:cs="Times New Roman"/>
          <w:bCs/>
          <w:sz w:val="28"/>
          <w:szCs w:val="28"/>
        </w:rPr>
        <w:t>39</w:t>
      </w:r>
      <w:r>
        <w:rPr>
          <w:rFonts w:ascii="Times New Roman" w:eastAsia="宋体" w:hAnsi="Times New Roman" w:cs="Times New Roman"/>
          <w:bCs/>
          <w:sz w:val="28"/>
          <w:szCs w:val="28"/>
        </w:rPr>
        <w:t>号，</w:t>
      </w:r>
      <w:r>
        <w:rPr>
          <w:rFonts w:ascii="Times New Roman" w:eastAsia="宋体" w:hAnsi="Times New Roman" w:cs="Times New Roman"/>
          <w:bCs/>
          <w:sz w:val="28"/>
          <w:szCs w:val="28"/>
        </w:rPr>
        <w:t>2016</w:t>
      </w:r>
      <w:r>
        <w:rPr>
          <w:rFonts w:ascii="Times New Roman" w:eastAsia="宋体" w:hAnsi="Times New Roman" w:cs="Times New Roman"/>
          <w:bCs/>
          <w:sz w:val="28"/>
          <w:szCs w:val="28"/>
        </w:rPr>
        <w:t>年</w:t>
      </w:r>
      <w:r>
        <w:rPr>
          <w:rFonts w:ascii="Times New Roman" w:eastAsia="宋体" w:hAnsi="Times New Roman" w:cs="Times New Roman"/>
          <w:bCs/>
          <w:sz w:val="28"/>
          <w:szCs w:val="28"/>
        </w:rPr>
        <w:t>6</w:t>
      </w:r>
      <w:r>
        <w:rPr>
          <w:rFonts w:ascii="Times New Roman" w:eastAsia="宋体" w:hAnsi="Times New Roman" w:cs="Times New Roman"/>
          <w:bCs/>
          <w:sz w:val="28"/>
          <w:szCs w:val="28"/>
        </w:rPr>
        <w:t>月</w:t>
      </w:r>
      <w:r>
        <w:rPr>
          <w:rFonts w:ascii="Times New Roman" w:eastAsia="宋体" w:hAnsi="Times New Roman" w:cs="Times New Roman"/>
          <w:bCs/>
          <w:sz w:val="28"/>
          <w:szCs w:val="28"/>
        </w:rPr>
        <w:t>14</w:t>
      </w:r>
      <w:r>
        <w:rPr>
          <w:rFonts w:ascii="Times New Roman" w:eastAsia="宋体" w:hAnsi="Times New Roman" w:cs="Times New Roman"/>
          <w:bCs/>
          <w:sz w:val="28"/>
          <w:szCs w:val="28"/>
        </w:rPr>
        <w:t>日</w:t>
      </w:r>
    </w:p>
    <w:p w14:paraId="4B51284B"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《建设项目环境影响评价分类管理名录》，</w:t>
      </w:r>
      <w:r>
        <w:rPr>
          <w:rFonts w:ascii="Times New Roman" w:eastAsia="宋体" w:hAnsi="Times New Roman" w:cs="Times New Roman"/>
          <w:bCs/>
          <w:sz w:val="28"/>
          <w:szCs w:val="28"/>
        </w:rPr>
        <w:t>2018</w:t>
      </w:r>
      <w:r>
        <w:rPr>
          <w:rFonts w:ascii="Times New Roman" w:eastAsia="宋体" w:hAnsi="Times New Roman" w:cs="Times New Roman"/>
          <w:bCs/>
          <w:sz w:val="28"/>
          <w:szCs w:val="28"/>
        </w:rPr>
        <w:t>年</w:t>
      </w:r>
      <w:r>
        <w:rPr>
          <w:rFonts w:ascii="Times New Roman" w:eastAsia="宋体" w:hAnsi="Times New Roman" w:cs="Times New Roman"/>
          <w:bCs/>
          <w:sz w:val="28"/>
          <w:szCs w:val="28"/>
        </w:rPr>
        <w:t>4</w:t>
      </w:r>
      <w:r>
        <w:rPr>
          <w:rFonts w:ascii="Times New Roman" w:eastAsia="宋体" w:hAnsi="Times New Roman" w:cs="Times New Roman"/>
          <w:bCs/>
          <w:sz w:val="28"/>
          <w:szCs w:val="28"/>
        </w:rPr>
        <w:t>月修订；</w:t>
      </w:r>
    </w:p>
    <w:p w14:paraId="0383AA7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lastRenderedPageBreak/>
        <w:t>《关于发布</w:t>
      </w:r>
      <w:r>
        <w:rPr>
          <w:rFonts w:ascii="Times New Roman" w:eastAsia="宋体" w:hAnsi="Times New Roman" w:cs="Times New Roman"/>
          <w:bCs/>
          <w:sz w:val="28"/>
          <w:szCs w:val="28"/>
        </w:rPr>
        <w:t>&lt;</w:t>
      </w:r>
      <w:r>
        <w:rPr>
          <w:rFonts w:ascii="Times New Roman" w:eastAsia="宋体" w:hAnsi="Times New Roman" w:cs="Times New Roman"/>
          <w:bCs/>
          <w:sz w:val="28"/>
          <w:szCs w:val="28"/>
        </w:rPr>
        <w:t>建设项目危险废物环境影响评价指南</w:t>
      </w:r>
      <w:r>
        <w:rPr>
          <w:rFonts w:ascii="Times New Roman" w:eastAsia="宋体" w:hAnsi="Times New Roman" w:cs="Times New Roman"/>
          <w:bCs/>
          <w:sz w:val="28"/>
          <w:szCs w:val="28"/>
        </w:rPr>
        <w:t>&gt;</w:t>
      </w:r>
      <w:r>
        <w:rPr>
          <w:rFonts w:ascii="Times New Roman" w:eastAsia="宋体" w:hAnsi="Times New Roman" w:cs="Times New Roman"/>
          <w:bCs/>
          <w:sz w:val="28"/>
          <w:szCs w:val="28"/>
        </w:rPr>
        <w:t>的公告》，环境保护部公告，</w:t>
      </w:r>
      <w:r>
        <w:rPr>
          <w:rFonts w:ascii="Times New Roman" w:eastAsia="宋体" w:hAnsi="Times New Roman" w:cs="Times New Roman"/>
          <w:bCs/>
          <w:sz w:val="28"/>
          <w:szCs w:val="28"/>
        </w:rPr>
        <w:t>2017</w:t>
      </w:r>
      <w:r>
        <w:rPr>
          <w:rFonts w:ascii="Times New Roman" w:eastAsia="宋体" w:hAnsi="Times New Roman" w:cs="Times New Roman"/>
          <w:bCs/>
          <w:sz w:val="28"/>
          <w:szCs w:val="28"/>
        </w:rPr>
        <w:t>年第</w:t>
      </w:r>
      <w:r>
        <w:rPr>
          <w:rFonts w:ascii="Times New Roman" w:eastAsia="宋体" w:hAnsi="Times New Roman" w:cs="Times New Roman"/>
          <w:bCs/>
          <w:sz w:val="28"/>
          <w:szCs w:val="28"/>
        </w:rPr>
        <w:t>43</w:t>
      </w:r>
      <w:r>
        <w:rPr>
          <w:rFonts w:ascii="Times New Roman" w:eastAsia="宋体" w:hAnsi="Times New Roman" w:cs="Times New Roman"/>
          <w:bCs/>
          <w:sz w:val="28"/>
          <w:szCs w:val="28"/>
        </w:rPr>
        <w:t>号；</w:t>
      </w:r>
    </w:p>
    <w:p w14:paraId="6D2FCD01"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w:t>
      </w:r>
      <w:r>
        <w:rPr>
          <w:rFonts w:ascii="Times New Roman" w:eastAsia="宋体" w:hAnsi="Times New Roman" w:cs="Times New Roman"/>
          <w:bCs/>
          <w:sz w:val="28"/>
          <w:szCs w:val="28"/>
        </w:rPr>
        <w:t>&lt;</w:t>
      </w:r>
      <w:r>
        <w:rPr>
          <w:rFonts w:ascii="Times New Roman" w:eastAsia="宋体" w:hAnsi="Times New Roman" w:cs="Times New Roman"/>
          <w:bCs/>
          <w:sz w:val="28"/>
          <w:szCs w:val="28"/>
        </w:rPr>
        <w:t>排污许可证管理暂行规定</w:t>
      </w:r>
      <w:r>
        <w:rPr>
          <w:rFonts w:ascii="Times New Roman" w:eastAsia="宋体" w:hAnsi="Times New Roman" w:cs="Times New Roman"/>
          <w:bCs/>
          <w:sz w:val="28"/>
          <w:szCs w:val="28"/>
        </w:rPr>
        <w:t>&gt;</w:t>
      </w:r>
      <w:r>
        <w:rPr>
          <w:rFonts w:ascii="Times New Roman" w:eastAsia="宋体" w:hAnsi="Times New Roman" w:cs="Times New Roman"/>
          <w:bCs/>
          <w:sz w:val="28"/>
          <w:szCs w:val="28"/>
        </w:rPr>
        <w:t>的通知》，环水体</w:t>
      </w:r>
      <w:r>
        <w:rPr>
          <w:rFonts w:ascii="Times New Roman" w:eastAsia="宋体" w:hAnsi="Times New Roman" w:cs="Times New Roman"/>
          <w:bCs/>
          <w:sz w:val="28"/>
          <w:szCs w:val="28"/>
        </w:rPr>
        <w:t xml:space="preserve"> [2016]186</w:t>
      </w:r>
      <w:r>
        <w:rPr>
          <w:rFonts w:ascii="Times New Roman" w:eastAsia="宋体" w:hAnsi="Times New Roman" w:cs="Times New Roman"/>
          <w:bCs/>
          <w:sz w:val="28"/>
          <w:szCs w:val="28"/>
        </w:rPr>
        <w:t>号；</w:t>
      </w:r>
    </w:p>
    <w:p w14:paraId="5DD89287"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《危险废物污染防治技术政策》，环发</w:t>
      </w:r>
      <w:r>
        <w:rPr>
          <w:rFonts w:ascii="Times New Roman" w:eastAsia="宋体" w:hAnsi="Times New Roman" w:cs="Times New Roman"/>
          <w:bCs/>
          <w:sz w:val="28"/>
          <w:szCs w:val="28"/>
        </w:rPr>
        <w:t>[2001]199</w:t>
      </w:r>
      <w:r>
        <w:rPr>
          <w:rFonts w:ascii="Times New Roman" w:eastAsia="宋体" w:hAnsi="Times New Roman" w:cs="Times New Roman"/>
          <w:bCs/>
          <w:sz w:val="28"/>
          <w:szCs w:val="28"/>
        </w:rPr>
        <w:t>号；</w:t>
      </w:r>
    </w:p>
    <w:p w14:paraId="587A25ED"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《关于进一步加强环境影响评价管理防范环境风险的通知》，环发</w:t>
      </w:r>
      <w:r>
        <w:rPr>
          <w:rFonts w:ascii="Times New Roman" w:eastAsia="宋体" w:hAnsi="Times New Roman" w:cs="Times New Roman"/>
          <w:bCs/>
          <w:sz w:val="28"/>
          <w:szCs w:val="28"/>
        </w:rPr>
        <w:t>[2012]77</w:t>
      </w:r>
      <w:r>
        <w:rPr>
          <w:rFonts w:ascii="Times New Roman" w:eastAsia="宋体" w:hAnsi="Times New Roman" w:cs="Times New Roman"/>
          <w:bCs/>
          <w:sz w:val="28"/>
          <w:szCs w:val="28"/>
        </w:rPr>
        <w:t>号；</w:t>
      </w:r>
    </w:p>
    <w:p w14:paraId="610DC99D"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关于印发《建设项目环境影响评价政府信息公开指南</w:t>
      </w:r>
      <w:r>
        <w:rPr>
          <w:rFonts w:ascii="Times New Roman" w:eastAsia="宋体" w:hAnsi="Times New Roman" w:cs="Times New Roman"/>
          <w:bCs/>
          <w:sz w:val="28"/>
          <w:szCs w:val="28"/>
        </w:rPr>
        <w:t>(</w:t>
      </w:r>
      <w:r>
        <w:rPr>
          <w:rFonts w:ascii="Times New Roman" w:eastAsia="宋体" w:hAnsi="Times New Roman" w:cs="Times New Roman"/>
          <w:bCs/>
          <w:sz w:val="28"/>
          <w:szCs w:val="28"/>
        </w:rPr>
        <w:t>试行</w:t>
      </w:r>
      <w:r>
        <w:rPr>
          <w:rFonts w:ascii="Times New Roman" w:eastAsia="宋体" w:hAnsi="Times New Roman" w:cs="Times New Roman"/>
          <w:bCs/>
          <w:sz w:val="28"/>
          <w:szCs w:val="28"/>
        </w:rPr>
        <w:t>)</w:t>
      </w:r>
      <w:r>
        <w:rPr>
          <w:rFonts w:ascii="Times New Roman" w:eastAsia="宋体" w:hAnsi="Times New Roman" w:cs="Times New Roman"/>
          <w:bCs/>
          <w:sz w:val="28"/>
          <w:szCs w:val="28"/>
        </w:rPr>
        <w:t>》的通知，</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环发</w:t>
      </w:r>
      <w:r>
        <w:rPr>
          <w:rFonts w:ascii="Times New Roman" w:eastAsia="宋体" w:hAnsi="Times New Roman" w:cs="Times New Roman"/>
          <w:bCs/>
          <w:sz w:val="28"/>
          <w:szCs w:val="28"/>
        </w:rPr>
        <w:t>[2013]103</w:t>
      </w:r>
      <w:r>
        <w:rPr>
          <w:rFonts w:ascii="Times New Roman" w:eastAsia="宋体" w:hAnsi="Times New Roman" w:cs="Times New Roman"/>
          <w:bCs/>
          <w:sz w:val="28"/>
          <w:szCs w:val="28"/>
        </w:rPr>
        <w:t>号；</w:t>
      </w:r>
    </w:p>
    <w:p w14:paraId="68FC880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《关于落实省大气污染防治行动计划严格环境影响评价准入的通知》，环办</w:t>
      </w:r>
      <w:r>
        <w:rPr>
          <w:rFonts w:ascii="Times New Roman" w:eastAsia="宋体" w:hAnsi="Times New Roman" w:cs="Times New Roman"/>
          <w:bCs/>
          <w:sz w:val="28"/>
          <w:szCs w:val="28"/>
        </w:rPr>
        <w:t>[2014]30</w:t>
      </w:r>
      <w:r>
        <w:rPr>
          <w:rFonts w:ascii="Times New Roman" w:eastAsia="宋体" w:hAnsi="Times New Roman" w:cs="Times New Roman"/>
          <w:bCs/>
          <w:sz w:val="28"/>
          <w:szCs w:val="28"/>
        </w:rPr>
        <w:t>号；</w:t>
      </w:r>
    </w:p>
    <w:p w14:paraId="3AFBD913"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《国务院关于印发打赢蓝天保卫战三年行动计划的通知》，国发</w:t>
      </w:r>
      <w:r>
        <w:rPr>
          <w:rFonts w:ascii="Times New Roman" w:eastAsia="宋体" w:hAnsi="Times New Roman" w:cs="Times New Roman"/>
          <w:bCs/>
          <w:sz w:val="28"/>
          <w:szCs w:val="28"/>
        </w:rPr>
        <w:t>[2018]22</w:t>
      </w:r>
      <w:r>
        <w:rPr>
          <w:rFonts w:ascii="Times New Roman" w:eastAsia="宋体" w:hAnsi="Times New Roman" w:cs="Times New Roman"/>
          <w:bCs/>
          <w:sz w:val="28"/>
          <w:szCs w:val="28"/>
        </w:rPr>
        <w:t>号；</w:t>
      </w:r>
    </w:p>
    <w:p w14:paraId="6AC387E4"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《关于印发〈国家鼓励发展的环境保护技术目录〉</w:t>
      </w:r>
      <w:r>
        <w:rPr>
          <w:rFonts w:ascii="Times New Roman" w:eastAsia="宋体" w:hAnsi="Times New Roman" w:cs="Times New Roman"/>
          <w:bCs/>
          <w:sz w:val="28"/>
          <w:szCs w:val="28"/>
        </w:rPr>
        <w:t>(</w:t>
      </w:r>
      <w:r>
        <w:rPr>
          <w:rFonts w:ascii="Times New Roman" w:eastAsia="宋体" w:hAnsi="Times New Roman" w:cs="Times New Roman"/>
          <w:bCs/>
          <w:sz w:val="28"/>
          <w:szCs w:val="28"/>
        </w:rPr>
        <w:t>第一批</w:t>
      </w:r>
      <w:r>
        <w:rPr>
          <w:rFonts w:ascii="Times New Roman" w:eastAsia="宋体" w:hAnsi="Times New Roman" w:cs="Times New Roman"/>
          <w:bCs/>
          <w:sz w:val="28"/>
          <w:szCs w:val="28"/>
        </w:rPr>
        <w:t>)</w:t>
      </w:r>
      <w:r>
        <w:rPr>
          <w:rFonts w:ascii="Times New Roman" w:eastAsia="宋体" w:hAnsi="Times New Roman" w:cs="Times New Roman"/>
          <w:bCs/>
          <w:sz w:val="28"/>
          <w:szCs w:val="28"/>
        </w:rPr>
        <w:t>和〈国家先进污染治理技术示范名录〉</w:t>
      </w:r>
      <w:r>
        <w:rPr>
          <w:rFonts w:ascii="Times New Roman" w:eastAsia="宋体" w:hAnsi="Times New Roman" w:cs="Times New Roman"/>
          <w:bCs/>
          <w:sz w:val="28"/>
          <w:szCs w:val="28"/>
        </w:rPr>
        <w:t>(</w:t>
      </w:r>
      <w:r>
        <w:rPr>
          <w:rFonts w:ascii="Times New Roman" w:eastAsia="宋体" w:hAnsi="Times New Roman" w:cs="Times New Roman"/>
          <w:bCs/>
          <w:sz w:val="28"/>
          <w:szCs w:val="28"/>
        </w:rPr>
        <w:t>第一批</w:t>
      </w:r>
      <w:r>
        <w:rPr>
          <w:rFonts w:ascii="Times New Roman" w:eastAsia="宋体" w:hAnsi="Times New Roman" w:cs="Times New Roman"/>
          <w:bCs/>
          <w:sz w:val="28"/>
          <w:szCs w:val="28"/>
        </w:rPr>
        <w:t>)</w:t>
      </w:r>
      <w:r>
        <w:rPr>
          <w:rFonts w:ascii="Times New Roman" w:eastAsia="宋体" w:hAnsi="Times New Roman" w:cs="Times New Roman"/>
          <w:bCs/>
          <w:sz w:val="28"/>
          <w:szCs w:val="28"/>
        </w:rPr>
        <w:t>的通知》，环发</w:t>
      </w:r>
      <w:r>
        <w:rPr>
          <w:rFonts w:ascii="Times New Roman" w:eastAsia="宋体" w:hAnsi="Times New Roman" w:cs="Times New Roman"/>
          <w:bCs/>
          <w:sz w:val="28"/>
          <w:szCs w:val="28"/>
        </w:rPr>
        <w:t>[2006]130</w:t>
      </w:r>
      <w:r>
        <w:rPr>
          <w:rFonts w:ascii="Times New Roman" w:eastAsia="宋体" w:hAnsi="Times New Roman" w:cs="Times New Roman"/>
          <w:bCs/>
          <w:sz w:val="28"/>
          <w:szCs w:val="28"/>
        </w:rPr>
        <w:t>号；</w:t>
      </w:r>
    </w:p>
    <w:p w14:paraId="6A41156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《环境影响评价公众参与办法》，生态环境部令第</w:t>
      </w:r>
      <w:r>
        <w:rPr>
          <w:rFonts w:ascii="Times New Roman" w:eastAsia="宋体" w:hAnsi="Times New Roman" w:cs="Times New Roman"/>
          <w:bCs/>
          <w:sz w:val="28"/>
          <w:szCs w:val="28"/>
        </w:rPr>
        <w:t>4</w:t>
      </w:r>
      <w:r>
        <w:rPr>
          <w:rFonts w:ascii="Times New Roman" w:eastAsia="宋体" w:hAnsi="Times New Roman" w:cs="Times New Roman"/>
          <w:bCs/>
          <w:sz w:val="28"/>
          <w:szCs w:val="28"/>
        </w:rPr>
        <w:t>号，</w:t>
      </w:r>
      <w:r>
        <w:rPr>
          <w:rFonts w:ascii="Times New Roman" w:eastAsia="宋体" w:hAnsi="Times New Roman" w:cs="Times New Roman"/>
          <w:bCs/>
          <w:sz w:val="28"/>
          <w:szCs w:val="28"/>
        </w:rPr>
        <w:t>2019</w:t>
      </w:r>
      <w:r>
        <w:rPr>
          <w:rFonts w:ascii="Times New Roman" w:eastAsia="宋体" w:hAnsi="Times New Roman" w:cs="Times New Roman"/>
          <w:bCs/>
          <w:sz w:val="28"/>
          <w:szCs w:val="28"/>
        </w:rPr>
        <w:t>年</w:t>
      </w:r>
      <w:r>
        <w:rPr>
          <w:rFonts w:ascii="Times New Roman" w:eastAsia="宋体" w:hAnsi="Times New Roman" w:cs="Times New Roman"/>
          <w:bCs/>
          <w:sz w:val="28"/>
          <w:szCs w:val="28"/>
        </w:rPr>
        <w:t>1</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日实施；</w:t>
      </w:r>
    </w:p>
    <w:p w14:paraId="5DE03AD5"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《关于加强环保审批从严控制新开工项目的通知》，环办函</w:t>
      </w:r>
      <w:r>
        <w:rPr>
          <w:rFonts w:ascii="Times New Roman" w:eastAsia="宋体" w:hAnsi="Times New Roman" w:cs="Times New Roman"/>
          <w:bCs/>
          <w:sz w:val="28"/>
          <w:szCs w:val="28"/>
        </w:rPr>
        <w:t>[2006]394</w:t>
      </w:r>
      <w:r>
        <w:rPr>
          <w:rFonts w:ascii="Times New Roman" w:eastAsia="宋体" w:hAnsi="Times New Roman" w:cs="Times New Roman"/>
          <w:bCs/>
          <w:sz w:val="28"/>
          <w:szCs w:val="28"/>
        </w:rPr>
        <w:t>号；</w:t>
      </w:r>
    </w:p>
    <w:p w14:paraId="7E3DF2B7"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《工业和信息化部关于进一步加强工业节水工作的意见》，工信部节</w:t>
      </w:r>
      <w:r>
        <w:rPr>
          <w:rFonts w:ascii="Times New Roman" w:eastAsia="宋体" w:hAnsi="Times New Roman" w:cs="Times New Roman"/>
          <w:bCs/>
          <w:sz w:val="28"/>
          <w:szCs w:val="28"/>
        </w:rPr>
        <w:t>[2010]218</w:t>
      </w:r>
      <w:r>
        <w:rPr>
          <w:rFonts w:ascii="Times New Roman" w:eastAsia="宋体" w:hAnsi="Times New Roman" w:cs="Times New Roman"/>
          <w:bCs/>
          <w:sz w:val="28"/>
          <w:szCs w:val="28"/>
        </w:rPr>
        <w:t>号；</w:t>
      </w:r>
    </w:p>
    <w:p w14:paraId="2995418E"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《关于发布实施〈限制用地项目目录</w:t>
      </w:r>
      <w:r>
        <w:rPr>
          <w:rFonts w:ascii="Times New Roman" w:eastAsia="宋体" w:hAnsi="Times New Roman" w:cs="Times New Roman"/>
          <w:bCs/>
          <w:sz w:val="28"/>
          <w:szCs w:val="28"/>
        </w:rPr>
        <w:t>(2012</w:t>
      </w:r>
      <w:r>
        <w:rPr>
          <w:rFonts w:ascii="Times New Roman" w:eastAsia="宋体" w:hAnsi="Times New Roman" w:cs="Times New Roman"/>
          <w:bCs/>
          <w:sz w:val="28"/>
          <w:szCs w:val="28"/>
        </w:rPr>
        <w:t>年本</w:t>
      </w:r>
      <w:r>
        <w:rPr>
          <w:rFonts w:ascii="Times New Roman" w:eastAsia="宋体" w:hAnsi="Times New Roman" w:cs="Times New Roman"/>
          <w:bCs/>
          <w:sz w:val="28"/>
          <w:szCs w:val="28"/>
        </w:rPr>
        <w:t>)</w:t>
      </w:r>
      <w:r>
        <w:rPr>
          <w:rFonts w:ascii="Times New Roman" w:eastAsia="宋体" w:hAnsi="Times New Roman" w:cs="Times New Roman"/>
          <w:bCs/>
          <w:sz w:val="28"/>
          <w:szCs w:val="28"/>
        </w:rPr>
        <w:t>〉和〈禁止用地项目目录</w:t>
      </w:r>
      <w:r>
        <w:rPr>
          <w:rFonts w:ascii="Times New Roman" w:eastAsia="宋体" w:hAnsi="Times New Roman" w:cs="Times New Roman"/>
          <w:bCs/>
          <w:sz w:val="28"/>
          <w:szCs w:val="28"/>
        </w:rPr>
        <w:t>(2012</w:t>
      </w:r>
      <w:r>
        <w:rPr>
          <w:rFonts w:ascii="Times New Roman" w:eastAsia="宋体" w:hAnsi="Times New Roman" w:cs="Times New Roman"/>
          <w:bCs/>
          <w:sz w:val="28"/>
          <w:szCs w:val="28"/>
        </w:rPr>
        <w:t>年本</w:t>
      </w:r>
      <w:r>
        <w:rPr>
          <w:rFonts w:ascii="Times New Roman" w:eastAsia="宋体" w:hAnsi="Times New Roman" w:cs="Times New Roman"/>
          <w:bCs/>
          <w:sz w:val="28"/>
          <w:szCs w:val="28"/>
        </w:rPr>
        <w:t>)</w:t>
      </w:r>
      <w:r>
        <w:rPr>
          <w:rFonts w:ascii="Times New Roman" w:eastAsia="宋体" w:hAnsi="Times New Roman" w:cs="Times New Roman"/>
          <w:bCs/>
          <w:sz w:val="28"/>
          <w:szCs w:val="28"/>
        </w:rPr>
        <w:t>〉的通知》，国土资发</w:t>
      </w:r>
      <w:r>
        <w:rPr>
          <w:rFonts w:ascii="Times New Roman" w:eastAsia="宋体" w:hAnsi="Times New Roman" w:cs="Times New Roman"/>
          <w:bCs/>
          <w:sz w:val="28"/>
          <w:szCs w:val="28"/>
        </w:rPr>
        <w:t>[2012]98</w:t>
      </w:r>
      <w:r>
        <w:rPr>
          <w:rFonts w:ascii="Times New Roman" w:eastAsia="宋体" w:hAnsi="Times New Roman" w:cs="Times New Roman"/>
          <w:bCs/>
          <w:sz w:val="28"/>
          <w:szCs w:val="28"/>
        </w:rPr>
        <w:t>号；</w:t>
      </w:r>
    </w:p>
    <w:p w14:paraId="5E00ADC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《国务院关于落实科学发展观加强环境保护的决定》，国发</w:t>
      </w:r>
      <w:r>
        <w:rPr>
          <w:rFonts w:ascii="Times New Roman" w:eastAsia="宋体" w:hAnsi="Times New Roman" w:cs="Times New Roman"/>
          <w:bCs/>
          <w:sz w:val="28"/>
          <w:szCs w:val="28"/>
        </w:rPr>
        <w:t>[2005]39</w:t>
      </w:r>
      <w:r>
        <w:rPr>
          <w:rFonts w:ascii="Times New Roman" w:eastAsia="宋体" w:hAnsi="Times New Roman" w:cs="Times New Roman"/>
          <w:bCs/>
          <w:sz w:val="28"/>
          <w:szCs w:val="28"/>
        </w:rPr>
        <w:t>号；</w:t>
      </w:r>
    </w:p>
    <w:p w14:paraId="5B1809F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《挥发性有机物</w:t>
      </w:r>
      <w:r>
        <w:rPr>
          <w:rFonts w:ascii="Times New Roman" w:eastAsia="宋体" w:hAnsi="Times New Roman" w:cs="Times New Roman"/>
          <w:bCs/>
          <w:sz w:val="28"/>
          <w:szCs w:val="28"/>
        </w:rPr>
        <w:t>(VOCs)</w:t>
      </w:r>
      <w:r>
        <w:rPr>
          <w:rFonts w:ascii="Times New Roman" w:eastAsia="宋体" w:hAnsi="Times New Roman" w:cs="Times New Roman"/>
          <w:bCs/>
          <w:sz w:val="28"/>
          <w:szCs w:val="28"/>
        </w:rPr>
        <w:t>污染物防治技术政策》，环境保护部公告</w:t>
      </w:r>
      <w:r>
        <w:rPr>
          <w:rFonts w:ascii="Times New Roman" w:eastAsia="宋体" w:hAnsi="Times New Roman" w:cs="Times New Roman"/>
          <w:bCs/>
          <w:sz w:val="28"/>
          <w:szCs w:val="28"/>
        </w:rPr>
        <w:t>2013</w:t>
      </w:r>
      <w:r>
        <w:rPr>
          <w:rFonts w:ascii="Times New Roman" w:eastAsia="宋体" w:hAnsi="Times New Roman" w:cs="Times New Roman"/>
          <w:bCs/>
          <w:sz w:val="28"/>
          <w:szCs w:val="28"/>
        </w:rPr>
        <w:t>年第</w:t>
      </w:r>
      <w:r>
        <w:rPr>
          <w:rFonts w:ascii="Times New Roman" w:eastAsia="宋体" w:hAnsi="Times New Roman" w:cs="Times New Roman"/>
          <w:bCs/>
          <w:sz w:val="28"/>
          <w:szCs w:val="28"/>
        </w:rPr>
        <w:t>31</w:t>
      </w:r>
      <w:r>
        <w:rPr>
          <w:rFonts w:ascii="Times New Roman" w:eastAsia="宋体" w:hAnsi="Times New Roman" w:cs="Times New Roman"/>
          <w:bCs/>
          <w:sz w:val="28"/>
          <w:szCs w:val="28"/>
        </w:rPr>
        <w:t>号，</w:t>
      </w:r>
      <w:r>
        <w:rPr>
          <w:rFonts w:ascii="Times New Roman" w:eastAsia="宋体" w:hAnsi="Times New Roman" w:cs="Times New Roman"/>
          <w:bCs/>
          <w:sz w:val="28"/>
          <w:szCs w:val="28"/>
        </w:rPr>
        <w:t>2013</w:t>
      </w:r>
      <w:r>
        <w:rPr>
          <w:rFonts w:ascii="Times New Roman" w:eastAsia="宋体" w:hAnsi="Times New Roman" w:cs="Times New Roman"/>
          <w:bCs/>
          <w:sz w:val="28"/>
          <w:szCs w:val="28"/>
        </w:rPr>
        <w:t>年</w:t>
      </w:r>
      <w:r>
        <w:rPr>
          <w:rFonts w:ascii="Times New Roman" w:eastAsia="宋体" w:hAnsi="Times New Roman" w:cs="Times New Roman"/>
          <w:bCs/>
          <w:sz w:val="28"/>
          <w:szCs w:val="28"/>
        </w:rPr>
        <w:t>5</w:t>
      </w:r>
      <w:r>
        <w:rPr>
          <w:rFonts w:ascii="Times New Roman" w:eastAsia="宋体" w:hAnsi="Times New Roman" w:cs="Times New Roman"/>
          <w:bCs/>
          <w:sz w:val="28"/>
          <w:szCs w:val="28"/>
        </w:rPr>
        <w:t>月</w:t>
      </w:r>
      <w:r>
        <w:rPr>
          <w:rFonts w:ascii="Times New Roman" w:eastAsia="宋体" w:hAnsi="Times New Roman" w:cs="Times New Roman"/>
          <w:bCs/>
          <w:sz w:val="28"/>
          <w:szCs w:val="28"/>
        </w:rPr>
        <w:t>24</w:t>
      </w:r>
      <w:r>
        <w:rPr>
          <w:rFonts w:ascii="Times New Roman" w:eastAsia="宋体" w:hAnsi="Times New Roman" w:cs="Times New Roman"/>
          <w:bCs/>
          <w:sz w:val="28"/>
          <w:szCs w:val="28"/>
        </w:rPr>
        <w:t>日实施；</w:t>
      </w:r>
    </w:p>
    <w:p w14:paraId="4443B5BB"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w:t>
      </w:r>
      <w:r>
        <w:rPr>
          <w:rFonts w:ascii="Times New Roman" w:eastAsia="宋体" w:hAnsi="Times New Roman" w:cs="Times New Roman"/>
          <w:bCs/>
          <w:sz w:val="28"/>
          <w:szCs w:val="28"/>
        </w:rPr>
        <w:t>&lt;</w:t>
      </w:r>
      <w:r>
        <w:rPr>
          <w:rFonts w:ascii="Times New Roman" w:eastAsia="宋体" w:hAnsi="Times New Roman" w:cs="Times New Roman"/>
          <w:bCs/>
          <w:sz w:val="28"/>
          <w:szCs w:val="28"/>
        </w:rPr>
        <w:t>石化行业挥发性有机物综合整治方案</w:t>
      </w:r>
      <w:r>
        <w:rPr>
          <w:rFonts w:ascii="Times New Roman" w:eastAsia="宋体" w:hAnsi="Times New Roman" w:cs="Times New Roman"/>
          <w:bCs/>
          <w:sz w:val="28"/>
          <w:szCs w:val="28"/>
        </w:rPr>
        <w:t>&gt;</w:t>
      </w:r>
      <w:r>
        <w:rPr>
          <w:rFonts w:ascii="Times New Roman" w:eastAsia="宋体" w:hAnsi="Times New Roman" w:cs="Times New Roman"/>
          <w:bCs/>
          <w:sz w:val="28"/>
          <w:szCs w:val="28"/>
        </w:rPr>
        <w:t>的通知》</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环发</w:t>
      </w:r>
      <w:r>
        <w:rPr>
          <w:rFonts w:ascii="Times New Roman" w:eastAsia="宋体" w:hAnsi="Times New Roman" w:cs="Times New Roman"/>
          <w:bCs/>
          <w:sz w:val="28"/>
          <w:szCs w:val="28"/>
        </w:rPr>
        <w:t>[2014]177</w:t>
      </w:r>
      <w:r>
        <w:rPr>
          <w:rFonts w:ascii="Times New Roman" w:eastAsia="宋体" w:hAnsi="Times New Roman" w:cs="Times New Roman"/>
          <w:bCs/>
          <w:sz w:val="28"/>
          <w:szCs w:val="28"/>
        </w:rPr>
        <w:t>号；</w:t>
      </w:r>
    </w:p>
    <w:p w14:paraId="749F8EB6"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lastRenderedPageBreak/>
        <w:t>《工业和信息化部财政部关于印发重点行业挥发性有机物削减行动计划的通知》，工信部联节</w:t>
      </w:r>
      <w:r>
        <w:rPr>
          <w:rFonts w:ascii="Times New Roman" w:eastAsia="宋体" w:hAnsi="Times New Roman" w:cs="Times New Roman"/>
          <w:bCs/>
          <w:sz w:val="28"/>
          <w:szCs w:val="28"/>
        </w:rPr>
        <w:t>[2016]217</w:t>
      </w:r>
      <w:r>
        <w:rPr>
          <w:rFonts w:ascii="Times New Roman" w:eastAsia="宋体" w:hAnsi="Times New Roman" w:cs="Times New Roman"/>
          <w:bCs/>
          <w:sz w:val="28"/>
          <w:szCs w:val="28"/>
        </w:rPr>
        <w:t>号；</w:t>
      </w:r>
    </w:p>
    <w:p w14:paraId="2832DCC5"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《关于做好环境影响评价制度与排污许可制衔接相关工作的通知》，环办环评</w:t>
      </w:r>
      <w:r>
        <w:rPr>
          <w:rFonts w:ascii="Times New Roman" w:eastAsia="宋体" w:hAnsi="Times New Roman" w:cs="Times New Roman"/>
          <w:bCs/>
          <w:sz w:val="28"/>
          <w:szCs w:val="28"/>
        </w:rPr>
        <w:t>[2017]84</w:t>
      </w:r>
      <w:r>
        <w:rPr>
          <w:rFonts w:ascii="Times New Roman" w:eastAsia="宋体" w:hAnsi="Times New Roman" w:cs="Times New Roman"/>
          <w:bCs/>
          <w:sz w:val="28"/>
          <w:szCs w:val="28"/>
        </w:rPr>
        <w:t>号；</w:t>
      </w:r>
    </w:p>
    <w:p w14:paraId="424C46C3"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《国务院关于印发</w:t>
      </w:r>
      <w:r>
        <w:rPr>
          <w:rFonts w:ascii="Times New Roman" w:eastAsia="宋体" w:hAnsi="Times New Roman" w:cs="Times New Roman"/>
          <w:bCs/>
          <w:sz w:val="28"/>
          <w:szCs w:val="28"/>
        </w:rPr>
        <w:t>“</w:t>
      </w:r>
      <w:r>
        <w:rPr>
          <w:rFonts w:ascii="Times New Roman" w:eastAsia="宋体" w:hAnsi="Times New Roman" w:cs="Times New Roman"/>
          <w:bCs/>
          <w:sz w:val="28"/>
          <w:szCs w:val="28"/>
        </w:rPr>
        <w:t>十三五</w:t>
      </w:r>
      <w:r>
        <w:rPr>
          <w:rFonts w:ascii="Times New Roman" w:eastAsia="宋体" w:hAnsi="Times New Roman" w:cs="Times New Roman"/>
          <w:bCs/>
          <w:sz w:val="28"/>
          <w:szCs w:val="28"/>
        </w:rPr>
        <w:t>”</w:t>
      </w:r>
      <w:r>
        <w:rPr>
          <w:rFonts w:ascii="Times New Roman" w:eastAsia="宋体" w:hAnsi="Times New Roman" w:cs="Times New Roman"/>
          <w:bCs/>
          <w:sz w:val="28"/>
          <w:szCs w:val="28"/>
        </w:rPr>
        <w:t>生态环境保护规划的通知》，国发</w:t>
      </w:r>
      <w:r>
        <w:rPr>
          <w:rFonts w:ascii="Times New Roman" w:eastAsia="宋体" w:hAnsi="Times New Roman" w:cs="Times New Roman"/>
          <w:bCs/>
          <w:sz w:val="28"/>
          <w:szCs w:val="28"/>
        </w:rPr>
        <w:t>[2016]65</w:t>
      </w:r>
      <w:r>
        <w:rPr>
          <w:rFonts w:ascii="Times New Roman" w:eastAsia="宋体" w:hAnsi="Times New Roman" w:cs="Times New Roman"/>
          <w:bCs/>
          <w:sz w:val="28"/>
          <w:szCs w:val="28"/>
        </w:rPr>
        <w:t>号；</w:t>
      </w:r>
    </w:p>
    <w:p w14:paraId="03436E7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《关于印发全国生态保护</w:t>
      </w:r>
      <w:r>
        <w:rPr>
          <w:rFonts w:ascii="Times New Roman" w:eastAsia="宋体" w:hAnsi="Times New Roman" w:cs="Times New Roman"/>
          <w:bCs/>
          <w:sz w:val="28"/>
          <w:szCs w:val="28"/>
        </w:rPr>
        <w:t>“</w:t>
      </w:r>
      <w:r>
        <w:rPr>
          <w:rFonts w:ascii="Times New Roman" w:eastAsia="宋体" w:hAnsi="Times New Roman" w:cs="Times New Roman"/>
          <w:bCs/>
          <w:sz w:val="28"/>
          <w:szCs w:val="28"/>
        </w:rPr>
        <w:t>十三五</w:t>
      </w:r>
      <w:r>
        <w:rPr>
          <w:rFonts w:ascii="Times New Roman" w:eastAsia="宋体" w:hAnsi="Times New Roman" w:cs="Times New Roman"/>
          <w:bCs/>
          <w:sz w:val="28"/>
          <w:szCs w:val="28"/>
        </w:rPr>
        <w:t>”</w:t>
      </w:r>
      <w:r>
        <w:rPr>
          <w:rFonts w:ascii="Times New Roman" w:eastAsia="宋体" w:hAnsi="Times New Roman" w:cs="Times New Roman"/>
          <w:bCs/>
          <w:sz w:val="28"/>
          <w:szCs w:val="28"/>
        </w:rPr>
        <w:t>规划纲要的通知》，环境保护部环生态</w:t>
      </w:r>
      <w:r>
        <w:rPr>
          <w:rFonts w:ascii="Times New Roman" w:eastAsia="宋体" w:hAnsi="Times New Roman" w:cs="Times New Roman"/>
          <w:bCs/>
          <w:sz w:val="28"/>
          <w:szCs w:val="28"/>
        </w:rPr>
        <w:t>[2016]151</w:t>
      </w:r>
      <w:r>
        <w:rPr>
          <w:rFonts w:ascii="Times New Roman" w:eastAsia="宋体" w:hAnsi="Times New Roman" w:cs="Times New Roman"/>
          <w:bCs/>
          <w:sz w:val="28"/>
          <w:szCs w:val="28"/>
        </w:rPr>
        <w:t>号；</w:t>
      </w:r>
    </w:p>
    <w:p w14:paraId="4CF1E44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《国务院关于印发</w:t>
      </w:r>
      <w:r>
        <w:rPr>
          <w:rFonts w:ascii="Times New Roman" w:eastAsia="宋体" w:hAnsi="Times New Roman" w:cs="Times New Roman"/>
          <w:bCs/>
          <w:sz w:val="28"/>
          <w:szCs w:val="28"/>
        </w:rPr>
        <w:t>“</w:t>
      </w:r>
      <w:r>
        <w:rPr>
          <w:rFonts w:ascii="Times New Roman" w:eastAsia="宋体" w:hAnsi="Times New Roman" w:cs="Times New Roman"/>
          <w:bCs/>
          <w:sz w:val="28"/>
          <w:szCs w:val="28"/>
        </w:rPr>
        <w:t>十三五</w:t>
      </w:r>
      <w:r>
        <w:rPr>
          <w:rFonts w:ascii="Times New Roman" w:eastAsia="宋体" w:hAnsi="Times New Roman" w:cs="Times New Roman"/>
          <w:bCs/>
          <w:sz w:val="28"/>
          <w:szCs w:val="28"/>
        </w:rPr>
        <w:t>”</w:t>
      </w:r>
      <w:r>
        <w:rPr>
          <w:rFonts w:ascii="Times New Roman" w:eastAsia="宋体" w:hAnsi="Times New Roman" w:cs="Times New Roman"/>
          <w:bCs/>
          <w:sz w:val="28"/>
          <w:szCs w:val="28"/>
        </w:rPr>
        <w:t>节能减排综合性工作方案的通知》，国发〔</w:t>
      </w:r>
      <w:r>
        <w:rPr>
          <w:rFonts w:ascii="Times New Roman" w:eastAsia="宋体" w:hAnsi="Times New Roman" w:cs="Times New Roman"/>
          <w:bCs/>
          <w:sz w:val="28"/>
          <w:szCs w:val="28"/>
        </w:rPr>
        <w:t>2016</w:t>
      </w:r>
      <w:r>
        <w:rPr>
          <w:rFonts w:ascii="Times New Roman" w:eastAsia="宋体" w:hAnsi="Times New Roman" w:cs="Times New Roman"/>
          <w:bCs/>
          <w:sz w:val="28"/>
          <w:szCs w:val="28"/>
        </w:rPr>
        <w:t>〕</w:t>
      </w:r>
      <w:r>
        <w:rPr>
          <w:rFonts w:ascii="Times New Roman" w:eastAsia="宋体" w:hAnsi="Times New Roman" w:cs="Times New Roman"/>
          <w:bCs/>
          <w:sz w:val="28"/>
          <w:szCs w:val="28"/>
        </w:rPr>
        <w:t>74</w:t>
      </w:r>
      <w:r>
        <w:rPr>
          <w:rFonts w:ascii="Times New Roman" w:eastAsia="宋体" w:hAnsi="Times New Roman" w:cs="Times New Roman"/>
          <w:bCs/>
          <w:sz w:val="28"/>
          <w:szCs w:val="28"/>
        </w:rPr>
        <w:t>号；</w:t>
      </w:r>
    </w:p>
    <w:p w14:paraId="76D0880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《关于印发《重点行业挥发性有机物综合治理方案》的通知》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环大气</w:t>
      </w:r>
      <w:r>
        <w:rPr>
          <w:rFonts w:ascii="Times New Roman" w:eastAsia="宋体" w:hAnsi="Times New Roman" w:cs="Times New Roman"/>
          <w:bCs/>
          <w:sz w:val="28"/>
          <w:szCs w:val="28"/>
        </w:rPr>
        <w:t>2019[53])</w:t>
      </w:r>
      <w:r>
        <w:rPr>
          <w:rFonts w:ascii="Times New Roman" w:eastAsia="宋体" w:hAnsi="Times New Roman" w:cs="Times New Roman"/>
          <w:bCs/>
          <w:sz w:val="28"/>
          <w:szCs w:val="28"/>
        </w:rPr>
        <w:t>；</w:t>
      </w:r>
    </w:p>
    <w:p w14:paraId="3900A4BB"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《关于加强环境影响评价现状监测管理的通知》，苏环办</w:t>
      </w:r>
      <w:r>
        <w:rPr>
          <w:rFonts w:ascii="Times New Roman" w:eastAsia="宋体" w:hAnsi="Times New Roman" w:cs="Times New Roman"/>
          <w:bCs/>
          <w:sz w:val="28"/>
          <w:szCs w:val="28"/>
        </w:rPr>
        <w:t>[2016]185</w:t>
      </w:r>
      <w:r>
        <w:rPr>
          <w:rFonts w:ascii="Times New Roman" w:eastAsia="宋体" w:hAnsi="Times New Roman" w:cs="Times New Roman"/>
          <w:bCs/>
          <w:sz w:val="28"/>
          <w:szCs w:val="28"/>
        </w:rPr>
        <w:t>号；</w:t>
      </w:r>
    </w:p>
    <w:p w14:paraId="68BC6862"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《关于江苏省地表水环境功能区划的批复》，苏政复</w:t>
      </w:r>
      <w:r>
        <w:rPr>
          <w:rFonts w:ascii="Times New Roman" w:eastAsia="宋体" w:hAnsi="Times New Roman" w:cs="Times New Roman"/>
          <w:bCs/>
          <w:sz w:val="28"/>
          <w:szCs w:val="28"/>
        </w:rPr>
        <w:t>(2003)29</w:t>
      </w:r>
      <w:r>
        <w:rPr>
          <w:rFonts w:ascii="Times New Roman" w:eastAsia="宋体" w:hAnsi="Times New Roman" w:cs="Times New Roman"/>
          <w:bCs/>
          <w:sz w:val="28"/>
          <w:szCs w:val="28"/>
        </w:rPr>
        <w:t>号；</w:t>
      </w:r>
    </w:p>
    <w:p w14:paraId="1EFD5843"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《江苏省重污染源排放污染物总量监测报告制度》，苏环监</w:t>
      </w:r>
      <w:r>
        <w:rPr>
          <w:rFonts w:ascii="Times New Roman" w:eastAsia="宋体" w:hAnsi="Times New Roman" w:cs="Times New Roman"/>
          <w:bCs/>
          <w:sz w:val="28"/>
          <w:szCs w:val="28"/>
        </w:rPr>
        <w:t>[2002]5</w:t>
      </w:r>
      <w:r>
        <w:rPr>
          <w:rFonts w:ascii="Times New Roman" w:eastAsia="宋体" w:hAnsi="Times New Roman" w:cs="Times New Roman"/>
          <w:bCs/>
          <w:sz w:val="28"/>
          <w:szCs w:val="28"/>
        </w:rPr>
        <w:t>号；</w:t>
      </w:r>
    </w:p>
    <w:p w14:paraId="782FC1F3"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《江苏省关于切实加强危险废物监管工作的意见》，苏环规</w:t>
      </w:r>
      <w:r>
        <w:rPr>
          <w:rFonts w:ascii="Times New Roman" w:eastAsia="宋体" w:hAnsi="Times New Roman" w:cs="Times New Roman"/>
          <w:bCs/>
          <w:sz w:val="28"/>
          <w:szCs w:val="28"/>
        </w:rPr>
        <w:t>[2012]2</w:t>
      </w:r>
      <w:r>
        <w:rPr>
          <w:rFonts w:ascii="Times New Roman" w:eastAsia="宋体" w:hAnsi="Times New Roman" w:cs="Times New Roman"/>
          <w:bCs/>
          <w:sz w:val="28"/>
          <w:szCs w:val="28"/>
        </w:rPr>
        <w:t>号；</w:t>
      </w:r>
    </w:p>
    <w:p w14:paraId="5B308FA5"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《江苏省政府关于印发江苏省大气污染防治行动计划实施方案的通知》，苏政发</w:t>
      </w:r>
      <w:r>
        <w:rPr>
          <w:rFonts w:ascii="Times New Roman" w:eastAsia="宋体" w:hAnsi="Times New Roman" w:cs="Times New Roman"/>
          <w:bCs/>
          <w:sz w:val="28"/>
          <w:szCs w:val="28"/>
        </w:rPr>
        <w:t>[2014]1</w:t>
      </w:r>
      <w:r>
        <w:rPr>
          <w:rFonts w:ascii="Times New Roman" w:eastAsia="宋体" w:hAnsi="Times New Roman" w:cs="Times New Roman"/>
          <w:bCs/>
          <w:sz w:val="28"/>
          <w:szCs w:val="28"/>
        </w:rPr>
        <w:t>号；</w:t>
      </w:r>
    </w:p>
    <w:p w14:paraId="71039D42"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《江苏省大气颗粒物污染防治管理办法》，江苏省人民政府令第</w:t>
      </w:r>
      <w:r>
        <w:rPr>
          <w:rFonts w:ascii="Times New Roman" w:eastAsia="宋体" w:hAnsi="Times New Roman" w:cs="Times New Roman"/>
          <w:bCs/>
          <w:sz w:val="28"/>
          <w:szCs w:val="28"/>
        </w:rPr>
        <w:t>91</w:t>
      </w:r>
      <w:r>
        <w:rPr>
          <w:rFonts w:ascii="Times New Roman" w:eastAsia="宋体" w:hAnsi="Times New Roman" w:cs="Times New Roman"/>
          <w:bCs/>
          <w:sz w:val="28"/>
          <w:szCs w:val="28"/>
        </w:rPr>
        <w:t>号令，</w:t>
      </w:r>
      <w:r>
        <w:rPr>
          <w:rFonts w:ascii="Times New Roman" w:eastAsia="宋体" w:hAnsi="Times New Roman" w:cs="Times New Roman"/>
          <w:bCs/>
          <w:sz w:val="28"/>
          <w:szCs w:val="28"/>
        </w:rPr>
        <w:t>2013</w:t>
      </w:r>
      <w:r>
        <w:rPr>
          <w:rFonts w:ascii="Times New Roman" w:eastAsia="宋体" w:hAnsi="Times New Roman" w:cs="Times New Roman"/>
          <w:bCs/>
          <w:sz w:val="28"/>
          <w:szCs w:val="28"/>
        </w:rPr>
        <w:t>年</w:t>
      </w:r>
      <w:r>
        <w:rPr>
          <w:rFonts w:ascii="Times New Roman" w:eastAsia="宋体" w:hAnsi="Times New Roman" w:cs="Times New Roman"/>
          <w:bCs/>
          <w:sz w:val="28"/>
          <w:szCs w:val="28"/>
        </w:rPr>
        <w:t>6</w:t>
      </w:r>
      <w:r>
        <w:rPr>
          <w:rFonts w:ascii="Times New Roman" w:eastAsia="宋体" w:hAnsi="Times New Roman" w:cs="Times New Roman"/>
          <w:bCs/>
          <w:sz w:val="28"/>
          <w:szCs w:val="28"/>
        </w:rPr>
        <w:t>月</w:t>
      </w:r>
      <w:r>
        <w:rPr>
          <w:rFonts w:ascii="Times New Roman" w:eastAsia="宋体" w:hAnsi="Times New Roman" w:cs="Times New Roman"/>
          <w:bCs/>
          <w:sz w:val="28"/>
          <w:szCs w:val="28"/>
        </w:rPr>
        <w:t>9</w:t>
      </w:r>
      <w:r>
        <w:rPr>
          <w:rFonts w:ascii="Times New Roman" w:eastAsia="宋体" w:hAnsi="Times New Roman" w:cs="Times New Roman"/>
          <w:bCs/>
          <w:sz w:val="28"/>
          <w:szCs w:val="28"/>
        </w:rPr>
        <w:t>日；</w:t>
      </w:r>
    </w:p>
    <w:p w14:paraId="32B4D188"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《关于发布</w:t>
      </w:r>
      <w:r>
        <w:rPr>
          <w:rFonts w:ascii="Times New Roman" w:eastAsia="宋体" w:hAnsi="Times New Roman" w:cs="Times New Roman"/>
          <w:bCs/>
          <w:sz w:val="28"/>
          <w:szCs w:val="28"/>
        </w:rPr>
        <w:t>&lt;</w:t>
      </w:r>
      <w:r>
        <w:rPr>
          <w:rFonts w:ascii="Times New Roman" w:eastAsia="宋体" w:hAnsi="Times New Roman" w:cs="Times New Roman"/>
          <w:bCs/>
          <w:sz w:val="28"/>
          <w:szCs w:val="28"/>
        </w:rPr>
        <w:t>建设项目危险废物环境影响评价指南</w:t>
      </w:r>
      <w:r>
        <w:rPr>
          <w:rFonts w:ascii="Times New Roman" w:eastAsia="宋体" w:hAnsi="Times New Roman" w:cs="Times New Roman"/>
          <w:bCs/>
          <w:sz w:val="28"/>
          <w:szCs w:val="28"/>
        </w:rPr>
        <w:t>&gt;</w:t>
      </w:r>
      <w:r>
        <w:rPr>
          <w:rFonts w:ascii="Times New Roman" w:eastAsia="宋体" w:hAnsi="Times New Roman" w:cs="Times New Roman"/>
          <w:bCs/>
          <w:sz w:val="28"/>
          <w:szCs w:val="28"/>
        </w:rPr>
        <w:t>的公告》环境保护部公告</w:t>
      </w:r>
      <w:r>
        <w:rPr>
          <w:rFonts w:ascii="Times New Roman" w:eastAsia="宋体" w:hAnsi="Times New Roman" w:cs="Times New Roman"/>
          <w:bCs/>
          <w:sz w:val="28"/>
          <w:szCs w:val="28"/>
        </w:rPr>
        <w:t xml:space="preserve"> 2017</w:t>
      </w:r>
      <w:r>
        <w:rPr>
          <w:rFonts w:ascii="Times New Roman" w:eastAsia="宋体" w:hAnsi="Times New Roman" w:cs="Times New Roman"/>
          <w:bCs/>
          <w:sz w:val="28"/>
          <w:szCs w:val="28"/>
        </w:rPr>
        <w:t>年</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第</w:t>
      </w:r>
      <w:r>
        <w:rPr>
          <w:rFonts w:ascii="Times New Roman" w:eastAsia="宋体" w:hAnsi="Times New Roman" w:cs="Times New Roman"/>
          <w:bCs/>
          <w:sz w:val="28"/>
          <w:szCs w:val="28"/>
        </w:rPr>
        <w:t>43</w:t>
      </w:r>
      <w:r>
        <w:rPr>
          <w:rFonts w:ascii="Times New Roman" w:eastAsia="宋体" w:hAnsi="Times New Roman" w:cs="Times New Roman"/>
          <w:bCs/>
          <w:sz w:val="28"/>
          <w:szCs w:val="28"/>
        </w:rPr>
        <w:t>号</w:t>
      </w:r>
    </w:p>
    <w:p w14:paraId="5DD71F41"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《江苏省固体废物污染环境防治条例》</w:t>
      </w:r>
      <w:r>
        <w:rPr>
          <w:rFonts w:ascii="Times New Roman" w:eastAsia="宋体" w:hAnsi="Times New Roman" w:cs="Times New Roman"/>
          <w:bCs/>
          <w:sz w:val="28"/>
          <w:szCs w:val="28"/>
        </w:rPr>
        <w:t xml:space="preserve"> (2018</w:t>
      </w:r>
      <w:r>
        <w:rPr>
          <w:rFonts w:ascii="Times New Roman" w:eastAsia="宋体" w:hAnsi="Times New Roman" w:cs="Times New Roman"/>
          <w:bCs/>
          <w:sz w:val="28"/>
          <w:szCs w:val="28"/>
        </w:rPr>
        <w:t>年修订</w:t>
      </w:r>
      <w:r>
        <w:rPr>
          <w:rFonts w:ascii="Times New Roman" w:eastAsia="宋体" w:hAnsi="Times New Roman" w:cs="Times New Roman"/>
          <w:bCs/>
          <w:sz w:val="28"/>
          <w:szCs w:val="28"/>
        </w:rPr>
        <w:t>)</w:t>
      </w:r>
    </w:p>
    <w:p w14:paraId="20D6DA14"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《江苏省环境噪声污染防治条例》，</w:t>
      </w:r>
      <w:r>
        <w:rPr>
          <w:rFonts w:ascii="Times New Roman" w:eastAsia="宋体" w:hAnsi="Times New Roman" w:cs="Times New Roman"/>
          <w:bCs/>
          <w:sz w:val="28"/>
          <w:szCs w:val="28"/>
        </w:rPr>
        <w:t>(2012</w:t>
      </w:r>
      <w:r>
        <w:rPr>
          <w:rFonts w:ascii="Times New Roman" w:eastAsia="宋体" w:hAnsi="Times New Roman" w:cs="Times New Roman"/>
          <w:bCs/>
          <w:sz w:val="28"/>
          <w:szCs w:val="28"/>
        </w:rPr>
        <w:t>年修订</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p>
    <w:p w14:paraId="6D790675"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《江苏省地表水</w:t>
      </w:r>
      <w:r>
        <w:rPr>
          <w:rFonts w:ascii="Times New Roman" w:eastAsia="宋体" w:hAnsi="Times New Roman" w:cs="Times New Roman"/>
          <w:bCs/>
          <w:sz w:val="28"/>
          <w:szCs w:val="28"/>
        </w:rPr>
        <w:t>(</w:t>
      </w:r>
      <w:r>
        <w:rPr>
          <w:rFonts w:ascii="Times New Roman" w:eastAsia="宋体" w:hAnsi="Times New Roman" w:cs="Times New Roman"/>
          <w:bCs/>
          <w:sz w:val="28"/>
          <w:szCs w:val="28"/>
        </w:rPr>
        <w:t>环境</w:t>
      </w:r>
      <w:r>
        <w:rPr>
          <w:rFonts w:ascii="Times New Roman" w:eastAsia="宋体" w:hAnsi="Times New Roman" w:cs="Times New Roman"/>
          <w:bCs/>
          <w:sz w:val="28"/>
          <w:szCs w:val="28"/>
        </w:rPr>
        <w:t>)</w:t>
      </w:r>
      <w:r>
        <w:rPr>
          <w:rFonts w:ascii="Times New Roman" w:eastAsia="宋体" w:hAnsi="Times New Roman" w:cs="Times New Roman"/>
          <w:bCs/>
          <w:sz w:val="28"/>
          <w:szCs w:val="28"/>
        </w:rPr>
        <w:t>功能区划》，苏政复</w:t>
      </w:r>
      <w:r>
        <w:rPr>
          <w:rFonts w:ascii="Times New Roman" w:eastAsia="宋体" w:hAnsi="Times New Roman" w:cs="Times New Roman"/>
          <w:bCs/>
          <w:sz w:val="28"/>
          <w:szCs w:val="28"/>
        </w:rPr>
        <w:t>[2003]29</w:t>
      </w:r>
      <w:r>
        <w:rPr>
          <w:rFonts w:ascii="Times New Roman" w:eastAsia="宋体" w:hAnsi="Times New Roman" w:cs="Times New Roman"/>
          <w:bCs/>
          <w:sz w:val="28"/>
          <w:szCs w:val="28"/>
        </w:rPr>
        <w:t>号；</w:t>
      </w:r>
    </w:p>
    <w:p w14:paraId="56F9A47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《江苏省工业和信息产业结构调整指导目录</w:t>
      </w:r>
      <w:r>
        <w:rPr>
          <w:rFonts w:ascii="Times New Roman" w:eastAsia="宋体" w:hAnsi="Times New Roman" w:cs="Times New Roman"/>
          <w:bCs/>
          <w:sz w:val="28"/>
          <w:szCs w:val="28"/>
        </w:rPr>
        <w:t>(2012</w:t>
      </w:r>
      <w:r>
        <w:rPr>
          <w:rFonts w:ascii="Times New Roman" w:eastAsia="宋体" w:hAnsi="Times New Roman" w:cs="Times New Roman"/>
          <w:bCs/>
          <w:sz w:val="28"/>
          <w:szCs w:val="28"/>
        </w:rPr>
        <w:t>年本</w:t>
      </w:r>
      <w:r>
        <w:rPr>
          <w:rFonts w:ascii="Times New Roman" w:eastAsia="宋体" w:hAnsi="Times New Roman" w:cs="Times New Roman"/>
          <w:bCs/>
          <w:sz w:val="28"/>
          <w:szCs w:val="28"/>
        </w:rPr>
        <w:t>)</w:t>
      </w:r>
      <w:r>
        <w:rPr>
          <w:rFonts w:ascii="Times New Roman" w:eastAsia="宋体" w:hAnsi="Times New Roman" w:cs="Times New Roman"/>
          <w:bCs/>
          <w:sz w:val="28"/>
          <w:szCs w:val="28"/>
        </w:rPr>
        <w:t>的通知》，苏政办发</w:t>
      </w:r>
      <w:r>
        <w:rPr>
          <w:rFonts w:ascii="Times New Roman" w:eastAsia="宋体" w:hAnsi="Times New Roman" w:cs="Times New Roman"/>
          <w:bCs/>
          <w:sz w:val="28"/>
          <w:szCs w:val="28"/>
        </w:rPr>
        <w:t>[2013]9</w:t>
      </w:r>
      <w:r>
        <w:rPr>
          <w:rFonts w:ascii="Times New Roman" w:eastAsia="宋体" w:hAnsi="Times New Roman" w:cs="Times New Roman"/>
          <w:bCs/>
          <w:sz w:val="28"/>
          <w:szCs w:val="28"/>
        </w:rPr>
        <w:t>号，及《修改</w:t>
      </w:r>
      <w:r>
        <w:rPr>
          <w:rFonts w:ascii="Times New Roman" w:eastAsia="宋体" w:hAnsi="Times New Roman" w:cs="Times New Roman"/>
          <w:bCs/>
          <w:sz w:val="28"/>
          <w:szCs w:val="28"/>
        </w:rPr>
        <w:t>&lt;</w:t>
      </w:r>
      <w:r>
        <w:rPr>
          <w:rFonts w:ascii="Times New Roman" w:eastAsia="宋体" w:hAnsi="Times New Roman" w:cs="Times New Roman"/>
          <w:bCs/>
          <w:sz w:val="28"/>
          <w:szCs w:val="28"/>
        </w:rPr>
        <w:t>江苏省工业和信息产业结构调整指导目录</w:t>
      </w:r>
      <w:r>
        <w:rPr>
          <w:rFonts w:ascii="Times New Roman" w:eastAsia="宋体" w:hAnsi="Times New Roman" w:cs="Times New Roman"/>
          <w:bCs/>
          <w:sz w:val="28"/>
          <w:szCs w:val="28"/>
        </w:rPr>
        <w:t>(2012</w:t>
      </w:r>
      <w:r>
        <w:rPr>
          <w:rFonts w:ascii="Times New Roman" w:eastAsia="宋体" w:hAnsi="Times New Roman" w:cs="Times New Roman"/>
          <w:bCs/>
          <w:sz w:val="28"/>
          <w:szCs w:val="28"/>
        </w:rPr>
        <w:t>年本</w:t>
      </w:r>
      <w:r>
        <w:rPr>
          <w:rFonts w:ascii="Times New Roman" w:eastAsia="宋体" w:hAnsi="Times New Roman" w:cs="Times New Roman"/>
          <w:bCs/>
          <w:sz w:val="28"/>
          <w:szCs w:val="28"/>
        </w:rPr>
        <w:t>)&gt;</w:t>
      </w:r>
      <w:r>
        <w:rPr>
          <w:rFonts w:ascii="Times New Roman" w:eastAsia="宋体" w:hAnsi="Times New Roman" w:cs="Times New Roman"/>
          <w:bCs/>
          <w:sz w:val="28"/>
          <w:szCs w:val="28"/>
        </w:rPr>
        <w:t>部分条目的通知》，苏经信产业</w:t>
      </w:r>
      <w:r>
        <w:rPr>
          <w:rFonts w:ascii="Times New Roman" w:eastAsia="宋体" w:hAnsi="Times New Roman" w:cs="Times New Roman"/>
          <w:bCs/>
          <w:sz w:val="28"/>
          <w:szCs w:val="28"/>
        </w:rPr>
        <w:t>[2013]183</w:t>
      </w:r>
      <w:r>
        <w:rPr>
          <w:rFonts w:ascii="Times New Roman" w:eastAsia="宋体" w:hAnsi="Times New Roman" w:cs="Times New Roman"/>
          <w:bCs/>
          <w:sz w:val="28"/>
          <w:szCs w:val="28"/>
        </w:rPr>
        <w:t>号。</w:t>
      </w:r>
    </w:p>
    <w:p w14:paraId="42288ED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《江苏省排污口设置及规范化整治管理办法》，苏环控</w:t>
      </w:r>
      <w:r>
        <w:rPr>
          <w:rFonts w:ascii="Times New Roman" w:eastAsia="宋体" w:hAnsi="Times New Roman" w:cs="Times New Roman"/>
          <w:bCs/>
          <w:sz w:val="28"/>
          <w:szCs w:val="28"/>
        </w:rPr>
        <w:t>[1997]122</w:t>
      </w:r>
      <w:r>
        <w:rPr>
          <w:rFonts w:ascii="Times New Roman" w:eastAsia="宋体" w:hAnsi="Times New Roman" w:cs="Times New Roman"/>
          <w:bCs/>
          <w:sz w:val="28"/>
          <w:szCs w:val="28"/>
        </w:rPr>
        <w:t>号；</w:t>
      </w:r>
    </w:p>
    <w:p w14:paraId="28FD1E8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lastRenderedPageBreak/>
        <w:t>《关于印发江苏省建设项目主要污染物排放总量区域平衡方案审核管理办法的通知》，苏环办</w:t>
      </w:r>
      <w:r>
        <w:rPr>
          <w:rFonts w:ascii="Times New Roman" w:eastAsia="宋体" w:hAnsi="Times New Roman" w:cs="Times New Roman"/>
          <w:bCs/>
          <w:sz w:val="28"/>
          <w:szCs w:val="28"/>
        </w:rPr>
        <w:t>[2011]71</w:t>
      </w:r>
      <w:r>
        <w:rPr>
          <w:rFonts w:ascii="Times New Roman" w:eastAsia="宋体" w:hAnsi="Times New Roman" w:cs="Times New Roman"/>
          <w:bCs/>
          <w:sz w:val="28"/>
          <w:szCs w:val="28"/>
        </w:rPr>
        <w:t>号；</w:t>
      </w:r>
    </w:p>
    <w:p w14:paraId="118A13DE"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《江苏省危险废物管理暂行办法》，</w:t>
      </w:r>
      <w:r>
        <w:rPr>
          <w:rFonts w:ascii="Times New Roman" w:eastAsia="宋体" w:hAnsi="Times New Roman" w:cs="Times New Roman"/>
          <w:bCs/>
          <w:sz w:val="28"/>
          <w:szCs w:val="28"/>
        </w:rPr>
        <w:t>2011</w:t>
      </w:r>
      <w:r>
        <w:rPr>
          <w:rFonts w:ascii="Times New Roman" w:eastAsia="宋体" w:hAnsi="Times New Roman" w:cs="Times New Roman"/>
          <w:bCs/>
          <w:sz w:val="28"/>
          <w:szCs w:val="28"/>
        </w:rPr>
        <w:t>年</w:t>
      </w:r>
      <w:r>
        <w:rPr>
          <w:rFonts w:ascii="Times New Roman" w:eastAsia="宋体" w:hAnsi="Times New Roman" w:cs="Times New Roman"/>
          <w:bCs/>
          <w:sz w:val="28"/>
          <w:szCs w:val="28"/>
        </w:rPr>
        <w:t>1</w:t>
      </w:r>
      <w:r>
        <w:rPr>
          <w:rFonts w:ascii="Times New Roman" w:eastAsia="宋体" w:hAnsi="Times New Roman" w:cs="Times New Roman"/>
          <w:bCs/>
          <w:sz w:val="28"/>
          <w:szCs w:val="28"/>
        </w:rPr>
        <w:t>月</w:t>
      </w:r>
      <w:r>
        <w:rPr>
          <w:rFonts w:ascii="Times New Roman" w:eastAsia="宋体" w:hAnsi="Times New Roman" w:cs="Times New Roman"/>
          <w:bCs/>
          <w:sz w:val="28"/>
          <w:szCs w:val="28"/>
        </w:rPr>
        <w:t>7</w:t>
      </w:r>
      <w:r>
        <w:rPr>
          <w:rFonts w:ascii="Times New Roman" w:eastAsia="宋体" w:hAnsi="Times New Roman" w:cs="Times New Roman"/>
          <w:bCs/>
          <w:sz w:val="28"/>
          <w:szCs w:val="28"/>
        </w:rPr>
        <w:t>日修正版；</w:t>
      </w:r>
    </w:p>
    <w:p w14:paraId="7928DCCC"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《关于落实省大气污染防治行动计划实施方案严格环境影响评价准入的通知》，苏环办</w:t>
      </w:r>
      <w:r>
        <w:rPr>
          <w:rFonts w:ascii="Times New Roman" w:eastAsia="宋体" w:hAnsi="Times New Roman" w:cs="Times New Roman"/>
          <w:bCs/>
          <w:sz w:val="28"/>
          <w:szCs w:val="28"/>
        </w:rPr>
        <w:t>[2014]104</w:t>
      </w:r>
      <w:r>
        <w:rPr>
          <w:rFonts w:ascii="Times New Roman" w:eastAsia="宋体" w:hAnsi="Times New Roman" w:cs="Times New Roman"/>
          <w:bCs/>
          <w:sz w:val="28"/>
          <w:szCs w:val="28"/>
        </w:rPr>
        <w:t>号；</w:t>
      </w:r>
    </w:p>
    <w:p w14:paraId="2FAB844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《省政府关于印发江苏省大气污染防治行动计划实施方案的通知》，苏环办</w:t>
      </w:r>
      <w:r>
        <w:rPr>
          <w:rFonts w:ascii="Times New Roman" w:eastAsia="宋体" w:hAnsi="Times New Roman" w:cs="Times New Roman"/>
          <w:bCs/>
          <w:sz w:val="28"/>
          <w:szCs w:val="28"/>
        </w:rPr>
        <w:t>[2014]1</w:t>
      </w:r>
      <w:r>
        <w:rPr>
          <w:rFonts w:ascii="Times New Roman" w:eastAsia="宋体" w:hAnsi="Times New Roman" w:cs="Times New Roman"/>
          <w:bCs/>
          <w:sz w:val="28"/>
          <w:szCs w:val="28"/>
        </w:rPr>
        <w:t>号；</w:t>
      </w:r>
    </w:p>
    <w:p w14:paraId="61FF8A76"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w:t>
      </w:r>
      <w:r>
        <w:rPr>
          <w:rFonts w:ascii="Times New Roman" w:eastAsia="宋体" w:hAnsi="Times New Roman" w:cs="Times New Roman"/>
          <w:bCs/>
          <w:sz w:val="28"/>
          <w:szCs w:val="28"/>
        </w:rPr>
        <w:t>&lt;</w:t>
      </w:r>
      <w:r>
        <w:rPr>
          <w:rFonts w:ascii="Times New Roman" w:eastAsia="宋体" w:hAnsi="Times New Roman" w:cs="Times New Roman"/>
          <w:bCs/>
          <w:sz w:val="28"/>
          <w:szCs w:val="28"/>
        </w:rPr>
        <w:t>江苏省重点行业挥发性有机物污染控制指南</w:t>
      </w:r>
      <w:r>
        <w:rPr>
          <w:rFonts w:ascii="Times New Roman" w:eastAsia="宋体" w:hAnsi="Times New Roman" w:cs="Times New Roman"/>
          <w:bCs/>
          <w:sz w:val="28"/>
          <w:szCs w:val="28"/>
        </w:rPr>
        <w:t>&gt;</w:t>
      </w:r>
      <w:r>
        <w:rPr>
          <w:rFonts w:ascii="Times New Roman" w:eastAsia="宋体" w:hAnsi="Times New Roman" w:cs="Times New Roman"/>
          <w:bCs/>
          <w:sz w:val="28"/>
          <w:szCs w:val="28"/>
        </w:rPr>
        <w:t>的通知》，苏环办</w:t>
      </w:r>
      <w:r>
        <w:rPr>
          <w:rFonts w:ascii="Times New Roman" w:eastAsia="宋体" w:hAnsi="Times New Roman" w:cs="Times New Roman"/>
          <w:bCs/>
          <w:sz w:val="28"/>
          <w:szCs w:val="28"/>
        </w:rPr>
        <w:t>[2014]128</w:t>
      </w:r>
      <w:r>
        <w:rPr>
          <w:rFonts w:ascii="Times New Roman" w:eastAsia="宋体" w:hAnsi="Times New Roman" w:cs="Times New Roman"/>
          <w:bCs/>
          <w:sz w:val="28"/>
          <w:szCs w:val="28"/>
        </w:rPr>
        <w:t>号；</w:t>
      </w:r>
    </w:p>
    <w:p w14:paraId="236FC0D0"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《江苏省大气污染防治条例》</w:t>
      </w:r>
      <w:r>
        <w:rPr>
          <w:rFonts w:ascii="Times New Roman" w:eastAsia="宋体" w:hAnsi="Times New Roman" w:cs="Times New Roman"/>
          <w:bCs/>
          <w:sz w:val="28"/>
          <w:szCs w:val="28"/>
        </w:rPr>
        <w:t>(</w:t>
      </w:r>
      <w:r>
        <w:rPr>
          <w:rFonts w:ascii="Times New Roman" w:eastAsia="宋体" w:hAnsi="Times New Roman" w:cs="Times New Roman"/>
          <w:bCs/>
          <w:sz w:val="28"/>
          <w:szCs w:val="28"/>
        </w:rPr>
        <w:t>江苏省第十二届人民代表大会第三次会议于</w:t>
      </w:r>
      <w:r>
        <w:rPr>
          <w:rFonts w:ascii="Times New Roman" w:eastAsia="宋体" w:hAnsi="Times New Roman" w:cs="Times New Roman"/>
          <w:bCs/>
          <w:sz w:val="28"/>
          <w:szCs w:val="28"/>
        </w:rPr>
        <w:t>2015</w:t>
      </w:r>
      <w:r>
        <w:rPr>
          <w:rFonts w:ascii="Times New Roman" w:eastAsia="宋体" w:hAnsi="Times New Roman" w:cs="Times New Roman"/>
          <w:bCs/>
          <w:sz w:val="28"/>
          <w:szCs w:val="28"/>
        </w:rPr>
        <w:t>年</w:t>
      </w:r>
      <w:r>
        <w:rPr>
          <w:rFonts w:ascii="Times New Roman" w:eastAsia="宋体" w:hAnsi="Times New Roman" w:cs="Times New Roman"/>
          <w:bCs/>
          <w:sz w:val="28"/>
          <w:szCs w:val="28"/>
        </w:rPr>
        <w:t>2</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日通过，自</w:t>
      </w:r>
      <w:r>
        <w:rPr>
          <w:rFonts w:ascii="Times New Roman" w:eastAsia="宋体" w:hAnsi="Times New Roman" w:cs="Times New Roman"/>
          <w:bCs/>
          <w:sz w:val="28"/>
          <w:szCs w:val="28"/>
        </w:rPr>
        <w:t>2015</w:t>
      </w:r>
      <w:r>
        <w:rPr>
          <w:rFonts w:ascii="Times New Roman" w:eastAsia="宋体" w:hAnsi="Times New Roman" w:cs="Times New Roman"/>
          <w:bCs/>
          <w:sz w:val="28"/>
          <w:szCs w:val="28"/>
        </w:rPr>
        <w:t>年</w:t>
      </w:r>
      <w:r>
        <w:rPr>
          <w:rFonts w:ascii="Times New Roman" w:eastAsia="宋体" w:hAnsi="Times New Roman" w:cs="Times New Roman"/>
          <w:bCs/>
          <w:sz w:val="28"/>
          <w:szCs w:val="28"/>
        </w:rPr>
        <w:t>3</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日起施行</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p>
    <w:p w14:paraId="1144AD47"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《关于切实加强建设项目环境保护公众参与的意见》，苏环规</w:t>
      </w:r>
      <w:r>
        <w:rPr>
          <w:rFonts w:ascii="Times New Roman" w:eastAsia="宋体" w:hAnsi="Times New Roman" w:cs="Times New Roman"/>
          <w:bCs/>
          <w:sz w:val="28"/>
          <w:szCs w:val="28"/>
        </w:rPr>
        <w:t>[2012]4</w:t>
      </w:r>
      <w:r>
        <w:rPr>
          <w:rFonts w:ascii="Times New Roman" w:eastAsia="宋体" w:hAnsi="Times New Roman" w:cs="Times New Roman"/>
          <w:bCs/>
          <w:sz w:val="28"/>
          <w:szCs w:val="28"/>
        </w:rPr>
        <w:t>号；</w:t>
      </w:r>
    </w:p>
    <w:p w14:paraId="12B83BBC"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《关于切实加强风险防范严格环境影响评价管理的通知》，环发</w:t>
      </w:r>
      <w:r>
        <w:rPr>
          <w:rFonts w:ascii="Times New Roman" w:eastAsia="宋体" w:hAnsi="Times New Roman" w:cs="Times New Roman"/>
          <w:bCs/>
          <w:sz w:val="28"/>
          <w:szCs w:val="28"/>
        </w:rPr>
        <w:t>[2012]98</w:t>
      </w:r>
      <w:r>
        <w:rPr>
          <w:rFonts w:ascii="Times New Roman" w:eastAsia="宋体" w:hAnsi="Times New Roman" w:cs="Times New Roman"/>
          <w:bCs/>
          <w:sz w:val="28"/>
          <w:szCs w:val="28"/>
        </w:rPr>
        <w:t>号；</w:t>
      </w:r>
    </w:p>
    <w:p w14:paraId="40D864F4"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《关于进一步加强环境影响评价管理防范环境风险的通知》，环发〔</w:t>
      </w:r>
      <w:r>
        <w:rPr>
          <w:rFonts w:ascii="Times New Roman" w:eastAsia="宋体" w:hAnsi="Times New Roman" w:cs="Times New Roman"/>
          <w:bCs/>
          <w:sz w:val="28"/>
          <w:szCs w:val="28"/>
        </w:rPr>
        <w:t>2012</w:t>
      </w:r>
      <w:r>
        <w:rPr>
          <w:rFonts w:ascii="Times New Roman" w:eastAsia="宋体" w:hAnsi="Times New Roman" w:cs="Times New Roman"/>
          <w:bCs/>
          <w:sz w:val="28"/>
          <w:szCs w:val="28"/>
        </w:rPr>
        <w:t>〕</w:t>
      </w:r>
      <w:r>
        <w:rPr>
          <w:rFonts w:ascii="Times New Roman" w:eastAsia="宋体" w:hAnsi="Times New Roman" w:cs="Times New Roman"/>
          <w:bCs/>
          <w:sz w:val="28"/>
          <w:szCs w:val="28"/>
        </w:rPr>
        <w:t>77</w:t>
      </w:r>
      <w:r>
        <w:rPr>
          <w:rFonts w:ascii="Times New Roman" w:eastAsia="宋体" w:hAnsi="Times New Roman" w:cs="Times New Roman"/>
          <w:bCs/>
          <w:sz w:val="28"/>
          <w:szCs w:val="28"/>
        </w:rPr>
        <w:t>号；</w:t>
      </w:r>
    </w:p>
    <w:p w14:paraId="48A5AD52"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《省政府关于印发江苏省生态空间管控区域规划的通知》，苏政发</w:t>
      </w:r>
      <w:r>
        <w:rPr>
          <w:rFonts w:ascii="Times New Roman" w:eastAsia="宋体" w:hAnsi="Times New Roman" w:cs="Times New Roman"/>
          <w:bCs/>
          <w:sz w:val="28"/>
          <w:szCs w:val="28"/>
        </w:rPr>
        <w:t>[2020]1</w:t>
      </w:r>
      <w:r>
        <w:rPr>
          <w:rFonts w:ascii="Times New Roman" w:eastAsia="宋体" w:hAnsi="Times New Roman" w:cs="Times New Roman"/>
          <w:bCs/>
          <w:sz w:val="28"/>
          <w:szCs w:val="28"/>
        </w:rPr>
        <w:t>号；</w:t>
      </w:r>
    </w:p>
    <w:p w14:paraId="16F703F9"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w:t>
      </w:r>
      <w:r>
        <w:rPr>
          <w:rFonts w:ascii="Times New Roman" w:eastAsia="宋体" w:hAnsi="Times New Roman" w:cs="Times New Roman"/>
          <w:bCs/>
          <w:sz w:val="28"/>
          <w:szCs w:val="28"/>
        </w:rPr>
        <w:t>&lt;</w:t>
      </w:r>
      <w:r>
        <w:rPr>
          <w:rFonts w:ascii="Times New Roman" w:eastAsia="宋体" w:hAnsi="Times New Roman" w:cs="Times New Roman"/>
          <w:bCs/>
          <w:sz w:val="28"/>
          <w:szCs w:val="28"/>
        </w:rPr>
        <w:t>江苏省重点行业挥发性有机物排放量计算暂行办法</w:t>
      </w:r>
      <w:r>
        <w:rPr>
          <w:rFonts w:ascii="Times New Roman" w:eastAsia="宋体" w:hAnsi="Times New Roman" w:cs="Times New Roman"/>
          <w:bCs/>
          <w:sz w:val="28"/>
          <w:szCs w:val="28"/>
        </w:rPr>
        <w:t>&gt;</w:t>
      </w:r>
      <w:r>
        <w:rPr>
          <w:rFonts w:ascii="Times New Roman" w:eastAsia="宋体" w:hAnsi="Times New Roman" w:cs="Times New Roman"/>
          <w:bCs/>
          <w:sz w:val="28"/>
          <w:szCs w:val="28"/>
        </w:rPr>
        <w:t>的通知》，苏环办</w:t>
      </w:r>
      <w:r>
        <w:rPr>
          <w:rFonts w:ascii="Times New Roman" w:eastAsia="宋体" w:hAnsi="Times New Roman" w:cs="Times New Roman"/>
          <w:bCs/>
          <w:sz w:val="28"/>
          <w:szCs w:val="28"/>
        </w:rPr>
        <w:t>[2016]154</w:t>
      </w:r>
      <w:r>
        <w:rPr>
          <w:rFonts w:ascii="Times New Roman" w:eastAsia="宋体" w:hAnsi="Times New Roman" w:cs="Times New Roman"/>
          <w:bCs/>
          <w:sz w:val="28"/>
          <w:szCs w:val="28"/>
        </w:rPr>
        <w:t>号；</w:t>
      </w:r>
    </w:p>
    <w:p w14:paraId="1D60317D"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w:t>
      </w:r>
      <w:r>
        <w:rPr>
          <w:rFonts w:ascii="Times New Roman" w:eastAsia="宋体" w:hAnsi="Times New Roman" w:cs="Times New Roman"/>
          <w:bCs/>
          <w:sz w:val="28"/>
          <w:szCs w:val="28"/>
        </w:rPr>
        <w:t>&lt;</w:t>
      </w:r>
      <w:r>
        <w:rPr>
          <w:rFonts w:ascii="Times New Roman" w:eastAsia="宋体" w:hAnsi="Times New Roman" w:cs="Times New Roman"/>
          <w:bCs/>
          <w:sz w:val="28"/>
          <w:szCs w:val="28"/>
        </w:rPr>
        <w:t>江苏省化学工业挥发性有机物无组织排放控制技术指南</w:t>
      </w:r>
      <w:r>
        <w:rPr>
          <w:rFonts w:ascii="Times New Roman" w:eastAsia="宋体" w:hAnsi="Times New Roman" w:cs="Times New Roman"/>
          <w:bCs/>
          <w:sz w:val="28"/>
          <w:szCs w:val="28"/>
        </w:rPr>
        <w:t>&gt;</w:t>
      </w:r>
      <w:r>
        <w:rPr>
          <w:rFonts w:ascii="Times New Roman" w:eastAsia="宋体" w:hAnsi="Times New Roman" w:cs="Times New Roman"/>
          <w:bCs/>
          <w:sz w:val="28"/>
          <w:szCs w:val="28"/>
        </w:rPr>
        <w:t>的通知》，苏环办</w:t>
      </w:r>
      <w:r>
        <w:rPr>
          <w:rFonts w:ascii="Times New Roman" w:eastAsia="宋体" w:hAnsi="Times New Roman" w:cs="Times New Roman"/>
          <w:bCs/>
          <w:sz w:val="28"/>
          <w:szCs w:val="28"/>
        </w:rPr>
        <w:t>[2016]95</w:t>
      </w:r>
      <w:r>
        <w:rPr>
          <w:rFonts w:ascii="Times New Roman" w:eastAsia="宋体" w:hAnsi="Times New Roman" w:cs="Times New Roman"/>
          <w:bCs/>
          <w:sz w:val="28"/>
          <w:szCs w:val="28"/>
        </w:rPr>
        <w:t>号；</w:t>
      </w:r>
    </w:p>
    <w:p w14:paraId="0E574D93"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《中共江苏省委江苏省人民政府关于印发〈</w:t>
      </w:r>
      <w:r>
        <w:rPr>
          <w:rFonts w:ascii="Times New Roman" w:eastAsia="宋体" w:hAnsi="Times New Roman" w:cs="Times New Roman"/>
          <w:bCs/>
          <w:sz w:val="28"/>
          <w:szCs w:val="28"/>
        </w:rPr>
        <w:t>“</w:t>
      </w:r>
      <w:r>
        <w:rPr>
          <w:rFonts w:ascii="Times New Roman" w:eastAsia="宋体" w:hAnsi="Times New Roman" w:cs="Times New Roman"/>
          <w:bCs/>
          <w:sz w:val="28"/>
          <w:szCs w:val="28"/>
        </w:rPr>
        <w:t>两减六治三提升</w:t>
      </w:r>
      <w:r>
        <w:rPr>
          <w:rFonts w:ascii="Times New Roman" w:eastAsia="宋体" w:hAnsi="Times New Roman" w:cs="Times New Roman"/>
          <w:bCs/>
          <w:sz w:val="28"/>
          <w:szCs w:val="28"/>
        </w:rPr>
        <w:t>”</w:t>
      </w:r>
      <w:r>
        <w:rPr>
          <w:rFonts w:ascii="Times New Roman" w:eastAsia="宋体" w:hAnsi="Times New Roman" w:cs="Times New Roman"/>
          <w:bCs/>
          <w:sz w:val="28"/>
          <w:szCs w:val="28"/>
        </w:rPr>
        <w:t>专项行动方案〉的通知》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苏发</w:t>
      </w:r>
      <w:r>
        <w:rPr>
          <w:rFonts w:ascii="Times New Roman" w:eastAsia="宋体" w:hAnsi="Times New Roman" w:cs="Times New Roman"/>
          <w:bCs/>
          <w:sz w:val="28"/>
          <w:szCs w:val="28"/>
        </w:rPr>
        <w:t>[2016]47</w:t>
      </w:r>
      <w:r>
        <w:rPr>
          <w:rFonts w:ascii="Times New Roman" w:eastAsia="宋体" w:hAnsi="Times New Roman" w:cs="Times New Roman"/>
          <w:bCs/>
          <w:sz w:val="28"/>
          <w:szCs w:val="28"/>
        </w:rPr>
        <w:t>号</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p>
    <w:p w14:paraId="4647A69E"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《省政府办公厅关于印发江苏省</w:t>
      </w:r>
      <w:r>
        <w:rPr>
          <w:rFonts w:ascii="Times New Roman" w:eastAsia="宋体" w:hAnsi="Times New Roman" w:cs="Times New Roman"/>
          <w:bCs/>
          <w:sz w:val="28"/>
          <w:szCs w:val="28"/>
        </w:rPr>
        <w:t>“</w:t>
      </w:r>
      <w:r>
        <w:rPr>
          <w:rFonts w:ascii="Times New Roman" w:eastAsia="宋体" w:hAnsi="Times New Roman" w:cs="Times New Roman"/>
          <w:bCs/>
          <w:sz w:val="28"/>
          <w:szCs w:val="28"/>
        </w:rPr>
        <w:t>两减六治三提升</w:t>
      </w:r>
      <w:r>
        <w:rPr>
          <w:rFonts w:ascii="Times New Roman" w:eastAsia="宋体" w:hAnsi="Times New Roman" w:cs="Times New Roman"/>
          <w:bCs/>
          <w:sz w:val="28"/>
          <w:szCs w:val="28"/>
        </w:rPr>
        <w:t>”</w:t>
      </w:r>
      <w:r>
        <w:rPr>
          <w:rFonts w:ascii="Times New Roman" w:eastAsia="宋体" w:hAnsi="Times New Roman" w:cs="Times New Roman"/>
          <w:bCs/>
          <w:sz w:val="28"/>
          <w:szCs w:val="28"/>
        </w:rPr>
        <w:t>专项行动实施方案的通知》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苏政办发</w:t>
      </w:r>
      <w:r>
        <w:rPr>
          <w:rFonts w:ascii="Times New Roman" w:eastAsia="宋体" w:hAnsi="Times New Roman" w:cs="Times New Roman"/>
          <w:bCs/>
          <w:sz w:val="28"/>
          <w:szCs w:val="28"/>
        </w:rPr>
        <w:t>[2017]30</w:t>
      </w:r>
      <w:r>
        <w:rPr>
          <w:rFonts w:ascii="Times New Roman" w:eastAsia="宋体" w:hAnsi="Times New Roman" w:cs="Times New Roman"/>
          <w:bCs/>
          <w:sz w:val="28"/>
          <w:szCs w:val="28"/>
        </w:rPr>
        <w:t>号</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p>
    <w:p w14:paraId="45CFC74D"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《关于贯彻落实建设项目危险废物环境影响评价指南要求的通知》，苏环办</w:t>
      </w:r>
      <w:r>
        <w:rPr>
          <w:rFonts w:ascii="Times New Roman" w:eastAsia="宋体" w:hAnsi="Times New Roman" w:cs="Times New Roman"/>
          <w:bCs/>
          <w:sz w:val="28"/>
          <w:szCs w:val="28"/>
        </w:rPr>
        <w:t>[2018]18</w:t>
      </w:r>
      <w:r>
        <w:rPr>
          <w:rFonts w:ascii="Times New Roman" w:eastAsia="宋体" w:hAnsi="Times New Roman" w:cs="Times New Roman"/>
          <w:bCs/>
          <w:sz w:val="28"/>
          <w:szCs w:val="28"/>
        </w:rPr>
        <w:t>号；</w:t>
      </w:r>
    </w:p>
    <w:p w14:paraId="4F1DAEE3"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lastRenderedPageBreak/>
        <w:t>《省政府关于印发江苏省国家级生态保护红线规划的通知》，苏政发</w:t>
      </w:r>
      <w:r>
        <w:rPr>
          <w:rFonts w:ascii="Times New Roman" w:eastAsia="宋体" w:hAnsi="Times New Roman" w:cs="Times New Roman"/>
          <w:bCs/>
          <w:sz w:val="28"/>
          <w:szCs w:val="28"/>
        </w:rPr>
        <w:t xml:space="preserve"> [2018]74</w:t>
      </w:r>
      <w:r>
        <w:rPr>
          <w:rFonts w:ascii="Times New Roman" w:eastAsia="宋体" w:hAnsi="Times New Roman" w:cs="Times New Roman"/>
          <w:bCs/>
          <w:sz w:val="28"/>
          <w:szCs w:val="28"/>
        </w:rPr>
        <w:t>号；</w:t>
      </w:r>
    </w:p>
    <w:p w14:paraId="40CB131B"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关于组织实施《江苏省颗粒物无组织排放深度整治实施方案》的函，苏大气办</w:t>
      </w:r>
      <w:r>
        <w:rPr>
          <w:rFonts w:ascii="Times New Roman" w:eastAsia="宋体" w:hAnsi="Times New Roman" w:cs="Times New Roman"/>
          <w:bCs/>
          <w:sz w:val="28"/>
          <w:szCs w:val="28"/>
        </w:rPr>
        <w:t xml:space="preserve"> [2018]4</w:t>
      </w:r>
      <w:r>
        <w:rPr>
          <w:rFonts w:ascii="Times New Roman" w:eastAsia="宋体" w:hAnsi="Times New Roman" w:cs="Times New Roman"/>
          <w:bCs/>
          <w:sz w:val="28"/>
          <w:szCs w:val="28"/>
        </w:rPr>
        <w:t>号；</w:t>
      </w:r>
    </w:p>
    <w:p w14:paraId="49A8C814"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《江苏省挥发性有机物污染防治管理办法》，省政府令第</w:t>
      </w:r>
      <w:r>
        <w:rPr>
          <w:rFonts w:ascii="Times New Roman" w:eastAsia="宋体" w:hAnsi="Times New Roman" w:cs="Times New Roman"/>
          <w:bCs/>
          <w:sz w:val="28"/>
          <w:szCs w:val="28"/>
        </w:rPr>
        <w:t>119</w:t>
      </w:r>
      <w:r>
        <w:rPr>
          <w:rFonts w:ascii="Times New Roman" w:eastAsia="宋体" w:hAnsi="Times New Roman" w:cs="Times New Roman"/>
          <w:bCs/>
          <w:sz w:val="28"/>
          <w:szCs w:val="28"/>
        </w:rPr>
        <w:t>号，</w:t>
      </w:r>
      <w:r>
        <w:rPr>
          <w:rFonts w:ascii="Times New Roman" w:eastAsia="宋体" w:hAnsi="Times New Roman" w:cs="Times New Roman"/>
          <w:bCs/>
          <w:sz w:val="28"/>
          <w:szCs w:val="28"/>
        </w:rPr>
        <w:t>2018</w:t>
      </w:r>
      <w:r>
        <w:rPr>
          <w:rFonts w:ascii="Times New Roman" w:eastAsia="宋体" w:hAnsi="Times New Roman" w:cs="Times New Roman"/>
          <w:bCs/>
          <w:sz w:val="28"/>
          <w:szCs w:val="28"/>
        </w:rPr>
        <w:t>年</w:t>
      </w:r>
      <w:r>
        <w:rPr>
          <w:rFonts w:ascii="Times New Roman" w:eastAsia="宋体" w:hAnsi="Times New Roman" w:cs="Times New Roman"/>
          <w:bCs/>
          <w:sz w:val="28"/>
          <w:szCs w:val="28"/>
        </w:rPr>
        <w:t>5</w:t>
      </w:r>
      <w:r>
        <w:rPr>
          <w:rFonts w:ascii="Times New Roman" w:eastAsia="宋体" w:hAnsi="Times New Roman" w:cs="Times New Roman"/>
          <w:bCs/>
          <w:sz w:val="28"/>
          <w:szCs w:val="28"/>
        </w:rPr>
        <w:t>月</w:t>
      </w:r>
      <w:r>
        <w:rPr>
          <w:rFonts w:ascii="Times New Roman" w:eastAsia="宋体" w:hAnsi="Times New Roman" w:cs="Times New Roman"/>
          <w:bCs/>
          <w:sz w:val="28"/>
          <w:szCs w:val="28"/>
        </w:rPr>
        <w:t>1</w:t>
      </w:r>
      <w:r>
        <w:rPr>
          <w:rFonts w:ascii="Times New Roman" w:eastAsia="宋体" w:hAnsi="Times New Roman" w:cs="Times New Roman"/>
          <w:bCs/>
          <w:sz w:val="28"/>
          <w:szCs w:val="28"/>
        </w:rPr>
        <w:t>日；</w:t>
      </w:r>
    </w:p>
    <w:p w14:paraId="6B1075DD"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《关于加强建设项目烟粉尘、挥发性有机物准入审核的通知》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苏环办</w:t>
      </w:r>
      <w:r>
        <w:rPr>
          <w:rFonts w:ascii="Times New Roman" w:eastAsia="宋体" w:hAnsi="Times New Roman" w:cs="Times New Roman"/>
          <w:bCs/>
          <w:sz w:val="28"/>
          <w:szCs w:val="28"/>
        </w:rPr>
        <w:t>[2014]148</w:t>
      </w:r>
      <w:r>
        <w:rPr>
          <w:rFonts w:ascii="Times New Roman" w:eastAsia="宋体" w:hAnsi="Times New Roman" w:cs="Times New Roman"/>
          <w:bCs/>
          <w:sz w:val="28"/>
          <w:szCs w:val="28"/>
        </w:rPr>
        <w:t>号</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p>
    <w:p w14:paraId="71868DE0"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《省生态环境厅关于进一步做好建设项目环评审批工作的通知》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苏环办</w:t>
      </w:r>
      <w:r>
        <w:rPr>
          <w:rFonts w:ascii="Times New Roman" w:eastAsia="宋体" w:hAnsi="Times New Roman" w:cs="Times New Roman"/>
          <w:bCs/>
          <w:sz w:val="28"/>
          <w:szCs w:val="28"/>
        </w:rPr>
        <w:t>[2019]36</w:t>
      </w:r>
      <w:r>
        <w:rPr>
          <w:rFonts w:ascii="Times New Roman" w:eastAsia="宋体" w:hAnsi="Times New Roman" w:cs="Times New Roman"/>
          <w:bCs/>
          <w:sz w:val="28"/>
          <w:szCs w:val="28"/>
        </w:rPr>
        <w:t>号</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p>
    <w:p w14:paraId="51FDCE79"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《省生态环境厅关于印发江苏省危险废物贮存规范化管理专项整治行动方案的通知》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苏环办</w:t>
      </w:r>
      <w:r>
        <w:rPr>
          <w:rFonts w:ascii="Times New Roman" w:eastAsia="宋体" w:hAnsi="Times New Roman" w:cs="Times New Roman"/>
          <w:bCs/>
          <w:sz w:val="28"/>
          <w:szCs w:val="28"/>
        </w:rPr>
        <w:t>[2019]149</w:t>
      </w:r>
      <w:r>
        <w:rPr>
          <w:rFonts w:ascii="Times New Roman" w:eastAsia="宋体" w:hAnsi="Times New Roman" w:cs="Times New Roman"/>
          <w:bCs/>
          <w:sz w:val="28"/>
          <w:szCs w:val="28"/>
        </w:rPr>
        <w:t>号</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r>
        <w:rPr>
          <w:rFonts w:ascii="Times New Roman" w:eastAsia="宋体" w:hAnsi="Times New Roman" w:cs="Times New Roman"/>
          <w:bCs/>
          <w:sz w:val="28"/>
          <w:szCs w:val="28"/>
        </w:rPr>
        <w:t xml:space="preserve"> </w:t>
      </w:r>
    </w:p>
    <w:p w14:paraId="10E6DAC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《省生态环境厅关于进一步加强危险废物污染防治工作的实施意见》</w:t>
      </w:r>
      <w:r>
        <w:rPr>
          <w:rFonts w:ascii="Times New Roman" w:eastAsia="宋体" w:hAnsi="Times New Roman" w:cs="Times New Roman"/>
          <w:bCs/>
          <w:sz w:val="28"/>
          <w:szCs w:val="28"/>
        </w:rPr>
        <w:t>(</w:t>
      </w:r>
      <w:r>
        <w:rPr>
          <w:rFonts w:ascii="Times New Roman" w:eastAsia="宋体" w:hAnsi="Times New Roman" w:cs="Times New Roman"/>
          <w:bCs/>
          <w:sz w:val="28"/>
          <w:szCs w:val="28"/>
        </w:rPr>
        <w:t>苏环办</w:t>
      </w:r>
      <w:r>
        <w:rPr>
          <w:rFonts w:ascii="Times New Roman" w:eastAsia="宋体" w:hAnsi="Times New Roman" w:cs="Times New Roman"/>
          <w:bCs/>
          <w:sz w:val="28"/>
          <w:szCs w:val="28"/>
        </w:rPr>
        <w:t>[2019]327</w:t>
      </w:r>
      <w:r>
        <w:rPr>
          <w:rFonts w:ascii="Times New Roman" w:eastAsia="宋体" w:hAnsi="Times New Roman" w:cs="Times New Roman"/>
          <w:bCs/>
          <w:sz w:val="28"/>
          <w:szCs w:val="28"/>
        </w:rPr>
        <w:t>号</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p>
    <w:p w14:paraId="03644144"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《关于印发连云港市环境空气质量功能区划分规定的通知》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连政办发</w:t>
      </w:r>
      <w:r>
        <w:rPr>
          <w:rFonts w:ascii="Times New Roman" w:eastAsia="宋体" w:hAnsi="Times New Roman" w:cs="Times New Roman"/>
          <w:bCs/>
          <w:sz w:val="28"/>
          <w:szCs w:val="28"/>
        </w:rPr>
        <w:t>[2011]115</w:t>
      </w:r>
      <w:r>
        <w:rPr>
          <w:rFonts w:ascii="Times New Roman" w:eastAsia="宋体" w:hAnsi="Times New Roman" w:cs="Times New Roman"/>
          <w:bCs/>
          <w:sz w:val="28"/>
          <w:szCs w:val="28"/>
        </w:rPr>
        <w:t>号；</w:t>
      </w:r>
    </w:p>
    <w:p w14:paraId="382884ED"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《关于印发连云港市区声环境质量功能区划分规定的通知》</w:t>
      </w:r>
      <w:r>
        <w:rPr>
          <w:rFonts w:ascii="Times New Roman" w:eastAsia="宋体" w:hAnsi="Times New Roman" w:cs="Times New Roman"/>
          <w:bCs/>
          <w:sz w:val="28"/>
          <w:szCs w:val="28"/>
        </w:rPr>
        <w:t>,</w:t>
      </w:r>
      <w:r>
        <w:rPr>
          <w:rFonts w:ascii="Times New Roman" w:eastAsia="宋体" w:hAnsi="Times New Roman" w:cs="Times New Roman"/>
          <w:bCs/>
          <w:sz w:val="28"/>
          <w:szCs w:val="28"/>
        </w:rPr>
        <w:t>连政发</w:t>
      </w:r>
      <w:r>
        <w:rPr>
          <w:rFonts w:ascii="Times New Roman" w:eastAsia="宋体" w:hAnsi="Times New Roman" w:cs="Times New Roman"/>
          <w:bCs/>
          <w:sz w:val="28"/>
          <w:szCs w:val="28"/>
        </w:rPr>
        <w:t>[2012]120</w:t>
      </w:r>
      <w:r>
        <w:rPr>
          <w:rFonts w:ascii="Times New Roman" w:eastAsia="宋体" w:hAnsi="Times New Roman" w:cs="Times New Roman"/>
          <w:bCs/>
          <w:sz w:val="28"/>
          <w:szCs w:val="28"/>
        </w:rPr>
        <w:t>号；</w:t>
      </w:r>
    </w:p>
    <w:p w14:paraId="05804CEC"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《市政府关于印发连云港市水污染防治工作方案的通知》，连政发</w:t>
      </w:r>
      <w:r>
        <w:rPr>
          <w:rFonts w:ascii="Times New Roman" w:eastAsia="宋体" w:hAnsi="Times New Roman" w:cs="Times New Roman"/>
          <w:bCs/>
          <w:sz w:val="28"/>
          <w:szCs w:val="28"/>
        </w:rPr>
        <w:t>[2016]69</w:t>
      </w:r>
      <w:r>
        <w:rPr>
          <w:rFonts w:ascii="Times New Roman" w:eastAsia="宋体" w:hAnsi="Times New Roman" w:cs="Times New Roman"/>
          <w:bCs/>
          <w:sz w:val="28"/>
          <w:szCs w:val="28"/>
        </w:rPr>
        <w:t>号；</w:t>
      </w:r>
    </w:p>
    <w:p w14:paraId="26139E87"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《市政府关于印发连云港市土壤污染防治工作方案的通知》，连政发</w:t>
      </w:r>
      <w:r>
        <w:rPr>
          <w:rFonts w:ascii="Times New Roman" w:eastAsia="宋体" w:hAnsi="Times New Roman" w:cs="Times New Roman"/>
          <w:bCs/>
          <w:sz w:val="28"/>
          <w:szCs w:val="28"/>
        </w:rPr>
        <w:t>[2017]35</w:t>
      </w:r>
      <w:r>
        <w:rPr>
          <w:rFonts w:ascii="Times New Roman" w:eastAsia="宋体" w:hAnsi="Times New Roman" w:cs="Times New Roman"/>
          <w:bCs/>
          <w:sz w:val="28"/>
          <w:szCs w:val="28"/>
        </w:rPr>
        <w:t>号；</w:t>
      </w:r>
    </w:p>
    <w:p w14:paraId="59B55BA3"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《中共连云港市委</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连云港市人民政府关于印发</w:t>
      </w:r>
      <w:r>
        <w:rPr>
          <w:rFonts w:ascii="Times New Roman" w:eastAsia="宋体" w:hAnsi="Times New Roman" w:cs="Times New Roman"/>
          <w:bCs/>
          <w:sz w:val="28"/>
          <w:szCs w:val="28"/>
        </w:rPr>
        <w:t>&lt;</w:t>
      </w:r>
      <w:r>
        <w:rPr>
          <w:rFonts w:ascii="Times New Roman" w:eastAsia="宋体" w:hAnsi="Times New Roman" w:cs="Times New Roman"/>
          <w:bCs/>
          <w:sz w:val="28"/>
          <w:szCs w:val="28"/>
        </w:rPr>
        <w:t>连云港市</w:t>
      </w:r>
      <w:r>
        <w:rPr>
          <w:rFonts w:ascii="Times New Roman" w:eastAsia="宋体" w:hAnsi="Times New Roman" w:cs="Times New Roman"/>
          <w:bCs/>
          <w:sz w:val="28"/>
          <w:szCs w:val="28"/>
        </w:rPr>
        <w:t>“</w:t>
      </w:r>
      <w:r>
        <w:rPr>
          <w:rFonts w:ascii="Times New Roman" w:eastAsia="宋体" w:hAnsi="Times New Roman" w:cs="Times New Roman"/>
          <w:bCs/>
          <w:sz w:val="28"/>
          <w:szCs w:val="28"/>
        </w:rPr>
        <w:t>两减六治三提升</w:t>
      </w:r>
      <w:r>
        <w:rPr>
          <w:rFonts w:ascii="Times New Roman" w:eastAsia="宋体" w:hAnsi="Times New Roman" w:cs="Times New Roman"/>
          <w:bCs/>
          <w:sz w:val="28"/>
          <w:szCs w:val="28"/>
        </w:rPr>
        <w:t>”</w:t>
      </w:r>
      <w:r>
        <w:rPr>
          <w:rFonts w:ascii="Times New Roman" w:eastAsia="宋体" w:hAnsi="Times New Roman" w:cs="Times New Roman"/>
          <w:bCs/>
          <w:sz w:val="28"/>
          <w:szCs w:val="28"/>
        </w:rPr>
        <w:t>专项行动方案</w:t>
      </w:r>
      <w:r>
        <w:rPr>
          <w:rFonts w:ascii="Times New Roman" w:eastAsia="宋体" w:hAnsi="Times New Roman" w:cs="Times New Roman"/>
          <w:bCs/>
          <w:sz w:val="28"/>
          <w:szCs w:val="28"/>
        </w:rPr>
        <w:t>&gt;</w:t>
      </w:r>
      <w:r>
        <w:rPr>
          <w:rFonts w:ascii="Times New Roman" w:eastAsia="宋体" w:hAnsi="Times New Roman" w:cs="Times New Roman"/>
          <w:bCs/>
          <w:sz w:val="28"/>
          <w:szCs w:val="28"/>
        </w:rPr>
        <w:t>的通知》，连发</w:t>
      </w:r>
      <w:r>
        <w:rPr>
          <w:rFonts w:ascii="Times New Roman" w:eastAsia="宋体" w:hAnsi="Times New Roman" w:cs="Times New Roman"/>
          <w:bCs/>
          <w:sz w:val="28"/>
          <w:szCs w:val="28"/>
        </w:rPr>
        <w:t>[2017]4</w:t>
      </w:r>
      <w:r>
        <w:rPr>
          <w:rFonts w:ascii="Times New Roman" w:eastAsia="宋体" w:hAnsi="Times New Roman" w:cs="Times New Roman"/>
          <w:bCs/>
          <w:sz w:val="28"/>
          <w:szCs w:val="28"/>
        </w:rPr>
        <w:t>号；</w:t>
      </w:r>
    </w:p>
    <w:p w14:paraId="1D8957B4"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w:t>
      </w:r>
      <w:r>
        <w:rPr>
          <w:rFonts w:ascii="Times New Roman" w:eastAsia="宋体" w:hAnsi="Times New Roman" w:cs="Times New Roman"/>
          <w:bCs/>
          <w:sz w:val="28"/>
          <w:szCs w:val="28"/>
        </w:rPr>
        <w:t>&lt;</w:t>
      </w:r>
      <w:r>
        <w:rPr>
          <w:rFonts w:ascii="Times New Roman" w:eastAsia="宋体" w:hAnsi="Times New Roman" w:cs="Times New Roman"/>
          <w:bCs/>
          <w:sz w:val="28"/>
          <w:szCs w:val="28"/>
        </w:rPr>
        <w:t>连云港市环境影响评价现状监测管理实施细则</w:t>
      </w:r>
      <w:r>
        <w:rPr>
          <w:rFonts w:ascii="Times New Roman" w:eastAsia="宋体" w:hAnsi="Times New Roman" w:cs="Times New Roman"/>
          <w:bCs/>
          <w:sz w:val="28"/>
          <w:szCs w:val="28"/>
        </w:rPr>
        <w:t>(</w:t>
      </w:r>
      <w:r>
        <w:rPr>
          <w:rFonts w:ascii="Times New Roman" w:eastAsia="宋体" w:hAnsi="Times New Roman" w:cs="Times New Roman"/>
          <w:bCs/>
          <w:sz w:val="28"/>
          <w:szCs w:val="28"/>
        </w:rPr>
        <w:t>试行</w:t>
      </w:r>
      <w:r>
        <w:rPr>
          <w:rFonts w:ascii="Times New Roman" w:eastAsia="宋体" w:hAnsi="Times New Roman" w:cs="Times New Roman"/>
          <w:bCs/>
          <w:sz w:val="28"/>
          <w:szCs w:val="28"/>
        </w:rPr>
        <w:t>)&gt;</w:t>
      </w:r>
      <w:r>
        <w:rPr>
          <w:rFonts w:ascii="Times New Roman" w:eastAsia="宋体" w:hAnsi="Times New Roman" w:cs="Times New Roman"/>
          <w:bCs/>
          <w:sz w:val="28"/>
          <w:szCs w:val="28"/>
        </w:rPr>
        <w:t>的通知》，连环发</w:t>
      </w:r>
      <w:r>
        <w:rPr>
          <w:rFonts w:ascii="Times New Roman" w:eastAsia="宋体" w:hAnsi="Times New Roman" w:cs="Times New Roman"/>
          <w:bCs/>
          <w:sz w:val="28"/>
          <w:szCs w:val="28"/>
        </w:rPr>
        <w:t>[2017]1</w:t>
      </w:r>
      <w:r>
        <w:rPr>
          <w:rFonts w:ascii="Times New Roman" w:eastAsia="宋体" w:hAnsi="Times New Roman" w:cs="Times New Roman"/>
          <w:bCs/>
          <w:sz w:val="28"/>
          <w:szCs w:val="28"/>
        </w:rPr>
        <w:t>号；</w:t>
      </w:r>
    </w:p>
    <w:p w14:paraId="38F665EA"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《市政府关于印发连云港市主体功能区实施规划的通知》，连政发</w:t>
      </w:r>
      <w:r>
        <w:rPr>
          <w:rFonts w:ascii="Times New Roman" w:eastAsia="宋体" w:hAnsi="Times New Roman" w:cs="Times New Roman"/>
          <w:bCs/>
          <w:sz w:val="28"/>
          <w:szCs w:val="28"/>
        </w:rPr>
        <w:t>[2016]70</w:t>
      </w:r>
      <w:r>
        <w:rPr>
          <w:rFonts w:ascii="Times New Roman" w:eastAsia="宋体" w:hAnsi="Times New Roman" w:cs="Times New Roman"/>
          <w:bCs/>
          <w:sz w:val="28"/>
          <w:szCs w:val="28"/>
        </w:rPr>
        <w:t>号；</w:t>
      </w:r>
    </w:p>
    <w:p w14:paraId="5FB08D76"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《市政府办公室关于印发连云港市基于空间控制单元的环境准入制</w:t>
      </w:r>
      <w:r>
        <w:rPr>
          <w:rFonts w:ascii="Times New Roman" w:eastAsia="宋体" w:hAnsi="Times New Roman" w:cs="Times New Roman"/>
          <w:bCs/>
          <w:sz w:val="28"/>
          <w:szCs w:val="28"/>
        </w:rPr>
        <w:lastRenderedPageBreak/>
        <w:t>度及负面清单管理办法</w:t>
      </w:r>
      <w:r>
        <w:rPr>
          <w:rFonts w:ascii="Times New Roman" w:eastAsia="宋体" w:hAnsi="Times New Roman" w:cs="Times New Roman"/>
          <w:bCs/>
          <w:sz w:val="28"/>
          <w:szCs w:val="28"/>
        </w:rPr>
        <w:t>(</w:t>
      </w:r>
      <w:r>
        <w:rPr>
          <w:rFonts w:ascii="Times New Roman" w:eastAsia="宋体" w:hAnsi="Times New Roman" w:cs="Times New Roman"/>
          <w:bCs/>
          <w:sz w:val="28"/>
          <w:szCs w:val="28"/>
        </w:rPr>
        <w:t>试行</w:t>
      </w:r>
      <w:r>
        <w:rPr>
          <w:rFonts w:ascii="Times New Roman" w:eastAsia="宋体" w:hAnsi="Times New Roman" w:cs="Times New Roman"/>
          <w:bCs/>
          <w:sz w:val="28"/>
          <w:szCs w:val="28"/>
        </w:rPr>
        <w:t>)</w:t>
      </w:r>
      <w:r>
        <w:rPr>
          <w:rFonts w:ascii="Times New Roman" w:eastAsia="宋体" w:hAnsi="Times New Roman" w:cs="Times New Roman"/>
          <w:bCs/>
          <w:sz w:val="28"/>
          <w:szCs w:val="28"/>
        </w:rPr>
        <w:t>的通知》，连政办发</w:t>
      </w:r>
      <w:r>
        <w:rPr>
          <w:rFonts w:ascii="Times New Roman" w:eastAsia="宋体" w:hAnsi="Times New Roman" w:cs="Times New Roman"/>
          <w:bCs/>
          <w:sz w:val="28"/>
          <w:szCs w:val="28"/>
        </w:rPr>
        <w:t>[2018]9</w:t>
      </w:r>
      <w:r>
        <w:rPr>
          <w:rFonts w:ascii="Times New Roman" w:eastAsia="宋体" w:hAnsi="Times New Roman" w:cs="Times New Roman"/>
          <w:bCs/>
          <w:sz w:val="28"/>
          <w:szCs w:val="28"/>
        </w:rPr>
        <w:t>号；</w:t>
      </w:r>
    </w:p>
    <w:p w14:paraId="132FBE56"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《关于印发连云港市资源利用上线管理办法</w:t>
      </w:r>
      <w:r>
        <w:rPr>
          <w:rFonts w:ascii="Times New Roman" w:eastAsia="宋体" w:hAnsi="Times New Roman" w:cs="Times New Roman"/>
          <w:bCs/>
          <w:sz w:val="28"/>
          <w:szCs w:val="28"/>
        </w:rPr>
        <w:t>(</w:t>
      </w:r>
      <w:r>
        <w:rPr>
          <w:rFonts w:ascii="Times New Roman" w:eastAsia="宋体" w:hAnsi="Times New Roman" w:cs="Times New Roman"/>
          <w:bCs/>
          <w:sz w:val="28"/>
          <w:szCs w:val="28"/>
        </w:rPr>
        <w:t>试行</w:t>
      </w:r>
      <w:r>
        <w:rPr>
          <w:rFonts w:ascii="Times New Roman" w:eastAsia="宋体" w:hAnsi="Times New Roman" w:cs="Times New Roman"/>
          <w:bCs/>
          <w:sz w:val="28"/>
          <w:szCs w:val="28"/>
        </w:rPr>
        <w:t>)</w:t>
      </w:r>
      <w:r>
        <w:rPr>
          <w:rFonts w:ascii="Times New Roman" w:eastAsia="宋体" w:hAnsi="Times New Roman" w:cs="Times New Roman"/>
          <w:bCs/>
          <w:sz w:val="28"/>
          <w:szCs w:val="28"/>
        </w:rPr>
        <w:t>的通知》连政办发</w:t>
      </w:r>
      <w:r>
        <w:rPr>
          <w:rFonts w:ascii="Times New Roman" w:eastAsia="宋体" w:hAnsi="Times New Roman" w:cs="Times New Roman"/>
          <w:bCs/>
          <w:sz w:val="28"/>
          <w:szCs w:val="28"/>
        </w:rPr>
        <w:t>[2018]37</w:t>
      </w:r>
      <w:r>
        <w:rPr>
          <w:rFonts w:ascii="Times New Roman" w:eastAsia="宋体" w:hAnsi="Times New Roman" w:cs="Times New Roman"/>
          <w:bCs/>
          <w:sz w:val="28"/>
          <w:szCs w:val="28"/>
        </w:rPr>
        <w:t>号；</w:t>
      </w:r>
    </w:p>
    <w:p w14:paraId="29A5B43F" w14:textId="77777777" w:rsidR="002133E3" w:rsidRDefault="00C22CFA">
      <w:pPr>
        <w:numPr>
          <w:ilvl w:val="0"/>
          <w:numId w:val="5"/>
        </w:numPr>
        <w:tabs>
          <w:tab w:val="left" w:pos="1276"/>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《关于印发连云港市环境质量底线管理办法</w:t>
      </w:r>
      <w:r>
        <w:rPr>
          <w:rFonts w:ascii="Times New Roman" w:eastAsia="宋体" w:hAnsi="Times New Roman" w:cs="Times New Roman"/>
          <w:bCs/>
          <w:sz w:val="28"/>
          <w:szCs w:val="28"/>
        </w:rPr>
        <w:t>(</w:t>
      </w:r>
      <w:r>
        <w:rPr>
          <w:rFonts w:ascii="Times New Roman" w:eastAsia="宋体" w:hAnsi="Times New Roman" w:cs="Times New Roman"/>
          <w:bCs/>
          <w:sz w:val="28"/>
          <w:szCs w:val="28"/>
        </w:rPr>
        <w:t>试行</w:t>
      </w:r>
      <w:r>
        <w:rPr>
          <w:rFonts w:ascii="Times New Roman" w:eastAsia="宋体" w:hAnsi="Times New Roman" w:cs="Times New Roman"/>
          <w:bCs/>
          <w:sz w:val="28"/>
          <w:szCs w:val="28"/>
        </w:rPr>
        <w:t>)</w:t>
      </w:r>
      <w:r>
        <w:rPr>
          <w:rFonts w:ascii="Times New Roman" w:eastAsia="宋体" w:hAnsi="Times New Roman" w:cs="Times New Roman"/>
          <w:bCs/>
          <w:sz w:val="28"/>
          <w:szCs w:val="28"/>
        </w:rPr>
        <w:t>的通知》连政办发</w:t>
      </w:r>
      <w:r>
        <w:rPr>
          <w:rFonts w:ascii="Times New Roman" w:eastAsia="宋体" w:hAnsi="Times New Roman" w:cs="Times New Roman"/>
          <w:bCs/>
          <w:sz w:val="28"/>
          <w:szCs w:val="28"/>
        </w:rPr>
        <w:t>[2018]38</w:t>
      </w:r>
      <w:r>
        <w:rPr>
          <w:rFonts w:ascii="Times New Roman" w:eastAsia="宋体" w:hAnsi="Times New Roman" w:cs="Times New Roman"/>
          <w:bCs/>
          <w:sz w:val="28"/>
          <w:szCs w:val="28"/>
        </w:rPr>
        <w:t>号。</w:t>
      </w:r>
    </w:p>
    <w:p w14:paraId="5500A7E8"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编制技术规范</w:t>
      </w:r>
    </w:p>
    <w:p w14:paraId="15365304"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《环境影响评价技术导则</w:t>
      </w:r>
      <w:r>
        <w:rPr>
          <w:rFonts w:ascii="Times New Roman" w:eastAsia="宋体" w:hAnsi="Times New Roman" w:cs="Times New Roman"/>
          <w:bCs/>
          <w:sz w:val="28"/>
          <w:szCs w:val="28"/>
        </w:rPr>
        <w:t>-</w:t>
      </w:r>
      <w:r>
        <w:rPr>
          <w:rFonts w:ascii="Times New Roman" w:eastAsia="宋体" w:hAnsi="Times New Roman" w:cs="Times New Roman"/>
          <w:bCs/>
          <w:sz w:val="28"/>
          <w:szCs w:val="28"/>
        </w:rPr>
        <w:t>总纲》，</w:t>
      </w:r>
      <w:r>
        <w:rPr>
          <w:rFonts w:ascii="Times New Roman" w:eastAsia="宋体" w:hAnsi="Times New Roman" w:cs="Times New Roman"/>
          <w:bCs/>
          <w:sz w:val="28"/>
          <w:szCs w:val="28"/>
        </w:rPr>
        <w:t>HJ2.1-2016</w:t>
      </w:r>
      <w:r>
        <w:rPr>
          <w:rFonts w:ascii="Times New Roman" w:eastAsia="宋体" w:hAnsi="Times New Roman" w:cs="Times New Roman"/>
          <w:bCs/>
          <w:sz w:val="28"/>
          <w:szCs w:val="28"/>
        </w:rPr>
        <w:t>；</w:t>
      </w:r>
    </w:p>
    <w:p w14:paraId="601B6ADC"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《环境影响评价技术导则</w:t>
      </w:r>
      <w:r>
        <w:rPr>
          <w:rFonts w:ascii="Times New Roman" w:eastAsia="宋体" w:hAnsi="Times New Roman" w:cs="Times New Roman"/>
          <w:bCs/>
          <w:sz w:val="28"/>
          <w:szCs w:val="28"/>
        </w:rPr>
        <w:t>-</w:t>
      </w:r>
      <w:r>
        <w:rPr>
          <w:rFonts w:ascii="Times New Roman" w:eastAsia="宋体" w:hAnsi="Times New Roman" w:cs="Times New Roman"/>
          <w:bCs/>
          <w:sz w:val="28"/>
          <w:szCs w:val="28"/>
        </w:rPr>
        <w:t>大气环境》，</w:t>
      </w:r>
      <w:r>
        <w:rPr>
          <w:rFonts w:ascii="Times New Roman" w:eastAsia="宋体" w:hAnsi="Times New Roman" w:cs="Times New Roman"/>
          <w:bCs/>
          <w:sz w:val="28"/>
          <w:szCs w:val="28"/>
        </w:rPr>
        <w:t>HJ2.2-2018</w:t>
      </w:r>
      <w:r>
        <w:rPr>
          <w:rFonts w:ascii="Times New Roman" w:eastAsia="宋体" w:hAnsi="Times New Roman" w:cs="Times New Roman"/>
          <w:bCs/>
          <w:sz w:val="28"/>
          <w:szCs w:val="28"/>
        </w:rPr>
        <w:t>；</w:t>
      </w:r>
    </w:p>
    <w:p w14:paraId="16DF72C9"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《环境影响评价技术导则</w:t>
      </w:r>
      <w:r>
        <w:rPr>
          <w:rFonts w:ascii="Times New Roman" w:eastAsia="宋体" w:hAnsi="Times New Roman" w:cs="Times New Roman"/>
          <w:bCs/>
          <w:sz w:val="28"/>
          <w:szCs w:val="28"/>
        </w:rPr>
        <w:t>-</w:t>
      </w:r>
      <w:r>
        <w:rPr>
          <w:rFonts w:ascii="Times New Roman" w:eastAsia="宋体" w:hAnsi="Times New Roman" w:cs="Times New Roman"/>
          <w:bCs/>
          <w:sz w:val="28"/>
          <w:szCs w:val="28"/>
        </w:rPr>
        <w:t>地表水环境》，</w:t>
      </w:r>
      <w:r>
        <w:rPr>
          <w:rFonts w:ascii="Times New Roman" w:eastAsia="宋体" w:hAnsi="Times New Roman" w:cs="Times New Roman"/>
          <w:bCs/>
          <w:sz w:val="28"/>
          <w:szCs w:val="28"/>
        </w:rPr>
        <w:t>HJ2.3-2018</w:t>
      </w:r>
      <w:r>
        <w:rPr>
          <w:rFonts w:ascii="Times New Roman" w:eastAsia="宋体" w:hAnsi="Times New Roman" w:cs="Times New Roman"/>
          <w:bCs/>
          <w:sz w:val="28"/>
          <w:szCs w:val="28"/>
        </w:rPr>
        <w:t>；</w:t>
      </w:r>
    </w:p>
    <w:p w14:paraId="15433BF9"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《环境影响评价技术导则</w:t>
      </w:r>
      <w:r>
        <w:rPr>
          <w:rFonts w:ascii="Times New Roman" w:eastAsia="宋体" w:hAnsi="Times New Roman" w:cs="Times New Roman"/>
          <w:bCs/>
          <w:sz w:val="28"/>
          <w:szCs w:val="28"/>
        </w:rPr>
        <w:t>-</w:t>
      </w:r>
      <w:r>
        <w:rPr>
          <w:rFonts w:ascii="Times New Roman" w:eastAsia="宋体" w:hAnsi="Times New Roman" w:cs="Times New Roman"/>
          <w:bCs/>
          <w:sz w:val="28"/>
          <w:szCs w:val="28"/>
        </w:rPr>
        <w:t>声环境》，</w:t>
      </w:r>
      <w:r>
        <w:rPr>
          <w:rFonts w:ascii="Times New Roman" w:eastAsia="宋体" w:hAnsi="Times New Roman" w:cs="Times New Roman"/>
          <w:bCs/>
          <w:sz w:val="28"/>
          <w:szCs w:val="28"/>
        </w:rPr>
        <w:t>HJ2.4-2009</w:t>
      </w:r>
      <w:r>
        <w:rPr>
          <w:rFonts w:ascii="Times New Roman" w:eastAsia="宋体" w:hAnsi="Times New Roman" w:cs="Times New Roman"/>
          <w:bCs/>
          <w:sz w:val="28"/>
          <w:szCs w:val="28"/>
        </w:rPr>
        <w:t>；</w:t>
      </w:r>
    </w:p>
    <w:p w14:paraId="4F6086B7"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《建设项目环境风险评价技术导则》，</w:t>
      </w:r>
      <w:r>
        <w:rPr>
          <w:rFonts w:ascii="Times New Roman" w:eastAsia="宋体" w:hAnsi="Times New Roman" w:cs="Times New Roman"/>
          <w:bCs/>
          <w:sz w:val="28"/>
          <w:szCs w:val="28"/>
        </w:rPr>
        <w:t>HJ169-2018</w:t>
      </w:r>
      <w:r>
        <w:rPr>
          <w:rFonts w:ascii="Times New Roman" w:eastAsia="宋体" w:hAnsi="Times New Roman" w:cs="Times New Roman"/>
          <w:bCs/>
          <w:sz w:val="28"/>
          <w:szCs w:val="28"/>
        </w:rPr>
        <w:t>；</w:t>
      </w:r>
    </w:p>
    <w:p w14:paraId="451CEA5B"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《环境影响评价技术导则</w:t>
      </w:r>
      <w:r>
        <w:rPr>
          <w:rFonts w:ascii="Times New Roman" w:eastAsia="宋体" w:hAnsi="Times New Roman" w:cs="Times New Roman"/>
          <w:bCs/>
          <w:sz w:val="28"/>
          <w:szCs w:val="28"/>
        </w:rPr>
        <w:t>-</w:t>
      </w:r>
      <w:r>
        <w:rPr>
          <w:rFonts w:ascii="Times New Roman" w:eastAsia="宋体" w:hAnsi="Times New Roman" w:cs="Times New Roman"/>
          <w:bCs/>
          <w:sz w:val="28"/>
          <w:szCs w:val="28"/>
        </w:rPr>
        <w:t>生态影响》，</w:t>
      </w:r>
      <w:r>
        <w:rPr>
          <w:rFonts w:ascii="Times New Roman" w:eastAsia="宋体" w:hAnsi="Times New Roman" w:cs="Times New Roman"/>
          <w:bCs/>
          <w:sz w:val="28"/>
          <w:szCs w:val="28"/>
        </w:rPr>
        <w:t>HJ19-2011</w:t>
      </w:r>
      <w:r>
        <w:rPr>
          <w:rFonts w:ascii="Times New Roman" w:eastAsia="宋体" w:hAnsi="Times New Roman" w:cs="Times New Roman"/>
          <w:bCs/>
          <w:sz w:val="28"/>
          <w:szCs w:val="28"/>
        </w:rPr>
        <w:t>；</w:t>
      </w:r>
    </w:p>
    <w:p w14:paraId="015770AA"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《环境影响评价技术导则</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土壤环境</w:t>
      </w:r>
      <w:r>
        <w:rPr>
          <w:rFonts w:ascii="Times New Roman" w:eastAsia="宋体" w:hAnsi="Times New Roman" w:cs="Times New Roman"/>
          <w:bCs/>
          <w:sz w:val="28"/>
          <w:szCs w:val="28"/>
        </w:rPr>
        <w:t>(</w:t>
      </w:r>
      <w:r>
        <w:rPr>
          <w:rFonts w:ascii="Times New Roman" w:eastAsia="宋体" w:hAnsi="Times New Roman" w:cs="Times New Roman"/>
          <w:bCs/>
          <w:sz w:val="28"/>
          <w:szCs w:val="28"/>
        </w:rPr>
        <w:t>试行</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r>
        <w:rPr>
          <w:rFonts w:ascii="Times New Roman" w:eastAsia="宋体" w:hAnsi="Times New Roman" w:cs="Times New Roman"/>
          <w:bCs/>
          <w:sz w:val="28"/>
          <w:szCs w:val="28"/>
        </w:rPr>
        <w:t>(HJ964-2018)</w:t>
      </w:r>
      <w:r>
        <w:rPr>
          <w:rFonts w:ascii="Times New Roman" w:eastAsia="宋体" w:hAnsi="Times New Roman" w:cs="Times New Roman"/>
          <w:bCs/>
          <w:sz w:val="28"/>
          <w:szCs w:val="28"/>
        </w:rPr>
        <w:t>；</w:t>
      </w:r>
    </w:p>
    <w:p w14:paraId="1289E7CD"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《环境影响评价技术导则</w:t>
      </w:r>
      <w:r>
        <w:rPr>
          <w:rFonts w:ascii="Times New Roman" w:eastAsia="宋体" w:hAnsi="Times New Roman" w:cs="Times New Roman"/>
          <w:bCs/>
          <w:sz w:val="28"/>
          <w:szCs w:val="28"/>
        </w:rPr>
        <w:t>-</w:t>
      </w:r>
      <w:r>
        <w:rPr>
          <w:rFonts w:ascii="Times New Roman" w:eastAsia="宋体" w:hAnsi="Times New Roman" w:cs="Times New Roman"/>
          <w:bCs/>
          <w:sz w:val="28"/>
          <w:szCs w:val="28"/>
        </w:rPr>
        <w:t>地下水环境》，</w:t>
      </w:r>
      <w:r>
        <w:rPr>
          <w:rFonts w:ascii="Times New Roman" w:eastAsia="宋体" w:hAnsi="Times New Roman" w:cs="Times New Roman"/>
          <w:bCs/>
          <w:sz w:val="28"/>
          <w:szCs w:val="28"/>
        </w:rPr>
        <w:t>HJ610-2016</w:t>
      </w:r>
      <w:r>
        <w:rPr>
          <w:rFonts w:ascii="Times New Roman" w:eastAsia="宋体" w:hAnsi="Times New Roman" w:cs="Times New Roman"/>
          <w:bCs/>
          <w:sz w:val="28"/>
          <w:szCs w:val="28"/>
        </w:rPr>
        <w:t>；</w:t>
      </w:r>
    </w:p>
    <w:p w14:paraId="4F8E663C" w14:textId="77777777" w:rsidR="002133E3" w:rsidRDefault="00C22CFA">
      <w:pPr>
        <w:numPr>
          <w:ilvl w:val="0"/>
          <w:numId w:val="6"/>
        </w:numPr>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《固体废物处理处置工程技术导则》，</w:t>
      </w:r>
      <w:r>
        <w:rPr>
          <w:rFonts w:ascii="Times New Roman" w:eastAsia="宋体" w:hAnsi="Times New Roman" w:cs="Times New Roman"/>
          <w:bCs/>
          <w:sz w:val="28"/>
          <w:szCs w:val="28"/>
        </w:rPr>
        <w:t>HJ2035-2013</w:t>
      </w:r>
      <w:r>
        <w:rPr>
          <w:rFonts w:ascii="Times New Roman" w:eastAsia="宋体" w:hAnsi="Times New Roman" w:cs="Times New Roman"/>
          <w:bCs/>
          <w:sz w:val="28"/>
          <w:szCs w:val="28"/>
        </w:rPr>
        <w:t>；</w:t>
      </w:r>
    </w:p>
    <w:p w14:paraId="24F4EB12"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《固体废物鉴别标准</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通则》，</w:t>
      </w:r>
      <w:r>
        <w:rPr>
          <w:rFonts w:ascii="Times New Roman" w:eastAsia="宋体" w:hAnsi="Times New Roman" w:cs="Times New Roman"/>
          <w:bCs/>
          <w:sz w:val="28"/>
          <w:szCs w:val="28"/>
        </w:rPr>
        <w:t>GB34330—2017</w:t>
      </w:r>
      <w:r>
        <w:rPr>
          <w:rFonts w:ascii="Times New Roman" w:eastAsia="宋体" w:hAnsi="Times New Roman" w:cs="Times New Roman"/>
          <w:bCs/>
          <w:sz w:val="28"/>
          <w:szCs w:val="28"/>
        </w:rPr>
        <w:t>；</w:t>
      </w:r>
    </w:p>
    <w:p w14:paraId="62EAD679"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《建设项目危险废物环境影响评价指南》，环境保护部公告</w:t>
      </w:r>
      <w:r>
        <w:rPr>
          <w:rFonts w:ascii="Times New Roman" w:eastAsia="宋体" w:hAnsi="Times New Roman" w:cs="Times New Roman"/>
          <w:bCs/>
          <w:sz w:val="28"/>
          <w:szCs w:val="28"/>
        </w:rPr>
        <w:t xml:space="preserve"> 2017</w:t>
      </w:r>
      <w:r>
        <w:rPr>
          <w:rFonts w:ascii="Times New Roman" w:eastAsia="宋体" w:hAnsi="Times New Roman" w:cs="Times New Roman"/>
          <w:bCs/>
          <w:sz w:val="28"/>
          <w:szCs w:val="28"/>
        </w:rPr>
        <w:t>年</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第</w:t>
      </w:r>
      <w:r>
        <w:rPr>
          <w:rFonts w:ascii="Times New Roman" w:eastAsia="宋体" w:hAnsi="Times New Roman" w:cs="Times New Roman"/>
          <w:bCs/>
          <w:sz w:val="28"/>
          <w:szCs w:val="28"/>
        </w:rPr>
        <w:t>43</w:t>
      </w:r>
      <w:r>
        <w:rPr>
          <w:rFonts w:ascii="Times New Roman" w:eastAsia="宋体" w:hAnsi="Times New Roman" w:cs="Times New Roman"/>
          <w:bCs/>
          <w:sz w:val="28"/>
          <w:szCs w:val="28"/>
        </w:rPr>
        <w:t>号；</w:t>
      </w:r>
    </w:p>
    <w:p w14:paraId="6632BDFD"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《场地环境调查技术导则》</w:t>
      </w:r>
      <w:r>
        <w:rPr>
          <w:rFonts w:ascii="Times New Roman" w:eastAsia="宋体" w:hAnsi="Times New Roman" w:cs="Times New Roman"/>
          <w:bCs/>
          <w:sz w:val="28"/>
          <w:szCs w:val="28"/>
        </w:rPr>
        <w:t>(HJ25.1-2014)</w:t>
      </w:r>
      <w:r>
        <w:rPr>
          <w:rFonts w:ascii="Times New Roman" w:eastAsia="宋体" w:hAnsi="Times New Roman" w:cs="Times New Roman"/>
          <w:bCs/>
          <w:sz w:val="28"/>
          <w:szCs w:val="28"/>
        </w:rPr>
        <w:t>；</w:t>
      </w:r>
    </w:p>
    <w:p w14:paraId="43AF918A"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《职业性接触毒物危害程度分级》，</w:t>
      </w:r>
      <w:r>
        <w:rPr>
          <w:rFonts w:ascii="Times New Roman" w:eastAsia="宋体" w:hAnsi="Times New Roman" w:cs="Times New Roman"/>
          <w:bCs/>
          <w:sz w:val="28"/>
          <w:szCs w:val="28"/>
        </w:rPr>
        <w:t>GBZ230-2010</w:t>
      </w:r>
      <w:r>
        <w:rPr>
          <w:rFonts w:ascii="Times New Roman" w:eastAsia="宋体" w:hAnsi="Times New Roman" w:cs="Times New Roman"/>
          <w:bCs/>
          <w:sz w:val="28"/>
          <w:szCs w:val="28"/>
        </w:rPr>
        <w:t>；</w:t>
      </w:r>
    </w:p>
    <w:p w14:paraId="416F33EC"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《危险化学品重大危险源辨识》，</w:t>
      </w:r>
      <w:r>
        <w:rPr>
          <w:rFonts w:ascii="Times New Roman" w:eastAsia="宋体" w:hAnsi="Times New Roman" w:cs="Times New Roman"/>
          <w:bCs/>
          <w:sz w:val="28"/>
          <w:szCs w:val="28"/>
        </w:rPr>
        <w:t>GB18218-2018</w:t>
      </w:r>
      <w:r>
        <w:rPr>
          <w:rFonts w:ascii="Times New Roman" w:eastAsia="宋体" w:hAnsi="Times New Roman" w:cs="Times New Roman"/>
          <w:bCs/>
          <w:sz w:val="28"/>
          <w:szCs w:val="28"/>
        </w:rPr>
        <w:t>；</w:t>
      </w:r>
    </w:p>
    <w:p w14:paraId="6227C7F0"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《化学品分类、警示标签和警示性说明安全规范</w:t>
      </w:r>
      <w:r>
        <w:rPr>
          <w:rFonts w:ascii="Times New Roman" w:eastAsia="宋体" w:hAnsi="Times New Roman" w:cs="Times New Roman"/>
          <w:bCs/>
          <w:sz w:val="28"/>
          <w:szCs w:val="28"/>
        </w:rPr>
        <w:t xml:space="preserve"> </w:t>
      </w:r>
      <w:r>
        <w:rPr>
          <w:rFonts w:ascii="Times New Roman" w:eastAsia="宋体" w:hAnsi="Times New Roman" w:cs="Times New Roman"/>
          <w:bCs/>
          <w:sz w:val="28"/>
          <w:szCs w:val="28"/>
        </w:rPr>
        <w:t>急性毒性》，</w:t>
      </w:r>
      <w:r>
        <w:rPr>
          <w:rFonts w:ascii="Times New Roman" w:eastAsia="宋体" w:hAnsi="Times New Roman" w:cs="Times New Roman"/>
          <w:bCs/>
          <w:sz w:val="28"/>
          <w:szCs w:val="28"/>
        </w:rPr>
        <w:t>GB20592-2006</w:t>
      </w:r>
      <w:r>
        <w:rPr>
          <w:rFonts w:ascii="Times New Roman" w:eastAsia="宋体" w:hAnsi="Times New Roman" w:cs="Times New Roman"/>
          <w:bCs/>
          <w:sz w:val="28"/>
          <w:szCs w:val="28"/>
        </w:rPr>
        <w:t>；</w:t>
      </w:r>
    </w:p>
    <w:p w14:paraId="2B2E2EE9"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《危险货物品名表》，</w:t>
      </w:r>
      <w:r>
        <w:rPr>
          <w:rFonts w:ascii="Times New Roman" w:eastAsia="宋体" w:hAnsi="Times New Roman" w:cs="Times New Roman"/>
          <w:bCs/>
          <w:sz w:val="28"/>
          <w:szCs w:val="28"/>
        </w:rPr>
        <w:t>GB12268-2012</w:t>
      </w:r>
      <w:r>
        <w:rPr>
          <w:rFonts w:ascii="Times New Roman" w:eastAsia="宋体" w:hAnsi="Times New Roman" w:cs="Times New Roman"/>
          <w:bCs/>
          <w:sz w:val="28"/>
          <w:szCs w:val="28"/>
        </w:rPr>
        <w:t>；</w:t>
      </w:r>
    </w:p>
    <w:p w14:paraId="25CA69A0"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《危险化学品经营企业开业条件和技术要求》，</w:t>
      </w:r>
      <w:r>
        <w:rPr>
          <w:rFonts w:ascii="Times New Roman" w:eastAsia="宋体" w:hAnsi="Times New Roman" w:cs="Times New Roman"/>
          <w:bCs/>
          <w:sz w:val="28"/>
          <w:szCs w:val="28"/>
        </w:rPr>
        <w:t>GB 18265-2000)</w:t>
      </w:r>
      <w:r>
        <w:rPr>
          <w:rFonts w:ascii="Times New Roman" w:eastAsia="宋体" w:hAnsi="Times New Roman" w:cs="Times New Roman"/>
          <w:bCs/>
          <w:sz w:val="28"/>
          <w:szCs w:val="28"/>
        </w:rPr>
        <w:t>；</w:t>
      </w:r>
    </w:p>
    <w:p w14:paraId="6142F5D1"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《区域开发、建设项目环境影响评价工作中关于循环经济内容的编制要求</w:t>
      </w:r>
      <w:r>
        <w:rPr>
          <w:rFonts w:ascii="Times New Roman" w:eastAsia="宋体" w:hAnsi="Times New Roman" w:cs="Times New Roman"/>
          <w:bCs/>
          <w:sz w:val="28"/>
          <w:szCs w:val="28"/>
        </w:rPr>
        <w:t>(</w:t>
      </w:r>
      <w:r>
        <w:rPr>
          <w:rFonts w:ascii="Times New Roman" w:eastAsia="宋体" w:hAnsi="Times New Roman" w:cs="Times New Roman"/>
          <w:bCs/>
          <w:sz w:val="28"/>
          <w:szCs w:val="28"/>
        </w:rPr>
        <w:t>试行</w:t>
      </w:r>
      <w:r>
        <w:rPr>
          <w:rFonts w:ascii="Times New Roman" w:eastAsia="宋体" w:hAnsi="Times New Roman" w:cs="Times New Roman"/>
          <w:bCs/>
          <w:sz w:val="28"/>
          <w:szCs w:val="28"/>
        </w:rPr>
        <w:t>)</w:t>
      </w:r>
      <w:r>
        <w:rPr>
          <w:rFonts w:ascii="Times New Roman" w:eastAsia="宋体" w:hAnsi="Times New Roman" w:cs="Times New Roman"/>
          <w:bCs/>
          <w:sz w:val="28"/>
          <w:szCs w:val="28"/>
        </w:rPr>
        <w:t>》，江苏省环境保护厅，</w:t>
      </w:r>
      <w:r>
        <w:rPr>
          <w:rFonts w:ascii="Times New Roman" w:eastAsia="宋体" w:hAnsi="Times New Roman" w:cs="Times New Roman"/>
          <w:bCs/>
          <w:sz w:val="28"/>
          <w:szCs w:val="28"/>
        </w:rPr>
        <w:t>2005</w:t>
      </w:r>
      <w:r>
        <w:rPr>
          <w:rFonts w:ascii="Times New Roman" w:eastAsia="宋体" w:hAnsi="Times New Roman" w:cs="Times New Roman"/>
          <w:bCs/>
          <w:sz w:val="28"/>
          <w:szCs w:val="28"/>
        </w:rPr>
        <w:t>年</w:t>
      </w:r>
      <w:r>
        <w:rPr>
          <w:rFonts w:ascii="Times New Roman" w:eastAsia="宋体" w:hAnsi="Times New Roman" w:cs="Times New Roman"/>
          <w:bCs/>
          <w:sz w:val="28"/>
          <w:szCs w:val="28"/>
        </w:rPr>
        <w:t>5</w:t>
      </w:r>
      <w:r>
        <w:rPr>
          <w:rFonts w:ascii="Times New Roman" w:eastAsia="宋体" w:hAnsi="Times New Roman" w:cs="Times New Roman"/>
          <w:bCs/>
          <w:sz w:val="28"/>
          <w:szCs w:val="28"/>
        </w:rPr>
        <w:t>月；</w:t>
      </w:r>
    </w:p>
    <w:p w14:paraId="60DD32D5" w14:textId="77777777" w:rsidR="002133E3" w:rsidRDefault="00C22CFA">
      <w:pPr>
        <w:numPr>
          <w:ilvl w:val="0"/>
          <w:numId w:val="6"/>
        </w:numPr>
        <w:tabs>
          <w:tab w:val="left" w:pos="1418"/>
        </w:tabs>
        <w:adjustRightInd w:val="0"/>
        <w:spacing w:line="500" w:lineRule="exact"/>
        <w:ind w:left="0"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《江苏省工业建设项目环境影响报告书主要内容编制要求》，江苏省环境保护厅，</w:t>
      </w:r>
      <w:r>
        <w:rPr>
          <w:rFonts w:ascii="Times New Roman" w:eastAsia="宋体" w:hAnsi="Times New Roman" w:cs="Times New Roman"/>
          <w:bCs/>
          <w:sz w:val="28"/>
          <w:szCs w:val="28"/>
        </w:rPr>
        <w:t>2005</w:t>
      </w:r>
      <w:r>
        <w:rPr>
          <w:rFonts w:ascii="Times New Roman" w:eastAsia="宋体" w:hAnsi="Times New Roman" w:cs="Times New Roman"/>
          <w:bCs/>
          <w:sz w:val="28"/>
          <w:szCs w:val="28"/>
        </w:rPr>
        <w:t>年</w:t>
      </w:r>
      <w:r>
        <w:rPr>
          <w:rFonts w:ascii="Times New Roman" w:eastAsia="宋体" w:hAnsi="Times New Roman" w:cs="Times New Roman"/>
          <w:bCs/>
          <w:sz w:val="28"/>
          <w:szCs w:val="28"/>
        </w:rPr>
        <w:t>5</w:t>
      </w:r>
      <w:r>
        <w:rPr>
          <w:rFonts w:ascii="Times New Roman" w:eastAsia="宋体" w:hAnsi="Times New Roman" w:cs="Times New Roman"/>
          <w:bCs/>
          <w:sz w:val="28"/>
          <w:szCs w:val="28"/>
        </w:rPr>
        <w:t>月。</w:t>
      </w:r>
    </w:p>
    <w:p w14:paraId="20F4026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相关技术文件</w:t>
      </w:r>
    </w:p>
    <w:p w14:paraId="4C0CE7E8"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10" w:name="_Toc47604313"/>
      <w:r>
        <w:rPr>
          <w:rFonts w:ascii="Times New Roman" w:eastAsia="宋体" w:hAnsi="Times New Roman" w:cs="Times New Roman"/>
          <w:b/>
          <w:sz w:val="30"/>
          <w:szCs w:val="30"/>
        </w:rPr>
        <w:t>评价工作原则</w:t>
      </w:r>
      <w:bookmarkEnd w:id="10"/>
    </w:p>
    <w:p w14:paraId="26299BDB"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突出环境影响评价的源头预防作用，坚持保护和改善环境质量。</w:t>
      </w:r>
    </w:p>
    <w:p w14:paraId="254CDB9B" w14:textId="77777777" w:rsidR="002133E3" w:rsidRDefault="00C22CFA">
      <w:pPr>
        <w:numPr>
          <w:ilvl w:val="0"/>
          <w:numId w:val="7"/>
        </w:numPr>
        <w:spacing w:line="500" w:lineRule="exact"/>
        <w:rPr>
          <w:rFonts w:ascii="Times New Roman" w:eastAsia="宋体" w:hAnsi="Times New Roman" w:cs="Times New Roman"/>
          <w:sz w:val="28"/>
          <w:szCs w:val="28"/>
        </w:rPr>
      </w:pPr>
      <w:r>
        <w:rPr>
          <w:rFonts w:ascii="Times New Roman" w:eastAsia="宋体" w:hAnsi="Times New Roman" w:cs="Times New Roman"/>
          <w:sz w:val="28"/>
          <w:szCs w:val="28"/>
        </w:rPr>
        <w:t>依法评价</w:t>
      </w:r>
    </w:p>
    <w:p w14:paraId="109181E2"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贯彻执行我国环境保护相关法律法规、标准、政策和规划等，优化项目建设，服务环境管理。</w:t>
      </w:r>
    </w:p>
    <w:p w14:paraId="393073E6" w14:textId="77777777" w:rsidR="002133E3" w:rsidRDefault="00C22CFA">
      <w:pPr>
        <w:numPr>
          <w:ilvl w:val="0"/>
          <w:numId w:val="7"/>
        </w:numPr>
        <w:spacing w:line="500" w:lineRule="exact"/>
        <w:rPr>
          <w:rFonts w:ascii="Times New Roman" w:eastAsia="宋体" w:hAnsi="Times New Roman" w:cs="Times New Roman"/>
          <w:sz w:val="28"/>
          <w:szCs w:val="28"/>
        </w:rPr>
      </w:pPr>
      <w:r>
        <w:rPr>
          <w:rFonts w:ascii="Times New Roman" w:eastAsia="宋体" w:hAnsi="Times New Roman" w:cs="Times New Roman"/>
          <w:sz w:val="28"/>
          <w:szCs w:val="28"/>
        </w:rPr>
        <w:t>科学评价</w:t>
      </w:r>
    </w:p>
    <w:p w14:paraId="12DB0C42"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规范环境影响评价方法，科学分析项目建设对环境质量的影响。</w:t>
      </w:r>
    </w:p>
    <w:p w14:paraId="78720150" w14:textId="77777777" w:rsidR="002133E3" w:rsidRDefault="00C22CFA">
      <w:pPr>
        <w:numPr>
          <w:ilvl w:val="0"/>
          <w:numId w:val="7"/>
        </w:numPr>
        <w:spacing w:line="500" w:lineRule="exact"/>
        <w:rPr>
          <w:rFonts w:ascii="Times New Roman" w:eastAsia="宋体" w:hAnsi="Times New Roman" w:cs="Times New Roman"/>
          <w:sz w:val="28"/>
          <w:szCs w:val="28"/>
        </w:rPr>
      </w:pPr>
      <w:r>
        <w:rPr>
          <w:rFonts w:ascii="Times New Roman" w:eastAsia="宋体" w:hAnsi="Times New Roman" w:cs="Times New Roman"/>
          <w:sz w:val="28"/>
          <w:szCs w:val="28"/>
        </w:rPr>
        <w:t>突出重点</w:t>
      </w:r>
    </w:p>
    <w:p w14:paraId="48A942E3"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根据建设项目的工程内容及其特点，明确与环境要素间的作用效应关系，根据规划环境影响评价结论和审查意见，充分利用符合时效的数据资料及成果，对建设项目主要环境影响予以重点分析和评价。</w:t>
      </w:r>
    </w:p>
    <w:p w14:paraId="2077DCCD"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t>影响因素识别及评价因子筛选</w:t>
      </w:r>
    </w:p>
    <w:p w14:paraId="315E724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影响因素识别</w:t>
      </w:r>
    </w:p>
    <w:p w14:paraId="0F51C98F"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本工程施工期和运营期均会对周围环境产生影响，根据工程特点，工程建设可能产生的环境影响因素见表</w:t>
      </w:r>
      <w:r>
        <w:rPr>
          <w:rFonts w:ascii="Times New Roman" w:eastAsia="宋体" w:hAnsi="Times New Roman" w:cs="Times New Roman"/>
          <w:kern w:val="0"/>
          <w:sz w:val="28"/>
          <w:szCs w:val="28"/>
        </w:rPr>
        <w:t>2.2-1</w:t>
      </w:r>
      <w:r>
        <w:rPr>
          <w:rFonts w:ascii="Times New Roman" w:eastAsia="宋体" w:hAnsi="Times New Roman" w:cs="Times New Roman"/>
          <w:kern w:val="0"/>
          <w:sz w:val="28"/>
          <w:szCs w:val="28"/>
        </w:rPr>
        <w:t>。</w:t>
      </w:r>
    </w:p>
    <w:p w14:paraId="4FAE314A" w14:textId="77777777" w:rsidR="002133E3" w:rsidRDefault="00C22CFA">
      <w:pPr>
        <w:adjustRightInd w:val="0"/>
        <w:snapToGrid w:val="0"/>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2.2-1  </w:t>
      </w:r>
      <w:r>
        <w:rPr>
          <w:rFonts w:ascii="Times New Roman" w:eastAsia="宋体" w:hAnsi="Times New Roman" w:cs="Times New Roman"/>
          <w:b/>
          <w:kern w:val="0"/>
          <w:sz w:val="24"/>
          <w:szCs w:val="24"/>
        </w:rPr>
        <w:t>工程环境影响因素识别一览表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84"/>
        <w:gridCol w:w="1568"/>
        <w:gridCol w:w="780"/>
        <w:gridCol w:w="938"/>
        <w:gridCol w:w="938"/>
        <w:gridCol w:w="780"/>
        <w:gridCol w:w="780"/>
        <w:gridCol w:w="780"/>
        <w:gridCol w:w="934"/>
        <w:gridCol w:w="674"/>
        <w:gridCol w:w="1098"/>
      </w:tblGrid>
      <w:tr w:rsidR="002133E3" w14:paraId="7C6F2F48" w14:textId="77777777">
        <w:trPr>
          <w:jc w:val="center"/>
        </w:trPr>
        <w:tc>
          <w:tcPr>
            <w:tcW w:w="1091" w:type="pct"/>
            <w:gridSpan w:val="2"/>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68A5C284" w14:textId="77777777" w:rsidR="002133E3" w:rsidRDefault="00C22CFA">
            <w:pPr>
              <w:widowControl/>
              <w:spacing w:line="280" w:lineRule="exact"/>
              <w:jc w:val="right"/>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影响</w:t>
            </w:r>
          </w:p>
          <w:p w14:paraId="3A242B9A" w14:textId="77777777" w:rsidR="002133E3" w:rsidRDefault="00C22CFA">
            <w:pPr>
              <w:widowControl/>
              <w:spacing w:line="280" w:lineRule="exact"/>
              <w:jc w:val="right"/>
              <w:rPr>
                <w:rFonts w:ascii="Times New Roman" w:eastAsia="宋体" w:hAnsi="Times New Roman" w:cs="Times New Roman"/>
                <w:spacing w:val="-6"/>
                <w:kern w:val="0"/>
                <w:szCs w:val="21"/>
              </w:rPr>
            </w:pPr>
            <w:r>
              <w:rPr>
                <w:rFonts w:ascii="Times New Roman" w:eastAsia="宋体" w:hAnsi="Times New Roman" w:cs="Times New Roman"/>
                <w:kern w:val="0"/>
                <w:szCs w:val="21"/>
              </w:rPr>
              <w:t>受体</w:t>
            </w:r>
          </w:p>
          <w:p w14:paraId="18A99122" w14:textId="77777777" w:rsidR="002133E3" w:rsidRDefault="00C22CFA">
            <w:pPr>
              <w:widowControl/>
              <w:spacing w:line="280" w:lineRule="exact"/>
              <w:jc w:val="left"/>
              <w:rPr>
                <w:rFonts w:ascii="Times New Roman" w:eastAsia="宋体" w:hAnsi="Times New Roman" w:cs="Times New Roman"/>
                <w:spacing w:val="-6"/>
                <w:kern w:val="0"/>
                <w:szCs w:val="21"/>
              </w:rPr>
            </w:pPr>
            <w:r>
              <w:rPr>
                <w:rFonts w:ascii="Times New Roman" w:eastAsia="宋体" w:hAnsi="Times New Roman" w:cs="Times New Roman"/>
                <w:kern w:val="0"/>
                <w:szCs w:val="21"/>
              </w:rPr>
              <w:t>影响因素</w:t>
            </w:r>
          </w:p>
        </w:tc>
        <w:tc>
          <w:tcPr>
            <w:tcW w:w="2140" w:type="pct"/>
            <w:gridSpan w:val="5"/>
            <w:tcBorders>
              <w:top w:val="single" w:sz="4" w:space="0" w:color="auto"/>
              <w:left w:val="single" w:sz="4" w:space="0" w:color="auto"/>
              <w:bottom w:val="single" w:sz="4" w:space="0" w:color="auto"/>
              <w:right w:val="single" w:sz="4" w:space="0" w:color="auto"/>
            </w:tcBorders>
            <w:vAlign w:val="center"/>
          </w:tcPr>
          <w:p w14:paraId="3C31853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自然环境</w:t>
            </w:r>
          </w:p>
        </w:tc>
        <w:tc>
          <w:tcPr>
            <w:tcW w:w="1769" w:type="pct"/>
            <w:gridSpan w:val="4"/>
            <w:tcBorders>
              <w:top w:val="single" w:sz="4" w:space="0" w:color="auto"/>
              <w:left w:val="single" w:sz="4" w:space="0" w:color="auto"/>
              <w:bottom w:val="single" w:sz="4" w:space="0" w:color="auto"/>
              <w:right w:val="single" w:sz="4" w:space="0" w:color="auto"/>
            </w:tcBorders>
            <w:vAlign w:val="center"/>
          </w:tcPr>
          <w:p w14:paraId="52CF795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生态环境</w:t>
            </w:r>
          </w:p>
        </w:tc>
      </w:tr>
      <w:tr w:rsidR="002133E3" w14:paraId="46462504" w14:textId="77777777">
        <w:trPr>
          <w:trHeight w:val="644"/>
          <w:jc w:val="center"/>
        </w:trPr>
        <w:tc>
          <w:tcPr>
            <w:tcW w:w="1091" w:type="pct"/>
            <w:gridSpan w:val="2"/>
            <w:vMerge/>
            <w:tcBorders>
              <w:top w:val="single" w:sz="4" w:space="0" w:color="auto"/>
              <w:left w:val="single" w:sz="4" w:space="0" w:color="auto"/>
              <w:bottom w:val="single" w:sz="4" w:space="0" w:color="auto"/>
              <w:right w:val="single" w:sz="4" w:space="0" w:color="auto"/>
              <w:tl2br w:val="single" w:sz="4" w:space="0" w:color="auto"/>
            </w:tcBorders>
            <w:vAlign w:val="center"/>
          </w:tcPr>
          <w:p w14:paraId="5075E932" w14:textId="77777777" w:rsidR="002133E3" w:rsidRDefault="002133E3">
            <w:pPr>
              <w:widowControl/>
              <w:jc w:val="left"/>
              <w:rPr>
                <w:rFonts w:ascii="Times New Roman" w:eastAsia="宋体" w:hAnsi="Times New Roman" w:cs="Times New Roman"/>
                <w:spacing w:val="-6"/>
                <w:kern w:val="0"/>
                <w:szCs w:val="21"/>
              </w:rPr>
            </w:pPr>
          </w:p>
        </w:tc>
        <w:tc>
          <w:tcPr>
            <w:tcW w:w="396" w:type="pct"/>
            <w:tcBorders>
              <w:top w:val="single" w:sz="4" w:space="0" w:color="auto"/>
              <w:left w:val="single" w:sz="4" w:space="0" w:color="auto"/>
              <w:bottom w:val="single" w:sz="4" w:space="0" w:color="auto"/>
              <w:right w:val="single" w:sz="4" w:space="0" w:color="auto"/>
            </w:tcBorders>
            <w:vAlign w:val="center"/>
          </w:tcPr>
          <w:p w14:paraId="56800FBC"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环境空气</w:t>
            </w:r>
          </w:p>
        </w:tc>
        <w:tc>
          <w:tcPr>
            <w:tcW w:w="476" w:type="pct"/>
            <w:tcBorders>
              <w:top w:val="single" w:sz="4" w:space="0" w:color="auto"/>
              <w:left w:val="single" w:sz="4" w:space="0" w:color="auto"/>
              <w:bottom w:val="single" w:sz="4" w:space="0" w:color="auto"/>
              <w:right w:val="single" w:sz="4" w:space="0" w:color="auto"/>
            </w:tcBorders>
            <w:vAlign w:val="center"/>
          </w:tcPr>
          <w:p w14:paraId="09E880B5"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地表水环境</w:t>
            </w:r>
          </w:p>
        </w:tc>
        <w:tc>
          <w:tcPr>
            <w:tcW w:w="476" w:type="pct"/>
            <w:tcBorders>
              <w:top w:val="single" w:sz="4" w:space="0" w:color="auto"/>
              <w:left w:val="single" w:sz="4" w:space="0" w:color="auto"/>
              <w:bottom w:val="single" w:sz="4" w:space="0" w:color="auto"/>
              <w:right w:val="single" w:sz="4" w:space="0" w:color="auto"/>
            </w:tcBorders>
            <w:vAlign w:val="center"/>
          </w:tcPr>
          <w:p w14:paraId="379E5853"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地下水环境</w:t>
            </w:r>
          </w:p>
        </w:tc>
        <w:tc>
          <w:tcPr>
            <w:tcW w:w="396" w:type="pct"/>
            <w:tcBorders>
              <w:top w:val="single" w:sz="4" w:space="0" w:color="auto"/>
              <w:left w:val="single" w:sz="4" w:space="0" w:color="auto"/>
              <w:bottom w:val="single" w:sz="4" w:space="0" w:color="auto"/>
              <w:right w:val="single" w:sz="4" w:space="0" w:color="auto"/>
            </w:tcBorders>
            <w:vAlign w:val="center"/>
          </w:tcPr>
          <w:p w14:paraId="50AF4750"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土壤环境</w:t>
            </w:r>
          </w:p>
        </w:tc>
        <w:tc>
          <w:tcPr>
            <w:tcW w:w="396" w:type="pct"/>
            <w:tcBorders>
              <w:top w:val="single" w:sz="4" w:space="0" w:color="auto"/>
              <w:left w:val="single" w:sz="4" w:space="0" w:color="auto"/>
              <w:bottom w:val="single" w:sz="4" w:space="0" w:color="auto"/>
              <w:right w:val="single" w:sz="4" w:space="0" w:color="auto"/>
            </w:tcBorders>
            <w:vAlign w:val="center"/>
          </w:tcPr>
          <w:p w14:paraId="6F4F95C3"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声环境</w:t>
            </w:r>
          </w:p>
        </w:tc>
        <w:tc>
          <w:tcPr>
            <w:tcW w:w="396" w:type="pct"/>
            <w:tcBorders>
              <w:top w:val="single" w:sz="4" w:space="0" w:color="auto"/>
              <w:left w:val="single" w:sz="4" w:space="0" w:color="auto"/>
              <w:bottom w:val="single" w:sz="4" w:space="0" w:color="auto"/>
              <w:right w:val="single" w:sz="4" w:space="0" w:color="auto"/>
            </w:tcBorders>
            <w:vAlign w:val="center"/>
          </w:tcPr>
          <w:p w14:paraId="5B31418A"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陆域生物</w:t>
            </w:r>
          </w:p>
        </w:tc>
        <w:tc>
          <w:tcPr>
            <w:tcW w:w="474" w:type="pct"/>
            <w:tcBorders>
              <w:top w:val="single" w:sz="4" w:space="0" w:color="auto"/>
              <w:left w:val="single" w:sz="4" w:space="0" w:color="auto"/>
              <w:bottom w:val="single" w:sz="4" w:space="0" w:color="auto"/>
              <w:right w:val="single" w:sz="4" w:space="0" w:color="auto"/>
            </w:tcBorders>
            <w:vAlign w:val="center"/>
          </w:tcPr>
          <w:p w14:paraId="0BAC33F6"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水生生物</w:t>
            </w:r>
          </w:p>
        </w:tc>
        <w:tc>
          <w:tcPr>
            <w:tcW w:w="342" w:type="pct"/>
            <w:tcBorders>
              <w:top w:val="single" w:sz="4" w:space="0" w:color="auto"/>
              <w:left w:val="single" w:sz="4" w:space="0" w:color="auto"/>
              <w:bottom w:val="single" w:sz="4" w:space="0" w:color="auto"/>
              <w:right w:val="single" w:sz="4" w:space="0" w:color="auto"/>
            </w:tcBorders>
            <w:vAlign w:val="center"/>
          </w:tcPr>
          <w:p w14:paraId="68521C43"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渔业资源</w:t>
            </w:r>
          </w:p>
        </w:tc>
        <w:tc>
          <w:tcPr>
            <w:tcW w:w="558" w:type="pct"/>
            <w:tcBorders>
              <w:top w:val="single" w:sz="4" w:space="0" w:color="auto"/>
              <w:left w:val="single" w:sz="4" w:space="0" w:color="auto"/>
              <w:bottom w:val="single" w:sz="4" w:space="0" w:color="auto"/>
              <w:right w:val="single" w:sz="4" w:space="0" w:color="auto"/>
            </w:tcBorders>
            <w:vAlign w:val="center"/>
          </w:tcPr>
          <w:p w14:paraId="31132383"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主要生态保护区域</w:t>
            </w:r>
          </w:p>
        </w:tc>
      </w:tr>
      <w:tr w:rsidR="002133E3" w14:paraId="5E47421F" w14:textId="77777777">
        <w:trPr>
          <w:jc w:val="center"/>
        </w:trPr>
        <w:tc>
          <w:tcPr>
            <w:tcW w:w="296" w:type="pct"/>
            <w:vMerge w:val="restart"/>
            <w:tcBorders>
              <w:top w:val="single" w:sz="4" w:space="0" w:color="auto"/>
              <w:left w:val="single" w:sz="4" w:space="0" w:color="auto"/>
              <w:bottom w:val="single" w:sz="4" w:space="0" w:color="auto"/>
              <w:right w:val="single" w:sz="4" w:space="0" w:color="auto"/>
            </w:tcBorders>
            <w:vAlign w:val="center"/>
          </w:tcPr>
          <w:p w14:paraId="0C06EEC9"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施工期</w:t>
            </w:r>
          </w:p>
        </w:tc>
        <w:tc>
          <w:tcPr>
            <w:tcW w:w="795" w:type="pct"/>
            <w:tcBorders>
              <w:top w:val="single" w:sz="4" w:space="0" w:color="auto"/>
              <w:left w:val="single" w:sz="4" w:space="0" w:color="auto"/>
              <w:bottom w:val="single" w:sz="4" w:space="0" w:color="auto"/>
              <w:right w:val="single" w:sz="4" w:space="0" w:color="auto"/>
            </w:tcBorders>
            <w:vAlign w:val="center"/>
          </w:tcPr>
          <w:p w14:paraId="010350D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施工废</w:t>
            </w:r>
            <w:r>
              <w:rPr>
                <w:rFonts w:ascii="Times New Roman" w:eastAsia="宋体" w:hAnsi="Times New Roman" w:cs="Times New Roman"/>
                <w:kern w:val="0"/>
                <w:szCs w:val="21"/>
              </w:rPr>
              <w:t>(</w:t>
            </w:r>
            <w:r>
              <w:rPr>
                <w:rFonts w:ascii="Times New Roman" w:eastAsia="宋体" w:hAnsi="Times New Roman" w:cs="Times New Roman"/>
                <w:kern w:val="0"/>
                <w:szCs w:val="21"/>
              </w:rPr>
              <w:t>污</w:t>
            </w:r>
            <w:r>
              <w:rPr>
                <w:rFonts w:ascii="Times New Roman" w:eastAsia="宋体" w:hAnsi="Times New Roman" w:cs="Times New Roman"/>
                <w:kern w:val="0"/>
                <w:szCs w:val="21"/>
              </w:rPr>
              <w:t>)</w:t>
            </w:r>
            <w:r>
              <w:rPr>
                <w:rFonts w:ascii="Times New Roman" w:eastAsia="宋体" w:hAnsi="Times New Roman" w:cs="Times New Roman"/>
                <w:kern w:val="0"/>
                <w:szCs w:val="21"/>
              </w:rPr>
              <w:t>水</w:t>
            </w:r>
          </w:p>
        </w:tc>
        <w:tc>
          <w:tcPr>
            <w:tcW w:w="396" w:type="pct"/>
            <w:tcBorders>
              <w:top w:val="single" w:sz="4" w:space="0" w:color="auto"/>
              <w:left w:val="single" w:sz="4" w:space="0" w:color="auto"/>
              <w:bottom w:val="single" w:sz="4" w:space="0" w:color="auto"/>
              <w:right w:val="single" w:sz="4" w:space="0" w:color="auto"/>
            </w:tcBorders>
            <w:vAlign w:val="center"/>
          </w:tcPr>
          <w:p w14:paraId="7740137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7037257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-1SD</w:t>
            </w:r>
          </w:p>
        </w:tc>
        <w:tc>
          <w:tcPr>
            <w:tcW w:w="476" w:type="pct"/>
            <w:tcBorders>
              <w:top w:val="single" w:sz="4" w:space="0" w:color="auto"/>
              <w:left w:val="single" w:sz="4" w:space="0" w:color="auto"/>
              <w:bottom w:val="single" w:sz="4" w:space="0" w:color="auto"/>
              <w:right w:val="single" w:sz="4" w:space="0" w:color="auto"/>
            </w:tcBorders>
            <w:vAlign w:val="center"/>
          </w:tcPr>
          <w:p w14:paraId="0EA4B02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-1SI</w:t>
            </w:r>
          </w:p>
        </w:tc>
        <w:tc>
          <w:tcPr>
            <w:tcW w:w="396" w:type="pct"/>
            <w:tcBorders>
              <w:top w:val="single" w:sz="4" w:space="0" w:color="auto"/>
              <w:left w:val="single" w:sz="4" w:space="0" w:color="auto"/>
              <w:bottom w:val="single" w:sz="4" w:space="0" w:color="auto"/>
              <w:right w:val="single" w:sz="4" w:space="0" w:color="auto"/>
            </w:tcBorders>
            <w:vAlign w:val="center"/>
          </w:tcPr>
          <w:p w14:paraId="5F05A57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-1SD</w:t>
            </w:r>
          </w:p>
        </w:tc>
        <w:tc>
          <w:tcPr>
            <w:tcW w:w="396" w:type="pct"/>
            <w:tcBorders>
              <w:top w:val="single" w:sz="4" w:space="0" w:color="auto"/>
              <w:left w:val="single" w:sz="4" w:space="0" w:color="auto"/>
              <w:bottom w:val="single" w:sz="4" w:space="0" w:color="auto"/>
              <w:right w:val="single" w:sz="4" w:space="0" w:color="auto"/>
            </w:tcBorders>
            <w:vAlign w:val="center"/>
          </w:tcPr>
          <w:p w14:paraId="76AAEC3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163546E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14EE2A6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0FDD1EB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30EF100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17D94DF9"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6EC08E14"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6C1787E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施工扬尘</w:t>
            </w:r>
          </w:p>
        </w:tc>
        <w:tc>
          <w:tcPr>
            <w:tcW w:w="396" w:type="pct"/>
            <w:tcBorders>
              <w:top w:val="single" w:sz="4" w:space="0" w:color="auto"/>
              <w:left w:val="single" w:sz="4" w:space="0" w:color="auto"/>
              <w:bottom w:val="single" w:sz="4" w:space="0" w:color="auto"/>
              <w:right w:val="single" w:sz="4" w:space="0" w:color="auto"/>
            </w:tcBorders>
            <w:vAlign w:val="center"/>
          </w:tcPr>
          <w:p w14:paraId="5DC5A5D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-2SD</w:t>
            </w:r>
          </w:p>
        </w:tc>
        <w:tc>
          <w:tcPr>
            <w:tcW w:w="476" w:type="pct"/>
            <w:tcBorders>
              <w:top w:val="single" w:sz="4" w:space="0" w:color="auto"/>
              <w:left w:val="single" w:sz="4" w:space="0" w:color="auto"/>
              <w:bottom w:val="single" w:sz="4" w:space="0" w:color="auto"/>
              <w:right w:val="single" w:sz="4" w:space="0" w:color="auto"/>
            </w:tcBorders>
            <w:vAlign w:val="center"/>
          </w:tcPr>
          <w:p w14:paraId="027761B4"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38EBE5E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4CDF622D"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30C63CF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401E1A7D"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5DEAF4D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19BED3BD"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48CDBD0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24C89FCC"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0691052E"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04806046"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施工噪声</w:t>
            </w:r>
          </w:p>
        </w:tc>
        <w:tc>
          <w:tcPr>
            <w:tcW w:w="396" w:type="pct"/>
            <w:tcBorders>
              <w:top w:val="single" w:sz="4" w:space="0" w:color="auto"/>
              <w:left w:val="single" w:sz="4" w:space="0" w:color="auto"/>
              <w:bottom w:val="single" w:sz="4" w:space="0" w:color="auto"/>
              <w:right w:val="single" w:sz="4" w:space="0" w:color="auto"/>
            </w:tcBorders>
            <w:vAlign w:val="center"/>
          </w:tcPr>
          <w:p w14:paraId="4BFA178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54645A9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28F3816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20B861F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5C937C9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-2SD</w:t>
            </w:r>
          </w:p>
        </w:tc>
        <w:tc>
          <w:tcPr>
            <w:tcW w:w="396" w:type="pct"/>
            <w:tcBorders>
              <w:top w:val="single" w:sz="4" w:space="0" w:color="auto"/>
              <w:left w:val="single" w:sz="4" w:space="0" w:color="auto"/>
              <w:bottom w:val="single" w:sz="4" w:space="0" w:color="auto"/>
              <w:right w:val="single" w:sz="4" w:space="0" w:color="auto"/>
            </w:tcBorders>
            <w:vAlign w:val="center"/>
          </w:tcPr>
          <w:p w14:paraId="211EFB8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3CA53C7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2A0E99AC"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0D2A248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52859547"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3FA70A89"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064BF0C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渣土垃圾</w:t>
            </w:r>
          </w:p>
        </w:tc>
        <w:tc>
          <w:tcPr>
            <w:tcW w:w="396" w:type="pct"/>
            <w:tcBorders>
              <w:top w:val="single" w:sz="4" w:space="0" w:color="auto"/>
              <w:left w:val="single" w:sz="4" w:space="0" w:color="auto"/>
              <w:bottom w:val="single" w:sz="4" w:space="0" w:color="auto"/>
              <w:right w:val="single" w:sz="4" w:space="0" w:color="auto"/>
            </w:tcBorders>
            <w:vAlign w:val="center"/>
          </w:tcPr>
          <w:p w14:paraId="2A61C9C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0487BBC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663C8AC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3BA3DB7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182642E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0EE1BBB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04EB118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490B5A4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53933C8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3A9ABCDF"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69BCB243"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070F9CA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基坑开挖</w:t>
            </w:r>
          </w:p>
        </w:tc>
        <w:tc>
          <w:tcPr>
            <w:tcW w:w="396" w:type="pct"/>
            <w:tcBorders>
              <w:top w:val="single" w:sz="4" w:space="0" w:color="auto"/>
              <w:left w:val="single" w:sz="4" w:space="0" w:color="auto"/>
              <w:bottom w:val="single" w:sz="4" w:space="0" w:color="auto"/>
              <w:right w:val="single" w:sz="4" w:space="0" w:color="auto"/>
            </w:tcBorders>
            <w:vAlign w:val="center"/>
          </w:tcPr>
          <w:p w14:paraId="7CF9136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7A6AF9E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750169C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5244024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1618824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454A12B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45BCD02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778AEBB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2781D37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1B410FD2" w14:textId="77777777">
        <w:trPr>
          <w:jc w:val="center"/>
        </w:trPr>
        <w:tc>
          <w:tcPr>
            <w:tcW w:w="296" w:type="pct"/>
            <w:vMerge w:val="restart"/>
            <w:tcBorders>
              <w:top w:val="single" w:sz="4" w:space="0" w:color="auto"/>
              <w:left w:val="single" w:sz="4" w:space="0" w:color="auto"/>
              <w:bottom w:val="single" w:sz="4" w:space="0" w:color="auto"/>
              <w:right w:val="single" w:sz="4" w:space="0" w:color="auto"/>
            </w:tcBorders>
            <w:vAlign w:val="center"/>
          </w:tcPr>
          <w:p w14:paraId="5D4C90C6"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运行期</w:t>
            </w:r>
          </w:p>
        </w:tc>
        <w:tc>
          <w:tcPr>
            <w:tcW w:w="795" w:type="pct"/>
            <w:tcBorders>
              <w:top w:val="single" w:sz="4" w:space="0" w:color="auto"/>
              <w:left w:val="single" w:sz="4" w:space="0" w:color="auto"/>
              <w:bottom w:val="single" w:sz="4" w:space="0" w:color="auto"/>
              <w:right w:val="single" w:sz="4" w:space="0" w:color="auto"/>
            </w:tcBorders>
            <w:vAlign w:val="center"/>
          </w:tcPr>
          <w:p w14:paraId="5D5AECF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废水排放</w:t>
            </w:r>
          </w:p>
        </w:tc>
        <w:tc>
          <w:tcPr>
            <w:tcW w:w="396" w:type="pct"/>
            <w:tcBorders>
              <w:top w:val="single" w:sz="4" w:space="0" w:color="auto"/>
              <w:left w:val="single" w:sz="4" w:space="0" w:color="auto"/>
              <w:bottom w:val="single" w:sz="4" w:space="0" w:color="auto"/>
              <w:right w:val="single" w:sz="4" w:space="0" w:color="auto"/>
            </w:tcBorders>
            <w:vAlign w:val="center"/>
          </w:tcPr>
          <w:p w14:paraId="0442D02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12380FA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-1LD</w:t>
            </w:r>
          </w:p>
        </w:tc>
        <w:tc>
          <w:tcPr>
            <w:tcW w:w="476" w:type="pct"/>
            <w:tcBorders>
              <w:top w:val="single" w:sz="4" w:space="0" w:color="auto"/>
              <w:left w:val="single" w:sz="4" w:space="0" w:color="auto"/>
              <w:bottom w:val="single" w:sz="4" w:space="0" w:color="auto"/>
              <w:right w:val="single" w:sz="4" w:space="0" w:color="auto"/>
            </w:tcBorders>
            <w:vAlign w:val="center"/>
          </w:tcPr>
          <w:p w14:paraId="0BBD6F4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-1LI</w:t>
            </w:r>
          </w:p>
        </w:tc>
        <w:tc>
          <w:tcPr>
            <w:tcW w:w="396" w:type="pct"/>
            <w:tcBorders>
              <w:top w:val="single" w:sz="4" w:space="0" w:color="auto"/>
              <w:left w:val="single" w:sz="4" w:space="0" w:color="auto"/>
              <w:bottom w:val="single" w:sz="4" w:space="0" w:color="auto"/>
              <w:right w:val="single" w:sz="4" w:space="0" w:color="auto"/>
            </w:tcBorders>
            <w:vAlign w:val="center"/>
          </w:tcPr>
          <w:p w14:paraId="7D63E3E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-1LI</w:t>
            </w:r>
          </w:p>
        </w:tc>
        <w:tc>
          <w:tcPr>
            <w:tcW w:w="396" w:type="pct"/>
            <w:tcBorders>
              <w:top w:val="single" w:sz="4" w:space="0" w:color="auto"/>
              <w:left w:val="single" w:sz="4" w:space="0" w:color="auto"/>
              <w:bottom w:val="single" w:sz="4" w:space="0" w:color="auto"/>
              <w:right w:val="single" w:sz="4" w:space="0" w:color="auto"/>
            </w:tcBorders>
            <w:vAlign w:val="center"/>
          </w:tcPr>
          <w:p w14:paraId="7C2B8D6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2DDBA85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5ED6E7CD"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7587928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6D0CB32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4CC4AE23"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2A08B77E"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2B742C3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废气排放</w:t>
            </w:r>
          </w:p>
        </w:tc>
        <w:tc>
          <w:tcPr>
            <w:tcW w:w="396" w:type="pct"/>
            <w:tcBorders>
              <w:top w:val="single" w:sz="4" w:space="0" w:color="auto"/>
              <w:left w:val="single" w:sz="4" w:space="0" w:color="auto"/>
              <w:bottom w:val="single" w:sz="4" w:space="0" w:color="auto"/>
              <w:right w:val="single" w:sz="4" w:space="0" w:color="auto"/>
            </w:tcBorders>
            <w:vAlign w:val="center"/>
          </w:tcPr>
          <w:p w14:paraId="22D068A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-2LD</w:t>
            </w:r>
          </w:p>
        </w:tc>
        <w:tc>
          <w:tcPr>
            <w:tcW w:w="476" w:type="pct"/>
            <w:tcBorders>
              <w:top w:val="single" w:sz="4" w:space="0" w:color="auto"/>
              <w:left w:val="single" w:sz="4" w:space="0" w:color="auto"/>
              <w:bottom w:val="single" w:sz="4" w:space="0" w:color="auto"/>
              <w:right w:val="single" w:sz="4" w:space="0" w:color="auto"/>
            </w:tcBorders>
            <w:vAlign w:val="center"/>
          </w:tcPr>
          <w:p w14:paraId="304CD85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0F14687C"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1CF91F96"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1C3D7C5C"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7DD8981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795036F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1559CF5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3174113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27BBA45E"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30596209"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7012CDA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噪声排放</w:t>
            </w:r>
          </w:p>
        </w:tc>
        <w:tc>
          <w:tcPr>
            <w:tcW w:w="396" w:type="pct"/>
            <w:tcBorders>
              <w:top w:val="single" w:sz="4" w:space="0" w:color="auto"/>
              <w:left w:val="single" w:sz="4" w:space="0" w:color="auto"/>
              <w:bottom w:val="single" w:sz="4" w:space="0" w:color="auto"/>
              <w:right w:val="single" w:sz="4" w:space="0" w:color="auto"/>
            </w:tcBorders>
            <w:vAlign w:val="center"/>
          </w:tcPr>
          <w:p w14:paraId="1C679BF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4DD6292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2BF62E7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1E60540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70848C7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-1LD</w:t>
            </w:r>
          </w:p>
        </w:tc>
        <w:tc>
          <w:tcPr>
            <w:tcW w:w="396" w:type="pct"/>
            <w:tcBorders>
              <w:top w:val="single" w:sz="4" w:space="0" w:color="auto"/>
              <w:left w:val="single" w:sz="4" w:space="0" w:color="auto"/>
              <w:bottom w:val="single" w:sz="4" w:space="0" w:color="auto"/>
              <w:right w:val="single" w:sz="4" w:space="0" w:color="auto"/>
            </w:tcBorders>
            <w:vAlign w:val="center"/>
          </w:tcPr>
          <w:p w14:paraId="280DE86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389AA226"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1F4B4BA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26A1C97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0AB8BBB5"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649D6976"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05E3C05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固体废物</w:t>
            </w:r>
          </w:p>
        </w:tc>
        <w:tc>
          <w:tcPr>
            <w:tcW w:w="396" w:type="pct"/>
            <w:tcBorders>
              <w:top w:val="single" w:sz="4" w:space="0" w:color="auto"/>
              <w:left w:val="single" w:sz="4" w:space="0" w:color="auto"/>
              <w:bottom w:val="single" w:sz="4" w:space="0" w:color="auto"/>
              <w:right w:val="single" w:sz="4" w:space="0" w:color="auto"/>
            </w:tcBorders>
            <w:vAlign w:val="center"/>
          </w:tcPr>
          <w:p w14:paraId="0D578A3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-1LI</w:t>
            </w:r>
          </w:p>
        </w:tc>
        <w:tc>
          <w:tcPr>
            <w:tcW w:w="476" w:type="pct"/>
            <w:tcBorders>
              <w:top w:val="single" w:sz="4" w:space="0" w:color="auto"/>
              <w:left w:val="single" w:sz="4" w:space="0" w:color="auto"/>
              <w:bottom w:val="single" w:sz="4" w:space="0" w:color="auto"/>
              <w:right w:val="single" w:sz="4" w:space="0" w:color="auto"/>
            </w:tcBorders>
            <w:vAlign w:val="center"/>
          </w:tcPr>
          <w:p w14:paraId="725E8FC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30BE0AA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-1SI</w:t>
            </w:r>
          </w:p>
        </w:tc>
        <w:tc>
          <w:tcPr>
            <w:tcW w:w="396" w:type="pct"/>
            <w:tcBorders>
              <w:top w:val="single" w:sz="4" w:space="0" w:color="auto"/>
              <w:left w:val="single" w:sz="4" w:space="0" w:color="auto"/>
              <w:bottom w:val="single" w:sz="4" w:space="0" w:color="auto"/>
              <w:right w:val="single" w:sz="4" w:space="0" w:color="auto"/>
            </w:tcBorders>
            <w:vAlign w:val="center"/>
          </w:tcPr>
          <w:p w14:paraId="05AA6D6D"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-1SI</w:t>
            </w:r>
          </w:p>
        </w:tc>
        <w:tc>
          <w:tcPr>
            <w:tcW w:w="396" w:type="pct"/>
            <w:tcBorders>
              <w:top w:val="single" w:sz="4" w:space="0" w:color="auto"/>
              <w:left w:val="single" w:sz="4" w:space="0" w:color="auto"/>
              <w:bottom w:val="single" w:sz="4" w:space="0" w:color="auto"/>
              <w:right w:val="single" w:sz="4" w:space="0" w:color="auto"/>
            </w:tcBorders>
            <w:vAlign w:val="center"/>
          </w:tcPr>
          <w:p w14:paraId="7634A524"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5CB05F4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7543CA6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44B7F62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606B2D6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0BA5933F"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6C05BD95" w14:textId="77777777" w:rsidR="002133E3" w:rsidRDefault="002133E3">
            <w:pPr>
              <w:widowControl/>
              <w:spacing w:line="240" w:lineRule="exact"/>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3346EB2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事故风险</w:t>
            </w:r>
          </w:p>
        </w:tc>
        <w:tc>
          <w:tcPr>
            <w:tcW w:w="396" w:type="pct"/>
            <w:tcBorders>
              <w:top w:val="single" w:sz="4" w:space="0" w:color="auto"/>
              <w:left w:val="single" w:sz="4" w:space="0" w:color="auto"/>
              <w:bottom w:val="single" w:sz="4" w:space="0" w:color="auto"/>
              <w:right w:val="single" w:sz="4" w:space="0" w:color="auto"/>
            </w:tcBorders>
            <w:vAlign w:val="center"/>
          </w:tcPr>
          <w:p w14:paraId="42B6F6F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-3SD</w:t>
            </w:r>
          </w:p>
        </w:tc>
        <w:tc>
          <w:tcPr>
            <w:tcW w:w="476" w:type="pct"/>
            <w:tcBorders>
              <w:top w:val="single" w:sz="4" w:space="0" w:color="auto"/>
              <w:left w:val="single" w:sz="4" w:space="0" w:color="auto"/>
              <w:bottom w:val="single" w:sz="4" w:space="0" w:color="auto"/>
              <w:right w:val="single" w:sz="4" w:space="0" w:color="auto"/>
            </w:tcBorders>
            <w:vAlign w:val="center"/>
          </w:tcPr>
          <w:p w14:paraId="002DB22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-1SD</w:t>
            </w:r>
          </w:p>
        </w:tc>
        <w:tc>
          <w:tcPr>
            <w:tcW w:w="476" w:type="pct"/>
            <w:tcBorders>
              <w:top w:val="single" w:sz="4" w:space="0" w:color="auto"/>
              <w:left w:val="single" w:sz="4" w:space="0" w:color="auto"/>
              <w:bottom w:val="single" w:sz="4" w:space="0" w:color="auto"/>
              <w:right w:val="single" w:sz="4" w:space="0" w:color="auto"/>
            </w:tcBorders>
            <w:vAlign w:val="center"/>
          </w:tcPr>
          <w:p w14:paraId="741974FC"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-1SI</w:t>
            </w:r>
          </w:p>
        </w:tc>
        <w:tc>
          <w:tcPr>
            <w:tcW w:w="396" w:type="pct"/>
            <w:tcBorders>
              <w:top w:val="single" w:sz="4" w:space="0" w:color="auto"/>
              <w:left w:val="single" w:sz="4" w:space="0" w:color="auto"/>
              <w:bottom w:val="single" w:sz="4" w:space="0" w:color="auto"/>
              <w:right w:val="single" w:sz="4" w:space="0" w:color="auto"/>
            </w:tcBorders>
            <w:vAlign w:val="center"/>
          </w:tcPr>
          <w:p w14:paraId="0FA9E56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-1SD</w:t>
            </w:r>
          </w:p>
        </w:tc>
        <w:tc>
          <w:tcPr>
            <w:tcW w:w="396" w:type="pct"/>
            <w:tcBorders>
              <w:top w:val="single" w:sz="4" w:space="0" w:color="auto"/>
              <w:left w:val="single" w:sz="4" w:space="0" w:color="auto"/>
              <w:bottom w:val="single" w:sz="4" w:space="0" w:color="auto"/>
              <w:right w:val="single" w:sz="4" w:space="0" w:color="auto"/>
            </w:tcBorders>
            <w:vAlign w:val="center"/>
          </w:tcPr>
          <w:p w14:paraId="03D374D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-1SI</w:t>
            </w:r>
          </w:p>
        </w:tc>
        <w:tc>
          <w:tcPr>
            <w:tcW w:w="396" w:type="pct"/>
            <w:tcBorders>
              <w:top w:val="single" w:sz="4" w:space="0" w:color="auto"/>
              <w:left w:val="single" w:sz="4" w:space="0" w:color="auto"/>
              <w:bottom w:val="single" w:sz="4" w:space="0" w:color="auto"/>
              <w:right w:val="single" w:sz="4" w:space="0" w:color="auto"/>
            </w:tcBorders>
            <w:vAlign w:val="center"/>
          </w:tcPr>
          <w:p w14:paraId="6235572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335E771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4A0AD4F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1C97EE8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49DE284D" w14:textId="77777777">
        <w:trPr>
          <w:jc w:val="center"/>
        </w:trPr>
        <w:tc>
          <w:tcPr>
            <w:tcW w:w="296" w:type="pct"/>
            <w:vMerge w:val="restart"/>
            <w:tcBorders>
              <w:top w:val="single" w:sz="4" w:space="0" w:color="auto"/>
              <w:left w:val="single" w:sz="4" w:space="0" w:color="auto"/>
              <w:bottom w:val="single" w:sz="4" w:space="0" w:color="auto"/>
              <w:right w:val="single" w:sz="4" w:space="0" w:color="auto"/>
            </w:tcBorders>
            <w:vAlign w:val="center"/>
          </w:tcPr>
          <w:p w14:paraId="6A0E9D31" w14:textId="77777777" w:rsidR="002133E3" w:rsidRDefault="00C22CFA">
            <w:pPr>
              <w:widowControl/>
              <w:spacing w:line="24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服务期满后</w:t>
            </w:r>
          </w:p>
        </w:tc>
        <w:tc>
          <w:tcPr>
            <w:tcW w:w="795" w:type="pct"/>
            <w:tcBorders>
              <w:top w:val="single" w:sz="4" w:space="0" w:color="auto"/>
              <w:left w:val="single" w:sz="4" w:space="0" w:color="auto"/>
              <w:bottom w:val="single" w:sz="4" w:space="0" w:color="auto"/>
              <w:right w:val="single" w:sz="4" w:space="0" w:color="auto"/>
            </w:tcBorders>
            <w:vAlign w:val="center"/>
          </w:tcPr>
          <w:p w14:paraId="4DB161AD"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废水排放</w:t>
            </w:r>
          </w:p>
        </w:tc>
        <w:tc>
          <w:tcPr>
            <w:tcW w:w="396" w:type="pct"/>
            <w:tcBorders>
              <w:top w:val="single" w:sz="4" w:space="0" w:color="auto"/>
              <w:left w:val="single" w:sz="4" w:space="0" w:color="auto"/>
              <w:bottom w:val="single" w:sz="4" w:space="0" w:color="auto"/>
              <w:right w:val="single" w:sz="4" w:space="0" w:color="auto"/>
            </w:tcBorders>
            <w:vAlign w:val="center"/>
          </w:tcPr>
          <w:p w14:paraId="28FD13D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0FF02CA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0BEEBA73"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607379D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4915D91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663612B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437985CC"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280EB23C"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56D87A7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41832D5D"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6ABCF759" w14:textId="77777777" w:rsidR="002133E3" w:rsidRDefault="002133E3">
            <w:pPr>
              <w:widowControl/>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6E6A085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废气排放</w:t>
            </w:r>
          </w:p>
        </w:tc>
        <w:tc>
          <w:tcPr>
            <w:tcW w:w="396" w:type="pct"/>
            <w:tcBorders>
              <w:top w:val="single" w:sz="4" w:space="0" w:color="auto"/>
              <w:left w:val="single" w:sz="4" w:space="0" w:color="auto"/>
              <w:bottom w:val="single" w:sz="4" w:space="0" w:color="auto"/>
              <w:right w:val="single" w:sz="4" w:space="0" w:color="auto"/>
            </w:tcBorders>
            <w:vAlign w:val="center"/>
          </w:tcPr>
          <w:p w14:paraId="74CDF65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1C7095F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2635F24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7E9C8DEB"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56FD617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518FE346"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180EC94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0A4B676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09CABB6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156A1F57"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60701A4E" w14:textId="77777777" w:rsidR="002133E3" w:rsidRDefault="002133E3">
            <w:pPr>
              <w:widowControl/>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47AE142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固体废物</w:t>
            </w:r>
          </w:p>
        </w:tc>
        <w:tc>
          <w:tcPr>
            <w:tcW w:w="396" w:type="pct"/>
            <w:tcBorders>
              <w:top w:val="single" w:sz="4" w:space="0" w:color="auto"/>
              <w:left w:val="single" w:sz="4" w:space="0" w:color="auto"/>
              <w:bottom w:val="single" w:sz="4" w:space="0" w:color="auto"/>
              <w:right w:val="single" w:sz="4" w:space="0" w:color="auto"/>
            </w:tcBorders>
            <w:vAlign w:val="center"/>
          </w:tcPr>
          <w:p w14:paraId="7C47F2A2"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6F342237"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3E11917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43056076"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4052627D"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3399242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150D0F11"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3107AE4F"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0EB6C9D8"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r w:rsidR="002133E3" w14:paraId="15771DA5" w14:textId="77777777">
        <w:trPr>
          <w:jc w:val="center"/>
        </w:trPr>
        <w:tc>
          <w:tcPr>
            <w:tcW w:w="296" w:type="pct"/>
            <w:vMerge/>
            <w:tcBorders>
              <w:top w:val="single" w:sz="4" w:space="0" w:color="auto"/>
              <w:left w:val="single" w:sz="4" w:space="0" w:color="auto"/>
              <w:bottom w:val="single" w:sz="4" w:space="0" w:color="auto"/>
              <w:right w:val="single" w:sz="4" w:space="0" w:color="auto"/>
            </w:tcBorders>
            <w:vAlign w:val="center"/>
          </w:tcPr>
          <w:p w14:paraId="2341051A" w14:textId="77777777" w:rsidR="002133E3" w:rsidRDefault="002133E3">
            <w:pPr>
              <w:widowControl/>
              <w:jc w:val="left"/>
              <w:rPr>
                <w:rFonts w:ascii="Times New Roman" w:eastAsia="宋体" w:hAnsi="Times New Roman" w:cs="Times New Roman"/>
                <w:spacing w:val="-6"/>
                <w:kern w:val="0"/>
                <w:szCs w:val="21"/>
              </w:rPr>
            </w:pPr>
          </w:p>
        </w:tc>
        <w:tc>
          <w:tcPr>
            <w:tcW w:w="795" w:type="pct"/>
            <w:tcBorders>
              <w:top w:val="single" w:sz="4" w:space="0" w:color="auto"/>
              <w:left w:val="single" w:sz="4" w:space="0" w:color="auto"/>
              <w:bottom w:val="single" w:sz="4" w:space="0" w:color="auto"/>
              <w:right w:val="single" w:sz="4" w:space="0" w:color="auto"/>
            </w:tcBorders>
            <w:vAlign w:val="center"/>
          </w:tcPr>
          <w:p w14:paraId="106D8EA4"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事故风险</w:t>
            </w:r>
          </w:p>
        </w:tc>
        <w:tc>
          <w:tcPr>
            <w:tcW w:w="396" w:type="pct"/>
            <w:tcBorders>
              <w:top w:val="single" w:sz="4" w:space="0" w:color="auto"/>
              <w:left w:val="single" w:sz="4" w:space="0" w:color="auto"/>
              <w:bottom w:val="single" w:sz="4" w:space="0" w:color="auto"/>
              <w:right w:val="single" w:sz="4" w:space="0" w:color="auto"/>
            </w:tcBorders>
            <w:vAlign w:val="center"/>
          </w:tcPr>
          <w:p w14:paraId="5605D50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38CAA19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6" w:type="pct"/>
            <w:tcBorders>
              <w:top w:val="single" w:sz="4" w:space="0" w:color="auto"/>
              <w:left w:val="single" w:sz="4" w:space="0" w:color="auto"/>
              <w:bottom w:val="single" w:sz="4" w:space="0" w:color="auto"/>
              <w:right w:val="single" w:sz="4" w:space="0" w:color="auto"/>
            </w:tcBorders>
            <w:vAlign w:val="center"/>
          </w:tcPr>
          <w:p w14:paraId="50A63090"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12A1F72E"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6A9464A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96" w:type="pct"/>
            <w:tcBorders>
              <w:top w:val="single" w:sz="4" w:space="0" w:color="auto"/>
              <w:left w:val="single" w:sz="4" w:space="0" w:color="auto"/>
              <w:bottom w:val="single" w:sz="4" w:space="0" w:color="auto"/>
              <w:right w:val="single" w:sz="4" w:space="0" w:color="auto"/>
            </w:tcBorders>
            <w:vAlign w:val="center"/>
          </w:tcPr>
          <w:p w14:paraId="59E5EBFA"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474" w:type="pct"/>
            <w:tcBorders>
              <w:top w:val="single" w:sz="4" w:space="0" w:color="auto"/>
              <w:left w:val="single" w:sz="4" w:space="0" w:color="auto"/>
              <w:bottom w:val="single" w:sz="4" w:space="0" w:color="auto"/>
              <w:right w:val="single" w:sz="4" w:space="0" w:color="auto"/>
            </w:tcBorders>
            <w:vAlign w:val="center"/>
          </w:tcPr>
          <w:p w14:paraId="649AAE15"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342" w:type="pct"/>
            <w:tcBorders>
              <w:top w:val="single" w:sz="4" w:space="0" w:color="auto"/>
              <w:left w:val="single" w:sz="4" w:space="0" w:color="auto"/>
              <w:bottom w:val="single" w:sz="4" w:space="0" w:color="auto"/>
              <w:right w:val="single" w:sz="4" w:space="0" w:color="auto"/>
            </w:tcBorders>
            <w:vAlign w:val="center"/>
          </w:tcPr>
          <w:p w14:paraId="1D155AC9"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c>
          <w:tcPr>
            <w:tcW w:w="558" w:type="pct"/>
            <w:tcBorders>
              <w:top w:val="single" w:sz="4" w:space="0" w:color="auto"/>
              <w:left w:val="single" w:sz="4" w:space="0" w:color="auto"/>
              <w:bottom w:val="single" w:sz="4" w:space="0" w:color="auto"/>
              <w:right w:val="single" w:sz="4" w:space="0" w:color="auto"/>
            </w:tcBorders>
            <w:vAlign w:val="center"/>
          </w:tcPr>
          <w:p w14:paraId="57488DDC" w14:textId="77777777" w:rsidR="002133E3" w:rsidRDefault="00C22CFA">
            <w:pPr>
              <w:widowControl/>
              <w:spacing w:line="280" w:lineRule="exact"/>
              <w:jc w:val="center"/>
              <w:rPr>
                <w:rFonts w:ascii="Times New Roman" w:eastAsia="宋体" w:hAnsi="Times New Roman" w:cs="Times New Roman"/>
                <w:spacing w:val="-6"/>
                <w:kern w:val="0"/>
                <w:szCs w:val="21"/>
              </w:rPr>
            </w:pPr>
            <w:r>
              <w:rPr>
                <w:rFonts w:ascii="Times New Roman" w:eastAsia="宋体" w:hAnsi="Times New Roman" w:cs="Times New Roman"/>
                <w:kern w:val="0"/>
                <w:szCs w:val="21"/>
              </w:rPr>
              <w:t>0</w:t>
            </w:r>
          </w:p>
        </w:tc>
      </w:tr>
    </w:tbl>
    <w:p w14:paraId="15B90BED" w14:textId="77777777" w:rsidR="002133E3" w:rsidRDefault="00C22CFA">
      <w:pPr>
        <w:tabs>
          <w:tab w:val="left" w:pos="1200"/>
          <w:tab w:val="center" w:pos="4620"/>
        </w:tabs>
        <w:jc w:val="left"/>
        <w:rPr>
          <w:rFonts w:ascii="Times New Roman" w:eastAsia="宋体" w:hAnsi="Times New Roman" w:cs="Times New Roman"/>
          <w:spacing w:val="-6"/>
          <w:kern w:val="0"/>
          <w:szCs w:val="21"/>
        </w:rPr>
      </w:pPr>
      <w:r>
        <w:rPr>
          <w:rFonts w:ascii="Times New Roman" w:eastAsia="宋体" w:hAnsi="Times New Roman" w:cs="Times New Roman"/>
          <w:kern w:val="0"/>
          <w:szCs w:val="21"/>
        </w:rPr>
        <w:t>注：</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分别表示有利、不利影响；</w:t>
      </w:r>
      <w:r>
        <w:rPr>
          <w:rFonts w:ascii="Times New Roman" w:eastAsia="宋体" w:hAnsi="Times New Roman" w:cs="Times New Roman"/>
          <w:kern w:val="0"/>
          <w:szCs w:val="21"/>
        </w:rPr>
        <w:t xml:space="preserve"> “0”</w:t>
      </w:r>
      <w:r>
        <w:rPr>
          <w:rFonts w:ascii="Times New Roman" w:eastAsia="宋体" w:hAnsi="Times New Roman" w:cs="Times New Roman"/>
          <w:kern w:val="0"/>
          <w:szCs w:val="21"/>
        </w:rPr>
        <w:t>至</w:t>
      </w:r>
      <w:r>
        <w:rPr>
          <w:rFonts w:ascii="Times New Roman" w:eastAsia="宋体" w:hAnsi="Times New Roman" w:cs="Times New Roman"/>
          <w:kern w:val="0"/>
          <w:szCs w:val="21"/>
        </w:rPr>
        <w:t>“3”</w:t>
      </w:r>
      <w:r>
        <w:rPr>
          <w:rFonts w:ascii="Times New Roman" w:eastAsia="宋体" w:hAnsi="Times New Roman" w:cs="Times New Roman"/>
          <w:kern w:val="0"/>
          <w:szCs w:val="21"/>
        </w:rPr>
        <w:t>数值分别表示无影响、轻微影响、中等影响、重大影响；</w:t>
      </w:r>
      <w:r>
        <w:rPr>
          <w:rFonts w:ascii="Times New Roman" w:eastAsia="宋体" w:hAnsi="Times New Roman" w:cs="Times New Roman"/>
          <w:kern w:val="0"/>
          <w:szCs w:val="21"/>
        </w:rPr>
        <w:t>“L”</w:t>
      </w:r>
      <w:r>
        <w:rPr>
          <w:rFonts w:ascii="Times New Roman" w:eastAsia="宋体" w:hAnsi="Times New Roman" w:cs="Times New Roman"/>
          <w:kern w:val="0"/>
          <w:szCs w:val="21"/>
        </w:rPr>
        <w:t>、</w:t>
      </w:r>
      <w:r>
        <w:rPr>
          <w:rFonts w:ascii="Times New Roman" w:eastAsia="宋体" w:hAnsi="Times New Roman" w:cs="Times New Roman"/>
          <w:kern w:val="0"/>
          <w:szCs w:val="21"/>
        </w:rPr>
        <w:t>“S”</w:t>
      </w:r>
      <w:r>
        <w:rPr>
          <w:rFonts w:ascii="Times New Roman" w:eastAsia="宋体" w:hAnsi="Times New Roman" w:cs="Times New Roman"/>
          <w:kern w:val="0"/>
          <w:szCs w:val="21"/>
        </w:rPr>
        <w:t>分别表示长期、短期影响；</w:t>
      </w:r>
      <w:r>
        <w:rPr>
          <w:rFonts w:ascii="Times New Roman" w:eastAsia="宋体" w:hAnsi="Times New Roman" w:cs="Times New Roman"/>
          <w:kern w:val="0"/>
          <w:szCs w:val="21"/>
        </w:rPr>
        <w:t>“D”</w:t>
      </w:r>
      <w:r>
        <w:rPr>
          <w:rFonts w:ascii="Times New Roman" w:eastAsia="宋体" w:hAnsi="Times New Roman" w:cs="Times New Roman"/>
          <w:kern w:val="0"/>
          <w:szCs w:val="21"/>
        </w:rPr>
        <w:t>、</w:t>
      </w:r>
      <w:r>
        <w:rPr>
          <w:rFonts w:ascii="Times New Roman" w:eastAsia="宋体" w:hAnsi="Times New Roman" w:cs="Times New Roman"/>
          <w:kern w:val="0"/>
          <w:szCs w:val="21"/>
        </w:rPr>
        <w:t>“I”</w:t>
      </w:r>
      <w:r>
        <w:rPr>
          <w:rFonts w:ascii="Times New Roman" w:eastAsia="宋体" w:hAnsi="Times New Roman" w:cs="Times New Roman"/>
          <w:kern w:val="0"/>
          <w:szCs w:val="21"/>
        </w:rPr>
        <w:t>分别表示直接、间接影响。</w:t>
      </w:r>
    </w:p>
    <w:p w14:paraId="770B336C"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由表</w:t>
      </w:r>
      <w:r>
        <w:rPr>
          <w:rFonts w:ascii="Times New Roman" w:eastAsia="宋体" w:hAnsi="Times New Roman" w:cs="Times New Roman"/>
          <w:kern w:val="0"/>
          <w:sz w:val="28"/>
          <w:szCs w:val="28"/>
        </w:rPr>
        <w:t>2.3-1</w:t>
      </w:r>
      <w:r>
        <w:rPr>
          <w:rFonts w:ascii="Times New Roman" w:eastAsia="宋体" w:hAnsi="Times New Roman" w:cs="Times New Roman"/>
          <w:kern w:val="0"/>
          <w:sz w:val="28"/>
          <w:szCs w:val="28"/>
        </w:rPr>
        <w:t>可以看出：工程营运期排放的废气、废水、固废和噪声等将对环</w:t>
      </w:r>
      <w:r>
        <w:rPr>
          <w:rFonts w:ascii="Times New Roman" w:eastAsia="宋体" w:hAnsi="Times New Roman" w:cs="Times New Roman"/>
          <w:kern w:val="0"/>
          <w:sz w:val="28"/>
          <w:szCs w:val="28"/>
        </w:rPr>
        <w:lastRenderedPageBreak/>
        <w:t>境产生长期不利影响。</w:t>
      </w:r>
    </w:p>
    <w:p w14:paraId="03C0BC83"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通过上述环境影响因素识别，根据工程营运期产生的不利长期环境影响，评价将进行详细预测分析，提出有效的污染防治措施，将不利影响降至最低程度，使工程建设实现经济、社会和环境效益的统一。</w:t>
      </w:r>
    </w:p>
    <w:p w14:paraId="140C8DE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评价因子筛选</w:t>
      </w:r>
    </w:p>
    <w:p w14:paraId="40ABFBF5" w14:textId="77777777" w:rsidR="002133E3" w:rsidRDefault="00C22CFA">
      <w:pPr>
        <w:spacing w:line="500" w:lineRule="exact"/>
        <w:ind w:firstLineChars="200" w:firstLine="560"/>
        <w:rPr>
          <w:rFonts w:ascii="Times New Roman" w:eastAsia="宋体" w:hAnsi="Times New Roman" w:cs="Times New Roman"/>
          <w:kern w:val="0"/>
          <w:szCs w:val="21"/>
        </w:rPr>
      </w:pPr>
      <w:r>
        <w:rPr>
          <w:rFonts w:ascii="Times New Roman" w:eastAsia="宋体" w:hAnsi="Times New Roman" w:cs="Times New Roman"/>
          <w:kern w:val="0"/>
          <w:sz w:val="28"/>
          <w:szCs w:val="20"/>
        </w:rPr>
        <w:t>项目各评价因子</w:t>
      </w:r>
      <w:r>
        <w:rPr>
          <w:rFonts w:ascii="Times New Roman" w:eastAsia="宋体" w:hAnsi="Times New Roman" w:cs="Times New Roman"/>
          <w:kern w:val="0"/>
          <w:sz w:val="28"/>
          <w:szCs w:val="28"/>
        </w:rPr>
        <w:t>情况</w:t>
      </w:r>
      <w:r>
        <w:rPr>
          <w:rFonts w:ascii="Times New Roman" w:eastAsia="宋体" w:hAnsi="Times New Roman" w:cs="Times New Roman"/>
          <w:kern w:val="0"/>
          <w:sz w:val="28"/>
          <w:szCs w:val="20"/>
        </w:rPr>
        <w:t>汇总见表</w:t>
      </w:r>
      <w:r>
        <w:rPr>
          <w:rFonts w:ascii="Times New Roman" w:eastAsia="宋体" w:hAnsi="Times New Roman" w:cs="Times New Roman"/>
          <w:kern w:val="0"/>
          <w:sz w:val="28"/>
          <w:szCs w:val="20"/>
        </w:rPr>
        <w:t>2.2-2</w:t>
      </w:r>
      <w:r>
        <w:rPr>
          <w:rFonts w:ascii="Times New Roman" w:eastAsia="宋体" w:hAnsi="Times New Roman" w:cs="Times New Roman"/>
          <w:kern w:val="0"/>
          <w:sz w:val="28"/>
          <w:szCs w:val="20"/>
        </w:rPr>
        <w:t>。</w:t>
      </w:r>
    </w:p>
    <w:p w14:paraId="20EDAC37" w14:textId="77777777" w:rsidR="002133E3" w:rsidRDefault="00C22CFA">
      <w:pPr>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2.2-2   </w:t>
      </w:r>
      <w:r>
        <w:rPr>
          <w:rFonts w:ascii="Times New Roman" w:eastAsia="宋体" w:hAnsi="Times New Roman" w:cs="Times New Roman"/>
          <w:b/>
          <w:kern w:val="0"/>
          <w:sz w:val="24"/>
          <w:szCs w:val="24"/>
        </w:rPr>
        <w:t>评价因子一览表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8"/>
        <w:gridCol w:w="3812"/>
        <w:gridCol w:w="2730"/>
        <w:gridCol w:w="2134"/>
      </w:tblGrid>
      <w:tr w:rsidR="002133E3" w14:paraId="1680B67D" w14:textId="77777777">
        <w:tc>
          <w:tcPr>
            <w:tcW w:w="598" w:type="pct"/>
            <w:vAlign w:val="center"/>
          </w:tcPr>
          <w:p w14:paraId="58F47506"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环境因素</w:t>
            </w:r>
          </w:p>
        </w:tc>
        <w:tc>
          <w:tcPr>
            <w:tcW w:w="1934" w:type="pct"/>
            <w:vAlign w:val="center"/>
          </w:tcPr>
          <w:p w14:paraId="353A461D"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现状评价因子</w:t>
            </w:r>
          </w:p>
        </w:tc>
        <w:tc>
          <w:tcPr>
            <w:tcW w:w="1385" w:type="pct"/>
            <w:vAlign w:val="center"/>
          </w:tcPr>
          <w:p w14:paraId="17A0A5B2"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影响评价因子</w:t>
            </w:r>
          </w:p>
        </w:tc>
        <w:tc>
          <w:tcPr>
            <w:tcW w:w="1083" w:type="pct"/>
            <w:vAlign w:val="center"/>
          </w:tcPr>
          <w:p w14:paraId="09016B5E"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总量控制因子</w:t>
            </w:r>
          </w:p>
        </w:tc>
      </w:tr>
      <w:tr w:rsidR="002133E3" w14:paraId="14DE392E" w14:textId="77777777">
        <w:tc>
          <w:tcPr>
            <w:tcW w:w="598" w:type="pct"/>
            <w:vAlign w:val="center"/>
          </w:tcPr>
          <w:p w14:paraId="62E59BD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1934" w:type="pct"/>
            <w:vAlign w:val="center"/>
          </w:tcPr>
          <w:p w14:paraId="1D99984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SO2</w:t>
            </w:r>
            <w:r>
              <w:rPr>
                <w:rFonts w:ascii="Times New Roman" w:eastAsia="宋体" w:hAnsi="Times New Roman" w:cs="Times New Roman"/>
                <w:kern w:val="0"/>
                <w:szCs w:val="21"/>
              </w:rPr>
              <w:t>、</w:t>
            </w:r>
            <w:r>
              <w:rPr>
                <w:rFonts w:ascii="Times New Roman" w:eastAsia="宋体" w:hAnsi="Times New Roman" w:cs="Times New Roman"/>
                <w:kern w:val="0"/>
                <w:szCs w:val="21"/>
              </w:rPr>
              <w:t>NO2</w:t>
            </w:r>
            <w:r>
              <w:rPr>
                <w:rFonts w:ascii="Times New Roman" w:eastAsia="宋体" w:hAnsi="Times New Roman" w:cs="Times New Roman"/>
                <w:kern w:val="0"/>
                <w:szCs w:val="21"/>
              </w:rPr>
              <w:t>、臭氧、</w:t>
            </w:r>
            <w:r>
              <w:rPr>
                <w:rFonts w:ascii="Times New Roman" w:eastAsia="宋体" w:hAnsi="Times New Roman" w:cs="Times New Roman"/>
                <w:kern w:val="0"/>
                <w:szCs w:val="21"/>
              </w:rPr>
              <w:t>CO</w:t>
            </w:r>
            <w:r>
              <w:rPr>
                <w:rFonts w:ascii="Times New Roman" w:eastAsia="宋体" w:hAnsi="Times New Roman" w:cs="Times New Roman"/>
                <w:kern w:val="0"/>
                <w:szCs w:val="21"/>
              </w:rPr>
              <w:t>、</w:t>
            </w:r>
            <w:r>
              <w:rPr>
                <w:rFonts w:ascii="Times New Roman" w:eastAsia="宋体" w:hAnsi="Times New Roman" w:cs="Times New Roman"/>
                <w:kern w:val="0"/>
                <w:szCs w:val="21"/>
              </w:rPr>
              <w:t>PM10</w:t>
            </w:r>
            <w:r>
              <w:rPr>
                <w:rFonts w:ascii="Times New Roman" w:eastAsia="宋体" w:hAnsi="Times New Roman" w:cs="Times New Roman"/>
                <w:kern w:val="0"/>
                <w:szCs w:val="21"/>
              </w:rPr>
              <w:t>、</w:t>
            </w:r>
            <w:r>
              <w:rPr>
                <w:rFonts w:ascii="Times New Roman" w:eastAsia="宋体" w:hAnsi="Times New Roman" w:cs="Times New Roman"/>
                <w:kern w:val="0"/>
                <w:szCs w:val="21"/>
              </w:rPr>
              <w:t>PM2.5</w:t>
            </w:r>
            <w:r>
              <w:rPr>
                <w:rFonts w:ascii="Times New Roman" w:eastAsia="宋体" w:hAnsi="Times New Roman" w:cs="Times New Roman"/>
                <w:kern w:val="0"/>
                <w:szCs w:val="21"/>
              </w:rPr>
              <w:t>、</w:t>
            </w:r>
            <w:r>
              <w:rPr>
                <w:rFonts w:ascii="Times New Roman" w:eastAsia="宋体" w:hAnsi="Times New Roman" w:cs="Times New Roman"/>
                <w:kern w:val="0"/>
                <w:szCs w:val="21"/>
              </w:rPr>
              <w:t>TSP</w:t>
            </w:r>
            <w:r>
              <w:rPr>
                <w:rFonts w:ascii="Times New Roman" w:eastAsia="宋体" w:hAnsi="Times New Roman" w:cs="Times New Roman"/>
                <w:kern w:val="0"/>
                <w:szCs w:val="21"/>
              </w:rPr>
              <w:t>、甲醇、乙醇、挥发性有机物</w:t>
            </w:r>
          </w:p>
        </w:tc>
        <w:tc>
          <w:tcPr>
            <w:tcW w:w="1385" w:type="pct"/>
            <w:vAlign w:val="center"/>
          </w:tcPr>
          <w:p w14:paraId="28737C3D" w14:textId="77777777" w:rsidR="002133E3" w:rsidRDefault="00C22CFA">
            <w:pPr>
              <w:spacing w:line="26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有组织：</w:t>
            </w:r>
            <w:r>
              <w:rPr>
                <w:rFonts w:ascii="Times New Roman" w:eastAsia="宋体" w:hAnsi="Times New Roman" w:cs="Times New Roman"/>
                <w:kern w:val="0"/>
                <w:szCs w:val="21"/>
              </w:rPr>
              <w:t>TSP</w:t>
            </w:r>
            <w:r>
              <w:rPr>
                <w:rFonts w:ascii="Times New Roman" w:eastAsia="宋体" w:hAnsi="Times New Roman" w:cs="Times New Roman"/>
                <w:kern w:val="0"/>
                <w:szCs w:val="21"/>
              </w:rPr>
              <w:t>、甲醇、乙醇、挥发性有机物；</w:t>
            </w:r>
          </w:p>
          <w:p w14:paraId="7171FC9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无组织：</w:t>
            </w:r>
            <w:r>
              <w:rPr>
                <w:rFonts w:ascii="Times New Roman" w:eastAsia="宋体" w:hAnsi="Times New Roman" w:cs="Times New Roman"/>
                <w:kern w:val="0"/>
                <w:szCs w:val="21"/>
              </w:rPr>
              <w:t>TSP</w:t>
            </w:r>
            <w:r>
              <w:rPr>
                <w:rFonts w:ascii="Times New Roman" w:eastAsia="宋体" w:hAnsi="Times New Roman" w:cs="Times New Roman"/>
                <w:kern w:val="0"/>
                <w:szCs w:val="21"/>
              </w:rPr>
              <w:t>、甲醇、乙醇、挥发性有机物</w:t>
            </w:r>
          </w:p>
        </w:tc>
        <w:tc>
          <w:tcPr>
            <w:tcW w:w="1083" w:type="pct"/>
            <w:vAlign w:val="center"/>
          </w:tcPr>
          <w:p w14:paraId="3CF3EAD2" w14:textId="77777777" w:rsidR="002133E3" w:rsidRDefault="00C22CFA">
            <w:pPr>
              <w:spacing w:line="2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总量控制因子：挥发性有机物；</w:t>
            </w:r>
          </w:p>
          <w:p w14:paraId="74845C84" w14:textId="77777777" w:rsidR="002133E3" w:rsidRDefault="00C22CFA">
            <w:pPr>
              <w:spacing w:line="2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监控因子：</w:t>
            </w:r>
            <w:r>
              <w:rPr>
                <w:rFonts w:ascii="Times New Roman" w:eastAsia="宋体" w:hAnsi="Times New Roman" w:cs="Times New Roman"/>
                <w:kern w:val="0"/>
                <w:szCs w:val="21"/>
              </w:rPr>
              <w:t>TSP</w:t>
            </w:r>
            <w:r>
              <w:rPr>
                <w:rFonts w:ascii="Times New Roman" w:eastAsia="宋体" w:hAnsi="Times New Roman" w:cs="Times New Roman"/>
                <w:kern w:val="0"/>
                <w:szCs w:val="21"/>
              </w:rPr>
              <w:t>、甲醇、乙醇</w:t>
            </w:r>
          </w:p>
        </w:tc>
      </w:tr>
      <w:tr w:rsidR="002133E3" w14:paraId="7894CF81" w14:textId="77777777">
        <w:tc>
          <w:tcPr>
            <w:tcW w:w="598" w:type="pct"/>
            <w:vAlign w:val="center"/>
          </w:tcPr>
          <w:p w14:paraId="2C444BB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水环境</w:t>
            </w:r>
          </w:p>
        </w:tc>
        <w:tc>
          <w:tcPr>
            <w:tcW w:w="1934" w:type="pct"/>
            <w:vAlign w:val="center"/>
          </w:tcPr>
          <w:p w14:paraId="53187EB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地表水：</w:t>
            </w:r>
            <w:r>
              <w:rPr>
                <w:rFonts w:ascii="Times New Roman" w:eastAsia="宋体" w:hAnsi="Times New Roman" w:cs="Times New Roman"/>
                <w:kern w:val="0"/>
                <w:szCs w:val="21"/>
              </w:rPr>
              <w:t>pH</w:t>
            </w:r>
            <w:r>
              <w:rPr>
                <w:rFonts w:ascii="Times New Roman" w:eastAsia="宋体" w:hAnsi="Times New Roman" w:cs="Times New Roman"/>
                <w:kern w:val="0"/>
                <w:szCs w:val="21"/>
              </w:rPr>
              <w:t>、</w:t>
            </w:r>
            <w:r>
              <w:rPr>
                <w:rFonts w:ascii="Times New Roman" w:eastAsia="宋体" w:hAnsi="Times New Roman" w:cs="Times New Roman"/>
                <w:kern w:val="0"/>
                <w:szCs w:val="21"/>
              </w:rPr>
              <w:t>COD</w:t>
            </w:r>
            <w:r>
              <w:rPr>
                <w:rFonts w:ascii="Times New Roman" w:eastAsia="宋体" w:hAnsi="Times New Roman" w:cs="Times New Roman"/>
                <w:kern w:val="0"/>
                <w:szCs w:val="21"/>
              </w:rPr>
              <w:t>、氨氮、</w:t>
            </w:r>
            <w:r>
              <w:rPr>
                <w:rFonts w:ascii="Times New Roman" w:eastAsia="宋体" w:hAnsi="Times New Roman" w:cs="Times New Roman"/>
                <w:kern w:val="0"/>
                <w:szCs w:val="21"/>
              </w:rPr>
              <w:t>SS</w:t>
            </w:r>
            <w:r>
              <w:rPr>
                <w:rFonts w:ascii="Times New Roman" w:eastAsia="宋体" w:hAnsi="Times New Roman" w:cs="Times New Roman"/>
                <w:kern w:val="0"/>
                <w:szCs w:val="21"/>
              </w:rPr>
              <w:t>、总磷、总氮</w:t>
            </w:r>
          </w:p>
        </w:tc>
        <w:tc>
          <w:tcPr>
            <w:tcW w:w="1385" w:type="pct"/>
            <w:vAlign w:val="center"/>
          </w:tcPr>
          <w:p w14:paraId="6DC151B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83" w:type="pct"/>
            <w:vAlign w:val="center"/>
          </w:tcPr>
          <w:p w14:paraId="2C69F97C" w14:textId="77777777" w:rsidR="002133E3" w:rsidRDefault="00C22CFA">
            <w:pPr>
              <w:spacing w:line="2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总量控制因子：</w:t>
            </w:r>
            <w:r>
              <w:rPr>
                <w:rFonts w:ascii="Times New Roman" w:eastAsia="宋体" w:hAnsi="Times New Roman" w:cs="Times New Roman"/>
                <w:kern w:val="0"/>
                <w:szCs w:val="21"/>
              </w:rPr>
              <w:t>COD</w:t>
            </w:r>
            <w:r>
              <w:rPr>
                <w:rFonts w:ascii="Times New Roman" w:eastAsia="宋体" w:hAnsi="Times New Roman" w:cs="Times New Roman"/>
                <w:kern w:val="0"/>
                <w:szCs w:val="21"/>
              </w:rPr>
              <w:t>、氨氮、总磷、总氮；监控因子：</w:t>
            </w:r>
            <w:r>
              <w:rPr>
                <w:rFonts w:ascii="Times New Roman" w:eastAsia="宋体" w:hAnsi="Times New Roman" w:cs="Times New Roman"/>
                <w:kern w:val="0"/>
                <w:szCs w:val="21"/>
              </w:rPr>
              <w:t>SS</w:t>
            </w:r>
            <w:r>
              <w:rPr>
                <w:rFonts w:ascii="Times New Roman" w:eastAsia="宋体" w:hAnsi="Times New Roman" w:cs="Times New Roman"/>
                <w:kern w:val="0"/>
                <w:szCs w:val="21"/>
              </w:rPr>
              <w:t>、乙醇、盐分</w:t>
            </w:r>
          </w:p>
        </w:tc>
      </w:tr>
      <w:tr w:rsidR="002133E3" w14:paraId="660F960D" w14:textId="77777777">
        <w:tc>
          <w:tcPr>
            <w:tcW w:w="598" w:type="pct"/>
            <w:vAlign w:val="center"/>
          </w:tcPr>
          <w:p w14:paraId="7FE9704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噪声</w:t>
            </w:r>
          </w:p>
        </w:tc>
        <w:tc>
          <w:tcPr>
            <w:tcW w:w="1934" w:type="pct"/>
            <w:vAlign w:val="center"/>
          </w:tcPr>
          <w:p w14:paraId="39868EF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等效</w:t>
            </w:r>
            <w:r>
              <w:rPr>
                <w:rFonts w:ascii="Times New Roman" w:eastAsia="宋体" w:hAnsi="Times New Roman" w:cs="Times New Roman"/>
                <w:kern w:val="0"/>
                <w:szCs w:val="21"/>
              </w:rPr>
              <w:t>A</w:t>
            </w:r>
            <w:r>
              <w:rPr>
                <w:rFonts w:ascii="Times New Roman" w:eastAsia="宋体" w:hAnsi="Times New Roman" w:cs="Times New Roman"/>
                <w:kern w:val="0"/>
                <w:szCs w:val="21"/>
              </w:rPr>
              <w:t>声级</w:t>
            </w:r>
          </w:p>
        </w:tc>
        <w:tc>
          <w:tcPr>
            <w:tcW w:w="1385" w:type="pct"/>
            <w:vAlign w:val="center"/>
          </w:tcPr>
          <w:p w14:paraId="7A288FB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等效</w:t>
            </w:r>
            <w:r>
              <w:rPr>
                <w:rFonts w:ascii="Times New Roman" w:eastAsia="宋体" w:hAnsi="Times New Roman" w:cs="Times New Roman"/>
                <w:kern w:val="0"/>
                <w:szCs w:val="21"/>
              </w:rPr>
              <w:t>A</w:t>
            </w:r>
            <w:r>
              <w:rPr>
                <w:rFonts w:ascii="Times New Roman" w:eastAsia="宋体" w:hAnsi="Times New Roman" w:cs="Times New Roman"/>
                <w:kern w:val="0"/>
                <w:szCs w:val="21"/>
              </w:rPr>
              <w:t>声级</w:t>
            </w:r>
          </w:p>
        </w:tc>
        <w:tc>
          <w:tcPr>
            <w:tcW w:w="1083" w:type="pct"/>
            <w:vAlign w:val="center"/>
          </w:tcPr>
          <w:p w14:paraId="011D8F50" w14:textId="77777777" w:rsidR="002133E3" w:rsidRDefault="00C22CFA">
            <w:pPr>
              <w:spacing w:line="2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4FD6B8E" w14:textId="77777777">
        <w:tc>
          <w:tcPr>
            <w:tcW w:w="598" w:type="pct"/>
            <w:vAlign w:val="center"/>
          </w:tcPr>
          <w:p w14:paraId="7EFC4E1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土壤</w:t>
            </w:r>
          </w:p>
        </w:tc>
        <w:tc>
          <w:tcPr>
            <w:tcW w:w="1934" w:type="pct"/>
            <w:vAlign w:val="center"/>
          </w:tcPr>
          <w:p w14:paraId="304C6D5F" w14:textId="77777777" w:rsidR="002133E3" w:rsidRDefault="00C22CFA">
            <w:pPr>
              <w:spacing w:line="2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、阳离子交换量、镉、汞、砷、铜、铅、镍、六价铬、四氯化碳、四氯化碳、氯仿、氯甲烷、</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二氯乙烷、</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二氯乙烷、</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二氯乙烯、顺</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二氯乙烯、反</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二氯乙烯、二氯甲烷、</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二氯丙烷、</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四氯乙烷、</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四氯乙烷、四氯乙烯、</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三氯乙烷、</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三氯乙烷、三氯乙烯、苯、氯苯、</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二氯苯、</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4-</w:t>
            </w:r>
            <w:r>
              <w:rPr>
                <w:rFonts w:ascii="Times New Roman" w:eastAsia="宋体" w:hAnsi="Times New Roman" w:cs="Times New Roman"/>
                <w:kern w:val="0"/>
                <w:szCs w:val="21"/>
              </w:rPr>
              <w:t>二氯苯、乙苯、苯乙烯、甲苯、间二甲苯</w:t>
            </w:r>
            <w:r>
              <w:rPr>
                <w:rFonts w:ascii="Times New Roman" w:eastAsia="宋体" w:hAnsi="Times New Roman" w:cs="Times New Roman"/>
                <w:kern w:val="0"/>
                <w:szCs w:val="21"/>
              </w:rPr>
              <w:t>+</w:t>
            </w:r>
            <w:r>
              <w:rPr>
                <w:rFonts w:ascii="Times New Roman" w:eastAsia="宋体" w:hAnsi="Times New Roman" w:cs="Times New Roman"/>
                <w:kern w:val="0"/>
                <w:szCs w:val="21"/>
              </w:rPr>
              <w:t>对二甲苯、邻二甲苯、硝基苯、苯胺、</w:t>
            </w:r>
            <w:r>
              <w:rPr>
                <w:rFonts w:ascii="Times New Roman" w:eastAsia="宋体" w:hAnsi="Times New Roman" w:cs="Times New Roman"/>
                <w:kern w:val="0"/>
                <w:szCs w:val="21"/>
              </w:rPr>
              <w:t>2-</w:t>
            </w:r>
            <w:r>
              <w:rPr>
                <w:rFonts w:ascii="Times New Roman" w:eastAsia="宋体" w:hAnsi="Times New Roman" w:cs="Times New Roman"/>
                <w:kern w:val="0"/>
                <w:szCs w:val="21"/>
              </w:rPr>
              <w:t>氯酚、苯并</w:t>
            </w:r>
            <w:r>
              <w:rPr>
                <w:rFonts w:ascii="Times New Roman" w:eastAsia="宋体" w:hAnsi="Times New Roman" w:cs="Times New Roman"/>
                <w:kern w:val="0"/>
                <w:szCs w:val="21"/>
              </w:rPr>
              <w:t>[ɑ]</w:t>
            </w:r>
            <w:r>
              <w:rPr>
                <w:rFonts w:ascii="Times New Roman" w:eastAsia="宋体" w:hAnsi="Times New Roman" w:cs="Times New Roman"/>
                <w:kern w:val="0"/>
                <w:szCs w:val="21"/>
              </w:rPr>
              <w:t>蒽、苯并</w:t>
            </w:r>
            <w:r>
              <w:rPr>
                <w:rFonts w:ascii="Times New Roman" w:eastAsia="宋体" w:hAnsi="Times New Roman" w:cs="Times New Roman"/>
                <w:kern w:val="0"/>
                <w:szCs w:val="21"/>
              </w:rPr>
              <w:t>[ɑ]</w:t>
            </w:r>
            <w:r>
              <w:rPr>
                <w:rFonts w:ascii="Times New Roman" w:eastAsia="宋体" w:hAnsi="Times New Roman" w:cs="Times New Roman"/>
                <w:kern w:val="0"/>
                <w:szCs w:val="21"/>
              </w:rPr>
              <w:t>芘、苯并</w:t>
            </w:r>
            <w:r>
              <w:rPr>
                <w:rFonts w:ascii="Times New Roman" w:eastAsia="宋体" w:hAnsi="Times New Roman" w:cs="Times New Roman"/>
                <w:kern w:val="0"/>
                <w:szCs w:val="21"/>
              </w:rPr>
              <w:t>[b]</w:t>
            </w:r>
            <w:r>
              <w:rPr>
                <w:rFonts w:ascii="Times New Roman" w:eastAsia="宋体" w:hAnsi="Times New Roman" w:cs="Times New Roman"/>
                <w:kern w:val="0"/>
                <w:szCs w:val="21"/>
              </w:rPr>
              <w:t>荧蒽、苯并</w:t>
            </w:r>
            <w:r>
              <w:rPr>
                <w:rFonts w:ascii="Times New Roman" w:eastAsia="宋体" w:hAnsi="Times New Roman" w:cs="Times New Roman"/>
                <w:kern w:val="0"/>
                <w:szCs w:val="21"/>
              </w:rPr>
              <w:t>[k]</w:t>
            </w:r>
            <w:r>
              <w:rPr>
                <w:rFonts w:ascii="Times New Roman" w:eastAsia="宋体" w:hAnsi="Times New Roman" w:cs="Times New Roman"/>
                <w:kern w:val="0"/>
                <w:szCs w:val="21"/>
              </w:rPr>
              <w:t>荧蒽、䓛、二苯并</w:t>
            </w:r>
            <w:r>
              <w:rPr>
                <w:rFonts w:ascii="Times New Roman" w:eastAsia="宋体" w:hAnsi="Times New Roman" w:cs="Times New Roman"/>
                <w:kern w:val="0"/>
                <w:szCs w:val="21"/>
              </w:rPr>
              <w:t>[ɑ</w:t>
            </w:r>
            <w:r>
              <w:rPr>
                <w:rFonts w:ascii="Times New Roman" w:eastAsia="宋体" w:hAnsi="Times New Roman" w:cs="Times New Roman"/>
                <w:kern w:val="0"/>
                <w:szCs w:val="21"/>
              </w:rPr>
              <w:t>，</w:t>
            </w:r>
            <w:r>
              <w:rPr>
                <w:rFonts w:ascii="Times New Roman" w:eastAsia="宋体" w:hAnsi="Times New Roman" w:cs="Times New Roman"/>
                <w:kern w:val="0"/>
                <w:szCs w:val="21"/>
              </w:rPr>
              <w:t>h]</w:t>
            </w:r>
            <w:r>
              <w:rPr>
                <w:rFonts w:ascii="Times New Roman" w:eastAsia="宋体" w:hAnsi="Times New Roman" w:cs="Times New Roman"/>
                <w:kern w:val="0"/>
                <w:szCs w:val="21"/>
              </w:rPr>
              <w:t>蒽、茚并</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w:t>
            </w:r>
            <w:r>
              <w:rPr>
                <w:rFonts w:ascii="Times New Roman" w:eastAsia="宋体" w:hAnsi="Times New Roman" w:cs="Times New Roman"/>
                <w:kern w:val="0"/>
                <w:szCs w:val="21"/>
              </w:rPr>
              <w:t>3-cd]</w:t>
            </w:r>
            <w:r>
              <w:rPr>
                <w:rFonts w:ascii="Times New Roman" w:eastAsia="宋体" w:hAnsi="Times New Roman" w:cs="Times New Roman"/>
                <w:kern w:val="0"/>
                <w:szCs w:val="21"/>
              </w:rPr>
              <w:t>芘、萘、</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w:t>
            </w:r>
            <w:r>
              <w:rPr>
                <w:rFonts w:ascii="Times New Roman" w:eastAsia="宋体" w:hAnsi="Times New Roman" w:cs="Times New Roman"/>
                <w:kern w:val="0"/>
                <w:szCs w:val="21"/>
              </w:rPr>
              <w:t>3-</w:t>
            </w:r>
            <w:r>
              <w:rPr>
                <w:rFonts w:ascii="Times New Roman" w:eastAsia="宋体" w:hAnsi="Times New Roman" w:cs="Times New Roman"/>
                <w:kern w:val="0"/>
                <w:szCs w:val="21"/>
              </w:rPr>
              <w:t>三氯丙烷、氯乙烯</w:t>
            </w:r>
          </w:p>
        </w:tc>
        <w:tc>
          <w:tcPr>
            <w:tcW w:w="1385" w:type="pct"/>
            <w:vAlign w:val="center"/>
          </w:tcPr>
          <w:p w14:paraId="7F0CA52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83" w:type="pct"/>
            <w:vAlign w:val="center"/>
          </w:tcPr>
          <w:p w14:paraId="2328F2F5" w14:textId="77777777" w:rsidR="002133E3" w:rsidRDefault="00C22CFA">
            <w:pPr>
              <w:spacing w:line="2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E289E76" w14:textId="77777777">
        <w:tc>
          <w:tcPr>
            <w:tcW w:w="598" w:type="pct"/>
            <w:vAlign w:val="center"/>
          </w:tcPr>
          <w:p w14:paraId="39141C8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地下水</w:t>
            </w:r>
          </w:p>
        </w:tc>
        <w:tc>
          <w:tcPr>
            <w:tcW w:w="1934" w:type="pct"/>
            <w:vAlign w:val="center"/>
          </w:tcPr>
          <w:p w14:paraId="539716E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pH</w:t>
            </w:r>
            <w:r>
              <w:rPr>
                <w:rFonts w:ascii="Times New Roman" w:eastAsia="宋体" w:hAnsi="Times New Roman" w:cs="Times New Roman"/>
                <w:szCs w:val="21"/>
              </w:rPr>
              <w:t>值、钾、钠、钙、镁、碳酸根、重碳酸根、氯化物、硫酸盐、氨氮、硝酸盐氮、亚硝酸盐氮、挥发酚、氰化物、砷、汞、六价铬、总硬度、铅、氟化物、铁、锰、镉、溶解性总固体、耗氧量</w:t>
            </w:r>
          </w:p>
        </w:tc>
        <w:tc>
          <w:tcPr>
            <w:tcW w:w="1385" w:type="pct"/>
            <w:vAlign w:val="center"/>
          </w:tcPr>
          <w:p w14:paraId="6657383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耗氧量</w:t>
            </w:r>
          </w:p>
        </w:tc>
        <w:tc>
          <w:tcPr>
            <w:tcW w:w="1083" w:type="pct"/>
            <w:vAlign w:val="center"/>
          </w:tcPr>
          <w:p w14:paraId="3B13B58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31DA2DBD" w14:textId="77777777">
        <w:tc>
          <w:tcPr>
            <w:tcW w:w="598" w:type="pct"/>
            <w:vAlign w:val="center"/>
          </w:tcPr>
          <w:p w14:paraId="7754169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固体废物</w:t>
            </w:r>
          </w:p>
        </w:tc>
        <w:tc>
          <w:tcPr>
            <w:tcW w:w="1934" w:type="pct"/>
            <w:vAlign w:val="center"/>
          </w:tcPr>
          <w:p w14:paraId="6FF2A2B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385" w:type="pct"/>
            <w:vAlign w:val="center"/>
          </w:tcPr>
          <w:p w14:paraId="4A5887C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83" w:type="pct"/>
            <w:vAlign w:val="center"/>
          </w:tcPr>
          <w:p w14:paraId="415D42D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固体废物排放量</w:t>
            </w:r>
          </w:p>
        </w:tc>
      </w:tr>
      <w:tr w:rsidR="002133E3" w14:paraId="41A29AD9" w14:textId="77777777">
        <w:trPr>
          <w:trHeight w:val="231"/>
        </w:trPr>
        <w:tc>
          <w:tcPr>
            <w:tcW w:w="598" w:type="pct"/>
            <w:vAlign w:val="center"/>
          </w:tcPr>
          <w:p w14:paraId="1A197A4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风险评价</w:t>
            </w:r>
          </w:p>
        </w:tc>
        <w:tc>
          <w:tcPr>
            <w:tcW w:w="1934" w:type="pct"/>
            <w:vAlign w:val="center"/>
          </w:tcPr>
          <w:p w14:paraId="5E74249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385" w:type="pct"/>
            <w:vAlign w:val="center"/>
          </w:tcPr>
          <w:p w14:paraId="28ABD2C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大气风险：硫酸、</w:t>
            </w:r>
            <w:r>
              <w:rPr>
                <w:rFonts w:ascii="Times New Roman" w:eastAsia="宋体" w:hAnsi="Times New Roman" w:cs="Times New Roman"/>
                <w:kern w:val="0"/>
                <w:szCs w:val="21"/>
              </w:rPr>
              <w:t>CO</w:t>
            </w:r>
            <w:r>
              <w:rPr>
                <w:rFonts w:ascii="Times New Roman" w:eastAsia="宋体" w:hAnsi="Times New Roman" w:cs="Times New Roman"/>
                <w:kern w:val="0"/>
                <w:szCs w:val="21"/>
              </w:rPr>
              <w:t>、</w:t>
            </w: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p>
        </w:tc>
        <w:tc>
          <w:tcPr>
            <w:tcW w:w="1083" w:type="pct"/>
            <w:vAlign w:val="center"/>
          </w:tcPr>
          <w:p w14:paraId="62C1D8A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6D8EB4DD" w14:textId="77777777">
        <w:trPr>
          <w:trHeight w:val="157"/>
        </w:trPr>
        <w:tc>
          <w:tcPr>
            <w:tcW w:w="598" w:type="pct"/>
            <w:vAlign w:val="center"/>
          </w:tcPr>
          <w:p w14:paraId="161B588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生态</w:t>
            </w:r>
          </w:p>
        </w:tc>
        <w:tc>
          <w:tcPr>
            <w:tcW w:w="1934" w:type="pct"/>
            <w:vAlign w:val="center"/>
          </w:tcPr>
          <w:p w14:paraId="32207A94"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385" w:type="pct"/>
            <w:vAlign w:val="center"/>
          </w:tcPr>
          <w:p w14:paraId="230B4E71"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动植物资源、生态敏感区</w:t>
            </w:r>
          </w:p>
        </w:tc>
        <w:tc>
          <w:tcPr>
            <w:tcW w:w="1083" w:type="pct"/>
            <w:vAlign w:val="center"/>
          </w:tcPr>
          <w:p w14:paraId="03CD1441"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bl>
    <w:p w14:paraId="16BD656B"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11" w:name="_Toc47604315"/>
      <w:r>
        <w:rPr>
          <w:rFonts w:ascii="Times New Roman" w:eastAsia="宋体" w:hAnsi="Times New Roman" w:cs="Times New Roman"/>
          <w:b/>
          <w:sz w:val="30"/>
          <w:szCs w:val="30"/>
        </w:rPr>
        <w:t>评价工作等级与评价重点</w:t>
      </w:r>
      <w:bookmarkEnd w:id="11"/>
    </w:p>
    <w:p w14:paraId="7AE8795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评价工作等级</w:t>
      </w:r>
    </w:p>
    <w:p w14:paraId="4383AC50"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大气</w:t>
      </w:r>
    </w:p>
    <w:p w14:paraId="2D764B69"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大气评价工作等级划分依据见表</w:t>
      </w:r>
      <w:r>
        <w:rPr>
          <w:rFonts w:ascii="Times New Roman" w:eastAsia="宋体" w:hAnsi="Times New Roman" w:cs="Times New Roman"/>
          <w:sz w:val="28"/>
          <w:szCs w:val="28"/>
        </w:rPr>
        <w:t>2.4-1</w:t>
      </w:r>
      <w:r>
        <w:rPr>
          <w:rFonts w:ascii="Times New Roman" w:eastAsia="宋体" w:hAnsi="Times New Roman" w:cs="Times New Roman"/>
          <w:sz w:val="28"/>
          <w:szCs w:val="28"/>
        </w:rPr>
        <w:t>。</w:t>
      </w:r>
    </w:p>
    <w:p w14:paraId="2E37C686"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2.4-1  </w:t>
      </w:r>
      <w:r>
        <w:rPr>
          <w:rFonts w:ascii="Times New Roman" w:eastAsia="宋体" w:hAnsi="Times New Roman" w:cs="Times New Roman"/>
          <w:b/>
          <w:szCs w:val="24"/>
        </w:rPr>
        <w:t>大气评价工作等级划分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89"/>
        <w:gridCol w:w="5052"/>
      </w:tblGrid>
      <w:tr w:rsidR="002133E3" w14:paraId="3AD4CD64" w14:textId="77777777">
        <w:trPr>
          <w:jc w:val="center"/>
        </w:trPr>
        <w:tc>
          <w:tcPr>
            <w:tcW w:w="4689" w:type="dxa"/>
            <w:vAlign w:val="center"/>
          </w:tcPr>
          <w:p w14:paraId="2CC7D22E"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lastRenderedPageBreak/>
              <w:t>评价工作等级</w:t>
            </w:r>
          </w:p>
        </w:tc>
        <w:tc>
          <w:tcPr>
            <w:tcW w:w="5052" w:type="dxa"/>
            <w:vAlign w:val="center"/>
          </w:tcPr>
          <w:p w14:paraId="08D6FDD7"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评价工作分级判据</w:t>
            </w:r>
          </w:p>
        </w:tc>
      </w:tr>
      <w:tr w:rsidR="002133E3" w14:paraId="389AB70C" w14:textId="77777777">
        <w:trPr>
          <w:jc w:val="center"/>
        </w:trPr>
        <w:tc>
          <w:tcPr>
            <w:tcW w:w="4689" w:type="dxa"/>
            <w:vAlign w:val="center"/>
          </w:tcPr>
          <w:p w14:paraId="10D8363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5052" w:type="dxa"/>
            <w:vAlign w:val="center"/>
          </w:tcPr>
          <w:p w14:paraId="51A4C15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P</w:t>
            </w:r>
            <w:r>
              <w:rPr>
                <w:rFonts w:ascii="Times New Roman" w:eastAsia="宋体" w:hAnsi="Times New Roman" w:cs="Times New Roman"/>
                <w:szCs w:val="21"/>
                <w:vertAlign w:val="subscript"/>
              </w:rPr>
              <w:t>max</w:t>
            </w:r>
            <w:r>
              <w:rPr>
                <w:rFonts w:ascii="Times New Roman" w:eastAsia="宋体" w:hAnsi="Times New Roman" w:cs="Times New Roman"/>
                <w:szCs w:val="21"/>
              </w:rPr>
              <w:t>≥10%</w:t>
            </w:r>
          </w:p>
        </w:tc>
      </w:tr>
      <w:tr w:rsidR="002133E3" w14:paraId="5CF5CBF8" w14:textId="77777777">
        <w:trPr>
          <w:jc w:val="center"/>
        </w:trPr>
        <w:tc>
          <w:tcPr>
            <w:tcW w:w="4689" w:type="dxa"/>
            <w:vAlign w:val="center"/>
          </w:tcPr>
          <w:p w14:paraId="226D0BE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5052" w:type="dxa"/>
            <w:vAlign w:val="center"/>
          </w:tcPr>
          <w:p w14:paraId="4C6F17E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roofErr w:type="spellStart"/>
            <w:r>
              <w:rPr>
                <w:rFonts w:ascii="Times New Roman" w:eastAsia="宋体" w:hAnsi="Times New Roman" w:cs="Times New Roman"/>
                <w:szCs w:val="21"/>
              </w:rPr>
              <w:t>P</w:t>
            </w:r>
            <w:r>
              <w:rPr>
                <w:rFonts w:ascii="Times New Roman" w:eastAsia="宋体" w:hAnsi="Times New Roman" w:cs="Times New Roman"/>
                <w:szCs w:val="21"/>
                <w:vertAlign w:val="subscript"/>
              </w:rPr>
              <w:t>max</w:t>
            </w:r>
            <w:proofErr w:type="spellEnd"/>
            <w:r>
              <w:rPr>
                <w:rFonts w:ascii="Times New Roman" w:eastAsia="宋体" w:hAnsi="Times New Roman" w:cs="Times New Roman"/>
                <w:szCs w:val="21"/>
              </w:rPr>
              <w:t>&lt;10%</w:t>
            </w:r>
          </w:p>
        </w:tc>
      </w:tr>
      <w:tr w:rsidR="002133E3" w14:paraId="12FCEBCB" w14:textId="77777777">
        <w:trPr>
          <w:jc w:val="center"/>
        </w:trPr>
        <w:tc>
          <w:tcPr>
            <w:tcW w:w="4689" w:type="dxa"/>
            <w:vAlign w:val="center"/>
          </w:tcPr>
          <w:p w14:paraId="5C9EC00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5052" w:type="dxa"/>
            <w:vAlign w:val="center"/>
          </w:tcPr>
          <w:p w14:paraId="5139018A" w14:textId="77777777" w:rsidR="002133E3" w:rsidRDefault="00C22CFA">
            <w:pPr>
              <w:jc w:val="center"/>
              <w:rPr>
                <w:rFonts w:ascii="Times New Roman" w:eastAsia="宋体" w:hAnsi="Times New Roman" w:cs="Times New Roman"/>
                <w:szCs w:val="21"/>
              </w:rPr>
            </w:pPr>
            <w:proofErr w:type="spellStart"/>
            <w:r>
              <w:rPr>
                <w:rFonts w:ascii="Times New Roman" w:eastAsia="宋体" w:hAnsi="Times New Roman" w:cs="Times New Roman"/>
                <w:szCs w:val="21"/>
              </w:rPr>
              <w:t>P</w:t>
            </w:r>
            <w:r>
              <w:rPr>
                <w:rFonts w:ascii="Times New Roman" w:eastAsia="宋体" w:hAnsi="Times New Roman" w:cs="Times New Roman"/>
                <w:szCs w:val="21"/>
                <w:vertAlign w:val="subscript"/>
              </w:rPr>
              <w:t>max</w:t>
            </w:r>
            <w:proofErr w:type="spellEnd"/>
            <w:r>
              <w:rPr>
                <w:rFonts w:ascii="Times New Roman" w:eastAsia="宋体" w:hAnsi="Times New Roman" w:cs="Times New Roman"/>
                <w:szCs w:val="21"/>
              </w:rPr>
              <w:t>＜</w:t>
            </w:r>
            <w:r>
              <w:rPr>
                <w:rFonts w:ascii="Times New Roman" w:eastAsia="宋体" w:hAnsi="Times New Roman" w:cs="Times New Roman"/>
                <w:szCs w:val="21"/>
              </w:rPr>
              <w:t xml:space="preserve">1% </w:t>
            </w:r>
          </w:p>
        </w:tc>
      </w:tr>
    </w:tbl>
    <w:p w14:paraId="0BEE8A5D"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w:t>
      </w:r>
      <w:r>
        <w:rPr>
          <w:rFonts w:ascii="Times New Roman" w:eastAsia="宋体" w:hAnsi="Times New Roman" w:cs="Times New Roman"/>
          <w:sz w:val="28"/>
          <w:szCs w:val="28"/>
        </w:rPr>
        <w:t>HJ2.2-2018</w:t>
      </w:r>
      <w:r>
        <w:rPr>
          <w:rFonts w:ascii="Times New Roman" w:eastAsia="宋体" w:hAnsi="Times New Roman" w:cs="Times New Roman"/>
          <w:sz w:val="28"/>
          <w:szCs w:val="28"/>
        </w:rPr>
        <w:t>中规定：根据项目污染源初步调查结果，分别计算项目排放主要污染物的最大地面空气质量浓度占标率</w:t>
      </w:r>
      <w:r>
        <w:rPr>
          <w:rFonts w:ascii="Times New Roman" w:eastAsia="宋体" w:hAnsi="Times New Roman" w:cs="Times New Roman"/>
          <w:sz w:val="28"/>
          <w:szCs w:val="28"/>
        </w:rPr>
        <w:t>P</w:t>
      </w:r>
      <w:r>
        <w:rPr>
          <w:rFonts w:ascii="Times New Roman" w:eastAsia="宋体" w:hAnsi="Times New Roman" w:cs="Times New Roman"/>
          <w:sz w:val="28"/>
          <w:szCs w:val="28"/>
          <w:vertAlign w:val="subscript"/>
        </w:rPr>
        <w:t>i</w:t>
      </w:r>
      <w:r>
        <w:rPr>
          <w:rFonts w:ascii="Times New Roman" w:eastAsia="宋体" w:hAnsi="Times New Roman" w:cs="Times New Roman"/>
          <w:sz w:val="28"/>
          <w:szCs w:val="28"/>
        </w:rPr>
        <w:t>(</w:t>
      </w:r>
      <w:r>
        <w:rPr>
          <w:rFonts w:ascii="Times New Roman" w:eastAsia="宋体" w:hAnsi="Times New Roman" w:cs="Times New Roman"/>
          <w:sz w:val="28"/>
          <w:szCs w:val="28"/>
        </w:rPr>
        <w:t>第</w:t>
      </w:r>
      <w:proofErr w:type="spellStart"/>
      <w:r>
        <w:rPr>
          <w:rFonts w:ascii="Times New Roman" w:eastAsia="宋体" w:hAnsi="Times New Roman" w:cs="Times New Roman"/>
          <w:sz w:val="28"/>
          <w:szCs w:val="28"/>
        </w:rPr>
        <w:t>i</w:t>
      </w:r>
      <w:proofErr w:type="spellEnd"/>
      <w:r>
        <w:rPr>
          <w:rFonts w:ascii="Times New Roman" w:eastAsia="宋体" w:hAnsi="Times New Roman" w:cs="Times New Roman"/>
          <w:sz w:val="28"/>
          <w:szCs w:val="28"/>
        </w:rPr>
        <w:t>个污染物，简称</w:t>
      </w:r>
      <w:r>
        <w:rPr>
          <w:rFonts w:ascii="Times New Roman" w:eastAsia="宋体" w:hAnsi="Times New Roman" w:cs="Times New Roman"/>
          <w:sz w:val="28"/>
          <w:szCs w:val="28"/>
        </w:rPr>
        <w:t>“</w:t>
      </w:r>
      <w:r>
        <w:rPr>
          <w:rFonts w:ascii="Times New Roman" w:eastAsia="宋体" w:hAnsi="Times New Roman" w:cs="Times New Roman"/>
          <w:sz w:val="28"/>
          <w:szCs w:val="28"/>
        </w:rPr>
        <w:t>最大浓度占标率</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593ECD6D"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通过《环境影响评价技术导则</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大气环境》</w:t>
      </w:r>
      <w:r>
        <w:rPr>
          <w:rFonts w:ascii="Times New Roman" w:eastAsia="宋体" w:hAnsi="Times New Roman" w:cs="Times New Roman"/>
          <w:sz w:val="28"/>
          <w:szCs w:val="28"/>
        </w:rPr>
        <w:t>(HJ2.2-2018)</w:t>
      </w:r>
      <w:r>
        <w:rPr>
          <w:rFonts w:ascii="Times New Roman" w:eastAsia="宋体" w:hAnsi="Times New Roman" w:cs="Times New Roman"/>
          <w:sz w:val="28"/>
          <w:szCs w:val="28"/>
        </w:rPr>
        <w:t>推荐的估算模式估算分析详见估算模式计算结果表</w:t>
      </w:r>
      <w:r>
        <w:rPr>
          <w:rFonts w:ascii="Times New Roman" w:eastAsia="宋体" w:hAnsi="Times New Roman" w:cs="Times New Roman"/>
          <w:sz w:val="28"/>
          <w:szCs w:val="28"/>
        </w:rPr>
        <w:t>6.1-5</w:t>
      </w:r>
      <w:r>
        <w:rPr>
          <w:rFonts w:ascii="Times New Roman" w:eastAsia="宋体" w:hAnsi="Times New Roman" w:cs="Times New Roman"/>
          <w:sz w:val="28"/>
          <w:szCs w:val="28"/>
        </w:rPr>
        <w:t>，项目选取的大气污染物中，最大地面浓度占标率</w:t>
      </w:r>
      <w:r>
        <w:rPr>
          <w:rFonts w:ascii="Times New Roman" w:eastAsia="宋体" w:hAnsi="Times New Roman" w:cs="Times New Roman"/>
          <w:sz w:val="28"/>
          <w:szCs w:val="28"/>
        </w:rPr>
        <w:t>1%≤</w:t>
      </w:r>
      <w:proofErr w:type="spellStart"/>
      <w:r>
        <w:rPr>
          <w:rFonts w:ascii="Times New Roman" w:eastAsia="宋体" w:hAnsi="Times New Roman" w:cs="Times New Roman"/>
          <w:sz w:val="28"/>
          <w:szCs w:val="28"/>
        </w:rPr>
        <w:t>P</w:t>
      </w:r>
      <w:r>
        <w:rPr>
          <w:rFonts w:ascii="Times New Roman" w:eastAsia="宋体" w:hAnsi="Times New Roman" w:cs="Times New Roman"/>
          <w:sz w:val="28"/>
          <w:szCs w:val="28"/>
          <w:vertAlign w:val="subscript"/>
        </w:rPr>
        <w:t>max</w:t>
      </w:r>
      <w:proofErr w:type="spellEnd"/>
      <w:r>
        <w:rPr>
          <w:rFonts w:ascii="Times New Roman" w:eastAsia="宋体" w:hAnsi="Times New Roman" w:cs="Times New Roman"/>
          <w:sz w:val="28"/>
          <w:szCs w:val="28"/>
        </w:rPr>
        <w:t>=</w:t>
      </w:r>
      <w:r>
        <w:rPr>
          <w:rFonts w:ascii="Times New Roman" w:eastAsia="宋体" w:hAnsi="Times New Roman" w:cs="Times New Roman"/>
          <w:bCs/>
          <w:kern w:val="0"/>
          <w:sz w:val="28"/>
          <w:szCs w:val="28"/>
        </w:rPr>
        <w:t>8.65</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10%</w:t>
      </w:r>
      <w:r>
        <w:rPr>
          <w:rFonts w:ascii="Times New Roman" w:eastAsia="宋体" w:hAnsi="Times New Roman" w:cs="Times New Roman"/>
          <w:sz w:val="28"/>
          <w:szCs w:val="28"/>
        </w:rPr>
        <w:t>，根据评价等级判断标准，确定项目大气评价等级为二级。</w:t>
      </w:r>
    </w:p>
    <w:p w14:paraId="595BBEEA"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地表水</w:t>
      </w:r>
    </w:p>
    <w:p w14:paraId="2FB7FB90"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根据《环境影响评价技术导则</w:t>
      </w:r>
      <w:r>
        <w:rPr>
          <w:rFonts w:ascii="Times New Roman" w:eastAsia="宋体" w:hAnsi="Times New Roman" w:cs="Times New Roman"/>
          <w:sz w:val="28"/>
          <w:szCs w:val="28"/>
        </w:rPr>
        <w:t>-</w:t>
      </w:r>
      <w:r>
        <w:rPr>
          <w:rFonts w:ascii="Times New Roman" w:eastAsia="宋体" w:hAnsi="Times New Roman" w:cs="Times New Roman"/>
          <w:sz w:val="28"/>
          <w:szCs w:val="28"/>
        </w:rPr>
        <w:t>地表水环境》</w:t>
      </w:r>
      <w:r>
        <w:rPr>
          <w:rFonts w:ascii="Times New Roman" w:eastAsia="宋体" w:hAnsi="Times New Roman" w:cs="Times New Roman"/>
          <w:sz w:val="28"/>
          <w:szCs w:val="28"/>
        </w:rPr>
        <w:t>(HJ2.3-2018)</w:t>
      </w:r>
      <w:r>
        <w:rPr>
          <w:rFonts w:ascii="Times New Roman" w:eastAsia="宋体" w:hAnsi="Times New Roman" w:cs="Times New Roman"/>
          <w:sz w:val="28"/>
          <w:szCs w:val="28"/>
        </w:rPr>
        <w:t>，水环境影响评价等级为三级</w:t>
      </w:r>
      <w:r>
        <w:rPr>
          <w:rFonts w:ascii="Times New Roman" w:eastAsia="宋体" w:hAnsi="Times New Roman" w:cs="Times New Roman"/>
          <w:sz w:val="28"/>
          <w:szCs w:val="28"/>
        </w:rPr>
        <w:t>B</w:t>
      </w:r>
      <w:r>
        <w:rPr>
          <w:rFonts w:ascii="Times New Roman" w:eastAsia="宋体" w:hAnsi="Times New Roman" w:cs="Times New Roman"/>
          <w:sz w:val="28"/>
          <w:szCs w:val="28"/>
        </w:rPr>
        <w:t>，本项目不进行水环境影响预测，仅对水污染控制和水环境影响减缓措施有效性评价、依托污水处理设施的环境可行性评价。</w:t>
      </w:r>
    </w:p>
    <w:p w14:paraId="403A9403"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噪声</w:t>
      </w:r>
    </w:p>
    <w:p w14:paraId="224D029F"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项目设备噪声主要是连续噪声源，本项目厂址位于《声环境质量标准》</w:t>
      </w:r>
      <w:r>
        <w:rPr>
          <w:rFonts w:ascii="Times New Roman" w:eastAsia="宋体" w:hAnsi="Times New Roman" w:cs="Times New Roman"/>
          <w:sz w:val="28"/>
          <w:szCs w:val="28"/>
        </w:rPr>
        <w:t>(GB3096-2008)</w:t>
      </w:r>
      <w:r>
        <w:rPr>
          <w:rFonts w:ascii="Times New Roman" w:eastAsia="宋体" w:hAnsi="Times New Roman" w:cs="Times New Roman"/>
          <w:sz w:val="28"/>
          <w:szCs w:val="28"/>
        </w:rPr>
        <w:t>中的</w:t>
      </w:r>
      <w:r>
        <w:rPr>
          <w:rFonts w:ascii="Times New Roman" w:eastAsia="宋体" w:hAnsi="Times New Roman" w:cs="Times New Roman"/>
          <w:sz w:val="28"/>
          <w:szCs w:val="28"/>
        </w:rPr>
        <w:t>3</w:t>
      </w:r>
      <w:r>
        <w:rPr>
          <w:rFonts w:ascii="Times New Roman" w:eastAsia="宋体" w:hAnsi="Times New Roman" w:cs="Times New Roman"/>
          <w:sz w:val="28"/>
          <w:szCs w:val="28"/>
        </w:rPr>
        <w:t>类区域，且厂界周围无特殊敏感目标，根据《环境影响评价技术导则》</w:t>
      </w:r>
      <w:r>
        <w:rPr>
          <w:rFonts w:ascii="Times New Roman" w:eastAsia="宋体" w:hAnsi="Times New Roman" w:cs="Times New Roman"/>
          <w:sz w:val="28"/>
          <w:szCs w:val="28"/>
        </w:rPr>
        <w:t>(HJ2.4-2009)</w:t>
      </w:r>
      <w:r>
        <w:rPr>
          <w:rFonts w:ascii="Times New Roman" w:eastAsia="宋体" w:hAnsi="Times New Roman" w:cs="Times New Roman"/>
          <w:sz w:val="28"/>
          <w:szCs w:val="28"/>
        </w:rPr>
        <w:t>中规定，确定本项目声环境影响评价工作等级定为三级。</w:t>
      </w:r>
    </w:p>
    <w:p w14:paraId="7F6A44D5"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(4) </w:t>
      </w:r>
      <w:r>
        <w:rPr>
          <w:rFonts w:ascii="Times New Roman" w:eastAsia="宋体" w:hAnsi="Times New Roman" w:cs="Times New Roman"/>
          <w:sz w:val="28"/>
          <w:szCs w:val="28"/>
        </w:rPr>
        <w:t>地下水</w:t>
      </w:r>
    </w:p>
    <w:p w14:paraId="2ADF8CA0"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项目为酒精制造项目，根据《环境影响评价技术导则</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地下水环境》（</w:t>
      </w:r>
      <w:r>
        <w:rPr>
          <w:rFonts w:ascii="Times New Roman" w:eastAsia="宋体" w:hAnsi="Times New Roman" w:cs="Times New Roman"/>
          <w:kern w:val="0"/>
          <w:sz w:val="28"/>
          <w:szCs w:val="28"/>
        </w:rPr>
        <w:t>HJ610-2016</w:t>
      </w:r>
      <w:r>
        <w:rPr>
          <w:rFonts w:ascii="Times New Roman" w:eastAsia="宋体" w:hAnsi="Times New Roman" w:cs="Times New Roman"/>
          <w:kern w:val="0"/>
          <w:sz w:val="28"/>
          <w:szCs w:val="28"/>
        </w:rPr>
        <w:t>）附录</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中</w:t>
      </w:r>
      <w:r>
        <w:rPr>
          <w:rFonts w:ascii="Times New Roman" w:eastAsia="宋体" w:hAnsi="Times New Roman" w:cs="Times New Roman"/>
          <w:kern w:val="0"/>
          <w:sz w:val="28"/>
          <w:szCs w:val="28"/>
        </w:rPr>
        <w:t>94</w:t>
      </w:r>
      <w:r>
        <w:rPr>
          <w:rFonts w:ascii="Times New Roman" w:eastAsia="宋体" w:hAnsi="Times New Roman" w:cs="Times New Roman"/>
          <w:kern w:val="0"/>
          <w:sz w:val="28"/>
          <w:szCs w:val="28"/>
        </w:rPr>
        <w:t>项</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粮食及饲料加工</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有发酵工艺的</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生产项目，为</w:t>
      </w:r>
      <w:r>
        <w:rPr>
          <w:rFonts w:ascii="Times New Roman" w:eastAsia="宋体" w:hAnsi="Times New Roman" w:cs="Times New Roman"/>
          <w:kern w:val="0"/>
          <w:sz w:val="28"/>
          <w:szCs w:val="28"/>
        </w:rPr>
        <w:t>III</w:t>
      </w:r>
      <w:r>
        <w:rPr>
          <w:rFonts w:ascii="Times New Roman" w:eastAsia="宋体" w:hAnsi="Times New Roman" w:cs="Times New Roman"/>
          <w:kern w:val="0"/>
          <w:sz w:val="28"/>
          <w:szCs w:val="28"/>
        </w:rPr>
        <w:t>类建设项目。</w:t>
      </w:r>
    </w:p>
    <w:p w14:paraId="5D22A9AB"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建设项目的地下水环境敏感程度可分为敏感、较敏感、不敏感三级，分级原则见表</w:t>
      </w:r>
      <w:r>
        <w:rPr>
          <w:rFonts w:ascii="Times New Roman" w:eastAsia="宋体" w:hAnsi="Times New Roman" w:cs="Times New Roman"/>
          <w:kern w:val="0"/>
          <w:sz w:val="28"/>
          <w:szCs w:val="28"/>
        </w:rPr>
        <w:t>2.4-2</w:t>
      </w:r>
      <w:r>
        <w:rPr>
          <w:rFonts w:ascii="Times New Roman" w:eastAsia="宋体" w:hAnsi="Times New Roman" w:cs="Times New Roman"/>
          <w:kern w:val="0"/>
          <w:sz w:val="28"/>
          <w:szCs w:val="28"/>
        </w:rPr>
        <w:t>。项目地下水环境影响评价工作等级划分见表</w:t>
      </w:r>
      <w:r>
        <w:rPr>
          <w:rFonts w:ascii="Times New Roman" w:eastAsia="宋体" w:hAnsi="Times New Roman" w:cs="Times New Roman"/>
          <w:kern w:val="0"/>
          <w:sz w:val="28"/>
          <w:szCs w:val="28"/>
        </w:rPr>
        <w:t>2.4-3</w:t>
      </w:r>
      <w:r>
        <w:rPr>
          <w:rFonts w:ascii="Times New Roman" w:eastAsia="宋体" w:hAnsi="Times New Roman" w:cs="Times New Roman"/>
          <w:kern w:val="0"/>
          <w:sz w:val="28"/>
          <w:szCs w:val="28"/>
        </w:rPr>
        <w:t>。</w:t>
      </w:r>
    </w:p>
    <w:p w14:paraId="15D3F345" w14:textId="77777777" w:rsidR="002133E3" w:rsidRDefault="00C22CFA">
      <w:pPr>
        <w:spacing w:line="276" w:lineRule="auto"/>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2.4-2 </w:t>
      </w:r>
      <w:r>
        <w:rPr>
          <w:rFonts w:ascii="Times New Roman" w:eastAsia="宋体" w:hAnsi="Times New Roman" w:cs="Times New Roman"/>
          <w:b/>
          <w:kern w:val="0"/>
          <w:sz w:val="24"/>
          <w:szCs w:val="24"/>
        </w:rPr>
        <w:t>地下水环境敏感程度分级表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713"/>
        <w:gridCol w:w="8141"/>
      </w:tblGrid>
      <w:tr w:rsidR="002133E3" w14:paraId="140BAD5C" w14:textId="77777777">
        <w:trPr>
          <w:trHeight w:val="226"/>
          <w:jc w:val="center"/>
        </w:trPr>
        <w:tc>
          <w:tcPr>
            <w:tcW w:w="869" w:type="pct"/>
            <w:tcBorders>
              <w:top w:val="single" w:sz="6" w:space="0" w:color="auto"/>
              <w:left w:val="single" w:sz="6" w:space="0" w:color="auto"/>
              <w:bottom w:val="single" w:sz="6" w:space="0" w:color="auto"/>
              <w:right w:val="single" w:sz="6" w:space="0" w:color="auto"/>
            </w:tcBorders>
            <w:vAlign w:val="center"/>
          </w:tcPr>
          <w:p w14:paraId="7F2851FD"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敏感程度</w:t>
            </w:r>
          </w:p>
        </w:tc>
        <w:tc>
          <w:tcPr>
            <w:tcW w:w="4131" w:type="pct"/>
            <w:tcBorders>
              <w:top w:val="single" w:sz="6" w:space="0" w:color="auto"/>
              <w:left w:val="single" w:sz="6" w:space="0" w:color="auto"/>
              <w:bottom w:val="single" w:sz="6" w:space="0" w:color="auto"/>
              <w:right w:val="single" w:sz="6" w:space="0" w:color="auto"/>
            </w:tcBorders>
            <w:vAlign w:val="center"/>
          </w:tcPr>
          <w:p w14:paraId="48DE5264"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地下水环境敏感特征</w:t>
            </w:r>
          </w:p>
        </w:tc>
      </w:tr>
      <w:tr w:rsidR="002133E3" w14:paraId="1B711821" w14:textId="77777777">
        <w:trPr>
          <w:trHeight w:val="359"/>
          <w:jc w:val="center"/>
        </w:trPr>
        <w:tc>
          <w:tcPr>
            <w:tcW w:w="869" w:type="pct"/>
            <w:tcBorders>
              <w:top w:val="single" w:sz="6" w:space="0" w:color="auto"/>
              <w:left w:val="single" w:sz="6" w:space="0" w:color="auto"/>
              <w:bottom w:val="single" w:sz="6" w:space="0" w:color="auto"/>
              <w:right w:val="single" w:sz="6" w:space="0" w:color="auto"/>
            </w:tcBorders>
            <w:vAlign w:val="center"/>
          </w:tcPr>
          <w:p w14:paraId="1F064C89"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敏感</w:t>
            </w:r>
          </w:p>
        </w:tc>
        <w:tc>
          <w:tcPr>
            <w:tcW w:w="4131" w:type="pct"/>
            <w:tcBorders>
              <w:top w:val="single" w:sz="6" w:space="0" w:color="auto"/>
              <w:left w:val="single" w:sz="6" w:space="0" w:color="auto"/>
              <w:bottom w:val="single" w:sz="6" w:space="0" w:color="auto"/>
              <w:right w:val="single" w:sz="6" w:space="0" w:color="auto"/>
            </w:tcBorders>
            <w:vAlign w:val="center"/>
          </w:tcPr>
          <w:p w14:paraId="4FB2DA6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集中式饮用水水源（包括已建成的在用、备用、应急水源，在建和规划的饮用水源）准保护区；除集中式饮用水水源以外的国家或地方政府设定的与地下水环境相关的其它保护区，如热水、跨泉水、温泉等特殊地下水资源保护区。</w:t>
            </w:r>
          </w:p>
        </w:tc>
      </w:tr>
      <w:tr w:rsidR="002133E3" w14:paraId="2BB3B7A1" w14:textId="77777777">
        <w:trPr>
          <w:trHeight w:val="359"/>
          <w:jc w:val="center"/>
        </w:trPr>
        <w:tc>
          <w:tcPr>
            <w:tcW w:w="869" w:type="pct"/>
            <w:tcBorders>
              <w:top w:val="single" w:sz="6" w:space="0" w:color="auto"/>
              <w:left w:val="single" w:sz="6" w:space="0" w:color="auto"/>
              <w:bottom w:val="single" w:sz="6" w:space="0" w:color="auto"/>
              <w:right w:val="single" w:sz="6" w:space="0" w:color="auto"/>
            </w:tcBorders>
            <w:vAlign w:val="center"/>
          </w:tcPr>
          <w:p w14:paraId="5CB76FBF"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较敏感</w:t>
            </w:r>
          </w:p>
        </w:tc>
        <w:tc>
          <w:tcPr>
            <w:tcW w:w="4131" w:type="pct"/>
            <w:tcBorders>
              <w:top w:val="single" w:sz="6" w:space="0" w:color="auto"/>
              <w:left w:val="single" w:sz="6" w:space="0" w:color="auto"/>
              <w:bottom w:val="single" w:sz="6" w:space="0" w:color="auto"/>
              <w:right w:val="single" w:sz="6" w:space="0" w:color="auto"/>
            </w:tcBorders>
            <w:vAlign w:val="center"/>
          </w:tcPr>
          <w:p w14:paraId="0446D05A"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集中式饮用水源（包括已建成的在用、备用、应急水源，在建和规划的饮用水水源）准保</w:t>
            </w:r>
            <w:r>
              <w:rPr>
                <w:rFonts w:ascii="Times New Roman" w:eastAsia="宋体" w:hAnsi="Times New Roman" w:cs="Times New Roman"/>
                <w:kern w:val="0"/>
                <w:szCs w:val="21"/>
              </w:rPr>
              <w:lastRenderedPageBreak/>
              <w:t>护区以外的补给径流区；未划定准保护区的集中水式饮用水水源，其保护区以外的补给径流区；分散式饮用水水源地；特殊地下水资源（如矿泉水、温泉等）保护区以外的分布区等其它未列入上述敏感分级的环境敏感区</w:t>
            </w:r>
            <w:r>
              <w:rPr>
                <w:rFonts w:ascii="Times New Roman" w:eastAsia="宋体" w:hAnsi="Times New Roman" w:cs="Times New Roman"/>
                <w:kern w:val="0"/>
                <w:szCs w:val="21"/>
              </w:rPr>
              <w:t>*</w:t>
            </w:r>
            <w:r>
              <w:rPr>
                <w:rFonts w:ascii="Times New Roman" w:eastAsia="宋体" w:hAnsi="Times New Roman" w:cs="Times New Roman"/>
                <w:kern w:val="0"/>
                <w:szCs w:val="21"/>
              </w:rPr>
              <w:t>。</w:t>
            </w:r>
          </w:p>
        </w:tc>
      </w:tr>
      <w:tr w:rsidR="002133E3" w14:paraId="1B1AA559" w14:textId="77777777">
        <w:trPr>
          <w:trHeight w:val="359"/>
          <w:jc w:val="center"/>
        </w:trPr>
        <w:tc>
          <w:tcPr>
            <w:tcW w:w="869" w:type="pct"/>
            <w:tcBorders>
              <w:top w:val="single" w:sz="6" w:space="0" w:color="auto"/>
              <w:left w:val="single" w:sz="6" w:space="0" w:color="auto"/>
              <w:bottom w:val="single" w:sz="6" w:space="0" w:color="auto"/>
              <w:right w:val="single" w:sz="6" w:space="0" w:color="auto"/>
            </w:tcBorders>
            <w:vAlign w:val="center"/>
          </w:tcPr>
          <w:p w14:paraId="28987867"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不敏感</w:t>
            </w:r>
          </w:p>
        </w:tc>
        <w:tc>
          <w:tcPr>
            <w:tcW w:w="4131" w:type="pct"/>
            <w:tcBorders>
              <w:top w:val="single" w:sz="6" w:space="0" w:color="auto"/>
              <w:left w:val="single" w:sz="6" w:space="0" w:color="auto"/>
              <w:bottom w:val="single" w:sz="6" w:space="0" w:color="auto"/>
              <w:right w:val="single" w:sz="6" w:space="0" w:color="auto"/>
            </w:tcBorders>
            <w:vAlign w:val="center"/>
          </w:tcPr>
          <w:p w14:paraId="7C4FC3E2"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上述地区以外的其它地区。</w:t>
            </w:r>
          </w:p>
        </w:tc>
      </w:tr>
      <w:tr w:rsidR="002133E3" w14:paraId="60492225" w14:textId="77777777">
        <w:trPr>
          <w:trHeight w:val="359"/>
          <w:jc w:val="center"/>
        </w:trPr>
        <w:tc>
          <w:tcPr>
            <w:tcW w:w="5000" w:type="pct"/>
            <w:gridSpan w:val="2"/>
            <w:tcBorders>
              <w:top w:val="single" w:sz="6" w:space="0" w:color="auto"/>
              <w:left w:val="single" w:sz="6" w:space="0" w:color="auto"/>
              <w:bottom w:val="single" w:sz="6" w:space="0" w:color="auto"/>
              <w:right w:val="single" w:sz="6" w:space="0" w:color="auto"/>
            </w:tcBorders>
            <w:vAlign w:val="center"/>
          </w:tcPr>
          <w:p w14:paraId="6845FEB4" w14:textId="77777777" w:rsidR="002133E3" w:rsidRDefault="00C22CFA">
            <w:pPr>
              <w:spacing w:line="320" w:lineRule="exact"/>
              <w:ind w:leftChars="-51" w:left="-107" w:rightChars="-51" w:right="-107"/>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注：</w:t>
            </w:r>
            <w:r>
              <w:rPr>
                <w:rFonts w:ascii="Times New Roman" w:eastAsia="宋体" w:hAnsi="Times New Roman" w:cs="Times New Roman"/>
                <w:kern w:val="0"/>
                <w:sz w:val="18"/>
                <w:szCs w:val="18"/>
              </w:rPr>
              <w:t>*“</w:t>
            </w:r>
            <w:r>
              <w:rPr>
                <w:rFonts w:ascii="Times New Roman" w:eastAsia="宋体" w:hAnsi="Times New Roman" w:cs="Times New Roman"/>
                <w:kern w:val="0"/>
                <w:sz w:val="18"/>
                <w:szCs w:val="18"/>
              </w:rPr>
              <w:t>环境敏感区</w:t>
            </w:r>
            <w:r>
              <w:rPr>
                <w:rFonts w:ascii="Times New Roman" w:eastAsia="宋体" w:hAnsi="Times New Roman" w:cs="Times New Roman"/>
                <w:kern w:val="0"/>
                <w:sz w:val="18"/>
                <w:szCs w:val="18"/>
              </w:rPr>
              <w:t>”</w:t>
            </w:r>
            <w:r>
              <w:rPr>
                <w:rFonts w:ascii="Times New Roman" w:eastAsia="宋体" w:hAnsi="Times New Roman" w:cs="Times New Roman"/>
                <w:kern w:val="0"/>
                <w:sz w:val="18"/>
                <w:szCs w:val="18"/>
              </w:rPr>
              <w:t>是指《建设项目环境影响评价分类管理名录》中所界定的涉及地下水的环境敏感区。</w:t>
            </w:r>
          </w:p>
        </w:tc>
      </w:tr>
    </w:tbl>
    <w:p w14:paraId="70AFCEB7" w14:textId="77777777" w:rsidR="002133E3" w:rsidRDefault="00C22CFA">
      <w:pPr>
        <w:spacing w:line="276" w:lineRule="auto"/>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2.4-3 </w:t>
      </w:r>
      <w:r>
        <w:rPr>
          <w:rFonts w:ascii="Times New Roman" w:eastAsia="宋体" w:hAnsi="Times New Roman" w:cs="Times New Roman"/>
          <w:b/>
          <w:kern w:val="0"/>
          <w:sz w:val="24"/>
          <w:szCs w:val="24"/>
        </w:rPr>
        <w:t>地下水评价工作等级分级表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2464"/>
        <w:gridCol w:w="2464"/>
      </w:tblGrid>
      <w:tr w:rsidR="002133E3" w14:paraId="200EAA07" w14:textId="77777777">
        <w:trPr>
          <w:trHeight w:val="439"/>
          <w:jc w:val="center"/>
        </w:trPr>
        <w:tc>
          <w:tcPr>
            <w:tcW w:w="1250" w:type="pct"/>
            <w:tcBorders>
              <w:tl2br w:val="single" w:sz="4" w:space="0" w:color="auto"/>
            </w:tcBorders>
            <w:vAlign w:val="center"/>
          </w:tcPr>
          <w:p w14:paraId="239A2430"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 xml:space="preserve">           </w:t>
            </w:r>
            <w:r>
              <w:rPr>
                <w:rFonts w:ascii="Times New Roman" w:eastAsia="宋体" w:hAnsi="Times New Roman" w:cs="Times New Roman"/>
                <w:b/>
                <w:kern w:val="0"/>
                <w:szCs w:val="21"/>
              </w:rPr>
              <w:t>项目类别</w:t>
            </w:r>
          </w:p>
          <w:p w14:paraId="6B6B19E1" w14:textId="77777777" w:rsidR="002133E3" w:rsidRDefault="00C22CFA">
            <w:pPr>
              <w:jc w:val="left"/>
              <w:rPr>
                <w:rFonts w:ascii="Times New Roman" w:eastAsia="宋体" w:hAnsi="Times New Roman" w:cs="Times New Roman"/>
                <w:b/>
                <w:kern w:val="0"/>
                <w:szCs w:val="21"/>
              </w:rPr>
            </w:pPr>
            <w:r>
              <w:rPr>
                <w:rFonts w:ascii="Times New Roman" w:eastAsia="宋体" w:hAnsi="Times New Roman" w:cs="Times New Roman"/>
                <w:b/>
                <w:kern w:val="0"/>
                <w:szCs w:val="21"/>
              </w:rPr>
              <w:t>环境敏感程度</w:t>
            </w:r>
          </w:p>
        </w:tc>
        <w:tc>
          <w:tcPr>
            <w:tcW w:w="1250" w:type="pct"/>
            <w:vAlign w:val="center"/>
          </w:tcPr>
          <w:p w14:paraId="06CCC1C8"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宋体" w:eastAsia="宋体" w:hAnsi="宋体" w:cs="宋体" w:hint="eastAsia"/>
                <w:b/>
                <w:kern w:val="0"/>
                <w:szCs w:val="21"/>
              </w:rPr>
              <w:t>Ⅰ</w:t>
            </w:r>
            <w:r>
              <w:rPr>
                <w:rFonts w:ascii="Times New Roman" w:eastAsia="宋体" w:hAnsi="Times New Roman" w:cs="Times New Roman"/>
                <w:b/>
                <w:kern w:val="0"/>
                <w:szCs w:val="21"/>
              </w:rPr>
              <w:t>类项目</w:t>
            </w:r>
          </w:p>
        </w:tc>
        <w:tc>
          <w:tcPr>
            <w:tcW w:w="1250" w:type="pct"/>
            <w:vAlign w:val="center"/>
          </w:tcPr>
          <w:p w14:paraId="7832BEA4"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宋体" w:eastAsia="宋体" w:hAnsi="宋体" w:cs="宋体" w:hint="eastAsia"/>
                <w:b/>
                <w:kern w:val="0"/>
                <w:szCs w:val="21"/>
              </w:rPr>
              <w:t>Ⅱ</w:t>
            </w:r>
            <w:r>
              <w:rPr>
                <w:rFonts w:ascii="Times New Roman" w:eastAsia="宋体" w:hAnsi="Times New Roman" w:cs="Times New Roman"/>
                <w:b/>
                <w:kern w:val="0"/>
                <w:szCs w:val="21"/>
              </w:rPr>
              <w:t>类项目</w:t>
            </w:r>
          </w:p>
        </w:tc>
        <w:tc>
          <w:tcPr>
            <w:tcW w:w="1250" w:type="pct"/>
            <w:vAlign w:val="center"/>
          </w:tcPr>
          <w:p w14:paraId="4DC88121"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宋体" w:eastAsia="宋体" w:hAnsi="宋体" w:cs="宋体" w:hint="eastAsia"/>
                <w:b/>
                <w:kern w:val="0"/>
                <w:szCs w:val="21"/>
              </w:rPr>
              <w:t>Ⅲ</w:t>
            </w:r>
            <w:r>
              <w:rPr>
                <w:rFonts w:ascii="Times New Roman" w:eastAsia="宋体" w:hAnsi="Times New Roman" w:cs="Times New Roman"/>
                <w:b/>
                <w:kern w:val="0"/>
                <w:szCs w:val="21"/>
              </w:rPr>
              <w:t>类项目</w:t>
            </w:r>
          </w:p>
        </w:tc>
      </w:tr>
      <w:tr w:rsidR="002133E3" w14:paraId="57AC89AA" w14:textId="77777777">
        <w:trPr>
          <w:trHeight w:val="16"/>
          <w:jc w:val="center"/>
        </w:trPr>
        <w:tc>
          <w:tcPr>
            <w:tcW w:w="1250" w:type="pct"/>
            <w:vAlign w:val="center"/>
          </w:tcPr>
          <w:p w14:paraId="6D9D9C9E"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敏感</w:t>
            </w:r>
          </w:p>
        </w:tc>
        <w:tc>
          <w:tcPr>
            <w:tcW w:w="1250" w:type="pct"/>
            <w:vAlign w:val="center"/>
          </w:tcPr>
          <w:p w14:paraId="528E3D9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w:t>
            </w:r>
          </w:p>
        </w:tc>
        <w:tc>
          <w:tcPr>
            <w:tcW w:w="1250" w:type="pct"/>
            <w:vAlign w:val="center"/>
          </w:tcPr>
          <w:p w14:paraId="35DD2B10"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w:t>
            </w:r>
          </w:p>
        </w:tc>
        <w:tc>
          <w:tcPr>
            <w:tcW w:w="1250" w:type="pct"/>
            <w:vAlign w:val="center"/>
          </w:tcPr>
          <w:p w14:paraId="00C9C58E"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w:t>
            </w:r>
          </w:p>
        </w:tc>
      </w:tr>
      <w:tr w:rsidR="002133E3" w14:paraId="6DA8F1D5" w14:textId="77777777">
        <w:trPr>
          <w:trHeight w:val="16"/>
          <w:jc w:val="center"/>
        </w:trPr>
        <w:tc>
          <w:tcPr>
            <w:tcW w:w="1250" w:type="pct"/>
            <w:vAlign w:val="center"/>
          </w:tcPr>
          <w:p w14:paraId="112A17A1"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较敏感</w:t>
            </w:r>
          </w:p>
        </w:tc>
        <w:tc>
          <w:tcPr>
            <w:tcW w:w="1250" w:type="pct"/>
            <w:vAlign w:val="center"/>
          </w:tcPr>
          <w:p w14:paraId="16D92467"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w:t>
            </w:r>
          </w:p>
        </w:tc>
        <w:tc>
          <w:tcPr>
            <w:tcW w:w="1250" w:type="pct"/>
            <w:vAlign w:val="center"/>
          </w:tcPr>
          <w:p w14:paraId="23563DA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w:t>
            </w:r>
          </w:p>
        </w:tc>
        <w:tc>
          <w:tcPr>
            <w:tcW w:w="1250" w:type="pct"/>
            <w:vAlign w:val="center"/>
          </w:tcPr>
          <w:p w14:paraId="3E877539"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w:t>
            </w:r>
          </w:p>
        </w:tc>
      </w:tr>
      <w:tr w:rsidR="002133E3" w14:paraId="648EC4AD" w14:textId="77777777">
        <w:trPr>
          <w:trHeight w:val="16"/>
          <w:jc w:val="center"/>
        </w:trPr>
        <w:tc>
          <w:tcPr>
            <w:tcW w:w="1250" w:type="pct"/>
            <w:shd w:val="clear" w:color="auto" w:fill="auto"/>
            <w:vAlign w:val="center"/>
          </w:tcPr>
          <w:p w14:paraId="05526853"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不敏感</w:t>
            </w:r>
          </w:p>
        </w:tc>
        <w:tc>
          <w:tcPr>
            <w:tcW w:w="1250" w:type="pct"/>
            <w:shd w:val="clear" w:color="auto" w:fill="auto"/>
            <w:vAlign w:val="center"/>
          </w:tcPr>
          <w:p w14:paraId="4578FA0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w:t>
            </w:r>
          </w:p>
        </w:tc>
        <w:tc>
          <w:tcPr>
            <w:tcW w:w="1250" w:type="pct"/>
            <w:shd w:val="clear" w:color="auto" w:fill="auto"/>
            <w:vAlign w:val="center"/>
          </w:tcPr>
          <w:p w14:paraId="4D1C385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w:t>
            </w:r>
          </w:p>
        </w:tc>
        <w:tc>
          <w:tcPr>
            <w:tcW w:w="1250" w:type="pct"/>
            <w:shd w:val="clear" w:color="auto" w:fill="D9D9D9"/>
            <w:vAlign w:val="center"/>
          </w:tcPr>
          <w:p w14:paraId="4EA9D64A"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w:t>
            </w:r>
          </w:p>
        </w:tc>
      </w:tr>
    </w:tbl>
    <w:p w14:paraId="541BFAFC"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项目所在区域不属于集中式饮用水源准保护区、不属于热水、矿泉水、温泉等特殊地下水源保护区、也不属于补给径流区，故地下水环境敏感程度等级为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不敏感</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。根据表</w:t>
      </w:r>
      <w:r>
        <w:rPr>
          <w:rFonts w:ascii="Times New Roman" w:eastAsia="宋体" w:hAnsi="Times New Roman" w:cs="Times New Roman"/>
          <w:kern w:val="0"/>
          <w:sz w:val="28"/>
          <w:szCs w:val="28"/>
        </w:rPr>
        <w:t>2.4-3</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III</w:t>
      </w:r>
      <w:r>
        <w:rPr>
          <w:rFonts w:ascii="Times New Roman" w:eastAsia="宋体" w:hAnsi="Times New Roman" w:cs="Times New Roman"/>
          <w:kern w:val="0"/>
          <w:sz w:val="28"/>
          <w:szCs w:val="28"/>
        </w:rPr>
        <w:t>类建设项目评价工作等级分级）划分依据判定：本项目地下水评价等级为三级。</w:t>
      </w:r>
    </w:p>
    <w:p w14:paraId="50788317"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(5) </w:t>
      </w:r>
      <w:r>
        <w:rPr>
          <w:rFonts w:ascii="Times New Roman" w:eastAsia="宋体" w:hAnsi="Times New Roman" w:cs="Times New Roman"/>
          <w:sz w:val="28"/>
          <w:szCs w:val="28"/>
        </w:rPr>
        <w:t>土壤</w:t>
      </w:r>
    </w:p>
    <w:p w14:paraId="3A49F8A0" w14:textId="77777777" w:rsidR="002133E3" w:rsidRDefault="00C22CFA">
      <w:pPr>
        <w:spacing w:line="500" w:lineRule="exact"/>
        <w:ind w:firstLineChars="200" w:firstLine="536"/>
        <w:jc w:val="left"/>
        <w:rPr>
          <w:rFonts w:ascii="Times New Roman" w:eastAsia="宋体" w:hAnsi="Times New Roman" w:cs="Times New Roman"/>
          <w:kern w:val="0"/>
          <w:sz w:val="28"/>
          <w:szCs w:val="28"/>
        </w:rPr>
      </w:pPr>
      <w:r>
        <w:rPr>
          <w:rFonts w:ascii="Times New Roman" w:eastAsia="宋体" w:hAnsi="Times New Roman" w:cs="Times New Roman"/>
          <w:spacing w:val="-6"/>
          <w:kern w:val="0"/>
          <w:sz w:val="28"/>
          <w:szCs w:val="28"/>
        </w:rPr>
        <w:t>本项目</w:t>
      </w:r>
      <w:r>
        <w:rPr>
          <w:rFonts w:ascii="Times New Roman" w:eastAsia="宋体" w:hAnsi="Times New Roman" w:cs="Times New Roman"/>
          <w:color w:val="0D0D0D"/>
          <w:kern w:val="0"/>
          <w:sz w:val="28"/>
          <w:szCs w:val="28"/>
        </w:rPr>
        <w:t>永久占地规模</w:t>
      </w:r>
      <w:r>
        <w:rPr>
          <w:rFonts w:ascii="Times New Roman" w:eastAsia="宋体" w:hAnsi="Times New Roman" w:cs="Times New Roman"/>
          <w:color w:val="0D0D0D"/>
          <w:kern w:val="0"/>
          <w:sz w:val="28"/>
          <w:szCs w:val="28"/>
        </w:rPr>
        <w:t>5~50</w:t>
      </w:r>
      <w:r>
        <w:rPr>
          <w:rFonts w:ascii="Times New Roman" w:eastAsia="宋体" w:hAnsi="Times New Roman" w:cs="Times New Roman"/>
          <w:spacing w:val="-6"/>
          <w:kern w:val="0"/>
          <w:sz w:val="28"/>
          <w:szCs w:val="28"/>
        </w:rPr>
        <w:t xml:space="preserve"> hm</w:t>
      </w:r>
      <w:r>
        <w:rPr>
          <w:rFonts w:ascii="Times New Roman" w:eastAsia="宋体" w:hAnsi="Times New Roman" w:cs="Times New Roman"/>
          <w:spacing w:val="-6"/>
          <w:kern w:val="0"/>
          <w:sz w:val="28"/>
          <w:szCs w:val="28"/>
          <w:vertAlign w:val="superscript"/>
        </w:rPr>
        <w:t>2</w:t>
      </w:r>
      <w:r>
        <w:rPr>
          <w:rFonts w:ascii="Times New Roman" w:eastAsia="宋体" w:hAnsi="Times New Roman" w:cs="Times New Roman"/>
          <w:spacing w:val="-6"/>
          <w:kern w:val="0"/>
          <w:sz w:val="28"/>
          <w:szCs w:val="28"/>
        </w:rPr>
        <w:t>之间</w:t>
      </w:r>
      <w:r>
        <w:rPr>
          <w:rFonts w:ascii="Times New Roman" w:eastAsia="宋体" w:hAnsi="Times New Roman" w:cs="Times New Roman"/>
          <w:color w:val="0D0D0D"/>
          <w:kern w:val="0"/>
          <w:sz w:val="28"/>
          <w:szCs w:val="28"/>
        </w:rPr>
        <w:t>,</w:t>
      </w:r>
      <w:r>
        <w:rPr>
          <w:rFonts w:ascii="Times New Roman" w:eastAsia="宋体" w:hAnsi="Times New Roman" w:cs="Times New Roman"/>
          <w:color w:val="0D0D0D"/>
          <w:kern w:val="0"/>
          <w:sz w:val="28"/>
          <w:szCs w:val="28"/>
        </w:rPr>
        <w:t>属于中型项目。项目位于赣榆海州湾生物科技园内，本项目所在地周边存在居民，因此本项目的土壤环境敏感程度为敏感。</w:t>
      </w:r>
      <w:r>
        <w:rPr>
          <w:rFonts w:ascii="Times New Roman" w:eastAsia="宋体" w:hAnsi="Times New Roman" w:cs="Times New Roman"/>
          <w:spacing w:val="-6"/>
          <w:kern w:val="0"/>
          <w:sz w:val="28"/>
          <w:szCs w:val="28"/>
        </w:rPr>
        <w:t>根据《环境影响评价技术导则</w:t>
      </w:r>
      <w:r>
        <w:rPr>
          <w:rFonts w:ascii="Times New Roman" w:eastAsia="宋体" w:hAnsi="Times New Roman" w:cs="Times New Roman"/>
          <w:spacing w:val="-6"/>
          <w:kern w:val="0"/>
          <w:sz w:val="28"/>
          <w:szCs w:val="28"/>
        </w:rPr>
        <w:t xml:space="preserve"> </w:t>
      </w:r>
      <w:r>
        <w:rPr>
          <w:rFonts w:ascii="Times New Roman" w:eastAsia="宋体" w:hAnsi="Times New Roman" w:cs="Times New Roman"/>
          <w:spacing w:val="-6"/>
          <w:kern w:val="0"/>
          <w:sz w:val="28"/>
          <w:szCs w:val="28"/>
        </w:rPr>
        <w:t>土壤环境（试行）》（</w:t>
      </w:r>
      <w:r>
        <w:rPr>
          <w:rFonts w:ascii="Times New Roman" w:eastAsia="宋体" w:hAnsi="Times New Roman" w:cs="Times New Roman"/>
          <w:spacing w:val="-6"/>
          <w:kern w:val="0"/>
          <w:sz w:val="28"/>
          <w:szCs w:val="28"/>
        </w:rPr>
        <w:t>HJ964-2018</w:t>
      </w:r>
      <w:r>
        <w:rPr>
          <w:rFonts w:ascii="Times New Roman" w:eastAsia="宋体" w:hAnsi="Times New Roman" w:cs="Times New Roman"/>
          <w:spacing w:val="-6"/>
          <w:kern w:val="0"/>
          <w:sz w:val="28"/>
          <w:szCs w:val="28"/>
        </w:rPr>
        <w:t>），本</w:t>
      </w:r>
      <w:r>
        <w:rPr>
          <w:rFonts w:ascii="Times New Roman" w:eastAsia="宋体" w:hAnsi="Times New Roman" w:cs="Times New Roman"/>
          <w:kern w:val="0"/>
          <w:sz w:val="28"/>
          <w:szCs w:val="28"/>
        </w:rPr>
        <w:t>属于</w:t>
      </w:r>
      <w:r>
        <w:rPr>
          <w:rFonts w:ascii="宋体" w:eastAsia="宋体" w:hAnsi="宋体" w:cs="宋体" w:hint="eastAsia"/>
          <w:color w:val="0D0D0D"/>
          <w:kern w:val="0"/>
          <w:sz w:val="28"/>
          <w:szCs w:val="28"/>
        </w:rPr>
        <w:t>Ⅱ</w:t>
      </w:r>
      <w:r>
        <w:rPr>
          <w:rFonts w:ascii="Times New Roman" w:eastAsia="宋体" w:hAnsi="Times New Roman" w:cs="Times New Roman"/>
          <w:spacing w:val="-6"/>
          <w:kern w:val="0"/>
          <w:sz w:val="28"/>
          <w:szCs w:val="28"/>
        </w:rPr>
        <w:t>类项目</w:t>
      </w:r>
      <w:r>
        <w:rPr>
          <w:rFonts w:ascii="Times New Roman" w:eastAsia="宋体" w:hAnsi="Times New Roman" w:cs="Times New Roman"/>
          <w:spacing w:val="-6"/>
          <w:kern w:val="0"/>
          <w:sz w:val="28"/>
          <w:szCs w:val="28"/>
        </w:rPr>
        <w:t>,</w:t>
      </w:r>
      <w:r>
        <w:rPr>
          <w:rFonts w:ascii="Times New Roman" w:eastAsia="宋体" w:hAnsi="Times New Roman" w:cs="Times New Roman"/>
          <w:kern w:val="0"/>
          <w:sz w:val="28"/>
          <w:szCs w:val="28"/>
        </w:rPr>
        <w:t>根据污染影响型评价工作等级分级表</w:t>
      </w:r>
      <w:r>
        <w:rPr>
          <w:rFonts w:ascii="Times New Roman" w:eastAsia="宋体" w:hAnsi="Times New Roman" w:cs="Times New Roman"/>
          <w:kern w:val="0"/>
          <w:sz w:val="28"/>
          <w:szCs w:val="28"/>
        </w:rPr>
        <w:t>2.3-4</w:t>
      </w:r>
      <w:r>
        <w:rPr>
          <w:rFonts w:ascii="Times New Roman" w:eastAsia="宋体" w:hAnsi="Times New Roman" w:cs="Times New Roman"/>
          <w:kern w:val="0"/>
          <w:sz w:val="28"/>
          <w:szCs w:val="28"/>
        </w:rPr>
        <w:t>，项目土壤评价等级为二级。</w:t>
      </w:r>
    </w:p>
    <w:p w14:paraId="42D3E1D9"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2.4-3 </w:t>
      </w:r>
      <w:r>
        <w:rPr>
          <w:rFonts w:ascii="Times New Roman" w:eastAsia="宋体" w:hAnsi="Times New Roman" w:cs="Times New Roman"/>
          <w:b/>
          <w:szCs w:val="24"/>
        </w:rPr>
        <w:t>污染影响型评价工作等级分级表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4"/>
        <w:gridCol w:w="751"/>
        <w:gridCol w:w="922"/>
        <w:gridCol w:w="790"/>
        <w:gridCol w:w="798"/>
        <w:gridCol w:w="885"/>
        <w:gridCol w:w="780"/>
        <w:gridCol w:w="844"/>
        <w:gridCol w:w="891"/>
        <w:gridCol w:w="729"/>
      </w:tblGrid>
      <w:tr w:rsidR="002133E3" w14:paraId="53E5D868" w14:textId="77777777">
        <w:trPr>
          <w:trHeight w:val="330"/>
          <w:jc w:val="center"/>
        </w:trPr>
        <w:tc>
          <w:tcPr>
            <w:tcW w:w="1250" w:type="pct"/>
            <w:vMerge w:val="restart"/>
            <w:tcBorders>
              <w:tl2br w:val="single" w:sz="4" w:space="0" w:color="auto"/>
            </w:tcBorders>
            <w:vAlign w:val="center"/>
          </w:tcPr>
          <w:p w14:paraId="558C25DC"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 xml:space="preserve">           </w:t>
            </w:r>
            <w:r>
              <w:rPr>
                <w:rFonts w:ascii="Times New Roman" w:eastAsia="宋体" w:hAnsi="Times New Roman" w:cs="Times New Roman"/>
                <w:b/>
                <w:kern w:val="0"/>
                <w:szCs w:val="21"/>
              </w:rPr>
              <w:t>项目类别</w:t>
            </w:r>
          </w:p>
          <w:p w14:paraId="7C955591" w14:textId="77777777" w:rsidR="002133E3" w:rsidRDefault="00C22CFA">
            <w:pPr>
              <w:spacing w:line="320" w:lineRule="exact"/>
              <w:ind w:leftChars="-51" w:left="-107" w:rightChars="-51" w:right="-107"/>
              <w:jc w:val="left"/>
              <w:rPr>
                <w:rFonts w:ascii="Times New Roman" w:eastAsia="宋体" w:hAnsi="Times New Roman" w:cs="Times New Roman"/>
                <w:b/>
                <w:kern w:val="0"/>
                <w:szCs w:val="21"/>
              </w:rPr>
            </w:pPr>
            <w:r>
              <w:rPr>
                <w:rFonts w:ascii="Times New Roman" w:eastAsia="宋体" w:hAnsi="Times New Roman" w:cs="Times New Roman"/>
                <w:b/>
                <w:kern w:val="0"/>
                <w:szCs w:val="21"/>
              </w:rPr>
              <w:t>环境敏感程度</w:t>
            </w:r>
          </w:p>
        </w:tc>
        <w:tc>
          <w:tcPr>
            <w:tcW w:w="1250" w:type="pct"/>
            <w:gridSpan w:val="3"/>
            <w:vAlign w:val="center"/>
          </w:tcPr>
          <w:p w14:paraId="0800840E"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宋体" w:eastAsia="宋体" w:hAnsi="宋体" w:cs="宋体" w:hint="eastAsia"/>
                <w:b/>
                <w:kern w:val="0"/>
                <w:szCs w:val="21"/>
              </w:rPr>
              <w:t>Ⅰ</w:t>
            </w:r>
            <w:r>
              <w:rPr>
                <w:rFonts w:ascii="Times New Roman" w:eastAsia="宋体" w:hAnsi="Times New Roman" w:cs="Times New Roman"/>
                <w:b/>
                <w:kern w:val="0"/>
                <w:szCs w:val="21"/>
              </w:rPr>
              <w:t>类项目</w:t>
            </w:r>
          </w:p>
        </w:tc>
        <w:tc>
          <w:tcPr>
            <w:tcW w:w="1250" w:type="pct"/>
            <w:gridSpan w:val="3"/>
            <w:vAlign w:val="center"/>
          </w:tcPr>
          <w:p w14:paraId="16D6C19D"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宋体" w:eastAsia="宋体" w:hAnsi="宋体" w:cs="宋体" w:hint="eastAsia"/>
                <w:b/>
                <w:kern w:val="0"/>
                <w:szCs w:val="21"/>
              </w:rPr>
              <w:t>Ⅱ</w:t>
            </w:r>
            <w:r>
              <w:rPr>
                <w:rFonts w:ascii="Times New Roman" w:eastAsia="宋体" w:hAnsi="Times New Roman" w:cs="Times New Roman"/>
                <w:b/>
                <w:kern w:val="0"/>
                <w:szCs w:val="21"/>
              </w:rPr>
              <w:t>类项目</w:t>
            </w:r>
          </w:p>
        </w:tc>
        <w:tc>
          <w:tcPr>
            <w:tcW w:w="1250" w:type="pct"/>
            <w:gridSpan w:val="3"/>
            <w:vAlign w:val="center"/>
          </w:tcPr>
          <w:p w14:paraId="47CE642C"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宋体" w:eastAsia="宋体" w:hAnsi="宋体" w:cs="宋体" w:hint="eastAsia"/>
                <w:b/>
                <w:kern w:val="0"/>
                <w:szCs w:val="21"/>
              </w:rPr>
              <w:t>Ⅲ</w:t>
            </w:r>
            <w:r>
              <w:rPr>
                <w:rFonts w:ascii="Times New Roman" w:eastAsia="宋体" w:hAnsi="Times New Roman" w:cs="Times New Roman"/>
                <w:b/>
                <w:kern w:val="0"/>
                <w:szCs w:val="21"/>
              </w:rPr>
              <w:t>类项目</w:t>
            </w:r>
          </w:p>
        </w:tc>
      </w:tr>
      <w:tr w:rsidR="002133E3" w14:paraId="6D0061C4" w14:textId="77777777">
        <w:trPr>
          <w:trHeight w:val="247"/>
          <w:jc w:val="center"/>
        </w:trPr>
        <w:tc>
          <w:tcPr>
            <w:tcW w:w="1250" w:type="pct"/>
            <w:vMerge/>
            <w:tcBorders>
              <w:tl2br w:val="single" w:sz="4" w:space="0" w:color="auto"/>
            </w:tcBorders>
            <w:vAlign w:val="center"/>
          </w:tcPr>
          <w:p w14:paraId="33ABE141" w14:textId="77777777" w:rsidR="002133E3" w:rsidRDefault="002133E3">
            <w:pPr>
              <w:spacing w:line="320" w:lineRule="exact"/>
              <w:ind w:leftChars="-51" w:left="-107" w:rightChars="-51" w:right="-107"/>
              <w:jc w:val="center"/>
              <w:rPr>
                <w:rFonts w:ascii="Times New Roman" w:eastAsia="宋体" w:hAnsi="Times New Roman" w:cs="Times New Roman"/>
                <w:kern w:val="0"/>
                <w:szCs w:val="21"/>
              </w:rPr>
            </w:pPr>
          </w:p>
        </w:tc>
        <w:tc>
          <w:tcPr>
            <w:tcW w:w="381" w:type="pct"/>
            <w:vAlign w:val="center"/>
          </w:tcPr>
          <w:p w14:paraId="63ED3B6D"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大</w:t>
            </w:r>
          </w:p>
        </w:tc>
        <w:tc>
          <w:tcPr>
            <w:tcW w:w="468" w:type="pct"/>
            <w:vAlign w:val="center"/>
          </w:tcPr>
          <w:p w14:paraId="1F0DA302"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中</w:t>
            </w:r>
          </w:p>
        </w:tc>
        <w:tc>
          <w:tcPr>
            <w:tcW w:w="401" w:type="pct"/>
            <w:vAlign w:val="center"/>
          </w:tcPr>
          <w:p w14:paraId="69335878"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小</w:t>
            </w:r>
          </w:p>
        </w:tc>
        <w:tc>
          <w:tcPr>
            <w:tcW w:w="405" w:type="pct"/>
            <w:vAlign w:val="center"/>
          </w:tcPr>
          <w:p w14:paraId="71D5DE24"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大</w:t>
            </w:r>
          </w:p>
        </w:tc>
        <w:tc>
          <w:tcPr>
            <w:tcW w:w="449" w:type="pct"/>
            <w:vAlign w:val="center"/>
          </w:tcPr>
          <w:p w14:paraId="34B7F028"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中</w:t>
            </w:r>
          </w:p>
        </w:tc>
        <w:tc>
          <w:tcPr>
            <w:tcW w:w="396" w:type="pct"/>
            <w:vAlign w:val="center"/>
          </w:tcPr>
          <w:p w14:paraId="0F8509B9"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小</w:t>
            </w:r>
          </w:p>
        </w:tc>
        <w:tc>
          <w:tcPr>
            <w:tcW w:w="428" w:type="pct"/>
            <w:vAlign w:val="center"/>
          </w:tcPr>
          <w:p w14:paraId="7DD2B3DA"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大</w:t>
            </w:r>
          </w:p>
        </w:tc>
        <w:tc>
          <w:tcPr>
            <w:tcW w:w="452" w:type="pct"/>
            <w:vAlign w:val="center"/>
          </w:tcPr>
          <w:p w14:paraId="174AB480"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中</w:t>
            </w:r>
          </w:p>
        </w:tc>
        <w:tc>
          <w:tcPr>
            <w:tcW w:w="370" w:type="pct"/>
            <w:vAlign w:val="center"/>
          </w:tcPr>
          <w:p w14:paraId="27FB412F" w14:textId="77777777" w:rsidR="002133E3" w:rsidRDefault="00C22CFA">
            <w:pPr>
              <w:spacing w:line="320" w:lineRule="exact"/>
              <w:ind w:leftChars="-51" w:left="-107" w:rightChars="-51" w:right="-107"/>
              <w:jc w:val="center"/>
              <w:rPr>
                <w:rFonts w:ascii="Times New Roman" w:eastAsia="宋体" w:hAnsi="Times New Roman" w:cs="Times New Roman"/>
                <w:b/>
                <w:kern w:val="0"/>
                <w:szCs w:val="21"/>
              </w:rPr>
            </w:pPr>
            <w:r>
              <w:rPr>
                <w:rFonts w:ascii="Times New Roman" w:eastAsia="宋体" w:hAnsi="Times New Roman" w:cs="Times New Roman"/>
                <w:b/>
                <w:kern w:val="0"/>
                <w:szCs w:val="21"/>
              </w:rPr>
              <w:t>小</w:t>
            </w:r>
          </w:p>
        </w:tc>
      </w:tr>
      <w:tr w:rsidR="002133E3" w14:paraId="57569F8A" w14:textId="77777777">
        <w:trPr>
          <w:trHeight w:val="20"/>
          <w:jc w:val="center"/>
        </w:trPr>
        <w:tc>
          <w:tcPr>
            <w:tcW w:w="1250" w:type="pct"/>
            <w:vAlign w:val="center"/>
          </w:tcPr>
          <w:p w14:paraId="42B39729"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敏感</w:t>
            </w:r>
          </w:p>
        </w:tc>
        <w:tc>
          <w:tcPr>
            <w:tcW w:w="381" w:type="pct"/>
            <w:vAlign w:val="center"/>
          </w:tcPr>
          <w:p w14:paraId="7EBADC9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p>
        </w:tc>
        <w:tc>
          <w:tcPr>
            <w:tcW w:w="468" w:type="pct"/>
          </w:tcPr>
          <w:p w14:paraId="61AD0E0D"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p>
        </w:tc>
        <w:tc>
          <w:tcPr>
            <w:tcW w:w="401" w:type="pct"/>
          </w:tcPr>
          <w:p w14:paraId="4701055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p>
        </w:tc>
        <w:tc>
          <w:tcPr>
            <w:tcW w:w="405" w:type="pct"/>
            <w:vAlign w:val="center"/>
          </w:tcPr>
          <w:p w14:paraId="0D3643FB"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449" w:type="pct"/>
            <w:shd w:val="clear" w:color="auto" w:fill="D0CECE" w:themeFill="background2" w:themeFillShade="E6"/>
          </w:tcPr>
          <w:p w14:paraId="75DAAD33"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396" w:type="pct"/>
          </w:tcPr>
          <w:p w14:paraId="6133867F"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428" w:type="pct"/>
          </w:tcPr>
          <w:p w14:paraId="10BB917A"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452" w:type="pct"/>
          </w:tcPr>
          <w:p w14:paraId="06C8B8E9"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370" w:type="pct"/>
          </w:tcPr>
          <w:p w14:paraId="5D6A6FFA"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r>
      <w:tr w:rsidR="002133E3" w14:paraId="1FDA579B" w14:textId="77777777">
        <w:trPr>
          <w:trHeight w:val="20"/>
          <w:jc w:val="center"/>
        </w:trPr>
        <w:tc>
          <w:tcPr>
            <w:tcW w:w="1250" w:type="pct"/>
            <w:vAlign w:val="center"/>
          </w:tcPr>
          <w:p w14:paraId="3133432E"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较敏感</w:t>
            </w:r>
          </w:p>
        </w:tc>
        <w:tc>
          <w:tcPr>
            <w:tcW w:w="381" w:type="pct"/>
          </w:tcPr>
          <w:p w14:paraId="16A51195"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p>
        </w:tc>
        <w:tc>
          <w:tcPr>
            <w:tcW w:w="468" w:type="pct"/>
          </w:tcPr>
          <w:p w14:paraId="55A03ABF"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p>
        </w:tc>
        <w:tc>
          <w:tcPr>
            <w:tcW w:w="401" w:type="pct"/>
            <w:vAlign w:val="center"/>
          </w:tcPr>
          <w:p w14:paraId="7EFAA55F"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405" w:type="pct"/>
            <w:vAlign w:val="center"/>
          </w:tcPr>
          <w:p w14:paraId="70A7349B"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449" w:type="pct"/>
            <w:vAlign w:val="center"/>
          </w:tcPr>
          <w:p w14:paraId="599A0B5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396" w:type="pct"/>
          </w:tcPr>
          <w:p w14:paraId="05B17A73"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428" w:type="pct"/>
            <w:tcBorders>
              <w:bottom w:val="single" w:sz="4" w:space="0" w:color="auto"/>
            </w:tcBorders>
          </w:tcPr>
          <w:p w14:paraId="04B33498"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452" w:type="pct"/>
            <w:tcBorders>
              <w:bottom w:val="single" w:sz="4" w:space="0" w:color="auto"/>
            </w:tcBorders>
          </w:tcPr>
          <w:p w14:paraId="69F5622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370" w:type="pct"/>
            <w:tcBorders>
              <w:bottom w:val="single" w:sz="4" w:space="0" w:color="auto"/>
            </w:tcBorders>
          </w:tcPr>
          <w:p w14:paraId="05C2DE64"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1B0C43BE" w14:textId="77777777">
        <w:trPr>
          <w:trHeight w:val="20"/>
          <w:jc w:val="center"/>
        </w:trPr>
        <w:tc>
          <w:tcPr>
            <w:tcW w:w="1250" w:type="pct"/>
            <w:shd w:val="clear" w:color="auto" w:fill="auto"/>
            <w:vAlign w:val="center"/>
          </w:tcPr>
          <w:p w14:paraId="165F8E68"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不敏感</w:t>
            </w:r>
          </w:p>
        </w:tc>
        <w:tc>
          <w:tcPr>
            <w:tcW w:w="381" w:type="pct"/>
            <w:shd w:val="clear" w:color="auto" w:fill="auto"/>
          </w:tcPr>
          <w:p w14:paraId="6AE6EEFD"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p>
        </w:tc>
        <w:tc>
          <w:tcPr>
            <w:tcW w:w="468" w:type="pct"/>
            <w:shd w:val="clear" w:color="auto" w:fill="auto"/>
            <w:vAlign w:val="center"/>
          </w:tcPr>
          <w:p w14:paraId="386B5D7E"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401" w:type="pct"/>
            <w:shd w:val="clear" w:color="auto" w:fill="auto"/>
            <w:vAlign w:val="center"/>
          </w:tcPr>
          <w:p w14:paraId="09EE6EBD"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405" w:type="pct"/>
            <w:shd w:val="clear" w:color="auto" w:fill="auto"/>
            <w:vAlign w:val="center"/>
          </w:tcPr>
          <w:p w14:paraId="1B1AF279"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449" w:type="pct"/>
            <w:shd w:val="clear" w:color="auto" w:fill="auto"/>
            <w:vAlign w:val="center"/>
          </w:tcPr>
          <w:p w14:paraId="73D4CD11"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396" w:type="pct"/>
            <w:shd w:val="clear" w:color="auto" w:fill="auto"/>
          </w:tcPr>
          <w:p w14:paraId="45CBFF75"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428" w:type="pct"/>
            <w:shd w:val="clear" w:color="auto" w:fill="auto"/>
          </w:tcPr>
          <w:p w14:paraId="3E141621"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452" w:type="pct"/>
            <w:shd w:val="clear" w:color="auto" w:fill="auto"/>
          </w:tcPr>
          <w:p w14:paraId="23A1B5AC"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70" w:type="pct"/>
            <w:shd w:val="clear" w:color="auto" w:fill="auto"/>
          </w:tcPr>
          <w:p w14:paraId="0DC35E7B" w14:textId="77777777" w:rsidR="002133E3" w:rsidRDefault="00C22CFA">
            <w:pPr>
              <w:spacing w:line="320" w:lineRule="exact"/>
              <w:ind w:leftChars="-51" w:left="-107" w:rightChars="-51" w:right="-107"/>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5D1C1284" w14:textId="77777777">
        <w:trPr>
          <w:trHeight w:val="20"/>
          <w:jc w:val="center"/>
        </w:trPr>
        <w:tc>
          <w:tcPr>
            <w:tcW w:w="5000" w:type="pct"/>
            <w:gridSpan w:val="10"/>
            <w:shd w:val="clear" w:color="auto" w:fill="auto"/>
            <w:vAlign w:val="center"/>
          </w:tcPr>
          <w:p w14:paraId="408F8632" w14:textId="77777777" w:rsidR="002133E3" w:rsidRDefault="00C22CFA">
            <w:pPr>
              <w:spacing w:line="320" w:lineRule="exact"/>
              <w:ind w:leftChars="-51" w:left="-107" w:rightChars="-51" w:right="-107" w:firstLineChars="300" w:firstLine="630"/>
              <w:jc w:val="left"/>
              <w:rPr>
                <w:rFonts w:ascii="Times New Roman" w:eastAsia="宋体" w:hAnsi="Times New Roman" w:cs="Times New Roman"/>
                <w:kern w:val="0"/>
                <w:szCs w:val="21"/>
              </w:rPr>
            </w:pPr>
            <w:r>
              <w:rPr>
                <w:rFonts w:ascii="Times New Roman" w:eastAsia="宋体" w:hAnsi="Times New Roman" w:cs="Times New Roman"/>
                <w:kern w:val="0"/>
                <w:szCs w:val="21"/>
              </w:rPr>
              <w:t>注：</w:t>
            </w:r>
            <w:r>
              <w:rPr>
                <w:rFonts w:ascii="Times New Roman" w:eastAsia="宋体" w:hAnsi="Times New Roman" w:cs="Times New Roman"/>
                <w:kern w:val="0"/>
                <w:szCs w:val="21"/>
              </w:rPr>
              <w:t>“-”</w:t>
            </w:r>
            <w:r>
              <w:rPr>
                <w:rFonts w:ascii="Times New Roman" w:eastAsia="宋体" w:hAnsi="Times New Roman" w:cs="Times New Roman"/>
                <w:kern w:val="0"/>
                <w:szCs w:val="21"/>
              </w:rPr>
              <w:t>表示可不开展土壤环境影响评价工作</w:t>
            </w:r>
          </w:p>
        </w:tc>
      </w:tr>
    </w:tbl>
    <w:p w14:paraId="18FF3071"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(6) </w:t>
      </w:r>
      <w:r>
        <w:rPr>
          <w:rFonts w:ascii="Times New Roman" w:eastAsia="宋体" w:hAnsi="Times New Roman" w:cs="Times New Roman"/>
          <w:sz w:val="28"/>
          <w:szCs w:val="28"/>
        </w:rPr>
        <w:t>生态</w:t>
      </w:r>
    </w:p>
    <w:p w14:paraId="10F21467" w14:textId="77777777" w:rsidR="002133E3" w:rsidRDefault="00C22CFA">
      <w:pPr>
        <w:spacing w:line="500" w:lineRule="exact"/>
        <w:ind w:firstLineChars="200" w:firstLine="536"/>
        <w:jc w:val="left"/>
        <w:rPr>
          <w:rFonts w:ascii="Times New Roman" w:eastAsia="宋体" w:hAnsi="Times New Roman" w:cs="Times New Roman"/>
          <w:spacing w:val="-6"/>
          <w:kern w:val="0"/>
          <w:sz w:val="28"/>
          <w:szCs w:val="28"/>
        </w:rPr>
      </w:pPr>
      <w:r>
        <w:rPr>
          <w:rFonts w:ascii="Times New Roman" w:eastAsia="宋体" w:hAnsi="Times New Roman" w:cs="Times New Roman"/>
          <w:spacing w:val="-6"/>
          <w:kern w:val="0"/>
          <w:sz w:val="28"/>
          <w:szCs w:val="28"/>
        </w:rPr>
        <w:t>根据《环境影响评价技术导则</w:t>
      </w:r>
      <w:r>
        <w:rPr>
          <w:rFonts w:ascii="Times New Roman" w:eastAsia="宋体" w:hAnsi="Times New Roman" w:cs="Times New Roman"/>
          <w:spacing w:val="-6"/>
          <w:kern w:val="0"/>
          <w:sz w:val="28"/>
          <w:szCs w:val="28"/>
        </w:rPr>
        <w:t xml:space="preserve"> </w:t>
      </w:r>
      <w:r>
        <w:rPr>
          <w:rFonts w:ascii="Times New Roman" w:eastAsia="宋体" w:hAnsi="Times New Roman" w:cs="Times New Roman"/>
          <w:spacing w:val="-6"/>
          <w:kern w:val="0"/>
          <w:sz w:val="28"/>
          <w:szCs w:val="28"/>
        </w:rPr>
        <w:t>生态影响》（</w:t>
      </w:r>
      <w:r>
        <w:rPr>
          <w:rFonts w:ascii="Times New Roman" w:eastAsia="宋体" w:hAnsi="Times New Roman" w:cs="Times New Roman"/>
          <w:spacing w:val="-6"/>
          <w:kern w:val="0"/>
          <w:sz w:val="28"/>
          <w:szCs w:val="28"/>
        </w:rPr>
        <w:t>HJ19-2011</w:t>
      </w:r>
      <w:r>
        <w:rPr>
          <w:rFonts w:ascii="Times New Roman" w:eastAsia="宋体" w:hAnsi="Times New Roman" w:cs="Times New Roman"/>
          <w:spacing w:val="-6"/>
          <w:kern w:val="0"/>
          <w:sz w:val="28"/>
          <w:szCs w:val="28"/>
        </w:rPr>
        <w:t>）中生态影响评价等级工作划分的相关规定，本项目位于原厂界（或永久用地）范围内的工业类技改项目，可做生态影响分析。</w:t>
      </w:r>
    </w:p>
    <w:p w14:paraId="3205737C"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(7) </w:t>
      </w:r>
      <w:r>
        <w:rPr>
          <w:rFonts w:ascii="Times New Roman" w:eastAsia="宋体" w:hAnsi="Times New Roman" w:cs="Times New Roman"/>
          <w:sz w:val="28"/>
          <w:szCs w:val="28"/>
        </w:rPr>
        <w:t>风险评价</w:t>
      </w:r>
    </w:p>
    <w:p w14:paraId="162C1B24" w14:textId="77777777" w:rsidR="002133E3" w:rsidRDefault="00C22CFA">
      <w:pPr>
        <w:spacing w:line="500" w:lineRule="exact"/>
        <w:ind w:firstLineChars="200" w:firstLine="560"/>
        <w:rPr>
          <w:rFonts w:ascii="Times New Roman" w:eastAsia="宋体" w:hAnsi="Times New Roman" w:cs="Times New Roman"/>
          <w:bCs/>
          <w:snapToGrid w:val="0"/>
          <w:sz w:val="28"/>
          <w:szCs w:val="24"/>
        </w:rPr>
      </w:pPr>
      <w:r>
        <w:rPr>
          <w:rFonts w:ascii="Times New Roman" w:eastAsia="宋体" w:hAnsi="Times New Roman" w:cs="Times New Roman"/>
          <w:bCs/>
          <w:snapToGrid w:val="0"/>
          <w:sz w:val="28"/>
          <w:szCs w:val="24"/>
        </w:rPr>
        <w:t>根据《建设项目环境风险评价技术导则》</w:t>
      </w:r>
      <w:r>
        <w:rPr>
          <w:rFonts w:ascii="Times New Roman" w:eastAsia="宋体" w:hAnsi="Times New Roman" w:cs="Times New Roman"/>
          <w:bCs/>
          <w:snapToGrid w:val="0"/>
          <w:sz w:val="28"/>
          <w:szCs w:val="24"/>
        </w:rPr>
        <w:t>(HJ/T169-2018)</w:t>
      </w:r>
      <w:r>
        <w:rPr>
          <w:rFonts w:ascii="Times New Roman" w:eastAsia="宋体" w:hAnsi="Times New Roman" w:cs="Times New Roman"/>
          <w:bCs/>
          <w:snapToGrid w:val="0"/>
          <w:sz w:val="28"/>
          <w:szCs w:val="24"/>
        </w:rPr>
        <w:t>，根据建设项目涉</w:t>
      </w:r>
      <w:r>
        <w:rPr>
          <w:rFonts w:ascii="Times New Roman" w:eastAsia="宋体" w:hAnsi="Times New Roman" w:cs="Times New Roman"/>
          <w:bCs/>
          <w:snapToGrid w:val="0"/>
          <w:sz w:val="28"/>
          <w:szCs w:val="24"/>
        </w:rPr>
        <w:lastRenderedPageBreak/>
        <w:t>及的物质及工艺系统危险性和所在地的环境敏感性确定环境风险潜势，风险潜势为</w:t>
      </w:r>
      <w:r>
        <w:rPr>
          <w:rFonts w:ascii="Times New Roman" w:eastAsia="宋体" w:hAnsi="Times New Roman" w:cs="Times New Roman"/>
          <w:bCs/>
          <w:snapToGrid w:val="0"/>
          <w:sz w:val="28"/>
          <w:szCs w:val="24"/>
        </w:rPr>
        <w:t>IV</w:t>
      </w:r>
      <w:r>
        <w:rPr>
          <w:rFonts w:ascii="Times New Roman" w:eastAsia="宋体" w:hAnsi="Times New Roman" w:cs="Times New Roman"/>
          <w:bCs/>
          <w:snapToGrid w:val="0"/>
          <w:sz w:val="28"/>
          <w:szCs w:val="24"/>
        </w:rPr>
        <w:t>及以上，进行一级评价；风险潜势为</w:t>
      </w:r>
      <w:r>
        <w:rPr>
          <w:rFonts w:ascii="Times New Roman" w:eastAsia="宋体" w:hAnsi="Times New Roman" w:cs="Times New Roman"/>
          <w:bCs/>
          <w:snapToGrid w:val="0"/>
          <w:sz w:val="28"/>
          <w:szCs w:val="24"/>
        </w:rPr>
        <w:t>III</w:t>
      </w:r>
      <w:r>
        <w:rPr>
          <w:rFonts w:ascii="Times New Roman" w:eastAsia="宋体" w:hAnsi="Times New Roman" w:cs="Times New Roman"/>
          <w:bCs/>
          <w:snapToGrid w:val="0"/>
          <w:sz w:val="28"/>
          <w:szCs w:val="24"/>
        </w:rPr>
        <w:t>，进行二级评价；风险潜势为</w:t>
      </w:r>
      <w:r>
        <w:rPr>
          <w:rFonts w:ascii="Times New Roman" w:eastAsia="宋体" w:hAnsi="Times New Roman" w:cs="Times New Roman"/>
          <w:bCs/>
          <w:snapToGrid w:val="0"/>
          <w:sz w:val="28"/>
          <w:szCs w:val="24"/>
        </w:rPr>
        <w:t>II</w:t>
      </w:r>
      <w:r>
        <w:rPr>
          <w:rFonts w:ascii="Times New Roman" w:eastAsia="宋体" w:hAnsi="Times New Roman" w:cs="Times New Roman"/>
          <w:bCs/>
          <w:snapToGrid w:val="0"/>
          <w:sz w:val="28"/>
          <w:szCs w:val="24"/>
        </w:rPr>
        <w:t>，进行三级评价；风险潜势为</w:t>
      </w:r>
      <w:r>
        <w:rPr>
          <w:rFonts w:ascii="Times New Roman" w:eastAsia="宋体" w:hAnsi="Times New Roman" w:cs="Times New Roman"/>
          <w:bCs/>
          <w:snapToGrid w:val="0"/>
          <w:sz w:val="28"/>
          <w:szCs w:val="24"/>
        </w:rPr>
        <w:t>I</w:t>
      </w:r>
      <w:r>
        <w:rPr>
          <w:rFonts w:ascii="Times New Roman" w:eastAsia="宋体" w:hAnsi="Times New Roman" w:cs="Times New Roman"/>
          <w:bCs/>
          <w:snapToGrid w:val="0"/>
          <w:sz w:val="28"/>
          <w:szCs w:val="24"/>
        </w:rPr>
        <w:t>，可开展简单分析。</w:t>
      </w:r>
    </w:p>
    <w:p w14:paraId="3519E54F" w14:textId="77777777" w:rsidR="002133E3" w:rsidRDefault="00C22CFA">
      <w:pPr>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评价等级的判定见表</w:t>
      </w:r>
      <w:r>
        <w:rPr>
          <w:rFonts w:ascii="Times New Roman" w:eastAsia="宋体" w:hAnsi="Times New Roman" w:cs="Times New Roman"/>
          <w:sz w:val="28"/>
          <w:szCs w:val="24"/>
        </w:rPr>
        <w:t>2.4-4</w:t>
      </w:r>
      <w:r>
        <w:rPr>
          <w:rFonts w:ascii="Times New Roman" w:eastAsia="宋体" w:hAnsi="Times New Roman" w:cs="Times New Roman"/>
          <w:sz w:val="28"/>
          <w:szCs w:val="24"/>
        </w:rPr>
        <w:t>。</w:t>
      </w:r>
    </w:p>
    <w:p w14:paraId="3D7EC823" w14:textId="77777777" w:rsidR="002133E3" w:rsidRDefault="00C22CFA">
      <w:pPr>
        <w:spacing w:line="5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2.4-4 </w:t>
      </w:r>
      <w:r>
        <w:rPr>
          <w:rFonts w:ascii="Times New Roman" w:eastAsia="宋体" w:hAnsi="Times New Roman" w:cs="Times New Roman"/>
          <w:b/>
          <w:spacing w:val="-6"/>
          <w:kern w:val="0"/>
          <w:szCs w:val="21"/>
        </w:rPr>
        <w:t>评价工作等级</w:t>
      </w:r>
    </w:p>
    <w:tbl>
      <w:tblPr>
        <w:tblW w:w="0" w:type="auto"/>
        <w:jc w:val="center"/>
        <w:tblLayout w:type="fixed"/>
        <w:tblCellMar>
          <w:left w:w="0" w:type="dxa"/>
          <w:right w:w="0" w:type="dxa"/>
        </w:tblCellMar>
        <w:tblLook w:val="04A0" w:firstRow="1" w:lastRow="0" w:firstColumn="1" w:lastColumn="0" w:noHBand="0" w:noVBand="1"/>
      </w:tblPr>
      <w:tblGrid>
        <w:gridCol w:w="1790"/>
        <w:gridCol w:w="1684"/>
        <w:gridCol w:w="1928"/>
        <w:gridCol w:w="1934"/>
        <w:gridCol w:w="2199"/>
      </w:tblGrid>
      <w:tr w:rsidR="002133E3" w14:paraId="6CAEBA5C" w14:textId="77777777">
        <w:trPr>
          <w:trHeight w:val="340"/>
          <w:jc w:val="center"/>
        </w:trPr>
        <w:tc>
          <w:tcPr>
            <w:tcW w:w="1790" w:type="dxa"/>
            <w:tcBorders>
              <w:top w:val="single" w:sz="4" w:space="0" w:color="auto"/>
              <w:left w:val="single" w:sz="4" w:space="0" w:color="auto"/>
              <w:bottom w:val="nil"/>
              <w:right w:val="nil"/>
            </w:tcBorders>
            <w:vAlign w:val="center"/>
          </w:tcPr>
          <w:p w14:paraId="43D0C8A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环境风险潜势</w:t>
            </w:r>
          </w:p>
        </w:tc>
        <w:tc>
          <w:tcPr>
            <w:tcW w:w="1684" w:type="dxa"/>
            <w:tcBorders>
              <w:top w:val="single" w:sz="4" w:space="0" w:color="auto"/>
              <w:left w:val="single" w:sz="4" w:space="0" w:color="auto"/>
              <w:bottom w:val="nil"/>
              <w:right w:val="nil"/>
            </w:tcBorders>
            <w:vAlign w:val="center"/>
          </w:tcPr>
          <w:p w14:paraId="3BAE4B4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IV</w:t>
            </w:r>
            <w:r>
              <w:rPr>
                <w:rFonts w:ascii="Times New Roman" w:eastAsia="宋体" w:hAnsi="Times New Roman" w:cs="Times New Roman"/>
                <w:szCs w:val="21"/>
              </w:rPr>
              <w:t>、</w:t>
            </w:r>
            <w:r>
              <w:rPr>
                <w:rFonts w:ascii="Times New Roman" w:eastAsia="宋体" w:hAnsi="Times New Roman" w:cs="Times New Roman"/>
                <w:kern w:val="0"/>
                <w:szCs w:val="21"/>
              </w:rPr>
              <w:t>IV</w:t>
            </w:r>
            <w:r>
              <w:rPr>
                <w:rFonts w:ascii="Times New Roman" w:eastAsia="宋体" w:hAnsi="Times New Roman" w:cs="Times New Roman"/>
                <w:szCs w:val="21"/>
                <w:vertAlign w:val="superscript"/>
              </w:rPr>
              <w:t>+</w:t>
            </w:r>
          </w:p>
        </w:tc>
        <w:tc>
          <w:tcPr>
            <w:tcW w:w="1928" w:type="dxa"/>
            <w:tcBorders>
              <w:top w:val="single" w:sz="4" w:space="0" w:color="auto"/>
              <w:left w:val="single" w:sz="4" w:space="0" w:color="auto"/>
              <w:bottom w:val="nil"/>
              <w:right w:val="nil"/>
            </w:tcBorders>
            <w:vAlign w:val="center"/>
          </w:tcPr>
          <w:p w14:paraId="288B3E8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III</w:t>
            </w:r>
          </w:p>
        </w:tc>
        <w:tc>
          <w:tcPr>
            <w:tcW w:w="1934" w:type="dxa"/>
            <w:tcBorders>
              <w:top w:val="single" w:sz="4" w:space="0" w:color="auto"/>
              <w:left w:val="single" w:sz="4" w:space="0" w:color="auto"/>
              <w:bottom w:val="nil"/>
              <w:right w:val="nil"/>
            </w:tcBorders>
            <w:vAlign w:val="center"/>
          </w:tcPr>
          <w:p w14:paraId="00EBC44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II</w:t>
            </w:r>
          </w:p>
        </w:tc>
        <w:tc>
          <w:tcPr>
            <w:tcW w:w="2199" w:type="dxa"/>
            <w:tcBorders>
              <w:top w:val="single" w:sz="4" w:space="0" w:color="auto"/>
              <w:left w:val="single" w:sz="4" w:space="0" w:color="auto"/>
              <w:bottom w:val="nil"/>
              <w:right w:val="single" w:sz="4" w:space="0" w:color="auto"/>
            </w:tcBorders>
            <w:vAlign w:val="center"/>
          </w:tcPr>
          <w:p w14:paraId="6FD580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I</w:t>
            </w:r>
          </w:p>
        </w:tc>
      </w:tr>
      <w:tr w:rsidR="002133E3" w14:paraId="774596F8" w14:textId="77777777">
        <w:trPr>
          <w:trHeight w:val="340"/>
          <w:jc w:val="center"/>
        </w:trPr>
        <w:tc>
          <w:tcPr>
            <w:tcW w:w="1790" w:type="dxa"/>
            <w:tcBorders>
              <w:top w:val="single" w:sz="4" w:space="0" w:color="auto"/>
              <w:left w:val="single" w:sz="4" w:space="0" w:color="auto"/>
              <w:bottom w:val="nil"/>
              <w:right w:val="nil"/>
            </w:tcBorders>
            <w:vAlign w:val="center"/>
          </w:tcPr>
          <w:p w14:paraId="0630525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评价工作等级</w:t>
            </w:r>
          </w:p>
        </w:tc>
        <w:tc>
          <w:tcPr>
            <w:tcW w:w="1684" w:type="dxa"/>
            <w:tcBorders>
              <w:top w:val="single" w:sz="4" w:space="0" w:color="auto"/>
              <w:left w:val="single" w:sz="4" w:space="0" w:color="auto"/>
              <w:bottom w:val="nil"/>
              <w:right w:val="nil"/>
            </w:tcBorders>
            <w:vAlign w:val="center"/>
          </w:tcPr>
          <w:p w14:paraId="06D36A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一</w:t>
            </w:r>
          </w:p>
        </w:tc>
        <w:tc>
          <w:tcPr>
            <w:tcW w:w="1928" w:type="dxa"/>
            <w:tcBorders>
              <w:top w:val="single" w:sz="4" w:space="0" w:color="auto"/>
              <w:left w:val="single" w:sz="4" w:space="0" w:color="auto"/>
              <w:bottom w:val="nil"/>
              <w:right w:val="nil"/>
            </w:tcBorders>
            <w:vAlign w:val="center"/>
          </w:tcPr>
          <w:p w14:paraId="77B932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二</w:t>
            </w:r>
          </w:p>
        </w:tc>
        <w:tc>
          <w:tcPr>
            <w:tcW w:w="1934" w:type="dxa"/>
            <w:tcBorders>
              <w:top w:val="single" w:sz="4" w:space="0" w:color="auto"/>
              <w:left w:val="single" w:sz="4" w:space="0" w:color="auto"/>
              <w:bottom w:val="nil"/>
              <w:right w:val="nil"/>
            </w:tcBorders>
            <w:vAlign w:val="center"/>
          </w:tcPr>
          <w:p w14:paraId="16E396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三</w:t>
            </w:r>
          </w:p>
        </w:tc>
        <w:tc>
          <w:tcPr>
            <w:tcW w:w="2199" w:type="dxa"/>
            <w:tcBorders>
              <w:top w:val="single" w:sz="4" w:space="0" w:color="auto"/>
              <w:left w:val="single" w:sz="4" w:space="0" w:color="auto"/>
              <w:bottom w:val="nil"/>
              <w:right w:val="single" w:sz="4" w:space="0" w:color="auto"/>
            </w:tcBorders>
            <w:vAlign w:val="center"/>
          </w:tcPr>
          <w:p w14:paraId="34107AD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简单分析</w:t>
            </w:r>
            <w:r>
              <w:rPr>
                <w:rFonts w:ascii="Times New Roman" w:eastAsia="宋体" w:hAnsi="Times New Roman" w:cs="Times New Roman"/>
                <w:kern w:val="0"/>
                <w:szCs w:val="21"/>
                <w:vertAlign w:val="superscript"/>
              </w:rPr>
              <w:t>a</w:t>
            </w:r>
          </w:p>
        </w:tc>
      </w:tr>
      <w:tr w:rsidR="002133E3" w14:paraId="5AF75F7F" w14:textId="77777777">
        <w:trPr>
          <w:trHeight w:val="340"/>
          <w:jc w:val="center"/>
        </w:trPr>
        <w:tc>
          <w:tcPr>
            <w:tcW w:w="9535" w:type="dxa"/>
            <w:gridSpan w:val="5"/>
            <w:tcBorders>
              <w:top w:val="single" w:sz="4" w:space="0" w:color="auto"/>
              <w:left w:val="single" w:sz="4" w:space="0" w:color="auto"/>
              <w:bottom w:val="single" w:sz="4" w:space="0" w:color="auto"/>
              <w:right w:val="single" w:sz="4" w:space="0" w:color="auto"/>
            </w:tcBorders>
            <w:vAlign w:val="center"/>
          </w:tcPr>
          <w:p w14:paraId="43BD9484"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vertAlign w:val="superscript"/>
              </w:rPr>
              <w:t>a</w:t>
            </w:r>
            <w:r>
              <w:rPr>
                <w:rFonts w:ascii="Times New Roman" w:eastAsia="宋体" w:hAnsi="Times New Roman" w:cs="Times New Roman"/>
                <w:szCs w:val="21"/>
                <w:lang w:val="zh-TW" w:eastAsia="zh-TW"/>
              </w:rPr>
              <w:t>是相对于详细评价工作内容而言，在描述危险物质、环境影响途径、环境危害后果</w:t>
            </w:r>
            <w:r>
              <w:rPr>
                <w:rFonts w:ascii="Times New Roman" w:eastAsia="宋体" w:hAnsi="Times New Roman" w:cs="Times New Roman"/>
                <w:szCs w:val="21"/>
                <w:lang w:val="zh-TW"/>
              </w:rPr>
              <w:t>、</w:t>
            </w:r>
            <w:r>
              <w:rPr>
                <w:rFonts w:ascii="Times New Roman" w:eastAsia="宋体" w:hAnsi="Times New Roman" w:cs="Times New Roman"/>
                <w:szCs w:val="21"/>
                <w:lang w:val="zh-TW" w:eastAsia="zh-TW"/>
              </w:rPr>
              <w:t>风险防范措施等方面给出定性的说明。</w:t>
            </w:r>
          </w:p>
        </w:tc>
      </w:tr>
    </w:tbl>
    <w:p w14:paraId="5F177948" w14:textId="77777777" w:rsidR="002133E3" w:rsidRDefault="00C22CFA">
      <w:pPr>
        <w:spacing w:line="500" w:lineRule="exact"/>
        <w:ind w:firstLineChars="200" w:firstLine="560"/>
        <w:rPr>
          <w:rFonts w:ascii="Times New Roman" w:eastAsia="宋体" w:hAnsi="Times New Roman" w:cs="Times New Roman"/>
          <w:bCs/>
          <w:snapToGrid w:val="0"/>
          <w:sz w:val="28"/>
          <w:szCs w:val="24"/>
        </w:rPr>
      </w:pPr>
      <w:r>
        <w:rPr>
          <w:rFonts w:ascii="Times New Roman" w:eastAsia="宋体" w:hAnsi="Times New Roman" w:cs="Times New Roman"/>
          <w:bCs/>
          <w:snapToGrid w:val="0"/>
          <w:sz w:val="28"/>
          <w:szCs w:val="24"/>
        </w:rPr>
        <w:t>本项目大气环境风险潜势均为</w:t>
      </w:r>
      <w:r>
        <w:rPr>
          <w:rFonts w:ascii="宋体" w:eastAsia="宋体" w:hAnsi="宋体" w:cs="宋体" w:hint="eastAsia"/>
          <w:bCs/>
          <w:snapToGrid w:val="0"/>
          <w:sz w:val="28"/>
          <w:szCs w:val="24"/>
        </w:rPr>
        <w:t>Ⅲ</w:t>
      </w:r>
      <w:r>
        <w:rPr>
          <w:rFonts w:ascii="Times New Roman" w:eastAsia="宋体" w:hAnsi="Times New Roman" w:cs="Times New Roman"/>
          <w:bCs/>
          <w:snapToGrid w:val="0"/>
          <w:sz w:val="28"/>
          <w:szCs w:val="24"/>
        </w:rPr>
        <w:t>级、地表水环境风险潜势均为</w:t>
      </w:r>
      <w:r>
        <w:rPr>
          <w:rFonts w:ascii="Times New Roman" w:eastAsia="宋体" w:hAnsi="Times New Roman" w:cs="Times New Roman"/>
          <w:bCs/>
          <w:snapToGrid w:val="0"/>
          <w:sz w:val="28"/>
          <w:szCs w:val="24"/>
        </w:rPr>
        <w:t>II</w:t>
      </w:r>
      <w:r>
        <w:rPr>
          <w:rFonts w:ascii="Times New Roman" w:eastAsia="宋体" w:hAnsi="Times New Roman" w:cs="Times New Roman"/>
          <w:bCs/>
          <w:snapToGrid w:val="0"/>
          <w:sz w:val="28"/>
          <w:szCs w:val="24"/>
        </w:rPr>
        <w:t>级、地下水环境风险潜势均为</w:t>
      </w:r>
      <w:r>
        <w:rPr>
          <w:rFonts w:ascii="Times New Roman" w:eastAsia="宋体" w:hAnsi="Times New Roman" w:cs="Times New Roman"/>
          <w:bCs/>
          <w:snapToGrid w:val="0"/>
          <w:sz w:val="28"/>
          <w:szCs w:val="24"/>
        </w:rPr>
        <w:t>I</w:t>
      </w:r>
      <w:r>
        <w:rPr>
          <w:rFonts w:ascii="Times New Roman" w:eastAsia="宋体" w:hAnsi="Times New Roman" w:cs="Times New Roman"/>
          <w:bCs/>
          <w:snapToGrid w:val="0"/>
          <w:sz w:val="28"/>
          <w:szCs w:val="24"/>
        </w:rPr>
        <w:t>级。由表</w:t>
      </w:r>
      <w:r>
        <w:rPr>
          <w:rFonts w:ascii="Times New Roman" w:eastAsia="宋体" w:hAnsi="Times New Roman" w:cs="Times New Roman"/>
          <w:bCs/>
          <w:snapToGrid w:val="0"/>
          <w:sz w:val="28"/>
          <w:szCs w:val="24"/>
        </w:rPr>
        <w:t>2.14-4</w:t>
      </w:r>
      <w:r>
        <w:rPr>
          <w:rFonts w:ascii="Times New Roman" w:eastAsia="宋体" w:hAnsi="Times New Roman" w:cs="Times New Roman"/>
          <w:bCs/>
          <w:snapToGrid w:val="0"/>
          <w:sz w:val="28"/>
          <w:szCs w:val="24"/>
        </w:rPr>
        <w:t>可知，本项目大气环境风险评价等级为二级、地表水环境风险评价等级为三级、地下水环境风险可简单分析。</w:t>
      </w:r>
    </w:p>
    <w:p w14:paraId="22949972"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综上，本次环评评价等级见表</w:t>
      </w:r>
      <w:r>
        <w:rPr>
          <w:rFonts w:ascii="Times New Roman" w:eastAsia="宋体" w:hAnsi="Times New Roman" w:cs="Times New Roman"/>
          <w:kern w:val="0"/>
          <w:sz w:val="28"/>
          <w:szCs w:val="28"/>
        </w:rPr>
        <w:t>2.4-5</w:t>
      </w:r>
      <w:r>
        <w:rPr>
          <w:rFonts w:ascii="Times New Roman" w:eastAsia="宋体" w:hAnsi="Times New Roman" w:cs="Times New Roman"/>
          <w:kern w:val="0"/>
          <w:sz w:val="28"/>
          <w:szCs w:val="28"/>
        </w:rPr>
        <w:t>。</w:t>
      </w:r>
    </w:p>
    <w:p w14:paraId="39CF7F89" w14:textId="77777777" w:rsidR="002133E3" w:rsidRDefault="00C22CFA">
      <w:pPr>
        <w:spacing w:line="5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2.4-5 </w:t>
      </w:r>
      <w:r>
        <w:rPr>
          <w:rFonts w:ascii="Times New Roman" w:eastAsia="宋体" w:hAnsi="Times New Roman" w:cs="Times New Roman"/>
          <w:b/>
          <w:spacing w:val="-6"/>
          <w:kern w:val="0"/>
          <w:szCs w:val="21"/>
        </w:rPr>
        <w:t>评价等级表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871"/>
        <w:gridCol w:w="1015"/>
        <w:gridCol w:w="871"/>
        <w:gridCol w:w="1015"/>
        <w:gridCol w:w="1015"/>
        <w:gridCol w:w="1596"/>
        <w:gridCol w:w="2316"/>
      </w:tblGrid>
      <w:tr w:rsidR="002133E3" w14:paraId="27B87EAB" w14:textId="77777777">
        <w:trPr>
          <w:trHeight w:val="105"/>
          <w:jc w:val="center"/>
        </w:trPr>
        <w:tc>
          <w:tcPr>
            <w:tcW w:w="586" w:type="pct"/>
            <w:vAlign w:val="center"/>
          </w:tcPr>
          <w:p w14:paraId="685C6B6E"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类别</w:t>
            </w:r>
          </w:p>
        </w:tc>
        <w:tc>
          <w:tcPr>
            <w:tcW w:w="442" w:type="pct"/>
            <w:vAlign w:val="center"/>
          </w:tcPr>
          <w:p w14:paraId="3C9251CC"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大气</w:t>
            </w:r>
          </w:p>
        </w:tc>
        <w:tc>
          <w:tcPr>
            <w:tcW w:w="515" w:type="pct"/>
            <w:vAlign w:val="center"/>
          </w:tcPr>
          <w:p w14:paraId="5458DC18"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地表水</w:t>
            </w:r>
          </w:p>
        </w:tc>
        <w:tc>
          <w:tcPr>
            <w:tcW w:w="442" w:type="pct"/>
            <w:vAlign w:val="center"/>
          </w:tcPr>
          <w:p w14:paraId="70006E84"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声</w:t>
            </w:r>
          </w:p>
        </w:tc>
        <w:tc>
          <w:tcPr>
            <w:tcW w:w="515" w:type="pct"/>
            <w:vAlign w:val="center"/>
          </w:tcPr>
          <w:p w14:paraId="5B9CAA13"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地下水</w:t>
            </w:r>
          </w:p>
        </w:tc>
        <w:tc>
          <w:tcPr>
            <w:tcW w:w="515" w:type="pct"/>
            <w:vAlign w:val="center"/>
          </w:tcPr>
          <w:p w14:paraId="243578F0"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土壤</w:t>
            </w:r>
          </w:p>
        </w:tc>
        <w:tc>
          <w:tcPr>
            <w:tcW w:w="810" w:type="pct"/>
            <w:vAlign w:val="center"/>
          </w:tcPr>
          <w:p w14:paraId="326D6774"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生态</w:t>
            </w:r>
          </w:p>
        </w:tc>
        <w:tc>
          <w:tcPr>
            <w:tcW w:w="1175" w:type="pct"/>
            <w:vAlign w:val="center"/>
          </w:tcPr>
          <w:p w14:paraId="2A26A5EF"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风险</w:t>
            </w:r>
          </w:p>
        </w:tc>
      </w:tr>
      <w:tr w:rsidR="002133E3" w14:paraId="2CF76EBC" w14:textId="77777777">
        <w:trPr>
          <w:trHeight w:val="142"/>
          <w:jc w:val="center"/>
        </w:trPr>
        <w:tc>
          <w:tcPr>
            <w:tcW w:w="586" w:type="pct"/>
            <w:vAlign w:val="center"/>
          </w:tcPr>
          <w:p w14:paraId="6BE02C7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评价等级</w:t>
            </w:r>
          </w:p>
        </w:tc>
        <w:tc>
          <w:tcPr>
            <w:tcW w:w="442" w:type="pct"/>
            <w:vAlign w:val="center"/>
          </w:tcPr>
          <w:p w14:paraId="121733A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515" w:type="pct"/>
            <w:vAlign w:val="center"/>
          </w:tcPr>
          <w:p w14:paraId="1F25D79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r>
              <w:rPr>
                <w:rFonts w:ascii="Times New Roman" w:eastAsia="宋体" w:hAnsi="Times New Roman" w:cs="Times New Roman"/>
                <w:kern w:val="0"/>
                <w:szCs w:val="21"/>
              </w:rPr>
              <w:t>B</w:t>
            </w:r>
          </w:p>
        </w:tc>
        <w:tc>
          <w:tcPr>
            <w:tcW w:w="442" w:type="pct"/>
            <w:vAlign w:val="center"/>
          </w:tcPr>
          <w:p w14:paraId="09CCF66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515" w:type="pct"/>
            <w:vAlign w:val="center"/>
          </w:tcPr>
          <w:p w14:paraId="1716986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p>
        </w:tc>
        <w:tc>
          <w:tcPr>
            <w:tcW w:w="515" w:type="pct"/>
            <w:vAlign w:val="center"/>
          </w:tcPr>
          <w:p w14:paraId="58E0807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810" w:type="pct"/>
            <w:vAlign w:val="center"/>
          </w:tcPr>
          <w:p w14:paraId="37ADADD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生态影响分析</w:t>
            </w:r>
          </w:p>
        </w:tc>
        <w:tc>
          <w:tcPr>
            <w:tcW w:w="1175" w:type="pct"/>
            <w:vAlign w:val="center"/>
          </w:tcPr>
          <w:p w14:paraId="1CF33C6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大气为二级</w:t>
            </w:r>
          </w:p>
          <w:p w14:paraId="3A60AB0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地表水三级</w:t>
            </w:r>
          </w:p>
          <w:p w14:paraId="298D4E0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地下水简单分析</w:t>
            </w:r>
          </w:p>
        </w:tc>
      </w:tr>
    </w:tbl>
    <w:p w14:paraId="2B5FF65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评价重点</w:t>
      </w:r>
    </w:p>
    <w:p w14:paraId="1B7B4659" w14:textId="77777777" w:rsidR="002133E3" w:rsidRDefault="00C22CFA">
      <w:pPr>
        <w:spacing w:line="50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color w:val="0D0D0D" w:themeColor="text1" w:themeTint="F2"/>
          <w:sz w:val="28"/>
          <w:szCs w:val="28"/>
        </w:rPr>
        <w:t>根据本项目排污物特征和当地环境特征，确定本次评价重点为工程分析、大气环境影响预测及评价、水环境影响预测及评价、污染防治措施可行性分析等。</w:t>
      </w:r>
    </w:p>
    <w:p w14:paraId="634681C5"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12" w:name="_Toc47604316"/>
      <w:r>
        <w:rPr>
          <w:rFonts w:ascii="Times New Roman" w:eastAsia="宋体" w:hAnsi="Times New Roman" w:cs="Times New Roman"/>
          <w:b/>
          <w:sz w:val="30"/>
          <w:szCs w:val="30"/>
        </w:rPr>
        <w:t>评价范围和环境敏感区</w:t>
      </w:r>
      <w:bookmarkEnd w:id="12"/>
    </w:p>
    <w:p w14:paraId="22ED60A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评价范围</w:t>
      </w:r>
    </w:p>
    <w:p w14:paraId="07A274DD"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大气</w:t>
      </w:r>
    </w:p>
    <w:p w14:paraId="7E69F59C"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rPr>
        <w:t>根据大气环评导则，本项目大气评价等级为二级，大气环境质量评价范围为：以本建设项目厂址为中心区域，自厂界外延的边长为</w:t>
      </w:r>
      <w:r>
        <w:rPr>
          <w:rFonts w:ascii="Times New Roman" w:eastAsia="宋体" w:hAnsi="Times New Roman" w:cs="Times New Roman"/>
          <w:kern w:val="0"/>
          <w:sz w:val="28"/>
          <w:szCs w:val="28"/>
        </w:rPr>
        <w:t>5km</w:t>
      </w:r>
      <w:r>
        <w:rPr>
          <w:rFonts w:ascii="Times New Roman" w:eastAsia="宋体" w:hAnsi="Times New Roman" w:cs="Times New Roman"/>
          <w:kern w:val="0"/>
          <w:sz w:val="28"/>
          <w:szCs w:val="28"/>
        </w:rPr>
        <w:t>的矩形区域作为大气评价范围。</w:t>
      </w:r>
      <w:r>
        <w:rPr>
          <w:rFonts w:ascii="Times New Roman" w:eastAsia="宋体" w:hAnsi="Times New Roman" w:cs="Times New Roman"/>
          <w:sz w:val="28"/>
          <w:szCs w:val="28"/>
        </w:rPr>
        <w:t>详见图</w:t>
      </w:r>
      <w:r>
        <w:rPr>
          <w:rFonts w:ascii="Times New Roman" w:eastAsia="宋体" w:hAnsi="Times New Roman" w:cs="Times New Roman"/>
          <w:sz w:val="28"/>
          <w:szCs w:val="28"/>
        </w:rPr>
        <w:t>2.5-1</w:t>
      </w:r>
      <w:r>
        <w:rPr>
          <w:rFonts w:ascii="Times New Roman" w:eastAsia="宋体" w:hAnsi="Times New Roman" w:cs="Times New Roman"/>
          <w:sz w:val="28"/>
          <w:szCs w:val="28"/>
        </w:rPr>
        <w:t>。</w:t>
      </w:r>
    </w:p>
    <w:p w14:paraId="42004BC5" w14:textId="77777777" w:rsidR="002133E3" w:rsidRDefault="00C22CFA">
      <w:pPr>
        <w:tabs>
          <w:tab w:val="left" w:pos="3600"/>
        </w:tabs>
        <w:jc w:val="center"/>
        <w:rPr>
          <w:rFonts w:ascii="Times New Roman" w:eastAsia="宋体" w:hAnsi="Times New Roman" w:cs="Times New Roman"/>
          <w:sz w:val="28"/>
          <w:szCs w:val="28"/>
        </w:rPr>
      </w:pPr>
      <w:r>
        <w:rPr>
          <w:rFonts w:ascii="Times New Roman" w:eastAsia="宋体" w:hAnsi="Times New Roman" w:cs="Times New Roman"/>
          <w:noProof/>
          <w:sz w:val="28"/>
          <w:szCs w:val="28"/>
        </w:rPr>
        <w:lastRenderedPageBreak/>
        <w:drawing>
          <wp:inline distT="0" distB="0" distL="0" distR="0" wp14:anchorId="04064149" wp14:editId="7F034BC8">
            <wp:extent cx="6120130" cy="5387340"/>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120130" cy="5387340"/>
                    </a:xfrm>
                    <a:prstGeom prst="rect">
                      <a:avLst/>
                    </a:prstGeom>
                    <a:noFill/>
                    <a:ln>
                      <a:noFill/>
                    </a:ln>
                  </pic:spPr>
                </pic:pic>
              </a:graphicData>
            </a:graphic>
          </wp:inline>
        </w:drawing>
      </w:r>
    </w:p>
    <w:p w14:paraId="2067A633" w14:textId="77777777" w:rsidR="002133E3" w:rsidRDefault="00C22CFA">
      <w:pPr>
        <w:adjustRightInd w:val="0"/>
        <w:snapToGrid w:val="0"/>
        <w:jc w:val="center"/>
        <w:rPr>
          <w:rFonts w:ascii="Times New Roman" w:eastAsia="宋体" w:hAnsi="Times New Roman" w:cs="Times New Roman"/>
          <w:sz w:val="28"/>
          <w:szCs w:val="28"/>
        </w:rPr>
      </w:pPr>
      <w:r>
        <w:rPr>
          <w:rFonts w:ascii="Times New Roman" w:eastAsia="宋体" w:hAnsi="Times New Roman" w:cs="Times New Roman"/>
          <w:b/>
          <w:szCs w:val="21"/>
        </w:rPr>
        <w:t>图</w:t>
      </w:r>
      <w:r>
        <w:rPr>
          <w:rFonts w:ascii="Times New Roman" w:eastAsia="宋体" w:hAnsi="Times New Roman" w:cs="Times New Roman"/>
          <w:b/>
          <w:szCs w:val="21"/>
        </w:rPr>
        <w:t xml:space="preserve">2.5-1  </w:t>
      </w:r>
      <w:r>
        <w:rPr>
          <w:rFonts w:ascii="Times New Roman" w:eastAsia="宋体" w:hAnsi="Times New Roman" w:cs="Times New Roman"/>
          <w:b/>
          <w:szCs w:val="21"/>
        </w:rPr>
        <w:t>大气、风险评价范围图</w:t>
      </w:r>
    </w:p>
    <w:p w14:paraId="435FC001"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地表水</w:t>
      </w:r>
    </w:p>
    <w:p w14:paraId="4B55B929"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根据项目所排废水特征和周围地表水水质、水文情况，污水厂尾水在沙汪河闸下排海，因此本次地表水评价在兴庄河闸上游</w:t>
      </w:r>
      <w:r>
        <w:rPr>
          <w:rFonts w:ascii="Times New Roman" w:eastAsia="宋体" w:hAnsi="Times New Roman" w:cs="Times New Roman"/>
          <w:kern w:val="0"/>
          <w:sz w:val="28"/>
          <w:szCs w:val="28"/>
        </w:rPr>
        <w:t>500m</w:t>
      </w:r>
      <w:r>
        <w:rPr>
          <w:rFonts w:ascii="Times New Roman" w:eastAsia="宋体" w:hAnsi="Times New Roman" w:cs="Times New Roman"/>
          <w:kern w:val="0"/>
          <w:sz w:val="28"/>
          <w:szCs w:val="28"/>
        </w:rPr>
        <w:t>设一个监测断面，并对兴庄河排污口上游</w:t>
      </w:r>
      <w:r>
        <w:rPr>
          <w:rFonts w:ascii="Times New Roman" w:eastAsia="宋体" w:hAnsi="Times New Roman" w:cs="Times New Roman"/>
          <w:kern w:val="0"/>
          <w:sz w:val="28"/>
          <w:szCs w:val="28"/>
        </w:rPr>
        <w:t>500m</w:t>
      </w:r>
      <w:r>
        <w:rPr>
          <w:rFonts w:ascii="Times New Roman" w:eastAsia="宋体" w:hAnsi="Times New Roman" w:cs="Times New Roman"/>
          <w:kern w:val="0"/>
          <w:sz w:val="28"/>
          <w:szCs w:val="28"/>
        </w:rPr>
        <w:t>至入海口水环境质量现状评价。</w:t>
      </w:r>
    </w:p>
    <w:p w14:paraId="32AD28B8"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噪声</w:t>
      </w:r>
    </w:p>
    <w:p w14:paraId="37FFF7FB"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根据拟建项目噪声源特征和周围功能区状况，确定声环境评价范围为：东、西、南、北厂界及周围</w:t>
      </w:r>
      <w:r>
        <w:rPr>
          <w:rFonts w:ascii="Times New Roman" w:eastAsia="宋体" w:hAnsi="Times New Roman" w:cs="Times New Roman"/>
          <w:sz w:val="28"/>
          <w:szCs w:val="28"/>
        </w:rPr>
        <w:t>200</w:t>
      </w:r>
      <w:r>
        <w:rPr>
          <w:rFonts w:ascii="Times New Roman" w:eastAsia="宋体" w:hAnsi="Times New Roman" w:cs="Times New Roman"/>
          <w:sz w:val="28"/>
          <w:szCs w:val="28"/>
        </w:rPr>
        <w:t>米范围内。</w:t>
      </w:r>
    </w:p>
    <w:p w14:paraId="71D9298E"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(4) </w:t>
      </w:r>
      <w:r>
        <w:rPr>
          <w:rFonts w:ascii="Times New Roman" w:eastAsia="宋体" w:hAnsi="Times New Roman" w:cs="Times New Roman"/>
          <w:sz w:val="28"/>
          <w:szCs w:val="28"/>
        </w:rPr>
        <w:t>土壤</w:t>
      </w:r>
    </w:p>
    <w:p w14:paraId="331C1077"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根据《环境影响评价技术导则</w:t>
      </w:r>
      <w:r>
        <w:rPr>
          <w:rFonts w:ascii="Times New Roman" w:eastAsia="宋体" w:hAnsi="Times New Roman" w:cs="Times New Roman"/>
          <w:sz w:val="28"/>
          <w:szCs w:val="28"/>
        </w:rPr>
        <w:t>-</w:t>
      </w:r>
      <w:r>
        <w:rPr>
          <w:rFonts w:ascii="Times New Roman" w:eastAsia="宋体" w:hAnsi="Times New Roman" w:cs="Times New Roman"/>
          <w:sz w:val="28"/>
          <w:szCs w:val="28"/>
        </w:rPr>
        <w:t>土壤环境</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(HJ964-2018) </w:t>
      </w:r>
      <w:r>
        <w:rPr>
          <w:rFonts w:ascii="Times New Roman" w:eastAsia="宋体" w:hAnsi="Times New Roman" w:cs="Times New Roman"/>
          <w:sz w:val="28"/>
          <w:szCs w:val="28"/>
        </w:rPr>
        <w:t>，评价范围为项目占地范围外</w:t>
      </w:r>
      <w:r>
        <w:rPr>
          <w:rFonts w:ascii="Times New Roman" w:eastAsia="宋体" w:hAnsi="Times New Roman" w:cs="Times New Roman"/>
          <w:sz w:val="28"/>
          <w:szCs w:val="28"/>
        </w:rPr>
        <w:t>0.2km</w:t>
      </w:r>
      <w:r>
        <w:rPr>
          <w:rFonts w:ascii="Times New Roman" w:eastAsia="宋体" w:hAnsi="Times New Roman" w:cs="Times New Roman"/>
          <w:sz w:val="28"/>
          <w:szCs w:val="28"/>
        </w:rPr>
        <w:t>范围内。</w:t>
      </w:r>
    </w:p>
    <w:p w14:paraId="56B08404"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lastRenderedPageBreak/>
        <w:t xml:space="preserve">(5) </w:t>
      </w:r>
      <w:r>
        <w:rPr>
          <w:rFonts w:ascii="Times New Roman" w:eastAsia="宋体" w:hAnsi="Times New Roman" w:cs="Times New Roman"/>
          <w:sz w:val="28"/>
          <w:szCs w:val="28"/>
        </w:rPr>
        <w:t>地下水</w:t>
      </w:r>
    </w:p>
    <w:p w14:paraId="4CC55EAD"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赣榆海州湾生物科技园区域水文地质单元</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以园区为中心，西至通榆河、东至黄海海州湾，南至兴庄河，北至官庄河，面积约</w:t>
      </w:r>
      <w:r>
        <w:rPr>
          <w:rFonts w:ascii="Times New Roman" w:eastAsia="宋体" w:hAnsi="Times New Roman" w:cs="Times New Roman"/>
          <w:kern w:val="0"/>
          <w:sz w:val="28"/>
          <w:szCs w:val="28"/>
        </w:rPr>
        <w:t>16.7km</w:t>
      </w:r>
      <w:r>
        <w:rPr>
          <w:rFonts w:ascii="Times New Roman" w:eastAsia="宋体" w:hAnsi="Times New Roman" w:cs="Times New Roman"/>
          <w:kern w:val="0"/>
          <w:sz w:val="28"/>
          <w:szCs w:val="28"/>
          <w:vertAlign w:val="superscript"/>
        </w:rPr>
        <w:t>2</w:t>
      </w:r>
      <w:r>
        <w:rPr>
          <w:rFonts w:ascii="Times New Roman" w:eastAsia="宋体" w:hAnsi="Times New Roman" w:cs="Times New Roman"/>
          <w:kern w:val="0"/>
          <w:sz w:val="28"/>
          <w:szCs w:val="28"/>
        </w:rPr>
        <w:t>。</w:t>
      </w:r>
    </w:p>
    <w:p w14:paraId="4ACDE8CA"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(6) </w:t>
      </w:r>
      <w:r>
        <w:rPr>
          <w:rFonts w:ascii="Times New Roman" w:eastAsia="宋体" w:hAnsi="Times New Roman" w:cs="Times New Roman"/>
          <w:sz w:val="28"/>
          <w:szCs w:val="28"/>
        </w:rPr>
        <w:t>风险</w:t>
      </w:r>
    </w:p>
    <w:p w14:paraId="58687455"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本项目大气风险评价范围为距离厂界</w:t>
      </w:r>
      <w:r>
        <w:rPr>
          <w:rFonts w:ascii="Times New Roman" w:eastAsia="宋体" w:hAnsi="Times New Roman" w:cs="Times New Roman"/>
          <w:kern w:val="0"/>
          <w:sz w:val="28"/>
          <w:szCs w:val="28"/>
        </w:rPr>
        <w:t>5km</w:t>
      </w:r>
      <w:r>
        <w:rPr>
          <w:rFonts w:ascii="Times New Roman" w:eastAsia="宋体" w:hAnsi="Times New Roman" w:cs="Times New Roman"/>
          <w:kern w:val="0"/>
          <w:sz w:val="28"/>
          <w:szCs w:val="28"/>
        </w:rPr>
        <w:t>，地表水风险评价范围同地表水现状评价范围，地下水风险评价范围为赣榆海州湾生物科技园区水文地质单元。</w:t>
      </w:r>
    </w:p>
    <w:p w14:paraId="3A43D0BF" w14:textId="77777777" w:rsidR="002133E3" w:rsidRDefault="00C22CFA">
      <w:pPr>
        <w:tabs>
          <w:tab w:val="left" w:pos="3600"/>
        </w:tabs>
        <w:spacing w:line="500" w:lineRule="exact"/>
        <w:ind w:firstLineChars="200" w:firstLine="560"/>
        <w:outlineLvl w:val="3"/>
        <w:rPr>
          <w:rFonts w:ascii="Times New Roman" w:eastAsia="宋体" w:hAnsi="Times New Roman" w:cs="Times New Roman"/>
          <w:sz w:val="28"/>
          <w:szCs w:val="28"/>
        </w:rPr>
      </w:pPr>
      <w:r>
        <w:rPr>
          <w:rFonts w:ascii="Times New Roman" w:eastAsia="宋体" w:hAnsi="Times New Roman" w:cs="Times New Roman"/>
          <w:sz w:val="28"/>
          <w:szCs w:val="28"/>
        </w:rPr>
        <w:t xml:space="preserve">(7) </w:t>
      </w:r>
      <w:r>
        <w:rPr>
          <w:rFonts w:ascii="Times New Roman" w:eastAsia="宋体" w:hAnsi="Times New Roman" w:cs="Times New Roman"/>
          <w:sz w:val="28"/>
          <w:szCs w:val="28"/>
        </w:rPr>
        <w:t>生态</w:t>
      </w:r>
    </w:p>
    <w:p w14:paraId="56AC107E" w14:textId="77777777" w:rsidR="002133E3" w:rsidRDefault="00C22CFA">
      <w:pPr>
        <w:spacing w:line="48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厂界范围及向厂外延伸</w:t>
      </w:r>
      <w:r>
        <w:rPr>
          <w:rFonts w:ascii="Times New Roman" w:eastAsia="宋体" w:hAnsi="Times New Roman" w:cs="Times New Roman"/>
          <w:sz w:val="28"/>
          <w:szCs w:val="28"/>
        </w:rPr>
        <w:t>100m</w:t>
      </w:r>
      <w:r>
        <w:rPr>
          <w:rFonts w:ascii="Times New Roman" w:eastAsia="宋体" w:hAnsi="Times New Roman" w:cs="Times New Roman"/>
          <w:sz w:val="28"/>
          <w:szCs w:val="28"/>
        </w:rPr>
        <w:t>范围</w:t>
      </w:r>
      <w:r>
        <w:rPr>
          <w:rFonts w:ascii="Times New Roman" w:eastAsia="宋体" w:hAnsi="Times New Roman" w:cs="Times New Roman"/>
          <w:kern w:val="0"/>
          <w:sz w:val="28"/>
          <w:szCs w:val="28"/>
        </w:rPr>
        <w:t>。</w:t>
      </w:r>
    </w:p>
    <w:p w14:paraId="22019B3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环境敏感区</w:t>
      </w:r>
    </w:p>
    <w:p w14:paraId="32ABBCCF" w14:textId="77777777" w:rsidR="002133E3" w:rsidRDefault="00C22CFA">
      <w:pPr>
        <w:widowControl/>
        <w:spacing w:line="520" w:lineRule="exact"/>
        <w:ind w:firstLineChars="200" w:firstLine="560"/>
        <w:jc w:val="left"/>
        <w:rPr>
          <w:rFonts w:ascii="Times New Roman" w:eastAsia="宋体" w:hAnsi="Times New Roman" w:cs="Times New Roman"/>
          <w:sz w:val="28"/>
          <w:szCs w:val="28"/>
        </w:rPr>
      </w:pPr>
      <w:r>
        <w:rPr>
          <w:rFonts w:ascii="Times New Roman" w:eastAsia="宋体" w:hAnsi="Times New Roman" w:cs="Times New Roman"/>
          <w:kern w:val="0"/>
          <w:sz w:val="28"/>
          <w:szCs w:val="28"/>
        </w:rPr>
        <w:t>项目位于赣榆海州湾生物科技园，根据评价范围，主要环境保护目标见表</w:t>
      </w:r>
      <w:r>
        <w:rPr>
          <w:rFonts w:ascii="Times New Roman" w:eastAsia="宋体" w:hAnsi="Times New Roman" w:cs="Times New Roman"/>
          <w:kern w:val="0"/>
          <w:sz w:val="28"/>
          <w:szCs w:val="28"/>
        </w:rPr>
        <w:t>2.5-1</w:t>
      </w:r>
      <w:r>
        <w:rPr>
          <w:rFonts w:ascii="Times New Roman" w:eastAsia="宋体" w:hAnsi="Times New Roman" w:cs="Times New Roman"/>
          <w:kern w:val="0"/>
          <w:sz w:val="28"/>
          <w:szCs w:val="28"/>
        </w:rPr>
        <w:t>及图</w:t>
      </w:r>
      <w:r>
        <w:rPr>
          <w:rFonts w:ascii="Times New Roman" w:eastAsia="宋体" w:hAnsi="Times New Roman" w:cs="Times New Roman"/>
          <w:kern w:val="0"/>
          <w:sz w:val="28"/>
          <w:szCs w:val="28"/>
        </w:rPr>
        <w:t>2.5-2</w:t>
      </w:r>
      <w:r>
        <w:rPr>
          <w:rFonts w:ascii="Times New Roman" w:eastAsia="宋体" w:hAnsi="Times New Roman" w:cs="Times New Roman"/>
          <w:kern w:val="0"/>
          <w:sz w:val="28"/>
          <w:szCs w:val="28"/>
        </w:rPr>
        <w:t>，</w:t>
      </w:r>
      <w:r>
        <w:rPr>
          <w:rFonts w:ascii="Times New Roman" w:eastAsia="宋体" w:hAnsi="Times New Roman" w:cs="Times New Roman"/>
          <w:sz w:val="28"/>
          <w:szCs w:val="28"/>
        </w:rPr>
        <w:t>生态环境敏感保护目标见表</w:t>
      </w:r>
      <w:r>
        <w:rPr>
          <w:rFonts w:ascii="Times New Roman" w:eastAsia="宋体" w:hAnsi="Times New Roman" w:cs="Times New Roman"/>
          <w:sz w:val="28"/>
          <w:szCs w:val="28"/>
        </w:rPr>
        <w:t>2.5-2</w:t>
      </w:r>
      <w:r>
        <w:rPr>
          <w:rFonts w:ascii="Times New Roman" w:eastAsia="宋体" w:hAnsi="Times New Roman" w:cs="Times New Roman"/>
          <w:sz w:val="28"/>
          <w:szCs w:val="28"/>
        </w:rPr>
        <w:t>及</w:t>
      </w:r>
      <w:r>
        <w:rPr>
          <w:rFonts w:ascii="Times New Roman" w:eastAsia="宋体" w:hAnsi="Times New Roman" w:cs="Times New Roman"/>
          <w:sz w:val="28"/>
          <w:szCs w:val="28"/>
          <w:highlight w:val="yellow"/>
        </w:rPr>
        <w:t>图</w:t>
      </w:r>
      <w:r>
        <w:rPr>
          <w:rFonts w:ascii="Times New Roman" w:eastAsia="宋体" w:hAnsi="Times New Roman" w:cs="Times New Roman"/>
          <w:sz w:val="28"/>
          <w:szCs w:val="28"/>
          <w:highlight w:val="yellow"/>
        </w:rPr>
        <w:t>1.3-4</w:t>
      </w:r>
      <w:r>
        <w:rPr>
          <w:rFonts w:ascii="Times New Roman" w:eastAsia="宋体" w:hAnsi="Times New Roman" w:cs="Times New Roman"/>
          <w:sz w:val="28"/>
          <w:szCs w:val="28"/>
          <w:highlight w:val="yellow"/>
        </w:rPr>
        <w:t>。</w:t>
      </w:r>
    </w:p>
    <w:p w14:paraId="01771D68" w14:textId="77777777" w:rsidR="002133E3" w:rsidRDefault="002133E3">
      <w:pPr>
        <w:tabs>
          <w:tab w:val="left" w:pos="3600"/>
        </w:tabs>
        <w:spacing w:line="500" w:lineRule="exact"/>
        <w:jc w:val="center"/>
        <w:rPr>
          <w:rFonts w:ascii="Times New Roman" w:eastAsia="宋体" w:hAnsi="Times New Roman" w:cs="Times New Roman"/>
          <w:b/>
          <w:szCs w:val="21"/>
        </w:rPr>
        <w:sectPr w:rsidR="002133E3">
          <w:pgSz w:w="11906" w:h="16838"/>
          <w:pgMar w:top="1134" w:right="1134" w:bottom="1134" w:left="1134" w:header="851" w:footer="992" w:gutter="0"/>
          <w:cols w:space="425"/>
          <w:docGrid w:type="lines" w:linePitch="312"/>
        </w:sectPr>
      </w:pPr>
    </w:p>
    <w:p w14:paraId="51AFC7D7"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lastRenderedPageBreak/>
        <w:t>表</w:t>
      </w:r>
      <w:r>
        <w:rPr>
          <w:rFonts w:ascii="Times New Roman" w:eastAsia="宋体" w:hAnsi="Times New Roman" w:cs="Times New Roman"/>
          <w:b/>
          <w:szCs w:val="21"/>
        </w:rPr>
        <w:t xml:space="preserve">2.5-1 </w:t>
      </w:r>
      <w:r>
        <w:rPr>
          <w:rFonts w:ascii="Times New Roman" w:eastAsia="宋体" w:hAnsi="Times New Roman" w:cs="Times New Roman"/>
          <w:b/>
          <w:szCs w:val="21"/>
        </w:rPr>
        <w:t>本项目周边主要环境保护目标一览表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3507"/>
        <w:gridCol w:w="1292"/>
        <w:gridCol w:w="1298"/>
        <w:gridCol w:w="1446"/>
        <w:gridCol w:w="2159"/>
        <w:gridCol w:w="2159"/>
        <w:gridCol w:w="1005"/>
        <w:gridCol w:w="967"/>
      </w:tblGrid>
      <w:tr w:rsidR="002133E3" w14:paraId="12F0A19D" w14:textId="77777777">
        <w:trPr>
          <w:trHeight w:val="284"/>
          <w:jc w:val="center"/>
        </w:trPr>
        <w:tc>
          <w:tcPr>
            <w:tcW w:w="1508" w:type="pct"/>
            <w:gridSpan w:val="2"/>
            <w:vMerge w:val="restart"/>
            <w:vAlign w:val="center"/>
          </w:tcPr>
          <w:p w14:paraId="5F9271A0"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保护对象名称</w:t>
            </w:r>
          </w:p>
        </w:tc>
        <w:tc>
          <w:tcPr>
            <w:tcW w:w="876" w:type="pct"/>
            <w:gridSpan w:val="2"/>
            <w:vAlign w:val="center"/>
          </w:tcPr>
          <w:p w14:paraId="101DE95C"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坐标</w:t>
            </w:r>
          </w:p>
        </w:tc>
        <w:tc>
          <w:tcPr>
            <w:tcW w:w="489" w:type="pct"/>
            <w:vMerge w:val="restart"/>
            <w:vAlign w:val="center"/>
          </w:tcPr>
          <w:p w14:paraId="668E26EA"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保护对象</w:t>
            </w:r>
          </w:p>
        </w:tc>
        <w:tc>
          <w:tcPr>
            <w:tcW w:w="730" w:type="pct"/>
            <w:vMerge w:val="restart"/>
            <w:vAlign w:val="center"/>
          </w:tcPr>
          <w:p w14:paraId="7677DD8F"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保护内容</w:t>
            </w:r>
          </w:p>
        </w:tc>
        <w:tc>
          <w:tcPr>
            <w:tcW w:w="730" w:type="pct"/>
            <w:vMerge w:val="restart"/>
            <w:vAlign w:val="center"/>
          </w:tcPr>
          <w:p w14:paraId="6F7BAF22"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环境功能区</w:t>
            </w:r>
          </w:p>
        </w:tc>
        <w:tc>
          <w:tcPr>
            <w:tcW w:w="340" w:type="pct"/>
            <w:vMerge w:val="restart"/>
            <w:vAlign w:val="center"/>
          </w:tcPr>
          <w:p w14:paraId="76FA92AD"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相对厂址方位</w:t>
            </w:r>
          </w:p>
        </w:tc>
        <w:tc>
          <w:tcPr>
            <w:tcW w:w="327" w:type="pct"/>
            <w:vMerge w:val="restart"/>
            <w:vAlign w:val="center"/>
          </w:tcPr>
          <w:p w14:paraId="05D9E346"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相对距离</w:t>
            </w:r>
            <w:r>
              <w:rPr>
                <w:rFonts w:ascii="Times New Roman" w:eastAsia="宋体" w:hAnsi="Times New Roman" w:cs="Times New Roman"/>
                <w:b/>
                <w:bCs/>
                <w:szCs w:val="21"/>
              </w:rPr>
              <w:t>/m</w:t>
            </w:r>
          </w:p>
        </w:tc>
      </w:tr>
      <w:tr w:rsidR="002133E3" w14:paraId="60C3996D" w14:textId="77777777">
        <w:trPr>
          <w:trHeight w:val="284"/>
          <w:jc w:val="center"/>
        </w:trPr>
        <w:tc>
          <w:tcPr>
            <w:tcW w:w="1508" w:type="pct"/>
            <w:gridSpan w:val="2"/>
            <w:vMerge/>
            <w:vAlign w:val="center"/>
          </w:tcPr>
          <w:p w14:paraId="3474CBD1" w14:textId="77777777" w:rsidR="002133E3" w:rsidRDefault="002133E3">
            <w:pPr>
              <w:snapToGrid w:val="0"/>
              <w:jc w:val="center"/>
              <w:rPr>
                <w:rFonts w:ascii="Times New Roman" w:eastAsia="宋体" w:hAnsi="Times New Roman" w:cs="Times New Roman"/>
                <w:b/>
                <w:bCs/>
                <w:szCs w:val="21"/>
              </w:rPr>
            </w:pPr>
          </w:p>
        </w:tc>
        <w:tc>
          <w:tcPr>
            <w:tcW w:w="437" w:type="pct"/>
            <w:vAlign w:val="center"/>
          </w:tcPr>
          <w:p w14:paraId="7FBBEB36"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x</w:t>
            </w:r>
          </w:p>
        </w:tc>
        <w:tc>
          <w:tcPr>
            <w:tcW w:w="439" w:type="pct"/>
            <w:vAlign w:val="center"/>
          </w:tcPr>
          <w:p w14:paraId="673B7219"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y</w:t>
            </w:r>
          </w:p>
        </w:tc>
        <w:tc>
          <w:tcPr>
            <w:tcW w:w="489" w:type="pct"/>
            <w:vMerge/>
            <w:vAlign w:val="center"/>
          </w:tcPr>
          <w:p w14:paraId="6E95101B" w14:textId="77777777" w:rsidR="002133E3" w:rsidRDefault="002133E3">
            <w:pPr>
              <w:snapToGrid w:val="0"/>
              <w:jc w:val="center"/>
              <w:rPr>
                <w:rFonts w:ascii="Times New Roman" w:eastAsia="宋体" w:hAnsi="Times New Roman" w:cs="Times New Roman"/>
                <w:b/>
                <w:bCs/>
                <w:szCs w:val="21"/>
              </w:rPr>
            </w:pPr>
          </w:p>
        </w:tc>
        <w:tc>
          <w:tcPr>
            <w:tcW w:w="730" w:type="pct"/>
            <w:vMerge/>
            <w:vAlign w:val="center"/>
          </w:tcPr>
          <w:p w14:paraId="6797D2A5" w14:textId="77777777" w:rsidR="002133E3" w:rsidRDefault="002133E3">
            <w:pPr>
              <w:snapToGrid w:val="0"/>
              <w:jc w:val="center"/>
              <w:rPr>
                <w:rFonts w:ascii="Times New Roman" w:eastAsia="宋体" w:hAnsi="Times New Roman" w:cs="Times New Roman"/>
                <w:b/>
                <w:bCs/>
                <w:szCs w:val="21"/>
              </w:rPr>
            </w:pPr>
          </w:p>
        </w:tc>
        <w:tc>
          <w:tcPr>
            <w:tcW w:w="730" w:type="pct"/>
            <w:vMerge/>
            <w:vAlign w:val="center"/>
          </w:tcPr>
          <w:p w14:paraId="4678E114" w14:textId="77777777" w:rsidR="002133E3" w:rsidRDefault="002133E3">
            <w:pPr>
              <w:snapToGrid w:val="0"/>
              <w:jc w:val="center"/>
              <w:rPr>
                <w:rFonts w:ascii="Times New Roman" w:eastAsia="宋体" w:hAnsi="Times New Roman" w:cs="Times New Roman"/>
                <w:b/>
                <w:bCs/>
                <w:szCs w:val="21"/>
              </w:rPr>
            </w:pPr>
          </w:p>
        </w:tc>
        <w:tc>
          <w:tcPr>
            <w:tcW w:w="340" w:type="pct"/>
            <w:vMerge/>
            <w:vAlign w:val="center"/>
          </w:tcPr>
          <w:p w14:paraId="265F8DA4" w14:textId="77777777" w:rsidR="002133E3" w:rsidRDefault="002133E3">
            <w:pPr>
              <w:snapToGrid w:val="0"/>
              <w:jc w:val="center"/>
              <w:rPr>
                <w:rFonts w:ascii="Times New Roman" w:eastAsia="宋体" w:hAnsi="Times New Roman" w:cs="Times New Roman"/>
                <w:b/>
                <w:bCs/>
                <w:szCs w:val="21"/>
              </w:rPr>
            </w:pPr>
          </w:p>
        </w:tc>
        <w:tc>
          <w:tcPr>
            <w:tcW w:w="327" w:type="pct"/>
            <w:vMerge/>
            <w:vAlign w:val="center"/>
          </w:tcPr>
          <w:p w14:paraId="3AC98A18" w14:textId="77777777" w:rsidR="002133E3" w:rsidRDefault="002133E3">
            <w:pPr>
              <w:snapToGrid w:val="0"/>
              <w:jc w:val="center"/>
              <w:rPr>
                <w:rFonts w:ascii="Times New Roman" w:eastAsia="宋体" w:hAnsi="Times New Roman" w:cs="Times New Roman"/>
                <w:b/>
                <w:bCs/>
                <w:szCs w:val="21"/>
              </w:rPr>
            </w:pPr>
          </w:p>
        </w:tc>
      </w:tr>
      <w:tr w:rsidR="002133E3" w14:paraId="07B2D62C" w14:textId="77777777">
        <w:trPr>
          <w:trHeight w:val="284"/>
          <w:jc w:val="center"/>
        </w:trPr>
        <w:tc>
          <w:tcPr>
            <w:tcW w:w="322" w:type="pct"/>
            <w:vMerge w:val="restart"/>
            <w:vAlign w:val="center"/>
          </w:tcPr>
          <w:p w14:paraId="4AE1DB37"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大气环境</w:t>
            </w:r>
          </w:p>
        </w:tc>
        <w:tc>
          <w:tcPr>
            <w:tcW w:w="1186" w:type="pct"/>
            <w:vAlign w:val="center"/>
          </w:tcPr>
          <w:p w14:paraId="55A3A70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赵沙村</w:t>
            </w:r>
          </w:p>
        </w:tc>
        <w:tc>
          <w:tcPr>
            <w:tcW w:w="437" w:type="pct"/>
            <w:vAlign w:val="center"/>
          </w:tcPr>
          <w:p w14:paraId="024C3794"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119.169349</w:t>
            </w:r>
          </w:p>
        </w:tc>
        <w:tc>
          <w:tcPr>
            <w:tcW w:w="439" w:type="pct"/>
            <w:vAlign w:val="center"/>
          </w:tcPr>
          <w:p w14:paraId="40FCCF6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34.918317</w:t>
            </w:r>
          </w:p>
        </w:tc>
        <w:tc>
          <w:tcPr>
            <w:tcW w:w="489" w:type="pct"/>
          </w:tcPr>
          <w:p w14:paraId="3DAE7E50"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szCs w:val="21"/>
              </w:rPr>
              <w:t>约</w:t>
            </w:r>
            <w:r>
              <w:rPr>
                <w:rFonts w:ascii="Times New Roman" w:eastAsia="宋体" w:hAnsi="Times New Roman" w:cs="Times New Roman"/>
                <w:szCs w:val="21"/>
              </w:rPr>
              <w:t>1650</w:t>
            </w:r>
            <w:r>
              <w:rPr>
                <w:rFonts w:ascii="Times New Roman" w:eastAsia="宋体" w:hAnsi="Times New Roman" w:cs="Times New Roman"/>
                <w:szCs w:val="21"/>
              </w:rPr>
              <w:t>人</w:t>
            </w:r>
          </w:p>
        </w:tc>
        <w:tc>
          <w:tcPr>
            <w:tcW w:w="730" w:type="pct"/>
            <w:vMerge w:val="restart"/>
            <w:vAlign w:val="center"/>
          </w:tcPr>
          <w:p w14:paraId="6A309B40"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color w:val="000000"/>
                <w:szCs w:val="21"/>
              </w:rPr>
              <w:t>居住区人群健康</w:t>
            </w:r>
          </w:p>
        </w:tc>
        <w:tc>
          <w:tcPr>
            <w:tcW w:w="730" w:type="pct"/>
            <w:vMerge w:val="restart"/>
            <w:vAlign w:val="center"/>
          </w:tcPr>
          <w:p w14:paraId="65C0DE6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 xml:space="preserve">GB3095-2012 </w:t>
            </w:r>
            <w:r>
              <w:rPr>
                <w:rFonts w:ascii="Times New Roman" w:eastAsia="宋体" w:hAnsi="Times New Roman" w:cs="Times New Roman"/>
                <w:kern w:val="0"/>
                <w:szCs w:val="21"/>
              </w:rPr>
              <w:t>二级标准</w:t>
            </w:r>
          </w:p>
        </w:tc>
        <w:tc>
          <w:tcPr>
            <w:tcW w:w="340" w:type="pct"/>
            <w:vAlign w:val="center"/>
          </w:tcPr>
          <w:p w14:paraId="33222FA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WN</w:t>
            </w:r>
          </w:p>
        </w:tc>
        <w:tc>
          <w:tcPr>
            <w:tcW w:w="327" w:type="pct"/>
            <w:vAlign w:val="center"/>
          </w:tcPr>
          <w:p w14:paraId="418ADFA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157</w:t>
            </w:r>
          </w:p>
        </w:tc>
      </w:tr>
      <w:tr w:rsidR="002133E3" w14:paraId="4DC934E0" w14:textId="77777777">
        <w:trPr>
          <w:trHeight w:val="284"/>
          <w:jc w:val="center"/>
        </w:trPr>
        <w:tc>
          <w:tcPr>
            <w:tcW w:w="322" w:type="pct"/>
            <w:vMerge/>
            <w:vAlign w:val="center"/>
          </w:tcPr>
          <w:p w14:paraId="72CF1AEA"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0E48876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李巷村</w:t>
            </w:r>
          </w:p>
        </w:tc>
        <w:tc>
          <w:tcPr>
            <w:tcW w:w="437" w:type="pct"/>
            <w:vAlign w:val="center"/>
          </w:tcPr>
          <w:p w14:paraId="0F7F792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119.166424</w:t>
            </w:r>
          </w:p>
        </w:tc>
        <w:tc>
          <w:tcPr>
            <w:tcW w:w="439" w:type="pct"/>
            <w:vAlign w:val="center"/>
          </w:tcPr>
          <w:p w14:paraId="28567A06"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34.908865</w:t>
            </w:r>
          </w:p>
        </w:tc>
        <w:tc>
          <w:tcPr>
            <w:tcW w:w="489" w:type="pct"/>
          </w:tcPr>
          <w:p w14:paraId="1893F0E7"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szCs w:val="21"/>
              </w:rPr>
              <w:t>约</w:t>
            </w:r>
            <w:r>
              <w:rPr>
                <w:rFonts w:ascii="Times New Roman" w:eastAsia="宋体" w:hAnsi="Times New Roman" w:cs="Times New Roman"/>
                <w:szCs w:val="21"/>
              </w:rPr>
              <w:t>2827</w:t>
            </w:r>
            <w:r>
              <w:rPr>
                <w:rFonts w:ascii="Times New Roman" w:eastAsia="宋体" w:hAnsi="Times New Roman" w:cs="Times New Roman"/>
                <w:szCs w:val="21"/>
              </w:rPr>
              <w:t>人</w:t>
            </w:r>
          </w:p>
        </w:tc>
        <w:tc>
          <w:tcPr>
            <w:tcW w:w="730" w:type="pct"/>
            <w:vMerge/>
            <w:vAlign w:val="center"/>
          </w:tcPr>
          <w:p w14:paraId="7E8D94A6" w14:textId="77777777" w:rsidR="002133E3" w:rsidRDefault="002133E3">
            <w:pPr>
              <w:snapToGrid w:val="0"/>
              <w:jc w:val="center"/>
              <w:rPr>
                <w:rFonts w:ascii="Times New Roman" w:eastAsia="宋体" w:hAnsi="Times New Roman" w:cs="Times New Roman"/>
                <w:bCs/>
                <w:szCs w:val="21"/>
              </w:rPr>
            </w:pPr>
          </w:p>
        </w:tc>
        <w:tc>
          <w:tcPr>
            <w:tcW w:w="730" w:type="pct"/>
            <w:vMerge/>
            <w:vAlign w:val="center"/>
          </w:tcPr>
          <w:p w14:paraId="188C9021"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63820426"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w:t>
            </w:r>
          </w:p>
        </w:tc>
        <w:tc>
          <w:tcPr>
            <w:tcW w:w="327" w:type="pct"/>
            <w:vAlign w:val="center"/>
          </w:tcPr>
          <w:p w14:paraId="0DE60E8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20</w:t>
            </w:r>
          </w:p>
        </w:tc>
      </w:tr>
      <w:tr w:rsidR="002133E3" w14:paraId="62ADAB55" w14:textId="77777777">
        <w:trPr>
          <w:trHeight w:val="284"/>
          <w:jc w:val="center"/>
        </w:trPr>
        <w:tc>
          <w:tcPr>
            <w:tcW w:w="322" w:type="pct"/>
            <w:vMerge/>
            <w:vAlign w:val="center"/>
          </w:tcPr>
          <w:p w14:paraId="3AFE66AB"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4CB57A2C"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兴庄村</w:t>
            </w:r>
          </w:p>
        </w:tc>
        <w:tc>
          <w:tcPr>
            <w:tcW w:w="437" w:type="pct"/>
            <w:vAlign w:val="center"/>
          </w:tcPr>
          <w:p w14:paraId="691CD1D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119.165375</w:t>
            </w:r>
          </w:p>
        </w:tc>
        <w:tc>
          <w:tcPr>
            <w:tcW w:w="439" w:type="pct"/>
            <w:vAlign w:val="center"/>
          </w:tcPr>
          <w:p w14:paraId="11AACF2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34.907736</w:t>
            </w:r>
          </w:p>
        </w:tc>
        <w:tc>
          <w:tcPr>
            <w:tcW w:w="489" w:type="pct"/>
          </w:tcPr>
          <w:p w14:paraId="60D96E18"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w:t>
            </w:r>
            <w:r>
              <w:rPr>
                <w:rFonts w:ascii="Times New Roman" w:eastAsia="宋体" w:hAnsi="Times New Roman" w:cs="Times New Roman"/>
                <w:szCs w:val="21"/>
              </w:rPr>
              <w:t>5810</w:t>
            </w:r>
            <w:r>
              <w:rPr>
                <w:rFonts w:ascii="Times New Roman" w:eastAsia="宋体" w:hAnsi="Times New Roman" w:cs="Times New Roman"/>
                <w:szCs w:val="21"/>
              </w:rPr>
              <w:t>人</w:t>
            </w:r>
          </w:p>
        </w:tc>
        <w:tc>
          <w:tcPr>
            <w:tcW w:w="730" w:type="pct"/>
            <w:vMerge/>
            <w:vAlign w:val="center"/>
          </w:tcPr>
          <w:p w14:paraId="10617CA4"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06F764F7"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5BE912D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S</w:t>
            </w:r>
          </w:p>
        </w:tc>
        <w:tc>
          <w:tcPr>
            <w:tcW w:w="327" w:type="pct"/>
            <w:vAlign w:val="center"/>
          </w:tcPr>
          <w:p w14:paraId="1784F4BD"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110</w:t>
            </w:r>
          </w:p>
        </w:tc>
      </w:tr>
      <w:tr w:rsidR="002133E3" w14:paraId="2B5ADC71" w14:textId="77777777">
        <w:trPr>
          <w:trHeight w:val="284"/>
          <w:jc w:val="center"/>
        </w:trPr>
        <w:tc>
          <w:tcPr>
            <w:tcW w:w="322" w:type="pct"/>
            <w:vMerge/>
            <w:vAlign w:val="center"/>
          </w:tcPr>
          <w:p w14:paraId="3B92D051"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0A4E979C"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匡口村</w:t>
            </w:r>
          </w:p>
        </w:tc>
        <w:tc>
          <w:tcPr>
            <w:tcW w:w="437" w:type="pct"/>
            <w:vAlign w:val="center"/>
          </w:tcPr>
          <w:p w14:paraId="041AE98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119.177075</w:t>
            </w:r>
          </w:p>
        </w:tc>
        <w:tc>
          <w:tcPr>
            <w:tcW w:w="439" w:type="pct"/>
            <w:vAlign w:val="center"/>
          </w:tcPr>
          <w:p w14:paraId="177DC02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34.790787</w:t>
            </w:r>
          </w:p>
        </w:tc>
        <w:tc>
          <w:tcPr>
            <w:tcW w:w="489" w:type="pct"/>
          </w:tcPr>
          <w:p w14:paraId="4E4259E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w:t>
            </w:r>
            <w:r>
              <w:rPr>
                <w:rFonts w:ascii="Times New Roman" w:eastAsia="宋体" w:hAnsi="Times New Roman" w:cs="Times New Roman"/>
                <w:szCs w:val="21"/>
              </w:rPr>
              <w:t>1779</w:t>
            </w:r>
            <w:r>
              <w:rPr>
                <w:rFonts w:ascii="Times New Roman" w:eastAsia="宋体" w:hAnsi="Times New Roman" w:cs="Times New Roman"/>
                <w:szCs w:val="21"/>
              </w:rPr>
              <w:t>人</w:t>
            </w:r>
          </w:p>
        </w:tc>
        <w:tc>
          <w:tcPr>
            <w:tcW w:w="730" w:type="pct"/>
            <w:vMerge/>
            <w:vAlign w:val="center"/>
          </w:tcPr>
          <w:p w14:paraId="62801822"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672ABE0B"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6DC9A933"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E</w:t>
            </w:r>
          </w:p>
        </w:tc>
        <w:tc>
          <w:tcPr>
            <w:tcW w:w="327" w:type="pct"/>
            <w:vAlign w:val="center"/>
          </w:tcPr>
          <w:p w14:paraId="6C6CF75F"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84</w:t>
            </w:r>
          </w:p>
        </w:tc>
      </w:tr>
      <w:tr w:rsidR="002133E3" w14:paraId="4A96D822" w14:textId="77777777">
        <w:trPr>
          <w:trHeight w:val="284"/>
          <w:jc w:val="center"/>
        </w:trPr>
        <w:tc>
          <w:tcPr>
            <w:tcW w:w="322" w:type="pct"/>
            <w:vMerge/>
            <w:vAlign w:val="center"/>
          </w:tcPr>
          <w:p w14:paraId="57C7A84D"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2190763B"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海前村</w:t>
            </w:r>
          </w:p>
        </w:tc>
        <w:tc>
          <w:tcPr>
            <w:tcW w:w="437" w:type="pct"/>
            <w:vAlign w:val="center"/>
          </w:tcPr>
          <w:p w14:paraId="3E146A4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119.171589</w:t>
            </w:r>
          </w:p>
        </w:tc>
        <w:tc>
          <w:tcPr>
            <w:tcW w:w="439" w:type="pct"/>
            <w:vAlign w:val="center"/>
          </w:tcPr>
          <w:p w14:paraId="303D41F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34.928124</w:t>
            </w:r>
          </w:p>
        </w:tc>
        <w:tc>
          <w:tcPr>
            <w:tcW w:w="489" w:type="pct"/>
          </w:tcPr>
          <w:p w14:paraId="391962D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w:t>
            </w:r>
            <w:r>
              <w:rPr>
                <w:rFonts w:ascii="Times New Roman" w:eastAsia="宋体" w:hAnsi="Times New Roman" w:cs="Times New Roman"/>
                <w:szCs w:val="21"/>
              </w:rPr>
              <w:t>5013</w:t>
            </w:r>
            <w:r>
              <w:rPr>
                <w:rFonts w:ascii="Times New Roman" w:eastAsia="宋体" w:hAnsi="Times New Roman" w:cs="Times New Roman"/>
                <w:szCs w:val="21"/>
              </w:rPr>
              <w:t>人</w:t>
            </w:r>
          </w:p>
        </w:tc>
        <w:tc>
          <w:tcPr>
            <w:tcW w:w="730" w:type="pct"/>
            <w:vMerge/>
            <w:vAlign w:val="center"/>
          </w:tcPr>
          <w:p w14:paraId="1DF1F3CE"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6622D88F"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61DAE507"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N</w:t>
            </w:r>
          </w:p>
        </w:tc>
        <w:tc>
          <w:tcPr>
            <w:tcW w:w="327" w:type="pct"/>
            <w:vAlign w:val="center"/>
          </w:tcPr>
          <w:p w14:paraId="259119C8"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1265</w:t>
            </w:r>
          </w:p>
        </w:tc>
      </w:tr>
      <w:tr w:rsidR="002133E3" w14:paraId="78D5EE8E" w14:textId="77777777">
        <w:trPr>
          <w:trHeight w:val="284"/>
          <w:jc w:val="center"/>
        </w:trPr>
        <w:tc>
          <w:tcPr>
            <w:tcW w:w="322" w:type="pct"/>
            <w:vMerge/>
            <w:vAlign w:val="center"/>
          </w:tcPr>
          <w:p w14:paraId="17EE7F53"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33974701"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海脐村</w:t>
            </w:r>
          </w:p>
        </w:tc>
        <w:tc>
          <w:tcPr>
            <w:tcW w:w="437" w:type="pct"/>
            <w:vAlign w:val="center"/>
          </w:tcPr>
          <w:p w14:paraId="4D8BBF8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119.181325</w:t>
            </w:r>
          </w:p>
        </w:tc>
        <w:tc>
          <w:tcPr>
            <w:tcW w:w="439" w:type="pct"/>
            <w:vAlign w:val="center"/>
          </w:tcPr>
          <w:p w14:paraId="053EEFB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34.91998</w:t>
            </w:r>
          </w:p>
        </w:tc>
        <w:tc>
          <w:tcPr>
            <w:tcW w:w="489" w:type="pct"/>
          </w:tcPr>
          <w:p w14:paraId="5A7FF5C2"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w:t>
            </w:r>
            <w:r>
              <w:rPr>
                <w:rFonts w:ascii="Times New Roman" w:eastAsia="宋体" w:hAnsi="Times New Roman" w:cs="Times New Roman"/>
                <w:szCs w:val="21"/>
              </w:rPr>
              <w:t>4400</w:t>
            </w:r>
            <w:r>
              <w:rPr>
                <w:rFonts w:ascii="Times New Roman" w:eastAsia="宋体" w:hAnsi="Times New Roman" w:cs="Times New Roman"/>
                <w:szCs w:val="21"/>
              </w:rPr>
              <w:t>人</w:t>
            </w:r>
          </w:p>
        </w:tc>
        <w:tc>
          <w:tcPr>
            <w:tcW w:w="730" w:type="pct"/>
            <w:vMerge/>
            <w:vAlign w:val="center"/>
          </w:tcPr>
          <w:p w14:paraId="7A03F3FB"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04B3E297"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04087ED2"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N</w:t>
            </w:r>
          </w:p>
        </w:tc>
        <w:tc>
          <w:tcPr>
            <w:tcW w:w="327" w:type="pct"/>
            <w:vAlign w:val="center"/>
          </w:tcPr>
          <w:p w14:paraId="54F5E81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570</w:t>
            </w:r>
          </w:p>
        </w:tc>
      </w:tr>
      <w:tr w:rsidR="002133E3" w14:paraId="05A75710" w14:textId="77777777">
        <w:trPr>
          <w:trHeight w:val="284"/>
          <w:jc w:val="center"/>
        </w:trPr>
        <w:tc>
          <w:tcPr>
            <w:tcW w:w="322" w:type="pct"/>
            <w:vMerge/>
            <w:vAlign w:val="center"/>
          </w:tcPr>
          <w:p w14:paraId="422DB7DE"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6EF3AA45"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梁东沙村</w:t>
            </w:r>
          </w:p>
        </w:tc>
        <w:tc>
          <w:tcPr>
            <w:tcW w:w="437" w:type="pct"/>
            <w:vAlign w:val="center"/>
          </w:tcPr>
          <w:p w14:paraId="14D8051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119.187408</w:t>
            </w:r>
          </w:p>
        </w:tc>
        <w:tc>
          <w:tcPr>
            <w:tcW w:w="439" w:type="pct"/>
            <w:vAlign w:val="center"/>
          </w:tcPr>
          <w:p w14:paraId="3E4900A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34.915957</w:t>
            </w:r>
          </w:p>
        </w:tc>
        <w:tc>
          <w:tcPr>
            <w:tcW w:w="489" w:type="pct"/>
          </w:tcPr>
          <w:p w14:paraId="11ABD035"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约人</w:t>
            </w:r>
          </w:p>
        </w:tc>
        <w:tc>
          <w:tcPr>
            <w:tcW w:w="730" w:type="pct"/>
            <w:vMerge/>
            <w:vAlign w:val="center"/>
          </w:tcPr>
          <w:p w14:paraId="075F2F30"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69A2052C"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07AD66CB"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EN</w:t>
            </w:r>
          </w:p>
        </w:tc>
        <w:tc>
          <w:tcPr>
            <w:tcW w:w="327" w:type="pct"/>
            <w:vAlign w:val="center"/>
          </w:tcPr>
          <w:p w14:paraId="224D2C40"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645</w:t>
            </w:r>
          </w:p>
        </w:tc>
      </w:tr>
      <w:tr w:rsidR="002133E3" w14:paraId="16AE4318" w14:textId="77777777">
        <w:trPr>
          <w:trHeight w:val="284"/>
          <w:jc w:val="center"/>
        </w:trPr>
        <w:tc>
          <w:tcPr>
            <w:tcW w:w="322" w:type="pct"/>
            <w:vMerge/>
            <w:vAlign w:val="center"/>
          </w:tcPr>
          <w:p w14:paraId="7FC3C30C"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141E9315"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小口村</w:t>
            </w:r>
          </w:p>
        </w:tc>
        <w:tc>
          <w:tcPr>
            <w:tcW w:w="437" w:type="pct"/>
            <w:vAlign w:val="center"/>
          </w:tcPr>
          <w:p w14:paraId="73FD398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119.187467</w:t>
            </w:r>
          </w:p>
        </w:tc>
        <w:tc>
          <w:tcPr>
            <w:tcW w:w="439" w:type="pct"/>
            <w:vAlign w:val="center"/>
          </w:tcPr>
          <w:p w14:paraId="549428D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34.930382</w:t>
            </w:r>
          </w:p>
        </w:tc>
        <w:tc>
          <w:tcPr>
            <w:tcW w:w="489" w:type="pct"/>
          </w:tcPr>
          <w:p w14:paraId="52F06AD8"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w:t>
            </w:r>
            <w:r>
              <w:rPr>
                <w:rFonts w:ascii="Times New Roman" w:eastAsia="宋体" w:hAnsi="Times New Roman" w:cs="Times New Roman"/>
                <w:szCs w:val="21"/>
              </w:rPr>
              <w:t>2261</w:t>
            </w:r>
            <w:r>
              <w:rPr>
                <w:rFonts w:ascii="Times New Roman" w:eastAsia="宋体" w:hAnsi="Times New Roman" w:cs="Times New Roman"/>
                <w:szCs w:val="21"/>
              </w:rPr>
              <w:t>人</w:t>
            </w:r>
          </w:p>
        </w:tc>
        <w:tc>
          <w:tcPr>
            <w:tcW w:w="730" w:type="pct"/>
            <w:vMerge/>
            <w:vAlign w:val="center"/>
          </w:tcPr>
          <w:p w14:paraId="6C3FC206"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65034D0C"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4AAFC2B7"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N</w:t>
            </w:r>
          </w:p>
        </w:tc>
        <w:tc>
          <w:tcPr>
            <w:tcW w:w="327" w:type="pct"/>
            <w:vAlign w:val="center"/>
          </w:tcPr>
          <w:p w14:paraId="53CDBBE6"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1835</w:t>
            </w:r>
          </w:p>
        </w:tc>
      </w:tr>
      <w:tr w:rsidR="002133E3" w14:paraId="06B867B1" w14:textId="77777777">
        <w:trPr>
          <w:trHeight w:val="284"/>
          <w:jc w:val="center"/>
        </w:trPr>
        <w:tc>
          <w:tcPr>
            <w:tcW w:w="322" w:type="pct"/>
            <w:vMerge/>
            <w:vAlign w:val="center"/>
          </w:tcPr>
          <w:p w14:paraId="3650AFB5"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5071913D"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芦沟村</w:t>
            </w:r>
          </w:p>
        </w:tc>
        <w:tc>
          <w:tcPr>
            <w:tcW w:w="437" w:type="pct"/>
            <w:vAlign w:val="center"/>
          </w:tcPr>
          <w:p w14:paraId="2FDDACE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119.168016</w:t>
            </w:r>
          </w:p>
        </w:tc>
        <w:tc>
          <w:tcPr>
            <w:tcW w:w="439" w:type="pct"/>
            <w:vAlign w:val="center"/>
          </w:tcPr>
          <w:p w14:paraId="663DCD7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34.92446</w:t>
            </w:r>
          </w:p>
        </w:tc>
        <w:tc>
          <w:tcPr>
            <w:tcW w:w="489" w:type="pct"/>
          </w:tcPr>
          <w:p w14:paraId="6BFF2723"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w:t>
            </w:r>
            <w:r>
              <w:rPr>
                <w:rFonts w:ascii="Times New Roman" w:eastAsia="宋体" w:hAnsi="Times New Roman" w:cs="Times New Roman"/>
                <w:szCs w:val="21"/>
              </w:rPr>
              <w:t>320</w:t>
            </w:r>
            <w:r>
              <w:rPr>
                <w:rFonts w:ascii="Times New Roman" w:eastAsia="宋体" w:hAnsi="Times New Roman" w:cs="Times New Roman"/>
                <w:szCs w:val="21"/>
              </w:rPr>
              <w:t>人</w:t>
            </w:r>
          </w:p>
        </w:tc>
        <w:tc>
          <w:tcPr>
            <w:tcW w:w="730" w:type="pct"/>
            <w:vMerge/>
            <w:vAlign w:val="center"/>
          </w:tcPr>
          <w:p w14:paraId="368D67AC"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69CEF1FF"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4326AC8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WN</w:t>
            </w:r>
          </w:p>
        </w:tc>
        <w:tc>
          <w:tcPr>
            <w:tcW w:w="327" w:type="pct"/>
            <w:vAlign w:val="center"/>
          </w:tcPr>
          <w:p w14:paraId="3DB5E900"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840</w:t>
            </w:r>
          </w:p>
        </w:tc>
      </w:tr>
      <w:tr w:rsidR="002133E3" w14:paraId="6E62F71F" w14:textId="77777777">
        <w:trPr>
          <w:trHeight w:val="284"/>
          <w:jc w:val="center"/>
        </w:trPr>
        <w:tc>
          <w:tcPr>
            <w:tcW w:w="322" w:type="pct"/>
            <w:vMerge/>
            <w:vAlign w:val="center"/>
          </w:tcPr>
          <w:p w14:paraId="6B6E97BD"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0CC00E7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莫村</w:t>
            </w:r>
          </w:p>
        </w:tc>
        <w:tc>
          <w:tcPr>
            <w:tcW w:w="437" w:type="pct"/>
            <w:vAlign w:val="center"/>
          </w:tcPr>
          <w:p w14:paraId="3EF7DF2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119.119627</w:t>
            </w:r>
          </w:p>
        </w:tc>
        <w:tc>
          <w:tcPr>
            <w:tcW w:w="439" w:type="pct"/>
            <w:vAlign w:val="center"/>
          </w:tcPr>
          <w:p w14:paraId="4638683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34.937039</w:t>
            </w:r>
          </w:p>
        </w:tc>
        <w:tc>
          <w:tcPr>
            <w:tcW w:w="489" w:type="pct"/>
          </w:tcPr>
          <w:p w14:paraId="7D0283F4"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约人</w:t>
            </w:r>
          </w:p>
        </w:tc>
        <w:tc>
          <w:tcPr>
            <w:tcW w:w="730" w:type="pct"/>
            <w:vMerge/>
            <w:vAlign w:val="center"/>
          </w:tcPr>
          <w:p w14:paraId="648D2B83"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16CB34CE"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0CB5921D"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WN</w:t>
            </w:r>
          </w:p>
        </w:tc>
        <w:tc>
          <w:tcPr>
            <w:tcW w:w="327" w:type="pct"/>
            <w:vAlign w:val="center"/>
          </w:tcPr>
          <w:p w14:paraId="2CB31CC2"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2310</w:t>
            </w:r>
          </w:p>
        </w:tc>
      </w:tr>
      <w:tr w:rsidR="002133E3" w14:paraId="4CF71E21" w14:textId="77777777">
        <w:trPr>
          <w:trHeight w:val="284"/>
          <w:jc w:val="center"/>
        </w:trPr>
        <w:tc>
          <w:tcPr>
            <w:tcW w:w="322" w:type="pct"/>
            <w:vMerge/>
            <w:vAlign w:val="center"/>
          </w:tcPr>
          <w:p w14:paraId="65AF4663"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102C33F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海头镇高级中学</w:t>
            </w:r>
          </w:p>
        </w:tc>
        <w:tc>
          <w:tcPr>
            <w:tcW w:w="437" w:type="pct"/>
            <w:vAlign w:val="center"/>
          </w:tcPr>
          <w:p w14:paraId="0AD3133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119.16807</w:t>
            </w:r>
          </w:p>
        </w:tc>
        <w:tc>
          <w:tcPr>
            <w:tcW w:w="439" w:type="pct"/>
            <w:vAlign w:val="center"/>
          </w:tcPr>
          <w:p w14:paraId="5E95794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34.938343</w:t>
            </w:r>
          </w:p>
        </w:tc>
        <w:tc>
          <w:tcPr>
            <w:tcW w:w="489" w:type="pct"/>
            <w:vAlign w:val="center"/>
          </w:tcPr>
          <w:p w14:paraId="27597CA5" w14:textId="77777777" w:rsidR="002133E3" w:rsidRDefault="002133E3">
            <w:pPr>
              <w:snapToGrid w:val="0"/>
              <w:jc w:val="center"/>
              <w:rPr>
                <w:rFonts w:ascii="Times New Roman" w:eastAsia="宋体" w:hAnsi="Times New Roman" w:cs="Times New Roman"/>
                <w:szCs w:val="21"/>
              </w:rPr>
            </w:pPr>
          </w:p>
        </w:tc>
        <w:tc>
          <w:tcPr>
            <w:tcW w:w="730" w:type="pct"/>
            <w:vMerge w:val="restart"/>
            <w:vAlign w:val="center"/>
          </w:tcPr>
          <w:p w14:paraId="2F0F8B1A"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教育区人群健康</w:t>
            </w:r>
          </w:p>
        </w:tc>
        <w:tc>
          <w:tcPr>
            <w:tcW w:w="730" w:type="pct"/>
            <w:vMerge/>
            <w:vAlign w:val="center"/>
          </w:tcPr>
          <w:p w14:paraId="02583107"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0C5D7F1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WN</w:t>
            </w:r>
          </w:p>
        </w:tc>
        <w:tc>
          <w:tcPr>
            <w:tcW w:w="327" w:type="pct"/>
            <w:vAlign w:val="center"/>
          </w:tcPr>
          <w:p w14:paraId="79E1228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2385</w:t>
            </w:r>
          </w:p>
        </w:tc>
      </w:tr>
      <w:tr w:rsidR="002133E3" w14:paraId="1AF2AFF0" w14:textId="77777777">
        <w:trPr>
          <w:trHeight w:val="284"/>
          <w:jc w:val="center"/>
        </w:trPr>
        <w:tc>
          <w:tcPr>
            <w:tcW w:w="322" w:type="pct"/>
            <w:vMerge/>
            <w:vAlign w:val="center"/>
          </w:tcPr>
          <w:p w14:paraId="3F4BBB6B"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5761D32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李巷小学</w:t>
            </w:r>
          </w:p>
        </w:tc>
        <w:tc>
          <w:tcPr>
            <w:tcW w:w="437" w:type="pct"/>
            <w:vAlign w:val="center"/>
          </w:tcPr>
          <w:p w14:paraId="5EEDA25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119.162319</w:t>
            </w:r>
          </w:p>
        </w:tc>
        <w:tc>
          <w:tcPr>
            <w:tcW w:w="439" w:type="pct"/>
            <w:vAlign w:val="center"/>
          </w:tcPr>
          <w:p w14:paraId="5D796EB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34.913377</w:t>
            </w:r>
          </w:p>
        </w:tc>
        <w:tc>
          <w:tcPr>
            <w:tcW w:w="489" w:type="pct"/>
            <w:vAlign w:val="center"/>
          </w:tcPr>
          <w:p w14:paraId="16987803"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7240BA4B"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3837B9B8"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4CDCA60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W</w:t>
            </w:r>
          </w:p>
        </w:tc>
        <w:tc>
          <w:tcPr>
            <w:tcW w:w="327" w:type="pct"/>
            <w:vAlign w:val="center"/>
          </w:tcPr>
          <w:p w14:paraId="47DA40B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515</w:t>
            </w:r>
          </w:p>
        </w:tc>
      </w:tr>
      <w:tr w:rsidR="002133E3" w14:paraId="0EA3E1CA" w14:textId="77777777">
        <w:trPr>
          <w:trHeight w:val="284"/>
          <w:jc w:val="center"/>
        </w:trPr>
        <w:tc>
          <w:tcPr>
            <w:tcW w:w="322" w:type="pct"/>
            <w:vMerge/>
            <w:vAlign w:val="center"/>
          </w:tcPr>
          <w:p w14:paraId="6B5447C7"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1B5282F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兴前幼儿园</w:t>
            </w:r>
          </w:p>
        </w:tc>
        <w:tc>
          <w:tcPr>
            <w:tcW w:w="437" w:type="pct"/>
            <w:vAlign w:val="center"/>
          </w:tcPr>
          <w:p w14:paraId="477750A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119.159686</w:t>
            </w:r>
          </w:p>
        </w:tc>
        <w:tc>
          <w:tcPr>
            <w:tcW w:w="439" w:type="pct"/>
            <w:vAlign w:val="center"/>
          </w:tcPr>
          <w:p w14:paraId="475E6B2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34.9017146</w:t>
            </w:r>
          </w:p>
        </w:tc>
        <w:tc>
          <w:tcPr>
            <w:tcW w:w="489" w:type="pct"/>
            <w:vAlign w:val="center"/>
          </w:tcPr>
          <w:p w14:paraId="0C420932"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5C677BF5"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090B5A12"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138B25E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WS</w:t>
            </w:r>
          </w:p>
        </w:tc>
        <w:tc>
          <w:tcPr>
            <w:tcW w:w="327" w:type="pct"/>
            <w:vAlign w:val="center"/>
          </w:tcPr>
          <w:p w14:paraId="5C38EB3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930</w:t>
            </w:r>
          </w:p>
        </w:tc>
      </w:tr>
      <w:tr w:rsidR="002133E3" w14:paraId="139ED3C2" w14:textId="77777777">
        <w:trPr>
          <w:trHeight w:val="284"/>
          <w:jc w:val="center"/>
        </w:trPr>
        <w:tc>
          <w:tcPr>
            <w:tcW w:w="322" w:type="pct"/>
            <w:vMerge/>
            <w:vAlign w:val="center"/>
          </w:tcPr>
          <w:p w14:paraId="4019C931"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3848293A"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兴庄幼儿园</w:t>
            </w:r>
          </w:p>
        </w:tc>
        <w:tc>
          <w:tcPr>
            <w:tcW w:w="437" w:type="pct"/>
            <w:vAlign w:val="center"/>
          </w:tcPr>
          <w:p w14:paraId="43627A6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119.163643</w:t>
            </w:r>
          </w:p>
        </w:tc>
        <w:tc>
          <w:tcPr>
            <w:tcW w:w="439" w:type="pct"/>
            <w:vAlign w:val="center"/>
          </w:tcPr>
          <w:p w14:paraId="33FE7D3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34.904418</w:t>
            </w:r>
          </w:p>
        </w:tc>
        <w:tc>
          <w:tcPr>
            <w:tcW w:w="489" w:type="pct"/>
            <w:vAlign w:val="center"/>
          </w:tcPr>
          <w:p w14:paraId="45165882"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054E4F8B"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284E3295"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5AF7429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WS</w:t>
            </w:r>
          </w:p>
        </w:tc>
        <w:tc>
          <w:tcPr>
            <w:tcW w:w="327" w:type="pct"/>
            <w:vAlign w:val="center"/>
          </w:tcPr>
          <w:p w14:paraId="5AC35B9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475</w:t>
            </w:r>
          </w:p>
        </w:tc>
      </w:tr>
      <w:tr w:rsidR="002133E3" w14:paraId="782F59E6" w14:textId="77777777">
        <w:trPr>
          <w:trHeight w:val="284"/>
          <w:jc w:val="center"/>
        </w:trPr>
        <w:tc>
          <w:tcPr>
            <w:tcW w:w="322" w:type="pct"/>
            <w:vMerge/>
            <w:vAlign w:val="center"/>
          </w:tcPr>
          <w:p w14:paraId="4F2E69A8" w14:textId="77777777" w:rsidR="002133E3" w:rsidRDefault="002133E3">
            <w:pPr>
              <w:snapToGrid w:val="0"/>
              <w:jc w:val="center"/>
              <w:rPr>
                <w:rFonts w:ascii="Times New Roman" w:eastAsia="宋体" w:hAnsi="Times New Roman" w:cs="Times New Roman"/>
                <w:color w:val="000000"/>
                <w:szCs w:val="21"/>
              </w:rPr>
            </w:pPr>
          </w:p>
        </w:tc>
        <w:tc>
          <w:tcPr>
            <w:tcW w:w="1186" w:type="pct"/>
            <w:vAlign w:val="center"/>
          </w:tcPr>
          <w:p w14:paraId="42982401"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兴庄小学</w:t>
            </w:r>
          </w:p>
        </w:tc>
        <w:tc>
          <w:tcPr>
            <w:tcW w:w="437" w:type="pct"/>
            <w:vAlign w:val="center"/>
          </w:tcPr>
          <w:p w14:paraId="61AA094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119.162207</w:t>
            </w:r>
          </w:p>
        </w:tc>
        <w:tc>
          <w:tcPr>
            <w:tcW w:w="439" w:type="pct"/>
            <w:vAlign w:val="center"/>
          </w:tcPr>
          <w:p w14:paraId="53323371"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34.89643</w:t>
            </w:r>
          </w:p>
        </w:tc>
        <w:tc>
          <w:tcPr>
            <w:tcW w:w="489" w:type="pct"/>
            <w:vAlign w:val="center"/>
          </w:tcPr>
          <w:p w14:paraId="47EC69AA"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539E8303"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0314E548"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53ACB0CE"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S</w:t>
            </w:r>
          </w:p>
        </w:tc>
        <w:tc>
          <w:tcPr>
            <w:tcW w:w="327" w:type="pct"/>
            <w:vAlign w:val="center"/>
          </w:tcPr>
          <w:p w14:paraId="2307AAC7"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1350</w:t>
            </w:r>
          </w:p>
        </w:tc>
      </w:tr>
      <w:tr w:rsidR="002133E3" w14:paraId="6436B0E7" w14:textId="77777777">
        <w:trPr>
          <w:trHeight w:val="284"/>
          <w:jc w:val="center"/>
        </w:trPr>
        <w:tc>
          <w:tcPr>
            <w:tcW w:w="322" w:type="pct"/>
            <w:vMerge w:val="restart"/>
            <w:vAlign w:val="center"/>
          </w:tcPr>
          <w:p w14:paraId="4B98C2F1"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bCs/>
                <w:kern w:val="0"/>
                <w:szCs w:val="21"/>
              </w:rPr>
              <w:t>水环境</w:t>
            </w:r>
          </w:p>
        </w:tc>
        <w:tc>
          <w:tcPr>
            <w:tcW w:w="1186" w:type="pct"/>
            <w:vAlign w:val="center"/>
          </w:tcPr>
          <w:p w14:paraId="3E7B7117"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kern w:val="0"/>
                <w:szCs w:val="21"/>
              </w:rPr>
              <w:t>兴庄河</w:t>
            </w:r>
          </w:p>
        </w:tc>
        <w:tc>
          <w:tcPr>
            <w:tcW w:w="437" w:type="pct"/>
            <w:vAlign w:val="center"/>
          </w:tcPr>
          <w:p w14:paraId="20AE5B8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5BF9C0D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176751BF"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w:t>
            </w:r>
          </w:p>
        </w:tc>
        <w:tc>
          <w:tcPr>
            <w:tcW w:w="730" w:type="pct"/>
            <w:vMerge w:val="restart"/>
            <w:vAlign w:val="center"/>
          </w:tcPr>
          <w:p w14:paraId="71B7BFDC"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农业、渔业用水区</w:t>
            </w:r>
          </w:p>
        </w:tc>
        <w:tc>
          <w:tcPr>
            <w:tcW w:w="730" w:type="pct"/>
            <w:vMerge w:val="restart"/>
            <w:vAlign w:val="center"/>
          </w:tcPr>
          <w:p w14:paraId="314852F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GB3838-2002 III</w:t>
            </w:r>
            <w:r>
              <w:rPr>
                <w:rFonts w:ascii="Times New Roman" w:eastAsia="宋体" w:hAnsi="Times New Roman" w:cs="Times New Roman"/>
                <w:kern w:val="0"/>
                <w:szCs w:val="21"/>
              </w:rPr>
              <w:t>类</w:t>
            </w:r>
          </w:p>
        </w:tc>
        <w:tc>
          <w:tcPr>
            <w:tcW w:w="340" w:type="pct"/>
            <w:vAlign w:val="center"/>
          </w:tcPr>
          <w:p w14:paraId="3EA35A8B"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kern w:val="0"/>
                <w:szCs w:val="21"/>
              </w:rPr>
              <w:t>S</w:t>
            </w:r>
          </w:p>
        </w:tc>
        <w:tc>
          <w:tcPr>
            <w:tcW w:w="327" w:type="pct"/>
            <w:vAlign w:val="center"/>
          </w:tcPr>
          <w:p w14:paraId="1BD562A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kern w:val="0"/>
                <w:szCs w:val="21"/>
              </w:rPr>
              <w:t>1650</w:t>
            </w:r>
          </w:p>
        </w:tc>
      </w:tr>
      <w:tr w:rsidR="002133E3" w14:paraId="0785D2EB" w14:textId="77777777">
        <w:trPr>
          <w:trHeight w:val="284"/>
          <w:jc w:val="center"/>
        </w:trPr>
        <w:tc>
          <w:tcPr>
            <w:tcW w:w="322" w:type="pct"/>
            <w:vMerge/>
            <w:vAlign w:val="center"/>
          </w:tcPr>
          <w:p w14:paraId="212D8103" w14:textId="77777777" w:rsidR="002133E3" w:rsidRDefault="002133E3">
            <w:pPr>
              <w:snapToGrid w:val="0"/>
              <w:jc w:val="center"/>
              <w:rPr>
                <w:rFonts w:ascii="Times New Roman" w:eastAsia="宋体" w:hAnsi="Times New Roman" w:cs="Times New Roman"/>
                <w:bCs/>
                <w:kern w:val="0"/>
                <w:szCs w:val="21"/>
              </w:rPr>
            </w:pPr>
          </w:p>
        </w:tc>
        <w:tc>
          <w:tcPr>
            <w:tcW w:w="1186" w:type="pct"/>
            <w:vAlign w:val="center"/>
          </w:tcPr>
          <w:p w14:paraId="69BB0390"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kern w:val="0"/>
                <w:szCs w:val="21"/>
              </w:rPr>
              <w:t>官庄河</w:t>
            </w:r>
          </w:p>
        </w:tc>
        <w:tc>
          <w:tcPr>
            <w:tcW w:w="437" w:type="pct"/>
            <w:vAlign w:val="center"/>
          </w:tcPr>
          <w:p w14:paraId="4684A35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697B66B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3E20956F"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w:t>
            </w:r>
          </w:p>
        </w:tc>
        <w:tc>
          <w:tcPr>
            <w:tcW w:w="730" w:type="pct"/>
            <w:vMerge/>
            <w:vAlign w:val="center"/>
          </w:tcPr>
          <w:p w14:paraId="03118F15" w14:textId="77777777" w:rsidR="002133E3" w:rsidRDefault="002133E3">
            <w:pPr>
              <w:snapToGrid w:val="0"/>
              <w:jc w:val="center"/>
              <w:rPr>
                <w:rFonts w:ascii="Times New Roman" w:eastAsia="宋体" w:hAnsi="Times New Roman" w:cs="Times New Roman"/>
                <w:color w:val="000000"/>
                <w:szCs w:val="21"/>
              </w:rPr>
            </w:pPr>
          </w:p>
        </w:tc>
        <w:tc>
          <w:tcPr>
            <w:tcW w:w="730" w:type="pct"/>
            <w:vMerge/>
            <w:vAlign w:val="center"/>
          </w:tcPr>
          <w:p w14:paraId="53AABE3E" w14:textId="77777777" w:rsidR="002133E3" w:rsidRDefault="002133E3">
            <w:pPr>
              <w:snapToGrid w:val="0"/>
              <w:jc w:val="center"/>
              <w:rPr>
                <w:rFonts w:ascii="Times New Roman" w:eastAsia="宋体" w:hAnsi="Times New Roman" w:cs="Times New Roman"/>
                <w:color w:val="000000"/>
                <w:szCs w:val="21"/>
              </w:rPr>
            </w:pPr>
          </w:p>
        </w:tc>
        <w:tc>
          <w:tcPr>
            <w:tcW w:w="340" w:type="pct"/>
            <w:vAlign w:val="center"/>
          </w:tcPr>
          <w:p w14:paraId="58513168"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kern w:val="0"/>
                <w:szCs w:val="21"/>
              </w:rPr>
              <w:t>N</w:t>
            </w:r>
          </w:p>
        </w:tc>
        <w:tc>
          <w:tcPr>
            <w:tcW w:w="327" w:type="pct"/>
            <w:vAlign w:val="center"/>
          </w:tcPr>
          <w:p w14:paraId="3DE14E4E"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kern w:val="0"/>
                <w:szCs w:val="21"/>
              </w:rPr>
              <w:t>550</w:t>
            </w:r>
          </w:p>
        </w:tc>
      </w:tr>
      <w:tr w:rsidR="002133E3" w14:paraId="2CA32A5D" w14:textId="77777777">
        <w:trPr>
          <w:trHeight w:val="284"/>
          <w:jc w:val="center"/>
        </w:trPr>
        <w:tc>
          <w:tcPr>
            <w:tcW w:w="322" w:type="pct"/>
            <w:vMerge/>
            <w:vAlign w:val="center"/>
          </w:tcPr>
          <w:p w14:paraId="33F926E9" w14:textId="77777777" w:rsidR="002133E3" w:rsidRDefault="002133E3">
            <w:pPr>
              <w:snapToGrid w:val="0"/>
              <w:jc w:val="center"/>
              <w:rPr>
                <w:rFonts w:ascii="Times New Roman" w:eastAsia="宋体" w:hAnsi="Times New Roman" w:cs="Times New Roman"/>
                <w:bCs/>
                <w:kern w:val="0"/>
                <w:szCs w:val="21"/>
              </w:rPr>
            </w:pPr>
          </w:p>
        </w:tc>
        <w:tc>
          <w:tcPr>
            <w:tcW w:w="1186" w:type="pct"/>
            <w:vAlign w:val="center"/>
          </w:tcPr>
          <w:p w14:paraId="7856928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龙王河</w:t>
            </w:r>
          </w:p>
        </w:tc>
        <w:tc>
          <w:tcPr>
            <w:tcW w:w="437" w:type="pct"/>
            <w:vAlign w:val="center"/>
          </w:tcPr>
          <w:p w14:paraId="2C41509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60BD863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61D2281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w:t>
            </w:r>
          </w:p>
        </w:tc>
        <w:tc>
          <w:tcPr>
            <w:tcW w:w="730" w:type="pct"/>
            <w:vAlign w:val="center"/>
          </w:tcPr>
          <w:p w14:paraId="56590B31"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kern w:val="0"/>
                <w:szCs w:val="21"/>
              </w:rPr>
              <w:t>工业用水，农业用水</w:t>
            </w:r>
          </w:p>
        </w:tc>
        <w:tc>
          <w:tcPr>
            <w:tcW w:w="730" w:type="pct"/>
            <w:vAlign w:val="center"/>
          </w:tcPr>
          <w:p w14:paraId="310F34E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GB3838-2002 IV</w:t>
            </w:r>
            <w:r>
              <w:rPr>
                <w:rFonts w:ascii="Times New Roman" w:eastAsia="宋体" w:hAnsi="Times New Roman" w:cs="Times New Roman"/>
                <w:szCs w:val="21"/>
              </w:rPr>
              <w:t>类</w:t>
            </w:r>
          </w:p>
        </w:tc>
        <w:tc>
          <w:tcPr>
            <w:tcW w:w="340" w:type="pct"/>
            <w:vAlign w:val="center"/>
          </w:tcPr>
          <w:p w14:paraId="2F6DADE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N</w:t>
            </w:r>
          </w:p>
        </w:tc>
        <w:tc>
          <w:tcPr>
            <w:tcW w:w="327" w:type="pct"/>
            <w:vAlign w:val="center"/>
          </w:tcPr>
          <w:p w14:paraId="1DB4656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1385</w:t>
            </w:r>
          </w:p>
        </w:tc>
      </w:tr>
      <w:tr w:rsidR="002133E3" w14:paraId="72FDCBD9" w14:textId="77777777">
        <w:trPr>
          <w:trHeight w:val="284"/>
          <w:jc w:val="center"/>
        </w:trPr>
        <w:tc>
          <w:tcPr>
            <w:tcW w:w="322" w:type="pct"/>
            <w:vAlign w:val="center"/>
          </w:tcPr>
          <w:p w14:paraId="0A9CF4A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地下水</w:t>
            </w:r>
          </w:p>
        </w:tc>
        <w:tc>
          <w:tcPr>
            <w:tcW w:w="1186" w:type="pct"/>
            <w:vAlign w:val="center"/>
          </w:tcPr>
          <w:p w14:paraId="42615280"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潜水含水层</w:t>
            </w:r>
          </w:p>
        </w:tc>
        <w:tc>
          <w:tcPr>
            <w:tcW w:w="437" w:type="pct"/>
            <w:vAlign w:val="center"/>
          </w:tcPr>
          <w:p w14:paraId="2AA6D111"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5CAF477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4B55E60A"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地下水</w:t>
            </w:r>
          </w:p>
        </w:tc>
        <w:tc>
          <w:tcPr>
            <w:tcW w:w="730" w:type="pct"/>
            <w:vAlign w:val="center"/>
          </w:tcPr>
          <w:p w14:paraId="3966FBDA"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地下水水质</w:t>
            </w:r>
          </w:p>
        </w:tc>
        <w:tc>
          <w:tcPr>
            <w:tcW w:w="730" w:type="pct"/>
            <w:vAlign w:val="center"/>
          </w:tcPr>
          <w:p w14:paraId="3ED8BB74"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340" w:type="pct"/>
            <w:vAlign w:val="center"/>
          </w:tcPr>
          <w:p w14:paraId="1B9C2224"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w:t>
            </w:r>
          </w:p>
        </w:tc>
        <w:tc>
          <w:tcPr>
            <w:tcW w:w="327" w:type="pct"/>
            <w:vAlign w:val="center"/>
          </w:tcPr>
          <w:p w14:paraId="4FD6801E"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w:t>
            </w:r>
          </w:p>
        </w:tc>
      </w:tr>
      <w:tr w:rsidR="002133E3" w14:paraId="6C58C2ED" w14:textId="77777777">
        <w:trPr>
          <w:trHeight w:val="284"/>
          <w:jc w:val="center"/>
        </w:trPr>
        <w:tc>
          <w:tcPr>
            <w:tcW w:w="322" w:type="pct"/>
            <w:vMerge w:val="restart"/>
            <w:vAlign w:val="center"/>
          </w:tcPr>
          <w:p w14:paraId="0D823294"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声环境</w:t>
            </w:r>
          </w:p>
        </w:tc>
        <w:tc>
          <w:tcPr>
            <w:tcW w:w="1186" w:type="pct"/>
            <w:vAlign w:val="center"/>
          </w:tcPr>
          <w:p w14:paraId="56DB1D39"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厂界</w:t>
            </w:r>
          </w:p>
        </w:tc>
        <w:tc>
          <w:tcPr>
            <w:tcW w:w="437" w:type="pct"/>
            <w:vAlign w:val="center"/>
          </w:tcPr>
          <w:p w14:paraId="2EFCFC2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3A626C5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6CE2147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工业区</w:t>
            </w:r>
          </w:p>
        </w:tc>
        <w:tc>
          <w:tcPr>
            <w:tcW w:w="730" w:type="pct"/>
            <w:vAlign w:val="center"/>
          </w:tcPr>
          <w:p w14:paraId="383856E0" w14:textId="77777777" w:rsidR="002133E3" w:rsidRDefault="00C22CFA">
            <w:pPr>
              <w:snapToGrid w:val="0"/>
              <w:jc w:val="center"/>
              <w:rPr>
                <w:rFonts w:ascii="Times New Roman" w:eastAsia="宋体" w:hAnsi="Times New Roman" w:cs="Times New Roman"/>
                <w:color w:val="000000"/>
                <w:szCs w:val="21"/>
              </w:rPr>
            </w:pPr>
            <w:r>
              <w:rPr>
                <w:rFonts w:ascii="Times New Roman" w:eastAsia="宋体" w:hAnsi="Times New Roman" w:cs="Times New Roman"/>
                <w:szCs w:val="21"/>
              </w:rPr>
              <w:t>工业区</w:t>
            </w:r>
          </w:p>
        </w:tc>
        <w:tc>
          <w:tcPr>
            <w:tcW w:w="730" w:type="pct"/>
            <w:vAlign w:val="center"/>
          </w:tcPr>
          <w:p w14:paraId="64699F06"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GB3096-2008 3</w:t>
            </w:r>
            <w:r>
              <w:rPr>
                <w:rFonts w:ascii="Times New Roman" w:eastAsia="宋体" w:hAnsi="Times New Roman" w:cs="Times New Roman"/>
                <w:szCs w:val="21"/>
              </w:rPr>
              <w:t>类区</w:t>
            </w:r>
          </w:p>
        </w:tc>
        <w:tc>
          <w:tcPr>
            <w:tcW w:w="667" w:type="pct"/>
            <w:gridSpan w:val="2"/>
            <w:vAlign w:val="center"/>
          </w:tcPr>
          <w:p w14:paraId="4306863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厂界周围</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t>200m</w:t>
            </w:r>
          </w:p>
        </w:tc>
      </w:tr>
      <w:tr w:rsidR="002133E3" w14:paraId="464876FE" w14:textId="77777777">
        <w:trPr>
          <w:trHeight w:val="284"/>
          <w:jc w:val="center"/>
        </w:trPr>
        <w:tc>
          <w:tcPr>
            <w:tcW w:w="322" w:type="pct"/>
            <w:vMerge/>
            <w:vAlign w:val="center"/>
          </w:tcPr>
          <w:p w14:paraId="243AE61A" w14:textId="77777777" w:rsidR="002133E3" w:rsidRDefault="002133E3">
            <w:pPr>
              <w:snapToGrid w:val="0"/>
              <w:jc w:val="center"/>
              <w:rPr>
                <w:rFonts w:ascii="Times New Roman" w:eastAsia="宋体" w:hAnsi="Times New Roman" w:cs="Times New Roman"/>
                <w:szCs w:val="21"/>
              </w:rPr>
            </w:pPr>
          </w:p>
        </w:tc>
        <w:tc>
          <w:tcPr>
            <w:tcW w:w="1186" w:type="pct"/>
          </w:tcPr>
          <w:p w14:paraId="029A2B6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赵沙村</w:t>
            </w:r>
          </w:p>
        </w:tc>
        <w:tc>
          <w:tcPr>
            <w:tcW w:w="437" w:type="pct"/>
          </w:tcPr>
          <w:p w14:paraId="6F8075A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119.169349</w:t>
            </w:r>
          </w:p>
        </w:tc>
        <w:tc>
          <w:tcPr>
            <w:tcW w:w="439" w:type="pct"/>
          </w:tcPr>
          <w:p w14:paraId="2E2E299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34.918317</w:t>
            </w:r>
          </w:p>
        </w:tc>
        <w:tc>
          <w:tcPr>
            <w:tcW w:w="489" w:type="pct"/>
            <w:vAlign w:val="center"/>
          </w:tcPr>
          <w:p w14:paraId="3BFF4161" w14:textId="77777777" w:rsidR="002133E3" w:rsidRDefault="002133E3">
            <w:pPr>
              <w:snapToGrid w:val="0"/>
              <w:jc w:val="center"/>
              <w:rPr>
                <w:rFonts w:ascii="Times New Roman" w:eastAsia="宋体" w:hAnsi="Times New Roman" w:cs="Times New Roman"/>
                <w:szCs w:val="21"/>
              </w:rPr>
            </w:pPr>
          </w:p>
        </w:tc>
        <w:tc>
          <w:tcPr>
            <w:tcW w:w="730" w:type="pct"/>
            <w:vMerge w:val="restart"/>
            <w:vAlign w:val="center"/>
          </w:tcPr>
          <w:p w14:paraId="4A7BFBC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color w:val="000000"/>
                <w:szCs w:val="21"/>
              </w:rPr>
              <w:t>居住区居住区人群健康</w:t>
            </w:r>
          </w:p>
        </w:tc>
        <w:tc>
          <w:tcPr>
            <w:tcW w:w="730" w:type="pct"/>
            <w:vMerge w:val="restart"/>
            <w:vAlign w:val="center"/>
          </w:tcPr>
          <w:p w14:paraId="1177F85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GB3096-2008 2</w:t>
            </w:r>
            <w:r>
              <w:rPr>
                <w:rFonts w:ascii="Times New Roman" w:eastAsia="宋体" w:hAnsi="Times New Roman" w:cs="Times New Roman"/>
                <w:szCs w:val="21"/>
              </w:rPr>
              <w:t>类区</w:t>
            </w:r>
          </w:p>
        </w:tc>
        <w:tc>
          <w:tcPr>
            <w:tcW w:w="340" w:type="pct"/>
            <w:vAlign w:val="center"/>
          </w:tcPr>
          <w:p w14:paraId="427DCCC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WN</w:t>
            </w:r>
          </w:p>
        </w:tc>
        <w:tc>
          <w:tcPr>
            <w:tcW w:w="327" w:type="pct"/>
            <w:vAlign w:val="center"/>
          </w:tcPr>
          <w:p w14:paraId="6F27006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157</w:t>
            </w:r>
          </w:p>
        </w:tc>
      </w:tr>
      <w:tr w:rsidR="002133E3" w14:paraId="7AAB88F5" w14:textId="77777777">
        <w:trPr>
          <w:trHeight w:val="284"/>
          <w:jc w:val="center"/>
        </w:trPr>
        <w:tc>
          <w:tcPr>
            <w:tcW w:w="322" w:type="pct"/>
            <w:vMerge/>
            <w:vAlign w:val="center"/>
          </w:tcPr>
          <w:p w14:paraId="6509D200" w14:textId="77777777" w:rsidR="002133E3" w:rsidRDefault="002133E3">
            <w:pPr>
              <w:snapToGrid w:val="0"/>
              <w:jc w:val="center"/>
              <w:rPr>
                <w:rFonts w:ascii="Times New Roman" w:eastAsia="宋体" w:hAnsi="Times New Roman" w:cs="Times New Roman"/>
                <w:szCs w:val="21"/>
              </w:rPr>
            </w:pPr>
          </w:p>
        </w:tc>
        <w:tc>
          <w:tcPr>
            <w:tcW w:w="1186" w:type="pct"/>
          </w:tcPr>
          <w:p w14:paraId="44CA412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李巷村</w:t>
            </w:r>
          </w:p>
        </w:tc>
        <w:tc>
          <w:tcPr>
            <w:tcW w:w="437" w:type="pct"/>
          </w:tcPr>
          <w:p w14:paraId="1E31AE3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119.166424</w:t>
            </w:r>
          </w:p>
        </w:tc>
        <w:tc>
          <w:tcPr>
            <w:tcW w:w="439" w:type="pct"/>
          </w:tcPr>
          <w:p w14:paraId="72F526E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34.908865</w:t>
            </w:r>
          </w:p>
        </w:tc>
        <w:tc>
          <w:tcPr>
            <w:tcW w:w="489" w:type="pct"/>
            <w:vAlign w:val="center"/>
          </w:tcPr>
          <w:p w14:paraId="41E36615"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4BD00394"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06261757"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7E5A1E86"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w:t>
            </w:r>
          </w:p>
        </w:tc>
        <w:tc>
          <w:tcPr>
            <w:tcW w:w="327" w:type="pct"/>
            <w:vAlign w:val="center"/>
          </w:tcPr>
          <w:p w14:paraId="6251E42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20</w:t>
            </w:r>
          </w:p>
        </w:tc>
      </w:tr>
      <w:tr w:rsidR="002133E3" w14:paraId="6EE3887A" w14:textId="77777777">
        <w:trPr>
          <w:trHeight w:val="284"/>
          <w:jc w:val="center"/>
        </w:trPr>
        <w:tc>
          <w:tcPr>
            <w:tcW w:w="322" w:type="pct"/>
            <w:vMerge/>
            <w:vAlign w:val="center"/>
          </w:tcPr>
          <w:p w14:paraId="21B20D73" w14:textId="77777777" w:rsidR="002133E3" w:rsidRDefault="002133E3">
            <w:pPr>
              <w:snapToGrid w:val="0"/>
              <w:jc w:val="center"/>
              <w:rPr>
                <w:rFonts w:ascii="Times New Roman" w:eastAsia="宋体" w:hAnsi="Times New Roman" w:cs="Times New Roman"/>
                <w:szCs w:val="21"/>
              </w:rPr>
            </w:pPr>
          </w:p>
        </w:tc>
        <w:tc>
          <w:tcPr>
            <w:tcW w:w="1186" w:type="pct"/>
          </w:tcPr>
          <w:p w14:paraId="46BAC4BA"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兴庄村</w:t>
            </w:r>
          </w:p>
        </w:tc>
        <w:tc>
          <w:tcPr>
            <w:tcW w:w="437" w:type="pct"/>
          </w:tcPr>
          <w:p w14:paraId="0619E62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119.165375</w:t>
            </w:r>
          </w:p>
        </w:tc>
        <w:tc>
          <w:tcPr>
            <w:tcW w:w="439" w:type="pct"/>
          </w:tcPr>
          <w:p w14:paraId="2A9ED35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34.907736</w:t>
            </w:r>
          </w:p>
        </w:tc>
        <w:tc>
          <w:tcPr>
            <w:tcW w:w="489" w:type="pct"/>
            <w:vAlign w:val="center"/>
          </w:tcPr>
          <w:p w14:paraId="2A1F59EC"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0FC982FC"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40B2C5A1"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2554814A"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S</w:t>
            </w:r>
          </w:p>
        </w:tc>
        <w:tc>
          <w:tcPr>
            <w:tcW w:w="327" w:type="pct"/>
            <w:vAlign w:val="center"/>
          </w:tcPr>
          <w:p w14:paraId="35F0B88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110</w:t>
            </w:r>
          </w:p>
        </w:tc>
      </w:tr>
      <w:tr w:rsidR="002133E3" w14:paraId="661DE0E5" w14:textId="77777777">
        <w:trPr>
          <w:trHeight w:val="284"/>
          <w:jc w:val="center"/>
        </w:trPr>
        <w:tc>
          <w:tcPr>
            <w:tcW w:w="322" w:type="pct"/>
            <w:vMerge/>
            <w:vAlign w:val="center"/>
          </w:tcPr>
          <w:p w14:paraId="29F79912" w14:textId="77777777" w:rsidR="002133E3" w:rsidRDefault="002133E3">
            <w:pPr>
              <w:snapToGrid w:val="0"/>
              <w:jc w:val="center"/>
              <w:rPr>
                <w:rFonts w:ascii="Times New Roman" w:eastAsia="宋体" w:hAnsi="Times New Roman" w:cs="Times New Roman"/>
                <w:szCs w:val="21"/>
              </w:rPr>
            </w:pPr>
          </w:p>
        </w:tc>
        <w:tc>
          <w:tcPr>
            <w:tcW w:w="1186" w:type="pct"/>
          </w:tcPr>
          <w:p w14:paraId="1AB81EF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匡口村</w:t>
            </w:r>
          </w:p>
        </w:tc>
        <w:tc>
          <w:tcPr>
            <w:tcW w:w="437" w:type="pct"/>
          </w:tcPr>
          <w:p w14:paraId="24895C0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119.177075</w:t>
            </w:r>
          </w:p>
        </w:tc>
        <w:tc>
          <w:tcPr>
            <w:tcW w:w="439" w:type="pct"/>
          </w:tcPr>
          <w:p w14:paraId="449D228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34.790787</w:t>
            </w:r>
          </w:p>
        </w:tc>
        <w:tc>
          <w:tcPr>
            <w:tcW w:w="489" w:type="pct"/>
            <w:vAlign w:val="center"/>
          </w:tcPr>
          <w:p w14:paraId="5B42A401"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269AAA15" w14:textId="77777777" w:rsidR="002133E3" w:rsidRDefault="002133E3">
            <w:pPr>
              <w:snapToGrid w:val="0"/>
              <w:jc w:val="center"/>
              <w:rPr>
                <w:rFonts w:ascii="Times New Roman" w:eastAsia="宋体" w:hAnsi="Times New Roman" w:cs="Times New Roman"/>
                <w:szCs w:val="21"/>
              </w:rPr>
            </w:pPr>
          </w:p>
        </w:tc>
        <w:tc>
          <w:tcPr>
            <w:tcW w:w="730" w:type="pct"/>
            <w:vMerge/>
            <w:vAlign w:val="center"/>
          </w:tcPr>
          <w:p w14:paraId="167BBACD" w14:textId="77777777" w:rsidR="002133E3" w:rsidRDefault="002133E3">
            <w:pPr>
              <w:snapToGrid w:val="0"/>
              <w:jc w:val="center"/>
              <w:rPr>
                <w:rFonts w:ascii="Times New Roman" w:eastAsia="宋体" w:hAnsi="Times New Roman" w:cs="Times New Roman"/>
                <w:szCs w:val="21"/>
              </w:rPr>
            </w:pPr>
          </w:p>
        </w:tc>
        <w:tc>
          <w:tcPr>
            <w:tcW w:w="340" w:type="pct"/>
            <w:vAlign w:val="center"/>
          </w:tcPr>
          <w:p w14:paraId="23BA15C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E</w:t>
            </w:r>
          </w:p>
        </w:tc>
        <w:tc>
          <w:tcPr>
            <w:tcW w:w="327" w:type="pct"/>
            <w:vAlign w:val="center"/>
          </w:tcPr>
          <w:p w14:paraId="34E23BD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84</w:t>
            </w:r>
          </w:p>
        </w:tc>
      </w:tr>
      <w:tr w:rsidR="002133E3" w14:paraId="2CCD3EFA" w14:textId="77777777">
        <w:trPr>
          <w:trHeight w:val="284"/>
          <w:jc w:val="center"/>
        </w:trPr>
        <w:tc>
          <w:tcPr>
            <w:tcW w:w="322" w:type="pct"/>
            <w:vMerge w:val="restart"/>
            <w:vAlign w:val="center"/>
          </w:tcPr>
          <w:p w14:paraId="2349A9D4"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生态环境</w:t>
            </w:r>
          </w:p>
        </w:tc>
        <w:tc>
          <w:tcPr>
            <w:tcW w:w="1186" w:type="pct"/>
            <w:vAlign w:val="center"/>
          </w:tcPr>
          <w:p w14:paraId="5C04EE6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lang w:val="zh-CN"/>
              </w:rPr>
              <w:t>龙王河洪水调蓄区</w:t>
            </w:r>
          </w:p>
        </w:tc>
        <w:tc>
          <w:tcPr>
            <w:tcW w:w="437" w:type="pct"/>
            <w:vAlign w:val="center"/>
          </w:tcPr>
          <w:p w14:paraId="443B9F3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3E57F61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4F88CCE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7.19 km</w:t>
            </w:r>
            <w:r>
              <w:rPr>
                <w:rFonts w:ascii="Times New Roman" w:eastAsia="宋体" w:hAnsi="Times New Roman" w:cs="Times New Roman"/>
                <w:szCs w:val="21"/>
                <w:vertAlign w:val="superscript"/>
              </w:rPr>
              <w:t>2</w:t>
            </w:r>
          </w:p>
        </w:tc>
        <w:tc>
          <w:tcPr>
            <w:tcW w:w="730" w:type="pct"/>
            <w:vAlign w:val="center"/>
          </w:tcPr>
          <w:p w14:paraId="4E28F5F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洪水调蓄</w:t>
            </w:r>
          </w:p>
        </w:tc>
        <w:tc>
          <w:tcPr>
            <w:tcW w:w="730" w:type="pct"/>
            <w:vAlign w:val="center"/>
          </w:tcPr>
          <w:p w14:paraId="14709B8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二级</w:t>
            </w:r>
            <w:r>
              <w:rPr>
                <w:rFonts w:ascii="Times New Roman" w:eastAsia="宋体" w:hAnsi="Times New Roman" w:cs="Times New Roman"/>
                <w:szCs w:val="21"/>
              </w:rPr>
              <w:t>管控</w:t>
            </w:r>
          </w:p>
        </w:tc>
        <w:tc>
          <w:tcPr>
            <w:tcW w:w="340" w:type="pct"/>
            <w:vAlign w:val="center"/>
          </w:tcPr>
          <w:p w14:paraId="3F0AAC7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N</w:t>
            </w:r>
          </w:p>
        </w:tc>
        <w:tc>
          <w:tcPr>
            <w:tcW w:w="327" w:type="pct"/>
            <w:vAlign w:val="center"/>
          </w:tcPr>
          <w:p w14:paraId="1786E35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1310</w:t>
            </w:r>
          </w:p>
        </w:tc>
      </w:tr>
      <w:tr w:rsidR="002133E3" w14:paraId="71C10653" w14:textId="77777777">
        <w:trPr>
          <w:trHeight w:val="284"/>
          <w:jc w:val="center"/>
        </w:trPr>
        <w:tc>
          <w:tcPr>
            <w:tcW w:w="322" w:type="pct"/>
            <w:vMerge/>
            <w:vAlign w:val="center"/>
          </w:tcPr>
          <w:p w14:paraId="58F5CEA4" w14:textId="77777777" w:rsidR="002133E3" w:rsidRDefault="002133E3">
            <w:pPr>
              <w:snapToGrid w:val="0"/>
              <w:jc w:val="center"/>
              <w:rPr>
                <w:rFonts w:ascii="Times New Roman" w:eastAsia="宋体" w:hAnsi="Times New Roman" w:cs="Times New Roman"/>
                <w:szCs w:val="21"/>
              </w:rPr>
            </w:pPr>
          </w:p>
        </w:tc>
        <w:tc>
          <w:tcPr>
            <w:tcW w:w="1186" w:type="pct"/>
            <w:vAlign w:val="center"/>
          </w:tcPr>
          <w:p w14:paraId="690550E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lang w:val="zh-CN"/>
              </w:rPr>
              <w:t>通榆河（赣榆区）清水通道维护区</w:t>
            </w:r>
          </w:p>
        </w:tc>
        <w:tc>
          <w:tcPr>
            <w:tcW w:w="437" w:type="pct"/>
            <w:vAlign w:val="center"/>
          </w:tcPr>
          <w:p w14:paraId="0BFD9A4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1B13EF3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66CC893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144.88 km</w:t>
            </w:r>
            <w:r>
              <w:rPr>
                <w:rFonts w:ascii="Times New Roman" w:eastAsia="宋体" w:hAnsi="Times New Roman" w:cs="Times New Roman"/>
                <w:szCs w:val="21"/>
                <w:vertAlign w:val="superscript"/>
              </w:rPr>
              <w:t>2</w:t>
            </w:r>
          </w:p>
        </w:tc>
        <w:tc>
          <w:tcPr>
            <w:tcW w:w="730" w:type="pct"/>
            <w:vAlign w:val="center"/>
          </w:tcPr>
          <w:p w14:paraId="4FB7D47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水源水质保护</w:t>
            </w:r>
          </w:p>
        </w:tc>
        <w:tc>
          <w:tcPr>
            <w:tcW w:w="730" w:type="pct"/>
            <w:vAlign w:val="center"/>
          </w:tcPr>
          <w:p w14:paraId="5A5EFE3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二级</w:t>
            </w:r>
            <w:r>
              <w:rPr>
                <w:rFonts w:ascii="Times New Roman" w:eastAsia="宋体" w:hAnsi="Times New Roman" w:cs="Times New Roman"/>
                <w:szCs w:val="21"/>
              </w:rPr>
              <w:t>管控</w:t>
            </w:r>
          </w:p>
        </w:tc>
        <w:tc>
          <w:tcPr>
            <w:tcW w:w="340" w:type="pct"/>
            <w:vAlign w:val="center"/>
          </w:tcPr>
          <w:p w14:paraId="094BA98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w:t>
            </w:r>
            <w:r>
              <w:rPr>
                <w:rFonts w:ascii="Times New Roman" w:eastAsia="宋体" w:hAnsi="Times New Roman" w:cs="Times New Roman"/>
                <w:szCs w:val="21"/>
              </w:rPr>
              <w:t>，</w:t>
            </w:r>
            <w:r>
              <w:rPr>
                <w:rFonts w:ascii="Times New Roman" w:eastAsia="宋体" w:hAnsi="Times New Roman" w:cs="Times New Roman"/>
                <w:szCs w:val="21"/>
              </w:rPr>
              <w:t>S</w:t>
            </w:r>
          </w:p>
        </w:tc>
        <w:tc>
          <w:tcPr>
            <w:tcW w:w="327" w:type="pct"/>
            <w:vAlign w:val="center"/>
          </w:tcPr>
          <w:p w14:paraId="36B2505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1030</w:t>
            </w:r>
          </w:p>
        </w:tc>
      </w:tr>
      <w:tr w:rsidR="002133E3" w14:paraId="7CD1C3BC" w14:textId="77777777">
        <w:trPr>
          <w:trHeight w:val="284"/>
          <w:jc w:val="center"/>
        </w:trPr>
        <w:tc>
          <w:tcPr>
            <w:tcW w:w="322" w:type="pct"/>
            <w:vMerge/>
            <w:vAlign w:val="center"/>
          </w:tcPr>
          <w:p w14:paraId="151C8D80" w14:textId="77777777" w:rsidR="002133E3" w:rsidRDefault="002133E3">
            <w:pPr>
              <w:snapToGrid w:val="0"/>
              <w:jc w:val="center"/>
              <w:rPr>
                <w:rFonts w:ascii="Times New Roman" w:eastAsia="宋体" w:hAnsi="Times New Roman" w:cs="Times New Roman"/>
                <w:szCs w:val="21"/>
              </w:rPr>
            </w:pPr>
          </w:p>
        </w:tc>
        <w:tc>
          <w:tcPr>
            <w:tcW w:w="1186" w:type="pct"/>
            <w:vAlign w:val="center"/>
          </w:tcPr>
          <w:p w14:paraId="036D17F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lang w:val="zh-CN"/>
              </w:rPr>
              <w:t>海州湾国家级海洋公园</w:t>
            </w:r>
          </w:p>
        </w:tc>
        <w:tc>
          <w:tcPr>
            <w:tcW w:w="437" w:type="pct"/>
            <w:vAlign w:val="center"/>
          </w:tcPr>
          <w:p w14:paraId="0B3DBFA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39" w:type="pct"/>
            <w:vAlign w:val="center"/>
          </w:tcPr>
          <w:p w14:paraId="5AEEC18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89" w:type="pct"/>
            <w:vAlign w:val="center"/>
          </w:tcPr>
          <w:p w14:paraId="14838A6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518.47 km</w:t>
            </w:r>
            <w:r>
              <w:rPr>
                <w:rFonts w:ascii="Times New Roman" w:eastAsia="宋体" w:hAnsi="Times New Roman" w:cs="Times New Roman"/>
                <w:szCs w:val="21"/>
                <w:vertAlign w:val="superscript"/>
              </w:rPr>
              <w:t>2</w:t>
            </w:r>
          </w:p>
        </w:tc>
        <w:tc>
          <w:tcPr>
            <w:tcW w:w="730" w:type="pct"/>
            <w:vAlign w:val="center"/>
          </w:tcPr>
          <w:p w14:paraId="1560440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自然与人文景观保护</w:t>
            </w:r>
          </w:p>
        </w:tc>
        <w:tc>
          <w:tcPr>
            <w:tcW w:w="730" w:type="pct"/>
            <w:vAlign w:val="center"/>
          </w:tcPr>
          <w:p w14:paraId="291F123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kern w:val="0"/>
                <w:szCs w:val="21"/>
              </w:rPr>
              <w:t>二级</w:t>
            </w:r>
            <w:r>
              <w:rPr>
                <w:rFonts w:ascii="Times New Roman" w:eastAsia="宋体" w:hAnsi="Times New Roman" w:cs="Times New Roman"/>
                <w:szCs w:val="21"/>
              </w:rPr>
              <w:t>管控</w:t>
            </w:r>
          </w:p>
        </w:tc>
        <w:tc>
          <w:tcPr>
            <w:tcW w:w="340" w:type="pct"/>
            <w:vAlign w:val="center"/>
          </w:tcPr>
          <w:p w14:paraId="2809C47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E</w:t>
            </w:r>
          </w:p>
        </w:tc>
        <w:tc>
          <w:tcPr>
            <w:tcW w:w="327" w:type="pct"/>
            <w:vAlign w:val="center"/>
          </w:tcPr>
          <w:p w14:paraId="19C384F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1250</w:t>
            </w:r>
          </w:p>
        </w:tc>
      </w:tr>
    </w:tbl>
    <w:p w14:paraId="164EFDBC" w14:textId="77777777" w:rsidR="002133E3" w:rsidRDefault="002133E3">
      <w:pPr>
        <w:tabs>
          <w:tab w:val="left" w:pos="3600"/>
        </w:tabs>
        <w:spacing w:line="500" w:lineRule="exact"/>
        <w:jc w:val="center"/>
        <w:rPr>
          <w:rFonts w:ascii="Times New Roman" w:eastAsia="宋体" w:hAnsi="Times New Roman" w:cs="Times New Roman"/>
          <w:b/>
          <w:szCs w:val="21"/>
        </w:rPr>
        <w:sectPr w:rsidR="002133E3">
          <w:pgSz w:w="16838" w:h="11906" w:orient="landscape"/>
          <w:pgMar w:top="1134" w:right="1134" w:bottom="1134" w:left="1134" w:header="851" w:footer="992" w:gutter="0"/>
          <w:cols w:space="425"/>
          <w:docGrid w:type="linesAndChars" w:linePitch="312"/>
        </w:sectPr>
      </w:pPr>
    </w:p>
    <w:p w14:paraId="6F68C147" w14:textId="77777777" w:rsidR="002133E3" w:rsidRDefault="00C22CFA">
      <w:pPr>
        <w:tabs>
          <w:tab w:val="left" w:pos="3600"/>
        </w:tabs>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表</w:t>
      </w:r>
      <w:r>
        <w:rPr>
          <w:rFonts w:ascii="Times New Roman" w:eastAsia="宋体" w:hAnsi="Times New Roman" w:cs="Times New Roman"/>
          <w:b/>
          <w:szCs w:val="21"/>
        </w:rPr>
        <w:t xml:space="preserve"> 2.5-2  </w:t>
      </w:r>
      <w:r>
        <w:rPr>
          <w:rFonts w:ascii="Times New Roman" w:eastAsia="宋体" w:hAnsi="Times New Roman" w:cs="Times New Roman"/>
          <w:b/>
          <w:szCs w:val="21"/>
        </w:rPr>
        <w:t>本项目周边主要生态环境保护目标一览表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4"/>
        <w:gridCol w:w="1094"/>
        <w:gridCol w:w="2412"/>
        <w:gridCol w:w="1096"/>
        <w:gridCol w:w="1096"/>
        <w:gridCol w:w="1752"/>
      </w:tblGrid>
      <w:tr w:rsidR="002133E3" w14:paraId="2B2AB93A" w14:textId="77777777">
        <w:trPr>
          <w:trHeight w:val="184"/>
          <w:jc w:val="center"/>
        </w:trPr>
        <w:tc>
          <w:tcPr>
            <w:tcW w:w="1220" w:type="pct"/>
            <w:vAlign w:val="center"/>
          </w:tcPr>
          <w:p w14:paraId="20CBB289" w14:textId="77777777" w:rsidR="002133E3" w:rsidRDefault="00C22CFA">
            <w:pPr>
              <w:snapToGrid w:val="0"/>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红线区域名称</w:t>
            </w:r>
          </w:p>
        </w:tc>
        <w:tc>
          <w:tcPr>
            <w:tcW w:w="555" w:type="pct"/>
            <w:vAlign w:val="center"/>
          </w:tcPr>
          <w:p w14:paraId="418D016B" w14:textId="77777777" w:rsidR="002133E3" w:rsidRDefault="00C22CFA">
            <w:pPr>
              <w:snapToGrid w:val="0"/>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管控级别</w:t>
            </w:r>
          </w:p>
        </w:tc>
        <w:tc>
          <w:tcPr>
            <w:tcW w:w="1224" w:type="pct"/>
            <w:vAlign w:val="center"/>
          </w:tcPr>
          <w:p w14:paraId="597C42EE" w14:textId="77777777" w:rsidR="002133E3" w:rsidRDefault="00C22CFA">
            <w:pPr>
              <w:snapToGrid w:val="0"/>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生态功能</w:t>
            </w:r>
          </w:p>
        </w:tc>
        <w:tc>
          <w:tcPr>
            <w:tcW w:w="556" w:type="pct"/>
            <w:vAlign w:val="center"/>
          </w:tcPr>
          <w:p w14:paraId="0F20953B" w14:textId="77777777" w:rsidR="002133E3" w:rsidRDefault="00C22CFA">
            <w:pPr>
              <w:snapToGrid w:val="0"/>
              <w:spacing w:line="240" w:lineRule="atLeast"/>
              <w:jc w:val="center"/>
              <w:rPr>
                <w:rFonts w:ascii="Times New Roman" w:eastAsia="宋体" w:hAnsi="Times New Roman" w:cs="Times New Roman"/>
                <w:b/>
                <w:szCs w:val="21"/>
              </w:rPr>
            </w:pPr>
            <w:r>
              <w:rPr>
                <w:rFonts w:ascii="Times New Roman" w:eastAsia="宋体" w:hAnsi="Times New Roman" w:cs="Times New Roman"/>
                <w:b/>
                <w:bCs/>
                <w:szCs w:val="21"/>
              </w:rPr>
              <w:t>方位</w:t>
            </w:r>
          </w:p>
        </w:tc>
        <w:tc>
          <w:tcPr>
            <w:tcW w:w="556" w:type="pct"/>
            <w:vAlign w:val="center"/>
          </w:tcPr>
          <w:p w14:paraId="7009BA11" w14:textId="77777777" w:rsidR="002133E3" w:rsidRDefault="00C22CFA">
            <w:pPr>
              <w:snapToGrid w:val="0"/>
              <w:spacing w:line="240" w:lineRule="atLeast"/>
              <w:jc w:val="center"/>
              <w:rPr>
                <w:rFonts w:ascii="Times New Roman" w:eastAsia="宋体" w:hAnsi="Times New Roman" w:cs="Times New Roman"/>
                <w:b/>
                <w:szCs w:val="21"/>
              </w:rPr>
            </w:pPr>
            <w:r>
              <w:rPr>
                <w:rFonts w:ascii="Times New Roman" w:eastAsia="宋体" w:hAnsi="Times New Roman" w:cs="Times New Roman"/>
                <w:b/>
                <w:bCs/>
                <w:szCs w:val="21"/>
              </w:rPr>
              <w:t>距离</w:t>
            </w:r>
            <w:r>
              <w:rPr>
                <w:rFonts w:ascii="Times New Roman" w:eastAsia="宋体" w:hAnsi="Times New Roman" w:cs="Times New Roman"/>
                <w:b/>
                <w:bCs/>
                <w:szCs w:val="21"/>
              </w:rPr>
              <w:t>(km)</w:t>
            </w:r>
          </w:p>
        </w:tc>
        <w:tc>
          <w:tcPr>
            <w:tcW w:w="889" w:type="pct"/>
            <w:vAlign w:val="center"/>
          </w:tcPr>
          <w:p w14:paraId="403422E0" w14:textId="77777777" w:rsidR="002133E3" w:rsidRDefault="00C22CFA">
            <w:pPr>
              <w:snapToGrid w:val="0"/>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面积</w:t>
            </w:r>
            <w:r>
              <w:rPr>
                <w:rFonts w:ascii="Times New Roman" w:eastAsia="宋体" w:hAnsi="Times New Roman" w:cs="Times New Roman"/>
                <w:b/>
                <w:szCs w:val="21"/>
              </w:rPr>
              <w:t xml:space="preserve"> (km</w:t>
            </w:r>
            <w:r>
              <w:rPr>
                <w:rFonts w:ascii="Times New Roman" w:eastAsia="宋体" w:hAnsi="Times New Roman" w:cs="Times New Roman"/>
                <w:b/>
                <w:szCs w:val="21"/>
                <w:vertAlign w:val="superscript"/>
              </w:rPr>
              <w:t>2</w:t>
            </w:r>
            <w:r>
              <w:rPr>
                <w:rFonts w:ascii="Times New Roman" w:eastAsia="宋体" w:hAnsi="Times New Roman" w:cs="Times New Roman"/>
                <w:b/>
                <w:szCs w:val="21"/>
              </w:rPr>
              <w:t xml:space="preserve">) </w:t>
            </w:r>
          </w:p>
        </w:tc>
      </w:tr>
      <w:tr w:rsidR="002133E3" w14:paraId="1802404C" w14:textId="77777777">
        <w:trPr>
          <w:trHeight w:val="340"/>
          <w:jc w:val="center"/>
        </w:trPr>
        <w:tc>
          <w:tcPr>
            <w:tcW w:w="1220" w:type="pct"/>
            <w:vAlign w:val="center"/>
          </w:tcPr>
          <w:p w14:paraId="2110B559"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kern w:val="0"/>
                <w:szCs w:val="21"/>
                <w:lang w:val="zh-CN"/>
              </w:rPr>
              <w:t>龙王河洪水调蓄区</w:t>
            </w:r>
          </w:p>
        </w:tc>
        <w:tc>
          <w:tcPr>
            <w:tcW w:w="555" w:type="pct"/>
            <w:vAlign w:val="center"/>
          </w:tcPr>
          <w:p w14:paraId="1909D18E" w14:textId="77777777" w:rsidR="002133E3" w:rsidRDefault="00C22CFA">
            <w:pPr>
              <w:autoSpaceDE w:val="0"/>
              <w:autoSpaceDN w:val="0"/>
              <w:adjustRightInd w:val="0"/>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kern w:val="0"/>
                <w:szCs w:val="21"/>
              </w:rPr>
              <w:t>二级</w:t>
            </w:r>
          </w:p>
        </w:tc>
        <w:tc>
          <w:tcPr>
            <w:tcW w:w="1224" w:type="pct"/>
            <w:vAlign w:val="center"/>
          </w:tcPr>
          <w:p w14:paraId="28B8ED3C" w14:textId="77777777" w:rsidR="002133E3" w:rsidRDefault="00C22CFA">
            <w:pPr>
              <w:autoSpaceDE w:val="0"/>
              <w:autoSpaceDN w:val="0"/>
              <w:adjustRightInd w:val="0"/>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洪水调蓄</w:t>
            </w:r>
          </w:p>
        </w:tc>
        <w:tc>
          <w:tcPr>
            <w:tcW w:w="556" w:type="pct"/>
            <w:vAlign w:val="center"/>
          </w:tcPr>
          <w:p w14:paraId="5971D68F"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N</w:t>
            </w:r>
          </w:p>
        </w:tc>
        <w:tc>
          <w:tcPr>
            <w:tcW w:w="556" w:type="pct"/>
            <w:vAlign w:val="center"/>
          </w:tcPr>
          <w:p w14:paraId="7F411BE3"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1310</w:t>
            </w:r>
          </w:p>
        </w:tc>
        <w:tc>
          <w:tcPr>
            <w:tcW w:w="889" w:type="pct"/>
            <w:vAlign w:val="center"/>
          </w:tcPr>
          <w:p w14:paraId="7FD7E1E6"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7.19</w:t>
            </w:r>
          </w:p>
        </w:tc>
      </w:tr>
      <w:tr w:rsidR="002133E3" w14:paraId="15E925A3" w14:textId="77777777">
        <w:trPr>
          <w:trHeight w:val="340"/>
          <w:jc w:val="center"/>
        </w:trPr>
        <w:tc>
          <w:tcPr>
            <w:tcW w:w="1220" w:type="pct"/>
            <w:vAlign w:val="center"/>
          </w:tcPr>
          <w:p w14:paraId="2969744F"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kern w:val="0"/>
                <w:szCs w:val="21"/>
                <w:lang w:val="zh-CN"/>
              </w:rPr>
              <w:t>通榆河（赣榆区）清水通道维护区</w:t>
            </w:r>
          </w:p>
        </w:tc>
        <w:tc>
          <w:tcPr>
            <w:tcW w:w="555" w:type="pct"/>
            <w:vAlign w:val="center"/>
          </w:tcPr>
          <w:p w14:paraId="4D9FC63A" w14:textId="77777777" w:rsidR="002133E3" w:rsidRDefault="00C22CFA">
            <w:pPr>
              <w:autoSpaceDE w:val="0"/>
              <w:autoSpaceDN w:val="0"/>
              <w:adjustRightInd w:val="0"/>
              <w:snapToGrid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1224" w:type="pct"/>
            <w:vAlign w:val="center"/>
          </w:tcPr>
          <w:p w14:paraId="05847C83" w14:textId="77777777" w:rsidR="002133E3" w:rsidRDefault="00C22CFA">
            <w:pPr>
              <w:autoSpaceDE w:val="0"/>
              <w:autoSpaceDN w:val="0"/>
              <w:adjustRightInd w:val="0"/>
              <w:snapToGrid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szCs w:val="21"/>
              </w:rPr>
              <w:t>水源水质保护</w:t>
            </w:r>
          </w:p>
        </w:tc>
        <w:tc>
          <w:tcPr>
            <w:tcW w:w="556" w:type="pct"/>
            <w:vAlign w:val="center"/>
          </w:tcPr>
          <w:p w14:paraId="46A94E1C"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W</w:t>
            </w:r>
            <w:r>
              <w:rPr>
                <w:rFonts w:ascii="Times New Roman" w:eastAsia="宋体" w:hAnsi="Times New Roman" w:cs="Times New Roman"/>
                <w:szCs w:val="21"/>
              </w:rPr>
              <w:t>，</w:t>
            </w:r>
            <w:r>
              <w:rPr>
                <w:rFonts w:ascii="Times New Roman" w:eastAsia="宋体" w:hAnsi="Times New Roman" w:cs="Times New Roman"/>
                <w:szCs w:val="21"/>
              </w:rPr>
              <w:t>S</w:t>
            </w:r>
          </w:p>
        </w:tc>
        <w:tc>
          <w:tcPr>
            <w:tcW w:w="556" w:type="pct"/>
            <w:vAlign w:val="center"/>
          </w:tcPr>
          <w:p w14:paraId="68265B91"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1030</w:t>
            </w:r>
          </w:p>
        </w:tc>
        <w:tc>
          <w:tcPr>
            <w:tcW w:w="889" w:type="pct"/>
            <w:vAlign w:val="center"/>
          </w:tcPr>
          <w:p w14:paraId="2293A9E3"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144.88</w:t>
            </w:r>
          </w:p>
        </w:tc>
      </w:tr>
      <w:tr w:rsidR="002133E3" w14:paraId="2A9E0700" w14:textId="77777777">
        <w:trPr>
          <w:trHeight w:val="340"/>
          <w:jc w:val="center"/>
        </w:trPr>
        <w:tc>
          <w:tcPr>
            <w:tcW w:w="1220" w:type="pct"/>
            <w:vAlign w:val="center"/>
          </w:tcPr>
          <w:p w14:paraId="2C558C39" w14:textId="77777777" w:rsidR="002133E3" w:rsidRDefault="00C22CFA">
            <w:pPr>
              <w:autoSpaceDE w:val="0"/>
              <w:autoSpaceDN w:val="0"/>
              <w:adjustRightInd w:val="0"/>
              <w:spacing w:line="400" w:lineRule="exact"/>
              <w:rPr>
                <w:rFonts w:ascii="Times New Roman" w:eastAsia="宋体" w:hAnsi="Times New Roman" w:cs="Times New Roman"/>
                <w:szCs w:val="21"/>
              </w:rPr>
            </w:pPr>
            <w:r>
              <w:rPr>
                <w:rFonts w:ascii="Times New Roman" w:eastAsia="宋体" w:hAnsi="Times New Roman" w:cs="Times New Roman"/>
                <w:kern w:val="0"/>
                <w:szCs w:val="21"/>
                <w:lang w:val="zh-CN"/>
              </w:rPr>
              <w:t>海州湾国家级海洋公园</w:t>
            </w:r>
          </w:p>
        </w:tc>
        <w:tc>
          <w:tcPr>
            <w:tcW w:w="555" w:type="pct"/>
            <w:vAlign w:val="center"/>
          </w:tcPr>
          <w:p w14:paraId="68F12E69" w14:textId="77777777" w:rsidR="002133E3" w:rsidRDefault="00C22CFA">
            <w:pPr>
              <w:autoSpaceDE w:val="0"/>
              <w:autoSpaceDN w:val="0"/>
              <w:adjustRightInd w:val="0"/>
              <w:snapToGrid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p>
        </w:tc>
        <w:tc>
          <w:tcPr>
            <w:tcW w:w="1224" w:type="pct"/>
            <w:vAlign w:val="center"/>
          </w:tcPr>
          <w:p w14:paraId="078E6BD5" w14:textId="77777777" w:rsidR="002133E3" w:rsidRDefault="00C22CFA">
            <w:pPr>
              <w:autoSpaceDE w:val="0"/>
              <w:autoSpaceDN w:val="0"/>
              <w:adjustRightInd w:val="0"/>
              <w:snapToGrid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szCs w:val="21"/>
              </w:rPr>
              <w:t>自然与人文景观保护</w:t>
            </w:r>
          </w:p>
        </w:tc>
        <w:tc>
          <w:tcPr>
            <w:tcW w:w="556" w:type="pct"/>
            <w:vAlign w:val="center"/>
          </w:tcPr>
          <w:p w14:paraId="7DCB7D40"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E</w:t>
            </w:r>
          </w:p>
        </w:tc>
        <w:tc>
          <w:tcPr>
            <w:tcW w:w="556" w:type="pct"/>
            <w:vAlign w:val="center"/>
          </w:tcPr>
          <w:p w14:paraId="02910D45"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1250</w:t>
            </w:r>
          </w:p>
        </w:tc>
        <w:tc>
          <w:tcPr>
            <w:tcW w:w="889" w:type="pct"/>
            <w:vAlign w:val="center"/>
          </w:tcPr>
          <w:p w14:paraId="11B6BDDA"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518.47</w:t>
            </w:r>
          </w:p>
        </w:tc>
      </w:tr>
    </w:tbl>
    <w:p w14:paraId="0B7F5B54"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13" w:name="_Toc47604318"/>
      <w:r>
        <w:rPr>
          <w:rFonts w:ascii="Times New Roman" w:eastAsia="宋体" w:hAnsi="Times New Roman" w:cs="Times New Roman"/>
          <w:b/>
          <w:sz w:val="30"/>
          <w:szCs w:val="30"/>
        </w:rPr>
        <w:t>评价标准</w:t>
      </w:r>
      <w:bookmarkEnd w:id="13"/>
    </w:p>
    <w:p w14:paraId="2FDF4E3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环境质量标准</w:t>
      </w:r>
    </w:p>
    <w:p w14:paraId="24C7EC9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大气环境</w:t>
      </w:r>
    </w:p>
    <w:p w14:paraId="24CB620D" w14:textId="77777777" w:rsidR="002133E3" w:rsidRDefault="00C22CFA">
      <w:pPr>
        <w:adjustRightInd w:val="0"/>
        <w:snapToGrid w:val="0"/>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项目评价区属二类区，污染物</w:t>
      </w:r>
      <w:r>
        <w:rPr>
          <w:rFonts w:ascii="Times New Roman" w:eastAsia="宋体" w:hAnsi="Times New Roman" w:cs="Times New Roman"/>
          <w:sz w:val="28"/>
          <w:szCs w:val="28"/>
        </w:rPr>
        <w:t>SO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w:t>
      </w:r>
      <w:r>
        <w:rPr>
          <w:rFonts w:ascii="Times New Roman" w:eastAsia="宋体" w:hAnsi="Times New Roman" w:cs="Times New Roman"/>
          <w:sz w:val="28"/>
          <w:szCs w:val="28"/>
        </w:rPr>
        <w:t>NO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w:t>
      </w:r>
      <w:r>
        <w:rPr>
          <w:rFonts w:ascii="Times New Roman" w:eastAsia="宋体" w:hAnsi="Times New Roman" w:cs="Times New Roman"/>
          <w:kern w:val="0"/>
          <w:sz w:val="28"/>
          <w:szCs w:val="28"/>
        </w:rPr>
        <w:t>O</w:t>
      </w:r>
      <w:r>
        <w:rPr>
          <w:rFonts w:ascii="Times New Roman" w:eastAsia="宋体" w:hAnsi="Times New Roman" w:cs="Times New Roman"/>
          <w:kern w:val="0"/>
          <w:sz w:val="28"/>
          <w:szCs w:val="28"/>
          <w:vertAlign w:val="subscript"/>
        </w:rPr>
        <w:t>3</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CO</w:t>
      </w:r>
      <w:r>
        <w:rPr>
          <w:rFonts w:ascii="Times New Roman" w:eastAsia="宋体" w:hAnsi="Times New Roman" w:cs="Times New Roman"/>
          <w:sz w:val="28"/>
          <w:szCs w:val="28"/>
        </w:rPr>
        <w:t>、</w:t>
      </w:r>
      <w:r>
        <w:rPr>
          <w:rFonts w:ascii="Times New Roman" w:eastAsia="宋体" w:hAnsi="Times New Roman" w:cs="Times New Roman"/>
          <w:sz w:val="28"/>
          <w:szCs w:val="28"/>
        </w:rPr>
        <w:t>PM</w:t>
      </w:r>
      <w:r>
        <w:rPr>
          <w:rFonts w:ascii="Times New Roman" w:eastAsia="宋体" w:hAnsi="Times New Roman" w:cs="Times New Roman"/>
          <w:sz w:val="28"/>
          <w:szCs w:val="28"/>
          <w:vertAlign w:val="subscript"/>
        </w:rPr>
        <w:t>2.5</w:t>
      </w:r>
      <w:bookmarkStart w:id="14" w:name="_Hlk68878309"/>
      <w:r>
        <w:rPr>
          <w:rFonts w:ascii="Times New Roman" w:eastAsia="宋体" w:hAnsi="Times New Roman" w:cs="Times New Roman"/>
          <w:sz w:val="28"/>
          <w:szCs w:val="28"/>
        </w:rPr>
        <w:t>、</w:t>
      </w:r>
      <w:bookmarkEnd w:id="14"/>
      <w:r>
        <w:rPr>
          <w:rFonts w:ascii="Times New Roman" w:eastAsia="宋体" w:hAnsi="Times New Roman" w:cs="Times New Roman"/>
          <w:sz w:val="28"/>
          <w:szCs w:val="28"/>
        </w:rPr>
        <w:t>PM</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w:t>
      </w:r>
      <w:r>
        <w:rPr>
          <w:rFonts w:ascii="Times New Roman" w:eastAsia="宋体" w:hAnsi="Times New Roman" w:cs="Times New Roman"/>
          <w:sz w:val="28"/>
          <w:szCs w:val="28"/>
        </w:rPr>
        <w:t>TSP</w:t>
      </w:r>
      <w:r>
        <w:rPr>
          <w:rFonts w:ascii="Times New Roman" w:eastAsia="宋体" w:hAnsi="Times New Roman" w:cs="Times New Roman"/>
          <w:sz w:val="28"/>
          <w:szCs w:val="28"/>
        </w:rPr>
        <w:t>执行《环境空气质量标准》</w:t>
      </w:r>
      <w:r>
        <w:rPr>
          <w:rFonts w:ascii="Times New Roman" w:eastAsia="宋体" w:hAnsi="Times New Roman" w:cs="Times New Roman"/>
          <w:sz w:val="28"/>
          <w:szCs w:val="28"/>
        </w:rPr>
        <w:t>(GB3095-2012)</w:t>
      </w:r>
      <w:r>
        <w:rPr>
          <w:rFonts w:ascii="Times New Roman" w:eastAsia="宋体" w:hAnsi="Times New Roman" w:cs="Times New Roman"/>
          <w:sz w:val="28"/>
          <w:szCs w:val="28"/>
        </w:rPr>
        <w:t>二级标准，甲醇、乙醇、挥发性有机物参照《环境影响评价技术导则</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大气环境》</w:t>
      </w:r>
      <w:r>
        <w:rPr>
          <w:rFonts w:ascii="Times New Roman" w:eastAsia="宋体" w:hAnsi="Times New Roman" w:cs="Times New Roman"/>
          <w:sz w:val="28"/>
          <w:szCs w:val="28"/>
        </w:rPr>
        <w:t>(HJ2.2-2018)</w:t>
      </w:r>
      <w:r>
        <w:rPr>
          <w:rFonts w:ascii="Times New Roman" w:eastAsia="宋体" w:hAnsi="Times New Roman" w:cs="Times New Roman"/>
          <w:sz w:val="28"/>
          <w:szCs w:val="28"/>
        </w:rPr>
        <w:t>附录</w:t>
      </w:r>
      <w:r>
        <w:rPr>
          <w:rFonts w:ascii="Times New Roman" w:eastAsia="宋体" w:hAnsi="Times New Roman" w:cs="Times New Roman"/>
          <w:sz w:val="28"/>
          <w:szCs w:val="28"/>
        </w:rPr>
        <w:t>D</w:t>
      </w:r>
      <w:r>
        <w:rPr>
          <w:rFonts w:ascii="Times New Roman" w:eastAsia="宋体" w:hAnsi="Times New Roman" w:cs="Times New Roman"/>
          <w:sz w:val="28"/>
          <w:szCs w:val="28"/>
        </w:rPr>
        <w:t>中的标准值</w:t>
      </w:r>
      <w:r>
        <w:rPr>
          <w:rFonts w:ascii="Times New Roman" w:eastAsia="宋体" w:hAnsi="Times New Roman" w:cs="Times New Roman"/>
          <w:kern w:val="0"/>
          <w:sz w:val="28"/>
          <w:szCs w:val="28"/>
        </w:rPr>
        <w:t>。</w:t>
      </w:r>
      <w:r>
        <w:rPr>
          <w:rFonts w:ascii="Times New Roman" w:eastAsia="宋体" w:hAnsi="Times New Roman" w:cs="Times New Roman"/>
          <w:sz w:val="28"/>
          <w:szCs w:val="28"/>
        </w:rPr>
        <w:t>具体见表</w:t>
      </w:r>
      <w:r>
        <w:rPr>
          <w:rFonts w:ascii="Times New Roman" w:eastAsia="宋体" w:hAnsi="Times New Roman" w:cs="Times New Roman"/>
          <w:sz w:val="28"/>
          <w:szCs w:val="28"/>
        </w:rPr>
        <w:t>2.7-1</w:t>
      </w:r>
      <w:r>
        <w:rPr>
          <w:rFonts w:ascii="Times New Roman" w:eastAsia="宋体" w:hAnsi="Times New Roman" w:cs="Times New Roman"/>
          <w:sz w:val="28"/>
          <w:szCs w:val="28"/>
        </w:rPr>
        <w:t>。</w:t>
      </w:r>
    </w:p>
    <w:p w14:paraId="297D4B5D" w14:textId="77777777" w:rsidR="002133E3" w:rsidRDefault="00C22CFA">
      <w:pPr>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2.6-1  </w:t>
      </w:r>
      <w:r>
        <w:rPr>
          <w:rFonts w:ascii="Times New Roman" w:eastAsia="宋体" w:hAnsi="Times New Roman" w:cs="Times New Roman"/>
          <w:b/>
          <w:sz w:val="24"/>
          <w:szCs w:val="24"/>
        </w:rPr>
        <w:t>大气环境质量标准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1003"/>
        <w:gridCol w:w="2246"/>
        <w:gridCol w:w="1306"/>
        <w:gridCol w:w="3911"/>
      </w:tblGrid>
      <w:tr w:rsidR="002133E3" w14:paraId="27E79764" w14:textId="77777777">
        <w:trPr>
          <w:trHeight w:val="315"/>
          <w:jc w:val="center"/>
        </w:trPr>
        <w:tc>
          <w:tcPr>
            <w:tcW w:w="1357" w:type="dxa"/>
            <w:vMerge w:val="restart"/>
            <w:shd w:val="clear" w:color="auto" w:fill="auto"/>
            <w:vAlign w:val="center"/>
          </w:tcPr>
          <w:p w14:paraId="46C102E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评价因子</w:t>
            </w:r>
          </w:p>
        </w:tc>
        <w:tc>
          <w:tcPr>
            <w:tcW w:w="4450" w:type="dxa"/>
            <w:gridSpan w:val="3"/>
            <w:shd w:val="clear" w:color="auto" w:fill="auto"/>
            <w:vAlign w:val="center"/>
          </w:tcPr>
          <w:p w14:paraId="759A3D9F"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浓度值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3821" w:type="dxa"/>
            <w:vMerge w:val="restart"/>
            <w:shd w:val="clear" w:color="auto" w:fill="auto"/>
            <w:vAlign w:val="center"/>
          </w:tcPr>
          <w:p w14:paraId="393B02CF"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标准来源</w:t>
            </w:r>
          </w:p>
        </w:tc>
      </w:tr>
      <w:tr w:rsidR="002133E3" w14:paraId="277EE707" w14:textId="77777777">
        <w:trPr>
          <w:trHeight w:val="285"/>
          <w:jc w:val="center"/>
        </w:trPr>
        <w:tc>
          <w:tcPr>
            <w:tcW w:w="1357" w:type="dxa"/>
            <w:vMerge/>
            <w:vAlign w:val="center"/>
          </w:tcPr>
          <w:p w14:paraId="7AA7A926" w14:textId="77777777" w:rsidR="002133E3" w:rsidRDefault="002133E3">
            <w:pPr>
              <w:widowControl/>
              <w:jc w:val="left"/>
              <w:rPr>
                <w:rFonts w:ascii="Times New Roman" w:eastAsia="宋体" w:hAnsi="Times New Roman" w:cs="Times New Roman"/>
                <w:b/>
                <w:bCs/>
                <w:kern w:val="0"/>
                <w:szCs w:val="21"/>
              </w:rPr>
            </w:pPr>
          </w:p>
        </w:tc>
        <w:tc>
          <w:tcPr>
            <w:tcW w:w="980" w:type="dxa"/>
            <w:shd w:val="clear" w:color="auto" w:fill="auto"/>
            <w:vAlign w:val="center"/>
          </w:tcPr>
          <w:p w14:paraId="0D10FE2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年平均</w:t>
            </w:r>
          </w:p>
        </w:tc>
        <w:tc>
          <w:tcPr>
            <w:tcW w:w="2194" w:type="dxa"/>
            <w:shd w:val="clear" w:color="auto" w:fill="auto"/>
            <w:vAlign w:val="center"/>
          </w:tcPr>
          <w:p w14:paraId="5FF2246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24</w:t>
            </w:r>
            <w:r>
              <w:rPr>
                <w:rFonts w:ascii="Times New Roman" w:eastAsia="宋体" w:hAnsi="Times New Roman" w:cs="Times New Roman"/>
                <w:b/>
                <w:bCs/>
                <w:kern w:val="0"/>
                <w:szCs w:val="21"/>
              </w:rPr>
              <w:t>小时平均</w:t>
            </w:r>
          </w:p>
        </w:tc>
        <w:tc>
          <w:tcPr>
            <w:tcW w:w="1276" w:type="dxa"/>
            <w:shd w:val="clear" w:color="auto" w:fill="auto"/>
            <w:vAlign w:val="center"/>
          </w:tcPr>
          <w:p w14:paraId="676BA39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w:t>
            </w:r>
            <w:r>
              <w:rPr>
                <w:rFonts w:ascii="Times New Roman" w:eastAsia="宋体" w:hAnsi="Times New Roman" w:cs="Times New Roman"/>
                <w:b/>
                <w:bCs/>
                <w:kern w:val="0"/>
                <w:szCs w:val="21"/>
              </w:rPr>
              <w:t>小时平均</w:t>
            </w:r>
          </w:p>
        </w:tc>
        <w:tc>
          <w:tcPr>
            <w:tcW w:w="3821" w:type="dxa"/>
            <w:vMerge/>
            <w:vAlign w:val="center"/>
          </w:tcPr>
          <w:p w14:paraId="2770A537" w14:textId="77777777" w:rsidR="002133E3" w:rsidRDefault="002133E3">
            <w:pPr>
              <w:widowControl/>
              <w:jc w:val="left"/>
              <w:rPr>
                <w:rFonts w:ascii="Times New Roman" w:eastAsia="宋体" w:hAnsi="Times New Roman" w:cs="Times New Roman"/>
                <w:b/>
                <w:bCs/>
                <w:kern w:val="0"/>
                <w:szCs w:val="21"/>
              </w:rPr>
            </w:pPr>
          </w:p>
        </w:tc>
      </w:tr>
      <w:tr w:rsidR="002133E3" w14:paraId="55F0FF18" w14:textId="77777777">
        <w:trPr>
          <w:trHeight w:val="300"/>
          <w:jc w:val="center"/>
        </w:trPr>
        <w:tc>
          <w:tcPr>
            <w:tcW w:w="1357" w:type="dxa"/>
            <w:shd w:val="clear" w:color="auto" w:fill="auto"/>
            <w:vAlign w:val="center"/>
          </w:tcPr>
          <w:p w14:paraId="4A71CC4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p>
        </w:tc>
        <w:tc>
          <w:tcPr>
            <w:tcW w:w="980" w:type="dxa"/>
            <w:shd w:val="clear" w:color="auto" w:fill="auto"/>
            <w:vAlign w:val="center"/>
          </w:tcPr>
          <w:p w14:paraId="0AB6F7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0.06</w:t>
            </w:r>
          </w:p>
        </w:tc>
        <w:tc>
          <w:tcPr>
            <w:tcW w:w="2194" w:type="dxa"/>
            <w:shd w:val="clear" w:color="auto" w:fill="auto"/>
            <w:vAlign w:val="center"/>
          </w:tcPr>
          <w:p w14:paraId="28312C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0.15</w:t>
            </w:r>
          </w:p>
        </w:tc>
        <w:tc>
          <w:tcPr>
            <w:tcW w:w="1276" w:type="dxa"/>
            <w:shd w:val="clear" w:color="auto" w:fill="auto"/>
            <w:vAlign w:val="center"/>
          </w:tcPr>
          <w:p w14:paraId="017B94B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0.5</w:t>
            </w:r>
          </w:p>
        </w:tc>
        <w:tc>
          <w:tcPr>
            <w:tcW w:w="3821" w:type="dxa"/>
            <w:vMerge w:val="restart"/>
            <w:shd w:val="clear" w:color="auto" w:fill="auto"/>
            <w:vAlign w:val="center"/>
          </w:tcPr>
          <w:p w14:paraId="7D0578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《环境空气质量标准》</w:t>
            </w:r>
            <w:r>
              <w:rPr>
                <w:rFonts w:ascii="Times New Roman" w:eastAsia="宋体" w:hAnsi="Times New Roman" w:cs="Times New Roman"/>
                <w:kern w:val="0"/>
                <w:szCs w:val="21"/>
              </w:rPr>
              <w:t>(GB3095-2012)</w:t>
            </w:r>
            <w:r>
              <w:rPr>
                <w:rFonts w:ascii="Times New Roman" w:eastAsia="宋体" w:hAnsi="Times New Roman" w:cs="Times New Roman"/>
                <w:kern w:val="0"/>
                <w:szCs w:val="21"/>
              </w:rPr>
              <w:t>二级标准</w:t>
            </w:r>
          </w:p>
        </w:tc>
      </w:tr>
      <w:tr w:rsidR="002133E3" w14:paraId="1C2FE29C" w14:textId="77777777">
        <w:trPr>
          <w:trHeight w:val="300"/>
          <w:jc w:val="center"/>
        </w:trPr>
        <w:tc>
          <w:tcPr>
            <w:tcW w:w="1357" w:type="dxa"/>
            <w:shd w:val="clear" w:color="auto" w:fill="auto"/>
            <w:vAlign w:val="center"/>
          </w:tcPr>
          <w:p w14:paraId="19771BD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NO</w:t>
            </w:r>
            <w:r>
              <w:rPr>
                <w:rFonts w:ascii="Times New Roman" w:eastAsia="宋体" w:hAnsi="Times New Roman" w:cs="Times New Roman"/>
                <w:kern w:val="0"/>
                <w:szCs w:val="21"/>
                <w:vertAlign w:val="subscript"/>
              </w:rPr>
              <w:t>2</w:t>
            </w:r>
          </w:p>
        </w:tc>
        <w:tc>
          <w:tcPr>
            <w:tcW w:w="980" w:type="dxa"/>
            <w:shd w:val="clear" w:color="auto" w:fill="auto"/>
            <w:vAlign w:val="center"/>
          </w:tcPr>
          <w:p w14:paraId="097455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0.04</w:t>
            </w:r>
          </w:p>
        </w:tc>
        <w:tc>
          <w:tcPr>
            <w:tcW w:w="2194" w:type="dxa"/>
            <w:shd w:val="clear" w:color="auto" w:fill="auto"/>
            <w:vAlign w:val="center"/>
          </w:tcPr>
          <w:p w14:paraId="4F0ACBF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0.08</w:t>
            </w:r>
          </w:p>
        </w:tc>
        <w:tc>
          <w:tcPr>
            <w:tcW w:w="1276" w:type="dxa"/>
            <w:shd w:val="clear" w:color="auto" w:fill="auto"/>
            <w:vAlign w:val="center"/>
          </w:tcPr>
          <w:p w14:paraId="6C3FB06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3821" w:type="dxa"/>
            <w:vMerge/>
            <w:vAlign w:val="center"/>
          </w:tcPr>
          <w:p w14:paraId="62601C70" w14:textId="77777777" w:rsidR="002133E3" w:rsidRDefault="002133E3">
            <w:pPr>
              <w:widowControl/>
              <w:jc w:val="left"/>
              <w:rPr>
                <w:rFonts w:ascii="Times New Roman" w:eastAsia="宋体" w:hAnsi="Times New Roman" w:cs="Times New Roman"/>
                <w:kern w:val="0"/>
                <w:szCs w:val="21"/>
              </w:rPr>
            </w:pPr>
          </w:p>
        </w:tc>
      </w:tr>
      <w:tr w:rsidR="002133E3" w14:paraId="6FBAC6EA" w14:textId="77777777">
        <w:trPr>
          <w:trHeight w:val="300"/>
          <w:jc w:val="center"/>
        </w:trPr>
        <w:tc>
          <w:tcPr>
            <w:tcW w:w="1357" w:type="dxa"/>
            <w:shd w:val="clear" w:color="auto" w:fill="auto"/>
            <w:vAlign w:val="center"/>
          </w:tcPr>
          <w:p w14:paraId="741540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O</w:t>
            </w:r>
            <w:r>
              <w:rPr>
                <w:rFonts w:ascii="Times New Roman" w:eastAsia="宋体" w:hAnsi="Times New Roman" w:cs="Times New Roman"/>
                <w:kern w:val="0"/>
                <w:szCs w:val="21"/>
                <w:vertAlign w:val="subscript"/>
              </w:rPr>
              <w:t>3</w:t>
            </w:r>
          </w:p>
        </w:tc>
        <w:tc>
          <w:tcPr>
            <w:tcW w:w="980" w:type="dxa"/>
            <w:shd w:val="clear" w:color="auto" w:fill="auto"/>
            <w:vAlign w:val="center"/>
          </w:tcPr>
          <w:p w14:paraId="6E473A9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2194" w:type="dxa"/>
            <w:shd w:val="clear" w:color="auto" w:fill="auto"/>
            <w:vAlign w:val="center"/>
          </w:tcPr>
          <w:p w14:paraId="3D9EB2A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0.16(</w:t>
            </w:r>
            <w:r>
              <w:rPr>
                <w:rFonts w:ascii="Times New Roman" w:eastAsia="宋体" w:hAnsi="Times New Roman" w:cs="Times New Roman"/>
                <w:kern w:val="0"/>
                <w:szCs w:val="21"/>
              </w:rPr>
              <w:t>日最大</w:t>
            </w:r>
            <w:r>
              <w:rPr>
                <w:rFonts w:ascii="Times New Roman" w:eastAsia="宋体" w:hAnsi="Times New Roman" w:cs="Times New Roman"/>
                <w:kern w:val="0"/>
                <w:szCs w:val="21"/>
              </w:rPr>
              <w:t>8h</w:t>
            </w:r>
            <w:r>
              <w:rPr>
                <w:rFonts w:ascii="Times New Roman" w:eastAsia="宋体" w:hAnsi="Times New Roman" w:cs="Times New Roman"/>
                <w:kern w:val="0"/>
                <w:szCs w:val="21"/>
              </w:rPr>
              <w:t>平均</w:t>
            </w:r>
            <w:r>
              <w:rPr>
                <w:rFonts w:ascii="Times New Roman" w:eastAsia="宋体" w:hAnsi="Times New Roman" w:cs="Times New Roman"/>
                <w:kern w:val="0"/>
                <w:szCs w:val="21"/>
              </w:rPr>
              <w:t>)</w:t>
            </w:r>
          </w:p>
        </w:tc>
        <w:tc>
          <w:tcPr>
            <w:tcW w:w="1276" w:type="dxa"/>
            <w:shd w:val="clear" w:color="auto" w:fill="auto"/>
            <w:vAlign w:val="center"/>
          </w:tcPr>
          <w:p w14:paraId="0C3892C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3821" w:type="dxa"/>
            <w:vMerge/>
            <w:vAlign w:val="center"/>
          </w:tcPr>
          <w:p w14:paraId="7162A0AB" w14:textId="77777777" w:rsidR="002133E3" w:rsidRDefault="002133E3">
            <w:pPr>
              <w:widowControl/>
              <w:jc w:val="left"/>
              <w:rPr>
                <w:rFonts w:ascii="Times New Roman" w:eastAsia="宋体" w:hAnsi="Times New Roman" w:cs="Times New Roman"/>
                <w:kern w:val="0"/>
                <w:szCs w:val="21"/>
              </w:rPr>
            </w:pPr>
          </w:p>
        </w:tc>
      </w:tr>
      <w:tr w:rsidR="002133E3" w14:paraId="702E224F" w14:textId="77777777">
        <w:trPr>
          <w:trHeight w:val="285"/>
          <w:jc w:val="center"/>
        </w:trPr>
        <w:tc>
          <w:tcPr>
            <w:tcW w:w="1357" w:type="dxa"/>
            <w:shd w:val="clear" w:color="auto" w:fill="auto"/>
            <w:vAlign w:val="center"/>
          </w:tcPr>
          <w:p w14:paraId="6B6DF68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CO</w:t>
            </w:r>
          </w:p>
        </w:tc>
        <w:tc>
          <w:tcPr>
            <w:tcW w:w="980" w:type="dxa"/>
            <w:shd w:val="clear" w:color="auto" w:fill="auto"/>
            <w:vAlign w:val="center"/>
          </w:tcPr>
          <w:p w14:paraId="74971B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2194" w:type="dxa"/>
            <w:shd w:val="clear" w:color="auto" w:fill="auto"/>
            <w:vAlign w:val="center"/>
          </w:tcPr>
          <w:p w14:paraId="6401B0E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276" w:type="dxa"/>
            <w:shd w:val="clear" w:color="auto" w:fill="auto"/>
            <w:vAlign w:val="center"/>
          </w:tcPr>
          <w:p w14:paraId="2FEC59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3821" w:type="dxa"/>
            <w:vMerge/>
            <w:vAlign w:val="center"/>
          </w:tcPr>
          <w:p w14:paraId="194466F2" w14:textId="77777777" w:rsidR="002133E3" w:rsidRDefault="002133E3">
            <w:pPr>
              <w:widowControl/>
              <w:jc w:val="left"/>
              <w:rPr>
                <w:rFonts w:ascii="Times New Roman" w:eastAsia="宋体" w:hAnsi="Times New Roman" w:cs="Times New Roman"/>
                <w:kern w:val="0"/>
                <w:szCs w:val="21"/>
              </w:rPr>
            </w:pPr>
          </w:p>
        </w:tc>
      </w:tr>
      <w:tr w:rsidR="002133E3" w14:paraId="16F08AA2" w14:textId="77777777">
        <w:trPr>
          <w:trHeight w:val="300"/>
          <w:jc w:val="center"/>
        </w:trPr>
        <w:tc>
          <w:tcPr>
            <w:tcW w:w="1357" w:type="dxa"/>
            <w:shd w:val="clear" w:color="auto" w:fill="auto"/>
            <w:vAlign w:val="center"/>
          </w:tcPr>
          <w:p w14:paraId="34E72D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10</w:t>
            </w:r>
          </w:p>
        </w:tc>
        <w:tc>
          <w:tcPr>
            <w:tcW w:w="980" w:type="dxa"/>
            <w:shd w:val="clear" w:color="auto" w:fill="auto"/>
            <w:vAlign w:val="center"/>
          </w:tcPr>
          <w:p w14:paraId="23B946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0.07</w:t>
            </w:r>
          </w:p>
        </w:tc>
        <w:tc>
          <w:tcPr>
            <w:tcW w:w="2194" w:type="dxa"/>
            <w:shd w:val="clear" w:color="auto" w:fill="auto"/>
            <w:vAlign w:val="center"/>
          </w:tcPr>
          <w:p w14:paraId="15C664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0.15</w:t>
            </w:r>
          </w:p>
        </w:tc>
        <w:tc>
          <w:tcPr>
            <w:tcW w:w="1276" w:type="dxa"/>
            <w:shd w:val="clear" w:color="auto" w:fill="auto"/>
            <w:vAlign w:val="center"/>
          </w:tcPr>
          <w:p w14:paraId="7716AD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0.45</w:t>
            </w:r>
            <w:r>
              <w:rPr>
                <w:rFonts w:ascii="宋体" w:eastAsia="宋体" w:hAnsi="宋体" w:cs="宋体" w:hint="eastAsia"/>
                <w:szCs w:val="21"/>
                <w:vertAlign w:val="superscript"/>
              </w:rPr>
              <w:t>①</w:t>
            </w:r>
          </w:p>
        </w:tc>
        <w:tc>
          <w:tcPr>
            <w:tcW w:w="3821" w:type="dxa"/>
            <w:vMerge/>
            <w:vAlign w:val="center"/>
          </w:tcPr>
          <w:p w14:paraId="3C154478" w14:textId="77777777" w:rsidR="002133E3" w:rsidRDefault="002133E3">
            <w:pPr>
              <w:widowControl/>
              <w:jc w:val="left"/>
              <w:rPr>
                <w:rFonts w:ascii="Times New Roman" w:eastAsia="宋体" w:hAnsi="Times New Roman" w:cs="Times New Roman"/>
                <w:kern w:val="0"/>
                <w:szCs w:val="21"/>
              </w:rPr>
            </w:pPr>
          </w:p>
        </w:tc>
      </w:tr>
      <w:tr w:rsidR="002133E3" w14:paraId="64F1A68E" w14:textId="77777777">
        <w:trPr>
          <w:trHeight w:val="300"/>
          <w:jc w:val="center"/>
        </w:trPr>
        <w:tc>
          <w:tcPr>
            <w:tcW w:w="1357" w:type="dxa"/>
            <w:shd w:val="clear" w:color="auto" w:fill="auto"/>
            <w:vAlign w:val="center"/>
          </w:tcPr>
          <w:p w14:paraId="250336E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2.5</w:t>
            </w:r>
          </w:p>
        </w:tc>
        <w:tc>
          <w:tcPr>
            <w:tcW w:w="980" w:type="dxa"/>
            <w:shd w:val="clear" w:color="auto" w:fill="auto"/>
            <w:vAlign w:val="center"/>
          </w:tcPr>
          <w:p w14:paraId="075F06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0.035</w:t>
            </w:r>
          </w:p>
        </w:tc>
        <w:tc>
          <w:tcPr>
            <w:tcW w:w="2194" w:type="dxa"/>
            <w:shd w:val="clear" w:color="auto" w:fill="auto"/>
            <w:vAlign w:val="center"/>
          </w:tcPr>
          <w:p w14:paraId="6380A60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0.075</w:t>
            </w:r>
          </w:p>
        </w:tc>
        <w:tc>
          <w:tcPr>
            <w:tcW w:w="1276" w:type="dxa"/>
            <w:shd w:val="clear" w:color="auto" w:fill="auto"/>
            <w:vAlign w:val="center"/>
          </w:tcPr>
          <w:p w14:paraId="596DA1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0.225</w:t>
            </w:r>
            <w:r>
              <w:rPr>
                <w:rFonts w:ascii="宋体" w:eastAsia="宋体" w:hAnsi="宋体" w:cs="宋体" w:hint="eastAsia"/>
                <w:szCs w:val="21"/>
                <w:vertAlign w:val="superscript"/>
              </w:rPr>
              <w:t>①</w:t>
            </w:r>
          </w:p>
        </w:tc>
        <w:tc>
          <w:tcPr>
            <w:tcW w:w="3821" w:type="dxa"/>
            <w:vMerge/>
            <w:vAlign w:val="center"/>
          </w:tcPr>
          <w:p w14:paraId="5DCEE345" w14:textId="77777777" w:rsidR="002133E3" w:rsidRDefault="002133E3">
            <w:pPr>
              <w:widowControl/>
              <w:jc w:val="left"/>
              <w:rPr>
                <w:rFonts w:ascii="Times New Roman" w:eastAsia="宋体" w:hAnsi="Times New Roman" w:cs="Times New Roman"/>
                <w:kern w:val="0"/>
                <w:szCs w:val="21"/>
              </w:rPr>
            </w:pPr>
          </w:p>
        </w:tc>
      </w:tr>
      <w:tr w:rsidR="002133E3" w14:paraId="53EB6B1F" w14:textId="77777777">
        <w:trPr>
          <w:trHeight w:val="300"/>
          <w:jc w:val="center"/>
        </w:trPr>
        <w:tc>
          <w:tcPr>
            <w:tcW w:w="1357" w:type="dxa"/>
            <w:shd w:val="clear" w:color="auto" w:fill="auto"/>
            <w:vAlign w:val="center"/>
          </w:tcPr>
          <w:p w14:paraId="258F83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TSP</w:t>
            </w:r>
          </w:p>
        </w:tc>
        <w:tc>
          <w:tcPr>
            <w:tcW w:w="980" w:type="dxa"/>
            <w:shd w:val="clear" w:color="auto" w:fill="auto"/>
            <w:vAlign w:val="center"/>
          </w:tcPr>
          <w:p w14:paraId="0DAC38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0.20</w:t>
            </w:r>
          </w:p>
        </w:tc>
        <w:tc>
          <w:tcPr>
            <w:tcW w:w="2194" w:type="dxa"/>
            <w:shd w:val="clear" w:color="auto" w:fill="auto"/>
            <w:vAlign w:val="center"/>
          </w:tcPr>
          <w:p w14:paraId="22ED1F7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0.30</w:t>
            </w:r>
          </w:p>
        </w:tc>
        <w:tc>
          <w:tcPr>
            <w:tcW w:w="1276" w:type="dxa"/>
            <w:shd w:val="clear" w:color="auto" w:fill="auto"/>
            <w:vAlign w:val="center"/>
          </w:tcPr>
          <w:p w14:paraId="7DDD967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0.9</w:t>
            </w:r>
          </w:p>
        </w:tc>
        <w:tc>
          <w:tcPr>
            <w:tcW w:w="3821" w:type="dxa"/>
            <w:vMerge/>
            <w:vAlign w:val="center"/>
          </w:tcPr>
          <w:p w14:paraId="38E21279" w14:textId="77777777" w:rsidR="002133E3" w:rsidRDefault="002133E3">
            <w:pPr>
              <w:widowControl/>
              <w:jc w:val="left"/>
              <w:rPr>
                <w:rFonts w:ascii="Times New Roman" w:eastAsia="宋体" w:hAnsi="Times New Roman" w:cs="Times New Roman"/>
                <w:kern w:val="0"/>
                <w:szCs w:val="21"/>
              </w:rPr>
            </w:pPr>
          </w:p>
        </w:tc>
      </w:tr>
      <w:tr w:rsidR="002133E3" w14:paraId="24A9A255" w14:textId="77777777">
        <w:trPr>
          <w:trHeight w:val="285"/>
          <w:jc w:val="center"/>
        </w:trPr>
        <w:tc>
          <w:tcPr>
            <w:tcW w:w="1357" w:type="dxa"/>
            <w:shd w:val="clear" w:color="auto" w:fill="auto"/>
            <w:vAlign w:val="center"/>
          </w:tcPr>
          <w:p w14:paraId="097962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TVOC</w:t>
            </w:r>
          </w:p>
        </w:tc>
        <w:tc>
          <w:tcPr>
            <w:tcW w:w="980" w:type="dxa"/>
            <w:shd w:val="clear" w:color="auto" w:fill="auto"/>
            <w:vAlign w:val="center"/>
          </w:tcPr>
          <w:p w14:paraId="10D0F4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2194" w:type="dxa"/>
            <w:shd w:val="clear" w:color="auto" w:fill="auto"/>
            <w:vAlign w:val="center"/>
          </w:tcPr>
          <w:p w14:paraId="3B52B0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0.6(8h</w:t>
            </w:r>
            <w:r>
              <w:rPr>
                <w:rFonts w:ascii="Times New Roman" w:eastAsia="宋体" w:hAnsi="Times New Roman" w:cs="Times New Roman"/>
                <w:kern w:val="0"/>
                <w:szCs w:val="21"/>
              </w:rPr>
              <w:t>平均</w:t>
            </w:r>
            <w:r>
              <w:rPr>
                <w:rFonts w:ascii="Times New Roman" w:eastAsia="宋体" w:hAnsi="Times New Roman" w:cs="Times New Roman"/>
                <w:kern w:val="0"/>
                <w:szCs w:val="21"/>
              </w:rPr>
              <w:t>)</w:t>
            </w:r>
          </w:p>
        </w:tc>
        <w:tc>
          <w:tcPr>
            <w:tcW w:w="1276" w:type="dxa"/>
            <w:shd w:val="clear" w:color="auto" w:fill="auto"/>
            <w:vAlign w:val="center"/>
          </w:tcPr>
          <w:p w14:paraId="6E461EE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3821" w:type="dxa"/>
            <w:vMerge w:val="restart"/>
            <w:shd w:val="clear" w:color="auto" w:fill="auto"/>
            <w:vAlign w:val="center"/>
          </w:tcPr>
          <w:p w14:paraId="131B982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《环境影响评价技术导则</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大气环境》</w:t>
            </w:r>
            <w:r>
              <w:rPr>
                <w:rFonts w:ascii="Times New Roman" w:eastAsia="宋体" w:hAnsi="Times New Roman" w:cs="Times New Roman"/>
                <w:kern w:val="0"/>
                <w:szCs w:val="21"/>
              </w:rPr>
              <w:t>(HJ2.2-2018)</w:t>
            </w:r>
            <w:r>
              <w:rPr>
                <w:rFonts w:ascii="Times New Roman" w:eastAsia="宋体" w:hAnsi="Times New Roman" w:cs="Times New Roman"/>
                <w:kern w:val="0"/>
                <w:szCs w:val="21"/>
              </w:rPr>
              <w:t>附录</w:t>
            </w:r>
            <w:r>
              <w:rPr>
                <w:rFonts w:ascii="Times New Roman" w:eastAsia="宋体" w:hAnsi="Times New Roman" w:cs="Times New Roman"/>
                <w:kern w:val="0"/>
                <w:szCs w:val="21"/>
              </w:rPr>
              <w:t>D</w:t>
            </w:r>
          </w:p>
        </w:tc>
      </w:tr>
      <w:tr w:rsidR="002133E3" w14:paraId="64E3FE67" w14:textId="77777777">
        <w:trPr>
          <w:trHeight w:val="285"/>
          <w:jc w:val="center"/>
        </w:trPr>
        <w:tc>
          <w:tcPr>
            <w:tcW w:w="1357" w:type="dxa"/>
            <w:shd w:val="clear" w:color="auto" w:fill="auto"/>
            <w:vAlign w:val="center"/>
          </w:tcPr>
          <w:p w14:paraId="1AC562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甲醇</w:t>
            </w:r>
          </w:p>
        </w:tc>
        <w:tc>
          <w:tcPr>
            <w:tcW w:w="980" w:type="dxa"/>
            <w:shd w:val="clear" w:color="auto" w:fill="auto"/>
            <w:vAlign w:val="center"/>
          </w:tcPr>
          <w:p w14:paraId="21574D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w:t>
            </w:r>
          </w:p>
        </w:tc>
        <w:tc>
          <w:tcPr>
            <w:tcW w:w="2194" w:type="dxa"/>
            <w:shd w:val="clear" w:color="auto" w:fill="auto"/>
            <w:vAlign w:val="center"/>
          </w:tcPr>
          <w:p w14:paraId="2D4410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1.00</w:t>
            </w:r>
          </w:p>
        </w:tc>
        <w:tc>
          <w:tcPr>
            <w:tcW w:w="1276" w:type="dxa"/>
            <w:shd w:val="clear" w:color="auto" w:fill="auto"/>
            <w:vAlign w:val="center"/>
          </w:tcPr>
          <w:p w14:paraId="2737B8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3.00</w:t>
            </w:r>
          </w:p>
        </w:tc>
        <w:tc>
          <w:tcPr>
            <w:tcW w:w="3821" w:type="dxa"/>
            <w:vMerge/>
            <w:shd w:val="clear" w:color="auto" w:fill="auto"/>
            <w:vAlign w:val="center"/>
          </w:tcPr>
          <w:p w14:paraId="1F9CFEB4" w14:textId="77777777" w:rsidR="002133E3" w:rsidRDefault="002133E3">
            <w:pPr>
              <w:widowControl/>
              <w:jc w:val="center"/>
              <w:rPr>
                <w:rFonts w:ascii="Times New Roman" w:eastAsia="宋体" w:hAnsi="Times New Roman" w:cs="Times New Roman"/>
                <w:kern w:val="0"/>
                <w:szCs w:val="21"/>
              </w:rPr>
            </w:pPr>
          </w:p>
        </w:tc>
      </w:tr>
      <w:tr w:rsidR="002133E3" w14:paraId="5B3E9795" w14:textId="77777777">
        <w:trPr>
          <w:trHeight w:val="285"/>
          <w:jc w:val="center"/>
        </w:trPr>
        <w:tc>
          <w:tcPr>
            <w:tcW w:w="1357" w:type="dxa"/>
            <w:shd w:val="clear" w:color="auto" w:fill="auto"/>
            <w:vAlign w:val="center"/>
          </w:tcPr>
          <w:p w14:paraId="19A3AC6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乙醇</w:t>
            </w:r>
          </w:p>
        </w:tc>
        <w:tc>
          <w:tcPr>
            <w:tcW w:w="980" w:type="dxa"/>
            <w:shd w:val="clear" w:color="auto" w:fill="auto"/>
            <w:vAlign w:val="center"/>
          </w:tcPr>
          <w:p w14:paraId="3719D6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w:t>
            </w:r>
          </w:p>
        </w:tc>
        <w:tc>
          <w:tcPr>
            <w:tcW w:w="2194" w:type="dxa"/>
            <w:shd w:val="clear" w:color="auto" w:fill="auto"/>
            <w:vAlign w:val="center"/>
          </w:tcPr>
          <w:p w14:paraId="7540A9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w:t>
            </w:r>
            <w:r>
              <w:rPr>
                <w:rFonts w:ascii="宋体" w:eastAsia="宋体" w:hAnsi="宋体" w:cs="宋体" w:hint="eastAsia"/>
                <w:szCs w:val="21"/>
                <w:vertAlign w:val="superscript"/>
              </w:rPr>
              <w:t>③</w:t>
            </w:r>
          </w:p>
        </w:tc>
        <w:tc>
          <w:tcPr>
            <w:tcW w:w="1276" w:type="dxa"/>
            <w:shd w:val="clear" w:color="auto" w:fill="auto"/>
            <w:vAlign w:val="center"/>
          </w:tcPr>
          <w:p w14:paraId="4CA676C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w:t>
            </w:r>
            <w:r>
              <w:rPr>
                <w:rFonts w:ascii="宋体" w:eastAsia="宋体" w:hAnsi="宋体" w:cs="宋体" w:hint="eastAsia"/>
                <w:szCs w:val="21"/>
                <w:vertAlign w:val="superscript"/>
              </w:rPr>
              <w:t>②</w:t>
            </w:r>
          </w:p>
        </w:tc>
        <w:tc>
          <w:tcPr>
            <w:tcW w:w="3821" w:type="dxa"/>
            <w:shd w:val="clear" w:color="auto" w:fill="auto"/>
            <w:vAlign w:val="center"/>
          </w:tcPr>
          <w:p w14:paraId="29271432" w14:textId="77777777" w:rsidR="002133E3" w:rsidRDefault="00C22CFA">
            <w:pPr>
              <w:tabs>
                <w:tab w:val="left" w:pos="3600"/>
              </w:tabs>
              <w:spacing w:line="280" w:lineRule="exact"/>
              <w:jc w:val="center"/>
              <w:rPr>
                <w:rFonts w:ascii="Times New Roman" w:eastAsia="宋体" w:hAnsi="Times New Roman" w:cs="Times New Roman"/>
                <w:kern w:val="0"/>
                <w:szCs w:val="21"/>
              </w:rPr>
            </w:pPr>
            <w:r>
              <w:rPr>
                <w:rFonts w:ascii="Times New Roman" w:eastAsia="宋体" w:hAnsi="Times New Roman" w:cs="Times New Roman"/>
                <w:szCs w:val="21"/>
              </w:rPr>
              <w:t>前苏联大气环境质量标准</w:t>
            </w:r>
            <w:r>
              <w:rPr>
                <w:rFonts w:ascii="Times New Roman" w:eastAsia="宋体" w:hAnsi="Times New Roman" w:cs="Times New Roman"/>
                <w:szCs w:val="21"/>
              </w:rPr>
              <w:t>(CH245-71)</w:t>
            </w:r>
          </w:p>
        </w:tc>
      </w:tr>
    </w:tbl>
    <w:p w14:paraId="0B4A0BAB" w14:textId="77777777" w:rsidR="002133E3" w:rsidRDefault="00C22CFA">
      <w:pPr>
        <w:adjustRightInd w:val="0"/>
        <w:snapToGrid w:val="0"/>
        <w:spacing w:line="520" w:lineRule="exact"/>
        <w:rPr>
          <w:rFonts w:ascii="Times New Roman" w:eastAsia="宋体" w:hAnsi="Times New Roman" w:cs="Times New Roman"/>
          <w:b/>
          <w:szCs w:val="21"/>
        </w:rPr>
      </w:pPr>
      <w:r>
        <w:rPr>
          <w:rFonts w:ascii="Times New Roman" w:eastAsia="宋体" w:hAnsi="Times New Roman" w:cs="Times New Roman"/>
          <w:szCs w:val="21"/>
        </w:rPr>
        <w:t>注：</w:t>
      </w:r>
      <w:r>
        <w:rPr>
          <w:rFonts w:ascii="宋体" w:eastAsia="宋体" w:hAnsi="宋体" w:cs="宋体" w:hint="eastAsia"/>
          <w:szCs w:val="21"/>
        </w:rPr>
        <w:t>①</w:t>
      </w:r>
      <w:r>
        <w:rPr>
          <w:rFonts w:ascii="Times New Roman" w:eastAsia="宋体" w:hAnsi="Times New Roman" w:cs="Times New Roman"/>
          <w:szCs w:val="21"/>
        </w:rPr>
        <w:t>按</w:t>
      </w:r>
      <w:r>
        <w:rPr>
          <w:rFonts w:ascii="Times New Roman" w:eastAsia="宋体" w:hAnsi="Times New Roman" w:cs="Times New Roman"/>
          <w:szCs w:val="21"/>
        </w:rPr>
        <w:t>24</w:t>
      </w:r>
      <w:r>
        <w:rPr>
          <w:rFonts w:ascii="Times New Roman" w:eastAsia="宋体" w:hAnsi="Times New Roman" w:cs="Times New Roman"/>
          <w:szCs w:val="21"/>
        </w:rPr>
        <w:t>小时平均浓度值</w:t>
      </w:r>
      <w:r>
        <w:rPr>
          <w:rFonts w:ascii="Times New Roman" w:eastAsia="宋体" w:hAnsi="Times New Roman" w:cs="Times New Roman"/>
          <w:szCs w:val="21"/>
        </w:rPr>
        <w:t>3</w:t>
      </w:r>
      <w:r>
        <w:rPr>
          <w:rFonts w:ascii="Times New Roman" w:eastAsia="宋体" w:hAnsi="Times New Roman" w:cs="Times New Roman"/>
          <w:szCs w:val="21"/>
        </w:rPr>
        <w:t>倍计；</w:t>
      </w:r>
      <w:r>
        <w:rPr>
          <w:rFonts w:ascii="宋体" w:eastAsia="宋体" w:hAnsi="宋体" w:cs="宋体" w:hint="eastAsia"/>
          <w:szCs w:val="21"/>
        </w:rPr>
        <w:t>②</w:t>
      </w:r>
      <w:r>
        <w:rPr>
          <w:rFonts w:ascii="Times New Roman" w:eastAsia="宋体" w:hAnsi="Times New Roman" w:cs="Times New Roman"/>
          <w:szCs w:val="21"/>
        </w:rPr>
        <w:t>一次最高容许浓度；</w:t>
      </w:r>
      <w:r>
        <w:rPr>
          <w:rFonts w:ascii="宋体" w:eastAsia="宋体" w:hAnsi="宋体" w:cs="宋体" w:hint="eastAsia"/>
          <w:szCs w:val="21"/>
        </w:rPr>
        <w:t>③</w:t>
      </w:r>
      <w:r>
        <w:rPr>
          <w:rFonts w:ascii="Times New Roman" w:eastAsia="宋体" w:hAnsi="Times New Roman" w:cs="Times New Roman"/>
          <w:szCs w:val="21"/>
        </w:rPr>
        <w:t>昼夜平均浓度。</w:t>
      </w:r>
    </w:p>
    <w:p w14:paraId="32AE5F1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地表水环境</w:t>
      </w:r>
    </w:p>
    <w:p w14:paraId="668393A8"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区域主要河流为兴庄河，根据《江苏省地表水功能类别划分》，</w:t>
      </w:r>
      <w:r>
        <w:rPr>
          <w:rFonts w:ascii="Times New Roman" w:eastAsia="宋体" w:hAnsi="Times New Roman" w:cs="Times New Roman"/>
          <w:sz w:val="28"/>
          <w:szCs w:val="28"/>
        </w:rPr>
        <w:t>兴庄河</w:t>
      </w:r>
      <w:r>
        <w:rPr>
          <w:rFonts w:ascii="Times New Roman" w:eastAsia="宋体" w:hAnsi="Times New Roman" w:cs="Times New Roman"/>
          <w:sz w:val="28"/>
          <w:szCs w:val="28"/>
        </w:rPr>
        <w:t>2020</w:t>
      </w:r>
      <w:r>
        <w:rPr>
          <w:rFonts w:ascii="Times New Roman" w:eastAsia="宋体" w:hAnsi="Times New Roman" w:cs="Times New Roman"/>
          <w:sz w:val="28"/>
          <w:szCs w:val="28"/>
        </w:rPr>
        <w:t>年水质目标为《地表水环境质量标准》（</w:t>
      </w:r>
      <w:r>
        <w:rPr>
          <w:rFonts w:ascii="Times New Roman" w:eastAsia="宋体" w:hAnsi="Times New Roman" w:cs="Times New Roman"/>
          <w:sz w:val="28"/>
          <w:szCs w:val="28"/>
        </w:rPr>
        <w:t>GB3838-2002</w:t>
      </w:r>
      <w:r>
        <w:rPr>
          <w:rFonts w:ascii="Times New Roman" w:eastAsia="宋体" w:hAnsi="Times New Roman" w:cs="Times New Roman"/>
          <w:sz w:val="28"/>
          <w:szCs w:val="28"/>
        </w:rPr>
        <w:t>）</w:t>
      </w:r>
      <w:r>
        <w:rPr>
          <w:rFonts w:ascii="宋体" w:eastAsia="宋体" w:hAnsi="宋体" w:cs="宋体" w:hint="eastAsia"/>
          <w:sz w:val="28"/>
          <w:szCs w:val="28"/>
        </w:rPr>
        <w:t>Ⅲ</w:t>
      </w:r>
      <w:r>
        <w:rPr>
          <w:rFonts w:ascii="Times New Roman" w:eastAsia="宋体" w:hAnsi="Times New Roman" w:cs="Times New Roman"/>
          <w:sz w:val="28"/>
          <w:szCs w:val="28"/>
        </w:rPr>
        <w:t>类，</w:t>
      </w:r>
      <w:r>
        <w:rPr>
          <w:rFonts w:ascii="Times New Roman" w:eastAsia="宋体" w:hAnsi="Times New Roman" w:cs="Times New Roman"/>
          <w:kern w:val="0"/>
          <w:sz w:val="28"/>
          <w:szCs w:val="28"/>
        </w:rPr>
        <w:t>主要指标见表</w:t>
      </w:r>
      <w:r>
        <w:rPr>
          <w:rFonts w:ascii="Times New Roman" w:eastAsia="宋体" w:hAnsi="Times New Roman" w:cs="Times New Roman"/>
          <w:kern w:val="0"/>
          <w:sz w:val="28"/>
          <w:szCs w:val="28"/>
        </w:rPr>
        <w:t>2.7-2</w:t>
      </w:r>
      <w:r>
        <w:rPr>
          <w:rFonts w:ascii="Times New Roman" w:eastAsia="宋体" w:hAnsi="Times New Roman" w:cs="Times New Roman"/>
          <w:kern w:val="0"/>
          <w:sz w:val="28"/>
          <w:szCs w:val="28"/>
        </w:rPr>
        <w:t>。</w:t>
      </w:r>
    </w:p>
    <w:p w14:paraId="60C46FBE"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2.7-2  </w:t>
      </w:r>
      <w:r>
        <w:rPr>
          <w:rFonts w:ascii="Times New Roman" w:eastAsia="宋体" w:hAnsi="Times New Roman" w:cs="Times New Roman"/>
          <w:b/>
          <w:bCs/>
          <w:sz w:val="24"/>
          <w:szCs w:val="20"/>
        </w:rPr>
        <w:t>地表水环境质量标准主要指标值</w:t>
      </w:r>
      <w:r>
        <w:rPr>
          <w:rFonts w:ascii="Times New Roman" w:eastAsia="宋体" w:hAnsi="Times New Roman" w:cs="Times New Roman"/>
          <w:b/>
          <w:bCs/>
          <w:sz w:val="24"/>
          <w:szCs w:val="20"/>
        </w:rPr>
        <w:t>(mg/L</w:t>
      </w:r>
      <w:r>
        <w:rPr>
          <w:rFonts w:ascii="Times New Roman" w:eastAsia="宋体" w:hAnsi="Times New Roman" w:cs="Times New Roman"/>
          <w:b/>
          <w:bCs/>
          <w:sz w:val="24"/>
          <w:szCs w:val="20"/>
        </w:rPr>
        <w:t>，</w:t>
      </w:r>
      <w:r>
        <w:rPr>
          <w:rFonts w:ascii="Times New Roman" w:eastAsia="宋体" w:hAnsi="Times New Roman" w:cs="Times New Roman"/>
          <w:b/>
          <w:bCs/>
          <w:sz w:val="24"/>
          <w:szCs w:val="20"/>
        </w:rPr>
        <w:t>pH</w:t>
      </w:r>
      <w:r>
        <w:rPr>
          <w:rFonts w:ascii="Times New Roman" w:eastAsia="宋体" w:hAnsi="Times New Roman" w:cs="Times New Roman"/>
          <w:b/>
          <w:bCs/>
          <w:sz w:val="24"/>
          <w:szCs w:val="20"/>
        </w:rPr>
        <w:t>除外</w:t>
      </w:r>
      <w:r>
        <w:rPr>
          <w:rFonts w:ascii="Times New Roman" w:eastAsia="宋体" w:hAnsi="Times New Roman" w:cs="Times New Roman"/>
          <w:b/>
          <w:bCs/>
          <w:sz w:val="24"/>
          <w:szCs w:val="20"/>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3638"/>
        <w:gridCol w:w="5516"/>
      </w:tblGrid>
      <w:tr w:rsidR="002133E3" w14:paraId="620182CC" w14:textId="77777777">
        <w:trPr>
          <w:cantSplit/>
          <w:trHeight w:val="20"/>
          <w:jc w:val="center"/>
        </w:trPr>
        <w:tc>
          <w:tcPr>
            <w:tcW w:w="355" w:type="pct"/>
            <w:vAlign w:val="center"/>
          </w:tcPr>
          <w:p w14:paraId="6AFFB273"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846" w:type="pct"/>
            <w:vAlign w:val="center"/>
          </w:tcPr>
          <w:p w14:paraId="6E6DCB3A" w14:textId="77777777" w:rsidR="002133E3" w:rsidRDefault="00C22CFA">
            <w:pPr>
              <w:ind w:leftChars="50" w:left="105"/>
              <w:jc w:val="center"/>
              <w:rPr>
                <w:rFonts w:ascii="Times New Roman" w:eastAsia="宋体" w:hAnsi="Times New Roman" w:cs="Times New Roman"/>
                <w:b/>
                <w:kern w:val="0"/>
                <w:szCs w:val="21"/>
              </w:rPr>
            </w:pPr>
            <w:r>
              <w:rPr>
                <w:rFonts w:ascii="Times New Roman" w:eastAsia="宋体" w:hAnsi="Times New Roman" w:cs="Times New Roman"/>
                <w:b/>
                <w:kern w:val="0"/>
                <w:szCs w:val="21"/>
              </w:rPr>
              <w:t>评价因子</w:t>
            </w:r>
          </w:p>
        </w:tc>
        <w:tc>
          <w:tcPr>
            <w:tcW w:w="2799" w:type="pct"/>
            <w:vAlign w:val="center"/>
          </w:tcPr>
          <w:p w14:paraId="051A6E2E" w14:textId="77777777" w:rsidR="002133E3" w:rsidRDefault="00C22CFA">
            <w:pPr>
              <w:ind w:leftChars="50" w:left="105"/>
              <w:jc w:val="center"/>
              <w:rPr>
                <w:rFonts w:ascii="Times New Roman" w:eastAsia="宋体" w:hAnsi="Times New Roman" w:cs="Times New Roman"/>
                <w:b/>
                <w:kern w:val="0"/>
                <w:szCs w:val="21"/>
              </w:rPr>
            </w:pPr>
            <w:r>
              <w:rPr>
                <w:rFonts w:ascii="宋体" w:eastAsia="宋体" w:hAnsi="宋体" w:cs="宋体" w:hint="eastAsia"/>
                <w:b/>
                <w:kern w:val="0"/>
                <w:szCs w:val="21"/>
              </w:rPr>
              <w:t>Ⅲ</w:t>
            </w:r>
            <w:r>
              <w:rPr>
                <w:rFonts w:ascii="Times New Roman" w:eastAsia="宋体" w:hAnsi="Times New Roman" w:cs="Times New Roman"/>
                <w:b/>
                <w:kern w:val="0"/>
                <w:szCs w:val="21"/>
              </w:rPr>
              <w:t>类水标准值</w:t>
            </w:r>
          </w:p>
        </w:tc>
      </w:tr>
      <w:tr w:rsidR="002133E3" w14:paraId="3251B3BF" w14:textId="77777777">
        <w:trPr>
          <w:cantSplit/>
          <w:trHeight w:val="20"/>
          <w:jc w:val="center"/>
        </w:trPr>
        <w:tc>
          <w:tcPr>
            <w:tcW w:w="355" w:type="pct"/>
            <w:vAlign w:val="center"/>
          </w:tcPr>
          <w:p w14:paraId="6F03ACC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846" w:type="pct"/>
            <w:vAlign w:val="center"/>
          </w:tcPr>
          <w:p w14:paraId="7B07C12D"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值</w:t>
            </w:r>
          </w:p>
        </w:tc>
        <w:tc>
          <w:tcPr>
            <w:tcW w:w="2799" w:type="pct"/>
            <w:vAlign w:val="center"/>
          </w:tcPr>
          <w:p w14:paraId="738AE3CA"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w:t>
            </w:r>
            <w:r>
              <w:rPr>
                <w:rFonts w:ascii="Times New Roman" w:eastAsia="宋体" w:hAnsi="Times New Roman" w:cs="Times New Roman"/>
                <w:kern w:val="0"/>
                <w:szCs w:val="21"/>
              </w:rPr>
              <w:t>9</w:t>
            </w:r>
          </w:p>
        </w:tc>
      </w:tr>
      <w:tr w:rsidR="002133E3" w14:paraId="7AD8A9E4" w14:textId="77777777">
        <w:trPr>
          <w:cantSplit/>
          <w:trHeight w:val="20"/>
          <w:jc w:val="center"/>
        </w:trPr>
        <w:tc>
          <w:tcPr>
            <w:tcW w:w="355" w:type="pct"/>
            <w:vAlign w:val="center"/>
          </w:tcPr>
          <w:p w14:paraId="0369678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846" w:type="pct"/>
            <w:vAlign w:val="center"/>
          </w:tcPr>
          <w:p w14:paraId="7DB46D6B" w14:textId="77777777" w:rsidR="002133E3" w:rsidRDefault="00C22CFA">
            <w:pPr>
              <w:ind w:leftChars="50" w:left="105"/>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CODcr</w:t>
            </w:r>
            <w:proofErr w:type="spellEnd"/>
            <w:r>
              <w:rPr>
                <w:rFonts w:ascii="Times New Roman" w:eastAsia="宋体" w:hAnsi="Times New Roman" w:cs="Times New Roman"/>
                <w:kern w:val="0"/>
                <w:szCs w:val="21"/>
              </w:rPr>
              <w:t>≤</w:t>
            </w:r>
          </w:p>
        </w:tc>
        <w:tc>
          <w:tcPr>
            <w:tcW w:w="2799" w:type="pct"/>
            <w:vAlign w:val="center"/>
          </w:tcPr>
          <w:p w14:paraId="0DD68C7F"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r>
      <w:tr w:rsidR="002133E3" w14:paraId="38225AD7" w14:textId="77777777">
        <w:trPr>
          <w:cantSplit/>
          <w:trHeight w:val="20"/>
          <w:jc w:val="center"/>
        </w:trPr>
        <w:tc>
          <w:tcPr>
            <w:tcW w:w="355" w:type="pct"/>
            <w:vAlign w:val="center"/>
          </w:tcPr>
          <w:p w14:paraId="64FA942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846" w:type="pct"/>
            <w:vAlign w:val="center"/>
          </w:tcPr>
          <w:p w14:paraId="7C126D9D"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r>
              <w:rPr>
                <w:rFonts w:ascii="Times New Roman" w:eastAsia="宋体" w:hAnsi="Times New Roman" w:cs="Times New Roman"/>
                <w:kern w:val="0"/>
                <w:szCs w:val="21"/>
              </w:rPr>
              <w:t>≤</w:t>
            </w:r>
          </w:p>
        </w:tc>
        <w:tc>
          <w:tcPr>
            <w:tcW w:w="2799" w:type="pct"/>
            <w:vAlign w:val="center"/>
          </w:tcPr>
          <w:p w14:paraId="6A040AE1"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r>
      <w:tr w:rsidR="002133E3" w14:paraId="64B9CBE1" w14:textId="77777777">
        <w:trPr>
          <w:cantSplit/>
          <w:trHeight w:val="20"/>
          <w:jc w:val="center"/>
        </w:trPr>
        <w:tc>
          <w:tcPr>
            <w:tcW w:w="355" w:type="pct"/>
            <w:vAlign w:val="center"/>
          </w:tcPr>
          <w:p w14:paraId="1903C2A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846" w:type="pct"/>
            <w:vAlign w:val="center"/>
          </w:tcPr>
          <w:p w14:paraId="40500EC9"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r>
              <w:rPr>
                <w:rFonts w:ascii="Times New Roman" w:eastAsia="宋体" w:hAnsi="Times New Roman" w:cs="Times New Roman"/>
                <w:kern w:val="0"/>
                <w:szCs w:val="21"/>
              </w:rPr>
              <w:t>≤</w:t>
            </w:r>
          </w:p>
        </w:tc>
        <w:tc>
          <w:tcPr>
            <w:tcW w:w="2799" w:type="pct"/>
            <w:vAlign w:val="center"/>
          </w:tcPr>
          <w:p w14:paraId="5A5407BD"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r>
      <w:tr w:rsidR="002133E3" w14:paraId="24BF0841" w14:textId="77777777">
        <w:trPr>
          <w:cantSplit/>
          <w:trHeight w:val="20"/>
          <w:jc w:val="center"/>
        </w:trPr>
        <w:tc>
          <w:tcPr>
            <w:tcW w:w="2201" w:type="pct"/>
            <w:gridSpan w:val="2"/>
            <w:vAlign w:val="center"/>
          </w:tcPr>
          <w:p w14:paraId="46CF57FF"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标准来源</w:t>
            </w:r>
          </w:p>
        </w:tc>
        <w:tc>
          <w:tcPr>
            <w:tcW w:w="2799" w:type="pct"/>
            <w:vAlign w:val="center"/>
          </w:tcPr>
          <w:p w14:paraId="1B6FA2A3" w14:textId="77777777" w:rsidR="002133E3" w:rsidRDefault="00C22CFA">
            <w:pPr>
              <w:ind w:leftChars="50" w:left="105"/>
              <w:jc w:val="center"/>
              <w:rPr>
                <w:rFonts w:ascii="Times New Roman" w:eastAsia="宋体" w:hAnsi="Times New Roman" w:cs="Times New Roman"/>
                <w:kern w:val="0"/>
                <w:szCs w:val="21"/>
              </w:rPr>
            </w:pPr>
            <w:r>
              <w:rPr>
                <w:rFonts w:ascii="Times New Roman" w:eastAsia="宋体" w:hAnsi="Times New Roman" w:cs="Times New Roman"/>
                <w:kern w:val="0"/>
                <w:szCs w:val="21"/>
              </w:rPr>
              <w:t>GB3838-2002</w:t>
            </w:r>
            <w:r>
              <w:rPr>
                <w:rFonts w:ascii="Times New Roman" w:eastAsia="宋体" w:hAnsi="Times New Roman" w:cs="Times New Roman"/>
                <w:kern w:val="0"/>
                <w:szCs w:val="21"/>
              </w:rPr>
              <w:t>表</w:t>
            </w:r>
            <w:r>
              <w:rPr>
                <w:rFonts w:ascii="Times New Roman" w:eastAsia="宋体" w:hAnsi="Times New Roman" w:cs="Times New Roman"/>
                <w:kern w:val="0"/>
                <w:szCs w:val="21"/>
              </w:rPr>
              <w:t>1</w:t>
            </w:r>
          </w:p>
        </w:tc>
      </w:tr>
    </w:tbl>
    <w:p w14:paraId="4FAC729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海水环境</w:t>
      </w:r>
    </w:p>
    <w:p w14:paraId="25B3ED0F"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本项目污水经预处理后达到污水处理厂接管标准后排入通海污水处理厂，尾水通过通道排入兴庄河闸下入海。根据《江苏省海洋功能区划》，兴庄河入海州湾处海水为海头工业与城镇用海区</w:t>
      </w:r>
      <w:r>
        <w:rPr>
          <w:rFonts w:ascii="Times New Roman" w:eastAsia="宋体" w:hAnsi="Times New Roman" w:cs="Times New Roman"/>
          <w:kern w:val="0"/>
          <w:sz w:val="28"/>
          <w:szCs w:val="28"/>
        </w:rPr>
        <w:t>(A3-02)</w:t>
      </w:r>
      <w:r>
        <w:rPr>
          <w:rFonts w:ascii="Times New Roman" w:eastAsia="宋体" w:hAnsi="Times New Roman" w:cs="Times New Roman"/>
          <w:kern w:val="0"/>
          <w:sz w:val="28"/>
          <w:szCs w:val="28"/>
        </w:rPr>
        <w:t>，执行《海水水质标准》</w:t>
      </w:r>
      <w:r>
        <w:rPr>
          <w:rFonts w:ascii="Times New Roman" w:eastAsia="宋体" w:hAnsi="Times New Roman" w:cs="Times New Roman"/>
          <w:kern w:val="0"/>
          <w:sz w:val="28"/>
          <w:szCs w:val="28"/>
        </w:rPr>
        <w:t>(GB3097-1997)</w:t>
      </w:r>
      <w:r>
        <w:rPr>
          <w:rFonts w:ascii="Times New Roman" w:eastAsia="宋体" w:hAnsi="Times New Roman" w:cs="Times New Roman"/>
          <w:kern w:val="0"/>
          <w:sz w:val="28"/>
          <w:szCs w:val="28"/>
        </w:rPr>
        <w:t>第三类标准，相关标准值见表</w:t>
      </w:r>
      <w:r>
        <w:rPr>
          <w:rFonts w:ascii="Times New Roman" w:eastAsia="宋体" w:hAnsi="Times New Roman" w:cs="Times New Roman"/>
          <w:kern w:val="0"/>
          <w:sz w:val="28"/>
          <w:szCs w:val="28"/>
        </w:rPr>
        <w:t>2.7-3</w:t>
      </w:r>
      <w:r>
        <w:rPr>
          <w:rFonts w:ascii="Times New Roman" w:eastAsia="宋体" w:hAnsi="Times New Roman" w:cs="Times New Roman"/>
          <w:kern w:val="0"/>
          <w:sz w:val="28"/>
          <w:szCs w:val="28"/>
        </w:rPr>
        <w:t>，江苏省海洋功能区划见</w:t>
      </w:r>
      <w:r>
        <w:rPr>
          <w:rFonts w:ascii="Times New Roman" w:eastAsia="宋体" w:hAnsi="Times New Roman" w:cs="Times New Roman"/>
          <w:kern w:val="0"/>
          <w:sz w:val="28"/>
          <w:szCs w:val="28"/>
          <w:highlight w:val="yellow"/>
        </w:rPr>
        <w:t>图</w:t>
      </w:r>
      <w:r>
        <w:rPr>
          <w:rFonts w:ascii="Times New Roman" w:eastAsia="宋体" w:hAnsi="Times New Roman" w:cs="Times New Roman"/>
          <w:kern w:val="0"/>
          <w:sz w:val="28"/>
          <w:szCs w:val="28"/>
          <w:highlight w:val="yellow"/>
        </w:rPr>
        <w:t>2.2-1</w:t>
      </w:r>
      <w:r>
        <w:rPr>
          <w:rFonts w:ascii="Times New Roman" w:eastAsia="宋体" w:hAnsi="Times New Roman" w:cs="Times New Roman"/>
          <w:kern w:val="0"/>
          <w:sz w:val="28"/>
          <w:szCs w:val="28"/>
          <w:highlight w:val="yellow"/>
        </w:rPr>
        <w:t>。</w:t>
      </w:r>
    </w:p>
    <w:p w14:paraId="029A1DC3" w14:textId="77777777" w:rsidR="002133E3" w:rsidRDefault="00C22CFA">
      <w:pPr>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2.7-3  </w:t>
      </w:r>
      <w:r>
        <w:rPr>
          <w:rFonts w:ascii="Times New Roman" w:eastAsia="宋体" w:hAnsi="Times New Roman" w:cs="Times New Roman"/>
          <w:b/>
          <w:szCs w:val="21"/>
        </w:rPr>
        <w:t>海水环境质量标准主要指标值</w:t>
      </w:r>
      <w:r>
        <w:rPr>
          <w:rFonts w:ascii="Times New Roman" w:eastAsia="宋体" w:hAnsi="Times New Roman" w:cs="Times New Roman"/>
          <w:b/>
          <w:szCs w:val="21"/>
        </w:rPr>
        <w:t>(mg/L</w:t>
      </w:r>
      <w:r>
        <w:rPr>
          <w:rFonts w:ascii="Times New Roman" w:eastAsia="宋体" w:hAnsi="Times New Roman" w:cs="Times New Roman"/>
          <w:b/>
          <w:szCs w:val="21"/>
        </w:rPr>
        <w:t>，</w:t>
      </w:r>
      <w:r>
        <w:rPr>
          <w:rFonts w:ascii="Times New Roman" w:eastAsia="宋体" w:hAnsi="Times New Roman" w:cs="Times New Roman"/>
          <w:b/>
          <w:szCs w:val="21"/>
        </w:rPr>
        <w:t>pH</w:t>
      </w:r>
      <w:r>
        <w:rPr>
          <w:rFonts w:ascii="Times New Roman" w:eastAsia="宋体" w:hAnsi="Times New Roman" w:cs="Times New Roman"/>
          <w:b/>
          <w:szCs w:val="21"/>
        </w:rPr>
        <w:t>除外</w:t>
      </w:r>
      <w:r>
        <w:rPr>
          <w:rFonts w:ascii="Times New Roman" w:eastAsia="宋体" w:hAnsi="Times New Roman" w:cs="Times New Roman"/>
          <w:b/>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1318"/>
        <w:gridCol w:w="345"/>
        <w:gridCol w:w="2109"/>
        <w:gridCol w:w="1553"/>
        <w:gridCol w:w="2067"/>
      </w:tblGrid>
      <w:tr w:rsidR="002133E3" w14:paraId="067E9567" w14:textId="77777777">
        <w:trPr>
          <w:trHeight w:val="338"/>
          <w:jc w:val="center"/>
        </w:trPr>
        <w:tc>
          <w:tcPr>
            <w:tcW w:w="1249" w:type="pct"/>
            <w:vAlign w:val="center"/>
          </w:tcPr>
          <w:p w14:paraId="6D7475FD" w14:textId="77777777" w:rsidR="002133E3" w:rsidRDefault="00C22CFA">
            <w:pPr>
              <w:widowControl/>
              <w:snapToGrid w:val="0"/>
              <w:ind w:left="105" w:right="105"/>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项目</w:t>
            </w:r>
          </w:p>
        </w:tc>
        <w:tc>
          <w:tcPr>
            <w:tcW w:w="669" w:type="pct"/>
            <w:vAlign w:val="center"/>
          </w:tcPr>
          <w:p w14:paraId="27DF54F0" w14:textId="77777777" w:rsidR="002133E3" w:rsidRDefault="00C22CFA">
            <w:pPr>
              <w:widowControl/>
              <w:snapToGrid w:val="0"/>
              <w:ind w:left="105" w:right="105"/>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第一类</w:t>
            </w:r>
          </w:p>
        </w:tc>
        <w:tc>
          <w:tcPr>
            <w:tcW w:w="1245" w:type="pct"/>
            <w:gridSpan w:val="2"/>
            <w:vAlign w:val="center"/>
          </w:tcPr>
          <w:p w14:paraId="3DCA467E" w14:textId="77777777" w:rsidR="002133E3" w:rsidRDefault="00C22CFA">
            <w:pPr>
              <w:widowControl/>
              <w:snapToGrid w:val="0"/>
              <w:ind w:left="105" w:right="105"/>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第二类</w:t>
            </w:r>
          </w:p>
        </w:tc>
        <w:tc>
          <w:tcPr>
            <w:tcW w:w="788" w:type="pct"/>
            <w:vAlign w:val="center"/>
          </w:tcPr>
          <w:p w14:paraId="13FF184F" w14:textId="77777777" w:rsidR="002133E3" w:rsidRDefault="00C22CFA">
            <w:pPr>
              <w:widowControl/>
              <w:snapToGrid w:val="0"/>
              <w:ind w:left="105" w:right="105"/>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第三类</w:t>
            </w:r>
          </w:p>
        </w:tc>
        <w:tc>
          <w:tcPr>
            <w:tcW w:w="1049" w:type="pct"/>
            <w:vAlign w:val="center"/>
          </w:tcPr>
          <w:p w14:paraId="3C543B95" w14:textId="77777777" w:rsidR="002133E3" w:rsidRDefault="00C22CFA">
            <w:pPr>
              <w:widowControl/>
              <w:snapToGrid w:val="0"/>
              <w:ind w:left="105" w:right="105"/>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第四类</w:t>
            </w:r>
          </w:p>
        </w:tc>
      </w:tr>
      <w:tr w:rsidR="002133E3" w14:paraId="7411010C" w14:textId="77777777">
        <w:trPr>
          <w:trHeight w:val="301"/>
          <w:jc w:val="center"/>
        </w:trPr>
        <w:tc>
          <w:tcPr>
            <w:tcW w:w="1249" w:type="pct"/>
            <w:vAlign w:val="center"/>
          </w:tcPr>
          <w:p w14:paraId="413654D4"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悬浮物质</w:t>
            </w:r>
          </w:p>
        </w:tc>
        <w:tc>
          <w:tcPr>
            <w:tcW w:w="1914" w:type="pct"/>
            <w:gridSpan w:val="3"/>
            <w:vAlign w:val="center"/>
          </w:tcPr>
          <w:p w14:paraId="5C611CA2"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人为增加的量</w:t>
            </w:r>
            <w:r>
              <w:rPr>
                <w:rFonts w:ascii="Times New Roman" w:eastAsia="宋体" w:hAnsi="Times New Roman" w:cs="Times New Roman"/>
                <w:kern w:val="0"/>
                <w:szCs w:val="21"/>
              </w:rPr>
              <w:t>≤10</w:t>
            </w:r>
          </w:p>
        </w:tc>
        <w:tc>
          <w:tcPr>
            <w:tcW w:w="788" w:type="pct"/>
            <w:vAlign w:val="center"/>
          </w:tcPr>
          <w:p w14:paraId="149467F8"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人为增加的量</w:t>
            </w:r>
            <w:r>
              <w:rPr>
                <w:rFonts w:ascii="Times New Roman" w:eastAsia="宋体" w:hAnsi="Times New Roman" w:cs="Times New Roman"/>
                <w:kern w:val="0"/>
                <w:szCs w:val="21"/>
              </w:rPr>
              <w:t>≤100</w:t>
            </w:r>
          </w:p>
        </w:tc>
        <w:tc>
          <w:tcPr>
            <w:tcW w:w="1049" w:type="pct"/>
            <w:vAlign w:val="center"/>
          </w:tcPr>
          <w:p w14:paraId="1C6544E7"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人为增加的量</w:t>
            </w:r>
            <w:r>
              <w:rPr>
                <w:rFonts w:ascii="Times New Roman" w:eastAsia="宋体" w:hAnsi="Times New Roman" w:cs="Times New Roman"/>
                <w:kern w:val="0"/>
                <w:szCs w:val="21"/>
              </w:rPr>
              <w:t>≤150</w:t>
            </w:r>
          </w:p>
        </w:tc>
      </w:tr>
      <w:tr w:rsidR="002133E3" w14:paraId="12148DC2" w14:textId="77777777">
        <w:trPr>
          <w:trHeight w:val="301"/>
          <w:jc w:val="center"/>
        </w:trPr>
        <w:tc>
          <w:tcPr>
            <w:tcW w:w="1249" w:type="pct"/>
            <w:vAlign w:val="center"/>
          </w:tcPr>
          <w:p w14:paraId="4B620CDD"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水温</w:t>
            </w:r>
            <w:r>
              <w:rPr>
                <w:rFonts w:ascii="Times New Roman" w:eastAsia="宋体" w:hAnsi="Times New Roman" w:cs="Times New Roman"/>
                <w:kern w:val="0"/>
                <w:szCs w:val="21"/>
              </w:rPr>
              <w:t>(</w:t>
            </w:r>
            <w:r>
              <w:rPr>
                <w:rFonts w:ascii="宋体" w:eastAsia="宋体" w:hAnsi="宋体" w:cs="宋体" w:hint="eastAsia"/>
                <w:kern w:val="0"/>
                <w:szCs w:val="21"/>
              </w:rPr>
              <w:t>℃</w:t>
            </w:r>
            <w:r>
              <w:rPr>
                <w:rFonts w:ascii="Times New Roman" w:eastAsia="宋体" w:hAnsi="Times New Roman" w:cs="Times New Roman"/>
                <w:kern w:val="0"/>
                <w:szCs w:val="21"/>
              </w:rPr>
              <w:t>)</w:t>
            </w:r>
          </w:p>
        </w:tc>
        <w:tc>
          <w:tcPr>
            <w:tcW w:w="1914" w:type="pct"/>
            <w:gridSpan w:val="3"/>
            <w:vAlign w:val="center"/>
          </w:tcPr>
          <w:p w14:paraId="0B945C85"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人为造成的海水温升夏季不超过当时当地</w:t>
            </w:r>
            <w:r>
              <w:rPr>
                <w:rFonts w:ascii="Times New Roman" w:eastAsia="宋体" w:hAnsi="Times New Roman" w:cs="Times New Roman"/>
                <w:kern w:val="0"/>
                <w:szCs w:val="21"/>
              </w:rPr>
              <w:t>1</w:t>
            </w:r>
            <w:r>
              <w:rPr>
                <w:rFonts w:ascii="宋体" w:eastAsia="宋体" w:hAnsi="宋体" w:cs="宋体" w:hint="eastAsia"/>
                <w:kern w:val="0"/>
                <w:szCs w:val="21"/>
              </w:rPr>
              <w:t>℃</w:t>
            </w:r>
            <w:r>
              <w:rPr>
                <w:rFonts w:ascii="Times New Roman" w:eastAsia="宋体" w:hAnsi="Times New Roman" w:cs="Times New Roman"/>
                <w:kern w:val="0"/>
                <w:szCs w:val="21"/>
              </w:rPr>
              <w:t>，其它季节不超过</w:t>
            </w:r>
            <w:r>
              <w:rPr>
                <w:rFonts w:ascii="Times New Roman" w:eastAsia="宋体" w:hAnsi="Times New Roman" w:cs="Times New Roman"/>
                <w:kern w:val="0"/>
                <w:szCs w:val="21"/>
              </w:rPr>
              <w:t>2</w:t>
            </w:r>
            <w:r>
              <w:rPr>
                <w:rFonts w:ascii="宋体" w:eastAsia="宋体" w:hAnsi="宋体" w:cs="宋体" w:hint="eastAsia"/>
                <w:kern w:val="0"/>
                <w:szCs w:val="21"/>
              </w:rPr>
              <w:t>℃</w:t>
            </w:r>
          </w:p>
        </w:tc>
        <w:tc>
          <w:tcPr>
            <w:tcW w:w="1837" w:type="pct"/>
            <w:gridSpan w:val="2"/>
            <w:vAlign w:val="center"/>
          </w:tcPr>
          <w:p w14:paraId="55AE12D0"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人为造成的温升夏季不超过当时当地</w:t>
            </w:r>
            <w:r>
              <w:rPr>
                <w:rFonts w:ascii="Times New Roman" w:eastAsia="宋体" w:hAnsi="Times New Roman" w:cs="Times New Roman"/>
                <w:kern w:val="0"/>
                <w:szCs w:val="21"/>
              </w:rPr>
              <w:t>4</w:t>
            </w:r>
            <w:r>
              <w:rPr>
                <w:rFonts w:ascii="宋体" w:eastAsia="宋体" w:hAnsi="宋体" w:cs="宋体" w:hint="eastAsia"/>
                <w:kern w:val="0"/>
                <w:szCs w:val="21"/>
              </w:rPr>
              <w:t>℃</w:t>
            </w:r>
          </w:p>
        </w:tc>
      </w:tr>
      <w:tr w:rsidR="002133E3" w14:paraId="5F5D50AB" w14:textId="77777777">
        <w:trPr>
          <w:trHeight w:val="301"/>
          <w:jc w:val="center"/>
        </w:trPr>
        <w:tc>
          <w:tcPr>
            <w:tcW w:w="1249" w:type="pct"/>
            <w:vAlign w:val="center"/>
          </w:tcPr>
          <w:p w14:paraId="398EF6F0"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pH</w:t>
            </w:r>
          </w:p>
        </w:tc>
        <w:tc>
          <w:tcPr>
            <w:tcW w:w="1914" w:type="pct"/>
            <w:gridSpan w:val="3"/>
            <w:vAlign w:val="center"/>
          </w:tcPr>
          <w:p w14:paraId="3CA41627"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7.8</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8.5 </w:t>
            </w:r>
            <w:r>
              <w:rPr>
                <w:rFonts w:ascii="Times New Roman" w:eastAsia="宋体" w:hAnsi="Times New Roman" w:cs="Times New Roman"/>
                <w:kern w:val="0"/>
                <w:szCs w:val="21"/>
              </w:rPr>
              <w:t>同时不超过该海域正常变动范围的</w:t>
            </w:r>
            <w:r>
              <w:rPr>
                <w:rFonts w:ascii="Times New Roman" w:eastAsia="宋体" w:hAnsi="Times New Roman" w:cs="Times New Roman"/>
                <w:kern w:val="0"/>
                <w:szCs w:val="21"/>
              </w:rPr>
              <w:t>0.2pH</w:t>
            </w:r>
            <w:r>
              <w:rPr>
                <w:rFonts w:ascii="Times New Roman" w:eastAsia="宋体" w:hAnsi="Times New Roman" w:cs="Times New Roman"/>
                <w:kern w:val="0"/>
                <w:szCs w:val="21"/>
              </w:rPr>
              <w:t>单位</w:t>
            </w:r>
          </w:p>
        </w:tc>
        <w:tc>
          <w:tcPr>
            <w:tcW w:w="1837" w:type="pct"/>
            <w:gridSpan w:val="2"/>
            <w:vAlign w:val="center"/>
          </w:tcPr>
          <w:p w14:paraId="7DF29C26"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6.8</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8.8 </w:t>
            </w:r>
            <w:r>
              <w:rPr>
                <w:rFonts w:ascii="Times New Roman" w:eastAsia="宋体" w:hAnsi="Times New Roman" w:cs="Times New Roman"/>
                <w:kern w:val="0"/>
                <w:szCs w:val="21"/>
              </w:rPr>
              <w:t>同时不超过该海域正常变动范围的</w:t>
            </w:r>
            <w:r>
              <w:rPr>
                <w:rFonts w:ascii="Times New Roman" w:eastAsia="宋体" w:hAnsi="Times New Roman" w:cs="Times New Roman"/>
                <w:kern w:val="0"/>
                <w:szCs w:val="21"/>
              </w:rPr>
              <w:t>0.5pH</w:t>
            </w:r>
            <w:r>
              <w:rPr>
                <w:rFonts w:ascii="Times New Roman" w:eastAsia="宋体" w:hAnsi="Times New Roman" w:cs="Times New Roman"/>
                <w:kern w:val="0"/>
                <w:szCs w:val="21"/>
              </w:rPr>
              <w:t>单位</w:t>
            </w:r>
          </w:p>
        </w:tc>
      </w:tr>
      <w:tr w:rsidR="002133E3" w14:paraId="7B557DDA" w14:textId="77777777">
        <w:trPr>
          <w:trHeight w:val="301"/>
          <w:jc w:val="center"/>
        </w:trPr>
        <w:tc>
          <w:tcPr>
            <w:tcW w:w="1249" w:type="pct"/>
            <w:vAlign w:val="center"/>
          </w:tcPr>
          <w:p w14:paraId="19EC9B7F"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溶解氧</w:t>
            </w:r>
            <w:r>
              <w:rPr>
                <w:rFonts w:ascii="Times New Roman" w:eastAsia="宋体" w:hAnsi="Times New Roman" w:cs="Times New Roman"/>
                <w:kern w:val="0"/>
                <w:szCs w:val="21"/>
              </w:rPr>
              <w:t>&gt;</w:t>
            </w:r>
          </w:p>
        </w:tc>
        <w:tc>
          <w:tcPr>
            <w:tcW w:w="669" w:type="pct"/>
            <w:vAlign w:val="center"/>
          </w:tcPr>
          <w:p w14:paraId="251615C7"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245" w:type="pct"/>
            <w:gridSpan w:val="2"/>
            <w:vAlign w:val="center"/>
          </w:tcPr>
          <w:p w14:paraId="5B4E4770"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788" w:type="pct"/>
            <w:vAlign w:val="center"/>
          </w:tcPr>
          <w:p w14:paraId="65176CDA"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049" w:type="pct"/>
            <w:vAlign w:val="center"/>
          </w:tcPr>
          <w:p w14:paraId="4EB7C6E1"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r>
      <w:tr w:rsidR="002133E3" w14:paraId="3B09254C" w14:textId="77777777">
        <w:trPr>
          <w:trHeight w:val="301"/>
          <w:jc w:val="center"/>
        </w:trPr>
        <w:tc>
          <w:tcPr>
            <w:tcW w:w="1249" w:type="pct"/>
            <w:vAlign w:val="center"/>
          </w:tcPr>
          <w:p w14:paraId="19CA056A" w14:textId="77777777" w:rsidR="002133E3" w:rsidRDefault="00C22CFA">
            <w:pPr>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化学需氧量</w:t>
            </w:r>
            <w:r>
              <w:rPr>
                <w:rFonts w:ascii="Times New Roman" w:eastAsia="宋体" w:hAnsi="Times New Roman" w:cs="Times New Roman"/>
                <w:kern w:val="0"/>
                <w:szCs w:val="21"/>
              </w:rPr>
              <w:t>≤</w:t>
            </w:r>
          </w:p>
        </w:tc>
        <w:tc>
          <w:tcPr>
            <w:tcW w:w="669" w:type="pct"/>
            <w:vAlign w:val="center"/>
          </w:tcPr>
          <w:p w14:paraId="763E78AA"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245" w:type="pct"/>
            <w:gridSpan w:val="2"/>
            <w:vAlign w:val="center"/>
          </w:tcPr>
          <w:p w14:paraId="55A804B2"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788" w:type="pct"/>
            <w:vAlign w:val="center"/>
          </w:tcPr>
          <w:p w14:paraId="29C91315"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049" w:type="pct"/>
            <w:vAlign w:val="center"/>
          </w:tcPr>
          <w:p w14:paraId="21EDCE1E"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r>
      <w:tr w:rsidR="002133E3" w14:paraId="35AF751D" w14:textId="77777777">
        <w:trPr>
          <w:trHeight w:val="301"/>
          <w:jc w:val="center"/>
        </w:trPr>
        <w:tc>
          <w:tcPr>
            <w:tcW w:w="1249" w:type="pct"/>
            <w:vAlign w:val="center"/>
          </w:tcPr>
          <w:p w14:paraId="68E8AAA0"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无机氮</w:t>
            </w:r>
            <w:r>
              <w:rPr>
                <w:rFonts w:ascii="Times New Roman" w:eastAsia="宋体" w:hAnsi="Times New Roman" w:cs="Times New Roman"/>
                <w:kern w:val="0"/>
                <w:szCs w:val="21"/>
              </w:rPr>
              <w:t>≤(</w:t>
            </w:r>
            <w:r>
              <w:rPr>
                <w:rFonts w:ascii="Times New Roman" w:eastAsia="宋体" w:hAnsi="Times New Roman" w:cs="Times New Roman"/>
                <w:kern w:val="0"/>
                <w:szCs w:val="21"/>
              </w:rPr>
              <w:t>以</w:t>
            </w:r>
            <w:r>
              <w:rPr>
                <w:rFonts w:ascii="Times New Roman" w:eastAsia="宋体" w:hAnsi="Times New Roman" w:cs="Times New Roman"/>
                <w:kern w:val="0"/>
                <w:szCs w:val="21"/>
              </w:rPr>
              <w:t>N</w:t>
            </w:r>
            <w:r>
              <w:rPr>
                <w:rFonts w:ascii="Times New Roman" w:eastAsia="宋体" w:hAnsi="Times New Roman" w:cs="Times New Roman"/>
                <w:kern w:val="0"/>
                <w:szCs w:val="21"/>
              </w:rPr>
              <w:t>计</w:t>
            </w:r>
            <w:r>
              <w:rPr>
                <w:rFonts w:ascii="Times New Roman" w:eastAsia="宋体" w:hAnsi="Times New Roman" w:cs="Times New Roman"/>
                <w:kern w:val="0"/>
                <w:szCs w:val="21"/>
              </w:rPr>
              <w:t>)</w:t>
            </w:r>
          </w:p>
        </w:tc>
        <w:tc>
          <w:tcPr>
            <w:tcW w:w="669" w:type="pct"/>
            <w:vAlign w:val="center"/>
          </w:tcPr>
          <w:p w14:paraId="40E6AA0C"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0.20</w:t>
            </w:r>
          </w:p>
        </w:tc>
        <w:tc>
          <w:tcPr>
            <w:tcW w:w="1245" w:type="pct"/>
            <w:gridSpan w:val="2"/>
            <w:vAlign w:val="center"/>
          </w:tcPr>
          <w:p w14:paraId="6C1653BE"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0.30</w:t>
            </w:r>
          </w:p>
        </w:tc>
        <w:tc>
          <w:tcPr>
            <w:tcW w:w="788" w:type="pct"/>
            <w:vAlign w:val="center"/>
          </w:tcPr>
          <w:p w14:paraId="2F978182"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0.40</w:t>
            </w:r>
          </w:p>
        </w:tc>
        <w:tc>
          <w:tcPr>
            <w:tcW w:w="1049" w:type="pct"/>
            <w:vAlign w:val="center"/>
          </w:tcPr>
          <w:p w14:paraId="625017D7"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0.50</w:t>
            </w:r>
          </w:p>
        </w:tc>
      </w:tr>
      <w:tr w:rsidR="002133E3" w14:paraId="36CEE5CB" w14:textId="77777777">
        <w:trPr>
          <w:trHeight w:val="301"/>
          <w:jc w:val="center"/>
        </w:trPr>
        <w:tc>
          <w:tcPr>
            <w:tcW w:w="1249" w:type="pct"/>
            <w:vAlign w:val="center"/>
          </w:tcPr>
          <w:p w14:paraId="272CA37E"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活性磷酸盐</w:t>
            </w:r>
            <w:r>
              <w:rPr>
                <w:rFonts w:ascii="Times New Roman" w:eastAsia="宋体" w:hAnsi="Times New Roman" w:cs="Times New Roman"/>
                <w:kern w:val="0"/>
                <w:szCs w:val="21"/>
              </w:rPr>
              <w:t>≤(</w:t>
            </w:r>
            <w:r>
              <w:rPr>
                <w:rFonts w:ascii="Times New Roman" w:eastAsia="宋体" w:hAnsi="Times New Roman" w:cs="Times New Roman"/>
                <w:kern w:val="0"/>
                <w:szCs w:val="21"/>
              </w:rPr>
              <w:t>以</w:t>
            </w:r>
            <w:r>
              <w:rPr>
                <w:rFonts w:ascii="Times New Roman" w:eastAsia="宋体" w:hAnsi="Times New Roman" w:cs="Times New Roman"/>
                <w:kern w:val="0"/>
                <w:szCs w:val="21"/>
              </w:rPr>
              <w:t>P</w:t>
            </w:r>
            <w:r>
              <w:rPr>
                <w:rFonts w:ascii="Times New Roman" w:eastAsia="宋体" w:hAnsi="Times New Roman" w:cs="Times New Roman"/>
                <w:kern w:val="0"/>
                <w:szCs w:val="21"/>
              </w:rPr>
              <w:t>计</w:t>
            </w:r>
            <w:r>
              <w:rPr>
                <w:rFonts w:ascii="Times New Roman" w:eastAsia="宋体" w:hAnsi="Times New Roman" w:cs="Times New Roman"/>
                <w:kern w:val="0"/>
                <w:szCs w:val="21"/>
              </w:rPr>
              <w:t>)</w:t>
            </w:r>
          </w:p>
        </w:tc>
        <w:tc>
          <w:tcPr>
            <w:tcW w:w="669" w:type="pct"/>
            <w:vAlign w:val="center"/>
          </w:tcPr>
          <w:p w14:paraId="7688D6F6"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0.015</w:t>
            </w:r>
          </w:p>
        </w:tc>
        <w:tc>
          <w:tcPr>
            <w:tcW w:w="2033" w:type="pct"/>
            <w:gridSpan w:val="3"/>
            <w:vAlign w:val="center"/>
          </w:tcPr>
          <w:p w14:paraId="7AAB926D"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0.030</w:t>
            </w:r>
          </w:p>
        </w:tc>
        <w:tc>
          <w:tcPr>
            <w:tcW w:w="1049" w:type="pct"/>
            <w:vAlign w:val="center"/>
          </w:tcPr>
          <w:p w14:paraId="231D5191"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0.045</w:t>
            </w:r>
          </w:p>
        </w:tc>
      </w:tr>
      <w:tr w:rsidR="002133E3" w14:paraId="080898D4" w14:textId="77777777">
        <w:trPr>
          <w:trHeight w:val="301"/>
          <w:jc w:val="center"/>
        </w:trPr>
        <w:tc>
          <w:tcPr>
            <w:tcW w:w="1249" w:type="pct"/>
            <w:vAlign w:val="center"/>
          </w:tcPr>
          <w:p w14:paraId="3A52667A"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总汞</w:t>
            </w:r>
            <w:r>
              <w:rPr>
                <w:rFonts w:ascii="Times New Roman" w:eastAsia="宋体" w:hAnsi="Times New Roman" w:cs="Times New Roman"/>
                <w:kern w:val="0"/>
                <w:szCs w:val="21"/>
              </w:rPr>
              <w:t>≤</w:t>
            </w:r>
          </w:p>
        </w:tc>
        <w:tc>
          <w:tcPr>
            <w:tcW w:w="669" w:type="pct"/>
            <w:vAlign w:val="center"/>
          </w:tcPr>
          <w:p w14:paraId="063225F9"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0.00005</w:t>
            </w:r>
          </w:p>
        </w:tc>
        <w:tc>
          <w:tcPr>
            <w:tcW w:w="2033" w:type="pct"/>
            <w:gridSpan w:val="3"/>
            <w:vAlign w:val="center"/>
          </w:tcPr>
          <w:p w14:paraId="4CE77827"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0.0002</w:t>
            </w:r>
          </w:p>
        </w:tc>
        <w:tc>
          <w:tcPr>
            <w:tcW w:w="1049" w:type="pct"/>
            <w:vAlign w:val="center"/>
          </w:tcPr>
          <w:p w14:paraId="66F960EF"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0.0005</w:t>
            </w:r>
          </w:p>
        </w:tc>
      </w:tr>
      <w:tr w:rsidR="002133E3" w14:paraId="702491B4" w14:textId="77777777">
        <w:trPr>
          <w:trHeight w:val="301"/>
          <w:jc w:val="center"/>
        </w:trPr>
        <w:tc>
          <w:tcPr>
            <w:tcW w:w="1249" w:type="pct"/>
            <w:vAlign w:val="center"/>
          </w:tcPr>
          <w:p w14:paraId="4CDBB4FD"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镉</w:t>
            </w:r>
            <w:r>
              <w:rPr>
                <w:rFonts w:ascii="Times New Roman" w:eastAsia="宋体" w:hAnsi="Times New Roman" w:cs="Times New Roman"/>
                <w:kern w:val="0"/>
                <w:szCs w:val="21"/>
              </w:rPr>
              <w:t>≤</w:t>
            </w:r>
          </w:p>
        </w:tc>
        <w:tc>
          <w:tcPr>
            <w:tcW w:w="669" w:type="pct"/>
            <w:vAlign w:val="center"/>
          </w:tcPr>
          <w:p w14:paraId="23BB1BB0"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0.001</w:t>
            </w:r>
          </w:p>
        </w:tc>
        <w:tc>
          <w:tcPr>
            <w:tcW w:w="1245" w:type="pct"/>
            <w:gridSpan w:val="2"/>
            <w:vAlign w:val="center"/>
          </w:tcPr>
          <w:p w14:paraId="5C21F73E"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0.005</w:t>
            </w:r>
          </w:p>
        </w:tc>
        <w:tc>
          <w:tcPr>
            <w:tcW w:w="1837" w:type="pct"/>
            <w:gridSpan w:val="2"/>
            <w:vAlign w:val="center"/>
          </w:tcPr>
          <w:p w14:paraId="1E16EA3B"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0.010</w:t>
            </w:r>
          </w:p>
        </w:tc>
      </w:tr>
      <w:tr w:rsidR="002133E3" w14:paraId="0563B37F" w14:textId="77777777">
        <w:trPr>
          <w:trHeight w:val="301"/>
          <w:jc w:val="center"/>
        </w:trPr>
        <w:tc>
          <w:tcPr>
            <w:tcW w:w="1249" w:type="pct"/>
            <w:vAlign w:val="center"/>
          </w:tcPr>
          <w:p w14:paraId="45F6900A"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铅</w:t>
            </w:r>
            <w:r>
              <w:rPr>
                <w:rFonts w:ascii="Times New Roman" w:eastAsia="宋体" w:hAnsi="Times New Roman" w:cs="Times New Roman"/>
                <w:kern w:val="0"/>
                <w:szCs w:val="21"/>
              </w:rPr>
              <w:t>≤</w:t>
            </w:r>
          </w:p>
        </w:tc>
        <w:tc>
          <w:tcPr>
            <w:tcW w:w="669" w:type="pct"/>
            <w:vAlign w:val="center"/>
          </w:tcPr>
          <w:p w14:paraId="1F00ADF8"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0.001</w:t>
            </w:r>
          </w:p>
        </w:tc>
        <w:tc>
          <w:tcPr>
            <w:tcW w:w="1245" w:type="pct"/>
            <w:gridSpan w:val="2"/>
            <w:vAlign w:val="center"/>
          </w:tcPr>
          <w:p w14:paraId="781ED0DE"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0.005</w:t>
            </w:r>
          </w:p>
        </w:tc>
        <w:tc>
          <w:tcPr>
            <w:tcW w:w="788" w:type="pct"/>
            <w:vAlign w:val="center"/>
          </w:tcPr>
          <w:p w14:paraId="513FC351"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0.010</w:t>
            </w:r>
          </w:p>
        </w:tc>
        <w:tc>
          <w:tcPr>
            <w:tcW w:w="1049" w:type="pct"/>
            <w:vAlign w:val="center"/>
          </w:tcPr>
          <w:p w14:paraId="1634DF35"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0.050</w:t>
            </w:r>
          </w:p>
        </w:tc>
      </w:tr>
      <w:tr w:rsidR="002133E3" w14:paraId="4EB731C2" w14:textId="77777777">
        <w:trPr>
          <w:trHeight w:val="301"/>
          <w:jc w:val="center"/>
        </w:trPr>
        <w:tc>
          <w:tcPr>
            <w:tcW w:w="1249" w:type="pct"/>
            <w:vAlign w:val="center"/>
          </w:tcPr>
          <w:p w14:paraId="5CE9CE4D"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总铬</w:t>
            </w:r>
            <w:r>
              <w:rPr>
                <w:rFonts w:ascii="Times New Roman" w:eastAsia="宋体" w:hAnsi="Times New Roman" w:cs="Times New Roman"/>
                <w:kern w:val="0"/>
                <w:szCs w:val="21"/>
              </w:rPr>
              <w:t>≤</w:t>
            </w:r>
          </w:p>
        </w:tc>
        <w:tc>
          <w:tcPr>
            <w:tcW w:w="669" w:type="pct"/>
            <w:vAlign w:val="center"/>
          </w:tcPr>
          <w:p w14:paraId="109C3E89"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1245" w:type="pct"/>
            <w:gridSpan w:val="2"/>
            <w:vAlign w:val="center"/>
          </w:tcPr>
          <w:p w14:paraId="5517CA16"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0.10</w:t>
            </w:r>
          </w:p>
        </w:tc>
        <w:tc>
          <w:tcPr>
            <w:tcW w:w="788" w:type="pct"/>
            <w:vAlign w:val="center"/>
          </w:tcPr>
          <w:p w14:paraId="0CB0904D"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0.20</w:t>
            </w:r>
          </w:p>
        </w:tc>
        <w:tc>
          <w:tcPr>
            <w:tcW w:w="1049" w:type="pct"/>
            <w:vAlign w:val="center"/>
          </w:tcPr>
          <w:p w14:paraId="6C9C996F"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0.50</w:t>
            </w:r>
          </w:p>
        </w:tc>
      </w:tr>
      <w:tr w:rsidR="002133E3" w14:paraId="15030FEE" w14:textId="77777777">
        <w:trPr>
          <w:trHeight w:val="301"/>
          <w:jc w:val="center"/>
        </w:trPr>
        <w:tc>
          <w:tcPr>
            <w:tcW w:w="1249" w:type="pct"/>
            <w:vAlign w:val="center"/>
          </w:tcPr>
          <w:p w14:paraId="64FCB1D2"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砷</w:t>
            </w:r>
            <w:r>
              <w:rPr>
                <w:rFonts w:ascii="Times New Roman" w:eastAsia="宋体" w:hAnsi="Times New Roman" w:cs="Times New Roman"/>
                <w:kern w:val="0"/>
                <w:szCs w:val="21"/>
              </w:rPr>
              <w:t>≤</w:t>
            </w:r>
          </w:p>
        </w:tc>
        <w:tc>
          <w:tcPr>
            <w:tcW w:w="669" w:type="pct"/>
            <w:vAlign w:val="center"/>
          </w:tcPr>
          <w:p w14:paraId="4D3EB708"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0.020</w:t>
            </w:r>
          </w:p>
        </w:tc>
        <w:tc>
          <w:tcPr>
            <w:tcW w:w="1245" w:type="pct"/>
            <w:gridSpan w:val="2"/>
            <w:vAlign w:val="center"/>
          </w:tcPr>
          <w:p w14:paraId="7A007D67"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0.030</w:t>
            </w:r>
          </w:p>
        </w:tc>
        <w:tc>
          <w:tcPr>
            <w:tcW w:w="1837" w:type="pct"/>
            <w:gridSpan w:val="2"/>
            <w:vAlign w:val="center"/>
          </w:tcPr>
          <w:p w14:paraId="7FD7CDE7"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0.050</w:t>
            </w:r>
          </w:p>
        </w:tc>
      </w:tr>
      <w:tr w:rsidR="002133E3" w14:paraId="0C8CE10F" w14:textId="77777777">
        <w:trPr>
          <w:trHeight w:val="301"/>
          <w:jc w:val="center"/>
        </w:trPr>
        <w:tc>
          <w:tcPr>
            <w:tcW w:w="1249" w:type="pct"/>
            <w:vAlign w:val="center"/>
          </w:tcPr>
          <w:p w14:paraId="3186DE6D"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铜</w:t>
            </w:r>
            <w:r>
              <w:rPr>
                <w:rFonts w:ascii="Times New Roman" w:eastAsia="宋体" w:hAnsi="Times New Roman" w:cs="Times New Roman"/>
                <w:kern w:val="0"/>
                <w:szCs w:val="21"/>
              </w:rPr>
              <w:t>≤</w:t>
            </w:r>
          </w:p>
        </w:tc>
        <w:tc>
          <w:tcPr>
            <w:tcW w:w="669" w:type="pct"/>
            <w:vAlign w:val="center"/>
          </w:tcPr>
          <w:p w14:paraId="1E0FC195"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0.005</w:t>
            </w:r>
          </w:p>
        </w:tc>
        <w:tc>
          <w:tcPr>
            <w:tcW w:w="1245" w:type="pct"/>
            <w:gridSpan w:val="2"/>
            <w:vAlign w:val="center"/>
          </w:tcPr>
          <w:p w14:paraId="5D823DA1"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0.010</w:t>
            </w:r>
          </w:p>
        </w:tc>
        <w:tc>
          <w:tcPr>
            <w:tcW w:w="1837" w:type="pct"/>
            <w:gridSpan w:val="2"/>
            <w:vAlign w:val="center"/>
          </w:tcPr>
          <w:p w14:paraId="688334C9"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0.050</w:t>
            </w:r>
          </w:p>
        </w:tc>
      </w:tr>
      <w:tr w:rsidR="002133E3" w14:paraId="53DD6261" w14:textId="77777777">
        <w:trPr>
          <w:trHeight w:val="301"/>
          <w:jc w:val="center"/>
        </w:trPr>
        <w:tc>
          <w:tcPr>
            <w:tcW w:w="1249" w:type="pct"/>
            <w:vAlign w:val="center"/>
          </w:tcPr>
          <w:p w14:paraId="13A2AE5B"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锌</w:t>
            </w:r>
            <w:r>
              <w:rPr>
                <w:rFonts w:ascii="Times New Roman" w:eastAsia="宋体" w:hAnsi="Times New Roman" w:cs="Times New Roman"/>
                <w:kern w:val="0"/>
                <w:szCs w:val="21"/>
              </w:rPr>
              <w:t>≤</w:t>
            </w:r>
          </w:p>
        </w:tc>
        <w:tc>
          <w:tcPr>
            <w:tcW w:w="669" w:type="pct"/>
            <w:vAlign w:val="center"/>
          </w:tcPr>
          <w:p w14:paraId="63078B7C"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0.020</w:t>
            </w:r>
          </w:p>
        </w:tc>
        <w:tc>
          <w:tcPr>
            <w:tcW w:w="1245" w:type="pct"/>
            <w:gridSpan w:val="2"/>
            <w:vAlign w:val="center"/>
          </w:tcPr>
          <w:p w14:paraId="337EF741"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0.050</w:t>
            </w:r>
          </w:p>
        </w:tc>
        <w:tc>
          <w:tcPr>
            <w:tcW w:w="788" w:type="pct"/>
            <w:vAlign w:val="center"/>
          </w:tcPr>
          <w:p w14:paraId="28E03EF9"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0.10</w:t>
            </w:r>
          </w:p>
        </w:tc>
        <w:tc>
          <w:tcPr>
            <w:tcW w:w="1049" w:type="pct"/>
            <w:vAlign w:val="center"/>
          </w:tcPr>
          <w:p w14:paraId="3DDC9F70"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0.50</w:t>
            </w:r>
          </w:p>
        </w:tc>
      </w:tr>
      <w:tr w:rsidR="002133E3" w14:paraId="6E2666AC" w14:textId="77777777">
        <w:trPr>
          <w:trHeight w:val="301"/>
          <w:jc w:val="center"/>
        </w:trPr>
        <w:tc>
          <w:tcPr>
            <w:tcW w:w="1249" w:type="pct"/>
            <w:vAlign w:val="center"/>
          </w:tcPr>
          <w:p w14:paraId="6F140325"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石油类</w:t>
            </w:r>
            <w:r>
              <w:rPr>
                <w:rFonts w:ascii="Times New Roman" w:eastAsia="宋体" w:hAnsi="Times New Roman" w:cs="Times New Roman"/>
                <w:kern w:val="0"/>
                <w:szCs w:val="21"/>
              </w:rPr>
              <w:t>≤</w:t>
            </w:r>
          </w:p>
        </w:tc>
        <w:tc>
          <w:tcPr>
            <w:tcW w:w="1914" w:type="pct"/>
            <w:gridSpan w:val="3"/>
            <w:vAlign w:val="center"/>
          </w:tcPr>
          <w:p w14:paraId="6DC98F76"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788" w:type="pct"/>
            <w:vAlign w:val="center"/>
          </w:tcPr>
          <w:p w14:paraId="689186CB"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0.30</w:t>
            </w:r>
          </w:p>
        </w:tc>
        <w:tc>
          <w:tcPr>
            <w:tcW w:w="1049" w:type="pct"/>
            <w:vAlign w:val="center"/>
          </w:tcPr>
          <w:p w14:paraId="31ED0D5D"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0.50</w:t>
            </w:r>
          </w:p>
        </w:tc>
      </w:tr>
      <w:tr w:rsidR="002133E3" w14:paraId="0DFD374F" w14:textId="77777777">
        <w:trPr>
          <w:trHeight w:val="301"/>
          <w:jc w:val="center"/>
        </w:trPr>
        <w:tc>
          <w:tcPr>
            <w:tcW w:w="1249" w:type="pct"/>
            <w:vAlign w:val="center"/>
          </w:tcPr>
          <w:p w14:paraId="523DD609"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挥发性酚</w:t>
            </w:r>
            <w:r>
              <w:rPr>
                <w:rFonts w:ascii="Times New Roman" w:eastAsia="宋体" w:hAnsi="Times New Roman" w:cs="Times New Roman"/>
                <w:kern w:val="0"/>
                <w:szCs w:val="21"/>
              </w:rPr>
              <w:t>≤</w:t>
            </w:r>
          </w:p>
        </w:tc>
        <w:tc>
          <w:tcPr>
            <w:tcW w:w="1914" w:type="pct"/>
            <w:gridSpan w:val="3"/>
            <w:vAlign w:val="center"/>
          </w:tcPr>
          <w:p w14:paraId="2948F35C"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0.005</w:t>
            </w:r>
          </w:p>
        </w:tc>
        <w:tc>
          <w:tcPr>
            <w:tcW w:w="788" w:type="pct"/>
            <w:vAlign w:val="center"/>
          </w:tcPr>
          <w:p w14:paraId="6EACCCF6"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0.01</w:t>
            </w:r>
          </w:p>
        </w:tc>
        <w:tc>
          <w:tcPr>
            <w:tcW w:w="1049" w:type="pct"/>
            <w:vAlign w:val="center"/>
          </w:tcPr>
          <w:p w14:paraId="763FF093"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r>
      <w:tr w:rsidR="002133E3" w14:paraId="0A55A8AD" w14:textId="77777777">
        <w:trPr>
          <w:trHeight w:val="301"/>
          <w:jc w:val="center"/>
        </w:trPr>
        <w:tc>
          <w:tcPr>
            <w:tcW w:w="1249" w:type="pct"/>
            <w:vAlign w:val="center"/>
          </w:tcPr>
          <w:p w14:paraId="463F8793" w14:textId="77777777" w:rsidR="002133E3" w:rsidRDefault="00C22CFA">
            <w:pPr>
              <w:widowControl/>
              <w:snapToGrid w:val="0"/>
              <w:ind w:left="105" w:right="105"/>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硫化物</w:t>
            </w:r>
            <w:r>
              <w:rPr>
                <w:rFonts w:ascii="Times New Roman" w:eastAsia="宋体" w:hAnsi="Times New Roman" w:cs="Times New Roman"/>
                <w:kern w:val="0"/>
                <w:szCs w:val="21"/>
              </w:rPr>
              <w:t>≤(</w:t>
            </w:r>
            <w:r>
              <w:rPr>
                <w:rFonts w:ascii="Times New Roman" w:eastAsia="宋体" w:hAnsi="Times New Roman" w:cs="Times New Roman"/>
                <w:kern w:val="0"/>
                <w:szCs w:val="21"/>
              </w:rPr>
              <w:t>以</w:t>
            </w:r>
            <w:r>
              <w:rPr>
                <w:rFonts w:ascii="Times New Roman" w:eastAsia="宋体" w:hAnsi="Times New Roman" w:cs="Times New Roman"/>
                <w:kern w:val="0"/>
                <w:szCs w:val="21"/>
              </w:rPr>
              <w:t>S</w:t>
            </w:r>
            <w:r>
              <w:rPr>
                <w:rFonts w:ascii="Times New Roman" w:eastAsia="宋体" w:hAnsi="Times New Roman" w:cs="Times New Roman"/>
                <w:kern w:val="0"/>
                <w:szCs w:val="21"/>
              </w:rPr>
              <w:t>计</w:t>
            </w:r>
            <w:r>
              <w:rPr>
                <w:rFonts w:ascii="Times New Roman" w:eastAsia="宋体" w:hAnsi="Times New Roman" w:cs="Times New Roman"/>
                <w:kern w:val="0"/>
                <w:szCs w:val="21"/>
              </w:rPr>
              <w:t>)</w:t>
            </w:r>
          </w:p>
        </w:tc>
        <w:tc>
          <w:tcPr>
            <w:tcW w:w="844" w:type="pct"/>
            <w:gridSpan w:val="2"/>
            <w:vAlign w:val="center"/>
          </w:tcPr>
          <w:p w14:paraId="0E40DCE2"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0.02</w:t>
            </w:r>
          </w:p>
        </w:tc>
        <w:tc>
          <w:tcPr>
            <w:tcW w:w="1070" w:type="pct"/>
            <w:vAlign w:val="center"/>
          </w:tcPr>
          <w:p w14:paraId="696692B4"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788" w:type="pct"/>
            <w:vAlign w:val="center"/>
          </w:tcPr>
          <w:p w14:paraId="1F1703F8"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0.10</w:t>
            </w:r>
          </w:p>
        </w:tc>
        <w:tc>
          <w:tcPr>
            <w:tcW w:w="1049" w:type="pct"/>
            <w:vAlign w:val="center"/>
          </w:tcPr>
          <w:p w14:paraId="51000F3E" w14:textId="77777777" w:rsidR="002133E3" w:rsidRDefault="00C22CFA">
            <w:pPr>
              <w:widowControl/>
              <w:snapToGrid w:val="0"/>
              <w:ind w:left="105"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0.25</w:t>
            </w:r>
          </w:p>
        </w:tc>
      </w:tr>
    </w:tbl>
    <w:p w14:paraId="13349E9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地下水环境</w:t>
      </w:r>
    </w:p>
    <w:p w14:paraId="64B49AA2"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地下水按《地下水质量标准》</w:t>
      </w:r>
      <w:r>
        <w:rPr>
          <w:rFonts w:ascii="Times New Roman" w:eastAsia="宋体" w:hAnsi="Times New Roman" w:cs="Times New Roman"/>
          <w:sz w:val="28"/>
          <w:szCs w:val="28"/>
        </w:rPr>
        <w:t>(GB/T14848-2017)</w:t>
      </w:r>
      <w:r>
        <w:rPr>
          <w:rFonts w:ascii="Times New Roman" w:eastAsia="宋体" w:hAnsi="Times New Roman" w:cs="Times New Roman"/>
          <w:kern w:val="0"/>
          <w:sz w:val="28"/>
          <w:szCs w:val="28"/>
        </w:rPr>
        <w:t>进行分类评价，主要指标见表</w:t>
      </w:r>
      <w:r>
        <w:rPr>
          <w:rFonts w:ascii="Times New Roman" w:eastAsia="宋体" w:hAnsi="Times New Roman" w:cs="Times New Roman"/>
          <w:kern w:val="0"/>
          <w:sz w:val="28"/>
          <w:szCs w:val="28"/>
        </w:rPr>
        <w:t>2.7-4</w:t>
      </w:r>
      <w:r>
        <w:rPr>
          <w:rFonts w:ascii="Times New Roman" w:eastAsia="宋体" w:hAnsi="Times New Roman" w:cs="Times New Roman"/>
          <w:kern w:val="0"/>
          <w:sz w:val="28"/>
          <w:szCs w:val="28"/>
        </w:rPr>
        <w:t>。</w:t>
      </w:r>
    </w:p>
    <w:p w14:paraId="7F9D3741" w14:textId="77777777" w:rsidR="002133E3" w:rsidRDefault="00C22CFA">
      <w:pPr>
        <w:spacing w:line="520" w:lineRule="exact"/>
        <w:jc w:val="center"/>
        <w:rPr>
          <w:rFonts w:ascii="Times New Roman" w:eastAsia="宋体" w:hAnsi="Times New Roman" w:cs="Times New Roman"/>
          <w:b/>
          <w:bCs/>
          <w:szCs w:val="16"/>
        </w:rPr>
      </w:pPr>
      <w:r>
        <w:rPr>
          <w:rFonts w:ascii="Times New Roman" w:eastAsia="宋体" w:hAnsi="Times New Roman" w:cs="Times New Roman"/>
          <w:b/>
          <w:bCs/>
          <w:szCs w:val="16"/>
        </w:rPr>
        <w:t>表</w:t>
      </w:r>
      <w:r>
        <w:rPr>
          <w:rFonts w:ascii="Times New Roman" w:eastAsia="宋体" w:hAnsi="Times New Roman" w:cs="Times New Roman"/>
          <w:b/>
          <w:bCs/>
          <w:szCs w:val="16"/>
        </w:rPr>
        <w:t xml:space="preserve">2.7-4   </w:t>
      </w:r>
      <w:r>
        <w:rPr>
          <w:rFonts w:ascii="Times New Roman" w:eastAsia="宋体" w:hAnsi="Times New Roman" w:cs="Times New Roman"/>
          <w:b/>
          <w:bCs/>
          <w:szCs w:val="16"/>
        </w:rPr>
        <w:t>部分地下水质量分类标准值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7"/>
        <w:gridCol w:w="910"/>
        <w:gridCol w:w="1235"/>
        <w:gridCol w:w="1220"/>
        <w:gridCol w:w="1068"/>
        <w:gridCol w:w="1675"/>
        <w:gridCol w:w="1516"/>
      </w:tblGrid>
      <w:tr w:rsidR="002133E3" w14:paraId="47DD280E" w14:textId="77777777">
        <w:trPr>
          <w:trHeight w:val="20"/>
          <w:jc w:val="center"/>
        </w:trPr>
        <w:tc>
          <w:tcPr>
            <w:tcW w:w="2117" w:type="dxa"/>
            <w:vMerge w:val="restart"/>
            <w:vAlign w:val="center"/>
          </w:tcPr>
          <w:p w14:paraId="4D5DA2DC"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监测项目</w:t>
            </w:r>
          </w:p>
        </w:tc>
        <w:tc>
          <w:tcPr>
            <w:tcW w:w="910" w:type="dxa"/>
            <w:vMerge w:val="restart"/>
            <w:vAlign w:val="center"/>
          </w:tcPr>
          <w:p w14:paraId="1C3DC1A4"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单位</w:t>
            </w:r>
          </w:p>
        </w:tc>
        <w:tc>
          <w:tcPr>
            <w:tcW w:w="6714" w:type="dxa"/>
            <w:gridSpan w:val="5"/>
            <w:vAlign w:val="center"/>
          </w:tcPr>
          <w:p w14:paraId="083A83C1"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标准值</w:t>
            </w:r>
          </w:p>
        </w:tc>
      </w:tr>
      <w:tr w:rsidR="002133E3" w14:paraId="13553C7C" w14:textId="77777777">
        <w:trPr>
          <w:trHeight w:val="20"/>
          <w:jc w:val="center"/>
        </w:trPr>
        <w:tc>
          <w:tcPr>
            <w:tcW w:w="2117" w:type="dxa"/>
            <w:vMerge/>
            <w:vAlign w:val="center"/>
          </w:tcPr>
          <w:p w14:paraId="0A56699F" w14:textId="77777777" w:rsidR="002133E3" w:rsidRDefault="002133E3">
            <w:pPr>
              <w:jc w:val="center"/>
              <w:rPr>
                <w:rFonts w:ascii="Times New Roman" w:eastAsia="宋体" w:hAnsi="Times New Roman" w:cs="Times New Roman"/>
                <w:b/>
                <w:szCs w:val="21"/>
              </w:rPr>
            </w:pPr>
          </w:p>
        </w:tc>
        <w:tc>
          <w:tcPr>
            <w:tcW w:w="910" w:type="dxa"/>
            <w:vMerge/>
            <w:vAlign w:val="center"/>
          </w:tcPr>
          <w:p w14:paraId="301EA5A5" w14:textId="77777777" w:rsidR="002133E3" w:rsidRDefault="002133E3">
            <w:pPr>
              <w:jc w:val="center"/>
              <w:rPr>
                <w:rFonts w:ascii="Times New Roman" w:eastAsia="宋体" w:hAnsi="Times New Roman" w:cs="Times New Roman"/>
                <w:b/>
                <w:szCs w:val="21"/>
              </w:rPr>
            </w:pPr>
          </w:p>
        </w:tc>
        <w:tc>
          <w:tcPr>
            <w:tcW w:w="1235" w:type="dxa"/>
            <w:vAlign w:val="center"/>
          </w:tcPr>
          <w:p w14:paraId="22C57D37" w14:textId="77777777" w:rsidR="002133E3" w:rsidRDefault="00C22CFA">
            <w:pPr>
              <w:jc w:val="center"/>
              <w:rPr>
                <w:rFonts w:ascii="Times New Roman" w:eastAsia="宋体" w:hAnsi="Times New Roman" w:cs="Times New Roman"/>
                <w:b/>
                <w:szCs w:val="21"/>
              </w:rPr>
            </w:pPr>
            <w:r>
              <w:rPr>
                <w:rFonts w:ascii="宋体" w:eastAsia="宋体" w:hAnsi="宋体" w:cs="宋体" w:hint="eastAsia"/>
                <w:b/>
                <w:szCs w:val="21"/>
              </w:rPr>
              <w:t>Ⅰ</w:t>
            </w:r>
            <w:r>
              <w:rPr>
                <w:rFonts w:ascii="Times New Roman" w:eastAsia="宋体" w:hAnsi="Times New Roman" w:cs="Times New Roman"/>
                <w:b/>
                <w:szCs w:val="21"/>
              </w:rPr>
              <w:t>类</w:t>
            </w:r>
          </w:p>
        </w:tc>
        <w:tc>
          <w:tcPr>
            <w:tcW w:w="1220" w:type="dxa"/>
          </w:tcPr>
          <w:p w14:paraId="0D616B65" w14:textId="77777777" w:rsidR="002133E3" w:rsidRDefault="00C22CFA">
            <w:pPr>
              <w:jc w:val="center"/>
              <w:rPr>
                <w:rFonts w:ascii="Times New Roman" w:eastAsia="宋体" w:hAnsi="Times New Roman" w:cs="Times New Roman"/>
                <w:b/>
                <w:szCs w:val="21"/>
              </w:rPr>
            </w:pPr>
            <w:r>
              <w:rPr>
                <w:rFonts w:ascii="宋体" w:eastAsia="宋体" w:hAnsi="宋体" w:cs="宋体" w:hint="eastAsia"/>
                <w:b/>
                <w:szCs w:val="21"/>
              </w:rPr>
              <w:t>Ⅱ</w:t>
            </w:r>
            <w:r>
              <w:rPr>
                <w:rFonts w:ascii="Times New Roman" w:eastAsia="宋体" w:hAnsi="Times New Roman" w:cs="Times New Roman"/>
                <w:b/>
                <w:szCs w:val="21"/>
              </w:rPr>
              <w:t>类</w:t>
            </w:r>
          </w:p>
        </w:tc>
        <w:tc>
          <w:tcPr>
            <w:tcW w:w="1068" w:type="dxa"/>
          </w:tcPr>
          <w:p w14:paraId="6D61AEF2" w14:textId="77777777" w:rsidR="002133E3" w:rsidRDefault="00C22CFA">
            <w:pPr>
              <w:jc w:val="center"/>
              <w:rPr>
                <w:rFonts w:ascii="Times New Roman" w:eastAsia="宋体" w:hAnsi="Times New Roman" w:cs="Times New Roman"/>
                <w:b/>
                <w:szCs w:val="21"/>
              </w:rPr>
            </w:pPr>
            <w:r>
              <w:rPr>
                <w:rFonts w:ascii="宋体" w:eastAsia="宋体" w:hAnsi="宋体" w:cs="宋体" w:hint="eastAsia"/>
                <w:b/>
                <w:szCs w:val="21"/>
              </w:rPr>
              <w:t>Ⅲ</w:t>
            </w:r>
            <w:r>
              <w:rPr>
                <w:rFonts w:ascii="Times New Roman" w:eastAsia="宋体" w:hAnsi="Times New Roman" w:cs="Times New Roman"/>
                <w:b/>
                <w:szCs w:val="21"/>
              </w:rPr>
              <w:t>类</w:t>
            </w:r>
          </w:p>
        </w:tc>
        <w:tc>
          <w:tcPr>
            <w:tcW w:w="1675" w:type="dxa"/>
          </w:tcPr>
          <w:p w14:paraId="57816F07" w14:textId="77777777" w:rsidR="002133E3" w:rsidRDefault="00C22CFA">
            <w:pPr>
              <w:jc w:val="center"/>
              <w:rPr>
                <w:rFonts w:ascii="Times New Roman" w:eastAsia="宋体" w:hAnsi="Times New Roman" w:cs="Times New Roman"/>
                <w:b/>
                <w:szCs w:val="21"/>
              </w:rPr>
            </w:pPr>
            <w:r>
              <w:rPr>
                <w:rFonts w:ascii="宋体" w:eastAsia="宋体" w:hAnsi="宋体" w:cs="宋体" w:hint="eastAsia"/>
                <w:b/>
                <w:szCs w:val="21"/>
              </w:rPr>
              <w:t>Ⅳ</w:t>
            </w:r>
            <w:r>
              <w:rPr>
                <w:rFonts w:ascii="Times New Roman" w:eastAsia="宋体" w:hAnsi="Times New Roman" w:cs="Times New Roman"/>
                <w:b/>
                <w:szCs w:val="21"/>
              </w:rPr>
              <w:t>类</w:t>
            </w:r>
          </w:p>
        </w:tc>
        <w:tc>
          <w:tcPr>
            <w:tcW w:w="1516" w:type="dxa"/>
            <w:vAlign w:val="center"/>
          </w:tcPr>
          <w:p w14:paraId="1B8D35CA" w14:textId="77777777" w:rsidR="002133E3" w:rsidRDefault="00C22CFA">
            <w:pPr>
              <w:jc w:val="center"/>
              <w:rPr>
                <w:rFonts w:ascii="Times New Roman" w:eastAsia="宋体" w:hAnsi="Times New Roman" w:cs="Times New Roman"/>
                <w:b/>
                <w:szCs w:val="21"/>
              </w:rPr>
            </w:pPr>
            <w:r>
              <w:rPr>
                <w:rFonts w:ascii="宋体" w:eastAsia="宋体" w:hAnsi="宋体" w:cs="宋体" w:hint="eastAsia"/>
                <w:b/>
                <w:szCs w:val="21"/>
              </w:rPr>
              <w:t>Ⅴ</w:t>
            </w:r>
            <w:r>
              <w:rPr>
                <w:rFonts w:ascii="Times New Roman" w:eastAsia="宋体" w:hAnsi="Times New Roman" w:cs="Times New Roman"/>
                <w:b/>
                <w:szCs w:val="21"/>
              </w:rPr>
              <w:t>类</w:t>
            </w:r>
          </w:p>
        </w:tc>
      </w:tr>
      <w:tr w:rsidR="002133E3" w14:paraId="7A3AE0C7" w14:textId="77777777">
        <w:trPr>
          <w:trHeight w:val="20"/>
          <w:jc w:val="center"/>
        </w:trPr>
        <w:tc>
          <w:tcPr>
            <w:tcW w:w="9741" w:type="dxa"/>
            <w:gridSpan w:val="7"/>
            <w:vAlign w:val="center"/>
          </w:tcPr>
          <w:p w14:paraId="47FE1A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感官性状及一般化学指标</w:t>
            </w:r>
          </w:p>
        </w:tc>
      </w:tr>
      <w:tr w:rsidR="002133E3" w14:paraId="1C48EA06" w14:textId="77777777">
        <w:trPr>
          <w:trHeight w:val="20"/>
          <w:jc w:val="center"/>
        </w:trPr>
        <w:tc>
          <w:tcPr>
            <w:tcW w:w="2117" w:type="dxa"/>
            <w:vAlign w:val="center"/>
          </w:tcPr>
          <w:p w14:paraId="3FCE33F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pH</w:t>
            </w:r>
            <w:r>
              <w:rPr>
                <w:rFonts w:ascii="Times New Roman" w:eastAsia="宋体" w:hAnsi="Times New Roman" w:cs="Times New Roman"/>
                <w:szCs w:val="21"/>
              </w:rPr>
              <w:t>值</w:t>
            </w:r>
          </w:p>
        </w:tc>
        <w:tc>
          <w:tcPr>
            <w:tcW w:w="910" w:type="dxa"/>
            <w:vAlign w:val="center"/>
          </w:tcPr>
          <w:p w14:paraId="64AD814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无量纲</w:t>
            </w:r>
          </w:p>
        </w:tc>
        <w:tc>
          <w:tcPr>
            <w:tcW w:w="3523" w:type="dxa"/>
            <w:gridSpan w:val="3"/>
            <w:vAlign w:val="center"/>
          </w:tcPr>
          <w:p w14:paraId="6F461B4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6.5-8.5</w:t>
            </w:r>
          </w:p>
        </w:tc>
        <w:tc>
          <w:tcPr>
            <w:tcW w:w="1675" w:type="dxa"/>
            <w:vAlign w:val="center"/>
          </w:tcPr>
          <w:p w14:paraId="6F911E0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5.5-6.5,8.5-9</w:t>
            </w:r>
          </w:p>
        </w:tc>
        <w:tc>
          <w:tcPr>
            <w:tcW w:w="1516" w:type="dxa"/>
            <w:vAlign w:val="center"/>
          </w:tcPr>
          <w:p w14:paraId="2D39C50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5.5</w:t>
            </w:r>
            <w:r>
              <w:rPr>
                <w:rFonts w:ascii="Times New Roman" w:eastAsia="宋体" w:hAnsi="Times New Roman" w:cs="Times New Roman"/>
                <w:szCs w:val="21"/>
              </w:rPr>
              <w:t>，＞</w:t>
            </w:r>
            <w:r>
              <w:rPr>
                <w:rFonts w:ascii="Times New Roman" w:eastAsia="宋体" w:hAnsi="Times New Roman" w:cs="Times New Roman"/>
                <w:szCs w:val="21"/>
              </w:rPr>
              <w:t>9</w:t>
            </w:r>
          </w:p>
        </w:tc>
      </w:tr>
      <w:tr w:rsidR="002133E3" w14:paraId="56A2CF9B" w14:textId="77777777">
        <w:trPr>
          <w:trHeight w:val="20"/>
          <w:jc w:val="center"/>
        </w:trPr>
        <w:tc>
          <w:tcPr>
            <w:tcW w:w="2117" w:type="dxa"/>
            <w:vAlign w:val="center"/>
          </w:tcPr>
          <w:p w14:paraId="3446B66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总硬度</w:t>
            </w:r>
          </w:p>
        </w:tc>
        <w:tc>
          <w:tcPr>
            <w:tcW w:w="910" w:type="dxa"/>
            <w:vAlign w:val="center"/>
          </w:tcPr>
          <w:p w14:paraId="17D07F8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34B976B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1220" w:type="dxa"/>
            <w:vAlign w:val="center"/>
          </w:tcPr>
          <w:p w14:paraId="4A0D5E4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≤300</w:t>
            </w:r>
          </w:p>
        </w:tc>
        <w:tc>
          <w:tcPr>
            <w:tcW w:w="1068" w:type="dxa"/>
            <w:vAlign w:val="center"/>
          </w:tcPr>
          <w:p w14:paraId="7DE651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≤450</w:t>
            </w:r>
          </w:p>
        </w:tc>
        <w:tc>
          <w:tcPr>
            <w:tcW w:w="1675" w:type="dxa"/>
            <w:vAlign w:val="center"/>
          </w:tcPr>
          <w:p w14:paraId="07D4BD2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≤650</w:t>
            </w:r>
          </w:p>
        </w:tc>
        <w:tc>
          <w:tcPr>
            <w:tcW w:w="1516" w:type="dxa"/>
            <w:vAlign w:val="center"/>
          </w:tcPr>
          <w:p w14:paraId="0768B2D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650</w:t>
            </w:r>
          </w:p>
        </w:tc>
      </w:tr>
      <w:tr w:rsidR="002133E3" w14:paraId="2B265113" w14:textId="77777777">
        <w:trPr>
          <w:trHeight w:val="20"/>
          <w:jc w:val="center"/>
        </w:trPr>
        <w:tc>
          <w:tcPr>
            <w:tcW w:w="2117" w:type="dxa"/>
            <w:vAlign w:val="center"/>
          </w:tcPr>
          <w:p w14:paraId="3F0348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溶解性总固体</w:t>
            </w:r>
          </w:p>
        </w:tc>
        <w:tc>
          <w:tcPr>
            <w:tcW w:w="910" w:type="dxa"/>
            <w:vAlign w:val="center"/>
          </w:tcPr>
          <w:p w14:paraId="7C0C8BA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085591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≤300</w:t>
            </w:r>
          </w:p>
        </w:tc>
        <w:tc>
          <w:tcPr>
            <w:tcW w:w="1220" w:type="dxa"/>
            <w:vAlign w:val="center"/>
          </w:tcPr>
          <w:p w14:paraId="55B433E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≤500</w:t>
            </w:r>
          </w:p>
        </w:tc>
        <w:tc>
          <w:tcPr>
            <w:tcW w:w="1068" w:type="dxa"/>
            <w:vAlign w:val="center"/>
          </w:tcPr>
          <w:p w14:paraId="7D3710B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≤1000</w:t>
            </w:r>
          </w:p>
        </w:tc>
        <w:tc>
          <w:tcPr>
            <w:tcW w:w="1675" w:type="dxa"/>
            <w:vAlign w:val="center"/>
          </w:tcPr>
          <w:p w14:paraId="4488E50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≤2000</w:t>
            </w:r>
          </w:p>
        </w:tc>
        <w:tc>
          <w:tcPr>
            <w:tcW w:w="1516" w:type="dxa"/>
            <w:vAlign w:val="center"/>
          </w:tcPr>
          <w:p w14:paraId="52C6AEA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2000</w:t>
            </w:r>
          </w:p>
        </w:tc>
      </w:tr>
      <w:tr w:rsidR="002133E3" w14:paraId="6A6AD4B7" w14:textId="77777777">
        <w:trPr>
          <w:trHeight w:val="20"/>
          <w:jc w:val="center"/>
        </w:trPr>
        <w:tc>
          <w:tcPr>
            <w:tcW w:w="2117" w:type="dxa"/>
            <w:vAlign w:val="center"/>
          </w:tcPr>
          <w:p w14:paraId="7800FFA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硫酸盐</w:t>
            </w:r>
          </w:p>
        </w:tc>
        <w:tc>
          <w:tcPr>
            <w:tcW w:w="910" w:type="dxa"/>
            <w:vAlign w:val="center"/>
          </w:tcPr>
          <w:p w14:paraId="595D450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6A2EB5F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w:t>
            </w:r>
          </w:p>
        </w:tc>
        <w:tc>
          <w:tcPr>
            <w:tcW w:w="1220" w:type="dxa"/>
            <w:vAlign w:val="center"/>
          </w:tcPr>
          <w:p w14:paraId="1D08F34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1068" w:type="dxa"/>
            <w:vAlign w:val="center"/>
          </w:tcPr>
          <w:p w14:paraId="7B696CA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≤250</w:t>
            </w:r>
          </w:p>
        </w:tc>
        <w:tc>
          <w:tcPr>
            <w:tcW w:w="1675" w:type="dxa"/>
            <w:vAlign w:val="center"/>
          </w:tcPr>
          <w:p w14:paraId="167AA45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≤350</w:t>
            </w:r>
          </w:p>
        </w:tc>
        <w:tc>
          <w:tcPr>
            <w:tcW w:w="1516" w:type="dxa"/>
            <w:vAlign w:val="center"/>
          </w:tcPr>
          <w:p w14:paraId="79FFEE6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350</w:t>
            </w:r>
          </w:p>
        </w:tc>
      </w:tr>
      <w:tr w:rsidR="002133E3" w14:paraId="0DBD1424" w14:textId="77777777">
        <w:trPr>
          <w:trHeight w:val="20"/>
          <w:jc w:val="center"/>
        </w:trPr>
        <w:tc>
          <w:tcPr>
            <w:tcW w:w="2117" w:type="dxa"/>
            <w:vAlign w:val="center"/>
          </w:tcPr>
          <w:p w14:paraId="1F6F59E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氯化物</w:t>
            </w:r>
          </w:p>
        </w:tc>
        <w:tc>
          <w:tcPr>
            <w:tcW w:w="910" w:type="dxa"/>
            <w:vAlign w:val="center"/>
          </w:tcPr>
          <w:p w14:paraId="0DD8E29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54787A8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w:t>
            </w:r>
          </w:p>
        </w:tc>
        <w:tc>
          <w:tcPr>
            <w:tcW w:w="1220" w:type="dxa"/>
            <w:vAlign w:val="center"/>
          </w:tcPr>
          <w:p w14:paraId="2D00E9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1068" w:type="dxa"/>
            <w:vAlign w:val="center"/>
          </w:tcPr>
          <w:p w14:paraId="1705F66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≤250</w:t>
            </w:r>
          </w:p>
        </w:tc>
        <w:tc>
          <w:tcPr>
            <w:tcW w:w="1675" w:type="dxa"/>
            <w:vAlign w:val="center"/>
          </w:tcPr>
          <w:p w14:paraId="5ACA577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≤350</w:t>
            </w:r>
          </w:p>
        </w:tc>
        <w:tc>
          <w:tcPr>
            <w:tcW w:w="1516" w:type="dxa"/>
            <w:vAlign w:val="center"/>
          </w:tcPr>
          <w:p w14:paraId="1F8A0A6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350</w:t>
            </w:r>
          </w:p>
        </w:tc>
      </w:tr>
      <w:tr w:rsidR="002133E3" w14:paraId="69056AF0" w14:textId="77777777">
        <w:trPr>
          <w:trHeight w:val="20"/>
          <w:jc w:val="center"/>
        </w:trPr>
        <w:tc>
          <w:tcPr>
            <w:tcW w:w="2117" w:type="dxa"/>
            <w:vAlign w:val="center"/>
          </w:tcPr>
          <w:p w14:paraId="29BA67F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铁</w:t>
            </w:r>
          </w:p>
        </w:tc>
        <w:tc>
          <w:tcPr>
            <w:tcW w:w="910" w:type="dxa"/>
            <w:vAlign w:val="center"/>
          </w:tcPr>
          <w:p w14:paraId="6F32719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7D3CEDB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1220" w:type="dxa"/>
            <w:vAlign w:val="center"/>
          </w:tcPr>
          <w:p w14:paraId="2579994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 2</w:t>
            </w:r>
          </w:p>
        </w:tc>
        <w:tc>
          <w:tcPr>
            <w:tcW w:w="1068" w:type="dxa"/>
            <w:vAlign w:val="center"/>
          </w:tcPr>
          <w:p w14:paraId="44F9C0A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≤0.3</w:t>
            </w:r>
          </w:p>
        </w:tc>
        <w:tc>
          <w:tcPr>
            <w:tcW w:w="1675" w:type="dxa"/>
            <w:vAlign w:val="center"/>
          </w:tcPr>
          <w:p w14:paraId="3C60F00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1516" w:type="dxa"/>
            <w:vAlign w:val="center"/>
          </w:tcPr>
          <w:p w14:paraId="6DE443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2.0</w:t>
            </w:r>
          </w:p>
        </w:tc>
      </w:tr>
      <w:tr w:rsidR="002133E3" w14:paraId="21BFC386" w14:textId="77777777">
        <w:trPr>
          <w:trHeight w:val="20"/>
          <w:jc w:val="center"/>
        </w:trPr>
        <w:tc>
          <w:tcPr>
            <w:tcW w:w="2117" w:type="dxa"/>
            <w:vAlign w:val="center"/>
          </w:tcPr>
          <w:p w14:paraId="0FE4556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锰</w:t>
            </w:r>
          </w:p>
        </w:tc>
        <w:tc>
          <w:tcPr>
            <w:tcW w:w="910" w:type="dxa"/>
            <w:vAlign w:val="center"/>
          </w:tcPr>
          <w:p w14:paraId="45AE011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3F6C24D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220" w:type="dxa"/>
            <w:vAlign w:val="center"/>
          </w:tcPr>
          <w:p w14:paraId="32CF593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068" w:type="dxa"/>
            <w:vAlign w:val="center"/>
          </w:tcPr>
          <w:p w14:paraId="579ED43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≤0.10</w:t>
            </w:r>
          </w:p>
        </w:tc>
        <w:tc>
          <w:tcPr>
            <w:tcW w:w="1675" w:type="dxa"/>
            <w:vAlign w:val="center"/>
          </w:tcPr>
          <w:p w14:paraId="0340537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1516" w:type="dxa"/>
            <w:vAlign w:val="center"/>
          </w:tcPr>
          <w:p w14:paraId="55CFD8D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1.50</w:t>
            </w:r>
          </w:p>
        </w:tc>
      </w:tr>
      <w:tr w:rsidR="002133E3" w14:paraId="78DABCEC" w14:textId="77777777">
        <w:trPr>
          <w:trHeight w:val="20"/>
          <w:jc w:val="center"/>
        </w:trPr>
        <w:tc>
          <w:tcPr>
            <w:tcW w:w="2117" w:type="dxa"/>
            <w:vAlign w:val="center"/>
          </w:tcPr>
          <w:p w14:paraId="54BCB45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铜</w:t>
            </w:r>
          </w:p>
        </w:tc>
        <w:tc>
          <w:tcPr>
            <w:tcW w:w="910" w:type="dxa"/>
            <w:vAlign w:val="center"/>
          </w:tcPr>
          <w:p w14:paraId="66600E9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0E1D1A5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220" w:type="dxa"/>
            <w:vAlign w:val="center"/>
          </w:tcPr>
          <w:p w14:paraId="0D8840C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068" w:type="dxa"/>
            <w:vAlign w:val="center"/>
          </w:tcPr>
          <w:p w14:paraId="3F296BC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1675" w:type="dxa"/>
            <w:vAlign w:val="center"/>
          </w:tcPr>
          <w:p w14:paraId="3318A38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1516" w:type="dxa"/>
            <w:vAlign w:val="center"/>
          </w:tcPr>
          <w:p w14:paraId="53477ED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1.50</w:t>
            </w:r>
          </w:p>
        </w:tc>
      </w:tr>
      <w:tr w:rsidR="002133E3" w14:paraId="31E8BD00" w14:textId="77777777">
        <w:trPr>
          <w:trHeight w:val="20"/>
          <w:jc w:val="center"/>
        </w:trPr>
        <w:tc>
          <w:tcPr>
            <w:tcW w:w="2117" w:type="dxa"/>
            <w:vAlign w:val="center"/>
          </w:tcPr>
          <w:p w14:paraId="7A8EA55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锌</w:t>
            </w:r>
          </w:p>
        </w:tc>
        <w:tc>
          <w:tcPr>
            <w:tcW w:w="910" w:type="dxa"/>
            <w:vAlign w:val="center"/>
          </w:tcPr>
          <w:p w14:paraId="4D6AD5E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169CAEC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220" w:type="dxa"/>
            <w:vAlign w:val="center"/>
          </w:tcPr>
          <w:p w14:paraId="13EAA49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≤0.5</w:t>
            </w:r>
          </w:p>
        </w:tc>
        <w:tc>
          <w:tcPr>
            <w:tcW w:w="1068" w:type="dxa"/>
            <w:vAlign w:val="center"/>
          </w:tcPr>
          <w:p w14:paraId="2BB8546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1675" w:type="dxa"/>
            <w:vAlign w:val="center"/>
          </w:tcPr>
          <w:p w14:paraId="598B95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≤5.00</w:t>
            </w:r>
          </w:p>
        </w:tc>
        <w:tc>
          <w:tcPr>
            <w:tcW w:w="1516" w:type="dxa"/>
            <w:vAlign w:val="center"/>
          </w:tcPr>
          <w:p w14:paraId="5B00347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5.00</w:t>
            </w:r>
          </w:p>
        </w:tc>
      </w:tr>
      <w:tr w:rsidR="002133E3" w14:paraId="3ECF483D" w14:textId="77777777">
        <w:trPr>
          <w:trHeight w:val="20"/>
          <w:jc w:val="center"/>
        </w:trPr>
        <w:tc>
          <w:tcPr>
            <w:tcW w:w="2117" w:type="dxa"/>
            <w:vAlign w:val="center"/>
          </w:tcPr>
          <w:p w14:paraId="48A77CB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挥发酚类</w:t>
            </w:r>
          </w:p>
        </w:tc>
        <w:tc>
          <w:tcPr>
            <w:tcW w:w="910" w:type="dxa"/>
            <w:vAlign w:val="center"/>
          </w:tcPr>
          <w:p w14:paraId="5C678E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0BCE17A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1220" w:type="dxa"/>
            <w:vAlign w:val="center"/>
          </w:tcPr>
          <w:p w14:paraId="7C6E11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1068" w:type="dxa"/>
            <w:vAlign w:val="center"/>
          </w:tcPr>
          <w:p w14:paraId="2595A4F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1675" w:type="dxa"/>
            <w:vAlign w:val="center"/>
          </w:tcPr>
          <w:p w14:paraId="78E68BC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516" w:type="dxa"/>
            <w:vAlign w:val="center"/>
          </w:tcPr>
          <w:p w14:paraId="3F8DD27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0.01</w:t>
            </w:r>
          </w:p>
        </w:tc>
      </w:tr>
      <w:tr w:rsidR="002133E3" w14:paraId="15D925DF" w14:textId="77777777">
        <w:trPr>
          <w:trHeight w:val="20"/>
          <w:jc w:val="center"/>
        </w:trPr>
        <w:tc>
          <w:tcPr>
            <w:tcW w:w="2117" w:type="dxa"/>
            <w:vAlign w:val="center"/>
          </w:tcPr>
          <w:p w14:paraId="31132A6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阴离子表面活性剂</w:t>
            </w:r>
          </w:p>
        </w:tc>
        <w:tc>
          <w:tcPr>
            <w:tcW w:w="910" w:type="dxa"/>
            <w:vAlign w:val="center"/>
          </w:tcPr>
          <w:p w14:paraId="474F380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4525CA6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不得检出</w:t>
            </w:r>
          </w:p>
        </w:tc>
        <w:tc>
          <w:tcPr>
            <w:tcW w:w="1220" w:type="dxa"/>
            <w:vAlign w:val="center"/>
          </w:tcPr>
          <w:p w14:paraId="55D3759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1068" w:type="dxa"/>
            <w:vAlign w:val="center"/>
          </w:tcPr>
          <w:p w14:paraId="2C51F77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≤0.3</w:t>
            </w:r>
          </w:p>
        </w:tc>
        <w:tc>
          <w:tcPr>
            <w:tcW w:w="1675" w:type="dxa"/>
            <w:vAlign w:val="center"/>
          </w:tcPr>
          <w:p w14:paraId="5F8F8E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≤0.3</w:t>
            </w:r>
          </w:p>
        </w:tc>
        <w:tc>
          <w:tcPr>
            <w:tcW w:w="1516" w:type="dxa"/>
            <w:vAlign w:val="center"/>
          </w:tcPr>
          <w:p w14:paraId="215A075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0.3</w:t>
            </w:r>
          </w:p>
        </w:tc>
      </w:tr>
      <w:tr w:rsidR="002133E3" w14:paraId="744FDB34" w14:textId="77777777">
        <w:trPr>
          <w:trHeight w:val="20"/>
          <w:jc w:val="center"/>
        </w:trPr>
        <w:tc>
          <w:tcPr>
            <w:tcW w:w="2117" w:type="dxa"/>
            <w:vAlign w:val="center"/>
          </w:tcPr>
          <w:p w14:paraId="468EA07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耗氧量</w:t>
            </w:r>
          </w:p>
        </w:tc>
        <w:tc>
          <w:tcPr>
            <w:tcW w:w="910" w:type="dxa"/>
            <w:vAlign w:val="center"/>
          </w:tcPr>
          <w:p w14:paraId="68B002B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4365643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220" w:type="dxa"/>
            <w:vAlign w:val="center"/>
          </w:tcPr>
          <w:p w14:paraId="23C1CF1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1068" w:type="dxa"/>
            <w:vAlign w:val="center"/>
          </w:tcPr>
          <w:p w14:paraId="5D31B78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w:t>
            </w:r>
          </w:p>
        </w:tc>
        <w:tc>
          <w:tcPr>
            <w:tcW w:w="1675" w:type="dxa"/>
            <w:vAlign w:val="center"/>
          </w:tcPr>
          <w:p w14:paraId="5759EB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1516" w:type="dxa"/>
            <w:vAlign w:val="center"/>
          </w:tcPr>
          <w:p w14:paraId="2FABFE8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10.0</w:t>
            </w:r>
          </w:p>
        </w:tc>
      </w:tr>
      <w:tr w:rsidR="002133E3" w14:paraId="26F0D5A5" w14:textId="77777777">
        <w:trPr>
          <w:trHeight w:val="20"/>
          <w:jc w:val="center"/>
        </w:trPr>
        <w:tc>
          <w:tcPr>
            <w:tcW w:w="2117" w:type="dxa"/>
            <w:vAlign w:val="center"/>
          </w:tcPr>
          <w:p w14:paraId="36993E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氨氮</w:t>
            </w:r>
          </w:p>
        </w:tc>
        <w:tc>
          <w:tcPr>
            <w:tcW w:w="910" w:type="dxa"/>
            <w:vAlign w:val="center"/>
          </w:tcPr>
          <w:p w14:paraId="2FF1ECC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6F15783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≤0.02</w:t>
            </w:r>
          </w:p>
        </w:tc>
        <w:tc>
          <w:tcPr>
            <w:tcW w:w="1220" w:type="dxa"/>
            <w:vAlign w:val="center"/>
          </w:tcPr>
          <w:p w14:paraId="25B2B63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≤0.10</w:t>
            </w:r>
          </w:p>
        </w:tc>
        <w:tc>
          <w:tcPr>
            <w:tcW w:w="1068" w:type="dxa"/>
            <w:vAlign w:val="center"/>
          </w:tcPr>
          <w:p w14:paraId="5405582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≤0.50</w:t>
            </w:r>
          </w:p>
        </w:tc>
        <w:tc>
          <w:tcPr>
            <w:tcW w:w="1675" w:type="dxa"/>
            <w:vAlign w:val="center"/>
          </w:tcPr>
          <w:p w14:paraId="6C130FB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1516" w:type="dxa"/>
            <w:vAlign w:val="center"/>
          </w:tcPr>
          <w:p w14:paraId="324F4A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1.50</w:t>
            </w:r>
          </w:p>
        </w:tc>
      </w:tr>
      <w:tr w:rsidR="002133E3" w14:paraId="014578A9" w14:textId="77777777">
        <w:trPr>
          <w:trHeight w:val="20"/>
          <w:jc w:val="center"/>
        </w:trPr>
        <w:tc>
          <w:tcPr>
            <w:tcW w:w="2117" w:type="dxa"/>
            <w:vAlign w:val="center"/>
          </w:tcPr>
          <w:p w14:paraId="0040EC0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硫化物</w:t>
            </w:r>
          </w:p>
        </w:tc>
        <w:tc>
          <w:tcPr>
            <w:tcW w:w="910" w:type="dxa"/>
            <w:vAlign w:val="center"/>
          </w:tcPr>
          <w:p w14:paraId="55AB1D7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209600B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≤0.005</w:t>
            </w:r>
          </w:p>
        </w:tc>
        <w:tc>
          <w:tcPr>
            <w:tcW w:w="1220" w:type="dxa"/>
            <w:vAlign w:val="center"/>
          </w:tcPr>
          <w:p w14:paraId="35A5AA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068" w:type="dxa"/>
            <w:vAlign w:val="center"/>
          </w:tcPr>
          <w:p w14:paraId="2F7E16F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≤0.02</w:t>
            </w:r>
          </w:p>
        </w:tc>
        <w:tc>
          <w:tcPr>
            <w:tcW w:w="1675" w:type="dxa"/>
            <w:vAlign w:val="center"/>
          </w:tcPr>
          <w:p w14:paraId="1344491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≤0.10</w:t>
            </w:r>
          </w:p>
        </w:tc>
        <w:tc>
          <w:tcPr>
            <w:tcW w:w="1516" w:type="dxa"/>
            <w:vAlign w:val="center"/>
          </w:tcPr>
          <w:p w14:paraId="3DB5C4A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0.10</w:t>
            </w:r>
          </w:p>
        </w:tc>
      </w:tr>
      <w:tr w:rsidR="002133E3" w14:paraId="149112C2" w14:textId="77777777">
        <w:trPr>
          <w:trHeight w:val="20"/>
          <w:jc w:val="center"/>
        </w:trPr>
        <w:tc>
          <w:tcPr>
            <w:tcW w:w="2117" w:type="dxa"/>
            <w:vAlign w:val="center"/>
          </w:tcPr>
          <w:p w14:paraId="61329D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钠</w:t>
            </w:r>
          </w:p>
        </w:tc>
        <w:tc>
          <w:tcPr>
            <w:tcW w:w="910" w:type="dxa"/>
            <w:vAlign w:val="center"/>
          </w:tcPr>
          <w:p w14:paraId="6DE0445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4FAB97D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1220" w:type="dxa"/>
            <w:vAlign w:val="center"/>
          </w:tcPr>
          <w:p w14:paraId="04ED479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1068" w:type="dxa"/>
            <w:vAlign w:val="center"/>
          </w:tcPr>
          <w:p w14:paraId="1DE0F51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w:t>
            </w:r>
          </w:p>
        </w:tc>
        <w:tc>
          <w:tcPr>
            <w:tcW w:w="1675" w:type="dxa"/>
            <w:vAlign w:val="center"/>
          </w:tcPr>
          <w:p w14:paraId="5A27C0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1516" w:type="dxa"/>
            <w:vAlign w:val="center"/>
          </w:tcPr>
          <w:p w14:paraId="421401A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400</w:t>
            </w:r>
          </w:p>
        </w:tc>
      </w:tr>
      <w:tr w:rsidR="002133E3" w14:paraId="594906C5" w14:textId="77777777">
        <w:trPr>
          <w:trHeight w:val="20"/>
          <w:jc w:val="center"/>
        </w:trPr>
        <w:tc>
          <w:tcPr>
            <w:tcW w:w="9741" w:type="dxa"/>
            <w:gridSpan w:val="7"/>
            <w:vAlign w:val="center"/>
          </w:tcPr>
          <w:p w14:paraId="1C8945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毒理学指标</w:t>
            </w:r>
          </w:p>
        </w:tc>
      </w:tr>
      <w:tr w:rsidR="002133E3" w14:paraId="76366AA2" w14:textId="77777777">
        <w:trPr>
          <w:trHeight w:val="20"/>
          <w:jc w:val="center"/>
        </w:trPr>
        <w:tc>
          <w:tcPr>
            <w:tcW w:w="2117" w:type="dxa"/>
            <w:vAlign w:val="center"/>
          </w:tcPr>
          <w:p w14:paraId="6195A03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亚硝酸盐</w:t>
            </w:r>
          </w:p>
        </w:tc>
        <w:tc>
          <w:tcPr>
            <w:tcW w:w="910" w:type="dxa"/>
            <w:vAlign w:val="center"/>
          </w:tcPr>
          <w:p w14:paraId="44301FF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05482E1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220" w:type="dxa"/>
            <w:vAlign w:val="center"/>
          </w:tcPr>
          <w:p w14:paraId="3D1CE18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≤0.10</w:t>
            </w:r>
          </w:p>
        </w:tc>
        <w:tc>
          <w:tcPr>
            <w:tcW w:w="1068" w:type="dxa"/>
            <w:vAlign w:val="center"/>
          </w:tcPr>
          <w:p w14:paraId="1804C23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1675" w:type="dxa"/>
            <w:vAlign w:val="center"/>
          </w:tcPr>
          <w:p w14:paraId="099BD7C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≤4.80</w:t>
            </w:r>
          </w:p>
        </w:tc>
        <w:tc>
          <w:tcPr>
            <w:tcW w:w="1516" w:type="dxa"/>
            <w:vAlign w:val="center"/>
          </w:tcPr>
          <w:p w14:paraId="3AB2BE2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4.80</w:t>
            </w:r>
          </w:p>
        </w:tc>
      </w:tr>
      <w:tr w:rsidR="002133E3" w14:paraId="270CAC04" w14:textId="77777777">
        <w:trPr>
          <w:trHeight w:val="20"/>
          <w:jc w:val="center"/>
        </w:trPr>
        <w:tc>
          <w:tcPr>
            <w:tcW w:w="2117" w:type="dxa"/>
            <w:vAlign w:val="center"/>
          </w:tcPr>
          <w:p w14:paraId="20A5C21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硝酸盐</w:t>
            </w:r>
          </w:p>
        </w:tc>
        <w:tc>
          <w:tcPr>
            <w:tcW w:w="910" w:type="dxa"/>
            <w:vAlign w:val="center"/>
          </w:tcPr>
          <w:p w14:paraId="12139BF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155206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1220" w:type="dxa"/>
            <w:vAlign w:val="center"/>
          </w:tcPr>
          <w:p w14:paraId="06DAC9C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w:t>
            </w:r>
          </w:p>
        </w:tc>
        <w:tc>
          <w:tcPr>
            <w:tcW w:w="1068" w:type="dxa"/>
            <w:vAlign w:val="center"/>
          </w:tcPr>
          <w:p w14:paraId="127C783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w:t>
            </w:r>
          </w:p>
        </w:tc>
        <w:tc>
          <w:tcPr>
            <w:tcW w:w="1675" w:type="dxa"/>
            <w:vAlign w:val="center"/>
          </w:tcPr>
          <w:p w14:paraId="4C1CBF6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≤30.0</w:t>
            </w:r>
          </w:p>
        </w:tc>
        <w:tc>
          <w:tcPr>
            <w:tcW w:w="1516" w:type="dxa"/>
            <w:vAlign w:val="center"/>
          </w:tcPr>
          <w:p w14:paraId="05E7C2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30.0</w:t>
            </w:r>
          </w:p>
        </w:tc>
      </w:tr>
      <w:tr w:rsidR="002133E3" w14:paraId="2BB6EF1E" w14:textId="77777777">
        <w:trPr>
          <w:trHeight w:val="20"/>
          <w:jc w:val="center"/>
        </w:trPr>
        <w:tc>
          <w:tcPr>
            <w:tcW w:w="2117" w:type="dxa"/>
            <w:vAlign w:val="center"/>
          </w:tcPr>
          <w:p w14:paraId="2C2FE4E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氰化物</w:t>
            </w:r>
          </w:p>
        </w:tc>
        <w:tc>
          <w:tcPr>
            <w:tcW w:w="910" w:type="dxa"/>
            <w:vAlign w:val="center"/>
          </w:tcPr>
          <w:p w14:paraId="446C53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0ADB4EF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1220" w:type="dxa"/>
            <w:vAlign w:val="center"/>
          </w:tcPr>
          <w:p w14:paraId="1A70F3E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068" w:type="dxa"/>
            <w:vAlign w:val="center"/>
          </w:tcPr>
          <w:p w14:paraId="7A48E7A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675" w:type="dxa"/>
            <w:vAlign w:val="center"/>
          </w:tcPr>
          <w:p w14:paraId="59EB3D7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1516" w:type="dxa"/>
            <w:vAlign w:val="center"/>
          </w:tcPr>
          <w:p w14:paraId="30A1012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0.1</w:t>
            </w:r>
          </w:p>
        </w:tc>
      </w:tr>
      <w:tr w:rsidR="002133E3" w14:paraId="29DF6265" w14:textId="77777777">
        <w:trPr>
          <w:trHeight w:val="20"/>
          <w:jc w:val="center"/>
        </w:trPr>
        <w:tc>
          <w:tcPr>
            <w:tcW w:w="2117" w:type="dxa"/>
            <w:vAlign w:val="center"/>
          </w:tcPr>
          <w:p w14:paraId="24002E9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氟化物</w:t>
            </w:r>
          </w:p>
        </w:tc>
        <w:tc>
          <w:tcPr>
            <w:tcW w:w="910" w:type="dxa"/>
            <w:vAlign w:val="center"/>
          </w:tcPr>
          <w:p w14:paraId="3607FE6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6BB8251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220" w:type="dxa"/>
            <w:vAlign w:val="center"/>
          </w:tcPr>
          <w:p w14:paraId="1274A60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068" w:type="dxa"/>
            <w:vAlign w:val="center"/>
          </w:tcPr>
          <w:p w14:paraId="2011072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675" w:type="dxa"/>
            <w:vAlign w:val="center"/>
          </w:tcPr>
          <w:p w14:paraId="484CED2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1516" w:type="dxa"/>
            <w:vAlign w:val="center"/>
          </w:tcPr>
          <w:p w14:paraId="4A33375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2.0</w:t>
            </w:r>
          </w:p>
        </w:tc>
      </w:tr>
      <w:tr w:rsidR="002133E3" w14:paraId="1A5C21FD" w14:textId="77777777">
        <w:trPr>
          <w:trHeight w:val="20"/>
          <w:jc w:val="center"/>
        </w:trPr>
        <w:tc>
          <w:tcPr>
            <w:tcW w:w="2117" w:type="dxa"/>
            <w:vAlign w:val="center"/>
          </w:tcPr>
          <w:p w14:paraId="79CE895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碘化物</w:t>
            </w:r>
          </w:p>
        </w:tc>
        <w:tc>
          <w:tcPr>
            <w:tcW w:w="910" w:type="dxa"/>
            <w:vAlign w:val="center"/>
          </w:tcPr>
          <w:p w14:paraId="0377C7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253A590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≤0.04</w:t>
            </w:r>
          </w:p>
        </w:tc>
        <w:tc>
          <w:tcPr>
            <w:tcW w:w="1220" w:type="dxa"/>
            <w:vAlign w:val="center"/>
          </w:tcPr>
          <w:p w14:paraId="4A7708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≤0.04</w:t>
            </w:r>
          </w:p>
        </w:tc>
        <w:tc>
          <w:tcPr>
            <w:tcW w:w="1068" w:type="dxa"/>
            <w:vAlign w:val="center"/>
          </w:tcPr>
          <w:p w14:paraId="5386AE9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≤0.08</w:t>
            </w:r>
          </w:p>
        </w:tc>
        <w:tc>
          <w:tcPr>
            <w:tcW w:w="1675" w:type="dxa"/>
            <w:vAlign w:val="center"/>
          </w:tcPr>
          <w:p w14:paraId="70E3D1C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≤0.5</w:t>
            </w:r>
          </w:p>
        </w:tc>
        <w:tc>
          <w:tcPr>
            <w:tcW w:w="1516" w:type="dxa"/>
            <w:vAlign w:val="center"/>
          </w:tcPr>
          <w:p w14:paraId="6EF3CF1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0.5</w:t>
            </w:r>
          </w:p>
        </w:tc>
      </w:tr>
      <w:tr w:rsidR="002133E3" w14:paraId="3B8DF34C" w14:textId="77777777">
        <w:trPr>
          <w:trHeight w:val="20"/>
          <w:jc w:val="center"/>
        </w:trPr>
        <w:tc>
          <w:tcPr>
            <w:tcW w:w="2117" w:type="dxa"/>
            <w:vAlign w:val="center"/>
          </w:tcPr>
          <w:p w14:paraId="5B9093C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汞</w:t>
            </w:r>
          </w:p>
        </w:tc>
        <w:tc>
          <w:tcPr>
            <w:tcW w:w="910" w:type="dxa"/>
            <w:vAlign w:val="center"/>
          </w:tcPr>
          <w:p w14:paraId="5482A50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3301753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≤0.0001</w:t>
            </w:r>
          </w:p>
        </w:tc>
        <w:tc>
          <w:tcPr>
            <w:tcW w:w="1220" w:type="dxa"/>
            <w:vAlign w:val="center"/>
          </w:tcPr>
          <w:p w14:paraId="59FB05B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≤0.0001</w:t>
            </w:r>
          </w:p>
        </w:tc>
        <w:tc>
          <w:tcPr>
            <w:tcW w:w="1068" w:type="dxa"/>
            <w:vAlign w:val="center"/>
          </w:tcPr>
          <w:p w14:paraId="0E16260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1675" w:type="dxa"/>
            <w:vAlign w:val="center"/>
          </w:tcPr>
          <w:p w14:paraId="02BE96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1516" w:type="dxa"/>
            <w:vAlign w:val="center"/>
          </w:tcPr>
          <w:p w14:paraId="64AF7E5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0.002</w:t>
            </w:r>
          </w:p>
        </w:tc>
      </w:tr>
      <w:tr w:rsidR="002133E3" w14:paraId="21FFB5FE" w14:textId="77777777">
        <w:trPr>
          <w:trHeight w:val="20"/>
          <w:jc w:val="center"/>
        </w:trPr>
        <w:tc>
          <w:tcPr>
            <w:tcW w:w="2117" w:type="dxa"/>
            <w:vAlign w:val="center"/>
          </w:tcPr>
          <w:p w14:paraId="4FBB7D7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砷</w:t>
            </w:r>
          </w:p>
        </w:tc>
        <w:tc>
          <w:tcPr>
            <w:tcW w:w="910" w:type="dxa"/>
            <w:vAlign w:val="center"/>
          </w:tcPr>
          <w:p w14:paraId="66C9AD7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6210FA5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1220" w:type="dxa"/>
            <w:vAlign w:val="center"/>
          </w:tcPr>
          <w:p w14:paraId="406086F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1068" w:type="dxa"/>
            <w:vAlign w:val="center"/>
          </w:tcPr>
          <w:p w14:paraId="5227784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675" w:type="dxa"/>
            <w:vAlign w:val="center"/>
          </w:tcPr>
          <w:p w14:paraId="4F3DB9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516" w:type="dxa"/>
            <w:vAlign w:val="center"/>
          </w:tcPr>
          <w:p w14:paraId="0DF5991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0.05</w:t>
            </w:r>
          </w:p>
        </w:tc>
      </w:tr>
      <w:tr w:rsidR="002133E3" w14:paraId="7C52C692" w14:textId="77777777">
        <w:trPr>
          <w:trHeight w:val="20"/>
          <w:jc w:val="center"/>
        </w:trPr>
        <w:tc>
          <w:tcPr>
            <w:tcW w:w="2117" w:type="dxa"/>
            <w:vAlign w:val="center"/>
          </w:tcPr>
          <w:p w14:paraId="69F59D8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镉</w:t>
            </w:r>
          </w:p>
        </w:tc>
        <w:tc>
          <w:tcPr>
            <w:tcW w:w="910" w:type="dxa"/>
            <w:vAlign w:val="center"/>
          </w:tcPr>
          <w:p w14:paraId="0EAA009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2AE6716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≤0.0001</w:t>
            </w:r>
          </w:p>
        </w:tc>
        <w:tc>
          <w:tcPr>
            <w:tcW w:w="1220" w:type="dxa"/>
            <w:vAlign w:val="center"/>
          </w:tcPr>
          <w:p w14:paraId="659A867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1068" w:type="dxa"/>
            <w:vAlign w:val="center"/>
          </w:tcPr>
          <w:p w14:paraId="742566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675" w:type="dxa"/>
            <w:vAlign w:val="center"/>
          </w:tcPr>
          <w:p w14:paraId="59DD5CC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1516" w:type="dxa"/>
            <w:vAlign w:val="center"/>
          </w:tcPr>
          <w:p w14:paraId="1C3D723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0.1</w:t>
            </w:r>
          </w:p>
        </w:tc>
      </w:tr>
      <w:tr w:rsidR="002133E3" w14:paraId="4C582106" w14:textId="77777777">
        <w:trPr>
          <w:trHeight w:val="20"/>
          <w:jc w:val="center"/>
        </w:trPr>
        <w:tc>
          <w:tcPr>
            <w:tcW w:w="2117" w:type="dxa"/>
            <w:vAlign w:val="center"/>
          </w:tcPr>
          <w:p w14:paraId="0E98CA2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铬</w:t>
            </w:r>
          </w:p>
        </w:tc>
        <w:tc>
          <w:tcPr>
            <w:tcW w:w="910" w:type="dxa"/>
            <w:vAlign w:val="center"/>
          </w:tcPr>
          <w:p w14:paraId="168FD8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2760C9D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≤0.005</w:t>
            </w:r>
          </w:p>
        </w:tc>
        <w:tc>
          <w:tcPr>
            <w:tcW w:w="1220" w:type="dxa"/>
            <w:vAlign w:val="center"/>
          </w:tcPr>
          <w:p w14:paraId="472CD3E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068" w:type="dxa"/>
            <w:vAlign w:val="center"/>
          </w:tcPr>
          <w:p w14:paraId="1DCA8D6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675" w:type="dxa"/>
            <w:vAlign w:val="center"/>
          </w:tcPr>
          <w:p w14:paraId="7EA06B2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1516" w:type="dxa"/>
            <w:vAlign w:val="center"/>
          </w:tcPr>
          <w:p w14:paraId="6B3ADDB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0.1</w:t>
            </w:r>
          </w:p>
        </w:tc>
      </w:tr>
      <w:tr w:rsidR="002133E3" w14:paraId="387793CF" w14:textId="77777777">
        <w:trPr>
          <w:trHeight w:val="20"/>
          <w:jc w:val="center"/>
        </w:trPr>
        <w:tc>
          <w:tcPr>
            <w:tcW w:w="2117" w:type="dxa"/>
            <w:vAlign w:val="center"/>
          </w:tcPr>
          <w:p w14:paraId="6BF7CCE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铅</w:t>
            </w:r>
          </w:p>
        </w:tc>
        <w:tc>
          <w:tcPr>
            <w:tcW w:w="910" w:type="dxa"/>
            <w:vAlign w:val="center"/>
          </w:tcPr>
          <w:p w14:paraId="1C7C9F1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1235" w:type="dxa"/>
            <w:vAlign w:val="center"/>
          </w:tcPr>
          <w:p w14:paraId="73EF57C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≤0.005</w:t>
            </w:r>
          </w:p>
        </w:tc>
        <w:tc>
          <w:tcPr>
            <w:tcW w:w="1220" w:type="dxa"/>
            <w:vAlign w:val="center"/>
          </w:tcPr>
          <w:p w14:paraId="4006FF6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≤0.005</w:t>
            </w:r>
          </w:p>
        </w:tc>
        <w:tc>
          <w:tcPr>
            <w:tcW w:w="1068" w:type="dxa"/>
            <w:vAlign w:val="center"/>
          </w:tcPr>
          <w:p w14:paraId="6781D0F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675" w:type="dxa"/>
            <w:vAlign w:val="center"/>
          </w:tcPr>
          <w:p w14:paraId="7A3966F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1516" w:type="dxa"/>
            <w:vAlign w:val="center"/>
          </w:tcPr>
          <w:p w14:paraId="072F310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0.1</w:t>
            </w:r>
          </w:p>
        </w:tc>
      </w:tr>
      <w:tr w:rsidR="002133E3" w14:paraId="43A318FE" w14:textId="77777777">
        <w:trPr>
          <w:trHeight w:val="20"/>
          <w:jc w:val="center"/>
        </w:trPr>
        <w:tc>
          <w:tcPr>
            <w:tcW w:w="2117" w:type="dxa"/>
            <w:vAlign w:val="center"/>
          </w:tcPr>
          <w:p w14:paraId="5E6E38A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三氯甲烷</w:t>
            </w:r>
          </w:p>
        </w:tc>
        <w:tc>
          <w:tcPr>
            <w:tcW w:w="910" w:type="dxa"/>
            <w:vAlign w:val="center"/>
          </w:tcPr>
          <w:p w14:paraId="457F367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ug/L</w:t>
            </w:r>
          </w:p>
        </w:tc>
        <w:tc>
          <w:tcPr>
            <w:tcW w:w="1235" w:type="dxa"/>
          </w:tcPr>
          <w:p w14:paraId="3C58E24C"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≤0.5</w:t>
            </w:r>
          </w:p>
        </w:tc>
        <w:tc>
          <w:tcPr>
            <w:tcW w:w="1220" w:type="dxa"/>
          </w:tcPr>
          <w:p w14:paraId="38EE5580"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≤6</w:t>
            </w:r>
          </w:p>
        </w:tc>
        <w:tc>
          <w:tcPr>
            <w:tcW w:w="1068" w:type="dxa"/>
          </w:tcPr>
          <w:p w14:paraId="2A52EBD0"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≤60</w:t>
            </w:r>
          </w:p>
        </w:tc>
        <w:tc>
          <w:tcPr>
            <w:tcW w:w="1675" w:type="dxa"/>
          </w:tcPr>
          <w:p w14:paraId="4A2D5C02"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≤300</w:t>
            </w:r>
          </w:p>
        </w:tc>
        <w:tc>
          <w:tcPr>
            <w:tcW w:w="1516" w:type="dxa"/>
            <w:vAlign w:val="center"/>
          </w:tcPr>
          <w:p w14:paraId="492FA39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300</w:t>
            </w:r>
          </w:p>
        </w:tc>
      </w:tr>
      <w:tr w:rsidR="002133E3" w14:paraId="0481FC23" w14:textId="77777777">
        <w:trPr>
          <w:trHeight w:val="20"/>
          <w:jc w:val="center"/>
        </w:trPr>
        <w:tc>
          <w:tcPr>
            <w:tcW w:w="2117" w:type="dxa"/>
            <w:vAlign w:val="center"/>
          </w:tcPr>
          <w:p w14:paraId="630292E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四氯化碳</w:t>
            </w:r>
          </w:p>
        </w:tc>
        <w:tc>
          <w:tcPr>
            <w:tcW w:w="910" w:type="dxa"/>
            <w:vAlign w:val="center"/>
          </w:tcPr>
          <w:p w14:paraId="74CA7E7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ug/L</w:t>
            </w:r>
          </w:p>
        </w:tc>
        <w:tc>
          <w:tcPr>
            <w:tcW w:w="1235" w:type="dxa"/>
          </w:tcPr>
          <w:p w14:paraId="176246D7"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≤0.5</w:t>
            </w:r>
          </w:p>
        </w:tc>
        <w:tc>
          <w:tcPr>
            <w:tcW w:w="1220" w:type="dxa"/>
          </w:tcPr>
          <w:p w14:paraId="30447528"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≤0.5</w:t>
            </w:r>
          </w:p>
        </w:tc>
        <w:tc>
          <w:tcPr>
            <w:tcW w:w="1068" w:type="dxa"/>
          </w:tcPr>
          <w:p w14:paraId="4D4F4B35"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≤2.0</w:t>
            </w:r>
          </w:p>
        </w:tc>
        <w:tc>
          <w:tcPr>
            <w:tcW w:w="1675" w:type="dxa"/>
          </w:tcPr>
          <w:p w14:paraId="76051BA0"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≤50.0</w:t>
            </w:r>
          </w:p>
        </w:tc>
        <w:tc>
          <w:tcPr>
            <w:tcW w:w="1516" w:type="dxa"/>
            <w:vAlign w:val="center"/>
          </w:tcPr>
          <w:p w14:paraId="3D01AE2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50.0</w:t>
            </w:r>
          </w:p>
        </w:tc>
      </w:tr>
      <w:tr w:rsidR="002133E3" w14:paraId="0BC4E253" w14:textId="77777777">
        <w:trPr>
          <w:trHeight w:val="20"/>
          <w:jc w:val="center"/>
        </w:trPr>
        <w:tc>
          <w:tcPr>
            <w:tcW w:w="2117" w:type="dxa"/>
            <w:vAlign w:val="center"/>
          </w:tcPr>
          <w:p w14:paraId="09B27D8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w:t>
            </w:r>
          </w:p>
        </w:tc>
        <w:tc>
          <w:tcPr>
            <w:tcW w:w="910" w:type="dxa"/>
            <w:vAlign w:val="center"/>
          </w:tcPr>
          <w:p w14:paraId="1F8610A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ug/L</w:t>
            </w:r>
          </w:p>
        </w:tc>
        <w:tc>
          <w:tcPr>
            <w:tcW w:w="1235" w:type="dxa"/>
          </w:tcPr>
          <w:p w14:paraId="75391554"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≤0.5</w:t>
            </w:r>
          </w:p>
        </w:tc>
        <w:tc>
          <w:tcPr>
            <w:tcW w:w="1220" w:type="dxa"/>
          </w:tcPr>
          <w:p w14:paraId="29F428BC"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≤1.0</w:t>
            </w:r>
          </w:p>
        </w:tc>
        <w:tc>
          <w:tcPr>
            <w:tcW w:w="1068" w:type="dxa"/>
          </w:tcPr>
          <w:p w14:paraId="16CB7975"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≤10.0</w:t>
            </w:r>
          </w:p>
        </w:tc>
        <w:tc>
          <w:tcPr>
            <w:tcW w:w="1675" w:type="dxa"/>
          </w:tcPr>
          <w:p w14:paraId="16FF4A15"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≤120</w:t>
            </w:r>
          </w:p>
        </w:tc>
        <w:tc>
          <w:tcPr>
            <w:tcW w:w="1516" w:type="dxa"/>
            <w:vAlign w:val="center"/>
          </w:tcPr>
          <w:p w14:paraId="5AC9D38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120</w:t>
            </w:r>
          </w:p>
        </w:tc>
      </w:tr>
      <w:tr w:rsidR="002133E3" w14:paraId="55061BD8" w14:textId="77777777">
        <w:trPr>
          <w:trHeight w:val="75"/>
          <w:jc w:val="center"/>
        </w:trPr>
        <w:tc>
          <w:tcPr>
            <w:tcW w:w="2117" w:type="dxa"/>
            <w:vAlign w:val="center"/>
          </w:tcPr>
          <w:p w14:paraId="1B2B3C6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甲苯</w:t>
            </w:r>
          </w:p>
        </w:tc>
        <w:tc>
          <w:tcPr>
            <w:tcW w:w="910" w:type="dxa"/>
            <w:vAlign w:val="center"/>
          </w:tcPr>
          <w:p w14:paraId="64BA1D3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ug/L</w:t>
            </w:r>
          </w:p>
        </w:tc>
        <w:tc>
          <w:tcPr>
            <w:tcW w:w="1235" w:type="dxa"/>
          </w:tcPr>
          <w:p w14:paraId="53002F08"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≤0.5</w:t>
            </w:r>
          </w:p>
        </w:tc>
        <w:tc>
          <w:tcPr>
            <w:tcW w:w="1220" w:type="dxa"/>
          </w:tcPr>
          <w:p w14:paraId="49193480"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≤140</w:t>
            </w:r>
          </w:p>
        </w:tc>
        <w:tc>
          <w:tcPr>
            <w:tcW w:w="1068" w:type="dxa"/>
          </w:tcPr>
          <w:p w14:paraId="66FFF03C"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≤700</w:t>
            </w:r>
          </w:p>
        </w:tc>
        <w:tc>
          <w:tcPr>
            <w:tcW w:w="1675" w:type="dxa"/>
          </w:tcPr>
          <w:p w14:paraId="03B0108E" w14:textId="77777777" w:rsidR="002133E3" w:rsidRDefault="00C22CFA">
            <w:pPr>
              <w:jc w:val="center"/>
              <w:rPr>
                <w:rFonts w:ascii="Times New Roman" w:eastAsia="宋体" w:hAnsi="Times New Roman" w:cs="Times New Roman"/>
              </w:rPr>
            </w:pPr>
            <w:r>
              <w:rPr>
                <w:rFonts w:ascii="Times New Roman" w:eastAsia="宋体" w:hAnsi="Times New Roman" w:cs="Times New Roman"/>
                <w:szCs w:val="21"/>
              </w:rPr>
              <w:t>≤1400</w:t>
            </w:r>
          </w:p>
        </w:tc>
        <w:tc>
          <w:tcPr>
            <w:tcW w:w="1516" w:type="dxa"/>
            <w:vAlign w:val="center"/>
          </w:tcPr>
          <w:p w14:paraId="1477DA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1400</w:t>
            </w:r>
          </w:p>
        </w:tc>
      </w:tr>
    </w:tbl>
    <w:p w14:paraId="666701E9"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噪声环境</w:t>
      </w:r>
    </w:p>
    <w:p w14:paraId="18C13CAF"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sz w:val="28"/>
          <w:szCs w:val="28"/>
        </w:rPr>
        <w:t>评价区域执行《声环境质量标准》</w:t>
      </w:r>
      <w:r>
        <w:rPr>
          <w:rFonts w:ascii="Times New Roman" w:eastAsia="宋体" w:hAnsi="Times New Roman" w:cs="Times New Roman"/>
          <w:sz w:val="28"/>
          <w:szCs w:val="28"/>
        </w:rPr>
        <w:t>(GB3096–2008)</w:t>
      </w:r>
      <w:r>
        <w:rPr>
          <w:rFonts w:ascii="Times New Roman" w:eastAsia="宋体" w:hAnsi="Times New Roman" w:cs="Times New Roman"/>
          <w:sz w:val="28"/>
          <w:szCs w:val="28"/>
        </w:rPr>
        <w:t>中</w:t>
      </w:r>
      <w:r>
        <w:rPr>
          <w:rFonts w:ascii="Times New Roman" w:eastAsia="宋体" w:hAnsi="Times New Roman" w:cs="Times New Roman"/>
          <w:sz w:val="28"/>
          <w:szCs w:val="28"/>
        </w:rPr>
        <w:t>3</w:t>
      </w:r>
      <w:r>
        <w:rPr>
          <w:rFonts w:ascii="Times New Roman" w:eastAsia="宋体" w:hAnsi="Times New Roman" w:cs="Times New Roman"/>
          <w:sz w:val="28"/>
          <w:szCs w:val="28"/>
        </w:rPr>
        <w:t>类标准，即昼间</w:t>
      </w:r>
      <w:r>
        <w:rPr>
          <w:rFonts w:ascii="Times New Roman" w:eastAsia="宋体" w:hAnsi="Times New Roman" w:cs="Times New Roman"/>
          <w:sz w:val="28"/>
          <w:szCs w:val="28"/>
        </w:rPr>
        <w:t>65dB(A)</w:t>
      </w:r>
      <w:r>
        <w:rPr>
          <w:rFonts w:ascii="Times New Roman" w:eastAsia="宋体" w:hAnsi="Times New Roman" w:cs="Times New Roman"/>
          <w:sz w:val="28"/>
          <w:szCs w:val="28"/>
        </w:rPr>
        <w:t>，夜间</w:t>
      </w:r>
      <w:r>
        <w:rPr>
          <w:rFonts w:ascii="Times New Roman" w:eastAsia="宋体" w:hAnsi="Times New Roman" w:cs="Times New Roman"/>
          <w:sz w:val="28"/>
          <w:szCs w:val="28"/>
        </w:rPr>
        <w:t>55dB(A)</w:t>
      </w:r>
      <w:r>
        <w:rPr>
          <w:rFonts w:ascii="Times New Roman" w:eastAsia="宋体" w:hAnsi="Times New Roman" w:cs="Times New Roman"/>
          <w:sz w:val="28"/>
          <w:szCs w:val="28"/>
        </w:rPr>
        <w:t>。</w:t>
      </w:r>
    </w:p>
    <w:p w14:paraId="4841D4C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土壤环境</w:t>
      </w:r>
    </w:p>
    <w:p w14:paraId="208C898C"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土壤质量标准执行《土壤环境质量</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建设用地土壤污染风险管控标准</w:t>
      </w:r>
      <w:r>
        <w:rPr>
          <w:rFonts w:ascii="Times New Roman" w:eastAsia="宋体" w:hAnsi="Times New Roman" w:cs="Times New Roman"/>
          <w:sz w:val="28"/>
          <w:szCs w:val="28"/>
        </w:rPr>
        <w:t>(</w:t>
      </w:r>
      <w:r>
        <w:rPr>
          <w:rFonts w:ascii="Times New Roman" w:eastAsia="宋体" w:hAnsi="Times New Roman" w:cs="Times New Roman"/>
          <w:sz w:val="28"/>
          <w:szCs w:val="28"/>
        </w:rPr>
        <w:t>试行</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(GB36600-2018)</w:t>
      </w:r>
      <w:r>
        <w:rPr>
          <w:rFonts w:ascii="Times New Roman" w:eastAsia="宋体" w:hAnsi="Times New Roman" w:cs="Times New Roman"/>
          <w:sz w:val="28"/>
          <w:szCs w:val="28"/>
        </w:rPr>
        <w:t>中第二类用地标准，其主要指标见表</w:t>
      </w:r>
      <w:r>
        <w:rPr>
          <w:rFonts w:ascii="Times New Roman" w:eastAsia="宋体" w:hAnsi="Times New Roman" w:cs="Times New Roman"/>
          <w:sz w:val="28"/>
          <w:szCs w:val="28"/>
        </w:rPr>
        <w:t>2.7-5~6</w:t>
      </w:r>
      <w:r>
        <w:rPr>
          <w:rFonts w:ascii="Times New Roman" w:eastAsia="宋体" w:hAnsi="Times New Roman" w:cs="Times New Roman"/>
          <w:sz w:val="28"/>
          <w:szCs w:val="28"/>
        </w:rPr>
        <w:t>。</w:t>
      </w:r>
    </w:p>
    <w:p w14:paraId="4A857CA0" w14:textId="77777777" w:rsidR="002133E3" w:rsidRDefault="00C22CFA">
      <w:pPr>
        <w:spacing w:line="4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2.7-5  </w:t>
      </w:r>
      <w:r>
        <w:rPr>
          <w:rFonts w:ascii="Times New Roman" w:eastAsia="宋体" w:hAnsi="Times New Roman" w:cs="Times New Roman"/>
          <w:b/>
          <w:spacing w:val="-6"/>
          <w:kern w:val="0"/>
          <w:szCs w:val="21"/>
        </w:rPr>
        <w:t>建设用地土壤污染风险筛选值和管制值</w:t>
      </w:r>
      <w:r>
        <w:rPr>
          <w:rFonts w:ascii="Times New Roman" w:eastAsia="宋体" w:hAnsi="Times New Roman" w:cs="Times New Roman"/>
          <w:b/>
          <w:spacing w:val="-6"/>
          <w:kern w:val="0"/>
          <w:szCs w:val="21"/>
        </w:rPr>
        <w:t>(</w:t>
      </w:r>
      <w:r>
        <w:rPr>
          <w:rFonts w:ascii="Times New Roman" w:eastAsia="宋体" w:hAnsi="Times New Roman" w:cs="Times New Roman"/>
          <w:b/>
          <w:spacing w:val="-6"/>
          <w:kern w:val="0"/>
          <w:szCs w:val="21"/>
        </w:rPr>
        <w:t>基本项目</w:t>
      </w:r>
      <w:r>
        <w:rPr>
          <w:rFonts w:ascii="Times New Roman" w:eastAsia="宋体" w:hAnsi="Times New Roman" w:cs="Times New Roman"/>
          <w:b/>
          <w:spacing w:val="-6"/>
          <w:kern w:val="0"/>
          <w:szCs w:val="21"/>
        </w:rPr>
        <w:t>)(</w:t>
      </w:r>
      <w:r>
        <w:rPr>
          <w:rFonts w:ascii="Times New Roman" w:eastAsia="宋体" w:hAnsi="Times New Roman" w:cs="Times New Roman"/>
          <w:b/>
          <w:spacing w:val="-6"/>
          <w:kern w:val="0"/>
          <w:szCs w:val="21"/>
        </w:rPr>
        <w:t>单位：</w:t>
      </w:r>
      <w:r>
        <w:rPr>
          <w:rFonts w:ascii="Times New Roman" w:eastAsia="宋体" w:hAnsi="Times New Roman" w:cs="Times New Roman"/>
          <w:b/>
          <w:spacing w:val="-6"/>
          <w:kern w:val="0"/>
          <w:szCs w:val="21"/>
        </w:rPr>
        <w:t>mg/kg)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2"/>
        <w:gridCol w:w="2589"/>
        <w:gridCol w:w="2192"/>
        <w:gridCol w:w="1948"/>
        <w:gridCol w:w="1950"/>
      </w:tblGrid>
      <w:tr w:rsidR="002133E3" w14:paraId="75988EFF" w14:textId="77777777">
        <w:trPr>
          <w:trHeight w:val="284"/>
          <w:jc w:val="center"/>
        </w:trPr>
        <w:tc>
          <w:tcPr>
            <w:tcW w:w="1062" w:type="dxa"/>
            <w:vMerge w:val="restart"/>
            <w:vAlign w:val="center"/>
          </w:tcPr>
          <w:p w14:paraId="7E0AEBE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2589" w:type="dxa"/>
            <w:vMerge w:val="restart"/>
            <w:vAlign w:val="center"/>
          </w:tcPr>
          <w:p w14:paraId="0407E3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污染物项目</w:t>
            </w:r>
          </w:p>
        </w:tc>
        <w:tc>
          <w:tcPr>
            <w:tcW w:w="2192" w:type="dxa"/>
            <w:vMerge w:val="restart"/>
            <w:vAlign w:val="center"/>
          </w:tcPr>
          <w:p w14:paraId="3DBC85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CAS</w:t>
            </w:r>
            <w:r>
              <w:rPr>
                <w:rFonts w:ascii="Times New Roman" w:eastAsia="宋体" w:hAnsi="Times New Roman" w:cs="Times New Roman"/>
                <w:szCs w:val="21"/>
              </w:rPr>
              <w:t>编号</w:t>
            </w:r>
          </w:p>
        </w:tc>
        <w:tc>
          <w:tcPr>
            <w:tcW w:w="1948" w:type="dxa"/>
            <w:vAlign w:val="center"/>
          </w:tcPr>
          <w:p w14:paraId="045A438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筛选值</w:t>
            </w:r>
          </w:p>
        </w:tc>
        <w:tc>
          <w:tcPr>
            <w:tcW w:w="1950" w:type="dxa"/>
            <w:vAlign w:val="center"/>
          </w:tcPr>
          <w:p w14:paraId="15DDB5E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管制值</w:t>
            </w:r>
          </w:p>
        </w:tc>
      </w:tr>
      <w:tr w:rsidR="002133E3" w14:paraId="4517B66F" w14:textId="77777777">
        <w:trPr>
          <w:trHeight w:val="284"/>
          <w:jc w:val="center"/>
        </w:trPr>
        <w:tc>
          <w:tcPr>
            <w:tcW w:w="1062" w:type="dxa"/>
            <w:vMerge/>
            <w:vAlign w:val="center"/>
          </w:tcPr>
          <w:p w14:paraId="78B2C74B" w14:textId="77777777" w:rsidR="002133E3" w:rsidRDefault="002133E3">
            <w:pPr>
              <w:jc w:val="center"/>
              <w:rPr>
                <w:rFonts w:ascii="Times New Roman" w:eastAsia="宋体" w:hAnsi="Times New Roman" w:cs="Times New Roman"/>
                <w:szCs w:val="21"/>
              </w:rPr>
            </w:pPr>
          </w:p>
        </w:tc>
        <w:tc>
          <w:tcPr>
            <w:tcW w:w="2589" w:type="dxa"/>
            <w:vMerge/>
            <w:vAlign w:val="center"/>
          </w:tcPr>
          <w:p w14:paraId="7D946F6B" w14:textId="77777777" w:rsidR="002133E3" w:rsidRDefault="002133E3">
            <w:pPr>
              <w:jc w:val="center"/>
              <w:rPr>
                <w:rFonts w:ascii="Times New Roman" w:eastAsia="宋体" w:hAnsi="Times New Roman" w:cs="Times New Roman"/>
                <w:szCs w:val="21"/>
              </w:rPr>
            </w:pPr>
          </w:p>
        </w:tc>
        <w:tc>
          <w:tcPr>
            <w:tcW w:w="2192" w:type="dxa"/>
            <w:vMerge/>
            <w:vAlign w:val="center"/>
          </w:tcPr>
          <w:p w14:paraId="428360B8" w14:textId="77777777" w:rsidR="002133E3" w:rsidRDefault="002133E3">
            <w:pPr>
              <w:jc w:val="center"/>
              <w:rPr>
                <w:rFonts w:ascii="Times New Roman" w:eastAsia="宋体" w:hAnsi="Times New Roman" w:cs="Times New Roman"/>
                <w:szCs w:val="21"/>
              </w:rPr>
            </w:pPr>
          </w:p>
        </w:tc>
        <w:tc>
          <w:tcPr>
            <w:tcW w:w="1948" w:type="dxa"/>
            <w:vAlign w:val="center"/>
          </w:tcPr>
          <w:p w14:paraId="45224EA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第二类用地</w:t>
            </w:r>
          </w:p>
        </w:tc>
        <w:tc>
          <w:tcPr>
            <w:tcW w:w="1950" w:type="dxa"/>
            <w:vAlign w:val="center"/>
          </w:tcPr>
          <w:p w14:paraId="502F63E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第二类用地</w:t>
            </w:r>
          </w:p>
        </w:tc>
      </w:tr>
      <w:tr w:rsidR="002133E3" w14:paraId="5FE53229" w14:textId="77777777">
        <w:trPr>
          <w:trHeight w:val="284"/>
          <w:jc w:val="center"/>
        </w:trPr>
        <w:tc>
          <w:tcPr>
            <w:tcW w:w="9741" w:type="dxa"/>
            <w:gridSpan w:val="5"/>
            <w:vAlign w:val="center"/>
          </w:tcPr>
          <w:p w14:paraId="39BE984A"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重金属和无机物</w:t>
            </w:r>
          </w:p>
        </w:tc>
      </w:tr>
      <w:tr w:rsidR="002133E3" w14:paraId="65EA35F9" w14:textId="77777777">
        <w:trPr>
          <w:trHeight w:val="284"/>
          <w:jc w:val="center"/>
        </w:trPr>
        <w:tc>
          <w:tcPr>
            <w:tcW w:w="1062" w:type="dxa"/>
            <w:vAlign w:val="center"/>
          </w:tcPr>
          <w:p w14:paraId="76C242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2589" w:type="dxa"/>
            <w:vAlign w:val="center"/>
          </w:tcPr>
          <w:p w14:paraId="1581395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砷</w:t>
            </w:r>
          </w:p>
        </w:tc>
        <w:tc>
          <w:tcPr>
            <w:tcW w:w="2192" w:type="dxa"/>
            <w:vAlign w:val="center"/>
          </w:tcPr>
          <w:p w14:paraId="198208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7440-38-2</w:t>
            </w:r>
          </w:p>
        </w:tc>
        <w:tc>
          <w:tcPr>
            <w:tcW w:w="1948" w:type="dxa"/>
            <w:vAlign w:val="center"/>
          </w:tcPr>
          <w:p w14:paraId="2C99DD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c>
          <w:tcPr>
            <w:tcW w:w="1950" w:type="dxa"/>
            <w:vAlign w:val="center"/>
          </w:tcPr>
          <w:p w14:paraId="25C3DC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140</w:t>
            </w:r>
          </w:p>
        </w:tc>
      </w:tr>
      <w:tr w:rsidR="002133E3" w14:paraId="6377F758" w14:textId="77777777">
        <w:trPr>
          <w:trHeight w:val="284"/>
          <w:jc w:val="center"/>
        </w:trPr>
        <w:tc>
          <w:tcPr>
            <w:tcW w:w="1062" w:type="dxa"/>
            <w:vAlign w:val="center"/>
          </w:tcPr>
          <w:p w14:paraId="65258F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2589" w:type="dxa"/>
            <w:vAlign w:val="center"/>
          </w:tcPr>
          <w:p w14:paraId="6CF5D63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镉</w:t>
            </w:r>
          </w:p>
        </w:tc>
        <w:tc>
          <w:tcPr>
            <w:tcW w:w="2192" w:type="dxa"/>
            <w:vAlign w:val="center"/>
          </w:tcPr>
          <w:p w14:paraId="2E2773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7440-43-9</w:t>
            </w:r>
          </w:p>
        </w:tc>
        <w:tc>
          <w:tcPr>
            <w:tcW w:w="1948" w:type="dxa"/>
            <w:vAlign w:val="center"/>
          </w:tcPr>
          <w:p w14:paraId="3A7615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65</w:t>
            </w:r>
          </w:p>
        </w:tc>
        <w:tc>
          <w:tcPr>
            <w:tcW w:w="1950" w:type="dxa"/>
            <w:vAlign w:val="center"/>
          </w:tcPr>
          <w:p w14:paraId="5F232CB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172</w:t>
            </w:r>
          </w:p>
        </w:tc>
      </w:tr>
      <w:tr w:rsidR="002133E3" w14:paraId="28CA976D" w14:textId="77777777">
        <w:trPr>
          <w:trHeight w:val="284"/>
          <w:jc w:val="center"/>
        </w:trPr>
        <w:tc>
          <w:tcPr>
            <w:tcW w:w="1062" w:type="dxa"/>
            <w:vAlign w:val="center"/>
          </w:tcPr>
          <w:p w14:paraId="0C58DD0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2589" w:type="dxa"/>
            <w:vAlign w:val="center"/>
          </w:tcPr>
          <w:p w14:paraId="482381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铬</w:t>
            </w:r>
            <w:r>
              <w:rPr>
                <w:rFonts w:ascii="Times New Roman" w:eastAsia="宋体" w:hAnsi="Times New Roman" w:cs="Times New Roman"/>
                <w:szCs w:val="21"/>
              </w:rPr>
              <w:t>(</w:t>
            </w:r>
            <w:r>
              <w:rPr>
                <w:rFonts w:ascii="Times New Roman" w:eastAsia="宋体" w:hAnsi="Times New Roman" w:cs="Times New Roman"/>
                <w:szCs w:val="21"/>
              </w:rPr>
              <w:t>六价</w:t>
            </w:r>
            <w:r>
              <w:rPr>
                <w:rFonts w:ascii="Times New Roman" w:eastAsia="宋体" w:hAnsi="Times New Roman" w:cs="Times New Roman"/>
                <w:szCs w:val="21"/>
              </w:rPr>
              <w:t>)</w:t>
            </w:r>
          </w:p>
        </w:tc>
        <w:tc>
          <w:tcPr>
            <w:tcW w:w="2192" w:type="dxa"/>
            <w:vAlign w:val="center"/>
          </w:tcPr>
          <w:p w14:paraId="151C811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18540-29-9</w:t>
            </w:r>
          </w:p>
        </w:tc>
        <w:tc>
          <w:tcPr>
            <w:tcW w:w="1948" w:type="dxa"/>
            <w:vAlign w:val="center"/>
          </w:tcPr>
          <w:p w14:paraId="0190FD2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5.7</w:t>
            </w:r>
          </w:p>
        </w:tc>
        <w:tc>
          <w:tcPr>
            <w:tcW w:w="1950" w:type="dxa"/>
            <w:vAlign w:val="center"/>
          </w:tcPr>
          <w:p w14:paraId="324C00E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78</w:t>
            </w:r>
          </w:p>
        </w:tc>
      </w:tr>
      <w:tr w:rsidR="002133E3" w14:paraId="7E5DA230" w14:textId="77777777">
        <w:trPr>
          <w:trHeight w:val="284"/>
          <w:jc w:val="center"/>
        </w:trPr>
        <w:tc>
          <w:tcPr>
            <w:tcW w:w="1062" w:type="dxa"/>
            <w:vAlign w:val="center"/>
          </w:tcPr>
          <w:p w14:paraId="7F1FEDD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2589" w:type="dxa"/>
            <w:vAlign w:val="center"/>
          </w:tcPr>
          <w:p w14:paraId="06F49DB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铜</w:t>
            </w:r>
          </w:p>
        </w:tc>
        <w:tc>
          <w:tcPr>
            <w:tcW w:w="2192" w:type="dxa"/>
            <w:vAlign w:val="center"/>
          </w:tcPr>
          <w:p w14:paraId="7152A1A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7440-50-8</w:t>
            </w:r>
          </w:p>
        </w:tc>
        <w:tc>
          <w:tcPr>
            <w:tcW w:w="1948" w:type="dxa"/>
            <w:vAlign w:val="center"/>
          </w:tcPr>
          <w:p w14:paraId="0A0FBA3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18000</w:t>
            </w:r>
          </w:p>
        </w:tc>
        <w:tc>
          <w:tcPr>
            <w:tcW w:w="1950" w:type="dxa"/>
            <w:vAlign w:val="center"/>
          </w:tcPr>
          <w:p w14:paraId="18688FB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36000</w:t>
            </w:r>
          </w:p>
        </w:tc>
      </w:tr>
      <w:tr w:rsidR="002133E3" w14:paraId="7956213B" w14:textId="77777777">
        <w:trPr>
          <w:trHeight w:val="284"/>
          <w:jc w:val="center"/>
        </w:trPr>
        <w:tc>
          <w:tcPr>
            <w:tcW w:w="1062" w:type="dxa"/>
            <w:vAlign w:val="center"/>
          </w:tcPr>
          <w:p w14:paraId="6923F5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5</w:t>
            </w:r>
          </w:p>
        </w:tc>
        <w:tc>
          <w:tcPr>
            <w:tcW w:w="2589" w:type="dxa"/>
            <w:vAlign w:val="center"/>
          </w:tcPr>
          <w:p w14:paraId="2386CAD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铅</w:t>
            </w:r>
          </w:p>
        </w:tc>
        <w:tc>
          <w:tcPr>
            <w:tcW w:w="2192" w:type="dxa"/>
            <w:vAlign w:val="center"/>
          </w:tcPr>
          <w:p w14:paraId="052161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7439-92-1</w:t>
            </w:r>
          </w:p>
        </w:tc>
        <w:tc>
          <w:tcPr>
            <w:tcW w:w="1948" w:type="dxa"/>
            <w:vAlign w:val="center"/>
          </w:tcPr>
          <w:p w14:paraId="6C96A34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800</w:t>
            </w:r>
          </w:p>
        </w:tc>
        <w:tc>
          <w:tcPr>
            <w:tcW w:w="1950" w:type="dxa"/>
            <w:vAlign w:val="center"/>
          </w:tcPr>
          <w:p w14:paraId="6A0267D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2500</w:t>
            </w:r>
          </w:p>
        </w:tc>
      </w:tr>
      <w:tr w:rsidR="002133E3" w14:paraId="21DB1DD7" w14:textId="77777777">
        <w:trPr>
          <w:trHeight w:val="284"/>
          <w:jc w:val="center"/>
        </w:trPr>
        <w:tc>
          <w:tcPr>
            <w:tcW w:w="1062" w:type="dxa"/>
            <w:vAlign w:val="center"/>
          </w:tcPr>
          <w:p w14:paraId="7845BFE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w:t>
            </w:r>
          </w:p>
        </w:tc>
        <w:tc>
          <w:tcPr>
            <w:tcW w:w="2589" w:type="dxa"/>
            <w:vAlign w:val="center"/>
          </w:tcPr>
          <w:p w14:paraId="26DF06D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汞</w:t>
            </w:r>
          </w:p>
        </w:tc>
        <w:tc>
          <w:tcPr>
            <w:tcW w:w="2192" w:type="dxa"/>
            <w:vAlign w:val="center"/>
          </w:tcPr>
          <w:p w14:paraId="551703F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7439-97-6</w:t>
            </w:r>
          </w:p>
        </w:tc>
        <w:tc>
          <w:tcPr>
            <w:tcW w:w="1948" w:type="dxa"/>
            <w:vAlign w:val="center"/>
          </w:tcPr>
          <w:p w14:paraId="6EFFA64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38</w:t>
            </w:r>
          </w:p>
        </w:tc>
        <w:tc>
          <w:tcPr>
            <w:tcW w:w="1950" w:type="dxa"/>
            <w:vAlign w:val="center"/>
          </w:tcPr>
          <w:p w14:paraId="609A7D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82</w:t>
            </w:r>
          </w:p>
        </w:tc>
      </w:tr>
      <w:tr w:rsidR="002133E3" w14:paraId="734BC9F1" w14:textId="77777777">
        <w:trPr>
          <w:trHeight w:val="284"/>
          <w:jc w:val="center"/>
        </w:trPr>
        <w:tc>
          <w:tcPr>
            <w:tcW w:w="1062" w:type="dxa"/>
            <w:vAlign w:val="center"/>
          </w:tcPr>
          <w:p w14:paraId="6E148E6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w:t>
            </w:r>
          </w:p>
        </w:tc>
        <w:tc>
          <w:tcPr>
            <w:tcW w:w="2589" w:type="dxa"/>
            <w:vAlign w:val="center"/>
          </w:tcPr>
          <w:p w14:paraId="25A8FD2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镍</w:t>
            </w:r>
          </w:p>
        </w:tc>
        <w:tc>
          <w:tcPr>
            <w:tcW w:w="2192" w:type="dxa"/>
            <w:vAlign w:val="center"/>
          </w:tcPr>
          <w:p w14:paraId="5F05CB3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7440-02-0</w:t>
            </w:r>
          </w:p>
        </w:tc>
        <w:tc>
          <w:tcPr>
            <w:tcW w:w="1948" w:type="dxa"/>
            <w:vAlign w:val="center"/>
          </w:tcPr>
          <w:p w14:paraId="7C51E05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900</w:t>
            </w:r>
          </w:p>
        </w:tc>
        <w:tc>
          <w:tcPr>
            <w:tcW w:w="1950" w:type="dxa"/>
            <w:vAlign w:val="center"/>
          </w:tcPr>
          <w:p w14:paraId="6C18178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2000</w:t>
            </w:r>
          </w:p>
        </w:tc>
      </w:tr>
      <w:tr w:rsidR="002133E3" w14:paraId="37E74FD8" w14:textId="77777777">
        <w:trPr>
          <w:trHeight w:val="284"/>
          <w:jc w:val="center"/>
        </w:trPr>
        <w:tc>
          <w:tcPr>
            <w:tcW w:w="9741" w:type="dxa"/>
            <w:gridSpan w:val="5"/>
            <w:vAlign w:val="center"/>
          </w:tcPr>
          <w:p w14:paraId="3D8F2766"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挥发性有机物</w:t>
            </w:r>
          </w:p>
        </w:tc>
      </w:tr>
      <w:tr w:rsidR="002133E3" w14:paraId="04C837A1" w14:textId="77777777">
        <w:trPr>
          <w:trHeight w:val="284"/>
          <w:jc w:val="center"/>
        </w:trPr>
        <w:tc>
          <w:tcPr>
            <w:tcW w:w="1062" w:type="dxa"/>
            <w:vAlign w:val="center"/>
          </w:tcPr>
          <w:p w14:paraId="3FEED8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2589" w:type="dxa"/>
            <w:vAlign w:val="center"/>
          </w:tcPr>
          <w:p w14:paraId="48F487D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四氯化碳</w:t>
            </w:r>
          </w:p>
        </w:tc>
        <w:tc>
          <w:tcPr>
            <w:tcW w:w="2192" w:type="dxa"/>
            <w:vAlign w:val="center"/>
          </w:tcPr>
          <w:p w14:paraId="680BCE5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56-23-5</w:t>
            </w:r>
          </w:p>
        </w:tc>
        <w:tc>
          <w:tcPr>
            <w:tcW w:w="1948" w:type="dxa"/>
            <w:vAlign w:val="center"/>
          </w:tcPr>
          <w:p w14:paraId="27F7E94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1950" w:type="dxa"/>
            <w:vAlign w:val="center"/>
          </w:tcPr>
          <w:p w14:paraId="6CBC099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36</w:t>
            </w:r>
          </w:p>
        </w:tc>
      </w:tr>
      <w:tr w:rsidR="002133E3" w14:paraId="5BDB8B0A" w14:textId="77777777">
        <w:trPr>
          <w:trHeight w:val="284"/>
          <w:jc w:val="center"/>
        </w:trPr>
        <w:tc>
          <w:tcPr>
            <w:tcW w:w="1062" w:type="dxa"/>
            <w:vAlign w:val="center"/>
          </w:tcPr>
          <w:p w14:paraId="100ACC4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2589" w:type="dxa"/>
            <w:vAlign w:val="center"/>
          </w:tcPr>
          <w:p w14:paraId="094B301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氯仿</w:t>
            </w:r>
          </w:p>
        </w:tc>
        <w:tc>
          <w:tcPr>
            <w:tcW w:w="2192" w:type="dxa"/>
            <w:vAlign w:val="center"/>
          </w:tcPr>
          <w:p w14:paraId="247F83B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67-66-3</w:t>
            </w:r>
          </w:p>
        </w:tc>
        <w:tc>
          <w:tcPr>
            <w:tcW w:w="1948" w:type="dxa"/>
            <w:vAlign w:val="center"/>
          </w:tcPr>
          <w:p w14:paraId="4AEDF72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0.9</w:t>
            </w:r>
          </w:p>
        </w:tc>
        <w:tc>
          <w:tcPr>
            <w:tcW w:w="1950" w:type="dxa"/>
            <w:vAlign w:val="center"/>
          </w:tcPr>
          <w:p w14:paraId="262E5E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r>
      <w:tr w:rsidR="002133E3" w14:paraId="22539C86" w14:textId="77777777">
        <w:trPr>
          <w:trHeight w:val="284"/>
          <w:jc w:val="center"/>
        </w:trPr>
        <w:tc>
          <w:tcPr>
            <w:tcW w:w="1062" w:type="dxa"/>
            <w:vAlign w:val="center"/>
          </w:tcPr>
          <w:p w14:paraId="1071E8C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2589" w:type="dxa"/>
            <w:vAlign w:val="center"/>
          </w:tcPr>
          <w:p w14:paraId="7CFD0F6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氯甲烷</w:t>
            </w:r>
          </w:p>
        </w:tc>
        <w:tc>
          <w:tcPr>
            <w:tcW w:w="2192" w:type="dxa"/>
            <w:vAlign w:val="center"/>
          </w:tcPr>
          <w:p w14:paraId="1346050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74-87-3</w:t>
            </w:r>
          </w:p>
        </w:tc>
        <w:tc>
          <w:tcPr>
            <w:tcW w:w="1948" w:type="dxa"/>
            <w:vAlign w:val="center"/>
          </w:tcPr>
          <w:p w14:paraId="003C4A3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37</w:t>
            </w:r>
          </w:p>
        </w:tc>
        <w:tc>
          <w:tcPr>
            <w:tcW w:w="1950" w:type="dxa"/>
            <w:vAlign w:val="center"/>
          </w:tcPr>
          <w:p w14:paraId="23F8FE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120</w:t>
            </w:r>
          </w:p>
        </w:tc>
      </w:tr>
      <w:tr w:rsidR="002133E3" w14:paraId="6CA96AC8" w14:textId="77777777">
        <w:trPr>
          <w:trHeight w:val="284"/>
          <w:jc w:val="center"/>
        </w:trPr>
        <w:tc>
          <w:tcPr>
            <w:tcW w:w="1062" w:type="dxa"/>
            <w:vAlign w:val="center"/>
          </w:tcPr>
          <w:p w14:paraId="7CA87C5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w:t>
            </w:r>
          </w:p>
        </w:tc>
        <w:tc>
          <w:tcPr>
            <w:tcW w:w="2589" w:type="dxa"/>
            <w:vAlign w:val="center"/>
          </w:tcPr>
          <w:p w14:paraId="66B6461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w:t>
            </w:r>
            <w:r>
              <w:rPr>
                <w:rFonts w:ascii="Times New Roman" w:eastAsia="宋体" w:hAnsi="Times New Roman" w:cs="Times New Roman"/>
                <w:szCs w:val="21"/>
              </w:rPr>
              <w:t>二氯乙烷</w:t>
            </w:r>
          </w:p>
        </w:tc>
        <w:tc>
          <w:tcPr>
            <w:tcW w:w="2192" w:type="dxa"/>
            <w:vAlign w:val="center"/>
          </w:tcPr>
          <w:p w14:paraId="79AC5E6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75-34-3</w:t>
            </w:r>
          </w:p>
        </w:tc>
        <w:tc>
          <w:tcPr>
            <w:tcW w:w="1948" w:type="dxa"/>
            <w:vAlign w:val="center"/>
          </w:tcPr>
          <w:p w14:paraId="64AFC65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1950" w:type="dxa"/>
            <w:vAlign w:val="center"/>
          </w:tcPr>
          <w:p w14:paraId="4659589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w:t>
            </w:r>
          </w:p>
        </w:tc>
      </w:tr>
      <w:tr w:rsidR="002133E3" w14:paraId="7BF2F267" w14:textId="77777777">
        <w:trPr>
          <w:trHeight w:val="284"/>
          <w:jc w:val="center"/>
        </w:trPr>
        <w:tc>
          <w:tcPr>
            <w:tcW w:w="1062" w:type="dxa"/>
            <w:vAlign w:val="center"/>
          </w:tcPr>
          <w:p w14:paraId="3A725C2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w:t>
            </w:r>
          </w:p>
        </w:tc>
        <w:tc>
          <w:tcPr>
            <w:tcW w:w="2589" w:type="dxa"/>
            <w:vAlign w:val="center"/>
          </w:tcPr>
          <w:p w14:paraId="504590B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w:t>
            </w:r>
            <w:r>
              <w:rPr>
                <w:rFonts w:ascii="Times New Roman" w:eastAsia="宋体" w:hAnsi="Times New Roman" w:cs="Times New Roman"/>
                <w:szCs w:val="21"/>
              </w:rPr>
              <w:t>二氯乙烷</w:t>
            </w:r>
          </w:p>
        </w:tc>
        <w:tc>
          <w:tcPr>
            <w:tcW w:w="2192" w:type="dxa"/>
            <w:vAlign w:val="center"/>
          </w:tcPr>
          <w:p w14:paraId="17CCB8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107-06-2</w:t>
            </w:r>
          </w:p>
        </w:tc>
        <w:tc>
          <w:tcPr>
            <w:tcW w:w="1948" w:type="dxa"/>
            <w:vAlign w:val="center"/>
          </w:tcPr>
          <w:p w14:paraId="23C778A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1950" w:type="dxa"/>
            <w:vAlign w:val="center"/>
          </w:tcPr>
          <w:p w14:paraId="366C833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21</w:t>
            </w:r>
          </w:p>
        </w:tc>
      </w:tr>
      <w:tr w:rsidR="002133E3" w14:paraId="4AC7C613" w14:textId="77777777">
        <w:trPr>
          <w:trHeight w:val="284"/>
          <w:jc w:val="center"/>
        </w:trPr>
        <w:tc>
          <w:tcPr>
            <w:tcW w:w="1062" w:type="dxa"/>
            <w:vAlign w:val="center"/>
          </w:tcPr>
          <w:p w14:paraId="324A4B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13</w:t>
            </w:r>
          </w:p>
        </w:tc>
        <w:tc>
          <w:tcPr>
            <w:tcW w:w="2589" w:type="dxa"/>
            <w:vAlign w:val="center"/>
          </w:tcPr>
          <w:p w14:paraId="6737F3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w:t>
            </w:r>
            <w:r>
              <w:rPr>
                <w:rFonts w:ascii="Times New Roman" w:eastAsia="宋体" w:hAnsi="Times New Roman" w:cs="Times New Roman"/>
                <w:szCs w:val="21"/>
              </w:rPr>
              <w:t>二氯乙烯</w:t>
            </w:r>
          </w:p>
        </w:tc>
        <w:tc>
          <w:tcPr>
            <w:tcW w:w="2192" w:type="dxa"/>
            <w:vAlign w:val="center"/>
          </w:tcPr>
          <w:p w14:paraId="68774C9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75-35-4</w:t>
            </w:r>
          </w:p>
        </w:tc>
        <w:tc>
          <w:tcPr>
            <w:tcW w:w="1948" w:type="dxa"/>
            <w:vAlign w:val="center"/>
          </w:tcPr>
          <w:p w14:paraId="43C25CF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66</w:t>
            </w:r>
          </w:p>
        </w:tc>
        <w:tc>
          <w:tcPr>
            <w:tcW w:w="1950" w:type="dxa"/>
            <w:vAlign w:val="center"/>
          </w:tcPr>
          <w:p w14:paraId="1275C30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w:t>
            </w:r>
          </w:p>
        </w:tc>
      </w:tr>
      <w:tr w:rsidR="002133E3" w14:paraId="07D188F0" w14:textId="77777777">
        <w:trPr>
          <w:trHeight w:val="284"/>
          <w:jc w:val="center"/>
        </w:trPr>
        <w:tc>
          <w:tcPr>
            <w:tcW w:w="1062" w:type="dxa"/>
            <w:vAlign w:val="center"/>
          </w:tcPr>
          <w:p w14:paraId="6D069B4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14</w:t>
            </w:r>
          </w:p>
        </w:tc>
        <w:tc>
          <w:tcPr>
            <w:tcW w:w="2589" w:type="dxa"/>
            <w:vAlign w:val="center"/>
          </w:tcPr>
          <w:p w14:paraId="317F942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顺</w:t>
            </w:r>
            <w:r>
              <w:rPr>
                <w:rFonts w:ascii="Times New Roman" w:eastAsia="宋体" w:hAnsi="Times New Roman" w:cs="Times New Roman"/>
                <w:szCs w:val="21"/>
              </w:rPr>
              <w:t>-1,2-</w:t>
            </w:r>
            <w:r>
              <w:rPr>
                <w:rFonts w:ascii="Times New Roman" w:eastAsia="宋体" w:hAnsi="Times New Roman" w:cs="Times New Roman"/>
                <w:szCs w:val="21"/>
              </w:rPr>
              <w:t>二氯乙烯</w:t>
            </w:r>
          </w:p>
        </w:tc>
        <w:tc>
          <w:tcPr>
            <w:tcW w:w="2192" w:type="dxa"/>
            <w:vAlign w:val="center"/>
          </w:tcPr>
          <w:p w14:paraId="0662D61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156-59-2</w:t>
            </w:r>
          </w:p>
        </w:tc>
        <w:tc>
          <w:tcPr>
            <w:tcW w:w="1948" w:type="dxa"/>
            <w:vAlign w:val="center"/>
          </w:tcPr>
          <w:p w14:paraId="18BCD06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596</w:t>
            </w:r>
          </w:p>
        </w:tc>
        <w:tc>
          <w:tcPr>
            <w:tcW w:w="1950" w:type="dxa"/>
            <w:vAlign w:val="center"/>
          </w:tcPr>
          <w:p w14:paraId="1E92FBC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2000</w:t>
            </w:r>
          </w:p>
        </w:tc>
      </w:tr>
      <w:tr w:rsidR="002133E3" w14:paraId="761BA520" w14:textId="77777777">
        <w:trPr>
          <w:trHeight w:val="284"/>
          <w:jc w:val="center"/>
        </w:trPr>
        <w:tc>
          <w:tcPr>
            <w:tcW w:w="1062" w:type="dxa"/>
            <w:vAlign w:val="center"/>
          </w:tcPr>
          <w:p w14:paraId="0C7F26E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2589" w:type="dxa"/>
            <w:vAlign w:val="center"/>
          </w:tcPr>
          <w:p w14:paraId="0503F28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反</w:t>
            </w:r>
            <w:r>
              <w:rPr>
                <w:rFonts w:ascii="Times New Roman" w:eastAsia="宋体" w:hAnsi="Times New Roman" w:cs="Times New Roman"/>
                <w:szCs w:val="21"/>
              </w:rPr>
              <w:t>-1,2-</w:t>
            </w:r>
            <w:r>
              <w:rPr>
                <w:rFonts w:ascii="Times New Roman" w:eastAsia="宋体" w:hAnsi="Times New Roman" w:cs="Times New Roman"/>
                <w:szCs w:val="21"/>
              </w:rPr>
              <w:t>二氯乙烯</w:t>
            </w:r>
          </w:p>
        </w:tc>
        <w:tc>
          <w:tcPr>
            <w:tcW w:w="2192" w:type="dxa"/>
            <w:vAlign w:val="center"/>
          </w:tcPr>
          <w:p w14:paraId="037B64D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156-60-5</w:t>
            </w:r>
          </w:p>
        </w:tc>
        <w:tc>
          <w:tcPr>
            <w:tcW w:w="1948" w:type="dxa"/>
            <w:vAlign w:val="center"/>
          </w:tcPr>
          <w:p w14:paraId="2FD7FFA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54</w:t>
            </w:r>
          </w:p>
        </w:tc>
        <w:tc>
          <w:tcPr>
            <w:tcW w:w="1950" w:type="dxa"/>
            <w:vAlign w:val="center"/>
          </w:tcPr>
          <w:p w14:paraId="0C7817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163</w:t>
            </w:r>
          </w:p>
        </w:tc>
      </w:tr>
      <w:tr w:rsidR="002133E3" w14:paraId="79949EF3" w14:textId="77777777">
        <w:trPr>
          <w:trHeight w:val="284"/>
          <w:jc w:val="center"/>
        </w:trPr>
        <w:tc>
          <w:tcPr>
            <w:tcW w:w="1062" w:type="dxa"/>
            <w:vAlign w:val="center"/>
          </w:tcPr>
          <w:p w14:paraId="1D9AA48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16</w:t>
            </w:r>
          </w:p>
        </w:tc>
        <w:tc>
          <w:tcPr>
            <w:tcW w:w="2589" w:type="dxa"/>
            <w:vAlign w:val="center"/>
          </w:tcPr>
          <w:p w14:paraId="50A78CA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二氯甲烷</w:t>
            </w:r>
          </w:p>
        </w:tc>
        <w:tc>
          <w:tcPr>
            <w:tcW w:w="2192" w:type="dxa"/>
            <w:vAlign w:val="center"/>
          </w:tcPr>
          <w:p w14:paraId="46CC2E9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75-09-2</w:t>
            </w:r>
          </w:p>
        </w:tc>
        <w:tc>
          <w:tcPr>
            <w:tcW w:w="1948" w:type="dxa"/>
            <w:vAlign w:val="center"/>
          </w:tcPr>
          <w:p w14:paraId="222573F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616</w:t>
            </w:r>
          </w:p>
        </w:tc>
        <w:tc>
          <w:tcPr>
            <w:tcW w:w="1950" w:type="dxa"/>
            <w:vAlign w:val="center"/>
          </w:tcPr>
          <w:p w14:paraId="11DD806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2000</w:t>
            </w:r>
          </w:p>
        </w:tc>
      </w:tr>
      <w:tr w:rsidR="002133E3" w14:paraId="067FB6F2" w14:textId="77777777">
        <w:trPr>
          <w:trHeight w:val="284"/>
          <w:jc w:val="center"/>
        </w:trPr>
        <w:tc>
          <w:tcPr>
            <w:tcW w:w="1062" w:type="dxa"/>
            <w:vAlign w:val="center"/>
          </w:tcPr>
          <w:p w14:paraId="55A2C9C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w:t>
            </w:r>
          </w:p>
        </w:tc>
        <w:tc>
          <w:tcPr>
            <w:tcW w:w="2589" w:type="dxa"/>
            <w:vAlign w:val="center"/>
          </w:tcPr>
          <w:p w14:paraId="6124FC0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w:t>
            </w:r>
            <w:r>
              <w:rPr>
                <w:rFonts w:ascii="Times New Roman" w:eastAsia="宋体" w:hAnsi="Times New Roman" w:cs="Times New Roman"/>
                <w:szCs w:val="21"/>
              </w:rPr>
              <w:t>二氯丙烷</w:t>
            </w:r>
          </w:p>
        </w:tc>
        <w:tc>
          <w:tcPr>
            <w:tcW w:w="2192" w:type="dxa"/>
            <w:vAlign w:val="center"/>
          </w:tcPr>
          <w:p w14:paraId="62E4FBE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78-87-5</w:t>
            </w:r>
          </w:p>
        </w:tc>
        <w:tc>
          <w:tcPr>
            <w:tcW w:w="1948" w:type="dxa"/>
            <w:vAlign w:val="center"/>
          </w:tcPr>
          <w:p w14:paraId="05A157B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1950" w:type="dxa"/>
            <w:vAlign w:val="center"/>
          </w:tcPr>
          <w:p w14:paraId="19AFC0A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47</w:t>
            </w:r>
          </w:p>
        </w:tc>
      </w:tr>
      <w:tr w:rsidR="002133E3" w14:paraId="36EC4CFF" w14:textId="77777777">
        <w:trPr>
          <w:trHeight w:val="284"/>
          <w:jc w:val="center"/>
        </w:trPr>
        <w:tc>
          <w:tcPr>
            <w:tcW w:w="1062" w:type="dxa"/>
            <w:vAlign w:val="center"/>
          </w:tcPr>
          <w:p w14:paraId="6C9A0C5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18</w:t>
            </w:r>
          </w:p>
        </w:tc>
        <w:tc>
          <w:tcPr>
            <w:tcW w:w="2589" w:type="dxa"/>
            <w:vAlign w:val="center"/>
          </w:tcPr>
          <w:p w14:paraId="6CD79EA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1,1,1,2-</w:t>
            </w:r>
            <w:r>
              <w:rPr>
                <w:rFonts w:ascii="Times New Roman" w:eastAsia="宋体" w:hAnsi="Times New Roman" w:cs="Times New Roman"/>
                <w:szCs w:val="21"/>
              </w:rPr>
              <w:t>四氯乙烷</w:t>
            </w:r>
          </w:p>
        </w:tc>
        <w:tc>
          <w:tcPr>
            <w:tcW w:w="2192" w:type="dxa"/>
            <w:vAlign w:val="center"/>
          </w:tcPr>
          <w:p w14:paraId="26EE1FB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630-20-6</w:t>
            </w:r>
          </w:p>
        </w:tc>
        <w:tc>
          <w:tcPr>
            <w:tcW w:w="1948" w:type="dxa"/>
            <w:vAlign w:val="center"/>
          </w:tcPr>
          <w:p w14:paraId="1842BDF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950" w:type="dxa"/>
            <w:vAlign w:val="center"/>
          </w:tcPr>
          <w:p w14:paraId="537E7F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w:t>
            </w:r>
          </w:p>
        </w:tc>
      </w:tr>
      <w:tr w:rsidR="002133E3" w14:paraId="0F0719B1" w14:textId="77777777">
        <w:trPr>
          <w:trHeight w:val="284"/>
          <w:jc w:val="center"/>
        </w:trPr>
        <w:tc>
          <w:tcPr>
            <w:tcW w:w="1062" w:type="dxa"/>
            <w:vAlign w:val="center"/>
          </w:tcPr>
          <w:p w14:paraId="2252B3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w:t>
            </w:r>
          </w:p>
        </w:tc>
        <w:tc>
          <w:tcPr>
            <w:tcW w:w="2589" w:type="dxa"/>
            <w:vAlign w:val="center"/>
          </w:tcPr>
          <w:p w14:paraId="59CC293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1,1,2,2-</w:t>
            </w:r>
            <w:r>
              <w:rPr>
                <w:rFonts w:ascii="Times New Roman" w:eastAsia="宋体" w:hAnsi="Times New Roman" w:cs="Times New Roman"/>
                <w:szCs w:val="21"/>
              </w:rPr>
              <w:t>四氯乙烷</w:t>
            </w:r>
          </w:p>
        </w:tc>
        <w:tc>
          <w:tcPr>
            <w:tcW w:w="2192" w:type="dxa"/>
            <w:vAlign w:val="center"/>
          </w:tcPr>
          <w:p w14:paraId="0854FD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79-34-5</w:t>
            </w:r>
          </w:p>
        </w:tc>
        <w:tc>
          <w:tcPr>
            <w:tcW w:w="1948" w:type="dxa"/>
            <w:vAlign w:val="center"/>
          </w:tcPr>
          <w:p w14:paraId="3F9AEE0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6.8</w:t>
            </w:r>
          </w:p>
        </w:tc>
        <w:tc>
          <w:tcPr>
            <w:tcW w:w="1950" w:type="dxa"/>
            <w:vAlign w:val="center"/>
          </w:tcPr>
          <w:p w14:paraId="35AB7DD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w:t>
            </w:r>
          </w:p>
        </w:tc>
      </w:tr>
      <w:tr w:rsidR="002133E3" w14:paraId="3C86150C" w14:textId="77777777">
        <w:trPr>
          <w:trHeight w:val="284"/>
          <w:jc w:val="center"/>
        </w:trPr>
        <w:tc>
          <w:tcPr>
            <w:tcW w:w="1062" w:type="dxa"/>
            <w:vAlign w:val="center"/>
          </w:tcPr>
          <w:p w14:paraId="1E714F7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2589" w:type="dxa"/>
            <w:vAlign w:val="center"/>
          </w:tcPr>
          <w:p w14:paraId="7C01D8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四氯乙烯</w:t>
            </w:r>
          </w:p>
        </w:tc>
        <w:tc>
          <w:tcPr>
            <w:tcW w:w="2192" w:type="dxa"/>
            <w:vAlign w:val="center"/>
          </w:tcPr>
          <w:p w14:paraId="6DE70B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127-18-4</w:t>
            </w:r>
          </w:p>
        </w:tc>
        <w:tc>
          <w:tcPr>
            <w:tcW w:w="1948" w:type="dxa"/>
            <w:vAlign w:val="center"/>
          </w:tcPr>
          <w:p w14:paraId="53A30F7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53</w:t>
            </w:r>
          </w:p>
        </w:tc>
        <w:tc>
          <w:tcPr>
            <w:tcW w:w="1950" w:type="dxa"/>
            <w:vAlign w:val="center"/>
          </w:tcPr>
          <w:p w14:paraId="3195024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183</w:t>
            </w:r>
          </w:p>
        </w:tc>
      </w:tr>
      <w:tr w:rsidR="002133E3" w14:paraId="09B91F7D" w14:textId="77777777">
        <w:trPr>
          <w:trHeight w:val="284"/>
          <w:jc w:val="center"/>
        </w:trPr>
        <w:tc>
          <w:tcPr>
            <w:tcW w:w="1062" w:type="dxa"/>
            <w:vAlign w:val="center"/>
          </w:tcPr>
          <w:p w14:paraId="7EE2355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21</w:t>
            </w:r>
          </w:p>
        </w:tc>
        <w:tc>
          <w:tcPr>
            <w:tcW w:w="2589" w:type="dxa"/>
            <w:vAlign w:val="center"/>
          </w:tcPr>
          <w:p w14:paraId="47261FF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1,1,1-</w:t>
            </w:r>
            <w:r>
              <w:rPr>
                <w:rFonts w:ascii="Times New Roman" w:eastAsia="宋体" w:hAnsi="Times New Roman" w:cs="Times New Roman"/>
                <w:szCs w:val="21"/>
              </w:rPr>
              <w:t>三氯乙烷</w:t>
            </w:r>
          </w:p>
        </w:tc>
        <w:tc>
          <w:tcPr>
            <w:tcW w:w="2192" w:type="dxa"/>
            <w:vAlign w:val="center"/>
          </w:tcPr>
          <w:p w14:paraId="1CA5A8F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71-55-6</w:t>
            </w:r>
          </w:p>
        </w:tc>
        <w:tc>
          <w:tcPr>
            <w:tcW w:w="1948" w:type="dxa"/>
            <w:vAlign w:val="center"/>
          </w:tcPr>
          <w:p w14:paraId="1A4EE75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840</w:t>
            </w:r>
          </w:p>
        </w:tc>
        <w:tc>
          <w:tcPr>
            <w:tcW w:w="1950" w:type="dxa"/>
            <w:vAlign w:val="center"/>
          </w:tcPr>
          <w:p w14:paraId="600DBA8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840</w:t>
            </w:r>
          </w:p>
        </w:tc>
      </w:tr>
      <w:tr w:rsidR="002133E3" w14:paraId="7A7D9D49" w14:textId="77777777">
        <w:trPr>
          <w:trHeight w:val="284"/>
          <w:jc w:val="center"/>
        </w:trPr>
        <w:tc>
          <w:tcPr>
            <w:tcW w:w="1062" w:type="dxa"/>
            <w:vAlign w:val="center"/>
          </w:tcPr>
          <w:p w14:paraId="1DF9C77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22</w:t>
            </w:r>
          </w:p>
        </w:tc>
        <w:tc>
          <w:tcPr>
            <w:tcW w:w="2589" w:type="dxa"/>
            <w:vAlign w:val="center"/>
          </w:tcPr>
          <w:p w14:paraId="1265FD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1,1,2-</w:t>
            </w:r>
            <w:r>
              <w:rPr>
                <w:rFonts w:ascii="Times New Roman" w:eastAsia="宋体" w:hAnsi="Times New Roman" w:cs="Times New Roman"/>
                <w:szCs w:val="21"/>
              </w:rPr>
              <w:t>三氯乙烷</w:t>
            </w:r>
          </w:p>
        </w:tc>
        <w:tc>
          <w:tcPr>
            <w:tcW w:w="2192" w:type="dxa"/>
            <w:vAlign w:val="center"/>
          </w:tcPr>
          <w:p w14:paraId="6DC9EF9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79-00-5</w:t>
            </w:r>
          </w:p>
        </w:tc>
        <w:tc>
          <w:tcPr>
            <w:tcW w:w="1948" w:type="dxa"/>
            <w:vAlign w:val="center"/>
          </w:tcPr>
          <w:p w14:paraId="76FA476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1950" w:type="dxa"/>
            <w:vAlign w:val="center"/>
          </w:tcPr>
          <w:p w14:paraId="7A93284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r>
      <w:tr w:rsidR="002133E3" w14:paraId="26DC87F7" w14:textId="77777777">
        <w:trPr>
          <w:trHeight w:val="284"/>
          <w:jc w:val="center"/>
        </w:trPr>
        <w:tc>
          <w:tcPr>
            <w:tcW w:w="1062" w:type="dxa"/>
            <w:vAlign w:val="center"/>
          </w:tcPr>
          <w:p w14:paraId="4007E3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23</w:t>
            </w:r>
          </w:p>
        </w:tc>
        <w:tc>
          <w:tcPr>
            <w:tcW w:w="2589" w:type="dxa"/>
            <w:vAlign w:val="center"/>
          </w:tcPr>
          <w:p w14:paraId="09BCA5B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三氯乙烯</w:t>
            </w:r>
          </w:p>
        </w:tc>
        <w:tc>
          <w:tcPr>
            <w:tcW w:w="2192" w:type="dxa"/>
            <w:vAlign w:val="center"/>
          </w:tcPr>
          <w:p w14:paraId="252E4BE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79-01-6</w:t>
            </w:r>
          </w:p>
        </w:tc>
        <w:tc>
          <w:tcPr>
            <w:tcW w:w="1948" w:type="dxa"/>
            <w:vAlign w:val="center"/>
          </w:tcPr>
          <w:p w14:paraId="7C2392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1950" w:type="dxa"/>
            <w:vAlign w:val="center"/>
          </w:tcPr>
          <w:p w14:paraId="7BC7463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r>
      <w:tr w:rsidR="002133E3" w14:paraId="28EFFBA8" w14:textId="77777777">
        <w:trPr>
          <w:trHeight w:val="284"/>
          <w:jc w:val="center"/>
        </w:trPr>
        <w:tc>
          <w:tcPr>
            <w:tcW w:w="1062" w:type="dxa"/>
            <w:vAlign w:val="center"/>
          </w:tcPr>
          <w:p w14:paraId="7558D13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24</w:t>
            </w:r>
          </w:p>
        </w:tc>
        <w:tc>
          <w:tcPr>
            <w:tcW w:w="2589" w:type="dxa"/>
            <w:vAlign w:val="center"/>
          </w:tcPr>
          <w:p w14:paraId="6B5E230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1,2,3-</w:t>
            </w:r>
            <w:r>
              <w:rPr>
                <w:rFonts w:ascii="Times New Roman" w:eastAsia="宋体" w:hAnsi="Times New Roman" w:cs="Times New Roman"/>
                <w:szCs w:val="21"/>
              </w:rPr>
              <w:t>三氯丙烷</w:t>
            </w:r>
          </w:p>
        </w:tc>
        <w:tc>
          <w:tcPr>
            <w:tcW w:w="2192" w:type="dxa"/>
            <w:vAlign w:val="center"/>
          </w:tcPr>
          <w:p w14:paraId="1573E3C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96-18-4</w:t>
            </w:r>
          </w:p>
        </w:tc>
        <w:tc>
          <w:tcPr>
            <w:tcW w:w="1948" w:type="dxa"/>
            <w:vAlign w:val="center"/>
          </w:tcPr>
          <w:p w14:paraId="19F5D70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0.5</w:t>
            </w:r>
          </w:p>
        </w:tc>
        <w:tc>
          <w:tcPr>
            <w:tcW w:w="1950" w:type="dxa"/>
            <w:vAlign w:val="center"/>
          </w:tcPr>
          <w:p w14:paraId="0746246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r>
      <w:tr w:rsidR="002133E3" w14:paraId="139D8A37" w14:textId="77777777">
        <w:trPr>
          <w:trHeight w:val="284"/>
          <w:jc w:val="center"/>
        </w:trPr>
        <w:tc>
          <w:tcPr>
            <w:tcW w:w="1062" w:type="dxa"/>
            <w:vAlign w:val="center"/>
          </w:tcPr>
          <w:p w14:paraId="19962D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2589" w:type="dxa"/>
            <w:vAlign w:val="center"/>
          </w:tcPr>
          <w:p w14:paraId="3152EC8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氯乙烯</w:t>
            </w:r>
          </w:p>
        </w:tc>
        <w:tc>
          <w:tcPr>
            <w:tcW w:w="2192" w:type="dxa"/>
            <w:vAlign w:val="center"/>
          </w:tcPr>
          <w:p w14:paraId="5549EA8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75-01-4</w:t>
            </w:r>
          </w:p>
        </w:tc>
        <w:tc>
          <w:tcPr>
            <w:tcW w:w="1948" w:type="dxa"/>
            <w:vAlign w:val="center"/>
          </w:tcPr>
          <w:p w14:paraId="0FB779A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0.43</w:t>
            </w:r>
          </w:p>
        </w:tc>
        <w:tc>
          <w:tcPr>
            <w:tcW w:w="1950" w:type="dxa"/>
            <w:vAlign w:val="center"/>
          </w:tcPr>
          <w:p w14:paraId="0CC2435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4.3</w:t>
            </w:r>
          </w:p>
        </w:tc>
      </w:tr>
      <w:tr w:rsidR="002133E3" w14:paraId="0C57F219" w14:textId="77777777">
        <w:trPr>
          <w:trHeight w:val="284"/>
          <w:jc w:val="center"/>
        </w:trPr>
        <w:tc>
          <w:tcPr>
            <w:tcW w:w="1062" w:type="dxa"/>
            <w:vAlign w:val="center"/>
          </w:tcPr>
          <w:p w14:paraId="1DCC294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26</w:t>
            </w:r>
          </w:p>
        </w:tc>
        <w:tc>
          <w:tcPr>
            <w:tcW w:w="2589" w:type="dxa"/>
            <w:vAlign w:val="center"/>
          </w:tcPr>
          <w:p w14:paraId="3C57BB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w:t>
            </w:r>
          </w:p>
        </w:tc>
        <w:tc>
          <w:tcPr>
            <w:tcW w:w="2192" w:type="dxa"/>
            <w:vAlign w:val="center"/>
          </w:tcPr>
          <w:p w14:paraId="0CC292E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71-43-2</w:t>
            </w:r>
          </w:p>
        </w:tc>
        <w:tc>
          <w:tcPr>
            <w:tcW w:w="1948" w:type="dxa"/>
            <w:vAlign w:val="center"/>
          </w:tcPr>
          <w:p w14:paraId="1F8B2F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1950" w:type="dxa"/>
            <w:vAlign w:val="center"/>
          </w:tcPr>
          <w:p w14:paraId="39B9149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w:t>
            </w:r>
          </w:p>
        </w:tc>
      </w:tr>
      <w:tr w:rsidR="002133E3" w14:paraId="676D1174" w14:textId="77777777">
        <w:trPr>
          <w:trHeight w:val="284"/>
          <w:jc w:val="center"/>
        </w:trPr>
        <w:tc>
          <w:tcPr>
            <w:tcW w:w="1062" w:type="dxa"/>
            <w:vAlign w:val="center"/>
          </w:tcPr>
          <w:p w14:paraId="24EF6B9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27</w:t>
            </w:r>
          </w:p>
        </w:tc>
        <w:tc>
          <w:tcPr>
            <w:tcW w:w="2589" w:type="dxa"/>
            <w:vAlign w:val="center"/>
          </w:tcPr>
          <w:p w14:paraId="100071A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氯苯</w:t>
            </w:r>
          </w:p>
        </w:tc>
        <w:tc>
          <w:tcPr>
            <w:tcW w:w="2192" w:type="dxa"/>
            <w:vAlign w:val="center"/>
          </w:tcPr>
          <w:p w14:paraId="7C13F02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108-90-7</w:t>
            </w:r>
          </w:p>
        </w:tc>
        <w:tc>
          <w:tcPr>
            <w:tcW w:w="1948" w:type="dxa"/>
            <w:vAlign w:val="center"/>
          </w:tcPr>
          <w:p w14:paraId="23F1BB2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270</w:t>
            </w:r>
          </w:p>
        </w:tc>
        <w:tc>
          <w:tcPr>
            <w:tcW w:w="1950" w:type="dxa"/>
            <w:vAlign w:val="center"/>
          </w:tcPr>
          <w:p w14:paraId="0BA581B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1000</w:t>
            </w:r>
          </w:p>
        </w:tc>
      </w:tr>
      <w:tr w:rsidR="002133E3" w14:paraId="2E9DA6B7" w14:textId="77777777">
        <w:trPr>
          <w:trHeight w:val="284"/>
          <w:jc w:val="center"/>
        </w:trPr>
        <w:tc>
          <w:tcPr>
            <w:tcW w:w="1062" w:type="dxa"/>
            <w:vAlign w:val="center"/>
          </w:tcPr>
          <w:p w14:paraId="5E438B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2589" w:type="dxa"/>
            <w:vAlign w:val="center"/>
          </w:tcPr>
          <w:p w14:paraId="603DFBE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w:t>
            </w:r>
            <w:r>
              <w:rPr>
                <w:rFonts w:ascii="Times New Roman" w:eastAsia="宋体" w:hAnsi="Times New Roman" w:cs="Times New Roman"/>
                <w:szCs w:val="21"/>
              </w:rPr>
              <w:t>二氯苯</w:t>
            </w:r>
          </w:p>
        </w:tc>
        <w:tc>
          <w:tcPr>
            <w:tcW w:w="2192" w:type="dxa"/>
            <w:vAlign w:val="center"/>
          </w:tcPr>
          <w:p w14:paraId="44F4E71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95-50-1</w:t>
            </w:r>
          </w:p>
        </w:tc>
        <w:tc>
          <w:tcPr>
            <w:tcW w:w="1948" w:type="dxa"/>
            <w:vAlign w:val="center"/>
          </w:tcPr>
          <w:p w14:paraId="02523CF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560</w:t>
            </w:r>
          </w:p>
        </w:tc>
        <w:tc>
          <w:tcPr>
            <w:tcW w:w="1950" w:type="dxa"/>
            <w:vAlign w:val="center"/>
          </w:tcPr>
          <w:p w14:paraId="27F9A0E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560</w:t>
            </w:r>
          </w:p>
        </w:tc>
      </w:tr>
      <w:tr w:rsidR="002133E3" w14:paraId="2A9355C9" w14:textId="77777777">
        <w:trPr>
          <w:trHeight w:val="284"/>
          <w:jc w:val="center"/>
        </w:trPr>
        <w:tc>
          <w:tcPr>
            <w:tcW w:w="1062" w:type="dxa"/>
            <w:vAlign w:val="center"/>
          </w:tcPr>
          <w:p w14:paraId="7111963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29</w:t>
            </w:r>
          </w:p>
        </w:tc>
        <w:tc>
          <w:tcPr>
            <w:tcW w:w="2589" w:type="dxa"/>
            <w:vAlign w:val="center"/>
          </w:tcPr>
          <w:p w14:paraId="4ABBBC3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1,4-</w:t>
            </w:r>
            <w:r>
              <w:rPr>
                <w:rFonts w:ascii="Times New Roman" w:eastAsia="宋体" w:hAnsi="Times New Roman" w:cs="Times New Roman"/>
                <w:szCs w:val="21"/>
              </w:rPr>
              <w:t>二氯苯</w:t>
            </w:r>
          </w:p>
        </w:tc>
        <w:tc>
          <w:tcPr>
            <w:tcW w:w="2192" w:type="dxa"/>
            <w:vAlign w:val="center"/>
          </w:tcPr>
          <w:p w14:paraId="1F30E29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106-46-7</w:t>
            </w:r>
          </w:p>
        </w:tc>
        <w:tc>
          <w:tcPr>
            <w:tcW w:w="1948" w:type="dxa"/>
            <w:vAlign w:val="center"/>
          </w:tcPr>
          <w:p w14:paraId="3171E6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1950" w:type="dxa"/>
            <w:vAlign w:val="center"/>
          </w:tcPr>
          <w:p w14:paraId="7996D5C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w:t>
            </w:r>
          </w:p>
        </w:tc>
      </w:tr>
      <w:tr w:rsidR="002133E3" w14:paraId="0324410F" w14:textId="77777777">
        <w:trPr>
          <w:trHeight w:val="284"/>
          <w:jc w:val="center"/>
        </w:trPr>
        <w:tc>
          <w:tcPr>
            <w:tcW w:w="1062" w:type="dxa"/>
            <w:vAlign w:val="center"/>
          </w:tcPr>
          <w:p w14:paraId="714EBF7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w:t>
            </w:r>
          </w:p>
        </w:tc>
        <w:tc>
          <w:tcPr>
            <w:tcW w:w="2589" w:type="dxa"/>
            <w:vAlign w:val="center"/>
          </w:tcPr>
          <w:p w14:paraId="7514CC1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乙苯</w:t>
            </w:r>
          </w:p>
        </w:tc>
        <w:tc>
          <w:tcPr>
            <w:tcW w:w="2192" w:type="dxa"/>
            <w:vAlign w:val="center"/>
          </w:tcPr>
          <w:p w14:paraId="39E76D3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100-41-4</w:t>
            </w:r>
          </w:p>
        </w:tc>
        <w:tc>
          <w:tcPr>
            <w:tcW w:w="1948" w:type="dxa"/>
            <w:vAlign w:val="center"/>
          </w:tcPr>
          <w:p w14:paraId="7E56D55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1950" w:type="dxa"/>
            <w:vAlign w:val="center"/>
          </w:tcPr>
          <w:p w14:paraId="6443411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280</w:t>
            </w:r>
          </w:p>
        </w:tc>
      </w:tr>
      <w:tr w:rsidR="002133E3" w14:paraId="098041C8" w14:textId="77777777">
        <w:trPr>
          <w:trHeight w:val="284"/>
          <w:jc w:val="center"/>
        </w:trPr>
        <w:tc>
          <w:tcPr>
            <w:tcW w:w="1062" w:type="dxa"/>
            <w:vAlign w:val="center"/>
          </w:tcPr>
          <w:p w14:paraId="20E0970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31</w:t>
            </w:r>
          </w:p>
        </w:tc>
        <w:tc>
          <w:tcPr>
            <w:tcW w:w="2589" w:type="dxa"/>
            <w:vAlign w:val="center"/>
          </w:tcPr>
          <w:p w14:paraId="630F5C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苯乙烯</w:t>
            </w:r>
          </w:p>
        </w:tc>
        <w:tc>
          <w:tcPr>
            <w:tcW w:w="2192" w:type="dxa"/>
            <w:vAlign w:val="center"/>
          </w:tcPr>
          <w:p w14:paraId="5F5BE99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100-42-5</w:t>
            </w:r>
          </w:p>
        </w:tc>
        <w:tc>
          <w:tcPr>
            <w:tcW w:w="1948" w:type="dxa"/>
            <w:vAlign w:val="center"/>
          </w:tcPr>
          <w:p w14:paraId="641C6EC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1290</w:t>
            </w:r>
          </w:p>
        </w:tc>
        <w:tc>
          <w:tcPr>
            <w:tcW w:w="1950" w:type="dxa"/>
            <w:vAlign w:val="center"/>
          </w:tcPr>
          <w:p w14:paraId="31D312A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1290</w:t>
            </w:r>
          </w:p>
        </w:tc>
      </w:tr>
      <w:tr w:rsidR="002133E3" w14:paraId="4781D475" w14:textId="77777777">
        <w:trPr>
          <w:trHeight w:val="284"/>
          <w:jc w:val="center"/>
        </w:trPr>
        <w:tc>
          <w:tcPr>
            <w:tcW w:w="1062" w:type="dxa"/>
            <w:vAlign w:val="center"/>
          </w:tcPr>
          <w:p w14:paraId="18683B5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32</w:t>
            </w:r>
          </w:p>
        </w:tc>
        <w:tc>
          <w:tcPr>
            <w:tcW w:w="2589" w:type="dxa"/>
            <w:vAlign w:val="center"/>
          </w:tcPr>
          <w:p w14:paraId="71B986D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甲苯</w:t>
            </w:r>
          </w:p>
        </w:tc>
        <w:tc>
          <w:tcPr>
            <w:tcW w:w="2192" w:type="dxa"/>
            <w:vAlign w:val="center"/>
          </w:tcPr>
          <w:p w14:paraId="7575F6A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108-88-3</w:t>
            </w:r>
          </w:p>
        </w:tc>
        <w:tc>
          <w:tcPr>
            <w:tcW w:w="1948" w:type="dxa"/>
            <w:vAlign w:val="center"/>
          </w:tcPr>
          <w:p w14:paraId="4985940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1200</w:t>
            </w:r>
          </w:p>
        </w:tc>
        <w:tc>
          <w:tcPr>
            <w:tcW w:w="1950" w:type="dxa"/>
            <w:vAlign w:val="center"/>
          </w:tcPr>
          <w:p w14:paraId="248CC58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1200</w:t>
            </w:r>
          </w:p>
        </w:tc>
      </w:tr>
      <w:tr w:rsidR="002133E3" w14:paraId="4938EB9C" w14:textId="77777777">
        <w:trPr>
          <w:trHeight w:val="284"/>
          <w:jc w:val="center"/>
        </w:trPr>
        <w:tc>
          <w:tcPr>
            <w:tcW w:w="1062" w:type="dxa"/>
            <w:vAlign w:val="center"/>
          </w:tcPr>
          <w:p w14:paraId="5AC06A3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33</w:t>
            </w:r>
          </w:p>
        </w:tc>
        <w:tc>
          <w:tcPr>
            <w:tcW w:w="2589" w:type="dxa"/>
            <w:vAlign w:val="center"/>
          </w:tcPr>
          <w:p w14:paraId="22B888E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间二甲苯</w:t>
            </w:r>
            <w:r>
              <w:rPr>
                <w:rFonts w:ascii="Times New Roman" w:eastAsia="宋体" w:hAnsi="Times New Roman" w:cs="Times New Roman"/>
                <w:szCs w:val="21"/>
              </w:rPr>
              <w:t>+</w:t>
            </w:r>
            <w:r>
              <w:rPr>
                <w:rFonts w:ascii="Times New Roman" w:eastAsia="宋体" w:hAnsi="Times New Roman" w:cs="Times New Roman"/>
                <w:szCs w:val="21"/>
              </w:rPr>
              <w:t>对二甲苯</w:t>
            </w:r>
          </w:p>
        </w:tc>
        <w:tc>
          <w:tcPr>
            <w:tcW w:w="2192" w:type="dxa"/>
            <w:vAlign w:val="center"/>
          </w:tcPr>
          <w:p w14:paraId="1C69624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108-38-3</w:t>
            </w:r>
            <w:r>
              <w:rPr>
                <w:rFonts w:ascii="Times New Roman" w:eastAsia="宋体" w:hAnsi="Times New Roman" w:cs="Times New Roman"/>
                <w:szCs w:val="21"/>
              </w:rPr>
              <w:t>、</w:t>
            </w:r>
            <w:r>
              <w:rPr>
                <w:rFonts w:ascii="Times New Roman" w:eastAsia="宋体" w:hAnsi="Times New Roman" w:cs="Times New Roman"/>
                <w:szCs w:val="21"/>
              </w:rPr>
              <w:t>106-42-3</w:t>
            </w:r>
          </w:p>
        </w:tc>
        <w:tc>
          <w:tcPr>
            <w:tcW w:w="1948" w:type="dxa"/>
            <w:vAlign w:val="center"/>
          </w:tcPr>
          <w:p w14:paraId="11EC45D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570</w:t>
            </w:r>
          </w:p>
        </w:tc>
        <w:tc>
          <w:tcPr>
            <w:tcW w:w="1950" w:type="dxa"/>
            <w:vAlign w:val="center"/>
          </w:tcPr>
          <w:p w14:paraId="304103B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570</w:t>
            </w:r>
          </w:p>
        </w:tc>
      </w:tr>
      <w:tr w:rsidR="002133E3" w14:paraId="74AE2A91" w14:textId="77777777">
        <w:trPr>
          <w:trHeight w:val="284"/>
          <w:jc w:val="center"/>
        </w:trPr>
        <w:tc>
          <w:tcPr>
            <w:tcW w:w="1062" w:type="dxa"/>
            <w:vAlign w:val="center"/>
          </w:tcPr>
          <w:p w14:paraId="27B38ED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w:t>
            </w:r>
          </w:p>
        </w:tc>
        <w:tc>
          <w:tcPr>
            <w:tcW w:w="2589" w:type="dxa"/>
            <w:vAlign w:val="center"/>
          </w:tcPr>
          <w:p w14:paraId="2E7CDAA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邻二甲苯</w:t>
            </w:r>
          </w:p>
        </w:tc>
        <w:tc>
          <w:tcPr>
            <w:tcW w:w="2192" w:type="dxa"/>
            <w:vAlign w:val="center"/>
          </w:tcPr>
          <w:p w14:paraId="06DC0F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95-47-6</w:t>
            </w:r>
          </w:p>
        </w:tc>
        <w:tc>
          <w:tcPr>
            <w:tcW w:w="1948" w:type="dxa"/>
            <w:vAlign w:val="center"/>
          </w:tcPr>
          <w:p w14:paraId="4342165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640</w:t>
            </w:r>
          </w:p>
        </w:tc>
        <w:tc>
          <w:tcPr>
            <w:tcW w:w="1950" w:type="dxa"/>
            <w:vAlign w:val="center"/>
          </w:tcPr>
          <w:p w14:paraId="5960E14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640</w:t>
            </w:r>
          </w:p>
        </w:tc>
      </w:tr>
      <w:tr w:rsidR="002133E3" w14:paraId="21D94726" w14:textId="77777777">
        <w:trPr>
          <w:trHeight w:val="284"/>
          <w:jc w:val="center"/>
        </w:trPr>
        <w:tc>
          <w:tcPr>
            <w:tcW w:w="9741" w:type="dxa"/>
            <w:gridSpan w:val="5"/>
            <w:vAlign w:val="center"/>
          </w:tcPr>
          <w:p w14:paraId="58A3E01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半挥发性有机物</w:t>
            </w:r>
          </w:p>
        </w:tc>
      </w:tr>
      <w:tr w:rsidR="002133E3" w14:paraId="177EB88C" w14:textId="77777777">
        <w:trPr>
          <w:trHeight w:val="284"/>
          <w:jc w:val="center"/>
        </w:trPr>
        <w:tc>
          <w:tcPr>
            <w:tcW w:w="1062" w:type="dxa"/>
            <w:vAlign w:val="center"/>
          </w:tcPr>
          <w:p w14:paraId="278B406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35</w:t>
            </w:r>
          </w:p>
        </w:tc>
        <w:tc>
          <w:tcPr>
            <w:tcW w:w="2589" w:type="dxa"/>
            <w:vAlign w:val="center"/>
          </w:tcPr>
          <w:p w14:paraId="2432100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硝基苯</w:t>
            </w:r>
          </w:p>
        </w:tc>
        <w:tc>
          <w:tcPr>
            <w:tcW w:w="2192" w:type="dxa"/>
            <w:vAlign w:val="center"/>
          </w:tcPr>
          <w:p w14:paraId="2F9D8BE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98-95-3</w:t>
            </w:r>
          </w:p>
        </w:tc>
        <w:tc>
          <w:tcPr>
            <w:tcW w:w="1948" w:type="dxa"/>
            <w:vAlign w:val="center"/>
          </w:tcPr>
          <w:p w14:paraId="4A0CC89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76</w:t>
            </w:r>
          </w:p>
        </w:tc>
        <w:tc>
          <w:tcPr>
            <w:tcW w:w="1950" w:type="dxa"/>
            <w:vAlign w:val="center"/>
          </w:tcPr>
          <w:p w14:paraId="677891D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760</w:t>
            </w:r>
          </w:p>
        </w:tc>
      </w:tr>
      <w:tr w:rsidR="002133E3" w14:paraId="1B9B012D" w14:textId="77777777">
        <w:trPr>
          <w:trHeight w:val="284"/>
          <w:jc w:val="center"/>
        </w:trPr>
        <w:tc>
          <w:tcPr>
            <w:tcW w:w="1062" w:type="dxa"/>
            <w:vAlign w:val="center"/>
          </w:tcPr>
          <w:p w14:paraId="737AA07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36</w:t>
            </w:r>
          </w:p>
        </w:tc>
        <w:tc>
          <w:tcPr>
            <w:tcW w:w="2589" w:type="dxa"/>
            <w:vAlign w:val="center"/>
          </w:tcPr>
          <w:p w14:paraId="426B95C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苯胺</w:t>
            </w:r>
          </w:p>
        </w:tc>
        <w:tc>
          <w:tcPr>
            <w:tcW w:w="2192" w:type="dxa"/>
            <w:vAlign w:val="center"/>
          </w:tcPr>
          <w:p w14:paraId="345DE05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62-53-3</w:t>
            </w:r>
          </w:p>
        </w:tc>
        <w:tc>
          <w:tcPr>
            <w:tcW w:w="1948" w:type="dxa"/>
            <w:vAlign w:val="center"/>
          </w:tcPr>
          <w:p w14:paraId="107341E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260</w:t>
            </w:r>
          </w:p>
        </w:tc>
        <w:tc>
          <w:tcPr>
            <w:tcW w:w="1950" w:type="dxa"/>
            <w:vAlign w:val="center"/>
          </w:tcPr>
          <w:p w14:paraId="30B49A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663</w:t>
            </w:r>
          </w:p>
        </w:tc>
      </w:tr>
      <w:tr w:rsidR="002133E3" w14:paraId="097A27FC" w14:textId="77777777">
        <w:trPr>
          <w:trHeight w:val="284"/>
          <w:jc w:val="center"/>
        </w:trPr>
        <w:tc>
          <w:tcPr>
            <w:tcW w:w="1062" w:type="dxa"/>
            <w:vAlign w:val="center"/>
          </w:tcPr>
          <w:p w14:paraId="2488D3E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37</w:t>
            </w:r>
          </w:p>
        </w:tc>
        <w:tc>
          <w:tcPr>
            <w:tcW w:w="2589" w:type="dxa"/>
            <w:vAlign w:val="center"/>
          </w:tcPr>
          <w:p w14:paraId="3036BD8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氯酚</w:t>
            </w:r>
          </w:p>
        </w:tc>
        <w:tc>
          <w:tcPr>
            <w:tcW w:w="2192" w:type="dxa"/>
            <w:vAlign w:val="center"/>
          </w:tcPr>
          <w:p w14:paraId="3F11D81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95-57-8</w:t>
            </w:r>
          </w:p>
        </w:tc>
        <w:tc>
          <w:tcPr>
            <w:tcW w:w="1948" w:type="dxa"/>
            <w:vAlign w:val="center"/>
          </w:tcPr>
          <w:p w14:paraId="2A9C6B8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2256</w:t>
            </w:r>
          </w:p>
        </w:tc>
        <w:tc>
          <w:tcPr>
            <w:tcW w:w="1950" w:type="dxa"/>
            <w:vAlign w:val="center"/>
          </w:tcPr>
          <w:p w14:paraId="4DD5430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4500</w:t>
            </w:r>
          </w:p>
        </w:tc>
      </w:tr>
      <w:tr w:rsidR="002133E3" w14:paraId="6D3DCA6B" w14:textId="77777777">
        <w:trPr>
          <w:trHeight w:val="284"/>
          <w:jc w:val="center"/>
        </w:trPr>
        <w:tc>
          <w:tcPr>
            <w:tcW w:w="1062" w:type="dxa"/>
            <w:vAlign w:val="center"/>
          </w:tcPr>
          <w:p w14:paraId="2E5CB55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38</w:t>
            </w:r>
          </w:p>
        </w:tc>
        <w:tc>
          <w:tcPr>
            <w:tcW w:w="2589" w:type="dxa"/>
            <w:vAlign w:val="center"/>
          </w:tcPr>
          <w:p w14:paraId="35A630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苯并</w:t>
            </w:r>
            <w:r>
              <w:rPr>
                <w:rFonts w:ascii="Times New Roman" w:eastAsia="宋体" w:hAnsi="Times New Roman" w:cs="Times New Roman"/>
                <w:szCs w:val="21"/>
              </w:rPr>
              <w:t>[a]</w:t>
            </w:r>
            <w:r>
              <w:rPr>
                <w:rFonts w:ascii="Times New Roman" w:eastAsia="宋体" w:hAnsi="Times New Roman" w:cs="Times New Roman"/>
                <w:szCs w:val="21"/>
              </w:rPr>
              <w:t>蒽</w:t>
            </w:r>
          </w:p>
        </w:tc>
        <w:tc>
          <w:tcPr>
            <w:tcW w:w="2192" w:type="dxa"/>
            <w:vAlign w:val="center"/>
          </w:tcPr>
          <w:p w14:paraId="439EE96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56-55-3</w:t>
            </w:r>
          </w:p>
        </w:tc>
        <w:tc>
          <w:tcPr>
            <w:tcW w:w="1948" w:type="dxa"/>
            <w:vAlign w:val="center"/>
          </w:tcPr>
          <w:p w14:paraId="426BEA0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950" w:type="dxa"/>
            <w:vAlign w:val="center"/>
          </w:tcPr>
          <w:p w14:paraId="40FE0C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151</w:t>
            </w:r>
          </w:p>
        </w:tc>
      </w:tr>
      <w:tr w:rsidR="002133E3" w14:paraId="7629EBA4" w14:textId="77777777">
        <w:trPr>
          <w:trHeight w:val="284"/>
          <w:jc w:val="center"/>
        </w:trPr>
        <w:tc>
          <w:tcPr>
            <w:tcW w:w="1062" w:type="dxa"/>
            <w:vAlign w:val="center"/>
          </w:tcPr>
          <w:p w14:paraId="768B62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39</w:t>
            </w:r>
          </w:p>
        </w:tc>
        <w:tc>
          <w:tcPr>
            <w:tcW w:w="2589" w:type="dxa"/>
            <w:vAlign w:val="center"/>
          </w:tcPr>
          <w:p w14:paraId="5C5598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苯并</w:t>
            </w:r>
            <w:r>
              <w:rPr>
                <w:rFonts w:ascii="Times New Roman" w:eastAsia="宋体" w:hAnsi="Times New Roman" w:cs="Times New Roman"/>
                <w:szCs w:val="21"/>
              </w:rPr>
              <w:t>[a]</w:t>
            </w:r>
            <w:r>
              <w:rPr>
                <w:rFonts w:ascii="Times New Roman" w:eastAsia="宋体" w:hAnsi="Times New Roman" w:cs="Times New Roman"/>
                <w:szCs w:val="21"/>
              </w:rPr>
              <w:t>芘</w:t>
            </w:r>
          </w:p>
        </w:tc>
        <w:tc>
          <w:tcPr>
            <w:tcW w:w="2192" w:type="dxa"/>
            <w:vAlign w:val="center"/>
          </w:tcPr>
          <w:p w14:paraId="5ABA31F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50-32-8</w:t>
            </w:r>
          </w:p>
        </w:tc>
        <w:tc>
          <w:tcPr>
            <w:tcW w:w="1948" w:type="dxa"/>
            <w:vAlign w:val="center"/>
          </w:tcPr>
          <w:p w14:paraId="341C5E0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950" w:type="dxa"/>
            <w:vAlign w:val="center"/>
          </w:tcPr>
          <w:p w14:paraId="3F4FDEF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r>
      <w:tr w:rsidR="002133E3" w14:paraId="79D8EF69" w14:textId="77777777">
        <w:trPr>
          <w:trHeight w:val="284"/>
          <w:jc w:val="center"/>
        </w:trPr>
        <w:tc>
          <w:tcPr>
            <w:tcW w:w="1062" w:type="dxa"/>
            <w:vAlign w:val="center"/>
          </w:tcPr>
          <w:p w14:paraId="4141F61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2589" w:type="dxa"/>
            <w:vAlign w:val="center"/>
          </w:tcPr>
          <w:p w14:paraId="1A8A2EB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苯并</w:t>
            </w:r>
            <w:r>
              <w:rPr>
                <w:rFonts w:ascii="Times New Roman" w:eastAsia="宋体" w:hAnsi="Times New Roman" w:cs="Times New Roman"/>
                <w:szCs w:val="21"/>
              </w:rPr>
              <w:t>[b]</w:t>
            </w:r>
            <w:r>
              <w:rPr>
                <w:rFonts w:ascii="Times New Roman" w:eastAsia="宋体" w:hAnsi="Times New Roman" w:cs="Times New Roman"/>
                <w:szCs w:val="21"/>
              </w:rPr>
              <w:t>荧蒽</w:t>
            </w:r>
          </w:p>
        </w:tc>
        <w:tc>
          <w:tcPr>
            <w:tcW w:w="2192" w:type="dxa"/>
            <w:vAlign w:val="center"/>
          </w:tcPr>
          <w:p w14:paraId="422EE6F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205-99-2</w:t>
            </w:r>
          </w:p>
        </w:tc>
        <w:tc>
          <w:tcPr>
            <w:tcW w:w="1948" w:type="dxa"/>
            <w:vAlign w:val="center"/>
          </w:tcPr>
          <w:p w14:paraId="1C5F6C5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950" w:type="dxa"/>
            <w:vAlign w:val="center"/>
          </w:tcPr>
          <w:p w14:paraId="13CB506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151</w:t>
            </w:r>
          </w:p>
        </w:tc>
      </w:tr>
      <w:tr w:rsidR="002133E3" w14:paraId="5D7543F6" w14:textId="77777777">
        <w:trPr>
          <w:trHeight w:val="284"/>
          <w:jc w:val="center"/>
        </w:trPr>
        <w:tc>
          <w:tcPr>
            <w:tcW w:w="1062" w:type="dxa"/>
            <w:vAlign w:val="center"/>
          </w:tcPr>
          <w:p w14:paraId="126587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41</w:t>
            </w:r>
          </w:p>
        </w:tc>
        <w:tc>
          <w:tcPr>
            <w:tcW w:w="2589" w:type="dxa"/>
            <w:vAlign w:val="center"/>
          </w:tcPr>
          <w:p w14:paraId="5C0B48B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苯并</w:t>
            </w:r>
            <w:r>
              <w:rPr>
                <w:rFonts w:ascii="Times New Roman" w:eastAsia="宋体" w:hAnsi="Times New Roman" w:cs="Times New Roman"/>
                <w:szCs w:val="21"/>
              </w:rPr>
              <w:t>[k]</w:t>
            </w:r>
            <w:r>
              <w:rPr>
                <w:rFonts w:ascii="Times New Roman" w:eastAsia="宋体" w:hAnsi="Times New Roman" w:cs="Times New Roman"/>
                <w:szCs w:val="21"/>
              </w:rPr>
              <w:t>荧蒽</w:t>
            </w:r>
          </w:p>
        </w:tc>
        <w:tc>
          <w:tcPr>
            <w:tcW w:w="2192" w:type="dxa"/>
            <w:vAlign w:val="center"/>
          </w:tcPr>
          <w:p w14:paraId="37F21FF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207-08-9</w:t>
            </w:r>
          </w:p>
        </w:tc>
        <w:tc>
          <w:tcPr>
            <w:tcW w:w="1948" w:type="dxa"/>
            <w:vAlign w:val="center"/>
          </w:tcPr>
          <w:p w14:paraId="5EC17ED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151</w:t>
            </w:r>
          </w:p>
        </w:tc>
        <w:tc>
          <w:tcPr>
            <w:tcW w:w="1950" w:type="dxa"/>
            <w:vAlign w:val="center"/>
          </w:tcPr>
          <w:p w14:paraId="402B700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1500</w:t>
            </w:r>
          </w:p>
        </w:tc>
      </w:tr>
      <w:tr w:rsidR="002133E3" w14:paraId="358AFE31" w14:textId="77777777">
        <w:trPr>
          <w:trHeight w:val="284"/>
          <w:jc w:val="center"/>
        </w:trPr>
        <w:tc>
          <w:tcPr>
            <w:tcW w:w="1062" w:type="dxa"/>
            <w:vAlign w:val="center"/>
          </w:tcPr>
          <w:p w14:paraId="76BD0D8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42</w:t>
            </w:r>
          </w:p>
        </w:tc>
        <w:tc>
          <w:tcPr>
            <w:tcW w:w="2589" w:type="dxa"/>
            <w:vAlign w:val="center"/>
          </w:tcPr>
          <w:p w14:paraId="4DBCFA1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䓛</w:t>
            </w:r>
          </w:p>
        </w:tc>
        <w:tc>
          <w:tcPr>
            <w:tcW w:w="2192" w:type="dxa"/>
            <w:vAlign w:val="center"/>
          </w:tcPr>
          <w:p w14:paraId="65D31C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218-01-9</w:t>
            </w:r>
          </w:p>
        </w:tc>
        <w:tc>
          <w:tcPr>
            <w:tcW w:w="1948" w:type="dxa"/>
            <w:vAlign w:val="center"/>
          </w:tcPr>
          <w:p w14:paraId="6EFAF8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1293</w:t>
            </w:r>
          </w:p>
        </w:tc>
        <w:tc>
          <w:tcPr>
            <w:tcW w:w="1950" w:type="dxa"/>
            <w:vAlign w:val="center"/>
          </w:tcPr>
          <w:p w14:paraId="2D23128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12900</w:t>
            </w:r>
          </w:p>
        </w:tc>
      </w:tr>
      <w:tr w:rsidR="002133E3" w14:paraId="39F8F0C9" w14:textId="77777777">
        <w:trPr>
          <w:trHeight w:val="284"/>
          <w:jc w:val="center"/>
        </w:trPr>
        <w:tc>
          <w:tcPr>
            <w:tcW w:w="1062" w:type="dxa"/>
            <w:vAlign w:val="center"/>
          </w:tcPr>
          <w:p w14:paraId="3046714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43</w:t>
            </w:r>
          </w:p>
        </w:tc>
        <w:tc>
          <w:tcPr>
            <w:tcW w:w="2589" w:type="dxa"/>
            <w:vAlign w:val="center"/>
          </w:tcPr>
          <w:p w14:paraId="19744B3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二苯并</w:t>
            </w:r>
            <w:r>
              <w:rPr>
                <w:rFonts w:ascii="Times New Roman" w:eastAsia="宋体" w:hAnsi="Times New Roman" w:cs="Times New Roman"/>
                <w:szCs w:val="21"/>
              </w:rPr>
              <w:t>[a</w:t>
            </w:r>
            <w:r>
              <w:rPr>
                <w:rFonts w:ascii="Times New Roman" w:eastAsia="宋体" w:hAnsi="Times New Roman" w:cs="Times New Roman"/>
                <w:szCs w:val="21"/>
              </w:rPr>
              <w:t>，</w:t>
            </w:r>
            <w:r>
              <w:rPr>
                <w:rFonts w:ascii="Times New Roman" w:eastAsia="宋体" w:hAnsi="Times New Roman" w:cs="Times New Roman"/>
                <w:szCs w:val="21"/>
              </w:rPr>
              <w:t>h]</w:t>
            </w:r>
            <w:r>
              <w:rPr>
                <w:rFonts w:ascii="Times New Roman" w:eastAsia="宋体" w:hAnsi="Times New Roman" w:cs="Times New Roman"/>
                <w:szCs w:val="21"/>
              </w:rPr>
              <w:t>蒽</w:t>
            </w:r>
          </w:p>
        </w:tc>
        <w:tc>
          <w:tcPr>
            <w:tcW w:w="2192" w:type="dxa"/>
            <w:vAlign w:val="center"/>
          </w:tcPr>
          <w:p w14:paraId="1D7767E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53-70-3</w:t>
            </w:r>
          </w:p>
        </w:tc>
        <w:tc>
          <w:tcPr>
            <w:tcW w:w="1948" w:type="dxa"/>
            <w:vAlign w:val="center"/>
          </w:tcPr>
          <w:p w14:paraId="08DB109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950" w:type="dxa"/>
            <w:vAlign w:val="center"/>
          </w:tcPr>
          <w:p w14:paraId="5717753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r>
      <w:tr w:rsidR="002133E3" w14:paraId="7F87CA15" w14:textId="77777777">
        <w:trPr>
          <w:trHeight w:val="284"/>
          <w:jc w:val="center"/>
        </w:trPr>
        <w:tc>
          <w:tcPr>
            <w:tcW w:w="1062" w:type="dxa"/>
            <w:vAlign w:val="center"/>
          </w:tcPr>
          <w:p w14:paraId="1E3A2A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44</w:t>
            </w:r>
          </w:p>
        </w:tc>
        <w:tc>
          <w:tcPr>
            <w:tcW w:w="2589" w:type="dxa"/>
            <w:vAlign w:val="center"/>
          </w:tcPr>
          <w:p w14:paraId="386F2F6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茚并</w:t>
            </w:r>
            <w:r>
              <w:rPr>
                <w:rFonts w:ascii="Times New Roman" w:eastAsia="宋体" w:hAnsi="Times New Roman" w:cs="Times New Roman"/>
                <w:szCs w:val="21"/>
              </w:rPr>
              <w:t>[1,2,3-cd]</w:t>
            </w:r>
            <w:r>
              <w:rPr>
                <w:rFonts w:ascii="Times New Roman" w:eastAsia="宋体" w:hAnsi="Times New Roman" w:cs="Times New Roman"/>
                <w:szCs w:val="21"/>
              </w:rPr>
              <w:t>芘</w:t>
            </w:r>
          </w:p>
        </w:tc>
        <w:tc>
          <w:tcPr>
            <w:tcW w:w="2192" w:type="dxa"/>
            <w:vAlign w:val="center"/>
          </w:tcPr>
          <w:p w14:paraId="1C7A15C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193-39-5</w:t>
            </w:r>
          </w:p>
        </w:tc>
        <w:tc>
          <w:tcPr>
            <w:tcW w:w="1948" w:type="dxa"/>
            <w:vAlign w:val="center"/>
          </w:tcPr>
          <w:p w14:paraId="12A13B5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950" w:type="dxa"/>
            <w:vAlign w:val="center"/>
          </w:tcPr>
          <w:p w14:paraId="4E6E7B9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151</w:t>
            </w:r>
          </w:p>
        </w:tc>
      </w:tr>
      <w:tr w:rsidR="002133E3" w14:paraId="31DD57EF" w14:textId="77777777">
        <w:trPr>
          <w:trHeight w:val="284"/>
          <w:jc w:val="center"/>
        </w:trPr>
        <w:tc>
          <w:tcPr>
            <w:tcW w:w="1062" w:type="dxa"/>
            <w:vAlign w:val="center"/>
          </w:tcPr>
          <w:p w14:paraId="1760885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45</w:t>
            </w:r>
          </w:p>
        </w:tc>
        <w:tc>
          <w:tcPr>
            <w:tcW w:w="2589" w:type="dxa"/>
            <w:vAlign w:val="center"/>
          </w:tcPr>
          <w:p w14:paraId="6D5BE74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萘</w:t>
            </w:r>
          </w:p>
        </w:tc>
        <w:tc>
          <w:tcPr>
            <w:tcW w:w="2192" w:type="dxa"/>
            <w:vAlign w:val="center"/>
          </w:tcPr>
          <w:p w14:paraId="79C5191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91-20-3</w:t>
            </w:r>
          </w:p>
        </w:tc>
        <w:tc>
          <w:tcPr>
            <w:tcW w:w="1948" w:type="dxa"/>
            <w:vAlign w:val="center"/>
          </w:tcPr>
          <w:p w14:paraId="1960501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70</w:t>
            </w:r>
          </w:p>
        </w:tc>
        <w:tc>
          <w:tcPr>
            <w:tcW w:w="1950" w:type="dxa"/>
            <w:vAlign w:val="center"/>
          </w:tcPr>
          <w:p w14:paraId="1EEE2A6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700</w:t>
            </w:r>
          </w:p>
        </w:tc>
      </w:tr>
    </w:tbl>
    <w:p w14:paraId="13832D3D" w14:textId="77777777" w:rsidR="002133E3" w:rsidRDefault="00C22CFA">
      <w:pPr>
        <w:spacing w:line="4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2.7-6  </w:t>
      </w:r>
      <w:r>
        <w:rPr>
          <w:rFonts w:ascii="Times New Roman" w:eastAsia="宋体" w:hAnsi="Times New Roman" w:cs="Times New Roman"/>
          <w:b/>
          <w:spacing w:val="-6"/>
          <w:kern w:val="0"/>
          <w:szCs w:val="21"/>
        </w:rPr>
        <w:t>建设用地土壤污染风险筛选值和管制值</w:t>
      </w:r>
      <w:r>
        <w:rPr>
          <w:rFonts w:ascii="Times New Roman" w:eastAsia="宋体" w:hAnsi="Times New Roman" w:cs="Times New Roman"/>
          <w:b/>
          <w:spacing w:val="-6"/>
          <w:kern w:val="0"/>
          <w:szCs w:val="21"/>
        </w:rPr>
        <w:t>(</w:t>
      </w:r>
      <w:r>
        <w:rPr>
          <w:rFonts w:ascii="Times New Roman" w:eastAsia="宋体" w:hAnsi="Times New Roman" w:cs="Times New Roman"/>
          <w:b/>
          <w:spacing w:val="-6"/>
          <w:kern w:val="0"/>
          <w:szCs w:val="21"/>
        </w:rPr>
        <w:t>其他项目</w:t>
      </w:r>
      <w:r>
        <w:rPr>
          <w:rFonts w:ascii="Times New Roman" w:eastAsia="宋体" w:hAnsi="Times New Roman" w:cs="Times New Roman"/>
          <w:b/>
          <w:spacing w:val="-6"/>
          <w:kern w:val="0"/>
          <w:szCs w:val="21"/>
        </w:rPr>
        <w:t>)(</w:t>
      </w:r>
      <w:r>
        <w:rPr>
          <w:rFonts w:ascii="Times New Roman" w:eastAsia="宋体" w:hAnsi="Times New Roman" w:cs="Times New Roman"/>
          <w:b/>
          <w:spacing w:val="-6"/>
          <w:kern w:val="0"/>
          <w:szCs w:val="21"/>
        </w:rPr>
        <w:t>单位：</w:t>
      </w:r>
      <w:r>
        <w:rPr>
          <w:rFonts w:ascii="Times New Roman" w:eastAsia="宋体" w:hAnsi="Times New Roman" w:cs="Times New Roman"/>
          <w:b/>
          <w:spacing w:val="-6"/>
          <w:kern w:val="0"/>
          <w:szCs w:val="21"/>
        </w:rPr>
        <w:t>mg/kg)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2"/>
        <w:gridCol w:w="2589"/>
        <w:gridCol w:w="2192"/>
        <w:gridCol w:w="1948"/>
        <w:gridCol w:w="1950"/>
      </w:tblGrid>
      <w:tr w:rsidR="002133E3" w14:paraId="05B3F726" w14:textId="77777777">
        <w:trPr>
          <w:trHeight w:val="284"/>
          <w:jc w:val="center"/>
        </w:trPr>
        <w:tc>
          <w:tcPr>
            <w:tcW w:w="1062" w:type="dxa"/>
            <w:vMerge w:val="restart"/>
            <w:vAlign w:val="center"/>
          </w:tcPr>
          <w:p w14:paraId="2A6B469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序号</w:t>
            </w:r>
          </w:p>
        </w:tc>
        <w:tc>
          <w:tcPr>
            <w:tcW w:w="2589" w:type="dxa"/>
            <w:vMerge w:val="restart"/>
            <w:vAlign w:val="center"/>
          </w:tcPr>
          <w:p w14:paraId="707FE8F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污染物项目</w:t>
            </w:r>
          </w:p>
        </w:tc>
        <w:tc>
          <w:tcPr>
            <w:tcW w:w="2192" w:type="dxa"/>
            <w:vMerge w:val="restart"/>
            <w:vAlign w:val="center"/>
          </w:tcPr>
          <w:p w14:paraId="761A45D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CAS</w:t>
            </w:r>
            <w:r>
              <w:rPr>
                <w:rFonts w:ascii="Times New Roman" w:eastAsia="宋体" w:hAnsi="Times New Roman" w:cs="Times New Roman"/>
                <w:szCs w:val="21"/>
              </w:rPr>
              <w:t>编号</w:t>
            </w:r>
          </w:p>
        </w:tc>
        <w:tc>
          <w:tcPr>
            <w:tcW w:w="1948" w:type="dxa"/>
            <w:vAlign w:val="center"/>
          </w:tcPr>
          <w:p w14:paraId="68F5525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筛选值</w:t>
            </w:r>
          </w:p>
        </w:tc>
        <w:tc>
          <w:tcPr>
            <w:tcW w:w="1950" w:type="dxa"/>
            <w:vAlign w:val="center"/>
          </w:tcPr>
          <w:p w14:paraId="2664D7B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管制值</w:t>
            </w:r>
          </w:p>
        </w:tc>
      </w:tr>
      <w:tr w:rsidR="002133E3" w14:paraId="6B418E63" w14:textId="77777777">
        <w:trPr>
          <w:trHeight w:val="284"/>
          <w:jc w:val="center"/>
        </w:trPr>
        <w:tc>
          <w:tcPr>
            <w:tcW w:w="1062" w:type="dxa"/>
            <w:vMerge/>
            <w:vAlign w:val="center"/>
          </w:tcPr>
          <w:p w14:paraId="641D2FB7" w14:textId="77777777" w:rsidR="002133E3" w:rsidRDefault="002133E3">
            <w:pPr>
              <w:jc w:val="center"/>
              <w:rPr>
                <w:rFonts w:ascii="Times New Roman" w:eastAsia="宋体" w:hAnsi="Times New Roman" w:cs="Times New Roman"/>
                <w:szCs w:val="21"/>
              </w:rPr>
            </w:pPr>
          </w:p>
        </w:tc>
        <w:tc>
          <w:tcPr>
            <w:tcW w:w="2589" w:type="dxa"/>
            <w:vMerge/>
            <w:vAlign w:val="center"/>
          </w:tcPr>
          <w:p w14:paraId="4EBC6130" w14:textId="77777777" w:rsidR="002133E3" w:rsidRDefault="002133E3">
            <w:pPr>
              <w:jc w:val="center"/>
              <w:rPr>
                <w:rFonts w:ascii="Times New Roman" w:eastAsia="宋体" w:hAnsi="Times New Roman" w:cs="Times New Roman"/>
                <w:szCs w:val="21"/>
              </w:rPr>
            </w:pPr>
          </w:p>
        </w:tc>
        <w:tc>
          <w:tcPr>
            <w:tcW w:w="2192" w:type="dxa"/>
            <w:vMerge/>
            <w:vAlign w:val="center"/>
          </w:tcPr>
          <w:p w14:paraId="2BE942E2" w14:textId="77777777" w:rsidR="002133E3" w:rsidRDefault="002133E3">
            <w:pPr>
              <w:jc w:val="center"/>
              <w:rPr>
                <w:rFonts w:ascii="Times New Roman" w:eastAsia="宋体" w:hAnsi="Times New Roman" w:cs="Times New Roman"/>
                <w:szCs w:val="21"/>
              </w:rPr>
            </w:pPr>
          </w:p>
        </w:tc>
        <w:tc>
          <w:tcPr>
            <w:tcW w:w="1948" w:type="dxa"/>
            <w:vAlign w:val="center"/>
          </w:tcPr>
          <w:p w14:paraId="2EB7A6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第二类用地</w:t>
            </w:r>
          </w:p>
        </w:tc>
        <w:tc>
          <w:tcPr>
            <w:tcW w:w="1950" w:type="dxa"/>
            <w:vAlign w:val="center"/>
          </w:tcPr>
          <w:p w14:paraId="5685EF7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第二类用地</w:t>
            </w:r>
          </w:p>
        </w:tc>
      </w:tr>
      <w:tr w:rsidR="002133E3" w14:paraId="1FE7318C" w14:textId="77777777">
        <w:trPr>
          <w:trHeight w:val="284"/>
          <w:jc w:val="center"/>
        </w:trPr>
        <w:tc>
          <w:tcPr>
            <w:tcW w:w="9741" w:type="dxa"/>
            <w:gridSpan w:val="5"/>
            <w:vAlign w:val="center"/>
          </w:tcPr>
          <w:p w14:paraId="4D004F18"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石油烃类</w:t>
            </w:r>
          </w:p>
        </w:tc>
      </w:tr>
      <w:tr w:rsidR="002133E3" w14:paraId="7C2CFBEC" w14:textId="77777777">
        <w:trPr>
          <w:trHeight w:val="284"/>
          <w:jc w:val="center"/>
        </w:trPr>
        <w:tc>
          <w:tcPr>
            <w:tcW w:w="1062" w:type="dxa"/>
            <w:vAlign w:val="center"/>
          </w:tcPr>
          <w:p w14:paraId="03649BE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2589" w:type="dxa"/>
            <w:vAlign w:val="center"/>
          </w:tcPr>
          <w:p w14:paraId="45BECBA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石油烃</w:t>
            </w:r>
            <w:r>
              <w:rPr>
                <w:rFonts w:ascii="Times New Roman" w:eastAsia="宋体" w:hAnsi="Times New Roman" w:cs="Times New Roman"/>
                <w:szCs w:val="21"/>
              </w:rPr>
              <w:t>(C10~C40)</w:t>
            </w:r>
          </w:p>
        </w:tc>
        <w:tc>
          <w:tcPr>
            <w:tcW w:w="2192" w:type="dxa"/>
            <w:vAlign w:val="center"/>
          </w:tcPr>
          <w:p w14:paraId="4397CFD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948" w:type="dxa"/>
            <w:vAlign w:val="center"/>
          </w:tcPr>
          <w:p w14:paraId="320D1C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4500</w:t>
            </w:r>
          </w:p>
        </w:tc>
        <w:tc>
          <w:tcPr>
            <w:tcW w:w="1950" w:type="dxa"/>
            <w:vAlign w:val="center"/>
          </w:tcPr>
          <w:p w14:paraId="3C0A8F6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9000</w:t>
            </w:r>
          </w:p>
        </w:tc>
      </w:tr>
    </w:tbl>
    <w:p w14:paraId="64C976D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环境风险评价</w:t>
      </w:r>
    </w:p>
    <w:p w14:paraId="1FE0AB03"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rPr>
        <w:t>风险事故下风险评价标准执行《建设项目环境风险评价技术导则》</w:t>
      </w:r>
      <w:r>
        <w:rPr>
          <w:rFonts w:ascii="Times New Roman" w:eastAsia="宋体" w:hAnsi="Times New Roman" w:cs="Times New Roman"/>
          <w:sz w:val="28"/>
        </w:rPr>
        <w:t>(HJ169-2018)</w:t>
      </w:r>
      <w:r>
        <w:rPr>
          <w:rFonts w:ascii="Times New Roman" w:eastAsia="宋体" w:hAnsi="Times New Roman" w:cs="Times New Roman"/>
          <w:sz w:val="28"/>
        </w:rPr>
        <w:t>附录</w:t>
      </w:r>
      <w:r>
        <w:rPr>
          <w:rFonts w:ascii="Times New Roman" w:eastAsia="宋体" w:hAnsi="Times New Roman" w:cs="Times New Roman"/>
          <w:sz w:val="28"/>
        </w:rPr>
        <w:t>H</w:t>
      </w:r>
      <w:r>
        <w:rPr>
          <w:rFonts w:ascii="Times New Roman" w:eastAsia="宋体" w:hAnsi="Times New Roman" w:cs="Times New Roman"/>
          <w:sz w:val="28"/>
        </w:rPr>
        <w:t>中</w:t>
      </w:r>
      <w:r>
        <w:rPr>
          <w:rFonts w:ascii="Times New Roman" w:eastAsia="宋体" w:hAnsi="Times New Roman" w:cs="Times New Roman"/>
          <w:sz w:val="28"/>
        </w:rPr>
        <w:t>“</w:t>
      </w:r>
      <w:r>
        <w:rPr>
          <w:rFonts w:ascii="Times New Roman" w:eastAsia="宋体" w:hAnsi="Times New Roman" w:cs="Times New Roman"/>
          <w:sz w:val="28"/>
          <w:szCs w:val="28"/>
        </w:rPr>
        <w:t>终点关注的危险物质大气毒性终点浓度值取值</w:t>
      </w:r>
      <w:r>
        <w:rPr>
          <w:rFonts w:ascii="Times New Roman" w:eastAsia="宋体" w:hAnsi="Times New Roman" w:cs="Times New Roman"/>
          <w:sz w:val="28"/>
          <w:szCs w:val="28"/>
        </w:rPr>
        <w:t>”</w:t>
      </w:r>
      <w:r>
        <w:rPr>
          <w:rFonts w:ascii="Times New Roman" w:eastAsia="宋体" w:hAnsi="Times New Roman" w:cs="Times New Roman"/>
          <w:sz w:val="28"/>
          <w:szCs w:val="28"/>
        </w:rPr>
        <w:t>，见表</w:t>
      </w:r>
      <w:r>
        <w:rPr>
          <w:rFonts w:ascii="Times New Roman" w:eastAsia="宋体" w:hAnsi="Times New Roman" w:cs="Times New Roman"/>
          <w:sz w:val="28"/>
          <w:szCs w:val="28"/>
        </w:rPr>
        <w:t>2.7-7</w:t>
      </w:r>
      <w:r>
        <w:rPr>
          <w:rFonts w:ascii="Times New Roman" w:eastAsia="宋体" w:hAnsi="Times New Roman" w:cs="Times New Roman"/>
          <w:sz w:val="28"/>
          <w:szCs w:val="28"/>
        </w:rPr>
        <w:t>。</w:t>
      </w:r>
    </w:p>
    <w:p w14:paraId="090D5F92" w14:textId="77777777" w:rsidR="002133E3" w:rsidRDefault="00C22CFA">
      <w:pPr>
        <w:spacing w:line="4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2.7-7  </w:t>
      </w:r>
      <w:r>
        <w:rPr>
          <w:rFonts w:ascii="Times New Roman" w:eastAsia="宋体" w:hAnsi="Times New Roman" w:cs="Times New Roman"/>
          <w:b/>
          <w:spacing w:val="-6"/>
          <w:kern w:val="0"/>
          <w:szCs w:val="21"/>
        </w:rPr>
        <w:t>工作场所空气中有毒物质最高容许浓度值</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5"/>
        <w:gridCol w:w="3723"/>
        <w:gridCol w:w="3723"/>
      </w:tblGrid>
      <w:tr w:rsidR="002133E3" w14:paraId="69CB5E31" w14:textId="77777777">
        <w:trPr>
          <w:trHeight w:val="252"/>
          <w:jc w:val="center"/>
        </w:trPr>
        <w:tc>
          <w:tcPr>
            <w:tcW w:w="2295" w:type="dxa"/>
            <w:vAlign w:val="center"/>
          </w:tcPr>
          <w:p w14:paraId="61181078"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化学品名称</w:t>
            </w:r>
          </w:p>
        </w:tc>
        <w:tc>
          <w:tcPr>
            <w:tcW w:w="3723" w:type="dxa"/>
            <w:vAlign w:val="center"/>
          </w:tcPr>
          <w:p w14:paraId="733CC0C7"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大气毒性终点浓度</w:t>
            </w:r>
            <w:r>
              <w:rPr>
                <w:rFonts w:ascii="Times New Roman" w:eastAsia="宋体" w:hAnsi="Times New Roman" w:cs="Times New Roman"/>
                <w:b/>
                <w:bCs/>
                <w:szCs w:val="21"/>
              </w:rPr>
              <w:t>1(mg/m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c>
          <w:tcPr>
            <w:tcW w:w="3723" w:type="dxa"/>
            <w:vAlign w:val="center"/>
          </w:tcPr>
          <w:p w14:paraId="7CBC95CA"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大气毒性终点浓度</w:t>
            </w:r>
            <w:r>
              <w:rPr>
                <w:rFonts w:ascii="Times New Roman" w:eastAsia="宋体" w:hAnsi="Times New Roman" w:cs="Times New Roman"/>
                <w:b/>
                <w:bCs/>
                <w:szCs w:val="21"/>
              </w:rPr>
              <w:t>2(mg/m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r>
      <w:tr w:rsidR="002133E3" w14:paraId="20578009" w14:textId="77777777">
        <w:trPr>
          <w:trHeight w:val="240"/>
          <w:jc w:val="center"/>
        </w:trPr>
        <w:tc>
          <w:tcPr>
            <w:tcW w:w="2295" w:type="dxa"/>
            <w:vAlign w:val="center"/>
          </w:tcPr>
          <w:p w14:paraId="39E968B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b/>
                <w:bCs/>
                <w:kern w:val="0"/>
                <w:szCs w:val="21"/>
              </w:rPr>
              <w:t>硫酸</w:t>
            </w:r>
          </w:p>
        </w:tc>
        <w:tc>
          <w:tcPr>
            <w:tcW w:w="3723" w:type="dxa"/>
            <w:vAlign w:val="center"/>
          </w:tcPr>
          <w:p w14:paraId="4A6362C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160</w:t>
            </w:r>
          </w:p>
        </w:tc>
        <w:tc>
          <w:tcPr>
            <w:tcW w:w="3723" w:type="dxa"/>
            <w:vAlign w:val="center"/>
          </w:tcPr>
          <w:p w14:paraId="61D0BFB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8.7</w:t>
            </w:r>
          </w:p>
        </w:tc>
      </w:tr>
      <w:tr w:rsidR="002133E3" w14:paraId="0C15FC54" w14:textId="77777777">
        <w:trPr>
          <w:trHeight w:val="240"/>
          <w:jc w:val="center"/>
        </w:trPr>
        <w:tc>
          <w:tcPr>
            <w:tcW w:w="2295" w:type="dxa"/>
            <w:vAlign w:val="center"/>
          </w:tcPr>
          <w:p w14:paraId="57D7A7B8"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SO</w:t>
            </w:r>
            <w:r>
              <w:rPr>
                <w:rFonts w:ascii="Times New Roman" w:eastAsia="宋体" w:hAnsi="Times New Roman" w:cs="Times New Roman"/>
                <w:b/>
                <w:bCs/>
                <w:kern w:val="0"/>
                <w:szCs w:val="21"/>
                <w:vertAlign w:val="subscript"/>
              </w:rPr>
              <w:t>2</w:t>
            </w:r>
          </w:p>
        </w:tc>
        <w:tc>
          <w:tcPr>
            <w:tcW w:w="3723" w:type="dxa"/>
            <w:vAlign w:val="center"/>
          </w:tcPr>
          <w:p w14:paraId="074A1E8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79</w:t>
            </w:r>
          </w:p>
        </w:tc>
        <w:tc>
          <w:tcPr>
            <w:tcW w:w="3723" w:type="dxa"/>
            <w:vAlign w:val="center"/>
          </w:tcPr>
          <w:p w14:paraId="4180FA7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r>
      <w:tr w:rsidR="002133E3" w14:paraId="1798D678" w14:textId="77777777">
        <w:trPr>
          <w:trHeight w:val="117"/>
          <w:jc w:val="center"/>
        </w:trPr>
        <w:tc>
          <w:tcPr>
            <w:tcW w:w="2295" w:type="dxa"/>
            <w:vAlign w:val="center"/>
          </w:tcPr>
          <w:p w14:paraId="427DEC7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CO</w:t>
            </w:r>
          </w:p>
        </w:tc>
        <w:tc>
          <w:tcPr>
            <w:tcW w:w="3723" w:type="dxa"/>
            <w:vAlign w:val="center"/>
          </w:tcPr>
          <w:p w14:paraId="73E59C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380</w:t>
            </w:r>
          </w:p>
        </w:tc>
        <w:tc>
          <w:tcPr>
            <w:tcW w:w="3723" w:type="dxa"/>
            <w:vAlign w:val="center"/>
          </w:tcPr>
          <w:p w14:paraId="4AA42E8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95</w:t>
            </w:r>
          </w:p>
        </w:tc>
      </w:tr>
    </w:tbl>
    <w:p w14:paraId="5D6877A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污染源排放标准</w:t>
      </w:r>
    </w:p>
    <w:p w14:paraId="0BC26AF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大气污染物</w:t>
      </w:r>
    </w:p>
    <w:p w14:paraId="3C8ECC97" w14:textId="2FE1F225"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废气中颗粒物</w:t>
      </w:r>
      <w:r>
        <w:rPr>
          <w:rFonts w:ascii="Times New Roman" w:eastAsia="宋体" w:hAnsi="Times New Roman" w:cs="Times New Roman"/>
          <w:sz w:val="28"/>
          <w:szCs w:val="28"/>
        </w:rPr>
        <w:t>(</w:t>
      </w:r>
      <w:r>
        <w:rPr>
          <w:rFonts w:ascii="Times New Roman" w:eastAsia="宋体" w:hAnsi="Times New Roman" w:cs="Times New Roman"/>
          <w:sz w:val="28"/>
          <w:szCs w:val="28"/>
        </w:rPr>
        <w:t>粉尘</w:t>
      </w:r>
      <w:r>
        <w:rPr>
          <w:rFonts w:ascii="Times New Roman" w:eastAsia="宋体" w:hAnsi="Times New Roman" w:cs="Times New Roman"/>
          <w:sz w:val="28"/>
          <w:szCs w:val="28"/>
        </w:rPr>
        <w:t>)</w:t>
      </w:r>
      <w:r>
        <w:rPr>
          <w:rFonts w:ascii="Times New Roman" w:eastAsia="宋体" w:hAnsi="Times New Roman" w:cs="Times New Roman"/>
          <w:sz w:val="28"/>
          <w:szCs w:val="28"/>
        </w:rPr>
        <w:t>排放浓度、排放速率及无组织排放浓度限值执行《大气污染物综合排放标准》</w:t>
      </w:r>
      <w:r>
        <w:rPr>
          <w:rFonts w:ascii="Times New Roman" w:eastAsia="宋体" w:hAnsi="Times New Roman" w:cs="Times New Roman"/>
          <w:sz w:val="28"/>
          <w:szCs w:val="28"/>
        </w:rPr>
        <w:t>(GB16297-1996)</w:t>
      </w:r>
      <w:r>
        <w:rPr>
          <w:rFonts w:ascii="Times New Roman" w:eastAsia="宋体" w:hAnsi="Times New Roman" w:cs="Times New Roman"/>
          <w:sz w:val="28"/>
          <w:szCs w:val="28"/>
        </w:rPr>
        <w:t>表</w:t>
      </w:r>
      <w:r>
        <w:rPr>
          <w:rFonts w:ascii="Times New Roman" w:eastAsia="宋体" w:hAnsi="Times New Roman" w:cs="Times New Roman"/>
          <w:sz w:val="28"/>
          <w:szCs w:val="28"/>
        </w:rPr>
        <w:t>2</w:t>
      </w:r>
      <w:r>
        <w:rPr>
          <w:rFonts w:ascii="Times New Roman" w:eastAsia="宋体" w:hAnsi="Times New Roman" w:cs="Times New Roman"/>
          <w:sz w:val="28"/>
          <w:szCs w:val="28"/>
        </w:rPr>
        <w:t>中二级标准；甲醇排放浓度、排放速率及无组织排放浓度限值执行《江苏省化学工业挥发性有机物排放标准》</w:t>
      </w:r>
      <w:r>
        <w:rPr>
          <w:rFonts w:ascii="Times New Roman" w:eastAsia="宋体" w:hAnsi="Times New Roman" w:cs="Times New Roman"/>
          <w:sz w:val="28"/>
          <w:szCs w:val="28"/>
        </w:rPr>
        <w:t>(DB32/3151-2016)</w:t>
      </w:r>
      <w:r>
        <w:rPr>
          <w:rFonts w:ascii="Times New Roman" w:eastAsia="宋体" w:hAnsi="Times New Roman" w:cs="Times New Roman"/>
          <w:sz w:val="28"/>
          <w:szCs w:val="28"/>
        </w:rPr>
        <w:t>表</w:t>
      </w:r>
      <w:r>
        <w:rPr>
          <w:rFonts w:ascii="Times New Roman" w:eastAsia="宋体" w:hAnsi="Times New Roman" w:cs="Times New Roman"/>
          <w:sz w:val="28"/>
          <w:szCs w:val="28"/>
        </w:rPr>
        <w:t>1</w:t>
      </w:r>
      <w:r>
        <w:rPr>
          <w:rFonts w:ascii="Times New Roman" w:eastAsia="宋体" w:hAnsi="Times New Roman" w:cs="Times New Roman"/>
          <w:sz w:val="28"/>
          <w:szCs w:val="28"/>
        </w:rPr>
        <w:t>中标准；挥发性有机物排放浓度、排放速率及厂界无组织排放浓度限值参照执行《江苏省化学工业挥发性有机物排放标准》</w:t>
      </w:r>
      <w:r>
        <w:rPr>
          <w:rFonts w:ascii="Times New Roman" w:eastAsia="宋体" w:hAnsi="Times New Roman" w:cs="Times New Roman"/>
          <w:sz w:val="28"/>
          <w:szCs w:val="28"/>
        </w:rPr>
        <w:t>(DB32/3151-2016)</w:t>
      </w:r>
      <w:r>
        <w:rPr>
          <w:rFonts w:ascii="Times New Roman" w:eastAsia="宋体" w:hAnsi="Times New Roman" w:cs="Times New Roman"/>
          <w:sz w:val="28"/>
          <w:szCs w:val="28"/>
        </w:rPr>
        <w:t>中标准，</w:t>
      </w:r>
      <w:r>
        <w:rPr>
          <w:rFonts w:ascii="Times New Roman" w:eastAsia="宋体" w:hAnsi="Times New Roman" w:cs="Times New Roman"/>
          <w:sz w:val="28"/>
          <w:szCs w:val="28"/>
        </w:rPr>
        <w:t>95%</w:t>
      </w:r>
      <w:r>
        <w:rPr>
          <w:rFonts w:ascii="Times New Roman" w:eastAsia="宋体" w:hAnsi="Times New Roman" w:cs="Times New Roman"/>
          <w:sz w:val="28"/>
          <w:szCs w:val="28"/>
        </w:rPr>
        <w:t>酒精及</w:t>
      </w:r>
      <w:r>
        <w:rPr>
          <w:rFonts w:ascii="Times New Roman" w:eastAsia="宋体" w:hAnsi="Times New Roman" w:cs="Times New Roman"/>
          <w:sz w:val="28"/>
          <w:szCs w:val="28"/>
        </w:rPr>
        <w:t>99.99%</w:t>
      </w:r>
      <w:r>
        <w:rPr>
          <w:rFonts w:ascii="Times New Roman" w:eastAsia="宋体" w:hAnsi="Times New Roman" w:cs="Times New Roman" w:hint="eastAsia"/>
          <w:sz w:val="28"/>
          <w:szCs w:val="28"/>
        </w:rPr>
        <w:t>无</w:t>
      </w:r>
      <w:r>
        <w:rPr>
          <w:rFonts w:ascii="Times New Roman" w:eastAsia="宋体" w:hAnsi="Times New Roman" w:cs="Times New Roman"/>
          <w:sz w:val="28"/>
          <w:szCs w:val="28"/>
        </w:rPr>
        <w:t>水乙醇生产装置区四周无组织排放浓度限值参照执行《挥发性有机物无组织排放控制标准》</w:t>
      </w:r>
      <w:r>
        <w:rPr>
          <w:rFonts w:ascii="Times New Roman" w:eastAsia="宋体" w:hAnsi="Times New Roman" w:cs="Times New Roman"/>
          <w:sz w:val="28"/>
          <w:szCs w:val="28"/>
        </w:rPr>
        <w:t>(GB 37822-2019)</w:t>
      </w:r>
      <w:r>
        <w:rPr>
          <w:rFonts w:ascii="Times New Roman" w:eastAsia="宋体" w:hAnsi="Times New Roman" w:cs="Times New Roman"/>
          <w:sz w:val="28"/>
          <w:szCs w:val="28"/>
        </w:rPr>
        <w:t>附录标准，乙醇排放浓度、排放速率及无组织排放浓度限值参照执行挥发性有机物标准。具体标准值见表</w:t>
      </w:r>
      <w:r>
        <w:rPr>
          <w:rFonts w:ascii="Times New Roman" w:eastAsia="宋体" w:hAnsi="Times New Roman" w:cs="Times New Roman"/>
          <w:sz w:val="28"/>
          <w:szCs w:val="28"/>
        </w:rPr>
        <w:t>2.7-9</w:t>
      </w:r>
      <w:r>
        <w:rPr>
          <w:rFonts w:ascii="Times New Roman" w:eastAsia="宋体" w:hAnsi="Times New Roman" w:cs="Times New Roman"/>
          <w:sz w:val="28"/>
          <w:szCs w:val="28"/>
        </w:rPr>
        <w:t>。</w:t>
      </w:r>
    </w:p>
    <w:p w14:paraId="4D4B998B" w14:textId="77777777" w:rsidR="002133E3" w:rsidRDefault="00C22CFA">
      <w:pPr>
        <w:tabs>
          <w:tab w:val="left" w:pos="3600"/>
        </w:tabs>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pacing w:val="-6"/>
          <w:kern w:val="0"/>
          <w:szCs w:val="21"/>
        </w:rPr>
        <w:t>2.7-9</w:t>
      </w:r>
      <w:r>
        <w:rPr>
          <w:rFonts w:ascii="Times New Roman" w:eastAsia="宋体" w:hAnsi="Times New Roman" w:cs="Times New Roman"/>
          <w:b/>
          <w:szCs w:val="21"/>
        </w:rPr>
        <w:t xml:space="preserve">  </w:t>
      </w:r>
      <w:r>
        <w:rPr>
          <w:rFonts w:ascii="Times New Roman" w:eastAsia="宋体" w:hAnsi="Times New Roman" w:cs="Times New Roman"/>
          <w:b/>
          <w:szCs w:val="21"/>
        </w:rPr>
        <w:t>大气污染物排放标准值</w:t>
      </w:r>
      <w:r>
        <w:rPr>
          <w:rFonts w:ascii="Times New Roman" w:eastAsia="宋体" w:hAnsi="Times New Roman" w:cs="Times New Roman"/>
          <w:b/>
          <w:szCs w:val="21"/>
        </w:rPr>
        <w:t>(</w:t>
      </w:r>
      <w:r>
        <w:rPr>
          <w:rFonts w:ascii="Times New Roman" w:eastAsia="宋体" w:hAnsi="Times New Roman" w:cs="Times New Roman"/>
          <w:b/>
          <w:szCs w:val="21"/>
        </w:rPr>
        <w:t>浓度单位</w:t>
      </w:r>
      <w:r>
        <w:rPr>
          <w:rFonts w:ascii="Times New Roman" w:eastAsia="宋体" w:hAnsi="Times New Roman" w:cs="Times New Roman"/>
          <w:b/>
          <w:szCs w:val="21"/>
        </w:rPr>
        <w:t>:mg/m</w:t>
      </w:r>
      <w:r>
        <w:rPr>
          <w:rFonts w:ascii="Times New Roman" w:eastAsia="宋体" w:hAnsi="Times New Roman" w:cs="Times New Roman"/>
          <w:b/>
          <w:szCs w:val="21"/>
          <w:vertAlign w:val="superscript"/>
        </w:rPr>
        <w:t>3</w:t>
      </w:r>
      <w:r>
        <w:rPr>
          <w:rFonts w:ascii="Times New Roman" w:eastAsia="宋体" w:hAnsi="Times New Roman" w:cs="Times New Roman"/>
          <w:b/>
          <w:szCs w:val="21"/>
        </w:rPr>
        <w:t>，速率单位：</w:t>
      </w:r>
      <w:r>
        <w:rPr>
          <w:rFonts w:ascii="Times New Roman" w:eastAsia="宋体" w:hAnsi="Times New Roman" w:cs="Times New Roman"/>
          <w:b/>
          <w:szCs w:val="21"/>
        </w:rPr>
        <w:t>kg/h)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1136"/>
        <w:gridCol w:w="1419"/>
        <w:gridCol w:w="2445"/>
        <w:gridCol w:w="3185"/>
      </w:tblGrid>
      <w:tr w:rsidR="002133E3" w14:paraId="0A36C572" w14:textId="77777777">
        <w:trPr>
          <w:trHeight w:val="284"/>
          <w:jc w:val="center"/>
        </w:trPr>
        <w:tc>
          <w:tcPr>
            <w:tcW w:w="1631" w:type="dxa"/>
            <w:shd w:val="clear" w:color="auto" w:fill="auto"/>
            <w:noWrap/>
            <w:vAlign w:val="center"/>
          </w:tcPr>
          <w:p w14:paraId="684E376B"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1110" w:type="dxa"/>
            <w:shd w:val="clear" w:color="auto" w:fill="auto"/>
            <w:vAlign w:val="center"/>
          </w:tcPr>
          <w:p w14:paraId="1BB1007B"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排放限值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p>
        </w:tc>
        <w:tc>
          <w:tcPr>
            <w:tcW w:w="1386" w:type="dxa"/>
            <w:shd w:val="clear" w:color="auto" w:fill="auto"/>
            <w:vAlign w:val="center"/>
          </w:tcPr>
          <w:p w14:paraId="706C24C7"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排放速率</w:t>
            </w:r>
            <w:r>
              <w:rPr>
                <w:rFonts w:ascii="Times New Roman" w:eastAsia="宋体" w:hAnsi="Times New Roman" w:cs="Times New Roman"/>
                <w:b/>
                <w:bCs/>
                <w:kern w:val="0"/>
                <w:szCs w:val="21"/>
              </w:rPr>
              <w:t>kg/h(20m)</w:t>
            </w:r>
          </w:p>
        </w:tc>
        <w:tc>
          <w:tcPr>
            <w:tcW w:w="2389" w:type="dxa"/>
            <w:shd w:val="clear" w:color="auto" w:fill="auto"/>
            <w:noWrap/>
            <w:vAlign w:val="center"/>
          </w:tcPr>
          <w:p w14:paraId="7FCBEC09"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无组织排放浓度限值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p>
        </w:tc>
        <w:tc>
          <w:tcPr>
            <w:tcW w:w="3112" w:type="dxa"/>
            <w:shd w:val="clear" w:color="auto" w:fill="auto"/>
            <w:noWrap/>
            <w:vAlign w:val="center"/>
          </w:tcPr>
          <w:p w14:paraId="4D2B1E50"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标准来源</w:t>
            </w:r>
          </w:p>
        </w:tc>
      </w:tr>
      <w:tr w:rsidR="002133E3" w14:paraId="2F340C9E" w14:textId="77777777">
        <w:trPr>
          <w:trHeight w:val="284"/>
          <w:jc w:val="center"/>
        </w:trPr>
        <w:tc>
          <w:tcPr>
            <w:tcW w:w="1631" w:type="dxa"/>
            <w:shd w:val="clear" w:color="auto" w:fill="auto"/>
            <w:noWrap/>
            <w:vAlign w:val="center"/>
          </w:tcPr>
          <w:p w14:paraId="72416CD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颗粒物</w:t>
            </w:r>
            <w:r>
              <w:rPr>
                <w:rFonts w:ascii="Times New Roman" w:eastAsia="宋体" w:hAnsi="Times New Roman" w:cs="Times New Roman"/>
                <w:kern w:val="0"/>
                <w:szCs w:val="21"/>
              </w:rPr>
              <w:t>(</w:t>
            </w:r>
            <w:r>
              <w:rPr>
                <w:rFonts w:ascii="Times New Roman" w:eastAsia="宋体" w:hAnsi="Times New Roman" w:cs="Times New Roman"/>
                <w:kern w:val="0"/>
                <w:szCs w:val="21"/>
              </w:rPr>
              <w:t>粉尘</w:t>
            </w:r>
            <w:r>
              <w:rPr>
                <w:rFonts w:ascii="Times New Roman" w:eastAsia="宋体" w:hAnsi="Times New Roman" w:cs="Times New Roman"/>
                <w:kern w:val="0"/>
                <w:szCs w:val="21"/>
              </w:rPr>
              <w:t>)</w:t>
            </w:r>
          </w:p>
        </w:tc>
        <w:tc>
          <w:tcPr>
            <w:tcW w:w="1110" w:type="dxa"/>
            <w:shd w:val="clear" w:color="auto" w:fill="auto"/>
            <w:noWrap/>
            <w:vAlign w:val="center"/>
          </w:tcPr>
          <w:p w14:paraId="52F990C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120</w:t>
            </w:r>
          </w:p>
        </w:tc>
        <w:tc>
          <w:tcPr>
            <w:tcW w:w="1386" w:type="dxa"/>
            <w:shd w:val="clear" w:color="auto" w:fill="auto"/>
            <w:vAlign w:val="center"/>
          </w:tcPr>
          <w:p w14:paraId="4B341B4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lang w:val="en-JM"/>
              </w:rPr>
              <w:t>5.9</w:t>
            </w:r>
          </w:p>
        </w:tc>
        <w:tc>
          <w:tcPr>
            <w:tcW w:w="2389" w:type="dxa"/>
            <w:shd w:val="clear" w:color="auto" w:fill="auto"/>
            <w:noWrap/>
            <w:vAlign w:val="center"/>
          </w:tcPr>
          <w:p w14:paraId="2908403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3112" w:type="dxa"/>
            <w:shd w:val="clear" w:color="auto" w:fill="auto"/>
            <w:vAlign w:val="center"/>
          </w:tcPr>
          <w:p w14:paraId="3C94B01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大气污染物综合排放标准</w:t>
            </w:r>
            <w:r>
              <w:rPr>
                <w:rFonts w:ascii="Times New Roman" w:eastAsia="宋体" w:hAnsi="Times New Roman" w:cs="Times New Roman"/>
                <w:kern w:val="0"/>
                <w:szCs w:val="21"/>
              </w:rPr>
              <w:t>GB16297-1996</w:t>
            </w:r>
            <w:r>
              <w:rPr>
                <w:rFonts w:ascii="Times New Roman" w:eastAsia="宋体" w:hAnsi="Times New Roman" w:cs="Times New Roman"/>
                <w:kern w:val="0"/>
                <w:szCs w:val="21"/>
              </w:rPr>
              <w:t>二级标准</w:t>
            </w:r>
            <w:r>
              <w:rPr>
                <w:rFonts w:ascii="Times New Roman" w:eastAsia="宋体" w:hAnsi="Times New Roman" w:cs="Times New Roman"/>
                <w:kern w:val="0"/>
                <w:szCs w:val="21"/>
              </w:rPr>
              <w:t>(</w:t>
            </w:r>
            <w:r>
              <w:rPr>
                <w:rFonts w:ascii="Times New Roman" w:eastAsia="宋体" w:hAnsi="Times New Roman" w:cs="Times New Roman"/>
                <w:kern w:val="0"/>
                <w:szCs w:val="21"/>
              </w:rPr>
              <w:t>表</w:t>
            </w:r>
            <w:r>
              <w:rPr>
                <w:rFonts w:ascii="Times New Roman" w:eastAsia="宋体" w:hAnsi="Times New Roman" w:cs="Times New Roman"/>
                <w:kern w:val="0"/>
                <w:szCs w:val="21"/>
              </w:rPr>
              <w:t>2)</w:t>
            </w:r>
          </w:p>
        </w:tc>
      </w:tr>
      <w:tr w:rsidR="002133E3" w14:paraId="10EF8775" w14:textId="77777777">
        <w:trPr>
          <w:trHeight w:val="284"/>
          <w:jc w:val="center"/>
        </w:trPr>
        <w:tc>
          <w:tcPr>
            <w:tcW w:w="1631" w:type="dxa"/>
            <w:shd w:val="clear" w:color="auto" w:fill="auto"/>
            <w:noWrap/>
            <w:vAlign w:val="center"/>
          </w:tcPr>
          <w:p w14:paraId="7AD4CDF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甲醇</w:t>
            </w:r>
          </w:p>
        </w:tc>
        <w:tc>
          <w:tcPr>
            <w:tcW w:w="1110" w:type="dxa"/>
            <w:shd w:val="clear" w:color="auto" w:fill="auto"/>
            <w:noWrap/>
            <w:vAlign w:val="center"/>
          </w:tcPr>
          <w:p w14:paraId="50EE118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1386" w:type="dxa"/>
            <w:shd w:val="clear" w:color="auto" w:fill="auto"/>
            <w:noWrap/>
            <w:vAlign w:val="center"/>
          </w:tcPr>
          <w:p w14:paraId="582487F8" w14:textId="77777777" w:rsidR="002133E3" w:rsidRDefault="00C22CFA">
            <w:pPr>
              <w:widowControl/>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7.2</w:t>
            </w:r>
          </w:p>
        </w:tc>
        <w:tc>
          <w:tcPr>
            <w:tcW w:w="2389" w:type="dxa"/>
            <w:shd w:val="clear" w:color="auto" w:fill="auto"/>
            <w:noWrap/>
            <w:vAlign w:val="center"/>
          </w:tcPr>
          <w:p w14:paraId="0C8119F3" w14:textId="77777777" w:rsidR="002133E3" w:rsidRDefault="00C22CFA">
            <w:pPr>
              <w:widowControl/>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1</w:t>
            </w:r>
          </w:p>
        </w:tc>
        <w:tc>
          <w:tcPr>
            <w:tcW w:w="3112" w:type="dxa"/>
            <w:vMerge w:val="restart"/>
            <w:vAlign w:val="center"/>
          </w:tcPr>
          <w:p w14:paraId="4FCD457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江苏省化学工业挥发性有机物排放标准</w:t>
            </w:r>
            <w:r>
              <w:rPr>
                <w:rFonts w:ascii="Times New Roman" w:eastAsia="宋体" w:hAnsi="Times New Roman" w:cs="Times New Roman"/>
                <w:kern w:val="0"/>
                <w:szCs w:val="21"/>
              </w:rPr>
              <w:t>DB32/3151-2016</w:t>
            </w:r>
          </w:p>
        </w:tc>
      </w:tr>
      <w:tr w:rsidR="002133E3" w14:paraId="4F3DC503" w14:textId="77777777">
        <w:trPr>
          <w:trHeight w:val="284"/>
          <w:jc w:val="center"/>
        </w:trPr>
        <w:tc>
          <w:tcPr>
            <w:tcW w:w="1631" w:type="dxa"/>
            <w:vMerge w:val="restart"/>
            <w:shd w:val="clear" w:color="auto" w:fill="auto"/>
            <w:noWrap/>
            <w:vAlign w:val="center"/>
          </w:tcPr>
          <w:p w14:paraId="502C4C1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挥发性有机物</w:t>
            </w:r>
          </w:p>
        </w:tc>
        <w:tc>
          <w:tcPr>
            <w:tcW w:w="1110" w:type="dxa"/>
            <w:vMerge w:val="restart"/>
            <w:shd w:val="clear" w:color="auto" w:fill="auto"/>
            <w:noWrap/>
            <w:vAlign w:val="center"/>
          </w:tcPr>
          <w:p w14:paraId="4E6F541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1386" w:type="dxa"/>
            <w:vMerge w:val="restart"/>
            <w:shd w:val="clear" w:color="auto" w:fill="auto"/>
            <w:vAlign w:val="center"/>
          </w:tcPr>
          <w:p w14:paraId="1FF8B78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2389" w:type="dxa"/>
            <w:shd w:val="clear" w:color="auto" w:fill="auto"/>
            <w:noWrap/>
            <w:vAlign w:val="center"/>
          </w:tcPr>
          <w:p w14:paraId="23A5044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厂界</w:t>
            </w:r>
            <w:r>
              <w:rPr>
                <w:rFonts w:ascii="Times New Roman" w:eastAsia="宋体" w:hAnsi="Times New Roman" w:cs="Times New Roman"/>
                <w:kern w:val="0"/>
                <w:szCs w:val="21"/>
              </w:rPr>
              <w:t>)</w:t>
            </w:r>
          </w:p>
        </w:tc>
        <w:tc>
          <w:tcPr>
            <w:tcW w:w="3112" w:type="dxa"/>
            <w:vMerge/>
            <w:shd w:val="clear" w:color="auto" w:fill="auto"/>
            <w:vAlign w:val="center"/>
          </w:tcPr>
          <w:p w14:paraId="0CA273B6" w14:textId="77777777" w:rsidR="002133E3" w:rsidRDefault="002133E3">
            <w:pPr>
              <w:widowControl/>
              <w:snapToGrid w:val="0"/>
              <w:jc w:val="center"/>
              <w:rPr>
                <w:rFonts w:ascii="Times New Roman" w:eastAsia="宋体" w:hAnsi="Times New Roman" w:cs="Times New Roman"/>
                <w:kern w:val="0"/>
                <w:szCs w:val="21"/>
              </w:rPr>
            </w:pPr>
          </w:p>
        </w:tc>
      </w:tr>
      <w:tr w:rsidR="002133E3" w14:paraId="2216A034" w14:textId="77777777">
        <w:trPr>
          <w:trHeight w:val="284"/>
          <w:jc w:val="center"/>
        </w:trPr>
        <w:tc>
          <w:tcPr>
            <w:tcW w:w="1631" w:type="dxa"/>
            <w:vMerge/>
            <w:shd w:val="clear" w:color="auto" w:fill="auto"/>
            <w:noWrap/>
            <w:vAlign w:val="center"/>
          </w:tcPr>
          <w:p w14:paraId="0FBBF143" w14:textId="77777777" w:rsidR="002133E3" w:rsidRDefault="002133E3">
            <w:pPr>
              <w:widowControl/>
              <w:snapToGrid w:val="0"/>
              <w:jc w:val="center"/>
              <w:rPr>
                <w:rFonts w:ascii="Times New Roman" w:eastAsia="宋体" w:hAnsi="Times New Roman" w:cs="Times New Roman"/>
                <w:kern w:val="0"/>
                <w:szCs w:val="21"/>
              </w:rPr>
            </w:pPr>
          </w:p>
        </w:tc>
        <w:tc>
          <w:tcPr>
            <w:tcW w:w="1110" w:type="dxa"/>
            <w:vMerge/>
            <w:shd w:val="clear" w:color="auto" w:fill="auto"/>
            <w:noWrap/>
            <w:vAlign w:val="center"/>
          </w:tcPr>
          <w:p w14:paraId="382363C4" w14:textId="77777777" w:rsidR="002133E3" w:rsidRDefault="002133E3">
            <w:pPr>
              <w:widowControl/>
              <w:snapToGrid w:val="0"/>
              <w:jc w:val="center"/>
              <w:rPr>
                <w:rFonts w:ascii="Times New Roman" w:eastAsia="宋体" w:hAnsi="Times New Roman" w:cs="Times New Roman"/>
                <w:kern w:val="0"/>
                <w:szCs w:val="21"/>
              </w:rPr>
            </w:pPr>
          </w:p>
        </w:tc>
        <w:tc>
          <w:tcPr>
            <w:tcW w:w="1386" w:type="dxa"/>
            <w:vMerge/>
            <w:shd w:val="clear" w:color="auto" w:fill="auto"/>
            <w:vAlign w:val="center"/>
          </w:tcPr>
          <w:p w14:paraId="40B73A88" w14:textId="77777777" w:rsidR="002133E3" w:rsidRDefault="002133E3">
            <w:pPr>
              <w:widowControl/>
              <w:snapToGrid w:val="0"/>
              <w:jc w:val="center"/>
              <w:rPr>
                <w:rFonts w:ascii="Times New Roman" w:eastAsia="宋体" w:hAnsi="Times New Roman" w:cs="Times New Roman"/>
                <w:kern w:val="0"/>
                <w:szCs w:val="21"/>
              </w:rPr>
            </w:pPr>
          </w:p>
        </w:tc>
        <w:tc>
          <w:tcPr>
            <w:tcW w:w="2389" w:type="dxa"/>
            <w:shd w:val="clear" w:color="auto" w:fill="auto"/>
            <w:noWrap/>
            <w:vAlign w:val="center"/>
          </w:tcPr>
          <w:p w14:paraId="504D559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装置区四周</w:t>
            </w:r>
            <w:r>
              <w:rPr>
                <w:rFonts w:ascii="Times New Roman" w:eastAsia="宋体" w:hAnsi="Times New Roman" w:cs="Times New Roman"/>
                <w:kern w:val="0"/>
                <w:szCs w:val="21"/>
              </w:rPr>
              <w:t>)</w:t>
            </w:r>
          </w:p>
        </w:tc>
        <w:tc>
          <w:tcPr>
            <w:tcW w:w="3112" w:type="dxa"/>
            <w:shd w:val="clear" w:color="auto" w:fill="auto"/>
            <w:vAlign w:val="center"/>
          </w:tcPr>
          <w:p w14:paraId="41D84D3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挥发性有机物无组织排放控制标准</w:t>
            </w:r>
            <w:r>
              <w:rPr>
                <w:rFonts w:ascii="Times New Roman" w:eastAsia="宋体" w:hAnsi="Times New Roman" w:cs="Times New Roman"/>
                <w:kern w:val="0"/>
                <w:szCs w:val="21"/>
              </w:rPr>
              <w:t>GB 37822-2019</w:t>
            </w:r>
          </w:p>
        </w:tc>
      </w:tr>
      <w:tr w:rsidR="002133E3" w14:paraId="3404249B" w14:textId="77777777">
        <w:trPr>
          <w:trHeight w:val="284"/>
          <w:jc w:val="center"/>
        </w:trPr>
        <w:tc>
          <w:tcPr>
            <w:tcW w:w="1631" w:type="dxa"/>
            <w:shd w:val="clear" w:color="auto" w:fill="auto"/>
            <w:noWrap/>
            <w:vAlign w:val="center"/>
          </w:tcPr>
          <w:p w14:paraId="590CBC5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110" w:type="dxa"/>
            <w:shd w:val="clear" w:color="auto" w:fill="auto"/>
            <w:noWrap/>
            <w:vAlign w:val="center"/>
          </w:tcPr>
          <w:p w14:paraId="58A21A1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1386" w:type="dxa"/>
            <w:shd w:val="clear" w:color="auto" w:fill="auto"/>
            <w:vAlign w:val="center"/>
          </w:tcPr>
          <w:p w14:paraId="5DCFBEF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2389" w:type="dxa"/>
            <w:shd w:val="clear" w:color="auto" w:fill="auto"/>
            <w:noWrap/>
            <w:vAlign w:val="center"/>
          </w:tcPr>
          <w:p w14:paraId="05DD148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厂界</w:t>
            </w:r>
            <w:r>
              <w:rPr>
                <w:rFonts w:ascii="Times New Roman" w:eastAsia="宋体" w:hAnsi="Times New Roman" w:cs="Times New Roman"/>
                <w:kern w:val="0"/>
                <w:szCs w:val="21"/>
              </w:rPr>
              <w:t>)/ 6(</w:t>
            </w:r>
            <w:r>
              <w:rPr>
                <w:rFonts w:ascii="Times New Roman" w:eastAsia="宋体" w:hAnsi="Times New Roman" w:cs="Times New Roman"/>
                <w:kern w:val="0"/>
                <w:szCs w:val="21"/>
              </w:rPr>
              <w:t>装置区四周</w:t>
            </w:r>
            <w:r>
              <w:rPr>
                <w:rFonts w:ascii="Times New Roman" w:eastAsia="宋体" w:hAnsi="Times New Roman" w:cs="Times New Roman"/>
                <w:kern w:val="0"/>
                <w:szCs w:val="21"/>
              </w:rPr>
              <w:t>)</w:t>
            </w:r>
          </w:p>
        </w:tc>
        <w:tc>
          <w:tcPr>
            <w:tcW w:w="3112" w:type="dxa"/>
            <w:shd w:val="clear" w:color="auto" w:fill="auto"/>
            <w:vAlign w:val="center"/>
          </w:tcPr>
          <w:p w14:paraId="0D69EF0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pacing w:val="-6"/>
                <w:szCs w:val="21"/>
              </w:rPr>
              <w:t>参照执行</w:t>
            </w:r>
            <w:r>
              <w:rPr>
                <w:rFonts w:ascii="Times New Roman" w:eastAsia="宋体" w:hAnsi="Times New Roman" w:cs="Times New Roman"/>
                <w:kern w:val="0"/>
                <w:szCs w:val="21"/>
              </w:rPr>
              <w:t>挥发性有机物</w:t>
            </w:r>
            <w:r>
              <w:rPr>
                <w:rFonts w:ascii="Times New Roman" w:eastAsia="宋体" w:hAnsi="Times New Roman" w:cs="Times New Roman"/>
                <w:spacing w:val="-6"/>
                <w:szCs w:val="21"/>
              </w:rPr>
              <w:t>标准</w:t>
            </w:r>
          </w:p>
        </w:tc>
      </w:tr>
    </w:tbl>
    <w:p w14:paraId="1DFD1D3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水污染物</w:t>
      </w:r>
    </w:p>
    <w:p w14:paraId="12565E5C"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项目废水经厂内污水站预处理后排入园区污水厂进一步处理，产业区污水处理厂接管标准执行《污水综合排放标准》</w:t>
      </w:r>
      <w:r>
        <w:rPr>
          <w:rFonts w:ascii="Times New Roman" w:eastAsia="宋体" w:hAnsi="Times New Roman" w:cs="Times New Roman"/>
          <w:kern w:val="0"/>
          <w:sz w:val="28"/>
          <w:szCs w:val="28"/>
        </w:rPr>
        <w:t>(GB8978-1996)</w:t>
      </w:r>
      <w:r>
        <w:rPr>
          <w:rFonts w:ascii="Times New Roman" w:eastAsia="宋体" w:hAnsi="Times New Roman" w:cs="Times New Roman"/>
          <w:kern w:val="0"/>
          <w:sz w:val="28"/>
          <w:szCs w:val="28"/>
        </w:rPr>
        <w:t>三级标准、《污水排入城镇下水道水质标准》</w:t>
      </w:r>
      <w:r>
        <w:rPr>
          <w:rFonts w:ascii="Times New Roman" w:eastAsia="宋体" w:hAnsi="Times New Roman" w:cs="Times New Roman"/>
          <w:kern w:val="0"/>
          <w:sz w:val="28"/>
          <w:szCs w:val="28"/>
        </w:rPr>
        <w:t>(CJ343-2010)</w:t>
      </w:r>
      <w:r>
        <w:rPr>
          <w:rFonts w:ascii="Times New Roman" w:eastAsia="宋体" w:hAnsi="Times New Roman" w:cs="Times New Roman"/>
          <w:kern w:val="0"/>
          <w:sz w:val="28"/>
          <w:szCs w:val="28"/>
        </w:rPr>
        <w:t>中的</w:t>
      </w:r>
      <w:r>
        <w:rPr>
          <w:rFonts w:ascii="Times New Roman" w:eastAsia="宋体" w:hAnsi="Times New Roman" w:cs="Times New Roman"/>
          <w:kern w:val="0"/>
          <w:sz w:val="28"/>
          <w:szCs w:val="28"/>
        </w:rPr>
        <w:t>B</w:t>
      </w:r>
      <w:r>
        <w:rPr>
          <w:rFonts w:ascii="Times New Roman" w:eastAsia="宋体" w:hAnsi="Times New Roman" w:cs="Times New Roman"/>
          <w:kern w:val="0"/>
          <w:sz w:val="28"/>
          <w:szCs w:val="28"/>
        </w:rPr>
        <w:t>等级标准限值，厂区污水站排水执行《发酵酒精和白酒工业水污染物排放标准》</w:t>
      </w:r>
      <w:r>
        <w:rPr>
          <w:rFonts w:ascii="Times New Roman" w:eastAsia="宋体" w:hAnsi="Times New Roman" w:cs="Times New Roman"/>
          <w:kern w:val="0"/>
          <w:sz w:val="28"/>
          <w:szCs w:val="28"/>
        </w:rPr>
        <w:t>(GB27631-2011)</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中的间接排放标准；污水处理厂尾水排放执行《城镇污水处理厂污染物排放标准》</w:t>
      </w:r>
      <w:r>
        <w:rPr>
          <w:rFonts w:ascii="Times New Roman" w:eastAsia="宋体" w:hAnsi="Times New Roman" w:cs="Times New Roman"/>
          <w:kern w:val="0"/>
          <w:sz w:val="28"/>
          <w:szCs w:val="28"/>
        </w:rPr>
        <w:t>(GB18918-2002)</w:t>
      </w:r>
      <w:r>
        <w:rPr>
          <w:rFonts w:ascii="Times New Roman" w:eastAsia="宋体" w:hAnsi="Times New Roman" w:cs="Times New Roman"/>
          <w:kern w:val="0"/>
          <w:sz w:val="28"/>
          <w:szCs w:val="28"/>
        </w:rPr>
        <w:t>一级</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标准，尾水通过通道排入兴庄河闸下入海。主要指标详见表</w:t>
      </w:r>
      <w:r>
        <w:rPr>
          <w:rFonts w:ascii="Times New Roman" w:eastAsia="宋体" w:hAnsi="Times New Roman" w:cs="Times New Roman"/>
          <w:kern w:val="0"/>
          <w:sz w:val="28"/>
          <w:szCs w:val="28"/>
        </w:rPr>
        <w:t>2.2-16</w:t>
      </w:r>
      <w:r>
        <w:rPr>
          <w:rFonts w:ascii="Times New Roman" w:eastAsia="宋体" w:hAnsi="Times New Roman" w:cs="Times New Roman"/>
          <w:kern w:val="0"/>
          <w:sz w:val="28"/>
          <w:szCs w:val="28"/>
        </w:rPr>
        <w:t>。</w:t>
      </w:r>
    </w:p>
    <w:p w14:paraId="166EBCAD" w14:textId="77777777" w:rsidR="002133E3" w:rsidRDefault="00C22CFA">
      <w:pPr>
        <w:widowControl/>
        <w:spacing w:line="520" w:lineRule="exact"/>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2.2-16   </w:t>
      </w:r>
      <w:r>
        <w:rPr>
          <w:rFonts w:ascii="Times New Roman" w:eastAsia="宋体" w:hAnsi="Times New Roman" w:cs="Times New Roman"/>
          <w:b/>
          <w:bCs/>
          <w:sz w:val="24"/>
          <w:szCs w:val="24"/>
        </w:rPr>
        <w:t>污水排放标准主要指标值表</w:t>
      </w:r>
      <w:r>
        <w:rPr>
          <w:rFonts w:ascii="Times New Roman" w:eastAsia="宋体" w:hAnsi="Times New Roman" w:cs="Times New Roman"/>
          <w:b/>
          <w:bCs/>
          <w:sz w:val="24"/>
          <w:szCs w:val="24"/>
        </w:rPr>
        <w:t xml:space="preserve"> mg/L(pH</w:t>
      </w:r>
      <w:r>
        <w:rPr>
          <w:rFonts w:ascii="Times New Roman" w:eastAsia="宋体" w:hAnsi="Times New Roman" w:cs="Times New Roman"/>
          <w:b/>
          <w:bCs/>
          <w:sz w:val="24"/>
          <w:szCs w:val="24"/>
        </w:rPr>
        <w:t>值除外</w:t>
      </w:r>
      <w:r>
        <w:rPr>
          <w:rFonts w:ascii="Times New Roman" w:eastAsia="宋体" w:hAnsi="Times New Roman" w:cs="Times New Roman"/>
          <w:b/>
          <w:bCs/>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278"/>
        <w:gridCol w:w="853"/>
        <w:gridCol w:w="1133"/>
        <w:gridCol w:w="993"/>
        <w:gridCol w:w="851"/>
        <w:gridCol w:w="851"/>
        <w:gridCol w:w="810"/>
      </w:tblGrid>
      <w:tr w:rsidR="002133E3" w14:paraId="64993298" w14:textId="77777777">
        <w:trPr>
          <w:trHeight w:val="284"/>
        </w:trPr>
        <w:tc>
          <w:tcPr>
            <w:tcW w:w="1565" w:type="pct"/>
            <w:shd w:val="clear" w:color="auto" w:fill="auto"/>
            <w:vAlign w:val="center"/>
          </w:tcPr>
          <w:p w14:paraId="3148F6B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w:t>
            </w:r>
          </w:p>
        </w:tc>
        <w:tc>
          <w:tcPr>
            <w:tcW w:w="648" w:type="pct"/>
            <w:shd w:val="clear" w:color="auto" w:fill="auto"/>
            <w:vAlign w:val="center"/>
          </w:tcPr>
          <w:p w14:paraId="572E8BD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pH</w:t>
            </w:r>
          </w:p>
        </w:tc>
        <w:tc>
          <w:tcPr>
            <w:tcW w:w="433" w:type="pct"/>
            <w:shd w:val="clear" w:color="auto" w:fill="auto"/>
            <w:vAlign w:val="center"/>
          </w:tcPr>
          <w:p w14:paraId="2FB7DFD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COD</w:t>
            </w:r>
          </w:p>
        </w:tc>
        <w:tc>
          <w:tcPr>
            <w:tcW w:w="575" w:type="pct"/>
            <w:shd w:val="clear" w:color="auto" w:fill="auto"/>
            <w:vAlign w:val="center"/>
          </w:tcPr>
          <w:p w14:paraId="3C133D6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BOD</w:t>
            </w:r>
            <w:r>
              <w:rPr>
                <w:rFonts w:ascii="Times New Roman" w:eastAsia="宋体" w:hAnsi="Times New Roman" w:cs="Times New Roman"/>
                <w:b/>
                <w:bCs/>
                <w:color w:val="000000"/>
                <w:kern w:val="0"/>
                <w:szCs w:val="21"/>
                <w:vertAlign w:val="subscript"/>
              </w:rPr>
              <w:t>5</w:t>
            </w:r>
          </w:p>
        </w:tc>
        <w:tc>
          <w:tcPr>
            <w:tcW w:w="504" w:type="pct"/>
            <w:shd w:val="clear" w:color="auto" w:fill="auto"/>
            <w:vAlign w:val="center"/>
          </w:tcPr>
          <w:p w14:paraId="492793C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SS</w:t>
            </w:r>
          </w:p>
        </w:tc>
        <w:tc>
          <w:tcPr>
            <w:tcW w:w="432" w:type="pct"/>
            <w:shd w:val="clear" w:color="auto" w:fill="auto"/>
            <w:vAlign w:val="center"/>
          </w:tcPr>
          <w:p w14:paraId="0E5C05D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总氮</w:t>
            </w:r>
          </w:p>
        </w:tc>
        <w:tc>
          <w:tcPr>
            <w:tcW w:w="432" w:type="pct"/>
            <w:shd w:val="clear" w:color="auto" w:fill="auto"/>
            <w:vAlign w:val="center"/>
          </w:tcPr>
          <w:p w14:paraId="7B58E1D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氨氮</w:t>
            </w:r>
          </w:p>
        </w:tc>
        <w:tc>
          <w:tcPr>
            <w:tcW w:w="411" w:type="pct"/>
            <w:shd w:val="clear" w:color="auto" w:fill="auto"/>
            <w:vAlign w:val="center"/>
          </w:tcPr>
          <w:p w14:paraId="1BDC118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总磷</w:t>
            </w:r>
          </w:p>
        </w:tc>
      </w:tr>
      <w:tr w:rsidR="002133E3" w14:paraId="4AC0E9A6" w14:textId="77777777">
        <w:trPr>
          <w:trHeight w:val="284"/>
        </w:trPr>
        <w:tc>
          <w:tcPr>
            <w:tcW w:w="1565" w:type="pct"/>
            <w:shd w:val="clear" w:color="auto" w:fill="auto"/>
            <w:vAlign w:val="center"/>
          </w:tcPr>
          <w:p w14:paraId="6436E72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《发酵酒精和白酒工业水污染物排放标准》</w:t>
            </w:r>
            <w:r>
              <w:rPr>
                <w:rFonts w:ascii="Times New Roman" w:eastAsia="宋体" w:hAnsi="Times New Roman" w:cs="Times New Roman"/>
                <w:color w:val="000000"/>
                <w:kern w:val="0"/>
                <w:szCs w:val="21"/>
              </w:rPr>
              <w:t>(GB27631-2011)</w:t>
            </w:r>
          </w:p>
        </w:tc>
        <w:tc>
          <w:tcPr>
            <w:tcW w:w="648" w:type="pct"/>
            <w:shd w:val="clear" w:color="auto" w:fill="auto"/>
            <w:vAlign w:val="center"/>
          </w:tcPr>
          <w:p w14:paraId="294EBFA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9</w:t>
            </w:r>
          </w:p>
        </w:tc>
        <w:tc>
          <w:tcPr>
            <w:tcW w:w="433" w:type="pct"/>
            <w:shd w:val="clear" w:color="auto" w:fill="auto"/>
            <w:vAlign w:val="center"/>
          </w:tcPr>
          <w:p w14:paraId="4D1A2B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400</w:t>
            </w:r>
          </w:p>
        </w:tc>
        <w:tc>
          <w:tcPr>
            <w:tcW w:w="575" w:type="pct"/>
            <w:shd w:val="clear" w:color="auto" w:fill="auto"/>
            <w:vAlign w:val="center"/>
          </w:tcPr>
          <w:p w14:paraId="000966E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80</w:t>
            </w:r>
          </w:p>
        </w:tc>
        <w:tc>
          <w:tcPr>
            <w:tcW w:w="504" w:type="pct"/>
            <w:shd w:val="clear" w:color="auto" w:fill="auto"/>
            <w:vAlign w:val="center"/>
          </w:tcPr>
          <w:p w14:paraId="03BE9A5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140</w:t>
            </w:r>
          </w:p>
        </w:tc>
        <w:tc>
          <w:tcPr>
            <w:tcW w:w="432" w:type="pct"/>
            <w:shd w:val="clear" w:color="auto" w:fill="auto"/>
            <w:vAlign w:val="center"/>
          </w:tcPr>
          <w:p w14:paraId="4232F7C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w:t>
            </w:r>
          </w:p>
        </w:tc>
        <w:tc>
          <w:tcPr>
            <w:tcW w:w="432" w:type="pct"/>
            <w:shd w:val="clear" w:color="auto" w:fill="auto"/>
            <w:vAlign w:val="center"/>
          </w:tcPr>
          <w:p w14:paraId="3859944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c>
          <w:tcPr>
            <w:tcW w:w="411" w:type="pct"/>
            <w:shd w:val="clear" w:color="auto" w:fill="auto"/>
            <w:vAlign w:val="center"/>
          </w:tcPr>
          <w:p w14:paraId="5F9AA53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r>
      <w:tr w:rsidR="002133E3" w14:paraId="353C7756" w14:textId="77777777">
        <w:trPr>
          <w:trHeight w:val="284"/>
        </w:trPr>
        <w:tc>
          <w:tcPr>
            <w:tcW w:w="1565" w:type="pct"/>
            <w:shd w:val="clear" w:color="auto" w:fill="auto"/>
            <w:vAlign w:val="center"/>
          </w:tcPr>
          <w:p w14:paraId="65D067C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污水处理厂接管标准</w:t>
            </w:r>
          </w:p>
        </w:tc>
        <w:tc>
          <w:tcPr>
            <w:tcW w:w="648" w:type="pct"/>
            <w:shd w:val="clear" w:color="auto" w:fill="auto"/>
            <w:vAlign w:val="center"/>
          </w:tcPr>
          <w:p w14:paraId="0729713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9</w:t>
            </w:r>
          </w:p>
        </w:tc>
        <w:tc>
          <w:tcPr>
            <w:tcW w:w="433" w:type="pct"/>
            <w:shd w:val="clear" w:color="auto" w:fill="auto"/>
            <w:vAlign w:val="center"/>
          </w:tcPr>
          <w:p w14:paraId="5BEA23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500</w:t>
            </w:r>
          </w:p>
        </w:tc>
        <w:tc>
          <w:tcPr>
            <w:tcW w:w="575" w:type="pct"/>
            <w:shd w:val="clear" w:color="auto" w:fill="auto"/>
            <w:vAlign w:val="center"/>
          </w:tcPr>
          <w:p w14:paraId="405B06A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300</w:t>
            </w:r>
          </w:p>
        </w:tc>
        <w:tc>
          <w:tcPr>
            <w:tcW w:w="504" w:type="pct"/>
            <w:shd w:val="clear" w:color="auto" w:fill="auto"/>
            <w:vAlign w:val="center"/>
          </w:tcPr>
          <w:p w14:paraId="7F1A9E5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400</w:t>
            </w:r>
          </w:p>
        </w:tc>
        <w:tc>
          <w:tcPr>
            <w:tcW w:w="432" w:type="pct"/>
            <w:shd w:val="clear" w:color="auto" w:fill="auto"/>
            <w:vAlign w:val="center"/>
          </w:tcPr>
          <w:p w14:paraId="3B3944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70</w:t>
            </w:r>
          </w:p>
        </w:tc>
        <w:tc>
          <w:tcPr>
            <w:tcW w:w="432" w:type="pct"/>
            <w:shd w:val="clear" w:color="auto" w:fill="auto"/>
            <w:vAlign w:val="center"/>
          </w:tcPr>
          <w:p w14:paraId="1F05B4B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w:t>
            </w:r>
          </w:p>
        </w:tc>
        <w:tc>
          <w:tcPr>
            <w:tcW w:w="411" w:type="pct"/>
            <w:shd w:val="clear" w:color="auto" w:fill="auto"/>
            <w:vAlign w:val="center"/>
          </w:tcPr>
          <w:p w14:paraId="38F1F4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w:t>
            </w:r>
          </w:p>
        </w:tc>
      </w:tr>
      <w:tr w:rsidR="002133E3" w14:paraId="6E352D9F" w14:textId="77777777">
        <w:trPr>
          <w:trHeight w:val="284"/>
        </w:trPr>
        <w:tc>
          <w:tcPr>
            <w:tcW w:w="1565" w:type="pct"/>
            <w:shd w:val="clear" w:color="auto" w:fill="auto"/>
            <w:vAlign w:val="center"/>
          </w:tcPr>
          <w:p w14:paraId="6BBAEC9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污水处理厂尾水排放标准</w:t>
            </w:r>
          </w:p>
        </w:tc>
        <w:tc>
          <w:tcPr>
            <w:tcW w:w="648" w:type="pct"/>
            <w:shd w:val="clear" w:color="auto" w:fill="auto"/>
            <w:vAlign w:val="center"/>
          </w:tcPr>
          <w:p w14:paraId="7D14431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9</w:t>
            </w:r>
          </w:p>
        </w:tc>
        <w:tc>
          <w:tcPr>
            <w:tcW w:w="433" w:type="pct"/>
            <w:shd w:val="clear" w:color="auto" w:fill="auto"/>
            <w:vAlign w:val="center"/>
          </w:tcPr>
          <w:p w14:paraId="0D5E8D2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w:t>
            </w:r>
          </w:p>
        </w:tc>
        <w:tc>
          <w:tcPr>
            <w:tcW w:w="575" w:type="pct"/>
            <w:shd w:val="clear" w:color="auto" w:fill="auto"/>
            <w:vAlign w:val="center"/>
          </w:tcPr>
          <w:p w14:paraId="7F5A6CE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504" w:type="pct"/>
            <w:shd w:val="clear" w:color="auto" w:fill="auto"/>
            <w:vAlign w:val="center"/>
          </w:tcPr>
          <w:p w14:paraId="4B11DD2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432" w:type="pct"/>
            <w:shd w:val="clear" w:color="auto" w:fill="auto"/>
            <w:vAlign w:val="center"/>
          </w:tcPr>
          <w:p w14:paraId="075DC9D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432" w:type="pct"/>
            <w:shd w:val="clear" w:color="auto" w:fill="auto"/>
            <w:vAlign w:val="center"/>
          </w:tcPr>
          <w:p w14:paraId="3415A23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411" w:type="pct"/>
            <w:shd w:val="clear" w:color="auto" w:fill="auto"/>
            <w:vAlign w:val="center"/>
          </w:tcPr>
          <w:p w14:paraId="3CFDC32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w:t>
            </w:r>
          </w:p>
        </w:tc>
      </w:tr>
      <w:tr w:rsidR="002133E3" w14:paraId="5AD2A5FD" w14:textId="77777777">
        <w:trPr>
          <w:trHeight w:val="284"/>
        </w:trPr>
        <w:tc>
          <w:tcPr>
            <w:tcW w:w="1565" w:type="pct"/>
            <w:shd w:val="clear" w:color="auto" w:fill="auto"/>
            <w:vAlign w:val="center"/>
          </w:tcPr>
          <w:p w14:paraId="0924274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单位产品基准排水量</w:t>
            </w:r>
            <w:r>
              <w:rPr>
                <w:rFonts w:ascii="Times New Roman" w:eastAsia="宋体" w:hAnsi="Times New Roman" w:cs="Times New Roman"/>
                <w:color w:val="000000"/>
                <w:kern w:val="0"/>
                <w:szCs w:val="21"/>
              </w:rPr>
              <w:t>(m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/t)</w:t>
            </w:r>
          </w:p>
        </w:tc>
        <w:tc>
          <w:tcPr>
            <w:tcW w:w="3435" w:type="pct"/>
            <w:gridSpan w:val="7"/>
            <w:shd w:val="clear" w:color="auto" w:fill="auto"/>
            <w:vAlign w:val="center"/>
          </w:tcPr>
          <w:p w14:paraId="4B035B4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r>
    </w:tbl>
    <w:p w14:paraId="5E36AEE7"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噪声</w:t>
      </w:r>
    </w:p>
    <w:p w14:paraId="72E0C582"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项目施工期执行《建筑施工场界环境噪声排放标准》</w:t>
      </w:r>
      <w:r>
        <w:rPr>
          <w:rFonts w:ascii="Times New Roman" w:eastAsia="宋体" w:hAnsi="Times New Roman" w:cs="Times New Roman"/>
          <w:sz w:val="28"/>
          <w:szCs w:val="28"/>
        </w:rPr>
        <w:t>(GB12523-2011)</w:t>
      </w:r>
      <w:r>
        <w:rPr>
          <w:rFonts w:ascii="Times New Roman" w:eastAsia="宋体" w:hAnsi="Times New Roman" w:cs="Times New Roman"/>
          <w:sz w:val="28"/>
          <w:szCs w:val="28"/>
        </w:rPr>
        <w:t>，项目运营期厂界噪声标准执行《工业企业厂界环境噪声排放标准》</w:t>
      </w:r>
      <w:r>
        <w:rPr>
          <w:rFonts w:ascii="Times New Roman" w:eastAsia="宋体" w:hAnsi="Times New Roman" w:cs="Times New Roman"/>
          <w:sz w:val="28"/>
          <w:szCs w:val="28"/>
        </w:rPr>
        <w:t>(GB12348-2008)</w:t>
      </w:r>
      <w:r>
        <w:rPr>
          <w:rFonts w:ascii="Times New Roman" w:eastAsia="宋体" w:hAnsi="Times New Roman" w:cs="Times New Roman"/>
          <w:sz w:val="28"/>
          <w:szCs w:val="28"/>
        </w:rPr>
        <w:t>中</w:t>
      </w:r>
      <w:r>
        <w:rPr>
          <w:rFonts w:ascii="Times New Roman" w:eastAsia="宋体" w:hAnsi="Times New Roman" w:cs="Times New Roman"/>
          <w:sz w:val="28"/>
          <w:szCs w:val="28"/>
        </w:rPr>
        <w:t>3</w:t>
      </w:r>
      <w:r>
        <w:rPr>
          <w:rFonts w:ascii="Times New Roman" w:eastAsia="宋体" w:hAnsi="Times New Roman" w:cs="Times New Roman"/>
          <w:sz w:val="28"/>
          <w:szCs w:val="28"/>
        </w:rPr>
        <w:t>类标准，具体见表</w:t>
      </w:r>
      <w:r>
        <w:rPr>
          <w:rFonts w:ascii="Times New Roman" w:eastAsia="宋体" w:hAnsi="Times New Roman" w:cs="Times New Roman"/>
          <w:sz w:val="28"/>
          <w:szCs w:val="28"/>
        </w:rPr>
        <w:t>2.7-11</w:t>
      </w:r>
      <w:r>
        <w:rPr>
          <w:rFonts w:ascii="Times New Roman" w:eastAsia="宋体" w:hAnsi="Times New Roman" w:cs="Times New Roman"/>
          <w:sz w:val="28"/>
          <w:szCs w:val="28"/>
        </w:rPr>
        <w:t>。</w:t>
      </w:r>
    </w:p>
    <w:p w14:paraId="3405F427" w14:textId="77777777" w:rsidR="002133E3" w:rsidRDefault="00C22CFA">
      <w:pPr>
        <w:tabs>
          <w:tab w:val="left" w:pos="3600"/>
        </w:tabs>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2.7-11 </w:t>
      </w:r>
      <w:r>
        <w:rPr>
          <w:rFonts w:ascii="Times New Roman" w:eastAsia="宋体" w:hAnsi="Times New Roman" w:cs="Times New Roman"/>
          <w:b/>
          <w:szCs w:val="21"/>
        </w:rPr>
        <w:t>项目噪声排放标准</w:t>
      </w:r>
      <w:r>
        <w:rPr>
          <w:rFonts w:ascii="Times New Roman" w:eastAsia="宋体" w:hAnsi="Times New Roman" w:cs="Times New Roman"/>
          <w:b/>
          <w:szCs w:val="21"/>
        </w:rPr>
        <w:t>(dB(A))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4"/>
        <w:gridCol w:w="1196"/>
        <w:gridCol w:w="1198"/>
        <w:gridCol w:w="6363"/>
      </w:tblGrid>
      <w:tr w:rsidR="002133E3" w14:paraId="3CC07327" w14:textId="77777777">
        <w:trPr>
          <w:trHeight w:val="227"/>
        </w:trPr>
        <w:tc>
          <w:tcPr>
            <w:tcW w:w="984" w:type="dxa"/>
            <w:vMerge w:val="restart"/>
            <w:vAlign w:val="center"/>
          </w:tcPr>
          <w:p w14:paraId="6374539C"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类别</w:t>
            </w:r>
          </w:p>
        </w:tc>
        <w:tc>
          <w:tcPr>
            <w:tcW w:w="2394" w:type="dxa"/>
            <w:gridSpan w:val="2"/>
            <w:vAlign w:val="center"/>
          </w:tcPr>
          <w:p w14:paraId="00B8608B"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标准值</w:t>
            </w:r>
          </w:p>
        </w:tc>
        <w:tc>
          <w:tcPr>
            <w:tcW w:w="6363" w:type="dxa"/>
            <w:vMerge w:val="restart"/>
            <w:vAlign w:val="center"/>
          </w:tcPr>
          <w:p w14:paraId="3C5C51F2"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标准来源</w:t>
            </w:r>
          </w:p>
        </w:tc>
      </w:tr>
      <w:tr w:rsidR="002133E3" w14:paraId="31FC899C" w14:textId="77777777">
        <w:trPr>
          <w:trHeight w:val="227"/>
        </w:trPr>
        <w:tc>
          <w:tcPr>
            <w:tcW w:w="984" w:type="dxa"/>
            <w:vMerge/>
            <w:vAlign w:val="center"/>
          </w:tcPr>
          <w:p w14:paraId="3E0E73FD" w14:textId="77777777" w:rsidR="002133E3" w:rsidRDefault="002133E3">
            <w:pPr>
              <w:tabs>
                <w:tab w:val="left" w:pos="3600"/>
              </w:tabs>
              <w:jc w:val="center"/>
              <w:rPr>
                <w:rFonts w:ascii="Times New Roman" w:eastAsia="宋体" w:hAnsi="Times New Roman" w:cs="Times New Roman"/>
                <w:szCs w:val="21"/>
              </w:rPr>
            </w:pPr>
          </w:p>
        </w:tc>
        <w:tc>
          <w:tcPr>
            <w:tcW w:w="1196" w:type="dxa"/>
            <w:vAlign w:val="center"/>
          </w:tcPr>
          <w:p w14:paraId="4B847C10"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昼间</w:t>
            </w:r>
          </w:p>
        </w:tc>
        <w:tc>
          <w:tcPr>
            <w:tcW w:w="1198" w:type="dxa"/>
            <w:vAlign w:val="center"/>
          </w:tcPr>
          <w:p w14:paraId="349852C5"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夜间</w:t>
            </w:r>
          </w:p>
        </w:tc>
        <w:tc>
          <w:tcPr>
            <w:tcW w:w="6363" w:type="dxa"/>
            <w:vMerge/>
            <w:vAlign w:val="center"/>
          </w:tcPr>
          <w:p w14:paraId="52AC2B0E" w14:textId="77777777" w:rsidR="002133E3" w:rsidRDefault="002133E3">
            <w:pPr>
              <w:tabs>
                <w:tab w:val="left" w:pos="3600"/>
              </w:tabs>
              <w:jc w:val="center"/>
              <w:rPr>
                <w:rFonts w:ascii="Times New Roman" w:eastAsia="宋体" w:hAnsi="Times New Roman" w:cs="Times New Roman"/>
                <w:szCs w:val="21"/>
              </w:rPr>
            </w:pPr>
          </w:p>
        </w:tc>
      </w:tr>
      <w:tr w:rsidR="002133E3" w14:paraId="171816CD" w14:textId="77777777">
        <w:trPr>
          <w:trHeight w:val="227"/>
        </w:trPr>
        <w:tc>
          <w:tcPr>
            <w:tcW w:w="984" w:type="dxa"/>
            <w:vAlign w:val="center"/>
          </w:tcPr>
          <w:p w14:paraId="4037F120"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施工期</w:t>
            </w:r>
          </w:p>
        </w:tc>
        <w:tc>
          <w:tcPr>
            <w:tcW w:w="1196" w:type="dxa"/>
            <w:vAlign w:val="center"/>
          </w:tcPr>
          <w:p w14:paraId="3D2A2F18"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70</w:t>
            </w:r>
          </w:p>
        </w:tc>
        <w:tc>
          <w:tcPr>
            <w:tcW w:w="1198" w:type="dxa"/>
            <w:vAlign w:val="center"/>
          </w:tcPr>
          <w:p w14:paraId="165D76BA"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55</w:t>
            </w:r>
          </w:p>
        </w:tc>
        <w:tc>
          <w:tcPr>
            <w:tcW w:w="6363" w:type="dxa"/>
            <w:vAlign w:val="center"/>
          </w:tcPr>
          <w:p w14:paraId="1AA06A3B"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《建筑施工场界环境噪声排放标准》</w:t>
            </w:r>
            <w:r>
              <w:rPr>
                <w:rFonts w:ascii="Times New Roman" w:eastAsia="宋体" w:hAnsi="Times New Roman" w:cs="Times New Roman"/>
                <w:szCs w:val="21"/>
              </w:rPr>
              <w:t>(GB12523-2011)</w:t>
            </w:r>
          </w:p>
        </w:tc>
      </w:tr>
      <w:tr w:rsidR="002133E3" w14:paraId="2C33845D" w14:textId="77777777">
        <w:trPr>
          <w:trHeight w:val="227"/>
        </w:trPr>
        <w:tc>
          <w:tcPr>
            <w:tcW w:w="984" w:type="dxa"/>
            <w:vAlign w:val="center"/>
          </w:tcPr>
          <w:p w14:paraId="122F8740"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运营期</w:t>
            </w:r>
          </w:p>
        </w:tc>
        <w:tc>
          <w:tcPr>
            <w:tcW w:w="1196" w:type="dxa"/>
            <w:vAlign w:val="center"/>
          </w:tcPr>
          <w:p w14:paraId="44644E62"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65</w:t>
            </w:r>
          </w:p>
        </w:tc>
        <w:tc>
          <w:tcPr>
            <w:tcW w:w="1198" w:type="dxa"/>
            <w:vAlign w:val="center"/>
          </w:tcPr>
          <w:p w14:paraId="571FDEEA"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55</w:t>
            </w:r>
          </w:p>
        </w:tc>
        <w:tc>
          <w:tcPr>
            <w:tcW w:w="6363" w:type="dxa"/>
            <w:vAlign w:val="center"/>
          </w:tcPr>
          <w:p w14:paraId="7CB7A4A0"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《工业企业厂界环境噪声排放标准》</w:t>
            </w:r>
            <w:r>
              <w:rPr>
                <w:rFonts w:ascii="Times New Roman" w:eastAsia="宋体" w:hAnsi="Times New Roman" w:cs="Times New Roman"/>
                <w:szCs w:val="21"/>
              </w:rPr>
              <w:t>(GB12348-2008)3</w:t>
            </w:r>
            <w:r>
              <w:rPr>
                <w:rFonts w:ascii="Times New Roman" w:eastAsia="宋体" w:hAnsi="Times New Roman" w:cs="Times New Roman"/>
                <w:szCs w:val="21"/>
              </w:rPr>
              <w:t>类</w:t>
            </w:r>
          </w:p>
        </w:tc>
      </w:tr>
    </w:tbl>
    <w:p w14:paraId="4F69AF89"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t>相关规划概况</w:t>
      </w:r>
    </w:p>
    <w:p w14:paraId="24800D1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赣榆海州湾生物科技园控制性详细规划</w:t>
      </w:r>
    </w:p>
    <w:p w14:paraId="5F83CC0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规划范围</w:t>
      </w:r>
    </w:p>
    <w:p w14:paraId="5E38099B"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赣榆海州湾生物科技园</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原名为江苏海州湾产业区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位于连云港赣榆区海头镇，为赣榆区人民政府规划设立的工业集聚区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赣政发</w:t>
      </w:r>
      <w:r>
        <w:rPr>
          <w:rFonts w:ascii="Times New Roman" w:eastAsia="宋体" w:hAnsi="Times New Roman" w:cs="Times New Roman"/>
          <w:kern w:val="0"/>
          <w:sz w:val="28"/>
          <w:szCs w:val="28"/>
        </w:rPr>
        <w:t>[2006]89</w:t>
      </w:r>
      <w:r>
        <w:rPr>
          <w:rFonts w:ascii="Times New Roman" w:eastAsia="宋体" w:hAnsi="Times New Roman" w:cs="Times New Roman"/>
          <w:kern w:val="0"/>
          <w:sz w:val="28"/>
          <w:szCs w:val="28"/>
        </w:rPr>
        <w:t>号</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，根据《赣榆海州湾生物科技园控制性详细规划》</w:t>
      </w:r>
      <w:r>
        <w:rPr>
          <w:rFonts w:ascii="Times New Roman" w:eastAsia="宋体" w:hAnsi="Times New Roman" w:cs="Times New Roman"/>
          <w:kern w:val="0"/>
          <w:sz w:val="28"/>
          <w:szCs w:val="28"/>
        </w:rPr>
        <w:t>(2017-2030)</w:t>
      </w:r>
      <w:r>
        <w:rPr>
          <w:rFonts w:ascii="Times New Roman" w:eastAsia="宋体" w:hAnsi="Times New Roman" w:cs="Times New Roman"/>
          <w:kern w:val="0"/>
          <w:sz w:val="28"/>
          <w:szCs w:val="28"/>
        </w:rPr>
        <w:t>，园区东起海州湾防洪堤、西至规划兴中路、北起官庄河、南至兴庄河，规划面积</w:t>
      </w:r>
      <w:r>
        <w:rPr>
          <w:rFonts w:ascii="Times New Roman" w:eastAsia="宋体" w:hAnsi="Times New Roman" w:cs="Times New Roman"/>
          <w:kern w:val="0"/>
          <w:sz w:val="28"/>
          <w:szCs w:val="28"/>
        </w:rPr>
        <w:t>720.94</w:t>
      </w:r>
      <w:r>
        <w:rPr>
          <w:rFonts w:ascii="Times New Roman" w:eastAsia="宋体" w:hAnsi="Times New Roman" w:cs="Times New Roman"/>
          <w:kern w:val="0"/>
          <w:sz w:val="28"/>
          <w:szCs w:val="28"/>
        </w:rPr>
        <w:t>公顷。</w:t>
      </w:r>
    </w:p>
    <w:p w14:paraId="26D554F4"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该园区规划环评于</w:t>
      </w:r>
      <w:r>
        <w:rPr>
          <w:rFonts w:ascii="Times New Roman" w:eastAsia="宋体" w:hAnsi="Times New Roman" w:cs="Times New Roman"/>
          <w:kern w:val="0"/>
          <w:sz w:val="28"/>
          <w:szCs w:val="28"/>
        </w:rPr>
        <w:t>2018</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7</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24</w:t>
      </w:r>
      <w:r>
        <w:rPr>
          <w:rFonts w:ascii="Times New Roman" w:eastAsia="宋体" w:hAnsi="Times New Roman" w:cs="Times New Roman"/>
          <w:kern w:val="0"/>
          <w:sz w:val="28"/>
          <w:szCs w:val="28"/>
        </w:rPr>
        <w:t>日取得连云港市赣榆区环境保护局的审查意见</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赣环审</w:t>
      </w:r>
      <w:r>
        <w:rPr>
          <w:rFonts w:ascii="Times New Roman" w:eastAsia="宋体" w:hAnsi="Times New Roman" w:cs="Times New Roman"/>
          <w:kern w:val="0"/>
          <w:sz w:val="28"/>
          <w:szCs w:val="28"/>
        </w:rPr>
        <w:t>[2018]10</w:t>
      </w:r>
      <w:r>
        <w:rPr>
          <w:rFonts w:ascii="Times New Roman" w:eastAsia="宋体" w:hAnsi="Times New Roman" w:cs="Times New Roman"/>
          <w:kern w:val="0"/>
          <w:sz w:val="28"/>
          <w:szCs w:val="28"/>
        </w:rPr>
        <w:t>号</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6128DFB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lastRenderedPageBreak/>
        <w:t>产业定位</w:t>
      </w:r>
    </w:p>
    <w:p w14:paraId="781B6FD4"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规划产业定位为：以酒精酿造产业、通用零部件加工产业、新材料等轻工产业为重点，兼顾发展高端装备制造产业。</w:t>
      </w:r>
    </w:p>
    <w:p w14:paraId="4F9E1DF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功能结构</w:t>
      </w:r>
    </w:p>
    <w:p w14:paraId="7FF1440E"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规划将形成</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两轴、八组团</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的空间布局结构：</w:t>
      </w:r>
    </w:p>
    <w:p w14:paraId="65CCC26C"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两轴：金海大道工业发展轴和拥海大道工业发展轴</w:t>
      </w:r>
    </w:p>
    <w:p w14:paraId="7B4B9474"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两条发展轴分别于南北和东西方向串联起工业区内部主要工业组团。</w:t>
      </w:r>
    </w:p>
    <w:p w14:paraId="1D8B2393"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八组团：通用零部件加工一区、金茂源乙醇产业集聚区、装备制造业产业集聚区、轻工产业集聚区、东成乙醇产业集聚区、通用零部件加工二区、市政配套区、发展备用地。</w:t>
      </w:r>
    </w:p>
    <w:p w14:paraId="7DE07492"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①</w:t>
      </w:r>
      <w:r>
        <w:rPr>
          <w:rFonts w:ascii="Times New Roman" w:eastAsia="宋体" w:hAnsi="Times New Roman" w:cs="Times New Roman"/>
          <w:kern w:val="0"/>
          <w:sz w:val="28"/>
          <w:szCs w:val="28"/>
        </w:rPr>
        <w:t>通用零部件加工一区：位于兴中路东侧、官河路南侧、金兴北路西侧、和谐路北侧，主要用作紧固件、零部件加工等；</w:t>
      </w:r>
    </w:p>
    <w:p w14:paraId="26E511C2"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②</w:t>
      </w:r>
      <w:r>
        <w:rPr>
          <w:rFonts w:ascii="Times New Roman" w:eastAsia="宋体" w:hAnsi="Times New Roman" w:cs="Times New Roman"/>
          <w:kern w:val="0"/>
          <w:sz w:val="28"/>
          <w:szCs w:val="28"/>
        </w:rPr>
        <w:t>金茂源乙醇产业集聚组团：位于兴中路东侧、金海大道北侧、金兴北路西侧、和谐路南侧，严格控制保持现有的规模，江苏华电赣榆智慧能源示范项目规划</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园区规划燃气热电厂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落在现金茂源用地西南角；</w:t>
      </w:r>
    </w:p>
    <w:p w14:paraId="3CE6F7C0"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③</w:t>
      </w:r>
      <w:r>
        <w:rPr>
          <w:rFonts w:ascii="Times New Roman" w:eastAsia="宋体" w:hAnsi="Times New Roman" w:cs="Times New Roman"/>
          <w:kern w:val="0"/>
          <w:sz w:val="28"/>
          <w:szCs w:val="28"/>
        </w:rPr>
        <w:t>装备制造业产业集聚组团：近期该组团规划位于拥海大道东侧、富海路南侧、海滨大道西侧、金兴大道北侧，为依托赣榆港区和临港产业的高端装备制造组团。涉及产业包括通用装备制造、专用设备制造等。远期待发展备用地用地性质调整后，将其作为装备制造备用地块。</w:t>
      </w:r>
    </w:p>
    <w:p w14:paraId="03BB440A"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④</w:t>
      </w:r>
      <w:r>
        <w:rPr>
          <w:rFonts w:ascii="Times New Roman" w:eastAsia="宋体" w:hAnsi="Times New Roman" w:cs="Times New Roman"/>
          <w:kern w:val="0"/>
          <w:sz w:val="28"/>
          <w:szCs w:val="28"/>
        </w:rPr>
        <w:t>轻工产业集聚组团：位于拥海大道东侧、金海大道南侧，是低污染产业、高产能的新兴产业集聚组团。主要涉及先进建筑材料、先进轻纺材料、高性能永磁、高效发光、高端催化等稀土功能材料、新型能源材料、生物医用材料、卫生陶瓷等。</w:t>
      </w:r>
    </w:p>
    <w:p w14:paraId="422DEB74"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⑤</w:t>
      </w:r>
      <w:r>
        <w:rPr>
          <w:rFonts w:ascii="Times New Roman" w:eastAsia="宋体" w:hAnsi="Times New Roman" w:cs="Times New Roman"/>
          <w:kern w:val="0"/>
          <w:sz w:val="28"/>
          <w:szCs w:val="28"/>
        </w:rPr>
        <w:t>东成乙醇产业集聚组团：位于拥海大道西侧、金海大道南侧、金兴南路东侧，对现有德阳化工、华明泰、百利合等不符合园区产业定位的化工企业进行搬迁，规划作为备用地进行预留，对东成酒厂维持现状，限制扩大生产规模，减少环境污染。</w:t>
      </w:r>
    </w:p>
    <w:p w14:paraId="76AEA757"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lastRenderedPageBreak/>
        <w:t>⑥</w:t>
      </w:r>
      <w:r>
        <w:rPr>
          <w:rFonts w:ascii="Times New Roman" w:eastAsia="宋体" w:hAnsi="Times New Roman" w:cs="Times New Roman"/>
          <w:kern w:val="0"/>
          <w:sz w:val="28"/>
          <w:szCs w:val="28"/>
        </w:rPr>
        <w:t>机械加工二区：位于金海大道南侧、拥海大道西侧、兴中路东侧、兴河路北侧，在现有的机械制造基础上，采用替代性制造技术形成的高科技产业组团。</w:t>
      </w:r>
    </w:p>
    <w:p w14:paraId="2556AB85"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⑦</w:t>
      </w:r>
      <w:r>
        <w:rPr>
          <w:rFonts w:ascii="Times New Roman" w:eastAsia="宋体" w:hAnsi="Times New Roman" w:cs="Times New Roman"/>
          <w:kern w:val="0"/>
          <w:sz w:val="28"/>
          <w:szCs w:val="28"/>
        </w:rPr>
        <w:t>市政配套区：位于工业区东南部，主要包括赣榆通海污水处理公司以及正在筹建的污水处理厂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赣榆</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青口河以北污水处理厂新建工程</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08FECAFC"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⑧</w:t>
      </w:r>
      <w:r>
        <w:rPr>
          <w:rFonts w:ascii="Times New Roman" w:eastAsia="宋体" w:hAnsi="Times New Roman" w:cs="Times New Roman"/>
          <w:kern w:val="0"/>
          <w:sz w:val="28"/>
          <w:szCs w:val="28"/>
        </w:rPr>
        <w:t>发展备用地：将现状匡口村及海滨大道西侧鱼塘作为备用地进行控制建设。远期待该地块用地性质调整后作为装备制造组团备用地块，园区西南角发展备用地位于生态红线内，为精细化工企业搬迁地块，本次规划不作为建设用地控制，不引进工业企业入驻。</w:t>
      </w:r>
    </w:p>
    <w:p w14:paraId="31BDEBD5"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各功能组团分布详见图</w:t>
      </w:r>
      <w:r>
        <w:rPr>
          <w:rFonts w:ascii="Times New Roman" w:eastAsia="宋体" w:hAnsi="Times New Roman" w:cs="Times New Roman"/>
          <w:kern w:val="0"/>
          <w:sz w:val="28"/>
          <w:szCs w:val="28"/>
        </w:rPr>
        <w:t>2.7-1</w:t>
      </w:r>
      <w:r>
        <w:rPr>
          <w:rFonts w:ascii="Times New Roman" w:eastAsia="宋体" w:hAnsi="Times New Roman" w:cs="Times New Roman"/>
          <w:kern w:val="0"/>
          <w:sz w:val="28"/>
          <w:szCs w:val="28"/>
        </w:rPr>
        <w:t>。</w:t>
      </w:r>
    </w:p>
    <w:p w14:paraId="5E0D0C64" w14:textId="77777777" w:rsidR="002133E3" w:rsidRDefault="00C22CFA">
      <w:pPr>
        <w:widowControl/>
        <w:rPr>
          <w:rFonts w:ascii="Times New Roman" w:eastAsia="宋体" w:hAnsi="Times New Roman" w:cs="Times New Roman"/>
          <w:kern w:val="0"/>
          <w:sz w:val="28"/>
          <w:szCs w:val="28"/>
        </w:rPr>
      </w:pPr>
      <w:r>
        <w:rPr>
          <w:rFonts w:ascii="Times New Roman" w:eastAsia="宋体" w:hAnsi="Times New Roman" w:cs="Times New Roman"/>
          <w:noProof/>
          <w:kern w:val="0"/>
          <w:sz w:val="28"/>
          <w:szCs w:val="28"/>
        </w:rPr>
        <w:lastRenderedPageBreak/>
        <w:drawing>
          <wp:inline distT="0" distB="0" distL="0" distR="0" wp14:anchorId="3C7F35B0" wp14:editId="773B687E">
            <wp:extent cx="6120130" cy="64960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3" cstate="print">
                      <a:extLst>
                        <a:ext uri="{28A0092B-C50C-407E-A947-70E740481C1C}">
                          <a14:useLocalDpi xmlns:a14="http://schemas.microsoft.com/office/drawing/2010/main" val="0"/>
                        </a:ext>
                      </a:extLst>
                    </a:blip>
                    <a:srcRect t="2720" b="4516"/>
                    <a:stretch>
                      <a:fillRect/>
                    </a:stretch>
                  </pic:blipFill>
                  <pic:spPr>
                    <a:xfrm>
                      <a:off x="0" y="0"/>
                      <a:ext cx="6120130" cy="6496050"/>
                    </a:xfrm>
                    <a:prstGeom prst="rect">
                      <a:avLst/>
                    </a:prstGeom>
                    <a:noFill/>
                    <a:ln>
                      <a:noFill/>
                    </a:ln>
                  </pic:spPr>
                </pic:pic>
              </a:graphicData>
            </a:graphic>
          </wp:inline>
        </w:drawing>
      </w:r>
    </w:p>
    <w:p w14:paraId="35A1332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图</w:t>
      </w:r>
      <w:r>
        <w:rPr>
          <w:rFonts w:ascii="Times New Roman" w:eastAsia="宋体" w:hAnsi="Times New Roman" w:cs="Times New Roman"/>
          <w:b/>
          <w:bCs/>
          <w:kern w:val="0"/>
          <w:szCs w:val="21"/>
        </w:rPr>
        <w:t xml:space="preserve">2.7-1  </w:t>
      </w:r>
      <w:r>
        <w:rPr>
          <w:rFonts w:ascii="Times New Roman" w:eastAsia="宋体" w:hAnsi="Times New Roman" w:cs="Times New Roman"/>
          <w:b/>
          <w:bCs/>
          <w:kern w:val="0"/>
          <w:szCs w:val="21"/>
        </w:rPr>
        <w:t>组团功能分布图</w:t>
      </w:r>
    </w:p>
    <w:p w14:paraId="0433CB9E"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用地布局</w:t>
      </w:r>
    </w:p>
    <w:p w14:paraId="52171037"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规划范围面积</w:t>
      </w:r>
      <w:r>
        <w:rPr>
          <w:rFonts w:ascii="Times New Roman" w:eastAsia="宋体" w:hAnsi="Times New Roman" w:cs="Times New Roman"/>
          <w:kern w:val="0"/>
          <w:sz w:val="28"/>
          <w:szCs w:val="28"/>
        </w:rPr>
        <w:t>720.94</w:t>
      </w:r>
      <w:r>
        <w:rPr>
          <w:rFonts w:ascii="Times New Roman" w:eastAsia="宋体" w:hAnsi="Times New Roman" w:cs="Times New Roman"/>
          <w:kern w:val="0"/>
          <w:sz w:val="28"/>
          <w:szCs w:val="28"/>
        </w:rPr>
        <w:t>公顷，其中建设用地面积</w:t>
      </w:r>
      <w:r>
        <w:rPr>
          <w:rFonts w:ascii="Times New Roman" w:eastAsia="宋体" w:hAnsi="Times New Roman" w:cs="Times New Roman"/>
          <w:kern w:val="0"/>
          <w:sz w:val="28"/>
          <w:szCs w:val="28"/>
        </w:rPr>
        <w:t>576.16</w:t>
      </w:r>
      <w:r>
        <w:rPr>
          <w:rFonts w:ascii="Times New Roman" w:eastAsia="宋体" w:hAnsi="Times New Roman" w:cs="Times New Roman"/>
          <w:kern w:val="0"/>
          <w:sz w:val="28"/>
          <w:szCs w:val="28"/>
        </w:rPr>
        <w:t>公顷。</w:t>
      </w:r>
    </w:p>
    <w:p w14:paraId="59D5E113"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建设用地主要包括公共管理与公共服务用地、工业用地、交通设施用地、公用设施用地和绿地五大类。</w:t>
      </w:r>
    </w:p>
    <w:p w14:paraId="7D288099"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其他非建设用地主要为水域及发展备用地，共计</w:t>
      </w:r>
      <w:r>
        <w:rPr>
          <w:rFonts w:ascii="Times New Roman" w:eastAsia="宋体" w:hAnsi="Times New Roman" w:cs="Times New Roman"/>
          <w:kern w:val="0"/>
          <w:sz w:val="28"/>
          <w:szCs w:val="28"/>
        </w:rPr>
        <w:t>144.24</w:t>
      </w:r>
      <w:r>
        <w:rPr>
          <w:rFonts w:ascii="Times New Roman" w:eastAsia="宋体" w:hAnsi="Times New Roman" w:cs="Times New Roman"/>
          <w:kern w:val="0"/>
          <w:sz w:val="28"/>
          <w:szCs w:val="28"/>
        </w:rPr>
        <w:t>公顷，其中水域</w:t>
      </w:r>
      <w:r>
        <w:rPr>
          <w:rFonts w:ascii="Times New Roman" w:eastAsia="宋体" w:hAnsi="Times New Roman" w:cs="Times New Roman"/>
          <w:kern w:val="0"/>
          <w:sz w:val="28"/>
          <w:szCs w:val="28"/>
        </w:rPr>
        <w:t>13.9</w:t>
      </w:r>
      <w:r>
        <w:rPr>
          <w:rFonts w:ascii="Times New Roman" w:eastAsia="宋体" w:hAnsi="Times New Roman" w:cs="Times New Roman"/>
          <w:kern w:val="0"/>
          <w:sz w:val="28"/>
          <w:szCs w:val="28"/>
        </w:rPr>
        <w:t>公顷，发展备用地</w:t>
      </w:r>
      <w:r>
        <w:rPr>
          <w:rFonts w:ascii="Times New Roman" w:eastAsia="宋体" w:hAnsi="Times New Roman" w:cs="Times New Roman"/>
          <w:kern w:val="0"/>
          <w:sz w:val="28"/>
          <w:szCs w:val="28"/>
        </w:rPr>
        <w:t>130.34</w:t>
      </w:r>
      <w:r>
        <w:rPr>
          <w:rFonts w:ascii="Times New Roman" w:eastAsia="宋体" w:hAnsi="Times New Roman" w:cs="Times New Roman"/>
          <w:kern w:val="0"/>
          <w:sz w:val="28"/>
          <w:szCs w:val="28"/>
        </w:rPr>
        <w:t>公顷。本项目位于三类工业用地范围内，各类建设用地情况详见表</w:t>
      </w:r>
      <w:r>
        <w:rPr>
          <w:rFonts w:ascii="Times New Roman" w:eastAsia="宋体" w:hAnsi="Times New Roman" w:cs="Times New Roman"/>
          <w:kern w:val="0"/>
          <w:sz w:val="28"/>
          <w:szCs w:val="28"/>
        </w:rPr>
        <w:t>2.7-1</w:t>
      </w:r>
      <w:r>
        <w:rPr>
          <w:rFonts w:ascii="Times New Roman" w:eastAsia="宋体" w:hAnsi="Times New Roman" w:cs="Times New Roman"/>
          <w:kern w:val="0"/>
          <w:sz w:val="28"/>
          <w:szCs w:val="28"/>
        </w:rPr>
        <w:t>。规划用地性质详见图</w:t>
      </w:r>
      <w:r>
        <w:rPr>
          <w:rFonts w:ascii="Times New Roman" w:eastAsia="宋体" w:hAnsi="Times New Roman" w:cs="Times New Roman"/>
          <w:kern w:val="0"/>
          <w:sz w:val="28"/>
          <w:szCs w:val="28"/>
        </w:rPr>
        <w:t>2.7-2</w:t>
      </w:r>
      <w:r>
        <w:rPr>
          <w:rFonts w:ascii="Times New Roman" w:eastAsia="宋体" w:hAnsi="Times New Roman" w:cs="Times New Roman"/>
          <w:kern w:val="0"/>
          <w:sz w:val="28"/>
          <w:szCs w:val="28"/>
        </w:rPr>
        <w:t>。</w:t>
      </w:r>
    </w:p>
    <w:p w14:paraId="15DA609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表</w:t>
      </w:r>
      <w:r>
        <w:rPr>
          <w:rFonts w:ascii="Times New Roman" w:eastAsia="宋体" w:hAnsi="Times New Roman" w:cs="Times New Roman"/>
          <w:b/>
          <w:bCs/>
          <w:kern w:val="0"/>
          <w:szCs w:val="21"/>
        </w:rPr>
        <w:t xml:space="preserve">2.7-1  </w:t>
      </w:r>
      <w:r>
        <w:rPr>
          <w:rFonts w:ascii="Times New Roman" w:eastAsia="宋体" w:hAnsi="Times New Roman" w:cs="Times New Roman"/>
          <w:b/>
          <w:bCs/>
          <w:kern w:val="0"/>
          <w:szCs w:val="21"/>
        </w:rPr>
        <w:t>规划用地汇总表</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46"/>
        <w:gridCol w:w="909"/>
        <w:gridCol w:w="966"/>
        <w:gridCol w:w="3157"/>
        <w:gridCol w:w="1687"/>
        <w:gridCol w:w="2389"/>
      </w:tblGrid>
      <w:tr w:rsidR="002133E3" w14:paraId="2D8898BF" w14:textId="77777777">
        <w:trPr>
          <w:cantSplit/>
          <w:trHeight w:val="284"/>
        </w:trPr>
        <w:tc>
          <w:tcPr>
            <w:tcW w:w="379" w:type="pct"/>
            <w:tcBorders>
              <w:top w:val="single" w:sz="6" w:space="0" w:color="auto"/>
              <w:left w:val="single" w:sz="6" w:space="0" w:color="auto"/>
              <w:bottom w:val="single" w:sz="6" w:space="0" w:color="auto"/>
              <w:right w:val="single" w:sz="6" w:space="0" w:color="auto"/>
            </w:tcBorders>
            <w:vAlign w:val="center"/>
          </w:tcPr>
          <w:p w14:paraId="75B8A086" w14:textId="77777777" w:rsidR="002133E3" w:rsidRDefault="00C22CFA">
            <w:pPr>
              <w:pStyle w:val="afc"/>
              <w:adjustRightInd w:val="0"/>
              <w:jc w:val="center"/>
              <w:textAlignment w:val="baseline"/>
              <w:rPr>
                <w:b w:val="0"/>
                <w:color w:val="000000"/>
                <w:sz w:val="21"/>
                <w:szCs w:val="21"/>
              </w:rPr>
            </w:pPr>
            <w:r>
              <w:rPr>
                <w:b w:val="0"/>
                <w:color w:val="000000"/>
                <w:sz w:val="21"/>
                <w:szCs w:val="21"/>
              </w:rPr>
              <w:lastRenderedPageBreak/>
              <w:t>序号</w:t>
            </w:r>
          </w:p>
        </w:tc>
        <w:tc>
          <w:tcPr>
            <w:tcW w:w="951" w:type="pct"/>
            <w:gridSpan w:val="2"/>
            <w:tcBorders>
              <w:top w:val="single" w:sz="6" w:space="0" w:color="auto"/>
              <w:left w:val="single" w:sz="6" w:space="0" w:color="auto"/>
              <w:bottom w:val="single" w:sz="6" w:space="0" w:color="auto"/>
              <w:right w:val="single" w:sz="6" w:space="0" w:color="auto"/>
            </w:tcBorders>
            <w:vAlign w:val="center"/>
          </w:tcPr>
          <w:p w14:paraId="46F337CE" w14:textId="77777777" w:rsidR="002133E3" w:rsidRDefault="00C22CFA">
            <w:pPr>
              <w:pStyle w:val="afc"/>
              <w:adjustRightInd w:val="0"/>
              <w:jc w:val="center"/>
              <w:textAlignment w:val="baseline"/>
              <w:rPr>
                <w:b w:val="0"/>
                <w:color w:val="000000"/>
                <w:sz w:val="21"/>
                <w:szCs w:val="21"/>
              </w:rPr>
            </w:pPr>
            <w:r>
              <w:rPr>
                <w:b w:val="0"/>
                <w:color w:val="000000"/>
                <w:sz w:val="21"/>
                <w:szCs w:val="21"/>
              </w:rPr>
              <w:t>用地代码</w:t>
            </w:r>
          </w:p>
        </w:tc>
        <w:tc>
          <w:tcPr>
            <w:tcW w:w="1602" w:type="pct"/>
            <w:tcBorders>
              <w:top w:val="single" w:sz="6" w:space="0" w:color="auto"/>
              <w:left w:val="single" w:sz="6" w:space="0" w:color="auto"/>
              <w:bottom w:val="single" w:sz="6" w:space="0" w:color="auto"/>
              <w:right w:val="single" w:sz="6" w:space="0" w:color="auto"/>
            </w:tcBorders>
            <w:vAlign w:val="center"/>
          </w:tcPr>
          <w:p w14:paraId="7BB0AEE0" w14:textId="77777777" w:rsidR="002133E3" w:rsidRDefault="00C22CFA">
            <w:pPr>
              <w:pStyle w:val="afc"/>
              <w:adjustRightInd w:val="0"/>
              <w:jc w:val="center"/>
              <w:textAlignment w:val="baseline"/>
              <w:rPr>
                <w:b w:val="0"/>
                <w:color w:val="000000"/>
                <w:sz w:val="21"/>
                <w:szCs w:val="21"/>
              </w:rPr>
            </w:pPr>
            <w:r>
              <w:rPr>
                <w:b w:val="0"/>
                <w:color w:val="000000"/>
                <w:sz w:val="21"/>
                <w:szCs w:val="21"/>
              </w:rPr>
              <w:t>用地名称</w:t>
            </w:r>
          </w:p>
        </w:tc>
        <w:tc>
          <w:tcPr>
            <w:tcW w:w="856" w:type="pct"/>
            <w:tcBorders>
              <w:top w:val="single" w:sz="6" w:space="0" w:color="auto"/>
              <w:left w:val="single" w:sz="6" w:space="0" w:color="auto"/>
              <w:bottom w:val="single" w:sz="6" w:space="0" w:color="auto"/>
              <w:right w:val="single" w:sz="6" w:space="0" w:color="auto"/>
            </w:tcBorders>
            <w:vAlign w:val="center"/>
          </w:tcPr>
          <w:p w14:paraId="4431CDCC" w14:textId="77777777" w:rsidR="002133E3" w:rsidRDefault="00C22CFA">
            <w:pPr>
              <w:pStyle w:val="afc"/>
              <w:adjustRightInd w:val="0"/>
              <w:jc w:val="center"/>
              <w:textAlignment w:val="baseline"/>
              <w:rPr>
                <w:b w:val="0"/>
                <w:color w:val="000000"/>
                <w:sz w:val="21"/>
                <w:szCs w:val="21"/>
              </w:rPr>
            </w:pPr>
            <w:r>
              <w:rPr>
                <w:b w:val="0"/>
                <w:color w:val="000000"/>
                <w:sz w:val="21"/>
                <w:szCs w:val="21"/>
              </w:rPr>
              <w:t>面积</w:t>
            </w:r>
            <w:r>
              <w:rPr>
                <w:b w:val="0"/>
                <w:color w:val="000000"/>
                <w:sz w:val="21"/>
                <w:szCs w:val="21"/>
              </w:rPr>
              <w:t>(</w:t>
            </w:r>
            <w:r>
              <w:rPr>
                <w:b w:val="0"/>
                <w:color w:val="000000"/>
                <w:sz w:val="21"/>
                <w:szCs w:val="21"/>
              </w:rPr>
              <w:t>公顷</w:t>
            </w:r>
            <w:r>
              <w:rPr>
                <w:b w:val="0"/>
                <w:color w:val="000000"/>
                <w:sz w:val="21"/>
                <w:szCs w:val="21"/>
              </w:rPr>
              <w:t>)</w:t>
            </w:r>
          </w:p>
        </w:tc>
        <w:tc>
          <w:tcPr>
            <w:tcW w:w="1212" w:type="pct"/>
            <w:tcBorders>
              <w:top w:val="single" w:sz="6" w:space="0" w:color="auto"/>
              <w:left w:val="single" w:sz="6" w:space="0" w:color="auto"/>
              <w:bottom w:val="single" w:sz="6" w:space="0" w:color="auto"/>
              <w:right w:val="single" w:sz="6" w:space="0" w:color="auto"/>
            </w:tcBorders>
            <w:vAlign w:val="center"/>
          </w:tcPr>
          <w:p w14:paraId="45B0DFDA" w14:textId="77777777" w:rsidR="002133E3" w:rsidRDefault="00C22CFA">
            <w:pPr>
              <w:pStyle w:val="afc"/>
              <w:adjustRightInd w:val="0"/>
              <w:jc w:val="center"/>
              <w:textAlignment w:val="baseline"/>
              <w:rPr>
                <w:b w:val="0"/>
                <w:color w:val="000000"/>
                <w:sz w:val="21"/>
                <w:szCs w:val="21"/>
              </w:rPr>
            </w:pPr>
            <w:r>
              <w:rPr>
                <w:b w:val="0"/>
                <w:color w:val="000000"/>
                <w:sz w:val="21"/>
                <w:szCs w:val="21"/>
              </w:rPr>
              <w:t>占城市建设用地</w:t>
            </w:r>
            <w:r>
              <w:rPr>
                <w:b w:val="0"/>
                <w:color w:val="000000"/>
                <w:sz w:val="21"/>
                <w:szCs w:val="21"/>
              </w:rPr>
              <w:t>(%)</w:t>
            </w:r>
          </w:p>
        </w:tc>
      </w:tr>
      <w:tr w:rsidR="002133E3" w14:paraId="1C700392" w14:textId="77777777">
        <w:trPr>
          <w:cantSplit/>
          <w:trHeight w:val="284"/>
        </w:trPr>
        <w:tc>
          <w:tcPr>
            <w:tcW w:w="379" w:type="pct"/>
            <w:vMerge w:val="restart"/>
            <w:tcBorders>
              <w:top w:val="single" w:sz="6" w:space="0" w:color="auto"/>
              <w:left w:val="single" w:sz="6" w:space="0" w:color="auto"/>
              <w:bottom w:val="single" w:sz="6" w:space="0" w:color="auto"/>
              <w:right w:val="single" w:sz="6" w:space="0" w:color="auto"/>
            </w:tcBorders>
            <w:vAlign w:val="center"/>
          </w:tcPr>
          <w:p w14:paraId="6C589619" w14:textId="77777777" w:rsidR="002133E3" w:rsidRDefault="00C22CFA">
            <w:pPr>
              <w:pStyle w:val="afc"/>
              <w:adjustRightInd w:val="0"/>
              <w:jc w:val="center"/>
              <w:textAlignment w:val="baseline"/>
              <w:rPr>
                <w:b w:val="0"/>
                <w:color w:val="000000"/>
                <w:sz w:val="21"/>
                <w:szCs w:val="21"/>
              </w:rPr>
            </w:pPr>
            <w:r>
              <w:rPr>
                <w:b w:val="0"/>
                <w:color w:val="000000"/>
                <w:sz w:val="21"/>
                <w:szCs w:val="21"/>
              </w:rPr>
              <w:t>1</w:t>
            </w:r>
          </w:p>
        </w:tc>
        <w:tc>
          <w:tcPr>
            <w:tcW w:w="951" w:type="pct"/>
            <w:gridSpan w:val="2"/>
            <w:tcBorders>
              <w:top w:val="single" w:sz="6" w:space="0" w:color="auto"/>
              <w:left w:val="single" w:sz="6" w:space="0" w:color="auto"/>
              <w:bottom w:val="single" w:sz="6" w:space="0" w:color="auto"/>
              <w:right w:val="single" w:sz="6" w:space="0" w:color="auto"/>
            </w:tcBorders>
            <w:vAlign w:val="center"/>
          </w:tcPr>
          <w:p w14:paraId="1D833E8F" w14:textId="77777777" w:rsidR="002133E3" w:rsidRDefault="00C22CFA">
            <w:pPr>
              <w:pStyle w:val="afc"/>
              <w:adjustRightInd w:val="0"/>
              <w:jc w:val="center"/>
              <w:textAlignment w:val="baseline"/>
              <w:rPr>
                <w:color w:val="000000"/>
                <w:sz w:val="21"/>
                <w:szCs w:val="21"/>
              </w:rPr>
            </w:pPr>
            <w:r>
              <w:rPr>
                <w:color w:val="000000"/>
                <w:sz w:val="21"/>
                <w:szCs w:val="21"/>
              </w:rPr>
              <w:t>A</w:t>
            </w:r>
          </w:p>
        </w:tc>
        <w:tc>
          <w:tcPr>
            <w:tcW w:w="1602" w:type="pct"/>
            <w:tcBorders>
              <w:top w:val="single" w:sz="6" w:space="0" w:color="auto"/>
              <w:left w:val="single" w:sz="6" w:space="0" w:color="auto"/>
              <w:bottom w:val="single" w:sz="6" w:space="0" w:color="auto"/>
              <w:right w:val="single" w:sz="6" w:space="0" w:color="auto"/>
            </w:tcBorders>
            <w:vAlign w:val="center"/>
          </w:tcPr>
          <w:p w14:paraId="4F03C8FE" w14:textId="77777777" w:rsidR="002133E3" w:rsidRDefault="00C22CFA">
            <w:pPr>
              <w:pStyle w:val="afc"/>
              <w:adjustRightInd w:val="0"/>
              <w:jc w:val="center"/>
              <w:textAlignment w:val="baseline"/>
              <w:rPr>
                <w:color w:val="000000"/>
                <w:sz w:val="21"/>
                <w:szCs w:val="21"/>
              </w:rPr>
            </w:pPr>
            <w:r>
              <w:rPr>
                <w:color w:val="000000"/>
                <w:sz w:val="21"/>
                <w:szCs w:val="21"/>
              </w:rPr>
              <w:t>公共管理与公共服务用地</w:t>
            </w:r>
          </w:p>
        </w:tc>
        <w:tc>
          <w:tcPr>
            <w:tcW w:w="856" w:type="pct"/>
            <w:tcBorders>
              <w:top w:val="single" w:sz="6" w:space="0" w:color="auto"/>
              <w:left w:val="single" w:sz="6" w:space="0" w:color="auto"/>
              <w:bottom w:val="single" w:sz="6" w:space="0" w:color="auto"/>
              <w:right w:val="single" w:sz="6" w:space="0" w:color="auto"/>
            </w:tcBorders>
            <w:vAlign w:val="center"/>
          </w:tcPr>
          <w:p w14:paraId="5F429854" w14:textId="77777777" w:rsidR="002133E3" w:rsidRDefault="00C22CFA">
            <w:pPr>
              <w:pStyle w:val="afc"/>
              <w:adjustRightInd w:val="0"/>
              <w:jc w:val="center"/>
              <w:textAlignment w:val="baseline"/>
              <w:rPr>
                <w:color w:val="000000"/>
                <w:sz w:val="21"/>
                <w:szCs w:val="21"/>
              </w:rPr>
            </w:pPr>
            <w:r>
              <w:rPr>
                <w:color w:val="000000"/>
                <w:sz w:val="21"/>
                <w:szCs w:val="21"/>
              </w:rPr>
              <w:t>0.52</w:t>
            </w:r>
          </w:p>
        </w:tc>
        <w:tc>
          <w:tcPr>
            <w:tcW w:w="1212" w:type="pct"/>
            <w:tcBorders>
              <w:top w:val="single" w:sz="6" w:space="0" w:color="auto"/>
              <w:left w:val="single" w:sz="6" w:space="0" w:color="auto"/>
              <w:bottom w:val="single" w:sz="6" w:space="0" w:color="auto"/>
              <w:right w:val="single" w:sz="6" w:space="0" w:color="auto"/>
            </w:tcBorders>
            <w:vAlign w:val="center"/>
          </w:tcPr>
          <w:p w14:paraId="18DAC97A" w14:textId="77777777" w:rsidR="002133E3" w:rsidRDefault="00C22CFA">
            <w:pPr>
              <w:pStyle w:val="afc"/>
              <w:adjustRightInd w:val="0"/>
              <w:jc w:val="center"/>
              <w:textAlignment w:val="baseline"/>
              <w:rPr>
                <w:color w:val="000000"/>
                <w:sz w:val="21"/>
                <w:szCs w:val="21"/>
              </w:rPr>
            </w:pPr>
            <w:r>
              <w:rPr>
                <w:color w:val="000000"/>
                <w:sz w:val="21"/>
                <w:szCs w:val="21"/>
              </w:rPr>
              <w:t>0.09</w:t>
            </w:r>
          </w:p>
        </w:tc>
      </w:tr>
      <w:tr w:rsidR="002133E3" w14:paraId="2AA6102B"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1045BF00" w14:textId="77777777" w:rsidR="002133E3" w:rsidRDefault="002133E3">
            <w:pPr>
              <w:widowControl/>
              <w:jc w:val="left"/>
              <w:rPr>
                <w:rFonts w:ascii="Times New Roman" w:eastAsia="宋体" w:hAnsi="Times New Roman" w:cs="Times New Roman"/>
                <w:color w:val="000000"/>
                <w:szCs w:val="21"/>
              </w:rPr>
            </w:pPr>
          </w:p>
        </w:tc>
        <w:tc>
          <w:tcPr>
            <w:tcW w:w="461" w:type="pct"/>
            <w:tcBorders>
              <w:top w:val="single" w:sz="6" w:space="0" w:color="auto"/>
              <w:left w:val="single" w:sz="6" w:space="0" w:color="auto"/>
              <w:bottom w:val="single" w:sz="6" w:space="0" w:color="auto"/>
              <w:right w:val="single" w:sz="6" w:space="0" w:color="auto"/>
            </w:tcBorders>
            <w:vAlign w:val="center"/>
          </w:tcPr>
          <w:p w14:paraId="5EBD1700" w14:textId="77777777" w:rsidR="002133E3" w:rsidRDefault="00C22CFA">
            <w:pPr>
              <w:pStyle w:val="afc"/>
              <w:adjustRightInd w:val="0"/>
              <w:jc w:val="center"/>
              <w:textAlignment w:val="baseline"/>
              <w:rPr>
                <w:b w:val="0"/>
                <w:color w:val="000000"/>
                <w:sz w:val="21"/>
                <w:szCs w:val="21"/>
              </w:rPr>
            </w:pPr>
            <w:r>
              <w:rPr>
                <w:b w:val="0"/>
                <w:color w:val="000000"/>
                <w:sz w:val="21"/>
                <w:szCs w:val="21"/>
              </w:rPr>
              <w:t>其中</w:t>
            </w:r>
          </w:p>
        </w:tc>
        <w:tc>
          <w:tcPr>
            <w:tcW w:w="490" w:type="pct"/>
            <w:tcBorders>
              <w:top w:val="single" w:sz="6" w:space="0" w:color="auto"/>
              <w:left w:val="single" w:sz="6" w:space="0" w:color="auto"/>
              <w:bottom w:val="single" w:sz="6" w:space="0" w:color="auto"/>
              <w:right w:val="single" w:sz="6" w:space="0" w:color="auto"/>
            </w:tcBorders>
            <w:vAlign w:val="center"/>
          </w:tcPr>
          <w:p w14:paraId="17283717" w14:textId="77777777" w:rsidR="002133E3" w:rsidRDefault="00C22CFA">
            <w:pPr>
              <w:pStyle w:val="afc"/>
              <w:adjustRightInd w:val="0"/>
              <w:jc w:val="center"/>
              <w:textAlignment w:val="baseline"/>
              <w:rPr>
                <w:b w:val="0"/>
                <w:color w:val="000000"/>
                <w:sz w:val="21"/>
                <w:szCs w:val="21"/>
              </w:rPr>
            </w:pPr>
            <w:r>
              <w:rPr>
                <w:b w:val="0"/>
                <w:color w:val="000000"/>
                <w:sz w:val="21"/>
                <w:szCs w:val="21"/>
              </w:rPr>
              <w:t>A1</w:t>
            </w:r>
          </w:p>
        </w:tc>
        <w:tc>
          <w:tcPr>
            <w:tcW w:w="1602" w:type="pct"/>
            <w:tcBorders>
              <w:top w:val="single" w:sz="6" w:space="0" w:color="auto"/>
              <w:left w:val="single" w:sz="6" w:space="0" w:color="auto"/>
              <w:bottom w:val="single" w:sz="6" w:space="0" w:color="auto"/>
              <w:right w:val="single" w:sz="6" w:space="0" w:color="auto"/>
            </w:tcBorders>
            <w:vAlign w:val="center"/>
          </w:tcPr>
          <w:p w14:paraId="7CD629E5" w14:textId="77777777" w:rsidR="002133E3" w:rsidRDefault="00C22CFA">
            <w:pPr>
              <w:pStyle w:val="afc"/>
              <w:adjustRightInd w:val="0"/>
              <w:jc w:val="center"/>
              <w:textAlignment w:val="baseline"/>
              <w:rPr>
                <w:b w:val="0"/>
                <w:color w:val="000000"/>
                <w:sz w:val="21"/>
                <w:szCs w:val="21"/>
              </w:rPr>
            </w:pPr>
            <w:r>
              <w:rPr>
                <w:b w:val="0"/>
                <w:color w:val="000000"/>
                <w:sz w:val="21"/>
                <w:szCs w:val="21"/>
              </w:rPr>
              <w:t>行政办公用地</w:t>
            </w:r>
          </w:p>
        </w:tc>
        <w:tc>
          <w:tcPr>
            <w:tcW w:w="856" w:type="pct"/>
            <w:tcBorders>
              <w:top w:val="single" w:sz="6" w:space="0" w:color="auto"/>
              <w:left w:val="single" w:sz="6" w:space="0" w:color="auto"/>
              <w:bottom w:val="single" w:sz="6" w:space="0" w:color="auto"/>
              <w:right w:val="single" w:sz="6" w:space="0" w:color="auto"/>
            </w:tcBorders>
            <w:vAlign w:val="center"/>
          </w:tcPr>
          <w:p w14:paraId="3F122D67" w14:textId="77777777" w:rsidR="002133E3" w:rsidRDefault="00C22CFA">
            <w:pPr>
              <w:pStyle w:val="afc"/>
              <w:adjustRightInd w:val="0"/>
              <w:jc w:val="center"/>
              <w:textAlignment w:val="baseline"/>
              <w:rPr>
                <w:b w:val="0"/>
                <w:color w:val="000000"/>
                <w:sz w:val="21"/>
                <w:szCs w:val="21"/>
              </w:rPr>
            </w:pPr>
            <w:r>
              <w:rPr>
                <w:b w:val="0"/>
                <w:color w:val="000000"/>
                <w:sz w:val="21"/>
                <w:szCs w:val="21"/>
              </w:rPr>
              <w:t>0.52</w:t>
            </w:r>
          </w:p>
        </w:tc>
        <w:tc>
          <w:tcPr>
            <w:tcW w:w="1212" w:type="pct"/>
            <w:tcBorders>
              <w:top w:val="single" w:sz="6" w:space="0" w:color="auto"/>
              <w:left w:val="single" w:sz="6" w:space="0" w:color="auto"/>
              <w:bottom w:val="single" w:sz="6" w:space="0" w:color="auto"/>
              <w:right w:val="single" w:sz="6" w:space="0" w:color="auto"/>
            </w:tcBorders>
            <w:vAlign w:val="center"/>
          </w:tcPr>
          <w:p w14:paraId="3764A1F5" w14:textId="77777777" w:rsidR="002133E3" w:rsidRDefault="00C22CFA">
            <w:pPr>
              <w:pStyle w:val="afc"/>
              <w:adjustRightInd w:val="0"/>
              <w:jc w:val="center"/>
              <w:textAlignment w:val="baseline"/>
              <w:rPr>
                <w:b w:val="0"/>
                <w:color w:val="000000"/>
                <w:sz w:val="21"/>
                <w:szCs w:val="21"/>
              </w:rPr>
            </w:pPr>
            <w:r>
              <w:rPr>
                <w:b w:val="0"/>
                <w:color w:val="000000"/>
                <w:sz w:val="21"/>
                <w:szCs w:val="21"/>
              </w:rPr>
              <w:t>0.09</w:t>
            </w:r>
          </w:p>
        </w:tc>
      </w:tr>
      <w:tr w:rsidR="002133E3" w14:paraId="7A052733" w14:textId="77777777">
        <w:trPr>
          <w:cantSplit/>
          <w:trHeight w:val="284"/>
        </w:trPr>
        <w:tc>
          <w:tcPr>
            <w:tcW w:w="379" w:type="pct"/>
            <w:vMerge w:val="restart"/>
            <w:tcBorders>
              <w:top w:val="single" w:sz="6" w:space="0" w:color="auto"/>
              <w:left w:val="single" w:sz="6" w:space="0" w:color="auto"/>
              <w:bottom w:val="single" w:sz="6" w:space="0" w:color="auto"/>
              <w:right w:val="single" w:sz="6" w:space="0" w:color="auto"/>
            </w:tcBorders>
            <w:vAlign w:val="center"/>
          </w:tcPr>
          <w:p w14:paraId="3FC70522" w14:textId="77777777" w:rsidR="002133E3" w:rsidRDefault="00C22CFA">
            <w:pPr>
              <w:pStyle w:val="afc"/>
              <w:adjustRightInd w:val="0"/>
              <w:jc w:val="center"/>
              <w:textAlignment w:val="baseline"/>
              <w:rPr>
                <w:b w:val="0"/>
                <w:color w:val="000000"/>
                <w:sz w:val="21"/>
                <w:szCs w:val="21"/>
              </w:rPr>
            </w:pPr>
            <w:r>
              <w:rPr>
                <w:b w:val="0"/>
                <w:color w:val="000000"/>
                <w:sz w:val="21"/>
                <w:szCs w:val="21"/>
              </w:rPr>
              <w:t>2</w:t>
            </w:r>
          </w:p>
        </w:tc>
        <w:tc>
          <w:tcPr>
            <w:tcW w:w="951" w:type="pct"/>
            <w:gridSpan w:val="2"/>
            <w:tcBorders>
              <w:top w:val="single" w:sz="6" w:space="0" w:color="auto"/>
              <w:left w:val="single" w:sz="6" w:space="0" w:color="auto"/>
              <w:bottom w:val="single" w:sz="6" w:space="0" w:color="auto"/>
              <w:right w:val="single" w:sz="6" w:space="0" w:color="auto"/>
            </w:tcBorders>
            <w:vAlign w:val="center"/>
          </w:tcPr>
          <w:p w14:paraId="511CB614" w14:textId="77777777" w:rsidR="002133E3" w:rsidRDefault="00C22CFA">
            <w:pPr>
              <w:pStyle w:val="afc"/>
              <w:adjustRightInd w:val="0"/>
              <w:jc w:val="center"/>
              <w:textAlignment w:val="baseline"/>
              <w:rPr>
                <w:color w:val="000000"/>
                <w:sz w:val="21"/>
                <w:szCs w:val="21"/>
              </w:rPr>
            </w:pPr>
            <w:r>
              <w:rPr>
                <w:color w:val="000000"/>
                <w:sz w:val="21"/>
                <w:szCs w:val="21"/>
              </w:rPr>
              <w:t>M</w:t>
            </w:r>
          </w:p>
        </w:tc>
        <w:tc>
          <w:tcPr>
            <w:tcW w:w="1602" w:type="pct"/>
            <w:tcBorders>
              <w:top w:val="single" w:sz="6" w:space="0" w:color="auto"/>
              <w:left w:val="single" w:sz="6" w:space="0" w:color="auto"/>
              <w:bottom w:val="single" w:sz="6" w:space="0" w:color="auto"/>
              <w:right w:val="single" w:sz="6" w:space="0" w:color="auto"/>
            </w:tcBorders>
            <w:vAlign w:val="center"/>
          </w:tcPr>
          <w:p w14:paraId="5581F71B" w14:textId="77777777" w:rsidR="002133E3" w:rsidRDefault="00C22CFA">
            <w:pPr>
              <w:pStyle w:val="afc"/>
              <w:adjustRightInd w:val="0"/>
              <w:jc w:val="center"/>
              <w:textAlignment w:val="baseline"/>
              <w:rPr>
                <w:color w:val="000000"/>
                <w:sz w:val="21"/>
                <w:szCs w:val="21"/>
              </w:rPr>
            </w:pPr>
            <w:r>
              <w:rPr>
                <w:color w:val="000000"/>
                <w:sz w:val="21"/>
                <w:szCs w:val="21"/>
              </w:rPr>
              <w:t>工业用地</w:t>
            </w:r>
          </w:p>
        </w:tc>
        <w:tc>
          <w:tcPr>
            <w:tcW w:w="856" w:type="pct"/>
            <w:tcBorders>
              <w:top w:val="single" w:sz="6" w:space="0" w:color="auto"/>
              <w:left w:val="single" w:sz="6" w:space="0" w:color="auto"/>
              <w:bottom w:val="single" w:sz="6" w:space="0" w:color="auto"/>
              <w:right w:val="single" w:sz="6" w:space="0" w:color="auto"/>
            </w:tcBorders>
            <w:vAlign w:val="center"/>
          </w:tcPr>
          <w:p w14:paraId="75F1987A" w14:textId="77777777" w:rsidR="002133E3" w:rsidRDefault="00C22CFA">
            <w:pPr>
              <w:pStyle w:val="afc"/>
              <w:adjustRightInd w:val="0"/>
              <w:jc w:val="center"/>
              <w:textAlignment w:val="baseline"/>
              <w:rPr>
                <w:color w:val="000000"/>
                <w:sz w:val="21"/>
                <w:szCs w:val="21"/>
              </w:rPr>
            </w:pPr>
            <w:r>
              <w:rPr>
                <w:color w:val="000000"/>
                <w:sz w:val="21"/>
                <w:szCs w:val="21"/>
              </w:rPr>
              <w:t>386.26</w:t>
            </w:r>
          </w:p>
        </w:tc>
        <w:tc>
          <w:tcPr>
            <w:tcW w:w="1212" w:type="pct"/>
            <w:tcBorders>
              <w:top w:val="single" w:sz="6" w:space="0" w:color="auto"/>
              <w:left w:val="single" w:sz="6" w:space="0" w:color="auto"/>
              <w:bottom w:val="single" w:sz="6" w:space="0" w:color="auto"/>
              <w:right w:val="single" w:sz="6" w:space="0" w:color="auto"/>
            </w:tcBorders>
            <w:vAlign w:val="center"/>
          </w:tcPr>
          <w:p w14:paraId="50738013" w14:textId="77777777" w:rsidR="002133E3" w:rsidRDefault="00C22CFA">
            <w:pPr>
              <w:pStyle w:val="afc"/>
              <w:adjustRightInd w:val="0"/>
              <w:jc w:val="center"/>
              <w:textAlignment w:val="baseline"/>
              <w:rPr>
                <w:color w:val="000000"/>
                <w:sz w:val="21"/>
                <w:szCs w:val="21"/>
              </w:rPr>
            </w:pPr>
            <w:r>
              <w:rPr>
                <w:color w:val="000000"/>
                <w:sz w:val="21"/>
                <w:szCs w:val="21"/>
              </w:rPr>
              <w:t>67.19</w:t>
            </w:r>
          </w:p>
        </w:tc>
      </w:tr>
      <w:tr w:rsidR="002133E3" w14:paraId="1C97F2D6"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32BDC89D" w14:textId="77777777" w:rsidR="002133E3" w:rsidRDefault="002133E3">
            <w:pPr>
              <w:widowControl/>
              <w:jc w:val="left"/>
              <w:rPr>
                <w:rFonts w:ascii="Times New Roman" w:eastAsia="宋体" w:hAnsi="Times New Roman" w:cs="Times New Roman"/>
                <w:color w:val="000000"/>
                <w:szCs w:val="21"/>
              </w:rPr>
            </w:pPr>
          </w:p>
        </w:tc>
        <w:tc>
          <w:tcPr>
            <w:tcW w:w="461" w:type="pct"/>
            <w:vMerge w:val="restart"/>
            <w:tcBorders>
              <w:top w:val="single" w:sz="6" w:space="0" w:color="auto"/>
              <w:left w:val="single" w:sz="6" w:space="0" w:color="auto"/>
              <w:bottom w:val="single" w:sz="6" w:space="0" w:color="auto"/>
              <w:right w:val="single" w:sz="6" w:space="0" w:color="auto"/>
            </w:tcBorders>
            <w:vAlign w:val="center"/>
          </w:tcPr>
          <w:p w14:paraId="35C5F6E4" w14:textId="77777777" w:rsidR="002133E3" w:rsidRDefault="00C22CFA">
            <w:pPr>
              <w:pStyle w:val="afc"/>
              <w:adjustRightInd w:val="0"/>
              <w:jc w:val="center"/>
              <w:textAlignment w:val="baseline"/>
              <w:rPr>
                <w:b w:val="0"/>
                <w:color w:val="000000"/>
                <w:sz w:val="21"/>
                <w:szCs w:val="21"/>
              </w:rPr>
            </w:pPr>
            <w:r>
              <w:rPr>
                <w:b w:val="0"/>
                <w:color w:val="000000"/>
                <w:sz w:val="21"/>
                <w:szCs w:val="21"/>
              </w:rPr>
              <w:t>其中</w:t>
            </w:r>
          </w:p>
        </w:tc>
        <w:tc>
          <w:tcPr>
            <w:tcW w:w="490" w:type="pct"/>
            <w:tcBorders>
              <w:top w:val="single" w:sz="6" w:space="0" w:color="auto"/>
              <w:left w:val="single" w:sz="6" w:space="0" w:color="auto"/>
              <w:bottom w:val="single" w:sz="6" w:space="0" w:color="auto"/>
              <w:right w:val="single" w:sz="6" w:space="0" w:color="auto"/>
            </w:tcBorders>
            <w:vAlign w:val="center"/>
          </w:tcPr>
          <w:p w14:paraId="069D6A17" w14:textId="77777777" w:rsidR="002133E3" w:rsidRDefault="00C22CFA">
            <w:pPr>
              <w:pStyle w:val="afc"/>
              <w:adjustRightInd w:val="0"/>
              <w:jc w:val="center"/>
              <w:textAlignment w:val="baseline"/>
              <w:rPr>
                <w:b w:val="0"/>
                <w:color w:val="000000"/>
                <w:sz w:val="21"/>
                <w:szCs w:val="21"/>
              </w:rPr>
            </w:pPr>
            <w:r>
              <w:rPr>
                <w:b w:val="0"/>
                <w:color w:val="000000"/>
                <w:sz w:val="21"/>
                <w:szCs w:val="21"/>
              </w:rPr>
              <w:t>M2</w:t>
            </w:r>
          </w:p>
        </w:tc>
        <w:tc>
          <w:tcPr>
            <w:tcW w:w="1602" w:type="pct"/>
            <w:tcBorders>
              <w:top w:val="single" w:sz="6" w:space="0" w:color="auto"/>
              <w:left w:val="single" w:sz="6" w:space="0" w:color="auto"/>
              <w:bottom w:val="single" w:sz="6" w:space="0" w:color="auto"/>
              <w:right w:val="single" w:sz="6" w:space="0" w:color="auto"/>
            </w:tcBorders>
            <w:vAlign w:val="center"/>
          </w:tcPr>
          <w:p w14:paraId="5FFB9EFD" w14:textId="77777777" w:rsidR="002133E3" w:rsidRDefault="00C22CFA">
            <w:pPr>
              <w:pStyle w:val="afc"/>
              <w:adjustRightInd w:val="0"/>
              <w:jc w:val="center"/>
              <w:textAlignment w:val="baseline"/>
              <w:rPr>
                <w:b w:val="0"/>
                <w:color w:val="000000"/>
                <w:sz w:val="21"/>
                <w:szCs w:val="21"/>
              </w:rPr>
            </w:pPr>
            <w:r>
              <w:rPr>
                <w:b w:val="0"/>
                <w:color w:val="000000"/>
                <w:sz w:val="21"/>
                <w:szCs w:val="21"/>
              </w:rPr>
              <w:t>二类工业用地</w:t>
            </w:r>
          </w:p>
        </w:tc>
        <w:tc>
          <w:tcPr>
            <w:tcW w:w="856" w:type="pct"/>
            <w:tcBorders>
              <w:top w:val="single" w:sz="6" w:space="0" w:color="auto"/>
              <w:left w:val="single" w:sz="6" w:space="0" w:color="auto"/>
              <w:bottom w:val="single" w:sz="6" w:space="0" w:color="auto"/>
              <w:right w:val="single" w:sz="6" w:space="0" w:color="auto"/>
            </w:tcBorders>
            <w:vAlign w:val="center"/>
          </w:tcPr>
          <w:p w14:paraId="530F374F" w14:textId="77777777" w:rsidR="002133E3" w:rsidRDefault="00C22CFA">
            <w:pPr>
              <w:pStyle w:val="afc"/>
              <w:adjustRightInd w:val="0"/>
              <w:jc w:val="center"/>
              <w:textAlignment w:val="baseline"/>
              <w:rPr>
                <w:b w:val="0"/>
                <w:color w:val="000000"/>
                <w:sz w:val="21"/>
                <w:szCs w:val="21"/>
              </w:rPr>
            </w:pPr>
            <w:r>
              <w:rPr>
                <w:b w:val="0"/>
                <w:color w:val="000000"/>
                <w:sz w:val="21"/>
                <w:szCs w:val="21"/>
              </w:rPr>
              <w:t>269.10</w:t>
            </w:r>
          </w:p>
        </w:tc>
        <w:tc>
          <w:tcPr>
            <w:tcW w:w="1212" w:type="pct"/>
            <w:tcBorders>
              <w:top w:val="single" w:sz="6" w:space="0" w:color="auto"/>
              <w:left w:val="single" w:sz="6" w:space="0" w:color="auto"/>
              <w:bottom w:val="single" w:sz="6" w:space="0" w:color="auto"/>
              <w:right w:val="single" w:sz="6" w:space="0" w:color="auto"/>
            </w:tcBorders>
            <w:vAlign w:val="center"/>
          </w:tcPr>
          <w:p w14:paraId="09C9C504" w14:textId="77777777" w:rsidR="002133E3" w:rsidRDefault="00C22CFA">
            <w:pPr>
              <w:pStyle w:val="afc"/>
              <w:adjustRightInd w:val="0"/>
              <w:jc w:val="center"/>
              <w:textAlignment w:val="baseline"/>
              <w:rPr>
                <w:b w:val="0"/>
                <w:color w:val="000000"/>
                <w:sz w:val="21"/>
                <w:szCs w:val="21"/>
              </w:rPr>
            </w:pPr>
            <w:r>
              <w:rPr>
                <w:b w:val="0"/>
                <w:color w:val="000000"/>
                <w:sz w:val="21"/>
                <w:szCs w:val="21"/>
              </w:rPr>
              <w:t>46.81</w:t>
            </w:r>
          </w:p>
        </w:tc>
      </w:tr>
      <w:tr w:rsidR="002133E3" w14:paraId="72F74979"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0C4BC10E" w14:textId="77777777" w:rsidR="002133E3" w:rsidRDefault="002133E3">
            <w:pPr>
              <w:widowControl/>
              <w:jc w:val="left"/>
              <w:rPr>
                <w:rFonts w:ascii="Times New Roman" w:eastAsia="宋体" w:hAnsi="Times New Roman" w:cs="Times New Roman"/>
                <w:color w:val="000000"/>
                <w:szCs w:val="21"/>
              </w:rPr>
            </w:pPr>
          </w:p>
        </w:tc>
        <w:tc>
          <w:tcPr>
            <w:tcW w:w="461" w:type="pct"/>
            <w:vMerge/>
            <w:tcBorders>
              <w:top w:val="single" w:sz="6" w:space="0" w:color="auto"/>
              <w:left w:val="single" w:sz="6" w:space="0" w:color="auto"/>
              <w:bottom w:val="single" w:sz="6" w:space="0" w:color="auto"/>
              <w:right w:val="single" w:sz="6" w:space="0" w:color="auto"/>
            </w:tcBorders>
            <w:vAlign w:val="center"/>
          </w:tcPr>
          <w:p w14:paraId="5139EA3C" w14:textId="77777777" w:rsidR="002133E3" w:rsidRDefault="002133E3">
            <w:pPr>
              <w:widowControl/>
              <w:jc w:val="left"/>
              <w:rPr>
                <w:rFonts w:ascii="Times New Roman" w:eastAsia="宋体" w:hAnsi="Times New Roman" w:cs="Times New Roman"/>
                <w:color w:val="000000"/>
                <w:szCs w:val="21"/>
              </w:rPr>
            </w:pPr>
          </w:p>
        </w:tc>
        <w:tc>
          <w:tcPr>
            <w:tcW w:w="490" w:type="pct"/>
            <w:tcBorders>
              <w:top w:val="single" w:sz="6" w:space="0" w:color="auto"/>
              <w:left w:val="single" w:sz="6" w:space="0" w:color="auto"/>
              <w:bottom w:val="single" w:sz="6" w:space="0" w:color="auto"/>
              <w:right w:val="single" w:sz="6" w:space="0" w:color="auto"/>
            </w:tcBorders>
            <w:vAlign w:val="center"/>
          </w:tcPr>
          <w:p w14:paraId="35DBE9D2" w14:textId="77777777" w:rsidR="002133E3" w:rsidRDefault="00C22CFA">
            <w:pPr>
              <w:pStyle w:val="afc"/>
              <w:adjustRightInd w:val="0"/>
              <w:jc w:val="center"/>
              <w:textAlignment w:val="baseline"/>
              <w:rPr>
                <w:b w:val="0"/>
                <w:color w:val="000000"/>
                <w:sz w:val="21"/>
                <w:szCs w:val="21"/>
              </w:rPr>
            </w:pPr>
            <w:r>
              <w:rPr>
                <w:b w:val="0"/>
                <w:color w:val="000000"/>
                <w:sz w:val="21"/>
                <w:szCs w:val="21"/>
              </w:rPr>
              <w:t>M3</w:t>
            </w:r>
          </w:p>
        </w:tc>
        <w:tc>
          <w:tcPr>
            <w:tcW w:w="1602" w:type="pct"/>
            <w:tcBorders>
              <w:top w:val="single" w:sz="6" w:space="0" w:color="auto"/>
              <w:left w:val="single" w:sz="6" w:space="0" w:color="auto"/>
              <w:bottom w:val="single" w:sz="6" w:space="0" w:color="auto"/>
              <w:right w:val="single" w:sz="6" w:space="0" w:color="auto"/>
            </w:tcBorders>
            <w:vAlign w:val="center"/>
          </w:tcPr>
          <w:p w14:paraId="50A5F7F4" w14:textId="77777777" w:rsidR="002133E3" w:rsidRDefault="00C22CFA">
            <w:pPr>
              <w:pStyle w:val="afc"/>
              <w:adjustRightInd w:val="0"/>
              <w:jc w:val="center"/>
              <w:textAlignment w:val="baseline"/>
              <w:rPr>
                <w:b w:val="0"/>
                <w:color w:val="000000"/>
                <w:sz w:val="21"/>
                <w:szCs w:val="21"/>
              </w:rPr>
            </w:pPr>
            <w:r>
              <w:rPr>
                <w:b w:val="0"/>
                <w:color w:val="000000"/>
                <w:sz w:val="21"/>
                <w:szCs w:val="21"/>
              </w:rPr>
              <w:t>三类工业用地</w:t>
            </w:r>
          </w:p>
        </w:tc>
        <w:tc>
          <w:tcPr>
            <w:tcW w:w="856" w:type="pct"/>
            <w:tcBorders>
              <w:top w:val="single" w:sz="6" w:space="0" w:color="auto"/>
              <w:left w:val="single" w:sz="6" w:space="0" w:color="auto"/>
              <w:bottom w:val="single" w:sz="6" w:space="0" w:color="auto"/>
              <w:right w:val="single" w:sz="6" w:space="0" w:color="auto"/>
            </w:tcBorders>
            <w:vAlign w:val="center"/>
          </w:tcPr>
          <w:p w14:paraId="0A261D3E" w14:textId="77777777" w:rsidR="002133E3" w:rsidRDefault="00C22CFA">
            <w:pPr>
              <w:pStyle w:val="afc"/>
              <w:adjustRightInd w:val="0"/>
              <w:jc w:val="center"/>
              <w:textAlignment w:val="baseline"/>
              <w:rPr>
                <w:b w:val="0"/>
                <w:color w:val="000000"/>
                <w:sz w:val="21"/>
                <w:szCs w:val="21"/>
              </w:rPr>
            </w:pPr>
            <w:r>
              <w:rPr>
                <w:b w:val="0"/>
                <w:color w:val="000000"/>
                <w:sz w:val="21"/>
                <w:szCs w:val="21"/>
              </w:rPr>
              <w:t>117.16</w:t>
            </w:r>
          </w:p>
        </w:tc>
        <w:tc>
          <w:tcPr>
            <w:tcW w:w="1212" w:type="pct"/>
            <w:tcBorders>
              <w:top w:val="single" w:sz="6" w:space="0" w:color="auto"/>
              <w:left w:val="single" w:sz="6" w:space="0" w:color="auto"/>
              <w:bottom w:val="single" w:sz="6" w:space="0" w:color="auto"/>
              <w:right w:val="single" w:sz="6" w:space="0" w:color="auto"/>
            </w:tcBorders>
            <w:vAlign w:val="center"/>
          </w:tcPr>
          <w:p w14:paraId="733C7F94" w14:textId="77777777" w:rsidR="002133E3" w:rsidRDefault="00C22CFA">
            <w:pPr>
              <w:pStyle w:val="afc"/>
              <w:adjustRightInd w:val="0"/>
              <w:jc w:val="center"/>
              <w:textAlignment w:val="baseline"/>
              <w:rPr>
                <w:b w:val="0"/>
                <w:color w:val="000000"/>
                <w:sz w:val="21"/>
                <w:szCs w:val="21"/>
              </w:rPr>
            </w:pPr>
            <w:r>
              <w:rPr>
                <w:b w:val="0"/>
                <w:color w:val="000000"/>
                <w:sz w:val="21"/>
                <w:szCs w:val="21"/>
              </w:rPr>
              <w:t>20.38</w:t>
            </w:r>
          </w:p>
        </w:tc>
      </w:tr>
      <w:tr w:rsidR="002133E3" w14:paraId="43877B4B" w14:textId="77777777">
        <w:trPr>
          <w:cantSplit/>
          <w:trHeight w:val="284"/>
        </w:trPr>
        <w:tc>
          <w:tcPr>
            <w:tcW w:w="379" w:type="pct"/>
            <w:vMerge w:val="restart"/>
            <w:tcBorders>
              <w:top w:val="single" w:sz="6" w:space="0" w:color="auto"/>
              <w:left w:val="single" w:sz="6" w:space="0" w:color="auto"/>
              <w:bottom w:val="single" w:sz="6" w:space="0" w:color="auto"/>
              <w:right w:val="single" w:sz="6" w:space="0" w:color="auto"/>
            </w:tcBorders>
            <w:vAlign w:val="center"/>
          </w:tcPr>
          <w:p w14:paraId="13CA98C7" w14:textId="77777777" w:rsidR="002133E3" w:rsidRDefault="00C22CFA">
            <w:pPr>
              <w:pStyle w:val="afc"/>
              <w:adjustRightInd w:val="0"/>
              <w:jc w:val="center"/>
              <w:textAlignment w:val="baseline"/>
              <w:rPr>
                <w:b w:val="0"/>
                <w:color w:val="000000"/>
                <w:sz w:val="21"/>
                <w:szCs w:val="21"/>
              </w:rPr>
            </w:pPr>
            <w:r>
              <w:rPr>
                <w:b w:val="0"/>
                <w:color w:val="000000"/>
                <w:sz w:val="21"/>
                <w:szCs w:val="21"/>
              </w:rPr>
              <w:t>3</w:t>
            </w:r>
          </w:p>
        </w:tc>
        <w:tc>
          <w:tcPr>
            <w:tcW w:w="951" w:type="pct"/>
            <w:gridSpan w:val="2"/>
            <w:tcBorders>
              <w:top w:val="single" w:sz="6" w:space="0" w:color="auto"/>
              <w:left w:val="single" w:sz="6" w:space="0" w:color="auto"/>
              <w:bottom w:val="single" w:sz="6" w:space="0" w:color="auto"/>
              <w:right w:val="single" w:sz="6" w:space="0" w:color="auto"/>
            </w:tcBorders>
            <w:vAlign w:val="center"/>
          </w:tcPr>
          <w:p w14:paraId="5E53BA78" w14:textId="77777777" w:rsidR="002133E3" w:rsidRDefault="00C22CFA">
            <w:pPr>
              <w:pStyle w:val="afc"/>
              <w:adjustRightInd w:val="0"/>
              <w:jc w:val="center"/>
              <w:textAlignment w:val="baseline"/>
              <w:rPr>
                <w:color w:val="000000"/>
                <w:sz w:val="21"/>
                <w:szCs w:val="21"/>
              </w:rPr>
            </w:pPr>
            <w:r>
              <w:rPr>
                <w:color w:val="000000"/>
                <w:sz w:val="21"/>
                <w:szCs w:val="21"/>
              </w:rPr>
              <w:t>S</w:t>
            </w:r>
          </w:p>
        </w:tc>
        <w:tc>
          <w:tcPr>
            <w:tcW w:w="1602" w:type="pct"/>
            <w:tcBorders>
              <w:top w:val="single" w:sz="6" w:space="0" w:color="auto"/>
              <w:left w:val="single" w:sz="6" w:space="0" w:color="auto"/>
              <w:bottom w:val="single" w:sz="6" w:space="0" w:color="auto"/>
              <w:right w:val="single" w:sz="6" w:space="0" w:color="auto"/>
            </w:tcBorders>
            <w:vAlign w:val="center"/>
          </w:tcPr>
          <w:p w14:paraId="4D2585EE" w14:textId="77777777" w:rsidR="002133E3" w:rsidRDefault="00C22CFA">
            <w:pPr>
              <w:pStyle w:val="afc"/>
              <w:adjustRightInd w:val="0"/>
              <w:jc w:val="center"/>
              <w:textAlignment w:val="baseline"/>
              <w:rPr>
                <w:color w:val="000000"/>
                <w:sz w:val="21"/>
                <w:szCs w:val="21"/>
              </w:rPr>
            </w:pPr>
            <w:r>
              <w:rPr>
                <w:color w:val="000000"/>
                <w:sz w:val="21"/>
                <w:szCs w:val="21"/>
              </w:rPr>
              <w:t>交通设施用地</w:t>
            </w:r>
          </w:p>
        </w:tc>
        <w:tc>
          <w:tcPr>
            <w:tcW w:w="856" w:type="pct"/>
            <w:tcBorders>
              <w:top w:val="single" w:sz="6" w:space="0" w:color="auto"/>
              <w:left w:val="single" w:sz="6" w:space="0" w:color="auto"/>
              <w:bottom w:val="single" w:sz="6" w:space="0" w:color="auto"/>
              <w:right w:val="single" w:sz="6" w:space="0" w:color="auto"/>
            </w:tcBorders>
            <w:vAlign w:val="center"/>
          </w:tcPr>
          <w:p w14:paraId="338FCA5D" w14:textId="77777777" w:rsidR="002133E3" w:rsidRDefault="00C22CFA">
            <w:pPr>
              <w:pStyle w:val="afc"/>
              <w:adjustRightInd w:val="0"/>
              <w:jc w:val="center"/>
              <w:textAlignment w:val="baseline"/>
              <w:rPr>
                <w:color w:val="000000"/>
                <w:sz w:val="21"/>
                <w:szCs w:val="21"/>
              </w:rPr>
            </w:pPr>
            <w:r>
              <w:rPr>
                <w:color w:val="000000"/>
                <w:sz w:val="21"/>
                <w:szCs w:val="21"/>
              </w:rPr>
              <w:t>97.12</w:t>
            </w:r>
          </w:p>
        </w:tc>
        <w:tc>
          <w:tcPr>
            <w:tcW w:w="1212" w:type="pct"/>
            <w:tcBorders>
              <w:top w:val="single" w:sz="6" w:space="0" w:color="auto"/>
              <w:left w:val="single" w:sz="6" w:space="0" w:color="auto"/>
              <w:bottom w:val="single" w:sz="6" w:space="0" w:color="auto"/>
              <w:right w:val="single" w:sz="6" w:space="0" w:color="auto"/>
            </w:tcBorders>
            <w:vAlign w:val="center"/>
          </w:tcPr>
          <w:p w14:paraId="2E530F87" w14:textId="77777777" w:rsidR="002133E3" w:rsidRDefault="00C22CFA">
            <w:pPr>
              <w:pStyle w:val="afc"/>
              <w:adjustRightInd w:val="0"/>
              <w:jc w:val="center"/>
              <w:textAlignment w:val="baseline"/>
              <w:rPr>
                <w:color w:val="000000"/>
                <w:sz w:val="21"/>
                <w:szCs w:val="21"/>
              </w:rPr>
            </w:pPr>
            <w:r>
              <w:rPr>
                <w:color w:val="000000"/>
                <w:sz w:val="21"/>
                <w:szCs w:val="21"/>
              </w:rPr>
              <w:t>16.90</w:t>
            </w:r>
          </w:p>
        </w:tc>
      </w:tr>
      <w:tr w:rsidR="002133E3" w14:paraId="05F9FFC2"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3F91D080" w14:textId="77777777" w:rsidR="002133E3" w:rsidRDefault="002133E3">
            <w:pPr>
              <w:widowControl/>
              <w:jc w:val="left"/>
              <w:rPr>
                <w:rFonts w:ascii="Times New Roman" w:eastAsia="宋体" w:hAnsi="Times New Roman" w:cs="Times New Roman"/>
                <w:color w:val="000000"/>
                <w:szCs w:val="21"/>
              </w:rPr>
            </w:pPr>
          </w:p>
        </w:tc>
        <w:tc>
          <w:tcPr>
            <w:tcW w:w="461" w:type="pct"/>
            <w:tcBorders>
              <w:top w:val="single" w:sz="6" w:space="0" w:color="auto"/>
              <w:left w:val="single" w:sz="6" w:space="0" w:color="auto"/>
              <w:bottom w:val="single" w:sz="6" w:space="0" w:color="auto"/>
              <w:right w:val="single" w:sz="6" w:space="0" w:color="auto"/>
            </w:tcBorders>
            <w:vAlign w:val="center"/>
          </w:tcPr>
          <w:p w14:paraId="57F899B0" w14:textId="77777777" w:rsidR="002133E3" w:rsidRDefault="00C22CFA">
            <w:pPr>
              <w:pStyle w:val="afc"/>
              <w:adjustRightInd w:val="0"/>
              <w:jc w:val="center"/>
              <w:textAlignment w:val="baseline"/>
              <w:rPr>
                <w:b w:val="0"/>
                <w:color w:val="000000"/>
                <w:sz w:val="21"/>
                <w:szCs w:val="21"/>
              </w:rPr>
            </w:pPr>
            <w:r>
              <w:rPr>
                <w:b w:val="0"/>
                <w:color w:val="000000"/>
                <w:sz w:val="21"/>
                <w:szCs w:val="21"/>
              </w:rPr>
              <w:t>其中</w:t>
            </w:r>
          </w:p>
        </w:tc>
        <w:tc>
          <w:tcPr>
            <w:tcW w:w="490" w:type="pct"/>
            <w:tcBorders>
              <w:top w:val="single" w:sz="6" w:space="0" w:color="auto"/>
              <w:left w:val="single" w:sz="6" w:space="0" w:color="auto"/>
              <w:bottom w:val="single" w:sz="6" w:space="0" w:color="auto"/>
              <w:right w:val="single" w:sz="6" w:space="0" w:color="auto"/>
            </w:tcBorders>
            <w:vAlign w:val="center"/>
          </w:tcPr>
          <w:p w14:paraId="772CD0F2" w14:textId="77777777" w:rsidR="002133E3" w:rsidRDefault="00C22CFA">
            <w:pPr>
              <w:pStyle w:val="afc"/>
              <w:adjustRightInd w:val="0"/>
              <w:jc w:val="center"/>
              <w:textAlignment w:val="baseline"/>
              <w:rPr>
                <w:b w:val="0"/>
                <w:color w:val="000000"/>
                <w:sz w:val="21"/>
                <w:szCs w:val="21"/>
              </w:rPr>
            </w:pPr>
            <w:r>
              <w:rPr>
                <w:b w:val="0"/>
                <w:color w:val="000000"/>
                <w:sz w:val="21"/>
                <w:szCs w:val="21"/>
              </w:rPr>
              <w:t>S1</w:t>
            </w:r>
          </w:p>
        </w:tc>
        <w:tc>
          <w:tcPr>
            <w:tcW w:w="1602" w:type="pct"/>
            <w:tcBorders>
              <w:top w:val="single" w:sz="6" w:space="0" w:color="auto"/>
              <w:left w:val="single" w:sz="6" w:space="0" w:color="auto"/>
              <w:bottom w:val="single" w:sz="6" w:space="0" w:color="auto"/>
              <w:right w:val="single" w:sz="6" w:space="0" w:color="auto"/>
            </w:tcBorders>
            <w:vAlign w:val="center"/>
          </w:tcPr>
          <w:p w14:paraId="0D58D638" w14:textId="77777777" w:rsidR="002133E3" w:rsidRDefault="00C22CFA">
            <w:pPr>
              <w:pStyle w:val="afc"/>
              <w:adjustRightInd w:val="0"/>
              <w:jc w:val="center"/>
              <w:textAlignment w:val="baseline"/>
              <w:rPr>
                <w:b w:val="0"/>
                <w:color w:val="000000"/>
                <w:sz w:val="21"/>
                <w:szCs w:val="21"/>
              </w:rPr>
            </w:pPr>
            <w:r>
              <w:rPr>
                <w:b w:val="0"/>
                <w:color w:val="000000"/>
                <w:sz w:val="21"/>
                <w:szCs w:val="21"/>
              </w:rPr>
              <w:t>道路用地</w:t>
            </w:r>
          </w:p>
        </w:tc>
        <w:tc>
          <w:tcPr>
            <w:tcW w:w="856" w:type="pct"/>
            <w:tcBorders>
              <w:top w:val="single" w:sz="6" w:space="0" w:color="auto"/>
              <w:left w:val="single" w:sz="6" w:space="0" w:color="auto"/>
              <w:bottom w:val="single" w:sz="6" w:space="0" w:color="auto"/>
              <w:right w:val="single" w:sz="6" w:space="0" w:color="auto"/>
            </w:tcBorders>
            <w:vAlign w:val="center"/>
          </w:tcPr>
          <w:p w14:paraId="241ED107" w14:textId="77777777" w:rsidR="002133E3" w:rsidRDefault="00C22CFA">
            <w:pPr>
              <w:pStyle w:val="afc"/>
              <w:adjustRightInd w:val="0"/>
              <w:jc w:val="center"/>
              <w:textAlignment w:val="baseline"/>
              <w:rPr>
                <w:b w:val="0"/>
                <w:color w:val="000000"/>
                <w:sz w:val="21"/>
                <w:szCs w:val="21"/>
              </w:rPr>
            </w:pPr>
            <w:r>
              <w:rPr>
                <w:b w:val="0"/>
                <w:color w:val="000000"/>
                <w:sz w:val="21"/>
                <w:szCs w:val="21"/>
              </w:rPr>
              <w:t>97.12</w:t>
            </w:r>
          </w:p>
        </w:tc>
        <w:tc>
          <w:tcPr>
            <w:tcW w:w="1212" w:type="pct"/>
            <w:tcBorders>
              <w:top w:val="single" w:sz="6" w:space="0" w:color="auto"/>
              <w:left w:val="single" w:sz="6" w:space="0" w:color="auto"/>
              <w:bottom w:val="single" w:sz="6" w:space="0" w:color="auto"/>
              <w:right w:val="single" w:sz="6" w:space="0" w:color="auto"/>
            </w:tcBorders>
            <w:vAlign w:val="center"/>
          </w:tcPr>
          <w:p w14:paraId="4D45B33D" w14:textId="77777777" w:rsidR="002133E3" w:rsidRDefault="00C22CFA">
            <w:pPr>
              <w:pStyle w:val="afc"/>
              <w:adjustRightInd w:val="0"/>
              <w:jc w:val="center"/>
              <w:textAlignment w:val="baseline"/>
              <w:rPr>
                <w:b w:val="0"/>
                <w:color w:val="000000"/>
                <w:sz w:val="21"/>
                <w:szCs w:val="21"/>
              </w:rPr>
            </w:pPr>
            <w:r>
              <w:rPr>
                <w:b w:val="0"/>
                <w:color w:val="000000"/>
                <w:sz w:val="21"/>
                <w:szCs w:val="21"/>
              </w:rPr>
              <w:t>16.90</w:t>
            </w:r>
          </w:p>
        </w:tc>
      </w:tr>
      <w:tr w:rsidR="002133E3" w14:paraId="56A10812" w14:textId="77777777">
        <w:trPr>
          <w:cantSplit/>
          <w:trHeight w:val="284"/>
        </w:trPr>
        <w:tc>
          <w:tcPr>
            <w:tcW w:w="379" w:type="pct"/>
            <w:vMerge w:val="restart"/>
            <w:tcBorders>
              <w:top w:val="single" w:sz="6" w:space="0" w:color="auto"/>
              <w:left w:val="single" w:sz="6" w:space="0" w:color="auto"/>
              <w:bottom w:val="single" w:sz="6" w:space="0" w:color="auto"/>
              <w:right w:val="single" w:sz="6" w:space="0" w:color="auto"/>
            </w:tcBorders>
            <w:vAlign w:val="center"/>
          </w:tcPr>
          <w:p w14:paraId="62D56BB9" w14:textId="77777777" w:rsidR="002133E3" w:rsidRDefault="00C22CFA">
            <w:pPr>
              <w:pStyle w:val="afc"/>
              <w:adjustRightInd w:val="0"/>
              <w:jc w:val="center"/>
              <w:textAlignment w:val="baseline"/>
              <w:rPr>
                <w:b w:val="0"/>
                <w:color w:val="000000"/>
                <w:sz w:val="21"/>
                <w:szCs w:val="21"/>
              </w:rPr>
            </w:pPr>
            <w:r>
              <w:rPr>
                <w:b w:val="0"/>
                <w:color w:val="000000"/>
                <w:sz w:val="21"/>
                <w:szCs w:val="21"/>
              </w:rPr>
              <w:t>4</w:t>
            </w:r>
          </w:p>
        </w:tc>
        <w:tc>
          <w:tcPr>
            <w:tcW w:w="951" w:type="pct"/>
            <w:gridSpan w:val="2"/>
            <w:tcBorders>
              <w:top w:val="single" w:sz="6" w:space="0" w:color="auto"/>
              <w:left w:val="single" w:sz="6" w:space="0" w:color="auto"/>
              <w:bottom w:val="single" w:sz="6" w:space="0" w:color="auto"/>
              <w:right w:val="single" w:sz="6" w:space="0" w:color="auto"/>
            </w:tcBorders>
            <w:vAlign w:val="center"/>
          </w:tcPr>
          <w:p w14:paraId="30928587" w14:textId="77777777" w:rsidR="002133E3" w:rsidRDefault="00C22CFA">
            <w:pPr>
              <w:pStyle w:val="afc"/>
              <w:adjustRightInd w:val="0"/>
              <w:jc w:val="center"/>
              <w:textAlignment w:val="baseline"/>
              <w:rPr>
                <w:color w:val="000000"/>
                <w:sz w:val="21"/>
                <w:szCs w:val="21"/>
              </w:rPr>
            </w:pPr>
            <w:r>
              <w:rPr>
                <w:color w:val="000000"/>
                <w:sz w:val="21"/>
                <w:szCs w:val="21"/>
              </w:rPr>
              <w:t>U</w:t>
            </w:r>
          </w:p>
        </w:tc>
        <w:tc>
          <w:tcPr>
            <w:tcW w:w="1602" w:type="pct"/>
            <w:tcBorders>
              <w:top w:val="single" w:sz="6" w:space="0" w:color="auto"/>
              <w:left w:val="single" w:sz="6" w:space="0" w:color="auto"/>
              <w:bottom w:val="single" w:sz="6" w:space="0" w:color="auto"/>
              <w:right w:val="single" w:sz="6" w:space="0" w:color="auto"/>
            </w:tcBorders>
            <w:vAlign w:val="center"/>
          </w:tcPr>
          <w:p w14:paraId="00196669" w14:textId="77777777" w:rsidR="002133E3" w:rsidRDefault="00C22CFA">
            <w:pPr>
              <w:pStyle w:val="afc"/>
              <w:adjustRightInd w:val="0"/>
              <w:jc w:val="center"/>
              <w:textAlignment w:val="baseline"/>
              <w:rPr>
                <w:color w:val="000000"/>
                <w:sz w:val="21"/>
                <w:szCs w:val="21"/>
              </w:rPr>
            </w:pPr>
            <w:r>
              <w:rPr>
                <w:color w:val="000000"/>
                <w:sz w:val="21"/>
                <w:szCs w:val="21"/>
              </w:rPr>
              <w:t>公用设施用地</w:t>
            </w:r>
          </w:p>
        </w:tc>
        <w:tc>
          <w:tcPr>
            <w:tcW w:w="856" w:type="pct"/>
            <w:tcBorders>
              <w:top w:val="single" w:sz="6" w:space="0" w:color="auto"/>
              <w:left w:val="single" w:sz="6" w:space="0" w:color="auto"/>
              <w:bottom w:val="single" w:sz="6" w:space="0" w:color="auto"/>
              <w:right w:val="single" w:sz="6" w:space="0" w:color="auto"/>
            </w:tcBorders>
            <w:vAlign w:val="center"/>
          </w:tcPr>
          <w:p w14:paraId="697A7FDE" w14:textId="77777777" w:rsidR="002133E3" w:rsidRDefault="00C22CFA">
            <w:pPr>
              <w:pStyle w:val="afc"/>
              <w:adjustRightInd w:val="0"/>
              <w:jc w:val="center"/>
              <w:textAlignment w:val="baseline"/>
              <w:rPr>
                <w:color w:val="000000"/>
                <w:sz w:val="21"/>
                <w:szCs w:val="21"/>
              </w:rPr>
            </w:pPr>
            <w:r>
              <w:rPr>
                <w:color w:val="000000"/>
                <w:sz w:val="21"/>
                <w:szCs w:val="21"/>
              </w:rPr>
              <w:t>42.04</w:t>
            </w:r>
          </w:p>
        </w:tc>
        <w:tc>
          <w:tcPr>
            <w:tcW w:w="1212" w:type="pct"/>
            <w:tcBorders>
              <w:top w:val="single" w:sz="6" w:space="0" w:color="auto"/>
              <w:left w:val="single" w:sz="6" w:space="0" w:color="auto"/>
              <w:bottom w:val="single" w:sz="6" w:space="0" w:color="auto"/>
              <w:right w:val="single" w:sz="6" w:space="0" w:color="auto"/>
            </w:tcBorders>
            <w:vAlign w:val="center"/>
          </w:tcPr>
          <w:p w14:paraId="1B884A8F" w14:textId="77777777" w:rsidR="002133E3" w:rsidRDefault="00C22CFA">
            <w:pPr>
              <w:pStyle w:val="afc"/>
              <w:adjustRightInd w:val="0"/>
              <w:jc w:val="center"/>
              <w:textAlignment w:val="baseline"/>
              <w:rPr>
                <w:color w:val="000000"/>
                <w:sz w:val="21"/>
                <w:szCs w:val="21"/>
              </w:rPr>
            </w:pPr>
            <w:r>
              <w:rPr>
                <w:color w:val="000000"/>
                <w:sz w:val="21"/>
                <w:szCs w:val="21"/>
              </w:rPr>
              <w:t>7.31</w:t>
            </w:r>
          </w:p>
        </w:tc>
      </w:tr>
      <w:tr w:rsidR="002133E3" w14:paraId="0520D0F4"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7ABF763F" w14:textId="77777777" w:rsidR="002133E3" w:rsidRDefault="002133E3">
            <w:pPr>
              <w:widowControl/>
              <w:jc w:val="left"/>
              <w:rPr>
                <w:rFonts w:ascii="Times New Roman" w:eastAsia="宋体" w:hAnsi="Times New Roman" w:cs="Times New Roman"/>
                <w:color w:val="000000"/>
                <w:szCs w:val="21"/>
              </w:rPr>
            </w:pPr>
          </w:p>
        </w:tc>
        <w:tc>
          <w:tcPr>
            <w:tcW w:w="461" w:type="pct"/>
            <w:vMerge w:val="restart"/>
            <w:tcBorders>
              <w:top w:val="single" w:sz="6" w:space="0" w:color="auto"/>
              <w:left w:val="single" w:sz="6" w:space="0" w:color="auto"/>
              <w:bottom w:val="single" w:sz="6" w:space="0" w:color="auto"/>
              <w:right w:val="single" w:sz="6" w:space="0" w:color="auto"/>
            </w:tcBorders>
            <w:vAlign w:val="center"/>
          </w:tcPr>
          <w:p w14:paraId="1E285BAE" w14:textId="77777777" w:rsidR="002133E3" w:rsidRDefault="00C22CFA">
            <w:pPr>
              <w:pStyle w:val="afc"/>
              <w:adjustRightInd w:val="0"/>
              <w:jc w:val="center"/>
              <w:textAlignment w:val="baseline"/>
              <w:rPr>
                <w:b w:val="0"/>
                <w:color w:val="000000"/>
                <w:sz w:val="21"/>
                <w:szCs w:val="21"/>
              </w:rPr>
            </w:pPr>
            <w:r>
              <w:rPr>
                <w:b w:val="0"/>
                <w:color w:val="000000"/>
                <w:sz w:val="21"/>
                <w:szCs w:val="21"/>
              </w:rPr>
              <w:t>其中</w:t>
            </w:r>
          </w:p>
        </w:tc>
        <w:tc>
          <w:tcPr>
            <w:tcW w:w="490" w:type="pct"/>
            <w:tcBorders>
              <w:top w:val="single" w:sz="6" w:space="0" w:color="auto"/>
              <w:left w:val="single" w:sz="6" w:space="0" w:color="auto"/>
              <w:bottom w:val="single" w:sz="6" w:space="0" w:color="auto"/>
              <w:right w:val="single" w:sz="6" w:space="0" w:color="auto"/>
            </w:tcBorders>
            <w:vAlign w:val="center"/>
          </w:tcPr>
          <w:p w14:paraId="0D51E161" w14:textId="77777777" w:rsidR="002133E3" w:rsidRDefault="00C22CFA">
            <w:pPr>
              <w:pStyle w:val="afc"/>
              <w:adjustRightInd w:val="0"/>
              <w:jc w:val="center"/>
              <w:textAlignment w:val="baseline"/>
              <w:rPr>
                <w:b w:val="0"/>
                <w:color w:val="000000"/>
                <w:sz w:val="21"/>
                <w:szCs w:val="21"/>
              </w:rPr>
            </w:pPr>
            <w:r>
              <w:rPr>
                <w:b w:val="0"/>
                <w:color w:val="000000"/>
                <w:sz w:val="21"/>
                <w:szCs w:val="21"/>
              </w:rPr>
              <w:t>U12</w:t>
            </w:r>
          </w:p>
        </w:tc>
        <w:tc>
          <w:tcPr>
            <w:tcW w:w="1602" w:type="pct"/>
            <w:tcBorders>
              <w:top w:val="single" w:sz="6" w:space="0" w:color="auto"/>
              <w:left w:val="single" w:sz="6" w:space="0" w:color="auto"/>
              <w:bottom w:val="single" w:sz="6" w:space="0" w:color="auto"/>
              <w:right w:val="single" w:sz="6" w:space="0" w:color="auto"/>
            </w:tcBorders>
            <w:vAlign w:val="center"/>
          </w:tcPr>
          <w:p w14:paraId="193FFE70" w14:textId="77777777" w:rsidR="002133E3" w:rsidRDefault="00C22CFA">
            <w:pPr>
              <w:pStyle w:val="afc"/>
              <w:adjustRightInd w:val="0"/>
              <w:jc w:val="center"/>
              <w:textAlignment w:val="baseline"/>
              <w:rPr>
                <w:b w:val="0"/>
                <w:color w:val="000000"/>
                <w:sz w:val="21"/>
                <w:szCs w:val="21"/>
              </w:rPr>
            </w:pPr>
            <w:r>
              <w:rPr>
                <w:b w:val="0"/>
                <w:color w:val="000000"/>
                <w:sz w:val="21"/>
                <w:szCs w:val="21"/>
              </w:rPr>
              <w:t>供电用地</w:t>
            </w:r>
          </w:p>
        </w:tc>
        <w:tc>
          <w:tcPr>
            <w:tcW w:w="856" w:type="pct"/>
            <w:tcBorders>
              <w:top w:val="single" w:sz="6" w:space="0" w:color="auto"/>
              <w:left w:val="single" w:sz="6" w:space="0" w:color="auto"/>
              <w:bottom w:val="single" w:sz="6" w:space="0" w:color="auto"/>
              <w:right w:val="single" w:sz="6" w:space="0" w:color="auto"/>
            </w:tcBorders>
            <w:vAlign w:val="center"/>
          </w:tcPr>
          <w:p w14:paraId="4710CB01" w14:textId="77777777" w:rsidR="002133E3" w:rsidRDefault="00C22CFA">
            <w:pPr>
              <w:pStyle w:val="afc"/>
              <w:adjustRightInd w:val="0"/>
              <w:jc w:val="center"/>
              <w:textAlignment w:val="baseline"/>
              <w:rPr>
                <w:b w:val="0"/>
                <w:color w:val="000000"/>
                <w:sz w:val="21"/>
                <w:szCs w:val="21"/>
              </w:rPr>
            </w:pPr>
            <w:r>
              <w:rPr>
                <w:b w:val="0"/>
                <w:color w:val="000000"/>
                <w:sz w:val="21"/>
                <w:szCs w:val="21"/>
              </w:rPr>
              <w:t>0.36</w:t>
            </w:r>
          </w:p>
        </w:tc>
        <w:tc>
          <w:tcPr>
            <w:tcW w:w="1212" w:type="pct"/>
            <w:tcBorders>
              <w:top w:val="single" w:sz="6" w:space="0" w:color="auto"/>
              <w:left w:val="single" w:sz="6" w:space="0" w:color="auto"/>
              <w:bottom w:val="single" w:sz="6" w:space="0" w:color="auto"/>
              <w:right w:val="single" w:sz="6" w:space="0" w:color="auto"/>
            </w:tcBorders>
            <w:vAlign w:val="center"/>
          </w:tcPr>
          <w:p w14:paraId="6A48C7AB" w14:textId="77777777" w:rsidR="002133E3" w:rsidRDefault="00C22CFA">
            <w:pPr>
              <w:pStyle w:val="afc"/>
              <w:adjustRightInd w:val="0"/>
              <w:jc w:val="center"/>
              <w:textAlignment w:val="baseline"/>
              <w:rPr>
                <w:b w:val="0"/>
                <w:color w:val="000000"/>
                <w:sz w:val="21"/>
                <w:szCs w:val="21"/>
              </w:rPr>
            </w:pPr>
            <w:r>
              <w:rPr>
                <w:b w:val="0"/>
                <w:color w:val="000000"/>
                <w:sz w:val="21"/>
                <w:szCs w:val="21"/>
              </w:rPr>
              <w:t>0.06</w:t>
            </w:r>
          </w:p>
        </w:tc>
      </w:tr>
      <w:tr w:rsidR="002133E3" w14:paraId="1B7ABD2D"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56FCCE59" w14:textId="77777777" w:rsidR="002133E3" w:rsidRDefault="002133E3">
            <w:pPr>
              <w:widowControl/>
              <w:jc w:val="left"/>
              <w:rPr>
                <w:rFonts w:ascii="Times New Roman" w:eastAsia="宋体" w:hAnsi="Times New Roman" w:cs="Times New Roman"/>
                <w:color w:val="000000"/>
                <w:szCs w:val="21"/>
              </w:rPr>
            </w:pPr>
          </w:p>
        </w:tc>
        <w:tc>
          <w:tcPr>
            <w:tcW w:w="461" w:type="pct"/>
            <w:vMerge/>
            <w:tcBorders>
              <w:top w:val="single" w:sz="6" w:space="0" w:color="auto"/>
              <w:left w:val="single" w:sz="6" w:space="0" w:color="auto"/>
              <w:bottom w:val="single" w:sz="6" w:space="0" w:color="auto"/>
              <w:right w:val="single" w:sz="6" w:space="0" w:color="auto"/>
            </w:tcBorders>
            <w:vAlign w:val="center"/>
          </w:tcPr>
          <w:p w14:paraId="3B84FE87" w14:textId="77777777" w:rsidR="002133E3" w:rsidRDefault="002133E3">
            <w:pPr>
              <w:widowControl/>
              <w:jc w:val="left"/>
              <w:rPr>
                <w:rFonts w:ascii="Times New Roman" w:eastAsia="宋体" w:hAnsi="Times New Roman" w:cs="Times New Roman"/>
                <w:color w:val="000000"/>
                <w:szCs w:val="21"/>
              </w:rPr>
            </w:pPr>
          </w:p>
        </w:tc>
        <w:tc>
          <w:tcPr>
            <w:tcW w:w="490" w:type="pct"/>
            <w:tcBorders>
              <w:top w:val="single" w:sz="6" w:space="0" w:color="auto"/>
              <w:left w:val="single" w:sz="6" w:space="0" w:color="auto"/>
              <w:bottom w:val="single" w:sz="6" w:space="0" w:color="auto"/>
              <w:right w:val="single" w:sz="6" w:space="0" w:color="auto"/>
            </w:tcBorders>
            <w:vAlign w:val="center"/>
          </w:tcPr>
          <w:p w14:paraId="782564D8" w14:textId="77777777" w:rsidR="002133E3" w:rsidRDefault="00C22CFA">
            <w:pPr>
              <w:pStyle w:val="afc"/>
              <w:adjustRightInd w:val="0"/>
              <w:jc w:val="center"/>
              <w:textAlignment w:val="baseline"/>
              <w:rPr>
                <w:b w:val="0"/>
                <w:color w:val="000000"/>
                <w:sz w:val="21"/>
                <w:szCs w:val="21"/>
              </w:rPr>
            </w:pPr>
            <w:r>
              <w:rPr>
                <w:b w:val="0"/>
                <w:color w:val="000000"/>
                <w:sz w:val="21"/>
                <w:szCs w:val="21"/>
              </w:rPr>
              <w:t>U13</w:t>
            </w:r>
          </w:p>
        </w:tc>
        <w:tc>
          <w:tcPr>
            <w:tcW w:w="1602" w:type="pct"/>
            <w:tcBorders>
              <w:top w:val="single" w:sz="6" w:space="0" w:color="auto"/>
              <w:left w:val="single" w:sz="6" w:space="0" w:color="auto"/>
              <w:bottom w:val="single" w:sz="6" w:space="0" w:color="auto"/>
              <w:right w:val="single" w:sz="6" w:space="0" w:color="auto"/>
            </w:tcBorders>
            <w:vAlign w:val="center"/>
          </w:tcPr>
          <w:p w14:paraId="4D9AB093" w14:textId="77777777" w:rsidR="002133E3" w:rsidRDefault="00C22CFA">
            <w:pPr>
              <w:pStyle w:val="afc"/>
              <w:adjustRightInd w:val="0"/>
              <w:jc w:val="center"/>
              <w:textAlignment w:val="baseline"/>
              <w:rPr>
                <w:b w:val="0"/>
                <w:color w:val="000000"/>
                <w:sz w:val="21"/>
                <w:szCs w:val="21"/>
              </w:rPr>
            </w:pPr>
            <w:r>
              <w:rPr>
                <w:b w:val="0"/>
                <w:color w:val="000000"/>
                <w:sz w:val="21"/>
                <w:szCs w:val="21"/>
              </w:rPr>
              <w:t>供燃气用地</w:t>
            </w:r>
          </w:p>
        </w:tc>
        <w:tc>
          <w:tcPr>
            <w:tcW w:w="856" w:type="pct"/>
            <w:tcBorders>
              <w:top w:val="single" w:sz="6" w:space="0" w:color="auto"/>
              <w:left w:val="single" w:sz="6" w:space="0" w:color="auto"/>
              <w:bottom w:val="single" w:sz="6" w:space="0" w:color="auto"/>
              <w:right w:val="single" w:sz="6" w:space="0" w:color="auto"/>
            </w:tcBorders>
            <w:vAlign w:val="center"/>
          </w:tcPr>
          <w:p w14:paraId="4274C5DA" w14:textId="77777777" w:rsidR="002133E3" w:rsidRDefault="00C22CFA">
            <w:pPr>
              <w:pStyle w:val="afc"/>
              <w:adjustRightInd w:val="0"/>
              <w:jc w:val="center"/>
              <w:textAlignment w:val="baseline"/>
              <w:rPr>
                <w:b w:val="0"/>
                <w:color w:val="000000"/>
                <w:sz w:val="21"/>
                <w:szCs w:val="21"/>
              </w:rPr>
            </w:pPr>
            <w:r>
              <w:rPr>
                <w:b w:val="0"/>
                <w:color w:val="000000"/>
                <w:sz w:val="21"/>
                <w:szCs w:val="21"/>
              </w:rPr>
              <w:t>1.27</w:t>
            </w:r>
          </w:p>
        </w:tc>
        <w:tc>
          <w:tcPr>
            <w:tcW w:w="1212" w:type="pct"/>
            <w:tcBorders>
              <w:top w:val="single" w:sz="6" w:space="0" w:color="auto"/>
              <w:left w:val="single" w:sz="6" w:space="0" w:color="auto"/>
              <w:bottom w:val="single" w:sz="6" w:space="0" w:color="auto"/>
              <w:right w:val="single" w:sz="6" w:space="0" w:color="auto"/>
            </w:tcBorders>
            <w:vAlign w:val="center"/>
          </w:tcPr>
          <w:p w14:paraId="14D71CDB" w14:textId="77777777" w:rsidR="002133E3" w:rsidRDefault="00C22CFA">
            <w:pPr>
              <w:pStyle w:val="afc"/>
              <w:adjustRightInd w:val="0"/>
              <w:jc w:val="center"/>
              <w:textAlignment w:val="baseline"/>
              <w:rPr>
                <w:b w:val="0"/>
                <w:color w:val="000000"/>
                <w:sz w:val="21"/>
                <w:szCs w:val="21"/>
              </w:rPr>
            </w:pPr>
            <w:r>
              <w:rPr>
                <w:b w:val="0"/>
                <w:color w:val="000000"/>
                <w:sz w:val="21"/>
                <w:szCs w:val="21"/>
              </w:rPr>
              <w:t>0.22</w:t>
            </w:r>
          </w:p>
        </w:tc>
      </w:tr>
      <w:tr w:rsidR="002133E3" w14:paraId="6D0DE7AF"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4EB822FD" w14:textId="77777777" w:rsidR="002133E3" w:rsidRDefault="002133E3">
            <w:pPr>
              <w:widowControl/>
              <w:jc w:val="left"/>
              <w:rPr>
                <w:rFonts w:ascii="Times New Roman" w:eastAsia="宋体" w:hAnsi="Times New Roman" w:cs="Times New Roman"/>
                <w:color w:val="000000"/>
                <w:szCs w:val="21"/>
              </w:rPr>
            </w:pPr>
          </w:p>
        </w:tc>
        <w:tc>
          <w:tcPr>
            <w:tcW w:w="461" w:type="pct"/>
            <w:vMerge/>
            <w:tcBorders>
              <w:top w:val="single" w:sz="6" w:space="0" w:color="auto"/>
              <w:left w:val="single" w:sz="6" w:space="0" w:color="auto"/>
              <w:bottom w:val="single" w:sz="6" w:space="0" w:color="auto"/>
              <w:right w:val="single" w:sz="6" w:space="0" w:color="auto"/>
            </w:tcBorders>
            <w:vAlign w:val="center"/>
          </w:tcPr>
          <w:p w14:paraId="0923343B" w14:textId="77777777" w:rsidR="002133E3" w:rsidRDefault="002133E3">
            <w:pPr>
              <w:widowControl/>
              <w:jc w:val="left"/>
              <w:rPr>
                <w:rFonts w:ascii="Times New Roman" w:eastAsia="宋体" w:hAnsi="Times New Roman" w:cs="Times New Roman"/>
                <w:color w:val="000000"/>
                <w:szCs w:val="21"/>
              </w:rPr>
            </w:pPr>
          </w:p>
        </w:tc>
        <w:tc>
          <w:tcPr>
            <w:tcW w:w="490" w:type="pct"/>
            <w:tcBorders>
              <w:top w:val="single" w:sz="6" w:space="0" w:color="auto"/>
              <w:left w:val="single" w:sz="6" w:space="0" w:color="auto"/>
              <w:bottom w:val="single" w:sz="6" w:space="0" w:color="auto"/>
              <w:right w:val="single" w:sz="6" w:space="0" w:color="auto"/>
            </w:tcBorders>
            <w:vAlign w:val="center"/>
          </w:tcPr>
          <w:p w14:paraId="269779A0" w14:textId="77777777" w:rsidR="002133E3" w:rsidRDefault="00C22CFA">
            <w:pPr>
              <w:pStyle w:val="afc"/>
              <w:adjustRightInd w:val="0"/>
              <w:jc w:val="center"/>
              <w:textAlignment w:val="baseline"/>
              <w:rPr>
                <w:b w:val="0"/>
                <w:color w:val="000000"/>
                <w:sz w:val="21"/>
                <w:szCs w:val="21"/>
              </w:rPr>
            </w:pPr>
            <w:r>
              <w:rPr>
                <w:b w:val="0"/>
                <w:color w:val="000000"/>
                <w:sz w:val="21"/>
                <w:szCs w:val="21"/>
              </w:rPr>
              <w:t>U14</w:t>
            </w:r>
          </w:p>
        </w:tc>
        <w:tc>
          <w:tcPr>
            <w:tcW w:w="1602" w:type="pct"/>
            <w:tcBorders>
              <w:top w:val="single" w:sz="6" w:space="0" w:color="auto"/>
              <w:left w:val="single" w:sz="6" w:space="0" w:color="auto"/>
              <w:bottom w:val="single" w:sz="6" w:space="0" w:color="auto"/>
              <w:right w:val="single" w:sz="6" w:space="0" w:color="auto"/>
            </w:tcBorders>
            <w:vAlign w:val="center"/>
          </w:tcPr>
          <w:p w14:paraId="1C21BFD3" w14:textId="77777777" w:rsidR="002133E3" w:rsidRDefault="00C22CFA">
            <w:pPr>
              <w:pStyle w:val="afc"/>
              <w:adjustRightInd w:val="0"/>
              <w:jc w:val="center"/>
              <w:textAlignment w:val="baseline"/>
              <w:rPr>
                <w:b w:val="0"/>
                <w:color w:val="000000"/>
                <w:sz w:val="21"/>
                <w:szCs w:val="21"/>
              </w:rPr>
            </w:pPr>
            <w:r>
              <w:rPr>
                <w:b w:val="0"/>
                <w:color w:val="000000"/>
                <w:sz w:val="21"/>
                <w:szCs w:val="21"/>
              </w:rPr>
              <w:t>供热用地</w:t>
            </w:r>
          </w:p>
        </w:tc>
        <w:tc>
          <w:tcPr>
            <w:tcW w:w="856" w:type="pct"/>
            <w:tcBorders>
              <w:top w:val="single" w:sz="6" w:space="0" w:color="auto"/>
              <w:left w:val="single" w:sz="6" w:space="0" w:color="auto"/>
              <w:bottom w:val="single" w:sz="6" w:space="0" w:color="auto"/>
              <w:right w:val="single" w:sz="6" w:space="0" w:color="auto"/>
            </w:tcBorders>
            <w:vAlign w:val="center"/>
          </w:tcPr>
          <w:p w14:paraId="55C8CD2E" w14:textId="77777777" w:rsidR="002133E3" w:rsidRDefault="00C22CFA">
            <w:pPr>
              <w:pStyle w:val="afc"/>
              <w:adjustRightInd w:val="0"/>
              <w:jc w:val="center"/>
              <w:textAlignment w:val="baseline"/>
              <w:rPr>
                <w:b w:val="0"/>
                <w:color w:val="000000"/>
                <w:sz w:val="21"/>
                <w:szCs w:val="21"/>
              </w:rPr>
            </w:pPr>
            <w:r>
              <w:rPr>
                <w:b w:val="0"/>
                <w:color w:val="000000"/>
                <w:sz w:val="21"/>
                <w:szCs w:val="21"/>
              </w:rPr>
              <w:t>13.47</w:t>
            </w:r>
          </w:p>
        </w:tc>
        <w:tc>
          <w:tcPr>
            <w:tcW w:w="1212" w:type="pct"/>
            <w:tcBorders>
              <w:top w:val="single" w:sz="6" w:space="0" w:color="auto"/>
              <w:left w:val="single" w:sz="6" w:space="0" w:color="auto"/>
              <w:bottom w:val="single" w:sz="6" w:space="0" w:color="auto"/>
              <w:right w:val="single" w:sz="6" w:space="0" w:color="auto"/>
            </w:tcBorders>
            <w:vAlign w:val="center"/>
          </w:tcPr>
          <w:p w14:paraId="13743B26" w14:textId="77777777" w:rsidR="002133E3" w:rsidRDefault="00C22CFA">
            <w:pPr>
              <w:pStyle w:val="afc"/>
              <w:adjustRightInd w:val="0"/>
              <w:jc w:val="center"/>
              <w:textAlignment w:val="baseline"/>
              <w:rPr>
                <w:b w:val="0"/>
                <w:color w:val="000000"/>
                <w:sz w:val="21"/>
                <w:szCs w:val="21"/>
              </w:rPr>
            </w:pPr>
            <w:r>
              <w:rPr>
                <w:b w:val="0"/>
                <w:color w:val="000000"/>
                <w:sz w:val="21"/>
                <w:szCs w:val="21"/>
              </w:rPr>
              <w:t>2.34</w:t>
            </w:r>
          </w:p>
        </w:tc>
      </w:tr>
      <w:tr w:rsidR="002133E3" w14:paraId="641D6F31"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497E1E55" w14:textId="77777777" w:rsidR="002133E3" w:rsidRDefault="002133E3">
            <w:pPr>
              <w:widowControl/>
              <w:jc w:val="left"/>
              <w:rPr>
                <w:rFonts w:ascii="Times New Roman" w:eastAsia="宋体" w:hAnsi="Times New Roman" w:cs="Times New Roman"/>
                <w:color w:val="000000"/>
                <w:szCs w:val="21"/>
              </w:rPr>
            </w:pPr>
          </w:p>
        </w:tc>
        <w:tc>
          <w:tcPr>
            <w:tcW w:w="461" w:type="pct"/>
            <w:vMerge/>
            <w:tcBorders>
              <w:top w:val="single" w:sz="6" w:space="0" w:color="auto"/>
              <w:left w:val="single" w:sz="6" w:space="0" w:color="auto"/>
              <w:bottom w:val="single" w:sz="6" w:space="0" w:color="auto"/>
              <w:right w:val="single" w:sz="6" w:space="0" w:color="auto"/>
            </w:tcBorders>
            <w:vAlign w:val="center"/>
          </w:tcPr>
          <w:p w14:paraId="065E832A" w14:textId="77777777" w:rsidR="002133E3" w:rsidRDefault="002133E3">
            <w:pPr>
              <w:widowControl/>
              <w:jc w:val="left"/>
              <w:rPr>
                <w:rFonts w:ascii="Times New Roman" w:eastAsia="宋体" w:hAnsi="Times New Roman" w:cs="Times New Roman"/>
                <w:color w:val="000000"/>
                <w:szCs w:val="21"/>
              </w:rPr>
            </w:pPr>
          </w:p>
        </w:tc>
        <w:tc>
          <w:tcPr>
            <w:tcW w:w="490" w:type="pct"/>
            <w:tcBorders>
              <w:top w:val="single" w:sz="6" w:space="0" w:color="auto"/>
              <w:left w:val="single" w:sz="6" w:space="0" w:color="auto"/>
              <w:bottom w:val="single" w:sz="6" w:space="0" w:color="auto"/>
              <w:right w:val="single" w:sz="6" w:space="0" w:color="auto"/>
            </w:tcBorders>
            <w:vAlign w:val="center"/>
          </w:tcPr>
          <w:p w14:paraId="72DAA564" w14:textId="77777777" w:rsidR="002133E3" w:rsidRDefault="00C22CFA">
            <w:pPr>
              <w:pStyle w:val="afc"/>
              <w:adjustRightInd w:val="0"/>
              <w:jc w:val="center"/>
              <w:textAlignment w:val="baseline"/>
              <w:rPr>
                <w:b w:val="0"/>
                <w:color w:val="000000"/>
                <w:sz w:val="21"/>
                <w:szCs w:val="21"/>
              </w:rPr>
            </w:pPr>
            <w:r>
              <w:rPr>
                <w:b w:val="0"/>
                <w:color w:val="000000"/>
                <w:sz w:val="21"/>
                <w:szCs w:val="21"/>
              </w:rPr>
              <w:t>U21</w:t>
            </w:r>
          </w:p>
        </w:tc>
        <w:tc>
          <w:tcPr>
            <w:tcW w:w="1602" w:type="pct"/>
            <w:tcBorders>
              <w:top w:val="single" w:sz="6" w:space="0" w:color="auto"/>
              <w:left w:val="single" w:sz="6" w:space="0" w:color="auto"/>
              <w:bottom w:val="single" w:sz="6" w:space="0" w:color="auto"/>
              <w:right w:val="single" w:sz="6" w:space="0" w:color="auto"/>
            </w:tcBorders>
            <w:vAlign w:val="center"/>
          </w:tcPr>
          <w:p w14:paraId="4907E3F0" w14:textId="77777777" w:rsidR="002133E3" w:rsidRDefault="00C22CFA">
            <w:pPr>
              <w:pStyle w:val="afc"/>
              <w:adjustRightInd w:val="0"/>
              <w:jc w:val="center"/>
              <w:textAlignment w:val="baseline"/>
              <w:rPr>
                <w:b w:val="0"/>
                <w:color w:val="000000"/>
                <w:sz w:val="21"/>
                <w:szCs w:val="21"/>
              </w:rPr>
            </w:pPr>
            <w:r>
              <w:rPr>
                <w:b w:val="0"/>
                <w:color w:val="000000"/>
                <w:sz w:val="21"/>
                <w:szCs w:val="21"/>
              </w:rPr>
              <w:t>排水设施用地</w:t>
            </w:r>
          </w:p>
        </w:tc>
        <w:tc>
          <w:tcPr>
            <w:tcW w:w="856" w:type="pct"/>
            <w:tcBorders>
              <w:top w:val="single" w:sz="6" w:space="0" w:color="auto"/>
              <w:left w:val="single" w:sz="6" w:space="0" w:color="auto"/>
              <w:bottom w:val="single" w:sz="6" w:space="0" w:color="auto"/>
              <w:right w:val="single" w:sz="6" w:space="0" w:color="auto"/>
            </w:tcBorders>
            <w:vAlign w:val="center"/>
          </w:tcPr>
          <w:p w14:paraId="4EC05CB5" w14:textId="77777777" w:rsidR="002133E3" w:rsidRDefault="00C22CFA">
            <w:pPr>
              <w:pStyle w:val="afc"/>
              <w:adjustRightInd w:val="0"/>
              <w:jc w:val="center"/>
              <w:textAlignment w:val="baseline"/>
              <w:rPr>
                <w:b w:val="0"/>
                <w:color w:val="000000"/>
                <w:sz w:val="21"/>
                <w:szCs w:val="21"/>
              </w:rPr>
            </w:pPr>
            <w:r>
              <w:rPr>
                <w:b w:val="0"/>
                <w:color w:val="000000"/>
                <w:sz w:val="21"/>
                <w:szCs w:val="21"/>
              </w:rPr>
              <w:t>26.22</w:t>
            </w:r>
          </w:p>
        </w:tc>
        <w:tc>
          <w:tcPr>
            <w:tcW w:w="1212" w:type="pct"/>
            <w:tcBorders>
              <w:top w:val="single" w:sz="6" w:space="0" w:color="auto"/>
              <w:left w:val="single" w:sz="6" w:space="0" w:color="auto"/>
              <w:bottom w:val="single" w:sz="6" w:space="0" w:color="auto"/>
              <w:right w:val="single" w:sz="6" w:space="0" w:color="auto"/>
            </w:tcBorders>
            <w:vAlign w:val="center"/>
          </w:tcPr>
          <w:p w14:paraId="44B16285" w14:textId="77777777" w:rsidR="002133E3" w:rsidRDefault="00C22CFA">
            <w:pPr>
              <w:pStyle w:val="afc"/>
              <w:adjustRightInd w:val="0"/>
              <w:jc w:val="center"/>
              <w:textAlignment w:val="baseline"/>
              <w:rPr>
                <w:b w:val="0"/>
                <w:color w:val="000000"/>
                <w:sz w:val="21"/>
                <w:szCs w:val="21"/>
              </w:rPr>
            </w:pPr>
            <w:r>
              <w:rPr>
                <w:b w:val="0"/>
                <w:color w:val="000000"/>
                <w:sz w:val="21"/>
                <w:szCs w:val="21"/>
              </w:rPr>
              <w:t>4.56</w:t>
            </w:r>
          </w:p>
        </w:tc>
      </w:tr>
      <w:tr w:rsidR="002133E3" w14:paraId="224B1B4F"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583F93B3" w14:textId="77777777" w:rsidR="002133E3" w:rsidRDefault="002133E3">
            <w:pPr>
              <w:widowControl/>
              <w:jc w:val="left"/>
              <w:rPr>
                <w:rFonts w:ascii="Times New Roman" w:eastAsia="宋体" w:hAnsi="Times New Roman" w:cs="Times New Roman"/>
                <w:color w:val="000000"/>
                <w:szCs w:val="21"/>
              </w:rPr>
            </w:pPr>
          </w:p>
        </w:tc>
        <w:tc>
          <w:tcPr>
            <w:tcW w:w="461" w:type="pct"/>
            <w:vMerge/>
            <w:tcBorders>
              <w:top w:val="single" w:sz="6" w:space="0" w:color="auto"/>
              <w:left w:val="single" w:sz="6" w:space="0" w:color="auto"/>
              <w:bottom w:val="single" w:sz="6" w:space="0" w:color="auto"/>
              <w:right w:val="single" w:sz="6" w:space="0" w:color="auto"/>
            </w:tcBorders>
            <w:vAlign w:val="center"/>
          </w:tcPr>
          <w:p w14:paraId="1A121F42" w14:textId="77777777" w:rsidR="002133E3" w:rsidRDefault="002133E3">
            <w:pPr>
              <w:widowControl/>
              <w:jc w:val="left"/>
              <w:rPr>
                <w:rFonts w:ascii="Times New Roman" w:eastAsia="宋体" w:hAnsi="Times New Roman" w:cs="Times New Roman"/>
                <w:color w:val="000000"/>
                <w:szCs w:val="21"/>
              </w:rPr>
            </w:pPr>
          </w:p>
        </w:tc>
        <w:tc>
          <w:tcPr>
            <w:tcW w:w="490" w:type="pct"/>
            <w:tcBorders>
              <w:top w:val="single" w:sz="6" w:space="0" w:color="auto"/>
              <w:left w:val="single" w:sz="6" w:space="0" w:color="auto"/>
              <w:bottom w:val="single" w:sz="6" w:space="0" w:color="auto"/>
              <w:right w:val="single" w:sz="6" w:space="0" w:color="auto"/>
            </w:tcBorders>
            <w:vAlign w:val="center"/>
          </w:tcPr>
          <w:p w14:paraId="4445E9AA" w14:textId="77777777" w:rsidR="002133E3" w:rsidRDefault="00C22CFA">
            <w:pPr>
              <w:pStyle w:val="afc"/>
              <w:adjustRightInd w:val="0"/>
              <w:jc w:val="center"/>
              <w:textAlignment w:val="baseline"/>
              <w:rPr>
                <w:b w:val="0"/>
                <w:color w:val="000000"/>
                <w:sz w:val="21"/>
                <w:szCs w:val="21"/>
              </w:rPr>
            </w:pPr>
            <w:r>
              <w:rPr>
                <w:b w:val="0"/>
                <w:color w:val="000000"/>
                <w:sz w:val="21"/>
                <w:szCs w:val="21"/>
              </w:rPr>
              <w:t>U31</w:t>
            </w:r>
          </w:p>
        </w:tc>
        <w:tc>
          <w:tcPr>
            <w:tcW w:w="1602" w:type="pct"/>
            <w:tcBorders>
              <w:top w:val="single" w:sz="6" w:space="0" w:color="auto"/>
              <w:left w:val="single" w:sz="6" w:space="0" w:color="auto"/>
              <w:bottom w:val="single" w:sz="6" w:space="0" w:color="auto"/>
              <w:right w:val="single" w:sz="6" w:space="0" w:color="auto"/>
            </w:tcBorders>
            <w:vAlign w:val="center"/>
          </w:tcPr>
          <w:p w14:paraId="4921EB8F" w14:textId="77777777" w:rsidR="002133E3" w:rsidRDefault="00C22CFA">
            <w:pPr>
              <w:pStyle w:val="afc"/>
              <w:adjustRightInd w:val="0"/>
              <w:jc w:val="center"/>
              <w:textAlignment w:val="baseline"/>
              <w:rPr>
                <w:b w:val="0"/>
                <w:color w:val="000000"/>
                <w:sz w:val="21"/>
                <w:szCs w:val="21"/>
              </w:rPr>
            </w:pPr>
            <w:r>
              <w:rPr>
                <w:b w:val="0"/>
                <w:color w:val="000000"/>
                <w:sz w:val="21"/>
                <w:szCs w:val="21"/>
              </w:rPr>
              <w:t>消防设施用地</w:t>
            </w:r>
          </w:p>
        </w:tc>
        <w:tc>
          <w:tcPr>
            <w:tcW w:w="856" w:type="pct"/>
            <w:tcBorders>
              <w:top w:val="single" w:sz="6" w:space="0" w:color="auto"/>
              <w:left w:val="single" w:sz="6" w:space="0" w:color="auto"/>
              <w:bottom w:val="single" w:sz="6" w:space="0" w:color="auto"/>
              <w:right w:val="single" w:sz="6" w:space="0" w:color="auto"/>
            </w:tcBorders>
            <w:vAlign w:val="center"/>
          </w:tcPr>
          <w:p w14:paraId="3556ADC2" w14:textId="77777777" w:rsidR="002133E3" w:rsidRDefault="00C22CFA">
            <w:pPr>
              <w:pStyle w:val="afc"/>
              <w:adjustRightInd w:val="0"/>
              <w:jc w:val="center"/>
              <w:textAlignment w:val="baseline"/>
              <w:rPr>
                <w:b w:val="0"/>
                <w:color w:val="000000"/>
                <w:sz w:val="21"/>
                <w:szCs w:val="21"/>
              </w:rPr>
            </w:pPr>
            <w:r>
              <w:rPr>
                <w:b w:val="0"/>
                <w:color w:val="000000"/>
                <w:sz w:val="21"/>
                <w:szCs w:val="21"/>
              </w:rPr>
              <w:t>0.72</w:t>
            </w:r>
          </w:p>
        </w:tc>
        <w:tc>
          <w:tcPr>
            <w:tcW w:w="1212" w:type="pct"/>
            <w:tcBorders>
              <w:top w:val="single" w:sz="6" w:space="0" w:color="auto"/>
              <w:left w:val="single" w:sz="6" w:space="0" w:color="auto"/>
              <w:bottom w:val="single" w:sz="6" w:space="0" w:color="auto"/>
              <w:right w:val="single" w:sz="6" w:space="0" w:color="auto"/>
            </w:tcBorders>
            <w:vAlign w:val="center"/>
          </w:tcPr>
          <w:p w14:paraId="5954B907" w14:textId="77777777" w:rsidR="002133E3" w:rsidRDefault="00C22CFA">
            <w:pPr>
              <w:pStyle w:val="afc"/>
              <w:adjustRightInd w:val="0"/>
              <w:jc w:val="center"/>
              <w:textAlignment w:val="baseline"/>
              <w:rPr>
                <w:b w:val="0"/>
                <w:color w:val="000000"/>
                <w:sz w:val="21"/>
                <w:szCs w:val="21"/>
              </w:rPr>
            </w:pPr>
            <w:r>
              <w:rPr>
                <w:b w:val="0"/>
                <w:color w:val="000000"/>
                <w:sz w:val="21"/>
                <w:szCs w:val="21"/>
              </w:rPr>
              <w:t>0.13</w:t>
            </w:r>
          </w:p>
        </w:tc>
      </w:tr>
      <w:tr w:rsidR="002133E3" w14:paraId="623D94A9" w14:textId="77777777">
        <w:trPr>
          <w:cantSplit/>
          <w:trHeight w:val="284"/>
        </w:trPr>
        <w:tc>
          <w:tcPr>
            <w:tcW w:w="379" w:type="pct"/>
            <w:vMerge w:val="restart"/>
            <w:tcBorders>
              <w:top w:val="single" w:sz="6" w:space="0" w:color="auto"/>
              <w:left w:val="single" w:sz="6" w:space="0" w:color="auto"/>
              <w:bottom w:val="single" w:sz="6" w:space="0" w:color="auto"/>
              <w:right w:val="single" w:sz="6" w:space="0" w:color="auto"/>
            </w:tcBorders>
            <w:vAlign w:val="center"/>
          </w:tcPr>
          <w:p w14:paraId="36637067" w14:textId="77777777" w:rsidR="002133E3" w:rsidRDefault="00C22CFA">
            <w:pPr>
              <w:pStyle w:val="afc"/>
              <w:adjustRightInd w:val="0"/>
              <w:jc w:val="center"/>
              <w:textAlignment w:val="baseline"/>
              <w:rPr>
                <w:b w:val="0"/>
                <w:color w:val="000000"/>
                <w:sz w:val="21"/>
                <w:szCs w:val="21"/>
              </w:rPr>
            </w:pPr>
            <w:r>
              <w:rPr>
                <w:b w:val="0"/>
                <w:color w:val="000000"/>
                <w:sz w:val="21"/>
                <w:szCs w:val="21"/>
              </w:rPr>
              <w:t>5</w:t>
            </w:r>
          </w:p>
        </w:tc>
        <w:tc>
          <w:tcPr>
            <w:tcW w:w="951" w:type="pct"/>
            <w:gridSpan w:val="2"/>
            <w:tcBorders>
              <w:top w:val="single" w:sz="6" w:space="0" w:color="auto"/>
              <w:left w:val="single" w:sz="6" w:space="0" w:color="auto"/>
              <w:bottom w:val="single" w:sz="6" w:space="0" w:color="auto"/>
              <w:right w:val="single" w:sz="6" w:space="0" w:color="auto"/>
            </w:tcBorders>
            <w:vAlign w:val="center"/>
          </w:tcPr>
          <w:p w14:paraId="1FDBFCEE" w14:textId="77777777" w:rsidR="002133E3" w:rsidRDefault="00C22CFA">
            <w:pPr>
              <w:pStyle w:val="afc"/>
              <w:adjustRightInd w:val="0"/>
              <w:jc w:val="center"/>
              <w:textAlignment w:val="baseline"/>
              <w:rPr>
                <w:color w:val="000000"/>
                <w:sz w:val="21"/>
                <w:szCs w:val="21"/>
              </w:rPr>
            </w:pPr>
            <w:r>
              <w:rPr>
                <w:color w:val="000000"/>
                <w:sz w:val="21"/>
                <w:szCs w:val="21"/>
              </w:rPr>
              <w:t>G</w:t>
            </w:r>
          </w:p>
        </w:tc>
        <w:tc>
          <w:tcPr>
            <w:tcW w:w="1602" w:type="pct"/>
            <w:tcBorders>
              <w:top w:val="single" w:sz="6" w:space="0" w:color="auto"/>
              <w:left w:val="single" w:sz="6" w:space="0" w:color="auto"/>
              <w:bottom w:val="single" w:sz="6" w:space="0" w:color="auto"/>
              <w:right w:val="single" w:sz="6" w:space="0" w:color="auto"/>
            </w:tcBorders>
            <w:vAlign w:val="center"/>
          </w:tcPr>
          <w:p w14:paraId="5583044F" w14:textId="77777777" w:rsidR="002133E3" w:rsidRDefault="00C22CFA">
            <w:pPr>
              <w:pStyle w:val="afc"/>
              <w:adjustRightInd w:val="0"/>
              <w:jc w:val="center"/>
              <w:textAlignment w:val="baseline"/>
              <w:rPr>
                <w:color w:val="000000"/>
                <w:sz w:val="21"/>
                <w:szCs w:val="21"/>
              </w:rPr>
            </w:pPr>
            <w:r>
              <w:rPr>
                <w:color w:val="000000"/>
                <w:sz w:val="21"/>
                <w:szCs w:val="21"/>
              </w:rPr>
              <w:t>绿地</w:t>
            </w:r>
          </w:p>
        </w:tc>
        <w:tc>
          <w:tcPr>
            <w:tcW w:w="856" w:type="pct"/>
            <w:tcBorders>
              <w:top w:val="single" w:sz="6" w:space="0" w:color="auto"/>
              <w:left w:val="single" w:sz="6" w:space="0" w:color="auto"/>
              <w:bottom w:val="single" w:sz="6" w:space="0" w:color="auto"/>
              <w:right w:val="single" w:sz="6" w:space="0" w:color="auto"/>
            </w:tcBorders>
            <w:vAlign w:val="center"/>
          </w:tcPr>
          <w:p w14:paraId="1E494057" w14:textId="77777777" w:rsidR="002133E3" w:rsidRDefault="00C22CFA">
            <w:pPr>
              <w:pStyle w:val="afc"/>
              <w:adjustRightInd w:val="0"/>
              <w:jc w:val="center"/>
              <w:textAlignment w:val="baseline"/>
              <w:rPr>
                <w:color w:val="000000"/>
                <w:sz w:val="21"/>
                <w:szCs w:val="21"/>
              </w:rPr>
            </w:pPr>
            <w:r>
              <w:rPr>
                <w:color w:val="000000"/>
                <w:sz w:val="21"/>
                <w:szCs w:val="21"/>
              </w:rPr>
              <w:t>48.94</w:t>
            </w:r>
          </w:p>
        </w:tc>
        <w:tc>
          <w:tcPr>
            <w:tcW w:w="1212" w:type="pct"/>
            <w:tcBorders>
              <w:top w:val="single" w:sz="6" w:space="0" w:color="auto"/>
              <w:left w:val="single" w:sz="6" w:space="0" w:color="auto"/>
              <w:bottom w:val="single" w:sz="6" w:space="0" w:color="auto"/>
              <w:right w:val="single" w:sz="6" w:space="0" w:color="auto"/>
            </w:tcBorders>
            <w:vAlign w:val="center"/>
          </w:tcPr>
          <w:p w14:paraId="7B3603D2" w14:textId="77777777" w:rsidR="002133E3" w:rsidRDefault="00C22CFA">
            <w:pPr>
              <w:pStyle w:val="afc"/>
              <w:adjustRightInd w:val="0"/>
              <w:jc w:val="center"/>
              <w:textAlignment w:val="baseline"/>
              <w:rPr>
                <w:color w:val="000000"/>
                <w:sz w:val="21"/>
                <w:szCs w:val="21"/>
              </w:rPr>
            </w:pPr>
            <w:r>
              <w:rPr>
                <w:color w:val="000000"/>
                <w:sz w:val="21"/>
                <w:szCs w:val="21"/>
              </w:rPr>
              <w:t>8.51</w:t>
            </w:r>
          </w:p>
        </w:tc>
      </w:tr>
      <w:tr w:rsidR="002133E3" w14:paraId="1DC01F2D"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6F7CFD85" w14:textId="77777777" w:rsidR="002133E3" w:rsidRDefault="002133E3">
            <w:pPr>
              <w:widowControl/>
              <w:jc w:val="left"/>
              <w:rPr>
                <w:rFonts w:ascii="Times New Roman" w:eastAsia="宋体" w:hAnsi="Times New Roman" w:cs="Times New Roman"/>
                <w:color w:val="000000"/>
                <w:szCs w:val="21"/>
              </w:rPr>
            </w:pPr>
          </w:p>
        </w:tc>
        <w:tc>
          <w:tcPr>
            <w:tcW w:w="461" w:type="pct"/>
            <w:vMerge w:val="restart"/>
            <w:tcBorders>
              <w:top w:val="single" w:sz="6" w:space="0" w:color="auto"/>
              <w:left w:val="single" w:sz="6" w:space="0" w:color="auto"/>
              <w:bottom w:val="single" w:sz="6" w:space="0" w:color="auto"/>
              <w:right w:val="single" w:sz="6" w:space="0" w:color="auto"/>
            </w:tcBorders>
            <w:vAlign w:val="center"/>
          </w:tcPr>
          <w:p w14:paraId="2916C743" w14:textId="77777777" w:rsidR="002133E3" w:rsidRDefault="00C22CFA">
            <w:pPr>
              <w:pStyle w:val="afc"/>
              <w:adjustRightInd w:val="0"/>
              <w:jc w:val="center"/>
              <w:textAlignment w:val="baseline"/>
              <w:rPr>
                <w:b w:val="0"/>
                <w:color w:val="000000"/>
                <w:sz w:val="21"/>
                <w:szCs w:val="21"/>
              </w:rPr>
            </w:pPr>
            <w:r>
              <w:rPr>
                <w:b w:val="0"/>
                <w:color w:val="000000"/>
                <w:sz w:val="21"/>
                <w:szCs w:val="21"/>
              </w:rPr>
              <w:t>其中</w:t>
            </w:r>
          </w:p>
        </w:tc>
        <w:tc>
          <w:tcPr>
            <w:tcW w:w="490" w:type="pct"/>
            <w:tcBorders>
              <w:top w:val="single" w:sz="6" w:space="0" w:color="auto"/>
              <w:left w:val="single" w:sz="6" w:space="0" w:color="auto"/>
              <w:bottom w:val="single" w:sz="6" w:space="0" w:color="auto"/>
              <w:right w:val="single" w:sz="6" w:space="0" w:color="auto"/>
            </w:tcBorders>
            <w:vAlign w:val="center"/>
          </w:tcPr>
          <w:p w14:paraId="69E71733" w14:textId="77777777" w:rsidR="002133E3" w:rsidRDefault="00C22CFA">
            <w:pPr>
              <w:pStyle w:val="afc"/>
              <w:adjustRightInd w:val="0"/>
              <w:jc w:val="center"/>
              <w:textAlignment w:val="baseline"/>
              <w:rPr>
                <w:b w:val="0"/>
                <w:color w:val="000000"/>
                <w:sz w:val="21"/>
                <w:szCs w:val="21"/>
              </w:rPr>
            </w:pPr>
            <w:r>
              <w:rPr>
                <w:b w:val="0"/>
                <w:color w:val="000000"/>
                <w:sz w:val="21"/>
                <w:szCs w:val="21"/>
              </w:rPr>
              <w:t>G1</w:t>
            </w:r>
          </w:p>
        </w:tc>
        <w:tc>
          <w:tcPr>
            <w:tcW w:w="1602" w:type="pct"/>
            <w:tcBorders>
              <w:top w:val="single" w:sz="6" w:space="0" w:color="auto"/>
              <w:left w:val="single" w:sz="6" w:space="0" w:color="auto"/>
              <w:bottom w:val="single" w:sz="6" w:space="0" w:color="auto"/>
              <w:right w:val="single" w:sz="6" w:space="0" w:color="auto"/>
            </w:tcBorders>
            <w:vAlign w:val="center"/>
          </w:tcPr>
          <w:p w14:paraId="6171F2C4" w14:textId="77777777" w:rsidR="002133E3" w:rsidRDefault="00C22CFA">
            <w:pPr>
              <w:pStyle w:val="afc"/>
              <w:adjustRightInd w:val="0"/>
              <w:jc w:val="center"/>
              <w:textAlignment w:val="baseline"/>
              <w:rPr>
                <w:b w:val="0"/>
                <w:color w:val="000000"/>
                <w:sz w:val="21"/>
                <w:szCs w:val="21"/>
              </w:rPr>
            </w:pPr>
            <w:r>
              <w:rPr>
                <w:b w:val="0"/>
                <w:color w:val="000000"/>
                <w:sz w:val="21"/>
                <w:szCs w:val="21"/>
              </w:rPr>
              <w:t>公园绿地</w:t>
            </w:r>
          </w:p>
        </w:tc>
        <w:tc>
          <w:tcPr>
            <w:tcW w:w="856" w:type="pct"/>
            <w:tcBorders>
              <w:top w:val="single" w:sz="6" w:space="0" w:color="auto"/>
              <w:left w:val="single" w:sz="6" w:space="0" w:color="auto"/>
              <w:bottom w:val="single" w:sz="6" w:space="0" w:color="auto"/>
              <w:right w:val="single" w:sz="6" w:space="0" w:color="auto"/>
            </w:tcBorders>
            <w:vAlign w:val="center"/>
          </w:tcPr>
          <w:p w14:paraId="6B7B30FA" w14:textId="77777777" w:rsidR="002133E3" w:rsidRDefault="00C22CFA">
            <w:pPr>
              <w:pStyle w:val="afc"/>
              <w:adjustRightInd w:val="0"/>
              <w:jc w:val="center"/>
              <w:textAlignment w:val="baseline"/>
              <w:rPr>
                <w:b w:val="0"/>
                <w:color w:val="000000"/>
                <w:sz w:val="21"/>
                <w:szCs w:val="21"/>
              </w:rPr>
            </w:pPr>
            <w:r>
              <w:rPr>
                <w:b w:val="0"/>
                <w:color w:val="000000"/>
                <w:sz w:val="21"/>
                <w:szCs w:val="21"/>
              </w:rPr>
              <w:t>2.08</w:t>
            </w:r>
          </w:p>
        </w:tc>
        <w:tc>
          <w:tcPr>
            <w:tcW w:w="1212" w:type="pct"/>
            <w:tcBorders>
              <w:top w:val="single" w:sz="6" w:space="0" w:color="auto"/>
              <w:left w:val="single" w:sz="6" w:space="0" w:color="auto"/>
              <w:bottom w:val="single" w:sz="6" w:space="0" w:color="auto"/>
              <w:right w:val="single" w:sz="6" w:space="0" w:color="auto"/>
            </w:tcBorders>
            <w:vAlign w:val="center"/>
          </w:tcPr>
          <w:p w14:paraId="7012D69C" w14:textId="77777777" w:rsidR="002133E3" w:rsidRDefault="00C22CFA">
            <w:pPr>
              <w:pStyle w:val="afc"/>
              <w:adjustRightInd w:val="0"/>
              <w:jc w:val="center"/>
              <w:textAlignment w:val="baseline"/>
              <w:rPr>
                <w:b w:val="0"/>
                <w:color w:val="000000"/>
                <w:sz w:val="21"/>
                <w:szCs w:val="21"/>
              </w:rPr>
            </w:pPr>
            <w:r>
              <w:rPr>
                <w:b w:val="0"/>
                <w:color w:val="000000"/>
                <w:sz w:val="21"/>
                <w:szCs w:val="21"/>
              </w:rPr>
              <w:t>0.36</w:t>
            </w:r>
          </w:p>
        </w:tc>
      </w:tr>
      <w:tr w:rsidR="002133E3" w14:paraId="755BCC25"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6E78C89A" w14:textId="77777777" w:rsidR="002133E3" w:rsidRDefault="002133E3">
            <w:pPr>
              <w:widowControl/>
              <w:jc w:val="left"/>
              <w:rPr>
                <w:rFonts w:ascii="Times New Roman" w:eastAsia="宋体" w:hAnsi="Times New Roman" w:cs="Times New Roman"/>
                <w:color w:val="000000"/>
                <w:szCs w:val="21"/>
              </w:rPr>
            </w:pPr>
          </w:p>
        </w:tc>
        <w:tc>
          <w:tcPr>
            <w:tcW w:w="461" w:type="pct"/>
            <w:vMerge/>
            <w:tcBorders>
              <w:top w:val="single" w:sz="6" w:space="0" w:color="auto"/>
              <w:left w:val="single" w:sz="6" w:space="0" w:color="auto"/>
              <w:bottom w:val="single" w:sz="6" w:space="0" w:color="auto"/>
              <w:right w:val="single" w:sz="6" w:space="0" w:color="auto"/>
            </w:tcBorders>
            <w:vAlign w:val="center"/>
          </w:tcPr>
          <w:p w14:paraId="2AB4B22F" w14:textId="77777777" w:rsidR="002133E3" w:rsidRDefault="002133E3">
            <w:pPr>
              <w:widowControl/>
              <w:jc w:val="left"/>
              <w:rPr>
                <w:rFonts w:ascii="Times New Roman" w:eastAsia="宋体" w:hAnsi="Times New Roman" w:cs="Times New Roman"/>
                <w:color w:val="000000"/>
                <w:szCs w:val="21"/>
              </w:rPr>
            </w:pPr>
          </w:p>
        </w:tc>
        <w:tc>
          <w:tcPr>
            <w:tcW w:w="490" w:type="pct"/>
            <w:tcBorders>
              <w:top w:val="single" w:sz="6" w:space="0" w:color="auto"/>
              <w:left w:val="single" w:sz="6" w:space="0" w:color="auto"/>
              <w:bottom w:val="single" w:sz="6" w:space="0" w:color="auto"/>
              <w:right w:val="single" w:sz="6" w:space="0" w:color="auto"/>
            </w:tcBorders>
            <w:vAlign w:val="center"/>
          </w:tcPr>
          <w:p w14:paraId="712480D3" w14:textId="77777777" w:rsidR="002133E3" w:rsidRDefault="00C22CFA">
            <w:pPr>
              <w:pStyle w:val="afc"/>
              <w:adjustRightInd w:val="0"/>
              <w:jc w:val="center"/>
              <w:textAlignment w:val="baseline"/>
              <w:rPr>
                <w:b w:val="0"/>
                <w:color w:val="000000"/>
                <w:sz w:val="21"/>
                <w:szCs w:val="21"/>
              </w:rPr>
            </w:pPr>
            <w:r>
              <w:rPr>
                <w:b w:val="0"/>
                <w:color w:val="000000"/>
                <w:sz w:val="21"/>
                <w:szCs w:val="21"/>
              </w:rPr>
              <w:t>G2</w:t>
            </w:r>
          </w:p>
        </w:tc>
        <w:tc>
          <w:tcPr>
            <w:tcW w:w="1602" w:type="pct"/>
            <w:tcBorders>
              <w:top w:val="single" w:sz="6" w:space="0" w:color="auto"/>
              <w:left w:val="single" w:sz="6" w:space="0" w:color="auto"/>
              <w:bottom w:val="single" w:sz="6" w:space="0" w:color="auto"/>
              <w:right w:val="single" w:sz="6" w:space="0" w:color="auto"/>
            </w:tcBorders>
            <w:vAlign w:val="center"/>
          </w:tcPr>
          <w:p w14:paraId="206F10FF" w14:textId="77777777" w:rsidR="002133E3" w:rsidRDefault="00C22CFA">
            <w:pPr>
              <w:pStyle w:val="afc"/>
              <w:adjustRightInd w:val="0"/>
              <w:jc w:val="center"/>
              <w:textAlignment w:val="baseline"/>
              <w:rPr>
                <w:b w:val="0"/>
                <w:color w:val="000000"/>
                <w:sz w:val="21"/>
                <w:szCs w:val="21"/>
              </w:rPr>
            </w:pPr>
            <w:r>
              <w:rPr>
                <w:b w:val="0"/>
                <w:color w:val="000000"/>
                <w:sz w:val="21"/>
                <w:szCs w:val="21"/>
              </w:rPr>
              <w:t>防护绿地</w:t>
            </w:r>
          </w:p>
        </w:tc>
        <w:tc>
          <w:tcPr>
            <w:tcW w:w="856" w:type="pct"/>
            <w:tcBorders>
              <w:top w:val="single" w:sz="6" w:space="0" w:color="auto"/>
              <w:left w:val="single" w:sz="6" w:space="0" w:color="auto"/>
              <w:bottom w:val="single" w:sz="6" w:space="0" w:color="auto"/>
              <w:right w:val="single" w:sz="6" w:space="0" w:color="auto"/>
            </w:tcBorders>
            <w:vAlign w:val="center"/>
          </w:tcPr>
          <w:p w14:paraId="5FEBC14E" w14:textId="77777777" w:rsidR="002133E3" w:rsidRDefault="00C22CFA">
            <w:pPr>
              <w:pStyle w:val="afc"/>
              <w:adjustRightInd w:val="0"/>
              <w:jc w:val="center"/>
              <w:textAlignment w:val="baseline"/>
              <w:rPr>
                <w:b w:val="0"/>
                <w:color w:val="000000"/>
                <w:sz w:val="21"/>
                <w:szCs w:val="21"/>
              </w:rPr>
            </w:pPr>
            <w:r>
              <w:rPr>
                <w:b w:val="0"/>
                <w:color w:val="000000"/>
                <w:sz w:val="21"/>
                <w:szCs w:val="21"/>
              </w:rPr>
              <w:t>46.86</w:t>
            </w:r>
          </w:p>
        </w:tc>
        <w:tc>
          <w:tcPr>
            <w:tcW w:w="1212" w:type="pct"/>
            <w:tcBorders>
              <w:top w:val="single" w:sz="6" w:space="0" w:color="auto"/>
              <w:left w:val="single" w:sz="6" w:space="0" w:color="auto"/>
              <w:bottom w:val="single" w:sz="6" w:space="0" w:color="auto"/>
              <w:right w:val="single" w:sz="6" w:space="0" w:color="auto"/>
            </w:tcBorders>
            <w:vAlign w:val="center"/>
          </w:tcPr>
          <w:p w14:paraId="7263AFCA" w14:textId="77777777" w:rsidR="002133E3" w:rsidRDefault="00C22CFA">
            <w:pPr>
              <w:pStyle w:val="afc"/>
              <w:adjustRightInd w:val="0"/>
              <w:jc w:val="center"/>
              <w:textAlignment w:val="baseline"/>
              <w:rPr>
                <w:b w:val="0"/>
                <w:color w:val="000000"/>
                <w:sz w:val="21"/>
                <w:szCs w:val="21"/>
              </w:rPr>
            </w:pPr>
            <w:r>
              <w:rPr>
                <w:b w:val="0"/>
                <w:color w:val="000000"/>
                <w:sz w:val="21"/>
                <w:szCs w:val="21"/>
              </w:rPr>
              <w:t>8.15</w:t>
            </w:r>
          </w:p>
        </w:tc>
      </w:tr>
      <w:tr w:rsidR="002133E3" w14:paraId="5A0364F9" w14:textId="77777777">
        <w:trPr>
          <w:cantSplit/>
          <w:trHeight w:val="284"/>
        </w:trPr>
        <w:tc>
          <w:tcPr>
            <w:tcW w:w="379" w:type="pct"/>
            <w:tcBorders>
              <w:top w:val="single" w:sz="6" w:space="0" w:color="auto"/>
              <w:left w:val="single" w:sz="6" w:space="0" w:color="auto"/>
              <w:bottom w:val="single" w:sz="6" w:space="0" w:color="auto"/>
              <w:right w:val="single" w:sz="6" w:space="0" w:color="auto"/>
            </w:tcBorders>
            <w:vAlign w:val="center"/>
          </w:tcPr>
          <w:p w14:paraId="5DB399B5" w14:textId="77777777" w:rsidR="002133E3" w:rsidRDefault="00C22CFA">
            <w:pPr>
              <w:pStyle w:val="afc"/>
              <w:adjustRightInd w:val="0"/>
              <w:jc w:val="center"/>
              <w:textAlignment w:val="baseline"/>
              <w:rPr>
                <w:b w:val="0"/>
                <w:color w:val="000000"/>
                <w:sz w:val="21"/>
                <w:szCs w:val="21"/>
              </w:rPr>
            </w:pPr>
            <w:r>
              <w:rPr>
                <w:b w:val="0"/>
                <w:color w:val="000000"/>
                <w:sz w:val="21"/>
                <w:szCs w:val="21"/>
              </w:rPr>
              <w:t>6</w:t>
            </w:r>
          </w:p>
        </w:tc>
        <w:tc>
          <w:tcPr>
            <w:tcW w:w="2553" w:type="pct"/>
            <w:gridSpan w:val="3"/>
            <w:tcBorders>
              <w:top w:val="single" w:sz="6" w:space="0" w:color="auto"/>
              <w:left w:val="single" w:sz="6" w:space="0" w:color="auto"/>
              <w:bottom w:val="single" w:sz="6" w:space="0" w:color="auto"/>
              <w:right w:val="single" w:sz="6" w:space="0" w:color="auto"/>
            </w:tcBorders>
            <w:vAlign w:val="center"/>
          </w:tcPr>
          <w:p w14:paraId="4E1C8EBE" w14:textId="77777777" w:rsidR="002133E3" w:rsidRDefault="00C22CFA">
            <w:pPr>
              <w:pStyle w:val="afc"/>
              <w:adjustRightInd w:val="0"/>
              <w:jc w:val="center"/>
              <w:textAlignment w:val="baseline"/>
              <w:rPr>
                <w:color w:val="000000"/>
                <w:sz w:val="21"/>
                <w:szCs w:val="21"/>
              </w:rPr>
            </w:pPr>
            <w:r>
              <w:rPr>
                <w:color w:val="000000"/>
                <w:sz w:val="21"/>
                <w:szCs w:val="21"/>
              </w:rPr>
              <w:t>建设用地</w:t>
            </w:r>
          </w:p>
        </w:tc>
        <w:tc>
          <w:tcPr>
            <w:tcW w:w="856" w:type="pct"/>
            <w:tcBorders>
              <w:top w:val="single" w:sz="6" w:space="0" w:color="auto"/>
              <w:left w:val="single" w:sz="6" w:space="0" w:color="auto"/>
              <w:bottom w:val="single" w:sz="6" w:space="0" w:color="auto"/>
              <w:right w:val="single" w:sz="6" w:space="0" w:color="auto"/>
            </w:tcBorders>
            <w:vAlign w:val="center"/>
          </w:tcPr>
          <w:p w14:paraId="389CEEA2" w14:textId="77777777" w:rsidR="002133E3" w:rsidRDefault="00C22CFA">
            <w:pPr>
              <w:pStyle w:val="afc"/>
              <w:adjustRightInd w:val="0"/>
              <w:jc w:val="center"/>
              <w:textAlignment w:val="baseline"/>
              <w:rPr>
                <w:color w:val="000000"/>
                <w:sz w:val="21"/>
                <w:szCs w:val="21"/>
              </w:rPr>
            </w:pPr>
            <w:r>
              <w:rPr>
                <w:color w:val="000000"/>
                <w:sz w:val="21"/>
                <w:szCs w:val="21"/>
              </w:rPr>
              <w:t>574.88</w:t>
            </w:r>
          </w:p>
        </w:tc>
        <w:tc>
          <w:tcPr>
            <w:tcW w:w="1212" w:type="pct"/>
            <w:tcBorders>
              <w:top w:val="single" w:sz="6" w:space="0" w:color="auto"/>
              <w:left w:val="single" w:sz="6" w:space="0" w:color="auto"/>
              <w:bottom w:val="single" w:sz="6" w:space="0" w:color="auto"/>
              <w:right w:val="single" w:sz="6" w:space="0" w:color="auto"/>
            </w:tcBorders>
            <w:vAlign w:val="center"/>
          </w:tcPr>
          <w:p w14:paraId="777B8DFF" w14:textId="77777777" w:rsidR="002133E3" w:rsidRDefault="00C22CFA">
            <w:pPr>
              <w:pStyle w:val="afc"/>
              <w:adjustRightInd w:val="0"/>
              <w:jc w:val="center"/>
              <w:textAlignment w:val="baseline"/>
              <w:rPr>
                <w:color w:val="000000"/>
                <w:sz w:val="21"/>
                <w:szCs w:val="21"/>
              </w:rPr>
            </w:pPr>
            <w:r>
              <w:rPr>
                <w:color w:val="000000"/>
                <w:sz w:val="21"/>
                <w:szCs w:val="21"/>
              </w:rPr>
              <w:t>100%</w:t>
            </w:r>
          </w:p>
        </w:tc>
      </w:tr>
      <w:tr w:rsidR="002133E3" w14:paraId="5F242C5A" w14:textId="77777777">
        <w:trPr>
          <w:cantSplit/>
          <w:trHeight w:val="284"/>
        </w:trPr>
        <w:tc>
          <w:tcPr>
            <w:tcW w:w="379" w:type="pct"/>
            <w:vMerge w:val="restart"/>
            <w:tcBorders>
              <w:top w:val="single" w:sz="6" w:space="0" w:color="auto"/>
              <w:left w:val="single" w:sz="6" w:space="0" w:color="auto"/>
              <w:bottom w:val="single" w:sz="6" w:space="0" w:color="auto"/>
              <w:right w:val="single" w:sz="6" w:space="0" w:color="auto"/>
            </w:tcBorders>
            <w:vAlign w:val="center"/>
          </w:tcPr>
          <w:p w14:paraId="4F458FAE" w14:textId="77777777" w:rsidR="002133E3" w:rsidRDefault="00C22CFA">
            <w:pPr>
              <w:pStyle w:val="afc"/>
              <w:adjustRightInd w:val="0"/>
              <w:jc w:val="center"/>
              <w:textAlignment w:val="baseline"/>
              <w:rPr>
                <w:b w:val="0"/>
                <w:color w:val="000000"/>
                <w:sz w:val="21"/>
                <w:szCs w:val="21"/>
              </w:rPr>
            </w:pPr>
            <w:r>
              <w:rPr>
                <w:b w:val="0"/>
                <w:color w:val="000000"/>
                <w:sz w:val="21"/>
                <w:szCs w:val="21"/>
              </w:rPr>
              <w:t>7</w:t>
            </w:r>
          </w:p>
        </w:tc>
        <w:tc>
          <w:tcPr>
            <w:tcW w:w="2553" w:type="pct"/>
            <w:gridSpan w:val="3"/>
            <w:tcBorders>
              <w:top w:val="single" w:sz="6" w:space="0" w:color="auto"/>
              <w:left w:val="single" w:sz="6" w:space="0" w:color="auto"/>
              <w:bottom w:val="single" w:sz="6" w:space="0" w:color="auto"/>
              <w:right w:val="single" w:sz="6" w:space="0" w:color="auto"/>
            </w:tcBorders>
            <w:vAlign w:val="center"/>
          </w:tcPr>
          <w:p w14:paraId="3AA5DD47" w14:textId="77777777" w:rsidR="002133E3" w:rsidRDefault="00C22CFA">
            <w:pPr>
              <w:pStyle w:val="afc"/>
              <w:adjustRightInd w:val="0"/>
              <w:jc w:val="center"/>
              <w:textAlignment w:val="baseline"/>
              <w:rPr>
                <w:color w:val="000000"/>
                <w:sz w:val="21"/>
                <w:szCs w:val="21"/>
              </w:rPr>
            </w:pPr>
            <w:r>
              <w:rPr>
                <w:color w:val="000000"/>
                <w:sz w:val="21"/>
                <w:szCs w:val="21"/>
              </w:rPr>
              <w:t>其他用地</w:t>
            </w:r>
          </w:p>
        </w:tc>
        <w:tc>
          <w:tcPr>
            <w:tcW w:w="856" w:type="pct"/>
            <w:tcBorders>
              <w:top w:val="single" w:sz="6" w:space="0" w:color="auto"/>
              <w:left w:val="single" w:sz="6" w:space="0" w:color="auto"/>
              <w:bottom w:val="single" w:sz="6" w:space="0" w:color="auto"/>
              <w:right w:val="single" w:sz="6" w:space="0" w:color="auto"/>
            </w:tcBorders>
            <w:vAlign w:val="center"/>
          </w:tcPr>
          <w:p w14:paraId="0826C92F" w14:textId="77777777" w:rsidR="002133E3" w:rsidRDefault="00C22CFA">
            <w:pPr>
              <w:pStyle w:val="afc"/>
              <w:adjustRightInd w:val="0"/>
              <w:jc w:val="center"/>
              <w:textAlignment w:val="baseline"/>
              <w:rPr>
                <w:color w:val="000000"/>
                <w:sz w:val="21"/>
                <w:szCs w:val="21"/>
              </w:rPr>
            </w:pPr>
            <w:r>
              <w:rPr>
                <w:color w:val="000000"/>
                <w:sz w:val="21"/>
                <w:szCs w:val="21"/>
              </w:rPr>
              <w:t>146.06</w:t>
            </w:r>
          </w:p>
        </w:tc>
        <w:tc>
          <w:tcPr>
            <w:tcW w:w="1212" w:type="pct"/>
            <w:tcBorders>
              <w:top w:val="single" w:sz="6" w:space="0" w:color="auto"/>
              <w:left w:val="single" w:sz="6" w:space="0" w:color="auto"/>
              <w:bottom w:val="single" w:sz="6" w:space="0" w:color="auto"/>
              <w:right w:val="single" w:sz="6" w:space="0" w:color="auto"/>
            </w:tcBorders>
            <w:vAlign w:val="center"/>
          </w:tcPr>
          <w:p w14:paraId="5300C220" w14:textId="77777777" w:rsidR="002133E3" w:rsidRDefault="002133E3">
            <w:pPr>
              <w:pStyle w:val="afc"/>
              <w:adjustRightInd w:val="0"/>
              <w:jc w:val="center"/>
              <w:textAlignment w:val="baseline"/>
              <w:rPr>
                <w:b w:val="0"/>
                <w:color w:val="000000"/>
                <w:sz w:val="21"/>
                <w:szCs w:val="21"/>
              </w:rPr>
            </w:pPr>
          </w:p>
        </w:tc>
      </w:tr>
      <w:tr w:rsidR="002133E3" w14:paraId="06A4A9F2"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09C653A9" w14:textId="77777777" w:rsidR="002133E3" w:rsidRDefault="002133E3">
            <w:pPr>
              <w:widowControl/>
              <w:jc w:val="left"/>
              <w:rPr>
                <w:rFonts w:ascii="Times New Roman" w:eastAsia="宋体" w:hAnsi="Times New Roman" w:cs="Times New Roman"/>
                <w:color w:val="000000"/>
                <w:szCs w:val="21"/>
              </w:rPr>
            </w:pPr>
          </w:p>
        </w:tc>
        <w:tc>
          <w:tcPr>
            <w:tcW w:w="461" w:type="pct"/>
            <w:tcBorders>
              <w:top w:val="single" w:sz="6" w:space="0" w:color="auto"/>
              <w:left w:val="single" w:sz="6" w:space="0" w:color="auto"/>
              <w:bottom w:val="single" w:sz="6" w:space="0" w:color="auto"/>
              <w:right w:val="single" w:sz="6" w:space="0" w:color="auto"/>
            </w:tcBorders>
            <w:vAlign w:val="center"/>
          </w:tcPr>
          <w:p w14:paraId="18844181" w14:textId="77777777" w:rsidR="002133E3" w:rsidRDefault="00C22CFA">
            <w:pPr>
              <w:pStyle w:val="afc"/>
              <w:adjustRightInd w:val="0"/>
              <w:jc w:val="center"/>
              <w:textAlignment w:val="baseline"/>
              <w:rPr>
                <w:b w:val="0"/>
                <w:color w:val="000000"/>
                <w:sz w:val="21"/>
                <w:szCs w:val="21"/>
              </w:rPr>
            </w:pPr>
            <w:r>
              <w:rPr>
                <w:b w:val="0"/>
                <w:color w:val="000000"/>
                <w:sz w:val="21"/>
                <w:szCs w:val="21"/>
              </w:rPr>
              <w:t>其中</w:t>
            </w:r>
          </w:p>
        </w:tc>
        <w:tc>
          <w:tcPr>
            <w:tcW w:w="490" w:type="pct"/>
            <w:tcBorders>
              <w:top w:val="single" w:sz="6" w:space="0" w:color="auto"/>
              <w:left w:val="single" w:sz="6" w:space="0" w:color="auto"/>
              <w:bottom w:val="single" w:sz="6" w:space="0" w:color="auto"/>
              <w:right w:val="single" w:sz="6" w:space="0" w:color="auto"/>
            </w:tcBorders>
            <w:vAlign w:val="center"/>
          </w:tcPr>
          <w:p w14:paraId="24D1B3CD" w14:textId="77777777" w:rsidR="002133E3" w:rsidRDefault="00C22CFA">
            <w:pPr>
              <w:pStyle w:val="afc"/>
              <w:adjustRightInd w:val="0"/>
              <w:jc w:val="center"/>
              <w:textAlignment w:val="baseline"/>
              <w:rPr>
                <w:b w:val="0"/>
                <w:color w:val="000000"/>
                <w:sz w:val="21"/>
                <w:szCs w:val="21"/>
              </w:rPr>
            </w:pPr>
            <w:r>
              <w:rPr>
                <w:b w:val="0"/>
                <w:color w:val="000000"/>
                <w:sz w:val="21"/>
                <w:szCs w:val="21"/>
              </w:rPr>
              <w:t>E1</w:t>
            </w:r>
          </w:p>
        </w:tc>
        <w:tc>
          <w:tcPr>
            <w:tcW w:w="1602" w:type="pct"/>
            <w:tcBorders>
              <w:top w:val="single" w:sz="6" w:space="0" w:color="auto"/>
              <w:left w:val="single" w:sz="6" w:space="0" w:color="auto"/>
              <w:bottom w:val="single" w:sz="6" w:space="0" w:color="auto"/>
              <w:right w:val="single" w:sz="6" w:space="0" w:color="auto"/>
            </w:tcBorders>
            <w:vAlign w:val="center"/>
          </w:tcPr>
          <w:p w14:paraId="1BEB9352" w14:textId="77777777" w:rsidR="002133E3" w:rsidRDefault="00C22CFA">
            <w:pPr>
              <w:pStyle w:val="afc"/>
              <w:adjustRightInd w:val="0"/>
              <w:jc w:val="center"/>
              <w:textAlignment w:val="baseline"/>
              <w:rPr>
                <w:b w:val="0"/>
                <w:color w:val="000000"/>
                <w:sz w:val="21"/>
                <w:szCs w:val="21"/>
              </w:rPr>
            </w:pPr>
            <w:r>
              <w:rPr>
                <w:b w:val="0"/>
                <w:color w:val="000000"/>
                <w:sz w:val="21"/>
                <w:szCs w:val="21"/>
              </w:rPr>
              <w:t>水域</w:t>
            </w:r>
          </w:p>
        </w:tc>
        <w:tc>
          <w:tcPr>
            <w:tcW w:w="856" w:type="pct"/>
            <w:tcBorders>
              <w:top w:val="single" w:sz="6" w:space="0" w:color="auto"/>
              <w:left w:val="single" w:sz="6" w:space="0" w:color="auto"/>
              <w:bottom w:val="single" w:sz="6" w:space="0" w:color="auto"/>
              <w:right w:val="single" w:sz="6" w:space="0" w:color="auto"/>
            </w:tcBorders>
            <w:vAlign w:val="center"/>
          </w:tcPr>
          <w:p w14:paraId="377F6E15" w14:textId="77777777" w:rsidR="002133E3" w:rsidRDefault="00C22CFA">
            <w:pPr>
              <w:pStyle w:val="afc"/>
              <w:adjustRightInd w:val="0"/>
              <w:jc w:val="center"/>
              <w:textAlignment w:val="baseline"/>
              <w:rPr>
                <w:b w:val="0"/>
                <w:color w:val="000000"/>
                <w:sz w:val="21"/>
                <w:szCs w:val="21"/>
              </w:rPr>
            </w:pPr>
            <w:r>
              <w:rPr>
                <w:b w:val="0"/>
                <w:color w:val="000000"/>
                <w:sz w:val="21"/>
                <w:szCs w:val="21"/>
              </w:rPr>
              <w:t>13.9</w:t>
            </w:r>
          </w:p>
        </w:tc>
        <w:tc>
          <w:tcPr>
            <w:tcW w:w="1212" w:type="pct"/>
            <w:tcBorders>
              <w:top w:val="single" w:sz="6" w:space="0" w:color="auto"/>
              <w:left w:val="single" w:sz="6" w:space="0" w:color="auto"/>
              <w:bottom w:val="single" w:sz="6" w:space="0" w:color="auto"/>
              <w:right w:val="single" w:sz="6" w:space="0" w:color="auto"/>
            </w:tcBorders>
            <w:vAlign w:val="center"/>
          </w:tcPr>
          <w:p w14:paraId="2EAEE56F" w14:textId="77777777" w:rsidR="002133E3" w:rsidRDefault="002133E3">
            <w:pPr>
              <w:pStyle w:val="afc"/>
              <w:adjustRightInd w:val="0"/>
              <w:jc w:val="center"/>
              <w:textAlignment w:val="baseline"/>
              <w:rPr>
                <w:b w:val="0"/>
                <w:color w:val="000000"/>
                <w:sz w:val="21"/>
                <w:szCs w:val="21"/>
              </w:rPr>
            </w:pPr>
          </w:p>
        </w:tc>
      </w:tr>
      <w:tr w:rsidR="002133E3" w14:paraId="67886B1C" w14:textId="77777777">
        <w:trPr>
          <w:cantSplit/>
          <w:trHeight w:val="284"/>
        </w:trPr>
        <w:tc>
          <w:tcPr>
            <w:tcW w:w="379" w:type="pct"/>
            <w:vMerge/>
            <w:tcBorders>
              <w:top w:val="single" w:sz="6" w:space="0" w:color="auto"/>
              <w:left w:val="single" w:sz="6" w:space="0" w:color="auto"/>
              <w:bottom w:val="single" w:sz="6" w:space="0" w:color="auto"/>
              <w:right w:val="single" w:sz="6" w:space="0" w:color="auto"/>
            </w:tcBorders>
            <w:vAlign w:val="center"/>
          </w:tcPr>
          <w:p w14:paraId="76185B7D" w14:textId="77777777" w:rsidR="002133E3" w:rsidRDefault="002133E3">
            <w:pPr>
              <w:widowControl/>
              <w:jc w:val="left"/>
              <w:rPr>
                <w:rFonts w:ascii="Times New Roman" w:eastAsia="宋体" w:hAnsi="Times New Roman" w:cs="Times New Roman"/>
                <w:color w:val="000000"/>
                <w:szCs w:val="21"/>
              </w:rPr>
            </w:pPr>
          </w:p>
        </w:tc>
        <w:tc>
          <w:tcPr>
            <w:tcW w:w="951" w:type="pct"/>
            <w:gridSpan w:val="2"/>
            <w:tcBorders>
              <w:top w:val="single" w:sz="6" w:space="0" w:color="auto"/>
              <w:left w:val="single" w:sz="6" w:space="0" w:color="auto"/>
              <w:bottom w:val="single" w:sz="6" w:space="0" w:color="auto"/>
              <w:right w:val="single" w:sz="6" w:space="0" w:color="auto"/>
            </w:tcBorders>
            <w:vAlign w:val="center"/>
          </w:tcPr>
          <w:p w14:paraId="1F7ABB8E" w14:textId="77777777" w:rsidR="002133E3" w:rsidRDefault="00C22CFA">
            <w:pPr>
              <w:pStyle w:val="afc"/>
              <w:adjustRightInd w:val="0"/>
              <w:jc w:val="center"/>
              <w:textAlignment w:val="baseline"/>
              <w:rPr>
                <w:b w:val="0"/>
                <w:color w:val="000000"/>
                <w:sz w:val="21"/>
                <w:szCs w:val="21"/>
              </w:rPr>
            </w:pPr>
            <w:r>
              <w:rPr>
                <w:b w:val="0"/>
                <w:color w:val="000000"/>
                <w:sz w:val="21"/>
                <w:szCs w:val="21"/>
              </w:rPr>
              <w:t>/</w:t>
            </w:r>
          </w:p>
        </w:tc>
        <w:tc>
          <w:tcPr>
            <w:tcW w:w="1602" w:type="pct"/>
            <w:tcBorders>
              <w:top w:val="single" w:sz="6" w:space="0" w:color="auto"/>
              <w:left w:val="single" w:sz="6" w:space="0" w:color="auto"/>
              <w:bottom w:val="single" w:sz="6" w:space="0" w:color="auto"/>
              <w:right w:val="single" w:sz="6" w:space="0" w:color="auto"/>
            </w:tcBorders>
            <w:vAlign w:val="center"/>
          </w:tcPr>
          <w:p w14:paraId="4279F4DA" w14:textId="77777777" w:rsidR="002133E3" w:rsidRDefault="00C22CFA">
            <w:pPr>
              <w:pStyle w:val="afc"/>
              <w:adjustRightInd w:val="0"/>
              <w:jc w:val="center"/>
              <w:textAlignment w:val="baseline"/>
              <w:rPr>
                <w:b w:val="0"/>
                <w:color w:val="000000"/>
                <w:sz w:val="21"/>
                <w:szCs w:val="21"/>
              </w:rPr>
            </w:pPr>
            <w:r>
              <w:rPr>
                <w:b w:val="0"/>
                <w:color w:val="000000"/>
                <w:sz w:val="21"/>
                <w:szCs w:val="21"/>
              </w:rPr>
              <w:t>发展备用地</w:t>
            </w:r>
          </w:p>
        </w:tc>
        <w:tc>
          <w:tcPr>
            <w:tcW w:w="856" w:type="pct"/>
            <w:tcBorders>
              <w:top w:val="single" w:sz="6" w:space="0" w:color="auto"/>
              <w:left w:val="single" w:sz="6" w:space="0" w:color="auto"/>
              <w:bottom w:val="single" w:sz="6" w:space="0" w:color="auto"/>
              <w:right w:val="single" w:sz="6" w:space="0" w:color="auto"/>
            </w:tcBorders>
            <w:vAlign w:val="center"/>
          </w:tcPr>
          <w:p w14:paraId="5BB326DC" w14:textId="77777777" w:rsidR="002133E3" w:rsidRDefault="00C22CFA">
            <w:pPr>
              <w:pStyle w:val="afc"/>
              <w:adjustRightInd w:val="0"/>
              <w:jc w:val="center"/>
              <w:textAlignment w:val="baseline"/>
              <w:rPr>
                <w:b w:val="0"/>
                <w:color w:val="000000"/>
                <w:sz w:val="21"/>
                <w:szCs w:val="21"/>
              </w:rPr>
            </w:pPr>
            <w:r>
              <w:rPr>
                <w:b w:val="0"/>
                <w:color w:val="000000"/>
                <w:sz w:val="21"/>
                <w:szCs w:val="21"/>
              </w:rPr>
              <w:t>132.16</w:t>
            </w:r>
          </w:p>
        </w:tc>
        <w:tc>
          <w:tcPr>
            <w:tcW w:w="1212" w:type="pct"/>
            <w:tcBorders>
              <w:top w:val="single" w:sz="6" w:space="0" w:color="auto"/>
              <w:left w:val="single" w:sz="6" w:space="0" w:color="auto"/>
              <w:bottom w:val="single" w:sz="6" w:space="0" w:color="auto"/>
              <w:right w:val="single" w:sz="6" w:space="0" w:color="auto"/>
            </w:tcBorders>
            <w:vAlign w:val="center"/>
          </w:tcPr>
          <w:p w14:paraId="02E6B3B2" w14:textId="77777777" w:rsidR="002133E3" w:rsidRDefault="002133E3">
            <w:pPr>
              <w:pStyle w:val="afc"/>
              <w:adjustRightInd w:val="0"/>
              <w:jc w:val="center"/>
              <w:textAlignment w:val="baseline"/>
              <w:rPr>
                <w:b w:val="0"/>
                <w:color w:val="000000"/>
                <w:sz w:val="21"/>
                <w:szCs w:val="21"/>
              </w:rPr>
            </w:pPr>
          </w:p>
        </w:tc>
      </w:tr>
      <w:tr w:rsidR="002133E3" w14:paraId="00D05385" w14:textId="77777777">
        <w:trPr>
          <w:cantSplit/>
          <w:trHeight w:val="284"/>
        </w:trPr>
        <w:tc>
          <w:tcPr>
            <w:tcW w:w="379" w:type="pct"/>
            <w:tcBorders>
              <w:top w:val="single" w:sz="6" w:space="0" w:color="auto"/>
              <w:left w:val="single" w:sz="6" w:space="0" w:color="auto"/>
              <w:bottom w:val="single" w:sz="6" w:space="0" w:color="auto"/>
              <w:right w:val="single" w:sz="6" w:space="0" w:color="auto"/>
            </w:tcBorders>
            <w:vAlign w:val="center"/>
          </w:tcPr>
          <w:p w14:paraId="7781FAE5" w14:textId="77777777" w:rsidR="002133E3" w:rsidRDefault="00C22CFA">
            <w:pPr>
              <w:pStyle w:val="afc"/>
              <w:adjustRightInd w:val="0"/>
              <w:jc w:val="center"/>
              <w:textAlignment w:val="baseline"/>
              <w:rPr>
                <w:b w:val="0"/>
                <w:color w:val="000000"/>
                <w:sz w:val="21"/>
                <w:szCs w:val="21"/>
              </w:rPr>
            </w:pPr>
            <w:r>
              <w:rPr>
                <w:b w:val="0"/>
                <w:color w:val="000000"/>
                <w:sz w:val="21"/>
                <w:szCs w:val="21"/>
              </w:rPr>
              <w:t>8</w:t>
            </w:r>
          </w:p>
        </w:tc>
        <w:tc>
          <w:tcPr>
            <w:tcW w:w="2553" w:type="pct"/>
            <w:gridSpan w:val="3"/>
            <w:tcBorders>
              <w:top w:val="single" w:sz="6" w:space="0" w:color="auto"/>
              <w:left w:val="single" w:sz="6" w:space="0" w:color="auto"/>
              <w:bottom w:val="single" w:sz="6" w:space="0" w:color="auto"/>
              <w:right w:val="single" w:sz="6" w:space="0" w:color="auto"/>
            </w:tcBorders>
            <w:vAlign w:val="center"/>
          </w:tcPr>
          <w:p w14:paraId="50831F59" w14:textId="77777777" w:rsidR="002133E3" w:rsidRDefault="00C22CFA">
            <w:pPr>
              <w:pStyle w:val="afc"/>
              <w:adjustRightInd w:val="0"/>
              <w:jc w:val="center"/>
              <w:textAlignment w:val="baseline"/>
              <w:rPr>
                <w:color w:val="000000"/>
                <w:sz w:val="21"/>
                <w:szCs w:val="21"/>
              </w:rPr>
            </w:pPr>
            <w:r>
              <w:rPr>
                <w:color w:val="000000"/>
                <w:sz w:val="21"/>
                <w:szCs w:val="21"/>
              </w:rPr>
              <w:t>规划总用地</w:t>
            </w:r>
          </w:p>
        </w:tc>
        <w:tc>
          <w:tcPr>
            <w:tcW w:w="856" w:type="pct"/>
            <w:tcBorders>
              <w:top w:val="single" w:sz="6" w:space="0" w:color="auto"/>
              <w:left w:val="single" w:sz="6" w:space="0" w:color="auto"/>
              <w:bottom w:val="single" w:sz="6" w:space="0" w:color="auto"/>
              <w:right w:val="single" w:sz="6" w:space="0" w:color="auto"/>
            </w:tcBorders>
            <w:vAlign w:val="center"/>
          </w:tcPr>
          <w:p w14:paraId="5156726C" w14:textId="77777777" w:rsidR="002133E3" w:rsidRDefault="00C22CFA">
            <w:pPr>
              <w:pStyle w:val="afc"/>
              <w:adjustRightInd w:val="0"/>
              <w:jc w:val="center"/>
              <w:textAlignment w:val="baseline"/>
              <w:rPr>
                <w:color w:val="000000"/>
                <w:sz w:val="21"/>
                <w:szCs w:val="21"/>
              </w:rPr>
            </w:pPr>
            <w:r>
              <w:rPr>
                <w:color w:val="000000"/>
                <w:sz w:val="21"/>
                <w:szCs w:val="21"/>
              </w:rPr>
              <w:t>720.94</w:t>
            </w:r>
          </w:p>
        </w:tc>
        <w:tc>
          <w:tcPr>
            <w:tcW w:w="1212" w:type="pct"/>
            <w:tcBorders>
              <w:top w:val="single" w:sz="6" w:space="0" w:color="auto"/>
              <w:left w:val="single" w:sz="6" w:space="0" w:color="auto"/>
              <w:bottom w:val="single" w:sz="6" w:space="0" w:color="auto"/>
              <w:right w:val="single" w:sz="6" w:space="0" w:color="auto"/>
            </w:tcBorders>
            <w:vAlign w:val="center"/>
          </w:tcPr>
          <w:p w14:paraId="7C7071F2" w14:textId="77777777" w:rsidR="002133E3" w:rsidRDefault="002133E3">
            <w:pPr>
              <w:pStyle w:val="afc"/>
              <w:adjustRightInd w:val="0"/>
              <w:jc w:val="center"/>
              <w:textAlignment w:val="baseline"/>
              <w:rPr>
                <w:b w:val="0"/>
                <w:color w:val="000000"/>
                <w:sz w:val="21"/>
                <w:szCs w:val="21"/>
              </w:rPr>
            </w:pPr>
          </w:p>
        </w:tc>
      </w:tr>
    </w:tbl>
    <w:p w14:paraId="5320B982" w14:textId="77777777" w:rsidR="002133E3" w:rsidRDefault="00C22CFA">
      <w:pPr>
        <w:widowControl/>
        <w:jc w:val="center"/>
        <w:rPr>
          <w:rFonts w:ascii="Times New Roman" w:eastAsia="宋体" w:hAnsi="Times New Roman" w:cs="Times New Roman"/>
          <w:kern w:val="0"/>
          <w:sz w:val="28"/>
          <w:szCs w:val="28"/>
        </w:rPr>
      </w:pPr>
      <w:r>
        <w:rPr>
          <w:rFonts w:ascii="Times New Roman" w:eastAsia="宋体" w:hAnsi="Times New Roman" w:cs="Times New Roman"/>
          <w:noProof/>
          <w:kern w:val="0"/>
          <w:sz w:val="28"/>
          <w:szCs w:val="28"/>
        </w:rPr>
        <w:lastRenderedPageBreak/>
        <w:drawing>
          <wp:inline distT="0" distB="0" distL="0" distR="0" wp14:anchorId="3D249585" wp14:editId="3F88F0F3">
            <wp:extent cx="6120130" cy="646747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t="2313" b="5332"/>
                    <a:stretch>
                      <a:fillRect/>
                    </a:stretch>
                  </pic:blipFill>
                  <pic:spPr>
                    <a:xfrm>
                      <a:off x="0" y="0"/>
                      <a:ext cx="6120130" cy="6467475"/>
                    </a:xfrm>
                    <a:prstGeom prst="rect">
                      <a:avLst/>
                    </a:prstGeom>
                    <a:noFill/>
                    <a:ln>
                      <a:noFill/>
                    </a:ln>
                  </pic:spPr>
                </pic:pic>
              </a:graphicData>
            </a:graphic>
          </wp:inline>
        </w:drawing>
      </w:r>
    </w:p>
    <w:p w14:paraId="29797FC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图</w:t>
      </w:r>
      <w:r>
        <w:rPr>
          <w:rFonts w:ascii="Times New Roman" w:eastAsia="宋体" w:hAnsi="Times New Roman" w:cs="Times New Roman"/>
          <w:b/>
          <w:bCs/>
          <w:kern w:val="0"/>
          <w:szCs w:val="21"/>
        </w:rPr>
        <w:t xml:space="preserve">2.7-2  </w:t>
      </w:r>
      <w:r>
        <w:rPr>
          <w:rFonts w:ascii="Times New Roman" w:eastAsia="宋体" w:hAnsi="Times New Roman" w:cs="Times New Roman"/>
          <w:b/>
          <w:bCs/>
          <w:kern w:val="0"/>
          <w:szCs w:val="21"/>
        </w:rPr>
        <w:t>规划用地性质图</w:t>
      </w:r>
    </w:p>
    <w:p w14:paraId="3528BD0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基础设施规划</w:t>
      </w:r>
    </w:p>
    <w:p w14:paraId="76E8A269"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fldChar w:fldCharType="begin"/>
      </w:r>
      <w:r>
        <w:rPr>
          <w:rFonts w:ascii="Times New Roman" w:eastAsia="宋体" w:hAnsi="Times New Roman" w:cs="Times New Roman"/>
          <w:b/>
          <w:bCs/>
          <w:kern w:val="0"/>
          <w:sz w:val="28"/>
          <w:szCs w:val="28"/>
        </w:rPr>
        <w:instrText xml:space="preserve"> = 1 \* GB2 </w:instrText>
      </w:r>
      <w:r>
        <w:rPr>
          <w:rFonts w:ascii="Times New Roman" w:eastAsia="宋体" w:hAnsi="Times New Roman" w:cs="Times New Roman"/>
          <w:b/>
          <w:bCs/>
          <w:kern w:val="0"/>
          <w:sz w:val="28"/>
          <w:szCs w:val="28"/>
        </w:rPr>
        <w:fldChar w:fldCharType="separate"/>
      </w:r>
      <w:r>
        <w:rPr>
          <w:rFonts w:ascii="宋体" w:eastAsia="宋体" w:hAnsi="宋体" w:cs="宋体" w:hint="eastAsia"/>
          <w:b/>
          <w:bCs/>
          <w:kern w:val="0"/>
          <w:sz w:val="28"/>
          <w:szCs w:val="28"/>
        </w:rPr>
        <w:t>⑴</w:t>
      </w:r>
      <w:r>
        <w:rPr>
          <w:rFonts w:ascii="Times New Roman" w:eastAsia="宋体" w:hAnsi="Times New Roman" w:cs="Times New Roman"/>
          <w:b/>
          <w:bCs/>
          <w:kern w:val="0"/>
          <w:sz w:val="28"/>
          <w:szCs w:val="28"/>
        </w:rPr>
        <w:fldChar w:fldCharType="end"/>
      </w:r>
      <w:r>
        <w:rPr>
          <w:rFonts w:ascii="Times New Roman" w:eastAsia="宋体" w:hAnsi="Times New Roman" w:cs="Times New Roman"/>
          <w:b/>
          <w:bCs/>
          <w:kern w:val="0"/>
          <w:sz w:val="28"/>
          <w:szCs w:val="28"/>
        </w:rPr>
        <w:t>给水工程规划</w:t>
      </w:r>
    </w:p>
    <w:bookmarkStart w:id="15" w:name="_Toc347847173"/>
    <w:p w14:paraId="55AB936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1 \* GB3 </w:instrText>
      </w:r>
      <w:r>
        <w:rPr>
          <w:rFonts w:ascii="Times New Roman" w:eastAsia="宋体" w:hAnsi="Times New Roman" w:cs="Times New Roman"/>
          <w:kern w:val="0"/>
          <w:sz w:val="28"/>
          <w:szCs w:val="28"/>
        </w:rPr>
        <w:fldChar w:fldCharType="separate"/>
      </w:r>
      <w:r>
        <w:rPr>
          <w:rFonts w:ascii="宋体" w:eastAsia="宋体" w:hAnsi="宋体" w:cs="宋体" w:hint="eastAsia"/>
          <w:kern w:val="0"/>
          <w:sz w:val="28"/>
          <w:szCs w:val="28"/>
        </w:rPr>
        <w:t>①</w:t>
      </w:r>
      <w:r>
        <w:rPr>
          <w:rFonts w:ascii="Times New Roman" w:eastAsia="宋体" w:hAnsi="Times New Roman" w:cs="Times New Roman"/>
          <w:kern w:val="0"/>
          <w:sz w:val="28"/>
          <w:szCs w:val="28"/>
        </w:rPr>
        <w:fldChar w:fldCharType="end"/>
      </w:r>
      <w:r>
        <w:rPr>
          <w:rFonts w:ascii="Times New Roman" w:eastAsia="宋体" w:hAnsi="Times New Roman" w:cs="Times New Roman"/>
          <w:kern w:val="0"/>
          <w:sz w:val="28"/>
          <w:szCs w:val="28"/>
        </w:rPr>
        <w:t>水源规划</w:t>
      </w:r>
      <w:bookmarkEnd w:id="15"/>
    </w:p>
    <w:p w14:paraId="32438B0C"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园区工业用水来自兴庄河水厂，现有规模</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万吨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天，远期规模达</w:t>
      </w:r>
      <w:r>
        <w:rPr>
          <w:rFonts w:ascii="Times New Roman" w:eastAsia="宋体" w:hAnsi="Times New Roman" w:cs="Times New Roman"/>
          <w:kern w:val="0"/>
          <w:sz w:val="28"/>
          <w:szCs w:val="28"/>
        </w:rPr>
        <w:t>8</w:t>
      </w:r>
      <w:r>
        <w:rPr>
          <w:rFonts w:ascii="Times New Roman" w:eastAsia="宋体" w:hAnsi="Times New Roman" w:cs="Times New Roman"/>
          <w:kern w:val="0"/>
          <w:sz w:val="28"/>
          <w:szCs w:val="28"/>
        </w:rPr>
        <w:t>万吨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天；园区生活用水来自塔山水厂，目前总供水能力为</w:t>
      </w:r>
      <w:r>
        <w:rPr>
          <w:rFonts w:ascii="Times New Roman" w:eastAsia="宋体" w:hAnsi="Times New Roman" w:cs="Times New Roman"/>
          <w:kern w:val="0"/>
          <w:sz w:val="28"/>
          <w:szCs w:val="28"/>
        </w:rPr>
        <w:t>4</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m³/d</w:t>
      </w:r>
      <w:r>
        <w:rPr>
          <w:rFonts w:ascii="Times New Roman" w:eastAsia="宋体" w:hAnsi="Times New Roman" w:cs="Times New Roman"/>
          <w:kern w:val="0"/>
          <w:sz w:val="28"/>
          <w:szCs w:val="28"/>
        </w:rPr>
        <w:t>，远期规模达</w:t>
      </w:r>
      <w:r>
        <w:rPr>
          <w:rFonts w:ascii="Times New Roman" w:eastAsia="宋体" w:hAnsi="Times New Roman" w:cs="Times New Roman"/>
          <w:kern w:val="0"/>
          <w:sz w:val="28"/>
          <w:szCs w:val="28"/>
        </w:rPr>
        <w:t>8</w:t>
      </w:r>
      <w:r>
        <w:rPr>
          <w:rFonts w:ascii="Times New Roman" w:eastAsia="宋体" w:hAnsi="Times New Roman" w:cs="Times New Roman"/>
          <w:kern w:val="0"/>
          <w:sz w:val="28"/>
          <w:szCs w:val="28"/>
        </w:rPr>
        <w:t>万吨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天。根据园区规划，规划区内日最高用水量达</w:t>
      </w:r>
      <w:r>
        <w:rPr>
          <w:rFonts w:ascii="Times New Roman" w:eastAsia="宋体" w:hAnsi="Times New Roman" w:cs="Times New Roman"/>
          <w:kern w:val="0"/>
          <w:sz w:val="28"/>
          <w:szCs w:val="28"/>
        </w:rPr>
        <w:t>51878.59m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w:t>
      </w:r>
    </w:p>
    <w:bookmarkStart w:id="16" w:name="_Toc347847174"/>
    <w:p w14:paraId="643A2C04"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2 \* GB3 </w:instrText>
      </w:r>
      <w:r>
        <w:rPr>
          <w:rFonts w:ascii="Times New Roman" w:eastAsia="宋体" w:hAnsi="Times New Roman" w:cs="Times New Roman"/>
          <w:kern w:val="0"/>
          <w:sz w:val="28"/>
          <w:szCs w:val="28"/>
        </w:rPr>
        <w:fldChar w:fldCharType="separate"/>
      </w:r>
      <w:r>
        <w:rPr>
          <w:rFonts w:ascii="宋体" w:eastAsia="宋体" w:hAnsi="宋体" w:cs="宋体" w:hint="eastAsia"/>
          <w:kern w:val="0"/>
          <w:sz w:val="28"/>
          <w:szCs w:val="28"/>
        </w:rPr>
        <w:t>②</w:t>
      </w:r>
      <w:r>
        <w:rPr>
          <w:rFonts w:ascii="Times New Roman" w:eastAsia="宋体" w:hAnsi="Times New Roman" w:cs="Times New Roman"/>
          <w:kern w:val="0"/>
          <w:sz w:val="28"/>
          <w:szCs w:val="28"/>
        </w:rPr>
        <w:fldChar w:fldCharType="end"/>
      </w:r>
      <w:r>
        <w:rPr>
          <w:rFonts w:ascii="Times New Roman" w:eastAsia="宋体" w:hAnsi="Times New Roman" w:cs="Times New Roman"/>
          <w:kern w:val="0"/>
          <w:sz w:val="28"/>
          <w:szCs w:val="28"/>
        </w:rPr>
        <w:t>给水管网规划</w:t>
      </w:r>
      <w:bookmarkEnd w:id="16"/>
    </w:p>
    <w:p w14:paraId="26B77B6F"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给水管管径按最高日最大时流量计算。</w:t>
      </w:r>
    </w:p>
    <w:p w14:paraId="68070CF7"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沿片区内道路敷设</w:t>
      </w:r>
      <w:r>
        <w:rPr>
          <w:rFonts w:ascii="Times New Roman" w:eastAsia="宋体" w:hAnsi="Times New Roman" w:cs="Times New Roman"/>
          <w:kern w:val="0"/>
          <w:sz w:val="28"/>
          <w:szCs w:val="28"/>
        </w:rPr>
        <w:t>DN300</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DN1000</w:t>
      </w:r>
      <w:r>
        <w:rPr>
          <w:rFonts w:ascii="Times New Roman" w:eastAsia="宋体" w:hAnsi="Times New Roman" w:cs="Times New Roman"/>
          <w:kern w:val="0"/>
          <w:sz w:val="28"/>
          <w:szCs w:val="28"/>
        </w:rPr>
        <w:t>毫米的给水管道，并与周边道路上市政给水管道连接成环状。片区内给水管亦逐步形成环网状，以提高供水的安全可靠性。</w:t>
      </w:r>
    </w:p>
    <w:p w14:paraId="7189500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管径大于</w:t>
      </w:r>
      <w:r>
        <w:rPr>
          <w:rFonts w:ascii="Times New Roman" w:eastAsia="宋体" w:hAnsi="Times New Roman" w:cs="Times New Roman"/>
          <w:kern w:val="0"/>
          <w:sz w:val="28"/>
          <w:szCs w:val="28"/>
        </w:rPr>
        <w:t>DN300</w:t>
      </w:r>
      <w:r>
        <w:rPr>
          <w:rFonts w:ascii="Times New Roman" w:eastAsia="宋体" w:hAnsi="Times New Roman" w:cs="Times New Roman"/>
          <w:kern w:val="0"/>
          <w:sz w:val="28"/>
          <w:szCs w:val="28"/>
        </w:rPr>
        <w:t>毫米的给水管采用钢管或球墨铸铁管，小于</w:t>
      </w:r>
      <w:r>
        <w:rPr>
          <w:rFonts w:ascii="Times New Roman" w:eastAsia="宋体" w:hAnsi="Times New Roman" w:cs="Times New Roman"/>
          <w:kern w:val="0"/>
          <w:sz w:val="28"/>
          <w:szCs w:val="28"/>
        </w:rPr>
        <w:t>DN300</w:t>
      </w:r>
      <w:r>
        <w:rPr>
          <w:rFonts w:ascii="Times New Roman" w:eastAsia="宋体" w:hAnsi="Times New Roman" w:cs="Times New Roman"/>
          <w:kern w:val="0"/>
          <w:sz w:val="28"/>
          <w:szCs w:val="28"/>
        </w:rPr>
        <w:t>毫米的给水管采用球墨铸铁管。给水管除穿越工程外，均埋地敷设，原则上敷设在道路西侧或南侧的人行道下，根据用户分布预留过路管。</w:t>
      </w:r>
    </w:p>
    <w:p w14:paraId="3BD0C0EA"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(2)</w:t>
      </w:r>
      <w:r>
        <w:rPr>
          <w:rFonts w:ascii="Times New Roman" w:eastAsia="宋体" w:hAnsi="Times New Roman" w:cs="Times New Roman"/>
          <w:b/>
          <w:bCs/>
          <w:kern w:val="0"/>
          <w:sz w:val="28"/>
          <w:szCs w:val="28"/>
        </w:rPr>
        <w:t>污水工程规划</w:t>
      </w:r>
    </w:p>
    <w:p w14:paraId="5285A1DB"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1 \* GB3 </w:instrText>
      </w:r>
      <w:r>
        <w:rPr>
          <w:rFonts w:ascii="Times New Roman" w:eastAsia="宋体" w:hAnsi="Times New Roman" w:cs="Times New Roman"/>
          <w:kern w:val="0"/>
          <w:sz w:val="28"/>
          <w:szCs w:val="28"/>
        </w:rPr>
        <w:fldChar w:fldCharType="separate"/>
      </w:r>
      <w:r>
        <w:rPr>
          <w:rFonts w:ascii="宋体" w:eastAsia="宋体" w:hAnsi="宋体" w:cs="宋体" w:hint="eastAsia"/>
          <w:kern w:val="0"/>
          <w:sz w:val="28"/>
          <w:szCs w:val="28"/>
        </w:rPr>
        <w:t>①</w:t>
      </w:r>
      <w:r>
        <w:rPr>
          <w:rFonts w:ascii="Times New Roman" w:eastAsia="宋体" w:hAnsi="Times New Roman" w:cs="Times New Roman"/>
          <w:kern w:val="0"/>
          <w:sz w:val="28"/>
          <w:szCs w:val="28"/>
        </w:rPr>
        <w:fldChar w:fldCharType="end"/>
      </w:r>
      <w:r>
        <w:rPr>
          <w:rFonts w:ascii="Times New Roman" w:eastAsia="宋体" w:hAnsi="Times New Roman" w:cs="Times New Roman"/>
          <w:kern w:val="0"/>
          <w:sz w:val="28"/>
          <w:szCs w:val="28"/>
        </w:rPr>
        <w:t>污水处理厂规划</w:t>
      </w:r>
    </w:p>
    <w:p w14:paraId="6B9F2805"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建立分流制的排水体制。污水实行全面收集、集中处理。</w:t>
      </w:r>
    </w:p>
    <w:p w14:paraId="53CF435F"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污水处理：污水集中收集到赣榆通海污水处理厂进行处理，已建处理规模为</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。乙醇产业企业，采取一企一管的排水方式。园区通海污水处理厂纳污范围主要为园区内工业污水及生活污水。鉴于目前城市建设的不断发展，城区污水量急剧增加，赣榆城区现有两座污水处理厂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城北污水处理厂、力洁污水处理厂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处理规模已满足不了污水处理要求的情况，赣榆区计划建设新城污水处理厂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新建新城污水处理厂替代现城北污水处理厂，解决城北片区污水处理率低、尾水排放不能稳定达标等问题</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，选址位于海州湾生物科技园内，通海污水处理厂北侧地块，近期建设规模为</w:t>
      </w:r>
      <w:r>
        <w:rPr>
          <w:rFonts w:ascii="Times New Roman" w:eastAsia="宋体" w:hAnsi="Times New Roman" w:cs="Times New Roman"/>
          <w:kern w:val="0"/>
          <w:sz w:val="28"/>
          <w:szCs w:val="28"/>
        </w:rPr>
        <w:t>6.5</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目前在建，</w:t>
      </w:r>
      <w:r>
        <w:rPr>
          <w:rFonts w:ascii="Times New Roman" w:eastAsia="宋体" w:hAnsi="Times New Roman" w:cs="Times New Roman"/>
          <w:kern w:val="0"/>
          <w:sz w:val="28"/>
          <w:szCs w:val="28"/>
        </w:rPr>
        <w:t>2019</w:t>
      </w:r>
      <w:r>
        <w:rPr>
          <w:rFonts w:ascii="Times New Roman" w:eastAsia="宋体" w:hAnsi="Times New Roman" w:cs="Times New Roman"/>
          <w:kern w:val="0"/>
          <w:sz w:val="28"/>
          <w:szCs w:val="28"/>
        </w:rPr>
        <w:t>年投入运行</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，远期总规模为</w:t>
      </w:r>
      <w:r>
        <w:rPr>
          <w:rFonts w:ascii="Times New Roman" w:eastAsia="宋体" w:hAnsi="Times New Roman" w:cs="Times New Roman"/>
          <w:kern w:val="0"/>
          <w:sz w:val="28"/>
          <w:szCs w:val="28"/>
        </w:rPr>
        <w:t>13</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。服务范围包括青口河以北片区、海州湾生物科技园、海头镇镇区。拟建的新城污水处理厂远期总规模</w:t>
      </w:r>
      <w:r>
        <w:rPr>
          <w:rFonts w:ascii="Times New Roman" w:eastAsia="宋体" w:hAnsi="Times New Roman" w:cs="Times New Roman"/>
          <w:kern w:val="0"/>
          <w:sz w:val="28"/>
          <w:szCs w:val="28"/>
        </w:rPr>
        <w:t>13</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包含通海污水处理厂一期工程，即两个污水处理厂合并管理，污水厂尾水统一经管线输送至沙旺河闸闸下排放。</w:t>
      </w:r>
    </w:p>
    <w:p w14:paraId="51588195"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新城污水处理厂工程项目环评，在建的新城污水处理厂收水范围包括青口河以北片区生活污水及赣榆海洋经济开发区生活污水、工业废水，远期服务范围包括海头镇生活污水及海州湾生物科技园部分工业废水。结合本次海州湾生物科技园规划，通海污水处理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已建</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收水范围主要为园区内的通用零部件加工区、乙醇产业聚集区、轻工产业聚集区工业废水，远期通海污水</w:t>
      </w:r>
      <w:r>
        <w:rPr>
          <w:rFonts w:ascii="Times New Roman" w:eastAsia="宋体" w:hAnsi="Times New Roman" w:cs="Times New Roman"/>
          <w:kern w:val="0"/>
          <w:sz w:val="28"/>
          <w:szCs w:val="28"/>
        </w:rPr>
        <w:lastRenderedPageBreak/>
        <w:t>处理厂规模不能满足园区其他组团废水处理需求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主要为装备制造产业聚集区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，多余工业废水纳入在建新城污水处理厂处理。根据新城污水处理厂工程项目环评，在建新城污水处理厂进水中工业废水占比约</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，其他均为生活污水。通海污水处理厂主要用于处理海州湾生物科技园内工业废水。</w:t>
      </w:r>
    </w:p>
    <w:p w14:paraId="4B700473"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2 \* GB3 </w:instrText>
      </w:r>
      <w:r>
        <w:rPr>
          <w:rFonts w:ascii="Times New Roman" w:eastAsia="宋体" w:hAnsi="Times New Roman" w:cs="Times New Roman"/>
          <w:kern w:val="0"/>
          <w:sz w:val="28"/>
          <w:szCs w:val="28"/>
        </w:rPr>
        <w:fldChar w:fldCharType="separate"/>
      </w:r>
      <w:r>
        <w:rPr>
          <w:rFonts w:ascii="宋体" w:eastAsia="宋体" w:hAnsi="宋体" w:cs="宋体" w:hint="eastAsia"/>
          <w:kern w:val="0"/>
          <w:sz w:val="28"/>
          <w:szCs w:val="28"/>
        </w:rPr>
        <w:t>②</w:t>
      </w:r>
      <w:r>
        <w:rPr>
          <w:rFonts w:ascii="Times New Roman" w:eastAsia="宋体" w:hAnsi="Times New Roman" w:cs="Times New Roman"/>
          <w:kern w:val="0"/>
          <w:sz w:val="28"/>
          <w:szCs w:val="28"/>
        </w:rPr>
        <w:fldChar w:fldCharType="end"/>
      </w:r>
      <w:r>
        <w:rPr>
          <w:rFonts w:ascii="Times New Roman" w:eastAsia="宋体" w:hAnsi="Times New Roman" w:cs="Times New Roman"/>
          <w:kern w:val="0"/>
          <w:sz w:val="28"/>
          <w:szCs w:val="28"/>
        </w:rPr>
        <w:t>污水管网规划</w:t>
      </w:r>
    </w:p>
    <w:p w14:paraId="23678905"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污水管网呈枝状布置形式。根据污水量分布，沿金海大道布置污水干管，管径</w:t>
      </w:r>
      <w:r>
        <w:rPr>
          <w:rFonts w:ascii="Times New Roman" w:eastAsia="宋体" w:hAnsi="Times New Roman" w:cs="Times New Roman"/>
          <w:kern w:val="0"/>
          <w:sz w:val="28"/>
          <w:szCs w:val="28"/>
        </w:rPr>
        <w:t>D500-D1000</w:t>
      </w:r>
      <w:r>
        <w:rPr>
          <w:rFonts w:ascii="Times New Roman" w:eastAsia="宋体" w:hAnsi="Times New Roman" w:cs="Times New Roman"/>
          <w:kern w:val="0"/>
          <w:sz w:val="28"/>
          <w:szCs w:val="28"/>
        </w:rPr>
        <w:t>毫米，其它沿规划道路布置</w:t>
      </w:r>
      <w:r>
        <w:rPr>
          <w:rFonts w:ascii="Times New Roman" w:eastAsia="宋体" w:hAnsi="Times New Roman" w:cs="Times New Roman"/>
          <w:kern w:val="0"/>
          <w:sz w:val="28"/>
          <w:szCs w:val="28"/>
        </w:rPr>
        <w:t>D400-D800</w:t>
      </w:r>
      <w:r>
        <w:rPr>
          <w:rFonts w:ascii="Times New Roman" w:eastAsia="宋体" w:hAnsi="Times New Roman" w:cs="Times New Roman"/>
          <w:kern w:val="0"/>
          <w:sz w:val="28"/>
          <w:szCs w:val="28"/>
        </w:rPr>
        <w:t>毫米的污水管道。逐步形成对本分区的全面覆盖，避免未经处理的污水直接排入水体，造成水环境污染。</w:t>
      </w:r>
    </w:p>
    <w:p w14:paraId="5600451B"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污水管原则上敷设在道路西</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南侧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的非机动车道下，根据用户分布预留过路管。污水管道起始端覆土厚度不宜小于</w:t>
      </w:r>
      <w:r>
        <w:rPr>
          <w:rFonts w:ascii="Times New Roman" w:eastAsia="宋体" w:hAnsi="Times New Roman" w:cs="Times New Roman"/>
          <w:kern w:val="0"/>
          <w:sz w:val="28"/>
          <w:szCs w:val="28"/>
        </w:rPr>
        <w:t>1.2</w:t>
      </w:r>
      <w:r>
        <w:rPr>
          <w:rFonts w:ascii="Times New Roman" w:eastAsia="宋体" w:hAnsi="Times New Roman" w:cs="Times New Roman"/>
          <w:kern w:val="0"/>
          <w:sz w:val="28"/>
          <w:szCs w:val="28"/>
        </w:rPr>
        <w:t>米，终端埋设深度不宜大于</w:t>
      </w:r>
      <w:r>
        <w:rPr>
          <w:rFonts w:ascii="Times New Roman" w:eastAsia="宋体" w:hAnsi="Times New Roman" w:cs="Times New Roman"/>
          <w:kern w:val="0"/>
          <w:sz w:val="28"/>
          <w:szCs w:val="28"/>
        </w:rPr>
        <w:t>7</w:t>
      </w:r>
      <w:r>
        <w:rPr>
          <w:rFonts w:ascii="Times New Roman" w:eastAsia="宋体" w:hAnsi="Times New Roman" w:cs="Times New Roman"/>
          <w:kern w:val="0"/>
          <w:sz w:val="28"/>
          <w:szCs w:val="28"/>
        </w:rPr>
        <w:t>米。污水厂排水管线为污水厂出水管线向南过兴庄河后沿现状老海堤内侧向南排入沙旺河入海口处。</w:t>
      </w:r>
    </w:p>
    <w:p w14:paraId="6367F0CD" w14:textId="77777777" w:rsidR="002133E3" w:rsidRDefault="00C22CFA">
      <w:pPr>
        <w:widowControl/>
        <w:spacing w:line="520" w:lineRule="exact"/>
        <w:ind w:firstLineChars="200" w:firstLine="562"/>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(3)</w:t>
      </w:r>
      <w:r>
        <w:rPr>
          <w:rFonts w:ascii="Times New Roman" w:eastAsia="宋体" w:hAnsi="Times New Roman" w:cs="Times New Roman"/>
          <w:b/>
          <w:bCs/>
          <w:kern w:val="0"/>
          <w:sz w:val="28"/>
          <w:szCs w:val="28"/>
        </w:rPr>
        <w:t>雨水工程规划</w:t>
      </w:r>
    </w:p>
    <w:p w14:paraId="258DDA11"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为避免地面径流过分集中，根据水体分布、地形地势条件，本着就近分散、自流排放的原则布置雨水系统。本地区雨水经管道汇集后就近排入规划区内水系，最终排至官庄河、兴庄河。</w:t>
      </w:r>
    </w:p>
    <w:p w14:paraId="4DF37FBD"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管网规划：雨水管网覆盖率为</w:t>
      </w:r>
      <w:r>
        <w:rPr>
          <w:rFonts w:ascii="Times New Roman" w:eastAsia="宋体" w:hAnsi="Times New Roman" w:cs="Times New Roman"/>
          <w:kern w:val="0"/>
          <w:sz w:val="28"/>
          <w:szCs w:val="28"/>
        </w:rPr>
        <w:t>100%</w:t>
      </w:r>
      <w:r>
        <w:rPr>
          <w:rFonts w:ascii="Times New Roman" w:eastAsia="宋体" w:hAnsi="Times New Roman" w:cs="Times New Roman"/>
          <w:kern w:val="0"/>
          <w:sz w:val="28"/>
          <w:szCs w:val="28"/>
        </w:rPr>
        <w:t>，雨水管道尽量沿路顺坡布置，以减少管道埋深。沿规划区道路布置</w:t>
      </w:r>
      <w:r>
        <w:rPr>
          <w:rFonts w:ascii="Times New Roman" w:eastAsia="宋体" w:hAnsi="Times New Roman" w:cs="Times New Roman"/>
          <w:kern w:val="0"/>
          <w:sz w:val="28"/>
          <w:szCs w:val="28"/>
        </w:rPr>
        <w:t>D800</w:t>
      </w:r>
      <w:r>
        <w:rPr>
          <w:rFonts w:ascii="Times New Roman" w:eastAsia="宋体" w:hAnsi="Times New Roman" w:cs="Times New Roman"/>
          <w:kern w:val="0"/>
          <w:sz w:val="28"/>
          <w:szCs w:val="28"/>
        </w:rPr>
        <w:t>毫米～</w:t>
      </w:r>
      <w:r>
        <w:rPr>
          <w:rFonts w:ascii="Times New Roman" w:eastAsia="宋体" w:hAnsi="Times New Roman" w:cs="Times New Roman"/>
          <w:kern w:val="0"/>
          <w:sz w:val="28"/>
          <w:szCs w:val="28"/>
        </w:rPr>
        <w:t>D1200</w:t>
      </w:r>
      <w:r>
        <w:rPr>
          <w:rFonts w:ascii="Times New Roman" w:eastAsia="宋体" w:hAnsi="Times New Roman" w:cs="Times New Roman"/>
          <w:kern w:val="0"/>
          <w:sz w:val="28"/>
          <w:szCs w:val="28"/>
        </w:rPr>
        <w:t>毫米的雨水管。雨水管原则上敷设在道路东侧或北侧的非机动车道下，根据用户分布预留过路管，当道路红线宽度超过</w:t>
      </w:r>
      <w:r>
        <w:rPr>
          <w:rFonts w:ascii="Times New Roman" w:eastAsia="宋体" w:hAnsi="Times New Roman" w:cs="Times New Roman"/>
          <w:kern w:val="0"/>
          <w:sz w:val="28"/>
          <w:szCs w:val="28"/>
        </w:rPr>
        <w:t>40</w:t>
      </w:r>
      <w:r>
        <w:rPr>
          <w:rFonts w:ascii="Times New Roman" w:eastAsia="宋体" w:hAnsi="Times New Roman" w:cs="Times New Roman"/>
          <w:kern w:val="0"/>
          <w:sz w:val="28"/>
          <w:szCs w:val="28"/>
        </w:rPr>
        <w:t>米时，宜两侧布置雨水管。雨水排放口内顶不低于多年平均洪水位，并在常水位以上。</w:t>
      </w:r>
    </w:p>
    <w:p w14:paraId="11784D08"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园区内企业界区内雨水应根据企业总图布置合理安排内部雨水收集体系，实现集中排放，企业雨水排放口设置雨水监测池及切断设施，经监测合格的雨水排入下一级管网或地表水系，如雨水受到污染应立即切断排放口并进行收集，防止事故污水通过雨水管道排入周边水体。</w:t>
      </w:r>
    </w:p>
    <w:p w14:paraId="4F2FD770"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另外，园区内人工水系进入外部水体前均设置水闸，若园区发生重大环境污染事故，事故污水进入地表水系，应立即关闭水闸，将污水截留在园区内部进行处理，避免污染进一步扩大，造成海洋污染。</w:t>
      </w:r>
      <w:r>
        <w:rPr>
          <w:rFonts w:ascii="Times New Roman" w:eastAsia="宋体" w:hAnsi="Times New Roman" w:cs="Times New Roman"/>
          <w:kern w:val="0"/>
          <w:sz w:val="28"/>
          <w:szCs w:val="28"/>
          <w:highlight w:val="yellow"/>
        </w:rPr>
        <w:t>园区雨水管网分布详见图</w:t>
      </w:r>
      <w:r>
        <w:rPr>
          <w:rFonts w:ascii="Times New Roman" w:eastAsia="宋体" w:hAnsi="Times New Roman" w:cs="Times New Roman"/>
          <w:kern w:val="0"/>
          <w:sz w:val="28"/>
          <w:szCs w:val="28"/>
          <w:highlight w:val="yellow"/>
        </w:rPr>
        <w:t>3.2-7</w:t>
      </w:r>
      <w:r>
        <w:rPr>
          <w:rFonts w:ascii="Times New Roman" w:eastAsia="宋体" w:hAnsi="Times New Roman" w:cs="Times New Roman"/>
          <w:kern w:val="0"/>
          <w:sz w:val="28"/>
          <w:szCs w:val="28"/>
          <w:highlight w:val="yellow"/>
        </w:rPr>
        <w:t>。</w:t>
      </w:r>
    </w:p>
    <w:p w14:paraId="7968D1FB"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(4)</w:t>
      </w:r>
      <w:r>
        <w:rPr>
          <w:rFonts w:ascii="Times New Roman" w:eastAsia="宋体" w:hAnsi="Times New Roman" w:cs="Times New Roman"/>
          <w:b/>
          <w:bCs/>
          <w:kern w:val="0"/>
          <w:sz w:val="28"/>
          <w:szCs w:val="28"/>
        </w:rPr>
        <w:t>供热工程规划</w:t>
      </w:r>
    </w:p>
    <w:p w14:paraId="454C7269"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1 \* GB3 </w:instrText>
      </w:r>
      <w:r>
        <w:rPr>
          <w:rFonts w:ascii="Times New Roman" w:eastAsia="宋体" w:hAnsi="Times New Roman" w:cs="Times New Roman"/>
          <w:kern w:val="0"/>
          <w:sz w:val="28"/>
          <w:szCs w:val="28"/>
        </w:rPr>
        <w:fldChar w:fldCharType="separate"/>
      </w:r>
      <w:r>
        <w:rPr>
          <w:rFonts w:ascii="宋体" w:eastAsia="宋体" w:hAnsi="宋体" w:cs="宋体" w:hint="eastAsia"/>
          <w:kern w:val="0"/>
          <w:sz w:val="28"/>
          <w:szCs w:val="28"/>
        </w:rPr>
        <w:t>①</w:t>
      </w:r>
      <w:r>
        <w:rPr>
          <w:rFonts w:ascii="Times New Roman" w:eastAsia="宋体" w:hAnsi="Times New Roman" w:cs="Times New Roman"/>
          <w:kern w:val="0"/>
          <w:sz w:val="28"/>
          <w:szCs w:val="28"/>
        </w:rPr>
        <w:fldChar w:fldCharType="end"/>
      </w:r>
      <w:r>
        <w:rPr>
          <w:rFonts w:ascii="Times New Roman" w:eastAsia="宋体" w:hAnsi="Times New Roman" w:cs="Times New Roman"/>
          <w:kern w:val="0"/>
          <w:sz w:val="28"/>
          <w:szCs w:val="28"/>
        </w:rPr>
        <w:t>热源规划</w:t>
      </w:r>
    </w:p>
    <w:p w14:paraId="20CDF319"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规划以热电厂为集中供热热源，优先利用工业余热。规划建设</w:t>
      </w:r>
      <w:r>
        <w:rPr>
          <w:rFonts w:ascii="Times New Roman" w:eastAsia="宋体" w:hAnsi="Times New Roman" w:cs="Times New Roman"/>
          <w:kern w:val="0"/>
          <w:sz w:val="28"/>
          <w:szCs w:val="28"/>
        </w:rPr>
        <w:t>4×400MW  F</w:t>
      </w:r>
      <w:r>
        <w:rPr>
          <w:rFonts w:ascii="Times New Roman" w:eastAsia="宋体" w:hAnsi="Times New Roman" w:cs="Times New Roman"/>
          <w:kern w:val="0"/>
          <w:sz w:val="28"/>
          <w:szCs w:val="28"/>
        </w:rPr>
        <w:t>级燃气蒸汽联合循环发电供热机组。其中一期建设</w:t>
      </w:r>
      <w:r>
        <w:rPr>
          <w:rFonts w:ascii="Times New Roman" w:eastAsia="宋体" w:hAnsi="Times New Roman" w:cs="Times New Roman"/>
          <w:kern w:val="0"/>
          <w:sz w:val="28"/>
          <w:szCs w:val="28"/>
        </w:rPr>
        <w:t>2×400MW  F</w:t>
      </w:r>
      <w:r>
        <w:rPr>
          <w:rFonts w:ascii="Times New Roman" w:eastAsia="宋体" w:hAnsi="Times New Roman" w:cs="Times New Roman"/>
          <w:kern w:val="0"/>
          <w:sz w:val="28"/>
          <w:szCs w:val="28"/>
        </w:rPr>
        <w:t>级燃气蒸汽联合循环发电供热机组，并同步建设供热管网及赣榆</w:t>
      </w:r>
      <w:r>
        <w:rPr>
          <w:rFonts w:ascii="Times New Roman" w:eastAsia="宋体" w:hAnsi="Times New Roman" w:cs="Times New Roman"/>
          <w:kern w:val="0"/>
          <w:sz w:val="28"/>
          <w:szCs w:val="28"/>
        </w:rPr>
        <w:t>LNG</w:t>
      </w:r>
      <w:r>
        <w:rPr>
          <w:rFonts w:ascii="Times New Roman" w:eastAsia="宋体" w:hAnsi="Times New Roman" w:cs="Times New Roman"/>
          <w:kern w:val="0"/>
          <w:sz w:val="28"/>
          <w:szCs w:val="28"/>
        </w:rPr>
        <w:t>上输站至电厂的天然气专用管线，作为</w:t>
      </w:r>
      <w:r>
        <w:rPr>
          <w:rFonts w:ascii="Times New Roman" w:eastAsia="宋体" w:hAnsi="Times New Roman" w:cs="Times New Roman"/>
          <w:kern w:val="0"/>
          <w:sz w:val="28"/>
          <w:szCs w:val="28"/>
        </w:rPr>
        <w:t>LNG</w:t>
      </w:r>
      <w:r>
        <w:rPr>
          <w:rFonts w:ascii="Times New Roman" w:eastAsia="宋体" w:hAnsi="Times New Roman" w:cs="Times New Roman"/>
          <w:kern w:val="0"/>
          <w:sz w:val="28"/>
          <w:szCs w:val="28"/>
        </w:rPr>
        <w:t>接收站配套项目，按照一台机组热电联产、一台机组电网及</w:t>
      </w:r>
      <w:r>
        <w:rPr>
          <w:rFonts w:ascii="Times New Roman" w:eastAsia="宋体" w:hAnsi="Times New Roman" w:cs="Times New Roman"/>
          <w:kern w:val="0"/>
          <w:sz w:val="28"/>
          <w:szCs w:val="28"/>
        </w:rPr>
        <w:t>LNG</w:t>
      </w:r>
      <w:r>
        <w:rPr>
          <w:rFonts w:ascii="Times New Roman" w:eastAsia="宋体" w:hAnsi="Times New Roman" w:cs="Times New Roman"/>
          <w:kern w:val="0"/>
          <w:sz w:val="28"/>
          <w:szCs w:val="28"/>
        </w:rPr>
        <w:t>管网双调峰设计，并预留扩建条件。项目燃料采用赣榆</w:t>
      </w:r>
      <w:r>
        <w:rPr>
          <w:rFonts w:ascii="Times New Roman" w:eastAsia="宋体" w:hAnsi="Times New Roman" w:cs="Times New Roman"/>
          <w:kern w:val="0"/>
          <w:sz w:val="28"/>
          <w:szCs w:val="28"/>
        </w:rPr>
        <w:t>LNG</w:t>
      </w:r>
      <w:r>
        <w:rPr>
          <w:rFonts w:ascii="Times New Roman" w:eastAsia="宋体" w:hAnsi="Times New Roman" w:cs="Times New Roman"/>
          <w:kern w:val="0"/>
          <w:sz w:val="28"/>
          <w:szCs w:val="28"/>
        </w:rPr>
        <w:t>接收站及中石化青宁线双气源供气。项目年耗气量</w:t>
      </w:r>
      <w:r>
        <w:rPr>
          <w:rFonts w:ascii="Times New Roman" w:eastAsia="宋体" w:hAnsi="Times New Roman" w:cs="Times New Roman"/>
          <w:kern w:val="0"/>
          <w:sz w:val="28"/>
          <w:szCs w:val="28"/>
        </w:rPr>
        <w:t>8</w:t>
      </w:r>
      <w:r>
        <w:rPr>
          <w:rFonts w:ascii="Times New Roman" w:eastAsia="宋体" w:hAnsi="Times New Roman" w:cs="Times New Roman"/>
          <w:kern w:val="0"/>
          <w:sz w:val="28"/>
          <w:szCs w:val="28"/>
        </w:rPr>
        <w:t>亿</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，设计热负荷</w:t>
      </w:r>
      <w:r>
        <w:rPr>
          <w:rFonts w:ascii="Times New Roman" w:eastAsia="宋体" w:hAnsi="Times New Roman" w:cs="Times New Roman"/>
          <w:kern w:val="0"/>
          <w:sz w:val="28"/>
          <w:szCs w:val="28"/>
        </w:rPr>
        <w:t>327t/h</w:t>
      </w:r>
      <w:r>
        <w:rPr>
          <w:rFonts w:ascii="Times New Roman" w:eastAsia="宋体" w:hAnsi="Times New Roman" w:cs="Times New Roman"/>
          <w:kern w:val="0"/>
          <w:sz w:val="28"/>
          <w:szCs w:val="28"/>
        </w:rPr>
        <w:t>，年发电量约</w:t>
      </w:r>
      <w:r>
        <w:rPr>
          <w:rFonts w:ascii="Times New Roman" w:eastAsia="宋体" w:hAnsi="Times New Roman" w:cs="Times New Roman"/>
          <w:kern w:val="0"/>
          <w:sz w:val="28"/>
          <w:szCs w:val="28"/>
        </w:rPr>
        <w:t>42</w:t>
      </w:r>
      <w:r>
        <w:rPr>
          <w:rFonts w:ascii="Times New Roman" w:eastAsia="宋体" w:hAnsi="Times New Roman" w:cs="Times New Roman"/>
          <w:kern w:val="0"/>
          <w:sz w:val="28"/>
          <w:szCs w:val="28"/>
        </w:rPr>
        <w:t>亿</w:t>
      </w:r>
      <w:r>
        <w:rPr>
          <w:rFonts w:ascii="Times New Roman" w:eastAsia="宋体" w:hAnsi="Times New Roman" w:cs="Times New Roman"/>
          <w:kern w:val="0"/>
          <w:sz w:val="28"/>
          <w:szCs w:val="28"/>
        </w:rPr>
        <w:t>kwh</w:t>
      </w:r>
      <w:r>
        <w:rPr>
          <w:rFonts w:ascii="Times New Roman" w:eastAsia="宋体" w:hAnsi="Times New Roman" w:cs="Times New Roman"/>
          <w:kern w:val="0"/>
          <w:sz w:val="28"/>
          <w:szCs w:val="28"/>
        </w:rPr>
        <w:t>，项目计划</w:t>
      </w:r>
      <w:r>
        <w:rPr>
          <w:rFonts w:ascii="Times New Roman" w:eastAsia="宋体" w:hAnsi="Times New Roman" w:cs="Times New Roman"/>
          <w:kern w:val="0"/>
          <w:sz w:val="28"/>
          <w:szCs w:val="28"/>
        </w:rPr>
        <w:t>2017</w:t>
      </w:r>
      <w:r>
        <w:rPr>
          <w:rFonts w:ascii="Times New Roman" w:eastAsia="宋体" w:hAnsi="Times New Roman" w:cs="Times New Roman"/>
          <w:kern w:val="0"/>
          <w:sz w:val="28"/>
          <w:szCs w:val="28"/>
        </w:rPr>
        <w:t>年通过省能源局组织的优选，</w:t>
      </w:r>
      <w:r>
        <w:rPr>
          <w:rFonts w:ascii="Times New Roman" w:eastAsia="宋体" w:hAnsi="Times New Roman" w:cs="Times New Roman"/>
          <w:kern w:val="0"/>
          <w:sz w:val="28"/>
          <w:szCs w:val="28"/>
        </w:rPr>
        <w:t>2018</w:t>
      </w:r>
      <w:r>
        <w:rPr>
          <w:rFonts w:ascii="Times New Roman" w:eastAsia="宋体" w:hAnsi="Times New Roman" w:cs="Times New Roman"/>
          <w:kern w:val="0"/>
          <w:sz w:val="28"/>
          <w:szCs w:val="28"/>
        </w:rPr>
        <w:t>年取得省能源局核准，</w:t>
      </w:r>
      <w:r>
        <w:rPr>
          <w:rFonts w:ascii="Times New Roman" w:eastAsia="宋体" w:hAnsi="Times New Roman" w:cs="Times New Roman"/>
          <w:kern w:val="0"/>
          <w:sz w:val="28"/>
          <w:szCs w:val="28"/>
        </w:rPr>
        <w:t>2019</w:t>
      </w:r>
      <w:r>
        <w:rPr>
          <w:rFonts w:ascii="Times New Roman" w:eastAsia="宋体" w:hAnsi="Times New Roman" w:cs="Times New Roman"/>
          <w:kern w:val="0"/>
          <w:sz w:val="28"/>
          <w:szCs w:val="28"/>
        </w:rPr>
        <w:t>年初开工建设，</w:t>
      </w:r>
      <w:r>
        <w:rPr>
          <w:rFonts w:ascii="Times New Roman" w:eastAsia="宋体" w:hAnsi="Times New Roman" w:cs="Times New Roman"/>
          <w:kern w:val="0"/>
          <w:sz w:val="28"/>
          <w:szCs w:val="28"/>
        </w:rPr>
        <w:t>2020</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月竣工投产。项目二期计划于</w:t>
      </w:r>
      <w:r>
        <w:rPr>
          <w:rFonts w:ascii="Times New Roman" w:eastAsia="宋体" w:hAnsi="Times New Roman" w:cs="Times New Roman"/>
          <w:kern w:val="0"/>
          <w:sz w:val="28"/>
          <w:szCs w:val="28"/>
        </w:rPr>
        <w:t>2025</w:t>
      </w:r>
      <w:r>
        <w:rPr>
          <w:rFonts w:ascii="Times New Roman" w:eastAsia="宋体" w:hAnsi="Times New Roman" w:cs="Times New Roman"/>
          <w:kern w:val="0"/>
          <w:sz w:val="28"/>
          <w:szCs w:val="28"/>
        </w:rPr>
        <w:t>年竣工投产。</w:t>
      </w:r>
    </w:p>
    <w:p w14:paraId="17F3CE77"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2 \* GB3 </w:instrText>
      </w:r>
      <w:r>
        <w:rPr>
          <w:rFonts w:ascii="Times New Roman" w:eastAsia="宋体" w:hAnsi="Times New Roman" w:cs="Times New Roman"/>
          <w:kern w:val="0"/>
          <w:sz w:val="28"/>
          <w:szCs w:val="28"/>
        </w:rPr>
        <w:fldChar w:fldCharType="separate"/>
      </w:r>
      <w:r>
        <w:rPr>
          <w:rFonts w:ascii="宋体" w:eastAsia="宋体" w:hAnsi="宋体" w:cs="宋体" w:hint="eastAsia"/>
          <w:kern w:val="0"/>
          <w:sz w:val="28"/>
          <w:szCs w:val="28"/>
        </w:rPr>
        <w:t>②</w:t>
      </w:r>
      <w:r>
        <w:rPr>
          <w:rFonts w:ascii="Times New Roman" w:eastAsia="宋体" w:hAnsi="Times New Roman" w:cs="Times New Roman"/>
          <w:kern w:val="0"/>
          <w:sz w:val="28"/>
          <w:szCs w:val="28"/>
        </w:rPr>
        <w:fldChar w:fldCharType="end"/>
      </w:r>
      <w:r>
        <w:rPr>
          <w:rFonts w:ascii="Times New Roman" w:eastAsia="宋体" w:hAnsi="Times New Roman" w:cs="Times New Roman"/>
          <w:kern w:val="0"/>
          <w:sz w:val="28"/>
          <w:szCs w:val="28"/>
        </w:rPr>
        <w:t>供热管网规划</w:t>
      </w:r>
    </w:p>
    <w:p w14:paraId="7F447089"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一级热网采用枝状布置的方式，主干管沿主干道布置，各组团热网干线由此主干线引出，管材应采用无缝钢管、电弧焊或高频焊焊接钢管；除景观有特殊要求外，蒸汽管道建议采用矿渣棉制品保温管道架空敷设，高温热水管道采用聚氨酯预制保温管道直埋敷设。热补偿应充分利用管道的转角管段进行自然补偿，在计算允许的前提下，宜采用无补偿敷设的方式。管道原则上布置在道路的西</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南</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侧。</w:t>
      </w:r>
    </w:p>
    <w:p w14:paraId="7F9E38A5"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(5)</w:t>
      </w:r>
      <w:r>
        <w:rPr>
          <w:rFonts w:ascii="Times New Roman" w:eastAsia="宋体" w:hAnsi="Times New Roman" w:cs="Times New Roman"/>
          <w:b/>
          <w:bCs/>
          <w:kern w:val="0"/>
          <w:sz w:val="28"/>
          <w:szCs w:val="28"/>
        </w:rPr>
        <w:t>固废处置规划</w:t>
      </w:r>
    </w:p>
    <w:p w14:paraId="73EFFBF6"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①</w:t>
      </w:r>
      <w:r>
        <w:rPr>
          <w:rFonts w:ascii="Times New Roman" w:eastAsia="宋体" w:hAnsi="Times New Roman" w:cs="Times New Roman"/>
          <w:kern w:val="0"/>
          <w:sz w:val="28"/>
          <w:szCs w:val="28"/>
        </w:rPr>
        <w:t>一般工业固废</w:t>
      </w:r>
    </w:p>
    <w:p w14:paraId="58A20D78"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园区产业定位，园区一般固废主要为生物发酵槽渣、沼渣、机械加工边角料。酒精发酵槽渣、沼渣可作为饲料、有机肥加工原料外售，符合酒精行业循环经济模式。机械加工边角料主要为废钢、铁，具有一定的回收价值。园区一般固废综合利用率可达</w:t>
      </w:r>
      <w:r>
        <w:rPr>
          <w:rFonts w:ascii="Times New Roman" w:eastAsia="宋体" w:hAnsi="Times New Roman" w:cs="Times New Roman"/>
          <w:kern w:val="0"/>
          <w:sz w:val="28"/>
          <w:szCs w:val="28"/>
        </w:rPr>
        <w:t>100%</w:t>
      </w:r>
      <w:r>
        <w:rPr>
          <w:rFonts w:ascii="Times New Roman" w:eastAsia="宋体" w:hAnsi="Times New Roman" w:cs="Times New Roman"/>
          <w:kern w:val="0"/>
          <w:sz w:val="28"/>
          <w:szCs w:val="28"/>
        </w:rPr>
        <w:t>。</w:t>
      </w:r>
    </w:p>
    <w:p w14:paraId="5BEB8D3C"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lastRenderedPageBreak/>
        <w:t>②</w:t>
      </w:r>
      <w:r>
        <w:rPr>
          <w:rFonts w:ascii="Times New Roman" w:eastAsia="宋体" w:hAnsi="Times New Roman" w:cs="Times New Roman"/>
          <w:kern w:val="0"/>
          <w:sz w:val="28"/>
          <w:szCs w:val="28"/>
        </w:rPr>
        <w:t>危险废物</w:t>
      </w:r>
    </w:p>
    <w:p w14:paraId="76960C10"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园区未规划设置集中危险处置中心。目前，连云港市已建成危废物处置设施项目</w:t>
      </w:r>
      <w:r>
        <w:rPr>
          <w:rFonts w:ascii="Times New Roman" w:eastAsia="宋体" w:hAnsi="Times New Roman" w:cs="Times New Roman"/>
          <w:kern w:val="0"/>
          <w:sz w:val="28"/>
          <w:szCs w:val="28"/>
        </w:rPr>
        <w:t>14</w:t>
      </w:r>
      <w:r>
        <w:rPr>
          <w:rFonts w:ascii="Times New Roman" w:eastAsia="宋体" w:hAnsi="Times New Roman" w:cs="Times New Roman"/>
          <w:kern w:val="0"/>
          <w:sz w:val="28"/>
          <w:szCs w:val="28"/>
        </w:rPr>
        <w:t>个，在建设危废处置设施项目</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个。园区危险废物根据形态、性质不同选取合适的方式委托处置。</w:t>
      </w:r>
    </w:p>
    <w:p w14:paraId="7559B6C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基础设施建设情况</w:t>
      </w:r>
    </w:p>
    <w:p w14:paraId="0DC5B89A"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fldChar w:fldCharType="begin"/>
      </w:r>
      <w:r>
        <w:rPr>
          <w:rFonts w:ascii="Times New Roman" w:eastAsia="宋体" w:hAnsi="Times New Roman" w:cs="Times New Roman"/>
          <w:b/>
          <w:bCs/>
          <w:kern w:val="0"/>
          <w:sz w:val="28"/>
          <w:szCs w:val="28"/>
        </w:rPr>
        <w:instrText xml:space="preserve"> = 1 \* GB2 </w:instrText>
      </w:r>
      <w:r>
        <w:rPr>
          <w:rFonts w:ascii="Times New Roman" w:eastAsia="宋体" w:hAnsi="Times New Roman" w:cs="Times New Roman"/>
          <w:b/>
          <w:bCs/>
          <w:kern w:val="0"/>
          <w:sz w:val="28"/>
          <w:szCs w:val="28"/>
        </w:rPr>
        <w:fldChar w:fldCharType="separate"/>
      </w:r>
      <w:r>
        <w:rPr>
          <w:rFonts w:ascii="宋体" w:eastAsia="宋体" w:hAnsi="宋体" w:cs="宋体" w:hint="eastAsia"/>
          <w:b/>
          <w:bCs/>
          <w:kern w:val="0"/>
          <w:sz w:val="28"/>
          <w:szCs w:val="28"/>
        </w:rPr>
        <w:t>⑴</w:t>
      </w:r>
      <w:r>
        <w:rPr>
          <w:rFonts w:ascii="Times New Roman" w:eastAsia="宋体" w:hAnsi="Times New Roman" w:cs="Times New Roman"/>
          <w:b/>
          <w:bCs/>
          <w:kern w:val="0"/>
          <w:sz w:val="28"/>
          <w:szCs w:val="28"/>
        </w:rPr>
        <w:fldChar w:fldCharType="end"/>
      </w:r>
      <w:r>
        <w:rPr>
          <w:rFonts w:ascii="Times New Roman" w:eastAsia="宋体" w:hAnsi="Times New Roman" w:cs="Times New Roman"/>
          <w:b/>
          <w:bCs/>
          <w:kern w:val="0"/>
          <w:sz w:val="28"/>
          <w:szCs w:val="28"/>
        </w:rPr>
        <w:t>给水</w:t>
      </w:r>
    </w:p>
    <w:p w14:paraId="7547AA5C" w14:textId="77777777" w:rsidR="002133E3" w:rsidRDefault="00C22CFA">
      <w:pPr>
        <w:widowControl/>
        <w:spacing w:line="520" w:lineRule="exact"/>
        <w:ind w:firstLineChars="200" w:firstLine="560"/>
        <w:rPr>
          <w:rFonts w:ascii="Times New Roman" w:eastAsia="宋体" w:hAnsi="Times New Roman" w:cs="Times New Roman"/>
          <w:b/>
          <w:bCs/>
          <w:kern w:val="0"/>
          <w:sz w:val="28"/>
          <w:szCs w:val="28"/>
        </w:rPr>
      </w:pPr>
      <w:r>
        <w:rPr>
          <w:rFonts w:ascii="Times New Roman" w:eastAsia="宋体" w:hAnsi="Times New Roman" w:cs="Times New Roman"/>
          <w:kern w:val="0"/>
          <w:sz w:val="28"/>
          <w:szCs w:val="28"/>
        </w:rPr>
        <w:t>园区工业用水来自兴庄河水厂，现有规模</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万吨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天，园区生活用水来自塔山水厂，目前总供水能力为</w:t>
      </w:r>
      <w:r>
        <w:rPr>
          <w:rFonts w:ascii="Times New Roman" w:eastAsia="宋体" w:hAnsi="Times New Roman" w:cs="Times New Roman"/>
          <w:kern w:val="0"/>
          <w:sz w:val="28"/>
          <w:szCs w:val="28"/>
        </w:rPr>
        <w:t>4</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m³/d</w:t>
      </w:r>
      <w:r>
        <w:rPr>
          <w:rFonts w:ascii="Times New Roman" w:eastAsia="宋体" w:hAnsi="Times New Roman" w:cs="Times New Roman"/>
          <w:kern w:val="0"/>
          <w:sz w:val="28"/>
          <w:szCs w:val="28"/>
        </w:rPr>
        <w:t>。</w:t>
      </w:r>
    </w:p>
    <w:p w14:paraId="595F7106"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(2)</w:t>
      </w:r>
      <w:r>
        <w:rPr>
          <w:rFonts w:ascii="Times New Roman" w:eastAsia="宋体" w:hAnsi="Times New Roman" w:cs="Times New Roman"/>
          <w:b/>
          <w:bCs/>
          <w:kern w:val="0"/>
          <w:sz w:val="28"/>
          <w:szCs w:val="28"/>
        </w:rPr>
        <w:t>排水</w:t>
      </w:r>
    </w:p>
    <w:p w14:paraId="3D7FD8B5"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目前，园区内企业已经全部接管，送入通海污水处理厂处理。</w:t>
      </w:r>
    </w:p>
    <w:p w14:paraId="6CA97650"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通海污水处理厂位于园区东南角，目前已建成</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条</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的污水处理线，于</w:t>
      </w:r>
      <w:r>
        <w:rPr>
          <w:rFonts w:ascii="Times New Roman" w:eastAsia="宋体" w:hAnsi="Times New Roman" w:cs="Times New Roman"/>
          <w:kern w:val="0"/>
          <w:sz w:val="28"/>
          <w:szCs w:val="28"/>
        </w:rPr>
        <w:t>2012</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7</w:t>
      </w:r>
      <w:r>
        <w:rPr>
          <w:rFonts w:ascii="Times New Roman" w:eastAsia="宋体" w:hAnsi="Times New Roman" w:cs="Times New Roman"/>
          <w:kern w:val="0"/>
          <w:sz w:val="28"/>
          <w:szCs w:val="28"/>
        </w:rPr>
        <w:t>月通过验收，采用一体化奥贝尔氧化沟处理工艺。但由于污水处理厂设计工艺以接纳生活污水为主，与实际以工业废水为主不相符，污水处理系统无法稳定达标运转。环保部于</w:t>
      </w:r>
      <w:r>
        <w:rPr>
          <w:rFonts w:ascii="Times New Roman" w:eastAsia="宋体" w:hAnsi="Times New Roman" w:cs="Times New Roman"/>
          <w:kern w:val="0"/>
          <w:sz w:val="28"/>
          <w:szCs w:val="28"/>
        </w:rPr>
        <w:t>2013</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9</w:t>
      </w:r>
      <w:r>
        <w:rPr>
          <w:rFonts w:ascii="Times New Roman" w:eastAsia="宋体" w:hAnsi="Times New Roman" w:cs="Times New Roman"/>
          <w:kern w:val="0"/>
          <w:sz w:val="28"/>
          <w:szCs w:val="28"/>
        </w:rPr>
        <w:t>月挂牌督查责令整改，通海污水处理厂于</w:t>
      </w:r>
      <w:r>
        <w:rPr>
          <w:rFonts w:ascii="Times New Roman" w:eastAsia="宋体" w:hAnsi="Times New Roman" w:cs="Times New Roman"/>
          <w:kern w:val="0"/>
          <w:sz w:val="28"/>
          <w:szCs w:val="28"/>
        </w:rPr>
        <w:t>2014</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月完成改造，于</w:t>
      </w:r>
      <w:r>
        <w:rPr>
          <w:rFonts w:ascii="Times New Roman" w:eastAsia="宋体" w:hAnsi="Times New Roman" w:cs="Times New Roman"/>
          <w:kern w:val="0"/>
          <w:sz w:val="28"/>
          <w:szCs w:val="28"/>
        </w:rPr>
        <w:t>2014</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7</w:t>
      </w:r>
      <w:r>
        <w:rPr>
          <w:rFonts w:ascii="Times New Roman" w:eastAsia="宋体" w:hAnsi="Times New Roman" w:cs="Times New Roman"/>
          <w:kern w:val="0"/>
          <w:sz w:val="28"/>
          <w:szCs w:val="28"/>
        </w:rPr>
        <w:t>月通过了验收监测达标，于</w:t>
      </w:r>
      <w:r>
        <w:rPr>
          <w:rFonts w:ascii="Times New Roman" w:eastAsia="宋体" w:hAnsi="Times New Roman" w:cs="Times New Roman"/>
          <w:kern w:val="0"/>
          <w:sz w:val="28"/>
          <w:szCs w:val="28"/>
        </w:rPr>
        <w:t>2014</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9</w:t>
      </w:r>
      <w:r>
        <w:rPr>
          <w:rFonts w:ascii="Times New Roman" w:eastAsia="宋体" w:hAnsi="Times New Roman" w:cs="Times New Roman"/>
          <w:kern w:val="0"/>
          <w:sz w:val="28"/>
          <w:szCs w:val="28"/>
        </w:rPr>
        <w:t>月摘牌正式投入运行。通海污水处理厂经整改后，采用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格栅</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初沉池</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水解酸化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氧化沟</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化学氧化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气浮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过滤</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消毒</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处理工艺，现状通海污水处理厂尾水通过通道排入兴庄河闸下入海。</w:t>
      </w:r>
    </w:p>
    <w:p w14:paraId="3C2CBDBE" w14:textId="77777777" w:rsidR="002133E3" w:rsidRDefault="00C22CFA">
      <w:pPr>
        <w:widowControl/>
        <w:spacing w:line="520" w:lineRule="exact"/>
        <w:ind w:firstLineChars="200" w:firstLine="562"/>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(3)</w:t>
      </w:r>
      <w:r>
        <w:rPr>
          <w:rFonts w:ascii="Times New Roman" w:eastAsia="宋体" w:hAnsi="Times New Roman" w:cs="Times New Roman"/>
          <w:b/>
          <w:bCs/>
          <w:kern w:val="0"/>
          <w:sz w:val="28"/>
          <w:szCs w:val="28"/>
        </w:rPr>
        <w:t>供热</w:t>
      </w:r>
    </w:p>
    <w:p w14:paraId="1B780468"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目前，园区供热中心建有</w:t>
      </w:r>
      <w:r>
        <w:rPr>
          <w:rFonts w:ascii="Times New Roman" w:eastAsia="宋体" w:hAnsi="Times New Roman" w:cs="Times New Roman"/>
          <w:kern w:val="0"/>
          <w:sz w:val="28"/>
          <w:szCs w:val="28"/>
        </w:rPr>
        <w:t>2×75t/h</w:t>
      </w:r>
      <w:r>
        <w:rPr>
          <w:rFonts w:ascii="Times New Roman" w:eastAsia="宋体" w:hAnsi="Times New Roman" w:cs="Times New Roman"/>
          <w:kern w:val="0"/>
          <w:sz w:val="28"/>
          <w:szCs w:val="28"/>
        </w:rPr>
        <w:t>的供热锅炉，由江苏金茂源公司为园区建设，供整个园区的企业用热所需。</w:t>
      </w:r>
    </w:p>
    <w:p w14:paraId="664DD036"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目前由江苏世友炭材有限公司年产</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万吨石油煅后焦产品项目余热作为园区的临时供热中心。一期已建项目可提供</w:t>
      </w:r>
      <w:r>
        <w:rPr>
          <w:rFonts w:ascii="Times New Roman" w:eastAsia="宋体" w:hAnsi="Times New Roman" w:cs="Times New Roman"/>
          <w:kern w:val="0"/>
          <w:sz w:val="28"/>
          <w:szCs w:val="28"/>
        </w:rPr>
        <w:t>8t/h</w:t>
      </w:r>
      <w:r>
        <w:rPr>
          <w:rFonts w:ascii="Times New Roman" w:eastAsia="宋体" w:hAnsi="Times New Roman" w:cs="Times New Roman"/>
          <w:kern w:val="0"/>
          <w:sz w:val="28"/>
          <w:szCs w:val="28"/>
        </w:rPr>
        <w:t>的供热能力，主要服务企业有连云港德洋化工有限公司、赣榆区中海骨粉加工有限公司、健发磁性材料有限公司、连云港市连大管桩工程有限公司，二期</w:t>
      </w:r>
      <w:r>
        <w:rPr>
          <w:rFonts w:ascii="Times New Roman" w:eastAsia="宋体" w:hAnsi="Times New Roman" w:cs="Times New Roman"/>
          <w:kern w:val="0"/>
          <w:sz w:val="28"/>
          <w:szCs w:val="28"/>
        </w:rPr>
        <w:t>8t/h</w:t>
      </w:r>
      <w:r>
        <w:rPr>
          <w:rFonts w:ascii="Times New Roman" w:eastAsia="宋体" w:hAnsi="Times New Roman" w:cs="Times New Roman"/>
          <w:kern w:val="0"/>
          <w:sz w:val="28"/>
          <w:szCs w:val="28"/>
        </w:rPr>
        <w:t>余热项目在建。海头热电厂未建设。</w:t>
      </w:r>
    </w:p>
    <w:p w14:paraId="52399DE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居民搬迁计划</w:t>
      </w:r>
    </w:p>
    <w:p w14:paraId="076C8609"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bookmarkStart w:id="17" w:name="_Toc407554103"/>
      <w:r>
        <w:rPr>
          <w:rFonts w:ascii="Times New Roman" w:eastAsia="宋体" w:hAnsi="Times New Roman" w:cs="Times New Roman"/>
          <w:kern w:val="0"/>
          <w:sz w:val="28"/>
          <w:szCs w:val="28"/>
        </w:rPr>
        <w:lastRenderedPageBreak/>
        <w:t>在产业区建设过程中，海洋工业区内涉及到搬迁安置的居民主要有及周边的赵沙村、李巷村、兴后村、兴前村、海脐村和梁沙村。据调查，截止到目前为止，由于多种原因，产业区需搬迁的居民未能及时搬迁。</w:t>
      </w:r>
    </w:p>
    <w:p w14:paraId="695EC130"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对于区内的居民与企业的分布情况，按照企业防护距离内的居民立即搬迁，未开发区域内的居民随着园区的土地开发进度适时进行搬迁的原则制定搬迁计划。具体搬迁计划见表</w:t>
      </w:r>
      <w:r>
        <w:rPr>
          <w:rFonts w:ascii="Times New Roman" w:eastAsia="宋体" w:hAnsi="Times New Roman" w:cs="Times New Roman"/>
          <w:kern w:val="0"/>
          <w:sz w:val="28"/>
          <w:szCs w:val="28"/>
        </w:rPr>
        <w:t>2.7-2</w:t>
      </w:r>
      <w:r>
        <w:rPr>
          <w:rFonts w:ascii="Times New Roman" w:eastAsia="宋体" w:hAnsi="Times New Roman" w:cs="Times New Roman"/>
          <w:kern w:val="0"/>
          <w:sz w:val="28"/>
          <w:szCs w:val="28"/>
        </w:rPr>
        <w:t>。</w:t>
      </w:r>
    </w:p>
    <w:p w14:paraId="732637EF"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2.7-2  </w:t>
      </w:r>
      <w:r>
        <w:rPr>
          <w:rFonts w:ascii="Times New Roman" w:eastAsia="宋体" w:hAnsi="Times New Roman" w:cs="Times New Roman"/>
          <w:b/>
          <w:bCs/>
          <w:sz w:val="24"/>
          <w:szCs w:val="20"/>
        </w:rPr>
        <w:t>人口搬迁计划表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850"/>
        <w:gridCol w:w="709"/>
        <w:gridCol w:w="3260"/>
        <w:gridCol w:w="992"/>
        <w:gridCol w:w="1701"/>
        <w:gridCol w:w="1524"/>
      </w:tblGrid>
      <w:tr w:rsidR="002133E3" w14:paraId="03A1740F" w14:textId="77777777">
        <w:trPr>
          <w:trHeight w:val="340"/>
          <w:jc w:val="center"/>
        </w:trPr>
        <w:tc>
          <w:tcPr>
            <w:tcW w:w="421" w:type="dxa"/>
            <w:vAlign w:val="center"/>
          </w:tcPr>
          <w:p w14:paraId="1C3CC270"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850" w:type="dxa"/>
            <w:vAlign w:val="center"/>
          </w:tcPr>
          <w:p w14:paraId="61FC0AD7"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位置</w:t>
            </w:r>
          </w:p>
        </w:tc>
        <w:tc>
          <w:tcPr>
            <w:tcW w:w="709" w:type="dxa"/>
            <w:vAlign w:val="center"/>
          </w:tcPr>
          <w:p w14:paraId="1D38D73D"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片区</w:t>
            </w:r>
          </w:p>
        </w:tc>
        <w:tc>
          <w:tcPr>
            <w:tcW w:w="3260" w:type="dxa"/>
            <w:vAlign w:val="center"/>
          </w:tcPr>
          <w:p w14:paraId="28A5FFAD"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村庄</w:t>
            </w:r>
          </w:p>
        </w:tc>
        <w:tc>
          <w:tcPr>
            <w:tcW w:w="992" w:type="dxa"/>
            <w:vAlign w:val="center"/>
          </w:tcPr>
          <w:p w14:paraId="034E5263"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需搬迁户数</w:t>
            </w:r>
          </w:p>
        </w:tc>
        <w:tc>
          <w:tcPr>
            <w:tcW w:w="1701" w:type="dxa"/>
            <w:vAlign w:val="center"/>
          </w:tcPr>
          <w:p w14:paraId="6EBB5ED4"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企业卫生防护距离内立即搬迁</w:t>
            </w:r>
          </w:p>
        </w:tc>
        <w:tc>
          <w:tcPr>
            <w:tcW w:w="1524" w:type="dxa"/>
            <w:vAlign w:val="center"/>
          </w:tcPr>
          <w:p w14:paraId="2531D412"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随园区开发进度适时搬迁</w:t>
            </w:r>
          </w:p>
        </w:tc>
      </w:tr>
      <w:tr w:rsidR="002133E3" w14:paraId="000619DA" w14:textId="77777777">
        <w:trPr>
          <w:trHeight w:val="340"/>
          <w:jc w:val="center"/>
        </w:trPr>
        <w:tc>
          <w:tcPr>
            <w:tcW w:w="421" w:type="dxa"/>
            <w:vMerge w:val="restart"/>
            <w:vAlign w:val="center"/>
          </w:tcPr>
          <w:p w14:paraId="63EE1BC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850" w:type="dxa"/>
            <w:vMerge w:val="restart"/>
            <w:vAlign w:val="center"/>
          </w:tcPr>
          <w:p w14:paraId="40AD2B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园区内</w:t>
            </w:r>
          </w:p>
        </w:tc>
        <w:tc>
          <w:tcPr>
            <w:tcW w:w="709" w:type="dxa"/>
            <w:vMerge w:val="restart"/>
            <w:vAlign w:val="center"/>
          </w:tcPr>
          <w:p w14:paraId="4E6568D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海洋工业片区</w:t>
            </w:r>
          </w:p>
        </w:tc>
        <w:tc>
          <w:tcPr>
            <w:tcW w:w="3260" w:type="dxa"/>
            <w:vAlign w:val="center"/>
          </w:tcPr>
          <w:p w14:paraId="2374336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赵沙村</w:t>
            </w:r>
          </w:p>
        </w:tc>
        <w:tc>
          <w:tcPr>
            <w:tcW w:w="992" w:type="dxa"/>
            <w:vAlign w:val="center"/>
          </w:tcPr>
          <w:p w14:paraId="3BE510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150</w:t>
            </w:r>
            <w:r>
              <w:rPr>
                <w:rFonts w:ascii="Times New Roman" w:eastAsia="宋体" w:hAnsi="Times New Roman" w:cs="Times New Roman"/>
                <w:kern w:val="0"/>
                <w:szCs w:val="21"/>
              </w:rPr>
              <w:t>户</w:t>
            </w:r>
          </w:p>
        </w:tc>
        <w:tc>
          <w:tcPr>
            <w:tcW w:w="1701" w:type="dxa"/>
            <w:vAlign w:val="center"/>
          </w:tcPr>
          <w:p w14:paraId="5DAA37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66199F6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150</w:t>
            </w:r>
            <w:r>
              <w:rPr>
                <w:rFonts w:ascii="Times New Roman" w:eastAsia="宋体" w:hAnsi="Times New Roman" w:cs="Times New Roman"/>
                <w:kern w:val="0"/>
                <w:szCs w:val="21"/>
              </w:rPr>
              <w:t>户</w:t>
            </w:r>
          </w:p>
        </w:tc>
      </w:tr>
      <w:tr w:rsidR="002133E3" w14:paraId="674BD273" w14:textId="77777777">
        <w:trPr>
          <w:trHeight w:val="340"/>
          <w:jc w:val="center"/>
        </w:trPr>
        <w:tc>
          <w:tcPr>
            <w:tcW w:w="421" w:type="dxa"/>
            <w:vMerge/>
            <w:vAlign w:val="center"/>
          </w:tcPr>
          <w:p w14:paraId="051A8056"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64BA294D"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54CF5019"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3040B0A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李巷村</w:t>
            </w:r>
          </w:p>
        </w:tc>
        <w:tc>
          <w:tcPr>
            <w:tcW w:w="992" w:type="dxa"/>
            <w:vAlign w:val="center"/>
          </w:tcPr>
          <w:p w14:paraId="3CC54A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685</w:t>
            </w:r>
            <w:r>
              <w:rPr>
                <w:rFonts w:ascii="Times New Roman" w:eastAsia="宋体" w:hAnsi="Times New Roman" w:cs="Times New Roman"/>
                <w:kern w:val="0"/>
                <w:szCs w:val="21"/>
              </w:rPr>
              <w:t>户</w:t>
            </w:r>
          </w:p>
        </w:tc>
        <w:tc>
          <w:tcPr>
            <w:tcW w:w="1701" w:type="dxa"/>
            <w:vAlign w:val="center"/>
          </w:tcPr>
          <w:p w14:paraId="77B804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69A12D1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615</w:t>
            </w:r>
            <w:r>
              <w:rPr>
                <w:rFonts w:ascii="Times New Roman" w:eastAsia="宋体" w:hAnsi="Times New Roman" w:cs="Times New Roman"/>
                <w:kern w:val="0"/>
                <w:szCs w:val="21"/>
              </w:rPr>
              <w:t>户</w:t>
            </w:r>
          </w:p>
        </w:tc>
      </w:tr>
      <w:tr w:rsidR="002133E3" w14:paraId="0C1CDA8B" w14:textId="77777777">
        <w:trPr>
          <w:trHeight w:val="340"/>
          <w:jc w:val="center"/>
        </w:trPr>
        <w:tc>
          <w:tcPr>
            <w:tcW w:w="421" w:type="dxa"/>
            <w:vMerge/>
            <w:vAlign w:val="center"/>
          </w:tcPr>
          <w:p w14:paraId="62D572B9"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319F0118"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3BF9C00C"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77496D6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匡口村</w:t>
            </w:r>
          </w:p>
        </w:tc>
        <w:tc>
          <w:tcPr>
            <w:tcW w:w="992" w:type="dxa"/>
            <w:vAlign w:val="center"/>
          </w:tcPr>
          <w:p w14:paraId="56F677C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458</w:t>
            </w:r>
            <w:r>
              <w:rPr>
                <w:rFonts w:ascii="Times New Roman" w:eastAsia="宋体" w:hAnsi="Times New Roman" w:cs="Times New Roman"/>
                <w:kern w:val="0"/>
                <w:szCs w:val="21"/>
              </w:rPr>
              <w:t>户</w:t>
            </w:r>
          </w:p>
        </w:tc>
        <w:tc>
          <w:tcPr>
            <w:tcW w:w="1701" w:type="dxa"/>
            <w:vAlign w:val="center"/>
          </w:tcPr>
          <w:p w14:paraId="485E27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5F20E5C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458</w:t>
            </w:r>
            <w:r>
              <w:rPr>
                <w:rFonts w:ascii="Times New Roman" w:eastAsia="宋体" w:hAnsi="Times New Roman" w:cs="Times New Roman"/>
                <w:kern w:val="0"/>
                <w:szCs w:val="21"/>
              </w:rPr>
              <w:t>户</w:t>
            </w:r>
          </w:p>
        </w:tc>
      </w:tr>
      <w:tr w:rsidR="002133E3" w14:paraId="683E3F02" w14:textId="77777777">
        <w:trPr>
          <w:trHeight w:val="340"/>
          <w:jc w:val="center"/>
        </w:trPr>
        <w:tc>
          <w:tcPr>
            <w:tcW w:w="421" w:type="dxa"/>
            <w:vMerge/>
            <w:vAlign w:val="center"/>
          </w:tcPr>
          <w:p w14:paraId="49F8BDA5"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669030CA"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44ACAB05"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2F29BF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新河村</w:t>
            </w:r>
          </w:p>
        </w:tc>
        <w:tc>
          <w:tcPr>
            <w:tcW w:w="992" w:type="dxa"/>
            <w:vAlign w:val="center"/>
          </w:tcPr>
          <w:p w14:paraId="6FA08B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r>
              <w:rPr>
                <w:rFonts w:ascii="Times New Roman" w:eastAsia="宋体" w:hAnsi="Times New Roman" w:cs="Times New Roman"/>
                <w:kern w:val="0"/>
                <w:szCs w:val="21"/>
              </w:rPr>
              <w:t>户</w:t>
            </w:r>
          </w:p>
        </w:tc>
        <w:tc>
          <w:tcPr>
            <w:tcW w:w="1701" w:type="dxa"/>
            <w:vAlign w:val="center"/>
          </w:tcPr>
          <w:p w14:paraId="7D03CAF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158D493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r>
              <w:rPr>
                <w:rFonts w:ascii="Times New Roman" w:eastAsia="宋体" w:hAnsi="Times New Roman" w:cs="Times New Roman"/>
                <w:kern w:val="0"/>
                <w:szCs w:val="21"/>
              </w:rPr>
              <w:t>户</w:t>
            </w:r>
          </w:p>
        </w:tc>
      </w:tr>
      <w:tr w:rsidR="002133E3" w14:paraId="1E6AB99E" w14:textId="77777777">
        <w:trPr>
          <w:trHeight w:val="357"/>
          <w:jc w:val="center"/>
        </w:trPr>
        <w:tc>
          <w:tcPr>
            <w:tcW w:w="421" w:type="dxa"/>
            <w:vMerge/>
            <w:vAlign w:val="center"/>
          </w:tcPr>
          <w:p w14:paraId="370417E1"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3314D8A6"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41C81DD7"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352D8A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大兴庄村</w:t>
            </w:r>
            <w:r>
              <w:rPr>
                <w:rFonts w:ascii="Times New Roman" w:eastAsia="宋体" w:hAnsi="Times New Roman" w:cs="Times New Roman"/>
                <w:kern w:val="0"/>
                <w:szCs w:val="21"/>
              </w:rPr>
              <w:t>(</w:t>
            </w:r>
            <w:r>
              <w:rPr>
                <w:rFonts w:ascii="Times New Roman" w:eastAsia="宋体" w:hAnsi="Times New Roman" w:cs="Times New Roman"/>
                <w:kern w:val="0"/>
                <w:szCs w:val="21"/>
              </w:rPr>
              <w:t>兴前村、兴后村</w:t>
            </w:r>
            <w:r>
              <w:rPr>
                <w:rFonts w:ascii="Times New Roman" w:eastAsia="宋体" w:hAnsi="Times New Roman" w:cs="Times New Roman"/>
                <w:kern w:val="0"/>
                <w:szCs w:val="21"/>
              </w:rPr>
              <w:t>)</w:t>
            </w:r>
          </w:p>
        </w:tc>
        <w:tc>
          <w:tcPr>
            <w:tcW w:w="992" w:type="dxa"/>
            <w:vAlign w:val="center"/>
          </w:tcPr>
          <w:p w14:paraId="2F1A24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1282</w:t>
            </w:r>
            <w:r>
              <w:rPr>
                <w:rFonts w:ascii="Times New Roman" w:eastAsia="宋体" w:hAnsi="Times New Roman" w:cs="Times New Roman"/>
                <w:kern w:val="0"/>
                <w:szCs w:val="21"/>
              </w:rPr>
              <w:t>户</w:t>
            </w:r>
          </w:p>
        </w:tc>
        <w:tc>
          <w:tcPr>
            <w:tcW w:w="1701" w:type="dxa"/>
            <w:vAlign w:val="center"/>
          </w:tcPr>
          <w:p w14:paraId="18F9376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2BCE24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1282</w:t>
            </w:r>
            <w:r>
              <w:rPr>
                <w:rFonts w:ascii="Times New Roman" w:eastAsia="宋体" w:hAnsi="Times New Roman" w:cs="Times New Roman"/>
                <w:kern w:val="0"/>
                <w:szCs w:val="21"/>
              </w:rPr>
              <w:t>户</w:t>
            </w:r>
          </w:p>
        </w:tc>
      </w:tr>
      <w:tr w:rsidR="002133E3" w14:paraId="0FE5F89D" w14:textId="77777777">
        <w:trPr>
          <w:trHeight w:val="369"/>
          <w:jc w:val="center"/>
        </w:trPr>
        <w:tc>
          <w:tcPr>
            <w:tcW w:w="421" w:type="dxa"/>
            <w:vMerge/>
            <w:vAlign w:val="center"/>
          </w:tcPr>
          <w:p w14:paraId="7F5F93FF"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10BDA749"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56C7428E"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355133C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兴庄小学</w:t>
            </w:r>
          </w:p>
        </w:tc>
        <w:tc>
          <w:tcPr>
            <w:tcW w:w="992" w:type="dxa"/>
            <w:vAlign w:val="center"/>
          </w:tcPr>
          <w:p w14:paraId="073C2C3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701" w:type="dxa"/>
            <w:vAlign w:val="center"/>
          </w:tcPr>
          <w:p w14:paraId="2A79FCE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24E8BEA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搬迁</w:t>
            </w:r>
          </w:p>
        </w:tc>
      </w:tr>
      <w:tr w:rsidR="002133E3" w14:paraId="79CB6413" w14:textId="77777777">
        <w:trPr>
          <w:trHeight w:val="340"/>
          <w:jc w:val="center"/>
        </w:trPr>
        <w:tc>
          <w:tcPr>
            <w:tcW w:w="421" w:type="dxa"/>
            <w:vMerge w:val="restart"/>
            <w:vAlign w:val="center"/>
          </w:tcPr>
          <w:p w14:paraId="047F558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850" w:type="dxa"/>
            <w:vMerge w:val="restart"/>
            <w:vAlign w:val="center"/>
          </w:tcPr>
          <w:p w14:paraId="2400381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园区外</w:t>
            </w:r>
            <w:r>
              <w:rPr>
                <w:rFonts w:ascii="Times New Roman" w:eastAsia="宋体" w:hAnsi="Times New Roman" w:cs="Times New Roman"/>
                <w:kern w:val="0"/>
                <w:szCs w:val="21"/>
              </w:rPr>
              <w:t>200</w:t>
            </w:r>
            <w:r>
              <w:rPr>
                <w:rFonts w:ascii="Times New Roman" w:eastAsia="宋体" w:hAnsi="Times New Roman" w:cs="Times New Roman"/>
                <w:kern w:val="0"/>
                <w:szCs w:val="21"/>
              </w:rPr>
              <w:t>米范围</w:t>
            </w:r>
          </w:p>
        </w:tc>
        <w:tc>
          <w:tcPr>
            <w:tcW w:w="709" w:type="dxa"/>
            <w:vMerge w:val="restart"/>
            <w:vAlign w:val="center"/>
          </w:tcPr>
          <w:p w14:paraId="3774985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海洋工业片区</w:t>
            </w:r>
          </w:p>
        </w:tc>
        <w:tc>
          <w:tcPr>
            <w:tcW w:w="3260" w:type="dxa"/>
            <w:vAlign w:val="center"/>
          </w:tcPr>
          <w:p w14:paraId="0F05B846" w14:textId="77777777" w:rsidR="002133E3" w:rsidRDefault="00C22CFA">
            <w:pPr>
              <w:spacing w:before="60" w:after="60"/>
              <w:jc w:val="center"/>
              <w:rPr>
                <w:rFonts w:ascii="Times New Roman" w:eastAsia="宋体" w:hAnsi="Times New Roman" w:cs="Times New Roman"/>
                <w:bCs/>
                <w:szCs w:val="21"/>
              </w:rPr>
            </w:pPr>
            <w:r>
              <w:rPr>
                <w:rFonts w:ascii="Times New Roman" w:eastAsia="宋体" w:hAnsi="Times New Roman" w:cs="Times New Roman"/>
                <w:bCs/>
                <w:szCs w:val="21"/>
              </w:rPr>
              <w:t>梁沙村</w:t>
            </w:r>
          </w:p>
        </w:tc>
        <w:tc>
          <w:tcPr>
            <w:tcW w:w="992" w:type="dxa"/>
            <w:vAlign w:val="center"/>
          </w:tcPr>
          <w:p w14:paraId="697B076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97</w:t>
            </w:r>
            <w:r>
              <w:rPr>
                <w:rFonts w:ascii="Times New Roman" w:eastAsia="宋体" w:hAnsi="Times New Roman" w:cs="Times New Roman"/>
                <w:kern w:val="0"/>
                <w:szCs w:val="21"/>
              </w:rPr>
              <w:t>户</w:t>
            </w:r>
          </w:p>
        </w:tc>
        <w:tc>
          <w:tcPr>
            <w:tcW w:w="1701" w:type="dxa"/>
            <w:vAlign w:val="center"/>
          </w:tcPr>
          <w:p w14:paraId="2FD8008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0C998D3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97</w:t>
            </w:r>
            <w:r>
              <w:rPr>
                <w:rFonts w:ascii="Times New Roman" w:eastAsia="宋体" w:hAnsi="Times New Roman" w:cs="Times New Roman"/>
                <w:kern w:val="0"/>
                <w:szCs w:val="21"/>
              </w:rPr>
              <w:t>户</w:t>
            </w:r>
          </w:p>
        </w:tc>
      </w:tr>
      <w:tr w:rsidR="002133E3" w14:paraId="0A733AB2" w14:textId="77777777">
        <w:trPr>
          <w:trHeight w:val="340"/>
          <w:jc w:val="center"/>
        </w:trPr>
        <w:tc>
          <w:tcPr>
            <w:tcW w:w="421" w:type="dxa"/>
            <w:vMerge/>
            <w:vAlign w:val="center"/>
          </w:tcPr>
          <w:p w14:paraId="0ACB18BA"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2C8059BC"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52FF43AF"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25D467DE" w14:textId="77777777" w:rsidR="002133E3" w:rsidRDefault="00C22CFA">
            <w:pPr>
              <w:spacing w:before="60" w:after="60"/>
              <w:jc w:val="center"/>
              <w:rPr>
                <w:rFonts w:ascii="Times New Roman" w:eastAsia="宋体" w:hAnsi="Times New Roman" w:cs="Times New Roman"/>
                <w:bCs/>
                <w:szCs w:val="21"/>
              </w:rPr>
            </w:pPr>
            <w:r>
              <w:rPr>
                <w:rFonts w:ascii="Times New Roman" w:eastAsia="宋体" w:hAnsi="Times New Roman" w:cs="Times New Roman"/>
                <w:bCs/>
                <w:szCs w:val="21"/>
              </w:rPr>
              <w:t>李巷村</w:t>
            </w:r>
          </w:p>
        </w:tc>
        <w:tc>
          <w:tcPr>
            <w:tcW w:w="992" w:type="dxa"/>
            <w:vAlign w:val="center"/>
          </w:tcPr>
          <w:p w14:paraId="60A17A9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137</w:t>
            </w:r>
            <w:r>
              <w:rPr>
                <w:rFonts w:ascii="Times New Roman" w:eastAsia="宋体" w:hAnsi="Times New Roman" w:cs="Times New Roman"/>
                <w:kern w:val="0"/>
                <w:szCs w:val="21"/>
              </w:rPr>
              <w:t>户</w:t>
            </w:r>
          </w:p>
        </w:tc>
        <w:tc>
          <w:tcPr>
            <w:tcW w:w="1701" w:type="dxa"/>
            <w:vAlign w:val="center"/>
          </w:tcPr>
          <w:p w14:paraId="2DE84BD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43B178C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137</w:t>
            </w:r>
            <w:r>
              <w:rPr>
                <w:rFonts w:ascii="Times New Roman" w:eastAsia="宋体" w:hAnsi="Times New Roman" w:cs="Times New Roman"/>
                <w:kern w:val="0"/>
                <w:szCs w:val="21"/>
              </w:rPr>
              <w:t>户</w:t>
            </w:r>
          </w:p>
        </w:tc>
      </w:tr>
      <w:tr w:rsidR="002133E3" w14:paraId="083EF63E" w14:textId="77777777">
        <w:trPr>
          <w:trHeight w:val="340"/>
          <w:jc w:val="center"/>
        </w:trPr>
        <w:tc>
          <w:tcPr>
            <w:tcW w:w="421" w:type="dxa"/>
            <w:vMerge/>
            <w:vAlign w:val="center"/>
          </w:tcPr>
          <w:p w14:paraId="019F6E53"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5C580758"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381EA6B8"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0AEEA76E" w14:textId="77777777" w:rsidR="002133E3" w:rsidRDefault="00C22CFA">
            <w:pPr>
              <w:spacing w:before="60" w:after="60"/>
              <w:jc w:val="center"/>
              <w:rPr>
                <w:rFonts w:ascii="Times New Roman" w:eastAsia="宋体" w:hAnsi="Times New Roman" w:cs="Times New Roman"/>
                <w:bCs/>
                <w:szCs w:val="21"/>
              </w:rPr>
            </w:pPr>
            <w:r>
              <w:rPr>
                <w:rFonts w:ascii="Times New Roman" w:eastAsia="宋体" w:hAnsi="Times New Roman" w:cs="Times New Roman"/>
                <w:bCs/>
                <w:szCs w:val="21"/>
              </w:rPr>
              <w:t>大兴庄村</w:t>
            </w:r>
            <w:r>
              <w:rPr>
                <w:rFonts w:ascii="Times New Roman" w:eastAsia="宋体" w:hAnsi="Times New Roman" w:cs="Times New Roman"/>
                <w:bCs/>
                <w:szCs w:val="21"/>
              </w:rPr>
              <w:t>(</w:t>
            </w:r>
            <w:r>
              <w:rPr>
                <w:rFonts w:ascii="Times New Roman" w:eastAsia="宋体" w:hAnsi="Times New Roman" w:cs="Times New Roman"/>
                <w:bCs/>
                <w:szCs w:val="21"/>
              </w:rPr>
              <w:t>兴前村、兴后村</w:t>
            </w:r>
            <w:r>
              <w:rPr>
                <w:rFonts w:ascii="Times New Roman" w:eastAsia="宋体" w:hAnsi="Times New Roman" w:cs="Times New Roman"/>
                <w:bCs/>
                <w:szCs w:val="21"/>
              </w:rPr>
              <w:t>)</w:t>
            </w:r>
          </w:p>
        </w:tc>
        <w:tc>
          <w:tcPr>
            <w:tcW w:w="992" w:type="dxa"/>
            <w:vAlign w:val="center"/>
          </w:tcPr>
          <w:p w14:paraId="0099DE7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323</w:t>
            </w:r>
            <w:r>
              <w:rPr>
                <w:rFonts w:ascii="Times New Roman" w:eastAsia="宋体" w:hAnsi="Times New Roman" w:cs="Times New Roman"/>
                <w:kern w:val="0"/>
                <w:szCs w:val="21"/>
              </w:rPr>
              <w:t>户</w:t>
            </w:r>
          </w:p>
        </w:tc>
        <w:tc>
          <w:tcPr>
            <w:tcW w:w="1701" w:type="dxa"/>
            <w:vAlign w:val="center"/>
          </w:tcPr>
          <w:p w14:paraId="29F9056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515014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323</w:t>
            </w:r>
            <w:r>
              <w:rPr>
                <w:rFonts w:ascii="Times New Roman" w:eastAsia="宋体" w:hAnsi="Times New Roman" w:cs="Times New Roman"/>
                <w:kern w:val="0"/>
                <w:szCs w:val="21"/>
              </w:rPr>
              <w:t>户</w:t>
            </w:r>
          </w:p>
        </w:tc>
      </w:tr>
      <w:tr w:rsidR="002133E3" w14:paraId="010E337E" w14:textId="77777777">
        <w:trPr>
          <w:trHeight w:val="340"/>
          <w:jc w:val="center"/>
        </w:trPr>
        <w:tc>
          <w:tcPr>
            <w:tcW w:w="421" w:type="dxa"/>
            <w:vMerge/>
            <w:vAlign w:val="center"/>
          </w:tcPr>
          <w:p w14:paraId="72795E2B" w14:textId="77777777" w:rsidR="002133E3" w:rsidRDefault="002133E3">
            <w:pPr>
              <w:widowControl/>
              <w:jc w:val="center"/>
              <w:rPr>
                <w:rFonts w:ascii="Times New Roman" w:eastAsia="宋体" w:hAnsi="Times New Roman" w:cs="Times New Roman"/>
                <w:kern w:val="0"/>
                <w:szCs w:val="21"/>
              </w:rPr>
            </w:pPr>
          </w:p>
        </w:tc>
        <w:tc>
          <w:tcPr>
            <w:tcW w:w="850" w:type="dxa"/>
            <w:vMerge/>
            <w:vAlign w:val="center"/>
          </w:tcPr>
          <w:p w14:paraId="351E99EC" w14:textId="77777777" w:rsidR="002133E3" w:rsidRDefault="002133E3">
            <w:pPr>
              <w:widowControl/>
              <w:jc w:val="center"/>
              <w:rPr>
                <w:rFonts w:ascii="Times New Roman" w:eastAsia="宋体" w:hAnsi="Times New Roman" w:cs="Times New Roman"/>
                <w:kern w:val="0"/>
                <w:szCs w:val="21"/>
              </w:rPr>
            </w:pPr>
          </w:p>
        </w:tc>
        <w:tc>
          <w:tcPr>
            <w:tcW w:w="709" w:type="dxa"/>
            <w:vMerge/>
            <w:vAlign w:val="center"/>
          </w:tcPr>
          <w:p w14:paraId="7203C7C6" w14:textId="77777777" w:rsidR="002133E3" w:rsidRDefault="002133E3">
            <w:pPr>
              <w:widowControl/>
              <w:jc w:val="center"/>
              <w:rPr>
                <w:rFonts w:ascii="Times New Roman" w:eastAsia="宋体" w:hAnsi="Times New Roman" w:cs="Times New Roman"/>
                <w:kern w:val="0"/>
                <w:szCs w:val="21"/>
              </w:rPr>
            </w:pPr>
          </w:p>
        </w:tc>
        <w:tc>
          <w:tcPr>
            <w:tcW w:w="3260" w:type="dxa"/>
            <w:vAlign w:val="center"/>
          </w:tcPr>
          <w:p w14:paraId="1613FD5B" w14:textId="77777777" w:rsidR="002133E3" w:rsidRDefault="00C22CFA">
            <w:pPr>
              <w:spacing w:before="60" w:after="60"/>
              <w:jc w:val="center"/>
              <w:rPr>
                <w:rFonts w:ascii="Times New Roman" w:eastAsia="宋体" w:hAnsi="Times New Roman" w:cs="Times New Roman"/>
                <w:bCs/>
                <w:szCs w:val="21"/>
              </w:rPr>
            </w:pPr>
            <w:r>
              <w:rPr>
                <w:rFonts w:ascii="Times New Roman" w:eastAsia="宋体" w:hAnsi="Times New Roman" w:cs="Times New Roman"/>
                <w:bCs/>
                <w:szCs w:val="21"/>
              </w:rPr>
              <w:t>海脐村</w:t>
            </w:r>
          </w:p>
        </w:tc>
        <w:tc>
          <w:tcPr>
            <w:tcW w:w="992" w:type="dxa"/>
            <w:vAlign w:val="center"/>
          </w:tcPr>
          <w:p w14:paraId="17EB3A7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户</w:t>
            </w:r>
          </w:p>
        </w:tc>
        <w:tc>
          <w:tcPr>
            <w:tcW w:w="1701" w:type="dxa"/>
            <w:vAlign w:val="center"/>
          </w:tcPr>
          <w:p w14:paraId="362DC5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1524" w:type="dxa"/>
            <w:vAlign w:val="center"/>
          </w:tcPr>
          <w:p w14:paraId="14F473E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户</w:t>
            </w:r>
          </w:p>
        </w:tc>
      </w:tr>
    </w:tbl>
    <w:p w14:paraId="18DA1775"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搬迁安置地点：在李巷村西部</w:t>
      </w:r>
      <w:r>
        <w:rPr>
          <w:rFonts w:ascii="Times New Roman" w:eastAsia="宋体" w:hAnsi="Times New Roman" w:cs="Times New Roman"/>
          <w:kern w:val="0"/>
          <w:sz w:val="28"/>
          <w:szCs w:val="28"/>
        </w:rPr>
        <w:t>(204</w:t>
      </w:r>
      <w:r>
        <w:rPr>
          <w:rFonts w:ascii="Times New Roman" w:eastAsia="宋体" w:hAnsi="Times New Roman" w:cs="Times New Roman"/>
          <w:kern w:val="0"/>
          <w:sz w:val="28"/>
          <w:szCs w:val="28"/>
        </w:rPr>
        <w:t>国道西侧</w:t>
      </w:r>
      <w:r>
        <w:rPr>
          <w:rFonts w:ascii="Times New Roman" w:eastAsia="宋体" w:hAnsi="Times New Roman" w:cs="Times New Roman"/>
          <w:kern w:val="0"/>
          <w:sz w:val="28"/>
          <w:szCs w:val="28"/>
        </w:rPr>
        <w:t>200</w:t>
      </w:r>
      <w:r>
        <w:rPr>
          <w:rFonts w:ascii="Times New Roman" w:eastAsia="宋体" w:hAnsi="Times New Roman" w:cs="Times New Roman"/>
          <w:kern w:val="0"/>
          <w:sz w:val="28"/>
          <w:szCs w:val="28"/>
        </w:rPr>
        <w:t>米外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以及匡口村北部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官庄河北岸</w:t>
      </w:r>
      <w:r>
        <w:rPr>
          <w:rFonts w:ascii="Times New Roman" w:eastAsia="宋体" w:hAnsi="Times New Roman" w:cs="Times New Roman"/>
          <w:kern w:val="0"/>
          <w:sz w:val="28"/>
          <w:szCs w:val="28"/>
        </w:rPr>
        <w:t>200</w:t>
      </w:r>
      <w:r>
        <w:rPr>
          <w:rFonts w:ascii="Times New Roman" w:eastAsia="宋体" w:hAnsi="Times New Roman" w:cs="Times New Roman"/>
          <w:kern w:val="0"/>
          <w:sz w:val="28"/>
          <w:szCs w:val="28"/>
        </w:rPr>
        <w:t>米外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建立安置小区，用于安置海洋工业区内的居民；海龙路工业区村民安置区选址位于镇区。海头镇人民政府对搬迁的居民给予相应的补偿。</w:t>
      </w:r>
    </w:p>
    <w:p w14:paraId="01C29D34"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拆迁安置与补偿原则是：拆迁人应对被拆迁人按国家法律、行政法规给予合理补偿。农户拆迁的补偿安置原则上应实行估价补偿、异地联建安置房的形式。宜推行公寓式安置，拆迁户也可采用货币补偿形式。</w:t>
      </w:r>
    </w:p>
    <w:p w14:paraId="22158DA0" w14:textId="77777777" w:rsidR="002133E3" w:rsidRDefault="00C22CFA">
      <w:pPr>
        <w:widowControl/>
        <w:spacing w:line="520" w:lineRule="exact"/>
        <w:ind w:firstLineChars="200" w:firstLine="560"/>
        <w:jc w:val="left"/>
        <w:rPr>
          <w:rFonts w:ascii="Times New Roman" w:eastAsia="宋体" w:hAnsi="Times New Roman" w:cs="Times New Roman"/>
          <w:b/>
          <w:sz w:val="30"/>
          <w:szCs w:val="30"/>
        </w:rPr>
      </w:pPr>
      <w:r>
        <w:rPr>
          <w:rFonts w:ascii="Times New Roman" w:eastAsia="宋体" w:hAnsi="Times New Roman" w:cs="Times New Roman"/>
          <w:kern w:val="0"/>
          <w:sz w:val="28"/>
          <w:szCs w:val="28"/>
        </w:rPr>
        <w:t>赣榆区人民政府已对园区内的居民搬迁作出承诺，</w:t>
      </w:r>
      <w:r>
        <w:rPr>
          <w:rFonts w:ascii="Times New Roman" w:eastAsia="宋体" w:hAnsi="Times New Roman" w:cs="Times New Roman"/>
          <w:kern w:val="0"/>
          <w:sz w:val="28"/>
          <w:szCs w:val="28"/>
          <w:highlight w:val="yellow"/>
        </w:rPr>
        <w:t>详见附件。</w:t>
      </w:r>
      <w:bookmarkEnd w:id="17"/>
    </w:p>
    <w:p w14:paraId="2FE6F806" w14:textId="77777777" w:rsidR="002133E3" w:rsidRDefault="00C22CFA">
      <w:pPr>
        <w:pStyle w:val="affff3"/>
        <w:numPr>
          <w:ilvl w:val="1"/>
          <w:numId w:val="2"/>
        </w:numPr>
        <w:snapToGrid w:val="0"/>
        <w:spacing w:line="500" w:lineRule="atLeast"/>
        <w:ind w:left="0" w:firstLineChars="0" w:firstLine="0"/>
        <w:outlineLvl w:val="0"/>
        <w:rPr>
          <w:rFonts w:ascii="Times New Roman" w:eastAsia="宋体" w:hAnsi="Times New Roman" w:cs="Times New Roman"/>
          <w:b/>
          <w:sz w:val="30"/>
          <w:szCs w:val="30"/>
        </w:rPr>
      </w:pPr>
      <w:r>
        <w:rPr>
          <w:rFonts w:ascii="Times New Roman" w:eastAsia="宋体" w:hAnsi="Times New Roman" w:cs="Times New Roman"/>
          <w:b/>
          <w:sz w:val="30"/>
          <w:szCs w:val="30"/>
        </w:rPr>
        <w:t>区域主要问题及整改措施</w:t>
      </w:r>
    </w:p>
    <w:p w14:paraId="4AC5DC8D" w14:textId="77777777" w:rsidR="002133E3" w:rsidRDefault="00C22CFA">
      <w:pPr>
        <w:widowControl/>
        <w:tabs>
          <w:tab w:val="left" w:pos="3119"/>
        </w:tabs>
        <w:spacing w:line="52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kern w:val="0"/>
          <w:sz w:val="28"/>
          <w:szCs w:val="28"/>
        </w:rPr>
        <w:t>根据《关于对江苏海州湾产业区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一期</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环境影响报告书的批复》苏环管</w:t>
      </w:r>
      <w:r>
        <w:rPr>
          <w:rFonts w:ascii="Times New Roman" w:eastAsia="宋体" w:hAnsi="Times New Roman" w:cs="Times New Roman"/>
          <w:kern w:val="0"/>
          <w:sz w:val="28"/>
          <w:szCs w:val="28"/>
        </w:rPr>
        <w:t>[2007]176</w:t>
      </w:r>
      <w:r>
        <w:rPr>
          <w:rFonts w:ascii="Times New Roman" w:eastAsia="宋体" w:hAnsi="Times New Roman" w:cs="Times New Roman"/>
          <w:kern w:val="0"/>
          <w:sz w:val="28"/>
          <w:szCs w:val="28"/>
        </w:rPr>
        <w:t>号文的要求：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区内不设居住区，区内及周围</w:t>
      </w:r>
      <w:r>
        <w:rPr>
          <w:rFonts w:ascii="Times New Roman" w:eastAsia="宋体" w:hAnsi="Times New Roman" w:cs="Times New Roman"/>
          <w:kern w:val="0"/>
          <w:sz w:val="28"/>
          <w:szCs w:val="28"/>
        </w:rPr>
        <w:t>200</w:t>
      </w:r>
      <w:r>
        <w:rPr>
          <w:rFonts w:ascii="Times New Roman" w:eastAsia="宋体" w:hAnsi="Times New Roman" w:cs="Times New Roman"/>
          <w:kern w:val="0"/>
          <w:sz w:val="28"/>
          <w:szCs w:val="28"/>
        </w:rPr>
        <w:t>米范围内的居民应当按照赣榆区政府的承诺实施搬迁，已批准建设的入区企业卫生防护距离内的居民必须立即搬迁。地方政府须严格控制产业区周围</w:t>
      </w:r>
      <w:r>
        <w:rPr>
          <w:rFonts w:ascii="Times New Roman" w:eastAsia="宋体" w:hAnsi="Times New Roman" w:cs="Times New Roman"/>
          <w:kern w:val="0"/>
          <w:sz w:val="28"/>
          <w:szCs w:val="28"/>
        </w:rPr>
        <w:t>200</w:t>
      </w:r>
      <w:r>
        <w:rPr>
          <w:rFonts w:ascii="Times New Roman" w:eastAsia="宋体" w:hAnsi="Times New Roman" w:cs="Times New Roman"/>
          <w:kern w:val="0"/>
          <w:sz w:val="28"/>
          <w:szCs w:val="28"/>
        </w:rPr>
        <w:t>米范围内的土地利用方</w:t>
      </w:r>
      <w:r>
        <w:rPr>
          <w:rFonts w:ascii="Times New Roman" w:eastAsia="宋体" w:hAnsi="Times New Roman" w:cs="Times New Roman"/>
          <w:kern w:val="0"/>
          <w:sz w:val="28"/>
          <w:szCs w:val="28"/>
        </w:rPr>
        <w:lastRenderedPageBreak/>
        <w:t>式，不得建设居民区等敏感目标</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。目前，产业区内还有匡口村、新河村等居住区的搬迁工作未完成，目前海头镇相关部门及产业区管委会按照苏环管</w:t>
      </w:r>
      <w:r>
        <w:rPr>
          <w:rFonts w:ascii="Times New Roman" w:eastAsia="宋体" w:hAnsi="Times New Roman" w:cs="Times New Roman"/>
          <w:kern w:val="0"/>
          <w:sz w:val="28"/>
          <w:szCs w:val="28"/>
        </w:rPr>
        <w:t>[2007]176</w:t>
      </w:r>
      <w:r>
        <w:rPr>
          <w:rFonts w:ascii="Times New Roman" w:eastAsia="宋体" w:hAnsi="Times New Roman" w:cs="Times New Roman"/>
          <w:kern w:val="0"/>
          <w:sz w:val="28"/>
          <w:szCs w:val="28"/>
        </w:rPr>
        <w:t>号文的要求正在对园区规划进行调整，并尽快落实搬迁计划，加快产业区中居住区的搬迁工作。</w:t>
      </w:r>
    </w:p>
    <w:p w14:paraId="23AAF1AB" w14:textId="77777777" w:rsidR="002133E3" w:rsidRDefault="00C22CFA">
      <w:pPr>
        <w:widowControl/>
        <w:jc w:val="left"/>
        <w:rPr>
          <w:rFonts w:ascii="Times New Roman" w:eastAsia="宋体" w:hAnsi="Times New Roman" w:cs="Times New Roman"/>
          <w:b/>
          <w:sz w:val="30"/>
          <w:szCs w:val="30"/>
        </w:rPr>
      </w:pPr>
      <w:r>
        <w:rPr>
          <w:rFonts w:ascii="Times New Roman" w:eastAsia="宋体" w:hAnsi="Times New Roman" w:cs="Times New Roman"/>
          <w:b/>
          <w:sz w:val="30"/>
          <w:szCs w:val="30"/>
        </w:rPr>
        <w:br w:type="page"/>
      </w:r>
    </w:p>
    <w:p w14:paraId="7005E038" w14:textId="77777777" w:rsidR="002133E3" w:rsidRDefault="00C22CFA">
      <w:pPr>
        <w:pStyle w:val="affff3"/>
        <w:numPr>
          <w:ilvl w:val="0"/>
          <w:numId w:val="2"/>
        </w:numPr>
        <w:ind w:left="0" w:firstLineChars="0" w:firstLine="0"/>
        <w:outlineLvl w:val="0"/>
        <w:rPr>
          <w:rFonts w:ascii="Times New Roman" w:eastAsia="宋体" w:hAnsi="Times New Roman" w:cs="Times New Roman"/>
          <w:b/>
          <w:sz w:val="30"/>
          <w:szCs w:val="30"/>
        </w:rPr>
      </w:pPr>
      <w:bookmarkStart w:id="18" w:name="_Toc47604322"/>
      <w:r>
        <w:rPr>
          <w:rFonts w:ascii="Times New Roman" w:eastAsia="宋体" w:hAnsi="Times New Roman" w:cs="Times New Roman"/>
          <w:b/>
          <w:sz w:val="30"/>
          <w:szCs w:val="30"/>
        </w:rPr>
        <w:lastRenderedPageBreak/>
        <w:t>建设项目概况</w:t>
      </w:r>
      <w:bookmarkEnd w:id="18"/>
    </w:p>
    <w:p w14:paraId="2C77BFE7" w14:textId="77777777" w:rsidR="002133E3" w:rsidRDefault="00C22CFA">
      <w:pPr>
        <w:pStyle w:val="affff3"/>
        <w:numPr>
          <w:ilvl w:val="1"/>
          <w:numId w:val="2"/>
        </w:numPr>
        <w:spacing w:line="500" w:lineRule="exact"/>
        <w:ind w:left="0" w:firstLineChars="0" w:firstLine="0"/>
        <w:outlineLvl w:val="1"/>
        <w:rPr>
          <w:rFonts w:ascii="Times New Roman" w:eastAsia="宋体" w:hAnsi="Times New Roman" w:cs="Times New Roman"/>
          <w:b/>
          <w:sz w:val="30"/>
          <w:szCs w:val="30"/>
        </w:rPr>
      </w:pPr>
      <w:bookmarkStart w:id="19" w:name="_Toc47604323"/>
      <w:r>
        <w:rPr>
          <w:rFonts w:ascii="Times New Roman" w:eastAsia="宋体" w:hAnsi="Times New Roman" w:cs="Times New Roman"/>
          <w:b/>
          <w:sz w:val="30"/>
          <w:szCs w:val="30"/>
        </w:rPr>
        <w:t>建设单位总体概况</w:t>
      </w:r>
      <w:bookmarkEnd w:id="19"/>
    </w:p>
    <w:p w14:paraId="0909C8A1" w14:textId="77777777" w:rsidR="002133E3" w:rsidRDefault="00C22CFA">
      <w:pPr>
        <w:widowControl/>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rPr>
        <w:t>江苏金茂源生物化工有限责任公司是由赣榆县金山化工有限公司和香港曙光贸易有限公司合作共同投资成立的一家合资公司，投资方赣榆县金山化工有限公司一直从事发酵产业，在生物发酵方面具有领先的技术和人才优势。</w:t>
      </w:r>
      <w:r>
        <w:rPr>
          <w:rFonts w:ascii="Times New Roman" w:eastAsia="宋体" w:hAnsi="Times New Roman" w:cs="Times New Roman"/>
          <w:sz w:val="28"/>
          <w:szCs w:val="28"/>
        </w:rPr>
        <w:t>江苏金茂源生物化工有限责任公司位于海州湾生物科技园，公司现有厂区总占地面积</w:t>
      </w:r>
      <w:r>
        <w:rPr>
          <w:rFonts w:ascii="Times New Roman" w:eastAsia="宋体" w:hAnsi="Times New Roman" w:cs="Times New Roman"/>
          <w:sz w:val="28"/>
          <w:szCs w:val="28"/>
        </w:rPr>
        <w:t>1371976m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，其中项目占地</w:t>
      </w:r>
      <w:r>
        <w:rPr>
          <w:rFonts w:ascii="Times New Roman" w:eastAsia="宋体" w:hAnsi="Times New Roman" w:cs="Times New Roman"/>
          <w:sz w:val="28"/>
          <w:szCs w:val="28"/>
        </w:rPr>
        <w:t>402597m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w:t>
      </w:r>
      <w:r>
        <w:rPr>
          <w:rFonts w:ascii="Times New Roman" w:eastAsia="宋体" w:hAnsi="Times New Roman" w:cs="Times New Roman"/>
          <w:sz w:val="28"/>
          <w:szCs w:val="28"/>
        </w:rPr>
        <w:t>预留用地</w:t>
      </w:r>
      <w:r>
        <w:rPr>
          <w:rFonts w:ascii="Times New Roman" w:eastAsia="宋体" w:hAnsi="Times New Roman" w:cs="Times New Roman"/>
          <w:sz w:val="28"/>
          <w:szCs w:val="28"/>
        </w:rPr>
        <w:t>963847m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57627572" w14:textId="77777777" w:rsidR="002133E3" w:rsidRDefault="00C22CFA">
      <w:pPr>
        <w:widowControl/>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一期</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年产</w:t>
      </w:r>
      <w:r>
        <w:rPr>
          <w:rFonts w:ascii="Times New Roman" w:eastAsia="宋体" w:hAnsi="Times New Roman" w:cs="Times New Roman"/>
          <w:sz w:val="28"/>
          <w:szCs w:val="28"/>
        </w:rPr>
        <w:t>20</w:t>
      </w:r>
      <w:r>
        <w:rPr>
          <w:rFonts w:ascii="Times New Roman" w:eastAsia="宋体" w:hAnsi="Times New Roman" w:cs="Times New Roman"/>
          <w:sz w:val="28"/>
          <w:szCs w:val="28"/>
        </w:rPr>
        <w:t>万吨醋酸乙</w:t>
      </w:r>
      <w:r>
        <w:rPr>
          <w:rFonts w:ascii="Times New Roman" w:eastAsia="宋体" w:hAnsi="Times New Roman" w:cs="Times New Roman"/>
          <w:sz w:val="28"/>
          <w:szCs w:val="28"/>
        </w:rPr>
        <w:t>(</w:t>
      </w:r>
      <w:r>
        <w:rPr>
          <w:rFonts w:ascii="Times New Roman" w:eastAsia="宋体" w:hAnsi="Times New Roman" w:cs="Times New Roman"/>
          <w:sz w:val="28"/>
          <w:szCs w:val="28"/>
        </w:rPr>
        <w:t>丁</w:t>
      </w:r>
      <w:r>
        <w:rPr>
          <w:rFonts w:ascii="Times New Roman" w:eastAsia="宋体" w:hAnsi="Times New Roman" w:cs="Times New Roman"/>
          <w:sz w:val="28"/>
          <w:szCs w:val="28"/>
        </w:rPr>
        <w:t>)</w:t>
      </w:r>
      <w:r>
        <w:rPr>
          <w:rFonts w:ascii="Times New Roman" w:eastAsia="宋体" w:hAnsi="Times New Roman" w:cs="Times New Roman"/>
          <w:sz w:val="28"/>
          <w:szCs w:val="28"/>
        </w:rPr>
        <w:t>酯等工程项目</w:t>
      </w:r>
      <w:r>
        <w:rPr>
          <w:rFonts w:ascii="Times New Roman" w:eastAsia="宋体" w:hAnsi="Times New Roman" w:cs="Times New Roman"/>
          <w:sz w:val="28"/>
          <w:szCs w:val="28"/>
        </w:rPr>
        <w:t>”</w:t>
      </w:r>
      <w:r>
        <w:rPr>
          <w:rFonts w:ascii="Times New Roman" w:eastAsia="宋体" w:hAnsi="Times New Roman" w:cs="Times New Roman"/>
          <w:sz w:val="28"/>
          <w:szCs w:val="28"/>
        </w:rPr>
        <w:t>已于</w:t>
      </w:r>
      <w:r>
        <w:rPr>
          <w:rFonts w:ascii="Times New Roman" w:eastAsia="宋体" w:hAnsi="Times New Roman" w:cs="Times New Roman"/>
          <w:sz w:val="28"/>
          <w:szCs w:val="28"/>
        </w:rPr>
        <w:t>2008</w:t>
      </w:r>
      <w:r>
        <w:rPr>
          <w:rFonts w:ascii="Times New Roman" w:eastAsia="宋体" w:hAnsi="Times New Roman" w:cs="Times New Roman"/>
          <w:sz w:val="28"/>
          <w:szCs w:val="28"/>
        </w:rPr>
        <w:t>年</w:t>
      </w:r>
      <w:r>
        <w:rPr>
          <w:rFonts w:ascii="Times New Roman" w:eastAsia="宋体" w:hAnsi="Times New Roman" w:cs="Times New Roman"/>
          <w:sz w:val="28"/>
          <w:szCs w:val="28"/>
        </w:rPr>
        <w:t>7</w:t>
      </w:r>
      <w:r>
        <w:rPr>
          <w:rFonts w:ascii="Times New Roman" w:eastAsia="宋体" w:hAnsi="Times New Roman" w:cs="Times New Roman"/>
          <w:sz w:val="28"/>
          <w:szCs w:val="28"/>
        </w:rPr>
        <w:t>月取得环评批复</w:t>
      </w:r>
      <w:r>
        <w:rPr>
          <w:rFonts w:ascii="Times New Roman" w:eastAsia="宋体" w:hAnsi="Times New Roman" w:cs="Times New Roman"/>
          <w:sz w:val="28"/>
          <w:szCs w:val="28"/>
        </w:rPr>
        <w:t>(</w:t>
      </w:r>
      <w:r>
        <w:rPr>
          <w:rFonts w:ascii="Times New Roman" w:eastAsia="宋体" w:hAnsi="Times New Roman" w:cs="Times New Roman"/>
          <w:sz w:val="28"/>
          <w:szCs w:val="28"/>
        </w:rPr>
        <w:t>苏环管</w:t>
      </w:r>
      <w:r>
        <w:rPr>
          <w:rFonts w:ascii="Times New Roman" w:eastAsia="宋体" w:hAnsi="Times New Roman" w:cs="Times New Roman"/>
          <w:sz w:val="28"/>
          <w:szCs w:val="28"/>
        </w:rPr>
        <w:t>[2008]167</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。公司于</w:t>
      </w:r>
      <w:r>
        <w:rPr>
          <w:rFonts w:ascii="Times New Roman" w:eastAsia="宋体" w:hAnsi="Times New Roman" w:cs="Times New Roman"/>
          <w:sz w:val="28"/>
          <w:szCs w:val="28"/>
        </w:rPr>
        <w:t>2013</w:t>
      </w:r>
      <w:r>
        <w:rPr>
          <w:rFonts w:ascii="Times New Roman" w:eastAsia="宋体" w:hAnsi="Times New Roman" w:cs="Times New Roman"/>
          <w:sz w:val="28"/>
          <w:szCs w:val="28"/>
        </w:rPr>
        <w:t>年</w:t>
      </w:r>
      <w:r>
        <w:rPr>
          <w:rFonts w:ascii="Times New Roman" w:eastAsia="宋体" w:hAnsi="Times New Roman" w:cs="Times New Roman"/>
          <w:sz w:val="28"/>
          <w:szCs w:val="28"/>
        </w:rPr>
        <w:t>7</w:t>
      </w:r>
      <w:r>
        <w:rPr>
          <w:rFonts w:ascii="Times New Roman" w:eastAsia="宋体" w:hAnsi="Times New Roman" w:cs="Times New Roman"/>
          <w:sz w:val="28"/>
          <w:szCs w:val="28"/>
        </w:rPr>
        <w:t>月进行修编，将洗涤工段产生的工艺废气治理措施由原来的催化燃烧措施改为</w:t>
      </w:r>
      <w:r>
        <w:rPr>
          <w:rFonts w:ascii="Times New Roman" w:eastAsia="宋体" w:hAnsi="Times New Roman" w:cs="Times New Roman"/>
          <w:sz w:val="28"/>
          <w:szCs w:val="28"/>
        </w:rPr>
        <w:t>“</w:t>
      </w:r>
      <w:r>
        <w:rPr>
          <w:rFonts w:ascii="Times New Roman" w:eastAsia="宋体" w:hAnsi="Times New Roman" w:cs="Times New Roman"/>
          <w:sz w:val="28"/>
          <w:szCs w:val="28"/>
        </w:rPr>
        <w:t>五级冷冻水降温液体吸收工艺，取得江苏省环境保护厅复函</w:t>
      </w:r>
      <w:r>
        <w:rPr>
          <w:rFonts w:ascii="Times New Roman" w:eastAsia="宋体" w:hAnsi="Times New Roman" w:cs="Times New Roman"/>
          <w:sz w:val="28"/>
          <w:szCs w:val="28"/>
        </w:rPr>
        <w:t>(</w:t>
      </w:r>
      <w:r>
        <w:rPr>
          <w:rFonts w:ascii="Times New Roman" w:eastAsia="宋体" w:hAnsi="Times New Roman" w:cs="Times New Roman"/>
          <w:sz w:val="28"/>
          <w:szCs w:val="28"/>
        </w:rPr>
        <w:t>苏环便管</w:t>
      </w:r>
      <w:r>
        <w:rPr>
          <w:rFonts w:ascii="Times New Roman" w:eastAsia="宋体" w:hAnsi="Times New Roman" w:cs="Times New Roman"/>
          <w:sz w:val="28"/>
          <w:szCs w:val="28"/>
        </w:rPr>
        <w:t>[2013]108</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。于</w:t>
      </w:r>
      <w:r>
        <w:rPr>
          <w:rFonts w:ascii="Times New Roman" w:eastAsia="宋体" w:hAnsi="Times New Roman" w:cs="Times New Roman"/>
          <w:sz w:val="28"/>
          <w:szCs w:val="28"/>
        </w:rPr>
        <w:t>2014</w:t>
      </w:r>
      <w:r>
        <w:rPr>
          <w:rFonts w:ascii="Times New Roman" w:eastAsia="宋体" w:hAnsi="Times New Roman" w:cs="Times New Roman"/>
          <w:sz w:val="28"/>
          <w:szCs w:val="28"/>
        </w:rPr>
        <w:t>年</w:t>
      </w:r>
      <w:r>
        <w:rPr>
          <w:rFonts w:ascii="Times New Roman" w:eastAsia="宋体" w:hAnsi="Times New Roman" w:cs="Times New Roman"/>
          <w:sz w:val="28"/>
          <w:szCs w:val="28"/>
        </w:rPr>
        <w:t>1</w:t>
      </w:r>
      <w:r>
        <w:rPr>
          <w:rFonts w:ascii="Times New Roman" w:eastAsia="宋体" w:hAnsi="Times New Roman" w:cs="Times New Roman"/>
          <w:sz w:val="28"/>
          <w:szCs w:val="28"/>
        </w:rPr>
        <w:t>月再次进行修编，将罐区原设置的</w:t>
      </w:r>
      <w:r>
        <w:rPr>
          <w:rFonts w:ascii="Times New Roman" w:eastAsia="宋体" w:hAnsi="Times New Roman" w:cs="Times New Roman"/>
          <w:sz w:val="28"/>
          <w:szCs w:val="28"/>
        </w:rPr>
        <w:t>2</w:t>
      </w:r>
      <w:r>
        <w:rPr>
          <w:rFonts w:ascii="Times New Roman" w:eastAsia="宋体" w:hAnsi="Times New Roman" w:cs="Times New Roman"/>
          <w:sz w:val="28"/>
          <w:szCs w:val="28"/>
        </w:rPr>
        <w:t>个</w:t>
      </w:r>
      <w:r>
        <w:rPr>
          <w:rFonts w:ascii="Times New Roman" w:eastAsia="宋体" w:hAnsi="Times New Roman" w:cs="Times New Roman"/>
          <w:sz w:val="28"/>
          <w:szCs w:val="28"/>
        </w:rPr>
        <w:t>1000m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醋酸储罐、</w:t>
      </w:r>
      <w:r>
        <w:rPr>
          <w:rFonts w:ascii="Times New Roman" w:eastAsia="宋体" w:hAnsi="Times New Roman" w:cs="Times New Roman"/>
          <w:sz w:val="28"/>
          <w:szCs w:val="28"/>
        </w:rPr>
        <w:t>2</w:t>
      </w:r>
      <w:r>
        <w:rPr>
          <w:rFonts w:ascii="Times New Roman" w:eastAsia="宋体" w:hAnsi="Times New Roman" w:cs="Times New Roman"/>
          <w:sz w:val="28"/>
          <w:szCs w:val="28"/>
        </w:rPr>
        <w:t>个</w:t>
      </w:r>
      <w:r>
        <w:rPr>
          <w:rFonts w:ascii="Times New Roman" w:eastAsia="宋体" w:hAnsi="Times New Roman" w:cs="Times New Roman"/>
          <w:sz w:val="28"/>
          <w:szCs w:val="28"/>
        </w:rPr>
        <w:t>1000m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乙醇储罐、</w:t>
      </w:r>
      <w:r>
        <w:rPr>
          <w:rFonts w:ascii="Times New Roman" w:eastAsia="宋体" w:hAnsi="Times New Roman" w:cs="Times New Roman"/>
          <w:sz w:val="28"/>
          <w:szCs w:val="28"/>
        </w:rPr>
        <w:t>3</w:t>
      </w:r>
      <w:r>
        <w:rPr>
          <w:rFonts w:ascii="Times New Roman" w:eastAsia="宋体" w:hAnsi="Times New Roman" w:cs="Times New Roman"/>
          <w:sz w:val="28"/>
          <w:szCs w:val="28"/>
        </w:rPr>
        <w:t>个</w:t>
      </w:r>
      <w:r>
        <w:rPr>
          <w:rFonts w:ascii="Times New Roman" w:eastAsia="宋体" w:hAnsi="Times New Roman" w:cs="Times New Roman"/>
          <w:sz w:val="28"/>
          <w:szCs w:val="28"/>
        </w:rPr>
        <w:t>1000m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醋酸乙酯储罐改为</w:t>
      </w:r>
      <w:r>
        <w:rPr>
          <w:rFonts w:ascii="Times New Roman" w:eastAsia="宋体" w:hAnsi="Times New Roman" w:cs="Times New Roman"/>
          <w:sz w:val="28"/>
          <w:szCs w:val="28"/>
        </w:rPr>
        <w:t>1</w:t>
      </w:r>
      <w:r>
        <w:rPr>
          <w:rFonts w:ascii="Times New Roman" w:eastAsia="宋体" w:hAnsi="Times New Roman" w:cs="Times New Roman"/>
          <w:sz w:val="28"/>
          <w:szCs w:val="28"/>
        </w:rPr>
        <w:t>个</w:t>
      </w:r>
      <w:r>
        <w:rPr>
          <w:rFonts w:ascii="Times New Roman" w:eastAsia="宋体" w:hAnsi="Times New Roman" w:cs="Times New Roman"/>
          <w:sz w:val="28"/>
          <w:szCs w:val="28"/>
        </w:rPr>
        <w:t>5650m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醋酸储罐、</w:t>
      </w:r>
      <w:r>
        <w:rPr>
          <w:rFonts w:ascii="Times New Roman" w:eastAsia="宋体" w:hAnsi="Times New Roman" w:cs="Times New Roman"/>
          <w:sz w:val="28"/>
          <w:szCs w:val="28"/>
        </w:rPr>
        <w:t>2</w:t>
      </w:r>
      <w:r>
        <w:rPr>
          <w:rFonts w:ascii="Times New Roman" w:eastAsia="宋体" w:hAnsi="Times New Roman" w:cs="Times New Roman"/>
          <w:sz w:val="28"/>
          <w:szCs w:val="28"/>
        </w:rPr>
        <w:t>个</w:t>
      </w:r>
      <w:r>
        <w:rPr>
          <w:rFonts w:ascii="Times New Roman" w:eastAsia="宋体" w:hAnsi="Times New Roman" w:cs="Times New Roman"/>
          <w:sz w:val="28"/>
          <w:szCs w:val="28"/>
        </w:rPr>
        <w:t>500m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醋酸乙酯储罐、</w:t>
      </w:r>
      <w:r>
        <w:rPr>
          <w:rFonts w:ascii="Times New Roman" w:eastAsia="宋体" w:hAnsi="Times New Roman" w:cs="Times New Roman"/>
          <w:sz w:val="28"/>
          <w:szCs w:val="28"/>
        </w:rPr>
        <w:t>3</w:t>
      </w:r>
      <w:r>
        <w:rPr>
          <w:rFonts w:ascii="Times New Roman" w:eastAsia="宋体" w:hAnsi="Times New Roman" w:cs="Times New Roman"/>
          <w:sz w:val="28"/>
          <w:szCs w:val="28"/>
        </w:rPr>
        <w:t>个</w:t>
      </w:r>
      <w:r>
        <w:rPr>
          <w:rFonts w:ascii="Times New Roman" w:eastAsia="宋体" w:hAnsi="Times New Roman" w:cs="Times New Roman"/>
          <w:sz w:val="28"/>
          <w:szCs w:val="28"/>
        </w:rPr>
        <w:t>2000m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醋酸乙酯储罐、</w:t>
      </w:r>
      <w:r>
        <w:rPr>
          <w:rFonts w:ascii="Times New Roman" w:eastAsia="宋体" w:hAnsi="Times New Roman" w:cs="Times New Roman"/>
          <w:sz w:val="28"/>
          <w:szCs w:val="28"/>
        </w:rPr>
        <w:t>3</w:t>
      </w:r>
      <w:r>
        <w:rPr>
          <w:rFonts w:ascii="Times New Roman" w:eastAsia="宋体" w:hAnsi="Times New Roman" w:cs="Times New Roman"/>
          <w:sz w:val="28"/>
          <w:szCs w:val="28"/>
        </w:rPr>
        <w:t>个</w:t>
      </w:r>
      <w:r>
        <w:rPr>
          <w:rFonts w:ascii="Times New Roman" w:eastAsia="宋体" w:hAnsi="Times New Roman" w:cs="Times New Roman"/>
          <w:sz w:val="28"/>
          <w:szCs w:val="28"/>
        </w:rPr>
        <w:t>500m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乙醇储罐、</w:t>
      </w:r>
      <w:r>
        <w:rPr>
          <w:rFonts w:ascii="Times New Roman" w:eastAsia="宋体" w:hAnsi="Times New Roman" w:cs="Times New Roman"/>
          <w:sz w:val="28"/>
          <w:szCs w:val="28"/>
        </w:rPr>
        <w:t>2</w:t>
      </w:r>
      <w:r>
        <w:rPr>
          <w:rFonts w:ascii="Times New Roman" w:eastAsia="宋体" w:hAnsi="Times New Roman" w:cs="Times New Roman"/>
          <w:sz w:val="28"/>
          <w:szCs w:val="28"/>
        </w:rPr>
        <w:t>个</w:t>
      </w:r>
      <w:r>
        <w:rPr>
          <w:rFonts w:ascii="Times New Roman" w:eastAsia="宋体" w:hAnsi="Times New Roman" w:cs="Times New Roman"/>
          <w:sz w:val="28"/>
          <w:szCs w:val="28"/>
        </w:rPr>
        <w:t>2000m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乙醇储罐，并对各个储罐罐顶排放的气体，通过管道引致生产装置吸收塔内，经吸收后由混合液槽收集，用泵输送给装置作为原料使用。采取密闭循环后，项目无大呼吸排放，相应调整了罐区的卫生防护距离，取得江苏省环境保护厅复函</w:t>
      </w:r>
      <w:r>
        <w:rPr>
          <w:rFonts w:ascii="Times New Roman" w:eastAsia="宋体" w:hAnsi="Times New Roman" w:cs="Times New Roman"/>
          <w:sz w:val="28"/>
          <w:szCs w:val="28"/>
        </w:rPr>
        <w:t>(</w:t>
      </w:r>
      <w:r>
        <w:rPr>
          <w:rFonts w:ascii="Times New Roman" w:eastAsia="宋体" w:hAnsi="Times New Roman" w:cs="Times New Roman"/>
          <w:sz w:val="28"/>
          <w:szCs w:val="28"/>
        </w:rPr>
        <w:t>苏环便管</w:t>
      </w:r>
      <w:r>
        <w:rPr>
          <w:rFonts w:ascii="Times New Roman" w:eastAsia="宋体" w:hAnsi="Times New Roman" w:cs="Times New Roman"/>
          <w:sz w:val="28"/>
          <w:szCs w:val="28"/>
        </w:rPr>
        <w:t>[2014]31</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。一期项目分两次进行验收</w:t>
      </w:r>
      <w:r>
        <w:rPr>
          <w:rFonts w:ascii="Times New Roman" w:eastAsia="宋体" w:hAnsi="Times New Roman" w:cs="Times New Roman"/>
          <w:sz w:val="28"/>
          <w:szCs w:val="28"/>
        </w:rPr>
        <w:t>(</w:t>
      </w:r>
      <w:r>
        <w:rPr>
          <w:rFonts w:ascii="Times New Roman" w:eastAsia="宋体" w:hAnsi="Times New Roman" w:cs="Times New Roman"/>
          <w:sz w:val="28"/>
          <w:szCs w:val="28"/>
        </w:rPr>
        <w:t>苏环验</w:t>
      </w:r>
      <w:r>
        <w:rPr>
          <w:rFonts w:ascii="Times New Roman" w:eastAsia="宋体" w:hAnsi="Times New Roman" w:cs="Times New Roman"/>
          <w:sz w:val="28"/>
          <w:szCs w:val="28"/>
        </w:rPr>
        <w:t>[2012]40</w:t>
      </w:r>
      <w:r>
        <w:rPr>
          <w:rFonts w:ascii="Times New Roman" w:eastAsia="宋体" w:hAnsi="Times New Roman" w:cs="Times New Roman"/>
          <w:sz w:val="28"/>
          <w:szCs w:val="28"/>
        </w:rPr>
        <w:t>号、苏环验</w:t>
      </w:r>
      <w:r>
        <w:rPr>
          <w:rFonts w:ascii="Times New Roman" w:eastAsia="宋体" w:hAnsi="Times New Roman" w:cs="Times New Roman"/>
          <w:sz w:val="28"/>
          <w:szCs w:val="28"/>
        </w:rPr>
        <w:t>[2015]73</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，同时承诺二氧化碳回收装置不再建设。</w:t>
      </w:r>
    </w:p>
    <w:p w14:paraId="77406FA7" w14:textId="77777777" w:rsidR="002133E3" w:rsidRDefault="00C22CFA">
      <w:pPr>
        <w:widowControl/>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沼气热电联产项目</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于</w:t>
      </w:r>
      <w:r>
        <w:rPr>
          <w:rFonts w:ascii="Times New Roman" w:eastAsia="宋体" w:hAnsi="Times New Roman" w:cs="Times New Roman"/>
          <w:sz w:val="28"/>
          <w:szCs w:val="28"/>
        </w:rPr>
        <w:t>2010</w:t>
      </w:r>
      <w:r>
        <w:rPr>
          <w:rFonts w:ascii="Times New Roman" w:eastAsia="宋体" w:hAnsi="Times New Roman" w:cs="Times New Roman"/>
          <w:sz w:val="28"/>
          <w:szCs w:val="28"/>
        </w:rPr>
        <w:t>年</w:t>
      </w:r>
      <w:r>
        <w:rPr>
          <w:rFonts w:ascii="Times New Roman" w:eastAsia="宋体" w:hAnsi="Times New Roman" w:cs="Times New Roman"/>
          <w:sz w:val="28"/>
          <w:szCs w:val="28"/>
        </w:rPr>
        <w:t>9</w:t>
      </w:r>
      <w:r>
        <w:rPr>
          <w:rFonts w:ascii="Times New Roman" w:eastAsia="宋体" w:hAnsi="Times New Roman" w:cs="Times New Roman"/>
          <w:sz w:val="28"/>
          <w:szCs w:val="28"/>
        </w:rPr>
        <w:t>月取得环评批复</w:t>
      </w:r>
      <w:r>
        <w:rPr>
          <w:rFonts w:ascii="Times New Roman" w:eastAsia="宋体" w:hAnsi="Times New Roman" w:cs="Times New Roman"/>
          <w:sz w:val="28"/>
          <w:szCs w:val="28"/>
        </w:rPr>
        <w:t>(</w:t>
      </w:r>
      <w:r>
        <w:rPr>
          <w:rFonts w:ascii="Times New Roman" w:eastAsia="宋体" w:hAnsi="Times New Roman" w:cs="Times New Roman"/>
          <w:sz w:val="28"/>
          <w:szCs w:val="28"/>
        </w:rPr>
        <w:t>连环发</w:t>
      </w:r>
      <w:r>
        <w:rPr>
          <w:rFonts w:ascii="Times New Roman" w:eastAsia="宋体" w:hAnsi="Times New Roman" w:cs="Times New Roman"/>
          <w:sz w:val="28"/>
          <w:szCs w:val="28"/>
        </w:rPr>
        <w:t>[2011]127</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，于</w:t>
      </w:r>
      <w:r>
        <w:rPr>
          <w:rFonts w:ascii="Times New Roman" w:eastAsia="宋体" w:hAnsi="Times New Roman" w:cs="Times New Roman"/>
          <w:sz w:val="28"/>
          <w:szCs w:val="28"/>
        </w:rPr>
        <w:t>2010</w:t>
      </w:r>
      <w:r>
        <w:rPr>
          <w:rFonts w:ascii="Times New Roman" w:eastAsia="宋体" w:hAnsi="Times New Roman" w:cs="Times New Roman"/>
          <w:sz w:val="28"/>
          <w:szCs w:val="28"/>
        </w:rPr>
        <w:t>年</w:t>
      </w:r>
      <w:r>
        <w:rPr>
          <w:rFonts w:ascii="Times New Roman" w:eastAsia="宋体" w:hAnsi="Times New Roman" w:cs="Times New Roman"/>
          <w:sz w:val="28"/>
          <w:szCs w:val="28"/>
        </w:rPr>
        <w:t>10</w:t>
      </w:r>
      <w:r>
        <w:rPr>
          <w:rFonts w:ascii="Times New Roman" w:eastAsia="宋体" w:hAnsi="Times New Roman" w:cs="Times New Roman"/>
          <w:sz w:val="28"/>
          <w:szCs w:val="28"/>
        </w:rPr>
        <w:t>月</w:t>
      </w:r>
      <w:r>
        <w:rPr>
          <w:rFonts w:ascii="Times New Roman" w:eastAsia="宋体" w:hAnsi="Times New Roman" w:cs="Times New Roman"/>
          <w:sz w:val="28"/>
          <w:szCs w:val="28"/>
        </w:rPr>
        <w:t>26</w:t>
      </w:r>
      <w:r>
        <w:rPr>
          <w:rFonts w:ascii="Times New Roman" w:eastAsia="宋体" w:hAnsi="Times New Roman" w:cs="Times New Roman"/>
          <w:sz w:val="28"/>
          <w:szCs w:val="28"/>
        </w:rPr>
        <w:t>日通过环保三同时验收。</w:t>
      </w:r>
    </w:p>
    <w:p w14:paraId="7E084051" w14:textId="77777777" w:rsidR="002133E3" w:rsidRDefault="00C22CFA">
      <w:pPr>
        <w:widowControl/>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年产</w:t>
      </w:r>
      <w:r>
        <w:rPr>
          <w:rFonts w:ascii="Times New Roman" w:eastAsia="宋体" w:hAnsi="Times New Roman" w:cs="Times New Roman"/>
          <w:sz w:val="28"/>
          <w:szCs w:val="28"/>
        </w:rPr>
        <w:t>3</w:t>
      </w:r>
      <w:r>
        <w:rPr>
          <w:rFonts w:ascii="Times New Roman" w:eastAsia="宋体" w:hAnsi="Times New Roman" w:cs="Times New Roman"/>
          <w:sz w:val="28"/>
          <w:szCs w:val="28"/>
        </w:rPr>
        <w:t>万吨丁二酸技改项目</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于</w:t>
      </w:r>
      <w:r>
        <w:rPr>
          <w:rFonts w:ascii="Times New Roman" w:eastAsia="宋体" w:hAnsi="Times New Roman" w:cs="Times New Roman"/>
          <w:sz w:val="28"/>
          <w:szCs w:val="28"/>
        </w:rPr>
        <w:t>2016</w:t>
      </w:r>
      <w:r>
        <w:rPr>
          <w:rFonts w:ascii="Times New Roman" w:eastAsia="宋体" w:hAnsi="Times New Roman" w:cs="Times New Roman"/>
          <w:sz w:val="28"/>
          <w:szCs w:val="28"/>
        </w:rPr>
        <w:t>年</w:t>
      </w:r>
      <w:r>
        <w:rPr>
          <w:rFonts w:ascii="Times New Roman" w:eastAsia="宋体" w:hAnsi="Times New Roman" w:cs="Times New Roman"/>
          <w:sz w:val="28"/>
          <w:szCs w:val="28"/>
        </w:rPr>
        <w:t>6</w:t>
      </w:r>
      <w:r>
        <w:rPr>
          <w:rFonts w:ascii="Times New Roman" w:eastAsia="宋体" w:hAnsi="Times New Roman" w:cs="Times New Roman"/>
          <w:sz w:val="28"/>
          <w:szCs w:val="28"/>
        </w:rPr>
        <w:t>月</w:t>
      </w:r>
      <w:r>
        <w:rPr>
          <w:rFonts w:ascii="Times New Roman" w:eastAsia="宋体" w:hAnsi="Times New Roman" w:cs="Times New Roman"/>
          <w:sz w:val="28"/>
          <w:szCs w:val="28"/>
        </w:rPr>
        <w:t>12</w:t>
      </w:r>
      <w:r>
        <w:rPr>
          <w:rFonts w:ascii="Times New Roman" w:eastAsia="宋体" w:hAnsi="Times New Roman" w:cs="Times New Roman"/>
          <w:sz w:val="28"/>
          <w:szCs w:val="28"/>
        </w:rPr>
        <w:t>日取得环评批复</w:t>
      </w:r>
      <w:r>
        <w:rPr>
          <w:rFonts w:ascii="Times New Roman" w:eastAsia="宋体" w:hAnsi="Times New Roman" w:cs="Times New Roman"/>
          <w:sz w:val="28"/>
          <w:szCs w:val="28"/>
        </w:rPr>
        <w:t>(</w:t>
      </w:r>
      <w:r>
        <w:rPr>
          <w:rFonts w:ascii="Times New Roman" w:eastAsia="宋体" w:hAnsi="Times New Roman" w:cs="Times New Roman"/>
          <w:sz w:val="28"/>
          <w:szCs w:val="28"/>
        </w:rPr>
        <w:t>连环审</w:t>
      </w:r>
      <w:r>
        <w:rPr>
          <w:rFonts w:ascii="Times New Roman" w:eastAsia="宋体" w:hAnsi="Times New Roman" w:cs="Times New Roman"/>
          <w:sz w:val="28"/>
          <w:szCs w:val="28"/>
        </w:rPr>
        <w:t>[2016]8</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，尚未建设。</w:t>
      </w:r>
    </w:p>
    <w:p w14:paraId="1D985DF0"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“2×75t/h</w:t>
      </w:r>
      <w:r>
        <w:rPr>
          <w:rFonts w:ascii="Times New Roman" w:eastAsia="宋体" w:hAnsi="Times New Roman" w:cs="Times New Roman"/>
          <w:sz w:val="28"/>
          <w:szCs w:val="28"/>
        </w:rPr>
        <w:t>循环流化床锅炉烟气脱硫脱硝工程技改项目</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于</w:t>
      </w:r>
      <w:r>
        <w:rPr>
          <w:rFonts w:ascii="Times New Roman" w:eastAsia="宋体" w:hAnsi="Times New Roman" w:cs="Times New Roman"/>
          <w:sz w:val="28"/>
          <w:szCs w:val="28"/>
        </w:rPr>
        <w:t>2016</w:t>
      </w:r>
      <w:r>
        <w:rPr>
          <w:rFonts w:ascii="Times New Roman" w:eastAsia="宋体" w:hAnsi="Times New Roman" w:cs="Times New Roman"/>
          <w:sz w:val="28"/>
          <w:szCs w:val="28"/>
        </w:rPr>
        <w:t>年</w:t>
      </w:r>
      <w:r>
        <w:rPr>
          <w:rFonts w:ascii="Times New Roman" w:eastAsia="宋体" w:hAnsi="Times New Roman" w:cs="Times New Roman"/>
          <w:sz w:val="28"/>
          <w:szCs w:val="28"/>
        </w:rPr>
        <w:t>7</w:t>
      </w:r>
      <w:r>
        <w:rPr>
          <w:rFonts w:ascii="Times New Roman" w:eastAsia="宋体" w:hAnsi="Times New Roman" w:cs="Times New Roman"/>
          <w:sz w:val="28"/>
          <w:szCs w:val="28"/>
        </w:rPr>
        <w:t>月</w:t>
      </w:r>
      <w:r>
        <w:rPr>
          <w:rFonts w:ascii="Times New Roman" w:eastAsia="宋体" w:hAnsi="Times New Roman" w:cs="Times New Roman"/>
          <w:sz w:val="28"/>
          <w:szCs w:val="28"/>
        </w:rPr>
        <w:t>11</w:t>
      </w:r>
      <w:r>
        <w:rPr>
          <w:rFonts w:ascii="Times New Roman" w:eastAsia="宋体" w:hAnsi="Times New Roman" w:cs="Times New Roman"/>
          <w:sz w:val="28"/>
          <w:szCs w:val="28"/>
        </w:rPr>
        <w:t>日取得赣榆区环境保护局审批意见。</w:t>
      </w:r>
    </w:p>
    <w:p w14:paraId="79587310"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年产</w:t>
      </w:r>
      <w:r>
        <w:rPr>
          <w:rFonts w:ascii="Times New Roman" w:eastAsia="宋体" w:hAnsi="Times New Roman" w:cs="Times New Roman"/>
          <w:sz w:val="28"/>
          <w:szCs w:val="28"/>
        </w:rPr>
        <w:t>6</w:t>
      </w:r>
      <w:r>
        <w:rPr>
          <w:rFonts w:ascii="Times New Roman" w:eastAsia="宋体" w:hAnsi="Times New Roman" w:cs="Times New Roman"/>
          <w:sz w:val="28"/>
          <w:szCs w:val="28"/>
        </w:rPr>
        <w:t>万吨发酵法混合物技改项目</w:t>
      </w:r>
      <w:r>
        <w:rPr>
          <w:rFonts w:ascii="Times New Roman" w:eastAsia="宋体" w:hAnsi="Times New Roman" w:cs="Times New Roman"/>
          <w:sz w:val="28"/>
          <w:szCs w:val="28"/>
        </w:rPr>
        <w:t>”</w:t>
      </w:r>
      <w:r>
        <w:rPr>
          <w:rFonts w:ascii="Times New Roman" w:eastAsia="宋体" w:hAnsi="Times New Roman" w:cs="Times New Roman"/>
          <w:sz w:val="28"/>
          <w:szCs w:val="28"/>
        </w:rPr>
        <w:t>于</w:t>
      </w:r>
      <w:r>
        <w:rPr>
          <w:rFonts w:ascii="Times New Roman" w:eastAsia="宋体" w:hAnsi="Times New Roman" w:cs="Times New Roman"/>
          <w:sz w:val="28"/>
          <w:szCs w:val="28"/>
        </w:rPr>
        <w:t>2016</w:t>
      </w:r>
      <w:r>
        <w:rPr>
          <w:rFonts w:ascii="Times New Roman" w:eastAsia="宋体" w:hAnsi="Times New Roman" w:cs="Times New Roman"/>
          <w:sz w:val="28"/>
          <w:szCs w:val="28"/>
        </w:rPr>
        <w:t>年</w:t>
      </w:r>
      <w:r>
        <w:rPr>
          <w:rFonts w:ascii="Times New Roman" w:eastAsia="宋体" w:hAnsi="Times New Roman" w:cs="Times New Roman"/>
          <w:sz w:val="28"/>
          <w:szCs w:val="28"/>
        </w:rPr>
        <w:t>12</w:t>
      </w:r>
      <w:r>
        <w:rPr>
          <w:rFonts w:ascii="Times New Roman" w:eastAsia="宋体" w:hAnsi="Times New Roman" w:cs="Times New Roman"/>
          <w:sz w:val="28"/>
          <w:szCs w:val="28"/>
        </w:rPr>
        <w:t>月</w:t>
      </w:r>
      <w:r>
        <w:rPr>
          <w:rFonts w:ascii="Times New Roman" w:eastAsia="宋体" w:hAnsi="Times New Roman" w:cs="Times New Roman"/>
          <w:sz w:val="28"/>
          <w:szCs w:val="28"/>
        </w:rPr>
        <w:t>13</w:t>
      </w:r>
      <w:r>
        <w:rPr>
          <w:rFonts w:ascii="Times New Roman" w:eastAsia="宋体" w:hAnsi="Times New Roman" w:cs="Times New Roman"/>
          <w:sz w:val="28"/>
          <w:szCs w:val="28"/>
        </w:rPr>
        <w:t>日取得了环评批复</w:t>
      </w:r>
      <w:r>
        <w:rPr>
          <w:rFonts w:ascii="Times New Roman" w:eastAsia="宋体" w:hAnsi="Times New Roman" w:cs="Times New Roman"/>
          <w:sz w:val="28"/>
          <w:szCs w:val="28"/>
        </w:rPr>
        <w:t>(</w:t>
      </w:r>
      <w:r>
        <w:rPr>
          <w:rFonts w:ascii="Times New Roman" w:eastAsia="宋体" w:hAnsi="Times New Roman" w:cs="Times New Roman"/>
          <w:sz w:val="28"/>
          <w:szCs w:val="28"/>
        </w:rPr>
        <w:t>赣环发</w:t>
      </w:r>
      <w:r>
        <w:rPr>
          <w:rFonts w:ascii="Times New Roman" w:eastAsia="宋体" w:hAnsi="Times New Roman" w:cs="Times New Roman"/>
          <w:sz w:val="28"/>
          <w:szCs w:val="28"/>
        </w:rPr>
        <w:t>[2016]77</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2020</w:t>
      </w:r>
      <w:r>
        <w:rPr>
          <w:rFonts w:ascii="Times New Roman" w:eastAsia="宋体" w:hAnsi="Times New Roman" w:cs="Times New Roman"/>
          <w:sz w:val="28"/>
          <w:szCs w:val="28"/>
        </w:rPr>
        <w:t>年</w:t>
      </w:r>
      <w:r>
        <w:rPr>
          <w:rFonts w:ascii="Times New Roman" w:eastAsia="宋体" w:hAnsi="Times New Roman" w:cs="Times New Roman"/>
          <w:sz w:val="28"/>
          <w:szCs w:val="28"/>
        </w:rPr>
        <w:t>6</w:t>
      </w:r>
      <w:r>
        <w:rPr>
          <w:rFonts w:ascii="Times New Roman" w:eastAsia="宋体" w:hAnsi="Times New Roman" w:cs="Times New Roman"/>
          <w:sz w:val="28"/>
          <w:szCs w:val="28"/>
        </w:rPr>
        <w:t>月</w:t>
      </w:r>
      <w:r>
        <w:rPr>
          <w:rFonts w:ascii="Times New Roman" w:eastAsia="宋体" w:hAnsi="Times New Roman" w:cs="Times New Roman"/>
          <w:sz w:val="28"/>
          <w:szCs w:val="28"/>
        </w:rPr>
        <w:t>27</w:t>
      </w:r>
      <w:r>
        <w:rPr>
          <w:rFonts w:ascii="Times New Roman" w:eastAsia="宋体" w:hAnsi="Times New Roman" w:cs="Times New Roman"/>
          <w:sz w:val="28"/>
          <w:szCs w:val="28"/>
        </w:rPr>
        <w:t>日取得《江苏金茂源生物化工有限责任公司年产</w:t>
      </w:r>
      <w:r>
        <w:rPr>
          <w:rFonts w:ascii="Times New Roman" w:eastAsia="宋体" w:hAnsi="Times New Roman" w:cs="Times New Roman"/>
          <w:sz w:val="28"/>
          <w:szCs w:val="28"/>
        </w:rPr>
        <w:t>6</w:t>
      </w:r>
      <w:r>
        <w:rPr>
          <w:rFonts w:ascii="Times New Roman" w:eastAsia="宋体" w:hAnsi="Times New Roman" w:cs="Times New Roman"/>
          <w:sz w:val="28"/>
          <w:szCs w:val="28"/>
        </w:rPr>
        <w:t>万吨发酵法混合物技改项目</w:t>
      </w:r>
      <w:r>
        <w:rPr>
          <w:rFonts w:ascii="Times New Roman" w:eastAsia="宋体" w:hAnsi="Times New Roman" w:cs="Times New Roman"/>
          <w:sz w:val="28"/>
          <w:szCs w:val="28"/>
        </w:rPr>
        <w:t>(</w:t>
      </w:r>
      <w:r>
        <w:rPr>
          <w:rFonts w:ascii="Times New Roman" w:eastAsia="宋体" w:hAnsi="Times New Roman" w:cs="Times New Roman"/>
          <w:sz w:val="28"/>
          <w:szCs w:val="28"/>
        </w:rPr>
        <w:t>废水、废气、噪声</w:t>
      </w:r>
      <w:r>
        <w:rPr>
          <w:rFonts w:ascii="Times New Roman" w:eastAsia="宋体" w:hAnsi="Times New Roman" w:cs="Times New Roman"/>
          <w:sz w:val="28"/>
          <w:szCs w:val="28"/>
        </w:rPr>
        <w:t>)</w:t>
      </w:r>
      <w:r>
        <w:rPr>
          <w:rFonts w:ascii="Times New Roman" w:eastAsia="宋体" w:hAnsi="Times New Roman" w:cs="Times New Roman"/>
          <w:sz w:val="28"/>
          <w:szCs w:val="28"/>
        </w:rPr>
        <w:t>竣工环境保护自主验收</w:t>
      </w:r>
      <w:r>
        <w:rPr>
          <w:rFonts w:ascii="Times New Roman" w:eastAsia="宋体" w:hAnsi="Times New Roman" w:cs="Times New Roman"/>
          <w:sz w:val="28"/>
          <w:szCs w:val="28"/>
        </w:rPr>
        <w:lastRenderedPageBreak/>
        <w:t>意见》。</w:t>
      </w:r>
    </w:p>
    <w:p w14:paraId="51431377"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2018</w:t>
      </w:r>
      <w:r>
        <w:rPr>
          <w:rFonts w:ascii="Times New Roman" w:eastAsia="宋体" w:hAnsi="Times New Roman" w:cs="Times New Roman"/>
          <w:sz w:val="28"/>
          <w:szCs w:val="28"/>
        </w:rPr>
        <w:t>年</w:t>
      </w:r>
      <w:r>
        <w:rPr>
          <w:rFonts w:ascii="Times New Roman" w:eastAsia="宋体" w:hAnsi="Times New Roman" w:cs="Times New Roman"/>
          <w:sz w:val="28"/>
          <w:szCs w:val="28"/>
        </w:rPr>
        <w:t>4</w:t>
      </w:r>
      <w:r>
        <w:rPr>
          <w:rFonts w:ascii="Times New Roman" w:eastAsia="宋体" w:hAnsi="Times New Roman" w:cs="Times New Roman"/>
          <w:sz w:val="28"/>
          <w:szCs w:val="28"/>
        </w:rPr>
        <w:t>月，金茂源公司为了优化换热系统，提高废热资源综合利用，投资</w:t>
      </w:r>
      <w:r>
        <w:rPr>
          <w:rFonts w:ascii="Times New Roman" w:eastAsia="宋体" w:hAnsi="Times New Roman" w:cs="Times New Roman"/>
          <w:sz w:val="28"/>
          <w:szCs w:val="28"/>
        </w:rPr>
        <w:t>914</w:t>
      </w:r>
      <w:r>
        <w:rPr>
          <w:rFonts w:ascii="Times New Roman" w:eastAsia="宋体" w:hAnsi="Times New Roman" w:cs="Times New Roman"/>
          <w:sz w:val="28"/>
          <w:szCs w:val="28"/>
        </w:rPr>
        <w:t>万元建设能源阶梯利用系统优化技改项目，该项目已完成环境影响登记表备案，备案号</w:t>
      </w:r>
      <w:r>
        <w:rPr>
          <w:rFonts w:ascii="Times New Roman" w:eastAsia="宋体" w:hAnsi="Times New Roman" w:cs="Times New Roman"/>
          <w:sz w:val="28"/>
          <w:szCs w:val="28"/>
        </w:rPr>
        <w:t>201832070700000096</w:t>
      </w:r>
      <w:r>
        <w:rPr>
          <w:rFonts w:ascii="Times New Roman" w:eastAsia="宋体" w:hAnsi="Times New Roman" w:cs="Times New Roman"/>
          <w:sz w:val="28"/>
          <w:szCs w:val="28"/>
        </w:rPr>
        <w:t>。同期，金茂源公司投资</w:t>
      </w:r>
      <w:r>
        <w:rPr>
          <w:rFonts w:ascii="Times New Roman" w:eastAsia="宋体" w:hAnsi="Times New Roman" w:cs="Times New Roman"/>
          <w:sz w:val="28"/>
          <w:szCs w:val="28"/>
        </w:rPr>
        <w:t>1200</w:t>
      </w:r>
      <w:r>
        <w:rPr>
          <w:rFonts w:ascii="Times New Roman" w:eastAsia="宋体" w:hAnsi="Times New Roman" w:cs="Times New Roman"/>
          <w:sz w:val="28"/>
          <w:szCs w:val="28"/>
        </w:rPr>
        <w:t>万元建设双发酵耦联工艺无废制乙醇产业化项目，该项目已完成环境影响登记表备案，备案号</w:t>
      </w:r>
      <w:r>
        <w:rPr>
          <w:rFonts w:ascii="Times New Roman" w:eastAsia="宋体" w:hAnsi="Times New Roman" w:cs="Times New Roman"/>
          <w:sz w:val="28"/>
          <w:szCs w:val="28"/>
        </w:rPr>
        <w:t>201832070700000106</w:t>
      </w:r>
      <w:r>
        <w:rPr>
          <w:rFonts w:ascii="Times New Roman" w:eastAsia="宋体" w:hAnsi="Times New Roman" w:cs="Times New Roman"/>
          <w:sz w:val="28"/>
          <w:szCs w:val="28"/>
        </w:rPr>
        <w:t>。</w:t>
      </w:r>
      <w:r>
        <w:rPr>
          <w:rFonts w:ascii="Times New Roman" w:eastAsia="宋体" w:hAnsi="Times New Roman" w:cs="Times New Roman"/>
          <w:sz w:val="28"/>
          <w:szCs w:val="28"/>
        </w:rPr>
        <w:t>2018</w:t>
      </w:r>
      <w:r>
        <w:rPr>
          <w:rFonts w:ascii="Times New Roman" w:eastAsia="宋体" w:hAnsi="Times New Roman" w:cs="Times New Roman"/>
          <w:sz w:val="28"/>
          <w:szCs w:val="28"/>
        </w:rPr>
        <w:t>年</w:t>
      </w:r>
      <w:r>
        <w:rPr>
          <w:rFonts w:ascii="Times New Roman" w:eastAsia="宋体" w:hAnsi="Times New Roman" w:cs="Times New Roman"/>
          <w:sz w:val="28"/>
          <w:szCs w:val="28"/>
        </w:rPr>
        <w:t>6</w:t>
      </w:r>
      <w:r>
        <w:rPr>
          <w:rFonts w:ascii="Times New Roman" w:eastAsia="宋体" w:hAnsi="Times New Roman" w:cs="Times New Roman"/>
          <w:sz w:val="28"/>
          <w:szCs w:val="28"/>
        </w:rPr>
        <w:t>月，金茂源公司投资</w:t>
      </w:r>
      <w:r>
        <w:rPr>
          <w:rFonts w:ascii="Times New Roman" w:eastAsia="宋体" w:hAnsi="Times New Roman" w:cs="Times New Roman"/>
          <w:sz w:val="28"/>
          <w:szCs w:val="28"/>
        </w:rPr>
        <w:t>1280</w:t>
      </w:r>
      <w:r>
        <w:rPr>
          <w:rFonts w:ascii="Times New Roman" w:eastAsia="宋体" w:hAnsi="Times New Roman" w:cs="Times New Roman"/>
          <w:sz w:val="28"/>
          <w:szCs w:val="28"/>
        </w:rPr>
        <w:t>万元对原有的沼气脱硫进行升级改造，该项目已完成环境影响登记表备案，备案号</w:t>
      </w:r>
      <w:r>
        <w:rPr>
          <w:rFonts w:ascii="Times New Roman" w:eastAsia="宋体" w:hAnsi="Times New Roman" w:cs="Times New Roman"/>
          <w:sz w:val="28"/>
          <w:szCs w:val="28"/>
        </w:rPr>
        <w:t>201832070700000165</w:t>
      </w:r>
      <w:r>
        <w:rPr>
          <w:rFonts w:ascii="Times New Roman" w:eastAsia="宋体" w:hAnsi="Times New Roman" w:cs="Times New Roman"/>
          <w:sz w:val="28"/>
          <w:szCs w:val="28"/>
        </w:rPr>
        <w:t>。</w:t>
      </w:r>
    </w:p>
    <w:p w14:paraId="154E9061" w14:textId="77777777" w:rsidR="002133E3" w:rsidRDefault="00C22CFA">
      <w:pPr>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w:t>
      </w:r>
      <w:r>
        <w:rPr>
          <w:rFonts w:ascii="Times New Roman" w:eastAsia="宋体" w:hAnsi="Times New Roman" w:cs="Times New Roman"/>
          <w:sz w:val="28"/>
          <w:szCs w:val="28"/>
        </w:rPr>
        <w:t>利用木薯酒精废渣年产</w:t>
      </w:r>
      <w:r>
        <w:rPr>
          <w:rFonts w:ascii="Times New Roman" w:eastAsia="宋体" w:hAnsi="Times New Roman" w:cs="Times New Roman"/>
          <w:sz w:val="28"/>
          <w:szCs w:val="28"/>
        </w:rPr>
        <w:t>10</w:t>
      </w:r>
      <w:r>
        <w:rPr>
          <w:rFonts w:ascii="Times New Roman" w:eastAsia="宋体" w:hAnsi="Times New Roman" w:cs="Times New Roman"/>
          <w:sz w:val="28"/>
          <w:szCs w:val="28"/>
        </w:rPr>
        <w:t>万吨高效多功能生物有机肥技改项目</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于</w:t>
      </w:r>
      <w:r>
        <w:rPr>
          <w:rFonts w:ascii="Times New Roman" w:eastAsia="宋体" w:hAnsi="Times New Roman" w:cs="Times New Roman"/>
          <w:sz w:val="28"/>
          <w:szCs w:val="28"/>
        </w:rPr>
        <w:t>2018</w:t>
      </w:r>
      <w:r>
        <w:rPr>
          <w:rFonts w:ascii="Times New Roman" w:eastAsia="宋体" w:hAnsi="Times New Roman" w:cs="Times New Roman"/>
          <w:sz w:val="28"/>
          <w:szCs w:val="28"/>
        </w:rPr>
        <w:t>年</w:t>
      </w:r>
      <w:r>
        <w:rPr>
          <w:rFonts w:ascii="Times New Roman" w:eastAsia="宋体" w:hAnsi="Times New Roman" w:cs="Times New Roman"/>
          <w:sz w:val="28"/>
          <w:szCs w:val="28"/>
        </w:rPr>
        <w:t>10</w:t>
      </w:r>
      <w:r>
        <w:rPr>
          <w:rFonts w:ascii="Times New Roman" w:eastAsia="宋体" w:hAnsi="Times New Roman" w:cs="Times New Roman"/>
          <w:sz w:val="28"/>
          <w:szCs w:val="28"/>
        </w:rPr>
        <w:t>月</w:t>
      </w:r>
      <w:r>
        <w:rPr>
          <w:rFonts w:ascii="Times New Roman" w:eastAsia="宋体" w:hAnsi="Times New Roman" w:cs="Times New Roman"/>
          <w:sz w:val="28"/>
          <w:szCs w:val="28"/>
        </w:rPr>
        <w:t>23</w:t>
      </w:r>
      <w:r>
        <w:rPr>
          <w:rFonts w:ascii="Times New Roman" w:eastAsia="宋体" w:hAnsi="Times New Roman" w:cs="Times New Roman"/>
          <w:sz w:val="28"/>
          <w:szCs w:val="28"/>
        </w:rPr>
        <w:t>日取得了环评批复</w:t>
      </w:r>
      <w:r>
        <w:rPr>
          <w:rFonts w:ascii="Times New Roman" w:eastAsia="宋体" w:hAnsi="Times New Roman" w:cs="Times New Roman"/>
          <w:sz w:val="28"/>
          <w:szCs w:val="28"/>
        </w:rPr>
        <w:t>(</w:t>
      </w:r>
      <w:r>
        <w:rPr>
          <w:rFonts w:ascii="Times New Roman" w:eastAsia="宋体" w:hAnsi="Times New Roman" w:cs="Times New Roman"/>
          <w:sz w:val="28"/>
          <w:szCs w:val="28"/>
        </w:rPr>
        <w:t>赣环发</w:t>
      </w:r>
      <w:r>
        <w:rPr>
          <w:rFonts w:ascii="Times New Roman" w:eastAsia="宋体" w:hAnsi="Times New Roman" w:cs="Times New Roman"/>
          <w:sz w:val="28"/>
          <w:szCs w:val="28"/>
        </w:rPr>
        <w:t>[2016]77</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，尚未建设。</w:t>
      </w:r>
    </w:p>
    <w:p w14:paraId="02058C0B" w14:textId="77777777" w:rsidR="002133E3" w:rsidRDefault="002133E3">
      <w:pPr>
        <w:adjustRightInd w:val="0"/>
        <w:snapToGrid w:val="0"/>
        <w:spacing w:line="500" w:lineRule="exact"/>
        <w:jc w:val="center"/>
        <w:rPr>
          <w:rFonts w:ascii="Times New Roman" w:eastAsia="宋体" w:hAnsi="Times New Roman" w:cs="Times New Roman"/>
          <w:b/>
          <w:szCs w:val="21"/>
        </w:rPr>
        <w:sectPr w:rsidR="002133E3">
          <w:pgSz w:w="11906" w:h="16838"/>
          <w:pgMar w:top="1134" w:right="1134" w:bottom="1134" w:left="1134" w:header="851" w:footer="992" w:gutter="0"/>
          <w:cols w:space="425"/>
          <w:docGrid w:type="lines" w:linePitch="312"/>
        </w:sectPr>
      </w:pPr>
    </w:p>
    <w:p w14:paraId="29DA3B51" w14:textId="77777777" w:rsidR="002133E3" w:rsidRDefault="00C22CFA">
      <w:pPr>
        <w:adjustRightInd w:val="0"/>
        <w:snapToGrid w:val="0"/>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表</w:t>
      </w:r>
      <w:r>
        <w:rPr>
          <w:rFonts w:ascii="Times New Roman" w:eastAsia="宋体" w:hAnsi="Times New Roman" w:cs="Times New Roman"/>
          <w:b/>
          <w:szCs w:val="21"/>
        </w:rPr>
        <w:t xml:space="preserve">3.1-1  </w:t>
      </w:r>
      <w:r>
        <w:rPr>
          <w:rFonts w:ascii="Times New Roman" w:eastAsia="宋体" w:hAnsi="Times New Roman" w:cs="Times New Roman"/>
          <w:b/>
          <w:szCs w:val="21"/>
        </w:rPr>
        <w:t>现有项目主体工程及产品方案表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3303"/>
        <w:gridCol w:w="1727"/>
        <w:gridCol w:w="863"/>
        <w:gridCol w:w="1309"/>
        <w:gridCol w:w="1570"/>
        <w:gridCol w:w="720"/>
        <w:gridCol w:w="2159"/>
        <w:gridCol w:w="2699"/>
      </w:tblGrid>
      <w:tr w:rsidR="002133E3" w14:paraId="52AEC92A" w14:textId="77777777">
        <w:trPr>
          <w:trHeight w:val="284"/>
          <w:jc w:val="center"/>
        </w:trPr>
        <w:tc>
          <w:tcPr>
            <w:tcW w:w="428" w:type="dxa"/>
            <w:tcBorders>
              <w:top w:val="single" w:sz="4" w:space="0" w:color="auto"/>
              <w:left w:val="single" w:sz="4" w:space="0" w:color="auto"/>
              <w:bottom w:val="single" w:sz="4" w:space="0" w:color="auto"/>
              <w:right w:val="single" w:sz="4" w:space="0" w:color="auto"/>
            </w:tcBorders>
            <w:vAlign w:val="center"/>
          </w:tcPr>
          <w:p w14:paraId="34226A8B"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3253" w:type="dxa"/>
            <w:tcBorders>
              <w:top w:val="single" w:sz="4" w:space="0" w:color="auto"/>
              <w:left w:val="single" w:sz="4" w:space="0" w:color="auto"/>
              <w:bottom w:val="single" w:sz="4" w:space="0" w:color="auto"/>
              <w:right w:val="single" w:sz="4" w:space="0" w:color="auto"/>
            </w:tcBorders>
            <w:vAlign w:val="center"/>
          </w:tcPr>
          <w:p w14:paraId="275E385B"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项目名称</w:t>
            </w:r>
          </w:p>
        </w:tc>
        <w:tc>
          <w:tcPr>
            <w:tcW w:w="1701" w:type="dxa"/>
            <w:tcBorders>
              <w:top w:val="single" w:sz="4" w:space="0" w:color="auto"/>
              <w:left w:val="single" w:sz="4" w:space="0" w:color="auto"/>
              <w:bottom w:val="single" w:sz="4" w:space="0" w:color="auto"/>
              <w:right w:val="single" w:sz="4" w:space="0" w:color="auto"/>
            </w:tcBorders>
            <w:vAlign w:val="center"/>
          </w:tcPr>
          <w:p w14:paraId="64A4B713"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工程名称</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1E1040B3"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产品及副产</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规格</w:t>
            </w:r>
            <w:r>
              <w:rPr>
                <w:rFonts w:ascii="Times New Roman" w:eastAsia="宋体" w:hAnsi="Times New Roman" w:cs="Times New Roman"/>
                <w:b/>
                <w:bCs/>
                <w:kern w:val="0"/>
                <w:szCs w:val="21"/>
              </w:rPr>
              <w:t>)</w:t>
            </w:r>
          </w:p>
        </w:tc>
        <w:tc>
          <w:tcPr>
            <w:tcW w:w="1546" w:type="dxa"/>
            <w:tcBorders>
              <w:top w:val="single" w:sz="4" w:space="0" w:color="auto"/>
              <w:left w:val="single" w:sz="4" w:space="0" w:color="auto"/>
              <w:bottom w:val="single" w:sz="4" w:space="0" w:color="auto"/>
              <w:right w:val="single" w:sz="4" w:space="0" w:color="auto"/>
            </w:tcBorders>
            <w:vAlign w:val="center"/>
          </w:tcPr>
          <w:p w14:paraId="708EE2F9"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生产能力</w:t>
            </w:r>
            <w:r>
              <w:rPr>
                <w:rFonts w:ascii="Times New Roman" w:eastAsia="宋体" w:hAnsi="Times New Roman" w:cs="Times New Roman"/>
                <w:b/>
                <w:bCs/>
                <w:kern w:val="0"/>
                <w:szCs w:val="21"/>
              </w:rPr>
              <w:t>(t/a)</w:t>
            </w:r>
          </w:p>
        </w:tc>
        <w:tc>
          <w:tcPr>
            <w:tcW w:w="709" w:type="dxa"/>
            <w:tcBorders>
              <w:top w:val="single" w:sz="4" w:space="0" w:color="auto"/>
              <w:left w:val="single" w:sz="4" w:space="0" w:color="auto"/>
              <w:bottom w:val="single" w:sz="4" w:space="0" w:color="auto"/>
              <w:right w:val="single" w:sz="4" w:space="0" w:color="auto"/>
            </w:tcBorders>
            <w:vAlign w:val="center"/>
          </w:tcPr>
          <w:p w14:paraId="34A66364"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运行时数</w:t>
            </w:r>
          </w:p>
        </w:tc>
        <w:tc>
          <w:tcPr>
            <w:tcW w:w="2126" w:type="dxa"/>
            <w:tcBorders>
              <w:top w:val="single" w:sz="4" w:space="0" w:color="auto"/>
              <w:left w:val="single" w:sz="4" w:space="0" w:color="auto"/>
              <w:bottom w:val="single" w:sz="4" w:space="0" w:color="auto"/>
              <w:right w:val="single" w:sz="4" w:space="0" w:color="auto"/>
            </w:tcBorders>
            <w:vAlign w:val="center"/>
          </w:tcPr>
          <w:p w14:paraId="6E3FD3C2"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szCs w:val="21"/>
              </w:rPr>
              <w:t>环评批复情况</w:t>
            </w:r>
          </w:p>
        </w:tc>
        <w:tc>
          <w:tcPr>
            <w:tcW w:w="2658" w:type="dxa"/>
            <w:tcBorders>
              <w:top w:val="single" w:sz="4" w:space="0" w:color="auto"/>
              <w:left w:val="single" w:sz="4" w:space="0" w:color="auto"/>
              <w:bottom w:val="single" w:sz="4" w:space="0" w:color="auto"/>
              <w:right w:val="single" w:sz="4" w:space="0" w:color="auto"/>
            </w:tcBorders>
            <w:vAlign w:val="center"/>
          </w:tcPr>
          <w:p w14:paraId="21ABB0EA" w14:textId="77777777" w:rsidR="002133E3" w:rsidRDefault="00C22CFA">
            <w:pPr>
              <w:widowControl/>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验收情况</w:t>
            </w:r>
          </w:p>
        </w:tc>
      </w:tr>
      <w:tr w:rsidR="00551C66" w14:paraId="2494EDE0" w14:textId="77777777">
        <w:trPr>
          <w:trHeight w:val="284"/>
          <w:jc w:val="center"/>
        </w:trPr>
        <w:tc>
          <w:tcPr>
            <w:tcW w:w="428" w:type="dxa"/>
            <w:tcBorders>
              <w:top w:val="single" w:sz="4" w:space="0" w:color="auto"/>
              <w:left w:val="single" w:sz="4" w:space="0" w:color="auto"/>
              <w:bottom w:val="single" w:sz="4" w:space="0" w:color="auto"/>
              <w:right w:val="single" w:sz="4" w:space="0" w:color="auto"/>
            </w:tcBorders>
            <w:vAlign w:val="center"/>
          </w:tcPr>
          <w:p w14:paraId="2AA48F75" w14:textId="77777777" w:rsidR="00551C66" w:rsidRDefault="00551C66">
            <w:pPr>
              <w:widowControl/>
              <w:snapToGrid w:val="0"/>
              <w:jc w:val="center"/>
              <w:rPr>
                <w:rFonts w:ascii="Times New Roman" w:eastAsia="宋体" w:hAnsi="Times New Roman" w:cs="Times New Roman"/>
                <w:b/>
                <w:bCs/>
                <w:kern w:val="0"/>
                <w:szCs w:val="21"/>
              </w:rPr>
            </w:pPr>
          </w:p>
        </w:tc>
        <w:tc>
          <w:tcPr>
            <w:tcW w:w="3253" w:type="dxa"/>
            <w:tcBorders>
              <w:top w:val="single" w:sz="4" w:space="0" w:color="auto"/>
              <w:left w:val="single" w:sz="4" w:space="0" w:color="auto"/>
              <w:bottom w:val="single" w:sz="4" w:space="0" w:color="auto"/>
              <w:right w:val="single" w:sz="4" w:space="0" w:color="auto"/>
            </w:tcBorders>
            <w:vAlign w:val="center"/>
          </w:tcPr>
          <w:p w14:paraId="06205439" w14:textId="321835B4" w:rsidR="00551C66" w:rsidRPr="00551C66" w:rsidRDefault="00551C66">
            <w:pPr>
              <w:widowControl/>
              <w:snapToGrid w:val="0"/>
              <w:jc w:val="center"/>
              <w:rPr>
                <w:rFonts w:ascii="Times New Roman" w:eastAsia="宋体" w:hAnsi="Times New Roman" w:cs="Times New Roman"/>
                <w:kern w:val="0"/>
                <w:szCs w:val="21"/>
              </w:rPr>
            </w:pPr>
            <w:r w:rsidRPr="00551C66">
              <w:rPr>
                <w:rFonts w:ascii="Times New Roman" w:eastAsia="宋体" w:hAnsi="Times New Roman" w:cs="Times New Roman"/>
                <w:kern w:val="0"/>
                <w:szCs w:val="21"/>
              </w:rPr>
              <w:t>江苏海州湾产业区</w:t>
            </w:r>
            <w:r w:rsidRPr="00551C66">
              <w:rPr>
                <w:rFonts w:ascii="Times New Roman" w:eastAsia="宋体" w:hAnsi="Times New Roman" w:cs="Times New Roman"/>
                <w:kern w:val="0"/>
                <w:szCs w:val="21"/>
              </w:rPr>
              <w:t>2×75t/h</w:t>
            </w:r>
            <w:r w:rsidRPr="00551C66">
              <w:rPr>
                <w:rFonts w:ascii="Times New Roman" w:eastAsia="宋体" w:hAnsi="Times New Roman" w:cs="Times New Roman"/>
                <w:kern w:val="0"/>
                <w:szCs w:val="21"/>
              </w:rPr>
              <w:t>供热锅炉工程项目</w:t>
            </w:r>
          </w:p>
        </w:tc>
        <w:tc>
          <w:tcPr>
            <w:tcW w:w="1701" w:type="dxa"/>
            <w:tcBorders>
              <w:top w:val="single" w:sz="4" w:space="0" w:color="auto"/>
              <w:left w:val="single" w:sz="4" w:space="0" w:color="auto"/>
              <w:bottom w:val="single" w:sz="4" w:space="0" w:color="auto"/>
              <w:right w:val="single" w:sz="4" w:space="0" w:color="auto"/>
            </w:tcBorders>
            <w:vAlign w:val="center"/>
          </w:tcPr>
          <w:p w14:paraId="214BC495" w14:textId="0E404FE3" w:rsidR="00551C66" w:rsidRPr="00551C66" w:rsidRDefault="00551C66">
            <w:pPr>
              <w:widowControl/>
              <w:snapToGrid w:val="0"/>
              <w:jc w:val="center"/>
              <w:rPr>
                <w:rFonts w:ascii="Times New Roman" w:eastAsia="宋体" w:hAnsi="Times New Roman" w:cs="Times New Roman"/>
                <w:kern w:val="0"/>
                <w:szCs w:val="21"/>
              </w:rPr>
            </w:pPr>
            <w:r w:rsidRPr="00551C66">
              <w:rPr>
                <w:rFonts w:ascii="Times New Roman" w:eastAsia="宋体" w:hAnsi="Times New Roman" w:cs="Times New Roman"/>
                <w:kern w:val="0"/>
                <w:szCs w:val="21"/>
              </w:rPr>
              <w:t>供热锅炉</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72C1529B" w14:textId="606515A5" w:rsidR="00551C66" w:rsidRPr="00551C66" w:rsidRDefault="00551C66">
            <w:pPr>
              <w:widowControl/>
              <w:snapToGrid w:val="0"/>
              <w:jc w:val="center"/>
              <w:rPr>
                <w:rFonts w:ascii="Times New Roman" w:eastAsia="宋体" w:hAnsi="Times New Roman" w:cs="Times New Roman"/>
                <w:kern w:val="0"/>
                <w:szCs w:val="21"/>
              </w:rPr>
            </w:pPr>
            <w:r w:rsidRPr="00551C66">
              <w:rPr>
                <w:rFonts w:ascii="Times New Roman" w:eastAsia="宋体" w:hAnsi="Times New Roman" w:cs="Times New Roman"/>
                <w:szCs w:val="21"/>
              </w:rPr>
              <w:t>蒸汽</w:t>
            </w:r>
          </w:p>
        </w:tc>
        <w:tc>
          <w:tcPr>
            <w:tcW w:w="1546" w:type="dxa"/>
            <w:tcBorders>
              <w:top w:val="single" w:sz="4" w:space="0" w:color="auto"/>
              <w:left w:val="single" w:sz="4" w:space="0" w:color="auto"/>
              <w:bottom w:val="single" w:sz="4" w:space="0" w:color="auto"/>
              <w:right w:val="single" w:sz="4" w:space="0" w:color="auto"/>
            </w:tcBorders>
            <w:vAlign w:val="center"/>
          </w:tcPr>
          <w:p w14:paraId="7D8AF346" w14:textId="25851085" w:rsidR="00551C66" w:rsidRPr="00551C66" w:rsidRDefault="00551C66">
            <w:pPr>
              <w:widowControl/>
              <w:snapToGrid w:val="0"/>
              <w:jc w:val="center"/>
              <w:rPr>
                <w:rFonts w:ascii="Times New Roman" w:eastAsia="宋体" w:hAnsi="Times New Roman" w:cs="Times New Roman"/>
                <w:kern w:val="0"/>
                <w:szCs w:val="21"/>
              </w:rPr>
            </w:pPr>
            <w:r w:rsidRPr="00551C66">
              <w:rPr>
                <w:rFonts w:ascii="Times New Roman" w:eastAsia="宋体" w:hAnsi="Times New Roman" w:cs="Times New Roman"/>
                <w:kern w:val="0"/>
                <w:szCs w:val="21"/>
              </w:rPr>
              <w:t>2×75t/h</w:t>
            </w:r>
            <w:r w:rsidRPr="00551C66">
              <w:rPr>
                <w:rFonts w:ascii="Times New Roman" w:eastAsia="宋体" w:hAnsi="Times New Roman" w:cs="Times New Roman"/>
                <w:szCs w:val="21"/>
              </w:rPr>
              <w:t xml:space="preserve"> </w:t>
            </w:r>
          </w:p>
        </w:tc>
        <w:tc>
          <w:tcPr>
            <w:tcW w:w="709" w:type="dxa"/>
            <w:tcBorders>
              <w:top w:val="single" w:sz="4" w:space="0" w:color="auto"/>
              <w:left w:val="single" w:sz="4" w:space="0" w:color="auto"/>
              <w:bottom w:val="single" w:sz="4" w:space="0" w:color="auto"/>
              <w:right w:val="single" w:sz="4" w:space="0" w:color="auto"/>
            </w:tcBorders>
            <w:vAlign w:val="center"/>
          </w:tcPr>
          <w:p w14:paraId="56A3C515" w14:textId="28D8D45C" w:rsidR="00551C66" w:rsidRPr="00551C66" w:rsidRDefault="00551C66">
            <w:pPr>
              <w:widowControl/>
              <w:snapToGrid w:val="0"/>
              <w:jc w:val="center"/>
              <w:rPr>
                <w:rFonts w:ascii="Times New Roman" w:eastAsia="宋体" w:hAnsi="Times New Roman" w:cs="Times New Roman"/>
                <w:kern w:val="0"/>
                <w:szCs w:val="21"/>
              </w:rPr>
            </w:pPr>
            <w:r w:rsidRPr="00551C66">
              <w:rPr>
                <w:rFonts w:ascii="Times New Roman" w:eastAsia="宋体" w:hAnsi="Times New Roman" w:cs="Times New Roman"/>
                <w:kern w:val="0"/>
                <w:szCs w:val="21"/>
              </w:rPr>
              <w:t>7200</w:t>
            </w:r>
          </w:p>
        </w:tc>
        <w:tc>
          <w:tcPr>
            <w:tcW w:w="2126" w:type="dxa"/>
            <w:tcBorders>
              <w:top w:val="single" w:sz="4" w:space="0" w:color="auto"/>
              <w:left w:val="single" w:sz="4" w:space="0" w:color="auto"/>
              <w:bottom w:val="single" w:sz="4" w:space="0" w:color="auto"/>
              <w:right w:val="single" w:sz="4" w:space="0" w:color="auto"/>
            </w:tcBorders>
            <w:vAlign w:val="center"/>
          </w:tcPr>
          <w:p w14:paraId="63CC8BD2" w14:textId="3B9C3043" w:rsidR="00551C66" w:rsidRPr="00551C66" w:rsidRDefault="00551C66">
            <w:pPr>
              <w:widowControl/>
              <w:snapToGrid w:val="0"/>
              <w:jc w:val="center"/>
              <w:rPr>
                <w:rFonts w:ascii="Times New Roman" w:eastAsia="宋体" w:hAnsi="Times New Roman" w:cs="Times New Roman"/>
                <w:szCs w:val="21"/>
              </w:rPr>
            </w:pPr>
            <w:r w:rsidRPr="00551C66">
              <w:rPr>
                <w:rFonts w:ascii="Times New Roman" w:eastAsia="宋体" w:hAnsi="Times New Roman" w:cs="Times New Roman"/>
                <w:szCs w:val="21"/>
              </w:rPr>
              <w:t>2007</w:t>
            </w:r>
            <w:r w:rsidRPr="00551C66">
              <w:rPr>
                <w:rFonts w:ascii="Times New Roman" w:eastAsia="宋体" w:hAnsi="Times New Roman" w:cs="Times New Roman"/>
                <w:szCs w:val="21"/>
              </w:rPr>
              <w:t>年</w:t>
            </w:r>
            <w:r w:rsidRPr="00551C66">
              <w:rPr>
                <w:rFonts w:ascii="Times New Roman" w:eastAsia="宋体" w:hAnsi="Times New Roman" w:cs="Times New Roman"/>
                <w:szCs w:val="21"/>
              </w:rPr>
              <w:t>9</w:t>
            </w:r>
            <w:r w:rsidRPr="00551C66">
              <w:rPr>
                <w:rFonts w:ascii="Times New Roman" w:eastAsia="宋体" w:hAnsi="Times New Roman" w:cs="Times New Roman"/>
                <w:szCs w:val="21"/>
              </w:rPr>
              <w:t>月</w:t>
            </w:r>
            <w:r w:rsidRPr="00551C66">
              <w:rPr>
                <w:rFonts w:ascii="Times New Roman" w:eastAsia="宋体" w:hAnsi="Times New Roman" w:cs="Times New Roman"/>
                <w:szCs w:val="21"/>
              </w:rPr>
              <w:t>30</w:t>
            </w:r>
            <w:r w:rsidRPr="00551C66">
              <w:rPr>
                <w:rFonts w:ascii="Times New Roman" w:eastAsia="宋体" w:hAnsi="Times New Roman" w:cs="Times New Roman"/>
                <w:szCs w:val="21"/>
              </w:rPr>
              <w:t>日</w:t>
            </w:r>
          </w:p>
        </w:tc>
        <w:tc>
          <w:tcPr>
            <w:tcW w:w="2658" w:type="dxa"/>
            <w:tcBorders>
              <w:top w:val="single" w:sz="4" w:space="0" w:color="auto"/>
              <w:left w:val="single" w:sz="4" w:space="0" w:color="auto"/>
              <w:bottom w:val="single" w:sz="4" w:space="0" w:color="auto"/>
              <w:right w:val="single" w:sz="4" w:space="0" w:color="auto"/>
            </w:tcBorders>
            <w:vAlign w:val="center"/>
          </w:tcPr>
          <w:p w14:paraId="391CE549" w14:textId="7C1BFA77" w:rsidR="00551C66" w:rsidRPr="00551C66" w:rsidRDefault="00551C66">
            <w:pPr>
              <w:widowControl/>
              <w:snapToGrid w:val="0"/>
              <w:jc w:val="center"/>
              <w:rPr>
                <w:rFonts w:ascii="Times New Roman" w:eastAsia="宋体" w:hAnsi="Times New Roman" w:cs="Times New Roman"/>
                <w:szCs w:val="21"/>
              </w:rPr>
            </w:pPr>
            <w:r w:rsidRPr="00551C66">
              <w:rPr>
                <w:rFonts w:ascii="Times New Roman" w:eastAsia="宋体" w:hAnsi="Times New Roman" w:cs="Times New Roman"/>
                <w:szCs w:val="21"/>
              </w:rPr>
              <w:t>2011</w:t>
            </w:r>
            <w:r w:rsidRPr="00551C66">
              <w:rPr>
                <w:rFonts w:ascii="Times New Roman" w:eastAsia="宋体" w:hAnsi="Times New Roman" w:cs="Times New Roman"/>
                <w:szCs w:val="21"/>
              </w:rPr>
              <w:t>年</w:t>
            </w:r>
            <w:r w:rsidRPr="00551C66">
              <w:rPr>
                <w:rFonts w:ascii="Times New Roman" w:eastAsia="宋体" w:hAnsi="Times New Roman" w:cs="Times New Roman"/>
                <w:szCs w:val="21"/>
              </w:rPr>
              <w:t>1</w:t>
            </w:r>
            <w:r w:rsidRPr="00551C66">
              <w:rPr>
                <w:rFonts w:ascii="Times New Roman" w:eastAsia="宋体" w:hAnsi="Times New Roman" w:cs="Times New Roman"/>
                <w:szCs w:val="21"/>
              </w:rPr>
              <w:t>月</w:t>
            </w:r>
            <w:r w:rsidRPr="00551C66">
              <w:rPr>
                <w:rFonts w:ascii="Times New Roman" w:eastAsia="宋体" w:hAnsi="Times New Roman" w:cs="Times New Roman"/>
                <w:szCs w:val="21"/>
              </w:rPr>
              <w:t>13</w:t>
            </w:r>
            <w:r w:rsidRPr="00551C66">
              <w:rPr>
                <w:rFonts w:ascii="Times New Roman" w:eastAsia="宋体" w:hAnsi="Times New Roman" w:cs="Times New Roman"/>
                <w:szCs w:val="21"/>
              </w:rPr>
              <w:t>日</w:t>
            </w:r>
          </w:p>
        </w:tc>
      </w:tr>
      <w:tr w:rsidR="002133E3" w14:paraId="20C4729B" w14:textId="77777777">
        <w:trPr>
          <w:trHeight w:val="284"/>
          <w:jc w:val="center"/>
        </w:trPr>
        <w:tc>
          <w:tcPr>
            <w:tcW w:w="428" w:type="dxa"/>
            <w:vMerge w:val="restart"/>
            <w:tcBorders>
              <w:top w:val="single" w:sz="4" w:space="0" w:color="auto"/>
              <w:left w:val="single" w:sz="4" w:space="0" w:color="auto"/>
              <w:right w:val="single" w:sz="4" w:space="0" w:color="auto"/>
            </w:tcBorders>
            <w:vAlign w:val="center"/>
          </w:tcPr>
          <w:p w14:paraId="16682707"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1</w:t>
            </w:r>
          </w:p>
        </w:tc>
        <w:tc>
          <w:tcPr>
            <w:tcW w:w="3253" w:type="dxa"/>
            <w:vMerge w:val="restart"/>
            <w:tcBorders>
              <w:top w:val="single" w:sz="4" w:space="0" w:color="auto"/>
              <w:left w:val="single" w:sz="4" w:space="0" w:color="auto"/>
              <w:right w:val="single" w:sz="4" w:space="0" w:color="auto"/>
            </w:tcBorders>
            <w:vAlign w:val="center"/>
          </w:tcPr>
          <w:p w14:paraId="34ADF80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年产</w:t>
            </w:r>
            <w:r>
              <w:rPr>
                <w:rFonts w:ascii="Times New Roman" w:eastAsia="宋体" w:hAnsi="Times New Roman" w:cs="Times New Roman"/>
                <w:kern w:val="0"/>
                <w:szCs w:val="21"/>
              </w:rPr>
              <w:t>20</w:t>
            </w:r>
            <w:r>
              <w:rPr>
                <w:rFonts w:ascii="Times New Roman" w:eastAsia="宋体" w:hAnsi="Times New Roman" w:cs="Times New Roman"/>
                <w:kern w:val="0"/>
                <w:szCs w:val="21"/>
              </w:rPr>
              <w:t>万吨醋酸乙</w:t>
            </w:r>
            <w:r>
              <w:rPr>
                <w:rFonts w:ascii="Times New Roman" w:eastAsia="宋体" w:hAnsi="Times New Roman" w:cs="Times New Roman"/>
                <w:kern w:val="0"/>
                <w:szCs w:val="21"/>
              </w:rPr>
              <w:t>(</w:t>
            </w:r>
            <w:r>
              <w:rPr>
                <w:rFonts w:ascii="Times New Roman" w:eastAsia="宋体" w:hAnsi="Times New Roman" w:cs="Times New Roman"/>
                <w:kern w:val="0"/>
                <w:szCs w:val="21"/>
              </w:rPr>
              <w:t>丁</w:t>
            </w:r>
            <w:r>
              <w:rPr>
                <w:rFonts w:ascii="Times New Roman" w:eastAsia="宋体" w:hAnsi="Times New Roman" w:cs="Times New Roman"/>
                <w:kern w:val="0"/>
                <w:szCs w:val="21"/>
              </w:rPr>
              <w:t>)</w:t>
            </w:r>
            <w:r>
              <w:rPr>
                <w:rFonts w:ascii="Times New Roman" w:eastAsia="宋体" w:hAnsi="Times New Roman" w:cs="Times New Roman"/>
                <w:kern w:val="0"/>
                <w:szCs w:val="21"/>
              </w:rPr>
              <w:t>酯等工程项目</w:t>
            </w:r>
          </w:p>
        </w:tc>
        <w:tc>
          <w:tcPr>
            <w:tcW w:w="1701" w:type="dxa"/>
            <w:tcBorders>
              <w:top w:val="single" w:sz="4" w:space="0" w:color="auto"/>
              <w:left w:val="single" w:sz="4" w:space="0" w:color="auto"/>
              <w:bottom w:val="single" w:sz="4" w:space="0" w:color="auto"/>
              <w:right w:val="single" w:sz="4" w:space="0" w:color="auto"/>
            </w:tcBorders>
            <w:vAlign w:val="center"/>
          </w:tcPr>
          <w:p w14:paraId="111219FD"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醋酸乙酯生产线</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7E7BBDC6"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醋酸乙酯</w:t>
            </w:r>
            <w:r>
              <w:rPr>
                <w:rFonts w:ascii="Times New Roman" w:eastAsia="宋体" w:hAnsi="Times New Roman" w:cs="Times New Roman"/>
                <w:kern w:val="0"/>
                <w:szCs w:val="21"/>
              </w:rPr>
              <w:t>(≥99%)</w:t>
            </w:r>
          </w:p>
        </w:tc>
        <w:tc>
          <w:tcPr>
            <w:tcW w:w="1546" w:type="dxa"/>
            <w:tcBorders>
              <w:top w:val="single" w:sz="4" w:space="0" w:color="auto"/>
              <w:left w:val="single" w:sz="4" w:space="0" w:color="auto"/>
              <w:bottom w:val="single" w:sz="4" w:space="0" w:color="auto"/>
              <w:right w:val="single" w:sz="4" w:space="0" w:color="auto"/>
            </w:tcBorders>
            <w:vAlign w:val="center"/>
          </w:tcPr>
          <w:p w14:paraId="6C2C3DFA"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20</w:t>
            </w:r>
            <w:r>
              <w:rPr>
                <w:rFonts w:ascii="Times New Roman" w:eastAsia="宋体" w:hAnsi="Times New Roman" w:cs="Times New Roman"/>
                <w:kern w:val="0"/>
                <w:szCs w:val="21"/>
              </w:rPr>
              <w:t>万</w:t>
            </w:r>
          </w:p>
        </w:tc>
        <w:tc>
          <w:tcPr>
            <w:tcW w:w="709" w:type="dxa"/>
            <w:tcBorders>
              <w:top w:val="single" w:sz="4" w:space="0" w:color="auto"/>
              <w:left w:val="single" w:sz="4" w:space="0" w:color="auto"/>
              <w:bottom w:val="single" w:sz="4" w:space="0" w:color="auto"/>
              <w:right w:val="single" w:sz="4" w:space="0" w:color="auto"/>
            </w:tcBorders>
            <w:vAlign w:val="center"/>
          </w:tcPr>
          <w:p w14:paraId="78529322"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7200</w:t>
            </w:r>
          </w:p>
        </w:tc>
        <w:tc>
          <w:tcPr>
            <w:tcW w:w="2126" w:type="dxa"/>
            <w:vMerge w:val="restart"/>
            <w:tcBorders>
              <w:top w:val="single" w:sz="4" w:space="0" w:color="auto"/>
              <w:left w:val="single" w:sz="4" w:space="0" w:color="auto"/>
              <w:right w:val="single" w:sz="4" w:space="0" w:color="auto"/>
            </w:tcBorders>
            <w:vAlign w:val="center"/>
          </w:tcPr>
          <w:p w14:paraId="12E36E2C"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szCs w:val="21"/>
              </w:rPr>
              <w:t>苏环管</w:t>
            </w:r>
            <w:r>
              <w:rPr>
                <w:rFonts w:ascii="Times New Roman" w:eastAsia="宋体" w:hAnsi="Times New Roman" w:cs="Times New Roman"/>
                <w:szCs w:val="21"/>
              </w:rPr>
              <w:t>[2008]167</w:t>
            </w:r>
            <w:r>
              <w:rPr>
                <w:rFonts w:ascii="Times New Roman" w:eastAsia="宋体" w:hAnsi="Times New Roman" w:cs="Times New Roman"/>
                <w:szCs w:val="21"/>
              </w:rPr>
              <w:t>号</w:t>
            </w:r>
          </w:p>
        </w:tc>
        <w:tc>
          <w:tcPr>
            <w:tcW w:w="2658" w:type="dxa"/>
            <w:vMerge w:val="restart"/>
            <w:tcBorders>
              <w:top w:val="single" w:sz="4" w:space="0" w:color="auto"/>
              <w:left w:val="single" w:sz="4" w:space="0" w:color="auto"/>
              <w:right w:val="single" w:sz="4" w:space="0" w:color="auto"/>
            </w:tcBorders>
            <w:vAlign w:val="center"/>
          </w:tcPr>
          <w:p w14:paraId="3A065A56"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szCs w:val="21"/>
              </w:rPr>
              <w:t>第一阶段：苏环验</w:t>
            </w:r>
            <w:r>
              <w:rPr>
                <w:rFonts w:ascii="Times New Roman" w:eastAsia="宋体" w:hAnsi="Times New Roman" w:cs="Times New Roman"/>
                <w:szCs w:val="21"/>
              </w:rPr>
              <w:t>[2012]40</w:t>
            </w:r>
            <w:r>
              <w:rPr>
                <w:rFonts w:ascii="Times New Roman" w:eastAsia="宋体" w:hAnsi="Times New Roman" w:cs="Times New Roman"/>
                <w:szCs w:val="21"/>
              </w:rPr>
              <w:t>号</w:t>
            </w:r>
          </w:p>
        </w:tc>
      </w:tr>
      <w:tr w:rsidR="002133E3" w14:paraId="27FE9447" w14:textId="77777777">
        <w:trPr>
          <w:trHeight w:val="284"/>
          <w:jc w:val="center"/>
        </w:trPr>
        <w:tc>
          <w:tcPr>
            <w:tcW w:w="428" w:type="dxa"/>
            <w:vMerge/>
            <w:tcBorders>
              <w:left w:val="single" w:sz="4" w:space="0" w:color="auto"/>
              <w:right w:val="single" w:sz="4" w:space="0" w:color="auto"/>
            </w:tcBorders>
            <w:vAlign w:val="center"/>
          </w:tcPr>
          <w:p w14:paraId="2B6D6439" w14:textId="77777777" w:rsidR="002133E3" w:rsidRDefault="002133E3">
            <w:pPr>
              <w:snapToGrid w:val="0"/>
              <w:jc w:val="center"/>
              <w:rPr>
                <w:rFonts w:ascii="Times New Roman" w:eastAsia="宋体" w:hAnsi="Times New Roman" w:cs="Times New Roman"/>
                <w:b/>
                <w:bCs/>
                <w:kern w:val="0"/>
                <w:szCs w:val="21"/>
              </w:rPr>
            </w:pPr>
          </w:p>
        </w:tc>
        <w:tc>
          <w:tcPr>
            <w:tcW w:w="3253" w:type="dxa"/>
            <w:vMerge/>
            <w:tcBorders>
              <w:left w:val="single" w:sz="4" w:space="0" w:color="auto"/>
              <w:right w:val="single" w:sz="4" w:space="0" w:color="auto"/>
            </w:tcBorders>
            <w:vAlign w:val="center"/>
          </w:tcPr>
          <w:p w14:paraId="1EAAB63A" w14:textId="77777777" w:rsidR="002133E3" w:rsidRDefault="002133E3">
            <w:pPr>
              <w:widowControl/>
              <w:snapToGrid w:val="0"/>
              <w:jc w:val="center"/>
              <w:rPr>
                <w:rFonts w:ascii="Times New Roman" w:eastAsia="宋体" w:hAnsi="Times New Roman" w:cs="Times New Roman"/>
                <w:kern w:val="0"/>
                <w:szCs w:val="21"/>
              </w:rPr>
            </w:pPr>
          </w:p>
        </w:tc>
        <w:tc>
          <w:tcPr>
            <w:tcW w:w="1701" w:type="dxa"/>
            <w:tcBorders>
              <w:top w:val="single" w:sz="4" w:space="0" w:color="auto"/>
              <w:left w:val="single" w:sz="4" w:space="0" w:color="auto"/>
              <w:bottom w:val="single" w:sz="4" w:space="0" w:color="auto"/>
              <w:right w:val="single" w:sz="4" w:space="0" w:color="auto"/>
            </w:tcBorders>
            <w:vAlign w:val="center"/>
          </w:tcPr>
          <w:p w14:paraId="161D888B"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沼气热电机组</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060BFC30"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工业用电</w:t>
            </w:r>
          </w:p>
        </w:tc>
        <w:tc>
          <w:tcPr>
            <w:tcW w:w="1546" w:type="dxa"/>
            <w:tcBorders>
              <w:top w:val="single" w:sz="4" w:space="0" w:color="auto"/>
              <w:left w:val="single" w:sz="4" w:space="0" w:color="auto"/>
              <w:bottom w:val="single" w:sz="4" w:space="0" w:color="auto"/>
              <w:right w:val="single" w:sz="4" w:space="0" w:color="auto"/>
            </w:tcBorders>
            <w:vAlign w:val="center"/>
          </w:tcPr>
          <w:p w14:paraId="14D6800D"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75t/h</w:t>
            </w:r>
          </w:p>
        </w:tc>
        <w:tc>
          <w:tcPr>
            <w:tcW w:w="709" w:type="dxa"/>
            <w:tcBorders>
              <w:top w:val="single" w:sz="4" w:space="0" w:color="auto"/>
              <w:left w:val="single" w:sz="4" w:space="0" w:color="auto"/>
              <w:bottom w:val="single" w:sz="4" w:space="0" w:color="auto"/>
              <w:right w:val="single" w:sz="4" w:space="0" w:color="auto"/>
            </w:tcBorders>
            <w:vAlign w:val="center"/>
          </w:tcPr>
          <w:p w14:paraId="03FB388F"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7200</w:t>
            </w:r>
          </w:p>
        </w:tc>
        <w:tc>
          <w:tcPr>
            <w:tcW w:w="2126" w:type="dxa"/>
            <w:vMerge/>
            <w:tcBorders>
              <w:left w:val="single" w:sz="4" w:space="0" w:color="auto"/>
              <w:right w:val="single" w:sz="4" w:space="0" w:color="auto"/>
            </w:tcBorders>
            <w:vAlign w:val="center"/>
          </w:tcPr>
          <w:p w14:paraId="57B58483" w14:textId="77777777" w:rsidR="002133E3" w:rsidRDefault="002133E3">
            <w:pPr>
              <w:snapToGrid w:val="0"/>
              <w:jc w:val="center"/>
              <w:rPr>
                <w:rFonts w:ascii="Times New Roman" w:eastAsia="宋体" w:hAnsi="Times New Roman" w:cs="Times New Roman"/>
                <w:b/>
                <w:bCs/>
                <w:szCs w:val="21"/>
              </w:rPr>
            </w:pPr>
          </w:p>
        </w:tc>
        <w:tc>
          <w:tcPr>
            <w:tcW w:w="2658" w:type="dxa"/>
            <w:vMerge/>
            <w:tcBorders>
              <w:left w:val="single" w:sz="4" w:space="0" w:color="auto"/>
              <w:right w:val="single" w:sz="4" w:space="0" w:color="auto"/>
            </w:tcBorders>
            <w:vAlign w:val="center"/>
          </w:tcPr>
          <w:p w14:paraId="69A98921" w14:textId="77777777" w:rsidR="002133E3" w:rsidRDefault="002133E3">
            <w:pPr>
              <w:snapToGrid w:val="0"/>
              <w:jc w:val="center"/>
              <w:rPr>
                <w:rFonts w:ascii="Times New Roman" w:eastAsia="宋体" w:hAnsi="Times New Roman" w:cs="Times New Roman"/>
                <w:b/>
                <w:bCs/>
                <w:szCs w:val="21"/>
              </w:rPr>
            </w:pPr>
          </w:p>
        </w:tc>
      </w:tr>
      <w:tr w:rsidR="002133E3" w14:paraId="54186A37" w14:textId="77777777">
        <w:trPr>
          <w:trHeight w:val="284"/>
          <w:jc w:val="center"/>
        </w:trPr>
        <w:tc>
          <w:tcPr>
            <w:tcW w:w="428" w:type="dxa"/>
            <w:vMerge/>
            <w:tcBorders>
              <w:left w:val="single" w:sz="4" w:space="0" w:color="auto"/>
              <w:right w:val="single" w:sz="4" w:space="0" w:color="auto"/>
            </w:tcBorders>
            <w:vAlign w:val="center"/>
          </w:tcPr>
          <w:p w14:paraId="6C8B20BC" w14:textId="77777777" w:rsidR="002133E3" w:rsidRDefault="002133E3">
            <w:pPr>
              <w:snapToGrid w:val="0"/>
              <w:jc w:val="center"/>
              <w:rPr>
                <w:rFonts w:ascii="Times New Roman" w:eastAsia="宋体" w:hAnsi="Times New Roman" w:cs="Times New Roman"/>
                <w:kern w:val="0"/>
                <w:szCs w:val="21"/>
              </w:rPr>
            </w:pPr>
          </w:p>
        </w:tc>
        <w:tc>
          <w:tcPr>
            <w:tcW w:w="3253" w:type="dxa"/>
            <w:vMerge/>
            <w:tcBorders>
              <w:left w:val="single" w:sz="4" w:space="0" w:color="auto"/>
              <w:right w:val="single" w:sz="4" w:space="0" w:color="auto"/>
            </w:tcBorders>
            <w:vAlign w:val="center"/>
          </w:tcPr>
          <w:p w14:paraId="3073CE4C" w14:textId="77777777" w:rsidR="002133E3" w:rsidRDefault="002133E3">
            <w:pPr>
              <w:widowControl/>
              <w:snapToGrid w:val="0"/>
              <w:jc w:val="center"/>
              <w:rPr>
                <w:rFonts w:ascii="Times New Roman" w:eastAsia="宋体" w:hAnsi="Times New Roman" w:cs="Times New Roman"/>
                <w:kern w:val="0"/>
                <w:szCs w:val="21"/>
              </w:rPr>
            </w:pPr>
          </w:p>
        </w:tc>
        <w:tc>
          <w:tcPr>
            <w:tcW w:w="1701" w:type="dxa"/>
            <w:vMerge w:val="restart"/>
            <w:tcBorders>
              <w:top w:val="single" w:sz="4" w:space="0" w:color="auto"/>
              <w:left w:val="single" w:sz="4" w:space="0" w:color="auto"/>
              <w:right w:val="single" w:sz="4" w:space="0" w:color="auto"/>
            </w:tcBorders>
            <w:vAlign w:val="center"/>
          </w:tcPr>
          <w:p w14:paraId="65BE192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酒精生产线</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48D76A9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r>
              <w:rPr>
                <w:rFonts w:ascii="Times New Roman" w:eastAsia="宋体" w:hAnsi="Times New Roman" w:cs="Times New Roman"/>
                <w:kern w:val="0"/>
                <w:szCs w:val="21"/>
              </w:rPr>
              <w:t>(≥95%,V/V)</w:t>
            </w:r>
          </w:p>
        </w:tc>
        <w:tc>
          <w:tcPr>
            <w:tcW w:w="1546" w:type="dxa"/>
            <w:tcBorders>
              <w:top w:val="single" w:sz="4" w:space="0" w:color="auto"/>
              <w:left w:val="single" w:sz="4" w:space="0" w:color="auto"/>
              <w:bottom w:val="single" w:sz="4" w:space="0" w:color="auto"/>
              <w:right w:val="single" w:sz="4" w:space="0" w:color="auto"/>
            </w:tcBorders>
            <w:vAlign w:val="center"/>
          </w:tcPr>
          <w:p w14:paraId="0B2228D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709" w:type="dxa"/>
            <w:vMerge w:val="restart"/>
            <w:tcBorders>
              <w:top w:val="single" w:sz="4" w:space="0" w:color="auto"/>
              <w:left w:val="single" w:sz="4" w:space="0" w:color="auto"/>
              <w:right w:val="single" w:sz="4" w:space="0" w:color="auto"/>
            </w:tcBorders>
            <w:vAlign w:val="center"/>
          </w:tcPr>
          <w:p w14:paraId="3886444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c>
          <w:tcPr>
            <w:tcW w:w="2126" w:type="dxa"/>
            <w:vMerge/>
            <w:tcBorders>
              <w:left w:val="single" w:sz="4" w:space="0" w:color="auto"/>
              <w:right w:val="single" w:sz="4" w:space="0" w:color="auto"/>
            </w:tcBorders>
            <w:vAlign w:val="center"/>
          </w:tcPr>
          <w:p w14:paraId="11F564A2" w14:textId="77777777" w:rsidR="002133E3" w:rsidRDefault="002133E3">
            <w:pPr>
              <w:widowControl/>
              <w:snapToGrid w:val="0"/>
              <w:jc w:val="center"/>
              <w:rPr>
                <w:rFonts w:ascii="Times New Roman" w:eastAsia="宋体" w:hAnsi="Times New Roman" w:cs="Times New Roman"/>
                <w:kern w:val="0"/>
                <w:szCs w:val="21"/>
              </w:rPr>
            </w:pPr>
          </w:p>
        </w:tc>
        <w:tc>
          <w:tcPr>
            <w:tcW w:w="2658" w:type="dxa"/>
            <w:vMerge/>
            <w:tcBorders>
              <w:left w:val="single" w:sz="4" w:space="0" w:color="auto"/>
              <w:right w:val="single" w:sz="4" w:space="0" w:color="auto"/>
            </w:tcBorders>
            <w:vAlign w:val="center"/>
          </w:tcPr>
          <w:p w14:paraId="0E22475D" w14:textId="77777777" w:rsidR="002133E3" w:rsidRDefault="002133E3">
            <w:pPr>
              <w:widowControl/>
              <w:snapToGrid w:val="0"/>
              <w:jc w:val="center"/>
              <w:rPr>
                <w:rFonts w:ascii="Times New Roman" w:eastAsia="宋体" w:hAnsi="Times New Roman" w:cs="Times New Roman"/>
                <w:kern w:val="0"/>
                <w:szCs w:val="21"/>
              </w:rPr>
            </w:pPr>
          </w:p>
        </w:tc>
      </w:tr>
      <w:tr w:rsidR="002133E3" w14:paraId="7FD22AC3" w14:textId="77777777">
        <w:trPr>
          <w:trHeight w:val="284"/>
          <w:jc w:val="center"/>
        </w:trPr>
        <w:tc>
          <w:tcPr>
            <w:tcW w:w="428" w:type="dxa"/>
            <w:vMerge/>
            <w:tcBorders>
              <w:left w:val="single" w:sz="4" w:space="0" w:color="auto"/>
              <w:right w:val="single" w:sz="4" w:space="0" w:color="auto"/>
            </w:tcBorders>
            <w:vAlign w:val="center"/>
          </w:tcPr>
          <w:p w14:paraId="47AF98FF" w14:textId="77777777" w:rsidR="002133E3" w:rsidRDefault="002133E3">
            <w:pPr>
              <w:snapToGrid w:val="0"/>
              <w:jc w:val="center"/>
              <w:rPr>
                <w:rFonts w:ascii="Times New Roman" w:eastAsia="宋体" w:hAnsi="Times New Roman" w:cs="Times New Roman"/>
                <w:kern w:val="0"/>
                <w:szCs w:val="21"/>
              </w:rPr>
            </w:pPr>
          </w:p>
        </w:tc>
        <w:tc>
          <w:tcPr>
            <w:tcW w:w="3253" w:type="dxa"/>
            <w:vMerge/>
            <w:tcBorders>
              <w:left w:val="single" w:sz="4" w:space="0" w:color="auto"/>
              <w:right w:val="single" w:sz="4" w:space="0" w:color="auto"/>
            </w:tcBorders>
            <w:vAlign w:val="center"/>
          </w:tcPr>
          <w:p w14:paraId="368D4062" w14:textId="77777777" w:rsidR="002133E3" w:rsidRDefault="002133E3">
            <w:pPr>
              <w:widowControl/>
              <w:snapToGrid w:val="0"/>
              <w:jc w:val="center"/>
              <w:rPr>
                <w:rFonts w:ascii="Times New Roman" w:eastAsia="宋体" w:hAnsi="Times New Roman" w:cs="Times New Roman"/>
                <w:kern w:val="0"/>
                <w:szCs w:val="21"/>
              </w:rPr>
            </w:pPr>
          </w:p>
        </w:tc>
        <w:tc>
          <w:tcPr>
            <w:tcW w:w="1701" w:type="dxa"/>
            <w:vMerge/>
            <w:tcBorders>
              <w:left w:val="single" w:sz="4" w:space="0" w:color="auto"/>
              <w:right w:val="single" w:sz="4" w:space="0" w:color="auto"/>
            </w:tcBorders>
            <w:vAlign w:val="center"/>
          </w:tcPr>
          <w:p w14:paraId="63EBCFF5" w14:textId="77777777" w:rsidR="002133E3" w:rsidRDefault="002133E3">
            <w:pPr>
              <w:widowControl/>
              <w:snapToGrid w:val="0"/>
              <w:jc w:val="center"/>
              <w:rPr>
                <w:rFonts w:ascii="Times New Roman" w:eastAsia="宋体" w:hAnsi="Times New Roman" w:cs="Times New Roman"/>
                <w:kern w:val="0"/>
                <w:szCs w:val="21"/>
              </w:rPr>
            </w:pPr>
          </w:p>
        </w:tc>
        <w:tc>
          <w:tcPr>
            <w:tcW w:w="850" w:type="dxa"/>
            <w:vMerge w:val="restart"/>
            <w:tcBorders>
              <w:top w:val="single" w:sz="4" w:space="0" w:color="auto"/>
              <w:left w:val="single" w:sz="4" w:space="0" w:color="auto"/>
              <w:right w:val="single" w:sz="4" w:space="0" w:color="auto"/>
            </w:tcBorders>
            <w:vAlign w:val="center"/>
          </w:tcPr>
          <w:p w14:paraId="6895DA7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1289" w:type="dxa"/>
            <w:tcBorders>
              <w:top w:val="single" w:sz="4" w:space="0" w:color="auto"/>
              <w:left w:val="single" w:sz="4" w:space="0" w:color="auto"/>
              <w:bottom w:val="single" w:sz="4" w:space="0" w:color="auto"/>
              <w:right w:val="single" w:sz="4" w:space="0" w:color="auto"/>
            </w:tcBorders>
            <w:vAlign w:val="center"/>
          </w:tcPr>
          <w:p w14:paraId="57EB201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1546" w:type="dxa"/>
            <w:tcBorders>
              <w:top w:val="single" w:sz="4" w:space="0" w:color="auto"/>
              <w:left w:val="single" w:sz="4" w:space="0" w:color="auto"/>
              <w:bottom w:val="single" w:sz="4" w:space="0" w:color="auto"/>
              <w:right w:val="single" w:sz="4" w:space="0" w:color="auto"/>
            </w:tcBorders>
            <w:vAlign w:val="center"/>
          </w:tcPr>
          <w:p w14:paraId="723AB47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c>
          <w:tcPr>
            <w:tcW w:w="709" w:type="dxa"/>
            <w:vMerge/>
            <w:tcBorders>
              <w:left w:val="single" w:sz="4" w:space="0" w:color="auto"/>
              <w:right w:val="single" w:sz="4" w:space="0" w:color="auto"/>
            </w:tcBorders>
            <w:vAlign w:val="center"/>
          </w:tcPr>
          <w:p w14:paraId="51296C0E" w14:textId="77777777" w:rsidR="002133E3" w:rsidRDefault="002133E3">
            <w:pPr>
              <w:widowControl/>
              <w:snapToGrid w:val="0"/>
              <w:jc w:val="center"/>
              <w:rPr>
                <w:rFonts w:ascii="Times New Roman" w:eastAsia="宋体" w:hAnsi="Times New Roman" w:cs="Times New Roman"/>
                <w:kern w:val="0"/>
                <w:szCs w:val="21"/>
              </w:rPr>
            </w:pPr>
          </w:p>
        </w:tc>
        <w:tc>
          <w:tcPr>
            <w:tcW w:w="2126" w:type="dxa"/>
            <w:vMerge/>
            <w:tcBorders>
              <w:left w:val="single" w:sz="4" w:space="0" w:color="auto"/>
              <w:right w:val="single" w:sz="4" w:space="0" w:color="auto"/>
            </w:tcBorders>
            <w:vAlign w:val="center"/>
          </w:tcPr>
          <w:p w14:paraId="3D232BA1" w14:textId="77777777" w:rsidR="002133E3" w:rsidRDefault="002133E3">
            <w:pPr>
              <w:widowControl/>
              <w:snapToGrid w:val="0"/>
              <w:jc w:val="center"/>
              <w:rPr>
                <w:rFonts w:ascii="Times New Roman" w:eastAsia="宋体" w:hAnsi="Times New Roman" w:cs="Times New Roman"/>
                <w:kern w:val="0"/>
                <w:szCs w:val="21"/>
              </w:rPr>
            </w:pPr>
          </w:p>
        </w:tc>
        <w:tc>
          <w:tcPr>
            <w:tcW w:w="2658" w:type="dxa"/>
            <w:vMerge/>
            <w:tcBorders>
              <w:left w:val="single" w:sz="4" w:space="0" w:color="auto"/>
              <w:right w:val="single" w:sz="4" w:space="0" w:color="auto"/>
            </w:tcBorders>
            <w:vAlign w:val="center"/>
          </w:tcPr>
          <w:p w14:paraId="094D9177" w14:textId="77777777" w:rsidR="002133E3" w:rsidRDefault="002133E3">
            <w:pPr>
              <w:widowControl/>
              <w:snapToGrid w:val="0"/>
              <w:jc w:val="center"/>
              <w:rPr>
                <w:rFonts w:ascii="Times New Roman" w:eastAsia="宋体" w:hAnsi="Times New Roman" w:cs="Times New Roman"/>
                <w:kern w:val="0"/>
                <w:szCs w:val="21"/>
              </w:rPr>
            </w:pPr>
          </w:p>
        </w:tc>
      </w:tr>
      <w:tr w:rsidR="002133E3" w14:paraId="066BA117" w14:textId="77777777">
        <w:trPr>
          <w:trHeight w:val="284"/>
          <w:jc w:val="center"/>
        </w:trPr>
        <w:tc>
          <w:tcPr>
            <w:tcW w:w="428" w:type="dxa"/>
            <w:vMerge/>
            <w:tcBorders>
              <w:left w:val="single" w:sz="4" w:space="0" w:color="auto"/>
              <w:right w:val="single" w:sz="4" w:space="0" w:color="auto"/>
            </w:tcBorders>
            <w:vAlign w:val="center"/>
          </w:tcPr>
          <w:p w14:paraId="3CBF854F" w14:textId="77777777" w:rsidR="002133E3" w:rsidRDefault="002133E3">
            <w:pPr>
              <w:snapToGrid w:val="0"/>
              <w:jc w:val="center"/>
              <w:rPr>
                <w:rFonts w:ascii="Times New Roman" w:eastAsia="宋体" w:hAnsi="Times New Roman" w:cs="Times New Roman"/>
                <w:kern w:val="0"/>
                <w:szCs w:val="21"/>
              </w:rPr>
            </w:pPr>
          </w:p>
        </w:tc>
        <w:tc>
          <w:tcPr>
            <w:tcW w:w="3253" w:type="dxa"/>
            <w:vMerge/>
            <w:tcBorders>
              <w:left w:val="single" w:sz="4" w:space="0" w:color="auto"/>
              <w:right w:val="single" w:sz="4" w:space="0" w:color="auto"/>
            </w:tcBorders>
            <w:vAlign w:val="center"/>
          </w:tcPr>
          <w:p w14:paraId="1A69F4F4" w14:textId="77777777" w:rsidR="002133E3" w:rsidRDefault="002133E3">
            <w:pPr>
              <w:widowControl/>
              <w:snapToGrid w:val="0"/>
              <w:jc w:val="center"/>
              <w:rPr>
                <w:rFonts w:ascii="Times New Roman" w:eastAsia="宋体" w:hAnsi="Times New Roman" w:cs="Times New Roman"/>
                <w:kern w:val="0"/>
                <w:szCs w:val="21"/>
              </w:rPr>
            </w:pPr>
          </w:p>
        </w:tc>
        <w:tc>
          <w:tcPr>
            <w:tcW w:w="1701" w:type="dxa"/>
            <w:vMerge/>
            <w:tcBorders>
              <w:left w:val="single" w:sz="4" w:space="0" w:color="auto"/>
              <w:bottom w:val="single" w:sz="4" w:space="0" w:color="auto"/>
              <w:right w:val="single" w:sz="4" w:space="0" w:color="auto"/>
            </w:tcBorders>
            <w:vAlign w:val="center"/>
          </w:tcPr>
          <w:p w14:paraId="6DE6F287" w14:textId="77777777" w:rsidR="002133E3" w:rsidRDefault="002133E3">
            <w:pPr>
              <w:widowControl/>
              <w:snapToGrid w:val="0"/>
              <w:jc w:val="center"/>
              <w:rPr>
                <w:rFonts w:ascii="Times New Roman" w:eastAsia="宋体" w:hAnsi="Times New Roman" w:cs="Times New Roman"/>
                <w:kern w:val="0"/>
                <w:szCs w:val="21"/>
              </w:rPr>
            </w:pPr>
          </w:p>
        </w:tc>
        <w:tc>
          <w:tcPr>
            <w:tcW w:w="850" w:type="dxa"/>
            <w:vMerge/>
            <w:tcBorders>
              <w:left w:val="single" w:sz="4" w:space="0" w:color="auto"/>
              <w:bottom w:val="single" w:sz="4" w:space="0" w:color="auto"/>
              <w:right w:val="single" w:sz="4" w:space="0" w:color="auto"/>
            </w:tcBorders>
            <w:vAlign w:val="center"/>
          </w:tcPr>
          <w:p w14:paraId="4FF32698" w14:textId="77777777" w:rsidR="002133E3" w:rsidRDefault="002133E3">
            <w:pPr>
              <w:widowControl/>
              <w:snapToGrid w:val="0"/>
              <w:jc w:val="center"/>
              <w:rPr>
                <w:rFonts w:ascii="Times New Roman" w:eastAsia="宋体" w:hAnsi="Times New Roman" w:cs="Times New Roman"/>
                <w:kern w:val="0"/>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E1C714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rPr>
              <w:t>二氧化碳</w:t>
            </w:r>
          </w:p>
        </w:tc>
        <w:tc>
          <w:tcPr>
            <w:tcW w:w="1546" w:type="dxa"/>
            <w:tcBorders>
              <w:top w:val="single" w:sz="4" w:space="0" w:color="auto"/>
              <w:left w:val="single" w:sz="4" w:space="0" w:color="auto"/>
              <w:bottom w:val="single" w:sz="4" w:space="0" w:color="auto"/>
              <w:right w:val="single" w:sz="4" w:space="0" w:color="auto"/>
            </w:tcBorders>
            <w:vAlign w:val="center"/>
          </w:tcPr>
          <w:p w14:paraId="6433A03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rPr>
              <w:t>93974</w:t>
            </w:r>
          </w:p>
        </w:tc>
        <w:tc>
          <w:tcPr>
            <w:tcW w:w="709" w:type="dxa"/>
            <w:vMerge/>
            <w:tcBorders>
              <w:left w:val="single" w:sz="4" w:space="0" w:color="auto"/>
              <w:bottom w:val="single" w:sz="4" w:space="0" w:color="auto"/>
              <w:right w:val="single" w:sz="4" w:space="0" w:color="auto"/>
            </w:tcBorders>
            <w:vAlign w:val="center"/>
          </w:tcPr>
          <w:p w14:paraId="2B973B5F" w14:textId="77777777" w:rsidR="002133E3" w:rsidRDefault="002133E3">
            <w:pPr>
              <w:widowControl/>
              <w:snapToGrid w:val="0"/>
              <w:jc w:val="center"/>
              <w:rPr>
                <w:rFonts w:ascii="Times New Roman" w:eastAsia="宋体" w:hAnsi="Times New Roman" w:cs="Times New Roman"/>
                <w:kern w:val="0"/>
                <w:szCs w:val="21"/>
              </w:rPr>
            </w:pPr>
          </w:p>
        </w:tc>
        <w:tc>
          <w:tcPr>
            <w:tcW w:w="2126" w:type="dxa"/>
            <w:vMerge/>
            <w:tcBorders>
              <w:left w:val="single" w:sz="4" w:space="0" w:color="auto"/>
              <w:right w:val="single" w:sz="4" w:space="0" w:color="auto"/>
            </w:tcBorders>
            <w:vAlign w:val="center"/>
          </w:tcPr>
          <w:p w14:paraId="63CD84F9" w14:textId="77777777" w:rsidR="002133E3" w:rsidRDefault="002133E3">
            <w:pPr>
              <w:widowControl/>
              <w:snapToGrid w:val="0"/>
              <w:jc w:val="center"/>
              <w:rPr>
                <w:rFonts w:ascii="Times New Roman" w:eastAsia="宋体" w:hAnsi="Times New Roman" w:cs="Times New Roman"/>
                <w:kern w:val="0"/>
                <w:szCs w:val="21"/>
              </w:rPr>
            </w:pPr>
          </w:p>
        </w:tc>
        <w:tc>
          <w:tcPr>
            <w:tcW w:w="2658" w:type="dxa"/>
            <w:vMerge w:val="restart"/>
            <w:tcBorders>
              <w:left w:val="single" w:sz="4" w:space="0" w:color="auto"/>
              <w:right w:val="single" w:sz="4" w:space="0" w:color="auto"/>
            </w:tcBorders>
            <w:vAlign w:val="center"/>
          </w:tcPr>
          <w:p w14:paraId="5E73400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szCs w:val="21"/>
              </w:rPr>
              <w:t>第二阶段：苏环验</w:t>
            </w:r>
            <w:r>
              <w:rPr>
                <w:rFonts w:ascii="Times New Roman" w:eastAsia="宋体" w:hAnsi="Times New Roman" w:cs="Times New Roman"/>
                <w:szCs w:val="21"/>
              </w:rPr>
              <w:t>[2015]73</w:t>
            </w:r>
            <w:r>
              <w:rPr>
                <w:rFonts w:ascii="Times New Roman" w:eastAsia="宋体" w:hAnsi="Times New Roman" w:cs="Times New Roman"/>
                <w:szCs w:val="21"/>
              </w:rPr>
              <w:t>号，二氧化碳回收装置弃建</w:t>
            </w:r>
          </w:p>
        </w:tc>
      </w:tr>
      <w:tr w:rsidR="002133E3" w14:paraId="616593AD" w14:textId="77777777">
        <w:trPr>
          <w:trHeight w:val="284"/>
          <w:jc w:val="center"/>
        </w:trPr>
        <w:tc>
          <w:tcPr>
            <w:tcW w:w="428" w:type="dxa"/>
            <w:vMerge/>
            <w:tcBorders>
              <w:left w:val="single" w:sz="4" w:space="0" w:color="auto"/>
              <w:bottom w:val="single" w:sz="4" w:space="0" w:color="auto"/>
              <w:right w:val="single" w:sz="4" w:space="0" w:color="auto"/>
            </w:tcBorders>
            <w:vAlign w:val="center"/>
          </w:tcPr>
          <w:p w14:paraId="6A0F9558" w14:textId="77777777" w:rsidR="002133E3" w:rsidRDefault="002133E3">
            <w:pPr>
              <w:widowControl/>
              <w:snapToGrid w:val="0"/>
              <w:jc w:val="center"/>
              <w:rPr>
                <w:rFonts w:ascii="Times New Roman" w:eastAsia="宋体" w:hAnsi="Times New Roman" w:cs="Times New Roman"/>
                <w:kern w:val="0"/>
                <w:szCs w:val="21"/>
              </w:rPr>
            </w:pPr>
          </w:p>
        </w:tc>
        <w:tc>
          <w:tcPr>
            <w:tcW w:w="3253" w:type="dxa"/>
            <w:vMerge/>
            <w:tcBorders>
              <w:left w:val="single" w:sz="4" w:space="0" w:color="auto"/>
              <w:bottom w:val="single" w:sz="4" w:space="0" w:color="auto"/>
              <w:right w:val="single" w:sz="4" w:space="0" w:color="auto"/>
            </w:tcBorders>
            <w:vAlign w:val="center"/>
          </w:tcPr>
          <w:p w14:paraId="72E12E54" w14:textId="77777777" w:rsidR="002133E3" w:rsidRDefault="002133E3">
            <w:pPr>
              <w:widowControl/>
              <w:snapToGrid w:val="0"/>
              <w:jc w:val="center"/>
              <w:rPr>
                <w:rFonts w:ascii="Times New Roman" w:eastAsia="宋体" w:hAnsi="Times New Roman" w:cs="Times New Roman"/>
                <w:kern w:val="0"/>
                <w:szCs w:val="21"/>
              </w:rPr>
            </w:pPr>
          </w:p>
        </w:tc>
        <w:tc>
          <w:tcPr>
            <w:tcW w:w="1701" w:type="dxa"/>
            <w:tcBorders>
              <w:top w:val="single" w:sz="4" w:space="0" w:color="auto"/>
              <w:left w:val="single" w:sz="4" w:space="0" w:color="auto"/>
              <w:bottom w:val="single" w:sz="4" w:space="0" w:color="auto"/>
              <w:right w:val="single" w:sz="4" w:space="0" w:color="auto"/>
            </w:tcBorders>
            <w:vAlign w:val="center"/>
          </w:tcPr>
          <w:p w14:paraId="43BB32C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乙醛生产线</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7F986D5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w:t>
            </w:r>
            <w:r>
              <w:rPr>
                <w:rFonts w:ascii="Times New Roman" w:eastAsia="宋体" w:hAnsi="Times New Roman" w:cs="Times New Roman"/>
                <w:kern w:val="0"/>
                <w:szCs w:val="21"/>
              </w:rPr>
              <w:t>(≥98%)</w:t>
            </w:r>
          </w:p>
        </w:tc>
        <w:tc>
          <w:tcPr>
            <w:tcW w:w="1546" w:type="dxa"/>
            <w:tcBorders>
              <w:top w:val="single" w:sz="4" w:space="0" w:color="auto"/>
              <w:left w:val="single" w:sz="4" w:space="0" w:color="auto"/>
              <w:bottom w:val="single" w:sz="4" w:space="0" w:color="auto"/>
              <w:right w:val="single" w:sz="4" w:space="0" w:color="auto"/>
            </w:tcBorders>
            <w:vAlign w:val="center"/>
          </w:tcPr>
          <w:p w14:paraId="15A7630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709" w:type="dxa"/>
            <w:tcBorders>
              <w:top w:val="single" w:sz="4" w:space="0" w:color="auto"/>
              <w:left w:val="single" w:sz="4" w:space="0" w:color="auto"/>
              <w:bottom w:val="single" w:sz="4" w:space="0" w:color="auto"/>
              <w:right w:val="single" w:sz="4" w:space="0" w:color="auto"/>
            </w:tcBorders>
            <w:vAlign w:val="center"/>
          </w:tcPr>
          <w:p w14:paraId="518F7EE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c>
          <w:tcPr>
            <w:tcW w:w="2126" w:type="dxa"/>
            <w:vMerge/>
            <w:tcBorders>
              <w:left w:val="single" w:sz="4" w:space="0" w:color="auto"/>
              <w:bottom w:val="single" w:sz="4" w:space="0" w:color="auto"/>
              <w:right w:val="single" w:sz="4" w:space="0" w:color="auto"/>
            </w:tcBorders>
            <w:vAlign w:val="center"/>
          </w:tcPr>
          <w:p w14:paraId="09053373" w14:textId="77777777" w:rsidR="002133E3" w:rsidRDefault="002133E3">
            <w:pPr>
              <w:widowControl/>
              <w:snapToGrid w:val="0"/>
              <w:jc w:val="center"/>
              <w:rPr>
                <w:rFonts w:ascii="Times New Roman" w:eastAsia="宋体" w:hAnsi="Times New Roman" w:cs="Times New Roman"/>
                <w:kern w:val="0"/>
                <w:szCs w:val="21"/>
              </w:rPr>
            </w:pPr>
          </w:p>
        </w:tc>
        <w:tc>
          <w:tcPr>
            <w:tcW w:w="2658" w:type="dxa"/>
            <w:vMerge/>
            <w:tcBorders>
              <w:left w:val="single" w:sz="4" w:space="0" w:color="auto"/>
              <w:bottom w:val="single" w:sz="4" w:space="0" w:color="auto"/>
              <w:right w:val="single" w:sz="4" w:space="0" w:color="auto"/>
            </w:tcBorders>
            <w:vAlign w:val="center"/>
          </w:tcPr>
          <w:p w14:paraId="27938517" w14:textId="77777777" w:rsidR="002133E3" w:rsidRDefault="002133E3">
            <w:pPr>
              <w:widowControl/>
              <w:snapToGrid w:val="0"/>
              <w:jc w:val="center"/>
              <w:rPr>
                <w:rFonts w:ascii="Times New Roman" w:eastAsia="宋体" w:hAnsi="Times New Roman" w:cs="Times New Roman"/>
                <w:kern w:val="0"/>
                <w:szCs w:val="21"/>
              </w:rPr>
            </w:pPr>
          </w:p>
        </w:tc>
      </w:tr>
      <w:tr w:rsidR="002133E3" w14:paraId="10AD55B7" w14:textId="77777777">
        <w:trPr>
          <w:trHeight w:val="284"/>
          <w:jc w:val="center"/>
        </w:trPr>
        <w:tc>
          <w:tcPr>
            <w:tcW w:w="428" w:type="dxa"/>
            <w:tcBorders>
              <w:top w:val="single" w:sz="4" w:space="0" w:color="auto"/>
              <w:left w:val="single" w:sz="4" w:space="0" w:color="auto"/>
              <w:bottom w:val="single" w:sz="4" w:space="0" w:color="auto"/>
              <w:right w:val="single" w:sz="4" w:space="0" w:color="auto"/>
            </w:tcBorders>
            <w:vAlign w:val="center"/>
          </w:tcPr>
          <w:p w14:paraId="10DF4943"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2</w:t>
            </w:r>
          </w:p>
        </w:tc>
        <w:tc>
          <w:tcPr>
            <w:tcW w:w="3253" w:type="dxa"/>
            <w:tcBorders>
              <w:top w:val="single" w:sz="4" w:space="0" w:color="auto"/>
              <w:left w:val="single" w:sz="4" w:space="0" w:color="auto"/>
              <w:bottom w:val="single" w:sz="4" w:space="0" w:color="auto"/>
              <w:right w:val="single" w:sz="4" w:space="0" w:color="auto"/>
            </w:tcBorders>
            <w:vAlign w:val="center"/>
          </w:tcPr>
          <w:p w14:paraId="610A5B04"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沼气热电联产项目</w:t>
            </w:r>
          </w:p>
        </w:tc>
        <w:tc>
          <w:tcPr>
            <w:tcW w:w="1701" w:type="dxa"/>
            <w:tcBorders>
              <w:top w:val="single" w:sz="4" w:space="0" w:color="auto"/>
              <w:left w:val="single" w:sz="4" w:space="0" w:color="auto"/>
              <w:bottom w:val="single" w:sz="4" w:space="0" w:color="auto"/>
              <w:right w:val="single" w:sz="4" w:space="0" w:color="auto"/>
            </w:tcBorders>
            <w:vAlign w:val="center"/>
          </w:tcPr>
          <w:p w14:paraId="655293D3"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沼气热电联产</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2BFDEAA8"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工业用电</w:t>
            </w:r>
          </w:p>
        </w:tc>
        <w:tc>
          <w:tcPr>
            <w:tcW w:w="1546" w:type="dxa"/>
            <w:tcBorders>
              <w:top w:val="single" w:sz="4" w:space="0" w:color="auto"/>
              <w:left w:val="single" w:sz="4" w:space="0" w:color="auto"/>
              <w:bottom w:val="single" w:sz="4" w:space="0" w:color="auto"/>
              <w:right w:val="single" w:sz="4" w:space="0" w:color="auto"/>
            </w:tcBorders>
            <w:vAlign w:val="center"/>
          </w:tcPr>
          <w:p w14:paraId="4720032D"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6MW</w:t>
            </w:r>
            <w:r>
              <w:rPr>
                <w:rFonts w:ascii="Times New Roman" w:eastAsia="宋体" w:hAnsi="Times New Roman" w:cs="Times New Roman"/>
                <w:kern w:val="0"/>
                <w:szCs w:val="21"/>
              </w:rPr>
              <w:t>背压式汽轮发电机组</w:t>
            </w:r>
          </w:p>
        </w:tc>
        <w:tc>
          <w:tcPr>
            <w:tcW w:w="709" w:type="dxa"/>
            <w:tcBorders>
              <w:top w:val="single" w:sz="4" w:space="0" w:color="auto"/>
              <w:left w:val="single" w:sz="4" w:space="0" w:color="auto"/>
              <w:bottom w:val="single" w:sz="4" w:space="0" w:color="auto"/>
              <w:right w:val="single" w:sz="4" w:space="0" w:color="auto"/>
            </w:tcBorders>
            <w:vAlign w:val="center"/>
          </w:tcPr>
          <w:p w14:paraId="3226AE83"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7200</w:t>
            </w:r>
          </w:p>
        </w:tc>
        <w:tc>
          <w:tcPr>
            <w:tcW w:w="2126" w:type="dxa"/>
            <w:tcBorders>
              <w:top w:val="single" w:sz="4" w:space="0" w:color="auto"/>
              <w:left w:val="single" w:sz="4" w:space="0" w:color="auto"/>
              <w:bottom w:val="single" w:sz="4" w:space="0" w:color="auto"/>
              <w:right w:val="single" w:sz="4" w:space="0" w:color="auto"/>
            </w:tcBorders>
            <w:vAlign w:val="center"/>
          </w:tcPr>
          <w:p w14:paraId="1101B747"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szCs w:val="21"/>
              </w:rPr>
              <w:t>连环发</w:t>
            </w:r>
            <w:r>
              <w:rPr>
                <w:rFonts w:ascii="Times New Roman" w:eastAsia="宋体" w:hAnsi="Times New Roman" w:cs="Times New Roman"/>
                <w:szCs w:val="21"/>
              </w:rPr>
              <w:t>[2011]127</w:t>
            </w:r>
            <w:r>
              <w:rPr>
                <w:rFonts w:ascii="Times New Roman" w:eastAsia="宋体" w:hAnsi="Times New Roman" w:cs="Times New Roman"/>
                <w:szCs w:val="21"/>
              </w:rPr>
              <w:t>号</w:t>
            </w:r>
          </w:p>
        </w:tc>
        <w:tc>
          <w:tcPr>
            <w:tcW w:w="2658" w:type="dxa"/>
            <w:tcBorders>
              <w:top w:val="single" w:sz="4" w:space="0" w:color="auto"/>
              <w:left w:val="single" w:sz="4" w:space="0" w:color="auto"/>
              <w:bottom w:val="single" w:sz="4" w:space="0" w:color="auto"/>
              <w:right w:val="single" w:sz="4" w:space="0" w:color="auto"/>
            </w:tcBorders>
            <w:vAlign w:val="center"/>
          </w:tcPr>
          <w:p w14:paraId="09E0D08D"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2010</w:t>
            </w:r>
            <w:r>
              <w:rPr>
                <w:rFonts w:ascii="Times New Roman" w:eastAsia="宋体" w:hAnsi="Times New Roman" w:cs="Times New Roman"/>
                <w:kern w:val="0"/>
                <w:szCs w:val="21"/>
                <w:lang w:val="zh-CN"/>
              </w:rPr>
              <w:t>年</w:t>
            </w:r>
            <w:r>
              <w:rPr>
                <w:rFonts w:ascii="Times New Roman" w:eastAsia="宋体" w:hAnsi="Times New Roman" w:cs="Times New Roman"/>
                <w:kern w:val="0"/>
                <w:szCs w:val="21"/>
                <w:lang w:val="zh-CN"/>
              </w:rPr>
              <w:t>10</w:t>
            </w:r>
            <w:r>
              <w:rPr>
                <w:rFonts w:ascii="Times New Roman" w:eastAsia="宋体" w:hAnsi="Times New Roman" w:cs="Times New Roman"/>
                <w:kern w:val="0"/>
                <w:szCs w:val="21"/>
                <w:lang w:val="zh-CN"/>
              </w:rPr>
              <w:t>月</w:t>
            </w:r>
            <w:r>
              <w:rPr>
                <w:rFonts w:ascii="Times New Roman" w:eastAsia="宋体" w:hAnsi="Times New Roman" w:cs="Times New Roman"/>
                <w:kern w:val="0"/>
                <w:szCs w:val="21"/>
                <w:lang w:val="zh-CN"/>
              </w:rPr>
              <w:t>26</w:t>
            </w:r>
            <w:r>
              <w:rPr>
                <w:rFonts w:ascii="Times New Roman" w:eastAsia="宋体" w:hAnsi="Times New Roman" w:cs="Times New Roman"/>
                <w:kern w:val="0"/>
                <w:szCs w:val="21"/>
                <w:lang w:val="zh-CN"/>
              </w:rPr>
              <w:t>日通过三同时验收</w:t>
            </w:r>
          </w:p>
        </w:tc>
      </w:tr>
      <w:tr w:rsidR="002133E3" w14:paraId="5AFC9404" w14:textId="77777777">
        <w:trPr>
          <w:trHeight w:val="284"/>
          <w:jc w:val="center"/>
        </w:trPr>
        <w:tc>
          <w:tcPr>
            <w:tcW w:w="428" w:type="dxa"/>
            <w:vMerge w:val="restart"/>
            <w:tcBorders>
              <w:top w:val="single" w:sz="4" w:space="0" w:color="auto"/>
              <w:left w:val="single" w:sz="4" w:space="0" w:color="auto"/>
              <w:right w:val="single" w:sz="4" w:space="0" w:color="auto"/>
            </w:tcBorders>
            <w:vAlign w:val="center"/>
          </w:tcPr>
          <w:p w14:paraId="64BE1290"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3</w:t>
            </w:r>
          </w:p>
        </w:tc>
        <w:tc>
          <w:tcPr>
            <w:tcW w:w="3253" w:type="dxa"/>
            <w:vMerge w:val="restart"/>
            <w:tcBorders>
              <w:top w:val="single" w:sz="4" w:space="0" w:color="auto"/>
              <w:left w:val="single" w:sz="4" w:space="0" w:color="auto"/>
              <w:right w:val="single" w:sz="4" w:space="0" w:color="auto"/>
            </w:tcBorders>
            <w:vAlign w:val="center"/>
          </w:tcPr>
          <w:p w14:paraId="6ADB0A48"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年产</w:t>
            </w:r>
            <w:r>
              <w:rPr>
                <w:rFonts w:ascii="Times New Roman" w:eastAsia="宋体" w:hAnsi="Times New Roman" w:cs="Times New Roman"/>
                <w:kern w:val="0"/>
                <w:szCs w:val="21"/>
              </w:rPr>
              <w:t>3</w:t>
            </w:r>
            <w:r>
              <w:rPr>
                <w:rFonts w:ascii="Times New Roman" w:eastAsia="宋体" w:hAnsi="Times New Roman" w:cs="Times New Roman"/>
                <w:kern w:val="0"/>
                <w:szCs w:val="21"/>
              </w:rPr>
              <w:t>万吨丁二酸技改项目</w:t>
            </w:r>
          </w:p>
        </w:tc>
        <w:tc>
          <w:tcPr>
            <w:tcW w:w="1701" w:type="dxa"/>
            <w:vMerge w:val="restart"/>
            <w:tcBorders>
              <w:top w:val="single" w:sz="4" w:space="0" w:color="auto"/>
              <w:left w:val="single" w:sz="4" w:space="0" w:color="auto"/>
              <w:right w:val="single" w:sz="4" w:space="0" w:color="auto"/>
            </w:tcBorders>
            <w:vAlign w:val="center"/>
          </w:tcPr>
          <w:p w14:paraId="7026628A"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丁二酸生产线</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0B9F480A"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丁二酸</w:t>
            </w:r>
            <w:r>
              <w:rPr>
                <w:rFonts w:ascii="Times New Roman" w:eastAsia="宋体" w:hAnsi="Times New Roman" w:cs="Times New Roman"/>
                <w:kern w:val="0"/>
                <w:szCs w:val="21"/>
              </w:rPr>
              <w:t>(≥99.5%)</w:t>
            </w:r>
          </w:p>
        </w:tc>
        <w:tc>
          <w:tcPr>
            <w:tcW w:w="1546" w:type="dxa"/>
            <w:tcBorders>
              <w:top w:val="single" w:sz="4" w:space="0" w:color="auto"/>
              <w:left w:val="single" w:sz="4" w:space="0" w:color="auto"/>
              <w:bottom w:val="single" w:sz="4" w:space="0" w:color="auto"/>
              <w:right w:val="single" w:sz="4" w:space="0" w:color="auto"/>
            </w:tcBorders>
            <w:vAlign w:val="center"/>
          </w:tcPr>
          <w:p w14:paraId="789B5D81"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3</w:t>
            </w:r>
            <w:r>
              <w:rPr>
                <w:rFonts w:ascii="Times New Roman" w:eastAsia="宋体" w:hAnsi="Times New Roman" w:cs="Times New Roman"/>
                <w:kern w:val="0"/>
                <w:szCs w:val="21"/>
              </w:rPr>
              <w:t>万</w:t>
            </w:r>
          </w:p>
        </w:tc>
        <w:tc>
          <w:tcPr>
            <w:tcW w:w="709" w:type="dxa"/>
            <w:vMerge w:val="restart"/>
            <w:tcBorders>
              <w:top w:val="single" w:sz="4" w:space="0" w:color="auto"/>
              <w:left w:val="single" w:sz="4" w:space="0" w:color="auto"/>
              <w:right w:val="single" w:sz="4" w:space="0" w:color="auto"/>
            </w:tcBorders>
            <w:vAlign w:val="center"/>
          </w:tcPr>
          <w:p w14:paraId="7B5F0EB4"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7200</w:t>
            </w:r>
          </w:p>
        </w:tc>
        <w:tc>
          <w:tcPr>
            <w:tcW w:w="2126" w:type="dxa"/>
            <w:vMerge w:val="restart"/>
            <w:tcBorders>
              <w:top w:val="single" w:sz="4" w:space="0" w:color="auto"/>
              <w:left w:val="single" w:sz="4" w:space="0" w:color="auto"/>
              <w:right w:val="single" w:sz="4" w:space="0" w:color="auto"/>
            </w:tcBorders>
            <w:vAlign w:val="center"/>
          </w:tcPr>
          <w:p w14:paraId="08C3FE83" w14:textId="77777777" w:rsidR="002133E3" w:rsidRDefault="00C22CFA">
            <w:pPr>
              <w:spacing w:line="320" w:lineRule="exact"/>
              <w:jc w:val="center"/>
              <w:rPr>
                <w:rFonts w:ascii="Times New Roman" w:eastAsia="宋体" w:hAnsi="Times New Roman" w:cs="Times New Roman"/>
                <w:kern w:val="0"/>
                <w:szCs w:val="21"/>
                <w:lang w:val="zh-CN"/>
              </w:rPr>
            </w:pPr>
            <w:r>
              <w:rPr>
                <w:rFonts w:ascii="Times New Roman" w:eastAsia="宋体" w:hAnsi="Times New Roman" w:cs="Times New Roman"/>
                <w:szCs w:val="21"/>
              </w:rPr>
              <w:t>连环审</w:t>
            </w:r>
            <w:r>
              <w:rPr>
                <w:rFonts w:ascii="Times New Roman" w:eastAsia="宋体" w:hAnsi="Times New Roman" w:cs="Times New Roman"/>
                <w:szCs w:val="21"/>
              </w:rPr>
              <w:t>[2016]8</w:t>
            </w:r>
            <w:r>
              <w:rPr>
                <w:rFonts w:ascii="Times New Roman" w:eastAsia="宋体" w:hAnsi="Times New Roman" w:cs="Times New Roman"/>
                <w:szCs w:val="21"/>
              </w:rPr>
              <w:t>号</w:t>
            </w:r>
          </w:p>
        </w:tc>
        <w:tc>
          <w:tcPr>
            <w:tcW w:w="2658" w:type="dxa"/>
            <w:vMerge w:val="restart"/>
            <w:tcBorders>
              <w:top w:val="single" w:sz="4" w:space="0" w:color="auto"/>
              <w:left w:val="single" w:sz="4" w:space="0" w:color="auto"/>
              <w:right w:val="single" w:sz="4" w:space="0" w:color="auto"/>
            </w:tcBorders>
            <w:vAlign w:val="center"/>
          </w:tcPr>
          <w:p w14:paraId="6207A973"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未建</w:t>
            </w:r>
          </w:p>
        </w:tc>
      </w:tr>
      <w:tr w:rsidR="002133E3" w14:paraId="7F646CB8" w14:textId="77777777">
        <w:trPr>
          <w:trHeight w:val="284"/>
          <w:jc w:val="center"/>
        </w:trPr>
        <w:tc>
          <w:tcPr>
            <w:tcW w:w="428" w:type="dxa"/>
            <w:vMerge/>
            <w:tcBorders>
              <w:left w:val="single" w:sz="4" w:space="0" w:color="auto"/>
              <w:bottom w:val="single" w:sz="4" w:space="0" w:color="auto"/>
              <w:right w:val="single" w:sz="4" w:space="0" w:color="auto"/>
            </w:tcBorders>
            <w:vAlign w:val="center"/>
          </w:tcPr>
          <w:p w14:paraId="26C7453B"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253" w:type="dxa"/>
            <w:vMerge/>
            <w:tcBorders>
              <w:left w:val="single" w:sz="4" w:space="0" w:color="auto"/>
              <w:right w:val="single" w:sz="4" w:space="0" w:color="auto"/>
            </w:tcBorders>
            <w:vAlign w:val="center"/>
          </w:tcPr>
          <w:p w14:paraId="45B7B1DD" w14:textId="77777777" w:rsidR="002133E3" w:rsidRDefault="002133E3">
            <w:pPr>
              <w:adjustRightInd w:val="0"/>
              <w:snapToGrid w:val="0"/>
              <w:jc w:val="center"/>
              <w:rPr>
                <w:rFonts w:ascii="Times New Roman" w:eastAsia="宋体" w:hAnsi="Times New Roman" w:cs="Times New Roman"/>
                <w:kern w:val="0"/>
                <w:szCs w:val="21"/>
              </w:rPr>
            </w:pPr>
          </w:p>
        </w:tc>
        <w:tc>
          <w:tcPr>
            <w:tcW w:w="1701" w:type="dxa"/>
            <w:vMerge/>
            <w:tcBorders>
              <w:left w:val="single" w:sz="4" w:space="0" w:color="auto"/>
              <w:right w:val="single" w:sz="4" w:space="0" w:color="auto"/>
            </w:tcBorders>
            <w:vAlign w:val="center"/>
          </w:tcPr>
          <w:p w14:paraId="332F456D" w14:textId="77777777" w:rsidR="002133E3" w:rsidRDefault="002133E3">
            <w:pPr>
              <w:adjustRightInd w:val="0"/>
              <w:snapToGrid w:val="0"/>
              <w:jc w:val="center"/>
              <w:rPr>
                <w:rFonts w:ascii="Times New Roman" w:eastAsia="宋体" w:hAnsi="Times New Roman" w:cs="Times New Roman"/>
                <w:kern w:val="0"/>
                <w:szCs w:val="21"/>
              </w:rPr>
            </w:pPr>
          </w:p>
        </w:tc>
        <w:tc>
          <w:tcPr>
            <w:tcW w:w="850" w:type="dxa"/>
            <w:tcBorders>
              <w:top w:val="single" w:sz="4" w:space="0" w:color="auto"/>
              <w:left w:val="single" w:sz="4" w:space="0" w:color="auto"/>
              <w:bottom w:val="single" w:sz="4" w:space="0" w:color="auto"/>
              <w:right w:val="single" w:sz="4" w:space="0" w:color="auto"/>
            </w:tcBorders>
            <w:vAlign w:val="center"/>
          </w:tcPr>
          <w:p w14:paraId="37872DC8"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1289" w:type="dxa"/>
            <w:tcBorders>
              <w:top w:val="single" w:sz="4" w:space="0" w:color="auto"/>
              <w:left w:val="single" w:sz="4" w:space="0" w:color="auto"/>
              <w:bottom w:val="single" w:sz="4" w:space="0" w:color="auto"/>
              <w:right w:val="single" w:sz="4" w:space="0" w:color="auto"/>
            </w:tcBorders>
            <w:vAlign w:val="center"/>
          </w:tcPr>
          <w:p w14:paraId="57F41A8F"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硫酸钠</w:t>
            </w:r>
            <w:r>
              <w:rPr>
                <w:rFonts w:ascii="Times New Roman" w:eastAsia="宋体" w:hAnsi="Times New Roman" w:cs="Times New Roman"/>
                <w:kern w:val="0"/>
                <w:szCs w:val="21"/>
              </w:rPr>
              <w:t>(95%)</w:t>
            </w:r>
          </w:p>
        </w:tc>
        <w:tc>
          <w:tcPr>
            <w:tcW w:w="1546" w:type="dxa"/>
            <w:tcBorders>
              <w:top w:val="single" w:sz="4" w:space="0" w:color="auto"/>
              <w:left w:val="single" w:sz="4" w:space="0" w:color="auto"/>
              <w:bottom w:val="single" w:sz="4" w:space="0" w:color="auto"/>
              <w:right w:val="single" w:sz="4" w:space="0" w:color="auto"/>
            </w:tcBorders>
            <w:vAlign w:val="center"/>
          </w:tcPr>
          <w:p w14:paraId="4AABD609"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37957.9</w:t>
            </w:r>
          </w:p>
        </w:tc>
        <w:tc>
          <w:tcPr>
            <w:tcW w:w="709" w:type="dxa"/>
            <w:vMerge/>
            <w:tcBorders>
              <w:left w:val="single" w:sz="4" w:space="0" w:color="auto"/>
              <w:right w:val="single" w:sz="4" w:space="0" w:color="auto"/>
            </w:tcBorders>
            <w:vAlign w:val="center"/>
          </w:tcPr>
          <w:p w14:paraId="3D3EFB4D"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126" w:type="dxa"/>
            <w:vMerge/>
            <w:tcBorders>
              <w:left w:val="single" w:sz="4" w:space="0" w:color="auto"/>
              <w:bottom w:val="single" w:sz="4" w:space="0" w:color="auto"/>
              <w:right w:val="single" w:sz="4" w:space="0" w:color="auto"/>
            </w:tcBorders>
            <w:vAlign w:val="center"/>
          </w:tcPr>
          <w:p w14:paraId="343B7F42"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658" w:type="dxa"/>
            <w:vMerge/>
            <w:tcBorders>
              <w:left w:val="single" w:sz="4" w:space="0" w:color="auto"/>
              <w:bottom w:val="single" w:sz="4" w:space="0" w:color="auto"/>
              <w:right w:val="single" w:sz="4" w:space="0" w:color="auto"/>
            </w:tcBorders>
            <w:vAlign w:val="center"/>
          </w:tcPr>
          <w:p w14:paraId="698DC8FC"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509FC046" w14:textId="77777777">
        <w:trPr>
          <w:trHeight w:val="284"/>
          <w:jc w:val="center"/>
        </w:trPr>
        <w:tc>
          <w:tcPr>
            <w:tcW w:w="428" w:type="dxa"/>
            <w:tcBorders>
              <w:left w:val="single" w:sz="4" w:space="0" w:color="auto"/>
              <w:bottom w:val="single" w:sz="4" w:space="0" w:color="auto"/>
              <w:right w:val="single" w:sz="4" w:space="0" w:color="auto"/>
            </w:tcBorders>
            <w:vAlign w:val="center"/>
          </w:tcPr>
          <w:p w14:paraId="4AABD4BE"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4</w:t>
            </w:r>
          </w:p>
        </w:tc>
        <w:tc>
          <w:tcPr>
            <w:tcW w:w="3253" w:type="dxa"/>
            <w:tcBorders>
              <w:left w:val="single" w:sz="4" w:space="0" w:color="auto"/>
              <w:right w:val="single" w:sz="4" w:space="0" w:color="auto"/>
            </w:tcBorders>
            <w:vAlign w:val="center"/>
          </w:tcPr>
          <w:p w14:paraId="3D0D4747"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2×75t/h</w:t>
            </w:r>
            <w:r>
              <w:rPr>
                <w:rFonts w:ascii="Times New Roman" w:eastAsia="宋体" w:hAnsi="Times New Roman" w:cs="Times New Roman"/>
                <w:kern w:val="0"/>
                <w:szCs w:val="21"/>
              </w:rPr>
              <w:t>循环流化床锅炉烟气脱硫脱硝工程技改项目</w:t>
            </w:r>
          </w:p>
        </w:tc>
        <w:tc>
          <w:tcPr>
            <w:tcW w:w="1701" w:type="dxa"/>
            <w:tcBorders>
              <w:left w:val="single" w:sz="4" w:space="0" w:color="auto"/>
              <w:right w:val="single" w:sz="4" w:space="0" w:color="auto"/>
            </w:tcBorders>
            <w:vAlign w:val="center"/>
          </w:tcPr>
          <w:p w14:paraId="417448DB"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251BE023"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546" w:type="dxa"/>
            <w:tcBorders>
              <w:top w:val="single" w:sz="4" w:space="0" w:color="auto"/>
              <w:left w:val="single" w:sz="4" w:space="0" w:color="auto"/>
              <w:bottom w:val="single" w:sz="4" w:space="0" w:color="auto"/>
              <w:right w:val="single" w:sz="4" w:space="0" w:color="auto"/>
            </w:tcBorders>
            <w:vAlign w:val="center"/>
          </w:tcPr>
          <w:p w14:paraId="39726BBE"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09" w:type="dxa"/>
            <w:tcBorders>
              <w:left w:val="single" w:sz="4" w:space="0" w:color="auto"/>
              <w:right w:val="single" w:sz="4" w:space="0" w:color="auto"/>
            </w:tcBorders>
            <w:vAlign w:val="center"/>
          </w:tcPr>
          <w:p w14:paraId="759C275F"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w:t>
            </w:r>
          </w:p>
        </w:tc>
        <w:tc>
          <w:tcPr>
            <w:tcW w:w="2126" w:type="dxa"/>
            <w:tcBorders>
              <w:left w:val="single" w:sz="4" w:space="0" w:color="auto"/>
              <w:bottom w:val="single" w:sz="4" w:space="0" w:color="auto"/>
              <w:right w:val="single" w:sz="4" w:space="0" w:color="auto"/>
            </w:tcBorders>
            <w:vAlign w:val="center"/>
          </w:tcPr>
          <w:p w14:paraId="029F4F11"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2016</w:t>
            </w:r>
            <w:r>
              <w:rPr>
                <w:rFonts w:ascii="Times New Roman" w:eastAsia="宋体" w:hAnsi="Times New Roman" w:cs="Times New Roman"/>
                <w:kern w:val="0"/>
                <w:szCs w:val="21"/>
                <w:lang w:val="zh-CN"/>
              </w:rPr>
              <w:t>年</w:t>
            </w:r>
            <w:r>
              <w:rPr>
                <w:rFonts w:ascii="Times New Roman" w:eastAsia="宋体" w:hAnsi="Times New Roman" w:cs="Times New Roman"/>
                <w:kern w:val="0"/>
                <w:szCs w:val="21"/>
                <w:lang w:val="zh-CN"/>
              </w:rPr>
              <w:t>7</w:t>
            </w:r>
            <w:r>
              <w:rPr>
                <w:rFonts w:ascii="Times New Roman" w:eastAsia="宋体" w:hAnsi="Times New Roman" w:cs="Times New Roman"/>
                <w:kern w:val="0"/>
                <w:szCs w:val="21"/>
                <w:lang w:val="zh-CN"/>
              </w:rPr>
              <w:t>月</w:t>
            </w:r>
            <w:r>
              <w:rPr>
                <w:rFonts w:ascii="Times New Roman" w:eastAsia="宋体" w:hAnsi="Times New Roman" w:cs="Times New Roman"/>
                <w:kern w:val="0"/>
                <w:szCs w:val="21"/>
                <w:lang w:val="zh-CN"/>
              </w:rPr>
              <w:t>11</w:t>
            </w:r>
            <w:r>
              <w:rPr>
                <w:rFonts w:ascii="Times New Roman" w:eastAsia="宋体" w:hAnsi="Times New Roman" w:cs="Times New Roman"/>
                <w:kern w:val="0"/>
                <w:szCs w:val="21"/>
                <w:lang w:val="zh-CN"/>
              </w:rPr>
              <w:t>日，赣榆区环境保护局</w:t>
            </w:r>
          </w:p>
        </w:tc>
        <w:tc>
          <w:tcPr>
            <w:tcW w:w="2658" w:type="dxa"/>
            <w:tcBorders>
              <w:left w:val="single" w:sz="4" w:space="0" w:color="auto"/>
              <w:bottom w:val="single" w:sz="4" w:space="0" w:color="auto"/>
              <w:right w:val="single" w:sz="4" w:space="0" w:color="auto"/>
            </w:tcBorders>
            <w:vAlign w:val="center"/>
          </w:tcPr>
          <w:p w14:paraId="34A8F3DA"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szCs w:val="21"/>
              </w:rPr>
              <w:t>赣环验</w:t>
            </w:r>
            <w:r>
              <w:rPr>
                <w:rFonts w:ascii="Times New Roman" w:eastAsia="宋体" w:hAnsi="Times New Roman" w:cs="Times New Roman"/>
                <w:szCs w:val="21"/>
              </w:rPr>
              <w:t>[2018]7</w:t>
            </w:r>
            <w:r>
              <w:rPr>
                <w:rFonts w:ascii="Times New Roman" w:eastAsia="宋体" w:hAnsi="Times New Roman" w:cs="Times New Roman"/>
                <w:szCs w:val="21"/>
              </w:rPr>
              <w:t>号</w:t>
            </w:r>
          </w:p>
        </w:tc>
      </w:tr>
      <w:tr w:rsidR="002133E3" w14:paraId="73087A5D" w14:textId="77777777">
        <w:trPr>
          <w:trHeight w:val="284"/>
          <w:jc w:val="center"/>
        </w:trPr>
        <w:tc>
          <w:tcPr>
            <w:tcW w:w="428" w:type="dxa"/>
            <w:vMerge w:val="restart"/>
            <w:tcBorders>
              <w:top w:val="single" w:sz="4" w:space="0" w:color="auto"/>
              <w:left w:val="single" w:sz="4" w:space="0" w:color="auto"/>
              <w:right w:val="single" w:sz="4" w:space="0" w:color="auto"/>
            </w:tcBorders>
            <w:vAlign w:val="center"/>
          </w:tcPr>
          <w:p w14:paraId="1BA01240"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5</w:t>
            </w:r>
          </w:p>
        </w:tc>
        <w:tc>
          <w:tcPr>
            <w:tcW w:w="3253" w:type="dxa"/>
            <w:vMerge w:val="restart"/>
            <w:tcBorders>
              <w:left w:val="single" w:sz="4" w:space="0" w:color="auto"/>
              <w:right w:val="single" w:sz="4" w:space="0" w:color="auto"/>
            </w:tcBorders>
            <w:vAlign w:val="center"/>
          </w:tcPr>
          <w:p w14:paraId="66E8EC67"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年产</w:t>
            </w:r>
            <w:r>
              <w:rPr>
                <w:rFonts w:ascii="Times New Roman" w:eastAsia="宋体" w:hAnsi="Times New Roman" w:cs="Times New Roman"/>
                <w:kern w:val="0"/>
                <w:szCs w:val="21"/>
              </w:rPr>
              <w:t>6</w:t>
            </w:r>
            <w:r>
              <w:rPr>
                <w:rFonts w:ascii="Times New Roman" w:eastAsia="宋体" w:hAnsi="Times New Roman" w:cs="Times New Roman"/>
                <w:kern w:val="0"/>
                <w:szCs w:val="21"/>
              </w:rPr>
              <w:t>万吨发酵法混合物技改项目</w:t>
            </w:r>
          </w:p>
        </w:tc>
        <w:tc>
          <w:tcPr>
            <w:tcW w:w="1701" w:type="dxa"/>
            <w:vMerge w:val="restart"/>
            <w:tcBorders>
              <w:left w:val="single" w:sz="4" w:space="0" w:color="auto"/>
              <w:right w:val="single" w:sz="4" w:space="0" w:color="auto"/>
            </w:tcBorders>
            <w:vAlign w:val="center"/>
          </w:tcPr>
          <w:p w14:paraId="10C20C61"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发酵法混合物生产线</w:t>
            </w:r>
          </w:p>
        </w:tc>
        <w:tc>
          <w:tcPr>
            <w:tcW w:w="2139" w:type="dxa"/>
            <w:gridSpan w:val="2"/>
            <w:tcBorders>
              <w:top w:val="single" w:sz="4" w:space="0" w:color="auto"/>
              <w:left w:val="single" w:sz="4" w:space="0" w:color="auto"/>
              <w:bottom w:val="single" w:sz="4" w:space="0" w:color="auto"/>
              <w:right w:val="single" w:sz="4" w:space="0" w:color="auto"/>
            </w:tcBorders>
            <w:vAlign w:val="center"/>
          </w:tcPr>
          <w:p w14:paraId="7F619A5C"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正丁醇</w:t>
            </w:r>
            <w:r>
              <w:rPr>
                <w:rFonts w:ascii="Times New Roman" w:eastAsia="宋体" w:hAnsi="Times New Roman" w:cs="Times New Roman"/>
                <w:kern w:val="0"/>
                <w:szCs w:val="21"/>
              </w:rPr>
              <w:t>(99%)</w:t>
            </w:r>
          </w:p>
        </w:tc>
        <w:tc>
          <w:tcPr>
            <w:tcW w:w="1546" w:type="dxa"/>
            <w:tcBorders>
              <w:top w:val="single" w:sz="4" w:space="0" w:color="auto"/>
              <w:left w:val="single" w:sz="4" w:space="0" w:color="auto"/>
              <w:bottom w:val="single" w:sz="4" w:space="0" w:color="auto"/>
              <w:right w:val="single" w:sz="4" w:space="0" w:color="auto"/>
            </w:tcBorders>
            <w:vAlign w:val="center"/>
          </w:tcPr>
          <w:p w14:paraId="5E6BB34E"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3.6</w:t>
            </w:r>
            <w:r>
              <w:rPr>
                <w:rFonts w:ascii="Times New Roman" w:eastAsia="宋体" w:hAnsi="Times New Roman" w:cs="Times New Roman"/>
                <w:kern w:val="0"/>
                <w:szCs w:val="21"/>
              </w:rPr>
              <w:t>万</w:t>
            </w:r>
          </w:p>
        </w:tc>
        <w:tc>
          <w:tcPr>
            <w:tcW w:w="709" w:type="dxa"/>
            <w:vMerge w:val="restart"/>
            <w:tcBorders>
              <w:left w:val="single" w:sz="4" w:space="0" w:color="auto"/>
              <w:right w:val="single" w:sz="4" w:space="0" w:color="auto"/>
            </w:tcBorders>
            <w:vAlign w:val="center"/>
          </w:tcPr>
          <w:p w14:paraId="64CAA926"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7200</w:t>
            </w:r>
          </w:p>
        </w:tc>
        <w:tc>
          <w:tcPr>
            <w:tcW w:w="2126" w:type="dxa"/>
            <w:vMerge w:val="restart"/>
            <w:tcBorders>
              <w:top w:val="single" w:sz="4" w:space="0" w:color="auto"/>
              <w:left w:val="single" w:sz="4" w:space="0" w:color="auto"/>
              <w:right w:val="single" w:sz="4" w:space="0" w:color="auto"/>
            </w:tcBorders>
            <w:vAlign w:val="center"/>
          </w:tcPr>
          <w:p w14:paraId="4DC813A2"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szCs w:val="21"/>
              </w:rPr>
              <w:t>赣环发</w:t>
            </w:r>
            <w:r>
              <w:rPr>
                <w:rFonts w:ascii="Times New Roman" w:eastAsia="宋体" w:hAnsi="Times New Roman" w:cs="Times New Roman"/>
                <w:szCs w:val="21"/>
              </w:rPr>
              <w:t>[2016]77</w:t>
            </w:r>
            <w:r>
              <w:rPr>
                <w:rFonts w:ascii="Times New Roman" w:eastAsia="宋体" w:hAnsi="Times New Roman" w:cs="Times New Roman"/>
                <w:szCs w:val="21"/>
              </w:rPr>
              <w:t>号</w:t>
            </w:r>
          </w:p>
        </w:tc>
        <w:tc>
          <w:tcPr>
            <w:tcW w:w="2658" w:type="dxa"/>
            <w:vMerge w:val="restart"/>
            <w:tcBorders>
              <w:top w:val="single" w:sz="4" w:space="0" w:color="auto"/>
              <w:left w:val="single" w:sz="4" w:space="0" w:color="auto"/>
              <w:right w:val="single" w:sz="4" w:space="0" w:color="auto"/>
            </w:tcBorders>
            <w:vAlign w:val="center"/>
          </w:tcPr>
          <w:p w14:paraId="0FA61F39"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2020</w:t>
            </w:r>
            <w:r>
              <w:rPr>
                <w:rFonts w:ascii="Times New Roman" w:eastAsia="宋体" w:hAnsi="Times New Roman" w:cs="Times New Roman"/>
                <w:kern w:val="0"/>
                <w:szCs w:val="21"/>
              </w:rPr>
              <w:t>年</w:t>
            </w:r>
            <w:r>
              <w:rPr>
                <w:rFonts w:ascii="Times New Roman" w:eastAsia="宋体" w:hAnsi="Times New Roman" w:cs="Times New Roman"/>
                <w:kern w:val="0"/>
                <w:szCs w:val="21"/>
              </w:rPr>
              <w:t>6</w:t>
            </w:r>
            <w:r>
              <w:rPr>
                <w:rFonts w:ascii="Times New Roman" w:eastAsia="宋体" w:hAnsi="Times New Roman" w:cs="Times New Roman"/>
                <w:kern w:val="0"/>
                <w:szCs w:val="21"/>
              </w:rPr>
              <w:t>月</w:t>
            </w:r>
            <w:r>
              <w:rPr>
                <w:rFonts w:ascii="Times New Roman" w:eastAsia="宋体" w:hAnsi="Times New Roman" w:cs="Times New Roman"/>
                <w:kern w:val="0"/>
                <w:szCs w:val="21"/>
              </w:rPr>
              <w:t>27</w:t>
            </w:r>
            <w:r>
              <w:rPr>
                <w:rFonts w:ascii="Times New Roman" w:eastAsia="宋体" w:hAnsi="Times New Roman" w:cs="Times New Roman"/>
                <w:kern w:val="0"/>
                <w:szCs w:val="21"/>
              </w:rPr>
              <w:t>日取得《江苏金茂源生物化工有限责任公司年产</w:t>
            </w:r>
            <w:r>
              <w:rPr>
                <w:rFonts w:ascii="Times New Roman" w:eastAsia="宋体" w:hAnsi="Times New Roman" w:cs="Times New Roman"/>
                <w:kern w:val="0"/>
                <w:szCs w:val="21"/>
              </w:rPr>
              <w:t>6</w:t>
            </w:r>
            <w:r>
              <w:rPr>
                <w:rFonts w:ascii="Times New Roman" w:eastAsia="宋体" w:hAnsi="Times New Roman" w:cs="Times New Roman"/>
                <w:kern w:val="0"/>
                <w:szCs w:val="21"/>
              </w:rPr>
              <w:t>万吨发酵法混合物技改项目</w:t>
            </w:r>
            <w:r>
              <w:rPr>
                <w:rFonts w:ascii="Times New Roman" w:eastAsia="宋体" w:hAnsi="Times New Roman" w:cs="Times New Roman"/>
                <w:kern w:val="0"/>
                <w:szCs w:val="21"/>
              </w:rPr>
              <w:t>(</w:t>
            </w:r>
            <w:r>
              <w:rPr>
                <w:rFonts w:ascii="Times New Roman" w:eastAsia="宋体" w:hAnsi="Times New Roman" w:cs="Times New Roman"/>
                <w:kern w:val="0"/>
                <w:szCs w:val="21"/>
              </w:rPr>
              <w:t>废水、废气、噪声</w:t>
            </w:r>
            <w:r>
              <w:rPr>
                <w:rFonts w:ascii="Times New Roman" w:eastAsia="宋体" w:hAnsi="Times New Roman" w:cs="Times New Roman"/>
                <w:kern w:val="0"/>
                <w:szCs w:val="21"/>
              </w:rPr>
              <w:t>)</w:t>
            </w:r>
            <w:r>
              <w:rPr>
                <w:rFonts w:ascii="Times New Roman" w:eastAsia="宋体" w:hAnsi="Times New Roman" w:cs="Times New Roman"/>
                <w:kern w:val="0"/>
                <w:szCs w:val="21"/>
              </w:rPr>
              <w:t>竣工环境保护自主验收意见》</w:t>
            </w:r>
          </w:p>
        </w:tc>
      </w:tr>
      <w:tr w:rsidR="002133E3" w14:paraId="13C4265B" w14:textId="77777777">
        <w:trPr>
          <w:trHeight w:val="284"/>
          <w:jc w:val="center"/>
        </w:trPr>
        <w:tc>
          <w:tcPr>
            <w:tcW w:w="428" w:type="dxa"/>
            <w:vMerge/>
            <w:tcBorders>
              <w:left w:val="single" w:sz="4" w:space="0" w:color="auto"/>
              <w:right w:val="single" w:sz="4" w:space="0" w:color="auto"/>
            </w:tcBorders>
            <w:vAlign w:val="center"/>
          </w:tcPr>
          <w:p w14:paraId="274B2584"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253" w:type="dxa"/>
            <w:vMerge/>
            <w:tcBorders>
              <w:left w:val="single" w:sz="4" w:space="0" w:color="auto"/>
              <w:right w:val="single" w:sz="4" w:space="0" w:color="auto"/>
            </w:tcBorders>
            <w:vAlign w:val="center"/>
          </w:tcPr>
          <w:p w14:paraId="08EB09CE" w14:textId="77777777" w:rsidR="002133E3" w:rsidRDefault="002133E3">
            <w:pPr>
              <w:adjustRightInd w:val="0"/>
              <w:snapToGrid w:val="0"/>
              <w:jc w:val="center"/>
              <w:rPr>
                <w:rFonts w:ascii="Times New Roman" w:eastAsia="宋体" w:hAnsi="Times New Roman" w:cs="Times New Roman"/>
                <w:kern w:val="0"/>
                <w:szCs w:val="21"/>
              </w:rPr>
            </w:pPr>
          </w:p>
        </w:tc>
        <w:tc>
          <w:tcPr>
            <w:tcW w:w="1701" w:type="dxa"/>
            <w:vMerge/>
            <w:tcBorders>
              <w:left w:val="single" w:sz="4" w:space="0" w:color="auto"/>
              <w:right w:val="single" w:sz="4" w:space="0" w:color="auto"/>
            </w:tcBorders>
            <w:vAlign w:val="center"/>
          </w:tcPr>
          <w:p w14:paraId="3BE3D6F0" w14:textId="77777777" w:rsidR="002133E3" w:rsidRDefault="002133E3">
            <w:pPr>
              <w:adjustRightInd w:val="0"/>
              <w:snapToGrid w:val="0"/>
              <w:jc w:val="center"/>
              <w:rPr>
                <w:rFonts w:ascii="Times New Roman" w:eastAsia="宋体" w:hAnsi="Times New Roman" w:cs="Times New Roman"/>
                <w:kern w:val="0"/>
                <w:szCs w:val="21"/>
              </w:rPr>
            </w:pPr>
          </w:p>
        </w:tc>
        <w:tc>
          <w:tcPr>
            <w:tcW w:w="850" w:type="dxa"/>
            <w:vMerge w:val="restart"/>
            <w:tcBorders>
              <w:top w:val="single" w:sz="4" w:space="0" w:color="auto"/>
              <w:left w:val="single" w:sz="4" w:space="0" w:color="auto"/>
              <w:right w:val="single" w:sz="4" w:space="0" w:color="auto"/>
            </w:tcBorders>
            <w:vAlign w:val="center"/>
          </w:tcPr>
          <w:p w14:paraId="2EB98A62"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1289" w:type="dxa"/>
            <w:tcBorders>
              <w:top w:val="single" w:sz="4" w:space="0" w:color="auto"/>
              <w:left w:val="single" w:sz="4" w:space="0" w:color="auto"/>
              <w:bottom w:val="single" w:sz="4" w:space="0" w:color="auto"/>
              <w:right w:val="single" w:sz="4" w:space="0" w:color="auto"/>
            </w:tcBorders>
            <w:vAlign w:val="center"/>
          </w:tcPr>
          <w:p w14:paraId="1EFE993C"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丙酮</w:t>
            </w:r>
            <w:r>
              <w:rPr>
                <w:rFonts w:ascii="Times New Roman" w:eastAsia="宋体" w:hAnsi="Times New Roman" w:cs="Times New Roman"/>
                <w:kern w:val="0"/>
                <w:szCs w:val="21"/>
              </w:rPr>
              <w:t>(99%)</w:t>
            </w:r>
          </w:p>
        </w:tc>
        <w:tc>
          <w:tcPr>
            <w:tcW w:w="1546" w:type="dxa"/>
            <w:tcBorders>
              <w:top w:val="single" w:sz="4" w:space="0" w:color="auto"/>
              <w:left w:val="single" w:sz="4" w:space="0" w:color="auto"/>
              <w:bottom w:val="single" w:sz="4" w:space="0" w:color="auto"/>
              <w:right w:val="single" w:sz="4" w:space="0" w:color="auto"/>
            </w:tcBorders>
            <w:vAlign w:val="center"/>
          </w:tcPr>
          <w:p w14:paraId="28495F27"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1.8</w:t>
            </w:r>
            <w:r>
              <w:rPr>
                <w:rFonts w:ascii="Times New Roman" w:eastAsia="宋体" w:hAnsi="Times New Roman" w:cs="Times New Roman"/>
                <w:kern w:val="0"/>
                <w:szCs w:val="21"/>
              </w:rPr>
              <w:t>万</w:t>
            </w:r>
          </w:p>
        </w:tc>
        <w:tc>
          <w:tcPr>
            <w:tcW w:w="709" w:type="dxa"/>
            <w:vMerge/>
            <w:tcBorders>
              <w:left w:val="single" w:sz="4" w:space="0" w:color="auto"/>
              <w:right w:val="single" w:sz="4" w:space="0" w:color="auto"/>
            </w:tcBorders>
            <w:vAlign w:val="center"/>
          </w:tcPr>
          <w:p w14:paraId="21D4122B"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126" w:type="dxa"/>
            <w:vMerge/>
            <w:tcBorders>
              <w:left w:val="single" w:sz="4" w:space="0" w:color="auto"/>
              <w:right w:val="single" w:sz="4" w:space="0" w:color="auto"/>
            </w:tcBorders>
            <w:vAlign w:val="center"/>
          </w:tcPr>
          <w:p w14:paraId="5FC9BB89"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658" w:type="dxa"/>
            <w:vMerge/>
            <w:tcBorders>
              <w:left w:val="single" w:sz="4" w:space="0" w:color="auto"/>
              <w:right w:val="single" w:sz="4" w:space="0" w:color="auto"/>
            </w:tcBorders>
            <w:vAlign w:val="center"/>
          </w:tcPr>
          <w:p w14:paraId="592C4E49"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25DDF7F8" w14:textId="77777777">
        <w:trPr>
          <w:trHeight w:val="284"/>
          <w:jc w:val="center"/>
        </w:trPr>
        <w:tc>
          <w:tcPr>
            <w:tcW w:w="428" w:type="dxa"/>
            <w:vMerge/>
            <w:tcBorders>
              <w:left w:val="single" w:sz="4" w:space="0" w:color="auto"/>
              <w:right w:val="single" w:sz="4" w:space="0" w:color="auto"/>
            </w:tcBorders>
            <w:vAlign w:val="center"/>
          </w:tcPr>
          <w:p w14:paraId="670030BF"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253" w:type="dxa"/>
            <w:vMerge/>
            <w:tcBorders>
              <w:left w:val="single" w:sz="4" w:space="0" w:color="auto"/>
              <w:right w:val="single" w:sz="4" w:space="0" w:color="auto"/>
            </w:tcBorders>
            <w:vAlign w:val="center"/>
          </w:tcPr>
          <w:p w14:paraId="0D5AF85D" w14:textId="77777777" w:rsidR="002133E3" w:rsidRDefault="002133E3">
            <w:pPr>
              <w:adjustRightInd w:val="0"/>
              <w:snapToGrid w:val="0"/>
              <w:jc w:val="center"/>
              <w:rPr>
                <w:rFonts w:ascii="Times New Roman" w:eastAsia="宋体" w:hAnsi="Times New Roman" w:cs="Times New Roman"/>
                <w:kern w:val="0"/>
                <w:szCs w:val="21"/>
              </w:rPr>
            </w:pPr>
          </w:p>
        </w:tc>
        <w:tc>
          <w:tcPr>
            <w:tcW w:w="1701" w:type="dxa"/>
            <w:vMerge/>
            <w:tcBorders>
              <w:left w:val="single" w:sz="4" w:space="0" w:color="auto"/>
              <w:right w:val="single" w:sz="4" w:space="0" w:color="auto"/>
            </w:tcBorders>
            <w:vAlign w:val="center"/>
          </w:tcPr>
          <w:p w14:paraId="75F6CD9E" w14:textId="77777777" w:rsidR="002133E3" w:rsidRDefault="002133E3">
            <w:pPr>
              <w:adjustRightInd w:val="0"/>
              <w:snapToGrid w:val="0"/>
              <w:jc w:val="center"/>
              <w:rPr>
                <w:rFonts w:ascii="Times New Roman" w:eastAsia="宋体" w:hAnsi="Times New Roman" w:cs="Times New Roman"/>
                <w:kern w:val="0"/>
                <w:szCs w:val="21"/>
              </w:rPr>
            </w:pPr>
          </w:p>
        </w:tc>
        <w:tc>
          <w:tcPr>
            <w:tcW w:w="850" w:type="dxa"/>
            <w:vMerge/>
            <w:tcBorders>
              <w:left w:val="single" w:sz="4" w:space="0" w:color="auto"/>
              <w:right w:val="single" w:sz="4" w:space="0" w:color="auto"/>
            </w:tcBorders>
            <w:vAlign w:val="center"/>
          </w:tcPr>
          <w:p w14:paraId="183B0B54" w14:textId="77777777" w:rsidR="002133E3" w:rsidRDefault="002133E3">
            <w:pPr>
              <w:adjustRightInd w:val="0"/>
              <w:snapToGrid w:val="0"/>
              <w:jc w:val="center"/>
              <w:rPr>
                <w:rFonts w:ascii="Times New Roman" w:eastAsia="宋体" w:hAnsi="Times New Roman" w:cs="Times New Roman"/>
                <w:kern w:val="0"/>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C2E62C5"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r>
              <w:rPr>
                <w:rFonts w:ascii="Times New Roman" w:eastAsia="宋体" w:hAnsi="Times New Roman" w:cs="Times New Roman"/>
                <w:kern w:val="0"/>
                <w:szCs w:val="21"/>
              </w:rPr>
              <w:t>(95%)</w:t>
            </w:r>
          </w:p>
        </w:tc>
        <w:tc>
          <w:tcPr>
            <w:tcW w:w="1546" w:type="dxa"/>
            <w:tcBorders>
              <w:top w:val="single" w:sz="4" w:space="0" w:color="auto"/>
              <w:left w:val="single" w:sz="4" w:space="0" w:color="auto"/>
              <w:bottom w:val="single" w:sz="4" w:space="0" w:color="auto"/>
              <w:right w:val="single" w:sz="4" w:space="0" w:color="auto"/>
            </w:tcBorders>
            <w:vAlign w:val="center"/>
          </w:tcPr>
          <w:p w14:paraId="0A8FDD76"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w:t>
            </w:r>
            <w:r>
              <w:rPr>
                <w:rFonts w:ascii="Times New Roman" w:eastAsia="宋体" w:hAnsi="Times New Roman" w:cs="Times New Roman"/>
                <w:kern w:val="0"/>
                <w:szCs w:val="21"/>
              </w:rPr>
              <w:t>万</w:t>
            </w:r>
          </w:p>
        </w:tc>
        <w:tc>
          <w:tcPr>
            <w:tcW w:w="709" w:type="dxa"/>
            <w:vMerge/>
            <w:tcBorders>
              <w:left w:val="single" w:sz="4" w:space="0" w:color="auto"/>
              <w:right w:val="single" w:sz="4" w:space="0" w:color="auto"/>
            </w:tcBorders>
            <w:vAlign w:val="center"/>
          </w:tcPr>
          <w:p w14:paraId="4C2FACB1"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126" w:type="dxa"/>
            <w:vMerge/>
            <w:tcBorders>
              <w:left w:val="single" w:sz="4" w:space="0" w:color="auto"/>
              <w:right w:val="single" w:sz="4" w:space="0" w:color="auto"/>
            </w:tcBorders>
            <w:vAlign w:val="center"/>
          </w:tcPr>
          <w:p w14:paraId="5C00DE50"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658" w:type="dxa"/>
            <w:vMerge/>
            <w:tcBorders>
              <w:left w:val="single" w:sz="4" w:space="0" w:color="auto"/>
              <w:right w:val="single" w:sz="4" w:space="0" w:color="auto"/>
            </w:tcBorders>
            <w:vAlign w:val="center"/>
          </w:tcPr>
          <w:p w14:paraId="285D7F00"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178588E8" w14:textId="77777777">
        <w:trPr>
          <w:trHeight w:val="284"/>
          <w:jc w:val="center"/>
        </w:trPr>
        <w:tc>
          <w:tcPr>
            <w:tcW w:w="428" w:type="dxa"/>
            <w:vMerge/>
            <w:tcBorders>
              <w:left w:val="single" w:sz="4" w:space="0" w:color="auto"/>
              <w:right w:val="single" w:sz="4" w:space="0" w:color="auto"/>
            </w:tcBorders>
            <w:vAlign w:val="center"/>
          </w:tcPr>
          <w:p w14:paraId="4F7EBE2F"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253" w:type="dxa"/>
            <w:vMerge/>
            <w:tcBorders>
              <w:left w:val="single" w:sz="4" w:space="0" w:color="auto"/>
              <w:right w:val="single" w:sz="4" w:space="0" w:color="auto"/>
            </w:tcBorders>
            <w:vAlign w:val="center"/>
          </w:tcPr>
          <w:p w14:paraId="4C52E9CA" w14:textId="77777777" w:rsidR="002133E3" w:rsidRDefault="002133E3">
            <w:pPr>
              <w:adjustRightInd w:val="0"/>
              <w:snapToGrid w:val="0"/>
              <w:jc w:val="center"/>
              <w:rPr>
                <w:rFonts w:ascii="Times New Roman" w:eastAsia="宋体" w:hAnsi="Times New Roman" w:cs="Times New Roman"/>
                <w:kern w:val="0"/>
                <w:szCs w:val="21"/>
              </w:rPr>
            </w:pPr>
          </w:p>
        </w:tc>
        <w:tc>
          <w:tcPr>
            <w:tcW w:w="1701" w:type="dxa"/>
            <w:vMerge/>
            <w:tcBorders>
              <w:left w:val="single" w:sz="4" w:space="0" w:color="auto"/>
              <w:right w:val="single" w:sz="4" w:space="0" w:color="auto"/>
            </w:tcBorders>
            <w:vAlign w:val="center"/>
          </w:tcPr>
          <w:p w14:paraId="23DFC69F" w14:textId="77777777" w:rsidR="002133E3" w:rsidRDefault="002133E3">
            <w:pPr>
              <w:adjustRightInd w:val="0"/>
              <w:snapToGrid w:val="0"/>
              <w:jc w:val="center"/>
              <w:rPr>
                <w:rFonts w:ascii="Times New Roman" w:eastAsia="宋体" w:hAnsi="Times New Roman" w:cs="Times New Roman"/>
                <w:kern w:val="0"/>
                <w:szCs w:val="21"/>
              </w:rPr>
            </w:pPr>
          </w:p>
        </w:tc>
        <w:tc>
          <w:tcPr>
            <w:tcW w:w="850" w:type="dxa"/>
            <w:vMerge/>
            <w:tcBorders>
              <w:left w:val="single" w:sz="4" w:space="0" w:color="auto"/>
              <w:right w:val="single" w:sz="4" w:space="0" w:color="auto"/>
            </w:tcBorders>
            <w:vAlign w:val="center"/>
          </w:tcPr>
          <w:p w14:paraId="5AD38C3D" w14:textId="77777777" w:rsidR="002133E3" w:rsidRDefault="002133E3">
            <w:pPr>
              <w:adjustRightInd w:val="0"/>
              <w:snapToGrid w:val="0"/>
              <w:jc w:val="center"/>
              <w:rPr>
                <w:rFonts w:ascii="Times New Roman" w:eastAsia="宋体" w:hAnsi="Times New Roman" w:cs="Times New Roman"/>
                <w:kern w:val="0"/>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00B7EF22"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1546" w:type="dxa"/>
            <w:tcBorders>
              <w:top w:val="single" w:sz="4" w:space="0" w:color="auto"/>
              <w:left w:val="single" w:sz="4" w:space="0" w:color="auto"/>
              <w:bottom w:val="single" w:sz="4" w:space="0" w:color="auto"/>
              <w:right w:val="single" w:sz="4" w:space="0" w:color="auto"/>
            </w:tcBorders>
            <w:vAlign w:val="center"/>
          </w:tcPr>
          <w:p w14:paraId="2B5D9F34"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c>
          <w:tcPr>
            <w:tcW w:w="709" w:type="dxa"/>
            <w:vMerge/>
            <w:tcBorders>
              <w:left w:val="single" w:sz="4" w:space="0" w:color="auto"/>
              <w:right w:val="single" w:sz="4" w:space="0" w:color="auto"/>
            </w:tcBorders>
            <w:vAlign w:val="center"/>
          </w:tcPr>
          <w:p w14:paraId="41B15C0B"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126" w:type="dxa"/>
            <w:vMerge/>
            <w:tcBorders>
              <w:left w:val="single" w:sz="4" w:space="0" w:color="auto"/>
              <w:right w:val="single" w:sz="4" w:space="0" w:color="auto"/>
            </w:tcBorders>
            <w:vAlign w:val="center"/>
          </w:tcPr>
          <w:p w14:paraId="4C24E248"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2658" w:type="dxa"/>
            <w:vMerge/>
            <w:tcBorders>
              <w:left w:val="single" w:sz="4" w:space="0" w:color="auto"/>
              <w:right w:val="single" w:sz="4" w:space="0" w:color="auto"/>
            </w:tcBorders>
            <w:vAlign w:val="center"/>
          </w:tcPr>
          <w:p w14:paraId="3E09C2DE"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15819EFC" w14:textId="77777777">
        <w:trPr>
          <w:trHeight w:val="284"/>
          <w:jc w:val="center"/>
        </w:trPr>
        <w:tc>
          <w:tcPr>
            <w:tcW w:w="428" w:type="dxa"/>
            <w:tcBorders>
              <w:left w:val="single" w:sz="4" w:space="0" w:color="auto"/>
              <w:right w:val="single" w:sz="4" w:space="0" w:color="auto"/>
            </w:tcBorders>
            <w:vAlign w:val="center"/>
          </w:tcPr>
          <w:p w14:paraId="78E1DFFB"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6</w:t>
            </w:r>
          </w:p>
        </w:tc>
        <w:tc>
          <w:tcPr>
            <w:tcW w:w="3253" w:type="dxa"/>
            <w:tcBorders>
              <w:left w:val="single" w:sz="4" w:space="0" w:color="auto"/>
              <w:right w:val="single" w:sz="4" w:space="0" w:color="auto"/>
            </w:tcBorders>
            <w:vAlign w:val="center"/>
          </w:tcPr>
          <w:p w14:paraId="0C5A86C4" w14:textId="77777777" w:rsidR="002133E3" w:rsidRDefault="00C22CFA">
            <w:pPr>
              <w:adjustRightInd w:val="0"/>
              <w:snapToGrid w:val="0"/>
              <w:jc w:val="center"/>
              <w:rPr>
                <w:rFonts w:ascii="Times New Roman" w:eastAsia="宋体" w:hAnsi="Times New Roman" w:cs="Times New Roman"/>
                <w:szCs w:val="21"/>
                <w:highlight w:val="yellow"/>
              </w:rPr>
            </w:pPr>
            <w:r>
              <w:rPr>
                <w:rFonts w:ascii="Times New Roman" w:eastAsia="宋体" w:hAnsi="Times New Roman" w:cs="Times New Roman"/>
                <w:szCs w:val="21"/>
                <w:highlight w:val="yellow"/>
              </w:rPr>
              <w:t>能源阶梯利用系统优化技改项目</w:t>
            </w:r>
          </w:p>
        </w:tc>
        <w:tc>
          <w:tcPr>
            <w:tcW w:w="1701" w:type="dxa"/>
            <w:tcBorders>
              <w:left w:val="single" w:sz="4" w:space="0" w:color="auto"/>
              <w:right w:val="single" w:sz="4" w:space="0" w:color="auto"/>
            </w:tcBorders>
            <w:vAlign w:val="center"/>
          </w:tcPr>
          <w:p w14:paraId="07F0B3F2" w14:textId="77777777" w:rsidR="002133E3" w:rsidRDefault="00C22CFA">
            <w:pPr>
              <w:adjustRightInd w:val="0"/>
              <w:snapToGrid w:val="0"/>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w:t>
            </w:r>
          </w:p>
        </w:tc>
        <w:tc>
          <w:tcPr>
            <w:tcW w:w="2139" w:type="dxa"/>
            <w:gridSpan w:val="2"/>
            <w:tcBorders>
              <w:left w:val="single" w:sz="4" w:space="0" w:color="auto"/>
              <w:right w:val="single" w:sz="4" w:space="0" w:color="auto"/>
            </w:tcBorders>
            <w:vAlign w:val="center"/>
          </w:tcPr>
          <w:p w14:paraId="3833FADE" w14:textId="77777777" w:rsidR="002133E3" w:rsidRDefault="00C22CFA">
            <w:pPr>
              <w:adjustRightInd w:val="0"/>
              <w:snapToGrid w:val="0"/>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w:t>
            </w:r>
          </w:p>
        </w:tc>
        <w:tc>
          <w:tcPr>
            <w:tcW w:w="1546" w:type="dxa"/>
            <w:tcBorders>
              <w:top w:val="single" w:sz="4" w:space="0" w:color="auto"/>
              <w:left w:val="single" w:sz="4" w:space="0" w:color="auto"/>
              <w:bottom w:val="single" w:sz="4" w:space="0" w:color="auto"/>
              <w:right w:val="single" w:sz="4" w:space="0" w:color="auto"/>
            </w:tcBorders>
            <w:vAlign w:val="center"/>
          </w:tcPr>
          <w:p w14:paraId="3D2BFA14" w14:textId="77777777" w:rsidR="002133E3" w:rsidRDefault="00C22CFA">
            <w:pPr>
              <w:adjustRightInd w:val="0"/>
              <w:snapToGrid w:val="0"/>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w:t>
            </w:r>
          </w:p>
        </w:tc>
        <w:tc>
          <w:tcPr>
            <w:tcW w:w="709" w:type="dxa"/>
            <w:tcBorders>
              <w:left w:val="single" w:sz="4" w:space="0" w:color="auto"/>
              <w:right w:val="single" w:sz="4" w:space="0" w:color="auto"/>
            </w:tcBorders>
            <w:vAlign w:val="center"/>
          </w:tcPr>
          <w:p w14:paraId="5B25AC87" w14:textId="77777777" w:rsidR="002133E3" w:rsidRDefault="00C22CFA">
            <w:pPr>
              <w:adjustRightInd w:val="0"/>
              <w:snapToGrid w:val="0"/>
              <w:jc w:val="center"/>
              <w:rPr>
                <w:rFonts w:ascii="Times New Roman" w:eastAsia="宋体" w:hAnsi="Times New Roman" w:cs="Times New Roman"/>
                <w:kern w:val="0"/>
                <w:szCs w:val="21"/>
                <w:highlight w:val="yellow"/>
                <w:lang w:val="zh-CN"/>
              </w:rPr>
            </w:pPr>
            <w:r>
              <w:rPr>
                <w:rFonts w:ascii="Times New Roman" w:eastAsia="宋体" w:hAnsi="Times New Roman" w:cs="Times New Roman"/>
                <w:kern w:val="0"/>
                <w:szCs w:val="21"/>
                <w:highlight w:val="yellow"/>
                <w:lang w:val="zh-CN"/>
              </w:rPr>
              <w:t>/</w:t>
            </w:r>
          </w:p>
        </w:tc>
        <w:tc>
          <w:tcPr>
            <w:tcW w:w="2126" w:type="dxa"/>
            <w:tcBorders>
              <w:left w:val="single" w:sz="4" w:space="0" w:color="auto"/>
              <w:right w:val="single" w:sz="4" w:space="0" w:color="auto"/>
            </w:tcBorders>
            <w:vAlign w:val="center"/>
          </w:tcPr>
          <w:p w14:paraId="4F589A06" w14:textId="77777777" w:rsidR="002133E3" w:rsidRDefault="00C22CFA">
            <w:pPr>
              <w:adjustRightInd w:val="0"/>
              <w:snapToGrid w:val="0"/>
              <w:jc w:val="center"/>
              <w:rPr>
                <w:rFonts w:ascii="Times New Roman" w:eastAsia="宋体" w:hAnsi="Times New Roman" w:cs="Times New Roman"/>
                <w:kern w:val="0"/>
                <w:szCs w:val="21"/>
                <w:highlight w:val="yellow"/>
                <w:lang w:val="zh-CN"/>
              </w:rPr>
            </w:pPr>
            <w:r>
              <w:rPr>
                <w:rFonts w:ascii="Times New Roman" w:eastAsia="宋体" w:hAnsi="Times New Roman" w:cs="Times New Roman"/>
                <w:kern w:val="0"/>
                <w:szCs w:val="21"/>
                <w:highlight w:val="yellow"/>
                <w:lang w:val="zh-CN"/>
              </w:rPr>
              <w:t>备案号</w:t>
            </w:r>
            <w:r>
              <w:rPr>
                <w:rFonts w:ascii="Times New Roman" w:eastAsia="宋体" w:hAnsi="Times New Roman" w:cs="Times New Roman"/>
                <w:kern w:val="0"/>
                <w:szCs w:val="21"/>
                <w:highlight w:val="yellow"/>
                <w:lang w:val="zh-CN"/>
              </w:rPr>
              <w:t>201832070700000096</w:t>
            </w:r>
          </w:p>
        </w:tc>
        <w:tc>
          <w:tcPr>
            <w:tcW w:w="2658" w:type="dxa"/>
            <w:tcBorders>
              <w:left w:val="single" w:sz="4" w:space="0" w:color="auto"/>
              <w:right w:val="single" w:sz="4" w:space="0" w:color="auto"/>
            </w:tcBorders>
            <w:vAlign w:val="center"/>
          </w:tcPr>
          <w:p w14:paraId="1519B000"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w:t>
            </w:r>
          </w:p>
        </w:tc>
      </w:tr>
      <w:tr w:rsidR="002133E3" w14:paraId="0BB5AABA" w14:textId="77777777">
        <w:trPr>
          <w:trHeight w:val="284"/>
          <w:jc w:val="center"/>
        </w:trPr>
        <w:tc>
          <w:tcPr>
            <w:tcW w:w="428" w:type="dxa"/>
            <w:tcBorders>
              <w:left w:val="single" w:sz="4" w:space="0" w:color="auto"/>
              <w:right w:val="single" w:sz="4" w:space="0" w:color="auto"/>
            </w:tcBorders>
            <w:vAlign w:val="center"/>
          </w:tcPr>
          <w:p w14:paraId="28BCD8C1"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7</w:t>
            </w:r>
          </w:p>
        </w:tc>
        <w:tc>
          <w:tcPr>
            <w:tcW w:w="3253" w:type="dxa"/>
            <w:tcBorders>
              <w:left w:val="single" w:sz="4" w:space="0" w:color="auto"/>
              <w:right w:val="single" w:sz="4" w:space="0" w:color="auto"/>
            </w:tcBorders>
            <w:vAlign w:val="center"/>
          </w:tcPr>
          <w:p w14:paraId="6FD42838" w14:textId="77777777" w:rsidR="002133E3" w:rsidRDefault="00C22CFA">
            <w:pPr>
              <w:adjustRightInd w:val="0"/>
              <w:snapToGrid w:val="0"/>
              <w:jc w:val="center"/>
              <w:rPr>
                <w:rFonts w:ascii="Times New Roman" w:eastAsia="宋体" w:hAnsi="Times New Roman" w:cs="Times New Roman"/>
                <w:szCs w:val="21"/>
                <w:highlight w:val="yellow"/>
              </w:rPr>
            </w:pPr>
            <w:r>
              <w:rPr>
                <w:rFonts w:ascii="Times New Roman" w:eastAsia="宋体" w:hAnsi="Times New Roman" w:cs="Times New Roman"/>
                <w:szCs w:val="21"/>
                <w:highlight w:val="yellow"/>
              </w:rPr>
              <w:t>双发酵耦联工艺无废制乙醇产业化项目</w:t>
            </w:r>
          </w:p>
        </w:tc>
        <w:tc>
          <w:tcPr>
            <w:tcW w:w="1701" w:type="dxa"/>
            <w:tcBorders>
              <w:left w:val="single" w:sz="4" w:space="0" w:color="auto"/>
              <w:right w:val="single" w:sz="4" w:space="0" w:color="auto"/>
            </w:tcBorders>
            <w:vAlign w:val="center"/>
          </w:tcPr>
          <w:p w14:paraId="3917F0D1" w14:textId="77777777" w:rsidR="002133E3" w:rsidRDefault="00C22CFA">
            <w:pPr>
              <w:adjustRightInd w:val="0"/>
              <w:snapToGrid w:val="0"/>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w:t>
            </w:r>
          </w:p>
        </w:tc>
        <w:tc>
          <w:tcPr>
            <w:tcW w:w="2139" w:type="dxa"/>
            <w:gridSpan w:val="2"/>
            <w:tcBorders>
              <w:left w:val="single" w:sz="4" w:space="0" w:color="auto"/>
              <w:right w:val="single" w:sz="4" w:space="0" w:color="auto"/>
            </w:tcBorders>
            <w:vAlign w:val="center"/>
          </w:tcPr>
          <w:p w14:paraId="667E6128" w14:textId="77777777" w:rsidR="002133E3" w:rsidRDefault="00C22CFA">
            <w:pPr>
              <w:adjustRightInd w:val="0"/>
              <w:snapToGrid w:val="0"/>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w:t>
            </w:r>
          </w:p>
        </w:tc>
        <w:tc>
          <w:tcPr>
            <w:tcW w:w="1546" w:type="dxa"/>
            <w:tcBorders>
              <w:top w:val="single" w:sz="4" w:space="0" w:color="auto"/>
              <w:left w:val="single" w:sz="4" w:space="0" w:color="auto"/>
              <w:bottom w:val="single" w:sz="4" w:space="0" w:color="auto"/>
              <w:right w:val="single" w:sz="4" w:space="0" w:color="auto"/>
            </w:tcBorders>
            <w:vAlign w:val="center"/>
          </w:tcPr>
          <w:p w14:paraId="19623691" w14:textId="77777777" w:rsidR="002133E3" w:rsidRDefault="002133E3">
            <w:pPr>
              <w:adjustRightInd w:val="0"/>
              <w:snapToGrid w:val="0"/>
              <w:jc w:val="center"/>
              <w:rPr>
                <w:rFonts w:ascii="Times New Roman" w:eastAsia="宋体" w:hAnsi="Times New Roman" w:cs="Times New Roman"/>
                <w:kern w:val="0"/>
                <w:szCs w:val="21"/>
                <w:highlight w:val="yellow"/>
              </w:rPr>
            </w:pPr>
          </w:p>
        </w:tc>
        <w:tc>
          <w:tcPr>
            <w:tcW w:w="709" w:type="dxa"/>
            <w:tcBorders>
              <w:left w:val="single" w:sz="4" w:space="0" w:color="auto"/>
              <w:right w:val="single" w:sz="4" w:space="0" w:color="auto"/>
            </w:tcBorders>
            <w:vAlign w:val="center"/>
          </w:tcPr>
          <w:p w14:paraId="67D415E4" w14:textId="77777777" w:rsidR="002133E3" w:rsidRDefault="00C22CFA">
            <w:pPr>
              <w:adjustRightInd w:val="0"/>
              <w:snapToGrid w:val="0"/>
              <w:jc w:val="center"/>
              <w:rPr>
                <w:rFonts w:ascii="Times New Roman" w:eastAsia="宋体" w:hAnsi="Times New Roman" w:cs="Times New Roman"/>
                <w:kern w:val="0"/>
                <w:szCs w:val="21"/>
                <w:highlight w:val="yellow"/>
                <w:lang w:val="zh-CN"/>
              </w:rPr>
            </w:pPr>
            <w:r>
              <w:rPr>
                <w:rFonts w:ascii="Times New Roman" w:eastAsia="宋体" w:hAnsi="Times New Roman" w:cs="Times New Roman"/>
                <w:kern w:val="0"/>
                <w:szCs w:val="21"/>
                <w:highlight w:val="yellow"/>
                <w:lang w:val="zh-CN"/>
              </w:rPr>
              <w:t>/</w:t>
            </w:r>
          </w:p>
        </w:tc>
        <w:tc>
          <w:tcPr>
            <w:tcW w:w="2126" w:type="dxa"/>
            <w:tcBorders>
              <w:left w:val="single" w:sz="4" w:space="0" w:color="auto"/>
              <w:right w:val="single" w:sz="4" w:space="0" w:color="auto"/>
            </w:tcBorders>
            <w:vAlign w:val="center"/>
          </w:tcPr>
          <w:p w14:paraId="4E58B507" w14:textId="77777777" w:rsidR="002133E3" w:rsidRDefault="00C22CFA">
            <w:pPr>
              <w:adjustRightInd w:val="0"/>
              <w:snapToGrid w:val="0"/>
              <w:jc w:val="center"/>
              <w:rPr>
                <w:rFonts w:ascii="Times New Roman" w:eastAsia="宋体" w:hAnsi="Times New Roman" w:cs="Times New Roman"/>
                <w:kern w:val="0"/>
                <w:szCs w:val="21"/>
                <w:highlight w:val="yellow"/>
                <w:lang w:val="zh-CN"/>
              </w:rPr>
            </w:pPr>
            <w:r>
              <w:rPr>
                <w:rFonts w:ascii="Times New Roman" w:eastAsia="宋体" w:hAnsi="Times New Roman" w:cs="Times New Roman"/>
                <w:szCs w:val="21"/>
                <w:highlight w:val="yellow"/>
              </w:rPr>
              <w:t>备案号</w:t>
            </w:r>
            <w:r>
              <w:rPr>
                <w:rFonts w:ascii="Times New Roman" w:eastAsia="宋体" w:hAnsi="Times New Roman" w:cs="Times New Roman"/>
                <w:szCs w:val="21"/>
                <w:highlight w:val="yellow"/>
              </w:rPr>
              <w:t>201832070700000106</w:t>
            </w:r>
          </w:p>
        </w:tc>
        <w:tc>
          <w:tcPr>
            <w:tcW w:w="2658" w:type="dxa"/>
            <w:tcBorders>
              <w:left w:val="single" w:sz="4" w:space="0" w:color="auto"/>
              <w:right w:val="single" w:sz="4" w:space="0" w:color="auto"/>
            </w:tcBorders>
            <w:vAlign w:val="center"/>
          </w:tcPr>
          <w:p w14:paraId="3C25A848"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w:t>
            </w:r>
          </w:p>
        </w:tc>
      </w:tr>
      <w:tr w:rsidR="002133E3" w14:paraId="01CE208B" w14:textId="77777777">
        <w:trPr>
          <w:trHeight w:val="284"/>
          <w:jc w:val="center"/>
        </w:trPr>
        <w:tc>
          <w:tcPr>
            <w:tcW w:w="428" w:type="dxa"/>
            <w:tcBorders>
              <w:left w:val="single" w:sz="4" w:space="0" w:color="auto"/>
              <w:right w:val="single" w:sz="4" w:space="0" w:color="auto"/>
            </w:tcBorders>
            <w:vAlign w:val="center"/>
          </w:tcPr>
          <w:p w14:paraId="53634982"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8</w:t>
            </w:r>
          </w:p>
        </w:tc>
        <w:tc>
          <w:tcPr>
            <w:tcW w:w="3253" w:type="dxa"/>
            <w:tcBorders>
              <w:left w:val="single" w:sz="4" w:space="0" w:color="auto"/>
              <w:right w:val="single" w:sz="4" w:space="0" w:color="auto"/>
            </w:tcBorders>
            <w:vAlign w:val="center"/>
          </w:tcPr>
          <w:p w14:paraId="2307D2F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江苏金茂源生物化工有限责任公司生物脱硫技改项目</w:t>
            </w:r>
          </w:p>
        </w:tc>
        <w:tc>
          <w:tcPr>
            <w:tcW w:w="1701" w:type="dxa"/>
            <w:tcBorders>
              <w:left w:val="single" w:sz="4" w:space="0" w:color="auto"/>
              <w:right w:val="single" w:sz="4" w:space="0" w:color="auto"/>
            </w:tcBorders>
            <w:vAlign w:val="center"/>
          </w:tcPr>
          <w:p w14:paraId="7E347C21"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2139" w:type="dxa"/>
            <w:gridSpan w:val="2"/>
            <w:tcBorders>
              <w:left w:val="single" w:sz="4" w:space="0" w:color="auto"/>
              <w:right w:val="single" w:sz="4" w:space="0" w:color="auto"/>
            </w:tcBorders>
            <w:vAlign w:val="center"/>
          </w:tcPr>
          <w:p w14:paraId="3E8B059C"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546" w:type="dxa"/>
            <w:tcBorders>
              <w:top w:val="single" w:sz="4" w:space="0" w:color="auto"/>
              <w:left w:val="single" w:sz="4" w:space="0" w:color="auto"/>
              <w:bottom w:val="single" w:sz="4" w:space="0" w:color="auto"/>
              <w:right w:val="single" w:sz="4" w:space="0" w:color="auto"/>
            </w:tcBorders>
            <w:vAlign w:val="center"/>
          </w:tcPr>
          <w:p w14:paraId="766302D1"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09" w:type="dxa"/>
            <w:tcBorders>
              <w:left w:val="single" w:sz="4" w:space="0" w:color="auto"/>
              <w:right w:val="single" w:sz="4" w:space="0" w:color="auto"/>
            </w:tcBorders>
            <w:vAlign w:val="center"/>
          </w:tcPr>
          <w:p w14:paraId="4F700143"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w:t>
            </w:r>
          </w:p>
        </w:tc>
        <w:tc>
          <w:tcPr>
            <w:tcW w:w="2126" w:type="dxa"/>
            <w:tcBorders>
              <w:left w:val="single" w:sz="4" w:space="0" w:color="auto"/>
              <w:right w:val="single" w:sz="4" w:space="0" w:color="auto"/>
            </w:tcBorders>
            <w:vAlign w:val="center"/>
          </w:tcPr>
          <w:p w14:paraId="16ED5291"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szCs w:val="21"/>
              </w:rPr>
              <w:t>备案号</w:t>
            </w:r>
            <w:r>
              <w:rPr>
                <w:rFonts w:ascii="Times New Roman" w:eastAsia="宋体" w:hAnsi="Times New Roman" w:cs="Times New Roman"/>
                <w:szCs w:val="21"/>
              </w:rPr>
              <w:t>201832070700000165</w:t>
            </w:r>
          </w:p>
        </w:tc>
        <w:tc>
          <w:tcPr>
            <w:tcW w:w="2658" w:type="dxa"/>
            <w:tcBorders>
              <w:left w:val="single" w:sz="4" w:space="0" w:color="auto"/>
              <w:right w:val="single" w:sz="4" w:space="0" w:color="auto"/>
            </w:tcBorders>
            <w:vAlign w:val="center"/>
          </w:tcPr>
          <w:p w14:paraId="765DA69F"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w:t>
            </w:r>
          </w:p>
        </w:tc>
      </w:tr>
      <w:tr w:rsidR="002133E3" w14:paraId="58F77512" w14:textId="77777777">
        <w:trPr>
          <w:trHeight w:val="284"/>
          <w:jc w:val="center"/>
        </w:trPr>
        <w:tc>
          <w:tcPr>
            <w:tcW w:w="428" w:type="dxa"/>
            <w:tcBorders>
              <w:left w:val="single" w:sz="4" w:space="0" w:color="auto"/>
              <w:bottom w:val="single" w:sz="4" w:space="0" w:color="auto"/>
              <w:right w:val="single" w:sz="4" w:space="0" w:color="auto"/>
            </w:tcBorders>
            <w:vAlign w:val="center"/>
          </w:tcPr>
          <w:p w14:paraId="5BC334DC"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9</w:t>
            </w:r>
          </w:p>
        </w:tc>
        <w:tc>
          <w:tcPr>
            <w:tcW w:w="3253" w:type="dxa"/>
            <w:tcBorders>
              <w:left w:val="single" w:sz="4" w:space="0" w:color="auto"/>
              <w:bottom w:val="single" w:sz="4" w:space="0" w:color="auto"/>
              <w:right w:val="single" w:sz="4" w:space="0" w:color="auto"/>
            </w:tcBorders>
            <w:vAlign w:val="center"/>
          </w:tcPr>
          <w:p w14:paraId="6ACFB6E3"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利用木薯酒精废渣年产</w:t>
            </w:r>
            <w:r>
              <w:rPr>
                <w:rFonts w:ascii="Times New Roman" w:eastAsia="宋体" w:hAnsi="Times New Roman" w:cs="Times New Roman"/>
                <w:kern w:val="0"/>
                <w:szCs w:val="21"/>
              </w:rPr>
              <w:t>10</w:t>
            </w:r>
            <w:r>
              <w:rPr>
                <w:rFonts w:ascii="Times New Roman" w:eastAsia="宋体" w:hAnsi="Times New Roman" w:cs="Times New Roman"/>
                <w:kern w:val="0"/>
                <w:szCs w:val="21"/>
              </w:rPr>
              <w:t>万吨高效多功能生物有机肥技改项目</w:t>
            </w:r>
          </w:p>
        </w:tc>
        <w:tc>
          <w:tcPr>
            <w:tcW w:w="1701" w:type="dxa"/>
            <w:tcBorders>
              <w:left w:val="single" w:sz="4" w:space="0" w:color="auto"/>
              <w:bottom w:val="single" w:sz="4" w:space="0" w:color="auto"/>
              <w:right w:val="single" w:sz="4" w:space="0" w:color="auto"/>
            </w:tcBorders>
            <w:vAlign w:val="center"/>
          </w:tcPr>
          <w:p w14:paraId="3DA80093"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高效多功能生物有机肥生产线</w:t>
            </w:r>
          </w:p>
        </w:tc>
        <w:tc>
          <w:tcPr>
            <w:tcW w:w="2139" w:type="dxa"/>
            <w:gridSpan w:val="2"/>
            <w:tcBorders>
              <w:left w:val="single" w:sz="4" w:space="0" w:color="auto"/>
              <w:bottom w:val="single" w:sz="4" w:space="0" w:color="auto"/>
              <w:right w:val="single" w:sz="4" w:space="0" w:color="auto"/>
            </w:tcBorders>
            <w:vAlign w:val="center"/>
          </w:tcPr>
          <w:p w14:paraId="712AE6A2"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生物有机肥</w:t>
            </w:r>
          </w:p>
        </w:tc>
        <w:tc>
          <w:tcPr>
            <w:tcW w:w="1546" w:type="dxa"/>
            <w:tcBorders>
              <w:top w:val="single" w:sz="4" w:space="0" w:color="auto"/>
              <w:left w:val="single" w:sz="4" w:space="0" w:color="auto"/>
              <w:bottom w:val="single" w:sz="4" w:space="0" w:color="auto"/>
              <w:right w:val="single" w:sz="4" w:space="0" w:color="auto"/>
            </w:tcBorders>
            <w:vAlign w:val="center"/>
          </w:tcPr>
          <w:p w14:paraId="15DECFE3"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709" w:type="dxa"/>
            <w:tcBorders>
              <w:left w:val="single" w:sz="4" w:space="0" w:color="auto"/>
              <w:bottom w:val="single" w:sz="4" w:space="0" w:color="auto"/>
              <w:right w:val="single" w:sz="4" w:space="0" w:color="auto"/>
            </w:tcBorders>
            <w:vAlign w:val="center"/>
          </w:tcPr>
          <w:p w14:paraId="1FD9F4D5"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7200</w:t>
            </w:r>
          </w:p>
        </w:tc>
        <w:tc>
          <w:tcPr>
            <w:tcW w:w="2126" w:type="dxa"/>
            <w:tcBorders>
              <w:left w:val="single" w:sz="4" w:space="0" w:color="auto"/>
              <w:bottom w:val="single" w:sz="4" w:space="0" w:color="auto"/>
              <w:right w:val="single" w:sz="4" w:space="0" w:color="auto"/>
            </w:tcBorders>
            <w:vAlign w:val="center"/>
          </w:tcPr>
          <w:p w14:paraId="07926028"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赣环表复</w:t>
            </w:r>
            <w:r>
              <w:rPr>
                <w:rFonts w:ascii="Times New Roman" w:eastAsia="宋体" w:hAnsi="Times New Roman" w:cs="Times New Roman"/>
                <w:kern w:val="0"/>
                <w:szCs w:val="21"/>
                <w:lang w:val="zh-CN"/>
              </w:rPr>
              <w:t>[2018]131</w:t>
            </w:r>
            <w:r>
              <w:rPr>
                <w:rFonts w:ascii="Times New Roman" w:eastAsia="宋体" w:hAnsi="Times New Roman" w:cs="Times New Roman"/>
                <w:kern w:val="0"/>
                <w:szCs w:val="21"/>
                <w:lang w:val="zh-CN"/>
              </w:rPr>
              <w:t>号</w:t>
            </w:r>
          </w:p>
        </w:tc>
        <w:tc>
          <w:tcPr>
            <w:tcW w:w="2658" w:type="dxa"/>
            <w:tcBorders>
              <w:left w:val="single" w:sz="4" w:space="0" w:color="auto"/>
              <w:bottom w:val="single" w:sz="4" w:space="0" w:color="auto"/>
              <w:right w:val="single" w:sz="4" w:space="0" w:color="auto"/>
            </w:tcBorders>
            <w:vAlign w:val="center"/>
          </w:tcPr>
          <w:p w14:paraId="157F8AAB"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未建</w:t>
            </w:r>
          </w:p>
        </w:tc>
      </w:tr>
    </w:tbl>
    <w:p w14:paraId="28532129" w14:textId="77777777" w:rsidR="002133E3" w:rsidRDefault="002133E3">
      <w:pPr>
        <w:pStyle w:val="affff3"/>
        <w:ind w:firstLineChars="0" w:firstLine="0"/>
        <w:outlineLvl w:val="0"/>
        <w:rPr>
          <w:rFonts w:ascii="Times New Roman" w:eastAsia="宋体" w:hAnsi="Times New Roman" w:cs="Times New Roman"/>
          <w:b/>
          <w:sz w:val="30"/>
          <w:szCs w:val="30"/>
        </w:rPr>
        <w:sectPr w:rsidR="002133E3">
          <w:pgSz w:w="16838" w:h="11906" w:orient="landscape"/>
          <w:pgMar w:top="1134" w:right="1134" w:bottom="1134" w:left="1134" w:header="851" w:footer="992" w:gutter="0"/>
          <w:cols w:space="425"/>
          <w:docGrid w:type="linesAndChars" w:linePitch="312"/>
        </w:sectPr>
      </w:pPr>
    </w:p>
    <w:p w14:paraId="182BF1C5"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已建项目工程概况</w:t>
      </w:r>
    </w:p>
    <w:p w14:paraId="68E6DE2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已建项目主体工程</w:t>
      </w:r>
    </w:p>
    <w:p w14:paraId="7BE5FC06"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4"/>
        </w:rPr>
        <w:t>已建项目主体工程情况见表</w:t>
      </w:r>
      <w:r>
        <w:rPr>
          <w:rFonts w:ascii="Times New Roman" w:eastAsia="宋体" w:hAnsi="Times New Roman" w:cs="Times New Roman"/>
          <w:sz w:val="28"/>
          <w:szCs w:val="24"/>
        </w:rPr>
        <w:t>3.2-1</w:t>
      </w:r>
      <w:r>
        <w:rPr>
          <w:rFonts w:ascii="Times New Roman" w:eastAsia="宋体" w:hAnsi="Times New Roman" w:cs="Times New Roman"/>
          <w:sz w:val="28"/>
          <w:szCs w:val="28"/>
        </w:rPr>
        <w:t>。</w:t>
      </w:r>
    </w:p>
    <w:p w14:paraId="41025B4E" w14:textId="77777777" w:rsidR="002133E3" w:rsidRDefault="00C22CFA">
      <w:pPr>
        <w:snapToGrid w:val="0"/>
        <w:spacing w:line="500" w:lineRule="atLeast"/>
        <w:jc w:val="center"/>
        <w:rPr>
          <w:rFonts w:ascii="Times New Roman" w:eastAsia="宋体" w:hAnsi="Times New Roman" w:cs="Times New Roman"/>
          <w:b/>
          <w:sz w:val="30"/>
          <w:szCs w:val="30"/>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 </w:t>
      </w:r>
      <w:r>
        <w:rPr>
          <w:rFonts w:ascii="Times New Roman" w:eastAsia="宋体" w:hAnsi="Times New Roman" w:cs="Times New Roman"/>
          <w:b/>
          <w:bCs/>
          <w:szCs w:val="21"/>
        </w:rPr>
        <w:t>已建项目主体工程情况表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1624"/>
        <w:gridCol w:w="1884"/>
        <w:gridCol w:w="1015"/>
        <w:gridCol w:w="1598"/>
        <w:gridCol w:w="1884"/>
        <w:gridCol w:w="1155"/>
      </w:tblGrid>
      <w:tr w:rsidR="002133E3" w14:paraId="7FA88148" w14:textId="77777777">
        <w:trPr>
          <w:trHeight w:val="284"/>
          <w:jc w:val="center"/>
        </w:trPr>
        <w:tc>
          <w:tcPr>
            <w:tcW w:w="352" w:type="pct"/>
            <w:tcBorders>
              <w:top w:val="single" w:sz="4" w:space="0" w:color="auto"/>
              <w:left w:val="single" w:sz="4" w:space="0" w:color="auto"/>
              <w:bottom w:val="single" w:sz="4" w:space="0" w:color="auto"/>
              <w:right w:val="single" w:sz="4" w:space="0" w:color="auto"/>
            </w:tcBorders>
            <w:vAlign w:val="center"/>
          </w:tcPr>
          <w:p w14:paraId="1275932F"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824" w:type="pct"/>
            <w:tcBorders>
              <w:top w:val="single" w:sz="4" w:space="0" w:color="auto"/>
              <w:left w:val="single" w:sz="4" w:space="0" w:color="auto"/>
              <w:bottom w:val="single" w:sz="4" w:space="0" w:color="auto"/>
              <w:right w:val="single" w:sz="4" w:space="0" w:color="auto"/>
            </w:tcBorders>
            <w:vAlign w:val="center"/>
          </w:tcPr>
          <w:p w14:paraId="439C2F5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项目名称</w:t>
            </w:r>
          </w:p>
        </w:tc>
        <w:tc>
          <w:tcPr>
            <w:tcW w:w="956" w:type="pct"/>
            <w:tcBorders>
              <w:top w:val="single" w:sz="4" w:space="0" w:color="auto"/>
              <w:left w:val="single" w:sz="4" w:space="0" w:color="auto"/>
              <w:bottom w:val="single" w:sz="4" w:space="0" w:color="auto"/>
              <w:right w:val="single" w:sz="4" w:space="0" w:color="auto"/>
            </w:tcBorders>
            <w:vAlign w:val="center"/>
          </w:tcPr>
          <w:p w14:paraId="59D1F2F4"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工程名称</w:t>
            </w:r>
          </w:p>
        </w:tc>
        <w:tc>
          <w:tcPr>
            <w:tcW w:w="1326" w:type="pct"/>
            <w:gridSpan w:val="2"/>
            <w:tcBorders>
              <w:top w:val="single" w:sz="4" w:space="0" w:color="auto"/>
              <w:left w:val="single" w:sz="4" w:space="0" w:color="auto"/>
              <w:bottom w:val="single" w:sz="4" w:space="0" w:color="auto"/>
              <w:right w:val="single" w:sz="4" w:space="0" w:color="auto"/>
            </w:tcBorders>
            <w:vAlign w:val="center"/>
          </w:tcPr>
          <w:p w14:paraId="66625141"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产品及副产</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规格</w:t>
            </w:r>
            <w:r>
              <w:rPr>
                <w:rFonts w:ascii="Times New Roman" w:eastAsia="宋体" w:hAnsi="Times New Roman" w:cs="Times New Roman"/>
                <w:b/>
                <w:bCs/>
                <w:kern w:val="0"/>
                <w:szCs w:val="21"/>
              </w:rPr>
              <w:t>)</w:t>
            </w:r>
          </w:p>
        </w:tc>
        <w:tc>
          <w:tcPr>
            <w:tcW w:w="956" w:type="pct"/>
            <w:tcBorders>
              <w:top w:val="single" w:sz="4" w:space="0" w:color="auto"/>
              <w:left w:val="single" w:sz="4" w:space="0" w:color="auto"/>
              <w:bottom w:val="single" w:sz="4" w:space="0" w:color="auto"/>
              <w:right w:val="single" w:sz="4" w:space="0" w:color="auto"/>
            </w:tcBorders>
            <w:vAlign w:val="center"/>
          </w:tcPr>
          <w:p w14:paraId="64D429EA"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生产能力</w:t>
            </w:r>
            <w:r>
              <w:rPr>
                <w:rFonts w:ascii="Times New Roman" w:eastAsia="宋体" w:hAnsi="Times New Roman" w:cs="Times New Roman"/>
                <w:b/>
                <w:bCs/>
                <w:kern w:val="0"/>
                <w:szCs w:val="21"/>
              </w:rPr>
              <w:t>(t/a)</w:t>
            </w:r>
          </w:p>
        </w:tc>
        <w:tc>
          <w:tcPr>
            <w:tcW w:w="586" w:type="pct"/>
            <w:tcBorders>
              <w:top w:val="single" w:sz="4" w:space="0" w:color="auto"/>
              <w:left w:val="single" w:sz="4" w:space="0" w:color="auto"/>
              <w:bottom w:val="single" w:sz="4" w:space="0" w:color="auto"/>
              <w:right w:val="single" w:sz="4" w:space="0" w:color="auto"/>
            </w:tcBorders>
            <w:vAlign w:val="center"/>
          </w:tcPr>
          <w:p w14:paraId="3A58E726"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运行时数</w:t>
            </w:r>
          </w:p>
        </w:tc>
      </w:tr>
      <w:tr w:rsidR="002133E3" w14:paraId="38347643" w14:textId="77777777">
        <w:trPr>
          <w:trHeight w:val="284"/>
          <w:jc w:val="center"/>
        </w:trPr>
        <w:tc>
          <w:tcPr>
            <w:tcW w:w="352" w:type="pct"/>
            <w:vMerge w:val="restart"/>
            <w:tcBorders>
              <w:left w:val="single" w:sz="4" w:space="0" w:color="auto"/>
              <w:right w:val="single" w:sz="4" w:space="0" w:color="auto"/>
            </w:tcBorders>
            <w:vAlign w:val="center"/>
          </w:tcPr>
          <w:p w14:paraId="7E74973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824" w:type="pct"/>
            <w:vMerge w:val="restart"/>
            <w:tcBorders>
              <w:left w:val="single" w:sz="4" w:space="0" w:color="auto"/>
              <w:right w:val="single" w:sz="4" w:space="0" w:color="auto"/>
            </w:tcBorders>
            <w:vAlign w:val="center"/>
          </w:tcPr>
          <w:p w14:paraId="59DB41E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年产</w:t>
            </w:r>
            <w:r>
              <w:rPr>
                <w:rFonts w:ascii="Times New Roman" w:eastAsia="宋体" w:hAnsi="Times New Roman" w:cs="Times New Roman"/>
                <w:kern w:val="0"/>
                <w:szCs w:val="21"/>
              </w:rPr>
              <w:t>20</w:t>
            </w:r>
            <w:r>
              <w:rPr>
                <w:rFonts w:ascii="Times New Roman" w:eastAsia="宋体" w:hAnsi="Times New Roman" w:cs="Times New Roman"/>
                <w:kern w:val="0"/>
                <w:szCs w:val="21"/>
              </w:rPr>
              <w:t>万吨醋酸乙</w:t>
            </w:r>
            <w:r>
              <w:rPr>
                <w:rFonts w:ascii="Times New Roman" w:eastAsia="宋体" w:hAnsi="Times New Roman" w:cs="Times New Roman"/>
                <w:kern w:val="0"/>
                <w:szCs w:val="21"/>
              </w:rPr>
              <w:t>(</w:t>
            </w:r>
            <w:r>
              <w:rPr>
                <w:rFonts w:ascii="Times New Roman" w:eastAsia="宋体" w:hAnsi="Times New Roman" w:cs="Times New Roman"/>
                <w:kern w:val="0"/>
                <w:szCs w:val="21"/>
              </w:rPr>
              <w:t>丁</w:t>
            </w:r>
            <w:r>
              <w:rPr>
                <w:rFonts w:ascii="Times New Roman" w:eastAsia="宋体" w:hAnsi="Times New Roman" w:cs="Times New Roman"/>
                <w:kern w:val="0"/>
                <w:szCs w:val="21"/>
              </w:rPr>
              <w:t>)</w:t>
            </w:r>
            <w:r>
              <w:rPr>
                <w:rFonts w:ascii="Times New Roman" w:eastAsia="宋体" w:hAnsi="Times New Roman" w:cs="Times New Roman"/>
                <w:kern w:val="0"/>
                <w:szCs w:val="21"/>
              </w:rPr>
              <w:t>酯等工程项目</w:t>
            </w:r>
          </w:p>
        </w:tc>
        <w:tc>
          <w:tcPr>
            <w:tcW w:w="956" w:type="pct"/>
            <w:vMerge w:val="restart"/>
            <w:tcBorders>
              <w:top w:val="single" w:sz="4" w:space="0" w:color="auto"/>
              <w:left w:val="single" w:sz="4" w:space="0" w:color="auto"/>
              <w:right w:val="single" w:sz="4" w:space="0" w:color="auto"/>
            </w:tcBorders>
            <w:vAlign w:val="center"/>
          </w:tcPr>
          <w:p w14:paraId="4B7BF1B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酒精生产线</w:t>
            </w:r>
          </w:p>
        </w:tc>
        <w:tc>
          <w:tcPr>
            <w:tcW w:w="1326" w:type="pct"/>
            <w:gridSpan w:val="2"/>
            <w:tcBorders>
              <w:top w:val="single" w:sz="4" w:space="0" w:color="auto"/>
              <w:left w:val="single" w:sz="4" w:space="0" w:color="auto"/>
              <w:bottom w:val="single" w:sz="4" w:space="0" w:color="auto"/>
              <w:right w:val="single" w:sz="4" w:space="0" w:color="auto"/>
            </w:tcBorders>
            <w:vAlign w:val="center"/>
          </w:tcPr>
          <w:p w14:paraId="6CF3E4A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r>
              <w:rPr>
                <w:rFonts w:ascii="Times New Roman" w:eastAsia="宋体" w:hAnsi="Times New Roman" w:cs="Times New Roman"/>
                <w:kern w:val="0"/>
                <w:szCs w:val="21"/>
              </w:rPr>
              <w:t>(≥95%,V/V)</w:t>
            </w:r>
          </w:p>
        </w:tc>
        <w:tc>
          <w:tcPr>
            <w:tcW w:w="956" w:type="pct"/>
            <w:tcBorders>
              <w:top w:val="single" w:sz="4" w:space="0" w:color="auto"/>
              <w:left w:val="single" w:sz="4" w:space="0" w:color="auto"/>
              <w:bottom w:val="single" w:sz="4" w:space="0" w:color="auto"/>
              <w:right w:val="single" w:sz="4" w:space="0" w:color="auto"/>
            </w:tcBorders>
            <w:vAlign w:val="center"/>
          </w:tcPr>
          <w:p w14:paraId="63987E5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86" w:type="pct"/>
            <w:vMerge w:val="restart"/>
            <w:tcBorders>
              <w:top w:val="single" w:sz="4" w:space="0" w:color="auto"/>
              <w:left w:val="single" w:sz="4" w:space="0" w:color="auto"/>
              <w:right w:val="single" w:sz="4" w:space="0" w:color="auto"/>
            </w:tcBorders>
            <w:vAlign w:val="center"/>
          </w:tcPr>
          <w:p w14:paraId="6C34949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r w:rsidR="002133E3" w14:paraId="7B9A2D2D" w14:textId="77777777">
        <w:trPr>
          <w:trHeight w:val="284"/>
          <w:jc w:val="center"/>
        </w:trPr>
        <w:tc>
          <w:tcPr>
            <w:tcW w:w="352" w:type="pct"/>
            <w:vMerge/>
            <w:tcBorders>
              <w:left w:val="single" w:sz="4" w:space="0" w:color="auto"/>
              <w:right w:val="single" w:sz="4" w:space="0" w:color="auto"/>
            </w:tcBorders>
            <w:vAlign w:val="center"/>
          </w:tcPr>
          <w:p w14:paraId="4FA9BE48" w14:textId="77777777" w:rsidR="002133E3" w:rsidRDefault="002133E3">
            <w:pPr>
              <w:snapToGrid w:val="0"/>
              <w:jc w:val="center"/>
              <w:rPr>
                <w:rFonts w:ascii="Times New Roman" w:eastAsia="宋体" w:hAnsi="Times New Roman" w:cs="Times New Roman"/>
                <w:kern w:val="0"/>
                <w:szCs w:val="21"/>
              </w:rPr>
            </w:pPr>
          </w:p>
        </w:tc>
        <w:tc>
          <w:tcPr>
            <w:tcW w:w="824" w:type="pct"/>
            <w:vMerge/>
            <w:tcBorders>
              <w:left w:val="single" w:sz="4" w:space="0" w:color="auto"/>
              <w:right w:val="single" w:sz="4" w:space="0" w:color="auto"/>
            </w:tcBorders>
            <w:vAlign w:val="center"/>
          </w:tcPr>
          <w:p w14:paraId="3DF5B71C" w14:textId="77777777" w:rsidR="002133E3" w:rsidRDefault="002133E3">
            <w:pPr>
              <w:widowControl/>
              <w:snapToGrid w:val="0"/>
              <w:jc w:val="center"/>
              <w:rPr>
                <w:rFonts w:ascii="Times New Roman" w:eastAsia="宋体" w:hAnsi="Times New Roman" w:cs="Times New Roman"/>
                <w:kern w:val="0"/>
                <w:szCs w:val="21"/>
              </w:rPr>
            </w:pPr>
          </w:p>
        </w:tc>
        <w:tc>
          <w:tcPr>
            <w:tcW w:w="956" w:type="pct"/>
            <w:vMerge/>
            <w:tcBorders>
              <w:left w:val="single" w:sz="4" w:space="0" w:color="auto"/>
              <w:right w:val="single" w:sz="4" w:space="0" w:color="auto"/>
            </w:tcBorders>
            <w:vAlign w:val="center"/>
          </w:tcPr>
          <w:p w14:paraId="167E76AE" w14:textId="77777777" w:rsidR="002133E3" w:rsidRDefault="002133E3">
            <w:pPr>
              <w:widowControl/>
              <w:snapToGrid w:val="0"/>
              <w:jc w:val="center"/>
              <w:rPr>
                <w:rFonts w:ascii="Times New Roman" w:eastAsia="宋体" w:hAnsi="Times New Roman" w:cs="Times New Roman"/>
                <w:kern w:val="0"/>
                <w:szCs w:val="21"/>
              </w:rPr>
            </w:pPr>
          </w:p>
        </w:tc>
        <w:tc>
          <w:tcPr>
            <w:tcW w:w="515" w:type="pct"/>
            <w:tcBorders>
              <w:top w:val="single" w:sz="4" w:space="0" w:color="auto"/>
              <w:left w:val="single" w:sz="4" w:space="0" w:color="auto"/>
              <w:right w:val="single" w:sz="4" w:space="0" w:color="auto"/>
            </w:tcBorders>
            <w:vAlign w:val="center"/>
          </w:tcPr>
          <w:p w14:paraId="0C9BABF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811" w:type="pct"/>
            <w:tcBorders>
              <w:top w:val="single" w:sz="4" w:space="0" w:color="auto"/>
              <w:left w:val="single" w:sz="4" w:space="0" w:color="auto"/>
              <w:bottom w:val="single" w:sz="4" w:space="0" w:color="auto"/>
              <w:right w:val="single" w:sz="4" w:space="0" w:color="auto"/>
            </w:tcBorders>
            <w:vAlign w:val="center"/>
          </w:tcPr>
          <w:p w14:paraId="4B20991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956" w:type="pct"/>
            <w:tcBorders>
              <w:top w:val="single" w:sz="4" w:space="0" w:color="auto"/>
              <w:left w:val="single" w:sz="4" w:space="0" w:color="auto"/>
              <w:bottom w:val="single" w:sz="4" w:space="0" w:color="auto"/>
              <w:right w:val="single" w:sz="4" w:space="0" w:color="auto"/>
            </w:tcBorders>
            <w:vAlign w:val="center"/>
          </w:tcPr>
          <w:p w14:paraId="3C9CEA7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c>
          <w:tcPr>
            <w:tcW w:w="586" w:type="pct"/>
            <w:vMerge/>
            <w:tcBorders>
              <w:left w:val="single" w:sz="4" w:space="0" w:color="auto"/>
              <w:right w:val="single" w:sz="4" w:space="0" w:color="auto"/>
            </w:tcBorders>
            <w:vAlign w:val="center"/>
          </w:tcPr>
          <w:p w14:paraId="6ADB56B4" w14:textId="77777777" w:rsidR="002133E3" w:rsidRDefault="002133E3">
            <w:pPr>
              <w:widowControl/>
              <w:snapToGrid w:val="0"/>
              <w:jc w:val="center"/>
              <w:rPr>
                <w:rFonts w:ascii="Times New Roman" w:eastAsia="宋体" w:hAnsi="Times New Roman" w:cs="Times New Roman"/>
                <w:kern w:val="0"/>
                <w:szCs w:val="21"/>
              </w:rPr>
            </w:pPr>
          </w:p>
        </w:tc>
      </w:tr>
      <w:tr w:rsidR="002133E3" w14:paraId="3FA20378" w14:textId="77777777">
        <w:trPr>
          <w:trHeight w:val="284"/>
          <w:jc w:val="center"/>
        </w:trPr>
        <w:tc>
          <w:tcPr>
            <w:tcW w:w="352" w:type="pct"/>
            <w:vMerge/>
            <w:tcBorders>
              <w:left w:val="single" w:sz="4" w:space="0" w:color="auto"/>
              <w:right w:val="single" w:sz="4" w:space="0" w:color="auto"/>
            </w:tcBorders>
            <w:vAlign w:val="center"/>
          </w:tcPr>
          <w:p w14:paraId="64C405DD" w14:textId="77777777" w:rsidR="002133E3" w:rsidRDefault="002133E3">
            <w:pPr>
              <w:widowControl/>
              <w:snapToGrid w:val="0"/>
              <w:jc w:val="center"/>
              <w:rPr>
                <w:rFonts w:ascii="Times New Roman" w:eastAsia="宋体" w:hAnsi="Times New Roman" w:cs="Times New Roman"/>
                <w:kern w:val="0"/>
                <w:szCs w:val="21"/>
              </w:rPr>
            </w:pPr>
          </w:p>
        </w:tc>
        <w:tc>
          <w:tcPr>
            <w:tcW w:w="824" w:type="pct"/>
            <w:vMerge/>
            <w:tcBorders>
              <w:left w:val="single" w:sz="4" w:space="0" w:color="auto"/>
              <w:right w:val="single" w:sz="4" w:space="0" w:color="auto"/>
            </w:tcBorders>
            <w:vAlign w:val="center"/>
          </w:tcPr>
          <w:p w14:paraId="4F21EC7D" w14:textId="77777777" w:rsidR="002133E3" w:rsidRDefault="002133E3">
            <w:pPr>
              <w:widowControl/>
              <w:snapToGrid w:val="0"/>
              <w:jc w:val="center"/>
              <w:rPr>
                <w:rFonts w:ascii="Times New Roman" w:eastAsia="宋体" w:hAnsi="Times New Roman" w:cs="Times New Roman"/>
                <w:kern w:val="0"/>
                <w:szCs w:val="21"/>
              </w:rPr>
            </w:pPr>
          </w:p>
        </w:tc>
        <w:tc>
          <w:tcPr>
            <w:tcW w:w="956" w:type="pct"/>
            <w:tcBorders>
              <w:top w:val="single" w:sz="4" w:space="0" w:color="auto"/>
              <w:left w:val="single" w:sz="4" w:space="0" w:color="auto"/>
              <w:bottom w:val="single" w:sz="4" w:space="0" w:color="auto"/>
              <w:right w:val="single" w:sz="4" w:space="0" w:color="auto"/>
            </w:tcBorders>
            <w:vAlign w:val="center"/>
          </w:tcPr>
          <w:p w14:paraId="637A6541" w14:textId="77777777" w:rsidR="002133E3" w:rsidRDefault="00C22CFA">
            <w:pPr>
              <w:widowControl/>
              <w:snapToGrid w:val="0"/>
              <w:jc w:val="center"/>
              <w:rPr>
                <w:rFonts w:ascii="Times New Roman" w:eastAsia="宋体" w:hAnsi="Times New Roman" w:cs="Times New Roman"/>
                <w:kern w:val="0"/>
                <w:szCs w:val="21"/>
              </w:rPr>
            </w:pPr>
            <w:bookmarkStart w:id="20" w:name="_Hlk65143206"/>
            <w:r>
              <w:rPr>
                <w:rFonts w:ascii="Times New Roman" w:eastAsia="宋体" w:hAnsi="Times New Roman" w:cs="Times New Roman"/>
                <w:kern w:val="0"/>
                <w:szCs w:val="21"/>
              </w:rPr>
              <w:t>醋酸乙酯</w:t>
            </w:r>
            <w:bookmarkEnd w:id="20"/>
            <w:r>
              <w:rPr>
                <w:rFonts w:ascii="Times New Roman" w:eastAsia="宋体" w:hAnsi="Times New Roman" w:cs="Times New Roman"/>
                <w:kern w:val="0"/>
                <w:szCs w:val="21"/>
              </w:rPr>
              <w:t>生产线</w:t>
            </w:r>
          </w:p>
        </w:tc>
        <w:tc>
          <w:tcPr>
            <w:tcW w:w="1326" w:type="pct"/>
            <w:gridSpan w:val="2"/>
            <w:tcBorders>
              <w:top w:val="single" w:sz="4" w:space="0" w:color="auto"/>
              <w:left w:val="single" w:sz="4" w:space="0" w:color="auto"/>
              <w:bottom w:val="single" w:sz="4" w:space="0" w:color="auto"/>
              <w:right w:val="single" w:sz="4" w:space="0" w:color="auto"/>
            </w:tcBorders>
            <w:vAlign w:val="center"/>
          </w:tcPr>
          <w:p w14:paraId="698B536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醋酸乙酯</w:t>
            </w:r>
            <w:r>
              <w:rPr>
                <w:rFonts w:ascii="Times New Roman" w:eastAsia="宋体" w:hAnsi="Times New Roman" w:cs="Times New Roman"/>
                <w:kern w:val="0"/>
                <w:szCs w:val="21"/>
              </w:rPr>
              <w:t>(≥99%)</w:t>
            </w:r>
          </w:p>
        </w:tc>
        <w:tc>
          <w:tcPr>
            <w:tcW w:w="956" w:type="pct"/>
            <w:tcBorders>
              <w:top w:val="single" w:sz="4" w:space="0" w:color="auto"/>
              <w:left w:val="single" w:sz="4" w:space="0" w:color="auto"/>
              <w:bottom w:val="single" w:sz="4" w:space="0" w:color="auto"/>
              <w:right w:val="single" w:sz="4" w:space="0" w:color="auto"/>
            </w:tcBorders>
            <w:vAlign w:val="center"/>
          </w:tcPr>
          <w:p w14:paraId="210B08E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r>
              <w:rPr>
                <w:rFonts w:ascii="Times New Roman" w:eastAsia="宋体" w:hAnsi="Times New Roman" w:cs="Times New Roman"/>
                <w:kern w:val="0"/>
                <w:szCs w:val="21"/>
              </w:rPr>
              <w:t>万</w:t>
            </w:r>
          </w:p>
        </w:tc>
        <w:tc>
          <w:tcPr>
            <w:tcW w:w="586" w:type="pct"/>
            <w:tcBorders>
              <w:top w:val="single" w:sz="4" w:space="0" w:color="auto"/>
              <w:left w:val="single" w:sz="4" w:space="0" w:color="auto"/>
              <w:bottom w:val="single" w:sz="4" w:space="0" w:color="auto"/>
              <w:right w:val="single" w:sz="4" w:space="0" w:color="auto"/>
            </w:tcBorders>
            <w:vAlign w:val="center"/>
          </w:tcPr>
          <w:p w14:paraId="3F6277F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r w:rsidR="002133E3" w14:paraId="053FB53F" w14:textId="77777777">
        <w:trPr>
          <w:trHeight w:val="284"/>
          <w:jc w:val="center"/>
        </w:trPr>
        <w:tc>
          <w:tcPr>
            <w:tcW w:w="352" w:type="pct"/>
            <w:vMerge/>
            <w:tcBorders>
              <w:left w:val="single" w:sz="4" w:space="0" w:color="auto"/>
              <w:bottom w:val="single" w:sz="4" w:space="0" w:color="auto"/>
              <w:right w:val="single" w:sz="4" w:space="0" w:color="auto"/>
            </w:tcBorders>
            <w:vAlign w:val="center"/>
          </w:tcPr>
          <w:p w14:paraId="456BF546" w14:textId="77777777" w:rsidR="002133E3" w:rsidRDefault="002133E3">
            <w:pPr>
              <w:widowControl/>
              <w:snapToGrid w:val="0"/>
              <w:jc w:val="center"/>
              <w:rPr>
                <w:rFonts w:ascii="Times New Roman" w:eastAsia="宋体" w:hAnsi="Times New Roman" w:cs="Times New Roman"/>
                <w:kern w:val="0"/>
                <w:szCs w:val="21"/>
              </w:rPr>
            </w:pPr>
          </w:p>
        </w:tc>
        <w:tc>
          <w:tcPr>
            <w:tcW w:w="824" w:type="pct"/>
            <w:vMerge/>
            <w:tcBorders>
              <w:left w:val="single" w:sz="4" w:space="0" w:color="auto"/>
              <w:bottom w:val="single" w:sz="4" w:space="0" w:color="auto"/>
              <w:right w:val="single" w:sz="4" w:space="0" w:color="auto"/>
            </w:tcBorders>
            <w:vAlign w:val="center"/>
          </w:tcPr>
          <w:p w14:paraId="59AD60BC" w14:textId="77777777" w:rsidR="002133E3" w:rsidRDefault="002133E3">
            <w:pPr>
              <w:widowControl/>
              <w:snapToGrid w:val="0"/>
              <w:jc w:val="center"/>
              <w:rPr>
                <w:rFonts w:ascii="Times New Roman" w:eastAsia="宋体" w:hAnsi="Times New Roman" w:cs="Times New Roman"/>
                <w:kern w:val="0"/>
                <w:szCs w:val="21"/>
              </w:rPr>
            </w:pPr>
          </w:p>
        </w:tc>
        <w:tc>
          <w:tcPr>
            <w:tcW w:w="956" w:type="pct"/>
            <w:tcBorders>
              <w:top w:val="single" w:sz="4" w:space="0" w:color="auto"/>
              <w:left w:val="single" w:sz="4" w:space="0" w:color="auto"/>
              <w:bottom w:val="single" w:sz="4" w:space="0" w:color="auto"/>
              <w:right w:val="single" w:sz="4" w:space="0" w:color="auto"/>
            </w:tcBorders>
            <w:vAlign w:val="center"/>
          </w:tcPr>
          <w:p w14:paraId="6B64F21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乙醛生产线</w:t>
            </w:r>
          </w:p>
        </w:tc>
        <w:tc>
          <w:tcPr>
            <w:tcW w:w="1326" w:type="pct"/>
            <w:gridSpan w:val="2"/>
            <w:tcBorders>
              <w:top w:val="single" w:sz="4" w:space="0" w:color="auto"/>
              <w:left w:val="single" w:sz="4" w:space="0" w:color="auto"/>
              <w:bottom w:val="single" w:sz="4" w:space="0" w:color="auto"/>
              <w:right w:val="single" w:sz="4" w:space="0" w:color="auto"/>
            </w:tcBorders>
            <w:vAlign w:val="center"/>
          </w:tcPr>
          <w:p w14:paraId="1AA989B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w:t>
            </w:r>
            <w:r>
              <w:rPr>
                <w:rFonts w:ascii="Times New Roman" w:eastAsia="宋体" w:hAnsi="Times New Roman" w:cs="Times New Roman"/>
                <w:kern w:val="0"/>
                <w:szCs w:val="21"/>
              </w:rPr>
              <w:t>(≥98%)</w:t>
            </w:r>
          </w:p>
        </w:tc>
        <w:tc>
          <w:tcPr>
            <w:tcW w:w="956" w:type="pct"/>
            <w:tcBorders>
              <w:top w:val="single" w:sz="4" w:space="0" w:color="auto"/>
              <w:left w:val="single" w:sz="4" w:space="0" w:color="auto"/>
              <w:bottom w:val="single" w:sz="4" w:space="0" w:color="auto"/>
              <w:right w:val="single" w:sz="4" w:space="0" w:color="auto"/>
            </w:tcBorders>
            <w:vAlign w:val="center"/>
          </w:tcPr>
          <w:p w14:paraId="7514440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86" w:type="pct"/>
            <w:tcBorders>
              <w:top w:val="single" w:sz="4" w:space="0" w:color="auto"/>
              <w:left w:val="single" w:sz="4" w:space="0" w:color="auto"/>
              <w:bottom w:val="single" w:sz="4" w:space="0" w:color="auto"/>
              <w:right w:val="single" w:sz="4" w:space="0" w:color="auto"/>
            </w:tcBorders>
            <w:vAlign w:val="center"/>
          </w:tcPr>
          <w:p w14:paraId="2581F27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r w:rsidR="002133E3" w14:paraId="0A9DD66F" w14:textId="77777777">
        <w:trPr>
          <w:trHeight w:val="284"/>
          <w:jc w:val="center"/>
        </w:trPr>
        <w:tc>
          <w:tcPr>
            <w:tcW w:w="352" w:type="pct"/>
            <w:vMerge w:val="restart"/>
            <w:tcBorders>
              <w:top w:val="single" w:sz="4" w:space="0" w:color="auto"/>
              <w:left w:val="single" w:sz="4" w:space="0" w:color="auto"/>
              <w:right w:val="single" w:sz="4" w:space="0" w:color="auto"/>
            </w:tcBorders>
            <w:vAlign w:val="center"/>
          </w:tcPr>
          <w:p w14:paraId="7818E895"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2</w:t>
            </w:r>
          </w:p>
        </w:tc>
        <w:tc>
          <w:tcPr>
            <w:tcW w:w="824" w:type="pct"/>
            <w:vMerge w:val="restart"/>
            <w:tcBorders>
              <w:left w:val="single" w:sz="4" w:space="0" w:color="auto"/>
              <w:right w:val="single" w:sz="4" w:space="0" w:color="auto"/>
            </w:tcBorders>
            <w:vAlign w:val="center"/>
          </w:tcPr>
          <w:p w14:paraId="6E9F8CE5"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年产</w:t>
            </w:r>
            <w:r>
              <w:rPr>
                <w:rFonts w:ascii="Times New Roman" w:eastAsia="宋体" w:hAnsi="Times New Roman" w:cs="Times New Roman"/>
                <w:kern w:val="0"/>
                <w:szCs w:val="21"/>
              </w:rPr>
              <w:t>6</w:t>
            </w:r>
            <w:r>
              <w:rPr>
                <w:rFonts w:ascii="Times New Roman" w:eastAsia="宋体" w:hAnsi="Times New Roman" w:cs="Times New Roman"/>
                <w:kern w:val="0"/>
                <w:szCs w:val="21"/>
              </w:rPr>
              <w:t>万吨发酵法混合物技改项目</w:t>
            </w:r>
          </w:p>
        </w:tc>
        <w:tc>
          <w:tcPr>
            <w:tcW w:w="956" w:type="pct"/>
            <w:vMerge w:val="restart"/>
            <w:tcBorders>
              <w:left w:val="single" w:sz="4" w:space="0" w:color="auto"/>
              <w:right w:val="single" w:sz="4" w:space="0" w:color="auto"/>
            </w:tcBorders>
            <w:vAlign w:val="center"/>
          </w:tcPr>
          <w:p w14:paraId="79ED1543"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发酵法混合物生产线</w:t>
            </w:r>
          </w:p>
        </w:tc>
        <w:tc>
          <w:tcPr>
            <w:tcW w:w="1326" w:type="pct"/>
            <w:gridSpan w:val="2"/>
            <w:tcBorders>
              <w:top w:val="single" w:sz="4" w:space="0" w:color="auto"/>
              <w:left w:val="single" w:sz="4" w:space="0" w:color="auto"/>
              <w:bottom w:val="single" w:sz="4" w:space="0" w:color="auto"/>
              <w:right w:val="single" w:sz="4" w:space="0" w:color="auto"/>
            </w:tcBorders>
            <w:vAlign w:val="center"/>
          </w:tcPr>
          <w:p w14:paraId="1755B715"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正丁醇</w:t>
            </w:r>
            <w:r>
              <w:rPr>
                <w:rFonts w:ascii="Times New Roman" w:eastAsia="宋体" w:hAnsi="Times New Roman" w:cs="Times New Roman"/>
                <w:kern w:val="0"/>
                <w:szCs w:val="21"/>
              </w:rPr>
              <w:t>(99%)</w:t>
            </w:r>
          </w:p>
        </w:tc>
        <w:tc>
          <w:tcPr>
            <w:tcW w:w="956" w:type="pct"/>
            <w:tcBorders>
              <w:top w:val="single" w:sz="4" w:space="0" w:color="auto"/>
              <w:left w:val="single" w:sz="4" w:space="0" w:color="auto"/>
              <w:bottom w:val="single" w:sz="4" w:space="0" w:color="auto"/>
              <w:right w:val="single" w:sz="4" w:space="0" w:color="auto"/>
            </w:tcBorders>
            <w:vAlign w:val="center"/>
          </w:tcPr>
          <w:p w14:paraId="4E5D7153"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3.6</w:t>
            </w:r>
            <w:r>
              <w:rPr>
                <w:rFonts w:ascii="Times New Roman" w:eastAsia="宋体" w:hAnsi="Times New Roman" w:cs="Times New Roman"/>
                <w:kern w:val="0"/>
                <w:szCs w:val="21"/>
              </w:rPr>
              <w:t>万</w:t>
            </w:r>
          </w:p>
        </w:tc>
        <w:tc>
          <w:tcPr>
            <w:tcW w:w="586" w:type="pct"/>
            <w:vMerge w:val="restart"/>
            <w:tcBorders>
              <w:left w:val="single" w:sz="4" w:space="0" w:color="auto"/>
              <w:right w:val="single" w:sz="4" w:space="0" w:color="auto"/>
            </w:tcBorders>
            <w:vAlign w:val="center"/>
          </w:tcPr>
          <w:p w14:paraId="71D16F0A"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7200</w:t>
            </w:r>
          </w:p>
        </w:tc>
      </w:tr>
      <w:tr w:rsidR="002133E3" w14:paraId="5811B03A" w14:textId="77777777">
        <w:trPr>
          <w:trHeight w:val="284"/>
          <w:jc w:val="center"/>
        </w:trPr>
        <w:tc>
          <w:tcPr>
            <w:tcW w:w="352" w:type="pct"/>
            <w:vMerge/>
            <w:tcBorders>
              <w:left w:val="single" w:sz="4" w:space="0" w:color="auto"/>
              <w:right w:val="single" w:sz="4" w:space="0" w:color="auto"/>
            </w:tcBorders>
            <w:vAlign w:val="center"/>
          </w:tcPr>
          <w:p w14:paraId="64382748"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824" w:type="pct"/>
            <w:vMerge/>
            <w:tcBorders>
              <w:left w:val="single" w:sz="4" w:space="0" w:color="auto"/>
              <w:right w:val="single" w:sz="4" w:space="0" w:color="auto"/>
            </w:tcBorders>
            <w:vAlign w:val="center"/>
          </w:tcPr>
          <w:p w14:paraId="5947CF85" w14:textId="77777777" w:rsidR="002133E3" w:rsidRDefault="002133E3">
            <w:pPr>
              <w:adjustRightInd w:val="0"/>
              <w:snapToGrid w:val="0"/>
              <w:jc w:val="center"/>
              <w:rPr>
                <w:rFonts w:ascii="Times New Roman" w:eastAsia="宋体" w:hAnsi="Times New Roman" w:cs="Times New Roman"/>
                <w:kern w:val="0"/>
                <w:szCs w:val="21"/>
              </w:rPr>
            </w:pPr>
          </w:p>
        </w:tc>
        <w:tc>
          <w:tcPr>
            <w:tcW w:w="956" w:type="pct"/>
            <w:vMerge/>
            <w:tcBorders>
              <w:left w:val="single" w:sz="4" w:space="0" w:color="auto"/>
              <w:right w:val="single" w:sz="4" w:space="0" w:color="auto"/>
            </w:tcBorders>
            <w:vAlign w:val="center"/>
          </w:tcPr>
          <w:p w14:paraId="32F0FD68" w14:textId="77777777" w:rsidR="002133E3" w:rsidRDefault="002133E3">
            <w:pPr>
              <w:adjustRightInd w:val="0"/>
              <w:snapToGrid w:val="0"/>
              <w:jc w:val="center"/>
              <w:rPr>
                <w:rFonts w:ascii="Times New Roman" w:eastAsia="宋体" w:hAnsi="Times New Roman" w:cs="Times New Roman"/>
                <w:kern w:val="0"/>
                <w:szCs w:val="21"/>
              </w:rPr>
            </w:pPr>
          </w:p>
        </w:tc>
        <w:tc>
          <w:tcPr>
            <w:tcW w:w="515" w:type="pct"/>
            <w:vMerge w:val="restart"/>
            <w:tcBorders>
              <w:top w:val="single" w:sz="4" w:space="0" w:color="auto"/>
              <w:left w:val="single" w:sz="4" w:space="0" w:color="auto"/>
              <w:right w:val="single" w:sz="4" w:space="0" w:color="auto"/>
            </w:tcBorders>
            <w:vAlign w:val="center"/>
          </w:tcPr>
          <w:p w14:paraId="62363B52"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811" w:type="pct"/>
            <w:tcBorders>
              <w:top w:val="single" w:sz="4" w:space="0" w:color="auto"/>
              <w:left w:val="single" w:sz="4" w:space="0" w:color="auto"/>
              <w:bottom w:val="single" w:sz="4" w:space="0" w:color="auto"/>
              <w:right w:val="single" w:sz="4" w:space="0" w:color="auto"/>
            </w:tcBorders>
            <w:vAlign w:val="center"/>
          </w:tcPr>
          <w:p w14:paraId="558EB000"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丙酮</w:t>
            </w:r>
            <w:r>
              <w:rPr>
                <w:rFonts w:ascii="Times New Roman" w:eastAsia="宋体" w:hAnsi="Times New Roman" w:cs="Times New Roman"/>
                <w:kern w:val="0"/>
                <w:szCs w:val="21"/>
              </w:rPr>
              <w:t>(99%)</w:t>
            </w:r>
          </w:p>
        </w:tc>
        <w:tc>
          <w:tcPr>
            <w:tcW w:w="956" w:type="pct"/>
            <w:tcBorders>
              <w:top w:val="single" w:sz="4" w:space="0" w:color="auto"/>
              <w:left w:val="single" w:sz="4" w:space="0" w:color="auto"/>
              <w:bottom w:val="single" w:sz="4" w:space="0" w:color="auto"/>
              <w:right w:val="single" w:sz="4" w:space="0" w:color="auto"/>
            </w:tcBorders>
            <w:vAlign w:val="center"/>
          </w:tcPr>
          <w:p w14:paraId="5E02C976"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1.8</w:t>
            </w:r>
            <w:r>
              <w:rPr>
                <w:rFonts w:ascii="Times New Roman" w:eastAsia="宋体" w:hAnsi="Times New Roman" w:cs="Times New Roman"/>
                <w:kern w:val="0"/>
                <w:szCs w:val="21"/>
              </w:rPr>
              <w:t>万</w:t>
            </w:r>
          </w:p>
        </w:tc>
        <w:tc>
          <w:tcPr>
            <w:tcW w:w="586" w:type="pct"/>
            <w:vMerge/>
            <w:tcBorders>
              <w:left w:val="single" w:sz="4" w:space="0" w:color="auto"/>
              <w:right w:val="single" w:sz="4" w:space="0" w:color="auto"/>
            </w:tcBorders>
            <w:vAlign w:val="center"/>
          </w:tcPr>
          <w:p w14:paraId="2BF7AF6D"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56066BFD" w14:textId="77777777">
        <w:trPr>
          <w:trHeight w:val="284"/>
          <w:jc w:val="center"/>
        </w:trPr>
        <w:tc>
          <w:tcPr>
            <w:tcW w:w="352" w:type="pct"/>
            <w:vMerge/>
            <w:tcBorders>
              <w:left w:val="single" w:sz="4" w:space="0" w:color="auto"/>
              <w:right w:val="single" w:sz="4" w:space="0" w:color="auto"/>
            </w:tcBorders>
            <w:vAlign w:val="center"/>
          </w:tcPr>
          <w:p w14:paraId="39A293C9"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824" w:type="pct"/>
            <w:vMerge/>
            <w:tcBorders>
              <w:left w:val="single" w:sz="4" w:space="0" w:color="auto"/>
              <w:right w:val="single" w:sz="4" w:space="0" w:color="auto"/>
            </w:tcBorders>
            <w:vAlign w:val="center"/>
          </w:tcPr>
          <w:p w14:paraId="2D0C6362" w14:textId="77777777" w:rsidR="002133E3" w:rsidRDefault="002133E3">
            <w:pPr>
              <w:adjustRightInd w:val="0"/>
              <w:snapToGrid w:val="0"/>
              <w:jc w:val="center"/>
              <w:rPr>
                <w:rFonts w:ascii="Times New Roman" w:eastAsia="宋体" w:hAnsi="Times New Roman" w:cs="Times New Roman"/>
                <w:kern w:val="0"/>
                <w:szCs w:val="21"/>
              </w:rPr>
            </w:pPr>
          </w:p>
        </w:tc>
        <w:tc>
          <w:tcPr>
            <w:tcW w:w="956" w:type="pct"/>
            <w:vMerge/>
            <w:tcBorders>
              <w:left w:val="single" w:sz="4" w:space="0" w:color="auto"/>
              <w:right w:val="single" w:sz="4" w:space="0" w:color="auto"/>
            </w:tcBorders>
            <w:vAlign w:val="center"/>
          </w:tcPr>
          <w:p w14:paraId="4F4D6684" w14:textId="77777777" w:rsidR="002133E3" w:rsidRDefault="002133E3">
            <w:pPr>
              <w:adjustRightInd w:val="0"/>
              <w:snapToGrid w:val="0"/>
              <w:jc w:val="center"/>
              <w:rPr>
                <w:rFonts w:ascii="Times New Roman" w:eastAsia="宋体" w:hAnsi="Times New Roman" w:cs="Times New Roman"/>
                <w:kern w:val="0"/>
                <w:szCs w:val="21"/>
              </w:rPr>
            </w:pPr>
          </w:p>
        </w:tc>
        <w:tc>
          <w:tcPr>
            <w:tcW w:w="515" w:type="pct"/>
            <w:vMerge/>
            <w:tcBorders>
              <w:left w:val="single" w:sz="4" w:space="0" w:color="auto"/>
              <w:right w:val="single" w:sz="4" w:space="0" w:color="auto"/>
            </w:tcBorders>
            <w:vAlign w:val="center"/>
          </w:tcPr>
          <w:p w14:paraId="6762AD78" w14:textId="77777777" w:rsidR="002133E3" w:rsidRDefault="002133E3">
            <w:pPr>
              <w:adjustRightInd w:val="0"/>
              <w:snapToGrid w:val="0"/>
              <w:jc w:val="center"/>
              <w:rPr>
                <w:rFonts w:ascii="Times New Roman" w:eastAsia="宋体" w:hAnsi="Times New Roman" w:cs="Times New Roman"/>
                <w:kern w:val="0"/>
                <w:szCs w:val="21"/>
              </w:rPr>
            </w:pPr>
          </w:p>
        </w:tc>
        <w:tc>
          <w:tcPr>
            <w:tcW w:w="811" w:type="pct"/>
            <w:tcBorders>
              <w:top w:val="single" w:sz="4" w:space="0" w:color="auto"/>
              <w:left w:val="single" w:sz="4" w:space="0" w:color="auto"/>
              <w:bottom w:val="single" w:sz="4" w:space="0" w:color="auto"/>
              <w:right w:val="single" w:sz="4" w:space="0" w:color="auto"/>
            </w:tcBorders>
            <w:vAlign w:val="center"/>
          </w:tcPr>
          <w:p w14:paraId="4FA5B46D"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r>
              <w:rPr>
                <w:rFonts w:ascii="Times New Roman" w:eastAsia="宋体" w:hAnsi="Times New Roman" w:cs="Times New Roman"/>
                <w:kern w:val="0"/>
                <w:szCs w:val="21"/>
              </w:rPr>
              <w:t>(95%)</w:t>
            </w:r>
          </w:p>
        </w:tc>
        <w:tc>
          <w:tcPr>
            <w:tcW w:w="956" w:type="pct"/>
            <w:tcBorders>
              <w:top w:val="single" w:sz="4" w:space="0" w:color="auto"/>
              <w:left w:val="single" w:sz="4" w:space="0" w:color="auto"/>
              <w:bottom w:val="single" w:sz="4" w:space="0" w:color="auto"/>
              <w:right w:val="single" w:sz="4" w:space="0" w:color="auto"/>
            </w:tcBorders>
            <w:vAlign w:val="center"/>
          </w:tcPr>
          <w:p w14:paraId="23079FA7"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w:t>
            </w:r>
            <w:r>
              <w:rPr>
                <w:rFonts w:ascii="Times New Roman" w:eastAsia="宋体" w:hAnsi="Times New Roman" w:cs="Times New Roman"/>
                <w:kern w:val="0"/>
                <w:szCs w:val="21"/>
              </w:rPr>
              <w:t>万</w:t>
            </w:r>
          </w:p>
        </w:tc>
        <w:tc>
          <w:tcPr>
            <w:tcW w:w="586" w:type="pct"/>
            <w:vMerge/>
            <w:tcBorders>
              <w:left w:val="single" w:sz="4" w:space="0" w:color="auto"/>
              <w:right w:val="single" w:sz="4" w:space="0" w:color="auto"/>
            </w:tcBorders>
            <w:vAlign w:val="center"/>
          </w:tcPr>
          <w:p w14:paraId="76848C47"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6A2A40AB" w14:textId="77777777">
        <w:trPr>
          <w:trHeight w:val="284"/>
          <w:jc w:val="center"/>
        </w:trPr>
        <w:tc>
          <w:tcPr>
            <w:tcW w:w="352" w:type="pct"/>
            <w:vMerge/>
            <w:tcBorders>
              <w:left w:val="single" w:sz="4" w:space="0" w:color="auto"/>
              <w:right w:val="single" w:sz="4" w:space="0" w:color="auto"/>
            </w:tcBorders>
            <w:vAlign w:val="center"/>
          </w:tcPr>
          <w:p w14:paraId="4F69ADD7"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824" w:type="pct"/>
            <w:vMerge/>
            <w:tcBorders>
              <w:left w:val="single" w:sz="4" w:space="0" w:color="auto"/>
              <w:right w:val="single" w:sz="4" w:space="0" w:color="auto"/>
            </w:tcBorders>
            <w:vAlign w:val="center"/>
          </w:tcPr>
          <w:p w14:paraId="243EDE49" w14:textId="77777777" w:rsidR="002133E3" w:rsidRDefault="002133E3">
            <w:pPr>
              <w:adjustRightInd w:val="0"/>
              <w:snapToGrid w:val="0"/>
              <w:jc w:val="center"/>
              <w:rPr>
                <w:rFonts w:ascii="Times New Roman" w:eastAsia="宋体" w:hAnsi="Times New Roman" w:cs="Times New Roman"/>
                <w:kern w:val="0"/>
                <w:szCs w:val="21"/>
              </w:rPr>
            </w:pPr>
          </w:p>
        </w:tc>
        <w:tc>
          <w:tcPr>
            <w:tcW w:w="956" w:type="pct"/>
            <w:vMerge/>
            <w:tcBorders>
              <w:left w:val="single" w:sz="4" w:space="0" w:color="auto"/>
              <w:right w:val="single" w:sz="4" w:space="0" w:color="auto"/>
            </w:tcBorders>
            <w:vAlign w:val="center"/>
          </w:tcPr>
          <w:p w14:paraId="1AE24D72" w14:textId="77777777" w:rsidR="002133E3" w:rsidRDefault="002133E3">
            <w:pPr>
              <w:adjustRightInd w:val="0"/>
              <w:snapToGrid w:val="0"/>
              <w:jc w:val="center"/>
              <w:rPr>
                <w:rFonts w:ascii="Times New Roman" w:eastAsia="宋体" w:hAnsi="Times New Roman" w:cs="Times New Roman"/>
                <w:kern w:val="0"/>
                <w:szCs w:val="21"/>
              </w:rPr>
            </w:pPr>
          </w:p>
        </w:tc>
        <w:tc>
          <w:tcPr>
            <w:tcW w:w="515" w:type="pct"/>
            <w:vMerge/>
            <w:tcBorders>
              <w:left w:val="single" w:sz="4" w:space="0" w:color="auto"/>
              <w:right w:val="single" w:sz="4" w:space="0" w:color="auto"/>
            </w:tcBorders>
            <w:vAlign w:val="center"/>
          </w:tcPr>
          <w:p w14:paraId="76C1C75B" w14:textId="77777777" w:rsidR="002133E3" w:rsidRDefault="002133E3">
            <w:pPr>
              <w:adjustRightInd w:val="0"/>
              <w:snapToGrid w:val="0"/>
              <w:jc w:val="center"/>
              <w:rPr>
                <w:rFonts w:ascii="Times New Roman" w:eastAsia="宋体" w:hAnsi="Times New Roman" w:cs="Times New Roman"/>
                <w:kern w:val="0"/>
                <w:szCs w:val="21"/>
              </w:rPr>
            </w:pPr>
          </w:p>
        </w:tc>
        <w:tc>
          <w:tcPr>
            <w:tcW w:w="811" w:type="pct"/>
            <w:tcBorders>
              <w:top w:val="single" w:sz="4" w:space="0" w:color="auto"/>
              <w:left w:val="single" w:sz="4" w:space="0" w:color="auto"/>
              <w:bottom w:val="single" w:sz="4" w:space="0" w:color="auto"/>
              <w:right w:val="single" w:sz="4" w:space="0" w:color="auto"/>
            </w:tcBorders>
            <w:vAlign w:val="center"/>
          </w:tcPr>
          <w:p w14:paraId="0309F010"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956" w:type="pct"/>
            <w:tcBorders>
              <w:top w:val="single" w:sz="4" w:space="0" w:color="auto"/>
              <w:left w:val="single" w:sz="4" w:space="0" w:color="auto"/>
              <w:bottom w:val="single" w:sz="4" w:space="0" w:color="auto"/>
              <w:right w:val="single" w:sz="4" w:space="0" w:color="auto"/>
            </w:tcBorders>
            <w:vAlign w:val="center"/>
          </w:tcPr>
          <w:p w14:paraId="2F4B4EFC"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c>
          <w:tcPr>
            <w:tcW w:w="586" w:type="pct"/>
            <w:vMerge/>
            <w:tcBorders>
              <w:left w:val="single" w:sz="4" w:space="0" w:color="auto"/>
              <w:right w:val="single" w:sz="4" w:space="0" w:color="auto"/>
            </w:tcBorders>
            <w:vAlign w:val="center"/>
          </w:tcPr>
          <w:p w14:paraId="7721E3BA" w14:textId="77777777" w:rsidR="002133E3" w:rsidRDefault="002133E3">
            <w:pPr>
              <w:adjustRightInd w:val="0"/>
              <w:snapToGrid w:val="0"/>
              <w:jc w:val="center"/>
              <w:rPr>
                <w:rFonts w:ascii="Times New Roman" w:eastAsia="宋体" w:hAnsi="Times New Roman" w:cs="Times New Roman"/>
                <w:kern w:val="0"/>
                <w:szCs w:val="21"/>
                <w:lang w:val="zh-CN"/>
              </w:rPr>
            </w:pPr>
          </w:p>
        </w:tc>
      </w:tr>
    </w:tbl>
    <w:p w14:paraId="71FFC1C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已建主要建构筑物情况</w:t>
      </w:r>
    </w:p>
    <w:p w14:paraId="7BB8D696"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厂区现有主要建、构筑物情况详见表</w:t>
      </w:r>
      <w:r>
        <w:rPr>
          <w:rFonts w:ascii="Times New Roman" w:eastAsia="宋体" w:hAnsi="Times New Roman" w:cs="Times New Roman"/>
          <w:sz w:val="28"/>
          <w:szCs w:val="24"/>
        </w:rPr>
        <w:t>3.2-2</w:t>
      </w:r>
      <w:r>
        <w:rPr>
          <w:rFonts w:ascii="Times New Roman" w:eastAsia="宋体" w:hAnsi="Times New Roman" w:cs="Times New Roman"/>
          <w:sz w:val="28"/>
          <w:szCs w:val="24"/>
        </w:rPr>
        <w:t>。</w:t>
      </w:r>
    </w:p>
    <w:p w14:paraId="7D0D31CC"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3.2-2 </w:t>
      </w:r>
      <w:r>
        <w:rPr>
          <w:rFonts w:ascii="Times New Roman" w:eastAsia="宋体" w:hAnsi="Times New Roman" w:cs="Times New Roman"/>
          <w:b/>
          <w:bCs/>
          <w:szCs w:val="21"/>
        </w:rPr>
        <w:t>厂区现有主要建筑物、构筑物工程一览表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467"/>
        <w:gridCol w:w="1799"/>
        <w:gridCol w:w="2988"/>
        <w:gridCol w:w="725"/>
        <w:gridCol w:w="1153"/>
      </w:tblGrid>
      <w:tr w:rsidR="002133E3" w14:paraId="4D91319B" w14:textId="77777777">
        <w:trPr>
          <w:trHeight w:val="284"/>
          <w:jc w:val="center"/>
        </w:trPr>
        <w:tc>
          <w:tcPr>
            <w:tcW w:w="366" w:type="pct"/>
            <w:vAlign w:val="center"/>
          </w:tcPr>
          <w:p w14:paraId="7E3C624E"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252" w:type="pct"/>
            <w:vAlign w:val="center"/>
          </w:tcPr>
          <w:p w14:paraId="6D944CA2"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建筑物、构筑物名称</w:t>
            </w:r>
          </w:p>
        </w:tc>
        <w:tc>
          <w:tcPr>
            <w:tcW w:w="913" w:type="pct"/>
            <w:vAlign w:val="center"/>
          </w:tcPr>
          <w:p w14:paraId="6D4CDE42"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占地面积</w:t>
            </w:r>
            <w:r>
              <w:rPr>
                <w:rFonts w:ascii="Times New Roman" w:eastAsia="宋体" w:hAnsi="Times New Roman" w:cs="Times New Roman"/>
                <w:b/>
                <w:kern w:val="0"/>
                <w:szCs w:val="21"/>
              </w:rPr>
              <w:t>(m</w:t>
            </w:r>
            <w:r>
              <w:rPr>
                <w:rFonts w:ascii="Times New Roman" w:eastAsia="宋体" w:hAnsi="Times New Roman" w:cs="Times New Roman"/>
                <w:b/>
                <w:kern w:val="0"/>
                <w:szCs w:val="21"/>
                <w:vertAlign w:val="superscript"/>
              </w:rPr>
              <w:t>2</w:t>
            </w:r>
            <w:r>
              <w:rPr>
                <w:rFonts w:ascii="Times New Roman" w:eastAsia="宋体" w:hAnsi="Times New Roman" w:cs="Times New Roman"/>
                <w:b/>
                <w:kern w:val="0"/>
                <w:szCs w:val="21"/>
              </w:rPr>
              <w:t>)</w:t>
            </w:r>
          </w:p>
        </w:tc>
        <w:tc>
          <w:tcPr>
            <w:tcW w:w="1516" w:type="pct"/>
            <w:vAlign w:val="center"/>
          </w:tcPr>
          <w:p w14:paraId="38F76A1C"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建筑物、构筑物面积</w:t>
            </w:r>
            <w:r>
              <w:rPr>
                <w:rFonts w:ascii="Times New Roman" w:eastAsia="宋体" w:hAnsi="Times New Roman" w:cs="Times New Roman"/>
                <w:b/>
                <w:kern w:val="0"/>
                <w:szCs w:val="21"/>
              </w:rPr>
              <w:t>(m</w:t>
            </w:r>
            <w:r>
              <w:rPr>
                <w:rFonts w:ascii="Times New Roman" w:eastAsia="宋体" w:hAnsi="Times New Roman" w:cs="Times New Roman"/>
                <w:b/>
                <w:kern w:val="0"/>
                <w:szCs w:val="21"/>
                <w:vertAlign w:val="superscript"/>
              </w:rPr>
              <w:t>2</w:t>
            </w:r>
            <w:r>
              <w:rPr>
                <w:rFonts w:ascii="Times New Roman" w:eastAsia="宋体" w:hAnsi="Times New Roman" w:cs="Times New Roman"/>
                <w:b/>
                <w:kern w:val="0"/>
                <w:szCs w:val="21"/>
              </w:rPr>
              <w:t>)</w:t>
            </w:r>
          </w:p>
        </w:tc>
        <w:tc>
          <w:tcPr>
            <w:tcW w:w="368" w:type="pct"/>
            <w:vAlign w:val="center"/>
          </w:tcPr>
          <w:p w14:paraId="06AE8FD0"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层数</w:t>
            </w:r>
          </w:p>
        </w:tc>
        <w:tc>
          <w:tcPr>
            <w:tcW w:w="585" w:type="pct"/>
            <w:vAlign w:val="center"/>
          </w:tcPr>
          <w:p w14:paraId="71CFD7A8"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结构形式</w:t>
            </w:r>
          </w:p>
        </w:tc>
      </w:tr>
      <w:tr w:rsidR="002133E3" w14:paraId="3808AFE9" w14:textId="77777777">
        <w:trPr>
          <w:trHeight w:val="284"/>
          <w:jc w:val="center"/>
        </w:trPr>
        <w:tc>
          <w:tcPr>
            <w:tcW w:w="366" w:type="pct"/>
            <w:vAlign w:val="center"/>
          </w:tcPr>
          <w:p w14:paraId="5628DE9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52" w:type="pct"/>
            <w:vAlign w:val="center"/>
          </w:tcPr>
          <w:p w14:paraId="78F084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木薯干仓库</w:t>
            </w:r>
          </w:p>
        </w:tc>
        <w:tc>
          <w:tcPr>
            <w:tcW w:w="913" w:type="pct"/>
            <w:vAlign w:val="center"/>
          </w:tcPr>
          <w:p w14:paraId="3E26516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49032</w:t>
            </w:r>
          </w:p>
        </w:tc>
        <w:tc>
          <w:tcPr>
            <w:tcW w:w="1516" w:type="pct"/>
            <w:vAlign w:val="center"/>
          </w:tcPr>
          <w:p w14:paraId="5F0EAA8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49032</w:t>
            </w:r>
          </w:p>
        </w:tc>
        <w:tc>
          <w:tcPr>
            <w:tcW w:w="368" w:type="pct"/>
            <w:vAlign w:val="center"/>
          </w:tcPr>
          <w:p w14:paraId="50B0AE0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2511D4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745801CC" w14:textId="77777777">
        <w:trPr>
          <w:trHeight w:val="284"/>
          <w:jc w:val="center"/>
        </w:trPr>
        <w:tc>
          <w:tcPr>
            <w:tcW w:w="366" w:type="pct"/>
            <w:vAlign w:val="center"/>
          </w:tcPr>
          <w:p w14:paraId="40513F8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252" w:type="pct"/>
            <w:vAlign w:val="center"/>
          </w:tcPr>
          <w:p w14:paraId="07FE2B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辅料仓库</w:t>
            </w:r>
          </w:p>
        </w:tc>
        <w:tc>
          <w:tcPr>
            <w:tcW w:w="913" w:type="pct"/>
            <w:vAlign w:val="center"/>
          </w:tcPr>
          <w:p w14:paraId="3CC86C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3200</w:t>
            </w:r>
          </w:p>
        </w:tc>
        <w:tc>
          <w:tcPr>
            <w:tcW w:w="1516" w:type="pct"/>
            <w:vAlign w:val="center"/>
          </w:tcPr>
          <w:p w14:paraId="6FEC90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3200</w:t>
            </w:r>
          </w:p>
        </w:tc>
        <w:tc>
          <w:tcPr>
            <w:tcW w:w="368" w:type="pct"/>
            <w:vAlign w:val="center"/>
          </w:tcPr>
          <w:p w14:paraId="616268D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175D60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3FEB6C7D" w14:textId="77777777">
        <w:trPr>
          <w:trHeight w:val="284"/>
          <w:jc w:val="center"/>
        </w:trPr>
        <w:tc>
          <w:tcPr>
            <w:tcW w:w="366" w:type="pct"/>
            <w:vAlign w:val="center"/>
          </w:tcPr>
          <w:p w14:paraId="6F49E11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252" w:type="pct"/>
            <w:vAlign w:val="center"/>
          </w:tcPr>
          <w:p w14:paraId="004C7A6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办公楼</w:t>
            </w:r>
          </w:p>
        </w:tc>
        <w:tc>
          <w:tcPr>
            <w:tcW w:w="913" w:type="pct"/>
            <w:vAlign w:val="center"/>
          </w:tcPr>
          <w:p w14:paraId="10FFCB6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840</w:t>
            </w:r>
          </w:p>
        </w:tc>
        <w:tc>
          <w:tcPr>
            <w:tcW w:w="1516" w:type="pct"/>
            <w:vAlign w:val="center"/>
          </w:tcPr>
          <w:p w14:paraId="402B2B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2520</w:t>
            </w:r>
          </w:p>
        </w:tc>
        <w:tc>
          <w:tcPr>
            <w:tcW w:w="368" w:type="pct"/>
            <w:vAlign w:val="center"/>
          </w:tcPr>
          <w:p w14:paraId="532CCF5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585" w:type="pct"/>
            <w:vAlign w:val="center"/>
          </w:tcPr>
          <w:p w14:paraId="791BF0A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258585B5" w14:textId="77777777">
        <w:trPr>
          <w:trHeight w:val="284"/>
          <w:jc w:val="center"/>
        </w:trPr>
        <w:tc>
          <w:tcPr>
            <w:tcW w:w="366" w:type="pct"/>
            <w:vAlign w:val="center"/>
          </w:tcPr>
          <w:p w14:paraId="45ADD82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252" w:type="pct"/>
            <w:vAlign w:val="center"/>
          </w:tcPr>
          <w:p w14:paraId="3949CA0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维修车间</w:t>
            </w:r>
          </w:p>
        </w:tc>
        <w:tc>
          <w:tcPr>
            <w:tcW w:w="913" w:type="pct"/>
            <w:vAlign w:val="center"/>
          </w:tcPr>
          <w:p w14:paraId="5ED826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2185</w:t>
            </w:r>
          </w:p>
        </w:tc>
        <w:tc>
          <w:tcPr>
            <w:tcW w:w="1516" w:type="pct"/>
            <w:vAlign w:val="center"/>
          </w:tcPr>
          <w:p w14:paraId="2539248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2185</w:t>
            </w:r>
          </w:p>
        </w:tc>
        <w:tc>
          <w:tcPr>
            <w:tcW w:w="368" w:type="pct"/>
            <w:vAlign w:val="center"/>
          </w:tcPr>
          <w:p w14:paraId="1C3A49E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0331B8A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4BF6B0A2" w14:textId="77777777">
        <w:trPr>
          <w:trHeight w:val="284"/>
          <w:jc w:val="center"/>
        </w:trPr>
        <w:tc>
          <w:tcPr>
            <w:tcW w:w="366" w:type="pct"/>
            <w:vAlign w:val="center"/>
          </w:tcPr>
          <w:p w14:paraId="0E673C9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252" w:type="pct"/>
            <w:vAlign w:val="center"/>
          </w:tcPr>
          <w:p w14:paraId="298C0A1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调度中心</w:t>
            </w:r>
          </w:p>
        </w:tc>
        <w:tc>
          <w:tcPr>
            <w:tcW w:w="913" w:type="pct"/>
            <w:vAlign w:val="center"/>
          </w:tcPr>
          <w:p w14:paraId="7C6B74F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660</w:t>
            </w:r>
          </w:p>
        </w:tc>
        <w:tc>
          <w:tcPr>
            <w:tcW w:w="1516" w:type="pct"/>
            <w:vAlign w:val="center"/>
          </w:tcPr>
          <w:p w14:paraId="4172D7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660</w:t>
            </w:r>
          </w:p>
        </w:tc>
        <w:tc>
          <w:tcPr>
            <w:tcW w:w="368" w:type="pct"/>
            <w:vAlign w:val="center"/>
          </w:tcPr>
          <w:p w14:paraId="6DB2390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69430A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6F61BD28" w14:textId="77777777">
        <w:trPr>
          <w:trHeight w:val="284"/>
          <w:jc w:val="center"/>
        </w:trPr>
        <w:tc>
          <w:tcPr>
            <w:tcW w:w="366" w:type="pct"/>
            <w:vAlign w:val="center"/>
          </w:tcPr>
          <w:p w14:paraId="51E312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252" w:type="pct"/>
            <w:vAlign w:val="center"/>
          </w:tcPr>
          <w:p w14:paraId="0F4645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配电室</w:t>
            </w:r>
          </w:p>
        </w:tc>
        <w:tc>
          <w:tcPr>
            <w:tcW w:w="913" w:type="pct"/>
            <w:vAlign w:val="center"/>
          </w:tcPr>
          <w:p w14:paraId="15D1D85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54</w:t>
            </w:r>
          </w:p>
        </w:tc>
        <w:tc>
          <w:tcPr>
            <w:tcW w:w="1516" w:type="pct"/>
            <w:vAlign w:val="center"/>
          </w:tcPr>
          <w:p w14:paraId="2E650B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54</w:t>
            </w:r>
          </w:p>
        </w:tc>
        <w:tc>
          <w:tcPr>
            <w:tcW w:w="368" w:type="pct"/>
            <w:vAlign w:val="center"/>
          </w:tcPr>
          <w:p w14:paraId="757F7FB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375267B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4158C0FC" w14:textId="77777777">
        <w:trPr>
          <w:trHeight w:val="284"/>
          <w:jc w:val="center"/>
        </w:trPr>
        <w:tc>
          <w:tcPr>
            <w:tcW w:w="366" w:type="pct"/>
            <w:vAlign w:val="center"/>
          </w:tcPr>
          <w:p w14:paraId="13A2940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252" w:type="pct"/>
            <w:vAlign w:val="center"/>
          </w:tcPr>
          <w:p w14:paraId="5F15AAF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消防泡沫室</w:t>
            </w:r>
          </w:p>
        </w:tc>
        <w:tc>
          <w:tcPr>
            <w:tcW w:w="913" w:type="pct"/>
            <w:vAlign w:val="center"/>
          </w:tcPr>
          <w:p w14:paraId="5D4D42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112</w:t>
            </w:r>
          </w:p>
        </w:tc>
        <w:tc>
          <w:tcPr>
            <w:tcW w:w="1516" w:type="pct"/>
            <w:vAlign w:val="center"/>
          </w:tcPr>
          <w:p w14:paraId="77F2FCF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112</w:t>
            </w:r>
          </w:p>
        </w:tc>
        <w:tc>
          <w:tcPr>
            <w:tcW w:w="368" w:type="pct"/>
            <w:vAlign w:val="center"/>
          </w:tcPr>
          <w:p w14:paraId="3FDEA12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5AD891A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0BEFF53F" w14:textId="77777777">
        <w:trPr>
          <w:trHeight w:val="284"/>
          <w:jc w:val="center"/>
        </w:trPr>
        <w:tc>
          <w:tcPr>
            <w:tcW w:w="366" w:type="pct"/>
            <w:vAlign w:val="center"/>
          </w:tcPr>
          <w:p w14:paraId="04F04D0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1252" w:type="pct"/>
            <w:vAlign w:val="center"/>
          </w:tcPr>
          <w:p w14:paraId="11C8CC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空压站</w:t>
            </w:r>
          </w:p>
        </w:tc>
        <w:tc>
          <w:tcPr>
            <w:tcW w:w="913" w:type="pct"/>
            <w:vAlign w:val="center"/>
          </w:tcPr>
          <w:p w14:paraId="5F66CA7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174</w:t>
            </w:r>
          </w:p>
        </w:tc>
        <w:tc>
          <w:tcPr>
            <w:tcW w:w="1516" w:type="pct"/>
            <w:vAlign w:val="center"/>
          </w:tcPr>
          <w:p w14:paraId="05711A5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174</w:t>
            </w:r>
          </w:p>
        </w:tc>
        <w:tc>
          <w:tcPr>
            <w:tcW w:w="368" w:type="pct"/>
            <w:vAlign w:val="center"/>
          </w:tcPr>
          <w:p w14:paraId="5F0BFB1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69AC24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1FD077FF" w14:textId="77777777">
        <w:trPr>
          <w:trHeight w:val="284"/>
          <w:jc w:val="center"/>
        </w:trPr>
        <w:tc>
          <w:tcPr>
            <w:tcW w:w="366" w:type="pct"/>
            <w:vAlign w:val="center"/>
          </w:tcPr>
          <w:p w14:paraId="0FA0224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1252" w:type="pct"/>
            <w:vAlign w:val="center"/>
          </w:tcPr>
          <w:p w14:paraId="0D5057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锅炉房</w:t>
            </w:r>
          </w:p>
        </w:tc>
        <w:tc>
          <w:tcPr>
            <w:tcW w:w="913" w:type="pct"/>
            <w:vAlign w:val="center"/>
          </w:tcPr>
          <w:p w14:paraId="5E43966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2436</w:t>
            </w:r>
          </w:p>
        </w:tc>
        <w:tc>
          <w:tcPr>
            <w:tcW w:w="1516" w:type="pct"/>
            <w:vAlign w:val="center"/>
          </w:tcPr>
          <w:p w14:paraId="61ECC61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2436</w:t>
            </w:r>
          </w:p>
        </w:tc>
        <w:tc>
          <w:tcPr>
            <w:tcW w:w="368" w:type="pct"/>
            <w:vAlign w:val="center"/>
          </w:tcPr>
          <w:p w14:paraId="5378BC7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59E420F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301C6DD4" w14:textId="77777777">
        <w:trPr>
          <w:trHeight w:val="284"/>
          <w:jc w:val="center"/>
        </w:trPr>
        <w:tc>
          <w:tcPr>
            <w:tcW w:w="366" w:type="pct"/>
            <w:vAlign w:val="center"/>
          </w:tcPr>
          <w:p w14:paraId="1B983F3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252" w:type="pct"/>
            <w:vAlign w:val="center"/>
          </w:tcPr>
          <w:p w14:paraId="3ABCEE3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发电机房</w:t>
            </w:r>
          </w:p>
        </w:tc>
        <w:tc>
          <w:tcPr>
            <w:tcW w:w="913" w:type="pct"/>
            <w:vAlign w:val="center"/>
          </w:tcPr>
          <w:p w14:paraId="7D0B0B9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5532</w:t>
            </w:r>
          </w:p>
        </w:tc>
        <w:tc>
          <w:tcPr>
            <w:tcW w:w="1516" w:type="pct"/>
            <w:vAlign w:val="center"/>
          </w:tcPr>
          <w:p w14:paraId="2BC8A3B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1344</w:t>
            </w:r>
          </w:p>
        </w:tc>
        <w:tc>
          <w:tcPr>
            <w:tcW w:w="368" w:type="pct"/>
            <w:vAlign w:val="center"/>
          </w:tcPr>
          <w:p w14:paraId="4B3E0AC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2630904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0497374B" w14:textId="77777777">
        <w:trPr>
          <w:trHeight w:val="284"/>
          <w:jc w:val="center"/>
        </w:trPr>
        <w:tc>
          <w:tcPr>
            <w:tcW w:w="366" w:type="pct"/>
            <w:vAlign w:val="center"/>
          </w:tcPr>
          <w:p w14:paraId="4DAE3D0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1252" w:type="pct"/>
            <w:vAlign w:val="center"/>
          </w:tcPr>
          <w:p w14:paraId="3067F54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地磅室</w:t>
            </w:r>
          </w:p>
        </w:tc>
        <w:tc>
          <w:tcPr>
            <w:tcW w:w="913" w:type="pct"/>
            <w:vAlign w:val="center"/>
          </w:tcPr>
          <w:p w14:paraId="1F3AA1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375</w:t>
            </w:r>
          </w:p>
        </w:tc>
        <w:tc>
          <w:tcPr>
            <w:tcW w:w="1516" w:type="pct"/>
            <w:vAlign w:val="center"/>
          </w:tcPr>
          <w:p w14:paraId="274A08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375</w:t>
            </w:r>
          </w:p>
        </w:tc>
        <w:tc>
          <w:tcPr>
            <w:tcW w:w="368" w:type="pct"/>
            <w:vAlign w:val="center"/>
          </w:tcPr>
          <w:p w14:paraId="5E4311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4E14874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692EEC72" w14:textId="77777777">
        <w:trPr>
          <w:trHeight w:val="284"/>
          <w:jc w:val="center"/>
        </w:trPr>
        <w:tc>
          <w:tcPr>
            <w:tcW w:w="366" w:type="pct"/>
            <w:vAlign w:val="center"/>
          </w:tcPr>
          <w:p w14:paraId="3830F31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1252" w:type="pct"/>
            <w:vAlign w:val="center"/>
          </w:tcPr>
          <w:p w14:paraId="48E99D3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门卫室</w:t>
            </w:r>
          </w:p>
        </w:tc>
        <w:tc>
          <w:tcPr>
            <w:tcW w:w="913" w:type="pct"/>
            <w:vAlign w:val="center"/>
          </w:tcPr>
          <w:p w14:paraId="4540BF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148</w:t>
            </w:r>
          </w:p>
        </w:tc>
        <w:tc>
          <w:tcPr>
            <w:tcW w:w="1516" w:type="pct"/>
            <w:vAlign w:val="center"/>
          </w:tcPr>
          <w:p w14:paraId="5FFC12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148</w:t>
            </w:r>
          </w:p>
        </w:tc>
        <w:tc>
          <w:tcPr>
            <w:tcW w:w="368" w:type="pct"/>
            <w:vAlign w:val="center"/>
          </w:tcPr>
          <w:p w14:paraId="644EA1E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5" w:type="pct"/>
            <w:vAlign w:val="center"/>
          </w:tcPr>
          <w:p w14:paraId="37A5A8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砖混</w:t>
            </w:r>
          </w:p>
        </w:tc>
      </w:tr>
      <w:tr w:rsidR="002133E3" w14:paraId="2FDE5371" w14:textId="77777777">
        <w:trPr>
          <w:trHeight w:val="284"/>
          <w:jc w:val="center"/>
        </w:trPr>
        <w:tc>
          <w:tcPr>
            <w:tcW w:w="366" w:type="pct"/>
            <w:vAlign w:val="center"/>
          </w:tcPr>
          <w:p w14:paraId="4831CD0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1252" w:type="pct"/>
            <w:vAlign w:val="center"/>
          </w:tcPr>
          <w:p w14:paraId="399413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酒精生产线</w:t>
            </w:r>
          </w:p>
        </w:tc>
        <w:tc>
          <w:tcPr>
            <w:tcW w:w="913" w:type="pct"/>
            <w:vAlign w:val="center"/>
          </w:tcPr>
          <w:p w14:paraId="00CE8C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29679</w:t>
            </w:r>
          </w:p>
        </w:tc>
        <w:tc>
          <w:tcPr>
            <w:tcW w:w="1516" w:type="pct"/>
            <w:vAlign w:val="center"/>
          </w:tcPr>
          <w:p w14:paraId="0EF4A7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5AC3B12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2071267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725399E" w14:textId="77777777">
        <w:trPr>
          <w:trHeight w:val="284"/>
          <w:jc w:val="center"/>
        </w:trPr>
        <w:tc>
          <w:tcPr>
            <w:tcW w:w="366" w:type="pct"/>
            <w:vAlign w:val="center"/>
          </w:tcPr>
          <w:p w14:paraId="7F33DB3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1252" w:type="pct"/>
            <w:vAlign w:val="center"/>
          </w:tcPr>
          <w:p w14:paraId="036D733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醋酸乙酯生产线</w:t>
            </w:r>
          </w:p>
        </w:tc>
        <w:tc>
          <w:tcPr>
            <w:tcW w:w="913" w:type="pct"/>
            <w:vAlign w:val="center"/>
          </w:tcPr>
          <w:p w14:paraId="18E9113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24124</w:t>
            </w:r>
          </w:p>
        </w:tc>
        <w:tc>
          <w:tcPr>
            <w:tcW w:w="1516" w:type="pct"/>
            <w:vAlign w:val="center"/>
          </w:tcPr>
          <w:p w14:paraId="404652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64E485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2DECF9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21600557" w14:textId="77777777">
        <w:trPr>
          <w:trHeight w:val="284"/>
          <w:jc w:val="center"/>
        </w:trPr>
        <w:tc>
          <w:tcPr>
            <w:tcW w:w="366" w:type="pct"/>
            <w:vAlign w:val="center"/>
          </w:tcPr>
          <w:p w14:paraId="6A204E2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1252" w:type="pct"/>
            <w:vAlign w:val="center"/>
          </w:tcPr>
          <w:p w14:paraId="7462C3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乙醛生产线</w:t>
            </w:r>
          </w:p>
        </w:tc>
        <w:tc>
          <w:tcPr>
            <w:tcW w:w="913" w:type="pct"/>
            <w:vAlign w:val="center"/>
          </w:tcPr>
          <w:p w14:paraId="0BE27D6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5005</w:t>
            </w:r>
          </w:p>
        </w:tc>
        <w:tc>
          <w:tcPr>
            <w:tcW w:w="1516" w:type="pct"/>
            <w:vAlign w:val="center"/>
          </w:tcPr>
          <w:p w14:paraId="0AF0C5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51C978D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392D7EA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59CBAD36" w14:textId="77777777">
        <w:trPr>
          <w:trHeight w:val="284"/>
          <w:jc w:val="center"/>
        </w:trPr>
        <w:tc>
          <w:tcPr>
            <w:tcW w:w="366" w:type="pct"/>
            <w:vAlign w:val="center"/>
          </w:tcPr>
          <w:p w14:paraId="7BB9911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16</w:t>
            </w:r>
          </w:p>
        </w:tc>
        <w:tc>
          <w:tcPr>
            <w:tcW w:w="1252" w:type="pct"/>
            <w:vAlign w:val="center"/>
          </w:tcPr>
          <w:p w14:paraId="18FF882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正丁醇</w:t>
            </w:r>
            <w:r>
              <w:rPr>
                <w:rFonts w:ascii="Times New Roman" w:eastAsia="宋体" w:hAnsi="Times New Roman" w:cs="Times New Roman"/>
                <w:szCs w:val="21"/>
              </w:rPr>
              <w:t>蒸煮楼</w:t>
            </w:r>
          </w:p>
        </w:tc>
        <w:tc>
          <w:tcPr>
            <w:tcW w:w="913" w:type="pct"/>
            <w:vAlign w:val="center"/>
          </w:tcPr>
          <w:p w14:paraId="1E16282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6000</w:t>
            </w:r>
          </w:p>
        </w:tc>
        <w:tc>
          <w:tcPr>
            <w:tcW w:w="1516" w:type="pct"/>
            <w:vAlign w:val="center"/>
          </w:tcPr>
          <w:p w14:paraId="530EB1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18000</w:t>
            </w:r>
          </w:p>
        </w:tc>
        <w:tc>
          <w:tcPr>
            <w:tcW w:w="368" w:type="pct"/>
            <w:vAlign w:val="center"/>
          </w:tcPr>
          <w:p w14:paraId="75CA3B6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w:t>
            </w:r>
          </w:p>
        </w:tc>
        <w:tc>
          <w:tcPr>
            <w:tcW w:w="585" w:type="pct"/>
            <w:vAlign w:val="center"/>
          </w:tcPr>
          <w:p w14:paraId="6A54FF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框架结构</w:t>
            </w:r>
          </w:p>
        </w:tc>
      </w:tr>
      <w:tr w:rsidR="002133E3" w14:paraId="4AC6D31E" w14:textId="77777777">
        <w:trPr>
          <w:trHeight w:val="284"/>
          <w:jc w:val="center"/>
        </w:trPr>
        <w:tc>
          <w:tcPr>
            <w:tcW w:w="366" w:type="pct"/>
            <w:vAlign w:val="center"/>
          </w:tcPr>
          <w:p w14:paraId="75C0DA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17</w:t>
            </w:r>
          </w:p>
        </w:tc>
        <w:tc>
          <w:tcPr>
            <w:tcW w:w="1252" w:type="pct"/>
            <w:vAlign w:val="center"/>
          </w:tcPr>
          <w:p w14:paraId="02993FD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正丁醇</w:t>
            </w:r>
            <w:r>
              <w:rPr>
                <w:rFonts w:ascii="Times New Roman" w:eastAsia="宋体" w:hAnsi="Times New Roman" w:cs="Times New Roman"/>
                <w:szCs w:val="21"/>
              </w:rPr>
              <w:t>蒸馏厂房</w:t>
            </w:r>
          </w:p>
        </w:tc>
        <w:tc>
          <w:tcPr>
            <w:tcW w:w="913" w:type="pct"/>
            <w:vAlign w:val="center"/>
          </w:tcPr>
          <w:p w14:paraId="4C3379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5000</w:t>
            </w:r>
          </w:p>
        </w:tc>
        <w:tc>
          <w:tcPr>
            <w:tcW w:w="1516" w:type="pct"/>
            <w:vAlign w:val="center"/>
          </w:tcPr>
          <w:p w14:paraId="6DD714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22000</w:t>
            </w:r>
          </w:p>
        </w:tc>
        <w:tc>
          <w:tcPr>
            <w:tcW w:w="368" w:type="pct"/>
            <w:vAlign w:val="center"/>
          </w:tcPr>
          <w:p w14:paraId="6F2D69E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4</w:t>
            </w:r>
          </w:p>
        </w:tc>
        <w:tc>
          <w:tcPr>
            <w:tcW w:w="585" w:type="pct"/>
            <w:vAlign w:val="center"/>
          </w:tcPr>
          <w:p w14:paraId="3C45547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框架结构</w:t>
            </w:r>
          </w:p>
        </w:tc>
      </w:tr>
      <w:tr w:rsidR="002133E3" w14:paraId="5BBFBFA2" w14:textId="77777777">
        <w:trPr>
          <w:trHeight w:val="284"/>
          <w:jc w:val="center"/>
        </w:trPr>
        <w:tc>
          <w:tcPr>
            <w:tcW w:w="366" w:type="pct"/>
            <w:vAlign w:val="center"/>
          </w:tcPr>
          <w:p w14:paraId="489DF6F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1252" w:type="pct"/>
            <w:vAlign w:val="center"/>
          </w:tcPr>
          <w:p w14:paraId="6F18767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正丁醇</w:t>
            </w:r>
            <w:r>
              <w:rPr>
                <w:rFonts w:ascii="Times New Roman" w:eastAsia="宋体" w:hAnsi="Times New Roman" w:cs="Times New Roman"/>
                <w:szCs w:val="21"/>
              </w:rPr>
              <w:t>发酵装置区</w:t>
            </w:r>
          </w:p>
        </w:tc>
        <w:tc>
          <w:tcPr>
            <w:tcW w:w="913" w:type="pct"/>
            <w:vAlign w:val="center"/>
          </w:tcPr>
          <w:p w14:paraId="18857C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13244</w:t>
            </w:r>
          </w:p>
        </w:tc>
        <w:tc>
          <w:tcPr>
            <w:tcW w:w="1516" w:type="pct"/>
            <w:vAlign w:val="center"/>
          </w:tcPr>
          <w:p w14:paraId="53F53A9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01D4B4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5829EEE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1F5E016E" w14:textId="77777777">
        <w:trPr>
          <w:trHeight w:val="284"/>
          <w:jc w:val="center"/>
        </w:trPr>
        <w:tc>
          <w:tcPr>
            <w:tcW w:w="366" w:type="pct"/>
            <w:vAlign w:val="center"/>
          </w:tcPr>
          <w:p w14:paraId="662789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19</w:t>
            </w:r>
          </w:p>
        </w:tc>
        <w:tc>
          <w:tcPr>
            <w:tcW w:w="1252" w:type="pct"/>
            <w:vAlign w:val="center"/>
          </w:tcPr>
          <w:p w14:paraId="15E2843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贮罐区</w:t>
            </w:r>
          </w:p>
        </w:tc>
        <w:tc>
          <w:tcPr>
            <w:tcW w:w="913" w:type="pct"/>
            <w:vAlign w:val="center"/>
          </w:tcPr>
          <w:p w14:paraId="2DF7F4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4150</w:t>
            </w:r>
          </w:p>
        </w:tc>
        <w:tc>
          <w:tcPr>
            <w:tcW w:w="1516" w:type="pct"/>
            <w:vAlign w:val="center"/>
          </w:tcPr>
          <w:p w14:paraId="1C7616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7958DC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611C8D1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0546E90F" w14:textId="77777777">
        <w:trPr>
          <w:trHeight w:val="284"/>
          <w:jc w:val="center"/>
        </w:trPr>
        <w:tc>
          <w:tcPr>
            <w:tcW w:w="366" w:type="pct"/>
            <w:vAlign w:val="center"/>
          </w:tcPr>
          <w:p w14:paraId="74698A69" w14:textId="77777777" w:rsidR="002133E3" w:rsidRDefault="00C22CFA">
            <w:pPr>
              <w:widowControl/>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20</w:t>
            </w:r>
          </w:p>
        </w:tc>
        <w:tc>
          <w:tcPr>
            <w:tcW w:w="1252" w:type="pct"/>
            <w:vAlign w:val="center"/>
          </w:tcPr>
          <w:p w14:paraId="0FEFD9DB" w14:textId="77777777" w:rsidR="002133E3" w:rsidRDefault="00C22CFA">
            <w:pPr>
              <w:widowControl/>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固废堆场</w:t>
            </w:r>
          </w:p>
        </w:tc>
        <w:tc>
          <w:tcPr>
            <w:tcW w:w="913" w:type="pct"/>
            <w:vAlign w:val="center"/>
          </w:tcPr>
          <w:p w14:paraId="7F8555D6" w14:textId="77777777" w:rsidR="002133E3" w:rsidRDefault="00C22CFA">
            <w:pPr>
              <w:widowControl/>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700</w:t>
            </w:r>
          </w:p>
        </w:tc>
        <w:tc>
          <w:tcPr>
            <w:tcW w:w="1516" w:type="pct"/>
            <w:vAlign w:val="center"/>
          </w:tcPr>
          <w:p w14:paraId="393AE42F" w14:textId="77777777" w:rsidR="002133E3" w:rsidRDefault="00C22CFA">
            <w:pPr>
              <w:widowControl/>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w:t>
            </w:r>
          </w:p>
        </w:tc>
        <w:tc>
          <w:tcPr>
            <w:tcW w:w="368" w:type="pct"/>
            <w:vAlign w:val="center"/>
          </w:tcPr>
          <w:p w14:paraId="2350B937" w14:textId="77777777" w:rsidR="002133E3" w:rsidRDefault="00C22CFA">
            <w:pPr>
              <w:widowControl/>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highlight w:val="yellow"/>
              </w:rPr>
              <w:t>-</w:t>
            </w:r>
          </w:p>
        </w:tc>
        <w:tc>
          <w:tcPr>
            <w:tcW w:w="585" w:type="pct"/>
            <w:vAlign w:val="center"/>
          </w:tcPr>
          <w:p w14:paraId="6ADE3A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highlight w:val="yellow"/>
              </w:rPr>
              <w:t>-</w:t>
            </w:r>
          </w:p>
        </w:tc>
      </w:tr>
      <w:tr w:rsidR="002133E3" w14:paraId="77AAF22A" w14:textId="77777777">
        <w:trPr>
          <w:trHeight w:val="284"/>
          <w:jc w:val="center"/>
        </w:trPr>
        <w:tc>
          <w:tcPr>
            <w:tcW w:w="366" w:type="pct"/>
            <w:vAlign w:val="center"/>
          </w:tcPr>
          <w:p w14:paraId="0C67A9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w:t>
            </w:r>
          </w:p>
        </w:tc>
        <w:tc>
          <w:tcPr>
            <w:tcW w:w="1252" w:type="pct"/>
            <w:vAlign w:val="center"/>
          </w:tcPr>
          <w:p w14:paraId="7FCE732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停车场</w:t>
            </w:r>
          </w:p>
        </w:tc>
        <w:tc>
          <w:tcPr>
            <w:tcW w:w="913" w:type="pct"/>
            <w:vAlign w:val="center"/>
          </w:tcPr>
          <w:p w14:paraId="2E2487E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2700</w:t>
            </w:r>
          </w:p>
        </w:tc>
        <w:tc>
          <w:tcPr>
            <w:tcW w:w="1516" w:type="pct"/>
            <w:vAlign w:val="center"/>
          </w:tcPr>
          <w:p w14:paraId="4A7F19D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090E196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7CF254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553BF8EF" w14:textId="77777777">
        <w:trPr>
          <w:trHeight w:val="284"/>
          <w:jc w:val="center"/>
        </w:trPr>
        <w:tc>
          <w:tcPr>
            <w:tcW w:w="366" w:type="pct"/>
            <w:vAlign w:val="center"/>
          </w:tcPr>
          <w:p w14:paraId="741924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22</w:t>
            </w:r>
          </w:p>
        </w:tc>
        <w:tc>
          <w:tcPr>
            <w:tcW w:w="1252" w:type="pct"/>
            <w:vAlign w:val="center"/>
          </w:tcPr>
          <w:p w14:paraId="03AC5E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污水处理站</w:t>
            </w:r>
          </w:p>
        </w:tc>
        <w:tc>
          <w:tcPr>
            <w:tcW w:w="913" w:type="pct"/>
            <w:vAlign w:val="center"/>
          </w:tcPr>
          <w:p w14:paraId="06A1848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88300</w:t>
            </w:r>
          </w:p>
        </w:tc>
        <w:tc>
          <w:tcPr>
            <w:tcW w:w="1516" w:type="pct"/>
            <w:vAlign w:val="center"/>
          </w:tcPr>
          <w:p w14:paraId="7D65D40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468512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7A34C37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2E9E3CF1" w14:textId="77777777">
        <w:trPr>
          <w:trHeight w:val="284"/>
          <w:jc w:val="center"/>
        </w:trPr>
        <w:tc>
          <w:tcPr>
            <w:tcW w:w="366" w:type="pct"/>
            <w:vAlign w:val="center"/>
          </w:tcPr>
          <w:p w14:paraId="78C9CBF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23</w:t>
            </w:r>
          </w:p>
        </w:tc>
        <w:tc>
          <w:tcPr>
            <w:tcW w:w="1252" w:type="pct"/>
            <w:vAlign w:val="center"/>
          </w:tcPr>
          <w:p w14:paraId="70A235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消防水池</w:t>
            </w:r>
          </w:p>
        </w:tc>
        <w:tc>
          <w:tcPr>
            <w:tcW w:w="913" w:type="pct"/>
            <w:vAlign w:val="center"/>
          </w:tcPr>
          <w:p w14:paraId="19E730F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44</w:t>
            </w:r>
          </w:p>
        </w:tc>
        <w:tc>
          <w:tcPr>
            <w:tcW w:w="1516" w:type="pct"/>
            <w:vAlign w:val="center"/>
          </w:tcPr>
          <w:p w14:paraId="554D71E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1716A6E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5B0D77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25479BEB" w14:textId="77777777">
        <w:trPr>
          <w:trHeight w:val="284"/>
          <w:jc w:val="center"/>
        </w:trPr>
        <w:tc>
          <w:tcPr>
            <w:tcW w:w="366" w:type="pct"/>
            <w:vAlign w:val="center"/>
          </w:tcPr>
          <w:p w14:paraId="0794BB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w:t>
            </w:r>
          </w:p>
        </w:tc>
        <w:tc>
          <w:tcPr>
            <w:tcW w:w="1252" w:type="pct"/>
            <w:vAlign w:val="center"/>
          </w:tcPr>
          <w:p w14:paraId="6FD6B37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绿化</w:t>
            </w:r>
          </w:p>
        </w:tc>
        <w:tc>
          <w:tcPr>
            <w:tcW w:w="913" w:type="pct"/>
            <w:vAlign w:val="center"/>
          </w:tcPr>
          <w:p w14:paraId="1AB076A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120779</w:t>
            </w:r>
          </w:p>
        </w:tc>
        <w:tc>
          <w:tcPr>
            <w:tcW w:w="1516" w:type="pct"/>
            <w:vAlign w:val="center"/>
          </w:tcPr>
          <w:p w14:paraId="7EC415E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4389B5E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15136CF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1E0E8C57" w14:textId="77777777">
        <w:trPr>
          <w:trHeight w:val="284"/>
          <w:jc w:val="center"/>
        </w:trPr>
        <w:tc>
          <w:tcPr>
            <w:tcW w:w="366" w:type="pct"/>
            <w:vAlign w:val="center"/>
          </w:tcPr>
          <w:p w14:paraId="4735409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1252" w:type="pct"/>
            <w:vAlign w:val="center"/>
          </w:tcPr>
          <w:p w14:paraId="60FBBF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道路及其它</w:t>
            </w:r>
          </w:p>
        </w:tc>
        <w:tc>
          <w:tcPr>
            <w:tcW w:w="913" w:type="pct"/>
            <w:vAlign w:val="center"/>
          </w:tcPr>
          <w:p w14:paraId="34FC67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67900</w:t>
            </w:r>
          </w:p>
        </w:tc>
        <w:tc>
          <w:tcPr>
            <w:tcW w:w="1516" w:type="pct"/>
            <w:vAlign w:val="center"/>
          </w:tcPr>
          <w:p w14:paraId="521817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013A8F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3E8F647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469D4EA4" w14:textId="77777777">
        <w:trPr>
          <w:trHeight w:val="284"/>
          <w:jc w:val="center"/>
        </w:trPr>
        <w:tc>
          <w:tcPr>
            <w:tcW w:w="366" w:type="pct"/>
            <w:vAlign w:val="center"/>
          </w:tcPr>
          <w:p w14:paraId="2F2AB9C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26</w:t>
            </w:r>
          </w:p>
        </w:tc>
        <w:tc>
          <w:tcPr>
            <w:tcW w:w="1252" w:type="pct"/>
            <w:vAlign w:val="center"/>
          </w:tcPr>
          <w:p w14:paraId="1524D3E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预留用地</w:t>
            </w:r>
          </w:p>
        </w:tc>
        <w:tc>
          <w:tcPr>
            <w:tcW w:w="913" w:type="pct"/>
            <w:vAlign w:val="center"/>
          </w:tcPr>
          <w:p w14:paraId="40E297B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963847</w:t>
            </w:r>
          </w:p>
        </w:tc>
        <w:tc>
          <w:tcPr>
            <w:tcW w:w="1516" w:type="pct"/>
            <w:vAlign w:val="center"/>
          </w:tcPr>
          <w:p w14:paraId="4FE239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8" w:type="pct"/>
            <w:vAlign w:val="center"/>
          </w:tcPr>
          <w:p w14:paraId="34C188B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5" w:type="pct"/>
            <w:vAlign w:val="center"/>
          </w:tcPr>
          <w:p w14:paraId="7FA70CA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BE57939" w14:textId="77777777">
        <w:trPr>
          <w:trHeight w:val="284"/>
          <w:jc w:val="center"/>
        </w:trPr>
        <w:tc>
          <w:tcPr>
            <w:tcW w:w="1618" w:type="pct"/>
            <w:gridSpan w:val="2"/>
            <w:vAlign w:val="center"/>
          </w:tcPr>
          <w:p w14:paraId="1BDEB9AE"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合计</w:t>
            </w:r>
          </w:p>
        </w:tc>
        <w:tc>
          <w:tcPr>
            <w:tcW w:w="913" w:type="pct"/>
            <w:vAlign w:val="center"/>
          </w:tcPr>
          <w:p w14:paraId="4A86025B"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bCs/>
                <w:color w:val="000000"/>
                <w:szCs w:val="21"/>
              </w:rPr>
              <w:t>1396220</w:t>
            </w:r>
          </w:p>
        </w:tc>
        <w:tc>
          <w:tcPr>
            <w:tcW w:w="1516" w:type="pct"/>
            <w:vAlign w:val="center"/>
          </w:tcPr>
          <w:p w14:paraId="1215351A"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bCs/>
                <w:color w:val="000000"/>
                <w:szCs w:val="21"/>
              </w:rPr>
              <w:t>102240</w:t>
            </w:r>
          </w:p>
        </w:tc>
        <w:tc>
          <w:tcPr>
            <w:tcW w:w="368" w:type="pct"/>
            <w:vAlign w:val="center"/>
          </w:tcPr>
          <w:p w14:paraId="52A2EA54" w14:textId="77777777" w:rsidR="002133E3" w:rsidRDefault="002133E3">
            <w:pPr>
              <w:widowControl/>
              <w:jc w:val="center"/>
              <w:rPr>
                <w:rFonts w:ascii="Times New Roman" w:eastAsia="宋体" w:hAnsi="Times New Roman" w:cs="Times New Roman"/>
                <w:b/>
                <w:kern w:val="0"/>
                <w:szCs w:val="21"/>
              </w:rPr>
            </w:pPr>
          </w:p>
        </w:tc>
        <w:tc>
          <w:tcPr>
            <w:tcW w:w="585" w:type="pct"/>
            <w:vAlign w:val="center"/>
          </w:tcPr>
          <w:p w14:paraId="4F048815" w14:textId="77777777" w:rsidR="002133E3" w:rsidRDefault="002133E3">
            <w:pPr>
              <w:widowControl/>
              <w:jc w:val="center"/>
              <w:rPr>
                <w:rFonts w:ascii="Times New Roman" w:eastAsia="宋体" w:hAnsi="Times New Roman" w:cs="Times New Roman"/>
                <w:b/>
                <w:kern w:val="0"/>
                <w:szCs w:val="21"/>
              </w:rPr>
            </w:pPr>
          </w:p>
        </w:tc>
      </w:tr>
    </w:tbl>
    <w:p w14:paraId="2D68799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已建项目生产工艺</w:t>
      </w:r>
    </w:p>
    <w:p w14:paraId="1C0E6A4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酒精生产线</w:t>
      </w:r>
    </w:p>
    <w:p w14:paraId="700F20DE" w14:textId="77777777" w:rsidR="002133E3" w:rsidRDefault="00C22CFA">
      <w:pPr>
        <w:spacing w:line="52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⑴</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工艺原理</w:t>
      </w:r>
    </w:p>
    <w:p w14:paraId="0F6CDC03"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采用液体发酵法生产酒精，利用木薯淀粉作原料，经过微生物发酵转化为糖；再由糖转化为酒精。在转化过程中发生一系列极其复杂的生化反应，原料中的可溶性淀粉在糖化酶的作用下，首先被转化为可发酵的糖，再在酒化酶作用下，将糖水解成酒精并放出</w:t>
      </w:r>
      <w:r>
        <w:rPr>
          <w:rFonts w:ascii="Times New Roman" w:eastAsia="宋体" w:hAnsi="Times New Roman" w:cs="Times New Roman"/>
          <w:spacing w:val="-9"/>
          <w:sz w:val="28"/>
          <w:szCs w:val="28"/>
        </w:rPr>
        <w:t>CO</w:t>
      </w:r>
      <w:r>
        <w:rPr>
          <w:rFonts w:ascii="Times New Roman" w:eastAsia="宋体" w:hAnsi="Times New Roman" w:cs="Times New Roman"/>
          <w:spacing w:val="-9"/>
          <w:sz w:val="28"/>
          <w:szCs w:val="28"/>
          <w:vertAlign w:val="subscript"/>
        </w:rPr>
        <w:t>2</w:t>
      </w:r>
      <w:r>
        <w:rPr>
          <w:rFonts w:ascii="Times New Roman" w:eastAsia="宋体" w:hAnsi="Times New Roman" w:cs="Times New Roman"/>
          <w:spacing w:val="-9"/>
          <w:sz w:val="28"/>
          <w:szCs w:val="28"/>
        </w:rPr>
        <w:t>，发酵工序产生的粗酒精经粗馏塔、精馏塔蒸汽蒸馏后，冷凝形成</w:t>
      </w:r>
      <w:r>
        <w:rPr>
          <w:rFonts w:ascii="Times New Roman" w:eastAsia="宋体" w:hAnsi="Times New Roman" w:cs="Times New Roman"/>
          <w:spacing w:val="-9"/>
          <w:sz w:val="28"/>
          <w:szCs w:val="28"/>
        </w:rPr>
        <w:t>95%(V/V)</w:t>
      </w:r>
      <w:r>
        <w:rPr>
          <w:rFonts w:ascii="Times New Roman" w:eastAsia="宋体" w:hAnsi="Times New Roman" w:cs="Times New Roman"/>
          <w:spacing w:val="-9"/>
          <w:sz w:val="28"/>
          <w:szCs w:val="28"/>
        </w:rPr>
        <w:t>的成品酒精。</w:t>
      </w:r>
    </w:p>
    <w:p w14:paraId="5E412033" w14:textId="77777777" w:rsidR="002133E3" w:rsidRDefault="00C22CFA">
      <w:pPr>
        <w:spacing w:line="52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⑵</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化学反应式</w:t>
      </w:r>
    </w:p>
    <w:p w14:paraId="037D3ED0" w14:textId="77777777" w:rsidR="002133E3" w:rsidRDefault="00C22CFA">
      <w:pPr>
        <w:spacing w:line="520" w:lineRule="exact"/>
        <w:ind w:firstLineChars="196" w:firstLine="549"/>
        <w:rPr>
          <w:rFonts w:ascii="Times New Roman" w:eastAsia="宋体" w:hAnsi="Times New Roman" w:cs="Times New Roman"/>
          <w:sz w:val="28"/>
          <w:szCs w:val="28"/>
        </w:rPr>
      </w:pPr>
      <w:r>
        <w:rPr>
          <w:rFonts w:ascii="宋体" w:eastAsia="宋体" w:hAnsi="宋体" w:cs="宋体" w:hint="eastAsia"/>
          <w:sz w:val="28"/>
          <w:szCs w:val="28"/>
        </w:rPr>
        <w:t>①</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糖化</w:t>
      </w:r>
    </w:p>
    <w:p w14:paraId="76DF75D2" w14:textId="77777777" w:rsidR="002133E3" w:rsidRDefault="00C22CFA">
      <w:pPr>
        <w:spacing w:afterLines="50" w:after="156"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38272" behindDoc="0" locked="0" layoutInCell="1" allowOverlap="1" wp14:anchorId="039067C2" wp14:editId="55E929E8">
                <wp:simplePos x="0" y="0"/>
                <wp:positionH relativeFrom="margin">
                  <wp:align>center</wp:align>
                </wp:positionH>
                <wp:positionV relativeFrom="paragraph">
                  <wp:posOffset>19685</wp:posOffset>
                </wp:positionV>
                <wp:extent cx="571500" cy="198120"/>
                <wp:effectExtent l="0" t="0" r="19050" b="11430"/>
                <wp:wrapNone/>
                <wp:docPr id="18" name="文本框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98120"/>
                        </a:xfrm>
                        <a:prstGeom prst="rect">
                          <a:avLst/>
                        </a:prstGeom>
                        <a:solidFill>
                          <a:srgbClr val="FFFFFF"/>
                        </a:solidFill>
                        <a:ln w="9525" cmpd="sng">
                          <a:solidFill>
                            <a:srgbClr val="FFFFFF"/>
                          </a:solidFill>
                          <a:miter lim="800000"/>
                        </a:ln>
                      </wps:spPr>
                      <wps:txbx>
                        <w:txbxContent>
                          <w:p w14:paraId="5183F208" w14:textId="77777777" w:rsidR="00F553A8" w:rsidRDefault="00F553A8">
                            <w:r>
                              <w:rPr>
                                <w:rFonts w:hint="eastAsia"/>
                              </w:rPr>
                              <w:t>加热水解</w:t>
                            </w:r>
                          </w:p>
                        </w:txbxContent>
                      </wps:txbx>
                      <wps:bodyPr rot="0" vert="horz" wrap="square" lIns="0" tIns="0" rIns="0" bIns="0" anchor="t" anchorCtr="0" upright="1">
                        <a:noAutofit/>
                      </wps:bodyPr>
                    </wps:wsp>
                  </a:graphicData>
                </a:graphic>
              </wp:anchor>
            </w:drawing>
          </mc:Choice>
          <mc:Fallback>
            <w:pict>
              <v:shapetype w14:anchorId="039067C2" id="_x0000_t202" coordsize="21600,21600" o:spt="202" path="m,l,21600r21600,l21600,xe">
                <v:stroke joinstyle="miter"/>
                <v:path gradientshapeok="t" o:connecttype="rect"/>
              </v:shapetype>
              <v:shape id="文本框 18" o:spid="_x0000_s1029" type="#_x0000_t202" style="position:absolute;left:0;text-align:left;margin-left:0;margin-top:1.55pt;width:45pt;height:15.6pt;z-index:251638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" strokecolor="white">
                <v:textbox inset="0,0,0,0">
                  <w:txbxContent>
                    <w:p w14:paraId="5183F208" w14:textId="77777777" w:rsidR="00F553A8" w:rsidRDefault="00F553A8">
                      <w:r>
                        <w:rPr>
                          <w:rFonts w:hint="eastAsia"/>
                        </w:rPr>
                        <w:t>加热水解</w:t>
                      </w:r>
                    </w:p>
                  </w:txbxContent>
                </v:textbox>
                <w10:wrap anchorx="margin"/>
              </v:shap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39296" behindDoc="0" locked="0" layoutInCell="1" allowOverlap="1" wp14:anchorId="6CF99E77" wp14:editId="3F413EBB">
                <wp:simplePos x="0" y="0"/>
                <wp:positionH relativeFrom="column">
                  <wp:posOffset>2619375</wp:posOffset>
                </wp:positionH>
                <wp:positionV relativeFrom="paragraph">
                  <wp:posOffset>215265</wp:posOffset>
                </wp:positionV>
                <wp:extent cx="800100" cy="0"/>
                <wp:effectExtent l="9525" t="45720" r="19050" b="40005"/>
                <wp:wrapNone/>
                <wp:docPr id="17" name="直接连接符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cmpd="sng">
                          <a:solidFill>
                            <a:srgbClr val="000000"/>
                          </a:solidFill>
                          <a:round/>
                          <a:tailEnd type="triangle" w="sm" len="med"/>
                        </a:ln>
                      </wps:spPr>
                      <wps:bodyPr/>
                    </wps:wsp>
                  </a:graphicData>
                </a:graphic>
              </wp:anchor>
            </w:drawing>
          </mc:Choice>
          <mc:Fallback>
            <w:pict>
              <v:line w14:anchorId="0AE7AFE6" id="直接连接符 17" o:spid="_x0000_s1026" style="position:absolute;left:0;text-align:left;z-index:251639296;visibility:visible;mso-wrap-style:square;mso-wrap-distance-left:9pt;mso-wrap-distance-top:0;mso-wrap-distance-right:9pt;mso-wrap-distance-bottom:0;mso-position-horizontal:absolute;mso-position-horizontal-relative:text;mso-position-vertical:absolute;mso-position-vertical-relative:text" from="206.25pt,16.95pt" to="269.2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">
                <v:stroke endarrow="block" endarrowwidth="narrow"/>
              </v:line>
            </w:pict>
          </mc:Fallback>
        </mc:AlternateContent>
      </w:r>
      <w:r>
        <w:rPr>
          <w:rFonts w:ascii="Times New Roman" w:eastAsia="宋体" w:hAnsi="Times New Roman" w:cs="Times New Roman"/>
          <w:sz w:val="28"/>
          <w:szCs w:val="28"/>
        </w:rPr>
        <w:t>(C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w:t>
      </w:r>
      <w:r>
        <w:rPr>
          <w:rFonts w:ascii="Times New Roman" w:eastAsia="宋体" w:hAnsi="Times New Roman" w:cs="Times New Roman"/>
          <w:sz w:val="28"/>
          <w:szCs w:val="28"/>
          <w:vertAlign w:val="subscript"/>
        </w:rPr>
        <w:t>m</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mH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O            </w:t>
      </w:r>
      <w:r>
        <w:rPr>
          <w:rFonts w:ascii="Times New Roman" w:eastAsia="宋体" w:hAnsi="Times New Roman" w:cs="Times New Roman"/>
          <w:position w:val="-24"/>
          <w:sz w:val="28"/>
          <w:szCs w:val="28"/>
        </w:rPr>
        <w:object w:dxaOrig="299" w:dyaOrig="611" w14:anchorId="27A5B6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pt;height:30.55pt" o:ole="">
            <v:imagedata r:id="rId15" o:title=""/>
          </v:shape>
          <o:OLEObject Type="Embed" ProgID="Equation.3" ShapeID="_x0000_i1025" DrawAspect="Content" ObjectID="_1687345251" r:id="rId16"/>
        </w:object>
      </w:r>
      <w:r>
        <w:rPr>
          <w:rFonts w:ascii="Times New Roman" w:eastAsia="宋体" w:hAnsi="Times New Roman" w:cs="Times New Roman"/>
          <w:sz w:val="28"/>
          <w:szCs w:val="28"/>
        </w:rPr>
        <w:t>(C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w:t>
      </w:r>
      <w:r>
        <w:rPr>
          <w:rFonts w:ascii="Times New Roman" w:eastAsia="宋体" w:hAnsi="Times New Roman" w:cs="Times New Roman"/>
          <w:sz w:val="28"/>
          <w:szCs w:val="28"/>
          <w:vertAlign w:val="subscript"/>
        </w:rPr>
        <w:t>n</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nH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w:t>
      </w:r>
    </w:p>
    <w:p w14:paraId="579297F0" w14:textId="77777777" w:rsidR="002133E3" w:rsidRDefault="00C22CFA">
      <w:pPr>
        <w:spacing w:line="520" w:lineRule="exact"/>
        <w:ind w:firstLineChars="600" w:firstLine="1680"/>
        <w:rPr>
          <w:rFonts w:ascii="Times New Roman" w:eastAsia="宋体" w:hAnsi="Times New Roman" w:cs="Times New Roman"/>
          <w:sz w:val="28"/>
          <w:szCs w:val="28"/>
        </w:rPr>
      </w:pPr>
      <w:r>
        <w:rPr>
          <w:rFonts w:ascii="Times New Roman" w:eastAsia="宋体" w:hAnsi="Times New Roman" w:cs="Times New Roman"/>
          <w:sz w:val="28"/>
          <w:szCs w:val="28"/>
        </w:rPr>
        <w:t xml:space="preserve">淀粉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小分子糖精</w:t>
      </w:r>
    </w:p>
    <w:p w14:paraId="2DDBA728" w14:textId="77777777" w:rsidR="002133E3" w:rsidRDefault="00C22CFA">
      <w:pPr>
        <w:spacing w:beforeLines="50" w:before="156"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37248" behindDoc="0" locked="0" layoutInCell="1" allowOverlap="1" wp14:anchorId="45105D61" wp14:editId="1FDB3D17">
                <wp:simplePos x="0" y="0"/>
                <wp:positionH relativeFrom="column">
                  <wp:posOffset>3105150</wp:posOffset>
                </wp:positionH>
                <wp:positionV relativeFrom="paragraph">
                  <wp:posOffset>52070</wp:posOffset>
                </wp:positionV>
                <wp:extent cx="800100" cy="198120"/>
                <wp:effectExtent l="9525" t="13970" r="9525" b="6985"/>
                <wp:wrapNone/>
                <wp:docPr id="16"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8120"/>
                        </a:xfrm>
                        <a:prstGeom prst="rect">
                          <a:avLst/>
                        </a:prstGeom>
                        <a:solidFill>
                          <a:srgbClr val="FFFFFF"/>
                        </a:solidFill>
                        <a:ln w="9525" cmpd="sng">
                          <a:solidFill>
                            <a:srgbClr val="FFFFFF"/>
                          </a:solidFill>
                          <a:miter lim="800000"/>
                        </a:ln>
                      </wps:spPr>
                      <wps:txbx>
                        <w:txbxContent>
                          <w:p w14:paraId="2141B28F" w14:textId="77777777" w:rsidR="00F553A8" w:rsidRDefault="00F553A8">
                            <w:r>
                              <w:rPr>
                                <w:rFonts w:hint="eastAsia"/>
                              </w:rPr>
                              <w:t>糖化酶、加热</w:t>
                            </w:r>
                          </w:p>
                        </w:txbxContent>
                      </wps:txbx>
                      <wps:bodyPr rot="0" vert="horz" wrap="square" lIns="0" tIns="0" rIns="0" bIns="0" anchor="t" anchorCtr="0" upright="1">
                        <a:noAutofit/>
                      </wps:bodyPr>
                    </wps:wsp>
                  </a:graphicData>
                </a:graphic>
              </wp:anchor>
            </w:drawing>
          </mc:Choice>
          <mc:Fallback>
            <w:pict>
              <v:shape w14:anchorId="45105D61" id="文本框 16" o:spid="_x0000_s1030" type="#_x0000_t202" style="position:absolute;left:0;text-align:left;margin-left:244.5pt;margin-top:4.1pt;width:63pt;height:15.6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" strokecolor="white">
                <v:textbox inset="0,0,0,0">
                  <w:txbxContent>
                    <w:p w14:paraId="2141B28F" w14:textId="77777777" w:rsidR="00F553A8" w:rsidRDefault="00F553A8">
                      <w:r>
                        <w:rPr>
                          <w:rFonts w:hint="eastAsia"/>
                        </w:rPr>
                        <w:t>糖化酶、加热</w:t>
                      </w:r>
                    </w:p>
                  </w:txbxContent>
                </v:textbox>
              </v:shap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40320" behindDoc="0" locked="0" layoutInCell="1" allowOverlap="1" wp14:anchorId="38C34F95" wp14:editId="37D0D1C2">
                <wp:simplePos x="0" y="0"/>
                <wp:positionH relativeFrom="column">
                  <wp:posOffset>3105150</wp:posOffset>
                </wp:positionH>
                <wp:positionV relativeFrom="paragraph">
                  <wp:posOffset>292735</wp:posOffset>
                </wp:positionV>
                <wp:extent cx="800100" cy="0"/>
                <wp:effectExtent l="9525" t="45085" r="19050" b="40640"/>
                <wp:wrapNone/>
                <wp:docPr id="15" name="直接连接符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0"/>
                        </a:xfrm>
                        <a:prstGeom prst="line">
                          <a:avLst/>
                        </a:prstGeom>
                        <a:noFill/>
                        <a:ln w="9525" cmpd="sng">
                          <a:solidFill>
                            <a:srgbClr val="000000"/>
                          </a:solidFill>
                          <a:round/>
                          <a:tailEnd type="triangle" w="sm" len="med"/>
                        </a:ln>
                      </wps:spPr>
                      <wps:bodyPr/>
                    </wps:wsp>
                  </a:graphicData>
                </a:graphic>
              </wp:anchor>
            </w:drawing>
          </mc:Choice>
          <mc:Fallback>
            <w:pict>
              <v:line w14:anchorId="5B2F6478" id="直接连接符 15" o:spid="_x0000_s1026" style="position:absolute;left:0;text-align:left;flip:y;z-index:251640320;visibility:visible;mso-wrap-style:square;mso-wrap-distance-left:9pt;mso-wrap-distance-top:0;mso-wrap-distance-right:9pt;mso-wrap-distance-bottom:0;mso-position-horizontal:absolute;mso-position-horizontal-relative:text;mso-position-vertical:absolute;mso-position-vertical-relative:text" from="244.5pt,23.05pt" to="307.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">
                <v:stroke endarrow="block" endarrowwidth="narrow"/>
              </v:line>
            </w:pict>
          </mc:Fallback>
        </mc:AlternateContent>
      </w:r>
      <w:r>
        <w:rPr>
          <w:rFonts w:ascii="Times New Roman" w:eastAsia="宋体" w:hAnsi="Times New Roman" w:cs="Times New Roman"/>
          <w:sz w:val="28"/>
          <w:szCs w:val="28"/>
        </w:rPr>
        <w:t>2(C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w:t>
      </w:r>
      <w:r>
        <w:rPr>
          <w:rFonts w:ascii="Times New Roman" w:eastAsia="宋体" w:hAnsi="Times New Roman" w:cs="Times New Roman"/>
          <w:sz w:val="28"/>
          <w:szCs w:val="28"/>
          <w:vertAlign w:val="subscript"/>
        </w:rPr>
        <w:t>n</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nH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rPr>
        <w:t xml:space="preserve"> nC</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22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11</w:t>
      </w:r>
    </w:p>
    <w:p w14:paraId="706BE26D" w14:textId="77777777" w:rsidR="002133E3" w:rsidRDefault="00C22CFA">
      <w:pPr>
        <w:spacing w:line="520" w:lineRule="exact"/>
        <w:ind w:firstLineChars="700" w:firstLine="1960"/>
        <w:rPr>
          <w:rFonts w:ascii="Times New Roman" w:eastAsia="宋体" w:hAnsi="Times New Roman" w:cs="Times New Roman"/>
          <w:sz w:val="28"/>
          <w:szCs w:val="28"/>
        </w:rPr>
      </w:pPr>
      <w:r>
        <w:rPr>
          <w:rFonts w:ascii="Times New Roman" w:eastAsia="宋体" w:hAnsi="Times New Roman" w:cs="Times New Roman"/>
          <w:sz w:val="28"/>
          <w:szCs w:val="28"/>
        </w:rPr>
        <w:t xml:space="preserve">小分子糖精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麦芽糖</w:t>
      </w:r>
    </w:p>
    <w:p w14:paraId="75DA6A11" w14:textId="77777777" w:rsidR="002133E3" w:rsidRDefault="00C22CFA">
      <w:pPr>
        <w:spacing w:beforeLines="50" w:before="156"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41344" behindDoc="0" locked="0" layoutInCell="1" allowOverlap="1" wp14:anchorId="610BD604" wp14:editId="1E1E4FCA">
                <wp:simplePos x="0" y="0"/>
                <wp:positionH relativeFrom="column">
                  <wp:posOffset>2990850</wp:posOffset>
                </wp:positionH>
                <wp:positionV relativeFrom="paragraph">
                  <wp:posOffset>77470</wp:posOffset>
                </wp:positionV>
                <wp:extent cx="800100" cy="198120"/>
                <wp:effectExtent l="9525" t="10795" r="9525" b="10160"/>
                <wp:wrapNone/>
                <wp:docPr id="13" name="文本框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8120"/>
                        </a:xfrm>
                        <a:prstGeom prst="rect">
                          <a:avLst/>
                        </a:prstGeom>
                        <a:solidFill>
                          <a:srgbClr val="FFFFFF"/>
                        </a:solidFill>
                        <a:ln w="9525" cmpd="sng">
                          <a:solidFill>
                            <a:srgbClr val="FFFFFF"/>
                          </a:solidFill>
                          <a:miter lim="800000"/>
                        </a:ln>
                      </wps:spPr>
                      <wps:txbx>
                        <w:txbxContent>
                          <w:p w14:paraId="75DF19CC" w14:textId="77777777" w:rsidR="00F553A8" w:rsidRDefault="00F553A8">
                            <w:r>
                              <w:rPr>
                                <w:rFonts w:hint="eastAsia"/>
                              </w:rPr>
                              <w:t>糖化酶、加热</w:t>
                            </w:r>
                          </w:p>
                        </w:txbxContent>
                      </wps:txbx>
                      <wps:bodyPr rot="0" vert="horz" wrap="square" lIns="0" tIns="0" rIns="0" bIns="0" anchor="t" anchorCtr="0" upright="1">
                        <a:noAutofit/>
                      </wps:bodyPr>
                    </wps:wsp>
                  </a:graphicData>
                </a:graphic>
              </wp:anchor>
            </w:drawing>
          </mc:Choice>
          <mc:Fallback>
            <w:pict>
              <v:shape w14:anchorId="610BD604" id="文本框 13" o:spid="_x0000_s1031" type="#_x0000_t202" style="position:absolute;left:0;text-align:left;margin-left:235.5pt;margin-top:6.1pt;width:63pt;height:15.6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" strokecolor="white">
                <v:textbox inset="0,0,0,0">
                  <w:txbxContent>
                    <w:p w14:paraId="75DF19CC" w14:textId="77777777" w:rsidR="00F553A8" w:rsidRDefault="00F553A8">
                      <w:r>
                        <w:rPr>
                          <w:rFonts w:hint="eastAsia"/>
                        </w:rPr>
                        <w:t>糖化酶、加热</w:t>
                      </w:r>
                    </w:p>
                  </w:txbxContent>
                </v:textbox>
              </v:shap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42368" behindDoc="0" locked="0" layoutInCell="1" allowOverlap="1" wp14:anchorId="0BE7C749" wp14:editId="55D4F942">
                <wp:simplePos x="0" y="0"/>
                <wp:positionH relativeFrom="column">
                  <wp:posOffset>3000375</wp:posOffset>
                </wp:positionH>
                <wp:positionV relativeFrom="paragraph">
                  <wp:posOffset>285115</wp:posOffset>
                </wp:positionV>
                <wp:extent cx="800100" cy="0"/>
                <wp:effectExtent l="9525" t="46990" r="19050" b="48260"/>
                <wp:wrapNone/>
                <wp:docPr id="14" name="直接连接符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0"/>
                        </a:xfrm>
                        <a:prstGeom prst="line">
                          <a:avLst/>
                        </a:prstGeom>
                        <a:noFill/>
                        <a:ln w="9525" cmpd="sng">
                          <a:solidFill>
                            <a:srgbClr val="000000"/>
                          </a:solidFill>
                          <a:round/>
                          <a:tailEnd type="triangle" w="sm" len="med"/>
                        </a:ln>
                      </wps:spPr>
                      <wps:bodyPr/>
                    </wps:wsp>
                  </a:graphicData>
                </a:graphic>
              </wp:anchor>
            </w:drawing>
          </mc:Choice>
          <mc:Fallback>
            <w:pict>
              <v:line w14:anchorId="0891216B" id="直接连接符 14" o:spid="_x0000_s1026" style="position:absolute;left:0;text-align:left;flip:y;z-index:251642368;visibility:visible;mso-wrap-style:square;mso-wrap-distance-left:9pt;mso-wrap-distance-top:0;mso-wrap-distance-right:9pt;mso-wrap-distance-bottom:0;mso-position-horizontal:absolute;mso-position-horizontal-relative:text;mso-position-vertical:absolute;mso-position-vertical-relative:text" from="236.25pt,22.45pt" to="299.2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">
                <v:stroke endarrow="block" endarrowwidth="narrow"/>
              </v:line>
            </w:pict>
          </mc:Fallback>
        </mc:AlternateContent>
      </w:r>
      <w:r>
        <w:rPr>
          <w:rFonts w:ascii="Times New Roman" w:eastAsia="宋体" w:hAnsi="Times New Roman" w:cs="Times New Roman"/>
          <w:sz w:val="28"/>
          <w:szCs w:val="28"/>
        </w:rPr>
        <w:t>nC</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22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11</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nH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            2nC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6</w:t>
      </w:r>
    </w:p>
    <w:p w14:paraId="0AED9688" w14:textId="77777777" w:rsidR="002133E3" w:rsidRDefault="00C22CFA">
      <w:pPr>
        <w:spacing w:line="520" w:lineRule="exact"/>
        <w:ind w:firstLineChars="800" w:firstLine="2240"/>
        <w:rPr>
          <w:rFonts w:ascii="Times New Roman" w:eastAsia="宋体" w:hAnsi="Times New Roman" w:cs="Times New Roman"/>
          <w:sz w:val="28"/>
          <w:szCs w:val="28"/>
        </w:rPr>
      </w:pPr>
      <w:r>
        <w:rPr>
          <w:rFonts w:ascii="Times New Roman" w:eastAsia="宋体" w:hAnsi="Times New Roman" w:cs="Times New Roman"/>
          <w:sz w:val="28"/>
          <w:szCs w:val="28"/>
        </w:rPr>
        <w:t xml:space="preserve">麦芽糖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葡萄糖</w:t>
      </w:r>
    </w:p>
    <w:p w14:paraId="57B496C7" w14:textId="77777777" w:rsidR="002133E3" w:rsidRDefault="00C22CFA">
      <w:pPr>
        <w:spacing w:beforeLines="50" w:before="156"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35200" behindDoc="0" locked="0" layoutInCell="1" allowOverlap="1" wp14:anchorId="666B4C97" wp14:editId="3D66211C">
                <wp:simplePos x="0" y="0"/>
                <wp:positionH relativeFrom="column">
                  <wp:posOffset>1945005</wp:posOffset>
                </wp:positionH>
                <wp:positionV relativeFrom="paragraph">
                  <wp:posOffset>354330</wp:posOffset>
                </wp:positionV>
                <wp:extent cx="436245" cy="233680"/>
                <wp:effectExtent l="0" t="0" r="20955" b="13970"/>
                <wp:wrapNone/>
                <wp:docPr id="11" name="文本框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33680"/>
                        </a:xfrm>
                        <a:prstGeom prst="rect">
                          <a:avLst/>
                        </a:prstGeom>
                        <a:solidFill>
                          <a:srgbClr val="FFFFFF"/>
                        </a:solidFill>
                        <a:ln w="9525" cmpd="sng">
                          <a:solidFill>
                            <a:srgbClr val="FFFFFF"/>
                          </a:solidFill>
                          <a:miter lim="800000"/>
                        </a:ln>
                      </wps:spPr>
                      <wps:txbx>
                        <w:txbxContent>
                          <w:p w14:paraId="733AF48E" w14:textId="77777777" w:rsidR="00F553A8" w:rsidRDefault="00F553A8">
                            <w:r>
                              <w:rPr>
                                <w:rFonts w:ascii="宋体" w:hAnsi="宋体" w:cs="宋体" w:hint="eastAsia"/>
                                <w:kern w:val="0"/>
                                <w:szCs w:val="21"/>
                              </w:rPr>
                              <w:t>干酵母</w:t>
                            </w:r>
                          </w:p>
                        </w:txbxContent>
                      </wps:txbx>
                      <wps:bodyPr rot="0" vert="horz" wrap="square" lIns="0" tIns="0" rIns="0" bIns="0" anchor="t" anchorCtr="0" upright="1">
                        <a:noAutofit/>
                      </wps:bodyPr>
                    </wps:wsp>
                  </a:graphicData>
                </a:graphic>
              </wp:anchor>
            </w:drawing>
          </mc:Choice>
          <mc:Fallback>
            <w:pict>
              <v:shape w14:anchorId="666B4C97" id="文本框 11" o:spid="_x0000_s1032" type="#_x0000_t202" style="position:absolute;left:0;text-align:left;margin-left:153.15pt;margin-top:27.9pt;width:34.35pt;height:18.4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" strokecolor="white">
                <v:textbox inset="0,0,0,0">
                  <w:txbxContent>
                    <w:p w14:paraId="733AF48E" w14:textId="77777777" w:rsidR="00F553A8" w:rsidRDefault="00F553A8">
                      <w:r>
                        <w:rPr>
                          <w:rFonts w:ascii="宋体" w:hAnsi="宋体" w:cs="宋体" w:hint="eastAsia"/>
                          <w:kern w:val="0"/>
                          <w:szCs w:val="21"/>
                        </w:rPr>
                        <w:t>干酵母</w:t>
                      </w:r>
                    </w:p>
                  </w:txbxContent>
                </v:textbox>
              </v:shape>
            </w:pict>
          </mc:Fallback>
        </mc:AlternateContent>
      </w:r>
      <w:r>
        <w:rPr>
          <w:rFonts w:ascii="宋体" w:eastAsia="宋体" w:hAnsi="宋体" w:cs="宋体" w:hint="eastAsia"/>
          <w:sz w:val="28"/>
          <w:szCs w:val="28"/>
        </w:rPr>
        <w:t>②</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发酵</w:t>
      </w:r>
    </w:p>
    <w:p w14:paraId="37C4E665" w14:textId="77777777" w:rsidR="002133E3" w:rsidRDefault="00C22CFA">
      <w:pPr>
        <w:tabs>
          <w:tab w:val="left" w:pos="1785"/>
        </w:tabs>
        <w:spacing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36224" behindDoc="0" locked="0" layoutInCell="1" allowOverlap="1" wp14:anchorId="12110A5D" wp14:editId="32C7476F">
                <wp:simplePos x="0" y="0"/>
                <wp:positionH relativeFrom="column">
                  <wp:posOffset>1800225</wp:posOffset>
                </wp:positionH>
                <wp:positionV relativeFrom="paragraph">
                  <wp:posOffset>213995</wp:posOffset>
                </wp:positionV>
                <wp:extent cx="762000" cy="0"/>
                <wp:effectExtent l="7620" t="42545" r="20955" b="43180"/>
                <wp:wrapNone/>
                <wp:docPr id="10" name="直接连接符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9525" cmpd="sng">
                          <a:solidFill>
                            <a:srgbClr val="000000"/>
                          </a:solidFill>
                          <a:round/>
                          <a:tailEnd type="triangle" w="sm" len="med"/>
                        </a:ln>
                      </wps:spPr>
                      <wps:bodyPr/>
                    </wps:wsp>
                  </a:graphicData>
                </a:graphic>
              </wp:anchor>
            </w:drawing>
          </mc:Choice>
          <mc:Fallback>
            <w:pict>
              <v:line w14:anchorId="77FD9FEB" id="直接连接符 10" o:spid="_x0000_s1026" style="position:absolute;left:0;text-align:left;z-index:251636224;visibility:visible;mso-wrap-style:square;mso-wrap-distance-left:9pt;mso-wrap-distance-top:0;mso-wrap-distance-right:9pt;mso-wrap-distance-bottom:0;mso-position-horizontal:absolute;mso-position-horizontal-relative:text;mso-position-vertical:absolute;mso-position-vertical-relative:text" from="141.75pt,16.85pt" to="201.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">
                <v:stroke endarrow="block" endarrowwidth="narrow"/>
              </v:line>
            </w:pict>
          </mc:Fallback>
        </mc:AlternateContent>
      </w:r>
      <w:r>
        <w:rPr>
          <w:rFonts w:ascii="Times New Roman" w:eastAsia="宋体" w:hAnsi="Times New Roman" w:cs="Times New Roman"/>
          <w:sz w:val="28"/>
          <w:szCs w:val="28"/>
        </w:rPr>
        <w:t>nC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 xml:space="preserve">6           </w:t>
      </w:r>
      <w:r>
        <w:rPr>
          <w:rFonts w:ascii="Times New Roman" w:eastAsia="宋体" w:hAnsi="Times New Roman" w:cs="Times New Roman"/>
          <w:sz w:val="28"/>
          <w:szCs w:val="28"/>
        </w:rPr>
        <w:t xml:space="preserve">   2nC</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 xml:space="preserve">O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2nCO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杂醇油</w:t>
      </w:r>
    </w:p>
    <w:p w14:paraId="17C77F72" w14:textId="77777777" w:rsidR="002133E3" w:rsidRDefault="00C22CFA">
      <w:pPr>
        <w:spacing w:line="520" w:lineRule="exact"/>
        <w:ind w:firstLineChars="600" w:firstLine="1680"/>
        <w:rPr>
          <w:rFonts w:ascii="Times New Roman" w:eastAsia="宋体" w:hAnsi="Times New Roman" w:cs="Times New Roman"/>
          <w:sz w:val="28"/>
          <w:szCs w:val="28"/>
        </w:rPr>
      </w:pPr>
      <w:r>
        <w:rPr>
          <w:rFonts w:ascii="Times New Roman" w:eastAsia="宋体" w:hAnsi="Times New Roman" w:cs="Times New Roman"/>
          <w:sz w:val="28"/>
          <w:szCs w:val="28"/>
        </w:rPr>
        <w:t>葡萄糖</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乙醇</w:t>
      </w:r>
    </w:p>
    <w:p w14:paraId="5B70E838" w14:textId="77777777" w:rsidR="002133E3" w:rsidRDefault="00C22CFA">
      <w:pPr>
        <w:spacing w:line="52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⑶</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工艺流程及说明</w:t>
      </w:r>
    </w:p>
    <w:p w14:paraId="158981D7" w14:textId="77777777" w:rsidR="002133E3" w:rsidRDefault="00C22CFA">
      <w:pPr>
        <w:tabs>
          <w:tab w:val="left" w:pos="1733"/>
          <w:tab w:val="left" w:pos="2520"/>
        </w:tabs>
        <w:snapToGrid w:val="0"/>
        <w:spacing w:line="500" w:lineRule="atLeast"/>
        <w:ind w:firstLineChars="200" w:firstLine="524"/>
        <w:rPr>
          <w:rFonts w:ascii="Times New Roman" w:eastAsia="宋体" w:hAnsi="Times New Roman" w:cs="Times New Roman"/>
          <w:sz w:val="28"/>
          <w:szCs w:val="28"/>
        </w:rPr>
      </w:pPr>
      <w:r>
        <w:rPr>
          <w:rFonts w:ascii="Times New Roman" w:eastAsia="宋体" w:hAnsi="Times New Roman" w:cs="Times New Roman"/>
          <w:bCs/>
          <w:spacing w:val="-9"/>
          <w:sz w:val="28"/>
          <w:szCs w:val="28"/>
        </w:rPr>
        <w:t>工艺过程包括原料粉碎、预煮搅拌、蒸煮、糖化、发酵、粗馏、精馏等几道工序。</w:t>
      </w:r>
      <w:r>
        <w:rPr>
          <w:rFonts w:ascii="Times New Roman" w:eastAsia="宋体" w:hAnsi="Times New Roman" w:cs="Times New Roman"/>
          <w:spacing w:val="-9"/>
          <w:sz w:val="28"/>
          <w:szCs w:val="28"/>
        </w:rPr>
        <w:t>项目酒精生产工艺流程见图</w:t>
      </w:r>
      <w:r>
        <w:rPr>
          <w:rFonts w:ascii="Times New Roman" w:eastAsia="宋体" w:hAnsi="Times New Roman" w:cs="Times New Roman"/>
          <w:spacing w:val="-9"/>
          <w:sz w:val="28"/>
          <w:szCs w:val="28"/>
        </w:rPr>
        <w:t>3.2-1</w:t>
      </w:r>
      <w:r>
        <w:rPr>
          <w:rFonts w:ascii="Times New Roman" w:eastAsia="宋体" w:hAnsi="Times New Roman" w:cs="Times New Roman"/>
          <w:spacing w:val="-9"/>
          <w:sz w:val="28"/>
          <w:szCs w:val="28"/>
        </w:rPr>
        <w:t>。</w:t>
      </w:r>
    </w:p>
    <w:p w14:paraId="5746D23F" w14:textId="77777777" w:rsidR="002133E3" w:rsidRDefault="00C22CFA">
      <w:pPr>
        <w:widowControl/>
        <w:jc w:val="center"/>
        <w:rPr>
          <w:rFonts w:ascii="Times New Roman" w:eastAsia="宋体" w:hAnsi="Times New Roman" w:cs="Times New Roman"/>
          <w:color w:val="FF0000"/>
          <w:kern w:val="0"/>
          <w:sz w:val="28"/>
          <w:szCs w:val="28"/>
        </w:rPr>
      </w:pPr>
      <w:r>
        <w:rPr>
          <w:rFonts w:ascii="Times New Roman" w:eastAsia="宋体" w:hAnsi="Times New Roman" w:cs="Times New Roman"/>
          <w:noProof/>
          <w:color w:val="FF0000"/>
          <w:kern w:val="0"/>
          <w:sz w:val="28"/>
          <w:szCs w:val="28"/>
        </w:rPr>
        <w:lastRenderedPageBreak/>
        <mc:AlternateContent>
          <mc:Choice Requires="wpc">
            <w:drawing>
              <wp:inline distT="0" distB="0" distL="0" distR="0" wp14:anchorId="220C4943" wp14:editId="4C63644F">
                <wp:extent cx="5221605" cy="7706995"/>
                <wp:effectExtent l="0" t="0" r="17145" b="27305"/>
                <wp:docPr id="202" name="画布 2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2" name="文本框 1603"/>
                        <wps:cNvSpPr txBox="1">
                          <a:spLocks noChangeArrowheads="1"/>
                        </wps:cNvSpPr>
                        <wps:spPr bwMode="auto">
                          <a:xfrm>
                            <a:off x="1754505" y="5382260"/>
                            <a:ext cx="533400" cy="207010"/>
                          </a:xfrm>
                          <a:prstGeom prst="rect">
                            <a:avLst/>
                          </a:prstGeom>
                          <a:solidFill>
                            <a:srgbClr val="FFFFFF"/>
                          </a:solidFill>
                          <a:ln w="9525" cmpd="sng">
                            <a:solidFill>
                              <a:srgbClr val="FFFFFF"/>
                            </a:solidFill>
                            <a:miter lim="800000"/>
                          </a:ln>
                        </wps:spPr>
                        <wps:txbx>
                          <w:txbxContent>
                            <w:p w14:paraId="4F86F8AB" w14:textId="77777777" w:rsidR="00F553A8" w:rsidRDefault="00F553A8">
                              <w:pPr>
                                <w:rPr>
                                  <w:szCs w:val="21"/>
                                </w:rPr>
                              </w:pPr>
                              <w:r>
                                <w:rPr>
                                  <w:szCs w:val="21"/>
                                </w:rPr>
                                <w:t>180100</w:t>
                              </w:r>
                            </w:p>
                          </w:txbxContent>
                        </wps:txbx>
                        <wps:bodyPr rot="0" vert="horz" wrap="square" lIns="0" tIns="0" rIns="0" bIns="0" anchor="t" anchorCtr="0" upright="1">
                          <a:noAutofit/>
                        </wps:bodyPr>
                      </wps:wsp>
                      <wps:wsp>
                        <wps:cNvPr id="103" name="文本框 1604"/>
                        <wps:cNvSpPr txBox="1">
                          <a:spLocks noChangeArrowheads="1"/>
                        </wps:cNvSpPr>
                        <wps:spPr bwMode="auto">
                          <a:xfrm>
                            <a:off x="2811145" y="4601845"/>
                            <a:ext cx="648969" cy="367664"/>
                          </a:xfrm>
                          <a:prstGeom prst="rect">
                            <a:avLst/>
                          </a:prstGeom>
                          <a:solidFill>
                            <a:srgbClr val="FFFFFF"/>
                          </a:solidFill>
                          <a:ln w="9525" cmpd="sng">
                            <a:solidFill>
                              <a:srgbClr val="FFFFFF"/>
                            </a:solidFill>
                            <a:miter lim="800000"/>
                          </a:ln>
                        </wps:spPr>
                        <wps:txbx>
                          <w:txbxContent>
                            <w:p w14:paraId="2B9382B9" w14:textId="77777777" w:rsidR="00F553A8" w:rsidRDefault="00F553A8">
                              <w:pPr>
                                <w:rPr>
                                  <w:szCs w:val="21"/>
                                </w:rPr>
                              </w:pPr>
                              <w:r>
                                <w:rPr>
                                  <w:szCs w:val="21"/>
                                </w:rPr>
                                <w:t>废气G</w:t>
                              </w:r>
                              <w:r>
                                <w:rPr>
                                  <w:szCs w:val="21"/>
                                  <w:vertAlign w:val="subscript"/>
                                </w:rPr>
                                <w:t>1-3</w:t>
                              </w:r>
                              <w:r>
                                <w:rPr>
                                  <w:szCs w:val="21"/>
                                </w:rPr>
                                <w:t>50</w:t>
                              </w:r>
                            </w:p>
                            <w:p w14:paraId="550ABFB5" w14:textId="77777777" w:rsidR="00F553A8" w:rsidRDefault="00F553A8">
                              <w:pPr>
                                <w:jc w:val="center"/>
                                <w:rPr>
                                  <w:szCs w:val="21"/>
                                </w:rPr>
                              </w:pPr>
                              <w:r>
                                <w:rPr>
                                  <w:szCs w:val="21"/>
                                </w:rPr>
                                <w:t>(乙醇50)</w:t>
                              </w:r>
                            </w:p>
                          </w:txbxContent>
                        </wps:txbx>
                        <wps:bodyPr rot="0" vert="horz" wrap="none" lIns="0" tIns="0" rIns="0" bIns="0" anchor="t" anchorCtr="0" upright="1">
                          <a:noAutofit/>
                        </wps:bodyPr>
                      </wps:wsp>
                      <wps:wsp>
                        <wps:cNvPr id="104" name="文本框 1605"/>
                        <wps:cNvSpPr txBox="1">
                          <a:spLocks noChangeArrowheads="1"/>
                        </wps:cNvSpPr>
                        <wps:spPr bwMode="auto">
                          <a:xfrm>
                            <a:off x="544830" y="5674995"/>
                            <a:ext cx="952500" cy="198120"/>
                          </a:xfrm>
                          <a:prstGeom prst="rect">
                            <a:avLst/>
                          </a:prstGeom>
                          <a:solidFill>
                            <a:srgbClr val="FFFFFF"/>
                          </a:solidFill>
                          <a:ln w="9525" cmpd="sng">
                            <a:solidFill>
                              <a:srgbClr val="FFFFFF"/>
                            </a:solidFill>
                            <a:miter lim="800000"/>
                          </a:ln>
                        </wps:spPr>
                        <wps:txbx>
                          <w:txbxContent>
                            <w:p w14:paraId="3568D8BE" w14:textId="77777777" w:rsidR="00F553A8" w:rsidRDefault="00F553A8">
                              <w:pPr>
                                <w:jc w:val="right"/>
                                <w:rPr>
                                  <w:szCs w:val="21"/>
                                </w:rPr>
                              </w:pPr>
                              <w:r>
                                <w:rPr>
                                  <w:szCs w:val="21"/>
                                </w:rPr>
                                <w:t>蒸汽31500</w:t>
                              </w:r>
                            </w:p>
                          </w:txbxContent>
                        </wps:txbx>
                        <wps:bodyPr rot="0" vert="horz" wrap="square" lIns="0" tIns="0" rIns="0" bIns="0" anchor="t" anchorCtr="0" upright="1">
                          <a:noAutofit/>
                        </wps:bodyPr>
                      </wps:wsp>
                      <wps:wsp>
                        <wps:cNvPr id="105" name="文本框 1606"/>
                        <wps:cNvSpPr txBox="1">
                          <a:spLocks noChangeArrowheads="1"/>
                        </wps:cNvSpPr>
                        <wps:spPr bwMode="auto">
                          <a:xfrm>
                            <a:off x="615315" y="4221480"/>
                            <a:ext cx="901065" cy="207010"/>
                          </a:xfrm>
                          <a:prstGeom prst="rect">
                            <a:avLst/>
                          </a:prstGeom>
                          <a:solidFill>
                            <a:srgbClr val="FFFFFF"/>
                          </a:solidFill>
                          <a:ln w="9525" cmpd="sng">
                            <a:solidFill>
                              <a:srgbClr val="FFFFFF"/>
                            </a:solidFill>
                            <a:miter lim="800000"/>
                          </a:ln>
                        </wps:spPr>
                        <wps:txbx>
                          <w:txbxContent>
                            <w:p w14:paraId="434932ED" w14:textId="77777777" w:rsidR="00F553A8" w:rsidRDefault="00F553A8">
                              <w:pPr>
                                <w:jc w:val="right"/>
                                <w:rPr>
                                  <w:szCs w:val="21"/>
                                </w:rPr>
                              </w:pPr>
                              <w:r>
                                <w:rPr>
                                  <w:szCs w:val="21"/>
                                </w:rPr>
                                <w:t>蒸汽165000</w:t>
                              </w:r>
                            </w:p>
                          </w:txbxContent>
                        </wps:txbx>
                        <wps:bodyPr rot="0" vert="horz" wrap="square" lIns="0" tIns="0" rIns="0" bIns="0" anchor="t" anchorCtr="0" upright="1">
                          <a:noAutofit/>
                        </wps:bodyPr>
                      </wps:wsp>
                      <wps:wsp>
                        <wps:cNvPr id="106" name="文本框 1607"/>
                        <wps:cNvSpPr txBox="1">
                          <a:spLocks noChangeArrowheads="1"/>
                        </wps:cNvSpPr>
                        <wps:spPr bwMode="auto">
                          <a:xfrm>
                            <a:off x="1678305" y="3863340"/>
                            <a:ext cx="571500" cy="198120"/>
                          </a:xfrm>
                          <a:prstGeom prst="rect">
                            <a:avLst/>
                          </a:prstGeom>
                          <a:solidFill>
                            <a:srgbClr val="FFFFFF"/>
                          </a:solidFill>
                          <a:ln w="9525" cmpd="sng">
                            <a:solidFill>
                              <a:srgbClr val="FFFFFF"/>
                            </a:solidFill>
                            <a:miter lim="800000"/>
                          </a:ln>
                        </wps:spPr>
                        <wps:txbx>
                          <w:txbxContent>
                            <w:p w14:paraId="73D366E9" w14:textId="77777777" w:rsidR="00F553A8" w:rsidRDefault="00F553A8">
                              <w:pPr>
                                <w:rPr>
                                  <w:szCs w:val="21"/>
                                </w:rPr>
                              </w:pPr>
                              <w:r>
                                <w:rPr>
                                  <w:szCs w:val="21"/>
                                </w:rPr>
                                <w:t>1305550</w:t>
                              </w:r>
                            </w:p>
                          </w:txbxContent>
                        </wps:txbx>
                        <wps:bodyPr rot="0" vert="horz" wrap="square" lIns="0" tIns="0" rIns="0" bIns="0" anchor="t" anchorCtr="0" upright="1">
                          <a:noAutofit/>
                        </wps:bodyPr>
                      </wps:wsp>
                      <wps:wsp>
                        <wps:cNvPr id="107" name="文本框 1608"/>
                        <wps:cNvSpPr txBox="1">
                          <a:spLocks noChangeArrowheads="1"/>
                        </wps:cNvSpPr>
                        <wps:spPr bwMode="auto">
                          <a:xfrm>
                            <a:off x="1678305" y="2080260"/>
                            <a:ext cx="571500" cy="198120"/>
                          </a:xfrm>
                          <a:prstGeom prst="rect">
                            <a:avLst/>
                          </a:prstGeom>
                          <a:solidFill>
                            <a:srgbClr val="FFFFFF"/>
                          </a:solidFill>
                          <a:ln w="9525" cmpd="sng">
                            <a:solidFill>
                              <a:srgbClr val="FFFFFF"/>
                            </a:solidFill>
                            <a:miter lim="800000"/>
                          </a:ln>
                        </wps:spPr>
                        <wps:txbx>
                          <w:txbxContent>
                            <w:p w14:paraId="3A27201D" w14:textId="77777777" w:rsidR="00F553A8" w:rsidRDefault="00F553A8">
                              <w:pPr>
                                <w:rPr>
                                  <w:szCs w:val="21"/>
                                </w:rPr>
                              </w:pPr>
                              <w:r>
                                <w:rPr>
                                  <w:szCs w:val="21"/>
                                </w:rPr>
                                <w:t>1165169</w:t>
                              </w:r>
                            </w:p>
                          </w:txbxContent>
                        </wps:txbx>
                        <wps:bodyPr rot="0" vert="horz" wrap="square" lIns="0" tIns="0" rIns="0" bIns="0" anchor="t" anchorCtr="0" upright="1">
                          <a:noAutofit/>
                        </wps:bodyPr>
                      </wps:wsp>
                      <wps:wsp>
                        <wps:cNvPr id="108" name="文本框 1609"/>
                        <wps:cNvSpPr txBox="1">
                          <a:spLocks noChangeArrowheads="1"/>
                        </wps:cNvSpPr>
                        <wps:spPr bwMode="auto">
                          <a:xfrm>
                            <a:off x="1678305" y="1485900"/>
                            <a:ext cx="571500" cy="198120"/>
                          </a:xfrm>
                          <a:prstGeom prst="rect">
                            <a:avLst/>
                          </a:prstGeom>
                          <a:solidFill>
                            <a:srgbClr val="FFFFFF"/>
                          </a:solidFill>
                          <a:ln w="9525" cmpd="sng">
                            <a:solidFill>
                              <a:srgbClr val="FFFFFF"/>
                            </a:solidFill>
                            <a:miter lim="800000"/>
                          </a:ln>
                        </wps:spPr>
                        <wps:txbx>
                          <w:txbxContent>
                            <w:p w14:paraId="2290A139" w14:textId="77777777" w:rsidR="00F553A8" w:rsidRDefault="00F553A8">
                              <w:r>
                                <w:t>1118669</w:t>
                              </w:r>
                            </w:p>
                          </w:txbxContent>
                        </wps:txbx>
                        <wps:bodyPr rot="0" vert="horz" wrap="square" lIns="0" tIns="0" rIns="0" bIns="0" anchor="t" anchorCtr="0" upright="1">
                          <a:noAutofit/>
                        </wps:bodyPr>
                      </wps:wsp>
                      <wps:wsp>
                        <wps:cNvPr id="109" name="文本框 1610"/>
                        <wps:cNvSpPr txBox="1">
                          <a:spLocks noChangeArrowheads="1"/>
                        </wps:cNvSpPr>
                        <wps:spPr bwMode="auto">
                          <a:xfrm>
                            <a:off x="2707005" y="1115060"/>
                            <a:ext cx="685800" cy="469900"/>
                          </a:xfrm>
                          <a:prstGeom prst="rect">
                            <a:avLst/>
                          </a:prstGeom>
                          <a:solidFill>
                            <a:srgbClr val="FFFFFF"/>
                          </a:solidFill>
                          <a:ln w="9525" cmpd="sng">
                            <a:solidFill>
                              <a:srgbClr val="FFFFFF"/>
                            </a:solidFill>
                            <a:miter lim="800000"/>
                          </a:ln>
                        </wps:spPr>
                        <wps:txbx>
                          <w:txbxContent>
                            <w:p w14:paraId="44B83D93" w14:textId="77777777" w:rsidR="00F553A8" w:rsidRDefault="00F553A8">
                              <w:pPr>
                                <w:rPr>
                                  <w:szCs w:val="21"/>
                                </w:rPr>
                              </w:pPr>
                              <w:r>
                                <w:rPr>
                                  <w:szCs w:val="21"/>
                                </w:rPr>
                                <w:t>水膜除尘水58584</w:t>
                              </w:r>
                            </w:p>
                          </w:txbxContent>
                        </wps:txbx>
                        <wps:bodyPr rot="0" vert="horz" wrap="square" lIns="0" tIns="0" rIns="0" bIns="0" anchor="t" anchorCtr="0" upright="1">
                          <a:noAutofit/>
                        </wps:bodyPr>
                      </wps:wsp>
                      <wps:wsp>
                        <wps:cNvPr id="110" name="文本框 1611"/>
                        <wps:cNvSpPr txBox="1">
                          <a:spLocks noChangeArrowheads="1"/>
                        </wps:cNvSpPr>
                        <wps:spPr bwMode="auto">
                          <a:xfrm>
                            <a:off x="1754505" y="891540"/>
                            <a:ext cx="457200" cy="198120"/>
                          </a:xfrm>
                          <a:prstGeom prst="rect">
                            <a:avLst/>
                          </a:prstGeom>
                          <a:solidFill>
                            <a:srgbClr val="FFFFFF"/>
                          </a:solidFill>
                          <a:ln w="9525" cmpd="sng">
                            <a:solidFill>
                              <a:srgbClr val="FFFFFF"/>
                            </a:solidFill>
                            <a:miter lim="800000"/>
                          </a:ln>
                        </wps:spPr>
                        <wps:txbx>
                          <w:txbxContent>
                            <w:p w14:paraId="7A885DA5" w14:textId="77777777" w:rsidR="00F553A8" w:rsidRDefault="00F553A8">
                              <w:r>
                                <w:t>263035</w:t>
                              </w:r>
                            </w:p>
                          </w:txbxContent>
                        </wps:txbx>
                        <wps:bodyPr rot="0" vert="horz" wrap="square" lIns="0" tIns="0" rIns="0" bIns="0" anchor="t" anchorCtr="0" upright="1">
                          <a:noAutofit/>
                        </wps:bodyPr>
                      </wps:wsp>
                      <wps:wsp>
                        <wps:cNvPr id="111" name="文本框 1612"/>
                        <wps:cNvSpPr txBox="1">
                          <a:spLocks noChangeArrowheads="1"/>
                        </wps:cNvSpPr>
                        <wps:spPr bwMode="auto">
                          <a:xfrm>
                            <a:off x="2707005" y="495300"/>
                            <a:ext cx="342900" cy="198120"/>
                          </a:xfrm>
                          <a:prstGeom prst="rect">
                            <a:avLst/>
                          </a:prstGeom>
                          <a:solidFill>
                            <a:srgbClr val="FFFFFF"/>
                          </a:solidFill>
                          <a:ln w="9525" cmpd="sng">
                            <a:solidFill>
                              <a:srgbClr val="FFFFFF"/>
                            </a:solidFill>
                            <a:miter lim="800000"/>
                          </a:ln>
                        </wps:spPr>
                        <wps:txbx>
                          <w:txbxContent>
                            <w:p w14:paraId="4741D7F7" w14:textId="77777777" w:rsidR="00F553A8" w:rsidRDefault="00F553A8">
                              <w:r>
                                <w:t>1600</w:t>
                              </w:r>
                            </w:p>
                          </w:txbxContent>
                        </wps:txbx>
                        <wps:bodyPr rot="0" vert="horz" wrap="square" lIns="0" tIns="0" rIns="0" bIns="0" anchor="t" anchorCtr="0" upright="1">
                          <a:noAutofit/>
                        </wps:bodyPr>
                      </wps:wsp>
                      <wps:wsp>
                        <wps:cNvPr id="112" name="文本框 1613"/>
                        <wps:cNvSpPr txBox="1">
                          <a:spLocks noChangeArrowheads="1"/>
                        </wps:cNvSpPr>
                        <wps:spPr bwMode="auto">
                          <a:xfrm>
                            <a:off x="1329055" y="99060"/>
                            <a:ext cx="1377950" cy="198120"/>
                          </a:xfrm>
                          <a:prstGeom prst="rect">
                            <a:avLst/>
                          </a:prstGeom>
                          <a:solidFill>
                            <a:srgbClr val="FFFFFF"/>
                          </a:solidFill>
                          <a:ln w="9525" cmpd="sng">
                            <a:solidFill>
                              <a:srgbClr val="FFFFFF"/>
                            </a:solidFill>
                            <a:miter lim="800000"/>
                          </a:ln>
                        </wps:spPr>
                        <wps:txbx>
                          <w:txbxContent>
                            <w:p w14:paraId="02032FFD" w14:textId="77777777" w:rsidR="00F553A8" w:rsidRDefault="00F553A8">
                              <w:pPr>
                                <w:jc w:val="center"/>
                                <w:rPr>
                                  <w:szCs w:val="21"/>
                                </w:rPr>
                              </w:pPr>
                              <w:r>
                                <w:rPr>
                                  <w:szCs w:val="21"/>
                                </w:rPr>
                                <w:t>木薯干272587</w:t>
                              </w:r>
                            </w:p>
                          </w:txbxContent>
                        </wps:txbx>
                        <wps:bodyPr rot="0" vert="horz" wrap="square" lIns="0" tIns="0" rIns="0" bIns="0" anchor="t" anchorCtr="0" upright="1">
                          <a:noAutofit/>
                        </wps:bodyPr>
                      </wps:wsp>
                      <wps:wsp>
                        <wps:cNvPr id="113" name="直线 1614"/>
                        <wps:cNvCnPr>
                          <a:cxnSpLocks noChangeShapeType="1"/>
                        </wps:cNvCnPr>
                        <wps:spPr bwMode="auto">
                          <a:xfrm>
                            <a:off x="2249805" y="297180"/>
                            <a:ext cx="635" cy="297180"/>
                          </a:xfrm>
                          <a:prstGeom prst="line">
                            <a:avLst/>
                          </a:prstGeom>
                          <a:noFill/>
                          <a:ln w="9525" cmpd="sng">
                            <a:solidFill>
                              <a:srgbClr val="000000"/>
                            </a:solidFill>
                            <a:round/>
                            <a:tailEnd type="triangle" w="sm" len="med"/>
                          </a:ln>
                        </wps:spPr>
                        <wps:bodyPr/>
                      </wps:wsp>
                      <wps:wsp>
                        <wps:cNvPr id="114" name="文本框 1615"/>
                        <wps:cNvSpPr txBox="1">
                          <a:spLocks noChangeArrowheads="1"/>
                        </wps:cNvSpPr>
                        <wps:spPr bwMode="auto">
                          <a:xfrm>
                            <a:off x="1906905" y="594360"/>
                            <a:ext cx="685800" cy="198120"/>
                          </a:xfrm>
                          <a:prstGeom prst="rect">
                            <a:avLst/>
                          </a:prstGeom>
                          <a:solidFill>
                            <a:srgbClr val="FFFFFF"/>
                          </a:solidFill>
                          <a:ln w="9525" cmpd="sng">
                            <a:solidFill>
                              <a:srgbClr val="000000"/>
                            </a:solidFill>
                            <a:miter lim="800000"/>
                          </a:ln>
                        </wps:spPr>
                        <wps:txbx>
                          <w:txbxContent>
                            <w:p w14:paraId="5771F3E9" w14:textId="77777777" w:rsidR="00F553A8" w:rsidRDefault="00F553A8">
                              <w:pPr>
                                <w:jc w:val="center"/>
                                <w:rPr>
                                  <w:szCs w:val="21"/>
                                </w:rPr>
                              </w:pPr>
                              <w:r>
                                <w:rPr>
                                  <w:szCs w:val="21"/>
                                </w:rPr>
                                <w:t>粉碎除杂</w:t>
                              </w:r>
                            </w:p>
                          </w:txbxContent>
                        </wps:txbx>
                        <wps:bodyPr rot="0" vert="horz" wrap="square" lIns="0" tIns="0" rIns="0" bIns="0" anchor="t" anchorCtr="0" upright="1">
                          <a:noAutofit/>
                        </wps:bodyPr>
                      </wps:wsp>
                      <wps:wsp>
                        <wps:cNvPr id="115" name="直线 1616"/>
                        <wps:cNvCnPr>
                          <a:cxnSpLocks noChangeShapeType="1"/>
                        </wps:cNvCnPr>
                        <wps:spPr bwMode="auto">
                          <a:xfrm flipH="1">
                            <a:off x="1564005" y="693420"/>
                            <a:ext cx="342900" cy="635"/>
                          </a:xfrm>
                          <a:prstGeom prst="line">
                            <a:avLst/>
                          </a:prstGeom>
                          <a:noFill/>
                          <a:ln w="9525" cmpd="sng">
                            <a:solidFill>
                              <a:srgbClr val="000000"/>
                            </a:solidFill>
                            <a:round/>
                            <a:tailEnd type="triangle" w="sm" len="med"/>
                          </a:ln>
                        </wps:spPr>
                        <wps:bodyPr/>
                      </wps:wsp>
                      <wps:wsp>
                        <wps:cNvPr id="116" name="文本框 1617"/>
                        <wps:cNvSpPr txBox="1">
                          <a:spLocks noChangeArrowheads="1"/>
                        </wps:cNvSpPr>
                        <wps:spPr bwMode="auto">
                          <a:xfrm>
                            <a:off x="649605" y="594360"/>
                            <a:ext cx="914400" cy="198120"/>
                          </a:xfrm>
                          <a:prstGeom prst="rect">
                            <a:avLst/>
                          </a:prstGeom>
                          <a:solidFill>
                            <a:srgbClr val="FFFFFF"/>
                          </a:solidFill>
                          <a:ln w="9525" cmpd="sng">
                            <a:solidFill>
                              <a:srgbClr val="FFFFFF"/>
                            </a:solidFill>
                            <a:miter lim="800000"/>
                          </a:ln>
                        </wps:spPr>
                        <wps:txbx>
                          <w:txbxContent>
                            <w:p w14:paraId="5920A01F" w14:textId="77777777" w:rsidR="00F553A8" w:rsidRDefault="00F553A8">
                              <w:pPr>
                                <w:rPr>
                                  <w:szCs w:val="21"/>
                                </w:rPr>
                              </w:pPr>
                              <w:r>
                                <w:rPr>
                                  <w:szCs w:val="21"/>
                                </w:rPr>
                                <w:t>杂质S</w:t>
                              </w:r>
                              <w:r>
                                <w:rPr>
                                  <w:szCs w:val="21"/>
                                  <w:vertAlign w:val="subscript"/>
                                </w:rPr>
                                <w:t>1-1</w:t>
                              </w:r>
                              <w:r>
                                <w:rPr>
                                  <w:szCs w:val="21"/>
                                </w:rPr>
                                <w:t>7952</w:t>
                              </w:r>
                            </w:p>
                          </w:txbxContent>
                        </wps:txbx>
                        <wps:bodyPr rot="0" vert="horz" wrap="square" lIns="0" tIns="0" rIns="0" bIns="0" anchor="t" anchorCtr="0" upright="1">
                          <a:noAutofit/>
                        </wps:bodyPr>
                      </wps:wsp>
                      <wps:wsp>
                        <wps:cNvPr id="117" name="直线 1618"/>
                        <wps:cNvCnPr>
                          <a:cxnSpLocks noChangeShapeType="1"/>
                        </wps:cNvCnPr>
                        <wps:spPr bwMode="auto">
                          <a:xfrm flipH="1">
                            <a:off x="2592705" y="693420"/>
                            <a:ext cx="571500" cy="635"/>
                          </a:xfrm>
                          <a:prstGeom prst="line">
                            <a:avLst/>
                          </a:prstGeom>
                          <a:noFill/>
                          <a:ln w="9525" cap="rnd" cmpd="sng">
                            <a:solidFill>
                              <a:srgbClr val="000000"/>
                            </a:solidFill>
                            <a:prstDash val="sysDot"/>
                            <a:round/>
                            <a:headEnd type="triangle" w="sm" len="med"/>
                            <a:tailEnd type="none" w="sm" len="med"/>
                          </a:ln>
                        </wps:spPr>
                        <wps:bodyPr/>
                      </wps:wsp>
                      <wps:wsp>
                        <wps:cNvPr id="118" name="文本框 1619"/>
                        <wps:cNvSpPr txBox="1">
                          <a:spLocks noChangeArrowheads="1"/>
                        </wps:cNvSpPr>
                        <wps:spPr bwMode="auto">
                          <a:xfrm>
                            <a:off x="3164205" y="594360"/>
                            <a:ext cx="685800" cy="198120"/>
                          </a:xfrm>
                          <a:prstGeom prst="rect">
                            <a:avLst/>
                          </a:prstGeom>
                          <a:solidFill>
                            <a:srgbClr val="FFFFFF"/>
                          </a:solidFill>
                          <a:ln w="9525" cmpd="sng">
                            <a:solidFill>
                              <a:srgbClr val="000000"/>
                            </a:solidFill>
                            <a:miter lim="800000"/>
                          </a:ln>
                        </wps:spPr>
                        <wps:txbx>
                          <w:txbxContent>
                            <w:p w14:paraId="6C9CE0FD" w14:textId="77777777" w:rsidR="00F553A8" w:rsidRDefault="00F553A8">
                              <w:pPr>
                                <w:jc w:val="center"/>
                                <w:rPr>
                                  <w:szCs w:val="21"/>
                                </w:rPr>
                              </w:pPr>
                              <w:r>
                                <w:rPr>
                                  <w:szCs w:val="21"/>
                                </w:rPr>
                                <w:t>水膜除尘</w:t>
                              </w:r>
                            </w:p>
                          </w:txbxContent>
                        </wps:txbx>
                        <wps:bodyPr rot="0" vert="horz" wrap="square" lIns="0" tIns="0" rIns="0" bIns="0" anchor="t" anchorCtr="0" upright="1">
                          <a:noAutofit/>
                        </wps:bodyPr>
                      </wps:wsp>
                      <wps:wsp>
                        <wps:cNvPr id="119" name="直线 1620"/>
                        <wps:cNvCnPr>
                          <a:cxnSpLocks noChangeShapeType="1"/>
                        </wps:cNvCnPr>
                        <wps:spPr bwMode="auto">
                          <a:xfrm flipH="1">
                            <a:off x="3850005" y="693420"/>
                            <a:ext cx="342900" cy="635"/>
                          </a:xfrm>
                          <a:prstGeom prst="line">
                            <a:avLst/>
                          </a:prstGeom>
                          <a:noFill/>
                          <a:ln w="9525" cmpd="sng">
                            <a:solidFill>
                              <a:srgbClr val="000000"/>
                            </a:solidFill>
                            <a:round/>
                            <a:tailEnd type="triangle" w="sm" len="med"/>
                          </a:ln>
                        </wps:spPr>
                        <wps:bodyPr/>
                      </wps:wsp>
                      <wps:wsp>
                        <wps:cNvPr id="120" name="文本框 1621"/>
                        <wps:cNvSpPr txBox="1">
                          <a:spLocks noChangeArrowheads="1"/>
                        </wps:cNvSpPr>
                        <wps:spPr bwMode="auto">
                          <a:xfrm>
                            <a:off x="4192905" y="594360"/>
                            <a:ext cx="914400" cy="198120"/>
                          </a:xfrm>
                          <a:prstGeom prst="rect">
                            <a:avLst/>
                          </a:prstGeom>
                          <a:solidFill>
                            <a:srgbClr val="FFFFFF"/>
                          </a:solidFill>
                          <a:ln w="9525" cmpd="sng">
                            <a:solidFill>
                              <a:srgbClr val="FFFFFF"/>
                            </a:solidFill>
                            <a:miter lim="800000"/>
                          </a:ln>
                        </wps:spPr>
                        <wps:txbx>
                          <w:txbxContent>
                            <w:p w14:paraId="4D23CEC0" w14:textId="77777777" w:rsidR="00F553A8" w:rsidRDefault="00F553A8">
                              <w:pPr>
                                <w:rPr>
                                  <w:szCs w:val="21"/>
                                </w:rPr>
                              </w:pPr>
                              <w:r>
                                <w:rPr>
                                  <w:szCs w:val="21"/>
                                </w:rPr>
                                <w:t>水60000</w:t>
                              </w:r>
                            </w:p>
                          </w:txbxContent>
                        </wps:txbx>
                        <wps:bodyPr rot="0" vert="horz" wrap="square" lIns="0" tIns="0" rIns="0" bIns="0" anchor="t" anchorCtr="0" upright="1">
                          <a:noAutofit/>
                        </wps:bodyPr>
                      </wps:wsp>
                      <wps:wsp>
                        <wps:cNvPr id="121" name="直线 1622"/>
                        <wps:cNvCnPr>
                          <a:cxnSpLocks noChangeShapeType="1"/>
                        </wps:cNvCnPr>
                        <wps:spPr bwMode="auto">
                          <a:xfrm>
                            <a:off x="3507105" y="396240"/>
                            <a:ext cx="635" cy="198120"/>
                          </a:xfrm>
                          <a:prstGeom prst="line">
                            <a:avLst/>
                          </a:prstGeom>
                          <a:noFill/>
                          <a:ln w="9525" cap="rnd" cmpd="sng">
                            <a:solidFill>
                              <a:srgbClr val="000000"/>
                            </a:solidFill>
                            <a:prstDash val="sysDot"/>
                            <a:round/>
                            <a:headEnd type="triangle" w="sm" len="med"/>
                            <a:tailEnd type="none" w="sm" len="med"/>
                          </a:ln>
                        </wps:spPr>
                        <wps:bodyPr/>
                      </wps:wsp>
                      <wps:wsp>
                        <wps:cNvPr id="122" name="文本框 1623"/>
                        <wps:cNvSpPr txBox="1">
                          <a:spLocks noChangeArrowheads="1"/>
                        </wps:cNvSpPr>
                        <wps:spPr bwMode="auto">
                          <a:xfrm>
                            <a:off x="2935605" y="198120"/>
                            <a:ext cx="1687830" cy="198120"/>
                          </a:xfrm>
                          <a:prstGeom prst="rect">
                            <a:avLst/>
                          </a:prstGeom>
                          <a:solidFill>
                            <a:srgbClr val="FFFFFF"/>
                          </a:solidFill>
                          <a:ln w="9525" cmpd="sng">
                            <a:solidFill>
                              <a:srgbClr val="FFFFFF"/>
                            </a:solidFill>
                            <a:miter lim="800000"/>
                          </a:ln>
                        </wps:spPr>
                        <wps:txbx>
                          <w:txbxContent>
                            <w:p w14:paraId="511487A6" w14:textId="77777777" w:rsidR="00F553A8" w:rsidRDefault="00F553A8">
                              <w:pPr>
                                <w:rPr>
                                  <w:szCs w:val="21"/>
                                </w:rPr>
                              </w:pPr>
                              <w:r>
                                <w:rPr>
                                  <w:szCs w:val="21"/>
                                </w:rPr>
                                <w:t>废气G</w:t>
                              </w:r>
                              <w:r>
                                <w:rPr>
                                  <w:szCs w:val="21"/>
                                  <w:vertAlign w:val="subscript"/>
                                </w:rPr>
                                <w:t>1-1</w:t>
                              </w:r>
                              <w:r>
                                <w:rPr>
                                  <w:szCs w:val="21"/>
                                </w:rPr>
                                <w:t>16(粉尘16)</w:t>
                              </w:r>
                            </w:p>
                          </w:txbxContent>
                        </wps:txbx>
                        <wps:bodyPr rot="0" vert="horz" wrap="square" lIns="0" tIns="0" rIns="0" bIns="0" anchor="t" anchorCtr="0" upright="1">
                          <a:noAutofit/>
                        </wps:bodyPr>
                      </wps:wsp>
                      <wps:wsp>
                        <wps:cNvPr id="123" name="直线 1624"/>
                        <wps:cNvCnPr>
                          <a:cxnSpLocks noChangeShapeType="1"/>
                        </wps:cNvCnPr>
                        <wps:spPr bwMode="auto">
                          <a:xfrm>
                            <a:off x="3735705" y="792480"/>
                            <a:ext cx="635" cy="198120"/>
                          </a:xfrm>
                          <a:prstGeom prst="line">
                            <a:avLst/>
                          </a:prstGeom>
                          <a:noFill/>
                          <a:ln w="9525" cap="rnd" cmpd="sng">
                            <a:solidFill>
                              <a:srgbClr val="000000"/>
                            </a:solidFill>
                            <a:prstDash val="sysDot"/>
                            <a:round/>
                            <a:headEnd type="none" w="sm" len="med"/>
                            <a:tailEnd type="triangle" w="sm" len="med"/>
                          </a:ln>
                        </wps:spPr>
                        <wps:bodyPr/>
                      </wps:wsp>
                      <wps:wsp>
                        <wps:cNvPr id="124" name="文本框 1625"/>
                        <wps:cNvSpPr txBox="1">
                          <a:spLocks noChangeArrowheads="1"/>
                        </wps:cNvSpPr>
                        <wps:spPr bwMode="auto">
                          <a:xfrm>
                            <a:off x="3621405" y="990600"/>
                            <a:ext cx="914400" cy="396240"/>
                          </a:xfrm>
                          <a:prstGeom prst="rect">
                            <a:avLst/>
                          </a:prstGeom>
                          <a:solidFill>
                            <a:srgbClr val="FFFFFF"/>
                          </a:solidFill>
                          <a:ln w="9525" cmpd="sng">
                            <a:solidFill>
                              <a:srgbClr val="FFFFFF"/>
                            </a:solidFill>
                            <a:miter lim="800000"/>
                          </a:ln>
                        </wps:spPr>
                        <wps:txbx>
                          <w:txbxContent>
                            <w:p w14:paraId="78CC2FFB" w14:textId="77777777" w:rsidR="00F553A8" w:rsidRDefault="00F553A8">
                              <w:pPr>
                                <w:rPr>
                                  <w:szCs w:val="21"/>
                                </w:rPr>
                              </w:pPr>
                              <w:r>
                                <w:rPr>
                                  <w:szCs w:val="21"/>
                                </w:rPr>
                                <w:t>水气损耗3000</w:t>
                              </w:r>
                            </w:p>
                          </w:txbxContent>
                        </wps:txbx>
                        <wps:bodyPr rot="0" vert="horz" wrap="square" lIns="0" tIns="0" rIns="0" bIns="0" anchor="t" anchorCtr="0" upright="1">
                          <a:noAutofit/>
                        </wps:bodyPr>
                      </wps:wsp>
                      <wps:wsp>
                        <wps:cNvPr id="125" name="直线 1626"/>
                        <wps:cNvCnPr>
                          <a:cxnSpLocks noChangeShapeType="1"/>
                        </wps:cNvCnPr>
                        <wps:spPr bwMode="auto">
                          <a:xfrm>
                            <a:off x="3506470" y="792480"/>
                            <a:ext cx="635" cy="495300"/>
                          </a:xfrm>
                          <a:prstGeom prst="line">
                            <a:avLst/>
                          </a:prstGeom>
                          <a:noFill/>
                          <a:ln w="9525" cmpd="sng">
                            <a:solidFill>
                              <a:srgbClr val="000000"/>
                            </a:solidFill>
                            <a:round/>
                            <a:headEnd type="none" w="sm" len="med"/>
                            <a:tailEnd type="none" w="sm" len="med"/>
                          </a:ln>
                        </wps:spPr>
                        <wps:bodyPr/>
                      </wps:wsp>
                      <wps:wsp>
                        <wps:cNvPr id="126" name="直线 1627"/>
                        <wps:cNvCnPr>
                          <a:cxnSpLocks noChangeShapeType="1"/>
                        </wps:cNvCnPr>
                        <wps:spPr bwMode="auto">
                          <a:xfrm>
                            <a:off x="2249805" y="792480"/>
                            <a:ext cx="635" cy="396240"/>
                          </a:xfrm>
                          <a:prstGeom prst="line">
                            <a:avLst/>
                          </a:prstGeom>
                          <a:noFill/>
                          <a:ln w="9525" cmpd="sng">
                            <a:solidFill>
                              <a:srgbClr val="000000"/>
                            </a:solidFill>
                            <a:round/>
                            <a:tailEnd type="triangle" w="sm" len="med"/>
                          </a:ln>
                        </wps:spPr>
                        <wps:bodyPr/>
                      </wps:wsp>
                      <wps:wsp>
                        <wps:cNvPr id="127" name="文本框 1628"/>
                        <wps:cNvSpPr txBox="1">
                          <a:spLocks noChangeArrowheads="1"/>
                        </wps:cNvSpPr>
                        <wps:spPr bwMode="auto">
                          <a:xfrm>
                            <a:off x="1906905" y="1188720"/>
                            <a:ext cx="685800" cy="198120"/>
                          </a:xfrm>
                          <a:prstGeom prst="rect">
                            <a:avLst/>
                          </a:prstGeom>
                          <a:solidFill>
                            <a:srgbClr val="FFFFFF"/>
                          </a:solidFill>
                          <a:ln w="9525" cmpd="sng">
                            <a:solidFill>
                              <a:srgbClr val="000000"/>
                            </a:solidFill>
                            <a:miter lim="800000"/>
                          </a:ln>
                        </wps:spPr>
                        <wps:txbx>
                          <w:txbxContent>
                            <w:p w14:paraId="7C7334A9" w14:textId="77777777" w:rsidR="00F553A8" w:rsidRDefault="00F553A8">
                              <w:pPr>
                                <w:jc w:val="center"/>
                                <w:rPr>
                                  <w:szCs w:val="21"/>
                                </w:rPr>
                              </w:pPr>
                              <w:r>
                                <w:rPr>
                                  <w:szCs w:val="21"/>
                                </w:rPr>
                                <w:t>拌料</w:t>
                              </w:r>
                            </w:p>
                          </w:txbxContent>
                        </wps:txbx>
                        <wps:bodyPr rot="0" vert="horz" wrap="square" lIns="0" tIns="0" rIns="0" bIns="0" anchor="t" anchorCtr="0" upright="1">
                          <a:noAutofit/>
                        </wps:bodyPr>
                      </wps:wsp>
                      <wps:wsp>
                        <wps:cNvPr id="128" name="直线 1629"/>
                        <wps:cNvCnPr>
                          <a:cxnSpLocks noChangeShapeType="1"/>
                        </wps:cNvCnPr>
                        <wps:spPr bwMode="auto">
                          <a:xfrm flipH="1">
                            <a:off x="1564005" y="1287780"/>
                            <a:ext cx="342900" cy="635"/>
                          </a:xfrm>
                          <a:prstGeom prst="line">
                            <a:avLst/>
                          </a:prstGeom>
                          <a:noFill/>
                          <a:ln w="9525" cmpd="sng">
                            <a:solidFill>
                              <a:srgbClr val="000000"/>
                            </a:solidFill>
                            <a:round/>
                            <a:headEnd type="triangle" w="sm" len="med"/>
                            <a:tailEnd type="none" w="sm" len="med"/>
                          </a:ln>
                        </wps:spPr>
                        <wps:bodyPr/>
                      </wps:wsp>
                      <wps:wsp>
                        <wps:cNvPr id="129" name="直线 1630"/>
                        <wps:cNvCnPr>
                          <a:cxnSpLocks noChangeShapeType="1"/>
                        </wps:cNvCnPr>
                        <wps:spPr bwMode="auto">
                          <a:xfrm>
                            <a:off x="1564005" y="1089660"/>
                            <a:ext cx="0" cy="396240"/>
                          </a:xfrm>
                          <a:prstGeom prst="line">
                            <a:avLst/>
                          </a:prstGeom>
                          <a:noFill/>
                          <a:ln w="9525" cmpd="sng">
                            <a:solidFill>
                              <a:srgbClr val="000000"/>
                            </a:solidFill>
                            <a:round/>
                          </a:ln>
                        </wps:spPr>
                        <wps:bodyPr/>
                      </wps:wsp>
                      <wps:wsp>
                        <wps:cNvPr id="130" name="直线 1631"/>
                        <wps:cNvCnPr>
                          <a:cxnSpLocks noChangeShapeType="1"/>
                        </wps:cNvCnPr>
                        <wps:spPr bwMode="auto">
                          <a:xfrm flipH="1">
                            <a:off x="1221105" y="1089660"/>
                            <a:ext cx="342900" cy="635"/>
                          </a:xfrm>
                          <a:prstGeom prst="line">
                            <a:avLst/>
                          </a:prstGeom>
                          <a:noFill/>
                          <a:ln w="9525" cmpd="sng">
                            <a:solidFill>
                              <a:srgbClr val="000000"/>
                            </a:solidFill>
                            <a:round/>
                            <a:headEnd type="none" w="sm" len="med"/>
                            <a:tailEnd type="none" w="sm" len="med"/>
                          </a:ln>
                        </wps:spPr>
                        <wps:bodyPr/>
                      </wps:wsp>
                      <wps:wsp>
                        <wps:cNvPr id="131" name="直线 1632"/>
                        <wps:cNvCnPr>
                          <a:cxnSpLocks noChangeShapeType="1"/>
                        </wps:cNvCnPr>
                        <wps:spPr bwMode="auto">
                          <a:xfrm flipH="1">
                            <a:off x="1221105" y="1485900"/>
                            <a:ext cx="342900" cy="635"/>
                          </a:xfrm>
                          <a:prstGeom prst="line">
                            <a:avLst/>
                          </a:prstGeom>
                          <a:noFill/>
                          <a:ln w="9525" cmpd="sng">
                            <a:solidFill>
                              <a:srgbClr val="000000"/>
                            </a:solidFill>
                            <a:round/>
                            <a:headEnd type="none" w="sm" len="med"/>
                            <a:tailEnd type="none" w="sm" len="med"/>
                          </a:ln>
                        </wps:spPr>
                        <wps:bodyPr/>
                      </wps:wsp>
                      <wps:wsp>
                        <wps:cNvPr id="132" name="文本框 1633"/>
                        <wps:cNvSpPr txBox="1">
                          <a:spLocks noChangeArrowheads="1"/>
                        </wps:cNvSpPr>
                        <wps:spPr bwMode="auto">
                          <a:xfrm>
                            <a:off x="90805" y="990600"/>
                            <a:ext cx="1130300" cy="198120"/>
                          </a:xfrm>
                          <a:prstGeom prst="rect">
                            <a:avLst/>
                          </a:prstGeom>
                          <a:solidFill>
                            <a:srgbClr val="FFFFFF"/>
                          </a:solidFill>
                          <a:ln w="9525" cmpd="sng">
                            <a:solidFill>
                              <a:srgbClr val="FFFFFF"/>
                            </a:solidFill>
                            <a:miter lim="800000"/>
                          </a:ln>
                        </wps:spPr>
                        <wps:txbx>
                          <w:txbxContent>
                            <w:p w14:paraId="686E2BC7" w14:textId="77777777" w:rsidR="00F553A8" w:rsidRDefault="00F553A8">
                              <w:pPr>
                                <w:ind w:firstLineChars="200" w:firstLine="420"/>
                                <w:jc w:val="right"/>
                                <w:rPr>
                                  <w:szCs w:val="21"/>
                                </w:rPr>
                              </w:pPr>
                              <w:r>
                                <w:rPr>
                                  <w:szCs w:val="21"/>
                                </w:rPr>
                                <w:t>水797000</w:t>
                              </w:r>
                            </w:p>
                          </w:txbxContent>
                        </wps:txbx>
                        <wps:bodyPr rot="0" vert="horz" wrap="square" lIns="0" tIns="0" rIns="0" bIns="0" anchor="t" anchorCtr="0" upright="1">
                          <a:noAutofit/>
                        </wps:bodyPr>
                      </wps:wsp>
                      <wps:wsp>
                        <wps:cNvPr id="133" name="文本框 1634"/>
                        <wps:cNvSpPr txBox="1">
                          <a:spLocks noChangeArrowheads="1"/>
                        </wps:cNvSpPr>
                        <wps:spPr bwMode="auto">
                          <a:xfrm>
                            <a:off x="306705" y="1386840"/>
                            <a:ext cx="914400" cy="198120"/>
                          </a:xfrm>
                          <a:prstGeom prst="rect">
                            <a:avLst/>
                          </a:prstGeom>
                          <a:solidFill>
                            <a:srgbClr val="FFFFFF"/>
                          </a:solidFill>
                          <a:ln w="9525" cmpd="sng">
                            <a:solidFill>
                              <a:srgbClr val="FFFFFF"/>
                            </a:solidFill>
                            <a:miter lim="800000"/>
                          </a:ln>
                        </wps:spPr>
                        <wps:txbx>
                          <w:txbxContent>
                            <w:p w14:paraId="70593E14" w14:textId="77777777" w:rsidR="00F553A8" w:rsidRDefault="00F553A8">
                              <w:pPr>
                                <w:ind w:firstLineChars="50" w:firstLine="105"/>
                                <w:jc w:val="right"/>
                                <w:rPr>
                                  <w:szCs w:val="21"/>
                                </w:rPr>
                              </w:pPr>
                              <w:r>
                                <w:rPr>
                                  <w:szCs w:val="21"/>
                                </w:rPr>
                                <w:t>淀粉酶50</w:t>
                              </w:r>
                            </w:p>
                          </w:txbxContent>
                        </wps:txbx>
                        <wps:bodyPr rot="0" vert="horz" wrap="square" lIns="0" tIns="0" rIns="0" bIns="0" anchor="t" anchorCtr="0" upright="1">
                          <a:noAutofit/>
                        </wps:bodyPr>
                      </wps:wsp>
                      <wps:wsp>
                        <wps:cNvPr id="134" name="直线 1635"/>
                        <wps:cNvCnPr>
                          <a:cxnSpLocks noChangeShapeType="1"/>
                        </wps:cNvCnPr>
                        <wps:spPr bwMode="auto">
                          <a:xfrm>
                            <a:off x="2249805" y="1386840"/>
                            <a:ext cx="635" cy="396240"/>
                          </a:xfrm>
                          <a:prstGeom prst="line">
                            <a:avLst/>
                          </a:prstGeom>
                          <a:noFill/>
                          <a:ln w="9525" cmpd="sng">
                            <a:solidFill>
                              <a:srgbClr val="000000"/>
                            </a:solidFill>
                            <a:round/>
                            <a:headEnd type="none" w="sm" len="med"/>
                            <a:tailEnd type="triangle" w="sm" len="med"/>
                          </a:ln>
                        </wps:spPr>
                        <wps:bodyPr/>
                      </wps:wsp>
                      <wps:wsp>
                        <wps:cNvPr id="135" name="文本框 1636"/>
                        <wps:cNvSpPr txBox="1">
                          <a:spLocks noChangeArrowheads="1"/>
                        </wps:cNvSpPr>
                        <wps:spPr bwMode="auto">
                          <a:xfrm>
                            <a:off x="1906905" y="1783080"/>
                            <a:ext cx="685800" cy="198120"/>
                          </a:xfrm>
                          <a:prstGeom prst="rect">
                            <a:avLst/>
                          </a:prstGeom>
                          <a:solidFill>
                            <a:srgbClr val="FFFFFF"/>
                          </a:solidFill>
                          <a:ln w="9525" cmpd="sng">
                            <a:solidFill>
                              <a:srgbClr val="000000"/>
                            </a:solidFill>
                            <a:miter lim="800000"/>
                          </a:ln>
                        </wps:spPr>
                        <wps:txbx>
                          <w:txbxContent>
                            <w:p w14:paraId="14B07A8D" w14:textId="77777777" w:rsidR="00F553A8" w:rsidRDefault="00F553A8">
                              <w:pPr>
                                <w:jc w:val="center"/>
                                <w:rPr>
                                  <w:szCs w:val="21"/>
                                </w:rPr>
                              </w:pPr>
                              <w:r>
                                <w:rPr>
                                  <w:szCs w:val="21"/>
                                </w:rPr>
                                <w:t>蒸煮液化</w:t>
                              </w:r>
                            </w:p>
                          </w:txbxContent>
                        </wps:txbx>
                        <wps:bodyPr rot="0" vert="horz" wrap="square" lIns="0" tIns="0" rIns="0" bIns="0" anchor="t" anchorCtr="0" upright="1">
                          <a:noAutofit/>
                        </wps:bodyPr>
                      </wps:wsp>
                      <wps:wsp>
                        <wps:cNvPr id="136" name="直线 1637"/>
                        <wps:cNvCnPr>
                          <a:cxnSpLocks noChangeShapeType="1"/>
                        </wps:cNvCnPr>
                        <wps:spPr bwMode="auto">
                          <a:xfrm>
                            <a:off x="2249805" y="1981200"/>
                            <a:ext cx="635" cy="396240"/>
                          </a:xfrm>
                          <a:prstGeom prst="line">
                            <a:avLst/>
                          </a:prstGeom>
                          <a:noFill/>
                          <a:ln w="9525" cmpd="sng">
                            <a:solidFill>
                              <a:srgbClr val="000000"/>
                            </a:solidFill>
                            <a:round/>
                            <a:headEnd type="none" w="sm" len="med"/>
                            <a:tailEnd type="triangle" w="sm" len="med"/>
                          </a:ln>
                        </wps:spPr>
                        <wps:bodyPr/>
                      </wps:wsp>
                      <wps:wsp>
                        <wps:cNvPr id="137" name="直线 1638"/>
                        <wps:cNvCnPr>
                          <a:cxnSpLocks noChangeShapeType="1"/>
                        </wps:cNvCnPr>
                        <wps:spPr bwMode="auto">
                          <a:xfrm flipH="1">
                            <a:off x="1564005" y="1882140"/>
                            <a:ext cx="342900" cy="635"/>
                          </a:xfrm>
                          <a:prstGeom prst="line">
                            <a:avLst/>
                          </a:prstGeom>
                          <a:noFill/>
                          <a:ln w="9525" cmpd="sng">
                            <a:solidFill>
                              <a:srgbClr val="000000"/>
                            </a:solidFill>
                            <a:round/>
                            <a:headEnd type="triangle" w="sm" len="med"/>
                            <a:tailEnd type="none" w="sm" len="med"/>
                          </a:ln>
                        </wps:spPr>
                        <wps:bodyPr/>
                      </wps:wsp>
                      <wps:wsp>
                        <wps:cNvPr id="138" name="文本框 1639"/>
                        <wps:cNvSpPr txBox="1">
                          <a:spLocks noChangeArrowheads="1"/>
                        </wps:cNvSpPr>
                        <wps:spPr bwMode="auto">
                          <a:xfrm>
                            <a:off x="763905" y="1783080"/>
                            <a:ext cx="800100" cy="198120"/>
                          </a:xfrm>
                          <a:prstGeom prst="rect">
                            <a:avLst/>
                          </a:prstGeom>
                          <a:solidFill>
                            <a:srgbClr val="FFFFFF"/>
                          </a:solidFill>
                          <a:ln w="9525" cmpd="sng">
                            <a:solidFill>
                              <a:srgbClr val="FFFFFF"/>
                            </a:solidFill>
                            <a:miter lim="800000"/>
                          </a:ln>
                        </wps:spPr>
                        <wps:txbx>
                          <w:txbxContent>
                            <w:p w14:paraId="7AFEADA4" w14:textId="77777777" w:rsidR="00F553A8" w:rsidRDefault="00F553A8">
                              <w:pPr>
                                <w:ind w:firstLineChars="50" w:firstLine="105"/>
                                <w:rPr>
                                  <w:szCs w:val="21"/>
                                </w:rPr>
                              </w:pPr>
                              <w:r>
                                <w:rPr>
                                  <w:szCs w:val="21"/>
                                </w:rPr>
                                <w:t>蒸汽55500</w:t>
                              </w:r>
                            </w:p>
                          </w:txbxContent>
                        </wps:txbx>
                        <wps:bodyPr rot="0" vert="horz" wrap="square" lIns="0" tIns="0" rIns="0" bIns="0" anchor="t" anchorCtr="0" upright="1">
                          <a:noAutofit/>
                        </wps:bodyPr>
                      </wps:wsp>
                      <wps:wsp>
                        <wps:cNvPr id="139" name="直线 1640"/>
                        <wps:cNvCnPr>
                          <a:cxnSpLocks noChangeShapeType="1"/>
                        </wps:cNvCnPr>
                        <wps:spPr bwMode="auto">
                          <a:xfrm flipH="1">
                            <a:off x="2592705" y="1882140"/>
                            <a:ext cx="342900" cy="635"/>
                          </a:xfrm>
                          <a:prstGeom prst="line">
                            <a:avLst/>
                          </a:prstGeom>
                          <a:noFill/>
                          <a:ln w="9525" cap="rnd" cmpd="sng">
                            <a:solidFill>
                              <a:srgbClr val="000000"/>
                            </a:solidFill>
                            <a:prstDash val="sysDot"/>
                            <a:round/>
                            <a:headEnd type="triangle" w="sm" len="med"/>
                            <a:tailEnd type="none" w="sm" len="med"/>
                          </a:ln>
                        </wps:spPr>
                        <wps:bodyPr/>
                      </wps:wsp>
                      <wps:wsp>
                        <wps:cNvPr id="140" name="文本框 1641"/>
                        <wps:cNvSpPr txBox="1">
                          <a:spLocks noChangeArrowheads="1"/>
                        </wps:cNvSpPr>
                        <wps:spPr bwMode="auto">
                          <a:xfrm>
                            <a:off x="2935605" y="1783080"/>
                            <a:ext cx="1533525" cy="198120"/>
                          </a:xfrm>
                          <a:prstGeom prst="rect">
                            <a:avLst/>
                          </a:prstGeom>
                          <a:solidFill>
                            <a:srgbClr val="FFFFFF"/>
                          </a:solidFill>
                          <a:ln w="9525" cmpd="sng">
                            <a:solidFill>
                              <a:srgbClr val="FFFFFF"/>
                            </a:solidFill>
                            <a:miter lim="800000"/>
                          </a:ln>
                        </wps:spPr>
                        <wps:txbx>
                          <w:txbxContent>
                            <w:p w14:paraId="5ED2A4AF" w14:textId="77777777" w:rsidR="00F553A8" w:rsidRDefault="00F553A8">
                              <w:pPr>
                                <w:rPr>
                                  <w:szCs w:val="21"/>
                                </w:rPr>
                              </w:pPr>
                              <w:r>
                                <w:rPr>
                                  <w:szCs w:val="21"/>
                                </w:rPr>
                                <w:t>水气损耗9000</w:t>
                              </w:r>
                            </w:p>
                          </w:txbxContent>
                        </wps:txbx>
                        <wps:bodyPr rot="0" vert="horz" wrap="square" lIns="0" tIns="0" rIns="0" bIns="0" anchor="t" anchorCtr="0" upright="1">
                          <a:noAutofit/>
                        </wps:bodyPr>
                      </wps:wsp>
                      <wps:wsp>
                        <wps:cNvPr id="141" name="文本框 1642"/>
                        <wps:cNvSpPr txBox="1">
                          <a:spLocks noChangeArrowheads="1"/>
                        </wps:cNvSpPr>
                        <wps:spPr bwMode="auto">
                          <a:xfrm>
                            <a:off x="2364105" y="2080260"/>
                            <a:ext cx="914400" cy="198120"/>
                          </a:xfrm>
                          <a:prstGeom prst="rect">
                            <a:avLst/>
                          </a:prstGeom>
                          <a:solidFill>
                            <a:srgbClr val="FFFFFF"/>
                          </a:solidFill>
                          <a:ln w="9525" cmpd="sng">
                            <a:solidFill>
                              <a:srgbClr val="FFFFFF"/>
                            </a:solidFill>
                            <a:miter lim="800000"/>
                          </a:ln>
                        </wps:spPr>
                        <wps:txbx>
                          <w:txbxContent>
                            <w:p w14:paraId="6BD35F52" w14:textId="77777777" w:rsidR="00F553A8" w:rsidRDefault="00F553A8">
                              <w:pPr>
                                <w:rPr>
                                  <w:szCs w:val="21"/>
                                </w:rPr>
                              </w:pPr>
                              <w:r>
                                <w:rPr>
                                  <w:szCs w:val="21"/>
                                </w:rPr>
                                <w:t>真空冷却</w:t>
                              </w:r>
                            </w:p>
                          </w:txbxContent>
                        </wps:txbx>
                        <wps:bodyPr rot="0" vert="horz" wrap="square" lIns="0" tIns="0" rIns="0" bIns="0" anchor="t" anchorCtr="0" upright="1">
                          <a:noAutofit/>
                        </wps:bodyPr>
                      </wps:wsp>
                      <wps:wsp>
                        <wps:cNvPr id="142" name="文本框 1643"/>
                        <wps:cNvSpPr txBox="1">
                          <a:spLocks noChangeArrowheads="1"/>
                        </wps:cNvSpPr>
                        <wps:spPr bwMode="auto">
                          <a:xfrm>
                            <a:off x="1906905" y="2377440"/>
                            <a:ext cx="685800" cy="198120"/>
                          </a:xfrm>
                          <a:prstGeom prst="rect">
                            <a:avLst/>
                          </a:prstGeom>
                          <a:solidFill>
                            <a:srgbClr val="FFFFFF"/>
                          </a:solidFill>
                          <a:ln w="9525" cmpd="sng">
                            <a:solidFill>
                              <a:srgbClr val="000000"/>
                            </a:solidFill>
                            <a:miter lim="800000"/>
                          </a:ln>
                        </wps:spPr>
                        <wps:txbx>
                          <w:txbxContent>
                            <w:p w14:paraId="0D037818" w14:textId="77777777" w:rsidR="00F553A8" w:rsidRDefault="00F553A8">
                              <w:pPr>
                                <w:jc w:val="center"/>
                                <w:rPr>
                                  <w:szCs w:val="21"/>
                                </w:rPr>
                              </w:pPr>
                              <w:r>
                                <w:rPr>
                                  <w:szCs w:val="21"/>
                                </w:rPr>
                                <w:t>糖化</w:t>
                              </w:r>
                            </w:p>
                          </w:txbxContent>
                        </wps:txbx>
                        <wps:bodyPr rot="0" vert="horz" wrap="square" lIns="0" tIns="0" rIns="0" bIns="0" anchor="t" anchorCtr="0" upright="1">
                          <a:noAutofit/>
                        </wps:bodyPr>
                      </wps:wsp>
                      <wps:wsp>
                        <wps:cNvPr id="143" name="直线 1644"/>
                        <wps:cNvCnPr>
                          <a:cxnSpLocks noChangeShapeType="1"/>
                        </wps:cNvCnPr>
                        <wps:spPr bwMode="auto">
                          <a:xfrm flipH="1">
                            <a:off x="1564005" y="2476500"/>
                            <a:ext cx="342900" cy="635"/>
                          </a:xfrm>
                          <a:prstGeom prst="line">
                            <a:avLst/>
                          </a:prstGeom>
                          <a:noFill/>
                          <a:ln w="9525" cmpd="sng">
                            <a:solidFill>
                              <a:srgbClr val="000000"/>
                            </a:solidFill>
                            <a:round/>
                            <a:headEnd type="triangle" w="sm" len="med"/>
                            <a:tailEnd type="none" w="sm" len="med"/>
                          </a:ln>
                        </wps:spPr>
                        <wps:bodyPr/>
                      </wps:wsp>
                      <wps:wsp>
                        <wps:cNvPr id="144" name="直线 1645"/>
                        <wps:cNvCnPr>
                          <a:cxnSpLocks noChangeShapeType="1"/>
                        </wps:cNvCnPr>
                        <wps:spPr bwMode="auto">
                          <a:xfrm>
                            <a:off x="1564005" y="2278380"/>
                            <a:ext cx="635" cy="396240"/>
                          </a:xfrm>
                          <a:prstGeom prst="line">
                            <a:avLst/>
                          </a:prstGeom>
                          <a:noFill/>
                          <a:ln w="9525" cmpd="sng">
                            <a:solidFill>
                              <a:srgbClr val="000000"/>
                            </a:solidFill>
                            <a:round/>
                          </a:ln>
                        </wps:spPr>
                        <wps:bodyPr/>
                      </wps:wsp>
                      <wps:wsp>
                        <wps:cNvPr id="145" name="直线 1646"/>
                        <wps:cNvCnPr>
                          <a:cxnSpLocks noChangeShapeType="1"/>
                        </wps:cNvCnPr>
                        <wps:spPr bwMode="auto">
                          <a:xfrm flipH="1">
                            <a:off x="1221105" y="2278380"/>
                            <a:ext cx="342900" cy="635"/>
                          </a:xfrm>
                          <a:prstGeom prst="line">
                            <a:avLst/>
                          </a:prstGeom>
                          <a:noFill/>
                          <a:ln w="9525" cmpd="sng">
                            <a:solidFill>
                              <a:srgbClr val="000000"/>
                            </a:solidFill>
                            <a:round/>
                            <a:headEnd type="none" w="sm" len="med"/>
                            <a:tailEnd type="none" w="sm" len="med"/>
                          </a:ln>
                        </wps:spPr>
                        <wps:bodyPr/>
                      </wps:wsp>
                      <wps:wsp>
                        <wps:cNvPr id="146" name="直线 1647"/>
                        <wps:cNvCnPr>
                          <a:cxnSpLocks noChangeShapeType="1"/>
                        </wps:cNvCnPr>
                        <wps:spPr bwMode="auto">
                          <a:xfrm flipH="1">
                            <a:off x="1221105" y="2674620"/>
                            <a:ext cx="342900" cy="635"/>
                          </a:xfrm>
                          <a:prstGeom prst="line">
                            <a:avLst/>
                          </a:prstGeom>
                          <a:noFill/>
                          <a:ln w="9525" cmpd="sng">
                            <a:solidFill>
                              <a:srgbClr val="000000"/>
                            </a:solidFill>
                            <a:round/>
                            <a:headEnd type="none" w="sm" len="med"/>
                            <a:tailEnd type="none" w="sm" len="med"/>
                          </a:ln>
                        </wps:spPr>
                        <wps:bodyPr/>
                      </wps:wsp>
                      <wps:wsp>
                        <wps:cNvPr id="147" name="文本框 1648"/>
                        <wps:cNvSpPr txBox="1">
                          <a:spLocks noChangeArrowheads="1"/>
                        </wps:cNvSpPr>
                        <wps:spPr bwMode="auto">
                          <a:xfrm>
                            <a:off x="649605" y="2179320"/>
                            <a:ext cx="571500" cy="198120"/>
                          </a:xfrm>
                          <a:prstGeom prst="rect">
                            <a:avLst/>
                          </a:prstGeom>
                          <a:solidFill>
                            <a:srgbClr val="FFFFFF"/>
                          </a:solidFill>
                          <a:ln w="9525" cmpd="sng">
                            <a:solidFill>
                              <a:srgbClr val="FFFFFF"/>
                            </a:solidFill>
                            <a:miter lim="800000"/>
                          </a:ln>
                        </wps:spPr>
                        <wps:txbx>
                          <w:txbxContent>
                            <w:p w14:paraId="050E475B" w14:textId="77777777" w:rsidR="00F553A8" w:rsidRDefault="00F553A8">
                              <w:pPr>
                                <w:jc w:val="left"/>
                              </w:pPr>
                              <w:r>
                                <w:rPr>
                                  <w:szCs w:val="21"/>
                                </w:rPr>
                                <w:t>水</w:t>
                              </w:r>
                              <w:r>
                                <w:t>25043</w:t>
                              </w:r>
                            </w:p>
                          </w:txbxContent>
                        </wps:txbx>
                        <wps:bodyPr rot="0" vert="horz" wrap="square" lIns="0" tIns="0" rIns="0" bIns="0" anchor="t" anchorCtr="0" upright="1">
                          <a:noAutofit/>
                        </wps:bodyPr>
                      </wps:wsp>
                      <wps:wsp>
                        <wps:cNvPr id="148" name="文本框 1649"/>
                        <wps:cNvSpPr txBox="1">
                          <a:spLocks noChangeArrowheads="1"/>
                        </wps:cNvSpPr>
                        <wps:spPr bwMode="auto">
                          <a:xfrm>
                            <a:off x="535305" y="2575560"/>
                            <a:ext cx="685800" cy="198120"/>
                          </a:xfrm>
                          <a:prstGeom prst="rect">
                            <a:avLst/>
                          </a:prstGeom>
                          <a:solidFill>
                            <a:srgbClr val="FFFFFF"/>
                          </a:solidFill>
                          <a:ln w="9525" cmpd="sng">
                            <a:solidFill>
                              <a:srgbClr val="FFFFFF"/>
                            </a:solidFill>
                            <a:miter lim="800000"/>
                          </a:ln>
                        </wps:spPr>
                        <wps:txbx>
                          <w:txbxContent>
                            <w:p w14:paraId="56FE237E" w14:textId="77777777" w:rsidR="00F553A8" w:rsidRDefault="00F553A8">
                              <w:r>
                                <w:rPr>
                                  <w:szCs w:val="21"/>
                                </w:rPr>
                                <w:t>糖化酶273</w:t>
                              </w:r>
                            </w:p>
                          </w:txbxContent>
                        </wps:txbx>
                        <wps:bodyPr rot="0" vert="horz" wrap="square" lIns="0" tIns="0" rIns="0" bIns="0" anchor="t" anchorCtr="0" upright="1">
                          <a:noAutofit/>
                        </wps:bodyPr>
                      </wps:wsp>
                      <wps:wsp>
                        <wps:cNvPr id="149" name="文本框 1650"/>
                        <wps:cNvSpPr txBox="1">
                          <a:spLocks noChangeArrowheads="1"/>
                        </wps:cNvSpPr>
                        <wps:spPr bwMode="auto">
                          <a:xfrm>
                            <a:off x="1678305" y="2773680"/>
                            <a:ext cx="571500" cy="198120"/>
                          </a:xfrm>
                          <a:prstGeom prst="rect">
                            <a:avLst/>
                          </a:prstGeom>
                          <a:solidFill>
                            <a:srgbClr val="FFFFFF"/>
                          </a:solidFill>
                          <a:ln w="9525" cmpd="sng">
                            <a:solidFill>
                              <a:srgbClr val="FFFFFF"/>
                            </a:solidFill>
                            <a:miter lim="800000"/>
                          </a:ln>
                        </wps:spPr>
                        <wps:txbx>
                          <w:txbxContent>
                            <w:p w14:paraId="37681F7C" w14:textId="77777777" w:rsidR="00F553A8" w:rsidRDefault="00F553A8">
                              <w:pPr>
                                <w:rPr>
                                  <w:szCs w:val="21"/>
                                </w:rPr>
                              </w:pPr>
                              <w:r>
                                <w:rPr>
                                  <w:szCs w:val="21"/>
                                </w:rPr>
                                <w:t>1390485</w:t>
                              </w:r>
                            </w:p>
                          </w:txbxContent>
                        </wps:txbx>
                        <wps:bodyPr rot="0" vert="horz" wrap="square" lIns="0" tIns="0" rIns="0" bIns="0" anchor="t" anchorCtr="0" upright="1">
                          <a:noAutofit/>
                        </wps:bodyPr>
                      </wps:wsp>
                      <wps:wsp>
                        <wps:cNvPr id="150" name="直线 1651"/>
                        <wps:cNvCnPr>
                          <a:cxnSpLocks noChangeShapeType="1"/>
                        </wps:cNvCnPr>
                        <wps:spPr bwMode="auto">
                          <a:xfrm>
                            <a:off x="2249805" y="2575560"/>
                            <a:ext cx="635" cy="693420"/>
                          </a:xfrm>
                          <a:prstGeom prst="line">
                            <a:avLst/>
                          </a:prstGeom>
                          <a:noFill/>
                          <a:ln w="9525" cmpd="sng">
                            <a:solidFill>
                              <a:srgbClr val="000000"/>
                            </a:solidFill>
                            <a:round/>
                            <a:headEnd type="none" w="sm" len="med"/>
                            <a:tailEnd type="triangle" w="sm" len="med"/>
                          </a:ln>
                        </wps:spPr>
                        <wps:bodyPr/>
                      </wps:wsp>
                      <wps:wsp>
                        <wps:cNvPr id="151" name="文本框 1652"/>
                        <wps:cNvSpPr txBox="1">
                          <a:spLocks noChangeArrowheads="1"/>
                        </wps:cNvSpPr>
                        <wps:spPr bwMode="auto">
                          <a:xfrm>
                            <a:off x="2364105" y="2837180"/>
                            <a:ext cx="571500" cy="254000"/>
                          </a:xfrm>
                          <a:prstGeom prst="rect">
                            <a:avLst/>
                          </a:prstGeom>
                          <a:solidFill>
                            <a:srgbClr val="FFFFFF"/>
                          </a:solidFill>
                          <a:ln w="9525" cmpd="sng">
                            <a:solidFill>
                              <a:srgbClr val="FFFFFF"/>
                            </a:solidFill>
                            <a:miter lim="800000"/>
                          </a:ln>
                        </wps:spPr>
                        <wps:txbx>
                          <w:txbxContent>
                            <w:p w14:paraId="653836A7" w14:textId="77777777" w:rsidR="00F553A8" w:rsidRDefault="00F553A8">
                              <w:pPr>
                                <w:rPr>
                                  <w:szCs w:val="21"/>
                                </w:rPr>
                              </w:pPr>
                              <w:r>
                                <w:rPr>
                                  <w:szCs w:val="21"/>
                                </w:rPr>
                                <w:t>螺旋冷却</w:t>
                              </w:r>
                            </w:p>
                          </w:txbxContent>
                        </wps:txbx>
                        <wps:bodyPr rot="0" vert="horz" wrap="square" lIns="0" tIns="0" rIns="0" bIns="0" anchor="t" anchorCtr="0" upright="1">
                          <a:noAutofit/>
                        </wps:bodyPr>
                      </wps:wsp>
                      <wps:wsp>
                        <wps:cNvPr id="152" name="文本框 1653"/>
                        <wps:cNvSpPr txBox="1">
                          <a:spLocks noChangeArrowheads="1"/>
                        </wps:cNvSpPr>
                        <wps:spPr bwMode="auto">
                          <a:xfrm>
                            <a:off x="1906905" y="3268980"/>
                            <a:ext cx="685800" cy="198120"/>
                          </a:xfrm>
                          <a:prstGeom prst="rect">
                            <a:avLst/>
                          </a:prstGeom>
                          <a:solidFill>
                            <a:srgbClr val="FFFFFF"/>
                          </a:solidFill>
                          <a:ln w="9525" cmpd="sng">
                            <a:solidFill>
                              <a:srgbClr val="000000"/>
                            </a:solidFill>
                            <a:miter lim="800000"/>
                          </a:ln>
                        </wps:spPr>
                        <wps:txbx>
                          <w:txbxContent>
                            <w:p w14:paraId="5D1AC3A3" w14:textId="77777777" w:rsidR="00F553A8" w:rsidRDefault="00F553A8">
                              <w:pPr>
                                <w:jc w:val="center"/>
                                <w:rPr>
                                  <w:szCs w:val="21"/>
                                </w:rPr>
                              </w:pPr>
                              <w:r>
                                <w:rPr>
                                  <w:szCs w:val="21"/>
                                </w:rPr>
                                <w:t>发酵</w:t>
                              </w:r>
                            </w:p>
                          </w:txbxContent>
                        </wps:txbx>
                        <wps:bodyPr rot="0" vert="horz" wrap="square" lIns="0" tIns="0" rIns="0" bIns="0" anchor="t" anchorCtr="0" upright="1">
                          <a:noAutofit/>
                        </wps:bodyPr>
                      </wps:wsp>
                      <wps:wsp>
                        <wps:cNvPr id="153" name="直线 1654"/>
                        <wps:cNvCnPr>
                          <a:cxnSpLocks noChangeShapeType="1"/>
                        </wps:cNvCnPr>
                        <wps:spPr bwMode="auto">
                          <a:xfrm flipH="1">
                            <a:off x="1564005" y="3367405"/>
                            <a:ext cx="342900" cy="635"/>
                          </a:xfrm>
                          <a:prstGeom prst="line">
                            <a:avLst/>
                          </a:prstGeom>
                          <a:noFill/>
                          <a:ln w="9525" cmpd="sng">
                            <a:solidFill>
                              <a:srgbClr val="000000"/>
                            </a:solidFill>
                            <a:round/>
                            <a:headEnd type="triangle" w="sm" len="med"/>
                            <a:tailEnd type="none" w="sm" len="med"/>
                          </a:ln>
                        </wps:spPr>
                        <wps:bodyPr/>
                      </wps:wsp>
                      <wps:wsp>
                        <wps:cNvPr id="154" name="直线 1655"/>
                        <wps:cNvCnPr>
                          <a:cxnSpLocks noChangeShapeType="1"/>
                        </wps:cNvCnPr>
                        <wps:spPr bwMode="auto">
                          <a:xfrm>
                            <a:off x="1564005" y="3070860"/>
                            <a:ext cx="635" cy="594360"/>
                          </a:xfrm>
                          <a:prstGeom prst="line">
                            <a:avLst/>
                          </a:prstGeom>
                          <a:noFill/>
                          <a:ln w="9525" cmpd="sng">
                            <a:solidFill>
                              <a:srgbClr val="000000"/>
                            </a:solidFill>
                            <a:round/>
                          </a:ln>
                        </wps:spPr>
                        <wps:bodyPr/>
                      </wps:wsp>
                      <wps:wsp>
                        <wps:cNvPr id="155" name="直线 1656"/>
                        <wps:cNvCnPr>
                          <a:cxnSpLocks noChangeShapeType="1"/>
                        </wps:cNvCnPr>
                        <wps:spPr bwMode="auto">
                          <a:xfrm flipH="1">
                            <a:off x="1221105" y="3070860"/>
                            <a:ext cx="342900" cy="635"/>
                          </a:xfrm>
                          <a:prstGeom prst="line">
                            <a:avLst/>
                          </a:prstGeom>
                          <a:noFill/>
                          <a:ln w="9525" cmpd="sng">
                            <a:solidFill>
                              <a:srgbClr val="000000"/>
                            </a:solidFill>
                            <a:round/>
                            <a:headEnd type="none" w="sm" len="med"/>
                            <a:tailEnd type="none" w="sm" len="med"/>
                          </a:ln>
                        </wps:spPr>
                        <wps:bodyPr/>
                      </wps:wsp>
                      <wps:wsp>
                        <wps:cNvPr id="156" name="直线 1657"/>
                        <wps:cNvCnPr>
                          <a:cxnSpLocks noChangeShapeType="1"/>
                        </wps:cNvCnPr>
                        <wps:spPr bwMode="auto">
                          <a:xfrm flipH="1">
                            <a:off x="1221105" y="3368040"/>
                            <a:ext cx="342900" cy="635"/>
                          </a:xfrm>
                          <a:prstGeom prst="line">
                            <a:avLst/>
                          </a:prstGeom>
                          <a:noFill/>
                          <a:ln w="9525" cmpd="sng">
                            <a:solidFill>
                              <a:srgbClr val="000000"/>
                            </a:solidFill>
                            <a:round/>
                            <a:headEnd type="none" w="sm" len="med"/>
                            <a:tailEnd type="none" w="sm" len="med"/>
                          </a:ln>
                        </wps:spPr>
                        <wps:bodyPr/>
                      </wps:wsp>
                      <wps:wsp>
                        <wps:cNvPr id="157" name="文本框 1658"/>
                        <wps:cNvSpPr txBox="1">
                          <a:spLocks noChangeArrowheads="1"/>
                        </wps:cNvSpPr>
                        <wps:spPr bwMode="auto">
                          <a:xfrm>
                            <a:off x="763905" y="2971800"/>
                            <a:ext cx="457200" cy="198120"/>
                          </a:xfrm>
                          <a:prstGeom prst="rect">
                            <a:avLst/>
                          </a:prstGeom>
                          <a:solidFill>
                            <a:srgbClr val="FFFFFF"/>
                          </a:solidFill>
                          <a:ln w="9525" cmpd="sng">
                            <a:solidFill>
                              <a:srgbClr val="FFFFFF"/>
                            </a:solidFill>
                            <a:miter lim="800000"/>
                          </a:ln>
                        </wps:spPr>
                        <wps:txbx>
                          <w:txbxContent>
                            <w:p w14:paraId="1EF22243" w14:textId="77777777" w:rsidR="00F553A8" w:rsidRDefault="00F553A8">
                              <w:pPr>
                                <w:rPr>
                                  <w:szCs w:val="21"/>
                                </w:rPr>
                              </w:pPr>
                              <w:r>
                                <w:rPr>
                                  <w:szCs w:val="21"/>
                                </w:rPr>
                                <w:t>尿素1</w:t>
                              </w:r>
                            </w:p>
                          </w:txbxContent>
                        </wps:txbx>
                        <wps:bodyPr rot="0" vert="horz" wrap="square" lIns="0" tIns="0" rIns="0" bIns="0" anchor="t" anchorCtr="0" upright="1">
                          <a:noAutofit/>
                        </wps:bodyPr>
                      </wps:wsp>
                      <wps:wsp>
                        <wps:cNvPr id="158" name="文本框 1659"/>
                        <wps:cNvSpPr txBox="1">
                          <a:spLocks noChangeArrowheads="1"/>
                        </wps:cNvSpPr>
                        <wps:spPr bwMode="auto">
                          <a:xfrm>
                            <a:off x="597535" y="3268980"/>
                            <a:ext cx="623570" cy="198120"/>
                          </a:xfrm>
                          <a:prstGeom prst="rect">
                            <a:avLst/>
                          </a:prstGeom>
                          <a:solidFill>
                            <a:srgbClr val="FFFFFF"/>
                          </a:solidFill>
                          <a:ln w="9525" cmpd="sng">
                            <a:solidFill>
                              <a:srgbClr val="FFFFFF"/>
                            </a:solidFill>
                            <a:miter lim="800000"/>
                          </a:ln>
                        </wps:spPr>
                        <wps:txbx>
                          <w:txbxContent>
                            <w:p w14:paraId="32CCAFE1" w14:textId="77777777" w:rsidR="00F553A8" w:rsidRDefault="00F553A8">
                              <w:pPr>
                                <w:ind w:firstLineChars="50" w:firstLine="105"/>
                                <w:rPr>
                                  <w:szCs w:val="21"/>
                                </w:rPr>
                              </w:pPr>
                              <w:r>
                                <w:rPr>
                                  <w:szCs w:val="21"/>
                                </w:rPr>
                                <w:t>硫酸600</w:t>
                              </w:r>
                            </w:p>
                          </w:txbxContent>
                        </wps:txbx>
                        <wps:bodyPr rot="0" vert="horz" wrap="square" lIns="0" tIns="0" rIns="0" bIns="0" anchor="t" anchorCtr="0" upright="1">
                          <a:noAutofit/>
                        </wps:bodyPr>
                      </wps:wsp>
                      <wps:wsp>
                        <wps:cNvPr id="159" name="直线 1660"/>
                        <wps:cNvCnPr>
                          <a:cxnSpLocks noChangeShapeType="1"/>
                        </wps:cNvCnPr>
                        <wps:spPr bwMode="auto">
                          <a:xfrm flipH="1">
                            <a:off x="1221105" y="3665220"/>
                            <a:ext cx="342900" cy="635"/>
                          </a:xfrm>
                          <a:prstGeom prst="line">
                            <a:avLst/>
                          </a:prstGeom>
                          <a:noFill/>
                          <a:ln w="9525" cmpd="sng">
                            <a:solidFill>
                              <a:srgbClr val="000000"/>
                            </a:solidFill>
                            <a:round/>
                            <a:headEnd type="none" w="sm" len="med"/>
                            <a:tailEnd type="none" w="sm" len="med"/>
                          </a:ln>
                        </wps:spPr>
                        <wps:bodyPr/>
                      </wps:wsp>
                      <wps:wsp>
                        <wps:cNvPr id="160" name="文本框 1661"/>
                        <wps:cNvSpPr txBox="1">
                          <a:spLocks noChangeArrowheads="1"/>
                        </wps:cNvSpPr>
                        <wps:spPr bwMode="auto">
                          <a:xfrm>
                            <a:off x="597535" y="3566160"/>
                            <a:ext cx="623570" cy="198120"/>
                          </a:xfrm>
                          <a:prstGeom prst="rect">
                            <a:avLst/>
                          </a:prstGeom>
                          <a:solidFill>
                            <a:srgbClr val="FFFFFF"/>
                          </a:solidFill>
                          <a:ln w="9525" cmpd="sng">
                            <a:solidFill>
                              <a:srgbClr val="FFFFFF"/>
                            </a:solidFill>
                            <a:miter lim="800000"/>
                          </a:ln>
                        </wps:spPr>
                        <wps:txbx>
                          <w:txbxContent>
                            <w:p w14:paraId="79211AA1" w14:textId="77777777" w:rsidR="00F553A8" w:rsidRDefault="00F553A8">
                              <w:pPr>
                                <w:ind w:firstLineChars="50" w:firstLine="105"/>
                                <w:rPr>
                                  <w:szCs w:val="21"/>
                                </w:rPr>
                              </w:pPr>
                              <w:r>
                                <w:rPr>
                                  <w:szCs w:val="21"/>
                                </w:rPr>
                                <w:t>干酵母8</w:t>
                              </w:r>
                            </w:p>
                          </w:txbxContent>
                        </wps:txbx>
                        <wps:bodyPr rot="0" vert="horz" wrap="square" lIns="0" tIns="0" rIns="0" bIns="0" anchor="t" anchorCtr="0" upright="1">
                          <a:noAutofit/>
                        </wps:bodyPr>
                      </wps:wsp>
                      <wps:wsp>
                        <wps:cNvPr id="161" name="文本框 1662"/>
                        <wps:cNvSpPr txBox="1">
                          <a:spLocks noChangeArrowheads="1"/>
                        </wps:cNvSpPr>
                        <wps:spPr bwMode="auto">
                          <a:xfrm>
                            <a:off x="2641170" y="3169920"/>
                            <a:ext cx="457200" cy="198120"/>
                          </a:xfrm>
                          <a:prstGeom prst="rect">
                            <a:avLst/>
                          </a:prstGeom>
                          <a:solidFill>
                            <a:srgbClr val="FFFFFF"/>
                          </a:solidFill>
                          <a:ln w="9525" cmpd="sng">
                            <a:solidFill>
                              <a:srgbClr val="FFFFFF"/>
                            </a:solidFill>
                            <a:miter lim="800000"/>
                          </a:ln>
                        </wps:spPr>
                        <wps:txbx>
                          <w:txbxContent>
                            <w:p w14:paraId="2FCAAACF" w14:textId="77777777" w:rsidR="00F553A8" w:rsidRDefault="00F553A8">
                              <w:pPr>
                                <w:rPr>
                                  <w:szCs w:val="21"/>
                                </w:rPr>
                              </w:pPr>
                              <w:r>
                                <w:rPr>
                                  <w:szCs w:val="21"/>
                                </w:rPr>
                                <w:t>100746</w:t>
                              </w:r>
                            </w:p>
                          </w:txbxContent>
                        </wps:txbx>
                        <wps:bodyPr rot="0" vert="horz" wrap="square" lIns="0" tIns="0" rIns="0" bIns="0" anchor="t" anchorCtr="0" upright="1">
                          <a:noAutofit/>
                        </wps:bodyPr>
                      </wps:wsp>
                      <wps:wsp>
                        <wps:cNvPr id="162" name="直线 1663"/>
                        <wps:cNvCnPr>
                          <a:cxnSpLocks noChangeShapeType="1"/>
                        </wps:cNvCnPr>
                        <wps:spPr bwMode="auto">
                          <a:xfrm flipH="1">
                            <a:off x="2592705" y="3368040"/>
                            <a:ext cx="571500" cy="635"/>
                          </a:xfrm>
                          <a:prstGeom prst="line">
                            <a:avLst/>
                          </a:prstGeom>
                          <a:noFill/>
                          <a:ln w="9525" cmpd="sng">
                            <a:solidFill>
                              <a:srgbClr val="000000"/>
                            </a:solidFill>
                            <a:round/>
                            <a:headEnd type="triangle" w="sm" len="med"/>
                            <a:tailEnd type="none" w="sm" len="med"/>
                          </a:ln>
                        </wps:spPr>
                        <wps:bodyPr/>
                      </wps:wsp>
                      <wps:wsp>
                        <wps:cNvPr id="163" name="文本框 1664"/>
                        <wps:cNvSpPr txBox="1">
                          <a:spLocks noChangeArrowheads="1"/>
                        </wps:cNvSpPr>
                        <wps:spPr bwMode="auto">
                          <a:xfrm>
                            <a:off x="3164205" y="3268980"/>
                            <a:ext cx="685800" cy="198120"/>
                          </a:xfrm>
                          <a:prstGeom prst="rect">
                            <a:avLst/>
                          </a:prstGeom>
                          <a:solidFill>
                            <a:srgbClr val="FFFFFF"/>
                          </a:solidFill>
                          <a:ln w="9525" cmpd="sng">
                            <a:solidFill>
                              <a:srgbClr val="000000"/>
                            </a:solidFill>
                            <a:miter lim="800000"/>
                          </a:ln>
                        </wps:spPr>
                        <wps:txbx>
                          <w:txbxContent>
                            <w:p w14:paraId="40783F29" w14:textId="77777777" w:rsidR="00F553A8" w:rsidRDefault="00F553A8">
                              <w:pPr>
                                <w:jc w:val="center"/>
                                <w:rPr>
                                  <w:szCs w:val="21"/>
                                </w:rPr>
                              </w:pPr>
                              <w:r>
                                <w:rPr>
                                  <w:szCs w:val="21"/>
                                </w:rPr>
                                <w:t>回收淡酒</w:t>
                              </w:r>
                            </w:p>
                          </w:txbxContent>
                        </wps:txbx>
                        <wps:bodyPr rot="0" vert="horz" wrap="square" lIns="0" tIns="0" rIns="0" bIns="0" anchor="t" anchorCtr="0" upright="1">
                          <a:noAutofit/>
                        </wps:bodyPr>
                      </wps:wsp>
                      <wps:wsp>
                        <wps:cNvPr id="164" name="直线 1665"/>
                        <wps:cNvCnPr>
                          <a:cxnSpLocks noChangeShapeType="1"/>
                        </wps:cNvCnPr>
                        <wps:spPr bwMode="auto">
                          <a:xfrm>
                            <a:off x="3507105" y="3070860"/>
                            <a:ext cx="635" cy="198120"/>
                          </a:xfrm>
                          <a:prstGeom prst="line">
                            <a:avLst/>
                          </a:prstGeom>
                          <a:noFill/>
                          <a:ln w="9525" cap="rnd" cmpd="sng">
                            <a:solidFill>
                              <a:srgbClr val="000000"/>
                            </a:solidFill>
                            <a:prstDash val="sysDot"/>
                            <a:round/>
                            <a:headEnd type="triangle" w="sm" len="med"/>
                            <a:tailEnd type="none" w="sm" len="med"/>
                          </a:ln>
                        </wps:spPr>
                        <wps:bodyPr/>
                      </wps:wsp>
                      <wps:wsp>
                        <wps:cNvPr id="165" name="文本框 1666"/>
                        <wps:cNvSpPr txBox="1">
                          <a:spLocks noChangeArrowheads="1"/>
                        </wps:cNvSpPr>
                        <wps:spPr bwMode="auto">
                          <a:xfrm>
                            <a:off x="3093797" y="2666085"/>
                            <a:ext cx="2057400" cy="396240"/>
                          </a:xfrm>
                          <a:prstGeom prst="rect">
                            <a:avLst/>
                          </a:prstGeom>
                          <a:solidFill>
                            <a:srgbClr val="FFFFFF"/>
                          </a:solidFill>
                          <a:ln w="9525" cmpd="sng">
                            <a:solidFill>
                              <a:srgbClr val="FFFFFF"/>
                            </a:solidFill>
                            <a:miter lim="800000"/>
                          </a:ln>
                        </wps:spPr>
                        <wps:txbx>
                          <w:txbxContent>
                            <w:p w14:paraId="39980784" w14:textId="77777777" w:rsidR="00F553A8" w:rsidRDefault="00F553A8">
                              <w:pPr>
                                <w:ind w:firstLineChars="50" w:firstLine="105"/>
                                <w:rPr>
                                  <w:szCs w:val="21"/>
                                </w:rPr>
                              </w:pPr>
                              <w:r>
                                <w:rPr>
                                  <w:szCs w:val="21"/>
                                </w:rPr>
                                <w:t>废气G</w:t>
                              </w:r>
                              <w:r>
                                <w:rPr>
                                  <w:szCs w:val="21"/>
                                  <w:vertAlign w:val="subscript"/>
                                </w:rPr>
                                <w:t>1-2</w:t>
                              </w:r>
                              <w:r>
                                <w:rPr>
                                  <w:szCs w:val="21"/>
                                </w:rPr>
                                <w:t>100001</w:t>
                              </w:r>
                            </w:p>
                            <w:p w14:paraId="186527ED" w14:textId="77777777" w:rsidR="00F553A8" w:rsidRDefault="00F553A8">
                              <w:pPr>
                                <w:rPr>
                                  <w:szCs w:val="21"/>
                                </w:rPr>
                              </w:pPr>
                              <w:r>
                                <w:rPr>
                                  <w:szCs w:val="21"/>
                                </w:rPr>
                                <w:t>(</w:t>
                              </w:r>
                              <w:r>
                                <w:t>CO</w:t>
                              </w:r>
                              <w:r>
                                <w:rPr>
                                  <w:vertAlign w:val="subscript"/>
                                </w:rPr>
                                <w:t>2</w:t>
                              </w:r>
                              <w:r>
                                <w:t>93974</w:t>
                              </w:r>
                              <w:r>
                                <w:rPr>
                                  <w:rFonts w:hint="eastAsia"/>
                                </w:rPr>
                                <w:t>、</w:t>
                              </w:r>
                              <w:r>
                                <w:rPr>
                                  <w:szCs w:val="21"/>
                                </w:rPr>
                                <w:t>乙醇27、水气6000)</w:t>
                              </w:r>
                            </w:p>
                          </w:txbxContent>
                        </wps:txbx>
                        <wps:bodyPr rot="0" vert="horz" wrap="square" lIns="0" tIns="0" rIns="0" bIns="0" anchor="t" anchorCtr="0" upright="1">
                          <a:noAutofit/>
                        </wps:bodyPr>
                      </wps:wsp>
                      <wps:wsp>
                        <wps:cNvPr id="166" name="直线 1667"/>
                        <wps:cNvCnPr>
                          <a:cxnSpLocks noChangeShapeType="1"/>
                        </wps:cNvCnPr>
                        <wps:spPr bwMode="auto">
                          <a:xfrm>
                            <a:off x="3507105" y="3467100"/>
                            <a:ext cx="635" cy="297180"/>
                          </a:xfrm>
                          <a:prstGeom prst="line">
                            <a:avLst/>
                          </a:prstGeom>
                          <a:noFill/>
                          <a:ln w="9525" cmpd="sng">
                            <a:solidFill>
                              <a:srgbClr val="000000"/>
                            </a:solidFill>
                            <a:round/>
                            <a:headEnd type="none" w="sm" len="med"/>
                            <a:tailEnd type="none" w="sm" len="med"/>
                          </a:ln>
                        </wps:spPr>
                        <wps:bodyPr/>
                      </wps:wsp>
                      <wps:wsp>
                        <wps:cNvPr id="167" name="文本框 1668"/>
                        <wps:cNvSpPr txBox="1">
                          <a:spLocks noChangeArrowheads="1"/>
                        </wps:cNvSpPr>
                        <wps:spPr bwMode="auto">
                          <a:xfrm>
                            <a:off x="2707005" y="3566160"/>
                            <a:ext cx="571500" cy="198120"/>
                          </a:xfrm>
                          <a:prstGeom prst="rect">
                            <a:avLst/>
                          </a:prstGeom>
                          <a:solidFill>
                            <a:srgbClr val="FFFFFF"/>
                          </a:solidFill>
                          <a:ln w="9525" cmpd="sng">
                            <a:solidFill>
                              <a:srgbClr val="FFFFFF"/>
                            </a:solidFill>
                            <a:miter lim="800000"/>
                          </a:ln>
                        </wps:spPr>
                        <wps:txbx>
                          <w:txbxContent>
                            <w:p w14:paraId="74165662" w14:textId="77777777" w:rsidR="00F553A8" w:rsidRDefault="00F553A8">
                              <w:pPr>
                                <w:rPr>
                                  <w:szCs w:val="21"/>
                                </w:rPr>
                              </w:pPr>
                              <w:r>
                                <w:rPr>
                                  <w:szCs w:val="21"/>
                                </w:rPr>
                                <w:t>15202</w:t>
                              </w:r>
                            </w:p>
                          </w:txbxContent>
                        </wps:txbx>
                        <wps:bodyPr rot="0" vert="horz" wrap="square" lIns="0" tIns="0" rIns="0" bIns="0" anchor="t" anchorCtr="0" upright="1">
                          <a:noAutofit/>
                        </wps:bodyPr>
                      </wps:wsp>
                      <wps:wsp>
                        <wps:cNvPr id="168" name="直线 1669"/>
                        <wps:cNvCnPr>
                          <a:cxnSpLocks noChangeShapeType="1"/>
                        </wps:cNvCnPr>
                        <wps:spPr bwMode="auto">
                          <a:xfrm flipH="1">
                            <a:off x="2249805" y="3764280"/>
                            <a:ext cx="1257300" cy="635"/>
                          </a:xfrm>
                          <a:prstGeom prst="line">
                            <a:avLst/>
                          </a:prstGeom>
                          <a:noFill/>
                          <a:ln w="9525" cmpd="sng">
                            <a:solidFill>
                              <a:srgbClr val="000000"/>
                            </a:solidFill>
                            <a:round/>
                            <a:tailEnd type="triangle" w="sm" len="med"/>
                          </a:ln>
                        </wps:spPr>
                        <wps:bodyPr/>
                      </wps:wsp>
                      <wps:wsp>
                        <wps:cNvPr id="169" name="直线 1670"/>
                        <wps:cNvCnPr>
                          <a:cxnSpLocks noChangeShapeType="1"/>
                        </wps:cNvCnPr>
                        <wps:spPr bwMode="auto">
                          <a:xfrm>
                            <a:off x="2249805" y="3467100"/>
                            <a:ext cx="635" cy="776605"/>
                          </a:xfrm>
                          <a:prstGeom prst="line">
                            <a:avLst/>
                          </a:prstGeom>
                          <a:noFill/>
                          <a:ln w="9525" cmpd="sng">
                            <a:solidFill>
                              <a:srgbClr val="000000"/>
                            </a:solidFill>
                            <a:round/>
                            <a:headEnd type="none" w="sm" len="med"/>
                            <a:tailEnd type="triangle" w="sm" len="med"/>
                          </a:ln>
                        </wps:spPr>
                        <wps:bodyPr/>
                      </wps:wsp>
                      <wps:wsp>
                        <wps:cNvPr id="174" name="文本框 1675"/>
                        <wps:cNvSpPr txBox="1">
                          <a:spLocks noChangeArrowheads="1"/>
                        </wps:cNvSpPr>
                        <wps:spPr bwMode="auto">
                          <a:xfrm>
                            <a:off x="1906905" y="4234815"/>
                            <a:ext cx="685800" cy="198120"/>
                          </a:xfrm>
                          <a:prstGeom prst="rect">
                            <a:avLst/>
                          </a:prstGeom>
                          <a:solidFill>
                            <a:srgbClr val="FFFFFF"/>
                          </a:solidFill>
                          <a:ln w="9525" cmpd="sng">
                            <a:solidFill>
                              <a:srgbClr val="000000"/>
                            </a:solidFill>
                            <a:miter lim="800000"/>
                          </a:ln>
                        </wps:spPr>
                        <wps:txbx>
                          <w:txbxContent>
                            <w:p w14:paraId="0B514DC6" w14:textId="77777777" w:rsidR="00F553A8" w:rsidRDefault="00F553A8">
                              <w:pPr>
                                <w:jc w:val="center"/>
                                <w:rPr>
                                  <w:szCs w:val="21"/>
                                </w:rPr>
                              </w:pPr>
                              <w:r>
                                <w:rPr>
                                  <w:szCs w:val="21"/>
                                </w:rPr>
                                <w:t>粗馏</w:t>
                              </w:r>
                            </w:p>
                          </w:txbxContent>
                        </wps:txbx>
                        <wps:bodyPr rot="0" vert="horz" wrap="square" lIns="0" tIns="0" rIns="0" bIns="0" anchor="t" anchorCtr="0" upright="1">
                          <a:noAutofit/>
                        </wps:bodyPr>
                      </wps:wsp>
                      <wps:wsp>
                        <wps:cNvPr id="175" name="直线 1676"/>
                        <wps:cNvCnPr>
                          <a:cxnSpLocks noChangeShapeType="1"/>
                        </wps:cNvCnPr>
                        <wps:spPr bwMode="auto">
                          <a:xfrm flipH="1">
                            <a:off x="1564005" y="4324985"/>
                            <a:ext cx="342900" cy="635"/>
                          </a:xfrm>
                          <a:prstGeom prst="line">
                            <a:avLst/>
                          </a:prstGeom>
                          <a:noFill/>
                          <a:ln w="9525" cmpd="sng">
                            <a:solidFill>
                              <a:srgbClr val="000000"/>
                            </a:solidFill>
                            <a:round/>
                            <a:headEnd type="triangle" w="sm" len="med"/>
                            <a:tailEnd type="none" w="sm" len="med"/>
                          </a:ln>
                        </wps:spPr>
                        <wps:bodyPr/>
                      </wps:wsp>
                      <wps:wsp>
                        <wps:cNvPr id="176" name="直线 1677"/>
                        <wps:cNvCnPr>
                          <a:cxnSpLocks noChangeShapeType="1"/>
                        </wps:cNvCnPr>
                        <wps:spPr bwMode="auto">
                          <a:xfrm flipH="1">
                            <a:off x="2592705" y="4324985"/>
                            <a:ext cx="342900" cy="635"/>
                          </a:xfrm>
                          <a:prstGeom prst="line">
                            <a:avLst/>
                          </a:prstGeom>
                          <a:noFill/>
                          <a:ln w="9525" cmpd="sng">
                            <a:solidFill>
                              <a:srgbClr val="000000"/>
                            </a:solidFill>
                            <a:round/>
                            <a:headEnd type="triangle" w="sm" len="med"/>
                            <a:tailEnd type="none" w="sm" len="med"/>
                          </a:ln>
                        </wps:spPr>
                        <wps:bodyPr/>
                      </wps:wsp>
                      <wps:wsp>
                        <wps:cNvPr id="177" name="直线 1678"/>
                        <wps:cNvCnPr>
                          <a:cxnSpLocks noChangeShapeType="1"/>
                        </wps:cNvCnPr>
                        <wps:spPr bwMode="auto">
                          <a:xfrm>
                            <a:off x="2249805" y="6982460"/>
                            <a:ext cx="635" cy="310515"/>
                          </a:xfrm>
                          <a:prstGeom prst="line">
                            <a:avLst/>
                          </a:prstGeom>
                          <a:noFill/>
                          <a:ln w="9525" cmpd="sng">
                            <a:solidFill>
                              <a:srgbClr val="000000"/>
                            </a:solidFill>
                            <a:round/>
                            <a:headEnd type="none" w="sm" len="med"/>
                            <a:tailEnd type="triangle" w="sm" len="med"/>
                          </a:ln>
                        </wps:spPr>
                        <wps:bodyPr/>
                      </wps:wsp>
                      <wps:wsp>
                        <wps:cNvPr id="178" name="文本框 1679"/>
                        <wps:cNvSpPr txBox="1">
                          <a:spLocks noChangeArrowheads="1"/>
                        </wps:cNvSpPr>
                        <wps:spPr bwMode="auto">
                          <a:xfrm>
                            <a:off x="1906905" y="5674995"/>
                            <a:ext cx="685800" cy="198120"/>
                          </a:xfrm>
                          <a:prstGeom prst="rect">
                            <a:avLst/>
                          </a:prstGeom>
                          <a:solidFill>
                            <a:srgbClr val="FFFFFF"/>
                          </a:solidFill>
                          <a:ln w="9525" cmpd="sng">
                            <a:solidFill>
                              <a:srgbClr val="000000"/>
                            </a:solidFill>
                            <a:miter lim="800000"/>
                          </a:ln>
                        </wps:spPr>
                        <wps:txbx>
                          <w:txbxContent>
                            <w:p w14:paraId="54897FA2" w14:textId="77777777" w:rsidR="00F553A8" w:rsidRDefault="00F553A8">
                              <w:pPr>
                                <w:jc w:val="center"/>
                                <w:rPr>
                                  <w:szCs w:val="21"/>
                                </w:rPr>
                              </w:pPr>
                              <w:r>
                                <w:rPr>
                                  <w:szCs w:val="21"/>
                                </w:rPr>
                                <w:t>精馏</w:t>
                              </w:r>
                            </w:p>
                          </w:txbxContent>
                        </wps:txbx>
                        <wps:bodyPr rot="0" vert="horz" wrap="square" lIns="0" tIns="0" rIns="0" bIns="0" anchor="t" anchorCtr="0" upright="1">
                          <a:noAutofit/>
                        </wps:bodyPr>
                      </wps:wsp>
                      <wps:wsp>
                        <wps:cNvPr id="179" name="直线 1680"/>
                        <wps:cNvCnPr>
                          <a:cxnSpLocks noChangeShapeType="1"/>
                        </wps:cNvCnPr>
                        <wps:spPr bwMode="auto">
                          <a:xfrm flipH="1">
                            <a:off x="1564005" y="5774055"/>
                            <a:ext cx="342900" cy="635"/>
                          </a:xfrm>
                          <a:prstGeom prst="line">
                            <a:avLst/>
                          </a:prstGeom>
                          <a:noFill/>
                          <a:ln w="9525" cmpd="sng">
                            <a:solidFill>
                              <a:srgbClr val="000000"/>
                            </a:solidFill>
                            <a:round/>
                            <a:headEnd type="triangle" w="sm" len="med"/>
                            <a:tailEnd type="none" w="sm" len="med"/>
                          </a:ln>
                        </wps:spPr>
                        <wps:bodyPr/>
                      </wps:wsp>
                      <wps:wsp>
                        <wps:cNvPr id="180" name="直线 1681"/>
                        <wps:cNvCnPr>
                          <a:cxnSpLocks noChangeShapeType="1"/>
                        </wps:cNvCnPr>
                        <wps:spPr bwMode="auto">
                          <a:xfrm flipH="1">
                            <a:off x="2592705" y="5774055"/>
                            <a:ext cx="342900" cy="635"/>
                          </a:xfrm>
                          <a:prstGeom prst="line">
                            <a:avLst/>
                          </a:prstGeom>
                          <a:noFill/>
                          <a:ln w="9525" cmpd="sng">
                            <a:solidFill>
                              <a:srgbClr val="000000"/>
                            </a:solidFill>
                            <a:round/>
                            <a:headEnd type="triangle" w="sm" len="med"/>
                            <a:tailEnd type="none" w="sm" len="med"/>
                          </a:ln>
                        </wps:spPr>
                        <wps:bodyPr/>
                      </wps:wsp>
                      <wps:wsp>
                        <wps:cNvPr id="181" name="直线 1682"/>
                        <wps:cNvCnPr>
                          <a:cxnSpLocks noChangeShapeType="1"/>
                        </wps:cNvCnPr>
                        <wps:spPr bwMode="auto">
                          <a:xfrm>
                            <a:off x="2516505" y="5871210"/>
                            <a:ext cx="635" cy="235585"/>
                          </a:xfrm>
                          <a:prstGeom prst="line">
                            <a:avLst/>
                          </a:prstGeom>
                          <a:noFill/>
                          <a:ln w="9525" cmpd="sng">
                            <a:solidFill>
                              <a:srgbClr val="000000"/>
                            </a:solidFill>
                            <a:round/>
                            <a:headEnd type="none" w="sm" len="med"/>
                            <a:tailEnd type="none" w="sm" len="med"/>
                          </a:ln>
                        </wps:spPr>
                        <wps:bodyPr/>
                      </wps:wsp>
                      <wps:wsp>
                        <wps:cNvPr id="182" name="直线 1683"/>
                        <wps:cNvCnPr>
                          <a:cxnSpLocks noChangeShapeType="1"/>
                        </wps:cNvCnPr>
                        <wps:spPr bwMode="auto">
                          <a:xfrm>
                            <a:off x="2516505" y="6097905"/>
                            <a:ext cx="457200" cy="635"/>
                          </a:xfrm>
                          <a:prstGeom prst="line">
                            <a:avLst/>
                          </a:prstGeom>
                          <a:noFill/>
                          <a:ln w="9525" cmpd="sng">
                            <a:solidFill>
                              <a:srgbClr val="000000"/>
                            </a:solidFill>
                            <a:round/>
                            <a:tailEnd type="triangle" w="sm" len="med"/>
                          </a:ln>
                        </wps:spPr>
                        <wps:bodyPr/>
                      </wps:wsp>
                      <wps:wsp>
                        <wps:cNvPr id="183" name="文本框 1684"/>
                        <wps:cNvSpPr txBox="1">
                          <a:spLocks noChangeArrowheads="1"/>
                        </wps:cNvSpPr>
                        <wps:spPr bwMode="auto">
                          <a:xfrm>
                            <a:off x="1906905" y="5062855"/>
                            <a:ext cx="685800" cy="198120"/>
                          </a:xfrm>
                          <a:prstGeom prst="rect">
                            <a:avLst/>
                          </a:prstGeom>
                          <a:solidFill>
                            <a:srgbClr val="FFFFFF"/>
                          </a:solidFill>
                          <a:ln w="9525" cmpd="sng">
                            <a:solidFill>
                              <a:srgbClr val="000000"/>
                            </a:solidFill>
                            <a:miter lim="800000"/>
                          </a:ln>
                        </wps:spPr>
                        <wps:txbx>
                          <w:txbxContent>
                            <w:p w14:paraId="1F1B7846" w14:textId="77777777" w:rsidR="00F553A8" w:rsidRDefault="00F553A8">
                              <w:pPr>
                                <w:jc w:val="center"/>
                                <w:rPr>
                                  <w:szCs w:val="21"/>
                                </w:rPr>
                              </w:pPr>
                              <w:r>
                                <w:rPr>
                                  <w:szCs w:val="21"/>
                                </w:rPr>
                                <w:t>冷凝</w:t>
                              </w:r>
                            </w:p>
                          </w:txbxContent>
                        </wps:txbx>
                        <wps:bodyPr rot="0" vert="horz" wrap="square" lIns="0" tIns="0" rIns="0" bIns="0" anchor="t" anchorCtr="0" upright="1">
                          <a:noAutofit/>
                        </wps:bodyPr>
                      </wps:wsp>
                      <wps:wsp>
                        <wps:cNvPr id="184" name="直线 1685"/>
                        <wps:cNvCnPr>
                          <a:cxnSpLocks noChangeShapeType="1"/>
                        </wps:cNvCnPr>
                        <wps:spPr bwMode="auto">
                          <a:xfrm>
                            <a:off x="3126105" y="4959350"/>
                            <a:ext cx="635" cy="198120"/>
                          </a:xfrm>
                          <a:prstGeom prst="line">
                            <a:avLst/>
                          </a:prstGeom>
                          <a:noFill/>
                          <a:ln w="9525" cap="rnd" cmpd="sng">
                            <a:solidFill>
                              <a:srgbClr val="000000"/>
                            </a:solidFill>
                            <a:prstDash val="sysDot"/>
                            <a:round/>
                            <a:headEnd type="triangle" w="sm" len="med"/>
                            <a:tailEnd type="none" w="sm" len="med"/>
                          </a:ln>
                        </wps:spPr>
                        <wps:bodyPr/>
                      </wps:wsp>
                      <wps:wsp>
                        <wps:cNvPr id="185" name="直线 1686"/>
                        <wps:cNvCnPr>
                          <a:cxnSpLocks noChangeShapeType="1"/>
                        </wps:cNvCnPr>
                        <wps:spPr bwMode="auto">
                          <a:xfrm flipH="1">
                            <a:off x="2592705" y="5166360"/>
                            <a:ext cx="533400" cy="635"/>
                          </a:xfrm>
                          <a:prstGeom prst="line">
                            <a:avLst/>
                          </a:prstGeom>
                          <a:noFill/>
                          <a:ln w="9525" cap="rnd" cmpd="sng">
                            <a:solidFill>
                              <a:srgbClr val="000000"/>
                            </a:solidFill>
                            <a:prstDash val="sysDot"/>
                            <a:round/>
                            <a:headEnd type="none" w="sm" len="med"/>
                            <a:tailEnd type="none" w="sm" len="med"/>
                          </a:ln>
                        </wps:spPr>
                        <wps:bodyPr/>
                      </wps:wsp>
                      <wps:wsp>
                        <wps:cNvPr id="186" name="文本框 1687"/>
                        <wps:cNvSpPr txBox="1">
                          <a:spLocks noChangeArrowheads="1"/>
                        </wps:cNvSpPr>
                        <wps:spPr bwMode="auto">
                          <a:xfrm>
                            <a:off x="1906905" y="6802120"/>
                            <a:ext cx="685800" cy="198120"/>
                          </a:xfrm>
                          <a:prstGeom prst="rect">
                            <a:avLst/>
                          </a:prstGeom>
                          <a:solidFill>
                            <a:srgbClr val="FFFFFF"/>
                          </a:solidFill>
                          <a:ln w="9525" cmpd="sng">
                            <a:solidFill>
                              <a:srgbClr val="000000"/>
                            </a:solidFill>
                            <a:miter lim="800000"/>
                          </a:ln>
                        </wps:spPr>
                        <wps:txbx>
                          <w:txbxContent>
                            <w:p w14:paraId="4C07F03F" w14:textId="77777777" w:rsidR="00F553A8" w:rsidRDefault="00F553A8">
                              <w:pPr>
                                <w:jc w:val="center"/>
                                <w:rPr>
                                  <w:szCs w:val="21"/>
                                </w:rPr>
                              </w:pPr>
                              <w:r>
                                <w:rPr>
                                  <w:szCs w:val="21"/>
                                </w:rPr>
                                <w:t>冷凝</w:t>
                              </w:r>
                            </w:p>
                          </w:txbxContent>
                        </wps:txbx>
                        <wps:bodyPr rot="0" vert="horz" wrap="square" lIns="0" tIns="0" rIns="0" bIns="0" anchor="t" anchorCtr="0" upright="1">
                          <a:noAutofit/>
                        </wps:bodyPr>
                      </wps:wsp>
                      <wps:wsp>
                        <wps:cNvPr id="187" name="直线 1688"/>
                        <wps:cNvCnPr>
                          <a:cxnSpLocks noChangeShapeType="1"/>
                        </wps:cNvCnPr>
                        <wps:spPr bwMode="auto">
                          <a:xfrm>
                            <a:off x="3126105" y="6710045"/>
                            <a:ext cx="635" cy="198120"/>
                          </a:xfrm>
                          <a:prstGeom prst="line">
                            <a:avLst/>
                          </a:prstGeom>
                          <a:noFill/>
                          <a:ln w="9525" cap="rnd" cmpd="sng">
                            <a:solidFill>
                              <a:srgbClr val="000000"/>
                            </a:solidFill>
                            <a:prstDash val="sysDot"/>
                            <a:round/>
                            <a:headEnd type="triangle" w="sm" len="med"/>
                            <a:tailEnd type="none" w="sm" len="med"/>
                          </a:ln>
                        </wps:spPr>
                        <wps:bodyPr/>
                      </wps:wsp>
                      <wps:wsp>
                        <wps:cNvPr id="188" name="直线 1689"/>
                        <wps:cNvCnPr>
                          <a:cxnSpLocks noChangeShapeType="1"/>
                        </wps:cNvCnPr>
                        <wps:spPr bwMode="auto">
                          <a:xfrm flipH="1">
                            <a:off x="2592705" y="6917055"/>
                            <a:ext cx="533400" cy="635"/>
                          </a:xfrm>
                          <a:prstGeom prst="line">
                            <a:avLst/>
                          </a:prstGeom>
                          <a:noFill/>
                          <a:ln w="9525" cap="rnd" cmpd="sng">
                            <a:solidFill>
                              <a:srgbClr val="000000"/>
                            </a:solidFill>
                            <a:prstDash val="sysDot"/>
                            <a:round/>
                            <a:headEnd type="none" w="sm" len="med"/>
                            <a:tailEnd type="none" w="sm" len="med"/>
                          </a:ln>
                        </wps:spPr>
                        <wps:bodyPr/>
                      </wps:wsp>
                      <wps:wsp>
                        <wps:cNvPr id="189" name="直线 1690"/>
                        <wps:cNvCnPr>
                          <a:cxnSpLocks noChangeShapeType="1"/>
                        </wps:cNvCnPr>
                        <wps:spPr bwMode="auto">
                          <a:xfrm>
                            <a:off x="2247900" y="5871210"/>
                            <a:ext cx="1905" cy="931545"/>
                          </a:xfrm>
                          <a:prstGeom prst="line">
                            <a:avLst/>
                          </a:prstGeom>
                          <a:noFill/>
                          <a:ln w="9525" cap="rnd" cmpd="sng">
                            <a:solidFill>
                              <a:srgbClr val="000000"/>
                            </a:solidFill>
                            <a:prstDash val="sysDot"/>
                            <a:round/>
                            <a:headEnd type="none" w="sm" len="med"/>
                            <a:tailEnd type="triangle" w="sm" len="med"/>
                          </a:ln>
                        </wps:spPr>
                        <wps:bodyPr/>
                      </wps:wsp>
                      <wps:wsp>
                        <wps:cNvPr id="190" name="直线 1691"/>
                        <wps:cNvCnPr>
                          <a:cxnSpLocks noChangeShapeType="1"/>
                        </wps:cNvCnPr>
                        <wps:spPr bwMode="auto">
                          <a:xfrm>
                            <a:off x="2249805" y="5260975"/>
                            <a:ext cx="635" cy="396240"/>
                          </a:xfrm>
                          <a:prstGeom prst="line">
                            <a:avLst/>
                          </a:prstGeom>
                          <a:noFill/>
                          <a:ln w="9525" cmpd="sng">
                            <a:solidFill>
                              <a:srgbClr val="000000"/>
                            </a:solidFill>
                            <a:round/>
                            <a:headEnd type="none" w="sm" len="med"/>
                            <a:tailEnd type="triangle" w="sm" len="med"/>
                          </a:ln>
                        </wps:spPr>
                        <wps:bodyPr/>
                      </wps:wsp>
                      <wps:wsp>
                        <wps:cNvPr id="191" name="文本框 1692"/>
                        <wps:cNvSpPr txBox="1">
                          <a:spLocks noChangeArrowheads="1"/>
                        </wps:cNvSpPr>
                        <wps:spPr bwMode="auto">
                          <a:xfrm>
                            <a:off x="2973705" y="5571490"/>
                            <a:ext cx="1943100" cy="396240"/>
                          </a:xfrm>
                          <a:prstGeom prst="rect">
                            <a:avLst/>
                          </a:prstGeom>
                          <a:solidFill>
                            <a:srgbClr val="FFFFFF"/>
                          </a:solidFill>
                          <a:ln w="9525" cmpd="sng">
                            <a:solidFill>
                              <a:srgbClr val="FFFFFF"/>
                            </a:solidFill>
                            <a:miter lim="800000"/>
                          </a:ln>
                        </wps:spPr>
                        <wps:txbx>
                          <w:txbxContent>
                            <w:p w14:paraId="212816D6" w14:textId="77777777" w:rsidR="00F553A8" w:rsidRDefault="00F553A8">
                              <w:pPr>
                                <w:ind w:firstLineChars="50" w:firstLine="105"/>
                                <w:rPr>
                                  <w:szCs w:val="21"/>
                                </w:rPr>
                              </w:pPr>
                              <w:r>
                                <w:rPr>
                                  <w:szCs w:val="21"/>
                                </w:rPr>
                                <w:t>蒸馏底液W</w:t>
                              </w:r>
                              <w:r>
                                <w:rPr>
                                  <w:szCs w:val="21"/>
                                  <w:vertAlign w:val="subscript"/>
                                </w:rPr>
                                <w:t>1-2</w:t>
                              </w:r>
                              <w:r>
                                <w:rPr>
                                  <w:szCs w:val="21"/>
                                </w:rPr>
                                <w:t>110950</w:t>
                              </w:r>
                            </w:p>
                            <w:p w14:paraId="1A00E517" w14:textId="77777777" w:rsidR="00F553A8" w:rsidRDefault="00F553A8">
                              <w:pPr>
                                <w:rPr>
                                  <w:color w:val="FF0000"/>
                                  <w:szCs w:val="21"/>
                                </w:rPr>
                              </w:pPr>
                              <w:r>
                                <w:rPr>
                                  <w:szCs w:val="21"/>
                                </w:rPr>
                                <w:t>(水110200、乙醇等750)</w:t>
                              </w:r>
                            </w:p>
                          </w:txbxContent>
                        </wps:txbx>
                        <wps:bodyPr rot="0" vert="horz" wrap="square" lIns="0" tIns="0" rIns="0" bIns="0" anchor="t" anchorCtr="0" upright="1">
                          <a:noAutofit/>
                        </wps:bodyPr>
                      </wps:wsp>
                      <wps:wsp>
                        <wps:cNvPr id="192" name="文本框 1693"/>
                        <wps:cNvSpPr txBox="1">
                          <a:spLocks noChangeArrowheads="1"/>
                        </wps:cNvSpPr>
                        <wps:spPr bwMode="auto">
                          <a:xfrm>
                            <a:off x="2935605" y="4140200"/>
                            <a:ext cx="2286000" cy="396240"/>
                          </a:xfrm>
                          <a:prstGeom prst="rect">
                            <a:avLst/>
                          </a:prstGeom>
                          <a:solidFill>
                            <a:srgbClr val="FFFFFF"/>
                          </a:solidFill>
                          <a:ln w="9525" cmpd="sng">
                            <a:solidFill>
                              <a:srgbClr val="FFFFFF"/>
                            </a:solidFill>
                            <a:miter lim="800000"/>
                          </a:ln>
                        </wps:spPr>
                        <wps:txbx>
                          <w:txbxContent>
                            <w:p w14:paraId="4A9A6758" w14:textId="77777777" w:rsidR="00F553A8" w:rsidRDefault="00F553A8">
                              <w:pPr>
                                <w:ind w:firstLineChars="50" w:firstLine="105"/>
                                <w:rPr>
                                  <w:szCs w:val="21"/>
                                </w:rPr>
                              </w:pPr>
                              <w:r>
                                <w:rPr>
                                  <w:szCs w:val="21"/>
                                </w:rPr>
                                <w:t>糟液W</w:t>
                              </w:r>
                              <w:r>
                                <w:rPr>
                                  <w:szCs w:val="21"/>
                                  <w:vertAlign w:val="subscript"/>
                                </w:rPr>
                                <w:t>1-1</w:t>
                              </w:r>
                              <w:r>
                                <w:rPr>
                                  <w:szCs w:val="21"/>
                                </w:rPr>
                                <w:t>1290400</w:t>
                              </w:r>
                            </w:p>
                            <w:p w14:paraId="207B7A34" w14:textId="77777777" w:rsidR="00F553A8" w:rsidRDefault="00F553A8">
                              <w:r>
                                <w:rPr>
                                  <w:szCs w:val="21"/>
                                </w:rPr>
                                <w:t>(水1231700、有机质固形物58700)</w:t>
                              </w:r>
                            </w:p>
                          </w:txbxContent>
                        </wps:txbx>
                        <wps:bodyPr rot="0" vert="horz" wrap="square" lIns="0" tIns="0" rIns="0" bIns="0" anchor="t" anchorCtr="0" upright="1">
                          <a:noAutofit/>
                        </wps:bodyPr>
                      </wps:wsp>
                      <wps:wsp>
                        <wps:cNvPr id="193" name="文本框 1694"/>
                        <wps:cNvSpPr txBox="1">
                          <a:spLocks noChangeArrowheads="1"/>
                        </wps:cNvSpPr>
                        <wps:spPr bwMode="auto">
                          <a:xfrm>
                            <a:off x="3049905" y="6003290"/>
                            <a:ext cx="1143000" cy="198120"/>
                          </a:xfrm>
                          <a:prstGeom prst="rect">
                            <a:avLst/>
                          </a:prstGeom>
                          <a:solidFill>
                            <a:srgbClr val="FFFFFF"/>
                          </a:solidFill>
                          <a:ln w="9525" cmpd="sng">
                            <a:solidFill>
                              <a:srgbClr val="FFFFFF"/>
                            </a:solidFill>
                            <a:miter lim="800000"/>
                          </a:ln>
                        </wps:spPr>
                        <wps:txbx>
                          <w:txbxContent>
                            <w:p w14:paraId="53EBCA3E" w14:textId="77777777" w:rsidR="00F553A8" w:rsidRDefault="00F553A8">
                              <w:pPr>
                                <w:rPr>
                                  <w:szCs w:val="21"/>
                                </w:rPr>
                              </w:pPr>
                              <w:r>
                                <w:rPr>
                                  <w:szCs w:val="21"/>
                                </w:rPr>
                                <w:t>杂醇油600</w:t>
                              </w:r>
                            </w:p>
                          </w:txbxContent>
                        </wps:txbx>
                        <wps:bodyPr rot="0" vert="horz" wrap="square" lIns="0" tIns="0" rIns="0" bIns="0" anchor="t" anchorCtr="0" upright="1">
                          <a:noAutofit/>
                        </wps:bodyPr>
                      </wps:wsp>
                      <wps:wsp>
                        <wps:cNvPr id="194" name="文本框 1695"/>
                        <wps:cNvSpPr txBox="1">
                          <a:spLocks noChangeArrowheads="1"/>
                        </wps:cNvSpPr>
                        <wps:spPr bwMode="auto">
                          <a:xfrm>
                            <a:off x="2811145" y="6313805"/>
                            <a:ext cx="715644" cy="367664"/>
                          </a:xfrm>
                          <a:prstGeom prst="rect">
                            <a:avLst/>
                          </a:prstGeom>
                          <a:solidFill>
                            <a:srgbClr val="FFFFFF"/>
                          </a:solidFill>
                          <a:ln w="9525" cmpd="sng">
                            <a:solidFill>
                              <a:srgbClr val="FFFFFF"/>
                            </a:solidFill>
                            <a:miter lim="800000"/>
                          </a:ln>
                        </wps:spPr>
                        <wps:txbx>
                          <w:txbxContent>
                            <w:p w14:paraId="682AAB94" w14:textId="77777777" w:rsidR="00F553A8" w:rsidRDefault="00F553A8">
                              <w:pPr>
                                <w:ind w:firstLineChars="50" w:firstLine="105"/>
                                <w:rPr>
                                  <w:szCs w:val="21"/>
                                </w:rPr>
                              </w:pPr>
                              <w:r>
                                <w:rPr>
                                  <w:szCs w:val="21"/>
                                </w:rPr>
                                <w:t>废气G</w:t>
                              </w:r>
                              <w:r>
                                <w:rPr>
                                  <w:szCs w:val="21"/>
                                  <w:vertAlign w:val="subscript"/>
                                </w:rPr>
                                <w:t>1-4</w:t>
                              </w:r>
                              <w:r>
                                <w:rPr>
                                  <w:szCs w:val="21"/>
                                </w:rPr>
                                <w:t>50</w:t>
                              </w:r>
                            </w:p>
                            <w:p w14:paraId="480545D9" w14:textId="77777777" w:rsidR="00F553A8" w:rsidRDefault="00F553A8">
                              <w:pPr>
                                <w:rPr>
                                  <w:szCs w:val="21"/>
                                </w:rPr>
                              </w:pPr>
                              <w:r>
                                <w:rPr>
                                  <w:szCs w:val="21"/>
                                </w:rPr>
                                <w:t>(乙醇50)</w:t>
                              </w:r>
                            </w:p>
                          </w:txbxContent>
                        </wps:txbx>
                        <wps:bodyPr rot="0" vert="horz" wrap="none" lIns="0" tIns="0" rIns="0" bIns="0" anchor="t" anchorCtr="0" upright="1">
                          <a:noAutofit/>
                        </wps:bodyPr>
                      </wps:wsp>
                      <wps:wsp>
                        <wps:cNvPr id="195" name="文本框 1696"/>
                        <wps:cNvSpPr txBox="1">
                          <a:spLocks noChangeArrowheads="1"/>
                        </wps:cNvSpPr>
                        <wps:spPr bwMode="auto">
                          <a:xfrm>
                            <a:off x="1678305" y="7310755"/>
                            <a:ext cx="1600200" cy="396240"/>
                          </a:xfrm>
                          <a:prstGeom prst="rect">
                            <a:avLst/>
                          </a:prstGeom>
                          <a:solidFill>
                            <a:srgbClr val="FFFFFF"/>
                          </a:solidFill>
                          <a:ln w="9525" cmpd="sng">
                            <a:solidFill>
                              <a:srgbClr val="FFFFFF"/>
                            </a:solidFill>
                            <a:miter lim="800000"/>
                          </a:ln>
                        </wps:spPr>
                        <wps:txbx>
                          <w:txbxContent>
                            <w:p w14:paraId="397FB92F" w14:textId="77777777" w:rsidR="00F553A8" w:rsidRDefault="00F553A8">
                              <w:pPr>
                                <w:ind w:firstLineChars="50" w:firstLine="105"/>
                                <w:rPr>
                                  <w:szCs w:val="21"/>
                                </w:rPr>
                              </w:pPr>
                              <w:r>
                                <w:rPr>
                                  <w:szCs w:val="21"/>
                                </w:rPr>
                                <w:t>产品酒精100000</w:t>
                              </w:r>
                            </w:p>
                            <w:p w14:paraId="73F0011C" w14:textId="77777777" w:rsidR="00F553A8" w:rsidRDefault="00F553A8">
                              <w:pPr>
                                <w:rPr>
                                  <w:szCs w:val="21"/>
                                </w:rPr>
                              </w:pPr>
                              <w:r>
                                <w:rPr>
                                  <w:szCs w:val="21"/>
                                </w:rPr>
                                <w:t>(乙醇94000、水6000)</w:t>
                              </w:r>
                            </w:p>
                          </w:txbxContent>
                        </wps:txbx>
                        <wps:bodyPr rot="0" vert="horz" wrap="square" lIns="0" tIns="0" rIns="0" bIns="0" anchor="t" anchorCtr="0" upright="1">
                          <a:noAutofit/>
                        </wps:bodyPr>
                      </wps:wsp>
                      <wps:wsp>
                        <wps:cNvPr id="196" name="直线 1697"/>
                        <wps:cNvCnPr>
                          <a:cxnSpLocks noChangeShapeType="1"/>
                        </wps:cNvCnPr>
                        <wps:spPr bwMode="auto">
                          <a:xfrm>
                            <a:off x="2382520" y="4431665"/>
                            <a:ext cx="635" cy="621030"/>
                          </a:xfrm>
                          <a:prstGeom prst="line">
                            <a:avLst/>
                          </a:prstGeom>
                          <a:noFill/>
                          <a:ln w="9525" cmpd="sng">
                            <a:solidFill>
                              <a:srgbClr val="000000"/>
                            </a:solidFill>
                            <a:round/>
                            <a:headEnd type="triangle" w="sm" len="med"/>
                            <a:tailEnd type="none" w="sm" len="med"/>
                          </a:ln>
                        </wps:spPr>
                        <wps:bodyPr/>
                      </wps:wsp>
                      <wps:wsp>
                        <wps:cNvPr id="197" name="直线 1698"/>
                        <wps:cNvCnPr>
                          <a:cxnSpLocks noChangeShapeType="1"/>
                        </wps:cNvCnPr>
                        <wps:spPr bwMode="auto">
                          <a:xfrm>
                            <a:off x="2257425" y="4450715"/>
                            <a:ext cx="635" cy="621030"/>
                          </a:xfrm>
                          <a:prstGeom prst="line">
                            <a:avLst/>
                          </a:prstGeom>
                          <a:noFill/>
                          <a:ln w="9525" cap="rnd" cmpd="sng">
                            <a:solidFill>
                              <a:srgbClr val="000000"/>
                            </a:solidFill>
                            <a:prstDash val="sysDot"/>
                            <a:round/>
                            <a:headEnd type="none" w="sm" len="med"/>
                            <a:tailEnd type="triangle" w="sm" len="med"/>
                          </a:ln>
                        </wps:spPr>
                        <wps:bodyPr/>
                      </wps:wsp>
                      <wps:wsp>
                        <wps:cNvPr id="198" name="直线 1699"/>
                        <wps:cNvCnPr>
                          <a:cxnSpLocks noChangeShapeType="1"/>
                        </wps:cNvCnPr>
                        <wps:spPr bwMode="auto">
                          <a:xfrm>
                            <a:off x="2383155" y="5871210"/>
                            <a:ext cx="1905" cy="931545"/>
                          </a:xfrm>
                          <a:prstGeom prst="line">
                            <a:avLst/>
                          </a:prstGeom>
                          <a:noFill/>
                          <a:ln w="9525" cmpd="sng">
                            <a:solidFill>
                              <a:srgbClr val="000000"/>
                            </a:solidFill>
                            <a:round/>
                            <a:headEnd type="triangle" w="sm" len="med"/>
                            <a:tailEnd type="none" w="sm" len="med"/>
                          </a:ln>
                        </wps:spPr>
                        <wps:bodyPr/>
                      </wps:wsp>
                      <wps:wsp>
                        <wps:cNvPr id="199" name="直线 1700"/>
                        <wps:cNvCnPr>
                          <a:cxnSpLocks noChangeShapeType="1"/>
                        </wps:cNvCnPr>
                        <wps:spPr bwMode="auto">
                          <a:xfrm flipH="1">
                            <a:off x="2592705" y="1287780"/>
                            <a:ext cx="914400" cy="635"/>
                          </a:xfrm>
                          <a:prstGeom prst="line">
                            <a:avLst/>
                          </a:prstGeom>
                          <a:noFill/>
                          <a:ln w="9525" cmpd="sng">
                            <a:solidFill>
                              <a:srgbClr val="000000"/>
                            </a:solidFill>
                            <a:round/>
                            <a:tailEnd type="triangle" w="sm" len="med"/>
                          </a:ln>
                        </wps:spPr>
                        <wps:bodyPr/>
                      </wps:wsp>
                      <wps:wsp>
                        <wps:cNvPr id="200" name="直线 1701"/>
                        <wps:cNvCnPr>
                          <a:cxnSpLocks noChangeShapeType="1"/>
                        </wps:cNvCnPr>
                        <wps:spPr bwMode="auto">
                          <a:xfrm flipH="1">
                            <a:off x="3850005" y="3357880"/>
                            <a:ext cx="342900" cy="635"/>
                          </a:xfrm>
                          <a:prstGeom prst="line">
                            <a:avLst/>
                          </a:prstGeom>
                          <a:noFill/>
                          <a:ln w="9525" cmpd="sng">
                            <a:solidFill>
                              <a:srgbClr val="000000"/>
                            </a:solidFill>
                            <a:round/>
                            <a:headEnd type="none" w="sm" len="med"/>
                            <a:tailEnd type="triangle" w="sm" len="med"/>
                          </a:ln>
                        </wps:spPr>
                        <wps:bodyPr/>
                      </wps:wsp>
                      <wps:wsp>
                        <wps:cNvPr id="201" name="文本框 1702"/>
                        <wps:cNvSpPr txBox="1">
                          <a:spLocks noChangeArrowheads="1"/>
                        </wps:cNvSpPr>
                        <wps:spPr bwMode="auto">
                          <a:xfrm>
                            <a:off x="4269105" y="3265170"/>
                            <a:ext cx="571500" cy="198120"/>
                          </a:xfrm>
                          <a:prstGeom prst="rect">
                            <a:avLst/>
                          </a:prstGeom>
                          <a:solidFill>
                            <a:srgbClr val="FFFFFF"/>
                          </a:solidFill>
                          <a:ln w="9525" cmpd="sng">
                            <a:solidFill>
                              <a:srgbClr val="FFFFFF"/>
                            </a:solidFill>
                            <a:miter lim="800000"/>
                          </a:ln>
                        </wps:spPr>
                        <wps:txbx>
                          <w:txbxContent>
                            <w:p w14:paraId="3E51B9ED" w14:textId="77777777" w:rsidR="00F553A8" w:rsidRDefault="00F553A8">
                              <w:pPr>
                                <w:rPr>
                                  <w:szCs w:val="21"/>
                                </w:rPr>
                              </w:pPr>
                              <w:r>
                                <w:rPr>
                                  <w:szCs w:val="21"/>
                                </w:rPr>
                                <w:t>水14457</w:t>
                              </w:r>
                            </w:p>
                          </w:txbxContent>
                        </wps:txbx>
                        <wps:bodyPr rot="0" vert="horz" wrap="square" lIns="0" tIns="0" rIns="0" bIns="0" anchor="t" anchorCtr="0" upright="1">
                          <a:noAutofit/>
                        </wps:bodyPr>
                      </wps:wsp>
                    </wpc:wpc>
                  </a:graphicData>
                </a:graphic>
              </wp:inline>
            </w:drawing>
          </mc:Choice>
          <mc:Fallback>
            <w:pict>
              <v:group w14:anchorId="220C4943" id="画布 202" o:spid="_x0000_s1033" editas="canvas" style="width:411.15pt;height:606.85pt;mso-position-horizontal-relative:char;mso-position-vertical-relative:line" coordsize="52216,77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">
                <v:shape id="_x0000_s1034" type="#_x0000_t75" style="position:absolute;width:52216;height:77069;visibility:visible;mso-wrap-style:square">
                  <v:fill o:detectmouseclick="t"/>
                  <v:path o:connecttype="none"/>
                </v:shape>
                <v:shape id="文本框 1603" o:spid="_x0000_s1035" type="#_x0000_t202" style="position:absolute;left:17545;top:53822;width:5334;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" strokecolor="white">
                  <v:textbox inset="0,0,0,0">
                    <w:txbxContent>
                      <w:p w14:paraId="4F86F8AB" w14:textId="77777777" w:rsidR="00F553A8" w:rsidRDefault="00F553A8">
                        <w:pPr>
                          <w:rPr>
                            <w:szCs w:val="21"/>
                          </w:rPr>
                        </w:pPr>
                        <w:r>
                          <w:rPr>
                            <w:szCs w:val="21"/>
                          </w:rPr>
                          <w:t>180100</w:t>
                        </w:r>
                      </w:p>
                    </w:txbxContent>
                  </v:textbox>
                </v:shape>
                <v:shape id="文本框 1604" o:spid="_x0000_s1036" type="#_x0000_t202" style="position:absolute;left:28111;top:46018;width:6490;height:36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" strokecolor="white">
                  <v:textbox inset="0,0,0,0">
                    <w:txbxContent>
                      <w:p w14:paraId="2B9382B9" w14:textId="77777777" w:rsidR="00F553A8" w:rsidRDefault="00F553A8">
                        <w:pPr>
                          <w:rPr>
                            <w:szCs w:val="21"/>
                          </w:rPr>
                        </w:pPr>
                        <w:r>
                          <w:rPr>
                            <w:szCs w:val="21"/>
                          </w:rPr>
                          <w:t>废气G</w:t>
                        </w:r>
                        <w:r>
                          <w:rPr>
                            <w:szCs w:val="21"/>
                            <w:vertAlign w:val="subscript"/>
                          </w:rPr>
                          <w:t>1-3</w:t>
                        </w:r>
                        <w:r>
                          <w:rPr>
                            <w:szCs w:val="21"/>
                          </w:rPr>
                          <w:t>50</w:t>
                        </w:r>
                      </w:p>
                      <w:p w14:paraId="550ABFB5" w14:textId="77777777" w:rsidR="00F553A8" w:rsidRDefault="00F553A8">
                        <w:pPr>
                          <w:jc w:val="center"/>
                          <w:rPr>
                            <w:szCs w:val="21"/>
                          </w:rPr>
                        </w:pPr>
                        <w:r>
                          <w:rPr>
                            <w:szCs w:val="21"/>
                          </w:rPr>
                          <w:t>(乙醇50)</w:t>
                        </w:r>
                      </w:p>
                    </w:txbxContent>
                  </v:textbox>
                </v:shape>
                <v:shape id="文本框 1605" o:spid="_x0000_s1037" type="#_x0000_t202" style="position:absolute;left:5448;top:56749;width:9525;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" strokecolor="white">
                  <v:textbox inset="0,0,0,0">
                    <w:txbxContent>
                      <w:p w14:paraId="3568D8BE" w14:textId="77777777" w:rsidR="00F553A8" w:rsidRDefault="00F553A8">
                        <w:pPr>
                          <w:jc w:val="right"/>
                          <w:rPr>
                            <w:szCs w:val="21"/>
                          </w:rPr>
                        </w:pPr>
                        <w:r>
                          <w:rPr>
                            <w:szCs w:val="21"/>
                          </w:rPr>
                          <w:t>蒸汽31500</w:t>
                        </w:r>
                      </w:p>
                    </w:txbxContent>
                  </v:textbox>
                </v:shape>
                <v:shape id="文本框 1606" o:spid="_x0000_s1038" type="#_x0000_t202" style="position:absolute;left:6153;top:42214;width:901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" strokecolor="white">
                  <v:textbox inset="0,0,0,0">
                    <w:txbxContent>
                      <w:p w14:paraId="434932ED" w14:textId="77777777" w:rsidR="00F553A8" w:rsidRDefault="00F553A8">
                        <w:pPr>
                          <w:jc w:val="right"/>
                          <w:rPr>
                            <w:szCs w:val="21"/>
                          </w:rPr>
                        </w:pPr>
                        <w:r>
                          <w:rPr>
                            <w:szCs w:val="21"/>
                          </w:rPr>
                          <w:t>蒸汽165000</w:t>
                        </w:r>
                      </w:p>
                    </w:txbxContent>
                  </v:textbox>
                </v:shape>
                <v:shape id="文本框 1607" o:spid="_x0000_s1039" type="#_x0000_t202" style="position:absolute;left:16783;top:38633;width:57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" strokecolor="white">
                  <v:textbox inset="0,0,0,0">
                    <w:txbxContent>
                      <w:p w14:paraId="73D366E9" w14:textId="77777777" w:rsidR="00F553A8" w:rsidRDefault="00F553A8">
                        <w:pPr>
                          <w:rPr>
                            <w:szCs w:val="21"/>
                          </w:rPr>
                        </w:pPr>
                        <w:r>
                          <w:rPr>
                            <w:szCs w:val="21"/>
                          </w:rPr>
                          <w:t>1305550</w:t>
                        </w:r>
                      </w:p>
                    </w:txbxContent>
                  </v:textbox>
                </v:shape>
                <v:shape id="文本框 1608" o:spid="_x0000_s1040" type="#_x0000_t202" style="position:absolute;left:16783;top:20802;width:57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" strokecolor="white">
                  <v:textbox inset="0,0,0,0">
                    <w:txbxContent>
                      <w:p w14:paraId="3A27201D" w14:textId="77777777" w:rsidR="00F553A8" w:rsidRDefault="00F553A8">
                        <w:pPr>
                          <w:rPr>
                            <w:szCs w:val="21"/>
                          </w:rPr>
                        </w:pPr>
                        <w:r>
                          <w:rPr>
                            <w:szCs w:val="21"/>
                          </w:rPr>
                          <w:t>1165169</w:t>
                        </w:r>
                      </w:p>
                    </w:txbxContent>
                  </v:textbox>
                </v:shape>
                <v:shape id="文本框 1609" o:spid="_x0000_s1041" type="#_x0000_t202" style="position:absolute;left:16783;top:14859;width:57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" strokecolor="white">
                  <v:textbox inset="0,0,0,0">
                    <w:txbxContent>
                      <w:p w14:paraId="2290A139" w14:textId="77777777" w:rsidR="00F553A8" w:rsidRDefault="00F553A8">
                        <w:r>
                          <w:t>1118669</w:t>
                        </w:r>
                      </w:p>
                    </w:txbxContent>
                  </v:textbox>
                </v:shape>
                <v:shape id="文本框 1610" o:spid="_x0000_s1042" type="#_x0000_t202" style="position:absolute;left:27070;top:11150;width:6858;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" strokecolor="white">
                  <v:textbox inset="0,0,0,0">
                    <w:txbxContent>
                      <w:p w14:paraId="44B83D93" w14:textId="77777777" w:rsidR="00F553A8" w:rsidRDefault="00F553A8">
                        <w:pPr>
                          <w:rPr>
                            <w:szCs w:val="21"/>
                          </w:rPr>
                        </w:pPr>
                        <w:r>
                          <w:rPr>
                            <w:szCs w:val="21"/>
                          </w:rPr>
                          <w:t>水膜除尘水58584</w:t>
                        </w:r>
                      </w:p>
                    </w:txbxContent>
                  </v:textbox>
                </v:shape>
                <v:shape id="文本框 1611" o:spid="_x0000_s1043" type="#_x0000_t202" style="position:absolute;left:17545;top:8915;width:457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" strokecolor="white">
                  <v:textbox inset="0,0,0,0">
                    <w:txbxContent>
                      <w:p w14:paraId="7A885DA5" w14:textId="77777777" w:rsidR="00F553A8" w:rsidRDefault="00F553A8">
                        <w:r>
                          <w:t>263035</w:t>
                        </w:r>
                      </w:p>
                    </w:txbxContent>
                  </v:textbox>
                </v:shape>
                <v:shape id="文本框 1612" o:spid="_x0000_s1044" type="#_x0000_t202" style="position:absolute;left:27070;top:4953;width:3429;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" strokecolor="white">
                  <v:textbox inset="0,0,0,0">
                    <w:txbxContent>
                      <w:p w14:paraId="4741D7F7" w14:textId="77777777" w:rsidR="00F553A8" w:rsidRDefault="00F553A8">
                        <w:r>
                          <w:t>1600</w:t>
                        </w:r>
                      </w:p>
                    </w:txbxContent>
                  </v:textbox>
                </v:shape>
                <v:shape id="文本框 1613" o:spid="_x0000_s1045" type="#_x0000_t202" style="position:absolute;left:13290;top:990;width:1378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" strokecolor="white">
                  <v:textbox inset="0,0,0,0">
                    <w:txbxContent>
                      <w:p w14:paraId="02032FFD" w14:textId="77777777" w:rsidR="00F553A8" w:rsidRDefault="00F553A8">
                        <w:pPr>
                          <w:jc w:val="center"/>
                          <w:rPr>
                            <w:szCs w:val="21"/>
                          </w:rPr>
                        </w:pPr>
                        <w:r>
                          <w:rPr>
                            <w:szCs w:val="21"/>
                          </w:rPr>
                          <w:t>木薯干272587</w:t>
                        </w:r>
                      </w:p>
                    </w:txbxContent>
                  </v:textbox>
                </v:shape>
                <v:line id="直线 1614" o:spid="_x0000_s1046" style="position:absolute;visibility:visible;mso-wrap-style:square" from="22498,2971" to="22504,5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">
                  <v:stroke endarrow="block" endarrowwidth="narrow"/>
                </v:line>
                <v:shape id="文本框 1615" o:spid="_x0000_s1047" type="#_x0000_t202" style="position:absolute;left:19069;top:5943;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">
                  <v:textbox inset="0,0,0,0">
                    <w:txbxContent>
                      <w:p w14:paraId="5771F3E9" w14:textId="77777777" w:rsidR="00F553A8" w:rsidRDefault="00F553A8">
                        <w:pPr>
                          <w:jc w:val="center"/>
                          <w:rPr>
                            <w:szCs w:val="21"/>
                          </w:rPr>
                        </w:pPr>
                        <w:r>
                          <w:rPr>
                            <w:szCs w:val="21"/>
                          </w:rPr>
                          <w:t>粉碎除杂</w:t>
                        </w:r>
                      </w:p>
                    </w:txbxContent>
                  </v:textbox>
                </v:shape>
                <v:line id="直线 1616" o:spid="_x0000_s1048" style="position:absolute;flip:x;visibility:visible;mso-wrap-style:square" from="15640,6934" to="19069,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">
                  <v:stroke endarrow="block" endarrowwidth="narrow"/>
                </v:line>
                <v:shape id="文本框 1617" o:spid="_x0000_s1049" type="#_x0000_t202" style="position:absolute;left:6496;top:5943;width:914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" strokecolor="white">
                  <v:textbox inset="0,0,0,0">
                    <w:txbxContent>
                      <w:p w14:paraId="5920A01F" w14:textId="77777777" w:rsidR="00F553A8" w:rsidRDefault="00F553A8">
                        <w:pPr>
                          <w:rPr>
                            <w:szCs w:val="21"/>
                          </w:rPr>
                        </w:pPr>
                        <w:r>
                          <w:rPr>
                            <w:szCs w:val="21"/>
                          </w:rPr>
                          <w:t>杂质S</w:t>
                        </w:r>
                        <w:r>
                          <w:rPr>
                            <w:szCs w:val="21"/>
                            <w:vertAlign w:val="subscript"/>
                          </w:rPr>
                          <w:t>1-1</w:t>
                        </w:r>
                        <w:r>
                          <w:rPr>
                            <w:szCs w:val="21"/>
                          </w:rPr>
                          <w:t>7952</w:t>
                        </w:r>
                      </w:p>
                    </w:txbxContent>
                  </v:textbox>
                </v:shape>
                <v:line id="直线 1618" o:spid="_x0000_s1050" style="position:absolute;flip:x;visibility:visible;mso-wrap-style:square" from="25927,6934" to="31642,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">
                  <v:stroke dashstyle="1 1" startarrow="block" startarrowwidth="narrow" endarrowwidth="narrow" endcap="round"/>
                </v:line>
                <v:shape id="文本框 1619" o:spid="_x0000_s1051" type="#_x0000_t202" style="position:absolute;left:31642;top:5943;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">
                  <v:textbox inset="0,0,0,0">
                    <w:txbxContent>
                      <w:p w14:paraId="6C9CE0FD" w14:textId="77777777" w:rsidR="00F553A8" w:rsidRDefault="00F553A8">
                        <w:pPr>
                          <w:jc w:val="center"/>
                          <w:rPr>
                            <w:szCs w:val="21"/>
                          </w:rPr>
                        </w:pPr>
                        <w:r>
                          <w:rPr>
                            <w:szCs w:val="21"/>
                          </w:rPr>
                          <w:t>水膜除尘</w:t>
                        </w:r>
                      </w:p>
                    </w:txbxContent>
                  </v:textbox>
                </v:shape>
                <v:line id="直线 1620" o:spid="_x0000_s1052" style="position:absolute;flip:x;visibility:visible;mso-wrap-style:square" from="38500,6934" to="41929,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">
                  <v:stroke endarrow="block" endarrowwidth="narrow"/>
                </v:line>
                <v:shape id="文本框 1621" o:spid="_x0000_s1053" type="#_x0000_t202" style="position:absolute;left:41929;top:5943;width:914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" strokecolor="white">
                  <v:textbox inset="0,0,0,0">
                    <w:txbxContent>
                      <w:p w14:paraId="4D23CEC0" w14:textId="77777777" w:rsidR="00F553A8" w:rsidRDefault="00F553A8">
                        <w:pPr>
                          <w:rPr>
                            <w:szCs w:val="21"/>
                          </w:rPr>
                        </w:pPr>
                        <w:r>
                          <w:rPr>
                            <w:szCs w:val="21"/>
                          </w:rPr>
                          <w:t>水60000</w:t>
                        </w:r>
                      </w:p>
                    </w:txbxContent>
                  </v:textbox>
                </v:shape>
                <v:line id="直线 1622" o:spid="_x0000_s1054" style="position:absolute;visibility:visible;mso-wrap-style:square" from="35071,3962" to="35077,5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">
                  <v:stroke dashstyle="1 1" startarrow="block" startarrowwidth="narrow" endarrowwidth="narrow" endcap="round"/>
                </v:line>
                <v:shape id="文本框 1623" o:spid="_x0000_s1055" type="#_x0000_t202" style="position:absolute;left:29356;top:1981;width:1687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" strokecolor="white">
                  <v:textbox inset="0,0,0,0">
                    <w:txbxContent>
                      <w:p w14:paraId="511487A6" w14:textId="77777777" w:rsidR="00F553A8" w:rsidRDefault="00F553A8">
                        <w:pPr>
                          <w:rPr>
                            <w:szCs w:val="21"/>
                          </w:rPr>
                        </w:pPr>
                        <w:r>
                          <w:rPr>
                            <w:szCs w:val="21"/>
                          </w:rPr>
                          <w:t>废气G</w:t>
                        </w:r>
                        <w:r>
                          <w:rPr>
                            <w:szCs w:val="21"/>
                            <w:vertAlign w:val="subscript"/>
                          </w:rPr>
                          <w:t>1-1</w:t>
                        </w:r>
                        <w:r>
                          <w:rPr>
                            <w:szCs w:val="21"/>
                          </w:rPr>
                          <w:t>16(粉尘16)</w:t>
                        </w:r>
                      </w:p>
                    </w:txbxContent>
                  </v:textbox>
                </v:shape>
                <v:line id="直线 1624" o:spid="_x0000_s1056" style="position:absolute;visibility:visible;mso-wrap-style:square" from="37357,7924" to="37363,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">
                  <v:stroke dashstyle="1 1" startarrowwidth="narrow" endarrow="block" endarrowwidth="narrow" endcap="round"/>
                </v:line>
                <v:shape id="文本框 1625" o:spid="_x0000_s1057" type="#_x0000_t202" style="position:absolute;left:36214;top:9906;width:9144;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" strokecolor="white">
                  <v:textbox inset="0,0,0,0">
                    <w:txbxContent>
                      <w:p w14:paraId="78CC2FFB" w14:textId="77777777" w:rsidR="00F553A8" w:rsidRDefault="00F553A8">
                        <w:pPr>
                          <w:rPr>
                            <w:szCs w:val="21"/>
                          </w:rPr>
                        </w:pPr>
                        <w:r>
                          <w:rPr>
                            <w:szCs w:val="21"/>
                          </w:rPr>
                          <w:t>水气损耗3000</w:t>
                        </w:r>
                      </w:p>
                    </w:txbxContent>
                  </v:textbox>
                </v:shape>
                <v:line id="直线 1626" o:spid="_x0000_s1058" style="position:absolute;visibility:visible;mso-wrap-style:square" from="35064,7924" to="35071,12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">
                  <v:stroke startarrowwidth="narrow" endarrowwidth="narrow"/>
                </v:line>
                <v:line id="直线 1627" o:spid="_x0000_s1059" style="position:absolute;visibility:visible;mso-wrap-style:square" from="22498,7924" to="22504,11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">
                  <v:stroke endarrow="block" endarrowwidth="narrow"/>
                </v:line>
                <v:shape id="文本框 1628" o:spid="_x0000_s1060" type="#_x0000_t202" style="position:absolute;left:19069;top:11887;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">
                  <v:textbox inset="0,0,0,0">
                    <w:txbxContent>
                      <w:p w14:paraId="7C7334A9" w14:textId="77777777" w:rsidR="00F553A8" w:rsidRDefault="00F553A8">
                        <w:pPr>
                          <w:jc w:val="center"/>
                          <w:rPr>
                            <w:szCs w:val="21"/>
                          </w:rPr>
                        </w:pPr>
                        <w:r>
                          <w:rPr>
                            <w:szCs w:val="21"/>
                          </w:rPr>
                          <w:t>拌料</w:t>
                        </w:r>
                      </w:p>
                    </w:txbxContent>
                  </v:textbox>
                </v:shape>
                <v:line id="直线 1629" o:spid="_x0000_s1061" style="position:absolute;flip:x;visibility:visible;mso-wrap-style:square" from="15640,12877" to="19069,1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">
                  <v:stroke startarrow="block" startarrowwidth="narrow" endarrowwidth="narrow"/>
                </v:line>
                <v:line id="直线 1630" o:spid="_x0000_s1062" style="position:absolute;visibility:visible;mso-wrap-style:square" from="15640,10896" to="15640,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"/>
                <v:line id="直线 1631" o:spid="_x0000_s1063" style="position:absolute;flip:x;visibility:visible;mso-wrap-style:square" from="12211,10896" to="15640,10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">
                  <v:stroke startarrowwidth="narrow" endarrowwidth="narrow"/>
                </v:line>
                <v:line id="直线 1632" o:spid="_x0000_s1064" style="position:absolute;flip:x;visibility:visible;mso-wrap-style:square" from="12211,14859" to="15640,14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">
                  <v:stroke startarrowwidth="narrow" endarrowwidth="narrow"/>
                </v:line>
                <v:shape id="文本框 1633" o:spid="_x0000_s1065" type="#_x0000_t202" style="position:absolute;left:908;top:9906;width:11303;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" strokecolor="white">
                  <v:textbox inset="0,0,0,0">
                    <w:txbxContent>
                      <w:p w14:paraId="686E2BC7" w14:textId="77777777" w:rsidR="00F553A8" w:rsidRDefault="00F553A8">
                        <w:pPr>
                          <w:ind w:firstLineChars="200" w:firstLine="420"/>
                          <w:jc w:val="right"/>
                          <w:rPr>
                            <w:szCs w:val="21"/>
                          </w:rPr>
                        </w:pPr>
                        <w:r>
                          <w:rPr>
                            <w:szCs w:val="21"/>
                          </w:rPr>
                          <w:t>水797000</w:t>
                        </w:r>
                      </w:p>
                    </w:txbxContent>
                  </v:textbox>
                </v:shape>
                <v:shape id="文本框 1634" o:spid="_x0000_s1066" type="#_x0000_t202" style="position:absolute;left:3067;top:13868;width:914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" strokecolor="white">
                  <v:textbox inset="0,0,0,0">
                    <w:txbxContent>
                      <w:p w14:paraId="70593E14" w14:textId="77777777" w:rsidR="00F553A8" w:rsidRDefault="00F553A8">
                        <w:pPr>
                          <w:ind w:firstLineChars="50" w:firstLine="105"/>
                          <w:jc w:val="right"/>
                          <w:rPr>
                            <w:szCs w:val="21"/>
                          </w:rPr>
                        </w:pPr>
                        <w:r>
                          <w:rPr>
                            <w:szCs w:val="21"/>
                          </w:rPr>
                          <w:t>淀粉酶50</w:t>
                        </w:r>
                      </w:p>
                    </w:txbxContent>
                  </v:textbox>
                </v:shape>
                <v:line id="直线 1635" o:spid="_x0000_s1067" style="position:absolute;visibility:visible;mso-wrap-style:square" from="22498,13868" to="22504,17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">
                  <v:stroke startarrowwidth="narrow" endarrow="block" endarrowwidth="narrow"/>
                </v:line>
                <v:shape id="文本框 1636" o:spid="_x0000_s1068" type="#_x0000_t202" style="position:absolute;left:19069;top:17830;width:6858;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">
                  <v:textbox inset="0,0,0,0">
                    <w:txbxContent>
                      <w:p w14:paraId="14B07A8D" w14:textId="77777777" w:rsidR="00F553A8" w:rsidRDefault="00F553A8">
                        <w:pPr>
                          <w:jc w:val="center"/>
                          <w:rPr>
                            <w:szCs w:val="21"/>
                          </w:rPr>
                        </w:pPr>
                        <w:r>
                          <w:rPr>
                            <w:szCs w:val="21"/>
                          </w:rPr>
                          <w:t>蒸煮液化</w:t>
                        </w:r>
                      </w:p>
                    </w:txbxContent>
                  </v:textbox>
                </v:shape>
                <v:line id="直线 1637" o:spid="_x0000_s1069" style="position:absolute;visibility:visible;mso-wrap-style:square" from="22498,19812" to="22504,23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">
                  <v:stroke startarrowwidth="narrow" endarrow="block" endarrowwidth="narrow"/>
                </v:line>
                <v:line id="直线 1638" o:spid="_x0000_s1070" style="position:absolute;flip:x;visibility:visible;mso-wrap-style:square" from="15640,18821" to="19069,18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">
                  <v:stroke startarrow="block" startarrowwidth="narrow" endarrowwidth="narrow"/>
                </v:line>
                <v:shape id="文本框 1639" o:spid="_x0000_s1071" type="#_x0000_t202" style="position:absolute;left:7639;top:17830;width:8001;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" strokecolor="white">
                  <v:textbox inset="0,0,0,0">
                    <w:txbxContent>
                      <w:p w14:paraId="7AFEADA4" w14:textId="77777777" w:rsidR="00F553A8" w:rsidRDefault="00F553A8">
                        <w:pPr>
                          <w:ind w:firstLineChars="50" w:firstLine="105"/>
                          <w:rPr>
                            <w:szCs w:val="21"/>
                          </w:rPr>
                        </w:pPr>
                        <w:r>
                          <w:rPr>
                            <w:szCs w:val="21"/>
                          </w:rPr>
                          <w:t>蒸汽55500</w:t>
                        </w:r>
                      </w:p>
                    </w:txbxContent>
                  </v:textbox>
                </v:shape>
                <v:line id="直线 1640" o:spid="_x0000_s1072" style="position:absolute;flip:x;visibility:visible;mso-wrap-style:square" from="25927,18821" to="29356,18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">
                  <v:stroke dashstyle="1 1" startarrow="block" startarrowwidth="narrow" endarrowwidth="narrow" endcap="round"/>
                </v:line>
                <v:shape id="文本框 1641" o:spid="_x0000_s1073" type="#_x0000_t202" style="position:absolute;left:29356;top:17830;width:15335;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" strokecolor="white">
                  <v:textbox inset="0,0,0,0">
                    <w:txbxContent>
                      <w:p w14:paraId="5ED2A4AF" w14:textId="77777777" w:rsidR="00F553A8" w:rsidRDefault="00F553A8">
                        <w:pPr>
                          <w:rPr>
                            <w:szCs w:val="21"/>
                          </w:rPr>
                        </w:pPr>
                        <w:r>
                          <w:rPr>
                            <w:szCs w:val="21"/>
                          </w:rPr>
                          <w:t>水气损耗9000</w:t>
                        </w:r>
                      </w:p>
                    </w:txbxContent>
                  </v:textbox>
                </v:shape>
                <v:shape id="文本框 1642" o:spid="_x0000_s1074" type="#_x0000_t202" style="position:absolute;left:23641;top:20802;width:914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" strokecolor="white">
                  <v:textbox inset="0,0,0,0">
                    <w:txbxContent>
                      <w:p w14:paraId="6BD35F52" w14:textId="77777777" w:rsidR="00F553A8" w:rsidRDefault="00F553A8">
                        <w:pPr>
                          <w:rPr>
                            <w:szCs w:val="21"/>
                          </w:rPr>
                        </w:pPr>
                        <w:r>
                          <w:rPr>
                            <w:szCs w:val="21"/>
                          </w:rPr>
                          <w:t>真空冷却</w:t>
                        </w:r>
                      </w:p>
                    </w:txbxContent>
                  </v:textbox>
                </v:shape>
                <v:shape id="文本框 1643" o:spid="_x0000_s1075" type="#_x0000_t202" style="position:absolute;left:19069;top:23774;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">
                  <v:textbox inset="0,0,0,0">
                    <w:txbxContent>
                      <w:p w14:paraId="0D037818" w14:textId="77777777" w:rsidR="00F553A8" w:rsidRDefault="00F553A8">
                        <w:pPr>
                          <w:jc w:val="center"/>
                          <w:rPr>
                            <w:szCs w:val="21"/>
                          </w:rPr>
                        </w:pPr>
                        <w:r>
                          <w:rPr>
                            <w:szCs w:val="21"/>
                          </w:rPr>
                          <w:t>糖化</w:t>
                        </w:r>
                      </w:p>
                    </w:txbxContent>
                  </v:textbox>
                </v:shape>
                <v:line id="直线 1644" o:spid="_x0000_s1076" style="position:absolute;flip:x;visibility:visible;mso-wrap-style:square" from="15640,24765" to="19069,24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">
                  <v:stroke startarrow="block" startarrowwidth="narrow" endarrowwidth="narrow"/>
                </v:line>
                <v:line id="直线 1645" o:spid="_x0000_s1077" style="position:absolute;visibility:visible;mso-wrap-style:square" from="15640,22783" to="15646,26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"/>
                <v:line id="直线 1646" o:spid="_x0000_s1078" style="position:absolute;flip:x;visibility:visible;mso-wrap-style:square" from="12211,22783" to="15640,2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">
                  <v:stroke startarrowwidth="narrow" endarrowwidth="narrow"/>
                </v:line>
                <v:line id="直线 1647" o:spid="_x0000_s1079" style="position:absolute;flip:x;visibility:visible;mso-wrap-style:square" from="12211,26746" to="15640,2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">
                  <v:stroke startarrowwidth="narrow" endarrowwidth="narrow"/>
                </v:line>
                <v:shape id="文本框 1648" o:spid="_x0000_s1080" type="#_x0000_t202" style="position:absolute;left:6496;top:21793;width:57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" strokecolor="white">
                  <v:textbox inset="0,0,0,0">
                    <w:txbxContent>
                      <w:p w14:paraId="050E475B" w14:textId="77777777" w:rsidR="00F553A8" w:rsidRDefault="00F553A8">
                        <w:pPr>
                          <w:jc w:val="left"/>
                        </w:pPr>
                        <w:r>
                          <w:rPr>
                            <w:szCs w:val="21"/>
                          </w:rPr>
                          <w:t>水</w:t>
                        </w:r>
                        <w:r>
                          <w:t>25043</w:t>
                        </w:r>
                      </w:p>
                    </w:txbxContent>
                  </v:textbox>
                </v:shape>
                <v:shape id="文本框 1649" o:spid="_x0000_s1081" type="#_x0000_t202" style="position:absolute;left:5353;top:25755;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" strokecolor="white">
                  <v:textbox inset="0,0,0,0">
                    <w:txbxContent>
                      <w:p w14:paraId="56FE237E" w14:textId="77777777" w:rsidR="00F553A8" w:rsidRDefault="00F553A8">
                        <w:r>
                          <w:rPr>
                            <w:szCs w:val="21"/>
                          </w:rPr>
                          <w:t>糖化酶273</w:t>
                        </w:r>
                      </w:p>
                    </w:txbxContent>
                  </v:textbox>
                </v:shape>
                <v:shape id="文本框 1650" o:spid="_x0000_s1082" type="#_x0000_t202" style="position:absolute;left:16783;top:27736;width:5715;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" strokecolor="white">
                  <v:textbox inset="0,0,0,0">
                    <w:txbxContent>
                      <w:p w14:paraId="37681F7C" w14:textId="77777777" w:rsidR="00F553A8" w:rsidRDefault="00F553A8">
                        <w:pPr>
                          <w:rPr>
                            <w:szCs w:val="21"/>
                          </w:rPr>
                        </w:pPr>
                        <w:r>
                          <w:rPr>
                            <w:szCs w:val="21"/>
                          </w:rPr>
                          <w:t>1390485</w:t>
                        </w:r>
                      </w:p>
                    </w:txbxContent>
                  </v:textbox>
                </v:shape>
                <v:line id="直线 1651" o:spid="_x0000_s1083" style="position:absolute;visibility:visible;mso-wrap-style:square" from="22498,25755" to="22504,3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">
                  <v:stroke startarrowwidth="narrow" endarrow="block" endarrowwidth="narrow"/>
                </v:line>
                <v:shape id="文本框 1652" o:spid="_x0000_s1084" type="#_x0000_t202" style="position:absolute;left:23641;top:28371;width:571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" strokecolor="white">
                  <v:textbox inset="0,0,0,0">
                    <w:txbxContent>
                      <w:p w14:paraId="653836A7" w14:textId="77777777" w:rsidR="00F553A8" w:rsidRDefault="00F553A8">
                        <w:pPr>
                          <w:rPr>
                            <w:szCs w:val="21"/>
                          </w:rPr>
                        </w:pPr>
                        <w:r>
                          <w:rPr>
                            <w:szCs w:val="21"/>
                          </w:rPr>
                          <w:t>螺旋冷却</w:t>
                        </w:r>
                      </w:p>
                    </w:txbxContent>
                  </v:textbox>
                </v:shape>
                <v:shape id="文本框 1653" o:spid="_x0000_s1085" type="#_x0000_t202" style="position:absolute;left:19069;top:32689;width:6858;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">
                  <v:textbox inset="0,0,0,0">
                    <w:txbxContent>
                      <w:p w14:paraId="5D1AC3A3" w14:textId="77777777" w:rsidR="00F553A8" w:rsidRDefault="00F553A8">
                        <w:pPr>
                          <w:jc w:val="center"/>
                          <w:rPr>
                            <w:szCs w:val="21"/>
                          </w:rPr>
                        </w:pPr>
                        <w:r>
                          <w:rPr>
                            <w:szCs w:val="21"/>
                          </w:rPr>
                          <w:t>发酵</w:t>
                        </w:r>
                      </w:p>
                    </w:txbxContent>
                  </v:textbox>
                </v:shape>
                <v:line id="直线 1654" o:spid="_x0000_s1086" style="position:absolute;flip:x;visibility:visible;mso-wrap-style:square" from="15640,33674" to="19069,3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">
                  <v:stroke startarrow="block" startarrowwidth="narrow" endarrowwidth="narrow"/>
                </v:line>
                <v:line id="直线 1655" o:spid="_x0000_s1087" style="position:absolute;visibility:visible;mso-wrap-style:square" from="15640,30708" to="15646,36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"/>
                <v:line id="直线 1656" o:spid="_x0000_s1088" style="position:absolute;flip:x;visibility:visible;mso-wrap-style:square" from="12211,30708" to="15640,30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">
                  <v:stroke startarrowwidth="narrow" endarrowwidth="narrow"/>
                </v:line>
                <v:line id="直线 1657" o:spid="_x0000_s1089" style="position:absolute;flip:x;visibility:visible;mso-wrap-style:square" from="12211,33680" to="15640,3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">
                  <v:stroke startarrowwidth="narrow" endarrowwidth="narrow"/>
                </v:line>
                <v:shape id="文本框 1658" o:spid="_x0000_s1090" type="#_x0000_t202" style="position:absolute;left:7639;top:29718;width:457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" strokecolor="white">
                  <v:textbox inset="0,0,0,0">
                    <w:txbxContent>
                      <w:p w14:paraId="1EF22243" w14:textId="77777777" w:rsidR="00F553A8" w:rsidRDefault="00F553A8">
                        <w:pPr>
                          <w:rPr>
                            <w:szCs w:val="21"/>
                          </w:rPr>
                        </w:pPr>
                        <w:r>
                          <w:rPr>
                            <w:szCs w:val="21"/>
                          </w:rPr>
                          <w:t>尿素1</w:t>
                        </w:r>
                      </w:p>
                    </w:txbxContent>
                  </v:textbox>
                </v:shape>
                <v:shape id="文本框 1659" o:spid="_x0000_s1091" type="#_x0000_t202" style="position:absolute;left:5975;top:32689;width:6236;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" strokecolor="white">
                  <v:textbox inset="0,0,0,0">
                    <w:txbxContent>
                      <w:p w14:paraId="32CCAFE1" w14:textId="77777777" w:rsidR="00F553A8" w:rsidRDefault="00F553A8">
                        <w:pPr>
                          <w:ind w:firstLineChars="50" w:firstLine="105"/>
                          <w:rPr>
                            <w:szCs w:val="21"/>
                          </w:rPr>
                        </w:pPr>
                        <w:r>
                          <w:rPr>
                            <w:szCs w:val="21"/>
                          </w:rPr>
                          <w:t>硫酸600</w:t>
                        </w:r>
                      </w:p>
                    </w:txbxContent>
                  </v:textbox>
                </v:shape>
                <v:line id="直线 1660" o:spid="_x0000_s1092" style="position:absolute;flip:x;visibility:visible;mso-wrap-style:square" from="12211,36652" to="15640,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">
                  <v:stroke startarrowwidth="narrow" endarrowwidth="narrow"/>
                </v:line>
                <v:shape id="文本框 1661" o:spid="_x0000_s1093" type="#_x0000_t202" style="position:absolute;left:5975;top:35661;width:6236;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" strokecolor="white">
                  <v:textbox inset="0,0,0,0">
                    <w:txbxContent>
                      <w:p w14:paraId="79211AA1" w14:textId="77777777" w:rsidR="00F553A8" w:rsidRDefault="00F553A8">
                        <w:pPr>
                          <w:ind w:firstLineChars="50" w:firstLine="105"/>
                          <w:rPr>
                            <w:szCs w:val="21"/>
                          </w:rPr>
                        </w:pPr>
                        <w:r>
                          <w:rPr>
                            <w:szCs w:val="21"/>
                          </w:rPr>
                          <w:t>干酵母8</w:t>
                        </w:r>
                      </w:p>
                    </w:txbxContent>
                  </v:textbox>
                </v:shape>
                <v:shape id="文本框 1662" o:spid="_x0000_s1094" type="#_x0000_t202" style="position:absolute;left:26411;top:31699;width:457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" strokecolor="white">
                  <v:textbox inset="0,0,0,0">
                    <w:txbxContent>
                      <w:p w14:paraId="2FCAAACF" w14:textId="77777777" w:rsidR="00F553A8" w:rsidRDefault="00F553A8">
                        <w:pPr>
                          <w:rPr>
                            <w:szCs w:val="21"/>
                          </w:rPr>
                        </w:pPr>
                        <w:r>
                          <w:rPr>
                            <w:szCs w:val="21"/>
                          </w:rPr>
                          <w:t>100746</w:t>
                        </w:r>
                      </w:p>
                    </w:txbxContent>
                  </v:textbox>
                </v:shape>
                <v:line id="直线 1663" o:spid="_x0000_s1095" style="position:absolute;flip:x;visibility:visible;mso-wrap-style:square" from="25927,33680" to="31642,3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">
                  <v:stroke startarrow="block" startarrowwidth="narrow" endarrowwidth="narrow"/>
                </v:line>
                <v:shape id="文本框 1664" o:spid="_x0000_s1096" type="#_x0000_t202" style="position:absolute;left:31642;top:32689;width:6858;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">
                  <v:textbox inset="0,0,0,0">
                    <w:txbxContent>
                      <w:p w14:paraId="40783F29" w14:textId="77777777" w:rsidR="00F553A8" w:rsidRDefault="00F553A8">
                        <w:pPr>
                          <w:jc w:val="center"/>
                          <w:rPr>
                            <w:szCs w:val="21"/>
                          </w:rPr>
                        </w:pPr>
                        <w:r>
                          <w:rPr>
                            <w:szCs w:val="21"/>
                          </w:rPr>
                          <w:t>回收淡酒</w:t>
                        </w:r>
                      </w:p>
                    </w:txbxContent>
                  </v:textbox>
                </v:shape>
                <v:line id="直线 1665" o:spid="_x0000_s1097" style="position:absolute;visibility:visible;mso-wrap-style:square" from="35071,30708" to="35077,3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">
                  <v:stroke dashstyle="1 1" startarrow="block" startarrowwidth="narrow" endarrowwidth="narrow" endcap="round"/>
                </v:line>
                <v:shape id="文本框 1666" o:spid="_x0000_s1098" type="#_x0000_t202" style="position:absolute;left:30937;top:26660;width:20574;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" strokecolor="white">
                  <v:textbox inset="0,0,0,0">
                    <w:txbxContent>
                      <w:p w14:paraId="39980784" w14:textId="77777777" w:rsidR="00F553A8" w:rsidRDefault="00F553A8">
                        <w:pPr>
                          <w:ind w:firstLineChars="50" w:firstLine="105"/>
                          <w:rPr>
                            <w:szCs w:val="21"/>
                          </w:rPr>
                        </w:pPr>
                        <w:r>
                          <w:rPr>
                            <w:szCs w:val="21"/>
                          </w:rPr>
                          <w:t>废气G</w:t>
                        </w:r>
                        <w:r>
                          <w:rPr>
                            <w:szCs w:val="21"/>
                            <w:vertAlign w:val="subscript"/>
                          </w:rPr>
                          <w:t>1-2</w:t>
                        </w:r>
                        <w:r>
                          <w:rPr>
                            <w:szCs w:val="21"/>
                          </w:rPr>
                          <w:t>100001</w:t>
                        </w:r>
                      </w:p>
                      <w:p w14:paraId="186527ED" w14:textId="77777777" w:rsidR="00F553A8" w:rsidRDefault="00F553A8">
                        <w:pPr>
                          <w:rPr>
                            <w:szCs w:val="21"/>
                          </w:rPr>
                        </w:pPr>
                        <w:r>
                          <w:rPr>
                            <w:szCs w:val="21"/>
                          </w:rPr>
                          <w:t>(</w:t>
                        </w:r>
                        <w:r>
                          <w:t>CO</w:t>
                        </w:r>
                        <w:r>
                          <w:rPr>
                            <w:vertAlign w:val="subscript"/>
                          </w:rPr>
                          <w:t>2</w:t>
                        </w:r>
                        <w:r>
                          <w:t>93974</w:t>
                        </w:r>
                        <w:r>
                          <w:rPr>
                            <w:rFonts w:hint="eastAsia"/>
                          </w:rPr>
                          <w:t>、</w:t>
                        </w:r>
                        <w:r>
                          <w:rPr>
                            <w:szCs w:val="21"/>
                          </w:rPr>
                          <w:t>乙醇27、水气6000)</w:t>
                        </w:r>
                      </w:p>
                    </w:txbxContent>
                  </v:textbox>
                </v:shape>
                <v:line id="直线 1667" o:spid="_x0000_s1099" style="position:absolute;visibility:visible;mso-wrap-style:square" from="35071,34671" to="35077,37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">
                  <v:stroke startarrowwidth="narrow" endarrowwidth="narrow"/>
                </v:line>
                <v:shape id="文本框 1668" o:spid="_x0000_s1100" type="#_x0000_t202" style="position:absolute;left:27070;top:35661;width:57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" strokecolor="white">
                  <v:textbox inset="0,0,0,0">
                    <w:txbxContent>
                      <w:p w14:paraId="74165662" w14:textId="77777777" w:rsidR="00F553A8" w:rsidRDefault="00F553A8">
                        <w:pPr>
                          <w:rPr>
                            <w:szCs w:val="21"/>
                          </w:rPr>
                        </w:pPr>
                        <w:r>
                          <w:rPr>
                            <w:szCs w:val="21"/>
                          </w:rPr>
                          <w:t>15202</w:t>
                        </w:r>
                      </w:p>
                    </w:txbxContent>
                  </v:textbox>
                </v:shape>
                <v:line id="直线 1669" o:spid="_x0000_s1101" style="position:absolute;flip:x;visibility:visible;mso-wrap-style:square" from="22498,37642" to="35071,37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">
                  <v:stroke endarrow="block" endarrowwidth="narrow"/>
                </v:line>
                <v:line id="直线 1670" o:spid="_x0000_s1102" style="position:absolute;visibility:visible;mso-wrap-style:square" from="22498,34671" to="22504,4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">
                  <v:stroke startarrowwidth="narrow" endarrow="block" endarrowwidth="narrow"/>
                </v:line>
                <v:shape id="文本框 1675" o:spid="_x0000_s1103" type="#_x0000_t202" style="position:absolute;left:19069;top:42348;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">
                  <v:textbox inset="0,0,0,0">
                    <w:txbxContent>
                      <w:p w14:paraId="0B514DC6" w14:textId="77777777" w:rsidR="00F553A8" w:rsidRDefault="00F553A8">
                        <w:pPr>
                          <w:jc w:val="center"/>
                          <w:rPr>
                            <w:szCs w:val="21"/>
                          </w:rPr>
                        </w:pPr>
                        <w:r>
                          <w:rPr>
                            <w:szCs w:val="21"/>
                          </w:rPr>
                          <w:t>粗馏</w:t>
                        </w:r>
                      </w:p>
                    </w:txbxContent>
                  </v:textbox>
                </v:shape>
                <v:line id="直线 1676" o:spid="_x0000_s1104" style="position:absolute;flip:x;visibility:visible;mso-wrap-style:square" from="15640,43249" to="19069,43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">
                  <v:stroke startarrow="block" startarrowwidth="narrow" endarrowwidth="narrow"/>
                </v:line>
                <v:line id="直线 1677" o:spid="_x0000_s1105" style="position:absolute;flip:x;visibility:visible;mso-wrap-style:square" from="25927,43249" to="29356,43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">
                  <v:stroke startarrow="block" startarrowwidth="narrow" endarrowwidth="narrow"/>
                </v:line>
                <v:line id="直线 1678" o:spid="_x0000_s1106" style="position:absolute;visibility:visible;mso-wrap-style:square" from="22498,69824" to="22504,72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">
                  <v:stroke startarrowwidth="narrow" endarrow="block" endarrowwidth="narrow"/>
                </v:line>
                <v:shape id="文本框 1679" o:spid="_x0000_s1107" type="#_x0000_t202" style="position:absolute;left:19069;top:56749;width:6858;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">
                  <v:textbox inset="0,0,0,0">
                    <w:txbxContent>
                      <w:p w14:paraId="54897FA2" w14:textId="77777777" w:rsidR="00F553A8" w:rsidRDefault="00F553A8">
                        <w:pPr>
                          <w:jc w:val="center"/>
                          <w:rPr>
                            <w:szCs w:val="21"/>
                          </w:rPr>
                        </w:pPr>
                        <w:r>
                          <w:rPr>
                            <w:szCs w:val="21"/>
                          </w:rPr>
                          <w:t>精馏</w:t>
                        </w:r>
                      </w:p>
                    </w:txbxContent>
                  </v:textbox>
                </v:shape>
                <v:line id="直线 1680" o:spid="_x0000_s1108" style="position:absolute;flip:x;visibility:visible;mso-wrap-style:square" from="15640,57740" to="19069,57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">
                  <v:stroke startarrow="block" startarrowwidth="narrow" endarrowwidth="narrow"/>
                </v:line>
                <v:line id="直线 1681" o:spid="_x0000_s1109" style="position:absolute;flip:x;visibility:visible;mso-wrap-style:square" from="25927,57740" to="29356,57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">
                  <v:stroke startarrow="block" startarrowwidth="narrow" endarrowwidth="narrow"/>
                </v:line>
                <v:line id="直线 1682" o:spid="_x0000_s1110" style="position:absolute;visibility:visible;mso-wrap-style:square" from="25165,58712" to="25171,61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">
                  <v:stroke startarrowwidth="narrow" endarrowwidth="narrow"/>
                </v:line>
                <v:line id="直线 1683" o:spid="_x0000_s1111" style="position:absolute;visibility:visible;mso-wrap-style:square" from="25165,60979" to="29737,60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">
                  <v:stroke endarrow="block" endarrowwidth="narrow"/>
                </v:line>
                <v:shape id="文本框 1684" o:spid="_x0000_s1112" type="#_x0000_t202" style="position:absolute;left:19069;top:50628;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">
                  <v:textbox inset="0,0,0,0">
                    <w:txbxContent>
                      <w:p w14:paraId="1F1B7846" w14:textId="77777777" w:rsidR="00F553A8" w:rsidRDefault="00F553A8">
                        <w:pPr>
                          <w:jc w:val="center"/>
                          <w:rPr>
                            <w:szCs w:val="21"/>
                          </w:rPr>
                        </w:pPr>
                        <w:r>
                          <w:rPr>
                            <w:szCs w:val="21"/>
                          </w:rPr>
                          <w:t>冷凝</w:t>
                        </w:r>
                      </w:p>
                    </w:txbxContent>
                  </v:textbox>
                </v:shape>
                <v:line id="直线 1685" o:spid="_x0000_s1113" style="position:absolute;visibility:visible;mso-wrap-style:square" from="31261,49593" to="31267,5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">
                  <v:stroke dashstyle="1 1" startarrow="block" startarrowwidth="narrow" endarrowwidth="narrow" endcap="round"/>
                </v:line>
                <v:line id="直线 1686" o:spid="_x0000_s1114" style="position:absolute;flip:x;visibility:visible;mso-wrap-style:square" from="25927,51663" to="31261,51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">
                  <v:stroke dashstyle="1 1" startarrowwidth="narrow" endarrowwidth="narrow" endcap="round"/>
                </v:line>
                <v:shape id="文本框 1687" o:spid="_x0000_s1115" type="#_x0000_t202" style="position:absolute;left:19069;top:68021;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">
                  <v:textbox inset="0,0,0,0">
                    <w:txbxContent>
                      <w:p w14:paraId="4C07F03F" w14:textId="77777777" w:rsidR="00F553A8" w:rsidRDefault="00F553A8">
                        <w:pPr>
                          <w:jc w:val="center"/>
                          <w:rPr>
                            <w:szCs w:val="21"/>
                          </w:rPr>
                        </w:pPr>
                        <w:r>
                          <w:rPr>
                            <w:szCs w:val="21"/>
                          </w:rPr>
                          <w:t>冷凝</w:t>
                        </w:r>
                      </w:p>
                    </w:txbxContent>
                  </v:textbox>
                </v:shape>
                <v:line id="直线 1688" o:spid="_x0000_s1116" style="position:absolute;visibility:visible;mso-wrap-style:square" from="31261,67100" to="31267,69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">
                  <v:stroke dashstyle="1 1" startarrow="block" startarrowwidth="narrow" endarrowwidth="narrow" endcap="round"/>
                </v:line>
                <v:line id="直线 1689" o:spid="_x0000_s1117" style="position:absolute;flip:x;visibility:visible;mso-wrap-style:square" from="25927,69170" to="31261,69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">
                  <v:stroke dashstyle="1 1" startarrowwidth="narrow" endarrowwidth="narrow" endcap="round"/>
                </v:line>
                <v:line id="直线 1690" o:spid="_x0000_s1118" style="position:absolute;visibility:visible;mso-wrap-style:square" from="22479,58712" to="22498,68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">
                  <v:stroke dashstyle="1 1" startarrowwidth="narrow" endarrow="block" endarrowwidth="narrow" endcap="round"/>
                </v:line>
                <v:line id="直线 1691" o:spid="_x0000_s1119" style="position:absolute;visibility:visible;mso-wrap-style:square" from="22498,52609" to="22504,5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">
                  <v:stroke startarrowwidth="narrow" endarrow="block" endarrowwidth="narrow"/>
                </v:line>
                <v:shape id="文本框 1692" o:spid="_x0000_s1120" type="#_x0000_t202" style="position:absolute;left:29737;top:55714;width:1943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" strokecolor="white">
                  <v:textbox inset="0,0,0,0">
                    <w:txbxContent>
                      <w:p w14:paraId="212816D6" w14:textId="77777777" w:rsidR="00F553A8" w:rsidRDefault="00F553A8">
                        <w:pPr>
                          <w:ind w:firstLineChars="50" w:firstLine="105"/>
                          <w:rPr>
                            <w:szCs w:val="21"/>
                          </w:rPr>
                        </w:pPr>
                        <w:r>
                          <w:rPr>
                            <w:szCs w:val="21"/>
                          </w:rPr>
                          <w:t>蒸馏底液W</w:t>
                        </w:r>
                        <w:r>
                          <w:rPr>
                            <w:szCs w:val="21"/>
                            <w:vertAlign w:val="subscript"/>
                          </w:rPr>
                          <w:t>1-2</w:t>
                        </w:r>
                        <w:r>
                          <w:rPr>
                            <w:szCs w:val="21"/>
                          </w:rPr>
                          <w:t>110950</w:t>
                        </w:r>
                      </w:p>
                      <w:p w14:paraId="1A00E517" w14:textId="77777777" w:rsidR="00F553A8" w:rsidRDefault="00F553A8">
                        <w:pPr>
                          <w:rPr>
                            <w:color w:val="FF0000"/>
                            <w:szCs w:val="21"/>
                          </w:rPr>
                        </w:pPr>
                        <w:r>
                          <w:rPr>
                            <w:szCs w:val="21"/>
                          </w:rPr>
                          <w:t>(水110200、乙醇等750)</w:t>
                        </w:r>
                      </w:p>
                    </w:txbxContent>
                  </v:textbox>
                </v:shape>
                <v:shape id="文本框 1693" o:spid="_x0000_s1121" type="#_x0000_t202" style="position:absolute;left:29356;top:41402;width:2286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" strokecolor="white">
                  <v:textbox inset="0,0,0,0">
                    <w:txbxContent>
                      <w:p w14:paraId="4A9A6758" w14:textId="77777777" w:rsidR="00F553A8" w:rsidRDefault="00F553A8">
                        <w:pPr>
                          <w:ind w:firstLineChars="50" w:firstLine="105"/>
                          <w:rPr>
                            <w:szCs w:val="21"/>
                          </w:rPr>
                        </w:pPr>
                        <w:r>
                          <w:rPr>
                            <w:szCs w:val="21"/>
                          </w:rPr>
                          <w:t>糟液W</w:t>
                        </w:r>
                        <w:r>
                          <w:rPr>
                            <w:szCs w:val="21"/>
                            <w:vertAlign w:val="subscript"/>
                          </w:rPr>
                          <w:t>1-1</w:t>
                        </w:r>
                        <w:r>
                          <w:rPr>
                            <w:szCs w:val="21"/>
                          </w:rPr>
                          <w:t>1290400</w:t>
                        </w:r>
                      </w:p>
                      <w:p w14:paraId="207B7A34" w14:textId="77777777" w:rsidR="00F553A8" w:rsidRDefault="00F553A8">
                        <w:r>
                          <w:rPr>
                            <w:szCs w:val="21"/>
                          </w:rPr>
                          <w:t>(水1231700、有机质固形物58700)</w:t>
                        </w:r>
                      </w:p>
                    </w:txbxContent>
                  </v:textbox>
                </v:shape>
                <v:shape id="文本框 1694" o:spid="_x0000_s1122" type="#_x0000_t202" style="position:absolute;left:30499;top:60032;width:11430;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" strokecolor="white">
                  <v:textbox inset="0,0,0,0">
                    <w:txbxContent>
                      <w:p w14:paraId="53EBCA3E" w14:textId="77777777" w:rsidR="00F553A8" w:rsidRDefault="00F553A8">
                        <w:pPr>
                          <w:rPr>
                            <w:szCs w:val="21"/>
                          </w:rPr>
                        </w:pPr>
                        <w:r>
                          <w:rPr>
                            <w:szCs w:val="21"/>
                          </w:rPr>
                          <w:t>杂醇油600</w:t>
                        </w:r>
                      </w:p>
                    </w:txbxContent>
                  </v:textbox>
                </v:shape>
                <v:shape id="文本框 1695" o:spid="_x0000_s1123" type="#_x0000_t202" style="position:absolute;left:28111;top:63138;width:7156;height:36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" strokecolor="white">
                  <v:textbox inset="0,0,0,0">
                    <w:txbxContent>
                      <w:p w14:paraId="682AAB94" w14:textId="77777777" w:rsidR="00F553A8" w:rsidRDefault="00F553A8">
                        <w:pPr>
                          <w:ind w:firstLineChars="50" w:firstLine="105"/>
                          <w:rPr>
                            <w:szCs w:val="21"/>
                          </w:rPr>
                        </w:pPr>
                        <w:r>
                          <w:rPr>
                            <w:szCs w:val="21"/>
                          </w:rPr>
                          <w:t>废气G</w:t>
                        </w:r>
                        <w:r>
                          <w:rPr>
                            <w:szCs w:val="21"/>
                            <w:vertAlign w:val="subscript"/>
                          </w:rPr>
                          <w:t>1-4</w:t>
                        </w:r>
                        <w:r>
                          <w:rPr>
                            <w:szCs w:val="21"/>
                          </w:rPr>
                          <w:t>50</w:t>
                        </w:r>
                      </w:p>
                      <w:p w14:paraId="480545D9" w14:textId="77777777" w:rsidR="00F553A8" w:rsidRDefault="00F553A8">
                        <w:pPr>
                          <w:rPr>
                            <w:szCs w:val="21"/>
                          </w:rPr>
                        </w:pPr>
                        <w:r>
                          <w:rPr>
                            <w:szCs w:val="21"/>
                          </w:rPr>
                          <w:t>(乙醇50)</w:t>
                        </w:r>
                      </w:p>
                    </w:txbxContent>
                  </v:textbox>
                </v:shape>
                <v:shape id="文本框 1696" o:spid="_x0000_s1124" type="#_x0000_t202" style="position:absolute;left:16783;top:73107;width:16002;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" strokecolor="white">
                  <v:textbox inset="0,0,0,0">
                    <w:txbxContent>
                      <w:p w14:paraId="397FB92F" w14:textId="77777777" w:rsidR="00F553A8" w:rsidRDefault="00F553A8">
                        <w:pPr>
                          <w:ind w:firstLineChars="50" w:firstLine="105"/>
                          <w:rPr>
                            <w:szCs w:val="21"/>
                          </w:rPr>
                        </w:pPr>
                        <w:r>
                          <w:rPr>
                            <w:szCs w:val="21"/>
                          </w:rPr>
                          <w:t>产品酒精100000</w:t>
                        </w:r>
                      </w:p>
                      <w:p w14:paraId="73F0011C" w14:textId="77777777" w:rsidR="00F553A8" w:rsidRDefault="00F553A8">
                        <w:pPr>
                          <w:rPr>
                            <w:szCs w:val="21"/>
                          </w:rPr>
                        </w:pPr>
                        <w:r>
                          <w:rPr>
                            <w:szCs w:val="21"/>
                          </w:rPr>
                          <w:t>(乙醇94000、水6000)</w:t>
                        </w:r>
                      </w:p>
                    </w:txbxContent>
                  </v:textbox>
                </v:shape>
                <v:line id="直线 1697" o:spid="_x0000_s1125" style="position:absolute;visibility:visible;mso-wrap-style:square" from="23825,44316" to="23831,50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">
                  <v:stroke startarrow="block" startarrowwidth="narrow" endarrowwidth="narrow"/>
                </v:line>
                <v:line id="直线 1698" o:spid="_x0000_s1126" style="position:absolute;visibility:visible;mso-wrap-style:square" from="22574,44507" to="22580,50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">
                  <v:stroke dashstyle="1 1" startarrowwidth="narrow" endarrow="block" endarrowwidth="narrow" endcap="round"/>
                </v:line>
                <v:line id="直线 1699" o:spid="_x0000_s1127" style="position:absolute;visibility:visible;mso-wrap-style:square" from="23831,58712" to="23850,68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">
                  <v:stroke startarrow="block" startarrowwidth="narrow" endarrowwidth="narrow"/>
                </v:line>
                <v:line id="直线 1700" o:spid="_x0000_s1128" style="position:absolute;flip:x;visibility:visible;mso-wrap-style:square" from="25927,12877" to="35071,1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">
                  <v:stroke endarrow="block" endarrowwidth="narrow"/>
                </v:line>
                <v:line id="直线 1701" o:spid="_x0000_s1129" style="position:absolute;flip:x;visibility:visible;mso-wrap-style:square" from="38500,33578" to="41929,3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">
                  <v:stroke startarrowwidth="narrow" endarrow="block" endarrowwidth="narrow"/>
                </v:line>
                <v:shape id="文本框 1702" o:spid="_x0000_s1130" type="#_x0000_t202" style="position:absolute;left:42691;top:32651;width:57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" strokecolor="white">
                  <v:textbox inset="0,0,0,0">
                    <w:txbxContent>
                      <w:p w14:paraId="3E51B9ED" w14:textId="77777777" w:rsidR="00F553A8" w:rsidRDefault="00F553A8">
                        <w:pPr>
                          <w:rPr>
                            <w:szCs w:val="21"/>
                          </w:rPr>
                        </w:pPr>
                        <w:r>
                          <w:rPr>
                            <w:szCs w:val="21"/>
                          </w:rPr>
                          <w:t>水14457</w:t>
                        </w:r>
                      </w:p>
                    </w:txbxContent>
                  </v:textbox>
                </v:shape>
                <w10:anchorlock/>
              </v:group>
            </w:pict>
          </mc:Fallback>
        </mc:AlternateContent>
      </w:r>
    </w:p>
    <w:p w14:paraId="60568FA3" w14:textId="77777777" w:rsidR="002133E3" w:rsidRDefault="00C22CFA">
      <w:pPr>
        <w:snapToGrid w:val="0"/>
        <w:jc w:val="center"/>
        <w:rPr>
          <w:rFonts w:ascii="Times New Roman" w:eastAsia="宋体" w:hAnsi="Times New Roman" w:cs="Times New Roman"/>
          <w:b/>
          <w:bCs/>
          <w:szCs w:val="16"/>
        </w:rPr>
      </w:pPr>
      <w:r>
        <w:rPr>
          <w:rFonts w:ascii="Times New Roman" w:eastAsia="宋体" w:hAnsi="Times New Roman" w:cs="Times New Roman"/>
          <w:b/>
          <w:bCs/>
          <w:szCs w:val="16"/>
        </w:rPr>
        <w:t>图</w:t>
      </w:r>
      <w:r>
        <w:rPr>
          <w:rFonts w:ascii="Times New Roman" w:eastAsia="宋体" w:hAnsi="Times New Roman" w:cs="Times New Roman"/>
          <w:b/>
          <w:bCs/>
          <w:szCs w:val="16"/>
        </w:rPr>
        <w:t xml:space="preserve">3.2-1   </w:t>
      </w:r>
      <w:r>
        <w:rPr>
          <w:rFonts w:ascii="Times New Roman" w:eastAsia="宋体" w:hAnsi="Times New Roman" w:cs="Times New Roman"/>
          <w:b/>
          <w:bCs/>
          <w:szCs w:val="16"/>
        </w:rPr>
        <w:t>酒精生产线物料平衡图</w:t>
      </w:r>
      <w:r>
        <w:rPr>
          <w:rFonts w:ascii="Times New Roman" w:eastAsia="宋体" w:hAnsi="Times New Roman" w:cs="Times New Roman"/>
          <w:b/>
          <w:bCs/>
          <w:szCs w:val="16"/>
        </w:rPr>
        <w:t>(t/a)</w:t>
      </w:r>
    </w:p>
    <w:p w14:paraId="73D1588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醋酸乙酯</w:t>
      </w:r>
      <w:r>
        <w:rPr>
          <w:rFonts w:ascii="Times New Roman" w:eastAsia="宋体" w:hAnsi="Times New Roman" w:cs="Times New Roman"/>
          <w:b/>
          <w:sz w:val="28"/>
          <w:szCs w:val="28"/>
        </w:rPr>
        <w:t>生产线</w:t>
      </w:r>
    </w:p>
    <w:p w14:paraId="413EE81F" w14:textId="77777777" w:rsidR="002133E3" w:rsidRDefault="00C22CFA">
      <w:pPr>
        <w:spacing w:line="520" w:lineRule="exact"/>
        <w:ind w:firstLineChars="196" w:firstLine="551"/>
        <w:rPr>
          <w:rFonts w:ascii="Times New Roman" w:eastAsia="宋体" w:hAnsi="Times New Roman" w:cs="Times New Roman"/>
          <w:b/>
          <w:bCs/>
          <w:sz w:val="28"/>
          <w:szCs w:val="28"/>
        </w:rPr>
      </w:pPr>
      <w:r>
        <w:rPr>
          <w:rFonts w:ascii="宋体" w:eastAsia="宋体" w:hAnsi="宋体" w:cs="宋体" w:hint="eastAsia"/>
          <w:b/>
          <w:bCs/>
          <w:sz w:val="28"/>
          <w:szCs w:val="28"/>
        </w:rPr>
        <w:t>⑴</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工艺原理</w:t>
      </w:r>
    </w:p>
    <w:p w14:paraId="255BD171"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采用醋酸酯化法生产醋酸乙酯，以醋酸和酒精为原料在硫酸的催化作用下</w:t>
      </w:r>
      <w:r>
        <w:rPr>
          <w:rFonts w:ascii="Times New Roman" w:eastAsia="宋体" w:hAnsi="Times New Roman" w:cs="Times New Roman"/>
          <w:sz w:val="28"/>
          <w:szCs w:val="28"/>
        </w:rPr>
        <w:lastRenderedPageBreak/>
        <w:t>进行酯化反应制得。</w:t>
      </w:r>
    </w:p>
    <w:p w14:paraId="4E7EB045" w14:textId="77777777" w:rsidR="002133E3" w:rsidRDefault="00C22CFA">
      <w:pPr>
        <w:spacing w:line="520" w:lineRule="exact"/>
        <w:ind w:firstLineChars="200" w:firstLine="560"/>
        <w:rPr>
          <w:rFonts w:ascii="Times New Roman" w:eastAsia="宋体" w:hAnsi="Times New Roman" w:cs="Times New Roman"/>
          <w:b/>
          <w:bCs/>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43392" behindDoc="0" locked="0" layoutInCell="1" allowOverlap="1" wp14:anchorId="1C0C03CB" wp14:editId="13FA351A">
                <wp:simplePos x="0" y="0"/>
                <wp:positionH relativeFrom="column">
                  <wp:posOffset>2823210</wp:posOffset>
                </wp:positionH>
                <wp:positionV relativeFrom="paragraph">
                  <wp:posOffset>254635</wp:posOffset>
                </wp:positionV>
                <wp:extent cx="381000" cy="234950"/>
                <wp:effectExtent l="0" t="0" r="19050" b="12700"/>
                <wp:wrapNone/>
                <wp:docPr id="405" name="文本框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34950"/>
                        </a:xfrm>
                        <a:prstGeom prst="rect">
                          <a:avLst/>
                        </a:prstGeom>
                        <a:solidFill>
                          <a:srgbClr val="FFFFFF"/>
                        </a:solidFill>
                        <a:ln w="9525" cmpd="sng">
                          <a:solidFill>
                            <a:srgbClr val="FFFFFF"/>
                          </a:solidFill>
                          <a:miter lim="800000"/>
                        </a:ln>
                      </wps:spPr>
                      <wps:txbx>
                        <w:txbxContent>
                          <w:p w14:paraId="00516A00" w14:textId="77777777" w:rsidR="00F553A8" w:rsidRDefault="00F553A8">
                            <w:pPr>
                              <w:jc w:val="center"/>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SO</w:t>
                            </w:r>
                            <w:r>
                              <w:rPr>
                                <w:rFonts w:ascii="Times New Roman" w:hAnsi="Times New Roman" w:cs="Times New Roman"/>
                                <w:vertAlign w:val="subscript"/>
                              </w:rPr>
                              <w:t>4</w:t>
                            </w:r>
                          </w:p>
                        </w:txbxContent>
                      </wps:txbx>
                      <wps:bodyPr rot="0" vert="horz" wrap="square" lIns="0" tIns="0" rIns="0" bIns="0" anchor="t" anchorCtr="0" upright="1">
                        <a:noAutofit/>
                      </wps:bodyPr>
                    </wps:wsp>
                  </a:graphicData>
                </a:graphic>
              </wp:anchor>
            </w:drawing>
          </mc:Choice>
          <mc:Fallback>
            <w:pict>
              <v:shape w14:anchorId="1C0C03CB" id="文本框 405" o:spid="_x0000_s1131" type="#_x0000_t202" style="position:absolute;left:0;text-align:left;margin-left:222.3pt;margin-top:20.05pt;width:30pt;height:18.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" strokecolor="white">
                <v:textbox inset="0,0,0,0">
                  <w:txbxContent>
                    <w:p w14:paraId="00516A00" w14:textId="77777777" w:rsidR="00F553A8" w:rsidRDefault="00F553A8">
                      <w:pPr>
                        <w:jc w:val="center"/>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SO</w:t>
                      </w:r>
                      <w:r>
                        <w:rPr>
                          <w:rFonts w:ascii="Times New Roman" w:hAnsi="Times New Roman" w:cs="Times New Roman"/>
                          <w:vertAlign w:val="subscript"/>
                        </w:rPr>
                        <w:t>4</w:t>
                      </w:r>
                    </w:p>
                  </w:txbxContent>
                </v:textbox>
              </v:shape>
            </w:pict>
          </mc:Fallback>
        </mc:AlternateContent>
      </w:r>
      <w:r>
        <w:rPr>
          <w:rFonts w:ascii="宋体" w:eastAsia="宋体" w:hAnsi="宋体" w:cs="宋体" w:hint="eastAsia"/>
          <w:b/>
          <w:bCs/>
          <w:sz w:val="28"/>
          <w:szCs w:val="28"/>
        </w:rPr>
        <w:t>⑵</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化学反应式</w:t>
      </w:r>
    </w:p>
    <w:p w14:paraId="4E5C30E8" w14:textId="77777777" w:rsidR="002133E3" w:rsidRDefault="00C22CFA">
      <w:pPr>
        <w:spacing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45440" behindDoc="0" locked="0" layoutInCell="1" allowOverlap="1" wp14:anchorId="00D3DC53" wp14:editId="5AB80044">
                <wp:simplePos x="0" y="0"/>
                <wp:positionH relativeFrom="column">
                  <wp:posOffset>2809875</wp:posOffset>
                </wp:positionH>
                <wp:positionV relativeFrom="paragraph">
                  <wp:posOffset>205105</wp:posOffset>
                </wp:positionV>
                <wp:extent cx="495300" cy="0"/>
                <wp:effectExtent l="0" t="57150" r="57150" b="76200"/>
                <wp:wrapNone/>
                <wp:docPr id="406" name="直接连接符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line">
                          <a:avLst/>
                        </a:prstGeom>
                        <a:noFill/>
                        <a:ln w="9525" cmpd="sng">
                          <a:solidFill>
                            <a:srgbClr val="000000"/>
                          </a:solidFill>
                          <a:round/>
                          <a:tailEnd type="triangle" w="sm" len="med"/>
                        </a:ln>
                      </wps:spPr>
                      <wps:bodyPr/>
                    </wps:wsp>
                  </a:graphicData>
                </a:graphic>
              </wp:anchor>
            </w:drawing>
          </mc:Choice>
          <mc:Fallback>
            <w:pict>
              <v:line w14:anchorId="389265D6" id="直接连接符 406" o:spid="_x0000_s1026" style="position:absolute;left:0;text-align:left;z-index:251645440;visibility:visible;mso-wrap-style:square;mso-wrap-distance-left:9pt;mso-wrap-distance-top:0;mso-wrap-distance-right:9pt;mso-wrap-distance-bottom:0;mso-position-horizontal:absolute;mso-position-horizontal-relative:text;mso-position-vertical:absolute;mso-position-vertical-relative:text" from="221.25pt,16.15pt" to="260.2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">
                <v:stroke endarrow="block" endarrowwidth="narrow"/>
              </v:line>
            </w:pict>
          </mc:Fallback>
        </mc:AlternateContent>
      </w:r>
      <w:r>
        <w:rPr>
          <w:rFonts w:ascii="Times New Roman" w:eastAsia="宋体" w:hAnsi="Times New Roman" w:cs="Times New Roman"/>
          <w:sz w:val="28"/>
          <w:szCs w:val="28"/>
        </w:rPr>
        <w:t>CH</w:t>
      </w:r>
      <w:r>
        <w:rPr>
          <w:rFonts w:ascii="Times New Roman" w:eastAsia="宋体" w:hAnsi="Times New Roman" w:cs="Times New Roman"/>
          <w:sz w:val="28"/>
          <w:szCs w:val="28"/>
          <w:vertAlign w:val="subscript"/>
        </w:rPr>
        <w:t>3</w:t>
      </w:r>
      <w:r>
        <w:rPr>
          <w:rFonts w:ascii="Times New Roman" w:eastAsia="宋体" w:hAnsi="Times New Roman" w:cs="Times New Roman"/>
          <w:sz w:val="28"/>
          <w:szCs w:val="28"/>
        </w:rPr>
        <w:t xml:space="preserve">COOH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C</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OH</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CH</w:t>
      </w:r>
      <w:r>
        <w:rPr>
          <w:rFonts w:ascii="Times New Roman" w:eastAsia="宋体" w:hAnsi="Times New Roman" w:cs="Times New Roman"/>
          <w:sz w:val="28"/>
          <w:szCs w:val="28"/>
          <w:vertAlign w:val="subscript"/>
        </w:rPr>
        <w:t>3</w:t>
      </w:r>
      <w:r>
        <w:rPr>
          <w:rFonts w:ascii="Times New Roman" w:eastAsia="宋体" w:hAnsi="Times New Roman" w:cs="Times New Roman"/>
          <w:sz w:val="28"/>
          <w:szCs w:val="28"/>
        </w:rPr>
        <w:t>COOC</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p>
    <w:p w14:paraId="41CD02E2" w14:textId="77777777" w:rsidR="002133E3" w:rsidRDefault="00C22CFA">
      <w:pPr>
        <w:spacing w:line="520" w:lineRule="exact"/>
        <w:ind w:firstLineChars="450" w:firstLine="1260"/>
        <w:rPr>
          <w:rFonts w:ascii="Times New Roman" w:eastAsia="宋体" w:hAnsi="Times New Roman" w:cs="Times New Roman"/>
          <w:sz w:val="28"/>
          <w:szCs w:val="28"/>
        </w:rPr>
      </w:pP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醋酸</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乙醇</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醋酸乙酯</w:t>
      </w:r>
    </w:p>
    <w:p w14:paraId="70F46EB7" w14:textId="77777777" w:rsidR="002133E3" w:rsidRDefault="00C22CFA">
      <w:pPr>
        <w:spacing w:line="52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⑶</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工艺流程及说明</w:t>
      </w:r>
    </w:p>
    <w:p w14:paraId="6C4861C8"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项目醋酸乙酯生产工艺流程及产污环节见图</w:t>
      </w:r>
      <w:r>
        <w:rPr>
          <w:rFonts w:ascii="Times New Roman" w:eastAsia="宋体" w:hAnsi="Times New Roman" w:cs="Times New Roman"/>
          <w:kern w:val="0"/>
          <w:sz w:val="28"/>
          <w:szCs w:val="28"/>
        </w:rPr>
        <w:t>3.2-2</w:t>
      </w:r>
      <w:r>
        <w:rPr>
          <w:rFonts w:ascii="Times New Roman" w:eastAsia="宋体" w:hAnsi="Times New Roman" w:cs="Times New Roman"/>
          <w:sz w:val="28"/>
          <w:szCs w:val="28"/>
        </w:rPr>
        <w:t>。</w:t>
      </w:r>
    </w:p>
    <w:p w14:paraId="2FDC26E0" w14:textId="77777777" w:rsidR="002133E3" w:rsidRDefault="00C22CFA">
      <w:pPr>
        <w:snapToGrid w:val="0"/>
        <w:spacing w:line="500" w:lineRule="atLeast"/>
        <w:jc w:val="center"/>
        <w:rPr>
          <w:rFonts w:ascii="Times New Roman" w:eastAsia="宋体" w:hAnsi="Times New Roman" w:cs="Times New Roman"/>
          <w:sz w:val="28"/>
          <w:szCs w:val="20"/>
        </w:rPr>
      </w:pPr>
      <w:r>
        <w:rPr>
          <w:rFonts w:ascii="Times New Roman" w:eastAsia="宋体" w:hAnsi="Times New Roman" w:cs="Times New Roman"/>
          <w:noProof/>
          <w:sz w:val="28"/>
          <w:szCs w:val="28"/>
        </w:rPr>
        <mc:AlternateContent>
          <mc:Choice Requires="wpc">
            <w:drawing>
              <wp:inline distT="0" distB="0" distL="0" distR="0" wp14:anchorId="5FEF1FAC" wp14:editId="739EEF29">
                <wp:extent cx="5829300" cy="6210300"/>
                <wp:effectExtent l="0" t="0" r="0" b="19050"/>
                <wp:docPr id="318" name="画布 3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1" name="文本框 1705"/>
                        <wps:cNvSpPr txBox="1">
                          <a:spLocks noChangeArrowheads="1"/>
                        </wps:cNvSpPr>
                        <wps:spPr bwMode="auto">
                          <a:xfrm>
                            <a:off x="2979420" y="1552575"/>
                            <a:ext cx="457200" cy="207010"/>
                          </a:xfrm>
                          <a:prstGeom prst="rect">
                            <a:avLst/>
                          </a:prstGeom>
                          <a:solidFill>
                            <a:srgbClr val="FFFFFF"/>
                          </a:solidFill>
                          <a:ln w="9525" cmpd="sng">
                            <a:solidFill>
                              <a:srgbClr val="FFFFFF"/>
                            </a:solidFill>
                            <a:miter lim="800000"/>
                          </a:ln>
                        </wps:spPr>
                        <wps:txbx>
                          <w:txbxContent>
                            <w:p w14:paraId="5E89EA3C" w14:textId="77777777" w:rsidR="00F553A8" w:rsidRDefault="00F553A8">
                              <w:pPr>
                                <w:rPr>
                                  <w:szCs w:val="21"/>
                                </w:rPr>
                              </w:pPr>
                              <w:r>
                                <w:rPr>
                                  <w:szCs w:val="21"/>
                                </w:rPr>
                                <w:t>716376</w:t>
                              </w:r>
                            </w:p>
                          </w:txbxContent>
                        </wps:txbx>
                        <wps:bodyPr rot="0" vert="horz" wrap="square" lIns="0" tIns="0" rIns="0" bIns="0" anchor="t" anchorCtr="0" upright="1">
                          <a:noAutofit/>
                        </wps:bodyPr>
                      </wps:wsp>
                      <wps:wsp>
                        <wps:cNvPr id="262" name="文本框 1706"/>
                        <wps:cNvSpPr txBox="1">
                          <a:spLocks noChangeArrowheads="1"/>
                        </wps:cNvSpPr>
                        <wps:spPr bwMode="auto">
                          <a:xfrm>
                            <a:off x="2971800" y="4347210"/>
                            <a:ext cx="457200" cy="207010"/>
                          </a:xfrm>
                          <a:prstGeom prst="rect">
                            <a:avLst/>
                          </a:prstGeom>
                          <a:solidFill>
                            <a:srgbClr val="FFFFFF"/>
                          </a:solidFill>
                          <a:ln w="9525" cmpd="sng">
                            <a:solidFill>
                              <a:srgbClr val="FFFFFF"/>
                            </a:solidFill>
                            <a:miter lim="800000"/>
                          </a:ln>
                        </wps:spPr>
                        <wps:txbx>
                          <w:txbxContent>
                            <w:p w14:paraId="2F932ED2" w14:textId="77777777" w:rsidR="00F553A8" w:rsidRDefault="00F553A8">
                              <w:pPr>
                                <w:rPr>
                                  <w:szCs w:val="21"/>
                                </w:rPr>
                              </w:pPr>
                              <w:r>
                                <w:rPr>
                                  <w:szCs w:val="21"/>
                                </w:rPr>
                                <w:t>203802</w:t>
                              </w:r>
                            </w:p>
                          </w:txbxContent>
                        </wps:txbx>
                        <wps:bodyPr rot="0" vert="horz" wrap="square" lIns="0" tIns="0" rIns="0" bIns="0" anchor="t" anchorCtr="0" upright="1">
                          <a:noAutofit/>
                        </wps:bodyPr>
                      </wps:wsp>
                      <wps:wsp>
                        <wps:cNvPr id="263" name="文本框 1707"/>
                        <wps:cNvSpPr txBox="1">
                          <a:spLocks noChangeArrowheads="1"/>
                        </wps:cNvSpPr>
                        <wps:spPr bwMode="auto">
                          <a:xfrm>
                            <a:off x="2971800" y="3622675"/>
                            <a:ext cx="457200" cy="207010"/>
                          </a:xfrm>
                          <a:prstGeom prst="rect">
                            <a:avLst/>
                          </a:prstGeom>
                          <a:solidFill>
                            <a:srgbClr val="FFFFFF"/>
                          </a:solidFill>
                          <a:ln w="9525" cmpd="sng">
                            <a:solidFill>
                              <a:srgbClr val="FFFFFF"/>
                            </a:solidFill>
                            <a:miter lim="800000"/>
                          </a:ln>
                        </wps:spPr>
                        <wps:txbx>
                          <w:txbxContent>
                            <w:p w14:paraId="1604B805" w14:textId="77777777" w:rsidR="00F553A8" w:rsidRDefault="00F553A8">
                              <w:pPr>
                                <w:rPr>
                                  <w:szCs w:val="21"/>
                                </w:rPr>
                              </w:pPr>
                              <w:r>
                                <w:rPr>
                                  <w:szCs w:val="21"/>
                                </w:rPr>
                                <w:t>222145</w:t>
                              </w:r>
                            </w:p>
                          </w:txbxContent>
                        </wps:txbx>
                        <wps:bodyPr rot="0" vert="horz" wrap="square" lIns="0" tIns="0" rIns="0" bIns="0" anchor="t" anchorCtr="0" upright="1">
                          <a:noAutofit/>
                        </wps:bodyPr>
                      </wps:wsp>
                      <wps:wsp>
                        <wps:cNvPr id="264" name="文本框 1708"/>
                        <wps:cNvSpPr txBox="1">
                          <a:spLocks noChangeArrowheads="1"/>
                        </wps:cNvSpPr>
                        <wps:spPr bwMode="auto">
                          <a:xfrm>
                            <a:off x="2971800" y="2898140"/>
                            <a:ext cx="457200" cy="207010"/>
                          </a:xfrm>
                          <a:prstGeom prst="rect">
                            <a:avLst/>
                          </a:prstGeom>
                          <a:solidFill>
                            <a:srgbClr val="FFFFFF"/>
                          </a:solidFill>
                          <a:ln w="9525" cmpd="sng">
                            <a:solidFill>
                              <a:srgbClr val="FFFFFF"/>
                            </a:solidFill>
                            <a:miter lim="800000"/>
                          </a:ln>
                        </wps:spPr>
                        <wps:txbx>
                          <w:txbxContent>
                            <w:p w14:paraId="471CD1E3" w14:textId="77777777" w:rsidR="00F553A8" w:rsidRDefault="00F553A8">
                              <w:pPr>
                                <w:rPr>
                                  <w:szCs w:val="21"/>
                                </w:rPr>
                              </w:pPr>
                              <w:r>
                                <w:rPr>
                                  <w:szCs w:val="21"/>
                                </w:rPr>
                                <w:t>716376</w:t>
                              </w:r>
                            </w:p>
                          </w:txbxContent>
                        </wps:txbx>
                        <wps:bodyPr rot="0" vert="horz" wrap="square" lIns="0" tIns="0" rIns="0" bIns="0" anchor="t" anchorCtr="0" upright="1">
                          <a:noAutofit/>
                        </wps:bodyPr>
                      </wps:wsp>
                      <wps:wsp>
                        <wps:cNvPr id="265" name="文本框 1709"/>
                        <wps:cNvSpPr txBox="1">
                          <a:spLocks noChangeArrowheads="1"/>
                        </wps:cNvSpPr>
                        <wps:spPr bwMode="auto">
                          <a:xfrm>
                            <a:off x="2133600" y="1221740"/>
                            <a:ext cx="381000" cy="207010"/>
                          </a:xfrm>
                          <a:prstGeom prst="rect">
                            <a:avLst/>
                          </a:prstGeom>
                          <a:solidFill>
                            <a:srgbClr val="FFFFFF"/>
                          </a:solidFill>
                          <a:ln w="9525" cmpd="sng">
                            <a:solidFill>
                              <a:srgbClr val="FFFFFF"/>
                            </a:solidFill>
                            <a:miter lim="800000"/>
                          </a:ln>
                        </wps:spPr>
                        <wps:txbx>
                          <w:txbxContent>
                            <w:p w14:paraId="1073F899" w14:textId="77777777" w:rsidR="00F553A8" w:rsidRDefault="00F553A8">
                              <w:pPr>
                                <w:rPr>
                                  <w:szCs w:val="21"/>
                                </w:rPr>
                              </w:pPr>
                              <w:r>
                                <w:rPr>
                                  <w:szCs w:val="21"/>
                                </w:rPr>
                                <w:t>18193</w:t>
                              </w:r>
                            </w:p>
                          </w:txbxContent>
                        </wps:txbx>
                        <wps:bodyPr rot="0" vert="horz" wrap="square" lIns="0" tIns="0" rIns="0" bIns="0" anchor="t" anchorCtr="0" upright="1">
                          <a:noAutofit/>
                        </wps:bodyPr>
                      </wps:wsp>
                      <wps:wsp>
                        <wps:cNvPr id="266" name="文本框 1710"/>
                        <wps:cNvSpPr txBox="1">
                          <a:spLocks noChangeArrowheads="1"/>
                        </wps:cNvSpPr>
                        <wps:spPr bwMode="auto">
                          <a:xfrm>
                            <a:off x="1066800" y="2898140"/>
                            <a:ext cx="381000" cy="207010"/>
                          </a:xfrm>
                          <a:prstGeom prst="rect">
                            <a:avLst/>
                          </a:prstGeom>
                          <a:solidFill>
                            <a:srgbClr val="FFFFFF"/>
                          </a:solidFill>
                          <a:ln w="9525" cmpd="sng">
                            <a:solidFill>
                              <a:srgbClr val="FFFFFF"/>
                            </a:solidFill>
                            <a:miter lim="800000"/>
                          </a:ln>
                        </wps:spPr>
                        <wps:txbx>
                          <w:txbxContent>
                            <w:p w14:paraId="7B35B4D4" w14:textId="77777777" w:rsidR="00F553A8" w:rsidRDefault="00F553A8">
                              <w:pPr>
                                <w:rPr>
                                  <w:szCs w:val="21"/>
                                </w:rPr>
                              </w:pPr>
                              <w:r>
                                <w:rPr>
                                  <w:szCs w:val="21"/>
                                </w:rPr>
                                <w:t>68284</w:t>
                              </w:r>
                            </w:p>
                          </w:txbxContent>
                        </wps:txbx>
                        <wps:bodyPr rot="0" vert="horz" wrap="square" lIns="0" tIns="0" rIns="0" bIns="0" anchor="t" anchorCtr="0" upright="1">
                          <a:noAutofit/>
                        </wps:bodyPr>
                      </wps:wsp>
                      <wps:wsp>
                        <wps:cNvPr id="267" name="文本框 1711"/>
                        <wps:cNvSpPr txBox="1">
                          <a:spLocks noChangeArrowheads="1"/>
                        </wps:cNvSpPr>
                        <wps:spPr bwMode="auto">
                          <a:xfrm>
                            <a:off x="3886200" y="4140835"/>
                            <a:ext cx="1447800" cy="620395"/>
                          </a:xfrm>
                          <a:prstGeom prst="rect">
                            <a:avLst/>
                          </a:prstGeom>
                          <a:solidFill>
                            <a:srgbClr val="FFFFFF"/>
                          </a:solidFill>
                          <a:ln w="9525" cmpd="sng">
                            <a:solidFill>
                              <a:srgbClr val="FFFFFF"/>
                            </a:solidFill>
                            <a:miter lim="800000"/>
                          </a:ln>
                        </wps:spPr>
                        <wps:txbx>
                          <w:txbxContent>
                            <w:p w14:paraId="40859DBD" w14:textId="77777777" w:rsidR="00F553A8" w:rsidRDefault="00F553A8">
                              <w:pPr>
                                <w:rPr>
                                  <w:szCs w:val="21"/>
                                </w:rPr>
                              </w:pPr>
                              <w:r>
                                <w:rPr>
                                  <w:szCs w:val="21"/>
                                </w:rPr>
                                <w:t>釜液回流3802</w:t>
                              </w:r>
                            </w:p>
                            <w:p w14:paraId="610133D9" w14:textId="77777777" w:rsidR="00F553A8" w:rsidRDefault="00F553A8">
                              <w:pPr>
                                <w:rPr>
                                  <w:szCs w:val="21"/>
                                </w:rPr>
                              </w:pPr>
                              <w:r>
                                <w:rPr>
                                  <w:szCs w:val="21"/>
                                </w:rPr>
                                <w:t>(乙醇176、醋酸1097、醋酸乙酯2509、水20)</w:t>
                              </w:r>
                            </w:p>
                          </w:txbxContent>
                        </wps:txbx>
                        <wps:bodyPr rot="0" vert="horz" wrap="square" lIns="0" tIns="0" rIns="0" bIns="0" anchor="t" anchorCtr="0" upright="1">
                          <a:noAutofit/>
                        </wps:bodyPr>
                      </wps:wsp>
                      <wps:wsp>
                        <wps:cNvPr id="268" name="文本框 1712"/>
                        <wps:cNvSpPr txBox="1">
                          <a:spLocks noChangeArrowheads="1"/>
                        </wps:cNvSpPr>
                        <wps:spPr bwMode="auto">
                          <a:xfrm>
                            <a:off x="1903094" y="2504441"/>
                            <a:ext cx="1049655" cy="828040"/>
                          </a:xfrm>
                          <a:prstGeom prst="rect">
                            <a:avLst/>
                          </a:prstGeom>
                          <a:solidFill>
                            <a:srgbClr val="FFFFFF"/>
                          </a:solidFill>
                          <a:ln w="9525" cmpd="sng">
                            <a:solidFill>
                              <a:srgbClr val="FFFFFF"/>
                            </a:solidFill>
                            <a:miter lim="800000"/>
                          </a:ln>
                        </wps:spPr>
                        <wps:txbx>
                          <w:txbxContent>
                            <w:p w14:paraId="7CF062A3" w14:textId="77777777" w:rsidR="00F553A8" w:rsidRDefault="00F553A8">
                              <w:pPr>
                                <w:rPr>
                                  <w:szCs w:val="21"/>
                                </w:rPr>
                              </w:pPr>
                              <w:r>
                                <w:rPr>
                                  <w:szCs w:val="21"/>
                                </w:rPr>
                                <w:t>水相回流49941</w:t>
                              </w:r>
                            </w:p>
                            <w:p w14:paraId="2D04FA15" w14:textId="77777777" w:rsidR="00F553A8" w:rsidRDefault="00F553A8">
                              <w:pPr>
                                <w:rPr>
                                  <w:szCs w:val="21"/>
                                </w:rPr>
                              </w:pPr>
                              <w:r>
                                <w:rPr>
                                  <w:szCs w:val="21"/>
                                </w:rPr>
                                <w:t>(水39592、乙醇5488、醋酸157、醋酸乙酯4704)</w:t>
                              </w:r>
                            </w:p>
                          </w:txbxContent>
                        </wps:txbx>
                        <wps:bodyPr rot="0" vert="horz" wrap="square" lIns="0" tIns="0" rIns="0" bIns="0" anchor="t" anchorCtr="0" upright="1">
                          <a:noAutofit/>
                        </wps:bodyPr>
                      </wps:wsp>
                      <wps:wsp>
                        <wps:cNvPr id="269" name="文本框 1713"/>
                        <wps:cNvSpPr txBox="1">
                          <a:spLocks noChangeArrowheads="1"/>
                        </wps:cNvSpPr>
                        <wps:spPr bwMode="auto">
                          <a:xfrm>
                            <a:off x="3886200" y="2625726"/>
                            <a:ext cx="1447800" cy="621030"/>
                          </a:xfrm>
                          <a:prstGeom prst="rect">
                            <a:avLst/>
                          </a:prstGeom>
                          <a:solidFill>
                            <a:srgbClr val="FFFFFF"/>
                          </a:solidFill>
                          <a:ln w="9525" cmpd="sng">
                            <a:solidFill>
                              <a:srgbClr val="FFFFFF"/>
                            </a:solidFill>
                            <a:miter lim="800000"/>
                          </a:ln>
                        </wps:spPr>
                        <wps:txbx>
                          <w:txbxContent>
                            <w:p w14:paraId="69799E7C" w14:textId="77777777" w:rsidR="00F553A8" w:rsidRDefault="00F553A8">
                              <w:pPr>
                                <w:jc w:val="center"/>
                                <w:rPr>
                                  <w:szCs w:val="21"/>
                                </w:rPr>
                              </w:pPr>
                              <w:r>
                                <w:rPr>
                                  <w:szCs w:val="21"/>
                                </w:rPr>
                                <w:t>酯相回流444290(乙醇7718、醋酸2195、醋酸乙酯404154、水30223)</w:t>
                              </w:r>
                            </w:p>
                          </w:txbxContent>
                        </wps:txbx>
                        <wps:bodyPr rot="0" vert="horz" wrap="square" lIns="0" tIns="0" rIns="0" bIns="0" anchor="t" anchorCtr="0" upright="1">
                          <a:noAutofit/>
                        </wps:bodyPr>
                      </wps:wsp>
                      <wps:wsp>
                        <wps:cNvPr id="270" name="直线 1714"/>
                        <wps:cNvCnPr>
                          <a:cxnSpLocks noChangeShapeType="1"/>
                        </wps:cNvCnPr>
                        <wps:spPr bwMode="auto">
                          <a:xfrm>
                            <a:off x="3428365" y="1221740"/>
                            <a:ext cx="1270" cy="773430"/>
                          </a:xfrm>
                          <a:prstGeom prst="line">
                            <a:avLst/>
                          </a:prstGeom>
                          <a:noFill/>
                          <a:ln w="9525" cmpd="sng">
                            <a:solidFill>
                              <a:srgbClr val="000000"/>
                            </a:solidFill>
                            <a:round/>
                            <a:tailEnd type="triangle" w="sm" len="med"/>
                          </a:ln>
                        </wps:spPr>
                        <wps:bodyPr/>
                      </wps:wsp>
                      <wps:wsp>
                        <wps:cNvPr id="271" name="直线 1715"/>
                        <wps:cNvCnPr>
                          <a:cxnSpLocks noChangeShapeType="1"/>
                        </wps:cNvCnPr>
                        <wps:spPr bwMode="auto">
                          <a:xfrm>
                            <a:off x="1484630" y="1206500"/>
                            <a:ext cx="1270" cy="760095"/>
                          </a:xfrm>
                          <a:prstGeom prst="line">
                            <a:avLst/>
                          </a:prstGeom>
                          <a:noFill/>
                          <a:ln w="9525" cmpd="sng">
                            <a:solidFill>
                              <a:srgbClr val="000000"/>
                            </a:solidFill>
                            <a:round/>
                            <a:headEnd type="none" w="sm" len="med"/>
                            <a:tailEnd type="none" w="sm" len="med"/>
                          </a:ln>
                        </wps:spPr>
                        <wps:bodyPr/>
                      </wps:wsp>
                      <wps:wsp>
                        <wps:cNvPr id="272" name="文本框 1716"/>
                        <wps:cNvSpPr txBox="1">
                          <a:spLocks noChangeArrowheads="1"/>
                        </wps:cNvSpPr>
                        <wps:spPr bwMode="auto">
                          <a:xfrm>
                            <a:off x="2781300" y="621030"/>
                            <a:ext cx="723900" cy="207010"/>
                          </a:xfrm>
                          <a:prstGeom prst="rect">
                            <a:avLst/>
                          </a:prstGeom>
                          <a:solidFill>
                            <a:srgbClr val="FFFFFF"/>
                          </a:solidFill>
                          <a:ln w="9525" cmpd="sng">
                            <a:solidFill>
                              <a:srgbClr val="FFFFFF"/>
                            </a:solidFill>
                            <a:miter lim="800000"/>
                          </a:ln>
                        </wps:spPr>
                        <wps:txbx>
                          <w:txbxContent>
                            <w:p w14:paraId="79E7592E" w14:textId="77777777" w:rsidR="00F553A8" w:rsidRDefault="00F553A8">
                              <w:pPr>
                                <w:jc w:val="center"/>
                                <w:rPr>
                                  <w:szCs w:val="21"/>
                                </w:rPr>
                              </w:pPr>
                              <w:r>
                                <w:rPr>
                                  <w:szCs w:val="21"/>
                                </w:rPr>
                                <w:t>250091</w:t>
                              </w:r>
                            </w:p>
                          </w:txbxContent>
                        </wps:txbx>
                        <wps:bodyPr rot="0" vert="horz" wrap="square" lIns="0" tIns="0" rIns="0" bIns="0" anchor="t" anchorCtr="0" upright="1">
                          <a:noAutofit/>
                        </wps:bodyPr>
                      </wps:wsp>
                      <wps:wsp>
                        <wps:cNvPr id="273" name="文本框 1717"/>
                        <wps:cNvSpPr txBox="1">
                          <a:spLocks noChangeArrowheads="1"/>
                        </wps:cNvSpPr>
                        <wps:spPr bwMode="auto">
                          <a:xfrm>
                            <a:off x="4228465" y="207010"/>
                            <a:ext cx="1327785" cy="414020"/>
                          </a:xfrm>
                          <a:prstGeom prst="rect">
                            <a:avLst/>
                          </a:prstGeom>
                          <a:solidFill>
                            <a:srgbClr val="FFFFFF"/>
                          </a:solidFill>
                          <a:ln w="9525" cmpd="sng">
                            <a:solidFill>
                              <a:srgbClr val="FFFFFF"/>
                            </a:solidFill>
                            <a:miter lim="800000"/>
                          </a:ln>
                        </wps:spPr>
                        <wps:txbx>
                          <w:txbxContent>
                            <w:p w14:paraId="07A8854E" w14:textId="77777777" w:rsidR="00F553A8" w:rsidRDefault="00F553A8">
                              <w:pPr>
                                <w:jc w:val="center"/>
                                <w:rPr>
                                  <w:szCs w:val="21"/>
                                </w:rPr>
                              </w:pPr>
                              <w:r>
                                <w:rPr>
                                  <w:szCs w:val="21"/>
                                </w:rPr>
                                <w:t>酒精112117(乙醇105390、水6727)</w:t>
                              </w:r>
                            </w:p>
                          </w:txbxContent>
                        </wps:txbx>
                        <wps:bodyPr rot="0" vert="horz" wrap="square" lIns="0" tIns="0" rIns="0" bIns="0" anchor="t" anchorCtr="0" upright="1">
                          <a:noAutofit/>
                        </wps:bodyPr>
                      </wps:wsp>
                      <wps:wsp>
                        <wps:cNvPr id="274" name="文本框 1718"/>
                        <wps:cNvSpPr txBox="1">
                          <a:spLocks noChangeArrowheads="1"/>
                        </wps:cNvSpPr>
                        <wps:spPr bwMode="auto">
                          <a:xfrm>
                            <a:off x="1350010" y="207010"/>
                            <a:ext cx="1240790" cy="414020"/>
                          </a:xfrm>
                          <a:prstGeom prst="rect">
                            <a:avLst/>
                          </a:prstGeom>
                          <a:solidFill>
                            <a:srgbClr val="FFFFFF"/>
                          </a:solidFill>
                          <a:ln w="9525" cmpd="sng">
                            <a:solidFill>
                              <a:srgbClr val="FFFFFF"/>
                            </a:solidFill>
                            <a:miter lim="800000"/>
                          </a:ln>
                        </wps:spPr>
                        <wps:txbx>
                          <w:txbxContent>
                            <w:p w14:paraId="661873A5" w14:textId="77777777" w:rsidR="00F553A8" w:rsidRDefault="00F553A8">
                              <w:pPr>
                                <w:jc w:val="center"/>
                                <w:rPr>
                                  <w:szCs w:val="21"/>
                                </w:rPr>
                              </w:pPr>
                              <w:r>
                                <w:rPr>
                                  <w:szCs w:val="21"/>
                                </w:rPr>
                                <w:t>醋酸137974(醋酸135214、水2760)</w:t>
                              </w:r>
                            </w:p>
                          </w:txbxContent>
                        </wps:txbx>
                        <wps:bodyPr rot="0" vert="horz" wrap="square" lIns="0" tIns="0" rIns="0" bIns="0" anchor="t" anchorCtr="0" upright="1">
                          <a:noAutofit/>
                        </wps:bodyPr>
                      </wps:wsp>
                      <wps:wsp>
                        <wps:cNvPr id="275" name="直线 1719"/>
                        <wps:cNvCnPr>
                          <a:cxnSpLocks noChangeShapeType="1"/>
                        </wps:cNvCnPr>
                        <wps:spPr bwMode="auto">
                          <a:xfrm>
                            <a:off x="2628265" y="405130"/>
                            <a:ext cx="457200" cy="635"/>
                          </a:xfrm>
                          <a:prstGeom prst="line">
                            <a:avLst/>
                          </a:prstGeom>
                          <a:noFill/>
                          <a:ln w="9525" cmpd="sng">
                            <a:solidFill>
                              <a:srgbClr val="000000"/>
                            </a:solidFill>
                            <a:round/>
                            <a:tailEnd type="triangle" w="sm" len="med"/>
                          </a:ln>
                        </wps:spPr>
                        <wps:bodyPr/>
                      </wps:wsp>
                      <wps:wsp>
                        <wps:cNvPr id="276" name="直线 1720"/>
                        <wps:cNvCnPr>
                          <a:cxnSpLocks noChangeShapeType="1"/>
                        </wps:cNvCnPr>
                        <wps:spPr bwMode="auto">
                          <a:xfrm flipH="1">
                            <a:off x="3771265" y="405130"/>
                            <a:ext cx="457200" cy="635"/>
                          </a:xfrm>
                          <a:prstGeom prst="line">
                            <a:avLst/>
                          </a:prstGeom>
                          <a:noFill/>
                          <a:ln w="9525" cmpd="sng">
                            <a:solidFill>
                              <a:srgbClr val="000000"/>
                            </a:solidFill>
                            <a:round/>
                            <a:tailEnd type="triangle" w="sm" len="med"/>
                          </a:ln>
                        </wps:spPr>
                        <wps:bodyPr/>
                      </wps:wsp>
                      <wps:wsp>
                        <wps:cNvPr id="277" name="文本框 1721"/>
                        <wps:cNvSpPr txBox="1">
                          <a:spLocks noChangeArrowheads="1"/>
                        </wps:cNvSpPr>
                        <wps:spPr bwMode="auto">
                          <a:xfrm>
                            <a:off x="3085465" y="306070"/>
                            <a:ext cx="685800" cy="198120"/>
                          </a:xfrm>
                          <a:prstGeom prst="rect">
                            <a:avLst/>
                          </a:prstGeom>
                          <a:solidFill>
                            <a:srgbClr val="FFFFFF"/>
                          </a:solidFill>
                          <a:ln w="9525" cmpd="sng">
                            <a:solidFill>
                              <a:srgbClr val="000000"/>
                            </a:solidFill>
                            <a:miter lim="800000"/>
                          </a:ln>
                        </wps:spPr>
                        <wps:txbx>
                          <w:txbxContent>
                            <w:p w14:paraId="71079438" w14:textId="77777777" w:rsidR="00F553A8" w:rsidRDefault="00F553A8">
                              <w:pPr>
                                <w:jc w:val="center"/>
                                <w:rPr>
                                  <w:szCs w:val="21"/>
                                </w:rPr>
                              </w:pPr>
                              <w:r>
                                <w:rPr>
                                  <w:rFonts w:hint="eastAsia"/>
                                  <w:szCs w:val="21"/>
                                </w:rPr>
                                <w:t>混合</w:t>
                              </w:r>
                            </w:p>
                          </w:txbxContent>
                        </wps:txbx>
                        <wps:bodyPr rot="0" vert="horz" wrap="square" lIns="0" tIns="0" rIns="0" bIns="0" anchor="t" anchorCtr="0" upright="1">
                          <a:noAutofit/>
                        </wps:bodyPr>
                      </wps:wsp>
                      <wps:wsp>
                        <wps:cNvPr id="278" name="直线 1722"/>
                        <wps:cNvCnPr>
                          <a:cxnSpLocks noChangeShapeType="1"/>
                        </wps:cNvCnPr>
                        <wps:spPr bwMode="auto">
                          <a:xfrm>
                            <a:off x="3428365" y="504190"/>
                            <a:ext cx="635" cy="396240"/>
                          </a:xfrm>
                          <a:prstGeom prst="line">
                            <a:avLst/>
                          </a:prstGeom>
                          <a:noFill/>
                          <a:ln w="9525" cmpd="sng">
                            <a:solidFill>
                              <a:srgbClr val="000000"/>
                            </a:solidFill>
                            <a:round/>
                            <a:tailEnd type="triangle" w="sm" len="med"/>
                          </a:ln>
                        </wps:spPr>
                        <wps:bodyPr/>
                      </wps:wsp>
                      <wps:wsp>
                        <wps:cNvPr id="279" name="文本框 1723"/>
                        <wps:cNvSpPr txBox="1">
                          <a:spLocks noChangeArrowheads="1"/>
                        </wps:cNvSpPr>
                        <wps:spPr bwMode="auto">
                          <a:xfrm>
                            <a:off x="3085465" y="900430"/>
                            <a:ext cx="685800" cy="396240"/>
                          </a:xfrm>
                          <a:prstGeom prst="rect">
                            <a:avLst/>
                          </a:prstGeom>
                          <a:solidFill>
                            <a:srgbClr val="FFFFFF"/>
                          </a:solidFill>
                          <a:ln w="9525" cmpd="sng">
                            <a:solidFill>
                              <a:srgbClr val="000000"/>
                            </a:solidFill>
                            <a:miter lim="800000"/>
                          </a:ln>
                        </wps:spPr>
                        <wps:txbx>
                          <w:txbxContent>
                            <w:p w14:paraId="42951318" w14:textId="77777777" w:rsidR="00F553A8" w:rsidRDefault="00F553A8">
                              <w:pPr>
                                <w:jc w:val="center"/>
                                <w:rPr>
                                  <w:szCs w:val="21"/>
                                </w:rPr>
                              </w:pPr>
                              <w:r>
                                <w:rPr>
                                  <w:rFonts w:hint="eastAsia"/>
                                  <w:szCs w:val="21"/>
                                </w:rPr>
                                <w:t>酯化釜</w:t>
                              </w:r>
                            </w:p>
                          </w:txbxContent>
                        </wps:txbx>
                        <wps:bodyPr rot="0" vert="horz" wrap="square" lIns="0" tIns="108000" rIns="0" bIns="0" anchor="t" anchorCtr="0" upright="1">
                          <a:noAutofit/>
                        </wps:bodyPr>
                      </wps:wsp>
                      <wps:wsp>
                        <wps:cNvPr id="280" name="文本框 1724"/>
                        <wps:cNvSpPr txBox="1">
                          <a:spLocks noChangeArrowheads="1"/>
                        </wps:cNvSpPr>
                        <wps:spPr bwMode="auto">
                          <a:xfrm>
                            <a:off x="3085465" y="2597785"/>
                            <a:ext cx="685800" cy="198120"/>
                          </a:xfrm>
                          <a:prstGeom prst="rect">
                            <a:avLst/>
                          </a:prstGeom>
                          <a:solidFill>
                            <a:srgbClr val="FFFFFF"/>
                          </a:solidFill>
                          <a:ln w="9525" cmpd="sng">
                            <a:solidFill>
                              <a:srgbClr val="000000"/>
                            </a:solidFill>
                            <a:miter lim="800000"/>
                          </a:ln>
                        </wps:spPr>
                        <wps:txbx>
                          <w:txbxContent>
                            <w:p w14:paraId="1DEB3250" w14:textId="77777777" w:rsidR="00F553A8" w:rsidRDefault="00F553A8">
                              <w:pPr>
                                <w:jc w:val="center"/>
                                <w:rPr>
                                  <w:szCs w:val="21"/>
                                </w:rPr>
                              </w:pPr>
                              <w:r>
                                <w:rPr>
                                  <w:rFonts w:hint="eastAsia"/>
                                  <w:szCs w:val="21"/>
                                </w:rPr>
                                <w:t>冷凝</w:t>
                              </w:r>
                            </w:p>
                          </w:txbxContent>
                        </wps:txbx>
                        <wps:bodyPr rot="0" vert="horz" wrap="square" lIns="0" tIns="0" rIns="0" bIns="0" anchor="t" anchorCtr="0" upright="1">
                          <a:noAutofit/>
                        </wps:bodyPr>
                      </wps:wsp>
                      <wps:wsp>
                        <wps:cNvPr id="281" name="直线 1725"/>
                        <wps:cNvCnPr>
                          <a:cxnSpLocks noChangeShapeType="1"/>
                        </wps:cNvCnPr>
                        <wps:spPr bwMode="auto">
                          <a:xfrm>
                            <a:off x="2628900" y="999490"/>
                            <a:ext cx="457200" cy="635"/>
                          </a:xfrm>
                          <a:prstGeom prst="line">
                            <a:avLst/>
                          </a:prstGeom>
                          <a:noFill/>
                          <a:ln w="9525" cmpd="sng">
                            <a:solidFill>
                              <a:srgbClr val="000000"/>
                            </a:solidFill>
                            <a:round/>
                            <a:tailEnd type="triangle" w="sm" len="med"/>
                          </a:ln>
                        </wps:spPr>
                        <wps:bodyPr/>
                      </wps:wsp>
                      <wps:wsp>
                        <wps:cNvPr id="282" name="文本框 1726"/>
                        <wps:cNvSpPr txBox="1">
                          <a:spLocks noChangeArrowheads="1"/>
                        </wps:cNvSpPr>
                        <wps:spPr bwMode="auto">
                          <a:xfrm>
                            <a:off x="1697990" y="724535"/>
                            <a:ext cx="930275" cy="374015"/>
                          </a:xfrm>
                          <a:prstGeom prst="rect">
                            <a:avLst/>
                          </a:prstGeom>
                          <a:solidFill>
                            <a:srgbClr val="FFFFFF"/>
                          </a:solidFill>
                          <a:ln w="9525" cmpd="sng">
                            <a:solidFill>
                              <a:srgbClr val="FFFFFF"/>
                            </a:solidFill>
                            <a:miter lim="800000"/>
                          </a:ln>
                        </wps:spPr>
                        <wps:txbx>
                          <w:txbxContent>
                            <w:p w14:paraId="054AADF6" w14:textId="77777777" w:rsidR="00F553A8" w:rsidRDefault="00F553A8">
                              <w:pPr>
                                <w:jc w:val="center"/>
                                <w:rPr>
                                  <w:szCs w:val="21"/>
                                </w:rPr>
                              </w:pPr>
                              <w:r>
                                <w:rPr>
                                  <w:szCs w:val="21"/>
                                </w:rPr>
                                <w:t>硫酸200(硫酸196、水4)</w:t>
                              </w:r>
                            </w:p>
                          </w:txbxContent>
                        </wps:txbx>
                        <wps:bodyPr rot="0" vert="horz" wrap="square" lIns="0" tIns="0" rIns="0" bIns="0" anchor="t" anchorCtr="0" upright="1">
                          <a:noAutofit/>
                        </wps:bodyPr>
                      </wps:wsp>
                      <wps:wsp>
                        <wps:cNvPr id="283" name="直线 1727"/>
                        <wps:cNvCnPr>
                          <a:cxnSpLocks noChangeShapeType="1"/>
                        </wps:cNvCnPr>
                        <wps:spPr bwMode="auto">
                          <a:xfrm>
                            <a:off x="3428365" y="2795905"/>
                            <a:ext cx="635" cy="396240"/>
                          </a:xfrm>
                          <a:prstGeom prst="line">
                            <a:avLst/>
                          </a:prstGeom>
                          <a:noFill/>
                          <a:ln w="9525" cmpd="sng">
                            <a:solidFill>
                              <a:srgbClr val="000000"/>
                            </a:solidFill>
                            <a:round/>
                            <a:tailEnd type="triangle" w="sm" len="med"/>
                          </a:ln>
                        </wps:spPr>
                        <wps:bodyPr/>
                      </wps:wsp>
                      <wps:wsp>
                        <wps:cNvPr id="284" name="文本框 1728"/>
                        <wps:cNvSpPr txBox="1">
                          <a:spLocks noChangeArrowheads="1"/>
                        </wps:cNvSpPr>
                        <wps:spPr bwMode="auto">
                          <a:xfrm>
                            <a:off x="3085465" y="3192145"/>
                            <a:ext cx="685800" cy="198120"/>
                          </a:xfrm>
                          <a:prstGeom prst="rect">
                            <a:avLst/>
                          </a:prstGeom>
                          <a:solidFill>
                            <a:srgbClr val="FFFFFF"/>
                          </a:solidFill>
                          <a:ln w="9525" cmpd="sng">
                            <a:solidFill>
                              <a:srgbClr val="000000"/>
                            </a:solidFill>
                            <a:miter lim="800000"/>
                          </a:ln>
                        </wps:spPr>
                        <wps:txbx>
                          <w:txbxContent>
                            <w:p w14:paraId="0944161B" w14:textId="77777777" w:rsidR="00F553A8" w:rsidRDefault="00F553A8">
                              <w:pPr>
                                <w:jc w:val="center"/>
                                <w:rPr>
                                  <w:szCs w:val="21"/>
                                </w:rPr>
                              </w:pPr>
                              <w:r>
                                <w:rPr>
                                  <w:rFonts w:hint="eastAsia"/>
                                  <w:szCs w:val="21"/>
                                </w:rPr>
                                <w:t>分相</w:t>
                              </w:r>
                            </w:p>
                          </w:txbxContent>
                        </wps:txbx>
                        <wps:bodyPr rot="0" vert="horz" wrap="square" lIns="0" tIns="0" rIns="0" bIns="0" anchor="t" anchorCtr="0" upright="1">
                          <a:noAutofit/>
                        </wps:bodyPr>
                      </wps:wsp>
                      <wps:wsp>
                        <wps:cNvPr id="285" name="文本框 1729"/>
                        <wps:cNvSpPr txBox="1">
                          <a:spLocks noChangeArrowheads="1"/>
                        </wps:cNvSpPr>
                        <wps:spPr bwMode="auto">
                          <a:xfrm>
                            <a:off x="3085465" y="2003425"/>
                            <a:ext cx="685800" cy="198120"/>
                          </a:xfrm>
                          <a:prstGeom prst="rect">
                            <a:avLst/>
                          </a:prstGeom>
                          <a:solidFill>
                            <a:srgbClr val="FFFFFF"/>
                          </a:solidFill>
                          <a:ln w="9525" cmpd="sng">
                            <a:solidFill>
                              <a:srgbClr val="000000"/>
                            </a:solidFill>
                            <a:miter lim="800000"/>
                          </a:ln>
                        </wps:spPr>
                        <wps:txbx>
                          <w:txbxContent>
                            <w:p w14:paraId="69F53444" w14:textId="77777777" w:rsidR="00F553A8" w:rsidRDefault="00F553A8">
                              <w:pPr>
                                <w:jc w:val="center"/>
                                <w:rPr>
                                  <w:szCs w:val="21"/>
                                </w:rPr>
                              </w:pPr>
                              <w:r>
                                <w:rPr>
                                  <w:rFonts w:hint="eastAsia"/>
                                  <w:szCs w:val="21"/>
                                </w:rPr>
                                <w:t>酯化塔</w:t>
                              </w:r>
                            </w:p>
                          </w:txbxContent>
                        </wps:txbx>
                        <wps:bodyPr rot="0" vert="horz" wrap="square" lIns="0" tIns="0" rIns="0" bIns="0" anchor="t" anchorCtr="0" upright="1">
                          <a:noAutofit/>
                        </wps:bodyPr>
                      </wps:wsp>
                      <wps:wsp>
                        <wps:cNvPr id="286" name="直线 1730"/>
                        <wps:cNvCnPr>
                          <a:cxnSpLocks noChangeShapeType="1"/>
                        </wps:cNvCnPr>
                        <wps:spPr bwMode="auto">
                          <a:xfrm>
                            <a:off x="3428365" y="2201545"/>
                            <a:ext cx="635" cy="396240"/>
                          </a:xfrm>
                          <a:prstGeom prst="line">
                            <a:avLst/>
                          </a:prstGeom>
                          <a:noFill/>
                          <a:ln w="9525" cap="rnd" cmpd="sng">
                            <a:solidFill>
                              <a:srgbClr val="000000"/>
                            </a:solidFill>
                            <a:prstDash val="sysDot"/>
                            <a:round/>
                            <a:tailEnd type="triangle" w="sm" len="med"/>
                          </a:ln>
                        </wps:spPr>
                        <wps:bodyPr/>
                      </wps:wsp>
                      <wps:wsp>
                        <wps:cNvPr id="287" name="直线 1731"/>
                        <wps:cNvCnPr>
                          <a:cxnSpLocks noChangeShapeType="1"/>
                        </wps:cNvCnPr>
                        <wps:spPr bwMode="auto">
                          <a:xfrm>
                            <a:off x="3771900" y="999490"/>
                            <a:ext cx="457200" cy="635"/>
                          </a:xfrm>
                          <a:prstGeom prst="line">
                            <a:avLst/>
                          </a:prstGeom>
                          <a:noFill/>
                          <a:ln w="9525" cmpd="sng">
                            <a:solidFill>
                              <a:srgbClr val="000000"/>
                            </a:solidFill>
                            <a:round/>
                            <a:tailEnd type="triangle" w="sm" len="med"/>
                          </a:ln>
                        </wps:spPr>
                        <wps:bodyPr/>
                      </wps:wsp>
                      <wps:wsp>
                        <wps:cNvPr id="288" name="文本框 1732"/>
                        <wps:cNvSpPr txBox="1">
                          <a:spLocks noChangeArrowheads="1"/>
                        </wps:cNvSpPr>
                        <wps:spPr bwMode="auto">
                          <a:xfrm>
                            <a:off x="4228465" y="781685"/>
                            <a:ext cx="1403350" cy="374015"/>
                          </a:xfrm>
                          <a:prstGeom prst="rect">
                            <a:avLst/>
                          </a:prstGeom>
                          <a:solidFill>
                            <a:srgbClr val="FFFFFF"/>
                          </a:solidFill>
                          <a:ln w="9525" cmpd="sng">
                            <a:solidFill>
                              <a:srgbClr val="FFFFFF"/>
                            </a:solidFill>
                            <a:miter lim="800000"/>
                          </a:ln>
                        </wps:spPr>
                        <wps:txbx>
                          <w:txbxContent>
                            <w:p w14:paraId="0CE3D65E" w14:textId="77777777" w:rsidR="00F553A8" w:rsidRDefault="00F553A8">
                              <w:pPr>
                                <w:jc w:val="left"/>
                                <w:rPr>
                                  <w:szCs w:val="21"/>
                                </w:rPr>
                              </w:pPr>
                              <w:r>
                                <w:rPr>
                                  <w:szCs w:val="21"/>
                                </w:rPr>
                                <w:t>硫酸L</w:t>
                              </w:r>
                              <w:r>
                                <w:rPr>
                                  <w:szCs w:val="21"/>
                                  <w:vertAlign w:val="subscript"/>
                                </w:rPr>
                                <w:t>2-1</w:t>
                              </w:r>
                              <w:r>
                                <w:rPr>
                                  <w:szCs w:val="21"/>
                                </w:rPr>
                                <w:t>200</w:t>
                              </w:r>
                            </w:p>
                            <w:p w14:paraId="1BA39171" w14:textId="77777777" w:rsidR="00F553A8" w:rsidRDefault="00F553A8">
                              <w:pPr>
                                <w:jc w:val="left"/>
                                <w:rPr>
                                  <w:szCs w:val="21"/>
                                </w:rPr>
                              </w:pPr>
                              <w:r>
                                <w:rPr>
                                  <w:szCs w:val="21"/>
                                </w:rPr>
                                <w:t>(硫酸196、水4)</w:t>
                              </w:r>
                            </w:p>
                          </w:txbxContent>
                        </wps:txbx>
                        <wps:bodyPr rot="0" vert="horz" wrap="square" lIns="0" tIns="0" rIns="0" bIns="0" anchor="t" anchorCtr="0" upright="1">
                          <a:noAutofit/>
                        </wps:bodyPr>
                      </wps:wsp>
                      <wps:wsp>
                        <wps:cNvPr id="289" name="直线 1733"/>
                        <wps:cNvCnPr>
                          <a:cxnSpLocks noChangeShapeType="1"/>
                        </wps:cNvCnPr>
                        <wps:spPr bwMode="auto">
                          <a:xfrm>
                            <a:off x="3429000" y="3387090"/>
                            <a:ext cx="635" cy="693420"/>
                          </a:xfrm>
                          <a:prstGeom prst="line">
                            <a:avLst/>
                          </a:prstGeom>
                          <a:noFill/>
                          <a:ln w="9525" cmpd="sng">
                            <a:solidFill>
                              <a:srgbClr val="000000"/>
                            </a:solidFill>
                            <a:round/>
                            <a:tailEnd type="triangle" w="sm" len="med"/>
                          </a:ln>
                        </wps:spPr>
                        <wps:bodyPr/>
                      </wps:wsp>
                      <wps:wsp>
                        <wps:cNvPr id="290" name="直线 1734"/>
                        <wps:cNvCnPr>
                          <a:cxnSpLocks noChangeShapeType="1"/>
                        </wps:cNvCnPr>
                        <wps:spPr bwMode="auto">
                          <a:xfrm flipH="1">
                            <a:off x="1485265" y="3291205"/>
                            <a:ext cx="1600200" cy="635"/>
                          </a:xfrm>
                          <a:prstGeom prst="line">
                            <a:avLst/>
                          </a:prstGeom>
                          <a:noFill/>
                          <a:ln w="9525" cmpd="sng">
                            <a:solidFill>
                              <a:srgbClr val="000000"/>
                            </a:solidFill>
                            <a:round/>
                            <a:headEnd type="none" w="sm" len="sm"/>
                            <a:tailEnd type="triangle" w="sm" len="med"/>
                          </a:ln>
                        </wps:spPr>
                        <wps:bodyPr/>
                      </wps:wsp>
                      <wps:wsp>
                        <wps:cNvPr id="291" name="文本框 1735"/>
                        <wps:cNvSpPr txBox="1">
                          <a:spLocks noChangeArrowheads="1"/>
                        </wps:cNvSpPr>
                        <wps:spPr bwMode="auto">
                          <a:xfrm>
                            <a:off x="3085465" y="4083685"/>
                            <a:ext cx="685800" cy="198120"/>
                          </a:xfrm>
                          <a:prstGeom prst="rect">
                            <a:avLst/>
                          </a:prstGeom>
                          <a:solidFill>
                            <a:srgbClr val="FFFFFF"/>
                          </a:solidFill>
                          <a:ln w="9525" cmpd="sng">
                            <a:solidFill>
                              <a:srgbClr val="000000"/>
                            </a:solidFill>
                            <a:miter lim="800000"/>
                          </a:ln>
                        </wps:spPr>
                        <wps:txbx>
                          <w:txbxContent>
                            <w:p w14:paraId="1B40EC4A" w14:textId="77777777" w:rsidR="00F553A8" w:rsidRDefault="00F553A8">
                              <w:pPr>
                                <w:jc w:val="center"/>
                                <w:rPr>
                                  <w:szCs w:val="21"/>
                                </w:rPr>
                              </w:pPr>
                              <w:r>
                                <w:rPr>
                                  <w:rFonts w:hint="eastAsia"/>
                                  <w:szCs w:val="21"/>
                                </w:rPr>
                                <w:t>脱水塔</w:t>
                              </w:r>
                            </w:p>
                          </w:txbxContent>
                        </wps:txbx>
                        <wps:bodyPr rot="0" vert="horz" wrap="square" lIns="0" tIns="0" rIns="0" bIns="0" anchor="t" anchorCtr="0" upright="1">
                          <a:noAutofit/>
                        </wps:bodyPr>
                      </wps:wsp>
                      <wps:wsp>
                        <wps:cNvPr id="292" name="直线 1736"/>
                        <wps:cNvCnPr>
                          <a:cxnSpLocks noChangeShapeType="1"/>
                        </wps:cNvCnPr>
                        <wps:spPr bwMode="auto">
                          <a:xfrm flipH="1">
                            <a:off x="2636520" y="4140200"/>
                            <a:ext cx="457200" cy="635"/>
                          </a:xfrm>
                          <a:prstGeom prst="line">
                            <a:avLst/>
                          </a:prstGeom>
                          <a:noFill/>
                          <a:ln w="9525" cap="rnd" cmpd="sng">
                            <a:solidFill>
                              <a:srgbClr val="000000"/>
                            </a:solidFill>
                            <a:prstDash val="sysDot"/>
                            <a:round/>
                            <a:tailEnd type="triangle" w="sm" len="med"/>
                          </a:ln>
                        </wps:spPr>
                        <wps:bodyPr/>
                      </wps:wsp>
                      <wps:wsp>
                        <wps:cNvPr id="293" name="文本框 1737"/>
                        <wps:cNvSpPr txBox="1">
                          <a:spLocks noChangeArrowheads="1"/>
                        </wps:cNvSpPr>
                        <wps:spPr bwMode="auto">
                          <a:xfrm>
                            <a:off x="1942465" y="4083685"/>
                            <a:ext cx="685800" cy="198120"/>
                          </a:xfrm>
                          <a:prstGeom prst="rect">
                            <a:avLst/>
                          </a:prstGeom>
                          <a:solidFill>
                            <a:srgbClr val="FFFFFF"/>
                          </a:solidFill>
                          <a:ln w="9525" cmpd="sng">
                            <a:solidFill>
                              <a:srgbClr val="000000"/>
                            </a:solidFill>
                            <a:miter lim="800000"/>
                          </a:ln>
                        </wps:spPr>
                        <wps:txbx>
                          <w:txbxContent>
                            <w:p w14:paraId="322E1367" w14:textId="77777777" w:rsidR="00F553A8" w:rsidRDefault="00F553A8">
                              <w:pPr>
                                <w:jc w:val="center"/>
                                <w:rPr>
                                  <w:szCs w:val="21"/>
                                </w:rPr>
                              </w:pPr>
                              <w:r>
                                <w:rPr>
                                  <w:rFonts w:hint="eastAsia"/>
                                  <w:szCs w:val="21"/>
                                </w:rPr>
                                <w:t>冷凝</w:t>
                              </w:r>
                            </w:p>
                          </w:txbxContent>
                        </wps:txbx>
                        <wps:bodyPr rot="0" vert="horz" wrap="square" lIns="0" tIns="0" rIns="0" bIns="0" anchor="t" anchorCtr="0" upright="1">
                          <a:noAutofit/>
                        </wps:bodyPr>
                      </wps:wsp>
                      <wps:wsp>
                        <wps:cNvPr id="294" name="直线 1738"/>
                        <wps:cNvCnPr>
                          <a:cxnSpLocks noChangeShapeType="1"/>
                        </wps:cNvCnPr>
                        <wps:spPr bwMode="auto">
                          <a:xfrm>
                            <a:off x="3428365" y="4281805"/>
                            <a:ext cx="635" cy="396240"/>
                          </a:xfrm>
                          <a:prstGeom prst="line">
                            <a:avLst/>
                          </a:prstGeom>
                          <a:noFill/>
                          <a:ln w="9525" cmpd="sng">
                            <a:solidFill>
                              <a:srgbClr val="000000"/>
                            </a:solidFill>
                            <a:round/>
                            <a:tailEnd type="triangle" w="sm" len="med"/>
                          </a:ln>
                        </wps:spPr>
                        <wps:bodyPr/>
                      </wps:wsp>
                      <wps:wsp>
                        <wps:cNvPr id="295" name="文本框 1739"/>
                        <wps:cNvSpPr txBox="1">
                          <a:spLocks noChangeArrowheads="1"/>
                        </wps:cNvSpPr>
                        <wps:spPr bwMode="auto">
                          <a:xfrm>
                            <a:off x="3085465" y="4678045"/>
                            <a:ext cx="685800" cy="198120"/>
                          </a:xfrm>
                          <a:prstGeom prst="rect">
                            <a:avLst/>
                          </a:prstGeom>
                          <a:solidFill>
                            <a:srgbClr val="FFFFFF"/>
                          </a:solidFill>
                          <a:ln w="9525" cmpd="sng">
                            <a:solidFill>
                              <a:srgbClr val="000000"/>
                            </a:solidFill>
                            <a:miter lim="800000"/>
                          </a:ln>
                        </wps:spPr>
                        <wps:txbx>
                          <w:txbxContent>
                            <w:p w14:paraId="3DBA765D" w14:textId="77777777" w:rsidR="00F553A8" w:rsidRDefault="00F553A8">
                              <w:pPr>
                                <w:jc w:val="center"/>
                                <w:rPr>
                                  <w:szCs w:val="21"/>
                                </w:rPr>
                              </w:pPr>
                              <w:r>
                                <w:rPr>
                                  <w:rFonts w:hint="eastAsia"/>
                                  <w:szCs w:val="21"/>
                                </w:rPr>
                                <w:t>精制塔</w:t>
                              </w:r>
                            </w:p>
                          </w:txbxContent>
                        </wps:txbx>
                        <wps:bodyPr rot="0" vert="horz" wrap="square" lIns="0" tIns="0" rIns="0" bIns="0" anchor="t" anchorCtr="0" upright="1">
                          <a:noAutofit/>
                        </wps:bodyPr>
                      </wps:wsp>
                      <wps:wsp>
                        <wps:cNvPr id="296" name="文本框 1740"/>
                        <wps:cNvSpPr txBox="1">
                          <a:spLocks noChangeArrowheads="1"/>
                        </wps:cNvSpPr>
                        <wps:spPr bwMode="auto">
                          <a:xfrm>
                            <a:off x="3085465" y="5272405"/>
                            <a:ext cx="685800" cy="198120"/>
                          </a:xfrm>
                          <a:prstGeom prst="rect">
                            <a:avLst/>
                          </a:prstGeom>
                          <a:solidFill>
                            <a:srgbClr val="FFFFFF"/>
                          </a:solidFill>
                          <a:ln w="9525" cmpd="sng">
                            <a:solidFill>
                              <a:srgbClr val="000000"/>
                            </a:solidFill>
                            <a:miter lim="800000"/>
                          </a:ln>
                        </wps:spPr>
                        <wps:txbx>
                          <w:txbxContent>
                            <w:p w14:paraId="24356ECE" w14:textId="77777777" w:rsidR="00F553A8" w:rsidRDefault="00F553A8">
                              <w:pPr>
                                <w:jc w:val="center"/>
                                <w:rPr>
                                  <w:szCs w:val="21"/>
                                </w:rPr>
                              </w:pPr>
                              <w:r>
                                <w:rPr>
                                  <w:rFonts w:hint="eastAsia"/>
                                  <w:szCs w:val="21"/>
                                </w:rPr>
                                <w:t>冷凝</w:t>
                              </w:r>
                            </w:p>
                          </w:txbxContent>
                        </wps:txbx>
                        <wps:bodyPr rot="0" vert="horz" wrap="square" lIns="0" tIns="0" rIns="0" bIns="0" anchor="t" anchorCtr="0" upright="1">
                          <a:noAutofit/>
                        </wps:bodyPr>
                      </wps:wsp>
                      <wps:wsp>
                        <wps:cNvPr id="297" name="直线 1741"/>
                        <wps:cNvCnPr>
                          <a:cxnSpLocks noChangeShapeType="1"/>
                        </wps:cNvCnPr>
                        <wps:spPr bwMode="auto">
                          <a:xfrm>
                            <a:off x="3771265" y="4760595"/>
                            <a:ext cx="1714500" cy="635"/>
                          </a:xfrm>
                          <a:prstGeom prst="line">
                            <a:avLst/>
                          </a:prstGeom>
                          <a:noFill/>
                          <a:ln w="9525" cmpd="sng">
                            <a:solidFill>
                              <a:srgbClr val="000000"/>
                            </a:solidFill>
                            <a:round/>
                            <a:tailEnd type="triangle" w="sm" len="med"/>
                          </a:ln>
                        </wps:spPr>
                        <wps:bodyPr/>
                      </wps:wsp>
                      <wps:wsp>
                        <wps:cNvPr id="298" name="直线 1742"/>
                        <wps:cNvCnPr>
                          <a:cxnSpLocks noChangeShapeType="1"/>
                        </wps:cNvCnPr>
                        <wps:spPr bwMode="auto">
                          <a:xfrm flipV="1">
                            <a:off x="5486400" y="1197610"/>
                            <a:ext cx="635" cy="3563620"/>
                          </a:xfrm>
                          <a:prstGeom prst="line">
                            <a:avLst/>
                          </a:prstGeom>
                          <a:noFill/>
                          <a:ln w="9525" cmpd="sng">
                            <a:solidFill>
                              <a:srgbClr val="000000"/>
                            </a:solidFill>
                            <a:round/>
                          </a:ln>
                        </wps:spPr>
                        <wps:bodyPr/>
                      </wps:wsp>
                      <wps:wsp>
                        <wps:cNvPr id="299" name="直线 1743"/>
                        <wps:cNvCnPr>
                          <a:cxnSpLocks noChangeShapeType="1"/>
                        </wps:cNvCnPr>
                        <wps:spPr bwMode="auto">
                          <a:xfrm flipH="1">
                            <a:off x="3771900" y="1197610"/>
                            <a:ext cx="1714500" cy="635"/>
                          </a:xfrm>
                          <a:prstGeom prst="line">
                            <a:avLst/>
                          </a:prstGeom>
                          <a:noFill/>
                          <a:ln w="9525" cmpd="sng">
                            <a:solidFill>
                              <a:srgbClr val="000000"/>
                            </a:solidFill>
                            <a:round/>
                            <a:tailEnd type="triangle" w="sm" len="med"/>
                          </a:ln>
                        </wps:spPr>
                        <wps:bodyPr/>
                      </wps:wsp>
                      <wps:wsp>
                        <wps:cNvPr id="300" name="直线 1744"/>
                        <wps:cNvCnPr>
                          <a:cxnSpLocks noChangeShapeType="1"/>
                        </wps:cNvCnPr>
                        <wps:spPr bwMode="auto">
                          <a:xfrm>
                            <a:off x="3428365" y="5470525"/>
                            <a:ext cx="635" cy="297180"/>
                          </a:xfrm>
                          <a:prstGeom prst="line">
                            <a:avLst/>
                          </a:prstGeom>
                          <a:noFill/>
                          <a:ln w="9525" cmpd="sng">
                            <a:solidFill>
                              <a:srgbClr val="000000"/>
                            </a:solidFill>
                            <a:round/>
                            <a:tailEnd type="triangle" w="sm" len="med"/>
                          </a:ln>
                        </wps:spPr>
                        <wps:bodyPr/>
                      </wps:wsp>
                      <wps:wsp>
                        <wps:cNvPr id="301" name="文本框 1745"/>
                        <wps:cNvSpPr txBox="1">
                          <a:spLocks noChangeArrowheads="1"/>
                        </wps:cNvSpPr>
                        <wps:spPr bwMode="auto">
                          <a:xfrm>
                            <a:off x="2590800" y="5786755"/>
                            <a:ext cx="1752599" cy="414020"/>
                          </a:xfrm>
                          <a:prstGeom prst="rect">
                            <a:avLst/>
                          </a:prstGeom>
                          <a:solidFill>
                            <a:srgbClr val="FFFFFF"/>
                          </a:solidFill>
                          <a:ln w="9525" cmpd="sng">
                            <a:solidFill>
                              <a:srgbClr val="FFFFFF"/>
                            </a:solidFill>
                            <a:miter lim="800000"/>
                          </a:ln>
                        </wps:spPr>
                        <wps:txbx>
                          <w:txbxContent>
                            <w:p w14:paraId="56019934" w14:textId="77777777" w:rsidR="00F553A8" w:rsidRDefault="00F553A8">
                              <w:pPr>
                                <w:rPr>
                                  <w:szCs w:val="21"/>
                                </w:rPr>
                              </w:pPr>
                              <w:r>
                                <w:rPr>
                                  <w:szCs w:val="21"/>
                                </w:rPr>
                                <w:t>产品醋酸乙酯200000(醋酸乙酯198000、乙醇1800、水200)</w:t>
                              </w:r>
                            </w:p>
                          </w:txbxContent>
                        </wps:txbx>
                        <wps:bodyPr rot="0" vert="horz" wrap="square" lIns="0" tIns="0" rIns="0" bIns="0" anchor="t" anchorCtr="0" upright="1">
                          <a:noAutofit/>
                        </wps:bodyPr>
                      </wps:wsp>
                      <wps:wsp>
                        <wps:cNvPr id="302" name="直线 1746"/>
                        <wps:cNvCnPr>
                          <a:cxnSpLocks noChangeShapeType="1"/>
                        </wps:cNvCnPr>
                        <wps:spPr bwMode="auto">
                          <a:xfrm flipH="1">
                            <a:off x="1485265" y="4182745"/>
                            <a:ext cx="457200" cy="635"/>
                          </a:xfrm>
                          <a:prstGeom prst="line">
                            <a:avLst/>
                          </a:prstGeom>
                          <a:noFill/>
                          <a:ln w="9525" cmpd="sng">
                            <a:solidFill>
                              <a:srgbClr val="000000"/>
                            </a:solidFill>
                            <a:round/>
                            <a:tailEnd type="none" w="sm" len="med"/>
                          </a:ln>
                        </wps:spPr>
                        <wps:bodyPr/>
                      </wps:wsp>
                      <wps:wsp>
                        <wps:cNvPr id="303" name="直线 1747"/>
                        <wps:cNvCnPr>
                          <a:cxnSpLocks noChangeShapeType="1"/>
                        </wps:cNvCnPr>
                        <wps:spPr bwMode="auto">
                          <a:xfrm flipV="1">
                            <a:off x="1485265" y="2691130"/>
                            <a:ext cx="635" cy="1491615"/>
                          </a:xfrm>
                          <a:prstGeom prst="line">
                            <a:avLst/>
                          </a:prstGeom>
                          <a:noFill/>
                          <a:ln w="9525" cmpd="sng">
                            <a:solidFill>
                              <a:srgbClr val="000000"/>
                            </a:solidFill>
                            <a:round/>
                            <a:tailEnd type="triangle" w="sm" len="med"/>
                          </a:ln>
                        </wps:spPr>
                        <wps:bodyPr/>
                      </wps:wsp>
                      <wps:wsp>
                        <wps:cNvPr id="304" name="文本框 1748"/>
                        <wps:cNvSpPr txBox="1">
                          <a:spLocks noChangeArrowheads="1"/>
                        </wps:cNvSpPr>
                        <wps:spPr bwMode="auto">
                          <a:xfrm>
                            <a:off x="1142365" y="2493010"/>
                            <a:ext cx="685800" cy="198120"/>
                          </a:xfrm>
                          <a:prstGeom prst="rect">
                            <a:avLst/>
                          </a:prstGeom>
                          <a:solidFill>
                            <a:srgbClr val="FFFFFF"/>
                          </a:solidFill>
                          <a:ln w="9525" cmpd="sng">
                            <a:solidFill>
                              <a:srgbClr val="000000"/>
                            </a:solidFill>
                            <a:miter lim="800000"/>
                          </a:ln>
                        </wps:spPr>
                        <wps:txbx>
                          <w:txbxContent>
                            <w:p w14:paraId="777D9E3A" w14:textId="77777777" w:rsidR="00F553A8" w:rsidRDefault="00F553A8">
                              <w:pPr>
                                <w:jc w:val="center"/>
                                <w:rPr>
                                  <w:szCs w:val="21"/>
                                </w:rPr>
                              </w:pPr>
                              <w:r>
                                <w:rPr>
                                  <w:rFonts w:hint="eastAsia"/>
                                  <w:szCs w:val="21"/>
                                </w:rPr>
                                <w:t>回收塔</w:t>
                              </w:r>
                            </w:p>
                          </w:txbxContent>
                        </wps:txbx>
                        <wps:bodyPr rot="0" vert="horz" wrap="square" lIns="0" tIns="0" rIns="0" bIns="0" anchor="t" anchorCtr="0" upright="1">
                          <a:noAutofit/>
                        </wps:bodyPr>
                      </wps:wsp>
                      <wps:wsp>
                        <wps:cNvPr id="305" name="直线 1749"/>
                        <wps:cNvCnPr>
                          <a:cxnSpLocks noChangeShapeType="1"/>
                        </wps:cNvCnPr>
                        <wps:spPr bwMode="auto">
                          <a:xfrm>
                            <a:off x="1485265" y="2096770"/>
                            <a:ext cx="635" cy="396240"/>
                          </a:xfrm>
                          <a:prstGeom prst="line">
                            <a:avLst/>
                          </a:prstGeom>
                          <a:noFill/>
                          <a:ln w="9525" cap="rnd" cmpd="sng">
                            <a:solidFill>
                              <a:srgbClr val="000000"/>
                            </a:solidFill>
                            <a:prstDash val="sysDot"/>
                            <a:round/>
                            <a:headEnd type="triangle" w="sm" len="med"/>
                            <a:tailEnd type="none" w="sm" len="med"/>
                          </a:ln>
                        </wps:spPr>
                        <wps:bodyPr/>
                      </wps:wsp>
                      <wps:wsp>
                        <wps:cNvPr id="306" name="文本框 1750"/>
                        <wps:cNvSpPr txBox="1">
                          <a:spLocks noChangeArrowheads="1"/>
                        </wps:cNvSpPr>
                        <wps:spPr bwMode="auto">
                          <a:xfrm>
                            <a:off x="1142365" y="1898650"/>
                            <a:ext cx="685800" cy="198120"/>
                          </a:xfrm>
                          <a:prstGeom prst="rect">
                            <a:avLst/>
                          </a:prstGeom>
                          <a:solidFill>
                            <a:srgbClr val="FFFFFF"/>
                          </a:solidFill>
                          <a:ln w="9525" cmpd="sng">
                            <a:solidFill>
                              <a:srgbClr val="000000"/>
                            </a:solidFill>
                            <a:miter lim="800000"/>
                          </a:ln>
                        </wps:spPr>
                        <wps:txbx>
                          <w:txbxContent>
                            <w:p w14:paraId="5E028C30" w14:textId="77777777" w:rsidR="00F553A8" w:rsidRDefault="00F553A8">
                              <w:pPr>
                                <w:jc w:val="center"/>
                                <w:rPr>
                                  <w:szCs w:val="21"/>
                                </w:rPr>
                              </w:pPr>
                              <w:r>
                                <w:rPr>
                                  <w:rFonts w:hint="eastAsia"/>
                                  <w:szCs w:val="21"/>
                                </w:rPr>
                                <w:t>冷凝</w:t>
                              </w:r>
                            </w:p>
                          </w:txbxContent>
                        </wps:txbx>
                        <wps:bodyPr rot="0" vert="horz" wrap="square" lIns="0" tIns="0" rIns="0" bIns="0" anchor="t" anchorCtr="0" upright="1">
                          <a:noAutofit/>
                        </wps:bodyPr>
                      </wps:wsp>
                      <wps:wsp>
                        <wps:cNvPr id="307" name="直线 1751"/>
                        <wps:cNvCnPr>
                          <a:cxnSpLocks noChangeShapeType="1"/>
                        </wps:cNvCnPr>
                        <wps:spPr bwMode="auto">
                          <a:xfrm>
                            <a:off x="1485900" y="1197610"/>
                            <a:ext cx="1600200" cy="635"/>
                          </a:xfrm>
                          <a:prstGeom prst="line">
                            <a:avLst/>
                          </a:prstGeom>
                          <a:noFill/>
                          <a:ln w="9525" cmpd="sng">
                            <a:solidFill>
                              <a:srgbClr val="000000"/>
                            </a:solidFill>
                            <a:round/>
                            <a:tailEnd type="triangle" w="sm" len="med"/>
                          </a:ln>
                        </wps:spPr>
                        <wps:bodyPr/>
                      </wps:wsp>
                      <wps:wsp>
                        <wps:cNvPr id="308" name="文本框 1752"/>
                        <wps:cNvSpPr txBox="1">
                          <a:spLocks noChangeArrowheads="1"/>
                        </wps:cNvSpPr>
                        <wps:spPr bwMode="auto">
                          <a:xfrm>
                            <a:off x="45720" y="2209165"/>
                            <a:ext cx="931545" cy="828040"/>
                          </a:xfrm>
                          <a:prstGeom prst="rect">
                            <a:avLst/>
                          </a:prstGeom>
                          <a:solidFill>
                            <a:srgbClr val="FFFFFF"/>
                          </a:solidFill>
                          <a:ln w="9525" cmpd="sng">
                            <a:solidFill>
                              <a:srgbClr val="FFFFFF"/>
                            </a:solidFill>
                            <a:miter lim="800000"/>
                          </a:ln>
                        </wps:spPr>
                        <wps:txbx>
                          <w:txbxContent>
                            <w:p w14:paraId="5F0D6BA8" w14:textId="77777777" w:rsidR="00F553A8" w:rsidRDefault="00F553A8">
                              <w:pPr>
                                <w:rPr>
                                  <w:szCs w:val="21"/>
                                </w:rPr>
                              </w:pPr>
                              <w:r>
                                <w:rPr>
                                  <w:szCs w:val="21"/>
                                </w:rPr>
                                <w:t>废水W</w:t>
                              </w:r>
                              <w:r>
                                <w:rPr>
                                  <w:szCs w:val="21"/>
                                  <w:vertAlign w:val="subscript"/>
                                </w:rPr>
                                <w:t>2-1</w:t>
                              </w:r>
                              <w:r>
                                <w:rPr>
                                  <w:szCs w:val="21"/>
                                </w:rPr>
                                <w:t>50091</w:t>
                              </w:r>
                            </w:p>
                            <w:p w14:paraId="20E80292" w14:textId="77777777" w:rsidR="00F553A8" w:rsidRDefault="00F553A8">
                              <w:pPr>
                                <w:rPr>
                                  <w:szCs w:val="21"/>
                                </w:rPr>
                              </w:pPr>
                              <w:r>
                                <w:rPr>
                                  <w:szCs w:val="21"/>
                                </w:rPr>
                                <w:t>(水49799、乙醇59、醋酸174、醋酸乙酯59)</w:t>
                              </w:r>
                            </w:p>
                          </w:txbxContent>
                        </wps:txbx>
                        <wps:bodyPr rot="0" vert="horz" wrap="square" lIns="0" tIns="0" rIns="0" bIns="0" anchor="t" anchorCtr="0" upright="1">
                          <a:noAutofit/>
                        </wps:bodyPr>
                      </wps:wsp>
                      <wps:wsp>
                        <wps:cNvPr id="309" name="直线 1753"/>
                        <wps:cNvCnPr>
                          <a:cxnSpLocks noChangeShapeType="1"/>
                        </wps:cNvCnPr>
                        <wps:spPr bwMode="auto">
                          <a:xfrm flipH="1">
                            <a:off x="3771900" y="3291205"/>
                            <a:ext cx="1714500" cy="635"/>
                          </a:xfrm>
                          <a:prstGeom prst="line">
                            <a:avLst/>
                          </a:prstGeom>
                          <a:noFill/>
                          <a:ln w="9525" cmpd="sng">
                            <a:solidFill>
                              <a:srgbClr val="000000"/>
                            </a:solidFill>
                            <a:round/>
                            <a:headEnd type="triangle" w="sm" len="med"/>
                            <a:tailEnd type="none" w="sm" len="med"/>
                          </a:ln>
                        </wps:spPr>
                        <wps:bodyPr/>
                      </wps:wsp>
                      <wps:wsp>
                        <wps:cNvPr id="310" name="直线 1754"/>
                        <wps:cNvCnPr>
                          <a:cxnSpLocks noChangeShapeType="1"/>
                        </wps:cNvCnPr>
                        <wps:spPr bwMode="auto">
                          <a:xfrm flipH="1" flipV="1">
                            <a:off x="914400" y="2587625"/>
                            <a:ext cx="228600" cy="635"/>
                          </a:xfrm>
                          <a:prstGeom prst="line">
                            <a:avLst/>
                          </a:prstGeom>
                          <a:noFill/>
                          <a:ln w="9525" cmpd="sng">
                            <a:solidFill>
                              <a:srgbClr val="000000"/>
                            </a:solidFill>
                            <a:round/>
                            <a:tailEnd type="triangle" w="sm" len="med"/>
                          </a:ln>
                        </wps:spPr>
                        <wps:bodyPr/>
                      </wps:wsp>
                      <wps:wsp>
                        <wps:cNvPr id="311" name="文本框 1755"/>
                        <wps:cNvSpPr txBox="1">
                          <a:spLocks noChangeArrowheads="1"/>
                        </wps:cNvSpPr>
                        <wps:spPr bwMode="auto">
                          <a:xfrm>
                            <a:off x="228600" y="3519170"/>
                            <a:ext cx="1219200" cy="664210"/>
                          </a:xfrm>
                          <a:prstGeom prst="rect">
                            <a:avLst/>
                          </a:prstGeom>
                          <a:solidFill>
                            <a:srgbClr val="FFFFFF"/>
                          </a:solidFill>
                          <a:ln w="9525" cmpd="sng">
                            <a:solidFill>
                              <a:srgbClr val="FFFFFF"/>
                            </a:solidFill>
                            <a:miter lim="800000"/>
                          </a:ln>
                        </wps:spPr>
                        <wps:txbx>
                          <w:txbxContent>
                            <w:p w14:paraId="0043EE9F" w14:textId="77777777" w:rsidR="00F553A8" w:rsidRDefault="00F553A8">
                              <w:pPr>
                                <w:jc w:val="center"/>
                                <w:rPr>
                                  <w:szCs w:val="21"/>
                                </w:rPr>
                              </w:pPr>
                              <w:r>
                                <w:rPr>
                                  <w:szCs w:val="21"/>
                                </w:rPr>
                                <w:t>塔顶液回流18343</w:t>
                              </w:r>
                            </w:p>
                            <w:p w14:paraId="4925E915" w14:textId="77777777" w:rsidR="00F553A8" w:rsidRDefault="00F553A8">
                              <w:pPr>
                                <w:jc w:val="center"/>
                                <w:rPr>
                                  <w:szCs w:val="21"/>
                                </w:rPr>
                              </w:pPr>
                              <w:r>
                                <w:rPr>
                                  <w:szCs w:val="21"/>
                                </w:rPr>
                                <w:t>(乙醇1883、醋酸乙酯1568、水14892)</w:t>
                              </w:r>
                            </w:p>
                          </w:txbxContent>
                        </wps:txbx>
                        <wps:bodyPr rot="0" vert="horz" wrap="square" lIns="0" tIns="0" rIns="0" bIns="0" anchor="t" anchorCtr="0" upright="1">
                          <a:noAutofit/>
                        </wps:bodyPr>
                      </wps:wsp>
                      <wps:wsp>
                        <wps:cNvPr id="312" name="文本框 1756"/>
                        <wps:cNvSpPr txBox="1">
                          <a:spLocks noChangeArrowheads="1"/>
                        </wps:cNvSpPr>
                        <wps:spPr bwMode="auto">
                          <a:xfrm>
                            <a:off x="4419600" y="1213485"/>
                            <a:ext cx="533400" cy="235585"/>
                          </a:xfrm>
                          <a:prstGeom prst="rect">
                            <a:avLst/>
                          </a:prstGeom>
                          <a:solidFill>
                            <a:srgbClr val="FFFFFF"/>
                          </a:solidFill>
                          <a:ln w="9525" cmpd="sng">
                            <a:solidFill>
                              <a:srgbClr val="FFFFFF"/>
                            </a:solidFill>
                            <a:miter lim="800000"/>
                          </a:ln>
                        </wps:spPr>
                        <wps:txbx>
                          <w:txbxContent>
                            <w:p w14:paraId="1201766C" w14:textId="77777777" w:rsidR="00F553A8" w:rsidRDefault="00F553A8">
                              <w:pPr>
                                <w:rPr>
                                  <w:szCs w:val="21"/>
                                </w:rPr>
                              </w:pPr>
                              <w:r>
                                <w:rPr>
                                  <w:szCs w:val="21"/>
                                </w:rPr>
                                <w:t>448092</w:t>
                              </w:r>
                            </w:p>
                          </w:txbxContent>
                        </wps:txbx>
                        <wps:bodyPr rot="0" vert="horz" wrap="square" lIns="0" tIns="0" rIns="0" bIns="0" anchor="t" anchorCtr="0" upright="1">
                          <a:noAutofit/>
                        </wps:bodyPr>
                      </wps:wsp>
                      <wps:wsp>
                        <wps:cNvPr id="313" name="直线 1757"/>
                        <wps:cNvCnPr>
                          <a:cxnSpLocks noChangeShapeType="1"/>
                        </wps:cNvCnPr>
                        <wps:spPr bwMode="auto">
                          <a:xfrm>
                            <a:off x="1645920" y="2096770"/>
                            <a:ext cx="635" cy="396240"/>
                          </a:xfrm>
                          <a:prstGeom prst="line">
                            <a:avLst/>
                          </a:prstGeom>
                          <a:noFill/>
                          <a:ln w="9525" cmpd="sng">
                            <a:solidFill>
                              <a:srgbClr val="000000"/>
                            </a:solidFill>
                            <a:round/>
                            <a:headEnd type="none" w="sm" len="med"/>
                            <a:tailEnd type="triangle" w="sm" len="med"/>
                          </a:ln>
                        </wps:spPr>
                        <wps:bodyPr/>
                      </wps:wsp>
                      <wps:wsp>
                        <wps:cNvPr id="314" name="直线 1758"/>
                        <wps:cNvCnPr>
                          <a:cxnSpLocks noChangeShapeType="1"/>
                        </wps:cNvCnPr>
                        <wps:spPr bwMode="auto">
                          <a:xfrm flipH="1">
                            <a:off x="2636520" y="4243705"/>
                            <a:ext cx="457200" cy="635"/>
                          </a:xfrm>
                          <a:prstGeom prst="line">
                            <a:avLst/>
                          </a:prstGeom>
                          <a:noFill/>
                          <a:ln w="9525" cmpd="sng">
                            <a:solidFill>
                              <a:srgbClr val="000000"/>
                            </a:solidFill>
                            <a:round/>
                            <a:headEnd type="triangle" w="sm" len="med"/>
                            <a:tailEnd type="none" w="sm" len="med"/>
                          </a:ln>
                        </wps:spPr>
                        <wps:bodyPr/>
                      </wps:wsp>
                      <wps:wsp>
                        <wps:cNvPr id="315" name="直线 1759"/>
                        <wps:cNvCnPr>
                          <a:cxnSpLocks noChangeShapeType="1"/>
                        </wps:cNvCnPr>
                        <wps:spPr bwMode="auto">
                          <a:xfrm>
                            <a:off x="3427095" y="4874260"/>
                            <a:ext cx="635" cy="396240"/>
                          </a:xfrm>
                          <a:prstGeom prst="line">
                            <a:avLst/>
                          </a:prstGeom>
                          <a:noFill/>
                          <a:ln w="9525" cap="rnd" cmpd="sng">
                            <a:solidFill>
                              <a:srgbClr val="000000"/>
                            </a:solidFill>
                            <a:prstDash val="sysDot"/>
                            <a:round/>
                            <a:tailEnd type="triangle" w="sm" len="med"/>
                          </a:ln>
                        </wps:spPr>
                        <wps:bodyPr/>
                      </wps:wsp>
                      <wps:wsp>
                        <wps:cNvPr id="316" name="直线 1760"/>
                        <wps:cNvCnPr>
                          <a:cxnSpLocks noChangeShapeType="1"/>
                        </wps:cNvCnPr>
                        <wps:spPr bwMode="auto">
                          <a:xfrm>
                            <a:off x="3550920" y="4874260"/>
                            <a:ext cx="635" cy="396240"/>
                          </a:xfrm>
                          <a:prstGeom prst="line">
                            <a:avLst/>
                          </a:prstGeom>
                          <a:noFill/>
                          <a:ln w="9525" cmpd="sng">
                            <a:solidFill>
                              <a:srgbClr val="000000"/>
                            </a:solidFill>
                            <a:round/>
                            <a:headEnd type="triangle" w="sm" len="med"/>
                            <a:tailEnd type="none" w="sm" len="med"/>
                          </a:ln>
                        </wps:spPr>
                        <wps:bodyPr/>
                      </wps:wsp>
                      <wps:wsp>
                        <wps:cNvPr id="317" name="直线 1761"/>
                        <wps:cNvCnPr>
                          <a:cxnSpLocks noChangeShapeType="1"/>
                        </wps:cNvCnPr>
                        <wps:spPr bwMode="auto">
                          <a:xfrm>
                            <a:off x="3550920" y="2201545"/>
                            <a:ext cx="635" cy="396240"/>
                          </a:xfrm>
                          <a:prstGeom prst="line">
                            <a:avLst/>
                          </a:prstGeom>
                          <a:noFill/>
                          <a:ln w="9525" cmpd="sng">
                            <a:solidFill>
                              <a:srgbClr val="000000"/>
                            </a:solidFill>
                            <a:round/>
                            <a:headEnd type="triangle" w="sm" len="med"/>
                            <a:tailEnd type="none" w="sm" len="med"/>
                          </a:ln>
                        </wps:spPr>
                        <wps:bodyPr/>
                      </wps:wsp>
                    </wpc:wpc>
                  </a:graphicData>
                </a:graphic>
              </wp:inline>
            </w:drawing>
          </mc:Choice>
          <mc:Fallback>
            <w:pict>
              <v:group w14:anchorId="5FEF1FAC" id="画布 318" o:spid="_x0000_s1132" editas="canvas" style="width:459pt;height:489pt;mso-position-horizontal-relative:char;mso-position-vertical-relative:line" coordsize="58293,62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">
                <v:shape id="_x0000_s1133" type="#_x0000_t75" style="position:absolute;width:58293;height:62103;visibility:visible;mso-wrap-style:square">
                  <v:fill o:detectmouseclick="t"/>
                  <v:path o:connecttype="none"/>
                </v:shape>
                <v:shape id="文本框 1705" o:spid="_x0000_s1134" type="#_x0000_t202" style="position:absolute;left:29794;top:15525;width:4572;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" strokecolor="white">
                  <v:textbox inset="0,0,0,0">
                    <w:txbxContent>
                      <w:p w14:paraId="5E89EA3C" w14:textId="77777777" w:rsidR="00F553A8" w:rsidRDefault="00F553A8">
                        <w:pPr>
                          <w:rPr>
                            <w:szCs w:val="21"/>
                          </w:rPr>
                        </w:pPr>
                        <w:r>
                          <w:rPr>
                            <w:szCs w:val="21"/>
                          </w:rPr>
                          <w:t>716376</w:t>
                        </w:r>
                      </w:p>
                    </w:txbxContent>
                  </v:textbox>
                </v:shape>
                <v:shape id="文本框 1706" o:spid="_x0000_s1135" type="#_x0000_t202" style="position:absolute;left:29718;top:43472;width:4572;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" strokecolor="white">
                  <v:textbox inset="0,0,0,0">
                    <w:txbxContent>
                      <w:p w14:paraId="2F932ED2" w14:textId="77777777" w:rsidR="00F553A8" w:rsidRDefault="00F553A8">
                        <w:pPr>
                          <w:rPr>
                            <w:szCs w:val="21"/>
                          </w:rPr>
                        </w:pPr>
                        <w:r>
                          <w:rPr>
                            <w:szCs w:val="21"/>
                          </w:rPr>
                          <w:t>203802</w:t>
                        </w:r>
                      </w:p>
                    </w:txbxContent>
                  </v:textbox>
                </v:shape>
                <v:shape id="文本框 1707" o:spid="_x0000_s1136" type="#_x0000_t202" style="position:absolute;left:29718;top:36226;width:4572;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" strokecolor="white">
                  <v:textbox inset="0,0,0,0">
                    <w:txbxContent>
                      <w:p w14:paraId="1604B805" w14:textId="77777777" w:rsidR="00F553A8" w:rsidRDefault="00F553A8">
                        <w:pPr>
                          <w:rPr>
                            <w:szCs w:val="21"/>
                          </w:rPr>
                        </w:pPr>
                        <w:r>
                          <w:rPr>
                            <w:szCs w:val="21"/>
                          </w:rPr>
                          <w:t>222145</w:t>
                        </w:r>
                      </w:p>
                    </w:txbxContent>
                  </v:textbox>
                </v:shape>
                <v:shape id="文本框 1708" o:spid="_x0000_s1137" type="#_x0000_t202" style="position:absolute;left:29718;top:28981;width:4572;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" strokecolor="white">
                  <v:textbox inset="0,0,0,0">
                    <w:txbxContent>
                      <w:p w14:paraId="471CD1E3" w14:textId="77777777" w:rsidR="00F553A8" w:rsidRDefault="00F553A8">
                        <w:pPr>
                          <w:rPr>
                            <w:szCs w:val="21"/>
                          </w:rPr>
                        </w:pPr>
                        <w:r>
                          <w:rPr>
                            <w:szCs w:val="21"/>
                          </w:rPr>
                          <w:t>716376</w:t>
                        </w:r>
                      </w:p>
                    </w:txbxContent>
                  </v:textbox>
                </v:shape>
                <v:shape id="文本框 1709" o:spid="_x0000_s1138" type="#_x0000_t202" style="position:absolute;left:21336;top:12217;width:381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" strokecolor="white">
                  <v:textbox inset="0,0,0,0">
                    <w:txbxContent>
                      <w:p w14:paraId="1073F899" w14:textId="77777777" w:rsidR="00F553A8" w:rsidRDefault="00F553A8">
                        <w:pPr>
                          <w:rPr>
                            <w:szCs w:val="21"/>
                          </w:rPr>
                        </w:pPr>
                        <w:r>
                          <w:rPr>
                            <w:szCs w:val="21"/>
                          </w:rPr>
                          <w:t>18193</w:t>
                        </w:r>
                      </w:p>
                    </w:txbxContent>
                  </v:textbox>
                </v:shape>
                <v:shape id="文本框 1710" o:spid="_x0000_s1139" type="#_x0000_t202" style="position:absolute;left:10668;top:28981;width:381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" strokecolor="white">
                  <v:textbox inset="0,0,0,0">
                    <w:txbxContent>
                      <w:p w14:paraId="7B35B4D4" w14:textId="77777777" w:rsidR="00F553A8" w:rsidRDefault="00F553A8">
                        <w:pPr>
                          <w:rPr>
                            <w:szCs w:val="21"/>
                          </w:rPr>
                        </w:pPr>
                        <w:r>
                          <w:rPr>
                            <w:szCs w:val="21"/>
                          </w:rPr>
                          <w:t>68284</w:t>
                        </w:r>
                      </w:p>
                    </w:txbxContent>
                  </v:textbox>
                </v:shape>
                <v:shape id="文本框 1711" o:spid="_x0000_s1140" type="#_x0000_t202" style="position:absolute;left:38862;top:41408;width:14478;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" strokecolor="white">
                  <v:textbox inset="0,0,0,0">
                    <w:txbxContent>
                      <w:p w14:paraId="40859DBD" w14:textId="77777777" w:rsidR="00F553A8" w:rsidRDefault="00F553A8">
                        <w:pPr>
                          <w:rPr>
                            <w:szCs w:val="21"/>
                          </w:rPr>
                        </w:pPr>
                        <w:r>
                          <w:rPr>
                            <w:szCs w:val="21"/>
                          </w:rPr>
                          <w:t>釜液回流3802</w:t>
                        </w:r>
                      </w:p>
                      <w:p w14:paraId="610133D9" w14:textId="77777777" w:rsidR="00F553A8" w:rsidRDefault="00F553A8">
                        <w:pPr>
                          <w:rPr>
                            <w:szCs w:val="21"/>
                          </w:rPr>
                        </w:pPr>
                        <w:r>
                          <w:rPr>
                            <w:szCs w:val="21"/>
                          </w:rPr>
                          <w:t>(乙醇176、醋酸1097、醋酸乙酯2509、水20)</w:t>
                        </w:r>
                      </w:p>
                    </w:txbxContent>
                  </v:textbox>
                </v:shape>
                <v:shape id="文本框 1712" o:spid="_x0000_s1141" type="#_x0000_t202" style="position:absolute;left:19030;top:25044;width:10497;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" strokecolor="white">
                  <v:textbox inset="0,0,0,0">
                    <w:txbxContent>
                      <w:p w14:paraId="7CF062A3" w14:textId="77777777" w:rsidR="00F553A8" w:rsidRDefault="00F553A8">
                        <w:pPr>
                          <w:rPr>
                            <w:szCs w:val="21"/>
                          </w:rPr>
                        </w:pPr>
                        <w:r>
                          <w:rPr>
                            <w:szCs w:val="21"/>
                          </w:rPr>
                          <w:t>水相回流49941</w:t>
                        </w:r>
                      </w:p>
                      <w:p w14:paraId="2D04FA15" w14:textId="77777777" w:rsidR="00F553A8" w:rsidRDefault="00F553A8">
                        <w:pPr>
                          <w:rPr>
                            <w:szCs w:val="21"/>
                          </w:rPr>
                        </w:pPr>
                        <w:r>
                          <w:rPr>
                            <w:szCs w:val="21"/>
                          </w:rPr>
                          <w:t>(水39592、乙醇5488、醋酸157、醋酸乙酯4704)</w:t>
                        </w:r>
                      </w:p>
                    </w:txbxContent>
                  </v:textbox>
                </v:shape>
                <v:shape id="文本框 1713" o:spid="_x0000_s1142" type="#_x0000_t202" style="position:absolute;left:38862;top:26257;width:14478;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" strokecolor="white">
                  <v:textbox inset="0,0,0,0">
                    <w:txbxContent>
                      <w:p w14:paraId="69799E7C" w14:textId="77777777" w:rsidR="00F553A8" w:rsidRDefault="00F553A8">
                        <w:pPr>
                          <w:jc w:val="center"/>
                          <w:rPr>
                            <w:szCs w:val="21"/>
                          </w:rPr>
                        </w:pPr>
                        <w:r>
                          <w:rPr>
                            <w:szCs w:val="21"/>
                          </w:rPr>
                          <w:t>酯相回流444290(乙醇7718、醋酸2195、醋酸乙酯404154、水30223)</w:t>
                        </w:r>
                      </w:p>
                    </w:txbxContent>
                  </v:textbox>
                </v:shape>
                <v:line id="直线 1714" o:spid="_x0000_s1143" style="position:absolute;visibility:visible;mso-wrap-style:square" from="34283,12217" to="34296,19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">
                  <v:stroke endarrow="block" endarrowwidth="narrow"/>
                </v:line>
                <v:line id="直线 1715" o:spid="_x0000_s1144" style="position:absolute;visibility:visible;mso-wrap-style:square" from="14846,12065" to="14859,19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">
                  <v:stroke startarrowwidth="narrow" endarrowwidth="narrow"/>
                </v:line>
                <v:shape id="文本框 1716" o:spid="_x0000_s1145" type="#_x0000_t202" style="position:absolute;left:27813;top:6210;width:7239;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" strokecolor="white">
                  <v:textbox inset="0,0,0,0">
                    <w:txbxContent>
                      <w:p w14:paraId="79E7592E" w14:textId="77777777" w:rsidR="00F553A8" w:rsidRDefault="00F553A8">
                        <w:pPr>
                          <w:jc w:val="center"/>
                          <w:rPr>
                            <w:szCs w:val="21"/>
                          </w:rPr>
                        </w:pPr>
                        <w:r>
                          <w:rPr>
                            <w:szCs w:val="21"/>
                          </w:rPr>
                          <w:t>250091</w:t>
                        </w:r>
                      </w:p>
                    </w:txbxContent>
                  </v:textbox>
                </v:shape>
                <v:shape id="文本框 1717" o:spid="_x0000_s1146" type="#_x0000_t202" style="position:absolute;left:42284;top:2070;width:13278;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" strokecolor="white">
                  <v:textbox inset="0,0,0,0">
                    <w:txbxContent>
                      <w:p w14:paraId="07A8854E" w14:textId="77777777" w:rsidR="00F553A8" w:rsidRDefault="00F553A8">
                        <w:pPr>
                          <w:jc w:val="center"/>
                          <w:rPr>
                            <w:szCs w:val="21"/>
                          </w:rPr>
                        </w:pPr>
                        <w:r>
                          <w:rPr>
                            <w:szCs w:val="21"/>
                          </w:rPr>
                          <w:t>酒精112117(乙醇105390、水6727)</w:t>
                        </w:r>
                      </w:p>
                    </w:txbxContent>
                  </v:textbox>
                </v:shape>
                <v:shape id="文本框 1718" o:spid="_x0000_s1147" type="#_x0000_t202" style="position:absolute;left:13500;top:2070;width:12408;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" strokecolor="white">
                  <v:textbox inset="0,0,0,0">
                    <w:txbxContent>
                      <w:p w14:paraId="661873A5" w14:textId="77777777" w:rsidR="00F553A8" w:rsidRDefault="00F553A8">
                        <w:pPr>
                          <w:jc w:val="center"/>
                          <w:rPr>
                            <w:szCs w:val="21"/>
                          </w:rPr>
                        </w:pPr>
                        <w:r>
                          <w:rPr>
                            <w:szCs w:val="21"/>
                          </w:rPr>
                          <w:t>醋酸137974(醋酸135214、水2760)</w:t>
                        </w:r>
                      </w:p>
                    </w:txbxContent>
                  </v:textbox>
                </v:shape>
                <v:line id="直线 1719" o:spid="_x0000_s1148" style="position:absolute;visibility:visible;mso-wrap-style:square" from="26282,4051" to="30854,4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">
                  <v:stroke endarrow="block" endarrowwidth="narrow"/>
                </v:line>
                <v:line id="直线 1720" o:spid="_x0000_s1149" style="position:absolute;flip:x;visibility:visible;mso-wrap-style:square" from="37712,4051" to="42284,4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">
                  <v:stroke endarrow="block" endarrowwidth="narrow"/>
                </v:line>
                <v:shape id="文本框 1721" o:spid="_x0000_s1150" type="#_x0000_t202" style="position:absolute;left:30854;top:3060;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">
                  <v:textbox inset="0,0,0,0">
                    <w:txbxContent>
                      <w:p w14:paraId="71079438" w14:textId="77777777" w:rsidR="00F553A8" w:rsidRDefault="00F553A8">
                        <w:pPr>
                          <w:jc w:val="center"/>
                          <w:rPr>
                            <w:szCs w:val="21"/>
                          </w:rPr>
                        </w:pPr>
                        <w:r>
                          <w:rPr>
                            <w:rFonts w:hint="eastAsia"/>
                            <w:szCs w:val="21"/>
                          </w:rPr>
                          <w:t>混合</w:t>
                        </w:r>
                      </w:p>
                    </w:txbxContent>
                  </v:textbox>
                </v:shape>
                <v:line id="直线 1722" o:spid="_x0000_s1151" style="position:absolute;visibility:visible;mso-wrap-style:square" from="34283,5041" to="34290,9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">
                  <v:stroke endarrow="block" endarrowwidth="narrow"/>
                </v:line>
                <v:shape id="文本框 1723" o:spid="_x0000_s1152" type="#_x0000_t202" style="position:absolute;left:30854;top:9004;width:6858;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">
                  <v:textbox inset="0,3mm,0,0">
                    <w:txbxContent>
                      <w:p w14:paraId="42951318" w14:textId="77777777" w:rsidR="00F553A8" w:rsidRDefault="00F553A8">
                        <w:pPr>
                          <w:jc w:val="center"/>
                          <w:rPr>
                            <w:szCs w:val="21"/>
                          </w:rPr>
                        </w:pPr>
                        <w:r>
                          <w:rPr>
                            <w:rFonts w:hint="eastAsia"/>
                            <w:szCs w:val="21"/>
                          </w:rPr>
                          <w:t>酯化釜</w:t>
                        </w:r>
                      </w:p>
                    </w:txbxContent>
                  </v:textbox>
                </v:shape>
                <v:shape id="文本框 1724" o:spid="_x0000_s1153" type="#_x0000_t202" style="position:absolute;left:30854;top:25977;width:6858;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">
                  <v:textbox inset="0,0,0,0">
                    <w:txbxContent>
                      <w:p w14:paraId="1DEB3250" w14:textId="77777777" w:rsidR="00F553A8" w:rsidRDefault="00F553A8">
                        <w:pPr>
                          <w:jc w:val="center"/>
                          <w:rPr>
                            <w:szCs w:val="21"/>
                          </w:rPr>
                        </w:pPr>
                        <w:r>
                          <w:rPr>
                            <w:rFonts w:hint="eastAsia"/>
                            <w:szCs w:val="21"/>
                          </w:rPr>
                          <w:t>冷凝</w:t>
                        </w:r>
                      </w:p>
                    </w:txbxContent>
                  </v:textbox>
                </v:shape>
                <v:line id="直线 1725" o:spid="_x0000_s1154" style="position:absolute;visibility:visible;mso-wrap-style:square" from="26289,9994" to="30861,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">
                  <v:stroke endarrow="block" endarrowwidth="narrow"/>
                </v:line>
                <v:shape id="文本框 1726" o:spid="_x0000_s1155" type="#_x0000_t202" style="position:absolute;left:16979;top:7245;width:9303;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" strokecolor="white">
                  <v:textbox inset="0,0,0,0">
                    <w:txbxContent>
                      <w:p w14:paraId="054AADF6" w14:textId="77777777" w:rsidR="00F553A8" w:rsidRDefault="00F553A8">
                        <w:pPr>
                          <w:jc w:val="center"/>
                          <w:rPr>
                            <w:szCs w:val="21"/>
                          </w:rPr>
                        </w:pPr>
                        <w:r>
                          <w:rPr>
                            <w:szCs w:val="21"/>
                          </w:rPr>
                          <w:t>硫酸200(硫酸196、水4)</w:t>
                        </w:r>
                      </w:p>
                    </w:txbxContent>
                  </v:textbox>
                </v:shape>
                <v:line id="直线 1727" o:spid="_x0000_s1156" style="position:absolute;visibility:visible;mso-wrap-style:square" from="34283,27959" to="34290,31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">
                  <v:stroke endarrow="block" endarrowwidth="narrow"/>
                </v:line>
                <v:shape id="文本框 1728" o:spid="_x0000_s1157" type="#_x0000_t202" style="position:absolute;left:30854;top:31921;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">
                  <v:textbox inset="0,0,0,0">
                    <w:txbxContent>
                      <w:p w14:paraId="0944161B" w14:textId="77777777" w:rsidR="00F553A8" w:rsidRDefault="00F553A8">
                        <w:pPr>
                          <w:jc w:val="center"/>
                          <w:rPr>
                            <w:szCs w:val="21"/>
                          </w:rPr>
                        </w:pPr>
                        <w:r>
                          <w:rPr>
                            <w:rFonts w:hint="eastAsia"/>
                            <w:szCs w:val="21"/>
                          </w:rPr>
                          <w:t>分相</w:t>
                        </w:r>
                      </w:p>
                    </w:txbxContent>
                  </v:textbox>
                </v:shape>
                <v:shape id="文本框 1729" o:spid="_x0000_s1158" type="#_x0000_t202" style="position:absolute;left:30854;top:20034;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">
                  <v:textbox inset="0,0,0,0">
                    <w:txbxContent>
                      <w:p w14:paraId="69F53444" w14:textId="77777777" w:rsidR="00F553A8" w:rsidRDefault="00F553A8">
                        <w:pPr>
                          <w:jc w:val="center"/>
                          <w:rPr>
                            <w:szCs w:val="21"/>
                          </w:rPr>
                        </w:pPr>
                        <w:r>
                          <w:rPr>
                            <w:rFonts w:hint="eastAsia"/>
                            <w:szCs w:val="21"/>
                          </w:rPr>
                          <w:t>酯化塔</w:t>
                        </w:r>
                      </w:p>
                    </w:txbxContent>
                  </v:textbox>
                </v:shape>
                <v:line id="直线 1730" o:spid="_x0000_s1159" style="position:absolute;visibility:visible;mso-wrap-style:square" from="34283,22015" to="34290,25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">
                  <v:stroke dashstyle="1 1" endarrow="block" endarrowwidth="narrow" endcap="round"/>
                </v:line>
                <v:line id="直线 1731" o:spid="_x0000_s1160" style="position:absolute;visibility:visible;mso-wrap-style:square" from="37719,9994" to="42291,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">
                  <v:stroke endarrow="block" endarrowwidth="narrow"/>
                </v:line>
                <v:shape id="文本框 1732" o:spid="_x0000_s1161" type="#_x0000_t202" style="position:absolute;left:42284;top:7816;width:14034;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" strokecolor="white">
                  <v:textbox inset="0,0,0,0">
                    <w:txbxContent>
                      <w:p w14:paraId="0CE3D65E" w14:textId="77777777" w:rsidR="00F553A8" w:rsidRDefault="00F553A8">
                        <w:pPr>
                          <w:jc w:val="left"/>
                          <w:rPr>
                            <w:szCs w:val="21"/>
                          </w:rPr>
                        </w:pPr>
                        <w:r>
                          <w:rPr>
                            <w:szCs w:val="21"/>
                          </w:rPr>
                          <w:t>硫酸L</w:t>
                        </w:r>
                        <w:r>
                          <w:rPr>
                            <w:szCs w:val="21"/>
                            <w:vertAlign w:val="subscript"/>
                          </w:rPr>
                          <w:t>2-1</w:t>
                        </w:r>
                        <w:r>
                          <w:rPr>
                            <w:szCs w:val="21"/>
                          </w:rPr>
                          <w:t>200</w:t>
                        </w:r>
                      </w:p>
                      <w:p w14:paraId="1BA39171" w14:textId="77777777" w:rsidR="00F553A8" w:rsidRDefault="00F553A8">
                        <w:pPr>
                          <w:jc w:val="left"/>
                          <w:rPr>
                            <w:szCs w:val="21"/>
                          </w:rPr>
                        </w:pPr>
                        <w:r>
                          <w:rPr>
                            <w:szCs w:val="21"/>
                          </w:rPr>
                          <w:t>(硫酸196、水4)</w:t>
                        </w:r>
                      </w:p>
                    </w:txbxContent>
                  </v:textbox>
                </v:shape>
                <v:line id="直线 1733" o:spid="_x0000_s1162" style="position:absolute;visibility:visible;mso-wrap-style:square" from="34290,33870" to="34296,40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">
                  <v:stroke endarrow="block" endarrowwidth="narrow"/>
                </v:line>
                <v:line id="直线 1734" o:spid="_x0000_s1163" style="position:absolute;flip:x;visibility:visible;mso-wrap-style:square" from="14852,32912" to="30854,32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">
                  <v:stroke startarrowwidth="narrow" startarrowlength="short" endarrow="block" endarrowwidth="narrow"/>
                </v:line>
                <v:shape id="文本框 1735" o:spid="_x0000_s1164" type="#_x0000_t202" style="position:absolute;left:30854;top:40836;width:6858;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">
                  <v:textbox inset="0,0,0,0">
                    <w:txbxContent>
                      <w:p w14:paraId="1B40EC4A" w14:textId="77777777" w:rsidR="00F553A8" w:rsidRDefault="00F553A8">
                        <w:pPr>
                          <w:jc w:val="center"/>
                          <w:rPr>
                            <w:szCs w:val="21"/>
                          </w:rPr>
                        </w:pPr>
                        <w:r>
                          <w:rPr>
                            <w:rFonts w:hint="eastAsia"/>
                            <w:szCs w:val="21"/>
                          </w:rPr>
                          <w:t>脱水塔</w:t>
                        </w:r>
                      </w:p>
                    </w:txbxContent>
                  </v:textbox>
                </v:shape>
                <v:line id="直线 1736" o:spid="_x0000_s1165" style="position:absolute;flip:x;visibility:visible;mso-wrap-style:square" from="26365,41402" to="30937,4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">
                  <v:stroke dashstyle="1 1" endarrow="block" endarrowwidth="narrow" endcap="round"/>
                </v:line>
                <v:shape id="文本框 1737" o:spid="_x0000_s1166" type="#_x0000_t202" style="position:absolute;left:19424;top:40836;width:6858;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">
                  <v:textbox inset="0,0,0,0">
                    <w:txbxContent>
                      <w:p w14:paraId="322E1367" w14:textId="77777777" w:rsidR="00F553A8" w:rsidRDefault="00F553A8">
                        <w:pPr>
                          <w:jc w:val="center"/>
                          <w:rPr>
                            <w:szCs w:val="21"/>
                          </w:rPr>
                        </w:pPr>
                        <w:r>
                          <w:rPr>
                            <w:rFonts w:hint="eastAsia"/>
                            <w:szCs w:val="21"/>
                          </w:rPr>
                          <w:t>冷凝</w:t>
                        </w:r>
                      </w:p>
                    </w:txbxContent>
                  </v:textbox>
                </v:shape>
                <v:line id="直线 1738" o:spid="_x0000_s1167" style="position:absolute;visibility:visible;mso-wrap-style:square" from="34283,42818" to="34290,4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">
                  <v:stroke endarrow="block" endarrowwidth="narrow"/>
                </v:line>
                <v:shape id="文本框 1739" o:spid="_x0000_s1168" type="#_x0000_t202" style="position:absolute;left:30854;top:46780;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">
                  <v:textbox inset="0,0,0,0">
                    <w:txbxContent>
                      <w:p w14:paraId="3DBA765D" w14:textId="77777777" w:rsidR="00F553A8" w:rsidRDefault="00F553A8">
                        <w:pPr>
                          <w:jc w:val="center"/>
                          <w:rPr>
                            <w:szCs w:val="21"/>
                          </w:rPr>
                        </w:pPr>
                        <w:r>
                          <w:rPr>
                            <w:rFonts w:hint="eastAsia"/>
                            <w:szCs w:val="21"/>
                          </w:rPr>
                          <w:t>精制塔</w:t>
                        </w:r>
                      </w:p>
                    </w:txbxContent>
                  </v:textbox>
                </v:shape>
                <v:shape id="文本框 1740" o:spid="_x0000_s1169" type="#_x0000_t202" style="position:absolute;left:30854;top:52724;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">
                  <v:textbox inset="0,0,0,0">
                    <w:txbxContent>
                      <w:p w14:paraId="24356ECE" w14:textId="77777777" w:rsidR="00F553A8" w:rsidRDefault="00F553A8">
                        <w:pPr>
                          <w:jc w:val="center"/>
                          <w:rPr>
                            <w:szCs w:val="21"/>
                          </w:rPr>
                        </w:pPr>
                        <w:r>
                          <w:rPr>
                            <w:rFonts w:hint="eastAsia"/>
                            <w:szCs w:val="21"/>
                          </w:rPr>
                          <w:t>冷凝</w:t>
                        </w:r>
                      </w:p>
                    </w:txbxContent>
                  </v:textbox>
                </v:shape>
                <v:line id="直线 1741" o:spid="_x0000_s1170" style="position:absolute;visibility:visible;mso-wrap-style:square" from="37712,47605" to="54857,47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">
                  <v:stroke endarrow="block" endarrowwidth="narrow"/>
                </v:line>
                <v:line id="直线 1742" o:spid="_x0000_s1171" style="position:absolute;flip:y;visibility:visible;mso-wrap-style:square" from="54864,11976" to="54870,47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"/>
                <v:line id="直线 1743" o:spid="_x0000_s1172" style="position:absolute;flip:x;visibility:visible;mso-wrap-style:square" from="37719,11976" to="54864,11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">
                  <v:stroke endarrow="block" endarrowwidth="narrow"/>
                </v:line>
                <v:line id="直线 1744" o:spid="_x0000_s1173" style="position:absolute;visibility:visible;mso-wrap-style:square" from="34283,54705" to="34290,57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">
                  <v:stroke endarrow="block" endarrowwidth="narrow"/>
                </v:line>
                <v:shape id="文本框 1745" o:spid="_x0000_s1174" type="#_x0000_t202" style="position:absolute;left:25908;top:57867;width:17525;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" strokecolor="white">
                  <v:textbox inset="0,0,0,0">
                    <w:txbxContent>
                      <w:p w14:paraId="56019934" w14:textId="77777777" w:rsidR="00F553A8" w:rsidRDefault="00F553A8">
                        <w:pPr>
                          <w:rPr>
                            <w:szCs w:val="21"/>
                          </w:rPr>
                        </w:pPr>
                        <w:r>
                          <w:rPr>
                            <w:szCs w:val="21"/>
                          </w:rPr>
                          <w:t>产品醋酸乙酯200000(醋酸乙酯198000、乙醇1800、水200)</w:t>
                        </w:r>
                      </w:p>
                    </w:txbxContent>
                  </v:textbox>
                </v:shape>
                <v:line id="直线 1746" o:spid="_x0000_s1175" style="position:absolute;flip:x;visibility:visible;mso-wrap-style:square" from="14852,41827" to="19424,41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">
                  <v:stroke endarrowwidth="narrow"/>
                </v:line>
                <v:line id="直线 1747" o:spid="_x0000_s1176" style="position:absolute;flip:y;visibility:visible;mso-wrap-style:square" from="14852,26911" to="14859,41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">
                  <v:stroke endarrow="block" endarrowwidth="narrow"/>
                </v:line>
                <v:shape id="文本框 1748" o:spid="_x0000_s1177" type="#_x0000_t202" style="position:absolute;left:11423;top:24930;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">
                  <v:textbox inset="0,0,0,0">
                    <w:txbxContent>
                      <w:p w14:paraId="777D9E3A" w14:textId="77777777" w:rsidR="00F553A8" w:rsidRDefault="00F553A8">
                        <w:pPr>
                          <w:jc w:val="center"/>
                          <w:rPr>
                            <w:szCs w:val="21"/>
                          </w:rPr>
                        </w:pPr>
                        <w:r>
                          <w:rPr>
                            <w:rFonts w:hint="eastAsia"/>
                            <w:szCs w:val="21"/>
                          </w:rPr>
                          <w:t>回收塔</w:t>
                        </w:r>
                      </w:p>
                    </w:txbxContent>
                  </v:textbox>
                </v:shape>
                <v:line id="直线 1749" o:spid="_x0000_s1178" style="position:absolute;visibility:visible;mso-wrap-style:square" from="14852,20967" to="14859,24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">
                  <v:stroke dashstyle="1 1" startarrow="block" startarrowwidth="narrow" endarrowwidth="narrow" endcap="round"/>
                </v:line>
                <v:shape id="文本框 1750" o:spid="_x0000_s1179" type="#_x0000_t202" style="position:absolute;left:11423;top:18986;width:68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">
                  <v:textbox inset="0,0,0,0">
                    <w:txbxContent>
                      <w:p w14:paraId="5E028C30" w14:textId="77777777" w:rsidR="00F553A8" w:rsidRDefault="00F553A8">
                        <w:pPr>
                          <w:jc w:val="center"/>
                          <w:rPr>
                            <w:szCs w:val="21"/>
                          </w:rPr>
                        </w:pPr>
                        <w:r>
                          <w:rPr>
                            <w:rFonts w:hint="eastAsia"/>
                            <w:szCs w:val="21"/>
                          </w:rPr>
                          <w:t>冷凝</w:t>
                        </w:r>
                      </w:p>
                    </w:txbxContent>
                  </v:textbox>
                </v:shape>
                <v:line id="直线 1751" o:spid="_x0000_s1180" style="position:absolute;visibility:visible;mso-wrap-style:square" from="14859,11976" to="30861,11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">
                  <v:stroke endarrow="block" endarrowwidth="narrow"/>
                </v:line>
                <v:shape id="文本框 1752" o:spid="_x0000_s1181" type="#_x0000_t202" style="position:absolute;left:457;top:22091;width:9315;height: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" strokecolor="white">
                  <v:textbox inset="0,0,0,0">
                    <w:txbxContent>
                      <w:p w14:paraId="5F0D6BA8" w14:textId="77777777" w:rsidR="00F553A8" w:rsidRDefault="00F553A8">
                        <w:pPr>
                          <w:rPr>
                            <w:szCs w:val="21"/>
                          </w:rPr>
                        </w:pPr>
                        <w:r>
                          <w:rPr>
                            <w:szCs w:val="21"/>
                          </w:rPr>
                          <w:t>废水W</w:t>
                        </w:r>
                        <w:r>
                          <w:rPr>
                            <w:szCs w:val="21"/>
                            <w:vertAlign w:val="subscript"/>
                          </w:rPr>
                          <w:t>2-1</w:t>
                        </w:r>
                        <w:r>
                          <w:rPr>
                            <w:szCs w:val="21"/>
                          </w:rPr>
                          <w:t>50091</w:t>
                        </w:r>
                      </w:p>
                      <w:p w14:paraId="20E80292" w14:textId="77777777" w:rsidR="00F553A8" w:rsidRDefault="00F553A8">
                        <w:pPr>
                          <w:rPr>
                            <w:szCs w:val="21"/>
                          </w:rPr>
                        </w:pPr>
                        <w:r>
                          <w:rPr>
                            <w:szCs w:val="21"/>
                          </w:rPr>
                          <w:t>(水49799、乙醇59、醋酸174、醋酸乙酯59)</w:t>
                        </w:r>
                      </w:p>
                    </w:txbxContent>
                  </v:textbox>
                </v:shape>
                <v:line id="直线 1753" o:spid="_x0000_s1182" style="position:absolute;flip:x;visibility:visible;mso-wrap-style:square" from="37719,32912" to="54864,32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">
                  <v:stroke startarrow="block" startarrowwidth="narrow" endarrowwidth="narrow"/>
                </v:line>
                <v:line id="直线 1754" o:spid="_x0000_s1183" style="position:absolute;flip:x y;visibility:visible;mso-wrap-style:square" from="9144,25876" to="11430,25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">
                  <v:stroke endarrow="block" endarrowwidth="narrow"/>
                </v:line>
                <v:shape id="文本框 1755" o:spid="_x0000_s1184" type="#_x0000_t202" style="position:absolute;left:2286;top:35191;width:12192;height:6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" strokecolor="white">
                  <v:textbox inset="0,0,0,0">
                    <w:txbxContent>
                      <w:p w14:paraId="0043EE9F" w14:textId="77777777" w:rsidR="00F553A8" w:rsidRDefault="00F553A8">
                        <w:pPr>
                          <w:jc w:val="center"/>
                          <w:rPr>
                            <w:szCs w:val="21"/>
                          </w:rPr>
                        </w:pPr>
                        <w:r>
                          <w:rPr>
                            <w:szCs w:val="21"/>
                          </w:rPr>
                          <w:t>塔顶液回流18343</w:t>
                        </w:r>
                      </w:p>
                      <w:p w14:paraId="4925E915" w14:textId="77777777" w:rsidR="00F553A8" w:rsidRDefault="00F553A8">
                        <w:pPr>
                          <w:jc w:val="center"/>
                          <w:rPr>
                            <w:szCs w:val="21"/>
                          </w:rPr>
                        </w:pPr>
                        <w:r>
                          <w:rPr>
                            <w:szCs w:val="21"/>
                          </w:rPr>
                          <w:t>(乙醇1883、醋酸乙酯1568、水14892)</w:t>
                        </w:r>
                      </w:p>
                    </w:txbxContent>
                  </v:textbox>
                </v:shape>
                <v:shape id="文本框 1756" o:spid="_x0000_s1185" type="#_x0000_t202" style="position:absolute;left:44196;top:12134;width:5334;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" strokecolor="white">
                  <v:textbox inset="0,0,0,0">
                    <w:txbxContent>
                      <w:p w14:paraId="1201766C" w14:textId="77777777" w:rsidR="00F553A8" w:rsidRDefault="00F553A8">
                        <w:pPr>
                          <w:rPr>
                            <w:szCs w:val="21"/>
                          </w:rPr>
                        </w:pPr>
                        <w:r>
                          <w:rPr>
                            <w:szCs w:val="21"/>
                          </w:rPr>
                          <w:t>448092</w:t>
                        </w:r>
                      </w:p>
                    </w:txbxContent>
                  </v:textbox>
                </v:shape>
                <v:line id="直线 1757" o:spid="_x0000_s1186" style="position:absolute;visibility:visible;mso-wrap-style:square" from="16459,20967" to="16465,24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">
                  <v:stroke startarrowwidth="narrow" endarrow="block" endarrowwidth="narrow"/>
                </v:line>
                <v:line id="直线 1758" o:spid="_x0000_s1187" style="position:absolute;flip:x;visibility:visible;mso-wrap-style:square" from="26365,42437" to="30937,4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">
                  <v:stroke startarrow="block" startarrowwidth="narrow" endarrowwidth="narrow"/>
                </v:line>
                <v:line id="直线 1759" o:spid="_x0000_s1188" style="position:absolute;visibility:visible;mso-wrap-style:square" from="34270,48742" to="34277,52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">
                  <v:stroke dashstyle="1 1" endarrow="block" endarrowwidth="narrow" endcap="round"/>
                </v:line>
                <v:line id="直线 1760" o:spid="_x0000_s1189" style="position:absolute;visibility:visible;mso-wrap-style:square" from="35509,48742" to="35515,52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">
                  <v:stroke startarrow="block" startarrowwidth="narrow" endarrowwidth="narrow"/>
                </v:line>
                <v:line id="直线 1761" o:spid="_x0000_s1190" style="position:absolute;visibility:visible;mso-wrap-style:square" from="35509,22015" to="35515,25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">
                  <v:stroke startarrow="block" startarrowwidth="narrow" endarrowwidth="narrow"/>
                </v:line>
                <w10:anchorlock/>
              </v:group>
            </w:pict>
          </mc:Fallback>
        </mc:AlternateContent>
      </w:r>
    </w:p>
    <w:p w14:paraId="5D28B53F"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图</w:t>
      </w:r>
      <w:r>
        <w:rPr>
          <w:rFonts w:ascii="Times New Roman" w:eastAsia="宋体" w:hAnsi="Times New Roman" w:cs="Times New Roman"/>
          <w:b/>
          <w:bCs/>
          <w:szCs w:val="21"/>
        </w:rPr>
        <w:t xml:space="preserve">3.2-2  </w:t>
      </w:r>
      <w:r>
        <w:rPr>
          <w:rFonts w:ascii="Times New Roman" w:eastAsia="宋体" w:hAnsi="Times New Roman" w:cs="Times New Roman"/>
          <w:b/>
          <w:bCs/>
          <w:szCs w:val="21"/>
        </w:rPr>
        <w:t>醋酸乙酯生产线物料平衡图</w:t>
      </w:r>
      <w:r>
        <w:rPr>
          <w:rFonts w:ascii="Times New Roman" w:eastAsia="宋体" w:hAnsi="Times New Roman" w:cs="Times New Roman"/>
          <w:b/>
          <w:bCs/>
          <w:szCs w:val="21"/>
        </w:rPr>
        <w:t>(t/a)</w:t>
      </w:r>
    </w:p>
    <w:p w14:paraId="7DBE0B93"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乙醛生产线</w:t>
      </w:r>
    </w:p>
    <w:p w14:paraId="7ECEF07F" w14:textId="77777777" w:rsidR="002133E3" w:rsidRDefault="00C22CFA">
      <w:pPr>
        <w:spacing w:line="520" w:lineRule="exact"/>
        <w:ind w:firstLineChars="196" w:firstLine="551"/>
        <w:rPr>
          <w:rFonts w:ascii="Times New Roman" w:eastAsia="宋体" w:hAnsi="Times New Roman" w:cs="Times New Roman"/>
          <w:b/>
          <w:bCs/>
          <w:sz w:val="28"/>
          <w:szCs w:val="28"/>
        </w:rPr>
      </w:pPr>
      <w:r>
        <w:rPr>
          <w:rFonts w:ascii="宋体" w:eastAsia="宋体" w:hAnsi="宋体" w:cs="宋体" w:hint="eastAsia"/>
          <w:b/>
          <w:bCs/>
          <w:sz w:val="28"/>
          <w:szCs w:val="28"/>
        </w:rPr>
        <w:t>⑴</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工艺原理</w:t>
      </w:r>
    </w:p>
    <w:p w14:paraId="63ED4021"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本项目采用乙醇氧化法生产乙醛，以酒精为原料，经气化后与空气在电解银催化剂作用下，反应制得乙醛。</w:t>
      </w:r>
    </w:p>
    <w:p w14:paraId="1FC225E8" w14:textId="77777777" w:rsidR="002133E3" w:rsidRDefault="00C22CFA">
      <w:pPr>
        <w:spacing w:line="52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⑵</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化学反应式</w:t>
      </w:r>
    </w:p>
    <w:p w14:paraId="7634E8AE"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①</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主反应</w:t>
      </w:r>
      <w:r>
        <w:rPr>
          <w:rFonts w:ascii="Times New Roman" w:eastAsia="宋体" w:hAnsi="Times New Roman" w:cs="Times New Roman"/>
          <w:sz w:val="28"/>
          <w:szCs w:val="28"/>
        </w:rPr>
        <w:t>(</w:t>
      </w:r>
      <w:r>
        <w:rPr>
          <w:rFonts w:ascii="Times New Roman" w:eastAsia="宋体" w:hAnsi="Times New Roman" w:cs="Times New Roman"/>
          <w:sz w:val="28"/>
          <w:szCs w:val="28"/>
        </w:rPr>
        <w:t>反应选择率</w:t>
      </w:r>
      <w:r>
        <w:rPr>
          <w:rFonts w:ascii="Times New Roman" w:eastAsia="宋体" w:hAnsi="Times New Roman" w:cs="Times New Roman"/>
          <w:sz w:val="28"/>
          <w:szCs w:val="28"/>
        </w:rPr>
        <w:t>99%)</w:t>
      </w:r>
    </w:p>
    <w:p w14:paraId="66CF4C47" w14:textId="77777777" w:rsidR="002133E3" w:rsidRDefault="00C22CFA">
      <w:pPr>
        <w:spacing w:afterLines="50" w:after="156"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46464" behindDoc="0" locked="0" layoutInCell="1" allowOverlap="1" wp14:anchorId="3349E464" wp14:editId="34CBAAC5">
                <wp:simplePos x="0" y="0"/>
                <wp:positionH relativeFrom="column">
                  <wp:posOffset>2819400</wp:posOffset>
                </wp:positionH>
                <wp:positionV relativeFrom="paragraph">
                  <wp:posOffset>-1905</wp:posOffset>
                </wp:positionV>
                <wp:extent cx="533400" cy="189230"/>
                <wp:effectExtent l="9525" t="7620" r="9525" b="12700"/>
                <wp:wrapNone/>
                <wp:docPr id="414" name="文本框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89230"/>
                        </a:xfrm>
                        <a:prstGeom prst="rect">
                          <a:avLst/>
                        </a:prstGeom>
                        <a:solidFill>
                          <a:srgbClr val="FFFFFF"/>
                        </a:solidFill>
                        <a:ln w="9525" cmpd="sng">
                          <a:solidFill>
                            <a:srgbClr val="FFFFFF"/>
                          </a:solidFill>
                          <a:miter lim="800000"/>
                        </a:ln>
                      </wps:spPr>
                      <wps:txbx>
                        <w:txbxContent>
                          <w:p w14:paraId="7C11F599" w14:textId="77777777" w:rsidR="00F553A8" w:rsidRDefault="00F553A8">
                            <w:pPr>
                              <w:rPr>
                                <w:rFonts w:ascii="宋体" w:hAnsi="宋体"/>
                              </w:rPr>
                            </w:pPr>
                            <w:r>
                              <w:rPr>
                                <w:rFonts w:ascii="宋体" w:hAnsi="宋体" w:hint="eastAsia"/>
                              </w:rPr>
                              <w:t>电解银</w:t>
                            </w:r>
                          </w:p>
                        </w:txbxContent>
                      </wps:txbx>
                      <wps:bodyPr rot="0" vert="horz" wrap="square" lIns="0" tIns="0" rIns="0" bIns="0" anchor="t" anchorCtr="0" upright="1">
                        <a:noAutofit/>
                      </wps:bodyPr>
                    </wps:wsp>
                  </a:graphicData>
                </a:graphic>
              </wp:anchor>
            </w:drawing>
          </mc:Choice>
          <mc:Fallback>
            <w:pict>
              <v:shape w14:anchorId="3349E464" id="文本框 414" o:spid="_x0000_s1191" type="#_x0000_t202" style="position:absolute;left:0;text-align:left;margin-left:222pt;margin-top:-.15pt;width:42pt;height:14.9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" strokecolor="white">
                <v:textbox inset="0,0,0,0">
                  <w:txbxContent>
                    <w:p w14:paraId="7C11F599" w14:textId="77777777" w:rsidR="00F553A8" w:rsidRDefault="00F553A8">
                      <w:pPr>
                        <w:rPr>
                          <w:rFonts w:ascii="宋体" w:hAnsi="宋体"/>
                        </w:rPr>
                      </w:pPr>
                      <w:r>
                        <w:rPr>
                          <w:rFonts w:ascii="宋体" w:hAnsi="宋体" w:hint="eastAsia"/>
                        </w:rPr>
                        <w:t>电解银</w:t>
                      </w:r>
                    </w:p>
                  </w:txbxContent>
                </v:textbox>
              </v:shap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47488" behindDoc="0" locked="0" layoutInCell="1" allowOverlap="1" wp14:anchorId="04630443" wp14:editId="65A736C2">
                <wp:simplePos x="0" y="0"/>
                <wp:positionH relativeFrom="column">
                  <wp:posOffset>2743200</wp:posOffset>
                </wp:positionH>
                <wp:positionV relativeFrom="paragraph">
                  <wp:posOffset>215900</wp:posOffset>
                </wp:positionV>
                <wp:extent cx="609600" cy="0"/>
                <wp:effectExtent l="9525" t="44450" r="19050" b="41275"/>
                <wp:wrapNone/>
                <wp:docPr id="413" name="直接连接符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0"/>
                        </a:xfrm>
                        <a:prstGeom prst="line">
                          <a:avLst/>
                        </a:prstGeom>
                        <a:noFill/>
                        <a:ln w="9525" cmpd="sng">
                          <a:solidFill>
                            <a:srgbClr val="000000"/>
                          </a:solidFill>
                          <a:round/>
                          <a:tailEnd type="triangle" w="sm" len="med"/>
                        </a:ln>
                      </wps:spPr>
                      <wps:bodyPr/>
                    </wps:wsp>
                  </a:graphicData>
                </a:graphic>
              </wp:anchor>
            </w:drawing>
          </mc:Choice>
          <mc:Fallback>
            <w:pict>
              <v:line w14:anchorId="3998C45D" id="直接连接符 413" o:spid="_x0000_s1026" style="position:absolute;left:0;text-align:left;z-index:251647488;visibility:visible;mso-wrap-style:square;mso-wrap-distance-left:9pt;mso-wrap-distance-top:0;mso-wrap-distance-right:9pt;mso-wrap-distance-bottom:0;mso-position-horizontal:absolute;mso-position-horizontal-relative:text;mso-position-vertical:absolute;mso-position-vertical-relative:text" from="3in,17pt" to="264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">
                <v:stroke endarrow="block" endarrowwidth="narrow"/>
              </v:line>
            </w:pict>
          </mc:Fallback>
        </mc:AlternateContent>
      </w:r>
      <w:r>
        <w:rPr>
          <w:rFonts w:ascii="Times New Roman" w:eastAsia="宋体" w:hAnsi="Times New Roman" w:cs="Times New Roman"/>
          <w:sz w:val="28"/>
          <w:szCs w:val="28"/>
        </w:rPr>
        <w:t>CH</w:t>
      </w:r>
      <w:r>
        <w:rPr>
          <w:rFonts w:ascii="Times New Roman" w:eastAsia="宋体" w:hAnsi="Times New Roman" w:cs="Times New Roman"/>
          <w:sz w:val="28"/>
          <w:szCs w:val="28"/>
          <w:vertAlign w:val="subscript"/>
        </w:rPr>
        <w:t>3</w:t>
      </w:r>
      <w:r>
        <w:rPr>
          <w:rFonts w:ascii="Times New Roman" w:eastAsia="宋体" w:hAnsi="Times New Roman" w:cs="Times New Roman"/>
          <w:sz w:val="28"/>
          <w:szCs w:val="28"/>
        </w:rPr>
        <w:t>CH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OH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w:t>
      </w:r>
      <w:r>
        <w:rPr>
          <w:rFonts w:ascii="Times New Roman" w:eastAsia="宋体" w:hAnsi="Times New Roman" w:cs="Times New Roman"/>
          <w:position w:val="-24"/>
          <w:sz w:val="28"/>
          <w:szCs w:val="28"/>
        </w:rPr>
        <w:object w:dxaOrig="258" w:dyaOrig="611" w14:anchorId="41C9AC41">
          <v:shape id="_x0000_i1026" type="#_x0000_t75" style="width:12.9pt;height:30.55pt" o:ole="">
            <v:imagedata r:id="rId17" o:title=""/>
          </v:shape>
          <o:OLEObject Type="Embed" ProgID="Equation.3" ShapeID="_x0000_i1026" DrawAspect="Content" ObjectID="_1687345252" r:id="rId18"/>
        </w:objec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CH</w:t>
      </w:r>
      <w:r>
        <w:rPr>
          <w:rFonts w:ascii="Times New Roman" w:eastAsia="宋体" w:hAnsi="Times New Roman" w:cs="Times New Roman"/>
          <w:sz w:val="28"/>
          <w:szCs w:val="28"/>
          <w:vertAlign w:val="subscript"/>
        </w:rPr>
        <w:t>3</w:t>
      </w:r>
      <w:r>
        <w:rPr>
          <w:rFonts w:ascii="Times New Roman" w:eastAsia="宋体" w:hAnsi="Times New Roman" w:cs="Times New Roman"/>
          <w:sz w:val="28"/>
          <w:szCs w:val="28"/>
        </w:rPr>
        <w:t xml:space="preserve">CHO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p>
    <w:p w14:paraId="2E897E5D" w14:textId="77777777" w:rsidR="002133E3" w:rsidRDefault="00C22CFA">
      <w:pPr>
        <w:spacing w:afterLines="50" w:after="156" w:line="520" w:lineRule="exact"/>
        <w:ind w:firstLineChars="450" w:firstLine="1260"/>
        <w:rPr>
          <w:rFonts w:ascii="Times New Roman" w:eastAsia="宋体" w:hAnsi="Times New Roman" w:cs="Times New Roman"/>
          <w:sz w:val="28"/>
          <w:szCs w:val="28"/>
        </w:rPr>
      </w:pP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乙醇</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乙醛</w:t>
      </w:r>
    </w:p>
    <w:p w14:paraId="6BC1770C"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②</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副反应</w:t>
      </w:r>
      <w:r>
        <w:rPr>
          <w:rFonts w:ascii="Times New Roman" w:eastAsia="宋体" w:hAnsi="Times New Roman" w:cs="Times New Roman"/>
          <w:sz w:val="28"/>
          <w:szCs w:val="28"/>
        </w:rPr>
        <w:t>(</w:t>
      </w:r>
      <w:r>
        <w:rPr>
          <w:rFonts w:ascii="Times New Roman" w:eastAsia="宋体" w:hAnsi="Times New Roman" w:cs="Times New Roman"/>
          <w:sz w:val="28"/>
          <w:szCs w:val="28"/>
        </w:rPr>
        <w:t>反应选择率</w:t>
      </w:r>
      <w:r>
        <w:rPr>
          <w:rFonts w:ascii="Times New Roman" w:eastAsia="宋体" w:hAnsi="Times New Roman" w:cs="Times New Roman"/>
          <w:sz w:val="28"/>
          <w:szCs w:val="28"/>
        </w:rPr>
        <w:t>1%)</w:t>
      </w:r>
    </w:p>
    <w:p w14:paraId="7800E936" w14:textId="77777777" w:rsidR="002133E3" w:rsidRDefault="00C22CFA">
      <w:pPr>
        <w:spacing w:afterLines="50" w:after="156"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48512" behindDoc="0" locked="0" layoutInCell="1" allowOverlap="1" wp14:anchorId="5AECA810" wp14:editId="43F843C1">
                <wp:simplePos x="0" y="0"/>
                <wp:positionH relativeFrom="column">
                  <wp:posOffset>2819400</wp:posOffset>
                </wp:positionH>
                <wp:positionV relativeFrom="paragraph">
                  <wp:posOffset>-1905</wp:posOffset>
                </wp:positionV>
                <wp:extent cx="533400" cy="189230"/>
                <wp:effectExtent l="9525" t="7620" r="9525" b="12700"/>
                <wp:wrapNone/>
                <wp:docPr id="412" name="文本框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89230"/>
                        </a:xfrm>
                        <a:prstGeom prst="rect">
                          <a:avLst/>
                        </a:prstGeom>
                        <a:solidFill>
                          <a:srgbClr val="FFFFFF"/>
                        </a:solidFill>
                        <a:ln w="9525" cmpd="sng">
                          <a:solidFill>
                            <a:srgbClr val="FFFFFF"/>
                          </a:solidFill>
                          <a:miter lim="800000"/>
                        </a:ln>
                      </wps:spPr>
                      <wps:txbx>
                        <w:txbxContent>
                          <w:p w14:paraId="1C9FB2F2" w14:textId="77777777" w:rsidR="00F553A8" w:rsidRDefault="00F553A8">
                            <w:pPr>
                              <w:rPr>
                                <w:rFonts w:ascii="宋体" w:hAnsi="宋体"/>
                              </w:rPr>
                            </w:pPr>
                            <w:r>
                              <w:rPr>
                                <w:rFonts w:ascii="宋体" w:hAnsi="宋体" w:hint="eastAsia"/>
                              </w:rPr>
                              <w:t>电解银</w:t>
                            </w:r>
                          </w:p>
                        </w:txbxContent>
                      </wps:txbx>
                      <wps:bodyPr rot="0" vert="horz" wrap="square" lIns="0" tIns="0" rIns="0" bIns="0" anchor="t" anchorCtr="0" upright="1">
                        <a:noAutofit/>
                      </wps:bodyPr>
                    </wps:wsp>
                  </a:graphicData>
                </a:graphic>
              </wp:anchor>
            </w:drawing>
          </mc:Choice>
          <mc:Fallback>
            <w:pict>
              <v:shape w14:anchorId="5AECA810" id="文本框 412" o:spid="_x0000_s1192" type="#_x0000_t202" style="position:absolute;left:0;text-align:left;margin-left:222pt;margin-top:-.15pt;width:42pt;height:14.9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" strokecolor="white">
                <v:textbox inset="0,0,0,0">
                  <w:txbxContent>
                    <w:p w14:paraId="1C9FB2F2" w14:textId="77777777" w:rsidR="00F553A8" w:rsidRDefault="00F553A8">
                      <w:pPr>
                        <w:rPr>
                          <w:rFonts w:ascii="宋体" w:hAnsi="宋体"/>
                        </w:rPr>
                      </w:pPr>
                      <w:r>
                        <w:rPr>
                          <w:rFonts w:ascii="宋体" w:hAnsi="宋体" w:hint="eastAsia"/>
                        </w:rPr>
                        <w:t>电解银</w:t>
                      </w:r>
                    </w:p>
                  </w:txbxContent>
                </v:textbox>
              </v:shap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49536" behindDoc="0" locked="0" layoutInCell="1" allowOverlap="1" wp14:anchorId="264C2A11" wp14:editId="52F697AE">
                <wp:simplePos x="0" y="0"/>
                <wp:positionH relativeFrom="column">
                  <wp:posOffset>2743200</wp:posOffset>
                </wp:positionH>
                <wp:positionV relativeFrom="paragraph">
                  <wp:posOffset>215900</wp:posOffset>
                </wp:positionV>
                <wp:extent cx="609600" cy="0"/>
                <wp:effectExtent l="9525" t="44450" r="19050" b="41275"/>
                <wp:wrapNone/>
                <wp:docPr id="411" name="直接连接符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0"/>
                        </a:xfrm>
                        <a:prstGeom prst="line">
                          <a:avLst/>
                        </a:prstGeom>
                        <a:noFill/>
                        <a:ln w="9525" cmpd="sng">
                          <a:solidFill>
                            <a:srgbClr val="000000"/>
                          </a:solidFill>
                          <a:round/>
                          <a:tailEnd type="triangle" w="sm" len="med"/>
                        </a:ln>
                      </wps:spPr>
                      <wps:bodyPr/>
                    </wps:wsp>
                  </a:graphicData>
                </a:graphic>
              </wp:anchor>
            </w:drawing>
          </mc:Choice>
          <mc:Fallback>
            <w:pict>
              <v:line w14:anchorId="6EAB8DAE" id="直接连接符 411" o:spid="_x0000_s1026" style="position:absolute;left:0;text-align:left;z-index:251649536;visibility:visible;mso-wrap-style:square;mso-wrap-distance-left:9pt;mso-wrap-distance-top:0;mso-wrap-distance-right:9pt;mso-wrap-distance-bottom:0;mso-position-horizontal:absolute;mso-position-horizontal-relative:text;mso-position-vertical:absolute;mso-position-vertical-relative:text" from="3in,17pt" to="264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">
                <v:stroke endarrow="block" endarrowwidth="narrow"/>
              </v:line>
            </w:pict>
          </mc:Fallback>
        </mc:AlternateContent>
      </w:r>
      <w:r>
        <w:rPr>
          <w:rFonts w:ascii="Times New Roman" w:eastAsia="宋体" w:hAnsi="Times New Roman" w:cs="Times New Roman"/>
          <w:sz w:val="28"/>
          <w:szCs w:val="28"/>
        </w:rPr>
        <w:t>CH</w:t>
      </w:r>
      <w:r>
        <w:rPr>
          <w:rFonts w:ascii="Times New Roman" w:eastAsia="宋体" w:hAnsi="Times New Roman" w:cs="Times New Roman"/>
          <w:sz w:val="28"/>
          <w:szCs w:val="28"/>
          <w:vertAlign w:val="subscript"/>
        </w:rPr>
        <w:t>3</w:t>
      </w:r>
      <w:r>
        <w:rPr>
          <w:rFonts w:ascii="Times New Roman" w:eastAsia="宋体" w:hAnsi="Times New Roman" w:cs="Times New Roman"/>
          <w:sz w:val="28"/>
          <w:szCs w:val="28"/>
        </w:rPr>
        <w:t>CH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OH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CH</w:t>
      </w:r>
      <w:r>
        <w:rPr>
          <w:rFonts w:ascii="Times New Roman" w:eastAsia="宋体" w:hAnsi="Times New Roman" w:cs="Times New Roman"/>
          <w:sz w:val="28"/>
          <w:szCs w:val="28"/>
          <w:vertAlign w:val="subscript"/>
        </w:rPr>
        <w:t>3</w:t>
      </w:r>
      <w:r>
        <w:rPr>
          <w:rFonts w:ascii="Times New Roman" w:eastAsia="宋体" w:hAnsi="Times New Roman" w:cs="Times New Roman"/>
          <w:sz w:val="28"/>
          <w:szCs w:val="28"/>
        </w:rPr>
        <w:t xml:space="preserve">COOH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p>
    <w:p w14:paraId="35A0BD1D" w14:textId="77777777" w:rsidR="002133E3" w:rsidRDefault="00C22CFA">
      <w:pPr>
        <w:spacing w:afterLines="50" w:after="156" w:line="520" w:lineRule="exact"/>
        <w:ind w:firstLineChars="450" w:firstLine="1260"/>
        <w:rPr>
          <w:rFonts w:ascii="Times New Roman" w:eastAsia="宋体" w:hAnsi="Times New Roman" w:cs="Times New Roman"/>
          <w:sz w:val="28"/>
          <w:szCs w:val="28"/>
        </w:rPr>
      </w:pP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乙醇</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醋酸</w:t>
      </w:r>
    </w:p>
    <w:p w14:paraId="7283DB26" w14:textId="77777777" w:rsidR="002133E3" w:rsidRDefault="00C22CFA">
      <w:pPr>
        <w:spacing w:line="52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⑶</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工艺流程及说明</w:t>
      </w:r>
    </w:p>
    <w:p w14:paraId="477B23EF"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项目乙醛生产工艺流程及产污环节见图</w:t>
      </w:r>
      <w:r>
        <w:rPr>
          <w:rFonts w:ascii="Times New Roman" w:eastAsia="宋体" w:hAnsi="Times New Roman" w:cs="Times New Roman"/>
          <w:kern w:val="0"/>
          <w:sz w:val="28"/>
          <w:szCs w:val="28"/>
        </w:rPr>
        <w:t>3.2-3</w:t>
      </w:r>
      <w:r>
        <w:rPr>
          <w:rFonts w:ascii="Times New Roman" w:eastAsia="宋体" w:hAnsi="Times New Roman" w:cs="Times New Roman"/>
          <w:sz w:val="28"/>
          <w:szCs w:val="28"/>
        </w:rPr>
        <w:t>。</w:t>
      </w:r>
    </w:p>
    <w:p w14:paraId="5A1E6DA7" w14:textId="77777777" w:rsidR="002133E3" w:rsidRDefault="00C22CFA">
      <w:pPr>
        <w:widowControl/>
        <w:snapToGrid w:val="0"/>
        <w:jc w:val="center"/>
        <w:rPr>
          <w:rFonts w:ascii="Times New Roman" w:eastAsia="宋体" w:hAnsi="Times New Roman" w:cs="Times New Roman"/>
          <w:b/>
          <w:kern w:val="0"/>
          <w:sz w:val="24"/>
          <w:szCs w:val="20"/>
        </w:rPr>
      </w:pPr>
      <w:r>
        <w:rPr>
          <w:rFonts w:ascii="Times New Roman" w:eastAsia="宋体" w:hAnsi="Times New Roman" w:cs="Times New Roman"/>
          <w:noProof/>
          <w:kern w:val="0"/>
          <w:sz w:val="28"/>
          <w:szCs w:val="28"/>
        </w:rPr>
        <mc:AlternateContent>
          <mc:Choice Requires="wpc">
            <w:drawing>
              <wp:inline distT="0" distB="0" distL="0" distR="0" wp14:anchorId="5925CF51" wp14:editId="1A8F3FDA">
                <wp:extent cx="4975860" cy="4554220"/>
                <wp:effectExtent l="0" t="0" r="0" b="17780"/>
                <wp:docPr id="402" name="画布 4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1" name="文本框 1807"/>
                        <wps:cNvSpPr txBox="1">
                          <a:spLocks noChangeArrowheads="1"/>
                        </wps:cNvSpPr>
                        <wps:spPr bwMode="auto">
                          <a:xfrm>
                            <a:off x="3544570" y="1534795"/>
                            <a:ext cx="830580" cy="207010"/>
                          </a:xfrm>
                          <a:prstGeom prst="rect">
                            <a:avLst/>
                          </a:prstGeom>
                          <a:solidFill>
                            <a:srgbClr val="FFFFFF"/>
                          </a:solidFill>
                          <a:ln w="9525" cmpd="sng">
                            <a:solidFill>
                              <a:srgbClr val="FFFFFF"/>
                            </a:solidFill>
                            <a:miter lim="800000"/>
                          </a:ln>
                        </wps:spPr>
                        <wps:txbx>
                          <w:txbxContent>
                            <w:p w14:paraId="5BE2145D" w14:textId="77777777" w:rsidR="00F553A8" w:rsidRDefault="00F553A8">
                              <w:pPr>
                                <w:rPr>
                                  <w:szCs w:val="21"/>
                                </w:rPr>
                              </w:pPr>
                              <w:r>
                                <w:rPr>
                                  <w:szCs w:val="21"/>
                                </w:rPr>
                                <w:t>电解银0.88</w:t>
                              </w:r>
                            </w:p>
                          </w:txbxContent>
                        </wps:txbx>
                        <wps:bodyPr rot="0" vert="horz" wrap="square" lIns="0" tIns="0" rIns="0" bIns="0" anchor="t" anchorCtr="0" upright="1">
                          <a:noAutofit/>
                        </wps:bodyPr>
                      </wps:wsp>
                      <wps:wsp>
                        <wps:cNvPr id="362" name="文本框 1808"/>
                        <wps:cNvSpPr txBox="1">
                          <a:spLocks noChangeArrowheads="1"/>
                        </wps:cNvSpPr>
                        <wps:spPr bwMode="auto">
                          <a:xfrm>
                            <a:off x="2546350" y="1521461"/>
                            <a:ext cx="617220" cy="427354"/>
                          </a:xfrm>
                          <a:prstGeom prst="rect">
                            <a:avLst/>
                          </a:prstGeom>
                          <a:solidFill>
                            <a:srgbClr val="FFFFFF"/>
                          </a:solidFill>
                          <a:ln w="9525" cmpd="sng">
                            <a:solidFill>
                              <a:srgbClr val="000000"/>
                            </a:solidFill>
                            <a:miter lim="800000"/>
                          </a:ln>
                        </wps:spPr>
                        <wps:txbx>
                          <w:txbxContent>
                            <w:p w14:paraId="4A6ECA8F" w14:textId="77777777" w:rsidR="00F553A8" w:rsidRDefault="00F553A8">
                              <w:pPr>
                                <w:adjustRightInd w:val="0"/>
                                <w:snapToGrid w:val="0"/>
                                <w:jc w:val="center"/>
                                <w:rPr>
                                  <w:szCs w:val="21"/>
                                </w:rPr>
                              </w:pPr>
                              <w:r>
                                <w:rPr>
                                  <w:szCs w:val="21"/>
                                </w:rPr>
                                <w:t>氧化</w:t>
                              </w:r>
                            </w:p>
                          </w:txbxContent>
                        </wps:txbx>
                        <wps:bodyPr rot="0" vert="horz" wrap="square" lIns="0" tIns="144000" rIns="0" bIns="0" anchor="t" anchorCtr="0" upright="1">
                          <a:noAutofit/>
                        </wps:bodyPr>
                      </wps:wsp>
                      <wps:wsp>
                        <wps:cNvPr id="363" name="直线 1809"/>
                        <wps:cNvCnPr>
                          <a:cxnSpLocks noChangeShapeType="1"/>
                        </wps:cNvCnPr>
                        <wps:spPr bwMode="auto">
                          <a:xfrm>
                            <a:off x="2858135" y="990600"/>
                            <a:ext cx="1270" cy="530860"/>
                          </a:xfrm>
                          <a:prstGeom prst="line">
                            <a:avLst/>
                          </a:prstGeom>
                          <a:noFill/>
                          <a:ln w="9525" cap="rnd" cmpd="sng">
                            <a:solidFill>
                              <a:srgbClr val="000000"/>
                            </a:solidFill>
                            <a:prstDash val="sysDot"/>
                            <a:round/>
                            <a:tailEnd type="triangle" w="sm" len="med"/>
                          </a:ln>
                        </wps:spPr>
                        <wps:bodyPr/>
                      </wps:wsp>
                      <wps:wsp>
                        <wps:cNvPr id="364" name="直线 1810"/>
                        <wps:cNvCnPr>
                          <a:cxnSpLocks noChangeShapeType="1"/>
                        </wps:cNvCnPr>
                        <wps:spPr bwMode="auto">
                          <a:xfrm>
                            <a:off x="2858770" y="1957705"/>
                            <a:ext cx="635" cy="617855"/>
                          </a:xfrm>
                          <a:prstGeom prst="line">
                            <a:avLst/>
                          </a:prstGeom>
                          <a:noFill/>
                          <a:ln w="9525" cap="rnd" cmpd="sng">
                            <a:solidFill>
                              <a:srgbClr val="000000"/>
                            </a:solidFill>
                            <a:prstDash val="sysDot"/>
                            <a:round/>
                            <a:tailEnd type="triangle" w="sm" len="med"/>
                          </a:ln>
                        </wps:spPr>
                        <wps:bodyPr/>
                      </wps:wsp>
                      <wps:wsp>
                        <wps:cNvPr id="365" name="文本框 1811"/>
                        <wps:cNvSpPr txBox="1">
                          <a:spLocks noChangeArrowheads="1"/>
                        </wps:cNvSpPr>
                        <wps:spPr bwMode="auto">
                          <a:xfrm>
                            <a:off x="2553970" y="2575560"/>
                            <a:ext cx="609600" cy="207010"/>
                          </a:xfrm>
                          <a:prstGeom prst="rect">
                            <a:avLst/>
                          </a:prstGeom>
                          <a:solidFill>
                            <a:srgbClr val="FFFFFF"/>
                          </a:solidFill>
                          <a:ln w="9525" cmpd="sng">
                            <a:solidFill>
                              <a:srgbClr val="000000"/>
                            </a:solidFill>
                            <a:miter lim="800000"/>
                          </a:ln>
                        </wps:spPr>
                        <wps:txbx>
                          <w:txbxContent>
                            <w:p w14:paraId="6E1EC0BF" w14:textId="77777777" w:rsidR="00F553A8" w:rsidRDefault="00F553A8">
                              <w:pPr>
                                <w:jc w:val="center"/>
                                <w:rPr>
                                  <w:szCs w:val="21"/>
                                </w:rPr>
                              </w:pPr>
                              <w:r>
                                <w:rPr>
                                  <w:szCs w:val="21"/>
                                </w:rPr>
                                <w:t>洗涤</w:t>
                              </w:r>
                            </w:p>
                          </w:txbxContent>
                        </wps:txbx>
                        <wps:bodyPr rot="0" vert="horz" wrap="square" lIns="0" tIns="0" rIns="0" bIns="0" anchor="t" anchorCtr="0" upright="1">
                          <a:noAutofit/>
                        </wps:bodyPr>
                      </wps:wsp>
                      <wps:wsp>
                        <wps:cNvPr id="366" name="直线 1812"/>
                        <wps:cNvCnPr>
                          <a:cxnSpLocks noChangeShapeType="1"/>
                        </wps:cNvCnPr>
                        <wps:spPr bwMode="auto">
                          <a:xfrm>
                            <a:off x="2858770" y="2806065"/>
                            <a:ext cx="635" cy="310515"/>
                          </a:xfrm>
                          <a:prstGeom prst="line">
                            <a:avLst/>
                          </a:prstGeom>
                          <a:noFill/>
                          <a:ln w="9525" cmpd="sng">
                            <a:solidFill>
                              <a:srgbClr val="000000"/>
                            </a:solidFill>
                            <a:round/>
                            <a:tailEnd type="triangle" w="sm" len="med"/>
                          </a:ln>
                        </wps:spPr>
                        <wps:bodyPr/>
                      </wps:wsp>
                      <wps:wsp>
                        <wps:cNvPr id="367" name="文本框 1813"/>
                        <wps:cNvSpPr txBox="1">
                          <a:spLocks noChangeArrowheads="1"/>
                        </wps:cNvSpPr>
                        <wps:spPr bwMode="auto">
                          <a:xfrm>
                            <a:off x="2630170" y="3642995"/>
                            <a:ext cx="457200" cy="198120"/>
                          </a:xfrm>
                          <a:prstGeom prst="rect">
                            <a:avLst/>
                          </a:prstGeom>
                          <a:solidFill>
                            <a:srgbClr val="FFFFFF"/>
                          </a:solidFill>
                          <a:ln w="9525" cmpd="sng">
                            <a:solidFill>
                              <a:srgbClr val="000000"/>
                            </a:solidFill>
                            <a:miter lim="800000"/>
                          </a:ln>
                        </wps:spPr>
                        <wps:txbx>
                          <w:txbxContent>
                            <w:p w14:paraId="5B2FAC01" w14:textId="77777777" w:rsidR="00F553A8" w:rsidRDefault="00F553A8">
                              <w:pPr>
                                <w:jc w:val="center"/>
                                <w:rPr>
                                  <w:szCs w:val="21"/>
                                </w:rPr>
                              </w:pPr>
                              <w:r>
                                <w:rPr>
                                  <w:szCs w:val="21"/>
                                </w:rPr>
                                <w:t>冷凝</w:t>
                              </w:r>
                            </w:p>
                          </w:txbxContent>
                        </wps:txbx>
                        <wps:bodyPr rot="0" vert="horz" wrap="square" lIns="0" tIns="0" rIns="0" bIns="0" anchor="t" anchorCtr="0" upright="1">
                          <a:noAutofit/>
                        </wps:bodyPr>
                      </wps:wsp>
                      <wps:wsp>
                        <wps:cNvPr id="368" name="直线 1814"/>
                        <wps:cNvCnPr>
                          <a:cxnSpLocks noChangeShapeType="1"/>
                        </wps:cNvCnPr>
                        <wps:spPr bwMode="auto">
                          <a:xfrm>
                            <a:off x="3163570" y="2668905"/>
                            <a:ext cx="457200" cy="635"/>
                          </a:xfrm>
                          <a:prstGeom prst="line">
                            <a:avLst/>
                          </a:prstGeom>
                          <a:noFill/>
                          <a:ln w="9525" cap="rnd" cmpd="sng">
                            <a:solidFill>
                              <a:srgbClr val="000000"/>
                            </a:solidFill>
                            <a:prstDash val="sysDot"/>
                            <a:round/>
                            <a:headEnd type="none" w="sm" len="med"/>
                            <a:tailEnd type="none" w="sm" len="med"/>
                          </a:ln>
                        </wps:spPr>
                        <wps:bodyPr/>
                      </wps:wsp>
                      <wps:wsp>
                        <wps:cNvPr id="369" name="直线 1815"/>
                        <wps:cNvCnPr>
                          <a:cxnSpLocks noChangeShapeType="1"/>
                        </wps:cNvCnPr>
                        <wps:spPr bwMode="auto">
                          <a:xfrm>
                            <a:off x="3620770" y="2461895"/>
                            <a:ext cx="635" cy="198120"/>
                          </a:xfrm>
                          <a:prstGeom prst="line">
                            <a:avLst/>
                          </a:prstGeom>
                          <a:noFill/>
                          <a:ln w="9525" cap="rnd" cmpd="sng">
                            <a:solidFill>
                              <a:srgbClr val="000000"/>
                            </a:solidFill>
                            <a:prstDash val="sysDot"/>
                            <a:round/>
                            <a:headEnd type="triangle" w="sm" len="med"/>
                            <a:tailEnd type="none" w="sm" len="med"/>
                          </a:ln>
                        </wps:spPr>
                        <wps:bodyPr/>
                      </wps:wsp>
                      <wps:wsp>
                        <wps:cNvPr id="370" name="直线 1816"/>
                        <wps:cNvCnPr>
                          <a:cxnSpLocks noChangeShapeType="1"/>
                        </wps:cNvCnPr>
                        <wps:spPr bwMode="auto">
                          <a:xfrm flipV="1">
                            <a:off x="3163570" y="1637665"/>
                            <a:ext cx="304800" cy="635"/>
                          </a:xfrm>
                          <a:prstGeom prst="line">
                            <a:avLst/>
                          </a:prstGeom>
                          <a:noFill/>
                          <a:ln w="9525" cmpd="sng">
                            <a:solidFill>
                              <a:srgbClr val="000000"/>
                            </a:solidFill>
                            <a:round/>
                            <a:headEnd type="triangle" w="sm" len="med"/>
                            <a:tailEnd type="none" w="sm" len="med"/>
                          </a:ln>
                        </wps:spPr>
                        <wps:bodyPr/>
                      </wps:wsp>
                      <wps:wsp>
                        <wps:cNvPr id="371" name="直线 1817"/>
                        <wps:cNvCnPr>
                          <a:cxnSpLocks noChangeShapeType="1"/>
                        </wps:cNvCnPr>
                        <wps:spPr bwMode="auto">
                          <a:xfrm>
                            <a:off x="877570" y="920115"/>
                            <a:ext cx="635" cy="1684020"/>
                          </a:xfrm>
                          <a:prstGeom prst="line">
                            <a:avLst/>
                          </a:prstGeom>
                          <a:noFill/>
                          <a:ln w="9525" cmpd="sng">
                            <a:solidFill>
                              <a:srgbClr val="000000"/>
                            </a:solidFill>
                            <a:round/>
                            <a:headEnd type="none" w="sm" len="med"/>
                            <a:tailEnd type="none" w="sm" len="med"/>
                          </a:ln>
                        </wps:spPr>
                        <wps:bodyPr/>
                      </wps:wsp>
                      <wps:wsp>
                        <wps:cNvPr id="372" name="直线 1818"/>
                        <wps:cNvCnPr>
                          <a:cxnSpLocks noChangeShapeType="1"/>
                        </wps:cNvCnPr>
                        <wps:spPr bwMode="auto">
                          <a:xfrm>
                            <a:off x="877570" y="2806065"/>
                            <a:ext cx="635" cy="319405"/>
                          </a:xfrm>
                          <a:prstGeom prst="line">
                            <a:avLst/>
                          </a:prstGeom>
                          <a:noFill/>
                          <a:ln w="9525" cap="rnd" cmpd="sng">
                            <a:solidFill>
                              <a:srgbClr val="000000"/>
                            </a:solidFill>
                            <a:prstDash val="sysDot"/>
                            <a:round/>
                            <a:headEnd type="triangle" w="sm" len="med"/>
                            <a:tailEnd type="none" w="sm" len="med"/>
                          </a:ln>
                        </wps:spPr>
                        <wps:bodyPr/>
                      </wps:wsp>
                      <wps:wsp>
                        <wps:cNvPr id="373" name="文本框 1819"/>
                        <wps:cNvSpPr txBox="1">
                          <a:spLocks noChangeArrowheads="1"/>
                        </wps:cNvSpPr>
                        <wps:spPr bwMode="auto">
                          <a:xfrm>
                            <a:off x="3544570" y="1772920"/>
                            <a:ext cx="1287780" cy="207010"/>
                          </a:xfrm>
                          <a:prstGeom prst="rect">
                            <a:avLst/>
                          </a:prstGeom>
                          <a:solidFill>
                            <a:srgbClr val="FFFFFF"/>
                          </a:solidFill>
                          <a:ln w="9525" cmpd="sng">
                            <a:solidFill>
                              <a:srgbClr val="FFFFFF"/>
                            </a:solidFill>
                            <a:miter lim="800000"/>
                          </a:ln>
                        </wps:spPr>
                        <wps:txbx>
                          <w:txbxContent>
                            <w:p w14:paraId="3E100CE0" w14:textId="77777777" w:rsidR="00F553A8" w:rsidRDefault="00F553A8">
                              <w:pPr>
                                <w:rPr>
                                  <w:szCs w:val="21"/>
                                </w:rPr>
                              </w:pPr>
                              <w:r>
                                <w:rPr>
                                  <w:szCs w:val="21"/>
                                </w:rPr>
                                <w:t>废电解银S</w:t>
                              </w:r>
                              <w:r>
                                <w:rPr>
                                  <w:szCs w:val="21"/>
                                  <w:vertAlign w:val="subscript"/>
                                </w:rPr>
                                <w:t>3-1</w:t>
                              </w:r>
                              <w:r>
                                <w:rPr>
                                  <w:szCs w:val="21"/>
                                </w:rPr>
                                <w:t>0.88</w:t>
                              </w:r>
                            </w:p>
                          </w:txbxContent>
                        </wps:txbx>
                        <wps:bodyPr rot="0" vert="horz" wrap="square" lIns="0" tIns="0" rIns="0" bIns="0" anchor="t" anchorCtr="0" upright="1">
                          <a:noAutofit/>
                        </wps:bodyPr>
                      </wps:wsp>
                      <wps:wsp>
                        <wps:cNvPr id="374" name="直线 1820"/>
                        <wps:cNvCnPr>
                          <a:cxnSpLocks noChangeShapeType="1"/>
                        </wps:cNvCnPr>
                        <wps:spPr bwMode="auto">
                          <a:xfrm>
                            <a:off x="3163570" y="1845310"/>
                            <a:ext cx="304800" cy="635"/>
                          </a:xfrm>
                          <a:prstGeom prst="line">
                            <a:avLst/>
                          </a:prstGeom>
                          <a:noFill/>
                          <a:ln w="9525" cmpd="sng">
                            <a:solidFill>
                              <a:srgbClr val="000000"/>
                            </a:solidFill>
                            <a:round/>
                            <a:headEnd type="none" w="sm" len="med"/>
                            <a:tailEnd type="triangle" w="sm" len="med"/>
                          </a:ln>
                        </wps:spPr>
                        <wps:bodyPr/>
                      </wps:wsp>
                      <wps:wsp>
                        <wps:cNvPr id="375" name="直线 1821"/>
                        <wps:cNvCnPr>
                          <a:cxnSpLocks noChangeShapeType="1"/>
                        </wps:cNvCnPr>
                        <wps:spPr bwMode="auto">
                          <a:xfrm>
                            <a:off x="2249170" y="1741805"/>
                            <a:ext cx="304800" cy="635"/>
                          </a:xfrm>
                          <a:prstGeom prst="line">
                            <a:avLst/>
                          </a:prstGeom>
                          <a:noFill/>
                          <a:ln w="9525" cap="rnd" cmpd="sng">
                            <a:solidFill>
                              <a:srgbClr val="000000"/>
                            </a:solidFill>
                            <a:prstDash val="sysDot"/>
                            <a:round/>
                            <a:headEnd type="none" w="sm" len="med"/>
                            <a:tailEnd type="triangle" w="sm" len="med"/>
                          </a:ln>
                        </wps:spPr>
                        <wps:bodyPr/>
                      </wps:wsp>
                      <wps:wsp>
                        <wps:cNvPr id="376" name="文本框 1822"/>
                        <wps:cNvSpPr txBox="1">
                          <a:spLocks noChangeArrowheads="1"/>
                        </wps:cNvSpPr>
                        <wps:spPr bwMode="auto">
                          <a:xfrm>
                            <a:off x="1059180" y="1534795"/>
                            <a:ext cx="412750" cy="441960"/>
                          </a:xfrm>
                          <a:prstGeom prst="rect">
                            <a:avLst/>
                          </a:prstGeom>
                          <a:solidFill>
                            <a:srgbClr val="FFFFFF"/>
                          </a:solidFill>
                          <a:ln w="9525" cmpd="sng">
                            <a:solidFill>
                              <a:srgbClr val="FFFFFF"/>
                            </a:solidFill>
                            <a:miter lim="800000"/>
                          </a:ln>
                        </wps:spPr>
                        <wps:txbx>
                          <w:txbxContent>
                            <w:p w14:paraId="2D58B2AE" w14:textId="77777777" w:rsidR="00F553A8" w:rsidRDefault="00F553A8">
                              <w:pPr>
                                <w:jc w:val="right"/>
                                <w:rPr>
                                  <w:szCs w:val="21"/>
                                </w:rPr>
                              </w:pPr>
                              <w:r>
                                <w:rPr>
                                  <w:szCs w:val="21"/>
                                </w:rPr>
                                <w:t>氧气</w:t>
                              </w:r>
                            </w:p>
                            <w:p w14:paraId="3ECB78DB" w14:textId="77777777" w:rsidR="00F553A8" w:rsidRDefault="00F553A8">
                              <w:pPr>
                                <w:jc w:val="right"/>
                                <w:rPr>
                                  <w:szCs w:val="21"/>
                                </w:rPr>
                              </w:pPr>
                              <w:r>
                                <w:rPr>
                                  <w:szCs w:val="21"/>
                                </w:rPr>
                                <w:t>36501</w:t>
                              </w:r>
                            </w:p>
                          </w:txbxContent>
                        </wps:txbx>
                        <wps:bodyPr rot="0" vert="horz" wrap="square" lIns="0" tIns="0" rIns="0" bIns="0" anchor="t" anchorCtr="0" upright="1">
                          <a:noAutofit/>
                        </wps:bodyPr>
                      </wps:wsp>
                      <wps:wsp>
                        <wps:cNvPr id="377" name="文本框 1823"/>
                        <wps:cNvSpPr txBox="1">
                          <a:spLocks noChangeArrowheads="1"/>
                        </wps:cNvSpPr>
                        <wps:spPr bwMode="auto">
                          <a:xfrm>
                            <a:off x="1791970" y="1638300"/>
                            <a:ext cx="457200" cy="198120"/>
                          </a:xfrm>
                          <a:prstGeom prst="rect">
                            <a:avLst/>
                          </a:prstGeom>
                          <a:solidFill>
                            <a:srgbClr val="FFFFFF"/>
                          </a:solidFill>
                          <a:ln w="9525" cmpd="sng">
                            <a:solidFill>
                              <a:srgbClr val="000000"/>
                            </a:solidFill>
                            <a:miter lim="800000"/>
                          </a:ln>
                        </wps:spPr>
                        <wps:txbx>
                          <w:txbxContent>
                            <w:p w14:paraId="08BE1525" w14:textId="77777777" w:rsidR="00F553A8" w:rsidRDefault="00F553A8">
                              <w:pPr>
                                <w:ind w:firstLineChars="50" w:firstLine="105"/>
                                <w:rPr>
                                  <w:szCs w:val="21"/>
                                </w:rPr>
                              </w:pPr>
                              <w:r>
                                <w:rPr>
                                  <w:szCs w:val="21"/>
                                </w:rPr>
                                <w:t>预热</w:t>
                              </w:r>
                            </w:p>
                          </w:txbxContent>
                        </wps:txbx>
                        <wps:bodyPr rot="0" vert="horz" wrap="square" lIns="0" tIns="0" rIns="0" bIns="0" anchor="t" anchorCtr="0" upright="1">
                          <a:noAutofit/>
                        </wps:bodyPr>
                      </wps:wsp>
                      <wps:wsp>
                        <wps:cNvPr id="378" name="直线 1824"/>
                        <wps:cNvCnPr>
                          <a:cxnSpLocks noChangeShapeType="1"/>
                        </wps:cNvCnPr>
                        <wps:spPr bwMode="auto">
                          <a:xfrm>
                            <a:off x="1487170" y="1741805"/>
                            <a:ext cx="304800" cy="635"/>
                          </a:xfrm>
                          <a:prstGeom prst="line">
                            <a:avLst/>
                          </a:prstGeom>
                          <a:noFill/>
                          <a:ln w="9525" cap="rnd" cmpd="sng">
                            <a:solidFill>
                              <a:srgbClr val="000000"/>
                            </a:solidFill>
                            <a:prstDash val="sysDot"/>
                            <a:round/>
                            <a:headEnd type="none" w="sm" len="med"/>
                            <a:tailEnd type="triangle" w="sm" len="med"/>
                          </a:ln>
                        </wps:spPr>
                        <wps:bodyPr/>
                      </wps:wsp>
                      <wps:wsp>
                        <wps:cNvPr id="379" name="直线 1825"/>
                        <wps:cNvCnPr>
                          <a:cxnSpLocks noChangeShapeType="1"/>
                        </wps:cNvCnPr>
                        <wps:spPr bwMode="auto">
                          <a:xfrm>
                            <a:off x="2249170" y="2668905"/>
                            <a:ext cx="304800" cy="635"/>
                          </a:xfrm>
                          <a:prstGeom prst="line">
                            <a:avLst/>
                          </a:prstGeom>
                          <a:noFill/>
                          <a:ln w="9525" cmpd="sng">
                            <a:solidFill>
                              <a:srgbClr val="000000"/>
                            </a:solidFill>
                            <a:round/>
                            <a:headEnd type="none" w="sm" len="med"/>
                            <a:tailEnd type="triangle" w="sm" len="med"/>
                          </a:ln>
                        </wps:spPr>
                        <wps:bodyPr/>
                      </wps:wsp>
                      <wps:wsp>
                        <wps:cNvPr id="380" name="文本框 1826"/>
                        <wps:cNvSpPr txBox="1">
                          <a:spLocks noChangeArrowheads="1"/>
                        </wps:cNvSpPr>
                        <wps:spPr bwMode="auto">
                          <a:xfrm>
                            <a:off x="1471930" y="2565400"/>
                            <a:ext cx="731520" cy="211455"/>
                          </a:xfrm>
                          <a:prstGeom prst="rect">
                            <a:avLst/>
                          </a:prstGeom>
                          <a:solidFill>
                            <a:srgbClr val="FFFFFF"/>
                          </a:solidFill>
                          <a:ln w="9525" cmpd="sng">
                            <a:solidFill>
                              <a:srgbClr val="FFFFFF"/>
                            </a:solidFill>
                            <a:miter lim="800000"/>
                          </a:ln>
                        </wps:spPr>
                        <wps:txbx>
                          <w:txbxContent>
                            <w:p w14:paraId="4C85DA58" w14:textId="77777777" w:rsidR="00F553A8" w:rsidRDefault="00F553A8">
                              <w:pPr>
                                <w:jc w:val="right"/>
                                <w:rPr>
                                  <w:szCs w:val="21"/>
                                </w:rPr>
                              </w:pPr>
                              <w:r>
                                <w:rPr>
                                  <w:szCs w:val="21"/>
                                </w:rPr>
                                <w:t>水980980</w:t>
                              </w:r>
                            </w:p>
                          </w:txbxContent>
                        </wps:txbx>
                        <wps:bodyPr rot="0" vert="horz" wrap="square" lIns="0" tIns="0" rIns="0" bIns="0" anchor="t" anchorCtr="0" upright="1">
                          <a:noAutofit/>
                        </wps:bodyPr>
                      </wps:wsp>
                      <wps:wsp>
                        <wps:cNvPr id="381" name="文本框 1827"/>
                        <wps:cNvSpPr txBox="1">
                          <a:spLocks noChangeArrowheads="1"/>
                        </wps:cNvSpPr>
                        <wps:spPr bwMode="auto">
                          <a:xfrm>
                            <a:off x="3163570" y="2080260"/>
                            <a:ext cx="998855" cy="381635"/>
                          </a:xfrm>
                          <a:prstGeom prst="rect">
                            <a:avLst/>
                          </a:prstGeom>
                          <a:solidFill>
                            <a:srgbClr val="FFFFFF"/>
                          </a:solidFill>
                          <a:ln w="9525" cmpd="sng">
                            <a:solidFill>
                              <a:srgbClr val="FFFFFF"/>
                            </a:solidFill>
                            <a:miter lim="800000"/>
                          </a:ln>
                        </wps:spPr>
                        <wps:txbx>
                          <w:txbxContent>
                            <w:p w14:paraId="778706D9" w14:textId="77777777" w:rsidR="00F553A8" w:rsidRDefault="00F553A8">
                              <w:pPr>
                                <w:rPr>
                                  <w:szCs w:val="21"/>
                                </w:rPr>
                              </w:pPr>
                              <w:r>
                                <w:rPr>
                                  <w:szCs w:val="21"/>
                                </w:rPr>
                                <w:t>废气G</w:t>
                              </w:r>
                              <w:r>
                                <w:rPr>
                                  <w:szCs w:val="21"/>
                                  <w:vertAlign w:val="subscript"/>
                                </w:rPr>
                                <w:t>3-1</w:t>
                              </w:r>
                              <w:r>
                                <w:rPr>
                                  <w:szCs w:val="21"/>
                                </w:rPr>
                                <w:t>510(乙醛392、乙醇118)</w:t>
                              </w:r>
                            </w:p>
                            <w:p w14:paraId="121E9956" w14:textId="77777777" w:rsidR="00F553A8" w:rsidRDefault="00F553A8"/>
                          </w:txbxContent>
                        </wps:txbx>
                        <wps:bodyPr rot="0" vert="horz" wrap="square" lIns="0" tIns="0" rIns="0" bIns="0" anchor="t" anchorCtr="0" upright="1">
                          <a:noAutofit/>
                        </wps:bodyPr>
                      </wps:wsp>
                      <wps:wsp>
                        <wps:cNvPr id="382" name="文本框 1828"/>
                        <wps:cNvSpPr txBox="1">
                          <a:spLocks noChangeArrowheads="1"/>
                        </wps:cNvSpPr>
                        <wps:spPr bwMode="auto">
                          <a:xfrm>
                            <a:off x="2553970" y="3116580"/>
                            <a:ext cx="609600" cy="207010"/>
                          </a:xfrm>
                          <a:prstGeom prst="rect">
                            <a:avLst/>
                          </a:prstGeom>
                          <a:solidFill>
                            <a:srgbClr val="FFFFFF"/>
                          </a:solidFill>
                          <a:ln w="9525" cmpd="sng">
                            <a:solidFill>
                              <a:srgbClr val="000000"/>
                            </a:solidFill>
                            <a:miter lim="800000"/>
                          </a:ln>
                        </wps:spPr>
                        <wps:txbx>
                          <w:txbxContent>
                            <w:p w14:paraId="3DD14D3A" w14:textId="77777777" w:rsidR="00F553A8" w:rsidRDefault="00F553A8">
                              <w:pPr>
                                <w:jc w:val="center"/>
                                <w:rPr>
                                  <w:szCs w:val="21"/>
                                </w:rPr>
                              </w:pPr>
                              <w:r>
                                <w:rPr>
                                  <w:szCs w:val="21"/>
                                </w:rPr>
                                <w:t>精馏</w:t>
                              </w:r>
                            </w:p>
                          </w:txbxContent>
                        </wps:txbx>
                        <wps:bodyPr rot="0" vert="horz" wrap="square" lIns="0" tIns="0" rIns="0" bIns="0" anchor="t" anchorCtr="0" upright="1">
                          <a:noAutofit/>
                        </wps:bodyPr>
                      </wps:wsp>
                      <wps:wsp>
                        <wps:cNvPr id="383" name="直线 1829"/>
                        <wps:cNvCnPr>
                          <a:cxnSpLocks noChangeShapeType="1"/>
                        </wps:cNvCnPr>
                        <wps:spPr bwMode="auto">
                          <a:xfrm flipV="1">
                            <a:off x="1182370" y="3228975"/>
                            <a:ext cx="1371600" cy="635"/>
                          </a:xfrm>
                          <a:prstGeom prst="line">
                            <a:avLst/>
                          </a:prstGeom>
                          <a:noFill/>
                          <a:ln w="9525" cmpd="sng">
                            <a:solidFill>
                              <a:srgbClr val="000000"/>
                            </a:solidFill>
                            <a:round/>
                            <a:headEnd type="triangle" w="sm" len="med"/>
                            <a:tailEnd type="none" w="sm" len="med"/>
                          </a:ln>
                        </wps:spPr>
                        <wps:bodyPr/>
                      </wps:wsp>
                      <wps:wsp>
                        <wps:cNvPr id="384" name="文本框 1830"/>
                        <wps:cNvSpPr txBox="1">
                          <a:spLocks noChangeArrowheads="1"/>
                        </wps:cNvSpPr>
                        <wps:spPr bwMode="auto">
                          <a:xfrm>
                            <a:off x="391795" y="3116580"/>
                            <a:ext cx="790575" cy="207010"/>
                          </a:xfrm>
                          <a:prstGeom prst="rect">
                            <a:avLst/>
                          </a:prstGeom>
                          <a:solidFill>
                            <a:srgbClr val="FFFFFF"/>
                          </a:solidFill>
                          <a:ln w="9525" cmpd="sng">
                            <a:solidFill>
                              <a:srgbClr val="000000"/>
                            </a:solidFill>
                            <a:miter lim="800000"/>
                          </a:ln>
                        </wps:spPr>
                        <wps:txbx>
                          <w:txbxContent>
                            <w:p w14:paraId="29295F26" w14:textId="77777777" w:rsidR="00F553A8" w:rsidRDefault="00F553A8">
                              <w:pPr>
                                <w:jc w:val="center"/>
                                <w:rPr>
                                  <w:szCs w:val="21"/>
                                </w:rPr>
                              </w:pPr>
                              <w:r>
                                <w:rPr>
                                  <w:szCs w:val="21"/>
                                </w:rPr>
                                <w:t>乙醇回收</w:t>
                              </w:r>
                            </w:p>
                          </w:txbxContent>
                        </wps:txbx>
                        <wps:bodyPr rot="0" vert="horz" wrap="square" lIns="0" tIns="0" rIns="0" bIns="0" anchor="t" anchorCtr="0" upright="1">
                          <a:noAutofit/>
                        </wps:bodyPr>
                      </wps:wsp>
                      <wps:wsp>
                        <wps:cNvPr id="385" name="文本框 1831"/>
                        <wps:cNvSpPr txBox="1">
                          <a:spLocks noChangeArrowheads="1"/>
                        </wps:cNvSpPr>
                        <wps:spPr bwMode="auto">
                          <a:xfrm>
                            <a:off x="648970" y="2607945"/>
                            <a:ext cx="457200" cy="198120"/>
                          </a:xfrm>
                          <a:prstGeom prst="rect">
                            <a:avLst/>
                          </a:prstGeom>
                          <a:solidFill>
                            <a:srgbClr val="FFFFFF"/>
                          </a:solidFill>
                          <a:ln w="9525" cmpd="sng">
                            <a:solidFill>
                              <a:srgbClr val="000000"/>
                            </a:solidFill>
                            <a:miter lim="800000"/>
                          </a:ln>
                        </wps:spPr>
                        <wps:txbx>
                          <w:txbxContent>
                            <w:p w14:paraId="2F0D2102" w14:textId="77777777" w:rsidR="00F553A8" w:rsidRDefault="00F553A8">
                              <w:pPr>
                                <w:ind w:firstLineChars="50" w:firstLine="105"/>
                                <w:rPr>
                                  <w:szCs w:val="21"/>
                                </w:rPr>
                              </w:pPr>
                              <w:r>
                                <w:rPr>
                                  <w:szCs w:val="21"/>
                                </w:rPr>
                                <w:t>冷凝</w:t>
                              </w:r>
                            </w:p>
                          </w:txbxContent>
                        </wps:txbx>
                        <wps:bodyPr rot="0" vert="horz" wrap="square" lIns="0" tIns="0" rIns="0" bIns="0" anchor="t" anchorCtr="0" upright="1">
                          <a:noAutofit/>
                        </wps:bodyPr>
                      </wps:wsp>
                      <wps:wsp>
                        <wps:cNvPr id="386" name="直线 1832"/>
                        <wps:cNvCnPr>
                          <a:cxnSpLocks noChangeShapeType="1"/>
                        </wps:cNvCnPr>
                        <wps:spPr bwMode="auto">
                          <a:xfrm>
                            <a:off x="2858770" y="3323590"/>
                            <a:ext cx="635" cy="310515"/>
                          </a:xfrm>
                          <a:prstGeom prst="line">
                            <a:avLst/>
                          </a:prstGeom>
                          <a:noFill/>
                          <a:ln w="9525" cap="rnd" cmpd="sng">
                            <a:solidFill>
                              <a:srgbClr val="000000"/>
                            </a:solidFill>
                            <a:prstDash val="sysDot"/>
                            <a:round/>
                            <a:tailEnd type="triangle" w="sm" len="med"/>
                          </a:ln>
                        </wps:spPr>
                        <wps:bodyPr/>
                      </wps:wsp>
                      <wps:wsp>
                        <wps:cNvPr id="387" name="直线 1833"/>
                        <wps:cNvCnPr>
                          <a:cxnSpLocks noChangeShapeType="1"/>
                        </wps:cNvCnPr>
                        <wps:spPr bwMode="auto">
                          <a:xfrm>
                            <a:off x="2858770" y="3841115"/>
                            <a:ext cx="635" cy="310515"/>
                          </a:xfrm>
                          <a:prstGeom prst="line">
                            <a:avLst/>
                          </a:prstGeom>
                          <a:noFill/>
                          <a:ln w="9525" cmpd="sng">
                            <a:solidFill>
                              <a:srgbClr val="000000"/>
                            </a:solidFill>
                            <a:round/>
                            <a:tailEnd type="triangle" w="sm" len="med"/>
                          </a:ln>
                        </wps:spPr>
                        <wps:bodyPr/>
                      </wps:wsp>
                      <wps:wsp>
                        <wps:cNvPr id="388" name="文本框 1834"/>
                        <wps:cNvSpPr txBox="1">
                          <a:spLocks noChangeArrowheads="1"/>
                        </wps:cNvSpPr>
                        <wps:spPr bwMode="auto">
                          <a:xfrm>
                            <a:off x="2249170" y="4151630"/>
                            <a:ext cx="1295400" cy="402590"/>
                          </a:xfrm>
                          <a:prstGeom prst="rect">
                            <a:avLst/>
                          </a:prstGeom>
                          <a:solidFill>
                            <a:srgbClr val="FFFFFF"/>
                          </a:solidFill>
                          <a:ln w="9525" cmpd="sng">
                            <a:solidFill>
                              <a:srgbClr val="FFFFFF"/>
                            </a:solidFill>
                            <a:miter lim="800000"/>
                          </a:ln>
                        </wps:spPr>
                        <wps:txbx>
                          <w:txbxContent>
                            <w:p w14:paraId="66207D84" w14:textId="77777777" w:rsidR="00F553A8" w:rsidRDefault="00F553A8">
                              <w:pPr>
                                <w:rPr>
                                  <w:szCs w:val="21"/>
                                </w:rPr>
                              </w:pPr>
                              <w:r>
                                <w:rPr>
                                  <w:szCs w:val="21"/>
                                </w:rPr>
                                <w:t>产品乙醛100000(乙醛98000、乙醇2000)</w:t>
                              </w:r>
                            </w:p>
                          </w:txbxContent>
                        </wps:txbx>
                        <wps:bodyPr rot="0" vert="horz" wrap="square" lIns="0" tIns="0" rIns="0" bIns="0" anchor="t" anchorCtr="0" upright="1">
                          <a:noAutofit/>
                        </wps:bodyPr>
                      </wps:wsp>
                      <wps:wsp>
                        <wps:cNvPr id="389" name="直线 1835"/>
                        <wps:cNvCnPr>
                          <a:cxnSpLocks noChangeShapeType="1"/>
                        </wps:cNvCnPr>
                        <wps:spPr bwMode="auto">
                          <a:xfrm>
                            <a:off x="877570" y="3323590"/>
                            <a:ext cx="635" cy="198120"/>
                          </a:xfrm>
                          <a:prstGeom prst="line">
                            <a:avLst/>
                          </a:prstGeom>
                          <a:noFill/>
                          <a:ln w="9525" cmpd="sng">
                            <a:solidFill>
                              <a:srgbClr val="000000"/>
                            </a:solidFill>
                            <a:round/>
                            <a:headEnd type="none" w="sm" len="med"/>
                            <a:tailEnd type="triangle" w="sm" len="med"/>
                          </a:ln>
                        </wps:spPr>
                        <wps:bodyPr/>
                      </wps:wsp>
                      <wps:wsp>
                        <wps:cNvPr id="390" name="文本框 1836"/>
                        <wps:cNvSpPr txBox="1">
                          <a:spLocks noChangeArrowheads="1"/>
                        </wps:cNvSpPr>
                        <wps:spPr bwMode="auto">
                          <a:xfrm>
                            <a:off x="260350" y="3530600"/>
                            <a:ext cx="1211580" cy="708660"/>
                          </a:xfrm>
                          <a:prstGeom prst="rect">
                            <a:avLst/>
                          </a:prstGeom>
                          <a:solidFill>
                            <a:srgbClr val="FFFFFF"/>
                          </a:solidFill>
                          <a:ln w="9525" cmpd="sng">
                            <a:solidFill>
                              <a:srgbClr val="FFFFFF"/>
                            </a:solidFill>
                            <a:miter lim="800000"/>
                          </a:ln>
                        </wps:spPr>
                        <wps:txbx>
                          <w:txbxContent>
                            <w:p w14:paraId="75898249" w14:textId="77777777" w:rsidR="00F553A8" w:rsidRDefault="00F553A8">
                              <w:pPr>
                                <w:ind w:firstLineChars="50" w:firstLine="105"/>
                                <w:rPr>
                                  <w:szCs w:val="21"/>
                                </w:rPr>
                              </w:pPr>
                              <w:r>
                                <w:rPr>
                                  <w:szCs w:val="21"/>
                                </w:rPr>
                                <w:t>废水W</w:t>
                              </w:r>
                              <w:r>
                                <w:rPr>
                                  <w:szCs w:val="21"/>
                                  <w:vertAlign w:val="subscript"/>
                                </w:rPr>
                                <w:t>3-1</w:t>
                              </w:r>
                              <w:r>
                                <w:rPr>
                                  <w:szCs w:val="21"/>
                                </w:rPr>
                                <w:t>1032761</w:t>
                              </w:r>
                            </w:p>
                            <w:p w14:paraId="37580F4D" w14:textId="77777777" w:rsidR="00F553A8" w:rsidRDefault="00F553A8">
                              <w:pPr>
                                <w:ind w:left="105" w:hangingChars="50" w:hanging="105"/>
                                <w:rPr>
                                  <w:szCs w:val="21"/>
                                </w:rPr>
                              </w:pPr>
                              <w:r>
                                <w:rPr>
                                  <w:szCs w:val="21"/>
                                </w:rPr>
                                <w:t>(水1028585、乙醇2822、醋酸1354)</w:t>
                              </w:r>
                            </w:p>
                          </w:txbxContent>
                        </wps:txbx>
                        <wps:bodyPr rot="0" vert="horz" wrap="square" lIns="0" tIns="0" rIns="0" bIns="0" anchor="t" anchorCtr="0" upright="1">
                          <a:noAutofit/>
                        </wps:bodyPr>
                      </wps:wsp>
                      <wps:wsp>
                        <wps:cNvPr id="391" name="文本框 1837"/>
                        <wps:cNvSpPr txBox="1">
                          <a:spLocks noChangeArrowheads="1"/>
                        </wps:cNvSpPr>
                        <wps:spPr bwMode="auto">
                          <a:xfrm>
                            <a:off x="2203450" y="1188719"/>
                            <a:ext cx="571500" cy="211455"/>
                          </a:xfrm>
                          <a:prstGeom prst="rect">
                            <a:avLst/>
                          </a:prstGeom>
                          <a:solidFill>
                            <a:srgbClr val="FFFFFF"/>
                          </a:solidFill>
                          <a:ln w="9525" cmpd="sng">
                            <a:solidFill>
                              <a:srgbClr val="FFFFFF"/>
                            </a:solidFill>
                            <a:miter lim="800000"/>
                          </a:ln>
                        </wps:spPr>
                        <wps:txbx>
                          <w:txbxContent>
                            <w:p w14:paraId="65ED58E4" w14:textId="77777777" w:rsidR="00F553A8" w:rsidRDefault="00F553A8">
                              <w:pPr>
                                <w:jc w:val="right"/>
                                <w:rPr>
                                  <w:szCs w:val="21"/>
                                </w:rPr>
                              </w:pPr>
                              <w:r>
                                <w:rPr>
                                  <w:szCs w:val="21"/>
                                </w:rPr>
                                <w:t>250341</w:t>
                              </w:r>
                            </w:p>
                          </w:txbxContent>
                        </wps:txbx>
                        <wps:bodyPr rot="0" vert="horz" wrap="square" lIns="0" tIns="0" rIns="0" bIns="0" anchor="t" anchorCtr="0" upright="1">
                          <a:noAutofit/>
                        </wps:bodyPr>
                      </wps:wsp>
                      <wps:wsp>
                        <wps:cNvPr id="392" name="文本框 1838"/>
                        <wps:cNvSpPr txBox="1">
                          <a:spLocks noChangeArrowheads="1"/>
                        </wps:cNvSpPr>
                        <wps:spPr bwMode="auto">
                          <a:xfrm>
                            <a:off x="992505" y="750570"/>
                            <a:ext cx="1607819" cy="401955"/>
                          </a:xfrm>
                          <a:prstGeom prst="rect">
                            <a:avLst/>
                          </a:prstGeom>
                          <a:solidFill>
                            <a:srgbClr val="FFFFFF"/>
                          </a:solidFill>
                          <a:ln w="9525" cmpd="sng">
                            <a:solidFill>
                              <a:srgbClr val="FFFFFF"/>
                            </a:solidFill>
                            <a:miter lim="800000"/>
                          </a:ln>
                        </wps:spPr>
                        <wps:txbx>
                          <w:txbxContent>
                            <w:p w14:paraId="24FE0EB0" w14:textId="77777777" w:rsidR="00F553A8" w:rsidRDefault="00F553A8">
                              <w:pPr>
                                <w:ind w:firstLineChars="50" w:firstLine="105"/>
                                <w:jc w:val="center"/>
                                <w:rPr>
                                  <w:szCs w:val="21"/>
                                </w:rPr>
                              </w:pPr>
                              <w:r>
                                <w:rPr>
                                  <w:szCs w:val="21"/>
                                </w:rPr>
                                <w:t>乙醇回用134551</w:t>
                              </w:r>
                            </w:p>
                            <w:p w14:paraId="41864BE1" w14:textId="77777777" w:rsidR="00F553A8" w:rsidRDefault="00F553A8">
                              <w:pPr>
                                <w:jc w:val="center"/>
                                <w:rPr>
                                  <w:szCs w:val="21"/>
                                </w:rPr>
                              </w:pPr>
                              <w:r>
                                <w:rPr>
                                  <w:szCs w:val="21"/>
                                </w:rPr>
                                <w:t>(乙醇96371、水38180)</w:t>
                              </w:r>
                            </w:p>
                          </w:txbxContent>
                        </wps:txbx>
                        <wps:bodyPr rot="0" vert="horz" wrap="square" lIns="0" tIns="0" rIns="0" bIns="0" anchor="t" anchorCtr="0" upright="1">
                          <a:noAutofit/>
                        </wps:bodyPr>
                      </wps:wsp>
                      <wps:wsp>
                        <wps:cNvPr id="393" name="文本框 1839"/>
                        <wps:cNvSpPr txBox="1">
                          <a:spLocks noChangeArrowheads="1"/>
                        </wps:cNvSpPr>
                        <wps:spPr bwMode="auto">
                          <a:xfrm>
                            <a:off x="2355850" y="99060"/>
                            <a:ext cx="1063624" cy="396240"/>
                          </a:xfrm>
                          <a:prstGeom prst="rect">
                            <a:avLst/>
                          </a:prstGeom>
                          <a:solidFill>
                            <a:srgbClr val="FFFFFF"/>
                          </a:solidFill>
                          <a:ln w="9525" cmpd="sng">
                            <a:solidFill>
                              <a:srgbClr val="FFFFFF"/>
                            </a:solidFill>
                            <a:miter lim="800000"/>
                          </a:ln>
                        </wps:spPr>
                        <wps:txbx>
                          <w:txbxContent>
                            <w:p w14:paraId="75A4F7F1" w14:textId="77777777" w:rsidR="00F553A8" w:rsidRDefault="00F553A8">
                              <w:pPr>
                                <w:rPr>
                                  <w:szCs w:val="21"/>
                                </w:rPr>
                              </w:pPr>
                              <w:r>
                                <w:rPr>
                                  <w:szCs w:val="21"/>
                                </w:rPr>
                                <w:t>酒精115790(乙醇108843、水6947)</w:t>
                              </w:r>
                            </w:p>
                          </w:txbxContent>
                        </wps:txbx>
                        <wps:bodyPr rot="0" vert="horz" wrap="square" lIns="0" tIns="0" rIns="0" bIns="0" anchor="t" anchorCtr="0" upright="1">
                          <a:noAutofit/>
                        </wps:bodyPr>
                      </wps:wsp>
                      <wps:wsp>
                        <wps:cNvPr id="394" name="直线 1840"/>
                        <wps:cNvCnPr>
                          <a:cxnSpLocks noChangeShapeType="1"/>
                        </wps:cNvCnPr>
                        <wps:spPr bwMode="auto">
                          <a:xfrm>
                            <a:off x="877570" y="922655"/>
                            <a:ext cx="1676400" cy="635"/>
                          </a:xfrm>
                          <a:prstGeom prst="line">
                            <a:avLst/>
                          </a:prstGeom>
                          <a:noFill/>
                          <a:ln w="9525" cmpd="sng">
                            <a:solidFill>
                              <a:srgbClr val="000000"/>
                            </a:solidFill>
                            <a:round/>
                            <a:headEnd type="none" w="sm" len="med"/>
                            <a:tailEnd type="triangle" w="sm" len="med"/>
                          </a:ln>
                        </wps:spPr>
                        <wps:bodyPr/>
                      </wps:wsp>
                      <wps:wsp>
                        <wps:cNvPr id="395" name="直线 1841"/>
                        <wps:cNvCnPr>
                          <a:cxnSpLocks noChangeShapeType="1"/>
                        </wps:cNvCnPr>
                        <wps:spPr bwMode="auto">
                          <a:xfrm>
                            <a:off x="2858770" y="508635"/>
                            <a:ext cx="635" cy="310515"/>
                          </a:xfrm>
                          <a:prstGeom prst="line">
                            <a:avLst/>
                          </a:prstGeom>
                          <a:noFill/>
                          <a:ln w="9525" cmpd="sng">
                            <a:solidFill>
                              <a:srgbClr val="000000"/>
                            </a:solidFill>
                            <a:round/>
                            <a:tailEnd type="triangle" w="sm" len="med"/>
                          </a:ln>
                        </wps:spPr>
                        <wps:bodyPr/>
                      </wps:wsp>
                      <wps:wsp>
                        <wps:cNvPr id="396" name="文本框 1842"/>
                        <wps:cNvSpPr txBox="1">
                          <a:spLocks noChangeArrowheads="1"/>
                        </wps:cNvSpPr>
                        <wps:spPr bwMode="auto">
                          <a:xfrm>
                            <a:off x="2553970" y="819150"/>
                            <a:ext cx="609600" cy="207010"/>
                          </a:xfrm>
                          <a:prstGeom prst="rect">
                            <a:avLst/>
                          </a:prstGeom>
                          <a:solidFill>
                            <a:srgbClr val="FFFFFF"/>
                          </a:solidFill>
                          <a:ln w="9525" cmpd="sng">
                            <a:solidFill>
                              <a:srgbClr val="000000"/>
                            </a:solidFill>
                            <a:miter lim="800000"/>
                          </a:ln>
                        </wps:spPr>
                        <wps:txbx>
                          <w:txbxContent>
                            <w:p w14:paraId="38F15A85" w14:textId="77777777" w:rsidR="00F553A8" w:rsidRDefault="00F553A8">
                              <w:pPr>
                                <w:jc w:val="center"/>
                                <w:rPr>
                                  <w:szCs w:val="21"/>
                                </w:rPr>
                              </w:pPr>
                              <w:r>
                                <w:rPr>
                                  <w:szCs w:val="21"/>
                                </w:rPr>
                                <w:t>气化</w:t>
                              </w:r>
                            </w:p>
                          </w:txbxContent>
                        </wps:txbx>
                        <wps:bodyPr rot="0" vert="horz" wrap="square" lIns="0" tIns="0" rIns="0" bIns="0" anchor="t" anchorCtr="0" upright="1">
                          <a:noAutofit/>
                        </wps:bodyPr>
                      </wps:wsp>
                      <wps:wsp>
                        <wps:cNvPr id="397" name="文本框 1843"/>
                        <wps:cNvSpPr txBox="1">
                          <a:spLocks noChangeArrowheads="1"/>
                        </wps:cNvSpPr>
                        <wps:spPr bwMode="auto">
                          <a:xfrm>
                            <a:off x="2355850" y="2179320"/>
                            <a:ext cx="419100" cy="198120"/>
                          </a:xfrm>
                          <a:prstGeom prst="rect">
                            <a:avLst/>
                          </a:prstGeom>
                          <a:solidFill>
                            <a:srgbClr val="FFFFFF"/>
                          </a:solidFill>
                          <a:ln w="9525" cmpd="sng">
                            <a:solidFill>
                              <a:srgbClr val="FFFFFF"/>
                            </a:solidFill>
                            <a:miter lim="800000"/>
                          </a:ln>
                        </wps:spPr>
                        <wps:txbx>
                          <w:txbxContent>
                            <w:p w14:paraId="3BD9BF7E" w14:textId="77777777" w:rsidR="00F553A8" w:rsidRDefault="00F553A8">
                              <w:pPr>
                                <w:rPr>
                                  <w:szCs w:val="21"/>
                                </w:rPr>
                              </w:pPr>
                              <w:r>
                                <w:rPr>
                                  <w:szCs w:val="21"/>
                                </w:rPr>
                                <w:t>286842</w:t>
                              </w:r>
                            </w:p>
                          </w:txbxContent>
                        </wps:txbx>
                        <wps:bodyPr rot="0" vert="horz" wrap="square" lIns="0" tIns="0" rIns="0" bIns="0" anchor="t" anchorCtr="0" upright="1">
                          <a:noAutofit/>
                        </wps:bodyPr>
                      </wps:wsp>
                      <wps:wsp>
                        <wps:cNvPr id="398" name="文本框 1844"/>
                        <wps:cNvSpPr txBox="1">
                          <a:spLocks noChangeArrowheads="1"/>
                        </wps:cNvSpPr>
                        <wps:spPr bwMode="auto">
                          <a:xfrm>
                            <a:off x="1517650" y="3010535"/>
                            <a:ext cx="571500" cy="198120"/>
                          </a:xfrm>
                          <a:prstGeom prst="rect">
                            <a:avLst/>
                          </a:prstGeom>
                          <a:solidFill>
                            <a:srgbClr val="FFFFFF"/>
                          </a:solidFill>
                          <a:ln w="9525" cmpd="sng">
                            <a:solidFill>
                              <a:srgbClr val="FFFFFF"/>
                            </a:solidFill>
                            <a:miter lim="800000"/>
                          </a:ln>
                        </wps:spPr>
                        <wps:txbx>
                          <w:txbxContent>
                            <w:p w14:paraId="4E15B830" w14:textId="77777777" w:rsidR="00F553A8" w:rsidRDefault="00F553A8">
                              <w:pPr>
                                <w:rPr>
                                  <w:szCs w:val="21"/>
                                </w:rPr>
                              </w:pPr>
                              <w:r>
                                <w:rPr>
                                  <w:szCs w:val="21"/>
                                </w:rPr>
                                <w:t>1167312</w:t>
                              </w:r>
                            </w:p>
                          </w:txbxContent>
                        </wps:txbx>
                        <wps:bodyPr rot="0" vert="horz" wrap="square" lIns="0" tIns="0" rIns="0" bIns="0" anchor="t" anchorCtr="0" upright="1">
                          <a:noAutofit/>
                        </wps:bodyPr>
                      </wps:wsp>
                      <wps:wsp>
                        <wps:cNvPr id="399" name="文本框 1845"/>
                        <wps:cNvSpPr txBox="1">
                          <a:spLocks noChangeArrowheads="1"/>
                        </wps:cNvSpPr>
                        <wps:spPr bwMode="auto">
                          <a:xfrm>
                            <a:off x="2241550" y="2872740"/>
                            <a:ext cx="533400" cy="198120"/>
                          </a:xfrm>
                          <a:prstGeom prst="rect">
                            <a:avLst/>
                          </a:prstGeom>
                          <a:solidFill>
                            <a:srgbClr val="FFFFFF"/>
                          </a:solidFill>
                          <a:ln w="9525" cmpd="sng">
                            <a:solidFill>
                              <a:srgbClr val="FFFFFF"/>
                            </a:solidFill>
                            <a:miter lim="800000"/>
                          </a:ln>
                        </wps:spPr>
                        <wps:txbx>
                          <w:txbxContent>
                            <w:p w14:paraId="175532CE" w14:textId="77777777" w:rsidR="00F553A8" w:rsidRDefault="00F553A8">
                              <w:pPr>
                                <w:rPr>
                                  <w:szCs w:val="21"/>
                                </w:rPr>
                              </w:pPr>
                              <w:r>
                                <w:rPr>
                                  <w:szCs w:val="21"/>
                                </w:rPr>
                                <w:t>1267312</w:t>
                              </w:r>
                            </w:p>
                          </w:txbxContent>
                        </wps:txbx>
                        <wps:bodyPr rot="0" vert="horz" wrap="square" lIns="0" tIns="0" rIns="0" bIns="0" anchor="t" anchorCtr="0" upright="1">
                          <a:noAutofit/>
                        </wps:bodyPr>
                      </wps:wsp>
                      <wps:wsp>
                        <wps:cNvPr id="400" name="直线 1846"/>
                        <wps:cNvCnPr>
                          <a:cxnSpLocks noChangeShapeType="1"/>
                        </wps:cNvCnPr>
                        <wps:spPr bwMode="auto">
                          <a:xfrm>
                            <a:off x="2973070" y="3312160"/>
                            <a:ext cx="635" cy="310515"/>
                          </a:xfrm>
                          <a:prstGeom prst="line">
                            <a:avLst/>
                          </a:prstGeom>
                          <a:noFill/>
                          <a:ln w="9525" cmpd="sng">
                            <a:solidFill>
                              <a:srgbClr val="000000"/>
                            </a:solidFill>
                            <a:round/>
                            <a:headEnd type="triangle" w="sm" len="med"/>
                            <a:tailEnd type="none" w="sm" len="med"/>
                          </a:ln>
                        </wps:spPr>
                        <wps:bodyPr/>
                      </wps:wsp>
                      <wps:wsp>
                        <wps:cNvPr id="401" name="直线 1847"/>
                        <wps:cNvCnPr>
                          <a:cxnSpLocks noChangeShapeType="1"/>
                        </wps:cNvCnPr>
                        <wps:spPr bwMode="auto">
                          <a:xfrm>
                            <a:off x="991870" y="2806065"/>
                            <a:ext cx="635" cy="319405"/>
                          </a:xfrm>
                          <a:prstGeom prst="line">
                            <a:avLst/>
                          </a:prstGeom>
                          <a:noFill/>
                          <a:ln w="9525" cmpd="sng">
                            <a:solidFill>
                              <a:srgbClr val="000000"/>
                            </a:solidFill>
                            <a:round/>
                            <a:headEnd type="none" w="sm" len="med"/>
                            <a:tailEnd type="triangle" w="sm" len="med"/>
                          </a:ln>
                        </wps:spPr>
                        <wps:bodyPr/>
                      </wps:wsp>
                    </wpc:wpc>
                  </a:graphicData>
                </a:graphic>
              </wp:inline>
            </w:drawing>
          </mc:Choice>
          <mc:Fallback>
            <w:pict>
              <v:group w14:anchorId="5925CF51" id="画布 402" o:spid="_x0000_s1193" editas="canvas" style="width:391.8pt;height:358.6pt;mso-position-horizontal-relative:char;mso-position-vertical-relative:line" coordsize="49758,45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">
                <v:shape id="_x0000_s1194" type="#_x0000_t75" style="position:absolute;width:49758;height:45542;visibility:visible;mso-wrap-style:square">
                  <v:fill o:detectmouseclick="t"/>
                  <v:path o:connecttype="none"/>
                </v:shape>
                <v:shape id="文本框 1807" o:spid="_x0000_s1195" type="#_x0000_t202" style="position:absolute;left:35445;top:15347;width:830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" strokecolor="white">
                  <v:textbox inset="0,0,0,0">
                    <w:txbxContent>
                      <w:p w14:paraId="5BE2145D" w14:textId="77777777" w:rsidR="00F553A8" w:rsidRDefault="00F553A8">
                        <w:pPr>
                          <w:rPr>
                            <w:szCs w:val="21"/>
                          </w:rPr>
                        </w:pPr>
                        <w:r>
                          <w:rPr>
                            <w:szCs w:val="21"/>
                          </w:rPr>
                          <w:t>电解银0.88</w:t>
                        </w:r>
                      </w:p>
                    </w:txbxContent>
                  </v:textbox>
                </v:shape>
                <v:shape id="文本框 1808" o:spid="_x0000_s1196" type="#_x0000_t202" style="position:absolute;left:25463;top:15214;width:6172;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">
                  <v:textbox inset="0,4mm,0,0">
                    <w:txbxContent>
                      <w:p w14:paraId="4A6ECA8F" w14:textId="77777777" w:rsidR="00F553A8" w:rsidRDefault="00F553A8">
                        <w:pPr>
                          <w:adjustRightInd w:val="0"/>
                          <w:snapToGrid w:val="0"/>
                          <w:jc w:val="center"/>
                          <w:rPr>
                            <w:szCs w:val="21"/>
                          </w:rPr>
                        </w:pPr>
                        <w:r>
                          <w:rPr>
                            <w:szCs w:val="21"/>
                          </w:rPr>
                          <w:t>氧化</w:t>
                        </w:r>
                      </w:p>
                    </w:txbxContent>
                  </v:textbox>
                </v:shape>
                <v:line id="直线 1809" o:spid="_x0000_s1197" style="position:absolute;visibility:visible;mso-wrap-style:square" from="28581,9906" to="28594,15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">
                  <v:stroke dashstyle="1 1" endarrow="block" endarrowwidth="narrow" endcap="round"/>
                </v:line>
                <v:line id="直线 1810" o:spid="_x0000_s1198" style="position:absolute;visibility:visible;mso-wrap-style:square" from="28587,19577" to="28594,25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">
                  <v:stroke dashstyle="1 1" endarrow="block" endarrowwidth="narrow" endcap="round"/>
                </v:line>
                <v:shape id="文本框 1811" o:spid="_x0000_s1199" type="#_x0000_t202" style="position:absolute;left:25539;top:25755;width:609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">
                  <v:textbox inset="0,0,0,0">
                    <w:txbxContent>
                      <w:p w14:paraId="6E1EC0BF" w14:textId="77777777" w:rsidR="00F553A8" w:rsidRDefault="00F553A8">
                        <w:pPr>
                          <w:jc w:val="center"/>
                          <w:rPr>
                            <w:szCs w:val="21"/>
                          </w:rPr>
                        </w:pPr>
                        <w:r>
                          <w:rPr>
                            <w:szCs w:val="21"/>
                          </w:rPr>
                          <w:t>洗涤</w:t>
                        </w:r>
                      </w:p>
                    </w:txbxContent>
                  </v:textbox>
                </v:shape>
                <v:line id="直线 1812" o:spid="_x0000_s1200" style="position:absolute;visibility:visible;mso-wrap-style:square" from="28587,28060" to="28594,3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">
                  <v:stroke endarrow="block" endarrowwidth="narrow"/>
                </v:line>
                <v:shape id="文本框 1813" o:spid="_x0000_s1201" type="#_x0000_t202" style="position:absolute;left:26301;top:36429;width:4572;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">
                  <v:textbox inset="0,0,0,0">
                    <w:txbxContent>
                      <w:p w14:paraId="5B2FAC01" w14:textId="77777777" w:rsidR="00F553A8" w:rsidRDefault="00F553A8">
                        <w:pPr>
                          <w:jc w:val="center"/>
                          <w:rPr>
                            <w:szCs w:val="21"/>
                          </w:rPr>
                        </w:pPr>
                        <w:r>
                          <w:rPr>
                            <w:szCs w:val="21"/>
                          </w:rPr>
                          <w:t>冷凝</w:t>
                        </w:r>
                      </w:p>
                    </w:txbxContent>
                  </v:textbox>
                </v:shape>
                <v:line id="直线 1814" o:spid="_x0000_s1202" style="position:absolute;visibility:visible;mso-wrap-style:square" from="31635,26689" to="36207,26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">
                  <v:stroke dashstyle="1 1" startarrowwidth="narrow" endarrowwidth="narrow" endcap="round"/>
                </v:line>
                <v:line id="直线 1815" o:spid="_x0000_s1203" style="position:absolute;visibility:visible;mso-wrap-style:square" from="36207,24618" to="36214,26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">
                  <v:stroke dashstyle="1 1" startarrow="block" startarrowwidth="narrow" endarrowwidth="narrow" endcap="round"/>
                </v:line>
                <v:line id="直线 1816" o:spid="_x0000_s1204" style="position:absolute;flip:y;visibility:visible;mso-wrap-style:square" from="31635,16376" to="34683,16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">
                  <v:stroke startarrow="block" startarrowwidth="narrow" endarrowwidth="narrow"/>
                </v:line>
                <v:line id="直线 1817" o:spid="_x0000_s1205" style="position:absolute;visibility:visible;mso-wrap-style:square" from="8775,9201" to="8782,26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">
                  <v:stroke startarrowwidth="narrow" endarrowwidth="narrow"/>
                </v:line>
                <v:line id="直线 1818" o:spid="_x0000_s1206" style="position:absolute;visibility:visible;mso-wrap-style:square" from="8775,28060" to="8782,3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">
                  <v:stroke dashstyle="1 1" startarrow="block" startarrowwidth="narrow" endarrowwidth="narrow" endcap="round"/>
                </v:line>
                <v:shape id="文本框 1819" o:spid="_x0000_s1207" type="#_x0000_t202" style="position:absolute;left:35445;top:17729;width:12878;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" strokecolor="white">
                  <v:textbox inset="0,0,0,0">
                    <w:txbxContent>
                      <w:p w14:paraId="3E100CE0" w14:textId="77777777" w:rsidR="00F553A8" w:rsidRDefault="00F553A8">
                        <w:pPr>
                          <w:rPr>
                            <w:szCs w:val="21"/>
                          </w:rPr>
                        </w:pPr>
                        <w:r>
                          <w:rPr>
                            <w:szCs w:val="21"/>
                          </w:rPr>
                          <w:t>废电解银S</w:t>
                        </w:r>
                        <w:r>
                          <w:rPr>
                            <w:szCs w:val="21"/>
                            <w:vertAlign w:val="subscript"/>
                          </w:rPr>
                          <w:t>3-1</w:t>
                        </w:r>
                        <w:r>
                          <w:rPr>
                            <w:szCs w:val="21"/>
                          </w:rPr>
                          <w:t>0.88</w:t>
                        </w:r>
                      </w:p>
                    </w:txbxContent>
                  </v:textbox>
                </v:shape>
                <v:line id="直线 1820" o:spid="_x0000_s1208" style="position:absolute;visibility:visible;mso-wrap-style:square" from="31635,18453" to="34683,18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">
                  <v:stroke startarrowwidth="narrow" endarrow="block" endarrowwidth="narrow"/>
                </v:line>
                <v:line id="直线 1821" o:spid="_x0000_s1209" style="position:absolute;visibility:visible;mso-wrap-style:square" from="22491,17418" to="25539,17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">
                  <v:stroke dashstyle="1 1" startarrowwidth="narrow" endarrow="block" endarrowwidth="narrow" endcap="round"/>
                </v:line>
                <v:shape id="文本框 1822" o:spid="_x0000_s1210" type="#_x0000_t202" style="position:absolute;left:10591;top:15347;width:4128;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" strokecolor="white">
                  <v:textbox inset="0,0,0,0">
                    <w:txbxContent>
                      <w:p w14:paraId="2D58B2AE" w14:textId="77777777" w:rsidR="00F553A8" w:rsidRDefault="00F553A8">
                        <w:pPr>
                          <w:jc w:val="right"/>
                          <w:rPr>
                            <w:szCs w:val="21"/>
                          </w:rPr>
                        </w:pPr>
                        <w:r>
                          <w:rPr>
                            <w:szCs w:val="21"/>
                          </w:rPr>
                          <w:t>氧气</w:t>
                        </w:r>
                      </w:p>
                      <w:p w14:paraId="3ECB78DB" w14:textId="77777777" w:rsidR="00F553A8" w:rsidRDefault="00F553A8">
                        <w:pPr>
                          <w:jc w:val="right"/>
                          <w:rPr>
                            <w:szCs w:val="21"/>
                          </w:rPr>
                        </w:pPr>
                        <w:r>
                          <w:rPr>
                            <w:szCs w:val="21"/>
                          </w:rPr>
                          <w:t>36501</w:t>
                        </w:r>
                      </w:p>
                    </w:txbxContent>
                  </v:textbox>
                </v:shape>
                <v:shape id="文本框 1823" o:spid="_x0000_s1211" type="#_x0000_t202" style="position:absolute;left:17919;top:16383;width:457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">
                  <v:textbox inset="0,0,0,0">
                    <w:txbxContent>
                      <w:p w14:paraId="08BE1525" w14:textId="77777777" w:rsidR="00F553A8" w:rsidRDefault="00F553A8">
                        <w:pPr>
                          <w:ind w:firstLineChars="50" w:firstLine="105"/>
                          <w:rPr>
                            <w:szCs w:val="21"/>
                          </w:rPr>
                        </w:pPr>
                        <w:r>
                          <w:rPr>
                            <w:szCs w:val="21"/>
                          </w:rPr>
                          <w:t>预热</w:t>
                        </w:r>
                      </w:p>
                    </w:txbxContent>
                  </v:textbox>
                </v:shape>
                <v:line id="直线 1824" o:spid="_x0000_s1212" style="position:absolute;visibility:visible;mso-wrap-style:square" from="14871,17418" to="17919,17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">
                  <v:stroke dashstyle="1 1" startarrowwidth="narrow" endarrow="block" endarrowwidth="narrow" endcap="round"/>
                </v:line>
                <v:line id="直线 1825" o:spid="_x0000_s1213" style="position:absolute;visibility:visible;mso-wrap-style:square" from="22491,26689" to="25539,26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">
                  <v:stroke startarrowwidth="narrow" endarrow="block" endarrowwidth="narrow"/>
                </v:line>
                <v:shape id="文本框 1826" o:spid="_x0000_s1214" type="#_x0000_t202" style="position:absolute;left:14719;top:25654;width:7315;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" strokecolor="white">
                  <v:textbox inset="0,0,0,0">
                    <w:txbxContent>
                      <w:p w14:paraId="4C85DA58" w14:textId="77777777" w:rsidR="00F553A8" w:rsidRDefault="00F553A8">
                        <w:pPr>
                          <w:jc w:val="right"/>
                          <w:rPr>
                            <w:szCs w:val="21"/>
                          </w:rPr>
                        </w:pPr>
                        <w:r>
                          <w:rPr>
                            <w:szCs w:val="21"/>
                          </w:rPr>
                          <w:t>水980980</w:t>
                        </w:r>
                      </w:p>
                    </w:txbxContent>
                  </v:textbox>
                </v:shape>
                <v:shape id="文本框 1827" o:spid="_x0000_s1215" type="#_x0000_t202" style="position:absolute;left:31635;top:20802;width:9989;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" strokecolor="white">
                  <v:textbox inset="0,0,0,0">
                    <w:txbxContent>
                      <w:p w14:paraId="778706D9" w14:textId="77777777" w:rsidR="00F553A8" w:rsidRDefault="00F553A8">
                        <w:pPr>
                          <w:rPr>
                            <w:szCs w:val="21"/>
                          </w:rPr>
                        </w:pPr>
                        <w:r>
                          <w:rPr>
                            <w:szCs w:val="21"/>
                          </w:rPr>
                          <w:t>废气G</w:t>
                        </w:r>
                        <w:r>
                          <w:rPr>
                            <w:szCs w:val="21"/>
                            <w:vertAlign w:val="subscript"/>
                          </w:rPr>
                          <w:t>3-1</w:t>
                        </w:r>
                        <w:r>
                          <w:rPr>
                            <w:szCs w:val="21"/>
                          </w:rPr>
                          <w:t>510(乙醛392、乙醇118)</w:t>
                        </w:r>
                      </w:p>
                      <w:p w14:paraId="121E9956" w14:textId="77777777" w:rsidR="00F553A8" w:rsidRDefault="00F553A8"/>
                    </w:txbxContent>
                  </v:textbox>
                </v:shape>
                <v:shape id="文本框 1828" o:spid="_x0000_s1216" type="#_x0000_t202" style="position:absolute;left:25539;top:31165;width:609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">
                  <v:textbox inset="0,0,0,0">
                    <w:txbxContent>
                      <w:p w14:paraId="3DD14D3A" w14:textId="77777777" w:rsidR="00F553A8" w:rsidRDefault="00F553A8">
                        <w:pPr>
                          <w:jc w:val="center"/>
                          <w:rPr>
                            <w:szCs w:val="21"/>
                          </w:rPr>
                        </w:pPr>
                        <w:r>
                          <w:rPr>
                            <w:szCs w:val="21"/>
                          </w:rPr>
                          <w:t>精馏</w:t>
                        </w:r>
                      </w:p>
                    </w:txbxContent>
                  </v:textbox>
                </v:shape>
                <v:line id="直线 1829" o:spid="_x0000_s1217" style="position:absolute;flip:y;visibility:visible;mso-wrap-style:square" from="11823,32289" to="25539,3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">
                  <v:stroke startarrow="block" startarrowwidth="narrow" endarrowwidth="narrow"/>
                </v:line>
                <v:shape id="文本框 1830" o:spid="_x0000_s1218" type="#_x0000_t202" style="position:absolute;left:3917;top:31165;width:790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">
                  <v:textbox inset="0,0,0,0">
                    <w:txbxContent>
                      <w:p w14:paraId="29295F26" w14:textId="77777777" w:rsidR="00F553A8" w:rsidRDefault="00F553A8">
                        <w:pPr>
                          <w:jc w:val="center"/>
                          <w:rPr>
                            <w:szCs w:val="21"/>
                          </w:rPr>
                        </w:pPr>
                        <w:r>
                          <w:rPr>
                            <w:szCs w:val="21"/>
                          </w:rPr>
                          <w:t>乙醇回收</w:t>
                        </w:r>
                      </w:p>
                    </w:txbxContent>
                  </v:textbox>
                </v:shape>
                <v:shape id="文本框 1831" o:spid="_x0000_s1219" type="#_x0000_t202" style="position:absolute;left:6489;top:26079;width:457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">
                  <v:textbox inset="0,0,0,0">
                    <w:txbxContent>
                      <w:p w14:paraId="2F0D2102" w14:textId="77777777" w:rsidR="00F553A8" w:rsidRDefault="00F553A8">
                        <w:pPr>
                          <w:ind w:firstLineChars="50" w:firstLine="105"/>
                          <w:rPr>
                            <w:szCs w:val="21"/>
                          </w:rPr>
                        </w:pPr>
                        <w:r>
                          <w:rPr>
                            <w:szCs w:val="21"/>
                          </w:rPr>
                          <w:t>冷凝</w:t>
                        </w:r>
                      </w:p>
                    </w:txbxContent>
                  </v:textbox>
                </v:shape>
                <v:line id="直线 1832" o:spid="_x0000_s1220" style="position:absolute;visibility:visible;mso-wrap-style:square" from="28587,33235" to="28594,3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">
                  <v:stroke dashstyle="1 1" endarrow="block" endarrowwidth="narrow" endcap="round"/>
                </v:line>
                <v:line id="直线 1833" o:spid="_x0000_s1221" style="position:absolute;visibility:visible;mso-wrap-style:square" from="28587,38411" to="28594,41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">
                  <v:stroke endarrow="block" endarrowwidth="narrow"/>
                </v:line>
                <v:shape id="文本框 1834" o:spid="_x0000_s1222" type="#_x0000_t202" style="position:absolute;left:22491;top:41516;width:12954;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" strokecolor="white">
                  <v:textbox inset="0,0,0,0">
                    <w:txbxContent>
                      <w:p w14:paraId="66207D84" w14:textId="77777777" w:rsidR="00F553A8" w:rsidRDefault="00F553A8">
                        <w:pPr>
                          <w:rPr>
                            <w:szCs w:val="21"/>
                          </w:rPr>
                        </w:pPr>
                        <w:r>
                          <w:rPr>
                            <w:szCs w:val="21"/>
                          </w:rPr>
                          <w:t>产品乙醛100000(乙醛98000、乙醇2000)</w:t>
                        </w:r>
                      </w:p>
                    </w:txbxContent>
                  </v:textbox>
                </v:shape>
                <v:line id="直线 1835" o:spid="_x0000_s1223" style="position:absolute;visibility:visible;mso-wrap-style:square" from="8775,33235" to="8782,35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">
                  <v:stroke startarrowwidth="narrow" endarrow="block" endarrowwidth="narrow"/>
                </v:line>
                <v:shape id="文本框 1836" o:spid="_x0000_s1224" type="#_x0000_t202" style="position:absolute;left:2603;top:35306;width:12116;height:7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" strokecolor="white">
                  <v:textbox inset="0,0,0,0">
                    <w:txbxContent>
                      <w:p w14:paraId="75898249" w14:textId="77777777" w:rsidR="00F553A8" w:rsidRDefault="00F553A8">
                        <w:pPr>
                          <w:ind w:firstLineChars="50" w:firstLine="105"/>
                          <w:rPr>
                            <w:szCs w:val="21"/>
                          </w:rPr>
                        </w:pPr>
                        <w:r>
                          <w:rPr>
                            <w:szCs w:val="21"/>
                          </w:rPr>
                          <w:t>废水W</w:t>
                        </w:r>
                        <w:r>
                          <w:rPr>
                            <w:szCs w:val="21"/>
                            <w:vertAlign w:val="subscript"/>
                          </w:rPr>
                          <w:t>3-1</w:t>
                        </w:r>
                        <w:r>
                          <w:rPr>
                            <w:szCs w:val="21"/>
                          </w:rPr>
                          <w:t>1032761</w:t>
                        </w:r>
                      </w:p>
                      <w:p w14:paraId="37580F4D" w14:textId="77777777" w:rsidR="00F553A8" w:rsidRDefault="00F553A8">
                        <w:pPr>
                          <w:ind w:left="105" w:hangingChars="50" w:hanging="105"/>
                          <w:rPr>
                            <w:szCs w:val="21"/>
                          </w:rPr>
                        </w:pPr>
                        <w:r>
                          <w:rPr>
                            <w:szCs w:val="21"/>
                          </w:rPr>
                          <w:t>(水1028585、乙醇2822、醋酸1354)</w:t>
                        </w:r>
                      </w:p>
                    </w:txbxContent>
                  </v:textbox>
                </v:shape>
                <v:shape id="文本框 1837" o:spid="_x0000_s1225" type="#_x0000_t202" style="position:absolute;left:22034;top:11887;width:5715;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" strokecolor="white">
                  <v:textbox inset="0,0,0,0">
                    <w:txbxContent>
                      <w:p w14:paraId="65ED58E4" w14:textId="77777777" w:rsidR="00F553A8" w:rsidRDefault="00F553A8">
                        <w:pPr>
                          <w:jc w:val="right"/>
                          <w:rPr>
                            <w:szCs w:val="21"/>
                          </w:rPr>
                        </w:pPr>
                        <w:r>
                          <w:rPr>
                            <w:szCs w:val="21"/>
                          </w:rPr>
                          <w:t>250341</w:t>
                        </w:r>
                      </w:p>
                    </w:txbxContent>
                  </v:textbox>
                </v:shape>
                <v:shape id="文本框 1838" o:spid="_x0000_s1226" type="#_x0000_t202" style="position:absolute;left:9925;top:7505;width:16078;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" strokecolor="white">
                  <v:textbox inset="0,0,0,0">
                    <w:txbxContent>
                      <w:p w14:paraId="24FE0EB0" w14:textId="77777777" w:rsidR="00F553A8" w:rsidRDefault="00F553A8">
                        <w:pPr>
                          <w:ind w:firstLineChars="50" w:firstLine="105"/>
                          <w:jc w:val="center"/>
                          <w:rPr>
                            <w:szCs w:val="21"/>
                          </w:rPr>
                        </w:pPr>
                        <w:r>
                          <w:rPr>
                            <w:szCs w:val="21"/>
                          </w:rPr>
                          <w:t>乙醇回用134551</w:t>
                        </w:r>
                      </w:p>
                      <w:p w14:paraId="41864BE1" w14:textId="77777777" w:rsidR="00F553A8" w:rsidRDefault="00F553A8">
                        <w:pPr>
                          <w:jc w:val="center"/>
                          <w:rPr>
                            <w:szCs w:val="21"/>
                          </w:rPr>
                        </w:pPr>
                        <w:r>
                          <w:rPr>
                            <w:szCs w:val="21"/>
                          </w:rPr>
                          <w:t>(乙醇96371、水38180)</w:t>
                        </w:r>
                      </w:p>
                    </w:txbxContent>
                  </v:textbox>
                </v:shape>
                <v:shape id="文本框 1839" o:spid="_x0000_s1227" type="#_x0000_t202" style="position:absolute;left:23558;top:990;width:10636;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" strokecolor="white">
                  <v:textbox inset="0,0,0,0">
                    <w:txbxContent>
                      <w:p w14:paraId="75A4F7F1" w14:textId="77777777" w:rsidR="00F553A8" w:rsidRDefault="00F553A8">
                        <w:pPr>
                          <w:rPr>
                            <w:szCs w:val="21"/>
                          </w:rPr>
                        </w:pPr>
                        <w:r>
                          <w:rPr>
                            <w:szCs w:val="21"/>
                          </w:rPr>
                          <w:t>酒精115790(乙醇108843、水6947)</w:t>
                        </w:r>
                      </w:p>
                    </w:txbxContent>
                  </v:textbox>
                </v:shape>
                <v:line id="直线 1840" o:spid="_x0000_s1228" style="position:absolute;visibility:visible;mso-wrap-style:square" from="8775,9226" to="25539,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">
                  <v:stroke startarrowwidth="narrow" endarrow="block" endarrowwidth="narrow"/>
                </v:line>
                <v:line id="直线 1841" o:spid="_x0000_s1229" style="position:absolute;visibility:visible;mso-wrap-style:square" from="28587,5086" to="28594,8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">
                  <v:stroke endarrow="block" endarrowwidth="narrow"/>
                </v:line>
                <v:shape id="文本框 1842" o:spid="_x0000_s1230" type="#_x0000_t202" style="position:absolute;left:25539;top:8191;width:609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">
                  <v:textbox inset="0,0,0,0">
                    <w:txbxContent>
                      <w:p w14:paraId="38F15A85" w14:textId="77777777" w:rsidR="00F553A8" w:rsidRDefault="00F553A8">
                        <w:pPr>
                          <w:jc w:val="center"/>
                          <w:rPr>
                            <w:szCs w:val="21"/>
                          </w:rPr>
                        </w:pPr>
                        <w:r>
                          <w:rPr>
                            <w:szCs w:val="21"/>
                          </w:rPr>
                          <w:t>气化</w:t>
                        </w:r>
                      </w:p>
                    </w:txbxContent>
                  </v:textbox>
                </v:shape>
                <v:shape id="文本框 1843" o:spid="_x0000_s1231" type="#_x0000_t202" style="position:absolute;left:23558;top:21793;width:419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" strokecolor="white">
                  <v:textbox inset="0,0,0,0">
                    <w:txbxContent>
                      <w:p w14:paraId="3BD9BF7E" w14:textId="77777777" w:rsidR="00F553A8" w:rsidRDefault="00F553A8">
                        <w:pPr>
                          <w:rPr>
                            <w:szCs w:val="21"/>
                          </w:rPr>
                        </w:pPr>
                        <w:r>
                          <w:rPr>
                            <w:szCs w:val="21"/>
                          </w:rPr>
                          <w:t>286842</w:t>
                        </w:r>
                      </w:p>
                    </w:txbxContent>
                  </v:textbox>
                </v:shape>
                <v:shape id="文本框 1844" o:spid="_x0000_s1232" type="#_x0000_t202" style="position:absolute;left:15176;top:30105;width:57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" strokecolor="white">
                  <v:textbox inset="0,0,0,0">
                    <w:txbxContent>
                      <w:p w14:paraId="4E15B830" w14:textId="77777777" w:rsidR="00F553A8" w:rsidRDefault="00F553A8">
                        <w:pPr>
                          <w:rPr>
                            <w:szCs w:val="21"/>
                          </w:rPr>
                        </w:pPr>
                        <w:r>
                          <w:rPr>
                            <w:szCs w:val="21"/>
                          </w:rPr>
                          <w:t>1167312</w:t>
                        </w:r>
                      </w:p>
                    </w:txbxContent>
                  </v:textbox>
                </v:shape>
                <v:shape id="文本框 1845" o:spid="_x0000_s1233" type="#_x0000_t202" style="position:absolute;left:22415;top:28727;width:533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" strokecolor="white">
                  <v:textbox inset="0,0,0,0">
                    <w:txbxContent>
                      <w:p w14:paraId="175532CE" w14:textId="77777777" w:rsidR="00F553A8" w:rsidRDefault="00F553A8">
                        <w:pPr>
                          <w:rPr>
                            <w:szCs w:val="21"/>
                          </w:rPr>
                        </w:pPr>
                        <w:r>
                          <w:rPr>
                            <w:szCs w:val="21"/>
                          </w:rPr>
                          <w:t>1267312</w:t>
                        </w:r>
                      </w:p>
                    </w:txbxContent>
                  </v:textbox>
                </v:shape>
                <v:line id="直线 1846" o:spid="_x0000_s1234" style="position:absolute;visibility:visible;mso-wrap-style:square" from="29730,33121" to="29737,3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">
                  <v:stroke startarrow="block" startarrowwidth="narrow" endarrowwidth="narrow"/>
                </v:line>
                <v:line id="直线 1847" o:spid="_x0000_s1235" style="position:absolute;visibility:visible;mso-wrap-style:square" from="9918,28060" to="9925,3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">
                  <v:stroke startarrowwidth="narrow" endarrow="block" endarrowwidth="narrow"/>
                </v:line>
                <w10:anchorlock/>
              </v:group>
            </w:pict>
          </mc:Fallback>
        </mc:AlternateContent>
      </w:r>
    </w:p>
    <w:p w14:paraId="3A8AC5FA" w14:textId="77777777" w:rsidR="002133E3" w:rsidRDefault="00C22CFA">
      <w:pPr>
        <w:spacing w:line="520" w:lineRule="exact"/>
        <w:jc w:val="center"/>
        <w:rPr>
          <w:rFonts w:ascii="Times New Roman" w:eastAsia="宋体" w:hAnsi="Times New Roman" w:cs="Times New Roman"/>
          <w:b/>
          <w:bCs/>
          <w:szCs w:val="21"/>
        </w:rPr>
      </w:pPr>
      <w:r>
        <w:rPr>
          <w:rFonts w:ascii="Times New Roman" w:eastAsia="宋体" w:hAnsi="Times New Roman" w:cs="Times New Roman"/>
          <w:b/>
          <w:bCs/>
          <w:szCs w:val="21"/>
        </w:rPr>
        <w:t>图</w:t>
      </w:r>
      <w:r>
        <w:rPr>
          <w:rFonts w:ascii="Times New Roman" w:eastAsia="宋体" w:hAnsi="Times New Roman" w:cs="Times New Roman"/>
          <w:b/>
          <w:bCs/>
          <w:szCs w:val="21"/>
        </w:rPr>
        <w:t xml:space="preserve">3.2-3  </w:t>
      </w:r>
      <w:r>
        <w:rPr>
          <w:rFonts w:ascii="Times New Roman" w:eastAsia="宋体" w:hAnsi="Times New Roman" w:cs="Times New Roman"/>
          <w:b/>
          <w:bCs/>
          <w:szCs w:val="21"/>
        </w:rPr>
        <w:t>乙醛生产线物料平衡图</w:t>
      </w:r>
      <w:r>
        <w:rPr>
          <w:rFonts w:ascii="Times New Roman" w:eastAsia="宋体" w:hAnsi="Times New Roman" w:cs="Times New Roman"/>
          <w:b/>
          <w:bCs/>
          <w:szCs w:val="21"/>
        </w:rPr>
        <w:t>(t/a)</w:t>
      </w:r>
    </w:p>
    <w:p w14:paraId="78D9EA0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正丁醇生产线</w:t>
      </w:r>
    </w:p>
    <w:p w14:paraId="5AF4D395"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宋体" w:eastAsia="宋体" w:hAnsi="宋体" w:cs="宋体" w:hint="eastAsia"/>
          <w:b/>
          <w:bCs/>
          <w:kern w:val="0"/>
          <w:sz w:val="28"/>
          <w:szCs w:val="28"/>
        </w:rPr>
        <w:t>⑴</w:t>
      </w:r>
      <w:r>
        <w:rPr>
          <w:rFonts w:ascii="Times New Roman" w:eastAsia="宋体" w:hAnsi="Times New Roman" w:cs="Times New Roman"/>
          <w:b/>
          <w:bCs/>
          <w:kern w:val="0"/>
          <w:sz w:val="28"/>
          <w:szCs w:val="28"/>
        </w:rPr>
        <w:t xml:space="preserve"> </w:t>
      </w:r>
      <w:r>
        <w:rPr>
          <w:rFonts w:ascii="Times New Roman" w:eastAsia="宋体" w:hAnsi="Times New Roman" w:cs="Times New Roman"/>
          <w:b/>
          <w:bCs/>
          <w:kern w:val="0"/>
          <w:sz w:val="28"/>
          <w:szCs w:val="28"/>
        </w:rPr>
        <w:t>工艺原理</w:t>
      </w:r>
    </w:p>
    <w:p w14:paraId="7D65D377"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丙酮丁醇发酵已被阐明为产酸期和产溶剂期两个阶段。在发酵初期，产生大量的有机酸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乙酸、丁酸等</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pH</w:t>
      </w:r>
      <w:r>
        <w:rPr>
          <w:rFonts w:ascii="Times New Roman" w:eastAsia="宋体" w:hAnsi="Times New Roman" w:cs="Times New Roman"/>
          <w:kern w:val="0"/>
          <w:sz w:val="28"/>
          <w:szCs w:val="28"/>
        </w:rPr>
        <w:t>值迅速下降，此时有较多的</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和</w:t>
      </w:r>
      <w:r>
        <w:rPr>
          <w:rFonts w:ascii="Times New Roman" w:eastAsia="宋体" w:hAnsi="Times New Roman" w:cs="Times New Roman"/>
          <w:kern w:val="0"/>
          <w:sz w:val="28"/>
          <w:szCs w:val="28"/>
        </w:rPr>
        <w:t>H</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产生。当酸度达到一定值后，进入产溶剂期，此时有机酸被还原，产生大量的溶剂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丙酮、丁醇、乙醇等</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，也有部分</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和</w:t>
      </w:r>
      <w:r>
        <w:rPr>
          <w:rFonts w:ascii="Times New Roman" w:eastAsia="宋体" w:hAnsi="Times New Roman" w:cs="Times New Roman"/>
          <w:kern w:val="0"/>
          <w:sz w:val="28"/>
          <w:szCs w:val="28"/>
        </w:rPr>
        <w:t>H</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产生。</w:t>
      </w:r>
    </w:p>
    <w:p w14:paraId="466E825A"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①</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产酸期</w:t>
      </w:r>
    </w:p>
    <w:p w14:paraId="188B95EF"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葡萄糖是丙酮丁醇菌容易利用的糖类，经过糖酵解</w:t>
      </w:r>
      <w:r>
        <w:rPr>
          <w:rFonts w:ascii="Times New Roman" w:eastAsia="宋体" w:hAnsi="Times New Roman" w:cs="Times New Roman"/>
          <w:kern w:val="0"/>
          <w:sz w:val="28"/>
          <w:szCs w:val="28"/>
        </w:rPr>
        <w:t>(EMP)</w:t>
      </w:r>
      <w:r>
        <w:rPr>
          <w:rFonts w:ascii="Times New Roman" w:eastAsia="宋体" w:hAnsi="Times New Roman" w:cs="Times New Roman"/>
          <w:kern w:val="0"/>
          <w:sz w:val="28"/>
          <w:szCs w:val="28"/>
        </w:rPr>
        <w:t>途径产生丙酮酸。五碳糖也可以被丙酮丁醇菌利用，通过磷酸戊糖途径</w:t>
      </w:r>
      <w:r>
        <w:rPr>
          <w:rFonts w:ascii="Times New Roman" w:eastAsia="宋体" w:hAnsi="Times New Roman" w:cs="Times New Roman"/>
          <w:kern w:val="0"/>
          <w:sz w:val="28"/>
          <w:szCs w:val="28"/>
        </w:rPr>
        <w:t>(HMP)</w:t>
      </w:r>
      <w:r>
        <w:rPr>
          <w:rFonts w:ascii="Times New Roman" w:eastAsia="宋体" w:hAnsi="Times New Roman" w:cs="Times New Roman"/>
          <w:kern w:val="0"/>
          <w:sz w:val="28"/>
          <w:szCs w:val="28"/>
        </w:rPr>
        <w:t>，转化为</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磷酸果糖和</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磷酸甘油醛，进入</w:t>
      </w:r>
      <w:r>
        <w:rPr>
          <w:rFonts w:ascii="Times New Roman" w:eastAsia="宋体" w:hAnsi="Times New Roman" w:cs="Times New Roman"/>
          <w:kern w:val="0"/>
          <w:sz w:val="28"/>
          <w:szCs w:val="28"/>
        </w:rPr>
        <w:t>EMP</w:t>
      </w:r>
      <w:r>
        <w:rPr>
          <w:rFonts w:ascii="Times New Roman" w:eastAsia="宋体" w:hAnsi="Times New Roman" w:cs="Times New Roman"/>
          <w:kern w:val="0"/>
          <w:sz w:val="28"/>
          <w:szCs w:val="28"/>
        </w:rPr>
        <w:t>途径。丙酮酸和</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在丙酮酸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铁氧还蛋白氧化还原酶的作用下生成乙酰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，同时产生</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。铁氧还蛋白通过</w:t>
      </w:r>
      <w:r>
        <w:rPr>
          <w:rFonts w:ascii="Times New Roman" w:eastAsia="宋体" w:hAnsi="Times New Roman" w:cs="Times New Roman"/>
          <w:kern w:val="0"/>
          <w:sz w:val="28"/>
          <w:szCs w:val="28"/>
        </w:rPr>
        <w:t>NADH/NADPH</w:t>
      </w:r>
      <w:r>
        <w:rPr>
          <w:rFonts w:ascii="Times New Roman" w:eastAsia="宋体" w:hAnsi="Times New Roman" w:cs="Times New Roman"/>
          <w:kern w:val="0"/>
          <w:sz w:val="28"/>
          <w:szCs w:val="28"/>
        </w:rPr>
        <w:t>铁氧还蛋白氧化还原酶和此过程耦合，调节细胞内电子的分配和</w:t>
      </w:r>
      <w:r>
        <w:rPr>
          <w:rFonts w:ascii="Times New Roman" w:eastAsia="宋体" w:hAnsi="Times New Roman" w:cs="Times New Roman"/>
          <w:kern w:val="0"/>
          <w:sz w:val="28"/>
          <w:szCs w:val="28"/>
        </w:rPr>
        <w:t>NAD</w:t>
      </w:r>
      <w:r>
        <w:rPr>
          <w:rFonts w:ascii="Times New Roman" w:eastAsia="宋体" w:hAnsi="Times New Roman" w:cs="Times New Roman"/>
          <w:kern w:val="0"/>
          <w:sz w:val="28"/>
          <w:szCs w:val="28"/>
        </w:rPr>
        <w:t>的氧化还原，同时产生</w:t>
      </w:r>
      <w:r>
        <w:rPr>
          <w:rFonts w:ascii="Times New Roman" w:eastAsia="宋体" w:hAnsi="Times New Roman" w:cs="Times New Roman"/>
          <w:kern w:val="0"/>
          <w:sz w:val="28"/>
          <w:szCs w:val="28"/>
        </w:rPr>
        <w:t>H</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w:t>
      </w:r>
    </w:p>
    <w:p w14:paraId="3E03A021"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乙酸和丁酸都由乙酰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转化而来。在乙酸的形成过程中，磷酸酰基转移酶</w:t>
      </w:r>
      <w:r>
        <w:rPr>
          <w:rFonts w:ascii="Times New Roman" w:eastAsia="宋体" w:hAnsi="Times New Roman" w:cs="Times New Roman"/>
          <w:kern w:val="0"/>
          <w:sz w:val="28"/>
          <w:szCs w:val="28"/>
        </w:rPr>
        <w:t>(PTA)</w:t>
      </w:r>
      <w:r>
        <w:rPr>
          <w:rFonts w:ascii="Times New Roman" w:eastAsia="宋体" w:hAnsi="Times New Roman" w:cs="Times New Roman"/>
          <w:kern w:val="0"/>
          <w:sz w:val="28"/>
          <w:szCs w:val="28"/>
        </w:rPr>
        <w:t>催化乙酰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生成酰基磷酸酯，接着在乙酸激酶</w:t>
      </w:r>
      <w:r>
        <w:rPr>
          <w:rFonts w:ascii="Times New Roman" w:eastAsia="宋体" w:hAnsi="Times New Roman" w:cs="Times New Roman"/>
          <w:kern w:val="0"/>
          <w:sz w:val="28"/>
          <w:szCs w:val="28"/>
        </w:rPr>
        <w:t>(AK)</w:t>
      </w:r>
      <w:r>
        <w:rPr>
          <w:rFonts w:ascii="Times New Roman" w:eastAsia="宋体" w:hAnsi="Times New Roman" w:cs="Times New Roman"/>
          <w:kern w:val="0"/>
          <w:sz w:val="28"/>
          <w:szCs w:val="28"/>
        </w:rPr>
        <w:t>的催化下生成乙酸。丁酸的形成较复杂，乙酰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在硫激酶、</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羟基丁酰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脱氢酶、巴豆酶和丁酰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脱氢酶</w:t>
      </w:r>
      <w:r>
        <w:rPr>
          <w:rFonts w:ascii="Times New Roman" w:eastAsia="宋体" w:hAnsi="Times New Roman" w:cs="Times New Roman"/>
          <w:kern w:val="0"/>
          <w:sz w:val="28"/>
          <w:szCs w:val="28"/>
        </w:rPr>
        <w:t>4</w:t>
      </w:r>
      <w:r>
        <w:rPr>
          <w:rFonts w:ascii="Times New Roman" w:eastAsia="宋体" w:hAnsi="Times New Roman" w:cs="Times New Roman"/>
          <w:kern w:val="0"/>
          <w:sz w:val="28"/>
          <w:szCs w:val="28"/>
        </w:rPr>
        <w:t>种酶的催化下生成丁酰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，然后经磷酸丁酰转移酶</w:t>
      </w:r>
      <w:r>
        <w:rPr>
          <w:rFonts w:ascii="Times New Roman" w:eastAsia="宋体" w:hAnsi="Times New Roman" w:cs="Times New Roman"/>
          <w:kern w:val="0"/>
          <w:sz w:val="28"/>
          <w:szCs w:val="28"/>
        </w:rPr>
        <w:t>(PTB)</w:t>
      </w:r>
      <w:r>
        <w:rPr>
          <w:rFonts w:ascii="Times New Roman" w:eastAsia="宋体" w:hAnsi="Times New Roman" w:cs="Times New Roman"/>
          <w:kern w:val="0"/>
          <w:sz w:val="28"/>
          <w:szCs w:val="28"/>
        </w:rPr>
        <w:t>催化生成丁酰磷酸盐，最后丁酰磷酸盐经丁酸激酶去磷酸化，生成丁酸。</w:t>
      </w:r>
    </w:p>
    <w:p w14:paraId="2C22F592"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②</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产溶剂期</w:t>
      </w:r>
    </w:p>
    <w:p w14:paraId="5433A4E0"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乙酰乙酰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：乙酸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丁酸：</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转移酶是溶剂形成途径中的关键酶之一，有广泛的羧酸特异性，能催化乙酸或者丁酸的</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转移反应。乙酰乙酰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转移酶在转化乙酰乙酰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为乙酰乙酸的过程中可以利用乙酸或丁酸作为</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接受体，而乙酰乙酸脱羧形成丙酮。乙酸和丁酸在乙酰乙酰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：乙酸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丁酸：</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转移酶的催化下重利用，分别生产乙酰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和丁酰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。丁酰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经过两步还原生成丁醇。乙酸和丁酸的重利用通过乙酰乙酰</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：乙酸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丁酸：</w:t>
      </w:r>
      <w:r>
        <w:rPr>
          <w:rFonts w:ascii="Times New Roman" w:eastAsia="宋体" w:hAnsi="Times New Roman" w:cs="Times New Roman"/>
          <w:kern w:val="0"/>
          <w:sz w:val="28"/>
          <w:szCs w:val="28"/>
        </w:rPr>
        <w:t>CoA</w:t>
      </w:r>
      <w:r>
        <w:rPr>
          <w:rFonts w:ascii="Times New Roman" w:eastAsia="宋体" w:hAnsi="Times New Roman" w:cs="Times New Roman"/>
          <w:kern w:val="0"/>
          <w:sz w:val="28"/>
          <w:szCs w:val="28"/>
        </w:rPr>
        <w:t>转移酶直接和丙酮的产生结合，因此在一般的间歇发酵中不可能只得到丁醇而不产生丙酮。</w:t>
      </w:r>
    </w:p>
    <w:p w14:paraId="5C49001D" w14:textId="77777777" w:rsidR="002133E3" w:rsidRDefault="00C22CFA">
      <w:pPr>
        <w:widowControl/>
        <w:snapToGrid w:val="0"/>
        <w:spacing w:line="500" w:lineRule="atLeast"/>
        <w:ind w:firstLineChars="200" w:firstLine="562"/>
        <w:jc w:val="left"/>
        <w:rPr>
          <w:rFonts w:ascii="Times New Roman" w:eastAsia="宋体" w:hAnsi="Times New Roman" w:cs="Times New Roman"/>
          <w:b/>
          <w:bCs/>
          <w:kern w:val="0"/>
          <w:sz w:val="28"/>
          <w:szCs w:val="28"/>
        </w:rPr>
      </w:pPr>
      <w:r>
        <w:rPr>
          <w:rFonts w:ascii="宋体" w:eastAsia="宋体" w:hAnsi="宋体" w:cs="宋体" w:hint="eastAsia"/>
          <w:b/>
          <w:bCs/>
          <w:kern w:val="0"/>
          <w:sz w:val="28"/>
          <w:szCs w:val="28"/>
        </w:rPr>
        <w:t>⑵</w:t>
      </w:r>
      <w:r>
        <w:rPr>
          <w:rFonts w:ascii="Times New Roman" w:eastAsia="宋体" w:hAnsi="Times New Roman" w:cs="Times New Roman"/>
          <w:b/>
          <w:bCs/>
          <w:kern w:val="0"/>
          <w:sz w:val="28"/>
          <w:szCs w:val="28"/>
        </w:rPr>
        <w:t xml:space="preserve"> </w:t>
      </w:r>
      <w:r>
        <w:rPr>
          <w:rFonts w:ascii="Times New Roman" w:eastAsia="宋体" w:hAnsi="Times New Roman" w:cs="Times New Roman"/>
          <w:b/>
          <w:bCs/>
          <w:kern w:val="0"/>
          <w:sz w:val="28"/>
          <w:szCs w:val="28"/>
        </w:rPr>
        <w:t>化学反应式</w:t>
      </w:r>
    </w:p>
    <w:p w14:paraId="77963119"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lastRenderedPageBreak/>
        <w:t>①</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糖化</w:t>
      </w:r>
    </w:p>
    <w:p w14:paraId="57E680BF" w14:textId="77777777" w:rsidR="002133E3" w:rsidRDefault="00C22CFA">
      <w:pPr>
        <w:widowControl/>
        <w:snapToGrid w:val="0"/>
        <w:spacing w:line="500" w:lineRule="atLeast"/>
        <w:jc w:val="center"/>
        <w:rPr>
          <w:rFonts w:ascii="Times New Roman" w:eastAsia="宋体" w:hAnsi="Times New Roman" w:cs="Times New Roman"/>
          <w:kern w:val="0"/>
          <w:szCs w:val="21"/>
        </w:rPr>
      </w:pPr>
      <w:r>
        <w:rPr>
          <w:rFonts w:ascii="Times New Roman" w:eastAsia="宋体" w:hAnsi="Times New Roman" w:cs="Times New Roman"/>
          <w:kern w:val="0"/>
          <w:sz w:val="24"/>
          <w:szCs w:val="20"/>
        </w:rPr>
        <w:object w:dxaOrig="3696" w:dyaOrig="1128" w14:anchorId="688C085D">
          <v:shape id="_x0000_i1027" type="#_x0000_t75" style="width:184.8pt;height:56.4pt" o:ole="">
            <v:imagedata r:id="rId19" o:title=""/>
          </v:shape>
          <o:OLEObject Type="Embed" ProgID="Unknown" ShapeID="_x0000_i1027" DrawAspect="Content" ObjectID="_1687345253" r:id="rId20"/>
        </w:object>
      </w:r>
      <w:r>
        <w:rPr>
          <w:rFonts w:ascii="Times New Roman" w:eastAsia="宋体" w:hAnsi="Times New Roman" w:cs="Times New Roman"/>
          <w:kern w:val="0"/>
          <w:sz w:val="24"/>
          <w:szCs w:val="20"/>
        </w:rPr>
        <w:t xml:space="preserve">   </w:t>
      </w:r>
    </w:p>
    <w:p w14:paraId="5E4AF064" w14:textId="77777777" w:rsidR="002133E3" w:rsidRDefault="00C22CFA">
      <w:pPr>
        <w:widowControl/>
        <w:snapToGrid w:val="0"/>
        <w:spacing w:line="500" w:lineRule="atLeast"/>
        <w:ind w:firstLineChars="200" w:firstLine="560"/>
        <w:jc w:val="left"/>
        <w:rPr>
          <w:rFonts w:ascii="Times New Roman" w:eastAsia="宋体" w:hAnsi="Times New Roman" w:cs="Times New Roman"/>
          <w:smallCaps/>
          <w:kern w:val="0"/>
          <w:sz w:val="28"/>
          <w:szCs w:val="28"/>
        </w:rPr>
      </w:pPr>
      <w:r>
        <w:rPr>
          <w:rFonts w:ascii="Times New Roman" w:eastAsia="宋体" w:hAnsi="Times New Roman" w:cs="Times New Roman"/>
          <w:smallCaps/>
          <w:kern w:val="0"/>
          <w:sz w:val="28"/>
          <w:szCs w:val="28"/>
        </w:rPr>
        <w:t>淀粉糖化的转化率为</w:t>
      </w:r>
      <w:r>
        <w:rPr>
          <w:rFonts w:ascii="Times New Roman" w:eastAsia="宋体" w:hAnsi="Times New Roman" w:cs="Times New Roman"/>
          <w:smallCaps/>
          <w:kern w:val="0"/>
          <w:sz w:val="28"/>
          <w:szCs w:val="28"/>
        </w:rPr>
        <w:t>90%</w:t>
      </w:r>
      <w:r>
        <w:rPr>
          <w:rFonts w:ascii="Times New Roman" w:eastAsia="宋体" w:hAnsi="Times New Roman" w:cs="Times New Roman"/>
          <w:smallCaps/>
          <w:kern w:val="0"/>
          <w:sz w:val="28"/>
          <w:szCs w:val="28"/>
        </w:rPr>
        <w:t>。</w:t>
      </w:r>
    </w:p>
    <w:p w14:paraId="7BF50663" w14:textId="77777777" w:rsidR="002133E3" w:rsidRDefault="00C22CFA">
      <w:pPr>
        <w:widowControl/>
        <w:snapToGrid w:val="0"/>
        <w:spacing w:line="500" w:lineRule="atLeast"/>
        <w:jc w:val="center"/>
        <w:rPr>
          <w:rFonts w:ascii="Times New Roman" w:eastAsia="宋体" w:hAnsi="Times New Roman" w:cs="Times New Roman"/>
          <w:kern w:val="0"/>
          <w:sz w:val="24"/>
          <w:szCs w:val="20"/>
        </w:rPr>
      </w:pPr>
      <w:r>
        <w:rPr>
          <w:rFonts w:ascii="Times New Roman" w:eastAsia="宋体" w:hAnsi="Times New Roman" w:cs="Times New Roman"/>
          <w:kern w:val="0"/>
          <w:sz w:val="24"/>
          <w:szCs w:val="20"/>
        </w:rPr>
        <w:object w:dxaOrig="5476" w:dyaOrig="1345" w14:anchorId="0BE5D009">
          <v:shape id="_x0000_i1028" type="#_x0000_t75" style="width:273.8pt;height:67.25pt" o:ole="">
            <v:imagedata r:id="rId21" o:title=""/>
          </v:shape>
          <o:OLEObject Type="Embed" ProgID="Unknown" ShapeID="_x0000_i1028" DrawAspect="Content" ObjectID="_1687345254" r:id="rId22"/>
        </w:object>
      </w:r>
      <w:r>
        <w:rPr>
          <w:rFonts w:ascii="Times New Roman" w:eastAsia="宋体" w:hAnsi="Times New Roman" w:cs="Times New Roman"/>
          <w:kern w:val="0"/>
          <w:sz w:val="24"/>
          <w:szCs w:val="20"/>
        </w:rPr>
        <w:t xml:space="preserve">   </w:t>
      </w:r>
    </w:p>
    <w:p w14:paraId="388A6BDC" w14:textId="77777777" w:rsidR="002133E3" w:rsidRDefault="00C22CFA">
      <w:pPr>
        <w:widowControl/>
        <w:snapToGrid w:val="0"/>
        <w:spacing w:line="500" w:lineRule="atLeast"/>
        <w:jc w:val="center"/>
        <w:rPr>
          <w:rFonts w:ascii="Times New Roman" w:eastAsia="宋体" w:hAnsi="Times New Roman" w:cs="Times New Roman"/>
          <w:kern w:val="0"/>
          <w:sz w:val="28"/>
          <w:szCs w:val="28"/>
        </w:rPr>
      </w:pPr>
      <w:r>
        <w:rPr>
          <w:rFonts w:ascii="Times New Roman" w:eastAsia="宋体" w:hAnsi="Times New Roman" w:cs="Times New Roman"/>
          <w:kern w:val="0"/>
          <w:sz w:val="24"/>
          <w:szCs w:val="20"/>
        </w:rPr>
        <w:object w:dxaOrig="5906" w:dyaOrig="1155" w14:anchorId="649A5B70">
          <v:shape id="_x0000_i1029" type="#_x0000_t75" style="width:295.3pt;height:57.75pt" o:ole="">
            <v:imagedata r:id="rId23" o:title=""/>
          </v:shape>
          <o:OLEObject Type="Embed" ProgID="ChemDraw.Document.6.0" ShapeID="_x0000_i1029" DrawAspect="Content" ObjectID="_1687345255" r:id="rId24"/>
        </w:object>
      </w:r>
      <w:r>
        <w:rPr>
          <w:rFonts w:ascii="Times New Roman" w:eastAsia="宋体" w:hAnsi="Times New Roman" w:cs="Times New Roman"/>
          <w:kern w:val="0"/>
          <w:sz w:val="24"/>
          <w:szCs w:val="20"/>
        </w:rPr>
        <w:t xml:space="preserve">   </w:t>
      </w:r>
    </w:p>
    <w:p w14:paraId="3708A366" w14:textId="77777777" w:rsidR="002133E3" w:rsidRDefault="00C22CFA">
      <w:pPr>
        <w:widowControl/>
        <w:snapToGrid w:val="0"/>
        <w:spacing w:line="500" w:lineRule="atLeast"/>
        <w:ind w:firstLineChars="200" w:firstLine="560"/>
        <w:jc w:val="left"/>
        <w:rPr>
          <w:rFonts w:ascii="Times New Roman" w:eastAsia="宋体" w:hAnsi="Times New Roman" w:cs="Times New Roman"/>
          <w:smallCaps/>
          <w:kern w:val="0"/>
          <w:sz w:val="28"/>
          <w:szCs w:val="28"/>
        </w:rPr>
      </w:pPr>
      <w:r>
        <w:rPr>
          <w:rFonts w:ascii="宋体" w:eastAsia="宋体" w:hAnsi="宋体" w:cs="宋体" w:hint="eastAsia"/>
          <w:smallCaps/>
          <w:kern w:val="0"/>
          <w:sz w:val="28"/>
          <w:szCs w:val="28"/>
        </w:rPr>
        <w:t>②</w:t>
      </w:r>
      <w:r>
        <w:rPr>
          <w:rFonts w:ascii="Times New Roman" w:eastAsia="宋体" w:hAnsi="Times New Roman" w:cs="Times New Roman"/>
          <w:smallCaps/>
          <w:kern w:val="0"/>
          <w:sz w:val="28"/>
          <w:szCs w:val="28"/>
        </w:rPr>
        <w:t xml:space="preserve"> </w:t>
      </w:r>
      <w:r>
        <w:rPr>
          <w:rFonts w:ascii="Times New Roman" w:eastAsia="宋体" w:hAnsi="Times New Roman" w:cs="Times New Roman"/>
          <w:smallCaps/>
          <w:kern w:val="0"/>
          <w:sz w:val="28"/>
          <w:szCs w:val="28"/>
        </w:rPr>
        <w:t>发酵</w:t>
      </w:r>
      <w:r>
        <w:rPr>
          <w:rFonts w:ascii="Times New Roman" w:eastAsia="宋体" w:hAnsi="Times New Roman" w:cs="Times New Roman"/>
          <w:smallCaps/>
          <w:kern w:val="0"/>
          <w:sz w:val="28"/>
          <w:szCs w:val="28"/>
        </w:rPr>
        <w:t>(</w:t>
      </w:r>
      <w:r>
        <w:rPr>
          <w:rFonts w:ascii="Times New Roman" w:eastAsia="宋体" w:hAnsi="Times New Roman" w:cs="Times New Roman"/>
          <w:smallCaps/>
          <w:kern w:val="0"/>
          <w:sz w:val="28"/>
          <w:szCs w:val="28"/>
        </w:rPr>
        <w:t>化学式</w:t>
      </w:r>
      <w:r>
        <w:rPr>
          <w:rFonts w:ascii="Times New Roman" w:eastAsia="宋体" w:hAnsi="Times New Roman" w:cs="Times New Roman"/>
          <w:smallCaps/>
          <w:kern w:val="0"/>
          <w:sz w:val="28"/>
          <w:szCs w:val="28"/>
        </w:rPr>
        <w:t>)</w:t>
      </w:r>
    </w:p>
    <w:p w14:paraId="617154F2" w14:textId="77777777" w:rsidR="002133E3" w:rsidRDefault="00C22CFA">
      <w:pPr>
        <w:widowControl/>
        <w:snapToGrid w:val="0"/>
        <w:spacing w:line="500" w:lineRule="atLeast"/>
        <w:ind w:firstLineChars="200" w:firstLine="560"/>
        <w:jc w:val="left"/>
        <w:rPr>
          <w:rFonts w:ascii="Times New Roman" w:eastAsia="宋体" w:hAnsi="Times New Roman" w:cs="Times New Roman"/>
          <w:smallCaps/>
          <w:kern w:val="0"/>
          <w:sz w:val="28"/>
          <w:szCs w:val="28"/>
        </w:rPr>
      </w:pPr>
      <w:r>
        <w:rPr>
          <w:rFonts w:ascii="Times New Roman" w:eastAsia="宋体" w:hAnsi="Times New Roman" w:cs="Times New Roman"/>
          <w:smallCaps/>
          <w:kern w:val="0"/>
          <w:sz w:val="28"/>
          <w:szCs w:val="28"/>
        </w:rPr>
        <w:t>主反应：</w:t>
      </w:r>
      <w:r>
        <w:rPr>
          <w:rFonts w:ascii="Times New Roman" w:eastAsia="宋体" w:hAnsi="Times New Roman" w:cs="Times New Roman"/>
          <w:smallCaps/>
          <w:kern w:val="0"/>
          <w:sz w:val="28"/>
          <w:szCs w:val="28"/>
        </w:rPr>
        <w:t xml:space="preserve"> </w:t>
      </w:r>
    </w:p>
    <w:p w14:paraId="53D4C066" w14:textId="77777777" w:rsidR="002133E3" w:rsidRDefault="00C22CFA">
      <w:pPr>
        <w:widowControl/>
        <w:snapToGrid w:val="0"/>
        <w:spacing w:line="500" w:lineRule="atLeast"/>
        <w:jc w:val="center"/>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50560" behindDoc="0" locked="0" layoutInCell="1" allowOverlap="1" wp14:anchorId="0491577B" wp14:editId="56D5AF85">
                <wp:simplePos x="0" y="0"/>
                <wp:positionH relativeFrom="column">
                  <wp:posOffset>1470025</wp:posOffset>
                </wp:positionH>
                <wp:positionV relativeFrom="paragraph">
                  <wp:posOffset>236220</wp:posOffset>
                </wp:positionV>
                <wp:extent cx="680085" cy="0"/>
                <wp:effectExtent l="0" t="76200" r="24765" b="95250"/>
                <wp:wrapNone/>
                <wp:docPr id="423" name="直接箭头连接符 423"/>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CB3226D" id="_x0000_t32" coordsize="21600,21600" o:spt="32" o:oned="t" path="m,l21600,21600e" filled="f">
                <v:path arrowok="t" fillok="f" o:connecttype="none"/>
                <o:lock v:ext="edit" shapetype="t"/>
              </v:shapetype>
              <v:shape id="直接箭头连接符 423" o:spid="_x0000_s1026" type="#_x0000_t32" style="position:absolute;left:0;text-align:left;margin-left:115.75pt;margin-top:18.6pt;width:53.55pt;height:0;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" strokecolor="black [3200]" strokeweight=".5pt">
                <v:stroke endarrow="block" joinstyle="miter"/>
              </v:shape>
            </w:pict>
          </mc:Fallback>
        </mc:AlternateContent>
      </w:r>
      <w:r>
        <w:rPr>
          <w:rFonts w:ascii="Times New Roman" w:eastAsia="宋体" w:hAnsi="Times New Roman" w:cs="Times New Roman"/>
          <w:kern w:val="0"/>
          <w:sz w:val="24"/>
          <w:szCs w:val="20"/>
        </w:rPr>
        <w:t xml:space="preserve">   C</w:t>
      </w:r>
      <w:r>
        <w:rPr>
          <w:rFonts w:ascii="Times New Roman" w:eastAsia="宋体" w:hAnsi="Times New Roman" w:cs="Times New Roman"/>
          <w:kern w:val="0"/>
          <w:sz w:val="24"/>
          <w:szCs w:val="20"/>
          <w:vertAlign w:val="subscript"/>
        </w:rPr>
        <w:t>6</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12</w:t>
      </w:r>
      <w:r>
        <w:rPr>
          <w:rFonts w:ascii="Times New Roman" w:eastAsia="宋体" w:hAnsi="Times New Roman" w:cs="Times New Roman"/>
          <w:kern w:val="0"/>
          <w:sz w:val="24"/>
          <w:szCs w:val="20"/>
        </w:rPr>
        <w:t>O</w:t>
      </w:r>
      <w:r>
        <w:rPr>
          <w:rFonts w:ascii="Times New Roman" w:eastAsia="宋体" w:hAnsi="Times New Roman" w:cs="Times New Roman"/>
          <w:kern w:val="0"/>
          <w:sz w:val="24"/>
          <w:szCs w:val="20"/>
          <w:vertAlign w:val="subscript"/>
        </w:rPr>
        <w:t xml:space="preserve">6  </w:t>
      </w:r>
      <w:r>
        <w:rPr>
          <w:rFonts w:ascii="Times New Roman" w:eastAsia="宋体" w:hAnsi="Times New Roman" w:cs="Times New Roman"/>
          <w:smallCaps/>
          <w:kern w:val="0"/>
          <w:sz w:val="28"/>
          <w:szCs w:val="28"/>
          <w:vertAlign w:val="superscript"/>
        </w:rPr>
        <w:t>丙酮</w:t>
      </w:r>
      <w:r>
        <w:rPr>
          <w:rFonts w:ascii="Times New Roman" w:eastAsia="宋体" w:hAnsi="Times New Roman" w:cs="Times New Roman"/>
          <w:smallCaps/>
          <w:kern w:val="0"/>
          <w:sz w:val="28"/>
          <w:szCs w:val="28"/>
          <w:vertAlign w:val="superscript"/>
        </w:rPr>
        <w:t>-</w:t>
      </w:r>
      <w:r>
        <w:rPr>
          <w:rFonts w:ascii="Times New Roman" w:eastAsia="宋体" w:hAnsi="Times New Roman" w:cs="Times New Roman"/>
          <w:smallCaps/>
          <w:kern w:val="0"/>
          <w:sz w:val="28"/>
          <w:szCs w:val="28"/>
          <w:vertAlign w:val="superscript"/>
        </w:rPr>
        <w:t>丁醇梭菌</w:t>
      </w:r>
      <w:r>
        <w:rPr>
          <w:rFonts w:ascii="Times New Roman" w:eastAsia="宋体" w:hAnsi="Times New Roman" w:cs="Times New Roman"/>
          <w:kern w:val="0"/>
          <w:sz w:val="24"/>
          <w:szCs w:val="20"/>
        </w:rPr>
        <w:t xml:space="preserve">  C</w:t>
      </w:r>
      <w:r>
        <w:rPr>
          <w:rFonts w:ascii="Times New Roman" w:eastAsia="宋体" w:hAnsi="Times New Roman" w:cs="Times New Roman"/>
          <w:kern w:val="0"/>
          <w:sz w:val="24"/>
          <w:szCs w:val="20"/>
          <w:vertAlign w:val="subscript"/>
        </w:rPr>
        <w:t>4</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10</w:t>
      </w:r>
      <w:r>
        <w:rPr>
          <w:rFonts w:ascii="Times New Roman" w:eastAsia="宋体" w:hAnsi="Times New Roman" w:cs="Times New Roman"/>
          <w:kern w:val="0"/>
          <w:sz w:val="24"/>
          <w:szCs w:val="20"/>
        </w:rPr>
        <w:t>O+C</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6</w:t>
      </w:r>
      <w:r>
        <w:rPr>
          <w:rFonts w:ascii="Times New Roman" w:eastAsia="宋体" w:hAnsi="Times New Roman" w:cs="Times New Roman"/>
          <w:kern w:val="0"/>
          <w:sz w:val="24"/>
          <w:szCs w:val="20"/>
        </w:rPr>
        <w:t>O+C</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6</w:t>
      </w:r>
      <w:r>
        <w:rPr>
          <w:rFonts w:ascii="Times New Roman" w:eastAsia="宋体" w:hAnsi="Times New Roman" w:cs="Times New Roman"/>
          <w:kern w:val="0"/>
          <w:sz w:val="24"/>
          <w:szCs w:val="20"/>
        </w:rPr>
        <w:t>O+C</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4</w:t>
      </w:r>
      <w:r>
        <w:rPr>
          <w:rFonts w:ascii="Times New Roman" w:eastAsia="宋体" w:hAnsi="Times New Roman" w:cs="Times New Roman"/>
          <w:kern w:val="0"/>
          <w:sz w:val="24"/>
          <w:szCs w:val="20"/>
        </w:rPr>
        <w:t>O</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+CO</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 xml:space="preserve"> +H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w:t>
      </w:r>
      <w:r>
        <w:rPr>
          <w:rFonts w:ascii="Times New Roman" w:eastAsia="宋体" w:hAnsi="Times New Roman" w:cs="Times New Roman"/>
          <w:kern w:val="0"/>
          <w:sz w:val="24"/>
          <w:szCs w:val="20"/>
        </w:rPr>
        <w:t>杂醇油</w:t>
      </w:r>
    </w:p>
    <w:p w14:paraId="23E5E5E5" w14:textId="77777777" w:rsidR="002133E3" w:rsidRDefault="00C22CFA">
      <w:pPr>
        <w:widowControl/>
        <w:snapToGrid w:val="0"/>
        <w:spacing w:line="500" w:lineRule="atLeast"/>
        <w:ind w:firstLineChars="600" w:firstLine="1440"/>
        <w:rPr>
          <w:rFonts w:ascii="Times New Roman" w:eastAsia="宋体" w:hAnsi="Times New Roman" w:cs="Times New Roman"/>
          <w:kern w:val="0"/>
          <w:sz w:val="24"/>
          <w:szCs w:val="20"/>
        </w:rPr>
      </w:pPr>
      <w:r>
        <w:rPr>
          <w:rFonts w:ascii="Times New Roman" w:eastAsia="宋体" w:hAnsi="Times New Roman" w:cs="Times New Roman"/>
          <w:kern w:val="0"/>
          <w:sz w:val="24"/>
          <w:szCs w:val="20"/>
        </w:rPr>
        <w:t>葡萄糖</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正丁醇</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丙酮</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乙醇</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乙醛</w:t>
      </w:r>
    </w:p>
    <w:p w14:paraId="45B137B1" w14:textId="77777777" w:rsidR="002133E3" w:rsidRDefault="00C22CFA">
      <w:pPr>
        <w:widowControl/>
        <w:snapToGrid w:val="0"/>
        <w:spacing w:line="500" w:lineRule="atLeast"/>
        <w:jc w:val="center"/>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51584" behindDoc="0" locked="0" layoutInCell="1" allowOverlap="1" wp14:anchorId="5EBB771A" wp14:editId="58D50EF7">
                <wp:simplePos x="0" y="0"/>
                <wp:positionH relativeFrom="column">
                  <wp:posOffset>1750060</wp:posOffset>
                </wp:positionH>
                <wp:positionV relativeFrom="paragraph">
                  <wp:posOffset>225425</wp:posOffset>
                </wp:positionV>
                <wp:extent cx="680085" cy="0"/>
                <wp:effectExtent l="0" t="76200" r="24765" b="95250"/>
                <wp:wrapNone/>
                <wp:docPr id="424" name="直接箭头连接符 424"/>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0B31BC" id="直接箭头连接符 424" o:spid="_x0000_s1026" type="#_x0000_t32" style="position:absolute;left:0;text-align:left;margin-left:137.8pt;margin-top:17.75pt;width:53.55pt;height:0;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" strokecolor="black [3200]" strokeweight=".5pt">
                <v:stroke endarrow="block" joinstyle="miter"/>
              </v:shape>
            </w:pict>
          </mc:Fallback>
        </mc:AlternateContent>
      </w:r>
      <w:r>
        <w:rPr>
          <w:rFonts w:ascii="Times New Roman" w:eastAsia="宋体" w:hAnsi="Times New Roman" w:cs="Times New Roman"/>
          <w:kern w:val="0"/>
          <w:sz w:val="24"/>
          <w:szCs w:val="20"/>
        </w:rPr>
        <w:t xml:space="preserve"> C</w:t>
      </w:r>
      <w:r>
        <w:rPr>
          <w:rFonts w:ascii="Times New Roman" w:eastAsia="宋体" w:hAnsi="Times New Roman" w:cs="Times New Roman"/>
          <w:kern w:val="0"/>
          <w:sz w:val="24"/>
          <w:szCs w:val="20"/>
          <w:vertAlign w:val="subscript"/>
        </w:rPr>
        <w:t>6</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12</w:t>
      </w:r>
      <w:r>
        <w:rPr>
          <w:rFonts w:ascii="Times New Roman" w:eastAsia="宋体" w:hAnsi="Times New Roman" w:cs="Times New Roman"/>
          <w:kern w:val="0"/>
          <w:sz w:val="24"/>
          <w:szCs w:val="20"/>
        </w:rPr>
        <w:t>O</w:t>
      </w:r>
      <w:r>
        <w:rPr>
          <w:rFonts w:ascii="Times New Roman" w:eastAsia="宋体" w:hAnsi="Times New Roman" w:cs="Times New Roman"/>
          <w:kern w:val="0"/>
          <w:sz w:val="24"/>
          <w:szCs w:val="20"/>
          <w:vertAlign w:val="subscript"/>
        </w:rPr>
        <w:t xml:space="preserve">6  </w:t>
      </w:r>
      <w:r>
        <w:rPr>
          <w:rFonts w:ascii="Times New Roman" w:eastAsia="宋体" w:hAnsi="Times New Roman" w:cs="Times New Roman"/>
          <w:smallCaps/>
          <w:kern w:val="0"/>
          <w:sz w:val="28"/>
          <w:szCs w:val="28"/>
          <w:vertAlign w:val="superscript"/>
        </w:rPr>
        <w:t>丙酮</w:t>
      </w:r>
      <w:r>
        <w:rPr>
          <w:rFonts w:ascii="Times New Roman" w:eastAsia="宋体" w:hAnsi="Times New Roman" w:cs="Times New Roman"/>
          <w:smallCaps/>
          <w:kern w:val="0"/>
          <w:sz w:val="28"/>
          <w:szCs w:val="28"/>
          <w:vertAlign w:val="superscript"/>
        </w:rPr>
        <w:t>-</w:t>
      </w:r>
      <w:r>
        <w:rPr>
          <w:rFonts w:ascii="Times New Roman" w:eastAsia="宋体" w:hAnsi="Times New Roman" w:cs="Times New Roman"/>
          <w:smallCaps/>
          <w:kern w:val="0"/>
          <w:sz w:val="28"/>
          <w:szCs w:val="28"/>
          <w:vertAlign w:val="superscript"/>
        </w:rPr>
        <w:t>丁醇梭菌</w:t>
      </w:r>
      <w:r>
        <w:rPr>
          <w:rFonts w:ascii="Times New Roman" w:eastAsia="宋体" w:hAnsi="Times New Roman" w:cs="Times New Roman"/>
          <w:kern w:val="0"/>
          <w:sz w:val="24"/>
          <w:szCs w:val="20"/>
        </w:rPr>
        <w:t xml:space="preserve">  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COCHO·H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O+CH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CHOH+HCOOH</w:t>
      </w:r>
    </w:p>
    <w:p w14:paraId="3AB24F4D" w14:textId="77777777" w:rsidR="002133E3" w:rsidRDefault="00C22CFA">
      <w:pPr>
        <w:widowControl/>
        <w:snapToGrid w:val="0"/>
        <w:spacing w:line="500" w:lineRule="atLeast"/>
        <w:ind w:firstLineChars="750" w:firstLine="1800"/>
        <w:rPr>
          <w:rFonts w:ascii="Times New Roman" w:eastAsia="宋体" w:hAnsi="Times New Roman" w:cs="Times New Roman"/>
          <w:kern w:val="0"/>
          <w:sz w:val="24"/>
          <w:szCs w:val="20"/>
        </w:rPr>
      </w:pPr>
      <w:r>
        <w:rPr>
          <w:rFonts w:ascii="Times New Roman" w:eastAsia="宋体" w:hAnsi="Times New Roman" w:cs="Times New Roman"/>
          <w:kern w:val="0"/>
          <w:sz w:val="24"/>
          <w:szCs w:val="20"/>
        </w:rPr>
        <w:t>葡萄糖</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丙醛酮水化物</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乙醛</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甲酸</w:t>
      </w:r>
    </w:p>
    <w:p w14:paraId="65991A2E" w14:textId="77777777" w:rsidR="002133E3" w:rsidRDefault="00C22CFA">
      <w:pPr>
        <w:widowControl/>
        <w:snapToGrid w:val="0"/>
        <w:spacing w:line="500" w:lineRule="atLeast"/>
        <w:jc w:val="center"/>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53632" behindDoc="0" locked="0" layoutInCell="1" allowOverlap="1" wp14:anchorId="00ABF080" wp14:editId="5F361F03">
                <wp:simplePos x="0" y="0"/>
                <wp:positionH relativeFrom="margin">
                  <wp:align>center</wp:align>
                </wp:positionH>
                <wp:positionV relativeFrom="paragraph">
                  <wp:posOffset>224155</wp:posOffset>
                </wp:positionV>
                <wp:extent cx="680085" cy="0"/>
                <wp:effectExtent l="0" t="76200" r="24765" b="95250"/>
                <wp:wrapNone/>
                <wp:docPr id="425" name="直接箭头连接符 425"/>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7B54DE" id="直接箭头连接符 425" o:spid="_x0000_s1026" type="#_x0000_t32" style="position:absolute;left:0;text-align:left;margin-left:0;margin-top:17.65pt;width:53.55pt;height:0;z-index:251653632;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" strokecolor="black [3200]" strokeweight=".5pt">
                <v:stroke endarrow="block" joinstyle="miter"/>
                <w10:wrap anchorx="margin"/>
              </v:shape>
            </w:pict>
          </mc:Fallback>
        </mc:AlternateContent>
      </w:r>
      <w:r>
        <w:rPr>
          <w:rFonts w:ascii="Times New Roman" w:eastAsia="宋体" w:hAnsi="Times New Roman" w:cs="Times New Roman"/>
          <w:kern w:val="0"/>
          <w:sz w:val="24"/>
          <w:szCs w:val="20"/>
        </w:rPr>
        <w:t>HCOOH           CO</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 xml:space="preserve"> +H</w:t>
      </w:r>
      <w:r>
        <w:rPr>
          <w:rFonts w:ascii="Times New Roman" w:eastAsia="宋体" w:hAnsi="Times New Roman" w:cs="Times New Roman"/>
          <w:kern w:val="0"/>
          <w:sz w:val="24"/>
          <w:szCs w:val="20"/>
          <w:vertAlign w:val="subscript"/>
        </w:rPr>
        <w:t>2</w:t>
      </w:r>
    </w:p>
    <w:p w14:paraId="3D8E556A" w14:textId="77777777" w:rsidR="002133E3" w:rsidRDefault="00C22CFA">
      <w:pPr>
        <w:widowControl/>
        <w:snapToGrid w:val="0"/>
        <w:spacing w:line="500" w:lineRule="atLeast"/>
        <w:ind w:firstLineChars="1450" w:firstLine="3480"/>
        <w:rPr>
          <w:rFonts w:ascii="Times New Roman" w:eastAsia="宋体" w:hAnsi="Times New Roman" w:cs="Times New Roman"/>
          <w:smallCaps/>
          <w:kern w:val="0"/>
          <w:sz w:val="20"/>
          <w:szCs w:val="20"/>
        </w:rPr>
      </w:pPr>
      <w:r>
        <w:rPr>
          <w:rFonts w:ascii="Times New Roman" w:eastAsia="宋体" w:hAnsi="Times New Roman" w:cs="Times New Roman"/>
          <w:kern w:val="0"/>
          <w:sz w:val="24"/>
          <w:szCs w:val="20"/>
        </w:rPr>
        <w:t>甲酸</w:t>
      </w:r>
    </w:p>
    <w:p w14:paraId="186FA345" w14:textId="77777777" w:rsidR="002133E3" w:rsidRDefault="00C22CFA">
      <w:pPr>
        <w:widowControl/>
        <w:snapToGrid w:val="0"/>
        <w:spacing w:line="500" w:lineRule="atLeast"/>
        <w:jc w:val="center"/>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54656" behindDoc="0" locked="0" layoutInCell="1" allowOverlap="1" wp14:anchorId="3A509EFE" wp14:editId="41F0409A">
                <wp:simplePos x="0" y="0"/>
                <wp:positionH relativeFrom="margin">
                  <wp:posOffset>2766695</wp:posOffset>
                </wp:positionH>
                <wp:positionV relativeFrom="paragraph">
                  <wp:posOffset>224155</wp:posOffset>
                </wp:positionV>
                <wp:extent cx="680085" cy="0"/>
                <wp:effectExtent l="0" t="76200" r="24765" b="95250"/>
                <wp:wrapNone/>
                <wp:docPr id="426" name="直接箭头连接符 426"/>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DDD11A" id="直接箭头连接符 426" o:spid="_x0000_s1026" type="#_x0000_t32" style="position:absolute;left:0;text-align:left;margin-left:217.85pt;margin-top:17.65pt;width:53.55pt;height:0;z-index:2516546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" strokecolor="black [3200]" strokeweight=".5pt">
                <v:stroke endarrow="block" joinstyle="miter"/>
                <w10:wrap anchorx="margin"/>
              </v:shape>
            </w:pict>
          </mc:Fallback>
        </mc:AlternateContent>
      </w:r>
      <w:r>
        <w:rPr>
          <w:rFonts w:ascii="Times New Roman" w:eastAsia="宋体" w:hAnsi="Times New Roman" w:cs="Times New Roman"/>
          <w:kern w:val="0"/>
          <w:sz w:val="24"/>
          <w:szCs w:val="20"/>
        </w:rPr>
        <w:t>2CH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CHOH+2H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O          2CH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COOH+3H</w:t>
      </w:r>
      <w:r>
        <w:rPr>
          <w:rFonts w:ascii="Times New Roman" w:eastAsia="宋体" w:hAnsi="Times New Roman" w:cs="Times New Roman"/>
          <w:kern w:val="0"/>
          <w:sz w:val="24"/>
          <w:szCs w:val="20"/>
          <w:vertAlign w:val="subscript"/>
        </w:rPr>
        <w:t>2</w:t>
      </w:r>
    </w:p>
    <w:p w14:paraId="0DD746CA" w14:textId="77777777" w:rsidR="002133E3" w:rsidRDefault="00C22CFA">
      <w:pPr>
        <w:widowControl/>
        <w:snapToGrid w:val="0"/>
        <w:spacing w:line="500" w:lineRule="atLeast"/>
        <w:ind w:firstLineChars="1150" w:firstLine="2760"/>
        <w:rPr>
          <w:rFonts w:ascii="Times New Roman" w:eastAsia="宋体" w:hAnsi="Times New Roman" w:cs="Times New Roman"/>
          <w:kern w:val="0"/>
          <w:sz w:val="24"/>
          <w:szCs w:val="20"/>
        </w:rPr>
      </w:pPr>
      <w:r>
        <w:rPr>
          <w:rFonts w:ascii="Times New Roman" w:eastAsia="宋体" w:hAnsi="Times New Roman" w:cs="Times New Roman"/>
          <w:kern w:val="0"/>
          <w:sz w:val="24"/>
          <w:szCs w:val="20"/>
        </w:rPr>
        <w:t>乙醛</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乙酸</w:t>
      </w:r>
    </w:p>
    <w:p w14:paraId="16C37A1E" w14:textId="77777777" w:rsidR="002133E3" w:rsidRDefault="00C22CFA">
      <w:pPr>
        <w:widowControl/>
        <w:snapToGrid w:val="0"/>
        <w:spacing w:line="500" w:lineRule="atLeast"/>
        <w:ind w:firstLineChars="150" w:firstLine="360"/>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57728" behindDoc="0" locked="0" layoutInCell="1" allowOverlap="1" wp14:anchorId="38EB34FA" wp14:editId="325C3D47">
                <wp:simplePos x="0" y="0"/>
                <wp:positionH relativeFrom="column">
                  <wp:posOffset>4236720</wp:posOffset>
                </wp:positionH>
                <wp:positionV relativeFrom="paragraph">
                  <wp:posOffset>240030</wp:posOffset>
                </wp:positionV>
                <wp:extent cx="285750" cy="0"/>
                <wp:effectExtent l="0" t="76200" r="19050" b="95250"/>
                <wp:wrapNone/>
                <wp:docPr id="430" name="直接箭头连接符 430"/>
                <wp:cNvGraphicFramePr/>
                <a:graphic xmlns:a="http://schemas.openxmlformats.org/drawingml/2006/main">
                  <a:graphicData uri="http://schemas.microsoft.com/office/word/2010/wordprocessingShape">
                    <wps:wsp>
                      <wps:cNvCnPr/>
                      <wps:spPr>
                        <a:xfrm>
                          <a:off x="0" y="0"/>
                          <a:ext cx="2857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9BD0FB" id="直接箭头连接符 430" o:spid="_x0000_s1026" type="#_x0000_t32" style="position:absolute;left:0;text-align:left;margin-left:333.6pt;margin-top:18.9pt;width:22.5pt;height:0;z-index:25165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" strokecolor="black [3200]" strokeweight=".5pt">
                <v:stroke endarrow="block" joinstyle="miter"/>
              </v:shape>
            </w:pict>
          </mc:Fallback>
        </mc:AlternateContent>
      </w:r>
      <w:r>
        <w:rPr>
          <w:rFonts w:ascii="Times New Roman" w:eastAsia="宋体" w:hAnsi="Times New Roman" w:cs="Times New Roman"/>
          <w:noProof/>
          <w:kern w:val="0"/>
          <w:sz w:val="24"/>
          <w:szCs w:val="20"/>
        </w:rPr>
        <mc:AlternateContent>
          <mc:Choice Requires="wps">
            <w:drawing>
              <wp:anchor distT="0" distB="0" distL="114300" distR="114300" simplePos="0" relativeHeight="251655680" behindDoc="0" locked="0" layoutInCell="1" allowOverlap="1" wp14:anchorId="17A79A32" wp14:editId="13D33BFF">
                <wp:simplePos x="0" y="0"/>
                <wp:positionH relativeFrom="column">
                  <wp:posOffset>2534920</wp:posOffset>
                </wp:positionH>
                <wp:positionV relativeFrom="paragraph">
                  <wp:posOffset>241300</wp:posOffset>
                </wp:positionV>
                <wp:extent cx="285750" cy="0"/>
                <wp:effectExtent l="0" t="76200" r="19050" b="95250"/>
                <wp:wrapNone/>
                <wp:docPr id="429" name="直接箭头连接符 429"/>
                <wp:cNvGraphicFramePr/>
                <a:graphic xmlns:a="http://schemas.openxmlformats.org/drawingml/2006/main">
                  <a:graphicData uri="http://schemas.microsoft.com/office/word/2010/wordprocessingShape">
                    <wps:wsp>
                      <wps:cNvCnPr/>
                      <wps:spPr>
                        <a:xfrm>
                          <a:off x="0" y="0"/>
                          <a:ext cx="2857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41A4FE" id="直接箭头连接符 429" o:spid="_x0000_s1026" type="#_x0000_t32" style="position:absolute;left:0;text-align:left;margin-left:199.6pt;margin-top:19pt;width:22.5pt;height:0;z-index:2516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" strokecolor="black [3200]" strokeweight=".5pt">
                <v:stroke endarrow="block" joinstyle="miter"/>
              </v:shape>
            </w:pict>
          </mc:Fallback>
        </mc:AlternateContent>
      </w:r>
      <w:r>
        <w:rPr>
          <w:rFonts w:ascii="Times New Roman" w:eastAsia="宋体" w:hAnsi="Times New Roman" w:cs="Times New Roman"/>
          <w:noProof/>
          <w:kern w:val="0"/>
          <w:sz w:val="24"/>
          <w:szCs w:val="20"/>
        </w:rPr>
        <mc:AlternateContent>
          <mc:Choice Requires="wps">
            <w:drawing>
              <wp:anchor distT="0" distB="0" distL="114300" distR="114300" simplePos="0" relativeHeight="251656704" behindDoc="0" locked="0" layoutInCell="1" allowOverlap="1" wp14:anchorId="29B15239" wp14:editId="12AC0B1C">
                <wp:simplePos x="0" y="0"/>
                <wp:positionH relativeFrom="column">
                  <wp:posOffset>952500</wp:posOffset>
                </wp:positionH>
                <wp:positionV relativeFrom="paragraph">
                  <wp:posOffset>235585</wp:posOffset>
                </wp:positionV>
                <wp:extent cx="285750" cy="0"/>
                <wp:effectExtent l="0" t="76200" r="19050" b="95250"/>
                <wp:wrapNone/>
                <wp:docPr id="428" name="直接箭头连接符 428"/>
                <wp:cNvGraphicFramePr/>
                <a:graphic xmlns:a="http://schemas.openxmlformats.org/drawingml/2006/main">
                  <a:graphicData uri="http://schemas.microsoft.com/office/word/2010/wordprocessingShape">
                    <wps:wsp>
                      <wps:cNvCnPr/>
                      <wps:spPr>
                        <a:xfrm>
                          <a:off x="0" y="0"/>
                          <a:ext cx="2857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A94EFF" id="直接箭头连接符 428" o:spid="_x0000_s1026" type="#_x0000_t32" style="position:absolute;left:0;text-align:left;margin-left:75pt;margin-top:18.55pt;width:22.5pt;height:0;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" strokecolor="black [3200]" strokeweight=".5pt">
                <v:stroke endarrow="block" joinstyle="miter"/>
              </v:shape>
            </w:pict>
          </mc:Fallback>
        </mc:AlternateContent>
      </w:r>
      <w:r>
        <w:rPr>
          <w:rFonts w:ascii="Times New Roman" w:eastAsia="宋体" w:hAnsi="Times New Roman" w:cs="Times New Roman"/>
          <w:kern w:val="0"/>
          <w:sz w:val="24"/>
          <w:szCs w:val="20"/>
        </w:rPr>
        <w:t>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CHOH    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CHOHCH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CHO    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CH=CHCHO·H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O    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CH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COOH</w:t>
      </w:r>
    </w:p>
    <w:p w14:paraId="6430965B" w14:textId="77777777" w:rsidR="002133E3" w:rsidRDefault="00C22CFA">
      <w:pPr>
        <w:widowControl/>
        <w:snapToGrid w:val="0"/>
        <w:spacing w:line="500" w:lineRule="atLeast"/>
        <w:ind w:firstLineChars="250" w:firstLine="600"/>
        <w:rPr>
          <w:rFonts w:ascii="Times New Roman" w:eastAsia="宋体" w:hAnsi="Times New Roman" w:cs="Times New Roman"/>
          <w:kern w:val="0"/>
          <w:sz w:val="24"/>
          <w:szCs w:val="20"/>
        </w:rPr>
      </w:pPr>
      <w:r>
        <w:rPr>
          <w:rFonts w:ascii="Times New Roman" w:eastAsia="宋体" w:hAnsi="Times New Roman" w:cs="Times New Roman"/>
          <w:kern w:val="0"/>
          <w:sz w:val="24"/>
          <w:szCs w:val="20"/>
        </w:rPr>
        <w:t>乙醛</w:t>
      </w:r>
      <w:r>
        <w:rPr>
          <w:rFonts w:ascii="Times New Roman" w:eastAsia="宋体" w:hAnsi="Times New Roman" w:cs="Times New Roman"/>
          <w:kern w:val="0"/>
          <w:sz w:val="24"/>
          <w:szCs w:val="20"/>
        </w:rPr>
        <w:t xml:space="preserve">           3-</w:t>
      </w:r>
      <w:r>
        <w:rPr>
          <w:rFonts w:ascii="Times New Roman" w:eastAsia="宋体" w:hAnsi="Times New Roman" w:cs="Times New Roman"/>
          <w:kern w:val="0"/>
          <w:sz w:val="24"/>
          <w:szCs w:val="20"/>
        </w:rPr>
        <w:t>羟基丁醛</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丁烯醛水化物</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丁酸</w:t>
      </w:r>
    </w:p>
    <w:p w14:paraId="37050982" w14:textId="77777777" w:rsidR="002133E3" w:rsidRDefault="00C22CFA">
      <w:pPr>
        <w:widowControl/>
        <w:snapToGrid w:val="0"/>
        <w:spacing w:line="500" w:lineRule="atLeast"/>
        <w:jc w:val="center"/>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58752" behindDoc="0" locked="0" layoutInCell="1" allowOverlap="1" wp14:anchorId="6D32DFB3" wp14:editId="53BCCE83">
                <wp:simplePos x="0" y="0"/>
                <wp:positionH relativeFrom="margin">
                  <wp:posOffset>2258060</wp:posOffset>
                </wp:positionH>
                <wp:positionV relativeFrom="paragraph">
                  <wp:posOffset>233045</wp:posOffset>
                </wp:positionV>
                <wp:extent cx="680085" cy="0"/>
                <wp:effectExtent l="0" t="76200" r="24765" b="95250"/>
                <wp:wrapNone/>
                <wp:docPr id="431" name="直接箭头连接符 431"/>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7CB9D7" id="直接箭头连接符 431" o:spid="_x0000_s1026" type="#_x0000_t32" style="position:absolute;left:0;text-align:left;margin-left:177.8pt;margin-top:18.35pt;width:53.55pt;height:0;z-index:2516587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" strokecolor="black [3200]" strokeweight=".5pt">
                <v:stroke endarrow="block" joinstyle="miter"/>
                <w10:wrap anchorx="margin"/>
              </v:shape>
            </w:pict>
          </mc:Fallback>
        </mc:AlternateContent>
      </w:r>
      <w:r>
        <w:rPr>
          <w:rFonts w:ascii="Times New Roman" w:eastAsia="宋体" w:hAnsi="Times New Roman" w:cs="Times New Roman"/>
          <w:kern w:val="0"/>
          <w:sz w:val="24"/>
          <w:szCs w:val="20"/>
        </w:rPr>
        <w:t>4CH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COOH         2CH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COCH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COOH+2H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O</w:t>
      </w:r>
    </w:p>
    <w:p w14:paraId="574AA202" w14:textId="77777777" w:rsidR="002133E3" w:rsidRDefault="00C22CFA">
      <w:pPr>
        <w:widowControl/>
        <w:snapToGrid w:val="0"/>
        <w:spacing w:line="500" w:lineRule="atLeast"/>
        <w:ind w:firstLineChars="1150" w:firstLine="2760"/>
        <w:rPr>
          <w:rFonts w:ascii="Times New Roman" w:eastAsia="宋体" w:hAnsi="Times New Roman" w:cs="Times New Roman"/>
          <w:kern w:val="0"/>
          <w:sz w:val="24"/>
          <w:szCs w:val="20"/>
        </w:rPr>
      </w:pPr>
      <w:r>
        <w:rPr>
          <w:rFonts w:ascii="Times New Roman" w:eastAsia="宋体" w:hAnsi="Times New Roman" w:cs="Times New Roman"/>
          <w:kern w:val="0"/>
          <w:sz w:val="24"/>
          <w:szCs w:val="20"/>
        </w:rPr>
        <w:t>乙酸</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乙酰乙酸</w:t>
      </w:r>
    </w:p>
    <w:p w14:paraId="65360223" w14:textId="77777777" w:rsidR="002133E3" w:rsidRDefault="00C22CFA">
      <w:pPr>
        <w:widowControl/>
        <w:snapToGrid w:val="0"/>
        <w:spacing w:line="500" w:lineRule="atLeast"/>
        <w:jc w:val="center"/>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59776" behindDoc="0" locked="0" layoutInCell="1" allowOverlap="1" wp14:anchorId="0D4B546E" wp14:editId="1DF2B576">
                <wp:simplePos x="0" y="0"/>
                <wp:positionH relativeFrom="margin">
                  <wp:posOffset>2774315</wp:posOffset>
                </wp:positionH>
                <wp:positionV relativeFrom="paragraph">
                  <wp:posOffset>229870</wp:posOffset>
                </wp:positionV>
                <wp:extent cx="680085" cy="0"/>
                <wp:effectExtent l="0" t="76200" r="24765" b="95250"/>
                <wp:wrapNone/>
                <wp:docPr id="432" name="直接箭头连接符 432"/>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15511E" id="直接箭头连接符 432" o:spid="_x0000_s1026" type="#_x0000_t32" style="position:absolute;left:0;text-align:left;margin-left:218.45pt;margin-top:18.1pt;width:53.55pt;height:0;z-index:2516597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" strokecolor="black [3200]" strokeweight=".5pt">
                <v:stroke endarrow="block" joinstyle="miter"/>
                <w10:wrap anchorx="margin"/>
              </v:shape>
            </w:pict>
          </mc:Fallback>
        </mc:AlternateContent>
      </w:r>
      <w:r>
        <w:rPr>
          <w:rFonts w:ascii="Times New Roman" w:eastAsia="宋体" w:hAnsi="Times New Roman" w:cs="Times New Roman"/>
          <w:kern w:val="0"/>
          <w:sz w:val="24"/>
          <w:szCs w:val="20"/>
        </w:rPr>
        <w:t>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COCH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COOH          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COCH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+CO</w:t>
      </w:r>
      <w:r>
        <w:rPr>
          <w:rFonts w:ascii="Times New Roman" w:eastAsia="宋体" w:hAnsi="Times New Roman" w:cs="Times New Roman"/>
          <w:kern w:val="0"/>
          <w:sz w:val="24"/>
          <w:szCs w:val="20"/>
          <w:vertAlign w:val="subscript"/>
        </w:rPr>
        <w:t>2</w:t>
      </w:r>
    </w:p>
    <w:p w14:paraId="63FCE9A1" w14:textId="77777777" w:rsidR="002133E3" w:rsidRDefault="00C22CFA">
      <w:pPr>
        <w:widowControl/>
        <w:snapToGrid w:val="0"/>
        <w:spacing w:line="500" w:lineRule="atLeast"/>
        <w:ind w:firstLineChars="1200" w:firstLine="2880"/>
        <w:rPr>
          <w:rFonts w:ascii="Times New Roman" w:eastAsia="宋体" w:hAnsi="Times New Roman" w:cs="Times New Roman"/>
          <w:kern w:val="0"/>
          <w:sz w:val="24"/>
          <w:szCs w:val="20"/>
        </w:rPr>
      </w:pPr>
      <w:r>
        <w:rPr>
          <w:rFonts w:ascii="Times New Roman" w:eastAsia="宋体" w:hAnsi="Times New Roman" w:cs="Times New Roman"/>
          <w:kern w:val="0"/>
          <w:sz w:val="24"/>
          <w:szCs w:val="20"/>
        </w:rPr>
        <w:t>乙酰乙酸</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丙酮</w:t>
      </w:r>
    </w:p>
    <w:p w14:paraId="789BBB6C" w14:textId="77777777" w:rsidR="002133E3" w:rsidRDefault="00C22CFA">
      <w:pPr>
        <w:widowControl/>
        <w:snapToGrid w:val="0"/>
        <w:spacing w:line="500" w:lineRule="atLeast"/>
        <w:ind w:firstLineChars="1150" w:firstLine="2760"/>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60800" behindDoc="0" locked="0" layoutInCell="1" allowOverlap="1" wp14:anchorId="03283DDF" wp14:editId="39DA4ADC">
                <wp:simplePos x="0" y="0"/>
                <wp:positionH relativeFrom="margin">
                  <wp:posOffset>2820035</wp:posOffset>
                </wp:positionH>
                <wp:positionV relativeFrom="paragraph">
                  <wp:posOffset>238760</wp:posOffset>
                </wp:positionV>
                <wp:extent cx="680085" cy="0"/>
                <wp:effectExtent l="0" t="76200" r="24765" b="95250"/>
                <wp:wrapNone/>
                <wp:docPr id="433" name="直接箭头连接符 433"/>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ED1F6F" id="直接箭头连接符 433" o:spid="_x0000_s1026" type="#_x0000_t32" style="position:absolute;left:0;text-align:left;margin-left:222.05pt;margin-top:18.8pt;width:53.55pt;height:0;z-index:2516608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" strokecolor="black [3200]" strokeweight=".5pt">
                <v:stroke endarrow="block" joinstyle="miter"/>
                <w10:wrap anchorx="margin"/>
              </v:shape>
            </w:pict>
          </mc:Fallback>
        </mc:AlternateContent>
      </w:r>
      <w:r>
        <w:rPr>
          <w:rFonts w:ascii="Times New Roman" w:eastAsia="宋体" w:hAnsi="Times New Roman" w:cs="Times New Roman"/>
          <w:kern w:val="0"/>
          <w:sz w:val="24"/>
          <w:szCs w:val="20"/>
        </w:rPr>
        <w:t>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CHOH+2H</w:t>
      </w:r>
      <w:r>
        <w:rPr>
          <w:rFonts w:ascii="Times New Roman" w:eastAsia="宋体" w:hAnsi="Times New Roman" w:cs="Times New Roman"/>
          <w:kern w:val="0"/>
          <w:sz w:val="24"/>
          <w:szCs w:val="20"/>
          <w:vertAlign w:val="superscript"/>
        </w:rPr>
        <w:t>+</w:t>
      </w:r>
      <w:r>
        <w:rPr>
          <w:rFonts w:ascii="Times New Roman" w:eastAsia="宋体" w:hAnsi="Times New Roman" w:cs="Times New Roman"/>
          <w:kern w:val="0"/>
          <w:sz w:val="24"/>
          <w:szCs w:val="20"/>
        </w:rPr>
        <w:t xml:space="preserve">          CH</w:t>
      </w:r>
      <w:r>
        <w:rPr>
          <w:rFonts w:ascii="Times New Roman" w:eastAsia="宋体" w:hAnsi="Times New Roman" w:cs="Times New Roman"/>
          <w:kern w:val="0"/>
          <w:sz w:val="24"/>
          <w:szCs w:val="20"/>
          <w:vertAlign w:val="subscript"/>
        </w:rPr>
        <w:t>3</w:t>
      </w:r>
      <w:r>
        <w:rPr>
          <w:rFonts w:ascii="Times New Roman" w:eastAsia="宋体" w:hAnsi="Times New Roman" w:cs="Times New Roman"/>
          <w:kern w:val="0"/>
          <w:sz w:val="24"/>
          <w:szCs w:val="20"/>
        </w:rPr>
        <w:t>CH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OH</w:t>
      </w:r>
    </w:p>
    <w:p w14:paraId="09721AB2" w14:textId="77777777" w:rsidR="002133E3" w:rsidRDefault="00C22CFA">
      <w:pPr>
        <w:widowControl/>
        <w:snapToGrid w:val="0"/>
        <w:spacing w:line="500" w:lineRule="atLeast"/>
        <w:ind w:firstLineChars="1300" w:firstLine="3120"/>
        <w:rPr>
          <w:rFonts w:ascii="Times New Roman" w:eastAsia="宋体" w:hAnsi="Times New Roman" w:cs="Times New Roman"/>
          <w:kern w:val="0"/>
          <w:sz w:val="24"/>
          <w:szCs w:val="20"/>
        </w:rPr>
      </w:pPr>
      <w:r>
        <w:rPr>
          <w:rFonts w:ascii="Times New Roman" w:eastAsia="宋体" w:hAnsi="Times New Roman" w:cs="Times New Roman"/>
          <w:kern w:val="0"/>
          <w:sz w:val="24"/>
          <w:szCs w:val="20"/>
        </w:rPr>
        <w:t>乙醛</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乙醇</w:t>
      </w:r>
    </w:p>
    <w:p w14:paraId="7976C6E6" w14:textId="77777777" w:rsidR="002133E3" w:rsidRDefault="00C22CFA">
      <w:pPr>
        <w:widowControl/>
        <w:snapToGrid w:val="0"/>
        <w:spacing w:line="500" w:lineRule="atLeast"/>
        <w:ind w:firstLineChars="1300" w:firstLine="3120"/>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mc:AlternateContent>
          <mc:Choice Requires="wps">
            <w:drawing>
              <wp:anchor distT="0" distB="0" distL="114300" distR="114300" simplePos="0" relativeHeight="251661824" behindDoc="0" locked="0" layoutInCell="1" allowOverlap="1" wp14:anchorId="0676B245" wp14:editId="12A1AB1B">
                <wp:simplePos x="0" y="0"/>
                <wp:positionH relativeFrom="margin">
                  <wp:posOffset>2746375</wp:posOffset>
                </wp:positionH>
                <wp:positionV relativeFrom="paragraph">
                  <wp:posOffset>235585</wp:posOffset>
                </wp:positionV>
                <wp:extent cx="680085" cy="0"/>
                <wp:effectExtent l="0" t="76200" r="24765" b="95250"/>
                <wp:wrapNone/>
                <wp:docPr id="434" name="直接箭头连接符 434"/>
                <wp:cNvGraphicFramePr/>
                <a:graphic xmlns:a="http://schemas.openxmlformats.org/drawingml/2006/main">
                  <a:graphicData uri="http://schemas.microsoft.com/office/word/2010/wordprocessingShape">
                    <wps:wsp>
                      <wps:cNvCnPr/>
                      <wps:spPr>
                        <a:xfrm>
                          <a:off x="0" y="0"/>
                          <a:ext cx="680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A07AD0" id="直接箭头连接符 434" o:spid="_x0000_s1026" type="#_x0000_t32" style="position:absolute;left:0;text-align:left;margin-left:216.25pt;margin-top:18.55pt;width:53.55pt;height:0;z-index:2516618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" strokecolor="black [3200]" strokeweight=".5pt">
                <v:stroke endarrow="block" joinstyle="miter"/>
                <w10:wrap anchorx="margin"/>
              </v:shape>
            </w:pict>
          </mc:Fallback>
        </mc:AlternateContent>
      </w:r>
      <w:r>
        <w:rPr>
          <w:rFonts w:ascii="Times New Roman" w:eastAsia="宋体" w:hAnsi="Times New Roman" w:cs="Times New Roman"/>
          <w:kern w:val="0"/>
          <w:sz w:val="24"/>
          <w:szCs w:val="20"/>
        </w:rPr>
        <w:t>C</w:t>
      </w:r>
      <w:r>
        <w:rPr>
          <w:rFonts w:ascii="Times New Roman" w:eastAsia="宋体" w:hAnsi="Times New Roman" w:cs="Times New Roman"/>
          <w:kern w:val="0"/>
          <w:sz w:val="24"/>
          <w:szCs w:val="20"/>
          <w:vertAlign w:val="subscript"/>
        </w:rPr>
        <w:t>4</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8</w:t>
      </w:r>
      <w:r>
        <w:rPr>
          <w:rFonts w:ascii="Times New Roman" w:eastAsia="宋体" w:hAnsi="Times New Roman" w:cs="Times New Roman"/>
          <w:kern w:val="0"/>
          <w:sz w:val="24"/>
          <w:szCs w:val="20"/>
        </w:rPr>
        <w:t>O</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perscript"/>
        </w:rPr>
        <w:t>+</w:t>
      </w:r>
      <w:r>
        <w:rPr>
          <w:rFonts w:ascii="Times New Roman" w:eastAsia="宋体" w:hAnsi="Times New Roman" w:cs="Times New Roman"/>
          <w:kern w:val="0"/>
          <w:sz w:val="24"/>
          <w:szCs w:val="20"/>
        </w:rPr>
        <w:t xml:space="preserve">          C</w:t>
      </w:r>
      <w:r>
        <w:rPr>
          <w:rFonts w:ascii="Times New Roman" w:eastAsia="宋体" w:hAnsi="Times New Roman" w:cs="Times New Roman"/>
          <w:kern w:val="0"/>
          <w:sz w:val="24"/>
          <w:szCs w:val="20"/>
          <w:vertAlign w:val="subscript"/>
        </w:rPr>
        <w:t>4</w:t>
      </w:r>
      <w:r>
        <w:rPr>
          <w:rFonts w:ascii="Times New Roman" w:eastAsia="宋体" w:hAnsi="Times New Roman" w:cs="Times New Roman"/>
          <w:kern w:val="0"/>
          <w:sz w:val="24"/>
          <w:szCs w:val="20"/>
        </w:rPr>
        <w:t>H</w:t>
      </w:r>
      <w:r>
        <w:rPr>
          <w:rFonts w:ascii="Times New Roman" w:eastAsia="宋体" w:hAnsi="Times New Roman" w:cs="Times New Roman"/>
          <w:kern w:val="0"/>
          <w:sz w:val="24"/>
          <w:szCs w:val="20"/>
          <w:vertAlign w:val="subscript"/>
        </w:rPr>
        <w:t>10</w:t>
      </w:r>
      <w:r>
        <w:rPr>
          <w:rFonts w:ascii="Times New Roman" w:eastAsia="宋体" w:hAnsi="Times New Roman" w:cs="Times New Roman"/>
          <w:kern w:val="0"/>
          <w:sz w:val="24"/>
          <w:szCs w:val="20"/>
        </w:rPr>
        <w:t>O+H</w:t>
      </w:r>
      <w:r>
        <w:rPr>
          <w:rFonts w:ascii="Times New Roman" w:eastAsia="宋体" w:hAnsi="Times New Roman" w:cs="Times New Roman"/>
          <w:kern w:val="0"/>
          <w:sz w:val="24"/>
          <w:szCs w:val="20"/>
          <w:vertAlign w:val="subscript"/>
        </w:rPr>
        <w:t>2</w:t>
      </w:r>
      <w:r>
        <w:rPr>
          <w:rFonts w:ascii="Times New Roman" w:eastAsia="宋体" w:hAnsi="Times New Roman" w:cs="Times New Roman"/>
          <w:kern w:val="0"/>
          <w:sz w:val="24"/>
          <w:szCs w:val="20"/>
        </w:rPr>
        <w:t>O</w:t>
      </w:r>
    </w:p>
    <w:p w14:paraId="5CB95426" w14:textId="77777777" w:rsidR="002133E3" w:rsidRDefault="00C22CFA">
      <w:pPr>
        <w:widowControl/>
        <w:snapToGrid w:val="0"/>
        <w:spacing w:line="500" w:lineRule="atLeast"/>
        <w:ind w:firstLineChars="1350" w:firstLine="3240"/>
        <w:rPr>
          <w:rFonts w:ascii="Times New Roman" w:eastAsia="宋体" w:hAnsi="Times New Roman" w:cs="Times New Roman"/>
          <w:kern w:val="0"/>
          <w:sz w:val="24"/>
          <w:szCs w:val="20"/>
        </w:rPr>
      </w:pPr>
      <w:r>
        <w:rPr>
          <w:rFonts w:ascii="Times New Roman" w:eastAsia="宋体" w:hAnsi="Times New Roman" w:cs="Times New Roman"/>
          <w:kern w:val="0"/>
          <w:sz w:val="24"/>
          <w:szCs w:val="20"/>
        </w:rPr>
        <w:lastRenderedPageBreak/>
        <w:t>乙酸</w:t>
      </w:r>
      <w:r>
        <w:rPr>
          <w:rFonts w:ascii="Times New Roman" w:eastAsia="宋体" w:hAnsi="Times New Roman" w:cs="Times New Roman"/>
          <w:kern w:val="0"/>
          <w:sz w:val="24"/>
          <w:szCs w:val="20"/>
        </w:rPr>
        <w:t xml:space="preserve">               </w:t>
      </w:r>
      <w:r>
        <w:rPr>
          <w:rFonts w:ascii="Times New Roman" w:eastAsia="宋体" w:hAnsi="Times New Roman" w:cs="Times New Roman"/>
          <w:kern w:val="0"/>
          <w:sz w:val="24"/>
          <w:szCs w:val="20"/>
        </w:rPr>
        <w:t>正丁醇</w:t>
      </w:r>
    </w:p>
    <w:p w14:paraId="4CDE138A" w14:textId="77777777" w:rsidR="002133E3" w:rsidRDefault="00C22CFA">
      <w:pPr>
        <w:widowControl/>
        <w:snapToGrid w:val="0"/>
        <w:spacing w:line="500" w:lineRule="atLeast"/>
        <w:ind w:firstLineChars="200" w:firstLine="560"/>
        <w:jc w:val="left"/>
        <w:rPr>
          <w:rFonts w:ascii="Times New Roman" w:eastAsia="宋体" w:hAnsi="Times New Roman" w:cs="Times New Roman"/>
          <w:smallCaps/>
          <w:kern w:val="0"/>
          <w:sz w:val="28"/>
          <w:szCs w:val="28"/>
        </w:rPr>
      </w:pPr>
      <w:r>
        <w:rPr>
          <w:rFonts w:ascii="Times New Roman" w:eastAsia="宋体" w:hAnsi="Times New Roman" w:cs="Times New Roman"/>
          <w:smallCaps/>
          <w:kern w:val="0"/>
          <w:sz w:val="28"/>
          <w:szCs w:val="28"/>
        </w:rPr>
        <w:t>其他反应：</w:t>
      </w:r>
    </w:p>
    <w:p w14:paraId="7EA077E3" w14:textId="77777777" w:rsidR="002133E3" w:rsidRDefault="00C22CFA">
      <w:pPr>
        <w:widowControl/>
        <w:snapToGrid w:val="0"/>
        <w:spacing w:line="500" w:lineRule="atLeast"/>
        <w:ind w:firstLineChars="200" w:firstLine="560"/>
        <w:jc w:val="left"/>
        <w:rPr>
          <w:rFonts w:ascii="Times New Roman" w:eastAsia="宋体" w:hAnsi="Times New Roman" w:cs="Times New Roman"/>
          <w:smallCaps/>
          <w:kern w:val="0"/>
          <w:sz w:val="28"/>
          <w:szCs w:val="28"/>
        </w:rPr>
      </w:pPr>
      <w:r>
        <w:rPr>
          <w:rFonts w:ascii="Times New Roman" w:eastAsia="宋体" w:hAnsi="Times New Roman" w:cs="Times New Roman"/>
          <w:smallCaps/>
          <w:kern w:val="0"/>
          <w:sz w:val="28"/>
          <w:szCs w:val="28"/>
        </w:rPr>
        <w:t>发酵过程中，原料中的蛋白质或梭菌菌体蛋白质水解产生氨基酸，氨基酸在梭菌分泌的脱羧酶和脱氨基酶的作用下生成醇，由于不同的氨基酸生成不同的醇，大约</w:t>
      </w:r>
      <w:r>
        <w:rPr>
          <w:rFonts w:ascii="Times New Roman" w:eastAsia="宋体" w:hAnsi="Times New Roman" w:cs="Times New Roman"/>
          <w:smallCaps/>
          <w:kern w:val="0"/>
          <w:sz w:val="28"/>
          <w:szCs w:val="28"/>
        </w:rPr>
        <w:t>80%</w:t>
      </w:r>
      <w:r>
        <w:rPr>
          <w:rFonts w:ascii="Times New Roman" w:eastAsia="宋体" w:hAnsi="Times New Roman" w:cs="Times New Roman"/>
          <w:smallCaps/>
          <w:kern w:val="0"/>
          <w:sz w:val="28"/>
          <w:szCs w:val="28"/>
        </w:rPr>
        <w:t>的杂醇油在主发酵期间、也就是梭菌繁殖过程中合成细胞蛋白质时所形成，这种蛋白质分解生成杂醇油的机理被称为埃利希</w:t>
      </w:r>
      <w:r>
        <w:rPr>
          <w:rFonts w:ascii="Times New Roman" w:eastAsia="宋体" w:hAnsi="Times New Roman" w:cs="Times New Roman"/>
          <w:smallCaps/>
          <w:kern w:val="0"/>
          <w:sz w:val="28"/>
          <w:szCs w:val="28"/>
        </w:rPr>
        <w:t>(</w:t>
      </w:r>
      <w:proofErr w:type="spellStart"/>
      <w:r>
        <w:rPr>
          <w:rFonts w:ascii="Times New Roman" w:eastAsia="宋体" w:hAnsi="Times New Roman" w:cs="Times New Roman"/>
          <w:smallCaps/>
          <w:kern w:val="0"/>
          <w:sz w:val="28"/>
          <w:szCs w:val="28"/>
        </w:rPr>
        <w:t>Ehrilish</w:t>
      </w:r>
      <w:proofErr w:type="spellEnd"/>
      <w:r>
        <w:rPr>
          <w:rFonts w:ascii="Times New Roman" w:eastAsia="宋体" w:hAnsi="Times New Roman" w:cs="Times New Roman"/>
          <w:smallCaps/>
          <w:kern w:val="0"/>
          <w:sz w:val="28"/>
          <w:szCs w:val="28"/>
        </w:rPr>
        <w:t>)</w:t>
      </w:r>
      <w:r>
        <w:rPr>
          <w:rFonts w:ascii="Times New Roman" w:eastAsia="宋体" w:hAnsi="Times New Roman" w:cs="Times New Roman"/>
          <w:smallCaps/>
          <w:kern w:val="0"/>
          <w:sz w:val="28"/>
          <w:szCs w:val="28"/>
        </w:rPr>
        <w:t>机理</w:t>
      </w:r>
      <w:r>
        <w:rPr>
          <w:rFonts w:ascii="Times New Roman" w:eastAsia="宋体" w:hAnsi="Times New Roman" w:cs="Times New Roman"/>
          <w:smallCaps/>
          <w:kern w:val="0"/>
          <w:sz w:val="28"/>
          <w:szCs w:val="28"/>
        </w:rPr>
        <w:t>(</w:t>
      </w:r>
      <w:r>
        <w:rPr>
          <w:rFonts w:ascii="Times New Roman" w:eastAsia="宋体" w:hAnsi="Times New Roman" w:cs="Times New Roman"/>
          <w:smallCaps/>
          <w:kern w:val="0"/>
          <w:sz w:val="28"/>
          <w:szCs w:val="28"/>
        </w:rPr>
        <w:t>也叫蛋白质降解代谢远离</w:t>
      </w:r>
      <w:r>
        <w:rPr>
          <w:rFonts w:ascii="Times New Roman" w:eastAsia="宋体" w:hAnsi="Times New Roman" w:cs="Times New Roman"/>
          <w:smallCaps/>
          <w:kern w:val="0"/>
          <w:sz w:val="28"/>
          <w:szCs w:val="28"/>
        </w:rPr>
        <w:t>)</w:t>
      </w:r>
      <w:r>
        <w:rPr>
          <w:rFonts w:ascii="Times New Roman" w:eastAsia="宋体" w:hAnsi="Times New Roman" w:cs="Times New Roman"/>
          <w:smallCaps/>
          <w:kern w:val="0"/>
          <w:sz w:val="28"/>
          <w:szCs w:val="28"/>
        </w:rPr>
        <w:t>。</w:t>
      </w:r>
    </w:p>
    <w:p w14:paraId="6D2428BD" w14:textId="77777777" w:rsidR="002133E3" w:rsidRDefault="00C22CFA">
      <w:pPr>
        <w:spacing w:line="52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⑶</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工艺流程及说明</w:t>
      </w:r>
    </w:p>
    <w:p w14:paraId="1F3BBC72"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项目混合溶剂生产主要分为蒸煮、发酵、分离三个工序，生产工艺流程及物料平衡见图</w:t>
      </w:r>
      <w:r>
        <w:rPr>
          <w:rFonts w:ascii="Times New Roman" w:eastAsia="宋体" w:hAnsi="Times New Roman" w:cs="Times New Roman"/>
          <w:kern w:val="0"/>
          <w:sz w:val="28"/>
          <w:szCs w:val="28"/>
        </w:rPr>
        <w:t>3.2-4</w:t>
      </w:r>
      <w:r>
        <w:rPr>
          <w:rFonts w:ascii="Times New Roman" w:eastAsia="宋体" w:hAnsi="Times New Roman" w:cs="Times New Roman"/>
          <w:kern w:val="0"/>
          <w:sz w:val="28"/>
          <w:szCs w:val="28"/>
        </w:rPr>
        <w:t>。</w:t>
      </w:r>
    </w:p>
    <w:p w14:paraId="51B9168A" w14:textId="77777777" w:rsidR="002133E3" w:rsidRDefault="002133E3">
      <w:pPr>
        <w:widowControl/>
        <w:snapToGrid w:val="0"/>
        <w:jc w:val="center"/>
        <w:rPr>
          <w:rFonts w:ascii="Times New Roman" w:eastAsia="宋体" w:hAnsi="Times New Roman" w:cs="Times New Roman"/>
          <w:kern w:val="0"/>
          <w:sz w:val="24"/>
          <w:szCs w:val="20"/>
        </w:rPr>
        <w:sectPr w:rsidR="002133E3">
          <w:pgSz w:w="11906" w:h="16838"/>
          <w:pgMar w:top="1134" w:right="1134" w:bottom="1134" w:left="1134" w:header="851" w:footer="992" w:gutter="0"/>
          <w:cols w:space="425"/>
          <w:docGrid w:type="lines" w:linePitch="312"/>
        </w:sectPr>
      </w:pPr>
    </w:p>
    <w:p w14:paraId="44A27DA8" w14:textId="77777777" w:rsidR="002133E3" w:rsidRDefault="00C22CFA">
      <w:pPr>
        <w:widowControl/>
        <w:snapToGrid w:val="0"/>
        <w:jc w:val="center"/>
        <w:rPr>
          <w:rFonts w:ascii="Times New Roman" w:eastAsia="宋体" w:hAnsi="Times New Roman" w:cs="Times New Roman"/>
          <w:kern w:val="0"/>
          <w:sz w:val="24"/>
          <w:szCs w:val="20"/>
        </w:rPr>
      </w:pPr>
      <w:r>
        <w:rPr>
          <w:rFonts w:ascii="Times New Roman" w:eastAsia="宋体" w:hAnsi="Times New Roman" w:cs="Times New Roman"/>
        </w:rPr>
        <w:object w:dxaOrig="11877" w:dyaOrig="20415" w14:anchorId="261BD5E9">
          <v:shape id="_x0000_i1030" type="#_x0000_t75" style="width:593.85pt;height:1020.75pt" o:ole="">
            <v:imagedata r:id="rId25" o:title=""/>
          </v:shape>
          <o:OLEObject Type="Embed" ProgID="Visio.Drawing.11" ShapeID="_x0000_i1030" DrawAspect="Content" ObjectID="_1687345256" r:id="rId26"/>
        </w:object>
      </w:r>
    </w:p>
    <w:p w14:paraId="7451075D" w14:textId="77777777" w:rsidR="002133E3" w:rsidRDefault="00C22CFA">
      <w:pPr>
        <w:widowControl/>
        <w:tabs>
          <w:tab w:val="left" w:pos="600"/>
        </w:tabs>
        <w:spacing w:line="500" w:lineRule="exact"/>
        <w:jc w:val="center"/>
        <w:rPr>
          <w:rFonts w:ascii="Times New Roman" w:eastAsia="宋体" w:hAnsi="Times New Roman" w:cs="Times New Roman"/>
          <w:kern w:val="0"/>
          <w:sz w:val="22"/>
        </w:rPr>
      </w:pPr>
      <w:r>
        <w:rPr>
          <w:rFonts w:ascii="Times New Roman" w:eastAsia="宋体" w:hAnsi="Times New Roman" w:cs="Times New Roman"/>
          <w:b/>
          <w:kern w:val="0"/>
          <w:szCs w:val="16"/>
        </w:rPr>
        <w:t>图</w:t>
      </w:r>
      <w:r>
        <w:rPr>
          <w:rFonts w:ascii="Times New Roman" w:eastAsia="宋体" w:hAnsi="Times New Roman" w:cs="Times New Roman"/>
          <w:b/>
          <w:kern w:val="0"/>
          <w:szCs w:val="16"/>
        </w:rPr>
        <w:t xml:space="preserve">3.2-4   </w:t>
      </w:r>
      <w:r>
        <w:rPr>
          <w:rFonts w:ascii="Times New Roman" w:eastAsia="宋体" w:hAnsi="Times New Roman" w:cs="Times New Roman"/>
          <w:b/>
          <w:kern w:val="0"/>
          <w:szCs w:val="16"/>
        </w:rPr>
        <w:t>正丁醇生产线工艺流程图</w:t>
      </w:r>
    </w:p>
    <w:p w14:paraId="63947A76" w14:textId="77777777" w:rsidR="002133E3" w:rsidRDefault="002133E3">
      <w:pPr>
        <w:widowControl/>
        <w:snapToGrid w:val="0"/>
        <w:jc w:val="center"/>
        <w:rPr>
          <w:rFonts w:ascii="Times New Roman" w:eastAsia="宋体" w:hAnsi="Times New Roman" w:cs="Times New Roman"/>
          <w:kern w:val="0"/>
          <w:sz w:val="24"/>
          <w:szCs w:val="20"/>
        </w:rPr>
        <w:sectPr w:rsidR="002133E3">
          <w:pgSz w:w="16840" w:h="23808"/>
          <w:pgMar w:top="1134" w:right="1134" w:bottom="1134" w:left="1134" w:header="851" w:footer="992" w:gutter="0"/>
          <w:cols w:space="425"/>
          <w:docGrid w:type="linesAndChars" w:linePitch="312"/>
        </w:sectPr>
      </w:pPr>
    </w:p>
    <w:p w14:paraId="522AEE7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已建项目公用及辅助工程</w:t>
      </w:r>
    </w:p>
    <w:p w14:paraId="540C014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公用工程</w:t>
      </w:r>
    </w:p>
    <w:p w14:paraId="6B9A191F"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已建项目公用工程详见表</w:t>
      </w:r>
      <w:r>
        <w:rPr>
          <w:rFonts w:ascii="Times New Roman" w:eastAsia="宋体" w:hAnsi="Times New Roman" w:cs="Times New Roman"/>
          <w:sz w:val="28"/>
          <w:szCs w:val="28"/>
        </w:rPr>
        <w:t>3.2-3</w:t>
      </w:r>
      <w:r>
        <w:rPr>
          <w:rFonts w:ascii="Times New Roman" w:eastAsia="宋体" w:hAnsi="Times New Roman" w:cs="Times New Roman"/>
          <w:sz w:val="28"/>
          <w:szCs w:val="28"/>
        </w:rPr>
        <w:t>。</w:t>
      </w:r>
    </w:p>
    <w:p w14:paraId="11C29EAB" w14:textId="77777777" w:rsidR="002133E3" w:rsidRDefault="00C22CFA">
      <w:pPr>
        <w:widowControl/>
        <w:tabs>
          <w:tab w:val="left" w:pos="600"/>
        </w:tabs>
        <w:spacing w:line="500" w:lineRule="exact"/>
        <w:jc w:val="center"/>
        <w:rPr>
          <w:rFonts w:ascii="Times New Roman" w:eastAsia="宋体" w:hAnsi="Times New Roman" w:cs="Times New Roman"/>
          <w:b/>
          <w:kern w:val="0"/>
          <w:szCs w:val="16"/>
        </w:rPr>
      </w:pPr>
      <w:r>
        <w:rPr>
          <w:rFonts w:ascii="Times New Roman" w:eastAsia="宋体" w:hAnsi="Times New Roman" w:cs="Times New Roman"/>
          <w:b/>
          <w:kern w:val="0"/>
          <w:szCs w:val="16"/>
        </w:rPr>
        <w:t>表</w:t>
      </w:r>
      <w:r>
        <w:rPr>
          <w:rFonts w:ascii="Times New Roman" w:eastAsia="宋体" w:hAnsi="Times New Roman" w:cs="Times New Roman"/>
          <w:b/>
          <w:kern w:val="0"/>
          <w:szCs w:val="16"/>
        </w:rPr>
        <w:t xml:space="preserve">3.2-3  </w:t>
      </w:r>
      <w:r>
        <w:rPr>
          <w:rFonts w:ascii="Times New Roman" w:eastAsia="宋体" w:hAnsi="Times New Roman" w:cs="Times New Roman"/>
          <w:b/>
          <w:kern w:val="0"/>
          <w:szCs w:val="16"/>
        </w:rPr>
        <w:t>厂区已建项目公用工程表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1533"/>
        <w:gridCol w:w="7456"/>
      </w:tblGrid>
      <w:tr w:rsidR="002133E3" w14:paraId="10A20CB3" w14:textId="77777777">
        <w:trPr>
          <w:cantSplit/>
          <w:trHeight w:val="284"/>
          <w:jc w:val="center"/>
        </w:trPr>
        <w:tc>
          <w:tcPr>
            <w:tcW w:w="439" w:type="pct"/>
            <w:vAlign w:val="center"/>
          </w:tcPr>
          <w:p w14:paraId="724DC8E1"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类别</w:t>
            </w:r>
          </w:p>
        </w:tc>
        <w:tc>
          <w:tcPr>
            <w:tcW w:w="778" w:type="pct"/>
            <w:vAlign w:val="center"/>
          </w:tcPr>
          <w:p w14:paraId="2D2059DF" w14:textId="77777777" w:rsidR="002133E3" w:rsidRDefault="00C22CFA">
            <w:pPr>
              <w:jc w:val="center"/>
              <w:rPr>
                <w:rFonts w:ascii="Times New Roman" w:eastAsia="宋体" w:hAnsi="Times New Roman" w:cs="Times New Roman"/>
                <w:b/>
                <w:bCs/>
                <w:spacing w:val="-10"/>
                <w:szCs w:val="21"/>
              </w:rPr>
            </w:pPr>
            <w:r>
              <w:rPr>
                <w:rFonts w:ascii="Times New Roman" w:eastAsia="宋体" w:hAnsi="Times New Roman" w:cs="Times New Roman"/>
                <w:b/>
                <w:bCs/>
                <w:spacing w:val="-10"/>
                <w:szCs w:val="21"/>
              </w:rPr>
              <w:t>建设名称</w:t>
            </w:r>
          </w:p>
        </w:tc>
        <w:tc>
          <w:tcPr>
            <w:tcW w:w="3783" w:type="pct"/>
            <w:vAlign w:val="center"/>
          </w:tcPr>
          <w:p w14:paraId="4D249CD9" w14:textId="77777777" w:rsidR="002133E3" w:rsidRDefault="00C22CFA">
            <w:pPr>
              <w:jc w:val="center"/>
              <w:rPr>
                <w:rFonts w:ascii="Times New Roman" w:eastAsia="宋体" w:hAnsi="Times New Roman" w:cs="Times New Roman"/>
                <w:b/>
                <w:bCs/>
                <w:spacing w:val="-10"/>
                <w:szCs w:val="21"/>
              </w:rPr>
            </w:pPr>
            <w:r>
              <w:rPr>
                <w:rFonts w:ascii="Times New Roman" w:eastAsia="宋体" w:hAnsi="Times New Roman" w:cs="Times New Roman"/>
                <w:b/>
                <w:bCs/>
                <w:spacing w:val="-10"/>
                <w:szCs w:val="21"/>
              </w:rPr>
              <w:t>设计能力</w:t>
            </w:r>
          </w:p>
        </w:tc>
      </w:tr>
      <w:tr w:rsidR="002133E3" w14:paraId="6560F028" w14:textId="77777777">
        <w:trPr>
          <w:cantSplit/>
          <w:trHeight w:val="284"/>
          <w:jc w:val="center"/>
        </w:trPr>
        <w:tc>
          <w:tcPr>
            <w:tcW w:w="439" w:type="pct"/>
            <w:vMerge w:val="restart"/>
            <w:vAlign w:val="center"/>
          </w:tcPr>
          <w:p w14:paraId="33CDD6A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公用工程</w:t>
            </w:r>
          </w:p>
        </w:tc>
        <w:tc>
          <w:tcPr>
            <w:tcW w:w="778" w:type="pct"/>
            <w:vAlign w:val="center"/>
          </w:tcPr>
          <w:p w14:paraId="7AB114F7" w14:textId="77777777" w:rsidR="002133E3" w:rsidRDefault="00C22CFA">
            <w:pPr>
              <w:autoSpaceDE w:val="0"/>
              <w:autoSpaceDN w:val="0"/>
              <w:adjustRightInd w:val="0"/>
              <w:snapToGrid w:val="0"/>
              <w:spacing w:line="320" w:lineRule="exact"/>
              <w:jc w:val="center"/>
              <w:textAlignment w:val="baseline"/>
              <w:rPr>
                <w:rFonts w:ascii="Times New Roman" w:eastAsia="宋体" w:hAnsi="Times New Roman" w:cs="Times New Roman"/>
                <w:szCs w:val="21"/>
                <w:lang w:val="zh-CN"/>
              </w:rPr>
            </w:pPr>
            <w:r>
              <w:rPr>
                <w:rFonts w:ascii="Times New Roman" w:eastAsia="宋体" w:hAnsi="Times New Roman" w:cs="Times New Roman"/>
                <w:szCs w:val="21"/>
                <w:lang w:val="zh-CN"/>
              </w:rPr>
              <w:t>供水</w:t>
            </w:r>
          </w:p>
        </w:tc>
        <w:tc>
          <w:tcPr>
            <w:tcW w:w="3783" w:type="pct"/>
            <w:vAlign w:val="center"/>
          </w:tcPr>
          <w:p w14:paraId="767E46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项目新鲜水总用量</w:t>
            </w:r>
            <w:r>
              <w:rPr>
                <w:rFonts w:ascii="Times New Roman" w:eastAsia="宋体" w:hAnsi="Times New Roman" w:cs="Times New Roman"/>
                <w:szCs w:val="21"/>
              </w:rPr>
              <w:t>3466768.17 m</w:t>
            </w:r>
            <w:r>
              <w:rPr>
                <w:rFonts w:ascii="Times New Roman" w:eastAsia="宋体" w:hAnsi="Times New Roman" w:cs="Times New Roman"/>
                <w:szCs w:val="21"/>
                <w:vertAlign w:val="superscript"/>
              </w:rPr>
              <w:t>3</w:t>
            </w:r>
            <w:r>
              <w:rPr>
                <w:rFonts w:ascii="Times New Roman" w:eastAsia="宋体" w:hAnsi="Times New Roman" w:cs="Times New Roman"/>
                <w:szCs w:val="21"/>
              </w:rPr>
              <w:t>/a</w:t>
            </w:r>
            <w:r>
              <w:rPr>
                <w:rFonts w:ascii="Times New Roman" w:eastAsia="宋体" w:hAnsi="Times New Roman" w:cs="Times New Roman"/>
                <w:szCs w:val="21"/>
              </w:rPr>
              <w:t>，主要为工艺用水、生活用水、废气处理用水和循环水补充水，项目用水水源来自于赣榆海州湾生物科技园区自来水管网，由兴庄河自来水厂供应。</w:t>
            </w:r>
          </w:p>
        </w:tc>
      </w:tr>
      <w:tr w:rsidR="002133E3" w14:paraId="4279FEC9" w14:textId="77777777">
        <w:trPr>
          <w:cantSplit/>
          <w:trHeight w:val="284"/>
          <w:jc w:val="center"/>
        </w:trPr>
        <w:tc>
          <w:tcPr>
            <w:tcW w:w="439" w:type="pct"/>
            <w:vMerge/>
            <w:vAlign w:val="center"/>
          </w:tcPr>
          <w:p w14:paraId="52EA14A8" w14:textId="77777777" w:rsidR="002133E3" w:rsidRDefault="002133E3">
            <w:pPr>
              <w:jc w:val="center"/>
              <w:rPr>
                <w:rFonts w:ascii="Times New Roman" w:eastAsia="宋体" w:hAnsi="Times New Roman" w:cs="Times New Roman"/>
                <w:szCs w:val="21"/>
              </w:rPr>
            </w:pPr>
          </w:p>
        </w:tc>
        <w:tc>
          <w:tcPr>
            <w:tcW w:w="778" w:type="pct"/>
            <w:vAlign w:val="center"/>
          </w:tcPr>
          <w:p w14:paraId="792760F9" w14:textId="77777777" w:rsidR="002133E3" w:rsidRDefault="00C22CFA">
            <w:pPr>
              <w:autoSpaceDE w:val="0"/>
              <w:autoSpaceDN w:val="0"/>
              <w:adjustRightInd w:val="0"/>
              <w:snapToGrid w:val="0"/>
              <w:spacing w:line="320" w:lineRule="exact"/>
              <w:jc w:val="center"/>
              <w:textAlignment w:val="baseline"/>
              <w:rPr>
                <w:rFonts w:ascii="Times New Roman" w:eastAsia="宋体" w:hAnsi="Times New Roman" w:cs="Times New Roman"/>
                <w:szCs w:val="21"/>
                <w:lang w:val="zh-CN"/>
              </w:rPr>
            </w:pPr>
            <w:r>
              <w:rPr>
                <w:rFonts w:ascii="Times New Roman" w:eastAsia="宋体" w:hAnsi="Times New Roman" w:cs="Times New Roman"/>
                <w:szCs w:val="21"/>
                <w:lang w:val="zh-CN"/>
              </w:rPr>
              <w:t>排水</w:t>
            </w:r>
          </w:p>
        </w:tc>
        <w:tc>
          <w:tcPr>
            <w:tcW w:w="3783" w:type="pct"/>
            <w:vAlign w:val="center"/>
          </w:tcPr>
          <w:p w14:paraId="76C0188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采用清污分流制。所有工艺废水、冲洗废水、废气处理系统排水、沼液废水、生活污水、初期雨水共</w:t>
            </w:r>
            <w:r>
              <w:rPr>
                <w:rFonts w:ascii="Times New Roman" w:eastAsia="宋体" w:hAnsi="Times New Roman" w:cs="Times New Roman"/>
                <w:szCs w:val="21"/>
              </w:rPr>
              <w:t>3488482.65m</w:t>
            </w:r>
            <w:r>
              <w:rPr>
                <w:rFonts w:ascii="Times New Roman" w:eastAsia="宋体" w:hAnsi="Times New Roman" w:cs="Times New Roman"/>
                <w:szCs w:val="21"/>
                <w:vertAlign w:val="superscript"/>
              </w:rPr>
              <w:t>3</w:t>
            </w:r>
            <w:r>
              <w:rPr>
                <w:rFonts w:ascii="Times New Roman" w:eastAsia="宋体" w:hAnsi="Times New Roman" w:cs="Times New Roman"/>
                <w:szCs w:val="21"/>
              </w:rPr>
              <w:t>/a</w:t>
            </w:r>
            <w:r>
              <w:rPr>
                <w:rFonts w:ascii="Times New Roman" w:eastAsia="宋体" w:hAnsi="Times New Roman" w:cs="Times New Roman"/>
                <w:szCs w:val="21"/>
              </w:rPr>
              <w:t>全部入厂区内污水站预处理，处理达接管标准后由区域污水管网收集送至通海污水处理厂处理；净下水</w:t>
            </w:r>
            <w:r>
              <w:rPr>
                <w:rFonts w:ascii="Times New Roman" w:eastAsia="宋体" w:hAnsi="Times New Roman" w:cs="Times New Roman"/>
                <w:color w:val="000000"/>
                <w:kern w:val="0"/>
                <w:sz w:val="22"/>
                <w:lang w:val="zh-CN"/>
              </w:rPr>
              <w:t>255090</w:t>
            </w:r>
            <w:r>
              <w:rPr>
                <w:rFonts w:ascii="Times New Roman" w:eastAsia="宋体" w:hAnsi="Times New Roman" w:cs="Times New Roman"/>
                <w:szCs w:val="21"/>
              </w:rPr>
              <w:t>m</w:t>
            </w:r>
            <w:r>
              <w:rPr>
                <w:rFonts w:ascii="Times New Roman" w:eastAsia="宋体" w:hAnsi="Times New Roman" w:cs="Times New Roman"/>
                <w:szCs w:val="21"/>
                <w:vertAlign w:val="superscript"/>
              </w:rPr>
              <w:t>3</w:t>
            </w:r>
            <w:r>
              <w:rPr>
                <w:rFonts w:ascii="Times New Roman" w:eastAsia="宋体" w:hAnsi="Times New Roman" w:cs="Times New Roman"/>
                <w:szCs w:val="21"/>
              </w:rPr>
              <w:t>/a</w:t>
            </w:r>
            <w:r>
              <w:rPr>
                <w:rFonts w:ascii="Times New Roman" w:eastAsia="宋体" w:hAnsi="Times New Roman" w:cs="Times New Roman"/>
                <w:szCs w:val="21"/>
              </w:rPr>
              <w:t>由雨水管网收集后统一排入兴庄河。</w:t>
            </w:r>
          </w:p>
        </w:tc>
      </w:tr>
      <w:tr w:rsidR="002133E3" w14:paraId="66301D28" w14:textId="77777777">
        <w:trPr>
          <w:cantSplit/>
          <w:trHeight w:val="284"/>
          <w:jc w:val="center"/>
        </w:trPr>
        <w:tc>
          <w:tcPr>
            <w:tcW w:w="439" w:type="pct"/>
            <w:vMerge/>
            <w:vAlign w:val="center"/>
          </w:tcPr>
          <w:p w14:paraId="5D3035B7" w14:textId="77777777" w:rsidR="002133E3" w:rsidRDefault="002133E3">
            <w:pPr>
              <w:jc w:val="center"/>
              <w:rPr>
                <w:rFonts w:ascii="Times New Roman" w:eastAsia="宋体" w:hAnsi="Times New Roman" w:cs="Times New Roman"/>
                <w:szCs w:val="21"/>
              </w:rPr>
            </w:pPr>
          </w:p>
        </w:tc>
        <w:tc>
          <w:tcPr>
            <w:tcW w:w="778" w:type="pct"/>
            <w:vAlign w:val="center"/>
          </w:tcPr>
          <w:p w14:paraId="1D899F6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供电</w:t>
            </w:r>
          </w:p>
        </w:tc>
        <w:tc>
          <w:tcPr>
            <w:tcW w:w="3783" w:type="pct"/>
            <w:vAlign w:val="center"/>
          </w:tcPr>
          <w:p w14:paraId="43B3DCF3"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年用电量</w:t>
            </w:r>
            <w:r>
              <w:rPr>
                <w:rFonts w:ascii="Times New Roman" w:eastAsia="宋体" w:hAnsi="Times New Roman" w:cs="Times New Roman"/>
                <w:szCs w:val="21"/>
              </w:rPr>
              <w:t>8512kwh</w:t>
            </w:r>
            <w:r>
              <w:rPr>
                <w:rFonts w:ascii="Times New Roman" w:eastAsia="宋体" w:hAnsi="Times New Roman" w:cs="Times New Roman"/>
                <w:szCs w:val="21"/>
              </w:rPr>
              <w:t>，其中</w:t>
            </w:r>
            <w:r>
              <w:rPr>
                <w:rFonts w:ascii="Times New Roman" w:eastAsia="宋体" w:hAnsi="Times New Roman" w:cs="Times New Roman"/>
                <w:szCs w:val="21"/>
              </w:rPr>
              <w:t>6892</w:t>
            </w:r>
            <w:r>
              <w:rPr>
                <w:rFonts w:ascii="Times New Roman" w:eastAsia="宋体" w:hAnsi="Times New Roman" w:cs="Times New Roman"/>
                <w:szCs w:val="21"/>
              </w:rPr>
              <w:t>万</w:t>
            </w:r>
            <w:r>
              <w:rPr>
                <w:rFonts w:ascii="Times New Roman" w:eastAsia="宋体" w:hAnsi="Times New Roman" w:cs="Times New Roman"/>
                <w:szCs w:val="21"/>
              </w:rPr>
              <w:t>kWh</w:t>
            </w:r>
            <w:r>
              <w:rPr>
                <w:rFonts w:ascii="Times New Roman" w:eastAsia="宋体" w:hAnsi="Times New Roman" w:cs="Times New Roman"/>
                <w:szCs w:val="21"/>
              </w:rPr>
              <w:t>由沼气发电机组提供，其它不足部分由海头变电所统一供给。</w:t>
            </w:r>
          </w:p>
        </w:tc>
      </w:tr>
      <w:tr w:rsidR="002133E3" w14:paraId="46D2D0D6" w14:textId="77777777">
        <w:trPr>
          <w:cantSplit/>
          <w:trHeight w:val="284"/>
          <w:jc w:val="center"/>
        </w:trPr>
        <w:tc>
          <w:tcPr>
            <w:tcW w:w="439" w:type="pct"/>
            <w:vMerge/>
            <w:vAlign w:val="center"/>
          </w:tcPr>
          <w:p w14:paraId="5EDB814A" w14:textId="77777777" w:rsidR="002133E3" w:rsidRDefault="002133E3">
            <w:pPr>
              <w:jc w:val="center"/>
              <w:rPr>
                <w:rFonts w:ascii="Times New Roman" w:eastAsia="宋体" w:hAnsi="Times New Roman" w:cs="Times New Roman"/>
                <w:szCs w:val="21"/>
              </w:rPr>
            </w:pPr>
          </w:p>
        </w:tc>
        <w:tc>
          <w:tcPr>
            <w:tcW w:w="778" w:type="pct"/>
            <w:vAlign w:val="center"/>
          </w:tcPr>
          <w:p w14:paraId="25FBD41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供热</w:t>
            </w:r>
          </w:p>
        </w:tc>
        <w:tc>
          <w:tcPr>
            <w:tcW w:w="3783" w:type="pct"/>
            <w:vAlign w:val="center"/>
          </w:tcPr>
          <w:p w14:paraId="490458E3"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项目耗汽量约为</w:t>
            </w:r>
            <w:r>
              <w:rPr>
                <w:rFonts w:ascii="Times New Roman" w:eastAsia="宋体" w:hAnsi="Times New Roman" w:cs="Times New Roman"/>
                <w:szCs w:val="21"/>
              </w:rPr>
              <w:t>1224240t/a</w:t>
            </w:r>
            <w:r>
              <w:rPr>
                <w:rFonts w:ascii="Times New Roman" w:eastAsia="宋体" w:hAnsi="Times New Roman" w:cs="Times New Roman"/>
                <w:szCs w:val="21"/>
              </w:rPr>
              <w:t>，来源于厂区</w:t>
            </w:r>
            <w:r>
              <w:rPr>
                <w:rFonts w:ascii="Times New Roman" w:eastAsia="宋体" w:hAnsi="Times New Roman" w:cs="Times New Roman"/>
                <w:szCs w:val="21"/>
              </w:rPr>
              <w:t>1</w:t>
            </w:r>
            <w:r>
              <w:rPr>
                <w:rFonts w:ascii="Times New Roman" w:eastAsia="宋体" w:hAnsi="Times New Roman" w:cs="Times New Roman"/>
                <w:szCs w:val="21"/>
              </w:rPr>
              <w:t>台</w:t>
            </w:r>
            <w:r>
              <w:rPr>
                <w:rFonts w:ascii="Times New Roman" w:eastAsia="宋体" w:hAnsi="Times New Roman" w:cs="Times New Roman"/>
                <w:szCs w:val="21"/>
              </w:rPr>
              <w:t>75t/h</w:t>
            </w:r>
            <w:r>
              <w:rPr>
                <w:rFonts w:ascii="Times New Roman" w:eastAsia="宋体" w:hAnsi="Times New Roman" w:cs="Times New Roman"/>
                <w:szCs w:val="21"/>
              </w:rPr>
              <w:t>沼气锅炉以及产业区供热中心</w:t>
            </w:r>
            <w:r>
              <w:rPr>
                <w:rFonts w:ascii="Times New Roman" w:eastAsia="宋体" w:hAnsi="Times New Roman" w:cs="Times New Roman"/>
                <w:szCs w:val="21"/>
              </w:rPr>
              <w:t>2</w:t>
            </w:r>
            <w:r>
              <w:rPr>
                <w:rFonts w:ascii="Times New Roman" w:eastAsia="宋体" w:hAnsi="Times New Roman" w:cs="Times New Roman"/>
                <w:szCs w:val="21"/>
              </w:rPr>
              <w:t>台</w:t>
            </w:r>
            <w:r>
              <w:rPr>
                <w:rFonts w:ascii="Times New Roman" w:eastAsia="宋体" w:hAnsi="Times New Roman" w:cs="Times New Roman"/>
                <w:szCs w:val="21"/>
              </w:rPr>
              <w:t>75t/h</w:t>
            </w:r>
            <w:r>
              <w:rPr>
                <w:rFonts w:ascii="Times New Roman" w:eastAsia="宋体" w:hAnsi="Times New Roman" w:cs="Times New Roman"/>
                <w:szCs w:val="21"/>
              </w:rPr>
              <w:t>流化床混烧锅炉提供。</w:t>
            </w:r>
          </w:p>
        </w:tc>
      </w:tr>
      <w:tr w:rsidR="002133E3" w14:paraId="23913C71" w14:textId="77777777">
        <w:trPr>
          <w:cantSplit/>
          <w:trHeight w:val="284"/>
          <w:jc w:val="center"/>
        </w:trPr>
        <w:tc>
          <w:tcPr>
            <w:tcW w:w="439" w:type="pct"/>
            <w:vMerge/>
            <w:vAlign w:val="center"/>
          </w:tcPr>
          <w:p w14:paraId="20A26973" w14:textId="77777777" w:rsidR="002133E3" w:rsidRDefault="002133E3">
            <w:pPr>
              <w:jc w:val="center"/>
              <w:rPr>
                <w:rFonts w:ascii="Times New Roman" w:eastAsia="宋体" w:hAnsi="Times New Roman" w:cs="Times New Roman"/>
                <w:szCs w:val="21"/>
              </w:rPr>
            </w:pPr>
          </w:p>
        </w:tc>
        <w:tc>
          <w:tcPr>
            <w:tcW w:w="778" w:type="pct"/>
            <w:vAlign w:val="center"/>
          </w:tcPr>
          <w:p w14:paraId="11B4341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循环冷却水</w:t>
            </w:r>
          </w:p>
        </w:tc>
        <w:tc>
          <w:tcPr>
            <w:tcW w:w="3783" w:type="pct"/>
            <w:vAlign w:val="center"/>
          </w:tcPr>
          <w:p w14:paraId="493F7C52"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循环冷却系统设计能力</w:t>
            </w:r>
            <w:r>
              <w:rPr>
                <w:rFonts w:ascii="Times New Roman" w:eastAsia="宋体" w:hAnsi="Times New Roman" w:cs="Times New Roman"/>
                <w:szCs w:val="21"/>
              </w:rPr>
              <w:t>600t/h</w:t>
            </w:r>
            <w:r>
              <w:rPr>
                <w:rFonts w:ascii="Times New Roman" w:eastAsia="宋体" w:hAnsi="Times New Roman" w:cs="Times New Roman"/>
                <w:szCs w:val="21"/>
              </w:rPr>
              <w:t>，已建项目使用</w:t>
            </w:r>
            <w:r>
              <w:rPr>
                <w:rFonts w:ascii="Times New Roman" w:eastAsia="宋体" w:hAnsi="Times New Roman" w:cs="Times New Roman"/>
                <w:szCs w:val="21"/>
              </w:rPr>
              <w:t>243t/h</w:t>
            </w:r>
          </w:p>
        </w:tc>
      </w:tr>
      <w:tr w:rsidR="002133E3" w14:paraId="5E15D43C" w14:textId="77777777">
        <w:trPr>
          <w:cantSplit/>
          <w:trHeight w:val="284"/>
          <w:jc w:val="center"/>
        </w:trPr>
        <w:tc>
          <w:tcPr>
            <w:tcW w:w="439" w:type="pct"/>
            <w:vMerge w:val="restart"/>
            <w:vAlign w:val="center"/>
          </w:tcPr>
          <w:p w14:paraId="15C88F0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贮运工程</w:t>
            </w:r>
          </w:p>
        </w:tc>
        <w:tc>
          <w:tcPr>
            <w:tcW w:w="778" w:type="pct"/>
            <w:vAlign w:val="center"/>
          </w:tcPr>
          <w:p w14:paraId="4A248A9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外部运输</w:t>
            </w:r>
          </w:p>
        </w:tc>
        <w:tc>
          <w:tcPr>
            <w:tcW w:w="3783" w:type="pct"/>
            <w:vAlign w:val="center"/>
          </w:tcPr>
          <w:p w14:paraId="76E5846A"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汽车运输</w:t>
            </w:r>
          </w:p>
        </w:tc>
      </w:tr>
      <w:tr w:rsidR="002133E3" w14:paraId="2728B084" w14:textId="77777777">
        <w:trPr>
          <w:cantSplit/>
          <w:trHeight w:val="284"/>
          <w:jc w:val="center"/>
        </w:trPr>
        <w:tc>
          <w:tcPr>
            <w:tcW w:w="439" w:type="pct"/>
            <w:vMerge/>
            <w:vAlign w:val="center"/>
          </w:tcPr>
          <w:p w14:paraId="067BFA36" w14:textId="77777777" w:rsidR="002133E3" w:rsidRDefault="002133E3">
            <w:pPr>
              <w:jc w:val="center"/>
              <w:rPr>
                <w:rFonts w:ascii="Times New Roman" w:eastAsia="宋体" w:hAnsi="Times New Roman" w:cs="Times New Roman"/>
                <w:szCs w:val="21"/>
              </w:rPr>
            </w:pPr>
          </w:p>
        </w:tc>
        <w:tc>
          <w:tcPr>
            <w:tcW w:w="778" w:type="pct"/>
            <w:vAlign w:val="center"/>
          </w:tcPr>
          <w:p w14:paraId="5D3A99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内部贮存</w:t>
            </w:r>
          </w:p>
        </w:tc>
        <w:tc>
          <w:tcPr>
            <w:tcW w:w="3783" w:type="pct"/>
            <w:vAlign w:val="center"/>
          </w:tcPr>
          <w:p w14:paraId="2C111A3F"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原料库、成品库、罐区、危品库等</w:t>
            </w:r>
          </w:p>
        </w:tc>
      </w:tr>
    </w:tbl>
    <w:p w14:paraId="5F08725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环保工程</w:t>
      </w:r>
      <w:bookmarkStart w:id="21" w:name="_Toc417309015"/>
    </w:p>
    <w:p w14:paraId="6216A0B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废水污染防治措施</w:t>
      </w:r>
      <w:bookmarkEnd w:id="21"/>
    </w:p>
    <w:p w14:paraId="19212A2F"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现有工程产生的废水主要是工艺废水、冲洗废水、生活污水。</w:t>
      </w:r>
      <w:r>
        <w:rPr>
          <w:rFonts w:ascii="Times New Roman" w:eastAsia="宋体" w:hAnsi="Times New Roman" w:cs="Times New Roman"/>
          <w:kern w:val="0"/>
          <w:sz w:val="28"/>
          <w:szCs w:val="20"/>
        </w:rPr>
        <w:t>对酒糟液进行全糟厌氧发酵后，进行固液分离，滤液经气浮处理后与项目其它废水混合，然后进行</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好氧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处理。污水处理</w:t>
      </w:r>
      <w:r>
        <w:rPr>
          <w:rFonts w:ascii="Times New Roman" w:eastAsia="宋体" w:hAnsi="Times New Roman" w:cs="Times New Roman"/>
          <w:kern w:val="0"/>
          <w:sz w:val="28"/>
          <w:szCs w:val="28"/>
        </w:rPr>
        <w:t>后达《污水综合排放标准》（</w:t>
      </w:r>
      <w:r>
        <w:rPr>
          <w:rFonts w:ascii="Times New Roman" w:eastAsia="宋体" w:hAnsi="Times New Roman" w:cs="Times New Roman"/>
          <w:kern w:val="0"/>
          <w:sz w:val="28"/>
          <w:szCs w:val="28"/>
        </w:rPr>
        <w:t>GB8978-1996</w:t>
      </w:r>
      <w:r>
        <w:rPr>
          <w:rFonts w:ascii="Times New Roman" w:eastAsia="宋体" w:hAnsi="Times New Roman" w:cs="Times New Roman"/>
          <w:kern w:val="0"/>
          <w:sz w:val="28"/>
          <w:szCs w:val="28"/>
        </w:rPr>
        <w:t>）中的三级标准后排入园区污水处理厂。</w:t>
      </w:r>
    </w:p>
    <w:p w14:paraId="285C1768" w14:textId="77777777" w:rsidR="002133E3" w:rsidRDefault="00C22CFA">
      <w:pPr>
        <w:spacing w:line="520" w:lineRule="exac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3.2-4  </w:t>
      </w:r>
      <w:r>
        <w:rPr>
          <w:rFonts w:ascii="Times New Roman" w:eastAsia="宋体" w:hAnsi="Times New Roman" w:cs="Times New Roman"/>
          <w:b/>
          <w:bCs/>
          <w:szCs w:val="21"/>
        </w:rPr>
        <w:t>项目废水排放及防治措施</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62"/>
        <w:gridCol w:w="2241"/>
        <w:gridCol w:w="2408"/>
        <w:gridCol w:w="1561"/>
        <w:gridCol w:w="1561"/>
        <w:gridCol w:w="1521"/>
      </w:tblGrid>
      <w:tr w:rsidR="002133E3" w14:paraId="1B1D7F4B" w14:textId="77777777">
        <w:trPr>
          <w:trHeight w:val="305"/>
          <w:jc w:val="center"/>
        </w:trPr>
        <w:tc>
          <w:tcPr>
            <w:tcW w:w="285" w:type="pct"/>
            <w:vMerge w:val="restart"/>
            <w:vAlign w:val="center"/>
          </w:tcPr>
          <w:p w14:paraId="6FFAAB73" w14:textId="77777777" w:rsidR="002133E3" w:rsidRDefault="00C22CFA">
            <w:pPr>
              <w:widowControl/>
              <w:spacing w:line="32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137" w:type="pct"/>
            <w:vMerge w:val="restart"/>
            <w:vAlign w:val="center"/>
          </w:tcPr>
          <w:p w14:paraId="7E903D3B" w14:textId="77777777" w:rsidR="002133E3" w:rsidRDefault="00C22CFA">
            <w:pPr>
              <w:widowControl/>
              <w:spacing w:line="32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类别</w:t>
            </w:r>
          </w:p>
        </w:tc>
        <w:tc>
          <w:tcPr>
            <w:tcW w:w="1222" w:type="pct"/>
            <w:vMerge w:val="restart"/>
            <w:vAlign w:val="center"/>
          </w:tcPr>
          <w:p w14:paraId="7E89F458" w14:textId="77777777" w:rsidR="002133E3" w:rsidRDefault="00C22CFA">
            <w:pPr>
              <w:widowControl/>
              <w:spacing w:line="32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污染物</w:t>
            </w:r>
          </w:p>
        </w:tc>
        <w:tc>
          <w:tcPr>
            <w:tcW w:w="1584" w:type="pct"/>
            <w:gridSpan w:val="2"/>
            <w:vAlign w:val="center"/>
          </w:tcPr>
          <w:p w14:paraId="0D6FD42D" w14:textId="77777777" w:rsidR="002133E3" w:rsidRDefault="00C22CFA">
            <w:pPr>
              <w:widowControl/>
              <w:spacing w:line="32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处理措施</w:t>
            </w:r>
          </w:p>
        </w:tc>
        <w:tc>
          <w:tcPr>
            <w:tcW w:w="772" w:type="pct"/>
            <w:vMerge w:val="restart"/>
            <w:vAlign w:val="center"/>
          </w:tcPr>
          <w:p w14:paraId="162B6DBC" w14:textId="77777777" w:rsidR="002133E3" w:rsidRDefault="00C22CFA">
            <w:pPr>
              <w:widowControl/>
              <w:spacing w:line="32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排放去向</w:t>
            </w:r>
          </w:p>
        </w:tc>
      </w:tr>
      <w:tr w:rsidR="002133E3" w14:paraId="46F6D3D4" w14:textId="77777777">
        <w:trPr>
          <w:trHeight w:val="304"/>
          <w:jc w:val="center"/>
        </w:trPr>
        <w:tc>
          <w:tcPr>
            <w:tcW w:w="285" w:type="pct"/>
            <w:vMerge/>
            <w:vAlign w:val="center"/>
          </w:tcPr>
          <w:p w14:paraId="55A92A59" w14:textId="77777777" w:rsidR="002133E3" w:rsidRDefault="002133E3">
            <w:pPr>
              <w:widowControl/>
              <w:spacing w:line="320" w:lineRule="exact"/>
              <w:jc w:val="center"/>
              <w:rPr>
                <w:rFonts w:ascii="Times New Roman" w:eastAsia="宋体" w:hAnsi="Times New Roman" w:cs="Times New Roman"/>
                <w:kern w:val="0"/>
                <w:szCs w:val="21"/>
              </w:rPr>
            </w:pPr>
          </w:p>
        </w:tc>
        <w:tc>
          <w:tcPr>
            <w:tcW w:w="1137" w:type="pct"/>
            <w:vMerge/>
            <w:vAlign w:val="center"/>
          </w:tcPr>
          <w:p w14:paraId="55CA8AD2" w14:textId="77777777" w:rsidR="002133E3" w:rsidRDefault="002133E3">
            <w:pPr>
              <w:widowControl/>
              <w:spacing w:line="320" w:lineRule="exact"/>
              <w:jc w:val="center"/>
              <w:rPr>
                <w:rFonts w:ascii="Times New Roman" w:eastAsia="宋体" w:hAnsi="Times New Roman" w:cs="Times New Roman"/>
                <w:kern w:val="0"/>
                <w:szCs w:val="21"/>
              </w:rPr>
            </w:pPr>
          </w:p>
        </w:tc>
        <w:tc>
          <w:tcPr>
            <w:tcW w:w="1222" w:type="pct"/>
            <w:vMerge/>
            <w:vAlign w:val="center"/>
          </w:tcPr>
          <w:p w14:paraId="563C891B" w14:textId="77777777" w:rsidR="002133E3" w:rsidRDefault="002133E3">
            <w:pPr>
              <w:widowControl/>
              <w:spacing w:line="320" w:lineRule="exact"/>
              <w:jc w:val="center"/>
              <w:rPr>
                <w:rFonts w:ascii="Times New Roman" w:eastAsia="宋体" w:hAnsi="Times New Roman" w:cs="Times New Roman"/>
                <w:kern w:val="0"/>
                <w:szCs w:val="21"/>
              </w:rPr>
            </w:pPr>
          </w:p>
        </w:tc>
        <w:tc>
          <w:tcPr>
            <w:tcW w:w="792" w:type="pct"/>
            <w:vAlign w:val="center"/>
          </w:tcPr>
          <w:p w14:paraId="6B64C372" w14:textId="77777777" w:rsidR="002133E3" w:rsidRDefault="00C22CFA">
            <w:pPr>
              <w:widowControl/>
              <w:spacing w:line="32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环评的要求</w:t>
            </w:r>
          </w:p>
        </w:tc>
        <w:tc>
          <w:tcPr>
            <w:tcW w:w="792" w:type="pct"/>
            <w:vAlign w:val="center"/>
          </w:tcPr>
          <w:p w14:paraId="13AAE92C" w14:textId="77777777" w:rsidR="002133E3" w:rsidRDefault="00C22CFA">
            <w:pPr>
              <w:widowControl/>
              <w:spacing w:line="32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实际建设</w:t>
            </w:r>
          </w:p>
        </w:tc>
        <w:tc>
          <w:tcPr>
            <w:tcW w:w="772" w:type="pct"/>
            <w:vMerge/>
            <w:vAlign w:val="center"/>
          </w:tcPr>
          <w:p w14:paraId="1EC00119" w14:textId="77777777" w:rsidR="002133E3" w:rsidRDefault="002133E3">
            <w:pPr>
              <w:widowControl/>
              <w:spacing w:line="320" w:lineRule="exact"/>
              <w:jc w:val="center"/>
              <w:rPr>
                <w:rFonts w:ascii="Times New Roman" w:eastAsia="宋体" w:hAnsi="Times New Roman" w:cs="Times New Roman"/>
                <w:kern w:val="0"/>
                <w:szCs w:val="21"/>
              </w:rPr>
            </w:pPr>
          </w:p>
        </w:tc>
      </w:tr>
      <w:tr w:rsidR="002133E3" w14:paraId="3E8625F5" w14:textId="77777777">
        <w:trPr>
          <w:trHeight w:val="125"/>
          <w:jc w:val="center"/>
        </w:trPr>
        <w:tc>
          <w:tcPr>
            <w:tcW w:w="285" w:type="pct"/>
            <w:vAlign w:val="center"/>
          </w:tcPr>
          <w:p w14:paraId="06294B41"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137" w:type="pct"/>
            <w:vAlign w:val="center"/>
          </w:tcPr>
          <w:p w14:paraId="7938AAEA"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工艺废水（槽液、蒸馏底液）</w:t>
            </w:r>
          </w:p>
        </w:tc>
        <w:tc>
          <w:tcPr>
            <w:tcW w:w="1222" w:type="pct"/>
            <w:vAlign w:val="center"/>
          </w:tcPr>
          <w:p w14:paraId="0E01DCF4" w14:textId="77777777" w:rsidR="002133E3" w:rsidRDefault="00C22CFA">
            <w:pPr>
              <w:widowControl/>
              <w:spacing w:line="320" w:lineRule="exac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w:t>
            </w:r>
            <w:r>
              <w:rPr>
                <w:rFonts w:ascii="Times New Roman" w:eastAsia="宋体" w:hAnsi="Times New Roman" w:cs="Times New Roman"/>
                <w:kern w:val="0"/>
                <w:szCs w:val="21"/>
                <w:vertAlign w:val="subscript"/>
              </w:rPr>
              <w:t>cr</w:t>
            </w:r>
            <w:proofErr w:type="spellEnd"/>
            <w:r>
              <w:rPr>
                <w:rFonts w:ascii="Times New Roman" w:eastAsia="宋体" w:hAnsi="Times New Roman" w:cs="Times New Roman"/>
                <w:kern w:val="0"/>
                <w:szCs w:val="21"/>
              </w:rPr>
              <w:t>、</w:t>
            </w:r>
            <w:r>
              <w:rPr>
                <w:rFonts w:ascii="Times New Roman" w:eastAsia="宋体" w:hAnsi="Times New Roman" w:cs="Times New Roman"/>
                <w:kern w:val="0"/>
                <w:szCs w:val="21"/>
              </w:rPr>
              <w:t>SS</w:t>
            </w:r>
            <w:r>
              <w:rPr>
                <w:rFonts w:ascii="Times New Roman" w:eastAsia="宋体" w:hAnsi="Times New Roman" w:cs="Times New Roman"/>
                <w:kern w:val="0"/>
                <w:szCs w:val="21"/>
              </w:rPr>
              <w:t>、</w:t>
            </w:r>
            <w:r>
              <w:rPr>
                <w:rFonts w:ascii="Times New Roman" w:eastAsia="宋体" w:hAnsi="Times New Roman" w:cs="Times New Roman"/>
                <w:kern w:val="0"/>
                <w:szCs w:val="21"/>
                <w:lang w:val="de-DE"/>
              </w:rPr>
              <w:t>NH</w:t>
            </w:r>
            <w:r>
              <w:rPr>
                <w:rFonts w:ascii="Times New Roman" w:eastAsia="宋体" w:hAnsi="Times New Roman" w:cs="Times New Roman"/>
                <w:kern w:val="0"/>
                <w:szCs w:val="21"/>
                <w:vertAlign w:val="subscript"/>
                <w:lang w:val="de-DE"/>
              </w:rPr>
              <w:t>3</w:t>
            </w:r>
            <w:r>
              <w:rPr>
                <w:rFonts w:ascii="Times New Roman" w:eastAsia="宋体" w:hAnsi="Times New Roman" w:cs="Times New Roman"/>
                <w:kern w:val="0"/>
                <w:szCs w:val="21"/>
                <w:lang w:val="de-DE"/>
              </w:rPr>
              <w:t>-N</w:t>
            </w:r>
          </w:p>
        </w:tc>
        <w:tc>
          <w:tcPr>
            <w:tcW w:w="792" w:type="pct"/>
            <w:vMerge w:val="restart"/>
            <w:vAlign w:val="center"/>
          </w:tcPr>
          <w:p w14:paraId="78863F8C"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进厂区污水站经</w:t>
            </w:r>
            <w:r>
              <w:rPr>
                <w:rFonts w:ascii="Times New Roman" w:eastAsia="宋体" w:hAnsi="Times New Roman" w:cs="Times New Roman"/>
                <w:kern w:val="0"/>
                <w:szCs w:val="21"/>
              </w:rPr>
              <w:t>“</w:t>
            </w:r>
            <w:r>
              <w:rPr>
                <w:rFonts w:ascii="Times New Roman" w:eastAsia="宋体" w:hAnsi="Times New Roman" w:cs="Times New Roman"/>
                <w:kern w:val="0"/>
                <w:szCs w:val="21"/>
              </w:rPr>
              <w:t>厌氧</w:t>
            </w:r>
            <w:r>
              <w:rPr>
                <w:rFonts w:ascii="Times New Roman" w:eastAsia="宋体" w:hAnsi="Times New Roman" w:cs="Times New Roman"/>
                <w:kern w:val="0"/>
                <w:szCs w:val="21"/>
              </w:rPr>
              <w:t>+</w:t>
            </w:r>
            <w:r>
              <w:rPr>
                <w:rFonts w:ascii="Times New Roman" w:eastAsia="宋体" w:hAnsi="Times New Roman" w:cs="Times New Roman"/>
                <w:kern w:val="0"/>
                <w:szCs w:val="21"/>
              </w:rPr>
              <w:t>气浮</w:t>
            </w:r>
            <w:r>
              <w:rPr>
                <w:rFonts w:ascii="Times New Roman" w:eastAsia="宋体" w:hAnsi="Times New Roman" w:cs="Times New Roman"/>
                <w:kern w:val="0"/>
                <w:szCs w:val="21"/>
              </w:rPr>
              <w:t>+</w:t>
            </w:r>
            <w:r>
              <w:rPr>
                <w:rFonts w:ascii="Times New Roman" w:eastAsia="宋体" w:hAnsi="Times New Roman" w:cs="Times New Roman"/>
                <w:kern w:val="0"/>
                <w:szCs w:val="21"/>
              </w:rPr>
              <w:t>好氧</w:t>
            </w:r>
            <w:r>
              <w:rPr>
                <w:rFonts w:ascii="Times New Roman" w:eastAsia="宋体" w:hAnsi="Times New Roman" w:cs="Times New Roman"/>
                <w:kern w:val="0"/>
                <w:szCs w:val="21"/>
              </w:rPr>
              <w:t>”</w:t>
            </w:r>
            <w:r>
              <w:rPr>
                <w:rFonts w:ascii="Times New Roman" w:eastAsia="宋体" w:hAnsi="Times New Roman" w:cs="Times New Roman"/>
                <w:kern w:val="0"/>
                <w:szCs w:val="21"/>
              </w:rPr>
              <w:t>处理</w:t>
            </w:r>
          </w:p>
        </w:tc>
        <w:tc>
          <w:tcPr>
            <w:tcW w:w="792" w:type="pct"/>
            <w:vMerge w:val="restart"/>
            <w:vAlign w:val="center"/>
          </w:tcPr>
          <w:p w14:paraId="5140E5EE"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进厂区污水站经</w:t>
            </w:r>
            <w:r>
              <w:rPr>
                <w:rFonts w:ascii="Times New Roman" w:eastAsia="宋体" w:hAnsi="Times New Roman" w:cs="Times New Roman"/>
                <w:kern w:val="0"/>
                <w:szCs w:val="21"/>
              </w:rPr>
              <w:t>“</w:t>
            </w:r>
            <w:r>
              <w:rPr>
                <w:rFonts w:ascii="Times New Roman" w:eastAsia="宋体" w:hAnsi="Times New Roman" w:cs="Times New Roman"/>
                <w:kern w:val="0"/>
                <w:szCs w:val="21"/>
              </w:rPr>
              <w:t>厌氧</w:t>
            </w:r>
            <w:r>
              <w:rPr>
                <w:rFonts w:ascii="Times New Roman" w:eastAsia="宋体" w:hAnsi="Times New Roman" w:cs="Times New Roman"/>
                <w:kern w:val="0"/>
                <w:szCs w:val="21"/>
              </w:rPr>
              <w:t>+</w:t>
            </w:r>
            <w:r>
              <w:rPr>
                <w:rFonts w:ascii="Times New Roman" w:eastAsia="宋体" w:hAnsi="Times New Roman" w:cs="Times New Roman"/>
                <w:kern w:val="0"/>
                <w:szCs w:val="21"/>
              </w:rPr>
              <w:t>气浮</w:t>
            </w:r>
            <w:r>
              <w:rPr>
                <w:rFonts w:ascii="Times New Roman" w:eastAsia="宋体" w:hAnsi="Times New Roman" w:cs="Times New Roman"/>
                <w:kern w:val="0"/>
                <w:szCs w:val="21"/>
              </w:rPr>
              <w:t>+</w:t>
            </w:r>
            <w:r>
              <w:rPr>
                <w:rFonts w:ascii="Times New Roman" w:eastAsia="宋体" w:hAnsi="Times New Roman" w:cs="Times New Roman"/>
                <w:kern w:val="0"/>
                <w:szCs w:val="21"/>
              </w:rPr>
              <w:t>好氧</w:t>
            </w:r>
            <w:r>
              <w:rPr>
                <w:rFonts w:ascii="Times New Roman" w:eastAsia="宋体" w:hAnsi="Times New Roman" w:cs="Times New Roman"/>
                <w:kern w:val="0"/>
                <w:szCs w:val="21"/>
              </w:rPr>
              <w:t>”</w:t>
            </w:r>
            <w:r>
              <w:rPr>
                <w:rFonts w:ascii="Times New Roman" w:eastAsia="宋体" w:hAnsi="Times New Roman" w:cs="Times New Roman"/>
                <w:kern w:val="0"/>
                <w:szCs w:val="21"/>
              </w:rPr>
              <w:t>处理</w:t>
            </w:r>
          </w:p>
        </w:tc>
        <w:tc>
          <w:tcPr>
            <w:tcW w:w="772" w:type="pct"/>
            <w:vMerge w:val="restart"/>
            <w:vAlign w:val="center"/>
          </w:tcPr>
          <w:p w14:paraId="41C1AFE8"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园区污水处理厂</w:t>
            </w:r>
          </w:p>
        </w:tc>
      </w:tr>
      <w:tr w:rsidR="002133E3" w14:paraId="3A7B2068" w14:textId="77777777">
        <w:trPr>
          <w:trHeight w:val="125"/>
          <w:jc w:val="center"/>
        </w:trPr>
        <w:tc>
          <w:tcPr>
            <w:tcW w:w="285" w:type="pct"/>
            <w:vAlign w:val="center"/>
          </w:tcPr>
          <w:p w14:paraId="3B6AF734"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137" w:type="pct"/>
            <w:vAlign w:val="center"/>
          </w:tcPr>
          <w:p w14:paraId="119A5F82"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工艺废水</w:t>
            </w:r>
          </w:p>
        </w:tc>
        <w:tc>
          <w:tcPr>
            <w:tcW w:w="1222" w:type="pct"/>
            <w:vAlign w:val="center"/>
          </w:tcPr>
          <w:p w14:paraId="6A4EBAFE" w14:textId="77777777" w:rsidR="002133E3" w:rsidRDefault="00C22CFA">
            <w:pPr>
              <w:widowControl/>
              <w:spacing w:line="320" w:lineRule="exac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w:t>
            </w:r>
            <w:r>
              <w:rPr>
                <w:rFonts w:ascii="Times New Roman" w:eastAsia="宋体" w:hAnsi="Times New Roman" w:cs="Times New Roman"/>
                <w:kern w:val="0"/>
                <w:szCs w:val="21"/>
                <w:vertAlign w:val="subscript"/>
              </w:rPr>
              <w:t>cr</w:t>
            </w:r>
            <w:proofErr w:type="spellEnd"/>
            <w:r>
              <w:rPr>
                <w:rFonts w:ascii="Times New Roman" w:eastAsia="宋体" w:hAnsi="Times New Roman" w:cs="Times New Roman"/>
                <w:kern w:val="0"/>
                <w:szCs w:val="21"/>
              </w:rPr>
              <w:t>、</w:t>
            </w:r>
            <w:r>
              <w:rPr>
                <w:rFonts w:ascii="Times New Roman" w:eastAsia="宋体" w:hAnsi="Times New Roman" w:cs="Times New Roman"/>
                <w:kern w:val="0"/>
                <w:szCs w:val="21"/>
              </w:rPr>
              <w:t>SS</w:t>
            </w:r>
          </w:p>
        </w:tc>
        <w:tc>
          <w:tcPr>
            <w:tcW w:w="792" w:type="pct"/>
            <w:vMerge/>
            <w:vAlign w:val="center"/>
          </w:tcPr>
          <w:p w14:paraId="69688806" w14:textId="77777777" w:rsidR="002133E3" w:rsidRDefault="002133E3">
            <w:pPr>
              <w:widowControl/>
              <w:spacing w:line="320" w:lineRule="exact"/>
              <w:jc w:val="center"/>
              <w:rPr>
                <w:rFonts w:ascii="Times New Roman" w:eastAsia="宋体" w:hAnsi="Times New Roman" w:cs="Times New Roman"/>
                <w:kern w:val="0"/>
                <w:szCs w:val="21"/>
              </w:rPr>
            </w:pPr>
          </w:p>
        </w:tc>
        <w:tc>
          <w:tcPr>
            <w:tcW w:w="792" w:type="pct"/>
            <w:vMerge/>
            <w:vAlign w:val="center"/>
          </w:tcPr>
          <w:p w14:paraId="6A3741A4" w14:textId="77777777" w:rsidR="002133E3" w:rsidRDefault="002133E3">
            <w:pPr>
              <w:widowControl/>
              <w:spacing w:line="320" w:lineRule="exact"/>
              <w:jc w:val="center"/>
              <w:rPr>
                <w:rFonts w:ascii="Times New Roman" w:eastAsia="宋体" w:hAnsi="Times New Roman" w:cs="Times New Roman"/>
                <w:kern w:val="0"/>
                <w:szCs w:val="21"/>
              </w:rPr>
            </w:pPr>
          </w:p>
        </w:tc>
        <w:tc>
          <w:tcPr>
            <w:tcW w:w="772" w:type="pct"/>
            <w:vMerge/>
            <w:vAlign w:val="center"/>
          </w:tcPr>
          <w:p w14:paraId="64DE2D42" w14:textId="77777777" w:rsidR="002133E3" w:rsidRDefault="002133E3">
            <w:pPr>
              <w:widowControl/>
              <w:spacing w:line="320" w:lineRule="exact"/>
              <w:jc w:val="center"/>
              <w:rPr>
                <w:rFonts w:ascii="Times New Roman" w:eastAsia="宋体" w:hAnsi="Times New Roman" w:cs="Times New Roman"/>
                <w:kern w:val="0"/>
                <w:szCs w:val="21"/>
              </w:rPr>
            </w:pPr>
          </w:p>
        </w:tc>
      </w:tr>
      <w:tr w:rsidR="002133E3" w14:paraId="0B6A01B6" w14:textId="77777777">
        <w:trPr>
          <w:trHeight w:val="125"/>
          <w:jc w:val="center"/>
        </w:trPr>
        <w:tc>
          <w:tcPr>
            <w:tcW w:w="285" w:type="pct"/>
            <w:vAlign w:val="center"/>
          </w:tcPr>
          <w:p w14:paraId="2097110C"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137" w:type="pct"/>
            <w:vAlign w:val="center"/>
          </w:tcPr>
          <w:p w14:paraId="5E75B5FA"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生活污水</w:t>
            </w:r>
          </w:p>
        </w:tc>
        <w:tc>
          <w:tcPr>
            <w:tcW w:w="1222" w:type="pct"/>
            <w:vAlign w:val="center"/>
          </w:tcPr>
          <w:p w14:paraId="64D30FA2" w14:textId="77777777" w:rsidR="002133E3" w:rsidRDefault="00C22CFA">
            <w:pPr>
              <w:widowControl/>
              <w:spacing w:line="320" w:lineRule="exac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w:t>
            </w:r>
            <w:r>
              <w:rPr>
                <w:rFonts w:ascii="Times New Roman" w:eastAsia="宋体" w:hAnsi="Times New Roman" w:cs="Times New Roman"/>
                <w:kern w:val="0"/>
                <w:szCs w:val="21"/>
                <w:vertAlign w:val="subscript"/>
              </w:rPr>
              <w:t>cr</w:t>
            </w:r>
            <w:proofErr w:type="spellEnd"/>
            <w:r>
              <w:rPr>
                <w:rFonts w:ascii="Times New Roman" w:eastAsia="宋体" w:hAnsi="Times New Roman" w:cs="Times New Roman"/>
                <w:kern w:val="0"/>
                <w:szCs w:val="21"/>
              </w:rPr>
              <w:t>、</w:t>
            </w:r>
            <w:r>
              <w:rPr>
                <w:rFonts w:ascii="Times New Roman" w:eastAsia="宋体" w:hAnsi="Times New Roman" w:cs="Times New Roman"/>
                <w:kern w:val="0"/>
                <w:szCs w:val="21"/>
              </w:rPr>
              <w:t>SS</w:t>
            </w:r>
            <w:r>
              <w:rPr>
                <w:rFonts w:ascii="Times New Roman" w:eastAsia="宋体" w:hAnsi="Times New Roman" w:cs="Times New Roman"/>
                <w:kern w:val="0"/>
                <w:szCs w:val="21"/>
              </w:rPr>
              <w:t>、</w:t>
            </w:r>
            <w:r>
              <w:rPr>
                <w:rFonts w:ascii="Times New Roman" w:eastAsia="宋体" w:hAnsi="Times New Roman" w:cs="Times New Roman"/>
                <w:kern w:val="0"/>
                <w:szCs w:val="21"/>
              </w:rPr>
              <w:t>NH</w:t>
            </w:r>
            <w:r>
              <w:rPr>
                <w:rFonts w:ascii="Times New Roman" w:eastAsia="宋体" w:hAnsi="Times New Roman" w:cs="Times New Roman"/>
                <w:kern w:val="0"/>
                <w:szCs w:val="21"/>
                <w:vertAlign w:val="subscript"/>
              </w:rPr>
              <w:t>3</w:t>
            </w:r>
            <w:r>
              <w:rPr>
                <w:rFonts w:ascii="Times New Roman" w:eastAsia="宋体" w:hAnsi="Times New Roman" w:cs="Times New Roman"/>
                <w:kern w:val="0"/>
                <w:szCs w:val="21"/>
              </w:rPr>
              <w:t>-N</w:t>
            </w:r>
            <w:r>
              <w:rPr>
                <w:rFonts w:ascii="Times New Roman" w:eastAsia="宋体" w:hAnsi="Times New Roman" w:cs="Times New Roman"/>
                <w:kern w:val="0"/>
                <w:szCs w:val="21"/>
              </w:rPr>
              <w:t>、</w:t>
            </w:r>
            <w:r>
              <w:rPr>
                <w:rFonts w:ascii="Times New Roman" w:eastAsia="宋体" w:hAnsi="Times New Roman" w:cs="Times New Roman"/>
                <w:kern w:val="0"/>
                <w:szCs w:val="21"/>
              </w:rPr>
              <w:t>TP</w:t>
            </w:r>
          </w:p>
        </w:tc>
        <w:tc>
          <w:tcPr>
            <w:tcW w:w="792" w:type="pct"/>
            <w:vMerge/>
            <w:vAlign w:val="center"/>
          </w:tcPr>
          <w:p w14:paraId="100BB590" w14:textId="77777777" w:rsidR="002133E3" w:rsidRDefault="002133E3">
            <w:pPr>
              <w:widowControl/>
              <w:spacing w:line="320" w:lineRule="exact"/>
              <w:jc w:val="center"/>
              <w:rPr>
                <w:rFonts w:ascii="Times New Roman" w:eastAsia="宋体" w:hAnsi="Times New Roman" w:cs="Times New Roman"/>
                <w:kern w:val="0"/>
                <w:szCs w:val="21"/>
              </w:rPr>
            </w:pPr>
          </w:p>
        </w:tc>
        <w:tc>
          <w:tcPr>
            <w:tcW w:w="792" w:type="pct"/>
            <w:vMerge/>
            <w:vAlign w:val="center"/>
          </w:tcPr>
          <w:p w14:paraId="2C410485" w14:textId="77777777" w:rsidR="002133E3" w:rsidRDefault="002133E3">
            <w:pPr>
              <w:widowControl/>
              <w:spacing w:line="320" w:lineRule="exact"/>
              <w:jc w:val="center"/>
              <w:rPr>
                <w:rFonts w:ascii="Times New Roman" w:eastAsia="宋体" w:hAnsi="Times New Roman" w:cs="Times New Roman"/>
                <w:kern w:val="0"/>
                <w:szCs w:val="21"/>
              </w:rPr>
            </w:pPr>
          </w:p>
        </w:tc>
        <w:tc>
          <w:tcPr>
            <w:tcW w:w="772" w:type="pct"/>
            <w:vMerge/>
            <w:vAlign w:val="center"/>
          </w:tcPr>
          <w:p w14:paraId="5557266D" w14:textId="77777777" w:rsidR="002133E3" w:rsidRDefault="002133E3">
            <w:pPr>
              <w:widowControl/>
              <w:spacing w:line="320" w:lineRule="exact"/>
              <w:jc w:val="center"/>
              <w:rPr>
                <w:rFonts w:ascii="Times New Roman" w:eastAsia="宋体" w:hAnsi="Times New Roman" w:cs="Times New Roman"/>
                <w:kern w:val="0"/>
                <w:szCs w:val="21"/>
              </w:rPr>
            </w:pPr>
          </w:p>
        </w:tc>
      </w:tr>
      <w:tr w:rsidR="002133E3" w14:paraId="6A9996E4" w14:textId="77777777">
        <w:trPr>
          <w:trHeight w:val="273"/>
          <w:jc w:val="center"/>
        </w:trPr>
        <w:tc>
          <w:tcPr>
            <w:tcW w:w="285" w:type="pct"/>
            <w:vAlign w:val="center"/>
          </w:tcPr>
          <w:p w14:paraId="7CD05BFC"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137" w:type="pct"/>
            <w:vAlign w:val="center"/>
          </w:tcPr>
          <w:p w14:paraId="6065CD94"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地面及设备冲洗废水</w:t>
            </w:r>
          </w:p>
        </w:tc>
        <w:tc>
          <w:tcPr>
            <w:tcW w:w="1222" w:type="pct"/>
            <w:vAlign w:val="center"/>
          </w:tcPr>
          <w:p w14:paraId="3C8C8A7F" w14:textId="77777777" w:rsidR="002133E3" w:rsidRDefault="00C22CFA">
            <w:pPr>
              <w:widowControl/>
              <w:spacing w:line="320" w:lineRule="exac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w:t>
            </w:r>
            <w:r>
              <w:rPr>
                <w:rFonts w:ascii="Times New Roman" w:eastAsia="宋体" w:hAnsi="Times New Roman" w:cs="Times New Roman"/>
                <w:kern w:val="0"/>
                <w:szCs w:val="21"/>
                <w:vertAlign w:val="subscript"/>
              </w:rPr>
              <w:t>cr</w:t>
            </w:r>
            <w:proofErr w:type="spellEnd"/>
            <w:r>
              <w:rPr>
                <w:rFonts w:ascii="Times New Roman" w:eastAsia="宋体" w:hAnsi="Times New Roman" w:cs="Times New Roman"/>
                <w:kern w:val="0"/>
                <w:szCs w:val="21"/>
              </w:rPr>
              <w:t>、</w:t>
            </w:r>
            <w:r>
              <w:rPr>
                <w:rFonts w:ascii="Times New Roman" w:eastAsia="宋体" w:hAnsi="Times New Roman" w:cs="Times New Roman"/>
                <w:kern w:val="0"/>
                <w:szCs w:val="21"/>
              </w:rPr>
              <w:t>SS</w:t>
            </w:r>
          </w:p>
        </w:tc>
        <w:tc>
          <w:tcPr>
            <w:tcW w:w="792" w:type="pct"/>
            <w:vMerge/>
            <w:vAlign w:val="center"/>
          </w:tcPr>
          <w:p w14:paraId="76A9FAE8" w14:textId="77777777" w:rsidR="002133E3" w:rsidRDefault="002133E3">
            <w:pPr>
              <w:widowControl/>
              <w:spacing w:line="320" w:lineRule="exact"/>
              <w:jc w:val="center"/>
              <w:rPr>
                <w:rFonts w:ascii="Times New Roman" w:eastAsia="宋体" w:hAnsi="Times New Roman" w:cs="Times New Roman"/>
                <w:kern w:val="0"/>
                <w:szCs w:val="21"/>
              </w:rPr>
            </w:pPr>
          </w:p>
        </w:tc>
        <w:tc>
          <w:tcPr>
            <w:tcW w:w="792" w:type="pct"/>
            <w:vMerge/>
            <w:vAlign w:val="center"/>
          </w:tcPr>
          <w:p w14:paraId="720B8F23" w14:textId="77777777" w:rsidR="002133E3" w:rsidRDefault="002133E3">
            <w:pPr>
              <w:widowControl/>
              <w:spacing w:line="320" w:lineRule="exact"/>
              <w:jc w:val="center"/>
              <w:rPr>
                <w:rFonts w:ascii="Times New Roman" w:eastAsia="宋体" w:hAnsi="Times New Roman" w:cs="Times New Roman"/>
                <w:kern w:val="0"/>
                <w:szCs w:val="21"/>
              </w:rPr>
            </w:pPr>
          </w:p>
        </w:tc>
        <w:tc>
          <w:tcPr>
            <w:tcW w:w="772" w:type="pct"/>
            <w:vMerge/>
            <w:vAlign w:val="center"/>
          </w:tcPr>
          <w:p w14:paraId="407F3178" w14:textId="77777777" w:rsidR="002133E3" w:rsidRDefault="002133E3">
            <w:pPr>
              <w:widowControl/>
              <w:spacing w:line="320" w:lineRule="exact"/>
              <w:jc w:val="center"/>
              <w:rPr>
                <w:rFonts w:ascii="Times New Roman" w:eastAsia="宋体" w:hAnsi="Times New Roman" w:cs="Times New Roman"/>
                <w:kern w:val="0"/>
                <w:szCs w:val="21"/>
              </w:rPr>
            </w:pPr>
          </w:p>
        </w:tc>
      </w:tr>
      <w:tr w:rsidR="002133E3" w14:paraId="5F555BC2" w14:textId="77777777">
        <w:trPr>
          <w:trHeight w:val="125"/>
          <w:jc w:val="center"/>
        </w:trPr>
        <w:tc>
          <w:tcPr>
            <w:tcW w:w="285" w:type="pct"/>
            <w:vAlign w:val="center"/>
          </w:tcPr>
          <w:p w14:paraId="213EA1EA"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137" w:type="pct"/>
            <w:vAlign w:val="center"/>
          </w:tcPr>
          <w:p w14:paraId="7AD655DC"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清下水</w:t>
            </w:r>
          </w:p>
        </w:tc>
        <w:tc>
          <w:tcPr>
            <w:tcW w:w="1222" w:type="pct"/>
            <w:vAlign w:val="center"/>
          </w:tcPr>
          <w:p w14:paraId="0BA8E08C" w14:textId="77777777" w:rsidR="002133E3" w:rsidRDefault="00C22CFA">
            <w:pPr>
              <w:widowControl/>
              <w:spacing w:line="320" w:lineRule="exac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w:t>
            </w:r>
            <w:r>
              <w:rPr>
                <w:rFonts w:ascii="Times New Roman" w:eastAsia="宋体" w:hAnsi="Times New Roman" w:cs="Times New Roman"/>
                <w:kern w:val="0"/>
                <w:szCs w:val="21"/>
                <w:vertAlign w:val="subscript"/>
              </w:rPr>
              <w:t>cr</w:t>
            </w:r>
            <w:proofErr w:type="spellEnd"/>
          </w:p>
        </w:tc>
        <w:tc>
          <w:tcPr>
            <w:tcW w:w="792" w:type="pct"/>
            <w:vAlign w:val="center"/>
          </w:tcPr>
          <w:p w14:paraId="68BB05A4"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排入雨水管网</w:t>
            </w:r>
          </w:p>
        </w:tc>
        <w:tc>
          <w:tcPr>
            <w:tcW w:w="792" w:type="pct"/>
            <w:vAlign w:val="center"/>
          </w:tcPr>
          <w:p w14:paraId="69D459EA"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排入雨水管网</w:t>
            </w:r>
          </w:p>
        </w:tc>
        <w:tc>
          <w:tcPr>
            <w:tcW w:w="772" w:type="pct"/>
            <w:vAlign w:val="center"/>
          </w:tcPr>
          <w:p w14:paraId="128A5115" w14:textId="77777777" w:rsidR="002133E3" w:rsidRDefault="00C22CFA">
            <w:pPr>
              <w:widowControl/>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排入雨水管网</w:t>
            </w:r>
          </w:p>
        </w:tc>
      </w:tr>
    </w:tbl>
    <w:p w14:paraId="68AE061A" w14:textId="77777777" w:rsidR="002133E3" w:rsidRDefault="009F1FEF">
      <w:pPr>
        <w:jc w:val="center"/>
        <w:rPr>
          <w:rFonts w:ascii="Times New Roman" w:eastAsia="宋体" w:hAnsi="Times New Roman" w:cs="Times New Roman"/>
          <w:b/>
          <w:bCs/>
          <w:sz w:val="24"/>
          <w:szCs w:val="20"/>
        </w:rPr>
      </w:pPr>
      <w:r>
        <w:rPr>
          <w:rFonts w:ascii="Times New Roman" w:eastAsia="宋体" w:hAnsi="Times New Roman" w:cs="Times New Roman"/>
        </w:rPr>
        <w:lastRenderedPageBreak/>
        <w:pict w14:anchorId="14D7276A">
          <v:shape id="_x0000_i1031" type="#_x0000_t75" style="width:384.95pt;height:561.7pt">
            <v:imagedata r:id="rId27" o:title=""/>
          </v:shape>
        </w:pict>
      </w:r>
    </w:p>
    <w:p w14:paraId="01B8C639"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图</w:t>
      </w:r>
      <w:r>
        <w:rPr>
          <w:rFonts w:ascii="Times New Roman" w:eastAsia="宋体" w:hAnsi="Times New Roman" w:cs="Times New Roman"/>
          <w:b/>
          <w:bCs/>
          <w:sz w:val="24"/>
          <w:szCs w:val="20"/>
        </w:rPr>
        <w:t xml:space="preserve">3.2-5  </w:t>
      </w:r>
      <w:r>
        <w:rPr>
          <w:rFonts w:ascii="Times New Roman" w:eastAsia="宋体" w:hAnsi="Times New Roman" w:cs="Times New Roman"/>
          <w:b/>
          <w:bCs/>
          <w:sz w:val="24"/>
          <w:szCs w:val="20"/>
        </w:rPr>
        <w:t>已建项目废水处理工艺流程图</w:t>
      </w:r>
    </w:p>
    <w:p w14:paraId="28991A0D"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bookmarkStart w:id="22" w:name="_Toc417309016"/>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废气污染防治措施</w:t>
      </w:r>
      <w:bookmarkEnd w:id="22"/>
    </w:p>
    <w:p w14:paraId="1489380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已建项目废气具体排放及治理措施见表</w:t>
      </w:r>
      <w:r>
        <w:rPr>
          <w:rFonts w:ascii="Times New Roman" w:eastAsia="宋体" w:hAnsi="Times New Roman" w:cs="Times New Roman"/>
          <w:kern w:val="0"/>
          <w:sz w:val="28"/>
          <w:szCs w:val="28"/>
        </w:rPr>
        <w:t>3.2-5</w:t>
      </w:r>
      <w:r>
        <w:rPr>
          <w:rFonts w:ascii="Times New Roman" w:eastAsia="宋体" w:hAnsi="Times New Roman" w:cs="Times New Roman"/>
          <w:kern w:val="0"/>
          <w:sz w:val="28"/>
          <w:szCs w:val="28"/>
        </w:rPr>
        <w:t>。</w:t>
      </w:r>
    </w:p>
    <w:p w14:paraId="6F37EE3C"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3.2-5  </w:t>
      </w:r>
      <w:r>
        <w:rPr>
          <w:rFonts w:ascii="Times New Roman" w:eastAsia="宋体" w:hAnsi="Times New Roman" w:cs="Times New Roman"/>
          <w:b/>
          <w:bCs/>
          <w:sz w:val="24"/>
          <w:szCs w:val="20"/>
        </w:rPr>
        <w:t>废气排放及防治措施</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26"/>
        <w:gridCol w:w="1276"/>
        <w:gridCol w:w="3685"/>
        <w:gridCol w:w="1985"/>
        <w:gridCol w:w="1382"/>
      </w:tblGrid>
      <w:tr w:rsidR="002133E3" w14:paraId="59B041B2" w14:textId="77777777">
        <w:trPr>
          <w:trHeight w:val="75"/>
          <w:jc w:val="center"/>
        </w:trPr>
        <w:tc>
          <w:tcPr>
            <w:tcW w:w="774" w:type="pct"/>
            <w:vAlign w:val="center"/>
          </w:tcPr>
          <w:p w14:paraId="4FBB77B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车间</w:t>
            </w:r>
          </w:p>
        </w:tc>
        <w:tc>
          <w:tcPr>
            <w:tcW w:w="647" w:type="pct"/>
            <w:vAlign w:val="center"/>
          </w:tcPr>
          <w:p w14:paraId="65EDAF47"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废气来源</w:t>
            </w:r>
          </w:p>
        </w:tc>
        <w:tc>
          <w:tcPr>
            <w:tcW w:w="1870" w:type="pct"/>
            <w:vAlign w:val="center"/>
          </w:tcPr>
          <w:p w14:paraId="6A6A2F47"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污染物</w:t>
            </w:r>
          </w:p>
        </w:tc>
        <w:tc>
          <w:tcPr>
            <w:tcW w:w="1007" w:type="pct"/>
            <w:vAlign w:val="center"/>
          </w:tcPr>
          <w:p w14:paraId="06A493A2"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处理措施</w:t>
            </w:r>
          </w:p>
        </w:tc>
        <w:tc>
          <w:tcPr>
            <w:tcW w:w="701" w:type="pct"/>
            <w:vAlign w:val="center"/>
          </w:tcPr>
          <w:p w14:paraId="72C06359"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排气筒高度</w:t>
            </w:r>
            <w:r>
              <w:rPr>
                <w:rFonts w:ascii="Times New Roman" w:eastAsia="宋体" w:hAnsi="Times New Roman" w:cs="Times New Roman"/>
                <w:b/>
                <w:kern w:val="0"/>
                <w:szCs w:val="21"/>
              </w:rPr>
              <w:t>m</w:t>
            </w:r>
          </w:p>
        </w:tc>
      </w:tr>
      <w:tr w:rsidR="002133E3" w14:paraId="72CE9520" w14:textId="77777777">
        <w:trPr>
          <w:jc w:val="center"/>
        </w:trPr>
        <w:tc>
          <w:tcPr>
            <w:tcW w:w="774" w:type="pct"/>
            <w:vMerge w:val="restart"/>
            <w:vAlign w:val="center"/>
          </w:tcPr>
          <w:p w14:paraId="59D526F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r>
              <w:rPr>
                <w:rFonts w:ascii="Times New Roman" w:eastAsia="宋体" w:hAnsi="Times New Roman" w:cs="Times New Roman"/>
                <w:szCs w:val="21"/>
              </w:rPr>
              <w:t>生产线</w:t>
            </w:r>
          </w:p>
        </w:tc>
        <w:tc>
          <w:tcPr>
            <w:tcW w:w="647" w:type="pct"/>
            <w:vAlign w:val="center"/>
          </w:tcPr>
          <w:p w14:paraId="6144179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粉碎工序</w:t>
            </w:r>
          </w:p>
        </w:tc>
        <w:tc>
          <w:tcPr>
            <w:tcW w:w="1870" w:type="pct"/>
            <w:vAlign w:val="center"/>
          </w:tcPr>
          <w:p w14:paraId="0C49B12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007" w:type="pct"/>
            <w:vAlign w:val="center"/>
          </w:tcPr>
          <w:p w14:paraId="021D1E7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台水膜除尘器</w:t>
            </w:r>
          </w:p>
        </w:tc>
        <w:tc>
          <w:tcPr>
            <w:tcW w:w="701" w:type="pct"/>
            <w:vAlign w:val="center"/>
          </w:tcPr>
          <w:p w14:paraId="3225E4F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r>
              <w:rPr>
                <w:rFonts w:ascii="Times New Roman" w:eastAsia="宋体" w:hAnsi="Times New Roman" w:cs="Times New Roman"/>
                <w:b/>
                <w:kern w:val="0"/>
                <w:szCs w:val="21"/>
              </w:rPr>
              <w:t xml:space="preserve"> </w:t>
            </w:r>
          </w:p>
        </w:tc>
      </w:tr>
      <w:tr w:rsidR="002133E3" w14:paraId="2365CFCF" w14:textId="77777777">
        <w:trPr>
          <w:jc w:val="center"/>
        </w:trPr>
        <w:tc>
          <w:tcPr>
            <w:tcW w:w="774" w:type="pct"/>
            <w:vMerge/>
            <w:vAlign w:val="center"/>
          </w:tcPr>
          <w:p w14:paraId="7A3BEDF3" w14:textId="77777777" w:rsidR="002133E3" w:rsidRDefault="002133E3">
            <w:pPr>
              <w:widowControl/>
              <w:snapToGrid w:val="0"/>
              <w:jc w:val="center"/>
              <w:rPr>
                <w:rFonts w:ascii="Times New Roman" w:eastAsia="宋体" w:hAnsi="Times New Roman" w:cs="Times New Roman"/>
                <w:kern w:val="0"/>
                <w:szCs w:val="21"/>
              </w:rPr>
            </w:pPr>
          </w:p>
        </w:tc>
        <w:tc>
          <w:tcPr>
            <w:tcW w:w="647" w:type="pct"/>
            <w:vAlign w:val="center"/>
          </w:tcPr>
          <w:p w14:paraId="682470E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发酵、冷凝</w:t>
            </w:r>
          </w:p>
        </w:tc>
        <w:tc>
          <w:tcPr>
            <w:tcW w:w="1870" w:type="pct"/>
            <w:vAlign w:val="center"/>
          </w:tcPr>
          <w:p w14:paraId="590BF78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r>
              <w:rPr>
                <w:rFonts w:ascii="Times New Roman" w:eastAsia="宋体" w:hAnsi="Times New Roman" w:cs="Times New Roman"/>
                <w:kern w:val="0"/>
                <w:szCs w:val="21"/>
              </w:rPr>
              <w:t>CO</w:t>
            </w:r>
            <w:r>
              <w:rPr>
                <w:rFonts w:ascii="Times New Roman" w:eastAsia="宋体" w:hAnsi="Times New Roman" w:cs="Times New Roman"/>
                <w:kern w:val="0"/>
                <w:szCs w:val="21"/>
                <w:vertAlign w:val="subscript"/>
              </w:rPr>
              <w:t>2</w:t>
            </w:r>
          </w:p>
        </w:tc>
        <w:tc>
          <w:tcPr>
            <w:tcW w:w="1007" w:type="pct"/>
            <w:vAlign w:val="center"/>
          </w:tcPr>
          <w:p w14:paraId="3B22E26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直接排放</w:t>
            </w:r>
          </w:p>
        </w:tc>
        <w:tc>
          <w:tcPr>
            <w:tcW w:w="701" w:type="pct"/>
            <w:vAlign w:val="center"/>
          </w:tcPr>
          <w:p w14:paraId="44559C9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r>
              <w:rPr>
                <w:rFonts w:ascii="Times New Roman" w:eastAsia="宋体" w:hAnsi="Times New Roman" w:cs="Times New Roman"/>
                <w:b/>
                <w:kern w:val="0"/>
                <w:szCs w:val="21"/>
              </w:rPr>
              <w:t xml:space="preserve"> </w:t>
            </w:r>
          </w:p>
        </w:tc>
      </w:tr>
      <w:tr w:rsidR="002133E3" w14:paraId="64908C3C" w14:textId="77777777">
        <w:trPr>
          <w:jc w:val="center"/>
        </w:trPr>
        <w:tc>
          <w:tcPr>
            <w:tcW w:w="774" w:type="pct"/>
            <w:vAlign w:val="center"/>
          </w:tcPr>
          <w:p w14:paraId="13E2087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w:t>
            </w:r>
            <w:r>
              <w:rPr>
                <w:rFonts w:ascii="Times New Roman" w:eastAsia="宋体" w:hAnsi="Times New Roman" w:cs="Times New Roman"/>
                <w:szCs w:val="21"/>
              </w:rPr>
              <w:t>生产线</w:t>
            </w:r>
          </w:p>
        </w:tc>
        <w:tc>
          <w:tcPr>
            <w:tcW w:w="647" w:type="pct"/>
            <w:vAlign w:val="center"/>
          </w:tcPr>
          <w:p w14:paraId="616AEBD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洗涤工段</w:t>
            </w:r>
          </w:p>
        </w:tc>
        <w:tc>
          <w:tcPr>
            <w:tcW w:w="1870" w:type="pct"/>
            <w:vAlign w:val="center"/>
          </w:tcPr>
          <w:p w14:paraId="5DE726B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乙醛、乙醇</w:t>
            </w:r>
          </w:p>
        </w:tc>
        <w:tc>
          <w:tcPr>
            <w:tcW w:w="1007" w:type="pct"/>
            <w:vAlign w:val="center"/>
          </w:tcPr>
          <w:p w14:paraId="07C54BD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降温冷冻塔水吸收</w:t>
            </w:r>
          </w:p>
        </w:tc>
        <w:tc>
          <w:tcPr>
            <w:tcW w:w="701" w:type="pct"/>
            <w:vAlign w:val="center"/>
          </w:tcPr>
          <w:p w14:paraId="36FB5FA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48</w:t>
            </w:r>
          </w:p>
        </w:tc>
      </w:tr>
      <w:tr w:rsidR="002133E3" w14:paraId="1D8EA3EE" w14:textId="77777777">
        <w:trPr>
          <w:jc w:val="center"/>
        </w:trPr>
        <w:tc>
          <w:tcPr>
            <w:tcW w:w="774" w:type="pct"/>
            <w:vAlign w:val="center"/>
          </w:tcPr>
          <w:p w14:paraId="1860D77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沼气锅炉</w:t>
            </w:r>
          </w:p>
        </w:tc>
        <w:tc>
          <w:tcPr>
            <w:tcW w:w="647" w:type="pct"/>
            <w:vAlign w:val="center"/>
          </w:tcPr>
          <w:p w14:paraId="5636481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75t/h</w:t>
            </w:r>
            <w:r>
              <w:rPr>
                <w:rFonts w:ascii="Times New Roman" w:eastAsia="宋体" w:hAnsi="Times New Roman" w:cs="Times New Roman"/>
                <w:kern w:val="0"/>
                <w:szCs w:val="21"/>
              </w:rPr>
              <w:t>锅炉</w:t>
            </w:r>
          </w:p>
        </w:tc>
        <w:tc>
          <w:tcPr>
            <w:tcW w:w="1870" w:type="pct"/>
            <w:vAlign w:val="center"/>
          </w:tcPr>
          <w:p w14:paraId="7B77A69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烟尘、</w:t>
            </w: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p>
        </w:tc>
        <w:tc>
          <w:tcPr>
            <w:tcW w:w="1007" w:type="pct"/>
            <w:vAlign w:val="center"/>
          </w:tcPr>
          <w:p w14:paraId="383ED6B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沼气脱硫</w:t>
            </w:r>
          </w:p>
        </w:tc>
        <w:tc>
          <w:tcPr>
            <w:tcW w:w="701" w:type="pct"/>
            <w:vAlign w:val="center"/>
          </w:tcPr>
          <w:p w14:paraId="5DBFAE4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50</w:t>
            </w:r>
            <w:r>
              <w:rPr>
                <w:rFonts w:ascii="Times New Roman" w:eastAsia="宋体" w:hAnsi="Times New Roman" w:cs="Times New Roman"/>
                <w:b/>
                <w:kern w:val="0"/>
                <w:szCs w:val="21"/>
              </w:rPr>
              <w:t xml:space="preserve"> </w:t>
            </w:r>
          </w:p>
        </w:tc>
      </w:tr>
      <w:tr w:rsidR="002133E3" w14:paraId="7CBA6268" w14:textId="77777777">
        <w:trPr>
          <w:jc w:val="center"/>
        </w:trPr>
        <w:tc>
          <w:tcPr>
            <w:tcW w:w="774" w:type="pct"/>
            <w:vMerge w:val="restart"/>
            <w:vAlign w:val="center"/>
          </w:tcPr>
          <w:p w14:paraId="0433A0C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rPr>
              <w:t>发酵法混合物生产线</w:t>
            </w:r>
          </w:p>
        </w:tc>
        <w:tc>
          <w:tcPr>
            <w:tcW w:w="647" w:type="pct"/>
            <w:vAlign w:val="center"/>
          </w:tcPr>
          <w:p w14:paraId="4BABB86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粉碎工序</w:t>
            </w:r>
          </w:p>
        </w:tc>
        <w:tc>
          <w:tcPr>
            <w:tcW w:w="1870" w:type="pct"/>
            <w:vAlign w:val="center"/>
          </w:tcPr>
          <w:p w14:paraId="15CF080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007" w:type="pct"/>
            <w:vAlign w:val="center"/>
          </w:tcPr>
          <w:p w14:paraId="42742453" w14:textId="77777777" w:rsidR="002133E3" w:rsidRDefault="00C22CFA">
            <w:pPr>
              <w:spacing w:line="0" w:lineRule="atLeas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水膜除尘系统</w:t>
            </w:r>
            <w:proofErr w:type="spellEnd"/>
          </w:p>
        </w:tc>
        <w:tc>
          <w:tcPr>
            <w:tcW w:w="701" w:type="pct"/>
            <w:vAlign w:val="center"/>
          </w:tcPr>
          <w:p w14:paraId="7CA262E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r>
              <w:rPr>
                <w:rFonts w:ascii="Times New Roman" w:eastAsia="宋体" w:hAnsi="Times New Roman" w:cs="Times New Roman"/>
                <w:b/>
                <w:kern w:val="0"/>
                <w:szCs w:val="21"/>
              </w:rPr>
              <w:t xml:space="preserve"> </w:t>
            </w:r>
          </w:p>
        </w:tc>
      </w:tr>
      <w:tr w:rsidR="002133E3" w14:paraId="3BF1917B" w14:textId="77777777">
        <w:trPr>
          <w:jc w:val="center"/>
        </w:trPr>
        <w:tc>
          <w:tcPr>
            <w:tcW w:w="774" w:type="pct"/>
            <w:vMerge/>
            <w:vAlign w:val="center"/>
          </w:tcPr>
          <w:p w14:paraId="155E2C17" w14:textId="77777777" w:rsidR="002133E3" w:rsidRDefault="002133E3">
            <w:pPr>
              <w:widowControl/>
              <w:snapToGrid w:val="0"/>
              <w:jc w:val="center"/>
              <w:rPr>
                <w:rFonts w:ascii="Times New Roman" w:eastAsia="宋体" w:hAnsi="Times New Roman" w:cs="Times New Roman"/>
                <w:kern w:val="0"/>
                <w:szCs w:val="21"/>
              </w:rPr>
            </w:pPr>
          </w:p>
        </w:tc>
        <w:tc>
          <w:tcPr>
            <w:tcW w:w="647" w:type="pct"/>
            <w:vAlign w:val="center"/>
          </w:tcPr>
          <w:p w14:paraId="58CE2F0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发酵</w:t>
            </w:r>
          </w:p>
        </w:tc>
        <w:tc>
          <w:tcPr>
            <w:tcW w:w="1870" w:type="pct"/>
            <w:vAlign w:val="center"/>
          </w:tcPr>
          <w:p w14:paraId="78EEA349"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lang w:eastAsia="en-US"/>
              </w:rPr>
              <w:t>CO</w:t>
            </w:r>
            <w:r>
              <w:rPr>
                <w:rFonts w:ascii="Times New Roman" w:eastAsia="宋体" w:hAnsi="Times New Roman" w:cs="Times New Roman"/>
                <w:kern w:val="0"/>
                <w:szCs w:val="21"/>
                <w:vertAlign w:val="subscript"/>
                <w:lang w:eastAsia="en-US"/>
              </w:rPr>
              <w:t>2</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H</w:t>
            </w:r>
            <w:r>
              <w:rPr>
                <w:rFonts w:ascii="Times New Roman" w:eastAsia="宋体" w:hAnsi="Times New Roman" w:cs="Times New Roman"/>
                <w:kern w:val="0"/>
                <w:szCs w:val="21"/>
                <w:vertAlign w:val="subscript"/>
                <w:lang w:eastAsia="en-US"/>
              </w:rPr>
              <w:t>2</w:t>
            </w:r>
            <w:r>
              <w:rPr>
                <w:rFonts w:ascii="Times New Roman" w:eastAsia="宋体" w:hAnsi="Times New Roman" w:cs="Times New Roman"/>
                <w:kern w:val="0"/>
                <w:szCs w:val="21"/>
                <w:lang w:eastAsia="en-US"/>
              </w:rPr>
              <w:t>、丁醇、丙酮、</w:t>
            </w:r>
            <w:r>
              <w:rPr>
                <w:rFonts w:ascii="Times New Roman" w:eastAsia="宋体" w:hAnsi="Times New Roman" w:cs="Times New Roman"/>
                <w:w w:val="99"/>
                <w:kern w:val="0"/>
                <w:szCs w:val="21"/>
                <w:lang w:eastAsia="en-US"/>
              </w:rPr>
              <w:t xml:space="preserve"> </w:t>
            </w:r>
            <w:proofErr w:type="spellStart"/>
            <w:r>
              <w:rPr>
                <w:rFonts w:ascii="Times New Roman" w:eastAsia="宋体" w:hAnsi="Times New Roman" w:cs="Times New Roman"/>
                <w:kern w:val="0"/>
                <w:szCs w:val="21"/>
                <w:lang w:eastAsia="en-US"/>
              </w:rPr>
              <w:t>乙醇、乙醛</w:t>
            </w:r>
            <w:proofErr w:type="spellEnd"/>
          </w:p>
        </w:tc>
        <w:tc>
          <w:tcPr>
            <w:tcW w:w="1007" w:type="pct"/>
            <w:vAlign w:val="center"/>
          </w:tcPr>
          <w:p w14:paraId="75FB2ADE"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三级水喷淋吸收</w:t>
            </w:r>
          </w:p>
        </w:tc>
        <w:tc>
          <w:tcPr>
            <w:tcW w:w="701" w:type="pct"/>
            <w:vAlign w:val="center"/>
          </w:tcPr>
          <w:p w14:paraId="3FA8708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25</w:t>
            </w:r>
            <w:r>
              <w:rPr>
                <w:rFonts w:ascii="Times New Roman" w:eastAsia="宋体" w:hAnsi="Times New Roman" w:cs="Times New Roman"/>
                <w:b/>
                <w:kern w:val="0"/>
                <w:szCs w:val="21"/>
              </w:rPr>
              <w:t xml:space="preserve"> </w:t>
            </w:r>
          </w:p>
        </w:tc>
      </w:tr>
      <w:tr w:rsidR="002133E3" w14:paraId="0638D83C" w14:textId="77777777">
        <w:trPr>
          <w:jc w:val="center"/>
        </w:trPr>
        <w:tc>
          <w:tcPr>
            <w:tcW w:w="774" w:type="pct"/>
            <w:vMerge/>
            <w:vAlign w:val="center"/>
          </w:tcPr>
          <w:p w14:paraId="3D66FC7E" w14:textId="77777777" w:rsidR="002133E3" w:rsidRDefault="002133E3">
            <w:pPr>
              <w:widowControl/>
              <w:snapToGrid w:val="0"/>
              <w:jc w:val="center"/>
              <w:rPr>
                <w:rFonts w:ascii="Times New Roman" w:eastAsia="宋体" w:hAnsi="Times New Roman" w:cs="Times New Roman"/>
                <w:kern w:val="0"/>
                <w:szCs w:val="21"/>
              </w:rPr>
            </w:pPr>
          </w:p>
        </w:tc>
        <w:tc>
          <w:tcPr>
            <w:tcW w:w="647" w:type="pct"/>
            <w:vAlign w:val="center"/>
          </w:tcPr>
          <w:p w14:paraId="32F13B5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冷凝</w:t>
            </w:r>
          </w:p>
        </w:tc>
        <w:tc>
          <w:tcPr>
            <w:tcW w:w="1870" w:type="pct"/>
            <w:vAlign w:val="center"/>
          </w:tcPr>
          <w:p w14:paraId="6B7DB8EA" w14:textId="77777777" w:rsidR="002133E3" w:rsidRDefault="00C22CFA">
            <w:pPr>
              <w:widowControl/>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丁醇、丙酮、乙醇、乙醛、</w:t>
            </w:r>
            <w:r>
              <w:rPr>
                <w:rFonts w:ascii="Times New Roman" w:eastAsia="宋体" w:hAnsi="Times New Roman" w:cs="Times New Roman"/>
                <w:kern w:val="0"/>
                <w:szCs w:val="21"/>
                <w:lang w:eastAsia="en-US"/>
              </w:rPr>
              <w:t>VOCS</w:t>
            </w:r>
            <w:proofErr w:type="spellEnd"/>
          </w:p>
        </w:tc>
        <w:tc>
          <w:tcPr>
            <w:tcW w:w="1007" w:type="pct"/>
            <w:vAlign w:val="center"/>
          </w:tcPr>
          <w:p w14:paraId="512BDA13"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三级水吸收系统</w:t>
            </w:r>
          </w:p>
        </w:tc>
        <w:tc>
          <w:tcPr>
            <w:tcW w:w="701" w:type="pct"/>
            <w:vAlign w:val="center"/>
          </w:tcPr>
          <w:p w14:paraId="1A59E87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25</w:t>
            </w:r>
            <w:r>
              <w:rPr>
                <w:rFonts w:ascii="Times New Roman" w:eastAsia="宋体" w:hAnsi="Times New Roman" w:cs="Times New Roman"/>
                <w:b/>
                <w:kern w:val="0"/>
                <w:szCs w:val="21"/>
              </w:rPr>
              <w:t xml:space="preserve"> </w:t>
            </w:r>
          </w:p>
        </w:tc>
      </w:tr>
      <w:tr w:rsidR="002133E3" w14:paraId="36F65926" w14:textId="77777777">
        <w:trPr>
          <w:jc w:val="center"/>
        </w:trPr>
        <w:tc>
          <w:tcPr>
            <w:tcW w:w="774" w:type="pct"/>
            <w:vAlign w:val="center"/>
          </w:tcPr>
          <w:p w14:paraId="4DCC1A96" w14:textId="77777777" w:rsidR="002133E3" w:rsidRDefault="00C22CFA">
            <w:pPr>
              <w:widowControl/>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污水站</w:t>
            </w:r>
            <w:proofErr w:type="spellEnd"/>
          </w:p>
        </w:tc>
        <w:tc>
          <w:tcPr>
            <w:tcW w:w="647" w:type="pct"/>
            <w:vAlign w:val="center"/>
          </w:tcPr>
          <w:p w14:paraId="2A24CD7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c>
          <w:tcPr>
            <w:tcW w:w="1870" w:type="pct"/>
            <w:vAlign w:val="center"/>
          </w:tcPr>
          <w:p w14:paraId="60EA9043" w14:textId="77777777" w:rsidR="002133E3" w:rsidRDefault="00C22CFA">
            <w:pPr>
              <w:widowControl/>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氨、硫化氢</w:t>
            </w:r>
            <w:proofErr w:type="spellEnd"/>
          </w:p>
        </w:tc>
        <w:tc>
          <w:tcPr>
            <w:tcW w:w="1007" w:type="pct"/>
            <w:vAlign w:val="center"/>
          </w:tcPr>
          <w:p w14:paraId="21AD523A" w14:textId="77777777" w:rsidR="002133E3" w:rsidRDefault="00C22CFA">
            <w:pPr>
              <w:widowControl/>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一级水吸收</w:t>
            </w:r>
            <w:proofErr w:type="spellEnd"/>
          </w:p>
        </w:tc>
        <w:tc>
          <w:tcPr>
            <w:tcW w:w="701" w:type="pct"/>
            <w:vAlign w:val="center"/>
          </w:tcPr>
          <w:p w14:paraId="1138468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w:t>
            </w:r>
            <w:r>
              <w:rPr>
                <w:rFonts w:ascii="Times New Roman" w:eastAsia="宋体" w:hAnsi="Times New Roman" w:cs="Times New Roman"/>
                <w:b/>
                <w:kern w:val="0"/>
                <w:szCs w:val="21"/>
              </w:rPr>
              <w:t xml:space="preserve"> </w:t>
            </w:r>
          </w:p>
        </w:tc>
      </w:tr>
      <w:tr w:rsidR="002133E3" w14:paraId="1F815A49" w14:textId="77777777">
        <w:trPr>
          <w:jc w:val="center"/>
        </w:trPr>
        <w:tc>
          <w:tcPr>
            <w:tcW w:w="774" w:type="pct"/>
            <w:vAlign w:val="center"/>
          </w:tcPr>
          <w:p w14:paraId="23C6D1CF" w14:textId="77777777" w:rsidR="002133E3" w:rsidRDefault="00C22CFA">
            <w:pPr>
              <w:widowControl/>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罐区</w:t>
            </w:r>
            <w:proofErr w:type="spellEnd"/>
          </w:p>
        </w:tc>
        <w:tc>
          <w:tcPr>
            <w:tcW w:w="647" w:type="pct"/>
            <w:vAlign w:val="center"/>
          </w:tcPr>
          <w:p w14:paraId="1D6BC53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c>
          <w:tcPr>
            <w:tcW w:w="1870" w:type="pct"/>
            <w:vAlign w:val="center"/>
          </w:tcPr>
          <w:p w14:paraId="4A79D913" w14:textId="77777777" w:rsidR="002133E3" w:rsidRDefault="00C22CFA">
            <w:pPr>
              <w:widowControl/>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正丁醇、丙酮、乙醇</w:t>
            </w:r>
            <w:proofErr w:type="spellEnd"/>
          </w:p>
        </w:tc>
        <w:tc>
          <w:tcPr>
            <w:tcW w:w="1007" w:type="pct"/>
            <w:vAlign w:val="center"/>
          </w:tcPr>
          <w:p w14:paraId="3F897EA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c>
          <w:tcPr>
            <w:tcW w:w="701" w:type="pct"/>
            <w:vAlign w:val="center"/>
          </w:tcPr>
          <w:p w14:paraId="18CD855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r>
      <w:tr w:rsidR="002133E3" w14:paraId="1D36D562" w14:textId="77777777">
        <w:trPr>
          <w:jc w:val="center"/>
        </w:trPr>
        <w:tc>
          <w:tcPr>
            <w:tcW w:w="774" w:type="pct"/>
            <w:vAlign w:val="center"/>
          </w:tcPr>
          <w:p w14:paraId="407169C7" w14:textId="77777777" w:rsidR="002133E3" w:rsidRDefault="00C22CFA">
            <w:pPr>
              <w:widowControl/>
              <w:snapToGrid w:val="0"/>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木薯干仓库</w:t>
            </w:r>
            <w:proofErr w:type="spellEnd"/>
          </w:p>
        </w:tc>
        <w:tc>
          <w:tcPr>
            <w:tcW w:w="647" w:type="pct"/>
            <w:vAlign w:val="center"/>
          </w:tcPr>
          <w:p w14:paraId="59F3C72A" w14:textId="77777777" w:rsidR="002133E3" w:rsidRDefault="00C22CFA">
            <w:pPr>
              <w:widowControl/>
              <w:snapToGrid w:val="0"/>
              <w:jc w:val="center"/>
              <w:rPr>
                <w:rFonts w:ascii="Times New Roman" w:eastAsia="宋体" w:hAnsi="Times New Roman" w:cs="Times New Roman"/>
                <w:w w:val="99"/>
                <w:kern w:val="0"/>
                <w:szCs w:val="21"/>
                <w:lang w:eastAsia="en-US"/>
              </w:rPr>
            </w:pPr>
            <w:r>
              <w:rPr>
                <w:rFonts w:ascii="Times New Roman" w:eastAsia="宋体" w:hAnsi="Times New Roman" w:cs="Times New Roman"/>
                <w:w w:val="99"/>
                <w:kern w:val="0"/>
                <w:szCs w:val="21"/>
                <w:lang w:eastAsia="en-US"/>
              </w:rPr>
              <w:t>/</w:t>
            </w:r>
          </w:p>
        </w:tc>
        <w:tc>
          <w:tcPr>
            <w:tcW w:w="1870" w:type="pct"/>
            <w:vAlign w:val="center"/>
          </w:tcPr>
          <w:p w14:paraId="782C8838" w14:textId="77777777" w:rsidR="002133E3" w:rsidRDefault="00C22CFA">
            <w:pPr>
              <w:widowControl/>
              <w:snapToGrid w:val="0"/>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粉尘</w:t>
            </w:r>
            <w:proofErr w:type="spellEnd"/>
          </w:p>
        </w:tc>
        <w:tc>
          <w:tcPr>
            <w:tcW w:w="1007" w:type="pct"/>
            <w:vAlign w:val="center"/>
          </w:tcPr>
          <w:p w14:paraId="5F72D71C"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c>
          <w:tcPr>
            <w:tcW w:w="701" w:type="pct"/>
            <w:vAlign w:val="center"/>
          </w:tcPr>
          <w:p w14:paraId="53B3364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r>
      <w:tr w:rsidR="002133E3" w14:paraId="4DAFD9B5" w14:textId="77777777">
        <w:trPr>
          <w:jc w:val="center"/>
        </w:trPr>
        <w:tc>
          <w:tcPr>
            <w:tcW w:w="774" w:type="pct"/>
            <w:vAlign w:val="center"/>
          </w:tcPr>
          <w:p w14:paraId="5BA4C6EC" w14:textId="77777777" w:rsidR="002133E3" w:rsidRDefault="00C22CFA">
            <w:pPr>
              <w:widowControl/>
              <w:snapToGrid w:val="0"/>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沼渣仓库</w:t>
            </w:r>
            <w:proofErr w:type="spellEnd"/>
          </w:p>
        </w:tc>
        <w:tc>
          <w:tcPr>
            <w:tcW w:w="647" w:type="pct"/>
            <w:vAlign w:val="center"/>
          </w:tcPr>
          <w:p w14:paraId="5B704006" w14:textId="77777777" w:rsidR="002133E3" w:rsidRDefault="00C22CFA">
            <w:pPr>
              <w:widowControl/>
              <w:snapToGrid w:val="0"/>
              <w:jc w:val="center"/>
              <w:rPr>
                <w:rFonts w:ascii="Times New Roman" w:eastAsia="宋体" w:hAnsi="Times New Roman" w:cs="Times New Roman"/>
                <w:w w:val="99"/>
                <w:kern w:val="0"/>
                <w:szCs w:val="21"/>
                <w:lang w:eastAsia="en-US"/>
              </w:rPr>
            </w:pPr>
            <w:r>
              <w:rPr>
                <w:rFonts w:ascii="Times New Roman" w:eastAsia="宋体" w:hAnsi="Times New Roman" w:cs="Times New Roman"/>
                <w:w w:val="99"/>
                <w:kern w:val="0"/>
                <w:szCs w:val="21"/>
                <w:lang w:eastAsia="en-US"/>
              </w:rPr>
              <w:t>/</w:t>
            </w:r>
          </w:p>
        </w:tc>
        <w:tc>
          <w:tcPr>
            <w:tcW w:w="1870" w:type="pct"/>
            <w:vAlign w:val="center"/>
          </w:tcPr>
          <w:p w14:paraId="7C54FC6B" w14:textId="77777777" w:rsidR="002133E3" w:rsidRDefault="00C22CFA">
            <w:pPr>
              <w:widowControl/>
              <w:snapToGrid w:val="0"/>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氨、硫化氢</w:t>
            </w:r>
            <w:proofErr w:type="spellEnd"/>
          </w:p>
        </w:tc>
        <w:tc>
          <w:tcPr>
            <w:tcW w:w="1007" w:type="pct"/>
            <w:vAlign w:val="center"/>
          </w:tcPr>
          <w:p w14:paraId="636497B2"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c>
          <w:tcPr>
            <w:tcW w:w="701" w:type="pct"/>
            <w:vAlign w:val="center"/>
          </w:tcPr>
          <w:p w14:paraId="251C673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w w:val="99"/>
                <w:kern w:val="0"/>
                <w:szCs w:val="21"/>
                <w:lang w:eastAsia="en-US"/>
              </w:rPr>
              <w:t>/</w:t>
            </w:r>
          </w:p>
        </w:tc>
      </w:tr>
    </w:tbl>
    <w:p w14:paraId="6E3FC7D9"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bookmarkStart w:id="23" w:name="_Toc417309017"/>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噪声污染防治措施</w:t>
      </w:r>
      <w:bookmarkEnd w:id="23"/>
    </w:p>
    <w:p w14:paraId="1FE2BA88"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0"/>
        </w:rPr>
        <w:t>项目主要噪声设备为</w:t>
      </w:r>
      <w:r>
        <w:rPr>
          <w:rFonts w:ascii="Times New Roman" w:eastAsia="宋体" w:hAnsi="Times New Roman" w:cs="Times New Roman"/>
          <w:kern w:val="0"/>
          <w:sz w:val="28"/>
          <w:szCs w:val="28"/>
        </w:rPr>
        <w:t>风机、粉碎机、减速机、空压机、泵、离心机、压滤机、冷却塔等</w:t>
      </w:r>
      <w:r>
        <w:rPr>
          <w:rFonts w:ascii="Times New Roman" w:eastAsia="宋体" w:hAnsi="Times New Roman" w:cs="Times New Roman"/>
          <w:kern w:val="0"/>
          <w:sz w:val="28"/>
          <w:szCs w:val="20"/>
        </w:rPr>
        <w:t>。</w:t>
      </w:r>
      <w:r>
        <w:rPr>
          <w:rFonts w:ascii="Times New Roman" w:eastAsia="宋体" w:hAnsi="Times New Roman" w:cs="Times New Roman"/>
          <w:kern w:val="0"/>
          <w:sz w:val="28"/>
          <w:szCs w:val="28"/>
        </w:rPr>
        <w:t>具体内容及治理设施见表</w:t>
      </w:r>
      <w:r>
        <w:rPr>
          <w:rFonts w:ascii="Times New Roman" w:eastAsia="宋体" w:hAnsi="Times New Roman" w:cs="Times New Roman"/>
          <w:kern w:val="0"/>
          <w:sz w:val="28"/>
          <w:szCs w:val="28"/>
        </w:rPr>
        <w:t>3.2-6</w:t>
      </w:r>
      <w:r>
        <w:rPr>
          <w:rFonts w:ascii="Times New Roman" w:eastAsia="宋体" w:hAnsi="Times New Roman" w:cs="Times New Roman"/>
          <w:kern w:val="0"/>
          <w:sz w:val="28"/>
          <w:szCs w:val="28"/>
        </w:rPr>
        <w:t>。</w:t>
      </w:r>
    </w:p>
    <w:p w14:paraId="581AC00F"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3.2-6   </w:t>
      </w:r>
      <w:r>
        <w:rPr>
          <w:rFonts w:ascii="Times New Roman" w:eastAsia="宋体" w:hAnsi="Times New Roman" w:cs="Times New Roman"/>
          <w:b/>
          <w:bCs/>
          <w:sz w:val="24"/>
          <w:szCs w:val="20"/>
        </w:rPr>
        <w:t>主要噪声源及防治措施</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03"/>
        <w:gridCol w:w="1035"/>
        <w:gridCol w:w="1033"/>
        <w:gridCol w:w="5908"/>
        <w:gridCol w:w="1175"/>
      </w:tblGrid>
      <w:tr w:rsidR="002133E3" w14:paraId="753851D9" w14:textId="77777777">
        <w:trPr>
          <w:trHeight w:val="309"/>
          <w:jc w:val="center"/>
        </w:trPr>
        <w:tc>
          <w:tcPr>
            <w:tcW w:w="357" w:type="pct"/>
            <w:vAlign w:val="center"/>
          </w:tcPr>
          <w:p w14:paraId="1546D253"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525" w:type="pct"/>
            <w:vAlign w:val="center"/>
          </w:tcPr>
          <w:p w14:paraId="58FF6995"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设备名称</w:t>
            </w:r>
          </w:p>
        </w:tc>
        <w:tc>
          <w:tcPr>
            <w:tcW w:w="524" w:type="pct"/>
            <w:vAlign w:val="center"/>
          </w:tcPr>
          <w:p w14:paraId="59825224"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噪声级</w:t>
            </w:r>
          </w:p>
          <w:p w14:paraId="7796272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dB</w:t>
            </w:r>
            <w:r>
              <w:rPr>
                <w:rFonts w:ascii="Times New Roman" w:eastAsia="宋体" w:hAnsi="Times New Roman" w:cs="Times New Roman"/>
                <w:b/>
                <w:kern w:val="0"/>
                <w:szCs w:val="21"/>
              </w:rPr>
              <w:t>（</w:t>
            </w:r>
            <w:r>
              <w:rPr>
                <w:rFonts w:ascii="Times New Roman" w:eastAsia="宋体" w:hAnsi="Times New Roman" w:cs="Times New Roman"/>
                <w:b/>
                <w:kern w:val="0"/>
                <w:szCs w:val="21"/>
              </w:rPr>
              <w:t>A</w:t>
            </w:r>
            <w:r>
              <w:rPr>
                <w:rFonts w:ascii="Times New Roman" w:eastAsia="宋体" w:hAnsi="Times New Roman" w:cs="Times New Roman"/>
                <w:b/>
                <w:kern w:val="0"/>
                <w:szCs w:val="21"/>
              </w:rPr>
              <w:t>）</w:t>
            </w:r>
          </w:p>
        </w:tc>
        <w:tc>
          <w:tcPr>
            <w:tcW w:w="2998" w:type="pct"/>
            <w:vAlign w:val="center"/>
          </w:tcPr>
          <w:p w14:paraId="566A3CCB"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拟采取措施</w:t>
            </w:r>
          </w:p>
        </w:tc>
        <w:tc>
          <w:tcPr>
            <w:tcW w:w="596" w:type="pct"/>
            <w:vAlign w:val="center"/>
          </w:tcPr>
          <w:p w14:paraId="44AB285D"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实际建设</w:t>
            </w:r>
          </w:p>
        </w:tc>
      </w:tr>
      <w:tr w:rsidR="002133E3" w14:paraId="40A6F894" w14:textId="77777777">
        <w:trPr>
          <w:trHeight w:val="280"/>
          <w:jc w:val="center"/>
        </w:trPr>
        <w:tc>
          <w:tcPr>
            <w:tcW w:w="357" w:type="pct"/>
            <w:vAlign w:val="center"/>
          </w:tcPr>
          <w:p w14:paraId="0CA8D86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25" w:type="pct"/>
            <w:vAlign w:val="center"/>
          </w:tcPr>
          <w:p w14:paraId="4483013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风机</w:t>
            </w:r>
          </w:p>
        </w:tc>
        <w:tc>
          <w:tcPr>
            <w:tcW w:w="524" w:type="pct"/>
            <w:vAlign w:val="center"/>
          </w:tcPr>
          <w:p w14:paraId="70D3A434"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85</w:t>
            </w:r>
          </w:p>
        </w:tc>
        <w:tc>
          <w:tcPr>
            <w:tcW w:w="2998" w:type="pct"/>
            <w:vAlign w:val="center"/>
          </w:tcPr>
          <w:p w14:paraId="024F4253"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通风进出口设置进出风消声器，安装减振装置，设隔声围封</w:t>
            </w:r>
          </w:p>
        </w:tc>
        <w:tc>
          <w:tcPr>
            <w:tcW w:w="596" w:type="pct"/>
            <w:vMerge w:val="restart"/>
            <w:vAlign w:val="center"/>
          </w:tcPr>
          <w:p w14:paraId="35B01F2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已按环评要求处理</w:t>
            </w:r>
          </w:p>
        </w:tc>
      </w:tr>
      <w:tr w:rsidR="002133E3" w14:paraId="63E3095A" w14:textId="77777777">
        <w:trPr>
          <w:trHeight w:val="280"/>
          <w:jc w:val="center"/>
        </w:trPr>
        <w:tc>
          <w:tcPr>
            <w:tcW w:w="357" w:type="pct"/>
            <w:vAlign w:val="center"/>
          </w:tcPr>
          <w:p w14:paraId="609B0A1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525" w:type="pct"/>
            <w:vAlign w:val="center"/>
          </w:tcPr>
          <w:p w14:paraId="36DF541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粉碎机</w:t>
            </w:r>
          </w:p>
        </w:tc>
        <w:tc>
          <w:tcPr>
            <w:tcW w:w="524" w:type="pct"/>
            <w:vAlign w:val="center"/>
          </w:tcPr>
          <w:p w14:paraId="30AA15F4"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2998" w:type="pct"/>
            <w:vAlign w:val="center"/>
          </w:tcPr>
          <w:p w14:paraId="08190770"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安装减振装置，厂房隔音</w:t>
            </w:r>
          </w:p>
        </w:tc>
        <w:tc>
          <w:tcPr>
            <w:tcW w:w="596" w:type="pct"/>
            <w:vMerge/>
            <w:vAlign w:val="center"/>
          </w:tcPr>
          <w:p w14:paraId="433F0657" w14:textId="77777777" w:rsidR="002133E3" w:rsidRDefault="002133E3">
            <w:pPr>
              <w:widowControl/>
              <w:snapToGrid w:val="0"/>
              <w:jc w:val="center"/>
              <w:rPr>
                <w:rFonts w:ascii="Times New Roman" w:eastAsia="宋体" w:hAnsi="Times New Roman" w:cs="Times New Roman"/>
                <w:kern w:val="0"/>
                <w:szCs w:val="21"/>
              </w:rPr>
            </w:pPr>
          </w:p>
        </w:tc>
      </w:tr>
      <w:tr w:rsidR="002133E3" w14:paraId="66A54BB2" w14:textId="77777777">
        <w:trPr>
          <w:trHeight w:val="128"/>
          <w:jc w:val="center"/>
        </w:trPr>
        <w:tc>
          <w:tcPr>
            <w:tcW w:w="357" w:type="pct"/>
            <w:vAlign w:val="center"/>
          </w:tcPr>
          <w:p w14:paraId="17EAA20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525" w:type="pct"/>
            <w:vAlign w:val="center"/>
          </w:tcPr>
          <w:p w14:paraId="1F57BD3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减速机</w:t>
            </w:r>
          </w:p>
        </w:tc>
        <w:tc>
          <w:tcPr>
            <w:tcW w:w="524" w:type="pct"/>
            <w:vAlign w:val="center"/>
          </w:tcPr>
          <w:p w14:paraId="0401CCEF"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2998" w:type="pct"/>
            <w:vAlign w:val="center"/>
          </w:tcPr>
          <w:p w14:paraId="541F8EEA"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安装减振装置，设隔声围封</w:t>
            </w:r>
          </w:p>
        </w:tc>
        <w:tc>
          <w:tcPr>
            <w:tcW w:w="596" w:type="pct"/>
            <w:vMerge/>
            <w:vAlign w:val="center"/>
          </w:tcPr>
          <w:p w14:paraId="59BA99A6" w14:textId="77777777" w:rsidR="002133E3" w:rsidRDefault="002133E3">
            <w:pPr>
              <w:widowControl/>
              <w:snapToGrid w:val="0"/>
              <w:jc w:val="center"/>
              <w:rPr>
                <w:rFonts w:ascii="Times New Roman" w:eastAsia="宋体" w:hAnsi="Times New Roman" w:cs="Times New Roman"/>
                <w:kern w:val="0"/>
                <w:szCs w:val="21"/>
              </w:rPr>
            </w:pPr>
          </w:p>
        </w:tc>
      </w:tr>
      <w:tr w:rsidR="002133E3" w14:paraId="705705D8" w14:textId="77777777">
        <w:trPr>
          <w:trHeight w:val="128"/>
          <w:jc w:val="center"/>
        </w:trPr>
        <w:tc>
          <w:tcPr>
            <w:tcW w:w="357" w:type="pct"/>
            <w:vAlign w:val="center"/>
          </w:tcPr>
          <w:p w14:paraId="6E55D60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525" w:type="pct"/>
            <w:vAlign w:val="center"/>
          </w:tcPr>
          <w:p w14:paraId="6E01FAF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空压机</w:t>
            </w:r>
          </w:p>
        </w:tc>
        <w:tc>
          <w:tcPr>
            <w:tcW w:w="524" w:type="pct"/>
            <w:vAlign w:val="center"/>
          </w:tcPr>
          <w:p w14:paraId="5D054612"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85</w:t>
            </w:r>
          </w:p>
        </w:tc>
        <w:tc>
          <w:tcPr>
            <w:tcW w:w="2998" w:type="pct"/>
            <w:vAlign w:val="center"/>
          </w:tcPr>
          <w:p w14:paraId="2E5DFBE1"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通风进出口设置进出风消声器，安装减振装置，厂房隔音</w:t>
            </w:r>
          </w:p>
        </w:tc>
        <w:tc>
          <w:tcPr>
            <w:tcW w:w="596" w:type="pct"/>
            <w:vMerge/>
            <w:vAlign w:val="center"/>
          </w:tcPr>
          <w:p w14:paraId="6694AA52" w14:textId="77777777" w:rsidR="002133E3" w:rsidRDefault="002133E3">
            <w:pPr>
              <w:widowControl/>
              <w:snapToGrid w:val="0"/>
              <w:jc w:val="center"/>
              <w:rPr>
                <w:rFonts w:ascii="Times New Roman" w:eastAsia="宋体" w:hAnsi="Times New Roman" w:cs="Times New Roman"/>
                <w:kern w:val="0"/>
                <w:szCs w:val="21"/>
              </w:rPr>
            </w:pPr>
          </w:p>
        </w:tc>
      </w:tr>
      <w:tr w:rsidR="002133E3" w14:paraId="14620763" w14:textId="77777777">
        <w:trPr>
          <w:trHeight w:val="128"/>
          <w:jc w:val="center"/>
        </w:trPr>
        <w:tc>
          <w:tcPr>
            <w:tcW w:w="357" w:type="pct"/>
            <w:vAlign w:val="center"/>
          </w:tcPr>
          <w:p w14:paraId="55882B8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525" w:type="pct"/>
            <w:vAlign w:val="center"/>
          </w:tcPr>
          <w:p w14:paraId="63FB924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泵</w:t>
            </w:r>
          </w:p>
        </w:tc>
        <w:tc>
          <w:tcPr>
            <w:tcW w:w="524" w:type="pct"/>
            <w:vAlign w:val="center"/>
          </w:tcPr>
          <w:p w14:paraId="452736EF"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2998" w:type="pct"/>
            <w:vAlign w:val="center"/>
          </w:tcPr>
          <w:p w14:paraId="0C734ED0"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安装减振装置，设泵房</w:t>
            </w:r>
          </w:p>
        </w:tc>
        <w:tc>
          <w:tcPr>
            <w:tcW w:w="596" w:type="pct"/>
            <w:vMerge/>
            <w:vAlign w:val="center"/>
          </w:tcPr>
          <w:p w14:paraId="3EA328D3" w14:textId="77777777" w:rsidR="002133E3" w:rsidRDefault="002133E3">
            <w:pPr>
              <w:widowControl/>
              <w:snapToGrid w:val="0"/>
              <w:jc w:val="center"/>
              <w:rPr>
                <w:rFonts w:ascii="Times New Roman" w:eastAsia="宋体" w:hAnsi="Times New Roman" w:cs="Times New Roman"/>
                <w:kern w:val="0"/>
                <w:szCs w:val="21"/>
              </w:rPr>
            </w:pPr>
          </w:p>
        </w:tc>
      </w:tr>
      <w:tr w:rsidR="002133E3" w14:paraId="2EB682C3" w14:textId="77777777">
        <w:trPr>
          <w:trHeight w:val="128"/>
          <w:jc w:val="center"/>
        </w:trPr>
        <w:tc>
          <w:tcPr>
            <w:tcW w:w="357" w:type="pct"/>
            <w:vAlign w:val="center"/>
          </w:tcPr>
          <w:p w14:paraId="0FC2278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525" w:type="pct"/>
            <w:vAlign w:val="center"/>
          </w:tcPr>
          <w:p w14:paraId="267403B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离心机</w:t>
            </w:r>
          </w:p>
        </w:tc>
        <w:tc>
          <w:tcPr>
            <w:tcW w:w="524" w:type="pct"/>
            <w:vAlign w:val="center"/>
          </w:tcPr>
          <w:p w14:paraId="4BC080B7"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85</w:t>
            </w:r>
          </w:p>
        </w:tc>
        <w:tc>
          <w:tcPr>
            <w:tcW w:w="2998" w:type="pct"/>
            <w:vAlign w:val="center"/>
          </w:tcPr>
          <w:p w14:paraId="3316CD84"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安装减振装置，厂房隔音</w:t>
            </w:r>
          </w:p>
        </w:tc>
        <w:tc>
          <w:tcPr>
            <w:tcW w:w="596" w:type="pct"/>
            <w:vMerge/>
            <w:vAlign w:val="center"/>
          </w:tcPr>
          <w:p w14:paraId="0CD6FD0D" w14:textId="77777777" w:rsidR="002133E3" w:rsidRDefault="002133E3">
            <w:pPr>
              <w:widowControl/>
              <w:snapToGrid w:val="0"/>
              <w:jc w:val="center"/>
              <w:rPr>
                <w:rFonts w:ascii="Times New Roman" w:eastAsia="宋体" w:hAnsi="Times New Roman" w:cs="Times New Roman"/>
                <w:kern w:val="0"/>
                <w:szCs w:val="21"/>
              </w:rPr>
            </w:pPr>
          </w:p>
        </w:tc>
      </w:tr>
      <w:tr w:rsidR="002133E3" w14:paraId="4A0ADA96" w14:textId="77777777">
        <w:trPr>
          <w:trHeight w:val="128"/>
          <w:jc w:val="center"/>
        </w:trPr>
        <w:tc>
          <w:tcPr>
            <w:tcW w:w="357" w:type="pct"/>
            <w:vAlign w:val="center"/>
          </w:tcPr>
          <w:p w14:paraId="2AC33EA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525" w:type="pct"/>
            <w:vAlign w:val="center"/>
          </w:tcPr>
          <w:p w14:paraId="1F47F91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压滤机</w:t>
            </w:r>
          </w:p>
        </w:tc>
        <w:tc>
          <w:tcPr>
            <w:tcW w:w="524" w:type="pct"/>
            <w:vAlign w:val="center"/>
          </w:tcPr>
          <w:p w14:paraId="272ADDF0"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85</w:t>
            </w:r>
          </w:p>
        </w:tc>
        <w:tc>
          <w:tcPr>
            <w:tcW w:w="2998" w:type="pct"/>
            <w:vAlign w:val="center"/>
          </w:tcPr>
          <w:p w14:paraId="32911515"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安装减振装置，厂房隔音</w:t>
            </w:r>
          </w:p>
        </w:tc>
        <w:tc>
          <w:tcPr>
            <w:tcW w:w="596" w:type="pct"/>
            <w:vMerge/>
            <w:vAlign w:val="center"/>
          </w:tcPr>
          <w:p w14:paraId="02E298C1" w14:textId="77777777" w:rsidR="002133E3" w:rsidRDefault="002133E3">
            <w:pPr>
              <w:widowControl/>
              <w:snapToGrid w:val="0"/>
              <w:jc w:val="center"/>
              <w:rPr>
                <w:rFonts w:ascii="Times New Roman" w:eastAsia="宋体" w:hAnsi="Times New Roman" w:cs="Times New Roman"/>
                <w:kern w:val="0"/>
                <w:szCs w:val="21"/>
              </w:rPr>
            </w:pPr>
          </w:p>
        </w:tc>
      </w:tr>
      <w:tr w:rsidR="002133E3" w14:paraId="3B594E9A" w14:textId="77777777">
        <w:trPr>
          <w:trHeight w:val="128"/>
          <w:jc w:val="center"/>
        </w:trPr>
        <w:tc>
          <w:tcPr>
            <w:tcW w:w="357" w:type="pct"/>
            <w:vAlign w:val="center"/>
          </w:tcPr>
          <w:p w14:paraId="1D70885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525" w:type="pct"/>
            <w:vAlign w:val="center"/>
          </w:tcPr>
          <w:p w14:paraId="012BF01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冷却塔</w:t>
            </w:r>
          </w:p>
        </w:tc>
        <w:tc>
          <w:tcPr>
            <w:tcW w:w="524" w:type="pct"/>
            <w:vAlign w:val="center"/>
          </w:tcPr>
          <w:p w14:paraId="0DA569F6"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2998" w:type="pct"/>
            <w:vAlign w:val="center"/>
          </w:tcPr>
          <w:p w14:paraId="1DDEB52C"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受水盘铺设消声垫，安装减振装置，设隔声围封</w:t>
            </w:r>
          </w:p>
        </w:tc>
        <w:tc>
          <w:tcPr>
            <w:tcW w:w="596" w:type="pct"/>
            <w:vMerge/>
            <w:vAlign w:val="center"/>
          </w:tcPr>
          <w:p w14:paraId="03D91DCF" w14:textId="77777777" w:rsidR="002133E3" w:rsidRDefault="002133E3">
            <w:pPr>
              <w:widowControl/>
              <w:snapToGrid w:val="0"/>
              <w:jc w:val="center"/>
              <w:rPr>
                <w:rFonts w:ascii="Times New Roman" w:eastAsia="宋体" w:hAnsi="Times New Roman" w:cs="Times New Roman"/>
                <w:kern w:val="0"/>
                <w:szCs w:val="21"/>
              </w:rPr>
            </w:pPr>
          </w:p>
        </w:tc>
      </w:tr>
      <w:tr w:rsidR="002133E3" w14:paraId="713248B0" w14:textId="77777777">
        <w:trPr>
          <w:trHeight w:val="128"/>
          <w:jc w:val="center"/>
        </w:trPr>
        <w:tc>
          <w:tcPr>
            <w:tcW w:w="357" w:type="pct"/>
            <w:vAlign w:val="center"/>
          </w:tcPr>
          <w:p w14:paraId="6C29353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525" w:type="pct"/>
            <w:vAlign w:val="center"/>
          </w:tcPr>
          <w:p w14:paraId="03EB30E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发电机</w:t>
            </w:r>
          </w:p>
        </w:tc>
        <w:tc>
          <w:tcPr>
            <w:tcW w:w="524" w:type="pct"/>
            <w:vAlign w:val="center"/>
          </w:tcPr>
          <w:p w14:paraId="70BF270A"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90</w:t>
            </w:r>
          </w:p>
        </w:tc>
        <w:tc>
          <w:tcPr>
            <w:tcW w:w="2998" w:type="pct"/>
            <w:vAlign w:val="center"/>
          </w:tcPr>
          <w:p w14:paraId="70499BC6"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安装减振装置，厂房隔音</w:t>
            </w:r>
          </w:p>
        </w:tc>
        <w:tc>
          <w:tcPr>
            <w:tcW w:w="596" w:type="pct"/>
            <w:vMerge/>
            <w:vAlign w:val="center"/>
          </w:tcPr>
          <w:p w14:paraId="52E9DF8F" w14:textId="77777777" w:rsidR="002133E3" w:rsidRDefault="002133E3">
            <w:pPr>
              <w:widowControl/>
              <w:snapToGrid w:val="0"/>
              <w:jc w:val="center"/>
              <w:rPr>
                <w:rFonts w:ascii="Times New Roman" w:eastAsia="宋体" w:hAnsi="Times New Roman" w:cs="Times New Roman"/>
                <w:kern w:val="0"/>
                <w:szCs w:val="21"/>
              </w:rPr>
            </w:pPr>
          </w:p>
        </w:tc>
      </w:tr>
    </w:tbl>
    <w:p w14:paraId="311B7CAD"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0"/>
        </w:rPr>
      </w:pPr>
      <w:bookmarkStart w:id="24" w:name="_Toc417309018"/>
      <w:r>
        <w:rPr>
          <w:rFonts w:ascii="宋体" w:eastAsia="宋体" w:hAnsi="宋体" w:cs="宋体" w:hint="eastAsia"/>
          <w:kern w:val="0"/>
          <w:sz w:val="28"/>
          <w:szCs w:val="20"/>
        </w:rPr>
        <w:t>⑷</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固体废弃物处置情况</w:t>
      </w:r>
      <w:bookmarkEnd w:id="24"/>
    </w:p>
    <w:p w14:paraId="068AD2B1"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已建项目生产过程中产生的固体废弃物主要有木薯干杂质、废脱硫剂、生活垃圾、酒糟固废、污水处理污泥和废电解银催化剂。处理情况见表</w:t>
      </w:r>
      <w:r>
        <w:rPr>
          <w:rFonts w:ascii="Times New Roman" w:eastAsia="宋体" w:hAnsi="Times New Roman" w:cs="Times New Roman"/>
          <w:kern w:val="0"/>
          <w:sz w:val="28"/>
          <w:szCs w:val="20"/>
        </w:rPr>
        <w:t>3.2-7</w:t>
      </w:r>
      <w:r>
        <w:rPr>
          <w:rFonts w:ascii="Times New Roman" w:eastAsia="宋体" w:hAnsi="Times New Roman" w:cs="Times New Roman"/>
          <w:kern w:val="0"/>
          <w:sz w:val="28"/>
          <w:szCs w:val="20"/>
        </w:rPr>
        <w:t>。</w:t>
      </w:r>
    </w:p>
    <w:p w14:paraId="16C17B9D"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3.2-7  </w:t>
      </w:r>
      <w:r>
        <w:rPr>
          <w:rFonts w:ascii="Times New Roman" w:eastAsia="宋体" w:hAnsi="Times New Roman" w:cs="Times New Roman"/>
          <w:b/>
          <w:bCs/>
          <w:sz w:val="24"/>
          <w:szCs w:val="20"/>
        </w:rPr>
        <w:t>已建项目固废治理及排放情况表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2"/>
        <w:gridCol w:w="1310"/>
        <w:gridCol w:w="1843"/>
        <w:gridCol w:w="2343"/>
        <w:gridCol w:w="2130"/>
        <w:gridCol w:w="1016"/>
      </w:tblGrid>
      <w:tr w:rsidR="002133E3" w14:paraId="3E059153" w14:textId="77777777">
        <w:trPr>
          <w:trHeight w:val="19"/>
          <w:jc w:val="center"/>
        </w:trPr>
        <w:tc>
          <w:tcPr>
            <w:tcW w:w="752" w:type="dxa"/>
            <w:vAlign w:val="center"/>
          </w:tcPr>
          <w:p w14:paraId="17AFE910"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310" w:type="dxa"/>
            <w:vAlign w:val="center"/>
          </w:tcPr>
          <w:p w14:paraId="528CD909"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名称</w:t>
            </w:r>
          </w:p>
        </w:tc>
        <w:tc>
          <w:tcPr>
            <w:tcW w:w="1843" w:type="dxa"/>
            <w:vAlign w:val="center"/>
          </w:tcPr>
          <w:p w14:paraId="006F2064"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产生源</w:t>
            </w:r>
          </w:p>
        </w:tc>
        <w:tc>
          <w:tcPr>
            <w:tcW w:w="2343" w:type="dxa"/>
            <w:vAlign w:val="center"/>
          </w:tcPr>
          <w:p w14:paraId="423A41F1"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产生量</w:t>
            </w:r>
            <w:r>
              <w:rPr>
                <w:rFonts w:ascii="Times New Roman" w:eastAsia="宋体" w:hAnsi="Times New Roman" w:cs="Times New Roman"/>
                <w:b/>
                <w:kern w:val="0"/>
                <w:szCs w:val="21"/>
              </w:rPr>
              <w:t>(t/a)</w:t>
            </w:r>
          </w:p>
        </w:tc>
        <w:tc>
          <w:tcPr>
            <w:tcW w:w="2130" w:type="dxa"/>
            <w:vAlign w:val="center"/>
          </w:tcPr>
          <w:p w14:paraId="50009B6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处理处置量方式及其数量</w:t>
            </w:r>
            <w:r>
              <w:rPr>
                <w:rFonts w:ascii="Times New Roman" w:eastAsia="宋体" w:hAnsi="Times New Roman" w:cs="Times New Roman"/>
                <w:b/>
                <w:kern w:val="0"/>
                <w:szCs w:val="21"/>
              </w:rPr>
              <w:t xml:space="preserve"> (t/a)</w:t>
            </w:r>
          </w:p>
        </w:tc>
        <w:tc>
          <w:tcPr>
            <w:tcW w:w="1016" w:type="dxa"/>
            <w:vAlign w:val="center"/>
          </w:tcPr>
          <w:p w14:paraId="4257D14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排放数量</w:t>
            </w:r>
            <w:r>
              <w:rPr>
                <w:rFonts w:ascii="Times New Roman" w:eastAsia="宋体" w:hAnsi="Times New Roman" w:cs="Times New Roman"/>
                <w:b/>
                <w:kern w:val="0"/>
                <w:szCs w:val="21"/>
              </w:rPr>
              <w:t>(t/a)</w:t>
            </w:r>
          </w:p>
        </w:tc>
      </w:tr>
      <w:tr w:rsidR="002133E3" w14:paraId="4D4A43FF" w14:textId="77777777">
        <w:trPr>
          <w:trHeight w:val="19"/>
          <w:jc w:val="center"/>
        </w:trPr>
        <w:tc>
          <w:tcPr>
            <w:tcW w:w="752" w:type="dxa"/>
            <w:vAlign w:val="center"/>
          </w:tcPr>
          <w:p w14:paraId="76A4FDE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310" w:type="dxa"/>
            <w:vAlign w:val="center"/>
          </w:tcPr>
          <w:p w14:paraId="32ACB40C"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杂质</w:t>
            </w:r>
          </w:p>
        </w:tc>
        <w:tc>
          <w:tcPr>
            <w:tcW w:w="1843" w:type="dxa"/>
            <w:vAlign w:val="center"/>
          </w:tcPr>
          <w:p w14:paraId="26840E65"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酒精生产线</w:t>
            </w:r>
            <w:r>
              <w:rPr>
                <w:rFonts w:ascii="Times New Roman" w:eastAsia="宋体" w:hAnsi="Times New Roman" w:cs="Times New Roman"/>
                <w:kern w:val="0"/>
                <w:szCs w:val="21"/>
              </w:rPr>
              <w:t>格栅、风选</w:t>
            </w:r>
          </w:p>
        </w:tc>
        <w:tc>
          <w:tcPr>
            <w:tcW w:w="2343" w:type="dxa"/>
            <w:vAlign w:val="center"/>
          </w:tcPr>
          <w:p w14:paraId="332910F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7952</w:t>
            </w:r>
          </w:p>
        </w:tc>
        <w:tc>
          <w:tcPr>
            <w:tcW w:w="2130" w:type="dxa"/>
            <w:vAlign w:val="center"/>
          </w:tcPr>
          <w:p w14:paraId="497C5FC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作建材</w:t>
            </w:r>
            <w:r>
              <w:rPr>
                <w:rFonts w:ascii="Times New Roman" w:eastAsia="宋体" w:hAnsi="Times New Roman" w:cs="Times New Roman"/>
                <w:kern w:val="0"/>
                <w:szCs w:val="21"/>
              </w:rPr>
              <w:t>7952</w:t>
            </w:r>
          </w:p>
        </w:tc>
        <w:tc>
          <w:tcPr>
            <w:tcW w:w="1016" w:type="dxa"/>
            <w:vAlign w:val="center"/>
          </w:tcPr>
          <w:p w14:paraId="4373D1F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44E31961" w14:textId="77777777">
        <w:trPr>
          <w:trHeight w:val="19"/>
          <w:jc w:val="center"/>
        </w:trPr>
        <w:tc>
          <w:tcPr>
            <w:tcW w:w="752" w:type="dxa"/>
            <w:vAlign w:val="center"/>
          </w:tcPr>
          <w:p w14:paraId="351F7CF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310" w:type="dxa"/>
            <w:vAlign w:val="center"/>
          </w:tcPr>
          <w:p w14:paraId="140A7FE1"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proofErr w:type="spellStart"/>
            <w:r>
              <w:rPr>
                <w:rFonts w:ascii="Times New Roman" w:eastAsia="宋体" w:hAnsi="Times New Roman" w:cs="Times New Roman"/>
                <w:kern w:val="0"/>
                <w:szCs w:val="21"/>
                <w:lang w:eastAsia="en-US"/>
              </w:rPr>
              <w:t>杂质</w:t>
            </w:r>
            <w:proofErr w:type="spellEnd"/>
          </w:p>
        </w:tc>
        <w:tc>
          <w:tcPr>
            <w:tcW w:w="1843" w:type="dxa"/>
            <w:vAlign w:val="center"/>
          </w:tcPr>
          <w:p w14:paraId="71D89448"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kern w:val="0"/>
                <w:szCs w:val="21"/>
              </w:rPr>
              <w:t>发酵法混合物</w:t>
            </w:r>
            <w:r>
              <w:rPr>
                <w:rFonts w:ascii="Times New Roman" w:eastAsia="宋体" w:hAnsi="Times New Roman" w:cs="Times New Roman"/>
                <w:bCs/>
                <w:kern w:val="0"/>
                <w:szCs w:val="21"/>
                <w:lang w:val="en-JM"/>
              </w:rPr>
              <w:t>生产线</w:t>
            </w:r>
            <w:r>
              <w:rPr>
                <w:rFonts w:ascii="Times New Roman" w:eastAsia="宋体" w:hAnsi="Times New Roman" w:cs="Times New Roman"/>
                <w:kern w:val="0"/>
                <w:szCs w:val="21"/>
              </w:rPr>
              <w:t>格栅、风选</w:t>
            </w:r>
          </w:p>
        </w:tc>
        <w:tc>
          <w:tcPr>
            <w:tcW w:w="2343" w:type="dxa"/>
            <w:vAlign w:val="center"/>
          </w:tcPr>
          <w:p w14:paraId="1CBD7B2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4360</w:t>
            </w:r>
          </w:p>
        </w:tc>
        <w:tc>
          <w:tcPr>
            <w:tcW w:w="2130" w:type="dxa"/>
            <w:vAlign w:val="center"/>
          </w:tcPr>
          <w:p w14:paraId="2C2B524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作建材</w:t>
            </w:r>
            <w:r>
              <w:rPr>
                <w:rFonts w:ascii="Times New Roman" w:eastAsia="宋体" w:hAnsi="Times New Roman" w:cs="Times New Roman"/>
                <w:kern w:val="0"/>
                <w:szCs w:val="21"/>
              </w:rPr>
              <w:t>4360</w:t>
            </w:r>
          </w:p>
        </w:tc>
        <w:tc>
          <w:tcPr>
            <w:tcW w:w="1016" w:type="dxa"/>
            <w:vAlign w:val="center"/>
          </w:tcPr>
          <w:p w14:paraId="15003AF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4485D7C5" w14:textId="77777777">
        <w:trPr>
          <w:trHeight w:val="19"/>
          <w:jc w:val="center"/>
        </w:trPr>
        <w:tc>
          <w:tcPr>
            <w:tcW w:w="752" w:type="dxa"/>
            <w:vAlign w:val="center"/>
          </w:tcPr>
          <w:p w14:paraId="57517D8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310" w:type="dxa"/>
            <w:vAlign w:val="center"/>
          </w:tcPr>
          <w:p w14:paraId="6C4A3F7F"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废电解银</w:t>
            </w:r>
          </w:p>
        </w:tc>
        <w:tc>
          <w:tcPr>
            <w:tcW w:w="1843" w:type="dxa"/>
            <w:vAlign w:val="center"/>
          </w:tcPr>
          <w:p w14:paraId="7772CA98"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乙醛生产线</w:t>
            </w:r>
          </w:p>
        </w:tc>
        <w:tc>
          <w:tcPr>
            <w:tcW w:w="2343" w:type="dxa"/>
            <w:vAlign w:val="center"/>
          </w:tcPr>
          <w:p w14:paraId="09D312F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0.88</w:t>
            </w:r>
          </w:p>
        </w:tc>
        <w:tc>
          <w:tcPr>
            <w:tcW w:w="2130" w:type="dxa"/>
            <w:vAlign w:val="center"/>
          </w:tcPr>
          <w:p w14:paraId="018A8CC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委托有资质单位处理</w:t>
            </w:r>
            <w:r>
              <w:rPr>
                <w:rFonts w:ascii="Times New Roman" w:eastAsia="宋体" w:hAnsi="Times New Roman" w:cs="Times New Roman"/>
                <w:kern w:val="0"/>
                <w:szCs w:val="21"/>
              </w:rPr>
              <w:t>0.88</w:t>
            </w:r>
          </w:p>
        </w:tc>
        <w:tc>
          <w:tcPr>
            <w:tcW w:w="1016" w:type="dxa"/>
            <w:vAlign w:val="center"/>
          </w:tcPr>
          <w:p w14:paraId="3B47975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63C72265" w14:textId="77777777">
        <w:trPr>
          <w:trHeight w:val="19"/>
          <w:jc w:val="center"/>
        </w:trPr>
        <w:tc>
          <w:tcPr>
            <w:tcW w:w="752" w:type="dxa"/>
            <w:vAlign w:val="center"/>
          </w:tcPr>
          <w:p w14:paraId="5DB38C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310" w:type="dxa"/>
            <w:vAlign w:val="center"/>
          </w:tcPr>
          <w:p w14:paraId="4C2ED9A3"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废脱硫剂</w:t>
            </w:r>
          </w:p>
        </w:tc>
        <w:tc>
          <w:tcPr>
            <w:tcW w:w="1843" w:type="dxa"/>
            <w:vAlign w:val="center"/>
          </w:tcPr>
          <w:p w14:paraId="3C6031A2"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沼气脱硫塔</w:t>
            </w:r>
          </w:p>
        </w:tc>
        <w:tc>
          <w:tcPr>
            <w:tcW w:w="2343" w:type="dxa"/>
            <w:vAlign w:val="center"/>
          </w:tcPr>
          <w:p w14:paraId="515CF18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343</w:t>
            </w:r>
          </w:p>
        </w:tc>
        <w:tc>
          <w:tcPr>
            <w:tcW w:w="2130" w:type="dxa"/>
            <w:vAlign w:val="center"/>
          </w:tcPr>
          <w:p w14:paraId="75AA0A6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委托有资质单位处理</w:t>
            </w:r>
            <w:r>
              <w:rPr>
                <w:rFonts w:ascii="Times New Roman" w:eastAsia="宋体" w:hAnsi="Times New Roman" w:cs="Times New Roman"/>
                <w:kern w:val="0"/>
                <w:szCs w:val="21"/>
              </w:rPr>
              <w:t>343</w:t>
            </w:r>
          </w:p>
        </w:tc>
        <w:tc>
          <w:tcPr>
            <w:tcW w:w="1016" w:type="dxa"/>
            <w:vAlign w:val="center"/>
          </w:tcPr>
          <w:p w14:paraId="175CF24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68B286D2" w14:textId="77777777">
        <w:trPr>
          <w:trHeight w:val="19"/>
          <w:jc w:val="center"/>
        </w:trPr>
        <w:tc>
          <w:tcPr>
            <w:tcW w:w="752" w:type="dxa"/>
            <w:vAlign w:val="center"/>
          </w:tcPr>
          <w:p w14:paraId="697F7B0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310" w:type="dxa"/>
            <w:vAlign w:val="center"/>
          </w:tcPr>
          <w:p w14:paraId="5A9F5218"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酒糟固废</w:t>
            </w:r>
          </w:p>
        </w:tc>
        <w:tc>
          <w:tcPr>
            <w:tcW w:w="1843" w:type="dxa"/>
            <w:vAlign w:val="center"/>
          </w:tcPr>
          <w:p w14:paraId="2D1D5669"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污水处理</w:t>
            </w:r>
          </w:p>
        </w:tc>
        <w:tc>
          <w:tcPr>
            <w:tcW w:w="2343" w:type="dxa"/>
            <w:vAlign w:val="center"/>
          </w:tcPr>
          <w:p w14:paraId="5988BF0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248224.68(</w:t>
            </w:r>
            <w:r>
              <w:rPr>
                <w:rFonts w:ascii="Times New Roman" w:eastAsia="宋体" w:hAnsi="Times New Roman" w:cs="Times New Roman"/>
                <w:kern w:val="0"/>
                <w:szCs w:val="21"/>
              </w:rPr>
              <w:t>含水率</w:t>
            </w:r>
            <w:r>
              <w:rPr>
                <w:rFonts w:ascii="Times New Roman" w:eastAsia="宋体" w:hAnsi="Times New Roman" w:cs="Times New Roman"/>
                <w:kern w:val="0"/>
                <w:szCs w:val="21"/>
              </w:rPr>
              <w:t>70%)</w:t>
            </w:r>
          </w:p>
        </w:tc>
        <w:tc>
          <w:tcPr>
            <w:tcW w:w="2130" w:type="dxa"/>
            <w:vAlign w:val="center"/>
          </w:tcPr>
          <w:p w14:paraId="6E14606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作有机肥料</w:t>
            </w:r>
            <w:r>
              <w:rPr>
                <w:rFonts w:ascii="Times New Roman" w:eastAsia="宋体" w:hAnsi="Times New Roman" w:cs="Times New Roman"/>
                <w:kern w:val="0"/>
                <w:szCs w:val="21"/>
              </w:rPr>
              <w:t>248224.68</w:t>
            </w:r>
          </w:p>
        </w:tc>
        <w:tc>
          <w:tcPr>
            <w:tcW w:w="1016" w:type="dxa"/>
            <w:vAlign w:val="center"/>
          </w:tcPr>
          <w:p w14:paraId="1EC4385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51C72E4A" w14:textId="77777777">
        <w:trPr>
          <w:trHeight w:val="19"/>
          <w:jc w:val="center"/>
        </w:trPr>
        <w:tc>
          <w:tcPr>
            <w:tcW w:w="752" w:type="dxa"/>
            <w:vAlign w:val="center"/>
          </w:tcPr>
          <w:p w14:paraId="23EB13F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310" w:type="dxa"/>
            <w:vAlign w:val="center"/>
          </w:tcPr>
          <w:p w14:paraId="0C6A8164"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污泥</w:t>
            </w:r>
          </w:p>
        </w:tc>
        <w:tc>
          <w:tcPr>
            <w:tcW w:w="1843" w:type="dxa"/>
            <w:vAlign w:val="center"/>
          </w:tcPr>
          <w:p w14:paraId="6CF2A0CF"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污水处理</w:t>
            </w:r>
          </w:p>
        </w:tc>
        <w:tc>
          <w:tcPr>
            <w:tcW w:w="2343" w:type="dxa"/>
            <w:vAlign w:val="center"/>
          </w:tcPr>
          <w:p w14:paraId="331009F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3145 (</w:t>
            </w:r>
            <w:r>
              <w:rPr>
                <w:rFonts w:ascii="Times New Roman" w:eastAsia="宋体" w:hAnsi="Times New Roman" w:cs="Times New Roman"/>
                <w:kern w:val="0"/>
                <w:szCs w:val="21"/>
              </w:rPr>
              <w:t>含水率</w:t>
            </w:r>
            <w:r>
              <w:rPr>
                <w:rFonts w:ascii="Times New Roman" w:eastAsia="宋体" w:hAnsi="Times New Roman" w:cs="Times New Roman"/>
                <w:kern w:val="0"/>
                <w:szCs w:val="21"/>
              </w:rPr>
              <w:t>60%)</w:t>
            </w:r>
          </w:p>
        </w:tc>
        <w:tc>
          <w:tcPr>
            <w:tcW w:w="2130" w:type="dxa"/>
            <w:vAlign w:val="center"/>
          </w:tcPr>
          <w:p w14:paraId="095BA18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作有机肥料</w:t>
            </w:r>
            <w:r>
              <w:rPr>
                <w:rFonts w:ascii="Times New Roman" w:eastAsia="宋体" w:hAnsi="Times New Roman" w:cs="Times New Roman"/>
                <w:kern w:val="0"/>
                <w:szCs w:val="21"/>
              </w:rPr>
              <w:t>3145</w:t>
            </w:r>
          </w:p>
        </w:tc>
        <w:tc>
          <w:tcPr>
            <w:tcW w:w="1016" w:type="dxa"/>
            <w:vAlign w:val="center"/>
          </w:tcPr>
          <w:p w14:paraId="1B4F71A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105DF350" w14:textId="77777777">
        <w:trPr>
          <w:trHeight w:val="19"/>
          <w:jc w:val="center"/>
        </w:trPr>
        <w:tc>
          <w:tcPr>
            <w:tcW w:w="752" w:type="dxa"/>
            <w:vAlign w:val="center"/>
          </w:tcPr>
          <w:p w14:paraId="6147AFF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310" w:type="dxa"/>
            <w:vAlign w:val="center"/>
          </w:tcPr>
          <w:p w14:paraId="163568FA"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生活垃圾</w:t>
            </w:r>
          </w:p>
        </w:tc>
        <w:tc>
          <w:tcPr>
            <w:tcW w:w="1843" w:type="dxa"/>
            <w:vAlign w:val="center"/>
          </w:tcPr>
          <w:p w14:paraId="1A08E9AF"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生活区</w:t>
            </w:r>
          </w:p>
        </w:tc>
        <w:tc>
          <w:tcPr>
            <w:tcW w:w="2343" w:type="dxa"/>
            <w:vAlign w:val="center"/>
          </w:tcPr>
          <w:p w14:paraId="62F98E2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143</w:t>
            </w:r>
          </w:p>
        </w:tc>
        <w:tc>
          <w:tcPr>
            <w:tcW w:w="2130" w:type="dxa"/>
            <w:vAlign w:val="center"/>
          </w:tcPr>
          <w:p w14:paraId="1ACF551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卫生填埋</w:t>
            </w:r>
            <w:r>
              <w:rPr>
                <w:rFonts w:ascii="Times New Roman" w:eastAsia="宋体" w:hAnsi="Times New Roman" w:cs="Times New Roman"/>
                <w:kern w:val="0"/>
                <w:szCs w:val="21"/>
              </w:rPr>
              <w:t>98</w:t>
            </w:r>
          </w:p>
        </w:tc>
        <w:tc>
          <w:tcPr>
            <w:tcW w:w="1016" w:type="dxa"/>
            <w:vAlign w:val="center"/>
          </w:tcPr>
          <w:p w14:paraId="1F014FC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bl>
    <w:p w14:paraId="7F4C071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水平衡</w:t>
      </w:r>
    </w:p>
    <w:p w14:paraId="22BA1FE8" w14:textId="77777777" w:rsidR="002133E3" w:rsidRDefault="00C22CFA">
      <w:pPr>
        <w:widowControl/>
        <w:spacing w:line="500" w:lineRule="exact"/>
        <w:ind w:firstLine="573"/>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已建项目水平衡见图</w:t>
      </w:r>
      <w:r>
        <w:rPr>
          <w:rFonts w:ascii="Times New Roman" w:eastAsia="宋体" w:hAnsi="Times New Roman" w:cs="Times New Roman"/>
          <w:kern w:val="0"/>
          <w:sz w:val="28"/>
          <w:szCs w:val="28"/>
        </w:rPr>
        <w:t>3.2-6</w:t>
      </w:r>
      <w:r>
        <w:rPr>
          <w:rFonts w:ascii="Times New Roman" w:eastAsia="宋体" w:hAnsi="Times New Roman" w:cs="Times New Roman"/>
          <w:kern w:val="0"/>
          <w:sz w:val="28"/>
          <w:szCs w:val="28"/>
        </w:rPr>
        <w:t>。</w:t>
      </w:r>
    </w:p>
    <w:p w14:paraId="5966D3A2" w14:textId="77777777" w:rsidR="002133E3" w:rsidRDefault="009F1FEF">
      <w:pPr>
        <w:widowControl/>
        <w:jc w:val="center"/>
        <w:rPr>
          <w:rFonts w:ascii="Times New Roman" w:eastAsia="宋体" w:hAnsi="Times New Roman" w:cs="Times New Roman"/>
          <w:kern w:val="0"/>
          <w:sz w:val="28"/>
          <w:szCs w:val="28"/>
        </w:rPr>
      </w:pPr>
      <w:r>
        <w:rPr>
          <w:rFonts w:ascii="Times New Roman" w:hAnsi="Times New Roman" w:cs="Times New Roman"/>
        </w:rPr>
        <w:pict w14:anchorId="2918178C">
          <v:shape id="_x0000_i1032" type="#_x0000_t75" style="width:448.9pt;height:659.8pt">
            <v:imagedata r:id="rId28" o:title=""/>
          </v:shape>
        </w:pict>
      </w:r>
    </w:p>
    <w:p w14:paraId="2E595F88" w14:textId="77777777" w:rsidR="002133E3" w:rsidRDefault="00C22CFA">
      <w:pPr>
        <w:widowControl/>
        <w:tabs>
          <w:tab w:val="left" w:pos="600"/>
        </w:tabs>
        <w:spacing w:line="500" w:lineRule="exact"/>
        <w:jc w:val="center"/>
        <w:rPr>
          <w:rFonts w:ascii="Times New Roman" w:eastAsia="宋体" w:hAnsi="Times New Roman" w:cs="Times New Roman"/>
          <w:b/>
          <w:sz w:val="30"/>
          <w:szCs w:val="30"/>
        </w:rPr>
      </w:pPr>
      <w:r>
        <w:rPr>
          <w:rFonts w:ascii="Times New Roman" w:eastAsia="宋体" w:hAnsi="Times New Roman" w:cs="Times New Roman"/>
          <w:b/>
          <w:kern w:val="0"/>
          <w:szCs w:val="16"/>
        </w:rPr>
        <w:t>图</w:t>
      </w:r>
      <w:r>
        <w:rPr>
          <w:rFonts w:ascii="Times New Roman" w:eastAsia="宋体" w:hAnsi="Times New Roman" w:cs="Times New Roman"/>
          <w:b/>
          <w:kern w:val="0"/>
          <w:szCs w:val="16"/>
        </w:rPr>
        <w:t xml:space="preserve">3.2-6 </w:t>
      </w:r>
      <w:r>
        <w:rPr>
          <w:rFonts w:ascii="Times New Roman" w:eastAsia="宋体" w:hAnsi="Times New Roman" w:cs="Times New Roman"/>
          <w:b/>
          <w:kern w:val="0"/>
          <w:szCs w:val="16"/>
        </w:rPr>
        <w:t>已建项目水平衡图</w:t>
      </w:r>
    </w:p>
    <w:p w14:paraId="35B2C11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蒸汽平衡</w:t>
      </w:r>
    </w:p>
    <w:p w14:paraId="25A683A5" w14:textId="77777777" w:rsidR="002133E3" w:rsidRDefault="00C22CFA">
      <w:pPr>
        <w:widowControl/>
        <w:spacing w:line="500" w:lineRule="exact"/>
        <w:ind w:firstLine="573"/>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根据企业实际运行数据可知，已建项目厌氧发酵系统处理污水量</w:t>
      </w:r>
      <w:r>
        <w:rPr>
          <w:rFonts w:ascii="Times New Roman" w:eastAsia="宋体" w:hAnsi="Times New Roman" w:cs="Times New Roman"/>
          <w:kern w:val="0"/>
          <w:sz w:val="28"/>
          <w:szCs w:val="28"/>
        </w:rPr>
        <w:t>316.8</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，产沼气</w:t>
      </w:r>
      <w:r>
        <w:rPr>
          <w:rFonts w:ascii="Times New Roman" w:eastAsia="宋体" w:hAnsi="Times New Roman" w:cs="Times New Roman"/>
          <w:kern w:val="0"/>
          <w:sz w:val="28"/>
          <w:szCs w:val="28"/>
        </w:rPr>
        <w:t>4358.4</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w:t>
      </w:r>
    </w:p>
    <w:p w14:paraId="00152730" w14:textId="77777777" w:rsidR="002133E3" w:rsidRDefault="00C22CFA">
      <w:pPr>
        <w:widowControl/>
        <w:spacing w:line="52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金茂源厂区已建</w:t>
      </w:r>
      <w:r>
        <w:rPr>
          <w:rFonts w:ascii="Times New Roman" w:eastAsia="宋体" w:hAnsi="Times New Roman" w:cs="Times New Roman"/>
          <w:kern w:val="0"/>
          <w:sz w:val="28"/>
          <w:szCs w:val="20"/>
        </w:rPr>
        <w:t>75t/h</w:t>
      </w:r>
      <w:r>
        <w:rPr>
          <w:rFonts w:ascii="Times New Roman" w:eastAsia="宋体" w:hAnsi="Times New Roman" w:cs="Times New Roman"/>
          <w:kern w:val="0"/>
          <w:sz w:val="28"/>
          <w:szCs w:val="20"/>
        </w:rPr>
        <w:t>沼气锅炉</w:t>
      </w:r>
      <w:r>
        <w:rPr>
          <w:rFonts w:ascii="Times New Roman" w:eastAsia="宋体" w:hAnsi="Times New Roman" w:cs="Times New Roman"/>
          <w:kern w:val="0"/>
          <w:sz w:val="28"/>
          <w:szCs w:val="20"/>
        </w:rPr>
        <w:t>1</w:t>
      </w:r>
      <w:r>
        <w:rPr>
          <w:rFonts w:ascii="Times New Roman" w:eastAsia="宋体" w:hAnsi="Times New Roman" w:cs="Times New Roman"/>
          <w:kern w:val="0"/>
          <w:sz w:val="28"/>
          <w:szCs w:val="20"/>
        </w:rPr>
        <w:t>台，已建项目年</w:t>
      </w:r>
      <w:r>
        <w:rPr>
          <w:rFonts w:ascii="Times New Roman" w:eastAsia="宋体" w:hAnsi="Times New Roman" w:cs="Times New Roman"/>
          <w:kern w:val="0"/>
          <w:sz w:val="28"/>
          <w:szCs w:val="28"/>
        </w:rPr>
        <w:t>产沼气</w:t>
      </w:r>
      <w:r>
        <w:rPr>
          <w:rFonts w:ascii="Times New Roman" w:eastAsia="宋体" w:hAnsi="Times New Roman" w:cs="Times New Roman"/>
          <w:kern w:val="0"/>
          <w:sz w:val="28"/>
          <w:szCs w:val="28"/>
        </w:rPr>
        <w:t>4358.4</w:t>
      </w:r>
      <w:r>
        <w:rPr>
          <w:rFonts w:ascii="Times New Roman" w:eastAsia="宋体" w:hAnsi="Times New Roman" w:cs="Times New Roman"/>
          <w:kern w:val="0"/>
          <w:sz w:val="28"/>
          <w:szCs w:val="28"/>
        </w:rPr>
        <w:t>万方，</w:t>
      </w:r>
      <w:r>
        <w:rPr>
          <w:rFonts w:ascii="Times New Roman" w:eastAsia="宋体" w:hAnsi="Times New Roman" w:cs="Times New Roman"/>
          <w:kern w:val="0"/>
          <w:sz w:val="28"/>
          <w:szCs w:val="20"/>
        </w:rPr>
        <w:t>可供应蒸汽</w:t>
      </w:r>
      <w:r>
        <w:rPr>
          <w:rFonts w:ascii="Times New Roman" w:eastAsia="宋体" w:hAnsi="Times New Roman" w:cs="Times New Roman"/>
          <w:kern w:val="0"/>
          <w:sz w:val="28"/>
          <w:szCs w:val="20"/>
        </w:rPr>
        <w:t>311314.29t/a</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43.2t/h</w:t>
      </w:r>
      <w:r>
        <w:rPr>
          <w:rFonts w:ascii="Times New Roman" w:eastAsia="宋体" w:hAnsi="Times New Roman" w:cs="Times New Roman"/>
          <w:kern w:val="0"/>
          <w:sz w:val="28"/>
          <w:szCs w:val="20"/>
        </w:rPr>
        <w:t>），其中</w:t>
      </w:r>
      <w:r>
        <w:rPr>
          <w:rFonts w:ascii="Times New Roman" w:eastAsia="宋体" w:hAnsi="Times New Roman" w:cs="Times New Roman"/>
          <w:kern w:val="0"/>
          <w:sz w:val="28"/>
          <w:szCs w:val="20"/>
        </w:rPr>
        <w:t>252000t/a</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35t/h</w:t>
      </w:r>
      <w:r>
        <w:rPr>
          <w:rFonts w:ascii="Times New Roman" w:eastAsia="宋体" w:hAnsi="Times New Roman" w:cs="Times New Roman"/>
          <w:kern w:val="0"/>
          <w:sz w:val="28"/>
          <w:szCs w:val="20"/>
        </w:rPr>
        <w:t>）供给酒精生产线使用，多余的</w:t>
      </w:r>
      <w:r>
        <w:rPr>
          <w:rFonts w:ascii="Times New Roman" w:eastAsia="宋体" w:hAnsi="Times New Roman" w:cs="Times New Roman"/>
          <w:kern w:val="0"/>
          <w:sz w:val="28"/>
          <w:szCs w:val="20"/>
        </w:rPr>
        <w:t>59314.29t/a</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8.2t/h</w:t>
      </w:r>
      <w:r>
        <w:rPr>
          <w:rFonts w:ascii="Times New Roman" w:eastAsia="宋体" w:hAnsi="Times New Roman" w:cs="Times New Roman"/>
          <w:kern w:val="0"/>
          <w:sz w:val="28"/>
          <w:szCs w:val="20"/>
        </w:rPr>
        <w:t>）供其它已建生产线使用，不足的蒸汽由产业区集中供热中心</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台</w:t>
      </w:r>
      <w:r>
        <w:rPr>
          <w:rFonts w:ascii="Times New Roman" w:eastAsia="宋体" w:hAnsi="Times New Roman" w:cs="Times New Roman"/>
          <w:kern w:val="0"/>
          <w:sz w:val="28"/>
          <w:szCs w:val="28"/>
        </w:rPr>
        <w:t>75t/h</w:t>
      </w:r>
      <w:r>
        <w:rPr>
          <w:rFonts w:ascii="Times New Roman" w:eastAsia="宋体" w:hAnsi="Times New Roman" w:cs="Times New Roman"/>
          <w:kern w:val="0"/>
          <w:sz w:val="28"/>
          <w:szCs w:val="28"/>
        </w:rPr>
        <w:t>流化床混烧锅炉供给。</w:t>
      </w:r>
    </w:p>
    <w:p w14:paraId="468D1289" w14:textId="77777777" w:rsidR="002133E3" w:rsidRDefault="00C22CFA">
      <w:pPr>
        <w:widowControl/>
        <w:spacing w:line="500" w:lineRule="exact"/>
        <w:ind w:firstLine="573"/>
        <w:rPr>
          <w:rFonts w:ascii="Times New Roman" w:eastAsia="宋体" w:hAnsi="Times New Roman" w:cs="Times New Roman"/>
          <w:kern w:val="0"/>
          <w:sz w:val="28"/>
          <w:szCs w:val="28"/>
        </w:rPr>
      </w:pPr>
      <w:r>
        <w:rPr>
          <w:rFonts w:ascii="Times New Roman" w:eastAsia="宋体" w:hAnsi="Times New Roman" w:cs="Times New Roman"/>
          <w:kern w:val="0"/>
          <w:sz w:val="28"/>
          <w:szCs w:val="28"/>
        </w:rPr>
        <w:t>已建项目蒸汽平衡见图</w:t>
      </w:r>
      <w:r>
        <w:rPr>
          <w:rFonts w:ascii="Times New Roman" w:eastAsia="宋体" w:hAnsi="Times New Roman" w:cs="Times New Roman"/>
          <w:kern w:val="0"/>
          <w:sz w:val="28"/>
          <w:szCs w:val="28"/>
        </w:rPr>
        <w:t>3.2-6</w:t>
      </w:r>
      <w:r>
        <w:rPr>
          <w:rFonts w:ascii="Times New Roman" w:eastAsia="宋体" w:hAnsi="Times New Roman" w:cs="Times New Roman"/>
          <w:kern w:val="0"/>
          <w:sz w:val="28"/>
          <w:szCs w:val="28"/>
        </w:rPr>
        <w:t>。</w:t>
      </w:r>
    </w:p>
    <w:p w14:paraId="2D0CF128" w14:textId="77777777" w:rsidR="002133E3" w:rsidRDefault="009F1FEF">
      <w:pPr>
        <w:widowControl/>
        <w:jc w:val="center"/>
        <w:rPr>
          <w:rFonts w:ascii="Times New Roman" w:eastAsia="宋体" w:hAnsi="Times New Roman" w:cs="Times New Roman"/>
          <w:kern w:val="0"/>
          <w:sz w:val="28"/>
          <w:szCs w:val="28"/>
        </w:rPr>
      </w:pPr>
      <w:r>
        <w:rPr>
          <w:rFonts w:ascii="Times New Roman" w:hAnsi="Times New Roman" w:cs="Times New Roman"/>
        </w:rPr>
        <w:pict w14:anchorId="734918A8">
          <v:shape id="_x0000_i1033" type="#_x0000_t75" style="width:481.75pt;height:224.6pt">
            <v:imagedata r:id="rId29" o:title=""/>
          </v:shape>
        </w:pict>
      </w:r>
    </w:p>
    <w:p w14:paraId="05FD3DB4" w14:textId="77777777" w:rsidR="002133E3" w:rsidRDefault="00C22CFA">
      <w:pPr>
        <w:widowControl/>
        <w:tabs>
          <w:tab w:val="left" w:pos="600"/>
        </w:tabs>
        <w:spacing w:line="500" w:lineRule="exact"/>
        <w:jc w:val="center"/>
        <w:rPr>
          <w:rFonts w:ascii="Times New Roman" w:eastAsia="宋体" w:hAnsi="Times New Roman" w:cs="Times New Roman"/>
          <w:b/>
          <w:kern w:val="0"/>
          <w:szCs w:val="16"/>
        </w:rPr>
      </w:pPr>
      <w:r>
        <w:rPr>
          <w:rFonts w:ascii="Times New Roman" w:eastAsia="宋体" w:hAnsi="Times New Roman" w:cs="Times New Roman"/>
          <w:b/>
          <w:kern w:val="0"/>
          <w:szCs w:val="16"/>
        </w:rPr>
        <w:t>图</w:t>
      </w:r>
      <w:r>
        <w:rPr>
          <w:rFonts w:ascii="Times New Roman" w:eastAsia="宋体" w:hAnsi="Times New Roman" w:cs="Times New Roman"/>
          <w:b/>
          <w:kern w:val="0"/>
          <w:szCs w:val="16"/>
        </w:rPr>
        <w:t xml:space="preserve">3.2-6 </w:t>
      </w:r>
      <w:r>
        <w:rPr>
          <w:rFonts w:ascii="Times New Roman" w:eastAsia="宋体" w:hAnsi="Times New Roman" w:cs="Times New Roman"/>
          <w:b/>
          <w:kern w:val="0"/>
          <w:szCs w:val="16"/>
        </w:rPr>
        <w:t>已建项目蒸汽平衡图</w:t>
      </w:r>
    </w:p>
    <w:p w14:paraId="5F34CE7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已建项目原辅料、产品贮存情况</w:t>
      </w:r>
    </w:p>
    <w:p w14:paraId="07E0E421"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已建项目主要原辅料消耗及能耗情况见表</w:t>
      </w:r>
      <w:r>
        <w:rPr>
          <w:rFonts w:ascii="Times New Roman" w:eastAsia="宋体" w:hAnsi="Times New Roman" w:cs="Times New Roman"/>
          <w:sz w:val="28"/>
          <w:szCs w:val="28"/>
        </w:rPr>
        <w:t>3.2-4</w:t>
      </w:r>
    </w:p>
    <w:p w14:paraId="599C6B00" w14:textId="77777777" w:rsidR="002133E3" w:rsidRDefault="00C22CFA">
      <w:pPr>
        <w:adjustRightInd w:val="0"/>
        <w:snapToGrid w:val="0"/>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3.2-4  </w:t>
      </w:r>
      <w:r>
        <w:rPr>
          <w:rFonts w:ascii="Times New Roman" w:eastAsia="宋体" w:hAnsi="Times New Roman" w:cs="Times New Roman"/>
          <w:b/>
          <w:szCs w:val="21"/>
        </w:rPr>
        <w:t>已建项目原辅料消耗情况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8"/>
        <w:gridCol w:w="1289"/>
        <w:gridCol w:w="881"/>
        <w:gridCol w:w="1366"/>
        <w:gridCol w:w="1212"/>
        <w:gridCol w:w="863"/>
        <w:gridCol w:w="2475"/>
      </w:tblGrid>
      <w:tr w:rsidR="002133E3" w14:paraId="15455149" w14:textId="77777777">
        <w:trPr>
          <w:trHeight w:val="20"/>
        </w:trPr>
        <w:tc>
          <w:tcPr>
            <w:tcW w:w="897" w:type="pct"/>
            <w:vAlign w:val="center"/>
          </w:tcPr>
          <w:p w14:paraId="60C1D4DC" w14:textId="77777777" w:rsidR="002133E3" w:rsidRDefault="00C22CFA">
            <w:pPr>
              <w:widowControl/>
              <w:snapToGrid w:val="0"/>
              <w:jc w:val="center"/>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名称</w:t>
            </w:r>
          </w:p>
        </w:tc>
        <w:tc>
          <w:tcPr>
            <w:tcW w:w="654" w:type="pct"/>
            <w:vAlign w:val="center"/>
          </w:tcPr>
          <w:p w14:paraId="070FF16A" w14:textId="77777777" w:rsidR="002133E3" w:rsidRDefault="00C22CFA">
            <w:pPr>
              <w:widowControl/>
              <w:snapToGrid w:val="0"/>
              <w:jc w:val="center"/>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产量</w:t>
            </w:r>
            <w:r>
              <w:rPr>
                <w:rFonts w:ascii="Times New Roman" w:eastAsia="宋体" w:hAnsi="Times New Roman" w:cs="Times New Roman"/>
                <w:b/>
                <w:color w:val="000000" w:themeColor="text1"/>
                <w:kern w:val="0"/>
                <w:szCs w:val="21"/>
              </w:rPr>
              <w:t>(t/a)</w:t>
            </w:r>
          </w:p>
        </w:tc>
        <w:tc>
          <w:tcPr>
            <w:tcW w:w="447" w:type="pct"/>
            <w:vAlign w:val="center"/>
          </w:tcPr>
          <w:p w14:paraId="09AD1BCB" w14:textId="77777777" w:rsidR="002133E3" w:rsidRDefault="00C22CFA">
            <w:pPr>
              <w:widowControl/>
              <w:snapToGrid w:val="0"/>
              <w:jc w:val="center"/>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规格</w:t>
            </w:r>
          </w:p>
        </w:tc>
        <w:tc>
          <w:tcPr>
            <w:tcW w:w="693" w:type="pct"/>
            <w:vAlign w:val="center"/>
          </w:tcPr>
          <w:p w14:paraId="510FFBA2" w14:textId="77777777" w:rsidR="002133E3" w:rsidRDefault="00C22CFA">
            <w:pPr>
              <w:snapToGrid w:val="0"/>
              <w:jc w:val="center"/>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容器或包装储存数量</w:t>
            </w:r>
          </w:p>
        </w:tc>
        <w:tc>
          <w:tcPr>
            <w:tcW w:w="615" w:type="pct"/>
            <w:vAlign w:val="center"/>
          </w:tcPr>
          <w:p w14:paraId="6D355B3A" w14:textId="77777777" w:rsidR="002133E3" w:rsidRDefault="00C22CFA">
            <w:pPr>
              <w:widowControl/>
              <w:snapToGrid w:val="0"/>
              <w:jc w:val="center"/>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最大贮量</w:t>
            </w:r>
            <w:r>
              <w:rPr>
                <w:rFonts w:ascii="Times New Roman" w:eastAsia="宋体" w:hAnsi="Times New Roman" w:cs="Times New Roman"/>
                <w:b/>
                <w:color w:val="000000" w:themeColor="text1"/>
                <w:kern w:val="0"/>
                <w:szCs w:val="21"/>
              </w:rPr>
              <w:t>(t)</w:t>
            </w:r>
          </w:p>
        </w:tc>
        <w:tc>
          <w:tcPr>
            <w:tcW w:w="438" w:type="pct"/>
            <w:vAlign w:val="center"/>
          </w:tcPr>
          <w:p w14:paraId="32F9B70F" w14:textId="77777777" w:rsidR="002133E3" w:rsidRDefault="00C22CFA">
            <w:pPr>
              <w:widowControl/>
              <w:snapToGrid w:val="0"/>
              <w:jc w:val="center"/>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物质形态</w:t>
            </w:r>
          </w:p>
        </w:tc>
        <w:tc>
          <w:tcPr>
            <w:tcW w:w="1257" w:type="pct"/>
            <w:vAlign w:val="center"/>
          </w:tcPr>
          <w:p w14:paraId="30F07F03" w14:textId="77777777" w:rsidR="002133E3" w:rsidRDefault="00C22CFA">
            <w:pPr>
              <w:widowControl/>
              <w:snapToGrid w:val="0"/>
              <w:jc w:val="center"/>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储存方式</w:t>
            </w:r>
          </w:p>
        </w:tc>
      </w:tr>
      <w:tr w:rsidR="002133E3" w14:paraId="3479D5CB" w14:textId="77777777">
        <w:trPr>
          <w:trHeight w:val="20"/>
        </w:trPr>
        <w:tc>
          <w:tcPr>
            <w:tcW w:w="897" w:type="pct"/>
            <w:vAlign w:val="center"/>
          </w:tcPr>
          <w:p w14:paraId="1F4C2408"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木薯干</w:t>
            </w:r>
          </w:p>
        </w:tc>
        <w:tc>
          <w:tcPr>
            <w:tcW w:w="654" w:type="pct"/>
            <w:vAlign w:val="center"/>
          </w:tcPr>
          <w:p w14:paraId="470EF776"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490587</w:t>
            </w:r>
          </w:p>
        </w:tc>
        <w:tc>
          <w:tcPr>
            <w:tcW w:w="447" w:type="pct"/>
            <w:vAlign w:val="center"/>
          </w:tcPr>
          <w:p w14:paraId="24383852"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w:t>
            </w:r>
          </w:p>
        </w:tc>
        <w:tc>
          <w:tcPr>
            <w:tcW w:w="693" w:type="pct"/>
            <w:vAlign w:val="center"/>
          </w:tcPr>
          <w:p w14:paraId="1BD55C16"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615" w:type="pct"/>
            <w:vAlign w:val="center"/>
          </w:tcPr>
          <w:p w14:paraId="633A779B"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438" w:type="pct"/>
            <w:vAlign w:val="center"/>
          </w:tcPr>
          <w:p w14:paraId="550B5750"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固体</w:t>
            </w:r>
          </w:p>
        </w:tc>
        <w:tc>
          <w:tcPr>
            <w:tcW w:w="1257" w:type="pct"/>
            <w:vAlign w:val="center"/>
          </w:tcPr>
          <w:p w14:paraId="2F218862"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袋装，木薯干仓库</w:t>
            </w:r>
          </w:p>
        </w:tc>
      </w:tr>
      <w:tr w:rsidR="002133E3" w14:paraId="3705441D" w14:textId="77777777">
        <w:trPr>
          <w:trHeight w:val="20"/>
        </w:trPr>
        <w:tc>
          <w:tcPr>
            <w:tcW w:w="897" w:type="pct"/>
            <w:vAlign w:val="center"/>
          </w:tcPr>
          <w:p w14:paraId="410B9D72"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淀粉酶</w:t>
            </w:r>
          </w:p>
        </w:tc>
        <w:tc>
          <w:tcPr>
            <w:tcW w:w="654" w:type="pct"/>
            <w:vAlign w:val="center"/>
          </w:tcPr>
          <w:p w14:paraId="75A3E9F0"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50</w:t>
            </w:r>
          </w:p>
        </w:tc>
        <w:tc>
          <w:tcPr>
            <w:tcW w:w="447" w:type="pct"/>
            <w:vAlign w:val="center"/>
          </w:tcPr>
          <w:p w14:paraId="2C529FFD"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w:t>
            </w:r>
          </w:p>
        </w:tc>
        <w:tc>
          <w:tcPr>
            <w:tcW w:w="693" w:type="pct"/>
            <w:vAlign w:val="center"/>
          </w:tcPr>
          <w:p w14:paraId="78D073DD"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615" w:type="pct"/>
            <w:vAlign w:val="center"/>
          </w:tcPr>
          <w:p w14:paraId="6FF9E602"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438" w:type="pct"/>
            <w:vAlign w:val="center"/>
          </w:tcPr>
          <w:p w14:paraId="60F9DD53"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固体</w:t>
            </w:r>
          </w:p>
        </w:tc>
        <w:tc>
          <w:tcPr>
            <w:tcW w:w="1257" w:type="pct"/>
            <w:vAlign w:val="center"/>
          </w:tcPr>
          <w:p w14:paraId="6CACAA11"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袋装，辅料仓库</w:t>
            </w:r>
          </w:p>
        </w:tc>
      </w:tr>
      <w:tr w:rsidR="002133E3" w14:paraId="0DA446FA" w14:textId="77777777">
        <w:trPr>
          <w:trHeight w:val="20"/>
        </w:trPr>
        <w:tc>
          <w:tcPr>
            <w:tcW w:w="897" w:type="pct"/>
            <w:vAlign w:val="center"/>
          </w:tcPr>
          <w:p w14:paraId="6012E2C7"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糖化酶</w:t>
            </w:r>
          </w:p>
        </w:tc>
        <w:tc>
          <w:tcPr>
            <w:tcW w:w="654" w:type="pct"/>
            <w:vAlign w:val="center"/>
          </w:tcPr>
          <w:p w14:paraId="4F92C8C1"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273</w:t>
            </w:r>
          </w:p>
        </w:tc>
        <w:tc>
          <w:tcPr>
            <w:tcW w:w="447" w:type="pct"/>
            <w:vAlign w:val="center"/>
          </w:tcPr>
          <w:p w14:paraId="4D2C737F"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w:t>
            </w:r>
          </w:p>
        </w:tc>
        <w:tc>
          <w:tcPr>
            <w:tcW w:w="693" w:type="pct"/>
            <w:vAlign w:val="center"/>
          </w:tcPr>
          <w:p w14:paraId="3D57B1BE"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615" w:type="pct"/>
            <w:vAlign w:val="center"/>
          </w:tcPr>
          <w:p w14:paraId="684AA15C"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438" w:type="pct"/>
            <w:vAlign w:val="center"/>
          </w:tcPr>
          <w:p w14:paraId="121D3060"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固体</w:t>
            </w:r>
          </w:p>
        </w:tc>
        <w:tc>
          <w:tcPr>
            <w:tcW w:w="1257" w:type="pct"/>
            <w:vAlign w:val="center"/>
          </w:tcPr>
          <w:p w14:paraId="04D58036"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袋装，辅料仓库</w:t>
            </w:r>
          </w:p>
        </w:tc>
      </w:tr>
      <w:tr w:rsidR="002133E3" w14:paraId="79E96572" w14:textId="77777777">
        <w:trPr>
          <w:trHeight w:val="20"/>
        </w:trPr>
        <w:tc>
          <w:tcPr>
            <w:tcW w:w="897" w:type="pct"/>
            <w:vAlign w:val="center"/>
          </w:tcPr>
          <w:p w14:paraId="72439080"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尿素</w:t>
            </w:r>
          </w:p>
        </w:tc>
        <w:tc>
          <w:tcPr>
            <w:tcW w:w="654" w:type="pct"/>
            <w:vAlign w:val="center"/>
          </w:tcPr>
          <w:p w14:paraId="250B7ABC"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1</w:t>
            </w:r>
          </w:p>
        </w:tc>
        <w:tc>
          <w:tcPr>
            <w:tcW w:w="447" w:type="pct"/>
            <w:vAlign w:val="center"/>
          </w:tcPr>
          <w:p w14:paraId="44703811"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w:t>
            </w:r>
          </w:p>
        </w:tc>
        <w:tc>
          <w:tcPr>
            <w:tcW w:w="693" w:type="pct"/>
            <w:vAlign w:val="center"/>
          </w:tcPr>
          <w:p w14:paraId="2023BFBE"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615" w:type="pct"/>
            <w:vAlign w:val="center"/>
          </w:tcPr>
          <w:p w14:paraId="167F8E27"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438" w:type="pct"/>
            <w:vAlign w:val="center"/>
          </w:tcPr>
          <w:p w14:paraId="367D3580"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固体</w:t>
            </w:r>
          </w:p>
        </w:tc>
        <w:tc>
          <w:tcPr>
            <w:tcW w:w="1257" w:type="pct"/>
            <w:vAlign w:val="center"/>
          </w:tcPr>
          <w:p w14:paraId="7C7A4657"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袋装，辅料仓库</w:t>
            </w:r>
          </w:p>
        </w:tc>
      </w:tr>
      <w:tr w:rsidR="002133E3" w14:paraId="0F3BD304" w14:textId="77777777">
        <w:trPr>
          <w:trHeight w:val="20"/>
        </w:trPr>
        <w:tc>
          <w:tcPr>
            <w:tcW w:w="897" w:type="pct"/>
            <w:vAlign w:val="center"/>
          </w:tcPr>
          <w:p w14:paraId="09E5D1B6"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干酵母</w:t>
            </w:r>
          </w:p>
        </w:tc>
        <w:tc>
          <w:tcPr>
            <w:tcW w:w="654" w:type="pct"/>
            <w:vAlign w:val="center"/>
          </w:tcPr>
          <w:p w14:paraId="50AADA01"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8</w:t>
            </w:r>
          </w:p>
        </w:tc>
        <w:tc>
          <w:tcPr>
            <w:tcW w:w="447" w:type="pct"/>
            <w:vAlign w:val="center"/>
          </w:tcPr>
          <w:p w14:paraId="457A3C9E"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w:t>
            </w:r>
          </w:p>
        </w:tc>
        <w:tc>
          <w:tcPr>
            <w:tcW w:w="693" w:type="pct"/>
            <w:vAlign w:val="center"/>
          </w:tcPr>
          <w:p w14:paraId="7D745495"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615" w:type="pct"/>
            <w:vAlign w:val="center"/>
          </w:tcPr>
          <w:p w14:paraId="72DDDA80"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438" w:type="pct"/>
            <w:vAlign w:val="center"/>
          </w:tcPr>
          <w:p w14:paraId="441462CD"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固体</w:t>
            </w:r>
          </w:p>
        </w:tc>
        <w:tc>
          <w:tcPr>
            <w:tcW w:w="1257" w:type="pct"/>
            <w:vAlign w:val="center"/>
          </w:tcPr>
          <w:p w14:paraId="5D1F2784"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袋装，辅料仓库</w:t>
            </w:r>
          </w:p>
        </w:tc>
      </w:tr>
      <w:tr w:rsidR="002133E3" w14:paraId="2BC430AF" w14:textId="77777777">
        <w:trPr>
          <w:trHeight w:val="20"/>
        </w:trPr>
        <w:tc>
          <w:tcPr>
            <w:tcW w:w="897" w:type="pct"/>
            <w:vAlign w:val="center"/>
          </w:tcPr>
          <w:p w14:paraId="051AEEB0"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醋酸</w:t>
            </w:r>
          </w:p>
        </w:tc>
        <w:tc>
          <w:tcPr>
            <w:tcW w:w="654" w:type="pct"/>
            <w:vAlign w:val="center"/>
          </w:tcPr>
          <w:p w14:paraId="75438C2F"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137974</w:t>
            </w:r>
          </w:p>
        </w:tc>
        <w:tc>
          <w:tcPr>
            <w:tcW w:w="447" w:type="pct"/>
            <w:vAlign w:val="center"/>
          </w:tcPr>
          <w:p w14:paraId="3B65D465"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1000</w:t>
            </w:r>
          </w:p>
        </w:tc>
        <w:tc>
          <w:tcPr>
            <w:tcW w:w="693" w:type="pct"/>
            <w:vAlign w:val="center"/>
          </w:tcPr>
          <w:p w14:paraId="4C920121"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2</w:t>
            </w:r>
          </w:p>
        </w:tc>
        <w:tc>
          <w:tcPr>
            <w:tcW w:w="615" w:type="pct"/>
            <w:vAlign w:val="center"/>
          </w:tcPr>
          <w:p w14:paraId="1842320C"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2100</w:t>
            </w:r>
          </w:p>
        </w:tc>
        <w:tc>
          <w:tcPr>
            <w:tcW w:w="438" w:type="pct"/>
            <w:vAlign w:val="center"/>
          </w:tcPr>
          <w:p w14:paraId="3E86AEC8"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液体</w:t>
            </w:r>
          </w:p>
        </w:tc>
        <w:tc>
          <w:tcPr>
            <w:tcW w:w="1257" w:type="pct"/>
            <w:vAlign w:val="center"/>
          </w:tcPr>
          <w:p w14:paraId="4FEBFFE1"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罐装，贮罐区</w:t>
            </w:r>
          </w:p>
        </w:tc>
      </w:tr>
      <w:tr w:rsidR="002133E3" w14:paraId="41620804" w14:textId="77777777">
        <w:trPr>
          <w:trHeight w:val="20"/>
        </w:trPr>
        <w:tc>
          <w:tcPr>
            <w:tcW w:w="897" w:type="pct"/>
            <w:vAlign w:val="center"/>
          </w:tcPr>
          <w:p w14:paraId="208C6A2A"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电解银</w:t>
            </w:r>
          </w:p>
        </w:tc>
        <w:tc>
          <w:tcPr>
            <w:tcW w:w="654" w:type="pct"/>
            <w:vAlign w:val="center"/>
          </w:tcPr>
          <w:p w14:paraId="45D196C3"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0.88</w:t>
            </w:r>
          </w:p>
        </w:tc>
        <w:tc>
          <w:tcPr>
            <w:tcW w:w="447" w:type="pct"/>
            <w:vAlign w:val="center"/>
          </w:tcPr>
          <w:p w14:paraId="149197F3"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w:t>
            </w:r>
          </w:p>
        </w:tc>
        <w:tc>
          <w:tcPr>
            <w:tcW w:w="693" w:type="pct"/>
            <w:vAlign w:val="center"/>
          </w:tcPr>
          <w:p w14:paraId="307F0857"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615" w:type="pct"/>
            <w:vAlign w:val="center"/>
          </w:tcPr>
          <w:p w14:paraId="146FBAE3"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w:t>
            </w:r>
          </w:p>
        </w:tc>
        <w:tc>
          <w:tcPr>
            <w:tcW w:w="438" w:type="pct"/>
            <w:vAlign w:val="center"/>
          </w:tcPr>
          <w:p w14:paraId="1D6162AB"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固体</w:t>
            </w:r>
          </w:p>
        </w:tc>
        <w:tc>
          <w:tcPr>
            <w:tcW w:w="1257" w:type="pct"/>
            <w:vAlign w:val="center"/>
          </w:tcPr>
          <w:p w14:paraId="3C13098C"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袋装，辅料仓库</w:t>
            </w:r>
          </w:p>
        </w:tc>
      </w:tr>
      <w:tr w:rsidR="002133E3" w14:paraId="79031DB5" w14:textId="77777777">
        <w:trPr>
          <w:trHeight w:val="20"/>
        </w:trPr>
        <w:tc>
          <w:tcPr>
            <w:tcW w:w="897" w:type="pct"/>
            <w:vAlign w:val="center"/>
          </w:tcPr>
          <w:p w14:paraId="68DA5838"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丙酮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丁醇梭菌</w:t>
            </w:r>
          </w:p>
        </w:tc>
        <w:tc>
          <w:tcPr>
            <w:tcW w:w="654" w:type="pct"/>
            <w:vAlign w:val="center"/>
          </w:tcPr>
          <w:p w14:paraId="1B774339"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lang w:val="en-JM"/>
              </w:rPr>
              <w:t>288</w:t>
            </w:r>
          </w:p>
        </w:tc>
        <w:tc>
          <w:tcPr>
            <w:tcW w:w="447" w:type="pct"/>
            <w:vAlign w:val="center"/>
          </w:tcPr>
          <w:p w14:paraId="495AA43E" w14:textId="77777777" w:rsidR="002133E3" w:rsidRDefault="002133E3">
            <w:pPr>
              <w:widowControl/>
              <w:snapToGrid w:val="0"/>
              <w:jc w:val="center"/>
              <w:rPr>
                <w:rFonts w:ascii="Times New Roman" w:eastAsia="宋体" w:hAnsi="Times New Roman" w:cs="Times New Roman"/>
                <w:smallCaps/>
                <w:color w:val="000000" w:themeColor="text1"/>
                <w:kern w:val="0"/>
                <w:szCs w:val="21"/>
              </w:rPr>
            </w:pPr>
          </w:p>
        </w:tc>
        <w:tc>
          <w:tcPr>
            <w:tcW w:w="693" w:type="pct"/>
            <w:vAlign w:val="center"/>
          </w:tcPr>
          <w:p w14:paraId="355BC3C1" w14:textId="77777777" w:rsidR="002133E3" w:rsidRDefault="002133E3">
            <w:pPr>
              <w:widowControl/>
              <w:snapToGrid w:val="0"/>
              <w:jc w:val="center"/>
              <w:rPr>
                <w:rFonts w:ascii="Times New Roman" w:eastAsia="宋体" w:hAnsi="Times New Roman" w:cs="Times New Roman"/>
                <w:color w:val="000000" w:themeColor="text1"/>
                <w:kern w:val="0"/>
                <w:szCs w:val="21"/>
              </w:rPr>
            </w:pPr>
          </w:p>
        </w:tc>
        <w:tc>
          <w:tcPr>
            <w:tcW w:w="615" w:type="pct"/>
            <w:vAlign w:val="center"/>
          </w:tcPr>
          <w:p w14:paraId="1C7185CD" w14:textId="77777777" w:rsidR="002133E3" w:rsidRDefault="002133E3">
            <w:pPr>
              <w:widowControl/>
              <w:snapToGrid w:val="0"/>
              <w:jc w:val="center"/>
              <w:rPr>
                <w:rFonts w:ascii="Times New Roman" w:eastAsia="宋体" w:hAnsi="Times New Roman" w:cs="Times New Roman"/>
                <w:color w:val="000000" w:themeColor="text1"/>
                <w:kern w:val="0"/>
                <w:szCs w:val="21"/>
              </w:rPr>
            </w:pPr>
          </w:p>
        </w:tc>
        <w:tc>
          <w:tcPr>
            <w:tcW w:w="438" w:type="pct"/>
            <w:vAlign w:val="center"/>
          </w:tcPr>
          <w:p w14:paraId="4A26D646" w14:textId="77777777" w:rsidR="002133E3" w:rsidRDefault="002133E3">
            <w:pPr>
              <w:widowControl/>
              <w:snapToGrid w:val="0"/>
              <w:jc w:val="center"/>
              <w:rPr>
                <w:rFonts w:ascii="Times New Roman" w:eastAsia="宋体" w:hAnsi="Times New Roman" w:cs="Times New Roman"/>
                <w:color w:val="000000" w:themeColor="text1"/>
                <w:kern w:val="0"/>
                <w:szCs w:val="21"/>
              </w:rPr>
            </w:pPr>
          </w:p>
        </w:tc>
        <w:tc>
          <w:tcPr>
            <w:tcW w:w="1257" w:type="pct"/>
            <w:vAlign w:val="center"/>
          </w:tcPr>
          <w:p w14:paraId="4EF71C3D" w14:textId="77777777" w:rsidR="002133E3" w:rsidRDefault="002133E3">
            <w:pPr>
              <w:widowControl/>
              <w:snapToGrid w:val="0"/>
              <w:jc w:val="center"/>
              <w:rPr>
                <w:rFonts w:ascii="Times New Roman" w:eastAsia="宋体" w:hAnsi="Times New Roman" w:cs="Times New Roman"/>
                <w:color w:val="000000" w:themeColor="text1"/>
                <w:kern w:val="0"/>
                <w:szCs w:val="21"/>
              </w:rPr>
            </w:pPr>
          </w:p>
        </w:tc>
      </w:tr>
      <w:tr w:rsidR="002133E3" w14:paraId="291E77E4" w14:textId="77777777">
        <w:trPr>
          <w:trHeight w:val="20"/>
        </w:trPr>
        <w:tc>
          <w:tcPr>
            <w:tcW w:w="897" w:type="pct"/>
            <w:vAlign w:val="center"/>
          </w:tcPr>
          <w:p w14:paraId="0797A8E3"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酒精</w:t>
            </w:r>
          </w:p>
        </w:tc>
        <w:tc>
          <w:tcPr>
            <w:tcW w:w="654" w:type="pct"/>
            <w:vAlign w:val="center"/>
          </w:tcPr>
          <w:p w14:paraId="6036B0F4"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127907</w:t>
            </w:r>
          </w:p>
        </w:tc>
        <w:tc>
          <w:tcPr>
            <w:tcW w:w="447" w:type="pct"/>
            <w:vAlign w:val="center"/>
          </w:tcPr>
          <w:p w14:paraId="2D2F6C17" w14:textId="77777777" w:rsidR="002133E3" w:rsidRDefault="00C22CFA">
            <w:pPr>
              <w:widowControl/>
              <w:snapToGrid w:val="0"/>
              <w:jc w:val="center"/>
              <w:rPr>
                <w:rFonts w:ascii="Times New Roman" w:eastAsia="宋体" w:hAnsi="Times New Roman" w:cs="Times New Roman"/>
                <w:smallCaps/>
                <w:color w:val="000000" w:themeColor="text1"/>
                <w:kern w:val="0"/>
                <w:szCs w:val="21"/>
              </w:rPr>
            </w:pPr>
            <w:r>
              <w:rPr>
                <w:rFonts w:ascii="Times New Roman" w:eastAsia="宋体" w:hAnsi="Times New Roman" w:cs="Times New Roman"/>
                <w:smallCaps/>
                <w:color w:val="000000" w:themeColor="text1"/>
                <w:kern w:val="0"/>
                <w:szCs w:val="21"/>
              </w:rPr>
              <w:t>1000</w:t>
            </w:r>
          </w:p>
        </w:tc>
        <w:tc>
          <w:tcPr>
            <w:tcW w:w="693" w:type="pct"/>
            <w:vAlign w:val="center"/>
          </w:tcPr>
          <w:p w14:paraId="0F5273F8"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2</w:t>
            </w:r>
          </w:p>
        </w:tc>
        <w:tc>
          <w:tcPr>
            <w:tcW w:w="615" w:type="pct"/>
            <w:vAlign w:val="center"/>
          </w:tcPr>
          <w:p w14:paraId="69379AC0"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1580</w:t>
            </w:r>
          </w:p>
        </w:tc>
        <w:tc>
          <w:tcPr>
            <w:tcW w:w="438" w:type="pct"/>
            <w:vAlign w:val="center"/>
          </w:tcPr>
          <w:p w14:paraId="1538B7A8"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液体</w:t>
            </w:r>
          </w:p>
        </w:tc>
        <w:tc>
          <w:tcPr>
            <w:tcW w:w="1257" w:type="pct"/>
            <w:vAlign w:val="center"/>
          </w:tcPr>
          <w:p w14:paraId="3BEA5DD5" w14:textId="77777777" w:rsidR="002133E3" w:rsidRDefault="00C22CFA">
            <w:pPr>
              <w:widowControl/>
              <w:snapToGrid w:val="0"/>
              <w:jc w:val="center"/>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罐装，贮罐区</w:t>
            </w:r>
          </w:p>
        </w:tc>
      </w:tr>
    </w:tbl>
    <w:p w14:paraId="10EA328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已建项目污染物产生、治理及排放情况</w:t>
      </w:r>
    </w:p>
    <w:p w14:paraId="03A24B6E" w14:textId="77777777" w:rsidR="002133E3" w:rsidRDefault="00C22CFA">
      <w:pPr>
        <w:spacing w:line="500" w:lineRule="exact"/>
        <w:ind w:firstLineChars="220" w:firstLine="616"/>
        <w:rPr>
          <w:rFonts w:ascii="Times New Roman" w:eastAsia="宋体" w:hAnsi="Times New Roman" w:cs="Times New Roman"/>
          <w:sz w:val="28"/>
          <w:szCs w:val="28"/>
        </w:rPr>
      </w:pPr>
      <w:r>
        <w:rPr>
          <w:rFonts w:ascii="Times New Roman" w:eastAsia="宋体" w:hAnsi="Times New Roman" w:cs="Times New Roman"/>
          <w:kern w:val="0"/>
          <w:sz w:val="28"/>
          <w:szCs w:val="28"/>
        </w:rPr>
        <w:lastRenderedPageBreak/>
        <w:t>江苏金茂源生物化工有限责任公司分别与</w:t>
      </w:r>
      <w:r>
        <w:rPr>
          <w:rFonts w:ascii="Times New Roman" w:eastAsia="宋体" w:hAnsi="Times New Roman" w:cs="Times New Roman"/>
          <w:kern w:val="0"/>
          <w:sz w:val="28"/>
          <w:szCs w:val="28"/>
        </w:rPr>
        <w:t>2011</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9</w:t>
      </w:r>
      <w:r>
        <w:rPr>
          <w:rFonts w:ascii="Times New Roman" w:eastAsia="宋体" w:hAnsi="Times New Roman" w:cs="Times New Roman"/>
          <w:kern w:val="0"/>
          <w:sz w:val="28"/>
          <w:szCs w:val="28"/>
        </w:rPr>
        <w:t>月和</w:t>
      </w:r>
      <w:r>
        <w:rPr>
          <w:rFonts w:ascii="Times New Roman" w:eastAsia="宋体" w:hAnsi="Times New Roman" w:cs="Times New Roman"/>
          <w:kern w:val="0"/>
          <w:sz w:val="28"/>
          <w:szCs w:val="28"/>
        </w:rPr>
        <w:t>2014</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12</w:t>
      </w:r>
      <w:r>
        <w:rPr>
          <w:rFonts w:ascii="Times New Roman" w:eastAsia="宋体" w:hAnsi="Times New Roman" w:cs="Times New Roman"/>
          <w:kern w:val="0"/>
          <w:sz w:val="28"/>
          <w:szCs w:val="28"/>
        </w:rPr>
        <w:t>月对年产</w:t>
      </w:r>
      <w:r>
        <w:rPr>
          <w:rFonts w:ascii="Times New Roman" w:eastAsia="宋体" w:hAnsi="Times New Roman" w:cs="Times New Roman"/>
          <w:kern w:val="0"/>
          <w:sz w:val="28"/>
          <w:szCs w:val="28"/>
        </w:rPr>
        <w:t>20</w:t>
      </w:r>
      <w:r>
        <w:rPr>
          <w:rFonts w:ascii="Times New Roman" w:eastAsia="宋体" w:hAnsi="Times New Roman" w:cs="Times New Roman"/>
          <w:kern w:val="0"/>
          <w:sz w:val="28"/>
          <w:szCs w:val="28"/>
        </w:rPr>
        <w:t>万吨醋酸乙（丁）酯等工程项目进行验收监测；于</w:t>
      </w:r>
      <w:r>
        <w:rPr>
          <w:rFonts w:ascii="Times New Roman" w:eastAsia="宋体" w:hAnsi="Times New Roman" w:cs="Times New Roman"/>
          <w:kern w:val="0"/>
          <w:sz w:val="28"/>
          <w:szCs w:val="28"/>
        </w:rPr>
        <w:t>2020</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月对年产</w:t>
      </w:r>
      <w:r>
        <w:rPr>
          <w:rFonts w:ascii="Times New Roman" w:eastAsia="宋体" w:hAnsi="Times New Roman" w:cs="Times New Roman"/>
          <w:kern w:val="0"/>
          <w:sz w:val="28"/>
          <w:szCs w:val="28"/>
        </w:rPr>
        <w:t xml:space="preserve"> 6 </w:t>
      </w:r>
      <w:r>
        <w:rPr>
          <w:rFonts w:ascii="Times New Roman" w:eastAsia="宋体" w:hAnsi="Times New Roman" w:cs="Times New Roman"/>
          <w:kern w:val="0"/>
          <w:sz w:val="28"/>
          <w:szCs w:val="28"/>
        </w:rPr>
        <w:t>万吨发酵法混合物技改项目进行验收监测。</w:t>
      </w:r>
      <w:r>
        <w:rPr>
          <w:rFonts w:ascii="Times New Roman" w:eastAsia="宋体" w:hAnsi="Times New Roman" w:cs="Times New Roman"/>
          <w:sz w:val="28"/>
          <w:szCs w:val="28"/>
        </w:rPr>
        <w:t>由验收监测报告可知，各种污染物经过有效治理后均能做到稳定达标排放。</w:t>
      </w:r>
    </w:p>
    <w:p w14:paraId="04346646"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3.2-5   </w:t>
      </w:r>
      <w:r>
        <w:rPr>
          <w:rFonts w:ascii="Times New Roman" w:eastAsia="宋体" w:hAnsi="Times New Roman" w:cs="Times New Roman"/>
          <w:b/>
          <w:bCs/>
          <w:sz w:val="24"/>
          <w:szCs w:val="20"/>
        </w:rPr>
        <w:t>验收监测内容明细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675"/>
        <w:gridCol w:w="708"/>
        <w:gridCol w:w="1277"/>
        <w:gridCol w:w="2692"/>
        <w:gridCol w:w="2942"/>
      </w:tblGrid>
      <w:tr w:rsidR="002133E3" w14:paraId="6F98D5C2" w14:textId="77777777">
        <w:trPr>
          <w:jc w:val="center"/>
        </w:trPr>
        <w:tc>
          <w:tcPr>
            <w:tcW w:w="284" w:type="pct"/>
            <w:vMerge w:val="restart"/>
            <w:vAlign w:val="center"/>
          </w:tcPr>
          <w:p w14:paraId="69443E74"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850" w:type="pct"/>
            <w:vMerge w:val="restart"/>
            <w:vAlign w:val="center"/>
          </w:tcPr>
          <w:p w14:paraId="7A1CDCBA"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工程内容</w:t>
            </w:r>
          </w:p>
        </w:tc>
        <w:tc>
          <w:tcPr>
            <w:tcW w:w="359" w:type="pct"/>
            <w:vMerge w:val="restart"/>
            <w:vAlign w:val="center"/>
          </w:tcPr>
          <w:p w14:paraId="404CBDB0"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监测时间</w:t>
            </w:r>
          </w:p>
        </w:tc>
        <w:tc>
          <w:tcPr>
            <w:tcW w:w="3507" w:type="pct"/>
            <w:gridSpan w:val="3"/>
            <w:vAlign w:val="center"/>
          </w:tcPr>
          <w:p w14:paraId="5B15D4FD"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验收监测内容</w:t>
            </w:r>
          </w:p>
        </w:tc>
      </w:tr>
      <w:tr w:rsidR="002133E3" w14:paraId="523CCD93" w14:textId="77777777">
        <w:trPr>
          <w:jc w:val="center"/>
        </w:trPr>
        <w:tc>
          <w:tcPr>
            <w:tcW w:w="284" w:type="pct"/>
            <w:vMerge/>
            <w:vAlign w:val="center"/>
          </w:tcPr>
          <w:p w14:paraId="554D6A3D" w14:textId="77777777" w:rsidR="002133E3" w:rsidRDefault="002133E3">
            <w:pPr>
              <w:snapToGrid w:val="0"/>
              <w:jc w:val="center"/>
              <w:rPr>
                <w:rFonts w:ascii="Times New Roman" w:eastAsia="宋体" w:hAnsi="Times New Roman" w:cs="Times New Roman"/>
                <w:b/>
                <w:kern w:val="0"/>
                <w:szCs w:val="21"/>
              </w:rPr>
            </w:pPr>
          </w:p>
        </w:tc>
        <w:tc>
          <w:tcPr>
            <w:tcW w:w="850" w:type="pct"/>
            <w:vMerge/>
            <w:vAlign w:val="center"/>
          </w:tcPr>
          <w:p w14:paraId="15F17C41" w14:textId="77777777" w:rsidR="002133E3" w:rsidRDefault="002133E3">
            <w:pPr>
              <w:snapToGrid w:val="0"/>
              <w:jc w:val="center"/>
              <w:rPr>
                <w:rFonts w:ascii="Times New Roman" w:eastAsia="宋体" w:hAnsi="Times New Roman" w:cs="Times New Roman"/>
                <w:b/>
                <w:kern w:val="0"/>
                <w:szCs w:val="21"/>
              </w:rPr>
            </w:pPr>
          </w:p>
        </w:tc>
        <w:tc>
          <w:tcPr>
            <w:tcW w:w="359" w:type="pct"/>
            <w:vMerge/>
            <w:vAlign w:val="center"/>
          </w:tcPr>
          <w:p w14:paraId="6C389823" w14:textId="77777777" w:rsidR="002133E3" w:rsidRDefault="002133E3">
            <w:pPr>
              <w:snapToGrid w:val="0"/>
              <w:jc w:val="center"/>
              <w:rPr>
                <w:rFonts w:ascii="Times New Roman" w:eastAsia="宋体" w:hAnsi="Times New Roman" w:cs="Times New Roman"/>
                <w:b/>
                <w:kern w:val="0"/>
                <w:szCs w:val="21"/>
              </w:rPr>
            </w:pPr>
          </w:p>
        </w:tc>
        <w:tc>
          <w:tcPr>
            <w:tcW w:w="648" w:type="pct"/>
            <w:vAlign w:val="center"/>
          </w:tcPr>
          <w:p w14:paraId="52315E57"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要素</w:t>
            </w:r>
          </w:p>
        </w:tc>
        <w:tc>
          <w:tcPr>
            <w:tcW w:w="1366" w:type="pct"/>
            <w:vAlign w:val="center"/>
          </w:tcPr>
          <w:p w14:paraId="4AFD1189"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点位</w:t>
            </w:r>
          </w:p>
        </w:tc>
        <w:tc>
          <w:tcPr>
            <w:tcW w:w="1493" w:type="pct"/>
            <w:vAlign w:val="center"/>
          </w:tcPr>
          <w:p w14:paraId="69969E1E"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监测内容</w:t>
            </w:r>
          </w:p>
        </w:tc>
      </w:tr>
      <w:tr w:rsidR="002133E3" w14:paraId="43A88BE0" w14:textId="77777777">
        <w:trPr>
          <w:jc w:val="center"/>
        </w:trPr>
        <w:tc>
          <w:tcPr>
            <w:tcW w:w="284" w:type="pct"/>
            <w:vMerge w:val="restart"/>
            <w:vAlign w:val="center"/>
          </w:tcPr>
          <w:p w14:paraId="01A750B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850" w:type="pct"/>
            <w:vMerge w:val="restart"/>
            <w:vAlign w:val="center"/>
          </w:tcPr>
          <w:p w14:paraId="0AD0BEA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第一阶段：年产</w:t>
            </w:r>
            <w:r>
              <w:rPr>
                <w:rFonts w:ascii="Times New Roman" w:eastAsia="宋体" w:hAnsi="Times New Roman" w:cs="Times New Roman"/>
                <w:kern w:val="0"/>
                <w:szCs w:val="21"/>
              </w:rPr>
              <w:t>20</w:t>
            </w:r>
            <w:r>
              <w:rPr>
                <w:rFonts w:ascii="Times New Roman" w:eastAsia="宋体" w:hAnsi="Times New Roman" w:cs="Times New Roman"/>
                <w:kern w:val="0"/>
                <w:szCs w:val="21"/>
              </w:rPr>
              <w:t>万吨醋酸乙（丁）酯、配套建设年产</w:t>
            </w:r>
            <w:r>
              <w:rPr>
                <w:rFonts w:ascii="Times New Roman" w:eastAsia="宋体" w:hAnsi="Times New Roman" w:cs="Times New Roman"/>
                <w:kern w:val="0"/>
                <w:szCs w:val="21"/>
              </w:rPr>
              <w:t>10</w:t>
            </w:r>
            <w:r>
              <w:rPr>
                <w:rFonts w:ascii="Times New Roman" w:eastAsia="宋体" w:hAnsi="Times New Roman" w:cs="Times New Roman"/>
                <w:kern w:val="0"/>
                <w:szCs w:val="21"/>
              </w:rPr>
              <w:t>万吨乙醇生产线（不含二氧化碳回收装置）及沼气热电机组</w:t>
            </w:r>
          </w:p>
        </w:tc>
        <w:tc>
          <w:tcPr>
            <w:tcW w:w="359" w:type="pct"/>
            <w:vMerge w:val="restart"/>
            <w:vAlign w:val="center"/>
          </w:tcPr>
          <w:p w14:paraId="052DA57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2011</w:t>
            </w:r>
            <w:r>
              <w:rPr>
                <w:rFonts w:ascii="Times New Roman" w:eastAsia="宋体" w:hAnsi="Times New Roman" w:cs="Times New Roman"/>
                <w:kern w:val="0"/>
                <w:szCs w:val="21"/>
              </w:rPr>
              <w:t>年</w:t>
            </w:r>
            <w:r>
              <w:rPr>
                <w:rFonts w:ascii="Times New Roman" w:eastAsia="宋体" w:hAnsi="Times New Roman" w:cs="Times New Roman"/>
                <w:kern w:val="0"/>
                <w:szCs w:val="21"/>
              </w:rPr>
              <w:t>9</w:t>
            </w:r>
            <w:r>
              <w:rPr>
                <w:rFonts w:ascii="Times New Roman" w:eastAsia="宋体" w:hAnsi="Times New Roman" w:cs="Times New Roman"/>
                <w:kern w:val="0"/>
                <w:szCs w:val="21"/>
              </w:rPr>
              <w:t>月</w:t>
            </w:r>
          </w:p>
        </w:tc>
        <w:tc>
          <w:tcPr>
            <w:tcW w:w="648" w:type="pct"/>
            <w:vMerge w:val="restart"/>
            <w:vAlign w:val="center"/>
          </w:tcPr>
          <w:p w14:paraId="4330B09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废水</w:t>
            </w:r>
          </w:p>
        </w:tc>
        <w:tc>
          <w:tcPr>
            <w:tcW w:w="1366" w:type="pct"/>
            <w:vAlign w:val="center"/>
          </w:tcPr>
          <w:p w14:paraId="3DF2519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污水处理设施进口（</w:t>
            </w:r>
            <w:r>
              <w:rPr>
                <w:rFonts w:ascii="Times New Roman" w:eastAsia="宋体" w:hAnsi="Times New Roman" w:cs="Times New Roman"/>
                <w:kern w:val="0"/>
                <w:szCs w:val="21"/>
              </w:rPr>
              <w:t>S1</w:t>
            </w:r>
            <w:r>
              <w:rPr>
                <w:rFonts w:ascii="Times New Roman" w:eastAsia="宋体" w:hAnsi="Times New Roman" w:cs="Times New Roman"/>
                <w:kern w:val="0"/>
                <w:szCs w:val="21"/>
              </w:rPr>
              <w:t>）</w:t>
            </w:r>
          </w:p>
        </w:tc>
        <w:tc>
          <w:tcPr>
            <w:tcW w:w="1493" w:type="pct"/>
            <w:vMerge w:val="restart"/>
            <w:vAlign w:val="center"/>
          </w:tcPr>
          <w:p w14:paraId="1431557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，氨氮，化学需氧量，五日生化需氧量，悬浮物，总磷</w:t>
            </w:r>
          </w:p>
        </w:tc>
      </w:tr>
      <w:tr w:rsidR="002133E3" w14:paraId="6AD17901" w14:textId="77777777">
        <w:trPr>
          <w:jc w:val="center"/>
        </w:trPr>
        <w:tc>
          <w:tcPr>
            <w:tcW w:w="284" w:type="pct"/>
            <w:vMerge/>
            <w:vAlign w:val="center"/>
          </w:tcPr>
          <w:p w14:paraId="340ADB74"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1F91CB22"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372A9099"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76FA0EBA"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7213EAE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污水处理设施出口（</w:t>
            </w:r>
            <w:r>
              <w:rPr>
                <w:rFonts w:ascii="Times New Roman" w:eastAsia="宋体" w:hAnsi="Times New Roman" w:cs="Times New Roman"/>
                <w:kern w:val="0"/>
                <w:szCs w:val="21"/>
              </w:rPr>
              <w:t>S2</w:t>
            </w:r>
            <w:r>
              <w:rPr>
                <w:rFonts w:ascii="Times New Roman" w:eastAsia="宋体" w:hAnsi="Times New Roman" w:cs="Times New Roman"/>
                <w:kern w:val="0"/>
                <w:szCs w:val="21"/>
              </w:rPr>
              <w:t>）</w:t>
            </w:r>
          </w:p>
        </w:tc>
        <w:tc>
          <w:tcPr>
            <w:tcW w:w="1493" w:type="pct"/>
            <w:vMerge/>
            <w:vAlign w:val="center"/>
          </w:tcPr>
          <w:p w14:paraId="0127B182" w14:textId="77777777" w:rsidR="002133E3" w:rsidRDefault="002133E3">
            <w:pPr>
              <w:snapToGrid w:val="0"/>
              <w:jc w:val="center"/>
              <w:rPr>
                <w:rFonts w:ascii="Times New Roman" w:eastAsia="宋体" w:hAnsi="Times New Roman" w:cs="Times New Roman"/>
                <w:kern w:val="0"/>
                <w:szCs w:val="21"/>
              </w:rPr>
            </w:pPr>
          </w:p>
        </w:tc>
      </w:tr>
      <w:tr w:rsidR="002133E3" w14:paraId="29DC74B9" w14:textId="77777777">
        <w:trPr>
          <w:jc w:val="center"/>
        </w:trPr>
        <w:tc>
          <w:tcPr>
            <w:tcW w:w="284" w:type="pct"/>
            <w:vMerge/>
            <w:vAlign w:val="center"/>
          </w:tcPr>
          <w:p w14:paraId="011BFEB9"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2A07B8AE"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0544AAE8"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365D2E08"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2FBBBD6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清下水排口（</w:t>
            </w:r>
            <w:r>
              <w:rPr>
                <w:rFonts w:ascii="Times New Roman" w:eastAsia="宋体" w:hAnsi="Times New Roman" w:cs="Times New Roman"/>
                <w:kern w:val="0"/>
                <w:szCs w:val="21"/>
              </w:rPr>
              <w:t>S3</w:t>
            </w:r>
            <w:r>
              <w:rPr>
                <w:rFonts w:ascii="Times New Roman" w:eastAsia="宋体" w:hAnsi="Times New Roman" w:cs="Times New Roman"/>
                <w:kern w:val="0"/>
                <w:szCs w:val="21"/>
              </w:rPr>
              <w:t>）</w:t>
            </w:r>
          </w:p>
        </w:tc>
        <w:tc>
          <w:tcPr>
            <w:tcW w:w="1493" w:type="pct"/>
            <w:vAlign w:val="center"/>
          </w:tcPr>
          <w:p w14:paraId="505D644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，化学需氧量，悬浮物</w:t>
            </w:r>
          </w:p>
        </w:tc>
      </w:tr>
      <w:tr w:rsidR="002133E3" w14:paraId="1CD0C50D" w14:textId="77777777">
        <w:trPr>
          <w:jc w:val="center"/>
        </w:trPr>
        <w:tc>
          <w:tcPr>
            <w:tcW w:w="284" w:type="pct"/>
            <w:vMerge/>
            <w:vAlign w:val="center"/>
          </w:tcPr>
          <w:p w14:paraId="0976A5E4"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27C6D6A6"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12256856" w14:textId="77777777" w:rsidR="002133E3" w:rsidRDefault="002133E3">
            <w:pPr>
              <w:snapToGrid w:val="0"/>
              <w:jc w:val="center"/>
              <w:rPr>
                <w:rFonts w:ascii="Times New Roman" w:eastAsia="宋体" w:hAnsi="Times New Roman" w:cs="Times New Roman"/>
                <w:kern w:val="0"/>
                <w:szCs w:val="21"/>
              </w:rPr>
            </w:pPr>
          </w:p>
        </w:tc>
        <w:tc>
          <w:tcPr>
            <w:tcW w:w="648" w:type="pct"/>
            <w:vMerge w:val="restart"/>
            <w:vAlign w:val="center"/>
          </w:tcPr>
          <w:p w14:paraId="4020706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有组织废气</w:t>
            </w:r>
          </w:p>
        </w:tc>
        <w:tc>
          <w:tcPr>
            <w:tcW w:w="1366" w:type="pct"/>
            <w:vAlign w:val="center"/>
          </w:tcPr>
          <w:p w14:paraId="3784EBF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r>
              <w:rPr>
                <w:rFonts w:ascii="Times New Roman" w:eastAsia="宋体" w:hAnsi="Times New Roman" w:cs="Times New Roman"/>
                <w:kern w:val="0"/>
                <w:szCs w:val="21"/>
              </w:rPr>
              <w:t>除尘器进口</w:t>
            </w:r>
            <w:r>
              <w:rPr>
                <w:rFonts w:ascii="Times New Roman" w:eastAsia="宋体" w:hAnsi="Times New Roman" w:cs="Times New Roman"/>
                <w:kern w:val="0"/>
                <w:szCs w:val="21"/>
              </w:rPr>
              <w:t>Q1</w:t>
            </w:r>
            <w:r>
              <w:rPr>
                <w:rFonts w:ascii="Times New Roman" w:eastAsia="宋体" w:hAnsi="Times New Roman" w:cs="Times New Roman"/>
                <w:kern w:val="0"/>
                <w:szCs w:val="21"/>
              </w:rPr>
              <w:t>、出口</w:t>
            </w:r>
            <w:r>
              <w:rPr>
                <w:rFonts w:ascii="Times New Roman" w:eastAsia="宋体" w:hAnsi="Times New Roman" w:cs="Times New Roman"/>
                <w:kern w:val="0"/>
                <w:szCs w:val="21"/>
              </w:rPr>
              <w:t>Q2</w:t>
            </w:r>
          </w:p>
        </w:tc>
        <w:tc>
          <w:tcPr>
            <w:tcW w:w="1493" w:type="pct"/>
            <w:vMerge w:val="restart"/>
            <w:vAlign w:val="center"/>
          </w:tcPr>
          <w:p w14:paraId="015E618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颗粒物</w:t>
            </w:r>
          </w:p>
        </w:tc>
      </w:tr>
      <w:tr w:rsidR="002133E3" w14:paraId="77601FFE" w14:textId="77777777">
        <w:trPr>
          <w:jc w:val="center"/>
        </w:trPr>
        <w:tc>
          <w:tcPr>
            <w:tcW w:w="284" w:type="pct"/>
            <w:vMerge/>
            <w:vAlign w:val="center"/>
          </w:tcPr>
          <w:p w14:paraId="10243601"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58387EC5"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0A6428D1"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3F7EA29B"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7830F57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r>
              <w:rPr>
                <w:rFonts w:ascii="Times New Roman" w:eastAsia="宋体" w:hAnsi="Times New Roman" w:cs="Times New Roman"/>
                <w:kern w:val="0"/>
                <w:szCs w:val="21"/>
              </w:rPr>
              <w:t>除尘器进口</w:t>
            </w:r>
            <w:r>
              <w:rPr>
                <w:rFonts w:ascii="Times New Roman" w:eastAsia="宋体" w:hAnsi="Times New Roman" w:cs="Times New Roman"/>
                <w:kern w:val="0"/>
                <w:szCs w:val="21"/>
              </w:rPr>
              <w:t>Q3</w:t>
            </w:r>
            <w:r>
              <w:rPr>
                <w:rFonts w:ascii="Times New Roman" w:eastAsia="宋体" w:hAnsi="Times New Roman" w:cs="Times New Roman"/>
                <w:kern w:val="0"/>
                <w:szCs w:val="21"/>
              </w:rPr>
              <w:t>、出口</w:t>
            </w:r>
            <w:r>
              <w:rPr>
                <w:rFonts w:ascii="Times New Roman" w:eastAsia="宋体" w:hAnsi="Times New Roman" w:cs="Times New Roman"/>
                <w:kern w:val="0"/>
                <w:szCs w:val="21"/>
              </w:rPr>
              <w:t>Q4</w:t>
            </w:r>
          </w:p>
        </w:tc>
        <w:tc>
          <w:tcPr>
            <w:tcW w:w="1493" w:type="pct"/>
            <w:vMerge/>
            <w:vAlign w:val="center"/>
          </w:tcPr>
          <w:p w14:paraId="0946ACCE" w14:textId="77777777" w:rsidR="002133E3" w:rsidRDefault="002133E3">
            <w:pPr>
              <w:snapToGrid w:val="0"/>
              <w:jc w:val="center"/>
              <w:rPr>
                <w:rFonts w:ascii="Times New Roman" w:eastAsia="宋体" w:hAnsi="Times New Roman" w:cs="Times New Roman"/>
                <w:kern w:val="0"/>
                <w:szCs w:val="21"/>
              </w:rPr>
            </w:pPr>
          </w:p>
        </w:tc>
      </w:tr>
      <w:tr w:rsidR="002133E3" w14:paraId="047BF9A3" w14:textId="77777777">
        <w:trPr>
          <w:jc w:val="center"/>
        </w:trPr>
        <w:tc>
          <w:tcPr>
            <w:tcW w:w="284" w:type="pct"/>
            <w:vMerge/>
            <w:vAlign w:val="center"/>
          </w:tcPr>
          <w:p w14:paraId="3DB84637"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616A7808"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4C8BB2C2"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26558CE0"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3B0A436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除尘器进口</w:t>
            </w:r>
            <w:r>
              <w:rPr>
                <w:rFonts w:ascii="Times New Roman" w:eastAsia="宋体" w:hAnsi="Times New Roman" w:cs="Times New Roman"/>
                <w:kern w:val="0"/>
                <w:szCs w:val="21"/>
              </w:rPr>
              <w:t>Q5</w:t>
            </w:r>
            <w:r>
              <w:rPr>
                <w:rFonts w:ascii="Times New Roman" w:eastAsia="宋体" w:hAnsi="Times New Roman" w:cs="Times New Roman"/>
                <w:kern w:val="0"/>
                <w:szCs w:val="21"/>
              </w:rPr>
              <w:t>、出口</w:t>
            </w:r>
            <w:r>
              <w:rPr>
                <w:rFonts w:ascii="Times New Roman" w:eastAsia="宋体" w:hAnsi="Times New Roman" w:cs="Times New Roman"/>
                <w:kern w:val="0"/>
                <w:szCs w:val="21"/>
              </w:rPr>
              <w:t>Q6</w:t>
            </w:r>
          </w:p>
        </w:tc>
        <w:tc>
          <w:tcPr>
            <w:tcW w:w="1493" w:type="pct"/>
            <w:vMerge/>
            <w:vAlign w:val="center"/>
          </w:tcPr>
          <w:p w14:paraId="13C84140" w14:textId="77777777" w:rsidR="002133E3" w:rsidRDefault="002133E3">
            <w:pPr>
              <w:snapToGrid w:val="0"/>
              <w:jc w:val="center"/>
              <w:rPr>
                <w:rFonts w:ascii="Times New Roman" w:eastAsia="宋体" w:hAnsi="Times New Roman" w:cs="Times New Roman"/>
                <w:kern w:val="0"/>
                <w:szCs w:val="21"/>
              </w:rPr>
            </w:pPr>
          </w:p>
        </w:tc>
      </w:tr>
      <w:tr w:rsidR="002133E3" w14:paraId="2F3F0649" w14:textId="77777777">
        <w:trPr>
          <w:jc w:val="center"/>
        </w:trPr>
        <w:tc>
          <w:tcPr>
            <w:tcW w:w="284" w:type="pct"/>
            <w:vMerge/>
            <w:vAlign w:val="center"/>
          </w:tcPr>
          <w:p w14:paraId="23249D56"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4EB4ABC8"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042EF2B3"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182164BE"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54228AD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有机废气水洗塔出口</w:t>
            </w:r>
            <w:r>
              <w:rPr>
                <w:rFonts w:ascii="Times New Roman" w:eastAsia="宋体" w:hAnsi="Times New Roman" w:cs="Times New Roman"/>
                <w:kern w:val="0"/>
                <w:szCs w:val="21"/>
              </w:rPr>
              <w:t>Q8</w:t>
            </w:r>
          </w:p>
        </w:tc>
        <w:tc>
          <w:tcPr>
            <w:tcW w:w="1493" w:type="pct"/>
            <w:vAlign w:val="center"/>
          </w:tcPr>
          <w:p w14:paraId="4C352E5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r>
      <w:tr w:rsidR="002133E3" w14:paraId="6785B6AC" w14:textId="77777777">
        <w:trPr>
          <w:jc w:val="center"/>
        </w:trPr>
        <w:tc>
          <w:tcPr>
            <w:tcW w:w="284" w:type="pct"/>
            <w:vMerge/>
            <w:vAlign w:val="center"/>
          </w:tcPr>
          <w:p w14:paraId="1FE0FA16"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14E6D01F"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75CAFC97"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07492A10"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1CDF6F5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沼气锅炉出口</w:t>
            </w:r>
            <w:r>
              <w:rPr>
                <w:rFonts w:ascii="Times New Roman" w:eastAsia="宋体" w:hAnsi="Times New Roman" w:cs="Times New Roman"/>
                <w:kern w:val="0"/>
                <w:szCs w:val="21"/>
              </w:rPr>
              <w:t>Q9</w:t>
            </w:r>
          </w:p>
        </w:tc>
        <w:tc>
          <w:tcPr>
            <w:tcW w:w="1493" w:type="pct"/>
            <w:vAlign w:val="center"/>
          </w:tcPr>
          <w:p w14:paraId="42C054E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w:t>
            </w:r>
            <w:r>
              <w:rPr>
                <w:rFonts w:ascii="Times New Roman" w:eastAsia="宋体" w:hAnsi="Times New Roman" w:cs="Times New Roman"/>
                <w:kern w:val="0"/>
                <w:szCs w:val="21"/>
              </w:rPr>
              <w:t>NO</w:t>
            </w:r>
            <w:r>
              <w:rPr>
                <w:rFonts w:ascii="Times New Roman" w:eastAsia="宋体" w:hAnsi="Times New Roman" w:cs="Times New Roman"/>
                <w:kern w:val="0"/>
                <w:szCs w:val="21"/>
                <w:vertAlign w:val="subscript"/>
              </w:rPr>
              <w:t>X</w:t>
            </w:r>
            <w:r>
              <w:rPr>
                <w:rFonts w:ascii="Times New Roman" w:eastAsia="宋体" w:hAnsi="Times New Roman" w:cs="Times New Roman"/>
                <w:kern w:val="0"/>
                <w:szCs w:val="21"/>
              </w:rPr>
              <w:t>、烟尘</w:t>
            </w:r>
          </w:p>
        </w:tc>
      </w:tr>
      <w:tr w:rsidR="002133E3" w14:paraId="53C287A0" w14:textId="77777777">
        <w:trPr>
          <w:jc w:val="center"/>
        </w:trPr>
        <w:tc>
          <w:tcPr>
            <w:tcW w:w="284" w:type="pct"/>
            <w:vMerge/>
            <w:vAlign w:val="center"/>
          </w:tcPr>
          <w:p w14:paraId="0FBDCA64"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7F0A1300"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4087DB70" w14:textId="77777777" w:rsidR="002133E3" w:rsidRDefault="002133E3">
            <w:pPr>
              <w:snapToGrid w:val="0"/>
              <w:jc w:val="center"/>
              <w:rPr>
                <w:rFonts w:ascii="Times New Roman" w:eastAsia="宋体" w:hAnsi="Times New Roman" w:cs="Times New Roman"/>
                <w:kern w:val="0"/>
                <w:szCs w:val="21"/>
              </w:rPr>
            </w:pPr>
          </w:p>
        </w:tc>
        <w:tc>
          <w:tcPr>
            <w:tcW w:w="648" w:type="pct"/>
            <w:vAlign w:val="center"/>
          </w:tcPr>
          <w:p w14:paraId="36FA3C0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声</w:t>
            </w:r>
          </w:p>
        </w:tc>
        <w:tc>
          <w:tcPr>
            <w:tcW w:w="1366" w:type="pct"/>
            <w:vAlign w:val="center"/>
          </w:tcPr>
          <w:p w14:paraId="38DD479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厂界噪声</w:t>
            </w:r>
          </w:p>
        </w:tc>
        <w:tc>
          <w:tcPr>
            <w:tcW w:w="1493" w:type="pct"/>
            <w:vAlign w:val="center"/>
          </w:tcPr>
          <w:p w14:paraId="1C11039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等效</w:t>
            </w:r>
            <w:r>
              <w:rPr>
                <w:rFonts w:ascii="Times New Roman" w:eastAsia="宋体" w:hAnsi="Times New Roman" w:cs="Times New Roman"/>
                <w:kern w:val="0"/>
                <w:szCs w:val="21"/>
              </w:rPr>
              <w:t>A</w:t>
            </w:r>
            <w:r>
              <w:rPr>
                <w:rFonts w:ascii="Times New Roman" w:eastAsia="宋体" w:hAnsi="Times New Roman" w:cs="Times New Roman"/>
                <w:kern w:val="0"/>
                <w:szCs w:val="21"/>
              </w:rPr>
              <w:t>声级</w:t>
            </w:r>
          </w:p>
        </w:tc>
      </w:tr>
      <w:tr w:rsidR="002133E3" w14:paraId="3F81789B" w14:textId="77777777">
        <w:trPr>
          <w:jc w:val="center"/>
        </w:trPr>
        <w:tc>
          <w:tcPr>
            <w:tcW w:w="284" w:type="pct"/>
            <w:vMerge w:val="restart"/>
            <w:vAlign w:val="center"/>
          </w:tcPr>
          <w:p w14:paraId="68D9D69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850" w:type="pct"/>
            <w:vMerge w:val="restart"/>
            <w:vAlign w:val="center"/>
          </w:tcPr>
          <w:p w14:paraId="080989E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第二阶段：年产</w:t>
            </w:r>
            <w:r>
              <w:rPr>
                <w:rFonts w:ascii="Times New Roman" w:eastAsia="宋体" w:hAnsi="Times New Roman" w:cs="Times New Roman"/>
                <w:kern w:val="0"/>
                <w:szCs w:val="21"/>
              </w:rPr>
              <w:t>10</w:t>
            </w:r>
            <w:r>
              <w:rPr>
                <w:rFonts w:ascii="Times New Roman" w:eastAsia="宋体" w:hAnsi="Times New Roman" w:cs="Times New Roman"/>
                <w:kern w:val="0"/>
                <w:szCs w:val="21"/>
              </w:rPr>
              <w:t>万吨乙醛生产线</w:t>
            </w:r>
          </w:p>
        </w:tc>
        <w:tc>
          <w:tcPr>
            <w:tcW w:w="359" w:type="pct"/>
            <w:vMerge w:val="restart"/>
            <w:vAlign w:val="center"/>
          </w:tcPr>
          <w:p w14:paraId="70FBA40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2014</w:t>
            </w:r>
            <w:r>
              <w:rPr>
                <w:rFonts w:ascii="Times New Roman" w:eastAsia="宋体" w:hAnsi="Times New Roman" w:cs="Times New Roman"/>
                <w:kern w:val="0"/>
                <w:szCs w:val="21"/>
              </w:rPr>
              <w:t>年</w:t>
            </w:r>
            <w:r>
              <w:rPr>
                <w:rFonts w:ascii="Times New Roman" w:eastAsia="宋体" w:hAnsi="Times New Roman" w:cs="Times New Roman"/>
                <w:kern w:val="0"/>
                <w:szCs w:val="21"/>
              </w:rPr>
              <w:t>12</w:t>
            </w:r>
            <w:r>
              <w:rPr>
                <w:rFonts w:ascii="Times New Roman" w:eastAsia="宋体" w:hAnsi="Times New Roman" w:cs="Times New Roman"/>
                <w:kern w:val="0"/>
                <w:szCs w:val="21"/>
              </w:rPr>
              <w:t>月</w:t>
            </w:r>
          </w:p>
        </w:tc>
        <w:tc>
          <w:tcPr>
            <w:tcW w:w="648" w:type="pct"/>
            <w:vMerge w:val="restart"/>
            <w:vAlign w:val="center"/>
          </w:tcPr>
          <w:p w14:paraId="00D177B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废水</w:t>
            </w:r>
          </w:p>
        </w:tc>
        <w:tc>
          <w:tcPr>
            <w:tcW w:w="1366" w:type="pct"/>
            <w:vAlign w:val="center"/>
          </w:tcPr>
          <w:p w14:paraId="7EEA7E0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污水处理设施进口（</w:t>
            </w:r>
            <w:r>
              <w:rPr>
                <w:rFonts w:ascii="Times New Roman" w:eastAsia="宋体" w:hAnsi="Times New Roman" w:cs="Times New Roman"/>
                <w:kern w:val="0"/>
                <w:szCs w:val="21"/>
              </w:rPr>
              <w:t>S1</w:t>
            </w:r>
            <w:r>
              <w:rPr>
                <w:rFonts w:ascii="Times New Roman" w:eastAsia="宋体" w:hAnsi="Times New Roman" w:cs="Times New Roman"/>
                <w:kern w:val="0"/>
                <w:szCs w:val="21"/>
              </w:rPr>
              <w:t>）</w:t>
            </w:r>
          </w:p>
        </w:tc>
        <w:tc>
          <w:tcPr>
            <w:tcW w:w="1493" w:type="pct"/>
            <w:vMerge w:val="restart"/>
            <w:vAlign w:val="center"/>
          </w:tcPr>
          <w:p w14:paraId="04F17E2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，氨氮，化学需氧量，五日生化需氧量，悬浮物，总磷</w:t>
            </w:r>
          </w:p>
        </w:tc>
      </w:tr>
      <w:tr w:rsidR="002133E3" w14:paraId="2F1ACAB3" w14:textId="77777777">
        <w:trPr>
          <w:jc w:val="center"/>
        </w:trPr>
        <w:tc>
          <w:tcPr>
            <w:tcW w:w="284" w:type="pct"/>
            <w:vMerge/>
            <w:vAlign w:val="center"/>
          </w:tcPr>
          <w:p w14:paraId="64FCB55D"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4DC68F92"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557EA543"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7696D148"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12E79E1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废水接管口（</w:t>
            </w:r>
            <w:r>
              <w:rPr>
                <w:rFonts w:ascii="Times New Roman" w:eastAsia="宋体" w:hAnsi="Times New Roman" w:cs="Times New Roman"/>
                <w:kern w:val="0"/>
                <w:szCs w:val="21"/>
              </w:rPr>
              <w:t>S2</w:t>
            </w:r>
            <w:r>
              <w:rPr>
                <w:rFonts w:ascii="Times New Roman" w:eastAsia="宋体" w:hAnsi="Times New Roman" w:cs="Times New Roman"/>
                <w:kern w:val="0"/>
                <w:szCs w:val="21"/>
              </w:rPr>
              <w:t>）</w:t>
            </w:r>
          </w:p>
        </w:tc>
        <w:tc>
          <w:tcPr>
            <w:tcW w:w="1493" w:type="pct"/>
            <w:vMerge/>
            <w:vAlign w:val="center"/>
          </w:tcPr>
          <w:p w14:paraId="5AA961D3" w14:textId="77777777" w:rsidR="002133E3" w:rsidRDefault="002133E3">
            <w:pPr>
              <w:snapToGrid w:val="0"/>
              <w:jc w:val="center"/>
              <w:rPr>
                <w:rFonts w:ascii="Times New Roman" w:eastAsia="宋体" w:hAnsi="Times New Roman" w:cs="Times New Roman"/>
                <w:kern w:val="0"/>
                <w:szCs w:val="21"/>
              </w:rPr>
            </w:pPr>
          </w:p>
        </w:tc>
      </w:tr>
      <w:tr w:rsidR="002133E3" w14:paraId="5C771BFB" w14:textId="77777777">
        <w:trPr>
          <w:jc w:val="center"/>
        </w:trPr>
        <w:tc>
          <w:tcPr>
            <w:tcW w:w="284" w:type="pct"/>
            <w:vMerge/>
            <w:vAlign w:val="center"/>
          </w:tcPr>
          <w:p w14:paraId="31DEEFD9"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50A421DC"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43B3E072"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66B641FD"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790E792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污水处理厂进口（</w:t>
            </w:r>
            <w:r>
              <w:rPr>
                <w:rFonts w:ascii="Times New Roman" w:eastAsia="宋体" w:hAnsi="Times New Roman" w:cs="Times New Roman"/>
                <w:kern w:val="0"/>
                <w:szCs w:val="21"/>
              </w:rPr>
              <w:t>S3</w:t>
            </w:r>
            <w:r>
              <w:rPr>
                <w:rFonts w:ascii="Times New Roman" w:eastAsia="宋体" w:hAnsi="Times New Roman" w:cs="Times New Roman"/>
                <w:kern w:val="0"/>
                <w:szCs w:val="21"/>
              </w:rPr>
              <w:t>）</w:t>
            </w:r>
          </w:p>
        </w:tc>
        <w:tc>
          <w:tcPr>
            <w:tcW w:w="1493" w:type="pct"/>
            <w:vMerge w:val="restart"/>
            <w:vAlign w:val="center"/>
          </w:tcPr>
          <w:p w14:paraId="3B4B8D4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，化学需氧量，悬浮物，氨氮，总磷，总氮</w:t>
            </w:r>
          </w:p>
        </w:tc>
      </w:tr>
      <w:tr w:rsidR="002133E3" w14:paraId="75BBF57B" w14:textId="77777777">
        <w:trPr>
          <w:jc w:val="center"/>
        </w:trPr>
        <w:tc>
          <w:tcPr>
            <w:tcW w:w="284" w:type="pct"/>
            <w:vMerge/>
            <w:vAlign w:val="center"/>
          </w:tcPr>
          <w:p w14:paraId="60794173"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26D0CDBE"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3371BA41"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2D032D5A"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6DEF921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污水处理厂出口（</w:t>
            </w:r>
            <w:r>
              <w:rPr>
                <w:rFonts w:ascii="Times New Roman" w:eastAsia="宋体" w:hAnsi="Times New Roman" w:cs="Times New Roman"/>
                <w:kern w:val="0"/>
                <w:szCs w:val="21"/>
              </w:rPr>
              <w:t>S4</w:t>
            </w:r>
            <w:r>
              <w:rPr>
                <w:rFonts w:ascii="Times New Roman" w:eastAsia="宋体" w:hAnsi="Times New Roman" w:cs="Times New Roman"/>
                <w:kern w:val="0"/>
                <w:szCs w:val="21"/>
              </w:rPr>
              <w:t>）</w:t>
            </w:r>
          </w:p>
        </w:tc>
        <w:tc>
          <w:tcPr>
            <w:tcW w:w="1493" w:type="pct"/>
            <w:vMerge/>
            <w:vAlign w:val="center"/>
          </w:tcPr>
          <w:p w14:paraId="1AC43F45" w14:textId="77777777" w:rsidR="002133E3" w:rsidRDefault="002133E3">
            <w:pPr>
              <w:snapToGrid w:val="0"/>
              <w:jc w:val="center"/>
              <w:rPr>
                <w:rFonts w:ascii="Times New Roman" w:eastAsia="宋体" w:hAnsi="Times New Roman" w:cs="Times New Roman"/>
                <w:kern w:val="0"/>
                <w:szCs w:val="21"/>
              </w:rPr>
            </w:pPr>
          </w:p>
        </w:tc>
      </w:tr>
      <w:tr w:rsidR="002133E3" w14:paraId="1DA628A9" w14:textId="77777777">
        <w:trPr>
          <w:jc w:val="center"/>
        </w:trPr>
        <w:tc>
          <w:tcPr>
            <w:tcW w:w="284" w:type="pct"/>
            <w:vMerge/>
            <w:vAlign w:val="center"/>
          </w:tcPr>
          <w:p w14:paraId="46C57176"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1F9E866C"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1F97ACCF"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18CD574B"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189AA6C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清下水排口（</w:t>
            </w:r>
            <w:r>
              <w:rPr>
                <w:rFonts w:ascii="Times New Roman" w:eastAsia="宋体" w:hAnsi="Times New Roman" w:cs="Times New Roman"/>
                <w:kern w:val="0"/>
                <w:szCs w:val="21"/>
              </w:rPr>
              <w:t>S5</w:t>
            </w:r>
            <w:r>
              <w:rPr>
                <w:rFonts w:ascii="Times New Roman" w:eastAsia="宋体" w:hAnsi="Times New Roman" w:cs="Times New Roman"/>
                <w:kern w:val="0"/>
                <w:szCs w:val="21"/>
              </w:rPr>
              <w:t>）</w:t>
            </w:r>
          </w:p>
        </w:tc>
        <w:tc>
          <w:tcPr>
            <w:tcW w:w="1493" w:type="pct"/>
            <w:vAlign w:val="center"/>
          </w:tcPr>
          <w:p w14:paraId="7FFCBB3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，化学需氧量，悬浮物</w:t>
            </w:r>
          </w:p>
        </w:tc>
      </w:tr>
      <w:tr w:rsidR="002133E3" w14:paraId="785A3E16" w14:textId="77777777">
        <w:trPr>
          <w:jc w:val="center"/>
        </w:trPr>
        <w:tc>
          <w:tcPr>
            <w:tcW w:w="284" w:type="pct"/>
            <w:vMerge/>
            <w:vAlign w:val="center"/>
          </w:tcPr>
          <w:p w14:paraId="0A729791" w14:textId="77777777" w:rsidR="002133E3" w:rsidRDefault="002133E3">
            <w:pPr>
              <w:snapToGrid w:val="0"/>
              <w:jc w:val="center"/>
              <w:rPr>
                <w:rFonts w:ascii="Times New Roman" w:eastAsia="宋体" w:hAnsi="Times New Roman" w:cs="Times New Roman"/>
                <w:kern w:val="0"/>
                <w:szCs w:val="21"/>
              </w:rPr>
            </w:pPr>
          </w:p>
        </w:tc>
        <w:tc>
          <w:tcPr>
            <w:tcW w:w="850" w:type="pct"/>
            <w:vMerge/>
            <w:vAlign w:val="center"/>
          </w:tcPr>
          <w:p w14:paraId="692D43AE" w14:textId="77777777" w:rsidR="002133E3" w:rsidRDefault="002133E3">
            <w:pPr>
              <w:snapToGrid w:val="0"/>
              <w:jc w:val="center"/>
              <w:rPr>
                <w:rFonts w:ascii="Times New Roman" w:eastAsia="宋体" w:hAnsi="Times New Roman" w:cs="Times New Roman"/>
                <w:kern w:val="0"/>
                <w:szCs w:val="21"/>
              </w:rPr>
            </w:pPr>
          </w:p>
        </w:tc>
        <w:tc>
          <w:tcPr>
            <w:tcW w:w="359" w:type="pct"/>
            <w:vMerge/>
            <w:vAlign w:val="center"/>
          </w:tcPr>
          <w:p w14:paraId="088A5849" w14:textId="77777777" w:rsidR="002133E3" w:rsidRDefault="002133E3">
            <w:pPr>
              <w:snapToGrid w:val="0"/>
              <w:jc w:val="center"/>
              <w:rPr>
                <w:rFonts w:ascii="Times New Roman" w:eastAsia="宋体" w:hAnsi="Times New Roman" w:cs="Times New Roman"/>
                <w:kern w:val="0"/>
                <w:szCs w:val="21"/>
              </w:rPr>
            </w:pPr>
          </w:p>
        </w:tc>
        <w:tc>
          <w:tcPr>
            <w:tcW w:w="648" w:type="pct"/>
            <w:vAlign w:val="center"/>
          </w:tcPr>
          <w:p w14:paraId="3E69957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有组织废气</w:t>
            </w:r>
          </w:p>
        </w:tc>
        <w:tc>
          <w:tcPr>
            <w:tcW w:w="1366" w:type="pct"/>
            <w:vAlign w:val="center"/>
          </w:tcPr>
          <w:p w14:paraId="7398428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有机废气处理设施出口</w:t>
            </w:r>
            <w:r>
              <w:rPr>
                <w:rFonts w:ascii="Times New Roman" w:eastAsia="宋体" w:hAnsi="Times New Roman" w:cs="Times New Roman"/>
                <w:kern w:val="0"/>
                <w:szCs w:val="21"/>
              </w:rPr>
              <w:t>Q1</w:t>
            </w:r>
          </w:p>
        </w:tc>
        <w:tc>
          <w:tcPr>
            <w:tcW w:w="1493" w:type="pct"/>
            <w:vAlign w:val="center"/>
          </w:tcPr>
          <w:p w14:paraId="333E4E9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乙醇，乙醛</w:t>
            </w:r>
          </w:p>
        </w:tc>
      </w:tr>
      <w:tr w:rsidR="002133E3" w14:paraId="71E7F38C" w14:textId="77777777">
        <w:trPr>
          <w:jc w:val="center"/>
        </w:trPr>
        <w:tc>
          <w:tcPr>
            <w:tcW w:w="284" w:type="pct"/>
            <w:vMerge/>
            <w:vAlign w:val="center"/>
          </w:tcPr>
          <w:p w14:paraId="390CD185"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3BCEBB26"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04EE86DC" w14:textId="77777777" w:rsidR="002133E3" w:rsidRDefault="002133E3">
            <w:pPr>
              <w:snapToGrid w:val="0"/>
              <w:jc w:val="center"/>
              <w:rPr>
                <w:rFonts w:ascii="Times New Roman" w:eastAsia="宋体" w:hAnsi="Times New Roman" w:cs="Times New Roman"/>
                <w:kern w:val="0"/>
                <w:szCs w:val="21"/>
              </w:rPr>
            </w:pPr>
          </w:p>
        </w:tc>
        <w:tc>
          <w:tcPr>
            <w:tcW w:w="648" w:type="pct"/>
            <w:vMerge w:val="restart"/>
            <w:vAlign w:val="center"/>
          </w:tcPr>
          <w:p w14:paraId="4DB8688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无组织废气</w:t>
            </w:r>
          </w:p>
        </w:tc>
        <w:tc>
          <w:tcPr>
            <w:tcW w:w="1366" w:type="pct"/>
            <w:vAlign w:val="center"/>
          </w:tcPr>
          <w:p w14:paraId="368F159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厂界上风向（</w:t>
            </w:r>
            <w:r>
              <w:rPr>
                <w:rFonts w:ascii="Times New Roman" w:eastAsia="宋体" w:hAnsi="Times New Roman" w:cs="Times New Roman"/>
                <w:kern w:val="0"/>
                <w:szCs w:val="21"/>
              </w:rPr>
              <w:t>Q2</w:t>
            </w:r>
            <w:r>
              <w:rPr>
                <w:rFonts w:ascii="Times New Roman" w:eastAsia="宋体" w:hAnsi="Times New Roman" w:cs="Times New Roman"/>
                <w:kern w:val="0"/>
                <w:szCs w:val="21"/>
              </w:rPr>
              <w:t>）</w:t>
            </w:r>
          </w:p>
        </w:tc>
        <w:tc>
          <w:tcPr>
            <w:tcW w:w="1493" w:type="pct"/>
            <w:vMerge w:val="restart"/>
            <w:vAlign w:val="center"/>
          </w:tcPr>
          <w:p w14:paraId="2A3C99E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颗粒物，乙醇，乙醛，醋酸乙酯，醋酸，硫化氢，臭气浓度</w:t>
            </w:r>
          </w:p>
        </w:tc>
      </w:tr>
      <w:tr w:rsidR="002133E3" w14:paraId="6F9645D1" w14:textId="77777777">
        <w:trPr>
          <w:jc w:val="center"/>
        </w:trPr>
        <w:tc>
          <w:tcPr>
            <w:tcW w:w="284" w:type="pct"/>
            <w:vMerge/>
            <w:vAlign w:val="center"/>
          </w:tcPr>
          <w:p w14:paraId="6A774582"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7CB26B9B"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63D72247"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4F4AD921"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0578B0F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厂界下风向（</w:t>
            </w:r>
            <w:r>
              <w:rPr>
                <w:rFonts w:ascii="Times New Roman" w:eastAsia="宋体" w:hAnsi="Times New Roman" w:cs="Times New Roman"/>
                <w:kern w:val="0"/>
                <w:szCs w:val="21"/>
              </w:rPr>
              <w:t>Q3~Q5</w:t>
            </w:r>
            <w:r>
              <w:rPr>
                <w:rFonts w:ascii="Times New Roman" w:eastAsia="宋体" w:hAnsi="Times New Roman" w:cs="Times New Roman"/>
                <w:kern w:val="0"/>
                <w:szCs w:val="21"/>
              </w:rPr>
              <w:t>）</w:t>
            </w:r>
          </w:p>
        </w:tc>
        <w:tc>
          <w:tcPr>
            <w:tcW w:w="1493" w:type="pct"/>
            <w:vMerge/>
            <w:vAlign w:val="center"/>
          </w:tcPr>
          <w:p w14:paraId="0228BAE3" w14:textId="77777777" w:rsidR="002133E3" w:rsidRDefault="002133E3">
            <w:pPr>
              <w:snapToGrid w:val="0"/>
              <w:jc w:val="center"/>
              <w:rPr>
                <w:rFonts w:ascii="Times New Roman" w:eastAsia="宋体" w:hAnsi="Times New Roman" w:cs="Times New Roman"/>
                <w:kern w:val="0"/>
                <w:szCs w:val="21"/>
              </w:rPr>
            </w:pPr>
          </w:p>
        </w:tc>
      </w:tr>
      <w:tr w:rsidR="002133E3" w14:paraId="2C7A8A0D" w14:textId="77777777">
        <w:trPr>
          <w:jc w:val="center"/>
        </w:trPr>
        <w:tc>
          <w:tcPr>
            <w:tcW w:w="284" w:type="pct"/>
            <w:vMerge/>
            <w:vAlign w:val="center"/>
          </w:tcPr>
          <w:p w14:paraId="73015B56"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1619DF1E"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79913286" w14:textId="77777777" w:rsidR="002133E3" w:rsidRDefault="002133E3">
            <w:pPr>
              <w:snapToGrid w:val="0"/>
              <w:jc w:val="center"/>
              <w:rPr>
                <w:rFonts w:ascii="Times New Roman" w:eastAsia="宋体" w:hAnsi="Times New Roman" w:cs="Times New Roman"/>
                <w:kern w:val="0"/>
                <w:szCs w:val="21"/>
              </w:rPr>
            </w:pPr>
          </w:p>
        </w:tc>
        <w:tc>
          <w:tcPr>
            <w:tcW w:w="648" w:type="pct"/>
            <w:vAlign w:val="center"/>
          </w:tcPr>
          <w:p w14:paraId="524C3A7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声</w:t>
            </w:r>
          </w:p>
        </w:tc>
        <w:tc>
          <w:tcPr>
            <w:tcW w:w="1366" w:type="pct"/>
            <w:vAlign w:val="center"/>
          </w:tcPr>
          <w:p w14:paraId="516B9D6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厂界噪声</w:t>
            </w:r>
          </w:p>
        </w:tc>
        <w:tc>
          <w:tcPr>
            <w:tcW w:w="1493" w:type="pct"/>
            <w:vAlign w:val="center"/>
          </w:tcPr>
          <w:p w14:paraId="28825EC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等效</w:t>
            </w:r>
            <w:r>
              <w:rPr>
                <w:rFonts w:ascii="Times New Roman" w:eastAsia="宋体" w:hAnsi="Times New Roman" w:cs="Times New Roman"/>
                <w:kern w:val="0"/>
                <w:szCs w:val="21"/>
              </w:rPr>
              <w:t>A</w:t>
            </w:r>
            <w:r>
              <w:rPr>
                <w:rFonts w:ascii="Times New Roman" w:eastAsia="宋体" w:hAnsi="Times New Roman" w:cs="Times New Roman"/>
                <w:kern w:val="0"/>
                <w:szCs w:val="21"/>
              </w:rPr>
              <w:t>声级</w:t>
            </w:r>
          </w:p>
        </w:tc>
      </w:tr>
      <w:tr w:rsidR="002133E3" w14:paraId="62E6FF7B" w14:textId="77777777">
        <w:trPr>
          <w:jc w:val="center"/>
        </w:trPr>
        <w:tc>
          <w:tcPr>
            <w:tcW w:w="284" w:type="pct"/>
            <w:vMerge w:val="restart"/>
            <w:vAlign w:val="center"/>
          </w:tcPr>
          <w:p w14:paraId="740EF06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850" w:type="pct"/>
            <w:vMerge w:val="restart"/>
            <w:vAlign w:val="center"/>
          </w:tcPr>
          <w:p w14:paraId="7C2AB8B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年产</w:t>
            </w:r>
            <w:r>
              <w:rPr>
                <w:rFonts w:ascii="Times New Roman" w:eastAsia="宋体" w:hAnsi="Times New Roman" w:cs="Times New Roman"/>
                <w:kern w:val="0"/>
                <w:szCs w:val="21"/>
              </w:rPr>
              <w:t xml:space="preserve"> 6 </w:t>
            </w:r>
            <w:r>
              <w:rPr>
                <w:rFonts w:ascii="Times New Roman" w:eastAsia="宋体" w:hAnsi="Times New Roman" w:cs="Times New Roman"/>
                <w:kern w:val="0"/>
                <w:szCs w:val="21"/>
              </w:rPr>
              <w:t>万吨发酵法混合物技改项目</w:t>
            </w:r>
          </w:p>
        </w:tc>
        <w:tc>
          <w:tcPr>
            <w:tcW w:w="359" w:type="pct"/>
            <w:vMerge w:val="restart"/>
            <w:vAlign w:val="center"/>
          </w:tcPr>
          <w:p w14:paraId="0DFE834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2020</w:t>
            </w:r>
            <w:r>
              <w:rPr>
                <w:rFonts w:ascii="Times New Roman" w:eastAsia="宋体" w:hAnsi="Times New Roman" w:cs="Times New Roman"/>
                <w:kern w:val="0"/>
                <w:szCs w:val="21"/>
              </w:rPr>
              <w:t>年</w:t>
            </w:r>
            <w:r>
              <w:rPr>
                <w:rFonts w:ascii="Times New Roman" w:eastAsia="宋体" w:hAnsi="Times New Roman" w:cs="Times New Roman"/>
                <w:kern w:val="0"/>
                <w:szCs w:val="21"/>
              </w:rPr>
              <w:t>6</w:t>
            </w:r>
            <w:r>
              <w:rPr>
                <w:rFonts w:ascii="Times New Roman" w:eastAsia="宋体" w:hAnsi="Times New Roman" w:cs="Times New Roman"/>
                <w:kern w:val="0"/>
                <w:szCs w:val="21"/>
              </w:rPr>
              <w:t>月</w:t>
            </w:r>
          </w:p>
        </w:tc>
        <w:tc>
          <w:tcPr>
            <w:tcW w:w="648" w:type="pct"/>
            <w:vMerge w:val="restart"/>
            <w:vAlign w:val="center"/>
          </w:tcPr>
          <w:p w14:paraId="77FF196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废水</w:t>
            </w:r>
          </w:p>
        </w:tc>
        <w:tc>
          <w:tcPr>
            <w:tcW w:w="1366" w:type="pct"/>
            <w:vAlign w:val="center"/>
          </w:tcPr>
          <w:p w14:paraId="107F544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污水处理厂进口（</w:t>
            </w:r>
            <w:r>
              <w:rPr>
                <w:rFonts w:ascii="Times New Roman" w:eastAsia="宋体" w:hAnsi="Times New Roman" w:cs="Times New Roman"/>
                <w:kern w:val="0"/>
                <w:szCs w:val="21"/>
              </w:rPr>
              <w:t>S3</w:t>
            </w:r>
            <w:r>
              <w:rPr>
                <w:rFonts w:ascii="Times New Roman" w:eastAsia="宋体" w:hAnsi="Times New Roman" w:cs="Times New Roman"/>
                <w:kern w:val="0"/>
                <w:szCs w:val="21"/>
              </w:rPr>
              <w:t>）</w:t>
            </w:r>
          </w:p>
        </w:tc>
        <w:tc>
          <w:tcPr>
            <w:tcW w:w="1493" w:type="pct"/>
            <w:vMerge w:val="restart"/>
            <w:vAlign w:val="center"/>
          </w:tcPr>
          <w:p w14:paraId="7FCFD33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、悬浮物、化学需氧量、</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氨氮、总磷、</w:t>
            </w:r>
            <w:r>
              <w:rPr>
                <w:rFonts w:ascii="Times New Roman" w:eastAsia="宋体" w:hAnsi="Times New Roman" w:cs="Times New Roman"/>
                <w:kern w:val="0"/>
                <w:szCs w:val="21"/>
              </w:rPr>
              <w:t>BOD</w:t>
            </w:r>
            <w:r>
              <w:rPr>
                <w:rFonts w:ascii="Times New Roman" w:eastAsia="宋体" w:hAnsi="Times New Roman" w:cs="Times New Roman"/>
                <w:kern w:val="0"/>
                <w:szCs w:val="21"/>
                <w:vertAlign w:val="subscript"/>
              </w:rPr>
              <w:t>5</w:t>
            </w:r>
          </w:p>
        </w:tc>
      </w:tr>
      <w:tr w:rsidR="002133E3" w14:paraId="36C21395" w14:textId="77777777">
        <w:trPr>
          <w:jc w:val="center"/>
        </w:trPr>
        <w:tc>
          <w:tcPr>
            <w:tcW w:w="284" w:type="pct"/>
            <w:vMerge/>
            <w:vAlign w:val="center"/>
          </w:tcPr>
          <w:p w14:paraId="52E40080"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0FF42125"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23A83879"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078B3DFF"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03D6106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污水处理厂出口（</w:t>
            </w:r>
            <w:r>
              <w:rPr>
                <w:rFonts w:ascii="Times New Roman" w:eastAsia="宋体" w:hAnsi="Times New Roman" w:cs="Times New Roman"/>
                <w:kern w:val="0"/>
                <w:szCs w:val="21"/>
              </w:rPr>
              <w:t>S4</w:t>
            </w:r>
            <w:r>
              <w:rPr>
                <w:rFonts w:ascii="Times New Roman" w:eastAsia="宋体" w:hAnsi="Times New Roman" w:cs="Times New Roman"/>
                <w:kern w:val="0"/>
                <w:szCs w:val="21"/>
              </w:rPr>
              <w:t>）</w:t>
            </w:r>
          </w:p>
        </w:tc>
        <w:tc>
          <w:tcPr>
            <w:tcW w:w="1493" w:type="pct"/>
            <w:vMerge/>
            <w:vAlign w:val="center"/>
          </w:tcPr>
          <w:p w14:paraId="464095DD" w14:textId="77777777" w:rsidR="002133E3" w:rsidRDefault="002133E3">
            <w:pPr>
              <w:snapToGrid w:val="0"/>
              <w:jc w:val="center"/>
              <w:rPr>
                <w:rFonts w:ascii="Times New Roman" w:eastAsia="宋体" w:hAnsi="Times New Roman" w:cs="Times New Roman"/>
                <w:kern w:val="0"/>
                <w:szCs w:val="21"/>
              </w:rPr>
            </w:pPr>
          </w:p>
        </w:tc>
      </w:tr>
      <w:tr w:rsidR="002133E3" w14:paraId="3B1520B9" w14:textId="77777777">
        <w:trPr>
          <w:jc w:val="center"/>
        </w:trPr>
        <w:tc>
          <w:tcPr>
            <w:tcW w:w="284" w:type="pct"/>
            <w:vMerge/>
            <w:vAlign w:val="center"/>
          </w:tcPr>
          <w:p w14:paraId="4E75FBDE"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1F4C4B18"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4CE98A38"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36687085"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5FB160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清下水排口（</w:t>
            </w:r>
            <w:r>
              <w:rPr>
                <w:rFonts w:ascii="Times New Roman" w:eastAsia="宋体" w:hAnsi="Times New Roman" w:cs="Times New Roman"/>
                <w:kern w:val="0"/>
                <w:szCs w:val="21"/>
              </w:rPr>
              <w:t>S5</w:t>
            </w:r>
            <w:r>
              <w:rPr>
                <w:rFonts w:ascii="Times New Roman" w:eastAsia="宋体" w:hAnsi="Times New Roman" w:cs="Times New Roman"/>
                <w:kern w:val="0"/>
                <w:szCs w:val="21"/>
              </w:rPr>
              <w:t>）</w:t>
            </w:r>
          </w:p>
        </w:tc>
        <w:tc>
          <w:tcPr>
            <w:tcW w:w="1493" w:type="pct"/>
            <w:vAlign w:val="center"/>
          </w:tcPr>
          <w:p w14:paraId="32D1F0F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、悬浮物、化学需氧量</w:t>
            </w:r>
          </w:p>
        </w:tc>
      </w:tr>
      <w:tr w:rsidR="002133E3" w14:paraId="450D0662" w14:textId="77777777">
        <w:trPr>
          <w:jc w:val="center"/>
        </w:trPr>
        <w:tc>
          <w:tcPr>
            <w:tcW w:w="284" w:type="pct"/>
            <w:vMerge/>
            <w:vAlign w:val="center"/>
          </w:tcPr>
          <w:p w14:paraId="34952483"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58A67E1F"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06413E83" w14:textId="77777777" w:rsidR="002133E3" w:rsidRDefault="002133E3">
            <w:pPr>
              <w:snapToGrid w:val="0"/>
              <w:jc w:val="center"/>
              <w:rPr>
                <w:rFonts w:ascii="Times New Roman" w:eastAsia="宋体" w:hAnsi="Times New Roman" w:cs="Times New Roman"/>
                <w:kern w:val="0"/>
                <w:szCs w:val="21"/>
              </w:rPr>
            </w:pPr>
          </w:p>
        </w:tc>
        <w:tc>
          <w:tcPr>
            <w:tcW w:w="648" w:type="pct"/>
            <w:vMerge w:val="restart"/>
            <w:vAlign w:val="center"/>
          </w:tcPr>
          <w:p w14:paraId="1007D38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有组织废气</w:t>
            </w:r>
          </w:p>
        </w:tc>
        <w:tc>
          <w:tcPr>
            <w:tcW w:w="1366" w:type="pct"/>
            <w:vAlign w:val="center"/>
          </w:tcPr>
          <w:p w14:paraId="174999EA"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蒸煮工序</w:t>
            </w:r>
            <w:r>
              <w:rPr>
                <w:rFonts w:ascii="Times New Roman" w:eastAsia="宋体" w:hAnsi="Times New Roman" w:cs="Times New Roman"/>
                <w:kern w:val="0"/>
                <w:szCs w:val="21"/>
              </w:rPr>
              <w:t xml:space="preserve"> 1#</w:t>
            </w:r>
            <w:r>
              <w:rPr>
                <w:rFonts w:ascii="Times New Roman" w:eastAsia="宋体" w:hAnsi="Times New Roman" w:cs="Times New Roman"/>
                <w:kern w:val="0"/>
                <w:szCs w:val="21"/>
              </w:rPr>
              <w:t>除尘器排放</w:t>
            </w:r>
          </w:p>
          <w:p w14:paraId="7DA2534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进（</w:t>
            </w:r>
            <w:r>
              <w:rPr>
                <w:rFonts w:ascii="Times New Roman" w:eastAsia="宋体" w:hAnsi="Times New Roman" w:cs="Times New Roman"/>
                <w:kern w:val="0"/>
                <w:szCs w:val="21"/>
              </w:rPr>
              <w:t>FQ01</w:t>
            </w:r>
            <w:r>
              <w:rPr>
                <w:rFonts w:ascii="Times New Roman" w:eastAsia="宋体" w:hAnsi="Times New Roman" w:cs="Times New Roman"/>
                <w:kern w:val="0"/>
                <w:szCs w:val="21"/>
              </w:rPr>
              <w:t>）出</w:t>
            </w:r>
            <w:r>
              <w:rPr>
                <w:rFonts w:ascii="Times New Roman" w:eastAsia="宋体" w:hAnsi="Times New Roman" w:cs="Times New Roman"/>
                <w:kern w:val="0"/>
                <w:szCs w:val="21"/>
              </w:rPr>
              <w:t>(FQ02)</w:t>
            </w:r>
            <w:r>
              <w:rPr>
                <w:rFonts w:ascii="Times New Roman" w:eastAsia="宋体" w:hAnsi="Times New Roman" w:cs="Times New Roman"/>
                <w:kern w:val="0"/>
                <w:szCs w:val="21"/>
              </w:rPr>
              <w:t>口</w:t>
            </w:r>
          </w:p>
        </w:tc>
        <w:tc>
          <w:tcPr>
            <w:tcW w:w="1493" w:type="pct"/>
            <w:vAlign w:val="center"/>
          </w:tcPr>
          <w:p w14:paraId="57612674"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颗粒物</w:t>
            </w:r>
            <w:proofErr w:type="spellEnd"/>
          </w:p>
        </w:tc>
      </w:tr>
      <w:tr w:rsidR="002133E3" w14:paraId="2781BCFC" w14:textId="77777777">
        <w:trPr>
          <w:jc w:val="center"/>
        </w:trPr>
        <w:tc>
          <w:tcPr>
            <w:tcW w:w="284" w:type="pct"/>
            <w:vMerge/>
            <w:vAlign w:val="center"/>
          </w:tcPr>
          <w:p w14:paraId="1FBABA11"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5980D732"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3ECC7BC5"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45B50FE7"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4E2FFADE"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蒸煮工序</w:t>
            </w:r>
            <w:r>
              <w:rPr>
                <w:rFonts w:ascii="Times New Roman" w:eastAsia="宋体" w:hAnsi="Times New Roman" w:cs="Times New Roman"/>
                <w:kern w:val="0"/>
                <w:szCs w:val="21"/>
              </w:rPr>
              <w:t xml:space="preserve"> 2#</w:t>
            </w:r>
            <w:r>
              <w:rPr>
                <w:rFonts w:ascii="Times New Roman" w:eastAsia="宋体" w:hAnsi="Times New Roman" w:cs="Times New Roman"/>
                <w:kern w:val="0"/>
                <w:szCs w:val="21"/>
              </w:rPr>
              <w:t>除尘器排放</w:t>
            </w:r>
          </w:p>
          <w:p w14:paraId="21B7EA5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进</w:t>
            </w:r>
            <w:r>
              <w:rPr>
                <w:rFonts w:ascii="Times New Roman" w:eastAsia="宋体" w:hAnsi="Times New Roman" w:cs="Times New Roman"/>
                <w:kern w:val="0"/>
                <w:szCs w:val="21"/>
              </w:rPr>
              <w:t>(FQ03)</w:t>
            </w:r>
            <w:r>
              <w:rPr>
                <w:rFonts w:ascii="Times New Roman" w:eastAsia="宋体" w:hAnsi="Times New Roman" w:cs="Times New Roman"/>
                <w:kern w:val="0"/>
                <w:szCs w:val="21"/>
              </w:rPr>
              <w:t>出</w:t>
            </w:r>
            <w:r>
              <w:rPr>
                <w:rFonts w:ascii="Times New Roman" w:eastAsia="宋体" w:hAnsi="Times New Roman" w:cs="Times New Roman"/>
                <w:kern w:val="0"/>
                <w:szCs w:val="21"/>
              </w:rPr>
              <w:t>(FQ04)</w:t>
            </w:r>
            <w:r>
              <w:rPr>
                <w:rFonts w:ascii="Times New Roman" w:eastAsia="宋体" w:hAnsi="Times New Roman" w:cs="Times New Roman"/>
                <w:kern w:val="0"/>
                <w:szCs w:val="21"/>
              </w:rPr>
              <w:t>口</w:t>
            </w:r>
          </w:p>
        </w:tc>
        <w:tc>
          <w:tcPr>
            <w:tcW w:w="1493" w:type="pct"/>
            <w:vAlign w:val="center"/>
          </w:tcPr>
          <w:p w14:paraId="27A607B0"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颗粒物</w:t>
            </w:r>
            <w:proofErr w:type="spellEnd"/>
          </w:p>
        </w:tc>
      </w:tr>
      <w:tr w:rsidR="002133E3" w14:paraId="67707ABA" w14:textId="77777777">
        <w:trPr>
          <w:jc w:val="center"/>
        </w:trPr>
        <w:tc>
          <w:tcPr>
            <w:tcW w:w="284" w:type="pct"/>
            <w:vMerge/>
            <w:vAlign w:val="center"/>
          </w:tcPr>
          <w:p w14:paraId="373BE56A"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0FDCF37F"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2A75F667"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0A7A87CA"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19B816F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发酵废气进口</w:t>
            </w:r>
            <w:r>
              <w:rPr>
                <w:rFonts w:ascii="Times New Roman" w:eastAsia="宋体" w:hAnsi="Times New Roman" w:cs="Times New Roman"/>
                <w:kern w:val="0"/>
                <w:szCs w:val="21"/>
              </w:rPr>
              <w:t>(FQ05)</w:t>
            </w:r>
            <w:r>
              <w:rPr>
                <w:rFonts w:ascii="Times New Roman" w:eastAsia="宋体" w:hAnsi="Times New Roman" w:cs="Times New Roman"/>
                <w:kern w:val="0"/>
                <w:szCs w:val="21"/>
              </w:rPr>
              <w:t>和废气出口</w:t>
            </w:r>
            <w:r>
              <w:rPr>
                <w:rFonts w:ascii="Times New Roman" w:eastAsia="宋体" w:hAnsi="Times New Roman" w:cs="Times New Roman"/>
                <w:kern w:val="0"/>
                <w:szCs w:val="21"/>
              </w:rPr>
              <w:t>(FQ06)</w:t>
            </w:r>
          </w:p>
        </w:tc>
        <w:tc>
          <w:tcPr>
            <w:tcW w:w="1493" w:type="pct"/>
            <w:vAlign w:val="center"/>
          </w:tcPr>
          <w:p w14:paraId="4655DF9E"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丁醇、丙酮、乙醇、乙醛</w:t>
            </w:r>
            <w:proofErr w:type="spellEnd"/>
          </w:p>
        </w:tc>
      </w:tr>
      <w:tr w:rsidR="002133E3" w14:paraId="2F8C5CA3" w14:textId="77777777">
        <w:trPr>
          <w:jc w:val="center"/>
        </w:trPr>
        <w:tc>
          <w:tcPr>
            <w:tcW w:w="284" w:type="pct"/>
            <w:vMerge/>
            <w:vAlign w:val="center"/>
          </w:tcPr>
          <w:p w14:paraId="6121129A"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4CD38067"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68F1BCD1"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1CE5901E"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2DD6A1D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分离废气进口</w:t>
            </w:r>
            <w:r>
              <w:rPr>
                <w:rFonts w:ascii="Times New Roman" w:eastAsia="宋体" w:hAnsi="Times New Roman" w:cs="Times New Roman"/>
                <w:kern w:val="0"/>
                <w:szCs w:val="21"/>
              </w:rPr>
              <w:t>(FQ07)</w:t>
            </w:r>
            <w:r>
              <w:rPr>
                <w:rFonts w:ascii="Times New Roman" w:eastAsia="宋体" w:hAnsi="Times New Roman" w:cs="Times New Roman"/>
                <w:kern w:val="0"/>
                <w:szCs w:val="21"/>
              </w:rPr>
              <w:t>和废气出口</w:t>
            </w:r>
            <w:r>
              <w:rPr>
                <w:rFonts w:ascii="Times New Roman" w:eastAsia="宋体" w:hAnsi="Times New Roman" w:cs="Times New Roman"/>
                <w:kern w:val="0"/>
                <w:szCs w:val="21"/>
              </w:rPr>
              <w:t>(FQ8)</w:t>
            </w:r>
          </w:p>
        </w:tc>
        <w:tc>
          <w:tcPr>
            <w:tcW w:w="1493" w:type="pct"/>
            <w:vAlign w:val="center"/>
          </w:tcPr>
          <w:p w14:paraId="1E0BB83B"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丁醇、丙酮、乙醇、乙醛</w:t>
            </w:r>
            <w:proofErr w:type="spellEnd"/>
            <w:r>
              <w:rPr>
                <w:rFonts w:ascii="Times New Roman" w:eastAsia="宋体" w:hAnsi="Times New Roman" w:cs="Times New Roman"/>
                <w:kern w:val="0"/>
                <w:szCs w:val="21"/>
                <w:lang w:eastAsia="en-US"/>
              </w:rPr>
              <w:t>、</w:t>
            </w:r>
          </w:p>
          <w:p w14:paraId="42A7845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lang w:eastAsia="en-US"/>
              </w:rPr>
              <w:t>VOCS</w:t>
            </w:r>
          </w:p>
        </w:tc>
      </w:tr>
      <w:tr w:rsidR="002133E3" w14:paraId="209DEACB" w14:textId="77777777">
        <w:trPr>
          <w:jc w:val="center"/>
        </w:trPr>
        <w:tc>
          <w:tcPr>
            <w:tcW w:w="284" w:type="pct"/>
            <w:vMerge/>
            <w:vAlign w:val="center"/>
          </w:tcPr>
          <w:p w14:paraId="36CAB60D"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19B6EC96"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199F047F" w14:textId="77777777" w:rsidR="002133E3" w:rsidRDefault="002133E3">
            <w:pPr>
              <w:snapToGrid w:val="0"/>
              <w:jc w:val="center"/>
              <w:rPr>
                <w:rFonts w:ascii="Times New Roman" w:eastAsia="宋体" w:hAnsi="Times New Roman" w:cs="Times New Roman"/>
                <w:kern w:val="0"/>
                <w:szCs w:val="21"/>
              </w:rPr>
            </w:pPr>
          </w:p>
        </w:tc>
        <w:tc>
          <w:tcPr>
            <w:tcW w:w="648" w:type="pct"/>
            <w:vMerge/>
            <w:vAlign w:val="center"/>
          </w:tcPr>
          <w:p w14:paraId="047C32FD" w14:textId="77777777" w:rsidR="002133E3" w:rsidRDefault="002133E3">
            <w:pPr>
              <w:snapToGrid w:val="0"/>
              <w:jc w:val="center"/>
              <w:rPr>
                <w:rFonts w:ascii="Times New Roman" w:eastAsia="宋体" w:hAnsi="Times New Roman" w:cs="Times New Roman"/>
                <w:kern w:val="0"/>
                <w:szCs w:val="21"/>
              </w:rPr>
            </w:pPr>
          </w:p>
        </w:tc>
        <w:tc>
          <w:tcPr>
            <w:tcW w:w="1366" w:type="pct"/>
            <w:vAlign w:val="center"/>
          </w:tcPr>
          <w:p w14:paraId="2BBCC5E4" w14:textId="77777777" w:rsidR="002133E3" w:rsidRDefault="00C22CFA">
            <w:pPr>
              <w:spacing w:line="0" w:lineRule="atLeas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废气进</w:t>
            </w:r>
            <w:proofErr w:type="spellEnd"/>
            <w:r>
              <w:rPr>
                <w:rFonts w:ascii="Times New Roman" w:eastAsia="宋体" w:hAnsi="Times New Roman" w:cs="Times New Roman"/>
                <w:kern w:val="0"/>
                <w:szCs w:val="21"/>
                <w:lang w:eastAsia="en-US"/>
              </w:rPr>
              <w:t>(FQ</w:t>
            </w:r>
            <w:r>
              <w:rPr>
                <w:rFonts w:ascii="Times New Roman" w:eastAsia="宋体" w:hAnsi="Times New Roman" w:cs="Times New Roman"/>
                <w:kern w:val="0"/>
                <w:szCs w:val="21"/>
              </w:rPr>
              <w:t>9</w:t>
            </w:r>
            <w:r>
              <w:rPr>
                <w:rFonts w:ascii="Times New Roman" w:eastAsia="宋体" w:hAnsi="Times New Roman" w:cs="Times New Roman"/>
                <w:kern w:val="0"/>
                <w:szCs w:val="21"/>
                <w:lang w:eastAsia="en-US"/>
              </w:rPr>
              <w:t>)</w:t>
            </w:r>
            <w:proofErr w:type="spellStart"/>
            <w:r>
              <w:rPr>
                <w:rFonts w:ascii="Times New Roman" w:eastAsia="宋体" w:hAnsi="Times New Roman" w:cs="Times New Roman"/>
                <w:kern w:val="0"/>
                <w:szCs w:val="21"/>
                <w:lang w:eastAsia="en-US"/>
              </w:rPr>
              <w:t>出口</w:t>
            </w:r>
            <w:proofErr w:type="spellEnd"/>
            <w:r>
              <w:rPr>
                <w:rFonts w:ascii="Times New Roman" w:eastAsia="宋体" w:hAnsi="Times New Roman" w:cs="Times New Roman"/>
                <w:kern w:val="0"/>
                <w:szCs w:val="21"/>
                <w:lang w:eastAsia="en-US"/>
              </w:rPr>
              <w:t>(FQ1</w:t>
            </w:r>
            <w:r>
              <w:rPr>
                <w:rFonts w:ascii="Times New Roman" w:eastAsia="宋体" w:hAnsi="Times New Roman" w:cs="Times New Roman"/>
                <w:kern w:val="0"/>
                <w:szCs w:val="21"/>
              </w:rPr>
              <w:t>0</w:t>
            </w:r>
            <w:r>
              <w:rPr>
                <w:rFonts w:ascii="Times New Roman" w:eastAsia="宋体" w:hAnsi="Times New Roman" w:cs="Times New Roman"/>
                <w:kern w:val="0"/>
                <w:szCs w:val="21"/>
                <w:lang w:eastAsia="en-US"/>
              </w:rPr>
              <w:t>)</w:t>
            </w:r>
          </w:p>
        </w:tc>
        <w:tc>
          <w:tcPr>
            <w:tcW w:w="1493" w:type="pct"/>
            <w:vAlign w:val="center"/>
          </w:tcPr>
          <w:p w14:paraId="0400753A"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lang w:eastAsia="en-US"/>
              </w:rPr>
              <w:t>氨、硫化氢</w:t>
            </w:r>
            <w:proofErr w:type="spellEnd"/>
          </w:p>
        </w:tc>
      </w:tr>
      <w:tr w:rsidR="002133E3" w14:paraId="6749E865" w14:textId="77777777">
        <w:trPr>
          <w:jc w:val="center"/>
        </w:trPr>
        <w:tc>
          <w:tcPr>
            <w:tcW w:w="284" w:type="pct"/>
            <w:vMerge/>
            <w:vAlign w:val="center"/>
          </w:tcPr>
          <w:p w14:paraId="6545347A"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2AFB1825"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7DDA0586" w14:textId="77777777" w:rsidR="002133E3" w:rsidRDefault="002133E3">
            <w:pPr>
              <w:snapToGrid w:val="0"/>
              <w:jc w:val="center"/>
              <w:rPr>
                <w:rFonts w:ascii="Times New Roman" w:eastAsia="宋体" w:hAnsi="Times New Roman" w:cs="Times New Roman"/>
                <w:kern w:val="0"/>
                <w:szCs w:val="21"/>
              </w:rPr>
            </w:pPr>
          </w:p>
        </w:tc>
        <w:tc>
          <w:tcPr>
            <w:tcW w:w="648" w:type="pct"/>
            <w:vAlign w:val="center"/>
          </w:tcPr>
          <w:p w14:paraId="3012EDD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无组织废气</w:t>
            </w:r>
          </w:p>
        </w:tc>
        <w:tc>
          <w:tcPr>
            <w:tcW w:w="1366" w:type="pct"/>
            <w:vAlign w:val="center"/>
          </w:tcPr>
          <w:p w14:paraId="613A9323"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周界外设置</w:t>
            </w:r>
            <w:proofErr w:type="spellEnd"/>
            <w:r>
              <w:rPr>
                <w:rFonts w:ascii="Times New Roman" w:eastAsia="宋体" w:hAnsi="Times New Roman" w:cs="Times New Roman"/>
                <w:spacing w:val="-54"/>
                <w:kern w:val="0"/>
                <w:szCs w:val="21"/>
                <w:lang w:eastAsia="en-US"/>
              </w:rPr>
              <w:t xml:space="preserve"> </w:t>
            </w:r>
            <w:r>
              <w:rPr>
                <w:rFonts w:ascii="Times New Roman" w:eastAsia="宋体" w:hAnsi="Times New Roman" w:cs="Times New Roman"/>
                <w:kern w:val="0"/>
                <w:szCs w:val="21"/>
                <w:lang w:eastAsia="en-US"/>
              </w:rPr>
              <w:t>4</w:t>
            </w:r>
            <w:r>
              <w:rPr>
                <w:rFonts w:ascii="Times New Roman" w:eastAsia="宋体" w:hAnsi="Times New Roman" w:cs="Times New Roman"/>
                <w:spacing w:val="-5"/>
                <w:kern w:val="0"/>
                <w:szCs w:val="21"/>
                <w:lang w:eastAsia="en-US"/>
              </w:rPr>
              <w:t xml:space="preserve"> </w:t>
            </w:r>
            <w:proofErr w:type="spellStart"/>
            <w:r>
              <w:rPr>
                <w:rFonts w:ascii="Times New Roman" w:eastAsia="宋体" w:hAnsi="Times New Roman" w:cs="Times New Roman"/>
                <w:kern w:val="0"/>
                <w:szCs w:val="21"/>
                <w:lang w:eastAsia="en-US"/>
              </w:rPr>
              <w:t>个监控点</w:t>
            </w:r>
            <w:proofErr w:type="spellEnd"/>
          </w:p>
        </w:tc>
        <w:tc>
          <w:tcPr>
            <w:tcW w:w="1493" w:type="pct"/>
            <w:vAlign w:val="center"/>
          </w:tcPr>
          <w:p w14:paraId="1F2B9D9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颗粒物、丙酮、氨、硫化氢、</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挥发性有机物</w:t>
            </w:r>
          </w:p>
        </w:tc>
      </w:tr>
      <w:tr w:rsidR="002133E3" w14:paraId="5E2E2B8C" w14:textId="77777777">
        <w:trPr>
          <w:jc w:val="center"/>
        </w:trPr>
        <w:tc>
          <w:tcPr>
            <w:tcW w:w="284" w:type="pct"/>
            <w:vMerge/>
            <w:vAlign w:val="center"/>
          </w:tcPr>
          <w:p w14:paraId="19656786" w14:textId="77777777" w:rsidR="002133E3" w:rsidRDefault="002133E3">
            <w:pPr>
              <w:snapToGrid w:val="0"/>
              <w:jc w:val="center"/>
              <w:rPr>
                <w:rFonts w:ascii="Times New Roman" w:eastAsia="宋体" w:hAnsi="Times New Roman" w:cs="Times New Roman"/>
                <w:color w:val="FF0000"/>
                <w:kern w:val="0"/>
                <w:szCs w:val="21"/>
              </w:rPr>
            </w:pPr>
          </w:p>
        </w:tc>
        <w:tc>
          <w:tcPr>
            <w:tcW w:w="850" w:type="pct"/>
            <w:vMerge/>
            <w:vAlign w:val="center"/>
          </w:tcPr>
          <w:p w14:paraId="62414AAE" w14:textId="77777777" w:rsidR="002133E3" w:rsidRDefault="002133E3">
            <w:pPr>
              <w:snapToGrid w:val="0"/>
              <w:jc w:val="center"/>
              <w:rPr>
                <w:rFonts w:ascii="Times New Roman" w:eastAsia="宋体" w:hAnsi="Times New Roman" w:cs="Times New Roman"/>
                <w:color w:val="FF0000"/>
                <w:kern w:val="0"/>
                <w:szCs w:val="21"/>
              </w:rPr>
            </w:pPr>
          </w:p>
        </w:tc>
        <w:tc>
          <w:tcPr>
            <w:tcW w:w="359" w:type="pct"/>
            <w:vMerge/>
            <w:vAlign w:val="center"/>
          </w:tcPr>
          <w:p w14:paraId="7DDAEE97" w14:textId="77777777" w:rsidR="002133E3" w:rsidRDefault="002133E3">
            <w:pPr>
              <w:snapToGrid w:val="0"/>
              <w:jc w:val="center"/>
              <w:rPr>
                <w:rFonts w:ascii="Times New Roman" w:eastAsia="宋体" w:hAnsi="Times New Roman" w:cs="Times New Roman"/>
                <w:kern w:val="0"/>
                <w:szCs w:val="21"/>
              </w:rPr>
            </w:pPr>
          </w:p>
        </w:tc>
        <w:tc>
          <w:tcPr>
            <w:tcW w:w="648" w:type="pct"/>
            <w:vAlign w:val="center"/>
          </w:tcPr>
          <w:p w14:paraId="530020F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声</w:t>
            </w:r>
          </w:p>
        </w:tc>
        <w:tc>
          <w:tcPr>
            <w:tcW w:w="1366" w:type="pct"/>
            <w:vAlign w:val="center"/>
          </w:tcPr>
          <w:p w14:paraId="46FCDB20"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szCs w:val="21"/>
              </w:rPr>
              <w:t>厂界噪声</w:t>
            </w:r>
          </w:p>
        </w:tc>
        <w:tc>
          <w:tcPr>
            <w:tcW w:w="1493" w:type="pct"/>
            <w:vAlign w:val="center"/>
          </w:tcPr>
          <w:p w14:paraId="6D6F341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等效</w:t>
            </w:r>
            <w:r>
              <w:rPr>
                <w:rFonts w:ascii="Times New Roman" w:eastAsia="宋体" w:hAnsi="Times New Roman" w:cs="Times New Roman"/>
                <w:kern w:val="0"/>
                <w:szCs w:val="21"/>
              </w:rPr>
              <w:t>A</w:t>
            </w:r>
            <w:r>
              <w:rPr>
                <w:rFonts w:ascii="Times New Roman" w:eastAsia="宋体" w:hAnsi="Times New Roman" w:cs="Times New Roman"/>
                <w:kern w:val="0"/>
                <w:szCs w:val="21"/>
              </w:rPr>
              <w:t>声级</w:t>
            </w:r>
          </w:p>
        </w:tc>
      </w:tr>
    </w:tbl>
    <w:p w14:paraId="2C4987EE"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水监测结果与评价</w:t>
      </w:r>
    </w:p>
    <w:p w14:paraId="1BF088C9" w14:textId="77777777" w:rsidR="002133E3" w:rsidRDefault="00C22CFA">
      <w:pPr>
        <w:spacing w:line="500" w:lineRule="exact"/>
        <w:ind w:firstLineChars="220" w:firstLine="616"/>
        <w:rPr>
          <w:rFonts w:ascii="Times New Roman" w:eastAsia="宋体" w:hAnsi="Times New Roman" w:cs="Times New Roman"/>
          <w:kern w:val="0"/>
          <w:sz w:val="28"/>
          <w:szCs w:val="28"/>
        </w:rPr>
      </w:pPr>
      <w:r>
        <w:rPr>
          <w:rFonts w:ascii="Times New Roman" w:eastAsia="宋体" w:hAnsi="Times New Roman" w:cs="Times New Roman"/>
          <w:kern w:val="0"/>
          <w:sz w:val="28"/>
          <w:szCs w:val="28"/>
        </w:rPr>
        <w:t>年产</w:t>
      </w:r>
      <w:r>
        <w:rPr>
          <w:rFonts w:ascii="Times New Roman" w:eastAsia="宋体" w:hAnsi="Times New Roman" w:cs="Times New Roman"/>
          <w:kern w:val="0"/>
          <w:sz w:val="28"/>
          <w:szCs w:val="28"/>
        </w:rPr>
        <w:t xml:space="preserve"> 6 </w:t>
      </w:r>
      <w:r>
        <w:rPr>
          <w:rFonts w:ascii="Times New Roman" w:eastAsia="宋体" w:hAnsi="Times New Roman" w:cs="Times New Roman"/>
          <w:kern w:val="0"/>
          <w:sz w:val="28"/>
          <w:szCs w:val="28"/>
        </w:rPr>
        <w:t>万吨发酵法混合物技改项目验收监测结果表明，验收监测期间，污水处理站出口排放的各类污染物质浓度均满足《发</w:t>
      </w:r>
      <w:bookmarkStart w:id="25" w:name="_bookmark54"/>
      <w:bookmarkEnd w:id="25"/>
      <w:r>
        <w:rPr>
          <w:rFonts w:ascii="Times New Roman" w:eastAsia="宋体" w:hAnsi="Times New Roman" w:cs="Times New Roman"/>
          <w:kern w:val="0"/>
          <w:sz w:val="28"/>
          <w:szCs w:val="28"/>
        </w:rPr>
        <w:t>酵酒精和白酒工业水污染物排放标准》</w:t>
      </w:r>
      <w:r>
        <w:rPr>
          <w:rFonts w:ascii="Times New Roman" w:eastAsia="宋体" w:hAnsi="Times New Roman" w:cs="Times New Roman"/>
          <w:kern w:val="0"/>
          <w:sz w:val="28"/>
          <w:szCs w:val="28"/>
        </w:rPr>
        <w:t>(GB27631-2011)</w:t>
      </w:r>
      <w:r>
        <w:rPr>
          <w:rFonts w:ascii="Times New Roman" w:eastAsia="宋体" w:hAnsi="Times New Roman" w:cs="Times New Roman"/>
          <w:kern w:val="0"/>
          <w:sz w:val="28"/>
          <w:szCs w:val="28"/>
        </w:rPr>
        <w:t>表二中的间接排放标准。监测结果见表</w:t>
      </w:r>
      <w:r>
        <w:rPr>
          <w:rFonts w:ascii="Times New Roman" w:eastAsia="宋体" w:hAnsi="Times New Roman" w:cs="Times New Roman"/>
          <w:kern w:val="0"/>
          <w:sz w:val="28"/>
          <w:szCs w:val="28"/>
        </w:rPr>
        <w:t>3.2-6</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3.2-7</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lastRenderedPageBreak/>
        <w:t>污染物处理效率见表</w:t>
      </w:r>
      <w:r>
        <w:rPr>
          <w:rFonts w:ascii="Times New Roman" w:eastAsia="宋体" w:hAnsi="Times New Roman" w:cs="Times New Roman"/>
          <w:kern w:val="0"/>
          <w:sz w:val="28"/>
          <w:szCs w:val="28"/>
        </w:rPr>
        <w:t>3.2-8</w:t>
      </w:r>
      <w:r>
        <w:rPr>
          <w:rFonts w:ascii="Times New Roman" w:eastAsia="宋体" w:hAnsi="Times New Roman" w:cs="Times New Roman"/>
          <w:kern w:val="0"/>
          <w:sz w:val="28"/>
          <w:szCs w:val="28"/>
        </w:rPr>
        <w:t>。清下水排口排放的污染物质浓度满足连云港市环境保护局预审意见（标准引自</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年产</w:t>
      </w:r>
      <w:r>
        <w:rPr>
          <w:rFonts w:ascii="Times New Roman" w:eastAsia="宋体" w:hAnsi="Times New Roman" w:cs="Times New Roman"/>
          <w:kern w:val="0"/>
          <w:sz w:val="28"/>
          <w:szCs w:val="28"/>
        </w:rPr>
        <w:t xml:space="preserve"> 20 </w:t>
      </w:r>
      <w:r>
        <w:rPr>
          <w:rFonts w:ascii="Times New Roman" w:eastAsia="宋体" w:hAnsi="Times New Roman" w:cs="Times New Roman"/>
          <w:kern w:val="0"/>
          <w:sz w:val="28"/>
          <w:szCs w:val="28"/>
        </w:rPr>
        <w:t>万吨醋酸乙（丁）脂</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等工程第二阶段年产</w:t>
      </w:r>
      <w:r>
        <w:rPr>
          <w:rFonts w:ascii="Times New Roman" w:eastAsia="宋体" w:hAnsi="Times New Roman" w:cs="Times New Roman"/>
          <w:kern w:val="0"/>
          <w:sz w:val="28"/>
          <w:szCs w:val="28"/>
        </w:rPr>
        <w:t xml:space="preserve"> 10 </w:t>
      </w:r>
      <w:r>
        <w:rPr>
          <w:rFonts w:ascii="Times New Roman" w:eastAsia="宋体" w:hAnsi="Times New Roman" w:cs="Times New Roman"/>
          <w:kern w:val="0"/>
          <w:sz w:val="28"/>
          <w:szCs w:val="28"/>
        </w:rPr>
        <w:t>万吨乙醛项目竣</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工环保验收监测报告，江苏省环境监测中心，</w:t>
      </w:r>
      <w:r>
        <w:rPr>
          <w:rFonts w:ascii="Times New Roman" w:eastAsia="宋体" w:hAnsi="Times New Roman" w:cs="Times New Roman"/>
          <w:kern w:val="0"/>
          <w:sz w:val="28"/>
          <w:szCs w:val="28"/>
        </w:rPr>
        <w:t xml:space="preserve">2015 </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 xml:space="preserve"> 2 </w:t>
      </w:r>
      <w:r>
        <w:rPr>
          <w:rFonts w:ascii="Times New Roman" w:eastAsia="宋体" w:hAnsi="Times New Roman" w:cs="Times New Roman"/>
          <w:kern w:val="0"/>
          <w:sz w:val="28"/>
          <w:szCs w:val="28"/>
        </w:rPr>
        <w:t>月）。监测结果见表</w:t>
      </w:r>
      <w:r>
        <w:rPr>
          <w:rFonts w:ascii="Times New Roman" w:eastAsia="宋体" w:hAnsi="Times New Roman" w:cs="Times New Roman"/>
          <w:kern w:val="0"/>
          <w:sz w:val="28"/>
          <w:szCs w:val="28"/>
        </w:rPr>
        <w:t xml:space="preserve"> 3.2-9</w:t>
      </w:r>
      <w:r>
        <w:rPr>
          <w:rFonts w:ascii="Times New Roman" w:eastAsia="宋体" w:hAnsi="Times New Roman" w:cs="Times New Roman"/>
          <w:kern w:val="0"/>
          <w:sz w:val="28"/>
          <w:szCs w:val="28"/>
        </w:rPr>
        <w:t>。</w:t>
      </w:r>
    </w:p>
    <w:p w14:paraId="75BC39E5"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 3.2-6 </w:t>
      </w:r>
      <w:r>
        <w:rPr>
          <w:rFonts w:ascii="Times New Roman" w:eastAsia="宋体" w:hAnsi="Times New Roman" w:cs="Times New Roman"/>
          <w:b/>
          <w:bCs/>
          <w:sz w:val="24"/>
          <w:szCs w:val="20"/>
        </w:rPr>
        <w:t>污水处理站进口水质检测结果一览表</w:t>
      </w:r>
    </w:p>
    <w:p w14:paraId="5105ECD8" w14:textId="77777777" w:rsidR="002133E3" w:rsidRDefault="002133E3">
      <w:pPr>
        <w:spacing w:before="2"/>
        <w:jc w:val="left"/>
        <w:rPr>
          <w:rFonts w:ascii="Times New Roman" w:eastAsia="宋体" w:hAnsi="Times New Roman" w:cs="Times New Roman"/>
          <w:b/>
          <w:bCs/>
          <w:kern w:val="0"/>
          <w:sz w:val="13"/>
          <w:szCs w:val="13"/>
        </w:rPr>
      </w:pPr>
    </w:p>
    <w:tbl>
      <w:tblPr>
        <w:tblW w:w="50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2"/>
        <w:gridCol w:w="1030"/>
        <w:gridCol w:w="2341"/>
        <w:gridCol w:w="2589"/>
        <w:gridCol w:w="2363"/>
      </w:tblGrid>
      <w:tr w:rsidR="002133E3" w14:paraId="6DD5E9A8" w14:textId="77777777">
        <w:trPr>
          <w:trHeight w:val="340"/>
        </w:trPr>
        <w:tc>
          <w:tcPr>
            <w:tcW w:w="698" w:type="pct"/>
            <w:vAlign w:val="center"/>
          </w:tcPr>
          <w:p w14:paraId="6B5BEE9C"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采样点位</w:t>
            </w:r>
            <w:proofErr w:type="spellEnd"/>
          </w:p>
        </w:tc>
        <w:tc>
          <w:tcPr>
            <w:tcW w:w="532" w:type="pct"/>
            <w:vAlign w:val="center"/>
          </w:tcPr>
          <w:p w14:paraId="40DDD633"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采样日期</w:t>
            </w:r>
            <w:proofErr w:type="spellEnd"/>
          </w:p>
        </w:tc>
        <w:tc>
          <w:tcPr>
            <w:tcW w:w="1210" w:type="pct"/>
            <w:vAlign w:val="center"/>
          </w:tcPr>
          <w:p w14:paraId="196F425D"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b/>
                <w:kern w:val="0"/>
                <w:position w:val="2"/>
                <w:lang w:eastAsia="en-US"/>
              </w:rPr>
              <w:t>COD</w:t>
            </w:r>
            <w:proofErr w:type="spellStart"/>
            <w:r>
              <w:rPr>
                <w:rFonts w:ascii="Times New Roman" w:eastAsia="宋体" w:hAnsi="Times New Roman" w:cs="Times New Roman"/>
                <w:b/>
                <w:kern w:val="0"/>
                <w:sz w:val="13"/>
                <w:lang w:eastAsia="en-US"/>
              </w:rPr>
              <w:t>Cr</w:t>
            </w:r>
            <w:r>
              <w:rPr>
                <w:rFonts w:ascii="Times New Roman" w:eastAsia="宋体" w:hAnsi="Times New Roman" w:cs="Times New Roman"/>
                <w:b/>
                <w:bCs/>
                <w:kern w:val="0"/>
                <w:szCs w:val="21"/>
                <w:lang w:eastAsia="en-US"/>
              </w:rPr>
              <w:t>（</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c>
          <w:tcPr>
            <w:tcW w:w="1337" w:type="pct"/>
            <w:vAlign w:val="center"/>
          </w:tcPr>
          <w:p w14:paraId="5C51A979"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kern w:val="0"/>
                <w:lang w:eastAsia="en-US"/>
              </w:rPr>
              <w:t>SS</w:t>
            </w:r>
            <w:r>
              <w:rPr>
                <w:rFonts w:ascii="Times New Roman" w:eastAsia="宋体" w:hAnsi="Times New Roman" w:cs="Times New Roman"/>
                <w:b/>
                <w:bCs/>
                <w:kern w:val="0"/>
                <w:szCs w:val="21"/>
                <w:lang w:eastAsia="en-US"/>
              </w:rPr>
              <w:t>（</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c>
          <w:tcPr>
            <w:tcW w:w="1221" w:type="pct"/>
            <w:vAlign w:val="center"/>
          </w:tcPr>
          <w:p w14:paraId="43DF6FEF"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氨氮（</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r>
      <w:tr w:rsidR="002133E3" w14:paraId="2D215BFA" w14:textId="77777777">
        <w:trPr>
          <w:trHeight w:val="340"/>
        </w:trPr>
        <w:tc>
          <w:tcPr>
            <w:tcW w:w="698" w:type="pct"/>
            <w:vMerge w:val="restart"/>
            <w:vAlign w:val="center"/>
          </w:tcPr>
          <w:p w14:paraId="4271B6F6"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污水处理站</w:t>
            </w:r>
            <w:proofErr w:type="spellEnd"/>
            <w:r>
              <w:rPr>
                <w:rFonts w:ascii="Times New Roman" w:eastAsia="宋体" w:hAnsi="Times New Roman" w:cs="Times New Roman"/>
                <w:w w:val="99"/>
                <w:kern w:val="0"/>
                <w:szCs w:val="21"/>
                <w:lang w:eastAsia="en-US"/>
              </w:rPr>
              <w:t xml:space="preserve"> </w:t>
            </w:r>
            <w:proofErr w:type="spellStart"/>
            <w:r>
              <w:rPr>
                <w:rFonts w:ascii="Times New Roman" w:eastAsia="宋体" w:hAnsi="Times New Roman" w:cs="Times New Roman"/>
                <w:kern w:val="0"/>
                <w:szCs w:val="21"/>
                <w:lang w:eastAsia="en-US"/>
              </w:rPr>
              <w:t>进口</w:t>
            </w:r>
            <w:proofErr w:type="spellEnd"/>
          </w:p>
        </w:tc>
        <w:tc>
          <w:tcPr>
            <w:tcW w:w="532" w:type="pct"/>
            <w:vMerge w:val="restart"/>
            <w:vAlign w:val="center"/>
          </w:tcPr>
          <w:p w14:paraId="1F84C89F"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05.29</w:t>
            </w:r>
          </w:p>
        </w:tc>
        <w:tc>
          <w:tcPr>
            <w:tcW w:w="1210" w:type="pct"/>
            <w:vAlign w:val="center"/>
          </w:tcPr>
          <w:p w14:paraId="441139A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28000</w:t>
            </w:r>
          </w:p>
        </w:tc>
        <w:tc>
          <w:tcPr>
            <w:tcW w:w="1337" w:type="pct"/>
            <w:vAlign w:val="center"/>
          </w:tcPr>
          <w:p w14:paraId="63DD96DB"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3660</w:t>
            </w:r>
          </w:p>
        </w:tc>
        <w:tc>
          <w:tcPr>
            <w:tcW w:w="1221" w:type="pct"/>
            <w:vAlign w:val="center"/>
          </w:tcPr>
          <w:p w14:paraId="46F12B92"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158</w:t>
            </w:r>
          </w:p>
        </w:tc>
      </w:tr>
      <w:tr w:rsidR="002133E3" w14:paraId="2491F3BF" w14:textId="77777777">
        <w:trPr>
          <w:trHeight w:val="340"/>
        </w:trPr>
        <w:tc>
          <w:tcPr>
            <w:tcW w:w="698" w:type="pct"/>
            <w:vMerge/>
            <w:vAlign w:val="center"/>
          </w:tcPr>
          <w:p w14:paraId="73D25AC9" w14:textId="77777777" w:rsidR="002133E3" w:rsidRDefault="002133E3">
            <w:pPr>
              <w:spacing w:line="0" w:lineRule="atLeast"/>
              <w:jc w:val="center"/>
              <w:rPr>
                <w:rFonts w:ascii="Times New Roman" w:eastAsia="宋体" w:hAnsi="Times New Roman" w:cs="Times New Roman"/>
                <w:kern w:val="0"/>
                <w:sz w:val="22"/>
                <w:lang w:eastAsia="en-US"/>
              </w:rPr>
            </w:pPr>
          </w:p>
        </w:tc>
        <w:tc>
          <w:tcPr>
            <w:tcW w:w="532" w:type="pct"/>
            <w:vMerge/>
            <w:vAlign w:val="center"/>
          </w:tcPr>
          <w:p w14:paraId="67F1D078"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10" w:type="pct"/>
            <w:vAlign w:val="center"/>
          </w:tcPr>
          <w:p w14:paraId="42D78ABF"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28100</w:t>
            </w:r>
          </w:p>
        </w:tc>
        <w:tc>
          <w:tcPr>
            <w:tcW w:w="1337" w:type="pct"/>
            <w:vAlign w:val="center"/>
          </w:tcPr>
          <w:p w14:paraId="61F2A49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3650</w:t>
            </w:r>
          </w:p>
        </w:tc>
        <w:tc>
          <w:tcPr>
            <w:tcW w:w="1221" w:type="pct"/>
            <w:vAlign w:val="center"/>
          </w:tcPr>
          <w:p w14:paraId="34A12194"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141</w:t>
            </w:r>
          </w:p>
        </w:tc>
      </w:tr>
      <w:tr w:rsidR="002133E3" w14:paraId="1D1D88A2" w14:textId="77777777">
        <w:trPr>
          <w:trHeight w:val="340"/>
        </w:trPr>
        <w:tc>
          <w:tcPr>
            <w:tcW w:w="698" w:type="pct"/>
            <w:vMerge/>
            <w:vAlign w:val="center"/>
          </w:tcPr>
          <w:p w14:paraId="0E40BD15" w14:textId="77777777" w:rsidR="002133E3" w:rsidRDefault="002133E3">
            <w:pPr>
              <w:spacing w:line="0" w:lineRule="atLeast"/>
              <w:jc w:val="center"/>
              <w:rPr>
                <w:rFonts w:ascii="Times New Roman" w:eastAsia="宋体" w:hAnsi="Times New Roman" w:cs="Times New Roman"/>
                <w:kern w:val="0"/>
                <w:sz w:val="22"/>
                <w:lang w:eastAsia="en-US"/>
              </w:rPr>
            </w:pPr>
          </w:p>
        </w:tc>
        <w:tc>
          <w:tcPr>
            <w:tcW w:w="532" w:type="pct"/>
            <w:vMerge/>
            <w:vAlign w:val="center"/>
          </w:tcPr>
          <w:p w14:paraId="64A2882C"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10" w:type="pct"/>
            <w:vAlign w:val="center"/>
          </w:tcPr>
          <w:p w14:paraId="4A4EED01"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28300</w:t>
            </w:r>
          </w:p>
        </w:tc>
        <w:tc>
          <w:tcPr>
            <w:tcW w:w="1337" w:type="pct"/>
            <w:vAlign w:val="center"/>
          </w:tcPr>
          <w:p w14:paraId="50E7243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3620</w:t>
            </w:r>
          </w:p>
        </w:tc>
        <w:tc>
          <w:tcPr>
            <w:tcW w:w="1221" w:type="pct"/>
            <w:vAlign w:val="center"/>
          </w:tcPr>
          <w:p w14:paraId="4E653E8D"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152</w:t>
            </w:r>
          </w:p>
        </w:tc>
      </w:tr>
      <w:tr w:rsidR="002133E3" w14:paraId="59117268" w14:textId="77777777">
        <w:trPr>
          <w:trHeight w:val="340"/>
        </w:trPr>
        <w:tc>
          <w:tcPr>
            <w:tcW w:w="698" w:type="pct"/>
            <w:vMerge/>
            <w:vAlign w:val="center"/>
          </w:tcPr>
          <w:p w14:paraId="110F676D" w14:textId="77777777" w:rsidR="002133E3" w:rsidRDefault="002133E3">
            <w:pPr>
              <w:spacing w:line="0" w:lineRule="atLeast"/>
              <w:jc w:val="center"/>
              <w:rPr>
                <w:rFonts w:ascii="Times New Roman" w:eastAsia="宋体" w:hAnsi="Times New Roman" w:cs="Times New Roman"/>
                <w:kern w:val="0"/>
                <w:sz w:val="22"/>
                <w:lang w:eastAsia="en-US"/>
              </w:rPr>
            </w:pPr>
          </w:p>
        </w:tc>
        <w:tc>
          <w:tcPr>
            <w:tcW w:w="532" w:type="pct"/>
            <w:vMerge/>
            <w:vAlign w:val="center"/>
          </w:tcPr>
          <w:p w14:paraId="16FF7965"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10" w:type="pct"/>
            <w:vAlign w:val="center"/>
          </w:tcPr>
          <w:p w14:paraId="61E0E564"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28200</w:t>
            </w:r>
          </w:p>
        </w:tc>
        <w:tc>
          <w:tcPr>
            <w:tcW w:w="1337" w:type="pct"/>
            <w:vAlign w:val="center"/>
          </w:tcPr>
          <w:p w14:paraId="0BCD1508"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3670</w:t>
            </w:r>
          </w:p>
        </w:tc>
        <w:tc>
          <w:tcPr>
            <w:tcW w:w="1221" w:type="pct"/>
            <w:vAlign w:val="center"/>
          </w:tcPr>
          <w:p w14:paraId="55AC965E"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122</w:t>
            </w:r>
          </w:p>
        </w:tc>
      </w:tr>
      <w:tr w:rsidR="002133E3" w14:paraId="26235ECF" w14:textId="77777777">
        <w:trPr>
          <w:trHeight w:val="340"/>
        </w:trPr>
        <w:tc>
          <w:tcPr>
            <w:tcW w:w="698" w:type="pct"/>
            <w:vMerge/>
            <w:vAlign w:val="center"/>
          </w:tcPr>
          <w:p w14:paraId="0D5EECF5" w14:textId="77777777" w:rsidR="002133E3" w:rsidRDefault="002133E3">
            <w:pPr>
              <w:spacing w:line="0" w:lineRule="atLeast"/>
              <w:jc w:val="center"/>
              <w:rPr>
                <w:rFonts w:ascii="Times New Roman" w:eastAsia="宋体" w:hAnsi="Times New Roman" w:cs="Times New Roman"/>
                <w:kern w:val="0"/>
                <w:sz w:val="22"/>
                <w:lang w:eastAsia="en-US"/>
              </w:rPr>
            </w:pPr>
          </w:p>
        </w:tc>
        <w:tc>
          <w:tcPr>
            <w:tcW w:w="532" w:type="pct"/>
            <w:vMerge w:val="restart"/>
            <w:vAlign w:val="center"/>
          </w:tcPr>
          <w:p w14:paraId="0DB51912"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05.30</w:t>
            </w:r>
          </w:p>
        </w:tc>
        <w:tc>
          <w:tcPr>
            <w:tcW w:w="1210" w:type="pct"/>
            <w:vAlign w:val="center"/>
          </w:tcPr>
          <w:p w14:paraId="778F8580"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27800</w:t>
            </w:r>
          </w:p>
        </w:tc>
        <w:tc>
          <w:tcPr>
            <w:tcW w:w="1337" w:type="pct"/>
            <w:vAlign w:val="center"/>
          </w:tcPr>
          <w:p w14:paraId="58018805"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3610</w:t>
            </w:r>
          </w:p>
        </w:tc>
        <w:tc>
          <w:tcPr>
            <w:tcW w:w="1221" w:type="pct"/>
            <w:vAlign w:val="center"/>
          </w:tcPr>
          <w:p w14:paraId="4DCBFFDB"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146</w:t>
            </w:r>
          </w:p>
        </w:tc>
      </w:tr>
      <w:tr w:rsidR="002133E3" w14:paraId="62B6F208" w14:textId="77777777">
        <w:trPr>
          <w:trHeight w:val="340"/>
        </w:trPr>
        <w:tc>
          <w:tcPr>
            <w:tcW w:w="698" w:type="pct"/>
            <w:vMerge/>
            <w:vAlign w:val="center"/>
          </w:tcPr>
          <w:p w14:paraId="35F8F468" w14:textId="77777777" w:rsidR="002133E3" w:rsidRDefault="002133E3">
            <w:pPr>
              <w:spacing w:line="0" w:lineRule="atLeast"/>
              <w:jc w:val="center"/>
              <w:rPr>
                <w:rFonts w:ascii="Times New Roman" w:eastAsia="宋体" w:hAnsi="Times New Roman" w:cs="Times New Roman"/>
                <w:kern w:val="0"/>
                <w:sz w:val="22"/>
                <w:lang w:eastAsia="en-US"/>
              </w:rPr>
            </w:pPr>
          </w:p>
        </w:tc>
        <w:tc>
          <w:tcPr>
            <w:tcW w:w="532" w:type="pct"/>
            <w:vMerge/>
            <w:vAlign w:val="center"/>
          </w:tcPr>
          <w:p w14:paraId="2AC4FF04"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10" w:type="pct"/>
            <w:vAlign w:val="center"/>
          </w:tcPr>
          <w:p w14:paraId="62780FFF"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28400</w:t>
            </w:r>
          </w:p>
        </w:tc>
        <w:tc>
          <w:tcPr>
            <w:tcW w:w="1337" w:type="pct"/>
            <w:vAlign w:val="center"/>
          </w:tcPr>
          <w:p w14:paraId="330A97C8"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3630</w:t>
            </w:r>
          </w:p>
        </w:tc>
        <w:tc>
          <w:tcPr>
            <w:tcW w:w="1221" w:type="pct"/>
            <w:vAlign w:val="center"/>
          </w:tcPr>
          <w:p w14:paraId="386DADF2"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141</w:t>
            </w:r>
          </w:p>
        </w:tc>
      </w:tr>
      <w:tr w:rsidR="002133E3" w14:paraId="2C57A75D" w14:textId="77777777">
        <w:trPr>
          <w:trHeight w:val="340"/>
        </w:trPr>
        <w:tc>
          <w:tcPr>
            <w:tcW w:w="698" w:type="pct"/>
            <w:vMerge/>
            <w:vAlign w:val="center"/>
          </w:tcPr>
          <w:p w14:paraId="1F7003EF" w14:textId="77777777" w:rsidR="002133E3" w:rsidRDefault="002133E3">
            <w:pPr>
              <w:spacing w:line="0" w:lineRule="atLeast"/>
              <w:jc w:val="center"/>
              <w:rPr>
                <w:rFonts w:ascii="Times New Roman" w:eastAsia="宋体" w:hAnsi="Times New Roman" w:cs="Times New Roman"/>
                <w:kern w:val="0"/>
                <w:sz w:val="22"/>
                <w:lang w:eastAsia="en-US"/>
              </w:rPr>
            </w:pPr>
          </w:p>
        </w:tc>
        <w:tc>
          <w:tcPr>
            <w:tcW w:w="532" w:type="pct"/>
            <w:vMerge/>
            <w:vAlign w:val="center"/>
          </w:tcPr>
          <w:p w14:paraId="2753B84D"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10" w:type="pct"/>
            <w:vAlign w:val="center"/>
          </w:tcPr>
          <w:p w14:paraId="51D21898"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28200</w:t>
            </w:r>
          </w:p>
        </w:tc>
        <w:tc>
          <w:tcPr>
            <w:tcW w:w="1337" w:type="pct"/>
            <w:vAlign w:val="center"/>
          </w:tcPr>
          <w:p w14:paraId="04066905"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3600</w:t>
            </w:r>
          </w:p>
        </w:tc>
        <w:tc>
          <w:tcPr>
            <w:tcW w:w="1221" w:type="pct"/>
            <w:vAlign w:val="center"/>
          </w:tcPr>
          <w:p w14:paraId="04F7AA94"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128</w:t>
            </w:r>
          </w:p>
        </w:tc>
      </w:tr>
      <w:tr w:rsidR="002133E3" w14:paraId="5DAFA1CB" w14:textId="77777777">
        <w:trPr>
          <w:trHeight w:val="340"/>
        </w:trPr>
        <w:tc>
          <w:tcPr>
            <w:tcW w:w="698" w:type="pct"/>
            <w:vMerge/>
            <w:vAlign w:val="center"/>
          </w:tcPr>
          <w:p w14:paraId="39BC6C15" w14:textId="77777777" w:rsidR="002133E3" w:rsidRDefault="002133E3">
            <w:pPr>
              <w:spacing w:line="0" w:lineRule="atLeast"/>
              <w:jc w:val="center"/>
              <w:rPr>
                <w:rFonts w:ascii="Times New Roman" w:eastAsia="宋体" w:hAnsi="Times New Roman" w:cs="Times New Roman"/>
                <w:kern w:val="0"/>
                <w:sz w:val="22"/>
                <w:lang w:eastAsia="en-US"/>
              </w:rPr>
            </w:pPr>
          </w:p>
        </w:tc>
        <w:tc>
          <w:tcPr>
            <w:tcW w:w="532" w:type="pct"/>
            <w:vMerge/>
            <w:vAlign w:val="center"/>
          </w:tcPr>
          <w:p w14:paraId="0C8B3E8B"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10" w:type="pct"/>
            <w:vAlign w:val="center"/>
          </w:tcPr>
          <w:p w14:paraId="54EB16F6"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28500</w:t>
            </w:r>
          </w:p>
        </w:tc>
        <w:tc>
          <w:tcPr>
            <w:tcW w:w="1337" w:type="pct"/>
            <w:vAlign w:val="center"/>
          </w:tcPr>
          <w:p w14:paraId="59DCCB9C"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3680</w:t>
            </w:r>
          </w:p>
        </w:tc>
        <w:tc>
          <w:tcPr>
            <w:tcW w:w="1221" w:type="pct"/>
            <w:vAlign w:val="center"/>
          </w:tcPr>
          <w:p w14:paraId="067BFD43"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122</w:t>
            </w:r>
          </w:p>
        </w:tc>
      </w:tr>
      <w:tr w:rsidR="002133E3" w14:paraId="17C55DC4" w14:textId="77777777">
        <w:trPr>
          <w:trHeight w:val="340"/>
        </w:trPr>
        <w:tc>
          <w:tcPr>
            <w:tcW w:w="1230" w:type="pct"/>
            <w:gridSpan w:val="2"/>
            <w:vAlign w:val="center"/>
          </w:tcPr>
          <w:p w14:paraId="35DEDA43"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平均值</w:t>
            </w:r>
            <w:proofErr w:type="spellEnd"/>
          </w:p>
        </w:tc>
        <w:tc>
          <w:tcPr>
            <w:tcW w:w="1210" w:type="pct"/>
            <w:vAlign w:val="center"/>
          </w:tcPr>
          <w:p w14:paraId="41681D4C"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28188</w:t>
            </w:r>
          </w:p>
        </w:tc>
        <w:tc>
          <w:tcPr>
            <w:tcW w:w="1337" w:type="pct"/>
            <w:vAlign w:val="center"/>
          </w:tcPr>
          <w:p w14:paraId="5238C819"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3640</w:t>
            </w:r>
          </w:p>
        </w:tc>
        <w:tc>
          <w:tcPr>
            <w:tcW w:w="1221" w:type="pct"/>
            <w:vAlign w:val="center"/>
          </w:tcPr>
          <w:p w14:paraId="6761389A"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139</w:t>
            </w:r>
          </w:p>
        </w:tc>
      </w:tr>
    </w:tbl>
    <w:p w14:paraId="09AAD850"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3.2-7   </w:t>
      </w:r>
      <w:r>
        <w:rPr>
          <w:rFonts w:ascii="Times New Roman" w:eastAsia="宋体" w:hAnsi="Times New Roman" w:cs="Times New Roman"/>
          <w:b/>
          <w:bCs/>
          <w:sz w:val="24"/>
          <w:szCs w:val="20"/>
        </w:rPr>
        <w:t>污水处理站出口水质检测结果及评价</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8"/>
        <w:gridCol w:w="1262"/>
        <w:gridCol w:w="2381"/>
        <w:gridCol w:w="2298"/>
        <w:gridCol w:w="2365"/>
      </w:tblGrid>
      <w:tr w:rsidR="002133E3" w14:paraId="05067F2F" w14:textId="77777777">
        <w:trPr>
          <w:trHeight w:val="340"/>
        </w:trPr>
        <w:tc>
          <w:tcPr>
            <w:tcW w:w="693" w:type="pct"/>
            <w:vAlign w:val="center"/>
          </w:tcPr>
          <w:p w14:paraId="7A3919B3" w14:textId="77777777" w:rsidR="002133E3" w:rsidRDefault="00C22CFA">
            <w:pPr>
              <w:spacing w:line="0" w:lineRule="atLeast"/>
              <w:jc w:val="center"/>
              <w:rPr>
                <w:rFonts w:ascii="Times New Roman" w:eastAsia="宋体" w:hAnsi="Times New Roman" w:cs="Times New Roman"/>
                <w:b/>
                <w:bCs/>
                <w:kern w:val="0"/>
                <w:szCs w:val="21"/>
                <w:lang w:eastAsia="en-US"/>
              </w:rPr>
            </w:pPr>
            <w:proofErr w:type="spellStart"/>
            <w:r>
              <w:rPr>
                <w:rFonts w:ascii="Times New Roman" w:eastAsia="宋体" w:hAnsi="Times New Roman" w:cs="Times New Roman"/>
                <w:b/>
                <w:bCs/>
                <w:kern w:val="0"/>
                <w:szCs w:val="21"/>
                <w:lang w:eastAsia="en-US"/>
              </w:rPr>
              <w:t>采样点位</w:t>
            </w:r>
            <w:proofErr w:type="spellEnd"/>
          </w:p>
        </w:tc>
        <w:tc>
          <w:tcPr>
            <w:tcW w:w="654" w:type="pct"/>
            <w:vAlign w:val="center"/>
          </w:tcPr>
          <w:p w14:paraId="7B9BE168" w14:textId="77777777" w:rsidR="002133E3" w:rsidRDefault="00C22CFA">
            <w:pPr>
              <w:spacing w:line="0" w:lineRule="atLeast"/>
              <w:jc w:val="center"/>
              <w:rPr>
                <w:rFonts w:ascii="Times New Roman" w:eastAsia="宋体" w:hAnsi="Times New Roman" w:cs="Times New Roman"/>
                <w:b/>
                <w:bCs/>
                <w:kern w:val="0"/>
                <w:szCs w:val="21"/>
                <w:lang w:eastAsia="en-US"/>
              </w:rPr>
            </w:pPr>
            <w:proofErr w:type="spellStart"/>
            <w:r>
              <w:rPr>
                <w:rFonts w:ascii="Times New Roman" w:eastAsia="宋体" w:hAnsi="Times New Roman" w:cs="Times New Roman"/>
                <w:b/>
                <w:bCs/>
                <w:kern w:val="0"/>
                <w:szCs w:val="21"/>
                <w:lang w:eastAsia="en-US"/>
              </w:rPr>
              <w:t>采样日期</w:t>
            </w:r>
            <w:proofErr w:type="spellEnd"/>
          </w:p>
        </w:tc>
        <w:tc>
          <w:tcPr>
            <w:tcW w:w="1234" w:type="pct"/>
            <w:vAlign w:val="center"/>
          </w:tcPr>
          <w:p w14:paraId="26235CE0" w14:textId="77777777" w:rsidR="002133E3" w:rsidRDefault="00C22CFA">
            <w:pPr>
              <w:spacing w:line="0" w:lineRule="atLeast"/>
              <w:jc w:val="center"/>
              <w:rPr>
                <w:rFonts w:ascii="Times New Roman" w:eastAsia="宋体" w:hAnsi="Times New Roman" w:cs="Times New Roman"/>
                <w:b/>
                <w:bCs/>
                <w:kern w:val="0"/>
                <w:szCs w:val="21"/>
                <w:lang w:eastAsia="en-US"/>
              </w:rPr>
            </w:pPr>
            <w:proofErr w:type="spellStart"/>
            <w:r>
              <w:rPr>
                <w:rFonts w:ascii="Times New Roman" w:eastAsia="宋体" w:hAnsi="Times New Roman" w:cs="Times New Roman"/>
                <w:b/>
                <w:bCs/>
                <w:kern w:val="0"/>
                <w:szCs w:val="21"/>
                <w:lang w:eastAsia="en-US"/>
              </w:rPr>
              <w:t>COD</w:t>
            </w:r>
            <w:r>
              <w:rPr>
                <w:rFonts w:ascii="Times New Roman" w:eastAsia="宋体" w:hAnsi="Times New Roman" w:cs="Times New Roman"/>
                <w:b/>
                <w:bCs/>
                <w:kern w:val="0"/>
                <w:szCs w:val="21"/>
                <w:vertAlign w:val="subscript"/>
                <w:lang w:eastAsia="en-US"/>
              </w:rPr>
              <w:t>Cr</w:t>
            </w:r>
            <w:r>
              <w:rPr>
                <w:rFonts w:ascii="Times New Roman" w:eastAsia="宋体" w:hAnsi="Times New Roman" w:cs="Times New Roman"/>
                <w:b/>
                <w:bCs/>
                <w:kern w:val="0"/>
                <w:szCs w:val="21"/>
                <w:lang w:eastAsia="en-US"/>
              </w:rPr>
              <w:t>（</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c>
          <w:tcPr>
            <w:tcW w:w="1191" w:type="pct"/>
            <w:vAlign w:val="center"/>
          </w:tcPr>
          <w:p w14:paraId="35AECE39" w14:textId="77777777" w:rsidR="002133E3" w:rsidRDefault="00C22CFA">
            <w:pPr>
              <w:spacing w:line="0" w:lineRule="atLeast"/>
              <w:jc w:val="center"/>
              <w:rPr>
                <w:rFonts w:ascii="Times New Roman" w:eastAsia="宋体" w:hAnsi="Times New Roman" w:cs="Times New Roman"/>
                <w:b/>
                <w:bCs/>
                <w:kern w:val="0"/>
                <w:szCs w:val="21"/>
                <w:lang w:eastAsia="en-US"/>
              </w:rPr>
            </w:pPr>
            <w:proofErr w:type="spellStart"/>
            <w:r>
              <w:rPr>
                <w:rFonts w:ascii="Times New Roman" w:eastAsia="宋体" w:hAnsi="Times New Roman" w:cs="Times New Roman"/>
                <w:b/>
                <w:bCs/>
                <w:kern w:val="0"/>
                <w:szCs w:val="21"/>
                <w:lang w:eastAsia="en-US"/>
              </w:rPr>
              <w:t>SS</w:t>
            </w:r>
            <w:r>
              <w:rPr>
                <w:rFonts w:ascii="Times New Roman" w:eastAsia="宋体" w:hAnsi="Times New Roman" w:cs="Times New Roman"/>
                <w:b/>
                <w:bCs/>
                <w:kern w:val="0"/>
                <w:szCs w:val="21"/>
                <w:lang w:eastAsia="en-US"/>
              </w:rPr>
              <w:t>（</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c>
          <w:tcPr>
            <w:tcW w:w="1226" w:type="pct"/>
            <w:vAlign w:val="center"/>
          </w:tcPr>
          <w:p w14:paraId="0E2A3A2D" w14:textId="77777777" w:rsidR="002133E3" w:rsidRDefault="00C22CFA">
            <w:pPr>
              <w:spacing w:line="0" w:lineRule="atLeast"/>
              <w:jc w:val="center"/>
              <w:rPr>
                <w:rFonts w:ascii="Times New Roman" w:eastAsia="宋体" w:hAnsi="Times New Roman" w:cs="Times New Roman"/>
                <w:b/>
                <w:bCs/>
                <w:kern w:val="0"/>
                <w:szCs w:val="21"/>
                <w:lang w:eastAsia="en-US"/>
              </w:rPr>
            </w:pPr>
            <w:proofErr w:type="spellStart"/>
            <w:r>
              <w:rPr>
                <w:rFonts w:ascii="Times New Roman" w:eastAsia="宋体" w:hAnsi="Times New Roman" w:cs="Times New Roman"/>
                <w:b/>
                <w:bCs/>
                <w:kern w:val="0"/>
                <w:szCs w:val="21"/>
                <w:lang w:eastAsia="en-US"/>
              </w:rPr>
              <w:t>氨氮（</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r>
      <w:tr w:rsidR="002133E3" w14:paraId="4CDB398E" w14:textId="77777777">
        <w:trPr>
          <w:trHeight w:val="340"/>
        </w:trPr>
        <w:tc>
          <w:tcPr>
            <w:tcW w:w="693" w:type="pct"/>
            <w:vMerge w:val="restart"/>
            <w:vAlign w:val="center"/>
          </w:tcPr>
          <w:p w14:paraId="6549CF57"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水处理站</w:t>
            </w:r>
            <w:proofErr w:type="spellEnd"/>
          </w:p>
          <w:p w14:paraId="5BA42F52"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出口</w:t>
            </w:r>
            <w:proofErr w:type="spellEnd"/>
          </w:p>
        </w:tc>
        <w:tc>
          <w:tcPr>
            <w:tcW w:w="654" w:type="pct"/>
            <w:vMerge w:val="restart"/>
            <w:vAlign w:val="center"/>
          </w:tcPr>
          <w:p w14:paraId="44B83A26"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05.29</w:t>
            </w:r>
          </w:p>
        </w:tc>
        <w:tc>
          <w:tcPr>
            <w:tcW w:w="1234" w:type="pct"/>
            <w:vAlign w:val="center"/>
          </w:tcPr>
          <w:p w14:paraId="6A9BAA14"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118</w:t>
            </w:r>
          </w:p>
        </w:tc>
        <w:tc>
          <w:tcPr>
            <w:tcW w:w="1191" w:type="pct"/>
            <w:vAlign w:val="center"/>
          </w:tcPr>
          <w:p w14:paraId="70D8BF24"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44</w:t>
            </w:r>
          </w:p>
        </w:tc>
        <w:tc>
          <w:tcPr>
            <w:tcW w:w="1226" w:type="pct"/>
            <w:vAlign w:val="center"/>
          </w:tcPr>
          <w:p w14:paraId="4629CE46"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20.6</w:t>
            </w:r>
          </w:p>
        </w:tc>
      </w:tr>
      <w:tr w:rsidR="002133E3" w14:paraId="1C269D51" w14:textId="77777777">
        <w:trPr>
          <w:trHeight w:val="340"/>
        </w:trPr>
        <w:tc>
          <w:tcPr>
            <w:tcW w:w="693" w:type="pct"/>
            <w:vMerge/>
            <w:vAlign w:val="center"/>
          </w:tcPr>
          <w:p w14:paraId="113BEC88" w14:textId="77777777" w:rsidR="002133E3" w:rsidRDefault="002133E3">
            <w:pPr>
              <w:spacing w:line="0" w:lineRule="atLeast"/>
              <w:jc w:val="center"/>
              <w:rPr>
                <w:rFonts w:ascii="Times New Roman" w:eastAsia="宋体" w:hAnsi="Times New Roman" w:cs="Times New Roman"/>
                <w:kern w:val="0"/>
                <w:sz w:val="22"/>
                <w:lang w:eastAsia="en-US"/>
              </w:rPr>
            </w:pPr>
          </w:p>
        </w:tc>
        <w:tc>
          <w:tcPr>
            <w:tcW w:w="654" w:type="pct"/>
            <w:vMerge/>
            <w:vAlign w:val="center"/>
          </w:tcPr>
          <w:p w14:paraId="42EDDF1E"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34" w:type="pct"/>
            <w:vAlign w:val="center"/>
          </w:tcPr>
          <w:p w14:paraId="3A956734"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116</w:t>
            </w:r>
          </w:p>
        </w:tc>
        <w:tc>
          <w:tcPr>
            <w:tcW w:w="1191" w:type="pct"/>
            <w:vAlign w:val="center"/>
          </w:tcPr>
          <w:p w14:paraId="10A4FF8C"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42</w:t>
            </w:r>
          </w:p>
        </w:tc>
        <w:tc>
          <w:tcPr>
            <w:tcW w:w="1226" w:type="pct"/>
            <w:vAlign w:val="center"/>
          </w:tcPr>
          <w:p w14:paraId="24EC668B"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20.2</w:t>
            </w:r>
          </w:p>
        </w:tc>
      </w:tr>
      <w:tr w:rsidR="002133E3" w14:paraId="39C08CB3" w14:textId="77777777">
        <w:trPr>
          <w:trHeight w:val="340"/>
        </w:trPr>
        <w:tc>
          <w:tcPr>
            <w:tcW w:w="693" w:type="pct"/>
            <w:vMerge/>
            <w:vAlign w:val="center"/>
          </w:tcPr>
          <w:p w14:paraId="106DF675" w14:textId="77777777" w:rsidR="002133E3" w:rsidRDefault="002133E3">
            <w:pPr>
              <w:spacing w:line="0" w:lineRule="atLeast"/>
              <w:jc w:val="center"/>
              <w:rPr>
                <w:rFonts w:ascii="Times New Roman" w:eastAsia="宋体" w:hAnsi="Times New Roman" w:cs="Times New Roman"/>
                <w:kern w:val="0"/>
                <w:sz w:val="22"/>
                <w:lang w:eastAsia="en-US"/>
              </w:rPr>
            </w:pPr>
          </w:p>
        </w:tc>
        <w:tc>
          <w:tcPr>
            <w:tcW w:w="654" w:type="pct"/>
            <w:vMerge/>
            <w:vAlign w:val="center"/>
          </w:tcPr>
          <w:p w14:paraId="6594ABA9"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34" w:type="pct"/>
            <w:vAlign w:val="center"/>
          </w:tcPr>
          <w:p w14:paraId="138A6556"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120</w:t>
            </w:r>
          </w:p>
        </w:tc>
        <w:tc>
          <w:tcPr>
            <w:tcW w:w="1191" w:type="pct"/>
            <w:vAlign w:val="center"/>
          </w:tcPr>
          <w:p w14:paraId="3F5E6025"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41</w:t>
            </w:r>
          </w:p>
        </w:tc>
        <w:tc>
          <w:tcPr>
            <w:tcW w:w="1226" w:type="pct"/>
            <w:vAlign w:val="center"/>
          </w:tcPr>
          <w:p w14:paraId="229B455C"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19.0</w:t>
            </w:r>
          </w:p>
        </w:tc>
      </w:tr>
      <w:tr w:rsidR="002133E3" w14:paraId="1220A11C" w14:textId="77777777">
        <w:trPr>
          <w:trHeight w:val="340"/>
        </w:trPr>
        <w:tc>
          <w:tcPr>
            <w:tcW w:w="693" w:type="pct"/>
            <w:vMerge/>
            <w:vAlign w:val="center"/>
          </w:tcPr>
          <w:p w14:paraId="2AE2844C" w14:textId="77777777" w:rsidR="002133E3" w:rsidRDefault="002133E3">
            <w:pPr>
              <w:spacing w:line="0" w:lineRule="atLeast"/>
              <w:jc w:val="center"/>
              <w:rPr>
                <w:rFonts w:ascii="Times New Roman" w:eastAsia="宋体" w:hAnsi="Times New Roman" w:cs="Times New Roman"/>
                <w:kern w:val="0"/>
                <w:sz w:val="22"/>
                <w:lang w:eastAsia="en-US"/>
              </w:rPr>
            </w:pPr>
          </w:p>
        </w:tc>
        <w:tc>
          <w:tcPr>
            <w:tcW w:w="654" w:type="pct"/>
            <w:vMerge/>
            <w:vAlign w:val="center"/>
          </w:tcPr>
          <w:p w14:paraId="4EFA2635"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34" w:type="pct"/>
            <w:vAlign w:val="center"/>
          </w:tcPr>
          <w:p w14:paraId="6D98ADD8"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113</w:t>
            </w:r>
          </w:p>
        </w:tc>
        <w:tc>
          <w:tcPr>
            <w:tcW w:w="1191" w:type="pct"/>
            <w:vAlign w:val="center"/>
          </w:tcPr>
          <w:p w14:paraId="15523B92"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40</w:t>
            </w:r>
          </w:p>
        </w:tc>
        <w:tc>
          <w:tcPr>
            <w:tcW w:w="1226" w:type="pct"/>
            <w:vAlign w:val="center"/>
          </w:tcPr>
          <w:p w14:paraId="0EC40C82"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19.7</w:t>
            </w:r>
          </w:p>
        </w:tc>
      </w:tr>
      <w:tr w:rsidR="002133E3" w14:paraId="22734202" w14:textId="77777777">
        <w:trPr>
          <w:trHeight w:val="340"/>
        </w:trPr>
        <w:tc>
          <w:tcPr>
            <w:tcW w:w="693" w:type="pct"/>
            <w:vMerge/>
            <w:vAlign w:val="center"/>
          </w:tcPr>
          <w:p w14:paraId="08D16666" w14:textId="77777777" w:rsidR="002133E3" w:rsidRDefault="002133E3">
            <w:pPr>
              <w:spacing w:line="0" w:lineRule="atLeast"/>
              <w:jc w:val="center"/>
              <w:rPr>
                <w:rFonts w:ascii="Times New Roman" w:eastAsia="宋体" w:hAnsi="Times New Roman" w:cs="Times New Roman"/>
                <w:kern w:val="0"/>
                <w:sz w:val="22"/>
                <w:lang w:eastAsia="en-US"/>
              </w:rPr>
            </w:pPr>
          </w:p>
        </w:tc>
        <w:tc>
          <w:tcPr>
            <w:tcW w:w="654" w:type="pct"/>
            <w:vMerge w:val="restart"/>
            <w:vAlign w:val="center"/>
          </w:tcPr>
          <w:p w14:paraId="64520582"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05.30</w:t>
            </w:r>
          </w:p>
        </w:tc>
        <w:tc>
          <w:tcPr>
            <w:tcW w:w="1234" w:type="pct"/>
            <w:vAlign w:val="center"/>
          </w:tcPr>
          <w:p w14:paraId="39AA3DBE"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115</w:t>
            </w:r>
          </w:p>
        </w:tc>
        <w:tc>
          <w:tcPr>
            <w:tcW w:w="1191" w:type="pct"/>
            <w:vAlign w:val="center"/>
          </w:tcPr>
          <w:p w14:paraId="530F82FB"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48</w:t>
            </w:r>
          </w:p>
        </w:tc>
        <w:tc>
          <w:tcPr>
            <w:tcW w:w="1226" w:type="pct"/>
            <w:vAlign w:val="center"/>
          </w:tcPr>
          <w:p w14:paraId="1520B2AD"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18.9</w:t>
            </w:r>
          </w:p>
        </w:tc>
      </w:tr>
      <w:tr w:rsidR="002133E3" w14:paraId="18986949" w14:textId="77777777">
        <w:trPr>
          <w:trHeight w:val="340"/>
        </w:trPr>
        <w:tc>
          <w:tcPr>
            <w:tcW w:w="693" w:type="pct"/>
            <w:vMerge/>
            <w:vAlign w:val="center"/>
          </w:tcPr>
          <w:p w14:paraId="3AB8122E" w14:textId="77777777" w:rsidR="002133E3" w:rsidRDefault="002133E3">
            <w:pPr>
              <w:spacing w:line="0" w:lineRule="atLeast"/>
              <w:jc w:val="center"/>
              <w:rPr>
                <w:rFonts w:ascii="Times New Roman" w:eastAsia="宋体" w:hAnsi="Times New Roman" w:cs="Times New Roman"/>
                <w:kern w:val="0"/>
                <w:sz w:val="22"/>
                <w:lang w:eastAsia="en-US"/>
              </w:rPr>
            </w:pPr>
          </w:p>
        </w:tc>
        <w:tc>
          <w:tcPr>
            <w:tcW w:w="654" w:type="pct"/>
            <w:vMerge/>
            <w:vAlign w:val="center"/>
          </w:tcPr>
          <w:p w14:paraId="429E452E"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34" w:type="pct"/>
            <w:vAlign w:val="center"/>
          </w:tcPr>
          <w:p w14:paraId="4CD0C0B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112</w:t>
            </w:r>
          </w:p>
        </w:tc>
        <w:tc>
          <w:tcPr>
            <w:tcW w:w="1191" w:type="pct"/>
            <w:vAlign w:val="center"/>
          </w:tcPr>
          <w:p w14:paraId="7F7DFF7F"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50</w:t>
            </w:r>
          </w:p>
        </w:tc>
        <w:tc>
          <w:tcPr>
            <w:tcW w:w="1226" w:type="pct"/>
            <w:vAlign w:val="center"/>
          </w:tcPr>
          <w:p w14:paraId="1FBFB53B"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19.2</w:t>
            </w:r>
          </w:p>
        </w:tc>
      </w:tr>
      <w:tr w:rsidR="002133E3" w14:paraId="6432FEB2" w14:textId="77777777">
        <w:trPr>
          <w:trHeight w:val="340"/>
        </w:trPr>
        <w:tc>
          <w:tcPr>
            <w:tcW w:w="693" w:type="pct"/>
            <w:vMerge/>
            <w:vAlign w:val="center"/>
          </w:tcPr>
          <w:p w14:paraId="2A0BC89F" w14:textId="77777777" w:rsidR="002133E3" w:rsidRDefault="002133E3">
            <w:pPr>
              <w:spacing w:line="0" w:lineRule="atLeast"/>
              <w:jc w:val="center"/>
              <w:rPr>
                <w:rFonts w:ascii="Times New Roman" w:eastAsia="宋体" w:hAnsi="Times New Roman" w:cs="Times New Roman"/>
                <w:kern w:val="0"/>
                <w:sz w:val="22"/>
                <w:lang w:eastAsia="en-US"/>
              </w:rPr>
            </w:pPr>
          </w:p>
        </w:tc>
        <w:tc>
          <w:tcPr>
            <w:tcW w:w="654" w:type="pct"/>
            <w:vMerge/>
            <w:vAlign w:val="center"/>
          </w:tcPr>
          <w:p w14:paraId="211C50F5"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34" w:type="pct"/>
            <w:vAlign w:val="center"/>
          </w:tcPr>
          <w:p w14:paraId="565A8EA2"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118</w:t>
            </w:r>
          </w:p>
        </w:tc>
        <w:tc>
          <w:tcPr>
            <w:tcW w:w="1191" w:type="pct"/>
            <w:vAlign w:val="center"/>
          </w:tcPr>
          <w:p w14:paraId="6B1ECF91"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51</w:t>
            </w:r>
          </w:p>
        </w:tc>
        <w:tc>
          <w:tcPr>
            <w:tcW w:w="1226" w:type="pct"/>
            <w:vAlign w:val="center"/>
          </w:tcPr>
          <w:p w14:paraId="180DCB0A"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20.1</w:t>
            </w:r>
          </w:p>
        </w:tc>
      </w:tr>
      <w:tr w:rsidR="002133E3" w14:paraId="37AD86EE" w14:textId="77777777">
        <w:trPr>
          <w:trHeight w:val="340"/>
        </w:trPr>
        <w:tc>
          <w:tcPr>
            <w:tcW w:w="693" w:type="pct"/>
            <w:vMerge/>
            <w:vAlign w:val="center"/>
          </w:tcPr>
          <w:p w14:paraId="1361D81F" w14:textId="77777777" w:rsidR="002133E3" w:rsidRDefault="002133E3">
            <w:pPr>
              <w:spacing w:line="0" w:lineRule="atLeast"/>
              <w:jc w:val="center"/>
              <w:rPr>
                <w:rFonts w:ascii="Times New Roman" w:eastAsia="宋体" w:hAnsi="Times New Roman" w:cs="Times New Roman"/>
                <w:kern w:val="0"/>
                <w:sz w:val="22"/>
                <w:lang w:eastAsia="en-US"/>
              </w:rPr>
            </w:pPr>
          </w:p>
        </w:tc>
        <w:tc>
          <w:tcPr>
            <w:tcW w:w="654" w:type="pct"/>
            <w:vMerge/>
            <w:vAlign w:val="center"/>
          </w:tcPr>
          <w:p w14:paraId="2BACCE7E" w14:textId="77777777" w:rsidR="002133E3" w:rsidRDefault="002133E3">
            <w:pPr>
              <w:spacing w:line="0" w:lineRule="atLeast"/>
              <w:jc w:val="center"/>
              <w:rPr>
                <w:rFonts w:ascii="Times New Roman" w:eastAsia="宋体" w:hAnsi="Times New Roman" w:cs="Times New Roman"/>
                <w:kern w:val="0"/>
                <w:sz w:val="22"/>
                <w:lang w:eastAsia="en-US"/>
              </w:rPr>
            </w:pPr>
          </w:p>
        </w:tc>
        <w:tc>
          <w:tcPr>
            <w:tcW w:w="1234" w:type="pct"/>
            <w:vAlign w:val="center"/>
          </w:tcPr>
          <w:p w14:paraId="1F7A783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110</w:t>
            </w:r>
          </w:p>
        </w:tc>
        <w:tc>
          <w:tcPr>
            <w:tcW w:w="1191" w:type="pct"/>
            <w:vAlign w:val="center"/>
          </w:tcPr>
          <w:p w14:paraId="3862918D"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47</w:t>
            </w:r>
          </w:p>
        </w:tc>
        <w:tc>
          <w:tcPr>
            <w:tcW w:w="1226" w:type="pct"/>
            <w:vAlign w:val="center"/>
          </w:tcPr>
          <w:p w14:paraId="38769136"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18.7</w:t>
            </w:r>
          </w:p>
        </w:tc>
      </w:tr>
      <w:tr w:rsidR="002133E3" w14:paraId="04934272" w14:textId="77777777">
        <w:trPr>
          <w:trHeight w:val="340"/>
        </w:trPr>
        <w:tc>
          <w:tcPr>
            <w:tcW w:w="1347" w:type="pct"/>
            <w:gridSpan w:val="2"/>
            <w:vAlign w:val="center"/>
          </w:tcPr>
          <w:p w14:paraId="171E28C9"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平均值</w:t>
            </w:r>
            <w:proofErr w:type="spellEnd"/>
          </w:p>
        </w:tc>
        <w:tc>
          <w:tcPr>
            <w:tcW w:w="1234" w:type="pct"/>
            <w:vAlign w:val="center"/>
          </w:tcPr>
          <w:p w14:paraId="7B0F7611"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115</w:t>
            </w:r>
          </w:p>
        </w:tc>
        <w:tc>
          <w:tcPr>
            <w:tcW w:w="1191" w:type="pct"/>
            <w:vAlign w:val="center"/>
          </w:tcPr>
          <w:p w14:paraId="1B315C38"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45</w:t>
            </w:r>
          </w:p>
        </w:tc>
        <w:tc>
          <w:tcPr>
            <w:tcW w:w="1226" w:type="pct"/>
            <w:vAlign w:val="center"/>
          </w:tcPr>
          <w:p w14:paraId="4FAB9580"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19.6</w:t>
            </w:r>
          </w:p>
        </w:tc>
      </w:tr>
      <w:tr w:rsidR="002133E3" w14:paraId="19EB8C14" w14:textId="77777777">
        <w:trPr>
          <w:trHeight w:val="340"/>
        </w:trPr>
        <w:tc>
          <w:tcPr>
            <w:tcW w:w="1347" w:type="pct"/>
            <w:gridSpan w:val="2"/>
            <w:vAlign w:val="center"/>
          </w:tcPr>
          <w:p w14:paraId="2068B4F5"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lang w:eastAsia="en-US"/>
              </w:rPr>
              <w:t>GB27631-2011</w:t>
            </w:r>
            <w:r>
              <w:rPr>
                <w:rFonts w:ascii="Times New Roman" w:eastAsia="宋体" w:hAnsi="Times New Roman" w:cs="Times New Roman"/>
                <w:kern w:val="0"/>
                <w:szCs w:val="21"/>
              </w:rPr>
              <w:t>标准限值</w:t>
            </w:r>
          </w:p>
        </w:tc>
        <w:tc>
          <w:tcPr>
            <w:tcW w:w="1234" w:type="pct"/>
            <w:vAlign w:val="center"/>
          </w:tcPr>
          <w:p w14:paraId="6BF2CE8D"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400</w:t>
            </w:r>
          </w:p>
        </w:tc>
        <w:tc>
          <w:tcPr>
            <w:tcW w:w="1191" w:type="pct"/>
            <w:vAlign w:val="center"/>
          </w:tcPr>
          <w:p w14:paraId="5CEAF63A"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140</w:t>
            </w:r>
          </w:p>
        </w:tc>
        <w:tc>
          <w:tcPr>
            <w:tcW w:w="1226" w:type="pct"/>
            <w:vAlign w:val="center"/>
          </w:tcPr>
          <w:p w14:paraId="3CF4E46A"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30</w:t>
            </w:r>
          </w:p>
        </w:tc>
      </w:tr>
      <w:tr w:rsidR="002133E3" w14:paraId="712DED9A" w14:textId="77777777">
        <w:trPr>
          <w:trHeight w:val="340"/>
        </w:trPr>
        <w:tc>
          <w:tcPr>
            <w:tcW w:w="1347" w:type="pct"/>
            <w:gridSpan w:val="2"/>
            <w:vAlign w:val="center"/>
          </w:tcPr>
          <w:p w14:paraId="7C699F5F"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是否达标</w:t>
            </w:r>
            <w:proofErr w:type="spellEnd"/>
          </w:p>
        </w:tc>
        <w:tc>
          <w:tcPr>
            <w:tcW w:w="1234" w:type="pct"/>
            <w:vAlign w:val="center"/>
          </w:tcPr>
          <w:p w14:paraId="7B1403FB"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达标</w:t>
            </w:r>
            <w:proofErr w:type="spellEnd"/>
          </w:p>
        </w:tc>
        <w:tc>
          <w:tcPr>
            <w:tcW w:w="1191" w:type="pct"/>
            <w:vAlign w:val="center"/>
          </w:tcPr>
          <w:p w14:paraId="49E9B9C8"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达标</w:t>
            </w:r>
            <w:proofErr w:type="spellEnd"/>
          </w:p>
        </w:tc>
        <w:tc>
          <w:tcPr>
            <w:tcW w:w="1226" w:type="pct"/>
            <w:vAlign w:val="center"/>
          </w:tcPr>
          <w:p w14:paraId="26890267"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达标</w:t>
            </w:r>
            <w:proofErr w:type="spellEnd"/>
          </w:p>
        </w:tc>
      </w:tr>
    </w:tbl>
    <w:p w14:paraId="0A011207"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3.2-8   </w:t>
      </w:r>
      <w:r>
        <w:rPr>
          <w:rFonts w:ascii="Times New Roman" w:eastAsia="宋体" w:hAnsi="Times New Roman" w:cs="Times New Roman"/>
          <w:b/>
          <w:bCs/>
          <w:sz w:val="24"/>
          <w:szCs w:val="20"/>
        </w:rPr>
        <w:t>污染物去除效率</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2624"/>
        <w:gridCol w:w="2766"/>
        <w:gridCol w:w="2160"/>
      </w:tblGrid>
      <w:tr w:rsidR="002133E3" w14:paraId="7974E46B" w14:textId="77777777">
        <w:trPr>
          <w:trHeight w:val="397"/>
        </w:trPr>
        <w:tc>
          <w:tcPr>
            <w:tcW w:w="1085" w:type="pct"/>
            <w:vAlign w:val="center"/>
          </w:tcPr>
          <w:p w14:paraId="661D4B5E"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检测指标</w:t>
            </w:r>
            <w:proofErr w:type="spellEnd"/>
          </w:p>
        </w:tc>
        <w:tc>
          <w:tcPr>
            <w:tcW w:w="1360" w:type="pct"/>
            <w:vAlign w:val="center"/>
          </w:tcPr>
          <w:p w14:paraId="0CE1312A"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b/>
                <w:kern w:val="0"/>
                <w:position w:val="2"/>
                <w:lang w:eastAsia="en-US"/>
              </w:rPr>
              <w:t>COD</w:t>
            </w:r>
            <w:proofErr w:type="spellStart"/>
            <w:r>
              <w:rPr>
                <w:rFonts w:ascii="Times New Roman" w:eastAsia="宋体" w:hAnsi="Times New Roman" w:cs="Times New Roman"/>
                <w:b/>
                <w:kern w:val="0"/>
                <w:sz w:val="13"/>
                <w:lang w:eastAsia="en-US"/>
              </w:rPr>
              <w:t>Cr</w:t>
            </w:r>
            <w:r>
              <w:rPr>
                <w:rFonts w:ascii="Times New Roman" w:eastAsia="宋体" w:hAnsi="Times New Roman" w:cs="Times New Roman"/>
                <w:b/>
                <w:bCs/>
                <w:kern w:val="0"/>
                <w:szCs w:val="21"/>
                <w:lang w:eastAsia="en-US"/>
              </w:rPr>
              <w:t>（</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c>
          <w:tcPr>
            <w:tcW w:w="1434" w:type="pct"/>
            <w:vAlign w:val="center"/>
          </w:tcPr>
          <w:p w14:paraId="3627CDD5"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kern w:val="0"/>
                <w:lang w:eastAsia="en-US"/>
              </w:rPr>
              <w:t>SS</w:t>
            </w:r>
            <w:r>
              <w:rPr>
                <w:rFonts w:ascii="Times New Roman" w:eastAsia="宋体" w:hAnsi="Times New Roman" w:cs="Times New Roman"/>
                <w:b/>
                <w:bCs/>
                <w:kern w:val="0"/>
                <w:szCs w:val="21"/>
                <w:lang w:eastAsia="en-US"/>
              </w:rPr>
              <w:t>（</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c>
          <w:tcPr>
            <w:tcW w:w="1120" w:type="pct"/>
            <w:vAlign w:val="center"/>
          </w:tcPr>
          <w:p w14:paraId="30103959"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氨氮（</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r>
      <w:tr w:rsidR="002133E3" w14:paraId="42C9D1AD" w14:textId="77777777">
        <w:trPr>
          <w:trHeight w:val="397"/>
        </w:trPr>
        <w:tc>
          <w:tcPr>
            <w:tcW w:w="1085" w:type="pct"/>
            <w:vAlign w:val="center"/>
          </w:tcPr>
          <w:p w14:paraId="146BDBF4"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进口两日均值</w:t>
            </w:r>
            <w:proofErr w:type="spellEnd"/>
          </w:p>
        </w:tc>
        <w:tc>
          <w:tcPr>
            <w:tcW w:w="1360" w:type="pct"/>
            <w:vAlign w:val="center"/>
          </w:tcPr>
          <w:p w14:paraId="08E1D585"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28188</w:t>
            </w:r>
          </w:p>
        </w:tc>
        <w:tc>
          <w:tcPr>
            <w:tcW w:w="1434" w:type="pct"/>
            <w:vAlign w:val="center"/>
          </w:tcPr>
          <w:p w14:paraId="5AC8F36E"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3640</w:t>
            </w:r>
          </w:p>
        </w:tc>
        <w:tc>
          <w:tcPr>
            <w:tcW w:w="1120" w:type="pct"/>
            <w:vAlign w:val="center"/>
          </w:tcPr>
          <w:p w14:paraId="6A2FB1ED"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139</w:t>
            </w:r>
          </w:p>
        </w:tc>
      </w:tr>
      <w:tr w:rsidR="002133E3" w14:paraId="213C93D3" w14:textId="77777777">
        <w:trPr>
          <w:trHeight w:val="397"/>
        </w:trPr>
        <w:tc>
          <w:tcPr>
            <w:tcW w:w="1085" w:type="pct"/>
            <w:vAlign w:val="center"/>
          </w:tcPr>
          <w:p w14:paraId="537DA7FF"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出口两日均值</w:t>
            </w:r>
            <w:proofErr w:type="spellEnd"/>
          </w:p>
        </w:tc>
        <w:tc>
          <w:tcPr>
            <w:tcW w:w="1360" w:type="pct"/>
            <w:vAlign w:val="center"/>
          </w:tcPr>
          <w:p w14:paraId="16A2CCC9"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115</w:t>
            </w:r>
          </w:p>
        </w:tc>
        <w:tc>
          <w:tcPr>
            <w:tcW w:w="1434" w:type="pct"/>
            <w:vAlign w:val="center"/>
          </w:tcPr>
          <w:p w14:paraId="7E970B1D"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45</w:t>
            </w:r>
          </w:p>
        </w:tc>
        <w:tc>
          <w:tcPr>
            <w:tcW w:w="1120" w:type="pct"/>
            <w:vAlign w:val="center"/>
          </w:tcPr>
          <w:p w14:paraId="03925E69"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19.6</w:t>
            </w:r>
          </w:p>
        </w:tc>
      </w:tr>
      <w:tr w:rsidR="002133E3" w14:paraId="67CEF772" w14:textId="77777777">
        <w:trPr>
          <w:trHeight w:val="397"/>
        </w:trPr>
        <w:tc>
          <w:tcPr>
            <w:tcW w:w="1085" w:type="pct"/>
            <w:vAlign w:val="center"/>
          </w:tcPr>
          <w:p w14:paraId="2BFFC98A"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去除效率</w:t>
            </w:r>
            <w:proofErr w:type="spellEnd"/>
          </w:p>
        </w:tc>
        <w:tc>
          <w:tcPr>
            <w:tcW w:w="1360" w:type="pct"/>
            <w:vAlign w:val="center"/>
          </w:tcPr>
          <w:p w14:paraId="0EE37C5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99.6</w:t>
            </w:r>
          </w:p>
        </w:tc>
        <w:tc>
          <w:tcPr>
            <w:tcW w:w="1434" w:type="pct"/>
            <w:vAlign w:val="center"/>
          </w:tcPr>
          <w:p w14:paraId="4825DAD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98.8</w:t>
            </w:r>
          </w:p>
        </w:tc>
        <w:tc>
          <w:tcPr>
            <w:tcW w:w="1120" w:type="pct"/>
            <w:vAlign w:val="center"/>
          </w:tcPr>
          <w:p w14:paraId="6F493DA6"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rPr>
              <w:t>85.9</w:t>
            </w:r>
          </w:p>
        </w:tc>
      </w:tr>
    </w:tbl>
    <w:p w14:paraId="09F7D138"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3.2-9   </w:t>
      </w:r>
      <w:r>
        <w:rPr>
          <w:rFonts w:ascii="Times New Roman" w:eastAsia="宋体" w:hAnsi="Times New Roman" w:cs="Times New Roman"/>
          <w:b/>
          <w:bCs/>
          <w:sz w:val="24"/>
          <w:szCs w:val="20"/>
        </w:rPr>
        <w:t>清下水水质检测结果及评价</w:t>
      </w:r>
    </w:p>
    <w:tbl>
      <w:tblPr>
        <w:tblW w:w="50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82"/>
        <w:gridCol w:w="2370"/>
        <w:gridCol w:w="2437"/>
        <w:gridCol w:w="2619"/>
      </w:tblGrid>
      <w:tr w:rsidR="002133E3" w14:paraId="4504AED4" w14:textId="77777777">
        <w:trPr>
          <w:trHeight w:val="340"/>
        </w:trPr>
        <w:tc>
          <w:tcPr>
            <w:tcW w:w="1175" w:type="pct"/>
            <w:vAlign w:val="center"/>
          </w:tcPr>
          <w:p w14:paraId="03220E0A"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采样点位</w:t>
            </w:r>
            <w:proofErr w:type="spellEnd"/>
          </w:p>
        </w:tc>
        <w:tc>
          <w:tcPr>
            <w:tcW w:w="1219" w:type="pct"/>
            <w:vAlign w:val="center"/>
          </w:tcPr>
          <w:p w14:paraId="4C814E0E"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采样日期</w:t>
            </w:r>
            <w:proofErr w:type="spellEnd"/>
          </w:p>
        </w:tc>
        <w:tc>
          <w:tcPr>
            <w:tcW w:w="1255" w:type="pct"/>
            <w:vAlign w:val="center"/>
          </w:tcPr>
          <w:p w14:paraId="179C4050"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悬浮物（</w:t>
            </w:r>
            <w:r>
              <w:rPr>
                <w:rFonts w:ascii="Times New Roman" w:eastAsia="宋体" w:hAnsi="Times New Roman" w:cs="Times New Roman"/>
                <w:b/>
                <w:bCs/>
                <w:kern w:val="0"/>
                <w:szCs w:val="21"/>
                <w:lang w:eastAsia="en-US"/>
              </w:rPr>
              <w:t>mg</w:t>
            </w:r>
            <w:proofErr w:type="spellEnd"/>
            <w:r>
              <w:rPr>
                <w:rFonts w:ascii="Times New Roman" w:eastAsia="宋体" w:hAnsi="Times New Roman" w:cs="Times New Roman"/>
                <w:b/>
                <w:bCs/>
                <w:kern w:val="0"/>
                <w:szCs w:val="21"/>
                <w:lang w:eastAsia="en-US"/>
              </w:rPr>
              <w:t>/L</w:t>
            </w:r>
            <w:r>
              <w:rPr>
                <w:rFonts w:ascii="Times New Roman" w:eastAsia="宋体" w:hAnsi="Times New Roman" w:cs="Times New Roman"/>
                <w:b/>
                <w:bCs/>
                <w:kern w:val="0"/>
                <w:szCs w:val="21"/>
                <w:lang w:eastAsia="en-US"/>
              </w:rPr>
              <w:t>）</w:t>
            </w:r>
          </w:p>
        </w:tc>
        <w:tc>
          <w:tcPr>
            <w:tcW w:w="1349" w:type="pct"/>
            <w:vAlign w:val="center"/>
          </w:tcPr>
          <w:p w14:paraId="605C03A5"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b/>
                <w:bCs/>
                <w:kern w:val="0"/>
                <w:szCs w:val="21"/>
              </w:rPr>
              <w:t>化学需氧量（</w:t>
            </w:r>
            <w:r>
              <w:rPr>
                <w:rFonts w:ascii="Times New Roman" w:eastAsia="宋体" w:hAnsi="Times New Roman" w:cs="Times New Roman"/>
                <w:b/>
                <w:bCs/>
                <w:kern w:val="0"/>
                <w:szCs w:val="21"/>
              </w:rPr>
              <w:t>mg/L</w:t>
            </w:r>
            <w:r>
              <w:rPr>
                <w:rFonts w:ascii="Times New Roman" w:eastAsia="宋体" w:hAnsi="Times New Roman" w:cs="Times New Roman"/>
                <w:b/>
                <w:bCs/>
                <w:kern w:val="0"/>
                <w:szCs w:val="21"/>
              </w:rPr>
              <w:t>）</w:t>
            </w:r>
          </w:p>
        </w:tc>
      </w:tr>
      <w:tr w:rsidR="002133E3" w14:paraId="519B0D1C" w14:textId="77777777">
        <w:trPr>
          <w:trHeight w:val="340"/>
        </w:trPr>
        <w:tc>
          <w:tcPr>
            <w:tcW w:w="1175" w:type="pct"/>
            <w:vMerge w:val="restart"/>
            <w:vAlign w:val="center"/>
          </w:tcPr>
          <w:p w14:paraId="5FB3C558"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清下水排口</w:t>
            </w:r>
            <w:proofErr w:type="spellEnd"/>
          </w:p>
        </w:tc>
        <w:tc>
          <w:tcPr>
            <w:tcW w:w="1219" w:type="pct"/>
            <w:vMerge w:val="restart"/>
            <w:vAlign w:val="center"/>
          </w:tcPr>
          <w:p w14:paraId="0EA6A201"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05.29</w:t>
            </w:r>
          </w:p>
        </w:tc>
        <w:tc>
          <w:tcPr>
            <w:tcW w:w="1255" w:type="pct"/>
            <w:vAlign w:val="center"/>
          </w:tcPr>
          <w:p w14:paraId="29A1BC75"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9</w:t>
            </w:r>
          </w:p>
        </w:tc>
        <w:tc>
          <w:tcPr>
            <w:tcW w:w="1349" w:type="pct"/>
            <w:vAlign w:val="center"/>
          </w:tcPr>
          <w:p w14:paraId="3CC7A1E8"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kern w:val="0"/>
                <w:lang w:eastAsia="en-US"/>
              </w:rPr>
              <w:t>34</w:t>
            </w:r>
          </w:p>
        </w:tc>
      </w:tr>
      <w:tr w:rsidR="002133E3" w14:paraId="3D3DF533" w14:textId="77777777">
        <w:trPr>
          <w:trHeight w:val="340"/>
        </w:trPr>
        <w:tc>
          <w:tcPr>
            <w:tcW w:w="1175" w:type="pct"/>
            <w:vMerge/>
            <w:vAlign w:val="center"/>
          </w:tcPr>
          <w:p w14:paraId="4452BE1E" w14:textId="77777777" w:rsidR="002133E3" w:rsidRDefault="002133E3">
            <w:pPr>
              <w:spacing w:line="0" w:lineRule="atLeast"/>
              <w:jc w:val="center"/>
              <w:rPr>
                <w:rFonts w:ascii="Times New Roman" w:eastAsia="宋体" w:hAnsi="Times New Roman" w:cs="Times New Roman"/>
                <w:kern w:val="0"/>
                <w:szCs w:val="21"/>
                <w:lang w:eastAsia="en-US"/>
              </w:rPr>
            </w:pPr>
          </w:p>
        </w:tc>
        <w:tc>
          <w:tcPr>
            <w:tcW w:w="1219" w:type="pct"/>
            <w:vMerge/>
            <w:vAlign w:val="center"/>
          </w:tcPr>
          <w:p w14:paraId="355461A9" w14:textId="77777777" w:rsidR="002133E3" w:rsidRDefault="002133E3">
            <w:pPr>
              <w:spacing w:line="0" w:lineRule="atLeast"/>
              <w:jc w:val="center"/>
              <w:rPr>
                <w:rFonts w:ascii="Times New Roman" w:eastAsia="宋体" w:hAnsi="Times New Roman" w:cs="Times New Roman"/>
                <w:kern w:val="0"/>
                <w:lang w:eastAsia="en-US"/>
              </w:rPr>
            </w:pPr>
          </w:p>
        </w:tc>
        <w:tc>
          <w:tcPr>
            <w:tcW w:w="1255" w:type="pct"/>
            <w:vAlign w:val="center"/>
          </w:tcPr>
          <w:p w14:paraId="0133654B"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7</w:t>
            </w:r>
          </w:p>
        </w:tc>
        <w:tc>
          <w:tcPr>
            <w:tcW w:w="1349" w:type="pct"/>
            <w:vAlign w:val="center"/>
          </w:tcPr>
          <w:p w14:paraId="2BC19A01"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33</w:t>
            </w:r>
          </w:p>
        </w:tc>
      </w:tr>
      <w:tr w:rsidR="002133E3" w14:paraId="68B0CE71" w14:textId="77777777">
        <w:trPr>
          <w:trHeight w:val="340"/>
        </w:trPr>
        <w:tc>
          <w:tcPr>
            <w:tcW w:w="1175" w:type="pct"/>
            <w:vMerge/>
            <w:vAlign w:val="center"/>
          </w:tcPr>
          <w:p w14:paraId="0CF48CE5" w14:textId="77777777" w:rsidR="002133E3" w:rsidRDefault="002133E3">
            <w:pPr>
              <w:spacing w:line="0" w:lineRule="atLeast"/>
              <w:jc w:val="center"/>
              <w:rPr>
                <w:rFonts w:ascii="Times New Roman" w:eastAsia="宋体" w:hAnsi="Times New Roman" w:cs="Times New Roman"/>
                <w:kern w:val="0"/>
                <w:szCs w:val="21"/>
                <w:lang w:eastAsia="en-US"/>
              </w:rPr>
            </w:pPr>
          </w:p>
        </w:tc>
        <w:tc>
          <w:tcPr>
            <w:tcW w:w="1219" w:type="pct"/>
            <w:vMerge/>
            <w:vAlign w:val="center"/>
          </w:tcPr>
          <w:p w14:paraId="1CCDE371" w14:textId="77777777" w:rsidR="002133E3" w:rsidRDefault="002133E3">
            <w:pPr>
              <w:spacing w:line="0" w:lineRule="atLeast"/>
              <w:jc w:val="center"/>
              <w:rPr>
                <w:rFonts w:ascii="Times New Roman" w:eastAsia="宋体" w:hAnsi="Times New Roman" w:cs="Times New Roman"/>
                <w:kern w:val="0"/>
                <w:lang w:eastAsia="en-US"/>
              </w:rPr>
            </w:pPr>
          </w:p>
        </w:tc>
        <w:tc>
          <w:tcPr>
            <w:tcW w:w="1255" w:type="pct"/>
            <w:vAlign w:val="center"/>
          </w:tcPr>
          <w:p w14:paraId="219B2D03"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8</w:t>
            </w:r>
          </w:p>
        </w:tc>
        <w:tc>
          <w:tcPr>
            <w:tcW w:w="1349" w:type="pct"/>
            <w:vAlign w:val="center"/>
          </w:tcPr>
          <w:p w14:paraId="591A8017"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36</w:t>
            </w:r>
          </w:p>
        </w:tc>
      </w:tr>
      <w:tr w:rsidR="002133E3" w14:paraId="16F58E7D" w14:textId="77777777">
        <w:trPr>
          <w:trHeight w:val="340"/>
        </w:trPr>
        <w:tc>
          <w:tcPr>
            <w:tcW w:w="1175" w:type="pct"/>
            <w:vMerge/>
            <w:vAlign w:val="center"/>
          </w:tcPr>
          <w:p w14:paraId="61ECA7F4" w14:textId="77777777" w:rsidR="002133E3" w:rsidRDefault="002133E3">
            <w:pPr>
              <w:spacing w:line="0" w:lineRule="atLeast"/>
              <w:jc w:val="center"/>
              <w:rPr>
                <w:rFonts w:ascii="Times New Roman" w:eastAsia="宋体" w:hAnsi="Times New Roman" w:cs="Times New Roman"/>
                <w:kern w:val="0"/>
                <w:szCs w:val="21"/>
                <w:lang w:eastAsia="en-US"/>
              </w:rPr>
            </w:pPr>
          </w:p>
        </w:tc>
        <w:tc>
          <w:tcPr>
            <w:tcW w:w="1219" w:type="pct"/>
            <w:vMerge/>
            <w:vAlign w:val="center"/>
          </w:tcPr>
          <w:p w14:paraId="4EF432DA" w14:textId="77777777" w:rsidR="002133E3" w:rsidRDefault="002133E3">
            <w:pPr>
              <w:spacing w:line="0" w:lineRule="atLeast"/>
              <w:jc w:val="center"/>
              <w:rPr>
                <w:rFonts w:ascii="Times New Roman" w:eastAsia="宋体" w:hAnsi="Times New Roman" w:cs="Times New Roman"/>
                <w:kern w:val="0"/>
                <w:lang w:eastAsia="en-US"/>
              </w:rPr>
            </w:pPr>
          </w:p>
        </w:tc>
        <w:tc>
          <w:tcPr>
            <w:tcW w:w="1255" w:type="pct"/>
            <w:vAlign w:val="center"/>
          </w:tcPr>
          <w:p w14:paraId="094FAEAA"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6</w:t>
            </w:r>
          </w:p>
        </w:tc>
        <w:tc>
          <w:tcPr>
            <w:tcW w:w="1349" w:type="pct"/>
            <w:vAlign w:val="center"/>
          </w:tcPr>
          <w:p w14:paraId="50EC5E96"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35</w:t>
            </w:r>
          </w:p>
        </w:tc>
      </w:tr>
      <w:tr w:rsidR="002133E3" w14:paraId="32AEEF88" w14:textId="77777777">
        <w:trPr>
          <w:trHeight w:val="340"/>
        </w:trPr>
        <w:tc>
          <w:tcPr>
            <w:tcW w:w="1175" w:type="pct"/>
            <w:vMerge/>
            <w:vAlign w:val="center"/>
          </w:tcPr>
          <w:p w14:paraId="65681DC3" w14:textId="77777777" w:rsidR="002133E3" w:rsidRDefault="002133E3">
            <w:pPr>
              <w:spacing w:line="0" w:lineRule="atLeast"/>
              <w:jc w:val="center"/>
              <w:rPr>
                <w:rFonts w:ascii="Times New Roman" w:eastAsia="宋体" w:hAnsi="Times New Roman" w:cs="Times New Roman"/>
                <w:kern w:val="0"/>
                <w:szCs w:val="21"/>
                <w:lang w:eastAsia="en-US"/>
              </w:rPr>
            </w:pPr>
          </w:p>
        </w:tc>
        <w:tc>
          <w:tcPr>
            <w:tcW w:w="1219" w:type="pct"/>
            <w:vMerge w:val="restart"/>
            <w:vAlign w:val="center"/>
          </w:tcPr>
          <w:p w14:paraId="664A9F33"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05.30</w:t>
            </w:r>
          </w:p>
        </w:tc>
        <w:tc>
          <w:tcPr>
            <w:tcW w:w="1255" w:type="pct"/>
            <w:vAlign w:val="center"/>
          </w:tcPr>
          <w:p w14:paraId="57CA4DCE"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8</w:t>
            </w:r>
          </w:p>
        </w:tc>
        <w:tc>
          <w:tcPr>
            <w:tcW w:w="1349" w:type="pct"/>
            <w:vAlign w:val="center"/>
          </w:tcPr>
          <w:p w14:paraId="0717AF5B"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33</w:t>
            </w:r>
          </w:p>
        </w:tc>
      </w:tr>
      <w:tr w:rsidR="002133E3" w14:paraId="4F24173E" w14:textId="77777777">
        <w:trPr>
          <w:trHeight w:val="340"/>
        </w:trPr>
        <w:tc>
          <w:tcPr>
            <w:tcW w:w="1175" w:type="pct"/>
            <w:vMerge/>
            <w:vAlign w:val="center"/>
          </w:tcPr>
          <w:p w14:paraId="7C27F418" w14:textId="77777777" w:rsidR="002133E3" w:rsidRDefault="002133E3">
            <w:pPr>
              <w:spacing w:line="0" w:lineRule="atLeast"/>
              <w:jc w:val="center"/>
              <w:rPr>
                <w:rFonts w:ascii="Times New Roman" w:eastAsia="宋体" w:hAnsi="Times New Roman" w:cs="Times New Roman"/>
                <w:kern w:val="0"/>
                <w:szCs w:val="21"/>
                <w:lang w:eastAsia="en-US"/>
              </w:rPr>
            </w:pPr>
          </w:p>
        </w:tc>
        <w:tc>
          <w:tcPr>
            <w:tcW w:w="1219" w:type="pct"/>
            <w:vMerge/>
            <w:vAlign w:val="center"/>
          </w:tcPr>
          <w:p w14:paraId="23CC25B2" w14:textId="77777777" w:rsidR="002133E3" w:rsidRDefault="002133E3">
            <w:pPr>
              <w:spacing w:line="0" w:lineRule="atLeast"/>
              <w:jc w:val="center"/>
              <w:rPr>
                <w:rFonts w:ascii="Times New Roman" w:eastAsia="宋体" w:hAnsi="Times New Roman" w:cs="Times New Roman"/>
                <w:kern w:val="0"/>
                <w:lang w:eastAsia="en-US"/>
              </w:rPr>
            </w:pPr>
          </w:p>
        </w:tc>
        <w:tc>
          <w:tcPr>
            <w:tcW w:w="1255" w:type="pct"/>
            <w:vAlign w:val="center"/>
          </w:tcPr>
          <w:p w14:paraId="69CEE392"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6</w:t>
            </w:r>
          </w:p>
        </w:tc>
        <w:tc>
          <w:tcPr>
            <w:tcW w:w="1349" w:type="pct"/>
            <w:vAlign w:val="center"/>
          </w:tcPr>
          <w:p w14:paraId="40FD43F0"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36</w:t>
            </w:r>
          </w:p>
        </w:tc>
      </w:tr>
      <w:tr w:rsidR="002133E3" w14:paraId="51819C71" w14:textId="77777777">
        <w:trPr>
          <w:trHeight w:val="340"/>
        </w:trPr>
        <w:tc>
          <w:tcPr>
            <w:tcW w:w="1175" w:type="pct"/>
            <w:vMerge/>
            <w:vAlign w:val="center"/>
          </w:tcPr>
          <w:p w14:paraId="369C832F" w14:textId="77777777" w:rsidR="002133E3" w:rsidRDefault="002133E3">
            <w:pPr>
              <w:spacing w:line="0" w:lineRule="atLeast"/>
              <w:jc w:val="center"/>
              <w:rPr>
                <w:rFonts w:ascii="Times New Roman" w:eastAsia="宋体" w:hAnsi="Times New Roman" w:cs="Times New Roman"/>
                <w:kern w:val="0"/>
                <w:szCs w:val="21"/>
                <w:lang w:eastAsia="en-US"/>
              </w:rPr>
            </w:pPr>
          </w:p>
        </w:tc>
        <w:tc>
          <w:tcPr>
            <w:tcW w:w="1219" w:type="pct"/>
            <w:vMerge/>
            <w:vAlign w:val="center"/>
          </w:tcPr>
          <w:p w14:paraId="2D617DDD" w14:textId="77777777" w:rsidR="002133E3" w:rsidRDefault="002133E3">
            <w:pPr>
              <w:spacing w:line="0" w:lineRule="atLeast"/>
              <w:jc w:val="center"/>
              <w:rPr>
                <w:rFonts w:ascii="Times New Roman" w:eastAsia="宋体" w:hAnsi="Times New Roman" w:cs="Times New Roman"/>
                <w:kern w:val="0"/>
                <w:lang w:eastAsia="en-US"/>
              </w:rPr>
            </w:pPr>
          </w:p>
        </w:tc>
        <w:tc>
          <w:tcPr>
            <w:tcW w:w="1255" w:type="pct"/>
            <w:vAlign w:val="center"/>
          </w:tcPr>
          <w:p w14:paraId="10264E52"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7</w:t>
            </w:r>
          </w:p>
        </w:tc>
        <w:tc>
          <w:tcPr>
            <w:tcW w:w="1349" w:type="pct"/>
            <w:vAlign w:val="center"/>
          </w:tcPr>
          <w:p w14:paraId="28975AC2"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35</w:t>
            </w:r>
          </w:p>
        </w:tc>
      </w:tr>
      <w:tr w:rsidR="002133E3" w14:paraId="1CB35934" w14:textId="77777777">
        <w:trPr>
          <w:trHeight w:val="340"/>
        </w:trPr>
        <w:tc>
          <w:tcPr>
            <w:tcW w:w="1175" w:type="pct"/>
            <w:vMerge/>
            <w:vAlign w:val="center"/>
          </w:tcPr>
          <w:p w14:paraId="745B7E54" w14:textId="77777777" w:rsidR="002133E3" w:rsidRDefault="002133E3">
            <w:pPr>
              <w:spacing w:line="0" w:lineRule="atLeast"/>
              <w:jc w:val="center"/>
              <w:rPr>
                <w:rFonts w:ascii="Times New Roman" w:eastAsia="宋体" w:hAnsi="Times New Roman" w:cs="Times New Roman"/>
                <w:kern w:val="0"/>
                <w:szCs w:val="21"/>
                <w:lang w:eastAsia="en-US"/>
              </w:rPr>
            </w:pPr>
          </w:p>
        </w:tc>
        <w:tc>
          <w:tcPr>
            <w:tcW w:w="1219" w:type="pct"/>
            <w:vMerge/>
            <w:vAlign w:val="center"/>
          </w:tcPr>
          <w:p w14:paraId="750A5034" w14:textId="77777777" w:rsidR="002133E3" w:rsidRDefault="002133E3">
            <w:pPr>
              <w:spacing w:line="0" w:lineRule="atLeast"/>
              <w:jc w:val="center"/>
              <w:rPr>
                <w:rFonts w:ascii="Times New Roman" w:eastAsia="宋体" w:hAnsi="Times New Roman" w:cs="Times New Roman"/>
                <w:kern w:val="0"/>
                <w:lang w:eastAsia="en-US"/>
              </w:rPr>
            </w:pPr>
          </w:p>
        </w:tc>
        <w:tc>
          <w:tcPr>
            <w:tcW w:w="1255" w:type="pct"/>
            <w:vAlign w:val="center"/>
          </w:tcPr>
          <w:p w14:paraId="27B3C61D"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9</w:t>
            </w:r>
          </w:p>
        </w:tc>
        <w:tc>
          <w:tcPr>
            <w:tcW w:w="1349" w:type="pct"/>
            <w:vAlign w:val="center"/>
          </w:tcPr>
          <w:p w14:paraId="36C41DAD"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37</w:t>
            </w:r>
          </w:p>
        </w:tc>
      </w:tr>
      <w:tr w:rsidR="002133E3" w14:paraId="4B93053F" w14:textId="77777777">
        <w:trPr>
          <w:trHeight w:val="340"/>
        </w:trPr>
        <w:tc>
          <w:tcPr>
            <w:tcW w:w="2395" w:type="pct"/>
            <w:gridSpan w:val="2"/>
            <w:vAlign w:val="center"/>
          </w:tcPr>
          <w:p w14:paraId="2771F430"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spacing w:val="-14"/>
                <w:kern w:val="0"/>
                <w:sz w:val="22"/>
              </w:rPr>
              <w:t>连云港市环境保护局预审意见</w:t>
            </w:r>
          </w:p>
        </w:tc>
        <w:tc>
          <w:tcPr>
            <w:tcW w:w="1255" w:type="pct"/>
            <w:vAlign w:val="center"/>
          </w:tcPr>
          <w:p w14:paraId="59B1962D"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w:t>
            </w:r>
          </w:p>
        </w:tc>
        <w:tc>
          <w:tcPr>
            <w:tcW w:w="1349" w:type="pct"/>
            <w:vAlign w:val="center"/>
          </w:tcPr>
          <w:p w14:paraId="0CDB13CB"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40</w:t>
            </w:r>
          </w:p>
        </w:tc>
      </w:tr>
      <w:tr w:rsidR="002133E3" w14:paraId="6052626F" w14:textId="77777777">
        <w:trPr>
          <w:trHeight w:val="340"/>
        </w:trPr>
        <w:tc>
          <w:tcPr>
            <w:tcW w:w="2395" w:type="pct"/>
            <w:gridSpan w:val="2"/>
            <w:vAlign w:val="center"/>
          </w:tcPr>
          <w:p w14:paraId="623D2C0F"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spacing w:val="-14"/>
                <w:kern w:val="0"/>
                <w:sz w:val="22"/>
              </w:rPr>
              <w:t>是否达标</w:t>
            </w:r>
          </w:p>
        </w:tc>
        <w:tc>
          <w:tcPr>
            <w:tcW w:w="1255" w:type="pct"/>
            <w:vAlign w:val="center"/>
          </w:tcPr>
          <w:p w14:paraId="5FD0240C" w14:textId="77777777" w:rsidR="002133E3" w:rsidRDefault="00C22CFA">
            <w:pPr>
              <w:spacing w:line="0" w:lineRule="atLeast"/>
              <w:jc w:val="center"/>
              <w:rPr>
                <w:rFonts w:ascii="Times New Roman" w:eastAsia="宋体" w:hAnsi="Times New Roman" w:cs="Times New Roman"/>
                <w:w w:val="99"/>
                <w:kern w:val="0"/>
              </w:rPr>
            </w:pPr>
            <w:r>
              <w:rPr>
                <w:rFonts w:ascii="Times New Roman" w:eastAsia="宋体" w:hAnsi="Times New Roman" w:cs="Times New Roman"/>
                <w:w w:val="99"/>
                <w:kern w:val="0"/>
              </w:rPr>
              <w:t>/</w:t>
            </w:r>
          </w:p>
        </w:tc>
        <w:tc>
          <w:tcPr>
            <w:tcW w:w="1349" w:type="pct"/>
            <w:vAlign w:val="center"/>
          </w:tcPr>
          <w:p w14:paraId="4F03D014" w14:textId="77777777" w:rsidR="002133E3" w:rsidRDefault="00C22CFA">
            <w:pPr>
              <w:spacing w:line="0" w:lineRule="atLeast"/>
              <w:jc w:val="center"/>
              <w:rPr>
                <w:rFonts w:ascii="Times New Roman" w:eastAsia="宋体" w:hAnsi="Times New Roman" w:cs="Times New Roman"/>
                <w:kern w:val="0"/>
              </w:rPr>
            </w:pPr>
            <w:r>
              <w:rPr>
                <w:rFonts w:ascii="Times New Roman" w:eastAsia="宋体" w:hAnsi="Times New Roman" w:cs="Times New Roman"/>
                <w:kern w:val="0"/>
              </w:rPr>
              <w:t>是</w:t>
            </w:r>
          </w:p>
        </w:tc>
      </w:tr>
    </w:tbl>
    <w:p w14:paraId="53972DF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废气监测结果及评价</w:t>
      </w:r>
    </w:p>
    <w:p w14:paraId="69CC31CD" w14:textId="77777777" w:rsidR="002133E3" w:rsidRDefault="00C22CFA">
      <w:pPr>
        <w:widowControl/>
        <w:spacing w:line="520" w:lineRule="exact"/>
        <w:ind w:firstLineChars="200" w:firstLine="562"/>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w:t>
      </w:r>
      <w:r>
        <w:rPr>
          <w:rFonts w:ascii="Times New Roman" w:eastAsia="宋体" w:hAnsi="Times New Roman" w:cs="Times New Roman"/>
          <w:b/>
          <w:bCs/>
          <w:kern w:val="0"/>
          <w:sz w:val="28"/>
          <w:szCs w:val="28"/>
        </w:rPr>
        <w:t>1</w:t>
      </w:r>
      <w:r>
        <w:rPr>
          <w:rFonts w:ascii="Times New Roman" w:eastAsia="宋体" w:hAnsi="Times New Roman" w:cs="Times New Roman"/>
          <w:b/>
          <w:bCs/>
          <w:kern w:val="0"/>
          <w:sz w:val="28"/>
          <w:szCs w:val="28"/>
        </w:rPr>
        <w:t>）第一阶段：年产</w:t>
      </w:r>
      <w:r>
        <w:rPr>
          <w:rFonts w:ascii="Times New Roman" w:eastAsia="宋体" w:hAnsi="Times New Roman" w:cs="Times New Roman"/>
          <w:b/>
          <w:bCs/>
          <w:kern w:val="0"/>
          <w:sz w:val="28"/>
          <w:szCs w:val="28"/>
        </w:rPr>
        <w:t>20</w:t>
      </w:r>
      <w:r>
        <w:rPr>
          <w:rFonts w:ascii="Times New Roman" w:eastAsia="宋体" w:hAnsi="Times New Roman" w:cs="Times New Roman"/>
          <w:b/>
          <w:bCs/>
          <w:kern w:val="0"/>
          <w:sz w:val="28"/>
          <w:szCs w:val="28"/>
        </w:rPr>
        <w:t>万吨醋酸乙（丁）酯、配套建设年产</w:t>
      </w:r>
      <w:r>
        <w:rPr>
          <w:rFonts w:ascii="Times New Roman" w:eastAsia="宋体" w:hAnsi="Times New Roman" w:cs="Times New Roman"/>
          <w:b/>
          <w:bCs/>
          <w:kern w:val="0"/>
          <w:sz w:val="28"/>
          <w:szCs w:val="28"/>
        </w:rPr>
        <w:t>10</w:t>
      </w:r>
      <w:r>
        <w:rPr>
          <w:rFonts w:ascii="Times New Roman" w:eastAsia="宋体" w:hAnsi="Times New Roman" w:cs="Times New Roman"/>
          <w:b/>
          <w:bCs/>
          <w:kern w:val="0"/>
          <w:sz w:val="28"/>
          <w:szCs w:val="28"/>
        </w:rPr>
        <w:t>万吨乙醇生产线（不含二氧化碳回收装置）及沼气热电机组验收监测</w:t>
      </w:r>
    </w:p>
    <w:p w14:paraId="599F7F14"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第一次验收废气监测结果统计情况见表</w:t>
      </w:r>
      <w:r>
        <w:rPr>
          <w:rFonts w:ascii="Times New Roman" w:eastAsia="宋体" w:hAnsi="Times New Roman" w:cs="Times New Roman"/>
          <w:kern w:val="0"/>
          <w:sz w:val="28"/>
          <w:szCs w:val="28"/>
        </w:rPr>
        <w:t>3.2-10</w:t>
      </w:r>
      <w:r>
        <w:rPr>
          <w:rFonts w:ascii="Times New Roman" w:eastAsia="宋体" w:hAnsi="Times New Roman" w:cs="Times New Roman"/>
          <w:kern w:val="0"/>
          <w:sz w:val="28"/>
          <w:szCs w:val="28"/>
        </w:rPr>
        <w:t>至表</w:t>
      </w:r>
      <w:r>
        <w:rPr>
          <w:rFonts w:ascii="Times New Roman" w:eastAsia="宋体" w:hAnsi="Times New Roman" w:cs="Times New Roman"/>
          <w:kern w:val="0"/>
          <w:sz w:val="28"/>
          <w:szCs w:val="28"/>
        </w:rPr>
        <w:t>3.2-15</w:t>
      </w:r>
      <w:r>
        <w:rPr>
          <w:rFonts w:ascii="Times New Roman" w:eastAsia="宋体" w:hAnsi="Times New Roman" w:cs="Times New Roman"/>
          <w:kern w:val="0"/>
          <w:sz w:val="28"/>
          <w:szCs w:val="28"/>
        </w:rPr>
        <w:t>。验收监测期间，废气处理设施运行正常，监测结果表明：</w:t>
      </w:r>
    </w:p>
    <w:p w14:paraId="56DB1AE6"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①</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水膜除尘器的</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除尘器、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除尘器和</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除尘器排放废气中颗粒物排放浓度和排放速率最大值均符合《大气污染物综合排放标准》（</w:t>
      </w:r>
      <w:r>
        <w:rPr>
          <w:rFonts w:ascii="Times New Roman" w:eastAsia="宋体" w:hAnsi="Times New Roman" w:cs="Times New Roman"/>
          <w:kern w:val="0"/>
          <w:sz w:val="28"/>
          <w:szCs w:val="28"/>
        </w:rPr>
        <w:t>GB16297-1996</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二级标准，</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除尘器平均除尘效率分别为</w:t>
      </w:r>
      <w:r>
        <w:rPr>
          <w:rFonts w:ascii="Times New Roman" w:eastAsia="宋体" w:hAnsi="Times New Roman" w:cs="Times New Roman"/>
          <w:kern w:val="0"/>
          <w:sz w:val="28"/>
          <w:szCs w:val="28"/>
        </w:rPr>
        <w:t>98.7%</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98.7%</w:t>
      </w:r>
      <w:r>
        <w:rPr>
          <w:rFonts w:ascii="Times New Roman" w:eastAsia="宋体" w:hAnsi="Times New Roman" w:cs="Times New Roman"/>
          <w:kern w:val="0"/>
          <w:sz w:val="28"/>
          <w:szCs w:val="28"/>
        </w:rPr>
        <w:t>和</w:t>
      </w:r>
      <w:r>
        <w:rPr>
          <w:rFonts w:ascii="Times New Roman" w:eastAsia="宋体" w:hAnsi="Times New Roman" w:cs="Times New Roman"/>
          <w:kern w:val="0"/>
          <w:sz w:val="28"/>
          <w:szCs w:val="28"/>
        </w:rPr>
        <w:t>98.8%</w:t>
      </w:r>
      <w:r>
        <w:rPr>
          <w:rFonts w:ascii="Times New Roman" w:eastAsia="宋体" w:hAnsi="Times New Roman" w:cs="Times New Roman"/>
          <w:kern w:val="0"/>
          <w:sz w:val="28"/>
          <w:szCs w:val="28"/>
        </w:rPr>
        <w:t>。</w:t>
      </w:r>
    </w:p>
    <w:p w14:paraId="2EA3D454"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②</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有机废气水洗塔排放废气中乙醇排放浓度和排放速率最大值均符合项目环评报告书中排放限值要求。</w:t>
      </w:r>
    </w:p>
    <w:p w14:paraId="5E156E22"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③</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沼气锅炉烟尘、二氧化硫、氮氧化物排放浓度最大值和烟气黑度均符合《锅炉大气污染物排放标准》</w:t>
      </w:r>
      <w:r>
        <w:rPr>
          <w:rFonts w:ascii="Times New Roman" w:eastAsia="宋体" w:hAnsi="Times New Roman" w:cs="Times New Roman"/>
          <w:kern w:val="0"/>
          <w:sz w:val="28"/>
          <w:szCs w:val="28"/>
        </w:rPr>
        <w:t>(GB13271-2001)</w:t>
      </w:r>
      <w:r>
        <w:rPr>
          <w:rFonts w:ascii="Times New Roman" w:eastAsia="宋体" w:hAnsi="Times New Roman" w:cs="Times New Roman"/>
          <w:kern w:val="0"/>
          <w:sz w:val="28"/>
          <w:szCs w:val="28"/>
        </w:rPr>
        <w:t>中的燃气锅炉二类区</w:t>
      </w:r>
      <w:r>
        <w:rPr>
          <w:rFonts w:ascii="Times New Roman" w:eastAsia="宋体" w:hAnsi="Times New Roman" w:cs="Times New Roman"/>
          <w:kern w:val="0"/>
          <w:sz w:val="28"/>
          <w:szCs w:val="28"/>
        </w:rPr>
        <w:t>II</w:t>
      </w:r>
      <w:r>
        <w:rPr>
          <w:rFonts w:ascii="Times New Roman" w:eastAsia="宋体" w:hAnsi="Times New Roman" w:cs="Times New Roman"/>
          <w:kern w:val="0"/>
          <w:sz w:val="28"/>
          <w:szCs w:val="28"/>
        </w:rPr>
        <w:t>时段标准。</w:t>
      </w:r>
    </w:p>
    <w:p w14:paraId="772F0376"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w:t>
      </w:r>
      <w:r>
        <w:rPr>
          <w:rFonts w:ascii="Times New Roman" w:eastAsia="宋体" w:hAnsi="Times New Roman" w:cs="Times New Roman"/>
          <w:b/>
          <w:bCs/>
          <w:kern w:val="0"/>
          <w:sz w:val="28"/>
          <w:szCs w:val="28"/>
        </w:rPr>
        <w:t>2</w:t>
      </w:r>
      <w:r>
        <w:rPr>
          <w:rFonts w:ascii="Times New Roman" w:eastAsia="宋体" w:hAnsi="Times New Roman" w:cs="Times New Roman"/>
          <w:b/>
          <w:bCs/>
          <w:kern w:val="0"/>
          <w:sz w:val="28"/>
          <w:szCs w:val="28"/>
        </w:rPr>
        <w:t>）第二阶段：年产</w:t>
      </w:r>
      <w:r>
        <w:rPr>
          <w:rFonts w:ascii="Times New Roman" w:eastAsia="宋体" w:hAnsi="Times New Roman" w:cs="Times New Roman"/>
          <w:b/>
          <w:bCs/>
          <w:kern w:val="0"/>
          <w:sz w:val="28"/>
          <w:szCs w:val="28"/>
        </w:rPr>
        <w:t>10</w:t>
      </w:r>
      <w:r>
        <w:rPr>
          <w:rFonts w:ascii="Times New Roman" w:eastAsia="宋体" w:hAnsi="Times New Roman" w:cs="Times New Roman"/>
          <w:b/>
          <w:bCs/>
          <w:kern w:val="0"/>
          <w:sz w:val="28"/>
          <w:szCs w:val="28"/>
        </w:rPr>
        <w:t>万吨乙醛生产线验收监测</w:t>
      </w:r>
    </w:p>
    <w:p w14:paraId="61A4C265"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第二次验收废气监测结果统计情况见表</w:t>
      </w:r>
      <w:r>
        <w:rPr>
          <w:rFonts w:ascii="Times New Roman" w:eastAsia="宋体" w:hAnsi="Times New Roman" w:cs="Times New Roman"/>
          <w:kern w:val="0"/>
          <w:sz w:val="28"/>
          <w:szCs w:val="28"/>
        </w:rPr>
        <w:t>3.2-15</w:t>
      </w:r>
      <w:r>
        <w:rPr>
          <w:rFonts w:ascii="Times New Roman" w:eastAsia="宋体" w:hAnsi="Times New Roman" w:cs="Times New Roman"/>
          <w:kern w:val="0"/>
          <w:sz w:val="28"/>
          <w:szCs w:val="28"/>
        </w:rPr>
        <w:t>至表</w:t>
      </w:r>
      <w:r>
        <w:rPr>
          <w:rFonts w:ascii="Times New Roman" w:eastAsia="宋体" w:hAnsi="Times New Roman" w:cs="Times New Roman"/>
          <w:kern w:val="0"/>
          <w:sz w:val="28"/>
          <w:szCs w:val="28"/>
        </w:rPr>
        <w:t>3.2-17</w:t>
      </w:r>
      <w:r>
        <w:rPr>
          <w:rFonts w:ascii="Times New Roman" w:eastAsia="宋体" w:hAnsi="Times New Roman" w:cs="Times New Roman"/>
          <w:kern w:val="0"/>
          <w:sz w:val="28"/>
          <w:szCs w:val="28"/>
        </w:rPr>
        <w:t>。监测结果表明：</w:t>
      </w:r>
    </w:p>
    <w:p w14:paraId="08C298B4"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①</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项目有机废气处理设施出口</w:t>
      </w:r>
      <w:r>
        <w:rPr>
          <w:rFonts w:ascii="Times New Roman" w:eastAsia="宋体" w:hAnsi="Times New Roman" w:cs="Times New Roman"/>
          <w:kern w:val="0"/>
          <w:sz w:val="28"/>
          <w:szCs w:val="28"/>
        </w:rPr>
        <w:t>Q1</w:t>
      </w:r>
      <w:r>
        <w:rPr>
          <w:rFonts w:ascii="Times New Roman" w:eastAsia="宋体" w:hAnsi="Times New Roman" w:cs="Times New Roman"/>
          <w:kern w:val="0"/>
          <w:sz w:val="28"/>
          <w:szCs w:val="28"/>
        </w:rPr>
        <w:t>中乙醛排放浓度及排放速率均满足《大气污染物综合排放标准》（</w:t>
      </w:r>
      <w:r>
        <w:rPr>
          <w:rFonts w:ascii="Times New Roman" w:eastAsia="宋体" w:hAnsi="Times New Roman" w:cs="Times New Roman"/>
          <w:kern w:val="0"/>
          <w:sz w:val="28"/>
          <w:szCs w:val="28"/>
        </w:rPr>
        <w:t>GB16297-1996</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中的二级标准；乙醇排放浓度及排放速率均达到环评报告书建议限值；</w:t>
      </w:r>
    </w:p>
    <w:p w14:paraId="2C68D61B"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②</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厂界无组织废气排放中颗粒物、乙醛下风向最大浓度均满足《大气污染物综合排放标准》</w:t>
      </w:r>
      <w:r>
        <w:rPr>
          <w:rFonts w:ascii="Times New Roman" w:eastAsia="宋体" w:hAnsi="Times New Roman" w:cs="Times New Roman"/>
          <w:kern w:val="0"/>
          <w:sz w:val="28"/>
          <w:szCs w:val="28"/>
        </w:rPr>
        <w:t>(GB16297-1996)</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中二级标准；硫化氢、臭气浓度下风向最大浓度均满足《恶臭污染物排放标准》</w:t>
      </w:r>
      <w:r>
        <w:rPr>
          <w:rFonts w:ascii="Times New Roman" w:eastAsia="宋体" w:hAnsi="Times New Roman" w:cs="Times New Roman"/>
          <w:kern w:val="0"/>
          <w:sz w:val="28"/>
          <w:szCs w:val="28"/>
        </w:rPr>
        <w:t>(GB14554-93)</w:t>
      </w:r>
      <w:r>
        <w:rPr>
          <w:rFonts w:ascii="Times New Roman" w:eastAsia="宋体" w:hAnsi="Times New Roman" w:cs="Times New Roman"/>
          <w:kern w:val="0"/>
          <w:sz w:val="28"/>
          <w:szCs w:val="28"/>
        </w:rPr>
        <w:t>中表</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二级新改扩建标准。</w:t>
      </w:r>
    </w:p>
    <w:p w14:paraId="5357EEE7" w14:textId="77777777" w:rsidR="002133E3" w:rsidRDefault="002133E3">
      <w:pPr>
        <w:widowControl/>
        <w:spacing w:line="520" w:lineRule="exact"/>
        <w:ind w:firstLineChars="200" w:firstLine="420"/>
        <w:jc w:val="left"/>
        <w:rPr>
          <w:rFonts w:ascii="Times New Roman" w:hAnsi="Times New Roman" w:cs="Times New Roman"/>
        </w:rPr>
        <w:sectPr w:rsidR="002133E3">
          <w:footerReference w:type="even" r:id="rId30"/>
          <w:footerReference w:type="default" r:id="rId31"/>
          <w:pgSz w:w="11906" w:h="16838"/>
          <w:pgMar w:top="1134" w:right="1134" w:bottom="1134" w:left="1134" w:header="850" w:footer="992" w:gutter="0"/>
          <w:cols w:space="720"/>
          <w:docGrid w:linePitch="312"/>
        </w:sectPr>
      </w:pPr>
    </w:p>
    <w:p w14:paraId="6F74E4D7"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lastRenderedPageBreak/>
        <w:t>表</w:t>
      </w:r>
      <w:r>
        <w:rPr>
          <w:rFonts w:ascii="Times New Roman" w:eastAsia="宋体" w:hAnsi="Times New Roman" w:cs="Times New Roman"/>
          <w:b/>
          <w:bCs/>
          <w:szCs w:val="21"/>
        </w:rPr>
        <w:t>3.2-10  1#</w:t>
      </w:r>
      <w:r>
        <w:rPr>
          <w:rFonts w:ascii="Times New Roman" w:eastAsia="宋体" w:hAnsi="Times New Roman" w:cs="Times New Roman"/>
          <w:b/>
          <w:bCs/>
          <w:szCs w:val="21"/>
        </w:rPr>
        <w:t>除尘器废气监测结果（第一阶段）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2"/>
        <w:gridCol w:w="1135"/>
        <w:gridCol w:w="853"/>
        <w:gridCol w:w="904"/>
        <w:gridCol w:w="938"/>
        <w:gridCol w:w="992"/>
        <w:gridCol w:w="992"/>
        <w:gridCol w:w="992"/>
        <w:gridCol w:w="901"/>
        <w:gridCol w:w="941"/>
        <w:gridCol w:w="933"/>
        <w:gridCol w:w="896"/>
        <w:gridCol w:w="910"/>
        <w:gridCol w:w="879"/>
      </w:tblGrid>
      <w:tr w:rsidR="002133E3" w14:paraId="111C29D6" w14:textId="77777777">
        <w:tc>
          <w:tcPr>
            <w:tcW w:w="1952" w:type="dxa"/>
            <w:vMerge w:val="restart"/>
            <w:vAlign w:val="center"/>
          </w:tcPr>
          <w:p w14:paraId="727BEC8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w:t>
            </w:r>
          </w:p>
        </w:tc>
        <w:tc>
          <w:tcPr>
            <w:tcW w:w="1135" w:type="dxa"/>
            <w:vMerge w:val="restart"/>
            <w:vAlign w:val="center"/>
          </w:tcPr>
          <w:p w14:paraId="172E3B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单位</w:t>
            </w:r>
          </w:p>
        </w:tc>
        <w:tc>
          <w:tcPr>
            <w:tcW w:w="5671" w:type="dxa"/>
            <w:gridSpan w:val="6"/>
            <w:vAlign w:val="center"/>
          </w:tcPr>
          <w:p w14:paraId="63A508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进</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Q1</w:t>
            </w:r>
          </w:p>
        </w:tc>
        <w:tc>
          <w:tcPr>
            <w:tcW w:w="5460" w:type="dxa"/>
            <w:gridSpan w:val="6"/>
            <w:vAlign w:val="center"/>
          </w:tcPr>
          <w:p w14:paraId="4D38A4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出</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Q2</w:t>
            </w:r>
          </w:p>
        </w:tc>
      </w:tr>
      <w:tr w:rsidR="002133E3" w14:paraId="007A3DF5" w14:textId="77777777">
        <w:tc>
          <w:tcPr>
            <w:tcW w:w="1952" w:type="dxa"/>
            <w:vMerge/>
            <w:vAlign w:val="center"/>
          </w:tcPr>
          <w:p w14:paraId="007DB563" w14:textId="77777777" w:rsidR="002133E3" w:rsidRDefault="002133E3">
            <w:pPr>
              <w:rPr>
                <w:rFonts w:ascii="Times New Roman" w:eastAsia="宋体" w:hAnsi="Times New Roman" w:cs="Times New Roman"/>
                <w:szCs w:val="21"/>
              </w:rPr>
            </w:pPr>
          </w:p>
        </w:tc>
        <w:tc>
          <w:tcPr>
            <w:tcW w:w="1135" w:type="dxa"/>
            <w:vMerge/>
            <w:vAlign w:val="center"/>
          </w:tcPr>
          <w:p w14:paraId="71A444BE" w14:textId="77777777" w:rsidR="002133E3" w:rsidRDefault="002133E3">
            <w:pPr>
              <w:rPr>
                <w:rFonts w:ascii="Times New Roman" w:eastAsia="宋体" w:hAnsi="Times New Roman" w:cs="Times New Roman"/>
                <w:szCs w:val="21"/>
              </w:rPr>
            </w:pPr>
          </w:p>
        </w:tc>
        <w:tc>
          <w:tcPr>
            <w:tcW w:w="2695" w:type="dxa"/>
            <w:gridSpan w:val="3"/>
            <w:vAlign w:val="center"/>
          </w:tcPr>
          <w:p w14:paraId="45EE2C8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2011.9.29</w:t>
            </w:r>
          </w:p>
        </w:tc>
        <w:tc>
          <w:tcPr>
            <w:tcW w:w="2976" w:type="dxa"/>
            <w:gridSpan w:val="3"/>
          </w:tcPr>
          <w:p w14:paraId="5D30087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2011.9.30</w:t>
            </w:r>
          </w:p>
        </w:tc>
        <w:tc>
          <w:tcPr>
            <w:tcW w:w="2775" w:type="dxa"/>
            <w:gridSpan w:val="3"/>
            <w:vAlign w:val="center"/>
          </w:tcPr>
          <w:p w14:paraId="16C0D47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2011.9.29</w:t>
            </w:r>
          </w:p>
        </w:tc>
        <w:tc>
          <w:tcPr>
            <w:tcW w:w="2685" w:type="dxa"/>
            <w:gridSpan w:val="3"/>
          </w:tcPr>
          <w:p w14:paraId="7EA44F1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2011.9.30</w:t>
            </w:r>
          </w:p>
        </w:tc>
      </w:tr>
      <w:tr w:rsidR="002133E3" w14:paraId="7300A2DC" w14:textId="77777777">
        <w:tc>
          <w:tcPr>
            <w:tcW w:w="1952" w:type="dxa"/>
            <w:vMerge/>
            <w:vAlign w:val="center"/>
          </w:tcPr>
          <w:p w14:paraId="6CA7A05D" w14:textId="77777777" w:rsidR="002133E3" w:rsidRDefault="002133E3">
            <w:pPr>
              <w:rPr>
                <w:rFonts w:ascii="Times New Roman" w:eastAsia="宋体" w:hAnsi="Times New Roman" w:cs="Times New Roman"/>
                <w:szCs w:val="21"/>
              </w:rPr>
            </w:pPr>
          </w:p>
        </w:tc>
        <w:tc>
          <w:tcPr>
            <w:tcW w:w="1135" w:type="dxa"/>
            <w:vMerge/>
            <w:vAlign w:val="center"/>
          </w:tcPr>
          <w:p w14:paraId="75C0111C" w14:textId="77777777" w:rsidR="002133E3" w:rsidRDefault="002133E3">
            <w:pPr>
              <w:rPr>
                <w:rFonts w:ascii="Times New Roman" w:eastAsia="宋体" w:hAnsi="Times New Roman" w:cs="Times New Roman"/>
                <w:szCs w:val="21"/>
              </w:rPr>
            </w:pPr>
          </w:p>
        </w:tc>
        <w:tc>
          <w:tcPr>
            <w:tcW w:w="853" w:type="dxa"/>
            <w:vAlign w:val="center"/>
          </w:tcPr>
          <w:p w14:paraId="645D582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04" w:type="dxa"/>
          </w:tcPr>
          <w:p w14:paraId="6C0CC40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38" w:type="dxa"/>
          </w:tcPr>
          <w:p w14:paraId="40C9799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992" w:type="dxa"/>
            <w:vAlign w:val="center"/>
          </w:tcPr>
          <w:p w14:paraId="0C4B6F0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92" w:type="dxa"/>
          </w:tcPr>
          <w:p w14:paraId="44F0189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92" w:type="dxa"/>
          </w:tcPr>
          <w:p w14:paraId="49EC55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901" w:type="dxa"/>
            <w:vAlign w:val="center"/>
          </w:tcPr>
          <w:p w14:paraId="0A862D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41" w:type="dxa"/>
          </w:tcPr>
          <w:p w14:paraId="587D36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33" w:type="dxa"/>
          </w:tcPr>
          <w:p w14:paraId="56A2C5F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896" w:type="dxa"/>
            <w:vAlign w:val="center"/>
          </w:tcPr>
          <w:p w14:paraId="3D909F0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10" w:type="dxa"/>
          </w:tcPr>
          <w:p w14:paraId="70314EF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879" w:type="dxa"/>
          </w:tcPr>
          <w:p w14:paraId="2EAE62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r>
      <w:tr w:rsidR="002133E3" w14:paraId="20AD47FD" w14:textId="77777777">
        <w:tc>
          <w:tcPr>
            <w:tcW w:w="1952" w:type="dxa"/>
            <w:vAlign w:val="center"/>
          </w:tcPr>
          <w:p w14:paraId="7A74D5A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大气压</w:t>
            </w:r>
          </w:p>
        </w:tc>
        <w:tc>
          <w:tcPr>
            <w:tcW w:w="1135" w:type="dxa"/>
            <w:vAlign w:val="center"/>
          </w:tcPr>
          <w:p w14:paraId="6F3501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5F8258A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04" w:type="dxa"/>
            <w:vAlign w:val="center"/>
          </w:tcPr>
          <w:p w14:paraId="2690C37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38" w:type="dxa"/>
            <w:vAlign w:val="center"/>
          </w:tcPr>
          <w:p w14:paraId="1AA82F5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92" w:type="dxa"/>
            <w:vAlign w:val="center"/>
          </w:tcPr>
          <w:p w14:paraId="412CAE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92" w:type="dxa"/>
            <w:vAlign w:val="center"/>
          </w:tcPr>
          <w:p w14:paraId="6A1E82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92" w:type="dxa"/>
            <w:vAlign w:val="center"/>
          </w:tcPr>
          <w:p w14:paraId="2F6EA4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01" w:type="dxa"/>
            <w:vAlign w:val="center"/>
          </w:tcPr>
          <w:p w14:paraId="429677F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41" w:type="dxa"/>
            <w:vAlign w:val="center"/>
          </w:tcPr>
          <w:p w14:paraId="2184B15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33" w:type="dxa"/>
            <w:vAlign w:val="center"/>
          </w:tcPr>
          <w:p w14:paraId="7A935CE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896" w:type="dxa"/>
            <w:vAlign w:val="center"/>
          </w:tcPr>
          <w:p w14:paraId="0260A4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10" w:type="dxa"/>
            <w:vAlign w:val="center"/>
          </w:tcPr>
          <w:p w14:paraId="50870F1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879" w:type="dxa"/>
            <w:vAlign w:val="center"/>
          </w:tcPr>
          <w:p w14:paraId="685BB14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r>
      <w:tr w:rsidR="002133E3" w14:paraId="78A38288" w14:textId="77777777">
        <w:tc>
          <w:tcPr>
            <w:tcW w:w="1952" w:type="dxa"/>
            <w:vAlign w:val="center"/>
          </w:tcPr>
          <w:p w14:paraId="32AF822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烟温</w:t>
            </w:r>
          </w:p>
        </w:tc>
        <w:tc>
          <w:tcPr>
            <w:tcW w:w="1135" w:type="dxa"/>
            <w:vAlign w:val="center"/>
          </w:tcPr>
          <w:p w14:paraId="12214327" w14:textId="77777777" w:rsidR="002133E3" w:rsidRDefault="00C22CFA">
            <w:pPr>
              <w:rPr>
                <w:rFonts w:ascii="Times New Roman" w:eastAsia="宋体" w:hAnsi="Times New Roman" w:cs="Times New Roman"/>
                <w:szCs w:val="21"/>
              </w:rPr>
            </w:pPr>
            <w:r>
              <w:rPr>
                <w:rFonts w:ascii="宋体" w:eastAsia="宋体" w:hAnsi="宋体" w:cs="宋体" w:hint="eastAsia"/>
                <w:szCs w:val="21"/>
              </w:rPr>
              <w:t>℃</w:t>
            </w:r>
          </w:p>
        </w:tc>
        <w:tc>
          <w:tcPr>
            <w:tcW w:w="853" w:type="dxa"/>
            <w:vAlign w:val="center"/>
          </w:tcPr>
          <w:p w14:paraId="2119E3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04" w:type="dxa"/>
            <w:vAlign w:val="center"/>
          </w:tcPr>
          <w:p w14:paraId="794C63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38" w:type="dxa"/>
            <w:vAlign w:val="center"/>
          </w:tcPr>
          <w:p w14:paraId="0289C37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29</w:t>
            </w:r>
          </w:p>
        </w:tc>
        <w:tc>
          <w:tcPr>
            <w:tcW w:w="992" w:type="dxa"/>
            <w:vAlign w:val="center"/>
          </w:tcPr>
          <w:p w14:paraId="7A1C34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29</w:t>
            </w:r>
          </w:p>
        </w:tc>
        <w:tc>
          <w:tcPr>
            <w:tcW w:w="992" w:type="dxa"/>
            <w:vAlign w:val="center"/>
          </w:tcPr>
          <w:p w14:paraId="2718BEE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92" w:type="dxa"/>
            <w:vAlign w:val="center"/>
          </w:tcPr>
          <w:p w14:paraId="7B61290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01" w:type="dxa"/>
            <w:vAlign w:val="center"/>
          </w:tcPr>
          <w:p w14:paraId="5970658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941" w:type="dxa"/>
            <w:vAlign w:val="center"/>
          </w:tcPr>
          <w:p w14:paraId="47F3164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933" w:type="dxa"/>
            <w:vAlign w:val="center"/>
          </w:tcPr>
          <w:p w14:paraId="53A96FE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896" w:type="dxa"/>
            <w:vAlign w:val="center"/>
          </w:tcPr>
          <w:p w14:paraId="2637359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39</w:t>
            </w:r>
          </w:p>
        </w:tc>
        <w:tc>
          <w:tcPr>
            <w:tcW w:w="910" w:type="dxa"/>
            <w:vAlign w:val="center"/>
          </w:tcPr>
          <w:p w14:paraId="2F104DB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879" w:type="dxa"/>
            <w:vAlign w:val="center"/>
          </w:tcPr>
          <w:p w14:paraId="1F82D1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r>
      <w:tr w:rsidR="002133E3" w14:paraId="0B2A1788" w14:textId="77777777">
        <w:tc>
          <w:tcPr>
            <w:tcW w:w="1952" w:type="dxa"/>
            <w:vAlign w:val="center"/>
          </w:tcPr>
          <w:p w14:paraId="33D3914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烟气静压</w:t>
            </w:r>
          </w:p>
        </w:tc>
        <w:tc>
          <w:tcPr>
            <w:tcW w:w="1135" w:type="dxa"/>
            <w:vAlign w:val="center"/>
          </w:tcPr>
          <w:p w14:paraId="5678D34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744DB15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3760</w:t>
            </w:r>
          </w:p>
        </w:tc>
        <w:tc>
          <w:tcPr>
            <w:tcW w:w="904" w:type="dxa"/>
            <w:vAlign w:val="center"/>
          </w:tcPr>
          <w:p w14:paraId="639853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3700</w:t>
            </w:r>
          </w:p>
        </w:tc>
        <w:tc>
          <w:tcPr>
            <w:tcW w:w="938" w:type="dxa"/>
            <w:vAlign w:val="center"/>
          </w:tcPr>
          <w:p w14:paraId="65CA546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3760</w:t>
            </w:r>
          </w:p>
        </w:tc>
        <w:tc>
          <w:tcPr>
            <w:tcW w:w="992" w:type="dxa"/>
            <w:vAlign w:val="center"/>
          </w:tcPr>
          <w:p w14:paraId="1E153A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3760</w:t>
            </w:r>
          </w:p>
        </w:tc>
        <w:tc>
          <w:tcPr>
            <w:tcW w:w="992" w:type="dxa"/>
            <w:vAlign w:val="center"/>
          </w:tcPr>
          <w:p w14:paraId="2F7511F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3720</w:t>
            </w:r>
          </w:p>
        </w:tc>
        <w:tc>
          <w:tcPr>
            <w:tcW w:w="992" w:type="dxa"/>
            <w:vAlign w:val="center"/>
          </w:tcPr>
          <w:p w14:paraId="393EEE2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3710</w:t>
            </w:r>
          </w:p>
        </w:tc>
        <w:tc>
          <w:tcPr>
            <w:tcW w:w="901" w:type="dxa"/>
            <w:vAlign w:val="center"/>
          </w:tcPr>
          <w:p w14:paraId="3E43E5B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780</w:t>
            </w:r>
          </w:p>
        </w:tc>
        <w:tc>
          <w:tcPr>
            <w:tcW w:w="941" w:type="dxa"/>
            <w:vAlign w:val="center"/>
          </w:tcPr>
          <w:p w14:paraId="4DD0DEF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700</w:t>
            </w:r>
          </w:p>
        </w:tc>
        <w:tc>
          <w:tcPr>
            <w:tcW w:w="933" w:type="dxa"/>
            <w:vAlign w:val="center"/>
          </w:tcPr>
          <w:p w14:paraId="6105C39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750</w:t>
            </w:r>
          </w:p>
        </w:tc>
        <w:tc>
          <w:tcPr>
            <w:tcW w:w="896" w:type="dxa"/>
            <w:vAlign w:val="center"/>
          </w:tcPr>
          <w:p w14:paraId="352DD5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700</w:t>
            </w:r>
          </w:p>
        </w:tc>
        <w:tc>
          <w:tcPr>
            <w:tcW w:w="910" w:type="dxa"/>
            <w:vAlign w:val="center"/>
          </w:tcPr>
          <w:p w14:paraId="3A52E8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780</w:t>
            </w:r>
          </w:p>
        </w:tc>
        <w:tc>
          <w:tcPr>
            <w:tcW w:w="879" w:type="dxa"/>
            <w:vAlign w:val="center"/>
          </w:tcPr>
          <w:p w14:paraId="19B335F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780</w:t>
            </w:r>
          </w:p>
        </w:tc>
      </w:tr>
      <w:tr w:rsidR="002133E3" w14:paraId="01EFA3F9" w14:textId="77777777">
        <w:tc>
          <w:tcPr>
            <w:tcW w:w="1952" w:type="dxa"/>
            <w:vAlign w:val="center"/>
          </w:tcPr>
          <w:p w14:paraId="68D564D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烟气密度</w:t>
            </w:r>
          </w:p>
        </w:tc>
        <w:tc>
          <w:tcPr>
            <w:tcW w:w="1135" w:type="dxa"/>
            <w:vAlign w:val="center"/>
          </w:tcPr>
          <w:p w14:paraId="5D8B75C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kg/m3</w:t>
            </w:r>
          </w:p>
        </w:tc>
        <w:tc>
          <w:tcPr>
            <w:tcW w:w="853" w:type="dxa"/>
            <w:vAlign w:val="center"/>
          </w:tcPr>
          <w:p w14:paraId="4A32716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1.2625</w:t>
            </w:r>
          </w:p>
        </w:tc>
        <w:tc>
          <w:tcPr>
            <w:tcW w:w="904" w:type="dxa"/>
            <w:vAlign w:val="center"/>
          </w:tcPr>
          <w:p w14:paraId="0C34ED3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1.2618</w:t>
            </w:r>
          </w:p>
        </w:tc>
        <w:tc>
          <w:tcPr>
            <w:tcW w:w="938" w:type="dxa"/>
            <w:vAlign w:val="center"/>
          </w:tcPr>
          <w:p w14:paraId="657CE8F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1.2584</w:t>
            </w:r>
          </w:p>
        </w:tc>
        <w:tc>
          <w:tcPr>
            <w:tcW w:w="992" w:type="dxa"/>
            <w:vAlign w:val="center"/>
          </w:tcPr>
          <w:p w14:paraId="040215F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1.2595</w:t>
            </w:r>
          </w:p>
        </w:tc>
        <w:tc>
          <w:tcPr>
            <w:tcW w:w="992" w:type="dxa"/>
            <w:vAlign w:val="center"/>
          </w:tcPr>
          <w:p w14:paraId="5F123E9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1.2633</w:t>
            </w:r>
          </w:p>
        </w:tc>
        <w:tc>
          <w:tcPr>
            <w:tcW w:w="992" w:type="dxa"/>
            <w:vAlign w:val="center"/>
          </w:tcPr>
          <w:p w14:paraId="59F8CD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1.2631</w:t>
            </w:r>
          </w:p>
        </w:tc>
        <w:tc>
          <w:tcPr>
            <w:tcW w:w="901" w:type="dxa"/>
            <w:vAlign w:val="center"/>
          </w:tcPr>
          <w:p w14:paraId="38E6DD4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1.1798</w:t>
            </w:r>
          </w:p>
        </w:tc>
        <w:tc>
          <w:tcPr>
            <w:tcW w:w="941" w:type="dxa"/>
            <w:vAlign w:val="center"/>
          </w:tcPr>
          <w:p w14:paraId="0BC3BC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1.1788</w:t>
            </w:r>
          </w:p>
        </w:tc>
        <w:tc>
          <w:tcPr>
            <w:tcW w:w="933" w:type="dxa"/>
            <w:vAlign w:val="center"/>
          </w:tcPr>
          <w:p w14:paraId="6F1598A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1.1757</w:t>
            </w:r>
          </w:p>
        </w:tc>
        <w:tc>
          <w:tcPr>
            <w:tcW w:w="896" w:type="dxa"/>
            <w:vAlign w:val="center"/>
          </w:tcPr>
          <w:p w14:paraId="2A8D33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1.1838</w:t>
            </w:r>
          </w:p>
        </w:tc>
        <w:tc>
          <w:tcPr>
            <w:tcW w:w="910" w:type="dxa"/>
            <w:vAlign w:val="center"/>
          </w:tcPr>
          <w:p w14:paraId="05F8D07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1.1809</w:t>
            </w:r>
          </w:p>
        </w:tc>
        <w:tc>
          <w:tcPr>
            <w:tcW w:w="879" w:type="dxa"/>
            <w:vAlign w:val="center"/>
          </w:tcPr>
          <w:p w14:paraId="3561BF2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1.1809</w:t>
            </w:r>
          </w:p>
        </w:tc>
      </w:tr>
      <w:tr w:rsidR="002133E3" w14:paraId="7AD90FD0" w14:textId="77777777">
        <w:tc>
          <w:tcPr>
            <w:tcW w:w="1952" w:type="dxa"/>
            <w:vAlign w:val="center"/>
          </w:tcPr>
          <w:p w14:paraId="617248A5" w14:textId="77777777" w:rsidR="002133E3" w:rsidRDefault="00C22CFA">
            <w:pPr>
              <w:rPr>
                <w:rFonts w:ascii="Times New Roman" w:eastAsia="宋体" w:hAnsi="Times New Roman" w:cs="Times New Roman"/>
                <w:szCs w:val="21"/>
              </w:rPr>
            </w:pPr>
            <w:proofErr w:type="spellStart"/>
            <w:r>
              <w:rPr>
                <w:rFonts w:ascii="Times New Roman" w:eastAsia="宋体" w:hAnsi="Times New Roman" w:cs="Times New Roman"/>
                <w:szCs w:val="21"/>
              </w:rPr>
              <w:t>kp</w:t>
            </w:r>
            <w:proofErr w:type="spellEnd"/>
          </w:p>
        </w:tc>
        <w:tc>
          <w:tcPr>
            <w:tcW w:w="1135" w:type="dxa"/>
            <w:vAlign w:val="center"/>
          </w:tcPr>
          <w:p w14:paraId="7859BCD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25AE0E8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04" w:type="dxa"/>
            <w:vAlign w:val="center"/>
          </w:tcPr>
          <w:p w14:paraId="216FE7C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38" w:type="dxa"/>
            <w:vAlign w:val="center"/>
          </w:tcPr>
          <w:p w14:paraId="5D1A65A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58BA744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040BEC5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5876749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01" w:type="dxa"/>
            <w:vAlign w:val="center"/>
          </w:tcPr>
          <w:p w14:paraId="536374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41" w:type="dxa"/>
            <w:vAlign w:val="center"/>
          </w:tcPr>
          <w:p w14:paraId="29684D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33" w:type="dxa"/>
            <w:vAlign w:val="center"/>
          </w:tcPr>
          <w:p w14:paraId="218234D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896" w:type="dxa"/>
            <w:vAlign w:val="center"/>
          </w:tcPr>
          <w:p w14:paraId="1B3221B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10" w:type="dxa"/>
            <w:vAlign w:val="center"/>
          </w:tcPr>
          <w:p w14:paraId="6D43CB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879" w:type="dxa"/>
            <w:vAlign w:val="center"/>
          </w:tcPr>
          <w:p w14:paraId="5CD1E20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r>
      <w:tr w:rsidR="002133E3" w14:paraId="7749F5C1" w14:textId="77777777">
        <w:tc>
          <w:tcPr>
            <w:tcW w:w="1952" w:type="dxa"/>
            <w:vAlign w:val="center"/>
          </w:tcPr>
          <w:p w14:paraId="7440A6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动压值</w:t>
            </w:r>
          </w:p>
        </w:tc>
        <w:tc>
          <w:tcPr>
            <w:tcW w:w="1135" w:type="dxa"/>
            <w:vAlign w:val="center"/>
          </w:tcPr>
          <w:p w14:paraId="6F45694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54E557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402</w:t>
            </w:r>
          </w:p>
        </w:tc>
        <w:tc>
          <w:tcPr>
            <w:tcW w:w="904" w:type="dxa"/>
            <w:vAlign w:val="center"/>
          </w:tcPr>
          <w:p w14:paraId="7D553AA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408</w:t>
            </w:r>
          </w:p>
        </w:tc>
        <w:tc>
          <w:tcPr>
            <w:tcW w:w="938" w:type="dxa"/>
            <w:vAlign w:val="center"/>
          </w:tcPr>
          <w:p w14:paraId="49B8683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404</w:t>
            </w:r>
          </w:p>
        </w:tc>
        <w:tc>
          <w:tcPr>
            <w:tcW w:w="992" w:type="dxa"/>
            <w:vAlign w:val="center"/>
          </w:tcPr>
          <w:p w14:paraId="42830BE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409</w:t>
            </w:r>
          </w:p>
        </w:tc>
        <w:tc>
          <w:tcPr>
            <w:tcW w:w="992" w:type="dxa"/>
            <w:vAlign w:val="center"/>
          </w:tcPr>
          <w:p w14:paraId="386B80E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411</w:t>
            </w:r>
          </w:p>
        </w:tc>
        <w:tc>
          <w:tcPr>
            <w:tcW w:w="992" w:type="dxa"/>
            <w:vAlign w:val="center"/>
          </w:tcPr>
          <w:p w14:paraId="0F3D8A7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402</w:t>
            </w:r>
          </w:p>
        </w:tc>
        <w:tc>
          <w:tcPr>
            <w:tcW w:w="901" w:type="dxa"/>
            <w:vAlign w:val="center"/>
          </w:tcPr>
          <w:p w14:paraId="46F5E1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455</w:t>
            </w:r>
          </w:p>
        </w:tc>
        <w:tc>
          <w:tcPr>
            <w:tcW w:w="941" w:type="dxa"/>
            <w:vAlign w:val="center"/>
          </w:tcPr>
          <w:p w14:paraId="61E934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448</w:t>
            </w:r>
          </w:p>
        </w:tc>
        <w:tc>
          <w:tcPr>
            <w:tcW w:w="933" w:type="dxa"/>
            <w:vAlign w:val="center"/>
          </w:tcPr>
          <w:p w14:paraId="4A810F6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450</w:t>
            </w:r>
          </w:p>
        </w:tc>
        <w:tc>
          <w:tcPr>
            <w:tcW w:w="896" w:type="dxa"/>
            <w:vAlign w:val="center"/>
          </w:tcPr>
          <w:p w14:paraId="5438DE9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455</w:t>
            </w:r>
          </w:p>
        </w:tc>
        <w:tc>
          <w:tcPr>
            <w:tcW w:w="910" w:type="dxa"/>
            <w:vAlign w:val="center"/>
          </w:tcPr>
          <w:p w14:paraId="24BF86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458</w:t>
            </w:r>
          </w:p>
        </w:tc>
        <w:tc>
          <w:tcPr>
            <w:tcW w:w="879" w:type="dxa"/>
            <w:vAlign w:val="center"/>
          </w:tcPr>
          <w:p w14:paraId="6294889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452</w:t>
            </w:r>
          </w:p>
        </w:tc>
      </w:tr>
      <w:tr w:rsidR="002133E3" w14:paraId="4CC298DA" w14:textId="77777777">
        <w:tc>
          <w:tcPr>
            <w:tcW w:w="1952" w:type="dxa"/>
            <w:vAlign w:val="center"/>
          </w:tcPr>
          <w:p w14:paraId="6B65DD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烟气流速</w:t>
            </w:r>
          </w:p>
        </w:tc>
        <w:tc>
          <w:tcPr>
            <w:tcW w:w="1135" w:type="dxa"/>
            <w:vAlign w:val="center"/>
          </w:tcPr>
          <w:p w14:paraId="3DF2695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m/s</w:t>
            </w:r>
          </w:p>
        </w:tc>
        <w:tc>
          <w:tcPr>
            <w:tcW w:w="853" w:type="dxa"/>
            <w:vAlign w:val="center"/>
          </w:tcPr>
          <w:p w14:paraId="17BFB1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21.2</w:t>
            </w:r>
          </w:p>
        </w:tc>
        <w:tc>
          <w:tcPr>
            <w:tcW w:w="904" w:type="dxa"/>
            <w:vAlign w:val="center"/>
          </w:tcPr>
          <w:p w14:paraId="3004A5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21.4</w:t>
            </w:r>
          </w:p>
        </w:tc>
        <w:tc>
          <w:tcPr>
            <w:tcW w:w="938" w:type="dxa"/>
            <w:vAlign w:val="center"/>
          </w:tcPr>
          <w:p w14:paraId="3D48B3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21.3</w:t>
            </w:r>
          </w:p>
        </w:tc>
        <w:tc>
          <w:tcPr>
            <w:tcW w:w="992" w:type="dxa"/>
            <w:vAlign w:val="center"/>
          </w:tcPr>
          <w:p w14:paraId="29186A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21.4</w:t>
            </w:r>
          </w:p>
        </w:tc>
        <w:tc>
          <w:tcPr>
            <w:tcW w:w="992" w:type="dxa"/>
            <w:vAlign w:val="center"/>
          </w:tcPr>
          <w:p w14:paraId="28AF7E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21.4</w:t>
            </w:r>
          </w:p>
        </w:tc>
        <w:tc>
          <w:tcPr>
            <w:tcW w:w="992" w:type="dxa"/>
            <w:vAlign w:val="center"/>
          </w:tcPr>
          <w:p w14:paraId="6FA7CD4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21.2</w:t>
            </w:r>
          </w:p>
        </w:tc>
        <w:tc>
          <w:tcPr>
            <w:tcW w:w="901" w:type="dxa"/>
            <w:vAlign w:val="center"/>
          </w:tcPr>
          <w:p w14:paraId="137A47E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23.3</w:t>
            </w:r>
          </w:p>
        </w:tc>
        <w:tc>
          <w:tcPr>
            <w:tcW w:w="941" w:type="dxa"/>
            <w:vAlign w:val="center"/>
          </w:tcPr>
          <w:p w14:paraId="5525242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23.2</w:t>
            </w:r>
          </w:p>
        </w:tc>
        <w:tc>
          <w:tcPr>
            <w:tcW w:w="933" w:type="dxa"/>
            <w:vAlign w:val="center"/>
          </w:tcPr>
          <w:p w14:paraId="0CEA12E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23.2</w:t>
            </w:r>
          </w:p>
        </w:tc>
        <w:tc>
          <w:tcPr>
            <w:tcW w:w="896" w:type="dxa"/>
            <w:vAlign w:val="center"/>
          </w:tcPr>
          <w:p w14:paraId="0AE46DC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23.3</w:t>
            </w:r>
          </w:p>
        </w:tc>
        <w:tc>
          <w:tcPr>
            <w:tcW w:w="910" w:type="dxa"/>
            <w:vAlign w:val="center"/>
          </w:tcPr>
          <w:p w14:paraId="785546A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23.4</w:t>
            </w:r>
          </w:p>
        </w:tc>
        <w:tc>
          <w:tcPr>
            <w:tcW w:w="879" w:type="dxa"/>
            <w:vAlign w:val="center"/>
          </w:tcPr>
          <w:p w14:paraId="7A849E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23.2</w:t>
            </w:r>
          </w:p>
        </w:tc>
      </w:tr>
      <w:tr w:rsidR="002133E3" w14:paraId="13811540" w14:textId="77777777">
        <w:tc>
          <w:tcPr>
            <w:tcW w:w="1952" w:type="dxa"/>
            <w:vAlign w:val="center"/>
          </w:tcPr>
          <w:p w14:paraId="606ECE1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烟道截面积</w:t>
            </w:r>
          </w:p>
        </w:tc>
        <w:tc>
          <w:tcPr>
            <w:tcW w:w="1135" w:type="dxa"/>
            <w:vAlign w:val="center"/>
          </w:tcPr>
          <w:p w14:paraId="15E6367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m2</w:t>
            </w:r>
          </w:p>
        </w:tc>
        <w:tc>
          <w:tcPr>
            <w:tcW w:w="853" w:type="dxa"/>
            <w:vAlign w:val="center"/>
          </w:tcPr>
          <w:p w14:paraId="3BC3ED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04" w:type="dxa"/>
            <w:vAlign w:val="center"/>
          </w:tcPr>
          <w:p w14:paraId="666863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38" w:type="dxa"/>
            <w:vAlign w:val="center"/>
          </w:tcPr>
          <w:p w14:paraId="4DAB12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36E5290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1062F1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3ED178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01" w:type="dxa"/>
            <w:vAlign w:val="center"/>
          </w:tcPr>
          <w:p w14:paraId="050CE8F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41" w:type="dxa"/>
            <w:vAlign w:val="center"/>
          </w:tcPr>
          <w:p w14:paraId="5B53167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33" w:type="dxa"/>
            <w:vAlign w:val="center"/>
          </w:tcPr>
          <w:p w14:paraId="1D91A3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896" w:type="dxa"/>
            <w:vAlign w:val="center"/>
          </w:tcPr>
          <w:p w14:paraId="774AAC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10" w:type="dxa"/>
            <w:vAlign w:val="center"/>
          </w:tcPr>
          <w:p w14:paraId="06DB435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879" w:type="dxa"/>
            <w:vAlign w:val="center"/>
          </w:tcPr>
          <w:p w14:paraId="24B3744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r>
      <w:tr w:rsidR="002133E3" w14:paraId="0E4BA13E" w14:textId="77777777">
        <w:tc>
          <w:tcPr>
            <w:tcW w:w="1952" w:type="dxa"/>
            <w:vAlign w:val="center"/>
          </w:tcPr>
          <w:p w14:paraId="5A18EDF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测态气量</w:t>
            </w:r>
          </w:p>
        </w:tc>
        <w:tc>
          <w:tcPr>
            <w:tcW w:w="1135" w:type="dxa"/>
            <w:vAlign w:val="center"/>
          </w:tcPr>
          <w:p w14:paraId="096E4C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853" w:type="dxa"/>
            <w:vAlign w:val="center"/>
          </w:tcPr>
          <w:p w14:paraId="67745C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1.81</w:t>
            </w:r>
          </w:p>
        </w:tc>
        <w:tc>
          <w:tcPr>
            <w:tcW w:w="904" w:type="dxa"/>
            <w:vAlign w:val="center"/>
          </w:tcPr>
          <w:p w14:paraId="76128C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1.83</w:t>
            </w:r>
          </w:p>
        </w:tc>
        <w:tc>
          <w:tcPr>
            <w:tcW w:w="938" w:type="dxa"/>
            <w:vAlign w:val="center"/>
          </w:tcPr>
          <w:p w14:paraId="409DD4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1.82</w:t>
            </w:r>
          </w:p>
        </w:tc>
        <w:tc>
          <w:tcPr>
            <w:tcW w:w="992" w:type="dxa"/>
            <w:vAlign w:val="center"/>
          </w:tcPr>
          <w:p w14:paraId="01F29F7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1.83</w:t>
            </w:r>
          </w:p>
        </w:tc>
        <w:tc>
          <w:tcPr>
            <w:tcW w:w="992" w:type="dxa"/>
            <w:vAlign w:val="center"/>
          </w:tcPr>
          <w:p w14:paraId="53DC91E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1.83</w:t>
            </w:r>
          </w:p>
        </w:tc>
        <w:tc>
          <w:tcPr>
            <w:tcW w:w="992" w:type="dxa"/>
            <w:vAlign w:val="center"/>
          </w:tcPr>
          <w:p w14:paraId="4FD6974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1.81</w:t>
            </w:r>
          </w:p>
        </w:tc>
        <w:tc>
          <w:tcPr>
            <w:tcW w:w="901" w:type="dxa"/>
            <w:vAlign w:val="center"/>
          </w:tcPr>
          <w:p w14:paraId="767549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941" w:type="dxa"/>
            <w:vAlign w:val="center"/>
          </w:tcPr>
          <w:p w14:paraId="0C9324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33" w:type="dxa"/>
            <w:vAlign w:val="center"/>
          </w:tcPr>
          <w:p w14:paraId="03E935A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896" w:type="dxa"/>
            <w:vAlign w:val="center"/>
          </w:tcPr>
          <w:p w14:paraId="24BC092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910" w:type="dxa"/>
            <w:vAlign w:val="center"/>
          </w:tcPr>
          <w:p w14:paraId="5CB813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879" w:type="dxa"/>
            <w:vAlign w:val="center"/>
          </w:tcPr>
          <w:p w14:paraId="1CE1677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r>
      <w:tr w:rsidR="002133E3" w14:paraId="1281445F" w14:textId="77777777">
        <w:tc>
          <w:tcPr>
            <w:tcW w:w="1952" w:type="dxa"/>
            <w:vAlign w:val="center"/>
          </w:tcPr>
          <w:p w14:paraId="06758CE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含湿量</w:t>
            </w:r>
          </w:p>
        </w:tc>
        <w:tc>
          <w:tcPr>
            <w:tcW w:w="1135" w:type="dxa"/>
            <w:vAlign w:val="center"/>
          </w:tcPr>
          <w:p w14:paraId="66AB81C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5C9DFBB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4.6</w:t>
            </w:r>
          </w:p>
        </w:tc>
        <w:tc>
          <w:tcPr>
            <w:tcW w:w="904" w:type="dxa"/>
            <w:vAlign w:val="center"/>
          </w:tcPr>
          <w:p w14:paraId="33CF83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4.6</w:t>
            </w:r>
          </w:p>
        </w:tc>
        <w:tc>
          <w:tcPr>
            <w:tcW w:w="938" w:type="dxa"/>
            <w:vAlign w:val="center"/>
          </w:tcPr>
          <w:p w14:paraId="3AE3CAE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4.6</w:t>
            </w:r>
          </w:p>
        </w:tc>
        <w:tc>
          <w:tcPr>
            <w:tcW w:w="992" w:type="dxa"/>
            <w:vAlign w:val="center"/>
          </w:tcPr>
          <w:p w14:paraId="4FEB4AA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4.7</w:t>
            </w:r>
          </w:p>
        </w:tc>
        <w:tc>
          <w:tcPr>
            <w:tcW w:w="992" w:type="dxa"/>
            <w:vAlign w:val="center"/>
          </w:tcPr>
          <w:p w14:paraId="109B702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4.7</w:t>
            </w:r>
          </w:p>
        </w:tc>
        <w:tc>
          <w:tcPr>
            <w:tcW w:w="992" w:type="dxa"/>
            <w:vAlign w:val="center"/>
          </w:tcPr>
          <w:p w14:paraId="362AB50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4.7</w:t>
            </w:r>
          </w:p>
        </w:tc>
        <w:tc>
          <w:tcPr>
            <w:tcW w:w="901" w:type="dxa"/>
            <w:vAlign w:val="center"/>
          </w:tcPr>
          <w:p w14:paraId="1F6FA9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13.9</w:t>
            </w:r>
          </w:p>
        </w:tc>
        <w:tc>
          <w:tcPr>
            <w:tcW w:w="941" w:type="dxa"/>
            <w:vAlign w:val="center"/>
          </w:tcPr>
          <w:p w14:paraId="19B749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13.9</w:t>
            </w:r>
          </w:p>
        </w:tc>
        <w:tc>
          <w:tcPr>
            <w:tcW w:w="933" w:type="dxa"/>
            <w:vAlign w:val="center"/>
          </w:tcPr>
          <w:p w14:paraId="2783D64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13.9</w:t>
            </w:r>
          </w:p>
        </w:tc>
        <w:tc>
          <w:tcPr>
            <w:tcW w:w="896" w:type="dxa"/>
            <w:vAlign w:val="center"/>
          </w:tcPr>
          <w:p w14:paraId="07C1452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14.1</w:t>
            </w:r>
          </w:p>
        </w:tc>
        <w:tc>
          <w:tcPr>
            <w:tcW w:w="910" w:type="dxa"/>
            <w:vAlign w:val="center"/>
          </w:tcPr>
          <w:p w14:paraId="1C87BD3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14.1</w:t>
            </w:r>
          </w:p>
        </w:tc>
        <w:tc>
          <w:tcPr>
            <w:tcW w:w="879" w:type="dxa"/>
            <w:vAlign w:val="center"/>
          </w:tcPr>
          <w:p w14:paraId="1E71E59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14.1</w:t>
            </w:r>
          </w:p>
        </w:tc>
      </w:tr>
      <w:tr w:rsidR="002133E3" w14:paraId="1AA7DA45" w14:textId="77777777">
        <w:tc>
          <w:tcPr>
            <w:tcW w:w="1952" w:type="dxa"/>
            <w:vAlign w:val="center"/>
          </w:tcPr>
          <w:p w14:paraId="0428AFA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标态气量</w:t>
            </w:r>
          </w:p>
        </w:tc>
        <w:tc>
          <w:tcPr>
            <w:tcW w:w="1135" w:type="dxa"/>
            <w:vAlign w:val="center"/>
          </w:tcPr>
          <w:p w14:paraId="27E85E6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853" w:type="dxa"/>
            <w:vAlign w:val="center"/>
          </w:tcPr>
          <w:p w14:paraId="187A9E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04" w:type="dxa"/>
            <w:vAlign w:val="center"/>
          </w:tcPr>
          <w:p w14:paraId="331DF7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38" w:type="dxa"/>
            <w:vAlign w:val="center"/>
          </w:tcPr>
          <w:p w14:paraId="1FA038D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92" w:type="dxa"/>
            <w:vAlign w:val="center"/>
          </w:tcPr>
          <w:p w14:paraId="60B057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92" w:type="dxa"/>
            <w:vAlign w:val="center"/>
          </w:tcPr>
          <w:p w14:paraId="681EB40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992" w:type="dxa"/>
            <w:vAlign w:val="center"/>
          </w:tcPr>
          <w:p w14:paraId="7CEE142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01" w:type="dxa"/>
            <w:vAlign w:val="center"/>
          </w:tcPr>
          <w:p w14:paraId="548866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941" w:type="dxa"/>
            <w:vAlign w:val="center"/>
          </w:tcPr>
          <w:p w14:paraId="0FE4397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1.24</w:t>
            </w:r>
          </w:p>
        </w:tc>
        <w:tc>
          <w:tcPr>
            <w:tcW w:w="933" w:type="dxa"/>
            <w:vAlign w:val="center"/>
          </w:tcPr>
          <w:p w14:paraId="417CD16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1.24</w:t>
            </w:r>
          </w:p>
        </w:tc>
        <w:tc>
          <w:tcPr>
            <w:tcW w:w="896" w:type="dxa"/>
            <w:vAlign w:val="center"/>
          </w:tcPr>
          <w:p w14:paraId="6C7B75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910" w:type="dxa"/>
            <w:vAlign w:val="center"/>
          </w:tcPr>
          <w:p w14:paraId="574FECF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879" w:type="dxa"/>
            <w:vAlign w:val="center"/>
          </w:tcPr>
          <w:p w14:paraId="3043232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1.24</w:t>
            </w:r>
          </w:p>
        </w:tc>
      </w:tr>
      <w:tr w:rsidR="002133E3" w14:paraId="2CF82517" w14:textId="77777777">
        <w:tc>
          <w:tcPr>
            <w:tcW w:w="1952" w:type="dxa"/>
            <w:vAlign w:val="center"/>
          </w:tcPr>
          <w:p w14:paraId="346D59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颗粒物排放浓度</w:t>
            </w:r>
          </w:p>
        </w:tc>
        <w:tc>
          <w:tcPr>
            <w:tcW w:w="1135" w:type="dxa"/>
            <w:vAlign w:val="center"/>
          </w:tcPr>
          <w:p w14:paraId="62197FB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853" w:type="dxa"/>
            <w:vAlign w:val="center"/>
          </w:tcPr>
          <w:p w14:paraId="074606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1851.9</w:t>
            </w:r>
          </w:p>
        </w:tc>
        <w:tc>
          <w:tcPr>
            <w:tcW w:w="904" w:type="dxa"/>
            <w:vAlign w:val="center"/>
          </w:tcPr>
          <w:p w14:paraId="246F316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2009.2</w:t>
            </w:r>
          </w:p>
        </w:tc>
        <w:tc>
          <w:tcPr>
            <w:tcW w:w="938" w:type="dxa"/>
            <w:vAlign w:val="center"/>
          </w:tcPr>
          <w:p w14:paraId="58C6C31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1886.9</w:t>
            </w:r>
          </w:p>
        </w:tc>
        <w:tc>
          <w:tcPr>
            <w:tcW w:w="992" w:type="dxa"/>
            <w:vAlign w:val="center"/>
          </w:tcPr>
          <w:p w14:paraId="5C37033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1771.8</w:t>
            </w:r>
          </w:p>
        </w:tc>
        <w:tc>
          <w:tcPr>
            <w:tcW w:w="992" w:type="dxa"/>
            <w:vAlign w:val="center"/>
          </w:tcPr>
          <w:p w14:paraId="45829E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1908.8</w:t>
            </w:r>
          </w:p>
        </w:tc>
        <w:tc>
          <w:tcPr>
            <w:tcW w:w="992" w:type="dxa"/>
            <w:vAlign w:val="center"/>
          </w:tcPr>
          <w:p w14:paraId="3EF679D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1902.7</w:t>
            </w:r>
          </w:p>
        </w:tc>
        <w:tc>
          <w:tcPr>
            <w:tcW w:w="901" w:type="dxa"/>
            <w:vAlign w:val="center"/>
          </w:tcPr>
          <w:p w14:paraId="10AC350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26.0</w:t>
            </w:r>
          </w:p>
        </w:tc>
        <w:tc>
          <w:tcPr>
            <w:tcW w:w="941" w:type="dxa"/>
            <w:vAlign w:val="center"/>
          </w:tcPr>
          <w:p w14:paraId="3979EDF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26.7</w:t>
            </w:r>
          </w:p>
        </w:tc>
        <w:tc>
          <w:tcPr>
            <w:tcW w:w="933" w:type="dxa"/>
            <w:vAlign w:val="center"/>
          </w:tcPr>
          <w:p w14:paraId="15AAA9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24.6</w:t>
            </w:r>
          </w:p>
        </w:tc>
        <w:tc>
          <w:tcPr>
            <w:tcW w:w="896" w:type="dxa"/>
            <w:vAlign w:val="center"/>
          </w:tcPr>
          <w:p w14:paraId="4F2B96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25.8</w:t>
            </w:r>
          </w:p>
        </w:tc>
        <w:tc>
          <w:tcPr>
            <w:tcW w:w="910" w:type="dxa"/>
            <w:vAlign w:val="center"/>
          </w:tcPr>
          <w:p w14:paraId="562D105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24.5</w:t>
            </w:r>
          </w:p>
        </w:tc>
        <w:tc>
          <w:tcPr>
            <w:tcW w:w="879" w:type="dxa"/>
            <w:vAlign w:val="center"/>
          </w:tcPr>
          <w:p w14:paraId="19D8CB3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24.5</w:t>
            </w:r>
          </w:p>
        </w:tc>
      </w:tr>
      <w:tr w:rsidR="002133E3" w14:paraId="6BAC803F" w14:textId="77777777">
        <w:tc>
          <w:tcPr>
            <w:tcW w:w="1952" w:type="dxa"/>
            <w:vAlign w:val="center"/>
          </w:tcPr>
          <w:p w14:paraId="46B3BA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颗粒物排放速率</w:t>
            </w:r>
          </w:p>
        </w:tc>
        <w:tc>
          <w:tcPr>
            <w:tcW w:w="1135" w:type="dxa"/>
            <w:vAlign w:val="center"/>
          </w:tcPr>
          <w:p w14:paraId="780F1D1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853" w:type="dxa"/>
            <w:vAlign w:val="center"/>
          </w:tcPr>
          <w:p w14:paraId="76DC5CB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30.18</w:t>
            </w:r>
          </w:p>
        </w:tc>
        <w:tc>
          <w:tcPr>
            <w:tcW w:w="904" w:type="dxa"/>
            <w:vAlign w:val="center"/>
          </w:tcPr>
          <w:p w14:paraId="7EDEA6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32.97</w:t>
            </w:r>
          </w:p>
        </w:tc>
        <w:tc>
          <w:tcPr>
            <w:tcW w:w="938" w:type="dxa"/>
            <w:vAlign w:val="center"/>
          </w:tcPr>
          <w:p w14:paraId="3EB51F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30.77</w:t>
            </w:r>
          </w:p>
        </w:tc>
        <w:tc>
          <w:tcPr>
            <w:tcW w:w="992" w:type="dxa"/>
            <w:vAlign w:val="center"/>
          </w:tcPr>
          <w:p w14:paraId="4583145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29.06</w:t>
            </w:r>
          </w:p>
        </w:tc>
        <w:tc>
          <w:tcPr>
            <w:tcW w:w="992" w:type="dxa"/>
            <w:vAlign w:val="center"/>
          </w:tcPr>
          <w:p w14:paraId="50AFA6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31.43</w:t>
            </w:r>
          </w:p>
        </w:tc>
        <w:tc>
          <w:tcPr>
            <w:tcW w:w="992" w:type="dxa"/>
            <w:vAlign w:val="center"/>
          </w:tcPr>
          <w:p w14:paraId="7D9E902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30.98</w:t>
            </w:r>
          </w:p>
        </w:tc>
        <w:tc>
          <w:tcPr>
            <w:tcW w:w="901" w:type="dxa"/>
            <w:vAlign w:val="center"/>
          </w:tcPr>
          <w:p w14:paraId="470C791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0.33</w:t>
            </w:r>
          </w:p>
        </w:tc>
        <w:tc>
          <w:tcPr>
            <w:tcW w:w="941" w:type="dxa"/>
            <w:vAlign w:val="center"/>
          </w:tcPr>
          <w:p w14:paraId="448F24A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0.33</w:t>
            </w:r>
          </w:p>
        </w:tc>
        <w:tc>
          <w:tcPr>
            <w:tcW w:w="933" w:type="dxa"/>
            <w:vAlign w:val="center"/>
          </w:tcPr>
          <w:p w14:paraId="427EE4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896" w:type="dxa"/>
            <w:vAlign w:val="center"/>
          </w:tcPr>
          <w:p w14:paraId="1905733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0.32</w:t>
            </w:r>
          </w:p>
        </w:tc>
        <w:tc>
          <w:tcPr>
            <w:tcW w:w="910" w:type="dxa"/>
            <w:vAlign w:val="center"/>
          </w:tcPr>
          <w:p w14:paraId="0120B92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0.31</w:t>
            </w:r>
          </w:p>
        </w:tc>
        <w:tc>
          <w:tcPr>
            <w:tcW w:w="879" w:type="dxa"/>
            <w:vAlign w:val="center"/>
          </w:tcPr>
          <w:p w14:paraId="5F6CCAC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0.31</w:t>
            </w:r>
          </w:p>
        </w:tc>
      </w:tr>
      <w:tr w:rsidR="002133E3" w14:paraId="6D616DB5" w14:textId="77777777">
        <w:tc>
          <w:tcPr>
            <w:tcW w:w="1952" w:type="dxa"/>
            <w:vAlign w:val="center"/>
          </w:tcPr>
          <w:p w14:paraId="53C0E68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除尘效率</w:t>
            </w:r>
          </w:p>
        </w:tc>
        <w:tc>
          <w:tcPr>
            <w:tcW w:w="1135" w:type="dxa"/>
            <w:vAlign w:val="center"/>
          </w:tcPr>
          <w:p w14:paraId="2A58836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20B6401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04" w:type="dxa"/>
            <w:vAlign w:val="center"/>
          </w:tcPr>
          <w:p w14:paraId="0AC590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38" w:type="dxa"/>
            <w:vAlign w:val="center"/>
          </w:tcPr>
          <w:p w14:paraId="583B64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7998E0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78DEF38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1C314F9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01" w:type="dxa"/>
            <w:vAlign w:val="center"/>
          </w:tcPr>
          <w:p w14:paraId="2AC754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98.6</w:t>
            </w:r>
          </w:p>
        </w:tc>
        <w:tc>
          <w:tcPr>
            <w:tcW w:w="941" w:type="dxa"/>
            <w:vAlign w:val="center"/>
          </w:tcPr>
          <w:p w14:paraId="3BF0951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933" w:type="dxa"/>
            <w:vAlign w:val="center"/>
          </w:tcPr>
          <w:p w14:paraId="17959FA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896" w:type="dxa"/>
            <w:vAlign w:val="center"/>
          </w:tcPr>
          <w:p w14:paraId="621A97E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98.5</w:t>
            </w:r>
          </w:p>
        </w:tc>
        <w:tc>
          <w:tcPr>
            <w:tcW w:w="910" w:type="dxa"/>
            <w:vAlign w:val="center"/>
          </w:tcPr>
          <w:p w14:paraId="3141F7F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879" w:type="dxa"/>
            <w:vAlign w:val="center"/>
          </w:tcPr>
          <w:p w14:paraId="4AD1CAE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r>
      <w:tr w:rsidR="002133E3" w14:paraId="70B42684" w14:textId="77777777">
        <w:tc>
          <w:tcPr>
            <w:tcW w:w="1952" w:type="dxa"/>
            <w:vAlign w:val="center"/>
          </w:tcPr>
          <w:p w14:paraId="4DBAB3A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烟道内径</w:t>
            </w:r>
          </w:p>
        </w:tc>
        <w:tc>
          <w:tcPr>
            <w:tcW w:w="1135" w:type="dxa"/>
            <w:vAlign w:val="center"/>
          </w:tcPr>
          <w:p w14:paraId="0E8A49D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w:t>
            </w:r>
          </w:p>
        </w:tc>
        <w:tc>
          <w:tcPr>
            <w:tcW w:w="5671" w:type="dxa"/>
            <w:gridSpan w:val="6"/>
            <w:vAlign w:val="center"/>
          </w:tcPr>
          <w:p w14:paraId="6A4047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0.55</w:t>
            </w:r>
          </w:p>
        </w:tc>
        <w:tc>
          <w:tcPr>
            <w:tcW w:w="5460" w:type="dxa"/>
            <w:gridSpan w:val="6"/>
            <w:vAlign w:val="center"/>
          </w:tcPr>
          <w:p w14:paraId="3F1701F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0.50</w:t>
            </w:r>
          </w:p>
        </w:tc>
      </w:tr>
    </w:tbl>
    <w:p w14:paraId="4A368D77"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3.2-11  2#</w:t>
      </w:r>
      <w:r>
        <w:rPr>
          <w:rFonts w:ascii="Times New Roman" w:eastAsia="宋体" w:hAnsi="Times New Roman" w:cs="Times New Roman"/>
          <w:b/>
          <w:bCs/>
          <w:szCs w:val="21"/>
        </w:rPr>
        <w:t>除尘器废气监测结果（第一阶段）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2"/>
        <w:gridCol w:w="1135"/>
        <w:gridCol w:w="853"/>
        <w:gridCol w:w="904"/>
        <w:gridCol w:w="938"/>
        <w:gridCol w:w="992"/>
        <w:gridCol w:w="992"/>
        <w:gridCol w:w="992"/>
        <w:gridCol w:w="901"/>
        <w:gridCol w:w="941"/>
        <w:gridCol w:w="933"/>
        <w:gridCol w:w="896"/>
        <w:gridCol w:w="910"/>
        <w:gridCol w:w="879"/>
      </w:tblGrid>
      <w:tr w:rsidR="002133E3" w14:paraId="17A4DE43" w14:textId="77777777">
        <w:tc>
          <w:tcPr>
            <w:tcW w:w="1952" w:type="dxa"/>
            <w:vMerge w:val="restart"/>
            <w:vAlign w:val="center"/>
          </w:tcPr>
          <w:p w14:paraId="29DDDD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w:t>
            </w:r>
          </w:p>
        </w:tc>
        <w:tc>
          <w:tcPr>
            <w:tcW w:w="1135" w:type="dxa"/>
            <w:vMerge w:val="restart"/>
            <w:vAlign w:val="center"/>
          </w:tcPr>
          <w:p w14:paraId="3F7EDE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单位</w:t>
            </w:r>
          </w:p>
        </w:tc>
        <w:tc>
          <w:tcPr>
            <w:tcW w:w="5671" w:type="dxa"/>
            <w:gridSpan w:val="6"/>
            <w:vAlign w:val="center"/>
          </w:tcPr>
          <w:p w14:paraId="01377CC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进</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Q3</w:t>
            </w:r>
          </w:p>
        </w:tc>
        <w:tc>
          <w:tcPr>
            <w:tcW w:w="5460" w:type="dxa"/>
            <w:gridSpan w:val="6"/>
            <w:vAlign w:val="center"/>
          </w:tcPr>
          <w:p w14:paraId="48B9B6C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出</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Q4</w:t>
            </w:r>
          </w:p>
        </w:tc>
      </w:tr>
      <w:tr w:rsidR="002133E3" w14:paraId="018EADE7" w14:textId="77777777">
        <w:tc>
          <w:tcPr>
            <w:tcW w:w="1952" w:type="dxa"/>
            <w:vMerge/>
            <w:vAlign w:val="center"/>
          </w:tcPr>
          <w:p w14:paraId="2AEF6E9B" w14:textId="77777777" w:rsidR="002133E3" w:rsidRDefault="002133E3">
            <w:pPr>
              <w:rPr>
                <w:rFonts w:ascii="Times New Roman" w:eastAsia="宋体" w:hAnsi="Times New Roman" w:cs="Times New Roman"/>
                <w:szCs w:val="21"/>
              </w:rPr>
            </w:pPr>
          </w:p>
        </w:tc>
        <w:tc>
          <w:tcPr>
            <w:tcW w:w="1135" w:type="dxa"/>
            <w:vMerge/>
            <w:vAlign w:val="center"/>
          </w:tcPr>
          <w:p w14:paraId="3E7307FA" w14:textId="77777777" w:rsidR="002133E3" w:rsidRDefault="002133E3">
            <w:pPr>
              <w:rPr>
                <w:rFonts w:ascii="Times New Roman" w:eastAsia="宋体" w:hAnsi="Times New Roman" w:cs="Times New Roman"/>
                <w:szCs w:val="21"/>
              </w:rPr>
            </w:pPr>
          </w:p>
        </w:tc>
        <w:tc>
          <w:tcPr>
            <w:tcW w:w="2695" w:type="dxa"/>
            <w:gridSpan w:val="3"/>
            <w:vAlign w:val="center"/>
          </w:tcPr>
          <w:p w14:paraId="5E05C93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2011.9.29</w:t>
            </w:r>
          </w:p>
        </w:tc>
        <w:tc>
          <w:tcPr>
            <w:tcW w:w="2976" w:type="dxa"/>
            <w:gridSpan w:val="3"/>
          </w:tcPr>
          <w:p w14:paraId="1F0593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2011.9.30</w:t>
            </w:r>
          </w:p>
        </w:tc>
        <w:tc>
          <w:tcPr>
            <w:tcW w:w="2775" w:type="dxa"/>
            <w:gridSpan w:val="3"/>
            <w:vAlign w:val="center"/>
          </w:tcPr>
          <w:p w14:paraId="340708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2011.9.29</w:t>
            </w:r>
          </w:p>
        </w:tc>
        <w:tc>
          <w:tcPr>
            <w:tcW w:w="2685" w:type="dxa"/>
            <w:gridSpan w:val="3"/>
          </w:tcPr>
          <w:p w14:paraId="0CDC7C0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2011.9.30</w:t>
            </w:r>
          </w:p>
        </w:tc>
      </w:tr>
      <w:tr w:rsidR="002133E3" w14:paraId="75E0AB4F" w14:textId="77777777">
        <w:tc>
          <w:tcPr>
            <w:tcW w:w="1952" w:type="dxa"/>
            <w:vMerge/>
            <w:vAlign w:val="center"/>
          </w:tcPr>
          <w:p w14:paraId="59B2217A" w14:textId="77777777" w:rsidR="002133E3" w:rsidRDefault="002133E3">
            <w:pPr>
              <w:rPr>
                <w:rFonts w:ascii="Times New Roman" w:eastAsia="宋体" w:hAnsi="Times New Roman" w:cs="Times New Roman"/>
                <w:szCs w:val="21"/>
              </w:rPr>
            </w:pPr>
          </w:p>
        </w:tc>
        <w:tc>
          <w:tcPr>
            <w:tcW w:w="1135" w:type="dxa"/>
            <w:vMerge/>
            <w:vAlign w:val="center"/>
          </w:tcPr>
          <w:p w14:paraId="21BB25C2" w14:textId="77777777" w:rsidR="002133E3" w:rsidRDefault="002133E3">
            <w:pPr>
              <w:rPr>
                <w:rFonts w:ascii="Times New Roman" w:eastAsia="宋体" w:hAnsi="Times New Roman" w:cs="Times New Roman"/>
                <w:szCs w:val="21"/>
              </w:rPr>
            </w:pPr>
          </w:p>
        </w:tc>
        <w:tc>
          <w:tcPr>
            <w:tcW w:w="853" w:type="dxa"/>
            <w:vAlign w:val="center"/>
          </w:tcPr>
          <w:p w14:paraId="23A439A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04" w:type="dxa"/>
          </w:tcPr>
          <w:p w14:paraId="6E447BA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38" w:type="dxa"/>
          </w:tcPr>
          <w:p w14:paraId="5448BA8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992" w:type="dxa"/>
            <w:vAlign w:val="center"/>
          </w:tcPr>
          <w:p w14:paraId="052835B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92" w:type="dxa"/>
          </w:tcPr>
          <w:p w14:paraId="72A2810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92" w:type="dxa"/>
          </w:tcPr>
          <w:p w14:paraId="5F3DD7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901" w:type="dxa"/>
            <w:vAlign w:val="center"/>
          </w:tcPr>
          <w:p w14:paraId="627DFBE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41" w:type="dxa"/>
          </w:tcPr>
          <w:p w14:paraId="163603E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33" w:type="dxa"/>
          </w:tcPr>
          <w:p w14:paraId="3140316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896" w:type="dxa"/>
            <w:vAlign w:val="center"/>
          </w:tcPr>
          <w:p w14:paraId="06B3DB4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10" w:type="dxa"/>
          </w:tcPr>
          <w:p w14:paraId="3CF079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879" w:type="dxa"/>
          </w:tcPr>
          <w:p w14:paraId="706F38B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r>
      <w:tr w:rsidR="002133E3" w14:paraId="14DA5182" w14:textId="77777777">
        <w:tc>
          <w:tcPr>
            <w:tcW w:w="1952" w:type="dxa"/>
            <w:vAlign w:val="center"/>
          </w:tcPr>
          <w:p w14:paraId="4718F14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大气压</w:t>
            </w:r>
          </w:p>
        </w:tc>
        <w:tc>
          <w:tcPr>
            <w:tcW w:w="1135" w:type="dxa"/>
            <w:vAlign w:val="center"/>
          </w:tcPr>
          <w:p w14:paraId="22EC38A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5B4764E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04" w:type="dxa"/>
            <w:vAlign w:val="center"/>
          </w:tcPr>
          <w:p w14:paraId="5CF67E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38" w:type="dxa"/>
            <w:vAlign w:val="center"/>
          </w:tcPr>
          <w:p w14:paraId="775D289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92" w:type="dxa"/>
            <w:vAlign w:val="center"/>
          </w:tcPr>
          <w:p w14:paraId="4BEBE30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92" w:type="dxa"/>
            <w:vAlign w:val="center"/>
          </w:tcPr>
          <w:p w14:paraId="3371753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92" w:type="dxa"/>
            <w:vAlign w:val="center"/>
          </w:tcPr>
          <w:p w14:paraId="22AA61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01" w:type="dxa"/>
            <w:vAlign w:val="center"/>
          </w:tcPr>
          <w:p w14:paraId="7D5DC20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41" w:type="dxa"/>
            <w:vAlign w:val="center"/>
          </w:tcPr>
          <w:p w14:paraId="10EA3E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33" w:type="dxa"/>
            <w:vAlign w:val="center"/>
          </w:tcPr>
          <w:p w14:paraId="057F813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896" w:type="dxa"/>
            <w:vAlign w:val="center"/>
          </w:tcPr>
          <w:p w14:paraId="078C3C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10" w:type="dxa"/>
            <w:vAlign w:val="center"/>
          </w:tcPr>
          <w:p w14:paraId="2A024BB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879" w:type="dxa"/>
            <w:vAlign w:val="center"/>
          </w:tcPr>
          <w:p w14:paraId="351F826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r>
      <w:tr w:rsidR="002133E3" w14:paraId="58813D8A" w14:textId="77777777">
        <w:tc>
          <w:tcPr>
            <w:tcW w:w="1952" w:type="dxa"/>
            <w:vAlign w:val="center"/>
          </w:tcPr>
          <w:p w14:paraId="1675A28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烟温</w:t>
            </w:r>
          </w:p>
        </w:tc>
        <w:tc>
          <w:tcPr>
            <w:tcW w:w="1135" w:type="dxa"/>
            <w:vAlign w:val="center"/>
          </w:tcPr>
          <w:p w14:paraId="39E8AE4B" w14:textId="77777777" w:rsidR="002133E3" w:rsidRDefault="00C22CFA">
            <w:pPr>
              <w:rPr>
                <w:rFonts w:ascii="Times New Roman" w:eastAsia="宋体" w:hAnsi="Times New Roman" w:cs="Times New Roman"/>
                <w:szCs w:val="21"/>
              </w:rPr>
            </w:pPr>
            <w:r>
              <w:rPr>
                <w:rFonts w:ascii="宋体" w:eastAsia="宋体" w:hAnsi="宋体" w:cs="宋体" w:hint="eastAsia"/>
                <w:szCs w:val="21"/>
              </w:rPr>
              <w:t>℃</w:t>
            </w:r>
          </w:p>
        </w:tc>
        <w:tc>
          <w:tcPr>
            <w:tcW w:w="853" w:type="dxa"/>
            <w:vAlign w:val="center"/>
          </w:tcPr>
          <w:p w14:paraId="2E73554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29</w:t>
            </w:r>
          </w:p>
        </w:tc>
        <w:tc>
          <w:tcPr>
            <w:tcW w:w="904" w:type="dxa"/>
            <w:vAlign w:val="center"/>
          </w:tcPr>
          <w:p w14:paraId="199A689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38" w:type="dxa"/>
            <w:vAlign w:val="center"/>
          </w:tcPr>
          <w:p w14:paraId="53AA673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92" w:type="dxa"/>
            <w:vAlign w:val="center"/>
          </w:tcPr>
          <w:p w14:paraId="4B47132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29</w:t>
            </w:r>
          </w:p>
        </w:tc>
        <w:tc>
          <w:tcPr>
            <w:tcW w:w="992" w:type="dxa"/>
            <w:vAlign w:val="center"/>
          </w:tcPr>
          <w:p w14:paraId="00B5CA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92" w:type="dxa"/>
            <w:vAlign w:val="center"/>
          </w:tcPr>
          <w:p w14:paraId="5934F72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01" w:type="dxa"/>
            <w:vAlign w:val="center"/>
          </w:tcPr>
          <w:p w14:paraId="5FFB403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941" w:type="dxa"/>
            <w:vAlign w:val="center"/>
          </w:tcPr>
          <w:p w14:paraId="44DBF64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933" w:type="dxa"/>
            <w:vAlign w:val="center"/>
          </w:tcPr>
          <w:p w14:paraId="458473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896" w:type="dxa"/>
            <w:vAlign w:val="center"/>
          </w:tcPr>
          <w:p w14:paraId="054D618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910" w:type="dxa"/>
            <w:vAlign w:val="center"/>
          </w:tcPr>
          <w:p w14:paraId="04A29F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879" w:type="dxa"/>
            <w:vAlign w:val="center"/>
          </w:tcPr>
          <w:p w14:paraId="6DCFD09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r>
      <w:tr w:rsidR="002133E3" w14:paraId="2667B4C9" w14:textId="77777777">
        <w:tc>
          <w:tcPr>
            <w:tcW w:w="1952" w:type="dxa"/>
            <w:vAlign w:val="center"/>
          </w:tcPr>
          <w:p w14:paraId="7122C28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烟气静压</w:t>
            </w:r>
          </w:p>
        </w:tc>
        <w:tc>
          <w:tcPr>
            <w:tcW w:w="1135" w:type="dxa"/>
            <w:vAlign w:val="center"/>
          </w:tcPr>
          <w:p w14:paraId="5D8CB3D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79DD1FC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2560</w:t>
            </w:r>
          </w:p>
        </w:tc>
        <w:tc>
          <w:tcPr>
            <w:tcW w:w="904" w:type="dxa"/>
            <w:vAlign w:val="center"/>
          </w:tcPr>
          <w:p w14:paraId="331987E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3500</w:t>
            </w:r>
          </w:p>
        </w:tc>
        <w:tc>
          <w:tcPr>
            <w:tcW w:w="938" w:type="dxa"/>
            <w:vAlign w:val="center"/>
          </w:tcPr>
          <w:p w14:paraId="757FD57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3560</w:t>
            </w:r>
          </w:p>
        </w:tc>
        <w:tc>
          <w:tcPr>
            <w:tcW w:w="992" w:type="dxa"/>
            <w:vAlign w:val="center"/>
          </w:tcPr>
          <w:p w14:paraId="442D8F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3560</w:t>
            </w:r>
          </w:p>
        </w:tc>
        <w:tc>
          <w:tcPr>
            <w:tcW w:w="992" w:type="dxa"/>
            <w:vAlign w:val="center"/>
          </w:tcPr>
          <w:p w14:paraId="22E218A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3520</w:t>
            </w:r>
          </w:p>
        </w:tc>
        <w:tc>
          <w:tcPr>
            <w:tcW w:w="992" w:type="dxa"/>
            <w:vAlign w:val="center"/>
          </w:tcPr>
          <w:p w14:paraId="56D7F8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3510</w:t>
            </w:r>
          </w:p>
        </w:tc>
        <w:tc>
          <w:tcPr>
            <w:tcW w:w="901" w:type="dxa"/>
            <w:vAlign w:val="center"/>
          </w:tcPr>
          <w:p w14:paraId="3677B83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760</w:t>
            </w:r>
          </w:p>
        </w:tc>
        <w:tc>
          <w:tcPr>
            <w:tcW w:w="941" w:type="dxa"/>
            <w:vAlign w:val="center"/>
          </w:tcPr>
          <w:p w14:paraId="29E3A3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720</w:t>
            </w:r>
          </w:p>
        </w:tc>
        <w:tc>
          <w:tcPr>
            <w:tcW w:w="933" w:type="dxa"/>
            <w:vAlign w:val="center"/>
          </w:tcPr>
          <w:p w14:paraId="1D0CC67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730</w:t>
            </w:r>
          </w:p>
        </w:tc>
        <w:tc>
          <w:tcPr>
            <w:tcW w:w="896" w:type="dxa"/>
            <w:vAlign w:val="center"/>
          </w:tcPr>
          <w:p w14:paraId="0E26063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710</w:t>
            </w:r>
          </w:p>
        </w:tc>
        <w:tc>
          <w:tcPr>
            <w:tcW w:w="910" w:type="dxa"/>
            <w:vAlign w:val="center"/>
          </w:tcPr>
          <w:p w14:paraId="63CA31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720</w:t>
            </w:r>
          </w:p>
        </w:tc>
        <w:tc>
          <w:tcPr>
            <w:tcW w:w="879" w:type="dxa"/>
            <w:vAlign w:val="center"/>
          </w:tcPr>
          <w:p w14:paraId="5EDB841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720</w:t>
            </w:r>
          </w:p>
        </w:tc>
      </w:tr>
      <w:tr w:rsidR="002133E3" w14:paraId="43C5C27F" w14:textId="77777777">
        <w:tc>
          <w:tcPr>
            <w:tcW w:w="1952" w:type="dxa"/>
            <w:vAlign w:val="center"/>
          </w:tcPr>
          <w:p w14:paraId="738F469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烟气密度</w:t>
            </w:r>
          </w:p>
        </w:tc>
        <w:tc>
          <w:tcPr>
            <w:tcW w:w="1135" w:type="dxa"/>
            <w:vAlign w:val="center"/>
          </w:tcPr>
          <w:p w14:paraId="5A947C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kg/m3</w:t>
            </w:r>
          </w:p>
        </w:tc>
        <w:tc>
          <w:tcPr>
            <w:tcW w:w="853" w:type="dxa"/>
            <w:vAlign w:val="center"/>
          </w:tcPr>
          <w:p w14:paraId="0D66082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1.2560</w:t>
            </w:r>
          </w:p>
        </w:tc>
        <w:tc>
          <w:tcPr>
            <w:tcW w:w="904" w:type="dxa"/>
            <w:vAlign w:val="center"/>
          </w:tcPr>
          <w:p w14:paraId="1E53BF8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1.2594</w:t>
            </w:r>
          </w:p>
        </w:tc>
        <w:tc>
          <w:tcPr>
            <w:tcW w:w="938" w:type="dxa"/>
            <w:vAlign w:val="center"/>
          </w:tcPr>
          <w:p w14:paraId="0DE82F9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1.2601</w:t>
            </w:r>
          </w:p>
        </w:tc>
        <w:tc>
          <w:tcPr>
            <w:tcW w:w="992" w:type="dxa"/>
            <w:vAlign w:val="center"/>
          </w:tcPr>
          <w:p w14:paraId="1F772DA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1.2572</w:t>
            </w:r>
          </w:p>
        </w:tc>
        <w:tc>
          <w:tcPr>
            <w:tcW w:w="992" w:type="dxa"/>
            <w:vAlign w:val="center"/>
          </w:tcPr>
          <w:p w14:paraId="3A1FC33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1.2609</w:t>
            </w:r>
          </w:p>
        </w:tc>
        <w:tc>
          <w:tcPr>
            <w:tcW w:w="992" w:type="dxa"/>
            <w:vAlign w:val="center"/>
          </w:tcPr>
          <w:p w14:paraId="6F91543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1.2607</w:t>
            </w:r>
          </w:p>
        </w:tc>
        <w:tc>
          <w:tcPr>
            <w:tcW w:w="901" w:type="dxa"/>
            <w:vAlign w:val="center"/>
          </w:tcPr>
          <w:p w14:paraId="3557F0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1.1758</w:t>
            </w:r>
          </w:p>
        </w:tc>
        <w:tc>
          <w:tcPr>
            <w:tcW w:w="941" w:type="dxa"/>
            <w:vAlign w:val="center"/>
          </w:tcPr>
          <w:p w14:paraId="09C4BFE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1.1791</w:t>
            </w:r>
          </w:p>
        </w:tc>
        <w:tc>
          <w:tcPr>
            <w:tcW w:w="933" w:type="dxa"/>
            <w:vAlign w:val="center"/>
          </w:tcPr>
          <w:p w14:paraId="5C02B7E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1.1754</w:t>
            </w:r>
          </w:p>
        </w:tc>
        <w:tc>
          <w:tcPr>
            <w:tcW w:w="896" w:type="dxa"/>
            <w:vAlign w:val="center"/>
          </w:tcPr>
          <w:p w14:paraId="6F5672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1.1801</w:t>
            </w:r>
          </w:p>
        </w:tc>
        <w:tc>
          <w:tcPr>
            <w:tcW w:w="910" w:type="dxa"/>
            <w:vAlign w:val="center"/>
          </w:tcPr>
          <w:p w14:paraId="626B320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1.1802</w:t>
            </w:r>
          </w:p>
        </w:tc>
        <w:tc>
          <w:tcPr>
            <w:tcW w:w="879" w:type="dxa"/>
            <w:vAlign w:val="center"/>
          </w:tcPr>
          <w:p w14:paraId="456B631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1.1765</w:t>
            </w:r>
          </w:p>
        </w:tc>
      </w:tr>
      <w:tr w:rsidR="002133E3" w14:paraId="2F4E071D" w14:textId="77777777">
        <w:tc>
          <w:tcPr>
            <w:tcW w:w="1952" w:type="dxa"/>
            <w:vAlign w:val="center"/>
          </w:tcPr>
          <w:p w14:paraId="14C36B1D" w14:textId="77777777" w:rsidR="002133E3" w:rsidRDefault="00C22CFA">
            <w:pPr>
              <w:rPr>
                <w:rFonts w:ascii="Times New Roman" w:eastAsia="宋体" w:hAnsi="Times New Roman" w:cs="Times New Roman"/>
                <w:szCs w:val="21"/>
              </w:rPr>
            </w:pPr>
            <w:proofErr w:type="spellStart"/>
            <w:r>
              <w:rPr>
                <w:rFonts w:ascii="Times New Roman" w:eastAsia="宋体" w:hAnsi="Times New Roman" w:cs="Times New Roman"/>
                <w:szCs w:val="21"/>
              </w:rPr>
              <w:t>kp</w:t>
            </w:r>
            <w:proofErr w:type="spellEnd"/>
          </w:p>
        </w:tc>
        <w:tc>
          <w:tcPr>
            <w:tcW w:w="1135" w:type="dxa"/>
            <w:vAlign w:val="center"/>
          </w:tcPr>
          <w:p w14:paraId="27F0FD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6334E4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04" w:type="dxa"/>
            <w:vAlign w:val="center"/>
          </w:tcPr>
          <w:p w14:paraId="7F1EA0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38" w:type="dxa"/>
            <w:vAlign w:val="center"/>
          </w:tcPr>
          <w:p w14:paraId="54FDEC5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2C607E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0CE6A2B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06FDBB4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01" w:type="dxa"/>
            <w:vAlign w:val="center"/>
          </w:tcPr>
          <w:p w14:paraId="4F06300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41" w:type="dxa"/>
            <w:vAlign w:val="center"/>
          </w:tcPr>
          <w:p w14:paraId="3B6CDD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33" w:type="dxa"/>
            <w:vAlign w:val="center"/>
          </w:tcPr>
          <w:p w14:paraId="5A6CD08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896" w:type="dxa"/>
            <w:vAlign w:val="center"/>
          </w:tcPr>
          <w:p w14:paraId="1B8876B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10" w:type="dxa"/>
            <w:vAlign w:val="center"/>
          </w:tcPr>
          <w:p w14:paraId="5D3F93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879" w:type="dxa"/>
            <w:vAlign w:val="center"/>
          </w:tcPr>
          <w:p w14:paraId="6B080FA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r>
      <w:tr w:rsidR="002133E3" w14:paraId="1CF24993" w14:textId="77777777">
        <w:tc>
          <w:tcPr>
            <w:tcW w:w="1952" w:type="dxa"/>
            <w:vAlign w:val="center"/>
          </w:tcPr>
          <w:p w14:paraId="5F739DE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动压值</w:t>
            </w:r>
          </w:p>
        </w:tc>
        <w:tc>
          <w:tcPr>
            <w:tcW w:w="1135" w:type="dxa"/>
            <w:vAlign w:val="center"/>
          </w:tcPr>
          <w:p w14:paraId="717D93D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799E632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400</w:t>
            </w:r>
          </w:p>
        </w:tc>
        <w:tc>
          <w:tcPr>
            <w:tcW w:w="904" w:type="dxa"/>
            <w:vAlign w:val="center"/>
          </w:tcPr>
          <w:p w14:paraId="4C4F596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403</w:t>
            </w:r>
          </w:p>
        </w:tc>
        <w:tc>
          <w:tcPr>
            <w:tcW w:w="938" w:type="dxa"/>
            <w:vAlign w:val="center"/>
          </w:tcPr>
          <w:p w14:paraId="1B2513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400</w:t>
            </w:r>
          </w:p>
        </w:tc>
        <w:tc>
          <w:tcPr>
            <w:tcW w:w="992" w:type="dxa"/>
            <w:vAlign w:val="center"/>
          </w:tcPr>
          <w:p w14:paraId="78584BE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410</w:t>
            </w:r>
          </w:p>
        </w:tc>
        <w:tc>
          <w:tcPr>
            <w:tcW w:w="992" w:type="dxa"/>
            <w:vAlign w:val="center"/>
          </w:tcPr>
          <w:p w14:paraId="6E65FFD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400</w:t>
            </w:r>
          </w:p>
        </w:tc>
        <w:tc>
          <w:tcPr>
            <w:tcW w:w="992" w:type="dxa"/>
            <w:vAlign w:val="center"/>
          </w:tcPr>
          <w:p w14:paraId="5A14CA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399</w:t>
            </w:r>
          </w:p>
        </w:tc>
        <w:tc>
          <w:tcPr>
            <w:tcW w:w="901" w:type="dxa"/>
            <w:vAlign w:val="center"/>
          </w:tcPr>
          <w:p w14:paraId="6A9ED4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442</w:t>
            </w:r>
          </w:p>
        </w:tc>
        <w:tc>
          <w:tcPr>
            <w:tcW w:w="941" w:type="dxa"/>
            <w:vAlign w:val="center"/>
          </w:tcPr>
          <w:p w14:paraId="6A5BA1B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440</w:t>
            </w:r>
          </w:p>
        </w:tc>
        <w:tc>
          <w:tcPr>
            <w:tcW w:w="933" w:type="dxa"/>
            <w:vAlign w:val="center"/>
          </w:tcPr>
          <w:p w14:paraId="585737C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451</w:t>
            </w:r>
          </w:p>
        </w:tc>
        <w:tc>
          <w:tcPr>
            <w:tcW w:w="896" w:type="dxa"/>
            <w:vAlign w:val="center"/>
          </w:tcPr>
          <w:p w14:paraId="2504A34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445</w:t>
            </w:r>
          </w:p>
        </w:tc>
        <w:tc>
          <w:tcPr>
            <w:tcW w:w="910" w:type="dxa"/>
            <w:vAlign w:val="center"/>
          </w:tcPr>
          <w:p w14:paraId="3DF841D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448</w:t>
            </w:r>
          </w:p>
        </w:tc>
        <w:tc>
          <w:tcPr>
            <w:tcW w:w="879" w:type="dxa"/>
            <w:vAlign w:val="center"/>
          </w:tcPr>
          <w:p w14:paraId="7802C2A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442</w:t>
            </w:r>
          </w:p>
        </w:tc>
      </w:tr>
      <w:tr w:rsidR="002133E3" w14:paraId="1A269644" w14:textId="77777777">
        <w:tc>
          <w:tcPr>
            <w:tcW w:w="1952" w:type="dxa"/>
            <w:vAlign w:val="center"/>
          </w:tcPr>
          <w:p w14:paraId="15FD5C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烟气流速</w:t>
            </w:r>
          </w:p>
        </w:tc>
        <w:tc>
          <w:tcPr>
            <w:tcW w:w="1135" w:type="dxa"/>
            <w:vAlign w:val="center"/>
          </w:tcPr>
          <w:p w14:paraId="33C6FB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m/s</w:t>
            </w:r>
          </w:p>
        </w:tc>
        <w:tc>
          <w:tcPr>
            <w:tcW w:w="853" w:type="dxa"/>
            <w:vAlign w:val="center"/>
          </w:tcPr>
          <w:p w14:paraId="73AC2C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21.2</w:t>
            </w:r>
          </w:p>
        </w:tc>
        <w:tc>
          <w:tcPr>
            <w:tcW w:w="904" w:type="dxa"/>
            <w:vAlign w:val="center"/>
          </w:tcPr>
          <w:p w14:paraId="2F28AFA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21.2</w:t>
            </w:r>
          </w:p>
        </w:tc>
        <w:tc>
          <w:tcPr>
            <w:tcW w:w="938" w:type="dxa"/>
            <w:vAlign w:val="center"/>
          </w:tcPr>
          <w:p w14:paraId="46E6FE0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21.2</w:t>
            </w:r>
          </w:p>
        </w:tc>
        <w:tc>
          <w:tcPr>
            <w:tcW w:w="992" w:type="dxa"/>
            <w:vAlign w:val="center"/>
          </w:tcPr>
          <w:p w14:paraId="26ABDEA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21.4</w:t>
            </w:r>
          </w:p>
        </w:tc>
        <w:tc>
          <w:tcPr>
            <w:tcW w:w="992" w:type="dxa"/>
            <w:vAlign w:val="center"/>
          </w:tcPr>
          <w:p w14:paraId="2A8AA36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21.2</w:t>
            </w:r>
          </w:p>
        </w:tc>
        <w:tc>
          <w:tcPr>
            <w:tcW w:w="992" w:type="dxa"/>
            <w:vAlign w:val="center"/>
          </w:tcPr>
          <w:p w14:paraId="23AACF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21.1</w:t>
            </w:r>
          </w:p>
        </w:tc>
        <w:tc>
          <w:tcPr>
            <w:tcW w:w="901" w:type="dxa"/>
            <w:vAlign w:val="center"/>
          </w:tcPr>
          <w:p w14:paraId="6ADBC73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23.0</w:t>
            </w:r>
          </w:p>
        </w:tc>
        <w:tc>
          <w:tcPr>
            <w:tcW w:w="941" w:type="dxa"/>
            <w:vAlign w:val="center"/>
          </w:tcPr>
          <w:p w14:paraId="0C778F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22.9</w:t>
            </w:r>
          </w:p>
        </w:tc>
        <w:tc>
          <w:tcPr>
            <w:tcW w:w="933" w:type="dxa"/>
            <w:vAlign w:val="center"/>
          </w:tcPr>
          <w:p w14:paraId="61B7FDE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23.3</w:t>
            </w:r>
          </w:p>
        </w:tc>
        <w:tc>
          <w:tcPr>
            <w:tcW w:w="896" w:type="dxa"/>
            <w:vAlign w:val="center"/>
          </w:tcPr>
          <w:p w14:paraId="6A945D6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23.1</w:t>
            </w:r>
          </w:p>
        </w:tc>
        <w:tc>
          <w:tcPr>
            <w:tcW w:w="910" w:type="dxa"/>
            <w:vAlign w:val="center"/>
          </w:tcPr>
          <w:p w14:paraId="58CF69F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23.1</w:t>
            </w:r>
          </w:p>
        </w:tc>
        <w:tc>
          <w:tcPr>
            <w:tcW w:w="879" w:type="dxa"/>
            <w:vAlign w:val="center"/>
          </w:tcPr>
          <w:p w14:paraId="2821221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23.0</w:t>
            </w:r>
          </w:p>
        </w:tc>
      </w:tr>
      <w:tr w:rsidR="002133E3" w14:paraId="1C67943D" w14:textId="77777777">
        <w:tc>
          <w:tcPr>
            <w:tcW w:w="1952" w:type="dxa"/>
            <w:vAlign w:val="center"/>
          </w:tcPr>
          <w:p w14:paraId="555F7F7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烟道截面积</w:t>
            </w:r>
          </w:p>
        </w:tc>
        <w:tc>
          <w:tcPr>
            <w:tcW w:w="1135" w:type="dxa"/>
            <w:vAlign w:val="center"/>
          </w:tcPr>
          <w:p w14:paraId="4BAA3DD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m2</w:t>
            </w:r>
          </w:p>
        </w:tc>
        <w:tc>
          <w:tcPr>
            <w:tcW w:w="853" w:type="dxa"/>
            <w:vAlign w:val="center"/>
          </w:tcPr>
          <w:p w14:paraId="5D12543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04" w:type="dxa"/>
            <w:vAlign w:val="center"/>
          </w:tcPr>
          <w:p w14:paraId="233695C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38" w:type="dxa"/>
            <w:vAlign w:val="center"/>
          </w:tcPr>
          <w:p w14:paraId="001CE98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7037D20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28807B2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6400987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01" w:type="dxa"/>
            <w:vAlign w:val="center"/>
          </w:tcPr>
          <w:p w14:paraId="05E7357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41" w:type="dxa"/>
            <w:vAlign w:val="center"/>
          </w:tcPr>
          <w:p w14:paraId="11FB4E0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33" w:type="dxa"/>
            <w:vAlign w:val="center"/>
          </w:tcPr>
          <w:p w14:paraId="70ED520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896" w:type="dxa"/>
            <w:vAlign w:val="center"/>
          </w:tcPr>
          <w:p w14:paraId="5B7107E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10" w:type="dxa"/>
            <w:vAlign w:val="center"/>
          </w:tcPr>
          <w:p w14:paraId="1A48DA4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879" w:type="dxa"/>
            <w:vAlign w:val="center"/>
          </w:tcPr>
          <w:p w14:paraId="77EB63F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r>
      <w:tr w:rsidR="002133E3" w14:paraId="37DDDADF" w14:textId="77777777">
        <w:tc>
          <w:tcPr>
            <w:tcW w:w="1952" w:type="dxa"/>
            <w:vAlign w:val="center"/>
          </w:tcPr>
          <w:p w14:paraId="4CAEABF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测态气量</w:t>
            </w:r>
          </w:p>
        </w:tc>
        <w:tc>
          <w:tcPr>
            <w:tcW w:w="1135" w:type="dxa"/>
            <w:vAlign w:val="center"/>
          </w:tcPr>
          <w:p w14:paraId="640831B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853" w:type="dxa"/>
            <w:vAlign w:val="center"/>
          </w:tcPr>
          <w:p w14:paraId="2967430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1.81</w:t>
            </w:r>
          </w:p>
        </w:tc>
        <w:tc>
          <w:tcPr>
            <w:tcW w:w="904" w:type="dxa"/>
            <w:vAlign w:val="center"/>
          </w:tcPr>
          <w:p w14:paraId="7982E9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1.82</w:t>
            </w:r>
          </w:p>
        </w:tc>
        <w:tc>
          <w:tcPr>
            <w:tcW w:w="938" w:type="dxa"/>
            <w:vAlign w:val="center"/>
          </w:tcPr>
          <w:p w14:paraId="2E575A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1.81</w:t>
            </w:r>
          </w:p>
        </w:tc>
        <w:tc>
          <w:tcPr>
            <w:tcW w:w="992" w:type="dxa"/>
            <w:vAlign w:val="center"/>
          </w:tcPr>
          <w:p w14:paraId="682CB89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1.83</w:t>
            </w:r>
          </w:p>
        </w:tc>
        <w:tc>
          <w:tcPr>
            <w:tcW w:w="992" w:type="dxa"/>
            <w:vAlign w:val="center"/>
          </w:tcPr>
          <w:p w14:paraId="16B22CB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1.81</w:t>
            </w:r>
          </w:p>
        </w:tc>
        <w:tc>
          <w:tcPr>
            <w:tcW w:w="992" w:type="dxa"/>
            <w:vAlign w:val="center"/>
          </w:tcPr>
          <w:p w14:paraId="4C69E9E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1.81</w:t>
            </w:r>
          </w:p>
        </w:tc>
        <w:tc>
          <w:tcPr>
            <w:tcW w:w="901" w:type="dxa"/>
            <w:vAlign w:val="center"/>
          </w:tcPr>
          <w:p w14:paraId="163F2E1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41" w:type="dxa"/>
            <w:vAlign w:val="center"/>
          </w:tcPr>
          <w:p w14:paraId="10D7124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1.62</w:t>
            </w:r>
          </w:p>
        </w:tc>
        <w:tc>
          <w:tcPr>
            <w:tcW w:w="933" w:type="dxa"/>
            <w:vAlign w:val="center"/>
          </w:tcPr>
          <w:p w14:paraId="25E4E7F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896" w:type="dxa"/>
            <w:vAlign w:val="center"/>
          </w:tcPr>
          <w:p w14:paraId="59A2BA3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10" w:type="dxa"/>
            <w:vAlign w:val="center"/>
          </w:tcPr>
          <w:p w14:paraId="52CF2D5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879" w:type="dxa"/>
            <w:vAlign w:val="center"/>
          </w:tcPr>
          <w:p w14:paraId="710A6BF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r>
      <w:tr w:rsidR="002133E3" w14:paraId="6CA8BD98" w14:textId="77777777">
        <w:tc>
          <w:tcPr>
            <w:tcW w:w="1952" w:type="dxa"/>
            <w:vAlign w:val="center"/>
          </w:tcPr>
          <w:p w14:paraId="552270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含湿量</w:t>
            </w:r>
          </w:p>
        </w:tc>
        <w:tc>
          <w:tcPr>
            <w:tcW w:w="1135" w:type="dxa"/>
            <w:vAlign w:val="center"/>
          </w:tcPr>
          <w:p w14:paraId="2544E5B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5F2E113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904" w:type="dxa"/>
            <w:vAlign w:val="center"/>
          </w:tcPr>
          <w:p w14:paraId="05578CD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938" w:type="dxa"/>
            <w:vAlign w:val="center"/>
          </w:tcPr>
          <w:p w14:paraId="0AC261A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992" w:type="dxa"/>
            <w:vAlign w:val="center"/>
          </w:tcPr>
          <w:p w14:paraId="5E2A20A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992" w:type="dxa"/>
            <w:vAlign w:val="center"/>
          </w:tcPr>
          <w:p w14:paraId="1134B69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992" w:type="dxa"/>
            <w:vAlign w:val="center"/>
          </w:tcPr>
          <w:p w14:paraId="2E4C75C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901" w:type="dxa"/>
            <w:vAlign w:val="center"/>
          </w:tcPr>
          <w:p w14:paraId="464E0C8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14.1</w:t>
            </w:r>
          </w:p>
        </w:tc>
        <w:tc>
          <w:tcPr>
            <w:tcW w:w="941" w:type="dxa"/>
            <w:vAlign w:val="center"/>
          </w:tcPr>
          <w:p w14:paraId="3B42B53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14.1</w:t>
            </w:r>
          </w:p>
        </w:tc>
        <w:tc>
          <w:tcPr>
            <w:tcW w:w="933" w:type="dxa"/>
            <w:vAlign w:val="center"/>
          </w:tcPr>
          <w:p w14:paraId="092DC3B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14.1</w:t>
            </w:r>
          </w:p>
        </w:tc>
        <w:tc>
          <w:tcPr>
            <w:tcW w:w="896" w:type="dxa"/>
            <w:vAlign w:val="center"/>
          </w:tcPr>
          <w:p w14:paraId="3BBAE03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14.4</w:t>
            </w:r>
          </w:p>
        </w:tc>
        <w:tc>
          <w:tcPr>
            <w:tcW w:w="910" w:type="dxa"/>
            <w:vAlign w:val="center"/>
          </w:tcPr>
          <w:p w14:paraId="0B38341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14.4</w:t>
            </w:r>
          </w:p>
        </w:tc>
        <w:tc>
          <w:tcPr>
            <w:tcW w:w="879" w:type="dxa"/>
            <w:vAlign w:val="center"/>
          </w:tcPr>
          <w:p w14:paraId="0632F9E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14.4</w:t>
            </w:r>
          </w:p>
        </w:tc>
      </w:tr>
      <w:tr w:rsidR="002133E3" w14:paraId="5B8F3671" w14:textId="77777777">
        <w:tc>
          <w:tcPr>
            <w:tcW w:w="1952" w:type="dxa"/>
            <w:vAlign w:val="center"/>
          </w:tcPr>
          <w:p w14:paraId="207E6B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lastRenderedPageBreak/>
              <w:t>标态气量</w:t>
            </w:r>
          </w:p>
        </w:tc>
        <w:tc>
          <w:tcPr>
            <w:tcW w:w="1135" w:type="dxa"/>
            <w:vAlign w:val="center"/>
          </w:tcPr>
          <w:p w14:paraId="2CEB199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853" w:type="dxa"/>
            <w:vAlign w:val="center"/>
          </w:tcPr>
          <w:p w14:paraId="5240D6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04" w:type="dxa"/>
            <w:vAlign w:val="center"/>
          </w:tcPr>
          <w:p w14:paraId="1C84D02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38" w:type="dxa"/>
            <w:vAlign w:val="center"/>
          </w:tcPr>
          <w:p w14:paraId="2E312D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92" w:type="dxa"/>
            <w:vAlign w:val="center"/>
          </w:tcPr>
          <w:p w14:paraId="2F9DD64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992" w:type="dxa"/>
            <w:vAlign w:val="center"/>
          </w:tcPr>
          <w:p w14:paraId="5531787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92" w:type="dxa"/>
            <w:vAlign w:val="center"/>
          </w:tcPr>
          <w:p w14:paraId="65E6786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1.63</w:t>
            </w:r>
          </w:p>
        </w:tc>
        <w:tc>
          <w:tcPr>
            <w:tcW w:w="901" w:type="dxa"/>
            <w:vAlign w:val="center"/>
          </w:tcPr>
          <w:p w14:paraId="55A673E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1.23</w:t>
            </w:r>
          </w:p>
        </w:tc>
        <w:tc>
          <w:tcPr>
            <w:tcW w:w="941" w:type="dxa"/>
            <w:vAlign w:val="center"/>
          </w:tcPr>
          <w:p w14:paraId="6DB8D5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1.23</w:t>
            </w:r>
          </w:p>
        </w:tc>
        <w:tc>
          <w:tcPr>
            <w:tcW w:w="933" w:type="dxa"/>
            <w:vAlign w:val="center"/>
          </w:tcPr>
          <w:p w14:paraId="66E59FB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1.24</w:t>
            </w:r>
          </w:p>
        </w:tc>
        <w:tc>
          <w:tcPr>
            <w:tcW w:w="896" w:type="dxa"/>
            <w:vAlign w:val="center"/>
          </w:tcPr>
          <w:p w14:paraId="122D4ED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1.23</w:t>
            </w:r>
          </w:p>
        </w:tc>
        <w:tc>
          <w:tcPr>
            <w:tcW w:w="910" w:type="dxa"/>
            <w:vAlign w:val="center"/>
          </w:tcPr>
          <w:p w14:paraId="6F36E87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1.23</w:t>
            </w:r>
          </w:p>
        </w:tc>
        <w:tc>
          <w:tcPr>
            <w:tcW w:w="879" w:type="dxa"/>
            <w:vAlign w:val="center"/>
          </w:tcPr>
          <w:p w14:paraId="288042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1.22</w:t>
            </w:r>
          </w:p>
        </w:tc>
      </w:tr>
      <w:tr w:rsidR="002133E3" w14:paraId="7BC542BE" w14:textId="77777777">
        <w:tc>
          <w:tcPr>
            <w:tcW w:w="1952" w:type="dxa"/>
            <w:vAlign w:val="center"/>
          </w:tcPr>
          <w:p w14:paraId="20287EF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颗粒物排放浓度</w:t>
            </w:r>
          </w:p>
        </w:tc>
        <w:tc>
          <w:tcPr>
            <w:tcW w:w="1135" w:type="dxa"/>
            <w:vAlign w:val="center"/>
          </w:tcPr>
          <w:p w14:paraId="4C9AC0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853" w:type="dxa"/>
            <w:vAlign w:val="center"/>
          </w:tcPr>
          <w:p w14:paraId="67EA70C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1934.7</w:t>
            </w:r>
          </w:p>
        </w:tc>
        <w:tc>
          <w:tcPr>
            <w:tcW w:w="904" w:type="dxa"/>
            <w:vAlign w:val="center"/>
          </w:tcPr>
          <w:p w14:paraId="27F5EF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2001.6</w:t>
            </w:r>
          </w:p>
        </w:tc>
        <w:tc>
          <w:tcPr>
            <w:tcW w:w="938" w:type="dxa"/>
            <w:vAlign w:val="center"/>
          </w:tcPr>
          <w:p w14:paraId="20E4184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1719.7</w:t>
            </w:r>
          </w:p>
        </w:tc>
        <w:tc>
          <w:tcPr>
            <w:tcW w:w="992" w:type="dxa"/>
            <w:vAlign w:val="center"/>
          </w:tcPr>
          <w:p w14:paraId="69848B0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1844.7</w:t>
            </w:r>
          </w:p>
        </w:tc>
        <w:tc>
          <w:tcPr>
            <w:tcW w:w="992" w:type="dxa"/>
            <w:vAlign w:val="center"/>
          </w:tcPr>
          <w:p w14:paraId="1CD7461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1967.5</w:t>
            </w:r>
          </w:p>
        </w:tc>
        <w:tc>
          <w:tcPr>
            <w:tcW w:w="992" w:type="dxa"/>
            <w:vAlign w:val="center"/>
          </w:tcPr>
          <w:p w14:paraId="09A8CE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2047.2</w:t>
            </w:r>
          </w:p>
        </w:tc>
        <w:tc>
          <w:tcPr>
            <w:tcW w:w="901" w:type="dxa"/>
            <w:vAlign w:val="center"/>
          </w:tcPr>
          <w:p w14:paraId="2C03FEE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24.2</w:t>
            </w:r>
          </w:p>
        </w:tc>
        <w:tc>
          <w:tcPr>
            <w:tcW w:w="941" w:type="dxa"/>
            <w:vAlign w:val="center"/>
          </w:tcPr>
          <w:p w14:paraId="305756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25.1</w:t>
            </w:r>
          </w:p>
        </w:tc>
        <w:tc>
          <w:tcPr>
            <w:tcW w:w="933" w:type="dxa"/>
            <w:vAlign w:val="center"/>
          </w:tcPr>
          <w:p w14:paraId="21A285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24.5</w:t>
            </w:r>
          </w:p>
        </w:tc>
        <w:tc>
          <w:tcPr>
            <w:tcW w:w="896" w:type="dxa"/>
            <w:vAlign w:val="center"/>
          </w:tcPr>
          <w:p w14:paraId="72E195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25.3</w:t>
            </w:r>
          </w:p>
        </w:tc>
        <w:tc>
          <w:tcPr>
            <w:tcW w:w="910" w:type="dxa"/>
            <w:vAlign w:val="center"/>
          </w:tcPr>
          <w:p w14:paraId="53239E0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24.0</w:t>
            </w:r>
          </w:p>
        </w:tc>
        <w:tc>
          <w:tcPr>
            <w:tcW w:w="879" w:type="dxa"/>
            <w:vAlign w:val="center"/>
          </w:tcPr>
          <w:p w14:paraId="187280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24.9</w:t>
            </w:r>
          </w:p>
        </w:tc>
      </w:tr>
      <w:tr w:rsidR="002133E3" w14:paraId="603788F6" w14:textId="77777777">
        <w:tc>
          <w:tcPr>
            <w:tcW w:w="1952" w:type="dxa"/>
            <w:vAlign w:val="center"/>
          </w:tcPr>
          <w:p w14:paraId="599E6B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颗粒物排放速率</w:t>
            </w:r>
          </w:p>
        </w:tc>
        <w:tc>
          <w:tcPr>
            <w:tcW w:w="1135" w:type="dxa"/>
            <w:vAlign w:val="center"/>
          </w:tcPr>
          <w:p w14:paraId="2D8697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853" w:type="dxa"/>
            <w:vAlign w:val="center"/>
          </w:tcPr>
          <w:p w14:paraId="1F6FDEE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31.53</w:t>
            </w:r>
          </w:p>
        </w:tc>
        <w:tc>
          <w:tcPr>
            <w:tcW w:w="904" w:type="dxa"/>
            <w:vAlign w:val="center"/>
          </w:tcPr>
          <w:p w14:paraId="21C6002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32.79</w:t>
            </w:r>
          </w:p>
        </w:tc>
        <w:tc>
          <w:tcPr>
            <w:tcW w:w="938" w:type="dxa"/>
            <w:vAlign w:val="center"/>
          </w:tcPr>
          <w:p w14:paraId="43FFDA2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28.07</w:t>
            </w:r>
          </w:p>
        </w:tc>
        <w:tc>
          <w:tcPr>
            <w:tcW w:w="992" w:type="dxa"/>
            <w:vAlign w:val="center"/>
          </w:tcPr>
          <w:p w14:paraId="49605C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30.39</w:t>
            </w:r>
          </w:p>
        </w:tc>
        <w:tc>
          <w:tcPr>
            <w:tcW w:w="992" w:type="dxa"/>
            <w:vAlign w:val="center"/>
          </w:tcPr>
          <w:p w14:paraId="10DC1B7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32.06</w:t>
            </w:r>
          </w:p>
        </w:tc>
        <w:tc>
          <w:tcPr>
            <w:tcW w:w="992" w:type="dxa"/>
            <w:vAlign w:val="center"/>
          </w:tcPr>
          <w:p w14:paraId="6715AD7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33.31</w:t>
            </w:r>
          </w:p>
        </w:tc>
        <w:tc>
          <w:tcPr>
            <w:tcW w:w="901" w:type="dxa"/>
            <w:vAlign w:val="center"/>
          </w:tcPr>
          <w:p w14:paraId="45ACB24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941" w:type="dxa"/>
            <w:vAlign w:val="center"/>
          </w:tcPr>
          <w:p w14:paraId="0D3F43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0.31</w:t>
            </w:r>
          </w:p>
        </w:tc>
        <w:tc>
          <w:tcPr>
            <w:tcW w:w="933" w:type="dxa"/>
            <w:vAlign w:val="center"/>
          </w:tcPr>
          <w:p w14:paraId="4F098D7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896" w:type="dxa"/>
            <w:vAlign w:val="center"/>
          </w:tcPr>
          <w:p w14:paraId="3C8456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0.31</w:t>
            </w:r>
          </w:p>
        </w:tc>
        <w:tc>
          <w:tcPr>
            <w:tcW w:w="910" w:type="dxa"/>
            <w:vAlign w:val="center"/>
          </w:tcPr>
          <w:p w14:paraId="3BE8482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879" w:type="dxa"/>
            <w:vAlign w:val="center"/>
          </w:tcPr>
          <w:p w14:paraId="592449F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r>
      <w:tr w:rsidR="002133E3" w14:paraId="6AFA0B05" w14:textId="77777777">
        <w:tc>
          <w:tcPr>
            <w:tcW w:w="1952" w:type="dxa"/>
            <w:vAlign w:val="center"/>
          </w:tcPr>
          <w:p w14:paraId="4D8E30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除尘效率</w:t>
            </w:r>
          </w:p>
        </w:tc>
        <w:tc>
          <w:tcPr>
            <w:tcW w:w="1135" w:type="dxa"/>
            <w:vAlign w:val="center"/>
          </w:tcPr>
          <w:p w14:paraId="62EAE7E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68D0251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04" w:type="dxa"/>
            <w:vAlign w:val="center"/>
          </w:tcPr>
          <w:p w14:paraId="142CEEA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38" w:type="dxa"/>
            <w:vAlign w:val="center"/>
          </w:tcPr>
          <w:p w14:paraId="1ACD49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508C67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3566484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2FEECDE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01" w:type="dxa"/>
            <w:vAlign w:val="center"/>
          </w:tcPr>
          <w:p w14:paraId="775E5DD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941" w:type="dxa"/>
            <w:vAlign w:val="center"/>
          </w:tcPr>
          <w:p w14:paraId="7A4357D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933" w:type="dxa"/>
            <w:vAlign w:val="center"/>
          </w:tcPr>
          <w:p w14:paraId="048E102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98.6</w:t>
            </w:r>
          </w:p>
        </w:tc>
        <w:tc>
          <w:tcPr>
            <w:tcW w:w="896" w:type="dxa"/>
            <w:vAlign w:val="center"/>
          </w:tcPr>
          <w:p w14:paraId="590E666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98.6</w:t>
            </w:r>
          </w:p>
        </w:tc>
        <w:tc>
          <w:tcPr>
            <w:tcW w:w="910" w:type="dxa"/>
            <w:vAlign w:val="center"/>
          </w:tcPr>
          <w:p w14:paraId="187C87F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98.8</w:t>
            </w:r>
          </w:p>
        </w:tc>
        <w:tc>
          <w:tcPr>
            <w:tcW w:w="879" w:type="dxa"/>
            <w:vAlign w:val="center"/>
          </w:tcPr>
          <w:p w14:paraId="7C79E2A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98.8</w:t>
            </w:r>
          </w:p>
        </w:tc>
      </w:tr>
      <w:tr w:rsidR="002133E3" w14:paraId="1C503249" w14:textId="77777777">
        <w:tc>
          <w:tcPr>
            <w:tcW w:w="1952" w:type="dxa"/>
            <w:vAlign w:val="center"/>
          </w:tcPr>
          <w:p w14:paraId="1585A8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烟道内径</w:t>
            </w:r>
          </w:p>
        </w:tc>
        <w:tc>
          <w:tcPr>
            <w:tcW w:w="1135" w:type="dxa"/>
            <w:vAlign w:val="center"/>
          </w:tcPr>
          <w:p w14:paraId="439F9B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w:t>
            </w:r>
          </w:p>
        </w:tc>
        <w:tc>
          <w:tcPr>
            <w:tcW w:w="5671" w:type="dxa"/>
            <w:gridSpan w:val="6"/>
            <w:vAlign w:val="center"/>
          </w:tcPr>
          <w:p w14:paraId="5D18017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0.55</w:t>
            </w:r>
          </w:p>
        </w:tc>
        <w:tc>
          <w:tcPr>
            <w:tcW w:w="5460" w:type="dxa"/>
            <w:gridSpan w:val="6"/>
            <w:vAlign w:val="center"/>
          </w:tcPr>
          <w:p w14:paraId="7CFD4BC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0.50</w:t>
            </w:r>
          </w:p>
        </w:tc>
      </w:tr>
    </w:tbl>
    <w:p w14:paraId="4BA5E812"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3.2-12   3#</w:t>
      </w:r>
      <w:r>
        <w:rPr>
          <w:rFonts w:ascii="Times New Roman" w:eastAsia="宋体" w:hAnsi="Times New Roman" w:cs="Times New Roman"/>
          <w:b/>
          <w:bCs/>
          <w:szCs w:val="21"/>
        </w:rPr>
        <w:t>除尘器废气监测结果（第一阶段）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2"/>
        <w:gridCol w:w="1135"/>
        <w:gridCol w:w="853"/>
        <w:gridCol w:w="904"/>
        <w:gridCol w:w="938"/>
        <w:gridCol w:w="992"/>
        <w:gridCol w:w="992"/>
        <w:gridCol w:w="992"/>
        <w:gridCol w:w="901"/>
        <w:gridCol w:w="941"/>
        <w:gridCol w:w="933"/>
        <w:gridCol w:w="896"/>
        <w:gridCol w:w="910"/>
        <w:gridCol w:w="879"/>
      </w:tblGrid>
      <w:tr w:rsidR="002133E3" w14:paraId="5677E185" w14:textId="77777777">
        <w:tc>
          <w:tcPr>
            <w:tcW w:w="1952" w:type="dxa"/>
            <w:vMerge w:val="restart"/>
            <w:vAlign w:val="center"/>
          </w:tcPr>
          <w:p w14:paraId="36C4D44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w:t>
            </w:r>
          </w:p>
        </w:tc>
        <w:tc>
          <w:tcPr>
            <w:tcW w:w="1135" w:type="dxa"/>
            <w:vMerge w:val="restart"/>
            <w:vAlign w:val="center"/>
          </w:tcPr>
          <w:p w14:paraId="38117F0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单位</w:t>
            </w:r>
          </w:p>
        </w:tc>
        <w:tc>
          <w:tcPr>
            <w:tcW w:w="5671" w:type="dxa"/>
            <w:gridSpan w:val="6"/>
            <w:vAlign w:val="center"/>
          </w:tcPr>
          <w:p w14:paraId="124380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进</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Q5</w:t>
            </w:r>
          </w:p>
        </w:tc>
        <w:tc>
          <w:tcPr>
            <w:tcW w:w="5460" w:type="dxa"/>
            <w:gridSpan w:val="6"/>
            <w:vAlign w:val="center"/>
          </w:tcPr>
          <w:p w14:paraId="4297D94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出</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Q6</w:t>
            </w:r>
          </w:p>
        </w:tc>
      </w:tr>
      <w:tr w:rsidR="002133E3" w14:paraId="2D01F6ED" w14:textId="77777777">
        <w:tc>
          <w:tcPr>
            <w:tcW w:w="1952" w:type="dxa"/>
            <w:vMerge/>
            <w:vAlign w:val="center"/>
          </w:tcPr>
          <w:p w14:paraId="50138BE6" w14:textId="77777777" w:rsidR="002133E3" w:rsidRDefault="002133E3">
            <w:pPr>
              <w:rPr>
                <w:rFonts w:ascii="Times New Roman" w:eastAsia="宋体" w:hAnsi="Times New Roman" w:cs="Times New Roman"/>
                <w:szCs w:val="21"/>
              </w:rPr>
            </w:pPr>
          </w:p>
        </w:tc>
        <w:tc>
          <w:tcPr>
            <w:tcW w:w="1135" w:type="dxa"/>
            <w:vMerge/>
            <w:vAlign w:val="center"/>
          </w:tcPr>
          <w:p w14:paraId="18EAD591" w14:textId="77777777" w:rsidR="002133E3" w:rsidRDefault="002133E3">
            <w:pPr>
              <w:rPr>
                <w:rFonts w:ascii="Times New Roman" w:eastAsia="宋体" w:hAnsi="Times New Roman" w:cs="Times New Roman"/>
                <w:szCs w:val="21"/>
              </w:rPr>
            </w:pPr>
          </w:p>
        </w:tc>
        <w:tc>
          <w:tcPr>
            <w:tcW w:w="2695" w:type="dxa"/>
            <w:gridSpan w:val="3"/>
            <w:vAlign w:val="center"/>
          </w:tcPr>
          <w:p w14:paraId="040FDB7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2011.9.29</w:t>
            </w:r>
          </w:p>
        </w:tc>
        <w:tc>
          <w:tcPr>
            <w:tcW w:w="2976" w:type="dxa"/>
            <w:gridSpan w:val="3"/>
          </w:tcPr>
          <w:p w14:paraId="6F6247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2011.9.30</w:t>
            </w:r>
          </w:p>
        </w:tc>
        <w:tc>
          <w:tcPr>
            <w:tcW w:w="2775" w:type="dxa"/>
            <w:gridSpan w:val="3"/>
            <w:vAlign w:val="center"/>
          </w:tcPr>
          <w:p w14:paraId="2862D39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2011.9.29</w:t>
            </w:r>
          </w:p>
        </w:tc>
        <w:tc>
          <w:tcPr>
            <w:tcW w:w="2685" w:type="dxa"/>
            <w:gridSpan w:val="3"/>
          </w:tcPr>
          <w:p w14:paraId="725B20B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2011.9.30</w:t>
            </w:r>
          </w:p>
        </w:tc>
      </w:tr>
      <w:tr w:rsidR="002133E3" w14:paraId="686F88C2" w14:textId="77777777">
        <w:tc>
          <w:tcPr>
            <w:tcW w:w="1952" w:type="dxa"/>
            <w:vMerge/>
            <w:vAlign w:val="center"/>
          </w:tcPr>
          <w:p w14:paraId="3F6AA6A8" w14:textId="77777777" w:rsidR="002133E3" w:rsidRDefault="002133E3">
            <w:pPr>
              <w:rPr>
                <w:rFonts w:ascii="Times New Roman" w:eastAsia="宋体" w:hAnsi="Times New Roman" w:cs="Times New Roman"/>
                <w:szCs w:val="21"/>
              </w:rPr>
            </w:pPr>
          </w:p>
        </w:tc>
        <w:tc>
          <w:tcPr>
            <w:tcW w:w="1135" w:type="dxa"/>
            <w:vMerge/>
            <w:vAlign w:val="center"/>
          </w:tcPr>
          <w:p w14:paraId="79885C96" w14:textId="77777777" w:rsidR="002133E3" w:rsidRDefault="002133E3">
            <w:pPr>
              <w:rPr>
                <w:rFonts w:ascii="Times New Roman" w:eastAsia="宋体" w:hAnsi="Times New Roman" w:cs="Times New Roman"/>
                <w:szCs w:val="21"/>
              </w:rPr>
            </w:pPr>
          </w:p>
        </w:tc>
        <w:tc>
          <w:tcPr>
            <w:tcW w:w="853" w:type="dxa"/>
            <w:vAlign w:val="center"/>
          </w:tcPr>
          <w:p w14:paraId="7F54D3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04" w:type="dxa"/>
          </w:tcPr>
          <w:p w14:paraId="743D6DC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38" w:type="dxa"/>
          </w:tcPr>
          <w:p w14:paraId="73A940C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992" w:type="dxa"/>
            <w:vAlign w:val="center"/>
          </w:tcPr>
          <w:p w14:paraId="3F27429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92" w:type="dxa"/>
          </w:tcPr>
          <w:p w14:paraId="6032D0D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92" w:type="dxa"/>
          </w:tcPr>
          <w:p w14:paraId="1883434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901" w:type="dxa"/>
            <w:vAlign w:val="center"/>
          </w:tcPr>
          <w:p w14:paraId="7EB85C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41" w:type="dxa"/>
          </w:tcPr>
          <w:p w14:paraId="01B3EC7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933" w:type="dxa"/>
          </w:tcPr>
          <w:p w14:paraId="6E83FA0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896" w:type="dxa"/>
            <w:vAlign w:val="center"/>
          </w:tcPr>
          <w:p w14:paraId="581BEC7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910" w:type="dxa"/>
          </w:tcPr>
          <w:p w14:paraId="424B367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879" w:type="dxa"/>
          </w:tcPr>
          <w:p w14:paraId="5A757D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r>
      <w:tr w:rsidR="002133E3" w14:paraId="78977E01" w14:textId="77777777">
        <w:tc>
          <w:tcPr>
            <w:tcW w:w="1952" w:type="dxa"/>
            <w:vAlign w:val="center"/>
          </w:tcPr>
          <w:p w14:paraId="19DE74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大气压</w:t>
            </w:r>
          </w:p>
        </w:tc>
        <w:tc>
          <w:tcPr>
            <w:tcW w:w="1135" w:type="dxa"/>
            <w:vAlign w:val="center"/>
          </w:tcPr>
          <w:p w14:paraId="062C61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6F9FD4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04" w:type="dxa"/>
            <w:vAlign w:val="center"/>
          </w:tcPr>
          <w:p w14:paraId="61A2309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38" w:type="dxa"/>
            <w:vAlign w:val="center"/>
          </w:tcPr>
          <w:p w14:paraId="262E53F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92" w:type="dxa"/>
            <w:vAlign w:val="center"/>
          </w:tcPr>
          <w:p w14:paraId="5A5704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92" w:type="dxa"/>
            <w:vAlign w:val="center"/>
          </w:tcPr>
          <w:p w14:paraId="5756009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92" w:type="dxa"/>
            <w:vAlign w:val="center"/>
          </w:tcPr>
          <w:p w14:paraId="1962891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01" w:type="dxa"/>
            <w:vAlign w:val="center"/>
          </w:tcPr>
          <w:p w14:paraId="7432DD9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41" w:type="dxa"/>
            <w:vAlign w:val="center"/>
          </w:tcPr>
          <w:p w14:paraId="5E6C1C0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933" w:type="dxa"/>
            <w:vAlign w:val="center"/>
          </w:tcPr>
          <w:p w14:paraId="747C5D0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896" w:type="dxa"/>
            <w:vAlign w:val="center"/>
          </w:tcPr>
          <w:p w14:paraId="62090A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910" w:type="dxa"/>
            <w:vAlign w:val="center"/>
          </w:tcPr>
          <w:p w14:paraId="0FE351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879" w:type="dxa"/>
            <w:vAlign w:val="center"/>
          </w:tcPr>
          <w:p w14:paraId="1EA9F1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r>
      <w:tr w:rsidR="002133E3" w14:paraId="417D734D" w14:textId="77777777">
        <w:tc>
          <w:tcPr>
            <w:tcW w:w="1952" w:type="dxa"/>
            <w:vAlign w:val="center"/>
          </w:tcPr>
          <w:p w14:paraId="66C9E0F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烟温</w:t>
            </w:r>
          </w:p>
        </w:tc>
        <w:tc>
          <w:tcPr>
            <w:tcW w:w="1135" w:type="dxa"/>
            <w:vAlign w:val="center"/>
          </w:tcPr>
          <w:p w14:paraId="69C7BC64" w14:textId="77777777" w:rsidR="002133E3" w:rsidRDefault="00C22CFA">
            <w:pPr>
              <w:rPr>
                <w:rFonts w:ascii="Times New Roman" w:eastAsia="宋体" w:hAnsi="Times New Roman" w:cs="Times New Roman"/>
                <w:szCs w:val="21"/>
              </w:rPr>
            </w:pPr>
            <w:r>
              <w:rPr>
                <w:rFonts w:ascii="宋体" w:eastAsia="宋体" w:hAnsi="宋体" w:cs="宋体" w:hint="eastAsia"/>
                <w:szCs w:val="21"/>
              </w:rPr>
              <w:t>℃</w:t>
            </w:r>
          </w:p>
        </w:tc>
        <w:tc>
          <w:tcPr>
            <w:tcW w:w="853" w:type="dxa"/>
            <w:vAlign w:val="center"/>
          </w:tcPr>
          <w:p w14:paraId="2E933AA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30</w:t>
            </w:r>
          </w:p>
        </w:tc>
        <w:tc>
          <w:tcPr>
            <w:tcW w:w="904" w:type="dxa"/>
            <w:vAlign w:val="center"/>
          </w:tcPr>
          <w:p w14:paraId="613E930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30</w:t>
            </w:r>
          </w:p>
        </w:tc>
        <w:tc>
          <w:tcPr>
            <w:tcW w:w="938" w:type="dxa"/>
            <w:vAlign w:val="center"/>
          </w:tcPr>
          <w:p w14:paraId="389A61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27</w:t>
            </w:r>
          </w:p>
        </w:tc>
        <w:tc>
          <w:tcPr>
            <w:tcW w:w="992" w:type="dxa"/>
            <w:vAlign w:val="center"/>
          </w:tcPr>
          <w:p w14:paraId="15A9F0B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29</w:t>
            </w:r>
          </w:p>
        </w:tc>
        <w:tc>
          <w:tcPr>
            <w:tcW w:w="992" w:type="dxa"/>
            <w:vAlign w:val="center"/>
          </w:tcPr>
          <w:p w14:paraId="33859A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92" w:type="dxa"/>
            <w:vAlign w:val="center"/>
          </w:tcPr>
          <w:p w14:paraId="2783A1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28</w:t>
            </w:r>
          </w:p>
        </w:tc>
        <w:tc>
          <w:tcPr>
            <w:tcW w:w="901" w:type="dxa"/>
            <w:vAlign w:val="center"/>
          </w:tcPr>
          <w:p w14:paraId="7FCCC0F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941" w:type="dxa"/>
            <w:vAlign w:val="center"/>
          </w:tcPr>
          <w:p w14:paraId="6D1321C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933" w:type="dxa"/>
            <w:vAlign w:val="center"/>
          </w:tcPr>
          <w:p w14:paraId="1204116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896" w:type="dxa"/>
            <w:vAlign w:val="center"/>
          </w:tcPr>
          <w:p w14:paraId="411D9B1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910" w:type="dxa"/>
            <w:vAlign w:val="center"/>
          </w:tcPr>
          <w:p w14:paraId="27D31A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879" w:type="dxa"/>
            <w:vAlign w:val="center"/>
          </w:tcPr>
          <w:p w14:paraId="68A29D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r>
      <w:tr w:rsidR="002133E3" w14:paraId="24653ABA" w14:textId="77777777">
        <w:tc>
          <w:tcPr>
            <w:tcW w:w="1952" w:type="dxa"/>
            <w:vAlign w:val="center"/>
          </w:tcPr>
          <w:p w14:paraId="04BD26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烟气静压</w:t>
            </w:r>
          </w:p>
        </w:tc>
        <w:tc>
          <w:tcPr>
            <w:tcW w:w="1135" w:type="dxa"/>
            <w:vAlign w:val="center"/>
          </w:tcPr>
          <w:p w14:paraId="677F467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18BF90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3660</w:t>
            </w:r>
          </w:p>
        </w:tc>
        <w:tc>
          <w:tcPr>
            <w:tcW w:w="904" w:type="dxa"/>
            <w:vAlign w:val="center"/>
          </w:tcPr>
          <w:p w14:paraId="081006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3700</w:t>
            </w:r>
          </w:p>
        </w:tc>
        <w:tc>
          <w:tcPr>
            <w:tcW w:w="938" w:type="dxa"/>
            <w:vAlign w:val="center"/>
          </w:tcPr>
          <w:p w14:paraId="69CED5D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3660</w:t>
            </w:r>
          </w:p>
        </w:tc>
        <w:tc>
          <w:tcPr>
            <w:tcW w:w="992" w:type="dxa"/>
            <w:vAlign w:val="center"/>
          </w:tcPr>
          <w:p w14:paraId="3EEEB4C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3660</w:t>
            </w:r>
          </w:p>
        </w:tc>
        <w:tc>
          <w:tcPr>
            <w:tcW w:w="992" w:type="dxa"/>
            <w:vAlign w:val="center"/>
          </w:tcPr>
          <w:p w14:paraId="669B2DE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3720</w:t>
            </w:r>
          </w:p>
        </w:tc>
        <w:tc>
          <w:tcPr>
            <w:tcW w:w="992" w:type="dxa"/>
            <w:vAlign w:val="center"/>
          </w:tcPr>
          <w:p w14:paraId="6A3D0CC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3410</w:t>
            </w:r>
          </w:p>
        </w:tc>
        <w:tc>
          <w:tcPr>
            <w:tcW w:w="901" w:type="dxa"/>
            <w:vAlign w:val="center"/>
          </w:tcPr>
          <w:p w14:paraId="431FEC8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700</w:t>
            </w:r>
          </w:p>
        </w:tc>
        <w:tc>
          <w:tcPr>
            <w:tcW w:w="941" w:type="dxa"/>
            <w:vAlign w:val="center"/>
          </w:tcPr>
          <w:p w14:paraId="3AC3019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720</w:t>
            </w:r>
          </w:p>
        </w:tc>
        <w:tc>
          <w:tcPr>
            <w:tcW w:w="933" w:type="dxa"/>
            <w:vAlign w:val="center"/>
          </w:tcPr>
          <w:p w14:paraId="6621D1C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760</w:t>
            </w:r>
          </w:p>
        </w:tc>
        <w:tc>
          <w:tcPr>
            <w:tcW w:w="896" w:type="dxa"/>
            <w:vAlign w:val="center"/>
          </w:tcPr>
          <w:p w14:paraId="3A7AA9A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750</w:t>
            </w:r>
          </w:p>
        </w:tc>
        <w:tc>
          <w:tcPr>
            <w:tcW w:w="910" w:type="dxa"/>
            <w:vAlign w:val="center"/>
          </w:tcPr>
          <w:p w14:paraId="0ECB08A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740</w:t>
            </w:r>
          </w:p>
        </w:tc>
        <w:tc>
          <w:tcPr>
            <w:tcW w:w="879" w:type="dxa"/>
            <w:vAlign w:val="center"/>
          </w:tcPr>
          <w:p w14:paraId="1E1846E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770</w:t>
            </w:r>
          </w:p>
        </w:tc>
      </w:tr>
      <w:tr w:rsidR="002133E3" w14:paraId="1F460F00" w14:textId="77777777">
        <w:tc>
          <w:tcPr>
            <w:tcW w:w="1952" w:type="dxa"/>
            <w:vAlign w:val="center"/>
          </w:tcPr>
          <w:p w14:paraId="5A8AC27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烟气密度</w:t>
            </w:r>
          </w:p>
        </w:tc>
        <w:tc>
          <w:tcPr>
            <w:tcW w:w="1135" w:type="dxa"/>
            <w:vAlign w:val="center"/>
          </w:tcPr>
          <w:p w14:paraId="18543C3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kg/m3</w:t>
            </w:r>
          </w:p>
        </w:tc>
        <w:tc>
          <w:tcPr>
            <w:tcW w:w="853" w:type="dxa"/>
            <w:vAlign w:val="center"/>
          </w:tcPr>
          <w:p w14:paraId="72968E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1.2530</w:t>
            </w:r>
          </w:p>
        </w:tc>
        <w:tc>
          <w:tcPr>
            <w:tcW w:w="904" w:type="dxa"/>
            <w:vAlign w:val="center"/>
          </w:tcPr>
          <w:p w14:paraId="14DEF48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1.2535</w:t>
            </w:r>
          </w:p>
        </w:tc>
        <w:tc>
          <w:tcPr>
            <w:tcW w:w="938" w:type="dxa"/>
            <w:vAlign w:val="center"/>
          </w:tcPr>
          <w:p w14:paraId="4857819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1.2655</w:t>
            </w:r>
          </w:p>
        </w:tc>
        <w:tc>
          <w:tcPr>
            <w:tcW w:w="992" w:type="dxa"/>
            <w:vAlign w:val="center"/>
          </w:tcPr>
          <w:p w14:paraId="601327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1.2584</w:t>
            </w:r>
          </w:p>
        </w:tc>
        <w:tc>
          <w:tcPr>
            <w:tcW w:w="992" w:type="dxa"/>
            <w:vAlign w:val="center"/>
          </w:tcPr>
          <w:p w14:paraId="59D44D0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1.2633</w:t>
            </w:r>
          </w:p>
        </w:tc>
        <w:tc>
          <w:tcPr>
            <w:tcW w:w="992" w:type="dxa"/>
            <w:vAlign w:val="center"/>
          </w:tcPr>
          <w:p w14:paraId="409B32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1.2595</w:t>
            </w:r>
          </w:p>
        </w:tc>
        <w:tc>
          <w:tcPr>
            <w:tcW w:w="901" w:type="dxa"/>
            <w:vAlign w:val="center"/>
          </w:tcPr>
          <w:p w14:paraId="1CE84EE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1.1788</w:t>
            </w:r>
          </w:p>
        </w:tc>
        <w:tc>
          <w:tcPr>
            <w:tcW w:w="941" w:type="dxa"/>
            <w:vAlign w:val="center"/>
          </w:tcPr>
          <w:p w14:paraId="172735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1.1791</w:t>
            </w:r>
          </w:p>
        </w:tc>
        <w:tc>
          <w:tcPr>
            <w:tcW w:w="933" w:type="dxa"/>
            <w:vAlign w:val="center"/>
          </w:tcPr>
          <w:p w14:paraId="5633C4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1.1785</w:t>
            </w:r>
          </w:p>
        </w:tc>
        <w:tc>
          <w:tcPr>
            <w:tcW w:w="896" w:type="dxa"/>
            <w:vAlign w:val="center"/>
          </w:tcPr>
          <w:p w14:paraId="1AFF94B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1.1806</w:t>
            </w:r>
          </w:p>
        </w:tc>
        <w:tc>
          <w:tcPr>
            <w:tcW w:w="910" w:type="dxa"/>
            <w:vAlign w:val="center"/>
          </w:tcPr>
          <w:p w14:paraId="59F843C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1.1767</w:t>
            </w:r>
          </w:p>
        </w:tc>
        <w:tc>
          <w:tcPr>
            <w:tcW w:w="879" w:type="dxa"/>
            <w:vAlign w:val="center"/>
          </w:tcPr>
          <w:p w14:paraId="244C54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1.1770</w:t>
            </w:r>
          </w:p>
        </w:tc>
      </w:tr>
      <w:tr w:rsidR="002133E3" w14:paraId="0610C9BD" w14:textId="77777777">
        <w:tc>
          <w:tcPr>
            <w:tcW w:w="1952" w:type="dxa"/>
            <w:vAlign w:val="center"/>
          </w:tcPr>
          <w:p w14:paraId="5DBA45DF" w14:textId="77777777" w:rsidR="002133E3" w:rsidRDefault="00C22CFA">
            <w:pPr>
              <w:rPr>
                <w:rFonts w:ascii="Times New Roman" w:eastAsia="宋体" w:hAnsi="Times New Roman" w:cs="Times New Roman"/>
                <w:szCs w:val="21"/>
              </w:rPr>
            </w:pPr>
            <w:proofErr w:type="spellStart"/>
            <w:r>
              <w:rPr>
                <w:rFonts w:ascii="Times New Roman" w:eastAsia="宋体" w:hAnsi="Times New Roman" w:cs="Times New Roman"/>
                <w:szCs w:val="21"/>
              </w:rPr>
              <w:t>kp</w:t>
            </w:r>
            <w:proofErr w:type="spellEnd"/>
          </w:p>
        </w:tc>
        <w:tc>
          <w:tcPr>
            <w:tcW w:w="1135" w:type="dxa"/>
            <w:vAlign w:val="center"/>
          </w:tcPr>
          <w:p w14:paraId="4E1751C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6FAA24D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04" w:type="dxa"/>
            <w:vAlign w:val="center"/>
          </w:tcPr>
          <w:p w14:paraId="6D5490F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38" w:type="dxa"/>
            <w:vAlign w:val="center"/>
          </w:tcPr>
          <w:p w14:paraId="60494DF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77418DB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28E5B4A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92" w:type="dxa"/>
            <w:vAlign w:val="center"/>
          </w:tcPr>
          <w:p w14:paraId="0F4FBC7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01" w:type="dxa"/>
            <w:vAlign w:val="center"/>
          </w:tcPr>
          <w:p w14:paraId="00FCEBC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41" w:type="dxa"/>
            <w:vAlign w:val="center"/>
          </w:tcPr>
          <w:p w14:paraId="01ED278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33" w:type="dxa"/>
            <w:vAlign w:val="center"/>
          </w:tcPr>
          <w:p w14:paraId="021131E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896" w:type="dxa"/>
            <w:vAlign w:val="center"/>
          </w:tcPr>
          <w:p w14:paraId="68B4D03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910" w:type="dxa"/>
            <w:vAlign w:val="center"/>
          </w:tcPr>
          <w:p w14:paraId="7BA5606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879" w:type="dxa"/>
            <w:vAlign w:val="center"/>
          </w:tcPr>
          <w:p w14:paraId="1270A2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r>
      <w:tr w:rsidR="002133E3" w14:paraId="6C5BEB29" w14:textId="77777777">
        <w:tc>
          <w:tcPr>
            <w:tcW w:w="1952" w:type="dxa"/>
            <w:vAlign w:val="center"/>
          </w:tcPr>
          <w:p w14:paraId="4D17FAE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动压值</w:t>
            </w:r>
          </w:p>
        </w:tc>
        <w:tc>
          <w:tcPr>
            <w:tcW w:w="1135" w:type="dxa"/>
            <w:vAlign w:val="center"/>
          </w:tcPr>
          <w:p w14:paraId="2C004B7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853" w:type="dxa"/>
            <w:vAlign w:val="center"/>
          </w:tcPr>
          <w:p w14:paraId="225B601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411</w:t>
            </w:r>
          </w:p>
        </w:tc>
        <w:tc>
          <w:tcPr>
            <w:tcW w:w="904" w:type="dxa"/>
            <w:vAlign w:val="center"/>
          </w:tcPr>
          <w:p w14:paraId="2681CF4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410</w:t>
            </w:r>
          </w:p>
        </w:tc>
        <w:tc>
          <w:tcPr>
            <w:tcW w:w="938" w:type="dxa"/>
            <w:vAlign w:val="center"/>
          </w:tcPr>
          <w:p w14:paraId="5CF9EC3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407</w:t>
            </w:r>
          </w:p>
        </w:tc>
        <w:tc>
          <w:tcPr>
            <w:tcW w:w="992" w:type="dxa"/>
            <w:vAlign w:val="center"/>
          </w:tcPr>
          <w:p w14:paraId="7AE741B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402</w:t>
            </w:r>
          </w:p>
        </w:tc>
        <w:tc>
          <w:tcPr>
            <w:tcW w:w="992" w:type="dxa"/>
            <w:vAlign w:val="center"/>
          </w:tcPr>
          <w:p w14:paraId="14D0AD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408</w:t>
            </w:r>
          </w:p>
        </w:tc>
        <w:tc>
          <w:tcPr>
            <w:tcW w:w="992" w:type="dxa"/>
            <w:vAlign w:val="center"/>
          </w:tcPr>
          <w:p w14:paraId="248F4FF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410</w:t>
            </w:r>
          </w:p>
        </w:tc>
        <w:tc>
          <w:tcPr>
            <w:tcW w:w="901" w:type="dxa"/>
            <w:vAlign w:val="center"/>
          </w:tcPr>
          <w:p w14:paraId="28FB834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453</w:t>
            </w:r>
          </w:p>
        </w:tc>
        <w:tc>
          <w:tcPr>
            <w:tcW w:w="941" w:type="dxa"/>
            <w:vAlign w:val="center"/>
          </w:tcPr>
          <w:p w14:paraId="53E9399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450</w:t>
            </w:r>
          </w:p>
        </w:tc>
        <w:tc>
          <w:tcPr>
            <w:tcW w:w="933" w:type="dxa"/>
            <w:vAlign w:val="center"/>
          </w:tcPr>
          <w:p w14:paraId="3553A2D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457</w:t>
            </w:r>
          </w:p>
        </w:tc>
        <w:tc>
          <w:tcPr>
            <w:tcW w:w="896" w:type="dxa"/>
            <w:vAlign w:val="center"/>
          </w:tcPr>
          <w:p w14:paraId="649BAA8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455</w:t>
            </w:r>
          </w:p>
        </w:tc>
        <w:tc>
          <w:tcPr>
            <w:tcW w:w="910" w:type="dxa"/>
            <w:vAlign w:val="center"/>
          </w:tcPr>
          <w:p w14:paraId="42EB2B9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458</w:t>
            </w:r>
          </w:p>
        </w:tc>
        <w:tc>
          <w:tcPr>
            <w:tcW w:w="879" w:type="dxa"/>
            <w:vAlign w:val="center"/>
          </w:tcPr>
          <w:p w14:paraId="52F3C1B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452</w:t>
            </w:r>
          </w:p>
        </w:tc>
      </w:tr>
      <w:tr w:rsidR="002133E3" w14:paraId="5604CF0D" w14:textId="77777777">
        <w:tc>
          <w:tcPr>
            <w:tcW w:w="1952" w:type="dxa"/>
            <w:vAlign w:val="center"/>
          </w:tcPr>
          <w:p w14:paraId="1D5987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烟气流速</w:t>
            </w:r>
          </w:p>
        </w:tc>
        <w:tc>
          <w:tcPr>
            <w:tcW w:w="1135" w:type="dxa"/>
            <w:vAlign w:val="center"/>
          </w:tcPr>
          <w:p w14:paraId="0EC2FE1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m/s</w:t>
            </w:r>
          </w:p>
        </w:tc>
        <w:tc>
          <w:tcPr>
            <w:tcW w:w="853" w:type="dxa"/>
            <w:vAlign w:val="center"/>
          </w:tcPr>
          <w:p w14:paraId="699B1BB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21.5</w:t>
            </w:r>
          </w:p>
        </w:tc>
        <w:tc>
          <w:tcPr>
            <w:tcW w:w="904" w:type="dxa"/>
            <w:vAlign w:val="center"/>
          </w:tcPr>
          <w:p w14:paraId="7E820C8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21.5</w:t>
            </w:r>
          </w:p>
        </w:tc>
        <w:tc>
          <w:tcPr>
            <w:tcW w:w="938" w:type="dxa"/>
            <w:vAlign w:val="center"/>
          </w:tcPr>
          <w:p w14:paraId="5E27457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21.3</w:t>
            </w:r>
          </w:p>
        </w:tc>
        <w:tc>
          <w:tcPr>
            <w:tcW w:w="992" w:type="dxa"/>
            <w:vAlign w:val="center"/>
          </w:tcPr>
          <w:p w14:paraId="23A20AA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21.2</w:t>
            </w:r>
          </w:p>
        </w:tc>
        <w:tc>
          <w:tcPr>
            <w:tcW w:w="992" w:type="dxa"/>
            <w:vAlign w:val="center"/>
          </w:tcPr>
          <w:p w14:paraId="1A7F89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21.3</w:t>
            </w:r>
          </w:p>
        </w:tc>
        <w:tc>
          <w:tcPr>
            <w:tcW w:w="992" w:type="dxa"/>
            <w:vAlign w:val="center"/>
          </w:tcPr>
          <w:p w14:paraId="29CF9A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21.4</w:t>
            </w:r>
          </w:p>
        </w:tc>
        <w:tc>
          <w:tcPr>
            <w:tcW w:w="901" w:type="dxa"/>
            <w:vAlign w:val="center"/>
          </w:tcPr>
          <w:p w14:paraId="1C6B4A8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23.3</w:t>
            </w:r>
          </w:p>
        </w:tc>
        <w:tc>
          <w:tcPr>
            <w:tcW w:w="941" w:type="dxa"/>
            <w:vAlign w:val="center"/>
          </w:tcPr>
          <w:p w14:paraId="5B181B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23.2</w:t>
            </w:r>
          </w:p>
        </w:tc>
        <w:tc>
          <w:tcPr>
            <w:tcW w:w="933" w:type="dxa"/>
            <w:vAlign w:val="center"/>
          </w:tcPr>
          <w:p w14:paraId="46E014E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23.4</w:t>
            </w:r>
          </w:p>
        </w:tc>
        <w:tc>
          <w:tcPr>
            <w:tcW w:w="896" w:type="dxa"/>
            <w:vAlign w:val="center"/>
          </w:tcPr>
          <w:p w14:paraId="1D8E137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23.3</w:t>
            </w:r>
          </w:p>
        </w:tc>
        <w:tc>
          <w:tcPr>
            <w:tcW w:w="910" w:type="dxa"/>
            <w:vAlign w:val="center"/>
          </w:tcPr>
          <w:p w14:paraId="6E8DB5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23.4</w:t>
            </w:r>
          </w:p>
        </w:tc>
        <w:tc>
          <w:tcPr>
            <w:tcW w:w="879" w:type="dxa"/>
            <w:vAlign w:val="center"/>
          </w:tcPr>
          <w:p w14:paraId="4D7D2B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23.3</w:t>
            </w:r>
          </w:p>
        </w:tc>
      </w:tr>
      <w:tr w:rsidR="002133E3" w14:paraId="738AC56A" w14:textId="77777777">
        <w:tc>
          <w:tcPr>
            <w:tcW w:w="1952" w:type="dxa"/>
            <w:vAlign w:val="center"/>
          </w:tcPr>
          <w:p w14:paraId="1187FF3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烟道截面积</w:t>
            </w:r>
          </w:p>
        </w:tc>
        <w:tc>
          <w:tcPr>
            <w:tcW w:w="1135" w:type="dxa"/>
            <w:vAlign w:val="center"/>
          </w:tcPr>
          <w:p w14:paraId="2955A9A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m2</w:t>
            </w:r>
          </w:p>
        </w:tc>
        <w:tc>
          <w:tcPr>
            <w:tcW w:w="853" w:type="dxa"/>
            <w:vAlign w:val="center"/>
          </w:tcPr>
          <w:p w14:paraId="5659737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04" w:type="dxa"/>
            <w:vAlign w:val="center"/>
          </w:tcPr>
          <w:p w14:paraId="40B0286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38" w:type="dxa"/>
            <w:vAlign w:val="center"/>
          </w:tcPr>
          <w:p w14:paraId="410AAE6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51D1FEC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00283C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92" w:type="dxa"/>
            <w:vAlign w:val="center"/>
          </w:tcPr>
          <w:p w14:paraId="22A7339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0.2376</w:t>
            </w:r>
          </w:p>
        </w:tc>
        <w:tc>
          <w:tcPr>
            <w:tcW w:w="901" w:type="dxa"/>
            <w:vAlign w:val="center"/>
          </w:tcPr>
          <w:p w14:paraId="037381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41" w:type="dxa"/>
            <w:vAlign w:val="center"/>
          </w:tcPr>
          <w:p w14:paraId="0128AE0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33" w:type="dxa"/>
            <w:vAlign w:val="center"/>
          </w:tcPr>
          <w:p w14:paraId="10A7F70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896" w:type="dxa"/>
            <w:vAlign w:val="center"/>
          </w:tcPr>
          <w:p w14:paraId="16BD07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910" w:type="dxa"/>
            <w:vAlign w:val="center"/>
          </w:tcPr>
          <w:p w14:paraId="6CD8D9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879" w:type="dxa"/>
            <w:vAlign w:val="center"/>
          </w:tcPr>
          <w:p w14:paraId="56180BD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r>
      <w:tr w:rsidR="002133E3" w14:paraId="52581E22" w14:textId="77777777">
        <w:tc>
          <w:tcPr>
            <w:tcW w:w="1952" w:type="dxa"/>
            <w:vAlign w:val="center"/>
          </w:tcPr>
          <w:p w14:paraId="2DC467F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测态气量</w:t>
            </w:r>
          </w:p>
        </w:tc>
        <w:tc>
          <w:tcPr>
            <w:tcW w:w="1135" w:type="dxa"/>
            <w:vAlign w:val="center"/>
          </w:tcPr>
          <w:p w14:paraId="62D4933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853" w:type="dxa"/>
            <w:vAlign w:val="center"/>
          </w:tcPr>
          <w:p w14:paraId="102193A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1.84</w:t>
            </w:r>
          </w:p>
        </w:tc>
        <w:tc>
          <w:tcPr>
            <w:tcW w:w="904" w:type="dxa"/>
            <w:vAlign w:val="center"/>
          </w:tcPr>
          <w:p w14:paraId="732B521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1.84</w:t>
            </w:r>
          </w:p>
        </w:tc>
        <w:tc>
          <w:tcPr>
            <w:tcW w:w="938" w:type="dxa"/>
            <w:vAlign w:val="center"/>
          </w:tcPr>
          <w:p w14:paraId="5FF98BC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1.82</w:t>
            </w:r>
          </w:p>
        </w:tc>
        <w:tc>
          <w:tcPr>
            <w:tcW w:w="992" w:type="dxa"/>
            <w:vAlign w:val="center"/>
          </w:tcPr>
          <w:p w14:paraId="037362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1.82</w:t>
            </w:r>
          </w:p>
        </w:tc>
        <w:tc>
          <w:tcPr>
            <w:tcW w:w="992" w:type="dxa"/>
            <w:vAlign w:val="center"/>
          </w:tcPr>
          <w:p w14:paraId="7CA6E2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1.83</w:t>
            </w:r>
          </w:p>
        </w:tc>
        <w:tc>
          <w:tcPr>
            <w:tcW w:w="992" w:type="dxa"/>
            <w:vAlign w:val="center"/>
          </w:tcPr>
          <w:p w14:paraId="294F48B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1.83</w:t>
            </w:r>
          </w:p>
        </w:tc>
        <w:tc>
          <w:tcPr>
            <w:tcW w:w="901" w:type="dxa"/>
            <w:vAlign w:val="center"/>
          </w:tcPr>
          <w:p w14:paraId="61A5858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941" w:type="dxa"/>
            <w:vAlign w:val="center"/>
          </w:tcPr>
          <w:p w14:paraId="260129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33" w:type="dxa"/>
            <w:vAlign w:val="center"/>
          </w:tcPr>
          <w:p w14:paraId="159CEF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896" w:type="dxa"/>
            <w:vAlign w:val="center"/>
          </w:tcPr>
          <w:p w14:paraId="409792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1.65</w:t>
            </w:r>
          </w:p>
        </w:tc>
        <w:tc>
          <w:tcPr>
            <w:tcW w:w="910" w:type="dxa"/>
            <w:vAlign w:val="center"/>
          </w:tcPr>
          <w:p w14:paraId="11CB2A0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1.66</w:t>
            </w:r>
          </w:p>
        </w:tc>
        <w:tc>
          <w:tcPr>
            <w:tcW w:w="879" w:type="dxa"/>
            <w:vAlign w:val="center"/>
          </w:tcPr>
          <w:p w14:paraId="3A1853E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r>
      <w:tr w:rsidR="002133E3" w14:paraId="56671090" w14:textId="77777777">
        <w:tc>
          <w:tcPr>
            <w:tcW w:w="1952" w:type="dxa"/>
            <w:vAlign w:val="center"/>
          </w:tcPr>
          <w:p w14:paraId="1988EE4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含湿量</w:t>
            </w:r>
          </w:p>
        </w:tc>
        <w:tc>
          <w:tcPr>
            <w:tcW w:w="1135" w:type="dxa"/>
            <w:vAlign w:val="center"/>
          </w:tcPr>
          <w:p w14:paraId="352A9B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3E957E1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w:t>
            </w:r>
          </w:p>
        </w:tc>
        <w:tc>
          <w:tcPr>
            <w:tcW w:w="904" w:type="dxa"/>
            <w:vAlign w:val="center"/>
          </w:tcPr>
          <w:p w14:paraId="081328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w:t>
            </w:r>
          </w:p>
        </w:tc>
        <w:tc>
          <w:tcPr>
            <w:tcW w:w="938" w:type="dxa"/>
            <w:vAlign w:val="center"/>
          </w:tcPr>
          <w:p w14:paraId="6200B3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w:t>
            </w:r>
          </w:p>
        </w:tc>
        <w:tc>
          <w:tcPr>
            <w:tcW w:w="992" w:type="dxa"/>
            <w:vAlign w:val="center"/>
          </w:tcPr>
          <w:p w14:paraId="4FF52F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4.8</w:t>
            </w:r>
          </w:p>
        </w:tc>
        <w:tc>
          <w:tcPr>
            <w:tcW w:w="992" w:type="dxa"/>
            <w:vAlign w:val="center"/>
          </w:tcPr>
          <w:p w14:paraId="0C36629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4.8</w:t>
            </w:r>
          </w:p>
        </w:tc>
        <w:tc>
          <w:tcPr>
            <w:tcW w:w="992" w:type="dxa"/>
            <w:vAlign w:val="center"/>
          </w:tcPr>
          <w:p w14:paraId="1D714CB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4.8</w:t>
            </w:r>
          </w:p>
        </w:tc>
        <w:tc>
          <w:tcPr>
            <w:tcW w:w="901" w:type="dxa"/>
            <w:vAlign w:val="center"/>
          </w:tcPr>
          <w:p w14:paraId="1E99E19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13.8</w:t>
            </w:r>
          </w:p>
        </w:tc>
        <w:tc>
          <w:tcPr>
            <w:tcW w:w="941" w:type="dxa"/>
            <w:vAlign w:val="center"/>
          </w:tcPr>
          <w:p w14:paraId="10709C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13.8</w:t>
            </w:r>
          </w:p>
        </w:tc>
        <w:tc>
          <w:tcPr>
            <w:tcW w:w="933" w:type="dxa"/>
            <w:vAlign w:val="center"/>
          </w:tcPr>
          <w:p w14:paraId="4B3E0AB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13.8</w:t>
            </w:r>
          </w:p>
        </w:tc>
        <w:tc>
          <w:tcPr>
            <w:tcW w:w="896" w:type="dxa"/>
            <w:vAlign w:val="center"/>
          </w:tcPr>
          <w:p w14:paraId="262F1A0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13.6</w:t>
            </w:r>
          </w:p>
        </w:tc>
        <w:tc>
          <w:tcPr>
            <w:tcW w:w="910" w:type="dxa"/>
            <w:vAlign w:val="center"/>
          </w:tcPr>
          <w:p w14:paraId="780653C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13.6</w:t>
            </w:r>
          </w:p>
        </w:tc>
        <w:tc>
          <w:tcPr>
            <w:tcW w:w="879" w:type="dxa"/>
            <w:vAlign w:val="center"/>
          </w:tcPr>
          <w:p w14:paraId="25CA212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13.6</w:t>
            </w:r>
          </w:p>
        </w:tc>
      </w:tr>
      <w:tr w:rsidR="002133E3" w14:paraId="640D41DE" w14:textId="77777777">
        <w:tc>
          <w:tcPr>
            <w:tcW w:w="1952" w:type="dxa"/>
            <w:vAlign w:val="center"/>
          </w:tcPr>
          <w:p w14:paraId="4AF3490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标态气量</w:t>
            </w:r>
          </w:p>
        </w:tc>
        <w:tc>
          <w:tcPr>
            <w:tcW w:w="1135" w:type="dxa"/>
            <w:vAlign w:val="center"/>
          </w:tcPr>
          <w:p w14:paraId="7244FD1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853" w:type="dxa"/>
            <w:vAlign w:val="center"/>
          </w:tcPr>
          <w:p w14:paraId="5BAE1EA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04" w:type="dxa"/>
            <w:vAlign w:val="center"/>
          </w:tcPr>
          <w:p w14:paraId="41DA57E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38" w:type="dxa"/>
            <w:vAlign w:val="center"/>
          </w:tcPr>
          <w:p w14:paraId="706B79C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92" w:type="dxa"/>
            <w:vAlign w:val="center"/>
          </w:tcPr>
          <w:p w14:paraId="662BDC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1.62</w:t>
            </w:r>
          </w:p>
        </w:tc>
        <w:tc>
          <w:tcPr>
            <w:tcW w:w="992" w:type="dxa"/>
            <w:vAlign w:val="center"/>
          </w:tcPr>
          <w:p w14:paraId="3BB040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92" w:type="dxa"/>
            <w:vAlign w:val="center"/>
          </w:tcPr>
          <w:p w14:paraId="73B7D0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1.64</w:t>
            </w:r>
          </w:p>
        </w:tc>
        <w:tc>
          <w:tcPr>
            <w:tcW w:w="901" w:type="dxa"/>
            <w:vAlign w:val="center"/>
          </w:tcPr>
          <w:p w14:paraId="6DB5DB5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941" w:type="dxa"/>
            <w:vAlign w:val="center"/>
          </w:tcPr>
          <w:p w14:paraId="74AC773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1.24</w:t>
            </w:r>
          </w:p>
        </w:tc>
        <w:tc>
          <w:tcPr>
            <w:tcW w:w="933" w:type="dxa"/>
            <w:vAlign w:val="center"/>
          </w:tcPr>
          <w:p w14:paraId="176748E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896" w:type="dxa"/>
            <w:vAlign w:val="center"/>
          </w:tcPr>
          <w:p w14:paraId="7063EB5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910" w:type="dxa"/>
            <w:vAlign w:val="center"/>
          </w:tcPr>
          <w:p w14:paraId="4447DE9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w:t>
            </w:r>
          </w:p>
        </w:tc>
        <w:tc>
          <w:tcPr>
            <w:tcW w:w="879" w:type="dxa"/>
            <w:vAlign w:val="center"/>
          </w:tcPr>
          <w:p w14:paraId="14322D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r>
      <w:tr w:rsidR="002133E3" w14:paraId="268A0A8E" w14:textId="77777777">
        <w:tc>
          <w:tcPr>
            <w:tcW w:w="1952" w:type="dxa"/>
            <w:vAlign w:val="center"/>
          </w:tcPr>
          <w:p w14:paraId="6BA4CD5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颗粒物排放浓度</w:t>
            </w:r>
          </w:p>
        </w:tc>
        <w:tc>
          <w:tcPr>
            <w:tcW w:w="1135" w:type="dxa"/>
            <w:vAlign w:val="center"/>
          </w:tcPr>
          <w:p w14:paraId="2C659D4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853" w:type="dxa"/>
            <w:vAlign w:val="center"/>
          </w:tcPr>
          <w:p w14:paraId="51507C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1978.7</w:t>
            </w:r>
          </w:p>
        </w:tc>
        <w:tc>
          <w:tcPr>
            <w:tcW w:w="904" w:type="dxa"/>
            <w:vAlign w:val="center"/>
          </w:tcPr>
          <w:p w14:paraId="17D81D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1965.9</w:t>
            </w:r>
          </w:p>
        </w:tc>
        <w:tc>
          <w:tcPr>
            <w:tcW w:w="938" w:type="dxa"/>
            <w:vAlign w:val="center"/>
          </w:tcPr>
          <w:p w14:paraId="58E8E49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1999.8</w:t>
            </w:r>
          </w:p>
        </w:tc>
        <w:tc>
          <w:tcPr>
            <w:tcW w:w="992" w:type="dxa"/>
            <w:vAlign w:val="center"/>
          </w:tcPr>
          <w:p w14:paraId="7995877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1963.8</w:t>
            </w:r>
          </w:p>
        </w:tc>
        <w:tc>
          <w:tcPr>
            <w:tcW w:w="992" w:type="dxa"/>
            <w:vAlign w:val="center"/>
          </w:tcPr>
          <w:p w14:paraId="787A8C3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2077.1</w:t>
            </w:r>
          </w:p>
        </w:tc>
        <w:tc>
          <w:tcPr>
            <w:tcW w:w="992" w:type="dxa"/>
            <w:vAlign w:val="center"/>
          </w:tcPr>
          <w:p w14:paraId="1061E5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2034.5</w:t>
            </w:r>
          </w:p>
        </w:tc>
        <w:tc>
          <w:tcPr>
            <w:tcW w:w="901" w:type="dxa"/>
            <w:vAlign w:val="center"/>
          </w:tcPr>
          <w:p w14:paraId="16ABA9D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23.9</w:t>
            </w:r>
          </w:p>
        </w:tc>
        <w:tc>
          <w:tcPr>
            <w:tcW w:w="941" w:type="dxa"/>
            <w:vAlign w:val="center"/>
          </w:tcPr>
          <w:p w14:paraId="52A07B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23.8</w:t>
            </w:r>
          </w:p>
        </w:tc>
        <w:tc>
          <w:tcPr>
            <w:tcW w:w="933" w:type="dxa"/>
            <w:vAlign w:val="center"/>
          </w:tcPr>
          <w:p w14:paraId="71B351A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25.2</w:t>
            </w:r>
          </w:p>
        </w:tc>
        <w:tc>
          <w:tcPr>
            <w:tcW w:w="896" w:type="dxa"/>
            <w:vAlign w:val="center"/>
          </w:tcPr>
          <w:p w14:paraId="0750A48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24.7</w:t>
            </w:r>
          </w:p>
        </w:tc>
        <w:tc>
          <w:tcPr>
            <w:tcW w:w="910" w:type="dxa"/>
            <w:vAlign w:val="center"/>
          </w:tcPr>
          <w:p w14:paraId="3BC38FC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26.3</w:t>
            </w:r>
          </w:p>
        </w:tc>
        <w:tc>
          <w:tcPr>
            <w:tcW w:w="879" w:type="dxa"/>
            <w:vAlign w:val="center"/>
          </w:tcPr>
          <w:p w14:paraId="586E9D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23.3</w:t>
            </w:r>
          </w:p>
        </w:tc>
      </w:tr>
      <w:tr w:rsidR="002133E3" w14:paraId="21593CFE" w14:textId="77777777">
        <w:tc>
          <w:tcPr>
            <w:tcW w:w="1952" w:type="dxa"/>
            <w:vAlign w:val="center"/>
          </w:tcPr>
          <w:p w14:paraId="18C39F3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颗粒物排放速率</w:t>
            </w:r>
          </w:p>
        </w:tc>
        <w:tc>
          <w:tcPr>
            <w:tcW w:w="1135" w:type="dxa"/>
            <w:vAlign w:val="center"/>
          </w:tcPr>
          <w:p w14:paraId="23C09CB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853" w:type="dxa"/>
            <w:vAlign w:val="center"/>
          </w:tcPr>
          <w:p w14:paraId="2F49AD4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32.51</w:t>
            </w:r>
          </w:p>
        </w:tc>
        <w:tc>
          <w:tcPr>
            <w:tcW w:w="904" w:type="dxa"/>
            <w:vAlign w:val="center"/>
          </w:tcPr>
          <w:p w14:paraId="3888E2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32.27</w:t>
            </w:r>
          </w:p>
        </w:tc>
        <w:tc>
          <w:tcPr>
            <w:tcW w:w="938" w:type="dxa"/>
            <w:vAlign w:val="center"/>
          </w:tcPr>
          <w:p w14:paraId="76715E7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32.86</w:t>
            </w:r>
          </w:p>
        </w:tc>
        <w:tc>
          <w:tcPr>
            <w:tcW w:w="992" w:type="dxa"/>
            <w:vAlign w:val="center"/>
          </w:tcPr>
          <w:p w14:paraId="7641B11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31.88</w:t>
            </w:r>
          </w:p>
        </w:tc>
        <w:tc>
          <w:tcPr>
            <w:tcW w:w="992" w:type="dxa"/>
            <w:vAlign w:val="center"/>
          </w:tcPr>
          <w:p w14:paraId="513423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34.04</w:t>
            </w:r>
          </w:p>
        </w:tc>
        <w:tc>
          <w:tcPr>
            <w:tcW w:w="992" w:type="dxa"/>
            <w:vAlign w:val="center"/>
          </w:tcPr>
          <w:p w14:paraId="583D766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33.37</w:t>
            </w:r>
          </w:p>
        </w:tc>
        <w:tc>
          <w:tcPr>
            <w:tcW w:w="901" w:type="dxa"/>
            <w:vAlign w:val="center"/>
          </w:tcPr>
          <w:p w14:paraId="48F55D6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941" w:type="dxa"/>
            <w:vAlign w:val="center"/>
          </w:tcPr>
          <w:p w14:paraId="080C69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933" w:type="dxa"/>
            <w:vAlign w:val="center"/>
          </w:tcPr>
          <w:p w14:paraId="5F3323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0.32</w:t>
            </w:r>
          </w:p>
        </w:tc>
        <w:tc>
          <w:tcPr>
            <w:tcW w:w="896" w:type="dxa"/>
            <w:vAlign w:val="center"/>
          </w:tcPr>
          <w:p w14:paraId="47D8472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0.31</w:t>
            </w:r>
          </w:p>
        </w:tc>
        <w:tc>
          <w:tcPr>
            <w:tcW w:w="910" w:type="dxa"/>
            <w:vAlign w:val="center"/>
          </w:tcPr>
          <w:p w14:paraId="4F2DFD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0.33</w:t>
            </w:r>
          </w:p>
        </w:tc>
        <w:tc>
          <w:tcPr>
            <w:tcW w:w="879" w:type="dxa"/>
            <w:vAlign w:val="center"/>
          </w:tcPr>
          <w:p w14:paraId="327082D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0.29</w:t>
            </w:r>
          </w:p>
        </w:tc>
      </w:tr>
      <w:tr w:rsidR="002133E3" w14:paraId="4EC0A92F" w14:textId="77777777">
        <w:tc>
          <w:tcPr>
            <w:tcW w:w="1952" w:type="dxa"/>
            <w:vAlign w:val="center"/>
          </w:tcPr>
          <w:p w14:paraId="778594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除尘效率</w:t>
            </w:r>
          </w:p>
        </w:tc>
        <w:tc>
          <w:tcPr>
            <w:tcW w:w="1135" w:type="dxa"/>
            <w:vAlign w:val="center"/>
          </w:tcPr>
          <w:p w14:paraId="5AA082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853" w:type="dxa"/>
            <w:vAlign w:val="center"/>
          </w:tcPr>
          <w:p w14:paraId="5AADA3C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04" w:type="dxa"/>
            <w:vAlign w:val="center"/>
          </w:tcPr>
          <w:p w14:paraId="5270D71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38" w:type="dxa"/>
            <w:vAlign w:val="center"/>
          </w:tcPr>
          <w:p w14:paraId="4DF795D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2E3C642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5DDBCA9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92" w:type="dxa"/>
            <w:vAlign w:val="center"/>
          </w:tcPr>
          <w:p w14:paraId="53F8F90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901" w:type="dxa"/>
            <w:vAlign w:val="center"/>
          </w:tcPr>
          <w:p w14:paraId="11771F8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98.8</w:t>
            </w:r>
          </w:p>
        </w:tc>
        <w:tc>
          <w:tcPr>
            <w:tcW w:w="941" w:type="dxa"/>
            <w:vAlign w:val="center"/>
          </w:tcPr>
          <w:p w14:paraId="2201FDB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98.8</w:t>
            </w:r>
          </w:p>
        </w:tc>
        <w:tc>
          <w:tcPr>
            <w:tcW w:w="933" w:type="dxa"/>
            <w:vAlign w:val="center"/>
          </w:tcPr>
          <w:p w14:paraId="416E8C9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896" w:type="dxa"/>
            <w:vAlign w:val="center"/>
          </w:tcPr>
          <w:p w14:paraId="4913C7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910" w:type="dxa"/>
            <w:vAlign w:val="center"/>
          </w:tcPr>
          <w:p w14:paraId="16D3D3B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98.7</w:t>
            </w:r>
          </w:p>
        </w:tc>
        <w:tc>
          <w:tcPr>
            <w:tcW w:w="879" w:type="dxa"/>
            <w:vAlign w:val="center"/>
          </w:tcPr>
          <w:p w14:paraId="576EBF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98.9</w:t>
            </w:r>
          </w:p>
        </w:tc>
      </w:tr>
      <w:tr w:rsidR="002133E3" w14:paraId="30AC4733" w14:textId="77777777">
        <w:tc>
          <w:tcPr>
            <w:tcW w:w="1952" w:type="dxa"/>
            <w:vAlign w:val="center"/>
          </w:tcPr>
          <w:p w14:paraId="5027532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烟道内径</w:t>
            </w:r>
          </w:p>
        </w:tc>
        <w:tc>
          <w:tcPr>
            <w:tcW w:w="1135" w:type="dxa"/>
            <w:vAlign w:val="center"/>
          </w:tcPr>
          <w:p w14:paraId="0FACF7C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w:t>
            </w:r>
          </w:p>
        </w:tc>
        <w:tc>
          <w:tcPr>
            <w:tcW w:w="5671" w:type="dxa"/>
            <w:gridSpan w:val="6"/>
            <w:vAlign w:val="center"/>
          </w:tcPr>
          <w:p w14:paraId="79AA38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0.55</w:t>
            </w:r>
          </w:p>
        </w:tc>
        <w:tc>
          <w:tcPr>
            <w:tcW w:w="5460" w:type="dxa"/>
            <w:gridSpan w:val="6"/>
            <w:vAlign w:val="center"/>
          </w:tcPr>
          <w:p w14:paraId="1239061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0.50</w:t>
            </w:r>
          </w:p>
        </w:tc>
      </w:tr>
    </w:tbl>
    <w:p w14:paraId="5C344000"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3.2-13  </w:t>
      </w:r>
      <w:r>
        <w:rPr>
          <w:rFonts w:ascii="Times New Roman" w:eastAsia="宋体" w:hAnsi="Times New Roman" w:cs="Times New Roman"/>
          <w:b/>
          <w:bCs/>
          <w:szCs w:val="21"/>
        </w:rPr>
        <w:t>有机废气水洗塔出口监测结果（第一阶段）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5"/>
        <w:gridCol w:w="1888"/>
        <w:gridCol w:w="1501"/>
        <w:gridCol w:w="1567"/>
        <w:gridCol w:w="1550"/>
        <w:gridCol w:w="1490"/>
        <w:gridCol w:w="1513"/>
        <w:gridCol w:w="1464"/>
      </w:tblGrid>
      <w:tr w:rsidR="002133E3" w14:paraId="5EBFDD50" w14:textId="77777777">
        <w:tc>
          <w:tcPr>
            <w:tcW w:w="3245" w:type="dxa"/>
            <w:vMerge w:val="restart"/>
            <w:vAlign w:val="center"/>
          </w:tcPr>
          <w:p w14:paraId="5B881C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w:t>
            </w:r>
          </w:p>
        </w:tc>
        <w:tc>
          <w:tcPr>
            <w:tcW w:w="1888" w:type="dxa"/>
            <w:vMerge w:val="restart"/>
            <w:vAlign w:val="center"/>
          </w:tcPr>
          <w:p w14:paraId="0FCCD95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单位</w:t>
            </w:r>
          </w:p>
        </w:tc>
        <w:tc>
          <w:tcPr>
            <w:tcW w:w="9085" w:type="dxa"/>
            <w:gridSpan w:val="6"/>
            <w:vAlign w:val="center"/>
          </w:tcPr>
          <w:p w14:paraId="40BAF11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出</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Q8</w:t>
            </w:r>
          </w:p>
        </w:tc>
      </w:tr>
      <w:tr w:rsidR="002133E3" w14:paraId="5A265C4C" w14:textId="77777777">
        <w:tc>
          <w:tcPr>
            <w:tcW w:w="3245" w:type="dxa"/>
            <w:vMerge/>
            <w:vAlign w:val="center"/>
          </w:tcPr>
          <w:p w14:paraId="019A3DBA" w14:textId="77777777" w:rsidR="002133E3" w:rsidRDefault="002133E3">
            <w:pPr>
              <w:rPr>
                <w:rFonts w:ascii="Times New Roman" w:eastAsia="宋体" w:hAnsi="Times New Roman" w:cs="Times New Roman"/>
                <w:szCs w:val="21"/>
              </w:rPr>
            </w:pPr>
          </w:p>
        </w:tc>
        <w:tc>
          <w:tcPr>
            <w:tcW w:w="1888" w:type="dxa"/>
            <w:vMerge/>
            <w:vAlign w:val="center"/>
          </w:tcPr>
          <w:p w14:paraId="153EBF1F" w14:textId="77777777" w:rsidR="002133E3" w:rsidRDefault="002133E3">
            <w:pPr>
              <w:rPr>
                <w:rFonts w:ascii="Times New Roman" w:eastAsia="宋体" w:hAnsi="Times New Roman" w:cs="Times New Roman"/>
                <w:szCs w:val="21"/>
              </w:rPr>
            </w:pPr>
          </w:p>
        </w:tc>
        <w:tc>
          <w:tcPr>
            <w:tcW w:w="4618" w:type="dxa"/>
            <w:gridSpan w:val="3"/>
            <w:vAlign w:val="center"/>
          </w:tcPr>
          <w:p w14:paraId="2336C4B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2011.9.29</w:t>
            </w:r>
          </w:p>
        </w:tc>
        <w:tc>
          <w:tcPr>
            <w:tcW w:w="4467" w:type="dxa"/>
            <w:gridSpan w:val="3"/>
          </w:tcPr>
          <w:p w14:paraId="07260F5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2011.9.30</w:t>
            </w:r>
          </w:p>
        </w:tc>
      </w:tr>
      <w:tr w:rsidR="002133E3" w14:paraId="122C2681" w14:textId="77777777">
        <w:tc>
          <w:tcPr>
            <w:tcW w:w="3245" w:type="dxa"/>
            <w:vMerge/>
            <w:vAlign w:val="center"/>
          </w:tcPr>
          <w:p w14:paraId="0CAFA4D8" w14:textId="77777777" w:rsidR="002133E3" w:rsidRDefault="002133E3">
            <w:pPr>
              <w:rPr>
                <w:rFonts w:ascii="Times New Roman" w:eastAsia="宋体" w:hAnsi="Times New Roman" w:cs="Times New Roman"/>
                <w:szCs w:val="21"/>
              </w:rPr>
            </w:pPr>
          </w:p>
        </w:tc>
        <w:tc>
          <w:tcPr>
            <w:tcW w:w="1888" w:type="dxa"/>
            <w:vMerge/>
            <w:vAlign w:val="center"/>
          </w:tcPr>
          <w:p w14:paraId="4953AA5D" w14:textId="77777777" w:rsidR="002133E3" w:rsidRDefault="002133E3">
            <w:pPr>
              <w:rPr>
                <w:rFonts w:ascii="Times New Roman" w:eastAsia="宋体" w:hAnsi="Times New Roman" w:cs="Times New Roman"/>
                <w:szCs w:val="21"/>
              </w:rPr>
            </w:pPr>
          </w:p>
        </w:tc>
        <w:tc>
          <w:tcPr>
            <w:tcW w:w="1501" w:type="dxa"/>
            <w:vAlign w:val="center"/>
          </w:tcPr>
          <w:p w14:paraId="29BB9EF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567" w:type="dxa"/>
          </w:tcPr>
          <w:p w14:paraId="1DCDE96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550" w:type="dxa"/>
          </w:tcPr>
          <w:p w14:paraId="7F81054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90" w:type="dxa"/>
            <w:vAlign w:val="center"/>
          </w:tcPr>
          <w:p w14:paraId="13B4CA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513" w:type="dxa"/>
          </w:tcPr>
          <w:p w14:paraId="19B7B9A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64" w:type="dxa"/>
          </w:tcPr>
          <w:p w14:paraId="385AE5B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r>
      <w:tr w:rsidR="002133E3" w14:paraId="51051468" w14:textId="77777777">
        <w:tc>
          <w:tcPr>
            <w:tcW w:w="3245" w:type="dxa"/>
            <w:vAlign w:val="center"/>
          </w:tcPr>
          <w:p w14:paraId="42CDE81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大气压</w:t>
            </w:r>
          </w:p>
        </w:tc>
        <w:tc>
          <w:tcPr>
            <w:tcW w:w="1888" w:type="dxa"/>
            <w:vAlign w:val="center"/>
          </w:tcPr>
          <w:p w14:paraId="704DDAA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501" w:type="dxa"/>
            <w:vAlign w:val="center"/>
          </w:tcPr>
          <w:p w14:paraId="75C91A4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1567" w:type="dxa"/>
            <w:vAlign w:val="center"/>
          </w:tcPr>
          <w:p w14:paraId="3F01A38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1550" w:type="dxa"/>
            <w:vAlign w:val="center"/>
          </w:tcPr>
          <w:p w14:paraId="3CEA6EF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1490" w:type="dxa"/>
            <w:vAlign w:val="center"/>
          </w:tcPr>
          <w:p w14:paraId="08B0EC0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1513" w:type="dxa"/>
            <w:vAlign w:val="center"/>
          </w:tcPr>
          <w:p w14:paraId="065B95A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c>
          <w:tcPr>
            <w:tcW w:w="1464" w:type="dxa"/>
            <w:vAlign w:val="center"/>
          </w:tcPr>
          <w:p w14:paraId="0288B14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101600</w:t>
            </w:r>
          </w:p>
        </w:tc>
      </w:tr>
      <w:tr w:rsidR="002133E3" w14:paraId="12D493E2" w14:textId="77777777">
        <w:tc>
          <w:tcPr>
            <w:tcW w:w="3245" w:type="dxa"/>
            <w:vAlign w:val="center"/>
          </w:tcPr>
          <w:p w14:paraId="4AECB50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烟温</w:t>
            </w:r>
          </w:p>
        </w:tc>
        <w:tc>
          <w:tcPr>
            <w:tcW w:w="1888" w:type="dxa"/>
            <w:vAlign w:val="center"/>
          </w:tcPr>
          <w:p w14:paraId="75EA60FA" w14:textId="77777777" w:rsidR="002133E3" w:rsidRDefault="00C22CFA">
            <w:pPr>
              <w:rPr>
                <w:rFonts w:ascii="Times New Roman" w:eastAsia="宋体" w:hAnsi="Times New Roman" w:cs="Times New Roman"/>
                <w:szCs w:val="21"/>
              </w:rPr>
            </w:pPr>
            <w:r>
              <w:rPr>
                <w:rFonts w:ascii="宋体" w:eastAsia="宋体" w:hAnsi="宋体" w:cs="宋体" w:hint="eastAsia"/>
                <w:szCs w:val="21"/>
              </w:rPr>
              <w:t>℃</w:t>
            </w:r>
          </w:p>
        </w:tc>
        <w:tc>
          <w:tcPr>
            <w:tcW w:w="1501" w:type="dxa"/>
            <w:vAlign w:val="center"/>
          </w:tcPr>
          <w:p w14:paraId="3B974BE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w:t>
            </w:r>
          </w:p>
        </w:tc>
        <w:tc>
          <w:tcPr>
            <w:tcW w:w="1567" w:type="dxa"/>
            <w:vAlign w:val="center"/>
          </w:tcPr>
          <w:p w14:paraId="3648E61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26</w:t>
            </w:r>
          </w:p>
        </w:tc>
        <w:tc>
          <w:tcPr>
            <w:tcW w:w="1550" w:type="dxa"/>
            <w:vAlign w:val="center"/>
          </w:tcPr>
          <w:p w14:paraId="25AEF6A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26</w:t>
            </w:r>
          </w:p>
        </w:tc>
        <w:tc>
          <w:tcPr>
            <w:tcW w:w="1490" w:type="dxa"/>
            <w:vAlign w:val="center"/>
          </w:tcPr>
          <w:p w14:paraId="4438AA9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w:t>
            </w:r>
          </w:p>
        </w:tc>
        <w:tc>
          <w:tcPr>
            <w:tcW w:w="1513" w:type="dxa"/>
            <w:vAlign w:val="center"/>
          </w:tcPr>
          <w:p w14:paraId="4CF5923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w:t>
            </w:r>
          </w:p>
        </w:tc>
        <w:tc>
          <w:tcPr>
            <w:tcW w:w="1464" w:type="dxa"/>
            <w:vAlign w:val="center"/>
          </w:tcPr>
          <w:p w14:paraId="03F616C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26</w:t>
            </w:r>
          </w:p>
        </w:tc>
      </w:tr>
      <w:tr w:rsidR="002133E3" w14:paraId="52A18C44" w14:textId="77777777">
        <w:tc>
          <w:tcPr>
            <w:tcW w:w="3245" w:type="dxa"/>
            <w:vAlign w:val="center"/>
          </w:tcPr>
          <w:p w14:paraId="0039F2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烟气静压</w:t>
            </w:r>
          </w:p>
        </w:tc>
        <w:tc>
          <w:tcPr>
            <w:tcW w:w="1888" w:type="dxa"/>
            <w:vAlign w:val="center"/>
          </w:tcPr>
          <w:p w14:paraId="4A1662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501" w:type="dxa"/>
            <w:vAlign w:val="center"/>
          </w:tcPr>
          <w:p w14:paraId="57BC12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w:t>
            </w:r>
          </w:p>
        </w:tc>
        <w:tc>
          <w:tcPr>
            <w:tcW w:w="1567" w:type="dxa"/>
            <w:vAlign w:val="center"/>
          </w:tcPr>
          <w:p w14:paraId="650D144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w:t>
            </w:r>
          </w:p>
        </w:tc>
        <w:tc>
          <w:tcPr>
            <w:tcW w:w="1550" w:type="dxa"/>
            <w:vAlign w:val="center"/>
          </w:tcPr>
          <w:p w14:paraId="41CEB6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w:t>
            </w:r>
          </w:p>
        </w:tc>
        <w:tc>
          <w:tcPr>
            <w:tcW w:w="1490" w:type="dxa"/>
            <w:vAlign w:val="center"/>
          </w:tcPr>
          <w:p w14:paraId="3239C2B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w:t>
            </w:r>
          </w:p>
        </w:tc>
        <w:tc>
          <w:tcPr>
            <w:tcW w:w="1513" w:type="dxa"/>
            <w:vAlign w:val="center"/>
          </w:tcPr>
          <w:p w14:paraId="6CEF28F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w:t>
            </w:r>
          </w:p>
        </w:tc>
        <w:tc>
          <w:tcPr>
            <w:tcW w:w="1464" w:type="dxa"/>
            <w:vAlign w:val="center"/>
          </w:tcPr>
          <w:p w14:paraId="2E0360B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w:t>
            </w:r>
          </w:p>
        </w:tc>
      </w:tr>
      <w:tr w:rsidR="002133E3" w14:paraId="75CF8945" w14:textId="77777777">
        <w:tc>
          <w:tcPr>
            <w:tcW w:w="3245" w:type="dxa"/>
            <w:vAlign w:val="center"/>
          </w:tcPr>
          <w:p w14:paraId="1A8EF3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烟气密度</w:t>
            </w:r>
          </w:p>
        </w:tc>
        <w:tc>
          <w:tcPr>
            <w:tcW w:w="1888" w:type="dxa"/>
            <w:vAlign w:val="center"/>
          </w:tcPr>
          <w:p w14:paraId="791ABE0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kg/m3</w:t>
            </w:r>
          </w:p>
        </w:tc>
        <w:tc>
          <w:tcPr>
            <w:tcW w:w="1501" w:type="dxa"/>
            <w:vAlign w:val="center"/>
          </w:tcPr>
          <w:p w14:paraId="11F9EA5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1.2297</w:t>
            </w:r>
          </w:p>
        </w:tc>
        <w:tc>
          <w:tcPr>
            <w:tcW w:w="1567" w:type="dxa"/>
            <w:vAlign w:val="center"/>
          </w:tcPr>
          <w:p w14:paraId="3B9EE6F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1.2256</w:t>
            </w:r>
          </w:p>
        </w:tc>
        <w:tc>
          <w:tcPr>
            <w:tcW w:w="1550" w:type="dxa"/>
            <w:vAlign w:val="center"/>
          </w:tcPr>
          <w:p w14:paraId="5A104F4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1.2256</w:t>
            </w:r>
          </w:p>
        </w:tc>
        <w:tc>
          <w:tcPr>
            <w:tcW w:w="1490" w:type="dxa"/>
            <w:vAlign w:val="center"/>
          </w:tcPr>
          <w:p w14:paraId="3EBE28B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1.2309</w:t>
            </w:r>
          </w:p>
        </w:tc>
        <w:tc>
          <w:tcPr>
            <w:tcW w:w="1513" w:type="dxa"/>
            <w:vAlign w:val="center"/>
          </w:tcPr>
          <w:p w14:paraId="202BD63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1.2309</w:t>
            </w:r>
          </w:p>
        </w:tc>
        <w:tc>
          <w:tcPr>
            <w:tcW w:w="1464" w:type="dxa"/>
            <w:vAlign w:val="center"/>
          </w:tcPr>
          <w:p w14:paraId="4CC67DA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1.2268</w:t>
            </w:r>
          </w:p>
        </w:tc>
      </w:tr>
      <w:tr w:rsidR="002133E3" w14:paraId="02C8CEA7" w14:textId="77777777">
        <w:tc>
          <w:tcPr>
            <w:tcW w:w="3245" w:type="dxa"/>
            <w:vAlign w:val="center"/>
          </w:tcPr>
          <w:p w14:paraId="35D203D8" w14:textId="77777777" w:rsidR="002133E3" w:rsidRDefault="00C22CFA">
            <w:pPr>
              <w:rPr>
                <w:rFonts w:ascii="Times New Roman" w:eastAsia="宋体" w:hAnsi="Times New Roman" w:cs="Times New Roman"/>
                <w:szCs w:val="21"/>
              </w:rPr>
            </w:pPr>
            <w:proofErr w:type="spellStart"/>
            <w:r>
              <w:rPr>
                <w:rFonts w:ascii="Times New Roman" w:eastAsia="宋体" w:hAnsi="Times New Roman" w:cs="Times New Roman"/>
                <w:szCs w:val="21"/>
              </w:rPr>
              <w:t>kp</w:t>
            </w:r>
            <w:proofErr w:type="spellEnd"/>
          </w:p>
        </w:tc>
        <w:tc>
          <w:tcPr>
            <w:tcW w:w="1888" w:type="dxa"/>
            <w:vAlign w:val="center"/>
          </w:tcPr>
          <w:p w14:paraId="54EA3EF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501" w:type="dxa"/>
            <w:vAlign w:val="center"/>
          </w:tcPr>
          <w:p w14:paraId="397EB79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567" w:type="dxa"/>
            <w:vAlign w:val="center"/>
          </w:tcPr>
          <w:p w14:paraId="4D54F8B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550" w:type="dxa"/>
            <w:vAlign w:val="center"/>
          </w:tcPr>
          <w:p w14:paraId="4FD733F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490" w:type="dxa"/>
            <w:vAlign w:val="center"/>
          </w:tcPr>
          <w:p w14:paraId="0DF070C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513" w:type="dxa"/>
            <w:vAlign w:val="center"/>
          </w:tcPr>
          <w:p w14:paraId="5C226B8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464" w:type="dxa"/>
            <w:vAlign w:val="center"/>
          </w:tcPr>
          <w:p w14:paraId="2F84554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r>
      <w:tr w:rsidR="002133E3" w14:paraId="1C29043E" w14:textId="77777777">
        <w:tc>
          <w:tcPr>
            <w:tcW w:w="3245" w:type="dxa"/>
            <w:vAlign w:val="center"/>
          </w:tcPr>
          <w:p w14:paraId="6CAC9D2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lastRenderedPageBreak/>
              <w:t>动压值</w:t>
            </w:r>
          </w:p>
        </w:tc>
        <w:tc>
          <w:tcPr>
            <w:tcW w:w="1888" w:type="dxa"/>
            <w:vAlign w:val="center"/>
          </w:tcPr>
          <w:p w14:paraId="3516D6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501" w:type="dxa"/>
            <w:vAlign w:val="center"/>
          </w:tcPr>
          <w:p w14:paraId="48341AF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w:t>
            </w:r>
          </w:p>
        </w:tc>
        <w:tc>
          <w:tcPr>
            <w:tcW w:w="1567" w:type="dxa"/>
            <w:vAlign w:val="center"/>
          </w:tcPr>
          <w:p w14:paraId="11FBCFC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w:t>
            </w:r>
          </w:p>
        </w:tc>
        <w:tc>
          <w:tcPr>
            <w:tcW w:w="1550" w:type="dxa"/>
            <w:vAlign w:val="center"/>
          </w:tcPr>
          <w:p w14:paraId="045EA8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w:t>
            </w:r>
          </w:p>
        </w:tc>
        <w:tc>
          <w:tcPr>
            <w:tcW w:w="1490" w:type="dxa"/>
            <w:vAlign w:val="center"/>
          </w:tcPr>
          <w:p w14:paraId="3E708B6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w:t>
            </w:r>
          </w:p>
        </w:tc>
        <w:tc>
          <w:tcPr>
            <w:tcW w:w="1513" w:type="dxa"/>
            <w:vAlign w:val="center"/>
          </w:tcPr>
          <w:p w14:paraId="7EA1E46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w:t>
            </w:r>
          </w:p>
        </w:tc>
        <w:tc>
          <w:tcPr>
            <w:tcW w:w="1464" w:type="dxa"/>
            <w:vAlign w:val="center"/>
          </w:tcPr>
          <w:p w14:paraId="23C373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w:t>
            </w:r>
          </w:p>
        </w:tc>
      </w:tr>
      <w:tr w:rsidR="002133E3" w14:paraId="1105B748" w14:textId="77777777">
        <w:tc>
          <w:tcPr>
            <w:tcW w:w="3245" w:type="dxa"/>
            <w:vAlign w:val="center"/>
          </w:tcPr>
          <w:p w14:paraId="6C94758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烟气流速</w:t>
            </w:r>
          </w:p>
        </w:tc>
        <w:tc>
          <w:tcPr>
            <w:tcW w:w="1888" w:type="dxa"/>
            <w:vAlign w:val="center"/>
          </w:tcPr>
          <w:p w14:paraId="166D559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m/s</w:t>
            </w:r>
          </w:p>
        </w:tc>
        <w:tc>
          <w:tcPr>
            <w:tcW w:w="1501" w:type="dxa"/>
            <w:vAlign w:val="center"/>
          </w:tcPr>
          <w:p w14:paraId="7B797FC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w:t>
            </w:r>
          </w:p>
        </w:tc>
        <w:tc>
          <w:tcPr>
            <w:tcW w:w="1567" w:type="dxa"/>
            <w:vAlign w:val="center"/>
          </w:tcPr>
          <w:p w14:paraId="7F290E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w:t>
            </w:r>
          </w:p>
        </w:tc>
        <w:tc>
          <w:tcPr>
            <w:tcW w:w="1550" w:type="dxa"/>
            <w:vAlign w:val="center"/>
          </w:tcPr>
          <w:p w14:paraId="653154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w:t>
            </w:r>
          </w:p>
        </w:tc>
        <w:tc>
          <w:tcPr>
            <w:tcW w:w="1490" w:type="dxa"/>
            <w:vAlign w:val="center"/>
          </w:tcPr>
          <w:p w14:paraId="309417E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2.1</w:t>
            </w:r>
          </w:p>
        </w:tc>
        <w:tc>
          <w:tcPr>
            <w:tcW w:w="1513" w:type="dxa"/>
            <w:vAlign w:val="center"/>
          </w:tcPr>
          <w:p w14:paraId="3C6528B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w:t>
            </w:r>
          </w:p>
        </w:tc>
        <w:tc>
          <w:tcPr>
            <w:tcW w:w="1464" w:type="dxa"/>
            <w:vAlign w:val="center"/>
          </w:tcPr>
          <w:p w14:paraId="0FD8F39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w:t>
            </w:r>
          </w:p>
        </w:tc>
      </w:tr>
      <w:tr w:rsidR="002133E3" w14:paraId="2E09E2B6" w14:textId="77777777">
        <w:tc>
          <w:tcPr>
            <w:tcW w:w="3245" w:type="dxa"/>
            <w:vAlign w:val="center"/>
          </w:tcPr>
          <w:p w14:paraId="23550D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烟道截面积</w:t>
            </w:r>
          </w:p>
        </w:tc>
        <w:tc>
          <w:tcPr>
            <w:tcW w:w="1888" w:type="dxa"/>
            <w:vAlign w:val="center"/>
          </w:tcPr>
          <w:p w14:paraId="10EC8CD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m2</w:t>
            </w:r>
          </w:p>
        </w:tc>
        <w:tc>
          <w:tcPr>
            <w:tcW w:w="1501" w:type="dxa"/>
            <w:vAlign w:val="center"/>
          </w:tcPr>
          <w:p w14:paraId="5DE387E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1567" w:type="dxa"/>
            <w:vAlign w:val="center"/>
          </w:tcPr>
          <w:p w14:paraId="7CE11E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1550" w:type="dxa"/>
            <w:vAlign w:val="center"/>
          </w:tcPr>
          <w:p w14:paraId="6364AAC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1490" w:type="dxa"/>
            <w:vAlign w:val="center"/>
          </w:tcPr>
          <w:p w14:paraId="27F93D3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1513" w:type="dxa"/>
            <w:vAlign w:val="center"/>
          </w:tcPr>
          <w:p w14:paraId="1FAEFA9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c>
          <w:tcPr>
            <w:tcW w:w="1464" w:type="dxa"/>
            <w:vAlign w:val="center"/>
          </w:tcPr>
          <w:p w14:paraId="16CF69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0.1963</w:t>
            </w:r>
          </w:p>
        </w:tc>
      </w:tr>
      <w:tr w:rsidR="002133E3" w14:paraId="6A691C1D" w14:textId="77777777">
        <w:tc>
          <w:tcPr>
            <w:tcW w:w="3245" w:type="dxa"/>
            <w:vAlign w:val="center"/>
          </w:tcPr>
          <w:p w14:paraId="4C4B36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测态气量</w:t>
            </w:r>
          </w:p>
        </w:tc>
        <w:tc>
          <w:tcPr>
            <w:tcW w:w="1888" w:type="dxa"/>
            <w:vAlign w:val="center"/>
          </w:tcPr>
          <w:p w14:paraId="7C7143E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1501" w:type="dxa"/>
            <w:vAlign w:val="center"/>
          </w:tcPr>
          <w:p w14:paraId="2046147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1.07</w:t>
            </w:r>
          </w:p>
        </w:tc>
        <w:tc>
          <w:tcPr>
            <w:tcW w:w="1567" w:type="dxa"/>
            <w:vAlign w:val="center"/>
          </w:tcPr>
          <w:p w14:paraId="3B8CBBB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1.31</w:t>
            </w:r>
          </w:p>
        </w:tc>
        <w:tc>
          <w:tcPr>
            <w:tcW w:w="1550" w:type="dxa"/>
            <w:vAlign w:val="center"/>
          </w:tcPr>
          <w:p w14:paraId="210AB0E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1.31</w:t>
            </w:r>
          </w:p>
        </w:tc>
        <w:tc>
          <w:tcPr>
            <w:tcW w:w="1490" w:type="dxa"/>
            <w:vAlign w:val="center"/>
          </w:tcPr>
          <w:p w14:paraId="323067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1.51</w:t>
            </w:r>
          </w:p>
        </w:tc>
        <w:tc>
          <w:tcPr>
            <w:tcW w:w="1513" w:type="dxa"/>
            <w:vAlign w:val="center"/>
          </w:tcPr>
          <w:p w14:paraId="05F409F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1.31</w:t>
            </w:r>
          </w:p>
        </w:tc>
        <w:tc>
          <w:tcPr>
            <w:tcW w:w="1464" w:type="dxa"/>
            <w:vAlign w:val="center"/>
          </w:tcPr>
          <w:p w14:paraId="7E2EF48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1.31</w:t>
            </w:r>
          </w:p>
        </w:tc>
      </w:tr>
      <w:tr w:rsidR="002133E3" w14:paraId="33ED83F9" w14:textId="77777777">
        <w:tc>
          <w:tcPr>
            <w:tcW w:w="3245" w:type="dxa"/>
            <w:vAlign w:val="center"/>
          </w:tcPr>
          <w:p w14:paraId="5D6882A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含湿量</w:t>
            </w:r>
          </w:p>
        </w:tc>
        <w:tc>
          <w:tcPr>
            <w:tcW w:w="1888" w:type="dxa"/>
            <w:vAlign w:val="center"/>
          </w:tcPr>
          <w:p w14:paraId="0D689BF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501" w:type="dxa"/>
            <w:vAlign w:val="center"/>
          </w:tcPr>
          <w:p w14:paraId="0133B95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w:t>
            </w:r>
          </w:p>
        </w:tc>
        <w:tc>
          <w:tcPr>
            <w:tcW w:w="1567" w:type="dxa"/>
            <w:vAlign w:val="center"/>
          </w:tcPr>
          <w:p w14:paraId="3859B5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w:t>
            </w:r>
          </w:p>
        </w:tc>
        <w:tc>
          <w:tcPr>
            <w:tcW w:w="1550" w:type="dxa"/>
            <w:vAlign w:val="center"/>
          </w:tcPr>
          <w:p w14:paraId="649929A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w:t>
            </w:r>
          </w:p>
        </w:tc>
        <w:tc>
          <w:tcPr>
            <w:tcW w:w="1490" w:type="dxa"/>
            <w:vAlign w:val="center"/>
          </w:tcPr>
          <w:p w14:paraId="62E05E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12.7</w:t>
            </w:r>
          </w:p>
        </w:tc>
        <w:tc>
          <w:tcPr>
            <w:tcW w:w="1513" w:type="dxa"/>
            <w:vAlign w:val="center"/>
          </w:tcPr>
          <w:p w14:paraId="548556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12.7</w:t>
            </w:r>
          </w:p>
        </w:tc>
        <w:tc>
          <w:tcPr>
            <w:tcW w:w="1464" w:type="dxa"/>
            <w:vAlign w:val="center"/>
          </w:tcPr>
          <w:p w14:paraId="1A57C35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12.7</w:t>
            </w:r>
          </w:p>
        </w:tc>
      </w:tr>
      <w:tr w:rsidR="002133E3" w14:paraId="151A60B8" w14:textId="77777777">
        <w:tc>
          <w:tcPr>
            <w:tcW w:w="3245" w:type="dxa"/>
            <w:vAlign w:val="center"/>
          </w:tcPr>
          <w:p w14:paraId="39ECB71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标态气量</w:t>
            </w:r>
          </w:p>
        </w:tc>
        <w:tc>
          <w:tcPr>
            <w:tcW w:w="1888" w:type="dxa"/>
            <w:vAlign w:val="center"/>
          </w:tcPr>
          <w:p w14:paraId="493963D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1501" w:type="dxa"/>
            <w:vAlign w:val="center"/>
          </w:tcPr>
          <w:p w14:paraId="39B92C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0.86</w:t>
            </w:r>
          </w:p>
        </w:tc>
        <w:tc>
          <w:tcPr>
            <w:tcW w:w="1567" w:type="dxa"/>
            <w:vAlign w:val="center"/>
          </w:tcPr>
          <w:p w14:paraId="0FE9C68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1.05</w:t>
            </w:r>
          </w:p>
        </w:tc>
        <w:tc>
          <w:tcPr>
            <w:tcW w:w="1550" w:type="dxa"/>
            <w:vAlign w:val="center"/>
          </w:tcPr>
          <w:p w14:paraId="1671479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1.05</w:t>
            </w:r>
          </w:p>
        </w:tc>
        <w:tc>
          <w:tcPr>
            <w:tcW w:w="1490" w:type="dxa"/>
            <w:vAlign w:val="center"/>
          </w:tcPr>
          <w:p w14:paraId="12D32D1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1.21</w:t>
            </w:r>
          </w:p>
        </w:tc>
        <w:tc>
          <w:tcPr>
            <w:tcW w:w="1513" w:type="dxa"/>
            <w:vAlign w:val="center"/>
          </w:tcPr>
          <w:p w14:paraId="4A7593A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1.05</w:t>
            </w:r>
          </w:p>
        </w:tc>
        <w:tc>
          <w:tcPr>
            <w:tcW w:w="1464" w:type="dxa"/>
            <w:vAlign w:val="center"/>
          </w:tcPr>
          <w:p w14:paraId="1BAE9F1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1.05</w:t>
            </w:r>
          </w:p>
        </w:tc>
      </w:tr>
      <w:tr w:rsidR="002133E3" w14:paraId="10494CB5" w14:textId="77777777">
        <w:tc>
          <w:tcPr>
            <w:tcW w:w="3245" w:type="dxa"/>
            <w:vAlign w:val="center"/>
          </w:tcPr>
          <w:p w14:paraId="2FFD362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乙醇排放浓度</w:t>
            </w:r>
          </w:p>
        </w:tc>
        <w:tc>
          <w:tcPr>
            <w:tcW w:w="1888" w:type="dxa"/>
            <w:vAlign w:val="center"/>
          </w:tcPr>
          <w:p w14:paraId="20126E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501" w:type="dxa"/>
            <w:vAlign w:val="center"/>
          </w:tcPr>
          <w:p w14:paraId="7E19742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50.5</w:t>
            </w:r>
          </w:p>
        </w:tc>
        <w:tc>
          <w:tcPr>
            <w:tcW w:w="1567" w:type="dxa"/>
            <w:vAlign w:val="center"/>
          </w:tcPr>
          <w:p w14:paraId="318B25F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39.2</w:t>
            </w:r>
          </w:p>
        </w:tc>
        <w:tc>
          <w:tcPr>
            <w:tcW w:w="1550" w:type="dxa"/>
            <w:vAlign w:val="center"/>
          </w:tcPr>
          <w:p w14:paraId="423D18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46</w:t>
            </w:r>
          </w:p>
        </w:tc>
        <w:tc>
          <w:tcPr>
            <w:tcW w:w="1490" w:type="dxa"/>
            <w:vAlign w:val="center"/>
          </w:tcPr>
          <w:p w14:paraId="3CE4AC0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60.2</w:t>
            </w:r>
          </w:p>
        </w:tc>
        <w:tc>
          <w:tcPr>
            <w:tcW w:w="1513" w:type="dxa"/>
            <w:vAlign w:val="center"/>
          </w:tcPr>
          <w:p w14:paraId="2BA930B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39.7</w:t>
            </w:r>
          </w:p>
        </w:tc>
        <w:tc>
          <w:tcPr>
            <w:tcW w:w="1464" w:type="dxa"/>
            <w:vAlign w:val="center"/>
          </w:tcPr>
          <w:p w14:paraId="14BF771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38.4</w:t>
            </w:r>
          </w:p>
        </w:tc>
      </w:tr>
      <w:tr w:rsidR="002133E3" w14:paraId="43B17D46" w14:textId="77777777">
        <w:tc>
          <w:tcPr>
            <w:tcW w:w="3245" w:type="dxa"/>
            <w:vAlign w:val="center"/>
          </w:tcPr>
          <w:p w14:paraId="671085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乙醇排放速率</w:t>
            </w:r>
          </w:p>
        </w:tc>
        <w:tc>
          <w:tcPr>
            <w:tcW w:w="1888" w:type="dxa"/>
            <w:vAlign w:val="center"/>
          </w:tcPr>
          <w:p w14:paraId="7FEEF4E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1501" w:type="dxa"/>
            <w:vAlign w:val="center"/>
          </w:tcPr>
          <w:p w14:paraId="0D36C6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0.43</w:t>
            </w:r>
          </w:p>
        </w:tc>
        <w:tc>
          <w:tcPr>
            <w:tcW w:w="1567" w:type="dxa"/>
            <w:vAlign w:val="center"/>
          </w:tcPr>
          <w:p w14:paraId="09596D3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0.41</w:t>
            </w:r>
          </w:p>
        </w:tc>
        <w:tc>
          <w:tcPr>
            <w:tcW w:w="1550" w:type="dxa"/>
            <w:vAlign w:val="center"/>
          </w:tcPr>
          <w:p w14:paraId="46BEC3A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0.48</w:t>
            </w:r>
          </w:p>
        </w:tc>
        <w:tc>
          <w:tcPr>
            <w:tcW w:w="1490" w:type="dxa"/>
            <w:vAlign w:val="center"/>
          </w:tcPr>
          <w:p w14:paraId="1F6573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0.73</w:t>
            </w:r>
          </w:p>
        </w:tc>
        <w:tc>
          <w:tcPr>
            <w:tcW w:w="1513" w:type="dxa"/>
            <w:vAlign w:val="center"/>
          </w:tcPr>
          <w:p w14:paraId="120443D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0.42</w:t>
            </w:r>
          </w:p>
        </w:tc>
        <w:tc>
          <w:tcPr>
            <w:tcW w:w="1464" w:type="dxa"/>
            <w:vAlign w:val="center"/>
          </w:tcPr>
          <w:p w14:paraId="48AA2DF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0.40</w:t>
            </w:r>
          </w:p>
        </w:tc>
      </w:tr>
      <w:tr w:rsidR="002133E3" w14:paraId="5C471A5E" w14:textId="77777777">
        <w:tc>
          <w:tcPr>
            <w:tcW w:w="3245" w:type="dxa"/>
            <w:vAlign w:val="center"/>
          </w:tcPr>
          <w:p w14:paraId="0B1FB0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烟道内径</w:t>
            </w:r>
          </w:p>
        </w:tc>
        <w:tc>
          <w:tcPr>
            <w:tcW w:w="1888" w:type="dxa"/>
            <w:vAlign w:val="center"/>
          </w:tcPr>
          <w:p w14:paraId="59C443E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w:t>
            </w:r>
          </w:p>
        </w:tc>
        <w:tc>
          <w:tcPr>
            <w:tcW w:w="9085" w:type="dxa"/>
            <w:gridSpan w:val="6"/>
            <w:vAlign w:val="center"/>
          </w:tcPr>
          <w:p w14:paraId="596D970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0.50</w:t>
            </w:r>
          </w:p>
        </w:tc>
      </w:tr>
    </w:tbl>
    <w:p w14:paraId="2ECB5E8B"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3.2-14  </w:t>
      </w:r>
      <w:r>
        <w:rPr>
          <w:rFonts w:ascii="Times New Roman" w:eastAsia="宋体" w:hAnsi="Times New Roman" w:cs="Times New Roman"/>
          <w:b/>
          <w:bCs/>
          <w:szCs w:val="21"/>
        </w:rPr>
        <w:t>沼气锅炉出口监测结果（第一阶段）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5"/>
        <w:gridCol w:w="1706"/>
        <w:gridCol w:w="1490"/>
        <w:gridCol w:w="1493"/>
        <w:gridCol w:w="1706"/>
        <w:gridCol w:w="1706"/>
        <w:gridCol w:w="1706"/>
        <w:gridCol w:w="1476"/>
      </w:tblGrid>
      <w:tr w:rsidR="002133E3" w14:paraId="6E05666C" w14:textId="77777777">
        <w:tc>
          <w:tcPr>
            <w:tcW w:w="2935" w:type="dxa"/>
            <w:vMerge w:val="restart"/>
            <w:vAlign w:val="center"/>
          </w:tcPr>
          <w:p w14:paraId="4AF6BE8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w:t>
            </w:r>
          </w:p>
        </w:tc>
        <w:tc>
          <w:tcPr>
            <w:tcW w:w="1706" w:type="dxa"/>
            <w:vMerge w:val="restart"/>
            <w:vAlign w:val="center"/>
          </w:tcPr>
          <w:p w14:paraId="76F83E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单位</w:t>
            </w:r>
          </w:p>
        </w:tc>
        <w:tc>
          <w:tcPr>
            <w:tcW w:w="9577" w:type="dxa"/>
            <w:gridSpan w:val="6"/>
            <w:vAlign w:val="center"/>
          </w:tcPr>
          <w:p w14:paraId="2C8464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出</w:t>
            </w:r>
            <w:r>
              <w:rPr>
                <w:rFonts w:ascii="Times New Roman" w:eastAsia="宋体" w:hAnsi="Times New Roman" w:cs="Times New Roman"/>
                <w:szCs w:val="21"/>
              </w:rPr>
              <w:t xml:space="preserve">          </w:t>
            </w:r>
            <w:r>
              <w:rPr>
                <w:rFonts w:ascii="Times New Roman" w:eastAsia="宋体" w:hAnsi="Times New Roman" w:cs="Times New Roman"/>
                <w:szCs w:val="21"/>
              </w:rPr>
              <w:t>口</w:t>
            </w:r>
            <w:r>
              <w:rPr>
                <w:rFonts w:ascii="Times New Roman" w:eastAsia="宋体" w:hAnsi="Times New Roman" w:cs="Times New Roman"/>
                <w:szCs w:val="21"/>
              </w:rPr>
              <w:t>Q9</w:t>
            </w:r>
          </w:p>
        </w:tc>
      </w:tr>
      <w:tr w:rsidR="002133E3" w14:paraId="7820CD8F" w14:textId="77777777">
        <w:tc>
          <w:tcPr>
            <w:tcW w:w="2935" w:type="dxa"/>
            <w:vMerge/>
            <w:vAlign w:val="center"/>
          </w:tcPr>
          <w:p w14:paraId="60373245" w14:textId="77777777" w:rsidR="002133E3" w:rsidRDefault="002133E3">
            <w:pPr>
              <w:rPr>
                <w:rFonts w:ascii="Times New Roman" w:eastAsia="宋体" w:hAnsi="Times New Roman" w:cs="Times New Roman"/>
                <w:szCs w:val="21"/>
              </w:rPr>
            </w:pPr>
          </w:p>
        </w:tc>
        <w:tc>
          <w:tcPr>
            <w:tcW w:w="1706" w:type="dxa"/>
            <w:vMerge/>
            <w:vAlign w:val="center"/>
          </w:tcPr>
          <w:p w14:paraId="409076C7" w14:textId="77777777" w:rsidR="002133E3" w:rsidRDefault="002133E3">
            <w:pPr>
              <w:rPr>
                <w:rFonts w:ascii="Times New Roman" w:eastAsia="宋体" w:hAnsi="Times New Roman" w:cs="Times New Roman"/>
                <w:szCs w:val="21"/>
              </w:rPr>
            </w:pPr>
          </w:p>
        </w:tc>
        <w:tc>
          <w:tcPr>
            <w:tcW w:w="4689" w:type="dxa"/>
            <w:gridSpan w:val="3"/>
            <w:vAlign w:val="center"/>
          </w:tcPr>
          <w:p w14:paraId="012997D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2011.9.27</w:t>
            </w:r>
          </w:p>
        </w:tc>
        <w:tc>
          <w:tcPr>
            <w:tcW w:w="4888" w:type="dxa"/>
            <w:gridSpan w:val="3"/>
            <w:vAlign w:val="center"/>
          </w:tcPr>
          <w:p w14:paraId="33B314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2011.9.28</w:t>
            </w:r>
          </w:p>
        </w:tc>
      </w:tr>
      <w:tr w:rsidR="002133E3" w14:paraId="6D6C5EAC" w14:textId="77777777">
        <w:tc>
          <w:tcPr>
            <w:tcW w:w="2935" w:type="dxa"/>
            <w:vMerge/>
            <w:vAlign w:val="center"/>
          </w:tcPr>
          <w:p w14:paraId="1D7ADEE0" w14:textId="77777777" w:rsidR="002133E3" w:rsidRDefault="002133E3">
            <w:pPr>
              <w:rPr>
                <w:rFonts w:ascii="Times New Roman" w:eastAsia="宋体" w:hAnsi="Times New Roman" w:cs="Times New Roman"/>
                <w:szCs w:val="21"/>
              </w:rPr>
            </w:pPr>
          </w:p>
        </w:tc>
        <w:tc>
          <w:tcPr>
            <w:tcW w:w="1706" w:type="dxa"/>
            <w:vMerge/>
            <w:vAlign w:val="center"/>
          </w:tcPr>
          <w:p w14:paraId="0DC4F33F" w14:textId="77777777" w:rsidR="002133E3" w:rsidRDefault="002133E3">
            <w:pPr>
              <w:rPr>
                <w:rFonts w:ascii="Times New Roman" w:eastAsia="宋体" w:hAnsi="Times New Roman" w:cs="Times New Roman"/>
                <w:szCs w:val="21"/>
              </w:rPr>
            </w:pPr>
          </w:p>
        </w:tc>
        <w:tc>
          <w:tcPr>
            <w:tcW w:w="1490" w:type="dxa"/>
            <w:vAlign w:val="center"/>
          </w:tcPr>
          <w:p w14:paraId="57B4706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93" w:type="dxa"/>
            <w:vAlign w:val="center"/>
          </w:tcPr>
          <w:p w14:paraId="404837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706" w:type="dxa"/>
            <w:vAlign w:val="center"/>
          </w:tcPr>
          <w:p w14:paraId="2D91389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706" w:type="dxa"/>
            <w:vAlign w:val="center"/>
          </w:tcPr>
          <w:p w14:paraId="3733FA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706" w:type="dxa"/>
            <w:vAlign w:val="center"/>
          </w:tcPr>
          <w:p w14:paraId="600ABE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76" w:type="dxa"/>
            <w:vAlign w:val="center"/>
          </w:tcPr>
          <w:p w14:paraId="173528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r>
      <w:tr w:rsidR="002133E3" w14:paraId="44E3CD60" w14:textId="77777777">
        <w:tc>
          <w:tcPr>
            <w:tcW w:w="2935" w:type="dxa"/>
            <w:vAlign w:val="center"/>
          </w:tcPr>
          <w:p w14:paraId="7178F0E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大气压</w:t>
            </w:r>
          </w:p>
        </w:tc>
        <w:tc>
          <w:tcPr>
            <w:tcW w:w="1706" w:type="dxa"/>
            <w:vAlign w:val="center"/>
          </w:tcPr>
          <w:p w14:paraId="47BDE67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490" w:type="dxa"/>
            <w:vAlign w:val="center"/>
          </w:tcPr>
          <w:p w14:paraId="5B3E5C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1493" w:type="dxa"/>
            <w:vAlign w:val="center"/>
          </w:tcPr>
          <w:p w14:paraId="027E302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1706" w:type="dxa"/>
            <w:vAlign w:val="center"/>
          </w:tcPr>
          <w:p w14:paraId="3E0A31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101500</w:t>
            </w:r>
          </w:p>
        </w:tc>
        <w:tc>
          <w:tcPr>
            <w:tcW w:w="1706" w:type="dxa"/>
            <w:vAlign w:val="center"/>
          </w:tcPr>
          <w:p w14:paraId="280C1E4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101300</w:t>
            </w:r>
          </w:p>
        </w:tc>
        <w:tc>
          <w:tcPr>
            <w:tcW w:w="1706" w:type="dxa"/>
            <w:vAlign w:val="center"/>
          </w:tcPr>
          <w:p w14:paraId="73F25F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101300</w:t>
            </w:r>
          </w:p>
        </w:tc>
        <w:tc>
          <w:tcPr>
            <w:tcW w:w="1476" w:type="dxa"/>
            <w:vAlign w:val="center"/>
          </w:tcPr>
          <w:p w14:paraId="344136E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101300</w:t>
            </w:r>
          </w:p>
        </w:tc>
      </w:tr>
      <w:tr w:rsidR="002133E3" w14:paraId="46BBD3FB" w14:textId="77777777">
        <w:tc>
          <w:tcPr>
            <w:tcW w:w="2935" w:type="dxa"/>
            <w:vAlign w:val="center"/>
          </w:tcPr>
          <w:p w14:paraId="724AC2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烟温</w:t>
            </w:r>
          </w:p>
        </w:tc>
        <w:tc>
          <w:tcPr>
            <w:tcW w:w="1706" w:type="dxa"/>
            <w:vAlign w:val="center"/>
          </w:tcPr>
          <w:p w14:paraId="390449D0" w14:textId="77777777" w:rsidR="002133E3" w:rsidRDefault="00C22CFA">
            <w:pPr>
              <w:rPr>
                <w:rFonts w:ascii="Times New Roman" w:eastAsia="宋体" w:hAnsi="Times New Roman" w:cs="Times New Roman"/>
                <w:szCs w:val="21"/>
              </w:rPr>
            </w:pPr>
            <w:r>
              <w:rPr>
                <w:rFonts w:ascii="宋体" w:eastAsia="宋体" w:hAnsi="宋体" w:cs="宋体" w:hint="eastAsia"/>
                <w:szCs w:val="21"/>
              </w:rPr>
              <w:t>℃</w:t>
            </w:r>
          </w:p>
        </w:tc>
        <w:tc>
          <w:tcPr>
            <w:tcW w:w="1490" w:type="dxa"/>
            <w:vAlign w:val="center"/>
          </w:tcPr>
          <w:p w14:paraId="749094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105</w:t>
            </w:r>
          </w:p>
        </w:tc>
        <w:tc>
          <w:tcPr>
            <w:tcW w:w="1493" w:type="dxa"/>
            <w:vAlign w:val="center"/>
          </w:tcPr>
          <w:p w14:paraId="69A1518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w:t>
            </w:r>
          </w:p>
        </w:tc>
        <w:tc>
          <w:tcPr>
            <w:tcW w:w="1706" w:type="dxa"/>
            <w:vAlign w:val="center"/>
          </w:tcPr>
          <w:p w14:paraId="6CC0840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w:t>
            </w:r>
          </w:p>
        </w:tc>
        <w:tc>
          <w:tcPr>
            <w:tcW w:w="1706" w:type="dxa"/>
            <w:vAlign w:val="center"/>
          </w:tcPr>
          <w:p w14:paraId="3095C2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w:t>
            </w:r>
          </w:p>
        </w:tc>
        <w:tc>
          <w:tcPr>
            <w:tcW w:w="1706" w:type="dxa"/>
            <w:vAlign w:val="center"/>
          </w:tcPr>
          <w:p w14:paraId="7C63FBE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w:t>
            </w:r>
          </w:p>
        </w:tc>
        <w:tc>
          <w:tcPr>
            <w:tcW w:w="1476" w:type="dxa"/>
            <w:vAlign w:val="center"/>
          </w:tcPr>
          <w:p w14:paraId="22C3A5C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w:t>
            </w:r>
          </w:p>
        </w:tc>
      </w:tr>
      <w:tr w:rsidR="002133E3" w14:paraId="5178EA47" w14:textId="77777777">
        <w:tc>
          <w:tcPr>
            <w:tcW w:w="2935" w:type="dxa"/>
            <w:vAlign w:val="center"/>
          </w:tcPr>
          <w:p w14:paraId="2EC014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烟气静压</w:t>
            </w:r>
          </w:p>
        </w:tc>
        <w:tc>
          <w:tcPr>
            <w:tcW w:w="1706" w:type="dxa"/>
            <w:vAlign w:val="center"/>
          </w:tcPr>
          <w:p w14:paraId="19D9CE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490" w:type="dxa"/>
            <w:vAlign w:val="center"/>
          </w:tcPr>
          <w:p w14:paraId="53D531B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-110</w:t>
            </w:r>
          </w:p>
        </w:tc>
        <w:tc>
          <w:tcPr>
            <w:tcW w:w="1493" w:type="dxa"/>
            <w:vAlign w:val="center"/>
          </w:tcPr>
          <w:p w14:paraId="34E0179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-120</w:t>
            </w:r>
          </w:p>
        </w:tc>
        <w:tc>
          <w:tcPr>
            <w:tcW w:w="1706" w:type="dxa"/>
            <w:vAlign w:val="center"/>
          </w:tcPr>
          <w:p w14:paraId="13F4B50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-110</w:t>
            </w:r>
          </w:p>
        </w:tc>
        <w:tc>
          <w:tcPr>
            <w:tcW w:w="1706" w:type="dxa"/>
            <w:vAlign w:val="center"/>
          </w:tcPr>
          <w:p w14:paraId="2DD071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-110</w:t>
            </w:r>
          </w:p>
        </w:tc>
        <w:tc>
          <w:tcPr>
            <w:tcW w:w="1706" w:type="dxa"/>
            <w:vAlign w:val="center"/>
          </w:tcPr>
          <w:p w14:paraId="30A402E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-120</w:t>
            </w:r>
          </w:p>
        </w:tc>
        <w:tc>
          <w:tcPr>
            <w:tcW w:w="1476" w:type="dxa"/>
            <w:vAlign w:val="center"/>
          </w:tcPr>
          <w:p w14:paraId="1F105AD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-120</w:t>
            </w:r>
          </w:p>
        </w:tc>
      </w:tr>
      <w:tr w:rsidR="002133E3" w14:paraId="29DF0F83" w14:textId="77777777">
        <w:tc>
          <w:tcPr>
            <w:tcW w:w="2935" w:type="dxa"/>
            <w:vAlign w:val="center"/>
          </w:tcPr>
          <w:p w14:paraId="26C084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烟气密度</w:t>
            </w:r>
          </w:p>
        </w:tc>
        <w:tc>
          <w:tcPr>
            <w:tcW w:w="1706" w:type="dxa"/>
            <w:vAlign w:val="center"/>
          </w:tcPr>
          <w:p w14:paraId="429F738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kg/m3</w:t>
            </w:r>
          </w:p>
        </w:tc>
        <w:tc>
          <w:tcPr>
            <w:tcW w:w="1490" w:type="dxa"/>
            <w:vAlign w:val="center"/>
          </w:tcPr>
          <w:p w14:paraId="7A1F024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0.9684</w:t>
            </w:r>
          </w:p>
        </w:tc>
        <w:tc>
          <w:tcPr>
            <w:tcW w:w="1493" w:type="dxa"/>
            <w:vAlign w:val="center"/>
          </w:tcPr>
          <w:p w14:paraId="12A7B65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0.9734</w:t>
            </w:r>
          </w:p>
        </w:tc>
        <w:tc>
          <w:tcPr>
            <w:tcW w:w="1706" w:type="dxa"/>
            <w:vAlign w:val="center"/>
          </w:tcPr>
          <w:p w14:paraId="470AD8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0.9735</w:t>
            </w:r>
          </w:p>
        </w:tc>
        <w:tc>
          <w:tcPr>
            <w:tcW w:w="1706" w:type="dxa"/>
            <w:vAlign w:val="center"/>
          </w:tcPr>
          <w:p w14:paraId="063309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0.9690</w:t>
            </w:r>
          </w:p>
        </w:tc>
        <w:tc>
          <w:tcPr>
            <w:tcW w:w="1706" w:type="dxa"/>
            <w:vAlign w:val="center"/>
          </w:tcPr>
          <w:p w14:paraId="6F107C6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0.9689</w:t>
            </w:r>
          </w:p>
        </w:tc>
        <w:tc>
          <w:tcPr>
            <w:tcW w:w="1476" w:type="dxa"/>
            <w:vAlign w:val="center"/>
          </w:tcPr>
          <w:p w14:paraId="6682255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0.9715</w:t>
            </w:r>
          </w:p>
        </w:tc>
      </w:tr>
      <w:tr w:rsidR="002133E3" w14:paraId="2FE22B1E" w14:textId="77777777">
        <w:tc>
          <w:tcPr>
            <w:tcW w:w="2935" w:type="dxa"/>
            <w:vAlign w:val="center"/>
          </w:tcPr>
          <w:p w14:paraId="6D62E210" w14:textId="77777777" w:rsidR="002133E3" w:rsidRDefault="00C22CFA">
            <w:pPr>
              <w:rPr>
                <w:rFonts w:ascii="Times New Roman" w:eastAsia="宋体" w:hAnsi="Times New Roman" w:cs="Times New Roman"/>
                <w:szCs w:val="21"/>
              </w:rPr>
            </w:pPr>
            <w:proofErr w:type="spellStart"/>
            <w:r>
              <w:rPr>
                <w:rFonts w:ascii="Times New Roman" w:eastAsia="宋体" w:hAnsi="Times New Roman" w:cs="Times New Roman"/>
                <w:szCs w:val="21"/>
              </w:rPr>
              <w:t>kp</w:t>
            </w:r>
            <w:proofErr w:type="spellEnd"/>
          </w:p>
        </w:tc>
        <w:tc>
          <w:tcPr>
            <w:tcW w:w="1706" w:type="dxa"/>
            <w:vAlign w:val="center"/>
          </w:tcPr>
          <w:p w14:paraId="058778F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90" w:type="dxa"/>
            <w:vAlign w:val="center"/>
          </w:tcPr>
          <w:p w14:paraId="3938B7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493" w:type="dxa"/>
            <w:vAlign w:val="center"/>
          </w:tcPr>
          <w:p w14:paraId="4FDF022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06" w:type="dxa"/>
            <w:vAlign w:val="center"/>
          </w:tcPr>
          <w:p w14:paraId="3962D28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06" w:type="dxa"/>
            <w:vAlign w:val="center"/>
          </w:tcPr>
          <w:p w14:paraId="1F32A97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06" w:type="dxa"/>
            <w:vAlign w:val="center"/>
          </w:tcPr>
          <w:p w14:paraId="759CAED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476" w:type="dxa"/>
            <w:vAlign w:val="center"/>
          </w:tcPr>
          <w:p w14:paraId="16ED7D0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r>
      <w:tr w:rsidR="002133E3" w14:paraId="67E8B16D" w14:textId="77777777">
        <w:tc>
          <w:tcPr>
            <w:tcW w:w="2935" w:type="dxa"/>
            <w:vAlign w:val="center"/>
          </w:tcPr>
          <w:p w14:paraId="129CF2D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动压值</w:t>
            </w:r>
          </w:p>
        </w:tc>
        <w:tc>
          <w:tcPr>
            <w:tcW w:w="1706" w:type="dxa"/>
            <w:vAlign w:val="center"/>
          </w:tcPr>
          <w:p w14:paraId="2A1E07B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490" w:type="dxa"/>
            <w:vAlign w:val="center"/>
          </w:tcPr>
          <w:p w14:paraId="5D1BB66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128</w:t>
            </w:r>
          </w:p>
        </w:tc>
        <w:tc>
          <w:tcPr>
            <w:tcW w:w="1493" w:type="dxa"/>
            <w:vAlign w:val="center"/>
          </w:tcPr>
          <w:p w14:paraId="0B305D1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1706" w:type="dxa"/>
            <w:vAlign w:val="center"/>
          </w:tcPr>
          <w:p w14:paraId="5970EC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126</w:t>
            </w:r>
          </w:p>
        </w:tc>
        <w:tc>
          <w:tcPr>
            <w:tcW w:w="1706" w:type="dxa"/>
            <w:vAlign w:val="center"/>
          </w:tcPr>
          <w:p w14:paraId="5C1B1E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130</w:t>
            </w:r>
          </w:p>
        </w:tc>
        <w:tc>
          <w:tcPr>
            <w:tcW w:w="1706" w:type="dxa"/>
            <w:vAlign w:val="center"/>
          </w:tcPr>
          <w:p w14:paraId="175CFFA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128</w:t>
            </w:r>
          </w:p>
        </w:tc>
        <w:tc>
          <w:tcPr>
            <w:tcW w:w="1476" w:type="dxa"/>
            <w:vAlign w:val="center"/>
          </w:tcPr>
          <w:p w14:paraId="65C8EAE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128</w:t>
            </w:r>
          </w:p>
        </w:tc>
      </w:tr>
      <w:tr w:rsidR="002133E3" w14:paraId="2DB81430" w14:textId="77777777">
        <w:tc>
          <w:tcPr>
            <w:tcW w:w="2935" w:type="dxa"/>
            <w:vAlign w:val="center"/>
          </w:tcPr>
          <w:p w14:paraId="64EB99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烟气流速</w:t>
            </w:r>
          </w:p>
        </w:tc>
        <w:tc>
          <w:tcPr>
            <w:tcW w:w="1706" w:type="dxa"/>
            <w:vAlign w:val="center"/>
          </w:tcPr>
          <w:p w14:paraId="3D5BB4F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m/s</w:t>
            </w:r>
          </w:p>
        </w:tc>
        <w:tc>
          <w:tcPr>
            <w:tcW w:w="1490" w:type="dxa"/>
            <w:vAlign w:val="center"/>
          </w:tcPr>
          <w:p w14:paraId="0239F30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13.7</w:t>
            </w:r>
          </w:p>
        </w:tc>
        <w:tc>
          <w:tcPr>
            <w:tcW w:w="1493" w:type="dxa"/>
            <w:vAlign w:val="center"/>
          </w:tcPr>
          <w:p w14:paraId="042DD74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13.5</w:t>
            </w:r>
          </w:p>
        </w:tc>
        <w:tc>
          <w:tcPr>
            <w:tcW w:w="1706" w:type="dxa"/>
            <w:vAlign w:val="center"/>
          </w:tcPr>
          <w:p w14:paraId="6DA7551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13.5</w:t>
            </w:r>
          </w:p>
        </w:tc>
        <w:tc>
          <w:tcPr>
            <w:tcW w:w="1706" w:type="dxa"/>
            <w:vAlign w:val="center"/>
          </w:tcPr>
          <w:p w14:paraId="477855F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13.8</w:t>
            </w:r>
          </w:p>
        </w:tc>
        <w:tc>
          <w:tcPr>
            <w:tcW w:w="1706" w:type="dxa"/>
            <w:vAlign w:val="center"/>
          </w:tcPr>
          <w:p w14:paraId="6E8606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13.7</w:t>
            </w:r>
          </w:p>
        </w:tc>
        <w:tc>
          <w:tcPr>
            <w:tcW w:w="1476" w:type="dxa"/>
            <w:vAlign w:val="center"/>
          </w:tcPr>
          <w:p w14:paraId="26B5F65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13.6</w:t>
            </w:r>
          </w:p>
        </w:tc>
      </w:tr>
      <w:tr w:rsidR="002133E3" w14:paraId="14C18A32" w14:textId="77777777">
        <w:tc>
          <w:tcPr>
            <w:tcW w:w="2935" w:type="dxa"/>
            <w:vAlign w:val="center"/>
          </w:tcPr>
          <w:p w14:paraId="09EB52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烟道截面积</w:t>
            </w:r>
          </w:p>
        </w:tc>
        <w:tc>
          <w:tcPr>
            <w:tcW w:w="1706" w:type="dxa"/>
            <w:vAlign w:val="center"/>
          </w:tcPr>
          <w:p w14:paraId="23BD436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m2</w:t>
            </w:r>
          </w:p>
        </w:tc>
        <w:tc>
          <w:tcPr>
            <w:tcW w:w="1490" w:type="dxa"/>
            <w:vAlign w:val="center"/>
          </w:tcPr>
          <w:p w14:paraId="2ED058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1.3273</w:t>
            </w:r>
          </w:p>
        </w:tc>
        <w:tc>
          <w:tcPr>
            <w:tcW w:w="1493" w:type="dxa"/>
            <w:vAlign w:val="center"/>
          </w:tcPr>
          <w:p w14:paraId="09DA77E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1.3273</w:t>
            </w:r>
          </w:p>
        </w:tc>
        <w:tc>
          <w:tcPr>
            <w:tcW w:w="1706" w:type="dxa"/>
            <w:vAlign w:val="center"/>
          </w:tcPr>
          <w:p w14:paraId="1D36680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1.3273</w:t>
            </w:r>
          </w:p>
        </w:tc>
        <w:tc>
          <w:tcPr>
            <w:tcW w:w="1706" w:type="dxa"/>
            <w:vAlign w:val="center"/>
          </w:tcPr>
          <w:p w14:paraId="4B42AF1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1.3273</w:t>
            </w:r>
          </w:p>
        </w:tc>
        <w:tc>
          <w:tcPr>
            <w:tcW w:w="1706" w:type="dxa"/>
            <w:vAlign w:val="center"/>
          </w:tcPr>
          <w:p w14:paraId="5843BC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1.3273</w:t>
            </w:r>
          </w:p>
        </w:tc>
        <w:tc>
          <w:tcPr>
            <w:tcW w:w="1476" w:type="dxa"/>
            <w:vAlign w:val="center"/>
          </w:tcPr>
          <w:p w14:paraId="3997EF3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1.3273</w:t>
            </w:r>
          </w:p>
        </w:tc>
      </w:tr>
      <w:tr w:rsidR="002133E3" w14:paraId="417B946A" w14:textId="77777777">
        <w:tc>
          <w:tcPr>
            <w:tcW w:w="2935" w:type="dxa"/>
            <w:vAlign w:val="center"/>
          </w:tcPr>
          <w:p w14:paraId="5FDF58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测态气量</w:t>
            </w:r>
          </w:p>
        </w:tc>
        <w:tc>
          <w:tcPr>
            <w:tcW w:w="1706" w:type="dxa"/>
            <w:vAlign w:val="center"/>
          </w:tcPr>
          <w:p w14:paraId="1661C33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1490" w:type="dxa"/>
            <w:vAlign w:val="center"/>
          </w:tcPr>
          <w:p w14:paraId="3F8A40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6.52</w:t>
            </w:r>
          </w:p>
        </w:tc>
        <w:tc>
          <w:tcPr>
            <w:tcW w:w="1493" w:type="dxa"/>
            <w:vAlign w:val="center"/>
          </w:tcPr>
          <w:p w14:paraId="35EBEBF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6.43</w:t>
            </w:r>
          </w:p>
        </w:tc>
        <w:tc>
          <w:tcPr>
            <w:tcW w:w="1706" w:type="dxa"/>
            <w:vAlign w:val="center"/>
          </w:tcPr>
          <w:p w14:paraId="36C977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6.46</w:t>
            </w:r>
          </w:p>
        </w:tc>
        <w:tc>
          <w:tcPr>
            <w:tcW w:w="1706" w:type="dxa"/>
            <w:vAlign w:val="center"/>
          </w:tcPr>
          <w:p w14:paraId="69F71F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6.57</w:t>
            </w:r>
          </w:p>
        </w:tc>
        <w:tc>
          <w:tcPr>
            <w:tcW w:w="1706" w:type="dxa"/>
            <w:vAlign w:val="center"/>
          </w:tcPr>
          <w:p w14:paraId="4877FE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6.52</w:t>
            </w:r>
          </w:p>
        </w:tc>
        <w:tc>
          <w:tcPr>
            <w:tcW w:w="1476" w:type="dxa"/>
            <w:vAlign w:val="center"/>
          </w:tcPr>
          <w:p w14:paraId="3E5AEE7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6.51</w:t>
            </w:r>
          </w:p>
        </w:tc>
      </w:tr>
      <w:tr w:rsidR="002133E3" w14:paraId="40AB72D1" w14:textId="77777777">
        <w:tc>
          <w:tcPr>
            <w:tcW w:w="2935" w:type="dxa"/>
            <w:vAlign w:val="center"/>
          </w:tcPr>
          <w:p w14:paraId="3CF9750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含湿量</w:t>
            </w:r>
          </w:p>
        </w:tc>
        <w:tc>
          <w:tcPr>
            <w:tcW w:w="1706" w:type="dxa"/>
            <w:vAlign w:val="center"/>
          </w:tcPr>
          <w:p w14:paraId="490B9B8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90" w:type="dxa"/>
            <w:vAlign w:val="center"/>
          </w:tcPr>
          <w:p w14:paraId="5D5A924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5.1</w:t>
            </w:r>
          </w:p>
        </w:tc>
        <w:tc>
          <w:tcPr>
            <w:tcW w:w="1493" w:type="dxa"/>
            <w:vAlign w:val="center"/>
          </w:tcPr>
          <w:p w14:paraId="76A9F6B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5.1</w:t>
            </w:r>
          </w:p>
        </w:tc>
        <w:tc>
          <w:tcPr>
            <w:tcW w:w="1706" w:type="dxa"/>
            <w:vAlign w:val="center"/>
          </w:tcPr>
          <w:p w14:paraId="716ADDA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5.1</w:t>
            </w:r>
          </w:p>
        </w:tc>
        <w:tc>
          <w:tcPr>
            <w:tcW w:w="1706" w:type="dxa"/>
            <w:vAlign w:val="center"/>
          </w:tcPr>
          <w:p w14:paraId="2BC5AC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5.0</w:t>
            </w:r>
          </w:p>
        </w:tc>
        <w:tc>
          <w:tcPr>
            <w:tcW w:w="1706" w:type="dxa"/>
            <w:vAlign w:val="center"/>
          </w:tcPr>
          <w:p w14:paraId="597889B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5.0</w:t>
            </w:r>
          </w:p>
        </w:tc>
        <w:tc>
          <w:tcPr>
            <w:tcW w:w="1476" w:type="dxa"/>
            <w:vAlign w:val="center"/>
          </w:tcPr>
          <w:p w14:paraId="00470C3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5.0</w:t>
            </w:r>
          </w:p>
        </w:tc>
      </w:tr>
      <w:tr w:rsidR="002133E3" w14:paraId="30D6F9FA" w14:textId="77777777">
        <w:tc>
          <w:tcPr>
            <w:tcW w:w="2935" w:type="dxa"/>
            <w:vAlign w:val="center"/>
          </w:tcPr>
          <w:p w14:paraId="0C608C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标态气量</w:t>
            </w:r>
          </w:p>
        </w:tc>
        <w:tc>
          <w:tcPr>
            <w:tcW w:w="1706" w:type="dxa"/>
            <w:vAlign w:val="center"/>
          </w:tcPr>
          <w:p w14:paraId="6EFCD02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1490" w:type="dxa"/>
            <w:vAlign w:val="center"/>
          </w:tcPr>
          <w:p w14:paraId="73CADE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4.47</w:t>
            </w:r>
          </w:p>
        </w:tc>
        <w:tc>
          <w:tcPr>
            <w:tcW w:w="1493" w:type="dxa"/>
            <w:vAlign w:val="center"/>
          </w:tcPr>
          <w:p w14:paraId="48C22AA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4.43</w:t>
            </w:r>
          </w:p>
        </w:tc>
        <w:tc>
          <w:tcPr>
            <w:tcW w:w="1706" w:type="dxa"/>
            <w:vAlign w:val="center"/>
          </w:tcPr>
          <w:p w14:paraId="5BEADC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4.45</w:t>
            </w:r>
          </w:p>
        </w:tc>
        <w:tc>
          <w:tcPr>
            <w:tcW w:w="1706" w:type="dxa"/>
            <w:vAlign w:val="center"/>
          </w:tcPr>
          <w:p w14:paraId="5C09A0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4.52</w:t>
            </w:r>
          </w:p>
        </w:tc>
        <w:tc>
          <w:tcPr>
            <w:tcW w:w="1706" w:type="dxa"/>
            <w:vAlign w:val="center"/>
          </w:tcPr>
          <w:p w14:paraId="785DCDB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4.48</w:t>
            </w:r>
          </w:p>
        </w:tc>
        <w:tc>
          <w:tcPr>
            <w:tcW w:w="1476" w:type="dxa"/>
            <w:vAlign w:val="center"/>
          </w:tcPr>
          <w:p w14:paraId="41A9F9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4.49</w:t>
            </w:r>
          </w:p>
        </w:tc>
      </w:tr>
      <w:tr w:rsidR="002133E3" w14:paraId="1D66BF3E" w14:textId="77777777">
        <w:tc>
          <w:tcPr>
            <w:tcW w:w="2935" w:type="dxa"/>
            <w:vAlign w:val="center"/>
          </w:tcPr>
          <w:p w14:paraId="4240B3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含氧量</w:t>
            </w:r>
          </w:p>
        </w:tc>
        <w:tc>
          <w:tcPr>
            <w:tcW w:w="1706" w:type="dxa"/>
            <w:vAlign w:val="center"/>
          </w:tcPr>
          <w:p w14:paraId="472B75C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90" w:type="dxa"/>
            <w:vAlign w:val="center"/>
          </w:tcPr>
          <w:p w14:paraId="69512C5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7.8</w:t>
            </w:r>
          </w:p>
        </w:tc>
        <w:tc>
          <w:tcPr>
            <w:tcW w:w="1493" w:type="dxa"/>
            <w:vAlign w:val="center"/>
          </w:tcPr>
          <w:p w14:paraId="6A1F5E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7.8</w:t>
            </w:r>
          </w:p>
        </w:tc>
        <w:tc>
          <w:tcPr>
            <w:tcW w:w="1706" w:type="dxa"/>
            <w:vAlign w:val="center"/>
          </w:tcPr>
          <w:p w14:paraId="506E8F4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7.6</w:t>
            </w:r>
          </w:p>
        </w:tc>
        <w:tc>
          <w:tcPr>
            <w:tcW w:w="1706" w:type="dxa"/>
            <w:vAlign w:val="center"/>
          </w:tcPr>
          <w:p w14:paraId="3C7B066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7.7</w:t>
            </w:r>
          </w:p>
        </w:tc>
        <w:tc>
          <w:tcPr>
            <w:tcW w:w="1706" w:type="dxa"/>
            <w:vAlign w:val="center"/>
          </w:tcPr>
          <w:p w14:paraId="56B0BFE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7.7</w:t>
            </w:r>
          </w:p>
        </w:tc>
        <w:tc>
          <w:tcPr>
            <w:tcW w:w="1476" w:type="dxa"/>
            <w:vAlign w:val="center"/>
          </w:tcPr>
          <w:p w14:paraId="55BF0D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7.7</w:t>
            </w:r>
          </w:p>
        </w:tc>
      </w:tr>
      <w:tr w:rsidR="002133E3" w14:paraId="298ACE89" w14:textId="77777777">
        <w:tc>
          <w:tcPr>
            <w:tcW w:w="2935" w:type="dxa"/>
            <w:vAlign w:val="center"/>
          </w:tcPr>
          <w:p w14:paraId="09C37F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空气过剩系数</w:t>
            </w:r>
          </w:p>
        </w:tc>
        <w:tc>
          <w:tcPr>
            <w:tcW w:w="1706" w:type="dxa"/>
            <w:vAlign w:val="center"/>
          </w:tcPr>
          <w:p w14:paraId="2C0799A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90" w:type="dxa"/>
            <w:vAlign w:val="center"/>
          </w:tcPr>
          <w:p w14:paraId="3A9E4D0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1.59</w:t>
            </w:r>
          </w:p>
        </w:tc>
        <w:tc>
          <w:tcPr>
            <w:tcW w:w="1493" w:type="dxa"/>
            <w:vAlign w:val="center"/>
          </w:tcPr>
          <w:p w14:paraId="65FE93B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1.59</w:t>
            </w:r>
          </w:p>
        </w:tc>
        <w:tc>
          <w:tcPr>
            <w:tcW w:w="1706" w:type="dxa"/>
            <w:vAlign w:val="center"/>
          </w:tcPr>
          <w:p w14:paraId="72766C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1.57</w:t>
            </w:r>
          </w:p>
        </w:tc>
        <w:tc>
          <w:tcPr>
            <w:tcW w:w="1706" w:type="dxa"/>
            <w:vAlign w:val="center"/>
          </w:tcPr>
          <w:p w14:paraId="443FE9A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1.58</w:t>
            </w:r>
          </w:p>
        </w:tc>
        <w:tc>
          <w:tcPr>
            <w:tcW w:w="1706" w:type="dxa"/>
            <w:vAlign w:val="center"/>
          </w:tcPr>
          <w:p w14:paraId="62F3409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1.58</w:t>
            </w:r>
          </w:p>
        </w:tc>
        <w:tc>
          <w:tcPr>
            <w:tcW w:w="1476" w:type="dxa"/>
            <w:vAlign w:val="center"/>
          </w:tcPr>
          <w:p w14:paraId="290114E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1.58</w:t>
            </w:r>
          </w:p>
        </w:tc>
      </w:tr>
      <w:tr w:rsidR="002133E3" w14:paraId="79A5D324" w14:textId="77777777">
        <w:tc>
          <w:tcPr>
            <w:tcW w:w="2935" w:type="dxa"/>
            <w:vAlign w:val="center"/>
          </w:tcPr>
          <w:p w14:paraId="4D222C9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实测</w:t>
            </w:r>
            <w:r>
              <w:rPr>
                <w:rFonts w:ascii="Times New Roman" w:eastAsia="宋体" w:hAnsi="Times New Roman" w:cs="Times New Roman"/>
                <w:szCs w:val="21"/>
              </w:rPr>
              <w:t>SO2</w:t>
            </w:r>
            <w:r>
              <w:rPr>
                <w:rFonts w:ascii="Times New Roman" w:eastAsia="宋体" w:hAnsi="Times New Roman" w:cs="Times New Roman"/>
                <w:szCs w:val="21"/>
              </w:rPr>
              <w:t>浓度</w:t>
            </w:r>
          </w:p>
        </w:tc>
        <w:tc>
          <w:tcPr>
            <w:tcW w:w="1706" w:type="dxa"/>
            <w:vAlign w:val="center"/>
          </w:tcPr>
          <w:p w14:paraId="3315A0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490" w:type="dxa"/>
            <w:vAlign w:val="center"/>
          </w:tcPr>
          <w:p w14:paraId="5FB594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1493" w:type="dxa"/>
            <w:vAlign w:val="center"/>
          </w:tcPr>
          <w:p w14:paraId="540C23D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w:t>
            </w:r>
          </w:p>
        </w:tc>
        <w:tc>
          <w:tcPr>
            <w:tcW w:w="1706" w:type="dxa"/>
            <w:vAlign w:val="center"/>
          </w:tcPr>
          <w:p w14:paraId="70C7CDD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44</w:t>
            </w:r>
          </w:p>
        </w:tc>
        <w:tc>
          <w:tcPr>
            <w:tcW w:w="1706" w:type="dxa"/>
            <w:vAlign w:val="center"/>
          </w:tcPr>
          <w:p w14:paraId="3C2F952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1706" w:type="dxa"/>
            <w:vAlign w:val="center"/>
          </w:tcPr>
          <w:p w14:paraId="087ADF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1476" w:type="dxa"/>
            <w:vAlign w:val="center"/>
          </w:tcPr>
          <w:p w14:paraId="6CEA756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r>
      <w:tr w:rsidR="002133E3" w14:paraId="1EC8A1B9" w14:textId="77777777">
        <w:tc>
          <w:tcPr>
            <w:tcW w:w="2935" w:type="dxa"/>
            <w:vAlign w:val="center"/>
          </w:tcPr>
          <w:p w14:paraId="69A2023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SO2</w:t>
            </w:r>
            <w:r>
              <w:rPr>
                <w:rFonts w:ascii="Times New Roman" w:eastAsia="宋体" w:hAnsi="Times New Roman" w:cs="Times New Roman"/>
                <w:szCs w:val="21"/>
              </w:rPr>
              <w:t>排放浓度</w:t>
            </w:r>
          </w:p>
        </w:tc>
        <w:tc>
          <w:tcPr>
            <w:tcW w:w="1706" w:type="dxa"/>
            <w:vAlign w:val="center"/>
          </w:tcPr>
          <w:p w14:paraId="073CC93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490" w:type="dxa"/>
            <w:vAlign w:val="center"/>
          </w:tcPr>
          <w:p w14:paraId="4200CB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57</w:t>
            </w:r>
          </w:p>
        </w:tc>
        <w:tc>
          <w:tcPr>
            <w:tcW w:w="1493" w:type="dxa"/>
            <w:vAlign w:val="center"/>
          </w:tcPr>
          <w:p w14:paraId="339C27B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58</w:t>
            </w:r>
          </w:p>
        </w:tc>
        <w:tc>
          <w:tcPr>
            <w:tcW w:w="1706" w:type="dxa"/>
            <w:vAlign w:val="center"/>
          </w:tcPr>
          <w:p w14:paraId="08ACE23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57</w:t>
            </w:r>
          </w:p>
        </w:tc>
        <w:tc>
          <w:tcPr>
            <w:tcW w:w="1706" w:type="dxa"/>
            <w:vAlign w:val="center"/>
          </w:tcPr>
          <w:p w14:paraId="6B70059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57</w:t>
            </w:r>
          </w:p>
        </w:tc>
        <w:tc>
          <w:tcPr>
            <w:tcW w:w="1706" w:type="dxa"/>
            <w:vAlign w:val="center"/>
          </w:tcPr>
          <w:p w14:paraId="4392697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57</w:t>
            </w:r>
          </w:p>
        </w:tc>
        <w:tc>
          <w:tcPr>
            <w:tcW w:w="1476" w:type="dxa"/>
            <w:vAlign w:val="center"/>
          </w:tcPr>
          <w:p w14:paraId="62E5A3C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57</w:t>
            </w:r>
          </w:p>
        </w:tc>
      </w:tr>
      <w:tr w:rsidR="002133E3" w14:paraId="732F4847" w14:textId="77777777">
        <w:tc>
          <w:tcPr>
            <w:tcW w:w="2935" w:type="dxa"/>
            <w:vAlign w:val="center"/>
          </w:tcPr>
          <w:p w14:paraId="11F0F1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SO2</w:t>
            </w:r>
            <w:r>
              <w:rPr>
                <w:rFonts w:ascii="Times New Roman" w:eastAsia="宋体" w:hAnsi="Times New Roman" w:cs="Times New Roman"/>
                <w:szCs w:val="21"/>
              </w:rPr>
              <w:t>排放速率</w:t>
            </w:r>
          </w:p>
        </w:tc>
        <w:tc>
          <w:tcPr>
            <w:tcW w:w="1706" w:type="dxa"/>
            <w:vAlign w:val="center"/>
          </w:tcPr>
          <w:p w14:paraId="637DE20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1490" w:type="dxa"/>
            <w:vAlign w:val="center"/>
          </w:tcPr>
          <w:p w14:paraId="6F54BA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1.92</w:t>
            </w:r>
          </w:p>
        </w:tc>
        <w:tc>
          <w:tcPr>
            <w:tcW w:w="1493" w:type="dxa"/>
            <w:vAlign w:val="center"/>
          </w:tcPr>
          <w:p w14:paraId="2079FA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1.95</w:t>
            </w:r>
          </w:p>
        </w:tc>
        <w:tc>
          <w:tcPr>
            <w:tcW w:w="1706" w:type="dxa"/>
            <w:vAlign w:val="center"/>
          </w:tcPr>
          <w:p w14:paraId="02850A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1.96</w:t>
            </w:r>
          </w:p>
        </w:tc>
        <w:tc>
          <w:tcPr>
            <w:tcW w:w="1706" w:type="dxa"/>
            <w:vAlign w:val="center"/>
          </w:tcPr>
          <w:p w14:paraId="44E94F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1.94</w:t>
            </w:r>
          </w:p>
        </w:tc>
        <w:tc>
          <w:tcPr>
            <w:tcW w:w="1706" w:type="dxa"/>
            <w:vAlign w:val="center"/>
          </w:tcPr>
          <w:p w14:paraId="459A6F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1.93</w:t>
            </w:r>
          </w:p>
        </w:tc>
        <w:tc>
          <w:tcPr>
            <w:tcW w:w="1476" w:type="dxa"/>
            <w:vAlign w:val="center"/>
          </w:tcPr>
          <w:p w14:paraId="50A55EB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1.93</w:t>
            </w:r>
          </w:p>
        </w:tc>
      </w:tr>
      <w:tr w:rsidR="002133E3" w14:paraId="14A86B68" w14:textId="77777777">
        <w:tc>
          <w:tcPr>
            <w:tcW w:w="2935" w:type="dxa"/>
            <w:vAlign w:val="center"/>
          </w:tcPr>
          <w:p w14:paraId="77F4B5A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实测烟尘排放浓度</w:t>
            </w:r>
          </w:p>
        </w:tc>
        <w:tc>
          <w:tcPr>
            <w:tcW w:w="1706" w:type="dxa"/>
            <w:vAlign w:val="center"/>
          </w:tcPr>
          <w:p w14:paraId="01EA2D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490" w:type="dxa"/>
            <w:vAlign w:val="center"/>
          </w:tcPr>
          <w:p w14:paraId="0FF097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w:t>
            </w:r>
          </w:p>
        </w:tc>
        <w:tc>
          <w:tcPr>
            <w:tcW w:w="1493" w:type="dxa"/>
            <w:vAlign w:val="center"/>
          </w:tcPr>
          <w:p w14:paraId="1BF55CE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w:t>
            </w:r>
          </w:p>
        </w:tc>
        <w:tc>
          <w:tcPr>
            <w:tcW w:w="1706" w:type="dxa"/>
            <w:vAlign w:val="center"/>
          </w:tcPr>
          <w:p w14:paraId="2EFA900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w:t>
            </w:r>
          </w:p>
        </w:tc>
        <w:tc>
          <w:tcPr>
            <w:tcW w:w="1706" w:type="dxa"/>
            <w:vAlign w:val="center"/>
          </w:tcPr>
          <w:p w14:paraId="5D73D1D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w:t>
            </w:r>
          </w:p>
        </w:tc>
        <w:tc>
          <w:tcPr>
            <w:tcW w:w="1706" w:type="dxa"/>
            <w:vAlign w:val="center"/>
          </w:tcPr>
          <w:p w14:paraId="3F458CD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w:t>
            </w:r>
          </w:p>
        </w:tc>
        <w:tc>
          <w:tcPr>
            <w:tcW w:w="1476" w:type="dxa"/>
            <w:vAlign w:val="center"/>
          </w:tcPr>
          <w:p w14:paraId="6A38808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w:t>
            </w:r>
          </w:p>
        </w:tc>
      </w:tr>
      <w:tr w:rsidR="002133E3" w14:paraId="2CB1FC21" w14:textId="77777777">
        <w:tc>
          <w:tcPr>
            <w:tcW w:w="2935" w:type="dxa"/>
            <w:vAlign w:val="center"/>
          </w:tcPr>
          <w:p w14:paraId="1C2D218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烟尘排放浓度</w:t>
            </w:r>
          </w:p>
        </w:tc>
        <w:tc>
          <w:tcPr>
            <w:tcW w:w="1706" w:type="dxa"/>
            <w:vAlign w:val="center"/>
          </w:tcPr>
          <w:p w14:paraId="0A6B894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490" w:type="dxa"/>
            <w:vAlign w:val="center"/>
          </w:tcPr>
          <w:p w14:paraId="5A7EA88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19</w:t>
            </w:r>
          </w:p>
        </w:tc>
        <w:tc>
          <w:tcPr>
            <w:tcW w:w="1493" w:type="dxa"/>
            <w:vAlign w:val="center"/>
          </w:tcPr>
          <w:p w14:paraId="481462A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w:t>
            </w:r>
          </w:p>
        </w:tc>
        <w:tc>
          <w:tcPr>
            <w:tcW w:w="1706" w:type="dxa"/>
            <w:vAlign w:val="center"/>
          </w:tcPr>
          <w:p w14:paraId="511903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w:t>
            </w:r>
          </w:p>
        </w:tc>
        <w:tc>
          <w:tcPr>
            <w:tcW w:w="1706" w:type="dxa"/>
            <w:vAlign w:val="center"/>
          </w:tcPr>
          <w:p w14:paraId="47A32C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18</w:t>
            </w:r>
          </w:p>
        </w:tc>
        <w:tc>
          <w:tcPr>
            <w:tcW w:w="1706" w:type="dxa"/>
            <w:vAlign w:val="center"/>
          </w:tcPr>
          <w:p w14:paraId="59F008C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w:t>
            </w:r>
          </w:p>
        </w:tc>
        <w:tc>
          <w:tcPr>
            <w:tcW w:w="1476" w:type="dxa"/>
            <w:vAlign w:val="center"/>
          </w:tcPr>
          <w:p w14:paraId="688E0DB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w:t>
            </w:r>
          </w:p>
        </w:tc>
      </w:tr>
      <w:tr w:rsidR="002133E3" w14:paraId="6B0AA736" w14:textId="77777777">
        <w:tc>
          <w:tcPr>
            <w:tcW w:w="2935" w:type="dxa"/>
            <w:vAlign w:val="center"/>
          </w:tcPr>
          <w:p w14:paraId="43224A1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烟尘排放速率</w:t>
            </w:r>
          </w:p>
        </w:tc>
        <w:tc>
          <w:tcPr>
            <w:tcW w:w="1706" w:type="dxa"/>
            <w:vAlign w:val="center"/>
          </w:tcPr>
          <w:p w14:paraId="158229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1490" w:type="dxa"/>
            <w:vAlign w:val="center"/>
          </w:tcPr>
          <w:p w14:paraId="3D79545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0.6</w:t>
            </w:r>
          </w:p>
        </w:tc>
        <w:tc>
          <w:tcPr>
            <w:tcW w:w="1493" w:type="dxa"/>
            <w:vAlign w:val="center"/>
          </w:tcPr>
          <w:p w14:paraId="72A53DA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0.6</w:t>
            </w:r>
          </w:p>
        </w:tc>
        <w:tc>
          <w:tcPr>
            <w:tcW w:w="1706" w:type="dxa"/>
            <w:vAlign w:val="center"/>
          </w:tcPr>
          <w:p w14:paraId="483A5A4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0.7</w:t>
            </w:r>
          </w:p>
        </w:tc>
        <w:tc>
          <w:tcPr>
            <w:tcW w:w="1706" w:type="dxa"/>
            <w:vAlign w:val="center"/>
          </w:tcPr>
          <w:p w14:paraId="01A5206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0.6</w:t>
            </w:r>
          </w:p>
        </w:tc>
        <w:tc>
          <w:tcPr>
            <w:tcW w:w="1706" w:type="dxa"/>
            <w:vAlign w:val="center"/>
          </w:tcPr>
          <w:p w14:paraId="36D87FA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0.7</w:t>
            </w:r>
          </w:p>
        </w:tc>
        <w:tc>
          <w:tcPr>
            <w:tcW w:w="1476" w:type="dxa"/>
            <w:vAlign w:val="center"/>
          </w:tcPr>
          <w:p w14:paraId="2AA730D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0.7</w:t>
            </w:r>
          </w:p>
        </w:tc>
      </w:tr>
      <w:tr w:rsidR="002133E3" w14:paraId="425A7457" w14:textId="77777777">
        <w:tc>
          <w:tcPr>
            <w:tcW w:w="2935" w:type="dxa"/>
            <w:vAlign w:val="center"/>
          </w:tcPr>
          <w:p w14:paraId="12BDB86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实测</w:t>
            </w:r>
            <w:r>
              <w:rPr>
                <w:rFonts w:ascii="Times New Roman" w:eastAsia="宋体" w:hAnsi="Times New Roman" w:cs="Times New Roman"/>
                <w:szCs w:val="21"/>
              </w:rPr>
              <w:t>NOx</w:t>
            </w:r>
            <w:r>
              <w:rPr>
                <w:rFonts w:ascii="Times New Roman" w:eastAsia="宋体" w:hAnsi="Times New Roman" w:cs="Times New Roman"/>
                <w:szCs w:val="21"/>
              </w:rPr>
              <w:t>浓度</w:t>
            </w:r>
          </w:p>
        </w:tc>
        <w:tc>
          <w:tcPr>
            <w:tcW w:w="1706" w:type="dxa"/>
            <w:vAlign w:val="center"/>
          </w:tcPr>
          <w:p w14:paraId="135835F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490" w:type="dxa"/>
            <w:vAlign w:val="center"/>
          </w:tcPr>
          <w:p w14:paraId="3A1A0EF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31</w:t>
            </w:r>
          </w:p>
        </w:tc>
        <w:tc>
          <w:tcPr>
            <w:tcW w:w="1493" w:type="dxa"/>
            <w:vAlign w:val="center"/>
          </w:tcPr>
          <w:p w14:paraId="14BC8D8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31</w:t>
            </w:r>
          </w:p>
        </w:tc>
        <w:tc>
          <w:tcPr>
            <w:tcW w:w="1706" w:type="dxa"/>
            <w:vAlign w:val="center"/>
          </w:tcPr>
          <w:p w14:paraId="208DE9D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30</w:t>
            </w:r>
          </w:p>
        </w:tc>
        <w:tc>
          <w:tcPr>
            <w:tcW w:w="1706" w:type="dxa"/>
            <w:vAlign w:val="center"/>
          </w:tcPr>
          <w:p w14:paraId="7F5135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33</w:t>
            </w:r>
          </w:p>
        </w:tc>
        <w:tc>
          <w:tcPr>
            <w:tcW w:w="1706" w:type="dxa"/>
            <w:vAlign w:val="center"/>
          </w:tcPr>
          <w:p w14:paraId="697B59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33</w:t>
            </w:r>
          </w:p>
        </w:tc>
        <w:tc>
          <w:tcPr>
            <w:tcW w:w="1476" w:type="dxa"/>
            <w:vAlign w:val="center"/>
          </w:tcPr>
          <w:p w14:paraId="3C1D127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34</w:t>
            </w:r>
          </w:p>
        </w:tc>
      </w:tr>
      <w:tr w:rsidR="002133E3" w14:paraId="38C5FECB" w14:textId="77777777">
        <w:tc>
          <w:tcPr>
            <w:tcW w:w="2935" w:type="dxa"/>
            <w:vAlign w:val="center"/>
          </w:tcPr>
          <w:p w14:paraId="232DF2E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lastRenderedPageBreak/>
              <w:t>NOx</w:t>
            </w:r>
            <w:r>
              <w:rPr>
                <w:rFonts w:ascii="Times New Roman" w:eastAsia="宋体" w:hAnsi="Times New Roman" w:cs="Times New Roman"/>
                <w:szCs w:val="21"/>
              </w:rPr>
              <w:t>排放浓度</w:t>
            </w:r>
          </w:p>
        </w:tc>
        <w:tc>
          <w:tcPr>
            <w:tcW w:w="1706" w:type="dxa"/>
            <w:vAlign w:val="center"/>
          </w:tcPr>
          <w:p w14:paraId="34CCD58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490" w:type="dxa"/>
            <w:vAlign w:val="center"/>
          </w:tcPr>
          <w:p w14:paraId="3128395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1493" w:type="dxa"/>
            <w:vAlign w:val="center"/>
          </w:tcPr>
          <w:p w14:paraId="6F2C994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1706" w:type="dxa"/>
            <w:vAlign w:val="center"/>
          </w:tcPr>
          <w:p w14:paraId="1D00BDA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39</w:t>
            </w:r>
          </w:p>
        </w:tc>
        <w:tc>
          <w:tcPr>
            <w:tcW w:w="1706" w:type="dxa"/>
            <w:vAlign w:val="center"/>
          </w:tcPr>
          <w:p w14:paraId="4078F54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1706" w:type="dxa"/>
            <w:vAlign w:val="center"/>
          </w:tcPr>
          <w:p w14:paraId="7B6597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43</w:t>
            </w:r>
          </w:p>
        </w:tc>
        <w:tc>
          <w:tcPr>
            <w:tcW w:w="1476" w:type="dxa"/>
            <w:vAlign w:val="center"/>
          </w:tcPr>
          <w:p w14:paraId="03824C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45</w:t>
            </w:r>
          </w:p>
        </w:tc>
      </w:tr>
      <w:tr w:rsidR="002133E3" w14:paraId="58680B5F" w14:textId="77777777">
        <w:tc>
          <w:tcPr>
            <w:tcW w:w="2935" w:type="dxa"/>
            <w:vAlign w:val="center"/>
          </w:tcPr>
          <w:p w14:paraId="1ECC845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NOx</w:t>
            </w:r>
            <w:r>
              <w:rPr>
                <w:rFonts w:ascii="Times New Roman" w:eastAsia="宋体" w:hAnsi="Times New Roman" w:cs="Times New Roman"/>
                <w:szCs w:val="21"/>
              </w:rPr>
              <w:t>排放速率</w:t>
            </w:r>
          </w:p>
        </w:tc>
        <w:tc>
          <w:tcPr>
            <w:tcW w:w="1706" w:type="dxa"/>
            <w:vAlign w:val="center"/>
          </w:tcPr>
          <w:p w14:paraId="26FCF7B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1490" w:type="dxa"/>
            <w:vAlign w:val="center"/>
          </w:tcPr>
          <w:p w14:paraId="51B7C44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w:t>
            </w:r>
          </w:p>
        </w:tc>
        <w:tc>
          <w:tcPr>
            <w:tcW w:w="1493" w:type="dxa"/>
            <w:vAlign w:val="center"/>
          </w:tcPr>
          <w:p w14:paraId="11F0C1D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1.4</w:t>
            </w:r>
          </w:p>
        </w:tc>
        <w:tc>
          <w:tcPr>
            <w:tcW w:w="1706" w:type="dxa"/>
            <w:vAlign w:val="center"/>
          </w:tcPr>
          <w:p w14:paraId="5C4A03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w:t>
            </w:r>
          </w:p>
        </w:tc>
        <w:tc>
          <w:tcPr>
            <w:tcW w:w="1706" w:type="dxa"/>
            <w:vAlign w:val="center"/>
          </w:tcPr>
          <w:p w14:paraId="1E6FFCF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w:t>
            </w:r>
          </w:p>
        </w:tc>
        <w:tc>
          <w:tcPr>
            <w:tcW w:w="1706" w:type="dxa"/>
            <w:vAlign w:val="center"/>
          </w:tcPr>
          <w:p w14:paraId="4947BAE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w:t>
            </w:r>
          </w:p>
        </w:tc>
        <w:tc>
          <w:tcPr>
            <w:tcW w:w="1476" w:type="dxa"/>
            <w:vAlign w:val="center"/>
          </w:tcPr>
          <w:p w14:paraId="5FDA652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1.5</w:t>
            </w:r>
          </w:p>
        </w:tc>
      </w:tr>
      <w:tr w:rsidR="002133E3" w14:paraId="24944F77" w14:textId="77777777">
        <w:tc>
          <w:tcPr>
            <w:tcW w:w="2935" w:type="dxa"/>
            <w:vAlign w:val="center"/>
          </w:tcPr>
          <w:p w14:paraId="2A8912C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烟道内径</w:t>
            </w:r>
          </w:p>
        </w:tc>
        <w:tc>
          <w:tcPr>
            <w:tcW w:w="1706" w:type="dxa"/>
            <w:vAlign w:val="center"/>
          </w:tcPr>
          <w:p w14:paraId="67A333C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w:t>
            </w:r>
          </w:p>
        </w:tc>
        <w:tc>
          <w:tcPr>
            <w:tcW w:w="9577" w:type="dxa"/>
            <w:gridSpan w:val="6"/>
            <w:vAlign w:val="center"/>
          </w:tcPr>
          <w:p w14:paraId="7B05B24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1.3</w:t>
            </w:r>
          </w:p>
        </w:tc>
      </w:tr>
    </w:tbl>
    <w:p w14:paraId="68B958C7"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3.2-15  </w:t>
      </w:r>
      <w:r>
        <w:rPr>
          <w:rFonts w:ascii="Times New Roman" w:eastAsia="宋体" w:hAnsi="Times New Roman" w:cs="Times New Roman"/>
          <w:b/>
          <w:bCs/>
          <w:szCs w:val="21"/>
        </w:rPr>
        <w:t>有机废气处理设施出口</w:t>
      </w:r>
      <w:r>
        <w:rPr>
          <w:rFonts w:ascii="Times New Roman" w:eastAsia="宋体" w:hAnsi="Times New Roman" w:cs="Times New Roman"/>
          <w:b/>
          <w:bCs/>
          <w:szCs w:val="21"/>
        </w:rPr>
        <w:t>Q1</w:t>
      </w:r>
      <w:r>
        <w:rPr>
          <w:rFonts w:ascii="Times New Roman" w:eastAsia="宋体" w:hAnsi="Times New Roman" w:cs="Times New Roman"/>
          <w:b/>
          <w:bCs/>
          <w:szCs w:val="21"/>
        </w:rPr>
        <w:t>监测结果与评价（第二阶段）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842"/>
        <w:gridCol w:w="2583"/>
        <w:gridCol w:w="2031"/>
        <w:gridCol w:w="2031"/>
        <w:gridCol w:w="2031"/>
        <w:gridCol w:w="2032"/>
      </w:tblGrid>
      <w:tr w:rsidR="002133E3" w14:paraId="0B302699" w14:textId="77777777">
        <w:tc>
          <w:tcPr>
            <w:tcW w:w="1668" w:type="dxa"/>
            <w:vMerge w:val="restart"/>
            <w:vAlign w:val="center"/>
          </w:tcPr>
          <w:p w14:paraId="298FAE4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监测日期</w:t>
            </w:r>
          </w:p>
        </w:tc>
        <w:tc>
          <w:tcPr>
            <w:tcW w:w="1842" w:type="dxa"/>
            <w:vMerge w:val="restart"/>
            <w:vAlign w:val="center"/>
          </w:tcPr>
          <w:p w14:paraId="081C8C9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监测频次</w:t>
            </w:r>
          </w:p>
        </w:tc>
        <w:tc>
          <w:tcPr>
            <w:tcW w:w="2583" w:type="dxa"/>
            <w:vAlign w:val="center"/>
          </w:tcPr>
          <w:p w14:paraId="4A495CC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标态气量</w:t>
            </w:r>
          </w:p>
        </w:tc>
        <w:tc>
          <w:tcPr>
            <w:tcW w:w="2031" w:type="dxa"/>
            <w:vAlign w:val="center"/>
          </w:tcPr>
          <w:p w14:paraId="7B7A4BA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乙醇排放浓度</w:t>
            </w:r>
          </w:p>
        </w:tc>
        <w:tc>
          <w:tcPr>
            <w:tcW w:w="2031" w:type="dxa"/>
            <w:vAlign w:val="center"/>
          </w:tcPr>
          <w:p w14:paraId="1DB48F4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乙醇排放速率</w:t>
            </w:r>
          </w:p>
        </w:tc>
        <w:tc>
          <w:tcPr>
            <w:tcW w:w="2031" w:type="dxa"/>
            <w:vAlign w:val="center"/>
          </w:tcPr>
          <w:p w14:paraId="32E9290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乙醛排放浓度</w:t>
            </w:r>
          </w:p>
        </w:tc>
        <w:tc>
          <w:tcPr>
            <w:tcW w:w="2032" w:type="dxa"/>
            <w:vAlign w:val="center"/>
          </w:tcPr>
          <w:p w14:paraId="35D6C42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乙醛排放速率</w:t>
            </w:r>
          </w:p>
        </w:tc>
      </w:tr>
      <w:tr w:rsidR="002133E3" w14:paraId="2BFD9026" w14:textId="77777777">
        <w:tc>
          <w:tcPr>
            <w:tcW w:w="1668" w:type="dxa"/>
            <w:vMerge/>
            <w:vAlign w:val="center"/>
          </w:tcPr>
          <w:p w14:paraId="51457CEB" w14:textId="77777777" w:rsidR="002133E3" w:rsidRDefault="002133E3">
            <w:pPr>
              <w:rPr>
                <w:rFonts w:ascii="Times New Roman" w:eastAsia="宋体" w:hAnsi="Times New Roman" w:cs="Times New Roman"/>
                <w:szCs w:val="21"/>
              </w:rPr>
            </w:pPr>
          </w:p>
        </w:tc>
        <w:tc>
          <w:tcPr>
            <w:tcW w:w="1842" w:type="dxa"/>
            <w:vMerge/>
            <w:vAlign w:val="center"/>
          </w:tcPr>
          <w:p w14:paraId="71D62C31" w14:textId="77777777" w:rsidR="002133E3" w:rsidRDefault="002133E3">
            <w:pPr>
              <w:rPr>
                <w:rFonts w:ascii="Times New Roman" w:eastAsia="宋体" w:hAnsi="Times New Roman" w:cs="Times New Roman"/>
                <w:szCs w:val="21"/>
              </w:rPr>
            </w:pPr>
          </w:p>
        </w:tc>
        <w:tc>
          <w:tcPr>
            <w:tcW w:w="2583" w:type="dxa"/>
            <w:vAlign w:val="center"/>
          </w:tcPr>
          <w:p w14:paraId="406A586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103m3/h</w:t>
            </w:r>
          </w:p>
        </w:tc>
        <w:tc>
          <w:tcPr>
            <w:tcW w:w="2031" w:type="dxa"/>
            <w:vAlign w:val="center"/>
          </w:tcPr>
          <w:p w14:paraId="4ACF14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2031" w:type="dxa"/>
            <w:vAlign w:val="center"/>
          </w:tcPr>
          <w:p w14:paraId="055465F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2031" w:type="dxa"/>
            <w:vAlign w:val="center"/>
          </w:tcPr>
          <w:p w14:paraId="11D7F7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2032" w:type="dxa"/>
            <w:vAlign w:val="center"/>
          </w:tcPr>
          <w:p w14:paraId="25398DB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r>
      <w:tr w:rsidR="002133E3" w14:paraId="3FB6BC53" w14:textId="77777777">
        <w:tc>
          <w:tcPr>
            <w:tcW w:w="1668" w:type="dxa"/>
            <w:vMerge w:val="restart"/>
            <w:vAlign w:val="center"/>
          </w:tcPr>
          <w:p w14:paraId="398FDB4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2014.12.04</w:t>
            </w:r>
          </w:p>
        </w:tc>
        <w:tc>
          <w:tcPr>
            <w:tcW w:w="1842" w:type="dxa"/>
            <w:vAlign w:val="center"/>
          </w:tcPr>
          <w:p w14:paraId="5EDBBB4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2583" w:type="dxa"/>
            <w:vAlign w:val="center"/>
          </w:tcPr>
          <w:p w14:paraId="2EABC0F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6.17</w:t>
            </w:r>
          </w:p>
        </w:tc>
        <w:tc>
          <w:tcPr>
            <w:tcW w:w="2031" w:type="dxa"/>
            <w:vAlign w:val="center"/>
          </w:tcPr>
          <w:p w14:paraId="0E16DCD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1" w:type="dxa"/>
            <w:vAlign w:val="center"/>
          </w:tcPr>
          <w:p w14:paraId="1E21CE9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2031" w:type="dxa"/>
            <w:vAlign w:val="center"/>
          </w:tcPr>
          <w:p w14:paraId="11FE2A3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2" w:type="dxa"/>
            <w:vAlign w:val="center"/>
          </w:tcPr>
          <w:p w14:paraId="5EA6CA9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755FF7B4" w14:textId="77777777">
        <w:tc>
          <w:tcPr>
            <w:tcW w:w="1668" w:type="dxa"/>
            <w:vMerge/>
            <w:vAlign w:val="center"/>
          </w:tcPr>
          <w:p w14:paraId="6063A234" w14:textId="77777777" w:rsidR="002133E3" w:rsidRDefault="002133E3">
            <w:pPr>
              <w:rPr>
                <w:rFonts w:ascii="Times New Roman" w:eastAsia="宋体" w:hAnsi="Times New Roman" w:cs="Times New Roman"/>
                <w:szCs w:val="21"/>
              </w:rPr>
            </w:pPr>
          </w:p>
        </w:tc>
        <w:tc>
          <w:tcPr>
            <w:tcW w:w="1842" w:type="dxa"/>
            <w:vAlign w:val="center"/>
          </w:tcPr>
          <w:p w14:paraId="69528DD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2583" w:type="dxa"/>
            <w:vAlign w:val="center"/>
          </w:tcPr>
          <w:p w14:paraId="1F19437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6.22</w:t>
            </w:r>
          </w:p>
        </w:tc>
        <w:tc>
          <w:tcPr>
            <w:tcW w:w="2031" w:type="dxa"/>
            <w:vAlign w:val="center"/>
          </w:tcPr>
          <w:p w14:paraId="273EAA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1" w:type="dxa"/>
            <w:vAlign w:val="center"/>
          </w:tcPr>
          <w:p w14:paraId="2A2416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2031" w:type="dxa"/>
            <w:vAlign w:val="center"/>
          </w:tcPr>
          <w:p w14:paraId="4574F2E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2" w:type="dxa"/>
            <w:vAlign w:val="center"/>
          </w:tcPr>
          <w:p w14:paraId="3297673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73275252" w14:textId="77777777">
        <w:tc>
          <w:tcPr>
            <w:tcW w:w="1668" w:type="dxa"/>
            <w:vMerge/>
            <w:vAlign w:val="center"/>
          </w:tcPr>
          <w:p w14:paraId="7DAEBA36" w14:textId="77777777" w:rsidR="002133E3" w:rsidRDefault="002133E3">
            <w:pPr>
              <w:rPr>
                <w:rFonts w:ascii="Times New Roman" w:eastAsia="宋体" w:hAnsi="Times New Roman" w:cs="Times New Roman"/>
                <w:szCs w:val="21"/>
              </w:rPr>
            </w:pPr>
          </w:p>
        </w:tc>
        <w:tc>
          <w:tcPr>
            <w:tcW w:w="1842" w:type="dxa"/>
            <w:vAlign w:val="center"/>
          </w:tcPr>
          <w:p w14:paraId="332A93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2583" w:type="dxa"/>
            <w:vAlign w:val="center"/>
          </w:tcPr>
          <w:p w14:paraId="036355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6.08</w:t>
            </w:r>
          </w:p>
        </w:tc>
        <w:tc>
          <w:tcPr>
            <w:tcW w:w="2031" w:type="dxa"/>
            <w:vAlign w:val="center"/>
          </w:tcPr>
          <w:p w14:paraId="14E0B5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1" w:type="dxa"/>
            <w:vAlign w:val="center"/>
          </w:tcPr>
          <w:p w14:paraId="0B9D09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2031" w:type="dxa"/>
            <w:vAlign w:val="center"/>
          </w:tcPr>
          <w:p w14:paraId="228C5EA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2" w:type="dxa"/>
            <w:vAlign w:val="center"/>
          </w:tcPr>
          <w:p w14:paraId="7E17D3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7F98DAC6" w14:textId="77777777">
        <w:tc>
          <w:tcPr>
            <w:tcW w:w="1668" w:type="dxa"/>
            <w:vMerge w:val="restart"/>
            <w:vAlign w:val="center"/>
          </w:tcPr>
          <w:p w14:paraId="468E05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2014.12.05</w:t>
            </w:r>
          </w:p>
        </w:tc>
        <w:tc>
          <w:tcPr>
            <w:tcW w:w="1842" w:type="dxa"/>
            <w:vAlign w:val="center"/>
          </w:tcPr>
          <w:p w14:paraId="5162E2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2583" w:type="dxa"/>
            <w:vAlign w:val="center"/>
          </w:tcPr>
          <w:p w14:paraId="59A6EB0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6.00</w:t>
            </w:r>
          </w:p>
        </w:tc>
        <w:tc>
          <w:tcPr>
            <w:tcW w:w="2031" w:type="dxa"/>
            <w:vAlign w:val="center"/>
          </w:tcPr>
          <w:p w14:paraId="7393D0E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1" w:type="dxa"/>
            <w:vAlign w:val="center"/>
          </w:tcPr>
          <w:p w14:paraId="08C1E17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2031" w:type="dxa"/>
            <w:vAlign w:val="center"/>
          </w:tcPr>
          <w:p w14:paraId="10F3913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2" w:type="dxa"/>
            <w:vAlign w:val="center"/>
          </w:tcPr>
          <w:p w14:paraId="6B1780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25D30CA4" w14:textId="77777777">
        <w:tc>
          <w:tcPr>
            <w:tcW w:w="1668" w:type="dxa"/>
            <w:vMerge/>
            <w:vAlign w:val="center"/>
          </w:tcPr>
          <w:p w14:paraId="260DCC9A" w14:textId="77777777" w:rsidR="002133E3" w:rsidRDefault="002133E3">
            <w:pPr>
              <w:rPr>
                <w:rFonts w:ascii="Times New Roman" w:eastAsia="宋体" w:hAnsi="Times New Roman" w:cs="Times New Roman"/>
                <w:szCs w:val="21"/>
              </w:rPr>
            </w:pPr>
          </w:p>
        </w:tc>
        <w:tc>
          <w:tcPr>
            <w:tcW w:w="1842" w:type="dxa"/>
            <w:vAlign w:val="center"/>
          </w:tcPr>
          <w:p w14:paraId="7A6EEE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2583" w:type="dxa"/>
            <w:vAlign w:val="center"/>
          </w:tcPr>
          <w:p w14:paraId="0CBB250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6.10</w:t>
            </w:r>
          </w:p>
        </w:tc>
        <w:tc>
          <w:tcPr>
            <w:tcW w:w="2031" w:type="dxa"/>
            <w:vAlign w:val="center"/>
          </w:tcPr>
          <w:p w14:paraId="02883CB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1" w:type="dxa"/>
            <w:vAlign w:val="center"/>
          </w:tcPr>
          <w:p w14:paraId="3F8DCA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2031" w:type="dxa"/>
            <w:vAlign w:val="center"/>
          </w:tcPr>
          <w:p w14:paraId="3D9741B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2" w:type="dxa"/>
            <w:vAlign w:val="center"/>
          </w:tcPr>
          <w:p w14:paraId="6EC20F5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4722A4AD" w14:textId="77777777">
        <w:tc>
          <w:tcPr>
            <w:tcW w:w="1668" w:type="dxa"/>
            <w:vMerge/>
            <w:vAlign w:val="center"/>
          </w:tcPr>
          <w:p w14:paraId="2C98C4A0" w14:textId="77777777" w:rsidR="002133E3" w:rsidRDefault="002133E3">
            <w:pPr>
              <w:rPr>
                <w:rFonts w:ascii="Times New Roman" w:eastAsia="宋体" w:hAnsi="Times New Roman" w:cs="Times New Roman"/>
                <w:szCs w:val="21"/>
              </w:rPr>
            </w:pPr>
          </w:p>
        </w:tc>
        <w:tc>
          <w:tcPr>
            <w:tcW w:w="1842" w:type="dxa"/>
            <w:vAlign w:val="center"/>
          </w:tcPr>
          <w:p w14:paraId="7BBBE7D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2583" w:type="dxa"/>
            <w:vAlign w:val="center"/>
          </w:tcPr>
          <w:p w14:paraId="72B937E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6.19</w:t>
            </w:r>
          </w:p>
        </w:tc>
        <w:tc>
          <w:tcPr>
            <w:tcW w:w="2031" w:type="dxa"/>
            <w:vAlign w:val="center"/>
          </w:tcPr>
          <w:p w14:paraId="46A1B5C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1" w:type="dxa"/>
            <w:vAlign w:val="center"/>
          </w:tcPr>
          <w:p w14:paraId="44C7D46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2031" w:type="dxa"/>
            <w:vAlign w:val="center"/>
          </w:tcPr>
          <w:p w14:paraId="412B90D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2032" w:type="dxa"/>
            <w:vAlign w:val="center"/>
          </w:tcPr>
          <w:p w14:paraId="3F5F53E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4D637564" w14:textId="77777777">
        <w:tc>
          <w:tcPr>
            <w:tcW w:w="6093" w:type="dxa"/>
            <w:gridSpan w:val="3"/>
            <w:vAlign w:val="center"/>
          </w:tcPr>
          <w:p w14:paraId="17145FE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执行标准</w:t>
            </w:r>
          </w:p>
        </w:tc>
        <w:tc>
          <w:tcPr>
            <w:tcW w:w="2031" w:type="dxa"/>
            <w:vAlign w:val="center"/>
          </w:tcPr>
          <w:p w14:paraId="03B11A8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318</w:t>
            </w:r>
          </w:p>
        </w:tc>
        <w:tc>
          <w:tcPr>
            <w:tcW w:w="2031" w:type="dxa"/>
            <w:vAlign w:val="center"/>
          </w:tcPr>
          <w:p w14:paraId="3C54A56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160</w:t>
            </w:r>
          </w:p>
        </w:tc>
        <w:tc>
          <w:tcPr>
            <w:tcW w:w="2031" w:type="dxa"/>
            <w:vAlign w:val="center"/>
          </w:tcPr>
          <w:p w14:paraId="165A6F3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125</w:t>
            </w:r>
          </w:p>
        </w:tc>
        <w:tc>
          <w:tcPr>
            <w:tcW w:w="2032" w:type="dxa"/>
            <w:vAlign w:val="center"/>
          </w:tcPr>
          <w:p w14:paraId="266A0C3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0.29</w:t>
            </w:r>
          </w:p>
        </w:tc>
      </w:tr>
      <w:tr w:rsidR="002133E3" w14:paraId="2C0A5B7B" w14:textId="77777777">
        <w:tc>
          <w:tcPr>
            <w:tcW w:w="6093" w:type="dxa"/>
            <w:gridSpan w:val="3"/>
            <w:vAlign w:val="center"/>
          </w:tcPr>
          <w:p w14:paraId="7B9B6E3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达标情况</w:t>
            </w:r>
          </w:p>
        </w:tc>
        <w:tc>
          <w:tcPr>
            <w:tcW w:w="2031" w:type="dxa"/>
            <w:vAlign w:val="center"/>
          </w:tcPr>
          <w:p w14:paraId="14E136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c>
          <w:tcPr>
            <w:tcW w:w="2031" w:type="dxa"/>
            <w:vAlign w:val="center"/>
          </w:tcPr>
          <w:p w14:paraId="1EF3231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c>
          <w:tcPr>
            <w:tcW w:w="2031" w:type="dxa"/>
            <w:vAlign w:val="center"/>
          </w:tcPr>
          <w:p w14:paraId="7096C5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c>
          <w:tcPr>
            <w:tcW w:w="2032" w:type="dxa"/>
            <w:vAlign w:val="center"/>
          </w:tcPr>
          <w:p w14:paraId="6328B73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r>
    </w:tbl>
    <w:p w14:paraId="246439A1"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3.2-16  </w:t>
      </w:r>
      <w:r>
        <w:rPr>
          <w:rFonts w:ascii="Times New Roman" w:eastAsia="宋体" w:hAnsi="Times New Roman" w:cs="Times New Roman"/>
          <w:b/>
          <w:bCs/>
          <w:szCs w:val="21"/>
        </w:rPr>
        <w:t>厂界无组织监测结果统计（第二阶段）</w:t>
      </w:r>
      <w:r>
        <w:rPr>
          <w:rFonts w:ascii="Times New Roman" w:eastAsia="宋体" w:hAnsi="Times New Roman" w:cs="Times New Roman"/>
          <w:b/>
          <w:bCs/>
          <w:szCs w:val="21"/>
        </w:rPr>
        <w:t xml:space="preserve">   </w:t>
      </w:r>
      <w:r>
        <w:rPr>
          <w:rFonts w:ascii="Times New Roman" w:eastAsia="宋体" w:hAnsi="Times New Roman" w:cs="Times New Roman"/>
          <w:b/>
          <w:bCs/>
          <w:szCs w:val="21"/>
        </w:rPr>
        <w:t>单位：</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，臭气浓度无量纲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1"/>
        <w:gridCol w:w="1421"/>
        <w:gridCol w:w="1424"/>
        <w:gridCol w:w="1425"/>
        <w:gridCol w:w="1425"/>
        <w:gridCol w:w="1425"/>
        <w:gridCol w:w="1425"/>
        <w:gridCol w:w="1425"/>
        <w:gridCol w:w="1419"/>
        <w:gridCol w:w="1408"/>
      </w:tblGrid>
      <w:tr w:rsidR="002133E3" w14:paraId="70D88E20" w14:textId="77777777">
        <w:tc>
          <w:tcPr>
            <w:tcW w:w="1421" w:type="dxa"/>
            <w:vAlign w:val="center"/>
          </w:tcPr>
          <w:p w14:paraId="340394F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监测点位</w:t>
            </w:r>
          </w:p>
        </w:tc>
        <w:tc>
          <w:tcPr>
            <w:tcW w:w="1421" w:type="dxa"/>
            <w:vAlign w:val="center"/>
          </w:tcPr>
          <w:p w14:paraId="087628B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监测日期</w:t>
            </w:r>
          </w:p>
        </w:tc>
        <w:tc>
          <w:tcPr>
            <w:tcW w:w="1424" w:type="dxa"/>
            <w:vAlign w:val="center"/>
          </w:tcPr>
          <w:p w14:paraId="3804A0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监测频次</w:t>
            </w:r>
          </w:p>
        </w:tc>
        <w:tc>
          <w:tcPr>
            <w:tcW w:w="1425" w:type="dxa"/>
            <w:vAlign w:val="center"/>
          </w:tcPr>
          <w:p w14:paraId="248700D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臭气浓度</w:t>
            </w:r>
          </w:p>
        </w:tc>
        <w:tc>
          <w:tcPr>
            <w:tcW w:w="1425" w:type="dxa"/>
            <w:vAlign w:val="center"/>
          </w:tcPr>
          <w:p w14:paraId="6A391C6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颗粒物</w:t>
            </w:r>
          </w:p>
        </w:tc>
        <w:tc>
          <w:tcPr>
            <w:tcW w:w="1425" w:type="dxa"/>
            <w:vAlign w:val="center"/>
          </w:tcPr>
          <w:p w14:paraId="2C02F6B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醋酸</w:t>
            </w:r>
          </w:p>
        </w:tc>
        <w:tc>
          <w:tcPr>
            <w:tcW w:w="1425" w:type="dxa"/>
            <w:vAlign w:val="center"/>
          </w:tcPr>
          <w:p w14:paraId="08BF311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醋酸乙酯</w:t>
            </w:r>
          </w:p>
        </w:tc>
        <w:tc>
          <w:tcPr>
            <w:tcW w:w="1425" w:type="dxa"/>
            <w:vAlign w:val="center"/>
          </w:tcPr>
          <w:p w14:paraId="29CAB6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乙醛</w:t>
            </w:r>
          </w:p>
        </w:tc>
        <w:tc>
          <w:tcPr>
            <w:tcW w:w="1419" w:type="dxa"/>
            <w:vAlign w:val="center"/>
          </w:tcPr>
          <w:p w14:paraId="60C2EF6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乙醇</w:t>
            </w:r>
          </w:p>
        </w:tc>
        <w:tc>
          <w:tcPr>
            <w:tcW w:w="1408" w:type="dxa"/>
            <w:vAlign w:val="center"/>
          </w:tcPr>
          <w:p w14:paraId="3167A95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硫化氢</w:t>
            </w:r>
          </w:p>
        </w:tc>
      </w:tr>
      <w:tr w:rsidR="002133E3" w14:paraId="3F57A0BB" w14:textId="77777777">
        <w:tc>
          <w:tcPr>
            <w:tcW w:w="1421" w:type="dxa"/>
            <w:vMerge w:val="restart"/>
            <w:vAlign w:val="center"/>
          </w:tcPr>
          <w:p w14:paraId="3ED156D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上风向</w:t>
            </w:r>
          </w:p>
          <w:p w14:paraId="7FFC46B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Q2</w:t>
            </w:r>
          </w:p>
        </w:tc>
        <w:tc>
          <w:tcPr>
            <w:tcW w:w="1421" w:type="dxa"/>
            <w:vMerge w:val="restart"/>
            <w:vAlign w:val="center"/>
          </w:tcPr>
          <w:p w14:paraId="0C3112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2014.12.04</w:t>
            </w:r>
          </w:p>
        </w:tc>
        <w:tc>
          <w:tcPr>
            <w:tcW w:w="1424" w:type="dxa"/>
            <w:vAlign w:val="center"/>
          </w:tcPr>
          <w:p w14:paraId="519BB71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vAlign w:val="center"/>
          </w:tcPr>
          <w:p w14:paraId="5DCB8D4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64F79EC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0.18</w:t>
            </w:r>
          </w:p>
        </w:tc>
        <w:tc>
          <w:tcPr>
            <w:tcW w:w="1425" w:type="dxa"/>
            <w:vAlign w:val="center"/>
          </w:tcPr>
          <w:p w14:paraId="0A941FA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6F8F02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5C6CBC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52800F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15E9A47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0.003</w:t>
            </w:r>
          </w:p>
        </w:tc>
      </w:tr>
      <w:tr w:rsidR="002133E3" w14:paraId="30BF4C9A" w14:textId="77777777">
        <w:tc>
          <w:tcPr>
            <w:tcW w:w="1421" w:type="dxa"/>
            <w:vMerge/>
            <w:vAlign w:val="center"/>
          </w:tcPr>
          <w:p w14:paraId="1FBDF98E" w14:textId="77777777" w:rsidR="002133E3" w:rsidRDefault="002133E3">
            <w:pPr>
              <w:rPr>
                <w:rFonts w:ascii="Times New Roman" w:eastAsia="宋体" w:hAnsi="Times New Roman" w:cs="Times New Roman"/>
                <w:szCs w:val="21"/>
              </w:rPr>
            </w:pPr>
          </w:p>
        </w:tc>
        <w:tc>
          <w:tcPr>
            <w:tcW w:w="1421" w:type="dxa"/>
            <w:vMerge/>
            <w:vAlign w:val="center"/>
          </w:tcPr>
          <w:p w14:paraId="561B8B56" w14:textId="77777777" w:rsidR="002133E3" w:rsidRDefault="002133E3">
            <w:pPr>
              <w:rPr>
                <w:rFonts w:ascii="Times New Roman" w:eastAsia="宋体" w:hAnsi="Times New Roman" w:cs="Times New Roman"/>
                <w:szCs w:val="21"/>
              </w:rPr>
            </w:pPr>
          </w:p>
        </w:tc>
        <w:tc>
          <w:tcPr>
            <w:tcW w:w="1424" w:type="dxa"/>
            <w:vAlign w:val="center"/>
          </w:tcPr>
          <w:p w14:paraId="79BD386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6B29E9A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41F4F5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0.15</w:t>
            </w:r>
          </w:p>
        </w:tc>
        <w:tc>
          <w:tcPr>
            <w:tcW w:w="1425" w:type="dxa"/>
            <w:vAlign w:val="center"/>
          </w:tcPr>
          <w:p w14:paraId="6D86560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559EDF8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AF1EC2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3DFC56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148797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0.001</w:t>
            </w:r>
          </w:p>
        </w:tc>
      </w:tr>
      <w:tr w:rsidR="002133E3" w14:paraId="00D81710" w14:textId="77777777">
        <w:tc>
          <w:tcPr>
            <w:tcW w:w="1421" w:type="dxa"/>
            <w:vMerge/>
            <w:vAlign w:val="center"/>
          </w:tcPr>
          <w:p w14:paraId="35EA6CB7" w14:textId="77777777" w:rsidR="002133E3" w:rsidRDefault="002133E3">
            <w:pPr>
              <w:rPr>
                <w:rFonts w:ascii="Times New Roman" w:eastAsia="宋体" w:hAnsi="Times New Roman" w:cs="Times New Roman"/>
                <w:szCs w:val="21"/>
              </w:rPr>
            </w:pPr>
          </w:p>
        </w:tc>
        <w:tc>
          <w:tcPr>
            <w:tcW w:w="1421" w:type="dxa"/>
            <w:vMerge/>
            <w:vAlign w:val="center"/>
          </w:tcPr>
          <w:p w14:paraId="7D5967DE" w14:textId="77777777" w:rsidR="002133E3" w:rsidRDefault="002133E3">
            <w:pPr>
              <w:rPr>
                <w:rFonts w:ascii="Times New Roman" w:eastAsia="宋体" w:hAnsi="Times New Roman" w:cs="Times New Roman"/>
                <w:szCs w:val="21"/>
              </w:rPr>
            </w:pPr>
          </w:p>
        </w:tc>
        <w:tc>
          <w:tcPr>
            <w:tcW w:w="1424" w:type="dxa"/>
            <w:vAlign w:val="center"/>
          </w:tcPr>
          <w:p w14:paraId="69F2A3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1C6865E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6C1B1F7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0.15</w:t>
            </w:r>
          </w:p>
        </w:tc>
        <w:tc>
          <w:tcPr>
            <w:tcW w:w="1425" w:type="dxa"/>
            <w:vAlign w:val="center"/>
          </w:tcPr>
          <w:p w14:paraId="6794224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38F3E1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F1422F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428E67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6C151BC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0.002</w:t>
            </w:r>
          </w:p>
        </w:tc>
      </w:tr>
      <w:tr w:rsidR="002133E3" w14:paraId="5BB1875D" w14:textId="77777777">
        <w:tc>
          <w:tcPr>
            <w:tcW w:w="1421" w:type="dxa"/>
            <w:vMerge/>
            <w:vAlign w:val="center"/>
          </w:tcPr>
          <w:p w14:paraId="7CF96BE5" w14:textId="77777777" w:rsidR="002133E3" w:rsidRDefault="002133E3">
            <w:pPr>
              <w:rPr>
                <w:rFonts w:ascii="Times New Roman" w:eastAsia="宋体" w:hAnsi="Times New Roman" w:cs="Times New Roman"/>
                <w:szCs w:val="21"/>
              </w:rPr>
            </w:pPr>
          </w:p>
        </w:tc>
        <w:tc>
          <w:tcPr>
            <w:tcW w:w="1421" w:type="dxa"/>
            <w:vMerge w:val="restart"/>
            <w:vAlign w:val="center"/>
          </w:tcPr>
          <w:p w14:paraId="07AD1B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2014.12.05</w:t>
            </w:r>
          </w:p>
        </w:tc>
        <w:tc>
          <w:tcPr>
            <w:tcW w:w="1424" w:type="dxa"/>
            <w:vAlign w:val="center"/>
          </w:tcPr>
          <w:p w14:paraId="16F334C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tcPr>
          <w:p w14:paraId="0B3BE66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14037EF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0.18</w:t>
            </w:r>
          </w:p>
        </w:tc>
        <w:tc>
          <w:tcPr>
            <w:tcW w:w="1425" w:type="dxa"/>
            <w:vAlign w:val="center"/>
          </w:tcPr>
          <w:p w14:paraId="6529EF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4CB010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AF225A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469C656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78EA9DB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0.003</w:t>
            </w:r>
          </w:p>
        </w:tc>
      </w:tr>
      <w:tr w:rsidR="002133E3" w14:paraId="6E0B756E" w14:textId="77777777">
        <w:tc>
          <w:tcPr>
            <w:tcW w:w="1421" w:type="dxa"/>
            <w:vMerge/>
            <w:vAlign w:val="center"/>
          </w:tcPr>
          <w:p w14:paraId="44A2EDCD" w14:textId="77777777" w:rsidR="002133E3" w:rsidRDefault="002133E3">
            <w:pPr>
              <w:rPr>
                <w:rFonts w:ascii="Times New Roman" w:eastAsia="宋体" w:hAnsi="Times New Roman" w:cs="Times New Roman"/>
                <w:szCs w:val="21"/>
              </w:rPr>
            </w:pPr>
          </w:p>
        </w:tc>
        <w:tc>
          <w:tcPr>
            <w:tcW w:w="1421" w:type="dxa"/>
            <w:vMerge/>
            <w:vAlign w:val="center"/>
          </w:tcPr>
          <w:p w14:paraId="3989A458" w14:textId="77777777" w:rsidR="002133E3" w:rsidRDefault="002133E3">
            <w:pPr>
              <w:rPr>
                <w:rFonts w:ascii="Times New Roman" w:eastAsia="宋体" w:hAnsi="Times New Roman" w:cs="Times New Roman"/>
                <w:szCs w:val="21"/>
              </w:rPr>
            </w:pPr>
          </w:p>
        </w:tc>
        <w:tc>
          <w:tcPr>
            <w:tcW w:w="1424" w:type="dxa"/>
            <w:vAlign w:val="center"/>
          </w:tcPr>
          <w:p w14:paraId="707299C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7781A6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43EAF14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0.18</w:t>
            </w:r>
          </w:p>
        </w:tc>
        <w:tc>
          <w:tcPr>
            <w:tcW w:w="1425" w:type="dxa"/>
            <w:vAlign w:val="center"/>
          </w:tcPr>
          <w:p w14:paraId="27381DC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2EDADFA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DC25E9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44B369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31DC5DE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0.003</w:t>
            </w:r>
          </w:p>
        </w:tc>
      </w:tr>
      <w:tr w:rsidR="002133E3" w14:paraId="040F4FE9" w14:textId="77777777">
        <w:tc>
          <w:tcPr>
            <w:tcW w:w="1421" w:type="dxa"/>
            <w:vMerge/>
            <w:vAlign w:val="center"/>
          </w:tcPr>
          <w:p w14:paraId="48A4E93B" w14:textId="77777777" w:rsidR="002133E3" w:rsidRDefault="002133E3">
            <w:pPr>
              <w:rPr>
                <w:rFonts w:ascii="Times New Roman" w:eastAsia="宋体" w:hAnsi="Times New Roman" w:cs="Times New Roman"/>
                <w:szCs w:val="21"/>
              </w:rPr>
            </w:pPr>
          </w:p>
        </w:tc>
        <w:tc>
          <w:tcPr>
            <w:tcW w:w="1421" w:type="dxa"/>
            <w:vMerge/>
            <w:vAlign w:val="center"/>
          </w:tcPr>
          <w:p w14:paraId="79946867" w14:textId="77777777" w:rsidR="002133E3" w:rsidRDefault="002133E3">
            <w:pPr>
              <w:rPr>
                <w:rFonts w:ascii="Times New Roman" w:eastAsia="宋体" w:hAnsi="Times New Roman" w:cs="Times New Roman"/>
                <w:szCs w:val="21"/>
              </w:rPr>
            </w:pPr>
          </w:p>
        </w:tc>
        <w:tc>
          <w:tcPr>
            <w:tcW w:w="1424" w:type="dxa"/>
            <w:vAlign w:val="center"/>
          </w:tcPr>
          <w:p w14:paraId="4D762DC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49C8116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1B4F6C0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0.17</w:t>
            </w:r>
          </w:p>
        </w:tc>
        <w:tc>
          <w:tcPr>
            <w:tcW w:w="1425" w:type="dxa"/>
            <w:vAlign w:val="center"/>
          </w:tcPr>
          <w:p w14:paraId="50F07F2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354A7B2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0563FA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678C528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0D4751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0.004</w:t>
            </w:r>
          </w:p>
        </w:tc>
      </w:tr>
      <w:tr w:rsidR="002133E3" w14:paraId="336CC6B9" w14:textId="77777777">
        <w:tc>
          <w:tcPr>
            <w:tcW w:w="1421" w:type="dxa"/>
            <w:vMerge w:val="restart"/>
            <w:vAlign w:val="center"/>
          </w:tcPr>
          <w:p w14:paraId="5A79430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下风向</w:t>
            </w:r>
          </w:p>
          <w:p w14:paraId="790D7C3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Q3</w:t>
            </w:r>
          </w:p>
        </w:tc>
        <w:tc>
          <w:tcPr>
            <w:tcW w:w="1421" w:type="dxa"/>
            <w:vMerge w:val="restart"/>
            <w:vAlign w:val="center"/>
          </w:tcPr>
          <w:p w14:paraId="15645DC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2014.12.04</w:t>
            </w:r>
          </w:p>
        </w:tc>
        <w:tc>
          <w:tcPr>
            <w:tcW w:w="1424" w:type="dxa"/>
            <w:vAlign w:val="center"/>
          </w:tcPr>
          <w:p w14:paraId="466E232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tcPr>
          <w:p w14:paraId="0A47B88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7C7E1A2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0.32</w:t>
            </w:r>
          </w:p>
        </w:tc>
        <w:tc>
          <w:tcPr>
            <w:tcW w:w="1425" w:type="dxa"/>
            <w:vAlign w:val="center"/>
          </w:tcPr>
          <w:p w14:paraId="0CBF577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238A3F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09C331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2051C36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7BC0ED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0.001</w:t>
            </w:r>
          </w:p>
        </w:tc>
      </w:tr>
      <w:tr w:rsidR="002133E3" w14:paraId="7526C249" w14:textId="77777777">
        <w:tc>
          <w:tcPr>
            <w:tcW w:w="1421" w:type="dxa"/>
            <w:vMerge/>
            <w:vAlign w:val="center"/>
          </w:tcPr>
          <w:p w14:paraId="6F106C10" w14:textId="77777777" w:rsidR="002133E3" w:rsidRDefault="002133E3">
            <w:pPr>
              <w:rPr>
                <w:rFonts w:ascii="Times New Roman" w:eastAsia="宋体" w:hAnsi="Times New Roman" w:cs="Times New Roman"/>
                <w:szCs w:val="21"/>
              </w:rPr>
            </w:pPr>
          </w:p>
        </w:tc>
        <w:tc>
          <w:tcPr>
            <w:tcW w:w="1421" w:type="dxa"/>
            <w:vMerge/>
            <w:vAlign w:val="center"/>
          </w:tcPr>
          <w:p w14:paraId="640E9F3E" w14:textId="77777777" w:rsidR="002133E3" w:rsidRDefault="002133E3">
            <w:pPr>
              <w:rPr>
                <w:rFonts w:ascii="Times New Roman" w:eastAsia="宋体" w:hAnsi="Times New Roman" w:cs="Times New Roman"/>
                <w:szCs w:val="21"/>
              </w:rPr>
            </w:pPr>
          </w:p>
        </w:tc>
        <w:tc>
          <w:tcPr>
            <w:tcW w:w="1424" w:type="dxa"/>
            <w:vAlign w:val="center"/>
          </w:tcPr>
          <w:p w14:paraId="1FFFEA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37C327C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54DAC1F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1425" w:type="dxa"/>
            <w:vAlign w:val="center"/>
          </w:tcPr>
          <w:p w14:paraId="674FAFB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714E5E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7C4DAB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5608360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140DEC1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0.003</w:t>
            </w:r>
          </w:p>
        </w:tc>
      </w:tr>
      <w:tr w:rsidR="002133E3" w14:paraId="4AB48DB6" w14:textId="77777777">
        <w:tc>
          <w:tcPr>
            <w:tcW w:w="1421" w:type="dxa"/>
            <w:vMerge/>
            <w:vAlign w:val="center"/>
          </w:tcPr>
          <w:p w14:paraId="6AF8507F" w14:textId="77777777" w:rsidR="002133E3" w:rsidRDefault="002133E3">
            <w:pPr>
              <w:rPr>
                <w:rFonts w:ascii="Times New Roman" w:eastAsia="宋体" w:hAnsi="Times New Roman" w:cs="Times New Roman"/>
                <w:szCs w:val="21"/>
              </w:rPr>
            </w:pPr>
          </w:p>
        </w:tc>
        <w:tc>
          <w:tcPr>
            <w:tcW w:w="1421" w:type="dxa"/>
            <w:vMerge/>
            <w:vAlign w:val="center"/>
          </w:tcPr>
          <w:p w14:paraId="5334FA38" w14:textId="77777777" w:rsidR="002133E3" w:rsidRDefault="002133E3">
            <w:pPr>
              <w:rPr>
                <w:rFonts w:ascii="Times New Roman" w:eastAsia="宋体" w:hAnsi="Times New Roman" w:cs="Times New Roman"/>
                <w:szCs w:val="21"/>
              </w:rPr>
            </w:pPr>
          </w:p>
        </w:tc>
        <w:tc>
          <w:tcPr>
            <w:tcW w:w="1424" w:type="dxa"/>
            <w:vAlign w:val="center"/>
          </w:tcPr>
          <w:p w14:paraId="327007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0ED67C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556025A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0.28</w:t>
            </w:r>
          </w:p>
        </w:tc>
        <w:tc>
          <w:tcPr>
            <w:tcW w:w="1425" w:type="dxa"/>
            <w:vAlign w:val="center"/>
          </w:tcPr>
          <w:p w14:paraId="64924C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5B9128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6ACC9D8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46C53A9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17664D6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0.003</w:t>
            </w:r>
          </w:p>
        </w:tc>
      </w:tr>
      <w:tr w:rsidR="002133E3" w14:paraId="11C1CB62" w14:textId="77777777">
        <w:tc>
          <w:tcPr>
            <w:tcW w:w="1421" w:type="dxa"/>
            <w:vMerge/>
            <w:vAlign w:val="center"/>
          </w:tcPr>
          <w:p w14:paraId="0BAD4D6C" w14:textId="77777777" w:rsidR="002133E3" w:rsidRDefault="002133E3">
            <w:pPr>
              <w:rPr>
                <w:rFonts w:ascii="Times New Roman" w:eastAsia="宋体" w:hAnsi="Times New Roman" w:cs="Times New Roman"/>
                <w:szCs w:val="21"/>
              </w:rPr>
            </w:pPr>
          </w:p>
        </w:tc>
        <w:tc>
          <w:tcPr>
            <w:tcW w:w="1421" w:type="dxa"/>
            <w:vMerge w:val="restart"/>
            <w:vAlign w:val="center"/>
          </w:tcPr>
          <w:p w14:paraId="127FD49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2014.12.05</w:t>
            </w:r>
          </w:p>
        </w:tc>
        <w:tc>
          <w:tcPr>
            <w:tcW w:w="1424" w:type="dxa"/>
            <w:vAlign w:val="center"/>
          </w:tcPr>
          <w:p w14:paraId="4D0B931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tcPr>
          <w:p w14:paraId="5016212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7C02F2E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1425" w:type="dxa"/>
            <w:vAlign w:val="center"/>
          </w:tcPr>
          <w:p w14:paraId="182CFC3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0D5306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5DAE0E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796931A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53A23B1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0.002</w:t>
            </w:r>
          </w:p>
        </w:tc>
      </w:tr>
      <w:tr w:rsidR="002133E3" w14:paraId="4077D443" w14:textId="77777777">
        <w:tc>
          <w:tcPr>
            <w:tcW w:w="1421" w:type="dxa"/>
            <w:vMerge/>
            <w:vAlign w:val="center"/>
          </w:tcPr>
          <w:p w14:paraId="52A422E7" w14:textId="77777777" w:rsidR="002133E3" w:rsidRDefault="002133E3">
            <w:pPr>
              <w:rPr>
                <w:rFonts w:ascii="Times New Roman" w:eastAsia="宋体" w:hAnsi="Times New Roman" w:cs="Times New Roman"/>
                <w:szCs w:val="21"/>
              </w:rPr>
            </w:pPr>
          </w:p>
        </w:tc>
        <w:tc>
          <w:tcPr>
            <w:tcW w:w="1421" w:type="dxa"/>
            <w:vMerge/>
            <w:vAlign w:val="center"/>
          </w:tcPr>
          <w:p w14:paraId="7DDBC983" w14:textId="77777777" w:rsidR="002133E3" w:rsidRDefault="002133E3">
            <w:pPr>
              <w:rPr>
                <w:rFonts w:ascii="Times New Roman" w:eastAsia="宋体" w:hAnsi="Times New Roman" w:cs="Times New Roman"/>
                <w:szCs w:val="21"/>
              </w:rPr>
            </w:pPr>
          </w:p>
        </w:tc>
        <w:tc>
          <w:tcPr>
            <w:tcW w:w="1424" w:type="dxa"/>
            <w:vAlign w:val="center"/>
          </w:tcPr>
          <w:p w14:paraId="73CE9F5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58C4F83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17736E2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0.27</w:t>
            </w:r>
          </w:p>
        </w:tc>
        <w:tc>
          <w:tcPr>
            <w:tcW w:w="1425" w:type="dxa"/>
            <w:vAlign w:val="center"/>
          </w:tcPr>
          <w:p w14:paraId="4255F1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61947C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2E3E3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3B97CA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4932E4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0.003</w:t>
            </w:r>
          </w:p>
        </w:tc>
      </w:tr>
      <w:tr w:rsidR="002133E3" w14:paraId="25F59808" w14:textId="77777777">
        <w:tc>
          <w:tcPr>
            <w:tcW w:w="1421" w:type="dxa"/>
            <w:vMerge/>
            <w:vAlign w:val="center"/>
          </w:tcPr>
          <w:p w14:paraId="5016E7A7" w14:textId="77777777" w:rsidR="002133E3" w:rsidRDefault="002133E3">
            <w:pPr>
              <w:rPr>
                <w:rFonts w:ascii="Times New Roman" w:eastAsia="宋体" w:hAnsi="Times New Roman" w:cs="Times New Roman"/>
                <w:szCs w:val="21"/>
              </w:rPr>
            </w:pPr>
          </w:p>
        </w:tc>
        <w:tc>
          <w:tcPr>
            <w:tcW w:w="1421" w:type="dxa"/>
            <w:vMerge/>
            <w:vAlign w:val="center"/>
          </w:tcPr>
          <w:p w14:paraId="19C1DF4A" w14:textId="77777777" w:rsidR="002133E3" w:rsidRDefault="002133E3">
            <w:pPr>
              <w:rPr>
                <w:rFonts w:ascii="Times New Roman" w:eastAsia="宋体" w:hAnsi="Times New Roman" w:cs="Times New Roman"/>
                <w:szCs w:val="21"/>
              </w:rPr>
            </w:pPr>
          </w:p>
        </w:tc>
        <w:tc>
          <w:tcPr>
            <w:tcW w:w="1424" w:type="dxa"/>
            <w:vAlign w:val="center"/>
          </w:tcPr>
          <w:p w14:paraId="3D9FE9C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3AD7831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78CC7AA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0.27</w:t>
            </w:r>
          </w:p>
        </w:tc>
        <w:tc>
          <w:tcPr>
            <w:tcW w:w="1425" w:type="dxa"/>
            <w:vAlign w:val="center"/>
          </w:tcPr>
          <w:p w14:paraId="578ADB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0509D3B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650C909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2E13BAA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45ECBC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0.004</w:t>
            </w:r>
          </w:p>
        </w:tc>
      </w:tr>
      <w:tr w:rsidR="002133E3" w14:paraId="4889E26D" w14:textId="77777777">
        <w:tc>
          <w:tcPr>
            <w:tcW w:w="1421" w:type="dxa"/>
            <w:vMerge w:val="restart"/>
            <w:vAlign w:val="center"/>
          </w:tcPr>
          <w:p w14:paraId="59D635A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下风向</w:t>
            </w:r>
          </w:p>
          <w:p w14:paraId="09D65F0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Q4</w:t>
            </w:r>
          </w:p>
        </w:tc>
        <w:tc>
          <w:tcPr>
            <w:tcW w:w="1421" w:type="dxa"/>
            <w:vMerge w:val="restart"/>
            <w:vAlign w:val="center"/>
          </w:tcPr>
          <w:p w14:paraId="000965D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2014.12.04</w:t>
            </w:r>
          </w:p>
        </w:tc>
        <w:tc>
          <w:tcPr>
            <w:tcW w:w="1424" w:type="dxa"/>
            <w:vAlign w:val="center"/>
          </w:tcPr>
          <w:p w14:paraId="0393D2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tcPr>
          <w:p w14:paraId="59022E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43BD634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0.29</w:t>
            </w:r>
          </w:p>
        </w:tc>
        <w:tc>
          <w:tcPr>
            <w:tcW w:w="1425" w:type="dxa"/>
            <w:vAlign w:val="center"/>
          </w:tcPr>
          <w:p w14:paraId="5396F04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608C272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BC639A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7E9F015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3502D3F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0.004</w:t>
            </w:r>
          </w:p>
        </w:tc>
      </w:tr>
      <w:tr w:rsidR="002133E3" w14:paraId="0BFE35AF" w14:textId="77777777">
        <w:tc>
          <w:tcPr>
            <w:tcW w:w="1421" w:type="dxa"/>
            <w:vMerge/>
            <w:vAlign w:val="center"/>
          </w:tcPr>
          <w:p w14:paraId="6CC03E92" w14:textId="77777777" w:rsidR="002133E3" w:rsidRDefault="002133E3">
            <w:pPr>
              <w:rPr>
                <w:rFonts w:ascii="Times New Roman" w:eastAsia="宋体" w:hAnsi="Times New Roman" w:cs="Times New Roman"/>
                <w:szCs w:val="21"/>
              </w:rPr>
            </w:pPr>
          </w:p>
        </w:tc>
        <w:tc>
          <w:tcPr>
            <w:tcW w:w="1421" w:type="dxa"/>
            <w:vMerge/>
            <w:vAlign w:val="center"/>
          </w:tcPr>
          <w:p w14:paraId="262D521D" w14:textId="77777777" w:rsidR="002133E3" w:rsidRDefault="002133E3">
            <w:pPr>
              <w:rPr>
                <w:rFonts w:ascii="Times New Roman" w:eastAsia="宋体" w:hAnsi="Times New Roman" w:cs="Times New Roman"/>
                <w:szCs w:val="21"/>
              </w:rPr>
            </w:pPr>
          </w:p>
        </w:tc>
        <w:tc>
          <w:tcPr>
            <w:tcW w:w="1424" w:type="dxa"/>
            <w:vAlign w:val="center"/>
          </w:tcPr>
          <w:p w14:paraId="33B3EBB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18679D4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5A08C08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1425" w:type="dxa"/>
            <w:vAlign w:val="center"/>
          </w:tcPr>
          <w:p w14:paraId="1CCE9C7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3D55352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08E514A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57560B5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1AFD8C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0.001</w:t>
            </w:r>
          </w:p>
        </w:tc>
      </w:tr>
      <w:tr w:rsidR="002133E3" w14:paraId="320433F5" w14:textId="77777777">
        <w:tc>
          <w:tcPr>
            <w:tcW w:w="1421" w:type="dxa"/>
            <w:vMerge/>
            <w:vAlign w:val="center"/>
          </w:tcPr>
          <w:p w14:paraId="325E3E03" w14:textId="77777777" w:rsidR="002133E3" w:rsidRDefault="002133E3">
            <w:pPr>
              <w:rPr>
                <w:rFonts w:ascii="Times New Roman" w:eastAsia="宋体" w:hAnsi="Times New Roman" w:cs="Times New Roman"/>
                <w:szCs w:val="21"/>
              </w:rPr>
            </w:pPr>
          </w:p>
        </w:tc>
        <w:tc>
          <w:tcPr>
            <w:tcW w:w="1421" w:type="dxa"/>
            <w:vMerge/>
            <w:vAlign w:val="center"/>
          </w:tcPr>
          <w:p w14:paraId="647DBED9" w14:textId="77777777" w:rsidR="002133E3" w:rsidRDefault="002133E3">
            <w:pPr>
              <w:rPr>
                <w:rFonts w:ascii="Times New Roman" w:eastAsia="宋体" w:hAnsi="Times New Roman" w:cs="Times New Roman"/>
                <w:szCs w:val="21"/>
              </w:rPr>
            </w:pPr>
          </w:p>
        </w:tc>
        <w:tc>
          <w:tcPr>
            <w:tcW w:w="1424" w:type="dxa"/>
            <w:vAlign w:val="center"/>
          </w:tcPr>
          <w:p w14:paraId="470F68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353405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27B253E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0.27</w:t>
            </w:r>
          </w:p>
        </w:tc>
        <w:tc>
          <w:tcPr>
            <w:tcW w:w="1425" w:type="dxa"/>
            <w:vAlign w:val="center"/>
          </w:tcPr>
          <w:p w14:paraId="7F49CE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D74F86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B6AD83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6CF6A54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4D2F7E1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0.004</w:t>
            </w:r>
          </w:p>
        </w:tc>
      </w:tr>
      <w:tr w:rsidR="002133E3" w14:paraId="61FE71DB" w14:textId="77777777">
        <w:tc>
          <w:tcPr>
            <w:tcW w:w="1421" w:type="dxa"/>
            <w:vMerge/>
            <w:vAlign w:val="center"/>
          </w:tcPr>
          <w:p w14:paraId="664A196A" w14:textId="77777777" w:rsidR="002133E3" w:rsidRDefault="002133E3">
            <w:pPr>
              <w:rPr>
                <w:rFonts w:ascii="Times New Roman" w:eastAsia="宋体" w:hAnsi="Times New Roman" w:cs="Times New Roman"/>
                <w:szCs w:val="21"/>
              </w:rPr>
            </w:pPr>
          </w:p>
        </w:tc>
        <w:tc>
          <w:tcPr>
            <w:tcW w:w="1421" w:type="dxa"/>
            <w:vMerge w:val="restart"/>
            <w:vAlign w:val="center"/>
          </w:tcPr>
          <w:p w14:paraId="43BDE86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2014.12.05</w:t>
            </w:r>
          </w:p>
        </w:tc>
        <w:tc>
          <w:tcPr>
            <w:tcW w:w="1424" w:type="dxa"/>
            <w:vAlign w:val="center"/>
          </w:tcPr>
          <w:p w14:paraId="678A6D2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tcPr>
          <w:p w14:paraId="448B071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249B58C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0.27</w:t>
            </w:r>
          </w:p>
        </w:tc>
        <w:tc>
          <w:tcPr>
            <w:tcW w:w="1425" w:type="dxa"/>
            <w:vAlign w:val="center"/>
          </w:tcPr>
          <w:p w14:paraId="76AA250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85A9F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7A8F9A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387E9CD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6C53B2C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0.005</w:t>
            </w:r>
          </w:p>
        </w:tc>
      </w:tr>
      <w:tr w:rsidR="002133E3" w14:paraId="73530CA8" w14:textId="77777777">
        <w:tc>
          <w:tcPr>
            <w:tcW w:w="1421" w:type="dxa"/>
            <w:vMerge/>
            <w:vAlign w:val="center"/>
          </w:tcPr>
          <w:p w14:paraId="7962B83F" w14:textId="77777777" w:rsidR="002133E3" w:rsidRDefault="002133E3">
            <w:pPr>
              <w:rPr>
                <w:rFonts w:ascii="Times New Roman" w:eastAsia="宋体" w:hAnsi="Times New Roman" w:cs="Times New Roman"/>
                <w:szCs w:val="21"/>
              </w:rPr>
            </w:pPr>
          </w:p>
        </w:tc>
        <w:tc>
          <w:tcPr>
            <w:tcW w:w="1421" w:type="dxa"/>
            <w:vMerge/>
            <w:vAlign w:val="center"/>
          </w:tcPr>
          <w:p w14:paraId="5B4332FC" w14:textId="77777777" w:rsidR="002133E3" w:rsidRDefault="002133E3">
            <w:pPr>
              <w:rPr>
                <w:rFonts w:ascii="Times New Roman" w:eastAsia="宋体" w:hAnsi="Times New Roman" w:cs="Times New Roman"/>
                <w:szCs w:val="21"/>
              </w:rPr>
            </w:pPr>
          </w:p>
        </w:tc>
        <w:tc>
          <w:tcPr>
            <w:tcW w:w="1424" w:type="dxa"/>
            <w:vAlign w:val="center"/>
          </w:tcPr>
          <w:p w14:paraId="3C07CF2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12A3E53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349C353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0.28</w:t>
            </w:r>
          </w:p>
        </w:tc>
        <w:tc>
          <w:tcPr>
            <w:tcW w:w="1425" w:type="dxa"/>
            <w:vAlign w:val="center"/>
          </w:tcPr>
          <w:p w14:paraId="67B30D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5B1E69E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38D16DE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557300F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37F9558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0.005</w:t>
            </w:r>
          </w:p>
        </w:tc>
      </w:tr>
      <w:tr w:rsidR="002133E3" w14:paraId="4B718643" w14:textId="77777777">
        <w:tc>
          <w:tcPr>
            <w:tcW w:w="1421" w:type="dxa"/>
            <w:vMerge/>
            <w:vAlign w:val="center"/>
          </w:tcPr>
          <w:p w14:paraId="54198975" w14:textId="77777777" w:rsidR="002133E3" w:rsidRDefault="002133E3">
            <w:pPr>
              <w:rPr>
                <w:rFonts w:ascii="Times New Roman" w:eastAsia="宋体" w:hAnsi="Times New Roman" w:cs="Times New Roman"/>
                <w:szCs w:val="21"/>
              </w:rPr>
            </w:pPr>
          </w:p>
        </w:tc>
        <w:tc>
          <w:tcPr>
            <w:tcW w:w="1421" w:type="dxa"/>
            <w:vMerge/>
            <w:vAlign w:val="center"/>
          </w:tcPr>
          <w:p w14:paraId="72BB343A" w14:textId="77777777" w:rsidR="002133E3" w:rsidRDefault="002133E3">
            <w:pPr>
              <w:rPr>
                <w:rFonts w:ascii="Times New Roman" w:eastAsia="宋体" w:hAnsi="Times New Roman" w:cs="Times New Roman"/>
                <w:szCs w:val="21"/>
              </w:rPr>
            </w:pPr>
          </w:p>
        </w:tc>
        <w:tc>
          <w:tcPr>
            <w:tcW w:w="1424" w:type="dxa"/>
            <w:vAlign w:val="center"/>
          </w:tcPr>
          <w:p w14:paraId="12CF966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40C98E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0F6562F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0.29</w:t>
            </w:r>
          </w:p>
        </w:tc>
        <w:tc>
          <w:tcPr>
            <w:tcW w:w="1425" w:type="dxa"/>
            <w:vAlign w:val="center"/>
          </w:tcPr>
          <w:p w14:paraId="3F915CC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6A195C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3FFC29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47C3443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291CA84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0.005</w:t>
            </w:r>
          </w:p>
        </w:tc>
      </w:tr>
      <w:tr w:rsidR="002133E3" w14:paraId="419BC495" w14:textId="77777777">
        <w:tc>
          <w:tcPr>
            <w:tcW w:w="1421" w:type="dxa"/>
            <w:vMerge w:val="restart"/>
            <w:vAlign w:val="center"/>
          </w:tcPr>
          <w:p w14:paraId="5D388E9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下风向</w:t>
            </w:r>
          </w:p>
          <w:p w14:paraId="5DC2C6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Q5</w:t>
            </w:r>
          </w:p>
        </w:tc>
        <w:tc>
          <w:tcPr>
            <w:tcW w:w="1421" w:type="dxa"/>
            <w:vMerge w:val="restart"/>
            <w:vAlign w:val="center"/>
          </w:tcPr>
          <w:p w14:paraId="14496E3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2014.12.04</w:t>
            </w:r>
          </w:p>
        </w:tc>
        <w:tc>
          <w:tcPr>
            <w:tcW w:w="1424" w:type="dxa"/>
            <w:vAlign w:val="center"/>
          </w:tcPr>
          <w:p w14:paraId="6016FC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tcPr>
          <w:p w14:paraId="6CEBC6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2C2C861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0.32</w:t>
            </w:r>
          </w:p>
        </w:tc>
        <w:tc>
          <w:tcPr>
            <w:tcW w:w="1425" w:type="dxa"/>
            <w:vAlign w:val="center"/>
          </w:tcPr>
          <w:p w14:paraId="4320A77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56C5B09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91540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3F654E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2C89E8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0.002</w:t>
            </w:r>
          </w:p>
        </w:tc>
      </w:tr>
      <w:tr w:rsidR="002133E3" w14:paraId="63B617FB" w14:textId="77777777">
        <w:tc>
          <w:tcPr>
            <w:tcW w:w="1421" w:type="dxa"/>
            <w:vMerge/>
            <w:vAlign w:val="center"/>
          </w:tcPr>
          <w:p w14:paraId="0FD16C9C" w14:textId="77777777" w:rsidR="002133E3" w:rsidRDefault="002133E3">
            <w:pPr>
              <w:rPr>
                <w:rFonts w:ascii="Times New Roman" w:eastAsia="宋体" w:hAnsi="Times New Roman" w:cs="Times New Roman"/>
                <w:szCs w:val="21"/>
              </w:rPr>
            </w:pPr>
          </w:p>
        </w:tc>
        <w:tc>
          <w:tcPr>
            <w:tcW w:w="1421" w:type="dxa"/>
            <w:vMerge/>
            <w:vAlign w:val="center"/>
          </w:tcPr>
          <w:p w14:paraId="70406666" w14:textId="77777777" w:rsidR="002133E3" w:rsidRDefault="002133E3">
            <w:pPr>
              <w:rPr>
                <w:rFonts w:ascii="Times New Roman" w:eastAsia="宋体" w:hAnsi="Times New Roman" w:cs="Times New Roman"/>
                <w:szCs w:val="21"/>
              </w:rPr>
            </w:pPr>
          </w:p>
        </w:tc>
        <w:tc>
          <w:tcPr>
            <w:tcW w:w="1424" w:type="dxa"/>
            <w:vAlign w:val="center"/>
          </w:tcPr>
          <w:p w14:paraId="71A54D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6D8A624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70EA688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0.28</w:t>
            </w:r>
          </w:p>
        </w:tc>
        <w:tc>
          <w:tcPr>
            <w:tcW w:w="1425" w:type="dxa"/>
            <w:vAlign w:val="center"/>
          </w:tcPr>
          <w:p w14:paraId="6BB82E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3CF49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2411B3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66BECCE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40C86AC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0.002</w:t>
            </w:r>
          </w:p>
        </w:tc>
      </w:tr>
      <w:tr w:rsidR="002133E3" w14:paraId="51118375" w14:textId="77777777">
        <w:tc>
          <w:tcPr>
            <w:tcW w:w="1421" w:type="dxa"/>
            <w:vMerge/>
            <w:vAlign w:val="center"/>
          </w:tcPr>
          <w:p w14:paraId="5BC2EC65" w14:textId="77777777" w:rsidR="002133E3" w:rsidRDefault="002133E3">
            <w:pPr>
              <w:rPr>
                <w:rFonts w:ascii="Times New Roman" w:eastAsia="宋体" w:hAnsi="Times New Roman" w:cs="Times New Roman"/>
                <w:szCs w:val="21"/>
              </w:rPr>
            </w:pPr>
          </w:p>
        </w:tc>
        <w:tc>
          <w:tcPr>
            <w:tcW w:w="1421" w:type="dxa"/>
            <w:vMerge/>
            <w:vAlign w:val="center"/>
          </w:tcPr>
          <w:p w14:paraId="5FF3D454" w14:textId="77777777" w:rsidR="002133E3" w:rsidRDefault="002133E3">
            <w:pPr>
              <w:rPr>
                <w:rFonts w:ascii="Times New Roman" w:eastAsia="宋体" w:hAnsi="Times New Roman" w:cs="Times New Roman"/>
                <w:szCs w:val="21"/>
              </w:rPr>
            </w:pPr>
          </w:p>
        </w:tc>
        <w:tc>
          <w:tcPr>
            <w:tcW w:w="1424" w:type="dxa"/>
            <w:vAlign w:val="center"/>
          </w:tcPr>
          <w:p w14:paraId="28257B1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40F04D1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5DCA517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0.32</w:t>
            </w:r>
          </w:p>
        </w:tc>
        <w:tc>
          <w:tcPr>
            <w:tcW w:w="1425" w:type="dxa"/>
            <w:vAlign w:val="center"/>
          </w:tcPr>
          <w:p w14:paraId="35A4CB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0E24A1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2E4906D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4297E30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57ED98F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0.003</w:t>
            </w:r>
          </w:p>
        </w:tc>
      </w:tr>
      <w:tr w:rsidR="002133E3" w14:paraId="1C5169EF" w14:textId="77777777">
        <w:tc>
          <w:tcPr>
            <w:tcW w:w="1421" w:type="dxa"/>
            <w:vMerge/>
            <w:vAlign w:val="center"/>
          </w:tcPr>
          <w:p w14:paraId="27ED0FE6" w14:textId="77777777" w:rsidR="002133E3" w:rsidRDefault="002133E3">
            <w:pPr>
              <w:rPr>
                <w:rFonts w:ascii="Times New Roman" w:eastAsia="宋体" w:hAnsi="Times New Roman" w:cs="Times New Roman"/>
                <w:szCs w:val="21"/>
              </w:rPr>
            </w:pPr>
          </w:p>
        </w:tc>
        <w:tc>
          <w:tcPr>
            <w:tcW w:w="1421" w:type="dxa"/>
            <w:vMerge w:val="restart"/>
            <w:vAlign w:val="center"/>
          </w:tcPr>
          <w:p w14:paraId="4C87AFB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2014.12.05</w:t>
            </w:r>
          </w:p>
        </w:tc>
        <w:tc>
          <w:tcPr>
            <w:tcW w:w="1424" w:type="dxa"/>
            <w:vAlign w:val="center"/>
          </w:tcPr>
          <w:p w14:paraId="0C6CCC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425" w:type="dxa"/>
          </w:tcPr>
          <w:p w14:paraId="44DD275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733B819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0.30</w:t>
            </w:r>
          </w:p>
        </w:tc>
        <w:tc>
          <w:tcPr>
            <w:tcW w:w="1425" w:type="dxa"/>
            <w:vAlign w:val="center"/>
          </w:tcPr>
          <w:p w14:paraId="4CE8165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7EACD0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6C3FB5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678E6FF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5E69CFB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0.006</w:t>
            </w:r>
          </w:p>
        </w:tc>
      </w:tr>
      <w:tr w:rsidR="002133E3" w14:paraId="40D3055E" w14:textId="77777777">
        <w:tc>
          <w:tcPr>
            <w:tcW w:w="1421" w:type="dxa"/>
            <w:vMerge/>
            <w:vAlign w:val="center"/>
          </w:tcPr>
          <w:p w14:paraId="7A59A4E0" w14:textId="77777777" w:rsidR="002133E3" w:rsidRDefault="002133E3">
            <w:pPr>
              <w:rPr>
                <w:rFonts w:ascii="Times New Roman" w:eastAsia="宋体" w:hAnsi="Times New Roman" w:cs="Times New Roman"/>
                <w:szCs w:val="21"/>
              </w:rPr>
            </w:pPr>
          </w:p>
        </w:tc>
        <w:tc>
          <w:tcPr>
            <w:tcW w:w="1421" w:type="dxa"/>
            <w:vMerge/>
            <w:vAlign w:val="center"/>
          </w:tcPr>
          <w:p w14:paraId="5C172846" w14:textId="77777777" w:rsidR="002133E3" w:rsidRDefault="002133E3">
            <w:pPr>
              <w:rPr>
                <w:rFonts w:ascii="Times New Roman" w:eastAsia="宋体" w:hAnsi="Times New Roman" w:cs="Times New Roman"/>
                <w:szCs w:val="21"/>
              </w:rPr>
            </w:pPr>
          </w:p>
        </w:tc>
        <w:tc>
          <w:tcPr>
            <w:tcW w:w="1424" w:type="dxa"/>
            <w:vAlign w:val="center"/>
          </w:tcPr>
          <w:p w14:paraId="7F70EB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425" w:type="dxa"/>
          </w:tcPr>
          <w:p w14:paraId="2A1516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05FA48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0.32</w:t>
            </w:r>
          </w:p>
        </w:tc>
        <w:tc>
          <w:tcPr>
            <w:tcW w:w="1425" w:type="dxa"/>
            <w:vAlign w:val="center"/>
          </w:tcPr>
          <w:p w14:paraId="6DC8E1C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4E8982C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0C6BDCA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20FC8E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13F533D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0.005</w:t>
            </w:r>
          </w:p>
        </w:tc>
      </w:tr>
      <w:tr w:rsidR="002133E3" w14:paraId="025A266B" w14:textId="77777777">
        <w:tc>
          <w:tcPr>
            <w:tcW w:w="1421" w:type="dxa"/>
            <w:vMerge/>
            <w:vAlign w:val="center"/>
          </w:tcPr>
          <w:p w14:paraId="7A81B273" w14:textId="77777777" w:rsidR="002133E3" w:rsidRDefault="002133E3">
            <w:pPr>
              <w:rPr>
                <w:rFonts w:ascii="Times New Roman" w:eastAsia="宋体" w:hAnsi="Times New Roman" w:cs="Times New Roman"/>
                <w:szCs w:val="21"/>
              </w:rPr>
            </w:pPr>
          </w:p>
        </w:tc>
        <w:tc>
          <w:tcPr>
            <w:tcW w:w="1421" w:type="dxa"/>
            <w:vMerge/>
            <w:vAlign w:val="center"/>
          </w:tcPr>
          <w:p w14:paraId="5CA7D4AB" w14:textId="77777777" w:rsidR="002133E3" w:rsidRDefault="002133E3">
            <w:pPr>
              <w:rPr>
                <w:rFonts w:ascii="Times New Roman" w:eastAsia="宋体" w:hAnsi="Times New Roman" w:cs="Times New Roman"/>
                <w:szCs w:val="21"/>
              </w:rPr>
            </w:pPr>
          </w:p>
        </w:tc>
        <w:tc>
          <w:tcPr>
            <w:tcW w:w="1424" w:type="dxa"/>
            <w:vAlign w:val="center"/>
          </w:tcPr>
          <w:p w14:paraId="2D969DB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425" w:type="dxa"/>
          </w:tcPr>
          <w:p w14:paraId="062DE13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292572A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0.34</w:t>
            </w:r>
          </w:p>
        </w:tc>
        <w:tc>
          <w:tcPr>
            <w:tcW w:w="1425" w:type="dxa"/>
            <w:vAlign w:val="center"/>
          </w:tcPr>
          <w:p w14:paraId="1CACB7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2903D2F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2C20A1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390976C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3B1DD3F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0.006</w:t>
            </w:r>
          </w:p>
        </w:tc>
      </w:tr>
      <w:tr w:rsidR="002133E3" w14:paraId="0D26B52E" w14:textId="77777777">
        <w:tc>
          <w:tcPr>
            <w:tcW w:w="4266" w:type="dxa"/>
            <w:gridSpan w:val="3"/>
            <w:vAlign w:val="center"/>
          </w:tcPr>
          <w:p w14:paraId="57808F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下风向最大浓度值</w:t>
            </w:r>
          </w:p>
        </w:tc>
        <w:tc>
          <w:tcPr>
            <w:tcW w:w="1425" w:type="dxa"/>
            <w:vAlign w:val="center"/>
          </w:tcPr>
          <w:p w14:paraId="7A08E15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10</w:t>
            </w:r>
          </w:p>
        </w:tc>
        <w:tc>
          <w:tcPr>
            <w:tcW w:w="1425" w:type="dxa"/>
            <w:vAlign w:val="center"/>
          </w:tcPr>
          <w:p w14:paraId="41B9AF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0.34</w:t>
            </w:r>
          </w:p>
        </w:tc>
        <w:tc>
          <w:tcPr>
            <w:tcW w:w="1425" w:type="dxa"/>
            <w:vAlign w:val="center"/>
          </w:tcPr>
          <w:p w14:paraId="0B8BED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121B4A6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25" w:type="dxa"/>
            <w:vAlign w:val="center"/>
          </w:tcPr>
          <w:p w14:paraId="3C01804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19" w:type="dxa"/>
            <w:vAlign w:val="center"/>
          </w:tcPr>
          <w:p w14:paraId="20A2BBC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408" w:type="dxa"/>
          </w:tcPr>
          <w:p w14:paraId="1E0A53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0.006</w:t>
            </w:r>
          </w:p>
        </w:tc>
      </w:tr>
      <w:tr w:rsidR="002133E3" w14:paraId="29E06C0A" w14:textId="77777777">
        <w:tc>
          <w:tcPr>
            <w:tcW w:w="4266" w:type="dxa"/>
            <w:gridSpan w:val="3"/>
            <w:vAlign w:val="center"/>
          </w:tcPr>
          <w:p w14:paraId="21015D8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执行标准</w:t>
            </w:r>
          </w:p>
        </w:tc>
        <w:tc>
          <w:tcPr>
            <w:tcW w:w="1425" w:type="dxa"/>
            <w:vAlign w:val="center"/>
          </w:tcPr>
          <w:p w14:paraId="4C6E109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20</w:t>
            </w:r>
          </w:p>
        </w:tc>
        <w:tc>
          <w:tcPr>
            <w:tcW w:w="1425" w:type="dxa"/>
            <w:vAlign w:val="center"/>
          </w:tcPr>
          <w:p w14:paraId="358001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w:t>
            </w:r>
          </w:p>
        </w:tc>
        <w:tc>
          <w:tcPr>
            <w:tcW w:w="1425" w:type="dxa"/>
            <w:vAlign w:val="center"/>
          </w:tcPr>
          <w:p w14:paraId="0ABBA5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25" w:type="dxa"/>
            <w:vAlign w:val="center"/>
          </w:tcPr>
          <w:p w14:paraId="5BC13A4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25" w:type="dxa"/>
            <w:vAlign w:val="center"/>
          </w:tcPr>
          <w:p w14:paraId="1EE5EF0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0.04</w:t>
            </w:r>
          </w:p>
        </w:tc>
        <w:tc>
          <w:tcPr>
            <w:tcW w:w="1419" w:type="dxa"/>
            <w:vAlign w:val="center"/>
          </w:tcPr>
          <w:p w14:paraId="760F46E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08" w:type="dxa"/>
          </w:tcPr>
          <w:p w14:paraId="431F7BE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0.06</w:t>
            </w:r>
          </w:p>
        </w:tc>
      </w:tr>
      <w:tr w:rsidR="002133E3" w14:paraId="34EDD80D" w14:textId="77777777">
        <w:tc>
          <w:tcPr>
            <w:tcW w:w="4266" w:type="dxa"/>
            <w:gridSpan w:val="3"/>
            <w:vAlign w:val="center"/>
          </w:tcPr>
          <w:p w14:paraId="219D74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达标情况</w:t>
            </w:r>
          </w:p>
        </w:tc>
        <w:tc>
          <w:tcPr>
            <w:tcW w:w="1425" w:type="dxa"/>
            <w:vAlign w:val="center"/>
          </w:tcPr>
          <w:p w14:paraId="30886DA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c>
          <w:tcPr>
            <w:tcW w:w="1425" w:type="dxa"/>
            <w:vAlign w:val="center"/>
          </w:tcPr>
          <w:p w14:paraId="7CE3D41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c>
          <w:tcPr>
            <w:tcW w:w="1425" w:type="dxa"/>
            <w:vAlign w:val="center"/>
          </w:tcPr>
          <w:p w14:paraId="4B4C858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25" w:type="dxa"/>
            <w:vAlign w:val="center"/>
          </w:tcPr>
          <w:p w14:paraId="51AC03D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25" w:type="dxa"/>
            <w:vAlign w:val="center"/>
          </w:tcPr>
          <w:p w14:paraId="4F1BD02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c>
          <w:tcPr>
            <w:tcW w:w="1419" w:type="dxa"/>
            <w:vAlign w:val="center"/>
          </w:tcPr>
          <w:p w14:paraId="790D56D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408" w:type="dxa"/>
          </w:tcPr>
          <w:p w14:paraId="0FC9347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达标</w:t>
            </w:r>
          </w:p>
        </w:tc>
      </w:tr>
    </w:tbl>
    <w:p w14:paraId="23862E03"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3.2-17   </w:t>
      </w:r>
      <w:r>
        <w:rPr>
          <w:rFonts w:ascii="Times New Roman" w:eastAsia="宋体" w:hAnsi="Times New Roman" w:cs="Times New Roman"/>
          <w:b/>
          <w:bCs/>
          <w:szCs w:val="21"/>
        </w:rPr>
        <w:t>有机废气处理设施出口（</w:t>
      </w:r>
      <w:r>
        <w:rPr>
          <w:rFonts w:ascii="Times New Roman" w:eastAsia="宋体" w:hAnsi="Times New Roman" w:cs="Times New Roman"/>
          <w:b/>
          <w:bCs/>
          <w:szCs w:val="21"/>
        </w:rPr>
        <w:t>Q1</w:t>
      </w:r>
      <w:r>
        <w:rPr>
          <w:rFonts w:ascii="Times New Roman" w:eastAsia="宋体" w:hAnsi="Times New Roman" w:cs="Times New Roman"/>
          <w:b/>
          <w:bCs/>
          <w:szCs w:val="21"/>
        </w:rPr>
        <w:t>）（第二阶段）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7"/>
        <w:gridCol w:w="1777"/>
        <w:gridCol w:w="1777"/>
        <w:gridCol w:w="1777"/>
        <w:gridCol w:w="1777"/>
        <w:gridCol w:w="1777"/>
        <w:gridCol w:w="1778"/>
        <w:gridCol w:w="1778"/>
      </w:tblGrid>
      <w:tr w:rsidR="002133E3" w14:paraId="356AFE32" w14:textId="77777777">
        <w:tc>
          <w:tcPr>
            <w:tcW w:w="1777" w:type="dxa"/>
            <w:vMerge w:val="restart"/>
            <w:vAlign w:val="center"/>
          </w:tcPr>
          <w:p w14:paraId="6D9FE0E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w:t>
            </w:r>
          </w:p>
        </w:tc>
        <w:tc>
          <w:tcPr>
            <w:tcW w:w="1777" w:type="dxa"/>
            <w:vMerge w:val="restart"/>
            <w:vAlign w:val="center"/>
          </w:tcPr>
          <w:p w14:paraId="298430D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单位</w:t>
            </w:r>
          </w:p>
        </w:tc>
        <w:tc>
          <w:tcPr>
            <w:tcW w:w="10664" w:type="dxa"/>
            <w:gridSpan w:val="6"/>
            <w:vAlign w:val="center"/>
          </w:tcPr>
          <w:p w14:paraId="4F52C5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出口（</w:t>
            </w:r>
            <w:r>
              <w:rPr>
                <w:rFonts w:ascii="Times New Roman" w:eastAsia="宋体" w:hAnsi="Times New Roman" w:cs="Times New Roman"/>
                <w:szCs w:val="21"/>
              </w:rPr>
              <w:t>Q1</w:t>
            </w:r>
            <w:r>
              <w:rPr>
                <w:rFonts w:ascii="Times New Roman" w:eastAsia="宋体" w:hAnsi="Times New Roman" w:cs="Times New Roman"/>
                <w:szCs w:val="21"/>
              </w:rPr>
              <w:t>）</w:t>
            </w:r>
          </w:p>
        </w:tc>
      </w:tr>
      <w:tr w:rsidR="002133E3" w14:paraId="0423E3E5" w14:textId="77777777">
        <w:tc>
          <w:tcPr>
            <w:tcW w:w="1777" w:type="dxa"/>
            <w:vMerge/>
            <w:vAlign w:val="center"/>
          </w:tcPr>
          <w:p w14:paraId="64A6837A" w14:textId="77777777" w:rsidR="002133E3" w:rsidRDefault="002133E3">
            <w:pPr>
              <w:rPr>
                <w:rFonts w:ascii="Times New Roman" w:eastAsia="宋体" w:hAnsi="Times New Roman" w:cs="Times New Roman"/>
                <w:szCs w:val="21"/>
              </w:rPr>
            </w:pPr>
          </w:p>
        </w:tc>
        <w:tc>
          <w:tcPr>
            <w:tcW w:w="1777" w:type="dxa"/>
            <w:vMerge/>
            <w:vAlign w:val="center"/>
          </w:tcPr>
          <w:p w14:paraId="630ECBD1" w14:textId="77777777" w:rsidR="002133E3" w:rsidRDefault="002133E3">
            <w:pPr>
              <w:rPr>
                <w:rFonts w:ascii="Times New Roman" w:eastAsia="宋体" w:hAnsi="Times New Roman" w:cs="Times New Roman"/>
                <w:szCs w:val="21"/>
              </w:rPr>
            </w:pPr>
          </w:p>
        </w:tc>
        <w:tc>
          <w:tcPr>
            <w:tcW w:w="5331" w:type="dxa"/>
            <w:gridSpan w:val="3"/>
            <w:vAlign w:val="center"/>
          </w:tcPr>
          <w:p w14:paraId="49ADEB5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2014.12.04</w:t>
            </w:r>
          </w:p>
        </w:tc>
        <w:tc>
          <w:tcPr>
            <w:tcW w:w="5333" w:type="dxa"/>
            <w:gridSpan w:val="3"/>
            <w:vAlign w:val="center"/>
          </w:tcPr>
          <w:p w14:paraId="302B31D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2014.12.05</w:t>
            </w:r>
          </w:p>
        </w:tc>
      </w:tr>
      <w:tr w:rsidR="002133E3" w14:paraId="65A7585F" w14:textId="77777777">
        <w:tc>
          <w:tcPr>
            <w:tcW w:w="1777" w:type="dxa"/>
            <w:vMerge/>
            <w:vAlign w:val="center"/>
          </w:tcPr>
          <w:p w14:paraId="6FEA730C" w14:textId="77777777" w:rsidR="002133E3" w:rsidRDefault="002133E3">
            <w:pPr>
              <w:rPr>
                <w:rFonts w:ascii="Times New Roman" w:eastAsia="宋体" w:hAnsi="Times New Roman" w:cs="Times New Roman"/>
                <w:szCs w:val="21"/>
              </w:rPr>
            </w:pPr>
          </w:p>
        </w:tc>
        <w:tc>
          <w:tcPr>
            <w:tcW w:w="1777" w:type="dxa"/>
            <w:vMerge/>
            <w:vAlign w:val="center"/>
          </w:tcPr>
          <w:p w14:paraId="104C8FAB" w14:textId="77777777" w:rsidR="002133E3" w:rsidRDefault="002133E3">
            <w:pPr>
              <w:rPr>
                <w:rFonts w:ascii="Times New Roman" w:eastAsia="宋体" w:hAnsi="Times New Roman" w:cs="Times New Roman"/>
                <w:szCs w:val="21"/>
              </w:rPr>
            </w:pPr>
          </w:p>
        </w:tc>
        <w:tc>
          <w:tcPr>
            <w:tcW w:w="1777" w:type="dxa"/>
            <w:vAlign w:val="center"/>
          </w:tcPr>
          <w:p w14:paraId="643053C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777" w:type="dxa"/>
            <w:vAlign w:val="center"/>
          </w:tcPr>
          <w:p w14:paraId="2D0B167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777" w:type="dxa"/>
            <w:vAlign w:val="center"/>
          </w:tcPr>
          <w:p w14:paraId="1D6ABCC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c>
          <w:tcPr>
            <w:tcW w:w="1777" w:type="dxa"/>
            <w:vAlign w:val="center"/>
          </w:tcPr>
          <w:p w14:paraId="22D8484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第一次</w:t>
            </w:r>
          </w:p>
        </w:tc>
        <w:tc>
          <w:tcPr>
            <w:tcW w:w="1778" w:type="dxa"/>
            <w:vAlign w:val="center"/>
          </w:tcPr>
          <w:p w14:paraId="5E59918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第二次</w:t>
            </w:r>
          </w:p>
        </w:tc>
        <w:tc>
          <w:tcPr>
            <w:tcW w:w="1778" w:type="dxa"/>
            <w:vAlign w:val="center"/>
          </w:tcPr>
          <w:p w14:paraId="2D31AC2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第三次</w:t>
            </w:r>
          </w:p>
        </w:tc>
      </w:tr>
      <w:tr w:rsidR="002133E3" w14:paraId="220D9993" w14:textId="77777777">
        <w:tc>
          <w:tcPr>
            <w:tcW w:w="1777" w:type="dxa"/>
            <w:vAlign w:val="center"/>
          </w:tcPr>
          <w:p w14:paraId="5FF6116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大气压</w:t>
            </w:r>
          </w:p>
        </w:tc>
        <w:tc>
          <w:tcPr>
            <w:tcW w:w="1777" w:type="dxa"/>
            <w:vAlign w:val="center"/>
          </w:tcPr>
          <w:p w14:paraId="7E073F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777" w:type="dxa"/>
            <w:vAlign w:val="center"/>
          </w:tcPr>
          <w:p w14:paraId="770B390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103000</w:t>
            </w:r>
          </w:p>
        </w:tc>
        <w:tc>
          <w:tcPr>
            <w:tcW w:w="1777" w:type="dxa"/>
            <w:vAlign w:val="center"/>
          </w:tcPr>
          <w:p w14:paraId="0498ABD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103000</w:t>
            </w:r>
          </w:p>
        </w:tc>
        <w:tc>
          <w:tcPr>
            <w:tcW w:w="1777" w:type="dxa"/>
            <w:vAlign w:val="center"/>
          </w:tcPr>
          <w:p w14:paraId="70047A1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103000</w:t>
            </w:r>
          </w:p>
        </w:tc>
        <w:tc>
          <w:tcPr>
            <w:tcW w:w="1777" w:type="dxa"/>
            <w:vAlign w:val="center"/>
          </w:tcPr>
          <w:p w14:paraId="76CDC12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102800</w:t>
            </w:r>
          </w:p>
        </w:tc>
        <w:tc>
          <w:tcPr>
            <w:tcW w:w="1778" w:type="dxa"/>
            <w:vAlign w:val="center"/>
          </w:tcPr>
          <w:p w14:paraId="4E775FD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102800</w:t>
            </w:r>
          </w:p>
        </w:tc>
        <w:tc>
          <w:tcPr>
            <w:tcW w:w="1778" w:type="dxa"/>
            <w:vAlign w:val="center"/>
          </w:tcPr>
          <w:p w14:paraId="54A3916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102800</w:t>
            </w:r>
          </w:p>
        </w:tc>
      </w:tr>
      <w:tr w:rsidR="002133E3" w14:paraId="4C69BAF8" w14:textId="77777777">
        <w:tc>
          <w:tcPr>
            <w:tcW w:w="1777" w:type="dxa"/>
            <w:vAlign w:val="center"/>
          </w:tcPr>
          <w:p w14:paraId="7EC953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烟纹</w:t>
            </w:r>
          </w:p>
        </w:tc>
        <w:tc>
          <w:tcPr>
            <w:tcW w:w="1777" w:type="dxa"/>
            <w:vAlign w:val="center"/>
          </w:tcPr>
          <w:p w14:paraId="0C99F5F3" w14:textId="77777777" w:rsidR="002133E3" w:rsidRDefault="00C22CFA">
            <w:pPr>
              <w:rPr>
                <w:rFonts w:ascii="Times New Roman" w:eastAsia="宋体" w:hAnsi="Times New Roman" w:cs="Times New Roman"/>
                <w:szCs w:val="21"/>
              </w:rPr>
            </w:pPr>
            <w:r>
              <w:rPr>
                <w:rFonts w:ascii="宋体" w:eastAsia="宋体" w:hAnsi="宋体" w:cs="宋体" w:hint="eastAsia"/>
                <w:szCs w:val="21"/>
              </w:rPr>
              <w:t>℃</w:t>
            </w:r>
          </w:p>
        </w:tc>
        <w:tc>
          <w:tcPr>
            <w:tcW w:w="1777" w:type="dxa"/>
            <w:vAlign w:val="center"/>
          </w:tcPr>
          <w:p w14:paraId="097D101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1777" w:type="dxa"/>
            <w:vAlign w:val="center"/>
          </w:tcPr>
          <w:p w14:paraId="1DDE3D2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1777" w:type="dxa"/>
            <w:vAlign w:val="center"/>
          </w:tcPr>
          <w:p w14:paraId="71DC1CD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41</w:t>
            </w:r>
          </w:p>
        </w:tc>
        <w:tc>
          <w:tcPr>
            <w:tcW w:w="1777" w:type="dxa"/>
            <w:vAlign w:val="center"/>
          </w:tcPr>
          <w:p w14:paraId="244B35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c>
          <w:tcPr>
            <w:tcW w:w="1778" w:type="dxa"/>
            <w:vAlign w:val="center"/>
          </w:tcPr>
          <w:p w14:paraId="74552CF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39</w:t>
            </w:r>
          </w:p>
        </w:tc>
        <w:tc>
          <w:tcPr>
            <w:tcW w:w="1778" w:type="dxa"/>
            <w:vAlign w:val="center"/>
          </w:tcPr>
          <w:p w14:paraId="02A9F00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40</w:t>
            </w:r>
          </w:p>
        </w:tc>
      </w:tr>
      <w:tr w:rsidR="002133E3" w14:paraId="2D403DCB" w14:textId="77777777">
        <w:tc>
          <w:tcPr>
            <w:tcW w:w="1777" w:type="dxa"/>
            <w:vAlign w:val="center"/>
          </w:tcPr>
          <w:p w14:paraId="0F369D0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烟气静压</w:t>
            </w:r>
          </w:p>
        </w:tc>
        <w:tc>
          <w:tcPr>
            <w:tcW w:w="1777" w:type="dxa"/>
            <w:vAlign w:val="center"/>
          </w:tcPr>
          <w:p w14:paraId="3D33EE3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777" w:type="dxa"/>
            <w:vAlign w:val="center"/>
          </w:tcPr>
          <w:p w14:paraId="0C467C7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w:t>
            </w:r>
          </w:p>
        </w:tc>
        <w:tc>
          <w:tcPr>
            <w:tcW w:w="1777" w:type="dxa"/>
            <w:vAlign w:val="center"/>
          </w:tcPr>
          <w:p w14:paraId="0720A0F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-20</w:t>
            </w:r>
          </w:p>
        </w:tc>
        <w:tc>
          <w:tcPr>
            <w:tcW w:w="1777" w:type="dxa"/>
            <w:vAlign w:val="center"/>
          </w:tcPr>
          <w:p w14:paraId="09CBFA2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w:t>
            </w:r>
          </w:p>
        </w:tc>
        <w:tc>
          <w:tcPr>
            <w:tcW w:w="1777" w:type="dxa"/>
            <w:vAlign w:val="center"/>
          </w:tcPr>
          <w:p w14:paraId="714761A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w:t>
            </w:r>
          </w:p>
        </w:tc>
        <w:tc>
          <w:tcPr>
            <w:tcW w:w="1778" w:type="dxa"/>
            <w:vAlign w:val="center"/>
          </w:tcPr>
          <w:p w14:paraId="5A7A678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w:t>
            </w:r>
          </w:p>
        </w:tc>
        <w:tc>
          <w:tcPr>
            <w:tcW w:w="1778" w:type="dxa"/>
            <w:vAlign w:val="center"/>
          </w:tcPr>
          <w:p w14:paraId="24E2D63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w:t>
            </w:r>
          </w:p>
        </w:tc>
      </w:tr>
      <w:tr w:rsidR="002133E3" w14:paraId="637A1BCF" w14:textId="77777777">
        <w:tc>
          <w:tcPr>
            <w:tcW w:w="1777" w:type="dxa"/>
            <w:vAlign w:val="center"/>
          </w:tcPr>
          <w:p w14:paraId="148F51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烟气密度</w:t>
            </w:r>
          </w:p>
        </w:tc>
        <w:tc>
          <w:tcPr>
            <w:tcW w:w="1777" w:type="dxa"/>
            <w:vAlign w:val="center"/>
          </w:tcPr>
          <w:p w14:paraId="5931349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kg/m3</w:t>
            </w:r>
          </w:p>
        </w:tc>
        <w:tc>
          <w:tcPr>
            <w:tcW w:w="1777" w:type="dxa"/>
            <w:vAlign w:val="center"/>
          </w:tcPr>
          <w:p w14:paraId="4FBBCD4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1.1879</w:t>
            </w:r>
          </w:p>
        </w:tc>
        <w:tc>
          <w:tcPr>
            <w:tcW w:w="1777" w:type="dxa"/>
            <w:vAlign w:val="center"/>
          </w:tcPr>
          <w:p w14:paraId="72BF657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1.1879</w:t>
            </w:r>
          </w:p>
        </w:tc>
        <w:tc>
          <w:tcPr>
            <w:tcW w:w="1777" w:type="dxa"/>
            <w:vAlign w:val="center"/>
          </w:tcPr>
          <w:p w14:paraId="33A3D74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1.1842</w:t>
            </w:r>
          </w:p>
        </w:tc>
        <w:tc>
          <w:tcPr>
            <w:tcW w:w="1777" w:type="dxa"/>
            <w:vAlign w:val="center"/>
          </w:tcPr>
          <w:p w14:paraId="2F85907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1.1856</w:t>
            </w:r>
          </w:p>
        </w:tc>
        <w:tc>
          <w:tcPr>
            <w:tcW w:w="1778" w:type="dxa"/>
            <w:vAlign w:val="center"/>
          </w:tcPr>
          <w:p w14:paraId="3202D88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1.1894</w:t>
            </w:r>
          </w:p>
        </w:tc>
        <w:tc>
          <w:tcPr>
            <w:tcW w:w="1778" w:type="dxa"/>
            <w:vAlign w:val="center"/>
          </w:tcPr>
          <w:p w14:paraId="3239839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1.1856</w:t>
            </w:r>
          </w:p>
        </w:tc>
      </w:tr>
      <w:tr w:rsidR="002133E3" w14:paraId="5002A1EA" w14:textId="77777777">
        <w:tc>
          <w:tcPr>
            <w:tcW w:w="1777" w:type="dxa"/>
            <w:vAlign w:val="center"/>
          </w:tcPr>
          <w:p w14:paraId="5E89B9E0" w14:textId="77777777" w:rsidR="002133E3" w:rsidRDefault="00C22CFA">
            <w:pPr>
              <w:rPr>
                <w:rFonts w:ascii="Times New Roman" w:eastAsia="宋体" w:hAnsi="Times New Roman" w:cs="Times New Roman"/>
                <w:szCs w:val="21"/>
              </w:rPr>
            </w:pPr>
            <w:proofErr w:type="spellStart"/>
            <w:r>
              <w:rPr>
                <w:rFonts w:ascii="Times New Roman" w:eastAsia="宋体" w:hAnsi="Times New Roman" w:cs="Times New Roman"/>
                <w:szCs w:val="21"/>
              </w:rPr>
              <w:t>kp</w:t>
            </w:r>
            <w:proofErr w:type="spellEnd"/>
          </w:p>
        </w:tc>
        <w:tc>
          <w:tcPr>
            <w:tcW w:w="1777" w:type="dxa"/>
            <w:vAlign w:val="center"/>
          </w:tcPr>
          <w:p w14:paraId="64ACB2D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777" w:type="dxa"/>
            <w:vAlign w:val="center"/>
          </w:tcPr>
          <w:p w14:paraId="5056EF7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77" w:type="dxa"/>
            <w:vAlign w:val="center"/>
          </w:tcPr>
          <w:p w14:paraId="322CF1D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77" w:type="dxa"/>
            <w:vAlign w:val="center"/>
          </w:tcPr>
          <w:p w14:paraId="0146572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77" w:type="dxa"/>
            <w:vAlign w:val="center"/>
          </w:tcPr>
          <w:p w14:paraId="028AB77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78" w:type="dxa"/>
            <w:vAlign w:val="center"/>
          </w:tcPr>
          <w:p w14:paraId="1EADBFA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c>
          <w:tcPr>
            <w:tcW w:w="1778" w:type="dxa"/>
            <w:vAlign w:val="center"/>
          </w:tcPr>
          <w:p w14:paraId="0A9D4F9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0.84</w:t>
            </w:r>
          </w:p>
        </w:tc>
      </w:tr>
      <w:tr w:rsidR="002133E3" w14:paraId="20AEE515" w14:textId="77777777">
        <w:tc>
          <w:tcPr>
            <w:tcW w:w="1777" w:type="dxa"/>
            <w:vAlign w:val="center"/>
          </w:tcPr>
          <w:p w14:paraId="100A789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动压值</w:t>
            </w:r>
          </w:p>
        </w:tc>
        <w:tc>
          <w:tcPr>
            <w:tcW w:w="1777" w:type="dxa"/>
            <w:vAlign w:val="center"/>
          </w:tcPr>
          <w:p w14:paraId="7CC134A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Pa</w:t>
            </w:r>
          </w:p>
        </w:tc>
        <w:tc>
          <w:tcPr>
            <w:tcW w:w="1777" w:type="dxa"/>
            <w:vAlign w:val="center"/>
          </w:tcPr>
          <w:p w14:paraId="1B0D2DC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247</w:t>
            </w:r>
          </w:p>
        </w:tc>
        <w:tc>
          <w:tcPr>
            <w:tcW w:w="1777" w:type="dxa"/>
            <w:vAlign w:val="center"/>
          </w:tcPr>
          <w:p w14:paraId="63A1052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251</w:t>
            </w:r>
          </w:p>
        </w:tc>
        <w:tc>
          <w:tcPr>
            <w:tcW w:w="1777" w:type="dxa"/>
            <w:vAlign w:val="center"/>
          </w:tcPr>
          <w:p w14:paraId="335074C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240</w:t>
            </w:r>
          </w:p>
        </w:tc>
        <w:tc>
          <w:tcPr>
            <w:tcW w:w="1777" w:type="dxa"/>
            <w:vAlign w:val="center"/>
          </w:tcPr>
          <w:p w14:paraId="309DB41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235</w:t>
            </w:r>
          </w:p>
        </w:tc>
        <w:tc>
          <w:tcPr>
            <w:tcW w:w="1778" w:type="dxa"/>
            <w:vAlign w:val="center"/>
          </w:tcPr>
          <w:p w14:paraId="2D11B09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242</w:t>
            </w:r>
          </w:p>
        </w:tc>
        <w:tc>
          <w:tcPr>
            <w:tcW w:w="1778" w:type="dxa"/>
            <w:vAlign w:val="center"/>
          </w:tcPr>
          <w:p w14:paraId="1AB158F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250</w:t>
            </w:r>
          </w:p>
        </w:tc>
      </w:tr>
      <w:tr w:rsidR="002133E3" w14:paraId="1631E649" w14:textId="77777777">
        <w:tc>
          <w:tcPr>
            <w:tcW w:w="1777" w:type="dxa"/>
            <w:vAlign w:val="center"/>
          </w:tcPr>
          <w:p w14:paraId="709718F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烟气流速</w:t>
            </w:r>
          </w:p>
        </w:tc>
        <w:tc>
          <w:tcPr>
            <w:tcW w:w="1777" w:type="dxa"/>
            <w:vAlign w:val="center"/>
          </w:tcPr>
          <w:p w14:paraId="6FA4A5D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m/s</w:t>
            </w:r>
          </w:p>
        </w:tc>
        <w:tc>
          <w:tcPr>
            <w:tcW w:w="1777" w:type="dxa"/>
            <w:vAlign w:val="center"/>
          </w:tcPr>
          <w:p w14:paraId="1A7C516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17.13</w:t>
            </w:r>
          </w:p>
        </w:tc>
        <w:tc>
          <w:tcPr>
            <w:tcW w:w="1777" w:type="dxa"/>
            <w:vAlign w:val="center"/>
          </w:tcPr>
          <w:p w14:paraId="2E4C8E5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17.27</w:t>
            </w:r>
          </w:p>
        </w:tc>
        <w:tc>
          <w:tcPr>
            <w:tcW w:w="1777" w:type="dxa"/>
            <w:vAlign w:val="center"/>
          </w:tcPr>
          <w:p w14:paraId="49FDDEA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16.91</w:t>
            </w:r>
          </w:p>
        </w:tc>
        <w:tc>
          <w:tcPr>
            <w:tcW w:w="1777" w:type="dxa"/>
            <w:vAlign w:val="center"/>
          </w:tcPr>
          <w:p w14:paraId="2B544D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16.72</w:t>
            </w:r>
          </w:p>
        </w:tc>
        <w:tc>
          <w:tcPr>
            <w:tcW w:w="1778" w:type="dxa"/>
            <w:vAlign w:val="center"/>
          </w:tcPr>
          <w:p w14:paraId="5C28E3A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16.94</w:t>
            </w:r>
          </w:p>
        </w:tc>
        <w:tc>
          <w:tcPr>
            <w:tcW w:w="1778" w:type="dxa"/>
            <w:vAlign w:val="center"/>
          </w:tcPr>
          <w:p w14:paraId="27B2EC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17.25</w:t>
            </w:r>
          </w:p>
        </w:tc>
      </w:tr>
      <w:tr w:rsidR="002133E3" w14:paraId="5BE27998" w14:textId="77777777">
        <w:tc>
          <w:tcPr>
            <w:tcW w:w="1777" w:type="dxa"/>
            <w:vAlign w:val="center"/>
          </w:tcPr>
          <w:p w14:paraId="135C32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烟道截面积</w:t>
            </w:r>
          </w:p>
        </w:tc>
        <w:tc>
          <w:tcPr>
            <w:tcW w:w="1777" w:type="dxa"/>
            <w:vAlign w:val="center"/>
          </w:tcPr>
          <w:p w14:paraId="52FC950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m2</w:t>
            </w:r>
          </w:p>
        </w:tc>
        <w:tc>
          <w:tcPr>
            <w:tcW w:w="1777" w:type="dxa"/>
            <w:vAlign w:val="center"/>
          </w:tcPr>
          <w:p w14:paraId="3EEEE4D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0.1257</w:t>
            </w:r>
          </w:p>
        </w:tc>
        <w:tc>
          <w:tcPr>
            <w:tcW w:w="1777" w:type="dxa"/>
            <w:vAlign w:val="center"/>
          </w:tcPr>
          <w:p w14:paraId="6DCF0DF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0.1257</w:t>
            </w:r>
          </w:p>
        </w:tc>
        <w:tc>
          <w:tcPr>
            <w:tcW w:w="1777" w:type="dxa"/>
            <w:vAlign w:val="center"/>
          </w:tcPr>
          <w:p w14:paraId="3B5867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0.1257</w:t>
            </w:r>
          </w:p>
        </w:tc>
        <w:tc>
          <w:tcPr>
            <w:tcW w:w="1777" w:type="dxa"/>
            <w:vAlign w:val="center"/>
          </w:tcPr>
          <w:p w14:paraId="498C07F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0.1257</w:t>
            </w:r>
          </w:p>
        </w:tc>
        <w:tc>
          <w:tcPr>
            <w:tcW w:w="1778" w:type="dxa"/>
            <w:vAlign w:val="center"/>
          </w:tcPr>
          <w:p w14:paraId="1C1A7A5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0.1257</w:t>
            </w:r>
          </w:p>
        </w:tc>
        <w:tc>
          <w:tcPr>
            <w:tcW w:w="1778" w:type="dxa"/>
            <w:vAlign w:val="center"/>
          </w:tcPr>
          <w:p w14:paraId="3ED3BC1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0.1257</w:t>
            </w:r>
          </w:p>
        </w:tc>
      </w:tr>
      <w:tr w:rsidR="002133E3" w14:paraId="38007759" w14:textId="77777777">
        <w:tc>
          <w:tcPr>
            <w:tcW w:w="1777" w:type="dxa"/>
            <w:vAlign w:val="center"/>
          </w:tcPr>
          <w:p w14:paraId="1A5F968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测态气量</w:t>
            </w:r>
          </w:p>
        </w:tc>
        <w:tc>
          <w:tcPr>
            <w:tcW w:w="1777" w:type="dxa"/>
            <w:vAlign w:val="center"/>
          </w:tcPr>
          <w:p w14:paraId="601DCE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×103m3/h</w:t>
            </w:r>
          </w:p>
        </w:tc>
        <w:tc>
          <w:tcPr>
            <w:tcW w:w="1777" w:type="dxa"/>
            <w:vAlign w:val="center"/>
          </w:tcPr>
          <w:p w14:paraId="7281ECF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7.75</w:t>
            </w:r>
          </w:p>
        </w:tc>
        <w:tc>
          <w:tcPr>
            <w:tcW w:w="1777" w:type="dxa"/>
            <w:vAlign w:val="center"/>
          </w:tcPr>
          <w:p w14:paraId="7D6DC31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7.81</w:t>
            </w:r>
          </w:p>
        </w:tc>
        <w:tc>
          <w:tcPr>
            <w:tcW w:w="1777" w:type="dxa"/>
            <w:vAlign w:val="center"/>
          </w:tcPr>
          <w:p w14:paraId="76E2E64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7.65</w:t>
            </w:r>
          </w:p>
        </w:tc>
        <w:tc>
          <w:tcPr>
            <w:tcW w:w="1777" w:type="dxa"/>
            <w:vAlign w:val="center"/>
          </w:tcPr>
          <w:p w14:paraId="79AA36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7.57</w:t>
            </w:r>
          </w:p>
        </w:tc>
        <w:tc>
          <w:tcPr>
            <w:tcW w:w="1778" w:type="dxa"/>
            <w:vAlign w:val="center"/>
          </w:tcPr>
          <w:p w14:paraId="11EC14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7.67</w:t>
            </w:r>
          </w:p>
        </w:tc>
        <w:tc>
          <w:tcPr>
            <w:tcW w:w="1778" w:type="dxa"/>
            <w:vAlign w:val="center"/>
          </w:tcPr>
          <w:p w14:paraId="28D615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7.80</w:t>
            </w:r>
          </w:p>
        </w:tc>
      </w:tr>
      <w:tr w:rsidR="002133E3" w14:paraId="77A02D01" w14:textId="77777777">
        <w:tc>
          <w:tcPr>
            <w:tcW w:w="1777" w:type="dxa"/>
            <w:vAlign w:val="center"/>
          </w:tcPr>
          <w:p w14:paraId="04EF642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含湿量</w:t>
            </w:r>
          </w:p>
        </w:tc>
        <w:tc>
          <w:tcPr>
            <w:tcW w:w="1777" w:type="dxa"/>
            <w:vAlign w:val="center"/>
          </w:tcPr>
          <w:p w14:paraId="6EE114C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c>
          <w:tcPr>
            <w:tcW w:w="1777" w:type="dxa"/>
            <w:vAlign w:val="center"/>
          </w:tcPr>
          <w:p w14:paraId="4BE84CB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10.2</w:t>
            </w:r>
          </w:p>
        </w:tc>
        <w:tc>
          <w:tcPr>
            <w:tcW w:w="1777" w:type="dxa"/>
            <w:vAlign w:val="center"/>
          </w:tcPr>
          <w:p w14:paraId="29D3407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10.2</w:t>
            </w:r>
          </w:p>
        </w:tc>
        <w:tc>
          <w:tcPr>
            <w:tcW w:w="1777" w:type="dxa"/>
            <w:vAlign w:val="center"/>
          </w:tcPr>
          <w:p w14:paraId="285D4CC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10.1</w:t>
            </w:r>
          </w:p>
        </w:tc>
        <w:tc>
          <w:tcPr>
            <w:tcW w:w="1777" w:type="dxa"/>
            <w:vAlign w:val="center"/>
          </w:tcPr>
          <w:p w14:paraId="1E58556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w:t>
            </w:r>
          </w:p>
        </w:tc>
        <w:tc>
          <w:tcPr>
            <w:tcW w:w="1778" w:type="dxa"/>
            <w:vAlign w:val="center"/>
          </w:tcPr>
          <w:p w14:paraId="3DD2013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w:t>
            </w:r>
          </w:p>
        </w:tc>
        <w:tc>
          <w:tcPr>
            <w:tcW w:w="1778" w:type="dxa"/>
            <w:vAlign w:val="center"/>
          </w:tcPr>
          <w:p w14:paraId="3C85E4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10.3</w:t>
            </w:r>
          </w:p>
        </w:tc>
      </w:tr>
      <w:tr w:rsidR="002133E3" w14:paraId="58B6F17D" w14:textId="77777777">
        <w:tc>
          <w:tcPr>
            <w:tcW w:w="1777" w:type="dxa"/>
            <w:vAlign w:val="center"/>
          </w:tcPr>
          <w:p w14:paraId="56EB74A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标态气量</w:t>
            </w:r>
          </w:p>
        </w:tc>
        <w:tc>
          <w:tcPr>
            <w:tcW w:w="1777" w:type="dxa"/>
            <w:vAlign w:val="center"/>
          </w:tcPr>
          <w:p w14:paraId="21E6024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×104m3/h</w:t>
            </w:r>
          </w:p>
        </w:tc>
        <w:tc>
          <w:tcPr>
            <w:tcW w:w="1777" w:type="dxa"/>
            <w:vAlign w:val="center"/>
          </w:tcPr>
          <w:p w14:paraId="0FF33E8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6.17</w:t>
            </w:r>
          </w:p>
        </w:tc>
        <w:tc>
          <w:tcPr>
            <w:tcW w:w="1777" w:type="dxa"/>
            <w:vAlign w:val="center"/>
          </w:tcPr>
          <w:p w14:paraId="01B3AD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6.22</w:t>
            </w:r>
          </w:p>
        </w:tc>
        <w:tc>
          <w:tcPr>
            <w:tcW w:w="1777" w:type="dxa"/>
            <w:vAlign w:val="center"/>
          </w:tcPr>
          <w:p w14:paraId="651C47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6.08</w:t>
            </w:r>
          </w:p>
        </w:tc>
        <w:tc>
          <w:tcPr>
            <w:tcW w:w="1777" w:type="dxa"/>
            <w:vAlign w:val="center"/>
          </w:tcPr>
          <w:p w14:paraId="08EC394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6.00</w:t>
            </w:r>
          </w:p>
        </w:tc>
        <w:tc>
          <w:tcPr>
            <w:tcW w:w="1778" w:type="dxa"/>
            <w:vAlign w:val="center"/>
          </w:tcPr>
          <w:p w14:paraId="695E10C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6.10</w:t>
            </w:r>
          </w:p>
        </w:tc>
        <w:tc>
          <w:tcPr>
            <w:tcW w:w="1778" w:type="dxa"/>
            <w:vAlign w:val="center"/>
          </w:tcPr>
          <w:p w14:paraId="58B5FCF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6.19</w:t>
            </w:r>
          </w:p>
        </w:tc>
      </w:tr>
      <w:tr w:rsidR="002133E3" w14:paraId="193437AB" w14:textId="77777777">
        <w:tc>
          <w:tcPr>
            <w:tcW w:w="1777" w:type="dxa"/>
            <w:vAlign w:val="center"/>
          </w:tcPr>
          <w:p w14:paraId="7D5B2D1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乙醛排放浓度</w:t>
            </w:r>
          </w:p>
        </w:tc>
        <w:tc>
          <w:tcPr>
            <w:tcW w:w="1777" w:type="dxa"/>
            <w:vAlign w:val="center"/>
          </w:tcPr>
          <w:p w14:paraId="2DDE902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777" w:type="dxa"/>
            <w:vAlign w:val="center"/>
          </w:tcPr>
          <w:p w14:paraId="4E4DAB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7" w:type="dxa"/>
            <w:vAlign w:val="center"/>
          </w:tcPr>
          <w:p w14:paraId="14B3342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7" w:type="dxa"/>
            <w:vAlign w:val="center"/>
          </w:tcPr>
          <w:p w14:paraId="39E36B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7" w:type="dxa"/>
            <w:vAlign w:val="center"/>
          </w:tcPr>
          <w:p w14:paraId="6499DFE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8" w:type="dxa"/>
            <w:vAlign w:val="center"/>
          </w:tcPr>
          <w:p w14:paraId="7E2F0E4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8" w:type="dxa"/>
            <w:vAlign w:val="center"/>
          </w:tcPr>
          <w:p w14:paraId="6E42F16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r>
      <w:tr w:rsidR="002133E3" w14:paraId="589219D2" w14:textId="77777777">
        <w:tc>
          <w:tcPr>
            <w:tcW w:w="1777" w:type="dxa"/>
            <w:vAlign w:val="center"/>
          </w:tcPr>
          <w:p w14:paraId="03484B9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乙醛排放速率</w:t>
            </w:r>
          </w:p>
        </w:tc>
        <w:tc>
          <w:tcPr>
            <w:tcW w:w="1777" w:type="dxa"/>
            <w:vAlign w:val="center"/>
          </w:tcPr>
          <w:p w14:paraId="07891A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1777" w:type="dxa"/>
            <w:vAlign w:val="center"/>
          </w:tcPr>
          <w:p w14:paraId="31C7AC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7" w:type="dxa"/>
            <w:vAlign w:val="center"/>
          </w:tcPr>
          <w:p w14:paraId="542CDB7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7" w:type="dxa"/>
            <w:vAlign w:val="center"/>
          </w:tcPr>
          <w:p w14:paraId="57EC7E2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7" w:type="dxa"/>
            <w:vAlign w:val="center"/>
          </w:tcPr>
          <w:p w14:paraId="26B12B9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8" w:type="dxa"/>
            <w:vAlign w:val="center"/>
          </w:tcPr>
          <w:p w14:paraId="75E2E0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8" w:type="dxa"/>
            <w:vAlign w:val="center"/>
          </w:tcPr>
          <w:p w14:paraId="1BC7BC5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43535E94" w14:textId="77777777">
        <w:tc>
          <w:tcPr>
            <w:tcW w:w="1777" w:type="dxa"/>
            <w:vAlign w:val="center"/>
          </w:tcPr>
          <w:p w14:paraId="77F5658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乙醇排放浓度</w:t>
            </w:r>
          </w:p>
        </w:tc>
        <w:tc>
          <w:tcPr>
            <w:tcW w:w="1777" w:type="dxa"/>
            <w:vAlign w:val="center"/>
          </w:tcPr>
          <w:p w14:paraId="1C45D161"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mg/m3</w:t>
            </w:r>
          </w:p>
        </w:tc>
        <w:tc>
          <w:tcPr>
            <w:tcW w:w="1777" w:type="dxa"/>
            <w:vAlign w:val="center"/>
          </w:tcPr>
          <w:p w14:paraId="3D7E332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7" w:type="dxa"/>
            <w:vAlign w:val="center"/>
          </w:tcPr>
          <w:p w14:paraId="2D7D52D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7" w:type="dxa"/>
            <w:vAlign w:val="center"/>
          </w:tcPr>
          <w:p w14:paraId="3BE086C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7" w:type="dxa"/>
            <w:vAlign w:val="center"/>
          </w:tcPr>
          <w:p w14:paraId="2F9F7DB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8" w:type="dxa"/>
            <w:vAlign w:val="center"/>
          </w:tcPr>
          <w:p w14:paraId="14A6FE9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c>
          <w:tcPr>
            <w:tcW w:w="1778" w:type="dxa"/>
            <w:vAlign w:val="center"/>
          </w:tcPr>
          <w:p w14:paraId="6581E5A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ND</w:t>
            </w:r>
          </w:p>
        </w:tc>
      </w:tr>
      <w:tr w:rsidR="002133E3" w14:paraId="25F845CF" w14:textId="77777777">
        <w:tc>
          <w:tcPr>
            <w:tcW w:w="1777" w:type="dxa"/>
            <w:vAlign w:val="center"/>
          </w:tcPr>
          <w:p w14:paraId="70602EB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乙醇排放速率</w:t>
            </w:r>
          </w:p>
        </w:tc>
        <w:tc>
          <w:tcPr>
            <w:tcW w:w="1777" w:type="dxa"/>
            <w:vAlign w:val="center"/>
          </w:tcPr>
          <w:p w14:paraId="34ED83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kg/h</w:t>
            </w:r>
          </w:p>
        </w:tc>
        <w:tc>
          <w:tcPr>
            <w:tcW w:w="1777" w:type="dxa"/>
            <w:vAlign w:val="center"/>
          </w:tcPr>
          <w:p w14:paraId="16C8FF0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7" w:type="dxa"/>
            <w:vAlign w:val="center"/>
          </w:tcPr>
          <w:p w14:paraId="37EBCA8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7" w:type="dxa"/>
            <w:vAlign w:val="center"/>
          </w:tcPr>
          <w:p w14:paraId="6BC5EFA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7" w:type="dxa"/>
            <w:vAlign w:val="center"/>
          </w:tcPr>
          <w:p w14:paraId="23883D4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8" w:type="dxa"/>
            <w:vAlign w:val="center"/>
          </w:tcPr>
          <w:p w14:paraId="3CA4863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c>
          <w:tcPr>
            <w:tcW w:w="1778" w:type="dxa"/>
            <w:vAlign w:val="center"/>
          </w:tcPr>
          <w:p w14:paraId="0EBDE49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未检出</w:t>
            </w:r>
          </w:p>
        </w:tc>
      </w:tr>
      <w:tr w:rsidR="002133E3" w14:paraId="633BBAF7" w14:textId="77777777">
        <w:tc>
          <w:tcPr>
            <w:tcW w:w="1777" w:type="dxa"/>
            <w:vAlign w:val="center"/>
          </w:tcPr>
          <w:p w14:paraId="409AE9D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烟道尺寸</w:t>
            </w:r>
          </w:p>
        </w:tc>
        <w:tc>
          <w:tcPr>
            <w:tcW w:w="1777" w:type="dxa"/>
            <w:vAlign w:val="center"/>
          </w:tcPr>
          <w:p w14:paraId="1208EC0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m</w:t>
            </w:r>
          </w:p>
        </w:tc>
        <w:tc>
          <w:tcPr>
            <w:tcW w:w="10664" w:type="dxa"/>
            <w:gridSpan w:val="6"/>
            <w:vAlign w:val="center"/>
          </w:tcPr>
          <w:p w14:paraId="7B5411C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0.4</w:t>
            </w:r>
          </w:p>
        </w:tc>
      </w:tr>
    </w:tbl>
    <w:p w14:paraId="05807950" w14:textId="77777777" w:rsidR="002133E3" w:rsidRDefault="002133E3">
      <w:pPr>
        <w:spacing w:line="520" w:lineRule="exact"/>
        <w:jc w:val="center"/>
        <w:rPr>
          <w:rFonts w:ascii="Times New Roman" w:eastAsia="宋体" w:hAnsi="Times New Roman" w:cs="Times New Roman"/>
          <w:b/>
          <w:bCs/>
          <w:sz w:val="24"/>
          <w:szCs w:val="20"/>
        </w:rPr>
      </w:pPr>
    </w:p>
    <w:p w14:paraId="2CBAB4E6" w14:textId="77777777" w:rsidR="002133E3" w:rsidRDefault="002133E3">
      <w:pPr>
        <w:widowControl/>
        <w:spacing w:line="520" w:lineRule="exact"/>
        <w:ind w:firstLineChars="200" w:firstLine="562"/>
        <w:jc w:val="center"/>
        <w:rPr>
          <w:rFonts w:ascii="Times New Roman" w:eastAsia="宋体" w:hAnsi="Times New Roman" w:cs="Times New Roman"/>
          <w:b/>
          <w:bCs/>
          <w:kern w:val="0"/>
          <w:sz w:val="28"/>
          <w:szCs w:val="28"/>
        </w:rPr>
        <w:sectPr w:rsidR="002133E3">
          <w:pgSz w:w="16838" w:h="11906" w:orient="landscape"/>
          <w:pgMar w:top="1134" w:right="1134" w:bottom="1134" w:left="1134" w:header="851" w:footer="992" w:gutter="0"/>
          <w:cols w:space="720"/>
          <w:docGrid w:linePitch="312"/>
        </w:sectPr>
      </w:pPr>
    </w:p>
    <w:p w14:paraId="11BAB64C"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lastRenderedPageBreak/>
        <w:t>（</w:t>
      </w:r>
      <w:r>
        <w:rPr>
          <w:rFonts w:ascii="Times New Roman" w:eastAsia="宋体" w:hAnsi="Times New Roman" w:cs="Times New Roman"/>
          <w:b/>
          <w:bCs/>
          <w:kern w:val="0"/>
          <w:sz w:val="28"/>
          <w:szCs w:val="28"/>
        </w:rPr>
        <w:t>3</w:t>
      </w:r>
      <w:r>
        <w:rPr>
          <w:rFonts w:ascii="Times New Roman" w:eastAsia="宋体" w:hAnsi="Times New Roman" w:cs="Times New Roman"/>
          <w:b/>
          <w:bCs/>
          <w:kern w:val="0"/>
          <w:sz w:val="28"/>
          <w:szCs w:val="28"/>
        </w:rPr>
        <w:t>）年产</w:t>
      </w:r>
      <w:r>
        <w:rPr>
          <w:rFonts w:ascii="Times New Roman" w:eastAsia="宋体" w:hAnsi="Times New Roman" w:cs="Times New Roman"/>
          <w:b/>
          <w:bCs/>
          <w:kern w:val="0"/>
          <w:sz w:val="28"/>
          <w:szCs w:val="28"/>
        </w:rPr>
        <w:t xml:space="preserve"> 6 </w:t>
      </w:r>
      <w:r>
        <w:rPr>
          <w:rFonts w:ascii="Times New Roman" w:eastAsia="宋体" w:hAnsi="Times New Roman" w:cs="Times New Roman"/>
          <w:b/>
          <w:bCs/>
          <w:kern w:val="0"/>
          <w:sz w:val="28"/>
          <w:szCs w:val="28"/>
        </w:rPr>
        <w:t>万吨发酵法混合物技改项目验收监测</w:t>
      </w:r>
    </w:p>
    <w:p w14:paraId="42F033D0"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项目有组织废气为生产中产生的各类工艺废气，包括粉尘废气（淀粉、蛋白质及其他固形物等）及有机废气（丁醇、丙酮、乙醇及乙醛等），分别经吸收与</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吸附处置后排放。</w:t>
      </w:r>
    </w:p>
    <w:p w14:paraId="140080DE"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蒸煮工序主要为格栅、粗碎、风选及细碎工段产生的粉尘（</w:t>
      </w:r>
      <w:r>
        <w:rPr>
          <w:rFonts w:ascii="Times New Roman" w:eastAsia="宋体" w:hAnsi="Times New Roman" w:cs="Times New Roman"/>
          <w:kern w:val="0"/>
          <w:sz w:val="28"/>
          <w:szCs w:val="28"/>
        </w:rPr>
        <w:t>G1</w:t>
      </w:r>
      <w:r>
        <w:rPr>
          <w:rFonts w:ascii="Times New Roman" w:eastAsia="宋体" w:hAnsi="Times New Roman" w:cs="Times New Roman"/>
          <w:kern w:val="0"/>
          <w:sz w:val="28"/>
          <w:szCs w:val="28"/>
        </w:rPr>
        <w:t>）。由于上述工段均为密闭生产线，粉尘经统一收集后经水膜除尘系统处理后，经两个</w:t>
      </w:r>
      <w:r>
        <w:rPr>
          <w:rFonts w:ascii="Times New Roman" w:eastAsia="宋体" w:hAnsi="Times New Roman" w:cs="Times New Roman"/>
          <w:kern w:val="0"/>
          <w:sz w:val="28"/>
          <w:szCs w:val="28"/>
        </w:rPr>
        <w:t xml:space="preserve"> 20m </w:t>
      </w:r>
      <w:r>
        <w:rPr>
          <w:rFonts w:ascii="Times New Roman" w:eastAsia="宋体" w:hAnsi="Times New Roman" w:cs="Times New Roman"/>
          <w:kern w:val="0"/>
          <w:sz w:val="28"/>
          <w:szCs w:val="28"/>
        </w:rPr>
        <w:t>高</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排气筒排放（</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备用）。</w:t>
      </w:r>
    </w:p>
    <w:p w14:paraId="725C7101"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发酵工序废气主要为发酵罐产生的发酵废气（</w:t>
      </w:r>
      <w:r>
        <w:rPr>
          <w:rFonts w:ascii="Times New Roman" w:eastAsia="宋体" w:hAnsi="Times New Roman" w:cs="Times New Roman"/>
          <w:kern w:val="0"/>
          <w:sz w:val="28"/>
          <w:szCs w:val="28"/>
        </w:rPr>
        <w:t>G2</w:t>
      </w:r>
      <w:r>
        <w:rPr>
          <w:rFonts w:ascii="Times New Roman" w:eastAsia="宋体" w:hAnsi="Times New Roman" w:cs="Times New Roman"/>
          <w:kern w:val="0"/>
          <w:sz w:val="28"/>
          <w:szCs w:val="28"/>
        </w:rPr>
        <w:t>），该股废气经三级水喷淋</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吸收后排放（</w:t>
      </w:r>
      <w:r>
        <w:rPr>
          <w:rFonts w:ascii="Times New Roman" w:eastAsia="宋体" w:hAnsi="Times New Roman" w:cs="Times New Roman"/>
          <w:kern w:val="0"/>
          <w:sz w:val="28"/>
          <w:szCs w:val="28"/>
        </w:rPr>
        <w:t>4#</w:t>
      </w:r>
      <w:r>
        <w:rPr>
          <w:rFonts w:ascii="Times New Roman" w:eastAsia="宋体" w:hAnsi="Times New Roman" w:cs="Times New Roman"/>
          <w:kern w:val="0"/>
          <w:sz w:val="28"/>
          <w:szCs w:val="28"/>
        </w:rPr>
        <w:t>），对水喷淋吸收排水回收进入生产，废气经</w:t>
      </w:r>
      <w:r>
        <w:rPr>
          <w:rFonts w:ascii="Times New Roman" w:eastAsia="宋体" w:hAnsi="Times New Roman" w:cs="Times New Roman"/>
          <w:kern w:val="0"/>
          <w:sz w:val="28"/>
          <w:szCs w:val="28"/>
        </w:rPr>
        <w:t xml:space="preserve"> 1 </w:t>
      </w:r>
      <w:r>
        <w:rPr>
          <w:rFonts w:ascii="Times New Roman" w:eastAsia="宋体" w:hAnsi="Times New Roman" w:cs="Times New Roman"/>
          <w:kern w:val="0"/>
          <w:sz w:val="28"/>
          <w:szCs w:val="28"/>
        </w:rPr>
        <w:t>根</w:t>
      </w:r>
      <w:r>
        <w:rPr>
          <w:rFonts w:ascii="Times New Roman" w:eastAsia="宋体" w:hAnsi="Times New Roman" w:cs="Times New Roman"/>
          <w:kern w:val="0"/>
          <w:sz w:val="28"/>
          <w:szCs w:val="28"/>
        </w:rPr>
        <w:t xml:space="preserve"> 25m </w:t>
      </w:r>
      <w:r>
        <w:rPr>
          <w:rFonts w:ascii="Times New Roman" w:eastAsia="宋体" w:hAnsi="Times New Roman" w:cs="Times New Roman"/>
          <w:kern w:val="0"/>
          <w:sz w:val="28"/>
          <w:szCs w:val="28"/>
        </w:rPr>
        <w:t>高排气</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筒排放。</w:t>
      </w:r>
    </w:p>
    <w:p w14:paraId="5F682195"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分离工序废气主要为冷凝工序产生的不凝气（</w:t>
      </w:r>
      <w:r>
        <w:rPr>
          <w:rFonts w:ascii="Times New Roman" w:eastAsia="宋体" w:hAnsi="Times New Roman" w:cs="Times New Roman"/>
          <w:kern w:val="0"/>
          <w:sz w:val="28"/>
          <w:szCs w:val="28"/>
        </w:rPr>
        <w:t>G3</w:t>
      </w:r>
      <w:r>
        <w:rPr>
          <w:rFonts w:ascii="Times New Roman" w:eastAsia="宋体" w:hAnsi="Times New Roman" w:cs="Times New Roman"/>
          <w:kern w:val="0"/>
          <w:sz w:val="28"/>
          <w:szCs w:val="28"/>
        </w:rPr>
        <w:t>），不凝气经收集后引入一</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套三级水吸收系统进行集中处理后，通过</w:t>
      </w:r>
      <w:r>
        <w:rPr>
          <w:rFonts w:ascii="Times New Roman" w:eastAsia="宋体" w:hAnsi="Times New Roman" w:cs="Times New Roman"/>
          <w:kern w:val="0"/>
          <w:sz w:val="28"/>
          <w:szCs w:val="28"/>
        </w:rPr>
        <w:t xml:space="preserve"> 1 </w:t>
      </w:r>
      <w:r>
        <w:rPr>
          <w:rFonts w:ascii="Times New Roman" w:eastAsia="宋体" w:hAnsi="Times New Roman" w:cs="Times New Roman"/>
          <w:kern w:val="0"/>
          <w:sz w:val="28"/>
          <w:szCs w:val="28"/>
        </w:rPr>
        <w:t>根</w:t>
      </w:r>
      <w:r>
        <w:rPr>
          <w:rFonts w:ascii="Times New Roman" w:eastAsia="宋体" w:hAnsi="Times New Roman" w:cs="Times New Roman"/>
          <w:kern w:val="0"/>
          <w:sz w:val="28"/>
          <w:szCs w:val="28"/>
        </w:rPr>
        <w:t xml:space="preserve"> 25m </w:t>
      </w:r>
      <w:r>
        <w:rPr>
          <w:rFonts w:ascii="Times New Roman" w:eastAsia="宋体" w:hAnsi="Times New Roman" w:cs="Times New Roman"/>
          <w:kern w:val="0"/>
          <w:sz w:val="28"/>
          <w:szCs w:val="28"/>
        </w:rPr>
        <w:t>高排气筒（</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）排放。</w:t>
      </w:r>
    </w:p>
    <w:p w14:paraId="38DD3276"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厂区污水站产生的氨和硫化氢接入附近的废气吸收设施，经一级水吸收后由</w:t>
      </w:r>
      <w:r>
        <w:rPr>
          <w:rFonts w:ascii="Times New Roman" w:eastAsia="宋体" w:hAnsi="Times New Roman" w:cs="Times New Roman"/>
          <w:kern w:val="0"/>
          <w:sz w:val="28"/>
          <w:szCs w:val="28"/>
        </w:rPr>
        <w:t xml:space="preserve">15 m </w:t>
      </w:r>
      <w:r>
        <w:rPr>
          <w:rFonts w:ascii="Times New Roman" w:eastAsia="宋体" w:hAnsi="Times New Roman" w:cs="Times New Roman"/>
          <w:kern w:val="0"/>
          <w:sz w:val="28"/>
          <w:szCs w:val="28"/>
        </w:rPr>
        <w:t>高排气筒（</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）排放。</w:t>
      </w:r>
    </w:p>
    <w:p w14:paraId="18E5B0D6" w14:textId="77777777" w:rsidR="002133E3" w:rsidRDefault="00C22CFA">
      <w:pPr>
        <w:widowControl/>
        <w:spacing w:line="520" w:lineRule="exact"/>
        <w:ind w:firstLineChars="200" w:firstLine="560"/>
        <w:jc w:val="left"/>
        <w:rPr>
          <w:rFonts w:ascii="Times New Roman" w:eastAsia="宋体" w:hAnsi="Times New Roman" w:cs="Times New Roman"/>
          <w:spacing w:val="-14"/>
          <w:kern w:val="0"/>
          <w:sz w:val="24"/>
          <w:szCs w:val="24"/>
        </w:rPr>
      </w:pPr>
      <w:r>
        <w:rPr>
          <w:rFonts w:ascii="Times New Roman" w:eastAsia="宋体" w:hAnsi="Times New Roman" w:cs="Times New Roman"/>
          <w:kern w:val="0"/>
          <w:sz w:val="28"/>
          <w:szCs w:val="28"/>
        </w:rPr>
        <w:t>2020</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月验收废气监测结果统计情况见表</w:t>
      </w:r>
      <w:r>
        <w:rPr>
          <w:rFonts w:ascii="Times New Roman" w:eastAsia="宋体" w:hAnsi="Times New Roman" w:cs="Times New Roman"/>
          <w:kern w:val="0"/>
          <w:sz w:val="28"/>
          <w:szCs w:val="28"/>
        </w:rPr>
        <w:t>3.2-18</w:t>
      </w:r>
      <w:r>
        <w:rPr>
          <w:rFonts w:ascii="Times New Roman" w:eastAsia="宋体" w:hAnsi="Times New Roman" w:cs="Times New Roman"/>
          <w:kern w:val="0"/>
          <w:sz w:val="28"/>
          <w:szCs w:val="28"/>
        </w:rPr>
        <w:t>，监测结果表明：项目有组织排放各污染物能够满足相应的排放标准浓度限值以及排放速率的相关要求。</w:t>
      </w:r>
    </w:p>
    <w:p w14:paraId="3EBDBEA9"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3.2-18   </w:t>
      </w:r>
      <w:r>
        <w:rPr>
          <w:rFonts w:ascii="Times New Roman" w:eastAsia="宋体" w:hAnsi="Times New Roman" w:cs="Times New Roman"/>
          <w:b/>
          <w:bCs/>
          <w:szCs w:val="21"/>
        </w:rPr>
        <w:t>有组织废气检测结果及评价</w:t>
      </w:r>
      <w:r>
        <w:rPr>
          <w:rFonts w:ascii="Times New Roman" w:eastAsia="宋体" w:hAnsi="Times New Roman" w:cs="Times New Roman"/>
          <w:b/>
          <w:bCs/>
          <w:szCs w:val="21"/>
        </w:rPr>
        <w:t>(</w:t>
      </w:r>
      <w:r>
        <w:rPr>
          <w:rFonts w:ascii="Times New Roman" w:eastAsia="宋体" w:hAnsi="Times New Roman" w:cs="Times New Roman"/>
          <w:b/>
          <w:bCs/>
          <w:szCs w:val="21"/>
        </w:rPr>
        <w:t>单位：</w:t>
      </w:r>
      <w:r>
        <w:rPr>
          <w:rFonts w:ascii="Times New Roman" w:eastAsia="宋体" w:hAnsi="Times New Roman" w:cs="Times New Roman"/>
          <w:b/>
          <w:bCs/>
          <w:szCs w:val="21"/>
        </w:rPr>
        <w:t>mg/m3)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684"/>
        <w:gridCol w:w="771"/>
        <w:gridCol w:w="861"/>
        <w:gridCol w:w="861"/>
        <w:gridCol w:w="861"/>
        <w:gridCol w:w="861"/>
        <w:gridCol w:w="861"/>
        <w:gridCol w:w="861"/>
        <w:gridCol w:w="733"/>
        <w:gridCol w:w="680"/>
        <w:gridCol w:w="867"/>
      </w:tblGrid>
      <w:tr w:rsidR="002133E3" w14:paraId="17FC9595" w14:textId="77777777">
        <w:trPr>
          <w:trHeight w:val="284"/>
          <w:jc w:val="center"/>
        </w:trPr>
        <w:tc>
          <w:tcPr>
            <w:tcW w:w="483" w:type="pct"/>
            <w:vMerge w:val="restart"/>
            <w:vAlign w:val="center"/>
          </w:tcPr>
          <w:p w14:paraId="104826B9" w14:textId="77777777" w:rsidR="002133E3" w:rsidRDefault="00C22CFA">
            <w:pPr>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监</w:t>
            </w:r>
            <w:r>
              <w:rPr>
                <w:rFonts w:ascii="Times New Roman" w:eastAsia="宋体" w:hAnsi="Times New Roman" w:cs="Times New Roman"/>
                <w:color w:val="000000"/>
                <w:kern w:val="0"/>
                <w:szCs w:val="21"/>
                <w:lang w:eastAsia="en-US"/>
              </w:rPr>
              <w:t>测</w:t>
            </w:r>
          </w:p>
          <w:p w14:paraId="3B024C11" w14:textId="77777777" w:rsidR="002133E3" w:rsidRDefault="00C22CFA">
            <w:pPr>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点位</w:t>
            </w:r>
          </w:p>
        </w:tc>
        <w:tc>
          <w:tcPr>
            <w:tcW w:w="738" w:type="pct"/>
            <w:gridSpan w:val="2"/>
            <w:vMerge w:val="restart"/>
            <w:vAlign w:val="center"/>
          </w:tcPr>
          <w:p w14:paraId="622CFF3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监测项目</w:t>
            </w:r>
          </w:p>
        </w:tc>
        <w:tc>
          <w:tcPr>
            <w:tcW w:w="2622" w:type="pct"/>
            <w:gridSpan w:val="6"/>
            <w:vAlign w:val="center"/>
          </w:tcPr>
          <w:p w14:paraId="7348C9E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测量值</w:t>
            </w:r>
            <w:proofErr w:type="spellEnd"/>
          </w:p>
        </w:tc>
        <w:tc>
          <w:tcPr>
            <w:tcW w:w="372" w:type="pct"/>
            <w:vMerge w:val="restart"/>
            <w:vAlign w:val="center"/>
          </w:tcPr>
          <w:p w14:paraId="4A76C80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标准</w:t>
            </w:r>
          </w:p>
          <w:p w14:paraId="49E5CE2D"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限值</w:t>
            </w:r>
          </w:p>
        </w:tc>
        <w:tc>
          <w:tcPr>
            <w:tcW w:w="345" w:type="pct"/>
            <w:vMerge w:val="restart"/>
            <w:vAlign w:val="center"/>
          </w:tcPr>
          <w:p w14:paraId="10236F5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p w14:paraId="3A72172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情况</w:t>
            </w:r>
          </w:p>
        </w:tc>
        <w:tc>
          <w:tcPr>
            <w:tcW w:w="440" w:type="pct"/>
            <w:vMerge w:val="restart"/>
            <w:vAlign w:val="center"/>
          </w:tcPr>
          <w:p w14:paraId="45EFB4E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排气筒高度</w:t>
            </w:r>
          </w:p>
        </w:tc>
      </w:tr>
      <w:tr w:rsidR="002133E3" w14:paraId="6D3FD40B" w14:textId="77777777">
        <w:trPr>
          <w:trHeight w:val="284"/>
          <w:jc w:val="center"/>
        </w:trPr>
        <w:tc>
          <w:tcPr>
            <w:tcW w:w="483" w:type="pct"/>
            <w:vMerge/>
            <w:vAlign w:val="center"/>
          </w:tcPr>
          <w:p w14:paraId="5003326B"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kern w:val="0"/>
                <w:sz w:val="22"/>
                <w:lang w:eastAsia="en-US"/>
              </w:rPr>
            </w:pPr>
          </w:p>
        </w:tc>
        <w:tc>
          <w:tcPr>
            <w:tcW w:w="738" w:type="pct"/>
            <w:gridSpan w:val="2"/>
            <w:vMerge/>
            <w:vAlign w:val="center"/>
          </w:tcPr>
          <w:p w14:paraId="25B2230A"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kern w:val="0"/>
                <w:sz w:val="22"/>
                <w:lang w:eastAsia="en-US"/>
              </w:rPr>
            </w:pPr>
          </w:p>
        </w:tc>
        <w:tc>
          <w:tcPr>
            <w:tcW w:w="1311" w:type="pct"/>
            <w:gridSpan w:val="3"/>
            <w:vAlign w:val="center"/>
          </w:tcPr>
          <w:p w14:paraId="3DF70D4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05.29</w:t>
            </w:r>
          </w:p>
        </w:tc>
        <w:tc>
          <w:tcPr>
            <w:tcW w:w="1311" w:type="pct"/>
            <w:gridSpan w:val="3"/>
            <w:vAlign w:val="center"/>
          </w:tcPr>
          <w:p w14:paraId="49C42931"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05.30</w:t>
            </w:r>
          </w:p>
        </w:tc>
        <w:tc>
          <w:tcPr>
            <w:tcW w:w="372" w:type="pct"/>
            <w:vMerge/>
            <w:vAlign w:val="center"/>
          </w:tcPr>
          <w:p w14:paraId="056D0795"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kern w:val="0"/>
                <w:sz w:val="22"/>
                <w:lang w:eastAsia="en-US"/>
              </w:rPr>
            </w:pPr>
          </w:p>
        </w:tc>
        <w:tc>
          <w:tcPr>
            <w:tcW w:w="345" w:type="pct"/>
            <w:vMerge/>
            <w:vAlign w:val="center"/>
          </w:tcPr>
          <w:p w14:paraId="42C89D3F"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kern w:val="0"/>
                <w:sz w:val="22"/>
                <w:lang w:eastAsia="en-US"/>
              </w:rPr>
            </w:pPr>
          </w:p>
        </w:tc>
        <w:tc>
          <w:tcPr>
            <w:tcW w:w="440" w:type="pct"/>
            <w:vMerge/>
            <w:vAlign w:val="center"/>
          </w:tcPr>
          <w:p w14:paraId="2545439E"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kern w:val="0"/>
                <w:sz w:val="22"/>
                <w:lang w:eastAsia="en-US"/>
              </w:rPr>
            </w:pPr>
          </w:p>
        </w:tc>
      </w:tr>
      <w:tr w:rsidR="002133E3" w14:paraId="3035CF1E" w14:textId="77777777">
        <w:trPr>
          <w:trHeight w:val="284"/>
          <w:jc w:val="center"/>
        </w:trPr>
        <w:tc>
          <w:tcPr>
            <w:tcW w:w="483" w:type="pct"/>
            <w:vMerge/>
            <w:vAlign w:val="center"/>
          </w:tcPr>
          <w:p w14:paraId="44B6AD6C"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738" w:type="pct"/>
            <w:gridSpan w:val="2"/>
            <w:vMerge/>
            <w:vAlign w:val="center"/>
          </w:tcPr>
          <w:p w14:paraId="2F27D2CA"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437" w:type="pct"/>
            <w:vAlign w:val="center"/>
          </w:tcPr>
          <w:p w14:paraId="25CE5EF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437" w:type="pct"/>
            <w:vAlign w:val="center"/>
          </w:tcPr>
          <w:p w14:paraId="791DB31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437" w:type="pct"/>
            <w:vAlign w:val="center"/>
          </w:tcPr>
          <w:p w14:paraId="036C949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437" w:type="pct"/>
            <w:vAlign w:val="center"/>
          </w:tcPr>
          <w:p w14:paraId="778DE5E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437" w:type="pct"/>
            <w:vAlign w:val="center"/>
          </w:tcPr>
          <w:p w14:paraId="19BAE3A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437" w:type="pct"/>
            <w:vAlign w:val="center"/>
          </w:tcPr>
          <w:p w14:paraId="31BD6CB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372" w:type="pct"/>
            <w:vMerge/>
            <w:vAlign w:val="center"/>
          </w:tcPr>
          <w:p w14:paraId="4B018964"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345" w:type="pct"/>
            <w:vMerge/>
            <w:vAlign w:val="center"/>
          </w:tcPr>
          <w:p w14:paraId="1500AF67"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440" w:type="pct"/>
            <w:vMerge/>
            <w:vAlign w:val="center"/>
          </w:tcPr>
          <w:p w14:paraId="5655AF60"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r>
      <w:tr w:rsidR="002133E3" w14:paraId="0FBD2FC6" w14:textId="77777777">
        <w:trPr>
          <w:trHeight w:val="284"/>
          <w:jc w:val="center"/>
        </w:trPr>
        <w:tc>
          <w:tcPr>
            <w:tcW w:w="483" w:type="pct"/>
            <w:vMerge w:val="restart"/>
            <w:vAlign w:val="center"/>
          </w:tcPr>
          <w:p w14:paraId="1B577231" w14:textId="77777777" w:rsidR="002133E3" w:rsidRDefault="00C22CFA">
            <w:pPr>
              <w:adjustRightInd w:val="0"/>
              <w:snapToGrid w:val="0"/>
              <w:spacing w:line="0" w:lineRule="atLeast"/>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蒸煮</w:t>
            </w:r>
            <w:r>
              <w:rPr>
                <w:rFonts w:ascii="Times New Roman" w:eastAsia="宋体" w:hAnsi="Times New Roman" w:cs="Times New Roman"/>
                <w:kern w:val="0"/>
                <w:szCs w:val="21"/>
                <w:lang w:eastAsia="en-US"/>
              </w:rPr>
              <w:t>车间</w:t>
            </w:r>
            <w:r>
              <w:rPr>
                <w:rFonts w:ascii="Times New Roman" w:eastAsia="宋体" w:hAnsi="Times New Roman" w:cs="Times New Roman"/>
                <w:kern w:val="0"/>
                <w:szCs w:val="21"/>
              </w:rPr>
              <w:t>1</w:t>
            </w:r>
            <w:r>
              <w:rPr>
                <w:rFonts w:ascii="Times New Roman" w:eastAsia="宋体" w:hAnsi="Times New Roman" w:cs="Times New Roman"/>
                <w:kern w:val="0"/>
                <w:szCs w:val="21"/>
              </w:rPr>
              <w:t>号机进口</w:t>
            </w:r>
          </w:p>
        </w:tc>
        <w:tc>
          <w:tcPr>
            <w:tcW w:w="738" w:type="pct"/>
            <w:gridSpan w:val="2"/>
            <w:vAlign w:val="center"/>
          </w:tcPr>
          <w:p w14:paraId="04C46F7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标干流量</w:t>
            </w:r>
          </w:p>
        </w:tc>
        <w:tc>
          <w:tcPr>
            <w:tcW w:w="437" w:type="pct"/>
            <w:vAlign w:val="center"/>
          </w:tcPr>
          <w:p w14:paraId="7EF3C08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12216</w:t>
            </w:r>
          </w:p>
        </w:tc>
        <w:tc>
          <w:tcPr>
            <w:tcW w:w="437" w:type="pct"/>
            <w:vAlign w:val="center"/>
          </w:tcPr>
          <w:p w14:paraId="682EC92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12485</w:t>
            </w:r>
          </w:p>
        </w:tc>
        <w:tc>
          <w:tcPr>
            <w:tcW w:w="437" w:type="pct"/>
            <w:vAlign w:val="center"/>
          </w:tcPr>
          <w:p w14:paraId="65E78E3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12318</w:t>
            </w:r>
          </w:p>
        </w:tc>
        <w:tc>
          <w:tcPr>
            <w:tcW w:w="437" w:type="pct"/>
            <w:vAlign w:val="center"/>
          </w:tcPr>
          <w:p w14:paraId="7F48DFC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12418</w:t>
            </w:r>
          </w:p>
        </w:tc>
        <w:tc>
          <w:tcPr>
            <w:tcW w:w="437" w:type="pct"/>
            <w:vAlign w:val="center"/>
          </w:tcPr>
          <w:p w14:paraId="29BCB2ED"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12558</w:t>
            </w:r>
          </w:p>
        </w:tc>
        <w:tc>
          <w:tcPr>
            <w:tcW w:w="437" w:type="pct"/>
            <w:vAlign w:val="center"/>
          </w:tcPr>
          <w:p w14:paraId="4728F069"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12448</w:t>
            </w:r>
          </w:p>
        </w:tc>
        <w:tc>
          <w:tcPr>
            <w:tcW w:w="372" w:type="pct"/>
            <w:vAlign w:val="center"/>
          </w:tcPr>
          <w:p w14:paraId="089BBC7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599A16A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0763839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765637B7" w14:textId="77777777">
        <w:trPr>
          <w:trHeight w:val="284"/>
          <w:jc w:val="center"/>
        </w:trPr>
        <w:tc>
          <w:tcPr>
            <w:tcW w:w="483" w:type="pct"/>
            <w:vMerge/>
            <w:vAlign w:val="center"/>
          </w:tcPr>
          <w:p w14:paraId="67DE7D91"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restart"/>
            <w:vAlign w:val="center"/>
          </w:tcPr>
          <w:p w14:paraId="5D841E2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spacing w:val="-12"/>
                <w:kern w:val="0"/>
                <w:szCs w:val="21"/>
              </w:rPr>
              <w:t>颗粒物</w:t>
            </w:r>
          </w:p>
        </w:tc>
        <w:tc>
          <w:tcPr>
            <w:tcW w:w="390" w:type="pct"/>
            <w:vAlign w:val="center"/>
          </w:tcPr>
          <w:p w14:paraId="3086CA3D"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浓度</w:t>
            </w:r>
          </w:p>
        </w:tc>
        <w:tc>
          <w:tcPr>
            <w:tcW w:w="437" w:type="pct"/>
            <w:vAlign w:val="center"/>
          </w:tcPr>
          <w:p w14:paraId="3E0965D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19930</w:t>
            </w:r>
          </w:p>
        </w:tc>
        <w:tc>
          <w:tcPr>
            <w:tcW w:w="437" w:type="pct"/>
            <w:vAlign w:val="center"/>
          </w:tcPr>
          <w:p w14:paraId="0994E79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19476</w:t>
            </w:r>
          </w:p>
        </w:tc>
        <w:tc>
          <w:tcPr>
            <w:tcW w:w="437" w:type="pct"/>
            <w:vAlign w:val="center"/>
          </w:tcPr>
          <w:p w14:paraId="3085305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19032</w:t>
            </w:r>
          </w:p>
        </w:tc>
        <w:tc>
          <w:tcPr>
            <w:tcW w:w="437" w:type="pct"/>
            <w:vAlign w:val="center"/>
          </w:tcPr>
          <w:p w14:paraId="009C8B6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19758</w:t>
            </w:r>
          </w:p>
        </w:tc>
        <w:tc>
          <w:tcPr>
            <w:tcW w:w="437" w:type="pct"/>
            <w:vAlign w:val="center"/>
          </w:tcPr>
          <w:p w14:paraId="109D4D7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19301</w:t>
            </w:r>
          </w:p>
        </w:tc>
        <w:tc>
          <w:tcPr>
            <w:tcW w:w="437" w:type="pct"/>
            <w:vAlign w:val="center"/>
          </w:tcPr>
          <w:p w14:paraId="7DB237B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19318</w:t>
            </w:r>
          </w:p>
        </w:tc>
        <w:tc>
          <w:tcPr>
            <w:tcW w:w="372" w:type="pct"/>
            <w:vAlign w:val="center"/>
          </w:tcPr>
          <w:p w14:paraId="390FFFC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35D4F9A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467AF6AD"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4253D62A" w14:textId="77777777">
        <w:trPr>
          <w:trHeight w:val="284"/>
          <w:jc w:val="center"/>
        </w:trPr>
        <w:tc>
          <w:tcPr>
            <w:tcW w:w="483" w:type="pct"/>
            <w:vMerge/>
            <w:vAlign w:val="center"/>
          </w:tcPr>
          <w:p w14:paraId="64A464C2"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ign w:val="center"/>
          </w:tcPr>
          <w:p w14:paraId="11BA5B4B"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390" w:type="pct"/>
            <w:vAlign w:val="center"/>
          </w:tcPr>
          <w:p w14:paraId="354D068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速率</w:t>
            </w:r>
          </w:p>
        </w:tc>
        <w:tc>
          <w:tcPr>
            <w:tcW w:w="437" w:type="pct"/>
            <w:vAlign w:val="center"/>
          </w:tcPr>
          <w:p w14:paraId="6700C21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243</w:t>
            </w:r>
          </w:p>
        </w:tc>
        <w:tc>
          <w:tcPr>
            <w:tcW w:w="437" w:type="pct"/>
            <w:vAlign w:val="center"/>
          </w:tcPr>
          <w:p w14:paraId="23238E2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243</w:t>
            </w:r>
          </w:p>
        </w:tc>
        <w:tc>
          <w:tcPr>
            <w:tcW w:w="437" w:type="pct"/>
            <w:vAlign w:val="center"/>
          </w:tcPr>
          <w:p w14:paraId="261244A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234</w:t>
            </w:r>
          </w:p>
        </w:tc>
        <w:tc>
          <w:tcPr>
            <w:tcW w:w="437" w:type="pct"/>
            <w:vAlign w:val="center"/>
          </w:tcPr>
          <w:p w14:paraId="25E1125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246</w:t>
            </w:r>
          </w:p>
        </w:tc>
        <w:tc>
          <w:tcPr>
            <w:tcW w:w="437" w:type="pct"/>
            <w:vAlign w:val="center"/>
          </w:tcPr>
          <w:p w14:paraId="468857C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242</w:t>
            </w:r>
          </w:p>
        </w:tc>
        <w:tc>
          <w:tcPr>
            <w:tcW w:w="437" w:type="pct"/>
            <w:vAlign w:val="center"/>
          </w:tcPr>
          <w:p w14:paraId="779B9F5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240</w:t>
            </w:r>
          </w:p>
        </w:tc>
        <w:tc>
          <w:tcPr>
            <w:tcW w:w="372" w:type="pct"/>
            <w:vAlign w:val="center"/>
          </w:tcPr>
          <w:p w14:paraId="283DB69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62925F73"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w:t>
            </w:r>
          </w:p>
        </w:tc>
        <w:tc>
          <w:tcPr>
            <w:tcW w:w="440" w:type="pct"/>
            <w:vMerge/>
            <w:vAlign w:val="center"/>
          </w:tcPr>
          <w:p w14:paraId="24649925"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39F44BD3" w14:textId="77777777">
        <w:trPr>
          <w:trHeight w:val="284"/>
          <w:jc w:val="center"/>
        </w:trPr>
        <w:tc>
          <w:tcPr>
            <w:tcW w:w="483" w:type="pct"/>
            <w:vMerge w:val="restart"/>
            <w:vAlign w:val="center"/>
          </w:tcPr>
          <w:p w14:paraId="254BEC2A" w14:textId="77777777" w:rsidR="002133E3" w:rsidRDefault="00C22CFA">
            <w:pPr>
              <w:adjustRightInd w:val="0"/>
              <w:snapToGrid w:val="0"/>
              <w:spacing w:line="0" w:lineRule="atLeast"/>
              <w:jc w:val="center"/>
              <w:rPr>
                <w:rFonts w:ascii="Times New Roman" w:eastAsia="宋体" w:hAnsi="Times New Roman" w:cs="Times New Roman"/>
                <w:color w:val="000000"/>
                <w:spacing w:val="-12"/>
                <w:kern w:val="0"/>
                <w:szCs w:val="21"/>
              </w:rPr>
            </w:pPr>
            <w:r>
              <w:rPr>
                <w:rFonts w:ascii="Times New Roman" w:eastAsia="宋体" w:hAnsi="Times New Roman" w:cs="Times New Roman"/>
                <w:kern w:val="0"/>
                <w:szCs w:val="21"/>
              </w:rPr>
              <w:t>蒸煮</w:t>
            </w:r>
            <w:r>
              <w:rPr>
                <w:rFonts w:ascii="Times New Roman" w:eastAsia="宋体" w:hAnsi="Times New Roman" w:cs="Times New Roman"/>
                <w:kern w:val="0"/>
                <w:szCs w:val="21"/>
                <w:lang w:eastAsia="en-US"/>
              </w:rPr>
              <w:t>车间</w:t>
            </w:r>
            <w:r>
              <w:rPr>
                <w:rFonts w:ascii="Times New Roman" w:eastAsia="宋体" w:hAnsi="Times New Roman" w:cs="Times New Roman"/>
                <w:kern w:val="0"/>
                <w:szCs w:val="21"/>
              </w:rPr>
              <w:t>1</w:t>
            </w:r>
            <w:r>
              <w:rPr>
                <w:rFonts w:ascii="Times New Roman" w:eastAsia="宋体" w:hAnsi="Times New Roman" w:cs="Times New Roman"/>
                <w:kern w:val="0"/>
                <w:szCs w:val="21"/>
              </w:rPr>
              <w:t>号机出口</w:t>
            </w:r>
          </w:p>
        </w:tc>
        <w:tc>
          <w:tcPr>
            <w:tcW w:w="738" w:type="pct"/>
            <w:gridSpan w:val="2"/>
            <w:vAlign w:val="center"/>
          </w:tcPr>
          <w:p w14:paraId="6CAFD81A"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31025D46"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10518</w:t>
            </w:r>
          </w:p>
        </w:tc>
        <w:tc>
          <w:tcPr>
            <w:tcW w:w="437" w:type="pct"/>
            <w:vAlign w:val="center"/>
          </w:tcPr>
          <w:p w14:paraId="42C11BC6"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10649</w:t>
            </w:r>
          </w:p>
        </w:tc>
        <w:tc>
          <w:tcPr>
            <w:tcW w:w="437" w:type="pct"/>
            <w:vAlign w:val="center"/>
          </w:tcPr>
          <w:p w14:paraId="05535080"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10253</w:t>
            </w:r>
          </w:p>
        </w:tc>
        <w:tc>
          <w:tcPr>
            <w:tcW w:w="437" w:type="pct"/>
            <w:vAlign w:val="center"/>
          </w:tcPr>
          <w:p w14:paraId="6844029C"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10898</w:t>
            </w:r>
          </w:p>
        </w:tc>
        <w:tc>
          <w:tcPr>
            <w:tcW w:w="437" w:type="pct"/>
            <w:vAlign w:val="center"/>
          </w:tcPr>
          <w:p w14:paraId="1424F8C9"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10755</w:t>
            </w:r>
          </w:p>
        </w:tc>
        <w:tc>
          <w:tcPr>
            <w:tcW w:w="437" w:type="pct"/>
            <w:vAlign w:val="center"/>
          </w:tcPr>
          <w:p w14:paraId="6968EFE3"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10371</w:t>
            </w:r>
          </w:p>
        </w:tc>
        <w:tc>
          <w:tcPr>
            <w:tcW w:w="372" w:type="pct"/>
            <w:vAlign w:val="center"/>
          </w:tcPr>
          <w:p w14:paraId="79C7D27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01E335B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049096C2"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p>
        </w:tc>
      </w:tr>
      <w:tr w:rsidR="002133E3" w14:paraId="6E2B4796" w14:textId="77777777">
        <w:trPr>
          <w:trHeight w:val="284"/>
          <w:jc w:val="center"/>
        </w:trPr>
        <w:tc>
          <w:tcPr>
            <w:tcW w:w="483" w:type="pct"/>
            <w:vMerge/>
            <w:vAlign w:val="center"/>
          </w:tcPr>
          <w:p w14:paraId="6C0DA2B9"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62289641"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颗粒物</w:t>
            </w:r>
          </w:p>
        </w:tc>
        <w:tc>
          <w:tcPr>
            <w:tcW w:w="390" w:type="pct"/>
            <w:vAlign w:val="center"/>
          </w:tcPr>
          <w:p w14:paraId="4A192FFA"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shd w:val="clear" w:color="auto" w:fill="auto"/>
            <w:vAlign w:val="center"/>
          </w:tcPr>
          <w:p w14:paraId="4352670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47.9</w:t>
            </w:r>
          </w:p>
        </w:tc>
        <w:tc>
          <w:tcPr>
            <w:tcW w:w="437" w:type="pct"/>
            <w:shd w:val="clear" w:color="auto" w:fill="auto"/>
            <w:vAlign w:val="center"/>
          </w:tcPr>
          <w:p w14:paraId="4B47763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47.9</w:t>
            </w:r>
          </w:p>
        </w:tc>
        <w:tc>
          <w:tcPr>
            <w:tcW w:w="437" w:type="pct"/>
            <w:shd w:val="clear" w:color="auto" w:fill="auto"/>
            <w:vAlign w:val="center"/>
          </w:tcPr>
          <w:p w14:paraId="0F902EA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49.5</w:t>
            </w:r>
          </w:p>
        </w:tc>
        <w:tc>
          <w:tcPr>
            <w:tcW w:w="437" w:type="pct"/>
            <w:shd w:val="clear" w:color="auto" w:fill="auto"/>
            <w:vAlign w:val="center"/>
          </w:tcPr>
          <w:p w14:paraId="295A4F0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48.8</w:t>
            </w:r>
          </w:p>
        </w:tc>
        <w:tc>
          <w:tcPr>
            <w:tcW w:w="437" w:type="pct"/>
            <w:shd w:val="clear" w:color="auto" w:fill="auto"/>
            <w:vAlign w:val="center"/>
          </w:tcPr>
          <w:p w14:paraId="0896864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47.6</w:t>
            </w:r>
          </w:p>
        </w:tc>
        <w:tc>
          <w:tcPr>
            <w:tcW w:w="437" w:type="pct"/>
            <w:shd w:val="clear" w:color="auto" w:fill="auto"/>
            <w:vAlign w:val="center"/>
          </w:tcPr>
          <w:p w14:paraId="11AA174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48.7</w:t>
            </w:r>
          </w:p>
        </w:tc>
        <w:tc>
          <w:tcPr>
            <w:tcW w:w="372" w:type="pct"/>
            <w:vAlign w:val="center"/>
          </w:tcPr>
          <w:p w14:paraId="454ADAB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120</w:t>
            </w:r>
          </w:p>
        </w:tc>
        <w:tc>
          <w:tcPr>
            <w:tcW w:w="345" w:type="pct"/>
            <w:vAlign w:val="center"/>
          </w:tcPr>
          <w:p w14:paraId="63B4E6C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2E076E9D"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1C432CE8" w14:textId="77777777">
        <w:trPr>
          <w:trHeight w:val="284"/>
          <w:jc w:val="center"/>
        </w:trPr>
        <w:tc>
          <w:tcPr>
            <w:tcW w:w="483" w:type="pct"/>
            <w:vMerge/>
            <w:vAlign w:val="center"/>
          </w:tcPr>
          <w:p w14:paraId="0D663B6F"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2602C135"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52BAC45A"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620B901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0.504</w:t>
            </w:r>
          </w:p>
        </w:tc>
        <w:tc>
          <w:tcPr>
            <w:tcW w:w="437" w:type="pct"/>
            <w:vAlign w:val="center"/>
          </w:tcPr>
          <w:p w14:paraId="70A331D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0.507</w:t>
            </w:r>
          </w:p>
        </w:tc>
        <w:tc>
          <w:tcPr>
            <w:tcW w:w="437" w:type="pct"/>
            <w:vAlign w:val="center"/>
          </w:tcPr>
          <w:p w14:paraId="3FBD135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0.508</w:t>
            </w:r>
          </w:p>
        </w:tc>
        <w:tc>
          <w:tcPr>
            <w:tcW w:w="437" w:type="pct"/>
            <w:vAlign w:val="center"/>
          </w:tcPr>
          <w:p w14:paraId="539C275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0.532</w:t>
            </w:r>
          </w:p>
        </w:tc>
        <w:tc>
          <w:tcPr>
            <w:tcW w:w="437" w:type="pct"/>
            <w:vAlign w:val="center"/>
          </w:tcPr>
          <w:p w14:paraId="289EA8B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0.512</w:t>
            </w:r>
          </w:p>
        </w:tc>
        <w:tc>
          <w:tcPr>
            <w:tcW w:w="437" w:type="pct"/>
            <w:vAlign w:val="center"/>
          </w:tcPr>
          <w:p w14:paraId="69BB92C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0.505</w:t>
            </w:r>
          </w:p>
        </w:tc>
        <w:tc>
          <w:tcPr>
            <w:tcW w:w="372" w:type="pct"/>
            <w:vAlign w:val="center"/>
          </w:tcPr>
          <w:p w14:paraId="5BFBBB4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3.5</w:t>
            </w:r>
          </w:p>
        </w:tc>
        <w:tc>
          <w:tcPr>
            <w:tcW w:w="345" w:type="pct"/>
            <w:vAlign w:val="center"/>
          </w:tcPr>
          <w:p w14:paraId="634BA552"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68122C87"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3B7F4A9D" w14:textId="77777777">
        <w:trPr>
          <w:trHeight w:val="284"/>
          <w:jc w:val="center"/>
        </w:trPr>
        <w:tc>
          <w:tcPr>
            <w:tcW w:w="483" w:type="pct"/>
            <w:vMerge w:val="restart"/>
            <w:vAlign w:val="center"/>
          </w:tcPr>
          <w:p w14:paraId="581E8F68" w14:textId="77777777" w:rsidR="002133E3" w:rsidRDefault="00C22CFA">
            <w:pPr>
              <w:adjustRightInd w:val="0"/>
              <w:snapToGrid w:val="0"/>
              <w:spacing w:line="0" w:lineRule="atLeast"/>
              <w:jc w:val="center"/>
              <w:rPr>
                <w:rFonts w:ascii="Times New Roman" w:eastAsia="宋体" w:hAnsi="Times New Roman" w:cs="Times New Roman"/>
                <w:color w:val="000000"/>
                <w:spacing w:val="-12"/>
                <w:kern w:val="0"/>
                <w:szCs w:val="21"/>
              </w:rPr>
            </w:pPr>
            <w:r>
              <w:rPr>
                <w:rFonts w:ascii="Times New Roman" w:eastAsia="宋体" w:hAnsi="Times New Roman" w:cs="Times New Roman"/>
                <w:kern w:val="0"/>
                <w:szCs w:val="21"/>
              </w:rPr>
              <w:t>蒸煮</w:t>
            </w:r>
            <w:r>
              <w:rPr>
                <w:rFonts w:ascii="Times New Roman" w:eastAsia="宋体" w:hAnsi="Times New Roman" w:cs="Times New Roman"/>
                <w:kern w:val="0"/>
                <w:szCs w:val="21"/>
                <w:lang w:eastAsia="en-US"/>
              </w:rPr>
              <w:t>车间</w:t>
            </w:r>
            <w:r>
              <w:rPr>
                <w:rFonts w:ascii="Times New Roman" w:eastAsia="宋体" w:hAnsi="Times New Roman" w:cs="Times New Roman"/>
                <w:kern w:val="0"/>
                <w:szCs w:val="21"/>
              </w:rPr>
              <w:t>3</w:t>
            </w:r>
            <w:r>
              <w:rPr>
                <w:rFonts w:ascii="Times New Roman" w:eastAsia="宋体" w:hAnsi="Times New Roman" w:cs="Times New Roman"/>
                <w:kern w:val="0"/>
                <w:szCs w:val="21"/>
              </w:rPr>
              <w:t>号机进口</w:t>
            </w:r>
          </w:p>
        </w:tc>
        <w:tc>
          <w:tcPr>
            <w:tcW w:w="738" w:type="pct"/>
            <w:gridSpan w:val="2"/>
            <w:vAlign w:val="center"/>
          </w:tcPr>
          <w:p w14:paraId="27705B6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1C704BD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12216</w:t>
            </w:r>
          </w:p>
        </w:tc>
        <w:tc>
          <w:tcPr>
            <w:tcW w:w="437" w:type="pct"/>
            <w:vAlign w:val="center"/>
          </w:tcPr>
          <w:p w14:paraId="1B1AA93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12303</w:t>
            </w:r>
          </w:p>
        </w:tc>
        <w:tc>
          <w:tcPr>
            <w:tcW w:w="437" w:type="pct"/>
            <w:vAlign w:val="center"/>
          </w:tcPr>
          <w:p w14:paraId="68DA4D3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12516</w:t>
            </w:r>
          </w:p>
        </w:tc>
        <w:tc>
          <w:tcPr>
            <w:tcW w:w="437" w:type="pct"/>
            <w:vAlign w:val="center"/>
          </w:tcPr>
          <w:p w14:paraId="19D2081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12418</w:t>
            </w:r>
          </w:p>
        </w:tc>
        <w:tc>
          <w:tcPr>
            <w:tcW w:w="437" w:type="pct"/>
            <w:vAlign w:val="center"/>
          </w:tcPr>
          <w:p w14:paraId="298CEF3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12114</w:t>
            </w:r>
          </w:p>
        </w:tc>
        <w:tc>
          <w:tcPr>
            <w:tcW w:w="437" w:type="pct"/>
            <w:vAlign w:val="center"/>
          </w:tcPr>
          <w:p w14:paraId="1EC0CAF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12430</w:t>
            </w:r>
          </w:p>
        </w:tc>
        <w:tc>
          <w:tcPr>
            <w:tcW w:w="372" w:type="pct"/>
            <w:vAlign w:val="center"/>
          </w:tcPr>
          <w:p w14:paraId="65367CD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765FC5D3"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533536A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17496016" w14:textId="77777777">
        <w:trPr>
          <w:trHeight w:val="284"/>
          <w:jc w:val="center"/>
        </w:trPr>
        <w:tc>
          <w:tcPr>
            <w:tcW w:w="483" w:type="pct"/>
            <w:vMerge/>
            <w:vAlign w:val="center"/>
          </w:tcPr>
          <w:p w14:paraId="1D5E329E"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41C8991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颗粒物</w:t>
            </w:r>
          </w:p>
        </w:tc>
        <w:tc>
          <w:tcPr>
            <w:tcW w:w="390" w:type="pct"/>
            <w:vAlign w:val="center"/>
          </w:tcPr>
          <w:p w14:paraId="47A6AC7A"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vAlign w:val="center"/>
          </w:tcPr>
          <w:p w14:paraId="60338DF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27116</w:t>
            </w:r>
          </w:p>
        </w:tc>
        <w:tc>
          <w:tcPr>
            <w:tcW w:w="437" w:type="pct"/>
            <w:vAlign w:val="center"/>
          </w:tcPr>
          <w:p w14:paraId="34DA788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27163</w:t>
            </w:r>
          </w:p>
        </w:tc>
        <w:tc>
          <w:tcPr>
            <w:tcW w:w="437" w:type="pct"/>
            <w:vAlign w:val="center"/>
          </w:tcPr>
          <w:p w14:paraId="3C4DA7A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26875</w:t>
            </w:r>
          </w:p>
        </w:tc>
        <w:tc>
          <w:tcPr>
            <w:tcW w:w="437" w:type="pct"/>
            <w:vAlign w:val="center"/>
          </w:tcPr>
          <w:p w14:paraId="0A26AE9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27722</w:t>
            </w:r>
          </w:p>
        </w:tc>
        <w:tc>
          <w:tcPr>
            <w:tcW w:w="437" w:type="pct"/>
            <w:vAlign w:val="center"/>
          </w:tcPr>
          <w:p w14:paraId="0905357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25632</w:t>
            </w:r>
          </w:p>
        </w:tc>
        <w:tc>
          <w:tcPr>
            <w:tcW w:w="437" w:type="pct"/>
            <w:vAlign w:val="center"/>
          </w:tcPr>
          <w:p w14:paraId="27E1092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26601</w:t>
            </w:r>
          </w:p>
        </w:tc>
        <w:tc>
          <w:tcPr>
            <w:tcW w:w="372" w:type="pct"/>
            <w:vAlign w:val="center"/>
          </w:tcPr>
          <w:p w14:paraId="7F29A8E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7C40E66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60D2EFE0"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44E0D9EB" w14:textId="77777777">
        <w:trPr>
          <w:trHeight w:val="284"/>
          <w:jc w:val="center"/>
        </w:trPr>
        <w:tc>
          <w:tcPr>
            <w:tcW w:w="483" w:type="pct"/>
            <w:vMerge/>
            <w:vAlign w:val="center"/>
          </w:tcPr>
          <w:p w14:paraId="74F7DB32"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63A0F7A3"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31490667"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59875D4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331</w:t>
            </w:r>
          </w:p>
        </w:tc>
        <w:tc>
          <w:tcPr>
            <w:tcW w:w="437" w:type="pct"/>
            <w:vAlign w:val="center"/>
          </w:tcPr>
          <w:p w14:paraId="39117D8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334</w:t>
            </w:r>
          </w:p>
        </w:tc>
        <w:tc>
          <w:tcPr>
            <w:tcW w:w="437" w:type="pct"/>
            <w:vAlign w:val="center"/>
          </w:tcPr>
          <w:p w14:paraId="6F0961A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336</w:t>
            </w:r>
          </w:p>
        </w:tc>
        <w:tc>
          <w:tcPr>
            <w:tcW w:w="437" w:type="pct"/>
            <w:vAlign w:val="center"/>
          </w:tcPr>
          <w:p w14:paraId="55F3698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344</w:t>
            </w:r>
          </w:p>
        </w:tc>
        <w:tc>
          <w:tcPr>
            <w:tcW w:w="437" w:type="pct"/>
            <w:vAlign w:val="center"/>
          </w:tcPr>
          <w:p w14:paraId="76244C9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311</w:t>
            </w:r>
          </w:p>
        </w:tc>
        <w:tc>
          <w:tcPr>
            <w:tcW w:w="437" w:type="pct"/>
            <w:vAlign w:val="center"/>
          </w:tcPr>
          <w:p w14:paraId="699C047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331</w:t>
            </w:r>
          </w:p>
        </w:tc>
        <w:tc>
          <w:tcPr>
            <w:tcW w:w="372" w:type="pct"/>
            <w:vAlign w:val="center"/>
          </w:tcPr>
          <w:p w14:paraId="216341F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77E73FB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7D83D073"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5E91A481" w14:textId="77777777">
        <w:trPr>
          <w:trHeight w:val="284"/>
          <w:jc w:val="center"/>
        </w:trPr>
        <w:tc>
          <w:tcPr>
            <w:tcW w:w="483" w:type="pct"/>
            <w:vMerge w:val="restart"/>
            <w:vAlign w:val="center"/>
          </w:tcPr>
          <w:p w14:paraId="0114D5E1" w14:textId="77777777" w:rsidR="002133E3" w:rsidRDefault="00C22CFA">
            <w:pPr>
              <w:adjustRightInd w:val="0"/>
              <w:snapToGrid w:val="0"/>
              <w:spacing w:line="0" w:lineRule="atLeast"/>
              <w:jc w:val="center"/>
              <w:rPr>
                <w:rFonts w:ascii="Times New Roman" w:eastAsia="宋体" w:hAnsi="Times New Roman" w:cs="Times New Roman"/>
                <w:color w:val="000000"/>
                <w:spacing w:val="-12"/>
                <w:kern w:val="0"/>
                <w:szCs w:val="21"/>
              </w:rPr>
            </w:pPr>
            <w:r>
              <w:rPr>
                <w:rFonts w:ascii="Times New Roman" w:eastAsia="宋体" w:hAnsi="Times New Roman" w:cs="Times New Roman"/>
                <w:kern w:val="0"/>
                <w:szCs w:val="21"/>
              </w:rPr>
              <w:t>蒸煮</w:t>
            </w:r>
            <w:r>
              <w:rPr>
                <w:rFonts w:ascii="Times New Roman" w:eastAsia="宋体" w:hAnsi="Times New Roman" w:cs="Times New Roman"/>
                <w:kern w:val="0"/>
                <w:szCs w:val="21"/>
                <w:lang w:eastAsia="en-US"/>
              </w:rPr>
              <w:t>车间</w:t>
            </w:r>
            <w:r>
              <w:rPr>
                <w:rFonts w:ascii="Times New Roman" w:eastAsia="宋体" w:hAnsi="Times New Roman" w:cs="Times New Roman"/>
                <w:kern w:val="0"/>
                <w:szCs w:val="21"/>
              </w:rPr>
              <w:t>3</w:t>
            </w:r>
            <w:r>
              <w:rPr>
                <w:rFonts w:ascii="Times New Roman" w:eastAsia="宋体" w:hAnsi="Times New Roman" w:cs="Times New Roman"/>
                <w:kern w:val="0"/>
                <w:szCs w:val="21"/>
              </w:rPr>
              <w:t>号机出口</w:t>
            </w:r>
          </w:p>
        </w:tc>
        <w:tc>
          <w:tcPr>
            <w:tcW w:w="738" w:type="pct"/>
            <w:gridSpan w:val="2"/>
            <w:vAlign w:val="center"/>
          </w:tcPr>
          <w:p w14:paraId="175DD37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0586FF1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12340</w:t>
            </w:r>
          </w:p>
        </w:tc>
        <w:tc>
          <w:tcPr>
            <w:tcW w:w="437" w:type="pct"/>
            <w:vAlign w:val="center"/>
          </w:tcPr>
          <w:p w14:paraId="26F5A9F5"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11881</w:t>
            </w:r>
          </w:p>
        </w:tc>
        <w:tc>
          <w:tcPr>
            <w:tcW w:w="437" w:type="pct"/>
            <w:vAlign w:val="center"/>
          </w:tcPr>
          <w:p w14:paraId="3985D07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11192</w:t>
            </w:r>
          </w:p>
        </w:tc>
        <w:tc>
          <w:tcPr>
            <w:tcW w:w="437" w:type="pct"/>
            <w:vAlign w:val="center"/>
          </w:tcPr>
          <w:p w14:paraId="5D9C419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11737</w:t>
            </w:r>
          </w:p>
        </w:tc>
        <w:tc>
          <w:tcPr>
            <w:tcW w:w="437" w:type="pct"/>
            <w:vAlign w:val="center"/>
          </w:tcPr>
          <w:p w14:paraId="4E8DD8E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11884</w:t>
            </w:r>
          </w:p>
        </w:tc>
        <w:tc>
          <w:tcPr>
            <w:tcW w:w="437" w:type="pct"/>
            <w:vAlign w:val="center"/>
          </w:tcPr>
          <w:p w14:paraId="32C82BC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11888</w:t>
            </w:r>
          </w:p>
        </w:tc>
        <w:tc>
          <w:tcPr>
            <w:tcW w:w="372" w:type="pct"/>
            <w:vAlign w:val="center"/>
          </w:tcPr>
          <w:p w14:paraId="444555A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32F3BD03"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4BA6F1A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p>
        </w:tc>
      </w:tr>
      <w:tr w:rsidR="002133E3" w14:paraId="6C329EFD" w14:textId="77777777">
        <w:trPr>
          <w:trHeight w:val="284"/>
          <w:jc w:val="center"/>
        </w:trPr>
        <w:tc>
          <w:tcPr>
            <w:tcW w:w="483" w:type="pct"/>
            <w:vMerge/>
            <w:vAlign w:val="center"/>
          </w:tcPr>
          <w:p w14:paraId="1460C6FA"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5FBE1DB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颗粒物</w:t>
            </w:r>
          </w:p>
        </w:tc>
        <w:tc>
          <w:tcPr>
            <w:tcW w:w="390" w:type="pct"/>
            <w:vAlign w:val="center"/>
          </w:tcPr>
          <w:p w14:paraId="1B85E3F9"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vAlign w:val="center"/>
          </w:tcPr>
          <w:p w14:paraId="7A8784A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42.7</w:t>
            </w:r>
          </w:p>
        </w:tc>
        <w:tc>
          <w:tcPr>
            <w:tcW w:w="437" w:type="pct"/>
            <w:vAlign w:val="center"/>
          </w:tcPr>
          <w:p w14:paraId="3BF9A3A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43.4</w:t>
            </w:r>
          </w:p>
        </w:tc>
        <w:tc>
          <w:tcPr>
            <w:tcW w:w="437" w:type="pct"/>
            <w:vAlign w:val="center"/>
          </w:tcPr>
          <w:p w14:paraId="73094B4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45.7</w:t>
            </w:r>
          </w:p>
        </w:tc>
        <w:tc>
          <w:tcPr>
            <w:tcW w:w="437" w:type="pct"/>
            <w:vAlign w:val="center"/>
          </w:tcPr>
          <w:p w14:paraId="469B14A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42.8</w:t>
            </w:r>
          </w:p>
        </w:tc>
        <w:tc>
          <w:tcPr>
            <w:tcW w:w="437" w:type="pct"/>
            <w:vAlign w:val="center"/>
          </w:tcPr>
          <w:p w14:paraId="467332F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43.7</w:t>
            </w:r>
          </w:p>
        </w:tc>
        <w:tc>
          <w:tcPr>
            <w:tcW w:w="437" w:type="pct"/>
            <w:vAlign w:val="center"/>
          </w:tcPr>
          <w:p w14:paraId="4C7601D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42.9</w:t>
            </w:r>
          </w:p>
        </w:tc>
        <w:tc>
          <w:tcPr>
            <w:tcW w:w="372" w:type="pct"/>
            <w:vAlign w:val="center"/>
          </w:tcPr>
          <w:p w14:paraId="6631A17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120</w:t>
            </w:r>
          </w:p>
        </w:tc>
        <w:tc>
          <w:tcPr>
            <w:tcW w:w="345" w:type="pct"/>
            <w:vAlign w:val="center"/>
          </w:tcPr>
          <w:p w14:paraId="190B746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677E1D30"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5DA8390F" w14:textId="77777777">
        <w:trPr>
          <w:trHeight w:val="284"/>
          <w:jc w:val="center"/>
        </w:trPr>
        <w:tc>
          <w:tcPr>
            <w:tcW w:w="483" w:type="pct"/>
            <w:vMerge/>
            <w:vAlign w:val="center"/>
          </w:tcPr>
          <w:p w14:paraId="6D0A46F8"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3E518A0F"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592A45ED"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45C9853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0.484</w:t>
            </w:r>
          </w:p>
        </w:tc>
        <w:tc>
          <w:tcPr>
            <w:tcW w:w="437" w:type="pct"/>
            <w:vAlign w:val="center"/>
          </w:tcPr>
          <w:p w14:paraId="5F07787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0.516</w:t>
            </w:r>
          </w:p>
        </w:tc>
        <w:tc>
          <w:tcPr>
            <w:tcW w:w="437" w:type="pct"/>
            <w:vAlign w:val="center"/>
          </w:tcPr>
          <w:p w14:paraId="3CA4B0D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0.511</w:t>
            </w:r>
          </w:p>
        </w:tc>
        <w:tc>
          <w:tcPr>
            <w:tcW w:w="437" w:type="pct"/>
            <w:vAlign w:val="center"/>
          </w:tcPr>
          <w:p w14:paraId="1520F28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0.502</w:t>
            </w:r>
          </w:p>
        </w:tc>
        <w:tc>
          <w:tcPr>
            <w:tcW w:w="437" w:type="pct"/>
            <w:vAlign w:val="center"/>
          </w:tcPr>
          <w:p w14:paraId="2C044D3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0.519</w:t>
            </w:r>
          </w:p>
        </w:tc>
        <w:tc>
          <w:tcPr>
            <w:tcW w:w="437" w:type="pct"/>
            <w:vAlign w:val="center"/>
          </w:tcPr>
          <w:p w14:paraId="3C13886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0.510</w:t>
            </w:r>
          </w:p>
        </w:tc>
        <w:tc>
          <w:tcPr>
            <w:tcW w:w="372" w:type="pct"/>
            <w:vAlign w:val="center"/>
          </w:tcPr>
          <w:p w14:paraId="5464CB8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3.5</w:t>
            </w:r>
          </w:p>
        </w:tc>
        <w:tc>
          <w:tcPr>
            <w:tcW w:w="345" w:type="pct"/>
            <w:vAlign w:val="center"/>
          </w:tcPr>
          <w:p w14:paraId="39E1F541"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2C8AA352"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4DEB0B48" w14:textId="77777777">
        <w:trPr>
          <w:trHeight w:val="284"/>
          <w:jc w:val="center"/>
        </w:trPr>
        <w:tc>
          <w:tcPr>
            <w:tcW w:w="483" w:type="pct"/>
            <w:vMerge w:val="restart"/>
            <w:vAlign w:val="center"/>
          </w:tcPr>
          <w:p w14:paraId="19A1DE1A" w14:textId="77777777" w:rsidR="002133E3" w:rsidRDefault="00C22CFA">
            <w:pPr>
              <w:adjustRightInd w:val="0"/>
              <w:snapToGrid w:val="0"/>
              <w:spacing w:line="0" w:lineRule="atLeast"/>
              <w:jc w:val="center"/>
              <w:rPr>
                <w:rFonts w:ascii="Times New Roman" w:eastAsia="宋体" w:hAnsi="Times New Roman" w:cs="Times New Roman"/>
                <w:color w:val="000000"/>
                <w:spacing w:val="-12"/>
                <w:kern w:val="0"/>
                <w:szCs w:val="21"/>
              </w:rPr>
            </w:pPr>
            <w:r>
              <w:rPr>
                <w:rFonts w:ascii="Times New Roman" w:eastAsia="宋体" w:hAnsi="Times New Roman" w:cs="Times New Roman"/>
                <w:kern w:val="0"/>
                <w:szCs w:val="21"/>
              </w:rPr>
              <w:t>发酵</w:t>
            </w:r>
            <w:proofErr w:type="spellStart"/>
            <w:r>
              <w:rPr>
                <w:rFonts w:ascii="Times New Roman" w:eastAsia="宋体" w:hAnsi="Times New Roman" w:cs="Times New Roman"/>
                <w:kern w:val="0"/>
                <w:szCs w:val="21"/>
                <w:lang w:eastAsia="en-US"/>
              </w:rPr>
              <w:t>车间</w:t>
            </w:r>
            <w:proofErr w:type="spellEnd"/>
            <w:r>
              <w:rPr>
                <w:rFonts w:ascii="Times New Roman" w:eastAsia="宋体" w:hAnsi="Times New Roman" w:cs="Times New Roman"/>
                <w:kern w:val="0"/>
                <w:szCs w:val="21"/>
              </w:rPr>
              <w:t>进口</w:t>
            </w:r>
          </w:p>
        </w:tc>
        <w:tc>
          <w:tcPr>
            <w:tcW w:w="738" w:type="pct"/>
            <w:gridSpan w:val="2"/>
            <w:vAlign w:val="center"/>
          </w:tcPr>
          <w:p w14:paraId="71D2434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2A6B6DE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4411</w:t>
            </w:r>
          </w:p>
        </w:tc>
        <w:tc>
          <w:tcPr>
            <w:tcW w:w="437" w:type="pct"/>
            <w:vAlign w:val="center"/>
          </w:tcPr>
          <w:p w14:paraId="76642DD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4351</w:t>
            </w:r>
          </w:p>
        </w:tc>
        <w:tc>
          <w:tcPr>
            <w:tcW w:w="437" w:type="pct"/>
            <w:vAlign w:val="center"/>
          </w:tcPr>
          <w:p w14:paraId="7C3F01F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4473</w:t>
            </w:r>
          </w:p>
        </w:tc>
        <w:tc>
          <w:tcPr>
            <w:tcW w:w="437" w:type="pct"/>
            <w:vAlign w:val="center"/>
          </w:tcPr>
          <w:p w14:paraId="183B6CE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4403</w:t>
            </w:r>
          </w:p>
        </w:tc>
        <w:tc>
          <w:tcPr>
            <w:tcW w:w="437" w:type="pct"/>
            <w:vAlign w:val="center"/>
          </w:tcPr>
          <w:p w14:paraId="3ACE6DE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4398</w:t>
            </w:r>
          </w:p>
        </w:tc>
        <w:tc>
          <w:tcPr>
            <w:tcW w:w="437" w:type="pct"/>
            <w:vAlign w:val="center"/>
          </w:tcPr>
          <w:p w14:paraId="1C5A29E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4465</w:t>
            </w:r>
          </w:p>
        </w:tc>
        <w:tc>
          <w:tcPr>
            <w:tcW w:w="372" w:type="pct"/>
            <w:vAlign w:val="center"/>
          </w:tcPr>
          <w:p w14:paraId="4A06629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7201860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3F80DEA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1555EFCE" w14:textId="77777777">
        <w:trPr>
          <w:trHeight w:val="284"/>
          <w:jc w:val="center"/>
        </w:trPr>
        <w:tc>
          <w:tcPr>
            <w:tcW w:w="483" w:type="pct"/>
            <w:vMerge/>
            <w:vAlign w:val="center"/>
          </w:tcPr>
          <w:p w14:paraId="4D1C95BC"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5CA91933"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丙酮</w:t>
            </w:r>
          </w:p>
        </w:tc>
        <w:tc>
          <w:tcPr>
            <w:tcW w:w="390" w:type="pct"/>
            <w:vAlign w:val="center"/>
          </w:tcPr>
          <w:p w14:paraId="5E389371"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vAlign w:val="center"/>
          </w:tcPr>
          <w:p w14:paraId="3B7D2EB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0.19</w:t>
            </w:r>
          </w:p>
        </w:tc>
        <w:tc>
          <w:tcPr>
            <w:tcW w:w="437" w:type="pct"/>
            <w:vAlign w:val="center"/>
          </w:tcPr>
          <w:p w14:paraId="4C75119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0.25</w:t>
            </w:r>
          </w:p>
        </w:tc>
        <w:tc>
          <w:tcPr>
            <w:tcW w:w="437" w:type="pct"/>
            <w:vAlign w:val="center"/>
          </w:tcPr>
          <w:p w14:paraId="422FDCA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0.31</w:t>
            </w:r>
          </w:p>
        </w:tc>
        <w:tc>
          <w:tcPr>
            <w:tcW w:w="437" w:type="pct"/>
            <w:vAlign w:val="center"/>
          </w:tcPr>
          <w:p w14:paraId="413047C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0.15</w:t>
            </w:r>
          </w:p>
        </w:tc>
        <w:tc>
          <w:tcPr>
            <w:tcW w:w="437" w:type="pct"/>
            <w:vAlign w:val="center"/>
          </w:tcPr>
          <w:p w14:paraId="743FADE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0.19</w:t>
            </w:r>
          </w:p>
        </w:tc>
        <w:tc>
          <w:tcPr>
            <w:tcW w:w="437" w:type="pct"/>
            <w:vAlign w:val="center"/>
          </w:tcPr>
          <w:p w14:paraId="4A008C9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0.21</w:t>
            </w:r>
          </w:p>
        </w:tc>
        <w:tc>
          <w:tcPr>
            <w:tcW w:w="372" w:type="pct"/>
            <w:vAlign w:val="center"/>
          </w:tcPr>
          <w:p w14:paraId="121DF33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2207681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1130B9D6"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331C2603" w14:textId="77777777">
        <w:trPr>
          <w:trHeight w:val="284"/>
          <w:jc w:val="center"/>
        </w:trPr>
        <w:tc>
          <w:tcPr>
            <w:tcW w:w="483" w:type="pct"/>
            <w:vMerge/>
            <w:vAlign w:val="center"/>
          </w:tcPr>
          <w:p w14:paraId="1CDD79FF"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779DDC0A"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7E0F5282"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2CDD2E3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0.00084</w:t>
            </w:r>
          </w:p>
        </w:tc>
        <w:tc>
          <w:tcPr>
            <w:tcW w:w="437" w:type="pct"/>
            <w:vAlign w:val="center"/>
          </w:tcPr>
          <w:p w14:paraId="3C4246C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0.00011</w:t>
            </w:r>
          </w:p>
        </w:tc>
        <w:tc>
          <w:tcPr>
            <w:tcW w:w="437" w:type="pct"/>
            <w:vAlign w:val="center"/>
          </w:tcPr>
          <w:p w14:paraId="55A2EC0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0.00014</w:t>
            </w:r>
          </w:p>
        </w:tc>
        <w:tc>
          <w:tcPr>
            <w:tcW w:w="437" w:type="pct"/>
            <w:vAlign w:val="center"/>
          </w:tcPr>
          <w:p w14:paraId="6644D1C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0.00066</w:t>
            </w:r>
          </w:p>
        </w:tc>
        <w:tc>
          <w:tcPr>
            <w:tcW w:w="437" w:type="pct"/>
            <w:vAlign w:val="center"/>
          </w:tcPr>
          <w:p w14:paraId="7930C35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0.00084</w:t>
            </w:r>
          </w:p>
        </w:tc>
        <w:tc>
          <w:tcPr>
            <w:tcW w:w="437" w:type="pct"/>
            <w:vAlign w:val="center"/>
          </w:tcPr>
          <w:p w14:paraId="5EC1D63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0.00094</w:t>
            </w:r>
          </w:p>
        </w:tc>
        <w:tc>
          <w:tcPr>
            <w:tcW w:w="372" w:type="pct"/>
            <w:vAlign w:val="center"/>
          </w:tcPr>
          <w:p w14:paraId="4D43C31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3BA00B4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05DE1018"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32ABDF39" w14:textId="77777777">
        <w:trPr>
          <w:trHeight w:val="284"/>
          <w:jc w:val="center"/>
        </w:trPr>
        <w:tc>
          <w:tcPr>
            <w:tcW w:w="483" w:type="pct"/>
            <w:vMerge w:val="restart"/>
            <w:vAlign w:val="center"/>
          </w:tcPr>
          <w:p w14:paraId="59EB0AE5" w14:textId="77777777" w:rsidR="002133E3" w:rsidRDefault="00C22CFA">
            <w:pPr>
              <w:adjustRightInd w:val="0"/>
              <w:snapToGrid w:val="0"/>
              <w:spacing w:line="0" w:lineRule="atLeast"/>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发酵</w:t>
            </w:r>
            <w:proofErr w:type="spellStart"/>
            <w:r>
              <w:rPr>
                <w:rFonts w:ascii="Times New Roman" w:eastAsia="宋体" w:hAnsi="Times New Roman" w:cs="Times New Roman"/>
                <w:kern w:val="0"/>
                <w:szCs w:val="21"/>
                <w:lang w:eastAsia="en-US"/>
              </w:rPr>
              <w:t>车间</w:t>
            </w:r>
            <w:proofErr w:type="spellEnd"/>
            <w:r>
              <w:rPr>
                <w:rFonts w:ascii="Times New Roman" w:eastAsia="宋体" w:hAnsi="Times New Roman" w:cs="Times New Roman"/>
                <w:kern w:val="0"/>
                <w:szCs w:val="21"/>
              </w:rPr>
              <w:t>出口</w:t>
            </w:r>
          </w:p>
        </w:tc>
        <w:tc>
          <w:tcPr>
            <w:tcW w:w="738" w:type="pct"/>
            <w:gridSpan w:val="2"/>
            <w:vAlign w:val="center"/>
          </w:tcPr>
          <w:p w14:paraId="290DC9C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标干流量</w:t>
            </w:r>
          </w:p>
        </w:tc>
        <w:tc>
          <w:tcPr>
            <w:tcW w:w="437" w:type="pct"/>
            <w:vAlign w:val="center"/>
          </w:tcPr>
          <w:p w14:paraId="1103E324"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4155</w:t>
            </w:r>
          </w:p>
        </w:tc>
        <w:tc>
          <w:tcPr>
            <w:tcW w:w="437" w:type="pct"/>
            <w:vAlign w:val="center"/>
          </w:tcPr>
          <w:p w14:paraId="5D2DA6DB"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4164</w:t>
            </w:r>
          </w:p>
        </w:tc>
        <w:tc>
          <w:tcPr>
            <w:tcW w:w="437" w:type="pct"/>
            <w:vAlign w:val="center"/>
          </w:tcPr>
          <w:p w14:paraId="3B67040A"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4150</w:t>
            </w:r>
          </w:p>
        </w:tc>
        <w:tc>
          <w:tcPr>
            <w:tcW w:w="437" w:type="pct"/>
            <w:vAlign w:val="center"/>
          </w:tcPr>
          <w:p w14:paraId="7A12BD5C"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4158</w:t>
            </w:r>
          </w:p>
        </w:tc>
        <w:tc>
          <w:tcPr>
            <w:tcW w:w="437" w:type="pct"/>
            <w:vAlign w:val="center"/>
          </w:tcPr>
          <w:p w14:paraId="3BF7686F"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4173</w:t>
            </w:r>
          </w:p>
        </w:tc>
        <w:tc>
          <w:tcPr>
            <w:tcW w:w="437" w:type="pct"/>
            <w:vAlign w:val="center"/>
          </w:tcPr>
          <w:p w14:paraId="1D6E4776"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4188</w:t>
            </w:r>
          </w:p>
        </w:tc>
        <w:tc>
          <w:tcPr>
            <w:tcW w:w="372" w:type="pct"/>
            <w:vAlign w:val="center"/>
          </w:tcPr>
          <w:p w14:paraId="2AB84B3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7B2B4709"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4651295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w:t>
            </w:r>
          </w:p>
        </w:tc>
      </w:tr>
      <w:tr w:rsidR="002133E3" w14:paraId="7E23D28C" w14:textId="77777777">
        <w:trPr>
          <w:trHeight w:val="284"/>
          <w:jc w:val="center"/>
        </w:trPr>
        <w:tc>
          <w:tcPr>
            <w:tcW w:w="483" w:type="pct"/>
            <w:vMerge/>
            <w:vAlign w:val="center"/>
          </w:tcPr>
          <w:p w14:paraId="069F67C6"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restart"/>
            <w:vAlign w:val="center"/>
          </w:tcPr>
          <w:p w14:paraId="2C5CD72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spacing w:val="-12"/>
                <w:kern w:val="0"/>
                <w:szCs w:val="21"/>
              </w:rPr>
              <w:t>丙酮</w:t>
            </w:r>
          </w:p>
        </w:tc>
        <w:tc>
          <w:tcPr>
            <w:tcW w:w="390" w:type="pct"/>
            <w:vAlign w:val="center"/>
          </w:tcPr>
          <w:p w14:paraId="00B67379"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浓度</w:t>
            </w:r>
          </w:p>
        </w:tc>
        <w:tc>
          <w:tcPr>
            <w:tcW w:w="437" w:type="pct"/>
            <w:vAlign w:val="center"/>
          </w:tcPr>
          <w:p w14:paraId="727891F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1683B21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555475D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243AD17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7F8299D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5053F41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372" w:type="pct"/>
            <w:vAlign w:val="center"/>
          </w:tcPr>
          <w:p w14:paraId="3FC7F84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100</w:t>
            </w:r>
          </w:p>
        </w:tc>
        <w:tc>
          <w:tcPr>
            <w:tcW w:w="345" w:type="pct"/>
            <w:vAlign w:val="center"/>
          </w:tcPr>
          <w:p w14:paraId="758CF1D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达标</w:t>
            </w:r>
          </w:p>
        </w:tc>
        <w:tc>
          <w:tcPr>
            <w:tcW w:w="440" w:type="pct"/>
            <w:vMerge/>
            <w:vAlign w:val="center"/>
          </w:tcPr>
          <w:p w14:paraId="3B27BA53"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01C1C3DA" w14:textId="77777777">
        <w:trPr>
          <w:trHeight w:val="284"/>
          <w:jc w:val="center"/>
        </w:trPr>
        <w:tc>
          <w:tcPr>
            <w:tcW w:w="483" w:type="pct"/>
            <w:vMerge/>
            <w:vAlign w:val="center"/>
          </w:tcPr>
          <w:p w14:paraId="3F51413E"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ign w:val="center"/>
          </w:tcPr>
          <w:p w14:paraId="2B40AF15"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390" w:type="pct"/>
            <w:vAlign w:val="center"/>
          </w:tcPr>
          <w:p w14:paraId="6B897E03"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速率</w:t>
            </w:r>
          </w:p>
        </w:tc>
        <w:tc>
          <w:tcPr>
            <w:tcW w:w="437" w:type="pct"/>
            <w:vAlign w:val="center"/>
          </w:tcPr>
          <w:p w14:paraId="14B41A9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5C6C390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3ED4307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6D53E8D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4717A4D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711BC35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372" w:type="pct"/>
            <w:vAlign w:val="center"/>
          </w:tcPr>
          <w:p w14:paraId="5120D3E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17.6</w:t>
            </w:r>
          </w:p>
        </w:tc>
        <w:tc>
          <w:tcPr>
            <w:tcW w:w="345" w:type="pct"/>
            <w:vAlign w:val="center"/>
          </w:tcPr>
          <w:p w14:paraId="736DA72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达标</w:t>
            </w:r>
          </w:p>
        </w:tc>
        <w:tc>
          <w:tcPr>
            <w:tcW w:w="440" w:type="pct"/>
            <w:vMerge/>
            <w:vAlign w:val="center"/>
          </w:tcPr>
          <w:p w14:paraId="50B3188D"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331C4ED9" w14:textId="77777777">
        <w:trPr>
          <w:trHeight w:val="284"/>
          <w:jc w:val="center"/>
        </w:trPr>
        <w:tc>
          <w:tcPr>
            <w:tcW w:w="483" w:type="pct"/>
            <w:vMerge w:val="restart"/>
            <w:vAlign w:val="center"/>
          </w:tcPr>
          <w:p w14:paraId="01832185" w14:textId="77777777" w:rsidR="002133E3" w:rsidRDefault="00C22CFA">
            <w:pPr>
              <w:adjustRightInd w:val="0"/>
              <w:snapToGrid w:val="0"/>
              <w:spacing w:line="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kern w:val="0"/>
                <w:szCs w:val="21"/>
              </w:rPr>
              <w:t>蒸馏</w:t>
            </w:r>
            <w:proofErr w:type="spellStart"/>
            <w:r>
              <w:rPr>
                <w:rFonts w:ascii="Times New Roman" w:eastAsia="宋体" w:hAnsi="Times New Roman" w:cs="Times New Roman"/>
                <w:kern w:val="0"/>
                <w:szCs w:val="21"/>
                <w:lang w:eastAsia="en-US"/>
              </w:rPr>
              <w:t>车间</w:t>
            </w:r>
            <w:proofErr w:type="spellEnd"/>
            <w:r>
              <w:rPr>
                <w:rFonts w:ascii="Times New Roman" w:eastAsia="宋体" w:hAnsi="Times New Roman" w:cs="Times New Roman"/>
                <w:kern w:val="0"/>
                <w:szCs w:val="21"/>
              </w:rPr>
              <w:t>进口</w:t>
            </w:r>
          </w:p>
        </w:tc>
        <w:tc>
          <w:tcPr>
            <w:tcW w:w="738" w:type="pct"/>
            <w:gridSpan w:val="2"/>
            <w:vAlign w:val="center"/>
          </w:tcPr>
          <w:p w14:paraId="1EA99BF3"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6BD07F5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1128</w:t>
            </w:r>
          </w:p>
        </w:tc>
        <w:tc>
          <w:tcPr>
            <w:tcW w:w="437" w:type="pct"/>
            <w:vAlign w:val="center"/>
          </w:tcPr>
          <w:p w14:paraId="38B1A035"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1208</w:t>
            </w:r>
          </w:p>
        </w:tc>
        <w:tc>
          <w:tcPr>
            <w:tcW w:w="437" w:type="pct"/>
            <w:vAlign w:val="center"/>
          </w:tcPr>
          <w:p w14:paraId="115BD5A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1130</w:t>
            </w:r>
          </w:p>
        </w:tc>
        <w:tc>
          <w:tcPr>
            <w:tcW w:w="437" w:type="pct"/>
            <w:vAlign w:val="center"/>
          </w:tcPr>
          <w:p w14:paraId="0B20AE6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1131</w:t>
            </w:r>
          </w:p>
        </w:tc>
        <w:tc>
          <w:tcPr>
            <w:tcW w:w="437" w:type="pct"/>
            <w:vAlign w:val="center"/>
          </w:tcPr>
          <w:p w14:paraId="7FCE8DF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1161</w:t>
            </w:r>
          </w:p>
        </w:tc>
        <w:tc>
          <w:tcPr>
            <w:tcW w:w="437" w:type="pct"/>
            <w:vAlign w:val="center"/>
          </w:tcPr>
          <w:p w14:paraId="3229F91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1121</w:t>
            </w:r>
          </w:p>
        </w:tc>
        <w:tc>
          <w:tcPr>
            <w:tcW w:w="372" w:type="pct"/>
            <w:vAlign w:val="center"/>
          </w:tcPr>
          <w:p w14:paraId="0F4549E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70313AB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2BA6A53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4DEB0308" w14:textId="77777777">
        <w:trPr>
          <w:trHeight w:val="284"/>
          <w:jc w:val="center"/>
        </w:trPr>
        <w:tc>
          <w:tcPr>
            <w:tcW w:w="483" w:type="pct"/>
            <w:vMerge/>
            <w:vAlign w:val="center"/>
          </w:tcPr>
          <w:p w14:paraId="6009B2F2"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restart"/>
            <w:vAlign w:val="center"/>
          </w:tcPr>
          <w:p w14:paraId="6F22DF21"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spacing w:val="-12"/>
                <w:kern w:val="0"/>
                <w:szCs w:val="21"/>
              </w:rPr>
              <w:t>丙酮</w:t>
            </w:r>
          </w:p>
        </w:tc>
        <w:tc>
          <w:tcPr>
            <w:tcW w:w="390" w:type="pct"/>
            <w:vAlign w:val="center"/>
          </w:tcPr>
          <w:p w14:paraId="27D6E07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vAlign w:val="center"/>
          </w:tcPr>
          <w:p w14:paraId="796CEE7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6304695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3B4B595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54AE89A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46E30CC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0F6F057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372" w:type="pct"/>
            <w:vAlign w:val="center"/>
          </w:tcPr>
          <w:p w14:paraId="31317CC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528C89E7"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w:t>
            </w:r>
          </w:p>
        </w:tc>
        <w:tc>
          <w:tcPr>
            <w:tcW w:w="440" w:type="pct"/>
            <w:vMerge/>
            <w:vAlign w:val="center"/>
          </w:tcPr>
          <w:p w14:paraId="749331D1"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3FC8D9C4" w14:textId="77777777">
        <w:trPr>
          <w:trHeight w:val="284"/>
          <w:jc w:val="center"/>
        </w:trPr>
        <w:tc>
          <w:tcPr>
            <w:tcW w:w="483" w:type="pct"/>
            <w:vMerge/>
            <w:vAlign w:val="center"/>
          </w:tcPr>
          <w:p w14:paraId="4BE01728"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ign w:val="center"/>
          </w:tcPr>
          <w:p w14:paraId="6EE53DC8"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390" w:type="pct"/>
            <w:vAlign w:val="center"/>
          </w:tcPr>
          <w:p w14:paraId="6B80233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2DD3845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2688E09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6C1CB24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23F1560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7C7EB9A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24A493A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372" w:type="pct"/>
            <w:vAlign w:val="center"/>
          </w:tcPr>
          <w:p w14:paraId="58C16E2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0FAC552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w:t>
            </w:r>
          </w:p>
        </w:tc>
        <w:tc>
          <w:tcPr>
            <w:tcW w:w="440" w:type="pct"/>
            <w:vMerge/>
            <w:vAlign w:val="center"/>
          </w:tcPr>
          <w:p w14:paraId="614C1B86"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30A3EB09" w14:textId="77777777">
        <w:trPr>
          <w:trHeight w:val="284"/>
          <w:jc w:val="center"/>
        </w:trPr>
        <w:tc>
          <w:tcPr>
            <w:tcW w:w="483" w:type="pct"/>
            <w:vMerge/>
            <w:vAlign w:val="center"/>
          </w:tcPr>
          <w:p w14:paraId="1757183C"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restart"/>
            <w:vAlign w:val="center"/>
          </w:tcPr>
          <w:p w14:paraId="03497C1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spacing w:val="-12"/>
                <w:kern w:val="0"/>
                <w:szCs w:val="21"/>
              </w:rPr>
              <w:t>VOCs</w:t>
            </w:r>
          </w:p>
        </w:tc>
        <w:tc>
          <w:tcPr>
            <w:tcW w:w="390" w:type="pct"/>
            <w:vAlign w:val="center"/>
          </w:tcPr>
          <w:p w14:paraId="3529F3A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shd w:val="clear" w:color="auto" w:fill="auto"/>
            <w:vAlign w:val="center"/>
          </w:tcPr>
          <w:p w14:paraId="2574B565"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0.934</w:t>
            </w:r>
          </w:p>
        </w:tc>
        <w:tc>
          <w:tcPr>
            <w:tcW w:w="437" w:type="pct"/>
            <w:shd w:val="clear" w:color="auto" w:fill="auto"/>
            <w:vAlign w:val="center"/>
          </w:tcPr>
          <w:p w14:paraId="095FB3D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0.882</w:t>
            </w:r>
          </w:p>
        </w:tc>
        <w:tc>
          <w:tcPr>
            <w:tcW w:w="437" w:type="pct"/>
            <w:shd w:val="clear" w:color="auto" w:fill="auto"/>
            <w:vAlign w:val="center"/>
          </w:tcPr>
          <w:p w14:paraId="37840CC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0.559</w:t>
            </w:r>
          </w:p>
        </w:tc>
        <w:tc>
          <w:tcPr>
            <w:tcW w:w="437" w:type="pct"/>
            <w:shd w:val="clear" w:color="auto" w:fill="auto"/>
            <w:vAlign w:val="center"/>
          </w:tcPr>
          <w:p w14:paraId="5FEA68C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0.741</w:t>
            </w:r>
          </w:p>
        </w:tc>
        <w:tc>
          <w:tcPr>
            <w:tcW w:w="437" w:type="pct"/>
            <w:shd w:val="clear" w:color="auto" w:fill="auto"/>
            <w:vAlign w:val="center"/>
          </w:tcPr>
          <w:p w14:paraId="3EC1C51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0.443</w:t>
            </w:r>
          </w:p>
        </w:tc>
        <w:tc>
          <w:tcPr>
            <w:tcW w:w="437" w:type="pct"/>
            <w:shd w:val="clear" w:color="auto" w:fill="auto"/>
            <w:vAlign w:val="center"/>
          </w:tcPr>
          <w:p w14:paraId="2AB33C2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0.459</w:t>
            </w:r>
          </w:p>
        </w:tc>
        <w:tc>
          <w:tcPr>
            <w:tcW w:w="372" w:type="pct"/>
            <w:shd w:val="clear" w:color="auto" w:fill="auto"/>
            <w:vAlign w:val="center"/>
          </w:tcPr>
          <w:p w14:paraId="391694F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shd w:val="clear" w:color="auto" w:fill="auto"/>
            <w:vAlign w:val="center"/>
          </w:tcPr>
          <w:p w14:paraId="325E369A"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w:t>
            </w:r>
          </w:p>
        </w:tc>
        <w:tc>
          <w:tcPr>
            <w:tcW w:w="440" w:type="pct"/>
            <w:vMerge/>
            <w:vAlign w:val="center"/>
          </w:tcPr>
          <w:p w14:paraId="63618E7B"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3C0BB28C" w14:textId="77777777">
        <w:trPr>
          <w:trHeight w:val="284"/>
          <w:jc w:val="center"/>
        </w:trPr>
        <w:tc>
          <w:tcPr>
            <w:tcW w:w="483" w:type="pct"/>
            <w:vMerge/>
            <w:vAlign w:val="center"/>
          </w:tcPr>
          <w:p w14:paraId="1B7C96C2" w14:textId="77777777" w:rsidR="002133E3" w:rsidRDefault="002133E3">
            <w:pPr>
              <w:adjustRightInd w:val="0"/>
              <w:snapToGrid w:val="0"/>
              <w:spacing w:line="0" w:lineRule="atLeast"/>
              <w:jc w:val="center"/>
              <w:rPr>
                <w:rFonts w:ascii="Times New Roman" w:eastAsia="宋体" w:hAnsi="Times New Roman" w:cs="Times New Roman"/>
                <w:color w:val="000000"/>
                <w:kern w:val="0"/>
                <w:szCs w:val="21"/>
                <w:lang w:eastAsia="en-US"/>
              </w:rPr>
            </w:pPr>
          </w:p>
        </w:tc>
        <w:tc>
          <w:tcPr>
            <w:tcW w:w="347" w:type="pct"/>
            <w:vMerge/>
            <w:vAlign w:val="center"/>
          </w:tcPr>
          <w:p w14:paraId="15B045D4"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p>
        </w:tc>
        <w:tc>
          <w:tcPr>
            <w:tcW w:w="390" w:type="pct"/>
            <w:vAlign w:val="center"/>
          </w:tcPr>
          <w:p w14:paraId="2673961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shd w:val="clear" w:color="auto" w:fill="auto"/>
            <w:vAlign w:val="center"/>
          </w:tcPr>
          <w:p w14:paraId="3B5162B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0.0011</w:t>
            </w:r>
          </w:p>
        </w:tc>
        <w:tc>
          <w:tcPr>
            <w:tcW w:w="437" w:type="pct"/>
            <w:shd w:val="clear" w:color="auto" w:fill="auto"/>
            <w:vAlign w:val="center"/>
          </w:tcPr>
          <w:p w14:paraId="3C45046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0.0011</w:t>
            </w:r>
          </w:p>
        </w:tc>
        <w:tc>
          <w:tcPr>
            <w:tcW w:w="437" w:type="pct"/>
            <w:shd w:val="clear" w:color="auto" w:fill="auto"/>
            <w:vAlign w:val="center"/>
          </w:tcPr>
          <w:p w14:paraId="3EC7FD2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0.00063</w:t>
            </w:r>
          </w:p>
        </w:tc>
        <w:tc>
          <w:tcPr>
            <w:tcW w:w="437" w:type="pct"/>
            <w:vAlign w:val="center"/>
          </w:tcPr>
          <w:p w14:paraId="1946968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0.00084</w:t>
            </w:r>
          </w:p>
        </w:tc>
        <w:tc>
          <w:tcPr>
            <w:tcW w:w="437" w:type="pct"/>
            <w:vAlign w:val="center"/>
          </w:tcPr>
          <w:p w14:paraId="440AAEE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0.00051</w:t>
            </w:r>
          </w:p>
        </w:tc>
        <w:tc>
          <w:tcPr>
            <w:tcW w:w="437" w:type="pct"/>
            <w:vAlign w:val="center"/>
          </w:tcPr>
          <w:p w14:paraId="68E5EF7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0.00051</w:t>
            </w:r>
          </w:p>
        </w:tc>
        <w:tc>
          <w:tcPr>
            <w:tcW w:w="372" w:type="pct"/>
            <w:vAlign w:val="center"/>
          </w:tcPr>
          <w:p w14:paraId="5821D1D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247B5AB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w:t>
            </w:r>
          </w:p>
        </w:tc>
        <w:tc>
          <w:tcPr>
            <w:tcW w:w="440" w:type="pct"/>
            <w:vMerge/>
            <w:vAlign w:val="center"/>
          </w:tcPr>
          <w:p w14:paraId="2B537712" w14:textId="77777777" w:rsidR="002133E3" w:rsidRDefault="002133E3">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lang w:eastAsia="en-US"/>
              </w:rPr>
            </w:pPr>
          </w:p>
        </w:tc>
      </w:tr>
      <w:tr w:rsidR="002133E3" w14:paraId="283EA9CE" w14:textId="77777777">
        <w:trPr>
          <w:trHeight w:val="284"/>
          <w:jc w:val="center"/>
        </w:trPr>
        <w:tc>
          <w:tcPr>
            <w:tcW w:w="483" w:type="pct"/>
            <w:vMerge w:val="restart"/>
            <w:vAlign w:val="center"/>
          </w:tcPr>
          <w:p w14:paraId="27CD89DD" w14:textId="77777777" w:rsidR="002133E3" w:rsidRDefault="00C22CFA">
            <w:pPr>
              <w:adjustRightInd w:val="0"/>
              <w:snapToGrid w:val="0"/>
              <w:spacing w:line="0" w:lineRule="atLeast"/>
              <w:jc w:val="center"/>
              <w:rPr>
                <w:rFonts w:ascii="Times New Roman" w:eastAsia="宋体" w:hAnsi="Times New Roman" w:cs="Times New Roman"/>
                <w:color w:val="000000"/>
                <w:spacing w:val="-12"/>
                <w:kern w:val="0"/>
                <w:szCs w:val="21"/>
              </w:rPr>
            </w:pPr>
            <w:r>
              <w:rPr>
                <w:rFonts w:ascii="Times New Roman" w:eastAsia="宋体" w:hAnsi="Times New Roman" w:cs="Times New Roman"/>
                <w:kern w:val="0"/>
                <w:szCs w:val="21"/>
              </w:rPr>
              <w:t>蒸馏</w:t>
            </w:r>
            <w:proofErr w:type="spellStart"/>
            <w:r>
              <w:rPr>
                <w:rFonts w:ascii="Times New Roman" w:eastAsia="宋体" w:hAnsi="Times New Roman" w:cs="Times New Roman"/>
                <w:kern w:val="0"/>
                <w:szCs w:val="21"/>
                <w:lang w:eastAsia="en-US"/>
              </w:rPr>
              <w:t>车间</w:t>
            </w:r>
            <w:proofErr w:type="spellEnd"/>
            <w:r>
              <w:rPr>
                <w:rFonts w:ascii="Times New Roman" w:eastAsia="宋体" w:hAnsi="Times New Roman" w:cs="Times New Roman"/>
                <w:kern w:val="0"/>
                <w:szCs w:val="21"/>
              </w:rPr>
              <w:t>出口</w:t>
            </w:r>
          </w:p>
        </w:tc>
        <w:tc>
          <w:tcPr>
            <w:tcW w:w="738" w:type="pct"/>
            <w:gridSpan w:val="2"/>
            <w:vAlign w:val="center"/>
          </w:tcPr>
          <w:p w14:paraId="132EB76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023FD021"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1023</w:t>
            </w:r>
          </w:p>
        </w:tc>
        <w:tc>
          <w:tcPr>
            <w:tcW w:w="437" w:type="pct"/>
            <w:vAlign w:val="center"/>
          </w:tcPr>
          <w:p w14:paraId="65203B4E"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1065</w:t>
            </w:r>
          </w:p>
        </w:tc>
        <w:tc>
          <w:tcPr>
            <w:tcW w:w="437" w:type="pct"/>
            <w:vAlign w:val="center"/>
          </w:tcPr>
          <w:p w14:paraId="20901DD2"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1035</w:t>
            </w:r>
          </w:p>
        </w:tc>
        <w:tc>
          <w:tcPr>
            <w:tcW w:w="437" w:type="pct"/>
            <w:vAlign w:val="center"/>
          </w:tcPr>
          <w:p w14:paraId="53D4BCC8"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1048</w:t>
            </w:r>
          </w:p>
        </w:tc>
        <w:tc>
          <w:tcPr>
            <w:tcW w:w="437" w:type="pct"/>
            <w:vAlign w:val="center"/>
          </w:tcPr>
          <w:p w14:paraId="235B270A"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1050</w:t>
            </w:r>
          </w:p>
        </w:tc>
        <w:tc>
          <w:tcPr>
            <w:tcW w:w="437" w:type="pct"/>
            <w:vAlign w:val="center"/>
          </w:tcPr>
          <w:p w14:paraId="7AF57110"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1018</w:t>
            </w:r>
          </w:p>
        </w:tc>
        <w:tc>
          <w:tcPr>
            <w:tcW w:w="372" w:type="pct"/>
            <w:vAlign w:val="center"/>
          </w:tcPr>
          <w:p w14:paraId="34FF692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4570C34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12001552"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w:t>
            </w:r>
          </w:p>
        </w:tc>
      </w:tr>
      <w:tr w:rsidR="002133E3" w14:paraId="2E84F5E0" w14:textId="77777777">
        <w:trPr>
          <w:trHeight w:val="284"/>
          <w:jc w:val="center"/>
        </w:trPr>
        <w:tc>
          <w:tcPr>
            <w:tcW w:w="483" w:type="pct"/>
            <w:vMerge/>
            <w:vAlign w:val="center"/>
          </w:tcPr>
          <w:p w14:paraId="07051476"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68EEB76D"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丙酮</w:t>
            </w:r>
          </w:p>
        </w:tc>
        <w:tc>
          <w:tcPr>
            <w:tcW w:w="390" w:type="pct"/>
            <w:vAlign w:val="center"/>
          </w:tcPr>
          <w:p w14:paraId="28FFB22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shd w:val="clear" w:color="auto" w:fill="auto"/>
            <w:vAlign w:val="center"/>
          </w:tcPr>
          <w:p w14:paraId="74626F0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shd w:val="clear" w:color="auto" w:fill="auto"/>
            <w:vAlign w:val="center"/>
          </w:tcPr>
          <w:p w14:paraId="7F4AA98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shd w:val="clear" w:color="auto" w:fill="auto"/>
            <w:vAlign w:val="center"/>
          </w:tcPr>
          <w:p w14:paraId="6E5754A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shd w:val="clear" w:color="auto" w:fill="auto"/>
            <w:vAlign w:val="center"/>
          </w:tcPr>
          <w:p w14:paraId="27582B3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shd w:val="clear" w:color="auto" w:fill="auto"/>
            <w:vAlign w:val="center"/>
          </w:tcPr>
          <w:p w14:paraId="7C7EC9F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shd w:val="clear" w:color="auto" w:fill="auto"/>
            <w:vAlign w:val="center"/>
          </w:tcPr>
          <w:p w14:paraId="271846D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372" w:type="pct"/>
            <w:vAlign w:val="center"/>
          </w:tcPr>
          <w:p w14:paraId="696305E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100</w:t>
            </w:r>
          </w:p>
        </w:tc>
        <w:tc>
          <w:tcPr>
            <w:tcW w:w="345" w:type="pct"/>
            <w:vAlign w:val="center"/>
          </w:tcPr>
          <w:p w14:paraId="16E6D15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2FFA4063"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05F3A299" w14:textId="77777777">
        <w:trPr>
          <w:trHeight w:val="284"/>
          <w:jc w:val="center"/>
        </w:trPr>
        <w:tc>
          <w:tcPr>
            <w:tcW w:w="483" w:type="pct"/>
            <w:vMerge/>
            <w:vAlign w:val="center"/>
          </w:tcPr>
          <w:p w14:paraId="3DD95908"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56396CC2"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740E3B0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60FC1CC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42E86A2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693C9FD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55CE221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5FFE1A9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7" w:type="pct"/>
            <w:vAlign w:val="center"/>
          </w:tcPr>
          <w:p w14:paraId="324F6EC5"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372" w:type="pct"/>
            <w:vAlign w:val="center"/>
          </w:tcPr>
          <w:p w14:paraId="2C5959D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17.6</w:t>
            </w:r>
          </w:p>
        </w:tc>
        <w:tc>
          <w:tcPr>
            <w:tcW w:w="345" w:type="pct"/>
            <w:vAlign w:val="center"/>
          </w:tcPr>
          <w:p w14:paraId="7AD7E0D2"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46D8CB14"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1EE4E2A7" w14:textId="77777777">
        <w:trPr>
          <w:trHeight w:val="284"/>
          <w:jc w:val="center"/>
        </w:trPr>
        <w:tc>
          <w:tcPr>
            <w:tcW w:w="483" w:type="pct"/>
            <w:vMerge/>
            <w:vAlign w:val="center"/>
          </w:tcPr>
          <w:p w14:paraId="6EB1835F"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2B09D1C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VOCs</w:t>
            </w:r>
          </w:p>
        </w:tc>
        <w:tc>
          <w:tcPr>
            <w:tcW w:w="390" w:type="pct"/>
            <w:vAlign w:val="center"/>
          </w:tcPr>
          <w:p w14:paraId="32C12897"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vAlign w:val="center"/>
          </w:tcPr>
          <w:p w14:paraId="373F014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0.065</w:t>
            </w:r>
          </w:p>
        </w:tc>
        <w:tc>
          <w:tcPr>
            <w:tcW w:w="437" w:type="pct"/>
            <w:vAlign w:val="center"/>
          </w:tcPr>
          <w:p w14:paraId="07209AC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0.056</w:t>
            </w:r>
          </w:p>
        </w:tc>
        <w:tc>
          <w:tcPr>
            <w:tcW w:w="437" w:type="pct"/>
            <w:vAlign w:val="center"/>
          </w:tcPr>
          <w:p w14:paraId="08DF38B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0.051</w:t>
            </w:r>
          </w:p>
        </w:tc>
        <w:tc>
          <w:tcPr>
            <w:tcW w:w="437" w:type="pct"/>
            <w:vAlign w:val="center"/>
          </w:tcPr>
          <w:p w14:paraId="768F653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0.044</w:t>
            </w:r>
          </w:p>
        </w:tc>
        <w:tc>
          <w:tcPr>
            <w:tcW w:w="437" w:type="pct"/>
            <w:vAlign w:val="center"/>
          </w:tcPr>
          <w:p w14:paraId="762B240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0.050</w:t>
            </w:r>
          </w:p>
        </w:tc>
        <w:tc>
          <w:tcPr>
            <w:tcW w:w="437" w:type="pct"/>
            <w:vAlign w:val="center"/>
          </w:tcPr>
          <w:p w14:paraId="7011349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0.0021</w:t>
            </w:r>
          </w:p>
        </w:tc>
        <w:tc>
          <w:tcPr>
            <w:tcW w:w="372" w:type="pct"/>
            <w:vAlign w:val="center"/>
          </w:tcPr>
          <w:p w14:paraId="5F1AA8C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80</w:t>
            </w:r>
          </w:p>
        </w:tc>
        <w:tc>
          <w:tcPr>
            <w:tcW w:w="345" w:type="pct"/>
            <w:vAlign w:val="center"/>
          </w:tcPr>
          <w:p w14:paraId="1CC95E6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7437E1F8"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3F0B90AC" w14:textId="77777777">
        <w:trPr>
          <w:trHeight w:val="284"/>
          <w:jc w:val="center"/>
        </w:trPr>
        <w:tc>
          <w:tcPr>
            <w:tcW w:w="483" w:type="pct"/>
            <w:vMerge/>
            <w:vAlign w:val="center"/>
          </w:tcPr>
          <w:p w14:paraId="4DD7E860"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6EFA7E31"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1AC81D6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0A1CDF2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0.00006</w:t>
            </w:r>
          </w:p>
        </w:tc>
        <w:tc>
          <w:tcPr>
            <w:tcW w:w="437" w:type="pct"/>
            <w:vAlign w:val="center"/>
          </w:tcPr>
          <w:p w14:paraId="10A9696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0.00006</w:t>
            </w:r>
          </w:p>
        </w:tc>
        <w:tc>
          <w:tcPr>
            <w:tcW w:w="437" w:type="pct"/>
            <w:vAlign w:val="center"/>
          </w:tcPr>
          <w:p w14:paraId="4E3D81E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0.00005</w:t>
            </w:r>
          </w:p>
        </w:tc>
        <w:tc>
          <w:tcPr>
            <w:tcW w:w="437" w:type="pct"/>
            <w:vAlign w:val="center"/>
          </w:tcPr>
          <w:p w14:paraId="28ACC9C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0.000046</w:t>
            </w:r>
          </w:p>
        </w:tc>
        <w:tc>
          <w:tcPr>
            <w:tcW w:w="437" w:type="pct"/>
            <w:vAlign w:val="center"/>
          </w:tcPr>
          <w:p w14:paraId="07C5380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0.000053</w:t>
            </w:r>
          </w:p>
        </w:tc>
        <w:tc>
          <w:tcPr>
            <w:tcW w:w="437" w:type="pct"/>
            <w:vAlign w:val="center"/>
          </w:tcPr>
          <w:p w14:paraId="3404080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0.000021</w:t>
            </w:r>
          </w:p>
        </w:tc>
        <w:tc>
          <w:tcPr>
            <w:tcW w:w="372" w:type="pct"/>
            <w:vAlign w:val="center"/>
          </w:tcPr>
          <w:p w14:paraId="19B44B4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8.3</w:t>
            </w:r>
          </w:p>
        </w:tc>
        <w:tc>
          <w:tcPr>
            <w:tcW w:w="345" w:type="pct"/>
            <w:vAlign w:val="center"/>
          </w:tcPr>
          <w:p w14:paraId="34B7F99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10EF1529"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3A68FAC5" w14:textId="77777777">
        <w:trPr>
          <w:trHeight w:val="284"/>
          <w:jc w:val="center"/>
        </w:trPr>
        <w:tc>
          <w:tcPr>
            <w:tcW w:w="483" w:type="pct"/>
            <w:vMerge w:val="restart"/>
            <w:vAlign w:val="center"/>
          </w:tcPr>
          <w:p w14:paraId="39B9FAF7" w14:textId="77777777" w:rsidR="002133E3" w:rsidRDefault="00C22CFA">
            <w:pPr>
              <w:adjustRightInd w:val="0"/>
              <w:snapToGrid w:val="0"/>
              <w:spacing w:line="0" w:lineRule="atLeast"/>
              <w:jc w:val="center"/>
              <w:rPr>
                <w:rFonts w:ascii="Times New Roman" w:eastAsia="宋体" w:hAnsi="Times New Roman" w:cs="Times New Roman"/>
                <w:color w:val="000000"/>
                <w:spacing w:val="-12"/>
                <w:kern w:val="0"/>
                <w:szCs w:val="21"/>
              </w:rPr>
            </w:pPr>
            <w:r>
              <w:rPr>
                <w:rFonts w:ascii="Times New Roman" w:eastAsia="宋体" w:hAnsi="Times New Roman" w:cs="Times New Roman"/>
                <w:kern w:val="0"/>
                <w:szCs w:val="21"/>
              </w:rPr>
              <w:t>污水站进口</w:t>
            </w:r>
          </w:p>
        </w:tc>
        <w:tc>
          <w:tcPr>
            <w:tcW w:w="738" w:type="pct"/>
            <w:gridSpan w:val="2"/>
            <w:vAlign w:val="center"/>
          </w:tcPr>
          <w:p w14:paraId="2EDD9F76"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073B4185"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5804</w:t>
            </w:r>
          </w:p>
        </w:tc>
        <w:tc>
          <w:tcPr>
            <w:tcW w:w="437" w:type="pct"/>
            <w:vAlign w:val="center"/>
          </w:tcPr>
          <w:p w14:paraId="074D4205"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5978</w:t>
            </w:r>
          </w:p>
        </w:tc>
        <w:tc>
          <w:tcPr>
            <w:tcW w:w="437" w:type="pct"/>
            <w:vAlign w:val="center"/>
          </w:tcPr>
          <w:p w14:paraId="39EA5DDC"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6325</w:t>
            </w:r>
          </w:p>
        </w:tc>
        <w:tc>
          <w:tcPr>
            <w:tcW w:w="437" w:type="pct"/>
            <w:vAlign w:val="center"/>
          </w:tcPr>
          <w:p w14:paraId="6F1F828E"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5925</w:t>
            </w:r>
          </w:p>
        </w:tc>
        <w:tc>
          <w:tcPr>
            <w:tcW w:w="437" w:type="pct"/>
            <w:vAlign w:val="center"/>
          </w:tcPr>
          <w:p w14:paraId="26E08649"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5944</w:t>
            </w:r>
          </w:p>
        </w:tc>
        <w:tc>
          <w:tcPr>
            <w:tcW w:w="437" w:type="pct"/>
            <w:vAlign w:val="center"/>
          </w:tcPr>
          <w:p w14:paraId="0E8C6C60" w14:textId="77777777" w:rsidR="002133E3" w:rsidRDefault="00C22CFA">
            <w:pPr>
              <w:widowControl/>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6129</w:t>
            </w:r>
          </w:p>
        </w:tc>
        <w:tc>
          <w:tcPr>
            <w:tcW w:w="372" w:type="pct"/>
            <w:vAlign w:val="center"/>
          </w:tcPr>
          <w:p w14:paraId="3C2647C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239CCA9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511554F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166523EE" w14:textId="77777777">
        <w:trPr>
          <w:trHeight w:val="284"/>
          <w:jc w:val="center"/>
        </w:trPr>
        <w:tc>
          <w:tcPr>
            <w:tcW w:w="483" w:type="pct"/>
            <w:vMerge/>
            <w:vAlign w:val="center"/>
          </w:tcPr>
          <w:p w14:paraId="68692125"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2429708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氨</w:t>
            </w:r>
          </w:p>
        </w:tc>
        <w:tc>
          <w:tcPr>
            <w:tcW w:w="390" w:type="pct"/>
            <w:vAlign w:val="center"/>
          </w:tcPr>
          <w:p w14:paraId="64CE5D41"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shd w:val="clear" w:color="auto" w:fill="auto"/>
            <w:vAlign w:val="center"/>
          </w:tcPr>
          <w:p w14:paraId="5BDC76A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156</w:t>
            </w:r>
          </w:p>
        </w:tc>
        <w:tc>
          <w:tcPr>
            <w:tcW w:w="437" w:type="pct"/>
            <w:shd w:val="clear" w:color="auto" w:fill="auto"/>
            <w:vAlign w:val="center"/>
          </w:tcPr>
          <w:p w14:paraId="33BFED8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155</w:t>
            </w:r>
          </w:p>
        </w:tc>
        <w:tc>
          <w:tcPr>
            <w:tcW w:w="437" w:type="pct"/>
            <w:shd w:val="clear" w:color="auto" w:fill="auto"/>
            <w:vAlign w:val="center"/>
          </w:tcPr>
          <w:p w14:paraId="65085B9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156</w:t>
            </w:r>
          </w:p>
        </w:tc>
        <w:tc>
          <w:tcPr>
            <w:tcW w:w="437" w:type="pct"/>
            <w:shd w:val="clear" w:color="auto" w:fill="auto"/>
            <w:vAlign w:val="center"/>
          </w:tcPr>
          <w:p w14:paraId="0CAE79E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155</w:t>
            </w:r>
          </w:p>
        </w:tc>
        <w:tc>
          <w:tcPr>
            <w:tcW w:w="437" w:type="pct"/>
            <w:shd w:val="clear" w:color="auto" w:fill="auto"/>
            <w:vAlign w:val="center"/>
          </w:tcPr>
          <w:p w14:paraId="1C86BEA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155</w:t>
            </w:r>
          </w:p>
        </w:tc>
        <w:tc>
          <w:tcPr>
            <w:tcW w:w="437" w:type="pct"/>
            <w:shd w:val="clear" w:color="auto" w:fill="auto"/>
            <w:vAlign w:val="center"/>
          </w:tcPr>
          <w:p w14:paraId="784BCCB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154</w:t>
            </w:r>
          </w:p>
        </w:tc>
        <w:tc>
          <w:tcPr>
            <w:tcW w:w="372" w:type="pct"/>
            <w:vAlign w:val="center"/>
          </w:tcPr>
          <w:p w14:paraId="0EF8E14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7CE7D43B"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64C5E167"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410C0265" w14:textId="77777777">
        <w:trPr>
          <w:trHeight w:val="284"/>
          <w:jc w:val="center"/>
        </w:trPr>
        <w:tc>
          <w:tcPr>
            <w:tcW w:w="483" w:type="pct"/>
            <w:vMerge/>
            <w:vAlign w:val="center"/>
          </w:tcPr>
          <w:p w14:paraId="41203070"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0AEEFD66"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0D7BFB30"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shd w:val="clear" w:color="auto" w:fill="auto"/>
            <w:vAlign w:val="center"/>
          </w:tcPr>
          <w:p w14:paraId="68601EB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0.905</w:t>
            </w:r>
          </w:p>
        </w:tc>
        <w:tc>
          <w:tcPr>
            <w:tcW w:w="437" w:type="pct"/>
            <w:shd w:val="clear" w:color="auto" w:fill="auto"/>
            <w:vAlign w:val="center"/>
          </w:tcPr>
          <w:p w14:paraId="4A86B70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0.927</w:t>
            </w:r>
          </w:p>
        </w:tc>
        <w:tc>
          <w:tcPr>
            <w:tcW w:w="437" w:type="pct"/>
            <w:shd w:val="clear" w:color="auto" w:fill="auto"/>
            <w:vAlign w:val="center"/>
          </w:tcPr>
          <w:p w14:paraId="2D2981D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0.987</w:t>
            </w:r>
          </w:p>
        </w:tc>
        <w:tc>
          <w:tcPr>
            <w:tcW w:w="437" w:type="pct"/>
            <w:shd w:val="clear" w:color="auto" w:fill="auto"/>
            <w:vAlign w:val="center"/>
          </w:tcPr>
          <w:p w14:paraId="2C678C5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0.918</w:t>
            </w:r>
          </w:p>
        </w:tc>
        <w:tc>
          <w:tcPr>
            <w:tcW w:w="437" w:type="pct"/>
            <w:shd w:val="clear" w:color="auto" w:fill="auto"/>
            <w:vAlign w:val="center"/>
          </w:tcPr>
          <w:p w14:paraId="1B80DBE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0.921</w:t>
            </w:r>
          </w:p>
        </w:tc>
        <w:tc>
          <w:tcPr>
            <w:tcW w:w="437" w:type="pct"/>
            <w:shd w:val="clear" w:color="auto" w:fill="auto"/>
            <w:vAlign w:val="center"/>
          </w:tcPr>
          <w:p w14:paraId="397FDF2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0.944</w:t>
            </w:r>
          </w:p>
        </w:tc>
        <w:tc>
          <w:tcPr>
            <w:tcW w:w="372" w:type="pct"/>
            <w:vAlign w:val="center"/>
          </w:tcPr>
          <w:p w14:paraId="79A1305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37C84A87"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19DFFD7A"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03B8D24B" w14:textId="77777777">
        <w:trPr>
          <w:trHeight w:val="284"/>
          <w:jc w:val="center"/>
        </w:trPr>
        <w:tc>
          <w:tcPr>
            <w:tcW w:w="483" w:type="pct"/>
            <w:vMerge/>
            <w:vAlign w:val="center"/>
          </w:tcPr>
          <w:p w14:paraId="04C4A4B4"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restart"/>
            <w:vAlign w:val="center"/>
          </w:tcPr>
          <w:p w14:paraId="06EF2FDD"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硫化氢</w:t>
            </w:r>
          </w:p>
        </w:tc>
        <w:tc>
          <w:tcPr>
            <w:tcW w:w="390" w:type="pct"/>
            <w:vAlign w:val="center"/>
          </w:tcPr>
          <w:p w14:paraId="210BD3A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shd w:val="clear" w:color="auto" w:fill="auto"/>
            <w:vAlign w:val="center"/>
          </w:tcPr>
          <w:p w14:paraId="5DC47BF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2.43</w:t>
            </w:r>
          </w:p>
        </w:tc>
        <w:tc>
          <w:tcPr>
            <w:tcW w:w="437" w:type="pct"/>
            <w:shd w:val="clear" w:color="auto" w:fill="auto"/>
            <w:vAlign w:val="center"/>
          </w:tcPr>
          <w:p w14:paraId="55D5D1E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2.49</w:t>
            </w:r>
          </w:p>
        </w:tc>
        <w:tc>
          <w:tcPr>
            <w:tcW w:w="437" w:type="pct"/>
            <w:shd w:val="clear" w:color="auto" w:fill="auto"/>
            <w:vAlign w:val="center"/>
          </w:tcPr>
          <w:p w14:paraId="06E29D2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2.63</w:t>
            </w:r>
          </w:p>
        </w:tc>
        <w:tc>
          <w:tcPr>
            <w:tcW w:w="437" w:type="pct"/>
            <w:shd w:val="clear" w:color="auto" w:fill="auto"/>
            <w:vAlign w:val="center"/>
          </w:tcPr>
          <w:p w14:paraId="3EB4B6C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2.48</w:t>
            </w:r>
          </w:p>
        </w:tc>
        <w:tc>
          <w:tcPr>
            <w:tcW w:w="437" w:type="pct"/>
            <w:shd w:val="clear" w:color="auto" w:fill="auto"/>
            <w:vAlign w:val="center"/>
          </w:tcPr>
          <w:p w14:paraId="35D45AD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2.60</w:t>
            </w:r>
          </w:p>
        </w:tc>
        <w:tc>
          <w:tcPr>
            <w:tcW w:w="437" w:type="pct"/>
            <w:shd w:val="clear" w:color="auto" w:fill="auto"/>
            <w:vAlign w:val="center"/>
          </w:tcPr>
          <w:p w14:paraId="2EAEAC1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2.55</w:t>
            </w:r>
          </w:p>
        </w:tc>
        <w:tc>
          <w:tcPr>
            <w:tcW w:w="372" w:type="pct"/>
            <w:vAlign w:val="center"/>
          </w:tcPr>
          <w:p w14:paraId="7E0C1BE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31988128"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429FB392"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1B9FDAAA" w14:textId="77777777">
        <w:trPr>
          <w:trHeight w:val="284"/>
          <w:jc w:val="center"/>
        </w:trPr>
        <w:tc>
          <w:tcPr>
            <w:tcW w:w="483" w:type="pct"/>
            <w:vMerge/>
            <w:vAlign w:val="center"/>
          </w:tcPr>
          <w:p w14:paraId="64682A16" w14:textId="77777777" w:rsidR="002133E3" w:rsidRDefault="002133E3">
            <w:pPr>
              <w:adjustRightInd w:val="0"/>
              <w:snapToGrid w:val="0"/>
              <w:spacing w:line="0" w:lineRule="atLeast"/>
              <w:jc w:val="center"/>
              <w:rPr>
                <w:rFonts w:ascii="Times New Roman" w:eastAsia="宋体" w:hAnsi="Times New Roman" w:cs="Times New Roman"/>
                <w:color w:val="000000"/>
                <w:spacing w:val="-12"/>
                <w:kern w:val="0"/>
                <w:szCs w:val="21"/>
              </w:rPr>
            </w:pPr>
          </w:p>
        </w:tc>
        <w:tc>
          <w:tcPr>
            <w:tcW w:w="347" w:type="pct"/>
            <w:vMerge/>
            <w:vAlign w:val="center"/>
          </w:tcPr>
          <w:p w14:paraId="0B237998"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6AFC6966"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70645C3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0.0141</w:t>
            </w:r>
          </w:p>
        </w:tc>
        <w:tc>
          <w:tcPr>
            <w:tcW w:w="437" w:type="pct"/>
            <w:vAlign w:val="center"/>
          </w:tcPr>
          <w:p w14:paraId="5531EAF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0.0149</w:t>
            </w:r>
          </w:p>
        </w:tc>
        <w:tc>
          <w:tcPr>
            <w:tcW w:w="437" w:type="pct"/>
            <w:vAlign w:val="center"/>
          </w:tcPr>
          <w:p w14:paraId="770FE8D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0.0166</w:t>
            </w:r>
          </w:p>
        </w:tc>
        <w:tc>
          <w:tcPr>
            <w:tcW w:w="437" w:type="pct"/>
            <w:vAlign w:val="center"/>
          </w:tcPr>
          <w:p w14:paraId="386525A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0.0147</w:t>
            </w:r>
          </w:p>
        </w:tc>
        <w:tc>
          <w:tcPr>
            <w:tcW w:w="437" w:type="pct"/>
            <w:vAlign w:val="center"/>
          </w:tcPr>
          <w:p w14:paraId="1B632B1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0.0155</w:t>
            </w:r>
          </w:p>
        </w:tc>
        <w:tc>
          <w:tcPr>
            <w:tcW w:w="437" w:type="pct"/>
            <w:vAlign w:val="center"/>
          </w:tcPr>
          <w:p w14:paraId="4679425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0.0156</w:t>
            </w:r>
          </w:p>
        </w:tc>
        <w:tc>
          <w:tcPr>
            <w:tcW w:w="372" w:type="pct"/>
            <w:vAlign w:val="center"/>
          </w:tcPr>
          <w:p w14:paraId="34F2B86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5E9A2FF9"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ign w:val="center"/>
          </w:tcPr>
          <w:p w14:paraId="5C2F3F65"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51CAEE20" w14:textId="77777777">
        <w:trPr>
          <w:trHeight w:val="284"/>
          <w:jc w:val="center"/>
        </w:trPr>
        <w:tc>
          <w:tcPr>
            <w:tcW w:w="483" w:type="pct"/>
            <w:vMerge w:val="restart"/>
            <w:vAlign w:val="center"/>
          </w:tcPr>
          <w:p w14:paraId="5E945E7C" w14:textId="77777777" w:rsidR="002133E3" w:rsidRDefault="00C22CFA">
            <w:pPr>
              <w:adjustRightInd w:val="0"/>
              <w:snapToGrid w:val="0"/>
              <w:spacing w:line="0" w:lineRule="atLeast"/>
              <w:jc w:val="center"/>
              <w:rPr>
                <w:rFonts w:ascii="Times New Roman" w:eastAsia="宋体" w:hAnsi="Times New Roman" w:cs="Times New Roman"/>
                <w:color w:val="000000"/>
                <w:spacing w:val="-12"/>
                <w:kern w:val="0"/>
                <w:szCs w:val="21"/>
              </w:rPr>
            </w:pPr>
            <w:r>
              <w:rPr>
                <w:rFonts w:ascii="Times New Roman" w:eastAsia="宋体" w:hAnsi="Times New Roman" w:cs="Times New Roman"/>
                <w:kern w:val="0"/>
                <w:szCs w:val="21"/>
              </w:rPr>
              <w:t>污水站出口</w:t>
            </w:r>
          </w:p>
        </w:tc>
        <w:tc>
          <w:tcPr>
            <w:tcW w:w="738" w:type="pct"/>
            <w:gridSpan w:val="2"/>
            <w:vAlign w:val="center"/>
          </w:tcPr>
          <w:p w14:paraId="7CF993C2"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标干流量</w:t>
            </w:r>
          </w:p>
        </w:tc>
        <w:tc>
          <w:tcPr>
            <w:tcW w:w="437" w:type="pct"/>
            <w:vAlign w:val="center"/>
          </w:tcPr>
          <w:p w14:paraId="0DA67C14"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5232</w:t>
            </w:r>
          </w:p>
        </w:tc>
        <w:tc>
          <w:tcPr>
            <w:tcW w:w="437" w:type="pct"/>
            <w:vAlign w:val="center"/>
          </w:tcPr>
          <w:p w14:paraId="46F2D5D2"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5404</w:t>
            </w:r>
          </w:p>
        </w:tc>
        <w:tc>
          <w:tcPr>
            <w:tcW w:w="437" w:type="pct"/>
            <w:vAlign w:val="center"/>
          </w:tcPr>
          <w:p w14:paraId="6D01A8D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5766</w:t>
            </w:r>
          </w:p>
        </w:tc>
        <w:tc>
          <w:tcPr>
            <w:tcW w:w="437" w:type="pct"/>
            <w:vAlign w:val="center"/>
          </w:tcPr>
          <w:p w14:paraId="73B7FC6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5728</w:t>
            </w:r>
          </w:p>
        </w:tc>
        <w:tc>
          <w:tcPr>
            <w:tcW w:w="437" w:type="pct"/>
            <w:vAlign w:val="center"/>
          </w:tcPr>
          <w:p w14:paraId="7459E3D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5596</w:t>
            </w:r>
          </w:p>
        </w:tc>
        <w:tc>
          <w:tcPr>
            <w:tcW w:w="437" w:type="pct"/>
            <w:vAlign w:val="center"/>
          </w:tcPr>
          <w:p w14:paraId="3786776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5605</w:t>
            </w:r>
          </w:p>
        </w:tc>
        <w:tc>
          <w:tcPr>
            <w:tcW w:w="372" w:type="pct"/>
            <w:vAlign w:val="center"/>
          </w:tcPr>
          <w:p w14:paraId="3C9FDBE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5BC4D256"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0" w:type="pct"/>
            <w:vMerge w:val="restart"/>
            <w:vAlign w:val="center"/>
          </w:tcPr>
          <w:p w14:paraId="28C612C6"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r>
      <w:tr w:rsidR="002133E3" w14:paraId="38BCCCDD" w14:textId="77777777">
        <w:trPr>
          <w:trHeight w:val="284"/>
          <w:jc w:val="center"/>
        </w:trPr>
        <w:tc>
          <w:tcPr>
            <w:tcW w:w="483" w:type="pct"/>
            <w:vMerge/>
            <w:vAlign w:val="center"/>
          </w:tcPr>
          <w:p w14:paraId="711E244E"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47" w:type="pct"/>
            <w:vMerge w:val="restart"/>
            <w:vAlign w:val="center"/>
          </w:tcPr>
          <w:p w14:paraId="2C63A6A5"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氨</w:t>
            </w:r>
          </w:p>
        </w:tc>
        <w:tc>
          <w:tcPr>
            <w:tcW w:w="390" w:type="pct"/>
            <w:vAlign w:val="center"/>
          </w:tcPr>
          <w:p w14:paraId="05FCC769"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vAlign w:val="center"/>
          </w:tcPr>
          <w:p w14:paraId="4D7AB4DA"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64.0</w:t>
            </w:r>
          </w:p>
        </w:tc>
        <w:tc>
          <w:tcPr>
            <w:tcW w:w="437" w:type="pct"/>
            <w:vAlign w:val="center"/>
          </w:tcPr>
          <w:p w14:paraId="7778E16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63.8</w:t>
            </w:r>
          </w:p>
        </w:tc>
        <w:tc>
          <w:tcPr>
            <w:tcW w:w="437" w:type="pct"/>
            <w:vAlign w:val="center"/>
          </w:tcPr>
          <w:p w14:paraId="736B9D2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64.8</w:t>
            </w:r>
          </w:p>
        </w:tc>
        <w:tc>
          <w:tcPr>
            <w:tcW w:w="437" w:type="pct"/>
            <w:vAlign w:val="center"/>
          </w:tcPr>
          <w:p w14:paraId="0277F919"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65.0</w:t>
            </w:r>
          </w:p>
        </w:tc>
        <w:tc>
          <w:tcPr>
            <w:tcW w:w="437" w:type="pct"/>
            <w:vAlign w:val="center"/>
          </w:tcPr>
          <w:p w14:paraId="4F9BDC2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65.4</w:t>
            </w:r>
          </w:p>
        </w:tc>
        <w:tc>
          <w:tcPr>
            <w:tcW w:w="437" w:type="pct"/>
            <w:vAlign w:val="center"/>
          </w:tcPr>
          <w:p w14:paraId="295A3E4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64.5</w:t>
            </w:r>
          </w:p>
        </w:tc>
        <w:tc>
          <w:tcPr>
            <w:tcW w:w="372" w:type="pct"/>
            <w:vAlign w:val="center"/>
          </w:tcPr>
          <w:p w14:paraId="061426C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4E2052DE"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4917FFCA"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2D216DCB" w14:textId="77777777">
        <w:trPr>
          <w:trHeight w:val="284"/>
          <w:jc w:val="center"/>
        </w:trPr>
        <w:tc>
          <w:tcPr>
            <w:tcW w:w="483" w:type="pct"/>
            <w:vMerge/>
            <w:vAlign w:val="center"/>
          </w:tcPr>
          <w:p w14:paraId="3E0C0404"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47" w:type="pct"/>
            <w:vMerge/>
            <w:vAlign w:val="center"/>
          </w:tcPr>
          <w:p w14:paraId="6E02DD19"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7EE90B81"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4D6B44C8"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0.335</w:t>
            </w:r>
          </w:p>
        </w:tc>
        <w:tc>
          <w:tcPr>
            <w:tcW w:w="437" w:type="pct"/>
            <w:vAlign w:val="center"/>
          </w:tcPr>
          <w:p w14:paraId="273A7C4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0.345</w:t>
            </w:r>
          </w:p>
        </w:tc>
        <w:tc>
          <w:tcPr>
            <w:tcW w:w="437" w:type="pct"/>
            <w:vAlign w:val="center"/>
          </w:tcPr>
          <w:p w14:paraId="09BF9967"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0.374</w:t>
            </w:r>
          </w:p>
        </w:tc>
        <w:tc>
          <w:tcPr>
            <w:tcW w:w="437" w:type="pct"/>
            <w:vAlign w:val="center"/>
          </w:tcPr>
          <w:p w14:paraId="166CA87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0.372</w:t>
            </w:r>
          </w:p>
        </w:tc>
        <w:tc>
          <w:tcPr>
            <w:tcW w:w="437" w:type="pct"/>
            <w:vAlign w:val="center"/>
          </w:tcPr>
          <w:p w14:paraId="61877881"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0.366</w:t>
            </w:r>
          </w:p>
        </w:tc>
        <w:tc>
          <w:tcPr>
            <w:tcW w:w="437" w:type="pct"/>
            <w:vAlign w:val="center"/>
          </w:tcPr>
          <w:p w14:paraId="2526CB3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0.362</w:t>
            </w:r>
          </w:p>
        </w:tc>
        <w:tc>
          <w:tcPr>
            <w:tcW w:w="372" w:type="pct"/>
            <w:vAlign w:val="center"/>
          </w:tcPr>
          <w:p w14:paraId="5C4E314D"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4.9</w:t>
            </w:r>
          </w:p>
        </w:tc>
        <w:tc>
          <w:tcPr>
            <w:tcW w:w="345" w:type="pct"/>
            <w:vAlign w:val="center"/>
          </w:tcPr>
          <w:p w14:paraId="3EC645A4"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576A8948"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30F2755D" w14:textId="77777777">
        <w:trPr>
          <w:trHeight w:val="284"/>
          <w:jc w:val="center"/>
        </w:trPr>
        <w:tc>
          <w:tcPr>
            <w:tcW w:w="483" w:type="pct"/>
            <w:vMerge/>
            <w:vAlign w:val="center"/>
          </w:tcPr>
          <w:p w14:paraId="767DC807"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47" w:type="pct"/>
            <w:vMerge w:val="restart"/>
            <w:vAlign w:val="center"/>
          </w:tcPr>
          <w:p w14:paraId="526FB917"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r>
              <w:rPr>
                <w:rFonts w:ascii="Times New Roman" w:eastAsia="宋体" w:hAnsi="Times New Roman" w:cs="Times New Roman"/>
                <w:color w:val="000000"/>
                <w:spacing w:val="-12"/>
                <w:kern w:val="0"/>
                <w:szCs w:val="21"/>
              </w:rPr>
              <w:t>硫化氢</w:t>
            </w:r>
          </w:p>
        </w:tc>
        <w:tc>
          <w:tcPr>
            <w:tcW w:w="390" w:type="pct"/>
            <w:vAlign w:val="center"/>
          </w:tcPr>
          <w:p w14:paraId="231C8DA2"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浓度</w:t>
            </w:r>
          </w:p>
        </w:tc>
        <w:tc>
          <w:tcPr>
            <w:tcW w:w="437" w:type="pct"/>
            <w:vAlign w:val="center"/>
          </w:tcPr>
          <w:p w14:paraId="1972575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0.950</w:t>
            </w:r>
          </w:p>
        </w:tc>
        <w:tc>
          <w:tcPr>
            <w:tcW w:w="437" w:type="pct"/>
            <w:vAlign w:val="center"/>
          </w:tcPr>
          <w:p w14:paraId="528E90FB"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0.963</w:t>
            </w:r>
          </w:p>
        </w:tc>
        <w:tc>
          <w:tcPr>
            <w:tcW w:w="437" w:type="pct"/>
            <w:vAlign w:val="center"/>
          </w:tcPr>
          <w:p w14:paraId="425CD33C"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1.000</w:t>
            </w:r>
          </w:p>
        </w:tc>
        <w:tc>
          <w:tcPr>
            <w:tcW w:w="437" w:type="pct"/>
            <w:vAlign w:val="center"/>
          </w:tcPr>
          <w:p w14:paraId="7E208DC5"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0.978</w:t>
            </w:r>
          </w:p>
        </w:tc>
        <w:tc>
          <w:tcPr>
            <w:tcW w:w="437" w:type="pct"/>
            <w:vAlign w:val="center"/>
          </w:tcPr>
          <w:p w14:paraId="41EBAAC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0.994</w:t>
            </w:r>
          </w:p>
        </w:tc>
        <w:tc>
          <w:tcPr>
            <w:tcW w:w="437" w:type="pct"/>
            <w:vAlign w:val="center"/>
          </w:tcPr>
          <w:p w14:paraId="0902DFC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0.965</w:t>
            </w:r>
          </w:p>
        </w:tc>
        <w:tc>
          <w:tcPr>
            <w:tcW w:w="372" w:type="pct"/>
            <w:vAlign w:val="center"/>
          </w:tcPr>
          <w:p w14:paraId="4E4F55B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45" w:type="pct"/>
            <w:vAlign w:val="center"/>
          </w:tcPr>
          <w:p w14:paraId="5499374F"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14EBB103"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5B86B06B" w14:textId="77777777">
        <w:trPr>
          <w:trHeight w:val="284"/>
          <w:jc w:val="center"/>
        </w:trPr>
        <w:tc>
          <w:tcPr>
            <w:tcW w:w="483" w:type="pct"/>
            <w:vMerge/>
            <w:vAlign w:val="center"/>
          </w:tcPr>
          <w:p w14:paraId="608D503E"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47" w:type="pct"/>
            <w:vMerge/>
            <w:vAlign w:val="center"/>
          </w:tcPr>
          <w:p w14:paraId="284C4419"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spacing w:val="-12"/>
                <w:kern w:val="0"/>
                <w:szCs w:val="21"/>
              </w:rPr>
            </w:pPr>
          </w:p>
        </w:tc>
        <w:tc>
          <w:tcPr>
            <w:tcW w:w="390" w:type="pct"/>
            <w:vAlign w:val="center"/>
          </w:tcPr>
          <w:p w14:paraId="10DD4A4D"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速率</w:t>
            </w:r>
          </w:p>
        </w:tc>
        <w:tc>
          <w:tcPr>
            <w:tcW w:w="437" w:type="pct"/>
            <w:vAlign w:val="center"/>
          </w:tcPr>
          <w:p w14:paraId="14782FF0"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0.0050</w:t>
            </w:r>
          </w:p>
        </w:tc>
        <w:tc>
          <w:tcPr>
            <w:tcW w:w="437" w:type="pct"/>
            <w:vAlign w:val="center"/>
          </w:tcPr>
          <w:p w14:paraId="61D3B3FF"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0.0052</w:t>
            </w:r>
          </w:p>
        </w:tc>
        <w:tc>
          <w:tcPr>
            <w:tcW w:w="437" w:type="pct"/>
            <w:vAlign w:val="center"/>
          </w:tcPr>
          <w:p w14:paraId="11AD251E"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0.0058</w:t>
            </w:r>
          </w:p>
        </w:tc>
        <w:tc>
          <w:tcPr>
            <w:tcW w:w="437" w:type="pct"/>
            <w:vAlign w:val="center"/>
          </w:tcPr>
          <w:p w14:paraId="3A759D75"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0.0056</w:t>
            </w:r>
          </w:p>
        </w:tc>
        <w:tc>
          <w:tcPr>
            <w:tcW w:w="437" w:type="pct"/>
            <w:vAlign w:val="center"/>
          </w:tcPr>
          <w:p w14:paraId="4D2655C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0.0056</w:t>
            </w:r>
          </w:p>
        </w:tc>
        <w:tc>
          <w:tcPr>
            <w:tcW w:w="437" w:type="pct"/>
            <w:vAlign w:val="center"/>
          </w:tcPr>
          <w:p w14:paraId="52B505E3"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0.0054</w:t>
            </w:r>
          </w:p>
        </w:tc>
        <w:tc>
          <w:tcPr>
            <w:tcW w:w="372" w:type="pct"/>
            <w:vAlign w:val="center"/>
          </w:tcPr>
          <w:p w14:paraId="05AFAC76" w14:textId="77777777" w:rsidR="002133E3" w:rsidRDefault="00C22CFA">
            <w:pPr>
              <w:widowControl/>
              <w:adjustRightInd w:val="0"/>
              <w:snapToGrid w:val="0"/>
              <w:spacing w:line="0" w:lineRule="atLeast"/>
              <w:ind w:leftChars="-50" w:left="-105" w:rightChars="-50" w:right="-105"/>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0.33</w:t>
            </w:r>
          </w:p>
        </w:tc>
        <w:tc>
          <w:tcPr>
            <w:tcW w:w="345" w:type="pct"/>
            <w:vAlign w:val="center"/>
          </w:tcPr>
          <w:p w14:paraId="3F77D9EC" w14:textId="77777777" w:rsidR="002133E3" w:rsidRDefault="00C22CFA">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40" w:type="pct"/>
            <w:vMerge/>
            <w:vAlign w:val="center"/>
          </w:tcPr>
          <w:p w14:paraId="73F00F45" w14:textId="77777777" w:rsidR="002133E3" w:rsidRDefault="002133E3">
            <w:pPr>
              <w:adjustRightInd w:val="0"/>
              <w:snapToGrid w:val="0"/>
              <w:spacing w:line="0" w:lineRule="atLeast"/>
              <w:ind w:leftChars="-50" w:left="-105" w:rightChars="-50" w:right="-105"/>
              <w:jc w:val="center"/>
              <w:rPr>
                <w:rFonts w:ascii="Times New Roman" w:eastAsia="宋体" w:hAnsi="Times New Roman" w:cs="Times New Roman"/>
                <w:color w:val="000000"/>
                <w:kern w:val="0"/>
                <w:szCs w:val="21"/>
              </w:rPr>
            </w:pPr>
          </w:p>
        </w:tc>
      </w:tr>
      <w:tr w:rsidR="002133E3" w14:paraId="0FB79623" w14:textId="77777777">
        <w:trPr>
          <w:trHeight w:val="284"/>
          <w:jc w:val="center"/>
        </w:trPr>
        <w:tc>
          <w:tcPr>
            <w:tcW w:w="483" w:type="pct"/>
            <w:vAlign w:val="center"/>
          </w:tcPr>
          <w:p w14:paraId="592AD781" w14:textId="77777777" w:rsidR="002133E3" w:rsidRDefault="00C22CFA">
            <w:pPr>
              <w:topLinePunct/>
              <w:ind w:leftChars="-50" w:left="-105" w:rightChars="-50" w:right="-105"/>
              <w:jc w:val="center"/>
              <w:rPr>
                <w:rFonts w:ascii="Times New Roman" w:eastAsia="宋体" w:hAnsi="Times New Roman" w:cs="Times New Roman"/>
                <w:color w:val="000000"/>
                <w:spacing w:val="-12"/>
                <w:kern w:val="0"/>
                <w:szCs w:val="21"/>
              </w:rPr>
            </w:pPr>
            <w:proofErr w:type="spellStart"/>
            <w:r>
              <w:rPr>
                <w:rFonts w:ascii="Times New Roman" w:eastAsia="宋体" w:hAnsi="Times New Roman" w:cs="Times New Roman"/>
                <w:color w:val="000000"/>
                <w:kern w:val="0"/>
                <w:sz w:val="18"/>
                <w:szCs w:val="18"/>
                <w:lang w:eastAsia="en-US"/>
              </w:rPr>
              <w:t>备注</w:t>
            </w:r>
            <w:proofErr w:type="spellEnd"/>
          </w:p>
        </w:tc>
        <w:tc>
          <w:tcPr>
            <w:tcW w:w="4517" w:type="pct"/>
            <w:gridSpan w:val="11"/>
            <w:vAlign w:val="center"/>
          </w:tcPr>
          <w:p w14:paraId="5B9A5983" w14:textId="77777777" w:rsidR="002133E3" w:rsidRDefault="00C22CFA">
            <w:pPr>
              <w:topLinePunct/>
              <w:spacing w:line="280" w:lineRule="exact"/>
              <w:ind w:leftChars="-50" w:left="-105" w:rightChars="-50" w:right="-105"/>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w:t>
            </w:r>
            <w:r>
              <w:rPr>
                <w:rFonts w:ascii="Times New Roman" w:eastAsia="宋体" w:hAnsi="Times New Roman" w:cs="Times New Roman"/>
                <w:color w:val="000000"/>
                <w:kern w:val="0"/>
                <w:sz w:val="18"/>
                <w:szCs w:val="18"/>
              </w:rPr>
              <w:t>、</w:t>
            </w:r>
            <w:r>
              <w:rPr>
                <w:rFonts w:ascii="Times New Roman" w:eastAsia="宋体" w:hAnsi="Times New Roman" w:cs="Times New Roman"/>
                <w:color w:val="000000"/>
                <w:kern w:val="0"/>
                <w:sz w:val="18"/>
                <w:szCs w:val="18"/>
              </w:rPr>
              <w:t>“ND”</w:t>
            </w:r>
            <w:r>
              <w:rPr>
                <w:rFonts w:ascii="Times New Roman" w:eastAsia="宋体" w:hAnsi="Times New Roman" w:cs="Times New Roman"/>
                <w:color w:val="000000"/>
                <w:kern w:val="0"/>
                <w:sz w:val="18"/>
                <w:szCs w:val="18"/>
              </w:rPr>
              <w:t>表示未检出，即检测结果低于方法检出限。</w:t>
            </w:r>
          </w:p>
          <w:p w14:paraId="4B68D4C6" w14:textId="77777777" w:rsidR="002133E3" w:rsidRDefault="00C22CFA">
            <w:pPr>
              <w:topLinePunct/>
              <w:ind w:leftChars="-50" w:left="-105" w:rightChars="-50" w:right="-105"/>
              <w:rPr>
                <w:rFonts w:ascii="Times New Roman" w:eastAsia="宋体" w:hAnsi="Times New Roman" w:cs="Times New Roman"/>
                <w:color w:val="000000"/>
                <w:kern w:val="0"/>
                <w:szCs w:val="21"/>
              </w:rPr>
            </w:pPr>
            <w:r>
              <w:rPr>
                <w:rFonts w:ascii="Times New Roman" w:eastAsia="宋体" w:hAnsi="Times New Roman" w:cs="Times New Roman"/>
                <w:color w:val="000000"/>
                <w:kern w:val="0"/>
                <w:sz w:val="18"/>
                <w:szCs w:val="18"/>
                <w:lang w:eastAsia="en-US"/>
              </w:rPr>
              <w:t>2</w:t>
            </w:r>
            <w:r>
              <w:rPr>
                <w:rFonts w:ascii="Times New Roman" w:eastAsia="宋体" w:hAnsi="Times New Roman" w:cs="Times New Roman"/>
                <w:color w:val="000000"/>
                <w:kern w:val="0"/>
                <w:sz w:val="18"/>
                <w:szCs w:val="18"/>
                <w:lang w:eastAsia="en-US"/>
              </w:rPr>
              <w:t>、</w:t>
            </w:r>
            <w:r>
              <w:rPr>
                <w:rFonts w:ascii="Times New Roman" w:eastAsia="宋体" w:hAnsi="Times New Roman" w:cs="Times New Roman"/>
                <w:color w:val="000000"/>
                <w:kern w:val="0"/>
                <w:sz w:val="18"/>
                <w:szCs w:val="18"/>
                <w:lang w:eastAsia="en-US"/>
              </w:rPr>
              <w:t>“—”</w:t>
            </w:r>
            <w:proofErr w:type="spellStart"/>
            <w:r>
              <w:rPr>
                <w:rFonts w:ascii="Times New Roman" w:eastAsia="宋体" w:hAnsi="Times New Roman" w:cs="Times New Roman"/>
                <w:color w:val="000000"/>
                <w:kern w:val="0"/>
                <w:sz w:val="18"/>
                <w:szCs w:val="18"/>
                <w:lang w:eastAsia="en-US"/>
              </w:rPr>
              <w:t>表示不适用或未作要求</w:t>
            </w:r>
            <w:proofErr w:type="spellEnd"/>
            <w:r>
              <w:rPr>
                <w:rFonts w:ascii="Times New Roman" w:eastAsia="宋体" w:hAnsi="Times New Roman" w:cs="Times New Roman"/>
                <w:color w:val="000000"/>
                <w:kern w:val="0"/>
                <w:sz w:val="18"/>
                <w:szCs w:val="18"/>
                <w:lang w:eastAsia="en-US"/>
              </w:rPr>
              <w:t>。</w:t>
            </w:r>
          </w:p>
        </w:tc>
      </w:tr>
    </w:tbl>
    <w:p w14:paraId="110766E7" w14:textId="77777777" w:rsidR="002133E3" w:rsidRDefault="002133E3">
      <w:pPr>
        <w:spacing w:before="8"/>
        <w:jc w:val="left"/>
        <w:rPr>
          <w:rFonts w:ascii="Times New Roman" w:eastAsia="宋体" w:hAnsi="Times New Roman" w:cs="Times New Roman"/>
          <w:b/>
          <w:bCs/>
          <w:kern w:val="0"/>
          <w:sz w:val="11"/>
          <w:szCs w:val="11"/>
          <w:lang w:eastAsia="en-US"/>
        </w:rPr>
      </w:pPr>
    </w:p>
    <w:p w14:paraId="64036982" w14:textId="77777777" w:rsidR="002133E3" w:rsidRDefault="00C22CFA">
      <w:pPr>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项目无组织废气主要有颗粒物、丙酮、氨、硫化氢、挥发性有机物等。监测结果表明，验收监测期间，厂界无组织废气排放中颗粒物、挥发性有机物均满足《大气污染物综合排放标准》（</w:t>
      </w:r>
      <w:r>
        <w:rPr>
          <w:rFonts w:ascii="Times New Roman" w:eastAsia="宋体" w:hAnsi="Times New Roman" w:cs="Times New Roman"/>
          <w:sz w:val="28"/>
          <w:szCs w:val="24"/>
        </w:rPr>
        <w:t>GB16297-1996</w:t>
      </w:r>
      <w:r>
        <w:rPr>
          <w:rFonts w:ascii="Times New Roman" w:eastAsia="宋体" w:hAnsi="Times New Roman" w:cs="Times New Roman"/>
          <w:sz w:val="28"/>
          <w:szCs w:val="24"/>
        </w:rPr>
        <w:t>）表</w:t>
      </w:r>
      <w:r>
        <w:rPr>
          <w:rFonts w:ascii="Times New Roman" w:eastAsia="宋体" w:hAnsi="Times New Roman" w:cs="Times New Roman"/>
          <w:sz w:val="28"/>
          <w:szCs w:val="24"/>
        </w:rPr>
        <w:t xml:space="preserve"> 2 </w:t>
      </w:r>
      <w:r>
        <w:rPr>
          <w:rFonts w:ascii="Times New Roman" w:eastAsia="宋体" w:hAnsi="Times New Roman" w:cs="Times New Roman"/>
          <w:sz w:val="28"/>
          <w:szCs w:val="24"/>
        </w:rPr>
        <w:t>中二级标准；氨、硫化氢最大浓度均满足《恶臭污染物排放标准》（</w:t>
      </w:r>
      <w:r>
        <w:rPr>
          <w:rFonts w:ascii="Times New Roman" w:eastAsia="宋体" w:hAnsi="Times New Roman" w:cs="Times New Roman"/>
          <w:sz w:val="28"/>
          <w:szCs w:val="24"/>
        </w:rPr>
        <w:t>GB-14554-93</w:t>
      </w:r>
      <w:r>
        <w:rPr>
          <w:rFonts w:ascii="Times New Roman" w:eastAsia="宋体" w:hAnsi="Times New Roman" w:cs="Times New Roman"/>
          <w:sz w:val="28"/>
          <w:szCs w:val="24"/>
        </w:rPr>
        <w:t>）中表</w:t>
      </w:r>
      <w:r>
        <w:rPr>
          <w:rFonts w:ascii="Times New Roman" w:eastAsia="宋体" w:hAnsi="Times New Roman" w:cs="Times New Roman"/>
          <w:sz w:val="28"/>
          <w:szCs w:val="24"/>
        </w:rPr>
        <w:t xml:space="preserve"> 1 </w:t>
      </w:r>
      <w:r>
        <w:rPr>
          <w:rFonts w:ascii="Times New Roman" w:eastAsia="宋体" w:hAnsi="Times New Roman" w:cs="Times New Roman"/>
          <w:sz w:val="28"/>
          <w:szCs w:val="24"/>
        </w:rPr>
        <w:t>二级新改扩建标准，监测结果见下表。</w:t>
      </w:r>
    </w:p>
    <w:p w14:paraId="71F385E7"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3.2-19  </w:t>
      </w:r>
      <w:r>
        <w:rPr>
          <w:rFonts w:ascii="Times New Roman" w:eastAsia="宋体" w:hAnsi="Times New Roman" w:cs="Times New Roman"/>
          <w:b/>
          <w:bCs/>
          <w:szCs w:val="21"/>
        </w:rPr>
        <w:t>无组织废气检测结果及评价</w:t>
      </w:r>
      <w:r>
        <w:rPr>
          <w:rFonts w:ascii="Times New Roman" w:eastAsia="宋体" w:hAnsi="Times New Roman" w:cs="Times New Roman"/>
          <w:b/>
          <w:bCs/>
          <w:szCs w:val="21"/>
        </w:rPr>
        <w:t>(</w:t>
      </w:r>
      <w:r>
        <w:rPr>
          <w:rFonts w:ascii="Times New Roman" w:eastAsia="宋体" w:hAnsi="Times New Roman" w:cs="Times New Roman"/>
          <w:b/>
          <w:bCs/>
          <w:szCs w:val="21"/>
        </w:rPr>
        <w:t>单位：</w:t>
      </w:r>
      <w:r>
        <w:rPr>
          <w:rFonts w:ascii="Times New Roman" w:eastAsia="宋体" w:hAnsi="Times New Roman" w:cs="Times New Roman"/>
          <w:b/>
          <w:bCs/>
          <w:szCs w:val="21"/>
        </w:rPr>
        <w:t>mg/m3)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1355"/>
        <w:gridCol w:w="848"/>
        <w:gridCol w:w="847"/>
        <w:gridCol w:w="847"/>
        <w:gridCol w:w="847"/>
        <w:gridCol w:w="847"/>
        <w:gridCol w:w="847"/>
        <w:gridCol w:w="847"/>
        <w:gridCol w:w="847"/>
        <w:gridCol w:w="678"/>
        <w:gridCol w:w="617"/>
      </w:tblGrid>
      <w:tr w:rsidR="002133E3" w14:paraId="09276DC9" w14:textId="77777777">
        <w:trPr>
          <w:trHeight w:val="369"/>
          <w:jc w:val="center"/>
        </w:trPr>
        <w:tc>
          <w:tcPr>
            <w:tcW w:w="216" w:type="pct"/>
            <w:vMerge w:val="restart"/>
            <w:vAlign w:val="center"/>
          </w:tcPr>
          <w:p w14:paraId="2664DB6B" w14:textId="77777777" w:rsidR="002133E3" w:rsidRDefault="00C22CFA">
            <w:pPr>
              <w:topLinePunct/>
              <w:spacing w:line="240" w:lineRule="atLeas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检测</w:t>
            </w:r>
            <w:proofErr w:type="spellEnd"/>
          </w:p>
          <w:p w14:paraId="06424BF3" w14:textId="77777777" w:rsidR="002133E3" w:rsidRDefault="00C22CFA">
            <w:pPr>
              <w:topLinePunct/>
              <w:spacing w:line="240" w:lineRule="atLeas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点位</w:t>
            </w:r>
            <w:proofErr w:type="spellEnd"/>
          </w:p>
        </w:tc>
        <w:tc>
          <w:tcPr>
            <w:tcW w:w="687" w:type="pct"/>
            <w:vMerge w:val="restart"/>
            <w:vAlign w:val="center"/>
          </w:tcPr>
          <w:p w14:paraId="386865F8" w14:textId="77777777" w:rsidR="002133E3" w:rsidRDefault="00C22CFA">
            <w:pPr>
              <w:topLinePunct/>
              <w:spacing w:line="240" w:lineRule="atLeas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检测</w:t>
            </w:r>
            <w:proofErr w:type="spellEnd"/>
          </w:p>
          <w:p w14:paraId="181CB9E1" w14:textId="77777777" w:rsidR="002133E3" w:rsidRDefault="00C22CFA">
            <w:pPr>
              <w:topLinePunct/>
              <w:spacing w:line="240" w:lineRule="atLeas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项目</w:t>
            </w:r>
            <w:proofErr w:type="spellEnd"/>
          </w:p>
        </w:tc>
        <w:tc>
          <w:tcPr>
            <w:tcW w:w="3439" w:type="pct"/>
            <w:gridSpan w:val="8"/>
            <w:vAlign w:val="center"/>
          </w:tcPr>
          <w:p w14:paraId="2113BDF6" w14:textId="77777777" w:rsidR="002133E3" w:rsidRDefault="00C22CFA">
            <w:pPr>
              <w:topLinePunct/>
              <w:spacing w:line="240" w:lineRule="atLeast"/>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测量值</w:t>
            </w:r>
            <w:proofErr w:type="spellEnd"/>
          </w:p>
        </w:tc>
        <w:tc>
          <w:tcPr>
            <w:tcW w:w="344" w:type="pct"/>
            <w:vMerge w:val="restart"/>
            <w:vAlign w:val="center"/>
          </w:tcPr>
          <w:p w14:paraId="0D6B5C50" w14:textId="77777777" w:rsidR="002133E3" w:rsidRDefault="00C22CFA">
            <w:pPr>
              <w:topLinePunc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标准</w:t>
            </w:r>
            <w:proofErr w:type="spellEnd"/>
          </w:p>
          <w:p w14:paraId="6AC129A6" w14:textId="77777777" w:rsidR="002133E3" w:rsidRDefault="00C22CFA">
            <w:pPr>
              <w:topLinePunct/>
              <w:spacing w:line="240" w:lineRule="atLeas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限值</w:t>
            </w:r>
            <w:proofErr w:type="spellEnd"/>
          </w:p>
        </w:tc>
        <w:tc>
          <w:tcPr>
            <w:tcW w:w="314" w:type="pct"/>
            <w:vMerge w:val="restart"/>
            <w:vAlign w:val="center"/>
          </w:tcPr>
          <w:p w14:paraId="0F67B52D" w14:textId="77777777" w:rsidR="002133E3" w:rsidRDefault="00C22CFA">
            <w:pPr>
              <w:topLinePunct/>
              <w:spacing w:line="240" w:lineRule="atLeas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达标</w:t>
            </w:r>
            <w:proofErr w:type="spellEnd"/>
          </w:p>
          <w:p w14:paraId="189E3A18" w14:textId="77777777" w:rsidR="002133E3" w:rsidRDefault="00C22CFA">
            <w:pPr>
              <w:topLinePunct/>
              <w:spacing w:line="240" w:lineRule="atLeast"/>
              <w:ind w:leftChars="-50" w:left="-105" w:rightChars="-50" w:right="-105"/>
              <w:jc w:val="center"/>
              <w:rPr>
                <w:rFonts w:ascii="Times New Roman" w:eastAsia="宋体" w:hAnsi="Times New Roman" w:cs="Times New Roman"/>
                <w:b/>
                <w:bCs/>
                <w:color w:val="000000"/>
                <w:kern w:val="0"/>
                <w:szCs w:val="21"/>
                <w:lang w:eastAsia="en-US"/>
              </w:rPr>
            </w:pPr>
            <w:proofErr w:type="spellStart"/>
            <w:r>
              <w:rPr>
                <w:rFonts w:ascii="Times New Roman" w:eastAsia="宋体" w:hAnsi="Times New Roman" w:cs="Times New Roman"/>
                <w:b/>
                <w:bCs/>
                <w:color w:val="000000"/>
                <w:kern w:val="0"/>
                <w:szCs w:val="21"/>
                <w:lang w:eastAsia="en-US"/>
              </w:rPr>
              <w:t>情况</w:t>
            </w:r>
            <w:proofErr w:type="spellEnd"/>
          </w:p>
        </w:tc>
      </w:tr>
      <w:tr w:rsidR="002133E3" w14:paraId="463F3F67" w14:textId="77777777">
        <w:trPr>
          <w:trHeight w:val="369"/>
          <w:jc w:val="center"/>
        </w:trPr>
        <w:tc>
          <w:tcPr>
            <w:tcW w:w="216" w:type="pct"/>
            <w:vMerge/>
            <w:vAlign w:val="center"/>
          </w:tcPr>
          <w:p w14:paraId="48AB5AF0" w14:textId="77777777" w:rsidR="002133E3" w:rsidRDefault="002133E3">
            <w:pPr>
              <w:topLinePunct/>
              <w:spacing w:line="240" w:lineRule="atLeast"/>
              <w:jc w:val="center"/>
              <w:rPr>
                <w:rFonts w:ascii="Times New Roman" w:eastAsia="宋体" w:hAnsi="Times New Roman" w:cs="Times New Roman"/>
                <w:kern w:val="0"/>
                <w:szCs w:val="21"/>
                <w:lang w:eastAsia="en-US"/>
              </w:rPr>
            </w:pPr>
          </w:p>
        </w:tc>
        <w:tc>
          <w:tcPr>
            <w:tcW w:w="687" w:type="pct"/>
            <w:vMerge/>
            <w:vAlign w:val="center"/>
          </w:tcPr>
          <w:p w14:paraId="70CC7563" w14:textId="77777777" w:rsidR="002133E3" w:rsidRDefault="002133E3">
            <w:pPr>
              <w:topLinePunct/>
              <w:spacing w:line="240" w:lineRule="atLeast"/>
              <w:jc w:val="center"/>
              <w:rPr>
                <w:rFonts w:ascii="Times New Roman" w:eastAsia="宋体" w:hAnsi="Times New Roman" w:cs="Times New Roman"/>
                <w:kern w:val="0"/>
                <w:szCs w:val="21"/>
                <w:lang w:eastAsia="en-US"/>
              </w:rPr>
            </w:pPr>
          </w:p>
        </w:tc>
        <w:tc>
          <w:tcPr>
            <w:tcW w:w="1720" w:type="pct"/>
            <w:gridSpan w:val="4"/>
            <w:vAlign w:val="center"/>
          </w:tcPr>
          <w:p w14:paraId="6EC04CC0" w14:textId="77777777" w:rsidR="002133E3" w:rsidRDefault="00C22CFA">
            <w:pPr>
              <w:topLinePunct/>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05.29</w:t>
            </w:r>
          </w:p>
        </w:tc>
        <w:tc>
          <w:tcPr>
            <w:tcW w:w="1719" w:type="pct"/>
            <w:gridSpan w:val="4"/>
            <w:vAlign w:val="center"/>
          </w:tcPr>
          <w:p w14:paraId="624D5044" w14:textId="77777777" w:rsidR="002133E3" w:rsidRDefault="00C22CFA">
            <w:pPr>
              <w:topLinePunct/>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05.30</w:t>
            </w:r>
          </w:p>
        </w:tc>
        <w:tc>
          <w:tcPr>
            <w:tcW w:w="344" w:type="pct"/>
            <w:vMerge/>
            <w:vAlign w:val="center"/>
          </w:tcPr>
          <w:p w14:paraId="4B0D3DE8" w14:textId="77777777" w:rsidR="002133E3" w:rsidRDefault="002133E3">
            <w:pPr>
              <w:topLinePunct/>
              <w:spacing w:line="240" w:lineRule="atLeast"/>
              <w:jc w:val="center"/>
              <w:rPr>
                <w:rFonts w:ascii="Times New Roman" w:eastAsia="宋体" w:hAnsi="Times New Roman" w:cs="Times New Roman"/>
                <w:kern w:val="0"/>
                <w:szCs w:val="21"/>
                <w:lang w:eastAsia="en-US"/>
              </w:rPr>
            </w:pPr>
          </w:p>
        </w:tc>
        <w:tc>
          <w:tcPr>
            <w:tcW w:w="314" w:type="pct"/>
            <w:vMerge/>
            <w:vAlign w:val="center"/>
          </w:tcPr>
          <w:p w14:paraId="560CDB20" w14:textId="77777777" w:rsidR="002133E3" w:rsidRDefault="002133E3">
            <w:pPr>
              <w:topLinePunct/>
              <w:spacing w:line="240" w:lineRule="atLeast"/>
              <w:jc w:val="center"/>
              <w:rPr>
                <w:rFonts w:ascii="Times New Roman" w:eastAsia="宋体" w:hAnsi="Times New Roman" w:cs="Times New Roman"/>
                <w:kern w:val="0"/>
                <w:szCs w:val="21"/>
                <w:lang w:eastAsia="en-US"/>
              </w:rPr>
            </w:pPr>
          </w:p>
        </w:tc>
      </w:tr>
      <w:tr w:rsidR="002133E3" w14:paraId="252B5950" w14:textId="77777777">
        <w:trPr>
          <w:trHeight w:val="369"/>
          <w:jc w:val="center"/>
        </w:trPr>
        <w:tc>
          <w:tcPr>
            <w:tcW w:w="216" w:type="pct"/>
            <w:vMerge/>
            <w:vAlign w:val="center"/>
          </w:tcPr>
          <w:p w14:paraId="03703806" w14:textId="77777777" w:rsidR="002133E3" w:rsidRDefault="002133E3">
            <w:pPr>
              <w:topLinePunct/>
              <w:spacing w:line="240" w:lineRule="atLeast"/>
              <w:ind w:leftChars="-50" w:left="-105" w:rightChars="-50" w:right="-105"/>
              <w:jc w:val="center"/>
              <w:rPr>
                <w:rFonts w:ascii="Times New Roman" w:eastAsia="宋体" w:hAnsi="Times New Roman" w:cs="Times New Roman"/>
                <w:color w:val="000000"/>
                <w:kern w:val="0"/>
                <w:szCs w:val="21"/>
                <w:lang w:eastAsia="en-US"/>
              </w:rPr>
            </w:pPr>
          </w:p>
        </w:tc>
        <w:tc>
          <w:tcPr>
            <w:tcW w:w="687" w:type="pct"/>
            <w:vMerge/>
            <w:vAlign w:val="center"/>
          </w:tcPr>
          <w:p w14:paraId="0321FD59" w14:textId="77777777" w:rsidR="002133E3" w:rsidRDefault="002133E3">
            <w:pPr>
              <w:topLinePunct/>
              <w:spacing w:line="240" w:lineRule="atLeast"/>
              <w:ind w:leftChars="-50" w:left="-105" w:rightChars="-50" w:right="-105"/>
              <w:jc w:val="center"/>
              <w:rPr>
                <w:rFonts w:ascii="Times New Roman" w:eastAsia="宋体" w:hAnsi="Times New Roman" w:cs="Times New Roman"/>
                <w:color w:val="000000"/>
                <w:kern w:val="0"/>
                <w:szCs w:val="21"/>
                <w:lang w:eastAsia="en-US"/>
              </w:rPr>
            </w:pPr>
          </w:p>
        </w:tc>
        <w:tc>
          <w:tcPr>
            <w:tcW w:w="430" w:type="pct"/>
            <w:vAlign w:val="center"/>
          </w:tcPr>
          <w:p w14:paraId="4A00F787"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1</w:t>
            </w:r>
          </w:p>
        </w:tc>
        <w:tc>
          <w:tcPr>
            <w:tcW w:w="430" w:type="pct"/>
            <w:vAlign w:val="center"/>
          </w:tcPr>
          <w:p w14:paraId="2224D8BA"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2</w:t>
            </w:r>
          </w:p>
        </w:tc>
        <w:tc>
          <w:tcPr>
            <w:tcW w:w="430" w:type="pct"/>
            <w:vAlign w:val="center"/>
          </w:tcPr>
          <w:p w14:paraId="7A9B2A83"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3</w:t>
            </w:r>
          </w:p>
        </w:tc>
        <w:tc>
          <w:tcPr>
            <w:tcW w:w="430" w:type="pct"/>
            <w:vAlign w:val="center"/>
          </w:tcPr>
          <w:p w14:paraId="2DBAE6B7"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4</w:t>
            </w:r>
          </w:p>
        </w:tc>
        <w:tc>
          <w:tcPr>
            <w:tcW w:w="430" w:type="pct"/>
            <w:vAlign w:val="center"/>
          </w:tcPr>
          <w:p w14:paraId="7631CF85"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1</w:t>
            </w:r>
          </w:p>
        </w:tc>
        <w:tc>
          <w:tcPr>
            <w:tcW w:w="430" w:type="pct"/>
            <w:vAlign w:val="center"/>
          </w:tcPr>
          <w:p w14:paraId="6FF327BC"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2</w:t>
            </w:r>
          </w:p>
        </w:tc>
        <w:tc>
          <w:tcPr>
            <w:tcW w:w="430" w:type="pct"/>
            <w:vAlign w:val="center"/>
          </w:tcPr>
          <w:p w14:paraId="5E485267"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3</w:t>
            </w:r>
          </w:p>
        </w:tc>
        <w:tc>
          <w:tcPr>
            <w:tcW w:w="430" w:type="pct"/>
            <w:vAlign w:val="center"/>
          </w:tcPr>
          <w:p w14:paraId="178E240B" w14:textId="77777777" w:rsidR="002133E3" w:rsidRDefault="00C22CFA">
            <w:pPr>
              <w:topLinePunct/>
              <w:spacing w:line="240" w:lineRule="atLeast"/>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4</w:t>
            </w:r>
          </w:p>
        </w:tc>
        <w:tc>
          <w:tcPr>
            <w:tcW w:w="344" w:type="pct"/>
            <w:vMerge/>
            <w:vAlign w:val="center"/>
          </w:tcPr>
          <w:p w14:paraId="43097FAE" w14:textId="77777777" w:rsidR="002133E3" w:rsidRDefault="002133E3">
            <w:pPr>
              <w:topLinePunct/>
              <w:spacing w:line="240" w:lineRule="atLeast"/>
              <w:ind w:leftChars="-50" w:left="-105" w:rightChars="-50" w:right="-105"/>
              <w:jc w:val="center"/>
              <w:rPr>
                <w:rFonts w:ascii="Times New Roman" w:eastAsia="宋体" w:hAnsi="Times New Roman" w:cs="Times New Roman"/>
                <w:color w:val="000000"/>
                <w:kern w:val="0"/>
                <w:szCs w:val="21"/>
                <w:lang w:eastAsia="en-US"/>
              </w:rPr>
            </w:pPr>
          </w:p>
        </w:tc>
        <w:tc>
          <w:tcPr>
            <w:tcW w:w="314" w:type="pct"/>
            <w:vMerge/>
            <w:vAlign w:val="center"/>
          </w:tcPr>
          <w:p w14:paraId="5E740D33" w14:textId="77777777" w:rsidR="002133E3" w:rsidRDefault="002133E3">
            <w:pPr>
              <w:topLinePunct/>
              <w:spacing w:line="240" w:lineRule="atLeast"/>
              <w:ind w:leftChars="-50" w:left="-105" w:rightChars="-50" w:right="-105"/>
              <w:jc w:val="center"/>
              <w:rPr>
                <w:rFonts w:ascii="Times New Roman" w:eastAsia="宋体" w:hAnsi="Times New Roman" w:cs="Times New Roman"/>
                <w:color w:val="000000"/>
                <w:kern w:val="0"/>
                <w:szCs w:val="21"/>
                <w:lang w:eastAsia="en-US"/>
              </w:rPr>
            </w:pPr>
          </w:p>
        </w:tc>
      </w:tr>
      <w:tr w:rsidR="002133E3" w14:paraId="646FAB0E" w14:textId="77777777">
        <w:trPr>
          <w:trHeight w:val="369"/>
          <w:jc w:val="center"/>
        </w:trPr>
        <w:tc>
          <w:tcPr>
            <w:tcW w:w="216" w:type="pct"/>
            <w:vMerge w:val="restart"/>
            <w:vAlign w:val="center"/>
          </w:tcPr>
          <w:p w14:paraId="0B0E083D" w14:textId="77777777" w:rsidR="002133E3" w:rsidRDefault="00C22CFA">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上风向参照点</w:t>
            </w:r>
            <w:r>
              <w:rPr>
                <w:rFonts w:ascii="Times New Roman" w:eastAsia="宋体" w:hAnsi="Times New Roman" w:cs="Times New Roman"/>
                <w:color w:val="000000"/>
                <w:kern w:val="0"/>
                <w:szCs w:val="21"/>
                <w:lang w:eastAsia="en-US"/>
              </w:rPr>
              <w:t>1#</w:t>
            </w:r>
          </w:p>
        </w:tc>
        <w:tc>
          <w:tcPr>
            <w:tcW w:w="687" w:type="pct"/>
            <w:vAlign w:val="center"/>
          </w:tcPr>
          <w:p w14:paraId="345ECC26"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颗粒物</w:t>
            </w:r>
          </w:p>
        </w:tc>
        <w:tc>
          <w:tcPr>
            <w:tcW w:w="430" w:type="pct"/>
            <w:vAlign w:val="center"/>
          </w:tcPr>
          <w:p w14:paraId="33CAAC4A"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0.200</w:t>
            </w:r>
          </w:p>
        </w:tc>
        <w:tc>
          <w:tcPr>
            <w:tcW w:w="430" w:type="pct"/>
            <w:vAlign w:val="center"/>
          </w:tcPr>
          <w:p w14:paraId="01406E99"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0.183</w:t>
            </w:r>
          </w:p>
        </w:tc>
        <w:tc>
          <w:tcPr>
            <w:tcW w:w="430" w:type="pct"/>
            <w:vAlign w:val="center"/>
          </w:tcPr>
          <w:p w14:paraId="1FDFA3A6"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0.217</w:t>
            </w:r>
          </w:p>
        </w:tc>
        <w:tc>
          <w:tcPr>
            <w:tcW w:w="430" w:type="pct"/>
            <w:vAlign w:val="center"/>
          </w:tcPr>
          <w:p w14:paraId="6195D665"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0.167</w:t>
            </w:r>
          </w:p>
        </w:tc>
        <w:tc>
          <w:tcPr>
            <w:tcW w:w="430" w:type="pct"/>
            <w:vAlign w:val="center"/>
          </w:tcPr>
          <w:p w14:paraId="4C4EC3C9"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0.200</w:t>
            </w:r>
          </w:p>
        </w:tc>
        <w:tc>
          <w:tcPr>
            <w:tcW w:w="430" w:type="pct"/>
            <w:vAlign w:val="center"/>
          </w:tcPr>
          <w:p w14:paraId="04B9C526"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0.250</w:t>
            </w:r>
          </w:p>
        </w:tc>
        <w:tc>
          <w:tcPr>
            <w:tcW w:w="430" w:type="pct"/>
            <w:vAlign w:val="center"/>
          </w:tcPr>
          <w:p w14:paraId="65CCEF16"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0.217</w:t>
            </w:r>
          </w:p>
        </w:tc>
        <w:tc>
          <w:tcPr>
            <w:tcW w:w="430" w:type="pct"/>
            <w:vAlign w:val="center"/>
          </w:tcPr>
          <w:p w14:paraId="01FD063F"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0.217</w:t>
            </w:r>
          </w:p>
        </w:tc>
        <w:tc>
          <w:tcPr>
            <w:tcW w:w="344" w:type="pct"/>
            <w:vAlign w:val="center"/>
          </w:tcPr>
          <w:p w14:paraId="62E55DE6"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c>
          <w:tcPr>
            <w:tcW w:w="314" w:type="pct"/>
            <w:vAlign w:val="center"/>
          </w:tcPr>
          <w:p w14:paraId="1450378C"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r>
      <w:tr w:rsidR="002133E3" w14:paraId="01152D0A" w14:textId="77777777">
        <w:trPr>
          <w:trHeight w:val="369"/>
          <w:jc w:val="center"/>
        </w:trPr>
        <w:tc>
          <w:tcPr>
            <w:tcW w:w="216" w:type="pct"/>
            <w:vMerge/>
            <w:vAlign w:val="center"/>
          </w:tcPr>
          <w:p w14:paraId="2B0236F1"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0F0282E3"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丙酮</w:t>
            </w:r>
          </w:p>
        </w:tc>
        <w:tc>
          <w:tcPr>
            <w:tcW w:w="430" w:type="pct"/>
            <w:vAlign w:val="center"/>
          </w:tcPr>
          <w:p w14:paraId="6E63EEF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0AD28166"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48BAE49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44E174F0"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430" w:type="pct"/>
            <w:vAlign w:val="center"/>
          </w:tcPr>
          <w:p w14:paraId="184FF87A"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4EFC1944"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38622157"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27A5E611"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344" w:type="pct"/>
            <w:vAlign w:val="center"/>
          </w:tcPr>
          <w:p w14:paraId="2277DD63"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c>
          <w:tcPr>
            <w:tcW w:w="314" w:type="pct"/>
            <w:vAlign w:val="center"/>
          </w:tcPr>
          <w:p w14:paraId="6B74F62E"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r>
      <w:tr w:rsidR="002133E3" w14:paraId="050B3EA4" w14:textId="77777777">
        <w:trPr>
          <w:trHeight w:val="369"/>
          <w:jc w:val="center"/>
        </w:trPr>
        <w:tc>
          <w:tcPr>
            <w:tcW w:w="216" w:type="pct"/>
            <w:vMerge/>
            <w:vAlign w:val="center"/>
          </w:tcPr>
          <w:p w14:paraId="246D8285"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1834F067"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w:t>
            </w:r>
          </w:p>
        </w:tc>
        <w:tc>
          <w:tcPr>
            <w:tcW w:w="430" w:type="pct"/>
            <w:vAlign w:val="center"/>
          </w:tcPr>
          <w:p w14:paraId="41F7545B"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0.28</w:t>
            </w:r>
          </w:p>
        </w:tc>
        <w:tc>
          <w:tcPr>
            <w:tcW w:w="430" w:type="pct"/>
            <w:vAlign w:val="center"/>
          </w:tcPr>
          <w:p w14:paraId="486BFA57"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0.26</w:t>
            </w:r>
          </w:p>
        </w:tc>
        <w:tc>
          <w:tcPr>
            <w:tcW w:w="430" w:type="pct"/>
            <w:vAlign w:val="center"/>
          </w:tcPr>
          <w:p w14:paraId="716FC48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0.25</w:t>
            </w:r>
          </w:p>
        </w:tc>
        <w:tc>
          <w:tcPr>
            <w:tcW w:w="430" w:type="pct"/>
            <w:vAlign w:val="center"/>
          </w:tcPr>
          <w:p w14:paraId="67D26E17"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0.28</w:t>
            </w:r>
          </w:p>
        </w:tc>
        <w:tc>
          <w:tcPr>
            <w:tcW w:w="430" w:type="pct"/>
            <w:vAlign w:val="center"/>
          </w:tcPr>
          <w:p w14:paraId="0ED6517C"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0.27</w:t>
            </w:r>
          </w:p>
        </w:tc>
        <w:tc>
          <w:tcPr>
            <w:tcW w:w="430" w:type="pct"/>
            <w:vAlign w:val="center"/>
          </w:tcPr>
          <w:p w14:paraId="4F00AF74"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0.28</w:t>
            </w:r>
          </w:p>
        </w:tc>
        <w:tc>
          <w:tcPr>
            <w:tcW w:w="430" w:type="pct"/>
            <w:vAlign w:val="center"/>
          </w:tcPr>
          <w:p w14:paraId="6857D1D3"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0.27</w:t>
            </w:r>
          </w:p>
        </w:tc>
        <w:tc>
          <w:tcPr>
            <w:tcW w:w="430" w:type="pct"/>
            <w:vAlign w:val="center"/>
          </w:tcPr>
          <w:p w14:paraId="0C197FF2"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0.24</w:t>
            </w:r>
          </w:p>
        </w:tc>
        <w:tc>
          <w:tcPr>
            <w:tcW w:w="344" w:type="pct"/>
            <w:vAlign w:val="center"/>
          </w:tcPr>
          <w:p w14:paraId="494E16CB"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eastAsia="en-US"/>
              </w:rPr>
              <w:t>—</w:t>
            </w:r>
          </w:p>
        </w:tc>
        <w:tc>
          <w:tcPr>
            <w:tcW w:w="314" w:type="pct"/>
            <w:vAlign w:val="center"/>
          </w:tcPr>
          <w:p w14:paraId="53CD4635"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r>
      <w:tr w:rsidR="002133E3" w14:paraId="7CD63447" w14:textId="77777777">
        <w:trPr>
          <w:trHeight w:val="369"/>
          <w:jc w:val="center"/>
        </w:trPr>
        <w:tc>
          <w:tcPr>
            <w:tcW w:w="216" w:type="pct"/>
            <w:vMerge/>
            <w:vAlign w:val="center"/>
          </w:tcPr>
          <w:p w14:paraId="1B6ED5D3"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060DB4A1"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硫化氢</w:t>
            </w:r>
          </w:p>
        </w:tc>
        <w:tc>
          <w:tcPr>
            <w:tcW w:w="430" w:type="pct"/>
            <w:vAlign w:val="center"/>
          </w:tcPr>
          <w:p w14:paraId="56D74813"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1BF4D49A"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1A8CC74D"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25C6A705"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430" w:type="pct"/>
            <w:vAlign w:val="center"/>
          </w:tcPr>
          <w:p w14:paraId="510240A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5E78598E"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4A109093"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78873822"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344" w:type="pct"/>
            <w:vAlign w:val="center"/>
          </w:tcPr>
          <w:p w14:paraId="76815D4B"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c>
          <w:tcPr>
            <w:tcW w:w="314" w:type="pct"/>
            <w:vAlign w:val="center"/>
          </w:tcPr>
          <w:p w14:paraId="5BE50AA5"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r>
      <w:tr w:rsidR="002133E3" w14:paraId="318B0B95" w14:textId="77777777">
        <w:trPr>
          <w:trHeight w:val="369"/>
          <w:jc w:val="center"/>
        </w:trPr>
        <w:tc>
          <w:tcPr>
            <w:tcW w:w="216" w:type="pct"/>
            <w:vMerge/>
            <w:vAlign w:val="center"/>
          </w:tcPr>
          <w:p w14:paraId="40A08DEA"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6A71293D" w14:textId="77777777" w:rsidR="002133E3" w:rsidRDefault="00C22CFA">
            <w:pPr>
              <w:topLinePunct/>
              <w:ind w:leftChars="-50" w:left="-105" w:rightChars="-50" w:right="-105"/>
              <w:jc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挥发性有机物</w:t>
            </w:r>
            <w:r>
              <w:rPr>
                <w:rFonts w:ascii="Times New Roman" w:eastAsia="宋体" w:hAnsi="Times New Roman" w:cs="Times New Roman"/>
                <w:color w:val="000000"/>
                <w:kern w:val="0"/>
                <w:szCs w:val="21"/>
              </w:rPr>
              <w:t xml:space="preserve"> </w:t>
            </w:r>
          </w:p>
        </w:tc>
        <w:tc>
          <w:tcPr>
            <w:tcW w:w="430" w:type="pct"/>
            <w:vAlign w:val="center"/>
          </w:tcPr>
          <w:p w14:paraId="12480432"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6FD5AF6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w:t>
            </w:r>
          </w:p>
        </w:tc>
        <w:tc>
          <w:tcPr>
            <w:tcW w:w="430" w:type="pct"/>
            <w:vAlign w:val="center"/>
          </w:tcPr>
          <w:p w14:paraId="73B6056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w:t>
            </w:r>
          </w:p>
        </w:tc>
        <w:tc>
          <w:tcPr>
            <w:tcW w:w="430" w:type="pct"/>
            <w:vAlign w:val="center"/>
          </w:tcPr>
          <w:p w14:paraId="28FB746D"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0.5</w:t>
            </w:r>
          </w:p>
        </w:tc>
        <w:tc>
          <w:tcPr>
            <w:tcW w:w="430" w:type="pct"/>
            <w:vAlign w:val="center"/>
          </w:tcPr>
          <w:p w14:paraId="51AE523D"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w:t>
            </w:r>
          </w:p>
        </w:tc>
        <w:tc>
          <w:tcPr>
            <w:tcW w:w="430" w:type="pct"/>
            <w:vAlign w:val="center"/>
          </w:tcPr>
          <w:p w14:paraId="2795C36E"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ND</w:t>
            </w:r>
          </w:p>
        </w:tc>
        <w:tc>
          <w:tcPr>
            <w:tcW w:w="430" w:type="pct"/>
            <w:vAlign w:val="center"/>
          </w:tcPr>
          <w:p w14:paraId="37772190"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0.4</w:t>
            </w:r>
          </w:p>
        </w:tc>
        <w:tc>
          <w:tcPr>
            <w:tcW w:w="430" w:type="pct"/>
            <w:vAlign w:val="center"/>
          </w:tcPr>
          <w:p w14:paraId="704F598A"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0.4</w:t>
            </w:r>
          </w:p>
        </w:tc>
        <w:tc>
          <w:tcPr>
            <w:tcW w:w="344" w:type="pct"/>
            <w:vAlign w:val="center"/>
          </w:tcPr>
          <w:p w14:paraId="2F2B073C"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c>
          <w:tcPr>
            <w:tcW w:w="314" w:type="pct"/>
            <w:vAlign w:val="center"/>
          </w:tcPr>
          <w:p w14:paraId="20C14544"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w:t>
            </w:r>
          </w:p>
        </w:tc>
      </w:tr>
      <w:tr w:rsidR="002133E3" w14:paraId="709CCD37" w14:textId="77777777">
        <w:trPr>
          <w:trHeight w:val="369"/>
          <w:jc w:val="center"/>
        </w:trPr>
        <w:tc>
          <w:tcPr>
            <w:tcW w:w="216" w:type="pct"/>
            <w:vMerge w:val="restart"/>
            <w:vAlign w:val="center"/>
          </w:tcPr>
          <w:p w14:paraId="3E4830B7" w14:textId="77777777" w:rsidR="002133E3" w:rsidRDefault="00C22CFA">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下</w:t>
            </w:r>
            <w:r>
              <w:rPr>
                <w:rFonts w:ascii="Times New Roman" w:eastAsia="宋体" w:hAnsi="Times New Roman" w:cs="Times New Roman"/>
                <w:color w:val="000000"/>
                <w:kern w:val="0"/>
                <w:szCs w:val="21"/>
                <w:lang w:eastAsia="en-US"/>
              </w:rPr>
              <w:lastRenderedPageBreak/>
              <w:t>风向监控点</w:t>
            </w:r>
            <w:r>
              <w:rPr>
                <w:rFonts w:ascii="Times New Roman" w:eastAsia="宋体" w:hAnsi="Times New Roman" w:cs="Times New Roman"/>
                <w:color w:val="000000"/>
                <w:kern w:val="0"/>
                <w:szCs w:val="21"/>
                <w:lang w:eastAsia="en-US"/>
              </w:rPr>
              <w:t>2#</w:t>
            </w:r>
          </w:p>
        </w:tc>
        <w:tc>
          <w:tcPr>
            <w:tcW w:w="687" w:type="pct"/>
            <w:vAlign w:val="center"/>
          </w:tcPr>
          <w:p w14:paraId="7281B14C"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lastRenderedPageBreak/>
              <w:t>颗粒物</w:t>
            </w:r>
          </w:p>
        </w:tc>
        <w:tc>
          <w:tcPr>
            <w:tcW w:w="430" w:type="pct"/>
            <w:vAlign w:val="center"/>
          </w:tcPr>
          <w:p w14:paraId="747BA21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0.333</w:t>
            </w:r>
          </w:p>
        </w:tc>
        <w:tc>
          <w:tcPr>
            <w:tcW w:w="430" w:type="pct"/>
            <w:vAlign w:val="center"/>
          </w:tcPr>
          <w:p w14:paraId="460786A8"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0.317</w:t>
            </w:r>
          </w:p>
        </w:tc>
        <w:tc>
          <w:tcPr>
            <w:tcW w:w="430" w:type="pct"/>
            <w:vAlign w:val="center"/>
          </w:tcPr>
          <w:p w14:paraId="29C5BD9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0.383</w:t>
            </w:r>
          </w:p>
        </w:tc>
        <w:tc>
          <w:tcPr>
            <w:tcW w:w="430" w:type="pct"/>
            <w:vAlign w:val="center"/>
          </w:tcPr>
          <w:p w14:paraId="220611AF"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0.333</w:t>
            </w:r>
          </w:p>
        </w:tc>
        <w:tc>
          <w:tcPr>
            <w:tcW w:w="430" w:type="pct"/>
            <w:vAlign w:val="center"/>
          </w:tcPr>
          <w:p w14:paraId="5DE12E47"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0.333</w:t>
            </w:r>
          </w:p>
        </w:tc>
        <w:tc>
          <w:tcPr>
            <w:tcW w:w="430" w:type="pct"/>
            <w:vAlign w:val="center"/>
          </w:tcPr>
          <w:p w14:paraId="22B9537B"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0.350</w:t>
            </w:r>
          </w:p>
        </w:tc>
        <w:tc>
          <w:tcPr>
            <w:tcW w:w="430" w:type="pct"/>
            <w:vAlign w:val="center"/>
          </w:tcPr>
          <w:p w14:paraId="3AC4489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0.433</w:t>
            </w:r>
          </w:p>
        </w:tc>
        <w:tc>
          <w:tcPr>
            <w:tcW w:w="430" w:type="pct"/>
            <w:vAlign w:val="center"/>
          </w:tcPr>
          <w:p w14:paraId="17207C9B"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0.383</w:t>
            </w:r>
          </w:p>
        </w:tc>
        <w:tc>
          <w:tcPr>
            <w:tcW w:w="344" w:type="pct"/>
            <w:vAlign w:val="center"/>
          </w:tcPr>
          <w:p w14:paraId="5458F3F0"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314" w:type="pct"/>
            <w:vAlign w:val="center"/>
          </w:tcPr>
          <w:p w14:paraId="73932FC7"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2830C903" w14:textId="77777777">
        <w:trPr>
          <w:trHeight w:val="369"/>
          <w:jc w:val="center"/>
        </w:trPr>
        <w:tc>
          <w:tcPr>
            <w:tcW w:w="216" w:type="pct"/>
            <w:vMerge/>
            <w:vAlign w:val="center"/>
          </w:tcPr>
          <w:p w14:paraId="4A79B4C9"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3A195BF6"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丙酮</w:t>
            </w:r>
          </w:p>
        </w:tc>
        <w:tc>
          <w:tcPr>
            <w:tcW w:w="430" w:type="pct"/>
            <w:vAlign w:val="center"/>
          </w:tcPr>
          <w:p w14:paraId="79E9B724"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1623EAEC"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7AF82989"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1D5E69C1"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430" w:type="pct"/>
            <w:vAlign w:val="center"/>
          </w:tcPr>
          <w:p w14:paraId="4A0BC3B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405F2814"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1D916BB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6EDF481D"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344" w:type="pct"/>
            <w:vAlign w:val="center"/>
          </w:tcPr>
          <w:p w14:paraId="06DE768D"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314" w:type="pct"/>
            <w:vAlign w:val="center"/>
          </w:tcPr>
          <w:p w14:paraId="1F76B5FF"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30F54604" w14:textId="77777777">
        <w:trPr>
          <w:trHeight w:val="369"/>
          <w:jc w:val="center"/>
        </w:trPr>
        <w:tc>
          <w:tcPr>
            <w:tcW w:w="216" w:type="pct"/>
            <w:vMerge/>
            <w:vAlign w:val="center"/>
          </w:tcPr>
          <w:p w14:paraId="729C359A"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6DC15A04"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w:t>
            </w:r>
          </w:p>
        </w:tc>
        <w:tc>
          <w:tcPr>
            <w:tcW w:w="430" w:type="pct"/>
            <w:vAlign w:val="center"/>
          </w:tcPr>
          <w:p w14:paraId="2DA73C12"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0.36</w:t>
            </w:r>
          </w:p>
        </w:tc>
        <w:tc>
          <w:tcPr>
            <w:tcW w:w="430" w:type="pct"/>
            <w:vAlign w:val="center"/>
          </w:tcPr>
          <w:p w14:paraId="03B858A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0.37</w:t>
            </w:r>
          </w:p>
        </w:tc>
        <w:tc>
          <w:tcPr>
            <w:tcW w:w="430" w:type="pct"/>
            <w:vAlign w:val="center"/>
          </w:tcPr>
          <w:p w14:paraId="522ED264"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0.37</w:t>
            </w:r>
          </w:p>
        </w:tc>
        <w:tc>
          <w:tcPr>
            <w:tcW w:w="430" w:type="pct"/>
            <w:vAlign w:val="center"/>
          </w:tcPr>
          <w:p w14:paraId="694A3598"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0.35</w:t>
            </w:r>
          </w:p>
        </w:tc>
        <w:tc>
          <w:tcPr>
            <w:tcW w:w="430" w:type="pct"/>
            <w:vAlign w:val="center"/>
          </w:tcPr>
          <w:p w14:paraId="5EF6FE4E"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0.35</w:t>
            </w:r>
          </w:p>
        </w:tc>
        <w:tc>
          <w:tcPr>
            <w:tcW w:w="430" w:type="pct"/>
            <w:vAlign w:val="center"/>
          </w:tcPr>
          <w:p w14:paraId="4486DA5E"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0.36</w:t>
            </w:r>
          </w:p>
        </w:tc>
        <w:tc>
          <w:tcPr>
            <w:tcW w:w="430" w:type="pct"/>
            <w:vAlign w:val="center"/>
          </w:tcPr>
          <w:p w14:paraId="04740E6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0.33</w:t>
            </w:r>
          </w:p>
        </w:tc>
        <w:tc>
          <w:tcPr>
            <w:tcW w:w="430" w:type="pct"/>
            <w:vAlign w:val="center"/>
          </w:tcPr>
          <w:p w14:paraId="735A7A55"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0.35</w:t>
            </w:r>
          </w:p>
        </w:tc>
        <w:tc>
          <w:tcPr>
            <w:tcW w:w="344" w:type="pct"/>
            <w:vAlign w:val="center"/>
          </w:tcPr>
          <w:p w14:paraId="7114100D"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314" w:type="pct"/>
            <w:vAlign w:val="center"/>
          </w:tcPr>
          <w:p w14:paraId="29B8C89F"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098067A1" w14:textId="77777777">
        <w:trPr>
          <w:trHeight w:val="369"/>
          <w:jc w:val="center"/>
        </w:trPr>
        <w:tc>
          <w:tcPr>
            <w:tcW w:w="216" w:type="pct"/>
            <w:vMerge/>
            <w:vAlign w:val="center"/>
          </w:tcPr>
          <w:p w14:paraId="4C8BE184"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2D576B88"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硫化氢</w:t>
            </w:r>
          </w:p>
        </w:tc>
        <w:tc>
          <w:tcPr>
            <w:tcW w:w="430" w:type="pct"/>
            <w:vAlign w:val="center"/>
          </w:tcPr>
          <w:p w14:paraId="0DC50D7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5BA12AAC"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w:t>
            </w:r>
          </w:p>
        </w:tc>
        <w:tc>
          <w:tcPr>
            <w:tcW w:w="430" w:type="pct"/>
            <w:vAlign w:val="center"/>
          </w:tcPr>
          <w:p w14:paraId="50EEF009"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0.006</w:t>
            </w:r>
          </w:p>
        </w:tc>
        <w:tc>
          <w:tcPr>
            <w:tcW w:w="430" w:type="pct"/>
            <w:vAlign w:val="center"/>
          </w:tcPr>
          <w:p w14:paraId="797B6428"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0.005</w:t>
            </w:r>
          </w:p>
        </w:tc>
        <w:tc>
          <w:tcPr>
            <w:tcW w:w="430" w:type="pct"/>
            <w:vAlign w:val="center"/>
          </w:tcPr>
          <w:p w14:paraId="0DBE3909"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w:t>
            </w:r>
          </w:p>
        </w:tc>
        <w:tc>
          <w:tcPr>
            <w:tcW w:w="430" w:type="pct"/>
            <w:vAlign w:val="center"/>
          </w:tcPr>
          <w:p w14:paraId="559ED454"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w:t>
            </w:r>
          </w:p>
        </w:tc>
        <w:tc>
          <w:tcPr>
            <w:tcW w:w="430" w:type="pct"/>
            <w:vAlign w:val="center"/>
          </w:tcPr>
          <w:p w14:paraId="49446DFC"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613C43B9"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0.006</w:t>
            </w:r>
          </w:p>
        </w:tc>
        <w:tc>
          <w:tcPr>
            <w:tcW w:w="344" w:type="pct"/>
            <w:vAlign w:val="center"/>
          </w:tcPr>
          <w:p w14:paraId="5FFEEE9D"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0.06</w:t>
            </w:r>
          </w:p>
        </w:tc>
        <w:tc>
          <w:tcPr>
            <w:tcW w:w="314" w:type="pct"/>
            <w:vAlign w:val="center"/>
          </w:tcPr>
          <w:p w14:paraId="5214F824"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44843644" w14:textId="77777777">
        <w:trPr>
          <w:trHeight w:val="369"/>
          <w:jc w:val="center"/>
        </w:trPr>
        <w:tc>
          <w:tcPr>
            <w:tcW w:w="216" w:type="pct"/>
            <w:vMerge/>
            <w:vAlign w:val="center"/>
          </w:tcPr>
          <w:p w14:paraId="1E144A35"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0B6F8802"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挥发性有机物</w:t>
            </w:r>
            <w:r>
              <w:rPr>
                <w:rFonts w:ascii="Times New Roman" w:eastAsia="宋体" w:hAnsi="Times New Roman" w:cs="Times New Roman"/>
                <w:color w:val="000000"/>
                <w:kern w:val="0"/>
                <w:szCs w:val="21"/>
              </w:rPr>
              <w:t xml:space="preserve"> </w:t>
            </w:r>
          </w:p>
        </w:tc>
        <w:tc>
          <w:tcPr>
            <w:tcW w:w="430" w:type="pct"/>
            <w:vAlign w:val="center"/>
          </w:tcPr>
          <w:p w14:paraId="50C16368"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w:t>
            </w:r>
          </w:p>
        </w:tc>
        <w:tc>
          <w:tcPr>
            <w:tcW w:w="430" w:type="pct"/>
            <w:vAlign w:val="center"/>
          </w:tcPr>
          <w:p w14:paraId="260F6CD7"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0.8</w:t>
            </w:r>
          </w:p>
        </w:tc>
        <w:tc>
          <w:tcPr>
            <w:tcW w:w="430" w:type="pct"/>
            <w:vAlign w:val="center"/>
          </w:tcPr>
          <w:p w14:paraId="38CF48B3"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w:t>
            </w:r>
          </w:p>
        </w:tc>
        <w:tc>
          <w:tcPr>
            <w:tcW w:w="430" w:type="pct"/>
            <w:vAlign w:val="center"/>
          </w:tcPr>
          <w:p w14:paraId="0324D7A5"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0.7</w:t>
            </w:r>
          </w:p>
        </w:tc>
        <w:tc>
          <w:tcPr>
            <w:tcW w:w="430" w:type="pct"/>
            <w:vAlign w:val="center"/>
          </w:tcPr>
          <w:p w14:paraId="37717589"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0.7</w:t>
            </w:r>
          </w:p>
        </w:tc>
        <w:tc>
          <w:tcPr>
            <w:tcW w:w="430" w:type="pct"/>
            <w:vAlign w:val="center"/>
          </w:tcPr>
          <w:p w14:paraId="16B6E323"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0.8</w:t>
            </w:r>
          </w:p>
        </w:tc>
        <w:tc>
          <w:tcPr>
            <w:tcW w:w="430" w:type="pct"/>
            <w:vAlign w:val="center"/>
          </w:tcPr>
          <w:p w14:paraId="01348272"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1.2</w:t>
            </w:r>
          </w:p>
        </w:tc>
        <w:tc>
          <w:tcPr>
            <w:tcW w:w="430" w:type="pct"/>
            <w:vAlign w:val="center"/>
          </w:tcPr>
          <w:p w14:paraId="567D02E4"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1.6</w:t>
            </w:r>
          </w:p>
        </w:tc>
        <w:tc>
          <w:tcPr>
            <w:tcW w:w="344" w:type="pct"/>
            <w:vAlign w:val="center"/>
          </w:tcPr>
          <w:p w14:paraId="14E4B681" w14:textId="77777777" w:rsidR="002133E3" w:rsidRDefault="00C22CFA">
            <w:pPr>
              <w:topLinePunct/>
              <w:ind w:leftChars="-50" w:left="-105" w:rightChars="-50" w:right="-105"/>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4.0</w:t>
            </w:r>
          </w:p>
        </w:tc>
        <w:tc>
          <w:tcPr>
            <w:tcW w:w="314" w:type="pct"/>
            <w:vAlign w:val="center"/>
          </w:tcPr>
          <w:p w14:paraId="253A315B" w14:textId="77777777" w:rsidR="002133E3" w:rsidRDefault="00C22CFA">
            <w:pPr>
              <w:topLinePunct/>
              <w:ind w:leftChars="-50" w:left="-105" w:rightChars="-50" w:right="-105"/>
              <w:jc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eastAsia="en-US"/>
              </w:rPr>
              <w:t>达标</w:t>
            </w:r>
            <w:proofErr w:type="spellEnd"/>
          </w:p>
        </w:tc>
      </w:tr>
      <w:tr w:rsidR="002133E3" w14:paraId="5FCAA2A9" w14:textId="77777777">
        <w:trPr>
          <w:trHeight w:val="369"/>
          <w:jc w:val="center"/>
        </w:trPr>
        <w:tc>
          <w:tcPr>
            <w:tcW w:w="216" w:type="pct"/>
            <w:vMerge w:val="restart"/>
            <w:vAlign w:val="center"/>
          </w:tcPr>
          <w:p w14:paraId="1F22B01D" w14:textId="77777777" w:rsidR="002133E3" w:rsidRDefault="00C22CFA">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下风向监控点</w:t>
            </w:r>
            <w:r>
              <w:rPr>
                <w:rFonts w:ascii="Times New Roman" w:eastAsia="宋体" w:hAnsi="Times New Roman" w:cs="Times New Roman"/>
                <w:color w:val="000000"/>
                <w:kern w:val="0"/>
                <w:szCs w:val="21"/>
                <w:lang w:eastAsia="en-US"/>
              </w:rPr>
              <w:t>3#</w:t>
            </w:r>
          </w:p>
        </w:tc>
        <w:tc>
          <w:tcPr>
            <w:tcW w:w="687" w:type="pct"/>
            <w:vAlign w:val="center"/>
          </w:tcPr>
          <w:p w14:paraId="10CB011C"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颗粒物</w:t>
            </w:r>
          </w:p>
        </w:tc>
        <w:tc>
          <w:tcPr>
            <w:tcW w:w="430" w:type="pct"/>
            <w:vAlign w:val="center"/>
          </w:tcPr>
          <w:p w14:paraId="56F647F7"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0.433</w:t>
            </w:r>
          </w:p>
        </w:tc>
        <w:tc>
          <w:tcPr>
            <w:tcW w:w="430" w:type="pct"/>
            <w:vAlign w:val="center"/>
          </w:tcPr>
          <w:p w14:paraId="4133C2CB"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0.350</w:t>
            </w:r>
          </w:p>
        </w:tc>
        <w:tc>
          <w:tcPr>
            <w:tcW w:w="430" w:type="pct"/>
            <w:vAlign w:val="center"/>
          </w:tcPr>
          <w:p w14:paraId="79C4CD72"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0.400</w:t>
            </w:r>
          </w:p>
        </w:tc>
        <w:tc>
          <w:tcPr>
            <w:tcW w:w="430" w:type="pct"/>
            <w:vAlign w:val="center"/>
          </w:tcPr>
          <w:p w14:paraId="0E0A773E"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0.367</w:t>
            </w:r>
          </w:p>
        </w:tc>
        <w:tc>
          <w:tcPr>
            <w:tcW w:w="430" w:type="pct"/>
            <w:vAlign w:val="center"/>
          </w:tcPr>
          <w:p w14:paraId="428D3D7F"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0.433</w:t>
            </w:r>
          </w:p>
        </w:tc>
        <w:tc>
          <w:tcPr>
            <w:tcW w:w="430" w:type="pct"/>
            <w:vAlign w:val="center"/>
          </w:tcPr>
          <w:p w14:paraId="3F7CFEEA"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0.417</w:t>
            </w:r>
          </w:p>
        </w:tc>
        <w:tc>
          <w:tcPr>
            <w:tcW w:w="430" w:type="pct"/>
            <w:vAlign w:val="center"/>
          </w:tcPr>
          <w:p w14:paraId="394C1F50"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0.400</w:t>
            </w:r>
          </w:p>
        </w:tc>
        <w:tc>
          <w:tcPr>
            <w:tcW w:w="430" w:type="pct"/>
            <w:vAlign w:val="center"/>
          </w:tcPr>
          <w:p w14:paraId="385A24C4"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0.400</w:t>
            </w:r>
          </w:p>
        </w:tc>
        <w:tc>
          <w:tcPr>
            <w:tcW w:w="344" w:type="pct"/>
            <w:vAlign w:val="center"/>
          </w:tcPr>
          <w:p w14:paraId="754151D6" w14:textId="77777777" w:rsidR="002133E3" w:rsidRDefault="00C22CFA">
            <w:pPr>
              <w:topLinePunct/>
              <w:ind w:leftChars="-50" w:left="-105" w:rightChars="-50" w:right="-105"/>
              <w:jc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1.0</w:t>
            </w:r>
          </w:p>
        </w:tc>
        <w:tc>
          <w:tcPr>
            <w:tcW w:w="314" w:type="pct"/>
            <w:vAlign w:val="center"/>
          </w:tcPr>
          <w:p w14:paraId="65ED6864"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7E4D1B91" w14:textId="77777777">
        <w:trPr>
          <w:trHeight w:val="369"/>
          <w:jc w:val="center"/>
        </w:trPr>
        <w:tc>
          <w:tcPr>
            <w:tcW w:w="216" w:type="pct"/>
            <w:vMerge/>
            <w:vAlign w:val="center"/>
          </w:tcPr>
          <w:p w14:paraId="7BCF2188"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54464D13"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丙酮</w:t>
            </w:r>
          </w:p>
        </w:tc>
        <w:tc>
          <w:tcPr>
            <w:tcW w:w="430" w:type="pct"/>
            <w:vAlign w:val="center"/>
          </w:tcPr>
          <w:p w14:paraId="2807B6A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4AF816D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2A900F18"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739FC3EA"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430" w:type="pct"/>
            <w:vAlign w:val="center"/>
          </w:tcPr>
          <w:p w14:paraId="532BCAB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520BA45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23ABA439"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0AC7EEA9"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344" w:type="pct"/>
            <w:vAlign w:val="center"/>
          </w:tcPr>
          <w:p w14:paraId="331B759A"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w:t>
            </w:r>
          </w:p>
        </w:tc>
        <w:tc>
          <w:tcPr>
            <w:tcW w:w="314" w:type="pct"/>
            <w:vAlign w:val="center"/>
          </w:tcPr>
          <w:p w14:paraId="3F7B753B"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5BE5B9B8" w14:textId="77777777">
        <w:trPr>
          <w:trHeight w:val="369"/>
          <w:jc w:val="center"/>
        </w:trPr>
        <w:tc>
          <w:tcPr>
            <w:tcW w:w="216" w:type="pct"/>
            <w:vMerge/>
            <w:vAlign w:val="center"/>
          </w:tcPr>
          <w:p w14:paraId="6F278049"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59715F0A"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w:t>
            </w:r>
          </w:p>
        </w:tc>
        <w:tc>
          <w:tcPr>
            <w:tcW w:w="430" w:type="pct"/>
            <w:vAlign w:val="center"/>
          </w:tcPr>
          <w:p w14:paraId="6D57D979"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0.52</w:t>
            </w:r>
          </w:p>
        </w:tc>
        <w:tc>
          <w:tcPr>
            <w:tcW w:w="430" w:type="pct"/>
            <w:vAlign w:val="center"/>
          </w:tcPr>
          <w:p w14:paraId="5E3EE4CD"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0.50</w:t>
            </w:r>
          </w:p>
        </w:tc>
        <w:tc>
          <w:tcPr>
            <w:tcW w:w="430" w:type="pct"/>
            <w:vAlign w:val="center"/>
          </w:tcPr>
          <w:p w14:paraId="2DDC7167"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0.53</w:t>
            </w:r>
          </w:p>
        </w:tc>
        <w:tc>
          <w:tcPr>
            <w:tcW w:w="430" w:type="pct"/>
            <w:vAlign w:val="center"/>
          </w:tcPr>
          <w:p w14:paraId="7CF74997"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0.54</w:t>
            </w:r>
          </w:p>
        </w:tc>
        <w:tc>
          <w:tcPr>
            <w:tcW w:w="430" w:type="pct"/>
            <w:vAlign w:val="center"/>
          </w:tcPr>
          <w:p w14:paraId="35CF298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0.51</w:t>
            </w:r>
          </w:p>
        </w:tc>
        <w:tc>
          <w:tcPr>
            <w:tcW w:w="430" w:type="pct"/>
            <w:vAlign w:val="center"/>
          </w:tcPr>
          <w:p w14:paraId="6778193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0.55</w:t>
            </w:r>
          </w:p>
        </w:tc>
        <w:tc>
          <w:tcPr>
            <w:tcW w:w="430" w:type="pct"/>
            <w:vAlign w:val="center"/>
          </w:tcPr>
          <w:p w14:paraId="056D687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0.54</w:t>
            </w:r>
          </w:p>
        </w:tc>
        <w:tc>
          <w:tcPr>
            <w:tcW w:w="430" w:type="pct"/>
            <w:vAlign w:val="center"/>
          </w:tcPr>
          <w:p w14:paraId="514E851C"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0.53</w:t>
            </w:r>
          </w:p>
        </w:tc>
        <w:tc>
          <w:tcPr>
            <w:tcW w:w="344" w:type="pct"/>
            <w:vAlign w:val="center"/>
          </w:tcPr>
          <w:p w14:paraId="4C556D1F"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1.5</w:t>
            </w:r>
          </w:p>
        </w:tc>
        <w:tc>
          <w:tcPr>
            <w:tcW w:w="314" w:type="pct"/>
            <w:vAlign w:val="center"/>
          </w:tcPr>
          <w:p w14:paraId="044811F6"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06854D15" w14:textId="77777777">
        <w:trPr>
          <w:trHeight w:val="369"/>
          <w:jc w:val="center"/>
        </w:trPr>
        <w:tc>
          <w:tcPr>
            <w:tcW w:w="216" w:type="pct"/>
            <w:vMerge/>
            <w:vAlign w:val="center"/>
          </w:tcPr>
          <w:p w14:paraId="1712C042"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4566537B"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硫化氢</w:t>
            </w:r>
          </w:p>
        </w:tc>
        <w:tc>
          <w:tcPr>
            <w:tcW w:w="430" w:type="pct"/>
            <w:vAlign w:val="center"/>
          </w:tcPr>
          <w:p w14:paraId="019D75AC"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0.006</w:t>
            </w:r>
          </w:p>
        </w:tc>
        <w:tc>
          <w:tcPr>
            <w:tcW w:w="430" w:type="pct"/>
            <w:vAlign w:val="center"/>
          </w:tcPr>
          <w:p w14:paraId="10B7EEC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0.007</w:t>
            </w:r>
          </w:p>
        </w:tc>
        <w:tc>
          <w:tcPr>
            <w:tcW w:w="430" w:type="pct"/>
            <w:vAlign w:val="center"/>
          </w:tcPr>
          <w:p w14:paraId="7B4EF61E"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0.005</w:t>
            </w:r>
          </w:p>
        </w:tc>
        <w:tc>
          <w:tcPr>
            <w:tcW w:w="430" w:type="pct"/>
            <w:vAlign w:val="center"/>
          </w:tcPr>
          <w:p w14:paraId="1F44D559"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0.008</w:t>
            </w:r>
          </w:p>
        </w:tc>
        <w:tc>
          <w:tcPr>
            <w:tcW w:w="430" w:type="pct"/>
            <w:vAlign w:val="center"/>
          </w:tcPr>
          <w:p w14:paraId="2EB97D8B"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0.007</w:t>
            </w:r>
          </w:p>
        </w:tc>
        <w:tc>
          <w:tcPr>
            <w:tcW w:w="430" w:type="pct"/>
            <w:vAlign w:val="center"/>
          </w:tcPr>
          <w:p w14:paraId="1D11F88B"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0.008</w:t>
            </w:r>
          </w:p>
        </w:tc>
        <w:tc>
          <w:tcPr>
            <w:tcW w:w="430" w:type="pct"/>
            <w:vAlign w:val="center"/>
          </w:tcPr>
          <w:p w14:paraId="5578A51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0.006</w:t>
            </w:r>
          </w:p>
        </w:tc>
        <w:tc>
          <w:tcPr>
            <w:tcW w:w="430" w:type="pct"/>
            <w:vAlign w:val="center"/>
          </w:tcPr>
          <w:p w14:paraId="10615C57"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0.006</w:t>
            </w:r>
          </w:p>
        </w:tc>
        <w:tc>
          <w:tcPr>
            <w:tcW w:w="344" w:type="pct"/>
            <w:vAlign w:val="center"/>
          </w:tcPr>
          <w:p w14:paraId="02201CF2"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0.06</w:t>
            </w:r>
          </w:p>
        </w:tc>
        <w:tc>
          <w:tcPr>
            <w:tcW w:w="314" w:type="pct"/>
            <w:vAlign w:val="center"/>
          </w:tcPr>
          <w:p w14:paraId="25033141"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2D77A50A" w14:textId="77777777">
        <w:trPr>
          <w:trHeight w:val="369"/>
          <w:jc w:val="center"/>
        </w:trPr>
        <w:tc>
          <w:tcPr>
            <w:tcW w:w="216" w:type="pct"/>
            <w:vMerge/>
            <w:vAlign w:val="center"/>
          </w:tcPr>
          <w:p w14:paraId="42EAC72A"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43E77A5D"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挥发性有机物</w:t>
            </w:r>
            <w:r>
              <w:rPr>
                <w:rFonts w:ascii="Times New Roman" w:eastAsia="宋体" w:hAnsi="Times New Roman" w:cs="Times New Roman"/>
                <w:color w:val="000000"/>
                <w:kern w:val="0"/>
                <w:szCs w:val="21"/>
              </w:rPr>
              <w:t xml:space="preserve"> </w:t>
            </w:r>
          </w:p>
        </w:tc>
        <w:tc>
          <w:tcPr>
            <w:tcW w:w="430" w:type="pct"/>
            <w:vAlign w:val="center"/>
          </w:tcPr>
          <w:p w14:paraId="224E0F0A"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2.1</w:t>
            </w:r>
          </w:p>
        </w:tc>
        <w:tc>
          <w:tcPr>
            <w:tcW w:w="430" w:type="pct"/>
            <w:vAlign w:val="center"/>
          </w:tcPr>
          <w:p w14:paraId="27A3B087"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1.3</w:t>
            </w:r>
          </w:p>
        </w:tc>
        <w:tc>
          <w:tcPr>
            <w:tcW w:w="430" w:type="pct"/>
            <w:vAlign w:val="center"/>
          </w:tcPr>
          <w:p w14:paraId="4DB7DFDE"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1.4</w:t>
            </w:r>
          </w:p>
        </w:tc>
        <w:tc>
          <w:tcPr>
            <w:tcW w:w="430" w:type="pct"/>
            <w:vAlign w:val="center"/>
          </w:tcPr>
          <w:p w14:paraId="221423AA"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1.3</w:t>
            </w:r>
          </w:p>
        </w:tc>
        <w:tc>
          <w:tcPr>
            <w:tcW w:w="430" w:type="pct"/>
            <w:vAlign w:val="center"/>
          </w:tcPr>
          <w:p w14:paraId="79A8E654"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1.7</w:t>
            </w:r>
          </w:p>
        </w:tc>
        <w:tc>
          <w:tcPr>
            <w:tcW w:w="430" w:type="pct"/>
            <w:vAlign w:val="center"/>
          </w:tcPr>
          <w:p w14:paraId="5F991FD9"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1.6</w:t>
            </w:r>
          </w:p>
        </w:tc>
        <w:tc>
          <w:tcPr>
            <w:tcW w:w="430" w:type="pct"/>
            <w:vAlign w:val="center"/>
          </w:tcPr>
          <w:p w14:paraId="1067A113"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1.6</w:t>
            </w:r>
          </w:p>
        </w:tc>
        <w:tc>
          <w:tcPr>
            <w:tcW w:w="430" w:type="pct"/>
            <w:vAlign w:val="center"/>
          </w:tcPr>
          <w:p w14:paraId="729B1630"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1.3</w:t>
            </w:r>
          </w:p>
        </w:tc>
        <w:tc>
          <w:tcPr>
            <w:tcW w:w="344" w:type="pct"/>
            <w:vAlign w:val="center"/>
          </w:tcPr>
          <w:p w14:paraId="42AF29CC" w14:textId="77777777" w:rsidR="002133E3" w:rsidRDefault="00C22CFA">
            <w:pPr>
              <w:topLinePunct/>
              <w:ind w:leftChars="-50" w:left="-105" w:rightChars="-50" w:right="-105"/>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4.0</w:t>
            </w:r>
          </w:p>
        </w:tc>
        <w:tc>
          <w:tcPr>
            <w:tcW w:w="314" w:type="pct"/>
            <w:vAlign w:val="center"/>
          </w:tcPr>
          <w:p w14:paraId="54E34269" w14:textId="77777777" w:rsidR="002133E3" w:rsidRDefault="00C22CFA">
            <w:pPr>
              <w:topLinePunct/>
              <w:ind w:leftChars="-50" w:left="-105" w:rightChars="-50" w:right="-105"/>
              <w:jc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eastAsia="en-US"/>
              </w:rPr>
              <w:t>达标</w:t>
            </w:r>
            <w:proofErr w:type="spellEnd"/>
          </w:p>
        </w:tc>
      </w:tr>
      <w:tr w:rsidR="002133E3" w14:paraId="08A51AAF" w14:textId="77777777">
        <w:trPr>
          <w:trHeight w:val="369"/>
          <w:jc w:val="center"/>
        </w:trPr>
        <w:tc>
          <w:tcPr>
            <w:tcW w:w="216" w:type="pct"/>
            <w:vMerge w:val="restart"/>
            <w:vAlign w:val="center"/>
          </w:tcPr>
          <w:p w14:paraId="620343E0" w14:textId="77777777" w:rsidR="002133E3" w:rsidRDefault="00C22CFA">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下风向监控点</w:t>
            </w:r>
            <w:r>
              <w:rPr>
                <w:rFonts w:ascii="Times New Roman" w:eastAsia="宋体" w:hAnsi="Times New Roman" w:cs="Times New Roman"/>
                <w:color w:val="000000"/>
                <w:kern w:val="0"/>
                <w:szCs w:val="21"/>
                <w:lang w:eastAsia="en-US"/>
              </w:rPr>
              <w:t>4#</w:t>
            </w:r>
          </w:p>
        </w:tc>
        <w:tc>
          <w:tcPr>
            <w:tcW w:w="687" w:type="pct"/>
            <w:vAlign w:val="center"/>
          </w:tcPr>
          <w:p w14:paraId="324FE103"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颗粒物</w:t>
            </w:r>
          </w:p>
        </w:tc>
        <w:tc>
          <w:tcPr>
            <w:tcW w:w="430" w:type="pct"/>
            <w:vAlign w:val="center"/>
          </w:tcPr>
          <w:p w14:paraId="3D77F48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0.333</w:t>
            </w:r>
          </w:p>
        </w:tc>
        <w:tc>
          <w:tcPr>
            <w:tcW w:w="430" w:type="pct"/>
            <w:vAlign w:val="center"/>
          </w:tcPr>
          <w:p w14:paraId="3DEBA61F"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0.317</w:t>
            </w:r>
          </w:p>
        </w:tc>
        <w:tc>
          <w:tcPr>
            <w:tcW w:w="430" w:type="pct"/>
            <w:vAlign w:val="center"/>
          </w:tcPr>
          <w:p w14:paraId="1450C204"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0.367</w:t>
            </w:r>
          </w:p>
        </w:tc>
        <w:tc>
          <w:tcPr>
            <w:tcW w:w="430" w:type="pct"/>
            <w:vAlign w:val="center"/>
          </w:tcPr>
          <w:p w14:paraId="792FC341"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0.367</w:t>
            </w:r>
          </w:p>
        </w:tc>
        <w:tc>
          <w:tcPr>
            <w:tcW w:w="430" w:type="pct"/>
            <w:vAlign w:val="center"/>
          </w:tcPr>
          <w:p w14:paraId="38629078"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0.350</w:t>
            </w:r>
          </w:p>
        </w:tc>
        <w:tc>
          <w:tcPr>
            <w:tcW w:w="430" w:type="pct"/>
            <w:vAlign w:val="center"/>
          </w:tcPr>
          <w:p w14:paraId="384D2F2D" w14:textId="77777777" w:rsidR="002133E3" w:rsidRDefault="00C22CFA">
            <w:pPr>
              <w:topLinePunc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0.367</w:t>
            </w:r>
          </w:p>
        </w:tc>
        <w:tc>
          <w:tcPr>
            <w:tcW w:w="430" w:type="pct"/>
            <w:vAlign w:val="center"/>
          </w:tcPr>
          <w:p w14:paraId="04179430"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0.333</w:t>
            </w:r>
          </w:p>
        </w:tc>
        <w:tc>
          <w:tcPr>
            <w:tcW w:w="430" w:type="pct"/>
            <w:vAlign w:val="center"/>
          </w:tcPr>
          <w:p w14:paraId="179CA9D1"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0.333</w:t>
            </w:r>
          </w:p>
        </w:tc>
        <w:tc>
          <w:tcPr>
            <w:tcW w:w="344" w:type="pct"/>
            <w:vAlign w:val="center"/>
          </w:tcPr>
          <w:p w14:paraId="702B6920"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1.0</w:t>
            </w:r>
          </w:p>
        </w:tc>
        <w:tc>
          <w:tcPr>
            <w:tcW w:w="314" w:type="pct"/>
            <w:vAlign w:val="center"/>
          </w:tcPr>
          <w:p w14:paraId="4C6CE54A"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2BC752A9" w14:textId="77777777">
        <w:trPr>
          <w:trHeight w:val="369"/>
          <w:jc w:val="center"/>
        </w:trPr>
        <w:tc>
          <w:tcPr>
            <w:tcW w:w="216" w:type="pct"/>
            <w:vMerge/>
            <w:vAlign w:val="center"/>
          </w:tcPr>
          <w:p w14:paraId="40FD5409"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518DBA68"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丙酮</w:t>
            </w:r>
          </w:p>
        </w:tc>
        <w:tc>
          <w:tcPr>
            <w:tcW w:w="430" w:type="pct"/>
            <w:vAlign w:val="center"/>
          </w:tcPr>
          <w:p w14:paraId="4534F927"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1C47310D"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72317811"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6ED814CA"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430" w:type="pct"/>
            <w:vAlign w:val="center"/>
          </w:tcPr>
          <w:p w14:paraId="72A289E2"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609090B8"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250CD928" w14:textId="77777777" w:rsidR="002133E3" w:rsidRDefault="00C22CFA">
            <w:pPr>
              <w:topLinePun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ND</w:t>
            </w:r>
          </w:p>
        </w:tc>
        <w:tc>
          <w:tcPr>
            <w:tcW w:w="430" w:type="pct"/>
            <w:vAlign w:val="center"/>
          </w:tcPr>
          <w:p w14:paraId="78F3A619"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rPr>
              <w:t>ND</w:t>
            </w:r>
          </w:p>
        </w:tc>
        <w:tc>
          <w:tcPr>
            <w:tcW w:w="344" w:type="pct"/>
            <w:vAlign w:val="center"/>
          </w:tcPr>
          <w:p w14:paraId="363813BB"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rPr>
              <w:t>-</w:t>
            </w:r>
          </w:p>
        </w:tc>
        <w:tc>
          <w:tcPr>
            <w:tcW w:w="314" w:type="pct"/>
            <w:vAlign w:val="center"/>
          </w:tcPr>
          <w:p w14:paraId="2059B026"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78EAA9A9" w14:textId="77777777">
        <w:trPr>
          <w:trHeight w:val="369"/>
          <w:jc w:val="center"/>
        </w:trPr>
        <w:tc>
          <w:tcPr>
            <w:tcW w:w="216" w:type="pct"/>
            <w:vMerge/>
            <w:vAlign w:val="center"/>
          </w:tcPr>
          <w:p w14:paraId="18BAE15B"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5464303B"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w:t>
            </w:r>
          </w:p>
        </w:tc>
        <w:tc>
          <w:tcPr>
            <w:tcW w:w="430" w:type="pct"/>
            <w:vAlign w:val="center"/>
          </w:tcPr>
          <w:p w14:paraId="229B2EE9"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0.56</w:t>
            </w:r>
          </w:p>
        </w:tc>
        <w:tc>
          <w:tcPr>
            <w:tcW w:w="430" w:type="pct"/>
            <w:vAlign w:val="center"/>
          </w:tcPr>
          <w:p w14:paraId="36637491"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0.59</w:t>
            </w:r>
          </w:p>
        </w:tc>
        <w:tc>
          <w:tcPr>
            <w:tcW w:w="430" w:type="pct"/>
            <w:vAlign w:val="center"/>
          </w:tcPr>
          <w:p w14:paraId="207BA2F0"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0.60</w:t>
            </w:r>
          </w:p>
        </w:tc>
        <w:tc>
          <w:tcPr>
            <w:tcW w:w="430" w:type="pct"/>
            <w:vAlign w:val="center"/>
          </w:tcPr>
          <w:p w14:paraId="422696DF"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0.55</w:t>
            </w:r>
          </w:p>
        </w:tc>
        <w:tc>
          <w:tcPr>
            <w:tcW w:w="430" w:type="pct"/>
            <w:vAlign w:val="center"/>
          </w:tcPr>
          <w:p w14:paraId="5D76C001"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0.57</w:t>
            </w:r>
          </w:p>
        </w:tc>
        <w:tc>
          <w:tcPr>
            <w:tcW w:w="430" w:type="pct"/>
            <w:vAlign w:val="center"/>
          </w:tcPr>
          <w:p w14:paraId="2FB0BBC8"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0.56</w:t>
            </w:r>
          </w:p>
        </w:tc>
        <w:tc>
          <w:tcPr>
            <w:tcW w:w="430" w:type="pct"/>
            <w:vAlign w:val="center"/>
          </w:tcPr>
          <w:p w14:paraId="2A20C432"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0.54</w:t>
            </w:r>
          </w:p>
        </w:tc>
        <w:tc>
          <w:tcPr>
            <w:tcW w:w="430" w:type="pct"/>
            <w:vAlign w:val="center"/>
          </w:tcPr>
          <w:p w14:paraId="46137227"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0.55</w:t>
            </w:r>
          </w:p>
        </w:tc>
        <w:tc>
          <w:tcPr>
            <w:tcW w:w="344" w:type="pct"/>
            <w:vAlign w:val="center"/>
          </w:tcPr>
          <w:p w14:paraId="730F20A6" w14:textId="77777777" w:rsidR="002133E3" w:rsidRDefault="00C22CFA">
            <w:pPr>
              <w:topLinePunct/>
              <w:ind w:leftChars="-50" w:left="-105" w:rightChars="-50" w:right="-105"/>
              <w:jc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1.5</w:t>
            </w:r>
          </w:p>
        </w:tc>
        <w:tc>
          <w:tcPr>
            <w:tcW w:w="314" w:type="pct"/>
            <w:vAlign w:val="center"/>
          </w:tcPr>
          <w:p w14:paraId="26648262" w14:textId="77777777" w:rsidR="002133E3" w:rsidRDefault="00C22CFA">
            <w:pPr>
              <w:topLinePunct/>
              <w:ind w:leftChars="-50" w:left="-105" w:rightChars="-50" w:right="-105"/>
              <w:jc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eastAsia="en-US"/>
              </w:rPr>
              <w:t>达标</w:t>
            </w:r>
            <w:proofErr w:type="spellEnd"/>
          </w:p>
        </w:tc>
      </w:tr>
      <w:tr w:rsidR="002133E3" w14:paraId="78096A53" w14:textId="77777777">
        <w:trPr>
          <w:trHeight w:val="369"/>
          <w:jc w:val="center"/>
        </w:trPr>
        <w:tc>
          <w:tcPr>
            <w:tcW w:w="216" w:type="pct"/>
            <w:vMerge/>
            <w:vAlign w:val="center"/>
          </w:tcPr>
          <w:p w14:paraId="5D7BC436"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7023235B"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硫化氢</w:t>
            </w:r>
          </w:p>
        </w:tc>
        <w:tc>
          <w:tcPr>
            <w:tcW w:w="430" w:type="pct"/>
            <w:vAlign w:val="center"/>
          </w:tcPr>
          <w:p w14:paraId="0F104ECD"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0.008</w:t>
            </w:r>
          </w:p>
        </w:tc>
        <w:tc>
          <w:tcPr>
            <w:tcW w:w="430" w:type="pct"/>
            <w:vAlign w:val="center"/>
          </w:tcPr>
          <w:p w14:paraId="7FABC1F2"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0.009</w:t>
            </w:r>
          </w:p>
        </w:tc>
        <w:tc>
          <w:tcPr>
            <w:tcW w:w="430" w:type="pct"/>
            <w:vAlign w:val="center"/>
          </w:tcPr>
          <w:p w14:paraId="7B3C58F2"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0.009</w:t>
            </w:r>
          </w:p>
        </w:tc>
        <w:tc>
          <w:tcPr>
            <w:tcW w:w="430" w:type="pct"/>
            <w:vAlign w:val="center"/>
          </w:tcPr>
          <w:p w14:paraId="552D3BD1"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0.008</w:t>
            </w:r>
          </w:p>
        </w:tc>
        <w:tc>
          <w:tcPr>
            <w:tcW w:w="430" w:type="pct"/>
            <w:vAlign w:val="center"/>
          </w:tcPr>
          <w:p w14:paraId="435C9D2A"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0.008</w:t>
            </w:r>
          </w:p>
        </w:tc>
        <w:tc>
          <w:tcPr>
            <w:tcW w:w="430" w:type="pct"/>
            <w:vAlign w:val="center"/>
          </w:tcPr>
          <w:p w14:paraId="53061EBC"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0.009</w:t>
            </w:r>
          </w:p>
        </w:tc>
        <w:tc>
          <w:tcPr>
            <w:tcW w:w="430" w:type="pct"/>
            <w:vAlign w:val="center"/>
          </w:tcPr>
          <w:p w14:paraId="2CD60144"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0.007</w:t>
            </w:r>
          </w:p>
        </w:tc>
        <w:tc>
          <w:tcPr>
            <w:tcW w:w="430" w:type="pct"/>
            <w:vAlign w:val="center"/>
          </w:tcPr>
          <w:p w14:paraId="28FB67EB"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0.009</w:t>
            </w:r>
          </w:p>
        </w:tc>
        <w:tc>
          <w:tcPr>
            <w:tcW w:w="344" w:type="pct"/>
            <w:vAlign w:val="center"/>
          </w:tcPr>
          <w:p w14:paraId="4FCE7085" w14:textId="77777777" w:rsidR="002133E3" w:rsidRDefault="00C22CFA">
            <w:pPr>
              <w:topLinePunct/>
              <w:ind w:leftChars="-50" w:left="-105" w:rightChars="-50" w:right="-105"/>
              <w:jc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0.06</w:t>
            </w:r>
          </w:p>
        </w:tc>
        <w:tc>
          <w:tcPr>
            <w:tcW w:w="314" w:type="pct"/>
            <w:vAlign w:val="center"/>
          </w:tcPr>
          <w:p w14:paraId="3DBF8977"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06B1AC34" w14:textId="77777777">
        <w:trPr>
          <w:trHeight w:val="369"/>
          <w:jc w:val="center"/>
        </w:trPr>
        <w:tc>
          <w:tcPr>
            <w:tcW w:w="216" w:type="pct"/>
            <w:vMerge/>
            <w:vAlign w:val="center"/>
          </w:tcPr>
          <w:p w14:paraId="1C40F907" w14:textId="77777777" w:rsidR="002133E3" w:rsidRDefault="002133E3">
            <w:pPr>
              <w:tabs>
                <w:tab w:val="left" w:pos="480"/>
              </w:tabs>
              <w:topLinePunct/>
              <w:ind w:leftChars="-50" w:left="-105" w:rightChars="-50" w:right="-105" w:firstLineChars="1" w:firstLine="2"/>
              <w:jc w:val="center"/>
              <w:rPr>
                <w:rFonts w:ascii="Times New Roman" w:eastAsia="宋体" w:hAnsi="Times New Roman" w:cs="Times New Roman"/>
                <w:color w:val="000000"/>
                <w:kern w:val="0"/>
                <w:szCs w:val="21"/>
                <w:lang w:eastAsia="en-US"/>
              </w:rPr>
            </w:pPr>
          </w:p>
        </w:tc>
        <w:tc>
          <w:tcPr>
            <w:tcW w:w="687" w:type="pct"/>
            <w:vAlign w:val="center"/>
          </w:tcPr>
          <w:p w14:paraId="039E3339" w14:textId="77777777" w:rsidR="002133E3" w:rsidRDefault="00C22CFA">
            <w:pPr>
              <w:topLinePunct/>
              <w:ind w:leftChars="-50" w:left="-105" w:rightChars="-50" w:right="-105"/>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挥发性有机物</w:t>
            </w:r>
            <w:r>
              <w:rPr>
                <w:rFonts w:ascii="Times New Roman" w:eastAsia="宋体" w:hAnsi="Times New Roman" w:cs="Times New Roman"/>
                <w:color w:val="000000"/>
                <w:kern w:val="0"/>
                <w:szCs w:val="21"/>
              </w:rPr>
              <w:t xml:space="preserve"> </w:t>
            </w:r>
          </w:p>
        </w:tc>
        <w:tc>
          <w:tcPr>
            <w:tcW w:w="430" w:type="pct"/>
            <w:vAlign w:val="center"/>
          </w:tcPr>
          <w:p w14:paraId="671FD597"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1.3</w:t>
            </w:r>
          </w:p>
        </w:tc>
        <w:tc>
          <w:tcPr>
            <w:tcW w:w="430" w:type="pct"/>
            <w:vAlign w:val="center"/>
          </w:tcPr>
          <w:p w14:paraId="4B51F16C"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1.1</w:t>
            </w:r>
          </w:p>
        </w:tc>
        <w:tc>
          <w:tcPr>
            <w:tcW w:w="430" w:type="pct"/>
            <w:vAlign w:val="center"/>
          </w:tcPr>
          <w:p w14:paraId="21A7A7D5"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0.8</w:t>
            </w:r>
          </w:p>
        </w:tc>
        <w:tc>
          <w:tcPr>
            <w:tcW w:w="430" w:type="pct"/>
            <w:vAlign w:val="center"/>
          </w:tcPr>
          <w:p w14:paraId="37DE69ED"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0.6</w:t>
            </w:r>
          </w:p>
        </w:tc>
        <w:tc>
          <w:tcPr>
            <w:tcW w:w="430" w:type="pct"/>
            <w:vAlign w:val="center"/>
          </w:tcPr>
          <w:p w14:paraId="6A9270E0"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0.9</w:t>
            </w:r>
          </w:p>
        </w:tc>
        <w:tc>
          <w:tcPr>
            <w:tcW w:w="430" w:type="pct"/>
            <w:vAlign w:val="center"/>
          </w:tcPr>
          <w:p w14:paraId="0F014208"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0.9</w:t>
            </w:r>
          </w:p>
        </w:tc>
        <w:tc>
          <w:tcPr>
            <w:tcW w:w="430" w:type="pct"/>
            <w:vAlign w:val="center"/>
          </w:tcPr>
          <w:p w14:paraId="3E4EDBA9" w14:textId="77777777" w:rsidR="002133E3" w:rsidRDefault="00C22CFA">
            <w:pPr>
              <w:topLinePunct/>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0.8</w:t>
            </w:r>
          </w:p>
        </w:tc>
        <w:tc>
          <w:tcPr>
            <w:tcW w:w="430" w:type="pct"/>
            <w:vAlign w:val="center"/>
          </w:tcPr>
          <w:p w14:paraId="724DC96B" w14:textId="77777777" w:rsidR="002133E3" w:rsidRDefault="00C22CFA">
            <w:pPr>
              <w:topLinePun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0.8</w:t>
            </w:r>
          </w:p>
        </w:tc>
        <w:tc>
          <w:tcPr>
            <w:tcW w:w="344" w:type="pct"/>
            <w:vAlign w:val="center"/>
          </w:tcPr>
          <w:p w14:paraId="2D3504B5" w14:textId="77777777" w:rsidR="002133E3" w:rsidRDefault="00C22CFA">
            <w:pPr>
              <w:topLinePunct/>
              <w:ind w:leftChars="-50" w:left="-105" w:rightChars="-50" w:right="-105"/>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4.0</w:t>
            </w:r>
          </w:p>
        </w:tc>
        <w:tc>
          <w:tcPr>
            <w:tcW w:w="314" w:type="pct"/>
            <w:vAlign w:val="center"/>
          </w:tcPr>
          <w:p w14:paraId="660270E3" w14:textId="77777777" w:rsidR="002133E3" w:rsidRDefault="00C22CFA">
            <w:pPr>
              <w:topLinePunct/>
              <w:ind w:leftChars="-50" w:left="-105" w:rightChars="-50" w:right="-105"/>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达标</w:t>
            </w:r>
            <w:proofErr w:type="spellEnd"/>
          </w:p>
        </w:tc>
      </w:tr>
      <w:tr w:rsidR="002133E3" w14:paraId="1CFA8A9C" w14:textId="77777777">
        <w:trPr>
          <w:trHeight w:val="369"/>
          <w:jc w:val="center"/>
        </w:trPr>
        <w:tc>
          <w:tcPr>
            <w:tcW w:w="216" w:type="pct"/>
            <w:vAlign w:val="center"/>
          </w:tcPr>
          <w:p w14:paraId="69280468" w14:textId="77777777" w:rsidR="002133E3" w:rsidRDefault="00C22CFA">
            <w:pPr>
              <w:topLinePunct/>
              <w:jc w:val="center"/>
              <w:rPr>
                <w:rFonts w:ascii="Times New Roman" w:eastAsia="宋体" w:hAnsi="Times New Roman" w:cs="Times New Roman"/>
                <w:color w:val="000000"/>
                <w:kern w:val="0"/>
                <w:szCs w:val="21"/>
                <w:lang w:eastAsia="en-US"/>
              </w:rPr>
            </w:pPr>
            <w:proofErr w:type="spellStart"/>
            <w:r>
              <w:rPr>
                <w:rFonts w:ascii="Times New Roman" w:eastAsia="宋体" w:hAnsi="Times New Roman" w:cs="Times New Roman"/>
                <w:color w:val="000000"/>
                <w:kern w:val="0"/>
                <w:szCs w:val="21"/>
                <w:lang w:eastAsia="en-US"/>
              </w:rPr>
              <w:t>备注</w:t>
            </w:r>
            <w:proofErr w:type="spellEnd"/>
          </w:p>
        </w:tc>
        <w:tc>
          <w:tcPr>
            <w:tcW w:w="4784" w:type="pct"/>
            <w:gridSpan w:val="11"/>
            <w:vAlign w:val="center"/>
          </w:tcPr>
          <w:p w14:paraId="3F3DE87E" w14:textId="77777777" w:rsidR="002133E3" w:rsidRDefault="00C22CFA">
            <w:pPr>
              <w:topLinePunct/>
              <w:spacing w:line="280" w:lineRule="exact"/>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“ND”</w:t>
            </w:r>
            <w:r>
              <w:rPr>
                <w:rFonts w:ascii="Times New Roman" w:eastAsia="宋体" w:hAnsi="Times New Roman" w:cs="Times New Roman"/>
                <w:color w:val="000000"/>
                <w:kern w:val="0"/>
                <w:szCs w:val="21"/>
              </w:rPr>
              <w:t>表示未检出，即检测结果低于方法检出限。</w:t>
            </w:r>
          </w:p>
          <w:p w14:paraId="450CF407" w14:textId="77777777" w:rsidR="002133E3" w:rsidRDefault="00C22CFA">
            <w:pPr>
              <w:topLinePunct/>
              <w:rPr>
                <w:rFonts w:ascii="Times New Roman" w:eastAsia="宋体" w:hAnsi="Times New Roman" w:cs="Times New Roman"/>
                <w:color w:val="000000"/>
                <w:kern w:val="0"/>
                <w:szCs w:val="21"/>
                <w:lang w:eastAsia="en-US"/>
              </w:rPr>
            </w:pPr>
            <w:r>
              <w:rPr>
                <w:rFonts w:ascii="Times New Roman" w:eastAsia="宋体" w:hAnsi="Times New Roman" w:cs="Times New Roman"/>
                <w:color w:val="000000"/>
                <w:kern w:val="0"/>
                <w:szCs w:val="21"/>
                <w:lang w:eastAsia="en-US"/>
              </w:rPr>
              <w:t>2</w:t>
            </w:r>
            <w:r>
              <w:rPr>
                <w:rFonts w:ascii="Times New Roman" w:eastAsia="宋体" w:hAnsi="Times New Roman" w:cs="Times New Roman"/>
                <w:color w:val="000000"/>
                <w:kern w:val="0"/>
                <w:szCs w:val="21"/>
                <w:lang w:eastAsia="en-US"/>
              </w:rPr>
              <w:t>、</w:t>
            </w:r>
            <w:r>
              <w:rPr>
                <w:rFonts w:ascii="Times New Roman" w:eastAsia="宋体" w:hAnsi="Times New Roman" w:cs="Times New Roman"/>
                <w:color w:val="000000"/>
                <w:kern w:val="0"/>
                <w:szCs w:val="21"/>
                <w:lang w:eastAsia="en-US"/>
              </w:rPr>
              <w:t>“—”</w:t>
            </w:r>
            <w:proofErr w:type="spellStart"/>
            <w:r>
              <w:rPr>
                <w:rFonts w:ascii="Times New Roman" w:eastAsia="宋体" w:hAnsi="Times New Roman" w:cs="Times New Roman"/>
                <w:color w:val="000000"/>
                <w:kern w:val="0"/>
                <w:szCs w:val="21"/>
                <w:lang w:eastAsia="en-US"/>
              </w:rPr>
              <w:t>表示不适用或未作要求</w:t>
            </w:r>
            <w:proofErr w:type="spellEnd"/>
            <w:r>
              <w:rPr>
                <w:rFonts w:ascii="Times New Roman" w:eastAsia="宋体" w:hAnsi="Times New Roman" w:cs="Times New Roman"/>
                <w:color w:val="000000"/>
                <w:kern w:val="0"/>
                <w:szCs w:val="21"/>
                <w:lang w:eastAsia="en-US"/>
              </w:rPr>
              <w:t>。</w:t>
            </w:r>
          </w:p>
        </w:tc>
      </w:tr>
    </w:tbl>
    <w:p w14:paraId="52A442E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厂界噪声监测结果与评价</w:t>
      </w:r>
    </w:p>
    <w:p w14:paraId="02A6CB7F" w14:textId="77777777" w:rsidR="002133E3" w:rsidRDefault="00C22CFA">
      <w:pPr>
        <w:snapToGrid w:val="0"/>
        <w:spacing w:line="500" w:lineRule="atLeast"/>
        <w:ind w:firstLineChars="200" w:firstLine="560"/>
        <w:rPr>
          <w:rFonts w:ascii="Times New Roman" w:eastAsia="宋体" w:hAnsi="Times New Roman" w:cs="Times New Roman"/>
          <w:spacing w:val="-14"/>
          <w:kern w:val="0"/>
          <w:sz w:val="24"/>
          <w:szCs w:val="24"/>
        </w:rPr>
      </w:pPr>
      <w:r>
        <w:rPr>
          <w:rFonts w:ascii="Times New Roman" w:eastAsia="宋体" w:hAnsi="Times New Roman" w:cs="Times New Roman"/>
          <w:sz w:val="28"/>
          <w:szCs w:val="24"/>
        </w:rPr>
        <w:t>年产</w:t>
      </w:r>
      <w:r>
        <w:rPr>
          <w:rFonts w:ascii="Times New Roman" w:eastAsia="宋体" w:hAnsi="Times New Roman" w:cs="Times New Roman"/>
          <w:sz w:val="28"/>
          <w:szCs w:val="24"/>
        </w:rPr>
        <w:t xml:space="preserve"> 6 </w:t>
      </w:r>
      <w:r>
        <w:rPr>
          <w:rFonts w:ascii="Times New Roman" w:eastAsia="宋体" w:hAnsi="Times New Roman" w:cs="Times New Roman"/>
          <w:sz w:val="28"/>
          <w:szCs w:val="24"/>
        </w:rPr>
        <w:t>万吨发酵法混合物技改项目验收监测期间：项目厂界噪声监测点位（</w:t>
      </w:r>
      <w:r>
        <w:rPr>
          <w:rFonts w:ascii="Times New Roman" w:eastAsia="宋体" w:hAnsi="Times New Roman" w:cs="Times New Roman"/>
          <w:sz w:val="28"/>
          <w:szCs w:val="24"/>
        </w:rPr>
        <w:t>Z1~Z4</w:t>
      </w:r>
      <w:r>
        <w:rPr>
          <w:rFonts w:ascii="Times New Roman" w:eastAsia="宋体" w:hAnsi="Times New Roman" w:cs="Times New Roman"/>
          <w:sz w:val="28"/>
          <w:szCs w:val="24"/>
        </w:rPr>
        <w:t>）昼、夜间噪声等效声级均</w:t>
      </w:r>
      <w:r>
        <w:rPr>
          <w:rFonts w:ascii="Times New Roman" w:eastAsia="宋体" w:hAnsi="Times New Roman" w:cs="Times New Roman"/>
          <w:sz w:val="28"/>
          <w:szCs w:val="24"/>
        </w:rPr>
        <w:t xml:space="preserve"> </w:t>
      </w:r>
      <w:r>
        <w:rPr>
          <w:rFonts w:ascii="Times New Roman" w:eastAsia="宋体" w:hAnsi="Times New Roman" w:cs="Times New Roman"/>
          <w:sz w:val="28"/>
          <w:szCs w:val="24"/>
        </w:rPr>
        <w:t>符合《工业企业厂界环境噪声排放标准》（</w:t>
      </w:r>
      <w:r>
        <w:rPr>
          <w:rFonts w:ascii="Times New Roman" w:eastAsia="宋体" w:hAnsi="Times New Roman" w:cs="Times New Roman"/>
          <w:sz w:val="28"/>
          <w:szCs w:val="24"/>
        </w:rPr>
        <w:t>GB12348-2008</w:t>
      </w:r>
      <w:r>
        <w:rPr>
          <w:rFonts w:ascii="Times New Roman" w:eastAsia="宋体" w:hAnsi="Times New Roman" w:cs="Times New Roman"/>
          <w:sz w:val="28"/>
          <w:szCs w:val="24"/>
        </w:rPr>
        <w:t>）</w:t>
      </w:r>
      <w:r>
        <w:rPr>
          <w:rFonts w:ascii="Times New Roman" w:eastAsia="宋体" w:hAnsi="Times New Roman" w:cs="Times New Roman"/>
          <w:sz w:val="28"/>
          <w:szCs w:val="24"/>
        </w:rPr>
        <w:t xml:space="preserve">3  </w:t>
      </w:r>
      <w:r>
        <w:rPr>
          <w:rFonts w:ascii="Times New Roman" w:eastAsia="宋体" w:hAnsi="Times New Roman" w:cs="Times New Roman"/>
          <w:sz w:val="28"/>
          <w:szCs w:val="24"/>
        </w:rPr>
        <w:t>类标准。厂界噪声监测结果见</w:t>
      </w:r>
      <w:r>
        <w:rPr>
          <w:rFonts w:ascii="Times New Roman" w:eastAsia="宋体" w:hAnsi="Times New Roman" w:cs="Times New Roman"/>
          <w:sz w:val="28"/>
          <w:szCs w:val="24"/>
        </w:rPr>
        <w:t>3.2-20</w:t>
      </w:r>
      <w:r>
        <w:rPr>
          <w:rFonts w:ascii="Times New Roman" w:eastAsia="宋体" w:hAnsi="Times New Roman" w:cs="Times New Roman"/>
          <w:sz w:val="28"/>
          <w:szCs w:val="24"/>
        </w:rPr>
        <w:t>。</w:t>
      </w:r>
    </w:p>
    <w:p w14:paraId="53D9701F"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3.2-20   </w:t>
      </w:r>
      <w:r>
        <w:rPr>
          <w:rFonts w:ascii="Times New Roman" w:eastAsia="宋体" w:hAnsi="Times New Roman" w:cs="Times New Roman"/>
          <w:b/>
          <w:bCs/>
          <w:szCs w:val="21"/>
        </w:rPr>
        <w:t>厂界环境噪声检测结果及评价</w:t>
      </w:r>
    </w:p>
    <w:tbl>
      <w:tblPr>
        <w:tblStyle w:val="2fa"/>
        <w:tblW w:w="5000" w:type="pct"/>
        <w:jc w:val="center"/>
        <w:tblLook w:val="04A0" w:firstRow="1" w:lastRow="0" w:firstColumn="1" w:lastColumn="0" w:noHBand="0" w:noVBand="1"/>
      </w:tblPr>
      <w:tblGrid>
        <w:gridCol w:w="803"/>
        <w:gridCol w:w="1899"/>
        <w:gridCol w:w="1167"/>
        <w:gridCol w:w="788"/>
        <w:gridCol w:w="845"/>
        <w:gridCol w:w="845"/>
        <w:gridCol w:w="845"/>
        <w:gridCol w:w="845"/>
        <w:gridCol w:w="849"/>
        <w:gridCol w:w="968"/>
      </w:tblGrid>
      <w:tr w:rsidR="002133E3" w14:paraId="51EC59FA" w14:textId="77777777">
        <w:trPr>
          <w:trHeight w:val="397"/>
          <w:jc w:val="center"/>
        </w:trPr>
        <w:tc>
          <w:tcPr>
            <w:tcW w:w="407" w:type="pct"/>
            <w:vMerge w:val="restart"/>
            <w:vAlign w:val="center"/>
          </w:tcPr>
          <w:p w14:paraId="57AF3CD0"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测点</w:t>
            </w:r>
            <w:proofErr w:type="spellEnd"/>
          </w:p>
          <w:p w14:paraId="78BCE973"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编号</w:t>
            </w:r>
            <w:proofErr w:type="spellEnd"/>
          </w:p>
        </w:tc>
        <w:tc>
          <w:tcPr>
            <w:tcW w:w="963" w:type="pct"/>
            <w:vMerge w:val="restart"/>
            <w:vAlign w:val="center"/>
          </w:tcPr>
          <w:p w14:paraId="0254E495"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监测</w:t>
            </w:r>
            <w:proofErr w:type="spellEnd"/>
          </w:p>
          <w:p w14:paraId="0DD1C8BA"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点位</w:t>
            </w:r>
            <w:proofErr w:type="spellEnd"/>
          </w:p>
        </w:tc>
        <w:tc>
          <w:tcPr>
            <w:tcW w:w="592" w:type="pct"/>
            <w:vMerge w:val="restart"/>
            <w:vAlign w:val="center"/>
          </w:tcPr>
          <w:p w14:paraId="440E3B93"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主要</w:t>
            </w:r>
            <w:proofErr w:type="spellEnd"/>
          </w:p>
          <w:p w14:paraId="71104320"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声源</w:t>
            </w:r>
            <w:proofErr w:type="spellEnd"/>
          </w:p>
        </w:tc>
        <w:tc>
          <w:tcPr>
            <w:tcW w:w="1687" w:type="pct"/>
            <w:gridSpan w:val="4"/>
            <w:vAlign w:val="center"/>
          </w:tcPr>
          <w:p w14:paraId="17EC22D5"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监测值</w:t>
            </w:r>
            <w:proofErr w:type="spellEnd"/>
          </w:p>
        </w:tc>
        <w:tc>
          <w:tcPr>
            <w:tcW w:w="860" w:type="pct"/>
            <w:gridSpan w:val="2"/>
            <w:vAlign w:val="center"/>
          </w:tcPr>
          <w:p w14:paraId="5900F0C3"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标准限值</w:t>
            </w:r>
            <w:proofErr w:type="spellEnd"/>
          </w:p>
        </w:tc>
        <w:tc>
          <w:tcPr>
            <w:tcW w:w="491" w:type="pct"/>
            <w:vMerge w:val="restart"/>
            <w:vAlign w:val="center"/>
          </w:tcPr>
          <w:p w14:paraId="14214933"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达标</w:t>
            </w:r>
            <w:proofErr w:type="spellEnd"/>
          </w:p>
          <w:p w14:paraId="5C01F3A1" w14:textId="77777777" w:rsidR="002133E3" w:rsidRDefault="00C22CFA">
            <w:pPr>
              <w:topLinePunct/>
              <w:jc w:val="center"/>
              <w:rPr>
                <w:b/>
                <w:bCs/>
                <w:color w:val="000000"/>
                <w:kern w:val="0"/>
                <w:sz w:val="22"/>
                <w:szCs w:val="21"/>
                <w:lang w:eastAsia="en-US"/>
              </w:rPr>
            </w:pPr>
            <w:proofErr w:type="spellStart"/>
            <w:r>
              <w:rPr>
                <w:b/>
                <w:bCs/>
                <w:color w:val="000000"/>
                <w:kern w:val="0"/>
                <w:sz w:val="22"/>
                <w:szCs w:val="21"/>
                <w:lang w:eastAsia="en-US"/>
              </w:rPr>
              <w:t>情况</w:t>
            </w:r>
            <w:proofErr w:type="spellEnd"/>
          </w:p>
        </w:tc>
      </w:tr>
      <w:tr w:rsidR="002133E3" w14:paraId="0945CD79" w14:textId="77777777">
        <w:trPr>
          <w:trHeight w:val="397"/>
          <w:jc w:val="center"/>
        </w:trPr>
        <w:tc>
          <w:tcPr>
            <w:tcW w:w="407" w:type="pct"/>
            <w:vMerge/>
            <w:vAlign w:val="center"/>
          </w:tcPr>
          <w:p w14:paraId="7344BAA3" w14:textId="77777777" w:rsidR="002133E3" w:rsidRDefault="002133E3">
            <w:pPr>
              <w:topLinePunct/>
              <w:jc w:val="center"/>
              <w:rPr>
                <w:bCs/>
                <w:color w:val="000000"/>
                <w:kern w:val="0"/>
                <w:sz w:val="22"/>
                <w:szCs w:val="21"/>
                <w:lang w:eastAsia="en-US"/>
              </w:rPr>
            </w:pPr>
          </w:p>
        </w:tc>
        <w:tc>
          <w:tcPr>
            <w:tcW w:w="963" w:type="pct"/>
            <w:vMerge/>
            <w:vAlign w:val="center"/>
          </w:tcPr>
          <w:p w14:paraId="2EB8F1DB" w14:textId="77777777" w:rsidR="002133E3" w:rsidRDefault="002133E3">
            <w:pPr>
              <w:topLinePunct/>
              <w:jc w:val="center"/>
              <w:rPr>
                <w:bCs/>
                <w:color w:val="000000"/>
                <w:kern w:val="0"/>
                <w:sz w:val="22"/>
                <w:szCs w:val="21"/>
                <w:lang w:eastAsia="en-US"/>
              </w:rPr>
            </w:pPr>
          </w:p>
        </w:tc>
        <w:tc>
          <w:tcPr>
            <w:tcW w:w="592" w:type="pct"/>
            <w:vMerge/>
            <w:vAlign w:val="center"/>
          </w:tcPr>
          <w:p w14:paraId="0823351B" w14:textId="77777777" w:rsidR="002133E3" w:rsidRDefault="002133E3">
            <w:pPr>
              <w:topLinePunct/>
              <w:jc w:val="center"/>
              <w:rPr>
                <w:bCs/>
                <w:color w:val="000000"/>
                <w:kern w:val="0"/>
                <w:sz w:val="22"/>
                <w:szCs w:val="21"/>
                <w:lang w:eastAsia="en-US"/>
              </w:rPr>
            </w:pPr>
          </w:p>
        </w:tc>
        <w:tc>
          <w:tcPr>
            <w:tcW w:w="400" w:type="pct"/>
            <w:vAlign w:val="center"/>
          </w:tcPr>
          <w:p w14:paraId="49B8F86B" w14:textId="77777777" w:rsidR="002133E3" w:rsidRDefault="00C22CFA">
            <w:pPr>
              <w:topLinePunct/>
              <w:jc w:val="center"/>
              <w:rPr>
                <w:bCs/>
                <w:color w:val="000000"/>
                <w:kern w:val="0"/>
                <w:sz w:val="22"/>
                <w:szCs w:val="21"/>
                <w:lang w:eastAsia="en-US"/>
              </w:rPr>
            </w:pPr>
            <w:proofErr w:type="spellStart"/>
            <w:r>
              <w:rPr>
                <w:color w:val="000000"/>
                <w:kern w:val="0"/>
                <w:sz w:val="22"/>
                <w:szCs w:val="21"/>
                <w:lang w:eastAsia="en-US"/>
              </w:rPr>
              <w:t>昼间</w:t>
            </w:r>
            <w:proofErr w:type="spellEnd"/>
          </w:p>
        </w:tc>
        <w:tc>
          <w:tcPr>
            <w:tcW w:w="429" w:type="pct"/>
            <w:vAlign w:val="center"/>
          </w:tcPr>
          <w:p w14:paraId="581EEFC5" w14:textId="77777777" w:rsidR="002133E3" w:rsidRDefault="00C22CFA">
            <w:pPr>
              <w:topLinePunct/>
              <w:jc w:val="center"/>
              <w:rPr>
                <w:bCs/>
                <w:color w:val="000000"/>
                <w:kern w:val="0"/>
                <w:sz w:val="22"/>
                <w:szCs w:val="21"/>
                <w:lang w:eastAsia="en-US"/>
              </w:rPr>
            </w:pPr>
            <w:proofErr w:type="spellStart"/>
            <w:r>
              <w:rPr>
                <w:color w:val="000000"/>
                <w:kern w:val="0"/>
                <w:sz w:val="22"/>
                <w:szCs w:val="21"/>
                <w:lang w:eastAsia="en-US"/>
              </w:rPr>
              <w:t>夜间</w:t>
            </w:r>
            <w:proofErr w:type="spellEnd"/>
          </w:p>
        </w:tc>
        <w:tc>
          <w:tcPr>
            <w:tcW w:w="429" w:type="pct"/>
            <w:vAlign w:val="center"/>
          </w:tcPr>
          <w:p w14:paraId="35E13CAC" w14:textId="77777777" w:rsidR="002133E3" w:rsidRDefault="00C22CFA">
            <w:pPr>
              <w:topLinePunct/>
              <w:jc w:val="center"/>
              <w:rPr>
                <w:bCs/>
                <w:color w:val="000000"/>
                <w:kern w:val="0"/>
                <w:sz w:val="22"/>
                <w:szCs w:val="21"/>
                <w:lang w:eastAsia="en-US"/>
              </w:rPr>
            </w:pPr>
            <w:proofErr w:type="spellStart"/>
            <w:r>
              <w:rPr>
                <w:color w:val="000000"/>
                <w:kern w:val="0"/>
                <w:sz w:val="22"/>
                <w:szCs w:val="21"/>
                <w:lang w:eastAsia="en-US"/>
              </w:rPr>
              <w:t>昼间</w:t>
            </w:r>
            <w:proofErr w:type="spellEnd"/>
          </w:p>
        </w:tc>
        <w:tc>
          <w:tcPr>
            <w:tcW w:w="429" w:type="pct"/>
            <w:vAlign w:val="center"/>
          </w:tcPr>
          <w:p w14:paraId="1CE15FBD" w14:textId="77777777" w:rsidR="002133E3" w:rsidRDefault="00C22CFA">
            <w:pPr>
              <w:topLinePunct/>
              <w:jc w:val="center"/>
              <w:rPr>
                <w:bCs/>
                <w:color w:val="000000"/>
                <w:kern w:val="0"/>
                <w:sz w:val="22"/>
                <w:szCs w:val="21"/>
                <w:lang w:eastAsia="en-US"/>
              </w:rPr>
            </w:pPr>
            <w:proofErr w:type="spellStart"/>
            <w:r>
              <w:rPr>
                <w:color w:val="000000"/>
                <w:kern w:val="0"/>
                <w:sz w:val="22"/>
                <w:szCs w:val="21"/>
                <w:lang w:eastAsia="en-US"/>
              </w:rPr>
              <w:t>夜间</w:t>
            </w:r>
            <w:proofErr w:type="spellEnd"/>
          </w:p>
        </w:tc>
        <w:tc>
          <w:tcPr>
            <w:tcW w:w="429" w:type="pct"/>
            <w:vAlign w:val="center"/>
          </w:tcPr>
          <w:p w14:paraId="0D22938E" w14:textId="77777777" w:rsidR="002133E3" w:rsidRDefault="00C22CFA">
            <w:pPr>
              <w:topLinePunct/>
              <w:jc w:val="center"/>
              <w:rPr>
                <w:bCs/>
                <w:color w:val="000000"/>
                <w:kern w:val="0"/>
                <w:sz w:val="22"/>
                <w:szCs w:val="21"/>
                <w:lang w:eastAsia="en-US"/>
              </w:rPr>
            </w:pPr>
            <w:proofErr w:type="spellStart"/>
            <w:r>
              <w:rPr>
                <w:color w:val="000000"/>
                <w:kern w:val="0"/>
                <w:sz w:val="22"/>
                <w:szCs w:val="21"/>
                <w:lang w:eastAsia="en-US"/>
              </w:rPr>
              <w:t>昼间</w:t>
            </w:r>
            <w:proofErr w:type="spellEnd"/>
          </w:p>
        </w:tc>
        <w:tc>
          <w:tcPr>
            <w:tcW w:w="431" w:type="pct"/>
            <w:vAlign w:val="center"/>
          </w:tcPr>
          <w:p w14:paraId="0283636A" w14:textId="77777777" w:rsidR="002133E3" w:rsidRDefault="00C22CFA">
            <w:pPr>
              <w:topLinePunct/>
              <w:jc w:val="center"/>
              <w:rPr>
                <w:bCs/>
                <w:color w:val="000000"/>
                <w:kern w:val="0"/>
                <w:sz w:val="22"/>
                <w:szCs w:val="21"/>
                <w:lang w:eastAsia="en-US"/>
              </w:rPr>
            </w:pPr>
            <w:proofErr w:type="spellStart"/>
            <w:r>
              <w:rPr>
                <w:color w:val="000000"/>
                <w:kern w:val="0"/>
                <w:sz w:val="22"/>
                <w:szCs w:val="21"/>
                <w:lang w:eastAsia="en-US"/>
              </w:rPr>
              <w:t>夜间</w:t>
            </w:r>
            <w:proofErr w:type="spellEnd"/>
          </w:p>
        </w:tc>
        <w:tc>
          <w:tcPr>
            <w:tcW w:w="491" w:type="pct"/>
            <w:vMerge/>
            <w:vAlign w:val="center"/>
          </w:tcPr>
          <w:p w14:paraId="05898F29" w14:textId="77777777" w:rsidR="002133E3" w:rsidRDefault="002133E3">
            <w:pPr>
              <w:topLinePunct/>
              <w:jc w:val="center"/>
              <w:rPr>
                <w:bCs/>
                <w:color w:val="000000"/>
                <w:kern w:val="0"/>
                <w:sz w:val="22"/>
                <w:szCs w:val="21"/>
                <w:lang w:eastAsia="en-US"/>
              </w:rPr>
            </w:pPr>
          </w:p>
        </w:tc>
      </w:tr>
      <w:tr w:rsidR="002133E3" w14:paraId="013C9258" w14:textId="77777777">
        <w:trPr>
          <w:trHeight w:val="397"/>
          <w:jc w:val="center"/>
        </w:trPr>
        <w:tc>
          <w:tcPr>
            <w:tcW w:w="407" w:type="pct"/>
            <w:vAlign w:val="center"/>
          </w:tcPr>
          <w:p w14:paraId="55E8608E" w14:textId="77777777" w:rsidR="002133E3" w:rsidRDefault="00C22CFA">
            <w:pPr>
              <w:topLinePunct/>
              <w:jc w:val="center"/>
              <w:rPr>
                <w:bCs/>
                <w:color w:val="000000"/>
                <w:kern w:val="0"/>
                <w:sz w:val="22"/>
                <w:szCs w:val="21"/>
                <w:lang w:eastAsia="en-US"/>
              </w:rPr>
            </w:pPr>
            <w:r>
              <w:rPr>
                <w:color w:val="000000"/>
                <w:kern w:val="0"/>
                <w:sz w:val="22"/>
                <w:szCs w:val="21"/>
                <w:lang w:eastAsia="en-US"/>
              </w:rPr>
              <w:t>1#</w:t>
            </w:r>
          </w:p>
        </w:tc>
        <w:tc>
          <w:tcPr>
            <w:tcW w:w="963" w:type="pct"/>
            <w:vAlign w:val="center"/>
          </w:tcPr>
          <w:p w14:paraId="4ECD0EB7" w14:textId="77777777" w:rsidR="002133E3" w:rsidRDefault="00C22CFA">
            <w:pPr>
              <w:topLinePunct/>
              <w:jc w:val="center"/>
              <w:rPr>
                <w:bCs/>
                <w:color w:val="000000"/>
                <w:kern w:val="0"/>
                <w:sz w:val="22"/>
                <w:szCs w:val="21"/>
                <w:lang w:eastAsia="en-US"/>
              </w:rPr>
            </w:pPr>
            <w:r>
              <w:rPr>
                <w:color w:val="000000"/>
                <w:kern w:val="0"/>
                <w:sz w:val="22"/>
                <w:szCs w:val="21"/>
                <w:lang w:eastAsia="en-US"/>
              </w:rPr>
              <w:t>厂界东侧外</w:t>
            </w:r>
            <w:r>
              <w:rPr>
                <w:color w:val="000000"/>
                <w:kern w:val="0"/>
                <w:sz w:val="22"/>
                <w:szCs w:val="21"/>
                <w:lang w:eastAsia="en-US"/>
              </w:rPr>
              <w:t>1</w:t>
            </w:r>
            <w:r>
              <w:rPr>
                <w:color w:val="000000"/>
                <w:kern w:val="0"/>
                <w:sz w:val="22"/>
                <w:szCs w:val="21"/>
                <w:lang w:eastAsia="en-US"/>
              </w:rPr>
              <w:t>米</w:t>
            </w:r>
          </w:p>
        </w:tc>
        <w:tc>
          <w:tcPr>
            <w:tcW w:w="592" w:type="pct"/>
            <w:vAlign w:val="center"/>
          </w:tcPr>
          <w:p w14:paraId="2BBA6157" w14:textId="77777777" w:rsidR="002133E3" w:rsidRDefault="00C22CFA">
            <w:pPr>
              <w:topLinePunct/>
              <w:ind w:leftChars="-50" w:left="-105" w:rightChars="-50" w:right="-105"/>
              <w:jc w:val="center"/>
              <w:rPr>
                <w:bCs/>
                <w:color w:val="000000"/>
                <w:kern w:val="0"/>
                <w:sz w:val="22"/>
                <w:szCs w:val="21"/>
                <w:lang w:eastAsia="en-US"/>
              </w:rPr>
            </w:pPr>
            <w:proofErr w:type="spellStart"/>
            <w:r>
              <w:rPr>
                <w:color w:val="000000"/>
                <w:kern w:val="0"/>
                <w:sz w:val="22"/>
                <w:szCs w:val="21"/>
                <w:lang w:eastAsia="en-US"/>
              </w:rPr>
              <w:t>生产噪声</w:t>
            </w:r>
            <w:proofErr w:type="spellEnd"/>
          </w:p>
        </w:tc>
        <w:tc>
          <w:tcPr>
            <w:tcW w:w="400" w:type="pct"/>
            <w:vAlign w:val="center"/>
          </w:tcPr>
          <w:p w14:paraId="28351ECC" w14:textId="77777777" w:rsidR="002133E3" w:rsidRDefault="00C22CFA">
            <w:pPr>
              <w:topLinePunct/>
              <w:jc w:val="center"/>
              <w:rPr>
                <w:color w:val="000000"/>
                <w:kern w:val="0"/>
                <w:sz w:val="22"/>
                <w:szCs w:val="20"/>
              </w:rPr>
            </w:pPr>
            <w:r>
              <w:rPr>
                <w:color w:val="000000"/>
                <w:kern w:val="0"/>
                <w:sz w:val="22"/>
                <w:szCs w:val="20"/>
              </w:rPr>
              <w:t>52</w:t>
            </w:r>
          </w:p>
        </w:tc>
        <w:tc>
          <w:tcPr>
            <w:tcW w:w="429" w:type="pct"/>
            <w:vAlign w:val="center"/>
          </w:tcPr>
          <w:p w14:paraId="18EB49EF" w14:textId="77777777" w:rsidR="002133E3" w:rsidRDefault="00C22CFA">
            <w:pPr>
              <w:topLinePunct/>
              <w:jc w:val="center"/>
              <w:rPr>
                <w:color w:val="000000"/>
                <w:kern w:val="0"/>
                <w:sz w:val="22"/>
                <w:szCs w:val="20"/>
              </w:rPr>
            </w:pPr>
            <w:r>
              <w:rPr>
                <w:color w:val="000000"/>
                <w:kern w:val="0"/>
                <w:sz w:val="22"/>
                <w:szCs w:val="20"/>
              </w:rPr>
              <w:t>45</w:t>
            </w:r>
          </w:p>
        </w:tc>
        <w:tc>
          <w:tcPr>
            <w:tcW w:w="429" w:type="pct"/>
            <w:vAlign w:val="center"/>
          </w:tcPr>
          <w:p w14:paraId="158016CA" w14:textId="77777777" w:rsidR="002133E3" w:rsidRDefault="00C22CFA">
            <w:pPr>
              <w:tabs>
                <w:tab w:val="left" w:pos="6045"/>
              </w:tabs>
              <w:topLinePunct/>
              <w:jc w:val="center"/>
              <w:rPr>
                <w:bCs/>
                <w:color w:val="000000"/>
                <w:kern w:val="0"/>
                <w:sz w:val="22"/>
                <w:szCs w:val="21"/>
              </w:rPr>
            </w:pPr>
            <w:r>
              <w:rPr>
                <w:bCs/>
                <w:color w:val="000000"/>
                <w:kern w:val="0"/>
                <w:sz w:val="22"/>
                <w:szCs w:val="21"/>
              </w:rPr>
              <w:t>52</w:t>
            </w:r>
          </w:p>
        </w:tc>
        <w:tc>
          <w:tcPr>
            <w:tcW w:w="429" w:type="pct"/>
            <w:vAlign w:val="center"/>
          </w:tcPr>
          <w:p w14:paraId="6DF7095D" w14:textId="77777777" w:rsidR="002133E3" w:rsidRDefault="00C22CFA">
            <w:pPr>
              <w:tabs>
                <w:tab w:val="left" w:pos="6045"/>
              </w:tabs>
              <w:topLinePunct/>
              <w:jc w:val="center"/>
              <w:rPr>
                <w:bCs/>
                <w:color w:val="000000"/>
                <w:kern w:val="0"/>
                <w:sz w:val="22"/>
                <w:szCs w:val="21"/>
              </w:rPr>
            </w:pPr>
            <w:r>
              <w:rPr>
                <w:bCs/>
                <w:color w:val="000000"/>
                <w:kern w:val="0"/>
                <w:sz w:val="22"/>
                <w:szCs w:val="21"/>
              </w:rPr>
              <w:t>44</w:t>
            </w:r>
          </w:p>
        </w:tc>
        <w:tc>
          <w:tcPr>
            <w:tcW w:w="429" w:type="pct"/>
            <w:vAlign w:val="center"/>
          </w:tcPr>
          <w:p w14:paraId="392F27A7" w14:textId="77777777" w:rsidR="002133E3" w:rsidRDefault="00C22CFA">
            <w:pPr>
              <w:topLinePunct/>
              <w:jc w:val="center"/>
              <w:rPr>
                <w:bCs/>
                <w:color w:val="000000"/>
                <w:kern w:val="0"/>
                <w:sz w:val="22"/>
                <w:szCs w:val="21"/>
              </w:rPr>
            </w:pPr>
            <w:r>
              <w:rPr>
                <w:bCs/>
                <w:color w:val="000000"/>
                <w:kern w:val="0"/>
                <w:sz w:val="22"/>
                <w:szCs w:val="21"/>
              </w:rPr>
              <w:t>65</w:t>
            </w:r>
          </w:p>
        </w:tc>
        <w:tc>
          <w:tcPr>
            <w:tcW w:w="431" w:type="pct"/>
            <w:vAlign w:val="center"/>
          </w:tcPr>
          <w:p w14:paraId="6110F6AD" w14:textId="77777777" w:rsidR="002133E3" w:rsidRDefault="00C22CFA">
            <w:pPr>
              <w:topLinePunct/>
              <w:jc w:val="center"/>
              <w:rPr>
                <w:bCs/>
                <w:color w:val="000000"/>
                <w:kern w:val="0"/>
                <w:sz w:val="22"/>
                <w:szCs w:val="21"/>
              </w:rPr>
            </w:pPr>
            <w:r>
              <w:rPr>
                <w:bCs/>
                <w:color w:val="000000"/>
                <w:kern w:val="0"/>
                <w:sz w:val="22"/>
                <w:szCs w:val="21"/>
              </w:rPr>
              <w:t>55</w:t>
            </w:r>
          </w:p>
        </w:tc>
        <w:tc>
          <w:tcPr>
            <w:tcW w:w="491" w:type="pct"/>
            <w:vAlign w:val="center"/>
          </w:tcPr>
          <w:p w14:paraId="62D42FD9" w14:textId="77777777" w:rsidR="002133E3" w:rsidRDefault="00C22CFA">
            <w:pPr>
              <w:topLinePunct/>
              <w:jc w:val="center"/>
              <w:rPr>
                <w:bCs/>
                <w:color w:val="000000"/>
                <w:kern w:val="0"/>
                <w:sz w:val="22"/>
                <w:szCs w:val="21"/>
                <w:lang w:eastAsia="en-US"/>
              </w:rPr>
            </w:pPr>
            <w:proofErr w:type="spellStart"/>
            <w:r>
              <w:rPr>
                <w:bCs/>
                <w:color w:val="000000"/>
                <w:kern w:val="0"/>
                <w:sz w:val="22"/>
                <w:szCs w:val="21"/>
                <w:lang w:eastAsia="en-US"/>
              </w:rPr>
              <w:t>达标</w:t>
            </w:r>
            <w:proofErr w:type="spellEnd"/>
          </w:p>
        </w:tc>
      </w:tr>
      <w:tr w:rsidR="002133E3" w14:paraId="123B7A43" w14:textId="77777777">
        <w:trPr>
          <w:trHeight w:val="397"/>
          <w:jc w:val="center"/>
        </w:trPr>
        <w:tc>
          <w:tcPr>
            <w:tcW w:w="407" w:type="pct"/>
            <w:vAlign w:val="center"/>
          </w:tcPr>
          <w:p w14:paraId="0BC6ECC6" w14:textId="77777777" w:rsidR="002133E3" w:rsidRDefault="00C22CFA">
            <w:pPr>
              <w:topLinePunct/>
              <w:jc w:val="center"/>
              <w:rPr>
                <w:bCs/>
                <w:color w:val="000000"/>
                <w:kern w:val="0"/>
                <w:sz w:val="22"/>
                <w:szCs w:val="21"/>
                <w:lang w:eastAsia="en-US"/>
              </w:rPr>
            </w:pPr>
            <w:r>
              <w:rPr>
                <w:color w:val="000000"/>
                <w:kern w:val="0"/>
                <w:sz w:val="22"/>
                <w:szCs w:val="21"/>
                <w:lang w:eastAsia="en-US"/>
              </w:rPr>
              <w:t>2#</w:t>
            </w:r>
          </w:p>
        </w:tc>
        <w:tc>
          <w:tcPr>
            <w:tcW w:w="963" w:type="pct"/>
            <w:vAlign w:val="center"/>
          </w:tcPr>
          <w:p w14:paraId="69762140" w14:textId="77777777" w:rsidR="002133E3" w:rsidRDefault="00C22CFA">
            <w:pPr>
              <w:topLinePunct/>
              <w:jc w:val="center"/>
              <w:rPr>
                <w:bCs/>
                <w:color w:val="000000"/>
                <w:kern w:val="0"/>
                <w:sz w:val="22"/>
                <w:szCs w:val="21"/>
                <w:lang w:eastAsia="en-US"/>
              </w:rPr>
            </w:pPr>
            <w:r>
              <w:rPr>
                <w:color w:val="000000"/>
                <w:kern w:val="0"/>
                <w:sz w:val="22"/>
                <w:szCs w:val="21"/>
                <w:lang w:eastAsia="en-US"/>
              </w:rPr>
              <w:t>厂界南侧外</w:t>
            </w:r>
            <w:r>
              <w:rPr>
                <w:color w:val="000000"/>
                <w:kern w:val="0"/>
                <w:sz w:val="22"/>
                <w:szCs w:val="21"/>
                <w:lang w:eastAsia="en-US"/>
              </w:rPr>
              <w:t>1</w:t>
            </w:r>
            <w:r>
              <w:rPr>
                <w:color w:val="000000"/>
                <w:kern w:val="0"/>
                <w:sz w:val="22"/>
                <w:szCs w:val="21"/>
                <w:lang w:eastAsia="en-US"/>
              </w:rPr>
              <w:t>米</w:t>
            </w:r>
          </w:p>
        </w:tc>
        <w:tc>
          <w:tcPr>
            <w:tcW w:w="592" w:type="pct"/>
            <w:vAlign w:val="center"/>
          </w:tcPr>
          <w:p w14:paraId="73E677DD" w14:textId="77777777" w:rsidR="002133E3" w:rsidRDefault="00C22CFA">
            <w:pPr>
              <w:topLinePunct/>
              <w:ind w:leftChars="-50" w:left="-105" w:rightChars="-50" w:right="-105"/>
              <w:jc w:val="center"/>
              <w:rPr>
                <w:bCs/>
                <w:color w:val="000000"/>
                <w:kern w:val="0"/>
                <w:sz w:val="22"/>
                <w:szCs w:val="21"/>
                <w:lang w:eastAsia="en-US"/>
              </w:rPr>
            </w:pPr>
            <w:proofErr w:type="spellStart"/>
            <w:r>
              <w:rPr>
                <w:color w:val="000000"/>
                <w:kern w:val="0"/>
                <w:sz w:val="22"/>
                <w:szCs w:val="21"/>
                <w:lang w:eastAsia="en-US"/>
              </w:rPr>
              <w:t>生产噪声</w:t>
            </w:r>
            <w:proofErr w:type="spellEnd"/>
          </w:p>
        </w:tc>
        <w:tc>
          <w:tcPr>
            <w:tcW w:w="400" w:type="pct"/>
            <w:vAlign w:val="center"/>
          </w:tcPr>
          <w:p w14:paraId="6B91591C" w14:textId="77777777" w:rsidR="002133E3" w:rsidRDefault="00C22CFA">
            <w:pPr>
              <w:tabs>
                <w:tab w:val="left" w:pos="6045"/>
              </w:tabs>
              <w:topLinePunct/>
              <w:jc w:val="center"/>
              <w:rPr>
                <w:bCs/>
                <w:color w:val="000000"/>
                <w:kern w:val="0"/>
                <w:sz w:val="22"/>
                <w:szCs w:val="21"/>
              </w:rPr>
            </w:pPr>
            <w:r>
              <w:rPr>
                <w:bCs/>
                <w:color w:val="000000"/>
                <w:kern w:val="0"/>
                <w:sz w:val="22"/>
                <w:szCs w:val="21"/>
              </w:rPr>
              <w:t>54</w:t>
            </w:r>
          </w:p>
        </w:tc>
        <w:tc>
          <w:tcPr>
            <w:tcW w:w="429" w:type="pct"/>
            <w:vAlign w:val="center"/>
          </w:tcPr>
          <w:p w14:paraId="421482E1" w14:textId="77777777" w:rsidR="002133E3" w:rsidRDefault="00C22CFA">
            <w:pPr>
              <w:tabs>
                <w:tab w:val="left" w:pos="6045"/>
              </w:tabs>
              <w:topLinePunct/>
              <w:jc w:val="center"/>
              <w:rPr>
                <w:bCs/>
                <w:color w:val="000000"/>
                <w:kern w:val="0"/>
                <w:sz w:val="22"/>
                <w:szCs w:val="21"/>
              </w:rPr>
            </w:pPr>
            <w:r>
              <w:rPr>
                <w:bCs/>
                <w:color w:val="000000"/>
                <w:kern w:val="0"/>
                <w:sz w:val="22"/>
                <w:szCs w:val="21"/>
              </w:rPr>
              <w:t>47</w:t>
            </w:r>
          </w:p>
        </w:tc>
        <w:tc>
          <w:tcPr>
            <w:tcW w:w="429" w:type="pct"/>
            <w:vAlign w:val="center"/>
          </w:tcPr>
          <w:p w14:paraId="27EDC762" w14:textId="77777777" w:rsidR="002133E3" w:rsidRDefault="00C22CFA">
            <w:pPr>
              <w:tabs>
                <w:tab w:val="left" w:pos="6045"/>
              </w:tabs>
              <w:topLinePunct/>
              <w:jc w:val="center"/>
              <w:rPr>
                <w:bCs/>
                <w:color w:val="000000"/>
                <w:kern w:val="0"/>
                <w:sz w:val="22"/>
                <w:szCs w:val="21"/>
              </w:rPr>
            </w:pPr>
            <w:r>
              <w:rPr>
                <w:bCs/>
                <w:color w:val="000000"/>
                <w:kern w:val="0"/>
                <w:sz w:val="22"/>
                <w:szCs w:val="21"/>
              </w:rPr>
              <w:t>54</w:t>
            </w:r>
          </w:p>
        </w:tc>
        <w:tc>
          <w:tcPr>
            <w:tcW w:w="429" w:type="pct"/>
            <w:vAlign w:val="center"/>
          </w:tcPr>
          <w:p w14:paraId="6806C5AD" w14:textId="77777777" w:rsidR="002133E3" w:rsidRDefault="00C22CFA">
            <w:pPr>
              <w:tabs>
                <w:tab w:val="left" w:pos="6045"/>
              </w:tabs>
              <w:topLinePunct/>
              <w:jc w:val="center"/>
              <w:rPr>
                <w:bCs/>
                <w:color w:val="000000"/>
                <w:kern w:val="0"/>
                <w:sz w:val="22"/>
                <w:szCs w:val="21"/>
              </w:rPr>
            </w:pPr>
            <w:r>
              <w:rPr>
                <w:bCs/>
                <w:color w:val="000000"/>
                <w:kern w:val="0"/>
                <w:sz w:val="22"/>
                <w:szCs w:val="21"/>
              </w:rPr>
              <w:t>45</w:t>
            </w:r>
          </w:p>
        </w:tc>
        <w:tc>
          <w:tcPr>
            <w:tcW w:w="429" w:type="pct"/>
            <w:vAlign w:val="center"/>
          </w:tcPr>
          <w:p w14:paraId="66DA7E33" w14:textId="77777777" w:rsidR="002133E3" w:rsidRDefault="00C22CFA">
            <w:pPr>
              <w:topLinePunct/>
              <w:jc w:val="center"/>
              <w:rPr>
                <w:bCs/>
                <w:color w:val="000000"/>
                <w:kern w:val="0"/>
                <w:sz w:val="22"/>
                <w:szCs w:val="21"/>
                <w:lang w:eastAsia="en-US"/>
              </w:rPr>
            </w:pPr>
            <w:r>
              <w:rPr>
                <w:bCs/>
                <w:color w:val="000000"/>
                <w:kern w:val="0"/>
                <w:sz w:val="22"/>
                <w:szCs w:val="21"/>
              </w:rPr>
              <w:t>65</w:t>
            </w:r>
          </w:p>
        </w:tc>
        <w:tc>
          <w:tcPr>
            <w:tcW w:w="431" w:type="pct"/>
            <w:vAlign w:val="center"/>
          </w:tcPr>
          <w:p w14:paraId="67284A22" w14:textId="77777777" w:rsidR="002133E3" w:rsidRDefault="00C22CFA">
            <w:pPr>
              <w:topLinePunct/>
              <w:jc w:val="center"/>
              <w:rPr>
                <w:bCs/>
                <w:color w:val="000000"/>
                <w:kern w:val="0"/>
                <w:sz w:val="22"/>
                <w:szCs w:val="21"/>
                <w:lang w:eastAsia="en-US"/>
              </w:rPr>
            </w:pPr>
            <w:r>
              <w:rPr>
                <w:bCs/>
                <w:color w:val="000000"/>
                <w:kern w:val="0"/>
                <w:sz w:val="22"/>
                <w:szCs w:val="21"/>
              </w:rPr>
              <w:t>55</w:t>
            </w:r>
          </w:p>
        </w:tc>
        <w:tc>
          <w:tcPr>
            <w:tcW w:w="491" w:type="pct"/>
            <w:vAlign w:val="center"/>
          </w:tcPr>
          <w:p w14:paraId="0FB0F1DE" w14:textId="77777777" w:rsidR="002133E3" w:rsidRDefault="00C22CFA">
            <w:pPr>
              <w:topLinePunct/>
              <w:jc w:val="center"/>
              <w:rPr>
                <w:bCs/>
                <w:color w:val="000000"/>
                <w:kern w:val="0"/>
                <w:sz w:val="22"/>
                <w:szCs w:val="21"/>
                <w:lang w:eastAsia="en-US"/>
              </w:rPr>
            </w:pPr>
            <w:proofErr w:type="spellStart"/>
            <w:r>
              <w:rPr>
                <w:bCs/>
                <w:color w:val="000000"/>
                <w:kern w:val="0"/>
                <w:sz w:val="22"/>
                <w:szCs w:val="21"/>
                <w:lang w:eastAsia="en-US"/>
              </w:rPr>
              <w:t>达标</w:t>
            </w:r>
            <w:proofErr w:type="spellEnd"/>
          </w:p>
        </w:tc>
      </w:tr>
      <w:tr w:rsidR="002133E3" w14:paraId="0B6801D9" w14:textId="77777777">
        <w:trPr>
          <w:trHeight w:val="397"/>
          <w:jc w:val="center"/>
        </w:trPr>
        <w:tc>
          <w:tcPr>
            <w:tcW w:w="407" w:type="pct"/>
            <w:vAlign w:val="center"/>
          </w:tcPr>
          <w:p w14:paraId="0ECE210D" w14:textId="77777777" w:rsidR="002133E3" w:rsidRDefault="00C22CFA">
            <w:pPr>
              <w:topLinePunct/>
              <w:jc w:val="center"/>
              <w:rPr>
                <w:bCs/>
                <w:color w:val="000000"/>
                <w:kern w:val="0"/>
                <w:sz w:val="22"/>
                <w:szCs w:val="21"/>
                <w:lang w:eastAsia="en-US"/>
              </w:rPr>
            </w:pPr>
            <w:r>
              <w:rPr>
                <w:color w:val="000000"/>
                <w:kern w:val="0"/>
                <w:sz w:val="22"/>
                <w:szCs w:val="21"/>
                <w:lang w:eastAsia="en-US"/>
              </w:rPr>
              <w:t>3#</w:t>
            </w:r>
          </w:p>
        </w:tc>
        <w:tc>
          <w:tcPr>
            <w:tcW w:w="963" w:type="pct"/>
            <w:vAlign w:val="center"/>
          </w:tcPr>
          <w:p w14:paraId="14D6B8DB" w14:textId="77777777" w:rsidR="002133E3" w:rsidRDefault="00C22CFA">
            <w:pPr>
              <w:topLinePunct/>
              <w:jc w:val="center"/>
              <w:rPr>
                <w:bCs/>
                <w:color w:val="000000"/>
                <w:kern w:val="0"/>
                <w:sz w:val="22"/>
                <w:szCs w:val="21"/>
                <w:lang w:eastAsia="en-US"/>
              </w:rPr>
            </w:pPr>
            <w:r>
              <w:rPr>
                <w:color w:val="000000"/>
                <w:kern w:val="0"/>
                <w:sz w:val="22"/>
                <w:szCs w:val="21"/>
                <w:lang w:eastAsia="en-US"/>
              </w:rPr>
              <w:t>厂界西侧外</w:t>
            </w:r>
            <w:r>
              <w:rPr>
                <w:color w:val="000000"/>
                <w:kern w:val="0"/>
                <w:sz w:val="22"/>
                <w:szCs w:val="21"/>
                <w:lang w:eastAsia="en-US"/>
              </w:rPr>
              <w:t>1</w:t>
            </w:r>
            <w:r>
              <w:rPr>
                <w:color w:val="000000"/>
                <w:kern w:val="0"/>
                <w:sz w:val="22"/>
                <w:szCs w:val="21"/>
                <w:lang w:eastAsia="en-US"/>
              </w:rPr>
              <w:t>米</w:t>
            </w:r>
          </w:p>
        </w:tc>
        <w:tc>
          <w:tcPr>
            <w:tcW w:w="592" w:type="pct"/>
            <w:vAlign w:val="center"/>
          </w:tcPr>
          <w:p w14:paraId="0C7E67D4" w14:textId="77777777" w:rsidR="002133E3" w:rsidRDefault="00C22CFA">
            <w:pPr>
              <w:topLinePunct/>
              <w:ind w:leftChars="-50" w:left="-105" w:rightChars="-50" w:right="-105"/>
              <w:jc w:val="center"/>
              <w:rPr>
                <w:bCs/>
                <w:color w:val="000000"/>
                <w:kern w:val="0"/>
                <w:sz w:val="22"/>
                <w:szCs w:val="21"/>
                <w:lang w:eastAsia="en-US"/>
              </w:rPr>
            </w:pPr>
            <w:proofErr w:type="spellStart"/>
            <w:r>
              <w:rPr>
                <w:color w:val="000000"/>
                <w:kern w:val="0"/>
                <w:sz w:val="22"/>
                <w:szCs w:val="21"/>
                <w:lang w:eastAsia="en-US"/>
              </w:rPr>
              <w:t>生产噪声</w:t>
            </w:r>
            <w:proofErr w:type="spellEnd"/>
          </w:p>
        </w:tc>
        <w:tc>
          <w:tcPr>
            <w:tcW w:w="400" w:type="pct"/>
            <w:vAlign w:val="center"/>
          </w:tcPr>
          <w:p w14:paraId="6861E151" w14:textId="77777777" w:rsidR="002133E3" w:rsidRDefault="00C22CFA">
            <w:pPr>
              <w:tabs>
                <w:tab w:val="left" w:pos="6045"/>
              </w:tabs>
              <w:topLinePunct/>
              <w:jc w:val="center"/>
              <w:rPr>
                <w:bCs/>
                <w:color w:val="000000"/>
                <w:kern w:val="0"/>
                <w:sz w:val="22"/>
                <w:szCs w:val="21"/>
              </w:rPr>
            </w:pPr>
            <w:r>
              <w:rPr>
                <w:bCs/>
                <w:color w:val="000000"/>
                <w:kern w:val="0"/>
                <w:sz w:val="22"/>
                <w:szCs w:val="21"/>
              </w:rPr>
              <w:t>53</w:t>
            </w:r>
          </w:p>
        </w:tc>
        <w:tc>
          <w:tcPr>
            <w:tcW w:w="429" w:type="pct"/>
            <w:vAlign w:val="center"/>
          </w:tcPr>
          <w:p w14:paraId="0E0DCE33" w14:textId="77777777" w:rsidR="002133E3" w:rsidRDefault="00C22CFA">
            <w:pPr>
              <w:tabs>
                <w:tab w:val="left" w:pos="6045"/>
              </w:tabs>
              <w:topLinePunct/>
              <w:jc w:val="center"/>
              <w:rPr>
                <w:bCs/>
                <w:color w:val="000000"/>
                <w:kern w:val="0"/>
                <w:sz w:val="22"/>
                <w:szCs w:val="21"/>
              </w:rPr>
            </w:pPr>
            <w:r>
              <w:rPr>
                <w:bCs/>
                <w:color w:val="000000"/>
                <w:kern w:val="0"/>
                <w:sz w:val="22"/>
                <w:szCs w:val="21"/>
              </w:rPr>
              <w:t>46</w:t>
            </w:r>
          </w:p>
        </w:tc>
        <w:tc>
          <w:tcPr>
            <w:tcW w:w="429" w:type="pct"/>
            <w:vAlign w:val="center"/>
          </w:tcPr>
          <w:p w14:paraId="42AC31F9" w14:textId="77777777" w:rsidR="002133E3" w:rsidRDefault="00C22CFA">
            <w:pPr>
              <w:topLinePunct/>
              <w:jc w:val="center"/>
              <w:rPr>
                <w:bCs/>
                <w:color w:val="000000"/>
                <w:kern w:val="0"/>
                <w:sz w:val="22"/>
                <w:szCs w:val="21"/>
              </w:rPr>
            </w:pPr>
            <w:r>
              <w:rPr>
                <w:bCs/>
                <w:color w:val="000000"/>
                <w:kern w:val="0"/>
                <w:sz w:val="22"/>
                <w:szCs w:val="21"/>
              </w:rPr>
              <w:t>54</w:t>
            </w:r>
          </w:p>
        </w:tc>
        <w:tc>
          <w:tcPr>
            <w:tcW w:w="429" w:type="pct"/>
            <w:vAlign w:val="center"/>
          </w:tcPr>
          <w:p w14:paraId="6306072E" w14:textId="77777777" w:rsidR="002133E3" w:rsidRDefault="00C22CFA">
            <w:pPr>
              <w:topLinePunct/>
              <w:jc w:val="center"/>
              <w:rPr>
                <w:bCs/>
                <w:color w:val="000000"/>
                <w:kern w:val="0"/>
                <w:sz w:val="22"/>
                <w:szCs w:val="21"/>
              </w:rPr>
            </w:pPr>
            <w:r>
              <w:rPr>
                <w:bCs/>
                <w:color w:val="000000"/>
                <w:kern w:val="0"/>
                <w:sz w:val="22"/>
                <w:szCs w:val="21"/>
              </w:rPr>
              <w:t>48</w:t>
            </w:r>
          </w:p>
        </w:tc>
        <w:tc>
          <w:tcPr>
            <w:tcW w:w="429" w:type="pct"/>
            <w:vAlign w:val="center"/>
          </w:tcPr>
          <w:p w14:paraId="794E54DC" w14:textId="77777777" w:rsidR="002133E3" w:rsidRDefault="00C22CFA">
            <w:pPr>
              <w:topLinePunct/>
              <w:jc w:val="center"/>
              <w:rPr>
                <w:bCs/>
                <w:color w:val="000000"/>
                <w:kern w:val="0"/>
                <w:sz w:val="22"/>
                <w:szCs w:val="21"/>
              </w:rPr>
            </w:pPr>
            <w:r>
              <w:rPr>
                <w:bCs/>
                <w:color w:val="000000"/>
                <w:kern w:val="0"/>
                <w:sz w:val="22"/>
                <w:szCs w:val="21"/>
              </w:rPr>
              <w:t>65</w:t>
            </w:r>
          </w:p>
        </w:tc>
        <w:tc>
          <w:tcPr>
            <w:tcW w:w="431" w:type="pct"/>
            <w:vAlign w:val="center"/>
          </w:tcPr>
          <w:p w14:paraId="4D1A845E" w14:textId="77777777" w:rsidR="002133E3" w:rsidRDefault="00C22CFA">
            <w:pPr>
              <w:topLinePunct/>
              <w:jc w:val="center"/>
              <w:rPr>
                <w:bCs/>
                <w:color w:val="000000"/>
                <w:kern w:val="0"/>
                <w:sz w:val="22"/>
                <w:szCs w:val="21"/>
              </w:rPr>
            </w:pPr>
            <w:r>
              <w:rPr>
                <w:bCs/>
                <w:color w:val="000000"/>
                <w:kern w:val="0"/>
                <w:sz w:val="22"/>
                <w:szCs w:val="21"/>
              </w:rPr>
              <w:t>55</w:t>
            </w:r>
          </w:p>
        </w:tc>
        <w:tc>
          <w:tcPr>
            <w:tcW w:w="491" w:type="pct"/>
            <w:vAlign w:val="center"/>
          </w:tcPr>
          <w:p w14:paraId="0D54DB26" w14:textId="77777777" w:rsidR="002133E3" w:rsidRDefault="00C22CFA">
            <w:pPr>
              <w:topLinePunct/>
              <w:jc w:val="center"/>
              <w:rPr>
                <w:bCs/>
                <w:color w:val="000000"/>
                <w:kern w:val="0"/>
                <w:sz w:val="22"/>
                <w:szCs w:val="21"/>
                <w:lang w:eastAsia="en-US"/>
              </w:rPr>
            </w:pPr>
            <w:proofErr w:type="spellStart"/>
            <w:r>
              <w:rPr>
                <w:bCs/>
                <w:color w:val="000000"/>
                <w:kern w:val="0"/>
                <w:sz w:val="22"/>
                <w:szCs w:val="21"/>
                <w:lang w:eastAsia="en-US"/>
              </w:rPr>
              <w:t>达标</w:t>
            </w:r>
            <w:proofErr w:type="spellEnd"/>
          </w:p>
        </w:tc>
      </w:tr>
      <w:tr w:rsidR="002133E3" w14:paraId="1015B830" w14:textId="77777777">
        <w:trPr>
          <w:trHeight w:val="397"/>
          <w:jc w:val="center"/>
        </w:trPr>
        <w:tc>
          <w:tcPr>
            <w:tcW w:w="407" w:type="pct"/>
            <w:vAlign w:val="center"/>
          </w:tcPr>
          <w:p w14:paraId="301B886C" w14:textId="77777777" w:rsidR="002133E3" w:rsidRDefault="00C22CFA">
            <w:pPr>
              <w:topLinePunct/>
              <w:jc w:val="center"/>
              <w:rPr>
                <w:bCs/>
                <w:color w:val="000000"/>
                <w:kern w:val="0"/>
                <w:sz w:val="22"/>
                <w:szCs w:val="21"/>
                <w:lang w:eastAsia="en-US"/>
              </w:rPr>
            </w:pPr>
            <w:r>
              <w:rPr>
                <w:color w:val="000000"/>
                <w:kern w:val="0"/>
                <w:sz w:val="22"/>
                <w:szCs w:val="21"/>
                <w:lang w:eastAsia="en-US"/>
              </w:rPr>
              <w:t>4#</w:t>
            </w:r>
          </w:p>
        </w:tc>
        <w:tc>
          <w:tcPr>
            <w:tcW w:w="963" w:type="pct"/>
            <w:vAlign w:val="center"/>
          </w:tcPr>
          <w:p w14:paraId="2B4D5F9E" w14:textId="77777777" w:rsidR="002133E3" w:rsidRDefault="00C22CFA">
            <w:pPr>
              <w:topLinePunct/>
              <w:jc w:val="center"/>
              <w:rPr>
                <w:bCs/>
                <w:color w:val="000000"/>
                <w:kern w:val="0"/>
                <w:sz w:val="22"/>
                <w:szCs w:val="21"/>
                <w:lang w:eastAsia="en-US"/>
              </w:rPr>
            </w:pPr>
            <w:r>
              <w:rPr>
                <w:color w:val="000000"/>
                <w:kern w:val="0"/>
                <w:sz w:val="22"/>
                <w:szCs w:val="21"/>
                <w:lang w:eastAsia="en-US"/>
              </w:rPr>
              <w:t>厂界北侧外</w:t>
            </w:r>
            <w:r>
              <w:rPr>
                <w:color w:val="000000"/>
                <w:kern w:val="0"/>
                <w:sz w:val="22"/>
                <w:szCs w:val="21"/>
                <w:lang w:eastAsia="en-US"/>
              </w:rPr>
              <w:t>1</w:t>
            </w:r>
            <w:r>
              <w:rPr>
                <w:color w:val="000000"/>
                <w:kern w:val="0"/>
                <w:sz w:val="22"/>
                <w:szCs w:val="21"/>
                <w:lang w:eastAsia="en-US"/>
              </w:rPr>
              <w:t>米</w:t>
            </w:r>
          </w:p>
        </w:tc>
        <w:tc>
          <w:tcPr>
            <w:tcW w:w="592" w:type="pct"/>
            <w:vAlign w:val="center"/>
          </w:tcPr>
          <w:p w14:paraId="5259F5B5" w14:textId="77777777" w:rsidR="002133E3" w:rsidRDefault="00C22CFA">
            <w:pPr>
              <w:topLinePunct/>
              <w:ind w:leftChars="-50" w:left="-105" w:rightChars="-50" w:right="-105"/>
              <w:jc w:val="center"/>
              <w:rPr>
                <w:bCs/>
                <w:color w:val="000000"/>
                <w:kern w:val="0"/>
                <w:sz w:val="22"/>
                <w:szCs w:val="21"/>
                <w:lang w:eastAsia="en-US"/>
              </w:rPr>
            </w:pPr>
            <w:proofErr w:type="spellStart"/>
            <w:r>
              <w:rPr>
                <w:color w:val="000000"/>
                <w:kern w:val="0"/>
                <w:sz w:val="22"/>
                <w:szCs w:val="21"/>
                <w:lang w:eastAsia="en-US"/>
              </w:rPr>
              <w:t>生产噪声</w:t>
            </w:r>
            <w:proofErr w:type="spellEnd"/>
          </w:p>
        </w:tc>
        <w:tc>
          <w:tcPr>
            <w:tcW w:w="400" w:type="pct"/>
            <w:vAlign w:val="center"/>
          </w:tcPr>
          <w:p w14:paraId="6033FB44" w14:textId="77777777" w:rsidR="002133E3" w:rsidRDefault="00C22CFA">
            <w:pPr>
              <w:tabs>
                <w:tab w:val="left" w:pos="6045"/>
              </w:tabs>
              <w:topLinePunct/>
              <w:jc w:val="center"/>
              <w:rPr>
                <w:bCs/>
                <w:color w:val="000000"/>
                <w:kern w:val="0"/>
                <w:sz w:val="22"/>
                <w:szCs w:val="21"/>
              </w:rPr>
            </w:pPr>
            <w:r>
              <w:rPr>
                <w:bCs/>
                <w:color w:val="000000"/>
                <w:kern w:val="0"/>
                <w:sz w:val="22"/>
                <w:szCs w:val="21"/>
              </w:rPr>
              <w:t>51</w:t>
            </w:r>
          </w:p>
        </w:tc>
        <w:tc>
          <w:tcPr>
            <w:tcW w:w="429" w:type="pct"/>
            <w:vAlign w:val="center"/>
          </w:tcPr>
          <w:p w14:paraId="453B49BA" w14:textId="77777777" w:rsidR="002133E3" w:rsidRDefault="00C22CFA">
            <w:pPr>
              <w:tabs>
                <w:tab w:val="left" w:pos="6045"/>
              </w:tabs>
              <w:topLinePunct/>
              <w:jc w:val="center"/>
              <w:rPr>
                <w:bCs/>
                <w:color w:val="000000"/>
                <w:kern w:val="0"/>
                <w:sz w:val="22"/>
                <w:szCs w:val="21"/>
              </w:rPr>
            </w:pPr>
            <w:r>
              <w:rPr>
                <w:bCs/>
                <w:color w:val="000000"/>
                <w:kern w:val="0"/>
                <w:sz w:val="22"/>
                <w:szCs w:val="21"/>
              </w:rPr>
              <w:t>44</w:t>
            </w:r>
          </w:p>
        </w:tc>
        <w:tc>
          <w:tcPr>
            <w:tcW w:w="429" w:type="pct"/>
            <w:vAlign w:val="center"/>
          </w:tcPr>
          <w:p w14:paraId="0E883F3D" w14:textId="77777777" w:rsidR="002133E3" w:rsidRDefault="00C22CFA">
            <w:pPr>
              <w:tabs>
                <w:tab w:val="left" w:pos="6045"/>
              </w:tabs>
              <w:topLinePunct/>
              <w:jc w:val="center"/>
              <w:rPr>
                <w:bCs/>
                <w:color w:val="000000"/>
                <w:kern w:val="0"/>
                <w:sz w:val="22"/>
                <w:szCs w:val="21"/>
              </w:rPr>
            </w:pPr>
            <w:r>
              <w:rPr>
                <w:bCs/>
                <w:color w:val="000000"/>
                <w:kern w:val="0"/>
                <w:sz w:val="22"/>
                <w:szCs w:val="21"/>
              </w:rPr>
              <w:t>54</w:t>
            </w:r>
          </w:p>
        </w:tc>
        <w:tc>
          <w:tcPr>
            <w:tcW w:w="429" w:type="pct"/>
            <w:vAlign w:val="center"/>
          </w:tcPr>
          <w:p w14:paraId="1BEEB265" w14:textId="77777777" w:rsidR="002133E3" w:rsidRDefault="00C22CFA">
            <w:pPr>
              <w:tabs>
                <w:tab w:val="left" w:pos="6045"/>
              </w:tabs>
              <w:topLinePunct/>
              <w:jc w:val="center"/>
              <w:rPr>
                <w:bCs/>
                <w:color w:val="000000"/>
                <w:kern w:val="0"/>
                <w:sz w:val="22"/>
                <w:szCs w:val="21"/>
              </w:rPr>
            </w:pPr>
            <w:r>
              <w:rPr>
                <w:bCs/>
                <w:color w:val="000000"/>
                <w:kern w:val="0"/>
                <w:sz w:val="22"/>
                <w:szCs w:val="21"/>
              </w:rPr>
              <w:t>47</w:t>
            </w:r>
          </w:p>
        </w:tc>
        <w:tc>
          <w:tcPr>
            <w:tcW w:w="429" w:type="pct"/>
            <w:vAlign w:val="center"/>
          </w:tcPr>
          <w:p w14:paraId="2F3E9F1D" w14:textId="77777777" w:rsidR="002133E3" w:rsidRDefault="00C22CFA">
            <w:pPr>
              <w:topLinePunct/>
              <w:jc w:val="center"/>
              <w:rPr>
                <w:bCs/>
                <w:color w:val="000000"/>
                <w:kern w:val="0"/>
                <w:sz w:val="22"/>
                <w:szCs w:val="21"/>
                <w:lang w:eastAsia="en-US"/>
              </w:rPr>
            </w:pPr>
            <w:r>
              <w:rPr>
                <w:bCs/>
                <w:color w:val="000000"/>
                <w:kern w:val="0"/>
                <w:sz w:val="22"/>
                <w:szCs w:val="21"/>
              </w:rPr>
              <w:t>65</w:t>
            </w:r>
          </w:p>
        </w:tc>
        <w:tc>
          <w:tcPr>
            <w:tcW w:w="431" w:type="pct"/>
            <w:vAlign w:val="center"/>
          </w:tcPr>
          <w:p w14:paraId="106AEDE2" w14:textId="77777777" w:rsidR="002133E3" w:rsidRDefault="00C22CFA">
            <w:pPr>
              <w:topLinePunct/>
              <w:jc w:val="center"/>
              <w:rPr>
                <w:bCs/>
                <w:color w:val="000000"/>
                <w:kern w:val="0"/>
                <w:sz w:val="22"/>
                <w:szCs w:val="21"/>
                <w:lang w:eastAsia="en-US"/>
              </w:rPr>
            </w:pPr>
            <w:r>
              <w:rPr>
                <w:bCs/>
                <w:color w:val="000000"/>
                <w:kern w:val="0"/>
                <w:sz w:val="22"/>
                <w:szCs w:val="21"/>
              </w:rPr>
              <w:t>55</w:t>
            </w:r>
          </w:p>
        </w:tc>
        <w:tc>
          <w:tcPr>
            <w:tcW w:w="491" w:type="pct"/>
            <w:vAlign w:val="center"/>
          </w:tcPr>
          <w:p w14:paraId="7134C27A" w14:textId="77777777" w:rsidR="002133E3" w:rsidRDefault="00C22CFA">
            <w:pPr>
              <w:topLinePunct/>
              <w:jc w:val="center"/>
              <w:rPr>
                <w:bCs/>
                <w:color w:val="000000"/>
                <w:kern w:val="0"/>
                <w:sz w:val="22"/>
                <w:szCs w:val="21"/>
                <w:lang w:eastAsia="en-US"/>
              </w:rPr>
            </w:pPr>
            <w:proofErr w:type="spellStart"/>
            <w:r>
              <w:rPr>
                <w:bCs/>
                <w:color w:val="000000"/>
                <w:kern w:val="0"/>
                <w:sz w:val="22"/>
                <w:szCs w:val="21"/>
                <w:lang w:eastAsia="en-US"/>
              </w:rPr>
              <w:t>达标</w:t>
            </w:r>
            <w:proofErr w:type="spellEnd"/>
          </w:p>
        </w:tc>
      </w:tr>
    </w:tbl>
    <w:p w14:paraId="2C47B246"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已建项目总量核算情况</w:t>
      </w:r>
    </w:p>
    <w:p w14:paraId="558F010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大气污染物</w:t>
      </w:r>
    </w:p>
    <w:p w14:paraId="6A27E620" w14:textId="77777777" w:rsidR="002133E3" w:rsidRDefault="00C22CFA">
      <w:pPr>
        <w:widowControl/>
        <w:spacing w:line="520" w:lineRule="exac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w:t>
      </w:r>
      <w:r>
        <w:rPr>
          <w:rFonts w:ascii="Times New Roman" w:eastAsia="宋体" w:hAnsi="Times New Roman" w:cs="Times New Roman"/>
          <w:b/>
          <w:bCs/>
          <w:kern w:val="0"/>
          <w:sz w:val="28"/>
          <w:szCs w:val="28"/>
        </w:rPr>
        <w:t>1</w:t>
      </w:r>
      <w:r>
        <w:rPr>
          <w:rFonts w:ascii="Times New Roman" w:eastAsia="宋体" w:hAnsi="Times New Roman" w:cs="Times New Roman"/>
          <w:b/>
          <w:bCs/>
          <w:kern w:val="0"/>
          <w:sz w:val="28"/>
          <w:szCs w:val="28"/>
        </w:rPr>
        <w:t>）年产</w:t>
      </w:r>
      <w:r>
        <w:rPr>
          <w:rFonts w:ascii="Times New Roman" w:eastAsia="宋体" w:hAnsi="Times New Roman" w:cs="Times New Roman"/>
          <w:b/>
          <w:bCs/>
          <w:kern w:val="0"/>
          <w:sz w:val="28"/>
          <w:szCs w:val="28"/>
        </w:rPr>
        <w:t>20</w:t>
      </w:r>
      <w:r>
        <w:rPr>
          <w:rFonts w:ascii="Times New Roman" w:eastAsia="宋体" w:hAnsi="Times New Roman" w:cs="Times New Roman"/>
          <w:b/>
          <w:bCs/>
          <w:kern w:val="0"/>
          <w:sz w:val="28"/>
          <w:szCs w:val="28"/>
        </w:rPr>
        <w:t>万吨醋酸乙（丁）酯等工程</w:t>
      </w:r>
    </w:p>
    <w:p w14:paraId="17B43F61" w14:textId="77777777" w:rsidR="002133E3" w:rsidRDefault="00C22CFA">
      <w:pPr>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大气污染物排放总量核算见表</w:t>
      </w:r>
      <w:r>
        <w:rPr>
          <w:rFonts w:ascii="Times New Roman" w:eastAsia="宋体" w:hAnsi="Times New Roman" w:cs="Times New Roman"/>
          <w:sz w:val="28"/>
          <w:szCs w:val="24"/>
        </w:rPr>
        <w:t>3.2-21</w:t>
      </w:r>
      <w:r>
        <w:rPr>
          <w:rFonts w:ascii="Times New Roman" w:eastAsia="宋体" w:hAnsi="Times New Roman" w:cs="Times New Roman"/>
          <w:sz w:val="28"/>
          <w:szCs w:val="24"/>
        </w:rPr>
        <w:t>，污染物排放总量与控制指标对照情况见表</w:t>
      </w:r>
      <w:r>
        <w:rPr>
          <w:rFonts w:ascii="Times New Roman" w:eastAsia="宋体" w:hAnsi="Times New Roman" w:cs="Times New Roman"/>
          <w:sz w:val="28"/>
          <w:szCs w:val="24"/>
        </w:rPr>
        <w:t>3.2-22</w:t>
      </w:r>
      <w:r>
        <w:rPr>
          <w:rFonts w:ascii="Times New Roman" w:eastAsia="宋体" w:hAnsi="Times New Roman" w:cs="Times New Roman"/>
          <w:sz w:val="28"/>
          <w:szCs w:val="24"/>
        </w:rPr>
        <w:t>。</w:t>
      </w:r>
    </w:p>
    <w:p w14:paraId="78F03956" w14:textId="77777777" w:rsidR="002133E3" w:rsidRDefault="00C22CFA">
      <w:pPr>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从污染物排放总量与控制指标对照可看出，该项目第一阶段（年产</w:t>
      </w:r>
      <w:r>
        <w:rPr>
          <w:rFonts w:ascii="Times New Roman" w:eastAsia="宋体" w:hAnsi="Times New Roman" w:cs="Times New Roman"/>
          <w:sz w:val="28"/>
          <w:szCs w:val="24"/>
        </w:rPr>
        <w:t>20</w:t>
      </w:r>
      <w:r>
        <w:rPr>
          <w:rFonts w:ascii="Times New Roman" w:eastAsia="宋体" w:hAnsi="Times New Roman" w:cs="Times New Roman"/>
          <w:sz w:val="28"/>
          <w:szCs w:val="24"/>
        </w:rPr>
        <w:t>万吨醋酸乙（丁）酯、</w:t>
      </w:r>
      <w:r>
        <w:rPr>
          <w:rFonts w:ascii="Times New Roman" w:eastAsia="宋体" w:hAnsi="Times New Roman" w:cs="Times New Roman"/>
          <w:sz w:val="28"/>
          <w:szCs w:val="24"/>
        </w:rPr>
        <w:t>10</w:t>
      </w:r>
      <w:r>
        <w:rPr>
          <w:rFonts w:ascii="Times New Roman" w:eastAsia="宋体" w:hAnsi="Times New Roman" w:cs="Times New Roman"/>
          <w:sz w:val="28"/>
          <w:szCs w:val="24"/>
        </w:rPr>
        <w:t>万吨</w:t>
      </w:r>
      <w:r>
        <w:rPr>
          <w:rFonts w:ascii="Times New Roman" w:eastAsia="宋体" w:hAnsi="Times New Roman" w:cs="Times New Roman"/>
          <w:sz w:val="28"/>
          <w:szCs w:val="24"/>
        </w:rPr>
        <w:t>/</w:t>
      </w:r>
      <w:r>
        <w:rPr>
          <w:rFonts w:ascii="Times New Roman" w:eastAsia="宋体" w:hAnsi="Times New Roman" w:cs="Times New Roman"/>
          <w:sz w:val="28"/>
          <w:szCs w:val="24"/>
        </w:rPr>
        <w:t>年酒精以及配套的</w:t>
      </w:r>
      <w:r>
        <w:rPr>
          <w:rFonts w:ascii="Times New Roman" w:eastAsia="宋体" w:hAnsi="Times New Roman" w:cs="Times New Roman"/>
          <w:sz w:val="28"/>
          <w:szCs w:val="24"/>
        </w:rPr>
        <w:t>75t/h</w:t>
      </w:r>
      <w:r>
        <w:rPr>
          <w:rFonts w:ascii="Times New Roman" w:eastAsia="宋体" w:hAnsi="Times New Roman" w:cs="Times New Roman"/>
          <w:sz w:val="28"/>
          <w:szCs w:val="24"/>
        </w:rPr>
        <w:t>的沼气锅炉）烟尘、二氧化</w:t>
      </w:r>
      <w:r>
        <w:rPr>
          <w:rFonts w:ascii="Times New Roman" w:eastAsia="宋体" w:hAnsi="Times New Roman" w:cs="Times New Roman"/>
          <w:sz w:val="28"/>
          <w:szCs w:val="24"/>
        </w:rPr>
        <w:lastRenderedPageBreak/>
        <w:t>硫、粉尘和乙醇大气污染物年排放量均控制在省厅核定的总量指标以内。</w:t>
      </w:r>
    </w:p>
    <w:p w14:paraId="32D494ED"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3.2-21 </w:t>
      </w:r>
      <w:r>
        <w:rPr>
          <w:rFonts w:ascii="Times New Roman" w:eastAsia="宋体" w:hAnsi="Times New Roman" w:cs="Times New Roman"/>
          <w:b/>
          <w:bCs/>
          <w:szCs w:val="21"/>
        </w:rPr>
        <w:t>第一阶段大气排放总量核算</w:t>
      </w:r>
    </w:p>
    <w:p w14:paraId="2062052B" w14:textId="77777777" w:rsidR="002133E3" w:rsidRDefault="00C22CFA">
      <w:pPr>
        <w:widowControl/>
        <w:jc w:val="center"/>
        <w:rPr>
          <w:rFonts w:ascii="Times New Roman" w:eastAsia="宋体" w:hAnsi="Times New Roman" w:cs="Times New Roman"/>
          <w:kern w:val="0"/>
          <w:sz w:val="28"/>
          <w:szCs w:val="28"/>
        </w:rPr>
      </w:pPr>
      <w:r>
        <w:rPr>
          <w:rFonts w:ascii="Times New Roman" w:eastAsia="宋体" w:hAnsi="Times New Roman" w:cs="Times New Roman"/>
          <w:noProof/>
          <w:kern w:val="0"/>
          <w:sz w:val="28"/>
          <w:szCs w:val="28"/>
        </w:rPr>
        <w:drawing>
          <wp:inline distT="0" distB="0" distL="0" distR="0" wp14:anchorId="5F2DDA76" wp14:editId="7D22CEC9">
            <wp:extent cx="5724525" cy="257238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720563" cy="2571226"/>
                    </a:xfrm>
                    <a:prstGeom prst="rect">
                      <a:avLst/>
                    </a:prstGeom>
                    <a:noFill/>
                    <a:ln>
                      <a:noFill/>
                    </a:ln>
                  </pic:spPr>
                </pic:pic>
              </a:graphicData>
            </a:graphic>
          </wp:inline>
        </w:drawing>
      </w:r>
    </w:p>
    <w:p w14:paraId="6B6CF785"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3.2-22  </w:t>
      </w:r>
      <w:r>
        <w:rPr>
          <w:rFonts w:ascii="Times New Roman" w:eastAsia="宋体" w:hAnsi="Times New Roman" w:cs="Times New Roman"/>
          <w:b/>
          <w:bCs/>
          <w:szCs w:val="21"/>
        </w:rPr>
        <w:t>第一阶段污染物排放总量与控制指标对照</w:t>
      </w:r>
    </w:p>
    <w:p w14:paraId="4E608C4C" w14:textId="77777777" w:rsidR="002133E3" w:rsidRDefault="00C22CFA">
      <w:pPr>
        <w:widowControl/>
        <w:jc w:val="center"/>
        <w:rPr>
          <w:rFonts w:ascii="Times New Roman" w:eastAsia="宋体" w:hAnsi="Times New Roman" w:cs="Times New Roman"/>
          <w:b/>
          <w:bCs/>
          <w:szCs w:val="21"/>
        </w:rPr>
      </w:pPr>
      <w:r>
        <w:rPr>
          <w:rFonts w:ascii="Times New Roman" w:eastAsia="宋体" w:hAnsi="Times New Roman" w:cs="Times New Roman"/>
          <w:noProof/>
          <w:kern w:val="0"/>
          <w:sz w:val="28"/>
          <w:szCs w:val="28"/>
        </w:rPr>
        <w:drawing>
          <wp:inline distT="0" distB="0" distL="0" distR="0" wp14:anchorId="3B63E0C4" wp14:editId="01B2A0D7">
            <wp:extent cx="5562600" cy="25717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565097" cy="2573526"/>
                    </a:xfrm>
                    <a:prstGeom prst="rect">
                      <a:avLst/>
                    </a:prstGeom>
                    <a:noFill/>
                    <a:ln>
                      <a:noFill/>
                    </a:ln>
                  </pic:spPr>
                </pic:pic>
              </a:graphicData>
            </a:graphic>
          </wp:inline>
        </w:drawing>
      </w:r>
      <w:r>
        <w:rPr>
          <w:rFonts w:ascii="Times New Roman" w:eastAsia="宋体" w:hAnsi="Times New Roman" w:cs="Times New Roman"/>
          <w:b/>
          <w:bCs/>
          <w:szCs w:val="21"/>
        </w:rPr>
        <w:t xml:space="preserve"> </w:t>
      </w:r>
    </w:p>
    <w:p w14:paraId="68F31780" w14:textId="77777777" w:rsidR="002133E3" w:rsidRDefault="00C22CFA">
      <w:pPr>
        <w:widowControl/>
        <w:spacing w:line="500" w:lineRule="atLeast"/>
        <w:ind w:firstLineChars="200" w:firstLine="562"/>
        <w:jc w:val="left"/>
        <w:rPr>
          <w:rFonts w:ascii="Times New Roman" w:eastAsia="宋体" w:hAnsi="Times New Roman" w:cs="Times New Roman"/>
          <w:b/>
          <w:bCs/>
          <w:kern w:val="0"/>
          <w:sz w:val="28"/>
          <w:szCs w:val="28"/>
        </w:rPr>
      </w:pPr>
      <w:r>
        <w:rPr>
          <w:rFonts w:ascii="Times New Roman" w:eastAsia="宋体" w:hAnsi="Times New Roman" w:cs="Times New Roman"/>
          <w:b/>
          <w:bCs/>
          <w:kern w:val="0"/>
          <w:sz w:val="28"/>
          <w:szCs w:val="28"/>
        </w:rPr>
        <w:t>（</w:t>
      </w:r>
      <w:r>
        <w:rPr>
          <w:rFonts w:ascii="Times New Roman" w:eastAsia="宋体" w:hAnsi="Times New Roman" w:cs="Times New Roman"/>
          <w:b/>
          <w:bCs/>
          <w:kern w:val="0"/>
          <w:sz w:val="28"/>
          <w:szCs w:val="28"/>
        </w:rPr>
        <w:t>2</w:t>
      </w:r>
      <w:r>
        <w:rPr>
          <w:rFonts w:ascii="Times New Roman" w:eastAsia="宋体" w:hAnsi="Times New Roman" w:cs="Times New Roman"/>
          <w:b/>
          <w:bCs/>
          <w:kern w:val="0"/>
          <w:sz w:val="28"/>
          <w:szCs w:val="28"/>
        </w:rPr>
        <w:t>）年产</w:t>
      </w:r>
      <w:r>
        <w:rPr>
          <w:rFonts w:ascii="Times New Roman" w:eastAsia="宋体" w:hAnsi="Times New Roman" w:cs="Times New Roman"/>
          <w:b/>
          <w:bCs/>
          <w:kern w:val="0"/>
          <w:sz w:val="28"/>
          <w:szCs w:val="28"/>
        </w:rPr>
        <w:t>6</w:t>
      </w:r>
      <w:r>
        <w:rPr>
          <w:rFonts w:ascii="Times New Roman" w:eastAsia="宋体" w:hAnsi="Times New Roman" w:cs="Times New Roman"/>
          <w:b/>
          <w:bCs/>
          <w:kern w:val="0"/>
          <w:sz w:val="28"/>
          <w:szCs w:val="28"/>
        </w:rPr>
        <w:t>万吨发酵法混合物技改项目</w:t>
      </w:r>
    </w:p>
    <w:p w14:paraId="50D965D0" w14:textId="77777777" w:rsidR="002133E3" w:rsidRDefault="00C22CFA">
      <w:pPr>
        <w:adjustRightInd w:val="0"/>
        <w:spacing w:line="500" w:lineRule="atLeast"/>
        <w:ind w:firstLineChars="200" w:firstLine="504"/>
        <w:rPr>
          <w:rFonts w:ascii="Times New Roman" w:eastAsia="宋体" w:hAnsi="Times New Roman" w:cs="Times New Roman"/>
          <w:spacing w:val="-14"/>
          <w:kern w:val="0"/>
          <w:sz w:val="28"/>
          <w:szCs w:val="28"/>
          <w:lang w:eastAsia="en-US"/>
        </w:rPr>
      </w:pPr>
      <w:r>
        <w:rPr>
          <w:rFonts w:ascii="Times New Roman" w:eastAsia="宋体" w:hAnsi="Times New Roman" w:cs="Times New Roman"/>
          <w:spacing w:val="-14"/>
          <w:kern w:val="0"/>
          <w:sz w:val="28"/>
          <w:szCs w:val="28"/>
        </w:rPr>
        <w:t>本项目的大气污染物排放总量申报量为：</w:t>
      </w:r>
      <w:r>
        <w:rPr>
          <w:rFonts w:ascii="Times New Roman" w:eastAsia="宋体" w:hAnsi="Times New Roman" w:cs="Times New Roman"/>
          <w:spacing w:val="-14"/>
          <w:kern w:val="0"/>
          <w:sz w:val="28"/>
          <w:szCs w:val="28"/>
        </w:rPr>
        <w:t>SO</w:t>
      </w:r>
      <w:r>
        <w:rPr>
          <w:rFonts w:ascii="Times New Roman" w:eastAsia="宋体" w:hAnsi="Times New Roman" w:cs="Times New Roman"/>
          <w:spacing w:val="-14"/>
          <w:kern w:val="0"/>
          <w:sz w:val="28"/>
          <w:szCs w:val="28"/>
          <w:vertAlign w:val="subscript"/>
        </w:rPr>
        <w:t>2</w:t>
      </w:r>
      <w:r>
        <w:rPr>
          <w:rFonts w:ascii="Times New Roman" w:eastAsia="宋体" w:hAnsi="Times New Roman" w:cs="Times New Roman"/>
          <w:spacing w:val="-14"/>
          <w:kern w:val="0"/>
          <w:sz w:val="28"/>
          <w:szCs w:val="28"/>
        </w:rPr>
        <w:t xml:space="preserve"> 0.33t/a</w:t>
      </w:r>
      <w:r>
        <w:rPr>
          <w:rFonts w:ascii="Times New Roman" w:eastAsia="宋体" w:hAnsi="Times New Roman" w:cs="Times New Roman"/>
          <w:spacing w:val="-14"/>
          <w:kern w:val="0"/>
          <w:sz w:val="28"/>
          <w:szCs w:val="28"/>
        </w:rPr>
        <w:t>、</w:t>
      </w:r>
      <w:r>
        <w:rPr>
          <w:rFonts w:ascii="Times New Roman" w:eastAsia="宋体" w:hAnsi="Times New Roman" w:cs="Times New Roman"/>
          <w:spacing w:val="-14"/>
          <w:kern w:val="0"/>
          <w:sz w:val="28"/>
          <w:szCs w:val="28"/>
        </w:rPr>
        <w:t xml:space="preserve">NOx 17. </w:t>
      </w:r>
      <w:r>
        <w:rPr>
          <w:rFonts w:ascii="Times New Roman" w:eastAsia="宋体" w:hAnsi="Times New Roman" w:cs="Times New Roman"/>
          <w:spacing w:val="-14"/>
          <w:kern w:val="0"/>
          <w:sz w:val="28"/>
          <w:szCs w:val="28"/>
          <w:lang w:eastAsia="en-US"/>
        </w:rPr>
        <w:t>01t/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、烟尘</w:t>
      </w:r>
      <w:proofErr w:type="spellEnd"/>
      <w:r>
        <w:rPr>
          <w:rFonts w:ascii="Times New Roman" w:eastAsia="宋体" w:hAnsi="Times New Roman" w:cs="Times New Roman"/>
          <w:spacing w:val="-14"/>
          <w:kern w:val="0"/>
          <w:sz w:val="28"/>
          <w:szCs w:val="28"/>
          <w:lang w:eastAsia="en-US"/>
        </w:rPr>
        <w:t xml:space="preserve"> 1.63t/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、粉尘</w:t>
      </w:r>
      <w:proofErr w:type="spellEnd"/>
      <w:r>
        <w:rPr>
          <w:rFonts w:ascii="Times New Roman" w:eastAsia="宋体" w:hAnsi="Times New Roman" w:cs="Times New Roman"/>
          <w:spacing w:val="-14"/>
          <w:kern w:val="0"/>
          <w:sz w:val="28"/>
          <w:szCs w:val="28"/>
          <w:lang w:eastAsia="en-US"/>
        </w:rPr>
        <w:t xml:space="preserve"> 13.18t/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、乙醇</w:t>
      </w:r>
      <w:proofErr w:type="spellEnd"/>
      <w:r>
        <w:rPr>
          <w:rFonts w:ascii="Times New Roman" w:eastAsia="宋体" w:hAnsi="Times New Roman" w:cs="Times New Roman"/>
          <w:spacing w:val="-14"/>
          <w:kern w:val="0"/>
          <w:sz w:val="28"/>
          <w:szCs w:val="28"/>
          <w:lang w:eastAsia="en-US"/>
        </w:rPr>
        <w:t xml:space="preserve"> 0.68t/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、乙醛</w:t>
      </w:r>
      <w:proofErr w:type="spellEnd"/>
      <w:r>
        <w:rPr>
          <w:rFonts w:ascii="Times New Roman" w:eastAsia="宋体" w:hAnsi="Times New Roman" w:cs="Times New Roman"/>
          <w:spacing w:val="-14"/>
          <w:kern w:val="0"/>
          <w:sz w:val="28"/>
          <w:szCs w:val="28"/>
          <w:lang w:eastAsia="en-US"/>
        </w:rPr>
        <w:t xml:space="preserve"> 1. 59t/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、丙酮</w:t>
      </w:r>
      <w:proofErr w:type="spellEnd"/>
      <w:r>
        <w:rPr>
          <w:rFonts w:ascii="Times New Roman" w:eastAsia="宋体" w:hAnsi="Times New Roman" w:cs="Times New Roman"/>
          <w:spacing w:val="-14"/>
          <w:kern w:val="0"/>
          <w:sz w:val="28"/>
          <w:szCs w:val="28"/>
          <w:lang w:eastAsia="en-US"/>
        </w:rPr>
        <w:t xml:space="preserve"> 2.16t/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、丁醇</w:t>
      </w:r>
      <w:proofErr w:type="spellEnd"/>
      <w:r>
        <w:rPr>
          <w:rFonts w:ascii="Times New Roman" w:eastAsia="宋体" w:hAnsi="Times New Roman" w:cs="Times New Roman"/>
          <w:spacing w:val="-14"/>
          <w:kern w:val="0"/>
          <w:sz w:val="28"/>
          <w:szCs w:val="28"/>
          <w:lang w:eastAsia="en-US"/>
        </w:rPr>
        <w:t xml:space="preserve"> 11.2t/a</w:t>
      </w:r>
      <w:r>
        <w:rPr>
          <w:rFonts w:ascii="Times New Roman" w:eastAsia="宋体" w:hAnsi="Times New Roman" w:cs="Times New Roman"/>
          <w:spacing w:val="-14"/>
          <w:kern w:val="0"/>
          <w:sz w:val="28"/>
          <w:szCs w:val="28"/>
          <w:lang w:eastAsia="en-US"/>
        </w:rPr>
        <w:t>、</w:t>
      </w:r>
      <w:r>
        <w:rPr>
          <w:rFonts w:ascii="Times New Roman" w:eastAsia="宋体" w:hAnsi="Times New Roman" w:cs="Times New Roman"/>
          <w:spacing w:val="-14"/>
          <w:kern w:val="0"/>
          <w:sz w:val="28"/>
          <w:szCs w:val="28"/>
          <w:lang w:eastAsia="en-US"/>
        </w:rPr>
        <w:t xml:space="preserve"> </w:t>
      </w:r>
      <w:r>
        <w:rPr>
          <w:rFonts w:ascii="Times New Roman" w:eastAsia="宋体" w:hAnsi="Times New Roman" w:cs="Times New Roman"/>
          <w:spacing w:val="-14"/>
          <w:kern w:val="0"/>
          <w:sz w:val="28"/>
          <w:szCs w:val="28"/>
          <w:lang w:eastAsia="en-US"/>
        </w:rPr>
        <w:t>氨</w:t>
      </w:r>
      <w:r>
        <w:rPr>
          <w:rFonts w:ascii="Times New Roman" w:eastAsia="宋体" w:hAnsi="Times New Roman" w:cs="Times New Roman"/>
          <w:spacing w:val="-14"/>
          <w:kern w:val="0"/>
          <w:sz w:val="28"/>
          <w:szCs w:val="28"/>
          <w:lang w:eastAsia="en-US"/>
        </w:rPr>
        <w:t xml:space="preserve"> 0.04t/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、硫化氢</w:t>
      </w:r>
      <w:proofErr w:type="spellEnd"/>
      <w:r>
        <w:rPr>
          <w:rFonts w:ascii="Times New Roman" w:eastAsia="宋体" w:hAnsi="Times New Roman" w:cs="Times New Roman"/>
          <w:spacing w:val="-14"/>
          <w:kern w:val="0"/>
          <w:sz w:val="28"/>
          <w:szCs w:val="28"/>
          <w:lang w:eastAsia="en-US"/>
        </w:rPr>
        <w:t xml:space="preserve"> 0.03t/a</w:t>
      </w:r>
      <w:r>
        <w:rPr>
          <w:rFonts w:ascii="Times New Roman" w:eastAsia="宋体" w:hAnsi="Times New Roman" w:cs="Times New Roman"/>
          <w:spacing w:val="-14"/>
          <w:kern w:val="0"/>
          <w:sz w:val="28"/>
          <w:szCs w:val="28"/>
          <w:lang w:eastAsia="en-US"/>
        </w:rPr>
        <w:t>、</w:t>
      </w:r>
      <w:r>
        <w:rPr>
          <w:rFonts w:ascii="Times New Roman" w:eastAsia="宋体" w:hAnsi="Times New Roman" w:cs="Times New Roman"/>
          <w:spacing w:val="-14"/>
          <w:kern w:val="0"/>
          <w:sz w:val="28"/>
          <w:szCs w:val="28"/>
          <w:lang w:eastAsia="en-US"/>
        </w:rPr>
        <w:t>VOCs13. 75t/a</w:t>
      </w:r>
      <w:r>
        <w:rPr>
          <w:rFonts w:ascii="Times New Roman" w:eastAsia="宋体" w:hAnsi="Times New Roman" w:cs="Times New Roman"/>
          <w:spacing w:val="-14"/>
          <w:kern w:val="0"/>
          <w:sz w:val="28"/>
          <w:szCs w:val="28"/>
          <w:lang w:eastAsia="en-US"/>
        </w:rPr>
        <w:t>。</w:t>
      </w:r>
    </w:p>
    <w:p w14:paraId="3F23AE03" w14:textId="77777777" w:rsidR="002133E3" w:rsidRDefault="00C22CFA">
      <w:pPr>
        <w:adjustRightInd w:val="0"/>
        <w:spacing w:line="500" w:lineRule="atLeast"/>
        <w:ind w:firstLineChars="200" w:firstLine="504"/>
        <w:rPr>
          <w:rFonts w:ascii="Times New Roman" w:eastAsia="宋体" w:hAnsi="Times New Roman" w:cs="Times New Roman"/>
          <w:spacing w:val="-14"/>
          <w:kern w:val="0"/>
          <w:sz w:val="28"/>
          <w:szCs w:val="28"/>
        </w:rPr>
      </w:pPr>
      <w:r>
        <w:rPr>
          <w:rFonts w:ascii="Times New Roman" w:eastAsia="宋体" w:hAnsi="Times New Roman" w:cs="Times New Roman"/>
          <w:spacing w:val="-14"/>
          <w:kern w:val="0"/>
          <w:sz w:val="28"/>
          <w:szCs w:val="28"/>
          <w:lang w:eastAsia="en-US"/>
        </w:rPr>
        <w:t>全厂大气污染物排放总量：</w:t>
      </w:r>
      <w:r>
        <w:rPr>
          <w:rFonts w:ascii="Times New Roman" w:eastAsia="宋体" w:hAnsi="Times New Roman" w:cs="Times New Roman"/>
          <w:spacing w:val="-14"/>
          <w:kern w:val="0"/>
          <w:sz w:val="28"/>
          <w:szCs w:val="28"/>
          <w:lang w:eastAsia="en-US"/>
        </w:rPr>
        <w:t>S</w:t>
      </w:r>
      <w:r>
        <w:rPr>
          <w:rFonts w:ascii="Times New Roman" w:eastAsia="宋体" w:hAnsi="Times New Roman" w:cs="Times New Roman"/>
          <w:spacing w:val="-14"/>
          <w:kern w:val="0"/>
          <w:sz w:val="28"/>
          <w:szCs w:val="28"/>
        </w:rPr>
        <w:t>O</w:t>
      </w:r>
      <w:r>
        <w:rPr>
          <w:rFonts w:ascii="Times New Roman" w:eastAsia="宋体" w:hAnsi="Times New Roman" w:cs="Times New Roman"/>
          <w:spacing w:val="-14"/>
          <w:kern w:val="0"/>
          <w:sz w:val="28"/>
          <w:szCs w:val="28"/>
          <w:vertAlign w:val="subscript"/>
          <w:lang w:eastAsia="en-US"/>
        </w:rPr>
        <w:t>2</w:t>
      </w:r>
      <w:r>
        <w:rPr>
          <w:rFonts w:ascii="Times New Roman" w:eastAsia="宋体" w:hAnsi="Times New Roman" w:cs="Times New Roman"/>
          <w:spacing w:val="-14"/>
          <w:kern w:val="0"/>
          <w:sz w:val="28"/>
          <w:szCs w:val="28"/>
          <w:lang w:eastAsia="en-US"/>
        </w:rPr>
        <w:t xml:space="preserve"> 8.85t/a</w:t>
      </w:r>
      <w:r>
        <w:rPr>
          <w:rFonts w:ascii="Times New Roman" w:eastAsia="宋体" w:hAnsi="Times New Roman" w:cs="Times New Roman"/>
          <w:spacing w:val="-14"/>
          <w:kern w:val="0"/>
          <w:sz w:val="28"/>
          <w:szCs w:val="28"/>
          <w:lang w:eastAsia="en-US"/>
        </w:rPr>
        <w:t>、</w:t>
      </w:r>
      <w:r>
        <w:rPr>
          <w:rFonts w:ascii="Times New Roman" w:eastAsia="宋体" w:hAnsi="Times New Roman" w:cs="Times New Roman"/>
          <w:spacing w:val="-14"/>
          <w:kern w:val="0"/>
          <w:sz w:val="28"/>
          <w:szCs w:val="28"/>
          <w:lang w:eastAsia="en-US"/>
        </w:rPr>
        <w:t xml:space="preserve"> NOx24.96t/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、烟尘</w:t>
      </w:r>
      <w:proofErr w:type="spellEnd"/>
      <w:r>
        <w:rPr>
          <w:rFonts w:ascii="Times New Roman" w:eastAsia="宋体" w:hAnsi="Times New Roman" w:cs="Times New Roman"/>
          <w:spacing w:val="-14"/>
          <w:kern w:val="0"/>
          <w:sz w:val="28"/>
          <w:szCs w:val="28"/>
          <w:lang w:eastAsia="en-US"/>
        </w:rPr>
        <w:t xml:space="preserve"> 12. 26t/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、粉尘</w:t>
      </w:r>
      <w:proofErr w:type="spellEnd"/>
      <w:r>
        <w:rPr>
          <w:rFonts w:ascii="Times New Roman" w:eastAsia="宋体" w:hAnsi="Times New Roman" w:cs="Times New Roman"/>
          <w:spacing w:val="-14"/>
          <w:kern w:val="0"/>
          <w:sz w:val="28"/>
          <w:szCs w:val="28"/>
          <w:lang w:eastAsia="en-US"/>
        </w:rPr>
        <w:t xml:space="preserve"> 34.68t/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、乙醇</w:t>
      </w:r>
      <w:proofErr w:type="spellEnd"/>
      <w:r>
        <w:rPr>
          <w:rFonts w:ascii="Times New Roman" w:eastAsia="宋体" w:hAnsi="Times New Roman" w:cs="Times New Roman"/>
          <w:spacing w:val="-14"/>
          <w:kern w:val="0"/>
          <w:sz w:val="28"/>
          <w:szCs w:val="28"/>
          <w:lang w:eastAsia="en-US"/>
        </w:rPr>
        <w:t xml:space="preserve"> 128. 27t/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、乙醛</w:t>
      </w:r>
      <w:proofErr w:type="spellEnd"/>
      <w:r>
        <w:rPr>
          <w:rFonts w:ascii="Times New Roman" w:eastAsia="宋体" w:hAnsi="Times New Roman" w:cs="Times New Roman"/>
          <w:spacing w:val="-14"/>
          <w:kern w:val="0"/>
          <w:sz w:val="28"/>
          <w:szCs w:val="28"/>
          <w:lang w:eastAsia="en-US"/>
        </w:rPr>
        <w:t xml:space="preserve"> 3.35t/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、丙酮</w:t>
      </w:r>
      <w:proofErr w:type="spellEnd"/>
      <w:r>
        <w:rPr>
          <w:rFonts w:ascii="Times New Roman" w:eastAsia="宋体" w:hAnsi="Times New Roman" w:cs="Times New Roman"/>
          <w:spacing w:val="-14"/>
          <w:kern w:val="0"/>
          <w:sz w:val="28"/>
          <w:szCs w:val="28"/>
          <w:lang w:eastAsia="en-US"/>
        </w:rPr>
        <w:t xml:space="preserve"> 2.16t/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、丁醇</w:t>
      </w:r>
      <w:proofErr w:type="spellEnd"/>
      <w:r>
        <w:rPr>
          <w:rFonts w:ascii="Times New Roman" w:eastAsia="宋体" w:hAnsi="Times New Roman" w:cs="Times New Roman"/>
          <w:spacing w:val="-14"/>
          <w:kern w:val="0"/>
          <w:sz w:val="28"/>
          <w:szCs w:val="28"/>
          <w:lang w:eastAsia="en-US"/>
        </w:rPr>
        <w:t xml:space="preserve"> 11.2t/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、氨</w:t>
      </w:r>
      <w:proofErr w:type="spellEnd"/>
      <w:r>
        <w:rPr>
          <w:rFonts w:ascii="Times New Roman" w:eastAsia="宋体" w:hAnsi="Times New Roman" w:cs="Times New Roman"/>
          <w:spacing w:val="-14"/>
          <w:kern w:val="0"/>
          <w:sz w:val="28"/>
          <w:szCs w:val="28"/>
          <w:lang w:eastAsia="en-US"/>
        </w:rPr>
        <w:t xml:space="preserve"> 0.04t/</w:t>
      </w:r>
      <w:proofErr w:type="spellStart"/>
      <w:r>
        <w:rPr>
          <w:rFonts w:ascii="Times New Roman" w:eastAsia="宋体" w:hAnsi="Times New Roman" w:cs="Times New Roman"/>
          <w:spacing w:val="-14"/>
          <w:kern w:val="0"/>
          <w:sz w:val="28"/>
          <w:szCs w:val="28"/>
          <w:lang w:eastAsia="en-US"/>
        </w:rPr>
        <w:t>a</w:t>
      </w:r>
      <w:r>
        <w:rPr>
          <w:rFonts w:ascii="Times New Roman" w:eastAsia="宋体" w:hAnsi="Times New Roman" w:cs="Times New Roman"/>
          <w:spacing w:val="-14"/>
          <w:kern w:val="0"/>
          <w:sz w:val="28"/>
          <w:szCs w:val="28"/>
          <w:lang w:eastAsia="en-US"/>
        </w:rPr>
        <w:t>、硫化氢</w:t>
      </w:r>
      <w:proofErr w:type="spellEnd"/>
      <w:r>
        <w:rPr>
          <w:rFonts w:ascii="Times New Roman" w:eastAsia="宋体" w:hAnsi="Times New Roman" w:cs="Times New Roman"/>
          <w:spacing w:val="-14"/>
          <w:kern w:val="0"/>
          <w:sz w:val="28"/>
          <w:szCs w:val="28"/>
          <w:lang w:eastAsia="en-US"/>
        </w:rPr>
        <w:t xml:space="preserve"> 0. </w:t>
      </w:r>
      <w:r>
        <w:rPr>
          <w:rFonts w:ascii="Times New Roman" w:eastAsia="宋体" w:hAnsi="Times New Roman" w:cs="Times New Roman"/>
          <w:spacing w:val="-14"/>
          <w:kern w:val="0"/>
          <w:sz w:val="28"/>
          <w:szCs w:val="28"/>
        </w:rPr>
        <w:t>03t/a</w:t>
      </w:r>
      <w:r>
        <w:rPr>
          <w:rFonts w:ascii="Times New Roman" w:eastAsia="宋体" w:hAnsi="Times New Roman" w:cs="Times New Roman"/>
          <w:spacing w:val="-14"/>
          <w:kern w:val="0"/>
          <w:sz w:val="28"/>
          <w:szCs w:val="28"/>
        </w:rPr>
        <w:t>、</w:t>
      </w:r>
      <w:r>
        <w:rPr>
          <w:rFonts w:ascii="Times New Roman" w:eastAsia="宋体" w:hAnsi="Times New Roman" w:cs="Times New Roman"/>
          <w:spacing w:val="-14"/>
          <w:kern w:val="0"/>
          <w:sz w:val="28"/>
          <w:szCs w:val="28"/>
        </w:rPr>
        <w:t>VOCs13.75t/a</w:t>
      </w:r>
      <w:r>
        <w:rPr>
          <w:rFonts w:ascii="Times New Roman" w:eastAsia="宋体" w:hAnsi="Times New Roman" w:cs="Times New Roman"/>
          <w:spacing w:val="-14"/>
          <w:kern w:val="0"/>
          <w:sz w:val="28"/>
          <w:szCs w:val="28"/>
        </w:rPr>
        <w:t>。</w:t>
      </w:r>
    </w:p>
    <w:p w14:paraId="56D76D93" w14:textId="77777777" w:rsidR="002133E3" w:rsidRDefault="00C22CFA">
      <w:pPr>
        <w:topLinePunct/>
        <w:adjustRightInd w:val="0"/>
        <w:spacing w:line="500" w:lineRule="atLeast"/>
        <w:ind w:firstLine="488"/>
        <w:rPr>
          <w:rFonts w:ascii="Times New Roman" w:eastAsia="宋体" w:hAnsi="Times New Roman" w:cs="Times New Roman"/>
          <w:color w:val="000000"/>
          <w:kern w:val="0"/>
          <w:sz w:val="28"/>
          <w:szCs w:val="28"/>
        </w:rPr>
      </w:pPr>
      <w:r>
        <w:rPr>
          <w:rFonts w:ascii="Times New Roman" w:eastAsia="宋体" w:hAnsi="Times New Roman" w:cs="Times New Roman"/>
          <w:color w:val="000000"/>
          <w:kern w:val="0"/>
          <w:sz w:val="28"/>
          <w:szCs w:val="28"/>
        </w:rPr>
        <w:t>根据江苏京诚检测技术有限公司对本项目出具的监测数据（若样品浓度低于监测方法检出限时，则该监测数据应标明未检出，并以</w:t>
      </w:r>
      <w:r>
        <w:rPr>
          <w:rFonts w:ascii="Times New Roman" w:eastAsia="宋体" w:hAnsi="Times New Roman" w:cs="Times New Roman"/>
          <w:color w:val="000000"/>
          <w:kern w:val="0"/>
          <w:sz w:val="28"/>
          <w:szCs w:val="28"/>
        </w:rPr>
        <w:t>1/2</w:t>
      </w:r>
      <w:r>
        <w:rPr>
          <w:rFonts w:ascii="Times New Roman" w:eastAsia="宋体" w:hAnsi="Times New Roman" w:cs="Times New Roman"/>
          <w:color w:val="000000"/>
          <w:kern w:val="0"/>
          <w:sz w:val="28"/>
          <w:szCs w:val="28"/>
        </w:rPr>
        <w:t>最低检出限报出，同</w:t>
      </w:r>
      <w:r>
        <w:rPr>
          <w:rFonts w:ascii="Times New Roman" w:eastAsia="宋体" w:hAnsi="Times New Roman" w:cs="Times New Roman"/>
          <w:color w:val="000000"/>
          <w:kern w:val="0"/>
          <w:sz w:val="28"/>
          <w:szCs w:val="28"/>
        </w:rPr>
        <w:lastRenderedPageBreak/>
        <w:t>时用该数值参加统计计算），项目监测期间</w:t>
      </w:r>
      <w:r>
        <w:rPr>
          <w:rFonts w:ascii="Times New Roman" w:eastAsia="宋体" w:hAnsi="Times New Roman" w:cs="Times New Roman"/>
          <w:color w:val="000000"/>
          <w:kern w:val="0"/>
          <w:sz w:val="28"/>
          <w:szCs w:val="28"/>
        </w:rPr>
        <w:t>5</w:t>
      </w:r>
      <w:r>
        <w:rPr>
          <w:rFonts w:ascii="Times New Roman" w:eastAsia="宋体" w:hAnsi="Times New Roman" w:cs="Times New Roman"/>
          <w:color w:val="000000"/>
          <w:kern w:val="0"/>
          <w:sz w:val="28"/>
          <w:szCs w:val="28"/>
        </w:rPr>
        <w:t>月</w:t>
      </w:r>
      <w:r>
        <w:rPr>
          <w:rFonts w:ascii="Times New Roman" w:eastAsia="宋体" w:hAnsi="Times New Roman" w:cs="Times New Roman"/>
          <w:color w:val="000000"/>
          <w:kern w:val="0"/>
          <w:sz w:val="28"/>
          <w:szCs w:val="28"/>
        </w:rPr>
        <w:t>29</w:t>
      </w:r>
      <w:r>
        <w:rPr>
          <w:rFonts w:ascii="Times New Roman" w:eastAsia="宋体" w:hAnsi="Times New Roman" w:cs="Times New Roman"/>
          <w:color w:val="000000"/>
          <w:kern w:val="0"/>
          <w:sz w:val="28"/>
          <w:szCs w:val="28"/>
        </w:rPr>
        <w:t>日和</w:t>
      </w:r>
      <w:r>
        <w:rPr>
          <w:rFonts w:ascii="Times New Roman" w:eastAsia="宋体" w:hAnsi="Times New Roman" w:cs="Times New Roman"/>
          <w:color w:val="000000"/>
          <w:kern w:val="0"/>
          <w:sz w:val="28"/>
          <w:szCs w:val="28"/>
        </w:rPr>
        <w:t>30</w:t>
      </w:r>
      <w:r>
        <w:rPr>
          <w:rFonts w:ascii="Times New Roman" w:eastAsia="宋体" w:hAnsi="Times New Roman" w:cs="Times New Roman"/>
          <w:color w:val="000000"/>
          <w:kern w:val="0"/>
          <w:sz w:val="28"/>
          <w:szCs w:val="28"/>
        </w:rPr>
        <w:t>日排气筒颗粒物、丙酮、</w:t>
      </w:r>
      <w:r>
        <w:rPr>
          <w:rFonts w:ascii="Times New Roman" w:eastAsia="宋体" w:hAnsi="Times New Roman" w:cs="Times New Roman"/>
          <w:color w:val="000000"/>
          <w:kern w:val="0"/>
          <w:sz w:val="28"/>
          <w:szCs w:val="28"/>
        </w:rPr>
        <w:t>VOCs</w:t>
      </w:r>
      <w:r>
        <w:rPr>
          <w:rFonts w:ascii="Times New Roman" w:eastAsia="宋体" w:hAnsi="Times New Roman" w:cs="Times New Roman"/>
          <w:color w:val="000000"/>
          <w:kern w:val="0"/>
          <w:sz w:val="28"/>
          <w:szCs w:val="28"/>
        </w:rPr>
        <w:t>、氨、硫化氢平均排放速率为</w:t>
      </w:r>
      <w:r>
        <w:rPr>
          <w:rFonts w:ascii="Times New Roman" w:eastAsia="宋体" w:hAnsi="Times New Roman" w:cs="Times New Roman"/>
          <w:color w:val="000000"/>
          <w:kern w:val="0"/>
          <w:sz w:val="28"/>
          <w:szCs w:val="28"/>
        </w:rPr>
        <w:t>1.018kg/h</w:t>
      </w:r>
      <w:r>
        <w:rPr>
          <w:rFonts w:ascii="Times New Roman" w:eastAsia="宋体" w:hAnsi="Times New Roman" w:cs="Times New Roman"/>
          <w:color w:val="000000"/>
          <w:kern w:val="0"/>
          <w:sz w:val="28"/>
          <w:szCs w:val="28"/>
        </w:rPr>
        <w:t>、</w:t>
      </w:r>
      <w:r>
        <w:rPr>
          <w:rFonts w:ascii="Times New Roman" w:eastAsia="宋体" w:hAnsi="Times New Roman" w:cs="Times New Roman"/>
          <w:color w:val="000000"/>
          <w:kern w:val="0"/>
          <w:sz w:val="28"/>
          <w:szCs w:val="28"/>
        </w:rPr>
        <w:t>0.0005kg/h</w:t>
      </w:r>
      <w:r>
        <w:rPr>
          <w:rFonts w:ascii="Times New Roman" w:eastAsia="宋体" w:hAnsi="Times New Roman" w:cs="Times New Roman"/>
          <w:color w:val="000000"/>
          <w:kern w:val="0"/>
          <w:sz w:val="28"/>
          <w:szCs w:val="28"/>
        </w:rPr>
        <w:t>、</w:t>
      </w:r>
      <w:r>
        <w:rPr>
          <w:rFonts w:ascii="Times New Roman" w:eastAsia="宋体" w:hAnsi="Times New Roman" w:cs="Times New Roman"/>
          <w:color w:val="000000"/>
          <w:kern w:val="0"/>
          <w:sz w:val="28"/>
          <w:szCs w:val="28"/>
        </w:rPr>
        <w:t>0.0015kg/h</w:t>
      </w:r>
      <w:r>
        <w:rPr>
          <w:rFonts w:ascii="Times New Roman" w:eastAsia="宋体" w:hAnsi="Times New Roman" w:cs="Times New Roman"/>
          <w:color w:val="000000"/>
          <w:kern w:val="0"/>
          <w:sz w:val="28"/>
          <w:szCs w:val="28"/>
        </w:rPr>
        <w:t>，监测期间生产负荷</w:t>
      </w:r>
      <w:r>
        <w:rPr>
          <w:rFonts w:ascii="Times New Roman" w:eastAsia="宋体" w:hAnsi="Times New Roman" w:cs="Times New Roman"/>
          <w:color w:val="000000"/>
          <w:kern w:val="0"/>
          <w:sz w:val="28"/>
          <w:szCs w:val="28"/>
        </w:rPr>
        <w:t>95.5%</w:t>
      </w:r>
      <w:r>
        <w:rPr>
          <w:rFonts w:ascii="Times New Roman" w:eastAsia="宋体" w:hAnsi="Times New Roman" w:cs="Times New Roman"/>
          <w:color w:val="000000"/>
          <w:kern w:val="0"/>
          <w:sz w:val="28"/>
          <w:szCs w:val="28"/>
        </w:rPr>
        <w:t>及</w:t>
      </w:r>
      <w:r>
        <w:rPr>
          <w:rFonts w:ascii="Times New Roman" w:eastAsia="宋体" w:hAnsi="Times New Roman" w:cs="Times New Roman"/>
          <w:color w:val="000000"/>
          <w:kern w:val="0"/>
          <w:sz w:val="28"/>
          <w:szCs w:val="28"/>
        </w:rPr>
        <w:t>94.5%</w:t>
      </w:r>
      <w:r>
        <w:rPr>
          <w:rFonts w:ascii="Times New Roman" w:eastAsia="宋体" w:hAnsi="Times New Roman" w:cs="Times New Roman"/>
          <w:color w:val="000000"/>
          <w:kern w:val="0"/>
          <w:sz w:val="28"/>
          <w:szCs w:val="28"/>
        </w:rPr>
        <w:t>，年工作时间</w:t>
      </w:r>
      <w:r>
        <w:rPr>
          <w:rFonts w:ascii="Times New Roman" w:eastAsia="宋体" w:hAnsi="Times New Roman" w:cs="Times New Roman"/>
          <w:color w:val="000000"/>
          <w:kern w:val="0"/>
          <w:sz w:val="28"/>
          <w:szCs w:val="28"/>
        </w:rPr>
        <w:t>7200</w:t>
      </w:r>
      <w:r>
        <w:rPr>
          <w:rFonts w:ascii="Times New Roman" w:eastAsia="宋体" w:hAnsi="Times New Roman" w:cs="Times New Roman"/>
          <w:color w:val="000000"/>
          <w:kern w:val="0"/>
          <w:sz w:val="28"/>
          <w:szCs w:val="28"/>
        </w:rPr>
        <w:t>小时，则项目非甲烷总烃、氯乙烯、氯化氢排放量为</w:t>
      </w:r>
      <w:r>
        <w:rPr>
          <w:rFonts w:ascii="Times New Roman" w:eastAsia="宋体" w:hAnsi="Times New Roman" w:cs="Times New Roman"/>
          <w:color w:val="000000"/>
          <w:kern w:val="0"/>
          <w:sz w:val="28"/>
          <w:szCs w:val="28"/>
        </w:rPr>
        <w:t>0.010t/a</w:t>
      </w:r>
      <w:r>
        <w:rPr>
          <w:rFonts w:ascii="Times New Roman" w:eastAsia="宋体" w:hAnsi="Times New Roman" w:cs="Times New Roman"/>
          <w:color w:val="000000"/>
          <w:kern w:val="0"/>
          <w:sz w:val="28"/>
          <w:szCs w:val="28"/>
        </w:rPr>
        <w:t>、</w:t>
      </w:r>
      <w:r>
        <w:rPr>
          <w:rFonts w:ascii="Times New Roman" w:eastAsia="宋体" w:hAnsi="Times New Roman" w:cs="Times New Roman"/>
          <w:color w:val="000000"/>
          <w:kern w:val="0"/>
          <w:sz w:val="28"/>
          <w:szCs w:val="28"/>
        </w:rPr>
        <w:t>0.033t/a</w:t>
      </w:r>
      <w:r>
        <w:rPr>
          <w:rFonts w:ascii="Times New Roman" w:eastAsia="宋体" w:hAnsi="Times New Roman" w:cs="Times New Roman"/>
          <w:color w:val="000000"/>
          <w:kern w:val="0"/>
          <w:sz w:val="28"/>
          <w:szCs w:val="28"/>
        </w:rPr>
        <w:t>、</w:t>
      </w:r>
      <w:r>
        <w:rPr>
          <w:rFonts w:ascii="Times New Roman" w:eastAsia="宋体" w:hAnsi="Times New Roman" w:cs="Times New Roman"/>
          <w:color w:val="000000"/>
          <w:kern w:val="0"/>
          <w:sz w:val="28"/>
          <w:szCs w:val="28"/>
        </w:rPr>
        <w:t>0.04t/a</w:t>
      </w:r>
      <w:r>
        <w:rPr>
          <w:rFonts w:ascii="Times New Roman" w:eastAsia="宋体" w:hAnsi="Times New Roman" w:cs="Times New Roman"/>
          <w:color w:val="000000"/>
          <w:kern w:val="0"/>
          <w:sz w:val="28"/>
          <w:szCs w:val="28"/>
        </w:rPr>
        <w:t>。</w:t>
      </w:r>
    </w:p>
    <w:p w14:paraId="21937AFE"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3.2-23   </w:t>
      </w:r>
      <w:r>
        <w:rPr>
          <w:rFonts w:ascii="Times New Roman" w:eastAsia="宋体" w:hAnsi="Times New Roman" w:cs="Times New Roman"/>
          <w:b/>
          <w:bCs/>
          <w:szCs w:val="21"/>
        </w:rPr>
        <w:t>废气污染物总量控制计算对照</w:t>
      </w:r>
    </w:p>
    <w:tbl>
      <w:tblPr>
        <w:tblStyle w:val="3f0"/>
        <w:tblW w:w="5000" w:type="pct"/>
        <w:jc w:val="center"/>
        <w:tblLook w:val="04A0" w:firstRow="1" w:lastRow="0" w:firstColumn="1" w:lastColumn="0" w:noHBand="0" w:noVBand="1"/>
      </w:tblPr>
      <w:tblGrid>
        <w:gridCol w:w="1242"/>
        <w:gridCol w:w="851"/>
        <w:gridCol w:w="1559"/>
        <w:gridCol w:w="2515"/>
        <w:gridCol w:w="1819"/>
        <w:gridCol w:w="1868"/>
      </w:tblGrid>
      <w:tr w:rsidR="002133E3" w14:paraId="07A5819E" w14:textId="77777777">
        <w:trPr>
          <w:trHeight w:val="397"/>
          <w:jc w:val="center"/>
        </w:trPr>
        <w:tc>
          <w:tcPr>
            <w:tcW w:w="630" w:type="pct"/>
            <w:vAlign w:val="center"/>
          </w:tcPr>
          <w:p w14:paraId="31E22CE7" w14:textId="77777777" w:rsidR="002133E3" w:rsidRDefault="00C22CFA">
            <w:pPr>
              <w:topLinePunct/>
              <w:jc w:val="center"/>
              <w:rPr>
                <w:bCs/>
                <w:color w:val="000000"/>
                <w:kern w:val="0"/>
                <w:sz w:val="22"/>
                <w:szCs w:val="21"/>
              </w:rPr>
            </w:pPr>
            <w:r>
              <w:rPr>
                <w:bCs/>
                <w:color w:val="000000"/>
                <w:kern w:val="0"/>
                <w:sz w:val="22"/>
                <w:szCs w:val="21"/>
              </w:rPr>
              <w:t>类别</w:t>
            </w:r>
          </w:p>
        </w:tc>
        <w:tc>
          <w:tcPr>
            <w:tcW w:w="432" w:type="pct"/>
            <w:vAlign w:val="center"/>
          </w:tcPr>
          <w:p w14:paraId="4CE17076" w14:textId="77777777" w:rsidR="002133E3" w:rsidRDefault="00C22CFA">
            <w:pPr>
              <w:topLinePunct/>
              <w:jc w:val="center"/>
              <w:rPr>
                <w:bCs/>
                <w:color w:val="000000"/>
                <w:kern w:val="0"/>
                <w:sz w:val="22"/>
                <w:szCs w:val="21"/>
              </w:rPr>
            </w:pPr>
            <w:r>
              <w:rPr>
                <w:bCs/>
                <w:color w:val="000000"/>
                <w:kern w:val="0"/>
                <w:sz w:val="22"/>
                <w:szCs w:val="21"/>
              </w:rPr>
              <w:t>序号</w:t>
            </w:r>
          </w:p>
        </w:tc>
        <w:tc>
          <w:tcPr>
            <w:tcW w:w="791" w:type="pct"/>
            <w:vAlign w:val="center"/>
          </w:tcPr>
          <w:p w14:paraId="7FA430D6" w14:textId="77777777" w:rsidR="002133E3" w:rsidRDefault="00C22CFA">
            <w:pPr>
              <w:topLinePunct/>
              <w:jc w:val="center"/>
              <w:rPr>
                <w:color w:val="000000"/>
                <w:kern w:val="0"/>
                <w:sz w:val="22"/>
                <w:szCs w:val="20"/>
              </w:rPr>
            </w:pPr>
            <w:r>
              <w:rPr>
                <w:color w:val="000000"/>
                <w:kern w:val="0"/>
                <w:sz w:val="22"/>
                <w:szCs w:val="20"/>
              </w:rPr>
              <w:t>污染因子</w:t>
            </w:r>
          </w:p>
        </w:tc>
        <w:tc>
          <w:tcPr>
            <w:tcW w:w="1276" w:type="pct"/>
            <w:vAlign w:val="center"/>
          </w:tcPr>
          <w:p w14:paraId="58F27701" w14:textId="77777777" w:rsidR="002133E3" w:rsidRDefault="00C22CFA">
            <w:pPr>
              <w:topLinePunct/>
              <w:jc w:val="center"/>
              <w:rPr>
                <w:bCs/>
                <w:color w:val="000000"/>
                <w:kern w:val="0"/>
                <w:sz w:val="22"/>
                <w:szCs w:val="21"/>
              </w:rPr>
            </w:pPr>
            <w:r>
              <w:rPr>
                <w:bCs/>
                <w:color w:val="000000"/>
                <w:kern w:val="0"/>
                <w:sz w:val="22"/>
                <w:szCs w:val="21"/>
              </w:rPr>
              <w:t>环评批复总量</w:t>
            </w:r>
            <w:r>
              <w:rPr>
                <w:bCs/>
                <w:color w:val="000000"/>
                <w:kern w:val="0"/>
                <w:sz w:val="22"/>
                <w:szCs w:val="21"/>
              </w:rPr>
              <w:t>t/a</w:t>
            </w:r>
          </w:p>
        </w:tc>
        <w:tc>
          <w:tcPr>
            <w:tcW w:w="923" w:type="pct"/>
            <w:vAlign w:val="center"/>
          </w:tcPr>
          <w:p w14:paraId="68CC458A" w14:textId="77777777" w:rsidR="002133E3" w:rsidRDefault="00C22CFA">
            <w:pPr>
              <w:topLinePunct/>
              <w:jc w:val="center"/>
              <w:rPr>
                <w:bCs/>
                <w:color w:val="000000"/>
                <w:kern w:val="0"/>
                <w:sz w:val="22"/>
                <w:szCs w:val="21"/>
              </w:rPr>
            </w:pPr>
            <w:r>
              <w:rPr>
                <w:bCs/>
                <w:color w:val="000000"/>
                <w:kern w:val="0"/>
                <w:sz w:val="22"/>
                <w:szCs w:val="21"/>
              </w:rPr>
              <w:t>实际排放总量</w:t>
            </w:r>
            <w:r>
              <w:rPr>
                <w:bCs/>
                <w:color w:val="000000"/>
                <w:kern w:val="0"/>
                <w:sz w:val="22"/>
                <w:szCs w:val="21"/>
              </w:rPr>
              <w:t>t/a</w:t>
            </w:r>
          </w:p>
        </w:tc>
        <w:tc>
          <w:tcPr>
            <w:tcW w:w="948" w:type="pct"/>
            <w:vAlign w:val="center"/>
          </w:tcPr>
          <w:p w14:paraId="7F94B9B6" w14:textId="77777777" w:rsidR="002133E3" w:rsidRDefault="00C22CFA">
            <w:pPr>
              <w:topLinePunct/>
              <w:jc w:val="center"/>
              <w:rPr>
                <w:bCs/>
                <w:color w:val="000000"/>
                <w:kern w:val="0"/>
                <w:sz w:val="22"/>
                <w:szCs w:val="21"/>
              </w:rPr>
            </w:pPr>
            <w:r>
              <w:rPr>
                <w:bCs/>
                <w:color w:val="000000"/>
                <w:kern w:val="0"/>
                <w:sz w:val="22"/>
                <w:szCs w:val="21"/>
              </w:rPr>
              <w:t>是否满足要求</w:t>
            </w:r>
          </w:p>
        </w:tc>
      </w:tr>
      <w:tr w:rsidR="002133E3" w14:paraId="000CC592" w14:textId="77777777">
        <w:trPr>
          <w:trHeight w:val="397"/>
          <w:jc w:val="center"/>
        </w:trPr>
        <w:tc>
          <w:tcPr>
            <w:tcW w:w="630" w:type="pct"/>
            <w:vMerge w:val="restart"/>
            <w:vAlign w:val="center"/>
          </w:tcPr>
          <w:p w14:paraId="736A3FAB" w14:textId="77777777" w:rsidR="002133E3" w:rsidRDefault="00C22CFA">
            <w:pPr>
              <w:topLinePunct/>
              <w:jc w:val="center"/>
              <w:rPr>
                <w:bCs/>
                <w:color w:val="000000"/>
                <w:kern w:val="0"/>
                <w:sz w:val="20"/>
                <w:szCs w:val="21"/>
              </w:rPr>
            </w:pPr>
            <w:r>
              <w:rPr>
                <w:bCs/>
                <w:color w:val="000000"/>
                <w:kern w:val="0"/>
                <w:sz w:val="20"/>
                <w:szCs w:val="21"/>
              </w:rPr>
              <w:t>大气污染物</w:t>
            </w:r>
          </w:p>
        </w:tc>
        <w:tc>
          <w:tcPr>
            <w:tcW w:w="432" w:type="pct"/>
            <w:vAlign w:val="center"/>
          </w:tcPr>
          <w:p w14:paraId="4E1988F1" w14:textId="77777777" w:rsidR="002133E3" w:rsidRDefault="00C22CFA">
            <w:pPr>
              <w:topLinePunct/>
              <w:jc w:val="center"/>
              <w:rPr>
                <w:bCs/>
                <w:color w:val="000000"/>
                <w:kern w:val="0"/>
                <w:sz w:val="20"/>
                <w:szCs w:val="21"/>
              </w:rPr>
            </w:pPr>
            <w:r>
              <w:rPr>
                <w:color w:val="000000"/>
                <w:kern w:val="0"/>
                <w:sz w:val="22"/>
                <w:szCs w:val="21"/>
                <w:lang w:eastAsia="en-US"/>
              </w:rPr>
              <w:t>1</w:t>
            </w:r>
          </w:p>
        </w:tc>
        <w:tc>
          <w:tcPr>
            <w:tcW w:w="791" w:type="pct"/>
            <w:vAlign w:val="center"/>
          </w:tcPr>
          <w:p w14:paraId="44A76F46" w14:textId="77777777" w:rsidR="002133E3" w:rsidRDefault="00C22CFA">
            <w:pPr>
              <w:tabs>
                <w:tab w:val="left" w:pos="6045"/>
              </w:tabs>
              <w:topLinePunct/>
              <w:jc w:val="center"/>
              <w:rPr>
                <w:bCs/>
                <w:color w:val="000000"/>
                <w:kern w:val="0"/>
                <w:sz w:val="22"/>
                <w:szCs w:val="21"/>
              </w:rPr>
            </w:pPr>
            <w:r>
              <w:rPr>
                <w:bCs/>
                <w:color w:val="000000"/>
                <w:kern w:val="0"/>
                <w:sz w:val="22"/>
                <w:szCs w:val="21"/>
              </w:rPr>
              <w:t>颗粒物</w:t>
            </w:r>
          </w:p>
        </w:tc>
        <w:tc>
          <w:tcPr>
            <w:tcW w:w="1276" w:type="pct"/>
            <w:vAlign w:val="center"/>
          </w:tcPr>
          <w:p w14:paraId="6664B595" w14:textId="77777777" w:rsidR="002133E3" w:rsidRDefault="00C22CFA">
            <w:pPr>
              <w:topLinePunct/>
              <w:jc w:val="center"/>
              <w:rPr>
                <w:bCs/>
                <w:color w:val="000000"/>
                <w:kern w:val="0"/>
                <w:sz w:val="22"/>
                <w:szCs w:val="21"/>
              </w:rPr>
            </w:pPr>
            <w:r>
              <w:rPr>
                <w:bCs/>
                <w:color w:val="000000"/>
                <w:kern w:val="0"/>
                <w:sz w:val="22"/>
                <w:szCs w:val="21"/>
              </w:rPr>
              <w:t>13.18</w:t>
            </w:r>
          </w:p>
        </w:tc>
        <w:tc>
          <w:tcPr>
            <w:tcW w:w="923" w:type="pct"/>
            <w:shd w:val="clear" w:color="auto" w:fill="auto"/>
            <w:vAlign w:val="center"/>
          </w:tcPr>
          <w:p w14:paraId="4096F736" w14:textId="77777777" w:rsidR="002133E3" w:rsidRDefault="00C22CFA">
            <w:pPr>
              <w:topLinePunct/>
              <w:jc w:val="center"/>
              <w:rPr>
                <w:bCs/>
                <w:color w:val="000000"/>
                <w:kern w:val="0"/>
                <w:sz w:val="22"/>
                <w:szCs w:val="21"/>
              </w:rPr>
            </w:pPr>
            <w:r>
              <w:rPr>
                <w:bCs/>
                <w:color w:val="000000"/>
                <w:kern w:val="0"/>
                <w:sz w:val="22"/>
                <w:szCs w:val="21"/>
              </w:rPr>
              <w:t>7.58</w:t>
            </w:r>
          </w:p>
        </w:tc>
        <w:tc>
          <w:tcPr>
            <w:tcW w:w="948" w:type="pct"/>
            <w:vAlign w:val="center"/>
          </w:tcPr>
          <w:p w14:paraId="7A96A389" w14:textId="77777777" w:rsidR="002133E3" w:rsidRDefault="00C22CFA">
            <w:pPr>
              <w:topLinePunct/>
              <w:jc w:val="center"/>
              <w:rPr>
                <w:bCs/>
                <w:color w:val="000000"/>
                <w:kern w:val="0"/>
                <w:sz w:val="20"/>
                <w:szCs w:val="21"/>
              </w:rPr>
            </w:pPr>
            <w:r>
              <w:rPr>
                <w:bCs/>
                <w:color w:val="000000"/>
                <w:kern w:val="0"/>
                <w:sz w:val="20"/>
                <w:szCs w:val="21"/>
              </w:rPr>
              <w:t>是</w:t>
            </w:r>
          </w:p>
        </w:tc>
      </w:tr>
      <w:tr w:rsidR="002133E3" w14:paraId="28DF6C87" w14:textId="77777777">
        <w:trPr>
          <w:trHeight w:val="397"/>
          <w:jc w:val="center"/>
        </w:trPr>
        <w:tc>
          <w:tcPr>
            <w:tcW w:w="630" w:type="pct"/>
            <w:vMerge/>
            <w:vAlign w:val="center"/>
          </w:tcPr>
          <w:p w14:paraId="05041CD4" w14:textId="77777777" w:rsidR="002133E3" w:rsidRDefault="002133E3">
            <w:pPr>
              <w:topLinePunct/>
              <w:jc w:val="center"/>
              <w:rPr>
                <w:bCs/>
                <w:color w:val="000000"/>
                <w:kern w:val="0"/>
                <w:sz w:val="20"/>
                <w:szCs w:val="21"/>
              </w:rPr>
            </w:pPr>
          </w:p>
        </w:tc>
        <w:tc>
          <w:tcPr>
            <w:tcW w:w="432" w:type="pct"/>
            <w:vAlign w:val="center"/>
          </w:tcPr>
          <w:p w14:paraId="09D299A2" w14:textId="77777777" w:rsidR="002133E3" w:rsidRDefault="00C22CFA">
            <w:pPr>
              <w:topLinePunct/>
              <w:jc w:val="center"/>
              <w:rPr>
                <w:color w:val="000000"/>
                <w:kern w:val="0"/>
                <w:sz w:val="22"/>
                <w:szCs w:val="21"/>
              </w:rPr>
            </w:pPr>
            <w:r>
              <w:rPr>
                <w:color w:val="000000"/>
                <w:kern w:val="0"/>
                <w:sz w:val="22"/>
                <w:szCs w:val="21"/>
              </w:rPr>
              <w:t>2</w:t>
            </w:r>
          </w:p>
        </w:tc>
        <w:tc>
          <w:tcPr>
            <w:tcW w:w="791" w:type="pct"/>
            <w:vAlign w:val="center"/>
          </w:tcPr>
          <w:p w14:paraId="6F5C87DA" w14:textId="77777777" w:rsidR="002133E3" w:rsidRDefault="00C22CFA">
            <w:pPr>
              <w:tabs>
                <w:tab w:val="left" w:pos="6045"/>
              </w:tabs>
              <w:topLinePunct/>
              <w:jc w:val="center"/>
              <w:rPr>
                <w:bCs/>
                <w:color w:val="000000"/>
                <w:kern w:val="0"/>
                <w:sz w:val="22"/>
                <w:szCs w:val="21"/>
              </w:rPr>
            </w:pPr>
            <w:r>
              <w:rPr>
                <w:bCs/>
                <w:color w:val="000000"/>
                <w:kern w:val="0"/>
                <w:sz w:val="22"/>
                <w:szCs w:val="21"/>
              </w:rPr>
              <w:t>丙酮</w:t>
            </w:r>
          </w:p>
        </w:tc>
        <w:tc>
          <w:tcPr>
            <w:tcW w:w="1276" w:type="pct"/>
            <w:vAlign w:val="center"/>
          </w:tcPr>
          <w:p w14:paraId="4BD4A016" w14:textId="77777777" w:rsidR="002133E3" w:rsidRDefault="00C22CFA">
            <w:pPr>
              <w:topLinePunct/>
              <w:jc w:val="center"/>
              <w:rPr>
                <w:bCs/>
                <w:color w:val="000000"/>
                <w:kern w:val="0"/>
                <w:sz w:val="22"/>
                <w:szCs w:val="21"/>
              </w:rPr>
            </w:pPr>
            <w:r>
              <w:rPr>
                <w:bCs/>
                <w:color w:val="000000"/>
                <w:kern w:val="0"/>
                <w:sz w:val="22"/>
                <w:szCs w:val="21"/>
              </w:rPr>
              <w:t>2.16</w:t>
            </w:r>
          </w:p>
        </w:tc>
        <w:tc>
          <w:tcPr>
            <w:tcW w:w="923" w:type="pct"/>
            <w:shd w:val="clear" w:color="auto" w:fill="auto"/>
            <w:vAlign w:val="center"/>
          </w:tcPr>
          <w:p w14:paraId="370E575E" w14:textId="77777777" w:rsidR="002133E3" w:rsidRDefault="00C22CFA">
            <w:pPr>
              <w:topLinePunct/>
              <w:jc w:val="center"/>
              <w:rPr>
                <w:bCs/>
                <w:color w:val="000000"/>
                <w:kern w:val="0"/>
                <w:sz w:val="22"/>
                <w:szCs w:val="21"/>
              </w:rPr>
            </w:pPr>
            <w:r>
              <w:rPr>
                <w:bCs/>
                <w:color w:val="000000"/>
                <w:kern w:val="0"/>
                <w:sz w:val="22"/>
                <w:szCs w:val="21"/>
              </w:rPr>
              <w:t>1.46×10-5</w:t>
            </w:r>
          </w:p>
        </w:tc>
        <w:tc>
          <w:tcPr>
            <w:tcW w:w="948" w:type="pct"/>
            <w:vAlign w:val="center"/>
          </w:tcPr>
          <w:p w14:paraId="3C3A6FCA" w14:textId="77777777" w:rsidR="002133E3" w:rsidRDefault="00C22CFA">
            <w:pPr>
              <w:topLinePunct/>
              <w:jc w:val="center"/>
              <w:rPr>
                <w:bCs/>
                <w:color w:val="000000"/>
                <w:kern w:val="0"/>
                <w:sz w:val="20"/>
                <w:szCs w:val="21"/>
              </w:rPr>
            </w:pPr>
            <w:r>
              <w:rPr>
                <w:bCs/>
                <w:color w:val="000000"/>
                <w:kern w:val="0"/>
                <w:sz w:val="20"/>
                <w:szCs w:val="21"/>
              </w:rPr>
              <w:t>是</w:t>
            </w:r>
          </w:p>
        </w:tc>
      </w:tr>
      <w:tr w:rsidR="002133E3" w14:paraId="1D5CCCEE" w14:textId="77777777">
        <w:trPr>
          <w:trHeight w:val="397"/>
          <w:jc w:val="center"/>
        </w:trPr>
        <w:tc>
          <w:tcPr>
            <w:tcW w:w="630" w:type="pct"/>
            <w:vMerge/>
            <w:vAlign w:val="center"/>
          </w:tcPr>
          <w:p w14:paraId="1E535036" w14:textId="77777777" w:rsidR="002133E3" w:rsidRDefault="002133E3">
            <w:pPr>
              <w:topLinePunct/>
              <w:jc w:val="center"/>
              <w:rPr>
                <w:bCs/>
                <w:color w:val="000000"/>
                <w:kern w:val="0"/>
                <w:sz w:val="20"/>
                <w:szCs w:val="21"/>
              </w:rPr>
            </w:pPr>
          </w:p>
        </w:tc>
        <w:tc>
          <w:tcPr>
            <w:tcW w:w="432" w:type="pct"/>
            <w:vAlign w:val="center"/>
          </w:tcPr>
          <w:p w14:paraId="7D38E0EF" w14:textId="77777777" w:rsidR="002133E3" w:rsidRDefault="00C22CFA">
            <w:pPr>
              <w:topLinePunct/>
              <w:jc w:val="center"/>
              <w:rPr>
                <w:color w:val="000000"/>
                <w:kern w:val="0"/>
                <w:sz w:val="22"/>
                <w:szCs w:val="21"/>
              </w:rPr>
            </w:pPr>
            <w:r>
              <w:rPr>
                <w:color w:val="000000"/>
                <w:kern w:val="0"/>
                <w:sz w:val="22"/>
                <w:szCs w:val="21"/>
              </w:rPr>
              <w:t>3</w:t>
            </w:r>
          </w:p>
        </w:tc>
        <w:tc>
          <w:tcPr>
            <w:tcW w:w="791" w:type="pct"/>
            <w:vAlign w:val="center"/>
          </w:tcPr>
          <w:p w14:paraId="0A1A2F4F" w14:textId="77777777" w:rsidR="002133E3" w:rsidRDefault="00C22CFA">
            <w:pPr>
              <w:tabs>
                <w:tab w:val="left" w:pos="6045"/>
              </w:tabs>
              <w:topLinePunct/>
              <w:jc w:val="center"/>
              <w:rPr>
                <w:bCs/>
                <w:color w:val="000000"/>
                <w:kern w:val="0"/>
                <w:sz w:val="22"/>
                <w:szCs w:val="21"/>
              </w:rPr>
            </w:pPr>
            <w:r>
              <w:rPr>
                <w:bCs/>
                <w:color w:val="000000"/>
                <w:kern w:val="0"/>
                <w:sz w:val="22"/>
                <w:szCs w:val="21"/>
              </w:rPr>
              <w:t>VOCs</w:t>
            </w:r>
          </w:p>
        </w:tc>
        <w:tc>
          <w:tcPr>
            <w:tcW w:w="1276" w:type="pct"/>
            <w:vAlign w:val="center"/>
          </w:tcPr>
          <w:p w14:paraId="29958E31" w14:textId="77777777" w:rsidR="002133E3" w:rsidRDefault="00C22CFA">
            <w:pPr>
              <w:topLinePunct/>
              <w:jc w:val="center"/>
              <w:rPr>
                <w:bCs/>
                <w:color w:val="000000"/>
                <w:kern w:val="0"/>
                <w:sz w:val="22"/>
                <w:szCs w:val="21"/>
              </w:rPr>
            </w:pPr>
            <w:r>
              <w:rPr>
                <w:bCs/>
                <w:color w:val="000000"/>
                <w:kern w:val="0"/>
                <w:sz w:val="22"/>
                <w:szCs w:val="21"/>
              </w:rPr>
              <w:t>13.75</w:t>
            </w:r>
          </w:p>
        </w:tc>
        <w:tc>
          <w:tcPr>
            <w:tcW w:w="923" w:type="pct"/>
            <w:shd w:val="clear" w:color="auto" w:fill="auto"/>
            <w:vAlign w:val="center"/>
          </w:tcPr>
          <w:p w14:paraId="697CB2E2" w14:textId="77777777" w:rsidR="002133E3" w:rsidRDefault="00C22CFA">
            <w:pPr>
              <w:topLinePunct/>
              <w:jc w:val="center"/>
              <w:rPr>
                <w:bCs/>
                <w:color w:val="000000"/>
                <w:kern w:val="0"/>
                <w:sz w:val="22"/>
                <w:szCs w:val="21"/>
              </w:rPr>
            </w:pPr>
            <w:r>
              <w:rPr>
                <w:bCs/>
                <w:color w:val="000000"/>
                <w:kern w:val="0"/>
                <w:sz w:val="22"/>
                <w:szCs w:val="21"/>
              </w:rPr>
              <w:t>0.0004</w:t>
            </w:r>
          </w:p>
        </w:tc>
        <w:tc>
          <w:tcPr>
            <w:tcW w:w="948" w:type="pct"/>
            <w:vAlign w:val="center"/>
          </w:tcPr>
          <w:p w14:paraId="6FE77412" w14:textId="77777777" w:rsidR="002133E3" w:rsidRDefault="00C22CFA">
            <w:pPr>
              <w:topLinePunct/>
              <w:jc w:val="center"/>
              <w:rPr>
                <w:bCs/>
                <w:color w:val="000000"/>
                <w:kern w:val="0"/>
                <w:sz w:val="20"/>
                <w:szCs w:val="21"/>
              </w:rPr>
            </w:pPr>
            <w:r>
              <w:rPr>
                <w:bCs/>
                <w:color w:val="000000"/>
                <w:kern w:val="0"/>
                <w:sz w:val="20"/>
                <w:szCs w:val="21"/>
              </w:rPr>
              <w:t>是</w:t>
            </w:r>
          </w:p>
        </w:tc>
      </w:tr>
      <w:tr w:rsidR="002133E3" w14:paraId="50194044" w14:textId="77777777">
        <w:trPr>
          <w:trHeight w:val="397"/>
          <w:jc w:val="center"/>
        </w:trPr>
        <w:tc>
          <w:tcPr>
            <w:tcW w:w="630" w:type="pct"/>
            <w:vMerge/>
            <w:vAlign w:val="center"/>
          </w:tcPr>
          <w:p w14:paraId="0C2E79A4" w14:textId="77777777" w:rsidR="002133E3" w:rsidRDefault="002133E3">
            <w:pPr>
              <w:topLinePunct/>
              <w:jc w:val="center"/>
              <w:rPr>
                <w:bCs/>
                <w:color w:val="000000"/>
                <w:kern w:val="0"/>
                <w:sz w:val="22"/>
                <w:szCs w:val="21"/>
                <w:lang w:eastAsia="en-US"/>
              </w:rPr>
            </w:pPr>
          </w:p>
        </w:tc>
        <w:tc>
          <w:tcPr>
            <w:tcW w:w="432" w:type="pct"/>
            <w:vAlign w:val="center"/>
          </w:tcPr>
          <w:p w14:paraId="6DFD3E60" w14:textId="77777777" w:rsidR="002133E3" w:rsidRDefault="00C22CFA">
            <w:pPr>
              <w:topLinePunct/>
              <w:jc w:val="center"/>
              <w:rPr>
                <w:bCs/>
                <w:color w:val="000000"/>
                <w:kern w:val="0"/>
                <w:sz w:val="22"/>
                <w:szCs w:val="21"/>
              </w:rPr>
            </w:pPr>
            <w:r>
              <w:rPr>
                <w:color w:val="000000"/>
                <w:kern w:val="0"/>
                <w:sz w:val="22"/>
                <w:szCs w:val="21"/>
              </w:rPr>
              <w:t>4</w:t>
            </w:r>
          </w:p>
        </w:tc>
        <w:tc>
          <w:tcPr>
            <w:tcW w:w="791" w:type="pct"/>
            <w:vAlign w:val="center"/>
          </w:tcPr>
          <w:p w14:paraId="274ED2C0" w14:textId="77777777" w:rsidR="002133E3" w:rsidRDefault="00C22CFA">
            <w:pPr>
              <w:tabs>
                <w:tab w:val="left" w:pos="6045"/>
              </w:tabs>
              <w:topLinePunct/>
              <w:jc w:val="center"/>
              <w:rPr>
                <w:bCs/>
                <w:color w:val="000000"/>
                <w:kern w:val="0"/>
                <w:sz w:val="22"/>
                <w:szCs w:val="21"/>
              </w:rPr>
            </w:pPr>
            <w:r>
              <w:rPr>
                <w:bCs/>
                <w:color w:val="000000"/>
                <w:kern w:val="0"/>
                <w:sz w:val="22"/>
                <w:szCs w:val="21"/>
              </w:rPr>
              <w:t>氨</w:t>
            </w:r>
          </w:p>
        </w:tc>
        <w:tc>
          <w:tcPr>
            <w:tcW w:w="1276" w:type="pct"/>
            <w:vAlign w:val="center"/>
          </w:tcPr>
          <w:p w14:paraId="15F7DC8E" w14:textId="77777777" w:rsidR="002133E3" w:rsidRDefault="00C22CFA">
            <w:pPr>
              <w:tabs>
                <w:tab w:val="left" w:pos="6045"/>
              </w:tabs>
              <w:topLinePunct/>
              <w:jc w:val="center"/>
              <w:rPr>
                <w:bCs/>
                <w:color w:val="000000"/>
                <w:kern w:val="0"/>
                <w:sz w:val="22"/>
                <w:szCs w:val="21"/>
              </w:rPr>
            </w:pPr>
            <w:r>
              <w:rPr>
                <w:bCs/>
                <w:color w:val="000000"/>
                <w:kern w:val="0"/>
                <w:sz w:val="22"/>
                <w:szCs w:val="21"/>
              </w:rPr>
              <w:t>0.04</w:t>
            </w:r>
          </w:p>
        </w:tc>
        <w:tc>
          <w:tcPr>
            <w:tcW w:w="923" w:type="pct"/>
            <w:vAlign w:val="center"/>
          </w:tcPr>
          <w:p w14:paraId="60D4EE07" w14:textId="77777777" w:rsidR="002133E3" w:rsidRDefault="00C22CFA">
            <w:pPr>
              <w:tabs>
                <w:tab w:val="left" w:pos="6045"/>
              </w:tabs>
              <w:topLinePunct/>
              <w:jc w:val="center"/>
              <w:rPr>
                <w:bCs/>
                <w:color w:val="000000"/>
                <w:kern w:val="0"/>
                <w:sz w:val="22"/>
                <w:szCs w:val="21"/>
              </w:rPr>
            </w:pPr>
            <w:r>
              <w:rPr>
                <w:bCs/>
                <w:color w:val="000000"/>
                <w:kern w:val="0"/>
                <w:sz w:val="22"/>
                <w:szCs w:val="21"/>
              </w:rPr>
              <w:t>0.027</w:t>
            </w:r>
          </w:p>
        </w:tc>
        <w:tc>
          <w:tcPr>
            <w:tcW w:w="948" w:type="pct"/>
            <w:vAlign w:val="center"/>
          </w:tcPr>
          <w:p w14:paraId="63BC7675" w14:textId="77777777" w:rsidR="002133E3" w:rsidRDefault="00C22CFA">
            <w:pPr>
              <w:topLinePunct/>
              <w:jc w:val="center"/>
              <w:rPr>
                <w:bCs/>
                <w:color w:val="000000"/>
                <w:kern w:val="0"/>
                <w:sz w:val="22"/>
                <w:szCs w:val="21"/>
                <w:lang w:eastAsia="en-US"/>
              </w:rPr>
            </w:pPr>
            <w:r>
              <w:rPr>
                <w:bCs/>
                <w:color w:val="000000"/>
                <w:kern w:val="0"/>
                <w:sz w:val="20"/>
                <w:szCs w:val="21"/>
              </w:rPr>
              <w:t>是</w:t>
            </w:r>
          </w:p>
        </w:tc>
      </w:tr>
      <w:tr w:rsidR="002133E3" w14:paraId="2FCDEFB4" w14:textId="77777777">
        <w:trPr>
          <w:trHeight w:val="397"/>
          <w:jc w:val="center"/>
        </w:trPr>
        <w:tc>
          <w:tcPr>
            <w:tcW w:w="630" w:type="pct"/>
            <w:vMerge/>
            <w:vAlign w:val="center"/>
          </w:tcPr>
          <w:p w14:paraId="73C361C4" w14:textId="77777777" w:rsidR="002133E3" w:rsidRDefault="002133E3">
            <w:pPr>
              <w:topLinePunct/>
              <w:jc w:val="center"/>
              <w:rPr>
                <w:bCs/>
                <w:color w:val="000000"/>
                <w:kern w:val="0"/>
                <w:sz w:val="22"/>
                <w:szCs w:val="21"/>
                <w:lang w:eastAsia="en-US"/>
              </w:rPr>
            </w:pPr>
          </w:p>
        </w:tc>
        <w:tc>
          <w:tcPr>
            <w:tcW w:w="432" w:type="pct"/>
            <w:vAlign w:val="center"/>
          </w:tcPr>
          <w:p w14:paraId="298AA014" w14:textId="77777777" w:rsidR="002133E3" w:rsidRDefault="00C22CFA">
            <w:pPr>
              <w:topLinePunct/>
              <w:jc w:val="center"/>
              <w:rPr>
                <w:bCs/>
                <w:color w:val="000000"/>
                <w:kern w:val="0"/>
                <w:sz w:val="22"/>
                <w:szCs w:val="21"/>
              </w:rPr>
            </w:pPr>
            <w:r>
              <w:rPr>
                <w:color w:val="000000"/>
                <w:kern w:val="0"/>
                <w:sz w:val="22"/>
                <w:szCs w:val="21"/>
              </w:rPr>
              <w:t>5</w:t>
            </w:r>
          </w:p>
        </w:tc>
        <w:tc>
          <w:tcPr>
            <w:tcW w:w="791" w:type="pct"/>
            <w:vAlign w:val="center"/>
          </w:tcPr>
          <w:p w14:paraId="462BED1E" w14:textId="77777777" w:rsidR="002133E3" w:rsidRDefault="00C22CFA">
            <w:pPr>
              <w:tabs>
                <w:tab w:val="left" w:pos="6045"/>
              </w:tabs>
              <w:topLinePunct/>
              <w:jc w:val="center"/>
              <w:rPr>
                <w:bCs/>
                <w:color w:val="000000"/>
                <w:kern w:val="0"/>
                <w:sz w:val="22"/>
                <w:szCs w:val="21"/>
              </w:rPr>
            </w:pPr>
            <w:r>
              <w:rPr>
                <w:bCs/>
                <w:color w:val="000000"/>
                <w:kern w:val="0"/>
                <w:sz w:val="22"/>
                <w:szCs w:val="21"/>
              </w:rPr>
              <w:t>硫化氢</w:t>
            </w:r>
          </w:p>
        </w:tc>
        <w:tc>
          <w:tcPr>
            <w:tcW w:w="1276" w:type="pct"/>
            <w:vAlign w:val="center"/>
          </w:tcPr>
          <w:p w14:paraId="1E34672D" w14:textId="77777777" w:rsidR="002133E3" w:rsidRDefault="00C22CFA">
            <w:pPr>
              <w:tabs>
                <w:tab w:val="left" w:pos="6045"/>
              </w:tabs>
              <w:topLinePunct/>
              <w:jc w:val="center"/>
              <w:rPr>
                <w:bCs/>
                <w:color w:val="000000"/>
                <w:kern w:val="0"/>
                <w:sz w:val="22"/>
                <w:szCs w:val="21"/>
              </w:rPr>
            </w:pPr>
            <w:r>
              <w:rPr>
                <w:bCs/>
                <w:color w:val="000000"/>
                <w:kern w:val="0"/>
                <w:sz w:val="22"/>
                <w:szCs w:val="21"/>
              </w:rPr>
              <w:t>0.03</w:t>
            </w:r>
          </w:p>
        </w:tc>
        <w:tc>
          <w:tcPr>
            <w:tcW w:w="923" w:type="pct"/>
            <w:vAlign w:val="center"/>
          </w:tcPr>
          <w:p w14:paraId="5B66E391" w14:textId="77777777" w:rsidR="002133E3" w:rsidRDefault="00C22CFA">
            <w:pPr>
              <w:tabs>
                <w:tab w:val="left" w:pos="6045"/>
              </w:tabs>
              <w:topLinePunct/>
              <w:jc w:val="center"/>
              <w:rPr>
                <w:bCs/>
                <w:color w:val="000000"/>
                <w:kern w:val="0"/>
                <w:sz w:val="22"/>
                <w:szCs w:val="21"/>
              </w:rPr>
            </w:pPr>
            <w:r>
              <w:rPr>
                <w:bCs/>
                <w:color w:val="000000"/>
                <w:kern w:val="0"/>
                <w:sz w:val="22"/>
                <w:szCs w:val="21"/>
              </w:rPr>
              <w:t>0.0004</w:t>
            </w:r>
          </w:p>
        </w:tc>
        <w:tc>
          <w:tcPr>
            <w:tcW w:w="948" w:type="pct"/>
            <w:vAlign w:val="center"/>
          </w:tcPr>
          <w:p w14:paraId="153510B0" w14:textId="77777777" w:rsidR="002133E3" w:rsidRDefault="00C22CFA">
            <w:pPr>
              <w:topLinePunct/>
              <w:jc w:val="center"/>
              <w:rPr>
                <w:bCs/>
                <w:color w:val="000000"/>
                <w:kern w:val="0"/>
                <w:sz w:val="22"/>
                <w:szCs w:val="21"/>
                <w:lang w:eastAsia="en-US"/>
              </w:rPr>
            </w:pPr>
            <w:r>
              <w:rPr>
                <w:bCs/>
                <w:color w:val="000000"/>
                <w:kern w:val="0"/>
                <w:sz w:val="20"/>
                <w:szCs w:val="21"/>
              </w:rPr>
              <w:t>是</w:t>
            </w:r>
          </w:p>
        </w:tc>
      </w:tr>
    </w:tbl>
    <w:p w14:paraId="0A7195F9" w14:textId="77777777" w:rsidR="002133E3" w:rsidRDefault="00C22CFA">
      <w:pPr>
        <w:topLinePunct/>
        <w:adjustRightInd w:val="0"/>
        <w:spacing w:line="500" w:lineRule="atLeast"/>
        <w:ind w:firstLine="488"/>
        <w:rPr>
          <w:rFonts w:ascii="Times New Roman" w:eastAsia="宋体" w:hAnsi="Times New Roman" w:cs="Times New Roman"/>
          <w:color w:val="000000"/>
          <w:kern w:val="0"/>
          <w:sz w:val="28"/>
          <w:szCs w:val="28"/>
        </w:rPr>
      </w:pPr>
      <w:r>
        <w:rPr>
          <w:rFonts w:ascii="Times New Roman" w:eastAsia="宋体" w:hAnsi="Times New Roman" w:cs="Times New Roman"/>
          <w:color w:val="000000"/>
          <w:kern w:val="0"/>
          <w:sz w:val="28"/>
          <w:szCs w:val="28"/>
        </w:rPr>
        <w:t>根据上述计算，项目年排放污染物总量满足指标控制要求。</w:t>
      </w:r>
    </w:p>
    <w:p w14:paraId="4293332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水污染物</w:t>
      </w:r>
    </w:p>
    <w:p w14:paraId="241EDDED" w14:textId="77777777" w:rsidR="002133E3" w:rsidRDefault="00C22CFA">
      <w:pPr>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本项目水污染物接管标准考核量为：水量</w:t>
      </w:r>
      <w:r>
        <w:rPr>
          <w:rFonts w:ascii="Times New Roman" w:eastAsia="宋体" w:hAnsi="Times New Roman" w:cs="Times New Roman"/>
          <w:sz w:val="28"/>
          <w:szCs w:val="24"/>
        </w:rPr>
        <w:t xml:space="preserve"> 1051918. 65m</w:t>
      </w:r>
      <w:r>
        <w:rPr>
          <w:rFonts w:ascii="Times New Roman" w:eastAsia="宋体" w:hAnsi="Times New Roman" w:cs="Times New Roman"/>
          <w:sz w:val="28"/>
          <w:szCs w:val="24"/>
          <w:vertAlign w:val="superscript"/>
        </w:rPr>
        <w:t>3</w:t>
      </w:r>
      <w:r>
        <w:rPr>
          <w:rFonts w:ascii="Times New Roman" w:eastAsia="宋体" w:hAnsi="Times New Roman" w:cs="Times New Roman"/>
          <w:sz w:val="28"/>
          <w:szCs w:val="24"/>
        </w:rPr>
        <w:t>/a</w:t>
      </w:r>
      <w:r>
        <w:rPr>
          <w:rFonts w:ascii="Times New Roman" w:eastAsia="宋体" w:hAnsi="Times New Roman" w:cs="Times New Roman"/>
          <w:sz w:val="28"/>
          <w:szCs w:val="24"/>
        </w:rPr>
        <w:t>；</w:t>
      </w:r>
      <w:r>
        <w:rPr>
          <w:rFonts w:ascii="Times New Roman" w:eastAsia="宋体" w:hAnsi="Times New Roman" w:cs="Times New Roman"/>
          <w:sz w:val="28"/>
          <w:szCs w:val="24"/>
        </w:rPr>
        <w:t>COD240. 04t/a</w:t>
      </w:r>
      <w:r>
        <w:rPr>
          <w:rFonts w:ascii="Times New Roman" w:eastAsia="宋体" w:hAnsi="Times New Roman" w:cs="Times New Roman"/>
          <w:sz w:val="28"/>
          <w:szCs w:val="24"/>
        </w:rPr>
        <w:t>；</w:t>
      </w:r>
      <w:r>
        <w:rPr>
          <w:rFonts w:ascii="Times New Roman" w:eastAsia="宋体" w:hAnsi="Times New Roman" w:cs="Times New Roman"/>
          <w:sz w:val="28"/>
          <w:szCs w:val="24"/>
        </w:rPr>
        <w:t xml:space="preserve"> SS 63.22t/a</w:t>
      </w:r>
      <w:r>
        <w:rPr>
          <w:rFonts w:ascii="Times New Roman" w:eastAsia="宋体" w:hAnsi="Times New Roman" w:cs="Times New Roman"/>
          <w:sz w:val="28"/>
          <w:szCs w:val="24"/>
        </w:rPr>
        <w:t>；氨氮</w:t>
      </w:r>
      <w:r>
        <w:rPr>
          <w:rFonts w:ascii="Times New Roman" w:eastAsia="宋体" w:hAnsi="Times New Roman" w:cs="Times New Roman"/>
          <w:sz w:val="28"/>
          <w:szCs w:val="24"/>
        </w:rPr>
        <w:t xml:space="preserve"> 6.31t/a</w:t>
      </w:r>
      <w:r>
        <w:rPr>
          <w:rFonts w:ascii="Times New Roman" w:eastAsia="宋体" w:hAnsi="Times New Roman" w:cs="Times New Roman"/>
          <w:sz w:val="28"/>
          <w:szCs w:val="24"/>
        </w:rPr>
        <w:t>。全厂：水量</w:t>
      </w:r>
      <w:r>
        <w:rPr>
          <w:rFonts w:ascii="Times New Roman" w:eastAsia="宋体" w:hAnsi="Times New Roman" w:cs="Times New Roman"/>
          <w:sz w:val="28"/>
          <w:szCs w:val="24"/>
        </w:rPr>
        <w:t xml:space="preserve"> 3362720. 75m3/a</w:t>
      </w:r>
      <w:r>
        <w:rPr>
          <w:rFonts w:ascii="Times New Roman" w:eastAsia="宋体" w:hAnsi="Times New Roman" w:cs="Times New Roman"/>
          <w:sz w:val="28"/>
          <w:szCs w:val="24"/>
        </w:rPr>
        <w:t>，</w:t>
      </w:r>
      <w:r>
        <w:rPr>
          <w:rFonts w:ascii="Times New Roman" w:eastAsia="宋体" w:hAnsi="Times New Roman" w:cs="Times New Roman"/>
          <w:sz w:val="28"/>
          <w:szCs w:val="24"/>
        </w:rPr>
        <w:t>COD896.74t/a</w:t>
      </w:r>
      <w:r>
        <w:rPr>
          <w:rFonts w:ascii="Times New Roman" w:eastAsia="宋体" w:hAnsi="Times New Roman" w:cs="Times New Roman"/>
          <w:sz w:val="28"/>
          <w:szCs w:val="24"/>
        </w:rPr>
        <w:t>，</w:t>
      </w:r>
      <w:r>
        <w:rPr>
          <w:rFonts w:ascii="Times New Roman" w:eastAsia="宋体" w:hAnsi="Times New Roman" w:cs="Times New Roman"/>
          <w:sz w:val="28"/>
          <w:szCs w:val="24"/>
        </w:rPr>
        <w:t>SS360. 62t/a</w:t>
      </w:r>
      <w:r>
        <w:rPr>
          <w:rFonts w:ascii="Times New Roman" w:eastAsia="宋体" w:hAnsi="Times New Roman" w:cs="Times New Roman"/>
          <w:sz w:val="28"/>
          <w:szCs w:val="24"/>
        </w:rPr>
        <w:t>，</w:t>
      </w:r>
      <w:r>
        <w:rPr>
          <w:rFonts w:ascii="Times New Roman" w:eastAsia="宋体" w:hAnsi="Times New Roman" w:cs="Times New Roman"/>
          <w:sz w:val="28"/>
          <w:szCs w:val="24"/>
        </w:rPr>
        <w:t xml:space="preserve"> </w:t>
      </w:r>
      <w:r>
        <w:rPr>
          <w:rFonts w:ascii="Times New Roman" w:eastAsia="宋体" w:hAnsi="Times New Roman" w:cs="Times New Roman"/>
          <w:sz w:val="28"/>
          <w:szCs w:val="24"/>
        </w:rPr>
        <w:t>氨氮</w:t>
      </w:r>
      <w:r>
        <w:rPr>
          <w:rFonts w:ascii="Times New Roman" w:eastAsia="宋体" w:hAnsi="Times New Roman" w:cs="Times New Roman"/>
          <w:sz w:val="28"/>
          <w:szCs w:val="24"/>
        </w:rPr>
        <w:t xml:space="preserve"> 40.41t/a</w:t>
      </w:r>
      <w:r>
        <w:rPr>
          <w:rFonts w:ascii="Times New Roman" w:eastAsia="宋体" w:hAnsi="Times New Roman" w:cs="Times New Roman"/>
          <w:sz w:val="28"/>
          <w:szCs w:val="24"/>
        </w:rPr>
        <w:t>，总磷</w:t>
      </w:r>
      <w:r>
        <w:rPr>
          <w:rFonts w:ascii="Times New Roman" w:eastAsia="宋体" w:hAnsi="Times New Roman" w:cs="Times New Roman"/>
          <w:sz w:val="28"/>
          <w:szCs w:val="24"/>
        </w:rPr>
        <w:t xml:space="preserve"> 5.22 t/a</w:t>
      </w:r>
      <w:r>
        <w:rPr>
          <w:rFonts w:ascii="Times New Roman" w:eastAsia="宋体" w:hAnsi="Times New Roman" w:cs="Times New Roman"/>
          <w:sz w:val="28"/>
          <w:szCs w:val="24"/>
        </w:rPr>
        <w:t>，项目污水通过污水站接管口排入通海污水处理厂，</w:t>
      </w:r>
      <w:r>
        <w:rPr>
          <w:rFonts w:ascii="Times New Roman" w:eastAsia="宋体" w:hAnsi="Times New Roman" w:cs="Times New Roman"/>
          <w:sz w:val="28"/>
          <w:szCs w:val="24"/>
        </w:rPr>
        <w:t xml:space="preserve"> </w:t>
      </w:r>
      <w:r>
        <w:rPr>
          <w:rFonts w:ascii="Times New Roman" w:eastAsia="宋体" w:hAnsi="Times New Roman" w:cs="Times New Roman"/>
          <w:sz w:val="28"/>
          <w:szCs w:val="24"/>
        </w:rPr>
        <w:t>接管总量核算见表</w:t>
      </w:r>
      <w:r>
        <w:rPr>
          <w:rFonts w:ascii="Times New Roman" w:eastAsia="宋体" w:hAnsi="Times New Roman" w:cs="Times New Roman"/>
          <w:sz w:val="28"/>
          <w:szCs w:val="24"/>
        </w:rPr>
        <w:t xml:space="preserve"> 9.2-17</w:t>
      </w:r>
      <w:r>
        <w:rPr>
          <w:rFonts w:ascii="Times New Roman" w:eastAsia="宋体" w:hAnsi="Times New Roman" w:cs="Times New Roman"/>
          <w:sz w:val="28"/>
          <w:szCs w:val="24"/>
        </w:rPr>
        <w:t>。</w:t>
      </w:r>
    </w:p>
    <w:p w14:paraId="4F3496C0" w14:textId="77777777" w:rsidR="002133E3" w:rsidRDefault="00C22CFA">
      <w:pPr>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根据江苏京诚检测技术有限公司对本项目出具的监测数据，计算项目实际废水污染物排放总量如下：</w:t>
      </w:r>
    </w:p>
    <w:p w14:paraId="2F8832CC" w14:textId="77777777" w:rsidR="002133E3" w:rsidRDefault="00C22CFA">
      <w:pPr>
        <w:snapToGrid w:val="0"/>
        <w:spacing w:line="50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3.2-24  </w:t>
      </w:r>
      <w:r>
        <w:rPr>
          <w:rFonts w:ascii="Times New Roman" w:eastAsia="宋体" w:hAnsi="Times New Roman" w:cs="Times New Roman"/>
          <w:b/>
          <w:bCs/>
          <w:szCs w:val="21"/>
        </w:rPr>
        <w:t>废水污染物总量控制计算对照</w:t>
      </w:r>
    </w:p>
    <w:tbl>
      <w:tblPr>
        <w:tblStyle w:val="3f0"/>
        <w:tblW w:w="5000" w:type="pct"/>
        <w:jc w:val="center"/>
        <w:tblLook w:val="04A0" w:firstRow="1" w:lastRow="0" w:firstColumn="1" w:lastColumn="0" w:noHBand="0" w:noVBand="1"/>
      </w:tblPr>
      <w:tblGrid>
        <w:gridCol w:w="1309"/>
        <w:gridCol w:w="1173"/>
        <w:gridCol w:w="1586"/>
        <w:gridCol w:w="2048"/>
        <w:gridCol w:w="1858"/>
        <w:gridCol w:w="1880"/>
      </w:tblGrid>
      <w:tr w:rsidR="002133E3" w14:paraId="36105D08" w14:textId="77777777">
        <w:trPr>
          <w:trHeight w:val="397"/>
          <w:jc w:val="center"/>
        </w:trPr>
        <w:tc>
          <w:tcPr>
            <w:tcW w:w="664" w:type="pct"/>
            <w:vAlign w:val="center"/>
          </w:tcPr>
          <w:p w14:paraId="171176EE" w14:textId="77777777" w:rsidR="002133E3" w:rsidRDefault="00C22CFA">
            <w:pPr>
              <w:topLinePunct/>
              <w:jc w:val="center"/>
              <w:rPr>
                <w:bCs/>
                <w:color w:val="000000"/>
                <w:kern w:val="0"/>
                <w:sz w:val="22"/>
                <w:szCs w:val="21"/>
              </w:rPr>
            </w:pPr>
            <w:r>
              <w:rPr>
                <w:bCs/>
                <w:color w:val="000000"/>
                <w:kern w:val="0"/>
                <w:sz w:val="22"/>
                <w:szCs w:val="21"/>
              </w:rPr>
              <w:t>类别</w:t>
            </w:r>
          </w:p>
        </w:tc>
        <w:tc>
          <w:tcPr>
            <w:tcW w:w="595" w:type="pct"/>
            <w:vAlign w:val="center"/>
          </w:tcPr>
          <w:p w14:paraId="140C527E" w14:textId="77777777" w:rsidR="002133E3" w:rsidRDefault="00C22CFA">
            <w:pPr>
              <w:topLinePunct/>
              <w:jc w:val="center"/>
              <w:rPr>
                <w:bCs/>
                <w:color w:val="000000"/>
                <w:kern w:val="0"/>
                <w:sz w:val="22"/>
                <w:szCs w:val="21"/>
              </w:rPr>
            </w:pPr>
            <w:r>
              <w:rPr>
                <w:bCs/>
                <w:color w:val="000000"/>
                <w:kern w:val="0"/>
                <w:sz w:val="22"/>
                <w:szCs w:val="21"/>
              </w:rPr>
              <w:t>序号</w:t>
            </w:r>
          </w:p>
        </w:tc>
        <w:tc>
          <w:tcPr>
            <w:tcW w:w="805" w:type="pct"/>
            <w:vAlign w:val="center"/>
          </w:tcPr>
          <w:p w14:paraId="37C570EF" w14:textId="77777777" w:rsidR="002133E3" w:rsidRDefault="00C22CFA">
            <w:pPr>
              <w:topLinePunct/>
              <w:jc w:val="center"/>
              <w:rPr>
                <w:color w:val="000000"/>
                <w:kern w:val="0"/>
                <w:sz w:val="22"/>
                <w:szCs w:val="20"/>
              </w:rPr>
            </w:pPr>
            <w:r>
              <w:rPr>
                <w:color w:val="000000"/>
                <w:kern w:val="0"/>
                <w:sz w:val="22"/>
                <w:szCs w:val="20"/>
              </w:rPr>
              <w:t>污染因子</w:t>
            </w:r>
          </w:p>
        </w:tc>
        <w:tc>
          <w:tcPr>
            <w:tcW w:w="1039" w:type="pct"/>
            <w:vAlign w:val="center"/>
          </w:tcPr>
          <w:p w14:paraId="2C8A4D67" w14:textId="77777777" w:rsidR="002133E3" w:rsidRDefault="00C22CFA">
            <w:pPr>
              <w:topLinePunct/>
              <w:jc w:val="center"/>
              <w:rPr>
                <w:color w:val="000000"/>
                <w:kern w:val="0"/>
                <w:sz w:val="22"/>
                <w:szCs w:val="20"/>
              </w:rPr>
            </w:pPr>
            <w:r>
              <w:rPr>
                <w:bCs/>
                <w:color w:val="000000"/>
                <w:kern w:val="0"/>
                <w:sz w:val="22"/>
                <w:szCs w:val="21"/>
              </w:rPr>
              <w:t>环评批复总量</w:t>
            </w:r>
            <w:r>
              <w:rPr>
                <w:bCs/>
                <w:color w:val="000000"/>
                <w:kern w:val="0"/>
                <w:sz w:val="22"/>
                <w:szCs w:val="21"/>
              </w:rPr>
              <w:t>t/a</w:t>
            </w:r>
          </w:p>
        </w:tc>
        <w:tc>
          <w:tcPr>
            <w:tcW w:w="943" w:type="pct"/>
            <w:vAlign w:val="center"/>
          </w:tcPr>
          <w:p w14:paraId="50C83452" w14:textId="77777777" w:rsidR="002133E3" w:rsidRDefault="00C22CFA">
            <w:pPr>
              <w:topLinePunct/>
              <w:jc w:val="center"/>
              <w:rPr>
                <w:bCs/>
                <w:color w:val="000000"/>
                <w:kern w:val="0"/>
                <w:sz w:val="22"/>
                <w:szCs w:val="21"/>
              </w:rPr>
            </w:pPr>
            <w:r>
              <w:rPr>
                <w:bCs/>
                <w:color w:val="000000"/>
                <w:kern w:val="0"/>
                <w:sz w:val="22"/>
                <w:szCs w:val="21"/>
              </w:rPr>
              <w:t>实际排放总量</w:t>
            </w:r>
            <w:r>
              <w:rPr>
                <w:bCs/>
                <w:color w:val="000000"/>
                <w:kern w:val="0"/>
                <w:sz w:val="22"/>
                <w:szCs w:val="21"/>
              </w:rPr>
              <w:t>t/a</w:t>
            </w:r>
          </w:p>
        </w:tc>
        <w:tc>
          <w:tcPr>
            <w:tcW w:w="954" w:type="pct"/>
            <w:vAlign w:val="center"/>
          </w:tcPr>
          <w:p w14:paraId="2B8C07B4" w14:textId="77777777" w:rsidR="002133E3" w:rsidRDefault="00C22CFA">
            <w:pPr>
              <w:topLinePunct/>
              <w:jc w:val="center"/>
              <w:rPr>
                <w:bCs/>
                <w:color w:val="000000"/>
                <w:kern w:val="0"/>
                <w:sz w:val="22"/>
                <w:szCs w:val="21"/>
              </w:rPr>
            </w:pPr>
            <w:r>
              <w:rPr>
                <w:bCs/>
                <w:color w:val="000000"/>
                <w:kern w:val="0"/>
                <w:sz w:val="22"/>
                <w:szCs w:val="21"/>
              </w:rPr>
              <w:t>是否满足要求</w:t>
            </w:r>
          </w:p>
        </w:tc>
      </w:tr>
      <w:tr w:rsidR="002133E3" w14:paraId="35E14E8D" w14:textId="77777777">
        <w:trPr>
          <w:trHeight w:val="397"/>
          <w:jc w:val="center"/>
        </w:trPr>
        <w:tc>
          <w:tcPr>
            <w:tcW w:w="664" w:type="pct"/>
            <w:vMerge w:val="restart"/>
            <w:vAlign w:val="center"/>
          </w:tcPr>
          <w:p w14:paraId="2CCDD12D" w14:textId="77777777" w:rsidR="002133E3" w:rsidRDefault="00C22CFA">
            <w:pPr>
              <w:topLinePunct/>
              <w:jc w:val="center"/>
              <w:rPr>
                <w:bCs/>
                <w:color w:val="000000"/>
                <w:kern w:val="0"/>
                <w:sz w:val="20"/>
                <w:szCs w:val="21"/>
              </w:rPr>
            </w:pPr>
            <w:r>
              <w:rPr>
                <w:bCs/>
                <w:color w:val="000000"/>
                <w:kern w:val="0"/>
                <w:sz w:val="20"/>
                <w:szCs w:val="21"/>
              </w:rPr>
              <w:t>废水污染物</w:t>
            </w:r>
          </w:p>
        </w:tc>
        <w:tc>
          <w:tcPr>
            <w:tcW w:w="595" w:type="pct"/>
            <w:vAlign w:val="center"/>
          </w:tcPr>
          <w:p w14:paraId="6EDE79F2" w14:textId="77777777" w:rsidR="002133E3" w:rsidRDefault="00C22CFA">
            <w:pPr>
              <w:topLinePunct/>
              <w:jc w:val="center"/>
              <w:rPr>
                <w:bCs/>
                <w:color w:val="000000"/>
                <w:kern w:val="0"/>
                <w:sz w:val="20"/>
                <w:szCs w:val="21"/>
              </w:rPr>
            </w:pPr>
            <w:r>
              <w:rPr>
                <w:color w:val="000000"/>
                <w:kern w:val="0"/>
                <w:sz w:val="22"/>
                <w:szCs w:val="21"/>
                <w:lang w:eastAsia="en-US"/>
              </w:rPr>
              <w:t>1</w:t>
            </w:r>
          </w:p>
        </w:tc>
        <w:tc>
          <w:tcPr>
            <w:tcW w:w="805" w:type="pct"/>
            <w:vAlign w:val="center"/>
          </w:tcPr>
          <w:p w14:paraId="67F92782" w14:textId="77777777" w:rsidR="002133E3" w:rsidRDefault="00C22CFA">
            <w:pPr>
              <w:topLinePunct/>
              <w:jc w:val="center"/>
              <w:rPr>
                <w:color w:val="000000"/>
                <w:kern w:val="0"/>
                <w:sz w:val="20"/>
                <w:szCs w:val="24"/>
              </w:rPr>
            </w:pPr>
            <w:r>
              <w:rPr>
                <w:color w:val="000000"/>
                <w:kern w:val="0"/>
                <w:sz w:val="22"/>
                <w:szCs w:val="20"/>
              </w:rPr>
              <w:t>水量</w:t>
            </w:r>
          </w:p>
        </w:tc>
        <w:tc>
          <w:tcPr>
            <w:tcW w:w="1039" w:type="pct"/>
            <w:vAlign w:val="center"/>
          </w:tcPr>
          <w:p w14:paraId="5C6D83F6" w14:textId="77777777" w:rsidR="002133E3" w:rsidRDefault="00C22CFA">
            <w:pPr>
              <w:topLinePunct/>
              <w:jc w:val="center"/>
              <w:rPr>
                <w:color w:val="000000"/>
                <w:kern w:val="0"/>
                <w:sz w:val="20"/>
                <w:szCs w:val="24"/>
              </w:rPr>
            </w:pPr>
            <w:r>
              <w:rPr>
                <w:spacing w:val="-14"/>
                <w:kern w:val="0"/>
                <w:sz w:val="22"/>
                <w:szCs w:val="20"/>
                <w:lang w:eastAsia="en-US"/>
              </w:rPr>
              <w:t>1051918. 65</w:t>
            </w:r>
          </w:p>
        </w:tc>
        <w:tc>
          <w:tcPr>
            <w:tcW w:w="943" w:type="pct"/>
            <w:shd w:val="clear" w:color="auto" w:fill="auto"/>
            <w:vAlign w:val="center"/>
          </w:tcPr>
          <w:p w14:paraId="706C571F" w14:textId="77777777" w:rsidR="002133E3" w:rsidRDefault="00C22CFA">
            <w:pPr>
              <w:tabs>
                <w:tab w:val="left" w:pos="6045"/>
              </w:tabs>
              <w:topLinePunct/>
              <w:jc w:val="center"/>
              <w:rPr>
                <w:bCs/>
                <w:color w:val="000000"/>
                <w:kern w:val="0"/>
                <w:sz w:val="20"/>
                <w:szCs w:val="21"/>
              </w:rPr>
            </w:pPr>
            <w:r>
              <w:rPr>
                <w:bCs/>
                <w:color w:val="000000"/>
                <w:kern w:val="0"/>
                <w:sz w:val="20"/>
                <w:szCs w:val="21"/>
              </w:rPr>
              <w:t>946726.2</w:t>
            </w:r>
          </w:p>
        </w:tc>
        <w:tc>
          <w:tcPr>
            <w:tcW w:w="954" w:type="pct"/>
            <w:vAlign w:val="center"/>
          </w:tcPr>
          <w:p w14:paraId="0757298A" w14:textId="77777777" w:rsidR="002133E3" w:rsidRDefault="00C22CFA">
            <w:pPr>
              <w:topLinePunct/>
              <w:jc w:val="center"/>
              <w:rPr>
                <w:bCs/>
                <w:color w:val="000000"/>
                <w:kern w:val="0"/>
                <w:sz w:val="20"/>
                <w:szCs w:val="21"/>
              </w:rPr>
            </w:pPr>
            <w:r>
              <w:rPr>
                <w:bCs/>
                <w:color w:val="000000"/>
                <w:kern w:val="0"/>
                <w:sz w:val="20"/>
                <w:szCs w:val="21"/>
              </w:rPr>
              <w:t>是</w:t>
            </w:r>
          </w:p>
        </w:tc>
      </w:tr>
      <w:tr w:rsidR="002133E3" w14:paraId="28B2B60E" w14:textId="77777777">
        <w:trPr>
          <w:trHeight w:val="397"/>
          <w:jc w:val="center"/>
        </w:trPr>
        <w:tc>
          <w:tcPr>
            <w:tcW w:w="664" w:type="pct"/>
            <w:vMerge/>
            <w:vAlign w:val="center"/>
          </w:tcPr>
          <w:p w14:paraId="1F8F52A3" w14:textId="77777777" w:rsidR="002133E3" w:rsidRDefault="002133E3">
            <w:pPr>
              <w:topLinePunct/>
              <w:jc w:val="center"/>
              <w:rPr>
                <w:bCs/>
                <w:color w:val="000000"/>
                <w:kern w:val="0"/>
                <w:sz w:val="22"/>
                <w:szCs w:val="21"/>
                <w:lang w:eastAsia="en-US"/>
              </w:rPr>
            </w:pPr>
          </w:p>
        </w:tc>
        <w:tc>
          <w:tcPr>
            <w:tcW w:w="595" w:type="pct"/>
            <w:vAlign w:val="center"/>
          </w:tcPr>
          <w:p w14:paraId="586201C4" w14:textId="77777777" w:rsidR="002133E3" w:rsidRDefault="00C22CFA">
            <w:pPr>
              <w:topLinePunct/>
              <w:jc w:val="center"/>
              <w:rPr>
                <w:bCs/>
                <w:color w:val="000000"/>
                <w:kern w:val="0"/>
                <w:sz w:val="22"/>
                <w:szCs w:val="21"/>
                <w:lang w:eastAsia="en-US"/>
              </w:rPr>
            </w:pPr>
            <w:r>
              <w:rPr>
                <w:color w:val="000000"/>
                <w:kern w:val="0"/>
                <w:sz w:val="22"/>
                <w:szCs w:val="21"/>
                <w:lang w:eastAsia="en-US"/>
              </w:rPr>
              <w:t>2</w:t>
            </w:r>
          </w:p>
        </w:tc>
        <w:tc>
          <w:tcPr>
            <w:tcW w:w="805" w:type="pct"/>
            <w:vAlign w:val="center"/>
          </w:tcPr>
          <w:p w14:paraId="42EAB224" w14:textId="77777777" w:rsidR="002133E3" w:rsidRDefault="00C22CFA">
            <w:pPr>
              <w:tabs>
                <w:tab w:val="left" w:pos="2385"/>
                <w:tab w:val="center" w:pos="4819"/>
              </w:tabs>
              <w:adjustRightInd w:val="0"/>
              <w:snapToGrid w:val="0"/>
              <w:jc w:val="center"/>
              <w:rPr>
                <w:bCs/>
                <w:color w:val="000000"/>
                <w:kern w:val="0"/>
                <w:sz w:val="22"/>
                <w:szCs w:val="21"/>
              </w:rPr>
            </w:pPr>
            <w:r>
              <w:rPr>
                <w:color w:val="000000"/>
                <w:kern w:val="0"/>
                <w:sz w:val="20"/>
                <w:szCs w:val="21"/>
              </w:rPr>
              <w:t>COD</w:t>
            </w:r>
          </w:p>
        </w:tc>
        <w:tc>
          <w:tcPr>
            <w:tcW w:w="1039" w:type="pct"/>
            <w:vAlign w:val="center"/>
          </w:tcPr>
          <w:p w14:paraId="40C0E52C" w14:textId="77777777" w:rsidR="002133E3" w:rsidRDefault="00C22CFA">
            <w:pPr>
              <w:tabs>
                <w:tab w:val="left" w:pos="6045"/>
              </w:tabs>
              <w:topLinePunct/>
              <w:jc w:val="center"/>
              <w:rPr>
                <w:bCs/>
                <w:color w:val="000000"/>
                <w:kern w:val="0"/>
                <w:sz w:val="22"/>
                <w:szCs w:val="21"/>
              </w:rPr>
            </w:pPr>
            <w:r>
              <w:rPr>
                <w:bCs/>
                <w:color w:val="000000"/>
                <w:kern w:val="0"/>
                <w:sz w:val="22"/>
                <w:szCs w:val="21"/>
              </w:rPr>
              <w:t>240.04</w:t>
            </w:r>
          </w:p>
        </w:tc>
        <w:tc>
          <w:tcPr>
            <w:tcW w:w="943" w:type="pct"/>
            <w:shd w:val="clear" w:color="auto" w:fill="auto"/>
            <w:vAlign w:val="center"/>
          </w:tcPr>
          <w:p w14:paraId="43249782" w14:textId="77777777" w:rsidR="002133E3" w:rsidRDefault="00C22CFA">
            <w:pPr>
              <w:tabs>
                <w:tab w:val="left" w:pos="6045"/>
              </w:tabs>
              <w:topLinePunct/>
              <w:jc w:val="center"/>
              <w:rPr>
                <w:bCs/>
                <w:color w:val="000000"/>
                <w:kern w:val="0"/>
                <w:sz w:val="22"/>
                <w:szCs w:val="21"/>
              </w:rPr>
            </w:pPr>
            <w:r>
              <w:rPr>
                <w:bCs/>
                <w:color w:val="000000"/>
                <w:kern w:val="0"/>
                <w:sz w:val="22"/>
                <w:szCs w:val="21"/>
              </w:rPr>
              <w:t>108.87</w:t>
            </w:r>
          </w:p>
        </w:tc>
        <w:tc>
          <w:tcPr>
            <w:tcW w:w="954" w:type="pct"/>
            <w:vAlign w:val="center"/>
          </w:tcPr>
          <w:p w14:paraId="6DD53DDA" w14:textId="77777777" w:rsidR="002133E3" w:rsidRDefault="00C22CFA">
            <w:pPr>
              <w:topLinePunct/>
              <w:jc w:val="center"/>
              <w:rPr>
                <w:bCs/>
                <w:color w:val="000000"/>
                <w:kern w:val="0"/>
                <w:sz w:val="22"/>
                <w:szCs w:val="21"/>
                <w:lang w:eastAsia="en-US"/>
              </w:rPr>
            </w:pPr>
            <w:r>
              <w:rPr>
                <w:bCs/>
                <w:color w:val="000000"/>
                <w:kern w:val="0"/>
                <w:sz w:val="20"/>
                <w:szCs w:val="21"/>
              </w:rPr>
              <w:t>是</w:t>
            </w:r>
          </w:p>
        </w:tc>
      </w:tr>
      <w:tr w:rsidR="002133E3" w14:paraId="2CC5B0F8" w14:textId="77777777">
        <w:trPr>
          <w:trHeight w:val="397"/>
          <w:jc w:val="center"/>
        </w:trPr>
        <w:tc>
          <w:tcPr>
            <w:tcW w:w="664" w:type="pct"/>
            <w:vMerge/>
            <w:vAlign w:val="center"/>
          </w:tcPr>
          <w:p w14:paraId="6AFEF340" w14:textId="77777777" w:rsidR="002133E3" w:rsidRDefault="002133E3">
            <w:pPr>
              <w:topLinePunct/>
              <w:jc w:val="center"/>
              <w:rPr>
                <w:bCs/>
                <w:color w:val="000000"/>
                <w:kern w:val="0"/>
                <w:sz w:val="22"/>
                <w:szCs w:val="21"/>
                <w:lang w:eastAsia="en-US"/>
              </w:rPr>
            </w:pPr>
          </w:p>
        </w:tc>
        <w:tc>
          <w:tcPr>
            <w:tcW w:w="595" w:type="pct"/>
            <w:vAlign w:val="center"/>
          </w:tcPr>
          <w:p w14:paraId="51C6D8FB" w14:textId="77777777" w:rsidR="002133E3" w:rsidRDefault="00C22CFA">
            <w:pPr>
              <w:topLinePunct/>
              <w:jc w:val="center"/>
              <w:rPr>
                <w:bCs/>
                <w:color w:val="000000"/>
                <w:kern w:val="0"/>
                <w:sz w:val="20"/>
                <w:szCs w:val="21"/>
              </w:rPr>
            </w:pPr>
            <w:r>
              <w:rPr>
                <w:color w:val="000000"/>
                <w:kern w:val="0"/>
                <w:sz w:val="22"/>
                <w:szCs w:val="21"/>
                <w:lang w:eastAsia="en-US"/>
              </w:rPr>
              <w:t>3</w:t>
            </w:r>
          </w:p>
        </w:tc>
        <w:tc>
          <w:tcPr>
            <w:tcW w:w="805" w:type="pct"/>
            <w:vAlign w:val="center"/>
          </w:tcPr>
          <w:p w14:paraId="547F0367" w14:textId="77777777" w:rsidR="002133E3" w:rsidRDefault="00C22CFA">
            <w:pPr>
              <w:adjustRightInd w:val="0"/>
              <w:snapToGrid w:val="0"/>
              <w:jc w:val="center"/>
              <w:rPr>
                <w:bCs/>
                <w:color w:val="000000"/>
                <w:kern w:val="0"/>
                <w:sz w:val="22"/>
                <w:szCs w:val="21"/>
              </w:rPr>
            </w:pPr>
            <w:r>
              <w:rPr>
                <w:color w:val="000000"/>
                <w:kern w:val="0"/>
                <w:sz w:val="20"/>
                <w:szCs w:val="21"/>
              </w:rPr>
              <w:t>SS</w:t>
            </w:r>
          </w:p>
        </w:tc>
        <w:tc>
          <w:tcPr>
            <w:tcW w:w="1039" w:type="pct"/>
            <w:vAlign w:val="center"/>
          </w:tcPr>
          <w:p w14:paraId="27B267AD" w14:textId="77777777" w:rsidR="002133E3" w:rsidRDefault="00C22CFA">
            <w:pPr>
              <w:tabs>
                <w:tab w:val="left" w:pos="6045"/>
              </w:tabs>
              <w:topLinePunct/>
              <w:jc w:val="center"/>
              <w:rPr>
                <w:bCs/>
                <w:color w:val="000000"/>
                <w:kern w:val="0"/>
                <w:sz w:val="22"/>
                <w:szCs w:val="21"/>
              </w:rPr>
            </w:pPr>
            <w:r>
              <w:rPr>
                <w:bCs/>
                <w:color w:val="000000"/>
                <w:kern w:val="0"/>
                <w:sz w:val="22"/>
                <w:szCs w:val="21"/>
              </w:rPr>
              <w:t>63.22</w:t>
            </w:r>
          </w:p>
        </w:tc>
        <w:tc>
          <w:tcPr>
            <w:tcW w:w="943" w:type="pct"/>
            <w:shd w:val="clear" w:color="auto" w:fill="auto"/>
            <w:vAlign w:val="center"/>
          </w:tcPr>
          <w:p w14:paraId="024028D9" w14:textId="77777777" w:rsidR="002133E3" w:rsidRDefault="00C22CFA">
            <w:pPr>
              <w:tabs>
                <w:tab w:val="left" w:pos="6045"/>
              </w:tabs>
              <w:topLinePunct/>
              <w:jc w:val="center"/>
              <w:rPr>
                <w:bCs/>
                <w:color w:val="000000"/>
                <w:kern w:val="0"/>
                <w:sz w:val="22"/>
                <w:szCs w:val="21"/>
              </w:rPr>
            </w:pPr>
            <w:r>
              <w:rPr>
                <w:bCs/>
                <w:color w:val="000000"/>
                <w:kern w:val="0"/>
                <w:sz w:val="22"/>
                <w:szCs w:val="21"/>
              </w:rPr>
              <w:t>42.60</w:t>
            </w:r>
          </w:p>
        </w:tc>
        <w:tc>
          <w:tcPr>
            <w:tcW w:w="954" w:type="pct"/>
            <w:vAlign w:val="center"/>
          </w:tcPr>
          <w:p w14:paraId="726BCDDE" w14:textId="77777777" w:rsidR="002133E3" w:rsidRDefault="00C22CFA">
            <w:pPr>
              <w:topLinePunct/>
              <w:jc w:val="center"/>
              <w:rPr>
                <w:bCs/>
                <w:color w:val="000000"/>
                <w:kern w:val="0"/>
                <w:sz w:val="20"/>
                <w:szCs w:val="21"/>
              </w:rPr>
            </w:pPr>
            <w:r>
              <w:rPr>
                <w:bCs/>
                <w:color w:val="000000"/>
                <w:kern w:val="0"/>
                <w:sz w:val="20"/>
                <w:szCs w:val="21"/>
              </w:rPr>
              <w:t>是</w:t>
            </w:r>
          </w:p>
        </w:tc>
      </w:tr>
      <w:tr w:rsidR="002133E3" w14:paraId="6AA61AB6" w14:textId="77777777">
        <w:trPr>
          <w:trHeight w:val="397"/>
          <w:jc w:val="center"/>
        </w:trPr>
        <w:tc>
          <w:tcPr>
            <w:tcW w:w="664" w:type="pct"/>
            <w:vMerge/>
            <w:vAlign w:val="center"/>
          </w:tcPr>
          <w:p w14:paraId="3722D31D" w14:textId="77777777" w:rsidR="002133E3" w:rsidRDefault="002133E3">
            <w:pPr>
              <w:topLinePunct/>
              <w:jc w:val="center"/>
              <w:rPr>
                <w:bCs/>
                <w:color w:val="000000"/>
                <w:kern w:val="0"/>
                <w:sz w:val="22"/>
                <w:szCs w:val="21"/>
                <w:lang w:eastAsia="en-US"/>
              </w:rPr>
            </w:pPr>
          </w:p>
        </w:tc>
        <w:tc>
          <w:tcPr>
            <w:tcW w:w="595" w:type="pct"/>
            <w:vAlign w:val="center"/>
          </w:tcPr>
          <w:p w14:paraId="4E09E224" w14:textId="77777777" w:rsidR="002133E3" w:rsidRDefault="00C22CFA">
            <w:pPr>
              <w:topLinePunct/>
              <w:jc w:val="center"/>
              <w:rPr>
                <w:bCs/>
                <w:color w:val="000000"/>
                <w:kern w:val="0"/>
                <w:sz w:val="20"/>
                <w:szCs w:val="21"/>
              </w:rPr>
            </w:pPr>
            <w:r>
              <w:rPr>
                <w:color w:val="000000"/>
                <w:kern w:val="0"/>
                <w:sz w:val="22"/>
                <w:szCs w:val="21"/>
                <w:lang w:eastAsia="en-US"/>
              </w:rPr>
              <w:t>4</w:t>
            </w:r>
          </w:p>
        </w:tc>
        <w:tc>
          <w:tcPr>
            <w:tcW w:w="805" w:type="pct"/>
            <w:vAlign w:val="center"/>
          </w:tcPr>
          <w:p w14:paraId="6C355A6A" w14:textId="77777777" w:rsidR="002133E3" w:rsidRDefault="00C22CFA">
            <w:pPr>
              <w:adjustRightInd w:val="0"/>
              <w:snapToGrid w:val="0"/>
              <w:jc w:val="center"/>
              <w:rPr>
                <w:bCs/>
                <w:color w:val="000000"/>
                <w:kern w:val="0"/>
                <w:sz w:val="22"/>
                <w:szCs w:val="21"/>
              </w:rPr>
            </w:pPr>
            <w:r>
              <w:rPr>
                <w:color w:val="000000"/>
                <w:kern w:val="0"/>
                <w:sz w:val="20"/>
                <w:szCs w:val="21"/>
              </w:rPr>
              <w:t>NH</w:t>
            </w:r>
            <w:r>
              <w:rPr>
                <w:color w:val="000000"/>
                <w:kern w:val="0"/>
                <w:sz w:val="20"/>
                <w:szCs w:val="21"/>
                <w:vertAlign w:val="subscript"/>
              </w:rPr>
              <w:t>3</w:t>
            </w:r>
            <w:r>
              <w:rPr>
                <w:color w:val="000000"/>
                <w:kern w:val="0"/>
                <w:sz w:val="20"/>
                <w:szCs w:val="21"/>
              </w:rPr>
              <w:t>-N</w:t>
            </w:r>
          </w:p>
        </w:tc>
        <w:tc>
          <w:tcPr>
            <w:tcW w:w="1039" w:type="pct"/>
            <w:vAlign w:val="center"/>
          </w:tcPr>
          <w:p w14:paraId="55DA7E75" w14:textId="77777777" w:rsidR="002133E3" w:rsidRDefault="00C22CFA">
            <w:pPr>
              <w:tabs>
                <w:tab w:val="left" w:pos="6045"/>
              </w:tabs>
              <w:topLinePunct/>
              <w:jc w:val="center"/>
              <w:rPr>
                <w:bCs/>
                <w:color w:val="000000"/>
                <w:kern w:val="0"/>
                <w:sz w:val="22"/>
                <w:szCs w:val="21"/>
              </w:rPr>
            </w:pPr>
            <w:r>
              <w:rPr>
                <w:bCs/>
                <w:color w:val="000000"/>
                <w:kern w:val="0"/>
                <w:sz w:val="22"/>
                <w:szCs w:val="21"/>
              </w:rPr>
              <w:t>6.31</w:t>
            </w:r>
          </w:p>
        </w:tc>
        <w:tc>
          <w:tcPr>
            <w:tcW w:w="943" w:type="pct"/>
            <w:shd w:val="clear" w:color="auto" w:fill="auto"/>
            <w:vAlign w:val="center"/>
          </w:tcPr>
          <w:p w14:paraId="3A322259" w14:textId="77777777" w:rsidR="002133E3" w:rsidRDefault="00C22CFA">
            <w:pPr>
              <w:tabs>
                <w:tab w:val="left" w:pos="6045"/>
              </w:tabs>
              <w:topLinePunct/>
              <w:jc w:val="center"/>
              <w:rPr>
                <w:bCs/>
                <w:color w:val="000000"/>
                <w:kern w:val="0"/>
                <w:sz w:val="22"/>
                <w:szCs w:val="21"/>
              </w:rPr>
            </w:pPr>
            <w:r>
              <w:rPr>
                <w:bCs/>
                <w:color w:val="000000"/>
                <w:kern w:val="0"/>
                <w:sz w:val="22"/>
                <w:szCs w:val="21"/>
              </w:rPr>
              <w:t>6.18</w:t>
            </w:r>
          </w:p>
        </w:tc>
        <w:tc>
          <w:tcPr>
            <w:tcW w:w="954" w:type="pct"/>
            <w:vAlign w:val="center"/>
          </w:tcPr>
          <w:p w14:paraId="305C93FD" w14:textId="77777777" w:rsidR="002133E3" w:rsidRDefault="00C22CFA">
            <w:pPr>
              <w:topLinePunct/>
              <w:jc w:val="center"/>
              <w:rPr>
                <w:bCs/>
                <w:color w:val="000000"/>
                <w:kern w:val="0"/>
                <w:sz w:val="20"/>
                <w:szCs w:val="21"/>
              </w:rPr>
            </w:pPr>
            <w:r>
              <w:rPr>
                <w:bCs/>
                <w:color w:val="000000"/>
                <w:kern w:val="0"/>
                <w:sz w:val="20"/>
                <w:szCs w:val="21"/>
              </w:rPr>
              <w:t>是</w:t>
            </w:r>
          </w:p>
        </w:tc>
      </w:tr>
    </w:tbl>
    <w:p w14:paraId="015BB51A" w14:textId="77777777" w:rsidR="002133E3" w:rsidRDefault="00C22CFA">
      <w:pPr>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根据上述计算，项目年排放污染物总量满足指标控制要求。</w:t>
      </w:r>
    </w:p>
    <w:p w14:paraId="363F5906"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已建项目环评批复落实情况</w:t>
      </w:r>
    </w:p>
    <w:p w14:paraId="374705F6" w14:textId="77777777" w:rsidR="002133E3" w:rsidRDefault="00C22CFA">
      <w:pPr>
        <w:spacing w:line="500" w:lineRule="exact"/>
        <w:ind w:firstLineChars="200" w:firstLine="560"/>
        <w:rPr>
          <w:rFonts w:ascii="Times New Roman" w:eastAsia="宋体" w:hAnsi="Times New Roman" w:cs="Times New Roman"/>
          <w:sz w:val="28"/>
          <w:szCs w:val="28"/>
        </w:rPr>
      </w:pPr>
      <w:bookmarkStart w:id="26" w:name="_Hlk38291178"/>
      <w:r>
        <w:rPr>
          <w:rFonts w:ascii="Times New Roman" w:eastAsia="宋体" w:hAnsi="Times New Roman" w:cs="Times New Roman"/>
          <w:bCs/>
          <w:sz w:val="28"/>
          <w:szCs w:val="28"/>
        </w:rPr>
        <w:t>年产</w:t>
      </w:r>
      <w:r>
        <w:rPr>
          <w:rFonts w:ascii="Times New Roman" w:eastAsia="宋体" w:hAnsi="Times New Roman" w:cs="Times New Roman"/>
          <w:bCs/>
          <w:sz w:val="28"/>
          <w:szCs w:val="28"/>
        </w:rPr>
        <w:t>20</w:t>
      </w:r>
      <w:r>
        <w:rPr>
          <w:rFonts w:ascii="Times New Roman" w:eastAsia="宋体" w:hAnsi="Times New Roman" w:cs="Times New Roman"/>
          <w:bCs/>
          <w:sz w:val="28"/>
          <w:szCs w:val="28"/>
        </w:rPr>
        <w:t>万吨醋酸乙（丁）酯等工程</w:t>
      </w:r>
      <w:r>
        <w:rPr>
          <w:rFonts w:ascii="Times New Roman" w:eastAsia="宋体" w:hAnsi="Times New Roman" w:cs="Times New Roman"/>
          <w:sz w:val="28"/>
          <w:szCs w:val="28"/>
        </w:rPr>
        <w:t>环评核准意见</w:t>
      </w:r>
      <w:bookmarkEnd w:id="26"/>
      <w:r>
        <w:rPr>
          <w:rFonts w:ascii="Times New Roman" w:eastAsia="宋体" w:hAnsi="Times New Roman" w:cs="Times New Roman"/>
          <w:sz w:val="28"/>
          <w:szCs w:val="28"/>
        </w:rPr>
        <w:t>及落实情况分析表见表</w:t>
      </w:r>
      <w:r>
        <w:rPr>
          <w:rFonts w:ascii="Times New Roman" w:eastAsia="宋体" w:hAnsi="Times New Roman" w:cs="Times New Roman"/>
          <w:sz w:val="28"/>
          <w:szCs w:val="28"/>
        </w:rPr>
        <w:t>3.2-25</w:t>
      </w:r>
      <w:r>
        <w:rPr>
          <w:rFonts w:ascii="Times New Roman" w:eastAsia="宋体" w:hAnsi="Times New Roman" w:cs="Times New Roman"/>
          <w:sz w:val="28"/>
          <w:szCs w:val="28"/>
        </w:rPr>
        <w:t>。</w:t>
      </w:r>
    </w:p>
    <w:p w14:paraId="3ABC77F3"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3.2-25 </w:t>
      </w:r>
      <w:r>
        <w:rPr>
          <w:rFonts w:ascii="Times New Roman" w:eastAsia="宋体" w:hAnsi="Times New Roman" w:cs="Times New Roman"/>
          <w:b/>
          <w:szCs w:val="24"/>
        </w:rPr>
        <w:t>年产</w:t>
      </w:r>
      <w:r>
        <w:rPr>
          <w:rFonts w:ascii="Times New Roman" w:eastAsia="宋体" w:hAnsi="Times New Roman" w:cs="Times New Roman"/>
          <w:b/>
          <w:szCs w:val="24"/>
        </w:rPr>
        <w:t>20</w:t>
      </w:r>
      <w:r>
        <w:rPr>
          <w:rFonts w:ascii="Times New Roman" w:eastAsia="宋体" w:hAnsi="Times New Roman" w:cs="Times New Roman"/>
          <w:b/>
          <w:szCs w:val="24"/>
        </w:rPr>
        <w:t>万吨醋酸乙（丁）酯等工程环评核准意见落实情况分析表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4980"/>
        <w:gridCol w:w="4320"/>
      </w:tblGrid>
      <w:tr w:rsidR="002133E3" w14:paraId="69D645E5" w14:textId="77777777">
        <w:trPr>
          <w:trHeight w:val="421"/>
          <w:tblHeader/>
          <w:jc w:val="center"/>
        </w:trPr>
        <w:tc>
          <w:tcPr>
            <w:tcW w:w="281" w:type="pct"/>
            <w:tcBorders>
              <w:top w:val="single" w:sz="4" w:space="0" w:color="auto"/>
              <w:left w:val="single" w:sz="4" w:space="0" w:color="auto"/>
              <w:bottom w:val="single" w:sz="4" w:space="0" w:color="auto"/>
              <w:right w:val="single" w:sz="4" w:space="0" w:color="auto"/>
            </w:tcBorders>
            <w:vAlign w:val="center"/>
          </w:tcPr>
          <w:p w14:paraId="6B5266FD"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lastRenderedPageBreak/>
              <w:t>序号</w:t>
            </w:r>
          </w:p>
        </w:tc>
        <w:tc>
          <w:tcPr>
            <w:tcW w:w="2527" w:type="pct"/>
            <w:tcBorders>
              <w:top w:val="single" w:sz="4" w:space="0" w:color="auto"/>
              <w:left w:val="single" w:sz="4" w:space="0" w:color="auto"/>
              <w:bottom w:val="single" w:sz="4" w:space="0" w:color="auto"/>
              <w:right w:val="single" w:sz="4" w:space="0" w:color="auto"/>
            </w:tcBorders>
            <w:vAlign w:val="center"/>
          </w:tcPr>
          <w:p w14:paraId="5345DD36"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检查内容</w:t>
            </w:r>
          </w:p>
        </w:tc>
        <w:tc>
          <w:tcPr>
            <w:tcW w:w="2192" w:type="pct"/>
            <w:tcBorders>
              <w:top w:val="single" w:sz="4" w:space="0" w:color="auto"/>
              <w:left w:val="single" w:sz="4" w:space="0" w:color="auto"/>
              <w:bottom w:val="single" w:sz="4" w:space="0" w:color="auto"/>
              <w:right w:val="single" w:sz="4" w:space="0" w:color="auto"/>
            </w:tcBorders>
            <w:vAlign w:val="center"/>
          </w:tcPr>
          <w:p w14:paraId="3A4450A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执行情况</w:t>
            </w:r>
          </w:p>
        </w:tc>
      </w:tr>
      <w:tr w:rsidR="002133E3" w14:paraId="10375BA1" w14:textId="77777777">
        <w:trPr>
          <w:trHeight w:val="454"/>
          <w:jc w:val="center"/>
        </w:trPr>
        <w:tc>
          <w:tcPr>
            <w:tcW w:w="281" w:type="pct"/>
            <w:tcBorders>
              <w:top w:val="single" w:sz="4" w:space="0" w:color="auto"/>
              <w:left w:val="single" w:sz="4" w:space="0" w:color="auto"/>
              <w:bottom w:val="outset" w:sz="6" w:space="0" w:color="auto"/>
              <w:right w:val="single" w:sz="4" w:space="0" w:color="auto"/>
            </w:tcBorders>
            <w:vAlign w:val="center"/>
          </w:tcPr>
          <w:p w14:paraId="5C44435F"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2527" w:type="pct"/>
            <w:tcBorders>
              <w:top w:val="single" w:sz="4" w:space="0" w:color="auto"/>
              <w:left w:val="single" w:sz="4" w:space="0" w:color="auto"/>
              <w:bottom w:val="outset" w:sz="6" w:space="0" w:color="auto"/>
              <w:right w:val="single" w:sz="4" w:space="0" w:color="auto"/>
            </w:tcBorders>
            <w:vAlign w:val="center"/>
          </w:tcPr>
          <w:p w14:paraId="41D983E8"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全过程贯彻清洁生产原则和循环经济理念，采用先进工艺和先进设备，加强生产管理和环境管理，减少污染物产生量和排放量，单位产品物耗、能耗和污染物排放等指标应达国内同行业清洁生产先进水平。</w:t>
            </w:r>
          </w:p>
        </w:tc>
        <w:tc>
          <w:tcPr>
            <w:tcW w:w="2192" w:type="pct"/>
            <w:tcBorders>
              <w:top w:val="single" w:sz="4" w:space="0" w:color="auto"/>
              <w:left w:val="single" w:sz="4" w:space="0" w:color="auto"/>
              <w:bottom w:val="outset" w:sz="6" w:space="0" w:color="auto"/>
              <w:right w:val="single" w:sz="4" w:space="0" w:color="auto"/>
            </w:tcBorders>
            <w:vAlign w:val="center"/>
          </w:tcPr>
          <w:p w14:paraId="50A62070"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公司加强生产管理和环境管理，以减少污染物产生量和排放量。</w:t>
            </w:r>
          </w:p>
        </w:tc>
      </w:tr>
      <w:tr w:rsidR="002133E3" w14:paraId="020FC49B" w14:textId="77777777">
        <w:trPr>
          <w:trHeight w:val="1577"/>
          <w:jc w:val="center"/>
        </w:trPr>
        <w:tc>
          <w:tcPr>
            <w:tcW w:w="281" w:type="pct"/>
            <w:tcBorders>
              <w:top w:val="single" w:sz="4" w:space="0" w:color="auto"/>
              <w:left w:val="single" w:sz="4" w:space="0" w:color="auto"/>
              <w:bottom w:val="single" w:sz="4" w:space="0" w:color="auto"/>
              <w:right w:val="single" w:sz="4" w:space="0" w:color="auto"/>
            </w:tcBorders>
            <w:vAlign w:val="center"/>
          </w:tcPr>
          <w:p w14:paraId="36C2FB64"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2527" w:type="pct"/>
            <w:tcBorders>
              <w:top w:val="single" w:sz="4" w:space="0" w:color="auto"/>
              <w:left w:val="single" w:sz="4" w:space="0" w:color="auto"/>
              <w:bottom w:val="single" w:sz="4" w:space="0" w:color="auto"/>
              <w:right w:val="single" w:sz="4" w:space="0" w:color="auto"/>
            </w:tcBorders>
            <w:vAlign w:val="center"/>
          </w:tcPr>
          <w:p w14:paraId="7133053D"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按</w:t>
            </w:r>
            <w:r>
              <w:rPr>
                <w:rFonts w:ascii="Times New Roman" w:eastAsia="宋体" w:hAnsi="Times New Roman" w:cs="Times New Roman"/>
                <w:szCs w:val="21"/>
              </w:rPr>
              <w:t>“</w:t>
            </w:r>
            <w:r>
              <w:rPr>
                <w:rFonts w:ascii="Times New Roman" w:eastAsia="宋体" w:hAnsi="Times New Roman" w:cs="Times New Roman"/>
                <w:szCs w:val="21"/>
              </w:rPr>
              <w:t>雨污分流、清污分流、一水多用</w:t>
            </w:r>
            <w:r>
              <w:rPr>
                <w:rFonts w:ascii="Times New Roman" w:eastAsia="宋体" w:hAnsi="Times New Roman" w:cs="Times New Roman"/>
                <w:szCs w:val="21"/>
              </w:rPr>
              <w:t>”</w:t>
            </w:r>
            <w:r>
              <w:rPr>
                <w:rFonts w:ascii="Times New Roman" w:eastAsia="宋体" w:hAnsi="Times New Roman" w:cs="Times New Roman"/>
                <w:szCs w:val="21"/>
              </w:rPr>
              <w:t>的原则，建设厂区给排水管网。项目工艺废水、冲洗废水、生活污水、初期雨水须经预处理达接管标准后接入海州湾产业区污水处理厂集中处理。在废水接入污水处理厂集中处理前，本项目不得投入试生产。</w:t>
            </w:r>
          </w:p>
        </w:tc>
        <w:tc>
          <w:tcPr>
            <w:tcW w:w="2192" w:type="pct"/>
            <w:tcBorders>
              <w:top w:val="single" w:sz="4" w:space="0" w:color="auto"/>
              <w:left w:val="single" w:sz="4" w:space="0" w:color="auto"/>
              <w:bottom w:val="single" w:sz="4" w:space="0" w:color="auto"/>
              <w:right w:val="single" w:sz="4" w:space="0" w:color="auto"/>
            </w:tcBorders>
            <w:vAlign w:val="center"/>
          </w:tcPr>
          <w:p w14:paraId="4D5CF42A"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按</w:t>
            </w:r>
            <w:r>
              <w:rPr>
                <w:rFonts w:ascii="Times New Roman" w:eastAsia="宋体" w:hAnsi="Times New Roman" w:cs="Times New Roman"/>
                <w:szCs w:val="21"/>
              </w:rPr>
              <w:t>“</w:t>
            </w:r>
            <w:r>
              <w:rPr>
                <w:rFonts w:ascii="Times New Roman" w:eastAsia="宋体" w:hAnsi="Times New Roman" w:cs="Times New Roman"/>
                <w:szCs w:val="21"/>
              </w:rPr>
              <w:t>雨污分流、清污分流、一水多用</w:t>
            </w:r>
            <w:r>
              <w:rPr>
                <w:rFonts w:ascii="Times New Roman" w:eastAsia="宋体" w:hAnsi="Times New Roman" w:cs="Times New Roman"/>
                <w:szCs w:val="21"/>
              </w:rPr>
              <w:t>”</w:t>
            </w:r>
            <w:r>
              <w:rPr>
                <w:rFonts w:ascii="Times New Roman" w:eastAsia="宋体" w:hAnsi="Times New Roman" w:cs="Times New Roman"/>
                <w:szCs w:val="21"/>
              </w:rPr>
              <w:t>的原则，建设厂区给排水管网。目前项目工艺废水、冲洗废水、生活污水、初期雨水经预处理接入赣榆县通海污水处理有限公司集中处理。验收监测期间废水排放达到赣榆县通海污水处理有限公司接管标准。</w:t>
            </w:r>
          </w:p>
        </w:tc>
      </w:tr>
      <w:tr w:rsidR="002133E3" w14:paraId="26808944" w14:textId="77777777">
        <w:trPr>
          <w:trHeight w:val="454"/>
          <w:jc w:val="center"/>
        </w:trPr>
        <w:tc>
          <w:tcPr>
            <w:tcW w:w="281" w:type="pct"/>
            <w:tcBorders>
              <w:top w:val="single" w:sz="4" w:space="0" w:color="auto"/>
              <w:left w:val="single" w:sz="4" w:space="0" w:color="auto"/>
              <w:bottom w:val="single" w:sz="4" w:space="0" w:color="auto"/>
              <w:right w:val="single" w:sz="4" w:space="0" w:color="auto"/>
            </w:tcBorders>
            <w:vAlign w:val="center"/>
          </w:tcPr>
          <w:p w14:paraId="31F61D84"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2527" w:type="pct"/>
            <w:tcBorders>
              <w:top w:val="single" w:sz="4" w:space="0" w:color="auto"/>
              <w:left w:val="single" w:sz="4" w:space="0" w:color="auto"/>
              <w:bottom w:val="single" w:sz="4" w:space="0" w:color="auto"/>
              <w:right w:val="single" w:sz="4" w:space="0" w:color="auto"/>
            </w:tcBorders>
            <w:vAlign w:val="center"/>
          </w:tcPr>
          <w:p w14:paraId="49D71511"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本项目锅炉须采用脱硫后的沼气作燃料。木薯干粉碎工序产生的含尘废气采用水膜除尘器处理后达标排放；含乙醛有机废气采用催化燃烧装置处理后达标排放。应采取有效措施，减少无组织废气排放。工艺废气排放执行《大气污染物综合排放标准》（</w:t>
            </w:r>
            <w:r>
              <w:rPr>
                <w:rFonts w:ascii="Times New Roman" w:eastAsia="宋体" w:hAnsi="Times New Roman" w:cs="Times New Roman"/>
                <w:szCs w:val="21"/>
              </w:rPr>
              <w:t>GB16297-1996</w:t>
            </w:r>
            <w:r>
              <w:rPr>
                <w:rFonts w:ascii="Times New Roman" w:eastAsia="宋体" w:hAnsi="Times New Roman" w:cs="Times New Roman"/>
                <w:szCs w:val="21"/>
              </w:rPr>
              <w:t>）表</w:t>
            </w:r>
            <w:r>
              <w:rPr>
                <w:rFonts w:ascii="Times New Roman" w:eastAsia="宋体" w:hAnsi="Times New Roman" w:cs="Times New Roman"/>
                <w:szCs w:val="21"/>
              </w:rPr>
              <w:t>2</w:t>
            </w:r>
            <w:r>
              <w:rPr>
                <w:rFonts w:ascii="Times New Roman" w:eastAsia="宋体" w:hAnsi="Times New Roman" w:cs="Times New Roman"/>
                <w:szCs w:val="21"/>
              </w:rPr>
              <w:t>相关标准。锅炉废气排放执行《锅炉大气污染物排放标准》（</w:t>
            </w:r>
            <w:r>
              <w:rPr>
                <w:rFonts w:ascii="Times New Roman" w:eastAsia="宋体" w:hAnsi="Times New Roman" w:cs="Times New Roman"/>
                <w:szCs w:val="21"/>
              </w:rPr>
              <w:t>GB13271-2001</w:t>
            </w:r>
            <w:r>
              <w:rPr>
                <w:rFonts w:ascii="Times New Roman" w:eastAsia="宋体" w:hAnsi="Times New Roman" w:cs="Times New Roman"/>
                <w:szCs w:val="21"/>
              </w:rPr>
              <w:t>）</w:t>
            </w:r>
            <w:r>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2 \* ROMAN </w:instrText>
            </w:r>
            <w:r>
              <w:rPr>
                <w:rFonts w:ascii="Times New Roman" w:eastAsia="宋体" w:hAnsi="Times New Roman" w:cs="Times New Roman"/>
                <w:szCs w:val="21"/>
              </w:rPr>
              <w:fldChar w:fldCharType="separate"/>
            </w:r>
            <w:r>
              <w:rPr>
                <w:rFonts w:ascii="Times New Roman" w:eastAsia="宋体" w:hAnsi="Times New Roman" w:cs="Times New Roman"/>
                <w:szCs w:val="21"/>
              </w:rPr>
              <w:t>II</w:t>
            </w:r>
            <w:r>
              <w:rPr>
                <w:rFonts w:ascii="Times New Roman" w:eastAsia="宋体" w:hAnsi="Times New Roman" w:cs="Times New Roman"/>
                <w:szCs w:val="21"/>
              </w:rPr>
              <w:fldChar w:fldCharType="end"/>
            </w:r>
            <w:r>
              <w:rPr>
                <w:rFonts w:ascii="Times New Roman" w:eastAsia="宋体" w:hAnsi="Times New Roman" w:cs="Times New Roman"/>
                <w:szCs w:val="21"/>
              </w:rPr>
              <w:t>时段标准。硫化氢废气排放执行《恶臭污染物排放标准》（</w:t>
            </w:r>
            <w:r>
              <w:rPr>
                <w:rFonts w:ascii="Times New Roman" w:eastAsia="宋体" w:hAnsi="Times New Roman" w:cs="Times New Roman"/>
                <w:szCs w:val="21"/>
              </w:rPr>
              <w:t>GB14554-93</w:t>
            </w:r>
            <w:r>
              <w:rPr>
                <w:rFonts w:ascii="Times New Roman" w:eastAsia="宋体" w:hAnsi="Times New Roman" w:cs="Times New Roman"/>
                <w:szCs w:val="21"/>
              </w:rPr>
              <w:t>）要求。</w:t>
            </w:r>
          </w:p>
        </w:tc>
        <w:tc>
          <w:tcPr>
            <w:tcW w:w="2192" w:type="pct"/>
            <w:tcBorders>
              <w:top w:val="single" w:sz="4" w:space="0" w:color="auto"/>
              <w:left w:val="single" w:sz="4" w:space="0" w:color="auto"/>
              <w:bottom w:val="single" w:sz="4" w:space="0" w:color="auto"/>
              <w:right w:val="single" w:sz="4" w:space="0" w:color="auto"/>
            </w:tcBorders>
            <w:vAlign w:val="center"/>
          </w:tcPr>
          <w:p w14:paraId="5B4FFBED"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本项目锅炉采用脱硫后的沼气作燃料。木薯干粉碎工序产生的含尘废气采用水膜除尘器处理后排放；并采取在仓库中进行木薯干原料装卸，杜绝露天作业、各工艺操作尽可能减少敞开式操作、产品贮罐呼吸装置安装液封系统等措施，减少无组织废气排放。验收监测期间：工艺废气排放符合《大气污染物综合排放标准》（</w:t>
            </w:r>
            <w:r>
              <w:rPr>
                <w:rFonts w:ascii="Times New Roman" w:eastAsia="宋体" w:hAnsi="Times New Roman" w:cs="Times New Roman"/>
                <w:szCs w:val="21"/>
              </w:rPr>
              <w:t>GB16297-1996</w:t>
            </w:r>
            <w:r>
              <w:rPr>
                <w:rFonts w:ascii="Times New Roman" w:eastAsia="宋体" w:hAnsi="Times New Roman" w:cs="Times New Roman"/>
                <w:szCs w:val="21"/>
              </w:rPr>
              <w:t>）表</w:t>
            </w:r>
            <w:r>
              <w:rPr>
                <w:rFonts w:ascii="Times New Roman" w:eastAsia="宋体" w:hAnsi="Times New Roman" w:cs="Times New Roman"/>
                <w:szCs w:val="21"/>
              </w:rPr>
              <w:t>2</w:t>
            </w:r>
            <w:r>
              <w:rPr>
                <w:rFonts w:ascii="Times New Roman" w:eastAsia="宋体" w:hAnsi="Times New Roman" w:cs="Times New Roman"/>
                <w:szCs w:val="21"/>
              </w:rPr>
              <w:t>相关标准。沼气锅炉废气排放符合《锅炉大气污染物排放标准》（</w:t>
            </w:r>
            <w:r>
              <w:rPr>
                <w:rFonts w:ascii="Times New Roman" w:eastAsia="宋体" w:hAnsi="Times New Roman" w:cs="Times New Roman"/>
                <w:szCs w:val="21"/>
              </w:rPr>
              <w:t>GB13271-2001</w:t>
            </w:r>
            <w:r>
              <w:rPr>
                <w:rFonts w:ascii="Times New Roman" w:eastAsia="宋体" w:hAnsi="Times New Roman" w:cs="Times New Roman"/>
                <w:szCs w:val="21"/>
              </w:rPr>
              <w:t>）</w:t>
            </w:r>
            <w:r>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2 \* ROMAN </w:instrText>
            </w:r>
            <w:r>
              <w:rPr>
                <w:rFonts w:ascii="Times New Roman" w:eastAsia="宋体" w:hAnsi="Times New Roman" w:cs="Times New Roman"/>
                <w:szCs w:val="21"/>
              </w:rPr>
              <w:fldChar w:fldCharType="separate"/>
            </w:r>
            <w:r>
              <w:rPr>
                <w:rFonts w:ascii="Times New Roman" w:eastAsia="宋体" w:hAnsi="Times New Roman" w:cs="Times New Roman"/>
                <w:szCs w:val="21"/>
              </w:rPr>
              <w:t>II</w:t>
            </w:r>
            <w:r>
              <w:rPr>
                <w:rFonts w:ascii="Times New Roman" w:eastAsia="宋体" w:hAnsi="Times New Roman" w:cs="Times New Roman"/>
                <w:szCs w:val="21"/>
              </w:rPr>
              <w:fldChar w:fldCharType="end"/>
            </w:r>
            <w:r>
              <w:rPr>
                <w:rFonts w:ascii="Times New Roman" w:eastAsia="宋体" w:hAnsi="Times New Roman" w:cs="Times New Roman"/>
                <w:szCs w:val="21"/>
              </w:rPr>
              <w:t>时段标准。厂界无组织硫化氢排放符合《恶臭污染物排放标准》（</w:t>
            </w:r>
            <w:r>
              <w:rPr>
                <w:rFonts w:ascii="Times New Roman" w:eastAsia="宋体" w:hAnsi="Times New Roman" w:cs="Times New Roman"/>
                <w:szCs w:val="21"/>
              </w:rPr>
              <w:t>GB14554-93</w:t>
            </w:r>
            <w:r>
              <w:rPr>
                <w:rFonts w:ascii="Times New Roman" w:eastAsia="宋体" w:hAnsi="Times New Roman" w:cs="Times New Roman"/>
                <w:szCs w:val="21"/>
              </w:rPr>
              <w:t>）要求。</w:t>
            </w:r>
          </w:p>
        </w:tc>
      </w:tr>
      <w:tr w:rsidR="002133E3" w14:paraId="1932B58F" w14:textId="77777777">
        <w:trPr>
          <w:trHeight w:val="454"/>
          <w:jc w:val="center"/>
        </w:trPr>
        <w:tc>
          <w:tcPr>
            <w:tcW w:w="281" w:type="pct"/>
            <w:tcBorders>
              <w:top w:val="single" w:sz="4" w:space="0" w:color="auto"/>
              <w:left w:val="single" w:sz="4" w:space="0" w:color="auto"/>
              <w:bottom w:val="single" w:sz="4" w:space="0" w:color="auto"/>
              <w:right w:val="single" w:sz="4" w:space="0" w:color="auto"/>
            </w:tcBorders>
            <w:vAlign w:val="center"/>
          </w:tcPr>
          <w:p w14:paraId="2C1ECB3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4</w:t>
            </w:r>
          </w:p>
        </w:tc>
        <w:tc>
          <w:tcPr>
            <w:tcW w:w="2527" w:type="pct"/>
            <w:tcBorders>
              <w:top w:val="single" w:sz="4" w:space="0" w:color="auto"/>
              <w:left w:val="single" w:sz="4" w:space="0" w:color="auto"/>
              <w:bottom w:val="single" w:sz="4" w:space="0" w:color="auto"/>
              <w:right w:val="single" w:sz="4" w:space="0" w:color="auto"/>
            </w:tcBorders>
            <w:vAlign w:val="center"/>
          </w:tcPr>
          <w:p w14:paraId="346620AB"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选用低噪声设备，合理布局高噪声设备，采取有效的隔声、消声和减振等降噪措施，厂界噪声执行《工业企业厂界噪声标准》（</w:t>
            </w:r>
            <w:r>
              <w:rPr>
                <w:rFonts w:ascii="Times New Roman" w:eastAsia="宋体" w:hAnsi="Times New Roman" w:cs="Times New Roman"/>
                <w:szCs w:val="21"/>
              </w:rPr>
              <w:t>GB12348-90</w:t>
            </w:r>
            <w:r>
              <w:rPr>
                <w:rFonts w:ascii="Times New Roman" w:eastAsia="宋体" w:hAnsi="Times New Roman" w:cs="Times New Roman"/>
                <w:szCs w:val="21"/>
              </w:rPr>
              <w:t>）</w:t>
            </w:r>
            <w:r>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3 \* ROMAN </w:instrText>
            </w:r>
            <w:r>
              <w:rPr>
                <w:rFonts w:ascii="Times New Roman" w:eastAsia="宋体" w:hAnsi="Times New Roman" w:cs="Times New Roman"/>
                <w:szCs w:val="21"/>
              </w:rPr>
              <w:fldChar w:fldCharType="separate"/>
            </w:r>
            <w:r>
              <w:rPr>
                <w:rFonts w:ascii="Times New Roman" w:eastAsia="宋体" w:hAnsi="Times New Roman" w:cs="Times New Roman"/>
                <w:szCs w:val="21"/>
              </w:rPr>
              <w:t>III</w:t>
            </w:r>
            <w:r>
              <w:rPr>
                <w:rFonts w:ascii="Times New Roman" w:eastAsia="宋体" w:hAnsi="Times New Roman" w:cs="Times New Roman"/>
                <w:szCs w:val="21"/>
              </w:rPr>
              <w:fldChar w:fldCharType="end"/>
            </w:r>
            <w:r>
              <w:rPr>
                <w:rFonts w:ascii="Times New Roman" w:eastAsia="宋体" w:hAnsi="Times New Roman" w:cs="Times New Roman"/>
                <w:szCs w:val="21"/>
              </w:rPr>
              <w:t>类标准。施工期噪声应符合《建筑施工场界噪声限值》（</w:t>
            </w:r>
            <w:r>
              <w:rPr>
                <w:rFonts w:ascii="Times New Roman" w:eastAsia="宋体" w:hAnsi="Times New Roman" w:cs="Times New Roman"/>
                <w:szCs w:val="21"/>
              </w:rPr>
              <w:t>GB12523-90</w:t>
            </w:r>
            <w:r>
              <w:rPr>
                <w:rFonts w:ascii="Times New Roman" w:eastAsia="宋体" w:hAnsi="Times New Roman" w:cs="Times New Roman"/>
                <w:szCs w:val="21"/>
              </w:rPr>
              <w:t>）要求。</w:t>
            </w:r>
          </w:p>
        </w:tc>
        <w:tc>
          <w:tcPr>
            <w:tcW w:w="2192" w:type="pct"/>
            <w:tcBorders>
              <w:top w:val="single" w:sz="4" w:space="0" w:color="auto"/>
              <w:left w:val="single" w:sz="4" w:space="0" w:color="auto"/>
              <w:bottom w:val="single" w:sz="4" w:space="0" w:color="auto"/>
              <w:right w:val="single" w:sz="4" w:space="0" w:color="auto"/>
            </w:tcBorders>
            <w:vAlign w:val="center"/>
          </w:tcPr>
          <w:p w14:paraId="4D00225A"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选用低噪声设备，合理布局高噪声设备，采取有效的隔声、消声和减振等降噪措施，厂界噪声符合《工业企业厂界环境噪声排放标准》（</w:t>
            </w:r>
            <w:r>
              <w:rPr>
                <w:rFonts w:ascii="Times New Roman" w:eastAsia="宋体" w:hAnsi="Times New Roman" w:cs="Times New Roman"/>
                <w:szCs w:val="21"/>
              </w:rPr>
              <w:t>GB12348—2008</w:t>
            </w:r>
            <w:r>
              <w:rPr>
                <w:rFonts w:ascii="Times New Roman" w:eastAsia="宋体" w:hAnsi="Times New Roman" w:cs="Times New Roman"/>
                <w:szCs w:val="21"/>
              </w:rPr>
              <w:t>）</w:t>
            </w:r>
            <w:r>
              <w:rPr>
                <w:rFonts w:ascii="Times New Roman" w:eastAsia="宋体" w:hAnsi="Times New Roman" w:cs="Times New Roman"/>
                <w:szCs w:val="21"/>
              </w:rPr>
              <w:t>3</w:t>
            </w:r>
            <w:r>
              <w:rPr>
                <w:rFonts w:ascii="Times New Roman" w:eastAsia="宋体" w:hAnsi="Times New Roman" w:cs="Times New Roman"/>
                <w:szCs w:val="21"/>
              </w:rPr>
              <w:t>类标准。</w:t>
            </w:r>
          </w:p>
        </w:tc>
      </w:tr>
      <w:tr w:rsidR="002133E3" w14:paraId="0175EB46" w14:textId="77777777">
        <w:trPr>
          <w:trHeight w:val="454"/>
          <w:jc w:val="center"/>
        </w:trPr>
        <w:tc>
          <w:tcPr>
            <w:tcW w:w="281" w:type="pct"/>
            <w:tcBorders>
              <w:top w:val="single" w:sz="4" w:space="0" w:color="auto"/>
              <w:left w:val="single" w:sz="4" w:space="0" w:color="auto"/>
              <w:bottom w:val="single" w:sz="4" w:space="0" w:color="auto"/>
              <w:right w:val="single" w:sz="4" w:space="0" w:color="auto"/>
            </w:tcBorders>
            <w:vAlign w:val="center"/>
          </w:tcPr>
          <w:p w14:paraId="496BE0C7"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5</w:t>
            </w:r>
          </w:p>
        </w:tc>
        <w:tc>
          <w:tcPr>
            <w:tcW w:w="2527" w:type="pct"/>
            <w:tcBorders>
              <w:top w:val="single" w:sz="4" w:space="0" w:color="auto"/>
              <w:left w:val="single" w:sz="4" w:space="0" w:color="auto"/>
              <w:bottom w:val="single" w:sz="4" w:space="0" w:color="auto"/>
              <w:right w:val="single" w:sz="4" w:space="0" w:color="auto"/>
            </w:tcBorders>
            <w:vAlign w:val="center"/>
          </w:tcPr>
          <w:p w14:paraId="4A9B041D"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按固废</w:t>
            </w:r>
            <w:r>
              <w:rPr>
                <w:rFonts w:ascii="Times New Roman" w:eastAsia="宋体" w:hAnsi="Times New Roman" w:cs="Times New Roman"/>
                <w:szCs w:val="21"/>
              </w:rPr>
              <w:t>“</w:t>
            </w:r>
            <w:r>
              <w:rPr>
                <w:rFonts w:ascii="Times New Roman" w:eastAsia="宋体" w:hAnsi="Times New Roman" w:cs="Times New Roman"/>
                <w:szCs w:val="21"/>
              </w:rPr>
              <w:t>资源化、减量化、无害化</w:t>
            </w:r>
            <w:r>
              <w:rPr>
                <w:rFonts w:ascii="Times New Roman" w:eastAsia="宋体" w:hAnsi="Times New Roman" w:cs="Times New Roman"/>
                <w:szCs w:val="21"/>
              </w:rPr>
              <w:t>”</w:t>
            </w:r>
            <w:r>
              <w:rPr>
                <w:rFonts w:ascii="Times New Roman" w:eastAsia="宋体" w:hAnsi="Times New Roman" w:cs="Times New Roman"/>
                <w:szCs w:val="21"/>
              </w:rPr>
              <w:t>处置原则和环保管理要求，落实各类固废的收集、处置和综合利用措施，实现固废零排放。废催化剂属危险废物，须委托具相应资质单位处置，并办理相关审批手续。固废厂内暂存场所应按《危险废物贮存污染控制标准》要求设置。</w:t>
            </w:r>
          </w:p>
        </w:tc>
        <w:tc>
          <w:tcPr>
            <w:tcW w:w="2192" w:type="pct"/>
            <w:tcBorders>
              <w:top w:val="single" w:sz="4" w:space="0" w:color="auto"/>
              <w:left w:val="single" w:sz="4" w:space="0" w:color="auto"/>
              <w:bottom w:val="single" w:sz="4" w:space="0" w:color="auto"/>
              <w:right w:val="single" w:sz="4" w:space="0" w:color="auto"/>
            </w:tcBorders>
            <w:vAlign w:val="center"/>
          </w:tcPr>
          <w:p w14:paraId="37F9B3DD"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生活垃圾由环卫所定期清运，酒精生产杂质和废脱硫剂作为建材，用于平整原低洼用地，酒糟固废和污泥用作有机肥料改良盐碱土壤，干燥后酒糟部分用于园区供热中心燃料，部分用作有机肥。废硫酸委托连云港铃木组废弃物处理有限公司处理处置，目前尚无废硫酸转移，转移手续正在办理中，设置了地上储存场和地下不锈钢储存罐用于临时堆放废硫酸，暂存场所采取了防雨、防淋、防渗等措施。验收监测期间，固废实现零排放。</w:t>
            </w:r>
          </w:p>
        </w:tc>
      </w:tr>
      <w:tr w:rsidR="002133E3" w14:paraId="6489C34C" w14:textId="77777777">
        <w:trPr>
          <w:trHeight w:val="454"/>
          <w:jc w:val="center"/>
        </w:trPr>
        <w:tc>
          <w:tcPr>
            <w:tcW w:w="281" w:type="pct"/>
            <w:tcBorders>
              <w:top w:val="single" w:sz="4" w:space="0" w:color="auto"/>
              <w:left w:val="single" w:sz="4" w:space="0" w:color="auto"/>
              <w:bottom w:val="single" w:sz="4" w:space="0" w:color="auto"/>
              <w:right w:val="single" w:sz="4" w:space="0" w:color="auto"/>
            </w:tcBorders>
            <w:vAlign w:val="center"/>
          </w:tcPr>
          <w:p w14:paraId="23CF8292"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6</w:t>
            </w:r>
          </w:p>
        </w:tc>
        <w:tc>
          <w:tcPr>
            <w:tcW w:w="2527" w:type="pct"/>
            <w:tcBorders>
              <w:top w:val="single" w:sz="4" w:space="0" w:color="auto"/>
              <w:left w:val="single" w:sz="4" w:space="0" w:color="auto"/>
              <w:bottom w:val="single" w:sz="4" w:space="0" w:color="auto"/>
              <w:right w:val="single" w:sz="4" w:space="0" w:color="auto"/>
            </w:tcBorders>
            <w:vAlign w:val="center"/>
          </w:tcPr>
          <w:p w14:paraId="6AD0DFF9"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按《江苏省排污口设置及规范化整治管理办法》（苏环控</w:t>
            </w:r>
            <w:r>
              <w:rPr>
                <w:rFonts w:ascii="Times New Roman" w:eastAsia="宋体" w:hAnsi="Times New Roman" w:cs="Times New Roman"/>
                <w:szCs w:val="21"/>
              </w:rPr>
              <w:t>[1997]122</w:t>
            </w:r>
            <w:r>
              <w:rPr>
                <w:rFonts w:ascii="Times New Roman" w:eastAsia="宋体" w:hAnsi="Times New Roman" w:cs="Times New Roman"/>
                <w:szCs w:val="21"/>
              </w:rPr>
              <w:t>号）的要求设置各类排污口和标识，废气排放筒应合理设置采样口、采样监测平台，污水接管口和清下水排口设置流量计和在线监测仪器，并与当地环保部门污染源监控系统联网。按报告书所列监测方案实施环境监测。</w:t>
            </w:r>
          </w:p>
        </w:tc>
        <w:tc>
          <w:tcPr>
            <w:tcW w:w="2192" w:type="pct"/>
            <w:tcBorders>
              <w:top w:val="single" w:sz="4" w:space="0" w:color="auto"/>
              <w:left w:val="single" w:sz="4" w:space="0" w:color="auto"/>
              <w:bottom w:val="single" w:sz="4" w:space="0" w:color="auto"/>
              <w:right w:val="single" w:sz="4" w:space="0" w:color="auto"/>
            </w:tcBorders>
            <w:vAlign w:val="center"/>
          </w:tcPr>
          <w:p w14:paraId="6A2D3CFE"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废气排气筒设置监测孔和采样平台，设置标志牌。废水接管口设置标志牌，安装流量计和</w:t>
            </w:r>
            <w:r>
              <w:rPr>
                <w:rFonts w:ascii="Times New Roman" w:eastAsia="宋体" w:hAnsi="Times New Roman" w:cs="Times New Roman"/>
                <w:szCs w:val="21"/>
              </w:rPr>
              <w:t>COD</w:t>
            </w:r>
            <w:r>
              <w:rPr>
                <w:rFonts w:ascii="Times New Roman" w:eastAsia="宋体" w:hAnsi="Times New Roman" w:cs="Times New Roman"/>
                <w:szCs w:val="21"/>
              </w:rPr>
              <w:t>在线监测仪，并与环保局联网。委托赣榆县监测站按报告书所列监测方案实施环境监测。</w:t>
            </w:r>
          </w:p>
        </w:tc>
      </w:tr>
      <w:tr w:rsidR="002133E3" w14:paraId="35BBB851" w14:textId="77777777">
        <w:trPr>
          <w:trHeight w:val="454"/>
          <w:jc w:val="center"/>
        </w:trPr>
        <w:tc>
          <w:tcPr>
            <w:tcW w:w="281" w:type="pct"/>
            <w:tcBorders>
              <w:top w:val="single" w:sz="4" w:space="0" w:color="auto"/>
              <w:left w:val="single" w:sz="4" w:space="0" w:color="auto"/>
              <w:bottom w:val="single" w:sz="4" w:space="0" w:color="auto"/>
              <w:right w:val="single" w:sz="4" w:space="0" w:color="auto"/>
            </w:tcBorders>
            <w:vAlign w:val="center"/>
          </w:tcPr>
          <w:p w14:paraId="1416317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7</w:t>
            </w:r>
          </w:p>
        </w:tc>
        <w:tc>
          <w:tcPr>
            <w:tcW w:w="2527" w:type="pct"/>
            <w:tcBorders>
              <w:top w:val="single" w:sz="4" w:space="0" w:color="auto"/>
              <w:left w:val="single" w:sz="4" w:space="0" w:color="auto"/>
              <w:bottom w:val="single" w:sz="4" w:space="0" w:color="auto"/>
              <w:right w:val="single" w:sz="4" w:space="0" w:color="auto"/>
            </w:tcBorders>
            <w:vAlign w:val="center"/>
          </w:tcPr>
          <w:p w14:paraId="3273BF67"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项目贮罐区周围设置</w:t>
            </w:r>
            <w:r>
              <w:rPr>
                <w:rFonts w:ascii="Times New Roman" w:eastAsia="宋体" w:hAnsi="Times New Roman" w:cs="Times New Roman"/>
                <w:szCs w:val="21"/>
              </w:rPr>
              <w:t>400m</w:t>
            </w:r>
            <w:r>
              <w:rPr>
                <w:rFonts w:ascii="Times New Roman" w:eastAsia="宋体" w:hAnsi="Times New Roman" w:cs="Times New Roman"/>
                <w:szCs w:val="21"/>
              </w:rPr>
              <w:t>卫生防护距离，污水处理站周围设置</w:t>
            </w:r>
            <w:r>
              <w:rPr>
                <w:rFonts w:ascii="Times New Roman" w:eastAsia="宋体" w:hAnsi="Times New Roman" w:cs="Times New Roman"/>
                <w:szCs w:val="21"/>
              </w:rPr>
              <w:t>100m</w:t>
            </w:r>
            <w:r>
              <w:rPr>
                <w:rFonts w:ascii="Times New Roman" w:eastAsia="宋体" w:hAnsi="Times New Roman" w:cs="Times New Roman"/>
                <w:szCs w:val="21"/>
              </w:rPr>
              <w:t>卫生防护距离，该范围内不得新建居民点等环境敏感目标，已有的环境敏感目标须于本项目试生产前搬迁完毕。</w:t>
            </w:r>
          </w:p>
        </w:tc>
        <w:tc>
          <w:tcPr>
            <w:tcW w:w="2192" w:type="pct"/>
            <w:tcBorders>
              <w:top w:val="single" w:sz="4" w:space="0" w:color="auto"/>
              <w:left w:val="single" w:sz="4" w:space="0" w:color="auto"/>
              <w:bottom w:val="single" w:sz="4" w:space="0" w:color="auto"/>
              <w:right w:val="single" w:sz="4" w:space="0" w:color="auto"/>
            </w:tcBorders>
            <w:vAlign w:val="center"/>
          </w:tcPr>
          <w:p w14:paraId="1D8295DB"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贮罐区周围</w:t>
            </w:r>
            <w:r>
              <w:rPr>
                <w:rFonts w:ascii="Times New Roman" w:eastAsia="宋体" w:hAnsi="Times New Roman" w:cs="Times New Roman"/>
                <w:szCs w:val="21"/>
              </w:rPr>
              <w:t>400m</w:t>
            </w:r>
            <w:r>
              <w:rPr>
                <w:rFonts w:ascii="Times New Roman" w:eastAsia="宋体" w:hAnsi="Times New Roman" w:cs="Times New Roman"/>
                <w:szCs w:val="21"/>
              </w:rPr>
              <w:t>卫生防护距离，污水处理站周围</w:t>
            </w:r>
            <w:r>
              <w:rPr>
                <w:rFonts w:ascii="Times New Roman" w:eastAsia="宋体" w:hAnsi="Times New Roman" w:cs="Times New Roman"/>
                <w:szCs w:val="21"/>
              </w:rPr>
              <w:t>100m</w:t>
            </w:r>
            <w:r>
              <w:rPr>
                <w:rFonts w:ascii="Times New Roman" w:eastAsia="宋体" w:hAnsi="Times New Roman" w:cs="Times New Roman"/>
                <w:szCs w:val="21"/>
              </w:rPr>
              <w:t>卫生防护距离内均无环境敏感目标（居民搬迁说明见附件）。</w:t>
            </w:r>
          </w:p>
        </w:tc>
      </w:tr>
      <w:tr w:rsidR="002133E3" w14:paraId="6D44A0F3" w14:textId="77777777">
        <w:trPr>
          <w:trHeight w:val="454"/>
          <w:jc w:val="center"/>
        </w:trPr>
        <w:tc>
          <w:tcPr>
            <w:tcW w:w="281" w:type="pct"/>
            <w:tcBorders>
              <w:top w:val="single" w:sz="4" w:space="0" w:color="auto"/>
              <w:left w:val="single" w:sz="4" w:space="0" w:color="auto"/>
              <w:bottom w:val="single" w:sz="4" w:space="0" w:color="auto"/>
              <w:right w:val="single" w:sz="4" w:space="0" w:color="auto"/>
            </w:tcBorders>
            <w:vAlign w:val="center"/>
          </w:tcPr>
          <w:p w14:paraId="7D9AD962"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8</w:t>
            </w:r>
          </w:p>
        </w:tc>
        <w:tc>
          <w:tcPr>
            <w:tcW w:w="2527" w:type="pct"/>
            <w:tcBorders>
              <w:top w:val="single" w:sz="4" w:space="0" w:color="auto"/>
              <w:left w:val="single" w:sz="4" w:space="0" w:color="auto"/>
              <w:bottom w:val="single" w:sz="4" w:space="0" w:color="auto"/>
              <w:right w:val="single" w:sz="4" w:space="0" w:color="auto"/>
            </w:tcBorders>
            <w:vAlign w:val="center"/>
          </w:tcPr>
          <w:p w14:paraId="38927C4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严格落实报告书提出的事故风险防范措施和应急预案，防止生产过程、储运过程及污染治理设施事故发生。设置足够容量的事故池，严禁事故废水直接排放。</w:t>
            </w:r>
            <w:r>
              <w:rPr>
                <w:rFonts w:ascii="Times New Roman" w:eastAsia="宋体" w:hAnsi="Times New Roman" w:cs="Times New Roman"/>
                <w:szCs w:val="21"/>
              </w:rPr>
              <w:lastRenderedPageBreak/>
              <w:t>危险化学品储罐区和使用危险化学品的生产装置周边应设置物料泄露应急截流沟，防止泄漏物料进入外环境。</w:t>
            </w:r>
          </w:p>
        </w:tc>
        <w:tc>
          <w:tcPr>
            <w:tcW w:w="2192" w:type="pct"/>
            <w:tcBorders>
              <w:top w:val="single" w:sz="4" w:space="0" w:color="auto"/>
              <w:left w:val="single" w:sz="4" w:space="0" w:color="auto"/>
              <w:bottom w:val="single" w:sz="4" w:space="0" w:color="auto"/>
              <w:right w:val="single" w:sz="4" w:space="0" w:color="auto"/>
            </w:tcBorders>
            <w:vAlign w:val="center"/>
          </w:tcPr>
          <w:p w14:paraId="66B5F353" w14:textId="77777777" w:rsidR="002133E3" w:rsidRDefault="00C22CFA">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lastRenderedPageBreak/>
              <w:t>为及时处理突发环境事故，公司于</w:t>
            </w:r>
            <w:r>
              <w:rPr>
                <w:rFonts w:ascii="Times New Roman" w:eastAsia="宋体" w:hAnsi="Times New Roman" w:cs="Times New Roman"/>
                <w:szCs w:val="21"/>
              </w:rPr>
              <w:t>2011</w:t>
            </w:r>
            <w:r>
              <w:rPr>
                <w:rFonts w:ascii="Times New Roman" w:eastAsia="宋体" w:hAnsi="Times New Roman" w:cs="Times New Roman"/>
                <w:szCs w:val="21"/>
              </w:rPr>
              <w:t>年</w:t>
            </w:r>
            <w:r>
              <w:rPr>
                <w:rFonts w:ascii="Times New Roman" w:eastAsia="宋体" w:hAnsi="Times New Roman" w:cs="Times New Roman"/>
                <w:szCs w:val="21"/>
              </w:rPr>
              <w:t>2</w:t>
            </w:r>
            <w:r>
              <w:rPr>
                <w:rFonts w:ascii="Times New Roman" w:eastAsia="宋体" w:hAnsi="Times New Roman" w:cs="Times New Roman"/>
                <w:szCs w:val="21"/>
              </w:rPr>
              <w:t>月制定了突发环境事故应急预案，</w:t>
            </w:r>
            <w:r>
              <w:rPr>
                <w:rFonts w:ascii="Times New Roman" w:eastAsia="宋体" w:hAnsi="Times New Roman" w:cs="Times New Roman"/>
                <w:szCs w:val="21"/>
              </w:rPr>
              <w:t>3</w:t>
            </w:r>
            <w:r>
              <w:rPr>
                <w:rFonts w:ascii="Times New Roman" w:eastAsia="宋体" w:hAnsi="Times New Roman" w:cs="Times New Roman"/>
                <w:szCs w:val="21"/>
              </w:rPr>
              <w:t>月</w:t>
            </w:r>
            <w:r>
              <w:rPr>
                <w:rFonts w:ascii="Times New Roman" w:eastAsia="宋体" w:hAnsi="Times New Roman" w:cs="Times New Roman"/>
                <w:szCs w:val="21"/>
              </w:rPr>
              <w:t>1</w:t>
            </w:r>
            <w:r>
              <w:rPr>
                <w:rFonts w:ascii="Times New Roman" w:eastAsia="宋体" w:hAnsi="Times New Roman" w:cs="Times New Roman"/>
                <w:szCs w:val="21"/>
              </w:rPr>
              <w:t>日开始实施。建立</w:t>
            </w:r>
            <w:r>
              <w:rPr>
                <w:rFonts w:ascii="Times New Roman" w:eastAsia="宋体" w:hAnsi="Times New Roman" w:cs="Times New Roman"/>
                <w:szCs w:val="21"/>
              </w:rPr>
              <w:t>10000</w:t>
            </w:r>
            <w:r>
              <w:rPr>
                <w:rFonts w:ascii="Times New Roman" w:eastAsia="宋体" w:hAnsi="Times New Roman" w:cs="Times New Roman"/>
                <w:szCs w:val="21"/>
              </w:rPr>
              <w:t>事故应急池。醋酸、酒精、</w:t>
            </w:r>
            <w:r>
              <w:rPr>
                <w:rFonts w:ascii="Times New Roman" w:eastAsia="宋体" w:hAnsi="Times New Roman" w:cs="Times New Roman"/>
                <w:szCs w:val="21"/>
              </w:rPr>
              <w:lastRenderedPageBreak/>
              <w:t>乙酯及中间产品储罐区设置应急截流沟、水封井等应急措施。验收监测期间，无事故废水排放。</w:t>
            </w:r>
          </w:p>
        </w:tc>
      </w:tr>
      <w:tr w:rsidR="002133E3" w14:paraId="199D1D52" w14:textId="77777777">
        <w:trPr>
          <w:trHeight w:val="454"/>
          <w:jc w:val="center"/>
        </w:trPr>
        <w:tc>
          <w:tcPr>
            <w:tcW w:w="281" w:type="pct"/>
            <w:tcBorders>
              <w:top w:val="single" w:sz="4" w:space="0" w:color="auto"/>
              <w:left w:val="single" w:sz="4" w:space="0" w:color="auto"/>
              <w:bottom w:val="single" w:sz="4" w:space="0" w:color="auto"/>
              <w:right w:val="single" w:sz="4" w:space="0" w:color="auto"/>
            </w:tcBorders>
            <w:vAlign w:val="center"/>
          </w:tcPr>
          <w:p w14:paraId="7CDF7665"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lastRenderedPageBreak/>
              <w:t>9</w:t>
            </w:r>
          </w:p>
        </w:tc>
        <w:tc>
          <w:tcPr>
            <w:tcW w:w="2527" w:type="pct"/>
            <w:tcBorders>
              <w:top w:val="single" w:sz="4" w:space="0" w:color="auto"/>
              <w:left w:val="single" w:sz="4" w:space="0" w:color="auto"/>
              <w:bottom w:val="single" w:sz="4" w:space="0" w:color="auto"/>
              <w:right w:val="single" w:sz="4" w:space="0" w:color="auto"/>
            </w:tcBorders>
            <w:vAlign w:val="center"/>
          </w:tcPr>
          <w:p w14:paraId="23CE0517"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按苏环控</w:t>
            </w:r>
            <w:r>
              <w:rPr>
                <w:rFonts w:ascii="Times New Roman" w:eastAsia="宋体" w:hAnsi="Times New Roman" w:cs="Times New Roman"/>
                <w:szCs w:val="21"/>
              </w:rPr>
              <w:t>[2007]15</w:t>
            </w:r>
            <w:r>
              <w:rPr>
                <w:rFonts w:ascii="Times New Roman" w:eastAsia="宋体" w:hAnsi="Times New Roman" w:cs="Times New Roman"/>
                <w:szCs w:val="21"/>
              </w:rPr>
              <w:t>号文及报告书提出的要求，积极开展厂区绿化工作，建设厂界绿化隔离带，以减轻废气和噪声对周围环境的影响。</w:t>
            </w:r>
          </w:p>
        </w:tc>
        <w:tc>
          <w:tcPr>
            <w:tcW w:w="2192" w:type="pct"/>
            <w:tcBorders>
              <w:top w:val="single" w:sz="4" w:space="0" w:color="auto"/>
              <w:left w:val="single" w:sz="4" w:space="0" w:color="auto"/>
              <w:bottom w:val="single" w:sz="4" w:space="0" w:color="auto"/>
              <w:right w:val="single" w:sz="4" w:space="0" w:color="auto"/>
            </w:tcBorders>
            <w:vAlign w:val="center"/>
          </w:tcPr>
          <w:p w14:paraId="31A61BB2"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占地面积：</w:t>
            </w:r>
            <w:r>
              <w:rPr>
                <w:rFonts w:ascii="Times New Roman" w:eastAsia="宋体" w:hAnsi="Times New Roman" w:cs="Times New Roman"/>
                <w:szCs w:val="21"/>
              </w:rPr>
              <w:t>1371976m³</w:t>
            </w:r>
            <w:r>
              <w:rPr>
                <w:rFonts w:ascii="Times New Roman" w:eastAsia="宋体" w:hAnsi="Times New Roman" w:cs="Times New Roman"/>
                <w:szCs w:val="21"/>
                <w:vertAlign w:val="superscript"/>
              </w:rPr>
              <w:t xml:space="preserve"> </w:t>
            </w:r>
            <w:r>
              <w:rPr>
                <w:rFonts w:ascii="Times New Roman" w:eastAsia="宋体" w:hAnsi="Times New Roman" w:cs="Times New Roman"/>
                <w:szCs w:val="21"/>
              </w:rPr>
              <w:t xml:space="preserve">         </w:t>
            </w:r>
            <w:r>
              <w:rPr>
                <w:rFonts w:ascii="Times New Roman" w:eastAsia="宋体" w:hAnsi="Times New Roman" w:cs="Times New Roman"/>
                <w:szCs w:val="21"/>
              </w:rPr>
              <w:t>实际绿化面积：</w:t>
            </w:r>
            <w:r>
              <w:rPr>
                <w:rFonts w:ascii="Times New Roman" w:eastAsia="宋体" w:hAnsi="Times New Roman" w:cs="Times New Roman"/>
                <w:szCs w:val="21"/>
              </w:rPr>
              <w:t xml:space="preserve">200000m³  </w:t>
            </w:r>
            <w:r>
              <w:rPr>
                <w:rFonts w:ascii="Times New Roman" w:eastAsia="宋体" w:hAnsi="Times New Roman" w:cs="Times New Roman"/>
                <w:szCs w:val="21"/>
              </w:rPr>
              <w:t>，绿化率情况</w:t>
            </w:r>
            <w:r>
              <w:rPr>
                <w:rFonts w:ascii="Times New Roman" w:eastAsia="宋体" w:hAnsi="Times New Roman" w:cs="Times New Roman"/>
                <w:szCs w:val="21"/>
              </w:rPr>
              <w:t>14.5%</w:t>
            </w:r>
          </w:p>
          <w:p w14:paraId="4C815B6C" w14:textId="77777777" w:rsidR="002133E3" w:rsidRDefault="002133E3">
            <w:pPr>
              <w:adjustRightInd w:val="0"/>
              <w:snapToGrid w:val="0"/>
              <w:jc w:val="center"/>
              <w:rPr>
                <w:rFonts w:ascii="Times New Roman" w:eastAsia="宋体" w:hAnsi="Times New Roman" w:cs="Times New Roman"/>
                <w:szCs w:val="21"/>
              </w:rPr>
            </w:pPr>
          </w:p>
        </w:tc>
      </w:tr>
    </w:tbl>
    <w:p w14:paraId="3B7A9986"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bCs/>
          <w:sz w:val="28"/>
          <w:szCs w:val="28"/>
        </w:rPr>
        <w:t>年产</w:t>
      </w:r>
      <w:r>
        <w:rPr>
          <w:rFonts w:ascii="Times New Roman" w:eastAsia="宋体" w:hAnsi="Times New Roman" w:cs="Times New Roman"/>
          <w:bCs/>
          <w:sz w:val="28"/>
          <w:szCs w:val="28"/>
        </w:rPr>
        <w:t>6</w:t>
      </w:r>
      <w:r>
        <w:rPr>
          <w:rFonts w:ascii="Times New Roman" w:eastAsia="宋体" w:hAnsi="Times New Roman" w:cs="Times New Roman"/>
          <w:bCs/>
          <w:sz w:val="28"/>
          <w:szCs w:val="28"/>
        </w:rPr>
        <w:t>万吨发酵法混合物技改项目</w:t>
      </w:r>
      <w:r>
        <w:rPr>
          <w:rFonts w:ascii="Times New Roman" w:eastAsia="宋体" w:hAnsi="Times New Roman" w:cs="Times New Roman"/>
          <w:sz w:val="28"/>
          <w:szCs w:val="28"/>
        </w:rPr>
        <w:t>环评核准意见及落实情况分析表见表</w:t>
      </w:r>
      <w:r>
        <w:rPr>
          <w:rFonts w:ascii="Times New Roman" w:eastAsia="宋体" w:hAnsi="Times New Roman" w:cs="Times New Roman"/>
          <w:sz w:val="28"/>
          <w:szCs w:val="28"/>
        </w:rPr>
        <w:t>3.2-26</w:t>
      </w:r>
      <w:r>
        <w:rPr>
          <w:rFonts w:ascii="Times New Roman" w:eastAsia="宋体" w:hAnsi="Times New Roman" w:cs="Times New Roman"/>
          <w:sz w:val="28"/>
          <w:szCs w:val="28"/>
        </w:rPr>
        <w:t>。</w:t>
      </w:r>
    </w:p>
    <w:p w14:paraId="69606F23"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3.2-26 </w:t>
      </w:r>
      <w:r>
        <w:rPr>
          <w:rFonts w:ascii="Times New Roman" w:eastAsia="宋体" w:hAnsi="Times New Roman" w:cs="Times New Roman"/>
          <w:b/>
          <w:szCs w:val="24"/>
        </w:rPr>
        <w:t>年产</w:t>
      </w:r>
      <w:r>
        <w:rPr>
          <w:rFonts w:ascii="Times New Roman" w:eastAsia="宋体" w:hAnsi="Times New Roman" w:cs="Times New Roman"/>
          <w:b/>
          <w:szCs w:val="24"/>
        </w:rPr>
        <w:t>6</w:t>
      </w:r>
      <w:r>
        <w:rPr>
          <w:rFonts w:ascii="Times New Roman" w:eastAsia="宋体" w:hAnsi="Times New Roman" w:cs="Times New Roman"/>
          <w:b/>
          <w:szCs w:val="24"/>
        </w:rPr>
        <w:t>万吨发酵法混合物技改项目环评核准意见落实情况分析表</w:t>
      </w:r>
    </w:p>
    <w:tbl>
      <w:tblPr>
        <w:tblW w:w="50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32"/>
        <w:gridCol w:w="5948"/>
        <w:gridCol w:w="3061"/>
      </w:tblGrid>
      <w:tr w:rsidR="002133E3" w14:paraId="1D455CEA" w14:textId="77777777">
        <w:trPr>
          <w:trHeight w:val="397"/>
        </w:trPr>
        <w:tc>
          <w:tcPr>
            <w:tcW w:w="376" w:type="pct"/>
            <w:vAlign w:val="center"/>
          </w:tcPr>
          <w:p w14:paraId="33947A2A"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序号</w:t>
            </w:r>
            <w:proofErr w:type="spellEnd"/>
          </w:p>
        </w:tc>
        <w:tc>
          <w:tcPr>
            <w:tcW w:w="3050" w:type="pct"/>
            <w:vAlign w:val="center"/>
          </w:tcPr>
          <w:p w14:paraId="621F7F0A"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环评批复要求</w:t>
            </w:r>
            <w:proofErr w:type="spellEnd"/>
          </w:p>
        </w:tc>
        <w:tc>
          <w:tcPr>
            <w:tcW w:w="1572" w:type="pct"/>
            <w:vAlign w:val="center"/>
          </w:tcPr>
          <w:p w14:paraId="6D597E0B" w14:textId="77777777" w:rsidR="002133E3" w:rsidRDefault="00C22CFA">
            <w:pPr>
              <w:spacing w:line="0" w:lineRule="atLeast"/>
              <w:jc w:val="center"/>
              <w:rPr>
                <w:rFonts w:ascii="Times New Roman" w:eastAsia="宋体" w:hAnsi="Times New Roman" w:cs="Times New Roman"/>
                <w:kern w:val="0"/>
                <w:szCs w:val="21"/>
                <w:lang w:eastAsia="en-US"/>
              </w:rPr>
            </w:pPr>
            <w:proofErr w:type="spellStart"/>
            <w:r>
              <w:rPr>
                <w:rFonts w:ascii="Times New Roman" w:eastAsia="宋体" w:hAnsi="Times New Roman" w:cs="Times New Roman"/>
                <w:b/>
                <w:bCs/>
                <w:kern w:val="0"/>
                <w:szCs w:val="21"/>
                <w:lang w:eastAsia="en-US"/>
              </w:rPr>
              <w:t>落实情况</w:t>
            </w:r>
            <w:proofErr w:type="spellEnd"/>
          </w:p>
        </w:tc>
      </w:tr>
      <w:tr w:rsidR="002133E3" w14:paraId="178ADA57" w14:textId="77777777">
        <w:trPr>
          <w:trHeight w:val="397"/>
        </w:trPr>
        <w:tc>
          <w:tcPr>
            <w:tcW w:w="376" w:type="pct"/>
            <w:vAlign w:val="center"/>
          </w:tcPr>
          <w:p w14:paraId="090A4CA9"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1</w:t>
            </w:r>
          </w:p>
        </w:tc>
        <w:tc>
          <w:tcPr>
            <w:tcW w:w="3050" w:type="pct"/>
            <w:vAlign w:val="center"/>
          </w:tcPr>
          <w:p w14:paraId="6B2BA617"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落实水污染物防治措施。按照</w:t>
            </w:r>
            <w:r>
              <w:rPr>
                <w:rFonts w:ascii="Times New Roman" w:eastAsia="宋体" w:hAnsi="Times New Roman" w:cs="Times New Roman"/>
                <w:spacing w:val="-3"/>
                <w:kern w:val="0"/>
                <w:szCs w:val="21"/>
              </w:rPr>
              <w:t>原则完善厂区排水系统。主生产区地面、厂内废</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水预处理系统、事故废水池、消防废水池须采取严格完善的防</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渗措施，防止渗漏污染土壤及地下水。严禁生产废水、冲洗废</w:t>
            </w:r>
            <w:r>
              <w:rPr>
                <w:rFonts w:ascii="Times New Roman" w:eastAsia="宋体" w:hAnsi="Times New Roman" w:cs="Times New Roman"/>
                <w:spacing w:val="-3"/>
                <w:kern w:val="0"/>
                <w:szCs w:val="21"/>
              </w:rPr>
              <w:t>水混入清下水管网。项目建成运行后，发酵后沼液与工艺废水、</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废气处理水、生活污水、地面及设备冲洗废水和初期雨水一同</w:t>
            </w:r>
            <w:r>
              <w:rPr>
                <w:rFonts w:ascii="Times New Roman" w:eastAsia="宋体" w:hAnsi="Times New Roman" w:cs="Times New Roman"/>
                <w:w w:val="99"/>
                <w:kern w:val="0"/>
                <w:szCs w:val="21"/>
              </w:rPr>
              <w:t xml:space="preserve"> </w:t>
            </w:r>
            <w:r>
              <w:rPr>
                <w:rFonts w:ascii="Times New Roman" w:eastAsia="宋体" w:hAnsi="Times New Roman" w:cs="Times New Roman"/>
                <w:spacing w:val="-3"/>
                <w:kern w:val="0"/>
                <w:szCs w:val="21"/>
              </w:rPr>
              <w:t>进入污水站</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厌氧</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气浮</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三级厌氧</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好氧</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段进行处理。经处理达</w:t>
            </w:r>
            <w:r>
              <w:rPr>
                <w:rFonts w:ascii="Times New Roman" w:eastAsia="宋体" w:hAnsi="Times New Roman" w:cs="Times New Roman"/>
                <w:kern w:val="0"/>
                <w:szCs w:val="21"/>
              </w:rPr>
              <w:t>《报告书》所列标准后排入产业区污水管网，进入园区污水处</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理厂集中处理。</w:t>
            </w:r>
          </w:p>
        </w:tc>
        <w:tc>
          <w:tcPr>
            <w:tcW w:w="1572" w:type="pct"/>
            <w:vAlign w:val="center"/>
          </w:tcPr>
          <w:p w14:paraId="048FB120"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项目</w:t>
            </w:r>
            <w:r>
              <w:rPr>
                <w:rFonts w:ascii="Times New Roman" w:eastAsia="宋体" w:hAnsi="Times New Roman" w:cs="Times New Roman"/>
                <w:kern w:val="0"/>
                <w:szCs w:val="21"/>
              </w:rPr>
              <w:t>“</w:t>
            </w:r>
            <w:r>
              <w:rPr>
                <w:rFonts w:ascii="Times New Roman" w:eastAsia="宋体" w:hAnsi="Times New Roman" w:cs="Times New Roman"/>
                <w:kern w:val="0"/>
                <w:szCs w:val="21"/>
              </w:rPr>
              <w:t>清污分流、雨污分流、一水多</w:t>
            </w:r>
            <w:r>
              <w:rPr>
                <w:rFonts w:ascii="Times New Roman" w:eastAsia="宋体" w:hAnsi="Times New Roman" w:cs="Times New Roman"/>
                <w:spacing w:val="-3"/>
                <w:kern w:val="0"/>
                <w:szCs w:val="21"/>
              </w:rPr>
              <w:t>用、分质处理</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，发酵后沼液与工艺废水、</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废气处理水、生活污水、地面及设备冲洗废水和初期雨水一同</w:t>
            </w:r>
            <w:r>
              <w:rPr>
                <w:rFonts w:ascii="Times New Roman" w:eastAsia="宋体" w:hAnsi="Times New Roman" w:cs="Times New Roman"/>
                <w:w w:val="99"/>
                <w:kern w:val="0"/>
                <w:szCs w:val="21"/>
              </w:rPr>
              <w:t xml:space="preserve"> </w:t>
            </w:r>
            <w:r>
              <w:rPr>
                <w:rFonts w:ascii="Times New Roman" w:eastAsia="宋体" w:hAnsi="Times New Roman" w:cs="Times New Roman"/>
                <w:spacing w:val="-3"/>
                <w:kern w:val="0"/>
                <w:szCs w:val="21"/>
              </w:rPr>
              <w:t>进入污水站</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厌氧</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气浮</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三级厌氧</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好氧</w:t>
            </w:r>
            <w:r>
              <w:rPr>
                <w:rFonts w:ascii="Times New Roman" w:eastAsia="宋体" w:hAnsi="Times New Roman" w:cs="Times New Roman"/>
                <w:spacing w:val="-3"/>
                <w:kern w:val="0"/>
                <w:szCs w:val="21"/>
              </w:rPr>
              <w:t>”</w:t>
            </w:r>
            <w:r>
              <w:rPr>
                <w:rFonts w:ascii="Times New Roman" w:eastAsia="宋体" w:hAnsi="Times New Roman" w:cs="Times New Roman"/>
                <w:spacing w:val="-3"/>
                <w:kern w:val="0"/>
                <w:szCs w:val="21"/>
              </w:rPr>
              <w:t>段进行处理。经处理达</w:t>
            </w:r>
            <w:r>
              <w:rPr>
                <w:rFonts w:ascii="Times New Roman" w:eastAsia="宋体" w:hAnsi="Times New Roman" w:cs="Times New Roman"/>
                <w:kern w:val="0"/>
                <w:szCs w:val="21"/>
              </w:rPr>
              <w:t>《报告书》所列标准后排入产业区污水管网，进入园区污水处</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理厂集中处理。</w:t>
            </w:r>
          </w:p>
        </w:tc>
      </w:tr>
      <w:tr w:rsidR="002133E3" w14:paraId="1C633E30" w14:textId="77777777">
        <w:trPr>
          <w:trHeight w:val="397"/>
        </w:trPr>
        <w:tc>
          <w:tcPr>
            <w:tcW w:w="376" w:type="pct"/>
            <w:vAlign w:val="center"/>
          </w:tcPr>
          <w:p w14:paraId="44E6FA8C"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2</w:t>
            </w:r>
          </w:p>
        </w:tc>
        <w:tc>
          <w:tcPr>
            <w:tcW w:w="3050" w:type="pct"/>
            <w:vAlign w:val="center"/>
          </w:tcPr>
          <w:p w14:paraId="6C269683"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强化大气污染物的收集控制。污染物应采取有效的环保治理措得低于《报告书》所列。粉尘、乙醛执行《大气污染物综合排施，确保稳定达标排放。项目新增排气筒</w:t>
            </w:r>
            <w:r>
              <w:rPr>
                <w:rFonts w:ascii="Times New Roman" w:eastAsia="宋体" w:hAnsi="Times New Roman" w:cs="Times New Roman"/>
                <w:spacing w:val="-49"/>
                <w:kern w:val="0"/>
                <w:szCs w:val="21"/>
              </w:rPr>
              <w:t xml:space="preserve"> </w:t>
            </w:r>
            <w:r>
              <w:rPr>
                <w:rFonts w:ascii="Times New Roman" w:eastAsia="宋体" w:hAnsi="Times New Roman" w:cs="Times New Roman"/>
                <w:kern w:val="0"/>
                <w:szCs w:val="21"/>
              </w:rPr>
              <w:t>5</w:t>
            </w:r>
            <w:r>
              <w:rPr>
                <w:rFonts w:ascii="Times New Roman" w:eastAsia="宋体" w:hAnsi="Times New Roman" w:cs="Times New Roman"/>
                <w:spacing w:val="5"/>
                <w:kern w:val="0"/>
                <w:szCs w:val="21"/>
              </w:rPr>
              <w:t xml:space="preserve"> </w:t>
            </w:r>
            <w:r>
              <w:rPr>
                <w:rFonts w:ascii="Times New Roman" w:eastAsia="宋体" w:hAnsi="Times New Roman" w:cs="Times New Roman"/>
                <w:kern w:val="0"/>
                <w:szCs w:val="21"/>
              </w:rPr>
              <w:t>座，其高度不放标准》</w:t>
            </w:r>
            <w:r>
              <w:rPr>
                <w:rFonts w:ascii="Times New Roman" w:eastAsia="宋体" w:hAnsi="Times New Roman" w:cs="Times New Roman"/>
                <w:kern w:val="0"/>
                <w:szCs w:val="21"/>
              </w:rPr>
              <w:t>(</w:t>
            </w:r>
            <w:r>
              <w:rPr>
                <w:rFonts w:ascii="Times New Roman" w:eastAsia="宋体" w:hAnsi="Times New Roman" w:cs="Times New Roman"/>
                <w:spacing w:val="-15"/>
                <w:kern w:val="0"/>
                <w:szCs w:val="21"/>
              </w:rPr>
              <w:t xml:space="preserve"> </w:t>
            </w:r>
            <w:r>
              <w:rPr>
                <w:rFonts w:ascii="Times New Roman" w:eastAsia="宋体" w:hAnsi="Times New Roman" w:cs="Times New Roman"/>
                <w:kern w:val="0"/>
                <w:szCs w:val="21"/>
              </w:rPr>
              <w:t>GB16297-1996)</w:t>
            </w:r>
            <w:r>
              <w:rPr>
                <w:rFonts w:ascii="Times New Roman" w:eastAsia="宋体" w:hAnsi="Times New Roman" w:cs="Times New Roman"/>
                <w:kern w:val="0"/>
                <w:szCs w:val="21"/>
              </w:rPr>
              <w:t>中的二级标准，臭气浓度及硫化氢执行《恶臭污染物排放标准》</w:t>
            </w:r>
            <w:r>
              <w:rPr>
                <w:rFonts w:ascii="Times New Roman" w:eastAsia="宋体" w:hAnsi="Times New Roman" w:cs="Times New Roman"/>
                <w:kern w:val="0"/>
                <w:szCs w:val="21"/>
              </w:rPr>
              <w:t>(GB14554-9</w:t>
            </w:r>
            <w:r>
              <w:rPr>
                <w:rFonts w:ascii="Times New Roman" w:eastAsia="宋体" w:hAnsi="Times New Roman" w:cs="Times New Roman"/>
                <w:spacing w:val="-14"/>
                <w:kern w:val="0"/>
                <w:szCs w:val="21"/>
              </w:rPr>
              <w:t xml:space="preserve"> </w:t>
            </w:r>
            <w:r>
              <w:rPr>
                <w:rFonts w:ascii="Times New Roman" w:eastAsia="宋体" w:hAnsi="Times New Roman" w:cs="Times New Roman"/>
                <w:kern w:val="0"/>
                <w:szCs w:val="21"/>
              </w:rPr>
              <w:t>3)</w:t>
            </w:r>
            <w:r>
              <w:rPr>
                <w:rFonts w:ascii="Times New Roman" w:eastAsia="宋体" w:hAnsi="Times New Roman" w:cs="Times New Roman"/>
                <w:kern w:val="0"/>
                <w:szCs w:val="21"/>
              </w:rPr>
              <w:t>二级标准：丙酮排放</w:t>
            </w:r>
            <w:r>
              <w:rPr>
                <w:rFonts w:ascii="Times New Roman" w:eastAsia="宋体" w:hAnsi="Times New Roman" w:cs="Times New Roman"/>
                <w:spacing w:val="-78"/>
                <w:kern w:val="0"/>
                <w:szCs w:val="21"/>
              </w:rPr>
              <w:t xml:space="preserve"> </w:t>
            </w:r>
            <w:r>
              <w:rPr>
                <w:rFonts w:ascii="Times New Roman" w:eastAsia="宋体" w:hAnsi="Times New Roman" w:cs="Times New Roman"/>
                <w:kern w:val="0"/>
                <w:szCs w:val="21"/>
              </w:rPr>
              <w:t>限</w:t>
            </w:r>
            <w:r>
              <w:rPr>
                <w:rFonts w:ascii="Times New Roman" w:eastAsia="宋体" w:hAnsi="Times New Roman" w:cs="Times New Roman"/>
                <w:spacing w:val="-75"/>
                <w:kern w:val="0"/>
                <w:szCs w:val="21"/>
              </w:rPr>
              <w:t xml:space="preserve"> </w:t>
            </w:r>
            <w:r>
              <w:rPr>
                <w:rFonts w:ascii="Times New Roman" w:eastAsia="宋体" w:hAnsi="Times New Roman" w:cs="Times New Roman"/>
                <w:kern w:val="0"/>
                <w:szCs w:val="21"/>
              </w:rPr>
              <w:t>值</w:t>
            </w:r>
            <w:r>
              <w:rPr>
                <w:rFonts w:ascii="Times New Roman" w:eastAsia="宋体" w:hAnsi="Times New Roman" w:cs="Times New Roman"/>
                <w:spacing w:val="-78"/>
                <w:kern w:val="0"/>
                <w:szCs w:val="21"/>
              </w:rPr>
              <w:t xml:space="preserve"> </w:t>
            </w:r>
            <w:r>
              <w:rPr>
                <w:rFonts w:ascii="Times New Roman" w:eastAsia="宋体" w:hAnsi="Times New Roman" w:cs="Times New Roman"/>
                <w:kern w:val="0"/>
                <w:szCs w:val="21"/>
              </w:rPr>
              <w:t>参</w:t>
            </w:r>
            <w:r>
              <w:rPr>
                <w:rFonts w:ascii="Times New Roman" w:eastAsia="宋体" w:hAnsi="Times New Roman" w:cs="Times New Roman"/>
                <w:spacing w:val="-75"/>
                <w:kern w:val="0"/>
                <w:szCs w:val="21"/>
              </w:rPr>
              <w:t xml:space="preserve"> </w:t>
            </w:r>
            <w:r>
              <w:rPr>
                <w:rFonts w:ascii="Times New Roman" w:eastAsia="宋体" w:hAnsi="Times New Roman" w:cs="Times New Roman"/>
                <w:kern w:val="0"/>
                <w:szCs w:val="21"/>
              </w:rPr>
              <w:t>照</w:t>
            </w:r>
            <w:r>
              <w:rPr>
                <w:rFonts w:ascii="Times New Roman" w:eastAsia="宋体" w:hAnsi="Times New Roman" w:cs="Times New Roman"/>
                <w:spacing w:val="-78"/>
                <w:kern w:val="0"/>
                <w:szCs w:val="21"/>
              </w:rPr>
              <w:t xml:space="preserve"> </w:t>
            </w:r>
            <w:r>
              <w:rPr>
                <w:rFonts w:ascii="Times New Roman" w:eastAsia="宋体" w:hAnsi="Times New Roman" w:cs="Times New Roman"/>
                <w:kern w:val="0"/>
                <w:szCs w:val="21"/>
              </w:rPr>
              <w:t>执行</w:t>
            </w:r>
            <w:r>
              <w:rPr>
                <w:rFonts w:ascii="Times New Roman" w:eastAsia="宋体" w:hAnsi="Times New Roman" w:cs="Times New Roman"/>
                <w:spacing w:val="-78"/>
                <w:kern w:val="0"/>
                <w:szCs w:val="21"/>
              </w:rPr>
              <w:t xml:space="preserve"> </w:t>
            </w:r>
            <w:r>
              <w:rPr>
                <w:rFonts w:ascii="Times New Roman" w:eastAsia="宋体" w:hAnsi="Times New Roman" w:cs="Times New Roman"/>
                <w:kern w:val="0"/>
                <w:szCs w:val="21"/>
              </w:rPr>
              <w:t>《石油化学工业污染物排放标准》</w:t>
            </w:r>
            <w:r>
              <w:rPr>
                <w:rFonts w:ascii="Times New Roman" w:eastAsia="宋体" w:hAnsi="Times New Roman" w:cs="Times New Roman"/>
                <w:kern w:val="0"/>
                <w:szCs w:val="21"/>
              </w:rPr>
              <w:t>(GB31571-2015)</w:t>
            </w:r>
            <w:r>
              <w:rPr>
                <w:rFonts w:ascii="Times New Roman" w:eastAsia="宋体" w:hAnsi="Times New Roman" w:cs="Times New Roman"/>
                <w:kern w:val="0"/>
                <w:szCs w:val="21"/>
              </w:rPr>
              <w:t>标准；丁醇、乙醇执行估算值标准；</w:t>
            </w:r>
            <w:r>
              <w:rPr>
                <w:rFonts w:ascii="Times New Roman" w:eastAsia="宋体" w:hAnsi="Times New Roman" w:cs="Times New Roman"/>
                <w:kern w:val="0"/>
                <w:szCs w:val="21"/>
              </w:rPr>
              <w:t>VOCs</w:t>
            </w:r>
            <w:r>
              <w:rPr>
                <w:rFonts w:ascii="Times New Roman" w:eastAsia="宋体" w:hAnsi="Times New Roman" w:cs="Times New Roman"/>
                <w:spacing w:val="2"/>
                <w:kern w:val="0"/>
                <w:szCs w:val="21"/>
              </w:rPr>
              <w:t>有组织排放参照《天津市工业企业挥发性有机物排放控制标准》</w:t>
            </w:r>
            <w:r>
              <w:rPr>
                <w:rFonts w:ascii="Times New Roman" w:eastAsia="宋体" w:hAnsi="Times New Roman" w:cs="Times New Roman"/>
                <w:spacing w:val="2"/>
                <w:kern w:val="0"/>
                <w:szCs w:val="21"/>
              </w:rPr>
              <w:t>(DB1254-2014)</w:t>
            </w:r>
            <w:r>
              <w:rPr>
                <w:rFonts w:ascii="Times New Roman" w:eastAsia="宋体" w:hAnsi="Times New Roman" w:cs="Times New Roman"/>
                <w:spacing w:val="2"/>
                <w:kern w:val="0"/>
                <w:szCs w:val="21"/>
              </w:rPr>
              <w:t>中其他行业标准执行，厂界监控点浓度限值执行《天津市工业企业挥发性有机物排放控制标准》</w:t>
            </w:r>
            <w:r>
              <w:rPr>
                <w:rFonts w:ascii="Times New Roman" w:eastAsia="宋体" w:hAnsi="Times New Roman" w:cs="Times New Roman"/>
                <w:kern w:val="0"/>
                <w:position w:val="2"/>
                <w:szCs w:val="21"/>
              </w:rPr>
              <w:t>(</w:t>
            </w:r>
            <w:r>
              <w:rPr>
                <w:rFonts w:ascii="Times New Roman" w:eastAsia="宋体" w:hAnsi="Times New Roman" w:cs="Times New Roman"/>
                <w:spacing w:val="2"/>
                <w:kern w:val="0"/>
                <w:position w:val="2"/>
                <w:szCs w:val="21"/>
              </w:rPr>
              <w:t>DB1254-2014)</w:t>
            </w:r>
            <w:r>
              <w:rPr>
                <w:rFonts w:ascii="Times New Roman" w:eastAsia="宋体" w:hAnsi="Times New Roman" w:cs="Times New Roman"/>
                <w:spacing w:val="2"/>
                <w:kern w:val="0"/>
                <w:position w:val="2"/>
                <w:szCs w:val="21"/>
              </w:rPr>
              <w:t>中其他行业</w:t>
            </w:r>
            <w:r>
              <w:rPr>
                <w:rFonts w:ascii="Times New Roman" w:eastAsia="宋体" w:hAnsi="Times New Roman" w:cs="Times New Roman"/>
                <w:kern w:val="0"/>
                <w:position w:val="2"/>
                <w:szCs w:val="21"/>
              </w:rPr>
              <w:t>VOCs</w:t>
            </w:r>
            <w:r>
              <w:rPr>
                <w:rFonts w:ascii="Times New Roman" w:eastAsia="宋体" w:hAnsi="Times New Roman" w:cs="Times New Roman"/>
                <w:spacing w:val="7"/>
                <w:kern w:val="0"/>
                <w:position w:val="2"/>
                <w:szCs w:val="21"/>
              </w:rPr>
              <w:t>标准：锅炉烟气中的</w:t>
            </w:r>
            <w:r>
              <w:rPr>
                <w:rFonts w:ascii="Times New Roman" w:eastAsia="宋体" w:hAnsi="Times New Roman" w:cs="Times New Roman"/>
                <w:kern w:val="0"/>
                <w:position w:val="2"/>
                <w:szCs w:val="21"/>
              </w:rPr>
              <w:t>SO</w:t>
            </w:r>
            <w:r>
              <w:rPr>
                <w:rFonts w:ascii="Times New Roman" w:eastAsia="宋体" w:hAnsi="Times New Roman" w:cs="Times New Roman"/>
                <w:kern w:val="0"/>
                <w:sz w:val="13"/>
                <w:szCs w:val="13"/>
              </w:rPr>
              <w:t>2</w:t>
            </w:r>
            <w:r>
              <w:rPr>
                <w:rFonts w:ascii="Times New Roman" w:eastAsia="宋体" w:hAnsi="Times New Roman" w:cs="Times New Roman"/>
                <w:kern w:val="0"/>
                <w:position w:val="2"/>
                <w:szCs w:val="21"/>
              </w:rPr>
              <w:t>、</w:t>
            </w:r>
            <w:r>
              <w:rPr>
                <w:rFonts w:ascii="Times New Roman" w:eastAsia="宋体" w:hAnsi="Times New Roman" w:cs="Times New Roman"/>
                <w:spacing w:val="2"/>
                <w:kern w:val="0"/>
                <w:szCs w:val="21"/>
              </w:rPr>
              <w:t>NOx</w:t>
            </w:r>
            <w:r>
              <w:rPr>
                <w:rFonts w:ascii="Times New Roman" w:eastAsia="宋体" w:hAnsi="Times New Roman" w:cs="Times New Roman"/>
                <w:spacing w:val="2"/>
                <w:kern w:val="0"/>
                <w:szCs w:val="21"/>
              </w:rPr>
              <w:t>、烟尘执行《锅炉大气污染物排放标准》</w:t>
            </w:r>
            <w:r>
              <w:rPr>
                <w:rFonts w:ascii="Times New Roman" w:eastAsia="宋体" w:hAnsi="Times New Roman" w:cs="Times New Roman"/>
                <w:spacing w:val="2"/>
                <w:kern w:val="0"/>
                <w:szCs w:val="21"/>
              </w:rPr>
              <w:t>(</w:t>
            </w:r>
            <w:r>
              <w:rPr>
                <w:rFonts w:ascii="Times New Roman" w:eastAsia="宋体" w:hAnsi="Times New Roman" w:cs="Times New Roman"/>
                <w:kern w:val="0"/>
                <w:szCs w:val="21"/>
              </w:rPr>
              <w:t>GB13271-2014)</w:t>
            </w:r>
            <w:r>
              <w:rPr>
                <w:rFonts w:ascii="Times New Roman" w:eastAsia="宋体" w:hAnsi="Times New Roman" w:cs="Times New Roman"/>
                <w:kern w:val="0"/>
                <w:szCs w:val="21"/>
              </w:rPr>
              <w:t>表</w:t>
            </w:r>
            <w:r>
              <w:rPr>
                <w:rFonts w:ascii="Times New Roman" w:eastAsia="宋体" w:hAnsi="Times New Roman" w:cs="Times New Roman"/>
                <w:kern w:val="0"/>
                <w:szCs w:val="21"/>
              </w:rPr>
              <w:t>2</w:t>
            </w:r>
            <w:r>
              <w:rPr>
                <w:rFonts w:ascii="Times New Roman" w:eastAsia="宋体" w:hAnsi="Times New Roman" w:cs="Times New Roman"/>
                <w:kern w:val="0"/>
                <w:szCs w:val="21"/>
              </w:rPr>
              <w:t>的燃气锅炉标准。</w:t>
            </w:r>
          </w:p>
        </w:tc>
        <w:tc>
          <w:tcPr>
            <w:tcW w:w="1572" w:type="pct"/>
            <w:vAlign w:val="center"/>
          </w:tcPr>
          <w:p w14:paraId="1F690EA3"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项目已按要求落实气污染物的收集控制措施；项目蒸煮车间除尘器建设为</w:t>
            </w:r>
            <w:r>
              <w:rPr>
                <w:rFonts w:ascii="Times New Roman" w:eastAsia="宋体" w:hAnsi="Times New Roman" w:cs="Times New Roman"/>
                <w:kern w:val="0"/>
                <w:szCs w:val="21"/>
              </w:rPr>
              <w:t xml:space="preserve"> 2</w:t>
            </w:r>
            <w:r>
              <w:rPr>
                <w:rFonts w:ascii="Times New Roman" w:eastAsia="宋体" w:hAnsi="Times New Roman" w:cs="Times New Roman"/>
                <w:spacing w:val="-11"/>
                <w:kern w:val="0"/>
                <w:szCs w:val="21"/>
              </w:rPr>
              <w:t xml:space="preserve"> </w:t>
            </w:r>
            <w:r>
              <w:rPr>
                <w:rFonts w:ascii="Times New Roman" w:eastAsia="宋体" w:hAnsi="Times New Roman" w:cs="Times New Roman"/>
                <w:kern w:val="0"/>
                <w:szCs w:val="21"/>
              </w:rPr>
              <w:t>用</w:t>
            </w:r>
            <w:r>
              <w:rPr>
                <w:rFonts w:ascii="Times New Roman" w:eastAsia="宋体" w:hAnsi="Times New Roman" w:cs="Times New Roman"/>
                <w:kern w:val="0"/>
                <w:szCs w:val="21"/>
              </w:rPr>
              <w:t>1</w:t>
            </w:r>
            <w:r>
              <w:rPr>
                <w:rFonts w:ascii="Times New Roman" w:eastAsia="宋体" w:hAnsi="Times New Roman" w:cs="Times New Roman"/>
                <w:spacing w:val="-4"/>
                <w:kern w:val="0"/>
                <w:szCs w:val="21"/>
              </w:rPr>
              <w:t xml:space="preserve"> </w:t>
            </w:r>
            <w:r>
              <w:rPr>
                <w:rFonts w:ascii="Times New Roman" w:eastAsia="宋体" w:hAnsi="Times New Roman" w:cs="Times New Roman"/>
                <w:kern w:val="0"/>
                <w:szCs w:val="21"/>
              </w:rPr>
              <w:t>备；其他排气筒均依照环评报告及批复建设，各污染因子均能满足相应的标准限值要求。</w:t>
            </w:r>
          </w:p>
        </w:tc>
      </w:tr>
      <w:tr w:rsidR="002133E3" w14:paraId="15C94D1B" w14:textId="77777777">
        <w:trPr>
          <w:trHeight w:val="397"/>
        </w:trPr>
        <w:tc>
          <w:tcPr>
            <w:tcW w:w="376" w:type="pct"/>
            <w:vAlign w:val="center"/>
          </w:tcPr>
          <w:p w14:paraId="2655690B"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3</w:t>
            </w:r>
          </w:p>
        </w:tc>
        <w:tc>
          <w:tcPr>
            <w:tcW w:w="3050" w:type="pct"/>
            <w:vAlign w:val="center"/>
          </w:tcPr>
          <w:p w14:paraId="35AB87EA"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spacing w:val="2"/>
                <w:kern w:val="0"/>
                <w:szCs w:val="21"/>
              </w:rPr>
              <w:t>按</w:t>
            </w:r>
            <w:r>
              <w:rPr>
                <w:rFonts w:ascii="Times New Roman" w:eastAsia="宋体" w:hAnsi="Times New Roman" w:cs="Times New Roman"/>
                <w:spacing w:val="2"/>
                <w:kern w:val="0"/>
                <w:szCs w:val="21"/>
              </w:rPr>
              <w:t>“</w:t>
            </w:r>
            <w:r>
              <w:rPr>
                <w:rFonts w:ascii="Times New Roman" w:eastAsia="宋体" w:hAnsi="Times New Roman" w:cs="Times New Roman"/>
                <w:spacing w:val="2"/>
                <w:kern w:val="0"/>
                <w:szCs w:val="21"/>
              </w:rPr>
              <w:t>减量化、资源化、无害化</w:t>
            </w:r>
            <w:r>
              <w:rPr>
                <w:rFonts w:ascii="Times New Roman" w:eastAsia="宋体" w:hAnsi="Times New Roman" w:cs="Times New Roman"/>
                <w:spacing w:val="2"/>
                <w:kern w:val="0"/>
                <w:szCs w:val="21"/>
              </w:rPr>
              <w:t>”</w:t>
            </w:r>
            <w:r>
              <w:rPr>
                <w:rFonts w:ascii="Times New Roman" w:eastAsia="宋体" w:hAnsi="Times New Roman" w:cs="Times New Roman"/>
                <w:spacing w:val="2"/>
                <w:kern w:val="0"/>
                <w:szCs w:val="21"/>
              </w:rPr>
              <w:t>原则和环境管理要求，落实各类固体废物的收集处置和综合利用措施，确保项目产生的固废均可得到妥善处理，防止二次污染。废脱硫剂等危险废物须</w:t>
            </w:r>
            <w:r>
              <w:rPr>
                <w:rFonts w:ascii="Times New Roman" w:eastAsia="宋体" w:hAnsi="Times New Roman" w:cs="Times New Roman"/>
                <w:spacing w:val="2"/>
                <w:kern w:val="0"/>
                <w:szCs w:val="21"/>
              </w:rPr>
              <w:t xml:space="preserve"> </w:t>
            </w:r>
            <w:r>
              <w:rPr>
                <w:rFonts w:ascii="Times New Roman" w:eastAsia="宋体" w:hAnsi="Times New Roman" w:cs="Times New Roman"/>
                <w:spacing w:val="2"/>
                <w:kern w:val="0"/>
                <w:szCs w:val="21"/>
              </w:rPr>
              <w:t>由晋中科灵气体净化技术服务有限公司回收再生处置，不得排放。加强对危险废物运输过程及外协处置、利用单位的跟踪、检查，防止产生二次污染。</w:t>
            </w:r>
          </w:p>
        </w:tc>
        <w:tc>
          <w:tcPr>
            <w:tcW w:w="1572" w:type="pct"/>
            <w:vAlign w:val="center"/>
          </w:tcPr>
          <w:p w14:paraId="1089E956"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对照《国家危险废物名录（</w:t>
            </w:r>
            <w:r>
              <w:rPr>
                <w:rFonts w:ascii="Times New Roman" w:eastAsia="宋体" w:hAnsi="Times New Roman" w:cs="Times New Roman"/>
                <w:kern w:val="0"/>
                <w:szCs w:val="21"/>
              </w:rPr>
              <w:t>2016</w:t>
            </w:r>
            <w:r>
              <w:rPr>
                <w:rFonts w:ascii="Times New Roman" w:eastAsia="宋体" w:hAnsi="Times New Roman" w:cs="Times New Roman"/>
                <w:kern w:val="0"/>
                <w:szCs w:val="21"/>
              </w:rPr>
              <w:t>年版）》以及《固体废物鉴别标准</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通则》（</w:t>
            </w:r>
            <w:r>
              <w:rPr>
                <w:rFonts w:ascii="Times New Roman" w:eastAsia="宋体" w:hAnsi="Times New Roman" w:cs="Times New Roman"/>
                <w:kern w:val="0"/>
                <w:szCs w:val="21"/>
              </w:rPr>
              <w:t>GB 34330—2017</w:t>
            </w:r>
            <w:r>
              <w:rPr>
                <w:rFonts w:ascii="Times New Roman" w:eastAsia="宋体" w:hAnsi="Times New Roman" w:cs="Times New Roman"/>
                <w:kern w:val="0"/>
                <w:szCs w:val="21"/>
              </w:rPr>
              <w:t>）的相关要求，项目产生的废脱硫剂为一般固废，贮存和转运执行《一般工业固体废物贮存、处置场污染控制标准》（</w:t>
            </w:r>
            <w:r>
              <w:rPr>
                <w:rFonts w:ascii="Times New Roman" w:eastAsia="宋体" w:hAnsi="Times New Roman" w:cs="Times New Roman"/>
                <w:kern w:val="0"/>
                <w:szCs w:val="21"/>
              </w:rPr>
              <w:t>GB18599-2001</w:t>
            </w:r>
            <w:r>
              <w:rPr>
                <w:rFonts w:ascii="Times New Roman" w:eastAsia="宋体" w:hAnsi="Times New Roman" w:cs="Times New Roman"/>
                <w:kern w:val="0"/>
                <w:szCs w:val="21"/>
              </w:rPr>
              <w:t>）及其修改单的相关要求。项目脱硫剂委外综合利用。其余按要求落实。</w:t>
            </w:r>
          </w:p>
        </w:tc>
      </w:tr>
      <w:tr w:rsidR="002133E3" w14:paraId="75684585" w14:textId="77777777">
        <w:trPr>
          <w:trHeight w:val="397"/>
        </w:trPr>
        <w:tc>
          <w:tcPr>
            <w:tcW w:w="376" w:type="pct"/>
            <w:vAlign w:val="center"/>
          </w:tcPr>
          <w:p w14:paraId="669FB583"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4</w:t>
            </w:r>
          </w:p>
        </w:tc>
        <w:tc>
          <w:tcPr>
            <w:tcW w:w="3050" w:type="pct"/>
            <w:vAlign w:val="center"/>
          </w:tcPr>
          <w:p w14:paraId="18033EFB"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项目应优先选用低噪声设备，高噪声设备须合理布局并采取</w:t>
            </w:r>
            <w:r>
              <w:rPr>
                <w:rFonts w:ascii="Times New Roman" w:eastAsia="宋体" w:hAnsi="Times New Roman" w:cs="Times New Roman"/>
                <w:kern w:val="0"/>
                <w:szCs w:val="21"/>
              </w:rPr>
              <w:t>-</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有被的减振、隔声、消声措施。厂界噪声应满足《工业企业厂</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界环境噪声排放标准》</w:t>
            </w:r>
            <w:r>
              <w:rPr>
                <w:rFonts w:ascii="Times New Roman" w:eastAsia="宋体" w:hAnsi="Times New Roman" w:cs="Times New Roman"/>
                <w:kern w:val="0"/>
                <w:szCs w:val="21"/>
              </w:rPr>
              <w:t>( GB12348-2008)3</w:t>
            </w:r>
            <w:r>
              <w:rPr>
                <w:rFonts w:ascii="Times New Roman" w:eastAsia="宋体" w:hAnsi="Times New Roman" w:cs="Times New Roman"/>
                <w:spacing w:val="-7"/>
                <w:kern w:val="0"/>
                <w:szCs w:val="21"/>
              </w:rPr>
              <w:t xml:space="preserve"> </w:t>
            </w:r>
            <w:r>
              <w:rPr>
                <w:rFonts w:ascii="Times New Roman" w:eastAsia="宋体" w:hAnsi="Times New Roman" w:cs="Times New Roman"/>
                <w:kern w:val="0"/>
                <w:szCs w:val="21"/>
              </w:rPr>
              <w:t>类标准。施工期噪声</w:t>
            </w:r>
            <w:r>
              <w:rPr>
                <w:rFonts w:ascii="Times New Roman" w:eastAsia="宋体" w:hAnsi="Times New Roman" w:cs="Times New Roman"/>
                <w:w w:val="99"/>
                <w:kern w:val="0"/>
                <w:szCs w:val="21"/>
              </w:rPr>
              <w:t xml:space="preserve"> </w:t>
            </w:r>
            <w:r>
              <w:rPr>
                <w:rFonts w:ascii="Times New Roman" w:eastAsia="宋体" w:hAnsi="Times New Roman" w:cs="Times New Roman"/>
                <w:spacing w:val="-8"/>
                <w:kern w:val="0"/>
                <w:szCs w:val="21"/>
              </w:rPr>
              <w:t>执行《建筑施工场界场界环境噪声排放标准》</w:t>
            </w:r>
            <w:r>
              <w:rPr>
                <w:rFonts w:ascii="Times New Roman" w:eastAsia="宋体" w:hAnsi="Times New Roman" w:cs="Times New Roman"/>
                <w:spacing w:val="-8"/>
                <w:kern w:val="0"/>
                <w:szCs w:val="21"/>
              </w:rPr>
              <w:t xml:space="preserve">( </w:t>
            </w:r>
            <w:r>
              <w:rPr>
                <w:rFonts w:ascii="Times New Roman" w:eastAsia="宋体" w:hAnsi="Times New Roman" w:cs="Times New Roman"/>
                <w:kern w:val="0"/>
                <w:szCs w:val="21"/>
              </w:rPr>
              <w:t>GB12523-2</w:t>
            </w:r>
            <w:r>
              <w:rPr>
                <w:rFonts w:ascii="Times New Roman" w:eastAsia="宋体" w:hAnsi="Times New Roman" w:cs="Times New Roman"/>
                <w:spacing w:val="-6"/>
                <w:kern w:val="0"/>
                <w:szCs w:val="21"/>
              </w:rPr>
              <w:t xml:space="preserve"> </w:t>
            </w:r>
            <w:r>
              <w:rPr>
                <w:rFonts w:ascii="Times New Roman" w:eastAsia="宋体" w:hAnsi="Times New Roman" w:cs="Times New Roman"/>
                <w:kern w:val="0"/>
                <w:szCs w:val="21"/>
              </w:rPr>
              <w:t>011)</w:t>
            </w:r>
            <w:r>
              <w:rPr>
                <w:rFonts w:ascii="Times New Roman" w:eastAsia="宋体" w:hAnsi="Times New Roman" w:cs="Times New Roman"/>
                <w:kern w:val="0"/>
                <w:szCs w:val="21"/>
              </w:rPr>
              <w:t>。</w:t>
            </w:r>
          </w:p>
        </w:tc>
        <w:tc>
          <w:tcPr>
            <w:tcW w:w="1572" w:type="pct"/>
            <w:vAlign w:val="center"/>
          </w:tcPr>
          <w:p w14:paraId="4F93D53C"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项目选用低噪声设备，</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合理布局高噪声设备进</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行减震、隔声、消声。</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监测期间所测点位噪声</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均达标排放。</w:t>
            </w:r>
          </w:p>
        </w:tc>
      </w:tr>
      <w:tr w:rsidR="002133E3" w14:paraId="67B1A82B" w14:textId="77777777">
        <w:trPr>
          <w:trHeight w:val="397"/>
        </w:trPr>
        <w:tc>
          <w:tcPr>
            <w:tcW w:w="376" w:type="pct"/>
            <w:vAlign w:val="center"/>
          </w:tcPr>
          <w:p w14:paraId="3C4000A5"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5</w:t>
            </w:r>
          </w:p>
        </w:tc>
        <w:tc>
          <w:tcPr>
            <w:tcW w:w="3050" w:type="pct"/>
            <w:vAlign w:val="center"/>
          </w:tcPr>
          <w:p w14:paraId="7E658132"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本技改项目罐区卫生防护距离为</w:t>
            </w:r>
            <w:r>
              <w:rPr>
                <w:rFonts w:ascii="Times New Roman" w:eastAsia="宋体" w:hAnsi="Times New Roman" w:cs="Times New Roman"/>
                <w:spacing w:val="-61"/>
                <w:kern w:val="0"/>
                <w:szCs w:val="21"/>
              </w:rPr>
              <w:t xml:space="preserve"> </w:t>
            </w:r>
            <w:r>
              <w:rPr>
                <w:rFonts w:ascii="Times New Roman" w:eastAsia="宋体" w:hAnsi="Times New Roman" w:cs="Times New Roman"/>
                <w:kern w:val="0"/>
                <w:szCs w:val="21"/>
              </w:rPr>
              <w:t>100</w:t>
            </w:r>
            <w:r>
              <w:rPr>
                <w:rFonts w:ascii="Times New Roman" w:eastAsia="宋体" w:hAnsi="Times New Roman" w:cs="Times New Roman"/>
                <w:spacing w:val="-7"/>
                <w:kern w:val="0"/>
                <w:szCs w:val="21"/>
              </w:rPr>
              <w:t xml:space="preserve"> </w:t>
            </w:r>
            <w:r>
              <w:rPr>
                <w:rFonts w:ascii="Times New Roman" w:eastAsia="宋体" w:hAnsi="Times New Roman" w:cs="Times New Roman"/>
                <w:kern w:val="0"/>
                <w:szCs w:val="21"/>
              </w:rPr>
              <w:t>米，木薯干仓库卫生防护距离为</w:t>
            </w:r>
            <w:r>
              <w:rPr>
                <w:rFonts w:ascii="Times New Roman" w:eastAsia="宋体" w:hAnsi="Times New Roman" w:cs="Times New Roman"/>
                <w:kern w:val="0"/>
                <w:szCs w:val="21"/>
              </w:rPr>
              <w:t xml:space="preserve"> 50m</w:t>
            </w:r>
            <w:r>
              <w:rPr>
                <w:rFonts w:ascii="Times New Roman" w:eastAsia="宋体" w:hAnsi="Times New Roman" w:cs="Times New Roman"/>
                <w:kern w:val="0"/>
                <w:szCs w:val="21"/>
              </w:rPr>
              <w:t>，沼渣仓库卫生防护距离为</w:t>
            </w:r>
            <w:r>
              <w:rPr>
                <w:rFonts w:ascii="Times New Roman" w:eastAsia="宋体" w:hAnsi="Times New Roman" w:cs="Times New Roman"/>
                <w:kern w:val="0"/>
                <w:szCs w:val="21"/>
              </w:rPr>
              <w:t xml:space="preserve"> 100m</w:t>
            </w:r>
            <w:r>
              <w:rPr>
                <w:rFonts w:ascii="Times New Roman" w:eastAsia="宋体" w:hAnsi="Times New Roman" w:cs="Times New Roman"/>
                <w:kern w:val="0"/>
                <w:szCs w:val="21"/>
              </w:rPr>
              <w:t>。本项目建成后全厂卫生防护距离：丁二酸生产车间卫生防护距离为</w:t>
            </w:r>
            <w:r>
              <w:rPr>
                <w:rFonts w:ascii="Times New Roman" w:eastAsia="宋体" w:hAnsi="Times New Roman" w:cs="Times New Roman"/>
                <w:kern w:val="0"/>
                <w:szCs w:val="21"/>
              </w:rPr>
              <w:t xml:space="preserve"> 50m</w:t>
            </w:r>
            <w:r>
              <w:rPr>
                <w:rFonts w:ascii="Times New Roman" w:eastAsia="宋体" w:hAnsi="Times New Roman" w:cs="Times New Roman"/>
                <w:kern w:val="0"/>
                <w:szCs w:val="21"/>
              </w:rPr>
              <w:t>，木薯干仓</w:t>
            </w:r>
            <w:r>
              <w:rPr>
                <w:rFonts w:ascii="Times New Roman" w:eastAsia="宋体" w:hAnsi="Times New Roman" w:cs="Times New Roman"/>
                <w:kern w:val="0"/>
                <w:szCs w:val="21"/>
              </w:rPr>
              <w:lastRenderedPageBreak/>
              <w:t>库卫生防护距离为</w:t>
            </w:r>
            <w:r>
              <w:rPr>
                <w:rFonts w:ascii="Times New Roman" w:eastAsia="宋体" w:hAnsi="Times New Roman" w:cs="Times New Roman"/>
                <w:kern w:val="0"/>
                <w:szCs w:val="21"/>
              </w:rPr>
              <w:t xml:space="preserve"> 100m.</w:t>
            </w:r>
            <w:r>
              <w:rPr>
                <w:rFonts w:ascii="Times New Roman" w:eastAsia="宋体" w:hAnsi="Times New Roman" w:cs="Times New Roman"/>
                <w:kern w:val="0"/>
                <w:szCs w:val="21"/>
              </w:rPr>
              <w:t>罐区卫生防护距离为</w:t>
            </w:r>
            <w:r>
              <w:rPr>
                <w:rFonts w:ascii="Times New Roman" w:eastAsia="宋体" w:hAnsi="Times New Roman" w:cs="Times New Roman"/>
                <w:kern w:val="0"/>
                <w:szCs w:val="21"/>
              </w:rPr>
              <w:t xml:space="preserve"> 200m</w:t>
            </w:r>
            <w:r>
              <w:rPr>
                <w:rFonts w:ascii="Times New Roman" w:eastAsia="宋体" w:hAnsi="Times New Roman" w:cs="Times New Roman"/>
                <w:kern w:val="0"/>
                <w:szCs w:val="21"/>
              </w:rPr>
              <w:t>、污水</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站卫生防护距离为</w:t>
            </w:r>
            <w:r>
              <w:rPr>
                <w:rFonts w:ascii="Times New Roman" w:eastAsia="宋体" w:hAnsi="Times New Roman" w:cs="Times New Roman"/>
                <w:kern w:val="0"/>
                <w:szCs w:val="21"/>
              </w:rPr>
              <w:t xml:space="preserve"> 100m</w:t>
            </w:r>
            <w:r>
              <w:rPr>
                <w:rFonts w:ascii="Times New Roman" w:eastAsia="宋体" w:hAnsi="Times New Roman" w:cs="Times New Roman"/>
                <w:kern w:val="0"/>
                <w:szCs w:val="21"/>
              </w:rPr>
              <w:t>，沼渣仓库卫生防护距离为</w:t>
            </w:r>
            <w:r>
              <w:rPr>
                <w:rFonts w:ascii="Times New Roman" w:eastAsia="宋体" w:hAnsi="Times New Roman" w:cs="Times New Roman"/>
                <w:kern w:val="0"/>
                <w:szCs w:val="21"/>
              </w:rPr>
              <w:t xml:space="preserve"> 100m</w:t>
            </w:r>
            <w:r>
              <w:rPr>
                <w:rFonts w:ascii="Times New Roman" w:eastAsia="宋体" w:hAnsi="Times New Roman" w:cs="Times New Roman"/>
                <w:kern w:val="0"/>
                <w:szCs w:val="21"/>
              </w:rPr>
              <w:t>。项目大气卫生防护距离内无居民点等敏感目标，今后也不得新建各类环境敏感目标。</w:t>
            </w:r>
          </w:p>
        </w:tc>
        <w:tc>
          <w:tcPr>
            <w:tcW w:w="1572" w:type="pct"/>
            <w:vAlign w:val="center"/>
          </w:tcPr>
          <w:p w14:paraId="171A5167"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lastRenderedPageBreak/>
              <w:t>项目卫生防护距离均符合环评批复要求；大气卫生防护距离内无居民点等敏感目标，今后也不得新建</w:t>
            </w:r>
            <w:r>
              <w:rPr>
                <w:rFonts w:ascii="Times New Roman" w:eastAsia="宋体" w:hAnsi="Times New Roman" w:cs="Times New Roman"/>
                <w:kern w:val="0"/>
                <w:szCs w:val="21"/>
              </w:rPr>
              <w:lastRenderedPageBreak/>
              <w:t>各类环境敏感目标。</w:t>
            </w:r>
          </w:p>
        </w:tc>
      </w:tr>
      <w:tr w:rsidR="002133E3" w14:paraId="03E07F37" w14:textId="77777777">
        <w:trPr>
          <w:trHeight w:val="397"/>
        </w:trPr>
        <w:tc>
          <w:tcPr>
            <w:tcW w:w="376" w:type="pct"/>
            <w:vAlign w:val="center"/>
          </w:tcPr>
          <w:p w14:paraId="258D6BF7"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lastRenderedPageBreak/>
              <w:t>6</w:t>
            </w:r>
          </w:p>
        </w:tc>
        <w:tc>
          <w:tcPr>
            <w:tcW w:w="3050" w:type="pct"/>
            <w:vAlign w:val="center"/>
          </w:tcPr>
          <w:p w14:paraId="3D739D40"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按照《江苏省排污口设置及规范化整治管理办法》要求设置各类排污口和标志，废气排气筒应合理设置采样口、采样监测平台。按《江苏省污染源自动监控管理暂行办法》（苏环规［</w:t>
            </w:r>
            <w:r>
              <w:rPr>
                <w:rFonts w:ascii="Times New Roman" w:eastAsia="宋体" w:hAnsi="Times New Roman" w:cs="Times New Roman"/>
                <w:kern w:val="0"/>
                <w:szCs w:val="21"/>
              </w:rPr>
              <w:t xml:space="preserve"> 2011</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1 </w:t>
            </w:r>
            <w:r>
              <w:rPr>
                <w:rFonts w:ascii="Times New Roman" w:eastAsia="宋体" w:hAnsi="Times New Roman" w:cs="Times New Roman"/>
                <w:kern w:val="0"/>
                <w:szCs w:val="21"/>
              </w:rPr>
              <w:t>号</w:t>
            </w:r>
            <w:r>
              <w:rPr>
                <w:rFonts w:ascii="Times New Roman" w:eastAsia="宋体" w:hAnsi="Times New Roman" w:cs="Times New Roman"/>
                <w:kern w:val="0"/>
                <w:szCs w:val="21"/>
              </w:rPr>
              <w:t>)</w:t>
            </w:r>
            <w:r>
              <w:rPr>
                <w:rFonts w:ascii="Times New Roman" w:eastAsia="宋体" w:hAnsi="Times New Roman" w:cs="Times New Roman"/>
                <w:kern w:val="0"/>
                <w:szCs w:val="21"/>
              </w:rPr>
              <w:t>要求，建设、安装自动监控设备及其配套设施，并与环保部门实施联网。落实《报告书》提出的环境管理及监测计划。</w:t>
            </w:r>
          </w:p>
        </w:tc>
        <w:tc>
          <w:tcPr>
            <w:tcW w:w="1572" w:type="pct"/>
            <w:vAlign w:val="center"/>
          </w:tcPr>
          <w:p w14:paraId="176474C6"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项目按要求设置各类污染口、标识及采样平台，安装流量计，</w:t>
            </w:r>
            <w:r>
              <w:rPr>
                <w:rFonts w:ascii="Times New Roman" w:eastAsia="宋体" w:hAnsi="Times New Roman" w:cs="Times New Roman"/>
                <w:kern w:val="0"/>
                <w:szCs w:val="21"/>
              </w:rPr>
              <w:t>COD</w:t>
            </w:r>
            <w:r>
              <w:rPr>
                <w:rFonts w:ascii="Times New Roman" w:eastAsia="宋体" w:hAnsi="Times New Roman" w:cs="Times New Roman"/>
                <w:kern w:val="0"/>
                <w:szCs w:val="21"/>
              </w:rPr>
              <w:t>，烟尘，二氧化硫在线监测仪，并与环保局联网。</w:t>
            </w:r>
          </w:p>
        </w:tc>
      </w:tr>
      <w:tr w:rsidR="002133E3" w14:paraId="0D4F51F2" w14:textId="77777777">
        <w:trPr>
          <w:trHeight w:val="397"/>
        </w:trPr>
        <w:tc>
          <w:tcPr>
            <w:tcW w:w="376" w:type="pct"/>
            <w:vAlign w:val="center"/>
          </w:tcPr>
          <w:p w14:paraId="567D05B2"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7</w:t>
            </w:r>
          </w:p>
        </w:tc>
        <w:tc>
          <w:tcPr>
            <w:tcW w:w="3050" w:type="pct"/>
            <w:vAlign w:val="center"/>
          </w:tcPr>
          <w:p w14:paraId="155057A8"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加强环境风险防范，防止发生事故和污染危害，项目应制定完善的风险防范措施及风险应急预案，并定期进行演练。切实降低或杜绝项目事故风险及由此引发的环境风险。厂区须设置足够容量的事故废水池、消防尾水收集池，确保各类事故废水、消防尾水得到有效收集处理，未经处理不得外排，正常生产时收集池不应存放废水。</w:t>
            </w:r>
          </w:p>
        </w:tc>
        <w:tc>
          <w:tcPr>
            <w:tcW w:w="1572" w:type="pct"/>
            <w:vAlign w:val="center"/>
          </w:tcPr>
          <w:p w14:paraId="463F8147"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项目制定环境风险应急预案，并在江苏省环保厅备案，备案号为</w:t>
            </w:r>
            <w:r>
              <w:rPr>
                <w:rFonts w:ascii="Times New Roman" w:eastAsia="宋体" w:hAnsi="Times New Roman" w:cs="Times New Roman"/>
                <w:kern w:val="0"/>
                <w:szCs w:val="21"/>
              </w:rPr>
              <w:t>32000020140538</w:t>
            </w:r>
            <w:r>
              <w:rPr>
                <w:rFonts w:ascii="Times New Roman" w:eastAsia="宋体" w:hAnsi="Times New Roman" w:cs="Times New Roman"/>
                <w:kern w:val="0"/>
                <w:szCs w:val="21"/>
              </w:rPr>
              <w:t>。</w:t>
            </w:r>
          </w:p>
        </w:tc>
      </w:tr>
      <w:tr w:rsidR="002133E3" w14:paraId="7C8B1EA0" w14:textId="77777777">
        <w:trPr>
          <w:trHeight w:val="397"/>
        </w:trPr>
        <w:tc>
          <w:tcPr>
            <w:tcW w:w="376" w:type="pct"/>
            <w:vAlign w:val="center"/>
          </w:tcPr>
          <w:p w14:paraId="37075987" w14:textId="77777777" w:rsidR="002133E3" w:rsidRDefault="00C22CFA">
            <w:pPr>
              <w:spacing w:line="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3050" w:type="pct"/>
            <w:vAlign w:val="center"/>
          </w:tcPr>
          <w:p w14:paraId="300254C1"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项目实施后，主要污染物排放总量初步核定为：</w:t>
            </w:r>
          </w:p>
          <w:p w14:paraId="647A393E" w14:textId="77777777" w:rsidR="002133E3" w:rsidRDefault="00C22CFA">
            <w:pPr>
              <w:spacing w:line="0" w:lineRule="atLeast"/>
              <w:rPr>
                <w:rFonts w:ascii="Times New Roman" w:eastAsia="宋体" w:hAnsi="Times New Roman" w:cs="Times New Roman"/>
                <w:kern w:val="0"/>
                <w:szCs w:val="21"/>
              </w:rPr>
            </w:pPr>
            <w:r>
              <w:rPr>
                <w:rFonts w:ascii="宋体" w:eastAsia="宋体" w:hAnsi="宋体" w:cs="宋体" w:hint="eastAsia"/>
                <w:kern w:val="0"/>
                <w:szCs w:val="21"/>
              </w:rPr>
              <w:t>①</w:t>
            </w:r>
            <w:r>
              <w:rPr>
                <w:rFonts w:ascii="Times New Roman" w:eastAsia="宋体" w:hAnsi="Times New Roman" w:cs="Times New Roman"/>
                <w:kern w:val="0"/>
                <w:szCs w:val="21"/>
              </w:rPr>
              <w:t>大气污染物</w:t>
            </w:r>
          </w:p>
          <w:p w14:paraId="3FF2E427"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本项目的大气污染物排放总量申报量为：</w:t>
            </w:r>
            <w:r>
              <w:rPr>
                <w:rFonts w:ascii="Times New Roman" w:eastAsia="宋体" w:hAnsi="Times New Roman" w:cs="Times New Roman"/>
                <w:kern w:val="0"/>
                <w:szCs w:val="21"/>
              </w:rPr>
              <w:t>S02 0.33t/a</w:t>
            </w:r>
            <w:r>
              <w:rPr>
                <w:rFonts w:ascii="Times New Roman" w:eastAsia="宋体" w:hAnsi="Times New Roman" w:cs="Times New Roman"/>
                <w:kern w:val="0"/>
                <w:szCs w:val="21"/>
              </w:rPr>
              <w:t>、</w:t>
            </w:r>
            <w:r>
              <w:rPr>
                <w:rFonts w:ascii="Times New Roman" w:eastAsia="宋体" w:hAnsi="Times New Roman" w:cs="Times New Roman"/>
                <w:kern w:val="0"/>
                <w:szCs w:val="21"/>
              </w:rPr>
              <w:t>NOx 17.01t/a</w:t>
            </w:r>
            <w:r>
              <w:rPr>
                <w:rFonts w:ascii="Times New Roman" w:eastAsia="宋体" w:hAnsi="Times New Roman" w:cs="Times New Roman"/>
                <w:kern w:val="0"/>
                <w:szCs w:val="21"/>
              </w:rPr>
              <w:t>、烟尘</w:t>
            </w:r>
            <w:r>
              <w:rPr>
                <w:rFonts w:ascii="Times New Roman" w:eastAsia="宋体" w:hAnsi="Times New Roman" w:cs="Times New Roman"/>
                <w:kern w:val="0"/>
                <w:szCs w:val="21"/>
              </w:rPr>
              <w:t xml:space="preserve"> 1.63t/a</w:t>
            </w:r>
            <w:r>
              <w:rPr>
                <w:rFonts w:ascii="Times New Roman" w:eastAsia="宋体" w:hAnsi="Times New Roman" w:cs="Times New Roman"/>
                <w:kern w:val="0"/>
                <w:szCs w:val="21"/>
              </w:rPr>
              <w:t>、粉尘</w:t>
            </w:r>
            <w:r>
              <w:rPr>
                <w:rFonts w:ascii="Times New Roman" w:eastAsia="宋体" w:hAnsi="Times New Roman" w:cs="Times New Roman"/>
                <w:kern w:val="0"/>
                <w:szCs w:val="21"/>
              </w:rPr>
              <w:t xml:space="preserve"> 13.18t/a</w:t>
            </w:r>
            <w:r>
              <w:rPr>
                <w:rFonts w:ascii="Times New Roman" w:eastAsia="宋体" w:hAnsi="Times New Roman" w:cs="Times New Roman"/>
                <w:kern w:val="0"/>
                <w:szCs w:val="21"/>
              </w:rPr>
              <w:t>、乙醇</w:t>
            </w:r>
            <w:r>
              <w:rPr>
                <w:rFonts w:ascii="Times New Roman" w:eastAsia="宋体" w:hAnsi="Times New Roman" w:cs="Times New Roman"/>
                <w:kern w:val="0"/>
                <w:szCs w:val="21"/>
              </w:rPr>
              <w:t xml:space="preserve"> 0.68t/a</w:t>
            </w:r>
            <w:r>
              <w:rPr>
                <w:rFonts w:ascii="Times New Roman" w:eastAsia="宋体" w:hAnsi="Times New Roman" w:cs="Times New Roman"/>
                <w:kern w:val="0"/>
                <w:szCs w:val="21"/>
              </w:rPr>
              <w:t>、乙醛</w:t>
            </w:r>
            <w:r>
              <w:rPr>
                <w:rFonts w:ascii="Times New Roman" w:eastAsia="宋体" w:hAnsi="Times New Roman" w:cs="Times New Roman"/>
                <w:kern w:val="0"/>
                <w:szCs w:val="21"/>
              </w:rPr>
              <w:t xml:space="preserve"> 1. </w:t>
            </w:r>
            <w:r>
              <w:rPr>
                <w:rFonts w:ascii="Times New Roman" w:eastAsia="宋体" w:hAnsi="Times New Roman" w:cs="Times New Roman"/>
                <w:kern w:val="0"/>
                <w:szCs w:val="21"/>
                <w:lang w:eastAsia="en-US"/>
              </w:rPr>
              <w:t>59t/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、丙酮</w:t>
            </w:r>
            <w:proofErr w:type="spellEnd"/>
            <w:r>
              <w:rPr>
                <w:rFonts w:ascii="Times New Roman" w:eastAsia="宋体" w:hAnsi="Times New Roman" w:cs="Times New Roman"/>
                <w:kern w:val="0"/>
                <w:szCs w:val="21"/>
                <w:lang w:eastAsia="en-US"/>
              </w:rPr>
              <w:t xml:space="preserve"> 2.16t/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、丁醇</w:t>
            </w:r>
            <w:proofErr w:type="spellEnd"/>
            <w:r>
              <w:rPr>
                <w:rFonts w:ascii="Times New Roman" w:eastAsia="宋体" w:hAnsi="Times New Roman" w:cs="Times New Roman"/>
                <w:kern w:val="0"/>
                <w:szCs w:val="21"/>
                <w:lang w:eastAsia="en-US"/>
              </w:rPr>
              <w:t xml:space="preserve"> 11.2t/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、氨</w:t>
            </w:r>
            <w:proofErr w:type="spellEnd"/>
            <w:r>
              <w:rPr>
                <w:rFonts w:ascii="Times New Roman" w:eastAsia="宋体" w:hAnsi="Times New Roman" w:cs="Times New Roman"/>
                <w:kern w:val="0"/>
                <w:szCs w:val="21"/>
                <w:lang w:eastAsia="en-US"/>
              </w:rPr>
              <w:t xml:space="preserve"> 0.04t/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、硫化氢</w:t>
            </w:r>
            <w:proofErr w:type="spellEnd"/>
            <w:r>
              <w:rPr>
                <w:rFonts w:ascii="Times New Roman" w:eastAsia="宋体" w:hAnsi="Times New Roman" w:cs="Times New Roman"/>
                <w:kern w:val="0"/>
                <w:szCs w:val="21"/>
                <w:lang w:eastAsia="en-US"/>
              </w:rPr>
              <w:t xml:space="preserve"> 0. 03t/a</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VOCs13.75t/a</w:t>
            </w:r>
            <w:r>
              <w:rPr>
                <w:rFonts w:ascii="Times New Roman" w:eastAsia="宋体" w:hAnsi="Times New Roman" w:cs="Times New Roman"/>
                <w:kern w:val="0"/>
                <w:szCs w:val="21"/>
              </w:rPr>
              <w:t>；</w:t>
            </w:r>
          </w:p>
          <w:p w14:paraId="642783D5" w14:textId="77777777" w:rsidR="002133E3" w:rsidRDefault="00C22CFA">
            <w:pPr>
              <w:spacing w:line="0" w:lineRule="atLeast"/>
              <w:rPr>
                <w:rFonts w:ascii="Times New Roman" w:eastAsia="宋体" w:hAnsi="Times New Roman" w:cs="Times New Roman"/>
                <w:kern w:val="0"/>
                <w:szCs w:val="21"/>
                <w:lang w:eastAsia="en-US"/>
              </w:rPr>
            </w:pPr>
            <w:r>
              <w:rPr>
                <w:rFonts w:ascii="Times New Roman" w:eastAsia="宋体" w:hAnsi="Times New Roman" w:cs="Times New Roman"/>
                <w:kern w:val="0"/>
                <w:szCs w:val="21"/>
                <w:lang w:eastAsia="en-US"/>
              </w:rPr>
              <w:t>全厂大气污染物排放总量：</w:t>
            </w:r>
            <w:r>
              <w:rPr>
                <w:rFonts w:ascii="Times New Roman" w:eastAsia="宋体" w:hAnsi="Times New Roman" w:cs="Times New Roman"/>
                <w:kern w:val="0"/>
                <w:szCs w:val="21"/>
                <w:lang w:eastAsia="en-US"/>
              </w:rPr>
              <w:t>S02 8.85t/a</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NOx24.96t/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、烟尘</w:t>
            </w:r>
            <w:proofErr w:type="spellEnd"/>
            <w:r>
              <w:rPr>
                <w:rFonts w:ascii="Times New Roman" w:eastAsia="宋体" w:hAnsi="Times New Roman" w:cs="Times New Roman"/>
                <w:kern w:val="0"/>
                <w:szCs w:val="21"/>
                <w:lang w:eastAsia="en-US"/>
              </w:rPr>
              <w:t xml:space="preserve"> 12.26t/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、粉尘</w:t>
            </w:r>
            <w:proofErr w:type="spellEnd"/>
            <w:r>
              <w:rPr>
                <w:rFonts w:ascii="Times New Roman" w:eastAsia="宋体" w:hAnsi="Times New Roman" w:cs="Times New Roman"/>
                <w:kern w:val="0"/>
                <w:szCs w:val="21"/>
                <w:lang w:eastAsia="en-US"/>
              </w:rPr>
              <w:t xml:space="preserve"> 34.68t/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、乙醇</w:t>
            </w:r>
            <w:proofErr w:type="spellEnd"/>
            <w:r>
              <w:rPr>
                <w:rFonts w:ascii="Times New Roman" w:eastAsia="宋体" w:hAnsi="Times New Roman" w:cs="Times New Roman"/>
                <w:kern w:val="0"/>
                <w:szCs w:val="21"/>
                <w:lang w:eastAsia="en-US"/>
              </w:rPr>
              <w:t xml:space="preserve"> 128. 27t/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、乙醛</w:t>
            </w:r>
            <w:proofErr w:type="spellEnd"/>
            <w:r>
              <w:rPr>
                <w:rFonts w:ascii="Times New Roman" w:eastAsia="宋体" w:hAnsi="Times New Roman" w:cs="Times New Roman"/>
                <w:kern w:val="0"/>
                <w:szCs w:val="21"/>
                <w:lang w:eastAsia="en-US"/>
              </w:rPr>
              <w:t xml:space="preserve"> 3.35t/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、丙酮</w:t>
            </w:r>
            <w:proofErr w:type="spellEnd"/>
            <w:r>
              <w:rPr>
                <w:rFonts w:ascii="Times New Roman" w:eastAsia="宋体" w:hAnsi="Times New Roman" w:cs="Times New Roman"/>
                <w:kern w:val="0"/>
                <w:szCs w:val="21"/>
                <w:lang w:eastAsia="en-US"/>
              </w:rPr>
              <w:t xml:space="preserve"> 2.16t/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、丁醇</w:t>
            </w:r>
            <w:proofErr w:type="spellEnd"/>
            <w:r>
              <w:rPr>
                <w:rFonts w:ascii="Times New Roman" w:eastAsia="宋体" w:hAnsi="Times New Roman" w:cs="Times New Roman"/>
                <w:kern w:val="0"/>
                <w:szCs w:val="21"/>
                <w:lang w:eastAsia="en-US"/>
              </w:rPr>
              <w:t xml:space="preserve"> 11.2t/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、氨</w:t>
            </w:r>
            <w:proofErr w:type="spellEnd"/>
            <w:r>
              <w:rPr>
                <w:rFonts w:ascii="Times New Roman" w:eastAsia="宋体" w:hAnsi="Times New Roman" w:cs="Times New Roman"/>
                <w:kern w:val="0"/>
                <w:szCs w:val="21"/>
                <w:lang w:eastAsia="en-US"/>
              </w:rPr>
              <w:t xml:space="preserve"> 0.04t/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、硫化氢</w:t>
            </w:r>
            <w:proofErr w:type="spellEnd"/>
            <w:r>
              <w:rPr>
                <w:rFonts w:ascii="Times New Roman" w:eastAsia="宋体" w:hAnsi="Times New Roman" w:cs="Times New Roman"/>
                <w:kern w:val="0"/>
                <w:szCs w:val="21"/>
                <w:lang w:eastAsia="en-US"/>
              </w:rPr>
              <w:t xml:space="preserve"> 0. 03t/a</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VOCs13. 75t/a</w:t>
            </w:r>
            <w:r>
              <w:rPr>
                <w:rFonts w:ascii="Times New Roman" w:eastAsia="宋体" w:hAnsi="Times New Roman" w:cs="Times New Roman"/>
                <w:kern w:val="0"/>
                <w:szCs w:val="21"/>
                <w:lang w:eastAsia="en-US"/>
              </w:rPr>
              <w:t>；</w:t>
            </w:r>
          </w:p>
          <w:p w14:paraId="5AF97026" w14:textId="77777777" w:rsidR="002133E3" w:rsidRDefault="00C22CFA">
            <w:pPr>
              <w:spacing w:line="0" w:lineRule="atLeast"/>
              <w:rPr>
                <w:rFonts w:ascii="Times New Roman" w:eastAsia="宋体" w:hAnsi="Times New Roman" w:cs="Times New Roman"/>
                <w:kern w:val="0"/>
                <w:szCs w:val="21"/>
              </w:rPr>
            </w:pPr>
            <w:r>
              <w:rPr>
                <w:rFonts w:ascii="宋体" w:eastAsia="宋体" w:hAnsi="宋体" w:cs="宋体" w:hint="eastAsia"/>
                <w:kern w:val="0"/>
                <w:szCs w:val="21"/>
                <w:lang w:eastAsia="en-US"/>
              </w:rPr>
              <w:t>②</w:t>
            </w:r>
            <w:proofErr w:type="spellStart"/>
            <w:r>
              <w:rPr>
                <w:rFonts w:ascii="Times New Roman" w:eastAsia="宋体" w:hAnsi="Times New Roman" w:cs="Times New Roman"/>
                <w:kern w:val="0"/>
                <w:szCs w:val="21"/>
                <w:lang w:eastAsia="en-US"/>
              </w:rPr>
              <w:t>水污染物本项目接管标准考核量为：水量</w:t>
            </w:r>
            <w:proofErr w:type="spellEnd"/>
            <w:r>
              <w:rPr>
                <w:rFonts w:ascii="Times New Roman" w:eastAsia="宋体" w:hAnsi="Times New Roman" w:cs="Times New Roman"/>
                <w:kern w:val="0"/>
                <w:szCs w:val="21"/>
                <w:lang w:eastAsia="en-US"/>
              </w:rPr>
              <w:t xml:space="preserve"> 1051918. 65m3/a</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COD240. 04t/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SS</w:t>
            </w:r>
            <w:proofErr w:type="spellEnd"/>
            <w:r>
              <w:rPr>
                <w:rFonts w:ascii="Times New Roman" w:eastAsia="宋体" w:hAnsi="Times New Roman" w:cs="Times New Roman"/>
                <w:kern w:val="0"/>
                <w:szCs w:val="21"/>
                <w:lang w:eastAsia="en-US"/>
              </w:rPr>
              <w:t xml:space="preserve"> 63. 22t/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；氨氮</w:t>
            </w:r>
            <w:proofErr w:type="spellEnd"/>
            <w:r>
              <w:rPr>
                <w:rFonts w:ascii="Times New Roman" w:eastAsia="宋体" w:hAnsi="Times New Roman" w:cs="Times New Roman"/>
                <w:kern w:val="0"/>
                <w:szCs w:val="21"/>
                <w:lang w:eastAsia="en-US"/>
              </w:rPr>
              <w:t xml:space="preserve"> 6.31t/a</w:t>
            </w:r>
            <w:r>
              <w:rPr>
                <w:rFonts w:ascii="Times New Roman" w:eastAsia="宋体" w:hAnsi="Times New Roman" w:cs="Times New Roman"/>
                <w:kern w:val="0"/>
                <w:szCs w:val="21"/>
              </w:rPr>
              <w:t>；</w:t>
            </w:r>
          </w:p>
          <w:p w14:paraId="2E503F9E" w14:textId="77777777" w:rsidR="002133E3" w:rsidRDefault="00C22CFA">
            <w:pPr>
              <w:spacing w:line="0" w:lineRule="atLeast"/>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全厂：水量</w:t>
            </w:r>
            <w:proofErr w:type="spellEnd"/>
            <w:r>
              <w:rPr>
                <w:rFonts w:ascii="Times New Roman" w:eastAsia="宋体" w:hAnsi="Times New Roman" w:cs="Times New Roman"/>
                <w:kern w:val="0"/>
                <w:szCs w:val="21"/>
                <w:lang w:eastAsia="en-US"/>
              </w:rPr>
              <w:t xml:space="preserve"> 3362720. 75m3/a</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COD896.74t/a</w:t>
            </w:r>
            <w:r>
              <w:rPr>
                <w:rFonts w:ascii="Times New Roman" w:eastAsia="宋体" w:hAnsi="Times New Roman" w:cs="Times New Roman"/>
                <w:kern w:val="0"/>
                <w:szCs w:val="21"/>
                <w:lang w:eastAsia="en-US"/>
              </w:rPr>
              <w:t>，</w:t>
            </w:r>
            <w:r>
              <w:rPr>
                <w:rFonts w:ascii="Times New Roman" w:eastAsia="宋体" w:hAnsi="Times New Roman" w:cs="Times New Roman"/>
                <w:kern w:val="0"/>
                <w:szCs w:val="21"/>
                <w:lang w:eastAsia="en-US"/>
              </w:rPr>
              <w:t>SS360. 62t/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，氨氮</w:t>
            </w:r>
            <w:proofErr w:type="spellEnd"/>
            <w:r>
              <w:rPr>
                <w:rFonts w:ascii="Times New Roman" w:eastAsia="宋体" w:hAnsi="Times New Roman" w:cs="Times New Roman"/>
                <w:kern w:val="0"/>
                <w:szCs w:val="21"/>
                <w:lang w:eastAsia="en-US"/>
              </w:rPr>
              <w:t xml:space="preserve"> 40.41t/</w:t>
            </w:r>
            <w:proofErr w:type="spellStart"/>
            <w:r>
              <w:rPr>
                <w:rFonts w:ascii="Times New Roman" w:eastAsia="宋体" w:hAnsi="Times New Roman" w:cs="Times New Roman"/>
                <w:kern w:val="0"/>
                <w:szCs w:val="21"/>
                <w:lang w:eastAsia="en-US"/>
              </w:rPr>
              <w:t>a</w:t>
            </w:r>
            <w:r>
              <w:rPr>
                <w:rFonts w:ascii="Times New Roman" w:eastAsia="宋体" w:hAnsi="Times New Roman" w:cs="Times New Roman"/>
                <w:kern w:val="0"/>
                <w:szCs w:val="21"/>
                <w:lang w:eastAsia="en-US"/>
              </w:rPr>
              <w:t>，总磷</w:t>
            </w:r>
            <w:proofErr w:type="spellEnd"/>
            <w:r>
              <w:rPr>
                <w:rFonts w:ascii="Times New Roman" w:eastAsia="宋体" w:hAnsi="Times New Roman" w:cs="Times New Roman"/>
                <w:kern w:val="0"/>
                <w:szCs w:val="21"/>
                <w:lang w:eastAsia="en-US"/>
              </w:rPr>
              <w:t xml:space="preserve"> 5.22 t/a</w:t>
            </w:r>
            <w:r>
              <w:rPr>
                <w:rFonts w:ascii="Times New Roman" w:eastAsia="宋体" w:hAnsi="Times New Roman" w:cs="Times New Roman"/>
                <w:kern w:val="0"/>
                <w:szCs w:val="21"/>
                <w:lang w:eastAsia="en-US"/>
              </w:rPr>
              <w:t>。</w:t>
            </w:r>
          </w:p>
        </w:tc>
        <w:tc>
          <w:tcPr>
            <w:tcW w:w="1572" w:type="pct"/>
            <w:vAlign w:val="center"/>
          </w:tcPr>
          <w:p w14:paraId="57A553C2"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kern w:val="0"/>
                <w:szCs w:val="21"/>
              </w:rPr>
              <w:t>验收监测期间，项目污染物满足总量控制指标。</w:t>
            </w:r>
          </w:p>
        </w:tc>
      </w:tr>
      <w:tr w:rsidR="002133E3" w14:paraId="446A2BD2" w14:textId="77777777">
        <w:trPr>
          <w:trHeight w:val="397"/>
        </w:trPr>
        <w:tc>
          <w:tcPr>
            <w:tcW w:w="374" w:type="pct"/>
            <w:vAlign w:val="center"/>
          </w:tcPr>
          <w:p w14:paraId="0022E893" w14:textId="77777777" w:rsidR="002133E3" w:rsidRDefault="00C22CFA">
            <w:pPr>
              <w:spacing w:line="0" w:lineRule="atLeast"/>
              <w:jc w:val="center"/>
              <w:rPr>
                <w:rFonts w:ascii="Times New Roman" w:eastAsia="宋体" w:hAnsi="Times New Roman" w:cs="Times New Roman"/>
                <w:kern w:val="0"/>
                <w:szCs w:val="21"/>
                <w:lang w:eastAsia="en-US"/>
              </w:rPr>
            </w:pPr>
            <w:r>
              <w:rPr>
                <w:rFonts w:ascii="Times New Roman" w:eastAsia="宋体" w:hAnsi="Times New Roman" w:cs="Times New Roman"/>
                <w:w w:val="99"/>
                <w:kern w:val="0"/>
                <w:lang w:eastAsia="en-US"/>
              </w:rPr>
              <w:t>9</w:t>
            </w:r>
          </w:p>
        </w:tc>
        <w:tc>
          <w:tcPr>
            <w:tcW w:w="3053" w:type="pct"/>
            <w:vAlign w:val="center"/>
          </w:tcPr>
          <w:p w14:paraId="5640FA09" w14:textId="77777777" w:rsidR="002133E3" w:rsidRDefault="00C22CFA">
            <w:pPr>
              <w:spacing w:line="0" w:lineRule="atLeast"/>
              <w:rPr>
                <w:rFonts w:ascii="Times New Roman" w:eastAsia="宋体" w:hAnsi="Times New Roman" w:cs="Times New Roman"/>
                <w:kern w:val="0"/>
                <w:szCs w:val="21"/>
              </w:rPr>
            </w:pPr>
            <w:r>
              <w:rPr>
                <w:rFonts w:ascii="Times New Roman" w:eastAsia="宋体" w:hAnsi="Times New Roman" w:cs="Times New Roman"/>
                <w:spacing w:val="-4"/>
                <w:kern w:val="0"/>
                <w:szCs w:val="21"/>
              </w:rPr>
              <w:t>实施全过程环境监理。按环境保护部《关于印发</w:t>
            </w:r>
            <w:r>
              <w:rPr>
                <w:rFonts w:ascii="Times New Roman" w:eastAsia="宋体" w:hAnsi="Times New Roman" w:cs="Times New Roman"/>
                <w:spacing w:val="-4"/>
                <w:kern w:val="0"/>
                <w:szCs w:val="21"/>
              </w:rPr>
              <w:t>&lt;</w:t>
            </w:r>
            <w:r>
              <w:rPr>
                <w:rFonts w:ascii="Times New Roman" w:eastAsia="宋体" w:hAnsi="Times New Roman" w:cs="Times New Roman"/>
                <w:spacing w:val="-4"/>
                <w:kern w:val="0"/>
                <w:szCs w:val="21"/>
              </w:rPr>
              <w:t>建设项目环境</w:t>
            </w:r>
            <w:r>
              <w:rPr>
                <w:rFonts w:ascii="Times New Roman" w:eastAsia="宋体" w:hAnsi="Times New Roman" w:cs="Times New Roman"/>
                <w:w w:val="99"/>
                <w:kern w:val="0"/>
                <w:szCs w:val="21"/>
              </w:rPr>
              <w:t xml:space="preserve"> </w:t>
            </w:r>
            <w:r>
              <w:rPr>
                <w:rFonts w:ascii="Times New Roman" w:eastAsia="宋体" w:hAnsi="Times New Roman" w:cs="Times New Roman"/>
                <w:kern w:val="0"/>
                <w:szCs w:val="21"/>
              </w:rPr>
              <w:t>保护事中事后监督管理办法（试行）</w:t>
            </w:r>
            <w:r>
              <w:rPr>
                <w:rFonts w:ascii="Times New Roman" w:eastAsia="宋体" w:hAnsi="Times New Roman" w:cs="Times New Roman"/>
                <w:kern w:val="0"/>
                <w:szCs w:val="21"/>
              </w:rPr>
              <w:t>&gt;</w:t>
            </w:r>
            <w:r>
              <w:rPr>
                <w:rFonts w:ascii="Times New Roman" w:eastAsia="宋体" w:hAnsi="Times New Roman" w:cs="Times New Roman"/>
                <w:kern w:val="0"/>
                <w:szCs w:val="21"/>
              </w:rPr>
              <w:t>的通知》（环发（</w:t>
            </w:r>
            <w:r>
              <w:rPr>
                <w:rFonts w:ascii="Times New Roman" w:eastAsia="宋体" w:hAnsi="Times New Roman" w:cs="Times New Roman"/>
                <w:kern w:val="0"/>
                <w:szCs w:val="21"/>
              </w:rPr>
              <w:t>2015</w:t>
            </w:r>
            <w:r>
              <w:rPr>
                <w:rFonts w:ascii="Times New Roman" w:eastAsia="宋体" w:hAnsi="Times New Roman" w:cs="Times New Roman"/>
                <w:kern w:val="0"/>
                <w:szCs w:val="21"/>
              </w:rPr>
              <w:t>，</w:t>
            </w:r>
            <w:r>
              <w:rPr>
                <w:rFonts w:ascii="Times New Roman" w:eastAsia="宋体" w:hAnsi="Times New Roman" w:cs="Times New Roman"/>
                <w:kern w:val="0"/>
                <w:szCs w:val="21"/>
              </w:rPr>
              <w:t>163</w:t>
            </w:r>
            <w:r>
              <w:rPr>
                <w:rFonts w:ascii="Times New Roman" w:eastAsia="宋体" w:hAnsi="Times New Roman" w:cs="Times New Roman"/>
                <w:spacing w:val="-4"/>
                <w:kern w:val="0"/>
                <w:szCs w:val="21"/>
              </w:rPr>
              <w:t xml:space="preserve"> </w:t>
            </w:r>
            <w:r>
              <w:rPr>
                <w:rFonts w:ascii="Times New Roman" w:eastAsia="宋体" w:hAnsi="Times New Roman" w:cs="Times New Roman"/>
                <w:kern w:val="0"/>
                <w:szCs w:val="21"/>
              </w:rPr>
              <w:t>号）及我省有关管理规定的要求，本项目须实施全过程环境监理。</w:t>
            </w:r>
          </w:p>
        </w:tc>
        <w:tc>
          <w:tcPr>
            <w:tcW w:w="1572" w:type="pct"/>
            <w:vAlign w:val="center"/>
          </w:tcPr>
          <w:p w14:paraId="15C512AD" w14:textId="77777777" w:rsidR="002133E3" w:rsidRDefault="00C22CFA">
            <w:pPr>
              <w:spacing w:line="0" w:lineRule="atLeast"/>
              <w:rPr>
                <w:rFonts w:ascii="Times New Roman" w:eastAsia="宋体" w:hAnsi="Times New Roman" w:cs="Times New Roman"/>
                <w:kern w:val="0"/>
                <w:szCs w:val="21"/>
                <w:lang w:eastAsia="en-US"/>
              </w:rPr>
            </w:pPr>
            <w:proofErr w:type="spellStart"/>
            <w:r>
              <w:rPr>
                <w:rFonts w:ascii="Times New Roman" w:eastAsia="宋体" w:hAnsi="Times New Roman" w:cs="Times New Roman"/>
                <w:kern w:val="0"/>
                <w:szCs w:val="21"/>
                <w:lang w:eastAsia="en-US"/>
              </w:rPr>
              <w:t>项目已实施环境监理</w:t>
            </w:r>
            <w:proofErr w:type="spellEnd"/>
          </w:p>
        </w:tc>
      </w:tr>
    </w:tbl>
    <w:p w14:paraId="3820013D"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bookmarkStart w:id="27" w:name="_Toc47604327"/>
      <w:r>
        <w:rPr>
          <w:rFonts w:ascii="Times New Roman" w:eastAsia="宋体" w:hAnsi="Times New Roman" w:cs="Times New Roman"/>
          <w:b/>
          <w:sz w:val="30"/>
          <w:szCs w:val="30"/>
        </w:rPr>
        <w:t>已批未建项目工程概况</w:t>
      </w:r>
    </w:p>
    <w:p w14:paraId="3EDC54D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已批未建项目主体工程</w:t>
      </w:r>
    </w:p>
    <w:p w14:paraId="25B02B47"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4"/>
        </w:rPr>
        <w:t>已批未建主体工程情况见表</w:t>
      </w:r>
      <w:r>
        <w:rPr>
          <w:rFonts w:ascii="Times New Roman" w:eastAsia="宋体" w:hAnsi="Times New Roman" w:cs="Times New Roman"/>
          <w:sz w:val="28"/>
          <w:szCs w:val="24"/>
        </w:rPr>
        <w:t>3.3-1</w:t>
      </w:r>
      <w:r>
        <w:rPr>
          <w:rFonts w:ascii="Times New Roman" w:eastAsia="宋体" w:hAnsi="Times New Roman" w:cs="Times New Roman"/>
          <w:sz w:val="28"/>
          <w:szCs w:val="28"/>
        </w:rPr>
        <w:t>。</w:t>
      </w:r>
    </w:p>
    <w:p w14:paraId="727914D6" w14:textId="77777777" w:rsidR="002133E3" w:rsidRDefault="00C22CFA">
      <w:pPr>
        <w:snapToGrid w:val="0"/>
        <w:spacing w:line="500" w:lineRule="atLeast"/>
        <w:jc w:val="center"/>
        <w:rPr>
          <w:rFonts w:ascii="Times New Roman" w:eastAsia="宋体" w:hAnsi="Times New Roman" w:cs="Times New Roman"/>
          <w:b/>
          <w:sz w:val="30"/>
          <w:szCs w:val="30"/>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3.3-1  </w:t>
      </w:r>
      <w:r>
        <w:rPr>
          <w:rFonts w:ascii="Times New Roman" w:eastAsia="宋体" w:hAnsi="Times New Roman" w:cs="Times New Roman"/>
          <w:b/>
          <w:bCs/>
          <w:szCs w:val="21"/>
        </w:rPr>
        <w:t>已批未建主体工程情况表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3337"/>
        <w:gridCol w:w="1742"/>
        <w:gridCol w:w="1159"/>
        <w:gridCol w:w="1019"/>
        <w:gridCol w:w="1161"/>
        <w:gridCol w:w="861"/>
      </w:tblGrid>
      <w:tr w:rsidR="002133E3" w14:paraId="7323CA94" w14:textId="77777777">
        <w:trPr>
          <w:trHeight w:val="284"/>
          <w:jc w:val="center"/>
        </w:trPr>
        <w:tc>
          <w:tcPr>
            <w:tcW w:w="292" w:type="pct"/>
            <w:tcBorders>
              <w:top w:val="single" w:sz="4" w:space="0" w:color="auto"/>
              <w:left w:val="single" w:sz="4" w:space="0" w:color="auto"/>
              <w:bottom w:val="single" w:sz="4" w:space="0" w:color="auto"/>
              <w:right w:val="single" w:sz="4" w:space="0" w:color="auto"/>
            </w:tcBorders>
            <w:vAlign w:val="center"/>
          </w:tcPr>
          <w:p w14:paraId="2A2151FA"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1693" w:type="pct"/>
            <w:tcBorders>
              <w:top w:val="single" w:sz="4" w:space="0" w:color="auto"/>
              <w:left w:val="single" w:sz="4" w:space="0" w:color="auto"/>
              <w:bottom w:val="single" w:sz="4" w:space="0" w:color="auto"/>
              <w:right w:val="single" w:sz="4" w:space="0" w:color="auto"/>
            </w:tcBorders>
            <w:vAlign w:val="center"/>
          </w:tcPr>
          <w:p w14:paraId="5B529D97"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项目名称</w:t>
            </w:r>
          </w:p>
        </w:tc>
        <w:tc>
          <w:tcPr>
            <w:tcW w:w="884" w:type="pct"/>
            <w:tcBorders>
              <w:top w:val="single" w:sz="4" w:space="0" w:color="auto"/>
              <w:left w:val="single" w:sz="4" w:space="0" w:color="auto"/>
              <w:bottom w:val="single" w:sz="4" w:space="0" w:color="auto"/>
              <w:right w:val="single" w:sz="4" w:space="0" w:color="auto"/>
            </w:tcBorders>
            <w:vAlign w:val="center"/>
          </w:tcPr>
          <w:p w14:paraId="0B74856C"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工程名称</w:t>
            </w:r>
          </w:p>
        </w:tc>
        <w:tc>
          <w:tcPr>
            <w:tcW w:w="1105" w:type="pct"/>
            <w:gridSpan w:val="2"/>
            <w:tcBorders>
              <w:top w:val="single" w:sz="4" w:space="0" w:color="auto"/>
              <w:left w:val="single" w:sz="4" w:space="0" w:color="auto"/>
              <w:bottom w:val="single" w:sz="4" w:space="0" w:color="auto"/>
              <w:right w:val="single" w:sz="4" w:space="0" w:color="auto"/>
            </w:tcBorders>
            <w:vAlign w:val="center"/>
          </w:tcPr>
          <w:p w14:paraId="102F325D"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产品及副产</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规格</w:t>
            </w:r>
            <w:r>
              <w:rPr>
                <w:rFonts w:ascii="Times New Roman" w:eastAsia="宋体" w:hAnsi="Times New Roman" w:cs="Times New Roman"/>
                <w:b/>
                <w:bCs/>
                <w:kern w:val="0"/>
                <w:szCs w:val="21"/>
              </w:rPr>
              <w:t>)</w:t>
            </w:r>
          </w:p>
        </w:tc>
        <w:tc>
          <w:tcPr>
            <w:tcW w:w="589" w:type="pct"/>
            <w:tcBorders>
              <w:top w:val="single" w:sz="4" w:space="0" w:color="auto"/>
              <w:left w:val="single" w:sz="4" w:space="0" w:color="auto"/>
              <w:bottom w:val="single" w:sz="4" w:space="0" w:color="auto"/>
              <w:right w:val="single" w:sz="4" w:space="0" w:color="auto"/>
            </w:tcBorders>
            <w:vAlign w:val="center"/>
          </w:tcPr>
          <w:p w14:paraId="7DABE11D"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生产能力</w:t>
            </w:r>
            <w:r>
              <w:rPr>
                <w:rFonts w:ascii="Times New Roman" w:eastAsia="宋体" w:hAnsi="Times New Roman" w:cs="Times New Roman"/>
                <w:b/>
                <w:bCs/>
                <w:kern w:val="0"/>
                <w:szCs w:val="21"/>
              </w:rPr>
              <w:t>(t/a)</w:t>
            </w:r>
          </w:p>
        </w:tc>
        <w:tc>
          <w:tcPr>
            <w:tcW w:w="437" w:type="pct"/>
            <w:tcBorders>
              <w:top w:val="single" w:sz="4" w:space="0" w:color="auto"/>
              <w:left w:val="single" w:sz="4" w:space="0" w:color="auto"/>
              <w:bottom w:val="single" w:sz="4" w:space="0" w:color="auto"/>
              <w:right w:val="single" w:sz="4" w:space="0" w:color="auto"/>
            </w:tcBorders>
            <w:vAlign w:val="center"/>
          </w:tcPr>
          <w:p w14:paraId="45E812B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运行时数</w:t>
            </w:r>
          </w:p>
        </w:tc>
      </w:tr>
      <w:tr w:rsidR="002133E3" w14:paraId="3665331C" w14:textId="77777777">
        <w:trPr>
          <w:trHeight w:val="284"/>
          <w:jc w:val="center"/>
        </w:trPr>
        <w:tc>
          <w:tcPr>
            <w:tcW w:w="292" w:type="pct"/>
            <w:vMerge w:val="restart"/>
            <w:tcBorders>
              <w:left w:val="single" w:sz="4" w:space="0" w:color="auto"/>
              <w:right w:val="single" w:sz="4" w:space="0" w:color="auto"/>
            </w:tcBorders>
            <w:vAlign w:val="center"/>
          </w:tcPr>
          <w:p w14:paraId="3F1F7B8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693" w:type="pct"/>
            <w:vMerge w:val="restart"/>
            <w:tcBorders>
              <w:left w:val="single" w:sz="4" w:space="0" w:color="auto"/>
              <w:right w:val="single" w:sz="4" w:space="0" w:color="auto"/>
            </w:tcBorders>
            <w:vAlign w:val="center"/>
          </w:tcPr>
          <w:p w14:paraId="35D2323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年产</w:t>
            </w:r>
            <w:r>
              <w:rPr>
                <w:rFonts w:ascii="Times New Roman" w:eastAsia="宋体" w:hAnsi="Times New Roman" w:cs="Times New Roman"/>
                <w:kern w:val="0"/>
                <w:szCs w:val="21"/>
              </w:rPr>
              <w:t>3</w:t>
            </w:r>
            <w:r>
              <w:rPr>
                <w:rFonts w:ascii="Times New Roman" w:eastAsia="宋体" w:hAnsi="Times New Roman" w:cs="Times New Roman"/>
                <w:kern w:val="0"/>
                <w:szCs w:val="21"/>
              </w:rPr>
              <w:t>万吨丁二酸技改项目</w:t>
            </w:r>
          </w:p>
        </w:tc>
        <w:tc>
          <w:tcPr>
            <w:tcW w:w="884" w:type="pct"/>
            <w:vMerge w:val="restart"/>
            <w:tcBorders>
              <w:top w:val="single" w:sz="4" w:space="0" w:color="auto"/>
              <w:left w:val="single" w:sz="4" w:space="0" w:color="auto"/>
              <w:right w:val="single" w:sz="4" w:space="0" w:color="auto"/>
            </w:tcBorders>
            <w:vAlign w:val="center"/>
          </w:tcPr>
          <w:p w14:paraId="5BDD822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丁二酸生产线</w:t>
            </w:r>
          </w:p>
        </w:tc>
        <w:tc>
          <w:tcPr>
            <w:tcW w:w="1105" w:type="pct"/>
            <w:gridSpan w:val="2"/>
            <w:tcBorders>
              <w:top w:val="single" w:sz="4" w:space="0" w:color="auto"/>
              <w:left w:val="single" w:sz="4" w:space="0" w:color="auto"/>
              <w:bottom w:val="single" w:sz="4" w:space="0" w:color="auto"/>
              <w:right w:val="single" w:sz="4" w:space="0" w:color="auto"/>
            </w:tcBorders>
            <w:vAlign w:val="center"/>
          </w:tcPr>
          <w:p w14:paraId="5BD817D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丁二酸</w:t>
            </w:r>
            <w:r>
              <w:rPr>
                <w:rFonts w:ascii="Times New Roman" w:eastAsia="宋体" w:hAnsi="Times New Roman" w:cs="Times New Roman"/>
                <w:kern w:val="0"/>
                <w:szCs w:val="21"/>
              </w:rPr>
              <w:t>(≥99.5%)</w:t>
            </w:r>
          </w:p>
        </w:tc>
        <w:tc>
          <w:tcPr>
            <w:tcW w:w="589" w:type="pct"/>
            <w:tcBorders>
              <w:top w:val="single" w:sz="4" w:space="0" w:color="auto"/>
              <w:left w:val="single" w:sz="4" w:space="0" w:color="auto"/>
              <w:bottom w:val="single" w:sz="4" w:space="0" w:color="auto"/>
              <w:right w:val="single" w:sz="4" w:space="0" w:color="auto"/>
            </w:tcBorders>
            <w:vAlign w:val="center"/>
          </w:tcPr>
          <w:p w14:paraId="0C1894D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万</w:t>
            </w:r>
          </w:p>
        </w:tc>
        <w:tc>
          <w:tcPr>
            <w:tcW w:w="437" w:type="pct"/>
            <w:vMerge w:val="restart"/>
            <w:tcBorders>
              <w:top w:val="single" w:sz="4" w:space="0" w:color="auto"/>
              <w:left w:val="single" w:sz="4" w:space="0" w:color="auto"/>
              <w:right w:val="single" w:sz="4" w:space="0" w:color="auto"/>
            </w:tcBorders>
            <w:vAlign w:val="center"/>
          </w:tcPr>
          <w:p w14:paraId="2612B2E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r w:rsidR="002133E3" w14:paraId="529A587F" w14:textId="77777777">
        <w:trPr>
          <w:trHeight w:val="284"/>
          <w:jc w:val="center"/>
        </w:trPr>
        <w:tc>
          <w:tcPr>
            <w:tcW w:w="292" w:type="pct"/>
            <w:vMerge/>
            <w:tcBorders>
              <w:left w:val="single" w:sz="4" w:space="0" w:color="auto"/>
              <w:right w:val="single" w:sz="4" w:space="0" w:color="auto"/>
            </w:tcBorders>
            <w:vAlign w:val="center"/>
          </w:tcPr>
          <w:p w14:paraId="63669D0D" w14:textId="77777777" w:rsidR="002133E3" w:rsidRDefault="002133E3">
            <w:pPr>
              <w:snapToGrid w:val="0"/>
              <w:jc w:val="center"/>
              <w:rPr>
                <w:rFonts w:ascii="Times New Roman" w:eastAsia="宋体" w:hAnsi="Times New Roman" w:cs="Times New Roman"/>
                <w:kern w:val="0"/>
                <w:szCs w:val="21"/>
              </w:rPr>
            </w:pPr>
          </w:p>
        </w:tc>
        <w:tc>
          <w:tcPr>
            <w:tcW w:w="1693" w:type="pct"/>
            <w:vMerge/>
            <w:tcBorders>
              <w:left w:val="single" w:sz="4" w:space="0" w:color="auto"/>
              <w:right w:val="single" w:sz="4" w:space="0" w:color="auto"/>
            </w:tcBorders>
            <w:vAlign w:val="center"/>
          </w:tcPr>
          <w:p w14:paraId="72A3DA6E" w14:textId="77777777" w:rsidR="002133E3" w:rsidRDefault="002133E3">
            <w:pPr>
              <w:widowControl/>
              <w:snapToGrid w:val="0"/>
              <w:jc w:val="center"/>
              <w:rPr>
                <w:rFonts w:ascii="Times New Roman" w:eastAsia="宋体" w:hAnsi="Times New Roman" w:cs="Times New Roman"/>
                <w:kern w:val="0"/>
                <w:szCs w:val="21"/>
              </w:rPr>
            </w:pPr>
          </w:p>
        </w:tc>
        <w:tc>
          <w:tcPr>
            <w:tcW w:w="884" w:type="pct"/>
            <w:vMerge/>
            <w:tcBorders>
              <w:left w:val="single" w:sz="4" w:space="0" w:color="auto"/>
              <w:right w:val="single" w:sz="4" w:space="0" w:color="auto"/>
            </w:tcBorders>
            <w:vAlign w:val="center"/>
          </w:tcPr>
          <w:p w14:paraId="12FF9E95" w14:textId="77777777" w:rsidR="002133E3" w:rsidRDefault="002133E3">
            <w:pPr>
              <w:widowControl/>
              <w:snapToGrid w:val="0"/>
              <w:jc w:val="center"/>
              <w:rPr>
                <w:rFonts w:ascii="Times New Roman" w:eastAsia="宋体" w:hAnsi="Times New Roman" w:cs="Times New Roman"/>
                <w:kern w:val="0"/>
                <w:szCs w:val="21"/>
              </w:rPr>
            </w:pPr>
          </w:p>
        </w:tc>
        <w:tc>
          <w:tcPr>
            <w:tcW w:w="588" w:type="pct"/>
            <w:tcBorders>
              <w:top w:val="single" w:sz="4" w:space="0" w:color="auto"/>
              <w:left w:val="single" w:sz="4" w:space="0" w:color="auto"/>
              <w:right w:val="single" w:sz="4" w:space="0" w:color="auto"/>
            </w:tcBorders>
            <w:vAlign w:val="center"/>
          </w:tcPr>
          <w:p w14:paraId="73736DE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517" w:type="pct"/>
            <w:tcBorders>
              <w:top w:val="single" w:sz="4" w:space="0" w:color="auto"/>
              <w:left w:val="single" w:sz="4" w:space="0" w:color="auto"/>
              <w:bottom w:val="single" w:sz="4" w:space="0" w:color="auto"/>
              <w:right w:val="single" w:sz="4" w:space="0" w:color="auto"/>
            </w:tcBorders>
            <w:vAlign w:val="center"/>
          </w:tcPr>
          <w:p w14:paraId="2E4C247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37957.9</w:t>
            </w:r>
          </w:p>
        </w:tc>
        <w:tc>
          <w:tcPr>
            <w:tcW w:w="589" w:type="pct"/>
            <w:tcBorders>
              <w:top w:val="single" w:sz="4" w:space="0" w:color="auto"/>
              <w:left w:val="single" w:sz="4" w:space="0" w:color="auto"/>
              <w:bottom w:val="single" w:sz="4" w:space="0" w:color="auto"/>
              <w:right w:val="single" w:sz="4" w:space="0" w:color="auto"/>
            </w:tcBorders>
            <w:vAlign w:val="center"/>
          </w:tcPr>
          <w:p w14:paraId="3A1FB24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c>
          <w:tcPr>
            <w:tcW w:w="437" w:type="pct"/>
            <w:vMerge/>
            <w:tcBorders>
              <w:left w:val="single" w:sz="4" w:space="0" w:color="auto"/>
              <w:right w:val="single" w:sz="4" w:space="0" w:color="auto"/>
            </w:tcBorders>
            <w:vAlign w:val="center"/>
          </w:tcPr>
          <w:p w14:paraId="6D07782D" w14:textId="77777777" w:rsidR="002133E3" w:rsidRDefault="002133E3">
            <w:pPr>
              <w:widowControl/>
              <w:snapToGrid w:val="0"/>
              <w:jc w:val="center"/>
              <w:rPr>
                <w:rFonts w:ascii="Times New Roman" w:eastAsia="宋体" w:hAnsi="Times New Roman" w:cs="Times New Roman"/>
                <w:kern w:val="0"/>
                <w:szCs w:val="21"/>
              </w:rPr>
            </w:pPr>
          </w:p>
        </w:tc>
      </w:tr>
      <w:tr w:rsidR="002133E3" w14:paraId="377B1A21" w14:textId="77777777">
        <w:trPr>
          <w:trHeight w:val="284"/>
          <w:jc w:val="center"/>
        </w:trPr>
        <w:tc>
          <w:tcPr>
            <w:tcW w:w="292" w:type="pct"/>
            <w:tcBorders>
              <w:top w:val="single" w:sz="4" w:space="0" w:color="auto"/>
              <w:left w:val="single" w:sz="4" w:space="0" w:color="auto"/>
              <w:right w:val="single" w:sz="4" w:space="0" w:color="auto"/>
            </w:tcBorders>
            <w:vAlign w:val="center"/>
          </w:tcPr>
          <w:p w14:paraId="0641ED9C"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2</w:t>
            </w:r>
          </w:p>
        </w:tc>
        <w:tc>
          <w:tcPr>
            <w:tcW w:w="1693" w:type="pct"/>
            <w:tcBorders>
              <w:left w:val="single" w:sz="4" w:space="0" w:color="auto"/>
              <w:right w:val="single" w:sz="4" w:space="0" w:color="auto"/>
            </w:tcBorders>
            <w:vAlign w:val="center"/>
          </w:tcPr>
          <w:p w14:paraId="2A453B9C"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利用木薯酒精废渣年产</w:t>
            </w:r>
            <w:r>
              <w:rPr>
                <w:rFonts w:ascii="Times New Roman" w:eastAsia="宋体" w:hAnsi="Times New Roman" w:cs="Times New Roman"/>
                <w:kern w:val="0"/>
                <w:szCs w:val="21"/>
              </w:rPr>
              <w:t>10</w:t>
            </w:r>
            <w:r>
              <w:rPr>
                <w:rFonts w:ascii="Times New Roman" w:eastAsia="宋体" w:hAnsi="Times New Roman" w:cs="Times New Roman"/>
                <w:kern w:val="0"/>
                <w:szCs w:val="21"/>
              </w:rPr>
              <w:t>万吨高效多功能生物有机肥技改项目</w:t>
            </w:r>
          </w:p>
        </w:tc>
        <w:tc>
          <w:tcPr>
            <w:tcW w:w="884" w:type="pct"/>
            <w:tcBorders>
              <w:left w:val="single" w:sz="4" w:space="0" w:color="auto"/>
              <w:right w:val="single" w:sz="4" w:space="0" w:color="auto"/>
            </w:tcBorders>
            <w:vAlign w:val="center"/>
          </w:tcPr>
          <w:p w14:paraId="3D0CA384"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高效多功能生物有机肥生产线</w:t>
            </w:r>
          </w:p>
        </w:tc>
        <w:tc>
          <w:tcPr>
            <w:tcW w:w="1105" w:type="pct"/>
            <w:gridSpan w:val="2"/>
            <w:tcBorders>
              <w:top w:val="single" w:sz="4" w:space="0" w:color="auto"/>
              <w:left w:val="single" w:sz="4" w:space="0" w:color="auto"/>
              <w:bottom w:val="single" w:sz="4" w:space="0" w:color="auto"/>
              <w:right w:val="single" w:sz="4" w:space="0" w:color="auto"/>
            </w:tcBorders>
            <w:vAlign w:val="center"/>
          </w:tcPr>
          <w:p w14:paraId="28E9E29C"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生物有机肥</w:t>
            </w:r>
          </w:p>
        </w:tc>
        <w:tc>
          <w:tcPr>
            <w:tcW w:w="589" w:type="pct"/>
            <w:tcBorders>
              <w:top w:val="single" w:sz="4" w:space="0" w:color="auto"/>
              <w:left w:val="single" w:sz="4" w:space="0" w:color="auto"/>
              <w:bottom w:val="single" w:sz="4" w:space="0" w:color="auto"/>
              <w:right w:val="single" w:sz="4" w:space="0" w:color="auto"/>
            </w:tcBorders>
            <w:vAlign w:val="center"/>
          </w:tcPr>
          <w:p w14:paraId="2FA7447A"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437" w:type="pct"/>
            <w:tcBorders>
              <w:left w:val="single" w:sz="4" w:space="0" w:color="auto"/>
              <w:right w:val="single" w:sz="4" w:space="0" w:color="auto"/>
            </w:tcBorders>
            <w:vAlign w:val="center"/>
          </w:tcPr>
          <w:p w14:paraId="3EFAD2F0"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7200</w:t>
            </w:r>
          </w:p>
        </w:tc>
      </w:tr>
    </w:tbl>
    <w:p w14:paraId="08A62EC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已批未建项目生产工艺</w:t>
      </w:r>
    </w:p>
    <w:p w14:paraId="6A5CF9AE"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丁二酸生产线</w:t>
      </w:r>
    </w:p>
    <w:p w14:paraId="0BE3784F" w14:textId="77777777" w:rsidR="002133E3" w:rsidRDefault="00C22CFA">
      <w:pPr>
        <w:widowControl/>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丁二酸产品物料消耗情况见表</w:t>
      </w:r>
      <w:r>
        <w:rPr>
          <w:rFonts w:ascii="Times New Roman" w:eastAsia="宋体" w:hAnsi="Times New Roman" w:cs="Times New Roman"/>
          <w:kern w:val="0"/>
          <w:sz w:val="28"/>
          <w:szCs w:val="28"/>
        </w:rPr>
        <w:t>3.3-2</w:t>
      </w:r>
      <w:r>
        <w:rPr>
          <w:rFonts w:ascii="Times New Roman" w:eastAsia="宋体" w:hAnsi="Times New Roman" w:cs="Times New Roman"/>
          <w:kern w:val="0"/>
          <w:sz w:val="28"/>
          <w:szCs w:val="28"/>
        </w:rPr>
        <w:t>，生产工艺流程及物料平衡见图</w:t>
      </w:r>
      <w:r>
        <w:rPr>
          <w:rFonts w:ascii="Times New Roman" w:eastAsia="宋体" w:hAnsi="Times New Roman" w:cs="Times New Roman"/>
          <w:kern w:val="0"/>
          <w:sz w:val="28"/>
          <w:szCs w:val="28"/>
        </w:rPr>
        <w:t>3.3-1</w:t>
      </w:r>
      <w:r>
        <w:rPr>
          <w:rFonts w:ascii="Times New Roman" w:eastAsia="宋体" w:hAnsi="Times New Roman" w:cs="Times New Roman"/>
          <w:kern w:val="0"/>
          <w:sz w:val="28"/>
          <w:szCs w:val="28"/>
        </w:rPr>
        <w:t>。</w:t>
      </w:r>
    </w:p>
    <w:p w14:paraId="308B17FC" w14:textId="77777777" w:rsidR="002133E3" w:rsidRDefault="00C22CFA">
      <w:pPr>
        <w:spacing w:line="520" w:lineRule="exact"/>
        <w:jc w:val="center"/>
        <w:rPr>
          <w:rFonts w:ascii="Times New Roman" w:eastAsia="宋体" w:hAnsi="Times New Roman" w:cs="Times New Roman"/>
          <w:b/>
          <w:bCs/>
          <w:szCs w:val="21"/>
        </w:rPr>
      </w:pPr>
      <w:r>
        <w:rPr>
          <w:rFonts w:ascii="Times New Roman" w:eastAsia="宋体" w:hAnsi="Times New Roman" w:cs="Times New Roman"/>
          <w:b/>
          <w:bCs/>
          <w:szCs w:val="21"/>
        </w:rPr>
        <w:lastRenderedPageBreak/>
        <w:t>表</w:t>
      </w:r>
      <w:r>
        <w:rPr>
          <w:rFonts w:ascii="Times New Roman" w:eastAsia="宋体" w:hAnsi="Times New Roman" w:cs="Times New Roman"/>
          <w:b/>
          <w:bCs/>
          <w:szCs w:val="21"/>
        </w:rPr>
        <w:t xml:space="preserve">3.3-2   </w:t>
      </w:r>
      <w:r>
        <w:rPr>
          <w:rFonts w:ascii="Times New Roman" w:eastAsia="宋体" w:hAnsi="Times New Roman" w:cs="Times New Roman"/>
          <w:b/>
          <w:bCs/>
          <w:szCs w:val="21"/>
        </w:rPr>
        <w:t>丁二酸生产物料平衡表</w:t>
      </w:r>
      <w:r>
        <w:rPr>
          <w:rFonts w:ascii="Times New Roman" w:eastAsia="宋体" w:hAnsi="Times New Roman" w:cs="Times New Roman"/>
          <w:b/>
          <w:bCs/>
          <w:szCs w:val="21"/>
        </w:rPr>
        <w:t>(t/a)</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26"/>
        <w:gridCol w:w="1667"/>
        <w:gridCol w:w="1043"/>
        <w:gridCol w:w="1738"/>
        <w:gridCol w:w="698"/>
        <w:gridCol w:w="920"/>
        <w:gridCol w:w="721"/>
        <w:gridCol w:w="867"/>
        <w:gridCol w:w="575"/>
        <w:gridCol w:w="999"/>
      </w:tblGrid>
      <w:tr w:rsidR="002133E3" w14:paraId="4B58E641" w14:textId="77777777">
        <w:trPr>
          <w:trHeight w:val="284"/>
          <w:jc w:val="center"/>
        </w:trPr>
        <w:tc>
          <w:tcPr>
            <w:tcW w:w="317" w:type="pct"/>
            <w:vMerge w:val="restart"/>
            <w:vAlign w:val="center"/>
          </w:tcPr>
          <w:p w14:paraId="6323FB9B"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375" w:type="pct"/>
            <w:gridSpan w:val="2"/>
            <w:vAlign w:val="center"/>
          </w:tcPr>
          <w:p w14:paraId="76785A13"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入方</w:t>
            </w:r>
          </w:p>
        </w:tc>
        <w:tc>
          <w:tcPr>
            <w:tcW w:w="3309" w:type="pct"/>
            <w:gridSpan w:val="7"/>
            <w:vAlign w:val="center"/>
          </w:tcPr>
          <w:p w14:paraId="022472E8"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出方</w:t>
            </w:r>
          </w:p>
        </w:tc>
      </w:tr>
      <w:tr w:rsidR="002133E3" w14:paraId="07CD249D" w14:textId="77777777">
        <w:trPr>
          <w:trHeight w:val="284"/>
          <w:jc w:val="center"/>
        </w:trPr>
        <w:tc>
          <w:tcPr>
            <w:tcW w:w="317" w:type="pct"/>
            <w:vMerge/>
            <w:vAlign w:val="center"/>
          </w:tcPr>
          <w:p w14:paraId="2C861965" w14:textId="77777777" w:rsidR="002133E3" w:rsidRDefault="002133E3">
            <w:pPr>
              <w:widowControl/>
              <w:snapToGrid w:val="0"/>
              <w:jc w:val="center"/>
              <w:rPr>
                <w:rFonts w:ascii="Times New Roman" w:eastAsia="宋体" w:hAnsi="Times New Roman" w:cs="Times New Roman"/>
                <w:b/>
                <w:kern w:val="0"/>
                <w:szCs w:val="21"/>
              </w:rPr>
            </w:pPr>
          </w:p>
        </w:tc>
        <w:tc>
          <w:tcPr>
            <w:tcW w:w="846" w:type="pct"/>
            <w:vAlign w:val="center"/>
          </w:tcPr>
          <w:p w14:paraId="2F88F0A3"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物料名称</w:t>
            </w:r>
          </w:p>
        </w:tc>
        <w:tc>
          <w:tcPr>
            <w:tcW w:w="529" w:type="pct"/>
            <w:vAlign w:val="center"/>
          </w:tcPr>
          <w:p w14:paraId="338478DA"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数量</w:t>
            </w:r>
          </w:p>
        </w:tc>
        <w:tc>
          <w:tcPr>
            <w:tcW w:w="882" w:type="pct"/>
            <w:vAlign w:val="center"/>
          </w:tcPr>
          <w:p w14:paraId="7C1D22A7"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产品及副产品</w:t>
            </w:r>
          </w:p>
        </w:tc>
        <w:tc>
          <w:tcPr>
            <w:tcW w:w="821" w:type="pct"/>
            <w:gridSpan w:val="2"/>
            <w:vAlign w:val="center"/>
          </w:tcPr>
          <w:p w14:paraId="04C74A3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废水</w:t>
            </w:r>
          </w:p>
        </w:tc>
        <w:tc>
          <w:tcPr>
            <w:tcW w:w="806" w:type="pct"/>
            <w:gridSpan w:val="2"/>
            <w:vAlign w:val="center"/>
          </w:tcPr>
          <w:p w14:paraId="6C7803D0"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废气</w:t>
            </w:r>
          </w:p>
        </w:tc>
        <w:tc>
          <w:tcPr>
            <w:tcW w:w="799" w:type="pct"/>
            <w:gridSpan w:val="2"/>
            <w:vAlign w:val="center"/>
          </w:tcPr>
          <w:p w14:paraId="533733DA"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固废</w:t>
            </w:r>
          </w:p>
        </w:tc>
      </w:tr>
      <w:tr w:rsidR="002133E3" w14:paraId="7765DBB6" w14:textId="77777777">
        <w:trPr>
          <w:trHeight w:val="284"/>
          <w:jc w:val="center"/>
        </w:trPr>
        <w:tc>
          <w:tcPr>
            <w:tcW w:w="317" w:type="pct"/>
            <w:vAlign w:val="center"/>
          </w:tcPr>
          <w:p w14:paraId="64025C8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846" w:type="pct"/>
            <w:vAlign w:val="center"/>
          </w:tcPr>
          <w:p w14:paraId="49A4511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木薯</w:t>
            </w:r>
          </w:p>
        </w:tc>
        <w:tc>
          <w:tcPr>
            <w:tcW w:w="529" w:type="pct"/>
            <w:vAlign w:val="center"/>
          </w:tcPr>
          <w:p w14:paraId="3FC7424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40000</w:t>
            </w:r>
          </w:p>
        </w:tc>
        <w:tc>
          <w:tcPr>
            <w:tcW w:w="882" w:type="pct"/>
            <w:vAlign w:val="center"/>
          </w:tcPr>
          <w:p w14:paraId="5A46B21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产品</w:t>
            </w:r>
            <w:r>
              <w:rPr>
                <w:rFonts w:ascii="Times New Roman" w:eastAsia="宋体" w:hAnsi="Times New Roman" w:cs="Times New Roman"/>
                <w:kern w:val="0"/>
                <w:szCs w:val="21"/>
              </w:rPr>
              <w:t>30000</w:t>
            </w:r>
          </w:p>
        </w:tc>
        <w:tc>
          <w:tcPr>
            <w:tcW w:w="354" w:type="pct"/>
            <w:vAlign w:val="center"/>
          </w:tcPr>
          <w:p w14:paraId="652A6EA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w:t>
            </w:r>
            <w:r>
              <w:rPr>
                <w:rFonts w:ascii="Times New Roman" w:eastAsia="宋体" w:hAnsi="Times New Roman" w:cs="Times New Roman"/>
                <w:kern w:val="0"/>
                <w:szCs w:val="21"/>
                <w:vertAlign w:val="subscript"/>
              </w:rPr>
              <w:t>1-1</w:t>
            </w:r>
          </w:p>
        </w:tc>
        <w:tc>
          <w:tcPr>
            <w:tcW w:w="467" w:type="pct"/>
            <w:vAlign w:val="center"/>
          </w:tcPr>
          <w:p w14:paraId="27E3B7C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10662.6</w:t>
            </w:r>
          </w:p>
        </w:tc>
        <w:tc>
          <w:tcPr>
            <w:tcW w:w="366" w:type="pct"/>
            <w:vAlign w:val="center"/>
          </w:tcPr>
          <w:p w14:paraId="660E7FE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1-1</w:t>
            </w:r>
          </w:p>
        </w:tc>
        <w:tc>
          <w:tcPr>
            <w:tcW w:w="440" w:type="pct"/>
            <w:vAlign w:val="center"/>
          </w:tcPr>
          <w:p w14:paraId="554E5BC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49</w:t>
            </w:r>
          </w:p>
        </w:tc>
        <w:tc>
          <w:tcPr>
            <w:tcW w:w="292" w:type="pct"/>
            <w:vAlign w:val="center"/>
          </w:tcPr>
          <w:p w14:paraId="3A23890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kern w:val="0"/>
                <w:szCs w:val="21"/>
                <w:vertAlign w:val="subscript"/>
              </w:rPr>
              <w:t>1-1</w:t>
            </w:r>
          </w:p>
        </w:tc>
        <w:tc>
          <w:tcPr>
            <w:tcW w:w="507" w:type="pct"/>
            <w:vAlign w:val="center"/>
          </w:tcPr>
          <w:p w14:paraId="004BCF8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1450</w:t>
            </w:r>
          </w:p>
        </w:tc>
      </w:tr>
      <w:tr w:rsidR="002133E3" w14:paraId="3F10D31C" w14:textId="77777777">
        <w:trPr>
          <w:trHeight w:val="284"/>
          <w:jc w:val="center"/>
        </w:trPr>
        <w:tc>
          <w:tcPr>
            <w:tcW w:w="317" w:type="pct"/>
            <w:vAlign w:val="center"/>
          </w:tcPr>
          <w:p w14:paraId="19AADB9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846" w:type="pct"/>
            <w:vAlign w:val="center"/>
          </w:tcPr>
          <w:p w14:paraId="4AB8000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淀粉酶</w:t>
            </w:r>
          </w:p>
        </w:tc>
        <w:tc>
          <w:tcPr>
            <w:tcW w:w="529" w:type="pct"/>
            <w:vAlign w:val="center"/>
          </w:tcPr>
          <w:p w14:paraId="0FE71A1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230</w:t>
            </w:r>
          </w:p>
        </w:tc>
        <w:tc>
          <w:tcPr>
            <w:tcW w:w="882" w:type="pct"/>
            <w:vAlign w:val="center"/>
          </w:tcPr>
          <w:p w14:paraId="2FE19C2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r>
              <w:rPr>
                <w:rFonts w:ascii="Times New Roman" w:eastAsia="宋体" w:hAnsi="Times New Roman" w:cs="Times New Roman"/>
                <w:kern w:val="0"/>
                <w:szCs w:val="21"/>
              </w:rPr>
              <w:t>37457.9</w:t>
            </w:r>
          </w:p>
        </w:tc>
        <w:tc>
          <w:tcPr>
            <w:tcW w:w="354" w:type="pct"/>
            <w:vAlign w:val="center"/>
          </w:tcPr>
          <w:p w14:paraId="7D2F96C5"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25B7FC47"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1E55FB4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1-2</w:t>
            </w:r>
          </w:p>
        </w:tc>
        <w:tc>
          <w:tcPr>
            <w:tcW w:w="440" w:type="pct"/>
            <w:vAlign w:val="center"/>
          </w:tcPr>
          <w:p w14:paraId="6394765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292" w:type="pct"/>
            <w:vAlign w:val="center"/>
          </w:tcPr>
          <w:p w14:paraId="518D4C1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kern w:val="0"/>
                <w:szCs w:val="21"/>
                <w:vertAlign w:val="subscript"/>
              </w:rPr>
              <w:t>1-2</w:t>
            </w:r>
          </w:p>
        </w:tc>
        <w:tc>
          <w:tcPr>
            <w:tcW w:w="507" w:type="pct"/>
            <w:vAlign w:val="center"/>
          </w:tcPr>
          <w:p w14:paraId="34ABD4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10630.6</w:t>
            </w:r>
          </w:p>
        </w:tc>
      </w:tr>
      <w:tr w:rsidR="002133E3" w14:paraId="58B8E85D" w14:textId="77777777">
        <w:trPr>
          <w:trHeight w:val="284"/>
          <w:jc w:val="center"/>
        </w:trPr>
        <w:tc>
          <w:tcPr>
            <w:tcW w:w="317" w:type="pct"/>
            <w:vAlign w:val="center"/>
          </w:tcPr>
          <w:p w14:paraId="037FA9F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846" w:type="pct"/>
            <w:vAlign w:val="center"/>
          </w:tcPr>
          <w:p w14:paraId="53A77B6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糖化酶</w:t>
            </w:r>
          </w:p>
        </w:tc>
        <w:tc>
          <w:tcPr>
            <w:tcW w:w="529" w:type="pct"/>
            <w:vAlign w:val="center"/>
          </w:tcPr>
          <w:p w14:paraId="5B36447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800</w:t>
            </w:r>
          </w:p>
        </w:tc>
        <w:tc>
          <w:tcPr>
            <w:tcW w:w="882" w:type="pct"/>
            <w:vAlign w:val="center"/>
          </w:tcPr>
          <w:p w14:paraId="4BED2A20"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6475DD7F"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18BF431B"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7C7E20D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1-3</w:t>
            </w:r>
          </w:p>
        </w:tc>
        <w:tc>
          <w:tcPr>
            <w:tcW w:w="440" w:type="pct"/>
            <w:vAlign w:val="center"/>
          </w:tcPr>
          <w:p w14:paraId="0DBF0DF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13.2</w:t>
            </w:r>
          </w:p>
        </w:tc>
        <w:tc>
          <w:tcPr>
            <w:tcW w:w="292" w:type="pct"/>
            <w:vAlign w:val="center"/>
          </w:tcPr>
          <w:p w14:paraId="758743D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kern w:val="0"/>
                <w:szCs w:val="21"/>
                <w:vertAlign w:val="subscript"/>
              </w:rPr>
              <w:t>1-3</w:t>
            </w:r>
          </w:p>
        </w:tc>
        <w:tc>
          <w:tcPr>
            <w:tcW w:w="507" w:type="pct"/>
            <w:vAlign w:val="center"/>
          </w:tcPr>
          <w:p w14:paraId="6142BF7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28872.4</w:t>
            </w:r>
          </w:p>
        </w:tc>
      </w:tr>
      <w:tr w:rsidR="002133E3" w14:paraId="2D37DD7F" w14:textId="77777777">
        <w:trPr>
          <w:trHeight w:val="284"/>
          <w:jc w:val="center"/>
        </w:trPr>
        <w:tc>
          <w:tcPr>
            <w:tcW w:w="317" w:type="pct"/>
            <w:vAlign w:val="center"/>
          </w:tcPr>
          <w:p w14:paraId="48B71C5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846" w:type="pct"/>
            <w:vAlign w:val="center"/>
          </w:tcPr>
          <w:p w14:paraId="33C7064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磷酸钾</w:t>
            </w:r>
          </w:p>
        </w:tc>
        <w:tc>
          <w:tcPr>
            <w:tcW w:w="529" w:type="pct"/>
            <w:vAlign w:val="center"/>
          </w:tcPr>
          <w:p w14:paraId="7549A9D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400</w:t>
            </w:r>
          </w:p>
        </w:tc>
        <w:tc>
          <w:tcPr>
            <w:tcW w:w="882" w:type="pct"/>
            <w:vAlign w:val="center"/>
          </w:tcPr>
          <w:p w14:paraId="260660B9"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5DB9602A"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2BAB059F"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5B0380D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1-4</w:t>
            </w:r>
          </w:p>
        </w:tc>
        <w:tc>
          <w:tcPr>
            <w:tcW w:w="440" w:type="pct"/>
            <w:vAlign w:val="center"/>
          </w:tcPr>
          <w:p w14:paraId="3072E7B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292" w:type="pct"/>
            <w:vAlign w:val="center"/>
          </w:tcPr>
          <w:p w14:paraId="43310E8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kern w:val="0"/>
                <w:szCs w:val="21"/>
                <w:vertAlign w:val="subscript"/>
              </w:rPr>
              <w:t>1-4</w:t>
            </w:r>
          </w:p>
        </w:tc>
        <w:tc>
          <w:tcPr>
            <w:tcW w:w="507" w:type="pct"/>
            <w:vAlign w:val="center"/>
          </w:tcPr>
          <w:p w14:paraId="4C066AB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59.5</w:t>
            </w:r>
          </w:p>
        </w:tc>
      </w:tr>
      <w:tr w:rsidR="002133E3" w14:paraId="35DA26C6" w14:textId="77777777">
        <w:trPr>
          <w:trHeight w:val="284"/>
          <w:jc w:val="center"/>
        </w:trPr>
        <w:tc>
          <w:tcPr>
            <w:tcW w:w="317" w:type="pct"/>
            <w:vAlign w:val="center"/>
          </w:tcPr>
          <w:p w14:paraId="533918C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846" w:type="pct"/>
            <w:vAlign w:val="center"/>
          </w:tcPr>
          <w:p w14:paraId="507809E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磷酸钠</w:t>
            </w:r>
          </w:p>
        </w:tc>
        <w:tc>
          <w:tcPr>
            <w:tcW w:w="529" w:type="pct"/>
            <w:vAlign w:val="center"/>
          </w:tcPr>
          <w:p w14:paraId="282159B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240</w:t>
            </w:r>
          </w:p>
        </w:tc>
        <w:tc>
          <w:tcPr>
            <w:tcW w:w="882" w:type="pct"/>
            <w:vAlign w:val="center"/>
          </w:tcPr>
          <w:p w14:paraId="227C4136"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13DE8C23"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5BB2D42F"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7682F52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1-5</w:t>
            </w:r>
          </w:p>
        </w:tc>
        <w:tc>
          <w:tcPr>
            <w:tcW w:w="440" w:type="pct"/>
            <w:vAlign w:val="center"/>
          </w:tcPr>
          <w:p w14:paraId="1902B59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1475.1</w:t>
            </w:r>
          </w:p>
        </w:tc>
        <w:tc>
          <w:tcPr>
            <w:tcW w:w="292" w:type="pct"/>
            <w:vAlign w:val="center"/>
          </w:tcPr>
          <w:p w14:paraId="17FD9AD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kern w:val="0"/>
                <w:szCs w:val="21"/>
                <w:vertAlign w:val="subscript"/>
              </w:rPr>
              <w:t>1-5</w:t>
            </w:r>
          </w:p>
        </w:tc>
        <w:tc>
          <w:tcPr>
            <w:tcW w:w="507" w:type="pct"/>
            <w:vAlign w:val="center"/>
          </w:tcPr>
          <w:p w14:paraId="772A891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r>
      <w:tr w:rsidR="002133E3" w14:paraId="227D66F5" w14:textId="77777777">
        <w:trPr>
          <w:trHeight w:val="284"/>
          <w:jc w:val="center"/>
        </w:trPr>
        <w:tc>
          <w:tcPr>
            <w:tcW w:w="317" w:type="pct"/>
            <w:vAlign w:val="center"/>
          </w:tcPr>
          <w:p w14:paraId="0D0E57A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846" w:type="pct"/>
            <w:vAlign w:val="center"/>
          </w:tcPr>
          <w:p w14:paraId="7A45F78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硫酸镁</w:t>
            </w:r>
          </w:p>
        </w:tc>
        <w:tc>
          <w:tcPr>
            <w:tcW w:w="529" w:type="pct"/>
            <w:vAlign w:val="center"/>
          </w:tcPr>
          <w:p w14:paraId="693545D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882" w:type="pct"/>
            <w:vAlign w:val="center"/>
          </w:tcPr>
          <w:p w14:paraId="3BC61111"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38899497"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11162F6A"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1B259EB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1-6</w:t>
            </w:r>
          </w:p>
        </w:tc>
        <w:tc>
          <w:tcPr>
            <w:tcW w:w="440" w:type="pct"/>
            <w:vAlign w:val="center"/>
          </w:tcPr>
          <w:p w14:paraId="0D46CEF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3310.2</w:t>
            </w:r>
          </w:p>
        </w:tc>
        <w:tc>
          <w:tcPr>
            <w:tcW w:w="292" w:type="pct"/>
            <w:vAlign w:val="center"/>
          </w:tcPr>
          <w:p w14:paraId="707D9BB6"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1DCB7CBF" w14:textId="77777777" w:rsidR="002133E3" w:rsidRDefault="002133E3">
            <w:pPr>
              <w:widowControl/>
              <w:snapToGrid w:val="0"/>
              <w:jc w:val="center"/>
              <w:rPr>
                <w:rFonts w:ascii="Times New Roman" w:eastAsia="宋体" w:hAnsi="Times New Roman" w:cs="Times New Roman"/>
                <w:kern w:val="0"/>
                <w:szCs w:val="21"/>
              </w:rPr>
            </w:pPr>
          </w:p>
        </w:tc>
      </w:tr>
      <w:tr w:rsidR="002133E3" w14:paraId="2B7D25E0" w14:textId="77777777">
        <w:trPr>
          <w:trHeight w:val="284"/>
          <w:jc w:val="center"/>
        </w:trPr>
        <w:tc>
          <w:tcPr>
            <w:tcW w:w="317" w:type="pct"/>
            <w:vAlign w:val="center"/>
          </w:tcPr>
          <w:p w14:paraId="3FE387F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846" w:type="pct"/>
            <w:vAlign w:val="center"/>
          </w:tcPr>
          <w:p w14:paraId="16E4DD9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氯化钙</w:t>
            </w:r>
          </w:p>
        </w:tc>
        <w:tc>
          <w:tcPr>
            <w:tcW w:w="529" w:type="pct"/>
            <w:vAlign w:val="center"/>
          </w:tcPr>
          <w:p w14:paraId="651593D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882" w:type="pct"/>
            <w:vAlign w:val="center"/>
          </w:tcPr>
          <w:p w14:paraId="07D487FB"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7F714D7F"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38B6EC82"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5C9C1C4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1-7</w:t>
            </w:r>
          </w:p>
        </w:tc>
        <w:tc>
          <w:tcPr>
            <w:tcW w:w="440" w:type="pct"/>
            <w:vAlign w:val="center"/>
          </w:tcPr>
          <w:p w14:paraId="6BF6B77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2002.2</w:t>
            </w:r>
          </w:p>
        </w:tc>
        <w:tc>
          <w:tcPr>
            <w:tcW w:w="292" w:type="pct"/>
            <w:vAlign w:val="center"/>
          </w:tcPr>
          <w:p w14:paraId="72E88BD1"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5E48D76C" w14:textId="77777777" w:rsidR="002133E3" w:rsidRDefault="002133E3">
            <w:pPr>
              <w:widowControl/>
              <w:snapToGrid w:val="0"/>
              <w:jc w:val="center"/>
              <w:rPr>
                <w:rFonts w:ascii="Times New Roman" w:eastAsia="宋体" w:hAnsi="Times New Roman" w:cs="Times New Roman"/>
                <w:kern w:val="0"/>
                <w:szCs w:val="21"/>
              </w:rPr>
            </w:pPr>
          </w:p>
        </w:tc>
      </w:tr>
      <w:tr w:rsidR="002133E3" w14:paraId="05FE15D7" w14:textId="77777777">
        <w:trPr>
          <w:trHeight w:val="284"/>
          <w:jc w:val="center"/>
        </w:trPr>
        <w:tc>
          <w:tcPr>
            <w:tcW w:w="317" w:type="pct"/>
            <w:vAlign w:val="center"/>
          </w:tcPr>
          <w:p w14:paraId="7B22BB7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846" w:type="pct"/>
            <w:vAlign w:val="center"/>
          </w:tcPr>
          <w:p w14:paraId="7E7ED42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氯化镁</w:t>
            </w:r>
          </w:p>
        </w:tc>
        <w:tc>
          <w:tcPr>
            <w:tcW w:w="529" w:type="pct"/>
            <w:vAlign w:val="center"/>
          </w:tcPr>
          <w:p w14:paraId="629E4CE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882" w:type="pct"/>
            <w:vAlign w:val="center"/>
          </w:tcPr>
          <w:p w14:paraId="6DF97802"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167DDE1D"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75BEBBE6"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313B5DB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Gu</w:t>
            </w:r>
            <w:r>
              <w:rPr>
                <w:rFonts w:ascii="Times New Roman" w:eastAsia="宋体" w:hAnsi="Times New Roman" w:cs="Times New Roman"/>
                <w:kern w:val="0"/>
                <w:szCs w:val="21"/>
                <w:vertAlign w:val="subscript"/>
              </w:rPr>
              <w:t>1-1</w:t>
            </w:r>
          </w:p>
        </w:tc>
        <w:tc>
          <w:tcPr>
            <w:tcW w:w="440" w:type="pct"/>
            <w:vAlign w:val="center"/>
          </w:tcPr>
          <w:p w14:paraId="4D8621F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0.1</w:t>
            </w:r>
          </w:p>
        </w:tc>
        <w:tc>
          <w:tcPr>
            <w:tcW w:w="292" w:type="pct"/>
            <w:vAlign w:val="center"/>
          </w:tcPr>
          <w:p w14:paraId="2DD1282B"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4BFEB8A3" w14:textId="77777777" w:rsidR="002133E3" w:rsidRDefault="002133E3">
            <w:pPr>
              <w:widowControl/>
              <w:snapToGrid w:val="0"/>
              <w:jc w:val="center"/>
              <w:rPr>
                <w:rFonts w:ascii="Times New Roman" w:eastAsia="宋体" w:hAnsi="Times New Roman" w:cs="Times New Roman"/>
                <w:kern w:val="0"/>
                <w:szCs w:val="21"/>
              </w:rPr>
            </w:pPr>
          </w:p>
        </w:tc>
      </w:tr>
      <w:tr w:rsidR="002133E3" w14:paraId="159653E5" w14:textId="77777777">
        <w:trPr>
          <w:trHeight w:val="284"/>
          <w:jc w:val="center"/>
        </w:trPr>
        <w:tc>
          <w:tcPr>
            <w:tcW w:w="317" w:type="pct"/>
            <w:vAlign w:val="center"/>
          </w:tcPr>
          <w:p w14:paraId="7F989DA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846" w:type="pct"/>
            <w:vAlign w:val="center"/>
          </w:tcPr>
          <w:p w14:paraId="1CE5645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微量元素</w:t>
            </w:r>
          </w:p>
        </w:tc>
        <w:tc>
          <w:tcPr>
            <w:tcW w:w="529" w:type="pct"/>
            <w:vAlign w:val="center"/>
          </w:tcPr>
          <w:p w14:paraId="27463E1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40</w:t>
            </w:r>
          </w:p>
        </w:tc>
        <w:tc>
          <w:tcPr>
            <w:tcW w:w="882" w:type="pct"/>
            <w:vAlign w:val="center"/>
          </w:tcPr>
          <w:p w14:paraId="4CC8907B"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455BAB41"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68C5BE05"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0517A4C1"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771838E8"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774C1058"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3C1BE7BF" w14:textId="77777777" w:rsidR="002133E3" w:rsidRDefault="002133E3">
            <w:pPr>
              <w:widowControl/>
              <w:snapToGrid w:val="0"/>
              <w:jc w:val="center"/>
              <w:rPr>
                <w:rFonts w:ascii="Times New Roman" w:eastAsia="宋体" w:hAnsi="Times New Roman" w:cs="Times New Roman"/>
                <w:kern w:val="0"/>
                <w:szCs w:val="21"/>
              </w:rPr>
            </w:pPr>
          </w:p>
        </w:tc>
      </w:tr>
      <w:tr w:rsidR="002133E3" w14:paraId="22F76625" w14:textId="77777777">
        <w:trPr>
          <w:trHeight w:val="284"/>
          <w:jc w:val="center"/>
        </w:trPr>
        <w:tc>
          <w:tcPr>
            <w:tcW w:w="317" w:type="pct"/>
            <w:vAlign w:val="center"/>
          </w:tcPr>
          <w:p w14:paraId="431D32E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846" w:type="pct"/>
            <w:vAlign w:val="center"/>
          </w:tcPr>
          <w:p w14:paraId="5237E43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菌株</w:t>
            </w:r>
          </w:p>
        </w:tc>
        <w:tc>
          <w:tcPr>
            <w:tcW w:w="529" w:type="pct"/>
            <w:vAlign w:val="center"/>
          </w:tcPr>
          <w:p w14:paraId="453C348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882" w:type="pct"/>
            <w:vAlign w:val="center"/>
          </w:tcPr>
          <w:p w14:paraId="31B8119C"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7D885D18"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7368503C"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03DB0B02"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0541ECEC"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4D2ADF1E"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00BE6362" w14:textId="77777777" w:rsidR="002133E3" w:rsidRDefault="002133E3">
            <w:pPr>
              <w:widowControl/>
              <w:snapToGrid w:val="0"/>
              <w:jc w:val="center"/>
              <w:rPr>
                <w:rFonts w:ascii="Times New Roman" w:eastAsia="宋体" w:hAnsi="Times New Roman" w:cs="Times New Roman"/>
                <w:kern w:val="0"/>
                <w:szCs w:val="21"/>
              </w:rPr>
            </w:pPr>
          </w:p>
        </w:tc>
      </w:tr>
      <w:tr w:rsidR="002133E3" w14:paraId="1A5F49B5" w14:textId="77777777">
        <w:trPr>
          <w:trHeight w:val="284"/>
          <w:jc w:val="center"/>
        </w:trPr>
        <w:tc>
          <w:tcPr>
            <w:tcW w:w="317" w:type="pct"/>
            <w:vAlign w:val="center"/>
          </w:tcPr>
          <w:p w14:paraId="08164E1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846" w:type="pct"/>
            <w:vAlign w:val="center"/>
          </w:tcPr>
          <w:p w14:paraId="5ABFAE7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99%</w:t>
            </w:r>
            <w:r>
              <w:rPr>
                <w:rFonts w:ascii="Times New Roman" w:eastAsia="宋体" w:hAnsi="Times New Roman" w:cs="Times New Roman"/>
                <w:kern w:val="0"/>
                <w:szCs w:val="21"/>
              </w:rPr>
              <w:t>氢氧化钠</w:t>
            </w:r>
          </w:p>
        </w:tc>
        <w:tc>
          <w:tcPr>
            <w:tcW w:w="529" w:type="pct"/>
            <w:vAlign w:val="center"/>
          </w:tcPr>
          <w:p w14:paraId="06954AC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11707.6</w:t>
            </w:r>
          </w:p>
        </w:tc>
        <w:tc>
          <w:tcPr>
            <w:tcW w:w="882" w:type="pct"/>
            <w:vAlign w:val="center"/>
          </w:tcPr>
          <w:p w14:paraId="2862D5B1"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72ACA484"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64304527"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2AD9C3E8"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7F3D73D8"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73921A21"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47015D26" w14:textId="77777777" w:rsidR="002133E3" w:rsidRDefault="002133E3">
            <w:pPr>
              <w:widowControl/>
              <w:snapToGrid w:val="0"/>
              <w:jc w:val="center"/>
              <w:rPr>
                <w:rFonts w:ascii="Times New Roman" w:eastAsia="宋体" w:hAnsi="Times New Roman" w:cs="Times New Roman"/>
                <w:kern w:val="0"/>
                <w:szCs w:val="21"/>
              </w:rPr>
            </w:pPr>
          </w:p>
        </w:tc>
      </w:tr>
      <w:tr w:rsidR="002133E3" w14:paraId="0E03EDFB" w14:textId="77777777">
        <w:trPr>
          <w:trHeight w:val="284"/>
          <w:jc w:val="center"/>
        </w:trPr>
        <w:tc>
          <w:tcPr>
            <w:tcW w:w="317" w:type="pct"/>
            <w:vAlign w:val="center"/>
          </w:tcPr>
          <w:p w14:paraId="549B627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846" w:type="pct"/>
            <w:vAlign w:val="center"/>
          </w:tcPr>
          <w:p w14:paraId="681E6F6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二氧化碳</w:t>
            </w:r>
          </w:p>
        </w:tc>
        <w:tc>
          <w:tcPr>
            <w:tcW w:w="529" w:type="pct"/>
            <w:vAlign w:val="center"/>
          </w:tcPr>
          <w:p w14:paraId="72A40D3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12100</w:t>
            </w:r>
          </w:p>
        </w:tc>
        <w:tc>
          <w:tcPr>
            <w:tcW w:w="882" w:type="pct"/>
            <w:vAlign w:val="center"/>
          </w:tcPr>
          <w:p w14:paraId="1A9BF889"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6C9A557E"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77CEA5AD"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4DB6D50F"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7A1879FC"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180CBB13"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3B718B90" w14:textId="77777777" w:rsidR="002133E3" w:rsidRDefault="002133E3">
            <w:pPr>
              <w:widowControl/>
              <w:snapToGrid w:val="0"/>
              <w:jc w:val="center"/>
              <w:rPr>
                <w:rFonts w:ascii="Times New Roman" w:eastAsia="宋体" w:hAnsi="Times New Roman" w:cs="Times New Roman"/>
                <w:kern w:val="0"/>
                <w:szCs w:val="21"/>
              </w:rPr>
            </w:pPr>
          </w:p>
        </w:tc>
      </w:tr>
      <w:tr w:rsidR="002133E3" w14:paraId="7E76CD79" w14:textId="77777777">
        <w:trPr>
          <w:trHeight w:val="284"/>
          <w:jc w:val="center"/>
        </w:trPr>
        <w:tc>
          <w:tcPr>
            <w:tcW w:w="317" w:type="pct"/>
            <w:vAlign w:val="center"/>
          </w:tcPr>
          <w:p w14:paraId="47CD616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846" w:type="pct"/>
            <w:vAlign w:val="center"/>
          </w:tcPr>
          <w:p w14:paraId="2D1F184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树脂</w:t>
            </w:r>
          </w:p>
        </w:tc>
        <w:tc>
          <w:tcPr>
            <w:tcW w:w="529" w:type="pct"/>
            <w:vAlign w:val="center"/>
          </w:tcPr>
          <w:p w14:paraId="1CF3C79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882" w:type="pct"/>
            <w:vAlign w:val="center"/>
          </w:tcPr>
          <w:p w14:paraId="4F3CDD99"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6D0E0614"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4E0C22C1"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429E18C2"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4628B1BA"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223711F3"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35B867E7" w14:textId="77777777" w:rsidR="002133E3" w:rsidRDefault="002133E3">
            <w:pPr>
              <w:widowControl/>
              <w:snapToGrid w:val="0"/>
              <w:jc w:val="center"/>
              <w:rPr>
                <w:rFonts w:ascii="Times New Roman" w:eastAsia="宋体" w:hAnsi="Times New Roman" w:cs="Times New Roman"/>
                <w:kern w:val="0"/>
                <w:szCs w:val="21"/>
              </w:rPr>
            </w:pPr>
          </w:p>
        </w:tc>
      </w:tr>
      <w:tr w:rsidR="002133E3" w14:paraId="6420423C" w14:textId="77777777">
        <w:trPr>
          <w:trHeight w:val="284"/>
          <w:jc w:val="center"/>
        </w:trPr>
        <w:tc>
          <w:tcPr>
            <w:tcW w:w="317" w:type="pct"/>
            <w:vAlign w:val="center"/>
          </w:tcPr>
          <w:p w14:paraId="2EB5A2E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846" w:type="pct"/>
            <w:vAlign w:val="center"/>
          </w:tcPr>
          <w:p w14:paraId="0936586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活性炭</w:t>
            </w:r>
          </w:p>
        </w:tc>
        <w:tc>
          <w:tcPr>
            <w:tcW w:w="529" w:type="pct"/>
            <w:vAlign w:val="center"/>
          </w:tcPr>
          <w:p w14:paraId="04E9FF8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45</w:t>
            </w:r>
          </w:p>
        </w:tc>
        <w:tc>
          <w:tcPr>
            <w:tcW w:w="882" w:type="pct"/>
            <w:vAlign w:val="center"/>
          </w:tcPr>
          <w:p w14:paraId="1FFD6412"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56F4C195"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06B35011"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281354F9"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08AFA229"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54ECC03B"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19978043" w14:textId="77777777" w:rsidR="002133E3" w:rsidRDefault="002133E3">
            <w:pPr>
              <w:widowControl/>
              <w:snapToGrid w:val="0"/>
              <w:jc w:val="center"/>
              <w:rPr>
                <w:rFonts w:ascii="Times New Roman" w:eastAsia="宋体" w:hAnsi="Times New Roman" w:cs="Times New Roman"/>
                <w:kern w:val="0"/>
                <w:szCs w:val="21"/>
              </w:rPr>
            </w:pPr>
          </w:p>
        </w:tc>
      </w:tr>
      <w:tr w:rsidR="002133E3" w14:paraId="31AB4AB6" w14:textId="77777777">
        <w:trPr>
          <w:trHeight w:val="284"/>
          <w:jc w:val="center"/>
        </w:trPr>
        <w:tc>
          <w:tcPr>
            <w:tcW w:w="317" w:type="pct"/>
            <w:vAlign w:val="center"/>
          </w:tcPr>
          <w:p w14:paraId="4499E4F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846" w:type="pct"/>
            <w:vAlign w:val="center"/>
          </w:tcPr>
          <w:p w14:paraId="5EF1CA8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98%</w:t>
            </w:r>
            <w:r>
              <w:rPr>
                <w:rFonts w:ascii="Times New Roman" w:eastAsia="宋体" w:hAnsi="Times New Roman" w:cs="Times New Roman"/>
                <w:kern w:val="0"/>
                <w:szCs w:val="21"/>
              </w:rPr>
              <w:t>硫酸</w:t>
            </w:r>
          </w:p>
        </w:tc>
        <w:tc>
          <w:tcPr>
            <w:tcW w:w="529" w:type="pct"/>
            <w:vAlign w:val="center"/>
          </w:tcPr>
          <w:p w14:paraId="7CF334A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25000</w:t>
            </w:r>
          </w:p>
        </w:tc>
        <w:tc>
          <w:tcPr>
            <w:tcW w:w="882" w:type="pct"/>
            <w:vAlign w:val="center"/>
          </w:tcPr>
          <w:p w14:paraId="1937801A"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013A1720"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2C95EA83"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0E526CCD"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0B249ED9"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16EEA6AA"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5C7C8FF3" w14:textId="77777777" w:rsidR="002133E3" w:rsidRDefault="002133E3">
            <w:pPr>
              <w:widowControl/>
              <w:snapToGrid w:val="0"/>
              <w:jc w:val="center"/>
              <w:rPr>
                <w:rFonts w:ascii="Times New Roman" w:eastAsia="宋体" w:hAnsi="Times New Roman" w:cs="Times New Roman"/>
                <w:kern w:val="0"/>
                <w:szCs w:val="21"/>
              </w:rPr>
            </w:pPr>
          </w:p>
        </w:tc>
      </w:tr>
      <w:tr w:rsidR="002133E3" w14:paraId="25A8C1A8" w14:textId="77777777">
        <w:trPr>
          <w:trHeight w:val="284"/>
          <w:jc w:val="center"/>
        </w:trPr>
        <w:tc>
          <w:tcPr>
            <w:tcW w:w="317" w:type="pct"/>
            <w:vAlign w:val="center"/>
          </w:tcPr>
          <w:p w14:paraId="135DF9C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w:t>
            </w:r>
          </w:p>
        </w:tc>
        <w:tc>
          <w:tcPr>
            <w:tcW w:w="846" w:type="pct"/>
            <w:vAlign w:val="center"/>
          </w:tcPr>
          <w:p w14:paraId="174493C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529" w:type="pct"/>
            <w:vAlign w:val="center"/>
          </w:tcPr>
          <w:p w14:paraId="3CE5E12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25500</w:t>
            </w:r>
          </w:p>
        </w:tc>
        <w:tc>
          <w:tcPr>
            <w:tcW w:w="882" w:type="pct"/>
            <w:vAlign w:val="center"/>
          </w:tcPr>
          <w:p w14:paraId="59FB8748"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2181C780"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0ACF3406"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4A0B7856"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351450E3"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676FDF8A"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49DFB17C" w14:textId="77777777" w:rsidR="002133E3" w:rsidRDefault="002133E3">
            <w:pPr>
              <w:widowControl/>
              <w:snapToGrid w:val="0"/>
              <w:jc w:val="center"/>
              <w:rPr>
                <w:rFonts w:ascii="Times New Roman" w:eastAsia="宋体" w:hAnsi="Times New Roman" w:cs="Times New Roman"/>
                <w:kern w:val="0"/>
                <w:szCs w:val="21"/>
              </w:rPr>
            </w:pPr>
          </w:p>
        </w:tc>
      </w:tr>
      <w:tr w:rsidR="002133E3" w14:paraId="3E8B3CE7" w14:textId="77777777">
        <w:trPr>
          <w:trHeight w:val="284"/>
          <w:jc w:val="center"/>
        </w:trPr>
        <w:tc>
          <w:tcPr>
            <w:tcW w:w="317" w:type="pct"/>
            <w:vAlign w:val="center"/>
          </w:tcPr>
          <w:p w14:paraId="561A1B2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w:t>
            </w:r>
          </w:p>
        </w:tc>
        <w:tc>
          <w:tcPr>
            <w:tcW w:w="846" w:type="pct"/>
            <w:vAlign w:val="center"/>
          </w:tcPr>
          <w:p w14:paraId="429182A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蒸汽</w:t>
            </w:r>
          </w:p>
        </w:tc>
        <w:tc>
          <w:tcPr>
            <w:tcW w:w="529" w:type="pct"/>
            <w:vAlign w:val="center"/>
          </w:tcPr>
          <w:p w14:paraId="634F5EA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10000</w:t>
            </w:r>
          </w:p>
        </w:tc>
        <w:tc>
          <w:tcPr>
            <w:tcW w:w="882" w:type="pct"/>
            <w:vAlign w:val="center"/>
          </w:tcPr>
          <w:p w14:paraId="76EECF6F" w14:textId="77777777" w:rsidR="002133E3" w:rsidRDefault="002133E3">
            <w:pPr>
              <w:widowControl/>
              <w:snapToGrid w:val="0"/>
              <w:jc w:val="center"/>
              <w:rPr>
                <w:rFonts w:ascii="Times New Roman" w:eastAsia="宋体" w:hAnsi="Times New Roman" w:cs="Times New Roman"/>
                <w:kern w:val="0"/>
                <w:szCs w:val="21"/>
              </w:rPr>
            </w:pPr>
          </w:p>
        </w:tc>
        <w:tc>
          <w:tcPr>
            <w:tcW w:w="354" w:type="pct"/>
            <w:vAlign w:val="center"/>
          </w:tcPr>
          <w:p w14:paraId="4298B9F4" w14:textId="77777777" w:rsidR="002133E3" w:rsidRDefault="002133E3">
            <w:pPr>
              <w:widowControl/>
              <w:snapToGrid w:val="0"/>
              <w:jc w:val="center"/>
              <w:rPr>
                <w:rFonts w:ascii="Times New Roman" w:eastAsia="宋体" w:hAnsi="Times New Roman" w:cs="Times New Roman"/>
                <w:kern w:val="0"/>
                <w:szCs w:val="21"/>
              </w:rPr>
            </w:pPr>
          </w:p>
        </w:tc>
        <w:tc>
          <w:tcPr>
            <w:tcW w:w="467" w:type="pct"/>
            <w:vAlign w:val="center"/>
          </w:tcPr>
          <w:p w14:paraId="78229D61" w14:textId="77777777" w:rsidR="002133E3" w:rsidRDefault="002133E3">
            <w:pPr>
              <w:widowControl/>
              <w:snapToGrid w:val="0"/>
              <w:jc w:val="center"/>
              <w:rPr>
                <w:rFonts w:ascii="Times New Roman" w:eastAsia="宋体" w:hAnsi="Times New Roman" w:cs="Times New Roman"/>
                <w:kern w:val="0"/>
                <w:szCs w:val="21"/>
              </w:rPr>
            </w:pPr>
          </w:p>
        </w:tc>
        <w:tc>
          <w:tcPr>
            <w:tcW w:w="366" w:type="pct"/>
            <w:vAlign w:val="center"/>
          </w:tcPr>
          <w:p w14:paraId="62FC86FA" w14:textId="77777777" w:rsidR="002133E3" w:rsidRDefault="002133E3">
            <w:pPr>
              <w:widowControl/>
              <w:snapToGrid w:val="0"/>
              <w:jc w:val="center"/>
              <w:rPr>
                <w:rFonts w:ascii="Times New Roman" w:eastAsia="宋体" w:hAnsi="Times New Roman" w:cs="Times New Roman"/>
                <w:kern w:val="0"/>
                <w:szCs w:val="21"/>
              </w:rPr>
            </w:pPr>
          </w:p>
        </w:tc>
        <w:tc>
          <w:tcPr>
            <w:tcW w:w="440" w:type="pct"/>
            <w:vAlign w:val="center"/>
          </w:tcPr>
          <w:p w14:paraId="0CD2FEAA" w14:textId="77777777" w:rsidR="002133E3" w:rsidRDefault="002133E3">
            <w:pPr>
              <w:widowControl/>
              <w:snapToGrid w:val="0"/>
              <w:jc w:val="center"/>
              <w:rPr>
                <w:rFonts w:ascii="Times New Roman" w:eastAsia="宋体" w:hAnsi="Times New Roman" w:cs="Times New Roman"/>
                <w:kern w:val="0"/>
                <w:szCs w:val="21"/>
              </w:rPr>
            </w:pPr>
          </w:p>
        </w:tc>
        <w:tc>
          <w:tcPr>
            <w:tcW w:w="292" w:type="pct"/>
            <w:vAlign w:val="center"/>
          </w:tcPr>
          <w:p w14:paraId="15806B12" w14:textId="77777777" w:rsidR="002133E3" w:rsidRDefault="002133E3">
            <w:pPr>
              <w:widowControl/>
              <w:snapToGrid w:val="0"/>
              <w:jc w:val="center"/>
              <w:rPr>
                <w:rFonts w:ascii="Times New Roman" w:eastAsia="宋体" w:hAnsi="Times New Roman" w:cs="Times New Roman"/>
                <w:kern w:val="0"/>
                <w:szCs w:val="21"/>
              </w:rPr>
            </w:pPr>
          </w:p>
        </w:tc>
        <w:tc>
          <w:tcPr>
            <w:tcW w:w="507" w:type="pct"/>
            <w:vAlign w:val="center"/>
          </w:tcPr>
          <w:p w14:paraId="7A984490" w14:textId="77777777" w:rsidR="002133E3" w:rsidRDefault="002133E3">
            <w:pPr>
              <w:widowControl/>
              <w:snapToGrid w:val="0"/>
              <w:jc w:val="center"/>
              <w:rPr>
                <w:rFonts w:ascii="Times New Roman" w:eastAsia="宋体" w:hAnsi="Times New Roman" w:cs="Times New Roman"/>
                <w:kern w:val="0"/>
                <w:szCs w:val="21"/>
              </w:rPr>
            </w:pPr>
          </w:p>
        </w:tc>
      </w:tr>
      <w:tr w:rsidR="002133E3" w14:paraId="7781D7E3" w14:textId="77777777">
        <w:trPr>
          <w:trHeight w:val="284"/>
          <w:jc w:val="center"/>
        </w:trPr>
        <w:tc>
          <w:tcPr>
            <w:tcW w:w="1162" w:type="pct"/>
            <w:gridSpan w:val="2"/>
            <w:vMerge w:val="restart"/>
            <w:vAlign w:val="center"/>
          </w:tcPr>
          <w:p w14:paraId="7EAC35A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小计</w:t>
            </w:r>
          </w:p>
        </w:tc>
        <w:tc>
          <w:tcPr>
            <w:tcW w:w="529" w:type="pct"/>
            <w:vMerge w:val="restart"/>
            <w:vAlign w:val="center"/>
          </w:tcPr>
          <w:p w14:paraId="2F93D37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126185.8</w:t>
            </w:r>
          </w:p>
        </w:tc>
        <w:tc>
          <w:tcPr>
            <w:tcW w:w="882" w:type="pct"/>
            <w:vAlign w:val="center"/>
          </w:tcPr>
          <w:p w14:paraId="552436E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67457.9</w:t>
            </w:r>
          </w:p>
        </w:tc>
        <w:tc>
          <w:tcPr>
            <w:tcW w:w="821" w:type="pct"/>
            <w:gridSpan w:val="2"/>
            <w:vAlign w:val="center"/>
          </w:tcPr>
          <w:p w14:paraId="695AF80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10662.6</w:t>
            </w:r>
          </w:p>
        </w:tc>
        <w:tc>
          <w:tcPr>
            <w:tcW w:w="806" w:type="pct"/>
            <w:gridSpan w:val="2"/>
            <w:vAlign w:val="center"/>
          </w:tcPr>
          <w:p w14:paraId="61E9587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7049.8</w:t>
            </w:r>
          </w:p>
        </w:tc>
        <w:tc>
          <w:tcPr>
            <w:tcW w:w="799" w:type="pct"/>
            <w:gridSpan w:val="2"/>
            <w:vAlign w:val="center"/>
          </w:tcPr>
          <w:p w14:paraId="4FF4A59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41015.5</w:t>
            </w:r>
          </w:p>
        </w:tc>
      </w:tr>
      <w:tr w:rsidR="002133E3" w14:paraId="025D7DA2" w14:textId="77777777">
        <w:trPr>
          <w:trHeight w:val="284"/>
          <w:jc w:val="center"/>
        </w:trPr>
        <w:tc>
          <w:tcPr>
            <w:tcW w:w="1162" w:type="pct"/>
            <w:gridSpan w:val="2"/>
            <w:vMerge/>
            <w:vAlign w:val="center"/>
          </w:tcPr>
          <w:p w14:paraId="4B442297" w14:textId="77777777" w:rsidR="002133E3" w:rsidRDefault="002133E3">
            <w:pPr>
              <w:widowControl/>
              <w:snapToGrid w:val="0"/>
              <w:jc w:val="center"/>
              <w:rPr>
                <w:rFonts w:ascii="Times New Roman" w:eastAsia="宋体" w:hAnsi="Times New Roman" w:cs="Times New Roman"/>
                <w:kern w:val="0"/>
                <w:szCs w:val="21"/>
              </w:rPr>
            </w:pPr>
          </w:p>
        </w:tc>
        <w:tc>
          <w:tcPr>
            <w:tcW w:w="529" w:type="pct"/>
            <w:vMerge/>
            <w:vAlign w:val="center"/>
          </w:tcPr>
          <w:p w14:paraId="0FEFCFE7" w14:textId="77777777" w:rsidR="002133E3" w:rsidRDefault="002133E3">
            <w:pPr>
              <w:widowControl/>
              <w:snapToGrid w:val="0"/>
              <w:jc w:val="center"/>
              <w:rPr>
                <w:rFonts w:ascii="Times New Roman" w:eastAsia="宋体" w:hAnsi="Times New Roman" w:cs="Times New Roman"/>
                <w:kern w:val="0"/>
                <w:szCs w:val="21"/>
              </w:rPr>
            </w:pPr>
          </w:p>
        </w:tc>
        <w:tc>
          <w:tcPr>
            <w:tcW w:w="3309" w:type="pct"/>
            <w:gridSpan w:val="7"/>
            <w:vAlign w:val="center"/>
          </w:tcPr>
          <w:p w14:paraId="7E078A9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126185.8</w:t>
            </w:r>
          </w:p>
        </w:tc>
      </w:tr>
      <w:tr w:rsidR="002133E3" w14:paraId="31182C3E" w14:textId="77777777">
        <w:trPr>
          <w:trHeight w:val="284"/>
          <w:jc w:val="center"/>
        </w:trPr>
        <w:tc>
          <w:tcPr>
            <w:tcW w:w="1162" w:type="pct"/>
            <w:gridSpan w:val="2"/>
            <w:vAlign w:val="center"/>
          </w:tcPr>
          <w:p w14:paraId="57A9662C"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合计</w:t>
            </w:r>
          </w:p>
        </w:tc>
        <w:tc>
          <w:tcPr>
            <w:tcW w:w="529" w:type="pct"/>
            <w:vAlign w:val="center"/>
          </w:tcPr>
          <w:p w14:paraId="18C19A47"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126185.8</w:t>
            </w:r>
          </w:p>
        </w:tc>
        <w:tc>
          <w:tcPr>
            <w:tcW w:w="3309" w:type="pct"/>
            <w:gridSpan w:val="7"/>
            <w:vAlign w:val="center"/>
          </w:tcPr>
          <w:p w14:paraId="56485CAD"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126185.8</w:t>
            </w:r>
          </w:p>
        </w:tc>
      </w:tr>
    </w:tbl>
    <w:p w14:paraId="076626BC" w14:textId="77777777" w:rsidR="002133E3" w:rsidRDefault="00C22CFA">
      <w:pPr>
        <w:widowControl/>
        <w:snapToGrid w:val="0"/>
        <w:jc w:val="center"/>
        <w:rPr>
          <w:rFonts w:ascii="Times New Roman" w:eastAsia="宋体" w:hAnsi="Times New Roman" w:cs="Times New Roman"/>
          <w:b/>
          <w:kern w:val="0"/>
          <w:sz w:val="24"/>
          <w:szCs w:val="20"/>
        </w:rPr>
      </w:pPr>
      <w:r>
        <w:rPr>
          <w:rFonts w:ascii="Times New Roman" w:eastAsia="宋体" w:hAnsi="Times New Roman" w:cs="Times New Roman"/>
          <w:kern w:val="0"/>
          <w:sz w:val="24"/>
          <w:szCs w:val="20"/>
        </w:rPr>
        <w:object w:dxaOrig="8892" w:dyaOrig="13434" w14:anchorId="396341EF">
          <v:shape id="_x0000_i1034" type="#_x0000_t75" style="width:444.6pt;height:671.7pt" o:ole="">
            <v:imagedata r:id="rId34" o:title=""/>
          </v:shape>
          <o:OLEObject Type="Embed" ProgID="Visio.Drawing.11" ShapeID="_x0000_i1034" DrawAspect="Content" ObjectID="_1687345257" r:id="rId35"/>
        </w:object>
      </w:r>
    </w:p>
    <w:p w14:paraId="0643A13E"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图</w:t>
      </w:r>
      <w:r>
        <w:rPr>
          <w:rFonts w:ascii="Times New Roman" w:eastAsia="宋体" w:hAnsi="Times New Roman" w:cs="Times New Roman"/>
          <w:b/>
          <w:bCs/>
          <w:sz w:val="24"/>
          <w:szCs w:val="20"/>
        </w:rPr>
        <w:t xml:space="preserve">3.3-1   </w:t>
      </w:r>
      <w:r>
        <w:rPr>
          <w:rFonts w:ascii="Times New Roman" w:eastAsia="宋体" w:hAnsi="Times New Roman" w:cs="Times New Roman"/>
          <w:b/>
          <w:bCs/>
          <w:sz w:val="24"/>
          <w:szCs w:val="20"/>
        </w:rPr>
        <w:t>丁二酸生产线物料平衡图</w:t>
      </w:r>
      <w:r>
        <w:rPr>
          <w:rFonts w:ascii="Times New Roman" w:eastAsia="宋体" w:hAnsi="Times New Roman" w:cs="Times New Roman"/>
          <w:b/>
          <w:bCs/>
          <w:sz w:val="24"/>
          <w:szCs w:val="20"/>
        </w:rPr>
        <w:t>(t/a)</w:t>
      </w:r>
    </w:p>
    <w:p w14:paraId="6B8D698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有机肥生产线</w:t>
      </w:r>
    </w:p>
    <w:p w14:paraId="2B16BECE" w14:textId="77777777" w:rsidR="002133E3" w:rsidRDefault="00C22CFA">
      <w:pPr>
        <w:widowControl/>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制菌工段：采用二级发酵系统一级种子罐、二级发酵技术，其工艺路线为：复合菌种</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种子扩培</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发酵培养</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液体复合菌剂包装</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产品质量检验</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沼渣污泥发酵工段。种子扩培过程包括试管斜面菌种、摇瓶、种子罐发酵培养三个阶段。</w:t>
      </w:r>
    </w:p>
    <w:p w14:paraId="22A2BF6D" w14:textId="77777777" w:rsidR="002133E3" w:rsidRDefault="00C22CFA">
      <w:pPr>
        <w:widowControl/>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有机肥制造工艺：本工艺技术主要包含原料配比混合</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自动进料</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好氧堆肥发酵系统、粉碎筛分系统、计算机配料混合系统、包装系统和控制系统。湿基厌氧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好氧糟泥、辅料首先经过预混合，混合后含水率控制小于</w:t>
      </w:r>
      <w:r>
        <w:rPr>
          <w:rFonts w:ascii="Times New Roman" w:eastAsia="宋体" w:hAnsi="Times New Roman" w:cs="Times New Roman"/>
          <w:kern w:val="0"/>
          <w:sz w:val="28"/>
          <w:szCs w:val="28"/>
        </w:rPr>
        <w:t>55%</w:t>
      </w:r>
      <w:r>
        <w:rPr>
          <w:rFonts w:ascii="Times New Roman" w:eastAsia="宋体" w:hAnsi="Times New Roman" w:cs="Times New Roman"/>
          <w:kern w:val="0"/>
          <w:sz w:val="28"/>
          <w:szCs w:val="28"/>
        </w:rPr>
        <w:t>；然后运送到好氧发酵槽内，在链板翻抛机和自动静态曝气系统的作用下，吸收生物菌实现腐熟发酵，一般约</w:t>
      </w:r>
      <w:r>
        <w:rPr>
          <w:rFonts w:ascii="Times New Roman" w:eastAsia="宋体" w:hAnsi="Times New Roman" w:cs="Times New Roman"/>
          <w:kern w:val="0"/>
          <w:sz w:val="28"/>
          <w:szCs w:val="28"/>
        </w:rPr>
        <w:t>24</w:t>
      </w:r>
      <w:r>
        <w:rPr>
          <w:rFonts w:ascii="Times New Roman" w:eastAsia="宋体" w:hAnsi="Times New Roman" w:cs="Times New Roman"/>
          <w:kern w:val="0"/>
          <w:sz w:val="28"/>
          <w:szCs w:val="28"/>
        </w:rPr>
        <w:t>天完成一次发酵，运送到二次陈化区，实现物料的二次腐熟和陈化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约一周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；发酵后的物料接着进入制肥环节，首先经过粉碎筛分系统，将发酵后的物料大块粉碎、大颗粒等杂物筛除；粉碎后的物料经过计算机配料混合系统，实现生物菌种及</w:t>
      </w:r>
      <w:r>
        <w:rPr>
          <w:rFonts w:ascii="Times New Roman" w:eastAsia="宋体" w:hAnsi="Times New Roman" w:cs="Times New Roman"/>
          <w:kern w:val="0"/>
          <w:sz w:val="28"/>
          <w:szCs w:val="28"/>
        </w:rPr>
        <w:t>NPK</w:t>
      </w:r>
      <w:r>
        <w:rPr>
          <w:rFonts w:ascii="Times New Roman" w:eastAsia="宋体" w:hAnsi="Times New Roman" w:cs="Times New Roman"/>
          <w:kern w:val="0"/>
          <w:sz w:val="28"/>
          <w:szCs w:val="28"/>
        </w:rPr>
        <w:t>养分的添加；配料完成后物料送入包装工序，最后完成粉状成品包装。所有这些控制环节可由集中控制系统完成。</w:t>
      </w:r>
    </w:p>
    <w:p w14:paraId="5896833A" w14:textId="77777777" w:rsidR="002133E3" w:rsidRDefault="00C22CFA">
      <w:pPr>
        <w:widowControl/>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生产工艺流程及物料平衡见图</w:t>
      </w:r>
      <w:r>
        <w:rPr>
          <w:rFonts w:ascii="Times New Roman" w:eastAsia="宋体" w:hAnsi="Times New Roman" w:cs="Times New Roman"/>
          <w:kern w:val="0"/>
          <w:sz w:val="28"/>
          <w:szCs w:val="28"/>
        </w:rPr>
        <w:t>3.3-2</w:t>
      </w:r>
      <w:r>
        <w:rPr>
          <w:rFonts w:ascii="Times New Roman" w:eastAsia="宋体" w:hAnsi="Times New Roman" w:cs="Times New Roman"/>
          <w:kern w:val="0"/>
          <w:sz w:val="28"/>
          <w:szCs w:val="28"/>
        </w:rPr>
        <w:t>。</w:t>
      </w:r>
    </w:p>
    <w:p w14:paraId="21351E9D" w14:textId="77777777" w:rsidR="002133E3" w:rsidRDefault="00C22CFA">
      <w:pPr>
        <w:adjustRightInd w:val="0"/>
        <w:snapToGrid w:val="0"/>
        <w:jc w:val="center"/>
        <w:rPr>
          <w:rFonts w:ascii="Times New Roman" w:eastAsia="宋体" w:hAnsi="Times New Roman" w:cs="Times New Roman"/>
          <w:sz w:val="24"/>
          <w:szCs w:val="24"/>
        </w:rPr>
      </w:pPr>
      <w:r>
        <w:rPr>
          <w:rFonts w:ascii="Times New Roman" w:eastAsia="宋体" w:hAnsi="Times New Roman" w:cs="Times New Roman"/>
          <w:szCs w:val="24"/>
        </w:rPr>
        <w:object w:dxaOrig="7650" w:dyaOrig="1576" w14:anchorId="643DF5D4">
          <v:shape id="_x0000_i1035" type="#_x0000_t75" style="width:382.5pt;height:78.8pt" o:ole="">
            <v:imagedata r:id="rId36" o:title=""/>
          </v:shape>
          <o:OLEObject Type="Embed" ProgID="Visio.Drawing.11" ShapeID="_x0000_i1035" DrawAspect="Content" ObjectID="_1687345258" r:id="rId37"/>
        </w:object>
      </w:r>
      <w:r w:rsidR="009F1FEF">
        <w:rPr>
          <w:rFonts w:ascii="Times New Roman" w:eastAsia="宋体" w:hAnsi="Times New Roman" w:cs="Times New Roman"/>
          <w:szCs w:val="24"/>
        </w:rPr>
        <w:pict w14:anchorId="5260A138">
          <v:shape id="_x0000_i1036" type="#_x0000_t75" style="width:461.3pt;height:101.9pt">
            <v:imagedata r:id="rId38" o:title=""/>
          </v:shape>
        </w:pict>
      </w:r>
    </w:p>
    <w:p w14:paraId="3D16C79C" w14:textId="77777777" w:rsidR="002133E3" w:rsidRDefault="00C22CFA">
      <w:pPr>
        <w:spacing w:line="360" w:lineRule="auto"/>
        <w:jc w:val="center"/>
        <w:rPr>
          <w:rFonts w:ascii="Times New Roman" w:eastAsia="宋体" w:hAnsi="Times New Roman" w:cs="Times New Roman"/>
          <w:b/>
          <w:bCs/>
          <w:szCs w:val="21"/>
        </w:rPr>
      </w:pPr>
      <w:r>
        <w:rPr>
          <w:rFonts w:ascii="Times New Roman" w:eastAsia="宋体" w:hAnsi="Times New Roman" w:cs="Times New Roman"/>
          <w:b/>
          <w:bCs/>
          <w:szCs w:val="21"/>
        </w:rPr>
        <w:t>图</w:t>
      </w:r>
      <w:r>
        <w:rPr>
          <w:rFonts w:ascii="Times New Roman" w:eastAsia="宋体" w:hAnsi="Times New Roman" w:cs="Times New Roman"/>
          <w:b/>
          <w:bCs/>
          <w:szCs w:val="21"/>
        </w:rPr>
        <w:t xml:space="preserve">3.3-2  </w:t>
      </w:r>
      <w:r>
        <w:rPr>
          <w:rFonts w:ascii="Times New Roman" w:eastAsia="宋体" w:hAnsi="Times New Roman" w:cs="Times New Roman"/>
          <w:b/>
          <w:bCs/>
          <w:szCs w:val="21"/>
        </w:rPr>
        <w:t>有机肥生产线工艺流程图</w:t>
      </w:r>
    </w:p>
    <w:p w14:paraId="2DF4744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已批未建项目公用及辅助工程</w:t>
      </w:r>
    </w:p>
    <w:p w14:paraId="161DA202"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已批未建公用及辅助工程详见表</w:t>
      </w:r>
      <w:r>
        <w:rPr>
          <w:rFonts w:ascii="Times New Roman" w:eastAsia="宋体" w:hAnsi="Times New Roman" w:cs="Times New Roman"/>
          <w:sz w:val="28"/>
          <w:szCs w:val="28"/>
        </w:rPr>
        <w:t>3.3-3</w:t>
      </w:r>
      <w:r>
        <w:rPr>
          <w:rFonts w:ascii="Times New Roman" w:eastAsia="宋体" w:hAnsi="Times New Roman" w:cs="Times New Roman"/>
          <w:sz w:val="28"/>
          <w:szCs w:val="28"/>
        </w:rPr>
        <w:t>。</w:t>
      </w:r>
    </w:p>
    <w:p w14:paraId="09DCF4E1" w14:textId="77777777" w:rsidR="002133E3" w:rsidRDefault="00C22CFA">
      <w:pPr>
        <w:widowControl/>
        <w:tabs>
          <w:tab w:val="left" w:pos="600"/>
        </w:tabs>
        <w:spacing w:line="500" w:lineRule="exact"/>
        <w:jc w:val="center"/>
        <w:rPr>
          <w:rFonts w:ascii="Times New Roman" w:eastAsia="宋体" w:hAnsi="Times New Roman" w:cs="Times New Roman"/>
          <w:b/>
          <w:kern w:val="0"/>
          <w:szCs w:val="16"/>
        </w:rPr>
      </w:pPr>
      <w:r>
        <w:rPr>
          <w:rFonts w:ascii="Times New Roman" w:eastAsia="宋体" w:hAnsi="Times New Roman" w:cs="Times New Roman"/>
          <w:b/>
          <w:kern w:val="0"/>
          <w:szCs w:val="16"/>
        </w:rPr>
        <w:t>表</w:t>
      </w:r>
      <w:r>
        <w:rPr>
          <w:rFonts w:ascii="Times New Roman" w:eastAsia="宋体" w:hAnsi="Times New Roman" w:cs="Times New Roman"/>
          <w:b/>
          <w:kern w:val="0"/>
          <w:szCs w:val="16"/>
        </w:rPr>
        <w:t xml:space="preserve">3.3-3  </w:t>
      </w:r>
      <w:r>
        <w:rPr>
          <w:rFonts w:ascii="Times New Roman" w:eastAsia="宋体" w:hAnsi="Times New Roman" w:cs="Times New Roman"/>
          <w:b/>
          <w:kern w:val="0"/>
          <w:szCs w:val="16"/>
        </w:rPr>
        <w:t>公司已批未建公用及辅助工程表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1533"/>
        <w:gridCol w:w="7456"/>
      </w:tblGrid>
      <w:tr w:rsidR="002133E3" w14:paraId="019BBE63" w14:textId="77777777">
        <w:trPr>
          <w:cantSplit/>
          <w:trHeight w:val="284"/>
          <w:jc w:val="center"/>
        </w:trPr>
        <w:tc>
          <w:tcPr>
            <w:tcW w:w="439" w:type="pct"/>
            <w:vAlign w:val="center"/>
          </w:tcPr>
          <w:p w14:paraId="7CAB2085"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类别</w:t>
            </w:r>
          </w:p>
        </w:tc>
        <w:tc>
          <w:tcPr>
            <w:tcW w:w="778" w:type="pct"/>
            <w:vAlign w:val="center"/>
          </w:tcPr>
          <w:p w14:paraId="4C0B84C7" w14:textId="77777777" w:rsidR="002133E3" w:rsidRDefault="00C22CFA">
            <w:pPr>
              <w:jc w:val="center"/>
              <w:rPr>
                <w:rFonts w:ascii="Times New Roman" w:eastAsia="宋体" w:hAnsi="Times New Roman" w:cs="Times New Roman"/>
                <w:b/>
                <w:bCs/>
                <w:spacing w:val="-10"/>
                <w:szCs w:val="21"/>
              </w:rPr>
            </w:pPr>
            <w:r>
              <w:rPr>
                <w:rFonts w:ascii="Times New Roman" w:eastAsia="宋体" w:hAnsi="Times New Roman" w:cs="Times New Roman"/>
                <w:b/>
                <w:bCs/>
                <w:spacing w:val="-10"/>
                <w:szCs w:val="21"/>
              </w:rPr>
              <w:t>建设名称</w:t>
            </w:r>
          </w:p>
        </w:tc>
        <w:tc>
          <w:tcPr>
            <w:tcW w:w="3783" w:type="pct"/>
            <w:vAlign w:val="center"/>
          </w:tcPr>
          <w:p w14:paraId="70F1A6DF" w14:textId="77777777" w:rsidR="002133E3" w:rsidRDefault="00C22CFA">
            <w:pPr>
              <w:jc w:val="center"/>
              <w:rPr>
                <w:rFonts w:ascii="Times New Roman" w:eastAsia="宋体" w:hAnsi="Times New Roman" w:cs="Times New Roman"/>
                <w:b/>
                <w:bCs/>
                <w:spacing w:val="-10"/>
                <w:szCs w:val="21"/>
              </w:rPr>
            </w:pPr>
            <w:r>
              <w:rPr>
                <w:rFonts w:ascii="Times New Roman" w:eastAsia="宋体" w:hAnsi="Times New Roman" w:cs="Times New Roman"/>
                <w:b/>
                <w:bCs/>
                <w:spacing w:val="-10"/>
                <w:szCs w:val="21"/>
              </w:rPr>
              <w:t>设计能力</w:t>
            </w:r>
          </w:p>
        </w:tc>
      </w:tr>
      <w:tr w:rsidR="002133E3" w14:paraId="4D6D7E46" w14:textId="77777777">
        <w:trPr>
          <w:cantSplit/>
          <w:trHeight w:val="284"/>
          <w:jc w:val="center"/>
        </w:trPr>
        <w:tc>
          <w:tcPr>
            <w:tcW w:w="439" w:type="pct"/>
            <w:vMerge w:val="restart"/>
            <w:vAlign w:val="center"/>
          </w:tcPr>
          <w:p w14:paraId="4EE39BB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公用工程</w:t>
            </w:r>
          </w:p>
        </w:tc>
        <w:tc>
          <w:tcPr>
            <w:tcW w:w="778" w:type="pct"/>
            <w:vAlign w:val="center"/>
          </w:tcPr>
          <w:p w14:paraId="0CDA1E85" w14:textId="77777777" w:rsidR="002133E3" w:rsidRDefault="00C22CFA">
            <w:pPr>
              <w:autoSpaceDE w:val="0"/>
              <w:autoSpaceDN w:val="0"/>
              <w:adjustRightInd w:val="0"/>
              <w:snapToGrid w:val="0"/>
              <w:spacing w:line="320" w:lineRule="exact"/>
              <w:jc w:val="center"/>
              <w:textAlignment w:val="baseline"/>
              <w:rPr>
                <w:rFonts w:ascii="Times New Roman" w:eastAsia="宋体" w:hAnsi="Times New Roman" w:cs="Times New Roman"/>
                <w:szCs w:val="21"/>
                <w:lang w:val="zh-CN"/>
              </w:rPr>
            </w:pPr>
            <w:r>
              <w:rPr>
                <w:rFonts w:ascii="Times New Roman" w:eastAsia="宋体" w:hAnsi="Times New Roman" w:cs="Times New Roman"/>
                <w:szCs w:val="21"/>
                <w:lang w:val="zh-CN"/>
              </w:rPr>
              <w:t>供水</w:t>
            </w:r>
          </w:p>
        </w:tc>
        <w:tc>
          <w:tcPr>
            <w:tcW w:w="3783" w:type="pct"/>
            <w:vAlign w:val="center"/>
          </w:tcPr>
          <w:p w14:paraId="26D17B2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项目新鲜水总用量</w:t>
            </w:r>
            <w:r>
              <w:rPr>
                <w:rFonts w:ascii="Times New Roman" w:eastAsia="宋体" w:hAnsi="Times New Roman" w:cs="Times New Roman"/>
                <w:szCs w:val="21"/>
              </w:rPr>
              <w:t>57737.86m</w:t>
            </w:r>
            <w:r>
              <w:rPr>
                <w:rFonts w:ascii="Times New Roman" w:eastAsia="宋体" w:hAnsi="Times New Roman" w:cs="Times New Roman"/>
                <w:szCs w:val="21"/>
                <w:vertAlign w:val="superscript"/>
              </w:rPr>
              <w:t>3</w:t>
            </w:r>
            <w:r>
              <w:rPr>
                <w:rFonts w:ascii="Times New Roman" w:eastAsia="宋体" w:hAnsi="Times New Roman" w:cs="Times New Roman"/>
                <w:szCs w:val="21"/>
              </w:rPr>
              <w:t>/a</w:t>
            </w:r>
            <w:r>
              <w:rPr>
                <w:rFonts w:ascii="Times New Roman" w:eastAsia="宋体" w:hAnsi="Times New Roman" w:cs="Times New Roman"/>
                <w:szCs w:val="21"/>
              </w:rPr>
              <w:t>，主要为工艺用水、生活用水、废气处理用水和循环水补充水，项目用水水源来自于海州湾产业区南片区自来水管网，由兴庄河自来水厂供应。</w:t>
            </w:r>
          </w:p>
        </w:tc>
      </w:tr>
      <w:tr w:rsidR="002133E3" w14:paraId="388A749F" w14:textId="77777777">
        <w:trPr>
          <w:cantSplit/>
          <w:trHeight w:val="284"/>
          <w:jc w:val="center"/>
        </w:trPr>
        <w:tc>
          <w:tcPr>
            <w:tcW w:w="439" w:type="pct"/>
            <w:vMerge/>
            <w:vAlign w:val="center"/>
          </w:tcPr>
          <w:p w14:paraId="7C9222BC" w14:textId="77777777" w:rsidR="002133E3" w:rsidRDefault="002133E3">
            <w:pPr>
              <w:jc w:val="center"/>
              <w:rPr>
                <w:rFonts w:ascii="Times New Roman" w:eastAsia="宋体" w:hAnsi="Times New Roman" w:cs="Times New Roman"/>
                <w:szCs w:val="21"/>
              </w:rPr>
            </w:pPr>
          </w:p>
        </w:tc>
        <w:tc>
          <w:tcPr>
            <w:tcW w:w="778" w:type="pct"/>
            <w:vAlign w:val="center"/>
          </w:tcPr>
          <w:p w14:paraId="0D4B884D" w14:textId="77777777" w:rsidR="002133E3" w:rsidRDefault="00C22CFA">
            <w:pPr>
              <w:autoSpaceDE w:val="0"/>
              <w:autoSpaceDN w:val="0"/>
              <w:adjustRightInd w:val="0"/>
              <w:snapToGrid w:val="0"/>
              <w:spacing w:line="320" w:lineRule="exact"/>
              <w:jc w:val="center"/>
              <w:textAlignment w:val="baseline"/>
              <w:rPr>
                <w:rFonts w:ascii="Times New Roman" w:eastAsia="宋体" w:hAnsi="Times New Roman" w:cs="Times New Roman"/>
                <w:szCs w:val="21"/>
                <w:lang w:val="zh-CN"/>
              </w:rPr>
            </w:pPr>
            <w:r>
              <w:rPr>
                <w:rFonts w:ascii="Times New Roman" w:eastAsia="宋体" w:hAnsi="Times New Roman" w:cs="Times New Roman"/>
                <w:szCs w:val="21"/>
                <w:lang w:val="zh-CN"/>
              </w:rPr>
              <w:t>排水</w:t>
            </w:r>
          </w:p>
        </w:tc>
        <w:tc>
          <w:tcPr>
            <w:tcW w:w="3783" w:type="pct"/>
            <w:vAlign w:val="center"/>
          </w:tcPr>
          <w:p w14:paraId="25B8AB2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采用清污分流制。所有工艺废水、冲洗废水、废气处理系统排水、生活污水、初期雨水共</w:t>
            </w:r>
            <w:r>
              <w:rPr>
                <w:rFonts w:ascii="Times New Roman" w:eastAsia="宋体" w:hAnsi="Times New Roman" w:cs="Times New Roman"/>
                <w:szCs w:val="21"/>
              </w:rPr>
              <w:t>13894.17m</w:t>
            </w:r>
            <w:r>
              <w:rPr>
                <w:rFonts w:ascii="Times New Roman" w:eastAsia="宋体" w:hAnsi="Times New Roman" w:cs="Times New Roman"/>
                <w:szCs w:val="21"/>
                <w:vertAlign w:val="superscript"/>
              </w:rPr>
              <w:t>3</w:t>
            </w:r>
            <w:r>
              <w:rPr>
                <w:rFonts w:ascii="Times New Roman" w:eastAsia="宋体" w:hAnsi="Times New Roman" w:cs="Times New Roman"/>
                <w:szCs w:val="21"/>
              </w:rPr>
              <w:t>/a</w:t>
            </w:r>
            <w:r>
              <w:rPr>
                <w:rFonts w:ascii="Times New Roman" w:eastAsia="宋体" w:hAnsi="Times New Roman" w:cs="Times New Roman"/>
                <w:szCs w:val="21"/>
              </w:rPr>
              <w:t>全部入厂区内污水站预处理，处理达接管标准后由区域污水管网收集送至通海污水处理厂处理；清下水</w:t>
            </w:r>
            <w:r>
              <w:rPr>
                <w:rFonts w:ascii="Times New Roman" w:eastAsia="宋体" w:hAnsi="Times New Roman" w:cs="Times New Roman"/>
                <w:szCs w:val="21"/>
              </w:rPr>
              <w:t>8000m</w:t>
            </w:r>
            <w:r>
              <w:rPr>
                <w:rFonts w:ascii="Times New Roman" w:eastAsia="宋体" w:hAnsi="Times New Roman" w:cs="Times New Roman"/>
                <w:szCs w:val="21"/>
                <w:vertAlign w:val="superscript"/>
              </w:rPr>
              <w:t>3</w:t>
            </w:r>
            <w:r>
              <w:rPr>
                <w:rFonts w:ascii="Times New Roman" w:eastAsia="宋体" w:hAnsi="Times New Roman" w:cs="Times New Roman"/>
                <w:szCs w:val="21"/>
              </w:rPr>
              <w:t>/a</w:t>
            </w:r>
            <w:r>
              <w:rPr>
                <w:rFonts w:ascii="Times New Roman" w:eastAsia="宋体" w:hAnsi="Times New Roman" w:cs="Times New Roman"/>
                <w:szCs w:val="21"/>
              </w:rPr>
              <w:t>由雨水管网收集后统一排入兴庄河。</w:t>
            </w:r>
          </w:p>
        </w:tc>
      </w:tr>
      <w:tr w:rsidR="002133E3" w14:paraId="0853715D" w14:textId="77777777">
        <w:trPr>
          <w:cantSplit/>
          <w:trHeight w:val="284"/>
          <w:jc w:val="center"/>
        </w:trPr>
        <w:tc>
          <w:tcPr>
            <w:tcW w:w="439" w:type="pct"/>
            <w:vMerge/>
            <w:vAlign w:val="center"/>
          </w:tcPr>
          <w:p w14:paraId="32A8CADC" w14:textId="77777777" w:rsidR="002133E3" w:rsidRDefault="002133E3">
            <w:pPr>
              <w:jc w:val="center"/>
              <w:rPr>
                <w:rFonts w:ascii="Times New Roman" w:eastAsia="宋体" w:hAnsi="Times New Roman" w:cs="Times New Roman"/>
                <w:szCs w:val="21"/>
              </w:rPr>
            </w:pPr>
          </w:p>
        </w:tc>
        <w:tc>
          <w:tcPr>
            <w:tcW w:w="778" w:type="pct"/>
            <w:vAlign w:val="center"/>
          </w:tcPr>
          <w:p w14:paraId="107B1E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供电</w:t>
            </w:r>
          </w:p>
        </w:tc>
        <w:tc>
          <w:tcPr>
            <w:tcW w:w="3783" w:type="pct"/>
            <w:vAlign w:val="center"/>
          </w:tcPr>
          <w:p w14:paraId="5E4496A0"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年用电量</w:t>
            </w:r>
            <w:r>
              <w:rPr>
                <w:rFonts w:ascii="Times New Roman" w:eastAsia="宋体" w:hAnsi="Times New Roman" w:cs="Times New Roman"/>
                <w:color w:val="000000"/>
                <w:spacing w:val="4"/>
              </w:rPr>
              <w:t> </w:t>
            </w:r>
            <w:r>
              <w:rPr>
                <w:rFonts w:ascii="Times New Roman" w:eastAsia="宋体" w:hAnsi="Times New Roman" w:cs="Times New Roman"/>
                <w:color w:val="000000"/>
              </w:rPr>
              <w:t>581.76</w:t>
            </w:r>
            <w:r>
              <w:rPr>
                <w:rFonts w:ascii="Times New Roman" w:eastAsia="宋体" w:hAnsi="Times New Roman" w:cs="Times New Roman"/>
                <w:color w:val="000000"/>
                <w:spacing w:val="2"/>
              </w:rPr>
              <w:t>万</w:t>
            </w:r>
            <w:r>
              <w:rPr>
                <w:rFonts w:ascii="Times New Roman" w:eastAsia="宋体" w:hAnsi="Times New Roman" w:cs="Times New Roman"/>
                <w:szCs w:val="21"/>
              </w:rPr>
              <w:t>kwh</w:t>
            </w:r>
            <w:r>
              <w:rPr>
                <w:rFonts w:ascii="Times New Roman" w:eastAsia="宋体" w:hAnsi="Times New Roman" w:cs="Times New Roman"/>
                <w:szCs w:val="21"/>
              </w:rPr>
              <w:t>，由海头变电所统一供给。</w:t>
            </w:r>
          </w:p>
        </w:tc>
      </w:tr>
      <w:tr w:rsidR="002133E3" w14:paraId="2DF519F6" w14:textId="77777777">
        <w:trPr>
          <w:cantSplit/>
          <w:trHeight w:val="284"/>
          <w:jc w:val="center"/>
        </w:trPr>
        <w:tc>
          <w:tcPr>
            <w:tcW w:w="439" w:type="pct"/>
            <w:vMerge/>
            <w:vAlign w:val="center"/>
          </w:tcPr>
          <w:p w14:paraId="0430AC38" w14:textId="77777777" w:rsidR="002133E3" w:rsidRDefault="002133E3">
            <w:pPr>
              <w:jc w:val="center"/>
              <w:rPr>
                <w:rFonts w:ascii="Times New Roman" w:eastAsia="宋体" w:hAnsi="Times New Roman" w:cs="Times New Roman"/>
                <w:szCs w:val="21"/>
              </w:rPr>
            </w:pPr>
          </w:p>
        </w:tc>
        <w:tc>
          <w:tcPr>
            <w:tcW w:w="778" w:type="pct"/>
            <w:vAlign w:val="center"/>
          </w:tcPr>
          <w:p w14:paraId="5A4B92F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供热</w:t>
            </w:r>
          </w:p>
        </w:tc>
        <w:tc>
          <w:tcPr>
            <w:tcW w:w="3783" w:type="pct"/>
            <w:vAlign w:val="center"/>
          </w:tcPr>
          <w:p w14:paraId="20531263"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项目耗汽量约为</w:t>
            </w:r>
            <w:r>
              <w:rPr>
                <w:rFonts w:ascii="Times New Roman" w:eastAsia="宋体" w:hAnsi="Times New Roman" w:cs="Times New Roman"/>
                <w:szCs w:val="21"/>
              </w:rPr>
              <w:t>70000t/a</w:t>
            </w:r>
            <w:r>
              <w:rPr>
                <w:rFonts w:ascii="Times New Roman" w:eastAsia="宋体" w:hAnsi="Times New Roman" w:cs="Times New Roman"/>
                <w:szCs w:val="21"/>
              </w:rPr>
              <w:t>，来源于厂区</w:t>
            </w:r>
            <w:r>
              <w:rPr>
                <w:rFonts w:ascii="Times New Roman" w:eastAsia="宋体" w:hAnsi="Times New Roman" w:cs="Times New Roman"/>
                <w:szCs w:val="21"/>
              </w:rPr>
              <w:t>1</w:t>
            </w:r>
            <w:r>
              <w:rPr>
                <w:rFonts w:ascii="Times New Roman" w:eastAsia="宋体" w:hAnsi="Times New Roman" w:cs="Times New Roman"/>
                <w:szCs w:val="21"/>
              </w:rPr>
              <w:t>台</w:t>
            </w:r>
            <w:r>
              <w:rPr>
                <w:rFonts w:ascii="Times New Roman" w:eastAsia="宋体" w:hAnsi="Times New Roman" w:cs="Times New Roman"/>
                <w:szCs w:val="21"/>
              </w:rPr>
              <w:t>75t/h</w:t>
            </w:r>
            <w:r>
              <w:rPr>
                <w:rFonts w:ascii="Times New Roman" w:eastAsia="宋体" w:hAnsi="Times New Roman" w:cs="Times New Roman"/>
                <w:szCs w:val="21"/>
              </w:rPr>
              <w:t>沼气锅炉以及产业区供热中心</w:t>
            </w:r>
            <w:r>
              <w:rPr>
                <w:rFonts w:ascii="Times New Roman" w:eastAsia="宋体" w:hAnsi="Times New Roman" w:cs="Times New Roman"/>
                <w:szCs w:val="21"/>
              </w:rPr>
              <w:t>2</w:t>
            </w:r>
            <w:r>
              <w:rPr>
                <w:rFonts w:ascii="Times New Roman" w:eastAsia="宋体" w:hAnsi="Times New Roman" w:cs="Times New Roman"/>
                <w:szCs w:val="21"/>
              </w:rPr>
              <w:t>台</w:t>
            </w:r>
            <w:r>
              <w:rPr>
                <w:rFonts w:ascii="Times New Roman" w:eastAsia="宋体" w:hAnsi="Times New Roman" w:cs="Times New Roman"/>
                <w:szCs w:val="21"/>
              </w:rPr>
              <w:t>75t/h</w:t>
            </w:r>
            <w:r>
              <w:rPr>
                <w:rFonts w:ascii="Times New Roman" w:eastAsia="宋体" w:hAnsi="Times New Roman" w:cs="Times New Roman"/>
                <w:szCs w:val="21"/>
              </w:rPr>
              <w:t>流化床混烧锅炉提供。</w:t>
            </w:r>
          </w:p>
        </w:tc>
      </w:tr>
      <w:tr w:rsidR="002133E3" w14:paraId="3F84D60E" w14:textId="77777777">
        <w:trPr>
          <w:cantSplit/>
          <w:trHeight w:val="284"/>
          <w:jc w:val="center"/>
        </w:trPr>
        <w:tc>
          <w:tcPr>
            <w:tcW w:w="439" w:type="pct"/>
            <w:vMerge/>
            <w:vAlign w:val="center"/>
          </w:tcPr>
          <w:p w14:paraId="2EF1BC79" w14:textId="77777777" w:rsidR="002133E3" w:rsidRDefault="002133E3">
            <w:pPr>
              <w:jc w:val="center"/>
              <w:rPr>
                <w:rFonts w:ascii="Times New Roman" w:eastAsia="宋体" w:hAnsi="Times New Roman" w:cs="Times New Roman"/>
                <w:szCs w:val="21"/>
              </w:rPr>
            </w:pPr>
          </w:p>
        </w:tc>
        <w:tc>
          <w:tcPr>
            <w:tcW w:w="778" w:type="pct"/>
            <w:vAlign w:val="center"/>
          </w:tcPr>
          <w:p w14:paraId="0AD83A1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循环冷却水</w:t>
            </w:r>
          </w:p>
        </w:tc>
        <w:tc>
          <w:tcPr>
            <w:tcW w:w="3783" w:type="pct"/>
            <w:vAlign w:val="center"/>
          </w:tcPr>
          <w:p w14:paraId="24392673"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循环冷却系统设计能力</w:t>
            </w:r>
            <w:r>
              <w:rPr>
                <w:rFonts w:ascii="Times New Roman" w:eastAsia="宋体" w:hAnsi="Times New Roman" w:cs="Times New Roman"/>
                <w:szCs w:val="21"/>
              </w:rPr>
              <w:t>600t/h</w:t>
            </w:r>
            <w:r>
              <w:rPr>
                <w:rFonts w:ascii="Times New Roman" w:eastAsia="宋体" w:hAnsi="Times New Roman" w:cs="Times New Roman"/>
                <w:szCs w:val="21"/>
              </w:rPr>
              <w:t>，已批未建项目使用</w:t>
            </w:r>
            <w:r>
              <w:rPr>
                <w:rFonts w:ascii="Times New Roman" w:eastAsia="宋体" w:hAnsi="Times New Roman" w:cs="Times New Roman"/>
                <w:szCs w:val="21"/>
              </w:rPr>
              <w:t>3.89t/h</w:t>
            </w:r>
          </w:p>
        </w:tc>
      </w:tr>
      <w:tr w:rsidR="002133E3" w14:paraId="566E6EE7" w14:textId="77777777">
        <w:trPr>
          <w:cantSplit/>
          <w:trHeight w:val="284"/>
          <w:jc w:val="center"/>
        </w:trPr>
        <w:tc>
          <w:tcPr>
            <w:tcW w:w="439" w:type="pct"/>
            <w:vMerge w:val="restart"/>
            <w:vAlign w:val="center"/>
          </w:tcPr>
          <w:p w14:paraId="6614AD7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贮运工程</w:t>
            </w:r>
          </w:p>
        </w:tc>
        <w:tc>
          <w:tcPr>
            <w:tcW w:w="778" w:type="pct"/>
            <w:vAlign w:val="center"/>
          </w:tcPr>
          <w:p w14:paraId="42500BB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外部运输</w:t>
            </w:r>
          </w:p>
        </w:tc>
        <w:tc>
          <w:tcPr>
            <w:tcW w:w="3783" w:type="pct"/>
            <w:vAlign w:val="center"/>
          </w:tcPr>
          <w:p w14:paraId="13DE68FD"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汽车运输</w:t>
            </w:r>
          </w:p>
        </w:tc>
      </w:tr>
      <w:tr w:rsidR="002133E3" w14:paraId="0AEAC177" w14:textId="77777777">
        <w:trPr>
          <w:cantSplit/>
          <w:trHeight w:val="284"/>
          <w:jc w:val="center"/>
        </w:trPr>
        <w:tc>
          <w:tcPr>
            <w:tcW w:w="439" w:type="pct"/>
            <w:vMerge/>
            <w:vAlign w:val="center"/>
          </w:tcPr>
          <w:p w14:paraId="65A16836" w14:textId="77777777" w:rsidR="002133E3" w:rsidRDefault="002133E3">
            <w:pPr>
              <w:jc w:val="center"/>
              <w:rPr>
                <w:rFonts w:ascii="Times New Roman" w:eastAsia="宋体" w:hAnsi="Times New Roman" w:cs="Times New Roman"/>
                <w:szCs w:val="21"/>
              </w:rPr>
            </w:pPr>
          </w:p>
        </w:tc>
        <w:tc>
          <w:tcPr>
            <w:tcW w:w="778" w:type="pct"/>
            <w:vAlign w:val="center"/>
          </w:tcPr>
          <w:p w14:paraId="7C27C6B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内部贮存</w:t>
            </w:r>
          </w:p>
        </w:tc>
        <w:tc>
          <w:tcPr>
            <w:tcW w:w="3783" w:type="pct"/>
            <w:vAlign w:val="center"/>
          </w:tcPr>
          <w:p w14:paraId="1CFF584A"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原料库、成品库、罐区、危品库等</w:t>
            </w:r>
          </w:p>
        </w:tc>
      </w:tr>
      <w:tr w:rsidR="002133E3" w14:paraId="4828C740" w14:textId="77777777">
        <w:trPr>
          <w:cantSplit/>
          <w:trHeight w:val="284"/>
          <w:jc w:val="center"/>
        </w:trPr>
        <w:tc>
          <w:tcPr>
            <w:tcW w:w="439" w:type="pct"/>
            <w:vMerge w:val="restart"/>
            <w:vAlign w:val="center"/>
          </w:tcPr>
          <w:p w14:paraId="6B0C96A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环保工程</w:t>
            </w:r>
          </w:p>
        </w:tc>
        <w:tc>
          <w:tcPr>
            <w:tcW w:w="778" w:type="pct"/>
            <w:vAlign w:val="center"/>
          </w:tcPr>
          <w:p w14:paraId="5CFC1C6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废气处置装置</w:t>
            </w:r>
          </w:p>
        </w:tc>
        <w:tc>
          <w:tcPr>
            <w:tcW w:w="3783" w:type="pct"/>
            <w:vAlign w:val="center"/>
          </w:tcPr>
          <w:p w14:paraId="4EDB250A"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丁二酸生产除杂、粉碎工段粉尘经水膜除尘后排放，真空干燥工段粉尘经布袋除尘后排放。有机肥粉尘废气、恶臭气体均经二级喷淋除臭系统后排放</w:t>
            </w:r>
          </w:p>
        </w:tc>
      </w:tr>
      <w:tr w:rsidR="002133E3" w14:paraId="39B41D9F" w14:textId="77777777">
        <w:trPr>
          <w:cantSplit/>
          <w:trHeight w:val="284"/>
          <w:jc w:val="center"/>
        </w:trPr>
        <w:tc>
          <w:tcPr>
            <w:tcW w:w="439" w:type="pct"/>
            <w:vMerge/>
            <w:vAlign w:val="center"/>
          </w:tcPr>
          <w:p w14:paraId="5F70BB30" w14:textId="77777777" w:rsidR="002133E3" w:rsidRDefault="002133E3">
            <w:pPr>
              <w:jc w:val="center"/>
              <w:rPr>
                <w:rFonts w:ascii="Times New Roman" w:eastAsia="宋体" w:hAnsi="Times New Roman" w:cs="Times New Roman"/>
                <w:szCs w:val="21"/>
              </w:rPr>
            </w:pPr>
          </w:p>
        </w:tc>
        <w:tc>
          <w:tcPr>
            <w:tcW w:w="778" w:type="pct"/>
            <w:vAlign w:val="center"/>
          </w:tcPr>
          <w:p w14:paraId="02CA11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废水处理设施</w:t>
            </w:r>
          </w:p>
        </w:tc>
        <w:tc>
          <w:tcPr>
            <w:tcW w:w="3783" w:type="pct"/>
            <w:vAlign w:val="center"/>
          </w:tcPr>
          <w:p w14:paraId="1D113F3F"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依托现有项目采用</w:t>
            </w:r>
            <w:r>
              <w:rPr>
                <w:rFonts w:ascii="Times New Roman" w:eastAsia="宋体" w:hAnsi="Times New Roman" w:cs="Times New Roman"/>
                <w:szCs w:val="21"/>
              </w:rPr>
              <w:t>“</w:t>
            </w:r>
            <w:r>
              <w:rPr>
                <w:rFonts w:ascii="Times New Roman" w:eastAsia="宋体" w:hAnsi="Times New Roman" w:cs="Times New Roman"/>
                <w:szCs w:val="21"/>
              </w:rPr>
              <w:t>厌氧</w:t>
            </w:r>
            <w:r>
              <w:rPr>
                <w:rFonts w:ascii="Times New Roman" w:eastAsia="宋体" w:hAnsi="Times New Roman" w:cs="Times New Roman"/>
                <w:szCs w:val="21"/>
              </w:rPr>
              <w:t>+</w:t>
            </w:r>
            <w:r>
              <w:rPr>
                <w:rFonts w:ascii="Times New Roman" w:eastAsia="宋体" w:hAnsi="Times New Roman" w:cs="Times New Roman"/>
                <w:szCs w:val="21"/>
              </w:rPr>
              <w:t>气浮</w:t>
            </w:r>
            <w:r>
              <w:rPr>
                <w:rFonts w:ascii="Times New Roman" w:eastAsia="宋体" w:hAnsi="Times New Roman" w:cs="Times New Roman"/>
                <w:szCs w:val="21"/>
              </w:rPr>
              <w:t>+</w:t>
            </w:r>
            <w:r>
              <w:rPr>
                <w:rFonts w:ascii="Times New Roman" w:eastAsia="宋体" w:hAnsi="Times New Roman" w:cs="Times New Roman"/>
                <w:szCs w:val="21"/>
              </w:rPr>
              <w:t>好氧</w:t>
            </w:r>
            <w:r>
              <w:rPr>
                <w:rFonts w:ascii="Times New Roman" w:eastAsia="宋体" w:hAnsi="Times New Roman" w:cs="Times New Roman"/>
                <w:szCs w:val="21"/>
              </w:rPr>
              <w:t>”</w:t>
            </w:r>
            <w:r>
              <w:rPr>
                <w:rFonts w:ascii="Times New Roman" w:eastAsia="宋体" w:hAnsi="Times New Roman" w:cs="Times New Roman"/>
                <w:szCs w:val="21"/>
              </w:rPr>
              <w:t>处理工艺</w:t>
            </w:r>
          </w:p>
        </w:tc>
      </w:tr>
      <w:tr w:rsidR="002133E3" w14:paraId="2282C777" w14:textId="77777777">
        <w:trPr>
          <w:cantSplit/>
          <w:trHeight w:val="284"/>
          <w:jc w:val="center"/>
        </w:trPr>
        <w:tc>
          <w:tcPr>
            <w:tcW w:w="439" w:type="pct"/>
            <w:vMerge/>
            <w:vAlign w:val="center"/>
          </w:tcPr>
          <w:p w14:paraId="4DE11D0D" w14:textId="77777777" w:rsidR="002133E3" w:rsidRDefault="002133E3">
            <w:pPr>
              <w:jc w:val="center"/>
              <w:rPr>
                <w:rFonts w:ascii="Times New Roman" w:eastAsia="宋体" w:hAnsi="Times New Roman" w:cs="Times New Roman"/>
                <w:szCs w:val="21"/>
              </w:rPr>
            </w:pPr>
          </w:p>
        </w:tc>
        <w:tc>
          <w:tcPr>
            <w:tcW w:w="778" w:type="pct"/>
            <w:vAlign w:val="center"/>
          </w:tcPr>
          <w:p w14:paraId="50244FB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噪声治理</w:t>
            </w:r>
          </w:p>
        </w:tc>
        <w:tc>
          <w:tcPr>
            <w:tcW w:w="3783" w:type="pct"/>
            <w:vAlign w:val="center"/>
          </w:tcPr>
          <w:p w14:paraId="1C131113"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项目各噪声设备优先选用低噪声设备，采取隔声、降噪处理、管道柔性连接等措施后，得到有效控制，厂界噪声均能达标。</w:t>
            </w:r>
          </w:p>
        </w:tc>
      </w:tr>
      <w:tr w:rsidR="002133E3" w14:paraId="3861D743" w14:textId="77777777">
        <w:trPr>
          <w:cantSplit/>
          <w:trHeight w:val="284"/>
          <w:jc w:val="center"/>
        </w:trPr>
        <w:tc>
          <w:tcPr>
            <w:tcW w:w="439" w:type="pct"/>
            <w:vMerge/>
            <w:vAlign w:val="center"/>
          </w:tcPr>
          <w:p w14:paraId="0E2AF79A" w14:textId="77777777" w:rsidR="002133E3" w:rsidRDefault="002133E3">
            <w:pPr>
              <w:jc w:val="center"/>
              <w:rPr>
                <w:rFonts w:ascii="Times New Roman" w:eastAsia="宋体" w:hAnsi="Times New Roman" w:cs="Times New Roman"/>
                <w:szCs w:val="21"/>
              </w:rPr>
            </w:pPr>
          </w:p>
        </w:tc>
        <w:tc>
          <w:tcPr>
            <w:tcW w:w="778" w:type="pct"/>
            <w:vAlign w:val="center"/>
          </w:tcPr>
          <w:p w14:paraId="21697A7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固废治理</w:t>
            </w:r>
          </w:p>
        </w:tc>
        <w:tc>
          <w:tcPr>
            <w:tcW w:w="3783" w:type="pct"/>
            <w:vAlign w:val="center"/>
          </w:tcPr>
          <w:p w14:paraId="668C889D" w14:textId="77777777" w:rsidR="002133E3" w:rsidRDefault="00C22CFA">
            <w:pPr>
              <w:jc w:val="left"/>
              <w:rPr>
                <w:rFonts w:ascii="Times New Roman" w:eastAsia="宋体" w:hAnsi="Times New Roman" w:cs="Times New Roman"/>
                <w:szCs w:val="21"/>
              </w:rPr>
            </w:pPr>
            <w:r>
              <w:rPr>
                <w:rFonts w:ascii="Times New Roman" w:eastAsia="宋体" w:hAnsi="Times New Roman" w:cs="Times New Roman"/>
                <w:szCs w:val="21"/>
              </w:rPr>
              <w:t>生活垃圾由当地环卫部门处理，危险废物委托烧处理，一般固废外售。一般固废仓库及危废仓库均利用原有</w:t>
            </w:r>
          </w:p>
        </w:tc>
      </w:tr>
    </w:tbl>
    <w:p w14:paraId="1C8BF23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水平衡</w:t>
      </w:r>
    </w:p>
    <w:p w14:paraId="3FD80FC2" w14:textId="77777777" w:rsidR="002133E3" w:rsidRDefault="00C22CFA">
      <w:pPr>
        <w:widowControl/>
        <w:spacing w:line="500" w:lineRule="exact"/>
        <w:ind w:firstLine="573"/>
        <w:rPr>
          <w:rFonts w:ascii="Times New Roman" w:eastAsia="宋体" w:hAnsi="Times New Roman" w:cs="Times New Roman"/>
          <w:kern w:val="0"/>
          <w:sz w:val="28"/>
          <w:szCs w:val="28"/>
        </w:rPr>
      </w:pPr>
      <w:r>
        <w:rPr>
          <w:rFonts w:ascii="Times New Roman" w:eastAsia="宋体" w:hAnsi="Times New Roman" w:cs="Times New Roman"/>
          <w:kern w:val="0"/>
          <w:sz w:val="28"/>
          <w:szCs w:val="28"/>
        </w:rPr>
        <w:t>已批未建项目水平衡见图</w:t>
      </w:r>
      <w:r>
        <w:rPr>
          <w:rFonts w:ascii="Times New Roman" w:eastAsia="宋体" w:hAnsi="Times New Roman" w:cs="Times New Roman"/>
          <w:kern w:val="0"/>
          <w:sz w:val="28"/>
          <w:szCs w:val="28"/>
        </w:rPr>
        <w:t>3.3-3</w:t>
      </w:r>
      <w:r>
        <w:rPr>
          <w:rFonts w:ascii="Times New Roman" w:eastAsia="宋体" w:hAnsi="Times New Roman" w:cs="Times New Roman"/>
          <w:kern w:val="0"/>
          <w:sz w:val="28"/>
          <w:szCs w:val="28"/>
        </w:rPr>
        <w:t>，已批未建项目建成后，全厂已批项目水平衡见图</w:t>
      </w:r>
      <w:r>
        <w:rPr>
          <w:rFonts w:ascii="Times New Roman" w:eastAsia="宋体" w:hAnsi="Times New Roman" w:cs="Times New Roman"/>
          <w:kern w:val="0"/>
          <w:sz w:val="28"/>
          <w:szCs w:val="28"/>
        </w:rPr>
        <w:t>3.3-4</w:t>
      </w:r>
      <w:r>
        <w:rPr>
          <w:rFonts w:ascii="Times New Roman" w:eastAsia="宋体" w:hAnsi="Times New Roman" w:cs="Times New Roman"/>
          <w:kern w:val="0"/>
          <w:sz w:val="28"/>
          <w:szCs w:val="28"/>
        </w:rPr>
        <w:t>。</w:t>
      </w:r>
    </w:p>
    <w:p w14:paraId="5EE14EE8" w14:textId="77777777" w:rsidR="002133E3" w:rsidRDefault="009F1FEF">
      <w:pPr>
        <w:widowControl/>
        <w:rPr>
          <w:rFonts w:ascii="Times New Roman" w:eastAsia="宋体" w:hAnsi="Times New Roman" w:cs="Times New Roman"/>
          <w:kern w:val="0"/>
          <w:sz w:val="28"/>
          <w:szCs w:val="28"/>
        </w:rPr>
      </w:pPr>
      <w:r>
        <w:rPr>
          <w:rFonts w:ascii="Times New Roman" w:hAnsi="Times New Roman" w:cs="Times New Roman"/>
        </w:rPr>
        <w:pict w14:anchorId="2093727C">
          <v:shape id="_x0000_i1037" type="#_x0000_t75" style="width:481.7pt;height:368.05pt">
            <v:imagedata r:id="rId39" o:title=""/>
          </v:shape>
        </w:pict>
      </w:r>
    </w:p>
    <w:p w14:paraId="19EE0FE5" w14:textId="77777777" w:rsidR="002133E3" w:rsidRDefault="00C22CFA">
      <w:pPr>
        <w:widowControl/>
        <w:tabs>
          <w:tab w:val="left" w:pos="600"/>
        </w:tabs>
        <w:spacing w:line="500" w:lineRule="exact"/>
        <w:jc w:val="center"/>
        <w:rPr>
          <w:rFonts w:ascii="Times New Roman" w:eastAsia="宋体" w:hAnsi="Times New Roman" w:cs="Times New Roman"/>
          <w:b/>
          <w:kern w:val="0"/>
          <w:szCs w:val="16"/>
        </w:rPr>
      </w:pPr>
      <w:r>
        <w:rPr>
          <w:rFonts w:ascii="Times New Roman" w:eastAsia="宋体" w:hAnsi="Times New Roman" w:cs="Times New Roman"/>
          <w:b/>
          <w:kern w:val="0"/>
          <w:szCs w:val="16"/>
        </w:rPr>
        <w:t>图</w:t>
      </w:r>
      <w:r>
        <w:rPr>
          <w:rFonts w:ascii="Times New Roman" w:eastAsia="宋体" w:hAnsi="Times New Roman" w:cs="Times New Roman"/>
          <w:b/>
          <w:kern w:val="0"/>
          <w:szCs w:val="16"/>
        </w:rPr>
        <w:t xml:space="preserve">3.3-3 </w:t>
      </w:r>
      <w:r>
        <w:rPr>
          <w:rFonts w:ascii="Times New Roman" w:eastAsia="宋体" w:hAnsi="Times New Roman" w:cs="Times New Roman"/>
          <w:b/>
          <w:kern w:val="0"/>
          <w:szCs w:val="16"/>
        </w:rPr>
        <w:t>已批未建项目水平衡图</w:t>
      </w:r>
    </w:p>
    <w:p w14:paraId="5CE478A4" w14:textId="77777777" w:rsidR="002133E3" w:rsidRDefault="009F1FEF">
      <w:pPr>
        <w:widowControl/>
        <w:tabs>
          <w:tab w:val="left" w:pos="600"/>
        </w:tabs>
        <w:jc w:val="center"/>
        <w:rPr>
          <w:rFonts w:ascii="Times New Roman" w:eastAsia="宋体" w:hAnsi="Times New Roman" w:cs="Times New Roman"/>
          <w:b/>
          <w:kern w:val="0"/>
          <w:szCs w:val="16"/>
        </w:rPr>
      </w:pPr>
      <w:r>
        <w:rPr>
          <w:rFonts w:ascii="Times New Roman" w:hAnsi="Times New Roman" w:cs="Times New Roman"/>
        </w:rPr>
        <w:lastRenderedPageBreak/>
        <w:pict w14:anchorId="132BB81A">
          <v:shape id="_x0000_i1038" type="#_x0000_t75" style="width:412.95pt;height:689.3pt">
            <v:imagedata r:id="rId40" o:title=""/>
          </v:shape>
        </w:pict>
      </w:r>
    </w:p>
    <w:p w14:paraId="01E78B70" w14:textId="77777777" w:rsidR="002133E3" w:rsidRDefault="00C22CFA">
      <w:pPr>
        <w:widowControl/>
        <w:tabs>
          <w:tab w:val="left" w:pos="600"/>
        </w:tabs>
        <w:spacing w:line="500" w:lineRule="exact"/>
        <w:jc w:val="center"/>
        <w:rPr>
          <w:rFonts w:ascii="Times New Roman" w:eastAsia="宋体" w:hAnsi="Times New Roman" w:cs="Times New Roman"/>
          <w:b/>
          <w:sz w:val="30"/>
          <w:szCs w:val="30"/>
        </w:rPr>
      </w:pPr>
      <w:r>
        <w:rPr>
          <w:rFonts w:ascii="Times New Roman" w:eastAsia="宋体" w:hAnsi="Times New Roman" w:cs="Times New Roman"/>
          <w:b/>
          <w:kern w:val="0"/>
          <w:szCs w:val="16"/>
        </w:rPr>
        <w:t>图</w:t>
      </w:r>
      <w:r>
        <w:rPr>
          <w:rFonts w:ascii="Times New Roman" w:eastAsia="宋体" w:hAnsi="Times New Roman" w:cs="Times New Roman"/>
          <w:b/>
          <w:kern w:val="0"/>
          <w:szCs w:val="16"/>
        </w:rPr>
        <w:t xml:space="preserve">3.3-4 </w:t>
      </w:r>
      <w:r>
        <w:rPr>
          <w:rFonts w:ascii="Times New Roman" w:eastAsia="宋体" w:hAnsi="Times New Roman" w:cs="Times New Roman"/>
          <w:b/>
          <w:kern w:val="0"/>
          <w:szCs w:val="16"/>
        </w:rPr>
        <w:t>全厂已批项目水平衡图</w:t>
      </w:r>
    </w:p>
    <w:p w14:paraId="2ADCFA57"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蒸汽平衡</w:t>
      </w:r>
    </w:p>
    <w:p w14:paraId="7A7CAD5A" w14:textId="77777777" w:rsidR="002133E3" w:rsidRDefault="00C22CFA">
      <w:pPr>
        <w:widowControl/>
        <w:spacing w:line="500" w:lineRule="exact"/>
        <w:ind w:firstLine="573"/>
        <w:rPr>
          <w:rFonts w:ascii="Times New Roman" w:eastAsia="宋体" w:hAnsi="Times New Roman" w:cs="Times New Roman"/>
          <w:kern w:val="0"/>
          <w:sz w:val="28"/>
          <w:szCs w:val="28"/>
        </w:rPr>
      </w:pPr>
      <w:r>
        <w:rPr>
          <w:rFonts w:ascii="Times New Roman" w:eastAsia="宋体" w:hAnsi="Times New Roman" w:cs="Times New Roman"/>
          <w:kern w:val="0"/>
          <w:sz w:val="28"/>
          <w:szCs w:val="28"/>
        </w:rPr>
        <w:t>公司已批未建项目废水厌氧发酵制蒸汽</w:t>
      </w:r>
      <w:r>
        <w:rPr>
          <w:rFonts w:ascii="Times New Roman" w:eastAsia="宋体" w:hAnsi="Times New Roman" w:cs="Times New Roman"/>
          <w:kern w:val="0"/>
          <w:sz w:val="28"/>
          <w:szCs w:val="28"/>
        </w:rPr>
        <w:t>13868200m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w:t>
      </w:r>
      <w:r>
        <w:rPr>
          <w:rFonts w:ascii="Times New Roman" w:eastAsia="宋体" w:hAnsi="Times New Roman" w:cs="Times New Roman"/>
          <w:kern w:val="0"/>
          <w:sz w:val="28"/>
          <w:szCs w:val="20"/>
        </w:rPr>
        <w:t>可供应蒸汽</w:t>
      </w:r>
      <w:r>
        <w:rPr>
          <w:rFonts w:ascii="Times New Roman" w:eastAsia="宋体" w:hAnsi="Times New Roman" w:cs="Times New Roman"/>
          <w:kern w:val="0"/>
          <w:sz w:val="28"/>
          <w:szCs w:val="28"/>
        </w:rPr>
        <w:t>99058</w:t>
      </w:r>
      <w:r>
        <w:rPr>
          <w:rFonts w:ascii="Times New Roman" w:eastAsia="宋体" w:hAnsi="Times New Roman" w:cs="Times New Roman"/>
          <w:kern w:val="0"/>
          <w:sz w:val="28"/>
          <w:szCs w:val="20"/>
        </w:rPr>
        <w:t>t/a</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13.8t/h</w:t>
      </w:r>
      <w:r>
        <w:rPr>
          <w:rFonts w:ascii="Times New Roman" w:eastAsia="宋体" w:hAnsi="Times New Roman" w:cs="Times New Roman"/>
          <w:kern w:val="0"/>
          <w:sz w:val="28"/>
          <w:szCs w:val="20"/>
        </w:rPr>
        <w:t>），其中</w:t>
      </w:r>
      <w:r>
        <w:rPr>
          <w:rFonts w:ascii="Times New Roman" w:eastAsia="宋体" w:hAnsi="Times New Roman" w:cs="Times New Roman"/>
          <w:kern w:val="0"/>
          <w:sz w:val="28"/>
          <w:szCs w:val="20"/>
        </w:rPr>
        <w:t>70000 t/a</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9.7t/h</w:t>
      </w:r>
      <w:r>
        <w:rPr>
          <w:rFonts w:ascii="Times New Roman" w:eastAsia="宋体" w:hAnsi="Times New Roman" w:cs="Times New Roman"/>
          <w:kern w:val="0"/>
          <w:sz w:val="28"/>
          <w:szCs w:val="20"/>
        </w:rPr>
        <w:t>）供给丁二醇生产线使用，多余的</w:t>
      </w:r>
      <w:r>
        <w:rPr>
          <w:rFonts w:ascii="Times New Roman" w:eastAsia="宋体" w:hAnsi="Times New Roman" w:cs="Times New Roman"/>
          <w:kern w:val="0"/>
          <w:sz w:val="28"/>
          <w:szCs w:val="20"/>
        </w:rPr>
        <w:t>29058t/a</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4.1t/h</w:t>
      </w:r>
      <w:r>
        <w:rPr>
          <w:rFonts w:ascii="Times New Roman" w:eastAsia="宋体" w:hAnsi="Times New Roman" w:cs="Times New Roman"/>
          <w:kern w:val="0"/>
          <w:sz w:val="28"/>
          <w:szCs w:val="20"/>
        </w:rPr>
        <w:t>）供其它已建生产线使用，不足的蒸汽由产业区集中供热中心</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台</w:t>
      </w:r>
      <w:r>
        <w:rPr>
          <w:rFonts w:ascii="Times New Roman" w:eastAsia="宋体" w:hAnsi="Times New Roman" w:cs="Times New Roman"/>
          <w:kern w:val="0"/>
          <w:sz w:val="28"/>
          <w:szCs w:val="28"/>
        </w:rPr>
        <w:t>75t/h</w:t>
      </w:r>
      <w:r>
        <w:rPr>
          <w:rFonts w:ascii="Times New Roman" w:eastAsia="宋体" w:hAnsi="Times New Roman" w:cs="Times New Roman"/>
          <w:kern w:val="0"/>
          <w:sz w:val="28"/>
          <w:szCs w:val="28"/>
        </w:rPr>
        <w:t>流化床混烧锅炉供给。已批未建项目蒸汽平衡见图</w:t>
      </w:r>
      <w:r>
        <w:rPr>
          <w:rFonts w:ascii="Times New Roman" w:eastAsia="宋体" w:hAnsi="Times New Roman" w:cs="Times New Roman"/>
          <w:kern w:val="0"/>
          <w:sz w:val="28"/>
          <w:szCs w:val="28"/>
        </w:rPr>
        <w:t>3.3-5</w:t>
      </w:r>
      <w:r>
        <w:rPr>
          <w:rFonts w:ascii="Times New Roman" w:eastAsia="宋体" w:hAnsi="Times New Roman" w:cs="Times New Roman"/>
          <w:kern w:val="0"/>
          <w:sz w:val="28"/>
          <w:szCs w:val="28"/>
        </w:rPr>
        <w:t>，已批未建项目建成后，全厂已批项目蒸汽平衡见图</w:t>
      </w:r>
      <w:r>
        <w:rPr>
          <w:rFonts w:ascii="Times New Roman" w:eastAsia="宋体" w:hAnsi="Times New Roman" w:cs="Times New Roman"/>
          <w:kern w:val="0"/>
          <w:sz w:val="28"/>
          <w:szCs w:val="28"/>
        </w:rPr>
        <w:t>3.3-6</w:t>
      </w:r>
      <w:r>
        <w:rPr>
          <w:rFonts w:ascii="Times New Roman" w:eastAsia="宋体" w:hAnsi="Times New Roman" w:cs="Times New Roman"/>
          <w:kern w:val="0"/>
          <w:sz w:val="28"/>
          <w:szCs w:val="28"/>
        </w:rPr>
        <w:t>。</w:t>
      </w:r>
    </w:p>
    <w:p w14:paraId="1C134D0F" w14:textId="77777777" w:rsidR="002133E3" w:rsidRDefault="009F1FEF">
      <w:pPr>
        <w:pStyle w:val="affff3"/>
        <w:snapToGrid w:val="0"/>
        <w:spacing w:line="500" w:lineRule="atLeast"/>
        <w:ind w:firstLineChars="0" w:firstLine="0"/>
        <w:rPr>
          <w:rFonts w:ascii="Times New Roman" w:eastAsia="宋体" w:hAnsi="Times New Roman" w:cs="Times New Roman"/>
          <w:b/>
          <w:sz w:val="30"/>
          <w:szCs w:val="30"/>
        </w:rPr>
      </w:pPr>
      <w:r>
        <w:rPr>
          <w:rFonts w:ascii="Times New Roman" w:hAnsi="Times New Roman" w:cs="Times New Roman"/>
        </w:rPr>
        <w:pict w14:anchorId="7E29637D">
          <v:shape id="_x0000_i1039" type="#_x0000_t75" style="width:481.65pt;height:175.4pt">
            <v:imagedata r:id="rId41" o:title=""/>
          </v:shape>
        </w:pict>
      </w:r>
    </w:p>
    <w:p w14:paraId="2670126F" w14:textId="77777777" w:rsidR="002133E3" w:rsidRDefault="00C22CFA">
      <w:pPr>
        <w:widowControl/>
        <w:tabs>
          <w:tab w:val="left" w:pos="600"/>
        </w:tabs>
        <w:spacing w:line="500" w:lineRule="exact"/>
        <w:jc w:val="center"/>
        <w:rPr>
          <w:rFonts w:ascii="Times New Roman" w:eastAsia="宋体" w:hAnsi="Times New Roman" w:cs="Times New Roman"/>
          <w:b/>
          <w:kern w:val="0"/>
          <w:szCs w:val="16"/>
        </w:rPr>
      </w:pPr>
      <w:r>
        <w:rPr>
          <w:rFonts w:ascii="Times New Roman" w:eastAsia="宋体" w:hAnsi="Times New Roman" w:cs="Times New Roman"/>
          <w:b/>
          <w:kern w:val="0"/>
          <w:szCs w:val="16"/>
        </w:rPr>
        <w:t>图</w:t>
      </w:r>
      <w:r>
        <w:rPr>
          <w:rFonts w:ascii="Times New Roman" w:eastAsia="宋体" w:hAnsi="Times New Roman" w:cs="Times New Roman"/>
          <w:b/>
          <w:kern w:val="0"/>
          <w:szCs w:val="16"/>
        </w:rPr>
        <w:t xml:space="preserve">3.3-5 </w:t>
      </w:r>
      <w:r>
        <w:rPr>
          <w:rFonts w:ascii="Times New Roman" w:eastAsia="宋体" w:hAnsi="Times New Roman" w:cs="Times New Roman"/>
          <w:b/>
          <w:kern w:val="0"/>
          <w:szCs w:val="16"/>
        </w:rPr>
        <w:t>已批未建项目蒸汽平衡图</w:t>
      </w:r>
    </w:p>
    <w:p w14:paraId="347FFB00" w14:textId="77777777" w:rsidR="002133E3" w:rsidRDefault="009F1FEF">
      <w:pPr>
        <w:widowControl/>
        <w:tabs>
          <w:tab w:val="left" w:pos="600"/>
        </w:tabs>
        <w:jc w:val="center"/>
        <w:rPr>
          <w:rFonts w:ascii="Times New Roman" w:eastAsia="宋体" w:hAnsi="Times New Roman" w:cs="Times New Roman"/>
          <w:b/>
          <w:kern w:val="0"/>
          <w:szCs w:val="16"/>
        </w:rPr>
      </w:pPr>
      <w:r>
        <w:rPr>
          <w:rFonts w:ascii="Times New Roman" w:hAnsi="Times New Roman" w:cs="Times New Roman"/>
        </w:rPr>
        <w:lastRenderedPageBreak/>
        <w:pict w14:anchorId="336F90D5">
          <v:shape id="_x0000_i1040" type="#_x0000_t75" style="width:481.4pt;height:385.35pt">
            <v:imagedata r:id="rId42" o:title=""/>
          </v:shape>
        </w:pict>
      </w:r>
    </w:p>
    <w:p w14:paraId="4CAA779B" w14:textId="77777777" w:rsidR="002133E3" w:rsidRDefault="00C22CFA">
      <w:pPr>
        <w:widowControl/>
        <w:tabs>
          <w:tab w:val="left" w:pos="600"/>
        </w:tabs>
        <w:spacing w:line="500" w:lineRule="exact"/>
        <w:jc w:val="center"/>
        <w:rPr>
          <w:rFonts w:ascii="Times New Roman" w:eastAsia="宋体" w:hAnsi="Times New Roman" w:cs="Times New Roman"/>
          <w:b/>
          <w:sz w:val="30"/>
          <w:szCs w:val="30"/>
        </w:rPr>
      </w:pPr>
      <w:r>
        <w:rPr>
          <w:rFonts w:ascii="Times New Roman" w:eastAsia="宋体" w:hAnsi="Times New Roman" w:cs="Times New Roman"/>
          <w:b/>
          <w:kern w:val="0"/>
          <w:szCs w:val="16"/>
        </w:rPr>
        <w:t>图</w:t>
      </w:r>
      <w:r>
        <w:rPr>
          <w:rFonts w:ascii="Times New Roman" w:eastAsia="宋体" w:hAnsi="Times New Roman" w:cs="Times New Roman"/>
          <w:b/>
          <w:kern w:val="0"/>
          <w:szCs w:val="16"/>
        </w:rPr>
        <w:t xml:space="preserve">3.3-6 </w:t>
      </w:r>
      <w:r>
        <w:rPr>
          <w:rFonts w:ascii="Times New Roman" w:eastAsia="宋体" w:hAnsi="Times New Roman" w:cs="Times New Roman"/>
          <w:b/>
          <w:kern w:val="0"/>
          <w:szCs w:val="16"/>
        </w:rPr>
        <w:t>全厂已批项目蒸汽平衡图</w:t>
      </w:r>
    </w:p>
    <w:p w14:paraId="42BB516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已批未建项目原辅料、产品贮存情况</w:t>
      </w:r>
    </w:p>
    <w:p w14:paraId="272E7299"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已批未建项目主要原辅料消耗及能耗情况见表</w:t>
      </w:r>
      <w:r>
        <w:rPr>
          <w:rFonts w:ascii="Times New Roman" w:eastAsia="宋体" w:hAnsi="Times New Roman" w:cs="Times New Roman"/>
          <w:sz w:val="28"/>
          <w:szCs w:val="28"/>
        </w:rPr>
        <w:t>3.3-4</w:t>
      </w:r>
    </w:p>
    <w:p w14:paraId="3BEF286E" w14:textId="77777777" w:rsidR="002133E3" w:rsidRDefault="00C22CFA">
      <w:pPr>
        <w:adjustRightInd w:val="0"/>
        <w:snapToGrid w:val="0"/>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3.3-4  </w:t>
      </w:r>
      <w:r>
        <w:rPr>
          <w:rFonts w:ascii="Times New Roman" w:eastAsia="宋体" w:hAnsi="Times New Roman" w:cs="Times New Roman"/>
          <w:b/>
          <w:szCs w:val="21"/>
        </w:rPr>
        <w:t>已批未建项目原辅料消耗情况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1181"/>
        <w:gridCol w:w="1478"/>
        <w:gridCol w:w="1328"/>
        <w:gridCol w:w="1328"/>
        <w:gridCol w:w="1182"/>
        <w:gridCol w:w="2061"/>
      </w:tblGrid>
      <w:tr w:rsidR="002133E3" w14:paraId="482C419B" w14:textId="77777777">
        <w:trPr>
          <w:trHeight w:val="20"/>
          <w:jc w:val="center"/>
        </w:trPr>
        <w:tc>
          <w:tcPr>
            <w:tcW w:w="657" w:type="pct"/>
            <w:vAlign w:val="center"/>
          </w:tcPr>
          <w:p w14:paraId="60EEDD6C"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名称</w:t>
            </w:r>
          </w:p>
        </w:tc>
        <w:tc>
          <w:tcPr>
            <w:tcW w:w="599" w:type="pct"/>
            <w:vAlign w:val="center"/>
          </w:tcPr>
          <w:p w14:paraId="46B173CB"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用量</w:t>
            </w:r>
            <w:r>
              <w:rPr>
                <w:rFonts w:ascii="Times New Roman" w:eastAsia="宋体" w:hAnsi="Times New Roman" w:cs="Times New Roman"/>
                <w:b/>
                <w:kern w:val="0"/>
                <w:szCs w:val="21"/>
              </w:rPr>
              <w:t xml:space="preserve"> (t/a)</w:t>
            </w:r>
          </w:p>
        </w:tc>
        <w:tc>
          <w:tcPr>
            <w:tcW w:w="750" w:type="pct"/>
            <w:vAlign w:val="center"/>
          </w:tcPr>
          <w:p w14:paraId="20B3FA61"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规格</w:t>
            </w:r>
          </w:p>
        </w:tc>
        <w:tc>
          <w:tcPr>
            <w:tcW w:w="674" w:type="pct"/>
            <w:vAlign w:val="center"/>
          </w:tcPr>
          <w:p w14:paraId="33992797"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容器或包装储存数量</w:t>
            </w:r>
          </w:p>
        </w:tc>
        <w:tc>
          <w:tcPr>
            <w:tcW w:w="674" w:type="pct"/>
            <w:vAlign w:val="center"/>
          </w:tcPr>
          <w:p w14:paraId="1590A938"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最大贮量</w:t>
            </w:r>
            <w:r>
              <w:rPr>
                <w:rFonts w:ascii="Times New Roman" w:eastAsia="宋体" w:hAnsi="Times New Roman" w:cs="Times New Roman"/>
                <w:b/>
                <w:kern w:val="0"/>
                <w:szCs w:val="21"/>
              </w:rPr>
              <w:t>(t)</w:t>
            </w:r>
          </w:p>
        </w:tc>
        <w:tc>
          <w:tcPr>
            <w:tcW w:w="600" w:type="pct"/>
            <w:vAlign w:val="center"/>
          </w:tcPr>
          <w:p w14:paraId="69B88941"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物质形态</w:t>
            </w:r>
          </w:p>
        </w:tc>
        <w:tc>
          <w:tcPr>
            <w:tcW w:w="1046" w:type="pct"/>
            <w:vAlign w:val="center"/>
          </w:tcPr>
          <w:p w14:paraId="6776807E"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储存方式</w:t>
            </w:r>
          </w:p>
        </w:tc>
      </w:tr>
      <w:tr w:rsidR="002133E3" w14:paraId="7DC589FC" w14:textId="77777777">
        <w:trPr>
          <w:trHeight w:val="20"/>
          <w:jc w:val="center"/>
        </w:trPr>
        <w:tc>
          <w:tcPr>
            <w:tcW w:w="657" w:type="pct"/>
            <w:vAlign w:val="center"/>
          </w:tcPr>
          <w:p w14:paraId="64DDBD5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木薯干</w:t>
            </w:r>
          </w:p>
        </w:tc>
        <w:tc>
          <w:tcPr>
            <w:tcW w:w="599" w:type="pct"/>
            <w:vAlign w:val="center"/>
          </w:tcPr>
          <w:p w14:paraId="29B65B66"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40000</w:t>
            </w:r>
          </w:p>
        </w:tc>
        <w:tc>
          <w:tcPr>
            <w:tcW w:w="750" w:type="pct"/>
            <w:vAlign w:val="center"/>
          </w:tcPr>
          <w:p w14:paraId="53DD1DE3"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64D0726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400</w:t>
            </w:r>
          </w:p>
        </w:tc>
        <w:tc>
          <w:tcPr>
            <w:tcW w:w="674" w:type="pct"/>
            <w:vAlign w:val="center"/>
          </w:tcPr>
          <w:p w14:paraId="2BC159D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2000</w:t>
            </w:r>
          </w:p>
        </w:tc>
        <w:tc>
          <w:tcPr>
            <w:tcW w:w="600" w:type="pct"/>
            <w:vAlign w:val="center"/>
          </w:tcPr>
          <w:p w14:paraId="33A176E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545C8E2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袋装，木薯干仓库</w:t>
            </w:r>
          </w:p>
        </w:tc>
      </w:tr>
      <w:tr w:rsidR="002133E3" w14:paraId="2AA988CB" w14:textId="77777777">
        <w:trPr>
          <w:trHeight w:val="20"/>
          <w:jc w:val="center"/>
        </w:trPr>
        <w:tc>
          <w:tcPr>
            <w:tcW w:w="657" w:type="pct"/>
            <w:vAlign w:val="center"/>
          </w:tcPr>
          <w:p w14:paraId="1E4B8E5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淀粉酶</w:t>
            </w:r>
          </w:p>
        </w:tc>
        <w:tc>
          <w:tcPr>
            <w:tcW w:w="599" w:type="pct"/>
            <w:vAlign w:val="center"/>
          </w:tcPr>
          <w:p w14:paraId="53A195DF"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230</w:t>
            </w:r>
          </w:p>
        </w:tc>
        <w:tc>
          <w:tcPr>
            <w:tcW w:w="750" w:type="pct"/>
            <w:vAlign w:val="center"/>
          </w:tcPr>
          <w:p w14:paraId="78FF7129"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7AA53A5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674" w:type="pct"/>
            <w:vAlign w:val="center"/>
          </w:tcPr>
          <w:p w14:paraId="2FBBEC9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600" w:type="pct"/>
            <w:vAlign w:val="center"/>
          </w:tcPr>
          <w:p w14:paraId="5770B76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1A397E2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袋装，辅料仓库</w:t>
            </w:r>
          </w:p>
        </w:tc>
      </w:tr>
      <w:tr w:rsidR="002133E3" w14:paraId="0B28509A" w14:textId="77777777">
        <w:trPr>
          <w:trHeight w:val="20"/>
          <w:jc w:val="center"/>
        </w:trPr>
        <w:tc>
          <w:tcPr>
            <w:tcW w:w="657" w:type="pct"/>
            <w:vAlign w:val="center"/>
          </w:tcPr>
          <w:p w14:paraId="44F1996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糖化酶</w:t>
            </w:r>
          </w:p>
        </w:tc>
        <w:tc>
          <w:tcPr>
            <w:tcW w:w="599" w:type="pct"/>
            <w:vAlign w:val="center"/>
          </w:tcPr>
          <w:p w14:paraId="0397E7F5"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800</w:t>
            </w:r>
          </w:p>
        </w:tc>
        <w:tc>
          <w:tcPr>
            <w:tcW w:w="750" w:type="pct"/>
            <w:vAlign w:val="center"/>
          </w:tcPr>
          <w:p w14:paraId="75AA510E"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21F488F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674" w:type="pct"/>
            <w:vAlign w:val="center"/>
          </w:tcPr>
          <w:p w14:paraId="3D3811F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600" w:type="pct"/>
            <w:vAlign w:val="center"/>
          </w:tcPr>
          <w:p w14:paraId="2B1662E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14DD5C3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袋装，辅料仓库</w:t>
            </w:r>
          </w:p>
        </w:tc>
      </w:tr>
      <w:tr w:rsidR="002133E3" w14:paraId="2981F855" w14:textId="77777777">
        <w:trPr>
          <w:trHeight w:val="20"/>
          <w:jc w:val="center"/>
        </w:trPr>
        <w:tc>
          <w:tcPr>
            <w:tcW w:w="657" w:type="pct"/>
            <w:vAlign w:val="center"/>
          </w:tcPr>
          <w:p w14:paraId="24A8DF8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599" w:type="pct"/>
            <w:vAlign w:val="center"/>
          </w:tcPr>
          <w:p w14:paraId="7D938DF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25800</w:t>
            </w:r>
          </w:p>
        </w:tc>
        <w:tc>
          <w:tcPr>
            <w:tcW w:w="750" w:type="pct"/>
            <w:vAlign w:val="center"/>
          </w:tcPr>
          <w:p w14:paraId="20B918DD"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10</w:t>
            </w:r>
            <w:r>
              <w:rPr>
                <w:rFonts w:ascii="Times New Roman" w:eastAsia="宋体" w:hAnsi="Times New Roman" w:cs="Times New Roman"/>
                <w:kern w:val="0"/>
                <w:szCs w:val="21"/>
              </w:rPr>
              <w:t>m</w:t>
            </w:r>
            <w:r>
              <w:rPr>
                <w:rFonts w:ascii="Times New Roman" w:eastAsia="宋体" w:hAnsi="Times New Roman" w:cs="Times New Roman"/>
                <w:kern w:val="0"/>
                <w:szCs w:val="21"/>
                <w:vertAlign w:val="superscript"/>
              </w:rPr>
              <w:t>3</w:t>
            </w:r>
            <w:r>
              <w:rPr>
                <w:rFonts w:ascii="Times New Roman" w:eastAsia="宋体" w:hAnsi="Times New Roman" w:cs="Times New Roman"/>
                <w:smallCaps/>
                <w:kern w:val="0"/>
                <w:szCs w:val="21"/>
              </w:rPr>
              <w:t>储罐</w:t>
            </w:r>
          </w:p>
        </w:tc>
        <w:tc>
          <w:tcPr>
            <w:tcW w:w="674" w:type="pct"/>
            <w:vAlign w:val="center"/>
          </w:tcPr>
          <w:p w14:paraId="77FBA6A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674" w:type="pct"/>
            <w:vAlign w:val="center"/>
          </w:tcPr>
          <w:p w14:paraId="0C365D9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1500</w:t>
            </w:r>
          </w:p>
        </w:tc>
        <w:tc>
          <w:tcPr>
            <w:tcW w:w="600" w:type="pct"/>
            <w:vAlign w:val="center"/>
          </w:tcPr>
          <w:p w14:paraId="1CB157C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液体</w:t>
            </w:r>
          </w:p>
        </w:tc>
        <w:tc>
          <w:tcPr>
            <w:tcW w:w="1046" w:type="pct"/>
            <w:vAlign w:val="center"/>
          </w:tcPr>
          <w:p w14:paraId="5A8132A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罐装，贮罐区</w:t>
            </w:r>
          </w:p>
        </w:tc>
      </w:tr>
      <w:tr w:rsidR="002133E3" w14:paraId="26717566" w14:textId="77777777">
        <w:trPr>
          <w:trHeight w:val="20"/>
          <w:jc w:val="center"/>
        </w:trPr>
        <w:tc>
          <w:tcPr>
            <w:tcW w:w="657" w:type="pct"/>
            <w:vAlign w:val="center"/>
          </w:tcPr>
          <w:p w14:paraId="7A20946A" w14:textId="77777777" w:rsidR="002133E3" w:rsidRDefault="00C22CFA">
            <w:pPr>
              <w:widowControl/>
              <w:autoSpaceDE w:val="0"/>
              <w:autoSpaceDN w:val="0"/>
              <w:adjustRightIn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磷酸钾</w:t>
            </w:r>
          </w:p>
        </w:tc>
        <w:tc>
          <w:tcPr>
            <w:tcW w:w="599" w:type="pct"/>
            <w:vAlign w:val="center"/>
          </w:tcPr>
          <w:p w14:paraId="4EEAA7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400</w:t>
            </w:r>
          </w:p>
        </w:tc>
        <w:tc>
          <w:tcPr>
            <w:tcW w:w="750" w:type="pct"/>
            <w:vAlign w:val="center"/>
          </w:tcPr>
          <w:p w14:paraId="1B3863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5D594D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674" w:type="pct"/>
            <w:vAlign w:val="center"/>
          </w:tcPr>
          <w:p w14:paraId="460E1A4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600" w:type="pct"/>
            <w:vAlign w:val="center"/>
          </w:tcPr>
          <w:p w14:paraId="261369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51BEF9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原料库</w:t>
            </w:r>
          </w:p>
        </w:tc>
      </w:tr>
      <w:tr w:rsidR="002133E3" w14:paraId="5EFE5556" w14:textId="77777777">
        <w:trPr>
          <w:trHeight w:val="20"/>
          <w:jc w:val="center"/>
        </w:trPr>
        <w:tc>
          <w:tcPr>
            <w:tcW w:w="657" w:type="pct"/>
            <w:vAlign w:val="center"/>
          </w:tcPr>
          <w:p w14:paraId="69B19342" w14:textId="77777777" w:rsidR="002133E3" w:rsidRDefault="00C22CFA">
            <w:pPr>
              <w:widowControl/>
              <w:autoSpaceDE w:val="0"/>
              <w:autoSpaceDN w:val="0"/>
              <w:adjustRightIn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磷酸钠</w:t>
            </w:r>
          </w:p>
        </w:tc>
        <w:tc>
          <w:tcPr>
            <w:tcW w:w="599" w:type="pct"/>
            <w:vAlign w:val="center"/>
          </w:tcPr>
          <w:p w14:paraId="5C6B36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240</w:t>
            </w:r>
          </w:p>
        </w:tc>
        <w:tc>
          <w:tcPr>
            <w:tcW w:w="750" w:type="pct"/>
            <w:vAlign w:val="center"/>
          </w:tcPr>
          <w:p w14:paraId="181978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2441CA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674" w:type="pct"/>
            <w:vAlign w:val="center"/>
          </w:tcPr>
          <w:p w14:paraId="0AF17BB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600" w:type="pct"/>
            <w:vAlign w:val="center"/>
          </w:tcPr>
          <w:p w14:paraId="6D24D6C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395077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原料库</w:t>
            </w:r>
          </w:p>
        </w:tc>
      </w:tr>
      <w:tr w:rsidR="002133E3" w14:paraId="63D5D0BF" w14:textId="77777777">
        <w:trPr>
          <w:trHeight w:val="20"/>
          <w:jc w:val="center"/>
        </w:trPr>
        <w:tc>
          <w:tcPr>
            <w:tcW w:w="657" w:type="pct"/>
            <w:vAlign w:val="center"/>
          </w:tcPr>
          <w:p w14:paraId="5E1CA832" w14:textId="77777777" w:rsidR="002133E3" w:rsidRDefault="00C22CFA">
            <w:pPr>
              <w:widowControl/>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硫酸镁</w:t>
            </w:r>
          </w:p>
        </w:tc>
        <w:tc>
          <w:tcPr>
            <w:tcW w:w="599" w:type="pct"/>
            <w:vAlign w:val="center"/>
          </w:tcPr>
          <w:p w14:paraId="0C6D6BD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750" w:type="pct"/>
            <w:vAlign w:val="center"/>
          </w:tcPr>
          <w:p w14:paraId="5CCF03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0CCA056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674" w:type="pct"/>
            <w:vAlign w:val="center"/>
          </w:tcPr>
          <w:p w14:paraId="3D3D63A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600" w:type="pct"/>
            <w:vAlign w:val="center"/>
          </w:tcPr>
          <w:p w14:paraId="772502D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61E9DD2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原料库</w:t>
            </w:r>
          </w:p>
        </w:tc>
      </w:tr>
      <w:tr w:rsidR="002133E3" w14:paraId="186F0AB6" w14:textId="77777777">
        <w:trPr>
          <w:trHeight w:val="20"/>
          <w:jc w:val="center"/>
        </w:trPr>
        <w:tc>
          <w:tcPr>
            <w:tcW w:w="657" w:type="pct"/>
            <w:vAlign w:val="center"/>
          </w:tcPr>
          <w:p w14:paraId="1CB61657" w14:textId="77777777" w:rsidR="002133E3" w:rsidRDefault="00C22CFA">
            <w:pPr>
              <w:widowControl/>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氯化镁</w:t>
            </w:r>
          </w:p>
        </w:tc>
        <w:tc>
          <w:tcPr>
            <w:tcW w:w="599" w:type="pct"/>
            <w:vAlign w:val="center"/>
          </w:tcPr>
          <w:p w14:paraId="1083D11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750" w:type="pct"/>
            <w:vAlign w:val="center"/>
          </w:tcPr>
          <w:p w14:paraId="2BFA00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30E98D3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674" w:type="pct"/>
            <w:vAlign w:val="center"/>
          </w:tcPr>
          <w:p w14:paraId="0ADB66A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600" w:type="pct"/>
            <w:vAlign w:val="center"/>
          </w:tcPr>
          <w:p w14:paraId="1DFCD45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076A69F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原料库</w:t>
            </w:r>
          </w:p>
        </w:tc>
      </w:tr>
      <w:tr w:rsidR="002133E3" w14:paraId="596C29AD" w14:textId="77777777">
        <w:trPr>
          <w:trHeight w:val="20"/>
          <w:jc w:val="center"/>
        </w:trPr>
        <w:tc>
          <w:tcPr>
            <w:tcW w:w="657" w:type="pct"/>
            <w:vAlign w:val="center"/>
          </w:tcPr>
          <w:p w14:paraId="76FA9885" w14:textId="77777777" w:rsidR="002133E3" w:rsidRDefault="00C22CFA">
            <w:pPr>
              <w:widowControl/>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氯化钙</w:t>
            </w:r>
          </w:p>
        </w:tc>
        <w:tc>
          <w:tcPr>
            <w:tcW w:w="599" w:type="pct"/>
            <w:vAlign w:val="center"/>
          </w:tcPr>
          <w:p w14:paraId="06BA0D3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750" w:type="pct"/>
            <w:vAlign w:val="center"/>
          </w:tcPr>
          <w:p w14:paraId="2A98F9C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49B30D2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674" w:type="pct"/>
            <w:vAlign w:val="center"/>
          </w:tcPr>
          <w:p w14:paraId="750B698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600" w:type="pct"/>
            <w:vAlign w:val="center"/>
          </w:tcPr>
          <w:p w14:paraId="51DD39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2EFDCB4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原料库</w:t>
            </w:r>
          </w:p>
        </w:tc>
      </w:tr>
      <w:tr w:rsidR="002133E3" w14:paraId="2366DB9B" w14:textId="77777777">
        <w:trPr>
          <w:trHeight w:val="20"/>
          <w:jc w:val="center"/>
        </w:trPr>
        <w:tc>
          <w:tcPr>
            <w:tcW w:w="657" w:type="pct"/>
            <w:vAlign w:val="center"/>
          </w:tcPr>
          <w:p w14:paraId="2587A53F" w14:textId="77777777" w:rsidR="002133E3" w:rsidRDefault="00C22CFA">
            <w:pPr>
              <w:widowControl/>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微量元素</w:t>
            </w:r>
          </w:p>
        </w:tc>
        <w:tc>
          <w:tcPr>
            <w:tcW w:w="599" w:type="pct"/>
            <w:vAlign w:val="center"/>
          </w:tcPr>
          <w:p w14:paraId="5FDB1BB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40</w:t>
            </w:r>
          </w:p>
        </w:tc>
        <w:tc>
          <w:tcPr>
            <w:tcW w:w="750" w:type="pct"/>
            <w:vAlign w:val="center"/>
          </w:tcPr>
          <w:p w14:paraId="73C3B77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366224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674" w:type="pct"/>
            <w:vAlign w:val="center"/>
          </w:tcPr>
          <w:p w14:paraId="6E22EFC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600" w:type="pct"/>
            <w:vAlign w:val="center"/>
          </w:tcPr>
          <w:p w14:paraId="4D566CB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079613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原料库</w:t>
            </w:r>
          </w:p>
        </w:tc>
      </w:tr>
      <w:tr w:rsidR="002133E3" w14:paraId="427E785C" w14:textId="77777777">
        <w:trPr>
          <w:trHeight w:val="20"/>
          <w:jc w:val="center"/>
        </w:trPr>
        <w:tc>
          <w:tcPr>
            <w:tcW w:w="657" w:type="pct"/>
            <w:vAlign w:val="center"/>
          </w:tcPr>
          <w:p w14:paraId="3C038E05" w14:textId="77777777" w:rsidR="002133E3" w:rsidRDefault="00C22CFA">
            <w:pPr>
              <w:widowControl/>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活性炭</w:t>
            </w:r>
          </w:p>
        </w:tc>
        <w:tc>
          <w:tcPr>
            <w:tcW w:w="599" w:type="pct"/>
            <w:vAlign w:val="center"/>
          </w:tcPr>
          <w:p w14:paraId="6F6C1EF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500</w:t>
            </w:r>
          </w:p>
        </w:tc>
        <w:tc>
          <w:tcPr>
            <w:tcW w:w="750" w:type="pct"/>
            <w:vAlign w:val="center"/>
          </w:tcPr>
          <w:p w14:paraId="21EC0E8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77F6C23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500</w:t>
            </w:r>
          </w:p>
        </w:tc>
        <w:tc>
          <w:tcPr>
            <w:tcW w:w="674" w:type="pct"/>
            <w:vAlign w:val="center"/>
          </w:tcPr>
          <w:p w14:paraId="50866C8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600" w:type="pct"/>
            <w:vAlign w:val="center"/>
          </w:tcPr>
          <w:p w14:paraId="4FFE9D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w:t>
            </w:r>
          </w:p>
        </w:tc>
        <w:tc>
          <w:tcPr>
            <w:tcW w:w="1046" w:type="pct"/>
            <w:vAlign w:val="center"/>
          </w:tcPr>
          <w:p w14:paraId="75F13B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原料库</w:t>
            </w:r>
          </w:p>
        </w:tc>
      </w:tr>
      <w:tr w:rsidR="002133E3" w14:paraId="33E0DEFF" w14:textId="77777777">
        <w:trPr>
          <w:trHeight w:val="20"/>
          <w:jc w:val="center"/>
        </w:trPr>
        <w:tc>
          <w:tcPr>
            <w:tcW w:w="657" w:type="pct"/>
            <w:vAlign w:val="center"/>
          </w:tcPr>
          <w:p w14:paraId="08DC2FBA" w14:textId="77777777" w:rsidR="002133E3" w:rsidRDefault="00C22CFA">
            <w:pPr>
              <w:widowControl/>
              <w:autoSpaceDE w:val="0"/>
              <w:autoSpaceDN w:val="0"/>
              <w:adjustRightIn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氢氧化钠</w:t>
            </w:r>
          </w:p>
        </w:tc>
        <w:tc>
          <w:tcPr>
            <w:tcW w:w="599" w:type="pct"/>
            <w:vAlign w:val="center"/>
          </w:tcPr>
          <w:p w14:paraId="021F9EE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11707.6</w:t>
            </w:r>
          </w:p>
        </w:tc>
        <w:tc>
          <w:tcPr>
            <w:tcW w:w="750" w:type="pct"/>
            <w:vAlign w:val="center"/>
          </w:tcPr>
          <w:p w14:paraId="1220D8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11177CB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674" w:type="pct"/>
            <w:vAlign w:val="center"/>
          </w:tcPr>
          <w:p w14:paraId="4D172D9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c>
          <w:tcPr>
            <w:tcW w:w="600" w:type="pct"/>
            <w:vAlign w:val="center"/>
          </w:tcPr>
          <w:p w14:paraId="0D3C3EB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046" w:type="pct"/>
            <w:vAlign w:val="center"/>
          </w:tcPr>
          <w:p w14:paraId="5B3FA66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成品库</w:t>
            </w:r>
          </w:p>
        </w:tc>
      </w:tr>
      <w:tr w:rsidR="002133E3" w14:paraId="19BA9360" w14:textId="77777777">
        <w:trPr>
          <w:trHeight w:val="20"/>
          <w:jc w:val="center"/>
        </w:trPr>
        <w:tc>
          <w:tcPr>
            <w:tcW w:w="657" w:type="pct"/>
            <w:vAlign w:val="center"/>
          </w:tcPr>
          <w:p w14:paraId="54D79AF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丁二酸</w:t>
            </w:r>
          </w:p>
        </w:tc>
        <w:tc>
          <w:tcPr>
            <w:tcW w:w="599" w:type="pct"/>
            <w:vAlign w:val="center"/>
          </w:tcPr>
          <w:p w14:paraId="6E61477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30000</w:t>
            </w:r>
          </w:p>
        </w:tc>
        <w:tc>
          <w:tcPr>
            <w:tcW w:w="750" w:type="pct"/>
            <w:vAlign w:val="center"/>
          </w:tcPr>
          <w:p w14:paraId="24FF16C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691A21B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674" w:type="pct"/>
            <w:vAlign w:val="center"/>
          </w:tcPr>
          <w:p w14:paraId="2A8C5D9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c>
          <w:tcPr>
            <w:tcW w:w="600" w:type="pct"/>
            <w:vAlign w:val="center"/>
          </w:tcPr>
          <w:p w14:paraId="65F0651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046" w:type="pct"/>
            <w:vAlign w:val="center"/>
          </w:tcPr>
          <w:p w14:paraId="526221E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成品库</w:t>
            </w:r>
          </w:p>
        </w:tc>
      </w:tr>
      <w:tr w:rsidR="002133E3" w14:paraId="1958C291" w14:textId="77777777">
        <w:trPr>
          <w:trHeight w:val="20"/>
          <w:jc w:val="center"/>
        </w:trPr>
        <w:tc>
          <w:tcPr>
            <w:tcW w:w="657" w:type="pct"/>
            <w:vAlign w:val="center"/>
          </w:tcPr>
          <w:p w14:paraId="25B48D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硫酸钠</w:t>
            </w:r>
          </w:p>
        </w:tc>
        <w:tc>
          <w:tcPr>
            <w:tcW w:w="599" w:type="pct"/>
            <w:vAlign w:val="center"/>
          </w:tcPr>
          <w:p w14:paraId="1A983C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37457.9</w:t>
            </w:r>
          </w:p>
        </w:tc>
        <w:tc>
          <w:tcPr>
            <w:tcW w:w="750" w:type="pct"/>
            <w:vAlign w:val="center"/>
          </w:tcPr>
          <w:p w14:paraId="5D45B17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50kg/</w:t>
            </w:r>
            <w:r>
              <w:rPr>
                <w:rFonts w:ascii="Times New Roman" w:eastAsia="宋体" w:hAnsi="Times New Roman" w:cs="Times New Roman"/>
                <w:kern w:val="0"/>
                <w:szCs w:val="21"/>
              </w:rPr>
              <w:t>袋</w:t>
            </w:r>
          </w:p>
        </w:tc>
        <w:tc>
          <w:tcPr>
            <w:tcW w:w="674" w:type="pct"/>
            <w:vAlign w:val="center"/>
          </w:tcPr>
          <w:p w14:paraId="55B6192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674" w:type="pct"/>
            <w:vAlign w:val="center"/>
          </w:tcPr>
          <w:p w14:paraId="45EF5E0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c>
          <w:tcPr>
            <w:tcW w:w="600" w:type="pct"/>
            <w:vAlign w:val="center"/>
          </w:tcPr>
          <w:p w14:paraId="0AF73E9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046" w:type="pct"/>
            <w:vAlign w:val="center"/>
          </w:tcPr>
          <w:p w14:paraId="4A28C6A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成品库</w:t>
            </w:r>
          </w:p>
        </w:tc>
      </w:tr>
    </w:tbl>
    <w:p w14:paraId="7D2CF15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已批未建项目污染物排放情况</w:t>
      </w:r>
    </w:p>
    <w:p w14:paraId="403481E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废气产生及排放情况</w:t>
      </w:r>
    </w:p>
    <w:p w14:paraId="39697F1F" w14:textId="77777777" w:rsidR="002133E3" w:rsidRDefault="00C22CFA">
      <w:pPr>
        <w:widowControl/>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丁二酸生产工艺废气包括除杂、粉碎工段粉尘、真空干燥工段粉尘、发酵异味气体、锅炉废气等；生物有机肥废气主要为原料生产加工过程中产生恶臭气体以及在粉碎、筛分、混合搅拌过程中产生的粉尘。项目针对不同的废气理化性质和处理效果情况，拟采取不同的治理措施，主要有水膜除尘、布袋除尘等。废气采取的治理措施见图</w:t>
      </w:r>
      <w:r>
        <w:rPr>
          <w:rFonts w:ascii="Times New Roman" w:eastAsia="宋体" w:hAnsi="Times New Roman" w:cs="Times New Roman"/>
          <w:kern w:val="0"/>
          <w:sz w:val="28"/>
          <w:szCs w:val="28"/>
        </w:rPr>
        <w:t>3.3-7</w:t>
      </w:r>
      <w:r>
        <w:rPr>
          <w:rFonts w:ascii="Times New Roman" w:eastAsia="宋体" w:hAnsi="Times New Roman" w:cs="Times New Roman"/>
          <w:kern w:val="0"/>
          <w:sz w:val="28"/>
          <w:szCs w:val="28"/>
        </w:rPr>
        <w:t>。</w:t>
      </w:r>
    </w:p>
    <w:p w14:paraId="1F3EA52D" w14:textId="77777777" w:rsidR="002133E3" w:rsidRDefault="00C22CFA">
      <w:pPr>
        <w:widowControl/>
        <w:jc w:val="center"/>
        <w:rPr>
          <w:rFonts w:ascii="Times New Roman" w:eastAsia="宋体" w:hAnsi="Times New Roman" w:cs="Times New Roman"/>
          <w:kern w:val="0"/>
          <w:sz w:val="28"/>
          <w:szCs w:val="28"/>
        </w:rPr>
      </w:pPr>
      <w:r>
        <w:rPr>
          <w:rFonts w:ascii="Times New Roman" w:eastAsia="宋体" w:hAnsi="Times New Roman" w:cs="Times New Roman"/>
          <w:noProof/>
          <w:kern w:val="0"/>
          <w:sz w:val="28"/>
          <w:szCs w:val="28"/>
        </w:rPr>
        <w:drawing>
          <wp:inline distT="0" distB="0" distL="0" distR="0" wp14:anchorId="3CD0FF38" wp14:editId="38DBDA25">
            <wp:extent cx="4638675" cy="2934335"/>
            <wp:effectExtent l="0" t="0" r="0" b="0"/>
            <wp:docPr id="25" name="图片 25" descr="C:\Users\yy\Desktop\QQ浏览器截图20210525225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yy\Desktop\QQ浏览器截图20210525225538.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639177" cy="2934989"/>
                    </a:xfrm>
                    <a:prstGeom prst="rect">
                      <a:avLst/>
                    </a:prstGeom>
                    <a:noFill/>
                    <a:ln>
                      <a:noFill/>
                    </a:ln>
                  </pic:spPr>
                </pic:pic>
              </a:graphicData>
            </a:graphic>
          </wp:inline>
        </w:drawing>
      </w:r>
    </w:p>
    <w:p w14:paraId="41536BD1" w14:textId="77777777" w:rsidR="002133E3" w:rsidRDefault="009F1FEF">
      <w:pPr>
        <w:widowControl/>
        <w:jc w:val="center"/>
        <w:rPr>
          <w:rFonts w:ascii="Times New Roman" w:eastAsia="宋体" w:hAnsi="Times New Roman" w:cs="Times New Roman"/>
          <w:kern w:val="0"/>
          <w:sz w:val="28"/>
          <w:szCs w:val="28"/>
        </w:rPr>
      </w:pPr>
      <w:r>
        <w:rPr>
          <w:rFonts w:ascii="Times New Roman" w:eastAsia="宋体" w:hAnsi="Times New Roman" w:cs="Times New Roman"/>
        </w:rPr>
        <w:pict w14:anchorId="427AC31E">
          <v:shape id="_x0000_i1041" type="#_x0000_t75" style="width:461.9pt;height:89.35pt">
            <v:imagedata r:id="rId44" o:title=""/>
          </v:shape>
        </w:pict>
      </w:r>
    </w:p>
    <w:p w14:paraId="551F747C" w14:textId="77777777" w:rsidR="002133E3" w:rsidRDefault="00C22CFA">
      <w:pPr>
        <w:widowControl/>
        <w:jc w:val="center"/>
        <w:rPr>
          <w:rFonts w:ascii="Times New Roman" w:eastAsia="宋体" w:hAnsi="Times New Roman" w:cs="Times New Roman"/>
          <w:b/>
        </w:rPr>
      </w:pPr>
      <w:r>
        <w:rPr>
          <w:rFonts w:ascii="Times New Roman" w:eastAsia="宋体" w:hAnsi="Times New Roman" w:cs="Times New Roman"/>
          <w:b/>
        </w:rPr>
        <w:t>图</w:t>
      </w:r>
      <w:r>
        <w:rPr>
          <w:rFonts w:ascii="Times New Roman" w:eastAsia="宋体" w:hAnsi="Times New Roman" w:cs="Times New Roman"/>
          <w:b/>
        </w:rPr>
        <w:t xml:space="preserve">3.3-7  </w:t>
      </w:r>
      <w:r>
        <w:rPr>
          <w:rFonts w:ascii="Times New Roman" w:eastAsia="宋体" w:hAnsi="Times New Roman" w:cs="Times New Roman"/>
          <w:b/>
        </w:rPr>
        <w:t>已批未建项目有组织废气污染物走向情况</w:t>
      </w:r>
    </w:p>
    <w:p w14:paraId="32C4AAD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废水产生及排放情况</w:t>
      </w:r>
    </w:p>
    <w:p w14:paraId="3DDBB6C1" w14:textId="77777777" w:rsidR="002133E3" w:rsidRDefault="00C22CFA">
      <w:pPr>
        <w:widowControl/>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已批未建项目废水主要为生产工艺废水、检测化验废水、废气吸收水、地面设备冲洗废水及生活污水等。采用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厌氧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气浮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好氧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处理工艺，具体废水处理工艺流程见图</w:t>
      </w:r>
      <w:r>
        <w:rPr>
          <w:rFonts w:ascii="Times New Roman" w:eastAsia="宋体" w:hAnsi="Times New Roman" w:cs="Times New Roman"/>
          <w:kern w:val="0"/>
          <w:sz w:val="28"/>
          <w:szCs w:val="28"/>
        </w:rPr>
        <w:t xml:space="preserve"> 3.3-8</w:t>
      </w:r>
      <w:r>
        <w:rPr>
          <w:rFonts w:ascii="Times New Roman" w:eastAsia="宋体" w:hAnsi="Times New Roman" w:cs="Times New Roman"/>
          <w:kern w:val="0"/>
          <w:sz w:val="28"/>
          <w:szCs w:val="28"/>
        </w:rPr>
        <w:t>。</w:t>
      </w:r>
    </w:p>
    <w:p w14:paraId="30FED51E" w14:textId="77777777" w:rsidR="002133E3" w:rsidRDefault="009F1FEF">
      <w:pPr>
        <w:widowControl/>
        <w:ind w:firstLineChars="200" w:firstLine="420"/>
        <w:jc w:val="center"/>
        <w:rPr>
          <w:rFonts w:ascii="Times New Roman" w:eastAsia="宋体" w:hAnsi="Times New Roman" w:cs="Times New Roman"/>
        </w:rPr>
      </w:pPr>
      <w:r>
        <w:rPr>
          <w:rFonts w:ascii="Times New Roman" w:eastAsia="宋体" w:hAnsi="Times New Roman" w:cs="Times New Roman"/>
        </w:rPr>
        <w:lastRenderedPageBreak/>
        <w:pict w14:anchorId="4D7C6E6B">
          <v:shape id="_x0000_i1042" type="#_x0000_t75" style="width:384.95pt;height:561.7pt">
            <v:imagedata r:id="rId45" o:title=""/>
          </v:shape>
        </w:pict>
      </w:r>
    </w:p>
    <w:p w14:paraId="07116DA7" w14:textId="77777777" w:rsidR="002133E3" w:rsidRDefault="00C22CFA">
      <w:pPr>
        <w:widowControl/>
        <w:jc w:val="center"/>
        <w:rPr>
          <w:rFonts w:ascii="Times New Roman" w:eastAsia="宋体" w:hAnsi="Times New Roman" w:cs="Times New Roman"/>
          <w:b/>
        </w:rPr>
      </w:pPr>
      <w:r>
        <w:rPr>
          <w:rFonts w:ascii="Times New Roman" w:eastAsia="宋体" w:hAnsi="Times New Roman" w:cs="Times New Roman"/>
          <w:b/>
        </w:rPr>
        <w:t>图</w:t>
      </w:r>
      <w:r>
        <w:rPr>
          <w:rFonts w:ascii="Times New Roman" w:eastAsia="宋体" w:hAnsi="Times New Roman" w:cs="Times New Roman"/>
          <w:b/>
        </w:rPr>
        <w:t xml:space="preserve"> 3.3-8  </w:t>
      </w:r>
      <w:r>
        <w:rPr>
          <w:rFonts w:ascii="Times New Roman" w:eastAsia="宋体" w:hAnsi="Times New Roman" w:cs="Times New Roman"/>
          <w:b/>
        </w:rPr>
        <w:t>已批未建项目废水处理工艺流程图</w:t>
      </w:r>
    </w:p>
    <w:p w14:paraId="42A844E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噪声产生及排放情况</w:t>
      </w:r>
    </w:p>
    <w:p w14:paraId="4C685CAF" w14:textId="77777777" w:rsidR="002133E3" w:rsidRDefault="00C22CFA">
      <w:pPr>
        <w:widowControl/>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项目主要噪声源有锤式粉碎机、离心机、搅拌器、蒸发器、各类泵等以及生产过程中的一些机械传动设备，源强约</w:t>
      </w:r>
      <w:r>
        <w:rPr>
          <w:rFonts w:ascii="Times New Roman" w:eastAsia="宋体" w:hAnsi="Times New Roman" w:cs="Times New Roman"/>
          <w:kern w:val="0"/>
          <w:sz w:val="28"/>
          <w:szCs w:val="28"/>
        </w:rPr>
        <w:t>70</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90dB(A)</w:t>
      </w:r>
      <w:r>
        <w:rPr>
          <w:rFonts w:ascii="Times New Roman" w:eastAsia="宋体" w:hAnsi="Times New Roman" w:cs="Times New Roman"/>
          <w:kern w:val="0"/>
          <w:sz w:val="28"/>
          <w:szCs w:val="28"/>
        </w:rPr>
        <w:t>，通过选用低噪音设备；尽可能置于室内操作、利用建筑物隔声屏蔽；加强维护和检修保养；合理布局等措施，确保厂界噪声</w:t>
      </w:r>
      <w:r>
        <w:rPr>
          <w:rFonts w:ascii="Times New Roman" w:eastAsia="宋体" w:hAnsi="Times New Roman" w:cs="Times New Roman"/>
          <w:sz w:val="28"/>
          <w:szCs w:val="28"/>
        </w:rPr>
        <w:t>达标</w:t>
      </w:r>
      <w:r>
        <w:rPr>
          <w:rFonts w:ascii="Times New Roman" w:eastAsia="宋体" w:hAnsi="Times New Roman" w:cs="Times New Roman"/>
          <w:kern w:val="0"/>
          <w:sz w:val="28"/>
          <w:szCs w:val="28"/>
        </w:rPr>
        <w:t>。</w:t>
      </w:r>
    </w:p>
    <w:p w14:paraId="5AB88EB3"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固废产生及排放情况</w:t>
      </w:r>
    </w:p>
    <w:p w14:paraId="75473CCB" w14:textId="77777777" w:rsidR="002133E3" w:rsidRDefault="00C22CFA">
      <w:pPr>
        <w:widowControl/>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项目固废有木薯杂质、废脱硫剂、糖化滤渣、超滤滤渣、废树脂、废活性炭、废包装材料和职工生活垃圾等。项目副产品产生情况见表</w:t>
      </w:r>
      <w:r>
        <w:rPr>
          <w:rFonts w:ascii="Times New Roman" w:eastAsia="宋体" w:hAnsi="Times New Roman" w:cs="Times New Roman"/>
          <w:kern w:val="0"/>
          <w:sz w:val="28"/>
          <w:szCs w:val="28"/>
        </w:rPr>
        <w:t>3.3-5</w:t>
      </w:r>
      <w:r>
        <w:rPr>
          <w:rFonts w:ascii="Times New Roman" w:eastAsia="宋体" w:hAnsi="Times New Roman" w:cs="Times New Roman"/>
          <w:kern w:val="0"/>
          <w:sz w:val="28"/>
          <w:szCs w:val="28"/>
        </w:rPr>
        <w:t>，项目营运期固体废物分析结果见表</w:t>
      </w:r>
      <w:r>
        <w:rPr>
          <w:rFonts w:ascii="Times New Roman" w:eastAsia="宋体" w:hAnsi="Times New Roman" w:cs="Times New Roman"/>
          <w:kern w:val="0"/>
          <w:sz w:val="28"/>
          <w:szCs w:val="28"/>
        </w:rPr>
        <w:t>3.3-6</w:t>
      </w:r>
      <w:r>
        <w:rPr>
          <w:rFonts w:ascii="Times New Roman" w:eastAsia="宋体" w:hAnsi="Times New Roman" w:cs="Times New Roman"/>
          <w:kern w:val="0"/>
          <w:sz w:val="28"/>
          <w:szCs w:val="28"/>
        </w:rPr>
        <w:t>。</w:t>
      </w:r>
    </w:p>
    <w:p w14:paraId="48F43ACC" w14:textId="77777777" w:rsidR="002133E3" w:rsidRDefault="00C22CFA">
      <w:pPr>
        <w:spacing w:line="44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3.3-5   </w:t>
      </w:r>
      <w:r>
        <w:rPr>
          <w:rFonts w:ascii="Times New Roman" w:eastAsia="宋体" w:hAnsi="Times New Roman" w:cs="Times New Roman"/>
          <w:b/>
          <w:bCs/>
          <w:sz w:val="24"/>
          <w:szCs w:val="20"/>
        </w:rPr>
        <w:t>项目副产品产生情况汇总表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68"/>
        <w:gridCol w:w="1190"/>
        <w:gridCol w:w="818"/>
        <w:gridCol w:w="648"/>
        <w:gridCol w:w="3910"/>
        <w:gridCol w:w="853"/>
        <w:gridCol w:w="1023"/>
        <w:gridCol w:w="844"/>
      </w:tblGrid>
      <w:tr w:rsidR="002133E3" w14:paraId="13B2005B" w14:textId="77777777">
        <w:trPr>
          <w:trHeight w:val="284"/>
          <w:jc w:val="center"/>
        </w:trPr>
        <w:tc>
          <w:tcPr>
            <w:tcW w:w="288" w:type="pct"/>
            <w:vMerge w:val="restart"/>
            <w:vAlign w:val="center"/>
          </w:tcPr>
          <w:p w14:paraId="5C80721C"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604" w:type="pct"/>
            <w:vMerge w:val="restart"/>
            <w:vAlign w:val="center"/>
          </w:tcPr>
          <w:p w14:paraId="46A67962"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副产品名称</w:t>
            </w:r>
          </w:p>
        </w:tc>
        <w:tc>
          <w:tcPr>
            <w:tcW w:w="415" w:type="pct"/>
            <w:vMerge w:val="restart"/>
            <w:vAlign w:val="center"/>
          </w:tcPr>
          <w:p w14:paraId="7B8B7CF0"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产生工序</w:t>
            </w:r>
          </w:p>
        </w:tc>
        <w:tc>
          <w:tcPr>
            <w:tcW w:w="329" w:type="pct"/>
            <w:vMerge w:val="restart"/>
            <w:vAlign w:val="center"/>
          </w:tcPr>
          <w:p w14:paraId="3145094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形态</w:t>
            </w:r>
          </w:p>
        </w:tc>
        <w:tc>
          <w:tcPr>
            <w:tcW w:w="1984" w:type="pct"/>
            <w:vMerge w:val="restart"/>
            <w:vAlign w:val="center"/>
          </w:tcPr>
          <w:p w14:paraId="4082FAE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主要成分</w:t>
            </w:r>
          </w:p>
        </w:tc>
        <w:tc>
          <w:tcPr>
            <w:tcW w:w="1381" w:type="pct"/>
            <w:gridSpan w:val="3"/>
            <w:vAlign w:val="center"/>
          </w:tcPr>
          <w:p w14:paraId="7BE1777D"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种类判断</w:t>
            </w:r>
          </w:p>
        </w:tc>
      </w:tr>
      <w:tr w:rsidR="002133E3" w14:paraId="3B21F39A" w14:textId="77777777">
        <w:trPr>
          <w:trHeight w:val="284"/>
          <w:jc w:val="center"/>
        </w:trPr>
        <w:tc>
          <w:tcPr>
            <w:tcW w:w="288" w:type="pct"/>
            <w:vMerge/>
            <w:vAlign w:val="center"/>
          </w:tcPr>
          <w:p w14:paraId="2EC465F9" w14:textId="77777777" w:rsidR="002133E3" w:rsidRDefault="002133E3">
            <w:pPr>
              <w:widowControl/>
              <w:snapToGrid w:val="0"/>
              <w:jc w:val="center"/>
              <w:rPr>
                <w:rFonts w:ascii="Times New Roman" w:eastAsia="宋体" w:hAnsi="Times New Roman" w:cs="Times New Roman"/>
                <w:b/>
                <w:kern w:val="0"/>
                <w:szCs w:val="21"/>
              </w:rPr>
            </w:pPr>
          </w:p>
        </w:tc>
        <w:tc>
          <w:tcPr>
            <w:tcW w:w="604" w:type="pct"/>
            <w:vMerge/>
            <w:vAlign w:val="center"/>
          </w:tcPr>
          <w:p w14:paraId="3F88BCCD" w14:textId="77777777" w:rsidR="002133E3" w:rsidRDefault="002133E3">
            <w:pPr>
              <w:widowControl/>
              <w:snapToGrid w:val="0"/>
              <w:jc w:val="center"/>
              <w:rPr>
                <w:rFonts w:ascii="Times New Roman" w:eastAsia="宋体" w:hAnsi="Times New Roman" w:cs="Times New Roman"/>
                <w:b/>
                <w:kern w:val="0"/>
                <w:szCs w:val="21"/>
              </w:rPr>
            </w:pPr>
          </w:p>
        </w:tc>
        <w:tc>
          <w:tcPr>
            <w:tcW w:w="415" w:type="pct"/>
            <w:vMerge/>
            <w:vAlign w:val="center"/>
          </w:tcPr>
          <w:p w14:paraId="7BBFD8EA" w14:textId="77777777" w:rsidR="002133E3" w:rsidRDefault="002133E3">
            <w:pPr>
              <w:widowControl/>
              <w:snapToGrid w:val="0"/>
              <w:jc w:val="center"/>
              <w:rPr>
                <w:rFonts w:ascii="Times New Roman" w:eastAsia="宋体" w:hAnsi="Times New Roman" w:cs="Times New Roman"/>
                <w:b/>
                <w:kern w:val="0"/>
                <w:szCs w:val="21"/>
              </w:rPr>
            </w:pPr>
          </w:p>
        </w:tc>
        <w:tc>
          <w:tcPr>
            <w:tcW w:w="329" w:type="pct"/>
            <w:vMerge/>
            <w:vAlign w:val="center"/>
          </w:tcPr>
          <w:p w14:paraId="09F17E0D" w14:textId="77777777" w:rsidR="002133E3" w:rsidRDefault="002133E3">
            <w:pPr>
              <w:widowControl/>
              <w:snapToGrid w:val="0"/>
              <w:jc w:val="center"/>
              <w:rPr>
                <w:rFonts w:ascii="Times New Roman" w:eastAsia="宋体" w:hAnsi="Times New Roman" w:cs="Times New Roman"/>
                <w:b/>
                <w:kern w:val="0"/>
                <w:szCs w:val="21"/>
              </w:rPr>
            </w:pPr>
          </w:p>
        </w:tc>
        <w:tc>
          <w:tcPr>
            <w:tcW w:w="1984" w:type="pct"/>
            <w:vMerge/>
            <w:vAlign w:val="center"/>
          </w:tcPr>
          <w:p w14:paraId="107D61B6" w14:textId="77777777" w:rsidR="002133E3" w:rsidRDefault="002133E3">
            <w:pPr>
              <w:widowControl/>
              <w:snapToGrid w:val="0"/>
              <w:jc w:val="center"/>
              <w:rPr>
                <w:rFonts w:ascii="Times New Roman" w:eastAsia="宋体" w:hAnsi="Times New Roman" w:cs="Times New Roman"/>
                <w:b/>
                <w:kern w:val="0"/>
                <w:szCs w:val="21"/>
              </w:rPr>
            </w:pPr>
          </w:p>
        </w:tc>
        <w:tc>
          <w:tcPr>
            <w:tcW w:w="433" w:type="pct"/>
            <w:vAlign w:val="center"/>
          </w:tcPr>
          <w:p w14:paraId="351A444E"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固体</w:t>
            </w:r>
          </w:p>
          <w:p w14:paraId="4BBB3F39"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废物</w:t>
            </w:r>
          </w:p>
        </w:tc>
        <w:tc>
          <w:tcPr>
            <w:tcW w:w="519" w:type="pct"/>
            <w:vAlign w:val="center"/>
          </w:tcPr>
          <w:p w14:paraId="69755435"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副产品</w:t>
            </w:r>
          </w:p>
        </w:tc>
        <w:tc>
          <w:tcPr>
            <w:tcW w:w="429" w:type="pct"/>
            <w:vAlign w:val="center"/>
          </w:tcPr>
          <w:p w14:paraId="552C61AD"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判定</w:t>
            </w:r>
          </w:p>
          <w:p w14:paraId="22ABFD52"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依据</w:t>
            </w:r>
          </w:p>
        </w:tc>
      </w:tr>
      <w:tr w:rsidR="002133E3" w14:paraId="59245080" w14:textId="77777777">
        <w:trPr>
          <w:trHeight w:val="284"/>
          <w:jc w:val="center"/>
        </w:trPr>
        <w:tc>
          <w:tcPr>
            <w:tcW w:w="288" w:type="pct"/>
            <w:vAlign w:val="center"/>
          </w:tcPr>
          <w:p w14:paraId="208B395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604" w:type="pct"/>
            <w:vAlign w:val="center"/>
          </w:tcPr>
          <w:p w14:paraId="18242CC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95%</w:t>
            </w:r>
            <w:r>
              <w:rPr>
                <w:rFonts w:ascii="Times New Roman" w:eastAsia="宋体" w:hAnsi="Times New Roman" w:cs="Times New Roman"/>
                <w:kern w:val="0"/>
                <w:szCs w:val="21"/>
              </w:rPr>
              <w:t>硫酸钠</w:t>
            </w:r>
          </w:p>
        </w:tc>
        <w:tc>
          <w:tcPr>
            <w:tcW w:w="415" w:type="pct"/>
            <w:vAlign w:val="center"/>
          </w:tcPr>
          <w:p w14:paraId="3ED79F0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蒸发析盐</w:t>
            </w:r>
          </w:p>
        </w:tc>
        <w:tc>
          <w:tcPr>
            <w:tcW w:w="329" w:type="pct"/>
            <w:vAlign w:val="center"/>
          </w:tcPr>
          <w:p w14:paraId="70FC67E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984" w:type="pct"/>
            <w:vAlign w:val="center"/>
          </w:tcPr>
          <w:p w14:paraId="1E2A974E" w14:textId="77777777" w:rsidR="002133E3" w:rsidRDefault="00C22CFA">
            <w:pPr>
              <w:widowControl/>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lang w:val="zh-CN"/>
              </w:rPr>
              <w:t>硫酸钠、丁二酸钠、丙酮酸钠、苹果酸钠、富马酸钠、水、菌体、杂质</w:t>
            </w:r>
          </w:p>
        </w:tc>
        <w:tc>
          <w:tcPr>
            <w:tcW w:w="433" w:type="pct"/>
            <w:vAlign w:val="center"/>
          </w:tcPr>
          <w:p w14:paraId="62FB606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19" w:type="pct"/>
            <w:vAlign w:val="center"/>
          </w:tcPr>
          <w:p w14:paraId="60AD494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29" w:type="pct"/>
            <w:vAlign w:val="center"/>
          </w:tcPr>
          <w:p w14:paraId="72E1BD3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备案</w:t>
            </w:r>
          </w:p>
        </w:tc>
      </w:tr>
    </w:tbl>
    <w:p w14:paraId="61312BD2" w14:textId="77777777" w:rsidR="002133E3" w:rsidRDefault="00C22CFA">
      <w:pPr>
        <w:pStyle w:val="a0"/>
        <w:spacing w:before="0" w:after="0" w:line="520" w:lineRule="exact"/>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3.3-6   </w:t>
      </w:r>
      <w:r>
        <w:rPr>
          <w:rFonts w:ascii="Times New Roman" w:hAnsi="Times New Roman" w:cs="Times New Roman"/>
        </w:rPr>
        <w:t>固体废物产生及治理措施一览表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6"/>
        <w:gridCol w:w="1185"/>
        <w:gridCol w:w="1187"/>
        <w:gridCol w:w="1321"/>
        <w:gridCol w:w="647"/>
        <w:gridCol w:w="2553"/>
        <w:gridCol w:w="1288"/>
        <w:gridCol w:w="1187"/>
      </w:tblGrid>
      <w:tr w:rsidR="002133E3" w14:paraId="60C38AC3" w14:textId="77777777">
        <w:trPr>
          <w:trHeight w:val="530"/>
          <w:jc w:val="center"/>
        </w:trPr>
        <w:tc>
          <w:tcPr>
            <w:tcW w:w="208" w:type="pct"/>
            <w:tcMar>
              <w:left w:w="28" w:type="dxa"/>
              <w:right w:w="28" w:type="dxa"/>
            </w:tcMar>
            <w:vAlign w:val="center"/>
          </w:tcPr>
          <w:p w14:paraId="366AF1A7"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序号</w:t>
            </w:r>
          </w:p>
        </w:tc>
        <w:tc>
          <w:tcPr>
            <w:tcW w:w="606" w:type="pct"/>
            <w:vAlign w:val="center"/>
          </w:tcPr>
          <w:p w14:paraId="3FC56FC1"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固废名称</w:t>
            </w:r>
          </w:p>
        </w:tc>
        <w:tc>
          <w:tcPr>
            <w:tcW w:w="607" w:type="pct"/>
            <w:vAlign w:val="center"/>
          </w:tcPr>
          <w:p w14:paraId="145D2206"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属性</w:t>
            </w:r>
          </w:p>
        </w:tc>
        <w:tc>
          <w:tcPr>
            <w:tcW w:w="676" w:type="pct"/>
            <w:vAlign w:val="center"/>
          </w:tcPr>
          <w:p w14:paraId="53EEEAAA"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产生工序</w:t>
            </w:r>
          </w:p>
        </w:tc>
        <w:tc>
          <w:tcPr>
            <w:tcW w:w="331" w:type="pct"/>
            <w:vAlign w:val="center"/>
          </w:tcPr>
          <w:p w14:paraId="0FAD553A"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形态</w:t>
            </w:r>
          </w:p>
        </w:tc>
        <w:tc>
          <w:tcPr>
            <w:tcW w:w="1306" w:type="pct"/>
            <w:vAlign w:val="center"/>
          </w:tcPr>
          <w:p w14:paraId="07AB40E7"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主要成分</w:t>
            </w:r>
          </w:p>
        </w:tc>
        <w:tc>
          <w:tcPr>
            <w:tcW w:w="659" w:type="pct"/>
            <w:vAlign w:val="center"/>
          </w:tcPr>
          <w:p w14:paraId="4FE5A58C"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废物类别、代码</w:t>
            </w:r>
          </w:p>
        </w:tc>
        <w:tc>
          <w:tcPr>
            <w:tcW w:w="607" w:type="pct"/>
            <w:vAlign w:val="center"/>
          </w:tcPr>
          <w:p w14:paraId="380CDE93"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拟采取的处置方式</w:t>
            </w:r>
          </w:p>
        </w:tc>
      </w:tr>
      <w:tr w:rsidR="002133E3" w14:paraId="11373AD1" w14:textId="77777777">
        <w:trPr>
          <w:trHeight w:val="73"/>
          <w:jc w:val="center"/>
        </w:trPr>
        <w:tc>
          <w:tcPr>
            <w:tcW w:w="208" w:type="pct"/>
            <w:tcMar>
              <w:left w:w="28" w:type="dxa"/>
              <w:right w:w="28" w:type="dxa"/>
            </w:tcMar>
            <w:vAlign w:val="center"/>
          </w:tcPr>
          <w:p w14:paraId="48AF411E" w14:textId="77777777" w:rsidR="002133E3" w:rsidRDefault="00C22CFA">
            <w:pPr>
              <w:jc w:val="center"/>
              <w:rPr>
                <w:rFonts w:ascii="Times New Roman" w:eastAsia="宋体" w:hAnsi="Times New Roman" w:cs="Times New Roman"/>
                <w:szCs w:val="21"/>
              </w:rPr>
            </w:pPr>
            <w:bookmarkStart w:id="28" w:name="OLE_LINK39" w:colFirst="5" w:colLast="5"/>
            <w:bookmarkStart w:id="29" w:name="_Hlk333853534"/>
            <w:r>
              <w:rPr>
                <w:rFonts w:ascii="Times New Roman" w:eastAsia="宋体" w:hAnsi="Times New Roman" w:cs="Times New Roman"/>
                <w:szCs w:val="21"/>
              </w:rPr>
              <w:t>1</w:t>
            </w:r>
          </w:p>
        </w:tc>
        <w:tc>
          <w:tcPr>
            <w:tcW w:w="606" w:type="pct"/>
            <w:vAlign w:val="center"/>
          </w:tcPr>
          <w:p w14:paraId="0661F36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木薯杂质</w:t>
            </w:r>
            <w:r>
              <w:rPr>
                <w:rFonts w:ascii="Times New Roman" w:eastAsia="宋体" w:hAnsi="Times New Roman" w:cs="Times New Roman"/>
                <w:szCs w:val="21"/>
              </w:rPr>
              <w:t>S</w:t>
            </w:r>
            <w:r>
              <w:rPr>
                <w:rFonts w:ascii="Times New Roman" w:eastAsia="宋体" w:hAnsi="Times New Roman" w:cs="Times New Roman"/>
                <w:szCs w:val="21"/>
                <w:vertAlign w:val="subscript"/>
              </w:rPr>
              <w:t>1-1</w:t>
            </w:r>
          </w:p>
        </w:tc>
        <w:tc>
          <w:tcPr>
            <w:tcW w:w="607" w:type="pct"/>
            <w:vAlign w:val="center"/>
          </w:tcPr>
          <w:p w14:paraId="76C4095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一般固废</w:t>
            </w:r>
          </w:p>
        </w:tc>
        <w:tc>
          <w:tcPr>
            <w:tcW w:w="676" w:type="pct"/>
            <w:vAlign w:val="center"/>
          </w:tcPr>
          <w:p w14:paraId="59A734A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除杂</w:t>
            </w:r>
          </w:p>
        </w:tc>
        <w:tc>
          <w:tcPr>
            <w:tcW w:w="331" w:type="pct"/>
            <w:vAlign w:val="center"/>
          </w:tcPr>
          <w:p w14:paraId="7E9BFA2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306" w:type="pct"/>
            <w:vAlign w:val="center"/>
          </w:tcPr>
          <w:p w14:paraId="40D8A44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麻绳、铁钉、泥沙等</w:t>
            </w:r>
          </w:p>
        </w:tc>
        <w:tc>
          <w:tcPr>
            <w:tcW w:w="659" w:type="pct"/>
            <w:vAlign w:val="center"/>
          </w:tcPr>
          <w:p w14:paraId="5223FACF"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w:t>
            </w:r>
          </w:p>
        </w:tc>
        <w:tc>
          <w:tcPr>
            <w:tcW w:w="607" w:type="pct"/>
            <w:vAlign w:val="center"/>
          </w:tcPr>
          <w:p w14:paraId="4959B310"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外售</w:t>
            </w:r>
          </w:p>
        </w:tc>
      </w:tr>
      <w:tr w:rsidR="002133E3" w14:paraId="7BD3C91A" w14:textId="77777777">
        <w:trPr>
          <w:trHeight w:val="73"/>
          <w:jc w:val="center"/>
        </w:trPr>
        <w:tc>
          <w:tcPr>
            <w:tcW w:w="208" w:type="pct"/>
            <w:tcMar>
              <w:left w:w="28" w:type="dxa"/>
              <w:right w:w="28" w:type="dxa"/>
            </w:tcMar>
            <w:vAlign w:val="center"/>
          </w:tcPr>
          <w:p w14:paraId="0ED81A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606" w:type="pct"/>
            <w:vAlign w:val="center"/>
          </w:tcPr>
          <w:p w14:paraId="1387F64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废脱硫剂</w:t>
            </w:r>
          </w:p>
        </w:tc>
        <w:tc>
          <w:tcPr>
            <w:tcW w:w="607" w:type="pct"/>
            <w:vAlign w:val="center"/>
          </w:tcPr>
          <w:p w14:paraId="61FF94D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一般固废</w:t>
            </w:r>
          </w:p>
        </w:tc>
        <w:tc>
          <w:tcPr>
            <w:tcW w:w="676" w:type="pct"/>
            <w:vAlign w:val="center"/>
          </w:tcPr>
          <w:p w14:paraId="24FD41B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沼气脱硫</w:t>
            </w:r>
          </w:p>
        </w:tc>
        <w:tc>
          <w:tcPr>
            <w:tcW w:w="331" w:type="pct"/>
            <w:vAlign w:val="center"/>
          </w:tcPr>
          <w:p w14:paraId="22CFB66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306" w:type="pct"/>
            <w:vAlign w:val="center"/>
          </w:tcPr>
          <w:p w14:paraId="1595062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氧化铁等</w:t>
            </w:r>
          </w:p>
        </w:tc>
        <w:tc>
          <w:tcPr>
            <w:tcW w:w="659" w:type="pct"/>
            <w:vAlign w:val="center"/>
          </w:tcPr>
          <w:p w14:paraId="1119C842"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w:t>
            </w:r>
          </w:p>
        </w:tc>
        <w:tc>
          <w:tcPr>
            <w:tcW w:w="607" w:type="pct"/>
            <w:vAlign w:val="center"/>
          </w:tcPr>
          <w:p w14:paraId="25244766"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由供应厂家回收</w:t>
            </w:r>
          </w:p>
        </w:tc>
      </w:tr>
      <w:bookmarkEnd w:id="28"/>
      <w:bookmarkEnd w:id="29"/>
      <w:tr w:rsidR="002133E3" w14:paraId="2362ECDB" w14:textId="77777777">
        <w:trPr>
          <w:trHeight w:val="384"/>
          <w:jc w:val="center"/>
        </w:trPr>
        <w:tc>
          <w:tcPr>
            <w:tcW w:w="208" w:type="pct"/>
            <w:tcMar>
              <w:left w:w="28" w:type="dxa"/>
              <w:right w:w="28" w:type="dxa"/>
            </w:tcMar>
            <w:vAlign w:val="center"/>
          </w:tcPr>
          <w:p w14:paraId="06D6DB5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606" w:type="pct"/>
            <w:vAlign w:val="center"/>
          </w:tcPr>
          <w:p w14:paraId="7BAA4E6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糖化滤渣</w:t>
            </w:r>
          </w:p>
          <w:p w14:paraId="4F8FD56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t>
            </w:r>
            <w:r>
              <w:rPr>
                <w:rFonts w:ascii="Times New Roman" w:eastAsia="宋体" w:hAnsi="Times New Roman" w:cs="Times New Roman"/>
                <w:szCs w:val="21"/>
                <w:vertAlign w:val="subscript"/>
              </w:rPr>
              <w:t>1-2</w:t>
            </w:r>
          </w:p>
        </w:tc>
        <w:tc>
          <w:tcPr>
            <w:tcW w:w="607" w:type="pct"/>
            <w:vAlign w:val="center"/>
          </w:tcPr>
          <w:p w14:paraId="5BFA018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一般固废</w:t>
            </w:r>
          </w:p>
        </w:tc>
        <w:tc>
          <w:tcPr>
            <w:tcW w:w="676" w:type="pct"/>
            <w:vAlign w:val="center"/>
          </w:tcPr>
          <w:p w14:paraId="21191AE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离心过滤</w:t>
            </w:r>
          </w:p>
        </w:tc>
        <w:tc>
          <w:tcPr>
            <w:tcW w:w="331" w:type="pct"/>
            <w:vAlign w:val="center"/>
          </w:tcPr>
          <w:p w14:paraId="5B2972E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306" w:type="pct"/>
            <w:vAlign w:val="center"/>
          </w:tcPr>
          <w:p w14:paraId="602A96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糖化糟渣</w:t>
            </w:r>
          </w:p>
        </w:tc>
        <w:tc>
          <w:tcPr>
            <w:tcW w:w="659" w:type="pct"/>
            <w:vAlign w:val="center"/>
          </w:tcPr>
          <w:p w14:paraId="5CD3499A"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w:t>
            </w:r>
          </w:p>
        </w:tc>
        <w:tc>
          <w:tcPr>
            <w:tcW w:w="607" w:type="pct"/>
            <w:vAlign w:val="center"/>
          </w:tcPr>
          <w:p w14:paraId="30BB7ACE"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外售作为肥料</w:t>
            </w:r>
          </w:p>
        </w:tc>
      </w:tr>
      <w:tr w:rsidR="002133E3" w14:paraId="6E8EC7D3" w14:textId="77777777">
        <w:trPr>
          <w:trHeight w:val="73"/>
          <w:jc w:val="center"/>
        </w:trPr>
        <w:tc>
          <w:tcPr>
            <w:tcW w:w="208" w:type="pct"/>
            <w:tcMar>
              <w:left w:w="28" w:type="dxa"/>
              <w:right w:w="28" w:type="dxa"/>
            </w:tcMar>
            <w:vAlign w:val="center"/>
          </w:tcPr>
          <w:p w14:paraId="252553F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606" w:type="pct"/>
            <w:vAlign w:val="center"/>
          </w:tcPr>
          <w:p w14:paraId="24140739"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超滤滤渣</w:t>
            </w:r>
            <w:r>
              <w:rPr>
                <w:rFonts w:ascii="Times New Roman" w:eastAsia="宋体" w:hAnsi="Times New Roman" w:cs="Times New Roman"/>
                <w:szCs w:val="21"/>
              </w:rPr>
              <w:t>S</w:t>
            </w:r>
            <w:r>
              <w:rPr>
                <w:rFonts w:ascii="Times New Roman" w:eastAsia="宋体" w:hAnsi="Times New Roman" w:cs="Times New Roman"/>
                <w:szCs w:val="21"/>
                <w:vertAlign w:val="subscript"/>
              </w:rPr>
              <w:t>1-3</w:t>
            </w:r>
          </w:p>
        </w:tc>
        <w:tc>
          <w:tcPr>
            <w:tcW w:w="607" w:type="pct"/>
            <w:vAlign w:val="center"/>
          </w:tcPr>
          <w:p w14:paraId="2F65E84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一般固废</w:t>
            </w:r>
          </w:p>
        </w:tc>
        <w:tc>
          <w:tcPr>
            <w:tcW w:w="676" w:type="pct"/>
            <w:vAlign w:val="center"/>
          </w:tcPr>
          <w:p w14:paraId="738CCC1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超滤</w:t>
            </w:r>
          </w:p>
        </w:tc>
        <w:tc>
          <w:tcPr>
            <w:tcW w:w="331" w:type="pct"/>
            <w:vAlign w:val="center"/>
          </w:tcPr>
          <w:p w14:paraId="7B7DDE6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306" w:type="pct"/>
            <w:vAlign w:val="center"/>
          </w:tcPr>
          <w:p w14:paraId="26C9E5A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发酵糟渣</w:t>
            </w:r>
          </w:p>
        </w:tc>
        <w:tc>
          <w:tcPr>
            <w:tcW w:w="659" w:type="pct"/>
            <w:vAlign w:val="center"/>
          </w:tcPr>
          <w:p w14:paraId="2A7C9947"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w:t>
            </w:r>
          </w:p>
        </w:tc>
        <w:tc>
          <w:tcPr>
            <w:tcW w:w="607" w:type="pct"/>
            <w:vAlign w:val="center"/>
          </w:tcPr>
          <w:p w14:paraId="09110F90"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外售作为肥料</w:t>
            </w:r>
          </w:p>
        </w:tc>
      </w:tr>
      <w:tr w:rsidR="002133E3" w14:paraId="784EF940" w14:textId="77777777">
        <w:trPr>
          <w:trHeight w:val="73"/>
          <w:jc w:val="center"/>
        </w:trPr>
        <w:tc>
          <w:tcPr>
            <w:tcW w:w="208" w:type="pct"/>
            <w:tcMar>
              <w:left w:w="28" w:type="dxa"/>
              <w:right w:w="28" w:type="dxa"/>
            </w:tcMar>
            <w:vAlign w:val="center"/>
          </w:tcPr>
          <w:p w14:paraId="7694D28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606" w:type="pct"/>
            <w:vAlign w:val="center"/>
          </w:tcPr>
          <w:p w14:paraId="465E507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废活性炭</w:t>
            </w:r>
            <w:r>
              <w:rPr>
                <w:rFonts w:ascii="Times New Roman" w:eastAsia="宋体" w:hAnsi="Times New Roman" w:cs="Times New Roman"/>
                <w:szCs w:val="21"/>
              </w:rPr>
              <w:t>S</w:t>
            </w:r>
            <w:r>
              <w:rPr>
                <w:rFonts w:ascii="Times New Roman" w:eastAsia="宋体" w:hAnsi="Times New Roman" w:cs="Times New Roman"/>
                <w:szCs w:val="21"/>
                <w:vertAlign w:val="subscript"/>
              </w:rPr>
              <w:t>1-4</w:t>
            </w:r>
          </w:p>
        </w:tc>
        <w:tc>
          <w:tcPr>
            <w:tcW w:w="607" w:type="pct"/>
            <w:vAlign w:val="center"/>
          </w:tcPr>
          <w:p w14:paraId="2B4134E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危险固废</w:t>
            </w:r>
          </w:p>
        </w:tc>
        <w:tc>
          <w:tcPr>
            <w:tcW w:w="676" w:type="pct"/>
            <w:vAlign w:val="center"/>
          </w:tcPr>
          <w:p w14:paraId="7F9755A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脱色</w:t>
            </w:r>
          </w:p>
        </w:tc>
        <w:tc>
          <w:tcPr>
            <w:tcW w:w="331" w:type="pct"/>
            <w:vAlign w:val="center"/>
          </w:tcPr>
          <w:p w14:paraId="6BBF1D9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306" w:type="pct"/>
            <w:vAlign w:val="center"/>
          </w:tcPr>
          <w:p w14:paraId="1DE05121" w14:textId="77777777" w:rsidR="002133E3" w:rsidRDefault="00C22CFA">
            <w:pPr>
              <w:adjustRightInd w:val="0"/>
              <w:snapToGrid w:val="0"/>
              <w:jc w:val="center"/>
              <w:textAlignment w:val="center"/>
              <w:rPr>
                <w:rFonts w:ascii="Times New Roman" w:eastAsia="宋体" w:hAnsi="Times New Roman" w:cs="Times New Roman"/>
                <w:szCs w:val="21"/>
              </w:rPr>
            </w:pPr>
            <w:r>
              <w:rPr>
                <w:rFonts w:ascii="Times New Roman" w:eastAsia="宋体" w:hAnsi="Times New Roman" w:cs="Times New Roman"/>
                <w:szCs w:val="21"/>
              </w:rPr>
              <w:t>丁二酸钠、丙酮酸钠、苹果酸钠、富马酸钠、杂质、活性炭、菌体、水</w:t>
            </w:r>
          </w:p>
        </w:tc>
        <w:tc>
          <w:tcPr>
            <w:tcW w:w="659" w:type="pct"/>
            <w:vAlign w:val="center"/>
          </w:tcPr>
          <w:p w14:paraId="419515E9"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HW49</w:t>
            </w:r>
          </w:p>
          <w:p w14:paraId="0F766AF5"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900-039-49</w:t>
            </w:r>
          </w:p>
        </w:tc>
        <w:tc>
          <w:tcPr>
            <w:tcW w:w="607" w:type="pct"/>
            <w:vAlign w:val="center"/>
          </w:tcPr>
          <w:p w14:paraId="4CF1EE4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lang w:val="zh-CN"/>
              </w:rPr>
              <w:t>委托处理</w:t>
            </w:r>
          </w:p>
        </w:tc>
      </w:tr>
      <w:tr w:rsidR="002133E3" w14:paraId="3E21A648" w14:textId="77777777">
        <w:trPr>
          <w:trHeight w:val="73"/>
          <w:jc w:val="center"/>
        </w:trPr>
        <w:tc>
          <w:tcPr>
            <w:tcW w:w="208" w:type="pct"/>
            <w:tcMar>
              <w:left w:w="28" w:type="dxa"/>
              <w:right w:w="28" w:type="dxa"/>
            </w:tcMar>
            <w:vAlign w:val="center"/>
          </w:tcPr>
          <w:p w14:paraId="08BCF5D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w:t>
            </w:r>
          </w:p>
        </w:tc>
        <w:tc>
          <w:tcPr>
            <w:tcW w:w="606" w:type="pct"/>
            <w:vAlign w:val="center"/>
          </w:tcPr>
          <w:p w14:paraId="542F76F1"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废树脂</w:t>
            </w:r>
            <w:r>
              <w:rPr>
                <w:rFonts w:ascii="Times New Roman" w:eastAsia="宋体" w:hAnsi="Times New Roman" w:cs="Times New Roman"/>
                <w:szCs w:val="21"/>
              </w:rPr>
              <w:t>S</w:t>
            </w:r>
            <w:r>
              <w:rPr>
                <w:rFonts w:ascii="Times New Roman" w:eastAsia="宋体" w:hAnsi="Times New Roman" w:cs="Times New Roman"/>
                <w:szCs w:val="21"/>
                <w:vertAlign w:val="subscript"/>
              </w:rPr>
              <w:t>1-5</w:t>
            </w:r>
          </w:p>
        </w:tc>
        <w:tc>
          <w:tcPr>
            <w:tcW w:w="607" w:type="pct"/>
            <w:vAlign w:val="center"/>
          </w:tcPr>
          <w:p w14:paraId="3BF2EC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危险固废</w:t>
            </w:r>
          </w:p>
        </w:tc>
        <w:tc>
          <w:tcPr>
            <w:tcW w:w="676" w:type="pct"/>
            <w:vAlign w:val="center"/>
          </w:tcPr>
          <w:p w14:paraId="7174E68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离子交换</w:t>
            </w:r>
          </w:p>
        </w:tc>
        <w:tc>
          <w:tcPr>
            <w:tcW w:w="331" w:type="pct"/>
            <w:vAlign w:val="center"/>
          </w:tcPr>
          <w:p w14:paraId="2CBC64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306" w:type="pct"/>
            <w:vAlign w:val="center"/>
          </w:tcPr>
          <w:p w14:paraId="525B962B" w14:textId="77777777" w:rsidR="002133E3" w:rsidRDefault="00C22CFA">
            <w:pPr>
              <w:adjustRightInd w:val="0"/>
              <w:snapToGrid w:val="0"/>
              <w:jc w:val="center"/>
              <w:textAlignment w:val="center"/>
              <w:rPr>
                <w:rFonts w:ascii="Times New Roman" w:eastAsia="宋体" w:hAnsi="Times New Roman" w:cs="Times New Roman"/>
                <w:szCs w:val="21"/>
              </w:rPr>
            </w:pPr>
            <w:r>
              <w:rPr>
                <w:rFonts w:ascii="Times New Roman" w:eastAsia="宋体" w:hAnsi="Times New Roman" w:cs="Times New Roman"/>
                <w:szCs w:val="21"/>
              </w:rPr>
              <w:t>废离子交换树脂</w:t>
            </w:r>
          </w:p>
        </w:tc>
        <w:tc>
          <w:tcPr>
            <w:tcW w:w="659" w:type="pct"/>
            <w:vAlign w:val="center"/>
          </w:tcPr>
          <w:p w14:paraId="1E9CD39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HW13</w:t>
            </w:r>
          </w:p>
          <w:p w14:paraId="016D941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900-015-1</w:t>
            </w:r>
          </w:p>
        </w:tc>
        <w:tc>
          <w:tcPr>
            <w:tcW w:w="607" w:type="pct"/>
            <w:vAlign w:val="center"/>
          </w:tcPr>
          <w:p w14:paraId="63D6AFC3"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委托处理</w:t>
            </w:r>
          </w:p>
        </w:tc>
      </w:tr>
      <w:tr w:rsidR="002133E3" w14:paraId="2D140604" w14:textId="77777777">
        <w:trPr>
          <w:trHeight w:val="73"/>
          <w:jc w:val="center"/>
        </w:trPr>
        <w:tc>
          <w:tcPr>
            <w:tcW w:w="208" w:type="pct"/>
            <w:tcMar>
              <w:left w:w="28" w:type="dxa"/>
              <w:right w:w="28" w:type="dxa"/>
            </w:tcMar>
            <w:vAlign w:val="center"/>
          </w:tcPr>
          <w:p w14:paraId="2BF4E05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w:t>
            </w:r>
          </w:p>
        </w:tc>
        <w:tc>
          <w:tcPr>
            <w:tcW w:w="606" w:type="pct"/>
            <w:vAlign w:val="center"/>
          </w:tcPr>
          <w:p w14:paraId="6C4E33D4"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废包装材料</w:t>
            </w:r>
          </w:p>
        </w:tc>
        <w:tc>
          <w:tcPr>
            <w:tcW w:w="607" w:type="pct"/>
            <w:vAlign w:val="center"/>
          </w:tcPr>
          <w:p w14:paraId="0F2732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危险固废</w:t>
            </w:r>
          </w:p>
        </w:tc>
        <w:tc>
          <w:tcPr>
            <w:tcW w:w="676" w:type="pct"/>
            <w:vAlign w:val="center"/>
          </w:tcPr>
          <w:p w14:paraId="6DD83DC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原料包装</w:t>
            </w:r>
          </w:p>
        </w:tc>
        <w:tc>
          <w:tcPr>
            <w:tcW w:w="331" w:type="pct"/>
            <w:vAlign w:val="center"/>
          </w:tcPr>
          <w:p w14:paraId="1BC7CDA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306" w:type="pct"/>
            <w:vAlign w:val="center"/>
          </w:tcPr>
          <w:p w14:paraId="5B29FE0C" w14:textId="77777777" w:rsidR="002133E3" w:rsidRDefault="00C22CFA">
            <w:pPr>
              <w:adjustRightInd w:val="0"/>
              <w:snapToGrid w:val="0"/>
              <w:jc w:val="center"/>
              <w:textAlignment w:val="center"/>
              <w:rPr>
                <w:rFonts w:ascii="Times New Roman" w:eastAsia="宋体" w:hAnsi="Times New Roman" w:cs="Times New Roman"/>
                <w:szCs w:val="21"/>
              </w:rPr>
            </w:pPr>
            <w:r>
              <w:rPr>
                <w:rFonts w:ascii="Times New Roman" w:eastAsia="宋体" w:hAnsi="Times New Roman" w:cs="Times New Roman"/>
                <w:szCs w:val="21"/>
              </w:rPr>
              <w:t>包装袋、包装桶、化学原料等</w:t>
            </w:r>
          </w:p>
        </w:tc>
        <w:tc>
          <w:tcPr>
            <w:tcW w:w="659" w:type="pct"/>
            <w:vAlign w:val="center"/>
          </w:tcPr>
          <w:p w14:paraId="750405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HW49</w:t>
            </w:r>
          </w:p>
          <w:p w14:paraId="366325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900-015-1</w:t>
            </w:r>
          </w:p>
        </w:tc>
        <w:tc>
          <w:tcPr>
            <w:tcW w:w="607" w:type="pct"/>
            <w:vAlign w:val="center"/>
          </w:tcPr>
          <w:p w14:paraId="14AF887E"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委托处理</w:t>
            </w:r>
          </w:p>
        </w:tc>
      </w:tr>
      <w:tr w:rsidR="002133E3" w14:paraId="7A9CF101" w14:textId="77777777">
        <w:trPr>
          <w:trHeight w:val="561"/>
          <w:jc w:val="center"/>
        </w:trPr>
        <w:tc>
          <w:tcPr>
            <w:tcW w:w="208" w:type="pct"/>
            <w:tcMar>
              <w:left w:w="28" w:type="dxa"/>
              <w:right w:w="28" w:type="dxa"/>
            </w:tcMar>
            <w:vAlign w:val="center"/>
          </w:tcPr>
          <w:p w14:paraId="7437A2C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606" w:type="pct"/>
            <w:vAlign w:val="center"/>
          </w:tcPr>
          <w:p w14:paraId="156D0956"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生活垃圾</w:t>
            </w:r>
          </w:p>
        </w:tc>
        <w:tc>
          <w:tcPr>
            <w:tcW w:w="607" w:type="pct"/>
            <w:vAlign w:val="center"/>
          </w:tcPr>
          <w:p w14:paraId="130BD5B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一般固废</w:t>
            </w:r>
          </w:p>
        </w:tc>
        <w:tc>
          <w:tcPr>
            <w:tcW w:w="676" w:type="pct"/>
            <w:vAlign w:val="center"/>
          </w:tcPr>
          <w:p w14:paraId="4812FDD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办公、生活</w:t>
            </w:r>
          </w:p>
        </w:tc>
        <w:tc>
          <w:tcPr>
            <w:tcW w:w="331" w:type="pct"/>
            <w:vAlign w:val="center"/>
          </w:tcPr>
          <w:p w14:paraId="1BA1D118" w14:textId="77777777" w:rsidR="002133E3" w:rsidRDefault="00C22CFA">
            <w:pPr>
              <w:pStyle w:val="affff8"/>
              <w:spacing w:line="240" w:lineRule="auto"/>
              <w:rPr>
                <w:bCs w:val="0"/>
                <w:szCs w:val="21"/>
              </w:rPr>
            </w:pPr>
            <w:r>
              <w:rPr>
                <w:kern w:val="0"/>
                <w:szCs w:val="21"/>
              </w:rPr>
              <w:t>固态</w:t>
            </w:r>
          </w:p>
        </w:tc>
        <w:tc>
          <w:tcPr>
            <w:tcW w:w="1306" w:type="pct"/>
            <w:vAlign w:val="center"/>
          </w:tcPr>
          <w:p w14:paraId="29DF35F9" w14:textId="77777777" w:rsidR="002133E3" w:rsidRDefault="00C22CFA">
            <w:pPr>
              <w:adjustRightInd w:val="0"/>
              <w:snapToGrid w:val="0"/>
              <w:jc w:val="center"/>
              <w:textAlignment w:val="center"/>
              <w:rPr>
                <w:rFonts w:ascii="Times New Roman" w:eastAsia="宋体" w:hAnsi="Times New Roman" w:cs="Times New Roman"/>
                <w:szCs w:val="21"/>
              </w:rPr>
            </w:pPr>
            <w:r>
              <w:rPr>
                <w:rFonts w:ascii="Times New Roman" w:eastAsia="宋体" w:hAnsi="Times New Roman" w:cs="Times New Roman"/>
                <w:szCs w:val="21"/>
              </w:rPr>
              <w:t>生活垃圾</w:t>
            </w:r>
          </w:p>
        </w:tc>
        <w:tc>
          <w:tcPr>
            <w:tcW w:w="659" w:type="pct"/>
            <w:vAlign w:val="center"/>
          </w:tcPr>
          <w:p w14:paraId="73266A65" w14:textId="77777777" w:rsidR="002133E3" w:rsidRDefault="00C22CFA">
            <w:pPr>
              <w:jc w:val="center"/>
              <w:rPr>
                <w:rFonts w:ascii="Times New Roman" w:eastAsia="宋体" w:hAnsi="Times New Roman" w:cs="Times New Roman"/>
                <w:szCs w:val="21"/>
                <w:lang w:val="zh-CN"/>
              </w:rPr>
            </w:pPr>
            <w:r>
              <w:rPr>
                <w:rFonts w:ascii="Times New Roman" w:eastAsia="宋体" w:hAnsi="Times New Roman" w:cs="Times New Roman"/>
                <w:szCs w:val="21"/>
                <w:lang w:val="zh-CN"/>
              </w:rPr>
              <w:t>/</w:t>
            </w:r>
          </w:p>
        </w:tc>
        <w:tc>
          <w:tcPr>
            <w:tcW w:w="607" w:type="pct"/>
            <w:vAlign w:val="center"/>
          </w:tcPr>
          <w:p w14:paraId="23CC95D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lang w:val="zh-CN"/>
              </w:rPr>
              <w:t>环卫部门处理</w:t>
            </w:r>
          </w:p>
        </w:tc>
      </w:tr>
    </w:tbl>
    <w:p w14:paraId="71D6B164"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t>建设项目主要环境问题以及</w:t>
      </w:r>
      <w:r>
        <w:rPr>
          <w:rFonts w:ascii="Times New Roman" w:eastAsia="宋体" w:hAnsi="Times New Roman" w:cs="Times New Roman"/>
          <w:b/>
          <w:sz w:val="30"/>
          <w:szCs w:val="30"/>
        </w:rPr>
        <w:t>“</w:t>
      </w:r>
      <w:r>
        <w:rPr>
          <w:rFonts w:ascii="Times New Roman" w:eastAsia="宋体" w:hAnsi="Times New Roman" w:cs="Times New Roman"/>
          <w:b/>
          <w:sz w:val="30"/>
          <w:szCs w:val="30"/>
        </w:rPr>
        <w:t>以新带老</w:t>
      </w:r>
      <w:r>
        <w:rPr>
          <w:rFonts w:ascii="Times New Roman" w:eastAsia="宋体" w:hAnsi="Times New Roman" w:cs="Times New Roman"/>
          <w:b/>
          <w:sz w:val="30"/>
          <w:szCs w:val="30"/>
        </w:rPr>
        <w:t>”</w:t>
      </w:r>
      <w:r>
        <w:rPr>
          <w:rFonts w:ascii="Times New Roman" w:eastAsia="宋体" w:hAnsi="Times New Roman" w:cs="Times New Roman"/>
          <w:b/>
          <w:sz w:val="30"/>
          <w:szCs w:val="30"/>
        </w:rPr>
        <w:t>内容</w:t>
      </w:r>
      <w:bookmarkEnd w:id="27"/>
    </w:p>
    <w:p w14:paraId="5460373F"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现有项目存在的主要环境问题及拟建项目采取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以新带老</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整改措施见表</w:t>
      </w:r>
      <w:r>
        <w:rPr>
          <w:rFonts w:ascii="Times New Roman" w:eastAsia="宋体" w:hAnsi="Times New Roman" w:cs="Times New Roman"/>
          <w:kern w:val="0"/>
          <w:sz w:val="28"/>
          <w:szCs w:val="28"/>
        </w:rPr>
        <w:t>3.4-1</w:t>
      </w:r>
      <w:r>
        <w:rPr>
          <w:rFonts w:ascii="Times New Roman" w:eastAsia="宋体" w:hAnsi="Times New Roman" w:cs="Times New Roman"/>
          <w:kern w:val="0"/>
          <w:sz w:val="28"/>
          <w:szCs w:val="28"/>
        </w:rPr>
        <w:t>。</w:t>
      </w:r>
    </w:p>
    <w:p w14:paraId="0A3457B6" w14:textId="77777777" w:rsidR="002133E3" w:rsidRDefault="002133E3">
      <w:pPr>
        <w:spacing w:line="440" w:lineRule="exact"/>
        <w:jc w:val="center"/>
        <w:rPr>
          <w:rFonts w:ascii="Times New Roman" w:eastAsia="宋体" w:hAnsi="Times New Roman" w:cs="Times New Roman"/>
          <w:b/>
          <w:bCs/>
          <w:sz w:val="24"/>
          <w:szCs w:val="20"/>
        </w:rPr>
      </w:pPr>
    </w:p>
    <w:p w14:paraId="1515A335" w14:textId="77777777" w:rsidR="002133E3" w:rsidRDefault="002133E3">
      <w:pPr>
        <w:spacing w:line="440" w:lineRule="exact"/>
        <w:jc w:val="center"/>
        <w:rPr>
          <w:rFonts w:ascii="Times New Roman" w:eastAsia="宋体" w:hAnsi="Times New Roman" w:cs="Times New Roman"/>
          <w:b/>
          <w:bCs/>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4394"/>
        <w:gridCol w:w="4246"/>
      </w:tblGrid>
      <w:tr w:rsidR="002133E3" w14:paraId="313FD3BF" w14:textId="77777777">
        <w:trPr>
          <w:jc w:val="center"/>
        </w:trPr>
        <w:tc>
          <w:tcPr>
            <w:tcW w:w="817" w:type="dxa"/>
            <w:vAlign w:val="center"/>
          </w:tcPr>
          <w:p w14:paraId="7A22E3AB"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4394" w:type="dxa"/>
            <w:vAlign w:val="center"/>
          </w:tcPr>
          <w:p w14:paraId="278518E6"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现存主要环境问题</w:t>
            </w:r>
          </w:p>
        </w:tc>
        <w:tc>
          <w:tcPr>
            <w:tcW w:w="4246" w:type="dxa"/>
            <w:vAlign w:val="center"/>
          </w:tcPr>
          <w:p w14:paraId="3818FA1C"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整改措施</w:t>
            </w:r>
          </w:p>
        </w:tc>
      </w:tr>
      <w:tr w:rsidR="002133E3" w14:paraId="05988299" w14:textId="77777777">
        <w:trPr>
          <w:jc w:val="center"/>
        </w:trPr>
        <w:tc>
          <w:tcPr>
            <w:tcW w:w="817" w:type="dxa"/>
            <w:vAlign w:val="center"/>
          </w:tcPr>
          <w:p w14:paraId="78AB1C7A" w14:textId="77777777" w:rsidR="002133E3" w:rsidRDefault="00C22CFA">
            <w:pPr>
              <w:widowControl/>
              <w:snapToGrid w:val="0"/>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1</w:t>
            </w:r>
          </w:p>
        </w:tc>
        <w:tc>
          <w:tcPr>
            <w:tcW w:w="4394" w:type="dxa"/>
            <w:vAlign w:val="center"/>
          </w:tcPr>
          <w:p w14:paraId="5770693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企业周边居民搬迁进度较慢</w:t>
            </w:r>
          </w:p>
        </w:tc>
        <w:tc>
          <w:tcPr>
            <w:tcW w:w="4246" w:type="dxa"/>
            <w:vAlign w:val="center"/>
          </w:tcPr>
          <w:p w14:paraId="0E80FDE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督促区政府推动搬迁工作</w:t>
            </w:r>
          </w:p>
        </w:tc>
      </w:tr>
      <w:tr w:rsidR="002133E3" w14:paraId="4CDBF202" w14:textId="77777777">
        <w:trPr>
          <w:jc w:val="center"/>
        </w:trPr>
        <w:tc>
          <w:tcPr>
            <w:tcW w:w="817" w:type="dxa"/>
            <w:vAlign w:val="center"/>
          </w:tcPr>
          <w:p w14:paraId="46D6E399" w14:textId="77777777" w:rsidR="002133E3" w:rsidRDefault="00C22CFA">
            <w:pPr>
              <w:widowControl/>
              <w:snapToGrid w:val="0"/>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2</w:t>
            </w:r>
          </w:p>
        </w:tc>
        <w:tc>
          <w:tcPr>
            <w:tcW w:w="4394" w:type="dxa"/>
            <w:vAlign w:val="center"/>
          </w:tcPr>
          <w:p w14:paraId="3CE6516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酒精生产线发酵、冷凝废气直接排放</w:t>
            </w:r>
          </w:p>
        </w:tc>
        <w:tc>
          <w:tcPr>
            <w:tcW w:w="4246" w:type="dxa"/>
            <w:vAlign w:val="center"/>
          </w:tcPr>
          <w:p w14:paraId="6ACCC62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该部分废气收集处理</w:t>
            </w:r>
          </w:p>
        </w:tc>
      </w:tr>
    </w:tbl>
    <w:p w14:paraId="2CE01729" w14:textId="77777777" w:rsidR="002133E3" w:rsidRDefault="002133E3">
      <w:pPr>
        <w:spacing w:line="440" w:lineRule="exact"/>
        <w:jc w:val="center"/>
        <w:rPr>
          <w:rFonts w:ascii="Times New Roman" w:eastAsia="宋体" w:hAnsi="Times New Roman" w:cs="Times New Roman"/>
          <w:b/>
          <w:bCs/>
          <w:sz w:val="24"/>
          <w:szCs w:val="20"/>
        </w:rPr>
        <w:sectPr w:rsidR="002133E3">
          <w:pgSz w:w="11906" w:h="16838"/>
          <w:pgMar w:top="1134" w:right="1134" w:bottom="1134" w:left="1134" w:header="850" w:footer="992" w:gutter="0"/>
          <w:cols w:space="720"/>
          <w:docGrid w:linePitch="312"/>
        </w:sectPr>
      </w:pPr>
    </w:p>
    <w:p w14:paraId="2BE550F8" w14:textId="77777777" w:rsidR="002133E3" w:rsidRDefault="00C22CFA">
      <w:pPr>
        <w:spacing w:line="44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lastRenderedPageBreak/>
        <w:t>表</w:t>
      </w:r>
      <w:r>
        <w:rPr>
          <w:rFonts w:ascii="Times New Roman" w:eastAsia="宋体" w:hAnsi="Times New Roman" w:cs="Times New Roman"/>
          <w:b/>
          <w:bCs/>
          <w:sz w:val="24"/>
          <w:szCs w:val="20"/>
        </w:rPr>
        <w:t xml:space="preserve">3.4-1  </w:t>
      </w:r>
      <w:r>
        <w:rPr>
          <w:rFonts w:ascii="Times New Roman" w:eastAsia="宋体" w:hAnsi="Times New Roman" w:cs="Times New Roman"/>
          <w:b/>
          <w:bCs/>
          <w:sz w:val="24"/>
          <w:szCs w:val="20"/>
        </w:rPr>
        <w:t>现存主要环境问题及拟建项目</w:t>
      </w:r>
      <w:r>
        <w:rPr>
          <w:rFonts w:ascii="Times New Roman" w:eastAsia="宋体" w:hAnsi="Times New Roman" w:cs="Times New Roman"/>
          <w:b/>
          <w:bCs/>
          <w:sz w:val="24"/>
          <w:szCs w:val="20"/>
        </w:rPr>
        <w:t>“</w:t>
      </w:r>
      <w:r>
        <w:rPr>
          <w:rFonts w:ascii="Times New Roman" w:eastAsia="宋体" w:hAnsi="Times New Roman" w:cs="Times New Roman"/>
          <w:b/>
          <w:bCs/>
          <w:sz w:val="24"/>
          <w:szCs w:val="20"/>
        </w:rPr>
        <w:t>以新带老</w:t>
      </w:r>
      <w:r>
        <w:rPr>
          <w:rFonts w:ascii="Times New Roman" w:eastAsia="宋体" w:hAnsi="Times New Roman" w:cs="Times New Roman"/>
          <w:b/>
          <w:bCs/>
          <w:sz w:val="24"/>
          <w:szCs w:val="20"/>
        </w:rPr>
        <w:t>”</w:t>
      </w:r>
      <w:r>
        <w:rPr>
          <w:rFonts w:ascii="Times New Roman" w:eastAsia="宋体" w:hAnsi="Times New Roman" w:cs="Times New Roman"/>
          <w:b/>
          <w:bCs/>
          <w:sz w:val="24"/>
          <w:szCs w:val="20"/>
        </w:rPr>
        <w:t>整改措施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4820"/>
        <w:gridCol w:w="2126"/>
        <w:gridCol w:w="6314"/>
      </w:tblGrid>
      <w:tr w:rsidR="002133E3" w14:paraId="11A18400" w14:textId="77777777">
        <w:trPr>
          <w:trHeight w:val="284"/>
          <w:jc w:val="center"/>
        </w:trPr>
        <w:tc>
          <w:tcPr>
            <w:tcW w:w="516" w:type="pct"/>
            <w:vAlign w:val="center"/>
          </w:tcPr>
          <w:p w14:paraId="1760021A" w14:textId="77777777" w:rsidR="002133E3" w:rsidRDefault="00C22CFA">
            <w:pPr>
              <w:jc w:val="center"/>
              <w:rPr>
                <w:rFonts w:ascii="Times New Roman" w:eastAsia="宋体" w:hAnsi="Times New Roman" w:cs="Times New Roman"/>
                <w:b/>
                <w:bCs/>
                <w:kern w:val="0"/>
              </w:rPr>
            </w:pPr>
            <w:r>
              <w:rPr>
                <w:rFonts w:ascii="Times New Roman" w:eastAsia="宋体" w:hAnsi="Times New Roman" w:cs="Times New Roman"/>
                <w:b/>
                <w:bCs/>
                <w:kern w:val="0"/>
              </w:rPr>
              <w:t>所在单元</w:t>
            </w:r>
          </w:p>
        </w:tc>
        <w:tc>
          <w:tcPr>
            <w:tcW w:w="1630" w:type="pct"/>
            <w:vAlign w:val="center"/>
          </w:tcPr>
          <w:p w14:paraId="593D6846" w14:textId="77777777" w:rsidR="002133E3" w:rsidRDefault="00C22CFA">
            <w:pPr>
              <w:jc w:val="center"/>
              <w:rPr>
                <w:rFonts w:ascii="Times New Roman" w:eastAsia="宋体" w:hAnsi="Times New Roman" w:cs="Times New Roman"/>
                <w:b/>
                <w:bCs/>
                <w:kern w:val="0"/>
              </w:rPr>
            </w:pPr>
            <w:r>
              <w:rPr>
                <w:rFonts w:ascii="Times New Roman" w:eastAsia="宋体" w:hAnsi="Times New Roman" w:cs="Times New Roman"/>
                <w:b/>
                <w:bCs/>
                <w:kern w:val="0"/>
              </w:rPr>
              <w:t>现状</w:t>
            </w:r>
          </w:p>
        </w:tc>
        <w:tc>
          <w:tcPr>
            <w:tcW w:w="719" w:type="pct"/>
            <w:vAlign w:val="center"/>
          </w:tcPr>
          <w:p w14:paraId="23D6348D" w14:textId="77777777" w:rsidR="002133E3" w:rsidRDefault="00C22CFA">
            <w:pPr>
              <w:jc w:val="center"/>
              <w:rPr>
                <w:rFonts w:ascii="Times New Roman" w:eastAsia="宋体" w:hAnsi="Times New Roman" w:cs="Times New Roman"/>
                <w:b/>
                <w:bCs/>
                <w:kern w:val="0"/>
              </w:rPr>
            </w:pPr>
            <w:r>
              <w:rPr>
                <w:rFonts w:ascii="Times New Roman" w:eastAsia="宋体" w:hAnsi="Times New Roman" w:cs="Times New Roman"/>
                <w:b/>
                <w:bCs/>
                <w:kern w:val="0"/>
              </w:rPr>
              <w:t>存在问题</w:t>
            </w:r>
          </w:p>
        </w:tc>
        <w:tc>
          <w:tcPr>
            <w:tcW w:w="2135" w:type="pct"/>
            <w:vAlign w:val="center"/>
          </w:tcPr>
          <w:p w14:paraId="6BAAC702" w14:textId="77777777" w:rsidR="002133E3" w:rsidRDefault="00C22CFA">
            <w:pPr>
              <w:jc w:val="center"/>
              <w:rPr>
                <w:rFonts w:ascii="Times New Roman" w:eastAsia="宋体" w:hAnsi="Times New Roman" w:cs="Times New Roman"/>
                <w:b/>
                <w:bCs/>
                <w:kern w:val="0"/>
              </w:rPr>
            </w:pPr>
            <w:r>
              <w:rPr>
                <w:rFonts w:ascii="Times New Roman" w:eastAsia="宋体" w:hAnsi="Times New Roman" w:cs="Times New Roman"/>
                <w:b/>
                <w:bCs/>
                <w:kern w:val="0"/>
              </w:rPr>
              <w:t>拟采取的措施</w:t>
            </w:r>
          </w:p>
        </w:tc>
      </w:tr>
      <w:tr w:rsidR="002133E3" w14:paraId="59ABB698" w14:textId="77777777">
        <w:trPr>
          <w:trHeight w:val="284"/>
          <w:jc w:val="center"/>
        </w:trPr>
        <w:tc>
          <w:tcPr>
            <w:tcW w:w="516" w:type="pct"/>
            <w:vMerge w:val="restart"/>
            <w:vAlign w:val="center"/>
          </w:tcPr>
          <w:p w14:paraId="7C51B99B" w14:textId="77777777" w:rsidR="002133E3" w:rsidRDefault="00C22CFA">
            <w:pPr>
              <w:jc w:val="center"/>
              <w:rPr>
                <w:rFonts w:ascii="Times New Roman" w:eastAsia="宋体" w:hAnsi="Times New Roman" w:cs="Times New Roman"/>
                <w:kern w:val="0"/>
              </w:rPr>
            </w:pPr>
            <w:r>
              <w:rPr>
                <w:rFonts w:ascii="Times New Roman" w:eastAsia="宋体" w:hAnsi="Times New Roman" w:cs="Times New Roman"/>
                <w:kern w:val="0"/>
              </w:rPr>
              <w:t>乙醛装置区及中间罐区</w:t>
            </w:r>
          </w:p>
        </w:tc>
        <w:tc>
          <w:tcPr>
            <w:tcW w:w="1630" w:type="pct"/>
            <w:vAlign w:val="center"/>
          </w:tcPr>
          <w:p w14:paraId="664A65B1"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乙醇罐安装了呼吸阀</w:t>
            </w:r>
            <w:r>
              <w:rPr>
                <w:rFonts w:ascii="Times New Roman" w:eastAsia="宋体" w:hAnsi="Times New Roman" w:cs="Times New Roman" w:hint="eastAsia"/>
                <w:kern w:val="0"/>
              </w:rPr>
              <w:t>；</w:t>
            </w:r>
            <w:r>
              <w:rPr>
                <w:rFonts w:ascii="Times New Roman" w:eastAsia="宋体" w:hAnsi="Times New Roman" w:cs="Times New Roman"/>
                <w:kern w:val="0"/>
              </w:rPr>
              <w:t>乙醛罐为压力罐</w:t>
            </w:r>
          </w:p>
        </w:tc>
        <w:tc>
          <w:tcPr>
            <w:tcW w:w="719" w:type="pct"/>
            <w:vAlign w:val="center"/>
          </w:tcPr>
          <w:p w14:paraId="4F2C3734"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废气未收集处理</w:t>
            </w:r>
          </w:p>
        </w:tc>
        <w:tc>
          <w:tcPr>
            <w:tcW w:w="2135" w:type="pct"/>
            <w:vAlign w:val="center"/>
          </w:tcPr>
          <w:p w14:paraId="6E4EA20D"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采用喇叭口的方式罩住乙醇罐呼吸阀</w:t>
            </w:r>
            <w:r>
              <w:rPr>
                <w:rFonts w:ascii="Times New Roman" w:eastAsia="宋体" w:hAnsi="Times New Roman" w:cs="Times New Roman" w:hint="eastAsia"/>
                <w:kern w:val="0"/>
              </w:rPr>
              <w:t>，</w:t>
            </w:r>
            <w:r>
              <w:rPr>
                <w:rFonts w:ascii="Times New Roman" w:eastAsia="宋体" w:hAnsi="Times New Roman" w:cs="Times New Roman"/>
                <w:kern w:val="0"/>
              </w:rPr>
              <w:t>并入</w:t>
            </w:r>
            <w:r>
              <w:rPr>
                <w:rFonts w:ascii="Times New Roman" w:eastAsia="宋体" w:hAnsi="Times New Roman" w:cs="Times New Roman"/>
                <w:kern w:val="0"/>
              </w:rPr>
              <w:t>10</w:t>
            </w:r>
            <w:r>
              <w:rPr>
                <w:rFonts w:ascii="Times New Roman" w:eastAsia="宋体" w:hAnsi="Times New Roman" w:cs="Times New Roman"/>
                <w:kern w:val="0"/>
              </w:rPr>
              <w:t>万吨乙醇项目的</w:t>
            </w:r>
            <w:r>
              <w:rPr>
                <w:rFonts w:ascii="Times New Roman" w:eastAsia="宋体" w:hAnsi="Times New Roman" w:cs="Times New Roman"/>
                <w:kern w:val="0"/>
              </w:rPr>
              <w:t>“</w:t>
            </w:r>
            <w:r>
              <w:rPr>
                <w:rFonts w:ascii="Times New Roman" w:eastAsia="宋体" w:hAnsi="Times New Roman" w:cs="Times New Roman"/>
                <w:kern w:val="0"/>
              </w:rPr>
              <w:t>二级碱吸收</w:t>
            </w:r>
            <w:r>
              <w:rPr>
                <w:rFonts w:ascii="Times New Roman" w:eastAsia="宋体" w:hAnsi="Times New Roman" w:cs="Times New Roman"/>
                <w:kern w:val="0"/>
              </w:rPr>
              <w:t>”</w:t>
            </w:r>
            <w:r>
              <w:rPr>
                <w:rFonts w:ascii="Times New Roman" w:eastAsia="宋体" w:hAnsi="Times New Roman" w:cs="Times New Roman"/>
                <w:kern w:val="0"/>
              </w:rPr>
              <w:t>装置处理后达标排放。</w:t>
            </w:r>
          </w:p>
        </w:tc>
      </w:tr>
      <w:tr w:rsidR="002133E3" w14:paraId="4193ADAA" w14:textId="77777777">
        <w:trPr>
          <w:trHeight w:val="284"/>
          <w:jc w:val="center"/>
        </w:trPr>
        <w:tc>
          <w:tcPr>
            <w:tcW w:w="516" w:type="pct"/>
            <w:vMerge/>
            <w:vAlign w:val="center"/>
          </w:tcPr>
          <w:p w14:paraId="2B88D863" w14:textId="77777777" w:rsidR="002133E3" w:rsidRDefault="002133E3">
            <w:pPr>
              <w:jc w:val="center"/>
              <w:rPr>
                <w:rFonts w:ascii="Times New Roman" w:eastAsia="宋体" w:hAnsi="Times New Roman" w:cs="Times New Roman"/>
                <w:kern w:val="0"/>
              </w:rPr>
            </w:pPr>
          </w:p>
        </w:tc>
        <w:tc>
          <w:tcPr>
            <w:tcW w:w="1630" w:type="pct"/>
            <w:vAlign w:val="center"/>
          </w:tcPr>
          <w:p w14:paraId="3BE20869" w14:textId="77777777" w:rsidR="002133E3" w:rsidRDefault="00C22CFA">
            <w:pPr>
              <w:rPr>
                <w:rFonts w:ascii="Times New Roman" w:eastAsia="宋体" w:hAnsi="Times New Roman" w:cs="Times New Roman"/>
                <w:color w:val="FF0000"/>
                <w:kern w:val="0"/>
              </w:rPr>
            </w:pPr>
            <w:r>
              <w:rPr>
                <w:rFonts w:ascii="Times New Roman" w:eastAsia="宋体" w:hAnsi="Times New Roman" w:cs="Times New Roman"/>
                <w:color w:val="FF0000"/>
                <w:kern w:val="0"/>
              </w:rPr>
              <w:t>生产装置区已建有乙醛吸收塔</w:t>
            </w:r>
          </w:p>
        </w:tc>
        <w:tc>
          <w:tcPr>
            <w:tcW w:w="719" w:type="pct"/>
            <w:vAlign w:val="center"/>
          </w:tcPr>
          <w:p w14:paraId="696971B1" w14:textId="77777777" w:rsidR="002133E3" w:rsidRDefault="002133E3">
            <w:pPr>
              <w:rPr>
                <w:rFonts w:ascii="Times New Roman" w:eastAsia="宋体" w:hAnsi="Times New Roman" w:cs="Times New Roman"/>
                <w:color w:val="FF0000"/>
                <w:kern w:val="0"/>
              </w:rPr>
            </w:pPr>
          </w:p>
        </w:tc>
        <w:tc>
          <w:tcPr>
            <w:tcW w:w="2135" w:type="pct"/>
            <w:vAlign w:val="center"/>
          </w:tcPr>
          <w:p w14:paraId="0D3B936E" w14:textId="77777777" w:rsidR="002133E3" w:rsidRDefault="00C22CFA">
            <w:pPr>
              <w:rPr>
                <w:rFonts w:ascii="Times New Roman" w:eastAsia="宋体" w:hAnsi="Times New Roman" w:cs="Times New Roman"/>
                <w:color w:val="FF0000"/>
                <w:kern w:val="0"/>
              </w:rPr>
            </w:pPr>
            <w:r>
              <w:rPr>
                <w:rFonts w:ascii="Times New Roman" w:eastAsia="宋体" w:hAnsi="Times New Roman" w:cs="Times New Roman"/>
                <w:color w:val="FF0000"/>
                <w:kern w:val="0"/>
              </w:rPr>
              <w:t>拟采用焚烧措施</w:t>
            </w:r>
          </w:p>
        </w:tc>
      </w:tr>
      <w:tr w:rsidR="002133E3" w14:paraId="516D7FB0" w14:textId="77777777">
        <w:trPr>
          <w:trHeight w:val="284"/>
          <w:jc w:val="center"/>
        </w:trPr>
        <w:tc>
          <w:tcPr>
            <w:tcW w:w="516" w:type="pct"/>
            <w:vMerge w:val="restart"/>
            <w:vAlign w:val="center"/>
          </w:tcPr>
          <w:p w14:paraId="597A3044" w14:textId="77777777" w:rsidR="002133E3" w:rsidRDefault="00C22CFA">
            <w:pPr>
              <w:jc w:val="center"/>
              <w:rPr>
                <w:rFonts w:ascii="Times New Roman" w:eastAsia="宋体" w:hAnsi="Times New Roman" w:cs="Times New Roman"/>
                <w:kern w:val="0"/>
              </w:rPr>
            </w:pPr>
            <w:r>
              <w:rPr>
                <w:rFonts w:ascii="Times New Roman" w:eastAsia="宋体" w:hAnsi="Times New Roman" w:cs="Times New Roman"/>
                <w:kern w:val="0"/>
              </w:rPr>
              <w:t>乙酸乙酯南北生产装置及中间罐区</w:t>
            </w:r>
          </w:p>
        </w:tc>
        <w:tc>
          <w:tcPr>
            <w:tcW w:w="1630" w:type="pct"/>
            <w:vAlign w:val="center"/>
          </w:tcPr>
          <w:p w14:paraId="3F9A94EB"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罐区乙醇中间罐安装了呼吸阀。</w:t>
            </w:r>
          </w:p>
        </w:tc>
        <w:tc>
          <w:tcPr>
            <w:tcW w:w="719" w:type="pct"/>
            <w:vAlign w:val="center"/>
          </w:tcPr>
          <w:p w14:paraId="284FCAA6"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废气未收集处理</w:t>
            </w:r>
          </w:p>
        </w:tc>
        <w:tc>
          <w:tcPr>
            <w:tcW w:w="2135" w:type="pct"/>
            <w:vMerge w:val="restart"/>
            <w:vAlign w:val="center"/>
          </w:tcPr>
          <w:p w14:paraId="181DFC87"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呼吸阀出气口连接至废气收集管道。生产装置区废气排口连接至废气收集管道。管道收集连接至</w:t>
            </w:r>
            <w:r>
              <w:rPr>
                <w:rFonts w:ascii="Times New Roman" w:eastAsia="宋体" w:hAnsi="Times New Roman" w:cs="Times New Roman"/>
                <w:kern w:val="0"/>
              </w:rPr>
              <w:t>“</w:t>
            </w:r>
            <w:r>
              <w:rPr>
                <w:rFonts w:ascii="Times New Roman" w:eastAsia="宋体" w:hAnsi="Times New Roman" w:cs="Times New Roman"/>
                <w:kern w:val="0"/>
              </w:rPr>
              <w:t>冷凝</w:t>
            </w:r>
            <w:r>
              <w:rPr>
                <w:rFonts w:ascii="Times New Roman" w:eastAsia="宋体" w:hAnsi="Times New Roman" w:cs="Times New Roman"/>
                <w:kern w:val="0"/>
              </w:rPr>
              <w:t>+</w:t>
            </w:r>
            <w:r>
              <w:rPr>
                <w:rFonts w:ascii="Times New Roman" w:eastAsia="宋体" w:hAnsi="Times New Roman" w:cs="Times New Roman"/>
                <w:kern w:val="0"/>
              </w:rPr>
              <w:t>二级碱破吸收</w:t>
            </w:r>
            <w:r>
              <w:rPr>
                <w:rFonts w:ascii="Times New Roman" w:eastAsia="宋体" w:hAnsi="Times New Roman" w:cs="Times New Roman"/>
                <w:kern w:val="0"/>
              </w:rPr>
              <w:t>+</w:t>
            </w:r>
            <w:r>
              <w:rPr>
                <w:rFonts w:ascii="Times New Roman" w:eastAsia="宋体" w:hAnsi="Times New Roman" w:cs="Times New Roman"/>
                <w:kern w:val="0"/>
              </w:rPr>
              <w:t>活性炭吸附脱附</w:t>
            </w:r>
            <w:r>
              <w:rPr>
                <w:rFonts w:ascii="Times New Roman" w:eastAsia="宋体" w:hAnsi="Times New Roman" w:cs="Times New Roman"/>
                <w:kern w:val="0"/>
              </w:rPr>
              <w:t>”</w:t>
            </w:r>
            <w:r>
              <w:rPr>
                <w:rFonts w:ascii="Times New Roman" w:eastAsia="宋体" w:hAnsi="Times New Roman" w:cs="Times New Roman"/>
                <w:kern w:val="0"/>
              </w:rPr>
              <w:t>装置，排气口安装</w:t>
            </w:r>
            <w:r>
              <w:rPr>
                <w:rFonts w:ascii="Times New Roman" w:eastAsia="宋体" w:hAnsi="Times New Roman" w:cs="Times New Roman"/>
                <w:kern w:val="0"/>
              </w:rPr>
              <w:t xml:space="preserve"> VOCs </w:t>
            </w:r>
            <w:r>
              <w:rPr>
                <w:rFonts w:ascii="Times New Roman" w:eastAsia="宋体" w:hAnsi="Times New Roman" w:cs="Times New Roman"/>
                <w:kern w:val="0"/>
              </w:rPr>
              <w:t>在线装置。</w:t>
            </w:r>
          </w:p>
        </w:tc>
      </w:tr>
      <w:tr w:rsidR="002133E3" w14:paraId="1132EA76" w14:textId="77777777">
        <w:trPr>
          <w:trHeight w:val="284"/>
          <w:jc w:val="center"/>
        </w:trPr>
        <w:tc>
          <w:tcPr>
            <w:tcW w:w="516" w:type="pct"/>
            <w:vMerge/>
            <w:vAlign w:val="center"/>
          </w:tcPr>
          <w:p w14:paraId="70C86910" w14:textId="77777777" w:rsidR="002133E3" w:rsidRDefault="002133E3">
            <w:pPr>
              <w:jc w:val="center"/>
              <w:rPr>
                <w:rFonts w:ascii="Times New Roman" w:eastAsia="宋体" w:hAnsi="Times New Roman" w:cs="Times New Roman"/>
                <w:kern w:val="0"/>
              </w:rPr>
            </w:pPr>
          </w:p>
        </w:tc>
        <w:tc>
          <w:tcPr>
            <w:tcW w:w="1630" w:type="pct"/>
            <w:vAlign w:val="center"/>
          </w:tcPr>
          <w:p w14:paraId="53737AC1"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北生产装置区有</w:t>
            </w:r>
            <w:r>
              <w:rPr>
                <w:rFonts w:ascii="Times New Roman" w:eastAsia="宋体" w:hAnsi="Times New Roman" w:cs="Times New Roman"/>
                <w:kern w:val="0"/>
              </w:rPr>
              <w:t>6</w:t>
            </w:r>
            <w:r>
              <w:rPr>
                <w:rFonts w:ascii="Times New Roman" w:eastAsia="宋体" w:hAnsi="Times New Roman" w:cs="Times New Roman"/>
                <w:kern w:val="0"/>
              </w:rPr>
              <w:t>个排气口，均为直接排放；南生产装置区有</w:t>
            </w:r>
            <w:r>
              <w:rPr>
                <w:rFonts w:ascii="Times New Roman" w:eastAsia="宋体" w:hAnsi="Times New Roman" w:cs="Times New Roman"/>
                <w:kern w:val="0"/>
              </w:rPr>
              <w:t>9</w:t>
            </w:r>
            <w:r>
              <w:rPr>
                <w:rFonts w:ascii="Times New Roman" w:eastAsia="宋体" w:hAnsi="Times New Roman" w:cs="Times New Roman"/>
                <w:kern w:val="0"/>
              </w:rPr>
              <w:t>个排气口，均为直接排放；</w:t>
            </w:r>
          </w:p>
        </w:tc>
        <w:tc>
          <w:tcPr>
            <w:tcW w:w="719" w:type="pct"/>
            <w:vAlign w:val="center"/>
          </w:tcPr>
          <w:p w14:paraId="10392657"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均为无组织排放</w:t>
            </w:r>
          </w:p>
        </w:tc>
        <w:tc>
          <w:tcPr>
            <w:tcW w:w="2135" w:type="pct"/>
            <w:vMerge/>
            <w:vAlign w:val="center"/>
          </w:tcPr>
          <w:p w14:paraId="7B80A47B" w14:textId="77777777" w:rsidR="002133E3" w:rsidRDefault="002133E3">
            <w:pPr>
              <w:ind w:firstLineChars="150" w:firstLine="315"/>
              <w:rPr>
                <w:rFonts w:ascii="Times New Roman" w:eastAsia="宋体" w:hAnsi="Times New Roman" w:cs="Times New Roman"/>
                <w:kern w:val="0"/>
              </w:rPr>
            </w:pPr>
          </w:p>
        </w:tc>
      </w:tr>
      <w:tr w:rsidR="002133E3" w14:paraId="2D65F907" w14:textId="77777777">
        <w:trPr>
          <w:trHeight w:val="284"/>
          <w:jc w:val="center"/>
        </w:trPr>
        <w:tc>
          <w:tcPr>
            <w:tcW w:w="516" w:type="pct"/>
            <w:vMerge w:val="restart"/>
            <w:vAlign w:val="center"/>
          </w:tcPr>
          <w:p w14:paraId="69597A5F" w14:textId="77777777" w:rsidR="002133E3" w:rsidRDefault="00C22CFA">
            <w:pPr>
              <w:jc w:val="center"/>
              <w:rPr>
                <w:rFonts w:ascii="Times New Roman" w:eastAsia="宋体" w:hAnsi="Times New Roman" w:cs="Times New Roman"/>
                <w:kern w:val="0"/>
              </w:rPr>
            </w:pPr>
            <w:r>
              <w:rPr>
                <w:rFonts w:ascii="Times New Roman" w:eastAsia="宋体" w:hAnsi="Times New Roman" w:cs="Times New Roman"/>
                <w:kern w:val="0"/>
              </w:rPr>
              <w:t>10</w:t>
            </w:r>
            <w:r>
              <w:rPr>
                <w:rFonts w:ascii="Times New Roman" w:eastAsia="宋体" w:hAnsi="Times New Roman" w:cs="Times New Roman"/>
                <w:kern w:val="0"/>
              </w:rPr>
              <w:t>万吨乙醇装置区及中间罐区</w:t>
            </w:r>
          </w:p>
        </w:tc>
        <w:tc>
          <w:tcPr>
            <w:tcW w:w="1630" w:type="pct"/>
            <w:vAlign w:val="center"/>
          </w:tcPr>
          <w:p w14:paraId="28B86F9F"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罐区乙醇中间罐安装了呼吸阀。</w:t>
            </w:r>
          </w:p>
        </w:tc>
        <w:tc>
          <w:tcPr>
            <w:tcW w:w="719" w:type="pct"/>
            <w:vAlign w:val="center"/>
          </w:tcPr>
          <w:p w14:paraId="469EE9D3"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废气未收集处理</w:t>
            </w:r>
          </w:p>
        </w:tc>
        <w:tc>
          <w:tcPr>
            <w:tcW w:w="2135" w:type="pct"/>
            <w:vAlign w:val="center"/>
          </w:tcPr>
          <w:p w14:paraId="597D0CEE"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采用喇叭口的方式罩住呼吸阀，但和罐体留有一定的缝隙。两个罐区的废气收集后和生产工艺废气合并处理。</w:t>
            </w:r>
          </w:p>
        </w:tc>
      </w:tr>
      <w:tr w:rsidR="002133E3" w14:paraId="0A8D676B" w14:textId="77777777">
        <w:trPr>
          <w:trHeight w:val="284"/>
          <w:jc w:val="center"/>
        </w:trPr>
        <w:tc>
          <w:tcPr>
            <w:tcW w:w="516" w:type="pct"/>
            <w:vMerge/>
            <w:vAlign w:val="center"/>
          </w:tcPr>
          <w:p w14:paraId="3C0F50F8" w14:textId="77777777" w:rsidR="002133E3" w:rsidRDefault="002133E3">
            <w:pPr>
              <w:jc w:val="center"/>
              <w:rPr>
                <w:rFonts w:ascii="Times New Roman" w:eastAsia="宋体" w:hAnsi="Times New Roman" w:cs="Times New Roman"/>
                <w:kern w:val="0"/>
              </w:rPr>
            </w:pPr>
          </w:p>
        </w:tc>
        <w:tc>
          <w:tcPr>
            <w:tcW w:w="1630" w:type="pct"/>
            <w:vAlign w:val="center"/>
          </w:tcPr>
          <w:p w14:paraId="32A20240" w14:textId="77777777" w:rsidR="002133E3" w:rsidRDefault="00C22CFA">
            <w:pPr>
              <w:rPr>
                <w:rFonts w:ascii="Times New Roman" w:eastAsia="宋体" w:hAnsi="Times New Roman" w:cs="Times New Roman"/>
                <w:kern w:val="0"/>
              </w:rPr>
            </w:pPr>
            <w:r>
              <w:rPr>
                <w:rFonts w:ascii="Times New Roman" w:eastAsia="宋体" w:hAnsi="Times New Roman" w:cs="Times New Roman" w:hint="eastAsia"/>
                <w:kern w:val="0"/>
              </w:rPr>
              <w:t>发酵废气直排</w:t>
            </w:r>
          </w:p>
        </w:tc>
        <w:tc>
          <w:tcPr>
            <w:tcW w:w="719" w:type="pct"/>
            <w:vAlign w:val="center"/>
          </w:tcPr>
          <w:p w14:paraId="0C3D2805"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无组织排放</w:t>
            </w:r>
          </w:p>
        </w:tc>
        <w:tc>
          <w:tcPr>
            <w:tcW w:w="2135" w:type="pct"/>
            <w:vAlign w:val="center"/>
          </w:tcPr>
          <w:p w14:paraId="21350855"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管道收集连接至</w:t>
            </w:r>
            <w:r>
              <w:rPr>
                <w:rFonts w:ascii="Times New Roman" w:eastAsia="宋体" w:hAnsi="Times New Roman" w:cs="Times New Roman"/>
                <w:kern w:val="0"/>
              </w:rPr>
              <w:t>“</w:t>
            </w:r>
            <w:r>
              <w:rPr>
                <w:rFonts w:ascii="Times New Roman" w:eastAsia="宋体" w:hAnsi="Times New Roman" w:cs="Times New Roman" w:hint="eastAsia"/>
                <w:kern w:val="0"/>
              </w:rPr>
              <w:t>一</w:t>
            </w:r>
            <w:r>
              <w:rPr>
                <w:rFonts w:ascii="Times New Roman" w:eastAsia="宋体" w:hAnsi="Times New Roman" w:cs="Times New Roman"/>
                <w:kern w:val="0"/>
              </w:rPr>
              <w:t>级水吸收</w:t>
            </w:r>
            <w:r>
              <w:rPr>
                <w:rFonts w:ascii="Times New Roman" w:eastAsia="宋体" w:hAnsi="Times New Roman" w:cs="Times New Roman"/>
                <w:kern w:val="0"/>
              </w:rPr>
              <w:t>”</w:t>
            </w:r>
            <w:r>
              <w:rPr>
                <w:rFonts w:ascii="Times New Roman" w:eastAsia="宋体" w:hAnsi="Times New Roman" w:cs="Times New Roman"/>
                <w:kern w:val="0"/>
              </w:rPr>
              <w:t>装置中，排气口安装</w:t>
            </w:r>
            <w:r>
              <w:rPr>
                <w:rFonts w:ascii="Times New Roman" w:eastAsia="宋体" w:hAnsi="Times New Roman" w:cs="Times New Roman"/>
                <w:kern w:val="0"/>
              </w:rPr>
              <w:t>VOCs</w:t>
            </w:r>
            <w:r>
              <w:rPr>
                <w:rFonts w:ascii="Times New Roman" w:eastAsia="宋体" w:hAnsi="Times New Roman" w:cs="Times New Roman"/>
                <w:kern w:val="0"/>
              </w:rPr>
              <w:t>在线装置。</w:t>
            </w:r>
          </w:p>
        </w:tc>
      </w:tr>
      <w:tr w:rsidR="002133E3" w14:paraId="20951896" w14:textId="77777777">
        <w:trPr>
          <w:trHeight w:val="284"/>
          <w:jc w:val="center"/>
        </w:trPr>
        <w:tc>
          <w:tcPr>
            <w:tcW w:w="516" w:type="pct"/>
            <w:vMerge/>
            <w:vAlign w:val="center"/>
          </w:tcPr>
          <w:p w14:paraId="6DC532BC" w14:textId="77777777" w:rsidR="002133E3" w:rsidRDefault="002133E3">
            <w:pPr>
              <w:jc w:val="center"/>
              <w:rPr>
                <w:rFonts w:ascii="Times New Roman" w:eastAsia="宋体" w:hAnsi="Times New Roman" w:cs="Times New Roman"/>
                <w:kern w:val="0"/>
              </w:rPr>
            </w:pPr>
          </w:p>
        </w:tc>
        <w:tc>
          <w:tcPr>
            <w:tcW w:w="1630" w:type="pct"/>
            <w:vAlign w:val="center"/>
          </w:tcPr>
          <w:p w14:paraId="41383F59"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排杂塔四级冷凝后的不凝尾气直排；</w:t>
            </w:r>
          </w:p>
          <w:p w14:paraId="25E30649"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粗塔排杂尾气直排；</w:t>
            </w:r>
            <w:r>
              <w:rPr>
                <w:rFonts w:ascii="Times New Roman" w:eastAsia="宋体" w:hAnsi="Times New Roman" w:cs="Times New Roman"/>
                <w:kern w:val="0"/>
              </w:rPr>
              <w:t xml:space="preserve"> </w:t>
            </w:r>
          </w:p>
        </w:tc>
        <w:tc>
          <w:tcPr>
            <w:tcW w:w="719" w:type="pct"/>
            <w:vAlign w:val="center"/>
          </w:tcPr>
          <w:p w14:paraId="1174E6E7"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均为无组织排放</w:t>
            </w:r>
          </w:p>
        </w:tc>
        <w:tc>
          <w:tcPr>
            <w:tcW w:w="2135" w:type="pct"/>
            <w:vAlign w:val="center"/>
          </w:tcPr>
          <w:p w14:paraId="4CCAF13A"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管道收集连接至</w:t>
            </w:r>
            <w:r>
              <w:rPr>
                <w:rFonts w:ascii="Times New Roman" w:eastAsia="宋体" w:hAnsi="Times New Roman" w:cs="Times New Roman"/>
                <w:kern w:val="0"/>
              </w:rPr>
              <w:t>“</w:t>
            </w:r>
            <w:r>
              <w:rPr>
                <w:rFonts w:ascii="Times New Roman" w:eastAsia="宋体" w:hAnsi="Times New Roman" w:cs="Times New Roman"/>
                <w:kern w:val="0"/>
              </w:rPr>
              <w:t>二级水吸收</w:t>
            </w:r>
            <w:r>
              <w:rPr>
                <w:rFonts w:ascii="Times New Roman" w:eastAsia="宋体" w:hAnsi="Times New Roman" w:cs="Times New Roman"/>
                <w:kern w:val="0"/>
              </w:rPr>
              <w:t>”</w:t>
            </w:r>
            <w:r>
              <w:rPr>
                <w:rFonts w:ascii="Times New Roman" w:eastAsia="宋体" w:hAnsi="Times New Roman" w:cs="Times New Roman"/>
                <w:kern w:val="0"/>
              </w:rPr>
              <w:t>装置中，排气口安装</w:t>
            </w:r>
            <w:r>
              <w:rPr>
                <w:rFonts w:ascii="Times New Roman" w:eastAsia="宋体" w:hAnsi="Times New Roman" w:cs="Times New Roman"/>
                <w:kern w:val="0"/>
              </w:rPr>
              <w:t>VOCs</w:t>
            </w:r>
            <w:r>
              <w:rPr>
                <w:rFonts w:ascii="Times New Roman" w:eastAsia="宋体" w:hAnsi="Times New Roman" w:cs="Times New Roman"/>
                <w:kern w:val="0"/>
              </w:rPr>
              <w:t>在线装置。</w:t>
            </w:r>
          </w:p>
        </w:tc>
      </w:tr>
      <w:tr w:rsidR="002133E3" w14:paraId="79E88DDE" w14:textId="77777777">
        <w:trPr>
          <w:trHeight w:val="284"/>
          <w:jc w:val="center"/>
        </w:trPr>
        <w:tc>
          <w:tcPr>
            <w:tcW w:w="516" w:type="pct"/>
            <w:vMerge w:val="restart"/>
            <w:vAlign w:val="center"/>
          </w:tcPr>
          <w:p w14:paraId="12DCF628" w14:textId="77777777" w:rsidR="002133E3" w:rsidRDefault="00C22CFA">
            <w:pPr>
              <w:jc w:val="center"/>
              <w:rPr>
                <w:rFonts w:ascii="Times New Roman" w:eastAsia="宋体" w:hAnsi="Times New Roman" w:cs="Times New Roman"/>
                <w:kern w:val="0"/>
              </w:rPr>
            </w:pPr>
            <w:r>
              <w:rPr>
                <w:rFonts w:ascii="Times New Roman" w:eastAsia="宋体" w:hAnsi="Times New Roman" w:cs="Times New Roman"/>
                <w:kern w:val="0"/>
              </w:rPr>
              <w:t>6</w:t>
            </w:r>
            <w:r>
              <w:rPr>
                <w:rFonts w:ascii="Times New Roman" w:eastAsia="宋体" w:hAnsi="Times New Roman" w:cs="Times New Roman"/>
                <w:kern w:val="0"/>
              </w:rPr>
              <w:t>万吨发酵法混合物装置</w:t>
            </w:r>
          </w:p>
        </w:tc>
        <w:tc>
          <w:tcPr>
            <w:tcW w:w="1630" w:type="pct"/>
            <w:vAlign w:val="center"/>
          </w:tcPr>
          <w:p w14:paraId="41DC10D5"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1</w:t>
            </w:r>
            <w:r>
              <w:rPr>
                <w:rFonts w:ascii="Times New Roman" w:eastAsia="宋体" w:hAnsi="Times New Roman" w:cs="Times New Roman"/>
                <w:kern w:val="0"/>
              </w:rPr>
              <w:t>、罐区乙醇中间罐安装了呼吸阀，但没有废气收集管道和处理设施。</w:t>
            </w:r>
          </w:p>
        </w:tc>
        <w:tc>
          <w:tcPr>
            <w:tcW w:w="719" w:type="pct"/>
            <w:vAlign w:val="center"/>
          </w:tcPr>
          <w:p w14:paraId="327E8CFA"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无组织排放</w:t>
            </w:r>
          </w:p>
        </w:tc>
        <w:tc>
          <w:tcPr>
            <w:tcW w:w="2135" w:type="pct"/>
            <w:vAlign w:val="center"/>
          </w:tcPr>
          <w:p w14:paraId="3BF3253E"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采用喇叭口的方式罩住呼吸阀，但和罐体留有一定的缝隙。罐区的废气收集后并入现有的乙醇吸收塔。</w:t>
            </w:r>
          </w:p>
        </w:tc>
      </w:tr>
      <w:tr w:rsidR="002133E3" w14:paraId="6840C59A" w14:textId="77777777">
        <w:trPr>
          <w:trHeight w:val="284"/>
          <w:jc w:val="center"/>
        </w:trPr>
        <w:tc>
          <w:tcPr>
            <w:tcW w:w="516" w:type="pct"/>
            <w:vMerge/>
            <w:vAlign w:val="center"/>
          </w:tcPr>
          <w:p w14:paraId="69976F63" w14:textId="77777777" w:rsidR="002133E3" w:rsidRDefault="002133E3">
            <w:pPr>
              <w:jc w:val="center"/>
              <w:rPr>
                <w:rFonts w:ascii="Times New Roman" w:eastAsia="宋体" w:hAnsi="Times New Roman" w:cs="Times New Roman"/>
                <w:kern w:val="0"/>
              </w:rPr>
            </w:pPr>
          </w:p>
        </w:tc>
        <w:tc>
          <w:tcPr>
            <w:tcW w:w="1630" w:type="pct"/>
            <w:vAlign w:val="center"/>
          </w:tcPr>
          <w:p w14:paraId="71991EF9"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2</w:t>
            </w:r>
            <w:r>
              <w:rPr>
                <w:rFonts w:ascii="Times New Roman" w:eastAsia="宋体" w:hAnsi="Times New Roman" w:cs="Times New Roman"/>
                <w:kern w:val="0"/>
              </w:rPr>
              <w:t>、生产装置区已建有乙醇吸收塔</w:t>
            </w:r>
          </w:p>
        </w:tc>
        <w:tc>
          <w:tcPr>
            <w:tcW w:w="719" w:type="pct"/>
            <w:vAlign w:val="center"/>
          </w:tcPr>
          <w:p w14:paraId="1A4639E2"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现有一级吸收塔处理效果不能保证达标</w:t>
            </w:r>
          </w:p>
        </w:tc>
        <w:tc>
          <w:tcPr>
            <w:tcW w:w="2135" w:type="pct"/>
            <w:vAlign w:val="center"/>
          </w:tcPr>
          <w:p w14:paraId="13275DA9" w14:textId="77777777" w:rsidR="002133E3" w:rsidRDefault="00C22CFA">
            <w:pPr>
              <w:rPr>
                <w:rFonts w:ascii="Times New Roman" w:eastAsia="宋体" w:hAnsi="Times New Roman" w:cs="Times New Roman"/>
                <w:kern w:val="0"/>
              </w:rPr>
            </w:pPr>
            <w:r>
              <w:rPr>
                <w:rFonts w:ascii="Times New Roman" w:eastAsia="宋体" w:hAnsi="Times New Roman" w:cs="Times New Roman"/>
                <w:kern w:val="0"/>
              </w:rPr>
              <w:t>增加二级吸收塔，形成</w:t>
            </w:r>
            <w:r>
              <w:rPr>
                <w:rFonts w:ascii="Times New Roman" w:eastAsia="宋体" w:hAnsi="Times New Roman" w:cs="Times New Roman"/>
                <w:kern w:val="0"/>
              </w:rPr>
              <w:t>“</w:t>
            </w:r>
            <w:r>
              <w:rPr>
                <w:rFonts w:ascii="Times New Roman" w:eastAsia="宋体" w:hAnsi="Times New Roman" w:cs="Times New Roman"/>
                <w:kern w:val="0"/>
              </w:rPr>
              <w:t>三级水吸收</w:t>
            </w:r>
            <w:r>
              <w:rPr>
                <w:rFonts w:ascii="Times New Roman" w:eastAsia="宋体" w:hAnsi="Times New Roman" w:cs="Times New Roman"/>
                <w:kern w:val="0"/>
              </w:rPr>
              <w:t>”</w:t>
            </w:r>
            <w:r>
              <w:rPr>
                <w:rFonts w:ascii="Times New Roman" w:eastAsia="宋体" w:hAnsi="Times New Roman" w:cs="Times New Roman"/>
                <w:kern w:val="0"/>
              </w:rPr>
              <w:t>，排气口安装</w:t>
            </w:r>
            <w:r>
              <w:rPr>
                <w:rFonts w:ascii="Times New Roman" w:eastAsia="宋体" w:hAnsi="Times New Roman" w:cs="Times New Roman"/>
                <w:kern w:val="0"/>
              </w:rPr>
              <w:t>VOCs</w:t>
            </w:r>
            <w:r>
              <w:rPr>
                <w:rFonts w:ascii="Times New Roman" w:eastAsia="宋体" w:hAnsi="Times New Roman" w:cs="Times New Roman"/>
                <w:kern w:val="0"/>
              </w:rPr>
              <w:t>在线装置。</w:t>
            </w:r>
          </w:p>
        </w:tc>
      </w:tr>
    </w:tbl>
    <w:p w14:paraId="17E9A167" w14:textId="77777777" w:rsidR="002133E3" w:rsidRDefault="002133E3">
      <w:pPr>
        <w:spacing w:line="440" w:lineRule="exact"/>
        <w:jc w:val="center"/>
        <w:rPr>
          <w:rFonts w:ascii="Times New Roman" w:eastAsia="宋体" w:hAnsi="Times New Roman" w:cs="Times New Roman"/>
          <w:b/>
          <w:bCs/>
          <w:sz w:val="24"/>
          <w:szCs w:val="20"/>
        </w:rPr>
        <w:sectPr w:rsidR="002133E3">
          <w:pgSz w:w="16838" w:h="11906" w:orient="landscape"/>
          <w:pgMar w:top="1134" w:right="1134" w:bottom="1134" w:left="1134" w:header="851" w:footer="992" w:gutter="0"/>
          <w:cols w:space="720"/>
          <w:docGrid w:linePitch="312"/>
        </w:sectPr>
      </w:pPr>
    </w:p>
    <w:p w14:paraId="78E1BAF1" w14:textId="77777777" w:rsidR="002133E3" w:rsidRDefault="002133E3">
      <w:pPr>
        <w:spacing w:line="440" w:lineRule="exact"/>
        <w:jc w:val="center"/>
        <w:rPr>
          <w:rFonts w:ascii="Times New Roman" w:eastAsia="宋体" w:hAnsi="Times New Roman" w:cs="Times New Roman"/>
          <w:b/>
          <w:bCs/>
          <w:sz w:val="24"/>
          <w:szCs w:val="20"/>
        </w:rPr>
      </w:pPr>
    </w:p>
    <w:p w14:paraId="06CD972E" w14:textId="77777777" w:rsidR="002133E3" w:rsidRDefault="002133E3">
      <w:pPr>
        <w:spacing w:line="440" w:lineRule="exact"/>
        <w:jc w:val="center"/>
        <w:rPr>
          <w:rFonts w:ascii="Times New Roman" w:eastAsia="宋体" w:hAnsi="Times New Roman" w:cs="Times New Roman"/>
          <w:b/>
          <w:bCs/>
          <w:sz w:val="24"/>
          <w:szCs w:val="20"/>
        </w:rPr>
      </w:pPr>
    </w:p>
    <w:p w14:paraId="182D7B48" w14:textId="77777777" w:rsidR="002133E3" w:rsidRDefault="00C22CFA">
      <w:pPr>
        <w:widowControl/>
        <w:jc w:val="left"/>
        <w:rPr>
          <w:rFonts w:ascii="Times New Roman" w:eastAsia="宋体" w:hAnsi="Times New Roman" w:cs="Times New Roman"/>
          <w:b/>
          <w:sz w:val="30"/>
          <w:szCs w:val="30"/>
        </w:rPr>
      </w:pPr>
      <w:r>
        <w:rPr>
          <w:rFonts w:ascii="Times New Roman" w:eastAsia="宋体" w:hAnsi="Times New Roman" w:cs="Times New Roman"/>
          <w:b/>
          <w:sz w:val="30"/>
          <w:szCs w:val="30"/>
        </w:rPr>
        <w:br w:type="page"/>
      </w:r>
    </w:p>
    <w:p w14:paraId="23DF3C25" w14:textId="77777777" w:rsidR="002133E3" w:rsidRDefault="00C22CFA">
      <w:pPr>
        <w:pStyle w:val="affff3"/>
        <w:numPr>
          <w:ilvl w:val="0"/>
          <w:numId w:val="2"/>
        </w:numPr>
        <w:spacing w:line="500" w:lineRule="atLeast"/>
        <w:ind w:left="0" w:firstLineChars="0" w:firstLine="0"/>
        <w:outlineLvl w:val="0"/>
        <w:rPr>
          <w:rFonts w:ascii="Times New Roman" w:eastAsia="宋体" w:hAnsi="Times New Roman" w:cs="Times New Roman"/>
          <w:b/>
          <w:sz w:val="30"/>
          <w:szCs w:val="30"/>
        </w:rPr>
      </w:pPr>
      <w:bookmarkStart w:id="30" w:name="_Toc47604328"/>
      <w:r>
        <w:rPr>
          <w:rFonts w:ascii="Times New Roman" w:eastAsia="宋体" w:hAnsi="Times New Roman" w:cs="Times New Roman"/>
          <w:b/>
          <w:sz w:val="30"/>
          <w:szCs w:val="30"/>
        </w:rPr>
        <w:lastRenderedPageBreak/>
        <w:t>技改项目工程分析</w:t>
      </w:r>
      <w:bookmarkEnd w:id="30"/>
    </w:p>
    <w:p w14:paraId="461319C1"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t>工程概况</w:t>
      </w:r>
    </w:p>
    <w:p w14:paraId="65CFD16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项目基本情况</w:t>
      </w:r>
    </w:p>
    <w:p w14:paraId="70A284BC"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项目名称：酒精装置节能升级改造项目；</w:t>
      </w:r>
    </w:p>
    <w:p w14:paraId="25CB1257"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建设性质：改、扩建；</w:t>
      </w:r>
    </w:p>
    <w:p w14:paraId="7A8B58C3"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建设单位：</w:t>
      </w:r>
      <w:r>
        <w:rPr>
          <w:rFonts w:ascii="Times New Roman" w:eastAsia="宋体" w:hAnsi="Times New Roman" w:cs="Times New Roman"/>
          <w:kern w:val="0"/>
          <w:sz w:val="28"/>
          <w:szCs w:val="28"/>
        </w:rPr>
        <w:t>江苏金茂源生物化工有限责任公司</w:t>
      </w:r>
      <w:r>
        <w:rPr>
          <w:rFonts w:ascii="Times New Roman" w:eastAsia="宋体" w:hAnsi="Times New Roman" w:cs="Times New Roman"/>
          <w:sz w:val="28"/>
          <w:szCs w:val="28"/>
        </w:rPr>
        <w:t>；</w:t>
      </w:r>
    </w:p>
    <w:p w14:paraId="4ED923C7"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(4) </w:t>
      </w:r>
      <w:r>
        <w:rPr>
          <w:rFonts w:ascii="Times New Roman" w:eastAsia="宋体" w:hAnsi="Times New Roman" w:cs="Times New Roman"/>
          <w:sz w:val="28"/>
          <w:szCs w:val="28"/>
        </w:rPr>
        <w:t>建设地点：</w:t>
      </w:r>
      <w:r>
        <w:rPr>
          <w:rFonts w:ascii="Times New Roman" w:eastAsia="宋体" w:hAnsi="Times New Roman" w:cs="Times New Roman"/>
          <w:kern w:val="0"/>
          <w:sz w:val="28"/>
          <w:szCs w:val="28"/>
        </w:rPr>
        <w:t>江苏金茂源生物化工有限责任公司厂区内</w:t>
      </w:r>
      <w:r>
        <w:rPr>
          <w:rFonts w:ascii="Times New Roman" w:eastAsia="宋体" w:hAnsi="Times New Roman" w:cs="Times New Roman"/>
          <w:sz w:val="28"/>
          <w:szCs w:val="28"/>
        </w:rPr>
        <w:t>；</w:t>
      </w:r>
    </w:p>
    <w:p w14:paraId="7B3E7BB5"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(5) </w:t>
      </w:r>
      <w:r>
        <w:rPr>
          <w:rFonts w:ascii="Times New Roman" w:eastAsia="宋体" w:hAnsi="Times New Roman" w:cs="Times New Roman"/>
          <w:sz w:val="28"/>
          <w:szCs w:val="28"/>
        </w:rPr>
        <w:t>投资总额：总投资约</w:t>
      </w:r>
      <w:r>
        <w:rPr>
          <w:rFonts w:ascii="Times New Roman" w:eastAsia="宋体" w:hAnsi="Times New Roman" w:cs="Times New Roman"/>
          <w:bCs/>
          <w:sz w:val="28"/>
          <w:szCs w:val="28"/>
        </w:rPr>
        <w:t>4590</w:t>
      </w:r>
      <w:r>
        <w:rPr>
          <w:rFonts w:ascii="Times New Roman" w:eastAsia="宋体" w:hAnsi="Times New Roman" w:cs="Times New Roman"/>
          <w:sz w:val="28"/>
          <w:szCs w:val="28"/>
        </w:rPr>
        <w:t>万元，其中环保投资</w:t>
      </w:r>
      <w:r>
        <w:rPr>
          <w:rFonts w:ascii="Times New Roman" w:eastAsia="宋体" w:hAnsi="Times New Roman" w:cs="Times New Roman"/>
          <w:sz w:val="28"/>
          <w:szCs w:val="28"/>
        </w:rPr>
        <w:t>90</w:t>
      </w:r>
      <w:r>
        <w:rPr>
          <w:rFonts w:ascii="Times New Roman" w:eastAsia="宋体" w:hAnsi="Times New Roman" w:cs="Times New Roman"/>
          <w:sz w:val="28"/>
          <w:szCs w:val="28"/>
        </w:rPr>
        <w:t>万元。</w:t>
      </w:r>
    </w:p>
    <w:p w14:paraId="271CB69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项目建设内容</w:t>
      </w:r>
    </w:p>
    <w:p w14:paraId="139628DC" w14:textId="77777777" w:rsidR="002133E3" w:rsidRDefault="00C22CFA">
      <w:pPr>
        <w:autoSpaceDE w:val="0"/>
        <w:autoSpaceDN w:val="0"/>
        <w:adjustRightInd w:val="0"/>
        <w:spacing w:line="500" w:lineRule="atLeast"/>
        <w:ind w:firstLineChars="200" w:firstLine="560"/>
        <w:rPr>
          <w:rFonts w:ascii="Times New Roman" w:eastAsia="宋体" w:hAnsi="Times New Roman" w:cs="Times New Roman"/>
          <w:sz w:val="28"/>
          <w:szCs w:val="20"/>
        </w:rPr>
      </w:pPr>
      <w:bookmarkStart w:id="31" w:name="_Ref300838843"/>
      <w:r>
        <w:rPr>
          <w:rFonts w:ascii="Times New Roman" w:eastAsia="宋体" w:hAnsi="Times New Roman" w:cs="Times New Roman"/>
          <w:sz w:val="28"/>
          <w:szCs w:val="20"/>
        </w:rPr>
        <w:t>将现有</w:t>
      </w:r>
      <w:r>
        <w:rPr>
          <w:rFonts w:ascii="Times New Roman" w:eastAsia="宋体" w:hAnsi="Times New Roman" w:cs="Times New Roman"/>
          <w:sz w:val="28"/>
          <w:szCs w:val="20"/>
        </w:rPr>
        <w:t>10</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酒精装置升级改造。将两套两塔精馏系统改造为一套配备节能型塔板两塔精馏系统，蒸馏能力由</w:t>
      </w:r>
      <w:r>
        <w:rPr>
          <w:rFonts w:ascii="Times New Roman" w:eastAsia="宋体" w:hAnsi="Times New Roman" w:cs="Times New Roman"/>
          <w:sz w:val="28"/>
          <w:szCs w:val="20"/>
        </w:rPr>
        <w:t>10</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变更为</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；新建</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三塔精馏系统，本次升级改造后维持</w:t>
      </w:r>
      <w:r>
        <w:rPr>
          <w:rFonts w:ascii="Times New Roman" w:eastAsia="宋体" w:hAnsi="Times New Roman" w:cs="Times New Roman"/>
          <w:sz w:val="28"/>
          <w:szCs w:val="20"/>
        </w:rPr>
        <w:t>10</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蒸馏能力不变，蒸汽单耗由</w:t>
      </w:r>
      <w:r>
        <w:rPr>
          <w:rFonts w:ascii="Times New Roman" w:eastAsia="宋体" w:hAnsi="Times New Roman" w:cs="Times New Roman"/>
          <w:sz w:val="28"/>
          <w:szCs w:val="20"/>
        </w:rPr>
        <w:t>2.0</w:t>
      </w:r>
      <w:r>
        <w:rPr>
          <w:rFonts w:ascii="Times New Roman" w:eastAsia="宋体" w:hAnsi="Times New Roman" w:cs="Times New Roman"/>
          <w:sz w:val="28"/>
          <w:szCs w:val="20"/>
        </w:rPr>
        <w:t>吨降至</w:t>
      </w:r>
      <w:r>
        <w:rPr>
          <w:rFonts w:ascii="Times New Roman" w:eastAsia="宋体" w:hAnsi="Times New Roman" w:cs="Times New Roman"/>
          <w:sz w:val="28"/>
          <w:szCs w:val="20"/>
        </w:rPr>
        <w:t>1.7</w:t>
      </w:r>
      <w:r>
        <w:rPr>
          <w:rFonts w:ascii="Times New Roman" w:eastAsia="宋体" w:hAnsi="Times New Roman" w:cs="Times New Roman"/>
          <w:sz w:val="28"/>
          <w:szCs w:val="20"/>
        </w:rPr>
        <w:t>吨。</w:t>
      </w:r>
    </w:p>
    <w:p w14:paraId="02AA3D84" w14:textId="77777777" w:rsidR="002133E3" w:rsidRDefault="00C22CFA">
      <w:pPr>
        <w:autoSpaceDE w:val="0"/>
        <w:autoSpaceDN w:val="0"/>
        <w:adjustRightInd w:val="0"/>
        <w:spacing w:line="500" w:lineRule="atLeast"/>
        <w:ind w:firstLineChars="200" w:firstLine="560"/>
        <w:rPr>
          <w:rFonts w:ascii="Times New Roman" w:eastAsia="宋体" w:hAnsi="Times New Roman" w:cs="Times New Roman"/>
          <w:sz w:val="28"/>
          <w:szCs w:val="20"/>
        </w:rPr>
      </w:pPr>
      <w:r>
        <w:rPr>
          <w:rFonts w:ascii="Times New Roman" w:eastAsia="宋体" w:hAnsi="Times New Roman" w:cs="Times New Roman"/>
          <w:sz w:val="28"/>
          <w:szCs w:val="20"/>
        </w:rPr>
        <w:t>考虑市场需求的不确定性，需要量大时，运行已建</w:t>
      </w:r>
      <w:r>
        <w:rPr>
          <w:rFonts w:ascii="Times New Roman" w:eastAsia="宋体" w:hAnsi="Times New Roman" w:cs="Times New Roman"/>
          <w:sz w:val="28"/>
          <w:szCs w:val="20"/>
        </w:rPr>
        <w:t>10</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粉蒸发酵系统、</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两塔精馏系统及</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三塔精馏系统；需要量小时，新建</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的粉蒸发酵系统，配套运行新建</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三塔精馏系统；两条生产线粉蒸发酵工序不同时运行，具体见图</w:t>
      </w:r>
      <w:r>
        <w:rPr>
          <w:rFonts w:ascii="Times New Roman" w:eastAsia="宋体" w:hAnsi="Times New Roman" w:cs="Times New Roman"/>
          <w:sz w:val="28"/>
          <w:szCs w:val="20"/>
        </w:rPr>
        <w:t>4.1-1</w:t>
      </w:r>
      <w:r>
        <w:rPr>
          <w:rFonts w:ascii="Times New Roman" w:eastAsia="宋体" w:hAnsi="Times New Roman" w:cs="Times New Roman"/>
          <w:sz w:val="28"/>
          <w:szCs w:val="20"/>
        </w:rPr>
        <w:t>。</w:t>
      </w:r>
    </w:p>
    <w:p w14:paraId="5806B044" w14:textId="77777777" w:rsidR="002133E3" w:rsidRDefault="009F1FEF">
      <w:pPr>
        <w:autoSpaceDE w:val="0"/>
        <w:autoSpaceDN w:val="0"/>
        <w:adjustRightInd w:val="0"/>
        <w:spacing w:line="500" w:lineRule="atLeast"/>
        <w:jc w:val="center"/>
        <w:rPr>
          <w:rFonts w:ascii="Times New Roman" w:eastAsia="宋体" w:hAnsi="Times New Roman" w:cs="Times New Roman"/>
        </w:rPr>
      </w:pPr>
      <w:r>
        <w:rPr>
          <w:rFonts w:ascii="Times New Roman" w:eastAsia="宋体" w:hAnsi="Times New Roman" w:cs="Times New Roman"/>
        </w:rPr>
        <w:pict w14:anchorId="10A87050">
          <v:shape id="_x0000_i1043" type="#_x0000_t75" style="width:268.35pt;height:136.5pt">
            <v:imagedata r:id="rId46" o:title=""/>
          </v:shape>
        </w:pict>
      </w:r>
    </w:p>
    <w:p w14:paraId="1A88928F" w14:textId="77777777" w:rsidR="002133E3" w:rsidRDefault="00C22CFA">
      <w:pPr>
        <w:spacing w:line="500" w:lineRule="atLeast"/>
        <w:jc w:val="center"/>
        <w:rPr>
          <w:rFonts w:ascii="Times New Roman" w:eastAsia="宋体" w:hAnsi="Times New Roman" w:cs="Times New Roman"/>
          <w:b/>
          <w:bCs/>
          <w:szCs w:val="16"/>
        </w:rPr>
      </w:pPr>
      <w:r>
        <w:rPr>
          <w:rFonts w:ascii="Times New Roman" w:eastAsia="宋体" w:hAnsi="Times New Roman" w:cs="Times New Roman"/>
          <w:b/>
          <w:bCs/>
          <w:szCs w:val="16"/>
        </w:rPr>
        <w:t>图</w:t>
      </w:r>
      <w:r>
        <w:rPr>
          <w:rFonts w:ascii="Times New Roman" w:eastAsia="宋体" w:hAnsi="Times New Roman" w:cs="Times New Roman"/>
          <w:b/>
          <w:bCs/>
          <w:szCs w:val="16"/>
        </w:rPr>
        <w:t xml:space="preserve">4.1-1  </w:t>
      </w:r>
      <w:r>
        <w:rPr>
          <w:rFonts w:ascii="Times New Roman" w:eastAsia="宋体" w:hAnsi="Times New Roman" w:cs="Times New Roman"/>
          <w:b/>
          <w:bCs/>
          <w:szCs w:val="16"/>
        </w:rPr>
        <w:t>酒精生产线运行工况图</w:t>
      </w:r>
    </w:p>
    <w:p w14:paraId="046B4115" w14:textId="77777777" w:rsidR="002133E3" w:rsidRDefault="00C22CFA">
      <w:pPr>
        <w:autoSpaceDE w:val="0"/>
        <w:autoSpaceDN w:val="0"/>
        <w:adjustRightInd w:val="0"/>
        <w:spacing w:line="500" w:lineRule="atLeast"/>
        <w:ind w:firstLineChars="200" w:firstLine="560"/>
        <w:rPr>
          <w:rFonts w:ascii="Times New Roman" w:eastAsia="宋体" w:hAnsi="Times New Roman" w:cs="Times New Roman"/>
          <w:sz w:val="28"/>
          <w:szCs w:val="20"/>
        </w:rPr>
      </w:pPr>
      <w:r>
        <w:rPr>
          <w:rFonts w:ascii="Times New Roman" w:eastAsia="宋体" w:hAnsi="Times New Roman" w:cs="Times New Roman"/>
          <w:sz w:val="28"/>
          <w:szCs w:val="20"/>
        </w:rPr>
        <w:t>对酒精</w:t>
      </w:r>
      <w:r>
        <w:rPr>
          <w:rFonts w:ascii="Times New Roman" w:eastAsia="宋体" w:hAnsi="Times New Roman" w:cs="Times New Roman"/>
          <w:sz w:val="28"/>
          <w:szCs w:val="20"/>
        </w:rPr>
        <w:t>(≥95%,V/V)</w:t>
      </w:r>
      <w:r>
        <w:rPr>
          <w:rFonts w:ascii="Times New Roman" w:eastAsia="宋体" w:hAnsi="Times New Roman" w:cs="Times New Roman"/>
          <w:sz w:val="28"/>
          <w:szCs w:val="20"/>
        </w:rPr>
        <w:t>进行提纯改造。新建</w:t>
      </w:r>
      <w:r>
        <w:rPr>
          <w:rFonts w:ascii="Times New Roman" w:eastAsia="宋体" w:hAnsi="Times New Roman" w:cs="Times New Roman"/>
          <w:sz w:val="28"/>
          <w:szCs w:val="20"/>
        </w:rPr>
        <w:t>6</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分子筛制备无水乙醇生产线，将酒精</w:t>
      </w:r>
      <w:r>
        <w:rPr>
          <w:rFonts w:ascii="Times New Roman" w:eastAsia="宋体" w:hAnsi="Times New Roman" w:cs="Times New Roman"/>
          <w:sz w:val="28"/>
          <w:szCs w:val="20"/>
        </w:rPr>
        <w:t>(≥95%,V/V)</w:t>
      </w:r>
      <w:r>
        <w:rPr>
          <w:rFonts w:ascii="Times New Roman" w:eastAsia="宋体" w:hAnsi="Times New Roman" w:cs="Times New Roman"/>
          <w:sz w:val="28"/>
          <w:szCs w:val="20"/>
        </w:rPr>
        <w:t>经过脱水变成浓度为无水乙醇</w:t>
      </w:r>
      <w:r>
        <w:rPr>
          <w:rFonts w:ascii="Times New Roman" w:eastAsia="宋体" w:hAnsi="Times New Roman" w:cs="Times New Roman"/>
          <w:sz w:val="28"/>
          <w:szCs w:val="20"/>
        </w:rPr>
        <w:t>(≥99.99%,V/V)</w:t>
      </w:r>
      <w:r>
        <w:rPr>
          <w:rFonts w:ascii="Times New Roman" w:eastAsia="宋体" w:hAnsi="Times New Roman" w:cs="Times New Roman"/>
          <w:sz w:val="28"/>
          <w:szCs w:val="20"/>
        </w:rPr>
        <w:t>。</w:t>
      </w:r>
    </w:p>
    <w:p w14:paraId="21AC80E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建设规模、主体工程及产品方案</w:t>
      </w:r>
    </w:p>
    <w:p w14:paraId="71D9A8DB" w14:textId="77777777" w:rsidR="002133E3" w:rsidRDefault="00C22CFA">
      <w:pPr>
        <w:autoSpaceDE w:val="0"/>
        <w:autoSpaceDN w:val="0"/>
        <w:adjustRightInd w:val="0"/>
        <w:spacing w:line="500" w:lineRule="atLeast"/>
        <w:ind w:firstLine="480"/>
        <w:rPr>
          <w:rFonts w:ascii="Times New Roman" w:eastAsia="宋体" w:hAnsi="Times New Roman" w:cs="Times New Roman"/>
          <w:sz w:val="28"/>
          <w:szCs w:val="20"/>
        </w:rPr>
      </w:pPr>
      <w:r>
        <w:rPr>
          <w:rFonts w:ascii="Times New Roman" w:eastAsia="宋体" w:hAnsi="Times New Roman" w:cs="Times New Roman"/>
          <w:sz w:val="28"/>
          <w:szCs w:val="20"/>
        </w:rPr>
        <w:t>项目主体工程及产品方案见表</w:t>
      </w:r>
      <w:r>
        <w:rPr>
          <w:rFonts w:ascii="Times New Roman" w:eastAsia="宋体" w:hAnsi="Times New Roman" w:cs="Times New Roman"/>
          <w:sz w:val="28"/>
          <w:szCs w:val="20"/>
        </w:rPr>
        <w:t>4.1-1</w:t>
      </w:r>
      <w:r>
        <w:rPr>
          <w:rFonts w:ascii="Times New Roman" w:eastAsia="宋体" w:hAnsi="Times New Roman" w:cs="Times New Roman"/>
          <w:sz w:val="28"/>
          <w:szCs w:val="20"/>
        </w:rPr>
        <w:t>，项目建设前后江苏金茂源生物化工有限责任公司生产规模与产品方案变化情况见表</w:t>
      </w:r>
      <w:r>
        <w:rPr>
          <w:rFonts w:ascii="Times New Roman" w:eastAsia="宋体" w:hAnsi="Times New Roman" w:cs="Times New Roman"/>
          <w:sz w:val="28"/>
          <w:szCs w:val="20"/>
        </w:rPr>
        <w:t>4.1-2</w:t>
      </w:r>
      <w:r>
        <w:rPr>
          <w:rFonts w:ascii="Times New Roman" w:eastAsia="宋体" w:hAnsi="Times New Roman" w:cs="Times New Roman"/>
          <w:sz w:val="28"/>
          <w:szCs w:val="20"/>
        </w:rPr>
        <w:t>。</w:t>
      </w:r>
    </w:p>
    <w:p w14:paraId="462FC754" w14:textId="77777777" w:rsidR="002133E3" w:rsidRDefault="00C22CFA">
      <w:pPr>
        <w:spacing w:line="500" w:lineRule="atLeast"/>
        <w:jc w:val="center"/>
        <w:rPr>
          <w:rFonts w:ascii="Times New Roman" w:eastAsia="宋体" w:hAnsi="Times New Roman" w:cs="Times New Roman"/>
          <w:b/>
          <w:bCs/>
          <w:sz w:val="24"/>
          <w:szCs w:val="20"/>
        </w:rPr>
      </w:pPr>
      <w:bookmarkStart w:id="32" w:name="_Ref300838021"/>
      <w:r>
        <w:rPr>
          <w:rFonts w:ascii="Times New Roman" w:eastAsia="宋体" w:hAnsi="Times New Roman" w:cs="Times New Roman"/>
          <w:b/>
          <w:bCs/>
          <w:sz w:val="24"/>
          <w:szCs w:val="20"/>
        </w:rPr>
        <w:t>表</w:t>
      </w:r>
      <w:bookmarkEnd w:id="32"/>
      <w:r>
        <w:rPr>
          <w:rFonts w:ascii="Times New Roman" w:eastAsia="宋体" w:hAnsi="Times New Roman" w:cs="Times New Roman"/>
          <w:b/>
          <w:bCs/>
          <w:sz w:val="24"/>
          <w:szCs w:val="20"/>
        </w:rPr>
        <w:t xml:space="preserve">4.1.1  </w:t>
      </w:r>
      <w:r>
        <w:rPr>
          <w:rFonts w:ascii="Times New Roman" w:eastAsia="宋体" w:hAnsi="Times New Roman" w:cs="Times New Roman"/>
          <w:b/>
          <w:bCs/>
          <w:sz w:val="24"/>
          <w:szCs w:val="20"/>
        </w:rPr>
        <w:t>本项目主体工程及产品方案表</w:t>
      </w:r>
    </w:p>
    <w:tbl>
      <w:tblPr>
        <w:tblW w:w="5000" w:type="pct"/>
        <w:jc w:val="center"/>
        <w:tblBorders>
          <w:top w:val="single" w:sz="8"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440"/>
        <w:gridCol w:w="871"/>
        <w:gridCol w:w="869"/>
        <w:gridCol w:w="1311"/>
        <w:gridCol w:w="1306"/>
        <w:gridCol w:w="3620"/>
      </w:tblGrid>
      <w:tr w:rsidR="002133E3" w14:paraId="3321A068" w14:textId="77777777">
        <w:trPr>
          <w:trHeight w:val="20"/>
          <w:jc w:val="center"/>
        </w:trPr>
        <w:tc>
          <w:tcPr>
            <w:tcW w:w="427" w:type="dxa"/>
            <w:vAlign w:val="center"/>
          </w:tcPr>
          <w:p w14:paraId="31FEBF67" w14:textId="77777777" w:rsidR="002133E3" w:rsidRDefault="00C22CFA">
            <w:pPr>
              <w:overflowPunct w:val="0"/>
              <w:adjustRightInd w:val="0"/>
              <w:spacing w:line="280" w:lineRule="exac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lastRenderedPageBreak/>
              <w:t>序号</w:t>
            </w:r>
          </w:p>
        </w:tc>
        <w:tc>
          <w:tcPr>
            <w:tcW w:w="1407" w:type="dxa"/>
            <w:vAlign w:val="center"/>
          </w:tcPr>
          <w:p w14:paraId="15019CC0" w14:textId="77777777" w:rsidR="002133E3" w:rsidRDefault="00C22CFA">
            <w:pPr>
              <w:overflowPunct w:val="0"/>
              <w:adjustRightInd w:val="0"/>
              <w:spacing w:line="280" w:lineRule="exac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工程名称</w:t>
            </w:r>
          </w:p>
        </w:tc>
        <w:tc>
          <w:tcPr>
            <w:tcW w:w="1700" w:type="dxa"/>
            <w:gridSpan w:val="2"/>
            <w:vAlign w:val="center"/>
          </w:tcPr>
          <w:p w14:paraId="79E72C6A" w14:textId="77777777" w:rsidR="002133E3" w:rsidRDefault="00C22CFA">
            <w:pPr>
              <w:overflowPunct w:val="0"/>
              <w:adjustRightInd w:val="0"/>
              <w:spacing w:line="280" w:lineRule="exac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产品名称及规格</w:t>
            </w:r>
          </w:p>
        </w:tc>
        <w:tc>
          <w:tcPr>
            <w:tcW w:w="1281" w:type="dxa"/>
            <w:vAlign w:val="center"/>
          </w:tcPr>
          <w:p w14:paraId="349FE754" w14:textId="77777777" w:rsidR="002133E3" w:rsidRDefault="00C22CFA">
            <w:pPr>
              <w:overflowPunct w:val="0"/>
              <w:adjustRightInd w:val="0"/>
              <w:spacing w:line="280" w:lineRule="exac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设计能力</w:t>
            </w:r>
            <w:r>
              <w:rPr>
                <w:rFonts w:ascii="Times New Roman" w:eastAsia="宋体" w:hAnsi="Times New Roman" w:cs="Times New Roman"/>
                <w:b/>
                <w:kern w:val="0"/>
                <w:szCs w:val="21"/>
              </w:rPr>
              <w:t>(t/a)</w:t>
            </w:r>
          </w:p>
        </w:tc>
        <w:tc>
          <w:tcPr>
            <w:tcW w:w="1276" w:type="dxa"/>
            <w:vAlign w:val="center"/>
          </w:tcPr>
          <w:p w14:paraId="757A4F10" w14:textId="77777777" w:rsidR="002133E3" w:rsidRDefault="00C22CFA">
            <w:pPr>
              <w:overflowPunct w:val="0"/>
              <w:adjustRightInd w:val="0"/>
              <w:spacing w:line="280" w:lineRule="exac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工作时数</w:t>
            </w:r>
            <w:r>
              <w:rPr>
                <w:rFonts w:ascii="Times New Roman" w:eastAsia="宋体" w:hAnsi="Times New Roman" w:cs="Times New Roman"/>
                <w:b/>
                <w:kern w:val="0"/>
                <w:szCs w:val="21"/>
              </w:rPr>
              <w:t>(h/a)</w:t>
            </w:r>
          </w:p>
        </w:tc>
        <w:tc>
          <w:tcPr>
            <w:tcW w:w="3537" w:type="dxa"/>
            <w:vAlign w:val="center"/>
          </w:tcPr>
          <w:p w14:paraId="703818F0" w14:textId="77777777" w:rsidR="002133E3" w:rsidRDefault="00C22CFA">
            <w:pPr>
              <w:overflowPunct w:val="0"/>
              <w:adjustRightInd w:val="0"/>
              <w:spacing w:line="280" w:lineRule="exac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备注</w:t>
            </w:r>
          </w:p>
        </w:tc>
      </w:tr>
      <w:tr w:rsidR="002133E3" w14:paraId="3C1A1094" w14:textId="77777777">
        <w:trPr>
          <w:trHeight w:val="643"/>
          <w:jc w:val="center"/>
        </w:trPr>
        <w:tc>
          <w:tcPr>
            <w:tcW w:w="427" w:type="dxa"/>
            <w:vMerge w:val="restart"/>
            <w:vAlign w:val="center"/>
          </w:tcPr>
          <w:p w14:paraId="2C137AF1" w14:textId="77777777" w:rsidR="002133E3" w:rsidRDefault="00C22CFA">
            <w:pPr>
              <w:overflowPunct w:val="0"/>
              <w:adjustRightInd w:val="0"/>
              <w:spacing w:line="280" w:lineRule="exac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407" w:type="dxa"/>
            <w:vMerge w:val="restart"/>
            <w:vAlign w:val="center"/>
          </w:tcPr>
          <w:p w14:paraId="02603C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酒精生产线</w:t>
            </w:r>
          </w:p>
        </w:tc>
        <w:tc>
          <w:tcPr>
            <w:tcW w:w="1700" w:type="dxa"/>
            <w:gridSpan w:val="2"/>
            <w:vAlign w:val="center"/>
          </w:tcPr>
          <w:p w14:paraId="40EF89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r>
              <w:rPr>
                <w:rFonts w:ascii="Times New Roman" w:eastAsia="宋体" w:hAnsi="Times New Roman" w:cs="Times New Roman"/>
                <w:kern w:val="0"/>
                <w:szCs w:val="21"/>
              </w:rPr>
              <w:t>(≥95%,V/V)</w:t>
            </w:r>
          </w:p>
        </w:tc>
        <w:tc>
          <w:tcPr>
            <w:tcW w:w="1281" w:type="dxa"/>
            <w:vAlign w:val="center"/>
          </w:tcPr>
          <w:p w14:paraId="4089C9B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100000</w:t>
            </w:r>
          </w:p>
        </w:tc>
        <w:tc>
          <w:tcPr>
            <w:tcW w:w="1276" w:type="dxa"/>
            <w:vMerge w:val="restart"/>
            <w:vAlign w:val="center"/>
          </w:tcPr>
          <w:p w14:paraId="010D6DAC" w14:textId="77777777" w:rsidR="002133E3" w:rsidRDefault="00C22CFA">
            <w:pPr>
              <w:overflowPunct w:val="0"/>
              <w:adjustRightInd w:val="0"/>
              <w:spacing w:line="280" w:lineRule="exac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7200</w:t>
            </w:r>
          </w:p>
        </w:tc>
        <w:tc>
          <w:tcPr>
            <w:tcW w:w="3537" w:type="dxa"/>
            <w:vMerge w:val="restart"/>
            <w:vAlign w:val="center"/>
          </w:tcPr>
          <w:p w14:paraId="7B350552" w14:textId="77777777" w:rsidR="002133E3" w:rsidRDefault="00C22CFA">
            <w:pPr>
              <w:overflowPunct w:val="0"/>
              <w:adjustRightInd w:val="0"/>
              <w:spacing w:line="280" w:lineRule="exact"/>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5</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w:t>
            </w:r>
            <w:r>
              <w:rPr>
                <w:rFonts w:ascii="Times New Roman" w:eastAsia="宋体" w:hAnsi="Times New Roman" w:cs="Times New Roman"/>
                <w:kern w:val="0"/>
                <w:szCs w:val="21"/>
              </w:rPr>
              <w:t>10</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的粉蒸发酵系统各一套，不同时运行。</w:t>
            </w:r>
            <w:r>
              <w:rPr>
                <w:rFonts w:ascii="Times New Roman" w:eastAsia="宋体" w:hAnsi="Times New Roman" w:cs="Times New Roman"/>
                <w:kern w:val="0"/>
                <w:szCs w:val="21"/>
              </w:rPr>
              <w:t>10</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酒精全部作为无水乙醇、醋酸乙酯、乙醛生产线原料</w:t>
            </w:r>
          </w:p>
        </w:tc>
      </w:tr>
      <w:tr w:rsidR="002133E3" w14:paraId="52874E6D" w14:textId="77777777">
        <w:trPr>
          <w:trHeight w:val="77"/>
          <w:jc w:val="center"/>
        </w:trPr>
        <w:tc>
          <w:tcPr>
            <w:tcW w:w="427" w:type="dxa"/>
            <w:vMerge/>
            <w:vAlign w:val="center"/>
          </w:tcPr>
          <w:p w14:paraId="4EFAD176" w14:textId="77777777" w:rsidR="002133E3" w:rsidRDefault="002133E3">
            <w:pPr>
              <w:overflowPunct w:val="0"/>
              <w:adjustRightInd w:val="0"/>
              <w:spacing w:line="280" w:lineRule="exact"/>
              <w:jc w:val="center"/>
              <w:textAlignment w:val="baseline"/>
              <w:rPr>
                <w:rFonts w:ascii="Times New Roman" w:eastAsia="宋体" w:hAnsi="Times New Roman" w:cs="Times New Roman"/>
                <w:kern w:val="0"/>
                <w:szCs w:val="21"/>
              </w:rPr>
            </w:pPr>
          </w:p>
        </w:tc>
        <w:tc>
          <w:tcPr>
            <w:tcW w:w="1407" w:type="dxa"/>
            <w:vMerge/>
            <w:vAlign w:val="center"/>
          </w:tcPr>
          <w:p w14:paraId="07427197" w14:textId="77777777" w:rsidR="002133E3" w:rsidRDefault="002133E3">
            <w:pPr>
              <w:widowControl/>
              <w:jc w:val="center"/>
              <w:rPr>
                <w:rFonts w:ascii="Times New Roman" w:eastAsia="宋体" w:hAnsi="Times New Roman" w:cs="Times New Roman"/>
                <w:kern w:val="0"/>
                <w:szCs w:val="21"/>
              </w:rPr>
            </w:pPr>
          </w:p>
        </w:tc>
        <w:tc>
          <w:tcPr>
            <w:tcW w:w="851" w:type="dxa"/>
            <w:vAlign w:val="center"/>
          </w:tcPr>
          <w:p w14:paraId="1B0C598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849" w:type="dxa"/>
            <w:vAlign w:val="center"/>
          </w:tcPr>
          <w:p w14:paraId="43D3D9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1281" w:type="dxa"/>
            <w:vAlign w:val="center"/>
          </w:tcPr>
          <w:p w14:paraId="3138B4F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c>
          <w:tcPr>
            <w:tcW w:w="1276" w:type="dxa"/>
            <w:vMerge/>
            <w:vAlign w:val="center"/>
          </w:tcPr>
          <w:p w14:paraId="6783F52C" w14:textId="77777777" w:rsidR="002133E3" w:rsidRDefault="002133E3">
            <w:pPr>
              <w:overflowPunct w:val="0"/>
              <w:adjustRightInd w:val="0"/>
              <w:spacing w:line="280" w:lineRule="exact"/>
              <w:jc w:val="center"/>
              <w:textAlignment w:val="baseline"/>
              <w:rPr>
                <w:rFonts w:ascii="Times New Roman" w:eastAsia="宋体" w:hAnsi="Times New Roman" w:cs="Times New Roman"/>
                <w:kern w:val="0"/>
                <w:szCs w:val="21"/>
              </w:rPr>
            </w:pPr>
          </w:p>
        </w:tc>
        <w:tc>
          <w:tcPr>
            <w:tcW w:w="3537" w:type="dxa"/>
            <w:vMerge/>
            <w:vAlign w:val="center"/>
          </w:tcPr>
          <w:p w14:paraId="4C6179B7" w14:textId="77777777" w:rsidR="002133E3" w:rsidRDefault="002133E3">
            <w:pPr>
              <w:overflowPunct w:val="0"/>
              <w:adjustRightInd w:val="0"/>
              <w:spacing w:line="280" w:lineRule="exact"/>
              <w:textAlignment w:val="baseline"/>
              <w:rPr>
                <w:rFonts w:ascii="Times New Roman" w:eastAsia="宋体" w:hAnsi="Times New Roman" w:cs="Times New Roman"/>
                <w:kern w:val="0"/>
                <w:szCs w:val="21"/>
              </w:rPr>
            </w:pPr>
          </w:p>
        </w:tc>
      </w:tr>
      <w:tr w:rsidR="002133E3" w14:paraId="69F39886" w14:textId="77777777">
        <w:trPr>
          <w:trHeight w:val="77"/>
          <w:jc w:val="center"/>
        </w:trPr>
        <w:tc>
          <w:tcPr>
            <w:tcW w:w="427" w:type="dxa"/>
            <w:vAlign w:val="center"/>
          </w:tcPr>
          <w:p w14:paraId="2BD8897C" w14:textId="77777777" w:rsidR="002133E3" w:rsidRDefault="00C22CFA">
            <w:pPr>
              <w:overflowPunct w:val="0"/>
              <w:adjustRightInd w:val="0"/>
              <w:spacing w:line="280" w:lineRule="exac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407" w:type="dxa"/>
            <w:vAlign w:val="center"/>
          </w:tcPr>
          <w:p w14:paraId="2D1F246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无水乙醇生产线</w:t>
            </w:r>
          </w:p>
        </w:tc>
        <w:tc>
          <w:tcPr>
            <w:tcW w:w="1700" w:type="dxa"/>
            <w:gridSpan w:val="2"/>
            <w:vAlign w:val="center"/>
          </w:tcPr>
          <w:p w14:paraId="1EC357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无水乙醇</w:t>
            </w:r>
            <w:r>
              <w:rPr>
                <w:rFonts w:ascii="Times New Roman" w:eastAsia="宋体" w:hAnsi="Times New Roman" w:cs="Times New Roman"/>
                <w:kern w:val="0"/>
                <w:szCs w:val="21"/>
              </w:rPr>
              <w:t>(≥99.99%,V/V)</w:t>
            </w:r>
          </w:p>
        </w:tc>
        <w:tc>
          <w:tcPr>
            <w:tcW w:w="1281" w:type="dxa"/>
            <w:vAlign w:val="center"/>
          </w:tcPr>
          <w:p w14:paraId="471041B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60000</w:t>
            </w:r>
          </w:p>
        </w:tc>
        <w:tc>
          <w:tcPr>
            <w:tcW w:w="1276" w:type="dxa"/>
            <w:vAlign w:val="center"/>
          </w:tcPr>
          <w:p w14:paraId="55B6BD0F" w14:textId="77777777" w:rsidR="002133E3" w:rsidRDefault="00C22CFA">
            <w:pPr>
              <w:overflowPunct w:val="0"/>
              <w:adjustRightInd w:val="0"/>
              <w:spacing w:line="280" w:lineRule="exac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7200</w:t>
            </w:r>
          </w:p>
        </w:tc>
        <w:tc>
          <w:tcPr>
            <w:tcW w:w="3537" w:type="dxa"/>
            <w:vAlign w:val="center"/>
          </w:tcPr>
          <w:p w14:paraId="5E7FDAA3" w14:textId="77777777" w:rsidR="002133E3" w:rsidRDefault="00C22CFA">
            <w:pPr>
              <w:overflowPunct w:val="0"/>
              <w:adjustRightInd w:val="0"/>
              <w:spacing w:line="280" w:lineRule="exact"/>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酒精原料全部来源于</w:t>
            </w:r>
            <w:r>
              <w:rPr>
                <w:rFonts w:ascii="Times New Roman" w:eastAsia="宋体" w:hAnsi="Times New Roman" w:cs="Times New Roman"/>
                <w:kern w:val="0"/>
                <w:szCs w:val="21"/>
              </w:rPr>
              <w:t>10</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酒精生产线</w:t>
            </w:r>
          </w:p>
        </w:tc>
      </w:tr>
    </w:tbl>
    <w:bookmarkEnd w:id="31"/>
    <w:p w14:paraId="412F2971"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4.1-2  </w:t>
      </w:r>
      <w:r>
        <w:rPr>
          <w:rFonts w:ascii="Times New Roman" w:eastAsia="宋体" w:hAnsi="Times New Roman" w:cs="Times New Roman"/>
          <w:b/>
          <w:bCs/>
          <w:sz w:val="24"/>
          <w:szCs w:val="20"/>
        </w:rPr>
        <w:t>改、扩建项目建成后全厂主体工程及产品方案表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1890"/>
        <w:gridCol w:w="1102"/>
        <w:gridCol w:w="1575"/>
        <w:gridCol w:w="1117"/>
        <w:gridCol w:w="1015"/>
        <w:gridCol w:w="1013"/>
        <w:gridCol w:w="818"/>
        <w:gridCol w:w="775"/>
      </w:tblGrid>
      <w:tr w:rsidR="002133E3" w14:paraId="30277369" w14:textId="77777777">
        <w:trPr>
          <w:trHeight w:val="284"/>
          <w:jc w:val="center"/>
        </w:trPr>
        <w:tc>
          <w:tcPr>
            <w:tcW w:w="278" w:type="pct"/>
            <w:vMerge w:val="restart"/>
            <w:tcBorders>
              <w:top w:val="single" w:sz="4" w:space="0" w:color="auto"/>
              <w:left w:val="single" w:sz="4" w:space="0" w:color="auto"/>
              <w:right w:val="single" w:sz="4" w:space="0" w:color="auto"/>
            </w:tcBorders>
            <w:vAlign w:val="center"/>
          </w:tcPr>
          <w:p w14:paraId="4955A8F2"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959" w:type="pct"/>
            <w:vMerge w:val="restart"/>
            <w:tcBorders>
              <w:top w:val="single" w:sz="4" w:space="0" w:color="auto"/>
              <w:left w:val="single" w:sz="4" w:space="0" w:color="auto"/>
              <w:right w:val="single" w:sz="4" w:space="0" w:color="auto"/>
            </w:tcBorders>
            <w:vAlign w:val="center"/>
          </w:tcPr>
          <w:p w14:paraId="763F1E08"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工程名称</w:t>
            </w:r>
          </w:p>
        </w:tc>
        <w:tc>
          <w:tcPr>
            <w:tcW w:w="1358" w:type="pct"/>
            <w:gridSpan w:val="2"/>
            <w:vMerge w:val="restart"/>
            <w:tcBorders>
              <w:top w:val="single" w:sz="4" w:space="0" w:color="auto"/>
              <w:left w:val="single" w:sz="4" w:space="0" w:color="auto"/>
              <w:right w:val="single" w:sz="4" w:space="0" w:color="auto"/>
            </w:tcBorders>
            <w:vAlign w:val="center"/>
          </w:tcPr>
          <w:p w14:paraId="6E701C1A"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产品及副产</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规格</w:t>
            </w:r>
            <w:r>
              <w:rPr>
                <w:rFonts w:ascii="Times New Roman" w:eastAsia="宋体" w:hAnsi="Times New Roman" w:cs="Times New Roman"/>
                <w:b/>
                <w:bCs/>
                <w:kern w:val="0"/>
                <w:szCs w:val="21"/>
              </w:rPr>
              <w:t>)</w:t>
            </w:r>
          </w:p>
        </w:tc>
        <w:tc>
          <w:tcPr>
            <w:tcW w:w="1596" w:type="pct"/>
            <w:gridSpan w:val="3"/>
            <w:tcBorders>
              <w:top w:val="single" w:sz="4" w:space="0" w:color="auto"/>
              <w:left w:val="single" w:sz="4" w:space="0" w:color="auto"/>
              <w:bottom w:val="single" w:sz="4" w:space="0" w:color="auto"/>
              <w:right w:val="single" w:sz="4" w:space="0" w:color="auto"/>
            </w:tcBorders>
            <w:vAlign w:val="center"/>
          </w:tcPr>
          <w:p w14:paraId="5DF313B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设计能力</w:t>
            </w:r>
            <w:r>
              <w:rPr>
                <w:rFonts w:ascii="Times New Roman" w:eastAsia="宋体" w:hAnsi="Times New Roman" w:cs="Times New Roman"/>
                <w:b/>
                <w:bCs/>
                <w:kern w:val="0"/>
                <w:szCs w:val="21"/>
              </w:rPr>
              <w:t>(t/a)</w:t>
            </w:r>
          </w:p>
        </w:tc>
        <w:tc>
          <w:tcPr>
            <w:tcW w:w="415" w:type="pct"/>
            <w:vMerge w:val="restart"/>
            <w:tcBorders>
              <w:top w:val="single" w:sz="4" w:space="0" w:color="auto"/>
              <w:left w:val="single" w:sz="4" w:space="0" w:color="auto"/>
              <w:right w:val="single" w:sz="4" w:space="0" w:color="auto"/>
            </w:tcBorders>
            <w:vAlign w:val="center"/>
          </w:tcPr>
          <w:p w14:paraId="51495B6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运行时数</w:t>
            </w:r>
          </w:p>
        </w:tc>
        <w:tc>
          <w:tcPr>
            <w:tcW w:w="393" w:type="pct"/>
            <w:vMerge w:val="restart"/>
            <w:tcBorders>
              <w:top w:val="single" w:sz="4" w:space="0" w:color="auto"/>
              <w:left w:val="single" w:sz="4" w:space="0" w:color="auto"/>
              <w:right w:val="single" w:sz="4" w:space="0" w:color="auto"/>
            </w:tcBorders>
            <w:vAlign w:val="center"/>
          </w:tcPr>
          <w:p w14:paraId="06456B06" w14:textId="77777777" w:rsidR="002133E3" w:rsidRDefault="00C22CFA">
            <w:pPr>
              <w:widowControl/>
              <w:snapToGrid w:val="0"/>
              <w:jc w:val="center"/>
              <w:rPr>
                <w:rFonts w:ascii="Times New Roman" w:eastAsia="宋体" w:hAnsi="Times New Roman" w:cs="Times New Roman"/>
                <w:b/>
                <w:bCs/>
                <w:szCs w:val="21"/>
              </w:rPr>
            </w:pPr>
            <w:r>
              <w:rPr>
                <w:rFonts w:ascii="Times New Roman" w:eastAsia="宋体" w:hAnsi="Times New Roman" w:cs="Times New Roman"/>
                <w:b/>
                <w:szCs w:val="21"/>
              </w:rPr>
              <w:t>备注</w:t>
            </w:r>
          </w:p>
        </w:tc>
      </w:tr>
      <w:tr w:rsidR="002133E3" w14:paraId="2BA1187E" w14:textId="77777777">
        <w:trPr>
          <w:trHeight w:val="284"/>
          <w:jc w:val="center"/>
        </w:trPr>
        <w:tc>
          <w:tcPr>
            <w:tcW w:w="278" w:type="pct"/>
            <w:vMerge/>
            <w:tcBorders>
              <w:left w:val="single" w:sz="4" w:space="0" w:color="auto"/>
              <w:bottom w:val="single" w:sz="4" w:space="0" w:color="auto"/>
              <w:right w:val="single" w:sz="4" w:space="0" w:color="auto"/>
            </w:tcBorders>
            <w:vAlign w:val="center"/>
          </w:tcPr>
          <w:p w14:paraId="74835FC1" w14:textId="77777777" w:rsidR="002133E3" w:rsidRDefault="002133E3">
            <w:pPr>
              <w:widowControl/>
              <w:snapToGrid w:val="0"/>
              <w:jc w:val="center"/>
              <w:rPr>
                <w:rFonts w:ascii="Times New Roman" w:eastAsia="宋体" w:hAnsi="Times New Roman" w:cs="Times New Roman"/>
                <w:b/>
                <w:bCs/>
                <w:kern w:val="0"/>
                <w:szCs w:val="21"/>
              </w:rPr>
            </w:pPr>
          </w:p>
        </w:tc>
        <w:tc>
          <w:tcPr>
            <w:tcW w:w="959" w:type="pct"/>
            <w:vMerge/>
            <w:tcBorders>
              <w:left w:val="single" w:sz="4" w:space="0" w:color="auto"/>
              <w:bottom w:val="single" w:sz="4" w:space="0" w:color="auto"/>
              <w:right w:val="single" w:sz="4" w:space="0" w:color="auto"/>
            </w:tcBorders>
            <w:vAlign w:val="center"/>
          </w:tcPr>
          <w:p w14:paraId="6EFD5C6E" w14:textId="77777777" w:rsidR="002133E3" w:rsidRDefault="002133E3">
            <w:pPr>
              <w:widowControl/>
              <w:snapToGrid w:val="0"/>
              <w:jc w:val="center"/>
              <w:rPr>
                <w:rFonts w:ascii="Times New Roman" w:eastAsia="宋体" w:hAnsi="Times New Roman" w:cs="Times New Roman"/>
                <w:b/>
                <w:bCs/>
                <w:kern w:val="0"/>
                <w:szCs w:val="21"/>
              </w:rPr>
            </w:pPr>
          </w:p>
        </w:tc>
        <w:tc>
          <w:tcPr>
            <w:tcW w:w="1358" w:type="pct"/>
            <w:gridSpan w:val="2"/>
            <w:vMerge/>
            <w:tcBorders>
              <w:left w:val="single" w:sz="4" w:space="0" w:color="auto"/>
              <w:bottom w:val="single" w:sz="4" w:space="0" w:color="auto"/>
              <w:right w:val="single" w:sz="4" w:space="0" w:color="auto"/>
            </w:tcBorders>
            <w:vAlign w:val="center"/>
          </w:tcPr>
          <w:p w14:paraId="08CFE8C4" w14:textId="77777777" w:rsidR="002133E3" w:rsidRDefault="002133E3">
            <w:pPr>
              <w:widowControl/>
              <w:snapToGrid w:val="0"/>
              <w:jc w:val="center"/>
              <w:rPr>
                <w:rFonts w:ascii="Times New Roman" w:eastAsia="宋体" w:hAnsi="Times New Roman" w:cs="Times New Roman"/>
                <w:b/>
                <w:bCs/>
                <w:kern w:val="0"/>
                <w:szCs w:val="21"/>
              </w:rPr>
            </w:pPr>
          </w:p>
        </w:tc>
        <w:tc>
          <w:tcPr>
            <w:tcW w:w="567" w:type="pct"/>
            <w:tcBorders>
              <w:top w:val="single" w:sz="4" w:space="0" w:color="auto"/>
              <w:left w:val="single" w:sz="4" w:space="0" w:color="auto"/>
              <w:bottom w:val="single" w:sz="4" w:space="0" w:color="auto"/>
              <w:right w:val="single" w:sz="4" w:space="0" w:color="auto"/>
            </w:tcBorders>
            <w:vAlign w:val="center"/>
          </w:tcPr>
          <w:p w14:paraId="2B2163F9"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改建前</w:t>
            </w:r>
          </w:p>
        </w:tc>
        <w:tc>
          <w:tcPr>
            <w:tcW w:w="515" w:type="pct"/>
            <w:tcBorders>
              <w:top w:val="single" w:sz="4" w:space="0" w:color="auto"/>
              <w:left w:val="single" w:sz="4" w:space="0" w:color="auto"/>
              <w:bottom w:val="single" w:sz="4" w:space="0" w:color="auto"/>
              <w:right w:val="single" w:sz="4" w:space="0" w:color="auto"/>
            </w:tcBorders>
            <w:vAlign w:val="center"/>
          </w:tcPr>
          <w:p w14:paraId="3B0506D9"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改建后</w:t>
            </w:r>
          </w:p>
        </w:tc>
        <w:tc>
          <w:tcPr>
            <w:tcW w:w="514" w:type="pct"/>
            <w:tcBorders>
              <w:top w:val="single" w:sz="4" w:space="0" w:color="auto"/>
              <w:left w:val="single" w:sz="4" w:space="0" w:color="auto"/>
              <w:bottom w:val="single" w:sz="4" w:space="0" w:color="auto"/>
              <w:right w:val="single" w:sz="4" w:space="0" w:color="auto"/>
            </w:tcBorders>
            <w:vAlign w:val="center"/>
          </w:tcPr>
          <w:p w14:paraId="4AE47FEF"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变化量</w:t>
            </w:r>
          </w:p>
        </w:tc>
        <w:tc>
          <w:tcPr>
            <w:tcW w:w="415" w:type="pct"/>
            <w:vMerge/>
            <w:tcBorders>
              <w:left w:val="single" w:sz="4" w:space="0" w:color="auto"/>
              <w:bottom w:val="single" w:sz="4" w:space="0" w:color="auto"/>
              <w:right w:val="single" w:sz="4" w:space="0" w:color="auto"/>
            </w:tcBorders>
            <w:vAlign w:val="center"/>
          </w:tcPr>
          <w:p w14:paraId="3B0CCA24" w14:textId="77777777" w:rsidR="002133E3" w:rsidRDefault="002133E3">
            <w:pPr>
              <w:widowControl/>
              <w:snapToGrid w:val="0"/>
              <w:jc w:val="center"/>
              <w:rPr>
                <w:rFonts w:ascii="Times New Roman" w:eastAsia="宋体" w:hAnsi="Times New Roman" w:cs="Times New Roman"/>
                <w:b/>
                <w:bCs/>
                <w:kern w:val="0"/>
                <w:szCs w:val="21"/>
              </w:rPr>
            </w:pPr>
          </w:p>
        </w:tc>
        <w:tc>
          <w:tcPr>
            <w:tcW w:w="393" w:type="pct"/>
            <w:vMerge/>
            <w:tcBorders>
              <w:left w:val="single" w:sz="4" w:space="0" w:color="auto"/>
              <w:bottom w:val="single" w:sz="4" w:space="0" w:color="auto"/>
              <w:right w:val="single" w:sz="4" w:space="0" w:color="auto"/>
            </w:tcBorders>
            <w:vAlign w:val="center"/>
          </w:tcPr>
          <w:p w14:paraId="74B3AA81" w14:textId="77777777" w:rsidR="002133E3" w:rsidRDefault="002133E3">
            <w:pPr>
              <w:widowControl/>
              <w:snapToGrid w:val="0"/>
              <w:jc w:val="center"/>
              <w:rPr>
                <w:rFonts w:ascii="Times New Roman" w:eastAsia="宋体" w:hAnsi="Times New Roman" w:cs="Times New Roman"/>
                <w:b/>
                <w:szCs w:val="21"/>
              </w:rPr>
            </w:pPr>
          </w:p>
        </w:tc>
      </w:tr>
      <w:tr w:rsidR="002133E3" w14:paraId="6B8A7C89" w14:textId="77777777">
        <w:trPr>
          <w:trHeight w:val="284"/>
          <w:jc w:val="center"/>
        </w:trPr>
        <w:tc>
          <w:tcPr>
            <w:tcW w:w="278" w:type="pct"/>
            <w:tcBorders>
              <w:top w:val="single" w:sz="4" w:space="0" w:color="auto"/>
              <w:left w:val="single" w:sz="4" w:space="0" w:color="auto"/>
              <w:right w:val="single" w:sz="4" w:space="0" w:color="auto"/>
            </w:tcBorders>
            <w:vAlign w:val="center"/>
          </w:tcPr>
          <w:p w14:paraId="5E35568A"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1</w:t>
            </w:r>
          </w:p>
        </w:tc>
        <w:tc>
          <w:tcPr>
            <w:tcW w:w="959" w:type="pct"/>
            <w:tcBorders>
              <w:top w:val="single" w:sz="4" w:space="0" w:color="auto"/>
              <w:left w:val="single" w:sz="4" w:space="0" w:color="auto"/>
              <w:bottom w:val="single" w:sz="4" w:space="0" w:color="auto"/>
              <w:right w:val="single" w:sz="4" w:space="0" w:color="auto"/>
            </w:tcBorders>
            <w:vAlign w:val="center"/>
          </w:tcPr>
          <w:p w14:paraId="3F45D1E3"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醋酸乙酯生产线</w:t>
            </w:r>
          </w:p>
        </w:tc>
        <w:tc>
          <w:tcPr>
            <w:tcW w:w="1358" w:type="pct"/>
            <w:gridSpan w:val="2"/>
            <w:tcBorders>
              <w:top w:val="single" w:sz="4" w:space="0" w:color="auto"/>
              <w:left w:val="single" w:sz="4" w:space="0" w:color="auto"/>
              <w:bottom w:val="single" w:sz="4" w:space="0" w:color="auto"/>
              <w:right w:val="single" w:sz="4" w:space="0" w:color="auto"/>
            </w:tcBorders>
            <w:vAlign w:val="center"/>
          </w:tcPr>
          <w:p w14:paraId="7491BE90"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醋酸乙酯</w:t>
            </w:r>
            <w:r>
              <w:rPr>
                <w:rFonts w:ascii="Times New Roman" w:eastAsia="宋体" w:hAnsi="Times New Roman" w:cs="Times New Roman"/>
                <w:kern w:val="0"/>
                <w:szCs w:val="21"/>
              </w:rPr>
              <w:t>(≥99%)</w:t>
            </w:r>
          </w:p>
        </w:tc>
        <w:tc>
          <w:tcPr>
            <w:tcW w:w="567" w:type="pct"/>
            <w:tcBorders>
              <w:top w:val="single" w:sz="4" w:space="0" w:color="auto"/>
              <w:left w:val="single" w:sz="4" w:space="0" w:color="auto"/>
              <w:bottom w:val="single" w:sz="4" w:space="0" w:color="auto"/>
              <w:right w:val="single" w:sz="4" w:space="0" w:color="auto"/>
            </w:tcBorders>
            <w:vAlign w:val="center"/>
          </w:tcPr>
          <w:p w14:paraId="164896FF"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20</w:t>
            </w:r>
            <w:r>
              <w:rPr>
                <w:rFonts w:ascii="Times New Roman" w:eastAsia="宋体" w:hAnsi="Times New Roman" w:cs="Times New Roman"/>
                <w:kern w:val="0"/>
                <w:szCs w:val="21"/>
              </w:rPr>
              <w:t>万</w:t>
            </w:r>
          </w:p>
        </w:tc>
        <w:tc>
          <w:tcPr>
            <w:tcW w:w="515" w:type="pct"/>
            <w:tcBorders>
              <w:top w:val="single" w:sz="4" w:space="0" w:color="auto"/>
              <w:left w:val="single" w:sz="4" w:space="0" w:color="auto"/>
              <w:right w:val="single" w:sz="4" w:space="0" w:color="auto"/>
            </w:tcBorders>
            <w:vAlign w:val="center"/>
          </w:tcPr>
          <w:p w14:paraId="79D571B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r>
              <w:rPr>
                <w:rFonts w:ascii="Times New Roman" w:eastAsia="宋体" w:hAnsi="Times New Roman" w:cs="Times New Roman"/>
                <w:kern w:val="0"/>
                <w:szCs w:val="21"/>
              </w:rPr>
              <w:t>万</w:t>
            </w:r>
          </w:p>
        </w:tc>
        <w:tc>
          <w:tcPr>
            <w:tcW w:w="514" w:type="pct"/>
            <w:tcBorders>
              <w:top w:val="single" w:sz="4" w:space="0" w:color="auto"/>
              <w:left w:val="single" w:sz="4" w:space="0" w:color="auto"/>
              <w:right w:val="single" w:sz="4" w:space="0" w:color="auto"/>
            </w:tcBorders>
            <w:vAlign w:val="center"/>
          </w:tcPr>
          <w:p w14:paraId="0C77E1A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415" w:type="pct"/>
            <w:vMerge w:val="restart"/>
            <w:tcBorders>
              <w:top w:val="single" w:sz="4" w:space="0" w:color="auto"/>
              <w:left w:val="single" w:sz="4" w:space="0" w:color="auto"/>
              <w:right w:val="single" w:sz="4" w:space="0" w:color="auto"/>
            </w:tcBorders>
            <w:vAlign w:val="center"/>
          </w:tcPr>
          <w:p w14:paraId="6E18A6CC"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kern w:val="0"/>
                <w:szCs w:val="21"/>
              </w:rPr>
              <w:t>7200</w:t>
            </w:r>
          </w:p>
        </w:tc>
        <w:tc>
          <w:tcPr>
            <w:tcW w:w="393" w:type="pct"/>
            <w:vMerge w:val="restart"/>
            <w:tcBorders>
              <w:top w:val="single" w:sz="4" w:space="0" w:color="auto"/>
              <w:left w:val="single" w:sz="4" w:space="0" w:color="auto"/>
              <w:right w:val="single" w:sz="4" w:space="0" w:color="auto"/>
            </w:tcBorders>
            <w:vAlign w:val="center"/>
          </w:tcPr>
          <w:p w14:paraId="42C3C5DD"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szCs w:val="21"/>
              </w:rPr>
              <w:t>已建</w:t>
            </w:r>
          </w:p>
        </w:tc>
      </w:tr>
      <w:tr w:rsidR="002133E3" w14:paraId="5E273FA4" w14:textId="77777777">
        <w:trPr>
          <w:trHeight w:val="284"/>
          <w:jc w:val="center"/>
        </w:trPr>
        <w:tc>
          <w:tcPr>
            <w:tcW w:w="278" w:type="pct"/>
            <w:vMerge w:val="restart"/>
            <w:tcBorders>
              <w:left w:val="single" w:sz="4" w:space="0" w:color="auto"/>
              <w:right w:val="single" w:sz="4" w:space="0" w:color="auto"/>
            </w:tcBorders>
            <w:vAlign w:val="center"/>
          </w:tcPr>
          <w:p w14:paraId="3AD8780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959" w:type="pct"/>
            <w:vMerge w:val="restart"/>
            <w:tcBorders>
              <w:top w:val="single" w:sz="4" w:space="0" w:color="auto"/>
              <w:left w:val="single" w:sz="4" w:space="0" w:color="auto"/>
              <w:right w:val="single" w:sz="4" w:space="0" w:color="auto"/>
            </w:tcBorders>
            <w:vAlign w:val="center"/>
          </w:tcPr>
          <w:p w14:paraId="1D81598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酒精生产线</w:t>
            </w:r>
          </w:p>
        </w:tc>
        <w:tc>
          <w:tcPr>
            <w:tcW w:w="1358" w:type="pct"/>
            <w:gridSpan w:val="2"/>
            <w:tcBorders>
              <w:top w:val="single" w:sz="4" w:space="0" w:color="auto"/>
              <w:left w:val="single" w:sz="4" w:space="0" w:color="auto"/>
              <w:bottom w:val="single" w:sz="4" w:space="0" w:color="auto"/>
              <w:right w:val="single" w:sz="4" w:space="0" w:color="auto"/>
            </w:tcBorders>
            <w:vAlign w:val="center"/>
          </w:tcPr>
          <w:p w14:paraId="065406E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r>
              <w:rPr>
                <w:rFonts w:ascii="Times New Roman" w:eastAsia="宋体" w:hAnsi="Times New Roman" w:cs="Times New Roman"/>
                <w:kern w:val="0"/>
                <w:szCs w:val="21"/>
              </w:rPr>
              <w:t>(≥95%,V/V)</w:t>
            </w:r>
          </w:p>
        </w:tc>
        <w:tc>
          <w:tcPr>
            <w:tcW w:w="567" w:type="pct"/>
            <w:tcBorders>
              <w:top w:val="single" w:sz="4" w:space="0" w:color="auto"/>
              <w:left w:val="single" w:sz="4" w:space="0" w:color="auto"/>
              <w:bottom w:val="single" w:sz="4" w:space="0" w:color="auto"/>
              <w:right w:val="single" w:sz="4" w:space="0" w:color="auto"/>
            </w:tcBorders>
            <w:vAlign w:val="center"/>
          </w:tcPr>
          <w:p w14:paraId="60999F9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15" w:type="pct"/>
            <w:tcBorders>
              <w:left w:val="single" w:sz="4" w:space="0" w:color="auto"/>
              <w:right w:val="single" w:sz="4" w:space="0" w:color="auto"/>
            </w:tcBorders>
            <w:vAlign w:val="center"/>
          </w:tcPr>
          <w:p w14:paraId="008D1FC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14" w:type="pct"/>
            <w:tcBorders>
              <w:left w:val="single" w:sz="4" w:space="0" w:color="auto"/>
              <w:right w:val="single" w:sz="4" w:space="0" w:color="auto"/>
            </w:tcBorders>
            <w:vAlign w:val="center"/>
          </w:tcPr>
          <w:p w14:paraId="4108012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415" w:type="pct"/>
            <w:vMerge/>
            <w:tcBorders>
              <w:left w:val="single" w:sz="4" w:space="0" w:color="auto"/>
              <w:right w:val="single" w:sz="4" w:space="0" w:color="auto"/>
            </w:tcBorders>
            <w:vAlign w:val="center"/>
          </w:tcPr>
          <w:p w14:paraId="6B2157C3" w14:textId="77777777" w:rsidR="002133E3" w:rsidRDefault="002133E3">
            <w:pPr>
              <w:snapToGrid w:val="0"/>
              <w:jc w:val="center"/>
              <w:rPr>
                <w:rFonts w:ascii="Times New Roman" w:eastAsia="宋体" w:hAnsi="Times New Roman" w:cs="Times New Roman"/>
                <w:kern w:val="0"/>
                <w:szCs w:val="21"/>
              </w:rPr>
            </w:pPr>
          </w:p>
        </w:tc>
        <w:tc>
          <w:tcPr>
            <w:tcW w:w="393" w:type="pct"/>
            <w:vMerge/>
            <w:tcBorders>
              <w:left w:val="single" w:sz="4" w:space="0" w:color="auto"/>
              <w:right w:val="single" w:sz="4" w:space="0" w:color="auto"/>
            </w:tcBorders>
            <w:vAlign w:val="center"/>
          </w:tcPr>
          <w:p w14:paraId="7930BF49" w14:textId="77777777" w:rsidR="002133E3" w:rsidRDefault="002133E3">
            <w:pPr>
              <w:widowControl/>
              <w:snapToGrid w:val="0"/>
              <w:jc w:val="center"/>
              <w:rPr>
                <w:rFonts w:ascii="Times New Roman" w:eastAsia="宋体" w:hAnsi="Times New Roman" w:cs="Times New Roman"/>
                <w:kern w:val="0"/>
                <w:szCs w:val="21"/>
              </w:rPr>
            </w:pPr>
          </w:p>
        </w:tc>
      </w:tr>
      <w:tr w:rsidR="002133E3" w14:paraId="59449BB3" w14:textId="77777777">
        <w:trPr>
          <w:trHeight w:val="284"/>
          <w:jc w:val="center"/>
        </w:trPr>
        <w:tc>
          <w:tcPr>
            <w:tcW w:w="278" w:type="pct"/>
            <w:vMerge/>
            <w:tcBorders>
              <w:left w:val="single" w:sz="4" w:space="0" w:color="auto"/>
              <w:right w:val="single" w:sz="4" w:space="0" w:color="auto"/>
            </w:tcBorders>
            <w:vAlign w:val="center"/>
          </w:tcPr>
          <w:p w14:paraId="22C1549E" w14:textId="77777777" w:rsidR="002133E3" w:rsidRDefault="002133E3">
            <w:pPr>
              <w:snapToGrid w:val="0"/>
              <w:jc w:val="center"/>
              <w:rPr>
                <w:rFonts w:ascii="Times New Roman" w:eastAsia="宋体" w:hAnsi="Times New Roman" w:cs="Times New Roman"/>
                <w:kern w:val="0"/>
                <w:szCs w:val="21"/>
              </w:rPr>
            </w:pPr>
          </w:p>
        </w:tc>
        <w:tc>
          <w:tcPr>
            <w:tcW w:w="959" w:type="pct"/>
            <w:vMerge/>
            <w:tcBorders>
              <w:left w:val="single" w:sz="4" w:space="0" w:color="auto"/>
              <w:right w:val="single" w:sz="4" w:space="0" w:color="auto"/>
            </w:tcBorders>
            <w:vAlign w:val="center"/>
          </w:tcPr>
          <w:p w14:paraId="6DD7E34C" w14:textId="77777777" w:rsidR="002133E3" w:rsidRDefault="002133E3">
            <w:pPr>
              <w:widowControl/>
              <w:snapToGrid w:val="0"/>
              <w:jc w:val="center"/>
              <w:rPr>
                <w:rFonts w:ascii="Times New Roman" w:eastAsia="宋体" w:hAnsi="Times New Roman" w:cs="Times New Roman"/>
                <w:kern w:val="0"/>
                <w:szCs w:val="21"/>
              </w:rPr>
            </w:pPr>
          </w:p>
        </w:tc>
        <w:tc>
          <w:tcPr>
            <w:tcW w:w="559" w:type="pct"/>
            <w:tcBorders>
              <w:top w:val="single" w:sz="4" w:space="0" w:color="auto"/>
              <w:left w:val="single" w:sz="4" w:space="0" w:color="auto"/>
              <w:right w:val="single" w:sz="4" w:space="0" w:color="auto"/>
            </w:tcBorders>
            <w:vAlign w:val="center"/>
          </w:tcPr>
          <w:p w14:paraId="0E37D9C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799" w:type="pct"/>
            <w:tcBorders>
              <w:top w:val="single" w:sz="4" w:space="0" w:color="auto"/>
              <w:left w:val="single" w:sz="4" w:space="0" w:color="auto"/>
              <w:bottom w:val="single" w:sz="4" w:space="0" w:color="auto"/>
              <w:right w:val="single" w:sz="4" w:space="0" w:color="auto"/>
            </w:tcBorders>
            <w:vAlign w:val="center"/>
          </w:tcPr>
          <w:p w14:paraId="0FA9F12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67" w:type="pct"/>
            <w:tcBorders>
              <w:top w:val="single" w:sz="4" w:space="0" w:color="auto"/>
              <w:left w:val="single" w:sz="4" w:space="0" w:color="auto"/>
              <w:bottom w:val="single" w:sz="4" w:space="0" w:color="auto"/>
              <w:right w:val="single" w:sz="4" w:space="0" w:color="auto"/>
            </w:tcBorders>
            <w:vAlign w:val="center"/>
          </w:tcPr>
          <w:p w14:paraId="0593FF9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c>
          <w:tcPr>
            <w:tcW w:w="515" w:type="pct"/>
            <w:tcBorders>
              <w:left w:val="single" w:sz="4" w:space="0" w:color="auto"/>
              <w:right w:val="single" w:sz="4" w:space="0" w:color="auto"/>
            </w:tcBorders>
            <w:vAlign w:val="center"/>
          </w:tcPr>
          <w:p w14:paraId="19C108B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c>
          <w:tcPr>
            <w:tcW w:w="514" w:type="pct"/>
            <w:tcBorders>
              <w:left w:val="single" w:sz="4" w:space="0" w:color="auto"/>
              <w:right w:val="single" w:sz="4" w:space="0" w:color="auto"/>
            </w:tcBorders>
            <w:vAlign w:val="center"/>
          </w:tcPr>
          <w:p w14:paraId="1D782B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415" w:type="pct"/>
            <w:vMerge/>
            <w:tcBorders>
              <w:left w:val="single" w:sz="4" w:space="0" w:color="auto"/>
              <w:right w:val="single" w:sz="4" w:space="0" w:color="auto"/>
            </w:tcBorders>
            <w:vAlign w:val="center"/>
          </w:tcPr>
          <w:p w14:paraId="262B763F" w14:textId="77777777" w:rsidR="002133E3" w:rsidRDefault="002133E3">
            <w:pPr>
              <w:snapToGrid w:val="0"/>
              <w:jc w:val="center"/>
              <w:rPr>
                <w:rFonts w:ascii="Times New Roman" w:eastAsia="宋体" w:hAnsi="Times New Roman" w:cs="Times New Roman"/>
                <w:kern w:val="0"/>
                <w:szCs w:val="21"/>
              </w:rPr>
            </w:pPr>
          </w:p>
        </w:tc>
        <w:tc>
          <w:tcPr>
            <w:tcW w:w="393" w:type="pct"/>
            <w:vMerge/>
            <w:tcBorders>
              <w:left w:val="single" w:sz="4" w:space="0" w:color="auto"/>
              <w:right w:val="single" w:sz="4" w:space="0" w:color="auto"/>
            </w:tcBorders>
            <w:vAlign w:val="center"/>
          </w:tcPr>
          <w:p w14:paraId="6C64274D" w14:textId="77777777" w:rsidR="002133E3" w:rsidRDefault="002133E3">
            <w:pPr>
              <w:widowControl/>
              <w:snapToGrid w:val="0"/>
              <w:jc w:val="center"/>
              <w:rPr>
                <w:rFonts w:ascii="Times New Roman" w:eastAsia="宋体" w:hAnsi="Times New Roman" w:cs="Times New Roman"/>
                <w:kern w:val="0"/>
                <w:szCs w:val="21"/>
              </w:rPr>
            </w:pPr>
          </w:p>
        </w:tc>
      </w:tr>
      <w:tr w:rsidR="002133E3" w14:paraId="385DD7CF" w14:textId="77777777">
        <w:trPr>
          <w:trHeight w:val="284"/>
          <w:jc w:val="center"/>
        </w:trPr>
        <w:tc>
          <w:tcPr>
            <w:tcW w:w="278" w:type="pct"/>
            <w:tcBorders>
              <w:left w:val="single" w:sz="4" w:space="0" w:color="auto"/>
              <w:right w:val="single" w:sz="4" w:space="0" w:color="auto"/>
            </w:tcBorders>
            <w:vAlign w:val="center"/>
          </w:tcPr>
          <w:p w14:paraId="3815FD1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959" w:type="pct"/>
            <w:tcBorders>
              <w:top w:val="single" w:sz="4" w:space="0" w:color="auto"/>
              <w:left w:val="single" w:sz="4" w:space="0" w:color="auto"/>
              <w:bottom w:val="single" w:sz="4" w:space="0" w:color="auto"/>
              <w:right w:val="single" w:sz="4" w:space="0" w:color="auto"/>
            </w:tcBorders>
            <w:vAlign w:val="center"/>
          </w:tcPr>
          <w:p w14:paraId="3E9A434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乙醛生产线</w:t>
            </w:r>
          </w:p>
        </w:tc>
        <w:tc>
          <w:tcPr>
            <w:tcW w:w="1358" w:type="pct"/>
            <w:gridSpan w:val="2"/>
            <w:tcBorders>
              <w:top w:val="single" w:sz="4" w:space="0" w:color="auto"/>
              <w:left w:val="single" w:sz="4" w:space="0" w:color="auto"/>
              <w:bottom w:val="single" w:sz="4" w:space="0" w:color="auto"/>
              <w:right w:val="single" w:sz="4" w:space="0" w:color="auto"/>
            </w:tcBorders>
            <w:vAlign w:val="center"/>
          </w:tcPr>
          <w:p w14:paraId="3F12D26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乙醛</w:t>
            </w:r>
            <w:r>
              <w:rPr>
                <w:rFonts w:ascii="Times New Roman" w:eastAsia="宋体" w:hAnsi="Times New Roman" w:cs="Times New Roman"/>
                <w:kern w:val="0"/>
                <w:szCs w:val="21"/>
              </w:rPr>
              <w:t>(≥98%)</w:t>
            </w:r>
          </w:p>
        </w:tc>
        <w:tc>
          <w:tcPr>
            <w:tcW w:w="567" w:type="pct"/>
            <w:tcBorders>
              <w:top w:val="single" w:sz="4" w:space="0" w:color="auto"/>
              <w:left w:val="single" w:sz="4" w:space="0" w:color="auto"/>
              <w:bottom w:val="single" w:sz="4" w:space="0" w:color="auto"/>
              <w:right w:val="single" w:sz="4" w:space="0" w:color="auto"/>
            </w:tcBorders>
            <w:vAlign w:val="center"/>
          </w:tcPr>
          <w:p w14:paraId="501F9A2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15" w:type="pct"/>
            <w:tcBorders>
              <w:left w:val="single" w:sz="4" w:space="0" w:color="auto"/>
              <w:right w:val="single" w:sz="4" w:space="0" w:color="auto"/>
            </w:tcBorders>
            <w:vAlign w:val="center"/>
          </w:tcPr>
          <w:p w14:paraId="676AB6D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14" w:type="pct"/>
            <w:tcBorders>
              <w:left w:val="single" w:sz="4" w:space="0" w:color="auto"/>
              <w:right w:val="single" w:sz="4" w:space="0" w:color="auto"/>
            </w:tcBorders>
            <w:vAlign w:val="center"/>
          </w:tcPr>
          <w:p w14:paraId="03F5580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415" w:type="pct"/>
            <w:vMerge/>
            <w:tcBorders>
              <w:left w:val="single" w:sz="4" w:space="0" w:color="auto"/>
              <w:right w:val="single" w:sz="4" w:space="0" w:color="auto"/>
            </w:tcBorders>
            <w:vAlign w:val="center"/>
          </w:tcPr>
          <w:p w14:paraId="763F0365" w14:textId="77777777" w:rsidR="002133E3" w:rsidRDefault="002133E3">
            <w:pPr>
              <w:widowControl/>
              <w:snapToGrid w:val="0"/>
              <w:jc w:val="center"/>
              <w:rPr>
                <w:rFonts w:ascii="Times New Roman" w:eastAsia="宋体" w:hAnsi="Times New Roman" w:cs="Times New Roman"/>
                <w:kern w:val="0"/>
                <w:szCs w:val="21"/>
              </w:rPr>
            </w:pPr>
          </w:p>
        </w:tc>
        <w:tc>
          <w:tcPr>
            <w:tcW w:w="393" w:type="pct"/>
            <w:tcBorders>
              <w:left w:val="single" w:sz="4" w:space="0" w:color="auto"/>
              <w:right w:val="single" w:sz="4" w:space="0" w:color="auto"/>
            </w:tcBorders>
            <w:vAlign w:val="center"/>
          </w:tcPr>
          <w:p w14:paraId="6A72276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rPr>
              <w:t>已建</w:t>
            </w:r>
          </w:p>
        </w:tc>
      </w:tr>
      <w:tr w:rsidR="002133E3" w14:paraId="547FA7D5" w14:textId="77777777">
        <w:trPr>
          <w:trHeight w:val="284"/>
          <w:jc w:val="center"/>
        </w:trPr>
        <w:tc>
          <w:tcPr>
            <w:tcW w:w="278" w:type="pct"/>
            <w:vMerge w:val="restart"/>
            <w:tcBorders>
              <w:top w:val="single" w:sz="4" w:space="0" w:color="auto"/>
              <w:left w:val="single" w:sz="4" w:space="0" w:color="auto"/>
              <w:right w:val="single" w:sz="4" w:space="0" w:color="auto"/>
            </w:tcBorders>
            <w:vAlign w:val="center"/>
          </w:tcPr>
          <w:p w14:paraId="032CE7AF"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4</w:t>
            </w:r>
          </w:p>
        </w:tc>
        <w:tc>
          <w:tcPr>
            <w:tcW w:w="959" w:type="pct"/>
            <w:vMerge w:val="restart"/>
            <w:tcBorders>
              <w:top w:val="single" w:sz="4" w:space="0" w:color="auto"/>
              <w:left w:val="single" w:sz="4" w:space="0" w:color="auto"/>
              <w:right w:val="single" w:sz="4" w:space="0" w:color="auto"/>
            </w:tcBorders>
            <w:vAlign w:val="center"/>
          </w:tcPr>
          <w:p w14:paraId="6CC0E2FD"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丁二酸生产线</w:t>
            </w:r>
          </w:p>
        </w:tc>
        <w:tc>
          <w:tcPr>
            <w:tcW w:w="1358" w:type="pct"/>
            <w:gridSpan w:val="2"/>
            <w:tcBorders>
              <w:top w:val="single" w:sz="4" w:space="0" w:color="auto"/>
              <w:left w:val="single" w:sz="4" w:space="0" w:color="auto"/>
              <w:bottom w:val="single" w:sz="4" w:space="0" w:color="auto"/>
              <w:right w:val="single" w:sz="4" w:space="0" w:color="auto"/>
            </w:tcBorders>
            <w:vAlign w:val="center"/>
          </w:tcPr>
          <w:p w14:paraId="3ED0E984"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丁二酸</w:t>
            </w:r>
            <w:r>
              <w:rPr>
                <w:rFonts w:ascii="Times New Roman" w:eastAsia="宋体" w:hAnsi="Times New Roman" w:cs="Times New Roman"/>
                <w:kern w:val="0"/>
                <w:szCs w:val="21"/>
              </w:rPr>
              <w:t>(≥99.5%)</w:t>
            </w:r>
          </w:p>
        </w:tc>
        <w:tc>
          <w:tcPr>
            <w:tcW w:w="567" w:type="pct"/>
            <w:tcBorders>
              <w:top w:val="single" w:sz="4" w:space="0" w:color="auto"/>
              <w:left w:val="single" w:sz="4" w:space="0" w:color="auto"/>
              <w:bottom w:val="single" w:sz="4" w:space="0" w:color="auto"/>
              <w:right w:val="single" w:sz="4" w:space="0" w:color="auto"/>
            </w:tcBorders>
            <w:vAlign w:val="center"/>
          </w:tcPr>
          <w:p w14:paraId="6F9B4331"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3</w:t>
            </w:r>
            <w:r>
              <w:rPr>
                <w:rFonts w:ascii="Times New Roman" w:eastAsia="宋体" w:hAnsi="Times New Roman" w:cs="Times New Roman"/>
                <w:kern w:val="0"/>
                <w:szCs w:val="21"/>
              </w:rPr>
              <w:t>万</w:t>
            </w:r>
          </w:p>
        </w:tc>
        <w:tc>
          <w:tcPr>
            <w:tcW w:w="515" w:type="pct"/>
            <w:tcBorders>
              <w:top w:val="single" w:sz="4" w:space="0" w:color="auto"/>
              <w:left w:val="single" w:sz="4" w:space="0" w:color="auto"/>
              <w:right w:val="single" w:sz="4" w:space="0" w:color="auto"/>
            </w:tcBorders>
            <w:vAlign w:val="center"/>
          </w:tcPr>
          <w:p w14:paraId="326DB1A0"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万</w:t>
            </w:r>
          </w:p>
        </w:tc>
        <w:tc>
          <w:tcPr>
            <w:tcW w:w="514" w:type="pct"/>
            <w:tcBorders>
              <w:top w:val="single" w:sz="4" w:space="0" w:color="auto"/>
              <w:left w:val="single" w:sz="4" w:space="0" w:color="auto"/>
              <w:right w:val="single" w:sz="4" w:space="0" w:color="auto"/>
            </w:tcBorders>
            <w:vAlign w:val="center"/>
          </w:tcPr>
          <w:p w14:paraId="354426A9"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415" w:type="pct"/>
            <w:vMerge w:val="restart"/>
            <w:tcBorders>
              <w:top w:val="single" w:sz="4" w:space="0" w:color="auto"/>
              <w:left w:val="single" w:sz="4" w:space="0" w:color="auto"/>
              <w:right w:val="single" w:sz="4" w:space="0" w:color="auto"/>
            </w:tcBorders>
            <w:vAlign w:val="center"/>
          </w:tcPr>
          <w:p w14:paraId="128BEB94"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7200</w:t>
            </w:r>
          </w:p>
        </w:tc>
        <w:tc>
          <w:tcPr>
            <w:tcW w:w="393" w:type="pct"/>
            <w:vMerge w:val="restart"/>
            <w:tcBorders>
              <w:top w:val="single" w:sz="4" w:space="0" w:color="auto"/>
              <w:left w:val="single" w:sz="4" w:space="0" w:color="auto"/>
              <w:right w:val="single" w:sz="4" w:space="0" w:color="auto"/>
            </w:tcBorders>
            <w:vAlign w:val="center"/>
          </w:tcPr>
          <w:p w14:paraId="1CD93980"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未建</w:t>
            </w:r>
          </w:p>
        </w:tc>
      </w:tr>
      <w:tr w:rsidR="002133E3" w14:paraId="5E1F29A6" w14:textId="77777777">
        <w:trPr>
          <w:trHeight w:val="284"/>
          <w:jc w:val="center"/>
        </w:trPr>
        <w:tc>
          <w:tcPr>
            <w:tcW w:w="278" w:type="pct"/>
            <w:vMerge/>
            <w:tcBorders>
              <w:left w:val="single" w:sz="4" w:space="0" w:color="auto"/>
              <w:bottom w:val="single" w:sz="4" w:space="0" w:color="auto"/>
              <w:right w:val="single" w:sz="4" w:space="0" w:color="auto"/>
            </w:tcBorders>
            <w:vAlign w:val="center"/>
          </w:tcPr>
          <w:p w14:paraId="40568965"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959" w:type="pct"/>
            <w:vMerge/>
            <w:tcBorders>
              <w:left w:val="single" w:sz="4" w:space="0" w:color="auto"/>
              <w:right w:val="single" w:sz="4" w:space="0" w:color="auto"/>
            </w:tcBorders>
            <w:vAlign w:val="center"/>
          </w:tcPr>
          <w:p w14:paraId="52E1BA90" w14:textId="77777777" w:rsidR="002133E3" w:rsidRDefault="002133E3">
            <w:pPr>
              <w:adjustRightInd w:val="0"/>
              <w:snapToGrid w:val="0"/>
              <w:jc w:val="center"/>
              <w:rPr>
                <w:rFonts w:ascii="Times New Roman" w:eastAsia="宋体" w:hAnsi="Times New Roman" w:cs="Times New Roman"/>
                <w:kern w:val="0"/>
                <w:szCs w:val="21"/>
              </w:rPr>
            </w:pPr>
          </w:p>
        </w:tc>
        <w:tc>
          <w:tcPr>
            <w:tcW w:w="559" w:type="pct"/>
            <w:tcBorders>
              <w:top w:val="single" w:sz="4" w:space="0" w:color="auto"/>
              <w:left w:val="single" w:sz="4" w:space="0" w:color="auto"/>
              <w:bottom w:val="single" w:sz="4" w:space="0" w:color="auto"/>
              <w:right w:val="single" w:sz="4" w:space="0" w:color="auto"/>
            </w:tcBorders>
            <w:vAlign w:val="center"/>
          </w:tcPr>
          <w:p w14:paraId="38BEFC1B"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799" w:type="pct"/>
            <w:tcBorders>
              <w:top w:val="single" w:sz="4" w:space="0" w:color="auto"/>
              <w:left w:val="single" w:sz="4" w:space="0" w:color="auto"/>
              <w:bottom w:val="single" w:sz="4" w:space="0" w:color="auto"/>
              <w:right w:val="single" w:sz="4" w:space="0" w:color="auto"/>
            </w:tcBorders>
            <w:vAlign w:val="center"/>
          </w:tcPr>
          <w:p w14:paraId="11DA70D4"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硫酸钠</w:t>
            </w:r>
            <w:r>
              <w:rPr>
                <w:rFonts w:ascii="Times New Roman" w:eastAsia="宋体" w:hAnsi="Times New Roman" w:cs="Times New Roman"/>
                <w:kern w:val="0"/>
                <w:szCs w:val="21"/>
              </w:rPr>
              <w:t>(95%)</w:t>
            </w:r>
          </w:p>
        </w:tc>
        <w:tc>
          <w:tcPr>
            <w:tcW w:w="567" w:type="pct"/>
            <w:tcBorders>
              <w:top w:val="single" w:sz="4" w:space="0" w:color="auto"/>
              <w:left w:val="single" w:sz="4" w:space="0" w:color="auto"/>
              <w:bottom w:val="single" w:sz="4" w:space="0" w:color="auto"/>
              <w:right w:val="single" w:sz="4" w:space="0" w:color="auto"/>
            </w:tcBorders>
            <w:vAlign w:val="center"/>
          </w:tcPr>
          <w:p w14:paraId="04272067"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37957.9</w:t>
            </w:r>
          </w:p>
        </w:tc>
        <w:tc>
          <w:tcPr>
            <w:tcW w:w="515" w:type="pct"/>
            <w:tcBorders>
              <w:left w:val="single" w:sz="4" w:space="0" w:color="auto"/>
              <w:right w:val="single" w:sz="4" w:space="0" w:color="auto"/>
            </w:tcBorders>
            <w:vAlign w:val="center"/>
          </w:tcPr>
          <w:p w14:paraId="6C12C969"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37957.9</w:t>
            </w:r>
          </w:p>
        </w:tc>
        <w:tc>
          <w:tcPr>
            <w:tcW w:w="514" w:type="pct"/>
            <w:tcBorders>
              <w:left w:val="single" w:sz="4" w:space="0" w:color="auto"/>
              <w:right w:val="single" w:sz="4" w:space="0" w:color="auto"/>
            </w:tcBorders>
            <w:vAlign w:val="center"/>
          </w:tcPr>
          <w:p w14:paraId="27C5B19D"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0</w:t>
            </w:r>
          </w:p>
        </w:tc>
        <w:tc>
          <w:tcPr>
            <w:tcW w:w="415" w:type="pct"/>
            <w:vMerge/>
            <w:tcBorders>
              <w:left w:val="single" w:sz="4" w:space="0" w:color="auto"/>
              <w:right w:val="single" w:sz="4" w:space="0" w:color="auto"/>
            </w:tcBorders>
            <w:vAlign w:val="center"/>
          </w:tcPr>
          <w:p w14:paraId="663BA03C"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93" w:type="pct"/>
            <w:vMerge/>
            <w:tcBorders>
              <w:left w:val="single" w:sz="4" w:space="0" w:color="auto"/>
              <w:bottom w:val="single" w:sz="4" w:space="0" w:color="auto"/>
              <w:right w:val="single" w:sz="4" w:space="0" w:color="auto"/>
            </w:tcBorders>
            <w:vAlign w:val="center"/>
          </w:tcPr>
          <w:p w14:paraId="187F1396"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17C05558" w14:textId="77777777">
        <w:trPr>
          <w:trHeight w:val="284"/>
          <w:jc w:val="center"/>
        </w:trPr>
        <w:tc>
          <w:tcPr>
            <w:tcW w:w="278" w:type="pct"/>
            <w:vMerge w:val="restart"/>
            <w:tcBorders>
              <w:top w:val="single" w:sz="4" w:space="0" w:color="auto"/>
              <w:left w:val="single" w:sz="4" w:space="0" w:color="auto"/>
              <w:right w:val="single" w:sz="4" w:space="0" w:color="auto"/>
            </w:tcBorders>
            <w:vAlign w:val="center"/>
          </w:tcPr>
          <w:p w14:paraId="6C8D9C12"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5</w:t>
            </w:r>
          </w:p>
        </w:tc>
        <w:tc>
          <w:tcPr>
            <w:tcW w:w="959" w:type="pct"/>
            <w:vMerge w:val="restart"/>
            <w:tcBorders>
              <w:left w:val="single" w:sz="4" w:space="0" w:color="auto"/>
              <w:right w:val="single" w:sz="4" w:space="0" w:color="auto"/>
            </w:tcBorders>
            <w:vAlign w:val="center"/>
          </w:tcPr>
          <w:p w14:paraId="0FA9456B"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万吨发酵法混合物生产线</w:t>
            </w:r>
          </w:p>
        </w:tc>
        <w:tc>
          <w:tcPr>
            <w:tcW w:w="1358" w:type="pct"/>
            <w:gridSpan w:val="2"/>
            <w:tcBorders>
              <w:top w:val="single" w:sz="4" w:space="0" w:color="auto"/>
              <w:left w:val="single" w:sz="4" w:space="0" w:color="auto"/>
              <w:bottom w:val="single" w:sz="4" w:space="0" w:color="auto"/>
              <w:right w:val="single" w:sz="4" w:space="0" w:color="auto"/>
            </w:tcBorders>
            <w:vAlign w:val="center"/>
          </w:tcPr>
          <w:p w14:paraId="6BD8DC7B"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正丁醇</w:t>
            </w:r>
            <w:r>
              <w:rPr>
                <w:rFonts w:ascii="Times New Roman" w:eastAsia="宋体" w:hAnsi="Times New Roman" w:cs="Times New Roman"/>
                <w:kern w:val="0"/>
                <w:szCs w:val="21"/>
              </w:rPr>
              <w:t>(99%)</w:t>
            </w:r>
          </w:p>
        </w:tc>
        <w:tc>
          <w:tcPr>
            <w:tcW w:w="567" w:type="pct"/>
            <w:tcBorders>
              <w:top w:val="single" w:sz="4" w:space="0" w:color="auto"/>
              <w:left w:val="single" w:sz="4" w:space="0" w:color="auto"/>
              <w:bottom w:val="single" w:sz="4" w:space="0" w:color="auto"/>
              <w:right w:val="single" w:sz="4" w:space="0" w:color="auto"/>
            </w:tcBorders>
            <w:vAlign w:val="center"/>
          </w:tcPr>
          <w:p w14:paraId="798F46E0"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3.6</w:t>
            </w:r>
            <w:r>
              <w:rPr>
                <w:rFonts w:ascii="Times New Roman" w:eastAsia="宋体" w:hAnsi="Times New Roman" w:cs="Times New Roman"/>
                <w:kern w:val="0"/>
                <w:szCs w:val="21"/>
              </w:rPr>
              <w:t>万</w:t>
            </w:r>
          </w:p>
        </w:tc>
        <w:tc>
          <w:tcPr>
            <w:tcW w:w="515" w:type="pct"/>
            <w:tcBorders>
              <w:left w:val="single" w:sz="4" w:space="0" w:color="auto"/>
              <w:right w:val="single" w:sz="4" w:space="0" w:color="auto"/>
            </w:tcBorders>
            <w:vAlign w:val="center"/>
          </w:tcPr>
          <w:p w14:paraId="089F0AAC"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3.6</w:t>
            </w:r>
            <w:r>
              <w:rPr>
                <w:rFonts w:ascii="Times New Roman" w:eastAsia="宋体" w:hAnsi="Times New Roman" w:cs="Times New Roman"/>
                <w:kern w:val="0"/>
                <w:szCs w:val="21"/>
              </w:rPr>
              <w:t>万</w:t>
            </w:r>
          </w:p>
        </w:tc>
        <w:tc>
          <w:tcPr>
            <w:tcW w:w="514" w:type="pct"/>
            <w:tcBorders>
              <w:left w:val="single" w:sz="4" w:space="0" w:color="auto"/>
              <w:right w:val="single" w:sz="4" w:space="0" w:color="auto"/>
            </w:tcBorders>
            <w:vAlign w:val="center"/>
          </w:tcPr>
          <w:p w14:paraId="58690F5F"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415" w:type="pct"/>
            <w:vMerge w:val="restart"/>
            <w:tcBorders>
              <w:left w:val="single" w:sz="4" w:space="0" w:color="auto"/>
              <w:right w:val="single" w:sz="4" w:space="0" w:color="auto"/>
            </w:tcBorders>
            <w:vAlign w:val="center"/>
          </w:tcPr>
          <w:p w14:paraId="517F93C4"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7200</w:t>
            </w:r>
          </w:p>
        </w:tc>
        <w:tc>
          <w:tcPr>
            <w:tcW w:w="393" w:type="pct"/>
            <w:vMerge w:val="restart"/>
            <w:tcBorders>
              <w:top w:val="single" w:sz="4" w:space="0" w:color="auto"/>
              <w:left w:val="single" w:sz="4" w:space="0" w:color="auto"/>
              <w:right w:val="single" w:sz="4" w:space="0" w:color="auto"/>
            </w:tcBorders>
            <w:vAlign w:val="center"/>
          </w:tcPr>
          <w:p w14:paraId="2654A165"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szCs w:val="21"/>
              </w:rPr>
              <w:t>已建</w:t>
            </w:r>
          </w:p>
        </w:tc>
      </w:tr>
      <w:tr w:rsidR="002133E3" w14:paraId="38D04DA7" w14:textId="77777777">
        <w:trPr>
          <w:trHeight w:val="284"/>
          <w:jc w:val="center"/>
        </w:trPr>
        <w:tc>
          <w:tcPr>
            <w:tcW w:w="278" w:type="pct"/>
            <w:vMerge/>
            <w:tcBorders>
              <w:left w:val="single" w:sz="4" w:space="0" w:color="auto"/>
              <w:right w:val="single" w:sz="4" w:space="0" w:color="auto"/>
            </w:tcBorders>
            <w:vAlign w:val="center"/>
          </w:tcPr>
          <w:p w14:paraId="4896C68B"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959" w:type="pct"/>
            <w:vMerge/>
            <w:tcBorders>
              <w:left w:val="single" w:sz="4" w:space="0" w:color="auto"/>
              <w:right w:val="single" w:sz="4" w:space="0" w:color="auto"/>
            </w:tcBorders>
            <w:vAlign w:val="center"/>
          </w:tcPr>
          <w:p w14:paraId="5B4B9777" w14:textId="77777777" w:rsidR="002133E3" w:rsidRDefault="002133E3">
            <w:pPr>
              <w:adjustRightInd w:val="0"/>
              <w:snapToGrid w:val="0"/>
              <w:jc w:val="center"/>
              <w:rPr>
                <w:rFonts w:ascii="Times New Roman" w:eastAsia="宋体" w:hAnsi="Times New Roman" w:cs="Times New Roman"/>
                <w:kern w:val="0"/>
                <w:szCs w:val="21"/>
              </w:rPr>
            </w:pPr>
          </w:p>
        </w:tc>
        <w:tc>
          <w:tcPr>
            <w:tcW w:w="559" w:type="pct"/>
            <w:vMerge w:val="restart"/>
            <w:tcBorders>
              <w:top w:val="single" w:sz="4" w:space="0" w:color="auto"/>
              <w:left w:val="single" w:sz="4" w:space="0" w:color="auto"/>
              <w:right w:val="single" w:sz="4" w:space="0" w:color="auto"/>
            </w:tcBorders>
            <w:vAlign w:val="center"/>
          </w:tcPr>
          <w:p w14:paraId="7DFE8951"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c>
          <w:tcPr>
            <w:tcW w:w="799" w:type="pct"/>
            <w:tcBorders>
              <w:top w:val="single" w:sz="4" w:space="0" w:color="auto"/>
              <w:left w:val="single" w:sz="4" w:space="0" w:color="auto"/>
              <w:bottom w:val="single" w:sz="4" w:space="0" w:color="auto"/>
              <w:right w:val="single" w:sz="4" w:space="0" w:color="auto"/>
            </w:tcBorders>
            <w:vAlign w:val="center"/>
          </w:tcPr>
          <w:p w14:paraId="28E6E782"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丙酮</w:t>
            </w:r>
            <w:r>
              <w:rPr>
                <w:rFonts w:ascii="Times New Roman" w:eastAsia="宋体" w:hAnsi="Times New Roman" w:cs="Times New Roman"/>
                <w:kern w:val="0"/>
                <w:szCs w:val="21"/>
              </w:rPr>
              <w:t>(99%)</w:t>
            </w:r>
          </w:p>
        </w:tc>
        <w:tc>
          <w:tcPr>
            <w:tcW w:w="567" w:type="pct"/>
            <w:tcBorders>
              <w:top w:val="single" w:sz="4" w:space="0" w:color="auto"/>
              <w:left w:val="single" w:sz="4" w:space="0" w:color="auto"/>
              <w:bottom w:val="single" w:sz="4" w:space="0" w:color="auto"/>
              <w:right w:val="single" w:sz="4" w:space="0" w:color="auto"/>
            </w:tcBorders>
            <w:vAlign w:val="center"/>
          </w:tcPr>
          <w:p w14:paraId="3D4C1C1A"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1.8</w:t>
            </w:r>
            <w:r>
              <w:rPr>
                <w:rFonts w:ascii="Times New Roman" w:eastAsia="宋体" w:hAnsi="Times New Roman" w:cs="Times New Roman"/>
                <w:kern w:val="0"/>
                <w:szCs w:val="21"/>
              </w:rPr>
              <w:t>万</w:t>
            </w:r>
          </w:p>
        </w:tc>
        <w:tc>
          <w:tcPr>
            <w:tcW w:w="515" w:type="pct"/>
            <w:tcBorders>
              <w:left w:val="single" w:sz="4" w:space="0" w:color="auto"/>
              <w:right w:val="single" w:sz="4" w:space="0" w:color="auto"/>
            </w:tcBorders>
            <w:vAlign w:val="center"/>
          </w:tcPr>
          <w:p w14:paraId="2BDEDBED"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1.8</w:t>
            </w:r>
            <w:r>
              <w:rPr>
                <w:rFonts w:ascii="Times New Roman" w:eastAsia="宋体" w:hAnsi="Times New Roman" w:cs="Times New Roman"/>
                <w:kern w:val="0"/>
                <w:szCs w:val="21"/>
              </w:rPr>
              <w:t>万</w:t>
            </w:r>
          </w:p>
        </w:tc>
        <w:tc>
          <w:tcPr>
            <w:tcW w:w="514" w:type="pct"/>
            <w:tcBorders>
              <w:left w:val="single" w:sz="4" w:space="0" w:color="auto"/>
              <w:right w:val="single" w:sz="4" w:space="0" w:color="auto"/>
            </w:tcBorders>
            <w:vAlign w:val="center"/>
          </w:tcPr>
          <w:p w14:paraId="1FA7DBB5"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0</w:t>
            </w:r>
          </w:p>
        </w:tc>
        <w:tc>
          <w:tcPr>
            <w:tcW w:w="415" w:type="pct"/>
            <w:vMerge/>
            <w:tcBorders>
              <w:left w:val="single" w:sz="4" w:space="0" w:color="auto"/>
              <w:right w:val="single" w:sz="4" w:space="0" w:color="auto"/>
            </w:tcBorders>
            <w:vAlign w:val="center"/>
          </w:tcPr>
          <w:p w14:paraId="05A4629C"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93" w:type="pct"/>
            <w:vMerge/>
            <w:tcBorders>
              <w:left w:val="single" w:sz="4" w:space="0" w:color="auto"/>
              <w:right w:val="single" w:sz="4" w:space="0" w:color="auto"/>
            </w:tcBorders>
            <w:vAlign w:val="center"/>
          </w:tcPr>
          <w:p w14:paraId="0E67A276"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3263E669" w14:textId="77777777">
        <w:trPr>
          <w:trHeight w:val="284"/>
          <w:jc w:val="center"/>
        </w:trPr>
        <w:tc>
          <w:tcPr>
            <w:tcW w:w="278" w:type="pct"/>
            <w:vMerge/>
            <w:tcBorders>
              <w:left w:val="single" w:sz="4" w:space="0" w:color="auto"/>
              <w:right w:val="single" w:sz="4" w:space="0" w:color="auto"/>
            </w:tcBorders>
            <w:vAlign w:val="center"/>
          </w:tcPr>
          <w:p w14:paraId="2A3FCFC5"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959" w:type="pct"/>
            <w:vMerge/>
            <w:tcBorders>
              <w:left w:val="single" w:sz="4" w:space="0" w:color="auto"/>
              <w:right w:val="single" w:sz="4" w:space="0" w:color="auto"/>
            </w:tcBorders>
            <w:vAlign w:val="center"/>
          </w:tcPr>
          <w:p w14:paraId="6D1272B5" w14:textId="77777777" w:rsidR="002133E3" w:rsidRDefault="002133E3">
            <w:pPr>
              <w:adjustRightInd w:val="0"/>
              <w:snapToGrid w:val="0"/>
              <w:jc w:val="center"/>
              <w:rPr>
                <w:rFonts w:ascii="Times New Roman" w:eastAsia="宋体" w:hAnsi="Times New Roman" w:cs="Times New Roman"/>
                <w:kern w:val="0"/>
                <w:szCs w:val="21"/>
              </w:rPr>
            </w:pPr>
          </w:p>
        </w:tc>
        <w:tc>
          <w:tcPr>
            <w:tcW w:w="559" w:type="pct"/>
            <w:vMerge/>
            <w:tcBorders>
              <w:left w:val="single" w:sz="4" w:space="0" w:color="auto"/>
              <w:right w:val="single" w:sz="4" w:space="0" w:color="auto"/>
            </w:tcBorders>
            <w:vAlign w:val="center"/>
          </w:tcPr>
          <w:p w14:paraId="77C78828" w14:textId="77777777" w:rsidR="002133E3" w:rsidRDefault="002133E3">
            <w:pPr>
              <w:adjustRightInd w:val="0"/>
              <w:snapToGrid w:val="0"/>
              <w:jc w:val="center"/>
              <w:rPr>
                <w:rFonts w:ascii="Times New Roman" w:eastAsia="宋体" w:hAnsi="Times New Roman" w:cs="Times New Roman"/>
                <w:kern w:val="0"/>
                <w:szCs w:val="21"/>
              </w:rPr>
            </w:pPr>
          </w:p>
        </w:tc>
        <w:tc>
          <w:tcPr>
            <w:tcW w:w="799" w:type="pct"/>
            <w:tcBorders>
              <w:top w:val="single" w:sz="4" w:space="0" w:color="auto"/>
              <w:left w:val="single" w:sz="4" w:space="0" w:color="auto"/>
              <w:bottom w:val="single" w:sz="4" w:space="0" w:color="auto"/>
              <w:right w:val="single" w:sz="4" w:space="0" w:color="auto"/>
            </w:tcBorders>
            <w:vAlign w:val="center"/>
          </w:tcPr>
          <w:p w14:paraId="3CBF50DB"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r>
              <w:rPr>
                <w:rFonts w:ascii="Times New Roman" w:eastAsia="宋体" w:hAnsi="Times New Roman" w:cs="Times New Roman"/>
                <w:kern w:val="0"/>
                <w:szCs w:val="21"/>
              </w:rPr>
              <w:t>(95%)</w:t>
            </w:r>
          </w:p>
        </w:tc>
        <w:tc>
          <w:tcPr>
            <w:tcW w:w="567" w:type="pct"/>
            <w:tcBorders>
              <w:top w:val="single" w:sz="4" w:space="0" w:color="auto"/>
              <w:left w:val="single" w:sz="4" w:space="0" w:color="auto"/>
              <w:bottom w:val="single" w:sz="4" w:space="0" w:color="auto"/>
              <w:right w:val="single" w:sz="4" w:space="0" w:color="auto"/>
            </w:tcBorders>
            <w:vAlign w:val="center"/>
          </w:tcPr>
          <w:p w14:paraId="128DB1CF"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w:t>
            </w:r>
            <w:r>
              <w:rPr>
                <w:rFonts w:ascii="Times New Roman" w:eastAsia="宋体" w:hAnsi="Times New Roman" w:cs="Times New Roman"/>
                <w:kern w:val="0"/>
                <w:szCs w:val="21"/>
              </w:rPr>
              <w:t>万</w:t>
            </w:r>
          </w:p>
        </w:tc>
        <w:tc>
          <w:tcPr>
            <w:tcW w:w="515" w:type="pct"/>
            <w:tcBorders>
              <w:left w:val="single" w:sz="4" w:space="0" w:color="auto"/>
              <w:right w:val="single" w:sz="4" w:space="0" w:color="auto"/>
            </w:tcBorders>
            <w:vAlign w:val="center"/>
          </w:tcPr>
          <w:p w14:paraId="60EB1A47"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0.6</w:t>
            </w:r>
            <w:r>
              <w:rPr>
                <w:rFonts w:ascii="Times New Roman" w:eastAsia="宋体" w:hAnsi="Times New Roman" w:cs="Times New Roman"/>
                <w:kern w:val="0"/>
                <w:szCs w:val="21"/>
              </w:rPr>
              <w:t>万</w:t>
            </w:r>
          </w:p>
        </w:tc>
        <w:tc>
          <w:tcPr>
            <w:tcW w:w="514" w:type="pct"/>
            <w:tcBorders>
              <w:left w:val="single" w:sz="4" w:space="0" w:color="auto"/>
              <w:right w:val="single" w:sz="4" w:space="0" w:color="auto"/>
            </w:tcBorders>
            <w:vAlign w:val="center"/>
          </w:tcPr>
          <w:p w14:paraId="365C0BF5"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0</w:t>
            </w:r>
          </w:p>
        </w:tc>
        <w:tc>
          <w:tcPr>
            <w:tcW w:w="415" w:type="pct"/>
            <w:vMerge/>
            <w:tcBorders>
              <w:left w:val="single" w:sz="4" w:space="0" w:color="auto"/>
              <w:right w:val="single" w:sz="4" w:space="0" w:color="auto"/>
            </w:tcBorders>
            <w:vAlign w:val="center"/>
          </w:tcPr>
          <w:p w14:paraId="04437AA4"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93" w:type="pct"/>
            <w:vMerge/>
            <w:tcBorders>
              <w:left w:val="single" w:sz="4" w:space="0" w:color="auto"/>
              <w:right w:val="single" w:sz="4" w:space="0" w:color="auto"/>
            </w:tcBorders>
            <w:vAlign w:val="center"/>
          </w:tcPr>
          <w:p w14:paraId="2BC4A7BE"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30301604" w14:textId="77777777">
        <w:trPr>
          <w:trHeight w:val="284"/>
          <w:jc w:val="center"/>
        </w:trPr>
        <w:tc>
          <w:tcPr>
            <w:tcW w:w="278" w:type="pct"/>
            <w:vMerge/>
            <w:tcBorders>
              <w:left w:val="single" w:sz="4" w:space="0" w:color="auto"/>
              <w:right w:val="single" w:sz="4" w:space="0" w:color="auto"/>
            </w:tcBorders>
            <w:vAlign w:val="center"/>
          </w:tcPr>
          <w:p w14:paraId="3D8B2170"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959" w:type="pct"/>
            <w:vMerge/>
            <w:tcBorders>
              <w:left w:val="single" w:sz="4" w:space="0" w:color="auto"/>
              <w:right w:val="single" w:sz="4" w:space="0" w:color="auto"/>
            </w:tcBorders>
            <w:vAlign w:val="center"/>
          </w:tcPr>
          <w:p w14:paraId="1D8E909E" w14:textId="77777777" w:rsidR="002133E3" w:rsidRDefault="002133E3">
            <w:pPr>
              <w:adjustRightInd w:val="0"/>
              <w:snapToGrid w:val="0"/>
              <w:jc w:val="center"/>
              <w:rPr>
                <w:rFonts w:ascii="Times New Roman" w:eastAsia="宋体" w:hAnsi="Times New Roman" w:cs="Times New Roman"/>
                <w:kern w:val="0"/>
                <w:szCs w:val="21"/>
              </w:rPr>
            </w:pPr>
          </w:p>
        </w:tc>
        <w:tc>
          <w:tcPr>
            <w:tcW w:w="559" w:type="pct"/>
            <w:vMerge/>
            <w:tcBorders>
              <w:left w:val="single" w:sz="4" w:space="0" w:color="auto"/>
              <w:right w:val="single" w:sz="4" w:space="0" w:color="auto"/>
            </w:tcBorders>
            <w:vAlign w:val="center"/>
          </w:tcPr>
          <w:p w14:paraId="014EC974" w14:textId="77777777" w:rsidR="002133E3" w:rsidRDefault="002133E3">
            <w:pPr>
              <w:adjustRightInd w:val="0"/>
              <w:snapToGrid w:val="0"/>
              <w:jc w:val="center"/>
              <w:rPr>
                <w:rFonts w:ascii="Times New Roman" w:eastAsia="宋体" w:hAnsi="Times New Roman" w:cs="Times New Roman"/>
                <w:kern w:val="0"/>
                <w:szCs w:val="21"/>
              </w:rPr>
            </w:pPr>
          </w:p>
        </w:tc>
        <w:tc>
          <w:tcPr>
            <w:tcW w:w="799" w:type="pct"/>
            <w:tcBorders>
              <w:top w:val="single" w:sz="4" w:space="0" w:color="auto"/>
              <w:left w:val="single" w:sz="4" w:space="0" w:color="auto"/>
              <w:bottom w:val="single" w:sz="4" w:space="0" w:color="auto"/>
              <w:right w:val="single" w:sz="4" w:space="0" w:color="auto"/>
            </w:tcBorders>
            <w:vAlign w:val="center"/>
          </w:tcPr>
          <w:p w14:paraId="469328A1"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67" w:type="pct"/>
            <w:tcBorders>
              <w:top w:val="single" w:sz="4" w:space="0" w:color="auto"/>
              <w:left w:val="single" w:sz="4" w:space="0" w:color="auto"/>
              <w:bottom w:val="single" w:sz="4" w:space="0" w:color="auto"/>
              <w:right w:val="single" w:sz="4" w:space="0" w:color="auto"/>
            </w:tcBorders>
            <w:vAlign w:val="center"/>
          </w:tcPr>
          <w:p w14:paraId="168A78E4"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c>
          <w:tcPr>
            <w:tcW w:w="515" w:type="pct"/>
            <w:tcBorders>
              <w:left w:val="single" w:sz="4" w:space="0" w:color="auto"/>
              <w:right w:val="single" w:sz="4" w:space="0" w:color="auto"/>
            </w:tcBorders>
            <w:vAlign w:val="center"/>
          </w:tcPr>
          <w:p w14:paraId="594C7DF2"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1000</w:t>
            </w:r>
          </w:p>
        </w:tc>
        <w:tc>
          <w:tcPr>
            <w:tcW w:w="514" w:type="pct"/>
            <w:tcBorders>
              <w:left w:val="single" w:sz="4" w:space="0" w:color="auto"/>
              <w:right w:val="single" w:sz="4" w:space="0" w:color="auto"/>
            </w:tcBorders>
            <w:vAlign w:val="center"/>
          </w:tcPr>
          <w:p w14:paraId="668892D1"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0</w:t>
            </w:r>
          </w:p>
        </w:tc>
        <w:tc>
          <w:tcPr>
            <w:tcW w:w="415" w:type="pct"/>
            <w:vMerge/>
            <w:tcBorders>
              <w:left w:val="single" w:sz="4" w:space="0" w:color="auto"/>
              <w:right w:val="single" w:sz="4" w:space="0" w:color="auto"/>
            </w:tcBorders>
            <w:vAlign w:val="center"/>
          </w:tcPr>
          <w:p w14:paraId="207536F7" w14:textId="77777777" w:rsidR="002133E3" w:rsidRDefault="002133E3">
            <w:pPr>
              <w:adjustRightInd w:val="0"/>
              <w:snapToGrid w:val="0"/>
              <w:jc w:val="center"/>
              <w:rPr>
                <w:rFonts w:ascii="Times New Roman" w:eastAsia="宋体" w:hAnsi="Times New Roman" w:cs="Times New Roman"/>
                <w:kern w:val="0"/>
                <w:szCs w:val="21"/>
                <w:lang w:val="zh-CN"/>
              </w:rPr>
            </w:pPr>
          </w:p>
        </w:tc>
        <w:tc>
          <w:tcPr>
            <w:tcW w:w="393" w:type="pct"/>
            <w:vMerge/>
            <w:tcBorders>
              <w:left w:val="single" w:sz="4" w:space="0" w:color="auto"/>
              <w:right w:val="single" w:sz="4" w:space="0" w:color="auto"/>
            </w:tcBorders>
            <w:vAlign w:val="center"/>
          </w:tcPr>
          <w:p w14:paraId="4BCA6FCE" w14:textId="77777777" w:rsidR="002133E3" w:rsidRDefault="002133E3">
            <w:pPr>
              <w:adjustRightInd w:val="0"/>
              <w:snapToGrid w:val="0"/>
              <w:jc w:val="center"/>
              <w:rPr>
                <w:rFonts w:ascii="Times New Roman" w:eastAsia="宋体" w:hAnsi="Times New Roman" w:cs="Times New Roman"/>
                <w:kern w:val="0"/>
                <w:szCs w:val="21"/>
                <w:lang w:val="zh-CN"/>
              </w:rPr>
            </w:pPr>
          </w:p>
        </w:tc>
      </w:tr>
      <w:tr w:rsidR="002133E3" w14:paraId="582DF9C1" w14:textId="77777777">
        <w:trPr>
          <w:trHeight w:val="284"/>
          <w:jc w:val="center"/>
        </w:trPr>
        <w:tc>
          <w:tcPr>
            <w:tcW w:w="278" w:type="pct"/>
            <w:tcBorders>
              <w:left w:val="single" w:sz="4" w:space="0" w:color="auto"/>
              <w:right w:val="single" w:sz="4" w:space="0" w:color="auto"/>
            </w:tcBorders>
            <w:vAlign w:val="center"/>
          </w:tcPr>
          <w:p w14:paraId="3FC96BAC"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6</w:t>
            </w:r>
          </w:p>
        </w:tc>
        <w:tc>
          <w:tcPr>
            <w:tcW w:w="959" w:type="pct"/>
            <w:tcBorders>
              <w:left w:val="single" w:sz="4" w:space="0" w:color="auto"/>
              <w:right w:val="single" w:sz="4" w:space="0" w:color="auto"/>
            </w:tcBorders>
            <w:vAlign w:val="center"/>
          </w:tcPr>
          <w:p w14:paraId="2D34859E"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高效多功能生物有机肥生产线</w:t>
            </w:r>
          </w:p>
        </w:tc>
        <w:tc>
          <w:tcPr>
            <w:tcW w:w="1358" w:type="pct"/>
            <w:gridSpan w:val="2"/>
            <w:tcBorders>
              <w:left w:val="single" w:sz="4" w:space="0" w:color="auto"/>
              <w:right w:val="single" w:sz="4" w:space="0" w:color="auto"/>
            </w:tcBorders>
            <w:vAlign w:val="center"/>
          </w:tcPr>
          <w:p w14:paraId="52F6D9F6"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生物有机肥</w:t>
            </w:r>
          </w:p>
        </w:tc>
        <w:tc>
          <w:tcPr>
            <w:tcW w:w="567" w:type="pct"/>
            <w:tcBorders>
              <w:top w:val="single" w:sz="4" w:space="0" w:color="auto"/>
              <w:left w:val="single" w:sz="4" w:space="0" w:color="auto"/>
              <w:bottom w:val="single" w:sz="4" w:space="0" w:color="auto"/>
              <w:right w:val="single" w:sz="4" w:space="0" w:color="auto"/>
            </w:tcBorders>
            <w:vAlign w:val="center"/>
          </w:tcPr>
          <w:p w14:paraId="63148ADB"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15" w:type="pct"/>
            <w:tcBorders>
              <w:left w:val="single" w:sz="4" w:space="0" w:color="auto"/>
              <w:right w:val="single" w:sz="4" w:space="0" w:color="auto"/>
            </w:tcBorders>
            <w:vAlign w:val="center"/>
          </w:tcPr>
          <w:p w14:paraId="261FE141"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514" w:type="pct"/>
            <w:tcBorders>
              <w:left w:val="single" w:sz="4" w:space="0" w:color="auto"/>
              <w:right w:val="single" w:sz="4" w:space="0" w:color="auto"/>
            </w:tcBorders>
            <w:vAlign w:val="center"/>
          </w:tcPr>
          <w:p w14:paraId="30115175"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0</w:t>
            </w:r>
          </w:p>
        </w:tc>
        <w:tc>
          <w:tcPr>
            <w:tcW w:w="415" w:type="pct"/>
            <w:tcBorders>
              <w:left w:val="single" w:sz="4" w:space="0" w:color="auto"/>
              <w:right w:val="single" w:sz="4" w:space="0" w:color="auto"/>
            </w:tcBorders>
            <w:vAlign w:val="center"/>
          </w:tcPr>
          <w:p w14:paraId="236EBCFD"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7200</w:t>
            </w:r>
          </w:p>
        </w:tc>
        <w:tc>
          <w:tcPr>
            <w:tcW w:w="393" w:type="pct"/>
            <w:tcBorders>
              <w:left w:val="single" w:sz="4" w:space="0" w:color="auto"/>
              <w:right w:val="single" w:sz="4" w:space="0" w:color="auto"/>
            </w:tcBorders>
            <w:vAlign w:val="center"/>
          </w:tcPr>
          <w:p w14:paraId="6A54F453"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未建</w:t>
            </w:r>
          </w:p>
        </w:tc>
      </w:tr>
      <w:tr w:rsidR="002133E3" w14:paraId="3C3A40A6" w14:textId="77777777">
        <w:trPr>
          <w:trHeight w:val="284"/>
          <w:jc w:val="center"/>
        </w:trPr>
        <w:tc>
          <w:tcPr>
            <w:tcW w:w="278" w:type="pct"/>
            <w:tcBorders>
              <w:left w:val="single" w:sz="4" w:space="0" w:color="auto"/>
              <w:bottom w:val="single" w:sz="4" w:space="0" w:color="auto"/>
              <w:right w:val="single" w:sz="4" w:space="0" w:color="auto"/>
            </w:tcBorders>
            <w:vAlign w:val="center"/>
          </w:tcPr>
          <w:p w14:paraId="76D346A3"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7</w:t>
            </w:r>
          </w:p>
        </w:tc>
        <w:tc>
          <w:tcPr>
            <w:tcW w:w="959" w:type="pct"/>
            <w:tcBorders>
              <w:left w:val="single" w:sz="4" w:space="0" w:color="auto"/>
              <w:bottom w:val="single" w:sz="4" w:space="0" w:color="auto"/>
              <w:right w:val="single" w:sz="4" w:space="0" w:color="auto"/>
            </w:tcBorders>
            <w:vAlign w:val="center"/>
          </w:tcPr>
          <w:p w14:paraId="2249E024"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无水乙醇生产线</w:t>
            </w:r>
          </w:p>
        </w:tc>
        <w:tc>
          <w:tcPr>
            <w:tcW w:w="1358" w:type="pct"/>
            <w:gridSpan w:val="2"/>
            <w:tcBorders>
              <w:left w:val="single" w:sz="4" w:space="0" w:color="auto"/>
              <w:bottom w:val="single" w:sz="4" w:space="0" w:color="auto"/>
              <w:right w:val="single" w:sz="4" w:space="0" w:color="auto"/>
            </w:tcBorders>
            <w:vAlign w:val="center"/>
          </w:tcPr>
          <w:p w14:paraId="0728818D"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无水乙醇</w:t>
            </w:r>
            <w:r>
              <w:rPr>
                <w:rFonts w:ascii="Times New Roman" w:eastAsia="宋体" w:hAnsi="Times New Roman" w:cs="Times New Roman"/>
                <w:kern w:val="0"/>
                <w:szCs w:val="21"/>
              </w:rPr>
              <w:t>(≥99.99%,V/V)</w:t>
            </w:r>
          </w:p>
        </w:tc>
        <w:tc>
          <w:tcPr>
            <w:tcW w:w="567" w:type="pct"/>
            <w:tcBorders>
              <w:top w:val="single" w:sz="4" w:space="0" w:color="auto"/>
              <w:left w:val="single" w:sz="4" w:space="0" w:color="auto"/>
              <w:bottom w:val="single" w:sz="4" w:space="0" w:color="auto"/>
              <w:right w:val="single" w:sz="4" w:space="0" w:color="auto"/>
            </w:tcBorders>
            <w:vAlign w:val="center"/>
          </w:tcPr>
          <w:p w14:paraId="37FEA1BD" w14:textId="77777777" w:rsidR="002133E3" w:rsidRDefault="00C22CFA">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515" w:type="pct"/>
            <w:tcBorders>
              <w:left w:val="single" w:sz="4" w:space="0" w:color="auto"/>
              <w:bottom w:val="single" w:sz="4" w:space="0" w:color="auto"/>
              <w:right w:val="single" w:sz="4" w:space="0" w:color="auto"/>
            </w:tcBorders>
            <w:vAlign w:val="center"/>
          </w:tcPr>
          <w:p w14:paraId="3E8FAD3F"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6</w:t>
            </w:r>
            <w:r>
              <w:rPr>
                <w:rFonts w:ascii="Times New Roman" w:eastAsia="宋体" w:hAnsi="Times New Roman" w:cs="Times New Roman"/>
                <w:kern w:val="0"/>
                <w:szCs w:val="21"/>
                <w:lang w:val="zh-CN"/>
              </w:rPr>
              <w:t>万</w:t>
            </w:r>
          </w:p>
        </w:tc>
        <w:tc>
          <w:tcPr>
            <w:tcW w:w="514" w:type="pct"/>
            <w:tcBorders>
              <w:left w:val="single" w:sz="4" w:space="0" w:color="auto"/>
              <w:bottom w:val="single" w:sz="4" w:space="0" w:color="auto"/>
              <w:right w:val="single" w:sz="4" w:space="0" w:color="auto"/>
            </w:tcBorders>
            <w:vAlign w:val="center"/>
          </w:tcPr>
          <w:p w14:paraId="28F61EB5"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+6</w:t>
            </w:r>
            <w:r>
              <w:rPr>
                <w:rFonts w:ascii="Times New Roman" w:eastAsia="宋体" w:hAnsi="Times New Roman" w:cs="Times New Roman"/>
                <w:kern w:val="0"/>
                <w:szCs w:val="21"/>
                <w:lang w:val="zh-CN"/>
              </w:rPr>
              <w:t>万</w:t>
            </w:r>
          </w:p>
        </w:tc>
        <w:tc>
          <w:tcPr>
            <w:tcW w:w="415" w:type="pct"/>
            <w:tcBorders>
              <w:left w:val="single" w:sz="4" w:space="0" w:color="auto"/>
              <w:bottom w:val="single" w:sz="4" w:space="0" w:color="auto"/>
              <w:right w:val="single" w:sz="4" w:space="0" w:color="auto"/>
            </w:tcBorders>
            <w:vAlign w:val="center"/>
          </w:tcPr>
          <w:p w14:paraId="0504D0E9"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7200</w:t>
            </w:r>
          </w:p>
        </w:tc>
        <w:tc>
          <w:tcPr>
            <w:tcW w:w="393" w:type="pct"/>
            <w:tcBorders>
              <w:left w:val="single" w:sz="4" w:space="0" w:color="auto"/>
              <w:bottom w:val="single" w:sz="4" w:space="0" w:color="auto"/>
              <w:right w:val="single" w:sz="4" w:space="0" w:color="auto"/>
            </w:tcBorders>
            <w:vAlign w:val="center"/>
          </w:tcPr>
          <w:p w14:paraId="24CF353E" w14:textId="77777777" w:rsidR="002133E3" w:rsidRDefault="00C22CFA">
            <w:pPr>
              <w:adjustRightInd w:val="0"/>
              <w:snapToGrid w:val="0"/>
              <w:jc w:val="center"/>
              <w:rPr>
                <w:rFonts w:ascii="Times New Roman" w:eastAsia="宋体" w:hAnsi="Times New Roman" w:cs="Times New Roman"/>
                <w:kern w:val="0"/>
                <w:szCs w:val="21"/>
                <w:lang w:val="zh-CN"/>
              </w:rPr>
            </w:pPr>
            <w:r>
              <w:rPr>
                <w:rFonts w:ascii="Times New Roman" w:eastAsia="宋体" w:hAnsi="Times New Roman" w:cs="Times New Roman"/>
                <w:kern w:val="0"/>
                <w:szCs w:val="21"/>
                <w:lang w:val="zh-CN"/>
              </w:rPr>
              <w:t>拟建</w:t>
            </w:r>
          </w:p>
        </w:tc>
      </w:tr>
    </w:tbl>
    <w:p w14:paraId="21CEF1D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公用及辅助工程</w:t>
      </w:r>
    </w:p>
    <w:p w14:paraId="1B201D79" w14:textId="77777777" w:rsidR="002133E3" w:rsidRDefault="00C22CFA">
      <w:pPr>
        <w:widowControl/>
        <w:spacing w:line="500" w:lineRule="exact"/>
        <w:ind w:left="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(1) </w:t>
      </w:r>
      <w:r>
        <w:rPr>
          <w:rFonts w:ascii="Times New Roman" w:eastAsia="宋体" w:hAnsi="Times New Roman" w:cs="Times New Roman"/>
          <w:kern w:val="0"/>
          <w:sz w:val="28"/>
          <w:szCs w:val="28"/>
        </w:rPr>
        <w:t>给水</w:t>
      </w:r>
    </w:p>
    <w:p w14:paraId="3A175B10"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本项目新鲜水用量为</w:t>
      </w:r>
      <w:r>
        <w:rPr>
          <w:rFonts w:ascii="Times New Roman" w:eastAsia="宋体" w:hAnsi="Times New Roman" w:cs="Times New Roman"/>
          <w:kern w:val="0"/>
          <w:sz w:val="28"/>
          <w:szCs w:val="28"/>
        </w:rPr>
        <w:t>1542714.18 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，主要为工艺用水、废气处理用水和循环水补充水，项目用水水源来自于赣榆海州湾生物科技园区自来水管网，由兴庄河自来水厂供应。</w:t>
      </w:r>
    </w:p>
    <w:p w14:paraId="2D0D3FD1" w14:textId="77777777" w:rsidR="002133E3" w:rsidRDefault="00C22CFA">
      <w:pPr>
        <w:widowControl/>
        <w:spacing w:line="500" w:lineRule="exact"/>
        <w:ind w:left="561"/>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排水</w:t>
      </w:r>
    </w:p>
    <w:p w14:paraId="705607F2"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本项目实行清污分流的排水方式。所有工艺废水、设备及地面冲洗、废气处理系统排水、初期雨水共</w:t>
      </w:r>
      <w:r>
        <w:rPr>
          <w:rFonts w:ascii="Times New Roman" w:eastAsia="宋体" w:hAnsi="Times New Roman" w:cs="Times New Roman"/>
          <w:kern w:val="0"/>
          <w:sz w:val="28"/>
          <w:szCs w:val="28"/>
        </w:rPr>
        <w:t>1175440.28m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全部入厂区内污水站预处理，处理达接管标准后由区域污水管网收集送至通海污水处理厂处理。</w:t>
      </w:r>
    </w:p>
    <w:p w14:paraId="2F7BB2A5"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(3) </w:t>
      </w:r>
      <w:r>
        <w:rPr>
          <w:rFonts w:ascii="Times New Roman" w:eastAsia="宋体" w:hAnsi="Times New Roman" w:cs="Times New Roman"/>
          <w:kern w:val="0"/>
          <w:sz w:val="28"/>
          <w:szCs w:val="28"/>
        </w:rPr>
        <w:t>供电</w:t>
      </w:r>
    </w:p>
    <w:p w14:paraId="378134CA"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项目新增用电量</w:t>
      </w:r>
      <w:r>
        <w:rPr>
          <w:rFonts w:ascii="Times New Roman" w:eastAsia="宋体" w:hAnsi="Times New Roman" w:cs="Times New Roman"/>
          <w:kern w:val="0"/>
          <w:sz w:val="28"/>
          <w:szCs w:val="28"/>
        </w:rPr>
        <w:t>180</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kWh/a</w:t>
      </w:r>
      <w:r>
        <w:rPr>
          <w:rFonts w:ascii="Times New Roman" w:eastAsia="宋体" w:hAnsi="Times New Roman" w:cs="Times New Roman"/>
          <w:kern w:val="0"/>
          <w:sz w:val="28"/>
          <w:szCs w:val="28"/>
        </w:rPr>
        <w:t>。公司已批项目用电量</w:t>
      </w:r>
      <w:r>
        <w:rPr>
          <w:rFonts w:ascii="Times New Roman" w:eastAsia="宋体" w:hAnsi="Times New Roman" w:cs="Times New Roman"/>
          <w:kern w:val="0"/>
          <w:sz w:val="28"/>
          <w:szCs w:val="28"/>
        </w:rPr>
        <w:t>9093.76</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kWh</w:t>
      </w:r>
      <w:r>
        <w:rPr>
          <w:rFonts w:ascii="Times New Roman" w:eastAsia="宋体" w:hAnsi="Times New Roman" w:cs="Times New Roman"/>
          <w:kern w:val="0"/>
          <w:sz w:val="28"/>
          <w:szCs w:val="28"/>
        </w:rPr>
        <w:t>，已建发电</w:t>
      </w:r>
      <w:r>
        <w:rPr>
          <w:rFonts w:ascii="Times New Roman" w:eastAsia="宋体" w:hAnsi="Times New Roman" w:cs="Times New Roman"/>
          <w:kern w:val="0"/>
          <w:sz w:val="28"/>
          <w:szCs w:val="32"/>
        </w:rPr>
        <w:t>机组可</w:t>
      </w:r>
      <w:r>
        <w:rPr>
          <w:rFonts w:ascii="Times New Roman" w:eastAsia="宋体" w:hAnsi="Times New Roman" w:cs="Times New Roman"/>
          <w:kern w:val="0"/>
          <w:sz w:val="28"/>
          <w:szCs w:val="28"/>
        </w:rPr>
        <w:t>提供电量为</w:t>
      </w:r>
      <w:r>
        <w:rPr>
          <w:rFonts w:ascii="Times New Roman" w:eastAsia="宋体" w:hAnsi="Times New Roman" w:cs="Times New Roman"/>
          <w:kern w:val="0"/>
          <w:sz w:val="28"/>
          <w:szCs w:val="28"/>
        </w:rPr>
        <w:t>6892</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kWh</w:t>
      </w:r>
      <w:r>
        <w:rPr>
          <w:rFonts w:ascii="Times New Roman" w:eastAsia="宋体" w:hAnsi="Times New Roman" w:cs="Times New Roman"/>
          <w:kern w:val="0"/>
          <w:sz w:val="28"/>
          <w:szCs w:val="28"/>
        </w:rPr>
        <w:t>，因此本项目用电需由海头变电所统一供给。</w:t>
      </w:r>
    </w:p>
    <w:p w14:paraId="72D302D8" w14:textId="77777777" w:rsidR="002133E3" w:rsidRDefault="00C22CFA">
      <w:pPr>
        <w:widowControl/>
        <w:spacing w:line="500" w:lineRule="exact"/>
        <w:ind w:left="561"/>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(4) </w:t>
      </w:r>
      <w:r>
        <w:rPr>
          <w:rFonts w:ascii="Times New Roman" w:eastAsia="宋体" w:hAnsi="Times New Roman" w:cs="Times New Roman"/>
          <w:kern w:val="0"/>
          <w:sz w:val="28"/>
          <w:szCs w:val="28"/>
        </w:rPr>
        <w:t>供热</w:t>
      </w:r>
    </w:p>
    <w:p w14:paraId="24211407"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本项目耗汽量为</w:t>
      </w:r>
      <w:r>
        <w:rPr>
          <w:rFonts w:ascii="Times New Roman" w:eastAsia="宋体" w:hAnsi="Times New Roman" w:cs="Times New Roman"/>
          <w:kern w:val="0"/>
          <w:sz w:val="28"/>
          <w:szCs w:val="28"/>
        </w:rPr>
        <w:t>209000t/a</w:t>
      </w:r>
      <w:r>
        <w:rPr>
          <w:rFonts w:ascii="Times New Roman" w:eastAsia="宋体" w:hAnsi="Times New Roman" w:cs="Times New Roman"/>
          <w:kern w:val="0"/>
          <w:sz w:val="28"/>
          <w:szCs w:val="28"/>
        </w:rPr>
        <w:t>。已建项目生产所需蒸汽来源于厂区</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台</w:t>
      </w:r>
      <w:r>
        <w:rPr>
          <w:rFonts w:ascii="Times New Roman" w:eastAsia="宋体" w:hAnsi="Times New Roman" w:cs="Times New Roman"/>
          <w:kern w:val="0"/>
          <w:sz w:val="28"/>
          <w:szCs w:val="28"/>
        </w:rPr>
        <w:t>75t/h</w:t>
      </w:r>
      <w:r>
        <w:rPr>
          <w:rFonts w:ascii="Times New Roman" w:eastAsia="宋体" w:hAnsi="Times New Roman" w:cs="Times New Roman"/>
          <w:kern w:val="0"/>
          <w:sz w:val="28"/>
          <w:szCs w:val="28"/>
        </w:rPr>
        <w:t>沼气锅炉以及产业区供热中心</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台</w:t>
      </w:r>
      <w:r>
        <w:rPr>
          <w:rFonts w:ascii="Times New Roman" w:eastAsia="宋体" w:hAnsi="Times New Roman" w:cs="Times New Roman"/>
          <w:kern w:val="0"/>
          <w:sz w:val="28"/>
          <w:szCs w:val="28"/>
        </w:rPr>
        <w:t>75t/h</w:t>
      </w:r>
      <w:r>
        <w:rPr>
          <w:rFonts w:ascii="Times New Roman" w:eastAsia="宋体" w:hAnsi="Times New Roman" w:cs="Times New Roman"/>
          <w:kern w:val="0"/>
          <w:sz w:val="28"/>
          <w:szCs w:val="28"/>
        </w:rPr>
        <w:t>流化床混烧锅炉提供。公司</w:t>
      </w:r>
      <w:r>
        <w:rPr>
          <w:rFonts w:ascii="Times New Roman" w:eastAsia="宋体" w:hAnsi="Times New Roman" w:cs="Times New Roman"/>
          <w:kern w:val="0"/>
          <w:sz w:val="28"/>
          <w:szCs w:val="28"/>
        </w:rPr>
        <w:t>75t/h</w:t>
      </w:r>
      <w:r>
        <w:rPr>
          <w:rFonts w:ascii="Times New Roman" w:eastAsia="宋体" w:hAnsi="Times New Roman" w:cs="Times New Roman"/>
          <w:kern w:val="0"/>
          <w:sz w:val="28"/>
          <w:szCs w:val="28"/>
        </w:rPr>
        <w:t>沼气锅炉的蒸汽供应能力为</w:t>
      </w:r>
      <w:r>
        <w:rPr>
          <w:rFonts w:ascii="Times New Roman" w:eastAsia="宋体" w:hAnsi="Times New Roman" w:cs="Times New Roman"/>
          <w:kern w:val="0"/>
          <w:sz w:val="28"/>
          <w:szCs w:val="28"/>
        </w:rPr>
        <w:t>410372.29t/a(57t/h)</w:t>
      </w:r>
      <w:r>
        <w:rPr>
          <w:rFonts w:ascii="Times New Roman" w:eastAsia="宋体" w:hAnsi="Times New Roman" w:cs="Times New Roman"/>
          <w:kern w:val="0"/>
          <w:sz w:val="28"/>
          <w:szCs w:val="28"/>
        </w:rPr>
        <w:t>，目前公司用汽量为</w:t>
      </w:r>
      <w:r>
        <w:rPr>
          <w:rFonts w:ascii="Times New Roman" w:eastAsia="宋体" w:hAnsi="Times New Roman" w:cs="Times New Roman"/>
          <w:kern w:val="0"/>
          <w:sz w:val="28"/>
          <w:szCs w:val="28"/>
        </w:rPr>
        <w:t>1251240t/a</w:t>
      </w:r>
      <w:r>
        <w:rPr>
          <w:rFonts w:ascii="Times New Roman" w:eastAsia="宋体" w:hAnsi="Times New Roman" w:cs="Times New Roman"/>
          <w:kern w:val="0"/>
          <w:sz w:val="28"/>
          <w:szCs w:val="28"/>
        </w:rPr>
        <w:t>，剩余蒸汽需由产业区供热中心</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台</w:t>
      </w:r>
      <w:r>
        <w:rPr>
          <w:rFonts w:ascii="Times New Roman" w:eastAsia="宋体" w:hAnsi="Times New Roman" w:cs="Times New Roman"/>
          <w:kern w:val="0"/>
          <w:sz w:val="28"/>
          <w:szCs w:val="28"/>
        </w:rPr>
        <w:t>75t/h</w:t>
      </w:r>
      <w:r>
        <w:rPr>
          <w:rFonts w:ascii="Times New Roman" w:eastAsia="宋体" w:hAnsi="Times New Roman" w:cs="Times New Roman"/>
          <w:kern w:val="0"/>
          <w:sz w:val="28"/>
          <w:szCs w:val="28"/>
        </w:rPr>
        <w:t>流化床混烧锅炉提供。</w:t>
      </w:r>
    </w:p>
    <w:p w14:paraId="240A1840"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(5) </w:t>
      </w:r>
      <w:r>
        <w:rPr>
          <w:rFonts w:ascii="Times New Roman" w:eastAsia="宋体" w:hAnsi="Times New Roman" w:cs="Times New Roman"/>
          <w:kern w:val="0"/>
          <w:sz w:val="28"/>
          <w:szCs w:val="28"/>
        </w:rPr>
        <w:t>冷却</w:t>
      </w:r>
    </w:p>
    <w:p w14:paraId="32512292"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公司现有循环冷却系统设计能力</w:t>
      </w:r>
      <w:r>
        <w:rPr>
          <w:rFonts w:ascii="Times New Roman" w:eastAsia="宋体" w:hAnsi="Times New Roman" w:cs="Times New Roman"/>
          <w:kern w:val="0"/>
          <w:sz w:val="28"/>
          <w:szCs w:val="28"/>
        </w:rPr>
        <w:t>14500m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/h</w:t>
      </w:r>
      <w:r>
        <w:rPr>
          <w:rFonts w:ascii="Times New Roman" w:eastAsia="宋体" w:hAnsi="Times New Roman" w:cs="Times New Roman"/>
          <w:kern w:val="0"/>
          <w:sz w:val="28"/>
          <w:szCs w:val="28"/>
        </w:rPr>
        <w:t>，现有项目用量</w:t>
      </w:r>
      <w:r>
        <w:rPr>
          <w:rFonts w:ascii="Times New Roman" w:eastAsia="宋体" w:hAnsi="Times New Roman" w:cs="Times New Roman"/>
          <w:kern w:val="0"/>
          <w:sz w:val="28"/>
          <w:szCs w:val="28"/>
        </w:rPr>
        <w:t>5550 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/h</w:t>
      </w:r>
      <w:r>
        <w:rPr>
          <w:rFonts w:ascii="Times New Roman" w:eastAsia="宋体" w:hAnsi="Times New Roman" w:cs="Times New Roman"/>
          <w:kern w:val="0"/>
          <w:sz w:val="28"/>
          <w:szCs w:val="28"/>
        </w:rPr>
        <w:t>。技改项目年需补充新鲜水量约</w:t>
      </w:r>
      <w:r>
        <w:rPr>
          <w:rFonts w:ascii="Times New Roman" w:eastAsia="宋体" w:hAnsi="Times New Roman" w:cs="Times New Roman"/>
          <w:kern w:val="0"/>
          <w:sz w:val="28"/>
          <w:szCs w:val="28"/>
        </w:rPr>
        <w:t>16200000 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w:t>
      </w:r>
    </w:p>
    <w:p w14:paraId="6DA81447" w14:textId="77777777" w:rsidR="002133E3" w:rsidRDefault="00C22CFA">
      <w:pPr>
        <w:spacing w:line="520" w:lineRule="exact"/>
        <w:ind w:firstLineChars="200" w:firstLine="560"/>
        <w:rPr>
          <w:rFonts w:ascii="Times New Roman" w:eastAsia="宋体" w:hAnsi="Times New Roman" w:cs="Times New Roman"/>
          <w:sz w:val="28"/>
          <w:szCs w:val="20"/>
        </w:rPr>
      </w:pPr>
      <w:r>
        <w:rPr>
          <w:rFonts w:ascii="Times New Roman" w:eastAsia="宋体" w:hAnsi="Times New Roman" w:cs="Times New Roman"/>
          <w:kern w:val="0"/>
          <w:sz w:val="28"/>
          <w:szCs w:val="28"/>
        </w:rPr>
        <w:t xml:space="preserve">(6) </w:t>
      </w:r>
      <w:r>
        <w:rPr>
          <w:rFonts w:ascii="Times New Roman" w:eastAsia="宋体" w:hAnsi="Times New Roman" w:cs="Times New Roman"/>
          <w:sz w:val="28"/>
          <w:szCs w:val="20"/>
        </w:rPr>
        <w:t>贮运</w:t>
      </w:r>
    </w:p>
    <w:p w14:paraId="641ECE71" w14:textId="77777777" w:rsidR="002133E3" w:rsidRDefault="00C22CFA">
      <w:pPr>
        <w:spacing w:line="520" w:lineRule="exact"/>
        <w:ind w:firstLineChars="200" w:firstLine="560"/>
        <w:rPr>
          <w:rFonts w:ascii="Times New Roman" w:eastAsia="宋体" w:hAnsi="Times New Roman" w:cs="Times New Roman"/>
          <w:sz w:val="28"/>
          <w:szCs w:val="20"/>
        </w:rPr>
      </w:pPr>
      <w:r>
        <w:rPr>
          <w:rFonts w:ascii="Times New Roman" w:eastAsia="宋体" w:hAnsi="Times New Roman" w:cs="Times New Roman" w:hint="eastAsia"/>
          <w:sz w:val="28"/>
          <w:szCs w:val="20"/>
        </w:rPr>
        <w:t>①原辅料、产品</w:t>
      </w:r>
    </w:p>
    <w:p w14:paraId="0CE2BF90" w14:textId="77777777" w:rsidR="002133E3" w:rsidRDefault="00C22CFA">
      <w:pPr>
        <w:spacing w:line="520" w:lineRule="exact"/>
        <w:ind w:firstLineChars="200" w:firstLine="560"/>
        <w:rPr>
          <w:rFonts w:ascii="Times New Roman" w:eastAsia="宋体" w:hAnsi="Times New Roman" w:cs="Times New Roman"/>
          <w:sz w:val="28"/>
          <w:szCs w:val="20"/>
        </w:rPr>
      </w:pPr>
      <w:r>
        <w:rPr>
          <w:rFonts w:ascii="Times New Roman" w:eastAsia="宋体" w:hAnsi="Times New Roman" w:cs="Times New Roman"/>
          <w:sz w:val="28"/>
          <w:szCs w:val="20"/>
        </w:rPr>
        <w:t>本项目主要原料、产品贮存情况详见表</w:t>
      </w:r>
      <w:r>
        <w:rPr>
          <w:rFonts w:ascii="Times New Roman" w:eastAsia="宋体" w:hAnsi="Times New Roman" w:cs="Times New Roman"/>
          <w:sz w:val="28"/>
          <w:szCs w:val="20"/>
        </w:rPr>
        <w:t>4.1-3</w:t>
      </w:r>
      <w:r>
        <w:rPr>
          <w:rFonts w:ascii="Times New Roman" w:eastAsia="宋体" w:hAnsi="Times New Roman" w:cs="Times New Roman"/>
          <w:sz w:val="28"/>
          <w:szCs w:val="20"/>
        </w:rPr>
        <w:t>。项目运输包括原辅材料及产品等，其中原辅材料均由运输单位汽运至厂内；产品由公司统一外运。</w:t>
      </w:r>
    </w:p>
    <w:p w14:paraId="71DBAA1C"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4.1-3   </w:t>
      </w:r>
      <w:r>
        <w:rPr>
          <w:rFonts w:ascii="Times New Roman" w:eastAsia="宋体" w:hAnsi="Times New Roman" w:cs="Times New Roman"/>
          <w:b/>
          <w:bCs/>
          <w:sz w:val="24"/>
          <w:szCs w:val="20"/>
        </w:rPr>
        <w:t>项目主要原辅料、产品贮存量表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
        <w:gridCol w:w="1098"/>
        <w:gridCol w:w="1276"/>
        <w:gridCol w:w="1134"/>
        <w:gridCol w:w="2083"/>
        <w:gridCol w:w="893"/>
        <w:gridCol w:w="709"/>
        <w:gridCol w:w="1134"/>
        <w:gridCol w:w="1099"/>
      </w:tblGrid>
      <w:tr w:rsidR="002133E3" w14:paraId="1BA52AA3" w14:textId="77777777">
        <w:trPr>
          <w:trHeight w:val="284"/>
          <w:jc w:val="center"/>
        </w:trPr>
        <w:tc>
          <w:tcPr>
            <w:tcW w:w="428" w:type="dxa"/>
            <w:vAlign w:val="center"/>
          </w:tcPr>
          <w:p w14:paraId="1319FA39"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098" w:type="dxa"/>
            <w:vAlign w:val="center"/>
          </w:tcPr>
          <w:p w14:paraId="66A10E88"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名称</w:t>
            </w:r>
          </w:p>
        </w:tc>
        <w:tc>
          <w:tcPr>
            <w:tcW w:w="1276" w:type="dxa"/>
            <w:vAlign w:val="center"/>
          </w:tcPr>
          <w:p w14:paraId="4BB76F97"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规格</w:t>
            </w:r>
          </w:p>
        </w:tc>
        <w:tc>
          <w:tcPr>
            <w:tcW w:w="1134" w:type="dxa"/>
            <w:vAlign w:val="center"/>
          </w:tcPr>
          <w:p w14:paraId="5740DB2E"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用量或产量</w:t>
            </w:r>
            <w:r>
              <w:rPr>
                <w:rFonts w:ascii="Times New Roman" w:eastAsia="宋体" w:hAnsi="Times New Roman" w:cs="Times New Roman"/>
                <w:b/>
                <w:kern w:val="0"/>
                <w:szCs w:val="21"/>
              </w:rPr>
              <w:t>(t/a)</w:t>
            </w:r>
          </w:p>
        </w:tc>
        <w:tc>
          <w:tcPr>
            <w:tcW w:w="2083" w:type="dxa"/>
            <w:vAlign w:val="center"/>
          </w:tcPr>
          <w:p w14:paraId="6E25600E"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容器或包装规格</w:t>
            </w:r>
          </w:p>
        </w:tc>
        <w:tc>
          <w:tcPr>
            <w:tcW w:w="893" w:type="dxa"/>
            <w:vAlign w:val="center"/>
          </w:tcPr>
          <w:p w14:paraId="2AE2EBF4"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最大贮存量</w:t>
            </w:r>
            <w:r>
              <w:rPr>
                <w:rFonts w:ascii="Times New Roman" w:eastAsia="宋体" w:hAnsi="Times New Roman" w:cs="Times New Roman"/>
                <w:b/>
                <w:kern w:val="0"/>
                <w:szCs w:val="21"/>
              </w:rPr>
              <w:t>(t)</w:t>
            </w:r>
          </w:p>
        </w:tc>
        <w:tc>
          <w:tcPr>
            <w:tcW w:w="709" w:type="dxa"/>
            <w:vAlign w:val="center"/>
          </w:tcPr>
          <w:p w14:paraId="5E82B4A6"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物料形态</w:t>
            </w:r>
          </w:p>
        </w:tc>
        <w:tc>
          <w:tcPr>
            <w:tcW w:w="1134" w:type="dxa"/>
            <w:vAlign w:val="center"/>
          </w:tcPr>
          <w:p w14:paraId="5759294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贮存场所</w:t>
            </w:r>
          </w:p>
        </w:tc>
        <w:tc>
          <w:tcPr>
            <w:tcW w:w="1099" w:type="dxa"/>
            <w:vAlign w:val="center"/>
          </w:tcPr>
          <w:p w14:paraId="12928FD9"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备注</w:t>
            </w:r>
          </w:p>
        </w:tc>
      </w:tr>
      <w:tr w:rsidR="002133E3" w14:paraId="45ACAA7D" w14:textId="77777777">
        <w:trPr>
          <w:trHeight w:val="284"/>
          <w:jc w:val="center"/>
        </w:trPr>
        <w:tc>
          <w:tcPr>
            <w:tcW w:w="428" w:type="dxa"/>
            <w:vAlign w:val="center"/>
          </w:tcPr>
          <w:p w14:paraId="2A61688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098" w:type="dxa"/>
            <w:vAlign w:val="center"/>
          </w:tcPr>
          <w:p w14:paraId="75F427E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木薯干</w:t>
            </w:r>
          </w:p>
        </w:tc>
        <w:tc>
          <w:tcPr>
            <w:tcW w:w="1276" w:type="dxa"/>
            <w:vAlign w:val="center"/>
          </w:tcPr>
          <w:p w14:paraId="32AAFA5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淀粉含量约为</w:t>
            </w:r>
            <w:r>
              <w:rPr>
                <w:rFonts w:ascii="Times New Roman" w:eastAsia="宋体" w:hAnsi="Times New Roman" w:cs="Times New Roman"/>
                <w:kern w:val="0"/>
                <w:szCs w:val="21"/>
              </w:rPr>
              <w:t>67</w:t>
            </w:r>
            <w:r>
              <w:rPr>
                <w:rFonts w:ascii="Times New Roman" w:eastAsia="宋体" w:hAnsi="Times New Roman" w:cs="Times New Roman"/>
                <w:kern w:val="0"/>
                <w:szCs w:val="21"/>
              </w:rPr>
              <w:t>～</w:t>
            </w:r>
            <w:r>
              <w:rPr>
                <w:rFonts w:ascii="Times New Roman" w:eastAsia="宋体" w:hAnsi="Times New Roman" w:cs="Times New Roman"/>
                <w:kern w:val="0"/>
                <w:szCs w:val="21"/>
              </w:rPr>
              <w:t>68%</w:t>
            </w:r>
          </w:p>
        </w:tc>
        <w:tc>
          <w:tcPr>
            <w:tcW w:w="1134" w:type="dxa"/>
            <w:vAlign w:val="center"/>
          </w:tcPr>
          <w:p w14:paraId="6451E0F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273000</w:t>
            </w:r>
          </w:p>
        </w:tc>
        <w:tc>
          <w:tcPr>
            <w:tcW w:w="2083" w:type="dxa"/>
            <w:vAlign w:val="center"/>
          </w:tcPr>
          <w:p w14:paraId="342F96D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100kg/</w:t>
            </w:r>
            <w:r>
              <w:rPr>
                <w:rFonts w:ascii="Times New Roman" w:eastAsia="宋体" w:hAnsi="Times New Roman" w:cs="Times New Roman"/>
                <w:color w:val="000000"/>
                <w:szCs w:val="21"/>
              </w:rPr>
              <w:t>袋</w:t>
            </w:r>
          </w:p>
        </w:tc>
        <w:tc>
          <w:tcPr>
            <w:tcW w:w="893" w:type="dxa"/>
            <w:vAlign w:val="center"/>
          </w:tcPr>
          <w:p w14:paraId="20BB1B7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68250</w:t>
            </w:r>
          </w:p>
        </w:tc>
        <w:tc>
          <w:tcPr>
            <w:tcW w:w="709" w:type="dxa"/>
            <w:vAlign w:val="center"/>
          </w:tcPr>
          <w:p w14:paraId="451957C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134" w:type="dxa"/>
            <w:vAlign w:val="center"/>
          </w:tcPr>
          <w:p w14:paraId="78496C4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木薯干仓库</w:t>
            </w:r>
          </w:p>
        </w:tc>
        <w:tc>
          <w:tcPr>
            <w:tcW w:w="1099" w:type="dxa"/>
            <w:vAlign w:val="center"/>
          </w:tcPr>
          <w:p w14:paraId="33CC74E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2133E3" w14:paraId="5308AB93" w14:textId="77777777">
        <w:trPr>
          <w:trHeight w:val="284"/>
          <w:jc w:val="center"/>
        </w:trPr>
        <w:tc>
          <w:tcPr>
            <w:tcW w:w="428" w:type="dxa"/>
            <w:vAlign w:val="center"/>
          </w:tcPr>
          <w:p w14:paraId="0C15539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098" w:type="dxa"/>
            <w:vAlign w:val="center"/>
          </w:tcPr>
          <w:p w14:paraId="29342A4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淀粉酶</w:t>
            </w:r>
          </w:p>
        </w:tc>
        <w:tc>
          <w:tcPr>
            <w:tcW w:w="1276" w:type="dxa"/>
            <w:vAlign w:val="center"/>
          </w:tcPr>
          <w:p w14:paraId="5146097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15</w:t>
            </w:r>
            <w:r>
              <w:rPr>
                <w:rFonts w:ascii="Times New Roman" w:eastAsia="宋体" w:hAnsi="Times New Roman" w:cs="Times New Roman"/>
                <w:color w:val="000000"/>
                <w:kern w:val="0"/>
                <w:szCs w:val="21"/>
              </w:rPr>
              <w:t>万单位</w:t>
            </w:r>
          </w:p>
        </w:tc>
        <w:tc>
          <w:tcPr>
            <w:tcW w:w="1134" w:type="dxa"/>
            <w:vAlign w:val="center"/>
          </w:tcPr>
          <w:p w14:paraId="06E695E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 xml:space="preserve">34 </w:t>
            </w:r>
          </w:p>
        </w:tc>
        <w:tc>
          <w:tcPr>
            <w:tcW w:w="2083" w:type="dxa"/>
            <w:vAlign w:val="center"/>
          </w:tcPr>
          <w:p w14:paraId="571210D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100kg/</w:t>
            </w:r>
            <w:r>
              <w:rPr>
                <w:rFonts w:ascii="Times New Roman" w:eastAsia="宋体" w:hAnsi="Times New Roman" w:cs="Times New Roman"/>
                <w:color w:val="000000"/>
                <w:szCs w:val="21"/>
              </w:rPr>
              <w:t>袋</w:t>
            </w:r>
          </w:p>
        </w:tc>
        <w:tc>
          <w:tcPr>
            <w:tcW w:w="893" w:type="dxa"/>
            <w:vAlign w:val="center"/>
          </w:tcPr>
          <w:p w14:paraId="6B1DEC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8.5</w:t>
            </w:r>
          </w:p>
        </w:tc>
        <w:tc>
          <w:tcPr>
            <w:tcW w:w="709" w:type="dxa"/>
            <w:vAlign w:val="center"/>
          </w:tcPr>
          <w:p w14:paraId="7613C5E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134" w:type="dxa"/>
            <w:vAlign w:val="center"/>
          </w:tcPr>
          <w:p w14:paraId="6F9CFC6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themeColor="text1"/>
                <w:kern w:val="0"/>
                <w:szCs w:val="21"/>
              </w:rPr>
              <w:t>辅料仓库</w:t>
            </w:r>
          </w:p>
        </w:tc>
        <w:tc>
          <w:tcPr>
            <w:tcW w:w="1099" w:type="dxa"/>
            <w:vAlign w:val="center"/>
          </w:tcPr>
          <w:p w14:paraId="748CA7A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2133E3" w14:paraId="78758442" w14:textId="77777777">
        <w:trPr>
          <w:trHeight w:val="284"/>
          <w:jc w:val="center"/>
        </w:trPr>
        <w:tc>
          <w:tcPr>
            <w:tcW w:w="428" w:type="dxa"/>
            <w:vAlign w:val="center"/>
          </w:tcPr>
          <w:p w14:paraId="0EAB14A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098" w:type="dxa"/>
            <w:vAlign w:val="center"/>
          </w:tcPr>
          <w:p w14:paraId="5442F90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糖化酶</w:t>
            </w:r>
          </w:p>
        </w:tc>
        <w:tc>
          <w:tcPr>
            <w:tcW w:w="1276" w:type="dxa"/>
            <w:vAlign w:val="center"/>
          </w:tcPr>
          <w:p w14:paraId="285805D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2</w:t>
            </w:r>
            <w:r>
              <w:rPr>
                <w:rFonts w:ascii="Times New Roman" w:eastAsia="宋体" w:hAnsi="Times New Roman" w:cs="Times New Roman"/>
                <w:color w:val="000000"/>
                <w:kern w:val="0"/>
                <w:szCs w:val="21"/>
              </w:rPr>
              <w:t>万单位</w:t>
            </w:r>
          </w:p>
        </w:tc>
        <w:tc>
          <w:tcPr>
            <w:tcW w:w="1134" w:type="dxa"/>
            <w:vAlign w:val="center"/>
          </w:tcPr>
          <w:p w14:paraId="53E3E3F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 xml:space="preserve">134 </w:t>
            </w:r>
          </w:p>
        </w:tc>
        <w:tc>
          <w:tcPr>
            <w:tcW w:w="2083" w:type="dxa"/>
            <w:vAlign w:val="center"/>
          </w:tcPr>
          <w:p w14:paraId="68AD47A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100kg/</w:t>
            </w:r>
            <w:r>
              <w:rPr>
                <w:rFonts w:ascii="Times New Roman" w:eastAsia="宋体" w:hAnsi="Times New Roman" w:cs="Times New Roman"/>
                <w:color w:val="000000"/>
                <w:szCs w:val="21"/>
              </w:rPr>
              <w:t>袋</w:t>
            </w:r>
          </w:p>
        </w:tc>
        <w:tc>
          <w:tcPr>
            <w:tcW w:w="893" w:type="dxa"/>
            <w:vAlign w:val="center"/>
          </w:tcPr>
          <w:p w14:paraId="5AA3CCF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33.5</w:t>
            </w:r>
          </w:p>
        </w:tc>
        <w:tc>
          <w:tcPr>
            <w:tcW w:w="709" w:type="dxa"/>
            <w:vAlign w:val="center"/>
          </w:tcPr>
          <w:p w14:paraId="58FA985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134" w:type="dxa"/>
            <w:vAlign w:val="center"/>
          </w:tcPr>
          <w:p w14:paraId="20B20F9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themeColor="text1"/>
                <w:kern w:val="0"/>
                <w:szCs w:val="21"/>
              </w:rPr>
              <w:t>辅料仓库</w:t>
            </w:r>
          </w:p>
        </w:tc>
        <w:tc>
          <w:tcPr>
            <w:tcW w:w="1099" w:type="dxa"/>
            <w:vAlign w:val="center"/>
          </w:tcPr>
          <w:p w14:paraId="6A0C646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2133E3" w14:paraId="32AB3CA4" w14:textId="77777777">
        <w:trPr>
          <w:trHeight w:val="284"/>
          <w:jc w:val="center"/>
        </w:trPr>
        <w:tc>
          <w:tcPr>
            <w:tcW w:w="428" w:type="dxa"/>
            <w:vAlign w:val="center"/>
          </w:tcPr>
          <w:p w14:paraId="4F5FCFF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098" w:type="dxa"/>
            <w:vAlign w:val="center"/>
          </w:tcPr>
          <w:p w14:paraId="29B8FCA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尿素</w:t>
            </w:r>
          </w:p>
        </w:tc>
        <w:tc>
          <w:tcPr>
            <w:tcW w:w="1276" w:type="dxa"/>
            <w:vAlign w:val="center"/>
          </w:tcPr>
          <w:p w14:paraId="38C29EE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含氮量</w:t>
            </w:r>
            <w:r>
              <w:rPr>
                <w:rFonts w:ascii="Times New Roman" w:eastAsia="宋体" w:hAnsi="Times New Roman" w:cs="Times New Roman"/>
                <w:color w:val="000000"/>
                <w:kern w:val="0"/>
                <w:szCs w:val="21"/>
              </w:rPr>
              <w:t>46%</w:t>
            </w:r>
          </w:p>
        </w:tc>
        <w:tc>
          <w:tcPr>
            <w:tcW w:w="1134" w:type="dxa"/>
            <w:vAlign w:val="center"/>
          </w:tcPr>
          <w:p w14:paraId="1D56581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 xml:space="preserve">200 </w:t>
            </w:r>
          </w:p>
        </w:tc>
        <w:tc>
          <w:tcPr>
            <w:tcW w:w="2083" w:type="dxa"/>
            <w:vAlign w:val="center"/>
          </w:tcPr>
          <w:p w14:paraId="147E13D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100kg/</w:t>
            </w:r>
            <w:r>
              <w:rPr>
                <w:rFonts w:ascii="Times New Roman" w:eastAsia="宋体" w:hAnsi="Times New Roman" w:cs="Times New Roman"/>
                <w:color w:val="000000"/>
                <w:szCs w:val="21"/>
              </w:rPr>
              <w:t>袋</w:t>
            </w:r>
          </w:p>
        </w:tc>
        <w:tc>
          <w:tcPr>
            <w:tcW w:w="893" w:type="dxa"/>
            <w:vAlign w:val="center"/>
          </w:tcPr>
          <w:p w14:paraId="43CCF74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709" w:type="dxa"/>
            <w:vAlign w:val="center"/>
          </w:tcPr>
          <w:p w14:paraId="293636A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134" w:type="dxa"/>
            <w:vAlign w:val="center"/>
          </w:tcPr>
          <w:p w14:paraId="1FDB8DC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themeColor="text1"/>
                <w:kern w:val="0"/>
                <w:szCs w:val="21"/>
              </w:rPr>
              <w:t>辅料仓库</w:t>
            </w:r>
          </w:p>
        </w:tc>
        <w:tc>
          <w:tcPr>
            <w:tcW w:w="1099" w:type="dxa"/>
            <w:vAlign w:val="center"/>
          </w:tcPr>
          <w:p w14:paraId="44DB788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2133E3" w14:paraId="32083348" w14:textId="77777777">
        <w:trPr>
          <w:trHeight w:val="284"/>
          <w:jc w:val="center"/>
        </w:trPr>
        <w:tc>
          <w:tcPr>
            <w:tcW w:w="428" w:type="dxa"/>
            <w:vAlign w:val="center"/>
          </w:tcPr>
          <w:p w14:paraId="6E422D8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098" w:type="dxa"/>
            <w:vAlign w:val="center"/>
          </w:tcPr>
          <w:p w14:paraId="7BD8841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硫酸</w:t>
            </w:r>
          </w:p>
        </w:tc>
        <w:tc>
          <w:tcPr>
            <w:tcW w:w="1276" w:type="dxa"/>
            <w:vAlign w:val="center"/>
          </w:tcPr>
          <w:p w14:paraId="3C50DC5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98%</w:t>
            </w:r>
          </w:p>
        </w:tc>
        <w:tc>
          <w:tcPr>
            <w:tcW w:w="1134" w:type="dxa"/>
            <w:vAlign w:val="center"/>
          </w:tcPr>
          <w:p w14:paraId="0522026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 xml:space="preserve">700 </w:t>
            </w:r>
          </w:p>
        </w:tc>
        <w:tc>
          <w:tcPr>
            <w:tcW w:w="2083" w:type="dxa"/>
            <w:vAlign w:val="center"/>
          </w:tcPr>
          <w:p w14:paraId="04C2C22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储罐</w:t>
            </w:r>
            <w:r>
              <w:rPr>
                <w:rFonts w:ascii="Times New Roman" w:eastAsia="宋体" w:hAnsi="Times New Roman" w:cs="Times New Roman"/>
                <w:color w:val="000000"/>
                <w:szCs w:val="21"/>
              </w:rPr>
              <w:t>1</w:t>
            </w:r>
            <w:r>
              <w:rPr>
                <w:rFonts w:ascii="Times New Roman" w:eastAsia="宋体" w:hAnsi="Times New Roman" w:cs="Times New Roman"/>
                <w:color w:val="000000"/>
                <w:szCs w:val="21"/>
              </w:rPr>
              <w:t>个，</w:t>
            </w:r>
            <w:r>
              <w:rPr>
                <w:rFonts w:ascii="Times New Roman" w:eastAsia="宋体" w:hAnsi="Times New Roman" w:cs="Times New Roman"/>
                <w:color w:val="000000"/>
                <w:szCs w:val="21"/>
              </w:rPr>
              <w:t>10m</w:t>
            </w:r>
            <w:r>
              <w:rPr>
                <w:rFonts w:ascii="Times New Roman" w:eastAsia="宋体" w:hAnsi="Times New Roman" w:cs="Times New Roman"/>
                <w:color w:val="000000"/>
                <w:szCs w:val="21"/>
                <w:vertAlign w:val="superscript"/>
              </w:rPr>
              <w:t>3</w:t>
            </w:r>
          </w:p>
        </w:tc>
        <w:tc>
          <w:tcPr>
            <w:tcW w:w="893" w:type="dxa"/>
            <w:vAlign w:val="center"/>
          </w:tcPr>
          <w:p w14:paraId="3E9EDD0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709" w:type="dxa"/>
            <w:vAlign w:val="center"/>
          </w:tcPr>
          <w:p w14:paraId="6F9262B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液态</w:t>
            </w:r>
          </w:p>
        </w:tc>
        <w:tc>
          <w:tcPr>
            <w:tcW w:w="1134" w:type="dxa"/>
            <w:vAlign w:val="center"/>
          </w:tcPr>
          <w:p w14:paraId="5DE19BA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罐区</w:t>
            </w:r>
          </w:p>
        </w:tc>
        <w:tc>
          <w:tcPr>
            <w:tcW w:w="1099" w:type="dxa"/>
            <w:vAlign w:val="center"/>
          </w:tcPr>
          <w:p w14:paraId="331E720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9C2E4E" w14:paraId="5BC05CBD" w14:textId="77777777">
        <w:trPr>
          <w:trHeight w:val="284"/>
          <w:jc w:val="center"/>
        </w:trPr>
        <w:tc>
          <w:tcPr>
            <w:tcW w:w="428" w:type="dxa"/>
            <w:vAlign w:val="center"/>
          </w:tcPr>
          <w:p w14:paraId="7FA41D5B" w14:textId="7777777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098" w:type="dxa"/>
            <w:vAlign w:val="center"/>
          </w:tcPr>
          <w:p w14:paraId="560721D8" w14:textId="4F7F1476"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干酵母</w:t>
            </w:r>
          </w:p>
        </w:tc>
        <w:tc>
          <w:tcPr>
            <w:tcW w:w="1276" w:type="dxa"/>
            <w:vAlign w:val="center"/>
          </w:tcPr>
          <w:p w14:paraId="6AAA49FC" w14:textId="5940E4D5"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活性</w:t>
            </w:r>
          </w:p>
        </w:tc>
        <w:tc>
          <w:tcPr>
            <w:tcW w:w="1134" w:type="dxa"/>
            <w:vAlign w:val="center"/>
          </w:tcPr>
          <w:p w14:paraId="21E545AE" w14:textId="2997A3C9"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 xml:space="preserve">17 </w:t>
            </w:r>
          </w:p>
        </w:tc>
        <w:tc>
          <w:tcPr>
            <w:tcW w:w="2083" w:type="dxa"/>
            <w:vAlign w:val="center"/>
          </w:tcPr>
          <w:p w14:paraId="73AEE4B9" w14:textId="397318C8"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100kg/</w:t>
            </w:r>
            <w:r>
              <w:rPr>
                <w:rFonts w:ascii="Times New Roman" w:eastAsia="宋体" w:hAnsi="Times New Roman" w:cs="Times New Roman"/>
                <w:color w:val="000000"/>
                <w:szCs w:val="21"/>
              </w:rPr>
              <w:t>袋</w:t>
            </w:r>
          </w:p>
        </w:tc>
        <w:tc>
          <w:tcPr>
            <w:tcW w:w="893" w:type="dxa"/>
            <w:vAlign w:val="center"/>
          </w:tcPr>
          <w:p w14:paraId="1789761C" w14:textId="0F8A846E"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4.25</w:t>
            </w:r>
          </w:p>
        </w:tc>
        <w:tc>
          <w:tcPr>
            <w:tcW w:w="709" w:type="dxa"/>
            <w:vAlign w:val="center"/>
          </w:tcPr>
          <w:p w14:paraId="0F84CF0A" w14:textId="50072649"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134" w:type="dxa"/>
            <w:vAlign w:val="center"/>
          </w:tcPr>
          <w:p w14:paraId="75077551" w14:textId="3D548C72"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themeColor="text1"/>
                <w:kern w:val="0"/>
                <w:szCs w:val="21"/>
              </w:rPr>
              <w:t>辅料仓库</w:t>
            </w:r>
          </w:p>
        </w:tc>
        <w:tc>
          <w:tcPr>
            <w:tcW w:w="1099" w:type="dxa"/>
            <w:vAlign w:val="center"/>
          </w:tcPr>
          <w:p w14:paraId="3A2C9797" w14:textId="6F9CC7A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9C2E4E" w14:paraId="1DE9BEC8" w14:textId="77777777">
        <w:trPr>
          <w:trHeight w:val="284"/>
          <w:jc w:val="center"/>
        </w:trPr>
        <w:tc>
          <w:tcPr>
            <w:tcW w:w="428" w:type="dxa"/>
            <w:vAlign w:val="center"/>
          </w:tcPr>
          <w:p w14:paraId="7DB2932D" w14:textId="7777777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098" w:type="dxa"/>
            <w:vAlign w:val="center"/>
          </w:tcPr>
          <w:p w14:paraId="46C5215B" w14:textId="6CA4547E"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磷酸一铵</w:t>
            </w:r>
          </w:p>
        </w:tc>
        <w:tc>
          <w:tcPr>
            <w:tcW w:w="1276" w:type="dxa"/>
            <w:vAlign w:val="center"/>
          </w:tcPr>
          <w:p w14:paraId="139D6B37" w14:textId="774A454E"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99%</w:t>
            </w:r>
          </w:p>
        </w:tc>
        <w:tc>
          <w:tcPr>
            <w:tcW w:w="1134" w:type="dxa"/>
            <w:vAlign w:val="center"/>
          </w:tcPr>
          <w:p w14:paraId="1926D794" w14:textId="7751B1F3"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 xml:space="preserve">20 </w:t>
            </w:r>
          </w:p>
        </w:tc>
        <w:tc>
          <w:tcPr>
            <w:tcW w:w="2083" w:type="dxa"/>
            <w:vAlign w:val="center"/>
          </w:tcPr>
          <w:p w14:paraId="0228FDE5" w14:textId="1424B7C8"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100kg/</w:t>
            </w:r>
            <w:r>
              <w:rPr>
                <w:rFonts w:ascii="Times New Roman" w:eastAsia="宋体" w:hAnsi="Times New Roman" w:cs="Times New Roman"/>
                <w:color w:val="000000"/>
                <w:szCs w:val="21"/>
              </w:rPr>
              <w:t>袋</w:t>
            </w:r>
          </w:p>
        </w:tc>
        <w:tc>
          <w:tcPr>
            <w:tcW w:w="893" w:type="dxa"/>
            <w:vAlign w:val="center"/>
          </w:tcPr>
          <w:p w14:paraId="79A0E559" w14:textId="5FAB3AE9"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709" w:type="dxa"/>
            <w:vAlign w:val="center"/>
          </w:tcPr>
          <w:p w14:paraId="2C8B7927" w14:textId="46FFF2E2"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134" w:type="dxa"/>
            <w:vAlign w:val="center"/>
          </w:tcPr>
          <w:p w14:paraId="7DB39445" w14:textId="641593B4"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themeColor="text1"/>
                <w:kern w:val="0"/>
                <w:szCs w:val="21"/>
              </w:rPr>
              <w:t>辅料仓库</w:t>
            </w:r>
          </w:p>
        </w:tc>
        <w:tc>
          <w:tcPr>
            <w:tcW w:w="1099" w:type="dxa"/>
            <w:vAlign w:val="center"/>
          </w:tcPr>
          <w:p w14:paraId="6D4C29BA" w14:textId="2AD044CC"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9C2E4E" w14:paraId="4AACEE08" w14:textId="77777777">
        <w:trPr>
          <w:trHeight w:val="284"/>
          <w:jc w:val="center"/>
        </w:trPr>
        <w:tc>
          <w:tcPr>
            <w:tcW w:w="428" w:type="dxa"/>
            <w:vAlign w:val="center"/>
          </w:tcPr>
          <w:p w14:paraId="2B48BC06" w14:textId="7777777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1098" w:type="dxa"/>
            <w:vAlign w:val="center"/>
          </w:tcPr>
          <w:p w14:paraId="206202F4" w14:textId="12EC08E0"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片碱</w:t>
            </w:r>
          </w:p>
        </w:tc>
        <w:tc>
          <w:tcPr>
            <w:tcW w:w="1276" w:type="dxa"/>
            <w:vAlign w:val="center"/>
          </w:tcPr>
          <w:p w14:paraId="6B181D22" w14:textId="041D26C9"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99%</w:t>
            </w:r>
          </w:p>
        </w:tc>
        <w:tc>
          <w:tcPr>
            <w:tcW w:w="1134" w:type="dxa"/>
            <w:vAlign w:val="center"/>
          </w:tcPr>
          <w:p w14:paraId="1722A108" w14:textId="6D65A35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 xml:space="preserve">17 </w:t>
            </w:r>
          </w:p>
        </w:tc>
        <w:tc>
          <w:tcPr>
            <w:tcW w:w="2083" w:type="dxa"/>
            <w:vAlign w:val="center"/>
          </w:tcPr>
          <w:p w14:paraId="2688772A" w14:textId="6F3834E4"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100kg/</w:t>
            </w:r>
            <w:r>
              <w:rPr>
                <w:rFonts w:ascii="Times New Roman" w:eastAsia="宋体" w:hAnsi="Times New Roman" w:cs="Times New Roman"/>
                <w:color w:val="000000"/>
                <w:szCs w:val="21"/>
              </w:rPr>
              <w:t>袋</w:t>
            </w:r>
          </w:p>
        </w:tc>
        <w:tc>
          <w:tcPr>
            <w:tcW w:w="893" w:type="dxa"/>
            <w:vAlign w:val="center"/>
          </w:tcPr>
          <w:p w14:paraId="5C505621" w14:textId="5A520B6F"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4.25</w:t>
            </w:r>
          </w:p>
        </w:tc>
        <w:tc>
          <w:tcPr>
            <w:tcW w:w="709" w:type="dxa"/>
            <w:vAlign w:val="center"/>
          </w:tcPr>
          <w:p w14:paraId="110521F5" w14:textId="188D7DDD"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1134" w:type="dxa"/>
            <w:vAlign w:val="center"/>
          </w:tcPr>
          <w:p w14:paraId="0CF4720C" w14:textId="0722474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themeColor="text1"/>
                <w:kern w:val="0"/>
                <w:szCs w:val="21"/>
              </w:rPr>
              <w:t>辅料仓库</w:t>
            </w:r>
          </w:p>
        </w:tc>
        <w:tc>
          <w:tcPr>
            <w:tcW w:w="1099" w:type="dxa"/>
            <w:vAlign w:val="center"/>
          </w:tcPr>
          <w:p w14:paraId="18C7F920" w14:textId="491526EA"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9C2E4E" w14:paraId="4778EE01" w14:textId="77777777">
        <w:trPr>
          <w:trHeight w:val="284"/>
          <w:jc w:val="center"/>
        </w:trPr>
        <w:tc>
          <w:tcPr>
            <w:tcW w:w="428" w:type="dxa"/>
            <w:vAlign w:val="center"/>
          </w:tcPr>
          <w:p w14:paraId="67348597" w14:textId="7777777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1098" w:type="dxa"/>
            <w:vAlign w:val="center"/>
          </w:tcPr>
          <w:p w14:paraId="64F5E624" w14:textId="4B82BAB8"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p>
        </w:tc>
        <w:tc>
          <w:tcPr>
            <w:tcW w:w="1276" w:type="dxa"/>
            <w:vAlign w:val="center"/>
          </w:tcPr>
          <w:p w14:paraId="488AEFAF" w14:textId="71420B45"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95%</w:t>
            </w:r>
          </w:p>
        </w:tc>
        <w:tc>
          <w:tcPr>
            <w:tcW w:w="1134" w:type="dxa"/>
            <w:vAlign w:val="center"/>
          </w:tcPr>
          <w:p w14:paraId="1519E90A" w14:textId="0DB73B86"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p>
        </w:tc>
        <w:tc>
          <w:tcPr>
            <w:tcW w:w="2083" w:type="dxa"/>
            <w:vAlign w:val="center"/>
          </w:tcPr>
          <w:p w14:paraId="1E0DDDA8" w14:textId="4973350F"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储罐</w:t>
            </w:r>
            <w:r>
              <w:rPr>
                <w:rFonts w:ascii="Times New Roman" w:eastAsia="宋体" w:hAnsi="Times New Roman" w:cs="Times New Roman"/>
                <w:color w:val="000000"/>
                <w:szCs w:val="21"/>
              </w:rPr>
              <w:t>3</w:t>
            </w:r>
            <w:r>
              <w:rPr>
                <w:rFonts w:ascii="Times New Roman" w:eastAsia="宋体" w:hAnsi="Times New Roman" w:cs="Times New Roman"/>
                <w:color w:val="000000"/>
                <w:szCs w:val="21"/>
              </w:rPr>
              <w:t>个，</w:t>
            </w:r>
            <w:r>
              <w:rPr>
                <w:rFonts w:ascii="Times New Roman" w:eastAsia="宋体" w:hAnsi="Times New Roman" w:cs="Times New Roman"/>
                <w:color w:val="000000"/>
                <w:szCs w:val="21"/>
              </w:rPr>
              <w:t>1</w:t>
            </w:r>
            <w:r>
              <w:rPr>
                <w:rFonts w:ascii="Times New Roman" w:eastAsia="宋体" w:hAnsi="Times New Roman" w:cs="Times New Roman"/>
                <w:color w:val="000000"/>
                <w:szCs w:val="21"/>
              </w:rPr>
              <w:t>个</w:t>
            </w:r>
            <w:r>
              <w:rPr>
                <w:rFonts w:ascii="Times New Roman" w:eastAsia="宋体" w:hAnsi="Times New Roman" w:cs="Times New Roman"/>
                <w:color w:val="000000"/>
                <w:szCs w:val="21"/>
              </w:rPr>
              <w:t>500m</w:t>
            </w:r>
            <w:r>
              <w:rPr>
                <w:rFonts w:ascii="Times New Roman" w:eastAsia="宋体" w:hAnsi="Times New Roman" w:cs="Times New Roman"/>
                <w:color w:val="000000"/>
                <w:szCs w:val="21"/>
                <w:vertAlign w:val="superscript"/>
              </w:rPr>
              <w:t>3</w:t>
            </w:r>
            <w:r>
              <w:rPr>
                <w:rFonts w:ascii="Times New Roman" w:eastAsia="宋体" w:hAnsi="Times New Roman" w:cs="Times New Roman"/>
                <w:color w:val="000000"/>
                <w:szCs w:val="21"/>
              </w:rPr>
              <w:t>，</w:t>
            </w:r>
            <w:r>
              <w:rPr>
                <w:rFonts w:ascii="Times New Roman" w:eastAsia="宋体" w:hAnsi="Times New Roman" w:cs="Times New Roman"/>
                <w:color w:val="000000"/>
                <w:szCs w:val="21"/>
              </w:rPr>
              <w:t>2</w:t>
            </w:r>
            <w:r>
              <w:rPr>
                <w:rFonts w:ascii="Times New Roman" w:eastAsia="宋体" w:hAnsi="Times New Roman" w:cs="Times New Roman"/>
                <w:color w:val="000000"/>
                <w:szCs w:val="21"/>
              </w:rPr>
              <w:t>个</w:t>
            </w:r>
            <w:r>
              <w:rPr>
                <w:rFonts w:ascii="Times New Roman" w:eastAsia="宋体" w:hAnsi="Times New Roman" w:cs="Times New Roman"/>
                <w:color w:val="000000"/>
                <w:szCs w:val="21"/>
              </w:rPr>
              <w:t>2000m</w:t>
            </w:r>
            <w:r>
              <w:rPr>
                <w:rFonts w:ascii="Times New Roman" w:eastAsia="宋体" w:hAnsi="Times New Roman" w:cs="Times New Roman"/>
                <w:color w:val="000000"/>
                <w:szCs w:val="21"/>
                <w:vertAlign w:val="superscript"/>
              </w:rPr>
              <w:t>3</w:t>
            </w:r>
          </w:p>
        </w:tc>
        <w:tc>
          <w:tcPr>
            <w:tcW w:w="893" w:type="dxa"/>
            <w:vAlign w:val="center"/>
          </w:tcPr>
          <w:p w14:paraId="14FD3247" w14:textId="63C74ED3"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890</w:t>
            </w:r>
          </w:p>
        </w:tc>
        <w:tc>
          <w:tcPr>
            <w:tcW w:w="709" w:type="dxa"/>
            <w:vAlign w:val="center"/>
          </w:tcPr>
          <w:p w14:paraId="507E82C4" w14:textId="7027CE5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液态</w:t>
            </w:r>
          </w:p>
        </w:tc>
        <w:tc>
          <w:tcPr>
            <w:tcW w:w="1134" w:type="dxa"/>
            <w:vAlign w:val="center"/>
          </w:tcPr>
          <w:p w14:paraId="206B8327" w14:textId="4223C9B4"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罐区</w:t>
            </w:r>
            <w:r>
              <w:rPr>
                <w:rFonts w:ascii="Times New Roman" w:eastAsia="宋体" w:hAnsi="Times New Roman" w:cs="Times New Roman" w:hint="eastAsia"/>
                <w:color w:val="000000"/>
                <w:szCs w:val="21"/>
              </w:rPr>
              <w:t>五</w:t>
            </w:r>
          </w:p>
        </w:tc>
        <w:tc>
          <w:tcPr>
            <w:tcW w:w="1099" w:type="dxa"/>
            <w:vAlign w:val="center"/>
          </w:tcPr>
          <w:p w14:paraId="579342DD" w14:textId="71FDE005"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r w:rsidR="009C2E4E" w14:paraId="38A37B08" w14:textId="77777777">
        <w:trPr>
          <w:trHeight w:val="284"/>
          <w:jc w:val="center"/>
        </w:trPr>
        <w:tc>
          <w:tcPr>
            <w:tcW w:w="428" w:type="dxa"/>
            <w:vAlign w:val="center"/>
          </w:tcPr>
          <w:p w14:paraId="054F6E6A" w14:textId="7777777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098" w:type="dxa"/>
            <w:vAlign w:val="center"/>
          </w:tcPr>
          <w:p w14:paraId="534B8803" w14:textId="338813A8"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无水乙醇</w:t>
            </w:r>
          </w:p>
        </w:tc>
        <w:tc>
          <w:tcPr>
            <w:tcW w:w="1276" w:type="dxa"/>
            <w:vAlign w:val="center"/>
          </w:tcPr>
          <w:p w14:paraId="13ADBB13" w14:textId="0666E6FB"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99.9%</w:t>
            </w:r>
          </w:p>
        </w:tc>
        <w:tc>
          <w:tcPr>
            <w:tcW w:w="1134" w:type="dxa"/>
            <w:vAlign w:val="center"/>
          </w:tcPr>
          <w:p w14:paraId="0AEE9588" w14:textId="34B7E195"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万</w:t>
            </w:r>
          </w:p>
        </w:tc>
        <w:tc>
          <w:tcPr>
            <w:tcW w:w="2083" w:type="dxa"/>
            <w:vAlign w:val="center"/>
          </w:tcPr>
          <w:p w14:paraId="7DEB3CC6" w14:textId="0D55E60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储罐</w:t>
            </w:r>
            <w:r>
              <w:rPr>
                <w:rFonts w:ascii="Times New Roman" w:eastAsia="宋体" w:hAnsi="Times New Roman" w:cs="Times New Roman"/>
                <w:color w:val="000000"/>
                <w:szCs w:val="21"/>
              </w:rPr>
              <w:t>1</w:t>
            </w:r>
            <w:r>
              <w:rPr>
                <w:rFonts w:ascii="Times New Roman" w:eastAsia="宋体" w:hAnsi="Times New Roman" w:cs="Times New Roman"/>
                <w:color w:val="000000"/>
                <w:szCs w:val="21"/>
              </w:rPr>
              <w:t>个，</w:t>
            </w:r>
            <w:r>
              <w:rPr>
                <w:rFonts w:ascii="Times New Roman" w:eastAsia="宋体" w:hAnsi="Times New Roman" w:cs="Times New Roman"/>
                <w:color w:val="000000"/>
                <w:szCs w:val="21"/>
              </w:rPr>
              <w:t>2000m</w:t>
            </w:r>
            <w:r>
              <w:rPr>
                <w:rFonts w:ascii="Times New Roman" w:eastAsia="宋体" w:hAnsi="Times New Roman" w:cs="Times New Roman"/>
                <w:color w:val="000000"/>
                <w:szCs w:val="21"/>
                <w:vertAlign w:val="superscript"/>
              </w:rPr>
              <w:t>3</w:t>
            </w:r>
          </w:p>
        </w:tc>
        <w:tc>
          <w:tcPr>
            <w:tcW w:w="893" w:type="dxa"/>
            <w:vAlign w:val="center"/>
          </w:tcPr>
          <w:p w14:paraId="448764E0" w14:textId="3366464D"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1200</w:t>
            </w:r>
          </w:p>
        </w:tc>
        <w:tc>
          <w:tcPr>
            <w:tcW w:w="709" w:type="dxa"/>
            <w:vAlign w:val="center"/>
          </w:tcPr>
          <w:p w14:paraId="1935C36A" w14:textId="75A3D4CE"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液态</w:t>
            </w:r>
          </w:p>
        </w:tc>
        <w:tc>
          <w:tcPr>
            <w:tcW w:w="1134" w:type="dxa"/>
            <w:vAlign w:val="center"/>
          </w:tcPr>
          <w:p w14:paraId="3E966B69" w14:textId="2927E510"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罐区</w:t>
            </w:r>
            <w:r>
              <w:rPr>
                <w:rFonts w:ascii="Times New Roman" w:eastAsia="宋体" w:hAnsi="Times New Roman" w:cs="Times New Roman" w:hint="eastAsia"/>
                <w:color w:val="000000"/>
                <w:szCs w:val="21"/>
              </w:rPr>
              <w:t>五</w:t>
            </w:r>
          </w:p>
        </w:tc>
        <w:tc>
          <w:tcPr>
            <w:tcW w:w="1099" w:type="dxa"/>
            <w:vAlign w:val="center"/>
          </w:tcPr>
          <w:p w14:paraId="2BA373F0" w14:textId="7A8B64F6"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新建</w:t>
            </w:r>
          </w:p>
        </w:tc>
      </w:tr>
      <w:tr w:rsidR="009C2E4E" w14:paraId="78142788" w14:textId="77777777">
        <w:trPr>
          <w:trHeight w:val="284"/>
          <w:jc w:val="center"/>
        </w:trPr>
        <w:tc>
          <w:tcPr>
            <w:tcW w:w="428" w:type="dxa"/>
            <w:vAlign w:val="center"/>
          </w:tcPr>
          <w:p w14:paraId="72B3A843" w14:textId="77777777"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1098" w:type="dxa"/>
            <w:vAlign w:val="center"/>
          </w:tcPr>
          <w:p w14:paraId="714B01AE" w14:textId="50AD1C84"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1276" w:type="dxa"/>
            <w:vAlign w:val="center"/>
          </w:tcPr>
          <w:p w14:paraId="658C6D6A" w14:textId="1C2BC434"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134" w:type="dxa"/>
            <w:vAlign w:val="center"/>
          </w:tcPr>
          <w:p w14:paraId="574E696D" w14:textId="5612C6F8"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c>
          <w:tcPr>
            <w:tcW w:w="2083" w:type="dxa"/>
            <w:vAlign w:val="center"/>
          </w:tcPr>
          <w:p w14:paraId="762F6657" w14:textId="29680E42"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储罐</w:t>
            </w:r>
            <w:r>
              <w:rPr>
                <w:rFonts w:ascii="Times New Roman" w:eastAsia="宋体" w:hAnsi="Times New Roman" w:cs="Times New Roman"/>
                <w:color w:val="000000"/>
                <w:szCs w:val="21"/>
              </w:rPr>
              <w:t>1</w:t>
            </w:r>
            <w:r>
              <w:rPr>
                <w:rFonts w:ascii="Times New Roman" w:eastAsia="宋体" w:hAnsi="Times New Roman" w:cs="Times New Roman"/>
                <w:color w:val="000000"/>
                <w:szCs w:val="21"/>
              </w:rPr>
              <w:t>个，</w:t>
            </w:r>
            <w:r>
              <w:rPr>
                <w:rFonts w:ascii="Times New Roman" w:eastAsia="宋体" w:hAnsi="Times New Roman" w:cs="Times New Roman"/>
                <w:color w:val="000000"/>
                <w:szCs w:val="21"/>
              </w:rPr>
              <w:t>60m</w:t>
            </w:r>
            <w:r>
              <w:rPr>
                <w:rFonts w:ascii="Times New Roman" w:eastAsia="宋体" w:hAnsi="Times New Roman" w:cs="Times New Roman"/>
                <w:color w:val="000000"/>
                <w:szCs w:val="21"/>
                <w:vertAlign w:val="superscript"/>
              </w:rPr>
              <w:t>3</w:t>
            </w:r>
          </w:p>
        </w:tc>
        <w:tc>
          <w:tcPr>
            <w:tcW w:w="893" w:type="dxa"/>
            <w:vAlign w:val="center"/>
          </w:tcPr>
          <w:p w14:paraId="13761F74" w14:textId="17F7BE9D"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50</w:t>
            </w:r>
          </w:p>
        </w:tc>
        <w:tc>
          <w:tcPr>
            <w:tcW w:w="709" w:type="dxa"/>
            <w:vAlign w:val="center"/>
          </w:tcPr>
          <w:p w14:paraId="35A164C1" w14:textId="16584F33"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液态</w:t>
            </w:r>
          </w:p>
        </w:tc>
        <w:tc>
          <w:tcPr>
            <w:tcW w:w="1134" w:type="dxa"/>
            <w:vAlign w:val="center"/>
          </w:tcPr>
          <w:p w14:paraId="0BA3221F" w14:textId="54E319EA"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szCs w:val="21"/>
              </w:rPr>
              <w:t>酒精车间</w:t>
            </w:r>
          </w:p>
        </w:tc>
        <w:tc>
          <w:tcPr>
            <w:tcW w:w="1099" w:type="dxa"/>
            <w:vAlign w:val="center"/>
          </w:tcPr>
          <w:p w14:paraId="0C60C938" w14:textId="2765FD4D" w:rsidR="009C2E4E" w:rsidRDefault="009C2E4E" w:rsidP="009C2E4E">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r>
    </w:tbl>
    <w:p w14:paraId="50632C4A"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0"/>
        </w:rPr>
      </w:pPr>
      <w:r>
        <w:rPr>
          <w:rFonts w:ascii="Times New Roman" w:eastAsia="宋体" w:hAnsi="Times New Roman" w:cs="Times New Roman" w:hint="eastAsia"/>
          <w:sz w:val="28"/>
          <w:szCs w:val="20"/>
          <w:highlight w:val="yellow"/>
        </w:rPr>
        <w:t>②一般工业</w:t>
      </w:r>
    </w:p>
    <w:p w14:paraId="28D75243"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木薯杂质：露天堆放</w:t>
      </w:r>
    </w:p>
    <w:p w14:paraId="677B98BF"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酒糟固废</w:t>
      </w:r>
      <w:r>
        <w:rPr>
          <w:rFonts w:ascii="Times New Roman" w:eastAsia="宋体" w:hAnsi="Times New Roman" w:cs="Times New Roman" w:hint="eastAsia"/>
          <w:sz w:val="28"/>
          <w:szCs w:val="28"/>
        </w:rPr>
        <w:t>、</w:t>
      </w:r>
      <w:r>
        <w:rPr>
          <w:rFonts w:ascii="Times New Roman" w:eastAsia="宋体" w:hAnsi="Times New Roman" w:cs="Times New Roman"/>
          <w:sz w:val="28"/>
          <w:szCs w:val="28"/>
        </w:rPr>
        <w:t>污水处理站污泥</w:t>
      </w:r>
    </w:p>
    <w:p w14:paraId="0B9FD160"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废分子筛</w:t>
      </w:r>
    </w:p>
    <w:p w14:paraId="0D2FF844"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0"/>
        </w:rPr>
        <w:t>③</w:t>
      </w:r>
      <w:r>
        <w:rPr>
          <w:rFonts w:ascii="Times New Roman" w:eastAsia="宋体" w:hAnsi="Times New Roman" w:cs="Times New Roman" w:hint="eastAsia"/>
          <w:sz w:val="28"/>
          <w:szCs w:val="28"/>
        </w:rPr>
        <w:t>危废</w:t>
      </w:r>
    </w:p>
    <w:p w14:paraId="0453F883"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技改项目新增废包装材料</w:t>
      </w:r>
      <w:r>
        <w:rPr>
          <w:rFonts w:ascii="Times New Roman" w:eastAsia="宋体" w:hAnsi="Times New Roman" w:cs="Times New Roman" w:hint="eastAsia"/>
          <w:sz w:val="28"/>
          <w:szCs w:val="28"/>
        </w:rPr>
        <w:t>0</w:t>
      </w:r>
      <w:r>
        <w:rPr>
          <w:rFonts w:ascii="Times New Roman" w:eastAsia="宋体" w:hAnsi="Times New Roman" w:cs="Times New Roman"/>
          <w:sz w:val="28"/>
          <w:szCs w:val="28"/>
        </w:rPr>
        <w:t>.63 t/a</w:t>
      </w:r>
      <w:r>
        <w:rPr>
          <w:rFonts w:ascii="Times New Roman" w:eastAsia="宋体" w:hAnsi="Times New Roman" w:cs="Times New Roman"/>
          <w:sz w:val="28"/>
          <w:szCs w:val="28"/>
        </w:rPr>
        <w:t>，包装方式为袋装，堆放方式为单层堆放，</w:t>
      </w:r>
      <w:r>
        <w:rPr>
          <w:rFonts w:ascii="Times New Roman" w:eastAsia="宋体" w:hAnsi="Times New Roman" w:cs="Times New Roman"/>
          <w:sz w:val="28"/>
          <w:szCs w:val="28"/>
        </w:rPr>
        <w:t>1m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约贮存</w:t>
      </w:r>
      <w:r>
        <w:rPr>
          <w:rFonts w:ascii="Times New Roman" w:eastAsia="宋体" w:hAnsi="Times New Roman" w:cs="Times New Roman"/>
          <w:sz w:val="28"/>
          <w:szCs w:val="28"/>
        </w:rPr>
        <w:t>1-2t</w:t>
      </w:r>
      <w:r>
        <w:rPr>
          <w:rFonts w:ascii="Times New Roman" w:eastAsia="宋体" w:hAnsi="Times New Roman" w:cs="Times New Roman"/>
          <w:sz w:val="28"/>
          <w:szCs w:val="28"/>
        </w:rPr>
        <w:t>左右的袋装</w:t>
      </w:r>
      <w:r>
        <w:rPr>
          <w:rFonts w:ascii="Times New Roman" w:eastAsia="宋体" w:hAnsi="Times New Roman" w:cs="Times New Roman" w:hint="eastAsia"/>
          <w:sz w:val="28"/>
          <w:szCs w:val="28"/>
        </w:rPr>
        <w:t>废包装材料</w:t>
      </w:r>
      <w:r>
        <w:rPr>
          <w:rFonts w:ascii="Times New Roman" w:eastAsia="宋体" w:hAnsi="Times New Roman" w:cs="Times New Roman"/>
          <w:sz w:val="28"/>
          <w:szCs w:val="28"/>
        </w:rPr>
        <w:t>，本项目按</w:t>
      </w:r>
      <w:r>
        <w:rPr>
          <w:rFonts w:ascii="Times New Roman" w:eastAsia="宋体" w:hAnsi="Times New Roman" w:cs="Times New Roman"/>
          <w:sz w:val="28"/>
          <w:szCs w:val="28"/>
        </w:rPr>
        <w:t>1.5t/m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计，</w:t>
      </w:r>
      <w:r>
        <w:rPr>
          <w:rFonts w:ascii="Times New Roman" w:eastAsia="宋体" w:hAnsi="Times New Roman" w:cs="Times New Roman" w:hint="eastAsia"/>
          <w:sz w:val="28"/>
          <w:szCs w:val="28"/>
        </w:rPr>
        <w:t>需要堆放面积为</w:t>
      </w:r>
      <w:r>
        <w:rPr>
          <w:rFonts w:ascii="Times New Roman" w:eastAsia="宋体" w:hAnsi="Times New Roman" w:cs="Times New Roman"/>
          <w:sz w:val="28"/>
          <w:szCs w:val="28"/>
        </w:rPr>
        <w:lastRenderedPageBreak/>
        <w:t>0.42m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w:t>
      </w:r>
    </w:p>
    <w:p w14:paraId="247168B9"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已</w:t>
      </w:r>
      <w:r>
        <w:rPr>
          <w:rFonts w:ascii="Times New Roman" w:eastAsia="宋体" w:hAnsi="Times New Roman" w:cs="Times New Roman" w:hint="eastAsia"/>
          <w:sz w:val="28"/>
          <w:szCs w:val="28"/>
        </w:rPr>
        <w:t>批</w:t>
      </w:r>
      <w:r>
        <w:rPr>
          <w:rFonts w:ascii="Times New Roman" w:eastAsia="宋体" w:hAnsi="Times New Roman" w:cs="Times New Roman"/>
          <w:sz w:val="28"/>
          <w:szCs w:val="28"/>
        </w:rPr>
        <w:t>项目危废产生量约</w:t>
      </w:r>
      <w:r>
        <w:rPr>
          <w:rFonts w:ascii="Times New Roman" w:eastAsia="宋体" w:hAnsi="Times New Roman" w:cs="Times New Roman"/>
          <w:sz w:val="28"/>
          <w:szCs w:val="28"/>
        </w:rPr>
        <w:t>63.38t/a</w:t>
      </w:r>
      <w:r>
        <w:rPr>
          <w:rFonts w:ascii="Times New Roman" w:eastAsia="宋体" w:hAnsi="Times New Roman" w:cs="Times New Roman"/>
          <w:sz w:val="28"/>
          <w:szCs w:val="28"/>
        </w:rPr>
        <w:t>，</w:t>
      </w:r>
      <w:r>
        <w:rPr>
          <w:rFonts w:ascii="Times New Roman" w:eastAsia="宋体" w:hAnsi="Times New Roman" w:cs="Times New Roman" w:hint="eastAsia"/>
          <w:sz w:val="28"/>
          <w:szCs w:val="28"/>
        </w:rPr>
        <w:t>主要为废电解银、废活性炭及废树脂，</w:t>
      </w:r>
      <w:r>
        <w:rPr>
          <w:rFonts w:ascii="Times New Roman" w:eastAsia="宋体" w:hAnsi="Times New Roman" w:cs="Times New Roman"/>
          <w:sz w:val="28"/>
          <w:szCs w:val="28"/>
        </w:rPr>
        <w:t>包装方式为袋装</w:t>
      </w:r>
      <w:r>
        <w:rPr>
          <w:rFonts w:ascii="Times New Roman" w:eastAsia="宋体" w:hAnsi="Times New Roman" w:cs="Times New Roman" w:hint="eastAsia"/>
          <w:sz w:val="28"/>
          <w:szCs w:val="28"/>
        </w:rPr>
        <w:t>或桶装</w:t>
      </w:r>
      <w:r>
        <w:rPr>
          <w:rFonts w:ascii="Times New Roman" w:eastAsia="宋体" w:hAnsi="Times New Roman" w:cs="Times New Roman"/>
          <w:sz w:val="28"/>
          <w:szCs w:val="28"/>
        </w:rPr>
        <w:t>，堆放方式为单层堆放，</w:t>
      </w:r>
      <w:r>
        <w:rPr>
          <w:rFonts w:ascii="Times New Roman" w:eastAsia="宋体" w:hAnsi="Times New Roman" w:cs="Times New Roman"/>
          <w:sz w:val="28"/>
          <w:szCs w:val="28"/>
        </w:rPr>
        <w:t>1m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约贮存</w:t>
      </w:r>
      <w:r>
        <w:rPr>
          <w:rFonts w:ascii="Times New Roman" w:eastAsia="宋体" w:hAnsi="Times New Roman" w:cs="Times New Roman"/>
          <w:sz w:val="28"/>
          <w:szCs w:val="28"/>
        </w:rPr>
        <w:t>2-3t</w:t>
      </w:r>
      <w:r>
        <w:rPr>
          <w:rFonts w:ascii="Times New Roman" w:eastAsia="宋体" w:hAnsi="Times New Roman" w:cs="Times New Roman"/>
          <w:sz w:val="28"/>
          <w:szCs w:val="28"/>
        </w:rPr>
        <w:t>左右的袋装物质，按</w:t>
      </w:r>
      <w:r>
        <w:rPr>
          <w:rFonts w:ascii="Times New Roman" w:eastAsia="宋体" w:hAnsi="Times New Roman" w:cs="Times New Roman"/>
          <w:sz w:val="28"/>
          <w:szCs w:val="28"/>
        </w:rPr>
        <w:t>2.5t/m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计，</w:t>
      </w:r>
      <w:r>
        <w:rPr>
          <w:rFonts w:ascii="Times New Roman" w:eastAsia="宋体" w:hAnsi="Times New Roman" w:cs="Times New Roman" w:hint="eastAsia"/>
          <w:sz w:val="28"/>
          <w:szCs w:val="28"/>
        </w:rPr>
        <w:t>需要堆放面积为</w:t>
      </w:r>
      <w:r>
        <w:rPr>
          <w:rFonts w:ascii="Times New Roman" w:eastAsia="宋体" w:hAnsi="Times New Roman" w:cs="Times New Roman" w:hint="eastAsia"/>
          <w:sz w:val="28"/>
          <w:szCs w:val="28"/>
        </w:rPr>
        <w:t>2</w:t>
      </w:r>
      <w:r>
        <w:rPr>
          <w:rFonts w:ascii="Times New Roman" w:eastAsia="宋体" w:hAnsi="Times New Roman" w:cs="Times New Roman"/>
          <w:sz w:val="28"/>
          <w:szCs w:val="28"/>
        </w:rPr>
        <w:t>5.35 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w:t>
      </w:r>
    </w:p>
    <w:p w14:paraId="2DCB3E5A"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厂区</w:t>
      </w:r>
      <w:r>
        <w:rPr>
          <w:rFonts w:ascii="Times New Roman" w:eastAsia="宋体" w:hAnsi="Times New Roman" w:cs="Times New Roman" w:hint="eastAsia"/>
          <w:sz w:val="28"/>
          <w:szCs w:val="28"/>
        </w:rPr>
        <w:t>已建</w:t>
      </w:r>
      <w:r>
        <w:rPr>
          <w:rFonts w:ascii="Times New Roman" w:eastAsia="宋体" w:hAnsi="Times New Roman" w:cs="Times New Roman"/>
          <w:sz w:val="28"/>
          <w:szCs w:val="28"/>
        </w:rPr>
        <w:t>约</w:t>
      </w:r>
      <w:r>
        <w:rPr>
          <w:rFonts w:ascii="Times New Roman" w:eastAsia="宋体" w:hAnsi="Times New Roman" w:cs="Times New Roman"/>
          <w:sz w:val="28"/>
          <w:szCs w:val="28"/>
        </w:rPr>
        <w:t>43.95m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危废仓库，用于暂存厂区内危险废物。实际可堆放区域面积约占危废库总面积的</w:t>
      </w:r>
      <w:r>
        <w:rPr>
          <w:rFonts w:ascii="Times New Roman" w:eastAsia="宋体" w:hAnsi="Times New Roman" w:cs="Times New Roman"/>
          <w:sz w:val="28"/>
          <w:szCs w:val="28"/>
        </w:rPr>
        <w:t>60%</w:t>
      </w:r>
      <w:r>
        <w:rPr>
          <w:rFonts w:ascii="Times New Roman" w:eastAsia="宋体" w:hAnsi="Times New Roman" w:cs="Times New Roman"/>
          <w:sz w:val="28"/>
          <w:szCs w:val="28"/>
        </w:rPr>
        <w:t>，</w:t>
      </w:r>
      <w:r>
        <w:rPr>
          <w:rFonts w:ascii="Times New Roman" w:eastAsia="宋体" w:hAnsi="Times New Roman" w:cs="Times New Roman" w:hint="eastAsia"/>
          <w:sz w:val="28"/>
          <w:szCs w:val="28"/>
        </w:rPr>
        <w:t>即</w:t>
      </w:r>
      <w:r>
        <w:rPr>
          <w:rFonts w:ascii="Times New Roman" w:eastAsia="宋体" w:hAnsi="Times New Roman" w:cs="Times New Roman" w:hint="eastAsia"/>
          <w:sz w:val="28"/>
          <w:szCs w:val="28"/>
        </w:rPr>
        <w:t>2</w:t>
      </w:r>
      <w:r>
        <w:rPr>
          <w:rFonts w:ascii="Times New Roman" w:eastAsia="宋体" w:hAnsi="Times New Roman" w:cs="Times New Roman"/>
          <w:sz w:val="28"/>
          <w:szCs w:val="28"/>
        </w:rPr>
        <w:t>6.37m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，本项目建成后危废堆存所需面积约</w:t>
      </w:r>
      <w:r>
        <w:rPr>
          <w:rFonts w:ascii="Times New Roman" w:eastAsia="宋体" w:hAnsi="Times New Roman" w:cs="Times New Roman" w:hint="eastAsia"/>
          <w:sz w:val="28"/>
          <w:szCs w:val="28"/>
        </w:rPr>
        <w:t>2</w:t>
      </w:r>
      <w:r>
        <w:rPr>
          <w:rFonts w:ascii="Times New Roman" w:eastAsia="宋体" w:hAnsi="Times New Roman" w:cs="Times New Roman"/>
          <w:sz w:val="28"/>
          <w:szCs w:val="28"/>
        </w:rPr>
        <w:t>5.77 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，现有危废仓库可满足最长</w:t>
      </w:r>
      <w:r>
        <w:rPr>
          <w:rFonts w:ascii="Times New Roman" w:eastAsia="宋体" w:hAnsi="Times New Roman" w:cs="Times New Roman" w:hint="eastAsia"/>
          <w:sz w:val="28"/>
          <w:szCs w:val="28"/>
        </w:rPr>
        <w:t>1</w:t>
      </w:r>
      <w:r>
        <w:rPr>
          <w:rFonts w:ascii="Times New Roman" w:eastAsia="宋体" w:hAnsi="Times New Roman" w:cs="Times New Roman" w:hint="eastAsia"/>
          <w:sz w:val="28"/>
          <w:szCs w:val="28"/>
        </w:rPr>
        <w:t>年的堆存需求。</w:t>
      </w:r>
    </w:p>
    <w:p w14:paraId="6923BE90" w14:textId="77777777" w:rsidR="002133E3" w:rsidRDefault="00C22CFA">
      <w:pPr>
        <w:spacing w:line="520" w:lineRule="exact"/>
        <w:ind w:firstLineChars="200" w:firstLine="560"/>
        <w:rPr>
          <w:rFonts w:ascii="Times New Roman" w:eastAsia="宋体" w:hAnsi="Times New Roman" w:cs="Times New Roman"/>
          <w:sz w:val="28"/>
          <w:szCs w:val="20"/>
        </w:rPr>
      </w:pPr>
      <w:r>
        <w:rPr>
          <w:rFonts w:ascii="Times New Roman" w:eastAsia="宋体" w:hAnsi="Times New Roman" w:cs="Times New Roman"/>
          <w:sz w:val="28"/>
          <w:szCs w:val="20"/>
        </w:rPr>
        <w:t>项目公用及辅助工程见表</w:t>
      </w:r>
      <w:r>
        <w:rPr>
          <w:rFonts w:ascii="Times New Roman" w:eastAsia="宋体" w:hAnsi="Times New Roman" w:cs="Times New Roman"/>
          <w:sz w:val="28"/>
          <w:szCs w:val="20"/>
        </w:rPr>
        <w:t>4.1-4</w:t>
      </w:r>
      <w:r>
        <w:rPr>
          <w:rFonts w:ascii="Times New Roman" w:eastAsia="宋体" w:hAnsi="Times New Roman" w:cs="Times New Roman"/>
          <w:sz w:val="28"/>
          <w:szCs w:val="20"/>
        </w:rPr>
        <w:t>。</w:t>
      </w:r>
    </w:p>
    <w:p w14:paraId="1B52792D"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4.1-4   </w:t>
      </w:r>
      <w:r>
        <w:rPr>
          <w:rFonts w:ascii="Times New Roman" w:eastAsia="宋体" w:hAnsi="Times New Roman" w:cs="Times New Roman"/>
          <w:b/>
          <w:bCs/>
          <w:sz w:val="24"/>
          <w:szCs w:val="20"/>
        </w:rPr>
        <w:t>公用及辅助工程一览表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1742"/>
        <w:gridCol w:w="6519"/>
        <w:gridCol w:w="1100"/>
      </w:tblGrid>
      <w:tr w:rsidR="002133E3" w14:paraId="024683B7" w14:textId="77777777">
        <w:trPr>
          <w:cantSplit/>
          <w:trHeight w:val="284"/>
          <w:jc w:val="center"/>
        </w:trPr>
        <w:tc>
          <w:tcPr>
            <w:tcW w:w="250" w:type="pct"/>
            <w:vAlign w:val="center"/>
          </w:tcPr>
          <w:p w14:paraId="45FF652D"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类别</w:t>
            </w:r>
          </w:p>
        </w:tc>
        <w:tc>
          <w:tcPr>
            <w:tcW w:w="884" w:type="pct"/>
            <w:vAlign w:val="center"/>
          </w:tcPr>
          <w:p w14:paraId="71D9412B" w14:textId="77777777" w:rsidR="002133E3" w:rsidRDefault="00C22CFA">
            <w:pPr>
              <w:widowControl/>
              <w:jc w:val="center"/>
              <w:rPr>
                <w:rFonts w:ascii="Times New Roman" w:eastAsia="宋体" w:hAnsi="Times New Roman" w:cs="Times New Roman"/>
                <w:b/>
                <w:spacing w:val="-10"/>
                <w:kern w:val="0"/>
                <w:szCs w:val="21"/>
              </w:rPr>
            </w:pPr>
            <w:r>
              <w:rPr>
                <w:rFonts w:ascii="Times New Roman" w:eastAsia="宋体" w:hAnsi="Times New Roman" w:cs="Times New Roman"/>
                <w:b/>
                <w:spacing w:val="-10"/>
                <w:kern w:val="0"/>
                <w:szCs w:val="21"/>
              </w:rPr>
              <w:t>建设名称</w:t>
            </w:r>
          </w:p>
        </w:tc>
        <w:tc>
          <w:tcPr>
            <w:tcW w:w="3308" w:type="pct"/>
            <w:vAlign w:val="center"/>
          </w:tcPr>
          <w:p w14:paraId="36A5F5F3" w14:textId="77777777" w:rsidR="002133E3" w:rsidRDefault="00C22CFA">
            <w:pPr>
              <w:ind w:leftChars="47" w:left="99"/>
              <w:jc w:val="center"/>
              <w:rPr>
                <w:rFonts w:ascii="Times New Roman" w:eastAsia="宋体" w:hAnsi="Times New Roman" w:cs="Times New Roman"/>
                <w:b/>
                <w:spacing w:val="-10"/>
                <w:szCs w:val="21"/>
              </w:rPr>
            </w:pPr>
            <w:r>
              <w:rPr>
                <w:rFonts w:ascii="Times New Roman" w:eastAsia="宋体" w:hAnsi="Times New Roman" w:cs="Times New Roman"/>
                <w:b/>
                <w:spacing w:val="-10"/>
                <w:szCs w:val="21"/>
              </w:rPr>
              <w:t>设计能力</w:t>
            </w:r>
          </w:p>
        </w:tc>
        <w:tc>
          <w:tcPr>
            <w:tcW w:w="558" w:type="pct"/>
            <w:vAlign w:val="center"/>
          </w:tcPr>
          <w:p w14:paraId="17D93157" w14:textId="77777777" w:rsidR="002133E3" w:rsidRDefault="00C22CFA">
            <w:pPr>
              <w:widowControl/>
              <w:jc w:val="center"/>
              <w:rPr>
                <w:rFonts w:ascii="Times New Roman" w:eastAsia="宋体" w:hAnsi="Times New Roman" w:cs="Times New Roman"/>
                <w:b/>
                <w:spacing w:val="-10"/>
                <w:kern w:val="0"/>
                <w:szCs w:val="21"/>
              </w:rPr>
            </w:pPr>
            <w:r>
              <w:rPr>
                <w:rFonts w:ascii="Times New Roman" w:eastAsia="宋体" w:hAnsi="Times New Roman" w:cs="Times New Roman"/>
                <w:b/>
                <w:spacing w:val="-10"/>
                <w:kern w:val="0"/>
                <w:szCs w:val="21"/>
              </w:rPr>
              <w:t>备注</w:t>
            </w:r>
          </w:p>
        </w:tc>
      </w:tr>
      <w:tr w:rsidR="002133E3" w14:paraId="29004318" w14:textId="77777777">
        <w:trPr>
          <w:cantSplit/>
          <w:trHeight w:val="284"/>
          <w:jc w:val="center"/>
        </w:trPr>
        <w:tc>
          <w:tcPr>
            <w:tcW w:w="250" w:type="pct"/>
            <w:vMerge w:val="restart"/>
            <w:vAlign w:val="center"/>
          </w:tcPr>
          <w:p w14:paraId="6637C44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公</w:t>
            </w:r>
          </w:p>
          <w:p w14:paraId="04724FA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用</w:t>
            </w:r>
          </w:p>
          <w:p w14:paraId="3066CBC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工</w:t>
            </w:r>
          </w:p>
          <w:p w14:paraId="72A472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程</w:t>
            </w:r>
          </w:p>
        </w:tc>
        <w:tc>
          <w:tcPr>
            <w:tcW w:w="884" w:type="pct"/>
            <w:vAlign w:val="center"/>
          </w:tcPr>
          <w:p w14:paraId="29D3FBD5" w14:textId="77777777" w:rsidR="002133E3" w:rsidRDefault="00C22CFA">
            <w:pPr>
              <w:widowControl/>
              <w:jc w:val="center"/>
              <w:rPr>
                <w:rFonts w:ascii="Times New Roman" w:eastAsia="宋体" w:hAnsi="Times New Roman" w:cs="Times New Roman"/>
                <w:spacing w:val="-10"/>
                <w:kern w:val="0"/>
                <w:szCs w:val="21"/>
              </w:rPr>
            </w:pPr>
            <w:r>
              <w:rPr>
                <w:rFonts w:ascii="Times New Roman" w:eastAsia="宋体" w:hAnsi="Times New Roman" w:cs="Times New Roman"/>
                <w:spacing w:val="-10"/>
                <w:kern w:val="0"/>
                <w:szCs w:val="21"/>
              </w:rPr>
              <w:t>供水</w:t>
            </w:r>
            <w:r>
              <w:rPr>
                <w:rFonts w:ascii="Times New Roman" w:eastAsia="宋体" w:hAnsi="Times New Roman" w:cs="Times New Roman"/>
                <w:spacing w:val="-10"/>
                <w:kern w:val="0"/>
                <w:szCs w:val="21"/>
              </w:rPr>
              <w:t>(</w:t>
            </w:r>
            <w:r>
              <w:rPr>
                <w:rFonts w:ascii="Times New Roman" w:eastAsia="宋体" w:hAnsi="Times New Roman" w:cs="Times New Roman"/>
                <w:spacing w:val="-10"/>
                <w:kern w:val="0"/>
                <w:szCs w:val="21"/>
              </w:rPr>
              <w:t>新鲜水</w:t>
            </w:r>
            <w:r>
              <w:rPr>
                <w:rFonts w:ascii="Times New Roman" w:eastAsia="宋体" w:hAnsi="Times New Roman" w:cs="Times New Roman"/>
                <w:spacing w:val="-10"/>
                <w:kern w:val="0"/>
                <w:szCs w:val="21"/>
              </w:rPr>
              <w:t>)</w:t>
            </w:r>
          </w:p>
        </w:tc>
        <w:tc>
          <w:tcPr>
            <w:tcW w:w="3308" w:type="pct"/>
            <w:vAlign w:val="center"/>
          </w:tcPr>
          <w:p w14:paraId="4470F56B"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总需新水量</w:t>
            </w:r>
            <w:r>
              <w:rPr>
                <w:rFonts w:ascii="Times New Roman" w:hAnsi="Times New Roman" w:cs="Times New Roman"/>
                <w:color w:val="000000"/>
                <w:kern w:val="0"/>
                <w:sz w:val="22"/>
                <w:lang w:val="zh-CN"/>
              </w:rPr>
              <w:t>1542714.18</w:t>
            </w:r>
            <w:r>
              <w:rPr>
                <w:rFonts w:ascii="Times New Roman" w:eastAsia="宋体" w:hAnsi="Times New Roman" w:cs="Times New Roman"/>
                <w:kern w:val="0"/>
                <w:szCs w:val="21"/>
              </w:rPr>
              <w:t xml:space="preserve">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/a</w:t>
            </w:r>
            <w:r>
              <w:rPr>
                <w:rFonts w:ascii="Times New Roman" w:eastAsia="宋体" w:hAnsi="Times New Roman" w:cs="Times New Roman"/>
                <w:kern w:val="0"/>
                <w:szCs w:val="21"/>
              </w:rPr>
              <w:t>，主要用水点为工艺用水、地面及设备冲洗水、生活用水、废气处理用水及循环水补充水等。用水来源于园区自来水管网。</w:t>
            </w:r>
          </w:p>
        </w:tc>
        <w:tc>
          <w:tcPr>
            <w:tcW w:w="558" w:type="pct"/>
            <w:vAlign w:val="center"/>
          </w:tcPr>
          <w:p w14:paraId="3C83D7F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178C4CC6" w14:textId="77777777">
        <w:trPr>
          <w:cantSplit/>
          <w:trHeight w:val="284"/>
          <w:jc w:val="center"/>
        </w:trPr>
        <w:tc>
          <w:tcPr>
            <w:tcW w:w="250" w:type="pct"/>
            <w:vMerge/>
            <w:vAlign w:val="center"/>
          </w:tcPr>
          <w:p w14:paraId="0A1AC3F1"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3FDBAE52" w14:textId="77777777" w:rsidR="002133E3" w:rsidRDefault="00C22CFA">
            <w:pPr>
              <w:spacing w:before="60" w:after="120"/>
              <w:jc w:val="center"/>
              <w:rPr>
                <w:rFonts w:ascii="Times New Roman" w:eastAsia="宋体" w:hAnsi="Times New Roman" w:cs="Times New Roman"/>
                <w:bCs/>
                <w:szCs w:val="21"/>
              </w:rPr>
            </w:pPr>
            <w:r>
              <w:rPr>
                <w:rFonts w:ascii="Times New Roman" w:eastAsia="宋体" w:hAnsi="Times New Roman" w:cs="Times New Roman"/>
                <w:bCs/>
                <w:szCs w:val="21"/>
              </w:rPr>
              <w:t>排水</w:t>
            </w:r>
          </w:p>
        </w:tc>
        <w:tc>
          <w:tcPr>
            <w:tcW w:w="3308" w:type="pct"/>
            <w:vAlign w:val="center"/>
          </w:tcPr>
          <w:p w14:paraId="69BB5B59"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采用雨污分流制。项目总排水量</w:t>
            </w:r>
            <w:r>
              <w:rPr>
                <w:rFonts w:ascii="Times New Roman" w:hAnsi="Times New Roman" w:cs="Times New Roman"/>
                <w:color w:val="000000"/>
                <w:kern w:val="0"/>
                <w:szCs w:val="21"/>
                <w:lang w:val="zh-CN"/>
              </w:rPr>
              <w:t>1262700.28</w:t>
            </w:r>
            <w:r>
              <w:rPr>
                <w:rFonts w:ascii="Times New Roman" w:eastAsia="宋体" w:hAnsi="Times New Roman" w:cs="Times New Roman"/>
                <w:kern w:val="0"/>
                <w:szCs w:val="21"/>
              </w:rPr>
              <w:t>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/a</w:t>
            </w:r>
            <w:r>
              <w:rPr>
                <w:rFonts w:ascii="Times New Roman" w:eastAsia="宋体" w:hAnsi="Times New Roman" w:cs="Times New Roman"/>
                <w:kern w:val="0"/>
                <w:szCs w:val="21"/>
              </w:rPr>
              <w:t>，其中生产废水等废水排放量</w:t>
            </w:r>
            <w:r>
              <w:rPr>
                <w:rFonts w:ascii="Times New Roman" w:eastAsia="宋体" w:hAnsi="Times New Roman" w:cs="Times New Roman"/>
                <w:kern w:val="0"/>
                <w:szCs w:val="21"/>
              </w:rPr>
              <w:t>1175440.28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/a</w:t>
            </w:r>
            <w:r>
              <w:rPr>
                <w:rFonts w:ascii="Times New Roman" w:eastAsia="宋体" w:hAnsi="Times New Roman" w:cs="Times New Roman"/>
                <w:kern w:val="0"/>
                <w:szCs w:val="21"/>
              </w:rPr>
              <w:t>，入厂区内污水站预处理，处理后废水由污水管网收集送至通海污水处理厂处理。厂区雨水及清洁下水经厂区雨水管网外排入区域雨水管网。</w:t>
            </w:r>
          </w:p>
        </w:tc>
        <w:tc>
          <w:tcPr>
            <w:tcW w:w="558" w:type="pct"/>
            <w:vAlign w:val="center"/>
          </w:tcPr>
          <w:p w14:paraId="53AC642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0B6C93A1" w14:textId="77777777">
        <w:trPr>
          <w:cantSplit/>
          <w:trHeight w:val="284"/>
          <w:jc w:val="center"/>
        </w:trPr>
        <w:tc>
          <w:tcPr>
            <w:tcW w:w="250" w:type="pct"/>
            <w:vMerge/>
            <w:vAlign w:val="center"/>
          </w:tcPr>
          <w:p w14:paraId="7C69F868"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086B9BA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供电</w:t>
            </w:r>
          </w:p>
        </w:tc>
        <w:tc>
          <w:tcPr>
            <w:tcW w:w="3308" w:type="pct"/>
            <w:vAlign w:val="center"/>
          </w:tcPr>
          <w:p w14:paraId="233E2E0E"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技改项目用电量</w:t>
            </w:r>
            <w:r>
              <w:rPr>
                <w:rFonts w:ascii="Times New Roman" w:eastAsia="宋体" w:hAnsi="Times New Roman" w:cs="Times New Roman"/>
                <w:kern w:val="0"/>
                <w:szCs w:val="21"/>
              </w:rPr>
              <w:t>180</w:t>
            </w:r>
            <w:r>
              <w:rPr>
                <w:rFonts w:ascii="Times New Roman" w:eastAsia="宋体" w:hAnsi="Times New Roman" w:cs="Times New Roman"/>
                <w:kern w:val="0"/>
                <w:szCs w:val="21"/>
              </w:rPr>
              <w:t>万</w:t>
            </w:r>
            <w:r>
              <w:rPr>
                <w:rFonts w:ascii="Times New Roman" w:eastAsia="宋体" w:hAnsi="Times New Roman" w:cs="Times New Roman"/>
                <w:kern w:val="0"/>
                <w:szCs w:val="21"/>
              </w:rPr>
              <w:t>kWh/a</w:t>
            </w:r>
            <w:r>
              <w:rPr>
                <w:rFonts w:ascii="Times New Roman" w:eastAsia="宋体" w:hAnsi="Times New Roman" w:cs="Times New Roman"/>
                <w:kern w:val="0"/>
                <w:szCs w:val="21"/>
              </w:rPr>
              <w:t>。公司批项目用电量</w:t>
            </w:r>
            <w:r>
              <w:rPr>
                <w:rFonts w:ascii="Times New Roman" w:eastAsia="宋体" w:hAnsi="Times New Roman" w:cs="Times New Roman"/>
                <w:kern w:val="0"/>
                <w:szCs w:val="21"/>
              </w:rPr>
              <w:t>9093.76</w:t>
            </w:r>
            <w:r>
              <w:rPr>
                <w:rFonts w:ascii="Times New Roman" w:eastAsia="宋体" w:hAnsi="Times New Roman" w:cs="Times New Roman"/>
                <w:kern w:val="0"/>
                <w:szCs w:val="21"/>
              </w:rPr>
              <w:t>万</w:t>
            </w:r>
            <w:r>
              <w:rPr>
                <w:rFonts w:ascii="Times New Roman" w:eastAsia="宋体" w:hAnsi="Times New Roman" w:cs="Times New Roman"/>
                <w:kern w:val="0"/>
                <w:szCs w:val="21"/>
              </w:rPr>
              <w:t>kWh</w:t>
            </w:r>
            <w:r>
              <w:rPr>
                <w:rFonts w:ascii="Times New Roman" w:eastAsia="宋体" w:hAnsi="Times New Roman" w:cs="Times New Roman"/>
                <w:kern w:val="0"/>
                <w:szCs w:val="21"/>
              </w:rPr>
              <w:t>，已建发电机组可提供电量为</w:t>
            </w:r>
            <w:r>
              <w:rPr>
                <w:rFonts w:ascii="Times New Roman" w:eastAsia="宋体" w:hAnsi="Times New Roman" w:cs="Times New Roman"/>
                <w:kern w:val="0"/>
                <w:szCs w:val="21"/>
              </w:rPr>
              <w:t>6892</w:t>
            </w:r>
            <w:r>
              <w:rPr>
                <w:rFonts w:ascii="Times New Roman" w:eastAsia="宋体" w:hAnsi="Times New Roman" w:cs="Times New Roman"/>
                <w:kern w:val="0"/>
                <w:szCs w:val="21"/>
              </w:rPr>
              <w:t>万</w:t>
            </w:r>
            <w:r>
              <w:rPr>
                <w:rFonts w:ascii="Times New Roman" w:eastAsia="宋体" w:hAnsi="Times New Roman" w:cs="Times New Roman"/>
                <w:kern w:val="0"/>
                <w:szCs w:val="21"/>
              </w:rPr>
              <w:t>kWh</w:t>
            </w:r>
            <w:r>
              <w:rPr>
                <w:rFonts w:ascii="Times New Roman" w:eastAsia="宋体" w:hAnsi="Times New Roman" w:cs="Times New Roman"/>
                <w:kern w:val="0"/>
                <w:szCs w:val="21"/>
              </w:rPr>
              <w:t>，因此本项目用电需由海头变电所统一供给。</w:t>
            </w:r>
          </w:p>
        </w:tc>
        <w:tc>
          <w:tcPr>
            <w:tcW w:w="558" w:type="pct"/>
            <w:vAlign w:val="center"/>
          </w:tcPr>
          <w:p w14:paraId="23799C4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5A633D5C" w14:textId="77777777">
        <w:trPr>
          <w:cantSplit/>
          <w:trHeight w:val="284"/>
          <w:jc w:val="center"/>
        </w:trPr>
        <w:tc>
          <w:tcPr>
            <w:tcW w:w="250" w:type="pct"/>
            <w:vMerge/>
            <w:vAlign w:val="center"/>
          </w:tcPr>
          <w:p w14:paraId="5F68406F"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3D7CBD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循环冷却水</w:t>
            </w:r>
          </w:p>
        </w:tc>
        <w:tc>
          <w:tcPr>
            <w:tcW w:w="3308" w:type="pct"/>
            <w:vAlign w:val="center"/>
          </w:tcPr>
          <w:p w14:paraId="759065D3"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公司现有循环冷却系统设计能力</w:t>
            </w:r>
            <w:r>
              <w:rPr>
                <w:rFonts w:ascii="Times New Roman" w:eastAsia="宋体" w:hAnsi="Times New Roman" w:cs="Times New Roman"/>
                <w:kern w:val="0"/>
                <w:szCs w:val="21"/>
              </w:rPr>
              <w:t>14500m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/h</w:t>
            </w:r>
            <w:r>
              <w:rPr>
                <w:rFonts w:ascii="Times New Roman" w:eastAsia="宋体" w:hAnsi="Times New Roman" w:cs="Times New Roman"/>
                <w:kern w:val="0"/>
                <w:szCs w:val="21"/>
              </w:rPr>
              <w:t>，现有项目用量</w:t>
            </w:r>
            <w:r>
              <w:rPr>
                <w:rFonts w:ascii="Times New Roman" w:eastAsia="宋体" w:hAnsi="Times New Roman" w:cs="Times New Roman"/>
                <w:kern w:val="0"/>
                <w:szCs w:val="21"/>
              </w:rPr>
              <w:t>5550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/h</w:t>
            </w:r>
            <w:r>
              <w:rPr>
                <w:rFonts w:ascii="Times New Roman" w:eastAsia="宋体" w:hAnsi="Times New Roman" w:cs="Times New Roman"/>
                <w:kern w:val="0"/>
                <w:szCs w:val="21"/>
              </w:rPr>
              <w:t>。技改项目年需补充新鲜水量约</w:t>
            </w:r>
            <w:r>
              <w:rPr>
                <w:rFonts w:ascii="Times New Roman" w:eastAsia="宋体" w:hAnsi="Times New Roman" w:cs="Times New Roman"/>
                <w:kern w:val="0"/>
                <w:szCs w:val="21"/>
              </w:rPr>
              <w:t>16200000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c>
          <w:tcPr>
            <w:tcW w:w="558" w:type="pct"/>
            <w:vAlign w:val="center"/>
          </w:tcPr>
          <w:p w14:paraId="3F9F393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69F658E4" w14:textId="77777777">
        <w:trPr>
          <w:cantSplit/>
          <w:trHeight w:val="284"/>
          <w:jc w:val="center"/>
        </w:trPr>
        <w:tc>
          <w:tcPr>
            <w:tcW w:w="250" w:type="pct"/>
            <w:vMerge/>
            <w:vAlign w:val="center"/>
          </w:tcPr>
          <w:p w14:paraId="2C35E3B7"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2A6DAF8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供热</w:t>
            </w:r>
          </w:p>
        </w:tc>
        <w:tc>
          <w:tcPr>
            <w:tcW w:w="3308" w:type="pct"/>
            <w:vAlign w:val="center"/>
          </w:tcPr>
          <w:p w14:paraId="4CF3DC42" w14:textId="77777777" w:rsidR="002133E3" w:rsidRDefault="00C22CFA">
            <w:pPr>
              <w:widowControl/>
              <w:rPr>
                <w:rFonts w:ascii="Times New Roman" w:eastAsia="宋体" w:hAnsi="Times New Roman" w:cs="Times New Roman"/>
                <w:kern w:val="0"/>
                <w:szCs w:val="21"/>
                <w:highlight w:val="green"/>
              </w:rPr>
            </w:pPr>
            <w:r>
              <w:rPr>
                <w:rFonts w:ascii="Times New Roman" w:eastAsia="宋体" w:hAnsi="Times New Roman" w:cs="Times New Roman"/>
                <w:kern w:val="0"/>
                <w:szCs w:val="21"/>
              </w:rPr>
              <w:t>项目用汽约</w:t>
            </w:r>
            <w:r>
              <w:rPr>
                <w:rFonts w:ascii="Times New Roman" w:hAnsi="Times New Roman" w:cs="Times New Roman"/>
                <w:color w:val="000000"/>
                <w:kern w:val="0"/>
                <w:szCs w:val="21"/>
                <w:lang w:val="zh-CN"/>
              </w:rPr>
              <w:t>209000</w:t>
            </w:r>
            <w:r>
              <w:rPr>
                <w:rFonts w:ascii="Times New Roman" w:eastAsia="宋体" w:hAnsi="Times New Roman" w:cs="Times New Roman"/>
                <w:kern w:val="0"/>
                <w:szCs w:val="21"/>
              </w:rPr>
              <w:t>t/a</w:t>
            </w:r>
            <w:r>
              <w:rPr>
                <w:rFonts w:ascii="Times New Roman" w:eastAsia="宋体" w:hAnsi="Times New Roman" w:cs="Times New Roman"/>
                <w:kern w:val="0"/>
                <w:szCs w:val="21"/>
              </w:rPr>
              <w:t>，厂区</w:t>
            </w:r>
            <w:r>
              <w:rPr>
                <w:rFonts w:ascii="Times New Roman" w:eastAsia="宋体" w:hAnsi="Times New Roman" w:cs="Times New Roman"/>
                <w:kern w:val="0"/>
                <w:szCs w:val="21"/>
              </w:rPr>
              <w:t>1</w:t>
            </w:r>
            <w:r>
              <w:rPr>
                <w:rFonts w:ascii="Times New Roman" w:eastAsia="宋体" w:hAnsi="Times New Roman" w:cs="Times New Roman"/>
                <w:kern w:val="0"/>
                <w:szCs w:val="21"/>
              </w:rPr>
              <w:t>台</w:t>
            </w:r>
            <w:r>
              <w:rPr>
                <w:rFonts w:ascii="Times New Roman" w:eastAsia="宋体" w:hAnsi="Times New Roman" w:cs="Times New Roman"/>
                <w:kern w:val="0"/>
                <w:szCs w:val="21"/>
              </w:rPr>
              <w:t>75t/h</w:t>
            </w:r>
            <w:r>
              <w:rPr>
                <w:rFonts w:ascii="Times New Roman" w:eastAsia="宋体" w:hAnsi="Times New Roman" w:cs="Times New Roman"/>
                <w:kern w:val="0"/>
                <w:szCs w:val="21"/>
              </w:rPr>
              <w:t>沼气锅炉以及产业区供热中心</w:t>
            </w:r>
            <w:r>
              <w:rPr>
                <w:rFonts w:ascii="Times New Roman" w:eastAsia="宋体" w:hAnsi="Times New Roman" w:cs="Times New Roman"/>
                <w:kern w:val="0"/>
                <w:szCs w:val="21"/>
              </w:rPr>
              <w:t>2</w:t>
            </w:r>
            <w:r>
              <w:rPr>
                <w:rFonts w:ascii="Times New Roman" w:eastAsia="宋体" w:hAnsi="Times New Roman" w:cs="Times New Roman"/>
                <w:kern w:val="0"/>
                <w:szCs w:val="21"/>
              </w:rPr>
              <w:t>台</w:t>
            </w:r>
            <w:r>
              <w:rPr>
                <w:rFonts w:ascii="Times New Roman" w:eastAsia="宋体" w:hAnsi="Times New Roman" w:cs="Times New Roman"/>
                <w:kern w:val="0"/>
                <w:szCs w:val="21"/>
              </w:rPr>
              <w:t>75t/h</w:t>
            </w:r>
            <w:r>
              <w:rPr>
                <w:rFonts w:ascii="Times New Roman" w:eastAsia="宋体" w:hAnsi="Times New Roman" w:cs="Times New Roman"/>
                <w:kern w:val="0"/>
                <w:szCs w:val="21"/>
              </w:rPr>
              <w:t>流化床混烧锅炉提供。</w:t>
            </w:r>
          </w:p>
        </w:tc>
        <w:tc>
          <w:tcPr>
            <w:tcW w:w="558" w:type="pct"/>
            <w:vAlign w:val="center"/>
          </w:tcPr>
          <w:p w14:paraId="4255A06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0A18B949" w14:textId="77777777">
        <w:trPr>
          <w:cantSplit/>
          <w:trHeight w:val="284"/>
          <w:jc w:val="center"/>
        </w:trPr>
        <w:tc>
          <w:tcPr>
            <w:tcW w:w="1134" w:type="pct"/>
            <w:gridSpan w:val="2"/>
            <w:vAlign w:val="center"/>
          </w:tcPr>
          <w:p w14:paraId="2ABD10C0"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绿化</w:t>
            </w:r>
          </w:p>
        </w:tc>
        <w:tc>
          <w:tcPr>
            <w:tcW w:w="3308" w:type="pct"/>
            <w:vAlign w:val="center"/>
          </w:tcPr>
          <w:p w14:paraId="32385B23"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本期绿化无新增</w:t>
            </w:r>
          </w:p>
        </w:tc>
        <w:tc>
          <w:tcPr>
            <w:tcW w:w="558" w:type="pct"/>
            <w:vAlign w:val="center"/>
          </w:tcPr>
          <w:p w14:paraId="370D08D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6BAE69CB" w14:textId="77777777">
        <w:trPr>
          <w:cantSplit/>
          <w:trHeight w:val="284"/>
          <w:jc w:val="center"/>
        </w:trPr>
        <w:tc>
          <w:tcPr>
            <w:tcW w:w="250" w:type="pct"/>
            <w:vMerge w:val="restart"/>
            <w:vAlign w:val="center"/>
          </w:tcPr>
          <w:p w14:paraId="7188DA3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贮</w:t>
            </w:r>
          </w:p>
          <w:p w14:paraId="2A277E3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运</w:t>
            </w:r>
          </w:p>
          <w:p w14:paraId="4822CE7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工</w:t>
            </w:r>
          </w:p>
          <w:p w14:paraId="7A58739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程</w:t>
            </w:r>
          </w:p>
        </w:tc>
        <w:tc>
          <w:tcPr>
            <w:tcW w:w="884" w:type="pct"/>
            <w:vAlign w:val="center"/>
          </w:tcPr>
          <w:p w14:paraId="2E56599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外部运输</w:t>
            </w:r>
          </w:p>
        </w:tc>
        <w:tc>
          <w:tcPr>
            <w:tcW w:w="3308" w:type="pct"/>
            <w:vAlign w:val="center"/>
          </w:tcPr>
          <w:p w14:paraId="41B6EC10"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项目原料、产品均为汽车运输</w:t>
            </w:r>
          </w:p>
        </w:tc>
        <w:tc>
          <w:tcPr>
            <w:tcW w:w="558" w:type="pct"/>
            <w:vAlign w:val="center"/>
          </w:tcPr>
          <w:p w14:paraId="218AFA3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委托专用车辆运输</w:t>
            </w:r>
          </w:p>
        </w:tc>
      </w:tr>
      <w:tr w:rsidR="002133E3" w14:paraId="0B97344F" w14:textId="77777777">
        <w:trPr>
          <w:cantSplit/>
          <w:trHeight w:val="284"/>
          <w:jc w:val="center"/>
        </w:trPr>
        <w:tc>
          <w:tcPr>
            <w:tcW w:w="250" w:type="pct"/>
            <w:vMerge/>
            <w:vAlign w:val="center"/>
          </w:tcPr>
          <w:p w14:paraId="1D1D9213"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1279AA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内部贮存</w:t>
            </w:r>
          </w:p>
        </w:tc>
        <w:tc>
          <w:tcPr>
            <w:tcW w:w="3308" w:type="pct"/>
            <w:vAlign w:val="center"/>
          </w:tcPr>
          <w:p w14:paraId="6081B6C4"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利用现有</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酒精</w:t>
            </w:r>
            <w:r>
              <w:rPr>
                <w:rFonts w:ascii="Times New Roman" w:eastAsia="宋体" w:hAnsi="Times New Roman" w:cs="Times New Roman"/>
                <w:color w:val="000000"/>
                <w:szCs w:val="21"/>
              </w:rPr>
              <w:t>储罐</w:t>
            </w:r>
            <w:r>
              <w:rPr>
                <w:rFonts w:ascii="Times New Roman" w:eastAsia="宋体" w:hAnsi="Times New Roman" w:cs="Times New Roman"/>
                <w:kern w:val="0"/>
                <w:szCs w:val="21"/>
              </w:rPr>
              <w:t>500m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color w:val="000000"/>
                <w:szCs w:val="21"/>
              </w:rPr>
              <w:t>2000m</w:t>
            </w:r>
            <w:r>
              <w:rPr>
                <w:rFonts w:ascii="Times New Roman" w:eastAsia="宋体" w:hAnsi="Times New Roman" w:cs="Times New Roman"/>
                <w:color w:val="000000"/>
                <w:szCs w:val="21"/>
                <w:vertAlign w:val="superscript"/>
              </w:rPr>
              <w:t>3</w:t>
            </w:r>
            <w:r>
              <w:rPr>
                <w:rFonts w:ascii="Times New Roman" w:eastAsia="宋体" w:hAnsi="Times New Roman" w:cs="Times New Roman"/>
                <w:kern w:val="0"/>
                <w:szCs w:val="21"/>
              </w:rPr>
              <w:t>×2</w:t>
            </w:r>
            <w:r>
              <w:rPr>
                <w:rFonts w:ascii="Times New Roman" w:eastAsia="宋体" w:hAnsi="Times New Roman" w:cs="Times New Roman"/>
                <w:kern w:val="0"/>
                <w:szCs w:val="21"/>
              </w:rPr>
              <w:t>，杂醇油罐</w:t>
            </w:r>
            <w:r>
              <w:rPr>
                <w:rFonts w:ascii="Times New Roman" w:eastAsia="宋体" w:hAnsi="Times New Roman" w:cs="Times New Roman"/>
                <w:kern w:val="0"/>
                <w:szCs w:val="21"/>
              </w:rPr>
              <w:t>60m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color w:val="000000"/>
                <w:kern w:val="0"/>
                <w:szCs w:val="21"/>
              </w:rPr>
              <w:t>硫酸</w:t>
            </w:r>
            <w:r>
              <w:rPr>
                <w:rFonts w:ascii="Times New Roman" w:eastAsia="宋体" w:hAnsi="Times New Roman" w:cs="Times New Roman"/>
                <w:kern w:val="0"/>
                <w:szCs w:val="21"/>
              </w:rPr>
              <w:t>罐</w:t>
            </w:r>
            <w:r>
              <w:rPr>
                <w:rFonts w:ascii="Times New Roman" w:eastAsia="宋体" w:hAnsi="Times New Roman" w:cs="Times New Roman"/>
                <w:kern w:val="0"/>
                <w:szCs w:val="21"/>
              </w:rPr>
              <w:t>10m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49032m</w:t>
            </w:r>
            <w:r>
              <w:rPr>
                <w:rFonts w:ascii="Times New Roman" w:eastAsia="宋体" w:hAnsi="Times New Roman" w:cs="Times New Roman"/>
                <w:kern w:val="0"/>
                <w:szCs w:val="21"/>
                <w:vertAlign w:val="superscript"/>
              </w:rPr>
              <w:t>2</w:t>
            </w:r>
            <w:r>
              <w:rPr>
                <w:rFonts w:ascii="Times New Roman" w:eastAsia="宋体" w:hAnsi="Times New Roman" w:cs="Times New Roman"/>
                <w:kern w:val="0"/>
                <w:szCs w:val="21"/>
              </w:rPr>
              <w:t>木薯库房一座</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3200 m</w:t>
            </w:r>
            <w:r>
              <w:rPr>
                <w:rFonts w:ascii="Times New Roman" w:eastAsia="宋体" w:hAnsi="Times New Roman" w:cs="Times New Roman"/>
                <w:kern w:val="0"/>
                <w:szCs w:val="21"/>
                <w:vertAlign w:val="superscript"/>
              </w:rPr>
              <w:t>2</w:t>
            </w:r>
            <w:r>
              <w:rPr>
                <w:rFonts w:ascii="Times New Roman" w:eastAsia="宋体" w:hAnsi="Times New Roman" w:cs="Times New Roman"/>
                <w:kern w:val="0"/>
                <w:szCs w:val="21"/>
              </w:rPr>
              <w:t>辅料仓库一座</w:t>
            </w:r>
            <w:r>
              <w:rPr>
                <w:rFonts w:ascii="Times New Roman" w:eastAsia="宋体" w:hAnsi="Times New Roman" w:cs="Times New Roman" w:hint="eastAsia"/>
                <w:kern w:val="0"/>
                <w:szCs w:val="21"/>
              </w:rPr>
              <w:t>；</w:t>
            </w:r>
          </w:p>
          <w:p w14:paraId="6B4D6F2B"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新增</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无水乙醇储罐</w:t>
            </w:r>
            <w:r>
              <w:rPr>
                <w:rFonts w:ascii="Times New Roman" w:eastAsia="宋体" w:hAnsi="Times New Roman" w:cs="Times New Roman"/>
                <w:color w:val="000000"/>
                <w:szCs w:val="21"/>
              </w:rPr>
              <w:t>2000m</w:t>
            </w:r>
            <w:r>
              <w:rPr>
                <w:rFonts w:ascii="Times New Roman" w:eastAsia="宋体" w:hAnsi="Times New Roman" w:cs="Times New Roman"/>
                <w:color w:val="00000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hint="eastAsia"/>
                <w:kern w:val="0"/>
                <w:szCs w:val="21"/>
              </w:rPr>
              <w:t>。</w:t>
            </w:r>
          </w:p>
        </w:tc>
        <w:tc>
          <w:tcPr>
            <w:tcW w:w="558" w:type="pct"/>
            <w:vAlign w:val="center"/>
          </w:tcPr>
          <w:p w14:paraId="14AEA90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部分新增</w:t>
            </w:r>
          </w:p>
        </w:tc>
      </w:tr>
      <w:tr w:rsidR="002133E3" w14:paraId="23196354" w14:textId="77777777">
        <w:trPr>
          <w:cantSplit/>
          <w:trHeight w:val="284"/>
          <w:jc w:val="center"/>
        </w:trPr>
        <w:tc>
          <w:tcPr>
            <w:tcW w:w="250" w:type="pct"/>
            <w:vMerge w:val="restart"/>
            <w:vAlign w:val="center"/>
          </w:tcPr>
          <w:p w14:paraId="42BE68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环</w:t>
            </w:r>
          </w:p>
          <w:p w14:paraId="1DACB07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保</w:t>
            </w:r>
          </w:p>
          <w:p w14:paraId="04FBC61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工</w:t>
            </w:r>
          </w:p>
          <w:p w14:paraId="49EA2A0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程</w:t>
            </w:r>
          </w:p>
        </w:tc>
        <w:tc>
          <w:tcPr>
            <w:tcW w:w="884" w:type="pct"/>
            <w:vAlign w:val="center"/>
          </w:tcPr>
          <w:p w14:paraId="375C378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废气治理</w:t>
            </w:r>
          </w:p>
        </w:tc>
        <w:tc>
          <w:tcPr>
            <w:tcW w:w="3308" w:type="pct"/>
            <w:vAlign w:val="center"/>
          </w:tcPr>
          <w:p w14:paraId="67CBD53E"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水膜除尘装置</w:t>
            </w:r>
            <w:r>
              <w:rPr>
                <w:rFonts w:ascii="Times New Roman" w:eastAsia="宋体" w:hAnsi="Times New Roman" w:cs="Times New Roman"/>
                <w:kern w:val="0"/>
                <w:szCs w:val="21"/>
              </w:rPr>
              <w:t>3</w:t>
            </w:r>
            <w:r>
              <w:rPr>
                <w:rFonts w:ascii="Times New Roman" w:eastAsia="宋体" w:hAnsi="Times New Roman" w:cs="Times New Roman"/>
                <w:kern w:val="0"/>
                <w:szCs w:val="21"/>
              </w:rPr>
              <w:t>套利用现有、</w:t>
            </w:r>
            <w:r>
              <w:rPr>
                <w:rFonts w:ascii="Times New Roman" w:eastAsia="宋体" w:hAnsi="Times New Roman" w:cs="Times New Roman"/>
                <w:kern w:val="0"/>
                <w:szCs w:val="21"/>
              </w:rPr>
              <w:t>3</w:t>
            </w:r>
            <w:r>
              <w:rPr>
                <w:rFonts w:ascii="Times New Roman" w:eastAsia="宋体" w:hAnsi="Times New Roman" w:cs="Times New Roman"/>
                <w:kern w:val="0"/>
                <w:szCs w:val="21"/>
              </w:rPr>
              <w:t>套新增；新增一级水吸收装置</w:t>
            </w:r>
            <w:r>
              <w:rPr>
                <w:rFonts w:ascii="Times New Roman" w:eastAsia="宋体" w:hAnsi="Times New Roman" w:cs="Times New Roman"/>
                <w:kern w:val="0"/>
                <w:szCs w:val="21"/>
              </w:rPr>
              <w:t>1</w:t>
            </w:r>
            <w:r>
              <w:rPr>
                <w:rFonts w:ascii="Times New Roman" w:eastAsia="宋体" w:hAnsi="Times New Roman" w:cs="Times New Roman"/>
                <w:kern w:val="0"/>
                <w:szCs w:val="21"/>
              </w:rPr>
              <w:t>套、二级水吸收</w:t>
            </w:r>
            <w:r>
              <w:rPr>
                <w:rFonts w:ascii="Times New Roman" w:eastAsia="宋体" w:hAnsi="Times New Roman" w:cs="Times New Roman"/>
                <w:kern w:val="0"/>
                <w:szCs w:val="21"/>
              </w:rPr>
              <w:t>1</w:t>
            </w:r>
            <w:r>
              <w:rPr>
                <w:rFonts w:ascii="Times New Roman" w:eastAsia="宋体" w:hAnsi="Times New Roman" w:cs="Times New Roman"/>
                <w:kern w:val="0"/>
                <w:szCs w:val="21"/>
              </w:rPr>
              <w:t>套；</w:t>
            </w:r>
            <w:r>
              <w:rPr>
                <w:rFonts w:ascii="Times New Roman" w:eastAsia="宋体" w:hAnsi="Times New Roman" w:cs="Times New Roman"/>
                <w:kern w:val="0"/>
                <w:szCs w:val="21"/>
              </w:rPr>
              <w:t xml:space="preserve"> </w:t>
            </w:r>
          </w:p>
        </w:tc>
        <w:tc>
          <w:tcPr>
            <w:tcW w:w="558" w:type="pct"/>
            <w:vAlign w:val="center"/>
          </w:tcPr>
          <w:p w14:paraId="11C08E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部分新增</w:t>
            </w:r>
          </w:p>
        </w:tc>
      </w:tr>
      <w:tr w:rsidR="002133E3" w14:paraId="79C87065" w14:textId="77777777">
        <w:trPr>
          <w:cantSplit/>
          <w:trHeight w:val="284"/>
          <w:jc w:val="center"/>
        </w:trPr>
        <w:tc>
          <w:tcPr>
            <w:tcW w:w="250" w:type="pct"/>
            <w:vMerge/>
            <w:vAlign w:val="center"/>
          </w:tcPr>
          <w:p w14:paraId="2004511A"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60A8262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废水治理</w:t>
            </w:r>
          </w:p>
        </w:tc>
        <w:tc>
          <w:tcPr>
            <w:tcW w:w="3308" w:type="pct"/>
            <w:vAlign w:val="center"/>
          </w:tcPr>
          <w:p w14:paraId="2DCC08CC"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废糟液进入厌氧罐发酵，沼液与其他废水一同进入厂区污水站处理，污水站采用</w:t>
            </w:r>
            <w:r>
              <w:rPr>
                <w:rFonts w:ascii="Times New Roman" w:eastAsia="宋体" w:hAnsi="Times New Roman" w:cs="Times New Roman"/>
                <w:kern w:val="0"/>
                <w:szCs w:val="21"/>
              </w:rPr>
              <w:t>“</w:t>
            </w:r>
            <w:r>
              <w:rPr>
                <w:rFonts w:ascii="Times New Roman" w:eastAsia="宋体" w:hAnsi="Times New Roman" w:cs="Times New Roman"/>
                <w:kern w:val="0"/>
                <w:szCs w:val="21"/>
              </w:rPr>
              <w:t>三级厌氧</w:t>
            </w:r>
            <w:r>
              <w:rPr>
                <w:rFonts w:ascii="Times New Roman" w:eastAsia="宋体" w:hAnsi="Times New Roman" w:cs="Times New Roman"/>
                <w:kern w:val="0"/>
                <w:szCs w:val="21"/>
              </w:rPr>
              <w:t>+</w:t>
            </w:r>
            <w:r>
              <w:rPr>
                <w:rFonts w:ascii="Times New Roman" w:eastAsia="宋体" w:hAnsi="Times New Roman" w:cs="Times New Roman"/>
                <w:kern w:val="0"/>
                <w:szCs w:val="21"/>
              </w:rPr>
              <w:t>好氧</w:t>
            </w:r>
            <w:r>
              <w:rPr>
                <w:rFonts w:ascii="Times New Roman" w:eastAsia="宋体" w:hAnsi="Times New Roman" w:cs="Times New Roman"/>
                <w:kern w:val="0"/>
                <w:szCs w:val="21"/>
              </w:rPr>
              <w:t>”</w:t>
            </w:r>
            <w:r>
              <w:rPr>
                <w:rFonts w:ascii="Times New Roman" w:eastAsia="宋体" w:hAnsi="Times New Roman" w:cs="Times New Roman"/>
                <w:kern w:val="0"/>
                <w:szCs w:val="21"/>
              </w:rPr>
              <w:t>工艺处理，处理规模</w:t>
            </w:r>
            <w:r>
              <w:rPr>
                <w:rFonts w:ascii="Times New Roman" w:eastAsia="宋体" w:hAnsi="Times New Roman" w:cs="Times New Roman"/>
                <w:kern w:val="0"/>
                <w:szCs w:val="21"/>
              </w:rPr>
              <w:t>2</w:t>
            </w:r>
            <w:r>
              <w:rPr>
                <w:rFonts w:ascii="Times New Roman" w:eastAsia="宋体" w:hAnsi="Times New Roman" w:cs="Times New Roman"/>
                <w:kern w:val="0"/>
                <w:szCs w:val="21"/>
              </w:rPr>
              <w:t>万</w:t>
            </w:r>
            <w:r>
              <w:rPr>
                <w:rFonts w:ascii="Times New Roman" w:eastAsia="宋体" w:hAnsi="Times New Roman" w:cs="Times New Roman"/>
                <w:kern w:val="0"/>
                <w:szCs w:val="21"/>
              </w:rPr>
              <w:t>t/d</w:t>
            </w:r>
            <w:r>
              <w:rPr>
                <w:rFonts w:ascii="Times New Roman" w:eastAsia="宋体" w:hAnsi="Times New Roman" w:cs="Times New Roman"/>
                <w:kern w:val="0"/>
                <w:szCs w:val="21"/>
              </w:rPr>
              <w:t>。</w:t>
            </w:r>
          </w:p>
        </w:tc>
        <w:tc>
          <w:tcPr>
            <w:tcW w:w="558" w:type="pct"/>
            <w:vAlign w:val="center"/>
          </w:tcPr>
          <w:p w14:paraId="077A4C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r w:rsidR="002133E3" w14:paraId="0F17EB1F" w14:textId="77777777">
        <w:trPr>
          <w:cantSplit/>
          <w:trHeight w:val="284"/>
          <w:jc w:val="center"/>
        </w:trPr>
        <w:tc>
          <w:tcPr>
            <w:tcW w:w="250" w:type="pct"/>
            <w:vMerge/>
            <w:vAlign w:val="center"/>
          </w:tcPr>
          <w:p w14:paraId="198CD90A"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4B6F22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噪声治理</w:t>
            </w:r>
          </w:p>
        </w:tc>
        <w:tc>
          <w:tcPr>
            <w:tcW w:w="3308" w:type="pct"/>
            <w:vAlign w:val="center"/>
          </w:tcPr>
          <w:p w14:paraId="0184FE95"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选取低噪设备；局部消声、隔音；厂房隔音</w:t>
            </w:r>
          </w:p>
        </w:tc>
        <w:tc>
          <w:tcPr>
            <w:tcW w:w="558" w:type="pct"/>
            <w:vAlign w:val="center"/>
          </w:tcPr>
          <w:p w14:paraId="66275C9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65FC555F" w14:textId="77777777">
        <w:trPr>
          <w:cantSplit/>
          <w:trHeight w:val="284"/>
          <w:jc w:val="center"/>
        </w:trPr>
        <w:tc>
          <w:tcPr>
            <w:tcW w:w="250" w:type="pct"/>
            <w:vMerge/>
            <w:vAlign w:val="center"/>
          </w:tcPr>
          <w:p w14:paraId="23A3B02C"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59AA4C6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固体废物处理</w:t>
            </w:r>
          </w:p>
        </w:tc>
        <w:tc>
          <w:tcPr>
            <w:tcW w:w="3308" w:type="pct"/>
            <w:vAlign w:val="center"/>
          </w:tcPr>
          <w:p w14:paraId="7541924F"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生活垃圾由当地环卫部门处理，危险废物委托焚烧处理，废有机溶剂外售。一般固废仓库及危废仓库均利用原有</w:t>
            </w:r>
          </w:p>
        </w:tc>
        <w:tc>
          <w:tcPr>
            <w:tcW w:w="558" w:type="pct"/>
            <w:vAlign w:val="center"/>
          </w:tcPr>
          <w:p w14:paraId="6F96D5C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r w:rsidR="002133E3" w14:paraId="61A2F3CC" w14:textId="77777777">
        <w:trPr>
          <w:cantSplit/>
          <w:trHeight w:val="284"/>
          <w:jc w:val="center"/>
        </w:trPr>
        <w:tc>
          <w:tcPr>
            <w:tcW w:w="250" w:type="pct"/>
            <w:vMerge/>
            <w:vAlign w:val="center"/>
          </w:tcPr>
          <w:p w14:paraId="1C6403DE"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43F513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事故池</w:t>
            </w:r>
          </w:p>
        </w:tc>
        <w:tc>
          <w:tcPr>
            <w:tcW w:w="3308" w:type="pct"/>
            <w:vAlign w:val="center"/>
          </w:tcPr>
          <w:p w14:paraId="2C044848"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有效容积</w:t>
            </w:r>
            <w:r>
              <w:rPr>
                <w:rFonts w:ascii="Times New Roman" w:eastAsia="宋体" w:hAnsi="Times New Roman" w:cs="Times New Roman"/>
                <w:kern w:val="0"/>
                <w:szCs w:val="21"/>
              </w:rPr>
              <w:t>40000m</w:t>
            </w:r>
            <w:r>
              <w:rPr>
                <w:rFonts w:ascii="Times New Roman" w:eastAsia="宋体" w:hAnsi="Times New Roman" w:cs="Times New Roman"/>
                <w:kern w:val="0"/>
                <w:szCs w:val="21"/>
                <w:vertAlign w:val="superscript"/>
              </w:rPr>
              <w:t>3</w:t>
            </w:r>
          </w:p>
        </w:tc>
        <w:tc>
          <w:tcPr>
            <w:tcW w:w="558" w:type="pct"/>
            <w:vAlign w:val="center"/>
          </w:tcPr>
          <w:p w14:paraId="3B55B23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r w:rsidR="002133E3" w14:paraId="788BEF03" w14:textId="77777777">
        <w:trPr>
          <w:cantSplit/>
          <w:trHeight w:val="284"/>
          <w:jc w:val="center"/>
        </w:trPr>
        <w:tc>
          <w:tcPr>
            <w:tcW w:w="250" w:type="pct"/>
            <w:vMerge/>
            <w:vAlign w:val="center"/>
          </w:tcPr>
          <w:p w14:paraId="436FB0B3" w14:textId="77777777" w:rsidR="002133E3" w:rsidRDefault="002133E3">
            <w:pPr>
              <w:widowControl/>
              <w:jc w:val="center"/>
              <w:rPr>
                <w:rFonts w:ascii="Times New Roman" w:eastAsia="宋体" w:hAnsi="Times New Roman" w:cs="Times New Roman"/>
                <w:kern w:val="0"/>
                <w:szCs w:val="21"/>
              </w:rPr>
            </w:pPr>
          </w:p>
        </w:tc>
        <w:tc>
          <w:tcPr>
            <w:tcW w:w="884" w:type="pct"/>
            <w:vAlign w:val="center"/>
          </w:tcPr>
          <w:p w14:paraId="2EDAA9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消防尾水收集池</w:t>
            </w:r>
          </w:p>
        </w:tc>
        <w:tc>
          <w:tcPr>
            <w:tcW w:w="3308" w:type="pct"/>
            <w:vAlign w:val="center"/>
          </w:tcPr>
          <w:p w14:paraId="15B20BF3"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有效容积</w:t>
            </w:r>
            <w:r>
              <w:rPr>
                <w:rFonts w:ascii="Times New Roman" w:eastAsia="宋体" w:hAnsi="Times New Roman" w:cs="Times New Roman"/>
                <w:kern w:val="0"/>
                <w:szCs w:val="21"/>
              </w:rPr>
              <w:t>3000m</w:t>
            </w:r>
            <w:r>
              <w:rPr>
                <w:rFonts w:ascii="Times New Roman" w:eastAsia="宋体" w:hAnsi="Times New Roman" w:cs="Times New Roman"/>
                <w:kern w:val="0"/>
                <w:szCs w:val="21"/>
                <w:vertAlign w:val="superscript"/>
              </w:rPr>
              <w:t>3</w:t>
            </w:r>
          </w:p>
        </w:tc>
        <w:tc>
          <w:tcPr>
            <w:tcW w:w="558" w:type="pct"/>
            <w:vAlign w:val="center"/>
          </w:tcPr>
          <w:p w14:paraId="6A812C4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bl>
    <w:p w14:paraId="2B5D3CC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厂区总平面布置及利用原有设施情况</w:t>
      </w:r>
      <w:r>
        <w:rPr>
          <w:rFonts w:ascii="Times New Roman" w:eastAsia="宋体" w:hAnsi="Times New Roman" w:cs="Times New Roman"/>
          <w:b/>
          <w:sz w:val="30"/>
          <w:szCs w:val="30"/>
        </w:rPr>
        <w:t xml:space="preserve"> </w:t>
      </w:r>
    </w:p>
    <w:p w14:paraId="32F16D58"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本项目于厂区内新建构筑物主要为</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万吨酒精粉蒸发酵装置、</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万吨酒精三塔精馏装置及</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万吨无水酒精联合装置，</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万吨酒精</w:t>
      </w:r>
      <w:r>
        <w:rPr>
          <w:rFonts w:ascii="Times New Roman" w:eastAsia="宋体" w:hAnsi="Times New Roman" w:cs="Times New Roman"/>
          <w:sz w:val="28"/>
          <w:szCs w:val="20"/>
        </w:rPr>
        <w:t>两塔精馏</w:t>
      </w:r>
      <w:r>
        <w:rPr>
          <w:rFonts w:ascii="Times New Roman" w:eastAsia="宋体" w:hAnsi="Times New Roman" w:cs="Times New Roman"/>
          <w:kern w:val="0"/>
          <w:sz w:val="28"/>
          <w:szCs w:val="28"/>
        </w:rPr>
        <w:t>装置在现有设备基础上进行改造，</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万吨酒精粉蒸发酵装置利用现有。</w:t>
      </w:r>
      <w:r>
        <w:rPr>
          <w:rFonts w:ascii="Times New Roman" w:eastAsia="宋体" w:hAnsi="Times New Roman" w:cs="Times New Roman"/>
          <w:kern w:val="0"/>
          <w:sz w:val="28"/>
          <w:szCs w:val="28"/>
          <w:highlight w:val="yellow"/>
        </w:rPr>
        <w:t>厂区总平面布置详见图</w:t>
      </w:r>
      <w:r>
        <w:rPr>
          <w:rFonts w:ascii="Times New Roman" w:eastAsia="宋体" w:hAnsi="Times New Roman" w:cs="Times New Roman"/>
          <w:kern w:val="0"/>
          <w:sz w:val="28"/>
          <w:szCs w:val="28"/>
          <w:highlight w:val="yellow"/>
        </w:rPr>
        <w:t>4.1-2</w:t>
      </w:r>
      <w:r>
        <w:rPr>
          <w:rFonts w:ascii="Times New Roman" w:eastAsia="宋体" w:hAnsi="Times New Roman" w:cs="Times New Roman"/>
          <w:kern w:val="0"/>
          <w:sz w:val="28"/>
          <w:szCs w:val="28"/>
          <w:highlight w:val="yellow"/>
        </w:rPr>
        <w:t>。</w:t>
      </w:r>
      <w:r>
        <w:rPr>
          <w:rFonts w:ascii="Times New Roman" w:eastAsia="宋体" w:hAnsi="Times New Roman" w:cs="Times New Roman"/>
          <w:kern w:val="0"/>
          <w:sz w:val="28"/>
          <w:szCs w:val="28"/>
        </w:rPr>
        <w:t>本项目主要构筑物情况详见表</w:t>
      </w:r>
      <w:r>
        <w:rPr>
          <w:rFonts w:ascii="Times New Roman" w:eastAsia="宋体" w:hAnsi="Times New Roman" w:cs="Times New Roman"/>
          <w:kern w:val="0"/>
          <w:sz w:val="28"/>
          <w:szCs w:val="28"/>
        </w:rPr>
        <w:t>4.1-5</w:t>
      </w:r>
      <w:r>
        <w:rPr>
          <w:rFonts w:ascii="Times New Roman" w:eastAsia="宋体" w:hAnsi="Times New Roman" w:cs="Times New Roman"/>
          <w:kern w:val="0"/>
          <w:sz w:val="28"/>
          <w:szCs w:val="28"/>
        </w:rPr>
        <w:t>。</w:t>
      </w:r>
    </w:p>
    <w:p w14:paraId="72FC94A5" w14:textId="77777777" w:rsidR="002133E3" w:rsidRDefault="00C22CFA">
      <w:pPr>
        <w:snapToGrid w:val="0"/>
        <w:spacing w:line="500" w:lineRule="atLeast"/>
        <w:jc w:val="center"/>
        <w:rPr>
          <w:rFonts w:ascii="Times New Roman" w:eastAsia="宋体" w:hAnsi="Times New Roman" w:cs="Times New Roman"/>
          <w:kern w:val="0"/>
          <w:sz w:val="36"/>
          <w:szCs w:val="36"/>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4.1-5   </w:t>
      </w:r>
      <w:r>
        <w:rPr>
          <w:rFonts w:ascii="Times New Roman" w:eastAsia="宋体" w:hAnsi="Times New Roman" w:cs="Times New Roman"/>
          <w:b/>
          <w:bCs/>
          <w:sz w:val="24"/>
          <w:szCs w:val="20"/>
        </w:rPr>
        <w:t>项目主要建筑物情况表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3637"/>
        <w:gridCol w:w="1134"/>
        <w:gridCol w:w="1418"/>
        <w:gridCol w:w="567"/>
        <w:gridCol w:w="709"/>
        <w:gridCol w:w="1949"/>
      </w:tblGrid>
      <w:tr w:rsidR="002133E3" w14:paraId="11C1E8FA" w14:textId="77777777">
        <w:trPr>
          <w:trHeight w:val="284"/>
          <w:jc w:val="center"/>
        </w:trPr>
        <w:tc>
          <w:tcPr>
            <w:tcW w:w="440" w:type="dxa"/>
            <w:shd w:val="clear" w:color="auto" w:fill="auto"/>
            <w:vAlign w:val="center"/>
          </w:tcPr>
          <w:p w14:paraId="5EDF695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3637" w:type="dxa"/>
            <w:shd w:val="clear" w:color="auto" w:fill="auto"/>
            <w:vAlign w:val="center"/>
          </w:tcPr>
          <w:p w14:paraId="3BD8072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建筑物、构筑物名称</w:t>
            </w:r>
          </w:p>
        </w:tc>
        <w:tc>
          <w:tcPr>
            <w:tcW w:w="1134" w:type="dxa"/>
            <w:shd w:val="clear" w:color="auto" w:fill="auto"/>
            <w:vAlign w:val="center"/>
          </w:tcPr>
          <w:p w14:paraId="6996CB3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占地面积</w:t>
            </w:r>
            <w:r>
              <w:rPr>
                <w:rFonts w:ascii="Times New Roman" w:eastAsia="宋体" w:hAnsi="Times New Roman" w:cs="Times New Roman"/>
                <w:b/>
                <w:bCs/>
                <w:color w:val="000000"/>
                <w:kern w:val="0"/>
                <w:szCs w:val="21"/>
              </w:rPr>
              <w:t>(m</w:t>
            </w:r>
            <w:r>
              <w:rPr>
                <w:rFonts w:ascii="Times New Roman" w:eastAsia="宋体" w:hAnsi="Times New Roman" w:cs="Times New Roman"/>
                <w:b/>
                <w:bCs/>
                <w:color w:val="000000"/>
                <w:kern w:val="0"/>
                <w:szCs w:val="21"/>
                <w:vertAlign w:val="superscript"/>
              </w:rPr>
              <w:t>2</w:t>
            </w:r>
            <w:r>
              <w:rPr>
                <w:rFonts w:ascii="Times New Roman" w:eastAsia="宋体" w:hAnsi="Times New Roman" w:cs="Times New Roman"/>
                <w:b/>
                <w:bCs/>
                <w:color w:val="000000"/>
                <w:kern w:val="0"/>
                <w:szCs w:val="21"/>
              </w:rPr>
              <w:t>)</w:t>
            </w:r>
          </w:p>
        </w:tc>
        <w:tc>
          <w:tcPr>
            <w:tcW w:w="1418" w:type="dxa"/>
            <w:shd w:val="clear" w:color="auto" w:fill="auto"/>
            <w:vAlign w:val="center"/>
          </w:tcPr>
          <w:p w14:paraId="58FDEBD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建筑物、构筑物面积</w:t>
            </w:r>
            <w:r>
              <w:rPr>
                <w:rFonts w:ascii="Times New Roman" w:eastAsia="宋体" w:hAnsi="Times New Roman" w:cs="Times New Roman"/>
                <w:b/>
                <w:bCs/>
                <w:color w:val="000000"/>
                <w:kern w:val="0"/>
                <w:szCs w:val="21"/>
              </w:rPr>
              <w:t>(m</w:t>
            </w:r>
            <w:r>
              <w:rPr>
                <w:rFonts w:ascii="Times New Roman" w:eastAsia="宋体" w:hAnsi="Times New Roman" w:cs="Times New Roman"/>
                <w:b/>
                <w:bCs/>
                <w:color w:val="000000"/>
                <w:kern w:val="0"/>
                <w:szCs w:val="21"/>
                <w:vertAlign w:val="superscript"/>
              </w:rPr>
              <w:t>2</w:t>
            </w:r>
            <w:r>
              <w:rPr>
                <w:rFonts w:ascii="Times New Roman" w:eastAsia="宋体" w:hAnsi="Times New Roman" w:cs="Times New Roman"/>
                <w:b/>
                <w:bCs/>
                <w:color w:val="000000"/>
                <w:kern w:val="0"/>
                <w:szCs w:val="21"/>
              </w:rPr>
              <w:t>)</w:t>
            </w:r>
          </w:p>
        </w:tc>
        <w:tc>
          <w:tcPr>
            <w:tcW w:w="567" w:type="dxa"/>
            <w:shd w:val="clear" w:color="auto" w:fill="auto"/>
            <w:vAlign w:val="center"/>
          </w:tcPr>
          <w:p w14:paraId="204D9D8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层数</w:t>
            </w:r>
          </w:p>
        </w:tc>
        <w:tc>
          <w:tcPr>
            <w:tcW w:w="709" w:type="dxa"/>
            <w:shd w:val="clear" w:color="auto" w:fill="auto"/>
            <w:vAlign w:val="center"/>
          </w:tcPr>
          <w:p w14:paraId="5CA118A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结构形式</w:t>
            </w:r>
          </w:p>
        </w:tc>
        <w:tc>
          <w:tcPr>
            <w:tcW w:w="1949" w:type="dxa"/>
            <w:shd w:val="clear" w:color="auto" w:fill="auto"/>
            <w:vAlign w:val="center"/>
          </w:tcPr>
          <w:p w14:paraId="2B3B01D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备注</w:t>
            </w:r>
          </w:p>
        </w:tc>
      </w:tr>
      <w:tr w:rsidR="002133E3" w14:paraId="5E3BBC1A" w14:textId="77777777">
        <w:trPr>
          <w:trHeight w:val="284"/>
          <w:jc w:val="center"/>
        </w:trPr>
        <w:tc>
          <w:tcPr>
            <w:tcW w:w="440" w:type="dxa"/>
            <w:shd w:val="clear" w:color="auto" w:fill="auto"/>
            <w:vAlign w:val="center"/>
          </w:tcPr>
          <w:p w14:paraId="571372D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3637" w:type="dxa"/>
            <w:shd w:val="clear" w:color="auto" w:fill="auto"/>
            <w:vAlign w:val="center"/>
          </w:tcPr>
          <w:p w14:paraId="2028BE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r>
              <w:rPr>
                <w:rFonts w:ascii="Times New Roman" w:eastAsia="宋体" w:hAnsi="Times New Roman" w:cs="Times New Roman"/>
                <w:color w:val="000000"/>
                <w:kern w:val="0"/>
                <w:szCs w:val="21"/>
              </w:rPr>
              <w:t>万吨酒精发酵装置</w:t>
            </w:r>
          </w:p>
        </w:tc>
        <w:tc>
          <w:tcPr>
            <w:tcW w:w="1134" w:type="dxa"/>
            <w:shd w:val="clear" w:color="auto" w:fill="auto"/>
            <w:vAlign w:val="center"/>
          </w:tcPr>
          <w:p w14:paraId="561C4B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931.43</w:t>
            </w:r>
          </w:p>
        </w:tc>
        <w:tc>
          <w:tcPr>
            <w:tcW w:w="1418" w:type="dxa"/>
            <w:shd w:val="clear" w:color="auto" w:fill="auto"/>
            <w:vAlign w:val="center"/>
          </w:tcPr>
          <w:p w14:paraId="1694088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4817165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38C069B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48A432C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新建</w:t>
            </w:r>
          </w:p>
        </w:tc>
      </w:tr>
      <w:tr w:rsidR="002133E3" w14:paraId="60EC40B9" w14:textId="77777777">
        <w:trPr>
          <w:trHeight w:val="284"/>
          <w:jc w:val="center"/>
        </w:trPr>
        <w:tc>
          <w:tcPr>
            <w:tcW w:w="440" w:type="dxa"/>
            <w:shd w:val="clear" w:color="auto" w:fill="auto"/>
            <w:vAlign w:val="center"/>
          </w:tcPr>
          <w:p w14:paraId="34AC0EC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3637" w:type="dxa"/>
            <w:shd w:val="clear" w:color="auto" w:fill="auto"/>
            <w:vAlign w:val="center"/>
          </w:tcPr>
          <w:p w14:paraId="47C0DB1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r>
              <w:rPr>
                <w:rFonts w:ascii="Times New Roman" w:eastAsia="宋体" w:hAnsi="Times New Roman" w:cs="Times New Roman"/>
                <w:color w:val="000000"/>
                <w:kern w:val="0"/>
                <w:szCs w:val="21"/>
              </w:rPr>
              <w:t>万吨酒精蒸煮糖化装置</w:t>
            </w:r>
          </w:p>
        </w:tc>
        <w:tc>
          <w:tcPr>
            <w:tcW w:w="1134" w:type="dxa"/>
            <w:shd w:val="clear" w:color="auto" w:fill="auto"/>
            <w:vAlign w:val="center"/>
          </w:tcPr>
          <w:p w14:paraId="4CA2BF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291.1</w:t>
            </w:r>
          </w:p>
        </w:tc>
        <w:tc>
          <w:tcPr>
            <w:tcW w:w="1418" w:type="dxa"/>
            <w:shd w:val="clear" w:color="auto" w:fill="auto"/>
            <w:vAlign w:val="center"/>
          </w:tcPr>
          <w:p w14:paraId="1A88358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582.2</w:t>
            </w:r>
          </w:p>
        </w:tc>
        <w:tc>
          <w:tcPr>
            <w:tcW w:w="567" w:type="dxa"/>
            <w:shd w:val="clear" w:color="auto" w:fill="auto"/>
            <w:vAlign w:val="center"/>
          </w:tcPr>
          <w:p w14:paraId="767B6E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709" w:type="dxa"/>
            <w:shd w:val="clear" w:color="auto" w:fill="auto"/>
            <w:vAlign w:val="center"/>
          </w:tcPr>
          <w:p w14:paraId="78504C3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3B87B9B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新建</w:t>
            </w:r>
          </w:p>
        </w:tc>
      </w:tr>
      <w:tr w:rsidR="002133E3" w14:paraId="4C8D8D18" w14:textId="77777777">
        <w:trPr>
          <w:trHeight w:val="284"/>
          <w:jc w:val="center"/>
        </w:trPr>
        <w:tc>
          <w:tcPr>
            <w:tcW w:w="440" w:type="dxa"/>
            <w:shd w:val="clear" w:color="auto" w:fill="auto"/>
            <w:vAlign w:val="center"/>
          </w:tcPr>
          <w:p w14:paraId="627BEF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3637" w:type="dxa"/>
            <w:shd w:val="clear" w:color="auto" w:fill="auto"/>
            <w:vAlign w:val="center"/>
          </w:tcPr>
          <w:p w14:paraId="47A373C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r>
              <w:rPr>
                <w:rFonts w:ascii="Times New Roman" w:eastAsia="宋体" w:hAnsi="Times New Roman" w:cs="Times New Roman"/>
                <w:color w:val="000000"/>
                <w:kern w:val="0"/>
                <w:szCs w:val="21"/>
              </w:rPr>
              <w:t>万吨酒精粉碎装置区</w:t>
            </w:r>
          </w:p>
        </w:tc>
        <w:tc>
          <w:tcPr>
            <w:tcW w:w="1134" w:type="dxa"/>
            <w:shd w:val="clear" w:color="auto" w:fill="auto"/>
            <w:vAlign w:val="center"/>
          </w:tcPr>
          <w:p w14:paraId="649CB5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197.64</w:t>
            </w:r>
          </w:p>
        </w:tc>
        <w:tc>
          <w:tcPr>
            <w:tcW w:w="1418" w:type="dxa"/>
            <w:shd w:val="clear" w:color="auto" w:fill="auto"/>
            <w:vAlign w:val="center"/>
          </w:tcPr>
          <w:p w14:paraId="6AF1181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395.28</w:t>
            </w:r>
          </w:p>
        </w:tc>
        <w:tc>
          <w:tcPr>
            <w:tcW w:w="567" w:type="dxa"/>
            <w:shd w:val="clear" w:color="auto" w:fill="auto"/>
            <w:vAlign w:val="center"/>
          </w:tcPr>
          <w:p w14:paraId="3E35F71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709" w:type="dxa"/>
            <w:shd w:val="clear" w:color="auto" w:fill="auto"/>
            <w:vAlign w:val="center"/>
          </w:tcPr>
          <w:p w14:paraId="3754BA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48825F4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新建</w:t>
            </w:r>
          </w:p>
        </w:tc>
      </w:tr>
      <w:tr w:rsidR="002133E3" w14:paraId="31533AB9" w14:textId="77777777">
        <w:trPr>
          <w:trHeight w:val="284"/>
          <w:jc w:val="center"/>
        </w:trPr>
        <w:tc>
          <w:tcPr>
            <w:tcW w:w="440" w:type="dxa"/>
            <w:shd w:val="clear" w:color="auto" w:fill="auto"/>
            <w:vAlign w:val="center"/>
          </w:tcPr>
          <w:p w14:paraId="6D6A9FF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3637" w:type="dxa"/>
            <w:shd w:val="clear" w:color="auto" w:fill="auto"/>
            <w:vAlign w:val="center"/>
          </w:tcPr>
          <w:p w14:paraId="2E86D2A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r>
              <w:rPr>
                <w:rFonts w:ascii="Times New Roman" w:eastAsia="宋体" w:hAnsi="Times New Roman" w:cs="Times New Roman"/>
                <w:color w:val="000000"/>
                <w:kern w:val="0"/>
                <w:szCs w:val="21"/>
              </w:rPr>
              <w:t>万吨酒精装置配电房</w:t>
            </w:r>
          </w:p>
        </w:tc>
        <w:tc>
          <w:tcPr>
            <w:tcW w:w="1134" w:type="dxa"/>
            <w:shd w:val="clear" w:color="auto" w:fill="auto"/>
            <w:vAlign w:val="center"/>
          </w:tcPr>
          <w:p w14:paraId="054CB62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166.23</w:t>
            </w:r>
          </w:p>
        </w:tc>
        <w:tc>
          <w:tcPr>
            <w:tcW w:w="1418" w:type="dxa"/>
            <w:shd w:val="clear" w:color="auto" w:fill="auto"/>
            <w:vAlign w:val="center"/>
          </w:tcPr>
          <w:p w14:paraId="6AF59D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166.23</w:t>
            </w:r>
          </w:p>
        </w:tc>
        <w:tc>
          <w:tcPr>
            <w:tcW w:w="567" w:type="dxa"/>
            <w:shd w:val="clear" w:color="auto" w:fill="auto"/>
            <w:vAlign w:val="center"/>
          </w:tcPr>
          <w:p w14:paraId="6BB4EB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16AD9A2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1D00589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新建</w:t>
            </w:r>
          </w:p>
        </w:tc>
      </w:tr>
      <w:tr w:rsidR="002133E3" w14:paraId="3B759EE9" w14:textId="77777777">
        <w:trPr>
          <w:trHeight w:val="284"/>
          <w:jc w:val="center"/>
        </w:trPr>
        <w:tc>
          <w:tcPr>
            <w:tcW w:w="440" w:type="dxa"/>
            <w:shd w:val="clear" w:color="auto" w:fill="auto"/>
            <w:vAlign w:val="center"/>
          </w:tcPr>
          <w:p w14:paraId="6100A8F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3637" w:type="dxa"/>
            <w:shd w:val="clear" w:color="auto" w:fill="auto"/>
            <w:vAlign w:val="center"/>
          </w:tcPr>
          <w:p w14:paraId="715E084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r>
              <w:rPr>
                <w:rFonts w:ascii="Times New Roman" w:eastAsia="宋体" w:hAnsi="Times New Roman" w:cs="Times New Roman"/>
                <w:color w:val="000000"/>
                <w:kern w:val="0"/>
                <w:szCs w:val="21"/>
              </w:rPr>
              <w:t>万吨酒精三塔蒸馏及</w:t>
            </w:r>
            <w:r>
              <w:rPr>
                <w:rFonts w:ascii="Times New Roman" w:eastAsia="宋体" w:hAnsi="Times New Roman" w:cs="Times New Roman"/>
                <w:color w:val="000000"/>
                <w:kern w:val="0"/>
                <w:szCs w:val="21"/>
              </w:rPr>
              <w:t>6</w:t>
            </w:r>
            <w:r>
              <w:rPr>
                <w:rFonts w:ascii="Times New Roman" w:eastAsia="宋体" w:hAnsi="Times New Roman" w:cs="Times New Roman"/>
                <w:color w:val="000000"/>
                <w:kern w:val="0"/>
                <w:szCs w:val="21"/>
              </w:rPr>
              <w:t>万吨无水酒精联合装置</w:t>
            </w:r>
          </w:p>
        </w:tc>
        <w:tc>
          <w:tcPr>
            <w:tcW w:w="1134" w:type="dxa"/>
            <w:shd w:val="clear" w:color="auto" w:fill="auto"/>
            <w:vAlign w:val="center"/>
          </w:tcPr>
          <w:p w14:paraId="3F71819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574.94</w:t>
            </w:r>
          </w:p>
        </w:tc>
        <w:tc>
          <w:tcPr>
            <w:tcW w:w="1418" w:type="dxa"/>
            <w:shd w:val="clear" w:color="auto" w:fill="auto"/>
            <w:vAlign w:val="center"/>
          </w:tcPr>
          <w:p w14:paraId="00861F7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870.44</w:t>
            </w:r>
          </w:p>
        </w:tc>
        <w:tc>
          <w:tcPr>
            <w:tcW w:w="567" w:type="dxa"/>
            <w:shd w:val="clear" w:color="auto" w:fill="auto"/>
            <w:vAlign w:val="center"/>
          </w:tcPr>
          <w:p w14:paraId="3471808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709" w:type="dxa"/>
            <w:shd w:val="clear" w:color="auto" w:fill="auto"/>
            <w:vAlign w:val="center"/>
          </w:tcPr>
          <w:p w14:paraId="015D922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7DBC4A2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新建</w:t>
            </w:r>
          </w:p>
        </w:tc>
      </w:tr>
      <w:tr w:rsidR="002133E3" w14:paraId="5BE70C33" w14:textId="77777777">
        <w:trPr>
          <w:trHeight w:val="284"/>
          <w:jc w:val="center"/>
        </w:trPr>
        <w:tc>
          <w:tcPr>
            <w:tcW w:w="440" w:type="dxa"/>
            <w:shd w:val="clear" w:color="auto" w:fill="auto"/>
            <w:vAlign w:val="center"/>
          </w:tcPr>
          <w:p w14:paraId="2A5E2B1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p>
        </w:tc>
        <w:tc>
          <w:tcPr>
            <w:tcW w:w="3637" w:type="dxa"/>
            <w:shd w:val="clear" w:color="auto" w:fill="auto"/>
            <w:vAlign w:val="center"/>
          </w:tcPr>
          <w:p w14:paraId="79A7A7A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r>
              <w:rPr>
                <w:rFonts w:ascii="Times New Roman" w:eastAsia="宋体" w:hAnsi="Times New Roman" w:cs="Times New Roman"/>
                <w:color w:val="000000"/>
                <w:kern w:val="0"/>
                <w:szCs w:val="21"/>
              </w:rPr>
              <w:t>万吨酒精粉碎蒸煮糖化装置区</w:t>
            </w:r>
          </w:p>
        </w:tc>
        <w:tc>
          <w:tcPr>
            <w:tcW w:w="1134" w:type="dxa"/>
            <w:shd w:val="clear" w:color="auto" w:fill="auto"/>
            <w:vAlign w:val="center"/>
          </w:tcPr>
          <w:p w14:paraId="2FD8C35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527.49</w:t>
            </w:r>
          </w:p>
        </w:tc>
        <w:tc>
          <w:tcPr>
            <w:tcW w:w="1418" w:type="dxa"/>
            <w:shd w:val="clear" w:color="auto" w:fill="auto"/>
            <w:vAlign w:val="center"/>
          </w:tcPr>
          <w:p w14:paraId="29CB71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1582.47</w:t>
            </w:r>
          </w:p>
        </w:tc>
        <w:tc>
          <w:tcPr>
            <w:tcW w:w="567" w:type="dxa"/>
            <w:shd w:val="clear" w:color="auto" w:fill="auto"/>
            <w:vAlign w:val="center"/>
          </w:tcPr>
          <w:p w14:paraId="7CD67CC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709" w:type="dxa"/>
            <w:shd w:val="clear" w:color="auto" w:fill="auto"/>
            <w:vAlign w:val="center"/>
          </w:tcPr>
          <w:p w14:paraId="4B7CDAF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0FE83FD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5533F304" w14:textId="77777777">
        <w:trPr>
          <w:trHeight w:val="284"/>
          <w:jc w:val="center"/>
        </w:trPr>
        <w:tc>
          <w:tcPr>
            <w:tcW w:w="440" w:type="dxa"/>
            <w:shd w:val="clear" w:color="auto" w:fill="auto"/>
            <w:vAlign w:val="center"/>
          </w:tcPr>
          <w:p w14:paraId="49CBF79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w:t>
            </w:r>
          </w:p>
        </w:tc>
        <w:tc>
          <w:tcPr>
            <w:tcW w:w="3637" w:type="dxa"/>
            <w:shd w:val="clear" w:color="auto" w:fill="auto"/>
            <w:vAlign w:val="center"/>
          </w:tcPr>
          <w:p w14:paraId="30E6276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r>
              <w:rPr>
                <w:rFonts w:ascii="Times New Roman" w:eastAsia="宋体" w:hAnsi="Times New Roman" w:cs="Times New Roman"/>
                <w:color w:val="000000"/>
                <w:kern w:val="0"/>
                <w:szCs w:val="21"/>
              </w:rPr>
              <w:t>万吨酒精发酵装置区</w:t>
            </w:r>
          </w:p>
        </w:tc>
        <w:tc>
          <w:tcPr>
            <w:tcW w:w="1134" w:type="dxa"/>
            <w:shd w:val="clear" w:color="auto" w:fill="auto"/>
            <w:vAlign w:val="center"/>
          </w:tcPr>
          <w:p w14:paraId="0881B80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1322.41</w:t>
            </w:r>
          </w:p>
        </w:tc>
        <w:tc>
          <w:tcPr>
            <w:tcW w:w="1418" w:type="dxa"/>
            <w:shd w:val="clear" w:color="auto" w:fill="auto"/>
            <w:vAlign w:val="center"/>
          </w:tcPr>
          <w:p w14:paraId="737E1E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486581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7920139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5E9D578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6BF5AC9D" w14:textId="77777777">
        <w:trPr>
          <w:trHeight w:val="284"/>
          <w:jc w:val="center"/>
        </w:trPr>
        <w:tc>
          <w:tcPr>
            <w:tcW w:w="440" w:type="dxa"/>
            <w:shd w:val="clear" w:color="auto" w:fill="auto"/>
            <w:vAlign w:val="center"/>
          </w:tcPr>
          <w:p w14:paraId="44FECEE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w:t>
            </w:r>
          </w:p>
        </w:tc>
        <w:tc>
          <w:tcPr>
            <w:tcW w:w="3637" w:type="dxa"/>
            <w:shd w:val="clear" w:color="auto" w:fill="auto"/>
            <w:vAlign w:val="center"/>
          </w:tcPr>
          <w:p w14:paraId="7E541D5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r>
              <w:rPr>
                <w:rFonts w:ascii="Times New Roman" w:eastAsia="宋体" w:hAnsi="Times New Roman" w:cs="Times New Roman"/>
                <w:color w:val="000000"/>
                <w:kern w:val="0"/>
                <w:szCs w:val="21"/>
              </w:rPr>
              <w:t>万吨酒精两塔蒸馏装置</w:t>
            </w:r>
          </w:p>
        </w:tc>
        <w:tc>
          <w:tcPr>
            <w:tcW w:w="1134" w:type="dxa"/>
            <w:shd w:val="clear" w:color="auto" w:fill="auto"/>
            <w:vAlign w:val="center"/>
          </w:tcPr>
          <w:p w14:paraId="7BF6F0B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504.64</w:t>
            </w:r>
          </w:p>
        </w:tc>
        <w:tc>
          <w:tcPr>
            <w:tcW w:w="1418" w:type="dxa"/>
            <w:shd w:val="clear" w:color="auto" w:fill="auto"/>
            <w:vAlign w:val="center"/>
          </w:tcPr>
          <w:p w14:paraId="4B7C9ED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1009.28</w:t>
            </w:r>
          </w:p>
        </w:tc>
        <w:tc>
          <w:tcPr>
            <w:tcW w:w="567" w:type="dxa"/>
            <w:shd w:val="clear" w:color="auto" w:fill="auto"/>
            <w:vAlign w:val="center"/>
          </w:tcPr>
          <w:p w14:paraId="06E5ED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709" w:type="dxa"/>
            <w:shd w:val="clear" w:color="auto" w:fill="auto"/>
            <w:vAlign w:val="center"/>
          </w:tcPr>
          <w:p w14:paraId="3DD43F9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框架</w:t>
            </w:r>
          </w:p>
        </w:tc>
        <w:tc>
          <w:tcPr>
            <w:tcW w:w="1949" w:type="dxa"/>
            <w:shd w:val="clear" w:color="auto" w:fill="auto"/>
            <w:vAlign w:val="center"/>
          </w:tcPr>
          <w:p w14:paraId="1297FDF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改造</w:t>
            </w:r>
          </w:p>
        </w:tc>
      </w:tr>
      <w:tr w:rsidR="002133E3" w14:paraId="2019BD2C" w14:textId="77777777">
        <w:trPr>
          <w:trHeight w:val="284"/>
          <w:jc w:val="center"/>
        </w:trPr>
        <w:tc>
          <w:tcPr>
            <w:tcW w:w="440" w:type="dxa"/>
            <w:shd w:val="clear" w:color="auto" w:fill="auto"/>
            <w:vAlign w:val="center"/>
          </w:tcPr>
          <w:p w14:paraId="4AEBE75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w:t>
            </w:r>
          </w:p>
        </w:tc>
        <w:tc>
          <w:tcPr>
            <w:tcW w:w="3637" w:type="dxa"/>
            <w:shd w:val="clear" w:color="auto" w:fill="auto"/>
            <w:vAlign w:val="center"/>
          </w:tcPr>
          <w:p w14:paraId="5717BD0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木薯干仓库</w:t>
            </w:r>
          </w:p>
        </w:tc>
        <w:tc>
          <w:tcPr>
            <w:tcW w:w="1134" w:type="dxa"/>
            <w:shd w:val="clear" w:color="auto" w:fill="auto"/>
            <w:vAlign w:val="center"/>
          </w:tcPr>
          <w:p w14:paraId="44BB215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49032</w:t>
            </w:r>
          </w:p>
        </w:tc>
        <w:tc>
          <w:tcPr>
            <w:tcW w:w="1418" w:type="dxa"/>
            <w:shd w:val="clear" w:color="auto" w:fill="auto"/>
            <w:vAlign w:val="center"/>
          </w:tcPr>
          <w:p w14:paraId="59F9D24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49032</w:t>
            </w:r>
          </w:p>
        </w:tc>
        <w:tc>
          <w:tcPr>
            <w:tcW w:w="567" w:type="dxa"/>
            <w:shd w:val="clear" w:color="auto" w:fill="auto"/>
            <w:vAlign w:val="center"/>
          </w:tcPr>
          <w:p w14:paraId="6003D96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0EB95EA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7870F2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60CAB517" w14:textId="77777777">
        <w:trPr>
          <w:trHeight w:val="284"/>
          <w:jc w:val="center"/>
        </w:trPr>
        <w:tc>
          <w:tcPr>
            <w:tcW w:w="440" w:type="dxa"/>
            <w:shd w:val="clear" w:color="auto" w:fill="auto"/>
            <w:vAlign w:val="center"/>
          </w:tcPr>
          <w:p w14:paraId="167B05F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3637" w:type="dxa"/>
            <w:shd w:val="clear" w:color="auto" w:fill="auto"/>
            <w:vAlign w:val="center"/>
          </w:tcPr>
          <w:p w14:paraId="08A1C64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辅料仓库</w:t>
            </w:r>
          </w:p>
        </w:tc>
        <w:tc>
          <w:tcPr>
            <w:tcW w:w="1134" w:type="dxa"/>
            <w:shd w:val="clear" w:color="auto" w:fill="auto"/>
            <w:vAlign w:val="center"/>
          </w:tcPr>
          <w:p w14:paraId="414065F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3200</w:t>
            </w:r>
          </w:p>
        </w:tc>
        <w:tc>
          <w:tcPr>
            <w:tcW w:w="1418" w:type="dxa"/>
            <w:shd w:val="clear" w:color="auto" w:fill="auto"/>
            <w:vAlign w:val="center"/>
          </w:tcPr>
          <w:p w14:paraId="5E93815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3200</w:t>
            </w:r>
          </w:p>
        </w:tc>
        <w:tc>
          <w:tcPr>
            <w:tcW w:w="567" w:type="dxa"/>
            <w:shd w:val="clear" w:color="auto" w:fill="auto"/>
            <w:vAlign w:val="center"/>
          </w:tcPr>
          <w:p w14:paraId="5BD639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4464165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4EBA6BE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7ECF27F8" w14:textId="77777777">
        <w:trPr>
          <w:trHeight w:val="284"/>
          <w:jc w:val="center"/>
        </w:trPr>
        <w:tc>
          <w:tcPr>
            <w:tcW w:w="440" w:type="dxa"/>
            <w:shd w:val="clear" w:color="auto" w:fill="auto"/>
            <w:vAlign w:val="center"/>
          </w:tcPr>
          <w:p w14:paraId="5B921F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w:t>
            </w:r>
          </w:p>
        </w:tc>
        <w:tc>
          <w:tcPr>
            <w:tcW w:w="3637" w:type="dxa"/>
            <w:shd w:val="clear" w:color="auto" w:fill="auto"/>
            <w:vAlign w:val="center"/>
          </w:tcPr>
          <w:p w14:paraId="0FC8A9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办公楼</w:t>
            </w:r>
          </w:p>
        </w:tc>
        <w:tc>
          <w:tcPr>
            <w:tcW w:w="1134" w:type="dxa"/>
            <w:shd w:val="clear" w:color="auto" w:fill="auto"/>
            <w:vAlign w:val="center"/>
          </w:tcPr>
          <w:p w14:paraId="201CECA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840</w:t>
            </w:r>
          </w:p>
        </w:tc>
        <w:tc>
          <w:tcPr>
            <w:tcW w:w="1418" w:type="dxa"/>
            <w:shd w:val="clear" w:color="auto" w:fill="auto"/>
            <w:vAlign w:val="center"/>
          </w:tcPr>
          <w:p w14:paraId="10B05E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2520</w:t>
            </w:r>
          </w:p>
        </w:tc>
        <w:tc>
          <w:tcPr>
            <w:tcW w:w="567" w:type="dxa"/>
            <w:shd w:val="clear" w:color="auto" w:fill="auto"/>
            <w:vAlign w:val="center"/>
          </w:tcPr>
          <w:p w14:paraId="592BC9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709" w:type="dxa"/>
            <w:shd w:val="clear" w:color="auto" w:fill="auto"/>
            <w:vAlign w:val="center"/>
          </w:tcPr>
          <w:p w14:paraId="7FEA23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5466978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3B2E282B" w14:textId="77777777">
        <w:trPr>
          <w:trHeight w:val="284"/>
          <w:jc w:val="center"/>
        </w:trPr>
        <w:tc>
          <w:tcPr>
            <w:tcW w:w="440" w:type="dxa"/>
            <w:shd w:val="clear" w:color="auto" w:fill="auto"/>
            <w:vAlign w:val="center"/>
          </w:tcPr>
          <w:p w14:paraId="6C3D5B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w:t>
            </w:r>
          </w:p>
        </w:tc>
        <w:tc>
          <w:tcPr>
            <w:tcW w:w="3637" w:type="dxa"/>
            <w:shd w:val="clear" w:color="auto" w:fill="auto"/>
            <w:vAlign w:val="center"/>
          </w:tcPr>
          <w:p w14:paraId="08F82B2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维修车间</w:t>
            </w:r>
          </w:p>
        </w:tc>
        <w:tc>
          <w:tcPr>
            <w:tcW w:w="1134" w:type="dxa"/>
            <w:shd w:val="clear" w:color="auto" w:fill="auto"/>
            <w:vAlign w:val="center"/>
          </w:tcPr>
          <w:p w14:paraId="339D5DD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2185</w:t>
            </w:r>
          </w:p>
        </w:tc>
        <w:tc>
          <w:tcPr>
            <w:tcW w:w="1418" w:type="dxa"/>
            <w:shd w:val="clear" w:color="auto" w:fill="auto"/>
            <w:vAlign w:val="center"/>
          </w:tcPr>
          <w:p w14:paraId="37263B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2185</w:t>
            </w:r>
          </w:p>
        </w:tc>
        <w:tc>
          <w:tcPr>
            <w:tcW w:w="567" w:type="dxa"/>
            <w:shd w:val="clear" w:color="auto" w:fill="auto"/>
            <w:vAlign w:val="center"/>
          </w:tcPr>
          <w:p w14:paraId="50C0C12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0DBE782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5F14C74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6A638C6D" w14:textId="77777777">
        <w:trPr>
          <w:trHeight w:val="284"/>
          <w:jc w:val="center"/>
        </w:trPr>
        <w:tc>
          <w:tcPr>
            <w:tcW w:w="440" w:type="dxa"/>
            <w:shd w:val="clear" w:color="auto" w:fill="auto"/>
            <w:vAlign w:val="center"/>
          </w:tcPr>
          <w:p w14:paraId="74C7BB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13</w:t>
            </w:r>
          </w:p>
        </w:tc>
        <w:tc>
          <w:tcPr>
            <w:tcW w:w="3637" w:type="dxa"/>
            <w:shd w:val="clear" w:color="auto" w:fill="auto"/>
            <w:vAlign w:val="center"/>
          </w:tcPr>
          <w:p w14:paraId="2D7610A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调度中心</w:t>
            </w:r>
          </w:p>
        </w:tc>
        <w:tc>
          <w:tcPr>
            <w:tcW w:w="1134" w:type="dxa"/>
            <w:shd w:val="clear" w:color="auto" w:fill="auto"/>
            <w:vAlign w:val="center"/>
          </w:tcPr>
          <w:p w14:paraId="256A294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660</w:t>
            </w:r>
          </w:p>
        </w:tc>
        <w:tc>
          <w:tcPr>
            <w:tcW w:w="1418" w:type="dxa"/>
            <w:shd w:val="clear" w:color="auto" w:fill="auto"/>
            <w:vAlign w:val="center"/>
          </w:tcPr>
          <w:p w14:paraId="74BEEC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660</w:t>
            </w:r>
          </w:p>
        </w:tc>
        <w:tc>
          <w:tcPr>
            <w:tcW w:w="567" w:type="dxa"/>
            <w:shd w:val="clear" w:color="auto" w:fill="auto"/>
            <w:vAlign w:val="center"/>
          </w:tcPr>
          <w:p w14:paraId="5B80E4B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7AD2451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6FB0BD8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5C22D9A7" w14:textId="77777777">
        <w:trPr>
          <w:trHeight w:val="284"/>
          <w:jc w:val="center"/>
        </w:trPr>
        <w:tc>
          <w:tcPr>
            <w:tcW w:w="440" w:type="dxa"/>
            <w:shd w:val="clear" w:color="auto" w:fill="auto"/>
            <w:vAlign w:val="center"/>
          </w:tcPr>
          <w:p w14:paraId="080F2E3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w:t>
            </w:r>
          </w:p>
        </w:tc>
        <w:tc>
          <w:tcPr>
            <w:tcW w:w="3637" w:type="dxa"/>
            <w:shd w:val="clear" w:color="auto" w:fill="auto"/>
            <w:vAlign w:val="center"/>
          </w:tcPr>
          <w:p w14:paraId="496C5D5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配电室</w:t>
            </w:r>
          </w:p>
        </w:tc>
        <w:tc>
          <w:tcPr>
            <w:tcW w:w="1134" w:type="dxa"/>
            <w:shd w:val="clear" w:color="auto" w:fill="auto"/>
            <w:vAlign w:val="center"/>
          </w:tcPr>
          <w:p w14:paraId="5D46251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54</w:t>
            </w:r>
          </w:p>
        </w:tc>
        <w:tc>
          <w:tcPr>
            <w:tcW w:w="1418" w:type="dxa"/>
            <w:shd w:val="clear" w:color="auto" w:fill="auto"/>
            <w:vAlign w:val="center"/>
          </w:tcPr>
          <w:p w14:paraId="670952D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54</w:t>
            </w:r>
          </w:p>
        </w:tc>
        <w:tc>
          <w:tcPr>
            <w:tcW w:w="567" w:type="dxa"/>
            <w:shd w:val="clear" w:color="auto" w:fill="auto"/>
            <w:vAlign w:val="center"/>
          </w:tcPr>
          <w:p w14:paraId="6BBD10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4F29104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75626E0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17B4D401" w14:textId="77777777">
        <w:trPr>
          <w:trHeight w:val="284"/>
          <w:jc w:val="center"/>
        </w:trPr>
        <w:tc>
          <w:tcPr>
            <w:tcW w:w="440" w:type="dxa"/>
            <w:shd w:val="clear" w:color="auto" w:fill="auto"/>
            <w:vAlign w:val="center"/>
          </w:tcPr>
          <w:p w14:paraId="4004CBF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3637" w:type="dxa"/>
            <w:shd w:val="clear" w:color="auto" w:fill="auto"/>
            <w:vAlign w:val="center"/>
          </w:tcPr>
          <w:p w14:paraId="1312671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消防泡沫室</w:t>
            </w:r>
          </w:p>
        </w:tc>
        <w:tc>
          <w:tcPr>
            <w:tcW w:w="1134" w:type="dxa"/>
            <w:shd w:val="clear" w:color="auto" w:fill="auto"/>
            <w:vAlign w:val="center"/>
          </w:tcPr>
          <w:p w14:paraId="440A212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112</w:t>
            </w:r>
          </w:p>
        </w:tc>
        <w:tc>
          <w:tcPr>
            <w:tcW w:w="1418" w:type="dxa"/>
            <w:shd w:val="clear" w:color="auto" w:fill="auto"/>
            <w:vAlign w:val="center"/>
          </w:tcPr>
          <w:p w14:paraId="53A653F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112</w:t>
            </w:r>
          </w:p>
        </w:tc>
        <w:tc>
          <w:tcPr>
            <w:tcW w:w="567" w:type="dxa"/>
            <w:shd w:val="clear" w:color="auto" w:fill="auto"/>
            <w:vAlign w:val="center"/>
          </w:tcPr>
          <w:p w14:paraId="2EF02E8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4F35DE4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609D90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166B1420" w14:textId="77777777">
        <w:trPr>
          <w:trHeight w:val="284"/>
          <w:jc w:val="center"/>
        </w:trPr>
        <w:tc>
          <w:tcPr>
            <w:tcW w:w="440" w:type="dxa"/>
            <w:shd w:val="clear" w:color="auto" w:fill="auto"/>
            <w:vAlign w:val="center"/>
          </w:tcPr>
          <w:p w14:paraId="0F35E6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w:t>
            </w:r>
          </w:p>
        </w:tc>
        <w:tc>
          <w:tcPr>
            <w:tcW w:w="3637" w:type="dxa"/>
            <w:shd w:val="clear" w:color="auto" w:fill="auto"/>
            <w:vAlign w:val="center"/>
          </w:tcPr>
          <w:p w14:paraId="21D9C3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空压站</w:t>
            </w:r>
          </w:p>
        </w:tc>
        <w:tc>
          <w:tcPr>
            <w:tcW w:w="1134" w:type="dxa"/>
            <w:shd w:val="clear" w:color="auto" w:fill="auto"/>
            <w:vAlign w:val="center"/>
          </w:tcPr>
          <w:p w14:paraId="3A38710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174</w:t>
            </w:r>
          </w:p>
        </w:tc>
        <w:tc>
          <w:tcPr>
            <w:tcW w:w="1418" w:type="dxa"/>
            <w:shd w:val="clear" w:color="auto" w:fill="auto"/>
            <w:vAlign w:val="center"/>
          </w:tcPr>
          <w:p w14:paraId="2253E0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174</w:t>
            </w:r>
          </w:p>
        </w:tc>
        <w:tc>
          <w:tcPr>
            <w:tcW w:w="567" w:type="dxa"/>
            <w:shd w:val="clear" w:color="auto" w:fill="auto"/>
            <w:vAlign w:val="center"/>
          </w:tcPr>
          <w:p w14:paraId="06D1830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2E9C8A3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466E742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3558F1D3" w14:textId="77777777">
        <w:trPr>
          <w:trHeight w:val="284"/>
          <w:jc w:val="center"/>
        </w:trPr>
        <w:tc>
          <w:tcPr>
            <w:tcW w:w="440" w:type="dxa"/>
            <w:shd w:val="clear" w:color="auto" w:fill="auto"/>
            <w:vAlign w:val="center"/>
          </w:tcPr>
          <w:p w14:paraId="24EFD13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w:t>
            </w:r>
          </w:p>
        </w:tc>
        <w:tc>
          <w:tcPr>
            <w:tcW w:w="3637" w:type="dxa"/>
            <w:shd w:val="clear" w:color="auto" w:fill="auto"/>
            <w:vAlign w:val="center"/>
          </w:tcPr>
          <w:p w14:paraId="1F38F5C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锅炉房</w:t>
            </w:r>
          </w:p>
        </w:tc>
        <w:tc>
          <w:tcPr>
            <w:tcW w:w="1134" w:type="dxa"/>
            <w:shd w:val="clear" w:color="auto" w:fill="auto"/>
            <w:vAlign w:val="center"/>
          </w:tcPr>
          <w:p w14:paraId="673AB1B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2436</w:t>
            </w:r>
          </w:p>
        </w:tc>
        <w:tc>
          <w:tcPr>
            <w:tcW w:w="1418" w:type="dxa"/>
            <w:shd w:val="clear" w:color="auto" w:fill="auto"/>
            <w:vAlign w:val="center"/>
          </w:tcPr>
          <w:p w14:paraId="51C1413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2436</w:t>
            </w:r>
          </w:p>
        </w:tc>
        <w:tc>
          <w:tcPr>
            <w:tcW w:w="567" w:type="dxa"/>
            <w:shd w:val="clear" w:color="auto" w:fill="auto"/>
            <w:vAlign w:val="center"/>
          </w:tcPr>
          <w:p w14:paraId="7DF0364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035FCE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0D8152F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6ABC940A" w14:textId="77777777">
        <w:trPr>
          <w:trHeight w:val="284"/>
          <w:jc w:val="center"/>
        </w:trPr>
        <w:tc>
          <w:tcPr>
            <w:tcW w:w="440" w:type="dxa"/>
            <w:shd w:val="clear" w:color="auto" w:fill="auto"/>
            <w:vAlign w:val="center"/>
          </w:tcPr>
          <w:p w14:paraId="3041FD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18</w:t>
            </w:r>
          </w:p>
        </w:tc>
        <w:tc>
          <w:tcPr>
            <w:tcW w:w="3637" w:type="dxa"/>
            <w:shd w:val="clear" w:color="auto" w:fill="auto"/>
            <w:vAlign w:val="center"/>
          </w:tcPr>
          <w:p w14:paraId="6EA8D22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地磅室</w:t>
            </w:r>
          </w:p>
        </w:tc>
        <w:tc>
          <w:tcPr>
            <w:tcW w:w="1134" w:type="dxa"/>
            <w:shd w:val="clear" w:color="auto" w:fill="auto"/>
            <w:vAlign w:val="center"/>
          </w:tcPr>
          <w:p w14:paraId="5D930A6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375</w:t>
            </w:r>
          </w:p>
        </w:tc>
        <w:tc>
          <w:tcPr>
            <w:tcW w:w="1418" w:type="dxa"/>
            <w:shd w:val="clear" w:color="auto" w:fill="auto"/>
            <w:vAlign w:val="center"/>
          </w:tcPr>
          <w:p w14:paraId="6D0291A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375</w:t>
            </w:r>
          </w:p>
        </w:tc>
        <w:tc>
          <w:tcPr>
            <w:tcW w:w="567" w:type="dxa"/>
            <w:shd w:val="clear" w:color="auto" w:fill="auto"/>
            <w:vAlign w:val="center"/>
          </w:tcPr>
          <w:p w14:paraId="169A2F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3416489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55EC711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1658D738" w14:textId="77777777">
        <w:trPr>
          <w:trHeight w:val="284"/>
          <w:jc w:val="center"/>
        </w:trPr>
        <w:tc>
          <w:tcPr>
            <w:tcW w:w="440" w:type="dxa"/>
            <w:shd w:val="clear" w:color="auto" w:fill="auto"/>
            <w:vAlign w:val="center"/>
          </w:tcPr>
          <w:p w14:paraId="5F88456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w:t>
            </w:r>
          </w:p>
        </w:tc>
        <w:tc>
          <w:tcPr>
            <w:tcW w:w="3637" w:type="dxa"/>
            <w:shd w:val="clear" w:color="auto" w:fill="auto"/>
            <w:vAlign w:val="center"/>
          </w:tcPr>
          <w:p w14:paraId="09DB97B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门卫室</w:t>
            </w:r>
          </w:p>
        </w:tc>
        <w:tc>
          <w:tcPr>
            <w:tcW w:w="1134" w:type="dxa"/>
            <w:shd w:val="clear" w:color="auto" w:fill="auto"/>
            <w:vAlign w:val="center"/>
          </w:tcPr>
          <w:p w14:paraId="48577D9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148</w:t>
            </w:r>
          </w:p>
        </w:tc>
        <w:tc>
          <w:tcPr>
            <w:tcW w:w="1418" w:type="dxa"/>
            <w:shd w:val="clear" w:color="auto" w:fill="auto"/>
            <w:vAlign w:val="center"/>
          </w:tcPr>
          <w:p w14:paraId="5F7A530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148</w:t>
            </w:r>
          </w:p>
        </w:tc>
        <w:tc>
          <w:tcPr>
            <w:tcW w:w="567" w:type="dxa"/>
            <w:shd w:val="clear" w:color="auto" w:fill="auto"/>
            <w:vAlign w:val="center"/>
          </w:tcPr>
          <w:p w14:paraId="72D0752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422B672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砖混</w:t>
            </w:r>
          </w:p>
        </w:tc>
        <w:tc>
          <w:tcPr>
            <w:tcW w:w="1949" w:type="dxa"/>
            <w:shd w:val="clear" w:color="auto" w:fill="auto"/>
            <w:vAlign w:val="center"/>
          </w:tcPr>
          <w:p w14:paraId="16214B7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706BE57B" w14:textId="77777777">
        <w:trPr>
          <w:trHeight w:val="284"/>
          <w:jc w:val="center"/>
        </w:trPr>
        <w:tc>
          <w:tcPr>
            <w:tcW w:w="440" w:type="dxa"/>
            <w:shd w:val="clear" w:color="auto" w:fill="auto"/>
            <w:vAlign w:val="center"/>
          </w:tcPr>
          <w:p w14:paraId="694541A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p>
        </w:tc>
        <w:tc>
          <w:tcPr>
            <w:tcW w:w="3637" w:type="dxa"/>
            <w:shd w:val="clear" w:color="auto" w:fill="auto"/>
            <w:vAlign w:val="center"/>
          </w:tcPr>
          <w:p w14:paraId="20F49A5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罐区五</w:t>
            </w:r>
          </w:p>
        </w:tc>
        <w:tc>
          <w:tcPr>
            <w:tcW w:w="1134" w:type="dxa"/>
            <w:shd w:val="clear" w:color="auto" w:fill="auto"/>
            <w:vAlign w:val="center"/>
          </w:tcPr>
          <w:p w14:paraId="62D2641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4719.62</w:t>
            </w:r>
          </w:p>
        </w:tc>
        <w:tc>
          <w:tcPr>
            <w:tcW w:w="1418" w:type="dxa"/>
            <w:shd w:val="clear" w:color="auto" w:fill="auto"/>
            <w:vAlign w:val="center"/>
          </w:tcPr>
          <w:p w14:paraId="3C5751D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7CEBDD3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7F91F8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949" w:type="dxa"/>
            <w:shd w:val="clear" w:color="auto" w:fill="auto"/>
            <w:vAlign w:val="center"/>
          </w:tcPr>
          <w:p w14:paraId="1E063D5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无水乙醇储罐新增</w:t>
            </w:r>
          </w:p>
        </w:tc>
      </w:tr>
      <w:tr w:rsidR="002133E3" w14:paraId="2FFDC477" w14:textId="77777777">
        <w:trPr>
          <w:trHeight w:val="284"/>
          <w:jc w:val="center"/>
        </w:trPr>
        <w:tc>
          <w:tcPr>
            <w:tcW w:w="440" w:type="dxa"/>
            <w:shd w:val="clear" w:color="auto" w:fill="auto"/>
            <w:vAlign w:val="center"/>
          </w:tcPr>
          <w:p w14:paraId="764F865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21</w:t>
            </w:r>
          </w:p>
        </w:tc>
        <w:tc>
          <w:tcPr>
            <w:tcW w:w="3637" w:type="dxa"/>
            <w:shd w:val="clear" w:color="auto" w:fill="auto"/>
            <w:vAlign w:val="center"/>
          </w:tcPr>
          <w:p w14:paraId="63E1656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蒸馏附属设备区</w:t>
            </w:r>
          </w:p>
        </w:tc>
        <w:tc>
          <w:tcPr>
            <w:tcW w:w="1134" w:type="dxa"/>
            <w:shd w:val="clear" w:color="auto" w:fill="auto"/>
            <w:vAlign w:val="center"/>
          </w:tcPr>
          <w:p w14:paraId="58FB603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813.48</w:t>
            </w:r>
          </w:p>
        </w:tc>
        <w:tc>
          <w:tcPr>
            <w:tcW w:w="1418" w:type="dxa"/>
            <w:shd w:val="clear" w:color="auto" w:fill="auto"/>
            <w:vAlign w:val="center"/>
          </w:tcPr>
          <w:p w14:paraId="3EA691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813.48</w:t>
            </w:r>
          </w:p>
        </w:tc>
        <w:tc>
          <w:tcPr>
            <w:tcW w:w="567" w:type="dxa"/>
            <w:shd w:val="clear" w:color="auto" w:fill="auto"/>
            <w:vAlign w:val="center"/>
          </w:tcPr>
          <w:p w14:paraId="172A557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09" w:type="dxa"/>
            <w:shd w:val="clear" w:color="auto" w:fill="auto"/>
            <w:vAlign w:val="center"/>
          </w:tcPr>
          <w:p w14:paraId="4E1E8E00" w14:textId="77777777" w:rsidR="002133E3" w:rsidRDefault="002133E3">
            <w:pPr>
              <w:widowControl/>
              <w:jc w:val="center"/>
              <w:rPr>
                <w:rFonts w:ascii="Times New Roman" w:eastAsia="宋体" w:hAnsi="Times New Roman" w:cs="Times New Roman"/>
                <w:color w:val="000000"/>
                <w:kern w:val="0"/>
                <w:szCs w:val="21"/>
              </w:rPr>
            </w:pPr>
          </w:p>
        </w:tc>
        <w:tc>
          <w:tcPr>
            <w:tcW w:w="1949" w:type="dxa"/>
            <w:shd w:val="clear" w:color="auto" w:fill="auto"/>
            <w:vAlign w:val="center"/>
          </w:tcPr>
          <w:p w14:paraId="053A7DE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51F5C208" w14:textId="77777777">
        <w:trPr>
          <w:trHeight w:val="284"/>
          <w:jc w:val="center"/>
        </w:trPr>
        <w:tc>
          <w:tcPr>
            <w:tcW w:w="440" w:type="dxa"/>
            <w:shd w:val="clear" w:color="auto" w:fill="auto"/>
            <w:vAlign w:val="center"/>
          </w:tcPr>
          <w:p w14:paraId="3566DB2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22</w:t>
            </w:r>
          </w:p>
        </w:tc>
        <w:tc>
          <w:tcPr>
            <w:tcW w:w="3637" w:type="dxa"/>
            <w:shd w:val="clear" w:color="auto" w:fill="auto"/>
            <w:vAlign w:val="center"/>
          </w:tcPr>
          <w:p w14:paraId="45F148E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停车场</w:t>
            </w:r>
          </w:p>
        </w:tc>
        <w:tc>
          <w:tcPr>
            <w:tcW w:w="1134" w:type="dxa"/>
            <w:shd w:val="clear" w:color="auto" w:fill="auto"/>
            <w:vAlign w:val="center"/>
          </w:tcPr>
          <w:p w14:paraId="548747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2700</w:t>
            </w:r>
          </w:p>
        </w:tc>
        <w:tc>
          <w:tcPr>
            <w:tcW w:w="1418" w:type="dxa"/>
            <w:shd w:val="clear" w:color="auto" w:fill="auto"/>
            <w:vAlign w:val="center"/>
          </w:tcPr>
          <w:p w14:paraId="64D2857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7B56C1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4A41B09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949" w:type="dxa"/>
            <w:shd w:val="clear" w:color="auto" w:fill="auto"/>
            <w:vAlign w:val="center"/>
          </w:tcPr>
          <w:p w14:paraId="552044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13485C16" w14:textId="77777777">
        <w:trPr>
          <w:trHeight w:val="284"/>
          <w:jc w:val="center"/>
        </w:trPr>
        <w:tc>
          <w:tcPr>
            <w:tcW w:w="440" w:type="dxa"/>
            <w:shd w:val="clear" w:color="auto" w:fill="auto"/>
            <w:vAlign w:val="center"/>
          </w:tcPr>
          <w:p w14:paraId="5C219C2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23</w:t>
            </w:r>
          </w:p>
        </w:tc>
        <w:tc>
          <w:tcPr>
            <w:tcW w:w="3637" w:type="dxa"/>
            <w:shd w:val="clear" w:color="auto" w:fill="auto"/>
            <w:vAlign w:val="center"/>
          </w:tcPr>
          <w:p w14:paraId="10713A1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污水处理站</w:t>
            </w:r>
          </w:p>
        </w:tc>
        <w:tc>
          <w:tcPr>
            <w:tcW w:w="1134" w:type="dxa"/>
            <w:shd w:val="clear" w:color="auto" w:fill="auto"/>
            <w:vAlign w:val="center"/>
          </w:tcPr>
          <w:p w14:paraId="62CDA89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88300</w:t>
            </w:r>
          </w:p>
        </w:tc>
        <w:tc>
          <w:tcPr>
            <w:tcW w:w="1418" w:type="dxa"/>
            <w:shd w:val="clear" w:color="auto" w:fill="auto"/>
            <w:vAlign w:val="center"/>
          </w:tcPr>
          <w:p w14:paraId="06C8AF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5BFAC52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3E6AB71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949" w:type="dxa"/>
            <w:shd w:val="clear" w:color="auto" w:fill="auto"/>
            <w:vAlign w:val="center"/>
          </w:tcPr>
          <w:p w14:paraId="1EFE0D1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3139696C" w14:textId="77777777">
        <w:trPr>
          <w:trHeight w:val="284"/>
          <w:jc w:val="center"/>
        </w:trPr>
        <w:tc>
          <w:tcPr>
            <w:tcW w:w="440" w:type="dxa"/>
            <w:shd w:val="clear" w:color="auto" w:fill="auto"/>
            <w:vAlign w:val="center"/>
          </w:tcPr>
          <w:p w14:paraId="5A0164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w:t>
            </w:r>
          </w:p>
        </w:tc>
        <w:tc>
          <w:tcPr>
            <w:tcW w:w="3637" w:type="dxa"/>
            <w:shd w:val="clear" w:color="auto" w:fill="auto"/>
            <w:vAlign w:val="center"/>
          </w:tcPr>
          <w:p w14:paraId="0281F7E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消防水池</w:t>
            </w:r>
          </w:p>
        </w:tc>
        <w:tc>
          <w:tcPr>
            <w:tcW w:w="1134" w:type="dxa"/>
            <w:shd w:val="clear" w:color="auto" w:fill="auto"/>
            <w:vAlign w:val="center"/>
          </w:tcPr>
          <w:p w14:paraId="4F104BE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w:t>
            </w:r>
          </w:p>
        </w:tc>
        <w:tc>
          <w:tcPr>
            <w:tcW w:w="1418" w:type="dxa"/>
            <w:shd w:val="clear" w:color="auto" w:fill="auto"/>
            <w:vAlign w:val="center"/>
          </w:tcPr>
          <w:p w14:paraId="3F3DE2B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442EB37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4EA785D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949" w:type="dxa"/>
            <w:shd w:val="clear" w:color="auto" w:fill="auto"/>
            <w:vAlign w:val="center"/>
          </w:tcPr>
          <w:p w14:paraId="0BC575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0DECD671" w14:textId="77777777">
        <w:trPr>
          <w:trHeight w:val="284"/>
          <w:jc w:val="center"/>
        </w:trPr>
        <w:tc>
          <w:tcPr>
            <w:tcW w:w="440" w:type="dxa"/>
            <w:shd w:val="clear" w:color="auto" w:fill="auto"/>
            <w:vAlign w:val="center"/>
          </w:tcPr>
          <w:p w14:paraId="028E176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w:t>
            </w:r>
          </w:p>
        </w:tc>
        <w:tc>
          <w:tcPr>
            <w:tcW w:w="3637" w:type="dxa"/>
            <w:shd w:val="clear" w:color="auto" w:fill="auto"/>
            <w:vAlign w:val="center"/>
          </w:tcPr>
          <w:p w14:paraId="202367C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绿化</w:t>
            </w:r>
          </w:p>
        </w:tc>
        <w:tc>
          <w:tcPr>
            <w:tcW w:w="1134" w:type="dxa"/>
            <w:shd w:val="clear" w:color="auto" w:fill="auto"/>
            <w:vAlign w:val="center"/>
          </w:tcPr>
          <w:p w14:paraId="09506BE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120779</w:t>
            </w:r>
          </w:p>
        </w:tc>
        <w:tc>
          <w:tcPr>
            <w:tcW w:w="1418" w:type="dxa"/>
            <w:shd w:val="clear" w:color="auto" w:fill="auto"/>
            <w:vAlign w:val="center"/>
          </w:tcPr>
          <w:p w14:paraId="6D4923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29E520B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56245C7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949" w:type="dxa"/>
            <w:shd w:val="clear" w:color="auto" w:fill="auto"/>
            <w:vAlign w:val="center"/>
          </w:tcPr>
          <w:p w14:paraId="4BFB97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5605DD2B" w14:textId="77777777">
        <w:trPr>
          <w:trHeight w:val="284"/>
          <w:jc w:val="center"/>
        </w:trPr>
        <w:tc>
          <w:tcPr>
            <w:tcW w:w="440" w:type="dxa"/>
            <w:shd w:val="clear" w:color="auto" w:fill="auto"/>
            <w:vAlign w:val="center"/>
          </w:tcPr>
          <w:p w14:paraId="51EB561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26</w:t>
            </w:r>
          </w:p>
        </w:tc>
        <w:tc>
          <w:tcPr>
            <w:tcW w:w="3637" w:type="dxa"/>
            <w:shd w:val="clear" w:color="auto" w:fill="auto"/>
            <w:vAlign w:val="center"/>
          </w:tcPr>
          <w:p w14:paraId="4C535EB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道路及其它</w:t>
            </w:r>
          </w:p>
        </w:tc>
        <w:tc>
          <w:tcPr>
            <w:tcW w:w="1134" w:type="dxa"/>
            <w:shd w:val="clear" w:color="auto" w:fill="auto"/>
            <w:vAlign w:val="center"/>
          </w:tcPr>
          <w:p w14:paraId="3564831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68600</w:t>
            </w:r>
          </w:p>
        </w:tc>
        <w:tc>
          <w:tcPr>
            <w:tcW w:w="1418" w:type="dxa"/>
            <w:shd w:val="clear" w:color="auto" w:fill="auto"/>
            <w:vAlign w:val="center"/>
          </w:tcPr>
          <w:p w14:paraId="6C050A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7" w:type="dxa"/>
            <w:shd w:val="clear" w:color="auto" w:fill="auto"/>
            <w:vAlign w:val="center"/>
          </w:tcPr>
          <w:p w14:paraId="185F7DA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09" w:type="dxa"/>
            <w:shd w:val="clear" w:color="auto" w:fill="auto"/>
            <w:vAlign w:val="center"/>
          </w:tcPr>
          <w:p w14:paraId="226321F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949" w:type="dxa"/>
            <w:shd w:val="clear" w:color="auto" w:fill="auto"/>
            <w:vAlign w:val="center"/>
          </w:tcPr>
          <w:p w14:paraId="501BCFF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利用现有</w:t>
            </w:r>
          </w:p>
        </w:tc>
      </w:tr>
      <w:tr w:rsidR="002133E3" w14:paraId="3CD1A006" w14:textId="77777777">
        <w:trPr>
          <w:trHeight w:val="284"/>
          <w:jc w:val="center"/>
        </w:trPr>
        <w:tc>
          <w:tcPr>
            <w:tcW w:w="4077" w:type="dxa"/>
            <w:gridSpan w:val="2"/>
            <w:shd w:val="clear" w:color="auto" w:fill="auto"/>
            <w:vAlign w:val="center"/>
          </w:tcPr>
          <w:p w14:paraId="3A029B6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合计</w:t>
            </w:r>
          </w:p>
        </w:tc>
        <w:tc>
          <w:tcPr>
            <w:tcW w:w="1134" w:type="dxa"/>
            <w:shd w:val="clear" w:color="auto" w:fill="auto"/>
            <w:vAlign w:val="center"/>
          </w:tcPr>
          <w:p w14:paraId="1111988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349687.98</w:t>
            </w:r>
          </w:p>
        </w:tc>
        <w:tc>
          <w:tcPr>
            <w:tcW w:w="1418" w:type="dxa"/>
            <w:shd w:val="clear" w:color="auto" w:fill="auto"/>
            <w:vAlign w:val="center"/>
          </w:tcPr>
          <w:p w14:paraId="6B14B35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66315.38</w:t>
            </w:r>
          </w:p>
        </w:tc>
        <w:tc>
          <w:tcPr>
            <w:tcW w:w="567" w:type="dxa"/>
            <w:shd w:val="clear" w:color="auto" w:fill="auto"/>
            <w:vAlign w:val="center"/>
          </w:tcPr>
          <w:p w14:paraId="143174C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xml:space="preserve">　</w:t>
            </w:r>
          </w:p>
        </w:tc>
        <w:tc>
          <w:tcPr>
            <w:tcW w:w="709" w:type="dxa"/>
            <w:shd w:val="clear" w:color="auto" w:fill="auto"/>
            <w:vAlign w:val="center"/>
          </w:tcPr>
          <w:p w14:paraId="48593A6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xml:space="preserve">　</w:t>
            </w:r>
          </w:p>
        </w:tc>
        <w:tc>
          <w:tcPr>
            <w:tcW w:w="1949" w:type="dxa"/>
            <w:shd w:val="clear" w:color="auto" w:fill="auto"/>
            <w:vAlign w:val="center"/>
          </w:tcPr>
          <w:p w14:paraId="22233C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xml:space="preserve">　</w:t>
            </w:r>
          </w:p>
        </w:tc>
      </w:tr>
    </w:tbl>
    <w:p w14:paraId="50F4E72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厂界周围状况</w:t>
      </w:r>
    </w:p>
    <w:p w14:paraId="5E540533"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项目位于江苏金茂源生物化工有限责任公司厂区内，属于江苏海州湾产业区南片区范围。金茂源公司西侧紧邻经三路，南侧紧邻中心路，北距官庄河约</w:t>
      </w:r>
      <w:r>
        <w:rPr>
          <w:rFonts w:ascii="Times New Roman" w:eastAsia="宋体" w:hAnsi="Times New Roman" w:cs="Times New Roman"/>
          <w:kern w:val="0"/>
          <w:sz w:val="28"/>
          <w:szCs w:val="28"/>
        </w:rPr>
        <w:t>200</w:t>
      </w:r>
      <w:r>
        <w:rPr>
          <w:rFonts w:ascii="Times New Roman" w:eastAsia="宋体" w:hAnsi="Times New Roman" w:cs="Times New Roman"/>
          <w:kern w:val="0"/>
          <w:sz w:val="28"/>
          <w:szCs w:val="28"/>
        </w:rPr>
        <w:t>米，东侧为规划的绿化和仓储用地。现状距离项目较近的居住区为项目厂界西北侧的赵沙村、西侧的李巷村、西南侧的大兴庄村、东北侧的梁沙村、东侧的匡口村，海头镇政府拟于近期对这些村庄实施搬迁。</w:t>
      </w:r>
    </w:p>
    <w:p w14:paraId="58586D69" w14:textId="77777777" w:rsidR="002133E3" w:rsidRDefault="00C22CFA">
      <w:pPr>
        <w:widowControl/>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kern w:val="0"/>
          <w:sz w:val="28"/>
          <w:szCs w:val="28"/>
        </w:rPr>
        <w:lastRenderedPageBreak/>
        <w:t>项目厂界</w:t>
      </w:r>
      <w:r>
        <w:rPr>
          <w:rFonts w:ascii="Times New Roman" w:eastAsia="宋体" w:hAnsi="Times New Roman" w:cs="Times New Roman"/>
          <w:kern w:val="0"/>
          <w:sz w:val="28"/>
          <w:szCs w:val="28"/>
        </w:rPr>
        <w:t>500</w:t>
      </w:r>
      <w:r>
        <w:rPr>
          <w:rFonts w:ascii="Times New Roman" w:eastAsia="宋体" w:hAnsi="Times New Roman" w:cs="Times New Roman"/>
          <w:kern w:val="0"/>
          <w:sz w:val="28"/>
          <w:szCs w:val="28"/>
        </w:rPr>
        <w:t>米范围内现状四邻分布情况见图</w:t>
      </w:r>
      <w:r>
        <w:rPr>
          <w:rFonts w:ascii="Times New Roman" w:eastAsia="宋体" w:hAnsi="Times New Roman" w:cs="Times New Roman"/>
          <w:kern w:val="0"/>
          <w:sz w:val="28"/>
          <w:szCs w:val="28"/>
        </w:rPr>
        <w:t>4.1-4</w:t>
      </w:r>
      <w:r>
        <w:rPr>
          <w:rFonts w:ascii="Times New Roman" w:eastAsia="宋体" w:hAnsi="Times New Roman" w:cs="Times New Roman"/>
          <w:kern w:val="0"/>
          <w:sz w:val="28"/>
          <w:szCs w:val="28"/>
        </w:rPr>
        <w:t>。</w:t>
      </w:r>
    </w:p>
    <w:p w14:paraId="536A46F6"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劳动定员和工作制度</w:t>
      </w:r>
    </w:p>
    <w:p w14:paraId="2F3121D6" w14:textId="77777777" w:rsidR="002133E3" w:rsidRDefault="00C22CFA">
      <w:pPr>
        <w:spacing w:line="52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本次技改项目不新增工作人员，项目每年最大有效工作日</w:t>
      </w:r>
      <w:r>
        <w:rPr>
          <w:rFonts w:ascii="Times New Roman" w:eastAsia="宋体" w:hAnsi="Times New Roman" w:cs="Times New Roman"/>
          <w:sz w:val="28"/>
          <w:szCs w:val="28"/>
        </w:rPr>
        <w:t>300</w:t>
      </w:r>
      <w:r>
        <w:rPr>
          <w:rFonts w:ascii="Times New Roman" w:eastAsia="宋体" w:hAnsi="Times New Roman" w:cs="Times New Roman"/>
          <w:sz w:val="28"/>
          <w:szCs w:val="28"/>
        </w:rPr>
        <w:t>天，实行</w:t>
      </w:r>
      <w:r>
        <w:rPr>
          <w:rFonts w:ascii="Times New Roman" w:eastAsia="宋体" w:hAnsi="Times New Roman" w:cs="Times New Roman"/>
          <w:sz w:val="28"/>
          <w:szCs w:val="28"/>
        </w:rPr>
        <w:t>“</w:t>
      </w:r>
      <w:r>
        <w:rPr>
          <w:rFonts w:ascii="Times New Roman" w:eastAsia="宋体" w:hAnsi="Times New Roman" w:cs="Times New Roman"/>
          <w:sz w:val="28"/>
          <w:szCs w:val="28"/>
        </w:rPr>
        <w:t>四班三运转</w:t>
      </w:r>
      <w:r>
        <w:rPr>
          <w:rFonts w:ascii="Times New Roman" w:eastAsia="宋体" w:hAnsi="Times New Roman" w:cs="Times New Roman"/>
          <w:sz w:val="28"/>
          <w:szCs w:val="28"/>
        </w:rPr>
        <w:t>”</w:t>
      </w:r>
      <w:r>
        <w:rPr>
          <w:rFonts w:ascii="Times New Roman" w:eastAsia="宋体" w:hAnsi="Times New Roman" w:cs="Times New Roman"/>
          <w:sz w:val="28"/>
          <w:szCs w:val="28"/>
        </w:rPr>
        <w:t>工作制，每班</w:t>
      </w:r>
      <w:r>
        <w:rPr>
          <w:rFonts w:ascii="Times New Roman" w:eastAsia="宋体" w:hAnsi="Times New Roman" w:cs="Times New Roman"/>
          <w:sz w:val="28"/>
          <w:szCs w:val="28"/>
        </w:rPr>
        <w:t>8</w:t>
      </w:r>
      <w:r>
        <w:rPr>
          <w:rFonts w:ascii="Times New Roman" w:eastAsia="宋体" w:hAnsi="Times New Roman" w:cs="Times New Roman"/>
          <w:sz w:val="28"/>
          <w:szCs w:val="28"/>
        </w:rPr>
        <w:t>小时。</w:t>
      </w:r>
    </w:p>
    <w:p w14:paraId="0AEBD9C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主要经济技术指标</w:t>
      </w:r>
    </w:p>
    <w:p w14:paraId="150D4769" w14:textId="77777777" w:rsidR="002133E3" w:rsidRDefault="00C22CFA">
      <w:pPr>
        <w:widowControl/>
        <w:tabs>
          <w:tab w:val="left" w:pos="600"/>
        </w:tabs>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项目总投资</w:t>
      </w:r>
      <w:r>
        <w:rPr>
          <w:rFonts w:ascii="Times New Roman" w:eastAsia="宋体" w:hAnsi="Times New Roman" w:cs="Times New Roman"/>
          <w:kern w:val="0"/>
          <w:sz w:val="28"/>
          <w:szCs w:val="28"/>
        </w:rPr>
        <w:t>4590</w:t>
      </w:r>
      <w:r>
        <w:rPr>
          <w:rFonts w:ascii="Times New Roman" w:eastAsia="宋体" w:hAnsi="Times New Roman" w:cs="Times New Roman"/>
          <w:kern w:val="0"/>
          <w:sz w:val="28"/>
          <w:szCs w:val="28"/>
        </w:rPr>
        <w:t>万元，全部为固定资产投资。项目主要经济技术指标见表</w:t>
      </w:r>
      <w:r>
        <w:rPr>
          <w:rFonts w:ascii="Times New Roman" w:eastAsia="宋体" w:hAnsi="Times New Roman" w:cs="Times New Roman"/>
          <w:kern w:val="0"/>
          <w:sz w:val="28"/>
          <w:szCs w:val="28"/>
        </w:rPr>
        <w:t>4.1-6</w:t>
      </w:r>
      <w:r>
        <w:rPr>
          <w:rFonts w:ascii="Times New Roman" w:eastAsia="宋体" w:hAnsi="Times New Roman" w:cs="Times New Roman"/>
          <w:kern w:val="0"/>
          <w:sz w:val="28"/>
          <w:szCs w:val="28"/>
        </w:rPr>
        <w:t>。</w:t>
      </w:r>
    </w:p>
    <w:p w14:paraId="39794483" w14:textId="77777777" w:rsidR="002133E3" w:rsidRDefault="00C22CFA">
      <w:pPr>
        <w:spacing w:line="520" w:lineRule="exact"/>
        <w:jc w:val="center"/>
        <w:rPr>
          <w:rFonts w:ascii="Times New Roman" w:eastAsia="宋体" w:hAnsi="Times New Roman" w:cs="Times New Roman"/>
          <w:b/>
          <w:bCs/>
          <w:sz w:val="24"/>
          <w:szCs w:val="20"/>
        </w:rPr>
      </w:pPr>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4.1-6  </w:t>
      </w:r>
      <w:r>
        <w:rPr>
          <w:rFonts w:ascii="Times New Roman" w:eastAsia="宋体" w:hAnsi="Times New Roman" w:cs="Times New Roman"/>
          <w:b/>
          <w:bCs/>
          <w:sz w:val="24"/>
          <w:szCs w:val="20"/>
        </w:rPr>
        <w:t>主要经济技术指标一览表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1356"/>
        <w:gridCol w:w="4218"/>
        <w:gridCol w:w="1253"/>
        <w:gridCol w:w="1766"/>
      </w:tblGrid>
      <w:tr w:rsidR="002133E3" w14:paraId="13B6E7BF" w14:textId="77777777">
        <w:trPr>
          <w:jc w:val="center"/>
        </w:trPr>
        <w:tc>
          <w:tcPr>
            <w:tcW w:w="640" w:type="pct"/>
            <w:vAlign w:val="center"/>
          </w:tcPr>
          <w:p w14:paraId="7C46265C"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2828" w:type="pct"/>
            <w:gridSpan w:val="2"/>
            <w:vAlign w:val="center"/>
          </w:tcPr>
          <w:p w14:paraId="2A3A9048"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指标名称</w:t>
            </w:r>
          </w:p>
        </w:tc>
        <w:tc>
          <w:tcPr>
            <w:tcW w:w="636" w:type="pct"/>
            <w:vAlign w:val="center"/>
          </w:tcPr>
          <w:p w14:paraId="23BDF38C"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单位</w:t>
            </w:r>
          </w:p>
        </w:tc>
        <w:tc>
          <w:tcPr>
            <w:tcW w:w="896" w:type="pct"/>
            <w:vAlign w:val="center"/>
          </w:tcPr>
          <w:p w14:paraId="49351016"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指标值</w:t>
            </w:r>
          </w:p>
        </w:tc>
      </w:tr>
      <w:tr w:rsidR="002133E3" w14:paraId="693C1E8B" w14:textId="77777777">
        <w:trPr>
          <w:cantSplit/>
          <w:jc w:val="center"/>
        </w:trPr>
        <w:tc>
          <w:tcPr>
            <w:tcW w:w="640" w:type="pct"/>
            <w:vAlign w:val="center"/>
          </w:tcPr>
          <w:p w14:paraId="6AE556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2828" w:type="pct"/>
            <w:gridSpan w:val="2"/>
            <w:vAlign w:val="center"/>
          </w:tcPr>
          <w:p w14:paraId="7B2F0EA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项目总投资</w:t>
            </w:r>
          </w:p>
        </w:tc>
        <w:tc>
          <w:tcPr>
            <w:tcW w:w="636" w:type="pct"/>
            <w:vAlign w:val="center"/>
          </w:tcPr>
          <w:p w14:paraId="57528AB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万元</w:t>
            </w:r>
          </w:p>
        </w:tc>
        <w:tc>
          <w:tcPr>
            <w:tcW w:w="896" w:type="pct"/>
            <w:vAlign w:val="center"/>
          </w:tcPr>
          <w:p w14:paraId="14A06B2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4590</w:t>
            </w:r>
          </w:p>
        </w:tc>
      </w:tr>
      <w:tr w:rsidR="002133E3" w14:paraId="7A9DB535" w14:textId="77777777">
        <w:trPr>
          <w:cantSplit/>
          <w:jc w:val="center"/>
        </w:trPr>
        <w:tc>
          <w:tcPr>
            <w:tcW w:w="640" w:type="pct"/>
            <w:vMerge w:val="restart"/>
            <w:vAlign w:val="center"/>
          </w:tcPr>
          <w:p w14:paraId="426CB71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其中</w:t>
            </w:r>
          </w:p>
        </w:tc>
        <w:tc>
          <w:tcPr>
            <w:tcW w:w="688" w:type="pct"/>
            <w:vMerge w:val="restart"/>
            <w:vAlign w:val="center"/>
          </w:tcPr>
          <w:p w14:paraId="5FB93C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固定资金</w:t>
            </w:r>
          </w:p>
        </w:tc>
        <w:tc>
          <w:tcPr>
            <w:tcW w:w="2140" w:type="pct"/>
            <w:vAlign w:val="center"/>
          </w:tcPr>
          <w:p w14:paraId="60626FA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技术设备投资</w:t>
            </w:r>
          </w:p>
        </w:tc>
        <w:tc>
          <w:tcPr>
            <w:tcW w:w="636" w:type="pct"/>
            <w:vAlign w:val="center"/>
          </w:tcPr>
          <w:p w14:paraId="3B62AF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万元</w:t>
            </w:r>
          </w:p>
        </w:tc>
        <w:tc>
          <w:tcPr>
            <w:tcW w:w="896" w:type="pct"/>
            <w:vAlign w:val="center"/>
          </w:tcPr>
          <w:p w14:paraId="53EE5E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3724</w:t>
            </w:r>
          </w:p>
        </w:tc>
      </w:tr>
      <w:tr w:rsidR="002133E3" w14:paraId="1EF0603C" w14:textId="77777777">
        <w:trPr>
          <w:cantSplit/>
          <w:jc w:val="center"/>
        </w:trPr>
        <w:tc>
          <w:tcPr>
            <w:tcW w:w="640" w:type="pct"/>
            <w:vMerge/>
            <w:vAlign w:val="center"/>
          </w:tcPr>
          <w:p w14:paraId="0F3DAC51" w14:textId="77777777" w:rsidR="002133E3" w:rsidRDefault="002133E3">
            <w:pPr>
              <w:widowControl/>
              <w:jc w:val="center"/>
              <w:rPr>
                <w:rFonts w:ascii="Times New Roman" w:eastAsia="宋体" w:hAnsi="Times New Roman" w:cs="Times New Roman"/>
                <w:kern w:val="0"/>
                <w:szCs w:val="21"/>
              </w:rPr>
            </w:pPr>
          </w:p>
        </w:tc>
        <w:tc>
          <w:tcPr>
            <w:tcW w:w="688" w:type="pct"/>
            <w:vMerge/>
            <w:vAlign w:val="center"/>
          </w:tcPr>
          <w:p w14:paraId="4C084EDB" w14:textId="77777777" w:rsidR="002133E3" w:rsidRDefault="002133E3">
            <w:pPr>
              <w:widowControl/>
              <w:jc w:val="center"/>
              <w:rPr>
                <w:rFonts w:ascii="Times New Roman" w:eastAsia="宋体" w:hAnsi="Times New Roman" w:cs="Times New Roman"/>
                <w:kern w:val="0"/>
                <w:szCs w:val="21"/>
              </w:rPr>
            </w:pPr>
          </w:p>
        </w:tc>
        <w:tc>
          <w:tcPr>
            <w:tcW w:w="2140" w:type="pct"/>
            <w:vAlign w:val="center"/>
          </w:tcPr>
          <w:p w14:paraId="75C600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基建投资</w:t>
            </w:r>
          </w:p>
        </w:tc>
        <w:tc>
          <w:tcPr>
            <w:tcW w:w="636" w:type="pct"/>
            <w:vAlign w:val="center"/>
          </w:tcPr>
          <w:p w14:paraId="4810D92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万元</w:t>
            </w:r>
          </w:p>
        </w:tc>
        <w:tc>
          <w:tcPr>
            <w:tcW w:w="896" w:type="pct"/>
            <w:vAlign w:val="center"/>
          </w:tcPr>
          <w:p w14:paraId="496767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866</w:t>
            </w:r>
          </w:p>
        </w:tc>
      </w:tr>
      <w:tr w:rsidR="002133E3" w14:paraId="564C95F3" w14:textId="77777777">
        <w:trPr>
          <w:cantSplit/>
          <w:jc w:val="center"/>
        </w:trPr>
        <w:tc>
          <w:tcPr>
            <w:tcW w:w="640" w:type="pct"/>
            <w:vAlign w:val="center"/>
          </w:tcPr>
          <w:p w14:paraId="06A8A5C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2828" w:type="pct"/>
            <w:gridSpan w:val="2"/>
            <w:vAlign w:val="center"/>
          </w:tcPr>
          <w:p w14:paraId="0EED98A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项目投资财务内部收益率</w:t>
            </w:r>
            <w:r>
              <w:rPr>
                <w:rFonts w:ascii="Times New Roman" w:eastAsia="宋体" w:hAnsi="Times New Roman" w:cs="Times New Roman"/>
                <w:kern w:val="0"/>
                <w:szCs w:val="21"/>
              </w:rPr>
              <w:t>(%)(</w:t>
            </w:r>
            <w:r>
              <w:rPr>
                <w:rFonts w:ascii="Times New Roman" w:eastAsia="宋体" w:hAnsi="Times New Roman" w:cs="Times New Roman"/>
                <w:kern w:val="0"/>
                <w:szCs w:val="21"/>
              </w:rPr>
              <w:t>所得税前</w:t>
            </w:r>
            <w:r>
              <w:rPr>
                <w:rFonts w:ascii="Times New Roman" w:eastAsia="宋体" w:hAnsi="Times New Roman" w:cs="Times New Roman"/>
                <w:kern w:val="0"/>
                <w:szCs w:val="21"/>
              </w:rPr>
              <w:t>)</w:t>
            </w:r>
          </w:p>
        </w:tc>
        <w:tc>
          <w:tcPr>
            <w:tcW w:w="636" w:type="pct"/>
            <w:vAlign w:val="center"/>
          </w:tcPr>
          <w:p w14:paraId="4C06A0E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96" w:type="pct"/>
            <w:vAlign w:val="center"/>
          </w:tcPr>
          <w:p w14:paraId="3556998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24.14</w:t>
            </w:r>
          </w:p>
        </w:tc>
      </w:tr>
      <w:tr w:rsidR="002133E3" w14:paraId="2E71AE1F" w14:textId="77777777">
        <w:trPr>
          <w:cantSplit/>
          <w:jc w:val="center"/>
        </w:trPr>
        <w:tc>
          <w:tcPr>
            <w:tcW w:w="640" w:type="pct"/>
            <w:vAlign w:val="center"/>
          </w:tcPr>
          <w:p w14:paraId="532177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2828" w:type="pct"/>
            <w:gridSpan w:val="2"/>
            <w:vAlign w:val="center"/>
          </w:tcPr>
          <w:p w14:paraId="45E5C26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项目投资财务内部收益率</w:t>
            </w:r>
            <w:r>
              <w:rPr>
                <w:rFonts w:ascii="Times New Roman" w:eastAsia="宋体" w:hAnsi="Times New Roman" w:cs="Times New Roman"/>
                <w:kern w:val="0"/>
                <w:szCs w:val="21"/>
              </w:rPr>
              <w:t>(%)(</w:t>
            </w:r>
            <w:r>
              <w:rPr>
                <w:rFonts w:ascii="Times New Roman" w:eastAsia="宋体" w:hAnsi="Times New Roman" w:cs="Times New Roman"/>
                <w:kern w:val="0"/>
                <w:szCs w:val="21"/>
              </w:rPr>
              <w:t>所得税后</w:t>
            </w:r>
            <w:r>
              <w:rPr>
                <w:rFonts w:ascii="Times New Roman" w:eastAsia="宋体" w:hAnsi="Times New Roman" w:cs="Times New Roman"/>
                <w:kern w:val="0"/>
                <w:szCs w:val="21"/>
              </w:rPr>
              <w:t>)</w:t>
            </w:r>
          </w:p>
        </w:tc>
        <w:tc>
          <w:tcPr>
            <w:tcW w:w="636" w:type="pct"/>
            <w:vAlign w:val="center"/>
          </w:tcPr>
          <w:p w14:paraId="1A5FC7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96" w:type="pct"/>
            <w:vAlign w:val="center"/>
          </w:tcPr>
          <w:p w14:paraId="676526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19.06</w:t>
            </w:r>
          </w:p>
        </w:tc>
      </w:tr>
      <w:tr w:rsidR="002133E3" w14:paraId="382C02E6" w14:textId="77777777">
        <w:trPr>
          <w:cantSplit/>
          <w:jc w:val="center"/>
        </w:trPr>
        <w:tc>
          <w:tcPr>
            <w:tcW w:w="640" w:type="pct"/>
            <w:vAlign w:val="center"/>
          </w:tcPr>
          <w:p w14:paraId="5A31963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2828" w:type="pct"/>
            <w:gridSpan w:val="2"/>
            <w:vAlign w:val="center"/>
          </w:tcPr>
          <w:p w14:paraId="3B5D2D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项目投资财务净现值</w:t>
            </w:r>
            <w:r>
              <w:rPr>
                <w:rFonts w:ascii="Times New Roman" w:eastAsia="宋体" w:hAnsi="Times New Roman" w:cs="Times New Roman"/>
                <w:kern w:val="0"/>
                <w:szCs w:val="21"/>
              </w:rPr>
              <w:t>(</w:t>
            </w:r>
            <w:r>
              <w:rPr>
                <w:rFonts w:ascii="Times New Roman" w:eastAsia="宋体" w:hAnsi="Times New Roman" w:cs="Times New Roman"/>
                <w:kern w:val="0"/>
                <w:szCs w:val="21"/>
              </w:rPr>
              <w:t>所得税前</w:t>
            </w:r>
            <w:r>
              <w:rPr>
                <w:rFonts w:ascii="Times New Roman" w:eastAsia="宋体" w:hAnsi="Times New Roman" w:cs="Times New Roman"/>
                <w:kern w:val="0"/>
                <w:szCs w:val="21"/>
              </w:rPr>
              <w:t>)(</w:t>
            </w:r>
            <w:proofErr w:type="spellStart"/>
            <w:r>
              <w:rPr>
                <w:rFonts w:ascii="Times New Roman" w:eastAsia="宋体" w:hAnsi="Times New Roman" w:cs="Times New Roman"/>
                <w:kern w:val="0"/>
                <w:szCs w:val="21"/>
              </w:rPr>
              <w:t>ic</w:t>
            </w:r>
            <w:proofErr w:type="spellEnd"/>
            <w:r>
              <w:rPr>
                <w:rFonts w:ascii="Times New Roman" w:eastAsia="宋体" w:hAnsi="Times New Roman" w:cs="Times New Roman"/>
                <w:kern w:val="0"/>
                <w:szCs w:val="21"/>
              </w:rPr>
              <w:t>=8%)</w:t>
            </w:r>
          </w:p>
        </w:tc>
        <w:tc>
          <w:tcPr>
            <w:tcW w:w="636" w:type="pct"/>
            <w:vAlign w:val="center"/>
          </w:tcPr>
          <w:p w14:paraId="00A385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万元</w:t>
            </w:r>
          </w:p>
        </w:tc>
        <w:tc>
          <w:tcPr>
            <w:tcW w:w="896" w:type="pct"/>
            <w:vAlign w:val="center"/>
          </w:tcPr>
          <w:p w14:paraId="1C3F01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17400</w:t>
            </w:r>
          </w:p>
        </w:tc>
      </w:tr>
      <w:tr w:rsidR="002133E3" w14:paraId="2397198B" w14:textId="77777777">
        <w:trPr>
          <w:cantSplit/>
          <w:jc w:val="center"/>
        </w:trPr>
        <w:tc>
          <w:tcPr>
            <w:tcW w:w="640" w:type="pct"/>
            <w:vAlign w:val="center"/>
          </w:tcPr>
          <w:p w14:paraId="0B78142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2828" w:type="pct"/>
            <w:gridSpan w:val="2"/>
            <w:vAlign w:val="center"/>
          </w:tcPr>
          <w:p w14:paraId="18A8D44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项目投资财务净现值</w:t>
            </w:r>
            <w:r>
              <w:rPr>
                <w:rFonts w:ascii="Times New Roman" w:eastAsia="宋体" w:hAnsi="Times New Roman" w:cs="Times New Roman"/>
                <w:kern w:val="0"/>
                <w:szCs w:val="21"/>
              </w:rPr>
              <w:t>(</w:t>
            </w:r>
            <w:r>
              <w:rPr>
                <w:rFonts w:ascii="Times New Roman" w:eastAsia="宋体" w:hAnsi="Times New Roman" w:cs="Times New Roman"/>
                <w:kern w:val="0"/>
                <w:szCs w:val="21"/>
              </w:rPr>
              <w:t>所得税后</w:t>
            </w:r>
            <w:r>
              <w:rPr>
                <w:rFonts w:ascii="Times New Roman" w:eastAsia="宋体" w:hAnsi="Times New Roman" w:cs="Times New Roman"/>
                <w:kern w:val="0"/>
                <w:szCs w:val="21"/>
              </w:rPr>
              <w:t>)(</w:t>
            </w:r>
            <w:proofErr w:type="spellStart"/>
            <w:r>
              <w:rPr>
                <w:rFonts w:ascii="Times New Roman" w:eastAsia="宋体" w:hAnsi="Times New Roman" w:cs="Times New Roman"/>
                <w:kern w:val="0"/>
                <w:szCs w:val="21"/>
              </w:rPr>
              <w:t>ic</w:t>
            </w:r>
            <w:proofErr w:type="spellEnd"/>
            <w:r>
              <w:rPr>
                <w:rFonts w:ascii="Times New Roman" w:eastAsia="宋体" w:hAnsi="Times New Roman" w:cs="Times New Roman"/>
                <w:kern w:val="0"/>
                <w:szCs w:val="21"/>
              </w:rPr>
              <w:t>=8%)</w:t>
            </w:r>
          </w:p>
        </w:tc>
        <w:tc>
          <w:tcPr>
            <w:tcW w:w="636" w:type="pct"/>
            <w:vAlign w:val="center"/>
          </w:tcPr>
          <w:p w14:paraId="1FE3D08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万元</w:t>
            </w:r>
          </w:p>
        </w:tc>
        <w:tc>
          <w:tcPr>
            <w:tcW w:w="896" w:type="pct"/>
            <w:vAlign w:val="center"/>
          </w:tcPr>
          <w:p w14:paraId="01C2A7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12626</w:t>
            </w:r>
          </w:p>
        </w:tc>
      </w:tr>
      <w:tr w:rsidR="002133E3" w14:paraId="6AFFF982" w14:textId="77777777">
        <w:trPr>
          <w:cantSplit/>
          <w:jc w:val="center"/>
        </w:trPr>
        <w:tc>
          <w:tcPr>
            <w:tcW w:w="640" w:type="pct"/>
            <w:vAlign w:val="center"/>
          </w:tcPr>
          <w:p w14:paraId="76BBB46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2828" w:type="pct"/>
            <w:gridSpan w:val="2"/>
            <w:vAlign w:val="center"/>
          </w:tcPr>
          <w:p w14:paraId="1A059CA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项目静态投资回收期</w:t>
            </w:r>
            <w:r>
              <w:rPr>
                <w:rFonts w:ascii="Times New Roman" w:eastAsia="宋体" w:hAnsi="Times New Roman" w:cs="Times New Roman"/>
                <w:kern w:val="0"/>
                <w:szCs w:val="21"/>
              </w:rPr>
              <w:t>(</w:t>
            </w:r>
            <w:r>
              <w:rPr>
                <w:rFonts w:ascii="Times New Roman" w:eastAsia="宋体" w:hAnsi="Times New Roman" w:cs="Times New Roman"/>
                <w:kern w:val="0"/>
                <w:szCs w:val="21"/>
              </w:rPr>
              <w:t>年</w:t>
            </w:r>
            <w:r>
              <w:rPr>
                <w:rFonts w:ascii="Times New Roman" w:eastAsia="宋体" w:hAnsi="Times New Roman" w:cs="Times New Roman"/>
                <w:kern w:val="0"/>
                <w:szCs w:val="21"/>
              </w:rPr>
              <w:t>)(</w:t>
            </w:r>
            <w:r>
              <w:rPr>
                <w:rFonts w:ascii="Times New Roman" w:eastAsia="宋体" w:hAnsi="Times New Roman" w:cs="Times New Roman"/>
                <w:kern w:val="0"/>
                <w:szCs w:val="21"/>
              </w:rPr>
              <w:t>所得税前</w:t>
            </w:r>
            <w:r>
              <w:rPr>
                <w:rFonts w:ascii="Times New Roman" w:eastAsia="宋体" w:hAnsi="Times New Roman" w:cs="Times New Roman"/>
                <w:kern w:val="0"/>
                <w:szCs w:val="21"/>
              </w:rPr>
              <w:t>)</w:t>
            </w:r>
          </w:p>
        </w:tc>
        <w:tc>
          <w:tcPr>
            <w:tcW w:w="636" w:type="pct"/>
            <w:vAlign w:val="center"/>
          </w:tcPr>
          <w:p w14:paraId="645791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年</w:t>
            </w:r>
          </w:p>
        </w:tc>
        <w:tc>
          <w:tcPr>
            <w:tcW w:w="896" w:type="pct"/>
            <w:vAlign w:val="center"/>
          </w:tcPr>
          <w:p w14:paraId="0E79A0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5.45</w:t>
            </w:r>
          </w:p>
        </w:tc>
      </w:tr>
      <w:tr w:rsidR="002133E3" w14:paraId="0AEB2ABC" w14:textId="77777777">
        <w:trPr>
          <w:cantSplit/>
          <w:jc w:val="center"/>
        </w:trPr>
        <w:tc>
          <w:tcPr>
            <w:tcW w:w="640" w:type="pct"/>
            <w:vAlign w:val="center"/>
          </w:tcPr>
          <w:p w14:paraId="7913D7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2828" w:type="pct"/>
            <w:gridSpan w:val="2"/>
            <w:vAlign w:val="center"/>
          </w:tcPr>
          <w:p w14:paraId="094F87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项目静态投资回收期</w:t>
            </w:r>
            <w:r>
              <w:rPr>
                <w:rFonts w:ascii="Times New Roman" w:eastAsia="宋体" w:hAnsi="Times New Roman" w:cs="Times New Roman"/>
                <w:kern w:val="0"/>
                <w:szCs w:val="21"/>
              </w:rPr>
              <w:t>(</w:t>
            </w:r>
            <w:r>
              <w:rPr>
                <w:rFonts w:ascii="Times New Roman" w:eastAsia="宋体" w:hAnsi="Times New Roman" w:cs="Times New Roman"/>
                <w:kern w:val="0"/>
                <w:szCs w:val="21"/>
              </w:rPr>
              <w:t>年</w:t>
            </w:r>
            <w:r>
              <w:rPr>
                <w:rFonts w:ascii="Times New Roman" w:eastAsia="宋体" w:hAnsi="Times New Roman" w:cs="Times New Roman"/>
                <w:kern w:val="0"/>
                <w:szCs w:val="21"/>
              </w:rPr>
              <w:t>)(</w:t>
            </w:r>
            <w:r>
              <w:rPr>
                <w:rFonts w:ascii="Times New Roman" w:eastAsia="宋体" w:hAnsi="Times New Roman" w:cs="Times New Roman"/>
                <w:kern w:val="0"/>
                <w:szCs w:val="21"/>
              </w:rPr>
              <w:t>所得税后</w:t>
            </w:r>
            <w:r>
              <w:rPr>
                <w:rFonts w:ascii="Times New Roman" w:eastAsia="宋体" w:hAnsi="Times New Roman" w:cs="Times New Roman"/>
                <w:kern w:val="0"/>
                <w:szCs w:val="21"/>
              </w:rPr>
              <w:t>)</w:t>
            </w:r>
          </w:p>
        </w:tc>
        <w:tc>
          <w:tcPr>
            <w:tcW w:w="636" w:type="pct"/>
            <w:vAlign w:val="center"/>
          </w:tcPr>
          <w:p w14:paraId="4B1E47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年</w:t>
            </w:r>
          </w:p>
        </w:tc>
        <w:tc>
          <w:tcPr>
            <w:tcW w:w="896" w:type="pct"/>
            <w:vAlign w:val="center"/>
          </w:tcPr>
          <w:p w14:paraId="63994B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54.24</w:t>
            </w:r>
          </w:p>
        </w:tc>
      </w:tr>
    </w:tbl>
    <w:p w14:paraId="7AD32CA2"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t>工艺流程简述及产污环节</w:t>
      </w:r>
    </w:p>
    <w:p w14:paraId="126447DA"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酒精</w:t>
      </w:r>
      <w:r>
        <w:rPr>
          <w:rFonts w:ascii="Times New Roman" w:eastAsia="宋体" w:hAnsi="Times New Roman" w:cs="Times New Roman"/>
          <w:b/>
          <w:sz w:val="30"/>
          <w:szCs w:val="30"/>
        </w:rPr>
        <w:t>(≥95%,V/V)</w:t>
      </w:r>
      <w:r>
        <w:rPr>
          <w:rFonts w:ascii="Times New Roman" w:eastAsia="宋体" w:hAnsi="Times New Roman" w:cs="Times New Roman"/>
          <w:b/>
          <w:sz w:val="30"/>
          <w:szCs w:val="30"/>
        </w:rPr>
        <w:t>生产线</w:t>
      </w:r>
      <w:r>
        <w:rPr>
          <w:rFonts w:ascii="Times New Roman" w:eastAsia="宋体" w:hAnsi="Times New Roman" w:cs="Times New Roman"/>
          <w:b/>
          <w:sz w:val="30"/>
          <w:szCs w:val="30"/>
        </w:rPr>
        <w:t xml:space="preserve"> </w:t>
      </w:r>
    </w:p>
    <w:p w14:paraId="2C25398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工艺原理</w:t>
      </w:r>
    </w:p>
    <w:p w14:paraId="2B1DE1BE"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本项目采用液体发酵法生产酒精，利用木薯淀粉作原料，经过微生物发酵转化为糖；再由糖转化为酒精。在转化过程中发生一系列极其复杂的生化反应，原料中的可溶性淀粉在糖化酶的作用下，首先被转化为可发酵的糖，再在酒化酶作用下，将糖水解成酒精并放出</w:t>
      </w:r>
      <w:r>
        <w:rPr>
          <w:rFonts w:ascii="Times New Roman" w:eastAsia="宋体" w:hAnsi="Times New Roman" w:cs="Times New Roman"/>
          <w:spacing w:val="-9"/>
          <w:sz w:val="28"/>
          <w:szCs w:val="28"/>
        </w:rPr>
        <w:t>CO</w:t>
      </w:r>
      <w:r>
        <w:rPr>
          <w:rFonts w:ascii="Times New Roman" w:eastAsia="宋体" w:hAnsi="Times New Roman" w:cs="Times New Roman"/>
          <w:spacing w:val="-9"/>
          <w:sz w:val="28"/>
          <w:szCs w:val="28"/>
          <w:vertAlign w:val="subscript"/>
        </w:rPr>
        <w:t>2</w:t>
      </w:r>
      <w:r>
        <w:rPr>
          <w:rFonts w:ascii="Times New Roman" w:eastAsia="宋体" w:hAnsi="Times New Roman" w:cs="Times New Roman"/>
          <w:spacing w:val="-9"/>
          <w:sz w:val="28"/>
          <w:szCs w:val="28"/>
        </w:rPr>
        <w:t>，发酵工序产生的粗酒精经蒸汽蒸馏后，冷凝形成</w:t>
      </w:r>
      <w:r>
        <w:rPr>
          <w:rFonts w:ascii="Times New Roman" w:eastAsia="宋体" w:hAnsi="Times New Roman" w:cs="Times New Roman"/>
          <w:spacing w:val="-9"/>
          <w:sz w:val="28"/>
          <w:szCs w:val="28"/>
        </w:rPr>
        <w:t>95%(V/V)</w:t>
      </w:r>
      <w:r>
        <w:rPr>
          <w:rFonts w:ascii="Times New Roman" w:eastAsia="宋体" w:hAnsi="Times New Roman" w:cs="Times New Roman"/>
          <w:spacing w:val="-9"/>
          <w:sz w:val="28"/>
          <w:szCs w:val="28"/>
        </w:rPr>
        <w:t>的成品酒精。</w:t>
      </w:r>
    </w:p>
    <w:p w14:paraId="3469F1BE"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化学反应式</w:t>
      </w:r>
    </w:p>
    <w:p w14:paraId="5F6BD6F2" w14:textId="77777777" w:rsidR="002133E3" w:rsidRDefault="00C22CFA">
      <w:pPr>
        <w:spacing w:beforeLines="50" w:before="120" w:line="520" w:lineRule="exact"/>
        <w:ind w:firstLineChars="250" w:firstLine="703"/>
        <w:rPr>
          <w:rFonts w:ascii="Times New Roman" w:eastAsia="宋体" w:hAnsi="Times New Roman" w:cs="Times New Roman"/>
          <w:b/>
          <w:bCs/>
          <w:sz w:val="28"/>
          <w:szCs w:val="28"/>
        </w:rPr>
      </w:pPr>
      <w:r>
        <w:rPr>
          <w:rFonts w:ascii="Times New Roman" w:eastAsia="宋体" w:hAnsi="Times New Roman" w:cs="Times New Roman"/>
          <w:b/>
          <w:bCs/>
          <w:sz w:val="28"/>
          <w:szCs w:val="28"/>
        </w:rPr>
        <w:t xml:space="preserve"> </w:t>
      </w:r>
      <w:r>
        <w:rPr>
          <w:rFonts w:ascii="宋体" w:eastAsia="宋体" w:hAnsi="宋体" w:cs="宋体" w:hint="eastAsia"/>
          <w:b/>
          <w:bCs/>
          <w:sz w:val="28"/>
          <w:szCs w:val="28"/>
        </w:rPr>
        <w:t>⑴</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糖化</w:t>
      </w:r>
    </w:p>
    <w:p w14:paraId="4721E259" w14:textId="77777777" w:rsidR="002133E3" w:rsidRDefault="00C22CFA">
      <w:pPr>
        <w:spacing w:afterLines="50" w:after="120"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66944" behindDoc="0" locked="0" layoutInCell="1" allowOverlap="1" wp14:anchorId="654C7CE7" wp14:editId="4260A45A">
                <wp:simplePos x="0" y="0"/>
                <wp:positionH relativeFrom="margin">
                  <wp:align>center</wp:align>
                </wp:positionH>
                <wp:positionV relativeFrom="paragraph">
                  <wp:posOffset>19685</wp:posOffset>
                </wp:positionV>
                <wp:extent cx="571500" cy="198120"/>
                <wp:effectExtent l="0" t="0" r="19050" b="11430"/>
                <wp:wrapNone/>
                <wp:docPr id="9" name="文本框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98120"/>
                        </a:xfrm>
                        <a:prstGeom prst="rect">
                          <a:avLst/>
                        </a:prstGeom>
                        <a:solidFill>
                          <a:srgbClr val="FFFFFF"/>
                        </a:solidFill>
                        <a:ln w="9525" cmpd="sng">
                          <a:solidFill>
                            <a:srgbClr val="FFFFFF"/>
                          </a:solidFill>
                          <a:miter lim="800000"/>
                        </a:ln>
                      </wps:spPr>
                      <wps:txbx>
                        <w:txbxContent>
                          <w:p w14:paraId="7BD3E049" w14:textId="77777777" w:rsidR="00F553A8" w:rsidRDefault="00F553A8">
                            <w:r>
                              <w:rPr>
                                <w:rFonts w:hint="eastAsia"/>
                              </w:rPr>
                              <w:t>加热水解</w:t>
                            </w:r>
                          </w:p>
                        </w:txbxContent>
                      </wps:txbx>
                      <wps:bodyPr rot="0" vert="horz" wrap="square" lIns="0" tIns="0" rIns="0" bIns="0" anchor="t" anchorCtr="0" upright="1">
                        <a:noAutofit/>
                      </wps:bodyPr>
                    </wps:wsp>
                  </a:graphicData>
                </a:graphic>
              </wp:anchor>
            </w:drawing>
          </mc:Choice>
          <mc:Fallback>
            <w:pict>
              <v:shape w14:anchorId="654C7CE7" id="文本框 9" o:spid="_x0000_s1236" type="#_x0000_t202" style="position:absolute;left:0;text-align:left;margin-left:0;margin-top:1.55pt;width:45pt;height:15.6pt;z-index:2516669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" strokecolor="white">
                <v:textbox inset="0,0,0,0">
                  <w:txbxContent>
                    <w:p w14:paraId="7BD3E049" w14:textId="77777777" w:rsidR="00F553A8" w:rsidRDefault="00F553A8">
                      <w:r>
                        <w:rPr>
                          <w:rFonts w:hint="eastAsia"/>
                        </w:rPr>
                        <w:t>加热水解</w:t>
                      </w:r>
                    </w:p>
                  </w:txbxContent>
                </v:textbox>
                <w10:wrap anchorx="margin"/>
              </v:shap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67968" behindDoc="0" locked="0" layoutInCell="1" allowOverlap="1" wp14:anchorId="108DE2E5" wp14:editId="2E4628A2">
                <wp:simplePos x="0" y="0"/>
                <wp:positionH relativeFrom="column">
                  <wp:posOffset>2619375</wp:posOffset>
                </wp:positionH>
                <wp:positionV relativeFrom="paragraph">
                  <wp:posOffset>215265</wp:posOffset>
                </wp:positionV>
                <wp:extent cx="800100" cy="0"/>
                <wp:effectExtent l="9525" t="45720" r="19050" b="40005"/>
                <wp:wrapNone/>
                <wp:docPr id="12" name="直接连接符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cmpd="sng">
                          <a:solidFill>
                            <a:srgbClr val="000000"/>
                          </a:solidFill>
                          <a:round/>
                          <a:tailEnd type="triangle" w="sm" len="med"/>
                        </a:ln>
                      </wps:spPr>
                      <wps:bodyPr/>
                    </wps:wsp>
                  </a:graphicData>
                </a:graphic>
              </wp:anchor>
            </w:drawing>
          </mc:Choice>
          <mc:Fallback>
            <w:pict>
              <v:line w14:anchorId="6CDFFF32" id="直接连接符 12" o:spid="_x0000_s1026" style="position:absolute;left:0;text-align:left;z-index:251667968;visibility:visible;mso-wrap-style:square;mso-wrap-distance-left:9pt;mso-wrap-distance-top:0;mso-wrap-distance-right:9pt;mso-wrap-distance-bottom:0;mso-position-horizontal:absolute;mso-position-horizontal-relative:text;mso-position-vertical:absolute;mso-position-vertical-relative:text" from="206.25pt,16.95pt" to="269.2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">
                <v:stroke endarrow="block" endarrowwidth="narrow"/>
              </v:line>
            </w:pict>
          </mc:Fallback>
        </mc:AlternateContent>
      </w:r>
      <w:r>
        <w:rPr>
          <w:rFonts w:ascii="Times New Roman" w:eastAsia="宋体" w:hAnsi="Times New Roman" w:cs="Times New Roman"/>
          <w:sz w:val="28"/>
          <w:szCs w:val="28"/>
        </w:rPr>
        <w:t>(C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w:t>
      </w:r>
      <w:r>
        <w:rPr>
          <w:rFonts w:ascii="Times New Roman" w:eastAsia="宋体" w:hAnsi="Times New Roman" w:cs="Times New Roman"/>
          <w:sz w:val="28"/>
          <w:szCs w:val="28"/>
          <w:vertAlign w:val="subscript"/>
        </w:rPr>
        <w:t>m</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mH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O            </w:t>
      </w:r>
      <w:r>
        <w:rPr>
          <w:rFonts w:ascii="Times New Roman" w:eastAsia="宋体" w:hAnsi="Times New Roman" w:cs="Times New Roman"/>
          <w:position w:val="-24"/>
          <w:sz w:val="28"/>
          <w:szCs w:val="28"/>
        </w:rPr>
        <w:object w:dxaOrig="299" w:dyaOrig="611" w14:anchorId="292F11EC">
          <v:shape id="_x0000_i1044" type="#_x0000_t75" style="width:14.95pt;height:30.55pt" o:ole="">
            <v:imagedata r:id="rId15" o:title=""/>
          </v:shape>
          <o:OLEObject Type="Embed" ProgID="Equation.3" ShapeID="_x0000_i1044" DrawAspect="Content" ObjectID="_1687345259" r:id="rId47"/>
        </w:object>
      </w:r>
      <w:r>
        <w:rPr>
          <w:rFonts w:ascii="Times New Roman" w:eastAsia="宋体" w:hAnsi="Times New Roman" w:cs="Times New Roman"/>
          <w:sz w:val="28"/>
          <w:szCs w:val="28"/>
        </w:rPr>
        <w:t>(C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w:t>
      </w:r>
      <w:r>
        <w:rPr>
          <w:rFonts w:ascii="Times New Roman" w:eastAsia="宋体" w:hAnsi="Times New Roman" w:cs="Times New Roman"/>
          <w:sz w:val="28"/>
          <w:szCs w:val="28"/>
          <w:vertAlign w:val="subscript"/>
        </w:rPr>
        <w:t>n</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nH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w:t>
      </w:r>
    </w:p>
    <w:p w14:paraId="636CE575" w14:textId="77777777" w:rsidR="002133E3" w:rsidRDefault="00C22CFA">
      <w:pPr>
        <w:spacing w:line="520" w:lineRule="exact"/>
        <w:ind w:firstLineChars="750" w:firstLine="2100"/>
        <w:rPr>
          <w:rFonts w:ascii="Times New Roman" w:eastAsia="宋体" w:hAnsi="Times New Roman" w:cs="Times New Roman"/>
          <w:sz w:val="28"/>
          <w:szCs w:val="28"/>
        </w:rPr>
      </w:pPr>
      <w:r>
        <w:rPr>
          <w:rFonts w:ascii="Times New Roman" w:eastAsia="宋体" w:hAnsi="Times New Roman" w:cs="Times New Roman"/>
          <w:sz w:val="28"/>
          <w:szCs w:val="28"/>
        </w:rPr>
        <w:t xml:space="preserve">淀粉　　</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小分子糖精</w:t>
      </w:r>
    </w:p>
    <w:p w14:paraId="63ABB2F6" w14:textId="77777777" w:rsidR="002133E3" w:rsidRDefault="00C22CFA">
      <w:pPr>
        <w:spacing w:beforeLines="50" w:before="120"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65920" behindDoc="0" locked="0" layoutInCell="1" allowOverlap="1" wp14:anchorId="5491A697" wp14:editId="72B0E397">
                <wp:simplePos x="0" y="0"/>
                <wp:positionH relativeFrom="column">
                  <wp:posOffset>3105150</wp:posOffset>
                </wp:positionH>
                <wp:positionV relativeFrom="paragraph">
                  <wp:posOffset>52070</wp:posOffset>
                </wp:positionV>
                <wp:extent cx="800100" cy="198120"/>
                <wp:effectExtent l="9525" t="13970" r="9525" b="6985"/>
                <wp:wrapNone/>
                <wp:docPr id="19"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8120"/>
                        </a:xfrm>
                        <a:prstGeom prst="rect">
                          <a:avLst/>
                        </a:prstGeom>
                        <a:solidFill>
                          <a:srgbClr val="FFFFFF"/>
                        </a:solidFill>
                        <a:ln w="9525" cmpd="sng">
                          <a:solidFill>
                            <a:srgbClr val="FFFFFF"/>
                          </a:solidFill>
                          <a:miter lim="800000"/>
                        </a:ln>
                      </wps:spPr>
                      <wps:txbx>
                        <w:txbxContent>
                          <w:p w14:paraId="54F811E3" w14:textId="77777777" w:rsidR="00F553A8" w:rsidRDefault="00F553A8">
                            <w:r>
                              <w:rPr>
                                <w:rFonts w:hint="eastAsia"/>
                              </w:rPr>
                              <w:t>糖化酶、加热</w:t>
                            </w:r>
                          </w:p>
                        </w:txbxContent>
                      </wps:txbx>
                      <wps:bodyPr rot="0" vert="horz" wrap="square" lIns="0" tIns="0" rIns="0" bIns="0" anchor="t" anchorCtr="0" upright="1">
                        <a:noAutofit/>
                      </wps:bodyPr>
                    </wps:wsp>
                  </a:graphicData>
                </a:graphic>
              </wp:anchor>
            </w:drawing>
          </mc:Choice>
          <mc:Fallback>
            <w:pict>
              <v:shape w14:anchorId="5491A697" id="文本框 19" o:spid="_x0000_s1237" type="#_x0000_t202" style="position:absolute;left:0;text-align:left;margin-left:244.5pt;margin-top:4.1pt;width:63pt;height:15.6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" strokecolor="white">
                <v:textbox inset="0,0,0,0">
                  <w:txbxContent>
                    <w:p w14:paraId="54F811E3" w14:textId="77777777" w:rsidR="00F553A8" w:rsidRDefault="00F553A8">
                      <w:r>
                        <w:rPr>
                          <w:rFonts w:hint="eastAsia"/>
                        </w:rPr>
                        <w:t>糖化酶、加热</w:t>
                      </w:r>
                    </w:p>
                  </w:txbxContent>
                </v:textbox>
              </v:shap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68992" behindDoc="0" locked="0" layoutInCell="1" allowOverlap="1" wp14:anchorId="071817E9" wp14:editId="425A0974">
                <wp:simplePos x="0" y="0"/>
                <wp:positionH relativeFrom="column">
                  <wp:posOffset>3105150</wp:posOffset>
                </wp:positionH>
                <wp:positionV relativeFrom="paragraph">
                  <wp:posOffset>292735</wp:posOffset>
                </wp:positionV>
                <wp:extent cx="800100" cy="0"/>
                <wp:effectExtent l="9525" t="45085" r="19050" b="40640"/>
                <wp:wrapNone/>
                <wp:docPr id="20" name="直接连接符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0"/>
                        </a:xfrm>
                        <a:prstGeom prst="line">
                          <a:avLst/>
                        </a:prstGeom>
                        <a:noFill/>
                        <a:ln w="9525" cmpd="sng">
                          <a:solidFill>
                            <a:srgbClr val="000000"/>
                          </a:solidFill>
                          <a:round/>
                          <a:tailEnd type="triangle" w="sm" len="med"/>
                        </a:ln>
                      </wps:spPr>
                      <wps:bodyPr/>
                    </wps:wsp>
                  </a:graphicData>
                </a:graphic>
              </wp:anchor>
            </w:drawing>
          </mc:Choice>
          <mc:Fallback>
            <w:pict>
              <v:line w14:anchorId="7EE9D7EA" id="直接连接符 20" o:spid="_x0000_s1026" style="position:absolute;left:0;text-align:left;flip:y;z-index:251668992;visibility:visible;mso-wrap-style:square;mso-wrap-distance-left:9pt;mso-wrap-distance-top:0;mso-wrap-distance-right:9pt;mso-wrap-distance-bottom:0;mso-position-horizontal:absolute;mso-position-horizontal-relative:text;mso-position-vertical:absolute;mso-position-vertical-relative:text" from="244.5pt,23.05pt" to="307.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">
                <v:stroke endarrow="block" endarrowwidth="narrow"/>
              </v:line>
            </w:pict>
          </mc:Fallback>
        </mc:AlternateContent>
      </w:r>
      <w:r>
        <w:rPr>
          <w:rFonts w:ascii="Times New Roman" w:eastAsia="宋体" w:hAnsi="Times New Roman" w:cs="Times New Roman"/>
          <w:sz w:val="28"/>
          <w:szCs w:val="28"/>
        </w:rPr>
        <w:t>2(C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5</w:t>
      </w:r>
      <w:r>
        <w:rPr>
          <w:rFonts w:ascii="Times New Roman" w:eastAsia="宋体" w:hAnsi="Times New Roman" w:cs="Times New Roman"/>
          <w:sz w:val="28"/>
          <w:szCs w:val="28"/>
        </w:rPr>
        <w:t>)</w:t>
      </w:r>
      <w:r>
        <w:rPr>
          <w:rFonts w:ascii="Times New Roman" w:eastAsia="宋体" w:hAnsi="Times New Roman" w:cs="Times New Roman"/>
          <w:sz w:val="28"/>
          <w:szCs w:val="28"/>
          <w:vertAlign w:val="subscript"/>
        </w:rPr>
        <w:t>n</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nH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vertAlign w:val="subscript"/>
        </w:rPr>
        <w:t xml:space="preserve">     </w:t>
      </w:r>
      <w:r>
        <w:rPr>
          <w:rFonts w:ascii="Times New Roman" w:eastAsia="宋体" w:hAnsi="Times New Roman" w:cs="Times New Roman"/>
          <w:sz w:val="28"/>
          <w:szCs w:val="28"/>
        </w:rPr>
        <w:t xml:space="preserve"> nC</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22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11</w:t>
      </w:r>
    </w:p>
    <w:p w14:paraId="4BD30742" w14:textId="77777777" w:rsidR="002133E3" w:rsidRDefault="00C22CFA">
      <w:pPr>
        <w:spacing w:line="520" w:lineRule="exact"/>
        <w:ind w:firstLineChars="800" w:firstLine="2240"/>
        <w:rPr>
          <w:rFonts w:ascii="Times New Roman" w:eastAsia="宋体" w:hAnsi="Times New Roman" w:cs="Times New Roman"/>
          <w:sz w:val="28"/>
          <w:szCs w:val="28"/>
        </w:rPr>
      </w:pPr>
      <w:r>
        <w:rPr>
          <w:rFonts w:ascii="Times New Roman" w:eastAsia="宋体" w:hAnsi="Times New Roman" w:cs="Times New Roman"/>
          <w:sz w:val="28"/>
          <w:szCs w:val="28"/>
        </w:rPr>
        <w:lastRenderedPageBreak/>
        <w:t>小分子糖精</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麦芽糖</w:t>
      </w:r>
    </w:p>
    <w:p w14:paraId="79CA47FD" w14:textId="77777777" w:rsidR="002133E3" w:rsidRDefault="00C22CFA">
      <w:pPr>
        <w:spacing w:beforeLines="50" w:before="120"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71040" behindDoc="0" locked="0" layoutInCell="1" allowOverlap="1" wp14:anchorId="13298FBE" wp14:editId="3C7C3561">
                <wp:simplePos x="0" y="0"/>
                <wp:positionH relativeFrom="column">
                  <wp:posOffset>3000375</wp:posOffset>
                </wp:positionH>
                <wp:positionV relativeFrom="paragraph">
                  <wp:posOffset>313055</wp:posOffset>
                </wp:positionV>
                <wp:extent cx="800100" cy="0"/>
                <wp:effectExtent l="9525" t="46990" r="19050" b="48260"/>
                <wp:wrapNone/>
                <wp:docPr id="21" name="直接连接符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0"/>
                        </a:xfrm>
                        <a:prstGeom prst="line">
                          <a:avLst/>
                        </a:prstGeom>
                        <a:noFill/>
                        <a:ln w="9525" cmpd="sng">
                          <a:solidFill>
                            <a:srgbClr val="000000"/>
                          </a:solidFill>
                          <a:round/>
                          <a:tailEnd type="triangle" w="sm" len="med"/>
                        </a:ln>
                      </wps:spPr>
                      <wps:bodyPr/>
                    </wps:wsp>
                  </a:graphicData>
                </a:graphic>
              </wp:anchor>
            </w:drawing>
          </mc:Choice>
          <mc:Fallback>
            <w:pict>
              <v:line w14:anchorId="6A0D9CEC" id="直接连接符 21" o:spid="_x0000_s1026" style="position:absolute;left:0;text-align:left;flip:y;z-index:251671040;visibility:visible;mso-wrap-style:square;mso-wrap-distance-left:9pt;mso-wrap-distance-top:0;mso-wrap-distance-right:9pt;mso-wrap-distance-bottom:0;mso-position-horizontal:absolute;mso-position-horizontal-relative:text;mso-position-vertical:absolute;mso-position-vertical-relative:text" from="236.25pt,24.65pt" to="299.2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">
                <v:stroke endarrow="block" endarrowwidth="narrow"/>
              </v:line>
            </w:pict>
          </mc:Fallback>
        </mc:AlternateContent>
      </w:r>
      <w:r>
        <w:rPr>
          <w:rFonts w:ascii="Times New Roman" w:eastAsia="宋体" w:hAnsi="Times New Roman" w:cs="Times New Roman"/>
          <w:noProof/>
          <w:sz w:val="28"/>
          <w:szCs w:val="28"/>
        </w:rPr>
        <mc:AlternateContent>
          <mc:Choice Requires="wps">
            <w:drawing>
              <wp:anchor distT="0" distB="0" distL="114300" distR="114300" simplePos="0" relativeHeight="251670016" behindDoc="0" locked="0" layoutInCell="1" allowOverlap="1" wp14:anchorId="04189D6A" wp14:editId="3F5B9073">
                <wp:simplePos x="0" y="0"/>
                <wp:positionH relativeFrom="column">
                  <wp:posOffset>2990850</wp:posOffset>
                </wp:positionH>
                <wp:positionV relativeFrom="paragraph">
                  <wp:posOffset>77470</wp:posOffset>
                </wp:positionV>
                <wp:extent cx="800100" cy="198120"/>
                <wp:effectExtent l="9525" t="10795" r="9525" b="10160"/>
                <wp:wrapNone/>
                <wp:docPr id="22" name="文本框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8120"/>
                        </a:xfrm>
                        <a:prstGeom prst="rect">
                          <a:avLst/>
                        </a:prstGeom>
                        <a:solidFill>
                          <a:srgbClr val="FFFFFF"/>
                        </a:solidFill>
                        <a:ln w="9525" cmpd="sng">
                          <a:solidFill>
                            <a:srgbClr val="FFFFFF"/>
                          </a:solidFill>
                          <a:miter lim="800000"/>
                        </a:ln>
                      </wps:spPr>
                      <wps:txbx>
                        <w:txbxContent>
                          <w:p w14:paraId="6C025D52" w14:textId="77777777" w:rsidR="00F553A8" w:rsidRDefault="00F553A8">
                            <w:r>
                              <w:rPr>
                                <w:rFonts w:hint="eastAsia"/>
                              </w:rPr>
                              <w:t>糖化酶、加热</w:t>
                            </w:r>
                          </w:p>
                        </w:txbxContent>
                      </wps:txbx>
                      <wps:bodyPr rot="0" vert="horz" wrap="square" lIns="0" tIns="0" rIns="0" bIns="0" anchor="t" anchorCtr="0" upright="1">
                        <a:noAutofit/>
                      </wps:bodyPr>
                    </wps:wsp>
                  </a:graphicData>
                </a:graphic>
              </wp:anchor>
            </w:drawing>
          </mc:Choice>
          <mc:Fallback>
            <w:pict>
              <v:shape w14:anchorId="04189D6A" id="文本框 22" o:spid="_x0000_s1238" type="#_x0000_t202" style="position:absolute;left:0;text-align:left;margin-left:235.5pt;margin-top:6.1pt;width:63pt;height:15.6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" strokecolor="white">
                <v:textbox inset="0,0,0,0">
                  <w:txbxContent>
                    <w:p w14:paraId="6C025D52" w14:textId="77777777" w:rsidR="00F553A8" w:rsidRDefault="00F553A8">
                      <w:r>
                        <w:rPr>
                          <w:rFonts w:hint="eastAsia"/>
                        </w:rPr>
                        <w:t>糖化酶、加热</w:t>
                      </w:r>
                    </w:p>
                  </w:txbxContent>
                </v:textbox>
              </v:shape>
            </w:pict>
          </mc:Fallback>
        </mc:AlternateContent>
      </w:r>
      <w:r>
        <w:rPr>
          <w:rFonts w:ascii="Times New Roman" w:eastAsia="宋体" w:hAnsi="Times New Roman" w:cs="Times New Roman"/>
          <w:sz w:val="28"/>
          <w:szCs w:val="28"/>
        </w:rPr>
        <w:t>nC</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22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11</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nH</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O             2nC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6</w:t>
      </w:r>
    </w:p>
    <w:p w14:paraId="31C3014F" w14:textId="77777777" w:rsidR="002133E3" w:rsidRDefault="00C22CFA">
      <w:pPr>
        <w:spacing w:line="520" w:lineRule="exact"/>
        <w:ind w:firstLineChars="800" w:firstLine="2240"/>
        <w:rPr>
          <w:rFonts w:ascii="Times New Roman" w:eastAsia="宋体" w:hAnsi="Times New Roman" w:cs="Times New Roman"/>
          <w:sz w:val="28"/>
          <w:szCs w:val="28"/>
        </w:rPr>
      </w:pPr>
      <w:r>
        <w:rPr>
          <w:rFonts w:ascii="Times New Roman" w:eastAsia="宋体" w:hAnsi="Times New Roman" w:cs="Times New Roman"/>
          <w:sz w:val="28"/>
          <w:szCs w:val="28"/>
        </w:rPr>
        <w:t>麦芽糖</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葡萄糖</w:t>
      </w:r>
    </w:p>
    <w:p w14:paraId="21160A8B" w14:textId="77777777" w:rsidR="002133E3" w:rsidRDefault="00C22CFA">
      <w:pPr>
        <w:spacing w:beforeLines="50" w:before="120" w:line="520" w:lineRule="exact"/>
        <w:ind w:firstLineChars="250" w:firstLine="703"/>
        <w:rPr>
          <w:rFonts w:ascii="Times New Roman" w:eastAsia="宋体" w:hAnsi="Times New Roman" w:cs="Times New Roman"/>
          <w:b/>
          <w:bCs/>
          <w:sz w:val="28"/>
          <w:szCs w:val="28"/>
        </w:rPr>
      </w:pPr>
      <w:r>
        <w:rPr>
          <w:rFonts w:ascii="Times New Roman" w:eastAsia="宋体" w:hAnsi="Times New Roman" w:cs="Times New Roman"/>
          <w:b/>
          <w:bCs/>
          <w:noProof/>
          <w:sz w:val="28"/>
          <w:szCs w:val="28"/>
        </w:rPr>
        <mc:AlternateContent>
          <mc:Choice Requires="wps">
            <w:drawing>
              <wp:anchor distT="0" distB="0" distL="114300" distR="114300" simplePos="0" relativeHeight="251663872" behindDoc="0" locked="0" layoutInCell="1" allowOverlap="1" wp14:anchorId="36C1544F" wp14:editId="31CC2DF2">
                <wp:simplePos x="0" y="0"/>
                <wp:positionH relativeFrom="column">
                  <wp:posOffset>1945005</wp:posOffset>
                </wp:positionH>
                <wp:positionV relativeFrom="paragraph">
                  <wp:posOffset>401955</wp:posOffset>
                </wp:positionV>
                <wp:extent cx="436245" cy="233680"/>
                <wp:effectExtent l="0" t="0" r="20955" b="13970"/>
                <wp:wrapNone/>
                <wp:docPr id="23" name="文本框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33680"/>
                        </a:xfrm>
                        <a:prstGeom prst="rect">
                          <a:avLst/>
                        </a:prstGeom>
                        <a:solidFill>
                          <a:srgbClr val="FFFFFF"/>
                        </a:solidFill>
                        <a:ln w="9525" cmpd="sng">
                          <a:solidFill>
                            <a:srgbClr val="FFFFFF"/>
                          </a:solidFill>
                          <a:miter lim="800000"/>
                        </a:ln>
                      </wps:spPr>
                      <wps:txbx>
                        <w:txbxContent>
                          <w:p w14:paraId="5300C72F" w14:textId="77777777" w:rsidR="00F553A8" w:rsidRDefault="00F553A8">
                            <w:r>
                              <w:rPr>
                                <w:rFonts w:ascii="宋体" w:hAnsi="宋体" w:cs="宋体" w:hint="eastAsia"/>
                                <w:kern w:val="0"/>
                                <w:szCs w:val="21"/>
                              </w:rPr>
                              <w:t>干酵母</w:t>
                            </w:r>
                          </w:p>
                        </w:txbxContent>
                      </wps:txbx>
                      <wps:bodyPr rot="0" vert="horz" wrap="square" lIns="0" tIns="0" rIns="0" bIns="0" anchor="t" anchorCtr="0" upright="1">
                        <a:noAutofit/>
                      </wps:bodyPr>
                    </wps:wsp>
                  </a:graphicData>
                </a:graphic>
              </wp:anchor>
            </w:drawing>
          </mc:Choice>
          <mc:Fallback>
            <w:pict>
              <v:shape w14:anchorId="36C1544F" id="文本框 23" o:spid="_x0000_s1239" type="#_x0000_t202" style="position:absolute;left:0;text-align:left;margin-left:153.15pt;margin-top:31.65pt;width:34.35pt;height:18.4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" strokecolor="white">
                <v:textbox inset="0,0,0,0">
                  <w:txbxContent>
                    <w:p w14:paraId="5300C72F" w14:textId="77777777" w:rsidR="00F553A8" w:rsidRDefault="00F553A8">
                      <w:r>
                        <w:rPr>
                          <w:rFonts w:ascii="宋体" w:hAnsi="宋体" w:cs="宋体" w:hint="eastAsia"/>
                          <w:kern w:val="0"/>
                          <w:szCs w:val="21"/>
                        </w:rPr>
                        <w:t>干酵母</w:t>
                      </w:r>
                    </w:p>
                  </w:txbxContent>
                </v:textbox>
              </v:shape>
            </w:pict>
          </mc:Fallback>
        </mc:AlternateContent>
      </w:r>
      <w:r>
        <w:rPr>
          <w:rFonts w:ascii="宋体" w:eastAsia="宋体" w:hAnsi="宋体" w:cs="宋体" w:hint="eastAsia"/>
          <w:b/>
          <w:bCs/>
          <w:sz w:val="28"/>
          <w:szCs w:val="28"/>
        </w:rPr>
        <w:t>⑵</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发酵</w:t>
      </w:r>
    </w:p>
    <w:p w14:paraId="5FE63B9A" w14:textId="77777777" w:rsidR="002133E3" w:rsidRDefault="00C22CFA">
      <w:pPr>
        <w:tabs>
          <w:tab w:val="left" w:pos="1785"/>
        </w:tabs>
        <w:spacing w:line="520" w:lineRule="exact"/>
        <w:jc w:val="center"/>
        <w:rPr>
          <w:rFonts w:ascii="Times New Roman" w:eastAsia="宋体" w:hAnsi="Times New Roman" w:cs="Times New Roman"/>
          <w:sz w:val="28"/>
          <w:szCs w:val="28"/>
        </w:rPr>
      </w:pPr>
      <w:r>
        <w:rPr>
          <w:rFonts w:ascii="Times New Roman" w:eastAsia="宋体" w:hAnsi="Times New Roman" w:cs="Times New Roman"/>
          <w:noProof/>
          <w:sz w:val="28"/>
          <w:szCs w:val="28"/>
        </w:rPr>
        <mc:AlternateContent>
          <mc:Choice Requires="wps">
            <w:drawing>
              <wp:anchor distT="0" distB="0" distL="114300" distR="114300" simplePos="0" relativeHeight="251664896" behindDoc="0" locked="0" layoutInCell="1" allowOverlap="1" wp14:anchorId="010B6F31" wp14:editId="2EB548D9">
                <wp:simplePos x="0" y="0"/>
                <wp:positionH relativeFrom="column">
                  <wp:posOffset>1800225</wp:posOffset>
                </wp:positionH>
                <wp:positionV relativeFrom="paragraph">
                  <wp:posOffset>213995</wp:posOffset>
                </wp:positionV>
                <wp:extent cx="762000" cy="0"/>
                <wp:effectExtent l="7620" t="42545" r="20955" b="43180"/>
                <wp:wrapNone/>
                <wp:docPr id="24" name="直接连接符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9525" cmpd="sng">
                          <a:solidFill>
                            <a:srgbClr val="000000"/>
                          </a:solidFill>
                          <a:round/>
                          <a:tailEnd type="triangle" w="sm" len="med"/>
                        </a:ln>
                      </wps:spPr>
                      <wps:bodyPr/>
                    </wps:wsp>
                  </a:graphicData>
                </a:graphic>
              </wp:anchor>
            </w:drawing>
          </mc:Choice>
          <mc:Fallback>
            <w:pict>
              <v:line w14:anchorId="6D6B401D" id="直接连接符 24" o:spid="_x0000_s1026" style="position:absolute;left:0;text-align:left;z-index:251664896;visibility:visible;mso-wrap-style:square;mso-wrap-distance-left:9pt;mso-wrap-distance-top:0;mso-wrap-distance-right:9pt;mso-wrap-distance-bottom:0;mso-position-horizontal:absolute;mso-position-horizontal-relative:text;mso-position-vertical:absolute;mso-position-vertical-relative:text" from="141.75pt,16.85pt" to="201.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">
                <v:stroke endarrow="block" endarrowwidth="narrow"/>
              </v:line>
            </w:pict>
          </mc:Fallback>
        </mc:AlternateContent>
      </w:r>
      <w:r>
        <w:rPr>
          <w:rFonts w:ascii="Times New Roman" w:eastAsia="宋体" w:hAnsi="Times New Roman" w:cs="Times New Roman"/>
          <w:sz w:val="28"/>
          <w:szCs w:val="28"/>
        </w:rPr>
        <w:t>nC</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12</w:t>
      </w:r>
      <w:r>
        <w:rPr>
          <w:rFonts w:ascii="Times New Roman" w:eastAsia="宋体" w:hAnsi="Times New Roman" w:cs="Times New Roman"/>
          <w:sz w:val="28"/>
          <w:szCs w:val="28"/>
        </w:rPr>
        <w:t>O</w:t>
      </w:r>
      <w:r>
        <w:rPr>
          <w:rFonts w:ascii="Times New Roman" w:eastAsia="宋体" w:hAnsi="Times New Roman" w:cs="Times New Roman"/>
          <w:sz w:val="28"/>
          <w:szCs w:val="28"/>
          <w:vertAlign w:val="subscript"/>
        </w:rPr>
        <w:t xml:space="preserve">6           </w:t>
      </w:r>
      <w:r>
        <w:rPr>
          <w:rFonts w:ascii="Times New Roman" w:eastAsia="宋体" w:hAnsi="Times New Roman" w:cs="Times New Roman"/>
          <w:sz w:val="28"/>
          <w:szCs w:val="28"/>
        </w:rPr>
        <w:t xml:space="preserve">   2nC</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H</w:t>
      </w:r>
      <w:r>
        <w:rPr>
          <w:rFonts w:ascii="Times New Roman" w:eastAsia="宋体" w:hAnsi="Times New Roman" w:cs="Times New Roman"/>
          <w:sz w:val="28"/>
          <w:szCs w:val="28"/>
          <w:vertAlign w:val="subscript"/>
        </w:rPr>
        <w:t>6</w:t>
      </w:r>
      <w:r>
        <w:rPr>
          <w:rFonts w:ascii="Times New Roman" w:eastAsia="宋体" w:hAnsi="Times New Roman" w:cs="Times New Roman"/>
          <w:sz w:val="28"/>
          <w:szCs w:val="28"/>
        </w:rPr>
        <w:t xml:space="preserve">O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2nCO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杂醇油</w:t>
      </w:r>
    </w:p>
    <w:p w14:paraId="1E896182" w14:textId="77777777" w:rsidR="002133E3" w:rsidRDefault="00C22CFA">
      <w:pPr>
        <w:spacing w:line="520" w:lineRule="exact"/>
        <w:ind w:firstLineChars="600" w:firstLine="1680"/>
        <w:rPr>
          <w:rFonts w:ascii="Times New Roman" w:eastAsia="宋体" w:hAnsi="Times New Roman" w:cs="Times New Roman"/>
          <w:sz w:val="28"/>
          <w:szCs w:val="28"/>
        </w:rPr>
      </w:pPr>
      <w:r>
        <w:rPr>
          <w:rFonts w:ascii="Times New Roman" w:eastAsia="宋体" w:hAnsi="Times New Roman" w:cs="Times New Roman"/>
          <w:sz w:val="28"/>
          <w:szCs w:val="28"/>
        </w:rPr>
        <w:t>葡萄糖</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乙醇</w:t>
      </w:r>
    </w:p>
    <w:p w14:paraId="176E748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工艺流程及说明</w:t>
      </w:r>
    </w:p>
    <w:p w14:paraId="0379DACE" w14:textId="77777777" w:rsidR="002133E3" w:rsidRDefault="00C22CFA">
      <w:pPr>
        <w:tabs>
          <w:tab w:val="left" w:pos="1733"/>
          <w:tab w:val="left" w:pos="2520"/>
        </w:tabs>
        <w:snapToGrid w:val="0"/>
        <w:spacing w:line="500" w:lineRule="atLeast"/>
        <w:ind w:firstLineChars="200" w:firstLine="524"/>
        <w:rPr>
          <w:rFonts w:ascii="Times New Roman" w:eastAsia="宋体" w:hAnsi="Times New Roman" w:cs="Times New Roman"/>
          <w:sz w:val="28"/>
          <w:szCs w:val="20"/>
        </w:rPr>
      </w:pPr>
      <w:r>
        <w:rPr>
          <w:rFonts w:ascii="Times New Roman" w:eastAsia="宋体" w:hAnsi="Times New Roman" w:cs="Times New Roman"/>
          <w:bCs/>
          <w:spacing w:val="-9"/>
          <w:sz w:val="28"/>
          <w:szCs w:val="28"/>
        </w:rPr>
        <w:t>工艺过程主要包括</w:t>
      </w:r>
      <w:r>
        <w:rPr>
          <w:rFonts w:ascii="Times New Roman" w:eastAsia="宋体" w:hAnsi="Times New Roman" w:cs="Times New Roman"/>
          <w:bCs/>
          <w:sz w:val="28"/>
          <w:szCs w:val="20"/>
        </w:rPr>
        <w:t>粉蒸发酵工序、蒸馏</w:t>
      </w:r>
      <w:r>
        <w:rPr>
          <w:rFonts w:ascii="Times New Roman" w:eastAsia="宋体" w:hAnsi="Times New Roman" w:cs="Times New Roman"/>
          <w:bCs/>
          <w:spacing w:val="-9"/>
          <w:sz w:val="28"/>
          <w:szCs w:val="28"/>
        </w:rPr>
        <w:t>等几道工序，本项目酒精生产线共有两套</w:t>
      </w:r>
      <w:r>
        <w:rPr>
          <w:rFonts w:ascii="Times New Roman" w:eastAsia="宋体" w:hAnsi="Times New Roman" w:cs="Times New Roman"/>
          <w:bCs/>
          <w:sz w:val="28"/>
          <w:szCs w:val="20"/>
        </w:rPr>
        <w:t>粉蒸发酵系统</w:t>
      </w:r>
      <w:r>
        <w:rPr>
          <w:rFonts w:ascii="Times New Roman" w:eastAsia="宋体" w:hAnsi="Times New Roman" w:cs="Times New Roman"/>
          <w:bCs/>
          <w:sz w:val="28"/>
          <w:szCs w:val="20"/>
        </w:rPr>
        <w:t>(</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w:t>
      </w:r>
      <w:r>
        <w:rPr>
          <w:rFonts w:ascii="Times New Roman" w:eastAsia="宋体" w:hAnsi="Times New Roman" w:cs="Times New Roman"/>
          <w:sz w:val="28"/>
          <w:szCs w:val="20"/>
        </w:rPr>
        <w:t>10</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bCs/>
          <w:sz w:val="28"/>
          <w:szCs w:val="20"/>
        </w:rPr>
        <w:t>)</w:t>
      </w:r>
      <w:r>
        <w:rPr>
          <w:rFonts w:ascii="Times New Roman" w:eastAsia="宋体" w:hAnsi="Times New Roman" w:cs="Times New Roman"/>
          <w:bCs/>
          <w:sz w:val="28"/>
          <w:szCs w:val="20"/>
        </w:rPr>
        <w:t>、</w:t>
      </w:r>
      <w:r>
        <w:rPr>
          <w:rFonts w:ascii="Times New Roman" w:eastAsia="宋体" w:hAnsi="Times New Roman" w:cs="Times New Roman"/>
          <w:bCs/>
          <w:spacing w:val="-9"/>
          <w:sz w:val="28"/>
          <w:szCs w:val="28"/>
        </w:rPr>
        <w:t>两套</w:t>
      </w:r>
      <w:r>
        <w:rPr>
          <w:rFonts w:ascii="Times New Roman" w:eastAsia="宋体" w:hAnsi="Times New Roman" w:cs="Times New Roman"/>
          <w:bCs/>
          <w:sz w:val="28"/>
          <w:szCs w:val="20"/>
        </w:rPr>
        <w:t>蒸馏系统</w:t>
      </w:r>
      <w:r>
        <w:rPr>
          <w:rFonts w:ascii="Times New Roman" w:eastAsia="宋体" w:hAnsi="Times New Roman" w:cs="Times New Roman"/>
          <w:bCs/>
          <w:sz w:val="28"/>
          <w:szCs w:val="20"/>
        </w:rPr>
        <w:t>(</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三塔精馏、</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两塔精馏</w:t>
      </w:r>
      <w:r>
        <w:rPr>
          <w:rFonts w:ascii="Times New Roman" w:eastAsia="宋体" w:hAnsi="Times New Roman" w:cs="Times New Roman"/>
          <w:sz w:val="28"/>
          <w:szCs w:val="20"/>
        </w:rPr>
        <w:t>)</w:t>
      </w:r>
      <w:r>
        <w:rPr>
          <w:rFonts w:ascii="Times New Roman" w:eastAsia="宋体" w:hAnsi="Times New Roman" w:cs="Times New Roman"/>
          <w:sz w:val="28"/>
          <w:szCs w:val="20"/>
        </w:rPr>
        <w:t>，采用两种生产模式，即</w:t>
      </w:r>
      <w:r>
        <w:rPr>
          <w:rFonts w:ascii="Times New Roman" w:eastAsia="宋体" w:hAnsi="Times New Roman" w:cs="Times New Roman"/>
          <w:sz w:val="28"/>
          <w:szCs w:val="20"/>
        </w:rPr>
        <w:t>10</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pacing w:val="-9"/>
          <w:sz w:val="28"/>
          <w:szCs w:val="28"/>
        </w:rPr>
        <w:t>酒精生产</w:t>
      </w:r>
      <w:r>
        <w:rPr>
          <w:rFonts w:ascii="Times New Roman" w:eastAsia="宋体" w:hAnsi="Times New Roman" w:cs="Times New Roman"/>
          <w:sz w:val="28"/>
          <w:szCs w:val="20"/>
        </w:rPr>
        <w:t>：</w:t>
      </w:r>
      <w:r>
        <w:rPr>
          <w:rFonts w:ascii="Times New Roman" w:eastAsia="宋体" w:hAnsi="Times New Roman" w:cs="Times New Roman"/>
          <w:sz w:val="28"/>
          <w:szCs w:val="20"/>
        </w:rPr>
        <w:t>10</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bCs/>
          <w:sz w:val="28"/>
          <w:szCs w:val="20"/>
        </w:rPr>
        <w:t>粉蒸发酵系统</w:t>
      </w:r>
      <w:r>
        <w:rPr>
          <w:rFonts w:ascii="Times New Roman" w:eastAsia="宋体" w:hAnsi="Times New Roman" w:cs="Times New Roman"/>
          <w:bCs/>
          <w:sz w:val="28"/>
          <w:szCs w:val="20"/>
        </w:rPr>
        <w:t>+</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三塔精馏及</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两塔精馏；</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pacing w:val="-9"/>
          <w:sz w:val="28"/>
          <w:szCs w:val="28"/>
        </w:rPr>
        <w:t>酒精生产：</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bCs/>
          <w:sz w:val="28"/>
          <w:szCs w:val="20"/>
        </w:rPr>
        <w:t>粉蒸发酵系统</w:t>
      </w:r>
      <w:r>
        <w:rPr>
          <w:rFonts w:ascii="Times New Roman" w:eastAsia="宋体" w:hAnsi="Times New Roman" w:cs="Times New Roman"/>
          <w:bCs/>
          <w:sz w:val="28"/>
          <w:szCs w:val="20"/>
        </w:rPr>
        <w:t>+</w:t>
      </w:r>
      <w:r>
        <w:rPr>
          <w:rFonts w:ascii="Times New Roman" w:eastAsia="宋体" w:hAnsi="Times New Roman" w:cs="Times New Roman"/>
          <w:sz w:val="28"/>
          <w:szCs w:val="20"/>
        </w:rPr>
        <w:t>5</w:t>
      </w:r>
      <w:r>
        <w:rPr>
          <w:rFonts w:ascii="Times New Roman" w:eastAsia="宋体" w:hAnsi="Times New Roman" w:cs="Times New Roman"/>
          <w:sz w:val="28"/>
          <w:szCs w:val="20"/>
        </w:rPr>
        <w:t>万</w:t>
      </w:r>
      <w:r>
        <w:rPr>
          <w:rFonts w:ascii="Times New Roman" w:eastAsia="宋体" w:hAnsi="Times New Roman" w:cs="Times New Roman"/>
          <w:sz w:val="28"/>
          <w:szCs w:val="20"/>
        </w:rPr>
        <w:t>t/a</w:t>
      </w:r>
      <w:r>
        <w:rPr>
          <w:rFonts w:ascii="Times New Roman" w:eastAsia="宋体" w:hAnsi="Times New Roman" w:cs="Times New Roman"/>
          <w:sz w:val="28"/>
          <w:szCs w:val="20"/>
        </w:rPr>
        <w:t>三塔精馏。</w:t>
      </w:r>
    </w:p>
    <w:p w14:paraId="74CBD04C" w14:textId="77777777" w:rsidR="002133E3" w:rsidRDefault="00C22CFA">
      <w:pPr>
        <w:tabs>
          <w:tab w:val="left" w:pos="1733"/>
          <w:tab w:val="left" w:pos="2520"/>
        </w:tabs>
        <w:snapToGrid w:val="0"/>
        <w:spacing w:line="500" w:lineRule="atLeast"/>
        <w:ind w:firstLineChars="200" w:firstLine="524"/>
        <w:rPr>
          <w:rFonts w:ascii="Times New Roman" w:eastAsia="宋体" w:hAnsi="Times New Roman" w:cs="Times New Roman"/>
          <w:bCs/>
          <w:spacing w:val="-9"/>
          <w:sz w:val="28"/>
          <w:szCs w:val="28"/>
        </w:rPr>
      </w:pPr>
      <w:r>
        <w:rPr>
          <w:rFonts w:ascii="Times New Roman" w:eastAsia="宋体" w:hAnsi="Times New Roman" w:cs="Times New Roman"/>
          <w:bCs/>
          <w:spacing w:val="-9"/>
          <w:sz w:val="28"/>
          <w:szCs w:val="28"/>
        </w:rPr>
        <w:t>酒精生产工艺流程及产污环节见图</w:t>
      </w:r>
      <w:r>
        <w:rPr>
          <w:rFonts w:ascii="Times New Roman" w:eastAsia="宋体" w:hAnsi="Times New Roman" w:cs="Times New Roman"/>
          <w:bCs/>
          <w:spacing w:val="-9"/>
          <w:sz w:val="28"/>
          <w:szCs w:val="28"/>
        </w:rPr>
        <w:t>4.2-1</w:t>
      </w:r>
      <w:r>
        <w:rPr>
          <w:rFonts w:ascii="Times New Roman" w:eastAsia="宋体" w:hAnsi="Times New Roman" w:cs="Times New Roman"/>
          <w:bCs/>
          <w:spacing w:val="-9"/>
          <w:sz w:val="28"/>
          <w:szCs w:val="28"/>
        </w:rPr>
        <w:t>。</w:t>
      </w:r>
    </w:p>
    <w:p w14:paraId="4A02EE0B" w14:textId="77777777" w:rsidR="002133E3" w:rsidRDefault="002133E3">
      <w:pPr>
        <w:tabs>
          <w:tab w:val="left" w:pos="1733"/>
          <w:tab w:val="left" w:pos="2520"/>
        </w:tabs>
        <w:snapToGrid w:val="0"/>
        <w:spacing w:line="500" w:lineRule="atLeast"/>
        <w:ind w:firstLineChars="200" w:firstLine="420"/>
        <w:rPr>
          <w:rFonts w:ascii="Times New Roman" w:eastAsia="宋体" w:hAnsi="Times New Roman" w:cs="Times New Roman"/>
        </w:rPr>
        <w:sectPr w:rsidR="002133E3">
          <w:pgSz w:w="11906" w:h="16838"/>
          <w:pgMar w:top="1134" w:right="1134" w:bottom="1134" w:left="1134" w:header="850" w:footer="992" w:gutter="0"/>
          <w:cols w:space="720"/>
          <w:docGrid w:linePitch="312"/>
        </w:sectPr>
      </w:pPr>
    </w:p>
    <w:p w14:paraId="6D72EE57" w14:textId="77777777" w:rsidR="002133E3" w:rsidRDefault="009F1FEF">
      <w:pPr>
        <w:tabs>
          <w:tab w:val="left" w:pos="1733"/>
          <w:tab w:val="left" w:pos="2520"/>
        </w:tabs>
        <w:snapToGrid w:val="0"/>
        <w:spacing w:line="500" w:lineRule="atLeast"/>
        <w:jc w:val="center"/>
        <w:rPr>
          <w:rFonts w:ascii="Times New Roman" w:eastAsia="宋体" w:hAnsi="Times New Roman" w:cs="Times New Roman"/>
          <w:sz w:val="28"/>
          <w:szCs w:val="20"/>
        </w:rPr>
      </w:pPr>
      <w:r>
        <w:rPr>
          <w:rFonts w:ascii="Times New Roman" w:eastAsia="宋体" w:hAnsi="Times New Roman" w:cs="Times New Roman"/>
        </w:rPr>
        <w:lastRenderedPageBreak/>
        <w:pict w14:anchorId="37B39BC6">
          <v:shape id="_x0000_i1045" type="#_x0000_t75" style="width:704pt;height:456.15pt">
            <v:imagedata r:id="rId48" o:title=""/>
          </v:shape>
        </w:pict>
      </w:r>
    </w:p>
    <w:p w14:paraId="448932D5" w14:textId="77777777" w:rsidR="002133E3" w:rsidRDefault="00C22CFA">
      <w:pPr>
        <w:tabs>
          <w:tab w:val="left" w:pos="1733"/>
          <w:tab w:val="left" w:pos="2520"/>
        </w:tabs>
        <w:snapToGrid w:val="0"/>
        <w:jc w:val="center"/>
        <w:rPr>
          <w:rFonts w:ascii="Times New Roman" w:eastAsia="宋体" w:hAnsi="Times New Roman" w:cs="Times New Roman"/>
          <w:b/>
          <w:bCs/>
          <w:spacing w:val="-9"/>
          <w:sz w:val="36"/>
          <w:szCs w:val="36"/>
        </w:rPr>
      </w:pPr>
      <w:r>
        <w:rPr>
          <w:rFonts w:ascii="Times New Roman" w:eastAsia="宋体" w:hAnsi="Times New Roman" w:cs="Times New Roman"/>
          <w:b/>
          <w:bCs/>
          <w:sz w:val="24"/>
          <w:szCs w:val="32"/>
        </w:rPr>
        <w:t>图</w:t>
      </w:r>
      <w:r>
        <w:rPr>
          <w:rFonts w:ascii="Times New Roman" w:eastAsia="宋体" w:hAnsi="Times New Roman" w:cs="Times New Roman"/>
          <w:b/>
          <w:bCs/>
          <w:sz w:val="24"/>
          <w:szCs w:val="32"/>
        </w:rPr>
        <w:t xml:space="preserve">4.2-1  </w:t>
      </w:r>
      <w:r>
        <w:rPr>
          <w:rFonts w:ascii="Times New Roman" w:eastAsia="宋体" w:hAnsi="Times New Roman" w:cs="Times New Roman"/>
          <w:b/>
          <w:bCs/>
          <w:sz w:val="24"/>
          <w:szCs w:val="32"/>
        </w:rPr>
        <w:t>酒精生产工艺流程及产污环节图</w:t>
      </w:r>
    </w:p>
    <w:p w14:paraId="5E6FEF71" w14:textId="77777777" w:rsidR="002133E3" w:rsidRDefault="002133E3">
      <w:pPr>
        <w:tabs>
          <w:tab w:val="left" w:pos="1733"/>
          <w:tab w:val="left" w:pos="2520"/>
        </w:tabs>
        <w:snapToGrid w:val="0"/>
        <w:spacing w:line="500" w:lineRule="atLeast"/>
        <w:ind w:firstLineChars="200" w:firstLine="560"/>
        <w:rPr>
          <w:rFonts w:ascii="Times New Roman" w:eastAsia="宋体" w:hAnsi="Times New Roman" w:cs="Times New Roman"/>
          <w:sz w:val="28"/>
          <w:szCs w:val="20"/>
        </w:rPr>
        <w:sectPr w:rsidR="002133E3">
          <w:pgSz w:w="16838" w:h="11906" w:orient="landscape"/>
          <w:pgMar w:top="1134" w:right="1134" w:bottom="1134" w:left="1134" w:header="851" w:footer="992" w:gutter="0"/>
          <w:cols w:space="720"/>
          <w:docGrid w:linePitch="312"/>
        </w:sectPr>
      </w:pPr>
    </w:p>
    <w:p w14:paraId="0741B418" w14:textId="77777777" w:rsidR="002133E3" w:rsidRDefault="00C22CFA">
      <w:pPr>
        <w:snapToGrid w:val="0"/>
        <w:spacing w:line="500" w:lineRule="atLeast"/>
        <w:ind w:firstLineChars="219" w:firstLine="616"/>
        <w:textAlignment w:val="baseline"/>
        <w:rPr>
          <w:rFonts w:ascii="Times New Roman" w:eastAsia="宋体" w:hAnsi="Times New Roman" w:cs="Times New Roman"/>
          <w:b/>
          <w:bCs/>
          <w:sz w:val="28"/>
          <w:szCs w:val="20"/>
        </w:rPr>
      </w:pPr>
      <w:r>
        <w:rPr>
          <w:rFonts w:ascii="宋体" w:eastAsia="宋体" w:hAnsi="宋体" w:cs="宋体" w:hint="eastAsia"/>
          <w:b/>
          <w:bCs/>
          <w:sz w:val="28"/>
          <w:szCs w:val="28"/>
        </w:rPr>
        <w:lastRenderedPageBreak/>
        <w:t>⑴</w:t>
      </w:r>
      <w:r>
        <w:rPr>
          <w:rFonts w:ascii="Times New Roman" w:eastAsia="宋体" w:hAnsi="Times New Roman" w:cs="Times New Roman"/>
          <w:b/>
          <w:bCs/>
          <w:sz w:val="28"/>
          <w:szCs w:val="28"/>
        </w:rPr>
        <w:t xml:space="preserve"> 10</w:t>
      </w:r>
      <w:r>
        <w:rPr>
          <w:rFonts w:ascii="Times New Roman" w:eastAsia="宋体" w:hAnsi="Times New Roman" w:cs="Times New Roman"/>
          <w:b/>
          <w:bCs/>
          <w:sz w:val="28"/>
          <w:szCs w:val="28"/>
        </w:rPr>
        <w:t>万</w:t>
      </w:r>
      <w:r>
        <w:rPr>
          <w:rFonts w:ascii="Times New Roman" w:eastAsia="宋体" w:hAnsi="Times New Roman" w:cs="Times New Roman"/>
          <w:b/>
          <w:bCs/>
          <w:sz w:val="28"/>
          <w:szCs w:val="28"/>
        </w:rPr>
        <w:t>t/a</w:t>
      </w:r>
      <w:r>
        <w:rPr>
          <w:rFonts w:ascii="Times New Roman" w:eastAsia="宋体" w:hAnsi="Times New Roman" w:cs="Times New Roman"/>
          <w:b/>
          <w:bCs/>
          <w:sz w:val="28"/>
          <w:szCs w:val="20"/>
        </w:rPr>
        <w:t>粉蒸发酵工序</w:t>
      </w:r>
    </w:p>
    <w:p w14:paraId="7EA6C1B9" w14:textId="77777777" w:rsidR="002133E3" w:rsidRDefault="00C22CFA">
      <w:pPr>
        <w:snapToGrid w:val="0"/>
        <w:spacing w:line="500" w:lineRule="atLeast"/>
        <w:ind w:firstLineChars="219" w:firstLine="616"/>
        <w:textAlignment w:val="baseline"/>
        <w:rPr>
          <w:rFonts w:ascii="Times New Roman" w:eastAsia="宋体" w:hAnsi="Times New Roman" w:cs="Times New Roman"/>
          <w:b/>
          <w:bCs/>
          <w:sz w:val="28"/>
          <w:szCs w:val="28"/>
        </w:rPr>
      </w:pPr>
      <w:r>
        <w:rPr>
          <w:rFonts w:ascii="宋体" w:eastAsia="宋体" w:hAnsi="宋体" w:cs="宋体" w:hint="eastAsia"/>
          <w:b/>
          <w:bCs/>
          <w:sz w:val="28"/>
          <w:szCs w:val="28"/>
        </w:rPr>
        <w:t>①</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粉碎</w:t>
      </w:r>
    </w:p>
    <w:p w14:paraId="5E62E192"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color w:val="000000"/>
          <w:sz w:val="28"/>
          <w:szCs w:val="28"/>
        </w:rPr>
        <w:t>木薯干运至料斗，由输送机经升料管送入粉碎机粉碎。粉料经由升料管、旋风分离器、闭风器进入料箱，送入拌浆罐，</w:t>
      </w:r>
      <w:r>
        <w:rPr>
          <w:rFonts w:ascii="Times New Roman" w:eastAsia="宋体" w:hAnsi="Times New Roman" w:cs="Times New Roman"/>
          <w:bCs/>
          <w:spacing w:val="-9"/>
          <w:sz w:val="28"/>
          <w:szCs w:val="28"/>
        </w:rPr>
        <w:t>按比例添加</w:t>
      </w:r>
      <w:r>
        <w:rPr>
          <w:rFonts w:ascii="Times New Roman" w:eastAsia="宋体" w:hAnsi="Times New Roman" w:cs="Times New Roman"/>
          <w:sz w:val="28"/>
          <w:szCs w:val="28"/>
        </w:rPr>
        <w:t>水及淀粉酶后进行拌料，调浆浓度</w:t>
      </w:r>
      <w:r>
        <w:rPr>
          <w:rFonts w:ascii="Times New Roman" w:eastAsia="宋体" w:hAnsi="Times New Roman" w:cs="Times New Roman"/>
          <w:sz w:val="28"/>
          <w:szCs w:val="28"/>
        </w:rPr>
        <w:t>22</w:t>
      </w:r>
      <w:r>
        <w:rPr>
          <w:rFonts w:ascii="Times New Roman" w:eastAsia="宋体" w:hAnsi="Times New Roman" w:cs="Times New Roman"/>
          <w:sz w:val="28"/>
          <w:szCs w:val="28"/>
        </w:rPr>
        <w:t>～</w:t>
      </w:r>
      <w:r>
        <w:rPr>
          <w:rFonts w:ascii="Times New Roman" w:eastAsia="宋体" w:hAnsi="Times New Roman" w:cs="Times New Roman"/>
          <w:sz w:val="28"/>
          <w:szCs w:val="28"/>
        </w:rPr>
        <w:t>25BX</w:t>
      </w:r>
      <w:r>
        <w:rPr>
          <w:rFonts w:ascii="Times New Roman" w:eastAsia="宋体" w:hAnsi="Times New Roman" w:cs="Times New Roman"/>
          <w:sz w:val="28"/>
          <w:szCs w:val="28"/>
        </w:rPr>
        <w:t>左右。</w:t>
      </w:r>
      <w:r>
        <w:rPr>
          <w:rFonts w:ascii="Times New Roman" w:eastAsia="宋体" w:hAnsi="Times New Roman" w:cs="Times New Roman"/>
          <w:bCs/>
          <w:kern w:val="0"/>
          <w:sz w:val="28"/>
          <w:szCs w:val="20"/>
        </w:rPr>
        <w:t>拌浆罐</w:t>
      </w:r>
      <w:r>
        <w:rPr>
          <w:rFonts w:ascii="Times New Roman" w:eastAsia="宋体" w:hAnsi="Times New Roman" w:cs="Times New Roman"/>
          <w:kern w:val="0"/>
          <w:sz w:val="28"/>
          <w:szCs w:val="20"/>
        </w:rPr>
        <w:t>的粉浆</w:t>
      </w:r>
      <w:r>
        <w:rPr>
          <w:rFonts w:ascii="Times New Roman" w:eastAsia="宋体" w:hAnsi="Times New Roman" w:cs="Times New Roman"/>
          <w:bCs/>
          <w:sz w:val="28"/>
          <w:szCs w:val="24"/>
        </w:rPr>
        <w:t>生料</w:t>
      </w:r>
      <w:r>
        <w:rPr>
          <w:rFonts w:ascii="Times New Roman" w:eastAsia="宋体" w:hAnsi="Times New Roman" w:cs="Times New Roman"/>
          <w:sz w:val="28"/>
          <w:szCs w:val="28"/>
        </w:rPr>
        <w:t>经旋流除砂器去除砂石等杂质后再次送入拌浆罐备用。</w:t>
      </w:r>
    </w:p>
    <w:p w14:paraId="1274988D"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rPr>
        <w:t>产污环节：粉碎工序产生含尘废气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，除杂工序产生杂质</w:t>
      </w:r>
      <w:r>
        <w:rPr>
          <w:rFonts w:ascii="Times New Roman" w:eastAsia="宋体" w:hAnsi="Times New Roman" w:cs="Times New Roman"/>
          <w:kern w:val="0"/>
          <w:sz w:val="28"/>
          <w:szCs w:val="28"/>
        </w:rPr>
        <w:t>(S</w:t>
      </w:r>
      <w:r>
        <w:rPr>
          <w:rFonts w:ascii="Times New Roman" w:eastAsia="宋体" w:hAnsi="Times New Roman" w:cs="Times New Roman"/>
          <w:kern w:val="0"/>
          <w:sz w:val="28"/>
          <w:szCs w:val="28"/>
          <w:vertAlign w:val="subscript"/>
        </w:rPr>
        <w:t>1-1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1E0D0C07" w14:textId="77777777" w:rsidR="002133E3" w:rsidRDefault="00C22CFA">
      <w:pPr>
        <w:tabs>
          <w:tab w:val="left" w:pos="1733"/>
        </w:tabs>
        <w:snapToGrid w:val="0"/>
        <w:spacing w:line="500" w:lineRule="atLeast"/>
        <w:ind w:firstLineChars="200" w:firstLine="562"/>
        <w:rPr>
          <w:rFonts w:ascii="Times New Roman" w:eastAsia="宋体" w:hAnsi="Times New Roman" w:cs="Times New Roman"/>
          <w:b/>
          <w:bCs/>
          <w:spacing w:val="-9"/>
          <w:sz w:val="28"/>
          <w:szCs w:val="28"/>
        </w:rPr>
      </w:pPr>
      <w:r>
        <w:rPr>
          <w:rFonts w:ascii="宋体" w:eastAsia="宋体" w:hAnsi="宋体" w:cs="宋体" w:hint="eastAsia"/>
          <w:b/>
          <w:bCs/>
          <w:sz w:val="28"/>
          <w:szCs w:val="28"/>
        </w:rPr>
        <w:t>②</w:t>
      </w:r>
      <w:r>
        <w:rPr>
          <w:rFonts w:ascii="Times New Roman" w:eastAsia="宋体" w:hAnsi="Times New Roman" w:cs="Times New Roman"/>
          <w:b/>
          <w:bCs/>
          <w:sz w:val="28"/>
          <w:szCs w:val="28"/>
        </w:rPr>
        <w:t xml:space="preserve"> </w:t>
      </w:r>
      <w:r>
        <w:rPr>
          <w:rFonts w:ascii="Times New Roman" w:eastAsia="宋体" w:hAnsi="Times New Roman" w:cs="Times New Roman"/>
          <w:b/>
          <w:bCs/>
          <w:spacing w:val="-9"/>
          <w:sz w:val="28"/>
          <w:szCs w:val="28"/>
        </w:rPr>
        <w:t>蒸煮</w:t>
      </w:r>
    </w:p>
    <w:p w14:paraId="759321DC"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color w:val="000000"/>
          <w:sz w:val="28"/>
          <w:szCs w:val="28"/>
        </w:rPr>
        <w:t>除砂后的</w:t>
      </w:r>
      <w:r>
        <w:rPr>
          <w:rFonts w:ascii="Times New Roman" w:eastAsia="宋体" w:hAnsi="Times New Roman" w:cs="Times New Roman"/>
          <w:kern w:val="0"/>
          <w:sz w:val="28"/>
          <w:szCs w:val="20"/>
        </w:rPr>
        <w:t>粉浆</w:t>
      </w:r>
      <w:r>
        <w:rPr>
          <w:rFonts w:ascii="Times New Roman" w:eastAsia="宋体" w:hAnsi="Times New Roman" w:cs="Times New Roman"/>
          <w:bCs/>
          <w:sz w:val="28"/>
          <w:szCs w:val="24"/>
        </w:rPr>
        <w:t>生料</w:t>
      </w:r>
      <w:r>
        <w:rPr>
          <w:rFonts w:ascii="Times New Roman" w:eastAsia="宋体" w:hAnsi="Times New Roman" w:cs="Times New Roman"/>
          <w:color w:val="000000"/>
          <w:sz w:val="28"/>
          <w:szCs w:val="28"/>
        </w:rPr>
        <w:t>与蒸煮柱熟料进行换热</w:t>
      </w:r>
      <w:r>
        <w:rPr>
          <w:rFonts w:ascii="Times New Roman" w:eastAsia="宋体" w:hAnsi="Times New Roman" w:cs="Times New Roman"/>
          <w:color w:val="000000"/>
          <w:sz w:val="28"/>
          <w:szCs w:val="28"/>
        </w:rPr>
        <w:t>(</w:t>
      </w:r>
      <w:r>
        <w:rPr>
          <w:rFonts w:ascii="Times New Roman" w:eastAsia="宋体" w:hAnsi="Times New Roman" w:cs="Times New Roman"/>
          <w:color w:val="000000"/>
          <w:kern w:val="0"/>
          <w:sz w:val="28"/>
          <w:szCs w:val="28"/>
        </w:rPr>
        <w:t>生熟料换热器</w:t>
      </w:r>
      <w:r>
        <w:rPr>
          <w:rFonts w:ascii="Times New Roman" w:eastAsia="宋体" w:hAnsi="Times New Roman" w:cs="Times New Roman"/>
          <w:color w:val="000000"/>
          <w:sz w:val="28"/>
          <w:szCs w:val="28"/>
        </w:rPr>
        <w:t>)</w:t>
      </w:r>
      <w:r>
        <w:rPr>
          <w:rFonts w:ascii="Times New Roman" w:eastAsia="宋体" w:hAnsi="Times New Roman" w:cs="Times New Roman"/>
          <w:color w:val="000000"/>
          <w:sz w:val="28"/>
          <w:szCs w:val="28"/>
        </w:rPr>
        <w:t>温度升至</w:t>
      </w:r>
      <w:r>
        <w:rPr>
          <w:rFonts w:ascii="Times New Roman" w:eastAsia="宋体" w:hAnsi="Times New Roman" w:cs="Times New Roman"/>
          <w:kern w:val="0"/>
          <w:sz w:val="28"/>
          <w:szCs w:val="20"/>
        </w:rPr>
        <w:t>55-60</w:t>
      </w:r>
      <w:r>
        <w:rPr>
          <w:rFonts w:ascii="宋体" w:eastAsia="宋体" w:hAnsi="宋体" w:cs="宋体" w:hint="eastAsia"/>
          <w:sz w:val="28"/>
          <w:szCs w:val="28"/>
        </w:rPr>
        <w:t>℃</w:t>
      </w:r>
      <w:r>
        <w:rPr>
          <w:rFonts w:ascii="Times New Roman" w:eastAsia="宋体" w:hAnsi="Times New Roman" w:cs="Times New Roman"/>
          <w:sz w:val="28"/>
          <w:szCs w:val="28"/>
        </w:rPr>
        <w:t>后，</w:t>
      </w:r>
      <w:r>
        <w:rPr>
          <w:rFonts w:ascii="Times New Roman" w:eastAsia="宋体" w:hAnsi="Times New Roman" w:cs="Times New Roman"/>
          <w:color w:val="000000"/>
          <w:sz w:val="28"/>
          <w:szCs w:val="28"/>
        </w:rPr>
        <w:t>送入液化罐在使用蒸汽维持温度</w:t>
      </w:r>
      <w:r>
        <w:rPr>
          <w:rFonts w:ascii="Times New Roman" w:eastAsia="宋体" w:hAnsi="Times New Roman" w:cs="Times New Roman"/>
          <w:color w:val="000000"/>
          <w:sz w:val="28"/>
          <w:szCs w:val="28"/>
        </w:rPr>
        <w:t>86</w:t>
      </w:r>
      <w:r>
        <w:rPr>
          <w:rFonts w:ascii="Times New Roman" w:eastAsia="宋体" w:hAnsi="Times New Roman" w:cs="Times New Roman"/>
          <w:sz w:val="28"/>
          <w:szCs w:val="28"/>
        </w:rPr>
        <w:t>～</w:t>
      </w:r>
      <w:r>
        <w:rPr>
          <w:rFonts w:ascii="Times New Roman" w:eastAsia="宋体" w:hAnsi="Times New Roman" w:cs="Times New Roman"/>
          <w:color w:val="000000"/>
          <w:sz w:val="28"/>
          <w:szCs w:val="28"/>
        </w:rPr>
        <w:t>95</w:t>
      </w:r>
      <w:r>
        <w:rPr>
          <w:rFonts w:ascii="宋体" w:eastAsia="宋体" w:hAnsi="宋体" w:cs="宋体" w:hint="eastAsia"/>
          <w:color w:val="000000"/>
          <w:sz w:val="28"/>
          <w:szCs w:val="28"/>
        </w:rPr>
        <w:t>℃</w:t>
      </w:r>
      <w:r>
        <w:rPr>
          <w:rFonts w:ascii="Times New Roman" w:eastAsia="宋体" w:hAnsi="Times New Roman" w:cs="Times New Roman"/>
          <w:color w:val="000000"/>
          <w:sz w:val="28"/>
          <w:szCs w:val="28"/>
        </w:rPr>
        <w:t>下液化</w:t>
      </w:r>
      <w:r>
        <w:rPr>
          <w:rFonts w:ascii="Times New Roman" w:eastAsia="宋体" w:hAnsi="Times New Roman" w:cs="Times New Roman"/>
          <w:kern w:val="0"/>
          <w:sz w:val="28"/>
          <w:szCs w:val="20"/>
        </w:rPr>
        <w:t>40min</w:t>
      </w:r>
      <w:r>
        <w:rPr>
          <w:rFonts w:ascii="Times New Roman" w:eastAsia="宋体" w:hAnsi="Times New Roman" w:cs="Times New Roman"/>
          <w:color w:val="000000"/>
          <w:sz w:val="28"/>
          <w:szCs w:val="28"/>
        </w:rPr>
        <w:t>，得到</w:t>
      </w:r>
      <w:r>
        <w:rPr>
          <w:rFonts w:ascii="Times New Roman" w:eastAsia="宋体" w:hAnsi="Times New Roman" w:cs="Times New Roman"/>
          <w:kern w:val="0"/>
          <w:sz w:val="28"/>
          <w:szCs w:val="20"/>
        </w:rPr>
        <w:t>液化醪</w:t>
      </w:r>
      <w:r>
        <w:rPr>
          <w:rFonts w:ascii="Times New Roman" w:eastAsia="宋体" w:hAnsi="Times New Roman" w:cs="Times New Roman"/>
          <w:sz w:val="28"/>
          <w:szCs w:val="28"/>
        </w:rPr>
        <w:t>。</w:t>
      </w:r>
    </w:p>
    <w:p w14:paraId="2886F367" w14:textId="77777777" w:rsidR="002133E3" w:rsidRDefault="00C22CFA">
      <w:pPr>
        <w:widowControl/>
        <w:snapToGrid w:val="0"/>
        <w:spacing w:line="500" w:lineRule="atLeast"/>
        <w:ind w:firstLineChars="200" w:firstLine="560"/>
        <w:rPr>
          <w:rFonts w:ascii="Times New Roman" w:eastAsia="宋体" w:hAnsi="Times New Roman" w:cs="Times New Roman"/>
          <w:color w:val="000000"/>
          <w:kern w:val="0"/>
          <w:sz w:val="28"/>
          <w:szCs w:val="28"/>
        </w:rPr>
      </w:pPr>
      <w:r>
        <w:rPr>
          <w:rFonts w:ascii="Times New Roman" w:eastAsia="宋体" w:hAnsi="Times New Roman" w:cs="Times New Roman"/>
          <w:kern w:val="0"/>
          <w:sz w:val="28"/>
          <w:szCs w:val="20"/>
        </w:rPr>
        <w:t>液化醪</w:t>
      </w:r>
      <w:r>
        <w:rPr>
          <w:rFonts w:ascii="Times New Roman" w:eastAsia="宋体" w:hAnsi="Times New Roman" w:cs="Times New Roman"/>
          <w:color w:val="000000"/>
          <w:kern w:val="0"/>
          <w:sz w:val="28"/>
          <w:szCs w:val="28"/>
        </w:rPr>
        <w:t>打入蒸煮喷射器与蒸汽充分混合加热，达到消毒温度</w:t>
      </w:r>
      <w:r>
        <w:rPr>
          <w:rFonts w:ascii="Times New Roman" w:eastAsia="宋体" w:hAnsi="Times New Roman" w:cs="Times New Roman"/>
          <w:kern w:val="0"/>
          <w:sz w:val="28"/>
          <w:szCs w:val="20"/>
        </w:rPr>
        <w:t>100</w:t>
      </w:r>
      <w:r>
        <w:rPr>
          <w:rFonts w:ascii="Times New Roman" w:eastAsia="宋体" w:hAnsi="Times New Roman" w:cs="Times New Roman"/>
          <w:sz w:val="28"/>
          <w:szCs w:val="28"/>
        </w:rPr>
        <w:t>～</w:t>
      </w:r>
      <w:r>
        <w:rPr>
          <w:rFonts w:ascii="Times New Roman" w:eastAsia="宋体" w:hAnsi="Times New Roman" w:cs="Times New Roman"/>
          <w:kern w:val="0"/>
          <w:sz w:val="28"/>
          <w:szCs w:val="20"/>
        </w:rPr>
        <w:t>105</w:t>
      </w:r>
      <w:r>
        <w:rPr>
          <w:rFonts w:ascii="宋体" w:eastAsia="宋体" w:hAnsi="宋体" w:cs="宋体" w:hint="eastAsia"/>
          <w:sz w:val="28"/>
          <w:szCs w:val="28"/>
        </w:rPr>
        <w:t>℃</w:t>
      </w:r>
      <w:r>
        <w:rPr>
          <w:rFonts w:ascii="Times New Roman" w:eastAsia="宋体" w:hAnsi="Times New Roman" w:cs="Times New Roman"/>
          <w:color w:val="000000"/>
          <w:kern w:val="0"/>
          <w:sz w:val="28"/>
          <w:szCs w:val="28"/>
        </w:rPr>
        <w:t>后进入蒸煮柱</w:t>
      </w:r>
      <w:r>
        <w:rPr>
          <w:rFonts w:ascii="Times New Roman" w:eastAsia="宋体" w:hAnsi="Times New Roman" w:cs="Times New Roman"/>
          <w:color w:val="000000"/>
          <w:kern w:val="0"/>
          <w:sz w:val="28"/>
          <w:szCs w:val="28"/>
        </w:rPr>
        <w:t>(1#</w:t>
      </w:r>
      <w:r>
        <w:rPr>
          <w:rFonts w:ascii="Times New Roman" w:eastAsia="宋体" w:hAnsi="Times New Roman" w:cs="Times New Roman"/>
          <w:sz w:val="28"/>
          <w:szCs w:val="28"/>
        </w:rPr>
        <w:t>～</w:t>
      </w:r>
      <w:r>
        <w:rPr>
          <w:rFonts w:ascii="Times New Roman" w:eastAsia="宋体" w:hAnsi="Times New Roman" w:cs="Times New Roman"/>
          <w:color w:val="000000"/>
          <w:kern w:val="0"/>
          <w:sz w:val="28"/>
          <w:szCs w:val="28"/>
        </w:rPr>
        <w:t>4#)</w:t>
      </w:r>
      <w:r>
        <w:rPr>
          <w:rFonts w:ascii="Times New Roman" w:eastAsia="宋体" w:hAnsi="Times New Roman" w:cs="Times New Roman"/>
          <w:color w:val="000000"/>
          <w:kern w:val="0"/>
          <w:sz w:val="28"/>
          <w:szCs w:val="28"/>
        </w:rPr>
        <w:t>蒸煮</w:t>
      </w:r>
      <w:r>
        <w:rPr>
          <w:rFonts w:ascii="Times New Roman" w:eastAsia="宋体" w:hAnsi="Times New Roman" w:cs="Times New Roman"/>
          <w:kern w:val="0"/>
          <w:sz w:val="28"/>
          <w:szCs w:val="20"/>
        </w:rPr>
        <w:t>2h</w:t>
      </w:r>
      <w:r>
        <w:rPr>
          <w:rFonts w:ascii="Times New Roman" w:eastAsia="宋体" w:hAnsi="Times New Roman" w:cs="Times New Roman"/>
          <w:color w:val="000000"/>
          <w:kern w:val="0"/>
          <w:sz w:val="28"/>
          <w:szCs w:val="28"/>
        </w:rPr>
        <w:t>，蒸煮后的</w:t>
      </w:r>
      <w:r>
        <w:rPr>
          <w:rFonts w:ascii="Times New Roman" w:eastAsia="宋体" w:hAnsi="Times New Roman" w:cs="Times New Roman"/>
          <w:kern w:val="0"/>
          <w:sz w:val="28"/>
          <w:szCs w:val="20"/>
        </w:rPr>
        <w:t>高温液化醪先</w:t>
      </w:r>
      <w:r>
        <w:rPr>
          <w:rFonts w:ascii="Times New Roman" w:eastAsia="宋体" w:hAnsi="Times New Roman" w:cs="Times New Roman"/>
          <w:color w:val="000000"/>
          <w:kern w:val="0"/>
          <w:sz w:val="28"/>
          <w:szCs w:val="28"/>
        </w:rPr>
        <w:t>经生熟料换热器温度降至</w:t>
      </w:r>
      <w:r>
        <w:rPr>
          <w:rFonts w:ascii="Times New Roman" w:eastAsia="宋体" w:hAnsi="Times New Roman" w:cs="Times New Roman"/>
          <w:color w:val="000000"/>
          <w:kern w:val="0"/>
          <w:sz w:val="28"/>
          <w:szCs w:val="28"/>
        </w:rPr>
        <w:t>65</w:t>
      </w:r>
      <w:r>
        <w:rPr>
          <w:rFonts w:ascii="Times New Roman" w:eastAsia="宋体" w:hAnsi="Times New Roman" w:cs="Times New Roman"/>
          <w:sz w:val="28"/>
          <w:szCs w:val="28"/>
        </w:rPr>
        <w:t>～</w:t>
      </w:r>
      <w:r>
        <w:rPr>
          <w:rFonts w:ascii="Times New Roman" w:eastAsia="宋体" w:hAnsi="Times New Roman" w:cs="Times New Roman"/>
          <w:color w:val="000000"/>
          <w:kern w:val="0"/>
          <w:sz w:val="28"/>
          <w:szCs w:val="28"/>
        </w:rPr>
        <w:t>66</w:t>
      </w:r>
      <w:r>
        <w:rPr>
          <w:rFonts w:ascii="宋体" w:eastAsia="宋体" w:hAnsi="宋体" w:cs="宋体" w:hint="eastAsia"/>
          <w:sz w:val="28"/>
          <w:szCs w:val="28"/>
        </w:rPr>
        <w:t>℃</w:t>
      </w:r>
      <w:r>
        <w:rPr>
          <w:rFonts w:ascii="Times New Roman" w:eastAsia="宋体" w:hAnsi="Times New Roman" w:cs="Times New Roman"/>
          <w:color w:val="000000"/>
          <w:kern w:val="0"/>
          <w:sz w:val="28"/>
          <w:szCs w:val="28"/>
        </w:rPr>
        <w:t>后，再经真空冷却器将</w:t>
      </w:r>
      <w:r>
        <w:rPr>
          <w:rFonts w:ascii="Times New Roman" w:eastAsia="宋体" w:hAnsi="Times New Roman" w:cs="Times New Roman"/>
          <w:kern w:val="0"/>
          <w:sz w:val="28"/>
          <w:szCs w:val="20"/>
        </w:rPr>
        <w:t>液化醪温度降至</w:t>
      </w:r>
      <w:r>
        <w:rPr>
          <w:rFonts w:ascii="Times New Roman" w:eastAsia="宋体" w:hAnsi="Times New Roman" w:cs="Times New Roman"/>
          <w:color w:val="000000"/>
          <w:kern w:val="0"/>
          <w:sz w:val="28"/>
          <w:szCs w:val="28"/>
        </w:rPr>
        <w:t>58</w:t>
      </w:r>
      <w:r>
        <w:rPr>
          <w:rFonts w:ascii="Times New Roman" w:eastAsia="宋体" w:hAnsi="Times New Roman" w:cs="Times New Roman"/>
          <w:sz w:val="28"/>
          <w:szCs w:val="28"/>
        </w:rPr>
        <w:t>～</w:t>
      </w:r>
      <w:r>
        <w:rPr>
          <w:rFonts w:ascii="Times New Roman" w:eastAsia="宋体" w:hAnsi="Times New Roman" w:cs="Times New Roman"/>
          <w:color w:val="000000"/>
          <w:kern w:val="0"/>
          <w:sz w:val="28"/>
          <w:szCs w:val="28"/>
        </w:rPr>
        <w:t>62</w:t>
      </w:r>
      <w:r>
        <w:rPr>
          <w:rFonts w:ascii="宋体" w:eastAsia="宋体" w:hAnsi="宋体" w:cs="宋体" w:hint="eastAsia"/>
          <w:sz w:val="28"/>
          <w:szCs w:val="28"/>
        </w:rPr>
        <w:t>℃</w:t>
      </w:r>
      <w:r>
        <w:rPr>
          <w:rFonts w:ascii="Times New Roman" w:eastAsia="宋体" w:hAnsi="Times New Roman" w:cs="Times New Roman"/>
          <w:color w:val="000000"/>
          <w:kern w:val="0"/>
          <w:sz w:val="28"/>
          <w:szCs w:val="28"/>
        </w:rPr>
        <w:t>后送入糖化罐。</w:t>
      </w:r>
    </w:p>
    <w:p w14:paraId="5C348145" w14:textId="77777777" w:rsidR="002133E3" w:rsidRDefault="00C22CFA">
      <w:pPr>
        <w:tabs>
          <w:tab w:val="left" w:pos="1733"/>
        </w:tabs>
        <w:snapToGrid w:val="0"/>
        <w:spacing w:line="500" w:lineRule="atLeast"/>
        <w:ind w:firstLineChars="200" w:firstLine="562"/>
        <w:rPr>
          <w:rFonts w:ascii="Times New Roman" w:eastAsia="宋体" w:hAnsi="Times New Roman" w:cs="Times New Roman"/>
          <w:b/>
          <w:spacing w:val="-9"/>
          <w:sz w:val="28"/>
          <w:szCs w:val="28"/>
        </w:rPr>
      </w:pPr>
      <w:r>
        <w:rPr>
          <w:rFonts w:ascii="宋体" w:eastAsia="宋体" w:hAnsi="宋体" w:cs="宋体" w:hint="eastAsia"/>
          <w:b/>
          <w:bCs/>
          <w:sz w:val="28"/>
          <w:szCs w:val="28"/>
        </w:rPr>
        <w:t>③</w:t>
      </w:r>
      <w:r>
        <w:rPr>
          <w:rFonts w:ascii="Times New Roman" w:eastAsia="宋体" w:hAnsi="Times New Roman" w:cs="Times New Roman"/>
          <w:b/>
          <w:bCs/>
          <w:sz w:val="28"/>
          <w:szCs w:val="28"/>
        </w:rPr>
        <w:t xml:space="preserve"> </w:t>
      </w:r>
      <w:r>
        <w:rPr>
          <w:rFonts w:ascii="Times New Roman" w:eastAsia="宋体" w:hAnsi="Times New Roman" w:cs="Times New Roman"/>
          <w:b/>
          <w:spacing w:val="-9"/>
          <w:sz w:val="28"/>
          <w:szCs w:val="28"/>
        </w:rPr>
        <w:t>糖化</w:t>
      </w:r>
    </w:p>
    <w:p w14:paraId="65501F83" w14:textId="1028C846" w:rsidR="002133E3" w:rsidRDefault="00C22CFA">
      <w:pPr>
        <w:tabs>
          <w:tab w:val="left" w:pos="480"/>
        </w:tabs>
        <w:adjustRightInd w:val="0"/>
        <w:snapToGrid w:val="0"/>
        <w:spacing w:line="500" w:lineRule="atLeast"/>
        <w:ind w:firstLine="560"/>
        <w:textAlignment w:val="baseline"/>
        <w:rPr>
          <w:rFonts w:ascii="Times New Roman" w:eastAsia="宋体" w:hAnsi="Times New Roman" w:cs="Times New Roman"/>
          <w:bCs/>
          <w:kern w:val="0"/>
          <w:sz w:val="28"/>
          <w:szCs w:val="20"/>
        </w:rPr>
      </w:pPr>
      <w:r>
        <w:rPr>
          <w:rFonts w:ascii="Times New Roman" w:eastAsia="宋体" w:hAnsi="Times New Roman" w:cs="Times New Roman"/>
          <w:bCs/>
          <w:kern w:val="0"/>
          <w:sz w:val="28"/>
          <w:szCs w:val="20"/>
        </w:rPr>
        <w:t>按一定的比例向</w:t>
      </w:r>
      <w:r>
        <w:rPr>
          <w:rFonts w:ascii="Times New Roman" w:eastAsia="宋体" w:hAnsi="Times New Roman" w:cs="Times New Roman"/>
          <w:kern w:val="0"/>
          <w:sz w:val="28"/>
          <w:szCs w:val="20"/>
        </w:rPr>
        <w:t>糖化罐内</w:t>
      </w:r>
      <w:r>
        <w:rPr>
          <w:rFonts w:ascii="Times New Roman" w:eastAsia="宋体" w:hAnsi="Times New Roman" w:cs="Times New Roman"/>
          <w:bCs/>
          <w:kern w:val="0"/>
          <w:sz w:val="28"/>
          <w:szCs w:val="20"/>
        </w:rPr>
        <w:t>连续加入</w:t>
      </w:r>
      <w:r>
        <w:rPr>
          <w:rFonts w:ascii="Times New Roman" w:eastAsia="宋体" w:hAnsi="Times New Roman" w:cs="Times New Roman"/>
          <w:color w:val="000000"/>
          <w:sz w:val="28"/>
          <w:szCs w:val="28"/>
        </w:rPr>
        <w:t>糖化剂</w:t>
      </w:r>
      <w:r>
        <w:rPr>
          <w:rFonts w:ascii="Times New Roman" w:eastAsia="宋体" w:hAnsi="Times New Roman" w:cs="Times New Roman"/>
          <w:color w:val="000000"/>
          <w:sz w:val="28"/>
          <w:szCs w:val="28"/>
        </w:rPr>
        <w:t>(</w:t>
      </w:r>
      <w:r>
        <w:rPr>
          <w:rFonts w:ascii="Times New Roman" w:eastAsia="宋体" w:hAnsi="Times New Roman" w:cs="Times New Roman"/>
          <w:bCs/>
          <w:kern w:val="0"/>
          <w:sz w:val="28"/>
          <w:szCs w:val="20"/>
        </w:rPr>
        <w:t>糖化酶、尿酸</w:t>
      </w:r>
      <w:r w:rsidR="009C2E4E">
        <w:rPr>
          <w:rFonts w:ascii="Times New Roman" w:eastAsia="宋体" w:hAnsi="Times New Roman" w:cs="Times New Roman"/>
          <w:bCs/>
          <w:kern w:val="0"/>
          <w:sz w:val="28"/>
          <w:szCs w:val="20"/>
        </w:rPr>
        <w:t>及</w:t>
      </w:r>
      <w:r>
        <w:rPr>
          <w:rFonts w:ascii="Times New Roman" w:eastAsia="宋体" w:hAnsi="Times New Roman" w:cs="Times New Roman"/>
          <w:bCs/>
          <w:kern w:val="0"/>
          <w:sz w:val="28"/>
          <w:szCs w:val="20"/>
        </w:rPr>
        <w:t>硫酸</w:t>
      </w:r>
      <w:r>
        <w:rPr>
          <w:rFonts w:ascii="Times New Roman" w:eastAsia="宋体" w:hAnsi="Times New Roman" w:cs="Times New Roman"/>
          <w:color w:val="000000"/>
          <w:sz w:val="28"/>
          <w:szCs w:val="28"/>
        </w:rPr>
        <w:t>)</w:t>
      </w:r>
      <w:r>
        <w:rPr>
          <w:rFonts w:ascii="Times New Roman" w:eastAsia="宋体" w:hAnsi="Times New Roman" w:cs="Times New Roman"/>
          <w:bCs/>
          <w:kern w:val="0"/>
          <w:sz w:val="28"/>
          <w:szCs w:val="20"/>
        </w:rPr>
        <w:t>进行糖化，利用膜式塔换热系统将糖化温度控制在</w:t>
      </w:r>
      <w:r>
        <w:rPr>
          <w:rFonts w:ascii="Times New Roman" w:eastAsia="宋体" w:hAnsi="Times New Roman" w:cs="Times New Roman"/>
          <w:bCs/>
          <w:kern w:val="0"/>
          <w:sz w:val="28"/>
          <w:szCs w:val="20"/>
        </w:rPr>
        <w:t>58-62</w:t>
      </w:r>
      <w:r>
        <w:rPr>
          <w:rFonts w:ascii="宋体" w:eastAsia="宋体" w:hAnsi="宋体" w:cs="宋体" w:hint="eastAsia"/>
          <w:bCs/>
          <w:kern w:val="0"/>
          <w:sz w:val="28"/>
          <w:szCs w:val="20"/>
        </w:rPr>
        <w:t>℃</w:t>
      </w:r>
      <w:r>
        <w:rPr>
          <w:rFonts w:ascii="Times New Roman" w:eastAsia="宋体" w:hAnsi="Times New Roman" w:cs="Times New Roman"/>
          <w:bCs/>
          <w:kern w:val="0"/>
          <w:sz w:val="28"/>
          <w:szCs w:val="20"/>
        </w:rPr>
        <w:t>左右，糖化时间</w:t>
      </w:r>
      <w:r>
        <w:rPr>
          <w:rFonts w:ascii="Times New Roman" w:eastAsia="宋体" w:hAnsi="Times New Roman" w:cs="Times New Roman"/>
          <w:bCs/>
          <w:kern w:val="0"/>
          <w:sz w:val="28"/>
          <w:szCs w:val="20"/>
        </w:rPr>
        <w:t>30</w:t>
      </w:r>
      <w:r>
        <w:rPr>
          <w:rFonts w:ascii="Times New Roman" w:eastAsia="宋体" w:hAnsi="Times New Roman" w:cs="Times New Roman"/>
          <w:kern w:val="0"/>
          <w:sz w:val="28"/>
          <w:szCs w:val="20"/>
        </w:rPr>
        <w:t>min</w:t>
      </w:r>
      <w:r>
        <w:rPr>
          <w:rFonts w:ascii="Times New Roman" w:eastAsia="宋体" w:hAnsi="Times New Roman" w:cs="Times New Roman"/>
          <w:bCs/>
          <w:kern w:val="0"/>
          <w:sz w:val="28"/>
          <w:szCs w:val="20"/>
        </w:rPr>
        <w:t>，糖化率约</w:t>
      </w:r>
      <w:r>
        <w:rPr>
          <w:rFonts w:ascii="Times New Roman" w:eastAsia="宋体" w:hAnsi="Times New Roman" w:cs="Times New Roman"/>
          <w:bCs/>
          <w:kern w:val="0"/>
          <w:sz w:val="28"/>
          <w:szCs w:val="20"/>
        </w:rPr>
        <w:t>45</w:t>
      </w:r>
      <w:r>
        <w:rPr>
          <w:rFonts w:ascii="Times New Roman" w:eastAsia="宋体" w:hAnsi="Times New Roman" w:cs="Times New Roman"/>
          <w:sz w:val="28"/>
          <w:szCs w:val="28"/>
        </w:rPr>
        <w:t>～</w:t>
      </w:r>
      <w:r>
        <w:rPr>
          <w:rFonts w:ascii="Times New Roman" w:eastAsia="宋体" w:hAnsi="Times New Roman" w:cs="Times New Roman"/>
          <w:bCs/>
          <w:kern w:val="0"/>
          <w:sz w:val="28"/>
          <w:szCs w:val="20"/>
        </w:rPr>
        <w:t>60%</w:t>
      </w:r>
      <w:r>
        <w:rPr>
          <w:rFonts w:ascii="Times New Roman" w:eastAsia="宋体" w:hAnsi="Times New Roman" w:cs="Times New Roman"/>
          <w:bCs/>
          <w:kern w:val="0"/>
          <w:sz w:val="28"/>
          <w:szCs w:val="20"/>
        </w:rPr>
        <w:t>，</w:t>
      </w:r>
      <w:r>
        <w:rPr>
          <w:rFonts w:ascii="Times New Roman" w:eastAsia="宋体" w:hAnsi="Times New Roman" w:cs="Times New Roman"/>
          <w:sz w:val="28"/>
          <w:szCs w:val="28"/>
        </w:rPr>
        <w:t>DE</w:t>
      </w:r>
      <w:r>
        <w:rPr>
          <w:rFonts w:ascii="Times New Roman" w:eastAsia="宋体" w:hAnsi="Times New Roman" w:cs="Times New Roman"/>
          <w:sz w:val="28"/>
          <w:szCs w:val="28"/>
        </w:rPr>
        <w:t>值达到</w:t>
      </w:r>
      <w:r>
        <w:rPr>
          <w:rFonts w:ascii="Times New Roman" w:eastAsia="宋体" w:hAnsi="Times New Roman" w:cs="Times New Roman"/>
          <w:sz w:val="28"/>
          <w:szCs w:val="28"/>
        </w:rPr>
        <w:t>20</w:t>
      </w:r>
      <w:r>
        <w:rPr>
          <w:rFonts w:ascii="Times New Roman" w:eastAsia="宋体" w:hAnsi="Times New Roman" w:cs="Times New Roman"/>
          <w:sz w:val="28"/>
          <w:szCs w:val="28"/>
        </w:rPr>
        <w:t>％，</w:t>
      </w:r>
      <w:r>
        <w:rPr>
          <w:rFonts w:ascii="Times New Roman" w:eastAsia="宋体" w:hAnsi="Times New Roman" w:cs="Times New Roman"/>
          <w:bCs/>
          <w:kern w:val="0"/>
          <w:sz w:val="28"/>
          <w:szCs w:val="20"/>
        </w:rPr>
        <w:t>用糖化泵将糖化醪经换热器</w:t>
      </w:r>
      <w:r>
        <w:rPr>
          <w:rFonts w:ascii="Times New Roman" w:eastAsia="宋体" w:hAnsi="Times New Roman" w:cs="Times New Roman"/>
          <w:bCs/>
          <w:kern w:val="0"/>
          <w:sz w:val="28"/>
          <w:szCs w:val="20"/>
        </w:rPr>
        <w:t>(</w:t>
      </w:r>
      <w:r>
        <w:rPr>
          <w:rFonts w:ascii="Times New Roman" w:eastAsia="宋体" w:hAnsi="Times New Roman" w:cs="Times New Roman"/>
          <w:bCs/>
          <w:kern w:val="0"/>
          <w:sz w:val="28"/>
          <w:szCs w:val="20"/>
        </w:rPr>
        <w:t>发酵入料宽通道板式换热器</w:t>
      </w:r>
      <w:r>
        <w:rPr>
          <w:rFonts w:ascii="Times New Roman" w:eastAsia="宋体" w:hAnsi="Times New Roman" w:cs="Times New Roman"/>
          <w:bCs/>
          <w:kern w:val="0"/>
          <w:sz w:val="28"/>
          <w:szCs w:val="20"/>
        </w:rPr>
        <w:t>)</w:t>
      </w:r>
      <w:r>
        <w:rPr>
          <w:rFonts w:ascii="Times New Roman" w:eastAsia="宋体" w:hAnsi="Times New Roman" w:cs="Times New Roman"/>
          <w:bCs/>
          <w:kern w:val="0"/>
          <w:sz w:val="28"/>
          <w:szCs w:val="20"/>
        </w:rPr>
        <w:t>冷却至</w:t>
      </w:r>
      <w:r>
        <w:rPr>
          <w:rFonts w:ascii="Times New Roman" w:eastAsia="宋体" w:hAnsi="Times New Roman" w:cs="Times New Roman"/>
          <w:kern w:val="0"/>
          <w:sz w:val="28"/>
          <w:szCs w:val="20"/>
        </w:rPr>
        <w:t>28-30</w:t>
      </w:r>
      <w:r>
        <w:rPr>
          <w:rFonts w:ascii="宋体" w:eastAsia="宋体" w:hAnsi="宋体" w:cs="宋体" w:hint="eastAsia"/>
          <w:sz w:val="28"/>
          <w:szCs w:val="28"/>
        </w:rPr>
        <w:t>℃</w:t>
      </w:r>
      <w:r>
        <w:rPr>
          <w:rFonts w:ascii="Times New Roman" w:eastAsia="宋体" w:hAnsi="Times New Roman" w:cs="Times New Roman"/>
          <w:bCs/>
          <w:kern w:val="0"/>
          <w:sz w:val="28"/>
          <w:szCs w:val="20"/>
        </w:rPr>
        <w:t>后送到发酵工序。</w:t>
      </w:r>
    </w:p>
    <w:p w14:paraId="4DD5D090" w14:textId="77777777" w:rsidR="002133E3" w:rsidRDefault="00C22CFA">
      <w:pPr>
        <w:tabs>
          <w:tab w:val="left" w:pos="1733"/>
        </w:tabs>
        <w:snapToGrid w:val="0"/>
        <w:spacing w:line="500" w:lineRule="atLeast"/>
        <w:ind w:firstLineChars="200" w:firstLine="562"/>
        <w:rPr>
          <w:rFonts w:ascii="Times New Roman" w:eastAsia="宋体" w:hAnsi="Times New Roman" w:cs="Times New Roman"/>
          <w:b/>
          <w:spacing w:val="-9"/>
          <w:sz w:val="28"/>
          <w:szCs w:val="28"/>
        </w:rPr>
      </w:pPr>
      <w:r>
        <w:rPr>
          <w:rFonts w:ascii="宋体" w:eastAsia="宋体" w:hAnsi="宋体" w:cs="宋体" w:hint="eastAsia"/>
          <w:b/>
          <w:bCs/>
          <w:sz w:val="28"/>
          <w:szCs w:val="28"/>
        </w:rPr>
        <w:t>④</w:t>
      </w:r>
      <w:r>
        <w:rPr>
          <w:rFonts w:ascii="Times New Roman" w:eastAsia="宋体" w:hAnsi="Times New Roman" w:cs="Times New Roman"/>
          <w:b/>
          <w:bCs/>
          <w:sz w:val="28"/>
          <w:szCs w:val="28"/>
        </w:rPr>
        <w:t xml:space="preserve"> </w:t>
      </w:r>
      <w:r>
        <w:rPr>
          <w:rFonts w:ascii="Times New Roman" w:eastAsia="宋体" w:hAnsi="Times New Roman" w:cs="Times New Roman"/>
          <w:b/>
          <w:spacing w:val="-9"/>
          <w:sz w:val="28"/>
          <w:szCs w:val="28"/>
        </w:rPr>
        <w:t>发酵</w:t>
      </w:r>
    </w:p>
    <w:p w14:paraId="1EAEF457" w14:textId="77777777" w:rsidR="002133E3" w:rsidRDefault="00C22CFA">
      <w:pPr>
        <w:adjustRightInd w:val="0"/>
        <w:snapToGrid w:val="0"/>
        <w:spacing w:line="500" w:lineRule="atLeast"/>
        <w:ind w:firstLine="570"/>
        <w:textAlignment w:val="baseline"/>
        <w:rPr>
          <w:rFonts w:ascii="Times New Roman" w:eastAsia="宋体" w:hAnsi="Times New Roman" w:cs="Times New Roman"/>
          <w:bCs/>
          <w:kern w:val="0"/>
          <w:sz w:val="28"/>
          <w:szCs w:val="20"/>
        </w:rPr>
      </w:pPr>
      <w:r>
        <w:rPr>
          <w:rFonts w:ascii="Times New Roman" w:eastAsia="宋体" w:hAnsi="Times New Roman" w:cs="Times New Roman"/>
          <w:kern w:val="0"/>
          <w:sz w:val="28"/>
          <w:szCs w:val="28"/>
        </w:rPr>
        <w:t>在营养盐罐内注入水后，投加尿酸和磷酸一铵进行搅拌配置营养盐。干酵母需在酵母活化罐内</w:t>
      </w:r>
      <w:r>
        <w:rPr>
          <w:rFonts w:ascii="Times New Roman" w:eastAsia="宋体" w:hAnsi="Times New Roman" w:cs="Times New Roman"/>
          <w:kern w:val="0"/>
          <w:sz w:val="28"/>
          <w:szCs w:val="28"/>
        </w:rPr>
        <w:t>36</w:t>
      </w:r>
      <w:r>
        <w:rPr>
          <w:rFonts w:ascii="宋体" w:eastAsia="宋体" w:hAnsi="宋体" w:cs="宋体" w:hint="eastAsia"/>
          <w:bCs/>
          <w:kern w:val="0"/>
          <w:sz w:val="28"/>
          <w:szCs w:val="20"/>
        </w:rPr>
        <w:t>℃</w:t>
      </w:r>
      <w:r>
        <w:rPr>
          <w:rFonts w:ascii="Times New Roman" w:eastAsia="宋体" w:hAnsi="Times New Roman" w:cs="Times New Roman"/>
          <w:bCs/>
          <w:kern w:val="0"/>
          <w:sz w:val="28"/>
          <w:szCs w:val="20"/>
        </w:rPr>
        <w:t>下活化</w:t>
      </w:r>
      <w:r>
        <w:rPr>
          <w:rFonts w:ascii="Times New Roman" w:eastAsia="宋体" w:hAnsi="Times New Roman" w:cs="Times New Roman"/>
          <w:bCs/>
          <w:kern w:val="0"/>
          <w:sz w:val="28"/>
          <w:szCs w:val="20"/>
        </w:rPr>
        <w:t>20min</w:t>
      </w:r>
      <w:r>
        <w:rPr>
          <w:rFonts w:ascii="Times New Roman" w:eastAsia="宋体" w:hAnsi="Times New Roman" w:cs="Times New Roman"/>
          <w:bCs/>
          <w:kern w:val="0"/>
          <w:sz w:val="28"/>
          <w:szCs w:val="20"/>
        </w:rPr>
        <w:t>。</w:t>
      </w:r>
    </w:p>
    <w:p w14:paraId="38E060C8" w14:textId="77777777" w:rsidR="002133E3" w:rsidRDefault="00C22CFA">
      <w:pPr>
        <w:adjustRightInd w:val="0"/>
        <w:snapToGrid w:val="0"/>
        <w:spacing w:line="500" w:lineRule="atLeast"/>
        <w:ind w:firstLine="570"/>
        <w:textAlignment w:val="baseline"/>
        <w:rPr>
          <w:rFonts w:ascii="Times New Roman" w:eastAsia="宋体" w:hAnsi="Times New Roman" w:cs="Times New Roman"/>
          <w:bCs/>
          <w:spacing w:val="-9"/>
          <w:sz w:val="28"/>
          <w:szCs w:val="28"/>
        </w:rPr>
      </w:pPr>
      <w:r>
        <w:rPr>
          <w:rFonts w:ascii="Times New Roman" w:eastAsia="宋体" w:hAnsi="Times New Roman" w:cs="Times New Roman"/>
          <w:bCs/>
          <w:spacing w:val="-9"/>
          <w:sz w:val="28"/>
          <w:szCs w:val="28"/>
        </w:rPr>
        <w:t>糖化醪经</w:t>
      </w:r>
      <w:r>
        <w:rPr>
          <w:rFonts w:ascii="Times New Roman" w:eastAsia="宋体" w:hAnsi="Times New Roman" w:cs="Times New Roman"/>
          <w:bCs/>
          <w:kern w:val="0"/>
          <w:sz w:val="28"/>
          <w:szCs w:val="20"/>
        </w:rPr>
        <w:t>换热器</w:t>
      </w:r>
      <w:r>
        <w:rPr>
          <w:rFonts w:ascii="Times New Roman" w:eastAsia="宋体" w:hAnsi="Times New Roman" w:cs="Times New Roman"/>
          <w:bCs/>
          <w:spacing w:val="-9"/>
          <w:sz w:val="28"/>
          <w:szCs w:val="28"/>
        </w:rPr>
        <w:t>冷却后送入</w:t>
      </w:r>
      <w:r>
        <w:rPr>
          <w:rFonts w:ascii="Times New Roman" w:eastAsia="宋体" w:hAnsi="Times New Roman" w:cs="Times New Roman"/>
          <w:kern w:val="0"/>
          <w:sz w:val="28"/>
          <w:szCs w:val="28"/>
        </w:rPr>
        <w:t>酒母罐</w:t>
      </w:r>
      <w:r>
        <w:rPr>
          <w:rFonts w:ascii="Times New Roman" w:eastAsia="宋体" w:hAnsi="Times New Roman" w:cs="Times New Roman"/>
          <w:bCs/>
          <w:spacing w:val="-9"/>
          <w:sz w:val="28"/>
          <w:szCs w:val="28"/>
        </w:rPr>
        <w:t>，投加活化酵母及营养盐，</w:t>
      </w:r>
      <w:r>
        <w:rPr>
          <w:rFonts w:ascii="Times New Roman" w:eastAsia="宋体" w:hAnsi="Times New Roman" w:cs="Times New Roman"/>
          <w:kern w:val="0"/>
          <w:sz w:val="28"/>
          <w:szCs w:val="20"/>
        </w:rPr>
        <w:t>29.5</w:t>
      </w:r>
      <w:r>
        <w:rPr>
          <w:rFonts w:ascii="Times New Roman" w:eastAsia="宋体" w:hAnsi="Times New Roman" w:cs="Times New Roman"/>
          <w:sz w:val="28"/>
          <w:szCs w:val="28"/>
        </w:rPr>
        <w:t>～</w:t>
      </w:r>
      <w:r>
        <w:rPr>
          <w:rFonts w:ascii="Times New Roman" w:eastAsia="宋体" w:hAnsi="Times New Roman" w:cs="Times New Roman"/>
          <w:kern w:val="0"/>
          <w:sz w:val="28"/>
          <w:szCs w:val="20"/>
        </w:rPr>
        <w:t>31</w:t>
      </w:r>
      <w:r>
        <w:rPr>
          <w:rFonts w:ascii="宋体" w:eastAsia="宋体" w:hAnsi="宋体" w:cs="宋体" w:hint="eastAsia"/>
          <w:sz w:val="28"/>
          <w:szCs w:val="28"/>
        </w:rPr>
        <w:t>℃</w:t>
      </w:r>
      <w:r>
        <w:rPr>
          <w:rFonts w:ascii="Times New Roman" w:eastAsia="宋体" w:hAnsi="Times New Roman" w:cs="Times New Roman"/>
          <w:sz w:val="28"/>
          <w:szCs w:val="28"/>
        </w:rPr>
        <w:t>下</w:t>
      </w:r>
      <w:r>
        <w:rPr>
          <w:rFonts w:ascii="Times New Roman" w:eastAsia="宋体" w:hAnsi="Times New Roman" w:cs="Times New Roman"/>
          <w:kern w:val="0"/>
          <w:sz w:val="28"/>
          <w:szCs w:val="28"/>
        </w:rPr>
        <w:t>扩培</w:t>
      </w:r>
      <w:r>
        <w:rPr>
          <w:rFonts w:ascii="Times New Roman" w:eastAsia="宋体" w:hAnsi="Times New Roman" w:cs="Times New Roman"/>
          <w:kern w:val="0"/>
          <w:sz w:val="28"/>
          <w:szCs w:val="28"/>
        </w:rPr>
        <w:t>8</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10h</w:t>
      </w:r>
      <w:r>
        <w:rPr>
          <w:rFonts w:ascii="Times New Roman" w:eastAsia="宋体" w:hAnsi="Times New Roman" w:cs="Times New Roman"/>
          <w:kern w:val="0"/>
          <w:sz w:val="28"/>
          <w:szCs w:val="28"/>
        </w:rPr>
        <w:t>得</w:t>
      </w:r>
      <w:r>
        <w:rPr>
          <w:rFonts w:ascii="Times New Roman" w:eastAsia="宋体" w:hAnsi="Times New Roman" w:cs="Times New Roman"/>
          <w:bCs/>
          <w:kern w:val="0"/>
          <w:sz w:val="28"/>
          <w:szCs w:val="20"/>
        </w:rPr>
        <w:t>成熟酒母</w:t>
      </w:r>
      <w:r>
        <w:rPr>
          <w:rFonts w:ascii="Times New Roman" w:eastAsia="宋体" w:hAnsi="Times New Roman" w:cs="Times New Roman"/>
          <w:kern w:val="0"/>
          <w:sz w:val="28"/>
          <w:szCs w:val="28"/>
        </w:rPr>
        <w:t>。</w:t>
      </w:r>
    </w:p>
    <w:p w14:paraId="12EDB4D2" w14:textId="77777777" w:rsidR="002133E3" w:rsidRDefault="00C22CFA">
      <w:pPr>
        <w:adjustRightInd w:val="0"/>
        <w:snapToGrid w:val="0"/>
        <w:spacing w:line="500" w:lineRule="atLeast"/>
        <w:ind w:firstLine="570"/>
        <w:textAlignment w:val="baseline"/>
        <w:rPr>
          <w:rFonts w:ascii="Times New Roman" w:eastAsia="宋体" w:hAnsi="Times New Roman" w:cs="Times New Roman"/>
          <w:kern w:val="0"/>
          <w:sz w:val="28"/>
          <w:szCs w:val="28"/>
        </w:rPr>
      </w:pPr>
      <w:r>
        <w:rPr>
          <w:rFonts w:ascii="Times New Roman" w:eastAsia="宋体" w:hAnsi="Times New Roman" w:cs="Times New Roman"/>
          <w:kern w:val="0"/>
          <w:sz w:val="28"/>
          <w:szCs w:val="28"/>
        </w:rPr>
        <w:t>将成熟酒母</w:t>
      </w:r>
      <w:r>
        <w:rPr>
          <w:rFonts w:ascii="Times New Roman" w:eastAsia="宋体" w:hAnsi="Times New Roman" w:cs="Times New Roman"/>
          <w:bCs/>
          <w:spacing w:val="-9"/>
          <w:sz w:val="28"/>
          <w:szCs w:val="28"/>
        </w:rPr>
        <w:t>送入发酵罐，通过</w:t>
      </w:r>
      <w:r>
        <w:rPr>
          <w:rFonts w:ascii="Times New Roman" w:eastAsia="宋体" w:hAnsi="Times New Roman" w:cs="Times New Roman"/>
          <w:bCs/>
          <w:kern w:val="0"/>
          <w:sz w:val="28"/>
          <w:szCs w:val="20"/>
        </w:rPr>
        <w:t>换热器</w:t>
      </w:r>
      <w:r>
        <w:rPr>
          <w:rFonts w:ascii="Times New Roman" w:eastAsia="宋体" w:hAnsi="Times New Roman" w:cs="Times New Roman"/>
          <w:bCs/>
          <w:kern w:val="0"/>
          <w:sz w:val="28"/>
          <w:szCs w:val="20"/>
        </w:rPr>
        <w:t>(</w:t>
      </w:r>
      <w:r>
        <w:rPr>
          <w:rFonts w:ascii="Times New Roman" w:eastAsia="宋体" w:hAnsi="Times New Roman" w:cs="Times New Roman"/>
          <w:bCs/>
          <w:spacing w:val="-9"/>
          <w:sz w:val="28"/>
          <w:szCs w:val="28"/>
        </w:rPr>
        <w:t>发酵螺旋板换热器</w:t>
      </w:r>
      <w:r>
        <w:rPr>
          <w:rFonts w:ascii="Times New Roman" w:eastAsia="宋体" w:hAnsi="Times New Roman" w:cs="Times New Roman"/>
          <w:bCs/>
          <w:spacing w:val="-9"/>
          <w:sz w:val="28"/>
          <w:szCs w:val="28"/>
        </w:rPr>
        <w:t>)</w:t>
      </w:r>
      <w:r>
        <w:rPr>
          <w:rFonts w:ascii="Times New Roman" w:eastAsia="宋体" w:hAnsi="Times New Roman" w:cs="Times New Roman"/>
          <w:bCs/>
          <w:sz w:val="28"/>
          <w:szCs w:val="24"/>
        </w:rPr>
        <w:t>控制温度在</w:t>
      </w:r>
      <w:r>
        <w:rPr>
          <w:rFonts w:ascii="Times New Roman" w:eastAsia="宋体" w:hAnsi="Times New Roman" w:cs="Times New Roman"/>
          <w:bCs/>
          <w:sz w:val="28"/>
          <w:szCs w:val="24"/>
        </w:rPr>
        <w:t>35</w:t>
      </w:r>
      <w:r>
        <w:rPr>
          <w:rFonts w:ascii="宋体" w:eastAsia="宋体" w:hAnsi="宋体" w:cs="宋体" w:hint="eastAsia"/>
          <w:bCs/>
          <w:sz w:val="28"/>
          <w:szCs w:val="24"/>
        </w:rPr>
        <w:t>℃</w:t>
      </w:r>
      <w:r>
        <w:rPr>
          <w:rFonts w:ascii="Times New Roman" w:eastAsia="宋体" w:hAnsi="Times New Roman" w:cs="Times New Roman"/>
          <w:bCs/>
          <w:sz w:val="28"/>
          <w:szCs w:val="24"/>
        </w:rPr>
        <w:t>进行发酵，发酵时间一般在</w:t>
      </w:r>
      <w:r>
        <w:rPr>
          <w:rFonts w:ascii="Times New Roman" w:eastAsia="宋体" w:hAnsi="Times New Roman" w:cs="Times New Roman"/>
          <w:bCs/>
          <w:sz w:val="28"/>
          <w:szCs w:val="24"/>
        </w:rPr>
        <w:t>65h</w:t>
      </w:r>
      <w:r>
        <w:rPr>
          <w:rFonts w:ascii="Times New Roman" w:eastAsia="宋体" w:hAnsi="Times New Roman" w:cs="Times New Roman"/>
          <w:bCs/>
          <w:sz w:val="28"/>
          <w:szCs w:val="24"/>
        </w:rPr>
        <w:t>左右，发酵结束成熟后，即可送去蒸馏。</w:t>
      </w:r>
    </w:p>
    <w:p w14:paraId="443E9FCD" w14:textId="77777777" w:rsidR="002133E3" w:rsidRDefault="00C22CFA">
      <w:pPr>
        <w:adjustRightInd w:val="0"/>
        <w:snapToGrid w:val="0"/>
        <w:spacing w:line="500" w:lineRule="atLeast"/>
        <w:ind w:firstLine="570"/>
        <w:textAlignment w:val="baseline"/>
        <w:rPr>
          <w:rFonts w:ascii="Times New Roman" w:eastAsia="宋体" w:hAnsi="Times New Roman" w:cs="Times New Roman"/>
          <w:bCs/>
          <w:spacing w:val="-9"/>
          <w:sz w:val="28"/>
          <w:szCs w:val="28"/>
        </w:rPr>
      </w:pPr>
      <w:r>
        <w:rPr>
          <w:rFonts w:ascii="Times New Roman" w:eastAsia="宋体" w:hAnsi="Times New Roman" w:cs="Times New Roman"/>
          <w:bCs/>
          <w:sz w:val="28"/>
          <w:szCs w:val="24"/>
        </w:rPr>
        <w:t>发酵过程中有</w:t>
      </w:r>
      <w:r>
        <w:rPr>
          <w:rFonts w:ascii="Times New Roman" w:eastAsia="宋体" w:hAnsi="Times New Roman" w:cs="Times New Roman"/>
          <w:bCs/>
          <w:sz w:val="28"/>
          <w:szCs w:val="24"/>
        </w:rPr>
        <w:t>CO</w:t>
      </w:r>
      <w:r>
        <w:rPr>
          <w:rFonts w:ascii="Times New Roman" w:eastAsia="宋体" w:hAnsi="Times New Roman" w:cs="Times New Roman"/>
          <w:bCs/>
          <w:sz w:val="28"/>
          <w:szCs w:val="24"/>
          <w:vertAlign w:val="subscript"/>
        </w:rPr>
        <w:t>2</w:t>
      </w:r>
      <w:r>
        <w:rPr>
          <w:rFonts w:ascii="Times New Roman" w:eastAsia="宋体" w:hAnsi="Times New Roman" w:cs="Times New Roman"/>
          <w:bCs/>
          <w:sz w:val="28"/>
          <w:szCs w:val="24"/>
        </w:rPr>
        <w:t>气体溢出，带有淡酒挥发。溢出的气体先经洗涤塔回收淡酒，洗涤后的水在洗涤塔中循环</w:t>
      </w:r>
      <w:r>
        <w:rPr>
          <w:rFonts w:ascii="Times New Roman" w:eastAsia="宋体" w:hAnsi="Times New Roman" w:cs="Times New Roman"/>
          <w:bCs/>
          <w:sz w:val="28"/>
          <w:szCs w:val="28"/>
        </w:rPr>
        <w:t>使</w:t>
      </w:r>
      <w:r>
        <w:rPr>
          <w:rFonts w:ascii="Times New Roman" w:eastAsia="宋体" w:hAnsi="Times New Roman" w:cs="Times New Roman"/>
          <w:bCs/>
          <w:sz w:val="28"/>
          <w:szCs w:val="24"/>
        </w:rPr>
        <w:t>用</w:t>
      </w:r>
      <w:r>
        <w:rPr>
          <w:rFonts w:ascii="Times New Roman" w:eastAsia="宋体" w:hAnsi="Times New Roman" w:cs="Times New Roman"/>
          <w:bCs/>
          <w:szCs w:val="24"/>
        </w:rPr>
        <w:t>，</w:t>
      </w:r>
      <w:r>
        <w:rPr>
          <w:rFonts w:ascii="Times New Roman" w:eastAsia="宋体" w:hAnsi="Times New Roman" w:cs="Times New Roman"/>
          <w:bCs/>
          <w:spacing w:val="-9"/>
          <w:sz w:val="28"/>
          <w:szCs w:val="28"/>
        </w:rPr>
        <w:t>至浓度为</w:t>
      </w:r>
      <w:r>
        <w:rPr>
          <w:rFonts w:ascii="Times New Roman" w:eastAsia="宋体" w:hAnsi="Times New Roman" w:cs="Times New Roman"/>
          <w:bCs/>
          <w:spacing w:val="-9"/>
          <w:sz w:val="28"/>
          <w:szCs w:val="28"/>
        </w:rPr>
        <w:t>6%(V/V)</w:t>
      </w:r>
      <w:r>
        <w:rPr>
          <w:rFonts w:ascii="Times New Roman" w:eastAsia="宋体" w:hAnsi="Times New Roman" w:cs="Times New Roman"/>
          <w:bCs/>
          <w:spacing w:val="-9"/>
          <w:sz w:val="28"/>
          <w:szCs w:val="28"/>
        </w:rPr>
        <w:t>流入混醪罐混合</w:t>
      </w:r>
      <w:r>
        <w:rPr>
          <w:rFonts w:ascii="Times New Roman" w:eastAsia="宋体" w:hAnsi="Times New Roman" w:cs="Times New Roman"/>
          <w:bCs/>
          <w:spacing w:val="-9"/>
          <w:szCs w:val="28"/>
        </w:rPr>
        <w:t>，</w:t>
      </w:r>
      <w:r>
        <w:rPr>
          <w:rFonts w:ascii="Times New Roman" w:eastAsia="宋体" w:hAnsi="Times New Roman" w:cs="Times New Roman"/>
          <w:bCs/>
          <w:spacing w:val="-9"/>
          <w:sz w:val="28"/>
          <w:szCs w:val="24"/>
        </w:rPr>
        <w:t>发酵成熟醪含酒精要求</w:t>
      </w:r>
      <w:r>
        <w:rPr>
          <w:rFonts w:ascii="Times New Roman" w:eastAsia="宋体" w:hAnsi="Times New Roman" w:cs="Times New Roman"/>
          <w:bCs/>
          <w:spacing w:val="-9"/>
          <w:sz w:val="28"/>
          <w:szCs w:val="24"/>
        </w:rPr>
        <w:t>10.5%(V/V)</w:t>
      </w:r>
      <w:r>
        <w:rPr>
          <w:rFonts w:ascii="Times New Roman" w:eastAsia="宋体" w:hAnsi="Times New Roman" w:cs="Times New Roman"/>
          <w:bCs/>
          <w:spacing w:val="-9"/>
          <w:sz w:val="28"/>
          <w:szCs w:val="24"/>
        </w:rPr>
        <w:t>以上</w:t>
      </w:r>
      <w:r>
        <w:rPr>
          <w:rFonts w:ascii="Times New Roman" w:eastAsia="宋体" w:hAnsi="Times New Roman" w:cs="Times New Roman"/>
          <w:bCs/>
          <w:spacing w:val="-9"/>
          <w:sz w:val="28"/>
          <w:szCs w:val="28"/>
        </w:rPr>
        <w:t>。</w:t>
      </w:r>
    </w:p>
    <w:p w14:paraId="31854833"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产污环节：发酵工序产生含</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、乙醇、甲醇</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醛等废气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612FA65D" w14:textId="77777777" w:rsidR="002133E3" w:rsidRDefault="00C22CFA">
      <w:pPr>
        <w:snapToGrid w:val="0"/>
        <w:spacing w:line="500" w:lineRule="atLeast"/>
        <w:ind w:firstLineChars="219" w:firstLine="616"/>
        <w:textAlignment w:val="baseline"/>
        <w:rPr>
          <w:rFonts w:ascii="Times New Roman" w:eastAsia="宋体" w:hAnsi="Times New Roman" w:cs="Times New Roman"/>
          <w:b/>
          <w:bCs/>
          <w:sz w:val="28"/>
          <w:szCs w:val="28"/>
        </w:rPr>
      </w:pPr>
      <w:r>
        <w:rPr>
          <w:rFonts w:ascii="Times New Roman" w:eastAsia="宋体" w:hAnsi="Times New Roman" w:cs="Times New Roman"/>
          <w:b/>
          <w:bCs/>
          <w:sz w:val="28"/>
          <w:szCs w:val="28"/>
        </w:rPr>
        <w:t>(2) 5</w:t>
      </w:r>
      <w:r>
        <w:rPr>
          <w:rFonts w:ascii="Times New Roman" w:eastAsia="宋体" w:hAnsi="Times New Roman" w:cs="Times New Roman"/>
          <w:b/>
          <w:bCs/>
          <w:sz w:val="28"/>
          <w:szCs w:val="28"/>
        </w:rPr>
        <w:t>万</w:t>
      </w:r>
      <w:r>
        <w:rPr>
          <w:rFonts w:ascii="Times New Roman" w:eastAsia="宋体" w:hAnsi="Times New Roman" w:cs="Times New Roman"/>
          <w:b/>
          <w:bCs/>
          <w:sz w:val="28"/>
          <w:szCs w:val="28"/>
        </w:rPr>
        <w:t>t/a</w:t>
      </w:r>
      <w:r>
        <w:rPr>
          <w:rFonts w:ascii="Times New Roman" w:eastAsia="宋体" w:hAnsi="Times New Roman" w:cs="Times New Roman"/>
          <w:b/>
          <w:bCs/>
          <w:sz w:val="28"/>
          <w:szCs w:val="20"/>
        </w:rPr>
        <w:t>粉蒸发酵工序</w:t>
      </w:r>
    </w:p>
    <w:p w14:paraId="7C0E35D1" w14:textId="77777777" w:rsidR="002133E3" w:rsidRDefault="00C22CFA">
      <w:pPr>
        <w:snapToGrid w:val="0"/>
        <w:spacing w:line="500" w:lineRule="atLeast"/>
        <w:ind w:firstLineChars="219" w:firstLine="616"/>
        <w:textAlignment w:val="baseline"/>
        <w:rPr>
          <w:rFonts w:ascii="Times New Roman" w:eastAsia="宋体" w:hAnsi="Times New Roman" w:cs="Times New Roman"/>
          <w:b/>
          <w:bCs/>
          <w:sz w:val="28"/>
          <w:szCs w:val="28"/>
        </w:rPr>
      </w:pPr>
      <w:r>
        <w:rPr>
          <w:rFonts w:ascii="宋体" w:eastAsia="宋体" w:hAnsi="宋体" w:cs="宋体" w:hint="eastAsia"/>
          <w:b/>
          <w:bCs/>
          <w:sz w:val="28"/>
          <w:szCs w:val="28"/>
        </w:rPr>
        <w:t>①</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粉碎</w:t>
      </w:r>
    </w:p>
    <w:p w14:paraId="483392AE" w14:textId="77777777" w:rsidR="002133E3" w:rsidRDefault="00C22CFA">
      <w:pPr>
        <w:snapToGrid w:val="0"/>
        <w:spacing w:line="500" w:lineRule="atLeast"/>
        <w:ind w:firstLineChars="200" w:firstLine="524"/>
        <w:rPr>
          <w:rFonts w:ascii="Times New Roman" w:eastAsia="宋体" w:hAnsi="Times New Roman" w:cs="Times New Roman"/>
          <w:color w:val="000000"/>
          <w:sz w:val="28"/>
          <w:szCs w:val="28"/>
        </w:rPr>
      </w:pPr>
      <w:r>
        <w:rPr>
          <w:rFonts w:ascii="Times New Roman" w:eastAsia="宋体" w:hAnsi="Times New Roman" w:cs="Times New Roman"/>
          <w:bCs/>
          <w:spacing w:val="-9"/>
          <w:sz w:val="28"/>
          <w:szCs w:val="28"/>
        </w:rPr>
        <w:t>木薯干运至下料斗，</w:t>
      </w:r>
      <w:r>
        <w:rPr>
          <w:rFonts w:ascii="Times New Roman" w:eastAsia="宋体" w:hAnsi="Times New Roman" w:cs="Times New Roman"/>
          <w:bCs/>
          <w:sz w:val="28"/>
          <w:szCs w:val="24"/>
        </w:rPr>
        <w:t>由振动筛经升料管进入粉碎机粉碎，</w:t>
      </w:r>
      <w:r>
        <w:rPr>
          <w:rFonts w:ascii="Times New Roman" w:eastAsia="宋体" w:hAnsi="Times New Roman" w:cs="Times New Roman"/>
          <w:sz w:val="28"/>
          <w:szCs w:val="28"/>
        </w:rPr>
        <w:t>用引风机抽真空把细粉吸入旋风分离器，然后进入</w:t>
      </w:r>
      <w:r>
        <w:rPr>
          <w:rFonts w:ascii="Times New Roman" w:eastAsia="宋体" w:hAnsi="Times New Roman" w:cs="Times New Roman"/>
          <w:bCs/>
          <w:sz w:val="28"/>
          <w:szCs w:val="24"/>
        </w:rPr>
        <w:t>拌浆罐</w:t>
      </w:r>
      <w:r>
        <w:rPr>
          <w:rFonts w:ascii="Times New Roman" w:eastAsia="宋体" w:hAnsi="Times New Roman" w:cs="Times New Roman"/>
          <w:sz w:val="28"/>
          <w:szCs w:val="28"/>
        </w:rPr>
        <w:t>，</w:t>
      </w:r>
      <w:r>
        <w:rPr>
          <w:rFonts w:ascii="Times New Roman" w:eastAsia="宋体" w:hAnsi="Times New Roman" w:cs="Times New Roman"/>
          <w:bCs/>
          <w:spacing w:val="-9"/>
          <w:sz w:val="28"/>
          <w:szCs w:val="28"/>
        </w:rPr>
        <w:t>按比例添加</w:t>
      </w:r>
      <w:r>
        <w:rPr>
          <w:rFonts w:ascii="Times New Roman" w:eastAsia="宋体" w:hAnsi="Times New Roman" w:cs="Times New Roman"/>
          <w:sz w:val="28"/>
          <w:szCs w:val="28"/>
        </w:rPr>
        <w:t>水及淀粉酶后进行拌料，调浆浓度</w:t>
      </w:r>
      <w:r>
        <w:rPr>
          <w:rFonts w:ascii="Times New Roman" w:eastAsia="宋体" w:hAnsi="Times New Roman" w:cs="Times New Roman"/>
          <w:sz w:val="28"/>
          <w:szCs w:val="28"/>
        </w:rPr>
        <w:t>22</w:t>
      </w:r>
      <w:r>
        <w:rPr>
          <w:rFonts w:ascii="Times New Roman" w:eastAsia="宋体" w:hAnsi="Times New Roman" w:cs="Times New Roman"/>
          <w:sz w:val="28"/>
          <w:szCs w:val="28"/>
        </w:rPr>
        <w:t>～</w:t>
      </w:r>
      <w:r>
        <w:rPr>
          <w:rFonts w:ascii="Times New Roman" w:eastAsia="宋体" w:hAnsi="Times New Roman" w:cs="Times New Roman"/>
          <w:sz w:val="28"/>
          <w:szCs w:val="28"/>
        </w:rPr>
        <w:t>25BX</w:t>
      </w:r>
      <w:r>
        <w:rPr>
          <w:rFonts w:ascii="Times New Roman" w:eastAsia="宋体" w:hAnsi="Times New Roman" w:cs="Times New Roman"/>
          <w:sz w:val="28"/>
          <w:szCs w:val="28"/>
        </w:rPr>
        <w:t>左右。</w:t>
      </w:r>
      <w:r>
        <w:rPr>
          <w:rFonts w:ascii="Times New Roman" w:eastAsia="宋体" w:hAnsi="Times New Roman" w:cs="Times New Roman"/>
          <w:bCs/>
          <w:kern w:val="0"/>
          <w:sz w:val="28"/>
          <w:szCs w:val="20"/>
        </w:rPr>
        <w:t>拌浆罐</w:t>
      </w:r>
      <w:r>
        <w:rPr>
          <w:rFonts w:ascii="Times New Roman" w:eastAsia="宋体" w:hAnsi="Times New Roman" w:cs="Times New Roman"/>
          <w:kern w:val="0"/>
          <w:sz w:val="28"/>
          <w:szCs w:val="20"/>
        </w:rPr>
        <w:t>的粉浆</w:t>
      </w:r>
      <w:r>
        <w:rPr>
          <w:rFonts w:ascii="Times New Roman" w:eastAsia="宋体" w:hAnsi="Times New Roman" w:cs="Times New Roman"/>
          <w:bCs/>
          <w:sz w:val="28"/>
          <w:szCs w:val="24"/>
        </w:rPr>
        <w:t>生料</w:t>
      </w:r>
      <w:r>
        <w:rPr>
          <w:rFonts w:ascii="Times New Roman" w:eastAsia="宋体" w:hAnsi="Times New Roman" w:cs="Times New Roman"/>
          <w:color w:val="000000"/>
          <w:sz w:val="28"/>
          <w:szCs w:val="28"/>
        </w:rPr>
        <w:t>经旋流除砂器去除砂石等杂质后再次送入拌浆罐备用。</w:t>
      </w:r>
    </w:p>
    <w:p w14:paraId="7D8EEB82"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rPr>
        <w:t>产污环节：粉碎工序产生含尘废气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1-7</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，除杂工序产生杂质</w:t>
      </w:r>
      <w:r>
        <w:rPr>
          <w:rFonts w:ascii="Times New Roman" w:eastAsia="宋体" w:hAnsi="Times New Roman" w:cs="Times New Roman"/>
          <w:kern w:val="0"/>
          <w:sz w:val="28"/>
          <w:szCs w:val="28"/>
        </w:rPr>
        <w:t>(S</w:t>
      </w:r>
      <w:r>
        <w:rPr>
          <w:rFonts w:ascii="Times New Roman" w:eastAsia="宋体" w:hAnsi="Times New Roman" w:cs="Times New Roman"/>
          <w:kern w:val="0"/>
          <w:sz w:val="28"/>
          <w:szCs w:val="28"/>
          <w:vertAlign w:val="subscript"/>
        </w:rPr>
        <w:t>1-2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6EEDD34F" w14:textId="77777777" w:rsidR="002133E3" w:rsidRDefault="00C22CFA">
      <w:pPr>
        <w:tabs>
          <w:tab w:val="left" w:pos="1733"/>
        </w:tabs>
        <w:snapToGrid w:val="0"/>
        <w:spacing w:line="500" w:lineRule="atLeast"/>
        <w:ind w:firstLineChars="200" w:firstLine="562"/>
        <w:rPr>
          <w:rFonts w:ascii="Times New Roman" w:eastAsia="宋体" w:hAnsi="Times New Roman" w:cs="Times New Roman"/>
          <w:b/>
          <w:bCs/>
          <w:spacing w:val="-9"/>
          <w:sz w:val="28"/>
          <w:szCs w:val="28"/>
        </w:rPr>
      </w:pPr>
      <w:r>
        <w:rPr>
          <w:rFonts w:ascii="宋体" w:eastAsia="宋体" w:hAnsi="宋体" w:cs="宋体" w:hint="eastAsia"/>
          <w:b/>
          <w:bCs/>
          <w:sz w:val="28"/>
          <w:szCs w:val="28"/>
        </w:rPr>
        <w:t>②</w:t>
      </w:r>
      <w:r>
        <w:rPr>
          <w:rFonts w:ascii="Times New Roman" w:eastAsia="宋体" w:hAnsi="Times New Roman" w:cs="Times New Roman"/>
          <w:b/>
          <w:bCs/>
          <w:sz w:val="28"/>
          <w:szCs w:val="28"/>
        </w:rPr>
        <w:t xml:space="preserve"> </w:t>
      </w:r>
      <w:r>
        <w:rPr>
          <w:rFonts w:ascii="Times New Roman" w:eastAsia="宋体" w:hAnsi="Times New Roman" w:cs="Times New Roman"/>
          <w:b/>
          <w:bCs/>
          <w:spacing w:val="-9"/>
          <w:sz w:val="28"/>
          <w:szCs w:val="28"/>
        </w:rPr>
        <w:t>蒸煮</w:t>
      </w:r>
    </w:p>
    <w:p w14:paraId="34D06BEB" w14:textId="77777777" w:rsidR="002133E3" w:rsidRDefault="00C22CFA">
      <w:pPr>
        <w:tabs>
          <w:tab w:val="left" w:pos="480"/>
        </w:tabs>
        <w:snapToGrid w:val="0"/>
        <w:spacing w:line="500" w:lineRule="atLeast"/>
        <w:ind w:firstLine="560"/>
        <w:rPr>
          <w:rFonts w:ascii="Times New Roman" w:eastAsia="宋体" w:hAnsi="Times New Roman" w:cs="Times New Roman"/>
          <w:kern w:val="0"/>
          <w:sz w:val="28"/>
          <w:szCs w:val="20"/>
        </w:rPr>
      </w:pPr>
      <w:r>
        <w:rPr>
          <w:rFonts w:ascii="Times New Roman" w:eastAsia="宋体" w:hAnsi="Times New Roman" w:cs="Times New Roman"/>
          <w:bCs/>
          <w:kern w:val="0"/>
          <w:sz w:val="28"/>
          <w:szCs w:val="20"/>
        </w:rPr>
        <w:t>拌浆罐</w:t>
      </w:r>
      <w:r>
        <w:rPr>
          <w:rFonts w:ascii="Times New Roman" w:eastAsia="宋体" w:hAnsi="Times New Roman" w:cs="Times New Roman"/>
          <w:kern w:val="0"/>
          <w:sz w:val="28"/>
          <w:szCs w:val="20"/>
        </w:rPr>
        <w:t>的粉浆</w:t>
      </w:r>
      <w:r>
        <w:rPr>
          <w:rFonts w:ascii="Times New Roman" w:eastAsia="宋体" w:hAnsi="Times New Roman" w:cs="Times New Roman"/>
          <w:bCs/>
          <w:sz w:val="28"/>
          <w:szCs w:val="24"/>
        </w:rPr>
        <w:t>生料</w:t>
      </w:r>
      <w:r>
        <w:rPr>
          <w:rFonts w:ascii="Times New Roman" w:eastAsia="宋体" w:hAnsi="Times New Roman" w:cs="Times New Roman"/>
          <w:bCs/>
          <w:kern w:val="0"/>
          <w:sz w:val="28"/>
          <w:szCs w:val="20"/>
        </w:rPr>
        <w:t>温度</w:t>
      </w:r>
      <w:r>
        <w:rPr>
          <w:rFonts w:ascii="Times New Roman" w:eastAsia="宋体" w:hAnsi="Times New Roman" w:cs="Times New Roman"/>
          <w:bCs/>
          <w:kern w:val="0"/>
          <w:sz w:val="28"/>
          <w:szCs w:val="20"/>
        </w:rPr>
        <w:t>30</w:t>
      </w:r>
      <w:r>
        <w:rPr>
          <w:rFonts w:ascii="Times New Roman" w:eastAsia="宋体" w:hAnsi="Times New Roman" w:cs="Times New Roman"/>
          <w:sz w:val="28"/>
          <w:szCs w:val="28"/>
        </w:rPr>
        <w:t>～</w:t>
      </w:r>
      <w:r>
        <w:rPr>
          <w:rFonts w:ascii="Times New Roman" w:eastAsia="宋体" w:hAnsi="Times New Roman" w:cs="Times New Roman"/>
          <w:bCs/>
          <w:kern w:val="0"/>
          <w:sz w:val="28"/>
          <w:szCs w:val="20"/>
        </w:rPr>
        <w:t>50</w:t>
      </w:r>
      <w:r>
        <w:rPr>
          <w:rFonts w:ascii="宋体" w:eastAsia="宋体" w:hAnsi="宋体" w:cs="宋体" w:hint="eastAsia"/>
          <w:bCs/>
          <w:kern w:val="0"/>
          <w:sz w:val="28"/>
          <w:szCs w:val="20"/>
        </w:rPr>
        <w:t>℃</w:t>
      </w:r>
      <w:r>
        <w:rPr>
          <w:rFonts w:ascii="Times New Roman" w:eastAsia="宋体" w:hAnsi="Times New Roman" w:cs="Times New Roman"/>
          <w:bCs/>
          <w:kern w:val="0"/>
          <w:sz w:val="28"/>
          <w:szCs w:val="20"/>
        </w:rPr>
        <w:t>，</w:t>
      </w:r>
      <w:r>
        <w:rPr>
          <w:rFonts w:ascii="Times New Roman" w:eastAsia="宋体" w:hAnsi="Times New Roman" w:cs="Times New Roman"/>
          <w:kern w:val="0"/>
          <w:sz w:val="28"/>
          <w:szCs w:val="20"/>
        </w:rPr>
        <w:t>经一级预热塔预热后，温度达</w:t>
      </w:r>
      <w:r>
        <w:rPr>
          <w:rFonts w:ascii="Times New Roman" w:eastAsia="宋体" w:hAnsi="Times New Roman" w:cs="Times New Roman"/>
          <w:kern w:val="0"/>
          <w:sz w:val="28"/>
          <w:szCs w:val="20"/>
        </w:rPr>
        <w:t>55</w:t>
      </w:r>
      <w:r>
        <w:rPr>
          <w:rFonts w:ascii="宋体" w:eastAsia="宋体" w:hAnsi="宋体" w:cs="宋体" w:hint="eastAsia"/>
          <w:sz w:val="28"/>
          <w:szCs w:val="28"/>
        </w:rPr>
        <w:t>℃</w:t>
      </w:r>
      <w:r>
        <w:rPr>
          <w:rFonts w:ascii="Times New Roman" w:eastAsia="宋体" w:hAnsi="Times New Roman" w:cs="Times New Roman"/>
          <w:kern w:val="0"/>
          <w:sz w:val="28"/>
          <w:szCs w:val="20"/>
        </w:rPr>
        <w:t>送入预液化罐，粉浆在预液化罐内经</w:t>
      </w:r>
      <w:r>
        <w:rPr>
          <w:rFonts w:ascii="Times New Roman" w:eastAsia="宋体" w:hAnsi="Times New Roman" w:cs="Times New Roman"/>
          <w:kern w:val="0"/>
          <w:sz w:val="28"/>
          <w:szCs w:val="20"/>
        </w:rPr>
        <w:t>40min(</w:t>
      </w:r>
      <w:r>
        <w:rPr>
          <w:rFonts w:ascii="Times New Roman" w:eastAsia="宋体" w:hAnsi="Times New Roman" w:cs="Times New Roman"/>
          <w:kern w:val="0"/>
          <w:sz w:val="28"/>
          <w:szCs w:val="20"/>
        </w:rPr>
        <w:t>预液化时间</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充分吸水膨胀后，温度达</w:t>
      </w:r>
      <w:r>
        <w:rPr>
          <w:rFonts w:ascii="Times New Roman" w:eastAsia="宋体" w:hAnsi="Times New Roman" w:cs="Times New Roman"/>
          <w:kern w:val="0"/>
          <w:sz w:val="28"/>
          <w:szCs w:val="20"/>
        </w:rPr>
        <w:t>55-60</w:t>
      </w:r>
      <w:r>
        <w:rPr>
          <w:rFonts w:ascii="宋体" w:eastAsia="宋体" w:hAnsi="宋体" w:cs="宋体" w:hint="eastAsia"/>
          <w:sz w:val="28"/>
          <w:szCs w:val="28"/>
        </w:rPr>
        <w:t>℃</w:t>
      </w:r>
      <w:r>
        <w:rPr>
          <w:rFonts w:ascii="Times New Roman" w:eastAsia="宋体" w:hAnsi="Times New Roman" w:cs="Times New Roman"/>
          <w:kern w:val="0"/>
          <w:sz w:val="28"/>
          <w:szCs w:val="20"/>
        </w:rPr>
        <w:t>，再经二级预热塔预热后，温度达</w:t>
      </w:r>
      <w:r>
        <w:rPr>
          <w:rFonts w:ascii="Times New Roman" w:eastAsia="宋体" w:hAnsi="Times New Roman" w:cs="Times New Roman"/>
          <w:kern w:val="0"/>
          <w:sz w:val="28"/>
          <w:szCs w:val="20"/>
        </w:rPr>
        <w:t>75</w:t>
      </w:r>
      <w:r>
        <w:rPr>
          <w:rFonts w:ascii="Times New Roman" w:eastAsia="宋体" w:hAnsi="Times New Roman" w:cs="Times New Roman"/>
          <w:sz w:val="28"/>
          <w:szCs w:val="28"/>
        </w:rPr>
        <w:t>～</w:t>
      </w:r>
      <w:r>
        <w:rPr>
          <w:rFonts w:ascii="Times New Roman" w:eastAsia="宋体" w:hAnsi="Times New Roman" w:cs="Times New Roman"/>
          <w:sz w:val="28"/>
          <w:szCs w:val="28"/>
        </w:rPr>
        <w:t>8</w:t>
      </w:r>
      <w:r>
        <w:rPr>
          <w:rFonts w:ascii="Times New Roman" w:eastAsia="宋体" w:hAnsi="Times New Roman" w:cs="Times New Roman"/>
          <w:bCs/>
          <w:kern w:val="0"/>
          <w:sz w:val="28"/>
          <w:szCs w:val="20"/>
        </w:rPr>
        <w:t>0</w:t>
      </w:r>
      <w:r>
        <w:rPr>
          <w:rFonts w:ascii="宋体" w:eastAsia="宋体" w:hAnsi="宋体" w:cs="宋体" w:hint="eastAsia"/>
          <w:bCs/>
          <w:kern w:val="0"/>
          <w:sz w:val="28"/>
          <w:szCs w:val="20"/>
        </w:rPr>
        <w:t>℃</w:t>
      </w:r>
      <w:r>
        <w:rPr>
          <w:rFonts w:ascii="Times New Roman" w:eastAsia="宋体" w:hAnsi="Times New Roman" w:cs="Times New Roman"/>
          <w:kern w:val="0"/>
          <w:sz w:val="28"/>
          <w:szCs w:val="20"/>
        </w:rPr>
        <w:t>送入液化罐进行液化，在液化罐内用蒸汽加热到</w:t>
      </w:r>
      <w:r>
        <w:rPr>
          <w:rFonts w:ascii="Times New Roman" w:eastAsia="宋体" w:hAnsi="Times New Roman" w:cs="Times New Roman"/>
          <w:kern w:val="0"/>
          <w:sz w:val="28"/>
          <w:szCs w:val="20"/>
        </w:rPr>
        <w:t>86-95</w:t>
      </w:r>
      <w:r>
        <w:rPr>
          <w:rFonts w:ascii="宋体" w:eastAsia="宋体" w:hAnsi="宋体" w:cs="宋体" w:hint="eastAsia"/>
          <w:sz w:val="28"/>
          <w:szCs w:val="28"/>
        </w:rPr>
        <w:t>℃</w:t>
      </w:r>
      <w:r>
        <w:rPr>
          <w:rFonts w:ascii="Times New Roman" w:eastAsia="宋体" w:hAnsi="Times New Roman" w:cs="Times New Roman"/>
          <w:kern w:val="0"/>
          <w:sz w:val="28"/>
          <w:szCs w:val="20"/>
        </w:rPr>
        <w:t>，经过</w:t>
      </w:r>
      <w:r>
        <w:rPr>
          <w:rFonts w:ascii="Times New Roman" w:eastAsia="宋体" w:hAnsi="Times New Roman" w:cs="Times New Roman"/>
          <w:kern w:val="0"/>
          <w:sz w:val="28"/>
          <w:szCs w:val="20"/>
        </w:rPr>
        <w:t>2h(</w:t>
      </w:r>
      <w:r>
        <w:rPr>
          <w:rFonts w:ascii="Times New Roman" w:eastAsia="宋体" w:hAnsi="Times New Roman" w:cs="Times New Roman"/>
          <w:kern w:val="0"/>
          <w:sz w:val="28"/>
          <w:szCs w:val="20"/>
        </w:rPr>
        <w:t>液化时间</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充分液化，液化后的液化醪泵送至蒸煮柱，在</w:t>
      </w:r>
      <w:r>
        <w:rPr>
          <w:rFonts w:ascii="Times New Roman" w:eastAsia="宋体" w:hAnsi="Times New Roman" w:cs="Times New Roman"/>
          <w:kern w:val="0"/>
          <w:sz w:val="28"/>
          <w:szCs w:val="20"/>
        </w:rPr>
        <w:t>100-105</w:t>
      </w:r>
      <w:r>
        <w:rPr>
          <w:rFonts w:ascii="宋体" w:eastAsia="宋体" w:hAnsi="宋体" w:cs="宋体" w:hint="eastAsia"/>
          <w:sz w:val="28"/>
          <w:szCs w:val="28"/>
        </w:rPr>
        <w:t>℃</w:t>
      </w:r>
      <w:r>
        <w:rPr>
          <w:rFonts w:ascii="Times New Roman" w:eastAsia="宋体" w:hAnsi="Times New Roman" w:cs="Times New Roman"/>
          <w:sz w:val="28"/>
          <w:szCs w:val="28"/>
        </w:rPr>
        <w:t>温度下蒸煮</w:t>
      </w:r>
      <w:r>
        <w:rPr>
          <w:rFonts w:ascii="Times New Roman" w:eastAsia="宋体" w:hAnsi="Times New Roman" w:cs="Times New Roman"/>
          <w:kern w:val="0"/>
          <w:sz w:val="28"/>
          <w:szCs w:val="20"/>
        </w:rPr>
        <w:t>1h(</w:t>
      </w:r>
      <w:r>
        <w:rPr>
          <w:rFonts w:ascii="Times New Roman" w:eastAsia="宋体" w:hAnsi="Times New Roman" w:cs="Times New Roman"/>
          <w:kern w:val="0"/>
          <w:sz w:val="28"/>
          <w:szCs w:val="20"/>
        </w:rPr>
        <w:t>蒸煮时间</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。蒸煮后的高温液化醪经两级闪蒸温度降至</w:t>
      </w:r>
      <w:r>
        <w:rPr>
          <w:rFonts w:ascii="Times New Roman" w:eastAsia="宋体" w:hAnsi="Times New Roman" w:cs="Times New Roman"/>
          <w:kern w:val="0"/>
          <w:sz w:val="28"/>
          <w:szCs w:val="20"/>
        </w:rPr>
        <w:t>57-62</w:t>
      </w:r>
      <w:r>
        <w:rPr>
          <w:rFonts w:ascii="宋体" w:eastAsia="宋体" w:hAnsi="宋体" w:cs="宋体" w:hint="eastAsia"/>
          <w:sz w:val="28"/>
          <w:szCs w:val="28"/>
        </w:rPr>
        <w:t>℃</w:t>
      </w:r>
      <w:r>
        <w:rPr>
          <w:rFonts w:ascii="Times New Roman" w:eastAsia="宋体" w:hAnsi="Times New Roman" w:cs="Times New Roman"/>
          <w:kern w:val="0"/>
          <w:sz w:val="28"/>
          <w:szCs w:val="20"/>
        </w:rPr>
        <w:t>送入糖化罐。</w:t>
      </w:r>
    </w:p>
    <w:p w14:paraId="3AC8F7B4" w14:textId="77777777" w:rsidR="002133E3" w:rsidRDefault="00C22CFA">
      <w:pPr>
        <w:tabs>
          <w:tab w:val="left" w:pos="1733"/>
        </w:tabs>
        <w:snapToGrid w:val="0"/>
        <w:spacing w:line="500" w:lineRule="atLeast"/>
        <w:ind w:firstLineChars="200" w:firstLine="562"/>
        <w:rPr>
          <w:rFonts w:ascii="Times New Roman" w:eastAsia="宋体" w:hAnsi="Times New Roman" w:cs="Times New Roman"/>
          <w:b/>
          <w:spacing w:val="-9"/>
          <w:sz w:val="28"/>
          <w:szCs w:val="28"/>
        </w:rPr>
      </w:pPr>
      <w:r>
        <w:rPr>
          <w:rFonts w:ascii="宋体" w:eastAsia="宋体" w:hAnsi="宋体" w:cs="宋体" w:hint="eastAsia"/>
          <w:b/>
          <w:bCs/>
          <w:sz w:val="28"/>
          <w:szCs w:val="28"/>
        </w:rPr>
        <w:t>③</w:t>
      </w:r>
      <w:r>
        <w:rPr>
          <w:rFonts w:ascii="Times New Roman" w:eastAsia="宋体" w:hAnsi="Times New Roman" w:cs="Times New Roman"/>
          <w:b/>
          <w:spacing w:val="-9"/>
          <w:sz w:val="28"/>
          <w:szCs w:val="28"/>
        </w:rPr>
        <w:t xml:space="preserve"> </w:t>
      </w:r>
      <w:r>
        <w:rPr>
          <w:rFonts w:ascii="Times New Roman" w:eastAsia="宋体" w:hAnsi="Times New Roman" w:cs="Times New Roman"/>
          <w:b/>
          <w:spacing w:val="-9"/>
          <w:sz w:val="28"/>
          <w:szCs w:val="28"/>
        </w:rPr>
        <w:t>糖化</w:t>
      </w:r>
    </w:p>
    <w:p w14:paraId="4AD38C5B" w14:textId="77777777" w:rsidR="002133E3" w:rsidRDefault="00C22CFA">
      <w:pPr>
        <w:tabs>
          <w:tab w:val="left" w:pos="480"/>
        </w:tabs>
        <w:adjustRightInd w:val="0"/>
        <w:snapToGrid w:val="0"/>
        <w:spacing w:line="500" w:lineRule="atLeast"/>
        <w:ind w:firstLine="560"/>
        <w:textAlignment w:val="baseline"/>
        <w:rPr>
          <w:rFonts w:ascii="Times New Roman" w:eastAsia="宋体" w:hAnsi="Times New Roman" w:cs="Times New Roman"/>
          <w:bCs/>
          <w:kern w:val="0"/>
          <w:sz w:val="28"/>
          <w:szCs w:val="20"/>
        </w:rPr>
      </w:pPr>
      <w:r>
        <w:rPr>
          <w:rFonts w:ascii="Times New Roman" w:eastAsia="宋体" w:hAnsi="Times New Roman" w:cs="Times New Roman"/>
          <w:bCs/>
          <w:kern w:val="0"/>
          <w:sz w:val="28"/>
          <w:szCs w:val="20"/>
        </w:rPr>
        <w:t>按一定的比例向</w:t>
      </w:r>
      <w:r>
        <w:rPr>
          <w:rFonts w:ascii="Times New Roman" w:eastAsia="宋体" w:hAnsi="Times New Roman" w:cs="Times New Roman"/>
          <w:kern w:val="0"/>
          <w:sz w:val="28"/>
          <w:szCs w:val="20"/>
        </w:rPr>
        <w:t>糖化罐内</w:t>
      </w:r>
      <w:r>
        <w:rPr>
          <w:rFonts w:ascii="Times New Roman" w:eastAsia="宋体" w:hAnsi="Times New Roman" w:cs="Times New Roman"/>
          <w:bCs/>
          <w:kern w:val="0"/>
          <w:sz w:val="28"/>
          <w:szCs w:val="20"/>
        </w:rPr>
        <w:t>连续加入糖化酶、尿酸、硫酸及化钠进行糖化，利用两级真空闪蒸将糖化温度控制在</w:t>
      </w:r>
      <w:r>
        <w:rPr>
          <w:rFonts w:ascii="Times New Roman" w:eastAsia="宋体" w:hAnsi="Times New Roman" w:cs="Times New Roman"/>
          <w:bCs/>
          <w:kern w:val="0"/>
          <w:sz w:val="28"/>
          <w:szCs w:val="20"/>
        </w:rPr>
        <w:t>60</w:t>
      </w:r>
      <w:r>
        <w:rPr>
          <w:rFonts w:ascii="宋体" w:eastAsia="宋体" w:hAnsi="宋体" w:cs="宋体" w:hint="eastAsia"/>
          <w:bCs/>
          <w:kern w:val="0"/>
          <w:sz w:val="28"/>
          <w:szCs w:val="20"/>
        </w:rPr>
        <w:t>℃</w:t>
      </w:r>
      <w:r>
        <w:rPr>
          <w:rFonts w:ascii="Times New Roman" w:eastAsia="宋体" w:hAnsi="Times New Roman" w:cs="Times New Roman"/>
          <w:bCs/>
          <w:kern w:val="0"/>
          <w:sz w:val="28"/>
          <w:szCs w:val="20"/>
        </w:rPr>
        <w:t>左右，糖化时间</w:t>
      </w:r>
      <w:r>
        <w:rPr>
          <w:rFonts w:ascii="Times New Roman" w:eastAsia="宋体" w:hAnsi="Times New Roman" w:cs="Times New Roman"/>
          <w:bCs/>
          <w:kern w:val="0"/>
          <w:sz w:val="28"/>
          <w:szCs w:val="20"/>
        </w:rPr>
        <w:t>30</w:t>
      </w:r>
      <w:r>
        <w:rPr>
          <w:rFonts w:ascii="Times New Roman" w:eastAsia="宋体" w:hAnsi="Times New Roman" w:cs="Times New Roman"/>
          <w:kern w:val="0"/>
          <w:sz w:val="28"/>
          <w:szCs w:val="20"/>
        </w:rPr>
        <w:t>min</w:t>
      </w:r>
      <w:r>
        <w:rPr>
          <w:rFonts w:ascii="Times New Roman" w:eastAsia="宋体" w:hAnsi="Times New Roman" w:cs="Times New Roman"/>
          <w:bCs/>
          <w:kern w:val="0"/>
          <w:sz w:val="28"/>
          <w:szCs w:val="20"/>
        </w:rPr>
        <w:t>，</w:t>
      </w:r>
      <w:r>
        <w:rPr>
          <w:rFonts w:ascii="Times New Roman" w:eastAsia="宋体" w:hAnsi="Times New Roman" w:cs="Times New Roman"/>
          <w:sz w:val="28"/>
          <w:szCs w:val="28"/>
        </w:rPr>
        <w:t>DE</w:t>
      </w:r>
      <w:r>
        <w:rPr>
          <w:rFonts w:ascii="Times New Roman" w:eastAsia="宋体" w:hAnsi="Times New Roman" w:cs="Times New Roman"/>
          <w:sz w:val="28"/>
          <w:szCs w:val="28"/>
        </w:rPr>
        <w:t>值达到</w:t>
      </w:r>
      <w:r>
        <w:rPr>
          <w:rFonts w:ascii="Times New Roman" w:eastAsia="宋体" w:hAnsi="Times New Roman" w:cs="Times New Roman"/>
          <w:sz w:val="28"/>
          <w:szCs w:val="28"/>
        </w:rPr>
        <w:t>50</w:t>
      </w:r>
      <w:r>
        <w:rPr>
          <w:rFonts w:ascii="Times New Roman" w:eastAsia="宋体" w:hAnsi="Times New Roman" w:cs="Times New Roman"/>
          <w:sz w:val="28"/>
          <w:szCs w:val="28"/>
        </w:rPr>
        <w:t>～</w:t>
      </w:r>
      <w:r>
        <w:rPr>
          <w:rFonts w:ascii="Times New Roman" w:eastAsia="宋体" w:hAnsi="Times New Roman" w:cs="Times New Roman"/>
          <w:sz w:val="28"/>
          <w:szCs w:val="28"/>
        </w:rPr>
        <w:t>60</w:t>
      </w:r>
      <w:r>
        <w:rPr>
          <w:rFonts w:ascii="Times New Roman" w:eastAsia="宋体" w:hAnsi="Times New Roman" w:cs="Times New Roman"/>
          <w:sz w:val="28"/>
          <w:szCs w:val="28"/>
        </w:rPr>
        <w:t>％，</w:t>
      </w:r>
      <w:r>
        <w:rPr>
          <w:rFonts w:ascii="Times New Roman" w:eastAsia="宋体" w:hAnsi="Times New Roman" w:cs="Times New Roman"/>
          <w:bCs/>
          <w:kern w:val="0"/>
          <w:sz w:val="28"/>
          <w:szCs w:val="20"/>
        </w:rPr>
        <w:t>用糖化泵将糖化醪经换热器冷却至</w:t>
      </w:r>
      <w:r>
        <w:rPr>
          <w:rFonts w:ascii="Times New Roman" w:eastAsia="宋体" w:hAnsi="Times New Roman" w:cs="Times New Roman"/>
          <w:kern w:val="0"/>
          <w:sz w:val="28"/>
          <w:szCs w:val="20"/>
        </w:rPr>
        <w:t>29-31</w:t>
      </w:r>
      <w:r>
        <w:rPr>
          <w:rFonts w:ascii="宋体" w:eastAsia="宋体" w:hAnsi="宋体" w:cs="宋体" w:hint="eastAsia"/>
          <w:sz w:val="28"/>
          <w:szCs w:val="28"/>
        </w:rPr>
        <w:t>℃</w:t>
      </w:r>
      <w:r>
        <w:rPr>
          <w:rFonts w:ascii="Times New Roman" w:eastAsia="宋体" w:hAnsi="Times New Roman" w:cs="Times New Roman"/>
          <w:bCs/>
          <w:kern w:val="0"/>
          <w:sz w:val="28"/>
          <w:szCs w:val="20"/>
        </w:rPr>
        <w:t>后送到发酵工序。</w:t>
      </w:r>
    </w:p>
    <w:p w14:paraId="30BC6257" w14:textId="77777777" w:rsidR="002133E3" w:rsidRDefault="00C22CFA">
      <w:pPr>
        <w:tabs>
          <w:tab w:val="left" w:pos="1733"/>
        </w:tabs>
        <w:snapToGrid w:val="0"/>
        <w:spacing w:line="500" w:lineRule="atLeast"/>
        <w:ind w:firstLineChars="200" w:firstLine="562"/>
        <w:rPr>
          <w:rFonts w:ascii="Times New Roman" w:eastAsia="宋体" w:hAnsi="Times New Roman" w:cs="Times New Roman"/>
          <w:b/>
          <w:spacing w:val="-9"/>
          <w:sz w:val="28"/>
          <w:szCs w:val="28"/>
        </w:rPr>
      </w:pPr>
      <w:r>
        <w:rPr>
          <w:rFonts w:ascii="宋体" w:eastAsia="宋体" w:hAnsi="宋体" w:cs="宋体" w:hint="eastAsia"/>
          <w:b/>
          <w:bCs/>
          <w:sz w:val="28"/>
          <w:szCs w:val="28"/>
        </w:rPr>
        <w:t>④</w:t>
      </w:r>
      <w:r>
        <w:rPr>
          <w:rFonts w:ascii="Times New Roman" w:eastAsia="宋体" w:hAnsi="Times New Roman" w:cs="Times New Roman"/>
          <w:b/>
          <w:spacing w:val="-9"/>
          <w:sz w:val="28"/>
          <w:szCs w:val="28"/>
        </w:rPr>
        <w:t xml:space="preserve"> </w:t>
      </w:r>
      <w:r>
        <w:rPr>
          <w:rFonts w:ascii="Times New Roman" w:eastAsia="宋体" w:hAnsi="Times New Roman" w:cs="Times New Roman"/>
          <w:b/>
          <w:spacing w:val="-9"/>
          <w:sz w:val="28"/>
          <w:szCs w:val="28"/>
        </w:rPr>
        <w:t>发酵</w:t>
      </w:r>
    </w:p>
    <w:p w14:paraId="461570EE" w14:textId="77777777" w:rsidR="002133E3" w:rsidRDefault="00C22CFA">
      <w:pPr>
        <w:adjustRightInd w:val="0"/>
        <w:snapToGrid w:val="0"/>
        <w:spacing w:line="500" w:lineRule="atLeast"/>
        <w:ind w:firstLine="570"/>
        <w:textAlignment w:val="baseline"/>
        <w:rPr>
          <w:rFonts w:ascii="Times New Roman" w:eastAsia="宋体" w:hAnsi="Times New Roman" w:cs="Times New Roman"/>
          <w:bCs/>
          <w:kern w:val="0"/>
          <w:sz w:val="28"/>
          <w:szCs w:val="20"/>
        </w:rPr>
      </w:pPr>
      <w:r>
        <w:rPr>
          <w:rFonts w:ascii="Times New Roman" w:eastAsia="宋体" w:hAnsi="Times New Roman" w:cs="Times New Roman"/>
          <w:kern w:val="0"/>
          <w:sz w:val="28"/>
          <w:szCs w:val="28"/>
        </w:rPr>
        <w:t>在营养盐罐内注入水后，投加尿酸和磷酸一铵进行搅拌配置营养盐。干酵母需在酵母活化罐内</w:t>
      </w:r>
      <w:r>
        <w:rPr>
          <w:rFonts w:ascii="Times New Roman" w:eastAsia="宋体" w:hAnsi="Times New Roman" w:cs="Times New Roman"/>
          <w:kern w:val="0"/>
          <w:sz w:val="28"/>
          <w:szCs w:val="28"/>
        </w:rPr>
        <w:t>36</w:t>
      </w:r>
      <w:r>
        <w:rPr>
          <w:rFonts w:ascii="宋体" w:eastAsia="宋体" w:hAnsi="宋体" w:cs="宋体" w:hint="eastAsia"/>
          <w:bCs/>
          <w:kern w:val="0"/>
          <w:sz w:val="28"/>
          <w:szCs w:val="20"/>
        </w:rPr>
        <w:t>℃</w:t>
      </w:r>
      <w:r>
        <w:rPr>
          <w:rFonts w:ascii="Times New Roman" w:eastAsia="宋体" w:hAnsi="Times New Roman" w:cs="Times New Roman"/>
          <w:bCs/>
          <w:kern w:val="0"/>
          <w:sz w:val="28"/>
          <w:szCs w:val="20"/>
        </w:rPr>
        <w:t>下活化</w:t>
      </w:r>
      <w:r>
        <w:rPr>
          <w:rFonts w:ascii="Times New Roman" w:eastAsia="宋体" w:hAnsi="Times New Roman" w:cs="Times New Roman"/>
          <w:bCs/>
          <w:kern w:val="0"/>
          <w:sz w:val="28"/>
          <w:szCs w:val="20"/>
        </w:rPr>
        <w:t>20min</w:t>
      </w:r>
      <w:r>
        <w:rPr>
          <w:rFonts w:ascii="Times New Roman" w:eastAsia="宋体" w:hAnsi="Times New Roman" w:cs="Times New Roman"/>
          <w:bCs/>
          <w:kern w:val="0"/>
          <w:sz w:val="28"/>
          <w:szCs w:val="20"/>
        </w:rPr>
        <w:t>。</w:t>
      </w:r>
    </w:p>
    <w:p w14:paraId="3F9A45AF" w14:textId="77777777" w:rsidR="002133E3" w:rsidRDefault="00C22CFA">
      <w:pPr>
        <w:adjustRightInd w:val="0"/>
        <w:snapToGrid w:val="0"/>
        <w:spacing w:line="500" w:lineRule="atLeast"/>
        <w:ind w:firstLine="570"/>
        <w:textAlignment w:val="baseline"/>
        <w:rPr>
          <w:rFonts w:ascii="Times New Roman" w:eastAsia="宋体" w:hAnsi="Times New Roman" w:cs="Times New Roman"/>
          <w:bCs/>
          <w:spacing w:val="-9"/>
          <w:sz w:val="28"/>
          <w:szCs w:val="28"/>
        </w:rPr>
      </w:pPr>
      <w:r>
        <w:rPr>
          <w:rFonts w:ascii="Times New Roman" w:eastAsia="宋体" w:hAnsi="Times New Roman" w:cs="Times New Roman"/>
          <w:bCs/>
          <w:spacing w:val="-9"/>
          <w:sz w:val="28"/>
          <w:szCs w:val="28"/>
        </w:rPr>
        <w:t>糖化醪经冷却器冷却后送入</w:t>
      </w:r>
      <w:r>
        <w:rPr>
          <w:rFonts w:ascii="Times New Roman" w:eastAsia="宋体" w:hAnsi="Times New Roman" w:cs="Times New Roman"/>
          <w:kern w:val="0"/>
          <w:sz w:val="28"/>
          <w:szCs w:val="28"/>
        </w:rPr>
        <w:t>酒母罐</w:t>
      </w:r>
      <w:r>
        <w:rPr>
          <w:rFonts w:ascii="Times New Roman" w:eastAsia="宋体" w:hAnsi="Times New Roman" w:cs="Times New Roman"/>
          <w:bCs/>
          <w:spacing w:val="-9"/>
          <w:sz w:val="28"/>
          <w:szCs w:val="28"/>
        </w:rPr>
        <w:t>，投加活化酵母及营养盐，</w:t>
      </w:r>
      <w:r>
        <w:rPr>
          <w:rFonts w:ascii="Times New Roman" w:eastAsia="宋体" w:hAnsi="Times New Roman" w:cs="Times New Roman"/>
          <w:kern w:val="0"/>
          <w:sz w:val="28"/>
          <w:szCs w:val="20"/>
        </w:rPr>
        <w:t>29.5-31</w:t>
      </w:r>
      <w:r>
        <w:rPr>
          <w:rFonts w:ascii="宋体" w:eastAsia="宋体" w:hAnsi="宋体" w:cs="宋体" w:hint="eastAsia"/>
          <w:sz w:val="28"/>
          <w:szCs w:val="28"/>
        </w:rPr>
        <w:t>℃</w:t>
      </w:r>
      <w:r>
        <w:rPr>
          <w:rFonts w:ascii="Times New Roman" w:eastAsia="宋体" w:hAnsi="Times New Roman" w:cs="Times New Roman"/>
          <w:sz w:val="28"/>
          <w:szCs w:val="28"/>
        </w:rPr>
        <w:t>下</w:t>
      </w:r>
      <w:r>
        <w:rPr>
          <w:rFonts w:ascii="Times New Roman" w:eastAsia="宋体" w:hAnsi="Times New Roman" w:cs="Times New Roman"/>
          <w:kern w:val="0"/>
          <w:sz w:val="28"/>
          <w:szCs w:val="28"/>
        </w:rPr>
        <w:t>扩培</w:t>
      </w:r>
      <w:r>
        <w:rPr>
          <w:rFonts w:ascii="Times New Roman" w:eastAsia="宋体" w:hAnsi="Times New Roman" w:cs="Times New Roman"/>
          <w:kern w:val="0"/>
          <w:sz w:val="28"/>
          <w:szCs w:val="28"/>
        </w:rPr>
        <w:t>8</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10h</w:t>
      </w:r>
      <w:r>
        <w:rPr>
          <w:rFonts w:ascii="Times New Roman" w:eastAsia="宋体" w:hAnsi="Times New Roman" w:cs="Times New Roman"/>
          <w:kern w:val="0"/>
          <w:sz w:val="28"/>
          <w:szCs w:val="28"/>
        </w:rPr>
        <w:t>得</w:t>
      </w:r>
      <w:r>
        <w:rPr>
          <w:rFonts w:ascii="Times New Roman" w:eastAsia="宋体" w:hAnsi="Times New Roman" w:cs="Times New Roman"/>
          <w:bCs/>
          <w:kern w:val="0"/>
          <w:sz w:val="28"/>
          <w:szCs w:val="20"/>
        </w:rPr>
        <w:t>成熟酒母</w:t>
      </w:r>
      <w:r>
        <w:rPr>
          <w:rFonts w:ascii="Times New Roman" w:eastAsia="宋体" w:hAnsi="Times New Roman" w:cs="Times New Roman"/>
          <w:kern w:val="0"/>
          <w:sz w:val="28"/>
          <w:szCs w:val="28"/>
        </w:rPr>
        <w:t>。</w:t>
      </w:r>
    </w:p>
    <w:p w14:paraId="1C7021A5" w14:textId="77777777" w:rsidR="002133E3" w:rsidRDefault="00C22CFA">
      <w:pPr>
        <w:adjustRightInd w:val="0"/>
        <w:snapToGrid w:val="0"/>
        <w:spacing w:line="500" w:lineRule="atLeast"/>
        <w:ind w:firstLine="570"/>
        <w:textAlignment w:val="baseline"/>
        <w:rPr>
          <w:rFonts w:ascii="Times New Roman" w:eastAsia="宋体" w:hAnsi="Times New Roman" w:cs="Times New Roman"/>
          <w:kern w:val="0"/>
          <w:sz w:val="28"/>
          <w:szCs w:val="28"/>
        </w:rPr>
      </w:pPr>
      <w:r>
        <w:rPr>
          <w:rFonts w:ascii="Times New Roman" w:eastAsia="宋体" w:hAnsi="Times New Roman" w:cs="Times New Roman"/>
          <w:kern w:val="0"/>
          <w:sz w:val="28"/>
          <w:szCs w:val="28"/>
        </w:rPr>
        <w:t>将成熟酒母</w:t>
      </w:r>
      <w:r>
        <w:rPr>
          <w:rFonts w:ascii="Times New Roman" w:eastAsia="宋体" w:hAnsi="Times New Roman" w:cs="Times New Roman"/>
          <w:bCs/>
          <w:spacing w:val="-9"/>
          <w:sz w:val="28"/>
          <w:szCs w:val="28"/>
        </w:rPr>
        <w:t>送入发酵罐，</w:t>
      </w:r>
      <w:r>
        <w:rPr>
          <w:rFonts w:ascii="Times New Roman" w:eastAsia="宋体" w:hAnsi="Times New Roman" w:cs="Times New Roman"/>
          <w:bCs/>
          <w:sz w:val="28"/>
          <w:szCs w:val="24"/>
        </w:rPr>
        <w:t>控制温度在</w:t>
      </w:r>
      <w:r>
        <w:rPr>
          <w:rFonts w:ascii="Times New Roman" w:eastAsia="宋体" w:hAnsi="Times New Roman" w:cs="Times New Roman"/>
          <w:bCs/>
          <w:sz w:val="28"/>
          <w:szCs w:val="24"/>
        </w:rPr>
        <w:t>35</w:t>
      </w:r>
      <w:r>
        <w:rPr>
          <w:rFonts w:ascii="宋体" w:eastAsia="宋体" w:hAnsi="宋体" w:cs="宋体" w:hint="eastAsia"/>
          <w:bCs/>
          <w:sz w:val="28"/>
          <w:szCs w:val="24"/>
        </w:rPr>
        <w:t>℃</w:t>
      </w:r>
      <w:r>
        <w:rPr>
          <w:rFonts w:ascii="Times New Roman" w:eastAsia="宋体" w:hAnsi="Times New Roman" w:cs="Times New Roman"/>
          <w:bCs/>
          <w:sz w:val="28"/>
          <w:szCs w:val="24"/>
        </w:rPr>
        <w:t>进行发酵，发酵时间一般在</w:t>
      </w:r>
      <w:r>
        <w:rPr>
          <w:rFonts w:ascii="Times New Roman" w:eastAsia="宋体" w:hAnsi="Times New Roman" w:cs="Times New Roman"/>
          <w:bCs/>
          <w:sz w:val="28"/>
          <w:szCs w:val="24"/>
        </w:rPr>
        <w:t>65h</w:t>
      </w:r>
      <w:r>
        <w:rPr>
          <w:rFonts w:ascii="Times New Roman" w:eastAsia="宋体" w:hAnsi="Times New Roman" w:cs="Times New Roman"/>
          <w:bCs/>
          <w:sz w:val="28"/>
          <w:szCs w:val="24"/>
        </w:rPr>
        <w:t>左右，发酵结束成熟后，即可送去蒸馏。</w:t>
      </w:r>
    </w:p>
    <w:p w14:paraId="14C76CF8" w14:textId="77777777" w:rsidR="002133E3" w:rsidRDefault="00C22CFA">
      <w:pPr>
        <w:adjustRightInd w:val="0"/>
        <w:snapToGrid w:val="0"/>
        <w:spacing w:line="500" w:lineRule="atLeast"/>
        <w:ind w:firstLine="570"/>
        <w:textAlignment w:val="baseline"/>
        <w:rPr>
          <w:rFonts w:ascii="Times New Roman" w:eastAsia="宋体" w:hAnsi="Times New Roman" w:cs="Times New Roman"/>
          <w:bCs/>
          <w:spacing w:val="-9"/>
          <w:sz w:val="28"/>
          <w:szCs w:val="28"/>
        </w:rPr>
      </w:pPr>
      <w:r>
        <w:rPr>
          <w:rFonts w:ascii="Times New Roman" w:eastAsia="宋体" w:hAnsi="Times New Roman" w:cs="Times New Roman"/>
          <w:bCs/>
          <w:sz w:val="28"/>
          <w:szCs w:val="24"/>
        </w:rPr>
        <w:t>发酵过程中有</w:t>
      </w:r>
      <w:r>
        <w:rPr>
          <w:rFonts w:ascii="Times New Roman" w:eastAsia="宋体" w:hAnsi="Times New Roman" w:cs="Times New Roman"/>
          <w:bCs/>
          <w:sz w:val="28"/>
          <w:szCs w:val="24"/>
        </w:rPr>
        <w:t>CO</w:t>
      </w:r>
      <w:r>
        <w:rPr>
          <w:rFonts w:ascii="Times New Roman" w:eastAsia="宋体" w:hAnsi="Times New Roman" w:cs="Times New Roman"/>
          <w:bCs/>
          <w:sz w:val="28"/>
          <w:szCs w:val="24"/>
          <w:vertAlign w:val="subscript"/>
        </w:rPr>
        <w:t>2</w:t>
      </w:r>
      <w:r>
        <w:rPr>
          <w:rFonts w:ascii="Times New Roman" w:eastAsia="宋体" w:hAnsi="Times New Roman" w:cs="Times New Roman"/>
          <w:bCs/>
          <w:sz w:val="28"/>
          <w:szCs w:val="24"/>
        </w:rPr>
        <w:t>气体溢出，带有淡酒挥发。溢出的气体先经洗涤塔回收淡酒，洗涤后的水在洗涤塔中循环</w:t>
      </w:r>
      <w:r>
        <w:rPr>
          <w:rFonts w:ascii="Times New Roman" w:eastAsia="宋体" w:hAnsi="Times New Roman" w:cs="Times New Roman"/>
          <w:bCs/>
          <w:sz w:val="28"/>
          <w:szCs w:val="28"/>
        </w:rPr>
        <w:t>使</w:t>
      </w:r>
      <w:r>
        <w:rPr>
          <w:rFonts w:ascii="Times New Roman" w:eastAsia="宋体" w:hAnsi="Times New Roman" w:cs="Times New Roman"/>
          <w:bCs/>
          <w:sz w:val="28"/>
          <w:szCs w:val="24"/>
        </w:rPr>
        <w:t>用</w:t>
      </w:r>
      <w:r>
        <w:rPr>
          <w:rFonts w:ascii="Times New Roman" w:eastAsia="宋体" w:hAnsi="Times New Roman" w:cs="Times New Roman"/>
          <w:bCs/>
          <w:szCs w:val="24"/>
        </w:rPr>
        <w:t>，</w:t>
      </w:r>
      <w:r>
        <w:rPr>
          <w:rFonts w:ascii="Times New Roman" w:eastAsia="宋体" w:hAnsi="Times New Roman" w:cs="Times New Roman"/>
          <w:bCs/>
          <w:spacing w:val="-9"/>
          <w:sz w:val="28"/>
          <w:szCs w:val="28"/>
        </w:rPr>
        <w:t>至浓度为</w:t>
      </w:r>
      <w:r>
        <w:rPr>
          <w:rFonts w:ascii="Times New Roman" w:eastAsia="宋体" w:hAnsi="Times New Roman" w:cs="Times New Roman"/>
          <w:bCs/>
          <w:spacing w:val="-9"/>
          <w:sz w:val="28"/>
          <w:szCs w:val="28"/>
        </w:rPr>
        <w:t>6%(V/V)</w:t>
      </w:r>
      <w:r>
        <w:rPr>
          <w:rFonts w:ascii="Times New Roman" w:eastAsia="宋体" w:hAnsi="Times New Roman" w:cs="Times New Roman"/>
          <w:bCs/>
          <w:spacing w:val="-9"/>
          <w:sz w:val="28"/>
          <w:szCs w:val="28"/>
        </w:rPr>
        <w:t>流入混醪罐混合</w:t>
      </w:r>
      <w:r>
        <w:rPr>
          <w:rFonts w:ascii="Times New Roman" w:eastAsia="宋体" w:hAnsi="Times New Roman" w:cs="Times New Roman"/>
          <w:bCs/>
          <w:spacing w:val="-9"/>
          <w:szCs w:val="28"/>
        </w:rPr>
        <w:t>，</w:t>
      </w:r>
      <w:r>
        <w:rPr>
          <w:rFonts w:ascii="Times New Roman" w:eastAsia="宋体" w:hAnsi="Times New Roman" w:cs="Times New Roman"/>
          <w:bCs/>
          <w:spacing w:val="-9"/>
          <w:sz w:val="28"/>
          <w:szCs w:val="24"/>
        </w:rPr>
        <w:t>发酵</w:t>
      </w:r>
      <w:r>
        <w:rPr>
          <w:rFonts w:ascii="Times New Roman" w:eastAsia="宋体" w:hAnsi="Times New Roman" w:cs="Times New Roman"/>
          <w:bCs/>
          <w:spacing w:val="-9"/>
          <w:sz w:val="28"/>
          <w:szCs w:val="24"/>
        </w:rPr>
        <w:lastRenderedPageBreak/>
        <w:t>成熟醪含酒精要求</w:t>
      </w:r>
      <w:r>
        <w:rPr>
          <w:rFonts w:ascii="Times New Roman" w:eastAsia="宋体" w:hAnsi="Times New Roman" w:cs="Times New Roman"/>
          <w:bCs/>
          <w:spacing w:val="-9"/>
          <w:sz w:val="28"/>
          <w:szCs w:val="24"/>
        </w:rPr>
        <w:t>10.5%(V/V)</w:t>
      </w:r>
      <w:r>
        <w:rPr>
          <w:rFonts w:ascii="Times New Roman" w:eastAsia="宋体" w:hAnsi="Times New Roman" w:cs="Times New Roman"/>
          <w:bCs/>
          <w:spacing w:val="-9"/>
          <w:sz w:val="28"/>
          <w:szCs w:val="24"/>
        </w:rPr>
        <w:t>以上</w:t>
      </w:r>
      <w:r>
        <w:rPr>
          <w:rFonts w:ascii="Times New Roman" w:eastAsia="宋体" w:hAnsi="Times New Roman" w:cs="Times New Roman"/>
          <w:bCs/>
          <w:spacing w:val="-9"/>
          <w:sz w:val="28"/>
          <w:szCs w:val="28"/>
        </w:rPr>
        <w:t>。</w:t>
      </w:r>
    </w:p>
    <w:p w14:paraId="41AC1825"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产污环节：发酵工序产生含</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、乙醇、甲醇</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醛等废气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1-8</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02272A2C" w14:textId="77777777" w:rsidR="002133E3" w:rsidRDefault="00C22CFA">
      <w:pPr>
        <w:tabs>
          <w:tab w:val="left" w:pos="1733"/>
          <w:tab w:val="left" w:pos="2520"/>
        </w:tabs>
        <w:snapToGrid w:val="0"/>
        <w:spacing w:line="500" w:lineRule="atLeast"/>
        <w:ind w:firstLineChars="200" w:firstLine="562"/>
        <w:rPr>
          <w:rFonts w:ascii="Times New Roman" w:eastAsia="宋体" w:hAnsi="Times New Roman" w:cs="Times New Roman"/>
          <w:b/>
          <w:spacing w:val="-9"/>
          <w:sz w:val="28"/>
          <w:szCs w:val="28"/>
        </w:rPr>
      </w:pPr>
      <w:r>
        <w:rPr>
          <w:rFonts w:ascii="Times New Roman" w:eastAsia="宋体" w:hAnsi="Times New Roman" w:cs="Times New Roman"/>
          <w:b/>
          <w:bCs/>
          <w:sz w:val="28"/>
          <w:szCs w:val="28"/>
        </w:rPr>
        <w:t xml:space="preserve">(3) </w:t>
      </w:r>
      <w:r>
        <w:rPr>
          <w:rFonts w:ascii="Times New Roman" w:eastAsia="宋体" w:hAnsi="Times New Roman" w:cs="Times New Roman"/>
          <w:b/>
          <w:spacing w:val="-9"/>
          <w:sz w:val="28"/>
          <w:szCs w:val="28"/>
        </w:rPr>
        <w:t>蒸馏工序</w:t>
      </w:r>
      <w:r>
        <w:rPr>
          <w:rFonts w:ascii="Times New Roman" w:eastAsia="宋体" w:hAnsi="Times New Roman" w:cs="Times New Roman"/>
          <w:b/>
          <w:spacing w:val="-9"/>
          <w:sz w:val="28"/>
          <w:szCs w:val="28"/>
        </w:rPr>
        <w:t>(</w:t>
      </w:r>
      <w:r>
        <w:rPr>
          <w:rFonts w:ascii="Times New Roman" w:eastAsia="宋体" w:hAnsi="Times New Roman" w:cs="Times New Roman"/>
          <w:b/>
          <w:spacing w:val="-9"/>
          <w:sz w:val="28"/>
          <w:szCs w:val="28"/>
        </w:rPr>
        <w:t>两塔精馏</w:t>
      </w:r>
      <w:r>
        <w:rPr>
          <w:rFonts w:ascii="Times New Roman" w:eastAsia="宋体" w:hAnsi="Times New Roman" w:cs="Times New Roman"/>
          <w:b/>
          <w:spacing w:val="-9"/>
          <w:sz w:val="28"/>
          <w:szCs w:val="28"/>
        </w:rPr>
        <w:t>)</w:t>
      </w:r>
    </w:p>
    <w:p w14:paraId="33898E96"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发酵成熟醪经一级预热器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原精馏塔酒汽冷凝的同时将成熟醪加热</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、二级预热器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粗馏塔底糟液给成熟醪加热</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预热</w:t>
      </w:r>
      <w:r>
        <w:rPr>
          <w:rFonts w:ascii="Times New Roman" w:eastAsia="宋体" w:hAnsi="Times New Roman" w:cs="Times New Roman"/>
          <w:bCs/>
          <w:sz w:val="28"/>
          <w:szCs w:val="24"/>
        </w:rPr>
        <w:t>至</w:t>
      </w:r>
      <w:r>
        <w:rPr>
          <w:rFonts w:ascii="Times New Roman" w:eastAsia="宋体" w:hAnsi="Times New Roman" w:cs="Times New Roman"/>
          <w:bCs/>
          <w:sz w:val="28"/>
          <w:szCs w:val="24"/>
        </w:rPr>
        <w:t>80</w:t>
      </w:r>
      <w:r>
        <w:rPr>
          <w:rFonts w:ascii="宋体" w:eastAsia="宋体" w:hAnsi="宋体" w:cs="宋体" w:hint="eastAsia"/>
          <w:bCs/>
          <w:sz w:val="28"/>
          <w:szCs w:val="24"/>
        </w:rPr>
        <w:t>℃</w:t>
      </w:r>
      <w:r>
        <w:rPr>
          <w:rFonts w:ascii="Times New Roman" w:eastAsia="宋体" w:hAnsi="Times New Roman" w:cs="Times New Roman"/>
          <w:kern w:val="0"/>
          <w:sz w:val="28"/>
          <w:szCs w:val="28"/>
        </w:rPr>
        <w:t>后在粗馏塔顶部进料。成熟醪在粗馏塔下行的同时被塔底蒸汽加热，酒汽上行与糟液分离。糟液从塔底排出，</w:t>
      </w:r>
      <w:r>
        <w:rPr>
          <w:rFonts w:ascii="Times New Roman" w:eastAsia="宋体" w:hAnsi="Times New Roman" w:cs="Times New Roman"/>
          <w:bCs/>
          <w:spacing w:val="-9"/>
          <w:sz w:val="28"/>
          <w:szCs w:val="28"/>
        </w:rPr>
        <w:t>进入污水处理系统</w:t>
      </w:r>
      <w:r>
        <w:rPr>
          <w:rFonts w:ascii="Times New Roman" w:eastAsia="宋体" w:hAnsi="Times New Roman" w:cs="Times New Roman"/>
          <w:kern w:val="0"/>
          <w:sz w:val="28"/>
          <w:szCs w:val="28"/>
        </w:rPr>
        <w:t>；甲醇、醛等集中到塔顶，从回流液中取出作为工业酒精，剩余酒气直接进入精馏塔。</w:t>
      </w:r>
    </w:p>
    <w:p w14:paraId="3F2FD79A" w14:textId="77777777" w:rsidR="002133E3" w:rsidRDefault="00C22CFA">
      <w:pPr>
        <w:tabs>
          <w:tab w:val="left" w:pos="1733"/>
          <w:tab w:val="left" w:pos="2520"/>
        </w:tabs>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来自粗馏塔的粗酒汽在精馏塔上行的同时，逐渐浓缩，甲醇、醛等集中到塔顶，从回流液中取出工业酒精，</w:t>
      </w:r>
      <w:r>
        <w:rPr>
          <w:rFonts w:ascii="Times New Roman" w:eastAsia="宋体" w:hAnsi="Times New Roman" w:cs="Times New Roman"/>
          <w:bCs/>
          <w:sz w:val="28"/>
          <w:szCs w:val="24"/>
        </w:rPr>
        <w:t>在进料层附近塔板提取杂醇油，</w:t>
      </w:r>
      <w:r>
        <w:rPr>
          <w:rFonts w:ascii="Times New Roman" w:eastAsia="宋体" w:hAnsi="Times New Roman" w:cs="Times New Roman"/>
          <w:kern w:val="0"/>
          <w:sz w:val="28"/>
          <w:szCs w:val="28"/>
        </w:rPr>
        <w:t>从塔顶以下</w:t>
      </w:r>
      <w:r>
        <w:rPr>
          <w:rFonts w:ascii="Times New Roman" w:eastAsia="宋体" w:hAnsi="Times New Roman" w:cs="Times New Roman"/>
          <w:kern w:val="0"/>
          <w:sz w:val="28"/>
          <w:szCs w:val="28"/>
        </w:rPr>
        <w:t>15</w:t>
      </w:r>
      <w:r>
        <w:rPr>
          <w:rFonts w:ascii="Times New Roman" w:eastAsia="宋体" w:hAnsi="Times New Roman" w:cs="Times New Roman"/>
          <w:kern w:val="0"/>
          <w:sz w:val="28"/>
          <w:szCs w:val="28"/>
        </w:rPr>
        <w:t>板左右取出成品酒精。</w:t>
      </w:r>
    </w:p>
    <w:p w14:paraId="296F07E3"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产污环节：粗馏工序产生废气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1-3</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，精馏工序产生废气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1-4</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；粗馏工序产生釜底残液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，精馏工序产生精馏底液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238E5A3F" w14:textId="77777777" w:rsidR="002133E3" w:rsidRDefault="00C22CFA">
      <w:pPr>
        <w:tabs>
          <w:tab w:val="left" w:pos="1733"/>
          <w:tab w:val="left" w:pos="2520"/>
        </w:tabs>
        <w:snapToGrid w:val="0"/>
        <w:spacing w:line="500" w:lineRule="atLeast"/>
        <w:ind w:firstLineChars="200" w:firstLine="562"/>
        <w:rPr>
          <w:rFonts w:ascii="Times New Roman" w:eastAsia="宋体" w:hAnsi="Times New Roman" w:cs="Times New Roman"/>
          <w:b/>
          <w:spacing w:val="-9"/>
          <w:sz w:val="28"/>
          <w:szCs w:val="28"/>
        </w:rPr>
      </w:pPr>
      <w:r>
        <w:rPr>
          <w:rFonts w:ascii="Times New Roman" w:eastAsia="宋体" w:hAnsi="Times New Roman" w:cs="Times New Roman"/>
          <w:b/>
          <w:bCs/>
          <w:sz w:val="28"/>
          <w:szCs w:val="28"/>
        </w:rPr>
        <w:t xml:space="preserve">(4) </w:t>
      </w:r>
      <w:r>
        <w:rPr>
          <w:rFonts w:ascii="Times New Roman" w:eastAsia="宋体" w:hAnsi="Times New Roman" w:cs="Times New Roman"/>
          <w:b/>
          <w:spacing w:val="-9"/>
          <w:sz w:val="28"/>
          <w:szCs w:val="28"/>
        </w:rPr>
        <w:t>蒸馏工序</w:t>
      </w:r>
      <w:r>
        <w:rPr>
          <w:rFonts w:ascii="Times New Roman" w:eastAsia="宋体" w:hAnsi="Times New Roman" w:cs="Times New Roman"/>
          <w:b/>
          <w:spacing w:val="-9"/>
          <w:sz w:val="28"/>
          <w:szCs w:val="28"/>
        </w:rPr>
        <w:t>(</w:t>
      </w:r>
      <w:r>
        <w:rPr>
          <w:rFonts w:ascii="Times New Roman" w:eastAsia="宋体" w:hAnsi="Times New Roman" w:cs="Times New Roman"/>
          <w:b/>
          <w:spacing w:val="-9"/>
          <w:sz w:val="28"/>
          <w:szCs w:val="28"/>
        </w:rPr>
        <w:t>三塔精馏</w:t>
      </w:r>
      <w:r>
        <w:rPr>
          <w:rFonts w:ascii="Times New Roman" w:eastAsia="宋体" w:hAnsi="Times New Roman" w:cs="Times New Roman"/>
          <w:b/>
          <w:spacing w:val="-9"/>
          <w:sz w:val="28"/>
          <w:szCs w:val="28"/>
        </w:rPr>
        <w:t>)</w:t>
      </w:r>
    </w:p>
    <w:p w14:paraId="2728E101" w14:textId="77777777" w:rsidR="002133E3" w:rsidRDefault="00C22CFA">
      <w:pPr>
        <w:adjustRightInd w:val="0"/>
        <w:snapToGrid w:val="0"/>
        <w:spacing w:line="500" w:lineRule="atLeast"/>
        <w:ind w:firstLine="570"/>
        <w:textAlignment w:val="baseline"/>
        <w:rPr>
          <w:rFonts w:ascii="Times New Roman" w:eastAsia="宋体" w:hAnsi="Times New Roman" w:cs="Times New Roman"/>
          <w:bCs/>
          <w:sz w:val="28"/>
          <w:szCs w:val="24"/>
        </w:rPr>
      </w:pPr>
      <w:r>
        <w:rPr>
          <w:rFonts w:ascii="Times New Roman" w:eastAsia="宋体" w:hAnsi="Times New Roman" w:cs="Times New Roman"/>
          <w:bCs/>
          <w:sz w:val="28"/>
          <w:szCs w:val="24"/>
        </w:rPr>
        <w:t>发酵成熟醪用泵从发酵间送至醪液预热器，利用粗馏塔馏出酒气将醪液预热至</w:t>
      </w:r>
      <w:r>
        <w:rPr>
          <w:rFonts w:ascii="Times New Roman" w:eastAsia="宋体" w:hAnsi="Times New Roman" w:cs="Times New Roman"/>
          <w:bCs/>
          <w:sz w:val="28"/>
          <w:szCs w:val="24"/>
        </w:rPr>
        <w:t>90</w:t>
      </w:r>
      <w:r>
        <w:rPr>
          <w:rFonts w:ascii="宋体" w:eastAsia="宋体" w:hAnsi="宋体" w:cs="宋体" w:hint="eastAsia"/>
          <w:bCs/>
          <w:sz w:val="28"/>
          <w:szCs w:val="24"/>
        </w:rPr>
        <w:t>℃</w:t>
      </w:r>
      <w:r>
        <w:rPr>
          <w:rFonts w:ascii="Times New Roman" w:eastAsia="宋体" w:hAnsi="Times New Roman" w:cs="Times New Roman"/>
          <w:bCs/>
          <w:sz w:val="28"/>
          <w:szCs w:val="24"/>
        </w:rPr>
        <w:t>后进入粗馏塔顶层塔板，采用直接蒸汽加热，塔底耗竭酒精之酒糟用泵抽出送往酒糟处理车间，塔顶馏出酒气进入精馏塔进料层塔板。精馏塔用饱和蒸汽直接加热，塔顶馏出的酒精蒸汽在冷凝中冷凝为工业酒精，在进料层</w:t>
      </w:r>
      <w:r>
        <w:rPr>
          <w:rFonts w:ascii="Times New Roman" w:eastAsia="宋体" w:hAnsi="Times New Roman" w:cs="Times New Roman"/>
          <w:bCs/>
          <w:sz w:val="28"/>
          <w:szCs w:val="24"/>
        </w:rPr>
        <w:t>2</w:t>
      </w:r>
      <w:r>
        <w:rPr>
          <w:rFonts w:ascii="Times New Roman" w:eastAsia="宋体" w:hAnsi="Times New Roman" w:cs="Times New Roman"/>
          <w:bCs/>
          <w:sz w:val="28"/>
          <w:szCs w:val="24"/>
        </w:rPr>
        <w:t>～</w:t>
      </w:r>
      <w:r>
        <w:rPr>
          <w:rFonts w:ascii="Times New Roman" w:eastAsia="宋体" w:hAnsi="Times New Roman" w:cs="Times New Roman"/>
          <w:bCs/>
          <w:sz w:val="28"/>
          <w:szCs w:val="24"/>
        </w:rPr>
        <w:t>4</w:t>
      </w:r>
      <w:r>
        <w:rPr>
          <w:rFonts w:ascii="Times New Roman" w:eastAsia="宋体" w:hAnsi="Times New Roman" w:cs="Times New Roman"/>
          <w:bCs/>
          <w:sz w:val="28"/>
          <w:szCs w:val="24"/>
        </w:rPr>
        <w:t>塔板提取杂醇油，</w:t>
      </w:r>
      <w:r>
        <w:rPr>
          <w:rFonts w:ascii="Times New Roman" w:eastAsia="宋体" w:hAnsi="Times New Roman" w:cs="Times New Roman"/>
          <w:color w:val="000000"/>
          <w:sz w:val="28"/>
          <w:szCs w:val="28"/>
        </w:rPr>
        <w:t>从塔顶以下</w:t>
      </w:r>
      <w:r>
        <w:rPr>
          <w:rFonts w:ascii="Times New Roman" w:eastAsia="宋体" w:hAnsi="Times New Roman" w:cs="Times New Roman"/>
          <w:color w:val="000000"/>
          <w:sz w:val="28"/>
          <w:szCs w:val="28"/>
        </w:rPr>
        <w:t>15</w:t>
      </w:r>
      <w:r>
        <w:rPr>
          <w:rFonts w:ascii="Times New Roman" w:eastAsia="宋体" w:hAnsi="Times New Roman" w:cs="Times New Roman"/>
          <w:color w:val="000000"/>
          <w:sz w:val="28"/>
          <w:szCs w:val="28"/>
        </w:rPr>
        <w:t>板左右取出成品酒精。</w:t>
      </w:r>
      <w:r>
        <w:rPr>
          <w:rFonts w:ascii="Times New Roman" w:eastAsia="宋体" w:hAnsi="Times New Roman" w:cs="Times New Roman"/>
          <w:bCs/>
          <w:sz w:val="28"/>
          <w:szCs w:val="24"/>
        </w:rPr>
        <w:t>精馏塔底的淡酒预热后进入高压共沸塔的第</w:t>
      </w:r>
      <w:r>
        <w:rPr>
          <w:rFonts w:ascii="Times New Roman" w:eastAsia="宋体" w:hAnsi="Times New Roman" w:cs="Times New Roman"/>
          <w:bCs/>
          <w:sz w:val="28"/>
          <w:szCs w:val="24"/>
        </w:rPr>
        <w:t>16</w:t>
      </w:r>
      <w:r>
        <w:rPr>
          <w:rFonts w:ascii="Times New Roman" w:eastAsia="宋体" w:hAnsi="Times New Roman" w:cs="Times New Roman"/>
          <w:bCs/>
          <w:sz w:val="28"/>
          <w:szCs w:val="24"/>
        </w:rPr>
        <w:t>板，进一步精馏得酒精及杂醇油，</w:t>
      </w:r>
      <w:r>
        <w:rPr>
          <w:rFonts w:ascii="Times New Roman" w:eastAsia="宋体" w:hAnsi="Times New Roman" w:cs="Times New Roman"/>
          <w:bCs/>
          <w:spacing w:val="-9"/>
          <w:sz w:val="28"/>
          <w:szCs w:val="28"/>
        </w:rPr>
        <w:t>塔底废水进入污水处理系统。</w:t>
      </w:r>
    </w:p>
    <w:p w14:paraId="664CAD17" w14:textId="77777777" w:rsidR="002133E3" w:rsidRDefault="00C22CFA">
      <w:pPr>
        <w:tabs>
          <w:tab w:val="left" w:pos="1733"/>
          <w:tab w:val="left" w:pos="2520"/>
        </w:tabs>
        <w:snapToGrid w:val="0"/>
        <w:spacing w:line="500" w:lineRule="atLeast"/>
        <w:ind w:firstLineChars="200" w:firstLine="560"/>
        <w:rPr>
          <w:rFonts w:ascii="Times New Roman" w:eastAsia="宋体" w:hAnsi="Times New Roman" w:cs="Times New Roman"/>
          <w:bCs/>
          <w:spacing w:val="-9"/>
          <w:sz w:val="28"/>
          <w:szCs w:val="28"/>
        </w:rPr>
      </w:pPr>
      <w:r>
        <w:rPr>
          <w:rFonts w:ascii="Times New Roman" w:eastAsia="宋体" w:hAnsi="Times New Roman" w:cs="Times New Roman"/>
          <w:kern w:val="0"/>
          <w:sz w:val="28"/>
          <w:szCs w:val="28"/>
        </w:rPr>
        <w:t>产污环节：粗馏工序产生废气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1-5</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1-9</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，精馏工序产生废气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1-6</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1-10</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；粗馏工序产生釜底残液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1-3</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1-5</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，精馏工序产生精馏底液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1-6</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1-10</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2699415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原辅料、能源消耗及主要设备情况</w:t>
      </w:r>
    </w:p>
    <w:p w14:paraId="606D9035"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bookmarkStart w:id="33" w:name="_Hlk69745317"/>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w:t>
      </w:r>
      <w:bookmarkEnd w:id="33"/>
      <w:r>
        <w:rPr>
          <w:rFonts w:ascii="Times New Roman" w:eastAsia="宋体" w:hAnsi="Times New Roman" w:cs="Times New Roman"/>
          <w:kern w:val="0"/>
          <w:sz w:val="28"/>
          <w:szCs w:val="28"/>
        </w:rPr>
        <w:t>生产线生产过程中使用的原辅料、能源消耗及主要设备情况详见表</w:t>
      </w:r>
      <w:r>
        <w:rPr>
          <w:rFonts w:ascii="Times New Roman" w:eastAsia="宋体" w:hAnsi="Times New Roman" w:cs="Times New Roman"/>
          <w:kern w:val="0"/>
          <w:sz w:val="28"/>
          <w:szCs w:val="28"/>
        </w:rPr>
        <w:t>4.2-1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酒精生产线生产过程中使用的原辅料、能源消耗及主要设备情况详见表</w:t>
      </w:r>
      <w:r>
        <w:rPr>
          <w:rFonts w:ascii="Times New Roman" w:eastAsia="宋体" w:hAnsi="Times New Roman" w:cs="Times New Roman"/>
          <w:kern w:val="0"/>
          <w:sz w:val="28"/>
          <w:szCs w:val="28"/>
        </w:rPr>
        <w:t>4.2-2</w:t>
      </w:r>
      <w:r>
        <w:rPr>
          <w:rFonts w:ascii="Times New Roman" w:eastAsia="宋体" w:hAnsi="Times New Roman" w:cs="Times New Roman"/>
          <w:kern w:val="0"/>
          <w:sz w:val="28"/>
          <w:szCs w:val="28"/>
        </w:rPr>
        <w:t>。</w:t>
      </w:r>
    </w:p>
    <w:p w14:paraId="66423205" w14:textId="77777777" w:rsidR="002133E3" w:rsidRDefault="00C22CFA">
      <w:pPr>
        <w:widowControl/>
        <w:snapToGrid w:val="0"/>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4.2-1  10</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酒精生产主要原辅材料、能源消耗情况表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306"/>
        <w:gridCol w:w="2335"/>
        <w:gridCol w:w="1843"/>
        <w:gridCol w:w="1417"/>
        <w:gridCol w:w="2233"/>
      </w:tblGrid>
      <w:tr w:rsidR="002133E3" w14:paraId="470E2140" w14:textId="77777777">
        <w:trPr>
          <w:trHeight w:val="284"/>
          <w:jc w:val="center"/>
        </w:trPr>
        <w:tc>
          <w:tcPr>
            <w:tcW w:w="720" w:type="dxa"/>
            <w:shd w:val="clear" w:color="auto" w:fill="auto"/>
            <w:vAlign w:val="center"/>
          </w:tcPr>
          <w:p w14:paraId="1485D1D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1306" w:type="dxa"/>
            <w:shd w:val="clear" w:color="auto" w:fill="auto"/>
            <w:vAlign w:val="center"/>
          </w:tcPr>
          <w:p w14:paraId="6CCF1D4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名称</w:t>
            </w:r>
          </w:p>
        </w:tc>
        <w:tc>
          <w:tcPr>
            <w:tcW w:w="2335" w:type="dxa"/>
            <w:shd w:val="clear" w:color="auto" w:fill="auto"/>
            <w:vAlign w:val="center"/>
          </w:tcPr>
          <w:p w14:paraId="60A2611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规格</w:t>
            </w:r>
          </w:p>
        </w:tc>
        <w:tc>
          <w:tcPr>
            <w:tcW w:w="1843" w:type="dxa"/>
            <w:shd w:val="clear" w:color="auto" w:fill="auto"/>
            <w:vAlign w:val="center"/>
          </w:tcPr>
          <w:p w14:paraId="5074845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单耗</w:t>
            </w:r>
            <w:r>
              <w:rPr>
                <w:rFonts w:ascii="Times New Roman" w:eastAsia="宋体" w:hAnsi="Times New Roman" w:cs="Times New Roman"/>
                <w:b/>
                <w:bCs/>
                <w:color w:val="000000"/>
                <w:kern w:val="0"/>
                <w:szCs w:val="21"/>
              </w:rPr>
              <w:t>(kg/t</w:t>
            </w:r>
            <w:r>
              <w:rPr>
                <w:rFonts w:ascii="Times New Roman" w:eastAsia="宋体" w:hAnsi="Times New Roman" w:cs="Times New Roman"/>
                <w:b/>
                <w:bCs/>
                <w:color w:val="000000"/>
                <w:kern w:val="0"/>
                <w:szCs w:val="21"/>
              </w:rPr>
              <w:t>产品</w:t>
            </w:r>
            <w:r>
              <w:rPr>
                <w:rFonts w:ascii="Times New Roman" w:eastAsia="宋体" w:hAnsi="Times New Roman" w:cs="Times New Roman"/>
                <w:b/>
                <w:bCs/>
                <w:color w:val="000000"/>
                <w:kern w:val="0"/>
                <w:szCs w:val="21"/>
              </w:rPr>
              <w:t>)</w:t>
            </w:r>
          </w:p>
        </w:tc>
        <w:tc>
          <w:tcPr>
            <w:tcW w:w="1417" w:type="dxa"/>
            <w:shd w:val="clear" w:color="auto" w:fill="auto"/>
            <w:vAlign w:val="center"/>
          </w:tcPr>
          <w:p w14:paraId="2106635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年耗量</w:t>
            </w:r>
            <w:r>
              <w:rPr>
                <w:rFonts w:ascii="Times New Roman" w:eastAsia="宋体" w:hAnsi="Times New Roman" w:cs="Times New Roman"/>
                <w:b/>
                <w:bCs/>
                <w:color w:val="000000"/>
                <w:kern w:val="0"/>
                <w:szCs w:val="21"/>
              </w:rPr>
              <w:t>(t/a)</w:t>
            </w:r>
          </w:p>
        </w:tc>
        <w:tc>
          <w:tcPr>
            <w:tcW w:w="2233" w:type="dxa"/>
            <w:shd w:val="clear" w:color="auto" w:fill="auto"/>
            <w:vAlign w:val="center"/>
          </w:tcPr>
          <w:p w14:paraId="0D1DB0A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来源及运输</w:t>
            </w:r>
          </w:p>
        </w:tc>
      </w:tr>
      <w:tr w:rsidR="002133E3" w14:paraId="034672EF" w14:textId="77777777">
        <w:trPr>
          <w:trHeight w:val="284"/>
          <w:jc w:val="center"/>
        </w:trPr>
        <w:tc>
          <w:tcPr>
            <w:tcW w:w="720" w:type="dxa"/>
            <w:shd w:val="clear" w:color="auto" w:fill="auto"/>
            <w:vAlign w:val="center"/>
          </w:tcPr>
          <w:p w14:paraId="041E6B6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lastRenderedPageBreak/>
              <w:t>1</w:t>
            </w:r>
          </w:p>
        </w:tc>
        <w:tc>
          <w:tcPr>
            <w:tcW w:w="1306" w:type="dxa"/>
            <w:shd w:val="clear" w:color="auto" w:fill="auto"/>
            <w:vAlign w:val="center"/>
          </w:tcPr>
          <w:p w14:paraId="1E0ABE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木薯干</w:t>
            </w:r>
          </w:p>
        </w:tc>
        <w:tc>
          <w:tcPr>
            <w:tcW w:w="2335" w:type="dxa"/>
            <w:shd w:val="clear" w:color="auto" w:fill="auto"/>
            <w:vAlign w:val="center"/>
          </w:tcPr>
          <w:p w14:paraId="1D4213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淀粉含量约为</w:t>
            </w:r>
            <w:r>
              <w:rPr>
                <w:rFonts w:ascii="Times New Roman" w:eastAsia="宋体" w:hAnsi="Times New Roman" w:cs="Times New Roman"/>
                <w:szCs w:val="21"/>
              </w:rPr>
              <w:t>67</w:t>
            </w:r>
            <w:r>
              <w:rPr>
                <w:rFonts w:ascii="Times New Roman" w:eastAsia="宋体" w:hAnsi="Times New Roman" w:cs="Times New Roman"/>
                <w:szCs w:val="21"/>
              </w:rPr>
              <w:t>～</w:t>
            </w:r>
            <w:r>
              <w:rPr>
                <w:rFonts w:ascii="Times New Roman" w:eastAsia="宋体" w:hAnsi="Times New Roman" w:cs="Times New Roman"/>
                <w:szCs w:val="21"/>
              </w:rPr>
              <w:t>68%</w:t>
            </w:r>
          </w:p>
        </w:tc>
        <w:tc>
          <w:tcPr>
            <w:tcW w:w="1843" w:type="dxa"/>
            <w:shd w:val="clear" w:color="auto" w:fill="auto"/>
            <w:vAlign w:val="center"/>
          </w:tcPr>
          <w:p w14:paraId="0B0112C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2725.87</w:t>
            </w:r>
          </w:p>
        </w:tc>
        <w:tc>
          <w:tcPr>
            <w:tcW w:w="1417" w:type="dxa"/>
            <w:shd w:val="clear" w:color="auto" w:fill="auto"/>
            <w:vAlign w:val="center"/>
          </w:tcPr>
          <w:p w14:paraId="4339273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272587 </w:t>
            </w:r>
          </w:p>
        </w:tc>
        <w:tc>
          <w:tcPr>
            <w:tcW w:w="2233" w:type="dxa"/>
            <w:shd w:val="clear" w:color="auto" w:fill="auto"/>
            <w:vAlign w:val="center"/>
          </w:tcPr>
          <w:p w14:paraId="02A15BA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越南进口，轮船、汽车</w:t>
            </w:r>
          </w:p>
        </w:tc>
      </w:tr>
      <w:tr w:rsidR="002133E3" w14:paraId="7CDD4BC6" w14:textId="77777777">
        <w:trPr>
          <w:trHeight w:val="284"/>
          <w:jc w:val="center"/>
        </w:trPr>
        <w:tc>
          <w:tcPr>
            <w:tcW w:w="720" w:type="dxa"/>
            <w:shd w:val="clear" w:color="auto" w:fill="auto"/>
            <w:vAlign w:val="center"/>
          </w:tcPr>
          <w:p w14:paraId="40B3FD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w:t>
            </w:r>
          </w:p>
        </w:tc>
        <w:tc>
          <w:tcPr>
            <w:tcW w:w="1306" w:type="dxa"/>
            <w:shd w:val="clear" w:color="auto" w:fill="auto"/>
            <w:noWrap/>
            <w:vAlign w:val="center"/>
          </w:tcPr>
          <w:p w14:paraId="54002F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淀粉酶</w:t>
            </w:r>
          </w:p>
        </w:tc>
        <w:tc>
          <w:tcPr>
            <w:tcW w:w="2335" w:type="dxa"/>
            <w:shd w:val="clear" w:color="auto" w:fill="auto"/>
            <w:vAlign w:val="center"/>
          </w:tcPr>
          <w:p w14:paraId="261E47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15</w:t>
            </w:r>
            <w:r>
              <w:rPr>
                <w:rFonts w:ascii="Times New Roman" w:eastAsia="宋体" w:hAnsi="Times New Roman" w:cs="Times New Roman"/>
                <w:szCs w:val="21"/>
              </w:rPr>
              <w:t>万单位</w:t>
            </w:r>
          </w:p>
        </w:tc>
        <w:tc>
          <w:tcPr>
            <w:tcW w:w="1843" w:type="dxa"/>
            <w:shd w:val="clear" w:color="auto" w:fill="auto"/>
            <w:vAlign w:val="center"/>
          </w:tcPr>
          <w:p w14:paraId="7299CEE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0.34</w:t>
            </w:r>
          </w:p>
        </w:tc>
        <w:tc>
          <w:tcPr>
            <w:tcW w:w="1417" w:type="dxa"/>
            <w:shd w:val="clear" w:color="auto" w:fill="auto"/>
            <w:vAlign w:val="center"/>
          </w:tcPr>
          <w:p w14:paraId="11A2C7A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34 </w:t>
            </w:r>
          </w:p>
        </w:tc>
        <w:tc>
          <w:tcPr>
            <w:tcW w:w="2233" w:type="dxa"/>
            <w:shd w:val="clear" w:color="auto" w:fill="auto"/>
            <w:vAlign w:val="center"/>
          </w:tcPr>
          <w:p w14:paraId="2CD184B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2133E3" w14:paraId="41BFEA1F" w14:textId="77777777">
        <w:trPr>
          <w:trHeight w:val="284"/>
          <w:jc w:val="center"/>
        </w:trPr>
        <w:tc>
          <w:tcPr>
            <w:tcW w:w="720" w:type="dxa"/>
            <w:shd w:val="clear" w:color="auto" w:fill="auto"/>
            <w:vAlign w:val="center"/>
          </w:tcPr>
          <w:p w14:paraId="50B0EF5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w:t>
            </w:r>
          </w:p>
        </w:tc>
        <w:tc>
          <w:tcPr>
            <w:tcW w:w="1306" w:type="dxa"/>
            <w:shd w:val="clear" w:color="auto" w:fill="auto"/>
            <w:noWrap/>
            <w:vAlign w:val="center"/>
          </w:tcPr>
          <w:p w14:paraId="2EDA41D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糖化酶</w:t>
            </w:r>
          </w:p>
        </w:tc>
        <w:tc>
          <w:tcPr>
            <w:tcW w:w="2335" w:type="dxa"/>
            <w:shd w:val="clear" w:color="auto" w:fill="auto"/>
            <w:vAlign w:val="center"/>
          </w:tcPr>
          <w:p w14:paraId="061D4E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w:t>
            </w:r>
            <w:r>
              <w:rPr>
                <w:rFonts w:ascii="Times New Roman" w:eastAsia="宋体" w:hAnsi="Times New Roman" w:cs="Times New Roman"/>
                <w:szCs w:val="21"/>
              </w:rPr>
              <w:t>万单位</w:t>
            </w:r>
          </w:p>
        </w:tc>
        <w:tc>
          <w:tcPr>
            <w:tcW w:w="1843" w:type="dxa"/>
            <w:shd w:val="clear" w:color="auto" w:fill="auto"/>
            <w:vAlign w:val="center"/>
          </w:tcPr>
          <w:p w14:paraId="2D52588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1.34</w:t>
            </w:r>
          </w:p>
        </w:tc>
        <w:tc>
          <w:tcPr>
            <w:tcW w:w="1417" w:type="dxa"/>
            <w:shd w:val="clear" w:color="auto" w:fill="auto"/>
            <w:vAlign w:val="center"/>
          </w:tcPr>
          <w:p w14:paraId="4B1A60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134 </w:t>
            </w:r>
          </w:p>
        </w:tc>
        <w:tc>
          <w:tcPr>
            <w:tcW w:w="2233" w:type="dxa"/>
            <w:shd w:val="clear" w:color="auto" w:fill="auto"/>
            <w:vAlign w:val="center"/>
          </w:tcPr>
          <w:p w14:paraId="4DEE15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2133E3" w14:paraId="6027A45C" w14:textId="77777777">
        <w:trPr>
          <w:trHeight w:val="284"/>
          <w:jc w:val="center"/>
        </w:trPr>
        <w:tc>
          <w:tcPr>
            <w:tcW w:w="720" w:type="dxa"/>
            <w:shd w:val="clear" w:color="auto" w:fill="auto"/>
            <w:vAlign w:val="center"/>
          </w:tcPr>
          <w:p w14:paraId="7A85890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4</w:t>
            </w:r>
          </w:p>
        </w:tc>
        <w:tc>
          <w:tcPr>
            <w:tcW w:w="1306" w:type="dxa"/>
            <w:shd w:val="clear" w:color="auto" w:fill="auto"/>
            <w:noWrap/>
            <w:vAlign w:val="center"/>
          </w:tcPr>
          <w:p w14:paraId="6FE7466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尿素</w:t>
            </w:r>
          </w:p>
        </w:tc>
        <w:tc>
          <w:tcPr>
            <w:tcW w:w="2335" w:type="dxa"/>
            <w:shd w:val="clear" w:color="auto" w:fill="auto"/>
            <w:vAlign w:val="center"/>
          </w:tcPr>
          <w:p w14:paraId="1684F4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含氮量</w:t>
            </w:r>
            <w:r>
              <w:rPr>
                <w:rFonts w:ascii="Times New Roman" w:eastAsia="宋体" w:hAnsi="Times New Roman" w:cs="Times New Roman"/>
                <w:szCs w:val="21"/>
              </w:rPr>
              <w:t>46%</w:t>
            </w:r>
          </w:p>
        </w:tc>
        <w:tc>
          <w:tcPr>
            <w:tcW w:w="1843" w:type="dxa"/>
            <w:shd w:val="clear" w:color="auto" w:fill="auto"/>
            <w:vAlign w:val="center"/>
          </w:tcPr>
          <w:p w14:paraId="05AC46A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w:t>
            </w:r>
          </w:p>
        </w:tc>
        <w:tc>
          <w:tcPr>
            <w:tcW w:w="1417" w:type="dxa"/>
            <w:shd w:val="clear" w:color="auto" w:fill="auto"/>
            <w:vAlign w:val="center"/>
          </w:tcPr>
          <w:p w14:paraId="3D2037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200 </w:t>
            </w:r>
          </w:p>
        </w:tc>
        <w:tc>
          <w:tcPr>
            <w:tcW w:w="2233" w:type="dxa"/>
            <w:shd w:val="clear" w:color="auto" w:fill="auto"/>
            <w:vAlign w:val="center"/>
          </w:tcPr>
          <w:p w14:paraId="180DB0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2133E3" w14:paraId="30DD95CC" w14:textId="77777777">
        <w:trPr>
          <w:trHeight w:val="284"/>
          <w:jc w:val="center"/>
        </w:trPr>
        <w:tc>
          <w:tcPr>
            <w:tcW w:w="720" w:type="dxa"/>
            <w:shd w:val="clear" w:color="auto" w:fill="auto"/>
            <w:vAlign w:val="center"/>
          </w:tcPr>
          <w:p w14:paraId="6BD93BC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w:t>
            </w:r>
          </w:p>
        </w:tc>
        <w:tc>
          <w:tcPr>
            <w:tcW w:w="1306" w:type="dxa"/>
            <w:shd w:val="clear" w:color="auto" w:fill="auto"/>
            <w:noWrap/>
            <w:vAlign w:val="center"/>
          </w:tcPr>
          <w:p w14:paraId="07D64F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硫酸</w:t>
            </w:r>
          </w:p>
        </w:tc>
        <w:tc>
          <w:tcPr>
            <w:tcW w:w="2335" w:type="dxa"/>
            <w:shd w:val="clear" w:color="auto" w:fill="auto"/>
            <w:vAlign w:val="center"/>
          </w:tcPr>
          <w:p w14:paraId="43AB39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60%</w:t>
            </w:r>
          </w:p>
        </w:tc>
        <w:tc>
          <w:tcPr>
            <w:tcW w:w="1843" w:type="dxa"/>
            <w:shd w:val="clear" w:color="auto" w:fill="auto"/>
            <w:vAlign w:val="center"/>
          </w:tcPr>
          <w:p w14:paraId="1AB933D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3.27</w:t>
            </w:r>
          </w:p>
        </w:tc>
        <w:tc>
          <w:tcPr>
            <w:tcW w:w="1417" w:type="dxa"/>
            <w:shd w:val="clear" w:color="auto" w:fill="auto"/>
            <w:vAlign w:val="center"/>
          </w:tcPr>
          <w:p w14:paraId="4E05AF5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327 </w:t>
            </w:r>
          </w:p>
        </w:tc>
        <w:tc>
          <w:tcPr>
            <w:tcW w:w="2233" w:type="dxa"/>
            <w:shd w:val="clear" w:color="auto" w:fill="auto"/>
            <w:vAlign w:val="center"/>
          </w:tcPr>
          <w:p w14:paraId="4B23A0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来自醋酸乙酯生产线</w:t>
            </w:r>
          </w:p>
        </w:tc>
      </w:tr>
      <w:tr w:rsidR="002133E3" w14:paraId="1CF84083" w14:textId="77777777">
        <w:trPr>
          <w:trHeight w:val="284"/>
          <w:jc w:val="center"/>
        </w:trPr>
        <w:tc>
          <w:tcPr>
            <w:tcW w:w="720" w:type="dxa"/>
            <w:shd w:val="clear" w:color="auto" w:fill="auto"/>
            <w:vAlign w:val="center"/>
          </w:tcPr>
          <w:p w14:paraId="3FC8701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6</w:t>
            </w:r>
          </w:p>
        </w:tc>
        <w:tc>
          <w:tcPr>
            <w:tcW w:w="1306" w:type="dxa"/>
            <w:shd w:val="clear" w:color="auto" w:fill="auto"/>
            <w:noWrap/>
            <w:vAlign w:val="center"/>
          </w:tcPr>
          <w:p w14:paraId="078169B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硫酸</w:t>
            </w:r>
          </w:p>
        </w:tc>
        <w:tc>
          <w:tcPr>
            <w:tcW w:w="2335" w:type="dxa"/>
            <w:shd w:val="clear" w:color="auto" w:fill="auto"/>
            <w:vAlign w:val="center"/>
          </w:tcPr>
          <w:p w14:paraId="0AC25EC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98%</w:t>
            </w:r>
          </w:p>
        </w:tc>
        <w:tc>
          <w:tcPr>
            <w:tcW w:w="1843" w:type="dxa"/>
            <w:shd w:val="clear" w:color="auto" w:fill="auto"/>
            <w:vAlign w:val="center"/>
          </w:tcPr>
          <w:p w14:paraId="5DBA36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5.04</w:t>
            </w:r>
          </w:p>
        </w:tc>
        <w:tc>
          <w:tcPr>
            <w:tcW w:w="1417" w:type="dxa"/>
            <w:shd w:val="clear" w:color="auto" w:fill="auto"/>
            <w:vAlign w:val="center"/>
          </w:tcPr>
          <w:p w14:paraId="4BC141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504 </w:t>
            </w:r>
          </w:p>
        </w:tc>
        <w:tc>
          <w:tcPr>
            <w:tcW w:w="2233" w:type="dxa"/>
            <w:shd w:val="clear" w:color="auto" w:fill="auto"/>
            <w:vAlign w:val="center"/>
          </w:tcPr>
          <w:p w14:paraId="4FE846F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9C2E4E" w14:paraId="41F842BF" w14:textId="77777777">
        <w:trPr>
          <w:trHeight w:val="284"/>
          <w:jc w:val="center"/>
        </w:trPr>
        <w:tc>
          <w:tcPr>
            <w:tcW w:w="720" w:type="dxa"/>
            <w:shd w:val="clear" w:color="auto" w:fill="auto"/>
            <w:vAlign w:val="center"/>
          </w:tcPr>
          <w:p w14:paraId="7ACFAAF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7</w:t>
            </w:r>
          </w:p>
        </w:tc>
        <w:tc>
          <w:tcPr>
            <w:tcW w:w="1306" w:type="dxa"/>
            <w:shd w:val="clear" w:color="auto" w:fill="auto"/>
            <w:noWrap/>
            <w:vAlign w:val="center"/>
          </w:tcPr>
          <w:p w14:paraId="0BDDD917" w14:textId="0F70A3AB"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干酵母</w:t>
            </w:r>
          </w:p>
        </w:tc>
        <w:tc>
          <w:tcPr>
            <w:tcW w:w="2335" w:type="dxa"/>
            <w:shd w:val="clear" w:color="auto" w:fill="auto"/>
            <w:vAlign w:val="center"/>
          </w:tcPr>
          <w:p w14:paraId="58DDEC72" w14:textId="6F43972F"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活性</w:t>
            </w:r>
          </w:p>
        </w:tc>
        <w:tc>
          <w:tcPr>
            <w:tcW w:w="1843" w:type="dxa"/>
            <w:shd w:val="clear" w:color="auto" w:fill="auto"/>
            <w:vAlign w:val="center"/>
          </w:tcPr>
          <w:p w14:paraId="54C4A7E1" w14:textId="0F0BCB88"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0.17</w:t>
            </w:r>
          </w:p>
        </w:tc>
        <w:tc>
          <w:tcPr>
            <w:tcW w:w="1417" w:type="dxa"/>
            <w:shd w:val="clear" w:color="auto" w:fill="auto"/>
            <w:vAlign w:val="center"/>
          </w:tcPr>
          <w:p w14:paraId="1769541C" w14:textId="528BD1C8"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17 </w:t>
            </w:r>
          </w:p>
        </w:tc>
        <w:tc>
          <w:tcPr>
            <w:tcW w:w="2233" w:type="dxa"/>
            <w:shd w:val="clear" w:color="auto" w:fill="auto"/>
            <w:vAlign w:val="center"/>
          </w:tcPr>
          <w:p w14:paraId="3ECC62D4" w14:textId="58FBDA65"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9C2E4E" w14:paraId="1B5ABDCB" w14:textId="77777777">
        <w:trPr>
          <w:trHeight w:val="284"/>
          <w:jc w:val="center"/>
        </w:trPr>
        <w:tc>
          <w:tcPr>
            <w:tcW w:w="720" w:type="dxa"/>
            <w:shd w:val="clear" w:color="auto" w:fill="auto"/>
            <w:vAlign w:val="center"/>
          </w:tcPr>
          <w:p w14:paraId="6C256A2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8</w:t>
            </w:r>
          </w:p>
        </w:tc>
        <w:tc>
          <w:tcPr>
            <w:tcW w:w="1306" w:type="dxa"/>
            <w:shd w:val="clear" w:color="auto" w:fill="auto"/>
            <w:noWrap/>
            <w:vAlign w:val="center"/>
          </w:tcPr>
          <w:p w14:paraId="72667963" w14:textId="50F62E61"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磷酸一铵</w:t>
            </w:r>
          </w:p>
        </w:tc>
        <w:tc>
          <w:tcPr>
            <w:tcW w:w="2335" w:type="dxa"/>
            <w:shd w:val="clear" w:color="auto" w:fill="auto"/>
            <w:vAlign w:val="center"/>
          </w:tcPr>
          <w:p w14:paraId="604BCAB7" w14:textId="0F5E295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99%</w:t>
            </w:r>
          </w:p>
        </w:tc>
        <w:tc>
          <w:tcPr>
            <w:tcW w:w="1843" w:type="dxa"/>
            <w:shd w:val="clear" w:color="auto" w:fill="auto"/>
            <w:vAlign w:val="center"/>
          </w:tcPr>
          <w:p w14:paraId="56ACC325" w14:textId="2A64A9E0"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0.2</w:t>
            </w:r>
          </w:p>
        </w:tc>
        <w:tc>
          <w:tcPr>
            <w:tcW w:w="1417" w:type="dxa"/>
            <w:shd w:val="clear" w:color="auto" w:fill="auto"/>
            <w:vAlign w:val="center"/>
          </w:tcPr>
          <w:p w14:paraId="3CC7352A" w14:textId="72D5C3D9"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20 </w:t>
            </w:r>
          </w:p>
        </w:tc>
        <w:tc>
          <w:tcPr>
            <w:tcW w:w="2233" w:type="dxa"/>
            <w:shd w:val="clear" w:color="auto" w:fill="auto"/>
            <w:vAlign w:val="center"/>
          </w:tcPr>
          <w:p w14:paraId="414F541D" w14:textId="0DC754FF"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9C2E4E" w14:paraId="223CDC6C" w14:textId="77777777">
        <w:trPr>
          <w:trHeight w:val="284"/>
          <w:jc w:val="center"/>
        </w:trPr>
        <w:tc>
          <w:tcPr>
            <w:tcW w:w="720" w:type="dxa"/>
            <w:shd w:val="clear" w:color="auto" w:fill="auto"/>
            <w:vAlign w:val="center"/>
          </w:tcPr>
          <w:p w14:paraId="032FE5BF"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9</w:t>
            </w:r>
          </w:p>
        </w:tc>
        <w:tc>
          <w:tcPr>
            <w:tcW w:w="1306" w:type="dxa"/>
            <w:shd w:val="clear" w:color="auto" w:fill="auto"/>
            <w:noWrap/>
            <w:vAlign w:val="center"/>
          </w:tcPr>
          <w:p w14:paraId="5F8D916C" w14:textId="3314632D"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片碱</w:t>
            </w:r>
          </w:p>
        </w:tc>
        <w:tc>
          <w:tcPr>
            <w:tcW w:w="2335" w:type="dxa"/>
            <w:shd w:val="clear" w:color="auto" w:fill="auto"/>
            <w:vAlign w:val="center"/>
          </w:tcPr>
          <w:p w14:paraId="5510CF8D" w14:textId="302D731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99%</w:t>
            </w:r>
          </w:p>
        </w:tc>
        <w:tc>
          <w:tcPr>
            <w:tcW w:w="1843" w:type="dxa"/>
            <w:shd w:val="clear" w:color="auto" w:fill="auto"/>
            <w:vAlign w:val="center"/>
          </w:tcPr>
          <w:p w14:paraId="00F7339C" w14:textId="5AA5069B"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0.17</w:t>
            </w:r>
          </w:p>
        </w:tc>
        <w:tc>
          <w:tcPr>
            <w:tcW w:w="1417" w:type="dxa"/>
            <w:shd w:val="clear" w:color="auto" w:fill="auto"/>
            <w:vAlign w:val="center"/>
          </w:tcPr>
          <w:p w14:paraId="2683A3EB" w14:textId="07FB4C91"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17 </w:t>
            </w:r>
          </w:p>
        </w:tc>
        <w:tc>
          <w:tcPr>
            <w:tcW w:w="2233" w:type="dxa"/>
            <w:shd w:val="clear" w:color="auto" w:fill="auto"/>
            <w:vAlign w:val="center"/>
          </w:tcPr>
          <w:p w14:paraId="23342359" w14:textId="4EB50B80"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9C2E4E" w14:paraId="4300995B" w14:textId="77777777">
        <w:trPr>
          <w:trHeight w:val="284"/>
          <w:jc w:val="center"/>
        </w:trPr>
        <w:tc>
          <w:tcPr>
            <w:tcW w:w="720" w:type="dxa"/>
            <w:shd w:val="clear" w:color="auto" w:fill="auto"/>
            <w:vAlign w:val="center"/>
          </w:tcPr>
          <w:p w14:paraId="13E0D73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10</w:t>
            </w:r>
          </w:p>
        </w:tc>
        <w:tc>
          <w:tcPr>
            <w:tcW w:w="1306" w:type="dxa"/>
            <w:shd w:val="clear" w:color="auto" w:fill="auto"/>
            <w:vAlign w:val="center"/>
          </w:tcPr>
          <w:p w14:paraId="33AD2F1D" w14:textId="12870984"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水</w:t>
            </w:r>
          </w:p>
        </w:tc>
        <w:tc>
          <w:tcPr>
            <w:tcW w:w="2335" w:type="dxa"/>
            <w:shd w:val="clear" w:color="auto" w:fill="auto"/>
            <w:vAlign w:val="center"/>
          </w:tcPr>
          <w:p w14:paraId="15F52A5E" w14:textId="6184C286"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≤20</w:t>
            </w:r>
            <w:r>
              <w:rPr>
                <w:rFonts w:ascii="宋体" w:eastAsia="宋体" w:hAnsi="宋体" w:cs="宋体" w:hint="eastAsia"/>
                <w:szCs w:val="21"/>
              </w:rPr>
              <w:t>℃</w:t>
            </w:r>
          </w:p>
        </w:tc>
        <w:tc>
          <w:tcPr>
            <w:tcW w:w="1843" w:type="dxa"/>
            <w:shd w:val="clear" w:color="auto" w:fill="auto"/>
            <w:vAlign w:val="center"/>
          </w:tcPr>
          <w:p w14:paraId="7967042A" w14:textId="3D278A03"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9881.4</w:t>
            </w:r>
          </w:p>
        </w:tc>
        <w:tc>
          <w:tcPr>
            <w:tcW w:w="1417" w:type="dxa"/>
            <w:shd w:val="clear" w:color="auto" w:fill="auto"/>
            <w:vAlign w:val="center"/>
          </w:tcPr>
          <w:p w14:paraId="0017C7AB" w14:textId="30E66E2E"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988140 </w:t>
            </w:r>
          </w:p>
        </w:tc>
        <w:tc>
          <w:tcPr>
            <w:tcW w:w="2233" w:type="dxa"/>
            <w:shd w:val="clear" w:color="auto" w:fill="auto"/>
            <w:vAlign w:val="center"/>
          </w:tcPr>
          <w:p w14:paraId="2B53A57E" w14:textId="131DB36E"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兴庄河自来水厂</w:t>
            </w:r>
          </w:p>
        </w:tc>
      </w:tr>
      <w:tr w:rsidR="009C2E4E" w14:paraId="27C6CC29" w14:textId="77777777">
        <w:trPr>
          <w:trHeight w:val="284"/>
          <w:jc w:val="center"/>
        </w:trPr>
        <w:tc>
          <w:tcPr>
            <w:tcW w:w="720" w:type="dxa"/>
            <w:shd w:val="clear" w:color="auto" w:fill="auto"/>
            <w:vAlign w:val="center"/>
          </w:tcPr>
          <w:p w14:paraId="09082396"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11</w:t>
            </w:r>
          </w:p>
        </w:tc>
        <w:tc>
          <w:tcPr>
            <w:tcW w:w="1306" w:type="dxa"/>
            <w:shd w:val="clear" w:color="auto" w:fill="auto"/>
            <w:vAlign w:val="center"/>
          </w:tcPr>
          <w:p w14:paraId="1849D7B5" w14:textId="757938D5"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蒸汽</w:t>
            </w:r>
          </w:p>
        </w:tc>
        <w:tc>
          <w:tcPr>
            <w:tcW w:w="2335" w:type="dxa"/>
            <w:shd w:val="clear" w:color="auto" w:fill="auto"/>
            <w:vAlign w:val="center"/>
          </w:tcPr>
          <w:p w14:paraId="63E506A8" w14:textId="46863439"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0.6MPa</w:t>
            </w:r>
          </w:p>
        </w:tc>
        <w:tc>
          <w:tcPr>
            <w:tcW w:w="1843" w:type="dxa"/>
            <w:shd w:val="clear" w:color="auto" w:fill="auto"/>
            <w:vAlign w:val="center"/>
          </w:tcPr>
          <w:p w14:paraId="643D34F1" w14:textId="258E3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1700.0</w:t>
            </w:r>
          </w:p>
        </w:tc>
        <w:tc>
          <w:tcPr>
            <w:tcW w:w="1417" w:type="dxa"/>
            <w:shd w:val="clear" w:color="auto" w:fill="auto"/>
            <w:vAlign w:val="center"/>
          </w:tcPr>
          <w:p w14:paraId="1B25008F" w14:textId="5BF29204"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170000 </w:t>
            </w:r>
          </w:p>
        </w:tc>
        <w:tc>
          <w:tcPr>
            <w:tcW w:w="2233" w:type="dxa"/>
            <w:shd w:val="clear" w:color="auto" w:fill="auto"/>
            <w:vAlign w:val="center"/>
          </w:tcPr>
          <w:p w14:paraId="75931CDA" w14:textId="03D88FBA"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利用园区供热中心</w:t>
            </w:r>
          </w:p>
        </w:tc>
      </w:tr>
      <w:tr w:rsidR="009C2E4E" w14:paraId="05EFD069" w14:textId="77777777">
        <w:trPr>
          <w:trHeight w:val="284"/>
          <w:jc w:val="center"/>
        </w:trPr>
        <w:tc>
          <w:tcPr>
            <w:tcW w:w="720" w:type="dxa"/>
            <w:shd w:val="clear" w:color="auto" w:fill="auto"/>
            <w:vAlign w:val="center"/>
          </w:tcPr>
          <w:p w14:paraId="1093093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12</w:t>
            </w:r>
          </w:p>
        </w:tc>
        <w:tc>
          <w:tcPr>
            <w:tcW w:w="1306" w:type="dxa"/>
            <w:shd w:val="clear" w:color="auto" w:fill="auto"/>
            <w:vAlign w:val="center"/>
          </w:tcPr>
          <w:p w14:paraId="73D4CE3A" w14:textId="260E981B"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电</w:t>
            </w:r>
          </w:p>
        </w:tc>
        <w:tc>
          <w:tcPr>
            <w:tcW w:w="2335" w:type="dxa"/>
            <w:shd w:val="clear" w:color="auto" w:fill="auto"/>
            <w:vAlign w:val="center"/>
          </w:tcPr>
          <w:p w14:paraId="45F88C11" w14:textId="18EE0CDE"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380V/220V</w:t>
            </w:r>
          </w:p>
        </w:tc>
        <w:tc>
          <w:tcPr>
            <w:tcW w:w="1843" w:type="dxa"/>
            <w:shd w:val="clear" w:color="auto" w:fill="auto"/>
            <w:vAlign w:val="center"/>
          </w:tcPr>
          <w:p w14:paraId="6B2251E6" w14:textId="7F7057F1"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180kwh/t</w:t>
            </w:r>
            <w:r>
              <w:rPr>
                <w:rFonts w:ascii="Times New Roman" w:eastAsia="宋体" w:hAnsi="Times New Roman" w:cs="Times New Roman"/>
                <w:szCs w:val="21"/>
              </w:rPr>
              <w:t>产品</w:t>
            </w:r>
          </w:p>
        </w:tc>
        <w:tc>
          <w:tcPr>
            <w:tcW w:w="1417" w:type="dxa"/>
            <w:shd w:val="clear" w:color="auto" w:fill="auto"/>
            <w:vAlign w:val="center"/>
          </w:tcPr>
          <w:p w14:paraId="1EACC9B6" w14:textId="13EABAB4"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1800</w:t>
            </w:r>
            <w:r>
              <w:rPr>
                <w:rFonts w:ascii="Times New Roman" w:eastAsia="宋体" w:hAnsi="Times New Roman" w:cs="Times New Roman"/>
                <w:szCs w:val="21"/>
              </w:rPr>
              <w:t>万</w:t>
            </w:r>
            <w:r>
              <w:rPr>
                <w:rFonts w:ascii="Times New Roman" w:eastAsia="宋体" w:hAnsi="Times New Roman" w:cs="Times New Roman"/>
                <w:szCs w:val="21"/>
              </w:rPr>
              <w:t>kwh/a</w:t>
            </w:r>
          </w:p>
        </w:tc>
        <w:tc>
          <w:tcPr>
            <w:tcW w:w="2233" w:type="dxa"/>
            <w:shd w:val="clear" w:color="auto" w:fill="auto"/>
            <w:vAlign w:val="center"/>
          </w:tcPr>
          <w:p w14:paraId="65C306FC" w14:textId="2F095280"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海头变电所</w:t>
            </w:r>
          </w:p>
        </w:tc>
      </w:tr>
    </w:tbl>
    <w:p w14:paraId="16C8FA8D"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4.2-2  5</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酒精生产主要原辅材料、能源消耗情况表</w:t>
      </w:r>
    </w:p>
    <w:tbl>
      <w:tblPr>
        <w:tblW w:w="5000" w:type="pct"/>
        <w:jc w:val="center"/>
        <w:tblLook w:val="04A0" w:firstRow="1" w:lastRow="0" w:firstColumn="1" w:lastColumn="0" w:noHBand="0" w:noVBand="1"/>
      </w:tblPr>
      <w:tblGrid>
        <w:gridCol w:w="720"/>
        <w:gridCol w:w="1306"/>
        <w:gridCol w:w="2335"/>
        <w:gridCol w:w="1843"/>
        <w:gridCol w:w="1417"/>
        <w:gridCol w:w="2233"/>
      </w:tblGrid>
      <w:tr w:rsidR="002133E3" w14:paraId="6AD2AF31"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7409E9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1306" w:type="dxa"/>
            <w:tcBorders>
              <w:top w:val="single" w:sz="4" w:space="0" w:color="auto"/>
              <w:left w:val="nil"/>
              <w:bottom w:val="single" w:sz="4" w:space="0" w:color="auto"/>
              <w:right w:val="single" w:sz="4" w:space="0" w:color="auto"/>
            </w:tcBorders>
            <w:shd w:val="clear" w:color="auto" w:fill="auto"/>
            <w:vAlign w:val="center"/>
          </w:tcPr>
          <w:p w14:paraId="451180A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名称</w:t>
            </w:r>
          </w:p>
        </w:tc>
        <w:tc>
          <w:tcPr>
            <w:tcW w:w="2335" w:type="dxa"/>
            <w:tcBorders>
              <w:top w:val="single" w:sz="4" w:space="0" w:color="auto"/>
              <w:left w:val="nil"/>
              <w:bottom w:val="single" w:sz="4" w:space="0" w:color="auto"/>
              <w:right w:val="single" w:sz="4" w:space="0" w:color="auto"/>
            </w:tcBorders>
            <w:shd w:val="clear" w:color="auto" w:fill="auto"/>
            <w:vAlign w:val="center"/>
          </w:tcPr>
          <w:p w14:paraId="4B81EA3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规格</w:t>
            </w:r>
          </w:p>
        </w:tc>
        <w:tc>
          <w:tcPr>
            <w:tcW w:w="1843" w:type="dxa"/>
            <w:tcBorders>
              <w:top w:val="single" w:sz="4" w:space="0" w:color="auto"/>
              <w:left w:val="nil"/>
              <w:bottom w:val="single" w:sz="4" w:space="0" w:color="auto"/>
              <w:right w:val="single" w:sz="4" w:space="0" w:color="auto"/>
            </w:tcBorders>
            <w:shd w:val="clear" w:color="auto" w:fill="auto"/>
            <w:vAlign w:val="center"/>
          </w:tcPr>
          <w:p w14:paraId="52037F3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单耗</w:t>
            </w:r>
            <w:r>
              <w:rPr>
                <w:rFonts w:ascii="Times New Roman" w:eastAsia="宋体" w:hAnsi="Times New Roman" w:cs="Times New Roman"/>
                <w:b/>
                <w:bCs/>
                <w:kern w:val="0"/>
                <w:szCs w:val="21"/>
              </w:rPr>
              <w:t>(kg/t</w:t>
            </w:r>
            <w:r>
              <w:rPr>
                <w:rFonts w:ascii="Times New Roman" w:eastAsia="宋体" w:hAnsi="Times New Roman" w:cs="Times New Roman"/>
                <w:b/>
                <w:bCs/>
                <w:kern w:val="0"/>
                <w:szCs w:val="21"/>
              </w:rPr>
              <w:t>产品</w:t>
            </w:r>
            <w:r>
              <w:rPr>
                <w:rFonts w:ascii="Times New Roman" w:eastAsia="宋体" w:hAnsi="Times New Roman" w:cs="Times New Roman"/>
                <w:b/>
                <w:bCs/>
                <w:kern w:val="0"/>
                <w:szCs w:val="21"/>
              </w:rPr>
              <w:t>)</w:t>
            </w:r>
          </w:p>
        </w:tc>
        <w:tc>
          <w:tcPr>
            <w:tcW w:w="1417" w:type="dxa"/>
            <w:tcBorders>
              <w:top w:val="single" w:sz="4" w:space="0" w:color="auto"/>
              <w:left w:val="nil"/>
              <w:bottom w:val="single" w:sz="4" w:space="0" w:color="auto"/>
              <w:right w:val="single" w:sz="4" w:space="0" w:color="auto"/>
            </w:tcBorders>
            <w:shd w:val="clear" w:color="auto" w:fill="auto"/>
            <w:vAlign w:val="center"/>
          </w:tcPr>
          <w:p w14:paraId="6B338FF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年耗量</w:t>
            </w:r>
            <w:r>
              <w:rPr>
                <w:rFonts w:ascii="Times New Roman" w:eastAsia="宋体" w:hAnsi="Times New Roman" w:cs="Times New Roman"/>
                <w:b/>
                <w:bCs/>
                <w:kern w:val="0"/>
                <w:szCs w:val="21"/>
              </w:rPr>
              <w:t>(t/a)</w:t>
            </w:r>
          </w:p>
        </w:tc>
        <w:tc>
          <w:tcPr>
            <w:tcW w:w="2233" w:type="dxa"/>
            <w:tcBorders>
              <w:top w:val="single" w:sz="4" w:space="0" w:color="auto"/>
              <w:left w:val="nil"/>
              <w:bottom w:val="single" w:sz="4" w:space="0" w:color="auto"/>
              <w:right w:val="single" w:sz="4" w:space="0" w:color="auto"/>
            </w:tcBorders>
            <w:shd w:val="clear" w:color="auto" w:fill="auto"/>
            <w:vAlign w:val="center"/>
          </w:tcPr>
          <w:p w14:paraId="342782D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来源及运输</w:t>
            </w:r>
          </w:p>
        </w:tc>
      </w:tr>
      <w:tr w:rsidR="002133E3" w14:paraId="2E478B3C"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2F97E32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p>
        </w:tc>
        <w:tc>
          <w:tcPr>
            <w:tcW w:w="1306" w:type="dxa"/>
            <w:tcBorders>
              <w:top w:val="single" w:sz="4" w:space="0" w:color="auto"/>
              <w:left w:val="nil"/>
              <w:bottom w:val="single" w:sz="4" w:space="0" w:color="auto"/>
              <w:right w:val="single" w:sz="4" w:space="0" w:color="auto"/>
            </w:tcBorders>
            <w:shd w:val="clear" w:color="auto" w:fill="auto"/>
            <w:vAlign w:val="center"/>
          </w:tcPr>
          <w:p w14:paraId="70F184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木薯干</w:t>
            </w:r>
          </w:p>
        </w:tc>
        <w:tc>
          <w:tcPr>
            <w:tcW w:w="2335" w:type="dxa"/>
            <w:tcBorders>
              <w:top w:val="single" w:sz="4" w:space="0" w:color="auto"/>
              <w:left w:val="nil"/>
              <w:bottom w:val="single" w:sz="4" w:space="0" w:color="auto"/>
              <w:right w:val="single" w:sz="4" w:space="0" w:color="auto"/>
            </w:tcBorders>
            <w:shd w:val="clear" w:color="auto" w:fill="auto"/>
            <w:vAlign w:val="center"/>
          </w:tcPr>
          <w:p w14:paraId="7C7F1EE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淀粉含量约为</w:t>
            </w:r>
            <w:r>
              <w:rPr>
                <w:rFonts w:ascii="Times New Roman" w:eastAsia="宋体" w:hAnsi="Times New Roman" w:cs="Times New Roman"/>
                <w:szCs w:val="21"/>
              </w:rPr>
              <w:t>67</w:t>
            </w:r>
            <w:r>
              <w:rPr>
                <w:rFonts w:ascii="Times New Roman" w:eastAsia="宋体" w:hAnsi="Times New Roman" w:cs="Times New Roman"/>
                <w:szCs w:val="21"/>
              </w:rPr>
              <w:t>～</w:t>
            </w:r>
            <w:r>
              <w:rPr>
                <w:rFonts w:ascii="Times New Roman" w:eastAsia="宋体" w:hAnsi="Times New Roman" w:cs="Times New Roman"/>
                <w:szCs w:val="21"/>
              </w:rPr>
              <w:t>68%</w:t>
            </w:r>
          </w:p>
        </w:tc>
        <w:tc>
          <w:tcPr>
            <w:tcW w:w="1843" w:type="dxa"/>
            <w:tcBorders>
              <w:top w:val="single" w:sz="4" w:space="0" w:color="auto"/>
              <w:left w:val="nil"/>
              <w:bottom w:val="single" w:sz="4" w:space="0" w:color="auto"/>
              <w:right w:val="single" w:sz="4" w:space="0" w:color="auto"/>
            </w:tcBorders>
            <w:shd w:val="clear" w:color="auto" w:fill="auto"/>
            <w:vAlign w:val="center"/>
          </w:tcPr>
          <w:p w14:paraId="33D0894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2725.87</w:t>
            </w:r>
          </w:p>
        </w:tc>
        <w:tc>
          <w:tcPr>
            <w:tcW w:w="1417" w:type="dxa"/>
            <w:tcBorders>
              <w:top w:val="single" w:sz="4" w:space="0" w:color="auto"/>
              <w:left w:val="nil"/>
              <w:bottom w:val="single" w:sz="4" w:space="0" w:color="auto"/>
              <w:right w:val="single" w:sz="4" w:space="0" w:color="auto"/>
            </w:tcBorders>
            <w:shd w:val="clear" w:color="auto" w:fill="auto"/>
            <w:vAlign w:val="center"/>
          </w:tcPr>
          <w:p w14:paraId="622E9BF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136293.5</w:t>
            </w:r>
          </w:p>
        </w:tc>
        <w:tc>
          <w:tcPr>
            <w:tcW w:w="2233" w:type="dxa"/>
            <w:tcBorders>
              <w:top w:val="single" w:sz="4" w:space="0" w:color="auto"/>
              <w:left w:val="nil"/>
              <w:bottom w:val="single" w:sz="4" w:space="0" w:color="auto"/>
              <w:right w:val="single" w:sz="4" w:space="0" w:color="auto"/>
            </w:tcBorders>
            <w:shd w:val="clear" w:color="auto" w:fill="auto"/>
            <w:vAlign w:val="center"/>
          </w:tcPr>
          <w:p w14:paraId="3123322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越南进口，轮船、汽车</w:t>
            </w:r>
          </w:p>
        </w:tc>
      </w:tr>
      <w:tr w:rsidR="002133E3" w14:paraId="7FFE165A"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9B555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0CA9DE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淀粉酶</w:t>
            </w:r>
          </w:p>
        </w:tc>
        <w:tc>
          <w:tcPr>
            <w:tcW w:w="2335" w:type="dxa"/>
            <w:tcBorders>
              <w:top w:val="single" w:sz="4" w:space="0" w:color="auto"/>
              <w:left w:val="nil"/>
              <w:bottom w:val="single" w:sz="4" w:space="0" w:color="auto"/>
              <w:right w:val="single" w:sz="4" w:space="0" w:color="auto"/>
            </w:tcBorders>
            <w:shd w:val="clear" w:color="auto" w:fill="auto"/>
            <w:vAlign w:val="center"/>
          </w:tcPr>
          <w:p w14:paraId="6BC25D0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15</w:t>
            </w:r>
            <w:r>
              <w:rPr>
                <w:rFonts w:ascii="Times New Roman" w:eastAsia="宋体" w:hAnsi="Times New Roman" w:cs="Times New Roman"/>
                <w:szCs w:val="21"/>
              </w:rPr>
              <w:t>万单位</w:t>
            </w:r>
          </w:p>
        </w:tc>
        <w:tc>
          <w:tcPr>
            <w:tcW w:w="1843" w:type="dxa"/>
            <w:tcBorders>
              <w:top w:val="single" w:sz="4" w:space="0" w:color="auto"/>
              <w:left w:val="nil"/>
              <w:bottom w:val="single" w:sz="4" w:space="0" w:color="auto"/>
              <w:right w:val="single" w:sz="4" w:space="0" w:color="auto"/>
            </w:tcBorders>
            <w:shd w:val="clear" w:color="auto" w:fill="auto"/>
            <w:vAlign w:val="center"/>
          </w:tcPr>
          <w:p w14:paraId="1A78D2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0.34</w:t>
            </w:r>
          </w:p>
        </w:tc>
        <w:tc>
          <w:tcPr>
            <w:tcW w:w="1417" w:type="dxa"/>
            <w:tcBorders>
              <w:top w:val="single" w:sz="4" w:space="0" w:color="auto"/>
              <w:left w:val="nil"/>
              <w:bottom w:val="single" w:sz="4" w:space="0" w:color="auto"/>
              <w:right w:val="single" w:sz="4" w:space="0" w:color="auto"/>
            </w:tcBorders>
            <w:shd w:val="clear" w:color="auto" w:fill="auto"/>
            <w:vAlign w:val="center"/>
          </w:tcPr>
          <w:p w14:paraId="28325DC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17 </w:t>
            </w:r>
          </w:p>
        </w:tc>
        <w:tc>
          <w:tcPr>
            <w:tcW w:w="2233" w:type="dxa"/>
            <w:tcBorders>
              <w:top w:val="single" w:sz="4" w:space="0" w:color="auto"/>
              <w:left w:val="nil"/>
              <w:bottom w:val="single" w:sz="4" w:space="0" w:color="auto"/>
              <w:right w:val="single" w:sz="4" w:space="0" w:color="auto"/>
            </w:tcBorders>
            <w:shd w:val="clear" w:color="auto" w:fill="auto"/>
            <w:vAlign w:val="center"/>
          </w:tcPr>
          <w:p w14:paraId="2F44DDC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国内采购，汽车</w:t>
            </w:r>
          </w:p>
        </w:tc>
      </w:tr>
      <w:tr w:rsidR="002133E3" w14:paraId="457DA830"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1AC77D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3</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607DC0A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糖化酶</w:t>
            </w:r>
          </w:p>
        </w:tc>
        <w:tc>
          <w:tcPr>
            <w:tcW w:w="2335" w:type="dxa"/>
            <w:tcBorders>
              <w:top w:val="single" w:sz="4" w:space="0" w:color="auto"/>
              <w:left w:val="nil"/>
              <w:bottom w:val="single" w:sz="4" w:space="0" w:color="auto"/>
              <w:right w:val="single" w:sz="4" w:space="0" w:color="auto"/>
            </w:tcBorders>
            <w:shd w:val="clear" w:color="auto" w:fill="auto"/>
            <w:vAlign w:val="center"/>
          </w:tcPr>
          <w:p w14:paraId="5355A3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2</w:t>
            </w:r>
            <w:r>
              <w:rPr>
                <w:rFonts w:ascii="Times New Roman" w:eastAsia="宋体" w:hAnsi="Times New Roman" w:cs="Times New Roman"/>
                <w:color w:val="000000"/>
                <w:szCs w:val="21"/>
              </w:rPr>
              <w:t>万单位</w:t>
            </w:r>
          </w:p>
        </w:tc>
        <w:tc>
          <w:tcPr>
            <w:tcW w:w="1843" w:type="dxa"/>
            <w:tcBorders>
              <w:top w:val="single" w:sz="4" w:space="0" w:color="auto"/>
              <w:left w:val="nil"/>
              <w:bottom w:val="single" w:sz="4" w:space="0" w:color="auto"/>
              <w:right w:val="single" w:sz="4" w:space="0" w:color="auto"/>
            </w:tcBorders>
            <w:shd w:val="clear" w:color="auto" w:fill="auto"/>
            <w:vAlign w:val="center"/>
          </w:tcPr>
          <w:p w14:paraId="17754D9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1.34</w:t>
            </w:r>
          </w:p>
        </w:tc>
        <w:tc>
          <w:tcPr>
            <w:tcW w:w="1417" w:type="dxa"/>
            <w:tcBorders>
              <w:top w:val="single" w:sz="4" w:space="0" w:color="auto"/>
              <w:left w:val="nil"/>
              <w:bottom w:val="single" w:sz="4" w:space="0" w:color="auto"/>
              <w:right w:val="single" w:sz="4" w:space="0" w:color="auto"/>
            </w:tcBorders>
            <w:shd w:val="clear" w:color="auto" w:fill="auto"/>
            <w:vAlign w:val="center"/>
          </w:tcPr>
          <w:p w14:paraId="0A2D50C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67 </w:t>
            </w:r>
          </w:p>
        </w:tc>
        <w:tc>
          <w:tcPr>
            <w:tcW w:w="2233" w:type="dxa"/>
            <w:tcBorders>
              <w:top w:val="single" w:sz="4" w:space="0" w:color="auto"/>
              <w:left w:val="nil"/>
              <w:bottom w:val="single" w:sz="4" w:space="0" w:color="auto"/>
              <w:right w:val="single" w:sz="4" w:space="0" w:color="auto"/>
            </w:tcBorders>
            <w:shd w:val="clear" w:color="auto" w:fill="auto"/>
            <w:vAlign w:val="center"/>
          </w:tcPr>
          <w:p w14:paraId="077F9B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国内采购，汽车</w:t>
            </w:r>
          </w:p>
        </w:tc>
      </w:tr>
      <w:tr w:rsidR="002133E3" w14:paraId="6F046F80"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0AA0A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4</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166AAB3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尿素</w:t>
            </w:r>
          </w:p>
        </w:tc>
        <w:tc>
          <w:tcPr>
            <w:tcW w:w="2335" w:type="dxa"/>
            <w:tcBorders>
              <w:top w:val="single" w:sz="4" w:space="0" w:color="auto"/>
              <w:left w:val="nil"/>
              <w:bottom w:val="single" w:sz="4" w:space="0" w:color="auto"/>
              <w:right w:val="single" w:sz="4" w:space="0" w:color="auto"/>
            </w:tcBorders>
            <w:shd w:val="clear" w:color="auto" w:fill="auto"/>
            <w:vAlign w:val="center"/>
          </w:tcPr>
          <w:p w14:paraId="1536F31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含氮量</w:t>
            </w:r>
            <w:r>
              <w:rPr>
                <w:rFonts w:ascii="Times New Roman" w:eastAsia="宋体" w:hAnsi="Times New Roman" w:cs="Times New Roman"/>
                <w:color w:val="000000"/>
                <w:szCs w:val="21"/>
              </w:rPr>
              <w:t>46%</w:t>
            </w:r>
          </w:p>
        </w:tc>
        <w:tc>
          <w:tcPr>
            <w:tcW w:w="1843" w:type="dxa"/>
            <w:tcBorders>
              <w:top w:val="single" w:sz="4" w:space="0" w:color="auto"/>
              <w:left w:val="nil"/>
              <w:bottom w:val="single" w:sz="4" w:space="0" w:color="auto"/>
              <w:right w:val="single" w:sz="4" w:space="0" w:color="auto"/>
            </w:tcBorders>
            <w:shd w:val="clear" w:color="auto" w:fill="auto"/>
            <w:vAlign w:val="center"/>
          </w:tcPr>
          <w:p w14:paraId="7818685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2</w:t>
            </w:r>
          </w:p>
        </w:tc>
        <w:tc>
          <w:tcPr>
            <w:tcW w:w="1417" w:type="dxa"/>
            <w:tcBorders>
              <w:top w:val="single" w:sz="4" w:space="0" w:color="auto"/>
              <w:left w:val="nil"/>
              <w:bottom w:val="single" w:sz="4" w:space="0" w:color="auto"/>
              <w:right w:val="single" w:sz="4" w:space="0" w:color="auto"/>
            </w:tcBorders>
            <w:shd w:val="clear" w:color="auto" w:fill="auto"/>
            <w:vAlign w:val="center"/>
          </w:tcPr>
          <w:p w14:paraId="5B68F0B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100 </w:t>
            </w:r>
          </w:p>
        </w:tc>
        <w:tc>
          <w:tcPr>
            <w:tcW w:w="2233" w:type="dxa"/>
            <w:tcBorders>
              <w:top w:val="single" w:sz="4" w:space="0" w:color="auto"/>
              <w:left w:val="nil"/>
              <w:bottom w:val="single" w:sz="4" w:space="0" w:color="auto"/>
              <w:right w:val="single" w:sz="4" w:space="0" w:color="auto"/>
            </w:tcBorders>
            <w:shd w:val="clear" w:color="auto" w:fill="auto"/>
            <w:vAlign w:val="center"/>
          </w:tcPr>
          <w:p w14:paraId="63E8A4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国内采购，汽车</w:t>
            </w:r>
          </w:p>
        </w:tc>
      </w:tr>
      <w:tr w:rsidR="002133E3" w14:paraId="6E39D2B2"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8366BF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5</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7AD90D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硫酸</w:t>
            </w:r>
          </w:p>
        </w:tc>
        <w:tc>
          <w:tcPr>
            <w:tcW w:w="2335" w:type="dxa"/>
            <w:tcBorders>
              <w:top w:val="single" w:sz="4" w:space="0" w:color="auto"/>
              <w:left w:val="nil"/>
              <w:bottom w:val="single" w:sz="4" w:space="0" w:color="auto"/>
              <w:right w:val="single" w:sz="4" w:space="0" w:color="auto"/>
            </w:tcBorders>
            <w:shd w:val="clear" w:color="auto" w:fill="auto"/>
            <w:vAlign w:val="center"/>
          </w:tcPr>
          <w:p w14:paraId="73ED32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60%</w:t>
            </w:r>
          </w:p>
        </w:tc>
        <w:tc>
          <w:tcPr>
            <w:tcW w:w="1843" w:type="dxa"/>
            <w:tcBorders>
              <w:top w:val="single" w:sz="4" w:space="0" w:color="auto"/>
              <w:left w:val="nil"/>
              <w:bottom w:val="single" w:sz="4" w:space="0" w:color="auto"/>
              <w:right w:val="single" w:sz="4" w:space="0" w:color="auto"/>
            </w:tcBorders>
            <w:shd w:val="clear" w:color="auto" w:fill="auto"/>
            <w:vAlign w:val="center"/>
          </w:tcPr>
          <w:p w14:paraId="6DC1F33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6.54</w:t>
            </w:r>
          </w:p>
        </w:tc>
        <w:tc>
          <w:tcPr>
            <w:tcW w:w="1417" w:type="dxa"/>
            <w:tcBorders>
              <w:top w:val="single" w:sz="4" w:space="0" w:color="auto"/>
              <w:left w:val="nil"/>
              <w:bottom w:val="single" w:sz="4" w:space="0" w:color="auto"/>
              <w:right w:val="single" w:sz="4" w:space="0" w:color="auto"/>
            </w:tcBorders>
            <w:shd w:val="clear" w:color="auto" w:fill="auto"/>
            <w:vAlign w:val="center"/>
          </w:tcPr>
          <w:p w14:paraId="449BF5E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327 </w:t>
            </w:r>
          </w:p>
        </w:tc>
        <w:tc>
          <w:tcPr>
            <w:tcW w:w="2233" w:type="dxa"/>
            <w:tcBorders>
              <w:top w:val="single" w:sz="4" w:space="0" w:color="auto"/>
              <w:left w:val="nil"/>
              <w:bottom w:val="single" w:sz="4" w:space="0" w:color="auto"/>
              <w:right w:val="single" w:sz="4" w:space="0" w:color="auto"/>
            </w:tcBorders>
            <w:shd w:val="clear" w:color="auto" w:fill="auto"/>
            <w:vAlign w:val="center"/>
          </w:tcPr>
          <w:p w14:paraId="2E36251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来自醋酸乙酯生产线</w:t>
            </w:r>
          </w:p>
        </w:tc>
      </w:tr>
      <w:tr w:rsidR="002133E3" w14:paraId="40084058"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B54F3B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6</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4516B9D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硫酸</w:t>
            </w:r>
          </w:p>
        </w:tc>
        <w:tc>
          <w:tcPr>
            <w:tcW w:w="2335" w:type="dxa"/>
            <w:tcBorders>
              <w:top w:val="single" w:sz="4" w:space="0" w:color="auto"/>
              <w:left w:val="nil"/>
              <w:bottom w:val="single" w:sz="4" w:space="0" w:color="auto"/>
              <w:right w:val="single" w:sz="4" w:space="0" w:color="auto"/>
            </w:tcBorders>
            <w:shd w:val="clear" w:color="auto" w:fill="auto"/>
            <w:vAlign w:val="center"/>
          </w:tcPr>
          <w:p w14:paraId="13E3C7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98%</w:t>
            </w:r>
          </w:p>
        </w:tc>
        <w:tc>
          <w:tcPr>
            <w:tcW w:w="1843" w:type="dxa"/>
            <w:tcBorders>
              <w:top w:val="single" w:sz="4" w:space="0" w:color="auto"/>
              <w:left w:val="nil"/>
              <w:bottom w:val="single" w:sz="4" w:space="0" w:color="auto"/>
              <w:right w:val="single" w:sz="4" w:space="0" w:color="auto"/>
            </w:tcBorders>
            <w:shd w:val="clear" w:color="auto" w:fill="auto"/>
            <w:vAlign w:val="center"/>
          </w:tcPr>
          <w:p w14:paraId="246EBF5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3.08</w:t>
            </w:r>
          </w:p>
        </w:tc>
        <w:tc>
          <w:tcPr>
            <w:tcW w:w="1417" w:type="dxa"/>
            <w:tcBorders>
              <w:top w:val="single" w:sz="4" w:space="0" w:color="auto"/>
              <w:left w:val="nil"/>
              <w:bottom w:val="single" w:sz="4" w:space="0" w:color="auto"/>
              <w:right w:val="single" w:sz="4" w:space="0" w:color="auto"/>
            </w:tcBorders>
            <w:shd w:val="clear" w:color="auto" w:fill="auto"/>
            <w:vAlign w:val="center"/>
          </w:tcPr>
          <w:p w14:paraId="47AE26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154 </w:t>
            </w:r>
          </w:p>
        </w:tc>
        <w:tc>
          <w:tcPr>
            <w:tcW w:w="2233" w:type="dxa"/>
            <w:tcBorders>
              <w:top w:val="single" w:sz="4" w:space="0" w:color="auto"/>
              <w:left w:val="nil"/>
              <w:bottom w:val="single" w:sz="4" w:space="0" w:color="auto"/>
              <w:right w:val="single" w:sz="4" w:space="0" w:color="auto"/>
            </w:tcBorders>
            <w:shd w:val="clear" w:color="auto" w:fill="auto"/>
            <w:vAlign w:val="center"/>
          </w:tcPr>
          <w:p w14:paraId="7F0D65D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国内采购，汽车</w:t>
            </w:r>
          </w:p>
        </w:tc>
      </w:tr>
      <w:tr w:rsidR="009C2E4E" w14:paraId="6BA93661"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7995101"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7</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6FC54F74" w14:textId="026E627F"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干酵母</w:t>
            </w:r>
          </w:p>
        </w:tc>
        <w:tc>
          <w:tcPr>
            <w:tcW w:w="2335" w:type="dxa"/>
            <w:tcBorders>
              <w:top w:val="single" w:sz="4" w:space="0" w:color="auto"/>
              <w:left w:val="nil"/>
              <w:bottom w:val="single" w:sz="4" w:space="0" w:color="auto"/>
              <w:right w:val="single" w:sz="4" w:space="0" w:color="auto"/>
            </w:tcBorders>
            <w:shd w:val="clear" w:color="auto" w:fill="auto"/>
            <w:vAlign w:val="center"/>
          </w:tcPr>
          <w:p w14:paraId="7F8608E7" w14:textId="5FC54FFE"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活性</w:t>
            </w:r>
          </w:p>
        </w:tc>
        <w:tc>
          <w:tcPr>
            <w:tcW w:w="1843" w:type="dxa"/>
            <w:tcBorders>
              <w:top w:val="single" w:sz="4" w:space="0" w:color="auto"/>
              <w:left w:val="nil"/>
              <w:bottom w:val="single" w:sz="4" w:space="0" w:color="auto"/>
              <w:right w:val="single" w:sz="4" w:space="0" w:color="auto"/>
            </w:tcBorders>
            <w:shd w:val="clear" w:color="auto" w:fill="auto"/>
            <w:vAlign w:val="center"/>
          </w:tcPr>
          <w:p w14:paraId="5410782F" w14:textId="2F9AA369"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0.17</w:t>
            </w:r>
          </w:p>
        </w:tc>
        <w:tc>
          <w:tcPr>
            <w:tcW w:w="1417" w:type="dxa"/>
            <w:tcBorders>
              <w:top w:val="single" w:sz="4" w:space="0" w:color="auto"/>
              <w:left w:val="nil"/>
              <w:bottom w:val="single" w:sz="4" w:space="0" w:color="auto"/>
              <w:right w:val="single" w:sz="4" w:space="0" w:color="auto"/>
            </w:tcBorders>
            <w:shd w:val="clear" w:color="auto" w:fill="auto"/>
            <w:vAlign w:val="center"/>
          </w:tcPr>
          <w:p w14:paraId="16DF7D11" w14:textId="5A7BBF58"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9 </w:t>
            </w:r>
          </w:p>
        </w:tc>
        <w:tc>
          <w:tcPr>
            <w:tcW w:w="2233" w:type="dxa"/>
            <w:tcBorders>
              <w:top w:val="single" w:sz="4" w:space="0" w:color="auto"/>
              <w:left w:val="nil"/>
              <w:bottom w:val="single" w:sz="4" w:space="0" w:color="auto"/>
              <w:right w:val="single" w:sz="4" w:space="0" w:color="auto"/>
            </w:tcBorders>
            <w:shd w:val="clear" w:color="auto" w:fill="auto"/>
            <w:vAlign w:val="center"/>
          </w:tcPr>
          <w:p w14:paraId="16CDAE6D" w14:textId="586888C1"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国内采购，汽车</w:t>
            </w:r>
          </w:p>
        </w:tc>
      </w:tr>
      <w:tr w:rsidR="009C2E4E" w14:paraId="0B7B61B3"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5981C93"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8</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478D1EA0" w14:textId="3D5342A2"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磷酸一铵</w:t>
            </w:r>
          </w:p>
        </w:tc>
        <w:tc>
          <w:tcPr>
            <w:tcW w:w="2335" w:type="dxa"/>
            <w:tcBorders>
              <w:top w:val="single" w:sz="4" w:space="0" w:color="auto"/>
              <w:left w:val="nil"/>
              <w:bottom w:val="single" w:sz="4" w:space="0" w:color="auto"/>
              <w:right w:val="single" w:sz="4" w:space="0" w:color="auto"/>
            </w:tcBorders>
            <w:shd w:val="clear" w:color="auto" w:fill="auto"/>
            <w:vAlign w:val="center"/>
          </w:tcPr>
          <w:p w14:paraId="0BDCB732" w14:textId="3E30179E"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99%</w:t>
            </w:r>
          </w:p>
        </w:tc>
        <w:tc>
          <w:tcPr>
            <w:tcW w:w="1843" w:type="dxa"/>
            <w:tcBorders>
              <w:top w:val="single" w:sz="4" w:space="0" w:color="auto"/>
              <w:left w:val="nil"/>
              <w:bottom w:val="single" w:sz="4" w:space="0" w:color="auto"/>
              <w:right w:val="single" w:sz="4" w:space="0" w:color="auto"/>
            </w:tcBorders>
            <w:shd w:val="clear" w:color="auto" w:fill="auto"/>
            <w:vAlign w:val="center"/>
          </w:tcPr>
          <w:p w14:paraId="2D6CAF30" w14:textId="5606EF46"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0.2</w:t>
            </w:r>
          </w:p>
        </w:tc>
        <w:tc>
          <w:tcPr>
            <w:tcW w:w="1417" w:type="dxa"/>
            <w:tcBorders>
              <w:top w:val="single" w:sz="4" w:space="0" w:color="auto"/>
              <w:left w:val="nil"/>
              <w:bottom w:val="single" w:sz="4" w:space="0" w:color="auto"/>
              <w:right w:val="single" w:sz="4" w:space="0" w:color="auto"/>
            </w:tcBorders>
            <w:shd w:val="clear" w:color="auto" w:fill="auto"/>
            <w:vAlign w:val="center"/>
          </w:tcPr>
          <w:p w14:paraId="3D899CDA" w14:textId="63163954"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10 </w:t>
            </w:r>
          </w:p>
        </w:tc>
        <w:tc>
          <w:tcPr>
            <w:tcW w:w="2233" w:type="dxa"/>
            <w:tcBorders>
              <w:top w:val="single" w:sz="4" w:space="0" w:color="auto"/>
              <w:left w:val="nil"/>
              <w:bottom w:val="single" w:sz="4" w:space="0" w:color="auto"/>
              <w:right w:val="single" w:sz="4" w:space="0" w:color="auto"/>
            </w:tcBorders>
            <w:shd w:val="clear" w:color="auto" w:fill="auto"/>
            <w:vAlign w:val="center"/>
          </w:tcPr>
          <w:p w14:paraId="63533DEC" w14:textId="66A230BE"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国内采购，汽车</w:t>
            </w:r>
          </w:p>
        </w:tc>
      </w:tr>
      <w:tr w:rsidR="009C2E4E" w14:paraId="18479850"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75FD723"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9</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52CD1BA7" w14:textId="7734D212"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片碱</w:t>
            </w:r>
          </w:p>
        </w:tc>
        <w:tc>
          <w:tcPr>
            <w:tcW w:w="2335" w:type="dxa"/>
            <w:tcBorders>
              <w:top w:val="single" w:sz="4" w:space="0" w:color="auto"/>
              <w:left w:val="nil"/>
              <w:bottom w:val="single" w:sz="4" w:space="0" w:color="auto"/>
              <w:right w:val="single" w:sz="4" w:space="0" w:color="auto"/>
            </w:tcBorders>
            <w:shd w:val="clear" w:color="auto" w:fill="auto"/>
            <w:vAlign w:val="center"/>
          </w:tcPr>
          <w:p w14:paraId="21AAA984" w14:textId="406BEFB4"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99%</w:t>
            </w:r>
          </w:p>
        </w:tc>
        <w:tc>
          <w:tcPr>
            <w:tcW w:w="1843" w:type="dxa"/>
            <w:tcBorders>
              <w:top w:val="single" w:sz="4" w:space="0" w:color="auto"/>
              <w:left w:val="nil"/>
              <w:bottom w:val="single" w:sz="4" w:space="0" w:color="auto"/>
              <w:right w:val="single" w:sz="4" w:space="0" w:color="auto"/>
            </w:tcBorders>
            <w:shd w:val="clear" w:color="auto" w:fill="auto"/>
            <w:vAlign w:val="center"/>
          </w:tcPr>
          <w:p w14:paraId="2B35EA3F" w14:textId="07D7AD4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0.17</w:t>
            </w:r>
          </w:p>
        </w:tc>
        <w:tc>
          <w:tcPr>
            <w:tcW w:w="1417" w:type="dxa"/>
            <w:tcBorders>
              <w:top w:val="single" w:sz="4" w:space="0" w:color="auto"/>
              <w:left w:val="nil"/>
              <w:bottom w:val="single" w:sz="4" w:space="0" w:color="auto"/>
              <w:right w:val="single" w:sz="4" w:space="0" w:color="auto"/>
            </w:tcBorders>
            <w:shd w:val="clear" w:color="auto" w:fill="auto"/>
            <w:vAlign w:val="center"/>
          </w:tcPr>
          <w:p w14:paraId="4E683CB1" w14:textId="781F2AF2"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9 </w:t>
            </w:r>
          </w:p>
        </w:tc>
        <w:tc>
          <w:tcPr>
            <w:tcW w:w="2233" w:type="dxa"/>
            <w:tcBorders>
              <w:top w:val="single" w:sz="4" w:space="0" w:color="auto"/>
              <w:left w:val="nil"/>
              <w:bottom w:val="single" w:sz="4" w:space="0" w:color="auto"/>
              <w:right w:val="single" w:sz="4" w:space="0" w:color="auto"/>
            </w:tcBorders>
            <w:shd w:val="clear" w:color="auto" w:fill="auto"/>
            <w:vAlign w:val="center"/>
          </w:tcPr>
          <w:p w14:paraId="0FED28EC" w14:textId="5EBF81EB"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国内采购，汽车</w:t>
            </w:r>
          </w:p>
        </w:tc>
      </w:tr>
      <w:tr w:rsidR="009C2E4E" w14:paraId="2C5B4DC3"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DAAFFD8"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10</w:t>
            </w:r>
          </w:p>
        </w:tc>
        <w:tc>
          <w:tcPr>
            <w:tcW w:w="1306" w:type="dxa"/>
            <w:tcBorders>
              <w:top w:val="single" w:sz="4" w:space="0" w:color="auto"/>
              <w:left w:val="nil"/>
              <w:bottom w:val="single" w:sz="4" w:space="0" w:color="auto"/>
              <w:right w:val="single" w:sz="4" w:space="0" w:color="auto"/>
            </w:tcBorders>
            <w:shd w:val="clear" w:color="auto" w:fill="auto"/>
            <w:vAlign w:val="center"/>
          </w:tcPr>
          <w:p w14:paraId="7425BF95" w14:textId="73E805E2"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水</w:t>
            </w:r>
          </w:p>
        </w:tc>
        <w:tc>
          <w:tcPr>
            <w:tcW w:w="2335" w:type="dxa"/>
            <w:tcBorders>
              <w:top w:val="single" w:sz="4" w:space="0" w:color="auto"/>
              <w:left w:val="nil"/>
              <w:bottom w:val="single" w:sz="4" w:space="0" w:color="auto"/>
              <w:right w:val="single" w:sz="4" w:space="0" w:color="auto"/>
            </w:tcBorders>
            <w:shd w:val="clear" w:color="auto" w:fill="auto"/>
            <w:vAlign w:val="center"/>
          </w:tcPr>
          <w:p w14:paraId="6733A738" w14:textId="2736B66D"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≤20</w:t>
            </w:r>
            <w:r>
              <w:rPr>
                <w:rFonts w:ascii="宋体" w:eastAsia="宋体" w:hAnsi="宋体" w:cs="宋体" w:hint="eastAsia"/>
                <w:color w:val="000000"/>
                <w:szCs w:val="21"/>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43A3055B" w14:textId="790128DE"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9881.4</w:t>
            </w:r>
          </w:p>
        </w:tc>
        <w:tc>
          <w:tcPr>
            <w:tcW w:w="1417" w:type="dxa"/>
            <w:tcBorders>
              <w:top w:val="single" w:sz="4" w:space="0" w:color="auto"/>
              <w:left w:val="nil"/>
              <w:bottom w:val="single" w:sz="4" w:space="0" w:color="auto"/>
              <w:right w:val="single" w:sz="4" w:space="0" w:color="auto"/>
            </w:tcBorders>
            <w:shd w:val="clear" w:color="auto" w:fill="auto"/>
            <w:vAlign w:val="center"/>
          </w:tcPr>
          <w:p w14:paraId="6011511E" w14:textId="3C89D279"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494070 </w:t>
            </w:r>
          </w:p>
        </w:tc>
        <w:tc>
          <w:tcPr>
            <w:tcW w:w="2233" w:type="dxa"/>
            <w:tcBorders>
              <w:top w:val="single" w:sz="4" w:space="0" w:color="auto"/>
              <w:left w:val="nil"/>
              <w:bottom w:val="single" w:sz="4" w:space="0" w:color="auto"/>
              <w:right w:val="single" w:sz="4" w:space="0" w:color="auto"/>
            </w:tcBorders>
            <w:shd w:val="clear" w:color="auto" w:fill="auto"/>
            <w:vAlign w:val="center"/>
          </w:tcPr>
          <w:p w14:paraId="1361DCAB" w14:textId="0E5C2F52"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兴庄河自来水厂</w:t>
            </w:r>
          </w:p>
        </w:tc>
      </w:tr>
      <w:tr w:rsidR="009C2E4E" w14:paraId="5E1F4692"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45C2E9D0"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11</w:t>
            </w:r>
          </w:p>
        </w:tc>
        <w:tc>
          <w:tcPr>
            <w:tcW w:w="1306" w:type="dxa"/>
            <w:tcBorders>
              <w:top w:val="single" w:sz="4" w:space="0" w:color="auto"/>
              <w:left w:val="nil"/>
              <w:bottom w:val="single" w:sz="4" w:space="0" w:color="auto"/>
              <w:right w:val="single" w:sz="4" w:space="0" w:color="auto"/>
            </w:tcBorders>
            <w:shd w:val="clear" w:color="auto" w:fill="auto"/>
            <w:vAlign w:val="center"/>
          </w:tcPr>
          <w:p w14:paraId="61909E56" w14:textId="01901B95"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蒸汽</w:t>
            </w:r>
          </w:p>
        </w:tc>
        <w:tc>
          <w:tcPr>
            <w:tcW w:w="2335" w:type="dxa"/>
            <w:tcBorders>
              <w:top w:val="single" w:sz="4" w:space="0" w:color="auto"/>
              <w:left w:val="nil"/>
              <w:bottom w:val="single" w:sz="4" w:space="0" w:color="auto"/>
              <w:right w:val="single" w:sz="4" w:space="0" w:color="auto"/>
            </w:tcBorders>
            <w:shd w:val="clear" w:color="auto" w:fill="auto"/>
            <w:vAlign w:val="center"/>
          </w:tcPr>
          <w:p w14:paraId="041737EA" w14:textId="107EDEDA"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0.6MPa</w:t>
            </w:r>
          </w:p>
        </w:tc>
        <w:tc>
          <w:tcPr>
            <w:tcW w:w="1843" w:type="dxa"/>
            <w:tcBorders>
              <w:top w:val="single" w:sz="4" w:space="0" w:color="auto"/>
              <w:left w:val="nil"/>
              <w:bottom w:val="single" w:sz="4" w:space="0" w:color="auto"/>
              <w:right w:val="single" w:sz="4" w:space="0" w:color="auto"/>
            </w:tcBorders>
            <w:shd w:val="clear" w:color="auto" w:fill="auto"/>
            <w:vAlign w:val="center"/>
          </w:tcPr>
          <w:p w14:paraId="09C8CA5A" w14:textId="6E37FBC1"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1700.0</w:t>
            </w:r>
          </w:p>
        </w:tc>
        <w:tc>
          <w:tcPr>
            <w:tcW w:w="1417" w:type="dxa"/>
            <w:tcBorders>
              <w:top w:val="single" w:sz="4" w:space="0" w:color="auto"/>
              <w:left w:val="nil"/>
              <w:bottom w:val="single" w:sz="4" w:space="0" w:color="auto"/>
              <w:right w:val="single" w:sz="4" w:space="0" w:color="auto"/>
            </w:tcBorders>
            <w:shd w:val="clear" w:color="auto" w:fill="auto"/>
            <w:vAlign w:val="center"/>
          </w:tcPr>
          <w:p w14:paraId="770796F7" w14:textId="74C2070B"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 xml:space="preserve">85002 </w:t>
            </w:r>
          </w:p>
        </w:tc>
        <w:tc>
          <w:tcPr>
            <w:tcW w:w="2233" w:type="dxa"/>
            <w:tcBorders>
              <w:top w:val="single" w:sz="4" w:space="0" w:color="auto"/>
              <w:left w:val="nil"/>
              <w:bottom w:val="single" w:sz="4" w:space="0" w:color="auto"/>
              <w:right w:val="single" w:sz="4" w:space="0" w:color="auto"/>
            </w:tcBorders>
            <w:shd w:val="clear" w:color="auto" w:fill="auto"/>
            <w:vAlign w:val="center"/>
          </w:tcPr>
          <w:p w14:paraId="79376B60" w14:textId="52953731"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利用园区供热中心</w:t>
            </w:r>
          </w:p>
        </w:tc>
      </w:tr>
      <w:tr w:rsidR="009C2E4E" w14:paraId="15E7BB54" w14:textId="77777777">
        <w:trPr>
          <w:trHeight w:val="28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0E34340"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12</w:t>
            </w:r>
          </w:p>
        </w:tc>
        <w:tc>
          <w:tcPr>
            <w:tcW w:w="1306" w:type="dxa"/>
            <w:tcBorders>
              <w:top w:val="single" w:sz="4" w:space="0" w:color="auto"/>
              <w:left w:val="nil"/>
              <w:bottom w:val="single" w:sz="4" w:space="0" w:color="auto"/>
              <w:right w:val="single" w:sz="4" w:space="0" w:color="auto"/>
            </w:tcBorders>
            <w:shd w:val="clear" w:color="auto" w:fill="auto"/>
            <w:vAlign w:val="center"/>
          </w:tcPr>
          <w:p w14:paraId="5997E3E3" w14:textId="417338EE"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电</w:t>
            </w:r>
          </w:p>
        </w:tc>
        <w:tc>
          <w:tcPr>
            <w:tcW w:w="2335" w:type="dxa"/>
            <w:tcBorders>
              <w:top w:val="single" w:sz="4" w:space="0" w:color="auto"/>
              <w:left w:val="nil"/>
              <w:bottom w:val="single" w:sz="4" w:space="0" w:color="auto"/>
              <w:right w:val="single" w:sz="4" w:space="0" w:color="auto"/>
            </w:tcBorders>
            <w:shd w:val="clear" w:color="auto" w:fill="auto"/>
            <w:vAlign w:val="center"/>
          </w:tcPr>
          <w:p w14:paraId="330E5C33" w14:textId="7C5BCC0A"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380V/220V</w:t>
            </w:r>
          </w:p>
        </w:tc>
        <w:tc>
          <w:tcPr>
            <w:tcW w:w="1843" w:type="dxa"/>
            <w:tcBorders>
              <w:top w:val="single" w:sz="4" w:space="0" w:color="auto"/>
              <w:left w:val="nil"/>
              <w:bottom w:val="single" w:sz="4" w:space="0" w:color="auto"/>
              <w:right w:val="single" w:sz="4" w:space="0" w:color="auto"/>
            </w:tcBorders>
            <w:shd w:val="clear" w:color="auto" w:fill="auto"/>
            <w:vAlign w:val="center"/>
          </w:tcPr>
          <w:p w14:paraId="48F3D71C" w14:textId="68AF83B5"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180kwh/t</w:t>
            </w:r>
            <w:r>
              <w:rPr>
                <w:rFonts w:ascii="Times New Roman" w:eastAsia="宋体" w:hAnsi="Times New Roman" w:cs="Times New Roman"/>
                <w:color w:val="000000"/>
                <w:szCs w:val="21"/>
              </w:rPr>
              <w:t>产品</w:t>
            </w:r>
          </w:p>
        </w:tc>
        <w:tc>
          <w:tcPr>
            <w:tcW w:w="1417" w:type="dxa"/>
            <w:tcBorders>
              <w:top w:val="single" w:sz="4" w:space="0" w:color="auto"/>
              <w:left w:val="nil"/>
              <w:bottom w:val="single" w:sz="4" w:space="0" w:color="auto"/>
              <w:right w:val="single" w:sz="4" w:space="0" w:color="auto"/>
            </w:tcBorders>
            <w:shd w:val="clear" w:color="auto" w:fill="auto"/>
            <w:vAlign w:val="center"/>
          </w:tcPr>
          <w:p w14:paraId="4D902B0E" w14:textId="305C9C22"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900</w:t>
            </w:r>
            <w:r>
              <w:rPr>
                <w:rFonts w:ascii="Times New Roman" w:eastAsia="宋体" w:hAnsi="Times New Roman" w:cs="Times New Roman"/>
                <w:color w:val="000000"/>
                <w:szCs w:val="21"/>
              </w:rPr>
              <w:t>万</w:t>
            </w:r>
            <w:r>
              <w:rPr>
                <w:rFonts w:ascii="Times New Roman" w:eastAsia="宋体" w:hAnsi="Times New Roman" w:cs="Times New Roman"/>
                <w:color w:val="000000"/>
                <w:szCs w:val="21"/>
              </w:rPr>
              <w:t>kwh/a</w:t>
            </w:r>
          </w:p>
        </w:tc>
        <w:tc>
          <w:tcPr>
            <w:tcW w:w="2233" w:type="dxa"/>
            <w:tcBorders>
              <w:top w:val="single" w:sz="4" w:space="0" w:color="auto"/>
              <w:left w:val="nil"/>
              <w:bottom w:val="single" w:sz="4" w:space="0" w:color="auto"/>
              <w:right w:val="single" w:sz="4" w:space="0" w:color="auto"/>
            </w:tcBorders>
            <w:shd w:val="clear" w:color="auto" w:fill="auto"/>
            <w:vAlign w:val="center"/>
          </w:tcPr>
          <w:p w14:paraId="2ED0A8C8" w14:textId="6BDE94F9"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海头变电所</w:t>
            </w:r>
          </w:p>
        </w:tc>
      </w:tr>
    </w:tbl>
    <w:p w14:paraId="2EE20F4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物料平衡分析</w:t>
      </w:r>
    </w:p>
    <w:p w14:paraId="31711785" w14:textId="77777777" w:rsidR="002133E3" w:rsidRDefault="00C22CFA">
      <w:pPr>
        <w:widowControl/>
        <w:snapToGrid w:val="0"/>
        <w:spacing w:line="500" w:lineRule="atLeast"/>
        <w:ind w:firstLineChars="200" w:firstLine="562"/>
        <w:rPr>
          <w:rFonts w:ascii="Times New Roman" w:eastAsia="宋体" w:hAnsi="Times New Roman" w:cs="Times New Roman"/>
          <w:b/>
          <w:bCs/>
          <w:kern w:val="0"/>
          <w:sz w:val="28"/>
          <w:szCs w:val="28"/>
        </w:rPr>
      </w:pPr>
      <w:r>
        <w:rPr>
          <w:rFonts w:ascii="宋体" w:eastAsia="宋体" w:hAnsi="宋体" w:cs="宋体" w:hint="eastAsia"/>
          <w:b/>
          <w:bCs/>
          <w:kern w:val="0"/>
          <w:sz w:val="28"/>
          <w:szCs w:val="28"/>
        </w:rPr>
        <w:t>⑴</w:t>
      </w:r>
      <w:r>
        <w:rPr>
          <w:rFonts w:ascii="Times New Roman" w:eastAsia="宋体" w:hAnsi="Times New Roman" w:cs="Times New Roman"/>
          <w:b/>
          <w:bCs/>
          <w:kern w:val="0"/>
          <w:sz w:val="28"/>
          <w:szCs w:val="28"/>
        </w:rPr>
        <w:t xml:space="preserve"> </w:t>
      </w:r>
      <w:r>
        <w:rPr>
          <w:rFonts w:ascii="Times New Roman" w:eastAsia="宋体" w:hAnsi="Times New Roman" w:cs="Times New Roman"/>
          <w:b/>
          <w:bCs/>
          <w:kern w:val="0"/>
          <w:sz w:val="28"/>
          <w:szCs w:val="28"/>
        </w:rPr>
        <w:t>总物料平衡</w:t>
      </w:r>
    </w:p>
    <w:p w14:paraId="5AA02567" w14:textId="77777777" w:rsidR="002133E3" w:rsidRDefault="00C22CFA">
      <w:pPr>
        <w:widowControl/>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酒精生产物料平衡情况详见图</w:t>
      </w:r>
      <w:r>
        <w:rPr>
          <w:rFonts w:ascii="Times New Roman" w:eastAsia="宋体" w:hAnsi="Times New Roman" w:cs="Times New Roman"/>
          <w:kern w:val="0"/>
          <w:sz w:val="28"/>
          <w:szCs w:val="28"/>
        </w:rPr>
        <w:t>4.2-2</w:t>
      </w:r>
      <w:r>
        <w:rPr>
          <w:rFonts w:ascii="Times New Roman" w:eastAsia="宋体" w:hAnsi="Times New Roman" w:cs="Times New Roman"/>
          <w:kern w:val="0"/>
          <w:sz w:val="28"/>
          <w:szCs w:val="28"/>
        </w:rPr>
        <w:t>和表</w:t>
      </w:r>
      <w:r>
        <w:rPr>
          <w:rFonts w:ascii="Times New Roman" w:eastAsia="宋体" w:hAnsi="Times New Roman" w:cs="Times New Roman"/>
          <w:kern w:val="0"/>
          <w:sz w:val="28"/>
          <w:szCs w:val="28"/>
        </w:rPr>
        <w:t>4.2-3</w:t>
      </w:r>
      <w:r>
        <w:rPr>
          <w:rFonts w:ascii="Times New Roman" w:eastAsia="宋体" w:hAnsi="Times New Roman" w:cs="Times New Roman"/>
          <w:kern w:val="0"/>
          <w:sz w:val="28"/>
          <w:szCs w:val="28"/>
        </w:rPr>
        <w:t>。</w:t>
      </w:r>
    </w:p>
    <w:p w14:paraId="4CC7C353" w14:textId="77777777" w:rsidR="002133E3" w:rsidRDefault="00C22CFA">
      <w:pPr>
        <w:widowControl/>
        <w:snapToGrid w:val="0"/>
        <w:spacing w:line="500" w:lineRule="atLeast"/>
        <w:jc w:val="center"/>
        <w:rPr>
          <w:rFonts w:ascii="Times New Roman" w:eastAsia="宋体" w:hAnsi="Times New Roman" w:cs="Times New Roman"/>
          <w:b/>
          <w:bCs/>
          <w:kern w:val="0"/>
          <w:sz w:val="24"/>
          <w:szCs w:val="24"/>
        </w:rPr>
      </w:pPr>
      <w:r w:rsidRPr="009C2E4E">
        <w:rPr>
          <w:rFonts w:ascii="Times New Roman" w:eastAsia="宋体" w:hAnsi="Times New Roman" w:cs="Times New Roman"/>
          <w:b/>
          <w:bCs/>
          <w:kern w:val="0"/>
          <w:sz w:val="24"/>
          <w:szCs w:val="24"/>
          <w:highlight w:val="yellow"/>
        </w:rPr>
        <w:t>表</w:t>
      </w:r>
      <w:r w:rsidRPr="009C2E4E">
        <w:rPr>
          <w:rFonts w:ascii="Times New Roman" w:eastAsia="宋体" w:hAnsi="Times New Roman" w:cs="Times New Roman"/>
          <w:b/>
          <w:bCs/>
          <w:kern w:val="0"/>
          <w:sz w:val="24"/>
          <w:szCs w:val="24"/>
          <w:highlight w:val="yellow"/>
        </w:rPr>
        <w:t>4.2-3  10</w:t>
      </w:r>
      <w:r w:rsidRPr="009C2E4E">
        <w:rPr>
          <w:rFonts w:ascii="Times New Roman" w:eastAsia="宋体" w:hAnsi="Times New Roman" w:cs="Times New Roman"/>
          <w:b/>
          <w:bCs/>
          <w:kern w:val="0"/>
          <w:sz w:val="24"/>
          <w:szCs w:val="24"/>
          <w:highlight w:val="yellow"/>
        </w:rPr>
        <w:t>万</w:t>
      </w:r>
      <w:r w:rsidRPr="009C2E4E">
        <w:rPr>
          <w:rFonts w:ascii="Times New Roman" w:eastAsia="宋体" w:hAnsi="Times New Roman" w:cs="Times New Roman"/>
          <w:b/>
          <w:bCs/>
          <w:kern w:val="0"/>
          <w:sz w:val="24"/>
          <w:szCs w:val="24"/>
          <w:highlight w:val="yellow"/>
        </w:rPr>
        <w:t>t/a</w:t>
      </w:r>
      <w:r w:rsidRPr="009C2E4E">
        <w:rPr>
          <w:rFonts w:ascii="Times New Roman" w:eastAsia="宋体" w:hAnsi="Times New Roman" w:cs="Times New Roman"/>
          <w:b/>
          <w:bCs/>
          <w:kern w:val="0"/>
          <w:sz w:val="24"/>
          <w:szCs w:val="24"/>
          <w:highlight w:val="yellow"/>
        </w:rPr>
        <w:t>酒精生产物料平衡表</w:t>
      </w:r>
      <w:r w:rsidRPr="009C2E4E">
        <w:rPr>
          <w:rFonts w:ascii="Times New Roman" w:eastAsia="宋体" w:hAnsi="Times New Roman" w:cs="Times New Roman"/>
          <w:b/>
          <w:bCs/>
          <w:kern w:val="0"/>
          <w:sz w:val="24"/>
          <w:szCs w:val="24"/>
          <w:highlight w:val="yellow"/>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155"/>
        <w:gridCol w:w="1214"/>
        <w:gridCol w:w="865"/>
        <w:gridCol w:w="863"/>
        <w:gridCol w:w="1157"/>
        <w:gridCol w:w="1011"/>
        <w:gridCol w:w="1155"/>
        <w:gridCol w:w="887"/>
        <w:gridCol w:w="979"/>
      </w:tblGrid>
      <w:tr w:rsidR="002133E3" w14:paraId="6699B84D" w14:textId="77777777">
        <w:trPr>
          <w:trHeight w:val="270"/>
          <w:jc w:val="center"/>
        </w:trPr>
        <w:tc>
          <w:tcPr>
            <w:tcW w:w="288" w:type="pct"/>
            <w:vMerge w:val="restart"/>
            <w:shd w:val="clear" w:color="auto" w:fill="auto"/>
            <w:vAlign w:val="center"/>
          </w:tcPr>
          <w:p w14:paraId="269D18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序号</w:t>
            </w:r>
          </w:p>
        </w:tc>
        <w:tc>
          <w:tcPr>
            <w:tcW w:w="1202" w:type="pct"/>
            <w:gridSpan w:val="2"/>
            <w:shd w:val="clear" w:color="auto" w:fill="auto"/>
            <w:vAlign w:val="center"/>
          </w:tcPr>
          <w:p w14:paraId="73AE917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入方</w:t>
            </w:r>
          </w:p>
        </w:tc>
        <w:tc>
          <w:tcPr>
            <w:tcW w:w="3510" w:type="pct"/>
            <w:gridSpan w:val="7"/>
            <w:shd w:val="clear" w:color="auto" w:fill="auto"/>
            <w:vAlign w:val="center"/>
          </w:tcPr>
          <w:p w14:paraId="0B0F576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出方</w:t>
            </w:r>
          </w:p>
        </w:tc>
      </w:tr>
      <w:tr w:rsidR="002133E3" w14:paraId="23FCA9FE" w14:textId="77777777">
        <w:trPr>
          <w:trHeight w:val="270"/>
          <w:jc w:val="center"/>
        </w:trPr>
        <w:tc>
          <w:tcPr>
            <w:tcW w:w="288" w:type="pct"/>
            <w:vMerge/>
            <w:vAlign w:val="center"/>
          </w:tcPr>
          <w:p w14:paraId="32405BA8" w14:textId="77777777" w:rsidR="002133E3" w:rsidRDefault="002133E3">
            <w:pPr>
              <w:widowControl/>
              <w:jc w:val="left"/>
              <w:rPr>
                <w:rFonts w:ascii="Times New Roman" w:eastAsia="宋体" w:hAnsi="Times New Roman" w:cs="Times New Roman"/>
                <w:kern w:val="0"/>
                <w:szCs w:val="21"/>
              </w:rPr>
            </w:pPr>
          </w:p>
        </w:tc>
        <w:tc>
          <w:tcPr>
            <w:tcW w:w="586" w:type="pct"/>
            <w:shd w:val="clear" w:color="auto" w:fill="auto"/>
            <w:vAlign w:val="center"/>
          </w:tcPr>
          <w:p w14:paraId="6A09154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物料名称</w:t>
            </w:r>
          </w:p>
        </w:tc>
        <w:tc>
          <w:tcPr>
            <w:tcW w:w="616" w:type="pct"/>
            <w:shd w:val="clear" w:color="auto" w:fill="auto"/>
            <w:vAlign w:val="center"/>
          </w:tcPr>
          <w:p w14:paraId="7981DEB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数量</w:t>
            </w:r>
          </w:p>
        </w:tc>
        <w:tc>
          <w:tcPr>
            <w:tcW w:w="439" w:type="pct"/>
            <w:shd w:val="clear" w:color="auto" w:fill="auto"/>
            <w:vAlign w:val="center"/>
          </w:tcPr>
          <w:p w14:paraId="064A0CD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产品</w:t>
            </w:r>
          </w:p>
        </w:tc>
        <w:tc>
          <w:tcPr>
            <w:tcW w:w="1025" w:type="pct"/>
            <w:gridSpan w:val="2"/>
            <w:shd w:val="clear" w:color="auto" w:fill="auto"/>
            <w:vAlign w:val="center"/>
          </w:tcPr>
          <w:p w14:paraId="61DB5F6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废气</w:t>
            </w:r>
          </w:p>
        </w:tc>
        <w:tc>
          <w:tcPr>
            <w:tcW w:w="1099" w:type="pct"/>
            <w:gridSpan w:val="2"/>
            <w:shd w:val="clear" w:color="auto" w:fill="auto"/>
            <w:vAlign w:val="center"/>
          </w:tcPr>
          <w:p w14:paraId="37E807A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废水</w:t>
            </w:r>
          </w:p>
        </w:tc>
        <w:tc>
          <w:tcPr>
            <w:tcW w:w="947" w:type="pct"/>
            <w:gridSpan w:val="2"/>
            <w:shd w:val="clear" w:color="auto" w:fill="auto"/>
            <w:vAlign w:val="center"/>
          </w:tcPr>
          <w:p w14:paraId="5B7B4B1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r>
      <w:tr w:rsidR="002133E3" w14:paraId="3D7F17E2" w14:textId="77777777">
        <w:trPr>
          <w:trHeight w:val="300"/>
          <w:jc w:val="center"/>
        </w:trPr>
        <w:tc>
          <w:tcPr>
            <w:tcW w:w="288" w:type="pct"/>
            <w:shd w:val="clear" w:color="auto" w:fill="auto"/>
            <w:vAlign w:val="center"/>
          </w:tcPr>
          <w:p w14:paraId="2F1239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p>
        </w:tc>
        <w:tc>
          <w:tcPr>
            <w:tcW w:w="586" w:type="pct"/>
            <w:shd w:val="clear" w:color="auto" w:fill="auto"/>
            <w:noWrap/>
            <w:vAlign w:val="center"/>
          </w:tcPr>
          <w:p w14:paraId="693BC23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木薯干</w:t>
            </w:r>
          </w:p>
        </w:tc>
        <w:tc>
          <w:tcPr>
            <w:tcW w:w="616" w:type="pct"/>
            <w:shd w:val="clear" w:color="auto" w:fill="auto"/>
            <w:vAlign w:val="center"/>
          </w:tcPr>
          <w:p w14:paraId="3495C6EA" w14:textId="77777777" w:rsidR="002133E3" w:rsidRDefault="00C22CFA">
            <w:pPr>
              <w:widowControl/>
              <w:jc w:val="center"/>
              <w:rPr>
                <w:rFonts w:ascii="Times New Roman" w:eastAsia="等线" w:hAnsi="Times New Roman" w:cs="Times New Roman"/>
                <w:szCs w:val="21"/>
              </w:rPr>
            </w:pPr>
            <w:r>
              <w:rPr>
                <w:rFonts w:ascii="Times New Roman" w:eastAsia="等线" w:hAnsi="Times New Roman" w:cs="Times New Roman"/>
                <w:szCs w:val="21"/>
              </w:rPr>
              <w:t>272587</w:t>
            </w:r>
          </w:p>
        </w:tc>
        <w:tc>
          <w:tcPr>
            <w:tcW w:w="439" w:type="pct"/>
            <w:shd w:val="clear" w:color="auto" w:fill="auto"/>
            <w:vAlign w:val="center"/>
          </w:tcPr>
          <w:p w14:paraId="70FCD5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100000</w:t>
            </w:r>
          </w:p>
        </w:tc>
        <w:tc>
          <w:tcPr>
            <w:tcW w:w="438" w:type="pct"/>
            <w:shd w:val="clear" w:color="auto" w:fill="auto"/>
            <w:vAlign w:val="center"/>
          </w:tcPr>
          <w:p w14:paraId="2E8AF4D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1-1</w:t>
            </w:r>
          </w:p>
        </w:tc>
        <w:tc>
          <w:tcPr>
            <w:tcW w:w="587" w:type="pct"/>
            <w:shd w:val="clear" w:color="auto" w:fill="auto"/>
            <w:vAlign w:val="center"/>
          </w:tcPr>
          <w:p w14:paraId="23DFBFB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93.76 </w:t>
            </w:r>
          </w:p>
        </w:tc>
        <w:tc>
          <w:tcPr>
            <w:tcW w:w="513" w:type="pct"/>
            <w:shd w:val="clear" w:color="auto" w:fill="auto"/>
            <w:vAlign w:val="center"/>
          </w:tcPr>
          <w:p w14:paraId="59C985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w:t>
            </w:r>
            <w:r>
              <w:rPr>
                <w:rFonts w:ascii="Times New Roman" w:eastAsia="宋体" w:hAnsi="Times New Roman" w:cs="Times New Roman"/>
                <w:kern w:val="0"/>
                <w:szCs w:val="21"/>
                <w:vertAlign w:val="subscript"/>
              </w:rPr>
              <w:t>1-1</w:t>
            </w:r>
          </w:p>
        </w:tc>
        <w:tc>
          <w:tcPr>
            <w:tcW w:w="586" w:type="pct"/>
            <w:shd w:val="clear" w:color="auto" w:fill="auto"/>
            <w:vAlign w:val="center"/>
          </w:tcPr>
          <w:p w14:paraId="231DD7A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592755.67 </w:t>
            </w:r>
          </w:p>
        </w:tc>
        <w:tc>
          <w:tcPr>
            <w:tcW w:w="450" w:type="pct"/>
            <w:shd w:val="clear" w:color="auto" w:fill="auto"/>
            <w:vAlign w:val="center"/>
          </w:tcPr>
          <w:p w14:paraId="4AE793B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kern w:val="0"/>
                <w:szCs w:val="21"/>
                <w:vertAlign w:val="subscript"/>
              </w:rPr>
              <w:t>1-1</w:t>
            </w:r>
          </w:p>
        </w:tc>
        <w:tc>
          <w:tcPr>
            <w:tcW w:w="497" w:type="pct"/>
            <w:shd w:val="clear" w:color="auto" w:fill="auto"/>
            <w:vAlign w:val="center"/>
          </w:tcPr>
          <w:p w14:paraId="3119953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7952.00 </w:t>
            </w:r>
          </w:p>
        </w:tc>
      </w:tr>
      <w:tr w:rsidR="002133E3" w14:paraId="77FE615B" w14:textId="77777777">
        <w:trPr>
          <w:trHeight w:val="300"/>
          <w:jc w:val="center"/>
        </w:trPr>
        <w:tc>
          <w:tcPr>
            <w:tcW w:w="288" w:type="pct"/>
            <w:shd w:val="clear" w:color="auto" w:fill="auto"/>
            <w:vAlign w:val="center"/>
          </w:tcPr>
          <w:p w14:paraId="4FC400F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w:t>
            </w:r>
          </w:p>
        </w:tc>
        <w:tc>
          <w:tcPr>
            <w:tcW w:w="586" w:type="pct"/>
            <w:shd w:val="clear" w:color="auto" w:fill="auto"/>
            <w:noWrap/>
            <w:vAlign w:val="center"/>
          </w:tcPr>
          <w:p w14:paraId="2D65984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淀粉酶</w:t>
            </w:r>
          </w:p>
        </w:tc>
        <w:tc>
          <w:tcPr>
            <w:tcW w:w="616" w:type="pct"/>
            <w:shd w:val="clear" w:color="auto" w:fill="auto"/>
            <w:vAlign w:val="center"/>
          </w:tcPr>
          <w:p w14:paraId="2D8F13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34 </w:t>
            </w:r>
          </w:p>
        </w:tc>
        <w:tc>
          <w:tcPr>
            <w:tcW w:w="439" w:type="pct"/>
            <w:shd w:val="clear" w:color="auto" w:fill="auto"/>
            <w:vAlign w:val="center"/>
          </w:tcPr>
          <w:p w14:paraId="64E5B1A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5ADCD3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1-2</w:t>
            </w:r>
          </w:p>
        </w:tc>
        <w:tc>
          <w:tcPr>
            <w:tcW w:w="587" w:type="pct"/>
            <w:shd w:val="clear" w:color="auto" w:fill="auto"/>
            <w:noWrap/>
            <w:vAlign w:val="center"/>
          </w:tcPr>
          <w:p w14:paraId="64B9C0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92061.39</w:t>
            </w:r>
          </w:p>
        </w:tc>
        <w:tc>
          <w:tcPr>
            <w:tcW w:w="513" w:type="pct"/>
            <w:shd w:val="clear" w:color="auto" w:fill="auto"/>
            <w:vAlign w:val="center"/>
          </w:tcPr>
          <w:p w14:paraId="451D8CB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w:t>
            </w:r>
            <w:r>
              <w:rPr>
                <w:rFonts w:ascii="Times New Roman" w:eastAsia="宋体" w:hAnsi="Times New Roman" w:cs="Times New Roman"/>
                <w:kern w:val="0"/>
                <w:szCs w:val="21"/>
                <w:vertAlign w:val="subscript"/>
              </w:rPr>
              <w:t>1-2</w:t>
            </w:r>
          </w:p>
        </w:tc>
        <w:tc>
          <w:tcPr>
            <w:tcW w:w="586" w:type="pct"/>
            <w:shd w:val="clear" w:color="auto" w:fill="auto"/>
            <w:vAlign w:val="center"/>
          </w:tcPr>
          <w:p w14:paraId="19ABFCA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22835.00 </w:t>
            </w:r>
          </w:p>
        </w:tc>
        <w:tc>
          <w:tcPr>
            <w:tcW w:w="450" w:type="pct"/>
            <w:shd w:val="clear" w:color="auto" w:fill="auto"/>
            <w:vAlign w:val="center"/>
          </w:tcPr>
          <w:p w14:paraId="7607968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F</w:t>
            </w:r>
            <w:r>
              <w:rPr>
                <w:rFonts w:ascii="Times New Roman" w:eastAsia="宋体" w:hAnsi="Times New Roman" w:cs="Times New Roman"/>
                <w:kern w:val="0"/>
                <w:szCs w:val="21"/>
                <w:vertAlign w:val="subscript"/>
              </w:rPr>
              <w:t>1-1</w:t>
            </w:r>
          </w:p>
        </w:tc>
        <w:tc>
          <w:tcPr>
            <w:tcW w:w="497" w:type="pct"/>
            <w:shd w:val="clear" w:color="auto" w:fill="auto"/>
            <w:vAlign w:val="center"/>
          </w:tcPr>
          <w:p w14:paraId="1C25FA4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300.00 </w:t>
            </w:r>
          </w:p>
        </w:tc>
      </w:tr>
      <w:tr w:rsidR="002133E3" w14:paraId="015257B3" w14:textId="77777777">
        <w:trPr>
          <w:trHeight w:val="300"/>
          <w:jc w:val="center"/>
        </w:trPr>
        <w:tc>
          <w:tcPr>
            <w:tcW w:w="288" w:type="pct"/>
            <w:shd w:val="clear" w:color="auto" w:fill="auto"/>
            <w:vAlign w:val="center"/>
          </w:tcPr>
          <w:p w14:paraId="74E9E6C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w:t>
            </w:r>
          </w:p>
        </w:tc>
        <w:tc>
          <w:tcPr>
            <w:tcW w:w="586" w:type="pct"/>
            <w:shd w:val="clear" w:color="auto" w:fill="auto"/>
            <w:noWrap/>
            <w:vAlign w:val="center"/>
          </w:tcPr>
          <w:p w14:paraId="4C4750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糖化酶</w:t>
            </w:r>
          </w:p>
        </w:tc>
        <w:tc>
          <w:tcPr>
            <w:tcW w:w="616" w:type="pct"/>
            <w:shd w:val="clear" w:color="auto" w:fill="auto"/>
            <w:vAlign w:val="center"/>
          </w:tcPr>
          <w:p w14:paraId="66F7D4C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134</w:t>
            </w:r>
          </w:p>
        </w:tc>
        <w:tc>
          <w:tcPr>
            <w:tcW w:w="439" w:type="pct"/>
            <w:shd w:val="clear" w:color="auto" w:fill="auto"/>
            <w:vAlign w:val="center"/>
          </w:tcPr>
          <w:p w14:paraId="4CAAEA3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53E795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1-3</w:t>
            </w:r>
          </w:p>
        </w:tc>
        <w:tc>
          <w:tcPr>
            <w:tcW w:w="587" w:type="pct"/>
            <w:shd w:val="clear" w:color="auto" w:fill="auto"/>
            <w:vAlign w:val="center"/>
          </w:tcPr>
          <w:p w14:paraId="766A82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26.03</w:t>
            </w:r>
          </w:p>
        </w:tc>
        <w:tc>
          <w:tcPr>
            <w:tcW w:w="513" w:type="pct"/>
            <w:shd w:val="clear" w:color="auto" w:fill="auto"/>
            <w:vAlign w:val="center"/>
          </w:tcPr>
          <w:p w14:paraId="6F2A096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w:t>
            </w:r>
            <w:r>
              <w:rPr>
                <w:rFonts w:ascii="Times New Roman" w:eastAsia="宋体" w:hAnsi="Times New Roman" w:cs="Times New Roman"/>
                <w:kern w:val="0"/>
                <w:szCs w:val="21"/>
                <w:vertAlign w:val="subscript"/>
              </w:rPr>
              <w:t>1-3</w:t>
            </w:r>
          </w:p>
        </w:tc>
        <w:tc>
          <w:tcPr>
            <w:tcW w:w="586" w:type="pct"/>
            <w:shd w:val="clear" w:color="auto" w:fill="auto"/>
            <w:noWrap/>
            <w:vAlign w:val="bottom"/>
          </w:tcPr>
          <w:p w14:paraId="3AB7C78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572959.67 </w:t>
            </w:r>
          </w:p>
        </w:tc>
        <w:tc>
          <w:tcPr>
            <w:tcW w:w="450" w:type="pct"/>
            <w:shd w:val="clear" w:color="auto" w:fill="auto"/>
            <w:vAlign w:val="center"/>
          </w:tcPr>
          <w:p w14:paraId="376D68E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F</w:t>
            </w:r>
            <w:r>
              <w:rPr>
                <w:rFonts w:ascii="Times New Roman" w:eastAsia="宋体" w:hAnsi="Times New Roman" w:cs="Times New Roman"/>
                <w:kern w:val="0"/>
                <w:szCs w:val="21"/>
                <w:vertAlign w:val="subscript"/>
              </w:rPr>
              <w:t>1-2</w:t>
            </w:r>
          </w:p>
        </w:tc>
        <w:tc>
          <w:tcPr>
            <w:tcW w:w="497" w:type="pct"/>
            <w:shd w:val="clear" w:color="auto" w:fill="auto"/>
            <w:vAlign w:val="center"/>
          </w:tcPr>
          <w:p w14:paraId="7B5EDD0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300.00 </w:t>
            </w:r>
          </w:p>
        </w:tc>
      </w:tr>
      <w:tr w:rsidR="002133E3" w14:paraId="0569E748" w14:textId="77777777">
        <w:trPr>
          <w:trHeight w:val="270"/>
          <w:jc w:val="center"/>
        </w:trPr>
        <w:tc>
          <w:tcPr>
            <w:tcW w:w="288" w:type="pct"/>
            <w:shd w:val="clear" w:color="auto" w:fill="auto"/>
            <w:vAlign w:val="center"/>
          </w:tcPr>
          <w:p w14:paraId="4EFB0E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4</w:t>
            </w:r>
          </w:p>
        </w:tc>
        <w:tc>
          <w:tcPr>
            <w:tcW w:w="586" w:type="pct"/>
            <w:shd w:val="clear" w:color="auto" w:fill="auto"/>
            <w:noWrap/>
            <w:vAlign w:val="center"/>
          </w:tcPr>
          <w:p w14:paraId="107283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尿素</w:t>
            </w:r>
          </w:p>
        </w:tc>
        <w:tc>
          <w:tcPr>
            <w:tcW w:w="616" w:type="pct"/>
            <w:shd w:val="clear" w:color="auto" w:fill="auto"/>
            <w:vAlign w:val="center"/>
          </w:tcPr>
          <w:p w14:paraId="1439BA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200 </w:t>
            </w:r>
          </w:p>
        </w:tc>
        <w:tc>
          <w:tcPr>
            <w:tcW w:w="439" w:type="pct"/>
            <w:shd w:val="clear" w:color="auto" w:fill="auto"/>
            <w:vAlign w:val="center"/>
          </w:tcPr>
          <w:p w14:paraId="05C624A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1D78870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1-4</w:t>
            </w:r>
          </w:p>
        </w:tc>
        <w:tc>
          <w:tcPr>
            <w:tcW w:w="587" w:type="pct"/>
            <w:shd w:val="clear" w:color="auto" w:fill="auto"/>
            <w:noWrap/>
            <w:vAlign w:val="center"/>
          </w:tcPr>
          <w:p w14:paraId="33E14DD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25.23</w:t>
            </w:r>
          </w:p>
        </w:tc>
        <w:tc>
          <w:tcPr>
            <w:tcW w:w="513" w:type="pct"/>
            <w:shd w:val="clear" w:color="auto" w:fill="auto"/>
            <w:vAlign w:val="center"/>
          </w:tcPr>
          <w:p w14:paraId="65742E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w:t>
            </w:r>
            <w:r>
              <w:rPr>
                <w:rFonts w:ascii="Times New Roman" w:eastAsia="宋体" w:hAnsi="Times New Roman" w:cs="Times New Roman"/>
                <w:kern w:val="0"/>
                <w:szCs w:val="21"/>
                <w:vertAlign w:val="subscript"/>
              </w:rPr>
              <w:t>1-4</w:t>
            </w:r>
          </w:p>
        </w:tc>
        <w:tc>
          <w:tcPr>
            <w:tcW w:w="586" w:type="pct"/>
            <w:shd w:val="clear" w:color="auto" w:fill="auto"/>
            <w:vAlign w:val="center"/>
          </w:tcPr>
          <w:p w14:paraId="352FD9E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42635.00 </w:t>
            </w:r>
          </w:p>
        </w:tc>
        <w:tc>
          <w:tcPr>
            <w:tcW w:w="450" w:type="pct"/>
            <w:shd w:val="clear" w:color="auto" w:fill="auto"/>
            <w:noWrap/>
            <w:vAlign w:val="center"/>
          </w:tcPr>
          <w:p w14:paraId="07C71CBB" w14:textId="77777777" w:rsidR="002133E3" w:rsidRDefault="002133E3">
            <w:pPr>
              <w:widowControl/>
              <w:jc w:val="center"/>
              <w:rPr>
                <w:rFonts w:ascii="Times New Roman" w:eastAsia="宋体" w:hAnsi="Times New Roman" w:cs="Times New Roman"/>
                <w:kern w:val="0"/>
                <w:szCs w:val="21"/>
              </w:rPr>
            </w:pPr>
          </w:p>
        </w:tc>
        <w:tc>
          <w:tcPr>
            <w:tcW w:w="497" w:type="pct"/>
            <w:shd w:val="clear" w:color="auto" w:fill="auto"/>
            <w:noWrap/>
            <w:vAlign w:val="center"/>
          </w:tcPr>
          <w:p w14:paraId="7CA5F30B" w14:textId="77777777" w:rsidR="002133E3" w:rsidRDefault="002133E3">
            <w:pPr>
              <w:widowControl/>
              <w:jc w:val="left"/>
              <w:rPr>
                <w:rFonts w:ascii="Times New Roman" w:eastAsia="宋体" w:hAnsi="Times New Roman" w:cs="Times New Roman"/>
                <w:kern w:val="0"/>
                <w:szCs w:val="21"/>
              </w:rPr>
            </w:pPr>
          </w:p>
        </w:tc>
      </w:tr>
      <w:tr w:rsidR="002133E3" w14:paraId="29E98B66" w14:textId="77777777">
        <w:trPr>
          <w:trHeight w:val="270"/>
          <w:jc w:val="center"/>
        </w:trPr>
        <w:tc>
          <w:tcPr>
            <w:tcW w:w="288" w:type="pct"/>
            <w:shd w:val="clear" w:color="auto" w:fill="auto"/>
            <w:vAlign w:val="center"/>
          </w:tcPr>
          <w:p w14:paraId="4ADA79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w:t>
            </w:r>
          </w:p>
        </w:tc>
        <w:tc>
          <w:tcPr>
            <w:tcW w:w="586" w:type="pct"/>
            <w:shd w:val="clear" w:color="auto" w:fill="auto"/>
            <w:noWrap/>
            <w:vAlign w:val="center"/>
          </w:tcPr>
          <w:p w14:paraId="3A70C3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硫酸</w:t>
            </w:r>
          </w:p>
        </w:tc>
        <w:tc>
          <w:tcPr>
            <w:tcW w:w="616" w:type="pct"/>
            <w:shd w:val="clear" w:color="auto" w:fill="auto"/>
            <w:noWrap/>
            <w:vAlign w:val="center"/>
          </w:tcPr>
          <w:p w14:paraId="130AF59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504</w:t>
            </w:r>
          </w:p>
        </w:tc>
        <w:tc>
          <w:tcPr>
            <w:tcW w:w="439" w:type="pct"/>
            <w:shd w:val="clear" w:color="auto" w:fill="auto"/>
            <w:vAlign w:val="center"/>
          </w:tcPr>
          <w:p w14:paraId="267C04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7EB95B9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1-5</w:t>
            </w:r>
          </w:p>
        </w:tc>
        <w:tc>
          <w:tcPr>
            <w:tcW w:w="587" w:type="pct"/>
            <w:shd w:val="clear" w:color="auto" w:fill="auto"/>
            <w:vAlign w:val="center"/>
          </w:tcPr>
          <w:p w14:paraId="27FC560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26.02</w:t>
            </w:r>
          </w:p>
        </w:tc>
        <w:tc>
          <w:tcPr>
            <w:tcW w:w="513" w:type="pct"/>
            <w:shd w:val="clear" w:color="auto" w:fill="auto"/>
            <w:vAlign w:val="center"/>
          </w:tcPr>
          <w:p w14:paraId="167D02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6" w:type="pct"/>
            <w:shd w:val="clear" w:color="auto" w:fill="auto"/>
            <w:vAlign w:val="center"/>
          </w:tcPr>
          <w:p w14:paraId="54E1CF3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0" w:type="pct"/>
            <w:shd w:val="clear" w:color="auto" w:fill="auto"/>
            <w:vAlign w:val="center"/>
          </w:tcPr>
          <w:p w14:paraId="75D728C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97" w:type="pct"/>
            <w:shd w:val="clear" w:color="auto" w:fill="auto"/>
            <w:vAlign w:val="center"/>
          </w:tcPr>
          <w:p w14:paraId="5A4526A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2133E3" w14:paraId="6DB23372" w14:textId="77777777">
        <w:trPr>
          <w:trHeight w:val="270"/>
          <w:jc w:val="center"/>
        </w:trPr>
        <w:tc>
          <w:tcPr>
            <w:tcW w:w="288" w:type="pct"/>
            <w:shd w:val="clear" w:color="auto" w:fill="auto"/>
            <w:vAlign w:val="center"/>
          </w:tcPr>
          <w:p w14:paraId="7F9585A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6</w:t>
            </w:r>
          </w:p>
        </w:tc>
        <w:tc>
          <w:tcPr>
            <w:tcW w:w="586" w:type="pct"/>
            <w:shd w:val="clear" w:color="auto" w:fill="auto"/>
            <w:noWrap/>
            <w:vAlign w:val="center"/>
          </w:tcPr>
          <w:p w14:paraId="2634F09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60%</w:t>
            </w:r>
            <w:r>
              <w:rPr>
                <w:rFonts w:ascii="Times New Roman" w:eastAsia="宋体" w:hAnsi="Times New Roman" w:cs="Times New Roman"/>
                <w:szCs w:val="21"/>
              </w:rPr>
              <w:t>硫酸</w:t>
            </w:r>
          </w:p>
        </w:tc>
        <w:tc>
          <w:tcPr>
            <w:tcW w:w="616" w:type="pct"/>
            <w:shd w:val="clear" w:color="auto" w:fill="auto"/>
            <w:vAlign w:val="center"/>
          </w:tcPr>
          <w:p w14:paraId="57FFC9F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327</w:t>
            </w:r>
          </w:p>
        </w:tc>
        <w:tc>
          <w:tcPr>
            <w:tcW w:w="439" w:type="pct"/>
            <w:shd w:val="clear" w:color="auto" w:fill="auto"/>
            <w:vAlign w:val="center"/>
          </w:tcPr>
          <w:p w14:paraId="0AF4108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5029DD6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1-6</w:t>
            </w:r>
          </w:p>
        </w:tc>
        <w:tc>
          <w:tcPr>
            <w:tcW w:w="587" w:type="pct"/>
            <w:shd w:val="clear" w:color="auto" w:fill="auto"/>
            <w:vAlign w:val="center"/>
          </w:tcPr>
          <w:p w14:paraId="7120CA7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25.23</w:t>
            </w:r>
          </w:p>
        </w:tc>
        <w:tc>
          <w:tcPr>
            <w:tcW w:w="513" w:type="pct"/>
            <w:shd w:val="clear" w:color="auto" w:fill="auto"/>
            <w:vAlign w:val="center"/>
          </w:tcPr>
          <w:p w14:paraId="1204C4C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6" w:type="pct"/>
            <w:shd w:val="clear" w:color="auto" w:fill="auto"/>
            <w:vAlign w:val="center"/>
          </w:tcPr>
          <w:p w14:paraId="5BFCBB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0" w:type="pct"/>
            <w:shd w:val="clear" w:color="auto" w:fill="auto"/>
            <w:vAlign w:val="center"/>
          </w:tcPr>
          <w:p w14:paraId="09A503B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97" w:type="pct"/>
            <w:shd w:val="clear" w:color="auto" w:fill="auto"/>
            <w:vAlign w:val="center"/>
          </w:tcPr>
          <w:p w14:paraId="1A8B511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4C1DE24D" w14:textId="77777777">
        <w:trPr>
          <w:trHeight w:val="270"/>
          <w:jc w:val="center"/>
        </w:trPr>
        <w:tc>
          <w:tcPr>
            <w:tcW w:w="288" w:type="pct"/>
            <w:shd w:val="clear" w:color="auto" w:fill="auto"/>
            <w:vAlign w:val="center"/>
          </w:tcPr>
          <w:p w14:paraId="686C8BAE"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7</w:t>
            </w:r>
          </w:p>
        </w:tc>
        <w:tc>
          <w:tcPr>
            <w:tcW w:w="586" w:type="pct"/>
            <w:shd w:val="clear" w:color="auto" w:fill="auto"/>
            <w:noWrap/>
            <w:vAlign w:val="center"/>
          </w:tcPr>
          <w:p w14:paraId="27378860" w14:textId="2A2FCEF0"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干酵母</w:t>
            </w:r>
          </w:p>
        </w:tc>
        <w:tc>
          <w:tcPr>
            <w:tcW w:w="616" w:type="pct"/>
            <w:shd w:val="clear" w:color="auto" w:fill="auto"/>
            <w:vAlign w:val="center"/>
          </w:tcPr>
          <w:p w14:paraId="18778F83" w14:textId="0722986B"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17.0 </w:t>
            </w:r>
          </w:p>
        </w:tc>
        <w:tc>
          <w:tcPr>
            <w:tcW w:w="439" w:type="pct"/>
            <w:shd w:val="clear" w:color="auto" w:fill="auto"/>
            <w:vAlign w:val="center"/>
          </w:tcPr>
          <w:p w14:paraId="3DC956C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7011EC7F"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7" w:type="pct"/>
            <w:shd w:val="clear" w:color="auto" w:fill="auto"/>
            <w:vAlign w:val="center"/>
          </w:tcPr>
          <w:p w14:paraId="7AAAC1CA"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3" w:type="pct"/>
            <w:shd w:val="clear" w:color="auto" w:fill="auto"/>
            <w:vAlign w:val="center"/>
          </w:tcPr>
          <w:p w14:paraId="03D953C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6" w:type="pct"/>
            <w:shd w:val="clear" w:color="auto" w:fill="auto"/>
            <w:vAlign w:val="center"/>
          </w:tcPr>
          <w:p w14:paraId="436EBFD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0" w:type="pct"/>
            <w:shd w:val="clear" w:color="auto" w:fill="auto"/>
            <w:vAlign w:val="center"/>
          </w:tcPr>
          <w:p w14:paraId="0AC2AC2C"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97" w:type="pct"/>
            <w:shd w:val="clear" w:color="auto" w:fill="auto"/>
            <w:vAlign w:val="center"/>
          </w:tcPr>
          <w:p w14:paraId="6953BA4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3E89922C" w14:textId="77777777">
        <w:trPr>
          <w:trHeight w:val="270"/>
          <w:jc w:val="center"/>
        </w:trPr>
        <w:tc>
          <w:tcPr>
            <w:tcW w:w="288" w:type="pct"/>
            <w:shd w:val="clear" w:color="auto" w:fill="auto"/>
            <w:vAlign w:val="center"/>
          </w:tcPr>
          <w:p w14:paraId="317F79C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8</w:t>
            </w:r>
          </w:p>
        </w:tc>
        <w:tc>
          <w:tcPr>
            <w:tcW w:w="586" w:type="pct"/>
            <w:shd w:val="clear" w:color="auto" w:fill="auto"/>
            <w:noWrap/>
            <w:vAlign w:val="center"/>
          </w:tcPr>
          <w:p w14:paraId="026F2D39" w14:textId="553E026F"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磷酸一铵</w:t>
            </w:r>
          </w:p>
        </w:tc>
        <w:tc>
          <w:tcPr>
            <w:tcW w:w="616" w:type="pct"/>
            <w:shd w:val="clear" w:color="auto" w:fill="auto"/>
            <w:vAlign w:val="center"/>
          </w:tcPr>
          <w:p w14:paraId="7E268F16" w14:textId="46F033B1"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20 </w:t>
            </w:r>
          </w:p>
        </w:tc>
        <w:tc>
          <w:tcPr>
            <w:tcW w:w="439" w:type="pct"/>
            <w:shd w:val="clear" w:color="auto" w:fill="auto"/>
            <w:vAlign w:val="center"/>
          </w:tcPr>
          <w:p w14:paraId="284C45B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111B5EAA"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7" w:type="pct"/>
            <w:shd w:val="clear" w:color="auto" w:fill="auto"/>
            <w:vAlign w:val="center"/>
          </w:tcPr>
          <w:p w14:paraId="620B69C9"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3" w:type="pct"/>
            <w:shd w:val="clear" w:color="auto" w:fill="auto"/>
            <w:vAlign w:val="center"/>
          </w:tcPr>
          <w:p w14:paraId="6AE62F8A"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6" w:type="pct"/>
            <w:shd w:val="clear" w:color="auto" w:fill="auto"/>
            <w:vAlign w:val="center"/>
          </w:tcPr>
          <w:p w14:paraId="1BBAB41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0" w:type="pct"/>
            <w:shd w:val="clear" w:color="auto" w:fill="auto"/>
            <w:vAlign w:val="center"/>
          </w:tcPr>
          <w:p w14:paraId="649B08F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97" w:type="pct"/>
            <w:shd w:val="clear" w:color="auto" w:fill="auto"/>
            <w:vAlign w:val="center"/>
          </w:tcPr>
          <w:p w14:paraId="2AB3607E"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36B365CE" w14:textId="77777777">
        <w:trPr>
          <w:trHeight w:val="270"/>
          <w:jc w:val="center"/>
        </w:trPr>
        <w:tc>
          <w:tcPr>
            <w:tcW w:w="288" w:type="pct"/>
            <w:shd w:val="clear" w:color="auto" w:fill="auto"/>
            <w:vAlign w:val="center"/>
          </w:tcPr>
          <w:p w14:paraId="3EB9780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9</w:t>
            </w:r>
          </w:p>
        </w:tc>
        <w:tc>
          <w:tcPr>
            <w:tcW w:w="586" w:type="pct"/>
            <w:shd w:val="clear" w:color="auto" w:fill="auto"/>
            <w:noWrap/>
            <w:vAlign w:val="center"/>
          </w:tcPr>
          <w:p w14:paraId="6C3D85EB" w14:textId="07FBDF33"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片碱</w:t>
            </w:r>
          </w:p>
        </w:tc>
        <w:tc>
          <w:tcPr>
            <w:tcW w:w="616" w:type="pct"/>
            <w:shd w:val="clear" w:color="auto" w:fill="auto"/>
            <w:vAlign w:val="center"/>
          </w:tcPr>
          <w:p w14:paraId="0F47741F" w14:textId="64AE6F75"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17</w:t>
            </w:r>
          </w:p>
        </w:tc>
        <w:tc>
          <w:tcPr>
            <w:tcW w:w="439" w:type="pct"/>
            <w:shd w:val="clear" w:color="auto" w:fill="auto"/>
            <w:vAlign w:val="center"/>
          </w:tcPr>
          <w:p w14:paraId="433E848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506F22E2"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7" w:type="pct"/>
            <w:shd w:val="clear" w:color="auto" w:fill="auto"/>
            <w:vAlign w:val="center"/>
          </w:tcPr>
          <w:p w14:paraId="529A0AE6"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3" w:type="pct"/>
            <w:shd w:val="clear" w:color="auto" w:fill="auto"/>
            <w:vAlign w:val="center"/>
          </w:tcPr>
          <w:p w14:paraId="7AA0E860"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6" w:type="pct"/>
            <w:shd w:val="clear" w:color="auto" w:fill="auto"/>
            <w:vAlign w:val="center"/>
          </w:tcPr>
          <w:p w14:paraId="09FFAE6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0" w:type="pct"/>
            <w:shd w:val="clear" w:color="auto" w:fill="auto"/>
            <w:vAlign w:val="center"/>
          </w:tcPr>
          <w:p w14:paraId="30D16A5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97" w:type="pct"/>
            <w:shd w:val="clear" w:color="auto" w:fill="auto"/>
            <w:vAlign w:val="center"/>
          </w:tcPr>
          <w:p w14:paraId="6CE8B6A2"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212E9E8E" w14:textId="77777777">
        <w:trPr>
          <w:trHeight w:val="270"/>
          <w:jc w:val="center"/>
        </w:trPr>
        <w:tc>
          <w:tcPr>
            <w:tcW w:w="288" w:type="pct"/>
            <w:shd w:val="clear" w:color="auto" w:fill="auto"/>
            <w:vAlign w:val="center"/>
          </w:tcPr>
          <w:p w14:paraId="1B555A8B"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10</w:t>
            </w:r>
          </w:p>
        </w:tc>
        <w:tc>
          <w:tcPr>
            <w:tcW w:w="586" w:type="pct"/>
            <w:shd w:val="clear" w:color="auto" w:fill="auto"/>
            <w:noWrap/>
            <w:vAlign w:val="center"/>
          </w:tcPr>
          <w:p w14:paraId="347F3DA5" w14:textId="12F6C3BB"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水</w:t>
            </w:r>
          </w:p>
        </w:tc>
        <w:tc>
          <w:tcPr>
            <w:tcW w:w="616" w:type="pct"/>
            <w:shd w:val="clear" w:color="auto" w:fill="auto"/>
            <w:vAlign w:val="center"/>
          </w:tcPr>
          <w:p w14:paraId="106CB0CC" w14:textId="1FBFA9D0"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988140 </w:t>
            </w:r>
          </w:p>
        </w:tc>
        <w:tc>
          <w:tcPr>
            <w:tcW w:w="439" w:type="pct"/>
            <w:shd w:val="clear" w:color="auto" w:fill="auto"/>
            <w:vAlign w:val="center"/>
          </w:tcPr>
          <w:p w14:paraId="34C72B0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57CA3F66"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7" w:type="pct"/>
            <w:shd w:val="clear" w:color="auto" w:fill="auto"/>
            <w:vAlign w:val="center"/>
          </w:tcPr>
          <w:p w14:paraId="04EF0B1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3" w:type="pct"/>
            <w:shd w:val="clear" w:color="auto" w:fill="auto"/>
            <w:vAlign w:val="center"/>
          </w:tcPr>
          <w:p w14:paraId="61884AF0"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6" w:type="pct"/>
            <w:shd w:val="clear" w:color="auto" w:fill="auto"/>
            <w:vAlign w:val="center"/>
          </w:tcPr>
          <w:p w14:paraId="44AFC92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0" w:type="pct"/>
            <w:shd w:val="clear" w:color="auto" w:fill="auto"/>
            <w:vAlign w:val="center"/>
          </w:tcPr>
          <w:p w14:paraId="26C3DF1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97" w:type="pct"/>
            <w:shd w:val="clear" w:color="auto" w:fill="auto"/>
            <w:vAlign w:val="center"/>
          </w:tcPr>
          <w:p w14:paraId="43514E1E"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49BDAF36" w14:textId="77777777">
        <w:trPr>
          <w:trHeight w:val="270"/>
          <w:jc w:val="center"/>
        </w:trPr>
        <w:tc>
          <w:tcPr>
            <w:tcW w:w="288" w:type="pct"/>
            <w:shd w:val="clear" w:color="auto" w:fill="auto"/>
            <w:vAlign w:val="center"/>
          </w:tcPr>
          <w:p w14:paraId="1485764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11</w:t>
            </w:r>
          </w:p>
        </w:tc>
        <w:tc>
          <w:tcPr>
            <w:tcW w:w="586" w:type="pct"/>
            <w:shd w:val="clear" w:color="auto" w:fill="auto"/>
            <w:noWrap/>
            <w:vAlign w:val="center"/>
          </w:tcPr>
          <w:p w14:paraId="5F16EFE2" w14:textId="16E251FA"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蒸汽</w:t>
            </w:r>
          </w:p>
        </w:tc>
        <w:tc>
          <w:tcPr>
            <w:tcW w:w="616" w:type="pct"/>
            <w:shd w:val="clear" w:color="auto" w:fill="auto"/>
            <w:vAlign w:val="center"/>
          </w:tcPr>
          <w:p w14:paraId="0DFDA17F" w14:textId="036FAD41"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170000.0 </w:t>
            </w:r>
          </w:p>
        </w:tc>
        <w:tc>
          <w:tcPr>
            <w:tcW w:w="439" w:type="pct"/>
            <w:shd w:val="clear" w:color="auto" w:fill="auto"/>
            <w:vAlign w:val="center"/>
          </w:tcPr>
          <w:p w14:paraId="56294A4B"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38" w:type="pct"/>
            <w:shd w:val="clear" w:color="auto" w:fill="auto"/>
            <w:vAlign w:val="center"/>
          </w:tcPr>
          <w:p w14:paraId="0914123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7" w:type="pct"/>
            <w:shd w:val="clear" w:color="auto" w:fill="auto"/>
            <w:vAlign w:val="center"/>
          </w:tcPr>
          <w:p w14:paraId="620A8757"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3" w:type="pct"/>
            <w:shd w:val="clear" w:color="auto" w:fill="auto"/>
            <w:vAlign w:val="center"/>
          </w:tcPr>
          <w:p w14:paraId="48F6EE8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86" w:type="pct"/>
            <w:shd w:val="clear" w:color="auto" w:fill="auto"/>
            <w:vAlign w:val="center"/>
          </w:tcPr>
          <w:p w14:paraId="44293CF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0" w:type="pct"/>
            <w:shd w:val="clear" w:color="auto" w:fill="auto"/>
            <w:vAlign w:val="center"/>
          </w:tcPr>
          <w:p w14:paraId="7D14584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97" w:type="pct"/>
            <w:shd w:val="clear" w:color="auto" w:fill="auto"/>
            <w:vAlign w:val="center"/>
          </w:tcPr>
          <w:p w14:paraId="108B440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434D601D" w14:textId="77777777">
        <w:trPr>
          <w:trHeight w:val="270"/>
          <w:jc w:val="center"/>
        </w:trPr>
        <w:tc>
          <w:tcPr>
            <w:tcW w:w="874" w:type="pct"/>
            <w:gridSpan w:val="2"/>
            <w:vMerge w:val="restart"/>
            <w:shd w:val="clear" w:color="auto" w:fill="auto"/>
            <w:vAlign w:val="center"/>
          </w:tcPr>
          <w:p w14:paraId="16AA862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合计</w:t>
            </w:r>
          </w:p>
        </w:tc>
        <w:tc>
          <w:tcPr>
            <w:tcW w:w="616" w:type="pct"/>
            <w:vMerge w:val="restart"/>
            <w:shd w:val="clear" w:color="auto" w:fill="auto"/>
            <w:vAlign w:val="center"/>
          </w:tcPr>
          <w:p w14:paraId="26E8B9D1" w14:textId="77777777" w:rsidR="009C2E4E" w:rsidRDefault="009C2E4E" w:rsidP="009C2E4E">
            <w:pPr>
              <w:jc w:val="center"/>
              <w:rPr>
                <w:rFonts w:ascii="Times New Roman" w:eastAsia="宋体" w:hAnsi="Times New Roman" w:cs="Times New Roman"/>
                <w:szCs w:val="21"/>
              </w:rPr>
            </w:pPr>
            <w:r>
              <w:rPr>
                <w:rFonts w:ascii="Times New Roman" w:eastAsia="宋体" w:hAnsi="Times New Roman" w:cs="Times New Roman"/>
                <w:szCs w:val="21"/>
              </w:rPr>
              <w:t>1431995</w:t>
            </w:r>
          </w:p>
        </w:tc>
        <w:tc>
          <w:tcPr>
            <w:tcW w:w="439" w:type="pct"/>
            <w:shd w:val="clear" w:color="auto" w:fill="auto"/>
            <w:vAlign w:val="center"/>
          </w:tcPr>
          <w:p w14:paraId="492D5D3E"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100000</w:t>
            </w:r>
          </w:p>
        </w:tc>
        <w:tc>
          <w:tcPr>
            <w:tcW w:w="1025" w:type="pct"/>
            <w:gridSpan w:val="2"/>
            <w:shd w:val="clear" w:color="auto" w:fill="auto"/>
            <w:vAlign w:val="center"/>
          </w:tcPr>
          <w:p w14:paraId="6C5EF6F3" w14:textId="77777777" w:rsidR="009C2E4E" w:rsidRDefault="009C2E4E" w:rsidP="009C2E4E">
            <w:pPr>
              <w:widowControl/>
              <w:jc w:val="center"/>
              <w:rPr>
                <w:rFonts w:ascii="Times New Roman" w:eastAsia="宋体" w:hAnsi="Times New Roman" w:cs="Times New Roman"/>
                <w:szCs w:val="21"/>
              </w:rPr>
            </w:pPr>
            <w:r>
              <w:rPr>
                <w:rFonts w:ascii="Times New Roman" w:eastAsia="宋体" w:hAnsi="Times New Roman" w:cs="Times New Roman"/>
                <w:szCs w:val="21"/>
              </w:rPr>
              <w:t>92257.66</w:t>
            </w:r>
          </w:p>
        </w:tc>
        <w:tc>
          <w:tcPr>
            <w:tcW w:w="1099" w:type="pct"/>
            <w:gridSpan w:val="2"/>
            <w:shd w:val="clear" w:color="auto" w:fill="auto"/>
            <w:vAlign w:val="center"/>
          </w:tcPr>
          <w:p w14:paraId="1234C9E8" w14:textId="77777777" w:rsidR="009C2E4E" w:rsidRDefault="009C2E4E" w:rsidP="009C2E4E">
            <w:pPr>
              <w:widowControl/>
              <w:jc w:val="center"/>
              <w:rPr>
                <w:rFonts w:ascii="Times New Roman" w:eastAsia="宋体" w:hAnsi="Times New Roman" w:cs="Times New Roman"/>
                <w:szCs w:val="21"/>
              </w:rPr>
            </w:pPr>
            <w:r>
              <w:rPr>
                <w:rFonts w:ascii="Times New Roman" w:eastAsia="宋体" w:hAnsi="Times New Roman" w:cs="Times New Roman"/>
                <w:szCs w:val="21"/>
              </w:rPr>
              <w:t>1231185.34</w:t>
            </w:r>
          </w:p>
        </w:tc>
        <w:tc>
          <w:tcPr>
            <w:tcW w:w="947" w:type="pct"/>
            <w:gridSpan w:val="2"/>
            <w:shd w:val="clear" w:color="auto" w:fill="auto"/>
            <w:vAlign w:val="center"/>
          </w:tcPr>
          <w:p w14:paraId="0E32860D"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8552</w:t>
            </w:r>
          </w:p>
        </w:tc>
      </w:tr>
      <w:tr w:rsidR="009C2E4E" w14:paraId="351C5501" w14:textId="77777777">
        <w:trPr>
          <w:trHeight w:val="270"/>
          <w:jc w:val="center"/>
        </w:trPr>
        <w:tc>
          <w:tcPr>
            <w:tcW w:w="874" w:type="pct"/>
            <w:gridSpan w:val="2"/>
            <w:vMerge/>
            <w:vAlign w:val="center"/>
          </w:tcPr>
          <w:p w14:paraId="0A6D05A4" w14:textId="77777777" w:rsidR="009C2E4E" w:rsidRDefault="009C2E4E" w:rsidP="009C2E4E">
            <w:pPr>
              <w:widowControl/>
              <w:jc w:val="left"/>
              <w:rPr>
                <w:rFonts w:ascii="Times New Roman" w:eastAsia="宋体" w:hAnsi="Times New Roman" w:cs="Times New Roman"/>
                <w:kern w:val="0"/>
                <w:szCs w:val="21"/>
              </w:rPr>
            </w:pPr>
          </w:p>
        </w:tc>
        <w:tc>
          <w:tcPr>
            <w:tcW w:w="616" w:type="pct"/>
            <w:vMerge/>
            <w:vAlign w:val="center"/>
          </w:tcPr>
          <w:p w14:paraId="137E1489" w14:textId="77777777" w:rsidR="009C2E4E" w:rsidRDefault="009C2E4E" w:rsidP="009C2E4E">
            <w:pPr>
              <w:widowControl/>
              <w:jc w:val="left"/>
              <w:rPr>
                <w:rFonts w:ascii="Times New Roman" w:eastAsia="宋体" w:hAnsi="Times New Roman" w:cs="Times New Roman"/>
                <w:kern w:val="0"/>
                <w:szCs w:val="21"/>
              </w:rPr>
            </w:pPr>
          </w:p>
        </w:tc>
        <w:tc>
          <w:tcPr>
            <w:tcW w:w="3510" w:type="pct"/>
            <w:gridSpan w:val="7"/>
            <w:shd w:val="clear" w:color="auto" w:fill="auto"/>
            <w:vAlign w:val="center"/>
          </w:tcPr>
          <w:p w14:paraId="66E688D6"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szCs w:val="21"/>
              </w:rPr>
              <w:t>1431995</w:t>
            </w:r>
          </w:p>
        </w:tc>
      </w:tr>
    </w:tbl>
    <w:p w14:paraId="1AF5EA59" w14:textId="77777777" w:rsidR="002133E3" w:rsidRDefault="002133E3">
      <w:pPr>
        <w:snapToGrid w:val="0"/>
        <w:spacing w:line="500" w:lineRule="atLeast"/>
        <w:jc w:val="center"/>
        <w:rPr>
          <w:rFonts w:ascii="Times New Roman" w:hAnsi="Times New Roman" w:cs="Times New Roman"/>
        </w:rPr>
        <w:sectPr w:rsidR="002133E3">
          <w:pgSz w:w="11906" w:h="16838"/>
          <w:pgMar w:top="1134" w:right="1134" w:bottom="1134" w:left="1134" w:header="850" w:footer="992" w:gutter="0"/>
          <w:cols w:space="720"/>
          <w:docGrid w:linePitch="312"/>
        </w:sectPr>
      </w:pPr>
    </w:p>
    <w:p w14:paraId="672C09C8" w14:textId="77777777" w:rsidR="002133E3" w:rsidRDefault="009F1FEF">
      <w:pPr>
        <w:snapToGrid w:val="0"/>
        <w:spacing w:line="500" w:lineRule="atLeast"/>
        <w:jc w:val="center"/>
        <w:rPr>
          <w:rFonts w:ascii="Times New Roman" w:eastAsia="宋体" w:hAnsi="Times New Roman" w:cs="Times New Roman"/>
          <w:b/>
          <w:bCs/>
          <w:szCs w:val="24"/>
        </w:rPr>
      </w:pPr>
      <w:r>
        <w:lastRenderedPageBreak/>
        <w:pict w14:anchorId="2CB7D92B">
          <v:shape id="_x0000_i1046" type="#_x0000_t75" style="width:567.1pt;height:451.35pt">
            <v:imagedata r:id="rId49" o:title=""/>
          </v:shape>
        </w:pict>
      </w:r>
    </w:p>
    <w:p w14:paraId="0C0AC977" w14:textId="77777777" w:rsidR="002133E3" w:rsidRDefault="00C22CFA">
      <w:pPr>
        <w:snapToGrid w:val="0"/>
        <w:jc w:val="center"/>
        <w:rPr>
          <w:rFonts w:ascii="Times New Roman" w:eastAsia="宋体" w:hAnsi="Times New Roman" w:cs="Times New Roman"/>
          <w:sz w:val="36"/>
          <w:szCs w:val="36"/>
        </w:rPr>
      </w:pPr>
      <w:r>
        <w:rPr>
          <w:rFonts w:ascii="Times New Roman" w:eastAsia="宋体" w:hAnsi="Times New Roman" w:cs="Times New Roman"/>
          <w:b/>
          <w:bCs/>
          <w:sz w:val="24"/>
          <w:szCs w:val="32"/>
        </w:rPr>
        <w:t>图</w:t>
      </w:r>
      <w:r>
        <w:rPr>
          <w:rFonts w:ascii="Times New Roman" w:eastAsia="宋体" w:hAnsi="Times New Roman" w:cs="Times New Roman"/>
          <w:b/>
          <w:bCs/>
          <w:sz w:val="24"/>
          <w:szCs w:val="32"/>
        </w:rPr>
        <w:t xml:space="preserve">4.2-2  </w:t>
      </w:r>
      <w:r>
        <w:rPr>
          <w:rFonts w:ascii="Times New Roman" w:eastAsia="宋体" w:hAnsi="Times New Roman" w:cs="Times New Roman"/>
          <w:b/>
          <w:bCs/>
          <w:kern w:val="0"/>
          <w:sz w:val="24"/>
          <w:szCs w:val="24"/>
        </w:rPr>
        <w:t>10</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w:t>
      </w:r>
      <w:r>
        <w:rPr>
          <w:rFonts w:ascii="Times New Roman" w:eastAsia="宋体" w:hAnsi="Times New Roman" w:cs="Times New Roman"/>
          <w:b/>
          <w:bCs/>
          <w:sz w:val="24"/>
          <w:szCs w:val="32"/>
        </w:rPr>
        <w:t>物料总平衡图</w:t>
      </w:r>
      <w:r>
        <w:rPr>
          <w:rFonts w:ascii="Times New Roman" w:eastAsia="宋体" w:hAnsi="Times New Roman" w:cs="Times New Roman"/>
          <w:b/>
          <w:bCs/>
          <w:kern w:val="0"/>
          <w:sz w:val="24"/>
          <w:szCs w:val="24"/>
        </w:rPr>
        <w:t>(t/a)</w:t>
      </w:r>
    </w:p>
    <w:p w14:paraId="14DF9D12" w14:textId="77777777" w:rsidR="002133E3" w:rsidRDefault="002133E3">
      <w:pPr>
        <w:widowControl/>
        <w:spacing w:line="500" w:lineRule="atLeast"/>
        <w:ind w:firstLineChars="200" w:firstLine="560"/>
        <w:rPr>
          <w:rFonts w:ascii="Times New Roman" w:eastAsia="宋体" w:hAnsi="Times New Roman" w:cs="Times New Roman"/>
          <w:kern w:val="0"/>
          <w:sz w:val="28"/>
          <w:szCs w:val="28"/>
        </w:rPr>
        <w:sectPr w:rsidR="002133E3">
          <w:pgSz w:w="16838" w:h="11906" w:orient="landscape"/>
          <w:pgMar w:top="1134" w:right="1134" w:bottom="1134" w:left="1134" w:header="851" w:footer="992" w:gutter="0"/>
          <w:cols w:space="720"/>
          <w:docGrid w:linePitch="312"/>
        </w:sectPr>
      </w:pPr>
    </w:p>
    <w:p w14:paraId="61996FEA" w14:textId="77777777" w:rsidR="002133E3" w:rsidRDefault="00C22CFA">
      <w:pPr>
        <w:widowControl/>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5</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酒精生产物料平衡情况详见图</w:t>
      </w:r>
      <w:r>
        <w:rPr>
          <w:rFonts w:ascii="Times New Roman" w:eastAsia="宋体" w:hAnsi="Times New Roman" w:cs="Times New Roman"/>
          <w:kern w:val="0"/>
          <w:sz w:val="28"/>
          <w:szCs w:val="28"/>
        </w:rPr>
        <w:t>4.2-3</w:t>
      </w:r>
      <w:r>
        <w:rPr>
          <w:rFonts w:ascii="Times New Roman" w:eastAsia="宋体" w:hAnsi="Times New Roman" w:cs="Times New Roman"/>
          <w:kern w:val="0"/>
          <w:sz w:val="28"/>
          <w:szCs w:val="28"/>
        </w:rPr>
        <w:t>和表</w:t>
      </w:r>
      <w:r>
        <w:rPr>
          <w:rFonts w:ascii="Times New Roman" w:eastAsia="宋体" w:hAnsi="Times New Roman" w:cs="Times New Roman"/>
          <w:kern w:val="0"/>
          <w:sz w:val="28"/>
          <w:szCs w:val="28"/>
        </w:rPr>
        <w:t>4.2-4</w:t>
      </w:r>
      <w:r>
        <w:rPr>
          <w:rFonts w:ascii="Times New Roman" w:eastAsia="宋体" w:hAnsi="Times New Roman" w:cs="Times New Roman"/>
          <w:kern w:val="0"/>
          <w:sz w:val="28"/>
          <w:szCs w:val="28"/>
        </w:rPr>
        <w:t>。</w:t>
      </w:r>
    </w:p>
    <w:p w14:paraId="56673C92" w14:textId="77777777" w:rsidR="002133E3" w:rsidRPr="009C2E4E" w:rsidRDefault="00C22CFA">
      <w:pPr>
        <w:widowControl/>
        <w:spacing w:line="500" w:lineRule="atLeast"/>
        <w:jc w:val="center"/>
        <w:rPr>
          <w:rFonts w:ascii="Times New Roman" w:eastAsia="宋体" w:hAnsi="Times New Roman" w:cs="Times New Roman"/>
          <w:b/>
          <w:bCs/>
          <w:kern w:val="0"/>
          <w:sz w:val="24"/>
          <w:szCs w:val="24"/>
        </w:rPr>
      </w:pPr>
      <w:r w:rsidRPr="009C2E4E">
        <w:rPr>
          <w:rFonts w:ascii="Times New Roman" w:eastAsia="宋体" w:hAnsi="Times New Roman" w:cs="Times New Roman"/>
          <w:b/>
          <w:bCs/>
          <w:kern w:val="0"/>
          <w:sz w:val="24"/>
          <w:szCs w:val="24"/>
          <w:highlight w:val="yellow"/>
        </w:rPr>
        <w:t>表</w:t>
      </w:r>
      <w:r w:rsidRPr="009C2E4E">
        <w:rPr>
          <w:rFonts w:ascii="Times New Roman" w:eastAsia="宋体" w:hAnsi="Times New Roman" w:cs="Times New Roman"/>
          <w:b/>
          <w:bCs/>
          <w:kern w:val="0"/>
          <w:sz w:val="24"/>
          <w:szCs w:val="24"/>
          <w:highlight w:val="yellow"/>
        </w:rPr>
        <w:t>4.2-4  5</w:t>
      </w:r>
      <w:r w:rsidRPr="009C2E4E">
        <w:rPr>
          <w:rFonts w:ascii="Times New Roman" w:eastAsia="宋体" w:hAnsi="Times New Roman" w:cs="Times New Roman"/>
          <w:b/>
          <w:bCs/>
          <w:kern w:val="0"/>
          <w:sz w:val="24"/>
          <w:szCs w:val="24"/>
          <w:highlight w:val="yellow"/>
        </w:rPr>
        <w:t>万</w:t>
      </w:r>
      <w:r w:rsidRPr="009C2E4E">
        <w:rPr>
          <w:rFonts w:ascii="Times New Roman" w:eastAsia="宋体" w:hAnsi="Times New Roman" w:cs="Times New Roman"/>
          <w:b/>
          <w:bCs/>
          <w:kern w:val="0"/>
          <w:sz w:val="24"/>
          <w:szCs w:val="24"/>
          <w:highlight w:val="yellow"/>
        </w:rPr>
        <w:t>t/a</w:t>
      </w:r>
      <w:r w:rsidRPr="009C2E4E">
        <w:rPr>
          <w:rFonts w:ascii="Times New Roman" w:eastAsia="宋体" w:hAnsi="Times New Roman" w:cs="Times New Roman"/>
          <w:b/>
          <w:bCs/>
          <w:kern w:val="0"/>
          <w:sz w:val="24"/>
          <w:szCs w:val="24"/>
          <w:highlight w:val="yellow"/>
        </w:rPr>
        <w:t>酒精生产物料平衡表</w:t>
      </w:r>
      <w:r w:rsidRPr="009C2E4E">
        <w:rPr>
          <w:rFonts w:ascii="Times New Roman" w:eastAsia="宋体" w:hAnsi="Times New Roman" w:cs="Times New Roman"/>
          <w:b/>
          <w:bCs/>
          <w:kern w:val="0"/>
          <w:sz w:val="24"/>
          <w:szCs w:val="24"/>
          <w:highlight w:val="yellow"/>
        </w:rPr>
        <w:t>(t/a)</w:t>
      </w:r>
    </w:p>
    <w:tbl>
      <w:tblPr>
        <w:tblW w:w="5000" w:type="pct"/>
        <w:tblLook w:val="04A0" w:firstRow="1" w:lastRow="0" w:firstColumn="1" w:lastColumn="0" w:noHBand="0" w:noVBand="1"/>
      </w:tblPr>
      <w:tblGrid>
        <w:gridCol w:w="675"/>
        <w:gridCol w:w="1416"/>
        <w:gridCol w:w="1110"/>
        <w:gridCol w:w="804"/>
        <w:gridCol w:w="1015"/>
        <w:gridCol w:w="1004"/>
        <w:gridCol w:w="1015"/>
        <w:gridCol w:w="1110"/>
        <w:gridCol w:w="806"/>
        <w:gridCol w:w="899"/>
      </w:tblGrid>
      <w:tr w:rsidR="002133E3" w14:paraId="4371CEA9" w14:textId="77777777" w:rsidTr="009C2E4E">
        <w:trPr>
          <w:trHeight w:val="270"/>
        </w:trPr>
        <w:tc>
          <w:tcPr>
            <w:tcW w:w="34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8BA1B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序号</w:t>
            </w:r>
          </w:p>
        </w:tc>
        <w:tc>
          <w:tcPr>
            <w:tcW w:w="1282" w:type="pct"/>
            <w:gridSpan w:val="2"/>
            <w:tcBorders>
              <w:top w:val="single" w:sz="4" w:space="0" w:color="auto"/>
              <w:left w:val="nil"/>
              <w:bottom w:val="single" w:sz="4" w:space="0" w:color="auto"/>
              <w:right w:val="single" w:sz="4" w:space="0" w:color="auto"/>
            </w:tcBorders>
            <w:shd w:val="clear" w:color="auto" w:fill="auto"/>
            <w:vAlign w:val="center"/>
          </w:tcPr>
          <w:p w14:paraId="74C749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入方</w:t>
            </w:r>
          </w:p>
        </w:tc>
        <w:tc>
          <w:tcPr>
            <w:tcW w:w="3376" w:type="pct"/>
            <w:gridSpan w:val="7"/>
            <w:tcBorders>
              <w:top w:val="single" w:sz="4" w:space="0" w:color="auto"/>
              <w:left w:val="nil"/>
              <w:bottom w:val="single" w:sz="4" w:space="0" w:color="auto"/>
              <w:right w:val="single" w:sz="4" w:space="0" w:color="auto"/>
            </w:tcBorders>
            <w:shd w:val="clear" w:color="auto" w:fill="auto"/>
            <w:vAlign w:val="center"/>
          </w:tcPr>
          <w:p w14:paraId="1C4CA56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出方</w:t>
            </w:r>
          </w:p>
        </w:tc>
      </w:tr>
      <w:tr w:rsidR="002133E3" w14:paraId="2577FD82" w14:textId="77777777" w:rsidTr="009C2E4E">
        <w:trPr>
          <w:trHeight w:val="270"/>
        </w:trPr>
        <w:tc>
          <w:tcPr>
            <w:tcW w:w="343" w:type="pct"/>
            <w:vMerge/>
            <w:tcBorders>
              <w:top w:val="single" w:sz="4" w:space="0" w:color="auto"/>
              <w:left w:val="single" w:sz="4" w:space="0" w:color="auto"/>
              <w:bottom w:val="single" w:sz="4" w:space="0" w:color="auto"/>
              <w:right w:val="single" w:sz="4" w:space="0" w:color="auto"/>
            </w:tcBorders>
            <w:vAlign w:val="center"/>
          </w:tcPr>
          <w:p w14:paraId="0012015D" w14:textId="77777777" w:rsidR="002133E3" w:rsidRDefault="002133E3">
            <w:pPr>
              <w:widowControl/>
              <w:jc w:val="left"/>
              <w:rPr>
                <w:rFonts w:ascii="Times New Roman" w:eastAsia="宋体" w:hAnsi="Times New Roman" w:cs="Times New Roman"/>
                <w:kern w:val="0"/>
                <w:szCs w:val="21"/>
              </w:rPr>
            </w:pPr>
          </w:p>
        </w:tc>
        <w:tc>
          <w:tcPr>
            <w:tcW w:w="719" w:type="pct"/>
            <w:tcBorders>
              <w:top w:val="nil"/>
              <w:left w:val="nil"/>
              <w:bottom w:val="single" w:sz="4" w:space="0" w:color="auto"/>
              <w:right w:val="single" w:sz="4" w:space="0" w:color="auto"/>
            </w:tcBorders>
            <w:shd w:val="clear" w:color="auto" w:fill="auto"/>
            <w:vAlign w:val="center"/>
          </w:tcPr>
          <w:p w14:paraId="4DCB09B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物料名称</w:t>
            </w:r>
          </w:p>
        </w:tc>
        <w:tc>
          <w:tcPr>
            <w:tcW w:w="563" w:type="pct"/>
            <w:tcBorders>
              <w:top w:val="nil"/>
              <w:left w:val="nil"/>
              <w:bottom w:val="single" w:sz="4" w:space="0" w:color="auto"/>
              <w:right w:val="single" w:sz="4" w:space="0" w:color="auto"/>
            </w:tcBorders>
            <w:shd w:val="clear" w:color="auto" w:fill="auto"/>
            <w:vAlign w:val="center"/>
          </w:tcPr>
          <w:p w14:paraId="01400B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数量</w:t>
            </w:r>
          </w:p>
        </w:tc>
        <w:tc>
          <w:tcPr>
            <w:tcW w:w="408" w:type="pct"/>
            <w:tcBorders>
              <w:top w:val="nil"/>
              <w:left w:val="nil"/>
              <w:bottom w:val="single" w:sz="4" w:space="0" w:color="auto"/>
              <w:right w:val="single" w:sz="4" w:space="0" w:color="auto"/>
            </w:tcBorders>
            <w:shd w:val="clear" w:color="auto" w:fill="auto"/>
            <w:vAlign w:val="center"/>
          </w:tcPr>
          <w:p w14:paraId="110E645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产品</w:t>
            </w:r>
          </w:p>
        </w:tc>
        <w:tc>
          <w:tcPr>
            <w:tcW w:w="1024" w:type="pct"/>
            <w:gridSpan w:val="2"/>
            <w:tcBorders>
              <w:top w:val="single" w:sz="4" w:space="0" w:color="auto"/>
              <w:left w:val="nil"/>
              <w:bottom w:val="single" w:sz="4" w:space="0" w:color="auto"/>
              <w:right w:val="single" w:sz="4" w:space="0" w:color="auto"/>
            </w:tcBorders>
            <w:shd w:val="clear" w:color="auto" w:fill="auto"/>
            <w:vAlign w:val="center"/>
          </w:tcPr>
          <w:p w14:paraId="702C36E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废气</w:t>
            </w:r>
          </w:p>
        </w:tc>
        <w:tc>
          <w:tcPr>
            <w:tcW w:w="1078" w:type="pct"/>
            <w:gridSpan w:val="2"/>
            <w:tcBorders>
              <w:top w:val="single" w:sz="4" w:space="0" w:color="auto"/>
              <w:left w:val="nil"/>
              <w:bottom w:val="single" w:sz="4" w:space="0" w:color="auto"/>
              <w:right w:val="single" w:sz="4" w:space="0" w:color="auto"/>
            </w:tcBorders>
            <w:shd w:val="clear" w:color="auto" w:fill="auto"/>
            <w:vAlign w:val="center"/>
          </w:tcPr>
          <w:p w14:paraId="6B43CE7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废水</w:t>
            </w:r>
          </w:p>
        </w:tc>
        <w:tc>
          <w:tcPr>
            <w:tcW w:w="865" w:type="pct"/>
            <w:gridSpan w:val="2"/>
            <w:tcBorders>
              <w:top w:val="single" w:sz="4" w:space="0" w:color="auto"/>
              <w:left w:val="nil"/>
              <w:bottom w:val="single" w:sz="4" w:space="0" w:color="auto"/>
              <w:right w:val="single" w:sz="4" w:space="0" w:color="auto"/>
            </w:tcBorders>
            <w:shd w:val="clear" w:color="auto" w:fill="auto"/>
            <w:vAlign w:val="center"/>
          </w:tcPr>
          <w:p w14:paraId="2355966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副产品</w:t>
            </w:r>
          </w:p>
        </w:tc>
      </w:tr>
      <w:tr w:rsidR="002133E3" w14:paraId="6585CF02"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074523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719" w:type="pct"/>
            <w:tcBorders>
              <w:top w:val="nil"/>
              <w:left w:val="nil"/>
              <w:bottom w:val="single" w:sz="4" w:space="0" w:color="auto"/>
              <w:right w:val="single" w:sz="4" w:space="0" w:color="auto"/>
            </w:tcBorders>
            <w:shd w:val="clear" w:color="auto" w:fill="auto"/>
            <w:noWrap/>
            <w:vAlign w:val="center"/>
          </w:tcPr>
          <w:p w14:paraId="025D328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木薯干</w:t>
            </w:r>
          </w:p>
        </w:tc>
        <w:tc>
          <w:tcPr>
            <w:tcW w:w="563" w:type="pct"/>
            <w:tcBorders>
              <w:top w:val="nil"/>
              <w:left w:val="nil"/>
              <w:bottom w:val="single" w:sz="4" w:space="0" w:color="auto"/>
              <w:right w:val="single" w:sz="4" w:space="0" w:color="auto"/>
            </w:tcBorders>
            <w:shd w:val="clear" w:color="auto" w:fill="auto"/>
            <w:vAlign w:val="center"/>
          </w:tcPr>
          <w:p w14:paraId="4C6882B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136293.5 </w:t>
            </w:r>
          </w:p>
        </w:tc>
        <w:tc>
          <w:tcPr>
            <w:tcW w:w="408" w:type="pct"/>
            <w:tcBorders>
              <w:top w:val="nil"/>
              <w:left w:val="nil"/>
              <w:bottom w:val="single" w:sz="4" w:space="0" w:color="auto"/>
              <w:right w:val="single" w:sz="4" w:space="0" w:color="auto"/>
            </w:tcBorders>
            <w:shd w:val="clear" w:color="auto" w:fill="auto"/>
            <w:vAlign w:val="center"/>
          </w:tcPr>
          <w:p w14:paraId="606AA0B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50000</w:t>
            </w:r>
          </w:p>
        </w:tc>
        <w:tc>
          <w:tcPr>
            <w:tcW w:w="515" w:type="pct"/>
            <w:tcBorders>
              <w:top w:val="nil"/>
              <w:left w:val="nil"/>
              <w:bottom w:val="single" w:sz="4" w:space="0" w:color="auto"/>
              <w:right w:val="single" w:sz="4" w:space="0" w:color="auto"/>
            </w:tcBorders>
            <w:shd w:val="clear" w:color="auto" w:fill="auto"/>
            <w:vAlign w:val="center"/>
          </w:tcPr>
          <w:p w14:paraId="75A5345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1-7</w:t>
            </w:r>
          </w:p>
        </w:tc>
        <w:tc>
          <w:tcPr>
            <w:tcW w:w="509" w:type="pct"/>
            <w:tcBorders>
              <w:top w:val="nil"/>
              <w:left w:val="nil"/>
              <w:bottom w:val="single" w:sz="4" w:space="0" w:color="auto"/>
              <w:right w:val="single" w:sz="4" w:space="0" w:color="auto"/>
            </w:tcBorders>
            <w:shd w:val="clear" w:color="auto" w:fill="auto"/>
            <w:vAlign w:val="center"/>
          </w:tcPr>
          <w:p w14:paraId="5DD705D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46.88 </w:t>
            </w:r>
          </w:p>
        </w:tc>
        <w:tc>
          <w:tcPr>
            <w:tcW w:w="515" w:type="pct"/>
            <w:tcBorders>
              <w:top w:val="nil"/>
              <w:left w:val="nil"/>
              <w:bottom w:val="single" w:sz="4" w:space="0" w:color="auto"/>
              <w:right w:val="single" w:sz="4" w:space="0" w:color="auto"/>
            </w:tcBorders>
            <w:shd w:val="clear" w:color="auto" w:fill="auto"/>
            <w:vAlign w:val="center"/>
          </w:tcPr>
          <w:p w14:paraId="1D06EC9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w:t>
            </w:r>
            <w:r>
              <w:rPr>
                <w:rFonts w:ascii="Times New Roman" w:eastAsia="宋体" w:hAnsi="Times New Roman" w:cs="Times New Roman"/>
                <w:kern w:val="0"/>
                <w:szCs w:val="21"/>
                <w:vertAlign w:val="subscript"/>
              </w:rPr>
              <w:t>1-5</w:t>
            </w:r>
          </w:p>
        </w:tc>
        <w:tc>
          <w:tcPr>
            <w:tcW w:w="563" w:type="pct"/>
            <w:tcBorders>
              <w:top w:val="nil"/>
              <w:left w:val="nil"/>
              <w:bottom w:val="single" w:sz="4" w:space="0" w:color="auto"/>
              <w:right w:val="single" w:sz="4" w:space="0" w:color="auto"/>
            </w:tcBorders>
            <w:shd w:val="clear" w:color="auto" w:fill="auto"/>
            <w:vAlign w:val="center"/>
          </w:tcPr>
          <w:p w14:paraId="2DAED8D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573025.16 </w:t>
            </w:r>
          </w:p>
        </w:tc>
        <w:tc>
          <w:tcPr>
            <w:tcW w:w="409" w:type="pct"/>
            <w:tcBorders>
              <w:top w:val="nil"/>
              <w:left w:val="nil"/>
              <w:bottom w:val="single" w:sz="4" w:space="0" w:color="auto"/>
              <w:right w:val="single" w:sz="4" w:space="0" w:color="auto"/>
            </w:tcBorders>
            <w:shd w:val="clear" w:color="auto" w:fill="auto"/>
            <w:vAlign w:val="center"/>
          </w:tcPr>
          <w:p w14:paraId="27C05E6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kern w:val="0"/>
                <w:szCs w:val="21"/>
                <w:vertAlign w:val="subscript"/>
              </w:rPr>
              <w:t>1-2</w:t>
            </w:r>
          </w:p>
        </w:tc>
        <w:tc>
          <w:tcPr>
            <w:tcW w:w="456" w:type="pct"/>
            <w:tcBorders>
              <w:top w:val="nil"/>
              <w:left w:val="nil"/>
              <w:bottom w:val="single" w:sz="4" w:space="0" w:color="auto"/>
              <w:right w:val="single" w:sz="4" w:space="0" w:color="auto"/>
            </w:tcBorders>
            <w:shd w:val="clear" w:color="auto" w:fill="auto"/>
            <w:vAlign w:val="center"/>
          </w:tcPr>
          <w:p w14:paraId="19F19FA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3976.00 </w:t>
            </w:r>
          </w:p>
        </w:tc>
      </w:tr>
      <w:tr w:rsidR="002133E3" w14:paraId="75B1235D"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596372A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719" w:type="pct"/>
            <w:tcBorders>
              <w:top w:val="nil"/>
              <w:left w:val="nil"/>
              <w:bottom w:val="single" w:sz="4" w:space="0" w:color="auto"/>
              <w:right w:val="single" w:sz="4" w:space="0" w:color="auto"/>
            </w:tcBorders>
            <w:shd w:val="clear" w:color="auto" w:fill="auto"/>
            <w:noWrap/>
            <w:vAlign w:val="center"/>
          </w:tcPr>
          <w:p w14:paraId="5732D60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淀粉酶</w:t>
            </w:r>
          </w:p>
        </w:tc>
        <w:tc>
          <w:tcPr>
            <w:tcW w:w="563" w:type="pct"/>
            <w:tcBorders>
              <w:top w:val="nil"/>
              <w:left w:val="nil"/>
              <w:bottom w:val="single" w:sz="4" w:space="0" w:color="auto"/>
              <w:right w:val="single" w:sz="4" w:space="0" w:color="auto"/>
            </w:tcBorders>
            <w:shd w:val="clear" w:color="auto" w:fill="auto"/>
            <w:vAlign w:val="center"/>
          </w:tcPr>
          <w:p w14:paraId="54497E1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17.0 </w:t>
            </w:r>
          </w:p>
        </w:tc>
        <w:tc>
          <w:tcPr>
            <w:tcW w:w="408" w:type="pct"/>
            <w:tcBorders>
              <w:top w:val="nil"/>
              <w:left w:val="nil"/>
              <w:bottom w:val="single" w:sz="4" w:space="0" w:color="auto"/>
              <w:right w:val="single" w:sz="4" w:space="0" w:color="auto"/>
            </w:tcBorders>
            <w:shd w:val="clear" w:color="auto" w:fill="auto"/>
            <w:vAlign w:val="center"/>
          </w:tcPr>
          <w:p w14:paraId="2277375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529399B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1-8</w:t>
            </w:r>
          </w:p>
        </w:tc>
        <w:tc>
          <w:tcPr>
            <w:tcW w:w="509" w:type="pct"/>
            <w:tcBorders>
              <w:top w:val="nil"/>
              <w:left w:val="nil"/>
              <w:bottom w:val="single" w:sz="4" w:space="0" w:color="auto"/>
              <w:right w:val="single" w:sz="4" w:space="0" w:color="auto"/>
            </w:tcBorders>
            <w:shd w:val="clear" w:color="auto" w:fill="auto"/>
            <w:noWrap/>
            <w:vAlign w:val="bottom"/>
          </w:tcPr>
          <w:p w14:paraId="037BE9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46030.71</w:t>
            </w:r>
          </w:p>
        </w:tc>
        <w:tc>
          <w:tcPr>
            <w:tcW w:w="515" w:type="pct"/>
            <w:tcBorders>
              <w:top w:val="nil"/>
              <w:left w:val="nil"/>
              <w:bottom w:val="single" w:sz="4" w:space="0" w:color="auto"/>
              <w:right w:val="single" w:sz="4" w:space="0" w:color="auto"/>
            </w:tcBorders>
            <w:shd w:val="clear" w:color="auto" w:fill="auto"/>
            <w:vAlign w:val="center"/>
          </w:tcPr>
          <w:p w14:paraId="43C90B2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w:t>
            </w:r>
            <w:r>
              <w:rPr>
                <w:rFonts w:ascii="Times New Roman" w:eastAsia="宋体" w:hAnsi="Times New Roman" w:cs="Times New Roman"/>
                <w:kern w:val="0"/>
                <w:szCs w:val="21"/>
                <w:vertAlign w:val="subscript"/>
              </w:rPr>
              <w:t>1-6</w:t>
            </w:r>
          </w:p>
        </w:tc>
        <w:tc>
          <w:tcPr>
            <w:tcW w:w="563" w:type="pct"/>
            <w:tcBorders>
              <w:top w:val="nil"/>
              <w:left w:val="nil"/>
              <w:bottom w:val="single" w:sz="4" w:space="0" w:color="auto"/>
              <w:right w:val="single" w:sz="4" w:space="0" w:color="auto"/>
            </w:tcBorders>
            <w:shd w:val="clear" w:color="auto" w:fill="auto"/>
            <w:vAlign w:val="center"/>
          </w:tcPr>
          <w:p w14:paraId="12BD8E8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42635.01 </w:t>
            </w:r>
          </w:p>
        </w:tc>
        <w:tc>
          <w:tcPr>
            <w:tcW w:w="409" w:type="pct"/>
            <w:tcBorders>
              <w:top w:val="nil"/>
              <w:left w:val="nil"/>
              <w:bottom w:val="single" w:sz="4" w:space="0" w:color="auto"/>
              <w:right w:val="single" w:sz="4" w:space="0" w:color="auto"/>
            </w:tcBorders>
            <w:shd w:val="clear" w:color="auto" w:fill="auto"/>
            <w:vAlign w:val="center"/>
          </w:tcPr>
          <w:p w14:paraId="0D1226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F</w:t>
            </w:r>
            <w:r>
              <w:rPr>
                <w:rFonts w:ascii="Times New Roman" w:eastAsia="宋体" w:hAnsi="Times New Roman" w:cs="Times New Roman"/>
                <w:kern w:val="0"/>
                <w:szCs w:val="21"/>
                <w:vertAlign w:val="subscript"/>
              </w:rPr>
              <w:t>1-3</w:t>
            </w:r>
          </w:p>
        </w:tc>
        <w:tc>
          <w:tcPr>
            <w:tcW w:w="456" w:type="pct"/>
            <w:tcBorders>
              <w:top w:val="nil"/>
              <w:left w:val="nil"/>
              <w:bottom w:val="single" w:sz="4" w:space="0" w:color="auto"/>
              <w:right w:val="single" w:sz="4" w:space="0" w:color="auto"/>
            </w:tcBorders>
            <w:shd w:val="clear" w:color="auto" w:fill="auto"/>
            <w:vAlign w:val="center"/>
          </w:tcPr>
          <w:p w14:paraId="0C6ABBB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300.00 </w:t>
            </w:r>
          </w:p>
        </w:tc>
      </w:tr>
      <w:tr w:rsidR="002133E3" w14:paraId="5D691D87"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27A6A19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719" w:type="pct"/>
            <w:tcBorders>
              <w:top w:val="nil"/>
              <w:left w:val="nil"/>
              <w:bottom w:val="single" w:sz="4" w:space="0" w:color="auto"/>
              <w:right w:val="single" w:sz="4" w:space="0" w:color="auto"/>
            </w:tcBorders>
            <w:shd w:val="clear" w:color="auto" w:fill="auto"/>
            <w:noWrap/>
            <w:vAlign w:val="center"/>
          </w:tcPr>
          <w:p w14:paraId="3E9212F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糖化酶</w:t>
            </w:r>
          </w:p>
        </w:tc>
        <w:tc>
          <w:tcPr>
            <w:tcW w:w="563" w:type="pct"/>
            <w:tcBorders>
              <w:top w:val="nil"/>
              <w:left w:val="nil"/>
              <w:bottom w:val="single" w:sz="4" w:space="0" w:color="auto"/>
              <w:right w:val="single" w:sz="4" w:space="0" w:color="auto"/>
            </w:tcBorders>
            <w:shd w:val="clear" w:color="auto" w:fill="auto"/>
            <w:vAlign w:val="center"/>
          </w:tcPr>
          <w:p w14:paraId="04EE8A4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67.0 </w:t>
            </w:r>
          </w:p>
        </w:tc>
        <w:tc>
          <w:tcPr>
            <w:tcW w:w="408" w:type="pct"/>
            <w:tcBorders>
              <w:top w:val="nil"/>
              <w:left w:val="nil"/>
              <w:bottom w:val="single" w:sz="4" w:space="0" w:color="auto"/>
              <w:right w:val="single" w:sz="4" w:space="0" w:color="auto"/>
            </w:tcBorders>
            <w:shd w:val="clear" w:color="auto" w:fill="auto"/>
            <w:vAlign w:val="center"/>
          </w:tcPr>
          <w:p w14:paraId="4E3B01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48C22BE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1-9</w:t>
            </w:r>
          </w:p>
        </w:tc>
        <w:tc>
          <w:tcPr>
            <w:tcW w:w="509" w:type="pct"/>
            <w:tcBorders>
              <w:top w:val="nil"/>
              <w:left w:val="nil"/>
              <w:bottom w:val="single" w:sz="4" w:space="0" w:color="auto"/>
              <w:right w:val="single" w:sz="4" w:space="0" w:color="auto"/>
            </w:tcBorders>
            <w:shd w:val="clear" w:color="auto" w:fill="auto"/>
            <w:vAlign w:val="center"/>
          </w:tcPr>
          <w:p w14:paraId="5C1A5F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26.02</w:t>
            </w:r>
          </w:p>
        </w:tc>
        <w:tc>
          <w:tcPr>
            <w:tcW w:w="515" w:type="pct"/>
            <w:tcBorders>
              <w:top w:val="nil"/>
              <w:left w:val="nil"/>
              <w:bottom w:val="single" w:sz="4" w:space="0" w:color="auto"/>
              <w:right w:val="single" w:sz="4" w:space="0" w:color="auto"/>
            </w:tcBorders>
            <w:shd w:val="clear" w:color="auto" w:fill="auto"/>
            <w:vAlign w:val="center"/>
          </w:tcPr>
          <w:p w14:paraId="7AC81EB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noWrap/>
            <w:vAlign w:val="bottom"/>
          </w:tcPr>
          <w:p w14:paraId="6A5010D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1CA34D1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3FD159A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2133E3" w14:paraId="2F14DE82"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249EB74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719" w:type="pct"/>
            <w:tcBorders>
              <w:top w:val="nil"/>
              <w:left w:val="nil"/>
              <w:bottom w:val="single" w:sz="4" w:space="0" w:color="auto"/>
              <w:right w:val="single" w:sz="4" w:space="0" w:color="auto"/>
            </w:tcBorders>
            <w:shd w:val="clear" w:color="auto" w:fill="auto"/>
            <w:noWrap/>
            <w:vAlign w:val="center"/>
          </w:tcPr>
          <w:p w14:paraId="77EA2CE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尿素</w:t>
            </w:r>
          </w:p>
        </w:tc>
        <w:tc>
          <w:tcPr>
            <w:tcW w:w="563" w:type="pct"/>
            <w:tcBorders>
              <w:top w:val="nil"/>
              <w:left w:val="nil"/>
              <w:bottom w:val="single" w:sz="4" w:space="0" w:color="auto"/>
              <w:right w:val="single" w:sz="4" w:space="0" w:color="auto"/>
            </w:tcBorders>
            <w:shd w:val="clear" w:color="auto" w:fill="auto"/>
            <w:vAlign w:val="center"/>
          </w:tcPr>
          <w:p w14:paraId="6DCA964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100.0 </w:t>
            </w:r>
          </w:p>
        </w:tc>
        <w:tc>
          <w:tcPr>
            <w:tcW w:w="408" w:type="pct"/>
            <w:tcBorders>
              <w:top w:val="nil"/>
              <w:left w:val="nil"/>
              <w:bottom w:val="single" w:sz="4" w:space="0" w:color="auto"/>
              <w:right w:val="single" w:sz="4" w:space="0" w:color="auto"/>
            </w:tcBorders>
            <w:shd w:val="clear" w:color="auto" w:fill="auto"/>
            <w:vAlign w:val="center"/>
          </w:tcPr>
          <w:p w14:paraId="0FF315C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7B9654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1-10</w:t>
            </w:r>
          </w:p>
        </w:tc>
        <w:tc>
          <w:tcPr>
            <w:tcW w:w="509" w:type="pct"/>
            <w:tcBorders>
              <w:top w:val="nil"/>
              <w:left w:val="nil"/>
              <w:bottom w:val="single" w:sz="4" w:space="0" w:color="auto"/>
              <w:right w:val="single" w:sz="4" w:space="0" w:color="auto"/>
            </w:tcBorders>
            <w:shd w:val="clear" w:color="auto" w:fill="auto"/>
            <w:noWrap/>
            <w:vAlign w:val="bottom"/>
          </w:tcPr>
          <w:p w14:paraId="512F906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25.22</w:t>
            </w:r>
          </w:p>
        </w:tc>
        <w:tc>
          <w:tcPr>
            <w:tcW w:w="515" w:type="pct"/>
            <w:tcBorders>
              <w:top w:val="nil"/>
              <w:left w:val="nil"/>
              <w:bottom w:val="single" w:sz="4" w:space="0" w:color="auto"/>
              <w:right w:val="single" w:sz="4" w:space="0" w:color="auto"/>
            </w:tcBorders>
            <w:shd w:val="clear" w:color="auto" w:fill="auto"/>
            <w:vAlign w:val="center"/>
          </w:tcPr>
          <w:p w14:paraId="28C2F1B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59BFEBD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32C6B8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0C94448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2133E3" w14:paraId="0321335D"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4EA8EC4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719" w:type="pct"/>
            <w:tcBorders>
              <w:top w:val="nil"/>
              <w:left w:val="nil"/>
              <w:bottom w:val="single" w:sz="4" w:space="0" w:color="auto"/>
              <w:right w:val="single" w:sz="4" w:space="0" w:color="auto"/>
            </w:tcBorders>
            <w:shd w:val="clear" w:color="auto" w:fill="auto"/>
            <w:noWrap/>
            <w:vAlign w:val="center"/>
          </w:tcPr>
          <w:p w14:paraId="417E465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563" w:type="pct"/>
            <w:tcBorders>
              <w:top w:val="nil"/>
              <w:left w:val="nil"/>
              <w:bottom w:val="single" w:sz="4" w:space="0" w:color="auto"/>
              <w:right w:val="single" w:sz="4" w:space="0" w:color="auto"/>
            </w:tcBorders>
            <w:shd w:val="clear" w:color="auto" w:fill="auto"/>
            <w:noWrap/>
            <w:vAlign w:val="center"/>
          </w:tcPr>
          <w:p w14:paraId="245CBD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154.0 </w:t>
            </w:r>
          </w:p>
        </w:tc>
        <w:tc>
          <w:tcPr>
            <w:tcW w:w="408" w:type="pct"/>
            <w:tcBorders>
              <w:top w:val="nil"/>
              <w:left w:val="nil"/>
              <w:bottom w:val="single" w:sz="4" w:space="0" w:color="auto"/>
              <w:right w:val="single" w:sz="4" w:space="0" w:color="auto"/>
            </w:tcBorders>
            <w:shd w:val="clear" w:color="auto" w:fill="auto"/>
            <w:vAlign w:val="center"/>
          </w:tcPr>
          <w:p w14:paraId="14E8B2F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3E2762E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09" w:type="pct"/>
            <w:tcBorders>
              <w:top w:val="nil"/>
              <w:left w:val="nil"/>
              <w:bottom w:val="single" w:sz="4" w:space="0" w:color="auto"/>
              <w:right w:val="single" w:sz="4" w:space="0" w:color="auto"/>
            </w:tcBorders>
            <w:shd w:val="clear" w:color="auto" w:fill="auto"/>
            <w:vAlign w:val="center"/>
          </w:tcPr>
          <w:p w14:paraId="0809632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6B2E7E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71B6F2F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12932C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330C8A4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2133E3" w14:paraId="01BB7A18"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2BBC366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719" w:type="pct"/>
            <w:tcBorders>
              <w:top w:val="nil"/>
              <w:left w:val="nil"/>
              <w:bottom w:val="nil"/>
              <w:right w:val="nil"/>
            </w:tcBorders>
            <w:shd w:val="clear" w:color="auto" w:fill="auto"/>
            <w:noWrap/>
            <w:vAlign w:val="center"/>
          </w:tcPr>
          <w:p w14:paraId="6E7FC9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60%</w:t>
            </w:r>
            <w:r>
              <w:rPr>
                <w:rFonts w:ascii="Times New Roman" w:eastAsia="宋体" w:hAnsi="Times New Roman" w:cs="Times New Roman"/>
                <w:kern w:val="0"/>
                <w:szCs w:val="21"/>
              </w:rPr>
              <w:t>硫酸</w:t>
            </w:r>
          </w:p>
        </w:tc>
        <w:tc>
          <w:tcPr>
            <w:tcW w:w="563" w:type="pct"/>
            <w:tcBorders>
              <w:top w:val="nil"/>
              <w:left w:val="single" w:sz="4" w:space="0" w:color="auto"/>
              <w:bottom w:val="single" w:sz="4" w:space="0" w:color="auto"/>
              <w:right w:val="single" w:sz="4" w:space="0" w:color="auto"/>
            </w:tcBorders>
            <w:shd w:val="clear" w:color="auto" w:fill="auto"/>
            <w:noWrap/>
            <w:vAlign w:val="center"/>
          </w:tcPr>
          <w:p w14:paraId="37514B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327</w:t>
            </w:r>
          </w:p>
        </w:tc>
        <w:tc>
          <w:tcPr>
            <w:tcW w:w="408" w:type="pct"/>
            <w:tcBorders>
              <w:top w:val="nil"/>
              <w:left w:val="nil"/>
              <w:bottom w:val="single" w:sz="4" w:space="0" w:color="auto"/>
              <w:right w:val="single" w:sz="4" w:space="0" w:color="auto"/>
            </w:tcBorders>
            <w:shd w:val="clear" w:color="auto" w:fill="auto"/>
            <w:vAlign w:val="center"/>
          </w:tcPr>
          <w:p w14:paraId="44D4A03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2C12CA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09" w:type="pct"/>
            <w:tcBorders>
              <w:top w:val="nil"/>
              <w:left w:val="nil"/>
              <w:bottom w:val="single" w:sz="4" w:space="0" w:color="auto"/>
              <w:right w:val="single" w:sz="4" w:space="0" w:color="auto"/>
            </w:tcBorders>
            <w:shd w:val="clear" w:color="auto" w:fill="auto"/>
            <w:vAlign w:val="center"/>
          </w:tcPr>
          <w:p w14:paraId="67E9A1E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08F518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3DB9AA7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16CD410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5B4504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3046D8CF"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1047AEFB"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719" w:type="pct"/>
            <w:tcBorders>
              <w:top w:val="single" w:sz="4" w:space="0" w:color="auto"/>
              <w:left w:val="nil"/>
              <w:bottom w:val="single" w:sz="4" w:space="0" w:color="auto"/>
              <w:right w:val="single" w:sz="4" w:space="0" w:color="auto"/>
            </w:tcBorders>
            <w:shd w:val="clear" w:color="auto" w:fill="auto"/>
            <w:noWrap/>
            <w:vAlign w:val="center"/>
          </w:tcPr>
          <w:p w14:paraId="291098DF" w14:textId="45271B49"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干酵母</w:t>
            </w:r>
          </w:p>
        </w:tc>
        <w:tc>
          <w:tcPr>
            <w:tcW w:w="563" w:type="pct"/>
            <w:tcBorders>
              <w:top w:val="nil"/>
              <w:left w:val="nil"/>
              <w:bottom w:val="single" w:sz="4" w:space="0" w:color="auto"/>
              <w:right w:val="single" w:sz="4" w:space="0" w:color="auto"/>
            </w:tcBorders>
            <w:shd w:val="clear" w:color="auto" w:fill="auto"/>
            <w:vAlign w:val="center"/>
          </w:tcPr>
          <w:p w14:paraId="7CC56AA4" w14:textId="084E905F"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8.5 </w:t>
            </w:r>
          </w:p>
        </w:tc>
        <w:tc>
          <w:tcPr>
            <w:tcW w:w="408" w:type="pct"/>
            <w:tcBorders>
              <w:top w:val="nil"/>
              <w:left w:val="nil"/>
              <w:bottom w:val="single" w:sz="4" w:space="0" w:color="auto"/>
              <w:right w:val="single" w:sz="4" w:space="0" w:color="auto"/>
            </w:tcBorders>
            <w:shd w:val="clear" w:color="auto" w:fill="auto"/>
            <w:vAlign w:val="center"/>
          </w:tcPr>
          <w:p w14:paraId="3C99084B"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55E002AE"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09" w:type="pct"/>
            <w:tcBorders>
              <w:top w:val="nil"/>
              <w:left w:val="nil"/>
              <w:bottom w:val="single" w:sz="4" w:space="0" w:color="auto"/>
              <w:right w:val="single" w:sz="4" w:space="0" w:color="auto"/>
            </w:tcBorders>
            <w:shd w:val="clear" w:color="auto" w:fill="auto"/>
            <w:vAlign w:val="center"/>
          </w:tcPr>
          <w:p w14:paraId="0DD3BA76"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0EA4EDE7"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684770C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17BDCB60"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672FCFE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2BB83917"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28F8508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719" w:type="pct"/>
            <w:tcBorders>
              <w:top w:val="nil"/>
              <w:left w:val="nil"/>
              <w:bottom w:val="single" w:sz="4" w:space="0" w:color="auto"/>
              <w:right w:val="single" w:sz="4" w:space="0" w:color="auto"/>
            </w:tcBorders>
            <w:shd w:val="clear" w:color="auto" w:fill="auto"/>
            <w:noWrap/>
            <w:vAlign w:val="center"/>
          </w:tcPr>
          <w:p w14:paraId="5935D78E" w14:textId="49053F9D"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磷酸一铵</w:t>
            </w:r>
          </w:p>
        </w:tc>
        <w:tc>
          <w:tcPr>
            <w:tcW w:w="563" w:type="pct"/>
            <w:tcBorders>
              <w:top w:val="nil"/>
              <w:left w:val="nil"/>
              <w:bottom w:val="single" w:sz="4" w:space="0" w:color="auto"/>
              <w:right w:val="single" w:sz="4" w:space="0" w:color="auto"/>
            </w:tcBorders>
            <w:shd w:val="clear" w:color="auto" w:fill="auto"/>
            <w:vAlign w:val="center"/>
          </w:tcPr>
          <w:p w14:paraId="019B493E" w14:textId="69663F3A"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10.0 </w:t>
            </w:r>
          </w:p>
        </w:tc>
        <w:tc>
          <w:tcPr>
            <w:tcW w:w="408" w:type="pct"/>
            <w:tcBorders>
              <w:top w:val="nil"/>
              <w:left w:val="nil"/>
              <w:bottom w:val="single" w:sz="4" w:space="0" w:color="auto"/>
              <w:right w:val="single" w:sz="4" w:space="0" w:color="auto"/>
            </w:tcBorders>
            <w:shd w:val="clear" w:color="auto" w:fill="auto"/>
            <w:vAlign w:val="center"/>
          </w:tcPr>
          <w:p w14:paraId="3D557D2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13AF32C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09" w:type="pct"/>
            <w:tcBorders>
              <w:top w:val="nil"/>
              <w:left w:val="nil"/>
              <w:bottom w:val="single" w:sz="4" w:space="0" w:color="auto"/>
              <w:right w:val="single" w:sz="4" w:space="0" w:color="auto"/>
            </w:tcBorders>
            <w:shd w:val="clear" w:color="auto" w:fill="auto"/>
            <w:vAlign w:val="center"/>
          </w:tcPr>
          <w:p w14:paraId="433B2FDE"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50A826FF"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5DECEC30"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652DC85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286AFEA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0294B0D4"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5572FAD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719" w:type="pct"/>
            <w:tcBorders>
              <w:top w:val="nil"/>
              <w:left w:val="nil"/>
              <w:bottom w:val="single" w:sz="4" w:space="0" w:color="auto"/>
              <w:right w:val="single" w:sz="4" w:space="0" w:color="auto"/>
            </w:tcBorders>
            <w:shd w:val="clear" w:color="auto" w:fill="auto"/>
            <w:noWrap/>
            <w:vAlign w:val="center"/>
          </w:tcPr>
          <w:p w14:paraId="370D57D4" w14:textId="12948211"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片碱</w:t>
            </w:r>
          </w:p>
        </w:tc>
        <w:tc>
          <w:tcPr>
            <w:tcW w:w="563" w:type="pct"/>
            <w:tcBorders>
              <w:top w:val="nil"/>
              <w:left w:val="nil"/>
              <w:bottom w:val="single" w:sz="4" w:space="0" w:color="auto"/>
              <w:right w:val="single" w:sz="4" w:space="0" w:color="auto"/>
            </w:tcBorders>
            <w:shd w:val="clear" w:color="auto" w:fill="auto"/>
            <w:vAlign w:val="center"/>
          </w:tcPr>
          <w:p w14:paraId="15EF3E6E" w14:textId="664E928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8.5 </w:t>
            </w:r>
          </w:p>
        </w:tc>
        <w:tc>
          <w:tcPr>
            <w:tcW w:w="408" w:type="pct"/>
            <w:tcBorders>
              <w:top w:val="nil"/>
              <w:left w:val="nil"/>
              <w:bottom w:val="single" w:sz="4" w:space="0" w:color="auto"/>
              <w:right w:val="single" w:sz="4" w:space="0" w:color="auto"/>
            </w:tcBorders>
            <w:shd w:val="clear" w:color="auto" w:fill="auto"/>
            <w:vAlign w:val="center"/>
          </w:tcPr>
          <w:p w14:paraId="163AB05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648BE427"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09" w:type="pct"/>
            <w:tcBorders>
              <w:top w:val="nil"/>
              <w:left w:val="nil"/>
              <w:bottom w:val="single" w:sz="4" w:space="0" w:color="auto"/>
              <w:right w:val="single" w:sz="4" w:space="0" w:color="auto"/>
            </w:tcBorders>
            <w:shd w:val="clear" w:color="auto" w:fill="auto"/>
            <w:vAlign w:val="center"/>
          </w:tcPr>
          <w:p w14:paraId="65BC913F"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0E1CF90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08894A0C"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15EA680F"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5CA6B5AE"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737F76A4"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1D50559D"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719" w:type="pct"/>
            <w:tcBorders>
              <w:top w:val="nil"/>
              <w:left w:val="nil"/>
              <w:bottom w:val="single" w:sz="4" w:space="0" w:color="auto"/>
              <w:right w:val="single" w:sz="4" w:space="0" w:color="auto"/>
            </w:tcBorders>
            <w:shd w:val="clear" w:color="auto" w:fill="auto"/>
            <w:noWrap/>
            <w:vAlign w:val="center"/>
          </w:tcPr>
          <w:p w14:paraId="2DF11C0A" w14:textId="6F58226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563" w:type="pct"/>
            <w:tcBorders>
              <w:top w:val="nil"/>
              <w:left w:val="nil"/>
              <w:bottom w:val="single" w:sz="4" w:space="0" w:color="auto"/>
              <w:right w:val="single" w:sz="4" w:space="0" w:color="auto"/>
            </w:tcBorders>
            <w:shd w:val="clear" w:color="auto" w:fill="auto"/>
            <w:vAlign w:val="center"/>
          </w:tcPr>
          <w:p w14:paraId="15CD785D" w14:textId="232CAFB2"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494070.0 </w:t>
            </w:r>
          </w:p>
        </w:tc>
        <w:tc>
          <w:tcPr>
            <w:tcW w:w="408" w:type="pct"/>
            <w:tcBorders>
              <w:top w:val="nil"/>
              <w:left w:val="nil"/>
              <w:bottom w:val="single" w:sz="4" w:space="0" w:color="auto"/>
              <w:right w:val="single" w:sz="4" w:space="0" w:color="auto"/>
            </w:tcBorders>
            <w:shd w:val="clear" w:color="auto" w:fill="auto"/>
            <w:vAlign w:val="center"/>
          </w:tcPr>
          <w:p w14:paraId="068F3B4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3FE14B0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09" w:type="pct"/>
            <w:tcBorders>
              <w:top w:val="nil"/>
              <w:left w:val="nil"/>
              <w:bottom w:val="single" w:sz="4" w:space="0" w:color="auto"/>
              <w:right w:val="single" w:sz="4" w:space="0" w:color="auto"/>
            </w:tcBorders>
            <w:shd w:val="clear" w:color="auto" w:fill="auto"/>
            <w:vAlign w:val="center"/>
          </w:tcPr>
          <w:p w14:paraId="41078B7B"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597EBBE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6DFBA56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6A05060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5DC541F0"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6DCEC945" w14:textId="77777777" w:rsidTr="009C2E4E">
        <w:trPr>
          <w:trHeight w:val="270"/>
        </w:trPr>
        <w:tc>
          <w:tcPr>
            <w:tcW w:w="343" w:type="pct"/>
            <w:tcBorders>
              <w:top w:val="nil"/>
              <w:left w:val="single" w:sz="4" w:space="0" w:color="auto"/>
              <w:bottom w:val="single" w:sz="4" w:space="0" w:color="auto"/>
              <w:right w:val="single" w:sz="4" w:space="0" w:color="auto"/>
            </w:tcBorders>
            <w:shd w:val="clear" w:color="auto" w:fill="auto"/>
            <w:vAlign w:val="center"/>
          </w:tcPr>
          <w:p w14:paraId="7BF76557"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719" w:type="pct"/>
            <w:tcBorders>
              <w:top w:val="nil"/>
              <w:left w:val="nil"/>
              <w:bottom w:val="single" w:sz="4" w:space="0" w:color="auto"/>
              <w:right w:val="single" w:sz="4" w:space="0" w:color="auto"/>
            </w:tcBorders>
            <w:shd w:val="clear" w:color="auto" w:fill="auto"/>
            <w:noWrap/>
            <w:vAlign w:val="center"/>
          </w:tcPr>
          <w:p w14:paraId="5CF7ACDF" w14:textId="045D1742"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蒸汽</w:t>
            </w:r>
          </w:p>
        </w:tc>
        <w:tc>
          <w:tcPr>
            <w:tcW w:w="563" w:type="pct"/>
            <w:tcBorders>
              <w:top w:val="nil"/>
              <w:left w:val="nil"/>
              <w:bottom w:val="single" w:sz="4" w:space="0" w:color="auto"/>
              <w:right w:val="single" w:sz="4" w:space="0" w:color="auto"/>
            </w:tcBorders>
            <w:shd w:val="clear" w:color="auto" w:fill="auto"/>
            <w:vAlign w:val="center"/>
          </w:tcPr>
          <w:p w14:paraId="24AFC101" w14:textId="0251FF6B"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85002.0 </w:t>
            </w:r>
          </w:p>
        </w:tc>
        <w:tc>
          <w:tcPr>
            <w:tcW w:w="408" w:type="pct"/>
            <w:tcBorders>
              <w:top w:val="nil"/>
              <w:left w:val="nil"/>
              <w:bottom w:val="single" w:sz="4" w:space="0" w:color="auto"/>
              <w:right w:val="single" w:sz="4" w:space="0" w:color="auto"/>
            </w:tcBorders>
            <w:shd w:val="clear" w:color="auto" w:fill="auto"/>
            <w:vAlign w:val="center"/>
          </w:tcPr>
          <w:p w14:paraId="058BFC9D"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6666BDD1"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09" w:type="pct"/>
            <w:tcBorders>
              <w:top w:val="nil"/>
              <w:left w:val="nil"/>
              <w:bottom w:val="single" w:sz="4" w:space="0" w:color="auto"/>
              <w:right w:val="single" w:sz="4" w:space="0" w:color="auto"/>
            </w:tcBorders>
            <w:shd w:val="clear" w:color="auto" w:fill="auto"/>
            <w:vAlign w:val="center"/>
          </w:tcPr>
          <w:p w14:paraId="0E8CF04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15" w:type="pct"/>
            <w:tcBorders>
              <w:top w:val="nil"/>
              <w:left w:val="nil"/>
              <w:bottom w:val="single" w:sz="4" w:space="0" w:color="auto"/>
              <w:right w:val="single" w:sz="4" w:space="0" w:color="auto"/>
            </w:tcBorders>
            <w:shd w:val="clear" w:color="auto" w:fill="auto"/>
            <w:vAlign w:val="center"/>
          </w:tcPr>
          <w:p w14:paraId="4FEA2569"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563" w:type="pct"/>
            <w:tcBorders>
              <w:top w:val="nil"/>
              <w:left w:val="nil"/>
              <w:bottom w:val="single" w:sz="4" w:space="0" w:color="auto"/>
              <w:right w:val="single" w:sz="4" w:space="0" w:color="auto"/>
            </w:tcBorders>
            <w:shd w:val="clear" w:color="auto" w:fill="auto"/>
            <w:vAlign w:val="center"/>
          </w:tcPr>
          <w:p w14:paraId="64AA1CA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09" w:type="pct"/>
            <w:tcBorders>
              <w:top w:val="nil"/>
              <w:left w:val="nil"/>
              <w:bottom w:val="single" w:sz="4" w:space="0" w:color="auto"/>
              <w:right w:val="single" w:sz="4" w:space="0" w:color="auto"/>
            </w:tcBorders>
            <w:shd w:val="clear" w:color="auto" w:fill="auto"/>
            <w:vAlign w:val="center"/>
          </w:tcPr>
          <w:p w14:paraId="6D197DD7"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c>
          <w:tcPr>
            <w:tcW w:w="456" w:type="pct"/>
            <w:tcBorders>
              <w:top w:val="nil"/>
              <w:left w:val="nil"/>
              <w:bottom w:val="single" w:sz="4" w:space="0" w:color="auto"/>
              <w:right w:val="single" w:sz="4" w:space="0" w:color="auto"/>
            </w:tcBorders>
            <w:shd w:val="clear" w:color="auto" w:fill="auto"/>
            <w:vAlign w:val="center"/>
          </w:tcPr>
          <w:p w14:paraId="05FD9F2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p>
        </w:tc>
      </w:tr>
      <w:tr w:rsidR="009C2E4E" w14:paraId="72E34A20" w14:textId="77777777">
        <w:trPr>
          <w:trHeight w:val="270"/>
        </w:trPr>
        <w:tc>
          <w:tcPr>
            <w:tcW w:w="106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B36176"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合计</w:t>
            </w:r>
          </w:p>
        </w:tc>
        <w:tc>
          <w:tcPr>
            <w:tcW w:w="563" w:type="pct"/>
            <w:vMerge w:val="restart"/>
            <w:tcBorders>
              <w:top w:val="nil"/>
              <w:left w:val="single" w:sz="4" w:space="0" w:color="auto"/>
              <w:bottom w:val="single" w:sz="4" w:space="0" w:color="auto"/>
              <w:right w:val="single" w:sz="4" w:space="0" w:color="auto"/>
            </w:tcBorders>
            <w:shd w:val="clear" w:color="auto" w:fill="auto"/>
            <w:vAlign w:val="center"/>
          </w:tcPr>
          <w:p w14:paraId="60AEB60B" w14:textId="77777777" w:rsidR="009C2E4E" w:rsidRDefault="009C2E4E" w:rsidP="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716065</w:t>
            </w:r>
          </w:p>
        </w:tc>
        <w:tc>
          <w:tcPr>
            <w:tcW w:w="408" w:type="pct"/>
            <w:tcBorders>
              <w:top w:val="nil"/>
              <w:left w:val="nil"/>
              <w:bottom w:val="single" w:sz="4" w:space="0" w:color="auto"/>
              <w:right w:val="single" w:sz="4" w:space="0" w:color="auto"/>
            </w:tcBorders>
            <w:shd w:val="clear" w:color="auto" w:fill="auto"/>
            <w:vAlign w:val="center"/>
          </w:tcPr>
          <w:p w14:paraId="298ABD75"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50000</w:t>
            </w:r>
          </w:p>
        </w:tc>
        <w:tc>
          <w:tcPr>
            <w:tcW w:w="1024" w:type="pct"/>
            <w:gridSpan w:val="2"/>
            <w:tcBorders>
              <w:top w:val="single" w:sz="4" w:space="0" w:color="auto"/>
              <w:left w:val="nil"/>
              <w:bottom w:val="single" w:sz="4" w:space="0" w:color="auto"/>
              <w:right w:val="single" w:sz="4" w:space="0" w:color="auto"/>
            </w:tcBorders>
            <w:shd w:val="clear" w:color="auto" w:fill="auto"/>
            <w:vAlign w:val="center"/>
          </w:tcPr>
          <w:p w14:paraId="4A92F5D7"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46128.83</w:t>
            </w:r>
          </w:p>
        </w:tc>
        <w:tc>
          <w:tcPr>
            <w:tcW w:w="1078" w:type="pct"/>
            <w:gridSpan w:val="2"/>
            <w:tcBorders>
              <w:top w:val="single" w:sz="4" w:space="0" w:color="auto"/>
              <w:left w:val="nil"/>
              <w:bottom w:val="single" w:sz="4" w:space="0" w:color="auto"/>
              <w:right w:val="single" w:sz="4" w:space="0" w:color="auto"/>
            </w:tcBorders>
            <w:shd w:val="clear" w:color="auto" w:fill="auto"/>
            <w:vAlign w:val="center"/>
          </w:tcPr>
          <w:p w14:paraId="02EE05C3" w14:textId="77777777" w:rsidR="009C2E4E" w:rsidRDefault="009C2E4E" w:rsidP="009C2E4E">
            <w:pPr>
              <w:widowControl/>
              <w:jc w:val="center"/>
              <w:rPr>
                <w:rFonts w:ascii="Times New Roman" w:eastAsia="宋体" w:hAnsi="Times New Roman" w:cs="Times New Roman"/>
                <w:kern w:val="0"/>
                <w:szCs w:val="21"/>
              </w:rPr>
            </w:pPr>
            <w:r>
              <w:rPr>
                <w:rFonts w:ascii="Times New Roman" w:eastAsia="等线" w:hAnsi="Times New Roman" w:cs="Times New Roman"/>
                <w:b/>
                <w:bCs/>
                <w:szCs w:val="21"/>
              </w:rPr>
              <w:t>615660.17</w:t>
            </w:r>
          </w:p>
        </w:tc>
        <w:tc>
          <w:tcPr>
            <w:tcW w:w="865" w:type="pct"/>
            <w:gridSpan w:val="2"/>
            <w:tcBorders>
              <w:top w:val="single" w:sz="4" w:space="0" w:color="auto"/>
              <w:left w:val="nil"/>
              <w:bottom w:val="single" w:sz="4" w:space="0" w:color="auto"/>
              <w:right w:val="single" w:sz="4" w:space="0" w:color="auto"/>
            </w:tcBorders>
            <w:shd w:val="clear" w:color="auto" w:fill="auto"/>
            <w:vAlign w:val="center"/>
          </w:tcPr>
          <w:p w14:paraId="005FB65A" w14:textId="77777777" w:rsidR="009C2E4E" w:rsidRDefault="009C2E4E" w:rsidP="009C2E4E">
            <w:pPr>
              <w:widowControl/>
              <w:jc w:val="center"/>
              <w:rPr>
                <w:rFonts w:ascii="Times New Roman" w:eastAsia="宋体" w:hAnsi="Times New Roman" w:cs="Times New Roman"/>
                <w:kern w:val="0"/>
                <w:szCs w:val="21"/>
              </w:rPr>
            </w:pPr>
            <w:r>
              <w:rPr>
                <w:rFonts w:ascii="Times New Roman" w:eastAsia="等线" w:hAnsi="Times New Roman" w:cs="Times New Roman"/>
                <w:b/>
                <w:bCs/>
                <w:szCs w:val="21"/>
              </w:rPr>
              <w:t>4276.00</w:t>
            </w:r>
          </w:p>
        </w:tc>
      </w:tr>
      <w:tr w:rsidR="009C2E4E" w14:paraId="407ADE6E" w14:textId="77777777">
        <w:trPr>
          <w:trHeight w:val="270"/>
        </w:trPr>
        <w:tc>
          <w:tcPr>
            <w:tcW w:w="1061" w:type="pct"/>
            <w:gridSpan w:val="2"/>
            <w:vMerge/>
            <w:tcBorders>
              <w:top w:val="single" w:sz="4" w:space="0" w:color="auto"/>
              <w:left w:val="single" w:sz="4" w:space="0" w:color="auto"/>
              <w:bottom w:val="single" w:sz="4" w:space="0" w:color="auto"/>
              <w:right w:val="single" w:sz="4" w:space="0" w:color="auto"/>
            </w:tcBorders>
            <w:vAlign w:val="center"/>
          </w:tcPr>
          <w:p w14:paraId="149F9DA4" w14:textId="77777777" w:rsidR="009C2E4E" w:rsidRDefault="009C2E4E" w:rsidP="009C2E4E">
            <w:pPr>
              <w:widowControl/>
              <w:jc w:val="left"/>
              <w:rPr>
                <w:rFonts w:ascii="Times New Roman" w:eastAsia="宋体" w:hAnsi="Times New Roman" w:cs="Times New Roman"/>
                <w:kern w:val="0"/>
                <w:szCs w:val="21"/>
              </w:rPr>
            </w:pPr>
          </w:p>
        </w:tc>
        <w:tc>
          <w:tcPr>
            <w:tcW w:w="563" w:type="pct"/>
            <w:vMerge/>
            <w:tcBorders>
              <w:top w:val="nil"/>
              <w:left w:val="single" w:sz="4" w:space="0" w:color="auto"/>
              <w:bottom w:val="single" w:sz="4" w:space="0" w:color="auto"/>
              <w:right w:val="single" w:sz="4" w:space="0" w:color="auto"/>
            </w:tcBorders>
            <w:vAlign w:val="center"/>
          </w:tcPr>
          <w:p w14:paraId="4A6F5526" w14:textId="77777777" w:rsidR="009C2E4E" w:rsidRDefault="009C2E4E" w:rsidP="009C2E4E">
            <w:pPr>
              <w:widowControl/>
              <w:jc w:val="left"/>
              <w:rPr>
                <w:rFonts w:ascii="Times New Roman" w:eastAsia="宋体" w:hAnsi="Times New Roman" w:cs="Times New Roman"/>
                <w:kern w:val="0"/>
                <w:szCs w:val="21"/>
              </w:rPr>
            </w:pPr>
          </w:p>
        </w:tc>
        <w:tc>
          <w:tcPr>
            <w:tcW w:w="3376" w:type="pct"/>
            <w:gridSpan w:val="7"/>
            <w:tcBorders>
              <w:top w:val="single" w:sz="4" w:space="0" w:color="auto"/>
              <w:left w:val="nil"/>
              <w:bottom w:val="single" w:sz="4" w:space="0" w:color="auto"/>
              <w:right w:val="single" w:sz="4" w:space="0" w:color="auto"/>
            </w:tcBorders>
            <w:shd w:val="clear" w:color="auto" w:fill="auto"/>
            <w:vAlign w:val="center"/>
          </w:tcPr>
          <w:p w14:paraId="2C2271F7" w14:textId="77777777" w:rsidR="009C2E4E" w:rsidRDefault="009C2E4E" w:rsidP="009C2E4E">
            <w:pPr>
              <w:widowControl/>
              <w:jc w:val="center"/>
              <w:rPr>
                <w:rFonts w:ascii="Times New Roman" w:eastAsia="等线" w:hAnsi="Times New Roman" w:cs="Times New Roman"/>
                <w:b/>
                <w:bCs/>
                <w:szCs w:val="21"/>
              </w:rPr>
            </w:pPr>
            <w:r>
              <w:rPr>
                <w:rFonts w:ascii="Times New Roman" w:eastAsia="等线" w:hAnsi="Times New Roman" w:cs="Times New Roman"/>
                <w:b/>
                <w:bCs/>
                <w:szCs w:val="21"/>
              </w:rPr>
              <w:t>716065.00</w:t>
            </w:r>
          </w:p>
        </w:tc>
      </w:tr>
    </w:tbl>
    <w:p w14:paraId="44B409A9" w14:textId="77777777" w:rsidR="002133E3" w:rsidRDefault="009F1FEF">
      <w:pPr>
        <w:widowControl/>
        <w:spacing w:line="500" w:lineRule="atLeast"/>
        <w:jc w:val="center"/>
        <w:rPr>
          <w:rFonts w:ascii="Times New Roman" w:eastAsia="宋体" w:hAnsi="Times New Roman" w:cs="Times New Roman"/>
          <w:b/>
          <w:bCs/>
          <w:kern w:val="0"/>
          <w:szCs w:val="21"/>
        </w:rPr>
      </w:pPr>
      <w:r>
        <w:lastRenderedPageBreak/>
        <w:pict w14:anchorId="2922F77C">
          <v:shape id="_x0000_i1047" type="#_x0000_t75" style="width:481.35pt;height:488.4pt">
            <v:imagedata r:id="rId50" o:title=""/>
          </v:shape>
        </w:pict>
      </w:r>
    </w:p>
    <w:p w14:paraId="013C0F00" w14:textId="77777777" w:rsidR="002133E3" w:rsidRDefault="00C22CFA">
      <w:pPr>
        <w:snapToGrid w:val="0"/>
        <w:jc w:val="center"/>
        <w:rPr>
          <w:rFonts w:ascii="Times New Roman" w:eastAsia="宋体" w:hAnsi="Times New Roman" w:cs="Times New Roman"/>
          <w:sz w:val="36"/>
          <w:szCs w:val="36"/>
        </w:rPr>
      </w:pPr>
      <w:r>
        <w:rPr>
          <w:rFonts w:ascii="Times New Roman" w:eastAsia="宋体" w:hAnsi="Times New Roman" w:cs="Times New Roman"/>
          <w:b/>
          <w:bCs/>
          <w:sz w:val="24"/>
          <w:szCs w:val="32"/>
        </w:rPr>
        <w:t>图</w:t>
      </w:r>
      <w:r>
        <w:rPr>
          <w:rFonts w:ascii="Times New Roman" w:eastAsia="宋体" w:hAnsi="Times New Roman" w:cs="Times New Roman"/>
          <w:b/>
          <w:bCs/>
          <w:sz w:val="24"/>
          <w:szCs w:val="32"/>
        </w:rPr>
        <w:t xml:space="preserve">4.2-3  </w:t>
      </w:r>
      <w:r>
        <w:rPr>
          <w:rFonts w:ascii="Times New Roman" w:eastAsia="宋体" w:hAnsi="Times New Roman" w:cs="Times New Roman"/>
          <w:b/>
          <w:bCs/>
          <w:kern w:val="0"/>
          <w:sz w:val="24"/>
          <w:szCs w:val="24"/>
        </w:rPr>
        <w:t>5</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w:t>
      </w:r>
      <w:r>
        <w:rPr>
          <w:rFonts w:ascii="Times New Roman" w:eastAsia="宋体" w:hAnsi="Times New Roman" w:cs="Times New Roman"/>
          <w:b/>
          <w:bCs/>
          <w:sz w:val="24"/>
          <w:szCs w:val="32"/>
        </w:rPr>
        <w:t>物料总平衡图</w:t>
      </w:r>
      <w:r>
        <w:rPr>
          <w:rFonts w:ascii="Times New Roman" w:eastAsia="宋体" w:hAnsi="Times New Roman" w:cs="Times New Roman"/>
          <w:b/>
          <w:bCs/>
          <w:kern w:val="0"/>
          <w:sz w:val="24"/>
          <w:szCs w:val="24"/>
        </w:rPr>
        <w:t>(t/a)</w:t>
      </w:r>
    </w:p>
    <w:p w14:paraId="781828F2" w14:textId="77777777" w:rsidR="002133E3" w:rsidRDefault="00C22CFA">
      <w:pPr>
        <w:widowControl/>
        <w:spacing w:line="500" w:lineRule="atLeast"/>
        <w:ind w:firstLineChars="200" w:firstLine="562"/>
        <w:rPr>
          <w:rFonts w:ascii="Times New Roman" w:eastAsia="宋体" w:hAnsi="Times New Roman" w:cs="Times New Roman"/>
          <w:b/>
          <w:bCs/>
          <w:kern w:val="0"/>
          <w:sz w:val="28"/>
          <w:szCs w:val="28"/>
        </w:rPr>
      </w:pPr>
      <w:r>
        <w:rPr>
          <w:rFonts w:ascii="宋体" w:eastAsia="宋体" w:hAnsi="宋体" w:cs="宋体" w:hint="eastAsia"/>
          <w:b/>
          <w:bCs/>
          <w:kern w:val="0"/>
          <w:sz w:val="28"/>
          <w:szCs w:val="28"/>
        </w:rPr>
        <w:t>⑵</w:t>
      </w:r>
      <w:r>
        <w:rPr>
          <w:rFonts w:ascii="Times New Roman" w:eastAsia="宋体" w:hAnsi="Times New Roman" w:cs="Times New Roman"/>
          <w:b/>
          <w:bCs/>
          <w:kern w:val="0"/>
          <w:sz w:val="28"/>
          <w:szCs w:val="28"/>
        </w:rPr>
        <w:t xml:space="preserve"> </w:t>
      </w:r>
      <w:r>
        <w:rPr>
          <w:rFonts w:ascii="Times New Roman" w:eastAsia="宋体" w:hAnsi="Times New Roman" w:cs="Times New Roman"/>
          <w:b/>
          <w:bCs/>
          <w:kern w:val="0"/>
          <w:sz w:val="28"/>
          <w:szCs w:val="28"/>
        </w:rPr>
        <w:t>工艺水平衡</w:t>
      </w:r>
    </w:p>
    <w:p w14:paraId="51E7C3BA" w14:textId="77777777" w:rsidR="002133E3" w:rsidRDefault="00C22CFA">
      <w:pPr>
        <w:widowControl/>
        <w:spacing w:line="500" w:lineRule="atLeast"/>
        <w:ind w:firstLineChars="200" w:firstLine="560"/>
        <w:jc w:val="left"/>
        <w:rPr>
          <w:rFonts w:ascii="Times New Roman" w:eastAsia="宋体" w:hAnsi="Times New Roman" w:cs="Times New Roman"/>
          <w:color w:val="FF0000"/>
          <w:kern w:val="0"/>
          <w:sz w:val="28"/>
          <w:szCs w:val="28"/>
        </w:rPr>
      </w:pP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酒精生产工艺水平衡情况见表</w:t>
      </w:r>
      <w:r>
        <w:rPr>
          <w:rFonts w:ascii="Times New Roman" w:eastAsia="宋体" w:hAnsi="Times New Roman" w:cs="Times New Roman"/>
          <w:kern w:val="0"/>
          <w:sz w:val="28"/>
          <w:szCs w:val="28"/>
        </w:rPr>
        <w:t>4.2-5</w:t>
      </w:r>
      <w:r>
        <w:rPr>
          <w:rFonts w:ascii="Times New Roman" w:eastAsia="宋体" w:hAnsi="Times New Roman" w:cs="Times New Roman"/>
          <w:kern w:val="0"/>
          <w:sz w:val="28"/>
          <w:szCs w:val="28"/>
        </w:rPr>
        <w:t>。</w:t>
      </w:r>
    </w:p>
    <w:p w14:paraId="434C86AB"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4.2-5  10</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酒精生产工艺水平衡表</w:t>
      </w:r>
      <w:r>
        <w:rPr>
          <w:rFonts w:ascii="Times New Roman" w:eastAsia="宋体" w:hAnsi="Times New Roman" w:cs="Times New Roman"/>
          <w:b/>
          <w:bCs/>
          <w:kern w:val="0"/>
          <w:sz w:val="24"/>
          <w:szCs w:val="24"/>
        </w:rPr>
        <w:t>(t/a)</w:t>
      </w:r>
    </w:p>
    <w:tbl>
      <w:tblPr>
        <w:tblW w:w="5000" w:type="pct"/>
        <w:jc w:val="center"/>
        <w:tblLook w:val="04A0" w:firstRow="1" w:lastRow="0" w:firstColumn="1" w:lastColumn="0" w:noHBand="0" w:noVBand="1"/>
      </w:tblPr>
      <w:tblGrid>
        <w:gridCol w:w="1101"/>
        <w:gridCol w:w="1159"/>
        <w:gridCol w:w="1320"/>
        <w:gridCol w:w="978"/>
        <w:gridCol w:w="1291"/>
        <w:gridCol w:w="934"/>
        <w:gridCol w:w="749"/>
        <w:gridCol w:w="1114"/>
        <w:gridCol w:w="1208"/>
      </w:tblGrid>
      <w:tr w:rsidR="002133E3" w14:paraId="3D485B4B" w14:textId="77777777">
        <w:trPr>
          <w:trHeight w:val="270"/>
          <w:jc w:val="center"/>
        </w:trPr>
        <w:tc>
          <w:tcPr>
            <w:tcW w:w="1817"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D72EA0"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入方</w:t>
            </w:r>
          </w:p>
        </w:tc>
        <w:tc>
          <w:tcPr>
            <w:tcW w:w="3183" w:type="pct"/>
            <w:gridSpan w:val="6"/>
            <w:tcBorders>
              <w:top w:val="single" w:sz="4" w:space="0" w:color="auto"/>
              <w:left w:val="nil"/>
              <w:bottom w:val="single" w:sz="4" w:space="0" w:color="auto"/>
              <w:right w:val="single" w:sz="4" w:space="0" w:color="auto"/>
            </w:tcBorders>
            <w:shd w:val="clear" w:color="auto" w:fill="auto"/>
            <w:vAlign w:val="center"/>
          </w:tcPr>
          <w:p w14:paraId="7F24AE87"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出方</w:t>
            </w:r>
          </w:p>
        </w:tc>
      </w:tr>
      <w:tr w:rsidR="002133E3" w14:paraId="2DF760ED" w14:textId="77777777">
        <w:trPr>
          <w:trHeight w:val="270"/>
          <w:jc w:val="center"/>
        </w:trPr>
        <w:tc>
          <w:tcPr>
            <w:tcW w:w="1817" w:type="pct"/>
            <w:gridSpan w:val="3"/>
            <w:vMerge/>
            <w:tcBorders>
              <w:top w:val="single" w:sz="4" w:space="0" w:color="auto"/>
              <w:left w:val="single" w:sz="4" w:space="0" w:color="auto"/>
              <w:bottom w:val="single" w:sz="4" w:space="0" w:color="auto"/>
              <w:right w:val="single" w:sz="4" w:space="0" w:color="auto"/>
            </w:tcBorders>
            <w:vAlign w:val="center"/>
          </w:tcPr>
          <w:p w14:paraId="1BE3159A" w14:textId="77777777" w:rsidR="002133E3" w:rsidRDefault="002133E3">
            <w:pPr>
              <w:widowControl/>
              <w:jc w:val="left"/>
              <w:rPr>
                <w:rFonts w:ascii="Times New Roman" w:eastAsia="等线" w:hAnsi="Times New Roman" w:cs="Times New Roman"/>
                <w:kern w:val="0"/>
                <w:szCs w:val="21"/>
              </w:rPr>
            </w:pPr>
          </w:p>
        </w:tc>
        <w:tc>
          <w:tcPr>
            <w:tcW w:w="496" w:type="pct"/>
            <w:tcBorders>
              <w:top w:val="nil"/>
              <w:left w:val="nil"/>
              <w:bottom w:val="single" w:sz="4" w:space="0" w:color="auto"/>
              <w:right w:val="single" w:sz="4" w:space="0" w:color="auto"/>
            </w:tcBorders>
            <w:shd w:val="clear" w:color="auto" w:fill="auto"/>
            <w:noWrap/>
            <w:vAlign w:val="center"/>
          </w:tcPr>
          <w:p w14:paraId="71C0881D"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产品</w:t>
            </w:r>
          </w:p>
        </w:tc>
        <w:tc>
          <w:tcPr>
            <w:tcW w:w="655" w:type="pct"/>
            <w:tcBorders>
              <w:top w:val="nil"/>
              <w:left w:val="nil"/>
              <w:bottom w:val="single" w:sz="4" w:space="0" w:color="auto"/>
              <w:right w:val="single" w:sz="4" w:space="0" w:color="auto"/>
            </w:tcBorders>
            <w:shd w:val="clear" w:color="auto" w:fill="auto"/>
            <w:vAlign w:val="center"/>
          </w:tcPr>
          <w:p w14:paraId="0232B235"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反应消耗</w:t>
            </w:r>
          </w:p>
        </w:tc>
        <w:tc>
          <w:tcPr>
            <w:tcW w:w="854" w:type="pct"/>
            <w:gridSpan w:val="2"/>
            <w:tcBorders>
              <w:top w:val="single" w:sz="4" w:space="0" w:color="auto"/>
              <w:left w:val="nil"/>
              <w:bottom w:val="single" w:sz="4" w:space="0" w:color="auto"/>
              <w:right w:val="single" w:sz="4" w:space="0" w:color="auto"/>
            </w:tcBorders>
            <w:shd w:val="clear" w:color="auto" w:fill="auto"/>
            <w:vAlign w:val="center"/>
          </w:tcPr>
          <w:p w14:paraId="6DEB3D7E"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废气</w:t>
            </w:r>
          </w:p>
        </w:tc>
        <w:tc>
          <w:tcPr>
            <w:tcW w:w="1178" w:type="pct"/>
            <w:gridSpan w:val="2"/>
            <w:tcBorders>
              <w:top w:val="single" w:sz="4" w:space="0" w:color="auto"/>
              <w:left w:val="nil"/>
              <w:bottom w:val="single" w:sz="4" w:space="0" w:color="auto"/>
              <w:right w:val="single" w:sz="4" w:space="0" w:color="auto"/>
            </w:tcBorders>
            <w:shd w:val="clear" w:color="auto" w:fill="auto"/>
            <w:vAlign w:val="center"/>
          </w:tcPr>
          <w:p w14:paraId="74A30B5A"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废水</w:t>
            </w:r>
          </w:p>
        </w:tc>
      </w:tr>
      <w:tr w:rsidR="002133E3" w14:paraId="68DA6B6D" w14:textId="77777777">
        <w:trPr>
          <w:trHeight w:val="270"/>
          <w:jc w:val="center"/>
        </w:trPr>
        <w:tc>
          <w:tcPr>
            <w:tcW w:w="11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4E26DD"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新鲜水</w:t>
            </w:r>
          </w:p>
        </w:tc>
        <w:tc>
          <w:tcPr>
            <w:tcW w:w="670" w:type="pct"/>
            <w:tcBorders>
              <w:top w:val="nil"/>
              <w:left w:val="nil"/>
              <w:bottom w:val="single" w:sz="4" w:space="0" w:color="auto"/>
              <w:right w:val="single" w:sz="4" w:space="0" w:color="auto"/>
            </w:tcBorders>
            <w:shd w:val="clear" w:color="auto" w:fill="auto"/>
            <w:vAlign w:val="center"/>
          </w:tcPr>
          <w:p w14:paraId="7F3599B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988140.0 </w:t>
            </w:r>
          </w:p>
        </w:tc>
        <w:tc>
          <w:tcPr>
            <w:tcW w:w="496" w:type="pct"/>
            <w:tcBorders>
              <w:top w:val="nil"/>
              <w:left w:val="nil"/>
              <w:bottom w:val="single" w:sz="4" w:space="0" w:color="auto"/>
              <w:right w:val="single" w:sz="4" w:space="0" w:color="auto"/>
            </w:tcBorders>
            <w:shd w:val="clear" w:color="auto" w:fill="auto"/>
            <w:noWrap/>
            <w:vAlign w:val="center"/>
          </w:tcPr>
          <w:p w14:paraId="4655F7F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6184.45 </w:t>
            </w:r>
          </w:p>
        </w:tc>
        <w:tc>
          <w:tcPr>
            <w:tcW w:w="655" w:type="pct"/>
            <w:tcBorders>
              <w:top w:val="nil"/>
              <w:left w:val="nil"/>
              <w:bottom w:val="single" w:sz="4" w:space="0" w:color="auto"/>
              <w:right w:val="single" w:sz="4" w:space="0" w:color="auto"/>
            </w:tcBorders>
            <w:shd w:val="clear" w:color="auto" w:fill="auto"/>
            <w:vAlign w:val="center"/>
          </w:tcPr>
          <w:p w14:paraId="6B1772E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18810.58 </w:t>
            </w:r>
          </w:p>
        </w:tc>
        <w:tc>
          <w:tcPr>
            <w:tcW w:w="474" w:type="pct"/>
            <w:tcBorders>
              <w:top w:val="nil"/>
              <w:left w:val="nil"/>
              <w:bottom w:val="single" w:sz="4" w:space="0" w:color="auto"/>
              <w:right w:val="single" w:sz="4" w:space="0" w:color="auto"/>
            </w:tcBorders>
            <w:shd w:val="clear" w:color="auto" w:fill="auto"/>
            <w:vAlign w:val="center"/>
          </w:tcPr>
          <w:p w14:paraId="7DA031D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G1-1</w:t>
            </w:r>
            <w:r>
              <w:rPr>
                <w:rFonts w:ascii="宋体" w:eastAsia="宋体" w:hAnsi="宋体" w:cs="Times New Roman" w:hint="eastAsia"/>
                <w:kern w:val="0"/>
                <w:szCs w:val="21"/>
              </w:rPr>
              <w:t>：</w:t>
            </w:r>
          </w:p>
        </w:tc>
        <w:tc>
          <w:tcPr>
            <w:tcW w:w="380" w:type="pct"/>
            <w:tcBorders>
              <w:top w:val="nil"/>
              <w:left w:val="nil"/>
              <w:bottom w:val="single" w:sz="4" w:space="0" w:color="auto"/>
              <w:right w:val="single" w:sz="4" w:space="0" w:color="auto"/>
            </w:tcBorders>
            <w:shd w:val="clear" w:color="auto" w:fill="auto"/>
            <w:vAlign w:val="center"/>
          </w:tcPr>
          <w:p w14:paraId="05A576E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77.76</w:t>
            </w:r>
          </w:p>
        </w:tc>
        <w:tc>
          <w:tcPr>
            <w:tcW w:w="565" w:type="pct"/>
            <w:tcBorders>
              <w:top w:val="nil"/>
              <w:left w:val="nil"/>
              <w:bottom w:val="single" w:sz="4" w:space="0" w:color="auto"/>
              <w:right w:val="single" w:sz="4" w:space="0" w:color="auto"/>
            </w:tcBorders>
            <w:shd w:val="clear" w:color="auto" w:fill="auto"/>
            <w:vAlign w:val="center"/>
          </w:tcPr>
          <w:p w14:paraId="37CF356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W1-1</w:t>
            </w:r>
            <w:r>
              <w:rPr>
                <w:rFonts w:ascii="宋体" w:eastAsia="宋体" w:hAnsi="宋体" w:cs="Times New Roman" w:hint="eastAsia"/>
                <w:kern w:val="0"/>
                <w:szCs w:val="21"/>
              </w:rPr>
              <w:t>：</w:t>
            </w:r>
          </w:p>
        </w:tc>
        <w:tc>
          <w:tcPr>
            <w:tcW w:w="613" w:type="pct"/>
            <w:tcBorders>
              <w:top w:val="nil"/>
              <w:left w:val="nil"/>
              <w:bottom w:val="single" w:sz="4" w:space="0" w:color="auto"/>
              <w:right w:val="single" w:sz="4" w:space="0" w:color="auto"/>
            </w:tcBorders>
            <w:shd w:val="clear" w:color="auto" w:fill="auto"/>
            <w:vAlign w:val="center"/>
          </w:tcPr>
          <w:p w14:paraId="233FFD0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561490.13 </w:t>
            </w:r>
          </w:p>
        </w:tc>
      </w:tr>
      <w:tr w:rsidR="002133E3" w14:paraId="35724555" w14:textId="77777777">
        <w:trPr>
          <w:trHeight w:val="270"/>
          <w:jc w:val="center"/>
        </w:trPr>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1E5820CC"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蒸汽</w:t>
            </w:r>
          </w:p>
        </w:tc>
        <w:tc>
          <w:tcPr>
            <w:tcW w:w="670" w:type="pct"/>
            <w:tcBorders>
              <w:top w:val="nil"/>
              <w:left w:val="nil"/>
              <w:bottom w:val="single" w:sz="4" w:space="0" w:color="auto"/>
              <w:right w:val="single" w:sz="4" w:space="0" w:color="auto"/>
            </w:tcBorders>
            <w:shd w:val="clear" w:color="auto" w:fill="auto"/>
            <w:vAlign w:val="center"/>
          </w:tcPr>
          <w:p w14:paraId="35EEF0A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170000.0 </w:t>
            </w:r>
          </w:p>
        </w:tc>
        <w:tc>
          <w:tcPr>
            <w:tcW w:w="496" w:type="pct"/>
            <w:tcBorders>
              <w:top w:val="nil"/>
              <w:left w:val="nil"/>
              <w:bottom w:val="nil"/>
              <w:right w:val="nil"/>
            </w:tcBorders>
            <w:shd w:val="clear" w:color="auto" w:fill="auto"/>
            <w:noWrap/>
            <w:vAlign w:val="bottom"/>
          </w:tcPr>
          <w:p w14:paraId="2A93EA07" w14:textId="77777777" w:rsidR="002133E3" w:rsidRDefault="002133E3">
            <w:pPr>
              <w:widowControl/>
              <w:jc w:val="center"/>
              <w:rPr>
                <w:rFonts w:ascii="Times New Roman" w:eastAsia="等线" w:hAnsi="Times New Roman" w:cs="Times New Roman"/>
                <w:kern w:val="0"/>
                <w:szCs w:val="21"/>
              </w:rPr>
            </w:pPr>
          </w:p>
        </w:tc>
        <w:tc>
          <w:tcPr>
            <w:tcW w:w="655" w:type="pct"/>
            <w:tcBorders>
              <w:top w:val="nil"/>
              <w:left w:val="single" w:sz="4" w:space="0" w:color="auto"/>
              <w:bottom w:val="single" w:sz="4" w:space="0" w:color="auto"/>
              <w:right w:val="single" w:sz="4" w:space="0" w:color="auto"/>
            </w:tcBorders>
            <w:shd w:val="clear" w:color="auto" w:fill="auto"/>
            <w:vAlign w:val="center"/>
          </w:tcPr>
          <w:p w14:paraId="0785C57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74" w:type="pct"/>
            <w:tcBorders>
              <w:top w:val="nil"/>
              <w:left w:val="nil"/>
              <w:bottom w:val="single" w:sz="4" w:space="0" w:color="auto"/>
              <w:right w:val="single" w:sz="4" w:space="0" w:color="auto"/>
            </w:tcBorders>
            <w:shd w:val="clear" w:color="auto" w:fill="auto"/>
            <w:vAlign w:val="center"/>
          </w:tcPr>
          <w:p w14:paraId="31F5458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G1-2</w:t>
            </w:r>
            <w:r>
              <w:rPr>
                <w:rFonts w:ascii="宋体" w:eastAsia="宋体" w:hAnsi="宋体" w:cs="Times New Roman" w:hint="eastAsia"/>
                <w:kern w:val="0"/>
                <w:szCs w:val="21"/>
              </w:rPr>
              <w:t>：</w:t>
            </w:r>
          </w:p>
        </w:tc>
        <w:tc>
          <w:tcPr>
            <w:tcW w:w="380" w:type="pct"/>
            <w:tcBorders>
              <w:top w:val="nil"/>
              <w:left w:val="nil"/>
              <w:bottom w:val="single" w:sz="4" w:space="0" w:color="auto"/>
              <w:right w:val="single" w:sz="4" w:space="0" w:color="auto"/>
            </w:tcBorders>
            <w:shd w:val="clear" w:color="auto" w:fill="auto"/>
            <w:vAlign w:val="center"/>
          </w:tcPr>
          <w:p w14:paraId="29799AC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51.57</w:t>
            </w:r>
          </w:p>
        </w:tc>
        <w:tc>
          <w:tcPr>
            <w:tcW w:w="565" w:type="pct"/>
            <w:tcBorders>
              <w:top w:val="nil"/>
              <w:left w:val="nil"/>
              <w:bottom w:val="single" w:sz="4" w:space="0" w:color="auto"/>
              <w:right w:val="single" w:sz="4" w:space="0" w:color="auto"/>
            </w:tcBorders>
            <w:shd w:val="clear" w:color="auto" w:fill="auto"/>
            <w:vAlign w:val="center"/>
          </w:tcPr>
          <w:p w14:paraId="3933570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W1-2</w:t>
            </w:r>
            <w:r>
              <w:rPr>
                <w:rFonts w:ascii="宋体" w:eastAsia="宋体" w:hAnsi="宋体" w:cs="Times New Roman" w:hint="eastAsia"/>
                <w:kern w:val="0"/>
                <w:szCs w:val="21"/>
              </w:rPr>
              <w:t>：</w:t>
            </w:r>
          </w:p>
        </w:tc>
        <w:tc>
          <w:tcPr>
            <w:tcW w:w="613" w:type="pct"/>
            <w:tcBorders>
              <w:top w:val="nil"/>
              <w:left w:val="nil"/>
              <w:bottom w:val="single" w:sz="4" w:space="0" w:color="auto"/>
              <w:right w:val="single" w:sz="4" w:space="0" w:color="auto"/>
            </w:tcBorders>
            <w:shd w:val="clear" w:color="auto" w:fill="auto"/>
            <w:vAlign w:val="center"/>
          </w:tcPr>
          <w:p w14:paraId="019E6AC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22826.50 </w:t>
            </w:r>
          </w:p>
        </w:tc>
      </w:tr>
      <w:tr w:rsidR="002133E3" w14:paraId="770BC880" w14:textId="77777777">
        <w:trPr>
          <w:trHeight w:val="270"/>
          <w:jc w:val="center"/>
        </w:trPr>
        <w:tc>
          <w:tcPr>
            <w:tcW w:w="559" w:type="pct"/>
            <w:vMerge w:val="restart"/>
            <w:tcBorders>
              <w:top w:val="nil"/>
              <w:left w:val="single" w:sz="4" w:space="0" w:color="auto"/>
              <w:bottom w:val="single" w:sz="4" w:space="0" w:color="000000"/>
              <w:right w:val="single" w:sz="4" w:space="0" w:color="auto"/>
            </w:tcBorders>
            <w:shd w:val="clear" w:color="auto" w:fill="auto"/>
            <w:vAlign w:val="center"/>
          </w:tcPr>
          <w:p w14:paraId="7BDA91D6"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带入水</w:t>
            </w:r>
          </w:p>
        </w:tc>
        <w:tc>
          <w:tcPr>
            <w:tcW w:w="588" w:type="pct"/>
            <w:tcBorders>
              <w:top w:val="nil"/>
              <w:left w:val="nil"/>
              <w:bottom w:val="nil"/>
              <w:right w:val="nil"/>
            </w:tcBorders>
            <w:shd w:val="clear" w:color="auto" w:fill="auto"/>
            <w:noWrap/>
            <w:vAlign w:val="center"/>
          </w:tcPr>
          <w:p w14:paraId="0B19C0BF"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木薯干</w:t>
            </w:r>
          </w:p>
        </w:tc>
        <w:tc>
          <w:tcPr>
            <w:tcW w:w="670" w:type="pct"/>
            <w:tcBorders>
              <w:top w:val="nil"/>
              <w:left w:val="single" w:sz="4" w:space="0" w:color="auto"/>
              <w:bottom w:val="single" w:sz="4" w:space="0" w:color="auto"/>
              <w:right w:val="single" w:sz="4" w:space="0" w:color="auto"/>
            </w:tcBorders>
            <w:shd w:val="clear" w:color="auto" w:fill="auto"/>
            <w:vAlign w:val="center"/>
          </w:tcPr>
          <w:p w14:paraId="7604188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35490.00 </w:t>
            </w:r>
          </w:p>
        </w:tc>
        <w:tc>
          <w:tcPr>
            <w:tcW w:w="496" w:type="pct"/>
            <w:tcBorders>
              <w:top w:val="single" w:sz="4" w:space="0" w:color="auto"/>
              <w:left w:val="nil"/>
              <w:bottom w:val="single" w:sz="4" w:space="0" w:color="auto"/>
              <w:right w:val="single" w:sz="4" w:space="0" w:color="auto"/>
            </w:tcBorders>
            <w:shd w:val="clear" w:color="auto" w:fill="auto"/>
            <w:noWrap/>
            <w:vAlign w:val="bottom"/>
          </w:tcPr>
          <w:p w14:paraId="162EF02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5" w:type="pct"/>
            <w:tcBorders>
              <w:top w:val="nil"/>
              <w:left w:val="nil"/>
              <w:bottom w:val="single" w:sz="4" w:space="0" w:color="auto"/>
              <w:right w:val="single" w:sz="4" w:space="0" w:color="auto"/>
            </w:tcBorders>
            <w:shd w:val="clear" w:color="auto" w:fill="auto"/>
            <w:vAlign w:val="center"/>
          </w:tcPr>
          <w:p w14:paraId="21BEF53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74" w:type="pct"/>
            <w:tcBorders>
              <w:top w:val="nil"/>
              <w:left w:val="nil"/>
              <w:bottom w:val="single" w:sz="4" w:space="0" w:color="auto"/>
              <w:right w:val="single" w:sz="4" w:space="0" w:color="auto"/>
            </w:tcBorders>
            <w:shd w:val="clear" w:color="auto" w:fill="auto"/>
            <w:vAlign w:val="center"/>
          </w:tcPr>
          <w:p w14:paraId="35D2D11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G1-3</w:t>
            </w:r>
            <w:r>
              <w:rPr>
                <w:rFonts w:ascii="宋体" w:eastAsia="宋体" w:hAnsi="宋体" w:cs="Times New Roman" w:hint="eastAsia"/>
                <w:kern w:val="0"/>
                <w:szCs w:val="21"/>
              </w:rPr>
              <w:t>：</w:t>
            </w:r>
          </w:p>
        </w:tc>
        <w:tc>
          <w:tcPr>
            <w:tcW w:w="380" w:type="pct"/>
            <w:tcBorders>
              <w:top w:val="nil"/>
              <w:left w:val="nil"/>
              <w:bottom w:val="single" w:sz="4" w:space="0" w:color="auto"/>
              <w:right w:val="single" w:sz="4" w:space="0" w:color="auto"/>
            </w:tcBorders>
            <w:shd w:val="clear" w:color="000000" w:fill="E7E6E6"/>
            <w:vAlign w:val="center"/>
          </w:tcPr>
          <w:p w14:paraId="73AB63F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1.03</w:t>
            </w:r>
          </w:p>
        </w:tc>
        <w:tc>
          <w:tcPr>
            <w:tcW w:w="565" w:type="pct"/>
            <w:tcBorders>
              <w:top w:val="nil"/>
              <w:left w:val="nil"/>
              <w:bottom w:val="single" w:sz="4" w:space="0" w:color="auto"/>
              <w:right w:val="single" w:sz="4" w:space="0" w:color="auto"/>
            </w:tcBorders>
            <w:shd w:val="clear" w:color="auto" w:fill="auto"/>
            <w:vAlign w:val="center"/>
          </w:tcPr>
          <w:p w14:paraId="112634E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W1-3</w:t>
            </w:r>
            <w:r>
              <w:rPr>
                <w:rFonts w:ascii="宋体" w:eastAsia="宋体" w:hAnsi="宋体" w:cs="Times New Roman" w:hint="eastAsia"/>
                <w:kern w:val="0"/>
                <w:szCs w:val="21"/>
              </w:rPr>
              <w:t>：</w:t>
            </w:r>
          </w:p>
        </w:tc>
        <w:tc>
          <w:tcPr>
            <w:tcW w:w="613" w:type="pct"/>
            <w:tcBorders>
              <w:top w:val="nil"/>
              <w:left w:val="nil"/>
              <w:bottom w:val="single" w:sz="4" w:space="0" w:color="auto"/>
              <w:right w:val="single" w:sz="4" w:space="0" w:color="auto"/>
            </w:tcBorders>
            <w:shd w:val="clear" w:color="000000" w:fill="E7E6E6"/>
            <w:vAlign w:val="center"/>
          </w:tcPr>
          <w:p w14:paraId="01C82A4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541694.14 </w:t>
            </w:r>
          </w:p>
        </w:tc>
      </w:tr>
      <w:tr w:rsidR="002133E3" w14:paraId="7F9461ED" w14:textId="77777777">
        <w:trPr>
          <w:trHeight w:val="270"/>
          <w:jc w:val="center"/>
        </w:trPr>
        <w:tc>
          <w:tcPr>
            <w:tcW w:w="559" w:type="pct"/>
            <w:vMerge/>
            <w:tcBorders>
              <w:top w:val="nil"/>
              <w:left w:val="single" w:sz="4" w:space="0" w:color="auto"/>
              <w:bottom w:val="single" w:sz="4" w:space="0" w:color="000000"/>
              <w:right w:val="single" w:sz="4" w:space="0" w:color="auto"/>
            </w:tcBorders>
            <w:vAlign w:val="center"/>
          </w:tcPr>
          <w:p w14:paraId="1A17D25D" w14:textId="77777777" w:rsidR="002133E3" w:rsidRDefault="002133E3">
            <w:pPr>
              <w:widowControl/>
              <w:jc w:val="left"/>
              <w:rPr>
                <w:rFonts w:ascii="Times New Roman" w:eastAsia="等线" w:hAnsi="Times New Roman" w:cs="Times New Roman"/>
                <w:kern w:val="0"/>
                <w:szCs w:val="21"/>
              </w:rPr>
            </w:pPr>
          </w:p>
        </w:tc>
        <w:tc>
          <w:tcPr>
            <w:tcW w:w="588" w:type="pct"/>
            <w:tcBorders>
              <w:top w:val="single" w:sz="4" w:space="0" w:color="auto"/>
              <w:left w:val="nil"/>
              <w:bottom w:val="single" w:sz="4" w:space="0" w:color="auto"/>
              <w:right w:val="single" w:sz="4" w:space="0" w:color="auto"/>
            </w:tcBorders>
            <w:shd w:val="clear" w:color="auto" w:fill="auto"/>
            <w:vAlign w:val="center"/>
          </w:tcPr>
          <w:p w14:paraId="1EEDE79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60%</w:t>
            </w:r>
            <w:r>
              <w:rPr>
                <w:rFonts w:ascii="宋体" w:eastAsia="宋体" w:hAnsi="宋体" w:cs="Times New Roman" w:hint="eastAsia"/>
                <w:kern w:val="0"/>
                <w:szCs w:val="21"/>
              </w:rPr>
              <w:t>硫酸</w:t>
            </w:r>
          </w:p>
        </w:tc>
        <w:tc>
          <w:tcPr>
            <w:tcW w:w="670" w:type="pct"/>
            <w:tcBorders>
              <w:top w:val="nil"/>
              <w:left w:val="nil"/>
              <w:bottom w:val="single" w:sz="4" w:space="0" w:color="auto"/>
              <w:right w:val="single" w:sz="4" w:space="0" w:color="auto"/>
            </w:tcBorders>
            <w:shd w:val="clear" w:color="auto" w:fill="auto"/>
            <w:vAlign w:val="center"/>
          </w:tcPr>
          <w:p w14:paraId="27D97ED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131.00 </w:t>
            </w:r>
          </w:p>
        </w:tc>
        <w:tc>
          <w:tcPr>
            <w:tcW w:w="496" w:type="pct"/>
            <w:tcBorders>
              <w:top w:val="nil"/>
              <w:left w:val="nil"/>
              <w:bottom w:val="single" w:sz="4" w:space="0" w:color="auto"/>
              <w:right w:val="single" w:sz="4" w:space="0" w:color="auto"/>
            </w:tcBorders>
            <w:shd w:val="clear" w:color="auto" w:fill="auto"/>
            <w:noWrap/>
            <w:vAlign w:val="bottom"/>
          </w:tcPr>
          <w:p w14:paraId="5DE3DDC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5" w:type="pct"/>
            <w:tcBorders>
              <w:top w:val="nil"/>
              <w:left w:val="nil"/>
              <w:bottom w:val="single" w:sz="4" w:space="0" w:color="auto"/>
              <w:right w:val="single" w:sz="4" w:space="0" w:color="auto"/>
            </w:tcBorders>
            <w:shd w:val="clear" w:color="auto" w:fill="auto"/>
            <w:vAlign w:val="center"/>
          </w:tcPr>
          <w:p w14:paraId="09C0668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74" w:type="pct"/>
            <w:tcBorders>
              <w:top w:val="nil"/>
              <w:left w:val="nil"/>
              <w:bottom w:val="single" w:sz="4" w:space="0" w:color="auto"/>
              <w:right w:val="single" w:sz="4" w:space="0" w:color="auto"/>
            </w:tcBorders>
            <w:shd w:val="clear" w:color="auto" w:fill="auto"/>
            <w:vAlign w:val="center"/>
          </w:tcPr>
          <w:p w14:paraId="3529075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G1-4</w:t>
            </w:r>
            <w:r>
              <w:rPr>
                <w:rFonts w:ascii="宋体" w:eastAsia="宋体" w:hAnsi="宋体" w:cs="Times New Roman" w:hint="eastAsia"/>
                <w:kern w:val="0"/>
                <w:szCs w:val="21"/>
              </w:rPr>
              <w:t>：</w:t>
            </w:r>
          </w:p>
        </w:tc>
        <w:tc>
          <w:tcPr>
            <w:tcW w:w="380" w:type="pct"/>
            <w:tcBorders>
              <w:top w:val="nil"/>
              <w:left w:val="nil"/>
              <w:bottom w:val="single" w:sz="4" w:space="0" w:color="auto"/>
              <w:right w:val="single" w:sz="4" w:space="0" w:color="auto"/>
            </w:tcBorders>
            <w:shd w:val="clear" w:color="auto" w:fill="auto"/>
            <w:vAlign w:val="center"/>
          </w:tcPr>
          <w:p w14:paraId="020BF32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0.23</w:t>
            </w:r>
          </w:p>
        </w:tc>
        <w:tc>
          <w:tcPr>
            <w:tcW w:w="565" w:type="pct"/>
            <w:tcBorders>
              <w:top w:val="nil"/>
              <w:left w:val="nil"/>
              <w:bottom w:val="single" w:sz="4" w:space="0" w:color="auto"/>
              <w:right w:val="single" w:sz="4" w:space="0" w:color="auto"/>
            </w:tcBorders>
            <w:shd w:val="clear" w:color="auto" w:fill="auto"/>
            <w:vAlign w:val="center"/>
          </w:tcPr>
          <w:p w14:paraId="1F7B980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W1-4</w:t>
            </w:r>
            <w:r>
              <w:rPr>
                <w:rFonts w:ascii="宋体" w:eastAsia="宋体" w:hAnsi="宋体" w:cs="Times New Roman" w:hint="eastAsia"/>
                <w:kern w:val="0"/>
                <w:szCs w:val="21"/>
              </w:rPr>
              <w:t>：</w:t>
            </w:r>
          </w:p>
        </w:tc>
        <w:tc>
          <w:tcPr>
            <w:tcW w:w="613" w:type="pct"/>
            <w:tcBorders>
              <w:top w:val="nil"/>
              <w:left w:val="nil"/>
              <w:bottom w:val="single" w:sz="4" w:space="0" w:color="auto"/>
              <w:right w:val="single" w:sz="4" w:space="0" w:color="auto"/>
            </w:tcBorders>
            <w:shd w:val="clear" w:color="auto" w:fill="auto"/>
            <w:vAlign w:val="center"/>
          </w:tcPr>
          <w:p w14:paraId="6384FAB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42626.50 </w:t>
            </w:r>
          </w:p>
        </w:tc>
      </w:tr>
      <w:tr w:rsidR="002133E3" w14:paraId="4E7AF11F" w14:textId="77777777">
        <w:trPr>
          <w:trHeight w:val="270"/>
          <w:jc w:val="center"/>
        </w:trPr>
        <w:tc>
          <w:tcPr>
            <w:tcW w:w="1147" w:type="pct"/>
            <w:gridSpan w:val="2"/>
            <w:tcBorders>
              <w:top w:val="nil"/>
              <w:left w:val="single" w:sz="4" w:space="0" w:color="auto"/>
              <w:bottom w:val="single" w:sz="4" w:space="0" w:color="auto"/>
              <w:right w:val="single" w:sz="4" w:space="0" w:color="auto"/>
            </w:tcBorders>
            <w:shd w:val="clear" w:color="auto" w:fill="auto"/>
            <w:vAlign w:val="center"/>
          </w:tcPr>
          <w:p w14:paraId="7A7DBA8E"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生成水</w:t>
            </w:r>
            <w:r>
              <w:rPr>
                <w:rFonts w:ascii="Times New Roman" w:eastAsia="等线" w:hAnsi="Times New Roman" w:cs="Times New Roman"/>
                <w:kern w:val="0"/>
                <w:szCs w:val="21"/>
              </w:rPr>
              <w:t xml:space="preserve">　</w:t>
            </w:r>
          </w:p>
        </w:tc>
        <w:tc>
          <w:tcPr>
            <w:tcW w:w="670" w:type="pct"/>
            <w:tcBorders>
              <w:top w:val="nil"/>
              <w:left w:val="nil"/>
              <w:bottom w:val="single" w:sz="4" w:space="0" w:color="auto"/>
              <w:right w:val="single" w:sz="4" w:space="0" w:color="auto"/>
            </w:tcBorders>
            <w:shd w:val="clear" w:color="auto" w:fill="auto"/>
            <w:vAlign w:val="center"/>
          </w:tcPr>
          <w:p w14:paraId="446AC45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3.13 </w:t>
            </w:r>
          </w:p>
        </w:tc>
        <w:tc>
          <w:tcPr>
            <w:tcW w:w="496" w:type="pct"/>
            <w:tcBorders>
              <w:top w:val="nil"/>
              <w:left w:val="nil"/>
              <w:bottom w:val="single" w:sz="4" w:space="0" w:color="auto"/>
              <w:right w:val="single" w:sz="4" w:space="0" w:color="auto"/>
            </w:tcBorders>
            <w:shd w:val="clear" w:color="auto" w:fill="auto"/>
            <w:noWrap/>
            <w:vAlign w:val="bottom"/>
          </w:tcPr>
          <w:p w14:paraId="4EFBD11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5" w:type="pct"/>
            <w:tcBorders>
              <w:top w:val="nil"/>
              <w:left w:val="nil"/>
              <w:bottom w:val="single" w:sz="4" w:space="0" w:color="auto"/>
              <w:right w:val="single" w:sz="4" w:space="0" w:color="auto"/>
            </w:tcBorders>
            <w:shd w:val="clear" w:color="auto" w:fill="auto"/>
            <w:vAlign w:val="center"/>
          </w:tcPr>
          <w:p w14:paraId="2D92419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74" w:type="pct"/>
            <w:tcBorders>
              <w:top w:val="nil"/>
              <w:left w:val="nil"/>
              <w:bottom w:val="single" w:sz="4" w:space="0" w:color="auto"/>
              <w:right w:val="single" w:sz="4" w:space="0" w:color="auto"/>
            </w:tcBorders>
            <w:shd w:val="clear" w:color="auto" w:fill="auto"/>
            <w:vAlign w:val="center"/>
          </w:tcPr>
          <w:p w14:paraId="5EEC1C7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G1-5</w:t>
            </w:r>
            <w:r>
              <w:rPr>
                <w:rFonts w:ascii="宋体" w:eastAsia="宋体" w:hAnsi="宋体" w:cs="Times New Roman" w:hint="eastAsia"/>
                <w:kern w:val="0"/>
                <w:szCs w:val="21"/>
              </w:rPr>
              <w:t>：</w:t>
            </w:r>
          </w:p>
        </w:tc>
        <w:tc>
          <w:tcPr>
            <w:tcW w:w="380" w:type="pct"/>
            <w:tcBorders>
              <w:top w:val="nil"/>
              <w:left w:val="nil"/>
              <w:bottom w:val="single" w:sz="4" w:space="0" w:color="auto"/>
              <w:right w:val="single" w:sz="4" w:space="0" w:color="auto"/>
            </w:tcBorders>
            <w:shd w:val="clear" w:color="auto" w:fill="auto"/>
            <w:noWrap/>
            <w:vAlign w:val="bottom"/>
          </w:tcPr>
          <w:p w14:paraId="230C174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1.02</w:t>
            </w:r>
          </w:p>
        </w:tc>
        <w:tc>
          <w:tcPr>
            <w:tcW w:w="565" w:type="pct"/>
            <w:tcBorders>
              <w:top w:val="nil"/>
              <w:left w:val="nil"/>
              <w:bottom w:val="single" w:sz="4" w:space="0" w:color="auto"/>
              <w:right w:val="single" w:sz="4" w:space="0" w:color="auto"/>
            </w:tcBorders>
            <w:shd w:val="clear" w:color="auto" w:fill="auto"/>
            <w:vAlign w:val="center"/>
          </w:tcPr>
          <w:p w14:paraId="21E6052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13" w:type="pct"/>
            <w:tcBorders>
              <w:top w:val="nil"/>
              <w:left w:val="nil"/>
              <w:bottom w:val="single" w:sz="4" w:space="0" w:color="auto"/>
              <w:right w:val="single" w:sz="4" w:space="0" w:color="auto"/>
            </w:tcBorders>
            <w:shd w:val="clear" w:color="auto" w:fill="auto"/>
            <w:vAlign w:val="center"/>
          </w:tcPr>
          <w:p w14:paraId="106003B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r>
      <w:tr w:rsidR="002133E3" w14:paraId="32DB4185" w14:textId="77777777">
        <w:trPr>
          <w:trHeight w:val="270"/>
          <w:jc w:val="center"/>
        </w:trPr>
        <w:tc>
          <w:tcPr>
            <w:tcW w:w="1147" w:type="pct"/>
            <w:gridSpan w:val="2"/>
            <w:tcBorders>
              <w:top w:val="nil"/>
              <w:left w:val="single" w:sz="4" w:space="0" w:color="auto"/>
              <w:bottom w:val="single" w:sz="4" w:space="0" w:color="auto"/>
              <w:right w:val="single" w:sz="4" w:space="0" w:color="auto"/>
            </w:tcBorders>
            <w:shd w:val="clear" w:color="auto" w:fill="auto"/>
            <w:vAlign w:val="center"/>
          </w:tcPr>
          <w:p w14:paraId="5D811F3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70" w:type="pct"/>
            <w:tcBorders>
              <w:top w:val="nil"/>
              <w:left w:val="nil"/>
              <w:bottom w:val="single" w:sz="4" w:space="0" w:color="auto"/>
              <w:right w:val="single" w:sz="4" w:space="0" w:color="auto"/>
            </w:tcBorders>
            <w:shd w:val="clear" w:color="auto" w:fill="auto"/>
            <w:vAlign w:val="center"/>
          </w:tcPr>
          <w:p w14:paraId="3D97122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96" w:type="pct"/>
            <w:tcBorders>
              <w:top w:val="nil"/>
              <w:left w:val="nil"/>
              <w:bottom w:val="single" w:sz="4" w:space="0" w:color="auto"/>
              <w:right w:val="single" w:sz="4" w:space="0" w:color="auto"/>
            </w:tcBorders>
            <w:shd w:val="clear" w:color="auto" w:fill="auto"/>
            <w:noWrap/>
            <w:vAlign w:val="bottom"/>
          </w:tcPr>
          <w:p w14:paraId="679FB96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5" w:type="pct"/>
            <w:tcBorders>
              <w:top w:val="nil"/>
              <w:left w:val="nil"/>
              <w:bottom w:val="single" w:sz="4" w:space="0" w:color="auto"/>
              <w:right w:val="single" w:sz="4" w:space="0" w:color="auto"/>
            </w:tcBorders>
            <w:shd w:val="clear" w:color="auto" w:fill="auto"/>
            <w:vAlign w:val="center"/>
          </w:tcPr>
          <w:p w14:paraId="7598ABC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74" w:type="pct"/>
            <w:tcBorders>
              <w:top w:val="nil"/>
              <w:left w:val="nil"/>
              <w:bottom w:val="single" w:sz="4" w:space="0" w:color="auto"/>
              <w:right w:val="single" w:sz="4" w:space="0" w:color="auto"/>
            </w:tcBorders>
            <w:shd w:val="clear" w:color="auto" w:fill="auto"/>
            <w:vAlign w:val="center"/>
          </w:tcPr>
          <w:p w14:paraId="7D042D0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G1-6</w:t>
            </w:r>
            <w:r>
              <w:rPr>
                <w:rFonts w:ascii="宋体" w:eastAsia="宋体" w:hAnsi="宋体" w:cs="Times New Roman" w:hint="eastAsia"/>
                <w:kern w:val="0"/>
                <w:szCs w:val="21"/>
              </w:rPr>
              <w:t>：</w:t>
            </w:r>
          </w:p>
        </w:tc>
        <w:tc>
          <w:tcPr>
            <w:tcW w:w="380" w:type="pct"/>
            <w:tcBorders>
              <w:top w:val="nil"/>
              <w:left w:val="nil"/>
              <w:bottom w:val="single" w:sz="4" w:space="0" w:color="auto"/>
              <w:right w:val="single" w:sz="4" w:space="0" w:color="auto"/>
            </w:tcBorders>
            <w:shd w:val="clear" w:color="auto" w:fill="auto"/>
            <w:noWrap/>
            <w:vAlign w:val="bottom"/>
          </w:tcPr>
          <w:p w14:paraId="243FE6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0.23</w:t>
            </w:r>
          </w:p>
        </w:tc>
        <w:tc>
          <w:tcPr>
            <w:tcW w:w="565" w:type="pct"/>
            <w:tcBorders>
              <w:top w:val="nil"/>
              <w:left w:val="nil"/>
              <w:bottom w:val="single" w:sz="4" w:space="0" w:color="auto"/>
              <w:right w:val="single" w:sz="4" w:space="0" w:color="auto"/>
            </w:tcBorders>
            <w:shd w:val="clear" w:color="auto" w:fill="auto"/>
            <w:noWrap/>
            <w:vAlign w:val="bottom"/>
          </w:tcPr>
          <w:p w14:paraId="42757DF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 xml:space="preserve">　</w:t>
            </w:r>
          </w:p>
        </w:tc>
        <w:tc>
          <w:tcPr>
            <w:tcW w:w="613" w:type="pct"/>
            <w:tcBorders>
              <w:top w:val="nil"/>
              <w:left w:val="nil"/>
              <w:bottom w:val="single" w:sz="4" w:space="0" w:color="auto"/>
              <w:right w:val="single" w:sz="4" w:space="0" w:color="auto"/>
            </w:tcBorders>
            <w:shd w:val="clear" w:color="auto" w:fill="auto"/>
            <w:noWrap/>
            <w:vAlign w:val="bottom"/>
          </w:tcPr>
          <w:p w14:paraId="306F249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 xml:space="preserve">　</w:t>
            </w:r>
          </w:p>
        </w:tc>
      </w:tr>
      <w:tr w:rsidR="002133E3" w14:paraId="20EA1137" w14:textId="77777777">
        <w:trPr>
          <w:trHeight w:val="285"/>
          <w:jc w:val="center"/>
        </w:trPr>
        <w:tc>
          <w:tcPr>
            <w:tcW w:w="114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6D598B"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合计</w:t>
            </w:r>
          </w:p>
        </w:tc>
        <w:tc>
          <w:tcPr>
            <w:tcW w:w="670" w:type="pct"/>
            <w:vMerge w:val="restart"/>
            <w:tcBorders>
              <w:top w:val="nil"/>
              <w:left w:val="single" w:sz="4" w:space="0" w:color="auto"/>
              <w:bottom w:val="single" w:sz="4" w:space="0" w:color="auto"/>
              <w:right w:val="single" w:sz="4" w:space="0" w:color="auto"/>
            </w:tcBorders>
            <w:shd w:val="clear" w:color="auto" w:fill="auto"/>
            <w:vAlign w:val="center"/>
          </w:tcPr>
          <w:p w14:paraId="1E10F540"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1193764.13 </w:t>
            </w:r>
          </w:p>
        </w:tc>
        <w:tc>
          <w:tcPr>
            <w:tcW w:w="496" w:type="pct"/>
            <w:tcBorders>
              <w:top w:val="nil"/>
              <w:left w:val="nil"/>
              <w:bottom w:val="single" w:sz="4" w:space="0" w:color="auto"/>
              <w:right w:val="single" w:sz="4" w:space="0" w:color="auto"/>
            </w:tcBorders>
            <w:shd w:val="clear" w:color="auto" w:fill="auto"/>
            <w:vAlign w:val="center"/>
          </w:tcPr>
          <w:p w14:paraId="0B9D643B"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6184.44 </w:t>
            </w:r>
          </w:p>
        </w:tc>
        <w:tc>
          <w:tcPr>
            <w:tcW w:w="655" w:type="pct"/>
            <w:tcBorders>
              <w:top w:val="nil"/>
              <w:left w:val="nil"/>
              <w:bottom w:val="single" w:sz="4" w:space="0" w:color="auto"/>
              <w:right w:val="single" w:sz="4" w:space="0" w:color="auto"/>
            </w:tcBorders>
            <w:shd w:val="clear" w:color="auto" w:fill="auto"/>
            <w:vAlign w:val="center"/>
          </w:tcPr>
          <w:p w14:paraId="301AE5F4"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18810.58 </w:t>
            </w:r>
          </w:p>
        </w:tc>
        <w:tc>
          <w:tcPr>
            <w:tcW w:w="854" w:type="pct"/>
            <w:gridSpan w:val="2"/>
            <w:tcBorders>
              <w:top w:val="single" w:sz="4" w:space="0" w:color="auto"/>
              <w:left w:val="nil"/>
              <w:bottom w:val="single" w:sz="4" w:space="0" w:color="auto"/>
              <w:right w:val="single" w:sz="4" w:space="0" w:color="auto"/>
            </w:tcBorders>
            <w:shd w:val="clear" w:color="auto" w:fill="auto"/>
            <w:vAlign w:val="center"/>
          </w:tcPr>
          <w:p w14:paraId="12F4962A"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131.85 </w:t>
            </w:r>
          </w:p>
        </w:tc>
        <w:tc>
          <w:tcPr>
            <w:tcW w:w="1178" w:type="pct"/>
            <w:gridSpan w:val="2"/>
            <w:tcBorders>
              <w:top w:val="single" w:sz="4" w:space="0" w:color="auto"/>
              <w:left w:val="nil"/>
              <w:bottom w:val="single" w:sz="4" w:space="0" w:color="auto"/>
              <w:right w:val="single" w:sz="4" w:space="0" w:color="000000"/>
            </w:tcBorders>
            <w:shd w:val="clear" w:color="auto" w:fill="auto"/>
            <w:vAlign w:val="center"/>
          </w:tcPr>
          <w:p w14:paraId="4C31788A"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1168637.26 </w:t>
            </w:r>
          </w:p>
        </w:tc>
      </w:tr>
      <w:tr w:rsidR="002133E3" w14:paraId="6C2FDC4A" w14:textId="77777777">
        <w:trPr>
          <w:trHeight w:val="285"/>
          <w:jc w:val="center"/>
        </w:trPr>
        <w:tc>
          <w:tcPr>
            <w:tcW w:w="1147" w:type="pct"/>
            <w:gridSpan w:val="2"/>
            <w:vMerge/>
            <w:tcBorders>
              <w:top w:val="single" w:sz="4" w:space="0" w:color="auto"/>
              <w:left w:val="single" w:sz="4" w:space="0" w:color="auto"/>
              <w:bottom w:val="single" w:sz="4" w:space="0" w:color="auto"/>
              <w:right w:val="single" w:sz="4" w:space="0" w:color="auto"/>
            </w:tcBorders>
            <w:vAlign w:val="center"/>
          </w:tcPr>
          <w:p w14:paraId="4EA31E9B" w14:textId="77777777" w:rsidR="002133E3" w:rsidRDefault="002133E3">
            <w:pPr>
              <w:widowControl/>
              <w:jc w:val="left"/>
              <w:rPr>
                <w:rFonts w:ascii="Times New Roman" w:eastAsia="等线" w:hAnsi="Times New Roman" w:cs="Times New Roman"/>
                <w:kern w:val="0"/>
                <w:szCs w:val="21"/>
              </w:rPr>
            </w:pPr>
          </w:p>
        </w:tc>
        <w:tc>
          <w:tcPr>
            <w:tcW w:w="670" w:type="pct"/>
            <w:vMerge/>
            <w:tcBorders>
              <w:top w:val="nil"/>
              <w:left w:val="single" w:sz="4" w:space="0" w:color="auto"/>
              <w:bottom w:val="single" w:sz="4" w:space="0" w:color="auto"/>
              <w:right w:val="single" w:sz="4" w:space="0" w:color="auto"/>
            </w:tcBorders>
            <w:vAlign w:val="center"/>
          </w:tcPr>
          <w:p w14:paraId="62D9FFEA" w14:textId="77777777" w:rsidR="002133E3" w:rsidRDefault="002133E3">
            <w:pPr>
              <w:widowControl/>
              <w:jc w:val="left"/>
              <w:rPr>
                <w:rFonts w:ascii="Times New Roman" w:eastAsia="等线" w:hAnsi="Times New Roman" w:cs="Times New Roman"/>
                <w:b/>
                <w:bCs/>
                <w:kern w:val="0"/>
                <w:szCs w:val="21"/>
              </w:rPr>
            </w:pPr>
          </w:p>
        </w:tc>
        <w:tc>
          <w:tcPr>
            <w:tcW w:w="3183" w:type="pct"/>
            <w:gridSpan w:val="6"/>
            <w:tcBorders>
              <w:top w:val="single" w:sz="4" w:space="0" w:color="auto"/>
              <w:left w:val="nil"/>
              <w:bottom w:val="single" w:sz="4" w:space="0" w:color="auto"/>
              <w:right w:val="single" w:sz="4" w:space="0" w:color="auto"/>
            </w:tcBorders>
            <w:shd w:val="clear" w:color="auto" w:fill="auto"/>
            <w:vAlign w:val="center"/>
          </w:tcPr>
          <w:p w14:paraId="603BAB84"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1193764.13 </w:t>
            </w:r>
          </w:p>
        </w:tc>
      </w:tr>
    </w:tbl>
    <w:p w14:paraId="0322EDF6" w14:textId="77777777" w:rsidR="002133E3" w:rsidRDefault="00C22CFA">
      <w:pPr>
        <w:widowControl/>
        <w:spacing w:line="500" w:lineRule="atLeast"/>
        <w:ind w:firstLineChars="200" w:firstLine="560"/>
        <w:jc w:val="left"/>
        <w:rPr>
          <w:rFonts w:ascii="Times New Roman" w:eastAsia="宋体" w:hAnsi="Times New Roman" w:cs="Times New Roman"/>
          <w:color w:val="FF0000"/>
          <w:kern w:val="0"/>
          <w:sz w:val="28"/>
          <w:szCs w:val="28"/>
        </w:rPr>
      </w:pP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酒精生产工艺水平衡情况见表</w:t>
      </w:r>
      <w:r>
        <w:rPr>
          <w:rFonts w:ascii="Times New Roman" w:eastAsia="宋体" w:hAnsi="Times New Roman" w:cs="Times New Roman"/>
          <w:kern w:val="0"/>
          <w:sz w:val="28"/>
          <w:szCs w:val="28"/>
        </w:rPr>
        <w:t>4.2-6</w:t>
      </w:r>
      <w:r>
        <w:rPr>
          <w:rFonts w:ascii="Times New Roman" w:eastAsia="宋体" w:hAnsi="Times New Roman" w:cs="Times New Roman"/>
          <w:kern w:val="0"/>
          <w:sz w:val="28"/>
          <w:szCs w:val="28"/>
        </w:rPr>
        <w:t>。</w:t>
      </w:r>
    </w:p>
    <w:p w14:paraId="6E0F9935"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4.2-6  5</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酒精生产工艺水平衡表</w:t>
      </w:r>
      <w:r>
        <w:rPr>
          <w:rFonts w:ascii="Times New Roman" w:eastAsia="宋体" w:hAnsi="Times New Roman" w:cs="Times New Roman"/>
          <w:b/>
          <w:bCs/>
          <w:kern w:val="0"/>
          <w:sz w:val="24"/>
          <w:szCs w:val="24"/>
        </w:rPr>
        <w:t>(t/a)</w:t>
      </w:r>
    </w:p>
    <w:tbl>
      <w:tblPr>
        <w:tblW w:w="5000" w:type="pct"/>
        <w:jc w:val="center"/>
        <w:tblLook w:val="04A0" w:firstRow="1" w:lastRow="0" w:firstColumn="1" w:lastColumn="0" w:noHBand="0" w:noVBand="1"/>
      </w:tblPr>
      <w:tblGrid>
        <w:gridCol w:w="1101"/>
        <w:gridCol w:w="1114"/>
        <w:gridCol w:w="1110"/>
        <w:gridCol w:w="1058"/>
        <w:gridCol w:w="1297"/>
        <w:gridCol w:w="964"/>
        <w:gridCol w:w="727"/>
        <w:gridCol w:w="1192"/>
        <w:gridCol w:w="1291"/>
      </w:tblGrid>
      <w:tr w:rsidR="002133E3" w14:paraId="7D7C17F8" w14:textId="77777777">
        <w:trPr>
          <w:trHeight w:val="270"/>
          <w:jc w:val="center"/>
        </w:trPr>
        <w:tc>
          <w:tcPr>
            <w:tcW w:w="1687"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77571DA"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入方</w:t>
            </w:r>
          </w:p>
        </w:tc>
        <w:tc>
          <w:tcPr>
            <w:tcW w:w="3313" w:type="pct"/>
            <w:gridSpan w:val="6"/>
            <w:tcBorders>
              <w:top w:val="single" w:sz="4" w:space="0" w:color="auto"/>
              <w:left w:val="nil"/>
              <w:bottom w:val="single" w:sz="4" w:space="0" w:color="auto"/>
              <w:right w:val="single" w:sz="4" w:space="0" w:color="auto"/>
            </w:tcBorders>
            <w:shd w:val="clear" w:color="auto" w:fill="auto"/>
            <w:vAlign w:val="center"/>
          </w:tcPr>
          <w:p w14:paraId="1F9DA2D2"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出方</w:t>
            </w:r>
          </w:p>
        </w:tc>
      </w:tr>
      <w:tr w:rsidR="002133E3" w14:paraId="3BC6154A" w14:textId="77777777">
        <w:trPr>
          <w:trHeight w:val="270"/>
          <w:jc w:val="center"/>
        </w:trPr>
        <w:tc>
          <w:tcPr>
            <w:tcW w:w="1687" w:type="pct"/>
            <w:gridSpan w:val="3"/>
            <w:vMerge/>
            <w:tcBorders>
              <w:top w:val="single" w:sz="4" w:space="0" w:color="auto"/>
              <w:left w:val="single" w:sz="4" w:space="0" w:color="auto"/>
              <w:bottom w:val="single" w:sz="4" w:space="0" w:color="auto"/>
              <w:right w:val="single" w:sz="4" w:space="0" w:color="auto"/>
            </w:tcBorders>
            <w:vAlign w:val="center"/>
          </w:tcPr>
          <w:p w14:paraId="1CB08274" w14:textId="77777777" w:rsidR="002133E3" w:rsidRDefault="002133E3">
            <w:pPr>
              <w:widowControl/>
              <w:jc w:val="left"/>
              <w:rPr>
                <w:rFonts w:ascii="Times New Roman" w:eastAsia="等线" w:hAnsi="Times New Roman" w:cs="Times New Roman"/>
                <w:kern w:val="0"/>
                <w:szCs w:val="21"/>
              </w:rPr>
            </w:pPr>
          </w:p>
        </w:tc>
        <w:tc>
          <w:tcPr>
            <w:tcW w:w="537" w:type="pct"/>
            <w:tcBorders>
              <w:top w:val="nil"/>
              <w:left w:val="nil"/>
              <w:bottom w:val="single" w:sz="4" w:space="0" w:color="auto"/>
              <w:right w:val="single" w:sz="4" w:space="0" w:color="auto"/>
            </w:tcBorders>
            <w:shd w:val="clear" w:color="auto" w:fill="auto"/>
            <w:noWrap/>
            <w:vAlign w:val="center"/>
          </w:tcPr>
          <w:p w14:paraId="3A894B45"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产品</w:t>
            </w:r>
          </w:p>
        </w:tc>
        <w:tc>
          <w:tcPr>
            <w:tcW w:w="658" w:type="pct"/>
            <w:tcBorders>
              <w:top w:val="nil"/>
              <w:left w:val="nil"/>
              <w:bottom w:val="single" w:sz="4" w:space="0" w:color="auto"/>
              <w:right w:val="single" w:sz="4" w:space="0" w:color="auto"/>
            </w:tcBorders>
            <w:shd w:val="clear" w:color="auto" w:fill="auto"/>
            <w:vAlign w:val="center"/>
          </w:tcPr>
          <w:p w14:paraId="40197992"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反应消耗</w:t>
            </w:r>
          </w:p>
        </w:tc>
        <w:tc>
          <w:tcPr>
            <w:tcW w:w="858" w:type="pct"/>
            <w:gridSpan w:val="2"/>
            <w:tcBorders>
              <w:top w:val="single" w:sz="4" w:space="0" w:color="auto"/>
              <w:left w:val="nil"/>
              <w:bottom w:val="single" w:sz="4" w:space="0" w:color="auto"/>
              <w:right w:val="single" w:sz="4" w:space="0" w:color="auto"/>
            </w:tcBorders>
            <w:shd w:val="clear" w:color="auto" w:fill="auto"/>
            <w:vAlign w:val="center"/>
          </w:tcPr>
          <w:p w14:paraId="2C59B846"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废气</w:t>
            </w:r>
          </w:p>
        </w:tc>
        <w:tc>
          <w:tcPr>
            <w:tcW w:w="1260" w:type="pct"/>
            <w:gridSpan w:val="2"/>
            <w:tcBorders>
              <w:top w:val="single" w:sz="4" w:space="0" w:color="auto"/>
              <w:left w:val="nil"/>
              <w:bottom w:val="single" w:sz="4" w:space="0" w:color="auto"/>
              <w:right w:val="single" w:sz="4" w:space="0" w:color="auto"/>
            </w:tcBorders>
            <w:shd w:val="clear" w:color="auto" w:fill="auto"/>
            <w:vAlign w:val="center"/>
          </w:tcPr>
          <w:p w14:paraId="08FF0DEE"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废水</w:t>
            </w:r>
          </w:p>
        </w:tc>
      </w:tr>
      <w:tr w:rsidR="002133E3" w14:paraId="7528DF4B" w14:textId="77777777">
        <w:trPr>
          <w:trHeight w:val="270"/>
          <w:jc w:val="center"/>
        </w:trPr>
        <w:tc>
          <w:tcPr>
            <w:tcW w:w="112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2B89B5"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新鲜水</w:t>
            </w:r>
          </w:p>
        </w:tc>
        <w:tc>
          <w:tcPr>
            <w:tcW w:w="563" w:type="pct"/>
            <w:tcBorders>
              <w:top w:val="nil"/>
              <w:left w:val="nil"/>
              <w:bottom w:val="single" w:sz="4" w:space="0" w:color="auto"/>
              <w:right w:val="single" w:sz="4" w:space="0" w:color="auto"/>
            </w:tcBorders>
            <w:shd w:val="clear" w:color="auto" w:fill="auto"/>
            <w:vAlign w:val="center"/>
          </w:tcPr>
          <w:p w14:paraId="564EA5B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494070 </w:t>
            </w:r>
          </w:p>
        </w:tc>
        <w:tc>
          <w:tcPr>
            <w:tcW w:w="537" w:type="pct"/>
            <w:tcBorders>
              <w:top w:val="nil"/>
              <w:left w:val="nil"/>
              <w:bottom w:val="single" w:sz="4" w:space="0" w:color="auto"/>
              <w:right w:val="single" w:sz="4" w:space="0" w:color="auto"/>
            </w:tcBorders>
            <w:shd w:val="clear" w:color="auto" w:fill="auto"/>
            <w:noWrap/>
            <w:vAlign w:val="center"/>
          </w:tcPr>
          <w:p w14:paraId="223849D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3092.22 </w:t>
            </w:r>
          </w:p>
        </w:tc>
        <w:tc>
          <w:tcPr>
            <w:tcW w:w="658" w:type="pct"/>
            <w:tcBorders>
              <w:top w:val="nil"/>
              <w:left w:val="nil"/>
              <w:bottom w:val="single" w:sz="4" w:space="0" w:color="auto"/>
              <w:right w:val="single" w:sz="4" w:space="0" w:color="auto"/>
            </w:tcBorders>
            <w:shd w:val="clear" w:color="auto" w:fill="auto"/>
            <w:vAlign w:val="center"/>
          </w:tcPr>
          <w:p w14:paraId="6475168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9405.29 </w:t>
            </w:r>
          </w:p>
        </w:tc>
        <w:tc>
          <w:tcPr>
            <w:tcW w:w="489" w:type="pct"/>
            <w:tcBorders>
              <w:top w:val="nil"/>
              <w:left w:val="nil"/>
              <w:bottom w:val="single" w:sz="4" w:space="0" w:color="auto"/>
              <w:right w:val="single" w:sz="4" w:space="0" w:color="auto"/>
            </w:tcBorders>
            <w:shd w:val="clear" w:color="auto" w:fill="auto"/>
            <w:vAlign w:val="center"/>
          </w:tcPr>
          <w:p w14:paraId="7AEDB13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G1-7</w:t>
            </w:r>
            <w:r>
              <w:rPr>
                <w:rFonts w:ascii="宋体" w:eastAsia="宋体" w:hAnsi="宋体" w:cs="Times New Roman" w:hint="eastAsia"/>
                <w:kern w:val="0"/>
                <w:szCs w:val="21"/>
              </w:rPr>
              <w:t>：</w:t>
            </w:r>
          </w:p>
        </w:tc>
        <w:tc>
          <w:tcPr>
            <w:tcW w:w="369" w:type="pct"/>
            <w:tcBorders>
              <w:top w:val="nil"/>
              <w:left w:val="nil"/>
              <w:bottom w:val="single" w:sz="4" w:space="0" w:color="auto"/>
              <w:right w:val="single" w:sz="4" w:space="0" w:color="auto"/>
            </w:tcBorders>
            <w:shd w:val="clear" w:color="auto" w:fill="auto"/>
            <w:vAlign w:val="center"/>
          </w:tcPr>
          <w:p w14:paraId="0BB5C24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38.88 </w:t>
            </w:r>
          </w:p>
        </w:tc>
        <w:tc>
          <w:tcPr>
            <w:tcW w:w="605" w:type="pct"/>
            <w:tcBorders>
              <w:top w:val="nil"/>
              <w:left w:val="nil"/>
              <w:bottom w:val="single" w:sz="4" w:space="0" w:color="auto"/>
              <w:right w:val="single" w:sz="4" w:space="0" w:color="auto"/>
            </w:tcBorders>
            <w:shd w:val="clear" w:color="auto" w:fill="auto"/>
            <w:vAlign w:val="center"/>
          </w:tcPr>
          <w:p w14:paraId="56EB42D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W1-5</w:t>
            </w:r>
            <w:r>
              <w:rPr>
                <w:rFonts w:ascii="宋体" w:eastAsia="宋体" w:hAnsi="宋体" w:cs="Times New Roman" w:hint="eastAsia"/>
                <w:kern w:val="0"/>
                <w:szCs w:val="21"/>
              </w:rPr>
              <w:t>：</w:t>
            </w:r>
          </w:p>
        </w:tc>
        <w:tc>
          <w:tcPr>
            <w:tcW w:w="655" w:type="pct"/>
            <w:tcBorders>
              <w:top w:val="nil"/>
              <w:left w:val="nil"/>
              <w:bottom w:val="single" w:sz="4" w:space="0" w:color="auto"/>
              <w:right w:val="single" w:sz="4" w:space="0" w:color="auto"/>
            </w:tcBorders>
            <w:shd w:val="clear" w:color="auto" w:fill="auto"/>
            <w:vAlign w:val="center"/>
          </w:tcPr>
          <w:p w14:paraId="1A70D1A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541759.64 </w:t>
            </w:r>
          </w:p>
        </w:tc>
      </w:tr>
      <w:tr w:rsidR="002133E3" w14:paraId="3FF16E4D" w14:textId="77777777">
        <w:trPr>
          <w:trHeight w:val="270"/>
          <w:jc w:val="center"/>
        </w:trPr>
        <w:tc>
          <w:tcPr>
            <w:tcW w:w="11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C0B2D58"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蒸汽</w:t>
            </w:r>
          </w:p>
        </w:tc>
        <w:tc>
          <w:tcPr>
            <w:tcW w:w="563" w:type="pct"/>
            <w:tcBorders>
              <w:top w:val="nil"/>
              <w:left w:val="nil"/>
              <w:bottom w:val="single" w:sz="4" w:space="0" w:color="auto"/>
              <w:right w:val="single" w:sz="4" w:space="0" w:color="auto"/>
            </w:tcBorders>
            <w:shd w:val="clear" w:color="auto" w:fill="auto"/>
            <w:vAlign w:val="center"/>
          </w:tcPr>
          <w:p w14:paraId="13D74E6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85002 </w:t>
            </w:r>
          </w:p>
        </w:tc>
        <w:tc>
          <w:tcPr>
            <w:tcW w:w="537" w:type="pct"/>
            <w:tcBorders>
              <w:top w:val="nil"/>
              <w:left w:val="nil"/>
              <w:bottom w:val="single" w:sz="4" w:space="0" w:color="auto"/>
              <w:right w:val="single" w:sz="4" w:space="0" w:color="auto"/>
            </w:tcBorders>
            <w:shd w:val="clear" w:color="auto" w:fill="auto"/>
            <w:noWrap/>
            <w:vAlign w:val="center"/>
          </w:tcPr>
          <w:p w14:paraId="45E8940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8" w:type="pct"/>
            <w:tcBorders>
              <w:top w:val="nil"/>
              <w:left w:val="nil"/>
              <w:bottom w:val="single" w:sz="4" w:space="0" w:color="auto"/>
              <w:right w:val="single" w:sz="4" w:space="0" w:color="auto"/>
            </w:tcBorders>
            <w:shd w:val="clear" w:color="auto" w:fill="auto"/>
            <w:vAlign w:val="center"/>
          </w:tcPr>
          <w:p w14:paraId="0684722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89" w:type="pct"/>
            <w:tcBorders>
              <w:top w:val="nil"/>
              <w:left w:val="nil"/>
              <w:bottom w:val="single" w:sz="4" w:space="0" w:color="auto"/>
              <w:right w:val="single" w:sz="4" w:space="0" w:color="auto"/>
            </w:tcBorders>
            <w:shd w:val="clear" w:color="auto" w:fill="auto"/>
            <w:vAlign w:val="center"/>
          </w:tcPr>
          <w:p w14:paraId="221BAA7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G1-8</w:t>
            </w:r>
            <w:r>
              <w:rPr>
                <w:rFonts w:ascii="宋体" w:eastAsia="宋体" w:hAnsi="宋体" w:cs="Times New Roman" w:hint="eastAsia"/>
                <w:kern w:val="0"/>
                <w:szCs w:val="21"/>
              </w:rPr>
              <w:t>：</w:t>
            </w:r>
          </w:p>
        </w:tc>
        <w:tc>
          <w:tcPr>
            <w:tcW w:w="369" w:type="pct"/>
            <w:tcBorders>
              <w:top w:val="nil"/>
              <w:left w:val="nil"/>
              <w:bottom w:val="single" w:sz="4" w:space="0" w:color="auto"/>
              <w:right w:val="single" w:sz="4" w:space="0" w:color="auto"/>
            </w:tcBorders>
            <w:shd w:val="clear" w:color="auto" w:fill="auto"/>
            <w:vAlign w:val="center"/>
          </w:tcPr>
          <w:p w14:paraId="1A686E5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25.79 </w:t>
            </w:r>
          </w:p>
        </w:tc>
        <w:tc>
          <w:tcPr>
            <w:tcW w:w="605" w:type="pct"/>
            <w:tcBorders>
              <w:top w:val="nil"/>
              <w:left w:val="nil"/>
              <w:bottom w:val="single" w:sz="4" w:space="0" w:color="auto"/>
              <w:right w:val="single" w:sz="4" w:space="0" w:color="auto"/>
            </w:tcBorders>
            <w:shd w:val="clear" w:color="auto" w:fill="auto"/>
            <w:vAlign w:val="center"/>
          </w:tcPr>
          <w:p w14:paraId="335D5C1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W1-6</w:t>
            </w:r>
            <w:r>
              <w:rPr>
                <w:rFonts w:ascii="宋体" w:eastAsia="宋体" w:hAnsi="宋体" w:cs="Times New Roman" w:hint="eastAsia"/>
                <w:kern w:val="0"/>
                <w:szCs w:val="21"/>
              </w:rPr>
              <w:t>：</w:t>
            </w:r>
          </w:p>
        </w:tc>
        <w:tc>
          <w:tcPr>
            <w:tcW w:w="655" w:type="pct"/>
            <w:tcBorders>
              <w:top w:val="nil"/>
              <w:left w:val="nil"/>
              <w:bottom w:val="single" w:sz="4" w:space="0" w:color="auto"/>
              <w:right w:val="single" w:sz="4" w:space="0" w:color="auto"/>
            </w:tcBorders>
            <w:shd w:val="clear" w:color="auto" w:fill="auto"/>
            <w:vAlign w:val="center"/>
          </w:tcPr>
          <w:p w14:paraId="1FA2B47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42626.51 </w:t>
            </w:r>
          </w:p>
        </w:tc>
      </w:tr>
      <w:tr w:rsidR="002133E3" w14:paraId="5C4406EF" w14:textId="77777777">
        <w:trPr>
          <w:trHeight w:val="270"/>
          <w:jc w:val="center"/>
        </w:trPr>
        <w:tc>
          <w:tcPr>
            <w:tcW w:w="559" w:type="pct"/>
            <w:tcBorders>
              <w:top w:val="nil"/>
              <w:left w:val="single" w:sz="4" w:space="0" w:color="auto"/>
              <w:bottom w:val="nil"/>
              <w:right w:val="single" w:sz="4" w:space="0" w:color="auto"/>
            </w:tcBorders>
            <w:shd w:val="clear" w:color="auto" w:fill="auto"/>
            <w:vAlign w:val="center"/>
          </w:tcPr>
          <w:p w14:paraId="2C21679A"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带入水</w:t>
            </w:r>
          </w:p>
        </w:tc>
        <w:tc>
          <w:tcPr>
            <w:tcW w:w="565" w:type="pct"/>
            <w:tcBorders>
              <w:top w:val="nil"/>
              <w:left w:val="nil"/>
              <w:bottom w:val="nil"/>
              <w:right w:val="nil"/>
            </w:tcBorders>
            <w:shd w:val="clear" w:color="auto" w:fill="auto"/>
            <w:noWrap/>
            <w:vAlign w:val="center"/>
          </w:tcPr>
          <w:p w14:paraId="18903A71"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木薯干</w:t>
            </w:r>
          </w:p>
        </w:tc>
        <w:tc>
          <w:tcPr>
            <w:tcW w:w="563" w:type="pct"/>
            <w:tcBorders>
              <w:top w:val="nil"/>
              <w:left w:val="single" w:sz="4" w:space="0" w:color="auto"/>
              <w:bottom w:val="single" w:sz="4" w:space="0" w:color="auto"/>
              <w:right w:val="single" w:sz="4" w:space="0" w:color="auto"/>
            </w:tcBorders>
            <w:shd w:val="clear" w:color="auto" w:fill="auto"/>
            <w:vAlign w:val="center"/>
          </w:tcPr>
          <w:p w14:paraId="701EBD1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17745.00 </w:t>
            </w:r>
          </w:p>
        </w:tc>
        <w:tc>
          <w:tcPr>
            <w:tcW w:w="537" w:type="pct"/>
            <w:tcBorders>
              <w:top w:val="nil"/>
              <w:left w:val="nil"/>
              <w:bottom w:val="single" w:sz="4" w:space="0" w:color="auto"/>
              <w:right w:val="single" w:sz="4" w:space="0" w:color="auto"/>
            </w:tcBorders>
            <w:shd w:val="clear" w:color="auto" w:fill="auto"/>
            <w:noWrap/>
            <w:vAlign w:val="bottom"/>
          </w:tcPr>
          <w:p w14:paraId="664821F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8" w:type="pct"/>
            <w:tcBorders>
              <w:top w:val="nil"/>
              <w:left w:val="nil"/>
              <w:bottom w:val="single" w:sz="4" w:space="0" w:color="auto"/>
              <w:right w:val="single" w:sz="4" w:space="0" w:color="auto"/>
            </w:tcBorders>
            <w:shd w:val="clear" w:color="auto" w:fill="auto"/>
            <w:vAlign w:val="center"/>
          </w:tcPr>
          <w:p w14:paraId="784C1D6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89" w:type="pct"/>
            <w:tcBorders>
              <w:top w:val="nil"/>
              <w:left w:val="nil"/>
              <w:bottom w:val="single" w:sz="4" w:space="0" w:color="auto"/>
              <w:right w:val="single" w:sz="4" w:space="0" w:color="auto"/>
            </w:tcBorders>
            <w:shd w:val="clear" w:color="auto" w:fill="auto"/>
            <w:vAlign w:val="center"/>
          </w:tcPr>
          <w:p w14:paraId="1B10F15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G1-9</w:t>
            </w:r>
            <w:r>
              <w:rPr>
                <w:rFonts w:ascii="宋体" w:eastAsia="宋体" w:hAnsi="宋体" w:cs="Times New Roman" w:hint="eastAsia"/>
                <w:kern w:val="0"/>
                <w:szCs w:val="21"/>
              </w:rPr>
              <w:t>：</w:t>
            </w:r>
          </w:p>
        </w:tc>
        <w:tc>
          <w:tcPr>
            <w:tcW w:w="369" w:type="pct"/>
            <w:tcBorders>
              <w:top w:val="nil"/>
              <w:left w:val="nil"/>
              <w:bottom w:val="single" w:sz="4" w:space="0" w:color="auto"/>
              <w:right w:val="single" w:sz="4" w:space="0" w:color="auto"/>
            </w:tcBorders>
            <w:shd w:val="clear" w:color="auto" w:fill="auto"/>
            <w:vAlign w:val="center"/>
          </w:tcPr>
          <w:p w14:paraId="7407EA2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1.02 </w:t>
            </w:r>
          </w:p>
        </w:tc>
        <w:tc>
          <w:tcPr>
            <w:tcW w:w="605" w:type="pct"/>
            <w:tcBorders>
              <w:top w:val="nil"/>
              <w:left w:val="nil"/>
              <w:bottom w:val="single" w:sz="4" w:space="0" w:color="auto"/>
              <w:right w:val="single" w:sz="4" w:space="0" w:color="auto"/>
            </w:tcBorders>
            <w:shd w:val="clear" w:color="auto" w:fill="auto"/>
            <w:vAlign w:val="center"/>
          </w:tcPr>
          <w:p w14:paraId="6EADC50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5" w:type="pct"/>
            <w:tcBorders>
              <w:top w:val="nil"/>
              <w:left w:val="nil"/>
              <w:bottom w:val="single" w:sz="4" w:space="0" w:color="auto"/>
              <w:right w:val="single" w:sz="4" w:space="0" w:color="auto"/>
            </w:tcBorders>
            <w:shd w:val="clear" w:color="auto" w:fill="auto"/>
            <w:vAlign w:val="center"/>
          </w:tcPr>
          <w:p w14:paraId="1B6DBEF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r>
      <w:tr w:rsidR="002133E3" w14:paraId="1E6A2370" w14:textId="77777777">
        <w:trPr>
          <w:trHeight w:val="270"/>
          <w:jc w:val="center"/>
        </w:trPr>
        <w:tc>
          <w:tcPr>
            <w:tcW w:w="112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38CAECAB"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生成水</w:t>
            </w:r>
          </w:p>
        </w:tc>
        <w:tc>
          <w:tcPr>
            <w:tcW w:w="563" w:type="pct"/>
            <w:tcBorders>
              <w:top w:val="nil"/>
              <w:left w:val="nil"/>
              <w:bottom w:val="single" w:sz="4" w:space="0" w:color="auto"/>
              <w:right w:val="single" w:sz="4" w:space="0" w:color="auto"/>
            </w:tcBorders>
            <w:shd w:val="clear" w:color="auto" w:fill="auto"/>
            <w:vAlign w:val="center"/>
          </w:tcPr>
          <w:p w14:paraId="5BE640E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1.57 </w:t>
            </w:r>
          </w:p>
        </w:tc>
        <w:tc>
          <w:tcPr>
            <w:tcW w:w="537" w:type="pct"/>
            <w:tcBorders>
              <w:top w:val="nil"/>
              <w:left w:val="nil"/>
              <w:bottom w:val="single" w:sz="4" w:space="0" w:color="auto"/>
              <w:right w:val="single" w:sz="4" w:space="0" w:color="auto"/>
            </w:tcBorders>
            <w:shd w:val="clear" w:color="auto" w:fill="auto"/>
            <w:noWrap/>
            <w:vAlign w:val="bottom"/>
          </w:tcPr>
          <w:p w14:paraId="2B549D2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8" w:type="pct"/>
            <w:tcBorders>
              <w:top w:val="nil"/>
              <w:left w:val="nil"/>
              <w:bottom w:val="single" w:sz="4" w:space="0" w:color="auto"/>
              <w:right w:val="single" w:sz="4" w:space="0" w:color="auto"/>
            </w:tcBorders>
            <w:shd w:val="clear" w:color="auto" w:fill="auto"/>
            <w:vAlign w:val="center"/>
          </w:tcPr>
          <w:p w14:paraId="681DED0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489" w:type="pct"/>
            <w:tcBorders>
              <w:top w:val="nil"/>
              <w:left w:val="nil"/>
              <w:bottom w:val="single" w:sz="4" w:space="0" w:color="auto"/>
              <w:right w:val="single" w:sz="4" w:space="0" w:color="auto"/>
            </w:tcBorders>
            <w:shd w:val="clear" w:color="auto" w:fill="auto"/>
            <w:vAlign w:val="center"/>
          </w:tcPr>
          <w:p w14:paraId="5F1C370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G1-10</w:t>
            </w:r>
            <w:r>
              <w:rPr>
                <w:rFonts w:ascii="宋体" w:eastAsia="宋体" w:hAnsi="宋体" w:cs="Times New Roman" w:hint="eastAsia"/>
                <w:kern w:val="0"/>
                <w:szCs w:val="21"/>
              </w:rPr>
              <w:t>：</w:t>
            </w:r>
          </w:p>
        </w:tc>
        <w:tc>
          <w:tcPr>
            <w:tcW w:w="369" w:type="pct"/>
            <w:tcBorders>
              <w:top w:val="nil"/>
              <w:left w:val="nil"/>
              <w:bottom w:val="single" w:sz="4" w:space="0" w:color="auto"/>
              <w:right w:val="single" w:sz="4" w:space="0" w:color="auto"/>
            </w:tcBorders>
            <w:shd w:val="clear" w:color="auto" w:fill="auto"/>
            <w:vAlign w:val="center"/>
          </w:tcPr>
          <w:p w14:paraId="58772A6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0.22 </w:t>
            </w:r>
          </w:p>
        </w:tc>
        <w:tc>
          <w:tcPr>
            <w:tcW w:w="605" w:type="pct"/>
            <w:tcBorders>
              <w:top w:val="nil"/>
              <w:left w:val="nil"/>
              <w:bottom w:val="single" w:sz="4" w:space="0" w:color="auto"/>
              <w:right w:val="single" w:sz="4" w:space="0" w:color="auto"/>
            </w:tcBorders>
            <w:shd w:val="clear" w:color="auto" w:fill="auto"/>
            <w:vAlign w:val="center"/>
          </w:tcPr>
          <w:p w14:paraId="6EA2BA1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655" w:type="pct"/>
            <w:tcBorders>
              <w:top w:val="nil"/>
              <w:left w:val="nil"/>
              <w:bottom w:val="single" w:sz="4" w:space="0" w:color="auto"/>
              <w:right w:val="single" w:sz="4" w:space="0" w:color="auto"/>
            </w:tcBorders>
            <w:shd w:val="clear" w:color="auto" w:fill="auto"/>
            <w:vAlign w:val="center"/>
          </w:tcPr>
          <w:p w14:paraId="73C9C3D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r>
      <w:tr w:rsidR="002133E3" w14:paraId="2744261D" w14:textId="77777777">
        <w:trPr>
          <w:trHeight w:val="270"/>
          <w:jc w:val="center"/>
        </w:trPr>
        <w:tc>
          <w:tcPr>
            <w:tcW w:w="1124"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8DE3290" w14:textId="77777777" w:rsidR="002133E3" w:rsidRDefault="00C22CFA">
            <w:pPr>
              <w:widowControl/>
              <w:jc w:val="center"/>
              <w:rPr>
                <w:rFonts w:ascii="Times New Roman" w:eastAsia="等线" w:hAnsi="Times New Roman" w:cs="Times New Roman"/>
                <w:kern w:val="0"/>
                <w:szCs w:val="21"/>
              </w:rPr>
            </w:pPr>
            <w:r>
              <w:rPr>
                <w:rFonts w:ascii="宋体" w:eastAsia="宋体" w:hAnsi="宋体" w:cs="Times New Roman" w:hint="eastAsia"/>
                <w:kern w:val="0"/>
                <w:szCs w:val="21"/>
              </w:rPr>
              <w:t>合计</w:t>
            </w:r>
          </w:p>
        </w:tc>
        <w:tc>
          <w:tcPr>
            <w:tcW w:w="563" w:type="pct"/>
            <w:vMerge w:val="restart"/>
            <w:tcBorders>
              <w:top w:val="nil"/>
              <w:left w:val="single" w:sz="4" w:space="0" w:color="auto"/>
              <w:bottom w:val="single" w:sz="4" w:space="0" w:color="auto"/>
              <w:right w:val="single" w:sz="4" w:space="0" w:color="auto"/>
            </w:tcBorders>
            <w:shd w:val="clear" w:color="auto" w:fill="auto"/>
            <w:vAlign w:val="center"/>
          </w:tcPr>
          <w:p w14:paraId="2F46A4F7"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596818.57 </w:t>
            </w:r>
          </w:p>
        </w:tc>
        <w:tc>
          <w:tcPr>
            <w:tcW w:w="537" w:type="pct"/>
            <w:tcBorders>
              <w:top w:val="nil"/>
              <w:left w:val="nil"/>
              <w:bottom w:val="single" w:sz="4" w:space="0" w:color="auto"/>
              <w:right w:val="single" w:sz="4" w:space="0" w:color="auto"/>
            </w:tcBorders>
            <w:shd w:val="clear" w:color="auto" w:fill="auto"/>
            <w:vAlign w:val="center"/>
          </w:tcPr>
          <w:p w14:paraId="44336BBA"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3092.22 </w:t>
            </w:r>
          </w:p>
        </w:tc>
        <w:tc>
          <w:tcPr>
            <w:tcW w:w="658" w:type="pct"/>
            <w:tcBorders>
              <w:top w:val="nil"/>
              <w:left w:val="nil"/>
              <w:bottom w:val="single" w:sz="4" w:space="0" w:color="auto"/>
              <w:right w:val="single" w:sz="4" w:space="0" w:color="auto"/>
            </w:tcBorders>
            <w:shd w:val="clear" w:color="auto" w:fill="auto"/>
            <w:vAlign w:val="center"/>
          </w:tcPr>
          <w:p w14:paraId="03B889CD"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9405.29 </w:t>
            </w:r>
          </w:p>
        </w:tc>
        <w:tc>
          <w:tcPr>
            <w:tcW w:w="858" w:type="pct"/>
            <w:gridSpan w:val="2"/>
            <w:tcBorders>
              <w:top w:val="single" w:sz="4" w:space="0" w:color="auto"/>
              <w:left w:val="nil"/>
              <w:bottom w:val="single" w:sz="4" w:space="0" w:color="auto"/>
              <w:right w:val="single" w:sz="4" w:space="0" w:color="auto"/>
            </w:tcBorders>
            <w:shd w:val="clear" w:color="auto" w:fill="auto"/>
            <w:vAlign w:val="center"/>
          </w:tcPr>
          <w:p w14:paraId="598B3F09"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65.91 </w:t>
            </w:r>
          </w:p>
        </w:tc>
        <w:tc>
          <w:tcPr>
            <w:tcW w:w="1260" w:type="pct"/>
            <w:gridSpan w:val="2"/>
            <w:tcBorders>
              <w:top w:val="single" w:sz="4" w:space="0" w:color="auto"/>
              <w:left w:val="nil"/>
              <w:bottom w:val="single" w:sz="4" w:space="0" w:color="auto"/>
              <w:right w:val="single" w:sz="4" w:space="0" w:color="auto"/>
            </w:tcBorders>
            <w:shd w:val="clear" w:color="auto" w:fill="auto"/>
            <w:vAlign w:val="center"/>
          </w:tcPr>
          <w:p w14:paraId="4DFE13A3"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 xml:space="preserve">584386.15 </w:t>
            </w:r>
          </w:p>
        </w:tc>
      </w:tr>
      <w:tr w:rsidR="002133E3" w14:paraId="77AF3CF5" w14:textId="77777777">
        <w:trPr>
          <w:trHeight w:val="285"/>
          <w:jc w:val="center"/>
        </w:trPr>
        <w:tc>
          <w:tcPr>
            <w:tcW w:w="1124" w:type="pct"/>
            <w:gridSpan w:val="2"/>
            <w:vMerge/>
            <w:tcBorders>
              <w:top w:val="single" w:sz="4" w:space="0" w:color="auto"/>
              <w:left w:val="single" w:sz="4" w:space="0" w:color="auto"/>
              <w:bottom w:val="single" w:sz="4" w:space="0" w:color="auto"/>
              <w:right w:val="single" w:sz="4" w:space="0" w:color="auto"/>
            </w:tcBorders>
            <w:vAlign w:val="center"/>
          </w:tcPr>
          <w:p w14:paraId="7C76EE77" w14:textId="77777777" w:rsidR="002133E3" w:rsidRDefault="002133E3">
            <w:pPr>
              <w:widowControl/>
              <w:jc w:val="left"/>
              <w:rPr>
                <w:rFonts w:ascii="Times New Roman" w:eastAsia="等线" w:hAnsi="Times New Roman" w:cs="Times New Roman"/>
                <w:kern w:val="0"/>
                <w:szCs w:val="21"/>
              </w:rPr>
            </w:pPr>
          </w:p>
        </w:tc>
        <w:tc>
          <w:tcPr>
            <w:tcW w:w="563" w:type="pct"/>
            <w:vMerge/>
            <w:tcBorders>
              <w:top w:val="nil"/>
              <w:left w:val="single" w:sz="4" w:space="0" w:color="auto"/>
              <w:bottom w:val="single" w:sz="4" w:space="0" w:color="auto"/>
              <w:right w:val="single" w:sz="4" w:space="0" w:color="auto"/>
            </w:tcBorders>
            <w:vAlign w:val="center"/>
          </w:tcPr>
          <w:p w14:paraId="79A73374" w14:textId="77777777" w:rsidR="002133E3" w:rsidRDefault="002133E3">
            <w:pPr>
              <w:widowControl/>
              <w:jc w:val="left"/>
              <w:rPr>
                <w:rFonts w:ascii="Times New Roman" w:eastAsia="等线" w:hAnsi="Times New Roman" w:cs="Times New Roman"/>
                <w:b/>
                <w:bCs/>
                <w:kern w:val="0"/>
                <w:szCs w:val="21"/>
              </w:rPr>
            </w:pPr>
          </w:p>
        </w:tc>
        <w:tc>
          <w:tcPr>
            <w:tcW w:w="3313" w:type="pct"/>
            <w:gridSpan w:val="6"/>
            <w:tcBorders>
              <w:top w:val="single" w:sz="4" w:space="0" w:color="auto"/>
              <w:left w:val="nil"/>
              <w:bottom w:val="single" w:sz="4" w:space="0" w:color="auto"/>
              <w:right w:val="single" w:sz="4" w:space="0" w:color="000000"/>
            </w:tcBorders>
            <w:shd w:val="clear" w:color="auto" w:fill="auto"/>
            <w:vAlign w:val="center"/>
          </w:tcPr>
          <w:p w14:paraId="1E6DDC75" w14:textId="77777777" w:rsidR="002133E3" w:rsidRDefault="00C22CFA">
            <w:pPr>
              <w:widowControl/>
              <w:jc w:val="center"/>
              <w:rPr>
                <w:rFonts w:ascii="Times New Roman" w:eastAsia="等线" w:hAnsi="Times New Roman" w:cs="Times New Roman"/>
                <w:b/>
                <w:bCs/>
                <w:kern w:val="0"/>
                <w:szCs w:val="21"/>
              </w:rPr>
            </w:pPr>
            <w:r>
              <w:rPr>
                <w:rFonts w:ascii="Times New Roman" w:eastAsia="等线" w:hAnsi="Times New Roman" w:cs="Times New Roman"/>
                <w:b/>
                <w:bCs/>
                <w:kern w:val="0"/>
                <w:szCs w:val="21"/>
              </w:rPr>
              <w:t>596949.57</w:t>
            </w:r>
          </w:p>
        </w:tc>
      </w:tr>
    </w:tbl>
    <w:p w14:paraId="18C275A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污染物产生情况</w:t>
      </w:r>
    </w:p>
    <w:p w14:paraId="7728117B" w14:textId="77777777" w:rsidR="002133E3" w:rsidRDefault="00C22CFA">
      <w:pPr>
        <w:widowControl/>
        <w:adjustRightInd w:val="0"/>
        <w:snapToGrid w:val="0"/>
        <w:spacing w:line="500" w:lineRule="atLeast"/>
        <w:ind w:firstLineChars="200" w:firstLine="560"/>
        <w:rPr>
          <w:rFonts w:ascii="Times New Roman" w:eastAsia="宋体" w:hAnsi="Times New Roman" w:cs="Times New Roman"/>
          <w:caps/>
          <w:kern w:val="0"/>
          <w:sz w:val="28"/>
          <w:szCs w:val="28"/>
        </w:rPr>
      </w:pP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酒精生产</w:t>
      </w:r>
      <w:r>
        <w:rPr>
          <w:rFonts w:ascii="Times New Roman" w:eastAsia="宋体" w:hAnsi="Times New Roman" w:cs="Times New Roman"/>
          <w:caps/>
          <w:kern w:val="0"/>
          <w:sz w:val="28"/>
          <w:szCs w:val="28"/>
        </w:rPr>
        <w:t>过程中废气、废水、副产物产生情况见表</w:t>
      </w:r>
      <w:r>
        <w:rPr>
          <w:rFonts w:ascii="Times New Roman" w:eastAsia="宋体" w:hAnsi="Times New Roman" w:cs="Times New Roman"/>
          <w:caps/>
          <w:kern w:val="0"/>
          <w:sz w:val="28"/>
          <w:szCs w:val="28"/>
        </w:rPr>
        <w:t>4.2-7</w:t>
      </w:r>
      <w:r>
        <w:rPr>
          <w:rFonts w:ascii="Times New Roman" w:eastAsia="宋体" w:hAnsi="Times New Roman" w:cs="Times New Roman"/>
          <w:caps/>
          <w:kern w:val="0"/>
          <w:sz w:val="28"/>
          <w:szCs w:val="28"/>
        </w:rPr>
        <w:t>～</w:t>
      </w:r>
      <w:r>
        <w:rPr>
          <w:rFonts w:ascii="Times New Roman" w:eastAsia="宋体" w:hAnsi="Times New Roman" w:cs="Times New Roman"/>
          <w:caps/>
          <w:kern w:val="0"/>
          <w:sz w:val="28"/>
          <w:szCs w:val="28"/>
        </w:rPr>
        <w:t>9</w:t>
      </w:r>
      <w:r>
        <w:rPr>
          <w:rFonts w:ascii="Times New Roman" w:eastAsia="宋体" w:hAnsi="Times New Roman" w:cs="Times New Roman"/>
          <w:caps/>
          <w:kern w:val="0"/>
          <w:sz w:val="28"/>
          <w:szCs w:val="28"/>
        </w:rPr>
        <w:t>。</w:t>
      </w:r>
    </w:p>
    <w:p w14:paraId="57339404" w14:textId="77777777" w:rsidR="002133E3" w:rsidRDefault="00C22CFA">
      <w:pPr>
        <w:widowControl/>
        <w:adjustRightInd w:val="0"/>
        <w:snapToGrid w:val="0"/>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4.2-7  10</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酒精生产废气产生情况表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015"/>
        <w:gridCol w:w="1886"/>
        <w:gridCol w:w="2031"/>
        <w:gridCol w:w="2177"/>
        <w:gridCol w:w="1879"/>
      </w:tblGrid>
      <w:tr w:rsidR="002133E3" w14:paraId="515119EE" w14:textId="77777777">
        <w:trPr>
          <w:trHeight w:val="284"/>
        </w:trPr>
        <w:tc>
          <w:tcPr>
            <w:tcW w:w="866" w:type="dxa"/>
            <w:shd w:val="clear" w:color="auto" w:fill="auto"/>
            <w:vAlign w:val="center"/>
          </w:tcPr>
          <w:p w14:paraId="70C252D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类型</w:t>
            </w:r>
          </w:p>
        </w:tc>
        <w:tc>
          <w:tcPr>
            <w:tcW w:w="1015" w:type="dxa"/>
            <w:shd w:val="clear" w:color="auto" w:fill="auto"/>
            <w:vAlign w:val="center"/>
          </w:tcPr>
          <w:p w14:paraId="69F1DA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代码</w:t>
            </w:r>
          </w:p>
        </w:tc>
        <w:tc>
          <w:tcPr>
            <w:tcW w:w="1886" w:type="dxa"/>
            <w:shd w:val="clear" w:color="auto" w:fill="auto"/>
            <w:vAlign w:val="center"/>
          </w:tcPr>
          <w:p w14:paraId="7E518DA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污染物名称</w:t>
            </w:r>
          </w:p>
        </w:tc>
        <w:tc>
          <w:tcPr>
            <w:tcW w:w="2031" w:type="dxa"/>
            <w:shd w:val="clear" w:color="auto" w:fill="auto"/>
            <w:vAlign w:val="center"/>
          </w:tcPr>
          <w:p w14:paraId="19B4F26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产生量</w:t>
            </w:r>
            <w:r>
              <w:rPr>
                <w:rFonts w:ascii="Times New Roman" w:eastAsia="宋体" w:hAnsi="Times New Roman" w:cs="Times New Roman"/>
                <w:color w:val="000000"/>
                <w:kern w:val="0"/>
                <w:szCs w:val="21"/>
              </w:rPr>
              <w:t>(t/a)</w:t>
            </w:r>
          </w:p>
        </w:tc>
        <w:tc>
          <w:tcPr>
            <w:tcW w:w="2177" w:type="dxa"/>
            <w:shd w:val="clear" w:color="auto" w:fill="auto"/>
            <w:vAlign w:val="center"/>
          </w:tcPr>
          <w:p w14:paraId="4DC50B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产生速率</w:t>
            </w:r>
            <w:r>
              <w:rPr>
                <w:rFonts w:ascii="Times New Roman" w:eastAsia="宋体" w:hAnsi="Times New Roman" w:cs="Times New Roman"/>
                <w:color w:val="000000"/>
                <w:kern w:val="0"/>
                <w:szCs w:val="21"/>
              </w:rPr>
              <w:t>(kg/h)</w:t>
            </w:r>
          </w:p>
        </w:tc>
        <w:tc>
          <w:tcPr>
            <w:tcW w:w="1879" w:type="dxa"/>
            <w:shd w:val="clear" w:color="auto" w:fill="auto"/>
            <w:vAlign w:val="center"/>
          </w:tcPr>
          <w:p w14:paraId="1B5CC72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排放时间</w:t>
            </w:r>
            <w:r>
              <w:rPr>
                <w:rFonts w:ascii="Times New Roman" w:eastAsia="宋体" w:hAnsi="Times New Roman" w:cs="Times New Roman"/>
                <w:color w:val="000000"/>
                <w:kern w:val="0"/>
                <w:szCs w:val="21"/>
              </w:rPr>
              <w:t>(h)</w:t>
            </w:r>
          </w:p>
        </w:tc>
      </w:tr>
      <w:tr w:rsidR="002133E3" w14:paraId="044B48E4" w14:textId="77777777">
        <w:trPr>
          <w:trHeight w:val="284"/>
        </w:trPr>
        <w:tc>
          <w:tcPr>
            <w:tcW w:w="866" w:type="dxa"/>
            <w:vMerge w:val="restart"/>
            <w:shd w:val="clear" w:color="auto" w:fill="auto"/>
            <w:noWrap/>
            <w:vAlign w:val="center"/>
          </w:tcPr>
          <w:p w14:paraId="2F5C95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有组织废气</w:t>
            </w:r>
          </w:p>
        </w:tc>
        <w:tc>
          <w:tcPr>
            <w:tcW w:w="1015" w:type="dxa"/>
            <w:vMerge w:val="restart"/>
            <w:shd w:val="clear" w:color="auto" w:fill="auto"/>
            <w:vAlign w:val="center"/>
          </w:tcPr>
          <w:p w14:paraId="0DDF573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G1-1</w:t>
            </w:r>
            <w:r>
              <w:rPr>
                <w:rFonts w:ascii="Times New Roman" w:eastAsia="宋体" w:hAnsi="Times New Roman" w:cs="Times New Roman"/>
                <w:kern w:val="0"/>
                <w:szCs w:val="21"/>
              </w:rPr>
              <w:t>：</w:t>
            </w:r>
          </w:p>
        </w:tc>
        <w:tc>
          <w:tcPr>
            <w:tcW w:w="1886" w:type="dxa"/>
            <w:shd w:val="clear" w:color="auto" w:fill="auto"/>
            <w:noWrap/>
            <w:vAlign w:val="center"/>
          </w:tcPr>
          <w:p w14:paraId="4C22AAE8"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2031" w:type="dxa"/>
            <w:shd w:val="clear" w:color="auto" w:fill="auto"/>
            <w:noWrap/>
            <w:vAlign w:val="center"/>
          </w:tcPr>
          <w:p w14:paraId="690367C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16.00 </w:t>
            </w:r>
          </w:p>
        </w:tc>
        <w:tc>
          <w:tcPr>
            <w:tcW w:w="2177" w:type="dxa"/>
            <w:shd w:val="clear" w:color="auto" w:fill="auto"/>
            <w:noWrap/>
            <w:vAlign w:val="center"/>
          </w:tcPr>
          <w:p w14:paraId="42B089B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2.22 </w:t>
            </w:r>
          </w:p>
        </w:tc>
        <w:tc>
          <w:tcPr>
            <w:tcW w:w="1879" w:type="dxa"/>
            <w:shd w:val="clear" w:color="auto" w:fill="auto"/>
            <w:vAlign w:val="center"/>
          </w:tcPr>
          <w:p w14:paraId="09A1191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7D237B0C" w14:textId="77777777">
        <w:trPr>
          <w:trHeight w:val="284"/>
        </w:trPr>
        <w:tc>
          <w:tcPr>
            <w:tcW w:w="866" w:type="dxa"/>
            <w:vMerge/>
            <w:vAlign w:val="center"/>
          </w:tcPr>
          <w:p w14:paraId="573810A5"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1CE35E2A"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59A02B07"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水蒸气</w:t>
            </w:r>
          </w:p>
        </w:tc>
        <w:tc>
          <w:tcPr>
            <w:tcW w:w="2031" w:type="dxa"/>
            <w:shd w:val="clear" w:color="auto" w:fill="auto"/>
            <w:noWrap/>
            <w:vAlign w:val="center"/>
          </w:tcPr>
          <w:p w14:paraId="709F871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77.76 </w:t>
            </w:r>
          </w:p>
        </w:tc>
        <w:tc>
          <w:tcPr>
            <w:tcW w:w="2177" w:type="dxa"/>
            <w:shd w:val="clear" w:color="auto" w:fill="auto"/>
            <w:noWrap/>
            <w:vAlign w:val="center"/>
          </w:tcPr>
          <w:p w14:paraId="330EEF4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10.80 </w:t>
            </w:r>
          </w:p>
        </w:tc>
        <w:tc>
          <w:tcPr>
            <w:tcW w:w="1879" w:type="dxa"/>
            <w:shd w:val="clear" w:color="auto" w:fill="auto"/>
            <w:vAlign w:val="center"/>
          </w:tcPr>
          <w:p w14:paraId="5EFF246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203D2DE1" w14:textId="77777777">
        <w:trPr>
          <w:trHeight w:val="284"/>
        </w:trPr>
        <w:tc>
          <w:tcPr>
            <w:tcW w:w="866" w:type="dxa"/>
            <w:vMerge/>
            <w:vAlign w:val="center"/>
          </w:tcPr>
          <w:p w14:paraId="55346515"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shd w:val="clear" w:color="auto" w:fill="auto"/>
            <w:vAlign w:val="center"/>
          </w:tcPr>
          <w:p w14:paraId="5616BBD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G1-2</w:t>
            </w:r>
            <w:r>
              <w:rPr>
                <w:rFonts w:ascii="Times New Roman" w:eastAsia="宋体" w:hAnsi="Times New Roman" w:cs="Times New Roman"/>
                <w:kern w:val="0"/>
                <w:szCs w:val="21"/>
              </w:rPr>
              <w:t>：</w:t>
            </w:r>
          </w:p>
        </w:tc>
        <w:tc>
          <w:tcPr>
            <w:tcW w:w="1886" w:type="dxa"/>
            <w:shd w:val="clear" w:color="auto" w:fill="auto"/>
            <w:noWrap/>
            <w:vAlign w:val="center"/>
          </w:tcPr>
          <w:p w14:paraId="4131A99C"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CO</w:t>
            </w:r>
            <w:r>
              <w:rPr>
                <w:rFonts w:ascii="Times New Roman" w:eastAsia="宋体" w:hAnsi="Times New Roman" w:cs="Times New Roman"/>
                <w:kern w:val="0"/>
                <w:szCs w:val="21"/>
                <w:vertAlign w:val="subscript"/>
              </w:rPr>
              <w:t>2</w:t>
            </w:r>
          </w:p>
        </w:tc>
        <w:tc>
          <w:tcPr>
            <w:tcW w:w="2031" w:type="dxa"/>
            <w:shd w:val="clear" w:color="auto" w:fill="auto"/>
            <w:noWrap/>
            <w:vAlign w:val="center"/>
          </w:tcPr>
          <w:p w14:paraId="2944927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91962.83 </w:t>
            </w:r>
          </w:p>
        </w:tc>
        <w:tc>
          <w:tcPr>
            <w:tcW w:w="2177" w:type="dxa"/>
            <w:shd w:val="clear" w:color="auto" w:fill="auto"/>
            <w:noWrap/>
            <w:vAlign w:val="center"/>
          </w:tcPr>
          <w:p w14:paraId="46B40CC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12772.62 </w:t>
            </w:r>
          </w:p>
        </w:tc>
        <w:tc>
          <w:tcPr>
            <w:tcW w:w="1879" w:type="dxa"/>
            <w:shd w:val="clear" w:color="auto" w:fill="auto"/>
            <w:vAlign w:val="center"/>
          </w:tcPr>
          <w:p w14:paraId="045A88C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265FE1B4" w14:textId="77777777">
        <w:trPr>
          <w:trHeight w:val="284"/>
        </w:trPr>
        <w:tc>
          <w:tcPr>
            <w:tcW w:w="866" w:type="dxa"/>
            <w:vMerge/>
            <w:vAlign w:val="center"/>
          </w:tcPr>
          <w:p w14:paraId="6615DB71"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6F905B8F"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1015712B"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2031" w:type="dxa"/>
            <w:shd w:val="clear" w:color="auto" w:fill="auto"/>
            <w:noWrap/>
            <w:vAlign w:val="center"/>
          </w:tcPr>
          <w:p w14:paraId="21A3279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46.96 </w:t>
            </w:r>
          </w:p>
        </w:tc>
        <w:tc>
          <w:tcPr>
            <w:tcW w:w="2177" w:type="dxa"/>
            <w:shd w:val="clear" w:color="auto" w:fill="auto"/>
            <w:noWrap/>
            <w:vAlign w:val="center"/>
          </w:tcPr>
          <w:p w14:paraId="0B334CD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6.52 </w:t>
            </w:r>
          </w:p>
        </w:tc>
        <w:tc>
          <w:tcPr>
            <w:tcW w:w="1879" w:type="dxa"/>
            <w:shd w:val="clear" w:color="auto" w:fill="auto"/>
            <w:vAlign w:val="center"/>
          </w:tcPr>
          <w:p w14:paraId="4A186ECF"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3EE6C51A" w14:textId="77777777">
        <w:trPr>
          <w:trHeight w:val="284"/>
        </w:trPr>
        <w:tc>
          <w:tcPr>
            <w:tcW w:w="866" w:type="dxa"/>
            <w:vMerge/>
            <w:vAlign w:val="center"/>
          </w:tcPr>
          <w:p w14:paraId="47627C73"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284D1B40"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311B2710"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2031" w:type="dxa"/>
            <w:shd w:val="clear" w:color="auto" w:fill="auto"/>
            <w:noWrap/>
            <w:vAlign w:val="center"/>
          </w:tcPr>
          <w:p w14:paraId="79B66F3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0.03 </w:t>
            </w:r>
          </w:p>
        </w:tc>
        <w:tc>
          <w:tcPr>
            <w:tcW w:w="2177" w:type="dxa"/>
            <w:shd w:val="clear" w:color="auto" w:fill="auto"/>
            <w:noWrap/>
            <w:vAlign w:val="center"/>
          </w:tcPr>
          <w:p w14:paraId="66D5B27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0.004</w:t>
            </w:r>
          </w:p>
        </w:tc>
        <w:tc>
          <w:tcPr>
            <w:tcW w:w="1879" w:type="dxa"/>
            <w:shd w:val="clear" w:color="auto" w:fill="auto"/>
            <w:vAlign w:val="center"/>
          </w:tcPr>
          <w:p w14:paraId="2F2BD06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1372A982" w14:textId="77777777">
        <w:trPr>
          <w:trHeight w:val="284"/>
        </w:trPr>
        <w:tc>
          <w:tcPr>
            <w:tcW w:w="866" w:type="dxa"/>
            <w:vMerge/>
            <w:vAlign w:val="center"/>
          </w:tcPr>
          <w:p w14:paraId="36244D70"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29BB971C"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1CA0C359"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水蒸气</w:t>
            </w:r>
          </w:p>
        </w:tc>
        <w:tc>
          <w:tcPr>
            <w:tcW w:w="2031" w:type="dxa"/>
            <w:shd w:val="clear" w:color="auto" w:fill="auto"/>
            <w:noWrap/>
            <w:vAlign w:val="center"/>
          </w:tcPr>
          <w:p w14:paraId="5E72ED5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51.57 </w:t>
            </w:r>
          </w:p>
        </w:tc>
        <w:tc>
          <w:tcPr>
            <w:tcW w:w="2177" w:type="dxa"/>
            <w:shd w:val="clear" w:color="auto" w:fill="auto"/>
            <w:noWrap/>
            <w:vAlign w:val="center"/>
          </w:tcPr>
          <w:p w14:paraId="7A07414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7.16 </w:t>
            </w:r>
          </w:p>
        </w:tc>
        <w:tc>
          <w:tcPr>
            <w:tcW w:w="1879" w:type="dxa"/>
            <w:shd w:val="clear" w:color="auto" w:fill="auto"/>
            <w:vAlign w:val="center"/>
          </w:tcPr>
          <w:p w14:paraId="035FF62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2B8D0CC4" w14:textId="77777777">
        <w:trPr>
          <w:trHeight w:val="284"/>
        </w:trPr>
        <w:tc>
          <w:tcPr>
            <w:tcW w:w="866" w:type="dxa"/>
            <w:vMerge/>
            <w:vAlign w:val="center"/>
          </w:tcPr>
          <w:p w14:paraId="30DD9F51"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shd w:val="clear" w:color="auto" w:fill="auto"/>
            <w:vAlign w:val="center"/>
          </w:tcPr>
          <w:p w14:paraId="4135BE0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G1-3</w:t>
            </w:r>
            <w:r>
              <w:rPr>
                <w:rFonts w:ascii="Times New Roman" w:eastAsia="宋体" w:hAnsi="Times New Roman" w:cs="Times New Roman"/>
                <w:kern w:val="0"/>
                <w:szCs w:val="21"/>
              </w:rPr>
              <w:t>：</w:t>
            </w:r>
          </w:p>
        </w:tc>
        <w:tc>
          <w:tcPr>
            <w:tcW w:w="1886" w:type="dxa"/>
            <w:shd w:val="clear" w:color="auto" w:fill="auto"/>
            <w:noWrap/>
            <w:vAlign w:val="center"/>
          </w:tcPr>
          <w:p w14:paraId="45C78641"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2031" w:type="dxa"/>
            <w:shd w:val="clear" w:color="auto" w:fill="auto"/>
            <w:noWrap/>
            <w:vAlign w:val="center"/>
          </w:tcPr>
          <w:p w14:paraId="12764D8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2.74 </w:t>
            </w:r>
          </w:p>
        </w:tc>
        <w:tc>
          <w:tcPr>
            <w:tcW w:w="2177" w:type="dxa"/>
            <w:shd w:val="clear" w:color="auto" w:fill="auto"/>
            <w:noWrap/>
            <w:vAlign w:val="center"/>
          </w:tcPr>
          <w:p w14:paraId="5F89B6D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0.38 </w:t>
            </w:r>
          </w:p>
        </w:tc>
        <w:tc>
          <w:tcPr>
            <w:tcW w:w="1879" w:type="dxa"/>
            <w:shd w:val="clear" w:color="auto" w:fill="auto"/>
            <w:vAlign w:val="center"/>
          </w:tcPr>
          <w:p w14:paraId="4138652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659C7013" w14:textId="77777777">
        <w:trPr>
          <w:trHeight w:val="284"/>
        </w:trPr>
        <w:tc>
          <w:tcPr>
            <w:tcW w:w="866" w:type="dxa"/>
            <w:vMerge/>
            <w:vAlign w:val="center"/>
          </w:tcPr>
          <w:p w14:paraId="5D2F8A40"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03D7AB4B"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03D32142"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2031" w:type="dxa"/>
            <w:shd w:val="clear" w:color="auto" w:fill="auto"/>
            <w:noWrap/>
            <w:vAlign w:val="center"/>
          </w:tcPr>
          <w:p w14:paraId="55AF9F9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22.26 </w:t>
            </w:r>
          </w:p>
        </w:tc>
        <w:tc>
          <w:tcPr>
            <w:tcW w:w="2177" w:type="dxa"/>
            <w:shd w:val="clear" w:color="auto" w:fill="auto"/>
            <w:noWrap/>
            <w:vAlign w:val="center"/>
          </w:tcPr>
          <w:p w14:paraId="4D8B448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3.09 </w:t>
            </w:r>
          </w:p>
        </w:tc>
        <w:tc>
          <w:tcPr>
            <w:tcW w:w="1879" w:type="dxa"/>
            <w:shd w:val="clear" w:color="auto" w:fill="auto"/>
            <w:vAlign w:val="center"/>
          </w:tcPr>
          <w:p w14:paraId="72D161A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0868D87D" w14:textId="77777777">
        <w:trPr>
          <w:trHeight w:val="284"/>
        </w:trPr>
        <w:tc>
          <w:tcPr>
            <w:tcW w:w="866" w:type="dxa"/>
            <w:vMerge/>
            <w:vAlign w:val="center"/>
          </w:tcPr>
          <w:p w14:paraId="3D848775"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204D6554"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5435087A"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2031" w:type="dxa"/>
            <w:shd w:val="clear" w:color="auto" w:fill="auto"/>
            <w:noWrap/>
            <w:vAlign w:val="center"/>
          </w:tcPr>
          <w:p w14:paraId="11931CA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1.03 </w:t>
            </w:r>
          </w:p>
        </w:tc>
        <w:tc>
          <w:tcPr>
            <w:tcW w:w="2177" w:type="dxa"/>
            <w:shd w:val="clear" w:color="auto" w:fill="auto"/>
            <w:noWrap/>
            <w:vAlign w:val="center"/>
          </w:tcPr>
          <w:p w14:paraId="53BF989F"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0.14 </w:t>
            </w:r>
          </w:p>
        </w:tc>
        <w:tc>
          <w:tcPr>
            <w:tcW w:w="1879" w:type="dxa"/>
            <w:shd w:val="clear" w:color="auto" w:fill="auto"/>
            <w:vAlign w:val="center"/>
          </w:tcPr>
          <w:p w14:paraId="784EF70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498F0153" w14:textId="77777777">
        <w:trPr>
          <w:trHeight w:val="284"/>
        </w:trPr>
        <w:tc>
          <w:tcPr>
            <w:tcW w:w="866" w:type="dxa"/>
            <w:vMerge/>
            <w:vAlign w:val="center"/>
          </w:tcPr>
          <w:p w14:paraId="3945E563"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shd w:val="clear" w:color="auto" w:fill="auto"/>
            <w:vAlign w:val="center"/>
          </w:tcPr>
          <w:p w14:paraId="497DE6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G1-4</w:t>
            </w:r>
            <w:r>
              <w:rPr>
                <w:rFonts w:ascii="Times New Roman" w:eastAsia="宋体" w:hAnsi="Times New Roman" w:cs="Times New Roman"/>
                <w:kern w:val="0"/>
                <w:szCs w:val="21"/>
              </w:rPr>
              <w:t>：</w:t>
            </w:r>
          </w:p>
        </w:tc>
        <w:tc>
          <w:tcPr>
            <w:tcW w:w="1886" w:type="dxa"/>
            <w:shd w:val="clear" w:color="auto" w:fill="auto"/>
            <w:noWrap/>
            <w:vAlign w:val="center"/>
          </w:tcPr>
          <w:p w14:paraId="7E09264A"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2031" w:type="dxa"/>
            <w:shd w:val="clear" w:color="auto" w:fill="auto"/>
            <w:noWrap/>
            <w:vAlign w:val="center"/>
          </w:tcPr>
          <w:p w14:paraId="400ED1F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0.02 </w:t>
            </w:r>
          </w:p>
        </w:tc>
        <w:tc>
          <w:tcPr>
            <w:tcW w:w="2177" w:type="dxa"/>
            <w:shd w:val="clear" w:color="auto" w:fill="auto"/>
            <w:noWrap/>
            <w:vAlign w:val="center"/>
          </w:tcPr>
          <w:p w14:paraId="139A4FA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0.003</w:t>
            </w:r>
          </w:p>
        </w:tc>
        <w:tc>
          <w:tcPr>
            <w:tcW w:w="1879" w:type="dxa"/>
            <w:shd w:val="clear" w:color="auto" w:fill="auto"/>
            <w:vAlign w:val="center"/>
          </w:tcPr>
          <w:p w14:paraId="21EE2F0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6763F292" w14:textId="77777777">
        <w:trPr>
          <w:trHeight w:val="284"/>
        </w:trPr>
        <w:tc>
          <w:tcPr>
            <w:tcW w:w="866" w:type="dxa"/>
            <w:vMerge/>
            <w:vAlign w:val="center"/>
          </w:tcPr>
          <w:p w14:paraId="0E32A891"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48798D3B"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7A2BE001"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2031" w:type="dxa"/>
            <w:shd w:val="clear" w:color="auto" w:fill="auto"/>
            <w:noWrap/>
            <w:vAlign w:val="center"/>
          </w:tcPr>
          <w:p w14:paraId="003D82D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24.98 </w:t>
            </w:r>
          </w:p>
        </w:tc>
        <w:tc>
          <w:tcPr>
            <w:tcW w:w="2177" w:type="dxa"/>
            <w:shd w:val="clear" w:color="auto" w:fill="auto"/>
            <w:noWrap/>
            <w:vAlign w:val="center"/>
          </w:tcPr>
          <w:p w14:paraId="52D080E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3.47 </w:t>
            </w:r>
          </w:p>
        </w:tc>
        <w:tc>
          <w:tcPr>
            <w:tcW w:w="1879" w:type="dxa"/>
            <w:shd w:val="clear" w:color="auto" w:fill="auto"/>
            <w:vAlign w:val="center"/>
          </w:tcPr>
          <w:p w14:paraId="23ED731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2A8561A5" w14:textId="77777777">
        <w:trPr>
          <w:trHeight w:val="284"/>
        </w:trPr>
        <w:tc>
          <w:tcPr>
            <w:tcW w:w="866" w:type="dxa"/>
            <w:vMerge/>
            <w:vAlign w:val="center"/>
          </w:tcPr>
          <w:p w14:paraId="005DA901"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2429364D"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5C14DE85"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2031" w:type="dxa"/>
            <w:shd w:val="clear" w:color="auto" w:fill="auto"/>
            <w:noWrap/>
            <w:vAlign w:val="center"/>
          </w:tcPr>
          <w:p w14:paraId="27A9858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0.23 </w:t>
            </w:r>
          </w:p>
        </w:tc>
        <w:tc>
          <w:tcPr>
            <w:tcW w:w="2177" w:type="dxa"/>
            <w:shd w:val="clear" w:color="auto" w:fill="auto"/>
            <w:noWrap/>
            <w:vAlign w:val="center"/>
          </w:tcPr>
          <w:p w14:paraId="2D749DD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0.03 </w:t>
            </w:r>
          </w:p>
        </w:tc>
        <w:tc>
          <w:tcPr>
            <w:tcW w:w="1879" w:type="dxa"/>
            <w:shd w:val="clear" w:color="auto" w:fill="auto"/>
            <w:vAlign w:val="center"/>
          </w:tcPr>
          <w:p w14:paraId="6DD8A02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3B05EB29" w14:textId="77777777">
        <w:trPr>
          <w:trHeight w:val="284"/>
        </w:trPr>
        <w:tc>
          <w:tcPr>
            <w:tcW w:w="866" w:type="dxa"/>
            <w:vMerge/>
            <w:vAlign w:val="center"/>
          </w:tcPr>
          <w:p w14:paraId="59FFD07B"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shd w:val="clear" w:color="auto" w:fill="auto"/>
            <w:vAlign w:val="center"/>
          </w:tcPr>
          <w:p w14:paraId="45EDDAD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G1-5</w:t>
            </w:r>
            <w:r>
              <w:rPr>
                <w:rFonts w:ascii="Times New Roman" w:eastAsia="宋体" w:hAnsi="Times New Roman" w:cs="Times New Roman"/>
                <w:kern w:val="0"/>
                <w:szCs w:val="21"/>
              </w:rPr>
              <w:t>：</w:t>
            </w:r>
          </w:p>
        </w:tc>
        <w:tc>
          <w:tcPr>
            <w:tcW w:w="1886" w:type="dxa"/>
            <w:shd w:val="clear" w:color="auto" w:fill="auto"/>
            <w:noWrap/>
            <w:vAlign w:val="center"/>
          </w:tcPr>
          <w:p w14:paraId="50F17A57"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2031" w:type="dxa"/>
            <w:shd w:val="clear" w:color="auto" w:fill="auto"/>
            <w:noWrap/>
            <w:vAlign w:val="center"/>
          </w:tcPr>
          <w:p w14:paraId="5AEF4EB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2.74 </w:t>
            </w:r>
          </w:p>
        </w:tc>
        <w:tc>
          <w:tcPr>
            <w:tcW w:w="2177" w:type="dxa"/>
            <w:shd w:val="clear" w:color="auto" w:fill="auto"/>
            <w:noWrap/>
            <w:vAlign w:val="center"/>
          </w:tcPr>
          <w:p w14:paraId="29AADC8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0.38 </w:t>
            </w:r>
          </w:p>
        </w:tc>
        <w:tc>
          <w:tcPr>
            <w:tcW w:w="1879" w:type="dxa"/>
            <w:shd w:val="clear" w:color="auto" w:fill="auto"/>
            <w:vAlign w:val="center"/>
          </w:tcPr>
          <w:p w14:paraId="1ADA128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13674EE8" w14:textId="77777777">
        <w:trPr>
          <w:trHeight w:val="284"/>
        </w:trPr>
        <w:tc>
          <w:tcPr>
            <w:tcW w:w="866" w:type="dxa"/>
            <w:vMerge/>
            <w:vAlign w:val="center"/>
          </w:tcPr>
          <w:p w14:paraId="6D1B521E"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4C2A3B04"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0B26D482"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2031" w:type="dxa"/>
            <w:shd w:val="clear" w:color="auto" w:fill="auto"/>
            <w:noWrap/>
            <w:vAlign w:val="center"/>
          </w:tcPr>
          <w:p w14:paraId="6BB340B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22.26 </w:t>
            </w:r>
          </w:p>
        </w:tc>
        <w:tc>
          <w:tcPr>
            <w:tcW w:w="2177" w:type="dxa"/>
            <w:shd w:val="clear" w:color="auto" w:fill="auto"/>
            <w:noWrap/>
            <w:vAlign w:val="center"/>
          </w:tcPr>
          <w:p w14:paraId="56C67CE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3.09 </w:t>
            </w:r>
          </w:p>
        </w:tc>
        <w:tc>
          <w:tcPr>
            <w:tcW w:w="1879" w:type="dxa"/>
            <w:shd w:val="clear" w:color="auto" w:fill="auto"/>
            <w:vAlign w:val="center"/>
          </w:tcPr>
          <w:p w14:paraId="17B199D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0DD15F49" w14:textId="77777777">
        <w:trPr>
          <w:trHeight w:val="284"/>
        </w:trPr>
        <w:tc>
          <w:tcPr>
            <w:tcW w:w="866" w:type="dxa"/>
            <w:vMerge/>
            <w:vAlign w:val="center"/>
          </w:tcPr>
          <w:p w14:paraId="7D4ADB8A"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3BD5455A"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7FD27039"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2031" w:type="dxa"/>
            <w:shd w:val="clear" w:color="auto" w:fill="auto"/>
            <w:noWrap/>
            <w:vAlign w:val="center"/>
          </w:tcPr>
          <w:p w14:paraId="4728357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1.02 </w:t>
            </w:r>
          </w:p>
        </w:tc>
        <w:tc>
          <w:tcPr>
            <w:tcW w:w="2177" w:type="dxa"/>
            <w:shd w:val="clear" w:color="auto" w:fill="auto"/>
            <w:noWrap/>
            <w:vAlign w:val="center"/>
          </w:tcPr>
          <w:p w14:paraId="6C96F7E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0.14 </w:t>
            </w:r>
          </w:p>
        </w:tc>
        <w:tc>
          <w:tcPr>
            <w:tcW w:w="1879" w:type="dxa"/>
            <w:shd w:val="clear" w:color="auto" w:fill="auto"/>
            <w:vAlign w:val="center"/>
          </w:tcPr>
          <w:p w14:paraId="76B1608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74206933" w14:textId="77777777">
        <w:trPr>
          <w:trHeight w:val="284"/>
        </w:trPr>
        <w:tc>
          <w:tcPr>
            <w:tcW w:w="866" w:type="dxa"/>
            <w:vMerge/>
            <w:vAlign w:val="center"/>
          </w:tcPr>
          <w:p w14:paraId="34411C35"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shd w:val="clear" w:color="auto" w:fill="auto"/>
            <w:vAlign w:val="center"/>
          </w:tcPr>
          <w:p w14:paraId="40E3E8E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G1-6</w:t>
            </w:r>
            <w:r>
              <w:rPr>
                <w:rFonts w:ascii="Times New Roman" w:eastAsia="宋体" w:hAnsi="Times New Roman" w:cs="Times New Roman"/>
                <w:kern w:val="0"/>
                <w:szCs w:val="21"/>
              </w:rPr>
              <w:t>：</w:t>
            </w:r>
          </w:p>
        </w:tc>
        <w:tc>
          <w:tcPr>
            <w:tcW w:w="1886" w:type="dxa"/>
            <w:shd w:val="clear" w:color="auto" w:fill="auto"/>
            <w:noWrap/>
            <w:vAlign w:val="center"/>
          </w:tcPr>
          <w:p w14:paraId="026BDDD6"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2031" w:type="dxa"/>
            <w:shd w:val="clear" w:color="auto" w:fill="auto"/>
            <w:noWrap/>
            <w:vAlign w:val="center"/>
          </w:tcPr>
          <w:p w14:paraId="7F2A196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0.02 </w:t>
            </w:r>
          </w:p>
        </w:tc>
        <w:tc>
          <w:tcPr>
            <w:tcW w:w="2177" w:type="dxa"/>
            <w:shd w:val="clear" w:color="auto" w:fill="auto"/>
            <w:noWrap/>
            <w:vAlign w:val="center"/>
          </w:tcPr>
          <w:p w14:paraId="0D1C98C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0.00 </w:t>
            </w:r>
          </w:p>
        </w:tc>
        <w:tc>
          <w:tcPr>
            <w:tcW w:w="1879" w:type="dxa"/>
            <w:shd w:val="clear" w:color="auto" w:fill="auto"/>
            <w:vAlign w:val="center"/>
          </w:tcPr>
          <w:p w14:paraId="1D1CC78F"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40EB8CF7" w14:textId="77777777">
        <w:trPr>
          <w:trHeight w:val="284"/>
        </w:trPr>
        <w:tc>
          <w:tcPr>
            <w:tcW w:w="866" w:type="dxa"/>
            <w:vMerge/>
            <w:vAlign w:val="center"/>
          </w:tcPr>
          <w:p w14:paraId="1A70C8D5"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73D55E3B"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5B8CE8E1"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2031" w:type="dxa"/>
            <w:shd w:val="clear" w:color="auto" w:fill="auto"/>
            <w:noWrap/>
            <w:vAlign w:val="center"/>
          </w:tcPr>
          <w:p w14:paraId="47CEEBD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24.98 </w:t>
            </w:r>
          </w:p>
        </w:tc>
        <w:tc>
          <w:tcPr>
            <w:tcW w:w="2177" w:type="dxa"/>
            <w:shd w:val="clear" w:color="auto" w:fill="auto"/>
            <w:noWrap/>
            <w:vAlign w:val="center"/>
          </w:tcPr>
          <w:p w14:paraId="683B34E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3.47 </w:t>
            </w:r>
          </w:p>
        </w:tc>
        <w:tc>
          <w:tcPr>
            <w:tcW w:w="1879" w:type="dxa"/>
            <w:shd w:val="clear" w:color="auto" w:fill="auto"/>
            <w:vAlign w:val="center"/>
          </w:tcPr>
          <w:p w14:paraId="4268936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r w:rsidR="002133E3" w14:paraId="01D2DA0B" w14:textId="77777777">
        <w:trPr>
          <w:trHeight w:val="284"/>
        </w:trPr>
        <w:tc>
          <w:tcPr>
            <w:tcW w:w="866" w:type="dxa"/>
            <w:vMerge/>
            <w:vAlign w:val="center"/>
          </w:tcPr>
          <w:p w14:paraId="278BC290"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ign w:val="center"/>
          </w:tcPr>
          <w:p w14:paraId="37B3D831" w14:textId="77777777" w:rsidR="002133E3" w:rsidRDefault="002133E3">
            <w:pPr>
              <w:widowControl/>
              <w:jc w:val="left"/>
              <w:rPr>
                <w:rFonts w:ascii="Times New Roman" w:eastAsia="宋体" w:hAnsi="Times New Roman" w:cs="Times New Roman"/>
                <w:kern w:val="0"/>
                <w:szCs w:val="21"/>
              </w:rPr>
            </w:pPr>
          </w:p>
        </w:tc>
        <w:tc>
          <w:tcPr>
            <w:tcW w:w="1886" w:type="dxa"/>
            <w:shd w:val="clear" w:color="auto" w:fill="auto"/>
            <w:noWrap/>
            <w:vAlign w:val="center"/>
          </w:tcPr>
          <w:p w14:paraId="0979AD64"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2031" w:type="dxa"/>
            <w:shd w:val="clear" w:color="auto" w:fill="auto"/>
            <w:noWrap/>
            <w:vAlign w:val="center"/>
          </w:tcPr>
          <w:p w14:paraId="1BFD83C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0.23 </w:t>
            </w:r>
          </w:p>
        </w:tc>
        <w:tc>
          <w:tcPr>
            <w:tcW w:w="2177" w:type="dxa"/>
            <w:shd w:val="clear" w:color="auto" w:fill="auto"/>
            <w:noWrap/>
            <w:vAlign w:val="center"/>
          </w:tcPr>
          <w:p w14:paraId="67B5812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0.03 </w:t>
            </w:r>
          </w:p>
        </w:tc>
        <w:tc>
          <w:tcPr>
            <w:tcW w:w="1879" w:type="dxa"/>
            <w:shd w:val="clear" w:color="auto" w:fill="auto"/>
            <w:vAlign w:val="center"/>
          </w:tcPr>
          <w:p w14:paraId="392955F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7200 </w:t>
            </w:r>
          </w:p>
        </w:tc>
      </w:tr>
    </w:tbl>
    <w:p w14:paraId="11038328"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4.2-8  10</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酒精生产废水产生情况表</w:t>
      </w:r>
    </w:p>
    <w:tbl>
      <w:tblPr>
        <w:tblW w:w="5000" w:type="pct"/>
        <w:jc w:val="center"/>
        <w:tblLook w:val="04A0" w:firstRow="1" w:lastRow="0" w:firstColumn="1" w:lastColumn="0" w:noHBand="0" w:noVBand="1"/>
      </w:tblPr>
      <w:tblGrid>
        <w:gridCol w:w="2067"/>
        <w:gridCol w:w="1372"/>
        <w:gridCol w:w="1516"/>
        <w:gridCol w:w="1435"/>
        <w:gridCol w:w="1399"/>
        <w:gridCol w:w="2065"/>
      </w:tblGrid>
      <w:tr w:rsidR="002133E3" w14:paraId="2D3DEC33" w14:textId="77777777">
        <w:trPr>
          <w:trHeight w:val="270"/>
          <w:jc w:val="center"/>
        </w:trPr>
        <w:tc>
          <w:tcPr>
            <w:tcW w:w="104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ECB60F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来源</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B54910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水量</w:t>
            </w:r>
            <w:r>
              <w:rPr>
                <w:rFonts w:ascii="Times New Roman" w:eastAsia="宋体" w:hAnsi="Times New Roman" w:cs="Times New Roman"/>
                <w:b/>
                <w:bCs/>
                <w:kern w:val="0"/>
                <w:szCs w:val="21"/>
              </w:rPr>
              <w:t>(m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/a)</w:t>
            </w:r>
          </w:p>
        </w:tc>
        <w:tc>
          <w:tcPr>
            <w:tcW w:w="7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64C2EC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污染物名称</w:t>
            </w:r>
          </w:p>
        </w:tc>
        <w:tc>
          <w:tcPr>
            <w:tcW w:w="1438" w:type="pct"/>
            <w:gridSpan w:val="2"/>
            <w:tcBorders>
              <w:top w:val="single" w:sz="4" w:space="0" w:color="auto"/>
              <w:left w:val="nil"/>
              <w:bottom w:val="single" w:sz="4" w:space="0" w:color="auto"/>
              <w:right w:val="single" w:sz="4" w:space="0" w:color="auto"/>
            </w:tcBorders>
            <w:shd w:val="clear" w:color="auto" w:fill="auto"/>
            <w:noWrap/>
            <w:vAlign w:val="center"/>
          </w:tcPr>
          <w:p w14:paraId="53AA75F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污染物产生量</w:t>
            </w:r>
          </w:p>
        </w:tc>
        <w:tc>
          <w:tcPr>
            <w:tcW w:w="104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D7C1BA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处理措施</w:t>
            </w:r>
          </w:p>
        </w:tc>
      </w:tr>
      <w:tr w:rsidR="002133E3" w14:paraId="2BC1D4DC" w14:textId="77777777">
        <w:trPr>
          <w:trHeight w:val="270"/>
          <w:jc w:val="center"/>
        </w:trPr>
        <w:tc>
          <w:tcPr>
            <w:tcW w:w="1049" w:type="pct"/>
            <w:vMerge/>
            <w:tcBorders>
              <w:top w:val="single" w:sz="4" w:space="0" w:color="auto"/>
              <w:left w:val="single" w:sz="4" w:space="0" w:color="auto"/>
              <w:bottom w:val="single" w:sz="4" w:space="0" w:color="auto"/>
              <w:right w:val="single" w:sz="4" w:space="0" w:color="auto"/>
            </w:tcBorders>
            <w:vAlign w:val="center"/>
          </w:tcPr>
          <w:p w14:paraId="3B9B3725" w14:textId="77777777" w:rsidR="002133E3" w:rsidRDefault="002133E3">
            <w:pPr>
              <w:widowControl/>
              <w:jc w:val="left"/>
              <w:rPr>
                <w:rFonts w:ascii="Times New Roman" w:eastAsia="宋体" w:hAnsi="Times New Roman" w:cs="Times New Roman"/>
                <w:b/>
                <w:bCs/>
                <w:kern w:val="0"/>
                <w:szCs w:val="21"/>
              </w:rPr>
            </w:pPr>
          </w:p>
        </w:tc>
        <w:tc>
          <w:tcPr>
            <w:tcW w:w="696" w:type="pct"/>
            <w:vMerge/>
            <w:tcBorders>
              <w:top w:val="single" w:sz="4" w:space="0" w:color="auto"/>
              <w:left w:val="single" w:sz="4" w:space="0" w:color="auto"/>
              <w:bottom w:val="single" w:sz="4" w:space="0" w:color="auto"/>
              <w:right w:val="single" w:sz="4" w:space="0" w:color="auto"/>
            </w:tcBorders>
            <w:vAlign w:val="center"/>
          </w:tcPr>
          <w:p w14:paraId="4C9F5F61" w14:textId="77777777" w:rsidR="002133E3" w:rsidRDefault="002133E3">
            <w:pPr>
              <w:widowControl/>
              <w:jc w:val="left"/>
              <w:rPr>
                <w:rFonts w:ascii="Times New Roman" w:eastAsia="宋体" w:hAnsi="Times New Roman" w:cs="Times New Roman"/>
                <w:b/>
                <w:bCs/>
                <w:kern w:val="0"/>
                <w:szCs w:val="21"/>
              </w:rPr>
            </w:pPr>
          </w:p>
        </w:tc>
        <w:tc>
          <w:tcPr>
            <w:tcW w:w="769" w:type="pct"/>
            <w:vMerge/>
            <w:tcBorders>
              <w:top w:val="single" w:sz="4" w:space="0" w:color="auto"/>
              <w:left w:val="single" w:sz="4" w:space="0" w:color="auto"/>
              <w:bottom w:val="single" w:sz="4" w:space="0" w:color="auto"/>
              <w:right w:val="single" w:sz="4" w:space="0" w:color="auto"/>
            </w:tcBorders>
            <w:vAlign w:val="center"/>
          </w:tcPr>
          <w:p w14:paraId="191AFD62" w14:textId="77777777" w:rsidR="002133E3" w:rsidRDefault="002133E3">
            <w:pPr>
              <w:widowControl/>
              <w:jc w:val="left"/>
              <w:rPr>
                <w:rFonts w:ascii="Times New Roman" w:eastAsia="宋体" w:hAnsi="Times New Roman" w:cs="Times New Roman"/>
                <w:b/>
                <w:bCs/>
                <w:kern w:val="0"/>
                <w:szCs w:val="21"/>
              </w:rPr>
            </w:pPr>
          </w:p>
        </w:tc>
        <w:tc>
          <w:tcPr>
            <w:tcW w:w="728" w:type="pct"/>
            <w:tcBorders>
              <w:top w:val="nil"/>
              <w:left w:val="nil"/>
              <w:bottom w:val="single" w:sz="4" w:space="0" w:color="auto"/>
              <w:right w:val="single" w:sz="4" w:space="0" w:color="auto"/>
            </w:tcBorders>
            <w:shd w:val="clear" w:color="auto" w:fill="auto"/>
            <w:noWrap/>
            <w:vAlign w:val="center"/>
          </w:tcPr>
          <w:p w14:paraId="3B7756B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浓度</w:t>
            </w:r>
            <w:r>
              <w:rPr>
                <w:rFonts w:ascii="Times New Roman" w:eastAsia="宋体" w:hAnsi="Times New Roman" w:cs="Times New Roman"/>
                <w:b/>
                <w:bCs/>
                <w:kern w:val="0"/>
                <w:szCs w:val="21"/>
              </w:rPr>
              <w:t>(mg/L)</w:t>
            </w:r>
          </w:p>
        </w:tc>
        <w:tc>
          <w:tcPr>
            <w:tcW w:w="710" w:type="pct"/>
            <w:tcBorders>
              <w:top w:val="nil"/>
              <w:left w:val="nil"/>
              <w:bottom w:val="single" w:sz="4" w:space="0" w:color="auto"/>
              <w:right w:val="single" w:sz="4" w:space="0" w:color="auto"/>
            </w:tcBorders>
            <w:shd w:val="clear" w:color="auto" w:fill="auto"/>
            <w:noWrap/>
            <w:vAlign w:val="center"/>
          </w:tcPr>
          <w:p w14:paraId="6C469A9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产生量</w:t>
            </w:r>
            <w:r>
              <w:rPr>
                <w:rFonts w:ascii="Times New Roman" w:eastAsia="宋体" w:hAnsi="Times New Roman" w:cs="Times New Roman"/>
                <w:b/>
                <w:bCs/>
                <w:kern w:val="0"/>
                <w:szCs w:val="21"/>
              </w:rPr>
              <w:t>(t/a)</w:t>
            </w:r>
          </w:p>
        </w:tc>
        <w:tc>
          <w:tcPr>
            <w:tcW w:w="1048" w:type="pct"/>
            <w:vMerge/>
            <w:tcBorders>
              <w:top w:val="single" w:sz="4" w:space="0" w:color="auto"/>
              <w:left w:val="single" w:sz="4" w:space="0" w:color="auto"/>
              <w:bottom w:val="single" w:sz="4" w:space="0" w:color="auto"/>
              <w:right w:val="single" w:sz="4" w:space="0" w:color="auto"/>
            </w:tcBorders>
            <w:vAlign w:val="center"/>
          </w:tcPr>
          <w:p w14:paraId="6BA4C90C" w14:textId="77777777" w:rsidR="002133E3" w:rsidRDefault="002133E3">
            <w:pPr>
              <w:widowControl/>
              <w:jc w:val="left"/>
              <w:rPr>
                <w:rFonts w:ascii="Times New Roman" w:eastAsia="宋体" w:hAnsi="Times New Roman" w:cs="Times New Roman"/>
                <w:b/>
                <w:bCs/>
                <w:kern w:val="0"/>
                <w:szCs w:val="21"/>
              </w:rPr>
            </w:pPr>
          </w:p>
        </w:tc>
      </w:tr>
      <w:tr w:rsidR="002133E3" w14:paraId="7A4B26DB" w14:textId="77777777">
        <w:trPr>
          <w:trHeight w:val="270"/>
          <w:jc w:val="center"/>
        </w:trPr>
        <w:tc>
          <w:tcPr>
            <w:tcW w:w="1049" w:type="pct"/>
            <w:vMerge w:val="restart"/>
            <w:tcBorders>
              <w:top w:val="nil"/>
              <w:left w:val="single" w:sz="4" w:space="0" w:color="auto"/>
              <w:bottom w:val="single" w:sz="4" w:space="0" w:color="auto"/>
              <w:right w:val="single" w:sz="4" w:space="0" w:color="auto"/>
            </w:tcBorders>
            <w:shd w:val="clear" w:color="auto" w:fill="auto"/>
            <w:noWrap/>
            <w:vAlign w:val="center"/>
          </w:tcPr>
          <w:p w14:paraId="460FCD5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W1-1</w:t>
            </w:r>
          </w:p>
        </w:tc>
        <w:tc>
          <w:tcPr>
            <w:tcW w:w="696" w:type="pct"/>
            <w:vMerge w:val="restart"/>
            <w:tcBorders>
              <w:top w:val="nil"/>
              <w:left w:val="single" w:sz="4" w:space="0" w:color="auto"/>
              <w:bottom w:val="single" w:sz="4" w:space="0" w:color="auto"/>
              <w:right w:val="single" w:sz="4" w:space="0" w:color="auto"/>
            </w:tcBorders>
            <w:shd w:val="clear" w:color="auto" w:fill="auto"/>
            <w:noWrap/>
            <w:vAlign w:val="center"/>
          </w:tcPr>
          <w:p w14:paraId="674679F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592160.67 </w:t>
            </w:r>
          </w:p>
        </w:tc>
        <w:tc>
          <w:tcPr>
            <w:tcW w:w="769" w:type="pct"/>
            <w:tcBorders>
              <w:top w:val="nil"/>
              <w:left w:val="nil"/>
              <w:bottom w:val="single" w:sz="4" w:space="0" w:color="auto"/>
              <w:right w:val="single" w:sz="4" w:space="0" w:color="auto"/>
            </w:tcBorders>
            <w:shd w:val="clear" w:color="auto" w:fill="auto"/>
            <w:noWrap/>
            <w:vAlign w:val="center"/>
          </w:tcPr>
          <w:p w14:paraId="15C3063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pH</w:t>
            </w:r>
          </w:p>
        </w:tc>
        <w:tc>
          <w:tcPr>
            <w:tcW w:w="728" w:type="pct"/>
            <w:tcBorders>
              <w:top w:val="nil"/>
              <w:left w:val="nil"/>
              <w:bottom w:val="single" w:sz="4" w:space="0" w:color="auto"/>
              <w:right w:val="single" w:sz="4" w:space="0" w:color="auto"/>
            </w:tcBorders>
            <w:shd w:val="clear" w:color="auto" w:fill="auto"/>
            <w:noWrap/>
            <w:vAlign w:val="center"/>
          </w:tcPr>
          <w:p w14:paraId="75D2A9B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11.80</w:t>
            </w:r>
          </w:p>
        </w:tc>
        <w:tc>
          <w:tcPr>
            <w:tcW w:w="710" w:type="pct"/>
            <w:tcBorders>
              <w:top w:val="nil"/>
              <w:left w:val="nil"/>
              <w:bottom w:val="single" w:sz="4" w:space="0" w:color="auto"/>
              <w:right w:val="single" w:sz="4" w:space="0" w:color="auto"/>
            </w:tcBorders>
            <w:shd w:val="clear" w:color="auto" w:fill="auto"/>
            <w:noWrap/>
            <w:vAlign w:val="center"/>
          </w:tcPr>
          <w:p w14:paraId="2DC50E9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1048" w:type="pct"/>
            <w:vMerge w:val="restart"/>
            <w:tcBorders>
              <w:top w:val="nil"/>
              <w:left w:val="single" w:sz="4" w:space="0" w:color="auto"/>
              <w:bottom w:val="single" w:sz="4" w:space="0" w:color="000000"/>
              <w:right w:val="single" w:sz="4" w:space="0" w:color="auto"/>
            </w:tcBorders>
            <w:shd w:val="clear" w:color="auto" w:fill="auto"/>
            <w:noWrap/>
            <w:vAlign w:val="center"/>
          </w:tcPr>
          <w:p w14:paraId="7BCCC9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进厂区污水站</w:t>
            </w:r>
          </w:p>
        </w:tc>
      </w:tr>
      <w:tr w:rsidR="002133E3" w14:paraId="5023622B"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301EA60E"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22D542BA"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6A6D92A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COD</w:t>
            </w:r>
          </w:p>
        </w:tc>
        <w:tc>
          <w:tcPr>
            <w:tcW w:w="728" w:type="pct"/>
            <w:tcBorders>
              <w:top w:val="nil"/>
              <w:left w:val="nil"/>
              <w:bottom w:val="single" w:sz="4" w:space="0" w:color="auto"/>
              <w:right w:val="single" w:sz="4" w:space="0" w:color="auto"/>
            </w:tcBorders>
            <w:shd w:val="clear" w:color="auto" w:fill="auto"/>
            <w:noWrap/>
            <w:vAlign w:val="bottom"/>
          </w:tcPr>
          <w:p w14:paraId="08A06D5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19253 </w:t>
            </w:r>
          </w:p>
        </w:tc>
        <w:tc>
          <w:tcPr>
            <w:tcW w:w="710" w:type="pct"/>
            <w:tcBorders>
              <w:top w:val="nil"/>
              <w:left w:val="nil"/>
              <w:bottom w:val="single" w:sz="4" w:space="0" w:color="auto"/>
              <w:right w:val="single" w:sz="4" w:space="0" w:color="auto"/>
            </w:tcBorders>
            <w:shd w:val="clear" w:color="auto" w:fill="auto"/>
            <w:noWrap/>
            <w:vAlign w:val="bottom"/>
          </w:tcPr>
          <w:p w14:paraId="0D8F2D1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10810.52</w:t>
            </w:r>
          </w:p>
        </w:tc>
        <w:tc>
          <w:tcPr>
            <w:tcW w:w="1048" w:type="pct"/>
            <w:vMerge/>
            <w:tcBorders>
              <w:top w:val="nil"/>
              <w:left w:val="single" w:sz="4" w:space="0" w:color="auto"/>
              <w:bottom w:val="single" w:sz="4" w:space="0" w:color="000000"/>
              <w:right w:val="single" w:sz="4" w:space="0" w:color="auto"/>
            </w:tcBorders>
            <w:vAlign w:val="center"/>
          </w:tcPr>
          <w:p w14:paraId="48C1DC0B" w14:textId="77777777" w:rsidR="002133E3" w:rsidRDefault="002133E3">
            <w:pPr>
              <w:widowControl/>
              <w:jc w:val="left"/>
              <w:rPr>
                <w:rFonts w:ascii="Times New Roman" w:eastAsia="宋体" w:hAnsi="Times New Roman" w:cs="Times New Roman"/>
                <w:kern w:val="0"/>
                <w:szCs w:val="21"/>
              </w:rPr>
            </w:pPr>
          </w:p>
        </w:tc>
      </w:tr>
      <w:tr w:rsidR="002133E3" w14:paraId="3C8AFCD3"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7879F318"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796FDA00"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530B1C9F"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SS</w:t>
            </w:r>
          </w:p>
        </w:tc>
        <w:tc>
          <w:tcPr>
            <w:tcW w:w="728" w:type="pct"/>
            <w:tcBorders>
              <w:top w:val="nil"/>
              <w:left w:val="nil"/>
              <w:bottom w:val="single" w:sz="4" w:space="0" w:color="auto"/>
              <w:right w:val="single" w:sz="4" w:space="0" w:color="auto"/>
            </w:tcBorders>
            <w:shd w:val="clear" w:color="auto" w:fill="auto"/>
            <w:noWrap/>
            <w:vAlign w:val="center"/>
          </w:tcPr>
          <w:p w14:paraId="6C55EBE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37675</w:t>
            </w:r>
          </w:p>
        </w:tc>
        <w:tc>
          <w:tcPr>
            <w:tcW w:w="710" w:type="pct"/>
            <w:tcBorders>
              <w:top w:val="nil"/>
              <w:left w:val="nil"/>
              <w:bottom w:val="single" w:sz="4" w:space="0" w:color="auto"/>
              <w:right w:val="single" w:sz="4" w:space="0" w:color="auto"/>
            </w:tcBorders>
            <w:shd w:val="clear" w:color="auto" w:fill="auto"/>
            <w:noWrap/>
            <w:vAlign w:val="center"/>
          </w:tcPr>
          <w:p w14:paraId="37471B1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21154.14 </w:t>
            </w:r>
          </w:p>
        </w:tc>
        <w:tc>
          <w:tcPr>
            <w:tcW w:w="1048" w:type="pct"/>
            <w:vMerge/>
            <w:tcBorders>
              <w:top w:val="nil"/>
              <w:left w:val="single" w:sz="4" w:space="0" w:color="auto"/>
              <w:bottom w:val="single" w:sz="4" w:space="0" w:color="000000"/>
              <w:right w:val="single" w:sz="4" w:space="0" w:color="auto"/>
            </w:tcBorders>
            <w:vAlign w:val="center"/>
          </w:tcPr>
          <w:p w14:paraId="3DE60643" w14:textId="77777777" w:rsidR="002133E3" w:rsidRDefault="002133E3">
            <w:pPr>
              <w:widowControl/>
              <w:jc w:val="left"/>
              <w:rPr>
                <w:rFonts w:ascii="Times New Roman" w:eastAsia="宋体" w:hAnsi="Times New Roman" w:cs="Times New Roman"/>
                <w:kern w:val="0"/>
                <w:szCs w:val="21"/>
              </w:rPr>
            </w:pPr>
          </w:p>
        </w:tc>
      </w:tr>
      <w:tr w:rsidR="002133E3" w14:paraId="20815A19"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3B12053E"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3D5FE627"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230D3CB6" w14:textId="77777777" w:rsidR="002133E3" w:rsidRDefault="00C22CFA">
            <w:pPr>
              <w:widowControl/>
              <w:jc w:val="center"/>
              <w:rPr>
                <w:rFonts w:ascii="Times New Roman" w:eastAsia="宋体" w:hAnsi="Times New Roman" w:cs="Times New Roman"/>
                <w:kern w:val="0"/>
                <w:szCs w:val="21"/>
              </w:rPr>
            </w:pPr>
            <w:r>
              <w:rPr>
                <w:rFonts w:hint="eastAsia"/>
                <w:szCs w:val="21"/>
              </w:rPr>
              <w:t>总氮</w:t>
            </w:r>
          </w:p>
        </w:tc>
        <w:tc>
          <w:tcPr>
            <w:tcW w:w="728" w:type="pct"/>
            <w:tcBorders>
              <w:top w:val="nil"/>
              <w:left w:val="nil"/>
              <w:bottom w:val="single" w:sz="4" w:space="0" w:color="auto"/>
              <w:right w:val="single" w:sz="4" w:space="0" w:color="auto"/>
            </w:tcBorders>
            <w:shd w:val="clear" w:color="auto" w:fill="auto"/>
            <w:noWrap/>
            <w:vAlign w:val="bottom"/>
          </w:tcPr>
          <w:p w14:paraId="4DDEE41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85</w:t>
            </w:r>
          </w:p>
        </w:tc>
        <w:tc>
          <w:tcPr>
            <w:tcW w:w="710" w:type="pct"/>
            <w:tcBorders>
              <w:top w:val="nil"/>
              <w:left w:val="nil"/>
              <w:bottom w:val="single" w:sz="4" w:space="0" w:color="auto"/>
              <w:right w:val="single" w:sz="4" w:space="0" w:color="auto"/>
            </w:tcBorders>
            <w:shd w:val="clear" w:color="auto" w:fill="auto"/>
            <w:noWrap/>
            <w:vAlign w:val="bottom"/>
          </w:tcPr>
          <w:p w14:paraId="7AE1154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47.84 </w:t>
            </w:r>
          </w:p>
        </w:tc>
        <w:tc>
          <w:tcPr>
            <w:tcW w:w="1048" w:type="pct"/>
            <w:vMerge/>
            <w:tcBorders>
              <w:top w:val="nil"/>
              <w:left w:val="single" w:sz="4" w:space="0" w:color="auto"/>
              <w:bottom w:val="single" w:sz="4" w:space="0" w:color="000000"/>
              <w:right w:val="single" w:sz="4" w:space="0" w:color="auto"/>
            </w:tcBorders>
            <w:vAlign w:val="center"/>
          </w:tcPr>
          <w:p w14:paraId="27F942B8" w14:textId="77777777" w:rsidR="002133E3" w:rsidRDefault="002133E3">
            <w:pPr>
              <w:widowControl/>
              <w:jc w:val="left"/>
              <w:rPr>
                <w:rFonts w:ascii="Times New Roman" w:eastAsia="宋体" w:hAnsi="Times New Roman" w:cs="Times New Roman"/>
                <w:kern w:val="0"/>
                <w:szCs w:val="21"/>
              </w:rPr>
            </w:pPr>
          </w:p>
        </w:tc>
      </w:tr>
      <w:tr w:rsidR="002133E3" w14:paraId="0F79DF6D"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1D6A2EFA"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0D98E1A6"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3D1552F4" w14:textId="77777777" w:rsidR="002133E3" w:rsidRDefault="00C22CFA">
            <w:pPr>
              <w:widowControl/>
              <w:jc w:val="center"/>
              <w:rPr>
                <w:rFonts w:ascii="Times New Roman" w:eastAsia="宋体" w:hAnsi="Times New Roman" w:cs="Times New Roman"/>
                <w:kern w:val="0"/>
                <w:szCs w:val="21"/>
              </w:rPr>
            </w:pPr>
            <w:r>
              <w:rPr>
                <w:rFonts w:hint="eastAsia"/>
                <w:szCs w:val="21"/>
              </w:rPr>
              <w:t>氨氮</w:t>
            </w:r>
          </w:p>
        </w:tc>
        <w:tc>
          <w:tcPr>
            <w:tcW w:w="728" w:type="pct"/>
            <w:tcBorders>
              <w:top w:val="nil"/>
              <w:left w:val="nil"/>
              <w:bottom w:val="single" w:sz="4" w:space="0" w:color="auto"/>
              <w:right w:val="single" w:sz="4" w:space="0" w:color="auto"/>
            </w:tcBorders>
            <w:shd w:val="clear" w:color="auto" w:fill="auto"/>
            <w:noWrap/>
            <w:vAlign w:val="bottom"/>
          </w:tcPr>
          <w:p w14:paraId="761C369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110</w:t>
            </w:r>
          </w:p>
        </w:tc>
        <w:tc>
          <w:tcPr>
            <w:tcW w:w="710" w:type="pct"/>
            <w:tcBorders>
              <w:top w:val="nil"/>
              <w:left w:val="nil"/>
              <w:bottom w:val="single" w:sz="4" w:space="0" w:color="auto"/>
              <w:right w:val="single" w:sz="4" w:space="0" w:color="auto"/>
            </w:tcBorders>
            <w:shd w:val="clear" w:color="auto" w:fill="auto"/>
            <w:noWrap/>
            <w:vAlign w:val="bottom"/>
          </w:tcPr>
          <w:p w14:paraId="3366A0B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61.51 </w:t>
            </w:r>
          </w:p>
        </w:tc>
        <w:tc>
          <w:tcPr>
            <w:tcW w:w="1048" w:type="pct"/>
            <w:vMerge/>
            <w:tcBorders>
              <w:top w:val="nil"/>
              <w:left w:val="single" w:sz="4" w:space="0" w:color="auto"/>
              <w:bottom w:val="single" w:sz="4" w:space="0" w:color="000000"/>
              <w:right w:val="single" w:sz="4" w:space="0" w:color="auto"/>
            </w:tcBorders>
            <w:vAlign w:val="center"/>
          </w:tcPr>
          <w:p w14:paraId="0331258A" w14:textId="77777777" w:rsidR="002133E3" w:rsidRDefault="002133E3">
            <w:pPr>
              <w:widowControl/>
              <w:jc w:val="left"/>
              <w:rPr>
                <w:rFonts w:ascii="Times New Roman" w:eastAsia="宋体" w:hAnsi="Times New Roman" w:cs="Times New Roman"/>
                <w:kern w:val="0"/>
                <w:szCs w:val="21"/>
              </w:rPr>
            </w:pPr>
          </w:p>
        </w:tc>
      </w:tr>
      <w:tr w:rsidR="002133E3" w14:paraId="654DC038"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517D063B"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4464E7AA"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6E18439D" w14:textId="77777777" w:rsidR="002133E3" w:rsidRDefault="00C22CFA">
            <w:pPr>
              <w:widowControl/>
              <w:jc w:val="center"/>
              <w:rPr>
                <w:rFonts w:ascii="Times New Roman" w:eastAsia="宋体" w:hAnsi="Times New Roman" w:cs="Times New Roman"/>
                <w:kern w:val="0"/>
                <w:szCs w:val="21"/>
              </w:rPr>
            </w:pPr>
            <w:r>
              <w:rPr>
                <w:rFonts w:hint="eastAsia"/>
                <w:szCs w:val="21"/>
              </w:rPr>
              <w:t>总磷</w:t>
            </w:r>
          </w:p>
        </w:tc>
        <w:tc>
          <w:tcPr>
            <w:tcW w:w="728" w:type="pct"/>
            <w:tcBorders>
              <w:top w:val="nil"/>
              <w:left w:val="nil"/>
              <w:bottom w:val="single" w:sz="4" w:space="0" w:color="auto"/>
              <w:right w:val="single" w:sz="4" w:space="0" w:color="auto"/>
            </w:tcBorders>
            <w:shd w:val="clear" w:color="auto" w:fill="auto"/>
            <w:noWrap/>
            <w:vAlign w:val="bottom"/>
          </w:tcPr>
          <w:p w14:paraId="33E6DC9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5</w:t>
            </w:r>
          </w:p>
        </w:tc>
        <w:tc>
          <w:tcPr>
            <w:tcW w:w="710" w:type="pct"/>
            <w:tcBorders>
              <w:top w:val="nil"/>
              <w:left w:val="nil"/>
              <w:bottom w:val="single" w:sz="4" w:space="0" w:color="auto"/>
              <w:right w:val="single" w:sz="4" w:space="0" w:color="auto"/>
            </w:tcBorders>
            <w:shd w:val="clear" w:color="auto" w:fill="auto"/>
            <w:noWrap/>
            <w:vAlign w:val="bottom"/>
          </w:tcPr>
          <w:p w14:paraId="3AA95EC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2.70 </w:t>
            </w:r>
          </w:p>
        </w:tc>
        <w:tc>
          <w:tcPr>
            <w:tcW w:w="1048" w:type="pct"/>
            <w:vMerge/>
            <w:tcBorders>
              <w:top w:val="nil"/>
              <w:left w:val="single" w:sz="4" w:space="0" w:color="auto"/>
              <w:bottom w:val="single" w:sz="4" w:space="0" w:color="000000"/>
              <w:right w:val="single" w:sz="4" w:space="0" w:color="auto"/>
            </w:tcBorders>
            <w:vAlign w:val="center"/>
          </w:tcPr>
          <w:p w14:paraId="0EA4DA0C" w14:textId="77777777" w:rsidR="002133E3" w:rsidRDefault="002133E3">
            <w:pPr>
              <w:widowControl/>
              <w:jc w:val="left"/>
              <w:rPr>
                <w:rFonts w:ascii="Times New Roman" w:eastAsia="宋体" w:hAnsi="Times New Roman" w:cs="Times New Roman"/>
                <w:kern w:val="0"/>
                <w:szCs w:val="21"/>
              </w:rPr>
            </w:pPr>
          </w:p>
        </w:tc>
      </w:tr>
      <w:tr w:rsidR="002133E3" w14:paraId="26935691"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72D41795"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4D9996E7"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183F0BCA" w14:textId="77777777" w:rsidR="002133E3" w:rsidRDefault="00C22CFA">
            <w:pPr>
              <w:widowControl/>
              <w:jc w:val="center"/>
              <w:rPr>
                <w:rFonts w:ascii="Times New Roman" w:eastAsia="宋体" w:hAnsi="Times New Roman" w:cs="Times New Roman"/>
                <w:kern w:val="0"/>
                <w:szCs w:val="21"/>
              </w:rPr>
            </w:pPr>
            <w:r>
              <w:rPr>
                <w:rFonts w:hint="eastAsia"/>
                <w:szCs w:val="21"/>
              </w:rPr>
              <w:t>盐分</w:t>
            </w:r>
          </w:p>
        </w:tc>
        <w:tc>
          <w:tcPr>
            <w:tcW w:w="728" w:type="pct"/>
            <w:tcBorders>
              <w:top w:val="nil"/>
              <w:left w:val="nil"/>
              <w:bottom w:val="single" w:sz="4" w:space="0" w:color="auto"/>
              <w:right w:val="single" w:sz="4" w:space="0" w:color="auto"/>
            </w:tcBorders>
            <w:shd w:val="clear" w:color="auto" w:fill="auto"/>
            <w:noWrap/>
            <w:vAlign w:val="bottom"/>
          </w:tcPr>
          <w:p w14:paraId="45B3FF2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28</w:t>
            </w:r>
          </w:p>
        </w:tc>
        <w:tc>
          <w:tcPr>
            <w:tcW w:w="710" w:type="pct"/>
            <w:tcBorders>
              <w:top w:val="nil"/>
              <w:left w:val="nil"/>
              <w:bottom w:val="single" w:sz="4" w:space="0" w:color="auto"/>
              <w:right w:val="single" w:sz="4" w:space="0" w:color="auto"/>
            </w:tcBorders>
            <w:shd w:val="clear" w:color="auto" w:fill="auto"/>
            <w:noWrap/>
            <w:vAlign w:val="bottom"/>
          </w:tcPr>
          <w:p w14:paraId="254F580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15.94 </w:t>
            </w:r>
          </w:p>
        </w:tc>
        <w:tc>
          <w:tcPr>
            <w:tcW w:w="1048" w:type="pct"/>
            <w:vMerge/>
            <w:tcBorders>
              <w:top w:val="nil"/>
              <w:left w:val="single" w:sz="4" w:space="0" w:color="auto"/>
              <w:bottom w:val="single" w:sz="4" w:space="0" w:color="000000"/>
              <w:right w:val="single" w:sz="4" w:space="0" w:color="auto"/>
            </w:tcBorders>
            <w:vAlign w:val="center"/>
          </w:tcPr>
          <w:p w14:paraId="6FF1B400" w14:textId="77777777" w:rsidR="002133E3" w:rsidRDefault="002133E3">
            <w:pPr>
              <w:widowControl/>
              <w:jc w:val="left"/>
              <w:rPr>
                <w:rFonts w:ascii="Times New Roman" w:eastAsia="宋体" w:hAnsi="Times New Roman" w:cs="Times New Roman"/>
                <w:kern w:val="0"/>
                <w:szCs w:val="21"/>
              </w:rPr>
            </w:pPr>
          </w:p>
        </w:tc>
      </w:tr>
      <w:tr w:rsidR="002133E3" w14:paraId="0BE341D3" w14:textId="77777777">
        <w:trPr>
          <w:trHeight w:val="270"/>
          <w:jc w:val="center"/>
        </w:trPr>
        <w:tc>
          <w:tcPr>
            <w:tcW w:w="1049" w:type="pct"/>
            <w:vMerge w:val="restart"/>
            <w:tcBorders>
              <w:top w:val="nil"/>
              <w:left w:val="single" w:sz="4" w:space="0" w:color="auto"/>
              <w:bottom w:val="single" w:sz="4" w:space="0" w:color="auto"/>
              <w:right w:val="single" w:sz="4" w:space="0" w:color="auto"/>
            </w:tcBorders>
            <w:shd w:val="clear" w:color="auto" w:fill="auto"/>
            <w:noWrap/>
            <w:vAlign w:val="center"/>
          </w:tcPr>
          <w:p w14:paraId="7D6CC82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W1-2</w:t>
            </w:r>
          </w:p>
        </w:tc>
        <w:tc>
          <w:tcPr>
            <w:tcW w:w="696" w:type="pct"/>
            <w:vMerge w:val="restart"/>
            <w:tcBorders>
              <w:top w:val="nil"/>
              <w:left w:val="single" w:sz="4" w:space="0" w:color="auto"/>
              <w:bottom w:val="single" w:sz="4" w:space="0" w:color="auto"/>
              <w:right w:val="single" w:sz="4" w:space="0" w:color="auto"/>
            </w:tcBorders>
            <w:shd w:val="clear" w:color="auto" w:fill="auto"/>
            <w:noWrap/>
            <w:vAlign w:val="center"/>
          </w:tcPr>
          <w:p w14:paraId="5148357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22835.00 </w:t>
            </w:r>
          </w:p>
        </w:tc>
        <w:tc>
          <w:tcPr>
            <w:tcW w:w="769" w:type="pct"/>
            <w:tcBorders>
              <w:top w:val="nil"/>
              <w:left w:val="nil"/>
              <w:bottom w:val="single" w:sz="4" w:space="0" w:color="auto"/>
              <w:right w:val="single" w:sz="4" w:space="0" w:color="auto"/>
            </w:tcBorders>
            <w:shd w:val="clear" w:color="auto" w:fill="auto"/>
            <w:noWrap/>
            <w:vAlign w:val="center"/>
          </w:tcPr>
          <w:p w14:paraId="5A38359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pH</w:t>
            </w:r>
          </w:p>
        </w:tc>
        <w:tc>
          <w:tcPr>
            <w:tcW w:w="728" w:type="pct"/>
            <w:tcBorders>
              <w:top w:val="nil"/>
              <w:left w:val="nil"/>
              <w:bottom w:val="single" w:sz="4" w:space="0" w:color="auto"/>
              <w:right w:val="single" w:sz="4" w:space="0" w:color="auto"/>
            </w:tcBorders>
            <w:shd w:val="clear" w:color="auto" w:fill="auto"/>
            <w:noWrap/>
            <w:vAlign w:val="center"/>
          </w:tcPr>
          <w:p w14:paraId="396D3C3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11.97 </w:t>
            </w:r>
          </w:p>
        </w:tc>
        <w:tc>
          <w:tcPr>
            <w:tcW w:w="710" w:type="pct"/>
            <w:tcBorders>
              <w:top w:val="nil"/>
              <w:left w:val="nil"/>
              <w:bottom w:val="single" w:sz="4" w:space="0" w:color="auto"/>
              <w:right w:val="single" w:sz="4" w:space="0" w:color="auto"/>
            </w:tcBorders>
            <w:shd w:val="clear" w:color="auto" w:fill="auto"/>
            <w:noWrap/>
            <w:vAlign w:val="bottom"/>
          </w:tcPr>
          <w:p w14:paraId="2EAB2F8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1048" w:type="pct"/>
            <w:vMerge/>
            <w:tcBorders>
              <w:top w:val="nil"/>
              <w:left w:val="single" w:sz="4" w:space="0" w:color="auto"/>
              <w:bottom w:val="single" w:sz="4" w:space="0" w:color="000000"/>
              <w:right w:val="single" w:sz="4" w:space="0" w:color="auto"/>
            </w:tcBorders>
            <w:vAlign w:val="center"/>
          </w:tcPr>
          <w:p w14:paraId="784BB81E" w14:textId="77777777" w:rsidR="002133E3" w:rsidRDefault="002133E3">
            <w:pPr>
              <w:widowControl/>
              <w:jc w:val="left"/>
              <w:rPr>
                <w:rFonts w:ascii="Times New Roman" w:eastAsia="宋体" w:hAnsi="Times New Roman" w:cs="Times New Roman"/>
                <w:kern w:val="0"/>
                <w:szCs w:val="21"/>
              </w:rPr>
            </w:pPr>
          </w:p>
        </w:tc>
      </w:tr>
      <w:tr w:rsidR="002133E3" w14:paraId="68284288"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2860F6EC"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2AED8936"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75B5AF69" w14:textId="77777777" w:rsidR="002133E3" w:rsidRDefault="00C22CFA">
            <w:pPr>
              <w:widowControl/>
              <w:jc w:val="center"/>
              <w:rPr>
                <w:rFonts w:ascii="Times New Roman" w:eastAsia="宋体" w:hAnsi="Times New Roman" w:cs="Times New Roman"/>
                <w:kern w:val="0"/>
                <w:szCs w:val="21"/>
              </w:rPr>
            </w:pPr>
            <w:r>
              <w:rPr>
                <w:rFonts w:hint="eastAsia"/>
                <w:szCs w:val="21"/>
              </w:rPr>
              <w:t>盐分</w:t>
            </w:r>
          </w:p>
        </w:tc>
        <w:tc>
          <w:tcPr>
            <w:tcW w:w="728" w:type="pct"/>
            <w:tcBorders>
              <w:top w:val="nil"/>
              <w:left w:val="nil"/>
              <w:bottom w:val="single" w:sz="4" w:space="0" w:color="auto"/>
              <w:right w:val="single" w:sz="4" w:space="0" w:color="auto"/>
            </w:tcBorders>
            <w:shd w:val="clear" w:color="auto" w:fill="auto"/>
            <w:noWrap/>
            <w:vAlign w:val="bottom"/>
          </w:tcPr>
          <w:p w14:paraId="5617445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372.37 </w:t>
            </w:r>
          </w:p>
        </w:tc>
        <w:tc>
          <w:tcPr>
            <w:tcW w:w="710" w:type="pct"/>
            <w:tcBorders>
              <w:top w:val="nil"/>
              <w:left w:val="nil"/>
              <w:bottom w:val="single" w:sz="4" w:space="0" w:color="auto"/>
              <w:right w:val="single" w:sz="4" w:space="0" w:color="auto"/>
            </w:tcBorders>
            <w:shd w:val="clear" w:color="auto" w:fill="auto"/>
            <w:noWrap/>
            <w:vAlign w:val="bottom"/>
          </w:tcPr>
          <w:p w14:paraId="55A54E0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8.50 </w:t>
            </w:r>
          </w:p>
        </w:tc>
        <w:tc>
          <w:tcPr>
            <w:tcW w:w="1048" w:type="pct"/>
            <w:vMerge/>
            <w:tcBorders>
              <w:top w:val="nil"/>
              <w:left w:val="single" w:sz="4" w:space="0" w:color="auto"/>
              <w:bottom w:val="single" w:sz="4" w:space="0" w:color="000000"/>
              <w:right w:val="single" w:sz="4" w:space="0" w:color="auto"/>
            </w:tcBorders>
            <w:vAlign w:val="center"/>
          </w:tcPr>
          <w:p w14:paraId="41AEC0D3" w14:textId="77777777" w:rsidR="002133E3" w:rsidRDefault="002133E3">
            <w:pPr>
              <w:widowControl/>
              <w:jc w:val="left"/>
              <w:rPr>
                <w:rFonts w:ascii="Times New Roman" w:eastAsia="宋体" w:hAnsi="Times New Roman" w:cs="Times New Roman"/>
                <w:kern w:val="0"/>
                <w:szCs w:val="21"/>
              </w:rPr>
            </w:pPr>
          </w:p>
        </w:tc>
      </w:tr>
      <w:tr w:rsidR="002133E3" w14:paraId="6910C075" w14:textId="77777777">
        <w:trPr>
          <w:trHeight w:val="270"/>
          <w:jc w:val="center"/>
        </w:trPr>
        <w:tc>
          <w:tcPr>
            <w:tcW w:w="1049" w:type="pct"/>
            <w:vMerge w:val="restart"/>
            <w:tcBorders>
              <w:top w:val="nil"/>
              <w:left w:val="single" w:sz="4" w:space="0" w:color="auto"/>
              <w:bottom w:val="single" w:sz="4" w:space="0" w:color="auto"/>
              <w:right w:val="single" w:sz="4" w:space="0" w:color="auto"/>
            </w:tcBorders>
            <w:shd w:val="clear" w:color="auto" w:fill="auto"/>
            <w:noWrap/>
            <w:vAlign w:val="center"/>
          </w:tcPr>
          <w:p w14:paraId="6B8D3A1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lastRenderedPageBreak/>
              <w:t>W1-3</w:t>
            </w:r>
          </w:p>
        </w:tc>
        <w:tc>
          <w:tcPr>
            <w:tcW w:w="696" w:type="pct"/>
            <w:vMerge w:val="restart"/>
            <w:tcBorders>
              <w:top w:val="nil"/>
              <w:left w:val="single" w:sz="4" w:space="0" w:color="auto"/>
              <w:bottom w:val="single" w:sz="4" w:space="0" w:color="auto"/>
              <w:right w:val="single" w:sz="4" w:space="0" w:color="auto"/>
            </w:tcBorders>
            <w:shd w:val="clear" w:color="auto" w:fill="auto"/>
            <w:noWrap/>
            <w:vAlign w:val="center"/>
          </w:tcPr>
          <w:p w14:paraId="23FB5B2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572364.67 </w:t>
            </w:r>
          </w:p>
        </w:tc>
        <w:tc>
          <w:tcPr>
            <w:tcW w:w="769" w:type="pct"/>
            <w:tcBorders>
              <w:top w:val="nil"/>
              <w:left w:val="nil"/>
              <w:bottom w:val="single" w:sz="4" w:space="0" w:color="auto"/>
              <w:right w:val="single" w:sz="4" w:space="0" w:color="auto"/>
            </w:tcBorders>
            <w:shd w:val="clear" w:color="auto" w:fill="auto"/>
            <w:noWrap/>
            <w:vAlign w:val="center"/>
          </w:tcPr>
          <w:p w14:paraId="7CE4C14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pH</w:t>
            </w:r>
          </w:p>
        </w:tc>
        <w:tc>
          <w:tcPr>
            <w:tcW w:w="728" w:type="pct"/>
            <w:tcBorders>
              <w:top w:val="nil"/>
              <w:left w:val="nil"/>
              <w:bottom w:val="single" w:sz="4" w:space="0" w:color="auto"/>
              <w:right w:val="single" w:sz="4" w:space="0" w:color="auto"/>
            </w:tcBorders>
            <w:shd w:val="clear" w:color="auto" w:fill="auto"/>
            <w:noWrap/>
            <w:vAlign w:val="center"/>
          </w:tcPr>
          <w:p w14:paraId="6ED8BAE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11.82</w:t>
            </w:r>
          </w:p>
        </w:tc>
        <w:tc>
          <w:tcPr>
            <w:tcW w:w="710" w:type="pct"/>
            <w:tcBorders>
              <w:top w:val="nil"/>
              <w:left w:val="nil"/>
              <w:bottom w:val="single" w:sz="4" w:space="0" w:color="auto"/>
              <w:right w:val="single" w:sz="4" w:space="0" w:color="auto"/>
            </w:tcBorders>
            <w:shd w:val="clear" w:color="auto" w:fill="auto"/>
            <w:noWrap/>
            <w:vAlign w:val="center"/>
          </w:tcPr>
          <w:p w14:paraId="0B86392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1048" w:type="pct"/>
            <w:vMerge/>
            <w:tcBorders>
              <w:top w:val="nil"/>
              <w:left w:val="single" w:sz="4" w:space="0" w:color="auto"/>
              <w:bottom w:val="single" w:sz="4" w:space="0" w:color="000000"/>
              <w:right w:val="single" w:sz="4" w:space="0" w:color="auto"/>
            </w:tcBorders>
            <w:vAlign w:val="center"/>
          </w:tcPr>
          <w:p w14:paraId="374B9144" w14:textId="77777777" w:rsidR="002133E3" w:rsidRDefault="002133E3">
            <w:pPr>
              <w:widowControl/>
              <w:jc w:val="left"/>
              <w:rPr>
                <w:rFonts w:ascii="Times New Roman" w:eastAsia="宋体" w:hAnsi="Times New Roman" w:cs="Times New Roman"/>
                <w:kern w:val="0"/>
                <w:szCs w:val="21"/>
              </w:rPr>
            </w:pPr>
          </w:p>
        </w:tc>
      </w:tr>
      <w:tr w:rsidR="002133E3" w14:paraId="0DBF6288"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42B431C7"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15E68101"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46EFB17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COD</w:t>
            </w:r>
          </w:p>
        </w:tc>
        <w:tc>
          <w:tcPr>
            <w:tcW w:w="728" w:type="pct"/>
            <w:tcBorders>
              <w:top w:val="nil"/>
              <w:left w:val="nil"/>
              <w:bottom w:val="single" w:sz="4" w:space="0" w:color="auto"/>
              <w:right w:val="single" w:sz="4" w:space="0" w:color="auto"/>
            </w:tcBorders>
            <w:shd w:val="clear" w:color="auto" w:fill="auto"/>
            <w:noWrap/>
            <w:vAlign w:val="bottom"/>
          </w:tcPr>
          <w:p w14:paraId="7477311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19957 </w:t>
            </w:r>
          </w:p>
        </w:tc>
        <w:tc>
          <w:tcPr>
            <w:tcW w:w="710" w:type="pct"/>
            <w:tcBorders>
              <w:top w:val="nil"/>
              <w:left w:val="nil"/>
              <w:bottom w:val="single" w:sz="4" w:space="0" w:color="auto"/>
              <w:right w:val="single" w:sz="4" w:space="0" w:color="auto"/>
            </w:tcBorders>
            <w:shd w:val="clear" w:color="auto" w:fill="auto"/>
            <w:noWrap/>
            <w:vAlign w:val="bottom"/>
          </w:tcPr>
          <w:p w14:paraId="1BA30E8F"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10810.51</w:t>
            </w:r>
          </w:p>
        </w:tc>
        <w:tc>
          <w:tcPr>
            <w:tcW w:w="1048" w:type="pct"/>
            <w:vMerge/>
            <w:tcBorders>
              <w:top w:val="nil"/>
              <w:left w:val="single" w:sz="4" w:space="0" w:color="auto"/>
              <w:bottom w:val="single" w:sz="4" w:space="0" w:color="000000"/>
              <w:right w:val="single" w:sz="4" w:space="0" w:color="auto"/>
            </w:tcBorders>
            <w:vAlign w:val="center"/>
          </w:tcPr>
          <w:p w14:paraId="59723746" w14:textId="77777777" w:rsidR="002133E3" w:rsidRDefault="002133E3">
            <w:pPr>
              <w:widowControl/>
              <w:jc w:val="left"/>
              <w:rPr>
                <w:rFonts w:ascii="Times New Roman" w:eastAsia="宋体" w:hAnsi="Times New Roman" w:cs="Times New Roman"/>
                <w:kern w:val="0"/>
                <w:szCs w:val="21"/>
              </w:rPr>
            </w:pPr>
          </w:p>
        </w:tc>
      </w:tr>
      <w:tr w:rsidR="002133E3" w14:paraId="4952FAA1"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0233B6AE"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14F3D854"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69BEBAF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SS</w:t>
            </w:r>
          </w:p>
        </w:tc>
        <w:tc>
          <w:tcPr>
            <w:tcW w:w="728" w:type="pct"/>
            <w:tcBorders>
              <w:top w:val="nil"/>
              <w:left w:val="nil"/>
              <w:bottom w:val="single" w:sz="4" w:space="0" w:color="auto"/>
              <w:right w:val="single" w:sz="4" w:space="0" w:color="auto"/>
            </w:tcBorders>
            <w:shd w:val="clear" w:color="auto" w:fill="auto"/>
            <w:noWrap/>
            <w:vAlign w:val="center"/>
          </w:tcPr>
          <w:p w14:paraId="5516E21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39052</w:t>
            </w:r>
          </w:p>
        </w:tc>
        <w:tc>
          <w:tcPr>
            <w:tcW w:w="710" w:type="pct"/>
            <w:tcBorders>
              <w:top w:val="nil"/>
              <w:left w:val="nil"/>
              <w:bottom w:val="single" w:sz="4" w:space="0" w:color="auto"/>
              <w:right w:val="single" w:sz="4" w:space="0" w:color="auto"/>
            </w:tcBorders>
            <w:shd w:val="clear" w:color="auto" w:fill="auto"/>
            <w:noWrap/>
            <w:vAlign w:val="center"/>
          </w:tcPr>
          <w:p w14:paraId="69ECF9E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21154.15 </w:t>
            </w:r>
          </w:p>
        </w:tc>
        <w:tc>
          <w:tcPr>
            <w:tcW w:w="1048" w:type="pct"/>
            <w:vMerge/>
            <w:tcBorders>
              <w:top w:val="nil"/>
              <w:left w:val="single" w:sz="4" w:space="0" w:color="auto"/>
              <w:bottom w:val="single" w:sz="4" w:space="0" w:color="000000"/>
              <w:right w:val="single" w:sz="4" w:space="0" w:color="auto"/>
            </w:tcBorders>
            <w:vAlign w:val="center"/>
          </w:tcPr>
          <w:p w14:paraId="433AFEEF" w14:textId="77777777" w:rsidR="002133E3" w:rsidRDefault="002133E3">
            <w:pPr>
              <w:widowControl/>
              <w:jc w:val="left"/>
              <w:rPr>
                <w:rFonts w:ascii="Times New Roman" w:eastAsia="宋体" w:hAnsi="Times New Roman" w:cs="Times New Roman"/>
                <w:kern w:val="0"/>
                <w:szCs w:val="21"/>
              </w:rPr>
            </w:pPr>
          </w:p>
        </w:tc>
      </w:tr>
      <w:tr w:rsidR="002133E3" w14:paraId="04273821"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0F65CA3C"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4F0C07CF"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1B9469E4" w14:textId="77777777" w:rsidR="002133E3" w:rsidRDefault="00C22CFA">
            <w:pPr>
              <w:widowControl/>
              <w:jc w:val="center"/>
              <w:rPr>
                <w:rFonts w:ascii="Times New Roman" w:eastAsia="宋体" w:hAnsi="Times New Roman" w:cs="Times New Roman"/>
                <w:kern w:val="0"/>
                <w:szCs w:val="21"/>
              </w:rPr>
            </w:pPr>
            <w:r>
              <w:rPr>
                <w:rFonts w:hint="eastAsia"/>
                <w:szCs w:val="21"/>
              </w:rPr>
              <w:t>总氮</w:t>
            </w:r>
          </w:p>
        </w:tc>
        <w:tc>
          <w:tcPr>
            <w:tcW w:w="728" w:type="pct"/>
            <w:tcBorders>
              <w:top w:val="nil"/>
              <w:left w:val="nil"/>
              <w:bottom w:val="single" w:sz="4" w:space="0" w:color="auto"/>
              <w:right w:val="single" w:sz="4" w:space="0" w:color="auto"/>
            </w:tcBorders>
            <w:shd w:val="clear" w:color="auto" w:fill="auto"/>
            <w:noWrap/>
            <w:vAlign w:val="bottom"/>
          </w:tcPr>
          <w:p w14:paraId="27AF139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88</w:t>
            </w:r>
          </w:p>
        </w:tc>
        <w:tc>
          <w:tcPr>
            <w:tcW w:w="710" w:type="pct"/>
            <w:tcBorders>
              <w:top w:val="nil"/>
              <w:left w:val="nil"/>
              <w:bottom w:val="single" w:sz="4" w:space="0" w:color="auto"/>
              <w:right w:val="single" w:sz="4" w:space="0" w:color="auto"/>
            </w:tcBorders>
            <w:shd w:val="clear" w:color="auto" w:fill="auto"/>
            <w:noWrap/>
            <w:vAlign w:val="bottom"/>
          </w:tcPr>
          <w:p w14:paraId="028E5CF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47.84 </w:t>
            </w:r>
          </w:p>
        </w:tc>
        <w:tc>
          <w:tcPr>
            <w:tcW w:w="1048" w:type="pct"/>
            <w:vMerge/>
            <w:tcBorders>
              <w:top w:val="nil"/>
              <w:left w:val="single" w:sz="4" w:space="0" w:color="auto"/>
              <w:bottom w:val="single" w:sz="4" w:space="0" w:color="000000"/>
              <w:right w:val="single" w:sz="4" w:space="0" w:color="auto"/>
            </w:tcBorders>
            <w:vAlign w:val="center"/>
          </w:tcPr>
          <w:p w14:paraId="2A907D64" w14:textId="77777777" w:rsidR="002133E3" w:rsidRDefault="002133E3">
            <w:pPr>
              <w:widowControl/>
              <w:jc w:val="left"/>
              <w:rPr>
                <w:rFonts w:ascii="Times New Roman" w:eastAsia="宋体" w:hAnsi="Times New Roman" w:cs="Times New Roman"/>
                <w:kern w:val="0"/>
                <w:szCs w:val="21"/>
              </w:rPr>
            </w:pPr>
          </w:p>
        </w:tc>
      </w:tr>
      <w:tr w:rsidR="002133E3" w14:paraId="5D894051"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6FA10973"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0FF47B37"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312798F7" w14:textId="77777777" w:rsidR="002133E3" w:rsidRDefault="00C22CFA">
            <w:pPr>
              <w:widowControl/>
              <w:jc w:val="center"/>
              <w:rPr>
                <w:rFonts w:ascii="Times New Roman" w:eastAsia="宋体" w:hAnsi="Times New Roman" w:cs="Times New Roman"/>
                <w:kern w:val="0"/>
                <w:szCs w:val="21"/>
              </w:rPr>
            </w:pPr>
            <w:r>
              <w:rPr>
                <w:rFonts w:hint="eastAsia"/>
                <w:szCs w:val="21"/>
              </w:rPr>
              <w:t>氨氮</w:t>
            </w:r>
          </w:p>
        </w:tc>
        <w:tc>
          <w:tcPr>
            <w:tcW w:w="728" w:type="pct"/>
            <w:tcBorders>
              <w:top w:val="nil"/>
              <w:left w:val="nil"/>
              <w:bottom w:val="single" w:sz="4" w:space="0" w:color="auto"/>
              <w:right w:val="single" w:sz="4" w:space="0" w:color="auto"/>
            </w:tcBorders>
            <w:shd w:val="clear" w:color="auto" w:fill="auto"/>
            <w:noWrap/>
            <w:vAlign w:val="bottom"/>
          </w:tcPr>
          <w:p w14:paraId="5724071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113</w:t>
            </w:r>
          </w:p>
        </w:tc>
        <w:tc>
          <w:tcPr>
            <w:tcW w:w="710" w:type="pct"/>
            <w:tcBorders>
              <w:top w:val="nil"/>
              <w:left w:val="nil"/>
              <w:bottom w:val="single" w:sz="4" w:space="0" w:color="auto"/>
              <w:right w:val="single" w:sz="4" w:space="0" w:color="auto"/>
            </w:tcBorders>
            <w:shd w:val="clear" w:color="auto" w:fill="auto"/>
            <w:noWrap/>
            <w:vAlign w:val="bottom"/>
          </w:tcPr>
          <w:p w14:paraId="1C318CA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61.26 </w:t>
            </w:r>
          </w:p>
        </w:tc>
        <w:tc>
          <w:tcPr>
            <w:tcW w:w="1048" w:type="pct"/>
            <w:vMerge/>
            <w:tcBorders>
              <w:top w:val="nil"/>
              <w:left w:val="single" w:sz="4" w:space="0" w:color="auto"/>
              <w:bottom w:val="single" w:sz="4" w:space="0" w:color="000000"/>
              <w:right w:val="single" w:sz="4" w:space="0" w:color="auto"/>
            </w:tcBorders>
            <w:vAlign w:val="center"/>
          </w:tcPr>
          <w:p w14:paraId="33EE719C" w14:textId="77777777" w:rsidR="002133E3" w:rsidRDefault="002133E3">
            <w:pPr>
              <w:widowControl/>
              <w:jc w:val="left"/>
              <w:rPr>
                <w:rFonts w:ascii="Times New Roman" w:eastAsia="宋体" w:hAnsi="Times New Roman" w:cs="Times New Roman"/>
                <w:kern w:val="0"/>
                <w:szCs w:val="21"/>
              </w:rPr>
            </w:pPr>
          </w:p>
        </w:tc>
      </w:tr>
      <w:tr w:rsidR="002133E3" w14:paraId="0084770F"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75754AAD"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2FBEB43A"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4214E5C5" w14:textId="77777777" w:rsidR="002133E3" w:rsidRDefault="00C22CFA">
            <w:pPr>
              <w:widowControl/>
              <w:jc w:val="center"/>
              <w:rPr>
                <w:rFonts w:ascii="Times New Roman" w:eastAsia="宋体" w:hAnsi="Times New Roman" w:cs="Times New Roman"/>
                <w:kern w:val="0"/>
                <w:szCs w:val="21"/>
              </w:rPr>
            </w:pPr>
            <w:r>
              <w:rPr>
                <w:rFonts w:hint="eastAsia"/>
                <w:szCs w:val="21"/>
              </w:rPr>
              <w:t>总磷</w:t>
            </w:r>
          </w:p>
        </w:tc>
        <w:tc>
          <w:tcPr>
            <w:tcW w:w="728" w:type="pct"/>
            <w:tcBorders>
              <w:top w:val="nil"/>
              <w:left w:val="nil"/>
              <w:bottom w:val="single" w:sz="4" w:space="0" w:color="auto"/>
              <w:right w:val="single" w:sz="4" w:space="0" w:color="auto"/>
            </w:tcBorders>
            <w:shd w:val="clear" w:color="auto" w:fill="auto"/>
            <w:noWrap/>
            <w:vAlign w:val="bottom"/>
          </w:tcPr>
          <w:p w14:paraId="36BF821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5</w:t>
            </w:r>
          </w:p>
        </w:tc>
        <w:tc>
          <w:tcPr>
            <w:tcW w:w="710" w:type="pct"/>
            <w:tcBorders>
              <w:top w:val="nil"/>
              <w:left w:val="nil"/>
              <w:bottom w:val="single" w:sz="4" w:space="0" w:color="auto"/>
              <w:right w:val="single" w:sz="4" w:space="0" w:color="auto"/>
            </w:tcBorders>
            <w:shd w:val="clear" w:color="auto" w:fill="auto"/>
            <w:noWrap/>
            <w:vAlign w:val="bottom"/>
          </w:tcPr>
          <w:p w14:paraId="6BEEB02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2.70 </w:t>
            </w:r>
          </w:p>
        </w:tc>
        <w:tc>
          <w:tcPr>
            <w:tcW w:w="1048" w:type="pct"/>
            <w:vMerge/>
            <w:tcBorders>
              <w:top w:val="nil"/>
              <w:left w:val="single" w:sz="4" w:space="0" w:color="auto"/>
              <w:bottom w:val="single" w:sz="4" w:space="0" w:color="000000"/>
              <w:right w:val="single" w:sz="4" w:space="0" w:color="auto"/>
            </w:tcBorders>
            <w:vAlign w:val="center"/>
          </w:tcPr>
          <w:p w14:paraId="3EE8B56A" w14:textId="77777777" w:rsidR="002133E3" w:rsidRDefault="002133E3">
            <w:pPr>
              <w:widowControl/>
              <w:jc w:val="left"/>
              <w:rPr>
                <w:rFonts w:ascii="Times New Roman" w:eastAsia="宋体" w:hAnsi="Times New Roman" w:cs="Times New Roman"/>
                <w:kern w:val="0"/>
                <w:szCs w:val="21"/>
              </w:rPr>
            </w:pPr>
          </w:p>
        </w:tc>
      </w:tr>
      <w:tr w:rsidR="002133E3" w14:paraId="173A955D"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74D81BDD"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21B1EDF1"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4201F0EC" w14:textId="77777777" w:rsidR="002133E3" w:rsidRDefault="00C22CFA">
            <w:pPr>
              <w:widowControl/>
              <w:jc w:val="center"/>
              <w:rPr>
                <w:rFonts w:ascii="Times New Roman" w:eastAsia="宋体" w:hAnsi="Times New Roman" w:cs="Times New Roman"/>
                <w:kern w:val="0"/>
                <w:szCs w:val="21"/>
              </w:rPr>
            </w:pPr>
            <w:r>
              <w:rPr>
                <w:rFonts w:hint="eastAsia"/>
                <w:szCs w:val="21"/>
              </w:rPr>
              <w:t>盐分</w:t>
            </w:r>
          </w:p>
        </w:tc>
        <w:tc>
          <w:tcPr>
            <w:tcW w:w="728" w:type="pct"/>
            <w:tcBorders>
              <w:top w:val="nil"/>
              <w:left w:val="nil"/>
              <w:bottom w:val="single" w:sz="4" w:space="0" w:color="auto"/>
              <w:right w:val="single" w:sz="4" w:space="0" w:color="auto"/>
            </w:tcBorders>
            <w:shd w:val="clear" w:color="auto" w:fill="auto"/>
            <w:noWrap/>
            <w:vAlign w:val="bottom"/>
          </w:tcPr>
          <w:p w14:paraId="5F84545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29</w:t>
            </w:r>
          </w:p>
        </w:tc>
        <w:tc>
          <w:tcPr>
            <w:tcW w:w="710" w:type="pct"/>
            <w:tcBorders>
              <w:top w:val="nil"/>
              <w:left w:val="nil"/>
              <w:bottom w:val="single" w:sz="4" w:space="0" w:color="auto"/>
              <w:right w:val="single" w:sz="4" w:space="0" w:color="auto"/>
            </w:tcBorders>
            <w:shd w:val="clear" w:color="auto" w:fill="auto"/>
            <w:noWrap/>
            <w:vAlign w:val="bottom"/>
          </w:tcPr>
          <w:p w14:paraId="72A3854F"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15.93 </w:t>
            </w:r>
          </w:p>
        </w:tc>
        <w:tc>
          <w:tcPr>
            <w:tcW w:w="1048" w:type="pct"/>
            <w:vMerge/>
            <w:tcBorders>
              <w:top w:val="nil"/>
              <w:left w:val="single" w:sz="4" w:space="0" w:color="auto"/>
              <w:bottom w:val="single" w:sz="4" w:space="0" w:color="000000"/>
              <w:right w:val="single" w:sz="4" w:space="0" w:color="auto"/>
            </w:tcBorders>
            <w:vAlign w:val="center"/>
          </w:tcPr>
          <w:p w14:paraId="063E1865" w14:textId="77777777" w:rsidR="002133E3" w:rsidRDefault="002133E3">
            <w:pPr>
              <w:widowControl/>
              <w:jc w:val="left"/>
              <w:rPr>
                <w:rFonts w:ascii="Times New Roman" w:eastAsia="宋体" w:hAnsi="Times New Roman" w:cs="Times New Roman"/>
                <w:kern w:val="0"/>
                <w:szCs w:val="21"/>
              </w:rPr>
            </w:pPr>
          </w:p>
        </w:tc>
      </w:tr>
      <w:tr w:rsidR="002133E3" w14:paraId="60445E71" w14:textId="77777777">
        <w:trPr>
          <w:trHeight w:val="270"/>
          <w:jc w:val="center"/>
        </w:trPr>
        <w:tc>
          <w:tcPr>
            <w:tcW w:w="1049" w:type="pct"/>
            <w:vMerge w:val="restart"/>
            <w:tcBorders>
              <w:top w:val="nil"/>
              <w:left w:val="single" w:sz="4" w:space="0" w:color="auto"/>
              <w:bottom w:val="single" w:sz="4" w:space="0" w:color="auto"/>
              <w:right w:val="single" w:sz="4" w:space="0" w:color="auto"/>
            </w:tcBorders>
            <w:shd w:val="clear" w:color="auto" w:fill="auto"/>
            <w:noWrap/>
            <w:vAlign w:val="center"/>
          </w:tcPr>
          <w:p w14:paraId="3D80CCE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W1-4</w:t>
            </w:r>
          </w:p>
        </w:tc>
        <w:tc>
          <w:tcPr>
            <w:tcW w:w="696" w:type="pct"/>
            <w:vMerge w:val="restart"/>
            <w:tcBorders>
              <w:top w:val="nil"/>
              <w:left w:val="single" w:sz="4" w:space="0" w:color="auto"/>
              <w:bottom w:val="single" w:sz="4" w:space="0" w:color="auto"/>
              <w:right w:val="single" w:sz="4" w:space="0" w:color="auto"/>
            </w:tcBorders>
            <w:shd w:val="clear" w:color="auto" w:fill="auto"/>
            <w:noWrap/>
            <w:vAlign w:val="center"/>
          </w:tcPr>
          <w:p w14:paraId="1140A12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42635.00 </w:t>
            </w:r>
          </w:p>
        </w:tc>
        <w:tc>
          <w:tcPr>
            <w:tcW w:w="769" w:type="pct"/>
            <w:tcBorders>
              <w:top w:val="nil"/>
              <w:left w:val="nil"/>
              <w:bottom w:val="single" w:sz="4" w:space="0" w:color="auto"/>
              <w:right w:val="single" w:sz="4" w:space="0" w:color="auto"/>
            </w:tcBorders>
            <w:shd w:val="clear" w:color="auto" w:fill="auto"/>
            <w:noWrap/>
            <w:vAlign w:val="center"/>
          </w:tcPr>
          <w:p w14:paraId="7772ADE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pH</w:t>
            </w:r>
          </w:p>
        </w:tc>
        <w:tc>
          <w:tcPr>
            <w:tcW w:w="728" w:type="pct"/>
            <w:tcBorders>
              <w:top w:val="nil"/>
              <w:left w:val="nil"/>
              <w:bottom w:val="single" w:sz="4" w:space="0" w:color="auto"/>
              <w:right w:val="single" w:sz="4" w:space="0" w:color="auto"/>
            </w:tcBorders>
            <w:shd w:val="clear" w:color="auto" w:fill="auto"/>
            <w:noWrap/>
            <w:vAlign w:val="center"/>
          </w:tcPr>
          <w:p w14:paraId="0586703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11.70 </w:t>
            </w:r>
          </w:p>
        </w:tc>
        <w:tc>
          <w:tcPr>
            <w:tcW w:w="710" w:type="pct"/>
            <w:tcBorders>
              <w:top w:val="nil"/>
              <w:left w:val="nil"/>
              <w:bottom w:val="single" w:sz="4" w:space="0" w:color="auto"/>
              <w:right w:val="single" w:sz="4" w:space="0" w:color="auto"/>
            </w:tcBorders>
            <w:shd w:val="clear" w:color="auto" w:fill="auto"/>
            <w:noWrap/>
            <w:vAlign w:val="bottom"/>
          </w:tcPr>
          <w:p w14:paraId="118C3DE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1048" w:type="pct"/>
            <w:vMerge/>
            <w:tcBorders>
              <w:top w:val="nil"/>
              <w:left w:val="single" w:sz="4" w:space="0" w:color="auto"/>
              <w:bottom w:val="single" w:sz="4" w:space="0" w:color="000000"/>
              <w:right w:val="single" w:sz="4" w:space="0" w:color="auto"/>
            </w:tcBorders>
            <w:vAlign w:val="center"/>
          </w:tcPr>
          <w:p w14:paraId="4C2FC925" w14:textId="77777777" w:rsidR="002133E3" w:rsidRDefault="002133E3">
            <w:pPr>
              <w:widowControl/>
              <w:jc w:val="left"/>
              <w:rPr>
                <w:rFonts w:ascii="Times New Roman" w:eastAsia="宋体" w:hAnsi="Times New Roman" w:cs="Times New Roman"/>
                <w:kern w:val="0"/>
                <w:szCs w:val="21"/>
              </w:rPr>
            </w:pPr>
          </w:p>
        </w:tc>
      </w:tr>
      <w:tr w:rsidR="002133E3" w14:paraId="34AC6376" w14:textId="77777777">
        <w:trPr>
          <w:trHeight w:val="270"/>
          <w:jc w:val="center"/>
        </w:trPr>
        <w:tc>
          <w:tcPr>
            <w:tcW w:w="1049" w:type="pct"/>
            <w:vMerge/>
            <w:tcBorders>
              <w:top w:val="nil"/>
              <w:left w:val="single" w:sz="4" w:space="0" w:color="auto"/>
              <w:bottom w:val="single" w:sz="4" w:space="0" w:color="auto"/>
              <w:right w:val="single" w:sz="4" w:space="0" w:color="auto"/>
            </w:tcBorders>
            <w:vAlign w:val="center"/>
          </w:tcPr>
          <w:p w14:paraId="39E7F243" w14:textId="77777777" w:rsidR="002133E3" w:rsidRDefault="002133E3">
            <w:pPr>
              <w:widowControl/>
              <w:jc w:val="left"/>
              <w:rPr>
                <w:rFonts w:ascii="Times New Roman" w:eastAsia="宋体" w:hAnsi="Times New Roman" w:cs="Times New Roman"/>
                <w:kern w:val="0"/>
                <w:szCs w:val="21"/>
              </w:rPr>
            </w:pPr>
          </w:p>
        </w:tc>
        <w:tc>
          <w:tcPr>
            <w:tcW w:w="696" w:type="pct"/>
            <w:vMerge/>
            <w:tcBorders>
              <w:top w:val="nil"/>
              <w:left w:val="single" w:sz="4" w:space="0" w:color="auto"/>
              <w:bottom w:val="single" w:sz="4" w:space="0" w:color="auto"/>
              <w:right w:val="single" w:sz="4" w:space="0" w:color="auto"/>
            </w:tcBorders>
            <w:vAlign w:val="center"/>
          </w:tcPr>
          <w:p w14:paraId="1245CCAF" w14:textId="77777777" w:rsidR="002133E3" w:rsidRDefault="002133E3">
            <w:pPr>
              <w:widowControl/>
              <w:jc w:val="left"/>
              <w:rPr>
                <w:rFonts w:ascii="Times New Roman" w:eastAsia="宋体" w:hAnsi="Times New Roman" w:cs="Times New Roman"/>
                <w:kern w:val="0"/>
                <w:szCs w:val="21"/>
              </w:rPr>
            </w:pPr>
          </w:p>
        </w:tc>
        <w:tc>
          <w:tcPr>
            <w:tcW w:w="769" w:type="pct"/>
            <w:tcBorders>
              <w:top w:val="nil"/>
              <w:left w:val="nil"/>
              <w:bottom w:val="single" w:sz="4" w:space="0" w:color="auto"/>
              <w:right w:val="single" w:sz="4" w:space="0" w:color="auto"/>
            </w:tcBorders>
            <w:shd w:val="clear" w:color="auto" w:fill="auto"/>
            <w:noWrap/>
            <w:vAlign w:val="center"/>
          </w:tcPr>
          <w:p w14:paraId="1ACA0EF9" w14:textId="77777777" w:rsidR="002133E3" w:rsidRDefault="00C22CFA">
            <w:pPr>
              <w:widowControl/>
              <w:jc w:val="center"/>
              <w:rPr>
                <w:rFonts w:ascii="Times New Roman" w:eastAsia="宋体" w:hAnsi="Times New Roman" w:cs="Times New Roman"/>
                <w:kern w:val="0"/>
                <w:szCs w:val="21"/>
              </w:rPr>
            </w:pPr>
            <w:r>
              <w:rPr>
                <w:rFonts w:hint="eastAsia"/>
                <w:szCs w:val="21"/>
              </w:rPr>
              <w:t>盐分</w:t>
            </w:r>
          </w:p>
        </w:tc>
        <w:tc>
          <w:tcPr>
            <w:tcW w:w="728" w:type="pct"/>
            <w:tcBorders>
              <w:top w:val="nil"/>
              <w:left w:val="nil"/>
              <w:bottom w:val="single" w:sz="4" w:space="0" w:color="auto"/>
              <w:right w:val="single" w:sz="4" w:space="0" w:color="auto"/>
            </w:tcBorders>
            <w:shd w:val="clear" w:color="auto" w:fill="auto"/>
            <w:noWrap/>
            <w:vAlign w:val="bottom"/>
          </w:tcPr>
          <w:p w14:paraId="54AD1F2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199 </w:t>
            </w:r>
          </w:p>
        </w:tc>
        <w:tc>
          <w:tcPr>
            <w:tcW w:w="710" w:type="pct"/>
            <w:tcBorders>
              <w:top w:val="nil"/>
              <w:left w:val="nil"/>
              <w:bottom w:val="single" w:sz="4" w:space="0" w:color="auto"/>
              <w:right w:val="single" w:sz="4" w:space="0" w:color="auto"/>
            </w:tcBorders>
            <w:shd w:val="clear" w:color="auto" w:fill="auto"/>
            <w:noWrap/>
            <w:vAlign w:val="bottom"/>
          </w:tcPr>
          <w:p w14:paraId="1091EE7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8.50 </w:t>
            </w:r>
          </w:p>
        </w:tc>
        <w:tc>
          <w:tcPr>
            <w:tcW w:w="1048" w:type="pct"/>
            <w:vMerge/>
            <w:tcBorders>
              <w:top w:val="nil"/>
              <w:left w:val="single" w:sz="4" w:space="0" w:color="auto"/>
              <w:bottom w:val="single" w:sz="4" w:space="0" w:color="000000"/>
              <w:right w:val="single" w:sz="4" w:space="0" w:color="auto"/>
            </w:tcBorders>
            <w:vAlign w:val="center"/>
          </w:tcPr>
          <w:p w14:paraId="497550DF" w14:textId="77777777" w:rsidR="002133E3" w:rsidRDefault="002133E3">
            <w:pPr>
              <w:widowControl/>
              <w:jc w:val="left"/>
              <w:rPr>
                <w:rFonts w:ascii="Times New Roman" w:eastAsia="宋体" w:hAnsi="Times New Roman" w:cs="Times New Roman"/>
                <w:kern w:val="0"/>
                <w:szCs w:val="21"/>
              </w:rPr>
            </w:pPr>
          </w:p>
        </w:tc>
      </w:tr>
    </w:tbl>
    <w:p w14:paraId="547087A6"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4.2-9  10</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酒精生产副产物产生情况表</w:t>
      </w:r>
    </w:p>
    <w:tbl>
      <w:tblPr>
        <w:tblW w:w="5000" w:type="pct"/>
        <w:tblLook w:val="04A0" w:firstRow="1" w:lastRow="0" w:firstColumn="1" w:lastColumn="0" w:noHBand="0" w:noVBand="1"/>
      </w:tblPr>
      <w:tblGrid>
        <w:gridCol w:w="437"/>
        <w:gridCol w:w="721"/>
        <w:gridCol w:w="1017"/>
        <w:gridCol w:w="1159"/>
        <w:gridCol w:w="869"/>
        <w:gridCol w:w="869"/>
        <w:gridCol w:w="1161"/>
        <w:gridCol w:w="1161"/>
        <w:gridCol w:w="1305"/>
        <w:gridCol w:w="1155"/>
      </w:tblGrid>
      <w:tr w:rsidR="002133E3" w14:paraId="27C04158" w14:textId="77777777">
        <w:trPr>
          <w:trHeight w:val="270"/>
        </w:trPr>
        <w:tc>
          <w:tcPr>
            <w:tcW w:w="22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C10C6B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序号</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AA44B6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编号</w:t>
            </w:r>
          </w:p>
        </w:tc>
        <w:tc>
          <w:tcPr>
            <w:tcW w:w="51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BED57B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名称</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B4A717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产生工序</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EF39B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形态</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85313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主要成分</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BEC74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产生量</w:t>
            </w:r>
            <w:r>
              <w:rPr>
                <w:rFonts w:ascii="Times New Roman" w:eastAsia="宋体" w:hAnsi="Times New Roman" w:cs="Times New Roman"/>
                <w:color w:val="000000"/>
                <w:kern w:val="0"/>
                <w:szCs w:val="21"/>
              </w:rPr>
              <w:t>(t/a)</w:t>
            </w:r>
          </w:p>
        </w:tc>
        <w:tc>
          <w:tcPr>
            <w:tcW w:w="1837" w:type="pct"/>
            <w:gridSpan w:val="3"/>
            <w:tcBorders>
              <w:top w:val="single" w:sz="4" w:space="0" w:color="auto"/>
              <w:left w:val="nil"/>
              <w:bottom w:val="single" w:sz="4" w:space="0" w:color="auto"/>
              <w:right w:val="single" w:sz="4" w:space="0" w:color="auto"/>
            </w:tcBorders>
            <w:shd w:val="clear" w:color="auto" w:fill="auto"/>
            <w:vAlign w:val="center"/>
          </w:tcPr>
          <w:p w14:paraId="2AEED72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种类判断</w:t>
            </w:r>
          </w:p>
        </w:tc>
      </w:tr>
      <w:tr w:rsidR="002133E3" w14:paraId="317A3A9F" w14:textId="77777777">
        <w:trPr>
          <w:trHeight w:val="270"/>
        </w:trPr>
        <w:tc>
          <w:tcPr>
            <w:tcW w:w="222" w:type="pct"/>
            <w:vMerge/>
            <w:tcBorders>
              <w:top w:val="single" w:sz="4" w:space="0" w:color="auto"/>
              <w:left w:val="single" w:sz="4" w:space="0" w:color="auto"/>
              <w:bottom w:val="single" w:sz="4" w:space="0" w:color="auto"/>
              <w:right w:val="single" w:sz="4" w:space="0" w:color="auto"/>
            </w:tcBorders>
            <w:vAlign w:val="center"/>
          </w:tcPr>
          <w:p w14:paraId="15978877" w14:textId="77777777" w:rsidR="002133E3" w:rsidRDefault="002133E3">
            <w:pPr>
              <w:widowControl/>
              <w:jc w:val="left"/>
              <w:rPr>
                <w:rFonts w:ascii="Times New Roman" w:eastAsia="宋体" w:hAnsi="Times New Roman" w:cs="Times New Roman"/>
                <w:color w:val="000000"/>
                <w:kern w:val="0"/>
                <w:szCs w:val="21"/>
              </w:rPr>
            </w:pPr>
          </w:p>
        </w:tc>
        <w:tc>
          <w:tcPr>
            <w:tcW w:w="366" w:type="pct"/>
            <w:vMerge/>
            <w:tcBorders>
              <w:top w:val="single" w:sz="4" w:space="0" w:color="auto"/>
              <w:left w:val="single" w:sz="4" w:space="0" w:color="auto"/>
              <w:bottom w:val="single" w:sz="4" w:space="0" w:color="auto"/>
              <w:right w:val="single" w:sz="4" w:space="0" w:color="auto"/>
            </w:tcBorders>
            <w:vAlign w:val="center"/>
          </w:tcPr>
          <w:p w14:paraId="715AF93F" w14:textId="77777777" w:rsidR="002133E3" w:rsidRDefault="002133E3">
            <w:pPr>
              <w:widowControl/>
              <w:jc w:val="left"/>
              <w:rPr>
                <w:rFonts w:ascii="Times New Roman" w:eastAsia="宋体" w:hAnsi="Times New Roman" w:cs="Times New Roman"/>
                <w:color w:val="000000"/>
                <w:kern w:val="0"/>
                <w:szCs w:val="21"/>
              </w:rPr>
            </w:pPr>
          </w:p>
        </w:tc>
        <w:tc>
          <w:tcPr>
            <w:tcW w:w="516" w:type="pct"/>
            <w:vMerge/>
            <w:tcBorders>
              <w:top w:val="single" w:sz="4" w:space="0" w:color="auto"/>
              <w:left w:val="single" w:sz="4" w:space="0" w:color="auto"/>
              <w:bottom w:val="single" w:sz="4" w:space="0" w:color="auto"/>
              <w:right w:val="single" w:sz="4" w:space="0" w:color="auto"/>
            </w:tcBorders>
            <w:vAlign w:val="center"/>
          </w:tcPr>
          <w:p w14:paraId="4A18D2AF" w14:textId="77777777" w:rsidR="002133E3" w:rsidRDefault="002133E3">
            <w:pPr>
              <w:widowControl/>
              <w:jc w:val="left"/>
              <w:rPr>
                <w:rFonts w:ascii="Times New Roman" w:eastAsia="宋体" w:hAnsi="Times New Roman" w:cs="Times New Roman"/>
                <w:color w:val="000000"/>
                <w:kern w:val="0"/>
                <w:szCs w:val="21"/>
              </w:rPr>
            </w:pPr>
          </w:p>
        </w:tc>
        <w:tc>
          <w:tcPr>
            <w:tcW w:w="588" w:type="pct"/>
            <w:vMerge/>
            <w:tcBorders>
              <w:top w:val="single" w:sz="4" w:space="0" w:color="auto"/>
              <w:left w:val="single" w:sz="4" w:space="0" w:color="auto"/>
              <w:bottom w:val="single" w:sz="4" w:space="0" w:color="auto"/>
              <w:right w:val="single" w:sz="4" w:space="0" w:color="auto"/>
            </w:tcBorders>
            <w:vAlign w:val="center"/>
          </w:tcPr>
          <w:p w14:paraId="35575386" w14:textId="77777777" w:rsidR="002133E3" w:rsidRDefault="002133E3">
            <w:pPr>
              <w:widowControl/>
              <w:jc w:val="left"/>
              <w:rPr>
                <w:rFonts w:ascii="Times New Roman" w:eastAsia="宋体" w:hAnsi="Times New Roman" w:cs="Times New Roman"/>
                <w:color w:val="000000"/>
                <w:kern w:val="0"/>
                <w:szCs w:val="21"/>
              </w:rPr>
            </w:pPr>
          </w:p>
        </w:tc>
        <w:tc>
          <w:tcPr>
            <w:tcW w:w="441" w:type="pct"/>
            <w:vMerge/>
            <w:tcBorders>
              <w:top w:val="single" w:sz="4" w:space="0" w:color="auto"/>
              <w:left w:val="single" w:sz="4" w:space="0" w:color="auto"/>
              <w:bottom w:val="single" w:sz="4" w:space="0" w:color="auto"/>
              <w:right w:val="single" w:sz="4" w:space="0" w:color="auto"/>
            </w:tcBorders>
            <w:vAlign w:val="center"/>
          </w:tcPr>
          <w:p w14:paraId="722C0E3F" w14:textId="77777777" w:rsidR="002133E3" w:rsidRDefault="002133E3">
            <w:pPr>
              <w:widowControl/>
              <w:jc w:val="left"/>
              <w:rPr>
                <w:rFonts w:ascii="Times New Roman" w:eastAsia="宋体" w:hAnsi="Times New Roman" w:cs="Times New Roman"/>
                <w:color w:val="000000"/>
                <w:kern w:val="0"/>
                <w:szCs w:val="21"/>
              </w:rPr>
            </w:pPr>
          </w:p>
        </w:tc>
        <w:tc>
          <w:tcPr>
            <w:tcW w:w="441" w:type="pct"/>
            <w:vMerge/>
            <w:tcBorders>
              <w:top w:val="single" w:sz="4" w:space="0" w:color="auto"/>
              <w:left w:val="single" w:sz="4" w:space="0" w:color="auto"/>
              <w:bottom w:val="single" w:sz="4" w:space="0" w:color="auto"/>
              <w:right w:val="single" w:sz="4" w:space="0" w:color="auto"/>
            </w:tcBorders>
            <w:vAlign w:val="center"/>
          </w:tcPr>
          <w:p w14:paraId="1F2B8D89" w14:textId="77777777" w:rsidR="002133E3" w:rsidRDefault="002133E3">
            <w:pPr>
              <w:widowControl/>
              <w:jc w:val="left"/>
              <w:rPr>
                <w:rFonts w:ascii="Times New Roman" w:eastAsia="宋体" w:hAnsi="Times New Roman" w:cs="Times New Roman"/>
                <w:color w:val="000000"/>
                <w:kern w:val="0"/>
                <w:szCs w:val="21"/>
              </w:rPr>
            </w:pPr>
          </w:p>
        </w:tc>
        <w:tc>
          <w:tcPr>
            <w:tcW w:w="589" w:type="pct"/>
            <w:vMerge/>
            <w:tcBorders>
              <w:top w:val="single" w:sz="4" w:space="0" w:color="auto"/>
              <w:left w:val="single" w:sz="4" w:space="0" w:color="auto"/>
              <w:bottom w:val="single" w:sz="4" w:space="0" w:color="auto"/>
              <w:right w:val="single" w:sz="4" w:space="0" w:color="auto"/>
            </w:tcBorders>
            <w:vAlign w:val="center"/>
          </w:tcPr>
          <w:p w14:paraId="64E183FA" w14:textId="77777777" w:rsidR="002133E3" w:rsidRDefault="002133E3">
            <w:pPr>
              <w:widowControl/>
              <w:jc w:val="left"/>
              <w:rPr>
                <w:rFonts w:ascii="Times New Roman" w:eastAsia="宋体" w:hAnsi="Times New Roman" w:cs="Times New Roman"/>
                <w:color w:val="000000"/>
                <w:kern w:val="0"/>
                <w:szCs w:val="21"/>
              </w:rPr>
            </w:pPr>
          </w:p>
        </w:tc>
        <w:tc>
          <w:tcPr>
            <w:tcW w:w="589" w:type="pct"/>
            <w:tcBorders>
              <w:top w:val="nil"/>
              <w:left w:val="nil"/>
              <w:bottom w:val="single" w:sz="4" w:space="0" w:color="auto"/>
              <w:right w:val="single" w:sz="4" w:space="0" w:color="auto"/>
            </w:tcBorders>
            <w:shd w:val="clear" w:color="auto" w:fill="auto"/>
            <w:vAlign w:val="center"/>
          </w:tcPr>
          <w:p w14:paraId="3A910B6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固体废物</w:t>
            </w:r>
          </w:p>
        </w:tc>
        <w:tc>
          <w:tcPr>
            <w:tcW w:w="662" w:type="pct"/>
            <w:tcBorders>
              <w:top w:val="nil"/>
              <w:left w:val="nil"/>
              <w:bottom w:val="single" w:sz="4" w:space="0" w:color="auto"/>
              <w:right w:val="single" w:sz="4" w:space="0" w:color="auto"/>
            </w:tcBorders>
            <w:shd w:val="clear" w:color="auto" w:fill="auto"/>
            <w:vAlign w:val="center"/>
          </w:tcPr>
          <w:p w14:paraId="696F326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副产品</w:t>
            </w:r>
          </w:p>
        </w:tc>
        <w:tc>
          <w:tcPr>
            <w:tcW w:w="586" w:type="pct"/>
            <w:tcBorders>
              <w:top w:val="nil"/>
              <w:left w:val="nil"/>
              <w:bottom w:val="single" w:sz="4" w:space="0" w:color="auto"/>
              <w:right w:val="single" w:sz="4" w:space="0" w:color="auto"/>
            </w:tcBorders>
            <w:shd w:val="clear" w:color="auto" w:fill="auto"/>
            <w:vAlign w:val="center"/>
          </w:tcPr>
          <w:p w14:paraId="69EC83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判定依据</w:t>
            </w:r>
          </w:p>
        </w:tc>
      </w:tr>
      <w:tr w:rsidR="002133E3" w14:paraId="47C8A7DF" w14:textId="77777777">
        <w:trPr>
          <w:trHeight w:val="270"/>
        </w:trPr>
        <w:tc>
          <w:tcPr>
            <w:tcW w:w="222" w:type="pct"/>
            <w:tcBorders>
              <w:top w:val="nil"/>
              <w:left w:val="single" w:sz="4" w:space="0" w:color="auto"/>
              <w:bottom w:val="single" w:sz="4" w:space="0" w:color="auto"/>
              <w:right w:val="single" w:sz="4" w:space="0" w:color="auto"/>
            </w:tcBorders>
            <w:shd w:val="clear" w:color="auto" w:fill="auto"/>
            <w:vAlign w:val="center"/>
          </w:tcPr>
          <w:p w14:paraId="3927B9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366" w:type="pct"/>
            <w:tcBorders>
              <w:top w:val="nil"/>
              <w:left w:val="nil"/>
              <w:bottom w:val="single" w:sz="4" w:space="0" w:color="auto"/>
              <w:right w:val="single" w:sz="4" w:space="0" w:color="auto"/>
            </w:tcBorders>
            <w:shd w:val="clear" w:color="auto" w:fill="auto"/>
            <w:vAlign w:val="center"/>
          </w:tcPr>
          <w:p w14:paraId="440B32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S1-1</w:t>
            </w:r>
          </w:p>
        </w:tc>
        <w:tc>
          <w:tcPr>
            <w:tcW w:w="516" w:type="pct"/>
            <w:tcBorders>
              <w:top w:val="nil"/>
              <w:left w:val="nil"/>
              <w:bottom w:val="single" w:sz="4" w:space="0" w:color="auto"/>
              <w:right w:val="single" w:sz="4" w:space="0" w:color="auto"/>
            </w:tcBorders>
            <w:shd w:val="clear" w:color="auto" w:fill="auto"/>
            <w:noWrap/>
            <w:vAlign w:val="center"/>
          </w:tcPr>
          <w:p w14:paraId="7CAA01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杂质</w:t>
            </w:r>
          </w:p>
        </w:tc>
        <w:tc>
          <w:tcPr>
            <w:tcW w:w="588" w:type="pct"/>
            <w:tcBorders>
              <w:top w:val="nil"/>
              <w:left w:val="nil"/>
              <w:bottom w:val="single" w:sz="4" w:space="0" w:color="auto"/>
              <w:right w:val="single" w:sz="4" w:space="0" w:color="auto"/>
            </w:tcBorders>
            <w:shd w:val="clear" w:color="auto" w:fill="auto"/>
            <w:vAlign w:val="center"/>
          </w:tcPr>
          <w:p w14:paraId="2105899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粉碎除杂</w:t>
            </w:r>
          </w:p>
        </w:tc>
        <w:tc>
          <w:tcPr>
            <w:tcW w:w="441" w:type="pct"/>
            <w:tcBorders>
              <w:top w:val="nil"/>
              <w:left w:val="nil"/>
              <w:bottom w:val="single" w:sz="4" w:space="0" w:color="auto"/>
              <w:right w:val="single" w:sz="4" w:space="0" w:color="auto"/>
            </w:tcBorders>
            <w:shd w:val="clear" w:color="auto" w:fill="auto"/>
            <w:vAlign w:val="center"/>
          </w:tcPr>
          <w:p w14:paraId="6C7C3B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固态</w:t>
            </w:r>
          </w:p>
        </w:tc>
        <w:tc>
          <w:tcPr>
            <w:tcW w:w="441" w:type="pct"/>
            <w:tcBorders>
              <w:top w:val="nil"/>
              <w:left w:val="nil"/>
              <w:bottom w:val="single" w:sz="4" w:space="0" w:color="auto"/>
              <w:right w:val="single" w:sz="4" w:space="0" w:color="auto"/>
            </w:tcBorders>
            <w:shd w:val="clear" w:color="auto" w:fill="auto"/>
            <w:noWrap/>
            <w:vAlign w:val="center"/>
          </w:tcPr>
          <w:p w14:paraId="74FDA8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砂石</w:t>
            </w:r>
          </w:p>
        </w:tc>
        <w:tc>
          <w:tcPr>
            <w:tcW w:w="589" w:type="pct"/>
            <w:tcBorders>
              <w:top w:val="nil"/>
              <w:left w:val="nil"/>
              <w:bottom w:val="single" w:sz="4" w:space="0" w:color="auto"/>
              <w:right w:val="single" w:sz="4" w:space="0" w:color="auto"/>
            </w:tcBorders>
            <w:shd w:val="clear" w:color="auto" w:fill="auto"/>
            <w:vAlign w:val="center"/>
          </w:tcPr>
          <w:p w14:paraId="4242FB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7952.00 </w:t>
            </w:r>
          </w:p>
        </w:tc>
        <w:tc>
          <w:tcPr>
            <w:tcW w:w="589" w:type="pct"/>
            <w:tcBorders>
              <w:top w:val="nil"/>
              <w:left w:val="nil"/>
              <w:bottom w:val="single" w:sz="4" w:space="0" w:color="auto"/>
              <w:right w:val="single" w:sz="4" w:space="0" w:color="auto"/>
            </w:tcBorders>
            <w:shd w:val="clear" w:color="auto" w:fill="auto"/>
            <w:vAlign w:val="center"/>
          </w:tcPr>
          <w:p w14:paraId="1EC95E6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2" w:type="pct"/>
            <w:tcBorders>
              <w:top w:val="nil"/>
              <w:left w:val="nil"/>
              <w:bottom w:val="single" w:sz="4" w:space="0" w:color="auto"/>
              <w:right w:val="single" w:sz="4" w:space="0" w:color="auto"/>
            </w:tcBorders>
            <w:shd w:val="clear" w:color="auto" w:fill="auto"/>
            <w:vAlign w:val="center"/>
          </w:tcPr>
          <w:p w14:paraId="2E3701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 xml:space="preserve">　</w:t>
            </w:r>
          </w:p>
        </w:tc>
        <w:tc>
          <w:tcPr>
            <w:tcW w:w="586" w:type="pct"/>
            <w:vMerge w:val="restart"/>
            <w:tcBorders>
              <w:top w:val="nil"/>
              <w:left w:val="single" w:sz="4" w:space="0" w:color="auto"/>
              <w:bottom w:val="single" w:sz="4" w:space="0" w:color="auto"/>
              <w:right w:val="single" w:sz="4" w:space="0" w:color="auto"/>
            </w:tcBorders>
            <w:shd w:val="clear" w:color="auto" w:fill="auto"/>
            <w:vAlign w:val="center"/>
          </w:tcPr>
          <w:p w14:paraId="0F40E61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17A5AB5C" w14:textId="77777777">
        <w:trPr>
          <w:trHeight w:val="270"/>
        </w:trPr>
        <w:tc>
          <w:tcPr>
            <w:tcW w:w="222" w:type="pct"/>
            <w:tcBorders>
              <w:top w:val="nil"/>
              <w:left w:val="single" w:sz="4" w:space="0" w:color="auto"/>
              <w:bottom w:val="single" w:sz="4" w:space="0" w:color="auto"/>
              <w:right w:val="single" w:sz="4" w:space="0" w:color="auto"/>
            </w:tcBorders>
            <w:shd w:val="clear" w:color="auto" w:fill="auto"/>
            <w:vAlign w:val="center"/>
          </w:tcPr>
          <w:p w14:paraId="77DCFE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366" w:type="pct"/>
            <w:tcBorders>
              <w:top w:val="nil"/>
              <w:left w:val="nil"/>
              <w:bottom w:val="single" w:sz="4" w:space="0" w:color="auto"/>
              <w:right w:val="single" w:sz="4" w:space="0" w:color="auto"/>
            </w:tcBorders>
            <w:shd w:val="clear" w:color="auto" w:fill="auto"/>
            <w:vAlign w:val="center"/>
          </w:tcPr>
          <w:p w14:paraId="742936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F1-1</w:t>
            </w:r>
          </w:p>
        </w:tc>
        <w:tc>
          <w:tcPr>
            <w:tcW w:w="516" w:type="pct"/>
            <w:tcBorders>
              <w:top w:val="nil"/>
              <w:left w:val="nil"/>
              <w:bottom w:val="single" w:sz="4" w:space="0" w:color="auto"/>
              <w:right w:val="single" w:sz="4" w:space="0" w:color="auto"/>
            </w:tcBorders>
            <w:shd w:val="clear" w:color="auto" w:fill="auto"/>
            <w:noWrap/>
            <w:vAlign w:val="bottom"/>
          </w:tcPr>
          <w:p w14:paraId="6C098B5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88" w:type="pct"/>
            <w:tcBorders>
              <w:top w:val="nil"/>
              <w:left w:val="nil"/>
              <w:bottom w:val="single" w:sz="4" w:space="0" w:color="auto"/>
              <w:right w:val="single" w:sz="4" w:space="0" w:color="auto"/>
            </w:tcBorders>
            <w:shd w:val="clear" w:color="auto" w:fill="auto"/>
            <w:vAlign w:val="center"/>
          </w:tcPr>
          <w:p w14:paraId="4532A33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蒸馏</w:t>
            </w:r>
          </w:p>
        </w:tc>
        <w:tc>
          <w:tcPr>
            <w:tcW w:w="441" w:type="pct"/>
            <w:tcBorders>
              <w:top w:val="nil"/>
              <w:left w:val="nil"/>
              <w:bottom w:val="single" w:sz="4" w:space="0" w:color="auto"/>
              <w:right w:val="single" w:sz="4" w:space="0" w:color="auto"/>
            </w:tcBorders>
            <w:shd w:val="clear" w:color="auto" w:fill="auto"/>
            <w:vAlign w:val="center"/>
          </w:tcPr>
          <w:p w14:paraId="42ACCB3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液态</w:t>
            </w:r>
          </w:p>
        </w:tc>
        <w:tc>
          <w:tcPr>
            <w:tcW w:w="441" w:type="pct"/>
            <w:tcBorders>
              <w:top w:val="nil"/>
              <w:left w:val="nil"/>
              <w:bottom w:val="single" w:sz="4" w:space="0" w:color="auto"/>
              <w:right w:val="single" w:sz="4" w:space="0" w:color="auto"/>
            </w:tcBorders>
            <w:shd w:val="clear" w:color="auto" w:fill="auto"/>
            <w:noWrap/>
            <w:vAlign w:val="center"/>
          </w:tcPr>
          <w:p w14:paraId="79FC494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89" w:type="pct"/>
            <w:tcBorders>
              <w:top w:val="nil"/>
              <w:left w:val="nil"/>
              <w:bottom w:val="single" w:sz="4" w:space="0" w:color="auto"/>
              <w:right w:val="single" w:sz="4" w:space="0" w:color="auto"/>
            </w:tcBorders>
            <w:shd w:val="clear" w:color="auto" w:fill="auto"/>
            <w:vAlign w:val="center"/>
          </w:tcPr>
          <w:p w14:paraId="5E941C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300.00 </w:t>
            </w:r>
          </w:p>
        </w:tc>
        <w:tc>
          <w:tcPr>
            <w:tcW w:w="589" w:type="pct"/>
            <w:tcBorders>
              <w:top w:val="nil"/>
              <w:left w:val="nil"/>
              <w:bottom w:val="single" w:sz="4" w:space="0" w:color="auto"/>
              <w:right w:val="single" w:sz="4" w:space="0" w:color="auto"/>
            </w:tcBorders>
            <w:shd w:val="clear" w:color="auto" w:fill="auto"/>
            <w:noWrap/>
            <w:vAlign w:val="bottom"/>
          </w:tcPr>
          <w:p w14:paraId="730CE6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w:t>
            </w:r>
            <w:r>
              <w:rPr>
                <w:rFonts w:ascii="Times New Roman" w:eastAsia="宋体" w:hAnsi="Times New Roman" w:cs="Times New Roman"/>
                <w:kern w:val="0"/>
                <w:szCs w:val="21"/>
              </w:rPr>
              <w:t xml:space="preserve">　</w:t>
            </w:r>
          </w:p>
        </w:tc>
        <w:tc>
          <w:tcPr>
            <w:tcW w:w="662" w:type="pct"/>
            <w:tcBorders>
              <w:top w:val="nil"/>
              <w:left w:val="nil"/>
              <w:bottom w:val="single" w:sz="4" w:space="0" w:color="auto"/>
              <w:right w:val="single" w:sz="4" w:space="0" w:color="auto"/>
            </w:tcBorders>
            <w:shd w:val="clear" w:color="auto" w:fill="auto"/>
            <w:vAlign w:val="center"/>
          </w:tcPr>
          <w:p w14:paraId="50EE8E8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6" w:type="pct"/>
            <w:vMerge/>
            <w:tcBorders>
              <w:top w:val="nil"/>
              <w:left w:val="single" w:sz="4" w:space="0" w:color="auto"/>
              <w:bottom w:val="single" w:sz="4" w:space="0" w:color="auto"/>
              <w:right w:val="single" w:sz="4" w:space="0" w:color="auto"/>
            </w:tcBorders>
            <w:vAlign w:val="center"/>
          </w:tcPr>
          <w:p w14:paraId="6ADF6800" w14:textId="77777777" w:rsidR="002133E3" w:rsidRDefault="002133E3">
            <w:pPr>
              <w:widowControl/>
              <w:jc w:val="left"/>
              <w:rPr>
                <w:rFonts w:ascii="Times New Roman" w:eastAsia="宋体" w:hAnsi="Times New Roman" w:cs="Times New Roman"/>
                <w:color w:val="000000"/>
                <w:kern w:val="0"/>
                <w:szCs w:val="21"/>
              </w:rPr>
            </w:pPr>
          </w:p>
        </w:tc>
      </w:tr>
      <w:tr w:rsidR="002133E3" w14:paraId="56EF0840" w14:textId="77777777">
        <w:trPr>
          <w:trHeight w:val="270"/>
        </w:trPr>
        <w:tc>
          <w:tcPr>
            <w:tcW w:w="222" w:type="pct"/>
            <w:tcBorders>
              <w:top w:val="nil"/>
              <w:left w:val="single" w:sz="4" w:space="0" w:color="auto"/>
              <w:bottom w:val="single" w:sz="4" w:space="0" w:color="auto"/>
              <w:right w:val="single" w:sz="4" w:space="0" w:color="auto"/>
            </w:tcBorders>
            <w:shd w:val="clear" w:color="auto" w:fill="auto"/>
            <w:vAlign w:val="center"/>
          </w:tcPr>
          <w:p w14:paraId="49AB968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366" w:type="pct"/>
            <w:tcBorders>
              <w:top w:val="nil"/>
              <w:left w:val="nil"/>
              <w:bottom w:val="single" w:sz="4" w:space="0" w:color="auto"/>
              <w:right w:val="single" w:sz="4" w:space="0" w:color="auto"/>
            </w:tcBorders>
            <w:shd w:val="clear" w:color="auto" w:fill="auto"/>
            <w:vAlign w:val="center"/>
          </w:tcPr>
          <w:p w14:paraId="56B9A18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F1-2</w:t>
            </w:r>
          </w:p>
        </w:tc>
        <w:tc>
          <w:tcPr>
            <w:tcW w:w="516" w:type="pct"/>
            <w:tcBorders>
              <w:top w:val="nil"/>
              <w:left w:val="nil"/>
              <w:bottom w:val="single" w:sz="4" w:space="0" w:color="auto"/>
              <w:right w:val="single" w:sz="4" w:space="0" w:color="auto"/>
            </w:tcBorders>
            <w:shd w:val="clear" w:color="auto" w:fill="auto"/>
            <w:noWrap/>
            <w:vAlign w:val="bottom"/>
          </w:tcPr>
          <w:p w14:paraId="2A76FA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88" w:type="pct"/>
            <w:tcBorders>
              <w:top w:val="nil"/>
              <w:left w:val="nil"/>
              <w:bottom w:val="single" w:sz="4" w:space="0" w:color="auto"/>
              <w:right w:val="single" w:sz="4" w:space="0" w:color="auto"/>
            </w:tcBorders>
            <w:shd w:val="clear" w:color="auto" w:fill="auto"/>
            <w:vAlign w:val="center"/>
          </w:tcPr>
          <w:p w14:paraId="316E687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蒸馏</w:t>
            </w:r>
          </w:p>
        </w:tc>
        <w:tc>
          <w:tcPr>
            <w:tcW w:w="441" w:type="pct"/>
            <w:tcBorders>
              <w:top w:val="nil"/>
              <w:left w:val="nil"/>
              <w:bottom w:val="single" w:sz="4" w:space="0" w:color="auto"/>
              <w:right w:val="single" w:sz="4" w:space="0" w:color="auto"/>
            </w:tcBorders>
            <w:shd w:val="clear" w:color="auto" w:fill="auto"/>
            <w:vAlign w:val="center"/>
          </w:tcPr>
          <w:p w14:paraId="73AB8CE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液态</w:t>
            </w:r>
          </w:p>
        </w:tc>
        <w:tc>
          <w:tcPr>
            <w:tcW w:w="441" w:type="pct"/>
            <w:tcBorders>
              <w:top w:val="nil"/>
              <w:left w:val="nil"/>
              <w:bottom w:val="single" w:sz="4" w:space="0" w:color="auto"/>
              <w:right w:val="single" w:sz="4" w:space="0" w:color="auto"/>
            </w:tcBorders>
            <w:shd w:val="clear" w:color="auto" w:fill="auto"/>
            <w:noWrap/>
            <w:vAlign w:val="center"/>
          </w:tcPr>
          <w:p w14:paraId="17495FA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89" w:type="pct"/>
            <w:tcBorders>
              <w:top w:val="nil"/>
              <w:left w:val="nil"/>
              <w:bottom w:val="single" w:sz="4" w:space="0" w:color="auto"/>
              <w:right w:val="single" w:sz="4" w:space="0" w:color="auto"/>
            </w:tcBorders>
            <w:shd w:val="clear" w:color="auto" w:fill="auto"/>
            <w:vAlign w:val="center"/>
          </w:tcPr>
          <w:p w14:paraId="74E816B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300.00 </w:t>
            </w:r>
          </w:p>
        </w:tc>
        <w:tc>
          <w:tcPr>
            <w:tcW w:w="589" w:type="pct"/>
            <w:tcBorders>
              <w:top w:val="nil"/>
              <w:left w:val="nil"/>
              <w:bottom w:val="single" w:sz="4" w:space="0" w:color="auto"/>
              <w:right w:val="single" w:sz="4" w:space="0" w:color="auto"/>
            </w:tcBorders>
            <w:shd w:val="clear" w:color="auto" w:fill="auto"/>
            <w:noWrap/>
            <w:vAlign w:val="bottom"/>
          </w:tcPr>
          <w:p w14:paraId="06BD0E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w:t>
            </w:r>
            <w:r>
              <w:rPr>
                <w:rFonts w:ascii="Times New Roman" w:eastAsia="宋体" w:hAnsi="Times New Roman" w:cs="Times New Roman"/>
                <w:kern w:val="0"/>
                <w:szCs w:val="21"/>
              </w:rPr>
              <w:t xml:space="preserve">　</w:t>
            </w:r>
          </w:p>
        </w:tc>
        <w:tc>
          <w:tcPr>
            <w:tcW w:w="662" w:type="pct"/>
            <w:tcBorders>
              <w:top w:val="nil"/>
              <w:left w:val="nil"/>
              <w:bottom w:val="single" w:sz="4" w:space="0" w:color="auto"/>
              <w:right w:val="single" w:sz="4" w:space="0" w:color="auto"/>
            </w:tcBorders>
            <w:shd w:val="clear" w:color="auto" w:fill="auto"/>
            <w:vAlign w:val="center"/>
          </w:tcPr>
          <w:p w14:paraId="1DE4129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6" w:type="pct"/>
            <w:tcBorders>
              <w:top w:val="nil"/>
              <w:left w:val="nil"/>
              <w:bottom w:val="single" w:sz="4" w:space="0" w:color="auto"/>
              <w:right w:val="single" w:sz="4" w:space="0" w:color="auto"/>
            </w:tcBorders>
            <w:shd w:val="clear" w:color="auto" w:fill="auto"/>
            <w:vAlign w:val="center"/>
          </w:tcPr>
          <w:p w14:paraId="51A8E1E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xml:space="preserve">　</w:t>
            </w:r>
          </w:p>
        </w:tc>
      </w:tr>
      <w:tr w:rsidR="002133E3" w14:paraId="16090F12" w14:textId="77777777">
        <w:trPr>
          <w:trHeight w:val="270"/>
        </w:trPr>
        <w:tc>
          <w:tcPr>
            <w:tcW w:w="58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1C54F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合计</w:t>
            </w:r>
          </w:p>
        </w:tc>
        <w:tc>
          <w:tcPr>
            <w:tcW w:w="516" w:type="pct"/>
            <w:tcBorders>
              <w:top w:val="nil"/>
              <w:left w:val="nil"/>
              <w:bottom w:val="single" w:sz="4" w:space="0" w:color="auto"/>
              <w:right w:val="single" w:sz="4" w:space="0" w:color="auto"/>
            </w:tcBorders>
            <w:shd w:val="clear" w:color="auto" w:fill="auto"/>
            <w:vAlign w:val="center"/>
          </w:tcPr>
          <w:p w14:paraId="78F480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8" w:type="pct"/>
            <w:tcBorders>
              <w:top w:val="nil"/>
              <w:left w:val="nil"/>
              <w:bottom w:val="single" w:sz="4" w:space="0" w:color="auto"/>
              <w:right w:val="single" w:sz="4" w:space="0" w:color="auto"/>
            </w:tcBorders>
            <w:shd w:val="clear" w:color="auto" w:fill="auto"/>
            <w:vAlign w:val="center"/>
          </w:tcPr>
          <w:p w14:paraId="56E4BAF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1" w:type="pct"/>
            <w:tcBorders>
              <w:top w:val="nil"/>
              <w:left w:val="nil"/>
              <w:bottom w:val="single" w:sz="4" w:space="0" w:color="auto"/>
              <w:right w:val="single" w:sz="4" w:space="0" w:color="auto"/>
            </w:tcBorders>
            <w:shd w:val="clear" w:color="auto" w:fill="auto"/>
            <w:vAlign w:val="center"/>
          </w:tcPr>
          <w:p w14:paraId="1FE4B6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1" w:type="pct"/>
            <w:tcBorders>
              <w:top w:val="nil"/>
              <w:left w:val="nil"/>
              <w:bottom w:val="single" w:sz="4" w:space="0" w:color="auto"/>
              <w:right w:val="single" w:sz="4" w:space="0" w:color="auto"/>
            </w:tcBorders>
            <w:shd w:val="clear" w:color="auto" w:fill="auto"/>
            <w:vAlign w:val="center"/>
          </w:tcPr>
          <w:p w14:paraId="2428C5E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9" w:type="pct"/>
            <w:tcBorders>
              <w:top w:val="nil"/>
              <w:left w:val="nil"/>
              <w:bottom w:val="single" w:sz="4" w:space="0" w:color="auto"/>
              <w:right w:val="single" w:sz="4" w:space="0" w:color="auto"/>
            </w:tcBorders>
            <w:shd w:val="clear" w:color="auto" w:fill="auto"/>
            <w:vAlign w:val="center"/>
          </w:tcPr>
          <w:p w14:paraId="4B3DC73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 xml:space="preserve">8252.00 </w:t>
            </w:r>
          </w:p>
        </w:tc>
        <w:tc>
          <w:tcPr>
            <w:tcW w:w="589" w:type="pct"/>
            <w:tcBorders>
              <w:top w:val="nil"/>
              <w:left w:val="nil"/>
              <w:bottom w:val="single" w:sz="4" w:space="0" w:color="auto"/>
              <w:right w:val="single" w:sz="4" w:space="0" w:color="auto"/>
            </w:tcBorders>
            <w:shd w:val="clear" w:color="auto" w:fill="auto"/>
            <w:vAlign w:val="center"/>
          </w:tcPr>
          <w:p w14:paraId="1C10C36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2" w:type="pct"/>
            <w:tcBorders>
              <w:top w:val="nil"/>
              <w:left w:val="nil"/>
              <w:bottom w:val="single" w:sz="4" w:space="0" w:color="auto"/>
              <w:right w:val="single" w:sz="4" w:space="0" w:color="auto"/>
            </w:tcBorders>
            <w:shd w:val="clear" w:color="auto" w:fill="auto"/>
            <w:vAlign w:val="center"/>
          </w:tcPr>
          <w:p w14:paraId="4A251D4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6" w:type="pct"/>
            <w:tcBorders>
              <w:top w:val="nil"/>
              <w:left w:val="nil"/>
              <w:bottom w:val="single" w:sz="4" w:space="0" w:color="auto"/>
              <w:right w:val="single" w:sz="4" w:space="0" w:color="auto"/>
            </w:tcBorders>
            <w:shd w:val="clear" w:color="auto" w:fill="auto"/>
            <w:vAlign w:val="center"/>
          </w:tcPr>
          <w:p w14:paraId="0CE05AD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bl>
    <w:p w14:paraId="7493E4C7" w14:textId="77777777" w:rsidR="002133E3" w:rsidRDefault="00C22CFA">
      <w:pPr>
        <w:widowControl/>
        <w:adjustRightInd w:val="0"/>
        <w:snapToGrid w:val="0"/>
        <w:spacing w:line="500" w:lineRule="atLeast"/>
        <w:ind w:firstLineChars="200" w:firstLine="560"/>
        <w:rPr>
          <w:rFonts w:ascii="Times New Roman" w:eastAsia="宋体" w:hAnsi="Times New Roman" w:cs="Times New Roman"/>
          <w:caps/>
          <w:kern w:val="0"/>
          <w:sz w:val="28"/>
          <w:szCs w:val="28"/>
        </w:rPr>
      </w:pP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酒精生产</w:t>
      </w:r>
      <w:r>
        <w:rPr>
          <w:rFonts w:ascii="Times New Roman" w:eastAsia="宋体" w:hAnsi="Times New Roman" w:cs="Times New Roman"/>
          <w:caps/>
          <w:kern w:val="0"/>
          <w:sz w:val="28"/>
          <w:szCs w:val="28"/>
        </w:rPr>
        <w:t>过程中废气、废水、副产物产生情况见表</w:t>
      </w:r>
      <w:r>
        <w:rPr>
          <w:rFonts w:ascii="Times New Roman" w:eastAsia="宋体" w:hAnsi="Times New Roman" w:cs="Times New Roman"/>
          <w:caps/>
          <w:kern w:val="0"/>
          <w:sz w:val="28"/>
          <w:szCs w:val="28"/>
        </w:rPr>
        <w:t>4.2-10</w:t>
      </w:r>
      <w:r>
        <w:rPr>
          <w:rFonts w:ascii="Times New Roman" w:eastAsia="宋体" w:hAnsi="Times New Roman" w:cs="Times New Roman"/>
          <w:caps/>
          <w:kern w:val="0"/>
          <w:sz w:val="28"/>
          <w:szCs w:val="28"/>
        </w:rPr>
        <w:t>～</w:t>
      </w:r>
      <w:r>
        <w:rPr>
          <w:rFonts w:ascii="Times New Roman" w:eastAsia="宋体" w:hAnsi="Times New Roman" w:cs="Times New Roman"/>
          <w:caps/>
          <w:kern w:val="0"/>
          <w:sz w:val="28"/>
          <w:szCs w:val="28"/>
        </w:rPr>
        <w:t>12</w:t>
      </w:r>
      <w:r>
        <w:rPr>
          <w:rFonts w:ascii="Times New Roman" w:eastAsia="宋体" w:hAnsi="Times New Roman" w:cs="Times New Roman"/>
          <w:caps/>
          <w:kern w:val="0"/>
          <w:sz w:val="28"/>
          <w:szCs w:val="28"/>
        </w:rPr>
        <w:t>。</w:t>
      </w:r>
    </w:p>
    <w:p w14:paraId="68BC8BD2" w14:textId="77777777" w:rsidR="002133E3" w:rsidRDefault="00C22CFA">
      <w:pPr>
        <w:widowControl/>
        <w:adjustRightInd w:val="0"/>
        <w:snapToGrid w:val="0"/>
        <w:spacing w:line="500" w:lineRule="atLeast"/>
        <w:ind w:firstLine="200"/>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4.2-10  5</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酒精生产废气产生情况表</w:t>
      </w:r>
    </w:p>
    <w:tbl>
      <w:tblPr>
        <w:tblW w:w="5000" w:type="pct"/>
        <w:tblLook w:val="04A0" w:firstRow="1" w:lastRow="0" w:firstColumn="1" w:lastColumn="0" w:noHBand="0" w:noVBand="1"/>
      </w:tblPr>
      <w:tblGrid>
        <w:gridCol w:w="865"/>
        <w:gridCol w:w="1015"/>
        <w:gridCol w:w="1596"/>
        <w:gridCol w:w="1597"/>
        <w:gridCol w:w="2466"/>
        <w:gridCol w:w="2315"/>
      </w:tblGrid>
      <w:tr w:rsidR="002133E3" w14:paraId="58934E5A" w14:textId="77777777">
        <w:trPr>
          <w:trHeight w:val="270"/>
        </w:trPr>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244CD5E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类型</w:t>
            </w:r>
          </w:p>
        </w:tc>
        <w:tc>
          <w:tcPr>
            <w:tcW w:w="1015" w:type="dxa"/>
            <w:tcBorders>
              <w:top w:val="single" w:sz="4" w:space="0" w:color="auto"/>
              <w:left w:val="nil"/>
              <w:bottom w:val="single" w:sz="4" w:space="0" w:color="auto"/>
              <w:right w:val="single" w:sz="4" w:space="0" w:color="auto"/>
            </w:tcBorders>
            <w:shd w:val="clear" w:color="auto" w:fill="auto"/>
            <w:vAlign w:val="center"/>
          </w:tcPr>
          <w:p w14:paraId="32B7A86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代码</w:t>
            </w:r>
          </w:p>
        </w:tc>
        <w:tc>
          <w:tcPr>
            <w:tcW w:w="1596" w:type="dxa"/>
            <w:tcBorders>
              <w:top w:val="single" w:sz="4" w:space="0" w:color="auto"/>
              <w:left w:val="nil"/>
              <w:bottom w:val="single" w:sz="4" w:space="0" w:color="auto"/>
              <w:right w:val="single" w:sz="4" w:space="0" w:color="auto"/>
            </w:tcBorders>
            <w:shd w:val="clear" w:color="auto" w:fill="auto"/>
            <w:vAlign w:val="center"/>
          </w:tcPr>
          <w:p w14:paraId="4AC395C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污染物名称</w:t>
            </w:r>
          </w:p>
        </w:tc>
        <w:tc>
          <w:tcPr>
            <w:tcW w:w="1597" w:type="dxa"/>
            <w:tcBorders>
              <w:top w:val="single" w:sz="4" w:space="0" w:color="auto"/>
              <w:left w:val="nil"/>
              <w:bottom w:val="single" w:sz="4" w:space="0" w:color="auto"/>
              <w:right w:val="single" w:sz="4" w:space="0" w:color="auto"/>
            </w:tcBorders>
            <w:shd w:val="clear" w:color="auto" w:fill="auto"/>
            <w:vAlign w:val="center"/>
          </w:tcPr>
          <w:p w14:paraId="4C56263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产生量</w:t>
            </w:r>
            <w:r>
              <w:rPr>
                <w:rFonts w:ascii="Times New Roman" w:eastAsia="宋体" w:hAnsi="Times New Roman" w:cs="Times New Roman"/>
                <w:color w:val="000000"/>
                <w:kern w:val="0"/>
                <w:szCs w:val="21"/>
              </w:rPr>
              <w:t>(t/a)</w:t>
            </w:r>
          </w:p>
        </w:tc>
        <w:tc>
          <w:tcPr>
            <w:tcW w:w="2466" w:type="dxa"/>
            <w:tcBorders>
              <w:top w:val="single" w:sz="4" w:space="0" w:color="auto"/>
              <w:left w:val="nil"/>
              <w:bottom w:val="single" w:sz="4" w:space="0" w:color="auto"/>
              <w:right w:val="single" w:sz="4" w:space="0" w:color="auto"/>
            </w:tcBorders>
            <w:shd w:val="clear" w:color="auto" w:fill="auto"/>
            <w:vAlign w:val="center"/>
          </w:tcPr>
          <w:p w14:paraId="2005294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产生速率</w:t>
            </w:r>
            <w:r>
              <w:rPr>
                <w:rFonts w:ascii="Times New Roman" w:eastAsia="宋体" w:hAnsi="Times New Roman" w:cs="Times New Roman"/>
                <w:color w:val="000000"/>
                <w:kern w:val="0"/>
                <w:szCs w:val="21"/>
              </w:rPr>
              <w:t>(kg/h)</w:t>
            </w:r>
          </w:p>
        </w:tc>
        <w:tc>
          <w:tcPr>
            <w:tcW w:w="2315" w:type="dxa"/>
            <w:tcBorders>
              <w:top w:val="single" w:sz="4" w:space="0" w:color="auto"/>
              <w:left w:val="nil"/>
              <w:bottom w:val="single" w:sz="4" w:space="0" w:color="auto"/>
              <w:right w:val="single" w:sz="4" w:space="0" w:color="auto"/>
            </w:tcBorders>
            <w:shd w:val="clear" w:color="auto" w:fill="auto"/>
            <w:vAlign w:val="center"/>
          </w:tcPr>
          <w:p w14:paraId="010C869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排放时间</w:t>
            </w:r>
            <w:r>
              <w:rPr>
                <w:rFonts w:ascii="Times New Roman" w:eastAsia="宋体" w:hAnsi="Times New Roman" w:cs="Times New Roman"/>
                <w:color w:val="000000"/>
                <w:kern w:val="0"/>
                <w:szCs w:val="21"/>
              </w:rPr>
              <w:t>(h)</w:t>
            </w:r>
          </w:p>
        </w:tc>
      </w:tr>
      <w:tr w:rsidR="002133E3" w14:paraId="0E5614C6" w14:textId="77777777">
        <w:trPr>
          <w:trHeight w:val="270"/>
        </w:trPr>
        <w:tc>
          <w:tcPr>
            <w:tcW w:w="865" w:type="dxa"/>
            <w:vMerge w:val="restart"/>
            <w:tcBorders>
              <w:top w:val="nil"/>
              <w:left w:val="single" w:sz="4" w:space="0" w:color="auto"/>
              <w:bottom w:val="single" w:sz="4" w:space="0" w:color="auto"/>
              <w:right w:val="single" w:sz="4" w:space="0" w:color="auto"/>
            </w:tcBorders>
            <w:shd w:val="clear" w:color="auto" w:fill="auto"/>
            <w:noWrap/>
            <w:vAlign w:val="center"/>
          </w:tcPr>
          <w:p w14:paraId="2631BF3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有组织废气</w:t>
            </w:r>
          </w:p>
        </w:tc>
        <w:tc>
          <w:tcPr>
            <w:tcW w:w="1015" w:type="dxa"/>
            <w:vMerge w:val="restart"/>
            <w:tcBorders>
              <w:top w:val="nil"/>
              <w:left w:val="single" w:sz="4" w:space="0" w:color="auto"/>
              <w:bottom w:val="single" w:sz="4" w:space="0" w:color="auto"/>
              <w:right w:val="single" w:sz="4" w:space="0" w:color="auto"/>
            </w:tcBorders>
            <w:shd w:val="clear" w:color="auto" w:fill="auto"/>
            <w:vAlign w:val="center"/>
          </w:tcPr>
          <w:p w14:paraId="5D80A0B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G1-7</w:t>
            </w:r>
          </w:p>
        </w:tc>
        <w:tc>
          <w:tcPr>
            <w:tcW w:w="1596" w:type="dxa"/>
            <w:tcBorders>
              <w:top w:val="nil"/>
              <w:left w:val="nil"/>
              <w:bottom w:val="single" w:sz="4" w:space="0" w:color="auto"/>
              <w:right w:val="single" w:sz="4" w:space="0" w:color="auto"/>
            </w:tcBorders>
            <w:shd w:val="clear" w:color="auto" w:fill="auto"/>
            <w:noWrap/>
            <w:vAlign w:val="center"/>
          </w:tcPr>
          <w:p w14:paraId="2AA1F46E"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597" w:type="dxa"/>
            <w:tcBorders>
              <w:top w:val="nil"/>
              <w:left w:val="nil"/>
              <w:bottom w:val="single" w:sz="4" w:space="0" w:color="auto"/>
              <w:right w:val="single" w:sz="4" w:space="0" w:color="auto"/>
            </w:tcBorders>
            <w:shd w:val="clear" w:color="auto" w:fill="auto"/>
            <w:noWrap/>
            <w:vAlign w:val="center"/>
          </w:tcPr>
          <w:p w14:paraId="222AEE0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8.00 </w:t>
            </w:r>
          </w:p>
        </w:tc>
        <w:tc>
          <w:tcPr>
            <w:tcW w:w="2466" w:type="dxa"/>
            <w:tcBorders>
              <w:top w:val="nil"/>
              <w:left w:val="nil"/>
              <w:bottom w:val="single" w:sz="4" w:space="0" w:color="auto"/>
              <w:right w:val="single" w:sz="4" w:space="0" w:color="auto"/>
            </w:tcBorders>
            <w:shd w:val="clear" w:color="auto" w:fill="auto"/>
            <w:noWrap/>
            <w:vAlign w:val="center"/>
          </w:tcPr>
          <w:p w14:paraId="63FAB37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1.11 </w:t>
            </w:r>
          </w:p>
        </w:tc>
        <w:tc>
          <w:tcPr>
            <w:tcW w:w="2315" w:type="dxa"/>
            <w:tcBorders>
              <w:top w:val="nil"/>
              <w:left w:val="nil"/>
              <w:bottom w:val="single" w:sz="4" w:space="0" w:color="auto"/>
              <w:right w:val="single" w:sz="4" w:space="0" w:color="auto"/>
            </w:tcBorders>
            <w:shd w:val="clear" w:color="auto" w:fill="auto"/>
            <w:vAlign w:val="center"/>
          </w:tcPr>
          <w:p w14:paraId="23C317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7D9BC0F3"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1767A522"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7E36BB7A"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14C32505"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水蒸气</w:t>
            </w:r>
          </w:p>
        </w:tc>
        <w:tc>
          <w:tcPr>
            <w:tcW w:w="1597" w:type="dxa"/>
            <w:tcBorders>
              <w:top w:val="nil"/>
              <w:left w:val="nil"/>
              <w:bottom w:val="single" w:sz="4" w:space="0" w:color="auto"/>
              <w:right w:val="single" w:sz="4" w:space="0" w:color="auto"/>
            </w:tcBorders>
            <w:shd w:val="clear" w:color="auto" w:fill="auto"/>
            <w:noWrap/>
            <w:vAlign w:val="center"/>
          </w:tcPr>
          <w:p w14:paraId="1D6FE14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38.88 </w:t>
            </w:r>
          </w:p>
        </w:tc>
        <w:tc>
          <w:tcPr>
            <w:tcW w:w="2466" w:type="dxa"/>
            <w:tcBorders>
              <w:top w:val="nil"/>
              <w:left w:val="nil"/>
              <w:bottom w:val="single" w:sz="4" w:space="0" w:color="auto"/>
              <w:right w:val="single" w:sz="4" w:space="0" w:color="auto"/>
            </w:tcBorders>
            <w:shd w:val="clear" w:color="auto" w:fill="auto"/>
            <w:noWrap/>
            <w:vAlign w:val="center"/>
          </w:tcPr>
          <w:p w14:paraId="6822E81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5.40 </w:t>
            </w:r>
          </w:p>
        </w:tc>
        <w:tc>
          <w:tcPr>
            <w:tcW w:w="2315" w:type="dxa"/>
            <w:tcBorders>
              <w:top w:val="nil"/>
              <w:left w:val="nil"/>
              <w:bottom w:val="single" w:sz="4" w:space="0" w:color="auto"/>
              <w:right w:val="single" w:sz="4" w:space="0" w:color="auto"/>
            </w:tcBorders>
            <w:shd w:val="clear" w:color="auto" w:fill="auto"/>
            <w:vAlign w:val="center"/>
          </w:tcPr>
          <w:p w14:paraId="1E2E9F2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77237942" w14:textId="77777777">
        <w:trPr>
          <w:trHeight w:val="300"/>
        </w:trPr>
        <w:tc>
          <w:tcPr>
            <w:tcW w:w="865" w:type="dxa"/>
            <w:vMerge/>
            <w:tcBorders>
              <w:top w:val="nil"/>
              <w:left w:val="single" w:sz="4" w:space="0" w:color="auto"/>
              <w:bottom w:val="single" w:sz="4" w:space="0" w:color="auto"/>
              <w:right w:val="single" w:sz="4" w:space="0" w:color="auto"/>
            </w:tcBorders>
            <w:vAlign w:val="center"/>
          </w:tcPr>
          <w:p w14:paraId="5B46362B"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tcBorders>
              <w:top w:val="nil"/>
              <w:left w:val="single" w:sz="4" w:space="0" w:color="auto"/>
              <w:bottom w:val="single" w:sz="4" w:space="0" w:color="auto"/>
              <w:right w:val="single" w:sz="4" w:space="0" w:color="auto"/>
            </w:tcBorders>
            <w:shd w:val="clear" w:color="auto" w:fill="auto"/>
            <w:vAlign w:val="center"/>
          </w:tcPr>
          <w:p w14:paraId="2F98EE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G1-8</w:t>
            </w:r>
          </w:p>
        </w:tc>
        <w:tc>
          <w:tcPr>
            <w:tcW w:w="1596" w:type="dxa"/>
            <w:tcBorders>
              <w:top w:val="nil"/>
              <w:left w:val="nil"/>
              <w:bottom w:val="single" w:sz="4" w:space="0" w:color="auto"/>
              <w:right w:val="single" w:sz="4" w:space="0" w:color="auto"/>
            </w:tcBorders>
            <w:shd w:val="clear" w:color="auto" w:fill="auto"/>
            <w:noWrap/>
            <w:vAlign w:val="center"/>
          </w:tcPr>
          <w:p w14:paraId="18F91D44"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CO</w:t>
            </w:r>
            <w:r>
              <w:rPr>
                <w:rFonts w:ascii="Times New Roman" w:eastAsia="宋体" w:hAnsi="Times New Roman" w:cs="Times New Roman"/>
                <w:kern w:val="0"/>
                <w:szCs w:val="21"/>
                <w:vertAlign w:val="subscript"/>
              </w:rPr>
              <w:t>2</w:t>
            </w:r>
          </w:p>
        </w:tc>
        <w:tc>
          <w:tcPr>
            <w:tcW w:w="1597" w:type="dxa"/>
            <w:tcBorders>
              <w:top w:val="nil"/>
              <w:left w:val="nil"/>
              <w:bottom w:val="single" w:sz="4" w:space="0" w:color="auto"/>
              <w:right w:val="single" w:sz="4" w:space="0" w:color="auto"/>
            </w:tcBorders>
            <w:shd w:val="clear" w:color="auto" w:fill="auto"/>
            <w:noWrap/>
            <w:vAlign w:val="center"/>
          </w:tcPr>
          <w:p w14:paraId="27E4718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45981.42 </w:t>
            </w:r>
          </w:p>
        </w:tc>
        <w:tc>
          <w:tcPr>
            <w:tcW w:w="2466" w:type="dxa"/>
            <w:tcBorders>
              <w:top w:val="nil"/>
              <w:left w:val="nil"/>
              <w:bottom w:val="single" w:sz="4" w:space="0" w:color="auto"/>
              <w:right w:val="single" w:sz="4" w:space="0" w:color="auto"/>
            </w:tcBorders>
            <w:shd w:val="clear" w:color="auto" w:fill="auto"/>
            <w:noWrap/>
            <w:vAlign w:val="center"/>
          </w:tcPr>
          <w:p w14:paraId="01E407E3"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6386.31 </w:t>
            </w:r>
          </w:p>
        </w:tc>
        <w:tc>
          <w:tcPr>
            <w:tcW w:w="2315" w:type="dxa"/>
            <w:tcBorders>
              <w:top w:val="nil"/>
              <w:left w:val="nil"/>
              <w:bottom w:val="single" w:sz="4" w:space="0" w:color="auto"/>
              <w:right w:val="single" w:sz="4" w:space="0" w:color="auto"/>
            </w:tcBorders>
            <w:shd w:val="clear" w:color="auto" w:fill="auto"/>
            <w:vAlign w:val="center"/>
          </w:tcPr>
          <w:p w14:paraId="240F39A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3DCB567B"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26EFD5A9"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59E47176"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2BE19722"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597" w:type="dxa"/>
            <w:tcBorders>
              <w:top w:val="nil"/>
              <w:left w:val="nil"/>
              <w:bottom w:val="single" w:sz="4" w:space="0" w:color="auto"/>
              <w:right w:val="single" w:sz="4" w:space="0" w:color="auto"/>
            </w:tcBorders>
            <w:shd w:val="clear" w:color="auto" w:fill="auto"/>
            <w:noWrap/>
            <w:vAlign w:val="center"/>
          </w:tcPr>
          <w:p w14:paraId="086FAFF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23.49 </w:t>
            </w:r>
          </w:p>
        </w:tc>
        <w:tc>
          <w:tcPr>
            <w:tcW w:w="2466" w:type="dxa"/>
            <w:tcBorders>
              <w:top w:val="nil"/>
              <w:left w:val="nil"/>
              <w:bottom w:val="single" w:sz="4" w:space="0" w:color="auto"/>
              <w:right w:val="single" w:sz="4" w:space="0" w:color="auto"/>
            </w:tcBorders>
            <w:shd w:val="clear" w:color="auto" w:fill="auto"/>
            <w:noWrap/>
            <w:vAlign w:val="center"/>
          </w:tcPr>
          <w:p w14:paraId="3FBE94E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3.26 </w:t>
            </w:r>
          </w:p>
        </w:tc>
        <w:tc>
          <w:tcPr>
            <w:tcW w:w="2315" w:type="dxa"/>
            <w:tcBorders>
              <w:top w:val="nil"/>
              <w:left w:val="nil"/>
              <w:bottom w:val="single" w:sz="4" w:space="0" w:color="auto"/>
              <w:right w:val="single" w:sz="4" w:space="0" w:color="auto"/>
            </w:tcBorders>
            <w:shd w:val="clear" w:color="auto" w:fill="auto"/>
            <w:vAlign w:val="center"/>
          </w:tcPr>
          <w:p w14:paraId="0D6383F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72AF3251"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3CC170CB"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6410F9DB"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7A4E25CA"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1597" w:type="dxa"/>
            <w:tcBorders>
              <w:top w:val="nil"/>
              <w:left w:val="nil"/>
              <w:bottom w:val="single" w:sz="4" w:space="0" w:color="auto"/>
              <w:right w:val="single" w:sz="4" w:space="0" w:color="auto"/>
            </w:tcBorders>
            <w:shd w:val="clear" w:color="auto" w:fill="auto"/>
            <w:noWrap/>
            <w:vAlign w:val="center"/>
          </w:tcPr>
          <w:p w14:paraId="230CB16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0.01 </w:t>
            </w:r>
          </w:p>
        </w:tc>
        <w:tc>
          <w:tcPr>
            <w:tcW w:w="2466" w:type="dxa"/>
            <w:tcBorders>
              <w:top w:val="nil"/>
              <w:left w:val="nil"/>
              <w:bottom w:val="single" w:sz="4" w:space="0" w:color="auto"/>
              <w:right w:val="single" w:sz="4" w:space="0" w:color="auto"/>
            </w:tcBorders>
            <w:shd w:val="clear" w:color="auto" w:fill="auto"/>
            <w:noWrap/>
            <w:vAlign w:val="center"/>
          </w:tcPr>
          <w:p w14:paraId="38FF133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0.002 </w:t>
            </w:r>
          </w:p>
        </w:tc>
        <w:tc>
          <w:tcPr>
            <w:tcW w:w="2315" w:type="dxa"/>
            <w:tcBorders>
              <w:top w:val="nil"/>
              <w:left w:val="nil"/>
              <w:bottom w:val="single" w:sz="4" w:space="0" w:color="auto"/>
              <w:right w:val="single" w:sz="4" w:space="0" w:color="auto"/>
            </w:tcBorders>
            <w:shd w:val="clear" w:color="auto" w:fill="auto"/>
            <w:vAlign w:val="center"/>
          </w:tcPr>
          <w:p w14:paraId="2C91DBE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281B2BE4"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462A4D1B"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5FDCCC10"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348D780D"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水蒸气</w:t>
            </w:r>
          </w:p>
        </w:tc>
        <w:tc>
          <w:tcPr>
            <w:tcW w:w="1597" w:type="dxa"/>
            <w:tcBorders>
              <w:top w:val="nil"/>
              <w:left w:val="nil"/>
              <w:bottom w:val="single" w:sz="4" w:space="0" w:color="auto"/>
              <w:right w:val="single" w:sz="4" w:space="0" w:color="auto"/>
            </w:tcBorders>
            <w:shd w:val="clear" w:color="auto" w:fill="auto"/>
            <w:noWrap/>
            <w:vAlign w:val="center"/>
          </w:tcPr>
          <w:p w14:paraId="3243565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25.79 </w:t>
            </w:r>
          </w:p>
        </w:tc>
        <w:tc>
          <w:tcPr>
            <w:tcW w:w="2466" w:type="dxa"/>
            <w:tcBorders>
              <w:top w:val="nil"/>
              <w:left w:val="nil"/>
              <w:bottom w:val="single" w:sz="4" w:space="0" w:color="auto"/>
              <w:right w:val="single" w:sz="4" w:space="0" w:color="auto"/>
            </w:tcBorders>
            <w:shd w:val="clear" w:color="auto" w:fill="auto"/>
            <w:noWrap/>
            <w:vAlign w:val="center"/>
          </w:tcPr>
          <w:p w14:paraId="5C53928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3.58 </w:t>
            </w:r>
          </w:p>
        </w:tc>
        <w:tc>
          <w:tcPr>
            <w:tcW w:w="2315" w:type="dxa"/>
            <w:tcBorders>
              <w:top w:val="nil"/>
              <w:left w:val="nil"/>
              <w:bottom w:val="single" w:sz="4" w:space="0" w:color="auto"/>
              <w:right w:val="single" w:sz="4" w:space="0" w:color="auto"/>
            </w:tcBorders>
            <w:shd w:val="clear" w:color="auto" w:fill="auto"/>
            <w:vAlign w:val="center"/>
          </w:tcPr>
          <w:p w14:paraId="0D2A3AB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5CACFE83" w14:textId="77777777">
        <w:trPr>
          <w:trHeight w:val="285"/>
        </w:trPr>
        <w:tc>
          <w:tcPr>
            <w:tcW w:w="865" w:type="dxa"/>
            <w:vMerge/>
            <w:tcBorders>
              <w:top w:val="nil"/>
              <w:left w:val="single" w:sz="4" w:space="0" w:color="auto"/>
              <w:bottom w:val="single" w:sz="4" w:space="0" w:color="auto"/>
              <w:right w:val="single" w:sz="4" w:space="0" w:color="auto"/>
            </w:tcBorders>
            <w:vAlign w:val="center"/>
          </w:tcPr>
          <w:p w14:paraId="356F8027"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tcBorders>
              <w:top w:val="nil"/>
              <w:left w:val="single" w:sz="4" w:space="0" w:color="auto"/>
              <w:bottom w:val="single" w:sz="4" w:space="0" w:color="auto"/>
              <w:right w:val="single" w:sz="4" w:space="0" w:color="auto"/>
            </w:tcBorders>
            <w:shd w:val="clear" w:color="auto" w:fill="auto"/>
            <w:vAlign w:val="center"/>
          </w:tcPr>
          <w:p w14:paraId="1194261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G1-9</w:t>
            </w:r>
          </w:p>
        </w:tc>
        <w:tc>
          <w:tcPr>
            <w:tcW w:w="1596" w:type="dxa"/>
            <w:tcBorders>
              <w:top w:val="nil"/>
              <w:left w:val="nil"/>
              <w:bottom w:val="single" w:sz="4" w:space="0" w:color="auto"/>
              <w:right w:val="single" w:sz="4" w:space="0" w:color="auto"/>
            </w:tcBorders>
            <w:shd w:val="clear" w:color="auto" w:fill="auto"/>
            <w:noWrap/>
            <w:vAlign w:val="center"/>
          </w:tcPr>
          <w:p w14:paraId="7B863CF5"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1597" w:type="dxa"/>
            <w:tcBorders>
              <w:top w:val="nil"/>
              <w:left w:val="nil"/>
              <w:bottom w:val="single" w:sz="4" w:space="0" w:color="auto"/>
              <w:right w:val="single" w:sz="4" w:space="0" w:color="auto"/>
            </w:tcBorders>
            <w:shd w:val="clear" w:color="auto" w:fill="auto"/>
            <w:noWrap/>
            <w:vAlign w:val="center"/>
          </w:tcPr>
          <w:p w14:paraId="67DD85D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2.74 </w:t>
            </w:r>
          </w:p>
        </w:tc>
        <w:tc>
          <w:tcPr>
            <w:tcW w:w="2466" w:type="dxa"/>
            <w:tcBorders>
              <w:top w:val="nil"/>
              <w:left w:val="nil"/>
              <w:bottom w:val="single" w:sz="4" w:space="0" w:color="auto"/>
              <w:right w:val="single" w:sz="4" w:space="0" w:color="auto"/>
            </w:tcBorders>
            <w:shd w:val="clear" w:color="auto" w:fill="auto"/>
            <w:noWrap/>
            <w:vAlign w:val="center"/>
          </w:tcPr>
          <w:p w14:paraId="3863F58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0.38 </w:t>
            </w:r>
          </w:p>
        </w:tc>
        <w:tc>
          <w:tcPr>
            <w:tcW w:w="2315" w:type="dxa"/>
            <w:tcBorders>
              <w:top w:val="nil"/>
              <w:left w:val="nil"/>
              <w:bottom w:val="single" w:sz="4" w:space="0" w:color="auto"/>
              <w:right w:val="single" w:sz="4" w:space="0" w:color="auto"/>
            </w:tcBorders>
            <w:shd w:val="clear" w:color="auto" w:fill="auto"/>
            <w:vAlign w:val="center"/>
          </w:tcPr>
          <w:p w14:paraId="6DCFEC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2352EEE6"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73ACD25C"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480F0D68"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04821D89"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597" w:type="dxa"/>
            <w:tcBorders>
              <w:top w:val="nil"/>
              <w:left w:val="nil"/>
              <w:bottom w:val="single" w:sz="4" w:space="0" w:color="auto"/>
              <w:right w:val="single" w:sz="4" w:space="0" w:color="auto"/>
            </w:tcBorders>
            <w:shd w:val="clear" w:color="auto" w:fill="auto"/>
            <w:noWrap/>
            <w:vAlign w:val="center"/>
          </w:tcPr>
          <w:p w14:paraId="0EB3C09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22.26 </w:t>
            </w:r>
          </w:p>
        </w:tc>
        <w:tc>
          <w:tcPr>
            <w:tcW w:w="2466" w:type="dxa"/>
            <w:tcBorders>
              <w:top w:val="nil"/>
              <w:left w:val="nil"/>
              <w:bottom w:val="single" w:sz="4" w:space="0" w:color="auto"/>
              <w:right w:val="single" w:sz="4" w:space="0" w:color="auto"/>
            </w:tcBorders>
            <w:shd w:val="clear" w:color="auto" w:fill="auto"/>
            <w:noWrap/>
            <w:vAlign w:val="center"/>
          </w:tcPr>
          <w:p w14:paraId="20EF9CE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3.09 </w:t>
            </w:r>
          </w:p>
        </w:tc>
        <w:tc>
          <w:tcPr>
            <w:tcW w:w="2315" w:type="dxa"/>
            <w:tcBorders>
              <w:top w:val="nil"/>
              <w:left w:val="nil"/>
              <w:bottom w:val="single" w:sz="4" w:space="0" w:color="auto"/>
              <w:right w:val="single" w:sz="4" w:space="0" w:color="auto"/>
            </w:tcBorders>
            <w:shd w:val="clear" w:color="auto" w:fill="auto"/>
            <w:vAlign w:val="center"/>
          </w:tcPr>
          <w:p w14:paraId="2362E0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153A8C61"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3FA3A60D"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042618EB"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44969AD4"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1597" w:type="dxa"/>
            <w:tcBorders>
              <w:top w:val="nil"/>
              <w:left w:val="nil"/>
              <w:bottom w:val="single" w:sz="4" w:space="0" w:color="auto"/>
              <w:right w:val="single" w:sz="4" w:space="0" w:color="auto"/>
            </w:tcBorders>
            <w:shd w:val="clear" w:color="auto" w:fill="auto"/>
            <w:noWrap/>
            <w:vAlign w:val="center"/>
          </w:tcPr>
          <w:p w14:paraId="60BE9E5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1.02 </w:t>
            </w:r>
          </w:p>
        </w:tc>
        <w:tc>
          <w:tcPr>
            <w:tcW w:w="2466" w:type="dxa"/>
            <w:tcBorders>
              <w:top w:val="nil"/>
              <w:left w:val="nil"/>
              <w:bottom w:val="single" w:sz="4" w:space="0" w:color="auto"/>
              <w:right w:val="single" w:sz="4" w:space="0" w:color="auto"/>
            </w:tcBorders>
            <w:shd w:val="clear" w:color="auto" w:fill="auto"/>
            <w:noWrap/>
            <w:vAlign w:val="center"/>
          </w:tcPr>
          <w:p w14:paraId="0BCD5BF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0.14 </w:t>
            </w:r>
          </w:p>
        </w:tc>
        <w:tc>
          <w:tcPr>
            <w:tcW w:w="2315" w:type="dxa"/>
            <w:tcBorders>
              <w:top w:val="nil"/>
              <w:left w:val="nil"/>
              <w:bottom w:val="single" w:sz="4" w:space="0" w:color="auto"/>
              <w:right w:val="single" w:sz="4" w:space="0" w:color="auto"/>
            </w:tcBorders>
            <w:shd w:val="clear" w:color="auto" w:fill="auto"/>
            <w:vAlign w:val="center"/>
          </w:tcPr>
          <w:p w14:paraId="604D6C2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01F35905" w14:textId="77777777">
        <w:trPr>
          <w:trHeight w:val="285"/>
        </w:trPr>
        <w:tc>
          <w:tcPr>
            <w:tcW w:w="865" w:type="dxa"/>
            <w:vMerge/>
            <w:tcBorders>
              <w:top w:val="nil"/>
              <w:left w:val="single" w:sz="4" w:space="0" w:color="auto"/>
              <w:bottom w:val="single" w:sz="4" w:space="0" w:color="auto"/>
              <w:right w:val="single" w:sz="4" w:space="0" w:color="auto"/>
            </w:tcBorders>
            <w:vAlign w:val="center"/>
          </w:tcPr>
          <w:p w14:paraId="02281CEA"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val="restart"/>
            <w:tcBorders>
              <w:top w:val="nil"/>
              <w:left w:val="single" w:sz="4" w:space="0" w:color="auto"/>
              <w:bottom w:val="single" w:sz="4" w:space="0" w:color="auto"/>
              <w:right w:val="single" w:sz="4" w:space="0" w:color="auto"/>
            </w:tcBorders>
            <w:shd w:val="clear" w:color="auto" w:fill="auto"/>
            <w:vAlign w:val="center"/>
          </w:tcPr>
          <w:p w14:paraId="57E9EE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G1-10</w:t>
            </w:r>
          </w:p>
        </w:tc>
        <w:tc>
          <w:tcPr>
            <w:tcW w:w="1596" w:type="dxa"/>
            <w:tcBorders>
              <w:top w:val="nil"/>
              <w:left w:val="nil"/>
              <w:bottom w:val="single" w:sz="4" w:space="0" w:color="auto"/>
              <w:right w:val="single" w:sz="4" w:space="0" w:color="auto"/>
            </w:tcBorders>
            <w:shd w:val="clear" w:color="auto" w:fill="auto"/>
            <w:noWrap/>
            <w:vAlign w:val="center"/>
          </w:tcPr>
          <w:p w14:paraId="447F3970"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甲醇、醛等</w:t>
            </w:r>
          </w:p>
        </w:tc>
        <w:tc>
          <w:tcPr>
            <w:tcW w:w="1597" w:type="dxa"/>
            <w:tcBorders>
              <w:top w:val="nil"/>
              <w:left w:val="nil"/>
              <w:bottom w:val="single" w:sz="4" w:space="0" w:color="auto"/>
              <w:right w:val="single" w:sz="4" w:space="0" w:color="auto"/>
            </w:tcBorders>
            <w:shd w:val="clear" w:color="auto" w:fill="auto"/>
            <w:noWrap/>
            <w:vAlign w:val="center"/>
          </w:tcPr>
          <w:p w14:paraId="5FCB518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0.02 </w:t>
            </w:r>
          </w:p>
        </w:tc>
        <w:tc>
          <w:tcPr>
            <w:tcW w:w="2466" w:type="dxa"/>
            <w:tcBorders>
              <w:top w:val="nil"/>
              <w:left w:val="nil"/>
              <w:bottom w:val="single" w:sz="4" w:space="0" w:color="auto"/>
              <w:right w:val="single" w:sz="4" w:space="0" w:color="auto"/>
            </w:tcBorders>
            <w:shd w:val="clear" w:color="auto" w:fill="auto"/>
            <w:noWrap/>
            <w:vAlign w:val="center"/>
          </w:tcPr>
          <w:p w14:paraId="1603B21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0.003</w:t>
            </w:r>
          </w:p>
        </w:tc>
        <w:tc>
          <w:tcPr>
            <w:tcW w:w="2315" w:type="dxa"/>
            <w:tcBorders>
              <w:top w:val="nil"/>
              <w:left w:val="nil"/>
              <w:bottom w:val="single" w:sz="4" w:space="0" w:color="auto"/>
              <w:right w:val="single" w:sz="4" w:space="0" w:color="auto"/>
            </w:tcBorders>
            <w:shd w:val="clear" w:color="auto" w:fill="auto"/>
            <w:vAlign w:val="center"/>
          </w:tcPr>
          <w:p w14:paraId="26D2D99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5DBEA35E"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6FAAC764"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05B0387A"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54734F26"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597" w:type="dxa"/>
            <w:tcBorders>
              <w:top w:val="nil"/>
              <w:left w:val="nil"/>
              <w:bottom w:val="single" w:sz="4" w:space="0" w:color="auto"/>
              <w:right w:val="single" w:sz="4" w:space="0" w:color="auto"/>
            </w:tcBorders>
            <w:shd w:val="clear" w:color="auto" w:fill="auto"/>
            <w:noWrap/>
            <w:vAlign w:val="center"/>
          </w:tcPr>
          <w:p w14:paraId="66B052C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24.98 </w:t>
            </w:r>
          </w:p>
        </w:tc>
        <w:tc>
          <w:tcPr>
            <w:tcW w:w="2466" w:type="dxa"/>
            <w:tcBorders>
              <w:top w:val="nil"/>
              <w:left w:val="nil"/>
              <w:bottom w:val="single" w:sz="4" w:space="0" w:color="auto"/>
              <w:right w:val="single" w:sz="4" w:space="0" w:color="auto"/>
            </w:tcBorders>
            <w:shd w:val="clear" w:color="auto" w:fill="auto"/>
            <w:noWrap/>
            <w:vAlign w:val="center"/>
          </w:tcPr>
          <w:p w14:paraId="15654ED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3.47 </w:t>
            </w:r>
          </w:p>
        </w:tc>
        <w:tc>
          <w:tcPr>
            <w:tcW w:w="2315" w:type="dxa"/>
            <w:tcBorders>
              <w:top w:val="nil"/>
              <w:left w:val="nil"/>
              <w:bottom w:val="single" w:sz="4" w:space="0" w:color="auto"/>
              <w:right w:val="single" w:sz="4" w:space="0" w:color="auto"/>
            </w:tcBorders>
            <w:shd w:val="clear" w:color="auto" w:fill="auto"/>
            <w:vAlign w:val="center"/>
          </w:tcPr>
          <w:p w14:paraId="6A8DD20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r w:rsidR="002133E3" w14:paraId="22F0F98A" w14:textId="77777777">
        <w:trPr>
          <w:trHeight w:val="270"/>
        </w:trPr>
        <w:tc>
          <w:tcPr>
            <w:tcW w:w="865" w:type="dxa"/>
            <w:vMerge/>
            <w:tcBorders>
              <w:top w:val="nil"/>
              <w:left w:val="single" w:sz="4" w:space="0" w:color="auto"/>
              <w:bottom w:val="single" w:sz="4" w:space="0" w:color="auto"/>
              <w:right w:val="single" w:sz="4" w:space="0" w:color="auto"/>
            </w:tcBorders>
            <w:vAlign w:val="center"/>
          </w:tcPr>
          <w:p w14:paraId="758E24A9" w14:textId="77777777" w:rsidR="002133E3" w:rsidRDefault="002133E3">
            <w:pPr>
              <w:widowControl/>
              <w:jc w:val="left"/>
              <w:rPr>
                <w:rFonts w:ascii="Times New Roman" w:eastAsia="宋体" w:hAnsi="Times New Roman" w:cs="Times New Roman"/>
                <w:color w:val="000000"/>
                <w:kern w:val="0"/>
                <w:szCs w:val="21"/>
              </w:rPr>
            </w:pPr>
          </w:p>
        </w:tc>
        <w:tc>
          <w:tcPr>
            <w:tcW w:w="1015" w:type="dxa"/>
            <w:vMerge/>
            <w:tcBorders>
              <w:top w:val="nil"/>
              <w:left w:val="single" w:sz="4" w:space="0" w:color="auto"/>
              <w:bottom w:val="single" w:sz="4" w:space="0" w:color="auto"/>
              <w:right w:val="single" w:sz="4" w:space="0" w:color="auto"/>
            </w:tcBorders>
            <w:vAlign w:val="center"/>
          </w:tcPr>
          <w:p w14:paraId="69216D97" w14:textId="77777777" w:rsidR="002133E3" w:rsidRDefault="002133E3">
            <w:pPr>
              <w:widowControl/>
              <w:jc w:val="left"/>
              <w:rPr>
                <w:rFonts w:ascii="Times New Roman" w:eastAsia="宋体" w:hAnsi="Times New Roman" w:cs="Times New Roman"/>
                <w:kern w:val="0"/>
                <w:szCs w:val="21"/>
              </w:rPr>
            </w:pPr>
          </w:p>
        </w:tc>
        <w:tc>
          <w:tcPr>
            <w:tcW w:w="1596" w:type="dxa"/>
            <w:tcBorders>
              <w:top w:val="nil"/>
              <w:left w:val="nil"/>
              <w:bottom w:val="single" w:sz="4" w:space="0" w:color="auto"/>
              <w:right w:val="single" w:sz="4" w:space="0" w:color="auto"/>
            </w:tcBorders>
            <w:shd w:val="clear" w:color="auto" w:fill="auto"/>
            <w:noWrap/>
            <w:vAlign w:val="center"/>
          </w:tcPr>
          <w:p w14:paraId="42761FFC"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1597" w:type="dxa"/>
            <w:tcBorders>
              <w:top w:val="nil"/>
              <w:left w:val="nil"/>
              <w:bottom w:val="single" w:sz="4" w:space="0" w:color="auto"/>
              <w:right w:val="single" w:sz="4" w:space="0" w:color="auto"/>
            </w:tcBorders>
            <w:shd w:val="clear" w:color="auto" w:fill="auto"/>
            <w:noWrap/>
            <w:vAlign w:val="center"/>
          </w:tcPr>
          <w:p w14:paraId="48B5D02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0.22 </w:t>
            </w:r>
          </w:p>
        </w:tc>
        <w:tc>
          <w:tcPr>
            <w:tcW w:w="2466" w:type="dxa"/>
            <w:tcBorders>
              <w:top w:val="nil"/>
              <w:left w:val="nil"/>
              <w:bottom w:val="single" w:sz="4" w:space="0" w:color="auto"/>
              <w:right w:val="single" w:sz="4" w:space="0" w:color="auto"/>
            </w:tcBorders>
            <w:shd w:val="clear" w:color="auto" w:fill="auto"/>
            <w:noWrap/>
            <w:vAlign w:val="center"/>
          </w:tcPr>
          <w:p w14:paraId="01FE43B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0.03 </w:t>
            </w:r>
          </w:p>
        </w:tc>
        <w:tc>
          <w:tcPr>
            <w:tcW w:w="2315" w:type="dxa"/>
            <w:tcBorders>
              <w:top w:val="nil"/>
              <w:left w:val="nil"/>
              <w:bottom w:val="single" w:sz="4" w:space="0" w:color="auto"/>
              <w:right w:val="single" w:sz="4" w:space="0" w:color="auto"/>
            </w:tcBorders>
            <w:shd w:val="clear" w:color="auto" w:fill="auto"/>
            <w:vAlign w:val="center"/>
          </w:tcPr>
          <w:p w14:paraId="12780F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7200 </w:t>
            </w:r>
          </w:p>
        </w:tc>
      </w:tr>
    </w:tbl>
    <w:p w14:paraId="11A1DC75"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4.2-11  5</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酒精生产废水产生情况表</w:t>
      </w:r>
    </w:p>
    <w:tbl>
      <w:tblPr>
        <w:tblW w:w="5000" w:type="pct"/>
        <w:tblLook w:val="04A0" w:firstRow="1" w:lastRow="0" w:firstColumn="1" w:lastColumn="0" w:noHBand="0" w:noVBand="1"/>
      </w:tblPr>
      <w:tblGrid>
        <w:gridCol w:w="2058"/>
        <w:gridCol w:w="1419"/>
        <w:gridCol w:w="1271"/>
        <w:gridCol w:w="1563"/>
        <w:gridCol w:w="1521"/>
        <w:gridCol w:w="2022"/>
      </w:tblGrid>
      <w:tr w:rsidR="002133E3" w14:paraId="0EEB1D50" w14:textId="77777777">
        <w:trPr>
          <w:trHeight w:val="270"/>
        </w:trPr>
        <w:tc>
          <w:tcPr>
            <w:tcW w:w="10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993264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来源</w:t>
            </w:r>
          </w:p>
        </w:tc>
        <w:tc>
          <w:tcPr>
            <w:tcW w:w="72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D2F7CD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水量</w:t>
            </w:r>
            <w:r>
              <w:rPr>
                <w:rFonts w:ascii="Times New Roman" w:eastAsia="宋体" w:hAnsi="Times New Roman" w:cs="Times New Roman"/>
                <w:b/>
                <w:bCs/>
                <w:kern w:val="0"/>
                <w:szCs w:val="21"/>
              </w:rPr>
              <w:t>(m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/a)</w:t>
            </w:r>
          </w:p>
        </w:tc>
        <w:tc>
          <w:tcPr>
            <w:tcW w:w="64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1D4BC76"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污染物名称</w:t>
            </w:r>
          </w:p>
        </w:tc>
        <w:tc>
          <w:tcPr>
            <w:tcW w:w="1565" w:type="pct"/>
            <w:gridSpan w:val="2"/>
            <w:tcBorders>
              <w:top w:val="single" w:sz="4" w:space="0" w:color="auto"/>
              <w:left w:val="nil"/>
              <w:bottom w:val="single" w:sz="4" w:space="0" w:color="auto"/>
              <w:right w:val="single" w:sz="4" w:space="0" w:color="auto"/>
            </w:tcBorders>
            <w:shd w:val="clear" w:color="auto" w:fill="auto"/>
            <w:noWrap/>
            <w:vAlign w:val="center"/>
          </w:tcPr>
          <w:p w14:paraId="694EE6F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污染物产生量</w:t>
            </w:r>
          </w:p>
        </w:tc>
        <w:tc>
          <w:tcPr>
            <w:tcW w:w="102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30055E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处理措施</w:t>
            </w:r>
          </w:p>
        </w:tc>
      </w:tr>
      <w:tr w:rsidR="002133E3" w14:paraId="148E646D" w14:textId="77777777">
        <w:trPr>
          <w:trHeight w:val="270"/>
        </w:trPr>
        <w:tc>
          <w:tcPr>
            <w:tcW w:w="1044" w:type="pct"/>
            <w:vMerge/>
            <w:tcBorders>
              <w:top w:val="single" w:sz="4" w:space="0" w:color="auto"/>
              <w:left w:val="single" w:sz="4" w:space="0" w:color="auto"/>
              <w:bottom w:val="single" w:sz="4" w:space="0" w:color="auto"/>
              <w:right w:val="single" w:sz="4" w:space="0" w:color="auto"/>
            </w:tcBorders>
            <w:vAlign w:val="center"/>
          </w:tcPr>
          <w:p w14:paraId="6CD03C9C" w14:textId="77777777" w:rsidR="002133E3" w:rsidRDefault="002133E3">
            <w:pPr>
              <w:widowControl/>
              <w:jc w:val="left"/>
              <w:rPr>
                <w:rFonts w:ascii="Times New Roman" w:eastAsia="宋体" w:hAnsi="Times New Roman" w:cs="Times New Roman"/>
                <w:b/>
                <w:bCs/>
                <w:kern w:val="0"/>
                <w:szCs w:val="21"/>
              </w:rPr>
            </w:pPr>
          </w:p>
        </w:tc>
        <w:tc>
          <w:tcPr>
            <w:tcW w:w="720" w:type="pct"/>
            <w:vMerge/>
            <w:tcBorders>
              <w:top w:val="single" w:sz="4" w:space="0" w:color="auto"/>
              <w:left w:val="single" w:sz="4" w:space="0" w:color="auto"/>
              <w:bottom w:val="single" w:sz="4" w:space="0" w:color="auto"/>
              <w:right w:val="single" w:sz="4" w:space="0" w:color="auto"/>
            </w:tcBorders>
            <w:vAlign w:val="center"/>
          </w:tcPr>
          <w:p w14:paraId="0BB20F81" w14:textId="77777777" w:rsidR="002133E3" w:rsidRDefault="002133E3">
            <w:pPr>
              <w:widowControl/>
              <w:jc w:val="left"/>
              <w:rPr>
                <w:rFonts w:ascii="Times New Roman" w:eastAsia="宋体" w:hAnsi="Times New Roman" w:cs="Times New Roman"/>
                <w:b/>
                <w:bCs/>
                <w:kern w:val="0"/>
                <w:szCs w:val="21"/>
              </w:rPr>
            </w:pPr>
          </w:p>
        </w:tc>
        <w:tc>
          <w:tcPr>
            <w:tcW w:w="645" w:type="pct"/>
            <w:vMerge/>
            <w:tcBorders>
              <w:top w:val="single" w:sz="4" w:space="0" w:color="auto"/>
              <w:left w:val="single" w:sz="4" w:space="0" w:color="auto"/>
              <w:bottom w:val="single" w:sz="4" w:space="0" w:color="auto"/>
              <w:right w:val="single" w:sz="4" w:space="0" w:color="auto"/>
            </w:tcBorders>
            <w:vAlign w:val="center"/>
          </w:tcPr>
          <w:p w14:paraId="490991D1" w14:textId="77777777" w:rsidR="002133E3" w:rsidRDefault="002133E3">
            <w:pPr>
              <w:widowControl/>
              <w:jc w:val="left"/>
              <w:rPr>
                <w:rFonts w:ascii="Times New Roman" w:eastAsia="宋体" w:hAnsi="Times New Roman" w:cs="Times New Roman"/>
                <w:b/>
                <w:bCs/>
                <w:kern w:val="0"/>
                <w:szCs w:val="21"/>
              </w:rPr>
            </w:pPr>
          </w:p>
        </w:tc>
        <w:tc>
          <w:tcPr>
            <w:tcW w:w="793" w:type="pct"/>
            <w:tcBorders>
              <w:top w:val="nil"/>
              <w:left w:val="nil"/>
              <w:bottom w:val="single" w:sz="4" w:space="0" w:color="auto"/>
              <w:right w:val="single" w:sz="4" w:space="0" w:color="auto"/>
            </w:tcBorders>
            <w:shd w:val="clear" w:color="auto" w:fill="auto"/>
            <w:noWrap/>
            <w:vAlign w:val="center"/>
          </w:tcPr>
          <w:p w14:paraId="0F2BE37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浓度</w:t>
            </w:r>
            <w:r>
              <w:rPr>
                <w:rFonts w:ascii="Times New Roman" w:eastAsia="宋体" w:hAnsi="Times New Roman" w:cs="Times New Roman"/>
                <w:b/>
                <w:bCs/>
                <w:kern w:val="0"/>
                <w:szCs w:val="21"/>
              </w:rPr>
              <w:t>(mg/L)</w:t>
            </w:r>
          </w:p>
        </w:tc>
        <w:tc>
          <w:tcPr>
            <w:tcW w:w="772" w:type="pct"/>
            <w:tcBorders>
              <w:top w:val="nil"/>
              <w:left w:val="nil"/>
              <w:bottom w:val="single" w:sz="4" w:space="0" w:color="auto"/>
              <w:right w:val="single" w:sz="4" w:space="0" w:color="auto"/>
            </w:tcBorders>
            <w:shd w:val="clear" w:color="auto" w:fill="auto"/>
            <w:noWrap/>
            <w:vAlign w:val="center"/>
          </w:tcPr>
          <w:p w14:paraId="21C2B66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产生量</w:t>
            </w:r>
            <w:r>
              <w:rPr>
                <w:rFonts w:ascii="Times New Roman" w:eastAsia="宋体" w:hAnsi="Times New Roman" w:cs="Times New Roman"/>
                <w:b/>
                <w:bCs/>
                <w:kern w:val="0"/>
                <w:szCs w:val="21"/>
              </w:rPr>
              <w:t>(t/a)</w:t>
            </w:r>
          </w:p>
        </w:tc>
        <w:tc>
          <w:tcPr>
            <w:tcW w:w="1026" w:type="pct"/>
            <w:vMerge/>
            <w:tcBorders>
              <w:top w:val="single" w:sz="4" w:space="0" w:color="auto"/>
              <w:left w:val="single" w:sz="4" w:space="0" w:color="auto"/>
              <w:bottom w:val="single" w:sz="4" w:space="0" w:color="auto"/>
              <w:right w:val="single" w:sz="4" w:space="0" w:color="auto"/>
            </w:tcBorders>
            <w:vAlign w:val="center"/>
          </w:tcPr>
          <w:p w14:paraId="45DB9921" w14:textId="77777777" w:rsidR="002133E3" w:rsidRDefault="002133E3">
            <w:pPr>
              <w:widowControl/>
              <w:jc w:val="left"/>
              <w:rPr>
                <w:rFonts w:ascii="Times New Roman" w:eastAsia="宋体" w:hAnsi="Times New Roman" w:cs="Times New Roman"/>
                <w:b/>
                <w:bCs/>
                <w:kern w:val="0"/>
                <w:szCs w:val="21"/>
              </w:rPr>
            </w:pPr>
          </w:p>
        </w:tc>
      </w:tr>
      <w:tr w:rsidR="002133E3" w14:paraId="6A6FF71A" w14:textId="77777777">
        <w:trPr>
          <w:trHeight w:val="270"/>
        </w:trPr>
        <w:tc>
          <w:tcPr>
            <w:tcW w:w="1044" w:type="pct"/>
            <w:vMerge w:val="restart"/>
            <w:tcBorders>
              <w:top w:val="nil"/>
              <w:left w:val="single" w:sz="4" w:space="0" w:color="auto"/>
              <w:bottom w:val="single" w:sz="4" w:space="0" w:color="auto"/>
              <w:right w:val="single" w:sz="4" w:space="0" w:color="auto"/>
            </w:tcBorders>
            <w:shd w:val="clear" w:color="auto" w:fill="auto"/>
            <w:noWrap/>
            <w:vAlign w:val="center"/>
          </w:tcPr>
          <w:p w14:paraId="35AF707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W1-5</w:t>
            </w:r>
          </w:p>
        </w:tc>
        <w:tc>
          <w:tcPr>
            <w:tcW w:w="720" w:type="pct"/>
            <w:vMerge w:val="restart"/>
            <w:tcBorders>
              <w:top w:val="nil"/>
              <w:left w:val="single" w:sz="4" w:space="0" w:color="auto"/>
              <w:bottom w:val="single" w:sz="4" w:space="0" w:color="auto"/>
              <w:right w:val="single" w:sz="4" w:space="0" w:color="auto"/>
            </w:tcBorders>
            <w:shd w:val="clear" w:color="auto" w:fill="auto"/>
            <w:noWrap/>
            <w:vAlign w:val="center"/>
          </w:tcPr>
          <w:p w14:paraId="267AF21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541759.64 </w:t>
            </w:r>
          </w:p>
        </w:tc>
        <w:tc>
          <w:tcPr>
            <w:tcW w:w="645" w:type="pct"/>
            <w:tcBorders>
              <w:top w:val="nil"/>
              <w:left w:val="nil"/>
              <w:bottom w:val="single" w:sz="4" w:space="0" w:color="auto"/>
              <w:right w:val="single" w:sz="4" w:space="0" w:color="auto"/>
            </w:tcBorders>
            <w:shd w:val="clear" w:color="auto" w:fill="auto"/>
            <w:noWrap/>
            <w:vAlign w:val="center"/>
          </w:tcPr>
          <w:p w14:paraId="55A5C97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pH</w:t>
            </w:r>
          </w:p>
        </w:tc>
        <w:tc>
          <w:tcPr>
            <w:tcW w:w="793" w:type="pct"/>
            <w:tcBorders>
              <w:top w:val="nil"/>
              <w:left w:val="nil"/>
              <w:bottom w:val="single" w:sz="4" w:space="0" w:color="auto"/>
              <w:right w:val="single" w:sz="4" w:space="0" w:color="auto"/>
            </w:tcBorders>
            <w:shd w:val="clear" w:color="auto" w:fill="auto"/>
            <w:noWrap/>
            <w:vAlign w:val="center"/>
          </w:tcPr>
          <w:p w14:paraId="542F097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11.82</w:t>
            </w:r>
          </w:p>
        </w:tc>
        <w:tc>
          <w:tcPr>
            <w:tcW w:w="772" w:type="pct"/>
            <w:tcBorders>
              <w:top w:val="nil"/>
              <w:left w:val="nil"/>
              <w:bottom w:val="single" w:sz="4" w:space="0" w:color="auto"/>
              <w:right w:val="single" w:sz="4" w:space="0" w:color="auto"/>
            </w:tcBorders>
            <w:shd w:val="clear" w:color="auto" w:fill="auto"/>
            <w:noWrap/>
            <w:vAlign w:val="center"/>
          </w:tcPr>
          <w:p w14:paraId="2B8BD4C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1026" w:type="pct"/>
            <w:vMerge w:val="restart"/>
            <w:tcBorders>
              <w:top w:val="nil"/>
              <w:left w:val="single" w:sz="4" w:space="0" w:color="auto"/>
              <w:bottom w:val="single" w:sz="4" w:space="0" w:color="auto"/>
              <w:right w:val="single" w:sz="4" w:space="0" w:color="auto"/>
            </w:tcBorders>
            <w:shd w:val="clear" w:color="auto" w:fill="auto"/>
            <w:noWrap/>
            <w:vAlign w:val="center"/>
          </w:tcPr>
          <w:p w14:paraId="2E6EC4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进厂区污水站</w:t>
            </w:r>
          </w:p>
        </w:tc>
      </w:tr>
      <w:tr w:rsidR="002133E3" w14:paraId="155CE76D" w14:textId="77777777">
        <w:trPr>
          <w:trHeight w:val="270"/>
        </w:trPr>
        <w:tc>
          <w:tcPr>
            <w:tcW w:w="1044" w:type="pct"/>
            <w:vMerge/>
            <w:tcBorders>
              <w:top w:val="nil"/>
              <w:left w:val="single" w:sz="4" w:space="0" w:color="auto"/>
              <w:bottom w:val="single" w:sz="4" w:space="0" w:color="auto"/>
              <w:right w:val="single" w:sz="4" w:space="0" w:color="auto"/>
            </w:tcBorders>
            <w:vAlign w:val="center"/>
          </w:tcPr>
          <w:p w14:paraId="6467A00C" w14:textId="77777777" w:rsidR="002133E3" w:rsidRDefault="002133E3">
            <w:pPr>
              <w:widowControl/>
              <w:jc w:val="left"/>
              <w:rPr>
                <w:rFonts w:ascii="Times New Roman" w:eastAsia="宋体" w:hAnsi="Times New Roman" w:cs="Times New Roman"/>
                <w:kern w:val="0"/>
                <w:szCs w:val="21"/>
              </w:rPr>
            </w:pPr>
          </w:p>
        </w:tc>
        <w:tc>
          <w:tcPr>
            <w:tcW w:w="720" w:type="pct"/>
            <w:vMerge/>
            <w:tcBorders>
              <w:top w:val="nil"/>
              <w:left w:val="single" w:sz="4" w:space="0" w:color="auto"/>
              <w:bottom w:val="single" w:sz="4" w:space="0" w:color="auto"/>
              <w:right w:val="single" w:sz="4" w:space="0" w:color="auto"/>
            </w:tcBorders>
            <w:vAlign w:val="center"/>
          </w:tcPr>
          <w:p w14:paraId="7673D302" w14:textId="77777777" w:rsidR="002133E3" w:rsidRDefault="002133E3">
            <w:pPr>
              <w:widowControl/>
              <w:jc w:val="left"/>
              <w:rPr>
                <w:rFonts w:ascii="Times New Roman" w:eastAsia="宋体" w:hAnsi="Times New Roman" w:cs="Times New Roman"/>
                <w:kern w:val="0"/>
                <w:szCs w:val="21"/>
              </w:rPr>
            </w:pPr>
          </w:p>
        </w:tc>
        <w:tc>
          <w:tcPr>
            <w:tcW w:w="645" w:type="pct"/>
            <w:tcBorders>
              <w:top w:val="nil"/>
              <w:left w:val="nil"/>
              <w:bottom w:val="single" w:sz="4" w:space="0" w:color="auto"/>
              <w:right w:val="single" w:sz="4" w:space="0" w:color="auto"/>
            </w:tcBorders>
            <w:shd w:val="clear" w:color="auto" w:fill="auto"/>
            <w:noWrap/>
            <w:vAlign w:val="center"/>
          </w:tcPr>
          <w:p w14:paraId="5472EE1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COD</w:t>
            </w:r>
          </w:p>
        </w:tc>
        <w:tc>
          <w:tcPr>
            <w:tcW w:w="793" w:type="pct"/>
            <w:tcBorders>
              <w:top w:val="nil"/>
              <w:left w:val="nil"/>
              <w:bottom w:val="single" w:sz="4" w:space="0" w:color="auto"/>
              <w:right w:val="single" w:sz="4" w:space="0" w:color="auto"/>
            </w:tcBorders>
            <w:shd w:val="clear" w:color="auto" w:fill="auto"/>
            <w:noWrap/>
            <w:vAlign w:val="bottom"/>
          </w:tcPr>
          <w:p w14:paraId="58248D4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19954 </w:t>
            </w:r>
          </w:p>
        </w:tc>
        <w:tc>
          <w:tcPr>
            <w:tcW w:w="772" w:type="pct"/>
            <w:tcBorders>
              <w:top w:val="nil"/>
              <w:left w:val="nil"/>
              <w:bottom w:val="single" w:sz="4" w:space="0" w:color="auto"/>
              <w:right w:val="single" w:sz="4" w:space="0" w:color="auto"/>
            </w:tcBorders>
            <w:shd w:val="clear" w:color="auto" w:fill="auto"/>
            <w:noWrap/>
            <w:vAlign w:val="bottom"/>
          </w:tcPr>
          <w:p w14:paraId="0D4D652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10810.50</w:t>
            </w:r>
          </w:p>
        </w:tc>
        <w:tc>
          <w:tcPr>
            <w:tcW w:w="1026" w:type="pct"/>
            <w:vMerge/>
            <w:tcBorders>
              <w:top w:val="nil"/>
              <w:left w:val="single" w:sz="4" w:space="0" w:color="auto"/>
              <w:bottom w:val="single" w:sz="4" w:space="0" w:color="auto"/>
              <w:right w:val="single" w:sz="4" w:space="0" w:color="auto"/>
            </w:tcBorders>
            <w:vAlign w:val="center"/>
          </w:tcPr>
          <w:p w14:paraId="6D2DE952" w14:textId="77777777" w:rsidR="002133E3" w:rsidRDefault="002133E3">
            <w:pPr>
              <w:widowControl/>
              <w:jc w:val="left"/>
              <w:rPr>
                <w:rFonts w:ascii="Times New Roman" w:eastAsia="宋体" w:hAnsi="Times New Roman" w:cs="Times New Roman"/>
                <w:kern w:val="0"/>
                <w:szCs w:val="21"/>
              </w:rPr>
            </w:pPr>
          </w:p>
        </w:tc>
      </w:tr>
      <w:tr w:rsidR="002133E3" w14:paraId="5196C185" w14:textId="77777777">
        <w:trPr>
          <w:trHeight w:val="270"/>
        </w:trPr>
        <w:tc>
          <w:tcPr>
            <w:tcW w:w="1044" w:type="pct"/>
            <w:vMerge/>
            <w:tcBorders>
              <w:top w:val="nil"/>
              <w:left w:val="single" w:sz="4" w:space="0" w:color="auto"/>
              <w:bottom w:val="single" w:sz="4" w:space="0" w:color="auto"/>
              <w:right w:val="single" w:sz="4" w:space="0" w:color="auto"/>
            </w:tcBorders>
            <w:vAlign w:val="center"/>
          </w:tcPr>
          <w:p w14:paraId="28270529" w14:textId="77777777" w:rsidR="002133E3" w:rsidRDefault="002133E3">
            <w:pPr>
              <w:widowControl/>
              <w:jc w:val="left"/>
              <w:rPr>
                <w:rFonts w:ascii="Times New Roman" w:eastAsia="宋体" w:hAnsi="Times New Roman" w:cs="Times New Roman"/>
                <w:kern w:val="0"/>
                <w:szCs w:val="21"/>
              </w:rPr>
            </w:pPr>
          </w:p>
        </w:tc>
        <w:tc>
          <w:tcPr>
            <w:tcW w:w="720" w:type="pct"/>
            <w:vMerge/>
            <w:tcBorders>
              <w:top w:val="nil"/>
              <w:left w:val="single" w:sz="4" w:space="0" w:color="auto"/>
              <w:bottom w:val="single" w:sz="4" w:space="0" w:color="auto"/>
              <w:right w:val="single" w:sz="4" w:space="0" w:color="auto"/>
            </w:tcBorders>
            <w:vAlign w:val="center"/>
          </w:tcPr>
          <w:p w14:paraId="7BFDB116" w14:textId="77777777" w:rsidR="002133E3" w:rsidRDefault="002133E3">
            <w:pPr>
              <w:widowControl/>
              <w:jc w:val="left"/>
              <w:rPr>
                <w:rFonts w:ascii="Times New Roman" w:eastAsia="宋体" w:hAnsi="Times New Roman" w:cs="Times New Roman"/>
                <w:kern w:val="0"/>
                <w:szCs w:val="21"/>
              </w:rPr>
            </w:pPr>
          </w:p>
        </w:tc>
        <w:tc>
          <w:tcPr>
            <w:tcW w:w="645" w:type="pct"/>
            <w:tcBorders>
              <w:top w:val="nil"/>
              <w:left w:val="nil"/>
              <w:bottom w:val="single" w:sz="4" w:space="0" w:color="auto"/>
              <w:right w:val="single" w:sz="4" w:space="0" w:color="auto"/>
            </w:tcBorders>
            <w:shd w:val="clear" w:color="auto" w:fill="auto"/>
            <w:noWrap/>
            <w:vAlign w:val="center"/>
          </w:tcPr>
          <w:p w14:paraId="4E7F85D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SS</w:t>
            </w:r>
          </w:p>
        </w:tc>
        <w:tc>
          <w:tcPr>
            <w:tcW w:w="793" w:type="pct"/>
            <w:tcBorders>
              <w:top w:val="nil"/>
              <w:left w:val="nil"/>
              <w:bottom w:val="single" w:sz="4" w:space="0" w:color="auto"/>
              <w:right w:val="single" w:sz="4" w:space="0" w:color="auto"/>
            </w:tcBorders>
            <w:shd w:val="clear" w:color="auto" w:fill="auto"/>
            <w:noWrap/>
            <w:vAlign w:val="center"/>
          </w:tcPr>
          <w:p w14:paraId="0D3F464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39047.097</w:t>
            </w:r>
          </w:p>
        </w:tc>
        <w:tc>
          <w:tcPr>
            <w:tcW w:w="772" w:type="pct"/>
            <w:tcBorders>
              <w:top w:val="nil"/>
              <w:left w:val="nil"/>
              <w:bottom w:val="single" w:sz="4" w:space="0" w:color="auto"/>
              <w:right w:val="single" w:sz="4" w:space="0" w:color="auto"/>
            </w:tcBorders>
            <w:shd w:val="clear" w:color="auto" w:fill="auto"/>
            <w:noWrap/>
            <w:vAlign w:val="center"/>
          </w:tcPr>
          <w:p w14:paraId="4F77E73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21154.14 </w:t>
            </w:r>
          </w:p>
        </w:tc>
        <w:tc>
          <w:tcPr>
            <w:tcW w:w="1026" w:type="pct"/>
            <w:vMerge/>
            <w:tcBorders>
              <w:top w:val="nil"/>
              <w:left w:val="single" w:sz="4" w:space="0" w:color="auto"/>
              <w:bottom w:val="single" w:sz="4" w:space="0" w:color="auto"/>
              <w:right w:val="single" w:sz="4" w:space="0" w:color="auto"/>
            </w:tcBorders>
            <w:vAlign w:val="center"/>
          </w:tcPr>
          <w:p w14:paraId="45EDDF27" w14:textId="77777777" w:rsidR="002133E3" w:rsidRDefault="002133E3">
            <w:pPr>
              <w:widowControl/>
              <w:jc w:val="left"/>
              <w:rPr>
                <w:rFonts w:ascii="Times New Roman" w:eastAsia="宋体" w:hAnsi="Times New Roman" w:cs="Times New Roman"/>
                <w:kern w:val="0"/>
                <w:szCs w:val="21"/>
              </w:rPr>
            </w:pPr>
          </w:p>
        </w:tc>
      </w:tr>
      <w:tr w:rsidR="002133E3" w14:paraId="576272BA" w14:textId="77777777">
        <w:trPr>
          <w:trHeight w:val="270"/>
        </w:trPr>
        <w:tc>
          <w:tcPr>
            <w:tcW w:w="1044" w:type="pct"/>
            <w:vMerge/>
            <w:tcBorders>
              <w:top w:val="nil"/>
              <w:left w:val="single" w:sz="4" w:space="0" w:color="auto"/>
              <w:bottom w:val="single" w:sz="4" w:space="0" w:color="auto"/>
              <w:right w:val="single" w:sz="4" w:space="0" w:color="auto"/>
            </w:tcBorders>
            <w:vAlign w:val="center"/>
          </w:tcPr>
          <w:p w14:paraId="1F8AE9CE" w14:textId="77777777" w:rsidR="002133E3" w:rsidRDefault="002133E3">
            <w:pPr>
              <w:widowControl/>
              <w:jc w:val="left"/>
              <w:rPr>
                <w:rFonts w:ascii="Times New Roman" w:eastAsia="宋体" w:hAnsi="Times New Roman" w:cs="Times New Roman"/>
                <w:kern w:val="0"/>
                <w:szCs w:val="21"/>
              </w:rPr>
            </w:pPr>
          </w:p>
        </w:tc>
        <w:tc>
          <w:tcPr>
            <w:tcW w:w="720" w:type="pct"/>
            <w:vMerge/>
            <w:tcBorders>
              <w:top w:val="nil"/>
              <w:left w:val="single" w:sz="4" w:space="0" w:color="auto"/>
              <w:bottom w:val="single" w:sz="4" w:space="0" w:color="auto"/>
              <w:right w:val="single" w:sz="4" w:space="0" w:color="auto"/>
            </w:tcBorders>
            <w:vAlign w:val="center"/>
          </w:tcPr>
          <w:p w14:paraId="2F383930" w14:textId="77777777" w:rsidR="002133E3" w:rsidRDefault="002133E3">
            <w:pPr>
              <w:widowControl/>
              <w:jc w:val="left"/>
              <w:rPr>
                <w:rFonts w:ascii="Times New Roman" w:eastAsia="宋体" w:hAnsi="Times New Roman" w:cs="Times New Roman"/>
                <w:kern w:val="0"/>
                <w:szCs w:val="21"/>
              </w:rPr>
            </w:pPr>
          </w:p>
        </w:tc>
        <w:tc>
          <w:tcPr>
            <w:tcW w:w="645" w:type="pct"/>
            <w:tcBorders>
              <w:top w:val="nil"/>
              <w:left w:val="nil"/>
              <w:bottom w:val="single" w:sz="4" w:space="0" w:color="auto"/>
              <w:right w:val="single" w:sz="4" w:space="0" w:color="auto"/>
            </w:tcBorders>
            <w:shd w:val="clear" w:color="auto" w:fill="auto"/>
            <w:noWrap/>
            <w:vAlign w:val="center"/>
          </w:tcPr>
          <w:p w14:paraId="1AF6A681" w14:textId="77777777" w:rsidR="002133E3" w:rsidRDefault="00C22CFA">
            <w:pPr>
              <w:widowControl/>
              <w:jc w:val="center"/>
              <w:rPr>
                <w:rFonts w:ascii="Times New Roman" w:eastAsia="宋体" w:hAnsi="Times New Roman" w:cs="Times New Roman"/>
                <w:kern w:val="0"/>
                <w:szCs w:val="21"/>
              </w:rPr>
            </w:pPr>
            <w:r>
              <w:rPr>
                <w:rFonts w:hint="eastAsia"/>
                <w:szCs w:val="21"/>
              </w:rPr>
              <w:t>总氮</w:t>
            </w:r>
          </w:p>
        </w:tc>
        <w:tc>
          <w:tcPr>
            <w:tcW w:w="793" w:type="pct"/>
            <w:tcBorders>
              <w:top w:val="nil"/>
              <w:left w:val="nil"/>
              <w:bottom w:val="single" w:sz="4" w:space="0" w:color="auto"/>
              <w:right w:val="single" w:sz="4" w:space="0" w:color="auto"/>
            </w:tcBorders>
            <w:shd w:val="clear" w:color="auto" w:fill="auto"/>
            <w:noWrap/>
            <w:vAlign w:val="bottom"/>
          </w:tcPr>
          <w:p w14:paraId="035E61F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88.300</w:t>
            </w:r>
          </w:p>
        </w:tc>
        <w:tc>
          <w:tcPr>
            <w:tcW w:w="772" w:type="pct"/>
            <w:tcBorders>
              <w:top w:val="nil"/>
              <w:left w:val="nil"/>
              <w:bottom w:val="single" w:sz="4" w:space="0" w:color="auto"/>
              <w:right w:val="single" w:sz="4" w:space="0" w:color="auto"/>
            </w:tcBorders>
            <w:shd w:val="clear" w:color="auto" w:fill="auto"/>
            <w:noWrap/>
            <w:vAlign w:val="bottom"/>
          </w:tcPr>
          <w:p w14:paraId="56E0A53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47.84 </w:t>
            </w:r>
          </w:p>
        </w:tc>
        <w:tc>
          <w:tcPr>
            <w:tcW w:w="1026" w:type="pct"/>
            <w:vMerge/>
            <w:tcBorders>
              <w:top w:val="nil"/>
              <w:left w:val="single" w:sz="4" w:space="0" w:color="auto"/>
              <w:bottom w:val="single" w:sz="4" w:space="0" w:color="auto"/>
              <w:right w:val="single" w:sz="4" w:space="0" w:color="auto"/>
            </w:tcBorders>
            <w:vAlign w:val="center"/>
          </w:tcPr>
          <w:p w14:paraId="032FAF3D" w14:textId="77777777" w:rsidR="002133E3" w:rsidRDefault="002133E3">
            <w:pPr>
              <w:widowControl/>
              <w:jc w:val="left"/>
              <w:rPr>
                <w:rFonts w:ascii="Times New Roman" w:eastAsia="宋体" w:hAnsi="Times New Roman" w:cs="Times New Roman"/>
                <w:kern w:val="0"/>
                <w:szCs w:val="21"/>
              </w:rPr>
            </w:pPr>
          </w:p>
        </w:tc>
      </w:tr>
      <w:tr w:rsidR="002133E3" w14:paraId="4DAA69C0" w14:textId="77777777">
        <w:trPr>
          <w:trHeight w:val="270"/>
        </w:trPr>
        <w:tc>
          <w:tcPr>
            <w:tcW w:w="1044" w:type="pct"/>
            <w:vMerge/>
            <w:tcBorders>
              <w:top w:val="nil"/>
              <w:left w:val="single" w:sz="4" w:space="0" w:color="auto"/>
              <w:bottom w:val="single" w:sz="4" w:space="0" w:color="auto"/>
              <w:right w:val="single" w:sz="4" w:space="0" w:color="auto"/>
            </w:tcBorders>
            <w:vAlign w:val="center"/>
          </w:tcPr>
          <w:p w14:paraId="76D832EB" w14:textId="77777777" w:rsidR="002133E3" w:rsidRDefault="002133E3">
            <w:pPr>
              <w:widowControl/>
              <w:jc w:val="left"/>
              <w:rPr>
                <w:rFonts w:ascii="Times New Roman" w:eastAsia="宋体" w:hAnsi="Times New Roman" w:cs="Times New Roman"/>
                <w:kern w:val="0"/>
                <w:szCs w:val="21"/>
              </w:rPr>
            </w:pPr>
          </w:p>
        </w:tc>
        <w:tc>
          <w:tcPr>
            <w:tcW w:w="720" w:type="pct"/>
            <w:vMerge/>
            <w:tcBorders>
              <w:top w:val="nil"/>
              <w:left w:val="single" w:sz="4" w:space="0" w:color="auto"/>
              <w:bottom w:val="single" w:sz="4" w:space="0" w:color="auto"/>
              <w:right w:val="single" w:sz="4" w:space="0" w:color="auto"/>
            </w:tcBorders>
            <w:vAlign w:val="center"/>
          </w:tcPr>
          <w:p w14:paraId="5F26610C" w14:textId="77777777" w:rsidR="002133E3" w:rsidRDefault="002133E3">
            <w:pPr>
              <w:widowControl/>
              <w:jc w:val="left"/>
              <w:rPr>
                <w:rFonts w:ascii="Times New Roman" w:eastAsia="宋体" w:hAnsi="Times New Roman" w:cs="Times New Roman"/>
                <w:kern w:val="0"/>
                <w:szCs w:val="21"/>
              </w:rPr>
            </w:pPr>
          </w:p>
        </w:tc>
        <w:tc>
          <w:tcPr>
            <w:tcW w:w="645" w:type="pct"/>
            <w:tcBorders>
              <w:top w:val="nil"/>
              <w:left w:val="nil"/>
              <w:bottom w:val="single" w:sz="4" w:space="0" w:color="auto"/>
              <w:right w:val="single" w:sz="4" w:space="0" w:color="auto"/>
            </w:tcBorders>
            <w:shd w:val="clear" w:color="auto" w:fill="auto"/>
            <w:noWrap/>
            <w:vAlign w:val="center"/>
          </w:tcPr>
          <w:p w14:paraId="5E65F6FA" w14:textId="77777777" w:rsidR="002133E3" w:rsidRDefault="00C22CFA">
            <w:pPr>
              <w:widowControl/>
              <w:jc w:val="center"/>
              <w:rPr>
                <w:rFonts w:ascii="Times New Roman" w:eastAsia="宋体" w:hAnsi="Times New Roman" w:cs="Times New Roman"/>
                <w:kern w:val="0"/>
                <w:szCs w:val="21"/>
              </w:rPr>
            </w:pPr>
            <w:r>
              <w:rPr>
                <w:rFonts w:hint="eastAsia"/>
                <w:szCs w:val="21"/>
              </w:rPr>
              <w:t>氨氮</w:t>
            </w:r>
          </w:p>
        </w:tc>
        <w:tc>
          <w:tcPr>
            <w:tcW w:w="793" w:type="pct"/>
            <w:tcBorders>
              <w:top w:val="nil"/>
              <w:left w:val="nil"/>
              <w:bottom w:val="single" w:sz="4" w:space="0" w:color="auto"/>
              <w:right w:val="single" w:sz="4" w:space="0" w:color="auto"/>
            </w:tcBorders>
            <w:shd w:val="clear" w:color="auto" w:fill="auto"/>
            <w:noWrap/>
            <w:vAlign w:val="bottom"/>
          </w:tcPr>
          <w:p w14:paraId="08C0CB1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113.529</w:t>
            </w:r>
          </w:p>
        </w:tc>
        <w:tc>
          <w:tcPr>
            <w:tcW w:w="772" w:type="pct"/>
            <w:tcBorders>
              <w:top w:val="nil"/>
              <w:left w:val="nil"/>
              <w:bottom w:val="single" w:sz="4" w:space="0" w:color="auto"/>
              <w:right w:val="single" w:sz="4" w:space="0" w:color="auto"/>
            </w:tcBorders>
            <w:shd w:val="clear" w:color="auto" w:fill="auto"/>
            <w:noWrap/>
            <w:vAlign w:val="bottom"/>
          </w:tcPr>
          <w:p w14:paraId="673ACA0D"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61.51 </w:t>
            </w:r>
          </w:p>
        </w:tc>
        <w:tc>
          <w:tcPr>
            <w:tcW w:w="1026" w:type="pct"/>
            <w:vMerge/>
            <w:tcBorders>
              <w:top w:val="nil"/>
              <w:left w:val="single" w:sz="4" w:space="0" w:color="auto"/>
              <w:bottom w:val="single" w:sz="4" w:space="0" w:color="auto"/>
              <w:right w:val="single" w:sz="4" w:space="0" w:color="auto"/>
            </w:tcBorders>
            <w:vAlign w:val="center"/>
          </w:tcPr>
          <w:p w14:paraId="55663920" w14:textId="77777777" w:rsidR="002133E3" w:rsidRDefault="002133E3">
            <w:pPr>
              <w:widowControl/>
              <w:jc w:val="left"/>
              <w:rPr>
                <w:rFonts w:ascii="Times New Roman" w:eastAsia="宋体" w:hAnsi="Times New Roman" w:cs="Times New Roman"/>
                <w:kern w:val="0"/>
                <w:szCs w:val="21"/>
              </w:rPr>
            </w:pPr>
          </w:p>
        </w:tc>
      </w:tr>
      <w:tr w:rsidR="002133E3" w14:paraId="65D21E7B" w14:textId="77777777">
        <w:trPr>
          <w:trHeight w:val="270"/>
        </w:trPr>
        <w:tc>
          <w:tcPr>
            <w:tcW w:w="1044" w:type="pct"/>
            <w:vMerge/>
            <w:tcBorders>
              <w:top w:val="nil"/>
              <w:left w:val="single" w:sz="4" w:space="0" w:color="auto"/>
              <w:bottom w:val="single" w:sz="4" w:space="0" w:color="auto"/>
              <w:right w:val="single" w:sz="4" w:space="0" w:color="auto"/>
            </w:tcBorders>
            <w:vAlign w:val="center"/>
          </w:tcPr>
          <w:p w14:paraId="1DA7BE86" w14:textId="77777777" w:rsidR="002133E3" w:rsidRDefault="002133E3">
            <w:pPr>
              <w:widowControl/>
              <w:jc w:val="left"/>
              <w:rPr>
                <w:rFonts w:ascii="Times New Roman" w:eastAsia="宋体" w:hAnsi="Times New Roman" w:cs="Times New Roman"/>
                <w:kern w:val="0"/>
                <w:szCs w:val="21"/>
              </w:rPr>
            </w:pPr>
          </w:p>
        </w:tc>
        <w:tc>
          <w:tcPr>
            <w:tcW w:w="720" w:type="pct"/>
            <w:vMerge/>
            <w:tcBorders>
              <w:top w:val="nil"/>
              <w:left w:val="single" w:sz="4" w:space="0" w:color="auto"/>
              <w:bottom w:val="single" w:sz="4" w:space="0" w:color="auto"/>
              <w:right w:val="single" w:sz="4" w:space="0" w:color="auto"/>
            </w:tcBorders>
            <w:vAlign w:val="center"/>
          </w:tcPr>
          <w:p w14:paraId="4744D101" w14:textId="77777777" w:rsidR="002133E3" w:rsidRDefault="002133E3">
            <w:pPr>
              <w:widowControl/>
              <w:jc w:val="left"/>
              <w:rPr>
                <w:rFonts w:ascii="Times New Roman" w:eastAsia="宋体" w:hAnsi="Times New Roman" w:cs="Times New Roman"/>
                <w:kern w:val="0"/>
                <w:szCs w:val="21"/>
              </w:rPr>
            </w:pPr>
          </w:p>
        </w:tc>
        <w:tc>
          <w:tcPr>
            <w:tcW w:w="645" w:type="pct"/>
            <w:tcBorders>
              <w:top w:val="nil"/>
              <w:left w:val="nil"/>
              <w:bottom w:val="single" w:sz="4" w:space="0" w:color="auto"/>
              <w:right w:val="single" w:sz="4" w:space="0" w:color="auto"/>
            </w:tcBorders>
            <w:shd w:val="clear" w:color="auto" w:fill="auto"/>
            <w:noWrap/>
            <w:vAlign w:val="center"/>
          </w:tcPr>
          <w:p w14:paraId="3612E14A" w14:textId="77777777" w:rsidR="002133E3" w:rsidRDefault="00C22CFA">
            <w:pPr>
              <w:widowControl/>
              <w:jc w:val="center"/>
              <w:rPr>
                <w:rFonts w:ascii="Times New Roman" w:eastAsia="宋体" w:hAnsi="Times New Roman" w:cs="Times New Roman"/>
                <w:kern w:val="0"/>
                <w:szCs w:val="21"/>
              </w:rPr>
            </w:pPr>
            <w:r>
              <w:rPr>
                <w:rFonts w:hint="eastAsia"/>
                <w:szCs w:val="21"/>
              </w:rPr>
              <w:t>总磷</w:t>
            </w:r>
          </w:p>
        </w:tc>
        <w:tc>
          <w:tcPr>
            <w:tcW w:w="793" w:type="pct"/>
            <w:tcBorders>
              <w:top w:val="nil"/>
              <w:left w:val="nil"/>
              <w:bottom w:val="single" w:sz="4" w:space="0" w:color="auto"/>
              <w:right w:val="single" w:sz="4" w:space="0" w:color="auto"/>
            </w:tcBorders>
            <w:shd w:val="clear" w:color="auto" w:fill="auto"/>
            <w:noWrap/>
            <w:vAlign w:val="bottom"/>
          </w:tcPr>
          <w:p w14:paraId="0D59AA2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4.976</w:t>
            </w:r>
          </w:p>
        </w:tc>
        <w:tc>
          <w:tcPr>
            <w:tcW w:w="772" w:type="pct"/>
            <w:tcBorders>
              <w:top w:val="nil"/>
              <w:left w:val="nil"/>
              <w:bottom w:val="single" w:sz="4" w:space="0" w:color="auto"/>
              <w:right w:val="single" w:sz="4" w:space="0" w:color="auto"/>
            </w:tcBorders>
            <w:shd w:val="clear" w:color="auto" w:fill="auto"/>
            <w:noWrap/>
            <w:vAlign w:val="bottom"/>
          </w:tcPr>
          <w:p w14:paraId="43E06A1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2.70 </w:t>
            </w:r>
          </w:p>
        </w:tc>
        <w:tc>
          <w:tcPr>
            <w:tcW w:w="1026" w:type="pct"/>
            <w:vMerge/>
            <w:tcBorders>
              <w:top w:val="nil"/>
              <w:left w:val="single" w:sz="4" w:space="0" w:color="auto"/>
              <w:bottom w:val="single" w:sz="4" w:space="0" w:color="auto"/>
              <w:right w:val="single" w:sz="4" w:space="0" w:color="auto"/>
            </w:tcBorders>
            <w:vAlign w:val="center"/>
          </w:tcPr>
          <w:p w14:paraId="1352AD61" w14:textId="77777777" w:rsidR="002133E3" w:rsidRDefault="002133E3">
            <w:pPr>
              <w:widowControl/>
              <w:jc w:val="left"/>
              <w:rPr>
                <w:rFonts w:ascii="Times New Roman" w:eastAsia="宋体" w:hAnsi="Times New Roman" w:cs="Times New Roman"/>
                <w:kern w:val="0"/>
                <w:szCs w:val="21"/>
              </w:rPr>
            </w:pPr>
          </w:p>
        </w:tc>
      </w:tr>
      <w:tr w:rsidR="002133E3" w14:paraId="0189766D" w14:textId="77777777">
        <w:trPr>
          <w:trHeight w:val="270"/>
        </w:trPr>
        <w:tc>
          <w:tcPr>
            <w:tcW w:w="1044" w:type="pct"/>
            <w:vMerge/>
            <w:tcBorders>
              <w:top w:val="nil"/>
              <w:left w:val="single" w:sz="4" w:space="0" w:color="auto"/>
              <w:bottom w:val="single" w:sz="4" w:space="0" w:color="auto"/>
              <w:right w:val="single" w:sz="4" w:space="0" w:color="auto"/>
            </w:tcBorders>
            <w:vAlign w:val="center"/>
          </w:tcPr>
          <w:p w14:paraId="48E83005" w14:textId="77777777" w:rsidR="002133E3" w:rsidRDefault="002133E3">
            <w:pPr>
              <w:widowControl/>
              <w:jc w:val="left"/>
              <w:rPr>
                <w:rFonts w:ascii="Times New Roman" w:eastAsia="宋体" w:hAnsi="Times New Roman" w:cs="Times New Roman"/>
                <w:kern w:val="0"/>
                <w:szCs w:val="21"/>
              </w:rPr>
            </w:pPr>
          </w:p>
        </w:tc>
        <w:tc>
          <w:tcPr>
            <w:tcW w:w="720" w:type="pct"/>
            <w:vMerge/>
            <w:tcBorders>
              <w:top w:val="nil"/>
              <w:left w:val="single" w:sz="4" w:space="0" w:color="auto"/>
              <w:bottom w:val="single" w:sz="4" w:space="0" w:color="auto"/>
              <w:right w:val="single" w:sz="4" w:space="0" w:color="auto"/>
            </w:tcBorders>
            <w:vAlign w:val="center"/>
          </w:tcPr>
          <w:p w14:paraId="0E8719C5" w14:textId="77777777" w:rsidR="002133E3" w:rsidRDefault="002133E3">
            <w:pPr>
              <w:widowControl/>
              <w:jc w:val="left"/>
              <w:rPr>
                <w:rFonts w:ascii="Times New Roman" w:eastAsia="宋体" w:hAnsi="Times New Roman" w:cs="Times New Roman"/>
                <w:kern w:val="0"/>
                <w:szCs w:val="21"/>
              </w:rPr>
            </w:pPr>
          </w:p>
        </w:tc>
        <w:tc>
          <w:tcPr>
            <w:tcW w:w="645" w:type="pct"/>
            <w:tcBorders>
              <w:top w:val="nil"/>
              <w:left w:val="nil"/>
              <w:bottom w:val="single" w:sz="4" w:space="0" w:color="auto"/>
              <w:right w:val="single" w:sz="4" w:space="0" w:color="auto"/>
            </w:tcBorders>
            <w:shd w:val="clear" w:color="auto" w:fill="auto"/>
            <w:noWrap/>
            <w:vAlign w:val="center"/>
          </w:tcPr>
          <w:p w14:paraId="6FF447E5" w14:textId="77777777" w:rsidR="002133E3" w:rsidRDefault="00C22CFA">
            <w:pPr>
              <w:widowControl/>
              <w:jc w:val="center"/>
              <w:rPr>
                <w:rFonts w:ascii="Times New Roman" w:eastAsia="宋体" w:hAnsi="Times New Roman" w:cs="Times New Roman"/>
                <w:kern w:val="0"/>
                <w:szCs w:val="21"/>
              </w:rPr>
            </w:pPr>
            <w:r>
              <w:rPr>
                <w:rFonts w:hint="eastAsia"/>
                <w:szCs w:val="21"/>
              </w:rPr>
              <w:t>盐分</w:t>
            </w:r>
          </w:p>
        </w:tc>
        <w:tc>
          <w:tcPr>
            <w:tcW w:w="793" w:type="pct"/>
            <w:tcBorders>
              <w:top w:val="nil"/>
              <w:left w:val="nil"/>
              <w:bottom w:val="single" w:sz="4" w:space="0" w:color="auto"/>
              <w:right w:val="single" w:sz="4" w:space="0" w:color="auto"/>
            </w:tcBorders>
            <w:shd w:val="clear" w:color="auto" w:fill="auto"/>
            <w:noWrap/>
            <w:vAlign w:val="bottom"/>
          </w:tcPr>
          <w:p w14:paraId="0977184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29.413</w:t>
            </w:r>
          </w:p>
        </w:tc>
        <w:tc>
          <w:tcPr>
            <w:tcW w:w="772" w:type="pct"/>
            <w:tcBorders>
              <w:top w:val="nil"/>
              <w:left w:val="nil"/>
              <w:bottom w:val="single" w:sz="4" w:space="0" w:color="auto"/>
              <w:right w:val="single" w:sz="4" w:space="0" w:color="auto"/>
            </w:tcBorders>
            <w:shd w:val="clear" w:color="auto" w:fill="auto"/>
            <w:noWrap/>
            <w:vAlign w:val="bottom"/>
          </w:tcPr>
          <w:p w14:paraId="38EB077A"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15.93 </w:t>
            </w:r>
          </w:p>
        </w:tc>
        <w:tc>
          <w:tcPr>
            <w:tcW w:w="1026" w:type="pct"/>
            <w:vMerge/>
            <w:tcBorders>
              <w:top w:val="nil"/>
              <w:left w:val="single" w:sz="4" w:space="0" w:color="auto"/>
              <w:bottom w:val="single" w:sz="4" w:space="0" w:color="auto"/>
              <w:right w:val="single" w:sz="4" w:space="0" w:color="auto"/>
            </w:tcBorders>
            <w:vAlign w:val="center"/>
          </w:tcPr>
          <w:p w14:paraId="2B8AA931" w14:textId="77777777" w:rsidR="002133E3" w:rsidRDefault="002133E3">
            <w:pPr>
              <w:widowControl/>
              <w:jc w:val="left"/>
              <w:rPr>
                <w:rFonts w:ascii="Times New Roman" w:eastAsia="宋体" w:hAnsi="Times New Roman" w:cs="Times New Roman"/>
                <w:kern w:val="0"/>
                <w:szCs w:val="21"/>
              </w:rPr>
            </w:pPr>
          </w:p>
        </w:tc>
      </w:tr>
      <w:tr w:rsidR="002133E3" w14:paraId="2C78FB2B" w14:textId="77777777">
        <w:trPr>
          <w:trHeight w:val="270"/>
        </w:trPr>
        <w:tc>
          <w:tcPr>
            <w:tcW w:w="1044" w:type="pct"/>
            <w:vMerge w:val="restart"/>
            <w:tcBorders>
              <w:top w:val="nil"/>
              <w:left w:val="single" w:sz="4" w:space="0" w:color="auto"/>
              <w:bottom w:val="single" w:sz="4" w:space="0" w:color="auto"/>
              <w:right w:val="single" w:sz="4" w:space="0" w:color="auto"/>
            </w:tcBorders>
            <w:shd w:val="clear" w:color="auto" w:fill="auto"/>
            <w:noWrap/>
            <w:vAlign w:val="center"/>
          </w:tcPr>
          <w:p w14:paraId="1190DA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W1-6</w:t>
            </w:r>
          </w:p>
        </w:tc>
        <w:tc>
          <w:tcPr>
            <w:tcW w:w="720" w:type="pct"/>
            <w:vMerge w:val="restart"/>
            <w:tcBorders>
              <w:top w:val="nil"/>
              <w:left w:val="single" w:sz="4" w:space="0" w:color="auto"/>
              <w:bottom w:val="single" w:sz="4" w:space="0" w:color="auto"/>
              <w:right w:val="single" w:sz="4" w:space="0" w:color="auto"/>
            </w:tcBorders>
            <w:shd w:val="clear" w:color="auto" w:fill="auto"/>
            <w:noWrap/>
            <w:vAlign w:val="center"/>
          </w:tcPr>
          <w:p w14:paraId="7D290AA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42626.51 </w:t>
            </w:r>
          </w:p>
        </w:tc>
        <w:tc>
          <w:tcPr>
            <w:tcW w:w="645" w:type="pct"/>
            <w:tcBorders>
              <w:top w:val="nil"/>
              <w:left w:val="nil"/>
              <w:bottom w:val="single" w:sz="4" w:space="0" w:color="auto"/>
              <w:right w:val="single" w:sz="4" w:space="0" w:color="auto"/>
            </w:tcBorders>
            <w:shd w:val="clear" w:color="auto" w:fill="auto"/>
            <w:noWrap/>
            <w:vAlign w:val="center"/>
          </w:tcPr>
          <w:p w14:paraId="2A8AA11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pH</w:t>
            </w:r>
          </w:p>
        </w:tc>
        <w:tc>
          <w:tcPr>
            <w:tcW w:w="793" w:type="pct"/>
            <w:tcBorders>
              <w:top w:val="nil"/>
              <w:left w:val="nil"/>
              <w:bottom w:val="single" w:sz="4" w:space="0" w:color="auto"/>
              <w:right w:val="single" w:sz="4" w:space="0" w:color="auto"/>
            </w:tcBorders>
            <w:shd w:val="clear" w:color="auto" w:fill="auto"/>
            <w:noWrap/>
            <w:vAlign w:val="center"/>
          </w:tcPr>
          <w:p w14:paraId="2353C21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11.70 </w:t>
            </w:r>
          </w:p>
        </w:tc>
        <w:tc>
          <w:tcPr>
            <w:tcW w:w="772" w:type="pct"/>
            <w:tcBorders>
              <w:top w:val="nil"/>
              <w:left w:val="nil"/>
              <w:bottom w:val="single" w:sz="4" w:space="0" w:color="auto"/>
              <w:right w:val="single" w:sz="4" w:space="0" w:color="auto"/>
            </w:tcBorders>
            <w:shd w:val="clear" w:color="auto" w:fill="auto"/>
            <w:noWrap/>
            <w:vAlign w:val="bottom"/>
          </w:tcPr>
          <w:p w14:paraId="5F4A673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1026" w:type="pct"/>
            <w:vMerge/>
            <w:tcBorders>
              <w:top w:val="nil"/>
              <w:left w:val="single" w:sz="4" w:space="0" w:color="auto"/>
              <w:bottom w:val="single" w:sz="4" w:space="0" w:color="auto"/>
              <w:right w:val="single" w:sz="4" w:space="0" w:color="auto"/>
            </w:tcBorders>
            <w:vAlign w:val="center"/>
          </w:tcPr>
          <w:p w14:paraId="446687EA" w14:textId="77777777" w:rsidR="002133E3" w:rsidRDefault="002133E3">
            <w:pPr>
              <w:widowControl/>
              <w:jc w:val="left"/>
              <w:rPr>
                <w:rFonts w:ascii="Times New Roman" w:eastAsia="宋体" w:hAnsi="Times New Roman" w:cs="Times New Roman"/>
                <w:kern w:val="0"/>
                <w:szCs w:val="21"/>
              </w:rPr>
            </w:pPr>
          </w:p>
        </w:tc>
      </w:tr>
      <w:tr w:rsidR="002133E3" w14:paraId="2F22F866" w14:textId="77777777">
        <w:trPr>
          <w:trHeight w:val="270"/>
        </w:trPr>
        <w:tc>
          <w:tcPr>
            <w:tcW w:w="1044" w:type="pct"/>
            <w:vMerge/>
            <w:tcBorders>
              <w:top w:val="nil"/>
              <w:left w:val="single" w:sz="4" w:space="0" w:color="auto"/>
              <w:bottom w:val="single" w:sz="4" w:space="0" w:color="auto"/>
              <w:right w:val="single" w:sz="4" w:space="0" w:color="auto"/>
            </w:tcBorders>
            <w:vAlign w:val="center"/>
          </w:tcPr>
          <w:p w14:paraId="38486E53" w14:textId="77777777" w:rsidR="002133E3" w:rsidRDefault="002133E3">
            <w:pPr>
              <w:widowControl/>
              <w:jc w:val="left"/>
              <w:rPr>
                <w:rFonts w:ascii="Times New Roman" w:eastAsia="宋体" w:hAnsi="Times New Roman" w:cs="Times New Roman"/>
                <w:kern w:val="0"/>
                <w:szCs w:val="21"/>
              </w:rPr>
            </w:pPr>
          </w:p>
        </w:tc>
        <w:tc>
          <w:tcPr>
            <w:tcW w:w="720" w:type="pct"/>
            <w:vMerge/>
            <w:tcBorders>
              <w:top w:val="nil"/>
              <w:left w:val="single" w:sz="4" w:space="0" w:color="auto"/>
              <w:bottom w:val="single" w:sz="4" w:space="0" w:color="auto"/>
              <w:right w:val="single" w:sz="4" w:space="0" w:color="auto"/>
            </w:tcBorders>
            <w:vAlign w:val="center"/>
          </w:tcPr>
          <w:p w14:paraId="4DBD277D" w14:textId="77777777" w:rsidR="002133E3" w:rsidRDefault="002133E3">
            <w:pPr>
              <w:widowControl/>
              <w:jc w:val="left"/>
              <w:rPr>
                <w:rFonts w:ascii="Times New Roman" w:eastAsia="宋体" w:hAnsi="Times New Roman" w:cs="Times New Roman"/>
                <w:kern w:val="0"/>
                <w:szCs w:val="21"/>
              </w:rPr>
            </w:pPr>
          </w:p>
        </w:tc>
        <w:tc>
          <w:tcPr>
            <w:tcW w:w="645" w:type="pct"/>
            <w:tcBorders>
              <w:top w:val="nil"/>
              <w:left w:val="nil"/>
              <w:bottom w:val="single" w:sz="4" w:space="0" w:color="auto"/>
              <w:right w:val="single" w:sz="4" w:space="0" w:color="auto"/>
            </w:tcBorders>
            <w:shd w:val="clear" w:color="auto" w:fill="auto"/>
            <w:noWrap/>
            <w:vAlign w:val="center"/>
          </w:tcPr>
          <w:p w14:paraId="6CA0CF3C" w14:textId="77777777" w:rsidR="002133E3" w:rsidRDefault="00C22CFA">
            <w:pPr>
              <w:widowControl/>
              <w:jc w:val="center"/>
              <w:rPr>
                <w:rFonts w:ascii="Times New Roman" w:eastAsia="宋体" w:hAnsi="Times New Roman" w:cs="Times New Roman"/>
                <w:kern w:val="0"/>
                <w:szCs w:val="21"/>
              </w:rPr>
            </w:pPr>
            <w:r>
              <w:rPr>
                <w:rFonts w:hint="eastAsia"/>
                <w:szCs w:val="21"/>
              </w:rPr>
              <w:t>盐分</w:t>
            </w:r>
          </w:p>
        </w:tc>
        <w:tc>
          <w:tcPr>
            <w:tcW w:w="793" w:type="pct"/>
            <w:tcBorders>
              <w:top w:val="nil"/>
              <w:left w:val="nil"/>
              <w:bottom w:val="single" w:sz="4" w:space="0" w:color="auto"/>
              <w:right w:val="single" w:sz="4" w:space="0" w:color="auto"/>
            </w:tcBorders>
            <w:shd w:val="clear" w:color="auto" w:fill="auto"/>
            <w:noWrap/>
            <w:vAlign w:val="bottom"/>
          </w:tcPr>
          <w:p w14:paraId="703B0F0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199.41 </w:t>
            </w:r>
          </w:p>
        </w:tc>
        <w:tc>
          <w:tcPr>
            <w:tcW w:w="772" w:type="pct"/>
            <w:tcBorders>
              <w:top w:val="nil"/>
              <w:left w:val="nil"/>
              <w:bottom w:val="single" w:sz="4" w:space="0" w:color="auto"/>
              <w:right w:val="single" w:sz="4" w:space="0" w:color="auto"/>
            </w:tcBorders>
            <w:shd w:val="clear" w:color="auto" w:fill="auto"/>
            <w:noWrap/>
            <w:vAlign w:val="bottom"/>
          </w:tcPr>
          <w:p w14:paraId="24BD796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 xml:space="preserve">8.50 </w:t>
            </w:r>
          </w:p>
        </w:tc>
        <w:tc>
          <w:tcPr>
            <w:tcW w:w="1026" w:type="pct"/>
            <w:vMerge/>
            <w:tcBorders>
              <w:top w:val="nil"/>
              <w:left w:val="single" w:sz="4" w:space="0" w:color="auto"/>
              <w:bottom w:val="single" w:sz="4" w:space="0" w:color="auto"/>
              <w:right w:val="single" w:sz="4" w:space="0" w:color="auto"/>
            </w:tcBorders>
            <w:vAlign w:val="center"/>
          </w:tcPr>
          <w:p w14:paraId="13E76539" w14:textId="77777777" w:rsidR="002133E3" w:rsidRDefault="002133E3">
            <w:pPr>
              <w:widowControl/>
              <w:jc w:val="left"/>
              <w:rPr>
                <w:rFonts w:ascii="Times New Roman" w:eastAsia="宋体" w:hAnsi="Times New Roman" w:cs="Times New Roman"/>
                <w:kern w:val="0"/>
                <w:szCs w:val="21"/>
              </w:rPr>
            </w:pPr>
          </w:p>
        </w:tc>
      </w:tr>
    </w:tbl>
    <w:p w14:paraId="6BA03FD6"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4.2-12  5</w:t>
      </w:r>
      <w:r>
        <w:rPr>
          <w:rFonts w:ascii="Times New Roman" w:eastAsia="宋体" w:hAnsi="Times New Roman" w:cs="Times New Roman"/>
          <w:b/>
          <w:bCs/>
          <w:kern w:val="0"/>
          <w:sz w:val="24"/>
          <w:szCs w:val="24"/>
        </w:rPr>
        <w:t>万</w:t>
      </w:r>
      <w:r>
        <w:rPr>
          <w:rFonts w:ascii="Times New Roman" w:eastAsia="宋体" w:hAnsi="Times New Roman" w:cs="Times New Roman"/>
          <w:b/>
          <w:bCs/>
          <w:kern w:val="0"/>
          <w:sz w:val="24"/>
          <w:szCs w:val="24"/>
        </w:rPr>
        <w:t>t/a</w:t>
      </w:r>
      <w:r>
        <w:rPr>
          <w:rFonts w:ascii="Times New Roman" w:eastAsia="宋体" w:hAnsi="Times New Roman" w:cs="Times New Roman"/>
          <w:b/>
          <w:bCs/>
          <w:kern w:val="0"/>
          <w:sz w:val="24"/>
          <w:szCs w:val="24"/>
        </w:rPr>
        <w:t>酒精生产副产物产生情况表</w:t>
      </w:r>
    </w:p>
    <w:tbl>
      <w:tblPr>
        <w:tblW w:w="5000" w:type="pct"/>
        <w:tblLook w:val="04A0" w:firstRow="1" w:lastRow="0" w:firstColumn="1" w:lastColumn="0" w:noHBand="0" w:noVBand="1"/>
      </w:tblPr>
      <w:tblGrid>
        <w:gridCol w:w="437"/>
        <w:gridCol w:w="721"/>
        <w:gridCol w:w="1017"/>
        <w:gridCol w:w="1159"/>
        <w:gridCol w:w="869"/>
        <w:gridCol w:w="869"/>
        <w:gridCol w:w="1161"/>
        <w:gridCol w:w="1161"/>
        <w:gridCol w:w="1305"/>
        <w:gridCol w:w="1155"/>
      </w:tblGrid>
      <w:tr w:rsidR="002133E3" w14:paraId="05EED33B" w14:textId="77777777">
        <w:trPr>
          <w:trHeight w:val="270"/>
        </w:trPr>
        <w:tc>
          <w:tcPr>
            <w:tcW w:w="22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DBDEC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序号</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20287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编号</w:t>
            </w:r>
          </w:p>
        </w:tc>
        <w:tc>
          <w:tcPr>
            <w:tcW w:w="51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BCF78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名称</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270ECF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产生工序</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13F30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形态</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381D0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主要成分</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3BF298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产生量</w:t>
            </w:r>
            <w:r>
              <w:rPr>
                <w:rFonts w:ascii="Times New Roman" w:eastAsia="宋体" w:hAnsi="Times New Roman" w:cs="Times New Roman"/>
                <w:color w:val="000000"/>
                <w:kern w:val="0"/>
                <w:szCs w:val="21"/>
              </w:rPr>
              <w:t>(t/a)</w:t>
            </w:r>
          </w:p>
        </w:tc>
        <w:tc>
          <w:tcPr>
            <w:tcW w:w="1837" w:type="pct"/>
            <w:gridSpan w:val="3"/>
            <w:tcBorders>
              <w:top w:val="single" w:sz="4" w:space="0" w:color="auto"/>
              <w:left w:val="nil"/>
              <w:bottom w:val="single" w:sz="4" w:space="0" w:color="auto"/>
              <w:right w:val="single" w:sz="4" w:space="0" w:color="auto"/>
            </w:tcBorders>
            <w:shd w:val="clear" w:color="auto" w:fill="auto"/>
            <w:vAlign w:val="center"/>
          </w:tcPr>
          <w:p w14:paraId="77A8130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种类判断</w:t>
            </w:r>
          </w:p>
        </w:tc>
      </w:tr>
      <w:tr w:rsidR="002133E3" w14:paraId="74404844" w14:textId="77777777">
        <w:trPr>
          <w:trHeight w:val="270"/>
        </w:trPr>
        <w:tc>
          <w:tcPr>
            <w:tcW w:w="222" w:type="pct"/>
            <w:vMerge/>
            <w:tcBorders>
              <w:top w:val="single" w:sz="4" w:space="0" w:color="auto"/>
              <w:left w:val="single" w:sz="4" w:space="0" w:color="auto"/>
              <w:bottom w:val="single" w:sz="4" w:space="0" w:color="auto"/>
              <w:right w:val="single" w:sz="4" w:space="0" w:color="auto"/>
            </w:tcBorders>
            <w:vAlign w:val="center"/>
          </w:tcPr>
          <w:p w14:paraId="362A3043" w14:textId="77777777" w:rsidR="002133E3" w:rsidRDefault="002133E3">
            <w:pPr>
              <w:widowControl/>
              <w:jc w:val="left"/>
              <w:rPr>
                <w:rFonts w:ascii="Times New Roman" w:eastAsia="宋体" w:hAnsi="Times New Roman" w:cs="Times New Roman"/>
                <w:color w:val="000000"/>
                <w:kern w:val="0"/>
                <w:szCs w:val="21"/>
              </w:rPr>
            </w:pPr>
          </w:p>
        </w:tc>
        <w:tc>
          <w:tcPr>
            <w:tcW w:w="366" w:type="pct"/>
            <w:vMerge/>
            <w:tcBorders>
              <w:top w:val="single" w:sz="4" w:space="0" w:color="auto"/>
              <w:left w:val="single" w:sz="4" w:space="0" w:color="auto"/>
              <w:bottom w:val="single" w:sz="4" w:space="0" w:color="auto"/>
              <w:right w:val="single" w:sz="4" w:space="0" w:color="auto"/>
            </w:tcBorders>
            <w:vAlign w:val="center"/>
          </w:tcPr>
          <w:p w14:paraId="0B8A4C2A" w14:textId="77777777" w:rsidR="002133E3" w:rsidRDefault="002133E3">
            <w:pPr>
              <w:widowControl/>
              <w:jc w:val="left"/>
              <w:rPr>
                <w:rFonts w:ascii="Times New Roman" w:eastAsia="宋体" w:hAnsi="Times New Roman" w:cs="Times New Roman"/>
                <w:color w:val="000000"/>
                <w:kern w:val="0"/>
                <w:szCs w:val="21"/>
              </w:rPr>
            </w:pPr>
          </w:p>
        </w:tc>
        <w:tc>
          <w:tcPr>
            <w:tcW w:w="516" w:type="pct"/>
            <w:vMerge/>
            <w:tcBorders>
              <w:top w:val="single" w:sz="4" w:space="0" w:color="auto"/>
              <w:left w:val="single" w:sz="4" w:space="0" w:color="auto"/>
              <w:bottom w:val="single" w:sz="4" w:space="0" w:color="auto"/>
              <w:right w:val="single" w:sz="4" w:space="0" w:color="auto"/>
            </w:tcBorders>
            <w:vAlign w:val="center"/>
          </w:tcPr>
          <w:p w14:paraId="5398A838" w14:textId="77777777" w:rsidR="002133E3" w:rsidRDefault="002133E3">
            <w:pPr>
              <w:widowControl/>
              <w:jc w:val="left"/>
              <w:rPr>
                <w:rFonts w:ascii="Times New Roman" w:eastAsia="宋体" w:hAnsi="Times New Roman" w:cs="Times New Roman"/>
                <w:color w:val="000000"/>
                <w:kern w:val="0"/>
                <w:szCs w:val="21"/>
              </w:rPr>
            </w:pPr>
          </w:p>
        </w:tc>
        <w:tc>
          <w:tcPr>
            <w:tcW w:w="588" w:type="pct"/>
            <w:vMerge/>
            <w:tcBorders>
              <w:top w:val="single" w:sz="4" w:space="0" w:color="auto"/>
              <w:left w:val="single" w:sz="4" w:space="0" w:color="auto"/>
              <w:bottom w:val="single" w:sz="4" w:space="0" w:color="auto"/>
              <w:right w:val="single" w:sz="4" w:space="0" w:color="auto"/>
            </w:tcBorders>
            <w:vAlign w:val="center"/>
          </w:tcPr>
          <w:p w14:paraId="227A58B1" w14:textId="77777777" w:rsidR="002133E3" w:rsidRDefault="002133E3">
            <w:pPr>
              <w:widowControl/>
              <w:jc w:val="left"/>
              <w:rPr>
                <w:rFonts w:ascii="Times New Roman" w:eastAsia="宋体" w:hAnsi="Times New Roman" w:cs="Times New Roman"/>
                <w:color w:val="000000"/>
                <w:kern w:val="0"/>
                <w:szCs w:val="21"/>
              </w:rPr>
            </w:pPr>
          </w:p>
        </w:tc>
        <w:tc>
          <w:tcPr>
            <w:tcW w:w="441" w:type="pct"/>
            <w:vMerge/>
            <w:tcBorders>
              <w:top w:val="single" w:sz="4" w:space="0" w:color="auto"/>
              <w:left w:val="single" w:sz="4" w:space="0" w:color="auto"/>
              <w:bottom w:val="single" w:sz="4" w:space="0" w:color="auto"/>
              <w:right w:val="single" w:sz="4" w:space="0" w:color="auto"/>
            </w:tcBorders>
            <w:vAlign w:val="center"/>
          </w:tcPr>
          <w:p w14:paraId="4AA94ACD" w14:textId="77777777" w:rsidR="002133E3" w:rsidRDefault="002133E3">
            <w:pPr>
              <w:widowControl/>
              <w:jc w:val="left"/>
              <w:rPr>
                <w:rFonts w:ascii="Times New Roman" w:eastAsia="宋体" w:hAnsi="Times New Roman" w:cs="Times New Roman"/>
                <w:color w:val="000000"/>
                <w:kern w:val="0"/>
                <w:szCs w:val="21"/>
              </w:rPr>
            </w:pPr>
          </w:p>
        </w:tc>
        <w:tc>
          <w:tcPr>
            <w:tcW w:w="441" w:type="pct"/>
            <w:vMerge/>
            <w:tcBorders>
              <w:top w:val="single" w:sz="4" w:space="0" w:color="auto"/>
              <w:left w:val="single" w:sz="4" w:space="0" w:color="auto"/>
              <w:bottom w:val="single" w:sz="4" w:space="0" w:color="auto"/>
              <w:right w:val="single" w:sz="4" w:space="0" w:color="auto"/>
            </w:tcBorders>
            <w:vAlign w:val="center"/>
          </w:tcPr>
          <w:p w14:paraId="5BA785C5" w14:textId="77777777" w:rsidR="002133E3" w:rsidRDefault="002133E3">
            <w:pPr>
              <w:widowControl/>
              <w:jc w:val="left"/>
              <w:rPr>
                <w:rFonts w:ascii="Times New Roman" w:eastAsia="宋体" w:hAnsi="Times New Roman" w:cs="Times New Roman"/>
                <w:color w:val="000000"/>
                <w:kern w:val="0"/>
                <w:szCs w:val="21"/>
              </w:rPr>
            </w:pPr>
          </w:p>
        </w:tc>
        <w:tc>
          <w:tcPr>
            <w:tcW w:w="589" w:type="pct"/>
            <w:vMerge/>
            <w:tcBorders>
              <w:top w:val="single" w:sz="4" w:space="0" w:color="auto"/>
              <w:left w:val="single" w:sz="4" w:space="0" w:color="auto"/>
              <w:bottom w:val="single" w:sz="4" w:space="0" w:color="auto"/>
              <w:right w:val="single" w:sz="4" w:space="0" w:color="auto"/>
            </w:tcBorders>
            <w:vAlign w:val="center"/>
          </w:tcPr>
          <w:p w14:paraId="44C3B49A" w14:textId="77777777" w:rsidR="002133E3" w:rsidRDefault="002133E3">
            <w:pPr>
              <w:widowControl/>
              <w:jc w:val="left"/>
              <w:rPr>
                <w:rFonts w:ascii="Times New Roman" w:eastAsia="宋体" w:hAnsi="Times New Roman" w:cs="Times New Roman"/>
                <w:color w:val="000000"/>
                <w:kern w:val="0"/>
                <w:szCs w:val="21"/>
              </w:rPr>
            </w:pPr>
          </w:p>
        </w:tc>
        <w:tc>
          <w:tcPr>
            <w:tcW w:w="589" w:type="pct"/>
            <w:tcBorders>
              <w:top w:val="nil"/>
              <w:left w:val="nil"/>
              <w:bottom w:val="single" w:sz="4" w:space="0" w:color="auto"/>
              <w:right w:val="single" w:sz="4" w:space="0" w:color="auto"/>
            </w:tcBorders>
            <w:shd w:val="clear" w:color="auto" w:fill="auto"/>
            <w:vAlign w:val="center"/>
          </w:tcPr>
          <w:p w14:paraId="22F4503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固体废物</w:t>
            </w:r>
          </w:p>
        </w:tc>
        <w:tc>
          <w:tcPr>
            <w:tcW w:w="662" w:type="pct"/>
            <w:tcBorders>
              <w:top w:val="nil"/>
              <w:left w:val="nil"/>
              <w:bottom w:val="single" w:sz="4" w:space="0" w:color="auto"/>
              <w:right w:val="single" w:sz="4" w:space="0" w:color="auto"/>
            </w:tcBorders>
            <w:shd w:val="clear" w:color="auto" w:fill="auto"/>
            <w:vAlign w:val="center"/>
          </w:tcPr>
          <w:p w14:paraId="11B600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副产品</w:t>
            </w:r>
          </w:p>
        </w:tc>
        <w:tc>
          <w:tcPr>
            <w:tcW w:w="586" w:type="pct"/>
            <w:tcBorders>
              <w:top w:val="nil"/>
              <w:left w:val="nil"/>
              <w:bottom w:val="single" w:sz="4" w:space="0" w:color="auto"/>
              <w:right w:val="single" w:sz="4" w:space="0" w:color="auto"/>
            </w:tcBorders>
            <w:shd w:val="clear" w:color="auto" w:fill="auto"/>
            <w:vAlign w:val="center"/>
          </w:tcPr>
          <w:p w14:paraId="0E3A78F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判定依据</w:t>
            </w:r>
          </w:p>
        </w:tc>
      </w:tr>
      <w:tr w:rsidR="002133E3" w14:paraId="500B5890" w14:textId="77777777">
        <w:trPr>
          <w:trHeight w:val="270"/>
        </w:trPr>
        <w:tc>
          <w:tcPr>
            <w:tcW w:w="222" w:type="pct"/>
            <w:tcBorders>
              <w:top w:val="nil"/>
              <w:left w:val="single" w:sz="4" w:space="0" w:color="auto"/>
              <w:bottom w:val="single" w:sz="4" w:space="0" w:color="auto"/>
              <w:right w:val="single" w:sz="4" w:space="0" w:color="auto"/>
            </w:tcBorders>
            <w:shd w:val="clear" w:color="auto" w:fill="auto"/>
            <w:vAlign w:val="center"/>
          </w:tcPr>
          <w:p w14:paraId="6121480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lastRenderedPageBreak/>
              <w:t>1</w:t>
            </w:r>
          </w:p>
        </w:tc>
        <w:tc>
          <w:tcPr>
            <w:tcW w:w="366" w:type="pct"/>
            <w:tcBorders>
              <w:top w:val="nil"/>
              <w:left w:val="nil"/>
              <w:bottom w:val="single" w:sz="4" w:space="0" w:color="auto"/>
              <w:right w:val="single" w:sz="4" w:space="0" w:color="auto"/>
            </w:tcBorders>
            <w:shd w:val="clear" w:color="auto" w:fill="auto"/>
            <w:vAlign w:val="center"/>
          </w:tcPr>
          <w:p w14:paraId="54D5CB3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S1-2</w:t>
            </w:r>
          </w:p>
        </w:tc>
        <w:tc>
          <w:tcPr>
            <w:tcW w:w="516" w:type="pct"/>
            <w:tcBorders>
              <w:top w:val="nil"/>
              <w:left w:val="nil"/>
              <w:bottom w:val="single" w:sz="4" w:space="0" w:color="auto"/>
              <w:right w:val="single" w:sz="4" w:space="0" w:color="auto"/>
            </w:tcBorders>
            <w:shd w:val="clear" w:color="auto" w:fill="auto"/>
            <w:noWrap/>
            <w:vAlign w:val="center"/>
          </w:tcPr>
          <w:p w14:paraId="28E1516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杂质</w:t>
            </w:r>
          </w:p>
        </w:tc>
        <w:tc>
          <w:tcPr>
            <w:tcW w:w="588" w:type="pct"/>
            <w:tcBorders>
              <w:top w:val="nil"/>
              <w:left w:val="nil"/>
              <w:bottom w:val="single" w:sz="4" w:space="0" w:color="auto"/>
              <w:right w:val="single" w:sz="4" w:space="0" w:color="auto"/>
            </w:tcBorders>
            <w:shd w:val="clear" w:color="auto" w:fill="auto"/>
            <w:vAlign w:val="center"/>
          </w:tcPr>
          <w:p w14:paraId="66FB8E4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粉碎除杂</w:t>
            </w:r>
          </w:p>
        </w:tc>
        <w:tc>
          <w:tcPr>
            <w:tcW w:w="441" w:type="pct"/>
            <w:tcBorders>
              <w:top w:val="nil"/>
              <w:left w:val="nil"/>
              <w:bottom w:val="single" w:sz="4" w:space="0" w:color="auto"/>
              <w:right w:val="single" w:sz="4" w:space="0" w:color="auto"/>
            </w:tcBorders>
            <w:shd w:val="clear" w:color="auto" w:fill="auto"/>
            <w:vAlign w:val="center"/>
          </w:tcPr>
          <w:p w14:paraId="5B8E927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固态</w:t>
            </w:r>
          </w:p>
        </w:tc>
        <w:tc>
          <w:tcPr>
            <w:tcW w:w="441" w:type="pct"/>
            <w:tcBorders>
              <w:top w:val="nil"/>
              <w:left w:val="nil"/>
              <w:bottom w:val="single" w:sz="4" w:space="0" w:color="auto"/>
              <w:right w:val="single" w:sz="4" w:space="0" w:color="auto"/>
            </w:tcBorders>
            <w:shd w:val="clear" w:color="auto" w:fill="auto"/>
            <w:noWrap/>
            <w:vAlign w:val="center"/>
          </w:tcPr>
          <w:p w14:paraId="0796849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砂石</w:t>
            </w:r>
          </w:p>
        </w:tc>
        <w:tc>
          <w:tcPr>
            <w:tcW w:w="589" w:type="pct"/>
            <w:tcBorders>
              <w:top w:val="nil"/>
              <w:left w:val="nil"/>
              <w:bottom w:val="single" w:sz="4" w:space="0" w:color="auto"/>
              <w:right w:val="single" w:sz="4" w:space="0" w:color="auto"/>
            </w:tcBorders>
            <w:shd w:val="clear" w:color="auto" w:fill="auto"/>
            <w:vAlign w:val="center"/>
          </w:tcPr>
          <w:p w14:paraId="3468D9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3976.00</w:t>
            </w:r>
          </w:p>
        </w:tc>
        <w:tc>
          <w:tcPr>
            <w:tcW w:w="589" w:type="pct"/>
            <w:tcBorders>
              <w:top w:val="nil"/>
              <w:left w:val="nil"/>
              <w:bottom w:val="single" w:sz="4" w:space="0" w:color="auto"/>
              <w:right w:val="single" w:sz="4" w:space="0" w:color="auto"/>
            </w:tcBorders>
            <w:shd w:val="clear" w:color="auto" w:fill="auto"/>
            <w:vAlign w:val="center"/>
          </w:tcPr>
          <w:p w14:paraId="357E950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2" w:type="pct"/>
            <w:tcBorders>
              <w:top w:val="nil"/>
              <w:left w:val="nil"/>
              <w:bottom w:val="single" w:sz="4" w:space="0" w:color="auto"/>
              <w:right w:val="single" w:sz="4" w:space="0" w:color="auto"/>
            </w:tcBorders>
            <w:shd w:val="clear" w:color="auto" w:fill="auto"/>
            <w:vAlign w:val="center"/>
          </w:tcPr>
          <w:p w14:paraId="5428CFA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 xml:space="preserve">　</w:t>
            </w:r>
          </w:p>
        </w:tc>
        <w:tc>
          <w:tcPr>
            <w:tcW w:w="586" w:type="pct"/>
            <w:vMerge w:val="restart"/>
            <w:tcBorders>
              <w:top w:val="nil"/>
              <w:left w:val="single" w:sz="4" w:space="0" w:color="auto"/>
              <w:bottom w:val="single" w:sz="4" w:space="0" w:color="auto"/>
              <w:right w:val="single" w:sz="4" w:space="0" w:color="auto"/>
            </w:tcBorders>
            <w:shd w:val="clear" w:color="auto" w:fill="auto"/>
            <w:vAlign w:val="center"/>
          </w:tcPr>
          <w:p w14:paraId="3CB3929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158C08F3" w14:textId="77777777">
        <w:trPr>
          <w:trHeight w:val="270"/>
        </w:trPr>
        <w:tc>
          <w:tcPr>
            <w:tcW w:w="222" w:type="pct"/>
            <w:tcBorders>
              <w:top w:val="nil"/>
              <w:left w:val="single" w:sz="4" w:space="0" w:color="auto"/>
              <w:bottom w:val="single" w:sz="4" w:space="0" w:color="auto"/>
              <w:right w:val="single" w:sz="4" w:space="0" w:color="auto"/>
            </w:tcBorders>
            <w:shd w:val="clear" w:color="auto" w:fill="auto"/>
            <w:vAlign w:val="center"/>
          </w:tcPr>
          <w:p w14:paraId="5E515E8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366" w:type="pct"/>
            <w:tcBorders>
              <w:top w:val="nil"/>
              <w:left w:val="nil"/>
              <w:bottom w:val="single" w:sz="4" w:space="0" w:color="auto"/>
              <w:right w:val="single" w:sz="4" w:space="0" w:color="auto"/>
            </w:tcBorders>
            <w:shd w:val="clear" w:color="auto" w:fill="auto"/>
            <w:vAlign w:val="center"/>
          </w:tcPr>
          <w:p w14:paraId="72A3850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F1-3</w:t>
            </w:r>
          </w:p>
        </w:tc>
        <w:tc>
          <w:tcPr>
            <w:tcW w:w="516" w:type="pct"/>
            <w:tcBorders>
              <w:top w:val="nil"/>
              <w:left w:val="nil"/>
              <w:bottom w:val="single" w:sz="4" w:space="0" w:color="auto"/>
              <w:right w:val="single" w:sz="4" w:space="0" w:color="auto"/>
            </w:tcBorders>
            <w:shd w:val="clear" w:color="auto" w:fill="auto"/>
            <w:noWrap/>
            <w:vAlign w:val="bottom"/>
          </w:tcPr>
          <w:p w14:paraId="06335BA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88" w:type="pct"/>
            <w:tcBorders>
              <w:top w:val="nil"/>
              <w:left w:val="nil"/>
              <w:bottom w:val="single" w:sz="4" w:space="0" w:color="auto"/>
              <w:right w:val="single" w:sz="4" w:space="0" w:color="auto"/>
            </w:tcBorders>
            <w:shd w:val="clear" w:color="auto" w:fill="auto"/>
            <w:vAlign w:val="center"/>
          </w:tcPr>
          <w:p w14:paraId="7B4FBDC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蒸馏</w:t>
            </w:r>
          </w:p>
        </w:tc>
        <w:tc>
          <w:tcPr>
            <w:tcW w:w="441" w:type="pct"/>
            <w:tcBorders>
              <w:top w:val="nil"/>
              <w:left w:val="nil"/>
              <w:bottom w:val="single" w:sz="4" w:space="0" w:color="auto"/>
              <w:right w:val="single" w:sz="4" w:space="0" w:color="auto"/>
            </w:tcBorders>
            <w:shd w:val="clear" w:color="auto" w:fill="auto"/>
            <w:vAlign w:val="center"/>
          </w:tcPr>
          <w:p w14:paraId="3D2F75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液态</w:t>
            </w:r>
          </w:p>
        </w:tc>
        <w:tc>
          <w:tcPr>
            <w:tcW w:w="441" w:type="pct"/>
            <w:tcBorders>
              <w:top w:val="nil"/>
              <w:left w:val="nil"/>
              <w:bottom w:val="single" w:sz="4" w:space="0" w:color="auto"/>
              <w:right w:val="single" w:sz="4" w:space="0" w:color="auto"/>
            </w:tcBorders>
            <w:shd w:val="clear" w:color="auto" w:fill="auto"/>
            <w:noWrap/>
            <w:vAlign w:val="center"/>
          </w:tcPr>
          <w:p w14:paraId="60C5ECB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589" w:type="pct"/>
            <w:tcBorders>
              <w:top w:val="nil"/>
              <w:left w:val="nil"/>
              <w:bottom w:val="single" w:sz="4" w:space="0" w:color="auto"/>
              <w:right w:val="single" w:sz="4" w:space="0" w:color="auto"/>
            </w:tcBorders>
            <w:shd w:val="clear" w:color="auto" w:fill="auto"/>
            <w:vAlign w:val="center"/>
          </w:tcPr>
          <w:p w14:paraId="2416323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 xml:space="preserve">300.00 </w:t>
            </w:r>
          </w:p>
        </w:tc>
        <w:tc>
          <w:tcPr>
            <w:tcW w:w="589" w:type="pct"/>
            <w:tcBorders>
              <w:top w:val="nil"/>
              <w:left w:val="nil"/>
              <w:bottom w:val="single" w:sz="4" w:space="0" w:color="auto"/>
              <w:right w:val="single" w:sz="4" w:space="0" w:color="auto"/>
            </w:tcBorders>
            <w:shd w:val="clear" w:color="auto" w:fill="auto"/>
            <w:noWrap/>
            <w:vAlign w:val="bottom"/>
          </w:tcPr>
          <w:p w14:paraId="02925C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w:t>
            </w:r>
            <w:r>
              <w:rPr>
                <w:rFonts w:ascii="Times New Roman" w:eastAsia="宋体" w:hAnsi="Times New Roman" w:cs="Times New Roman"/>
                <w:kern w:val="0"/>
                <w:szCs w:val="21"/>
              </w:rPr>
              <w:t xml:space="preserve">　</w:t>
            </w:r>
          </w:p>
        </w:tc>
        <w:tc>
          <w:tcPr>
            <w:tcW w:w="662" w:type="pct"/>
            <w:tcBorders>
              <w:top w:val="nil"/>
              <w:left w:val="nil"/>
              <w:bottom w:val="single" w:sz="4" w:space="0" w:color="auto"/>
              <w:right w:val="single" w:sz="4" w:space="0" w:color="auto"/>
            </w:tcBorders>
            <w:shd w:val="clear" w:color="auto" w:fill="auto"/>
            <w:vAlign w:val="center"/>
          </w:tcPr>
          <w:p w14:paraId="43F73EE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6" w:type="pct"/>
            <w:vMerge/>
            <w:tcBorders>
              <w:top w:val="nil"/>
              <w:left w:val="single" w:sz="4" w:space="0" w:color="auto"/>
              <w:bottom w:val="single" w:sz="4" w:space="0" w:color="auto"/>
              <w:right w:val="single" w:sz="4" w:space="0" w:color="auto"/>
            </w:tcBorders>
            <w:vAlign w:val="center"/>
          </w:tcPr>
          <w:p w14:paraId="7F34541E" w14:textId="77777777" w:rsidR="002133E3" w:rsidRDefault="002133E3">
            <w:pPr>
              <w:widowControl/>
              <w:jc w:val="left"/>
              <w:rPr>
                <w:rFonts w:ascii="Times New Roman" w:eastAsia="宋体" w:hAnsi="Times New Roman" w:cs="Times New Roman"/>
                <w:color w:val="000000"/>
                <w:kern w:val="0"/>
                <w:szCs w:val="21"/>
              </w:rPr>
            </w:pPr>
          </w:p>
        </w:tc>
      </w:tr>
      <w:tr w:rsidR="002133E3" w14:paraId="26E0511B" w14:textId="77777777">
        <w:trPr>
          <w:trHeight w:val="270"/>
        </w:trPr>
        <w:tc>
          <w:tcPr>
            <w:tcW w:w="58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40041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合计</w:t>
            </w:r>
          </w:p>
        </w:tc>
        <w:tc>
          <w:tcPr>
            <w:tcW w:w="516" w:type="pct"/>
            <w:tcBorders>
              <w:top w:val="nil"/>
              <w:left w:val="nil"/>
              <w:bottom w:val="single" w:sz="4" w:space="0" w:color="auto"/>
              <w:right w:val="single" w:sz="4" w:space="0" w:color="auto"/>
            </w:tcBorders>
            <w:shd w:val="clear" w:color="auto" w:fill="auto"/>
            <w:vAlign w:val="center"/>
          </w:tcPr>
          <w:p w14:paraId="0AEA51A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8" w:type="pct"/>
            <w:tcBorders>
              <w:top w:val="nil"/>
              <w:left w:val="nil"/>
              <w:bottom w:val="single" w:sz="4" w:space="0" w:color="auto"/>
              <w:right w:val="single" w:sz="4" w:space="0" w:color="auto"/>
            </w:tcBorders>
            <w:shd w:val="clear" w:color="auto" w:fill="auto"/>
            <w:vAlign w:val="center"/>
          </w:tcPr>
          <w:p w14:paraId="5A4A74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1" w:type="pct"/>
            <w:tcBorders>
              <w:top w:val="nil"/>
              <w:left w:val="nil"/>
              <w:bottom w:val="single" w:sz="4" w:space="0" w:color="auto"/>
              <w:right w:val="single" w:sz="4" w:space="0" w:color="auto"/>
            </w:tcBorders>
            <w:shd w:val="clear" w:color="auto" w:fill="auto"/>
            <w:vAlign w:val="center"/>
          </w:tcPr>
          <w:p w14:paraId="75703BE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41" w:type="pct"/>
            <w:tcBorders>
              <w:top w:val="nil"/>
              <w:left w:val="nil"/>
              <w:bottom w:val="single" w:sz="4" w:space="0" w:color="auto"/>
              <w:right w:val="single" w:sz="4" w:space="0" w:color="auto"/>
            </w:tcBorders>
            <w:shd w:val="clear" w:color="auto" w:fill="auto"/>
            <w:vAlign w:val="center"/>
          </w:tcPr>
          <w:p w14:paraId="6DB7262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9" w:type="pct"/>
            <w:tcBorders>
              <w:top w:val="nil"/>
              <w:left w:val="nil"/>
              <w:bottom w:val="single" w:sz="4" w:space="0" w:color="auto"/>
              <w:right w:val="single" w:sz="4" w:space="0" w:color="auto"/>
            </w:tcBorders>
            <w:shd w:val="clear" w:color="auto" w:fill="auto"/>
            <w:vAlign w:val="center"/>
          </w:tcPr>
          <w:p w14:paraId="263F44D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szCs w:val="21"/>
              </w:rPr>
              <w:t>4276.00</w:t>
            </w:r>
          </w:p>
        </w:tc>
        <w:tc>
          <w:tcPr>
            <w:tcW w:w="589" w:type="pct"/>
            <w:tcBorders>
              <w:top w:val="nil"/>
              <w:left w:val="nil"/>
              <w:bottom w:val="single" w:sz="4" w:space="0" w:color="auto"/>
              <w:right w:val="single" w:sz="4" w:space="0" w:color="auto"/>
            </w:tcBorders>
            <w:shd w:val="clear" w:color="auto" w:fill="auto"/>
            <w:vAlign w:val="center"/>
          </w:tcPr>
          <w:p w14:paraId="643FC4A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2" w:type="pct"/>
            <w:tcBorders>
              <w:top w:val="nil"/>
              <w:left w:val="nil"/>
              <w:bottom w:val="single" w:sz="4" w:space="0" w:color="auto"/>
              <w:right w:val="single" w:sz="4" w:space="0" w:color="auto"/>
            </w:tcBorders>
            <w:shd w:val="clear" w:color="auto" w:fill="auto"/>
            <w:vAlign w:val="center"/>
          </w:tcPr>
          <w:p w14:paraId="7D67A2B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6" w:type="pct"/>
            <w:tcBorders>
              <w:top w:val="nil"/>
              <w:left w:val="nil"/>
              <w:bottom w:val="single" w:sz="4" w:space="0" w:color="auto"/>
              <w:right w:val="single" w:sz="4" w:space="0" w:color="auto"/>
            </w:tcBorders>
            <w:shd w:val="clear" w:color="auto" w:fill="auto"/>
            <w:vAlign w:val="center"/>
          </w:tcPr>
          <w:p w14:paraId="0BD935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bl>
    <w:p w14:paraId="06942E0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无水乙醇</w:t>
      </w:r>
      <w:r>
        <w:rPr>
          <w:rFonts w:ascii="Times New Roman" w:eastAsia="宋体" w:hAnsi="Times New Roman" w:cs="Times New Roman"/>
          <w:b/>
          <w:sz w:val="30"/>
          <w:szCs w:val="30"/>
        </w:rPr>
        <w:t>(≥99.99%,V/V)</w:t>
      </w:r>
      <w:r>
        <w:rPr>
          <w:rFonts w:ascii="Times New Roman" w:eastAsia="宋体" w:hAnsi="Times New Roman" w:cs="Times New Roman"/>
          <w:b/>
          <w:sz w:val="30"/>
          <w:szCs w:val="30"/>
        </w:rPr>
        <w:t>生产线</w:t>
      </w:r>
      <w:r>
        <w:rPr>
          <w:rFonts w:ascii="Times New Roman" w:eastAsia="宋体" w:hAnsi="Times New Roman" w:cs="Times New Roman"/>
          <w:b/>
          <w:sz w:val="30"/>
          <w:szCs w:val="30"/>
        </w:rPr>
        <w:t xml:space="preserve"> </w:t>
      </w:r>
    </w:p>
    <w:p w14:paraId="7DB5DB37"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工艺原理及流程</w:t>
      </w:r>
    </w:p>
    <w:p w14:paraId="44A7BAAD" w14:textId="77777777" w:rsidR="002133E3" w:rsidRDefault="00C22CFA">
      <w:pPr>
        <w:tabs>
          <w:tab w:val="left" w:pos="1733"/>
          <w:tab w:val="left" w:pos="2520"/>
        </w:tabs>
        <w:snapToGrid w:val="0"/>
        <w:spacing w:line="500" w:lineRule="atLeast"/>
        <w:ind w:firstLineChars="200" w:firstLine="524"/>
        <w:rPr>
          <w:rFonts w:ascii="Times New Roman" w:eastAsia="宋体" w:hAnsi="Times New Roman" w:cs="Times New Roman"/>
          <w:bCs/>
          <w:spacing w:val="-9"/>
          <w:sz w:val="28"/>
          <w:szCs w:val="28"/>
        </w:rPr>
      </w:pPr>
      <w:r>
        <w:rPr>
          <w:rFonts w:ascii="Times New Roman" w:eastAsia="宋体" w:hAnsi="Times New Roman" w:cs="Times New Roman"/>
          <w:bCs/>
          <w:spacing w:val="-9"/>
          <w:sz w:val="28"/>
          <w:szCs w:val="28"/>
        </w:rPr>
        <w:t>本项目利用分子筛脱水装置生产</w:t>
      </w:r>
      <w:r>
        <w:rPr>
          <w:rFonts w:ascii="Times New Roman" w:eastAsia="宋体" w:hAnsi="Times New Roman" w:cs="Times New Roman"/>
          <w:bCs/>
          <w:spacing w:val="-9"/>
          <w:sz w:val="28"/>
          <w:szCs w:val="28"/>
        </w:rPr>
        <w:t>99.99%</w:t>
      </w:r>
      <w:r>
        <w:rPr>
          <w:rFonts w:ascii="Times New Roman" w:eastAsia="宋体" w:hAnsi="Times New Roman" w:cs="Times New Roman"/>
          <w:bCs/>
          <w:spacing w:val="-9"/>
          <w:sz w:val="28"/>
          <w:szCs w:val="28"/>
        </w:rPr>
        <w:t>的无水酒精，该工艺共</w:t>
      </w:r>
      <w:r>
        <w:rPr>
          <w:rFonts w:ascii="Times New Roman" w:eastAsia="宋体" w:hAnsi="Times New Roman" w:cs="Times New Roman"/>
          <w:bCs/>
          <w:spacing w:val="-9"/>
          <w:sz w:val="28"/>
          <w:szCs w:val="28"/>
        </w:rPr>
        <w:t>2</w:t>
      </w:r>
      <w:r>
        <w:rPr>
          <w:rFonts w:ascii="Times New Roman" w:eastAsia="宋体" w:hAnsi="Times New Roman" w:cs="Times New Roman"/>
          <w:bCs/>
          <w:spacing w:val="-9"/>
          <w:sz w:val="28"/>
          <w:szCs w:val="28"/>
        </w:rPr>
        <w:t>个吸附塔</w:t>
      </w:r>
      <w:r>
        <w:rPr>
          <w:rFonts w:ascii="Times New Roman" w:eastAsia="宋体" w:hAnsi="Times New Roman" w:cs="Times New Roman"/>
          <w:bCs/>
          <w:spacing w:val="-9"/>
          <w:sz w:val="28"/>
          <w:szCs w:val="28"/>
        </w:rPr>
        <w:t>(</w:t>
      </w:r>
      <w:r>
        <w:rPr>
          <w:rFonts w:ascii="Times New Roman" w:eastAsia="宋体" w:hAnsi="Times New Roman" w:cs="Times New Roman"/>
          <w:bCs/>
          <w:spacing w:val="-9"/>
          <w:sz w:val="28"/>
          <w:szCs w:val="28"/>
        </w:rPr>
        <w:t>分别为第一吸附塔和第二吸附塔</w:t>
      </w:r>
      <w:r>
        <w:rPr>
          <w:rFonts w:ascii="Times New Roman" w:eastAsia="宋体" w:hAnsi="Times New Roman" w:cs="Times New Roman"/>
          <w:bCs/>
          <w:spacing w:val="-9"/>
          <w:sz w:val="28"/>
          <w:szCs w:val="28"/>
        </w:rPr>
        <w:t>)</w:t>
      </w:r>
      <w:r>
        <w:rPr>
          <w:rFonts w:ascii="Times New Roman" w:eastAsia="宋体" w:hAnsi="Times New Roman" w:cs="Times New Roman"/>
          <w:bCs/>
          <w:spacing w:val="-9"/>
          <w:sz w:val="28"/>
          <w:szCs w:val="28"/>
        </w:rPr>
        <w:t>。具体生产工艺流程如图</w:t>
      </w:r>
      <w:r>
        <w:rPr>
          <w:rFonts w:ascii="Times New Roman" w:eastAsia="宋体" w:hAnsi="Times New Roman" w:cs="Times New Roman"/>
          <w:bCs/>
          <w:spacing w:val="-9"/>
          <w:sz w:val="28"/>
          <w:szCs w:val="28"/>
        </w:rPr>
        <w:t>4.2-4</w:t>
      </w:r>
      <w:r>
        <w:rPr>
          <w:rFonts w:ascii="Times New Roman" w:eastAsia="宋体" w:hAnsi="Times New Roman" w:cs="Times New Roman"/>
          <w:bCs/>
          <w:spacing w:val="-9"/>
          <w:sz w:val="28"/>
          <w:szCs w:val="28"/>
        </w:rPr>
        <w:t>。</w:t>
      </w:r>
    </w:p>
    <w:p w14:paraId="71B155B0" w14:textId="77777777" w:rsidR="002133E3" w:rsidRDefault="009F1FEF">
      <w:pPr>
        <w:tabs>
          <w:tab w:val="left" w:pos="1733"/>
          <w:tab w:val="left" w:pos="2520"/>
        </w:tabs>
        <w:snapToGrid w:val="0"/>
        <w:spacing w:line="500" w:lineRule="atLeast"/>
        <w:rPr>
          <w:rFonts w:ascii="Times New Roman" w:eastAsia="宋体" w:hAnsi="Times New Roman" w:cs="Times New Roman"/>
        </w:rPr>
      </w:pPr>
      <w:r>
        <w:rPr>
          <w:rFonts w:ascii="Times New Roman" w:eastAsia="宋体" w:hAnsi="Times New Roman" w:cs="Times New Roman"/>
        </w:rPr>
        <w:pict w14:anchorId="09EA7C2B">
          <v:shape id="_x0000_i1048" type="#_x0000_t75" style="width:481.45pt;height:250.5pt">
            <v:imagedata r:id="rId51" o:title=""/>
          </v:shape>
        </w:pict>
      </w:r>
    </w:p>
    <w:p w14:paraId="347AAEA0" w14:textId="77777777" w:rsidR="002133E3" w:rsidRDefault="00C22CFA">
      <w:pPr>
        <w:tabs>
          <w:tab w:val="left" w:pos="1733"/>
          <w:tab w:val="left" w:pos="2520"/>
        </w:tabs>
        <w:snapToGrid w:val="0"/>
        <w:jc w:val="center"/>
        <w:rPr>
          <w:rFonts w:ascii="Times New Roman" w:eastAsia="宋体" w:hAnsi="Times New Roman" w:cs="Times New Roman"/>
          <w:bCs/>
          <w:spacing w:val="-9"/>
          <w:sz w:val="36"/>
          <w:szCs w:val="36"/>
        </w:rPr>
      </w:pPr>
      <w:r>
        <w:rPr>
          <w:rFonts w:ascii="Times New Roman" w:eastAsia="宋体" w:hAnsi="Times New Roman" w:cs="Times New Roman"/>
          <w:b/>
          <w:bCs/>
          <w:sz w:val="24"/>
          <w:szCs w:val="32"/>
        </w:rPr>
        <w:t>图</w:t>
      </w:r>
      <w:r>
        <w:rPr>
          <w:rFonts w:ascii="Times New Roman" w:eastAsia="宋体" w:hAnsi="Times New Roman" w:cs="Times New Roman"/>
          <w:b/>
          <w:bCs/>
          <w:sz w:val="24"/>
          <w:szCs w:val="32"/>
        </w:rPr>
        <w:t xml:space="preserve">4.2-4  </w:t>
      </w:r>
      <w:r>
        <w:rPr>
          <w:rFonts w:ascii="Times New Roman" w:eastAsia="宋体" w:hAnsi="Times New Roman" w:cs="Times New Roman"/>
          <w:b/>
          <w:bCs/>
          <w:sz w:val="24"/>
          <w:szCs w:val="32"/>
        </w:rPr>
        <w:t>无水乙醇生产工艺流程及产污环节图</w:t>
      </w:r>
    </w:p>
    <w:p w14:paraId="6189F3B5" w14:textId="77777777" w:rsidR="002133E3" w:rsidRDefault="00C22CFA">
      <w:pPr>
        <w:tabs>
          <w:tab w:val="left" w:pos="1733"/>
          <w:tab w:val="left" w:pos="2520"/>
        </w:tabs>
        <w:snapToGrid w:val="0"/>
        <w:spacing w:line="500" w:lineRule="atLeast"/>
        <w:ind w:firstLineChars="200" w:firstLine="524"/>
        <w:rPr>
          <w:rFonts w:ascii="Times New Roman" w:eastAsia="宋体" w:hAnsi="Times New Roman" w:cs="Times New Roman"/>
          <w:bCs/>
          <w:spacing w:val="-9"/>
          <w:sz w:val="28"/>
          <w:szCs w:val="28"/>
        </w:rPr>
      </w:pPr>
      <w:r>
        <w:rPr>
          <w:rFonts w:ascii="Times New Roman" w:eastAsia="宋体" w:hAnsi="Times New Roman" w:cs="Times New Roman"/>
          <w:bCs/>
          <w:spacing w:val="-9"/>
          <w:sz w:val="28"/>
          <w:szCs w:val="28"/>
        </w:rPr>
        <w:t>公司生产的</w:t>
      </w:r>
      <w:r>
        <w:rPr>
          <w:rFonts w:ascii="Times New Roman" w:eastAsia="宋体" w:hAnsi="Times New Roman" w:cs="Times New Roman"/>
          <w:bCs/>
          <w:spacing w:val="-9"/>
          <w:sz w:val="28"/>
          <w:szCs w:val="28"/>
        </w:rPr>
        <w:t>95%</w:t>
      </w:r>
      <w:r>
        <w:rPr>
          <w:rFonts w:ascii="Times New Roman" w:eastAsia="宋体" w:hAnsi="Times New Roman" w:cs="Times New Roman"/>
          <w:bCs/>
          <w:spacing w:val="-9"/>
          <w:sz w:val="28"/>
          <w:szCs w:val="28"/>
        </w:rPr>
        <w:t>成品乙醇，依次通过再沸器、过热器将温度加热到</w:t>
      </w:r>
      <w:r>
        <w:rPr>
          <w:rFonts w:ascii="Times New Roman" w:eastAsia="宋体" w:hAnsi="Times New Roman" w:cs="Times New Roman"/>
          <w:bCs/>
          <w:spacing w:val="-9"/>
          <w:sz w:val="28"/>
          <w:szCs w:val="28"/>
        </w:rPr>
        <w:t>138</w:t>
      </w:r>
      <w:r>
        <w:rPr>
          <w:rFonts w:ascii="宋体" w:eastAsia="宋体" w:hAnsi="宋体" w:cs="宋体" w:hint="eastAsia"/>
          <w:bCs/>
          <w:spacing w:val="-9"/>
          <w:sz w:val="28"/>
          <w:szCs w:val="28"/>
        </w:rPr>
        <w:t>℃</w:t>
      </w:r>
      <w:r>
        <w:rPr>
          <w:rFonts w:ascii="Times New Roman" w:eastAsia="宋体" w:hAnsi="Times New Roman" w:cs="Times New Roman"/>
          <w:bCs/>
          <w:spacing w:val="-9"/>
          <w:sz w:val="28"/>
          <w:szCs w:val="28"/>
        </w:rPr>
        <w:t>，压力</w:t>
      </w:r>
      <w:r>
        <w:rPr>
          <w:rFonts w:ascii="Times New Roman" w:eastAsia="宋体" w:hAnsi="Times New Roman" w:cs="Times New Roman"/>
          <w:bCs/>
          <w:spacing w:val="-9"/>
          <w:sz w:val="28"/>
          <w:szCs w:val="28"/>
        </w:rPr>
        <w:t xml:space="preserve">0.1 </w:t>
      </w:r>
      <w:proofErr w:type="spellStart"/>
      <w:r>
        <w:rPr>
          <w:rFonts w:ascii="Times New Roman" w:eastAsia="宋体" w:hAnsi="Times New Roman" w:cs="Times New Roman"/>
          <w:bCs/>
          <w:spacing w:val="-9"/>
          <w:sz w:val="28"/>
          <w:szCs w:val="28"/>
        </w:rPr>
        <w:t>Mpa</w:t>
      </w:r>
      <w:proofErr w:type="spellEnd"/>
      <w:r>
        <w:rPr>
          <w:rFonts w:ascii="Times New Roman" w:eastAsia="宋体" w:hAnsi="Times New Roman" w:cs="Times New Roman"/>
          <w:bCs/>
          <w:spacing w:val="-9"/>
          <w:sz w:val="28"/>
          <w:szCs w:val="28"/>
        </w:rPr>
        <w:t>，酒汽自下而上通过处于吸附状态的分子筛吸附塔吸附脱水。脱水后的酒精蒸汽进入冷凝器</w:t>
      </w:r>
      <w:r>
        <w:rPr>
          <w:rFonts w:ascii="Times New Roman" w:eastAsia="宋体" w:hAnsi="Times New Roman" w:cs="Times New Roman"/>
          <w:bCs/>
          <w:spacing w:val="-9"/>
          <w:sz w:val="28"/>
          <w:szCs w:val="28"/>
        </w:rPr>
        <w:t>(</w:t>
      </w:r>
      <w:r>
        <w:rPr>
          <w:rFonts w:ascii="Times New Roman" w:eastAsia="宋体" w:hAnsi="Times New Roman" w:cs="Times New Roman"/>
          <w:bCs/>
          <w:spacing w:val="-9"/>
          <w:sz w:val="28"/>
          <w:szCs w:val="28"/>
        </w:rPr>
        <w:t>两级冷凝</w:t>
      </w:r>
      <w:r>
        <w:rPr>
          <w:rFonts w:ascii="Times New Roman" w:eastAsia="宋体" w:hAnsi="Times New Roman" w:cs="Times New Roman"/>
          <w:bCs/>
          <w:spacing w:val="-9"/>
          <w:sz w:val="28"/>
          <w:szCs w:val="28"/>
        </w:rPr>
        <w:t>)</w:t>
      </w:r>
      <w:r>
        <w:rPr>
          <w:rFonts w:ascii="Times New Roman" w:eastAsia="宋体" w:hAnsi="Times New Roman" w:cs="Times New Roman"/>
          <w:bCs/>
          <w:spacing w:val="-9"/>
          <w:sz w:val="28"/>
          <w:szCs w:val="28"/>
        </w:rPr>
        <w:t>，冷凝液流入产品中间槽，脱水后的成品无水酒精化验合格后经泵送往成品储罐暂贮，不合格的进入原料酒罐处理。</w:t>
      </w:r>
    </w:p>
    <w:p w14:paraId="045760D1" w14:textId="77777777" w:rsidR="002133E3" w:rsidRDefault="00C22CFA">
      <w:pPr>
        <w:tabs>
          <w:tab w:val="left" w:pos="1733"/>
          <w:tab w:val="left" w:pos="2520"/>
        </w:tabs>
        <w:snapToGrid w:val="0"/>
        <w:spacing w:line="500" w:lineRule="atLeast"/>
        <w:ind w:firstLineChars="200" w:firstLine="524"/>
        <w:rPr>
          <w:rFonts w:ascii="Times New Roman" w:eastAsia="宋体" w:hAnsi="Times New Roman" w:cs="Times New Roman"/>
          <w:bCs/>
          <w:spacing w:val="-9"/>
          <w:sz w:val="28"/>
          <w:szCs w:val="28"/>
        </w:rPr>
      </w:pPr>
      <w:r>
        <w:rPr>
          <w:rFonts w:ascii="Times New Roman" w:eastAsia="宋体" w:hAnsi="Times New Roman" w:cs="Times New Roman"/>
          <w:bCs/>
          <w:spacing w:val="-9"/>
          <w:sz w:val="28"/>
          <w:szCs w:val="28"/>
        </w:rPr>
        <w:t>本项目</w:t>
      </w:r>
      <w:r>
        <w:rPr>
          <w:rFonts w:ascii="Times New Roman" w:eastAsia="宋体" w:hAnsi="Times New Roman" w:cs="Times New Roman"/>
          <w:bCs/>
          <w:spacing w:val="-9"/>
          <w:sz w:val="28"/>
          <w:szCs w:val="28"/>
        </w:rPr>
        <w:t>“</w:t>
      </w:r>
      <w:r>
        <w:rPr>
          <w:rFonts w:ascii="Times New Roman" w:eastAsia="宋体" w:hAnsi="Times New Roman" w:cs="Times New Roman"/>
          <w:bCs/>
          <w:spacing w:val="-9"/>
          <w:sz w:val="28"/>
          <w:szCs w:val="28"/>
        </w:rPr>
        <w:t>分子筛吸附</w:t>
      </w:r>
      <w:r>
        <w:rPr>
          <w:rFonts w:ascii="Times New Roman" w:eastAsia="宋体" w:hAnsi="Times New Roman" w:cs="Times New Roman"/>
          <w:bCs/>
          <w:spacing w:val="-9"/>
          <w:sz w:val="28"/>
          <w:szCs w:val="28"/>
        </w:rPr>
        <w:t>-</w:t>
      </w:r>
      <w:r>
        <w:rPr>
          <w:rFonts w:ascii="Times New Roman" w:eastAsia="宋体" w:hAnsi="Times New Roman" w:cs="Times New Roman"/>
          <w:bCs/>
          <w:spacing w:val="-9"/>
          <w:sz w:val="28"/>
          <w:szCs w:val="28"/>
        </w:rPr>
        <w:t>解析系统</w:t>
      </w:r>
      <w:r>
        <w:rPr>
          <w:rFonts w:ascii="Times New Roman" w:eastAsia="宋体" w:hAnsi="Times New Roman" w:cs="Times New Roman"/>
          <w:bCs/>
          <w:spacing w:val="-9"/>
          <w:sz w:val="28"/>
          <w:szCs w:val="28"/>
        </w:rPr>
        <w:t>”</w:t>
      </w:r>
      <w:r>
        <w:rPr>
          <w:rFonts w:ascii="Times New Roman" w:eastAsia="宋体" w:hAnsi="Times New Roman" w:cs="Times New Roman"/>
          <w:bCs/>
          <w:spacing w:val="-9"/>
          <w:sz w:val="28"/>
          <w:szCs w:val="28"/>
        </w:rPr>
        <w:t>包含两个吸附塔，当其中一吸附塔进行吸附操作时，另一吸附塔进行解析操作，两塔交替循环使用。吸附饱和的分子筛通过真空泵抽吸，使分子筛解析再生，真空解析出的水和部分乙醇经过冷凝、冷却成淡酒，淡酒送至</w:t>
      </w:r>
      <w:r>
        <w:rPr>
          <w:rFonts w:ascii="Times New Roman" w:eastAsia="宋体" w:hAnsi="Times New Roman" w:cs="Times New Roman"/>
          <w:bCs/>
          <w:spacing w:val="-9"/>
          <w:sz w:val="28"/>
          <w:szCs w:val="28"/>
        </w:rPr>
        <w:t>95%</w:t>
      </w:r>
      <w:r>
        <w:rPr>
          <w:rFonts w:ascii="Times New Roman" w:eastAsia="宋体" w:hAnsi="Times New Roman" w:cs="Times New Roman"/>
          <w:bCs/>
          <w:spacing w:val="-9"/>
          <w:sz w:val="28"/>
          <w:szCs w:val="28"/>
        </w:rPr>
        <w:t>酒精精馏塔进一步精制。</w:t>
      </w:r>
    </w:p>
    <w:p w14:paraId="2729E148" w14:textId="77777777" w:rsidR="002133E3" w:rsidRDefault="00C22CFA">
      <w:pPr>
        <w:tabs>
          <w:tab w:val="left" w:pos="1733"/>
          <w:tab w:val="left" w:pos="2520"/>
        </w:tabs>
        <w:snapToGrid w:val="0"/>
        <w:spacing w:line="500" w:lineRule="atLeast"/>
        <w:ind w:firstLineChars="200" w:firstLine="560"/>
        <w:rPr>
          <w:rFonts w:ascii="Times New Roman" w:eastAsia="宋体" w:hAnsi="Times New Roman" w:cs="Times New Roman"/>
          <w:bCs/>
          <w:spacing w:val="-9"/>
          <w:sz w:val="28"/>
          <w:szCs w:val="28"/>
        </w:rPr>
      </w:pPr>
      <w:r>
        <w:rPr>
          <w:rFonts w:ascii="Times New Roman" w:eastAsia="宋体" w:hAnsi="Times New Roman" w:cs="Times New Roman"/>
          <w:kern w:val="0"/>
          <w:sz w:val="28"/>
          <w:szCs w:val="28"/>
        </w:rPr>
        <w:t>产污环节：冷凝工序产生废气</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2-1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2-2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w:t>
      </w:r>
    </w:p>
    <w:p w14:paraId="0CB4593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原辅料、能源消耗及主要设备情况</w:t>
      </w:r>
    </w:p>
    <w:p w14:paraId="7DCEF5C1" w14:textId="77777777" w:rsidR="002133E3" w:rsidRDefault="00C22CFA">
      <w:pPr>
        <w:widowControl/>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无水乙醇生产过程中使用原辅料、能源消耗及主要设备情况详见表</w:t>
      </w:r>
      <w:r>
        <w:rPr>
          <w:rFonts w:ascii="Times New Roman" w:eastAsia="宋体" w:hAnsi="Times New Roman" w:cs="Times New Roman"/>
          <w:kern w:val="0"/>
          <w:sz w:val="28"/>
          <w:szCs w:val="28"/>
        </w:rPr>
        <w:t>4.2-13</w:t>
      </w:r>
      <w:r>
        <w:rPr>
          <w:rFonts w:ascii="Times New Roman" w:eastAsia="宋体" w:hAnsi="Times New Roman" w:cs="Times New Roman"/>
          <w:kern w:val="0"/>
          <w:sz w:val="28"/>
          <w:szCs w:val="28"/>
        </w:rPr>
        <w:t>。</w:t>
      </w:r>
    </w:p>
    <w:p w14:paraId="07B6F377"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 xml:space="preserve">4.2-13  </w:t>
      </w:r>
      <w:r>
        <w:rPr>
          <w:rFonts w:ascii="Times New Roman" w:eastAsia="宋体" w:hAnsi="Times New Roman" w:cs="Times New Roman"/>
          <w:b/>
          <w:bCs/>
          <w:kern w:val="0"/>
          <w:sz w:val="24"/>
          <w:szCs w:val="24"/>
        </w:rPr>
        <w:t>无水乙醇生产主要原辅材料、能源消耗情况表</w:t>
      </w:r>
    </w:p>
    <w:tbl>
      <w:tblPr>
        <w:tblW w:w="9920" w:type="dxa"/>
        <w:tblLook w:val="04A0" w:firstRow="1" w:lastRow="0" w:firstColumn="1" w:lastColumn="0" w:noHBand="0" w:noVBand="1"/>
      </w:tblPr>
      <w:tblGrid>
        <w:gridCol w:w="846"/>
        <w:gridCol w:w="1276"/>
        <w:gridCol w:w="1701"/>
        <w:gridCol w:w="2217"/>
        <w:gridCol w:w="1800"/>
        <w:gridCol w:w="2080"/>
      </w:tblGrid>
      <w:tr w:rsidR="002133E3" w14:paraId="16C7C7E7" w14:textId="77777777">
        <w:trPr>
          <w:trHeight w:val="270"/>
        </w:trPr>
        <w:tc>
          <w:tcPr>
            <w:tcW w:w="846" w:type="dxa"/>
            <w:tcBorders>
              <w:top w:val="single" w:sz="4" w:space="0" w:color="auto"/>
              <w:left w:val="single" w:sz="4" w:space="0" w:color="auto"/>
              <w:bottom w:val="nil"/>
              <w:right w:val="single" w:sz="4" w:space="0" w:color="auto"/>
            </w:tcBorders>
            <w:shd w:val="clear" w:color="auto" w:fill="auto"/>
            <w:vAlign w:val="center"/>
          </w:tcPr>
          <w:p w14:paraId="10A6C39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lastRenderedPageBreak/>
              <w:t>序号</w:t>
            </w:r>
          </w:p>
        </w:tc>
        <w:tc>
          <w:tcPr>
            <w:tcW w:w="1276" w:type="dxa"/>
            <w:tcBorders>
              <w:top w:val="single" w:sz="4" w:space="0" w:color="auto"/>
              <w:left w:val="nil"/>
              <w:bottom w:val="nil"/>
              <w:right w:val="single" w:sz="4" w:space="0" w:color="auto"/>
            </w:tcBorders>
            <w:shd w:val="clear" w:color="auto" w:fill="auto"/>
            <w:vAlign w:val="center"/>
          </w:tcPr>
          <w:p w14:paraId="68A9796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名称</w:t>
            </w:r>
          </w:p>
        </w:tc>
        <w:tc>
          <w:tcPr>
            <w:tcW w:w="1701" w:type="dxa"/>
            <w:tcBorders>
              <w:top w:val="single" w:sz="4" w:space="0" w:color="auto"/>
              <w:left w:val="nil"/>
              <w:bottom w:val="nil"/>
              <w:right w:val="single" w:sz="4" w:space="0" w:color="auto"/>
            </w:tcBorders>
            <w:shd w:val="clear" w:color="auto" w:fill="auto"/>
            <w:vAlign w:val="center"/>
          </w:tcPr>
          <w:p w14:paraId="48A240B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规格</w:t>
            </w:r>
          </w:p>
        </w:tc>
        <w:tc>
          <w:tcPr>
            <w:tcW w:w="2217" w:type="dxa"/>
            <w:tcBorders>
              <w:top w:val="single" w:sz="4" w:space="0" w:color="auto"/>
              <w:left w:val="nil"/>
              <w:bottom w:val="nil"/>
              <w:right w:val="single" w:sz="4" w:space="0" w:color="auto"/>
            </w:tcBorders>
            <w:shd w:val="clear" w:color="auto" w:fill="auto"/>
            <w:vAlign w:val="center"/>
          </w:tcPr>
          <w:p w14:paraId="1398F14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单耗</w:t>
            </w:r>
            <w:r>
              <w:rPr>
                <w:rFonts w:ascii="Times New Roman" w:eastAsia="宋体" w:hAnsi="Times New Roman" w:cs="Times New Roman"/>
                <w:b/>
                <w:bCs/>
                <w:color w:val="000000"/>
                <w:kern w:val="0"/>
                <w:szCs w:val="21"/>
              </w:rPr>
              <w:t>(kg/t</w:t>
            </w:r>
            <w:r>
              <w:rPr>
                <w:rFonts w:ascii="Times New Roman" w:eastAsia="宋体" w:hAnsi="Times New Roman" w:cs="Times New Roman"/>
                <w:b/>
                <w:bCs/>
                <w:color w:val="000000"/>
                <w:kern w:val="0"/>
                <w:szCs w:val="21"/>
              </w:rPr>
              <w:t>产品</w:t>
            </w:r>
            <w:r>
              <w:rPr>
                <w:rFonts w:ascii="Times New Roman" w:eastAsia="宋体" w:hAnsi="Times New Roman" w:cs="Times New Roman"/>
                <w:b/>
                <w:bCs/>
                <w:color w:val="000000"/>
                <w:kern w:val="0"/>
                <w:szCs w:val="21"/>
              </w:rPr>
              <w:t>)</w:t>
            </w:r>
          </w:p>
        </w:tc>
        <w:tc>
          <w:tcPr>
            <w:tcW w:w="1800" w:type="dxa"/>
            <w:tcBorders>
              <w:top w:val="single" w:sz="4" w:space="0" w:color="auto"/>
              <w:left w:val="nil"/>
              <w:bottom w:val="nil"/>
              <w:right w:val="single" w:sz="4" w:space="0" w:color="auto"/>
            </w:tcBorders>
            <w:shd w:val="clear" w:color="auto" w:fill="auto"/>
            <w:vAlign w:val="center"/>
          </w:tcPr>
          <w:p w14:paraId="6D6D6AB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年耗量</w:t>
            </w:r>
            <w:r>
              <w:rPr>
                <w:rFonts w:ascii="Times New Roman" w:eastAsia="宋体" w:hAnsi="Times New Roman" w:cs="Times New Roman"/>
                <w:b/>
                <w:bCs/>
                <w:color w:val="000000"/>
                <w:kern w:val="0"/>
                <w:szCs w:val="21"/>
              </w:rPr>
              <w:t>(t/a)</w:t>
            </w:r>
          </w:p>
        </w:tc>
        <w:tc>
          <w:tcPr>
            <w:tcW w:w="2080" w:type="dxa"/>
            <w:tcBorders>
              <w:top w:val="single" w:sz="4" w:space="0" w:color="auto"/>
              <w:left w:val="nil"/>
              <w:bottom w:val="nil"/>
              <w:right w:val="single" w:sz="4" w:space="0" w:color="auto"/>
            </w:tcBorders>
            <w:shd w:val="clear" w:color="auto" w:fill="auto"/>
            <w:vAlign w:val="center"/>
          </w:tcPr>
          <w:p w14:paraId="19A2D4B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来源及运输</w:t>
            </w:r>
          </w:p>
        </w:tc>
      </w:tr>
      <w:tr w:rsidR="002133E3" w14:paraId="6DDE6EFE" w14:textId="77777777">
        <w:trPr>
          <w:trHeight w:val="27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094CA4B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276" w:type="dxa"/>
            <w:tcBorders>
              <w:top w:val="single" w:sz="4" w:space="0" w:color="auto"/>
              <w:left w:val="nil"/>
              <w:bottom w:val="single" w:sz="4" w:space="0" w:color="auto"/>
              <w:right w:val="single" w:sz="4" w:space="0" w:color="auto"/>
            </w:tcBorders>
            <w:shd w:val="clear" w:color="auto" w:fill="auto"/>
            <w:vAlign w:val="center"/>
          </w:tcPr>
          <w:p w14:paraId="5C57B20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酒精</w:t>
            </w:r>
          </w:p>
        </w:tc>
        <w:tc>
          <w:tcPr>
            <w:tcW w:w="1701" w:type="dxa"/>
            <w:tcBorders>
              <w:top w:val="single" w:sz="4" w:space="0" w:color="auto"/>
              <w:left w:val="nil"/>
              <w:bottom w:val="single" w:sz="4" w:space="0" w:color="auto"/>
              <w:right w:val="single" w:sz="4" w:space="0" w:color="auto"/>
            </w:tcBorders>
            <w:shd w:val="clear" w:color="auto" w:fill="auto"/>
            <w:vAlign w:val="center"/>
          </w:tcPr>
          <w:p w14:paraId="2B54D30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95%</w:t>
            </w:r>
          </w:p>
        </w:tc>
        <w:tc>
          <w:tcPr>
            <w:tcW w:w="2217" w:type="dxa"/>
            <w:tcBorders>
              <w:top w:val="single" w:sz="4" w:space="0" w:color="auto"/>
              <w:left w:val="nil"/>
              <w:bottom w:val="single" w:sz="4" w:space="0" w:color="auto"/>
              <w:right w:val="single" w:sz="4" w:space="0" w:color="auto"/>
            </w:tcBorders>
            <w:shd w:val="clear" w:color="auto" w:fill="auto"/>
            <w:vAlign w:val="center"/>
          </w:tcPr>
          <w:p w14:paraId="7030F81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1215.4</w:t>
            </w:r>
          </w:p>
        </w:tc>
        <w:tc>
          <w:tcPr>
            <w:tcW w:w="1800" w:type="dxa"/>
            <w:tcBorders>
              <w:top w:val="single" w:sz="4" w:space="0" w:color="auto"/>
              <w:left w:val="nil"/>
              <w:bottom w:val="single" w:sz="4" w:space="0" w:color="auto"/>
              <w:right w:val="single" w:sz="4" w:space="0" w:color="auto"/>
            </w:tcBorders>
            <w:shd w:val="clear" w:color="auto" w:fill="auto"/>
            <w:vAlign w:val="center"/>
          </w:tcPr>
          <w:p w14:paraId="21AA021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72924</w:t>
            </w:r>
          </w:p>
        </w:tc>
        <w:tc>
          <w:tcPr>
            <w:tcW w:w="2080" w:type="dxa"/>
            <w:tcBorders>
              <w:top w:val="single" w:sz="4" w:space="0" w:color="auto"/>
              <w:left w:val="nil"/>
              <w:bottom w:val="single" w:sz="4" w:space="0" w:color="auto"/>
              <w:right w:val="single" w:sz="4" w:space="0" w:color="auto"/>
            </w:tcBorders>
            <w:shd w:val="clear" w:color="auto" w:fill="auto"/>
            <w:vAlign w:val="center"/>
          </w:tcPr>
          <w:p w14:paraId="121FED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来自酒精生产线</w:t>
            </w:r>
          </w:p>
        </w:tc>
      </w:tr>
      <w:tr w:rsidR="002133E3" w14:paraId="7DB63518" w14:textId="77777777">
        <w:trPr>
          <w:trHeight w:val="270"/>
        </w:trPr>
        <w:tc>
          <w:tcPr>
            <w:tcW w:w="846" w:type="dxa"/>
            <w:tcBorders>
              <w:top w:val="nil"/>
              <w:left w:val="single" w:sz="4" w:space="0" w:color="auto"/>
              <w:bottom w:val="single" w:sz="4" w:space="0" w:color="auto"/>
              <w:right w:val="single" w:sz="4" w:space="0" w:color="auto"/>
            </w:tcBorders>
            <w:shd w:val="clear" w:color="auto" w:fill="auto"/>
            <w:vAlign w:val="center"/>
          </w:tcPr>
          <w:p w14:paraId="0954FAF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1276" w:type="dxa"/>
            <w:tcBorders>
              <w:top w:val="nil"/>
              <w:left w:val="nil"/>
              <w:bottom w:val="single" w:sz="4" w:space="0" w:color="auto"/>
              <w:right w:val="single" w:sz="4" w:space="0" w:color="auto"/>
            </w:tcBorders>
            <w:shd w:val="clear" w:color="auto" w:fill="auto"/>
            <w:vAlign w:val="center"/>
          </w:tcPr>
          <w:p w14:paraId="1C2B9BF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水</w:t>
            </w:r>
          </w:p>
        </w:tc>
        <w:tc>
          <w:tcPr>
            <w:tcW w:w="1701" w:type="dxa"/>
            <w:tcBorders>
              <w:top w:val="nil"/>
              <w:left w:val="nil"/>
              <w:bottom w:val="single" w:sz="4" w:space="0" w:color="auto"/>
              <w:right w:val="single" w:sz="4" w:space="0" w:color="auto"/>
            </w:tcBorders>
            <w:shd w:val="clear" w:color="auto" w:fill="auto"/>
            <w:vAlign w:val="center"/>
          </w:tcPr>
          <w:p w14:paraId="500BE15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r>
              <w:rPr>
                <w:rFonts w:ascii="宋体" w:eastAsia="宋体" w:hAnsi="宋体" w:cs="宋体" w:hint="eastAsia"/>
                <w:color w:val="000000"/>
                <w:kern w:val="0"/>
                <w:szCs w:val="21"/>
              </w:rPr>
              <w:t>℃</w:t>
            </w:r>
          </w:p>
        </w:tc>
        <w:tc>
          <w:tcPr>
            <w:tcW w:w="2217" w:type="dxa"/>
            <w:tcBorders>
              <w:top w:val="nil"/>
              <w:left w:val="nil"/>
              <w:bottom w:val="single" w:sz="4" w:space="0" w:color="auto"/>
              <w:right w:val="single" w:sz="4" w:space="0" w:color="auto"/>
            </w:tcBorders>
            <w:shd w:val="clear" w:color="auto" w:fill="auto"/>
            <w:vAlign w:val="center"/>
          </w:tcPr>
          <w:p w14:paraId="72D1D6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139.6362909</w:t>
            </w:r>
          </w:p>
        </w:tc>
        <w:tc>
          <w:tcPr>
            <w:tcW w:w="1800" w:type="dxa"/>
            <w:tcBorders>
              <w:top w:val="nil"/>
              <w:left w:val="nil"/>
              <w:bottom w:val="single" w:sz="4" w:space="0" w:color="auto"/>
              <w:right w:val="single" w:sz="4" w:space="0" w:color="auto"/>
            </w:tcBorders>
            <w:shd w:val="clear" w:color="auto" w:fill="auto"/>
            <w:vAlign w:val="center"/>
          </w:tcPr>
          <w:p w14:paraId="77246FA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xml:space="preserve">8378 </w:t>
            </w:r>
          </w:p>
        </w:tc>
        <w:tc>
          <w:tcPr>
            <w:tcW w:w="2080" w:type="dxa"/>
            <w:tcBorders>
              <w:top w:val="nil"/>
              <w:left w:val="nil"/>
              <w:bottom w:val="single" w:sz="4" w:space="0" w:color="auto"/>
              <w:right w:val="single" w:sz="4" w:space="0" w:color="auto"/>
            </w:tcBorders>
            <w:shd w:val="clear" w:color="auto" w:fill="auto"/>
            <w:vAlign w:val="center"/>
          </w:tcPr>
          <w:p w14:paraId="4BDD23E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兴庄河自来水厂</w:t>
            </w:r>
          </w:p>
        </w:tc>
      </w:tr>
      <w:tr w:rsidR="002133E3" w14:paraId="3D2AB35A" w14:textId="77777777">
        <w:trPr>
          <w:trHeight w:val="270"/>
        </w:trPr>
        <w:tc>
          <w:tcPr>
            <w:tcW w:w="846" w:type="dxa"/>
            <w:tcBorders>
              <w:top w:val="nil"/>
              <w:left w:val="single" w:sz="4" w:space="0" w:color="auto"/>
              <w:bottom w:val="single" w:sz="4" w:space="0" w:color="auto"/>
              <w:right w:val="single" w:sz="4" w:space="0" w:color="auto"/>
            </w:tcBorders>
            <w:shd w:val="clear" w:color="auto" w:fill="auto"/>
            <w:vAlign w:val="center"/>
          </w:tcPr>
          <w:p w14:paraId="521FC91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1276" w:type="dxa"/>
            <w:tcBorders>
              <w:top w:val="nil"/>
              <w:left w:val="nil"/>
              <w:bottom w:val="single" w:sz="4" w:space="0" w:color="auto"/>
              <w:right w:val="single" w:sz="4" w:space="0" w:color="auto"/>
            </w:tcBorders>
            <w:shd w:val="clear" w:color="auto" w:fill="auto"/>
            <w:vAlign w:val="center"/>
          </w:tcPr>
          <w:p w14:paraId="287141A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蒸汽</w:t>
            </w:r>
          </w:p>
        </w:tc>
        <w:tc>
          <w:tcPr>
            <w:tcW w:w="1701" w:type="dxa"/>
            <w:tcBorders>
              <w:top w:val="nil"/>
              <w:left w:val="nil"/>
              <w:bottom w:val="single" w:sz="4" w:space="0" w:color="auto"/>
              <w:right w:val="single" w:sz="4" w:space="0" w:color="auto"/>
            </w:tcBorders>
            <w:shd w:val="clear" w:color="auto" w:fill="auto"/>
            <w:vAlign w:val="center"/>
          </w:tcPr>
          <w:p w14:paraId="1BF0918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val="en-JM"/>
              </w:rPr>
              <w:t>0.6MPa</w:t>
            </w:r>
          </w:p>
        </w:tc>
        <w:tc>
          <w:tcPr>
            <w:tcW w:w="2217" w:type="dxa"/>
            <w:tcBorders>
              <w:top w:val="nil"/>
              <w:left w:val="nil"/>
              <w:bottom w:val="single" w:sz="4" w:space="0" w:color="auto"/>
              <w:right w:val="single" w:sz="4" w:space="0" w:color="auto"/>
            </w:tcBorders>
            <w:shd w:val="clear" w:color="auto" w:fill="auto"/>
            <w:vAlign w:val="center"/>
          </w:tcPr>
          <w:p w14:paraId="770B335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650.0</w:t>
            </w:r>
          </w:p>
        </w:tc>
        <w:tc>
          <w:tcPr>
            <w:tcW w:w="1800" w:type="dxa"/>
            <w:tcBorders>
              <w:top w:val="nil"/>
              <w:left w:val="nil"/>
              <w:bottom w:val="single" w:sz="4" w:space="0" w:color="auto"/>
              <w:right w:val="single" w:sz="4" w:space="0" w:color="auto"/>
            </w:tcBorders>
            <w:shd w:val="clear" w:color="auto" w:fill="auto"/>
            <w:vAlign w:val="center"/>
          </w:tcPr>
          <w:p w14:paraId="03BE82C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xml:space="preserve">39000 </w:t>
            </w:r>
          </w:p>
        </w:tc>
        <w:tc>
          <w:tcPr>
            <w:tcW w:w="2080" w:type="dxa"/>
            <w:tcBorders>
              <w:top w:val="nil"/>
              <w:left w:val="nil"/>
              <w:bottom w:val="single" w:sz="4" w:space="0" w:color="auto"/>
              <w:right w:val="single" w:sz="4" w:space="0" w:color="auto"/>
            </w:tcBorders>
            <w:shd w:val="clear" w:color="auto" w:fill="auto"/>
            <w:vAlign w:val="center"/>
          </w:tcPr>
          <w:p w14:paraId="3EAAE5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利用园区供热中心</w:t>
            </w:r>
          </w:p>
        </w:tc>
      </w:tr>
      <w:tr w:rsidR="002133E3" w14:paraId="497C5D21" w14:textId="77777777">
        <w:trPr>
          <w:trHeight w:val="270"/>
        </w:trPr>
        <w:tc>
          <w:tcPr>
            <w:tcW w:w="846" w:type="dxa"/>
            <w:tcBorders>
              <w:top w:val="nil"/>
              <w:left w:val="single" w:sz="4" w:space="0" w:color="auto"/>
              <w:bottom w:val="single" w:sz="4" w:space="0" w:color="auto"/>
              <w:right w:val="single" w:sz="4" w:space="0" w:color="auto"/>
            </w:tcBorders>
            <w:shd w:val="clear" w:color="auto" w:fill="auto"/>
            <w:vAlign w:val="center"/>
          </w:tcPr>
          <w:p w14:paraId="2A2F66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1276" w:type="dxa"/>
            <w:tcBorders>
              <w:top w:val="nil"/>
              <w:left w:val="nil"/>
              <w:bottom w:val="single" w:sz="4" w:space="0" w:color="auto"/>
              <w:right w:val="single" w:sz="4" w:space="0" w:color="auto"/>
            </w:tcBorders>
            <w:shd w:val="clear" w:color="auto" w:fill="auto"/>
            <w:vAlign w:val="center"/>
          </w:tcPr>
          <w:p w14:paraId="7777532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电</w:t>
            </w:r>
          </w:p>
        </w:tc>
        <w:tc>
          <w:tcPr>
            <w:tcW w:w="1701" w:type="dxa"/>
            <w:tcBorders>
              <w:top w:val="nil"/>
              <w:left w:val="nil"/>
              <w:bottom w:val="single" w:sz="4" w:space="0" w:color="auto"/>
              <w:right w:val="single" w:sz="4" w:space="0" w:color="auto"/>
            </w:tcBorders>
            <w:shd w:val="clear" w:color="auto" w:fill="auto"/>
            <w:vAlign w:val="center"/>
          </w:tcPr>
          <w:p w14:paraId="37BEF18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380V/220V</w:t>
            </w:r>
          </w:p>
        </w:tc>
        <w:tc>
          <w:tcPr>
            <w:tcW w:w="2217" w:type="dxa"/>
            <w:tcBorders>
              <w:top w:val="nil"/>
              <w:left w:val="nil"/>
              <w:bottom w:val="single" w:sz="4" w:space="0" w:color="auto"/>
              <w:right w:val="single" w:sz="4" w:space="0" w:color="auto"/>
            </w:tcBorders>
            <w:shd w:val="clear" w:color="auto" w:fill="auto"/>
            <w:vAlign w:val="center"/>
          </w:tcPr>
          <w:p w14:paraId="33450F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val="en-JM"/>
              </w:rPr>
              <w:t>30kwh/t</w:t>
            </w:r>
            <w:r>
              <w:rPr>
                <w:rFonts w:ascii="Times New Roman" w:eastAsia="宋体" w:hAnsi="Times New Roman" w:cs="Times New Roman"/>
                <w:color w:val="000000"/>
                <w:kern w:val="0"/>
                <w:szCs w:val="21"/>
                <w:lang w:val="en-JM"/>
              </w:rPr>
              <w:t>产品</w:t>
            </w:r>
          </w:p>
        </w:tc>
        <w:tc>
          <w:tcPr>
            <w:tcW w:w="1800" w:type="dxa"/>
            <w:tcBorders>
              <w:top w:val="nil"/>
              <w:left w:val="nil"/>
              <w:bottom w:val="single" w:sz="4" w:space="0" w:color="auto"/>
              <w:right w:val="single" w:sz="4" w:space="0" w:color="auto"/>
            </w:tcBorders>
            <w:shd w:val="clear" w:color="auto" w:fill="auto"/>
            <w:vAlign w:val="center"/>
          </w:tcPr>
          <w:p w14:paraId="7B67EFF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val="en-JM"/>
              </w:rPr>
              <w:t>180</w:t>
            </w:r>
            <w:r>
              <w:rPr>
                <w:rFonts w:ascii="Times New Roman" w:eastAsia="宋体" w:hAnsi="Times New Roman" w:cs="Times New Roman"/>
                <w:color w:val="000000"/>
                <w:kern w:val="0"/>
                <w:szCs w:val="21"/>
                <w:lang w:val="en-JM"/>
              </w:rPr>
              <w:t>万</w:t>
            </w:r>
            <w:r>
              <w:rPr>
                <w:rFonts w:ascii="Times New Roman" w:eastAsia="宋体" w:hAnsi="Times New Roman" w:cs="Times New Roman"/>
                <w:color w:val="000000"/>
                <w:kern w:val="0"/>
                <w:szCs w:val="21"/>
                <w:lang w:val="en-JM"/>
              </w:rPr>
              <w:t>kwh/a</w:t>
            </w:r>
          </w:p>
        </w:tc>
        <w:tc>
          <w:tcPr>
            <w:tcW w:w="2080" w:type="dxa"/>
            <w:tcBorders>
              <w:top w:val="nil"/>
              <w:left w:val="nil"/>
              <w:bottom w:val="single" w:sz="4" w:space="0" w:color="auto"/>
              <w:right w:val="single" w:sz="4" w:space="0" w:color="auto"/>
            </w:tcBorders>
            <w:shd w:val="clear" w:color="auto" w:fill="auto"/>
            <w:vAlign w:val="center"/>
          </w:tcPr>
          <w:p w14:paraId="5D6D69B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海头变电所</w:t>
            </w:r>
          </w:p>
        </w:tc>
      </w:tr>
    </w:tbl>
    <w:p w14:paraId="430D8CC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物料平衡分析</w:t>
      </w:r>
    </w:p>
    <w:p w14:paraId="79DFC886" w14:textId="77777777" w:rsidR="002133E3" w:rsidRDefault="00C22CFA">
      <w:pPr>
        <w:widowControl/>
        <w:spacing w:line="500" w:lineRule="atLeast"/>
        <w:ind w:firstLineChars="200" w:firstLine="562"/>
        <w:rPr>
          <w:rFonts w:ascii="Times New Roman" w:eastAsia="宋体" w:hAnsi="Times New Roman" w:cs="Times New Roman"/>
          <w:b/>
          <w:bCs/>
          <w:kern w:val="0"/>
          <w:sz w:val="28"/>
          <w:szCs w:val="28"/>
        </w:rPr>
      </w:pPr>
      <w:r>
        <w:rPr>
          <w:rFonts w:ascii="宋体" w:eastAsia="宋体" w:hAnsi="宋体" w:cs="宋体" w:hint="eastAsia"/>
          <w:b/>
          <w:bCs/>
          <w:kern w:val="0"/>
          <w:sz w:val="28"/>
          <w:szCs w:val="28"/>
        </w:rPr>
        <w:t>⑴</w:t>
      </w:r>
      <w:r>
        <w:rPr>
          <w:rFonts w:ascii="Times New Roman" w:eastAsia="宋体" w:hAnsi="Times New Roman" w:cs="Times New Roman"/>
          <w:b/>
          <w:bCs/>
          <w:kern w:val="0"/>
          <w:sz w:val="28"/>
          <w:szCs w:val="28"/>
        </w:rPr>
        <w:t xml:space="preserve"> </w:t>
      </w:r>
      <w:r>
        <w:rPr>
          <w:rFonts w:ascii="Times New Roman" w:eastAsia="宋体" w:hAnsi="Times New Roman" w:cs="Times New Roman"/>
          <w:b/>
          <w:bCs/>
          <w:kern w:val="0"/>
          <w:sz w:val="28"/>
          <w:szCs w:val="28"/>
        </w:rPr>
        <w:t>总物料平衡</w:t>
      </w:r>
    </w:p>
    <w:p w14:paraId="191CA907" w14:textId="77777777" w:rsidR="002133E3" w:rsidRDefault="00C22CFA">
      <w:pPr>
        <w:widowControl/>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无水乙醇生产物料平衡情况详见图</w:t>
      </w:r>
      <w:r>
        <w:rPr>
          <w:rFonts w:ascii="Times New Roman" w:eastAsia="宋体" w:hAnsi="Times New Roman" w:cs="Times New Roman"/>
          <w:kern w:val="0"/>
          <w:sz w:val="28"/>
          <w:szCs w:val="28"/>
        </w:rPr>
        <w:t>4.2-5</w:t>
      </w:r>
      <w:r>
        <w:rPr>
          <w:rFonts w:ascii="Times New Roman" w:eastAsia="宋体" w:hAnsi="Times New Roman" w:cs="Times New Roman"/>
          <w:kern w:val="0"/>
          <w:sz w:val="28"/>
          <w:szCs w:val="28"/>
        </w:rPr>
        <w:t>和表</w:t>
      </w:r>
      <w:r>
        <w:rPr>
          <w:rFonts w:ascii="Times New Roman" w:eastAsia="宋体" w:hAnsi="Times New Roman" w:cs="Times New Roman"/>
          <w:kern w:val="0"/>
          <w:sz w:val="28"/>
          <w:szCs w:val="28"/>
        </w:rPr>
        <w:t>4.2-14</w:t>
      </w:r>
      <w:r>
        <w:rPr>
          <w:rFonts w:ascii="Times New Roman" w:eastAsia="宋体" w:hAnsi="Times New Roman" w:cs="Times New Roman"/>
          <w:kern w:val="0"/>
          <w:sz w:val="28"/>
          <w:szCs w:val="28"/>
        </w:rPr>
        <w:t>。</w:t>
      </w:r>
    </w:p>
    <w:p w14:paraId="7B8D3E31"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 xml:space="preserve">4.2-14  </w:t>
      </w:r>
      <w:r>
        <w:rPr>
          <w:rFonts w:ascii="Times New Roman" w:eastAsia="宋体" w:hAnsi="Times New Roman" w:cs="Times New Roman"/>
          <w:b/>
          <w:bCs/>
          <w:kern w:val="0"/>
          <w:sz w:val="24"/>
          <w:szCs w:val="24"/>
        </w:rPr>
        <w:t>无水乙醇生产物料平衡表</w:t>
      </w:r>
      <w:r>
        <w:rPr>
          <w:rFonts w:ascii="Times New Roman" w:eastAsia="宋体" w:hAnsi="Times New Roman" w:cs="Times New Roman"/>
          <w:b/>
          <w:bCs/>
          <w:kern w:val="0"/>
          <w:sz w:val="24"/>
          <w:szCs w:val="24"/>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161"/>
        <w:gridCol w:w="1451"/>
        <w:gridCol w:w="1305"/>
        <w:gridCol w:w="1161"/>
        <w:gridCol w:w="871"/>
        <w:gridCol w:w="2031"/>
        <w:gridCol w:w="1154"/>
      </w:tblGrid>
      <w:tr w:rsidR="002133E3" w14:paraId="733EEA6A" w14:textId="77777777">
        <w:trPr>
          <w:trHeight w:val="284"/>
          <w:jc w:val="center"/>
        </w:trPr>
        <w:tc>
          <w:tcPr>
            <w:tcW w:w="720" w:type="dxa"/>
            <w:vMerge w:val="restart"/>
            <w:shd w:val="clear" w:color="auto" w:fill="auto"/>
            <w:vAlign w:val="center"/>
          </w:tcPr>
          <w:p w14:paraId="7497D70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序号</w:t>
            </w:r>
          </w:p>
        </w:tc>
        <w:tc>
          <w:tcPr>
            <w:tcW w:w="2612" w:type="dxa"/>
            <w:gridSpan w:val="2"/>
            <w:shd w:val="clear" w:color="auto" w:fill="auto"/>
            <w:vAlign w:val="center"/>
          </w:tcPr>
          <w:p w14:paraId="00214A3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入方</w:t>
            </w:r>
          </w:p>
        </w:tc>
        <w:tc>
          <w:tcPr>
            <w:tcW w:w="6522" w:type="dxa"/>
            <w:gridSpan w:val="5"/>
            <w:shd w:val="clear" w:color="auto" w:fill="auto"/>
            <w:vAlign w:val="center"/>
          </w:tcPr>
          <w:p w14:paraId="1828E0A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出方</w:t>
            </w:r>
          </w:p>
        </w:tc>
      </w:tr>
      <w:tr w:rsidR="002133E3" w14:paraId="11419686" w14:textId="77777777">
        <w:trPr>
          <w:trHeight w:val="284"/>
          <w:jc w:val="center"/>
        </w:trPr>
        <w:tc>
          <w:tcPr>
            <w:tcW w:w="720" w:type="dxa"/>
            <w:vMerge/>
            <w:vAlign w:val="center"/>
          </w:tcPr>
          <w:p w14:paraId="4FB3CFDC" w14:textId="77777777" w:rsidR="002133E3" w:rsidRDefault="002133E3">
            <w:pPr>
              <w:widowControl/>
              <w:jc w:val="center"/>
              <w:rPr>
                <w:rFonts w:ascii="Times New Roman" w:eastAsia="宋体" w:hAnsi="Times New Roman" w:cs="Times New Roman"/>
                <w:kern w:val="0"/>
                <w:szCs w:val="21"/>
              </w:rPr>
            </w:pPr>
          </w:p>
        </w:tc>
        <w:tc>
          <w:tcPr>
            <w:tcW w:w="1161" w:type="dxa"/>
            <w:shd w:val="clear" w:color="auto" w:fill="auto"/>
            <w:vAlign w:val="center"/>
          </w:tcPr>
          <w:p w14:paraId="403A17C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物料名称</w:t>
            </w:r>
          </w:p>
        </w:tc>
        <w:tc>
          <w:tcPr>
            <w:tcW w:w="1451" w:type="dxa"/>
            <w:shd w:val="clear" w:color="auto" w:fill="auto"/>
            <w:vAlign w:val="center"/>
          </w:tcPr>
          <w:p w14:paraId="0FAF9DA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数量</w:t>
            </w:r>
          </w:p>
        </w:tc>
        <w:tc>
          <w:tcPr>
            <w:tcW w:w="1305" w:type="dxa"/>
            <w:shd w:val="clear" w:color="auto" w:fill="auto"/>
            <w:vAlign w:val="center"/>
          </w:tcPr>
          <w:p w14:paraId="5F40513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产品</w:t>
            </w:r>
          </w:p>
        </w:tc>
        <w:tc>
          <w:tcPr>
            <w:tcW w:w="2032" w:type="dxa"/>
            <w:gridSpan w:val="2"/>
            <w:shd w:val="clear" w:color="auto" w:fill="auto"/>
            <w:vAlign w:val="center"/>
          </w:tcPr>
          <w:p w14:paraId="41783E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废气</w:t>
            </w:r>
          </w:p>
        </w:tc>
        <w:tc>
          <w:tcPr>
            <w:tcW w:w="2031" w:type="dxa"/>
            <w:shd w:val="clear" w:color="auto" w:fill="auto"/>
            <w:vAlign w:val="center"/>
          </w:tcPr>
          <w:p w14:paraId="3D12569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淡酒</w:t>
            </w:r>
          </w:p>
        </w:tc>
        <w:tc>
          <w:tcPr>
            <w:tcW w:w="1154" w:type="dxa"/>
            <w:shd w:val="clear" w:color="auto" w:fill="auto"/>
            <w:vAlign w:val="center"/>
          </w:tcPr>
          <w:p w14:paraId="0391F3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冷凝水</w:t>
            </w:r>
          </w:p>
        </w:tc>
      </w:tr>
      <w:tr w:rsidR="002133E3" w14:paraId="006D00AD" w14:textId="77777777">
        <w:trPr>
          <w:trHeight w:val="284"/>
          <w:jc w:val="center"/>
        </w:trPr>
        <w:tc>
          <w:tcPr>
            <w:tcW w:w="720" w:type="dxa"/>
            <w:shd w:val="clear" w:color="auto" w:fill="auto"/>
            <w:vAlign w:val="center"/>
          </w:tcPr>
          <w:p w14:paraId="1C3850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161" w:type="dxa"/>
            <w:shd w:val="clear" w:color="auto" w:fill="auto"/>
            <w:noWrap/>
            <w:vAlign w:val="center"/>
          </w:tcPr>
          <w:p w14:paraId="37834BB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95%</w:t>
            </w:r>
            <w:r>
              <w:rPr>
                <w:rFonts w:ascii="Times New Roman" w:eastAsia="宋体" w:hAnsi="Times New Roman" w:cs="Times New Roman"/>
                <w:kern w:val="0"/>
                <w:szCs w:val="21"/>
              </w:rPr>
              <w:t>酒精</w:t>
            </w:r>
          </w:p>
        </w:tc>
        <w:tc>
          <w:tcPr>
            <w:tcW w:w="1451" w:type="dxa"/>
            <w:shd w:val="clear" w:color="auto" w:fill="auto"/>
            <w:vAlign w:val="center"/>
          </w:tcPr>
          <w:p w14:paraId="42FC50A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72924.00</w:t>
            </w:r>
          </w:p>
        </w:tc>
        <w:tc>
          <w:tcPr>
            <w:tcW w:w="1305" w:type="dxa"/>
            <w:shd w:val="clear" w:color="auto" w:fill="auto"/>
            <w:vAlign w:val="center"/>
          </w:tcPr>
          <w:p w14:paraId="64AEA76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60000.00</w:t>
            </w:r>
          </w:p>
        </w:tc>
        <w:tc>
          <w:tcPr>
            <w:tcW w:w="1161" w:type="dxa"/>
            <w:shd w:val="clear" w:color="auto" w:fill="auto"/>
            <w:vAlign w:val="center"/>
          </w:tcPr>
          <w:p w14:paraId="1B57FB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2-1</w:t>
            </w:r>
            <w:r>
              <w:rPr>
                <w:rFonts w:ascii="Times New Roman" w:eastAsia="宋体" w:hAnsi="Times New Roman" w:cs="Times New Roman"/>
                <w:kern w:val="0"/>
                <w:szCs w:val="21"/>
              </w:rPr>
              <w:t>：</w:t>
            </w:r>
          </w:p>
        </w:tc>
        <w:tc>
          <w:tcPr>
            <w:tcW w:w="871" w:type="dxa"/>
            <w:shd w:val="clear" w:color="auto" w:fill="auto"/>
            <w:vAlign w:val="center"/>
          </w:tcPr>
          <w:p w14:paraId="1949A7A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30.02</w:t>
            </w:r>
          </w:p>
        </w:tc>
        <w:tc>
          <w:tcPr>
            <w:tcW w:w="2031" w:type="dxa"/>
            <w:shd w:val="clear" w:color="auto" w:fill="auto"/>
            <w:vAlign w:val="center"/>
          </w:tcPr>
          <w:p w14:paraId="39B1B8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21265.72</w:t>
            </w:r>
          </w:p>
        </w:tc>
        <w:tc>
          <w:tcPr>
            <w:tcW w:w="1154" w:type="dxa"/>
            <w:shd w:val="clear" w:color="auto" w:fill="auto"/>
            <w:noWrap/>
            <w:vAlign w:val="center"/>
          </w:tcPr>
          <w:p w14:paraId="71F5DEB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39000.00</w:t>
            </w:r>
          </w:p>
        </w:tc>
      </w:tr>
      <w:tr w:rsidR="002133E3" w14:paraId="4B7A0BE9" w14:textId="77777777">
        <w:trPr>
          <w:trHeight w:val="284"/>
          <w:jc w:val="center"/>
        </w:trPr>
        <w:tc>
          <w:tcPr>
            <w:tcW w:w="720" w:type="dxa"/>
            <w:shd w:val="clear" w:color="auto" w:fill="auto"/>
            <w:vAlign w:val="center"/>
          </w:tcPr>
          <w:p w14:paraId="70BF8E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161" w:type="dxa"/>
            <w:shd w:val="clear" w:color="auto" w:fill="auto"/>
            <w:noWrap/>
            <w:vAlign w:val="center"/>
          </w:tcPr>
          <w:p w14:paraId="7FC480D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1451" w:type="dxa"/>
            <w:shd w:val="clear" w:color="auto" w:fill="auto"/>
            <w:vAlign w:val="center"/>
          </w:tcPr>
          <w:p w14:paraId="30907A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8378.18</w:t>
            </w:r>
          </w:p>
        </w:tc>
        <w:tc>
          <w:tcPr>
            <w:tcW w:w="1305" w:type="dxa"/>
            <w:shd w:val="clear" w:color="auto" w:fill="auto"/>
            <w:vAlign w:val="center"/>
          </w:tcPr>
          <w:p w14:paraId="31C4B0B8" w14:textId="77777777" w:rsidR="002133E3" w:rsidRDefault="002133E3">
            <w:pPr>
              <w:widowControl/>
              <w:jc w:val="center"/>
              <w:rPr>
                <w:rFonts w:ascii="Times New Roman" w:eastAsia="宋体" w:hAnsi="Times New Roman" w:cs="Times New Roman"/>
                <w:kern w:val="0"/>
                <w:szCs w:val="21"/>
              </w:rPr>
            </w:pPr>
          </w:p>
        </w:tc>
        <w:tc>
          <w:tcPr>
            <w:tcW w:w="1161" w:type="dxa"/>
            <w:shd w:val="clear" w:color="auto" w:fill="auto"/>
            <w:vAlign w:val="center"/>
          </w:tcPr>
          <w:p w14:paraId="61BC41E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2-2</w:t>
            </w:r>
            <w:r>
              <w:rPr>
                <w:rFonts w:ascii="Times New Roman" w:eastAsia="宋体" w:hAnsi="Times New Roman" w:cs="Times New Roman"/>
                <w:kern w:val="0"/>
                <w:szCs w:val="21"/>
              </w:rPr>
              <w:t>：</w:t>
            </w:r>
          </w:p>
        </w:tc>
        <w:tc>
          <w:tcPr>
            <w:tcW w:w="871" w:type="dxa"/>
            <w:shd w:val="clear" w:color="auto" w:fill="auto"/>
            <w:noWrap/>
            <w:vAlign w:val="center"/>
          </w:tcPr>
          <w:p w14:paraId="0E3A45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6.44</w:t>
            </w:r>
          </w:p>
        </w:tc>
        <w:tc>
          <w:tcPr>
            <w:tcW w:w="2031" w:type="dxa"/>
            <w:shd w:val="clear" w:color="auto" w:fill="auto"/>
            <w:vAlign w:val="center"/>
          </w:tcPr>
          <w:p w14:paraId="6C85DA4F" w14:textId="77777777" w:rsidR="002133E3" w:rsidRDefault="002133E3">
            <w:pPr>
              <w:widowControl/>
              <w:jc w:val="center"/>
              <w:rPr>
                <w:rFonts w:ascii="Times New Roman" w:eastAsia="宋体" w:hAnsi="Times New Roman" w:cs="Times New Roman"/>
                <w:kern w:val="0"/>
                <w:szCs w:val="21"/>
              </w:rPr>
            </w:pPr>
          </w:p>
        </w:tc>
        <w:tc>
          <w:tcPr>
            <w:tcW w:w="1154" w:type="dxa"/>
            <w:shd w:val="clear" w:color="auto" w:fill="auto"/>
            <w:vAlign w:val="center"/>
          </w:tcPr>
          <w:p w14:paraId="6614EAA1" w14:textId="77777777" w:rsidR="002133E3" w:rsidRDefault="002133E3">
            <w:pPr>
              <w:widowControl/>
              <w:jc w:val="center"/>
              <w:rPr>
                <w:rFonts w:ascii="Times New Roman" w:eastAsia="宋体" w:hAnsi="Times New Roman" w:cs="Times New Roman"/>
                <w:kern w:val="0"/>
                <w:szCs w:val="21"/>
              </w:rPr>
            </w:pPr>
          </w:p>
        </w:tc>
      </w:tr>
      <w:tr w:rsidR="002133E3" w14:paraId="51F8F677" w14:textId="77777777">
        <w:trPr>
          <w:trHeight w:val="284"/>
          <w:jc w:val="center"/>
        </w:trPr>
        <w:tc>
          <w:tcPr>
            <w:tcW w:w="720" w:type="dxa"/>
            <w:shd w:val="clear" w:color="auto" w:fill="auto"/>
            <w:vAlign w:val="center"/>
          </w:tcPr>
          <w:p w14:paraId="2427D94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161" w:type="dxa"/>
            <w:shd w:val="clear" w:color="auto" w:fill="auto"/>
            <w:noWrap/>
            <w:vAlign w:val="center"/>
          </w:tcPr>
          <w:p w14:paraId="27C7B8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蒸汽</w:t>
            </w:r>
          </w:p>
        </w:tc>
        <w:tc>
          <w:tcPr>
            <w:tcW w:w="1451" w:type="dxa"/>
            <w:shd w:val="clear" w:color="auto" w:fill="auto"/>
            <w:vAlign w:val="center"/>
          </w:tcPr>
          <w:p w14:paraId="33EDF36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39000.00</w:t>
            </w:r>
          </w:p>
        </w:tc>
        <w:tc>
          <w:tcPr>
            <w:tcW w:w="1305" w:type="dxa"/>
            <w:shd w:val="clear" w:color="auto" w:fill="auto"/>
            <w:vAlign w:val="center"/>
          </w:tcPr>
          <w:p w14:paraId="4AA01807" w14:textId="77777777" w:rsidR="002133E3" w:rsidRDefault="002133E3">
            <w:pPr>
              <w:widowControl/>
              <w:jc w:val="center"/>
              <w:rPr>
                <w:rFonts w:ascii="Times New Roman" w:eastAsia="宋体" w:hAnsi="Times New Roman" w:cs="Times New Roman"/>
                <w:kern w:val="0"/>
                <w:szCs w:val="21"/>
              </w:rPr>
            </w:pPr>
          </w:p>
        </w:tc>
        <w:tc>
          <w:tcPr>
            <w:tcW w:w="1161" w:type="dxa"/>
            <w:shd w:val="clear" w:color="auto" w:fill="auto"/>
            <w:vAlign w:val="center"/>
          </w:tcPr>
          <w:p w14:paraId="7AC69B4F" w14:textId="77777777" w:rsidR="002133E3" w:rsidRDefault="002133E3">
            <w:pPr>
              <w:widowControl/>
              <w:jc w:val="center"/>
              <w:rPr>
                <w:rFonts w:ascii="Times New Roman" w:eastAsia="宋体" w:hAnsi="Times New Roman" w:cs="Times New Roman"/>
                <w:kern w:val="0"/>
                <w:szCs w:val="21"/>
              </w:rPr>
            </w:pPr>
          </w:p>
        </w:tc>
        <w:tc>
          <w:tcPr>
            <w:tcW w:w="871" w:type="dxa"/>
            <w:shd w:val="clear" w:color="auto" w:fill="auto"/>
            <w:noWrap/>
            <w:vAlign w:val="center"/>
          </w:tcPr>
          <w:p w14:paraId="30410C94" w14:textId="77777777" w:rsidR="002133E3" w:rsidRDefault="002133E3">
            <w:pPr>
              <w:widowControl/>
              <w:jc w:val="center"/>
              <w:rPr>
                <w:rFonts w:ascii="Times New Roman" w:eastAsia="宋体" w:hAnsi="Times New Roman" w:cs="Times New Roman"/>
                <w:kern w:val="0"/>
                <w:szCs w:val="21"/>
              </w:rPr>
            </w:pPr>
          </w:p>
        </w:tc>
        <w:tc>
          <w:tcPr>
            <w:tcW w:w="2031" w:type="dxa"/>
            <w:shd w:val="clear" w:color="auto" w:fill="auto"/>
            <w:vAlign w:val="center"/>
          </w:tcPr>
          <w:p w14:paraId="4A8C4C60" w14:textId="77777777" w:rsidR="002133E3" w:rsidRDefault="002133E3">
            <w:pPr>
              <w:widowControl/>
              <w:jc w:val="center"/>
              <w:rPr>
                <w:rFonts w:ascii="Times New Roman" w:eastAsia="宋体" w:hAnsi="Times New Roman" w:cs="Times New Roman"/>
                <w:kern w:val="0"/>
                <w:szCs w:val="21"/>
              </w:rPr>
            </w:pPr>
          </w:p>
        </w:tc>
        <w:tc>
          <w:tcPr>
            <w:tcW w:w="1154" w:type="dxa"/>
            <w:shd w:val="clear" w:color="auto" w:fill="auto"/>
            <w:vAlign w:val="center"/>
          </w:tcPr>
          <w:p w14:paraId="035AEB13" w14:textId="77777777" w:rsidR="002133E3" w:rsidRDefault="002133E3">
            <w:pPr>
              <w:widowControl/>
              <w:jc w:val="center"/>
              <w:rPr>
                <w:rFonts w:ascii="Times New Roman" w:eastAsia="宋体" w:hAnsi="Times New Roman" w:cs="Times New Roman"/>
                <w:kern w:val="0"/>
                <w:szCs w:val="21"/>
              </w:rPr>
            </w:pPr>
          </w:p>
        </w:tc>
      </w:tr>
      <w:tr w:rsidR="002133E3" w14:paraId="028E63FC" w14:textId="77777777">
        <w:trPr>
          <w:trHeight w:val="284"/>
          <w:jc w:val="center"/>
        </w:trPr>
        <w:tc>
          <w:tcPr>
            <w:tcW w:w="1881" w:type="dxa"/>
            <w:gridSpan w:val="2"/>
            <w:vMerge w:val="restart"/>
            <w:shd w:val="clear" w:color="auto" w:fill="auto"/>
            <w:vAlign w:val="center"/>
          </w:tcPr>
          <w:p w14:paraId="571426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合计</w:t>
            </w:r>
          </w:p>
        </w:tc>
        <w:tc>
          <w:tcPr>
            <w:tcW w:w="1451" w:type="dxa"/>
            <w:vMerge w:val="restart"/>
            <w:shd w:val="clear" w:color="auto" w:fill="auto"/>
            <w:vAlign w:val="center"/>
          </w:tcPr>
          <w:p w14:paraId="3B2030D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120302.18</w:t>
            </w:r>
          </w:p>
        </w:tc>
        <w:tc>
          <w:tcPr>
            <w:tcW w:w="1305" w:type="dxa"/>
            <w:shd w:val="clear" w:color="auto" w:fill="auto"/>
            <w:vAlign w:val="center"/>
          </w:tcPr>
          <w:p w14:paraId="5CFEFA8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60000</w:t>
            </w:r>
          </w:p>
        </w:tc>
        <w:tc>
          <w:tcPr>
            <w:tcW w:w="2032" w:type="dxa"/>
            <w:gridSpan w:val="2"/>
            <w:shd w:val="clear" w:color="auto" w:fill="auto"/>
            <w:vAlign w:val="center"/>
          </w:tcPr>
          <w:p w14:paraId="3CDD028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36.46</w:t>
            </w:r>
          </w:p>
        </w:tc>
        <w:tc>
          <w:tcPr>
            <w:tcW w:w="2031" w:type="dxa"/>
            <w:shd w:val="clear" w:color="auto" w:fill="auto"/>
            <w:vAlign w:val="center"/>
          </w:tcPr>
          <w:p w14:paraId="05B5C7F6"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21265.72</w:t>
            </w:r>
          </w:p>
        </w:tc>
        <w:tc>
          <w:tcPr>
            <w:tcW w:w="1154" w:type="dxa"/>
            <w:shd w:val="clear" w:color="auto" w:fill="auto"/>
            <w:vAlign w:val="center"/>
          </w:tcPr>
          <w:p w14:paraId="29C4EB9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39000.00</w:t>
            </w:r>
          </w:p>
        </w:tc>
      </w:tr>
      <w:tr w:rsidR="002133E3" w14:paraId="4633769F" w14:textId="77777777">
        <w:trPr>
          <w:trHeight w:val="284"/>
          <w:jc w:val="center"/>
        </w:trPr>
        <w:tc>
          <w:tcPr>
            <w:tcW w:w="1881" w:type="dxa"/>
            <w:gridSpan w:val="2"/>
            <w:vMerge/>
            <w:vAlign w:val="center"/>
          </w:tcPr>
          <w:p w14:paraId="2B9E7E82" w14:textId="77777777" w:rsidR="002133E3" w:rsidRDefault="002133E3">
            <w:pPr>
              <w:widowControl/>
              <w:jc w:val="center"/>
              <w:rPr>
                <w:rFonts w:ascii="Times New Roman" w:eastAsia="宋体" w:hAnsi="Times New Roman" w:cs="Times New Roman"/>
                <w:kern w:val="0"/>
                <w:szCs w:val="21"/>
              </w:rPr>
            </w:pPr>
          </w:p>
        </w:tc>
        <w:tc>
          <w:tcPr>
            <w:tcW w:w="1451" w:type="dxa"/>
            <w:vMerge/>
            <w:vAlign w:val="center"/>
          </w:tcPr>
          <w:p w14:paraId="7A681166" w14:textId="77777777" w:rsidR="002133E3" w:rsidRDefault="002133E3">
            <w:pPr>
              <w:widowControl/>
              <w:jc w:val="center"/>
              <w:rPr>
                <w:rFonts w:ascii="Times New Roman" w:eastAsia="宋体" w:hAnsi="Times New Roman" w:cs="Times New Roman"/>
                <w:b/>
                <w:bCs/>
                <w:kern w:val="0"/>
                <w:szCs w:val="21"/>
              </w:rPr>
            </w:pPr>
          </w:p>
        </w:tc>
        <w:tc>
          <w:tcPr>
            <w:tcW w:w="6522" w:type="dxa"/>
            <w:gridSpan w:val="5"/>
            <w:shd w:val="clear" w:color="auto" w:fill="auto"/>
            <w:vAlign w:val="center"/>
          </w:tcPr>
          <w:p w14:paraId="0570748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120302.18</w:t>
            </w:r>
          </w:p>
        </w:tc>
      </w:tr>
    </w:tbl>
    <w:p w14:paraId="3F5A9D36" w14:textId="77777777" w:rsidR="002133E3" w:rsidRDefault="009F1FEF">
      <w:pPr>
        <w:widowControl/>
        <w:spacing w:line="500" w:lineRule="atLeast"/>
        <w:jc w:val="center"/>
        <w:rPr>
          <w:rFonts w:ascii="Times New Roman" w:eastAsia="宋体" w:hAnsi="Times New Roman" w:cs="Times New Roman"/>
          <w:b/>
          <w:bCs/>
          <w:kern w:val="0"/>
          <w:szCs w:val="21"/>
        </w:rPr>
      </w:pPr>
      <w:r>
        <w:rPr>
          <w:rFonts w:ascii="Times New Roman" w:hAnsi="Times New Roman" w:cs="Times New Roman"/>
        </w:rPr>
        <w:pict w14:anchorId="753FB596">
          <v:shape id="_x0000_i1049" type="#_x0000_t75" style="width:481.75pt;height:215.9pt">
            <v:imagedata r:id="rId52" o:title=""/>
          </v:shape>
        </w:pict>
      </w:r>
      <w:r w:rsidR="00C22CFA">
        <w:rPr>
          <w:rFonts w:ascii="Times New Roman" w:eastAsia="宋体" w:hAnsi="Times New Roman" w:cs="Times New Roman"/>
          <w:b/>
          <w:bCs/>
          <w:sz w:val="24"/>
          <w:szCs w:val="32"/>
        </w:rPr>
        <w:t>图</w:t>
      </w:r>
      <w:r w:rsidR="00C22CFA">
        <w:rPr>
          <w:rFonts w:ascii="Times New Roman" w:eastAsia="宋体" w:hAnsi="Times New Roman" w:cs="Times New Roman"/>
          <w:b/>
          <w:bCs/>
          <w:sz w:val="24"/>
          <w:szCs w:val="32"/>
        </w:rPr>
        <w:t xml:space="preserve">4.2-5  </w:t>
      </w:r>
      <w:r w:rsidR="00C22CFA">
        <w:rPr>
          <w:rFonts w:ascii="Times New Roman" w:eastAsia="宋体" w:hAnsi="Times New Roman" w:cs="Times New Roman"/>
          <w:b/>
          <w:bCs/>
          <w:kern w:val="0"/>
          <w:sz w:val="24"/>
          <w:szCs w:val="24"/>
        </w:rPr>
        <w:t>无水乙醇生产</w:t>
      </w:r>
      <w:r w:rsidR="00C22CFA">
        <w:rPr>
          <w:rFonts w:ascii="Times New Roman" w:eastAsia="宋体" w:hAnsi="Times New Roman" w:cs="Times New Roman"/>
          <w:b/>
          <w:bCs/>
          <w:sz w:val="24"/>
          <w:szCs w:val="32"/>
        </w:rPr>
        <w:t>物料总平衡图</w:t>
      </w:r>
      <w:r w:rsidR="00C22CFA">
        <w:rPr>
          <w:rFonts w:ascii="Times New Roman" w:eastAsia="宋体" w:hAnsi="Times New Roman" w:cs="Times New Roman"/>
          <w:b/>
          <w:bCs/>
          <w:kern w:val="0"/>
          <w:sz w:val="24"/>
          <w:szCs w:val="24"/>
        </w:rPr>
        <w:t>(t/a)</w:t>
      </w:r>
    </w:p>
    <w:p w14:paraId="5BD5E3F7" w14:textId="77777777" w:rsidR="002133E3" w:rsidRDefault="00C22CFA">
      <w:pPr>
        <w:widowControl/>
        <w:spacing w:line="500" w:lineRule="atLeast"/>
        <w:ind w:firstLineChars="200" w:firstLine="562"/>
        <w:rPr>
          <w:rFonts w:ascii="Times New Roman" w:eastAsia="宋体" w:hAnsi="Times New Roman" w:cs="Times New Roman"/>
          <w:b/>
          <w:bCs/>
          <w:kern w:val="0"/>
          <w:sz w:val="28"/>
          <w:szCs w:val="28"/>
        </w:rPr>
      </w:pPr>
      <w:r>
        <w:rPr>
          <w:rFonts w:ascii="宋体" w:eastAsia="宋体" w:hAnsi="宋体" w:cs="宋体" w:hint="eastAsia"/>
          <w:b/>
          <w:bCs/>
          <w:kern w:val="0"/>
          <w:sz w:val="28"/>
          <w:szCs w:val="28"/>
        </w:rPr>
        <w:t>⑵</w:t>
      </w:r>
      <w:r>
        <w:rPr>
          <w:rFonts w:ascii="Times New Roman" w:eastAsia="宋体" w:hAnsi="Times New Roman" w:cs="Times New Roman"/>
          <w:b/>
          <w:bCs/>
          <w:kern w:val="0"/>
          <w:sz w:val="28"/>
          <w:szCs w:val="28"/>
        </w:rPr>
        <w:t xml:space="preserve"> </w:t>
      </w:r>
      <w:r>
        <w:rPr>
          <w:rFonts w:ascii="Times New Roman" w:eastAsia="宋体" w:hAnsi="Times New Roman" w:cs="Times New Roman"/>
          <w:b/>
          <w:bCs/>
          <w:kern w:val="0"/>
          <w:sz w:val="28"/>
          <w:szCs w:val="28"/>
        </w:rPr>
        <w:t>工艺水平衡</w:t>
      </w:r>
    </w:p>
    <w:p w14:paraId="379772C4" w14:textId="77777777" w:rsidR="002133E3" w:rsidRDefault="00C22CFA">
      <w:pPr>
        <w:widowControl/>
        <w:spacing w:line="500" w:lineRule="atLeast"/>
        <w:ind w:firstLineChars="200" w:firstLine="560"/>
        <w:jc w:val="left"/>
        <w:rPr>
          <w:rFonts w:ascii="Times New Roman" w:eastAsia="宋体" w:hAnsi="Times New Roman" w:cs="Times New Roman"/>
          <w:color w:val="FF0000"/>
          <w:kern w:val="0"/>
          <w:sz w:val="28"/>
          <w:szCs w:val="28"/>
        </w:rPr>
      </w:pPr>
      <w:r>
        <w:rPr>
          <w:rFonts w:ascii="Times New Roman" w:eastAsia="宋体" w:hAnsi="Times New Roman" w:cs="Times New Roman"/>
          <w:kern w:val="0"/>
          <w:sz w:val="28"/>
          <w:szCs w:val="28"/>
        </w:rPr>
        <w:t>无水乙醇生产工艺水平衡情况见表</w:t>
      </w:r>
      <w:r>
        <w:rPr>
          <w:rFonts w:ascii="Times New Roman" w:eastAsia="宋体" w:hAnsi="Times New Roman" w:cs="Times New Roman"/>
          <w:kern w:val="0"/>
          <w:sz w:val="28"/>
          <w:szCs w:val="28"/>
        </w:rPr>
        <w:t>4.2-15</w:t>
      </w:r>
      <w:r>
        <w:rPr>
          <w:rFonts w:ascii="Times New Roman" w:eastAsia="宋体" w:hAnsi="Times New Roman" w:cs="Times New Roman"/>
          <w:kern w:val="0"/>
          <w:sz w:val="28"/>
          <w:szCs w:val="28"/>
        </w:rPr>
        <w:t>。</w:t>
      </w:r>
    </w:p>
    <w:p w14:paraId="481AA298"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 xml:space="preserve">4.2-15  </w:t>
      </w:r>
      <w:r>
        <w:rPr>
          <w:rFonts w:ascii="Times New Roman" w:eastAsia="宋体" w:hAnsi="Times New Roman" w:cs="Times New Roman"/>
          <w:b/>
          <w:bCs/>
          <w:kern w:val="0"/>
          <w:sz w:val="24"/>
          <w:szCs w:val="24"/>
        </w:rPr>
        <w:t>无水乙醇生产工艺水平衡表</w:t>
      </w:r>
      <w:r>
        <w:rPr>
          <w:rFonts w:ascii="Times New Roman" w:eastAsia="宋体" w:hAnsi="Times New Roman" w:cs="Times New Roman"/>
          <w:b/>
          <w:bCs/>
          <w:kern w:val="0"/>
          <w:sz w:val="24"/>
          <w:szCs w:val="24"/>
        </w:rPr>
        <w:t>(t/a)</w:t>
      </w:r>
    </w:p>
    <w:tbl>
      <w:tblPr>
        <w:tblW w:w="5000" w:type="pct"/>
        <w:jc w:val="center"/>
        <w:tblLook w:val="04A0" w:firstRow="1" w:lastRow="0" w:firstColumn="1" w:lastColumn="0" w:noHBand="0" w:noVBand="1"/>
      </w:tblPr>
      <w:tblGrid>
        <w:gridCol w:w="1301"/>
        <w:gridCol w:w="1263"/>
        <w:gridCol w:w="1027"/>
        <w:gridCol w:w="1305"/>
        <w:gridCol w:w="1521"/>
        <w:gridCol w:w="1289"/>
        <w:gridCol w:w="1119"/>
        <w:gridCol w:w="1029"/>
      </w:tblGrid>
      <w:tr w:rsidR="002133E3" w14:paraId="605A2199" w14:textId="77777777">
        <w:trPr>
          <w:trHeight w:val="270"/>
          <w:jc w:val="center"/>
        </w:trPr>
        <w:tc>
          <w:tcPr>
            <w:tcW w:w="1822"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tcPr>
          <w:p w14:paraId="40DC6F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入方</w:t>
            </w:r>
          </w:p>
        </w:tc>
        <w:tc>
          <w:tcPr>
            <w:tcW w:w="3178" w:type="pct"/>
            <w:gridSpan w:val="5"/>
            <w:tcBorders>
              <w:top w:val="single" w:sz="4" w:space="0" w:color="auto"/>
              <w:left w:val="nil"/>
              <w:bottom w:val="single" w:sz="4" w:space="0" w:color="auto"/>
              <w:right w:val="single" w:sz="4" w:space="0" w:color="auto"/>
            </w:tcBorders>
            <w:shd w:val="clear" w:color="auto" w:fill="auto"/>
            <w:vAlign w:val="center"/>
          </w:tcPr>
          <w:p w14:paraId="63AC34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出方</w:t>
            </w:r>
          </w:p>
        </w:tc>
      </w:tr>
      <w:tr w:rsidR="002133E3" w14:paraId="55347018" w14:textId="77777777">
        <w:trPr>
          <w:trHeight w:val="270"/>
          <w:jc w:val="center"/>
        </w:trPr>
        <w:tc>
          <w:tcPr>
            <w:tcW w:w="1822" w:type="pct"/>
            <w:gridSpan w:val="3"/>
            <w:vMerge/>
            <w:tcBorders>
              <w:top w:val="single" w:sz="4" w:space="0" w:color="auto"/>
              <w:left w:val="single" w:sz="4" w:space="0" w:color="auto"/>
              <w:bottom w:val="single" w:sz="4" w:space="0" w:color="000000"/>
              <w:right w:val="single" w:sz="4" w:space="0" w:color="000000"/>
            </w:tcBorders>
            <w:vAlign w:val="center"/>
          </w:tcPr>
          <w:p w14:paraId="7CC7CB76" w14:textId="77777777" w:rsidR="002133E3" w:rsidRDefault="002133E3">
            <w:pPr>
              <w:widowControl/>
              <w:jc w:val="center"/>
              <w:rPr>
                <w:rFonts w:ascii="Times New Roman" w:eastAsia="宋体" w:hAnsi="Times New Roman" w:cs="Times New Roman"/>
                <w:kern w:val="0"/>
                <w:szCs w:val="21"/>
              </w:rPr>
            </w:pPr>
          </w:p>
        </w:tc>
        <w:tc>
          <w:tcPr>
            <w:tcW w:w="662" w:type="pct"/>
            <w:tcBorders>
              <w:top w:val="nil"/>
              <w:left w:val="nil"/>
              <w:bottom w:val="single" w:sz="4" w:space="0" w:color="auto"/>
              <w:right w:val="single" w:sz="4" w:space="0" w:color="auto"/>
            </w:tcBorders>
            <w:shd w:val="clear" w:color="auto" w:fill="auto"/>
            <w:noWrap/>
            <w:vAlign w:val="center"/>
          </w:tcPr>
          <w:p w14:paraId="17D568C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产品</w:t>
            </w:r>
          </w:p>
        </w:tc>
        <w:tc>
          <w:tcPr>
            <w:tcW w:w="772" w:type="pct"/>
            <w:tcBorders>
              <w:top w:val="nil"/>
              <w:left w:val="nil"/>
              <w:bottom w:val="single" w:sz="4" w:space="0" w:color="auto"/>
              <w:right w:val="single" w:sz="4" w:space="0" w:color="auto"/>
            </w:tcBorders>
            <w:shd w:val="clear" w:color="auto" w:fill="auto"/>
            <w:vAlign w:val="center"/>
          </w:tcPr>
          <w:p w14:paraId="712063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反应消耗</w:t>
            </w:r>
          </w:p>
        </w:tc>
        <w:tc>
          <w:tcPr>
            <w:tcW w:w="654" w:type="pct"/>
            <w:tcBorders>
              <w:top w:val="nil"/>
              <w:left w:val="nil"/>
              <w:bottom w:val="single" w:sz="4" w:space="0" w:color="auto"/>
              <w:right w:val="single" w:sz="4" w:space="0" w:color="auto"/>
            </w:tcBorders>
            <w:shd w:val="clear" w:color="auto" w:fill="auto"/>
            <w:vAlign w:val="center"/>
          </w:tcPr>
          <w:p w14:paraId="0291E4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废气</w:t>
            </w:r>
          </w:p>
        </w:tc>
        <w:tc>
          <w:tcPr>
            <w:tcW w:w="568" w:type="pct"/>
            <w:tcBorders>
              <w:top w:val="nil"/>
              <w:left w:val="nil"/>
              <w:bottom w:val="single" w:sz="4" w:space="0" w:color="auto"/>
              <w:right w:val="single" w:sz="4" w:space="0" w:color="auto"/>
            </w:tcBorders>
            <w:shd w:val="clear" w:color="auto" w:fill="auto"/>
            <w:vAlign w:val="center"/>
          </w:tcPr>
          <w:p w14:paraId="320233B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淡酒</w:t>
            </w:r>
          </w:p>
        </w:tc>
        <w:tc>
          <w:tcPr>
            <w:tcW w:w="522" w:type="pct"/>
            <w:tcBorders>
              <w:top w:val="nil"/>
              <w:left w:val="nil"/>
              <w:bottom w:val="single" w:sz="4" w:space="0" w:color="auto"/>
              <w:right w:val="single" w:sz="4" w:space="0" w:color="auto"/>
            </w:tcBorders>
            <w:shd w:val="clear" w:color="auto" w:fill="auto"/>
            <w:vAlign w:val="center"/>
          </w:tcPr>
          <w:p w14:paraId="19866DF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冷凝水</w:t>
            </w:r>
          </w:p>
        </w:tc>
      </w:tr>
      <w:tr w:rsidR="002133E3" w14:paraId="2850D032" w14:textId="77777777">
        <w:trPr>
          <w:trHeight w:val="300"/>
          <w:jc w:val="center"/>
        </w:trPr>
        <w:tc>
          <w:tcPr>
            <w:tcW w:w="13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BD35B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新鲜水</w:t>
            </w:r>
          </w:p>
        </w:tc>
        <w:tc>
          <w:tcPr>
            <w:tcW w:w="521" w:type="pct"/>
            <w:tcBorders>
              <w:top w:val="nil"/>
              <w:left w:val="nil"/>
              <w:bottom w:val="single" w:sz="4" w:space="0" w:color="auto"/>
              <w:right w:val="single" w:sz="4" w:space="0" w:color="auto"/>
            </w:tcBorders>
            <w:shd w:val="clear" w:color="auto" w:fill="auto"/>
            <w:vAlign w:val="center"/>
          </w:tcPr>
          <w:p w14:paraId="10C3788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8378.18</w:t>
            </w:r>
          </w:p>
        </w:tc>
        <w:tc>
          <w:tcPr>
            <w:tcW w:w="662" w:type="pct"/>
            <w:tcBorders>
              <w:top w:val="nil"/>
              <w:left w:val="nil"/>
              <w:bottom w:val="single" w:sz="4" w:space="0" w:color="auto"/>
              <w:right w:val="single" w:sz="4" w:space="0" w:color="auto"/>
            </w:tcBorders>
            <w:shd w:val="clear" w:color="auto" w:fill="auto"/>
            <w:noWrap/>
            <w:vAlign w:val="center"/>
          </w:tcPr>
          <w:p w14:paraId="35F326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7.60</w:t>
            </w:r>
          </w:p>
        </w:tc>
        <w:tc>
          <w:tcPr>
            <w:tcW w:w="772" w:type="pct"/>
            <w:tcBorders>
              <w:top w:val="nil"/>
              <w:left w:val="nil"/>
              <w:bottom w:val="single" w:sz="4" w:space="0" w:color="auto"/>
              <w:right w:val="single" w:sz="4" w:space="0" w:color="auto"/>
            </w:tcBorders>
            <w:shd w:val="clear" w:color="auto" w:fill="auto"/>
            <w:vAlign w:val="center"/>
          </w:tcPr>
          <w:p w14:paraId="4C0BD44D" w14:textId="77777777" w:rsidR="002133E3" w:rsidRDefault="002133E3">
            <w:pPr>
              <w:widowControl/>
              <w:jc w:val="center"/>
              <w:rPr>
                <w:rFonts w:ascii="Times New Roman" w:eastAsia="宋体" w:hAnsi="Times New Roman" w:cs="Times New Roman"/>
                <w:kern w:val="0"/>
                <w:szCs w:val="21"/>
              </w:rPr>
            </w:pPr>
          </w:p>
        </w:tc>
        <w:tc>
          <w:tcPr>
            <w:tcW w:w="654" w:type="pct"/>
            <w:tcBorders>
              <w:top w:val="nil"/>
              <w:left w:val="nil"/>
              <w:bottom w:val="single" w:sz="4" w:space="0" w:color="auto"/>
              <w:right w:val="single" w:sz="4" w:space="0" w:color="auto"/>
            </w:tcBorders>
            <w:shd w:val="clear" w:color="auto" w:fill="auto"/>
            <w:vAlign w:val="center"/>
          </w:tcPr>
          <w:p w14:paraId="7CDC6CE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2-1</w:t>
            </w:r>
            <w:r>
              <w:rPr>
                <w:rFonts w:ascii="Times New Roman" w:eastAsia="宋体" w:hAnsi="Times New Roman" w:cs="Times New Roman"/>
                <w:kern w:val="0"/>
                <w:szCs w:val="21"/>
              </w:rPr>
              <w:t>：</w:t>
            </w:r>
          </w:p>
        </w:tc>
        <w:tc>
          <w:tcPr>
            <w:tcW w:w="568" w:type="pct"/>
            <w:tcBorders>
              <w:top w:val="nil"/>
              <w:left w:val="nil"/>
              <w:bottom w:val="single" w:sz="4" w:space="0" w:color="auto"/>
              <w:right w:val="single" w:sz="4" w:space="0" w:color="auto"/>
            </w:tcBorders>
            <w:shd w:val="clear" w:color="auto" w:fill="auto"/>
            <w:vAlign w:val="center"/>
          </w:tcPr>
          <w:p w14:paraId="2F4ADF7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12923.21</w:t>
            </w:r>
          </w:p>
        </w:tc>
        <w:tc>
          <w:tcPr>
            <w:tcW w:w="522" w:type="pct"/>
            <w:tcBorders>
              <w:top w:val="nil"/>
              <w:left w:val="nil"/>
              <w:bottom w:val="single" w:sz="4" w:space="0" w:color="auto"/>
              <w:right w:val="single" w:sz="4" w:space="0" w:color="auto"/>
            </w:tcBorders>
            <w:shd w:val="clear" w:color="auto" w:fill="auto"/>
            <w:noWrap/>
            <w:vAlign w:val="bottom"/>
          </w:tcPr>
          <w:p w14:paraId="666ABFE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39000.00</w:t>
            </w:r>
          </w:p>
        </w:tc>
      </w:tr>
      <w:tr w:rsidR="002133E3" w14:paraId="28604E4F" w14:textId="77777777">
        <w:trPr>
          <w:trHeight w:val="300"/>
          <w:jc w:val="center"/>
        </w:trPr>
        <w:tc>
          <w:tcPr>
            <w:tcW w:w="13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F4FC86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蒸汽</w:t>
            </w:r>
          </w:p>
        </w:tc>
        <w:tc>
          <w:tcPr>
            <w:tcW w:w="521" w:type="pct"/>
            <w:tcBorders>
              <w:top w:val="nil"/>
              <w:left w:val="nil"/>
              <w:bottom w:val="single" w:sz="4" w:space="0" w:color="auto"/>
              <w:right w:val="single" w:sz="4" w:space="0" w:color="auto"/>
            </w:tcBorders>
            <w:shd w:val="clear" w:color="auto" w:fill="auto"/>
            <w:vAlign w:val="center"/>
          </w:tcPr>
          <w:p w14:paraId="72C736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39000</w:t>
            </w:r>
          </w:p>
        </w:tc>
        <w:tc>
          <w:tcPr>
            <w:tcW w:w="662" w:type="pct"/>
            <w:tcBorders>
              <w:top w:val="nil"/>
              <w:left w:val="nil"/>
              <w:bottom w:val="single" w:sz="4" w:space="0" w:color="auto"/>
              <w:right w:val="single" w:sz="4" w:space="0" w:color="auto"/>
            </w:tcBorders>
            <w:shd w:val="clear" w:color="auto" w:fill="auto"/>
            <w:noWrap/>
            <w:vAlign w:val="center"/>
          </w:tcPr>
          <w:p w14:paraId="5F86E4CC" w14:textId="77777777" w:rsidR="002133E3" w:rsidRDefault="002133E3">
            <w:pPr>
              <w:widowControl/>
              <w:jc w:val="center"/>
              <w:rPr>
                <w:rFonts w:ascii="Times New Roman" w:eastAsia="宋体" w:hAnsi="Times New Roman" w:cs="Times New Roman"/>
                <w:kern w:val="0"/>
                <w:szCs w:val="21"/>
              </w:rPr>
            </w:pPr>
          </w:p>
        </w:tc>
        <w:tc>
          <w:tcPr>
            <w:tcW w:w="772" w:type="pct"/>
            <w:tcBorders>
              <w:top w:val="nil"/>
              <w:left w:val="nil"/>
              <w:bottom w:val="single" w:sz="4" w:space="0" w:color="auto"/>
              <w:right w:val="single" w:sz="4" w:space="0" w:color="auto"/>
            </w:tcBorders>
            <w:shd w:val="clear" w:color="auto" w:fill="auto"/>
            <w:vAlign w:val="center"/>
          </w:tcPr>
          <w:p w14:paraId="55045620" w14:textId="77777777" w:rsidR="002133E3" w:rsidRDefault="002133E3">
            <w:pPr>
              <w:widowControl/>
              <w:jc w:val="center"/>
              <w:rPr>
                <w:rFonts w:ascii="Times New Roman" w:eastAsia="宋体" w:hAnsi="Times New Roman" w:cs="Times New Roman"/>
                <w:kern w:val="0"/>
                <w:szCs w:val="21"/>
              </w:rPr>
            </w:pPr>
          </w:p>
        </w:tc>
        <w:tc>
          <w:tcPr>
            <w:tcW w:w="654" w:type="pct"/>
            <w:tcBorders>
              <w:top w:val="nil"/>
              <w:left w:val="nil"/>
              <w:bottom w:val="single" w:sz="4" w:space="0" w:color="auto"/>
              <w:right w:val="single" w:sz="4" w:space="0" w:color="auto"/>
            </w:tcBorders>
            <w:shd w:val="clear" w:color="auto" w:fill="auto"/>
            <w:vAlign w:val="center"/>
          </w:tcPr>
          <w:p w14:paraId="2268F8A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2-2</w:t>
            </w:r>
            <w:r>
              <w:rPr>
                <w:rFonts w:ascii="Times New Roman" w:eastAsia="宋体" w:hAnsi="Times New Roman" w:cs="Times New Roman"/>
                <w:kern w:val="0"/>
                <w:szCs w:val="21"/>
              </w:rPr>
              <w:t>：</w:t>
            </w:r>
          </w:p>
        </w:tc>
        <w:tc>
          <w:tcPr>
            <w:tcW w:w="568" w:type="pct"/>
            <w:tcBorders>
              <w:top w:val="nil"/>
              <w:left w:val="nil"/>
              <w:bottom w:val="single" w:sz="4" w:space="0" w:color="auto"/>
              <w:right w:val="single" w:sz="4" w:space="0" w:color="auto"/>
            </w:tcBorders>
            <w:shd w:val="clear" w:color="auto" w:fill="auto"/>
            <w:vAlign w:val="center"/>
          </w:tcPr>
          <w:p w14:paraId="3018994E" w14:textId="77777777" w:rsidR="002133E3" w:rsidRDefault="002133E3">
            <w:pPr>
              <w:widowControl/>
              <w:jc w:val="center"/>
              <w:rPr>
                <w:rFonts w:ascii="Times New Roman" w:eastAsia="宋体" w:hAnsi="Times New Roman" w:cs="Times New Roman"/>
                <w:kern w:val="0"/>
                <w:szCs w:val="21"/>
              </w:rPr>
            </w:pPr>
          </w:p>
        </w:tc>
        <w:tc>
          <w:tcPr>
            <w:tcW w:w="522" w:type="pct"/>
            <w:tcBorders>
              <w:top w:val="nil"/>
              <w:left w:val="nil"/>
              <w:bottom w:val="single" w:sz="4" w:space="0" w:color="auto"/>
              <w:right w:val="single" w:sz="4" w:space="0" w:color="auto"/>
            </w:tcBorders>
            <w:shd w:val="clear" w:color="auto" w:fill="auto"/>
            <w:noWrap/>
            <w:vAlign w:val="bottom"/>
          </w:tcPr>
          <w:p w14:paraId="3ABE0F5E" w14:textId="77777777" w:rsidR="002133E3" w:rsidRDefault="002133E3">
            <w:pPr>
              <w:widowControl/>
              <w:jc w:val="center"/>
              <w:rPr>
                <w:rFonts w:ascii="Times New Roman" w:eastAsia="宋体" w:hAnsi="Times New Roman" w:cs="Times New Roman"/>
                <w:kern w:val="0"/>
                <w:szCs w:val="21"/>
              </w:rPr>
            </w:pPr>
          </w:p>
        </w:tc>
      </w:tr>
      <w:tr w:rsidR="002133E3" w14:paraId="38E1D8E4" w14:textId="77777777">
        <w:trPr>
          <w:trHeight w:val="270"/>
          <w:jc w:val="center"/>
        </w:trPr>
        <w:tc>
          <w:tcPr>
            <w:tcW w:w="660" w:type="pct"/>
            <w:tcBorders>
              <w:top w:val="nil"/>
              <w:left w:val="single" w:sz="4" w:space="0" w:color="auto"/>
              <w:bottom w:val="single" w:sz="4" w:space="0" w:color="000000"/>
              <w:right w:val="single" w:sz="4" w:space="0" w:color="auto"/>
            </w:tcBorders>
            <w:shd w:val="clear" w:color="auto" w:fill="auto"/>
            <w:vAlign w:val="center"/>
          </w:tcPr>
          <w:p w14:paraId="11A8F94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带入水</w:t>
            </w:r>
          </w:p>
        </w:tc>
        <w:tc>
          <w:tcPr>
            <w:tcW w:w="641" w:type="pct"/>
            <w:tcBorders>
              <w:top w:val="nil"/>
              <w:left w:val="nil"/>
              <w:bottom w:val="single" w:sz="4" w:space="0" w:color="auto"/>
              <w:right w:val="single" w:sz="4" w:space="0" w:color="auto"/>
            </w:tcBorders>
            <w:shd w:val="clear" w:color="auto" w:fill="auto"/>
            <w:noWrap/>
            <w:vAlign w:val="center"/>
          </w:tcPr>
          <w:p w14:paraId="1A6FE4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95%</w:t>
            </w:r>
            <w:r>
              <w:rPr>
                <w:rFonts w:ascii="Times New Roman" w:eastAsia="宋体" w:hAnsi="Times New Roman" w:cs="Times New Roman"/>
                <w:kern w:val="0"/>
                <w:szCs w:val="21"/>
              </w:rPr>
              <w:t>酒精</w:t>
            </w:r>
          </w:p>
        </w:tc>
        <w:tc>
          <w:tcPr>
            <w:tcW w:w="521" w:type="pct"/>
            <w:tcBorders>
              <w:top w:val="nil"/>
              <w:left w:val="nil"/>
              <w:bottom w:val="single" w:sz="4" w:space="0" w:color="auto"/>
              <w:right w:val="single" w:sz="4" w:space="0" w:color="auto"/>
            </w:tcBorders>
            <w:shd w:val="clear" w:color="auto" w:fill="auto"/>
            <w:vAlign w:val="center"/>
          </w:tcPr>
          <w:p w14:paraId="51A55A9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4554.90</w:t>
            </w:r>
          </w:p>
        </w:tc>
        <w:tc>
          <w:tcPr>
            <w:tcW w:w="662" w:type="pct"/>
            <w:tcBorders>
              <w:top w:val="nil"/>
              <w:left w:val="nil"/>
              <w:bottom w:val="single" w:sz="4" w:space="0" w:color="auto"/>
              <w:right w:val="single" w:sz="4" w:space="0" w:color="auto"/>
            </w:tcBorders>
            <w:shd w:val="clear" w:color="auto" w:fill="auto"/>
            <w:noWrap/>
            <w:vAlign w:val="bottom"/>
          </w:tcPr>
          <w:p w14:paraId="4F90B868" w14:textId="77777777" w:rsidR="002133E3" w:rsidRDefault="002133E3">
            <w:pPr>
              <w:widowControl/>
              <w:jc w:val="center"/>
              <w:rPr>
                <w:rFonts w:ascii="Times New Roman" w:eastAsia="宋体" w:hAnsi="Times New Roman" w:cs="Times New Roman"/>
                <w:kern w:val="0"/>
                <w:szCs w:val="21"/>
              </w:rPr>
            </w:pPr>
          </w:p>
        </w:tc>
        <w:tc>
          <w:tcPr>
            <w:tcW w:w="772" w:type="pct"/>
            <w:tcBorders>
              <w:top w:val="nil"/>
              <w:left w:val="nil"/>
              <w:bottom w:val="single" w:sz="4" w:space="0" w:color="auto"/>
              <w:right w:val="single" w:sz="4" w:space="0" w:color="auto"/>
            </w:tcBorders>
            <w:shd w:val="clear" w:color="auto" w:fill="auto"/>
            <w:vAlign w:val="center"/>
          </w:tcPr>
          <w:p w14:paraId="7DFF430C" w14:textId="77777777" w:rsidR="002133E3" w:rsidRDefault="002133E3">
            <w:pPr>
              <w:widowControl/>
              <w:jc w:val="center"/>
              <w:rPr>
                <w:rFonts w:ascii="Times New Roman" w:eastAsia="宋体" w:hAnsi="Times New Roman" w:cs="Times New Roman"/>
                <w:kern w:val="0"/>
                <w:szCs w:val="21"/>
              </w:rPr>
            </w:pPr>
          </w:p>
        </w:tc>
        <w:tc>
          <w:tcPr>
            <w:tcW w:w="654" w:type="pct"/>
            <w:tcBorders>
              <w:top w:val="nil"/>
              <w:left w:val="nil"/>
              <w:bottom w:val="single" w:sz="4" w:space="0" w:color="auto"/>
              <w:right w:val="single" w:sz="4" w:space="0" w:color="auto"/>
            </w:tcBorders>
            <w:shd w:val="clear" w:color="auto" w:fill="auto"/>
            <w:vAlign w:val="center"/>
          </w:tcPr>
          <w:p w14:paraId="44BC1853" w14:textId="77777777" w:rsidR="002133E3" w:rsidRDefault="002133E3">
            <w:pPr>
              <w:widowControl/>
              <w:jc w:val="center"/>
              <w:rPr>
                <w:rFonts w:ascii="Times New Roman" w:eastAsia="宋体" w:hAnsi="Times New Roman" w:cs="Times New Roman"/>
                <w:kern w:val="0"/>
                <w:szCs w:val="21"/>
              </w:rPr>
            </w:pPr>
          </w:p>
        </w:tc>
        <w:tc>
          <w:tcPr>
            <w:tcW w:w="568" w:type="pct"/>
            <w:tcBorders>
              <w:top w:val="nil"/>
              <w:left w:val="nil"/>
              <w:bottom w:val="single" w:sz="4" w:space="0" w:color="auto"/>
              <w:right w:val="single" w:sz="4" w:space="0" w:color="auto"/>
            </w:tcBorders>
            <w:shd w:val="clear" w:color="auto" w:fill="auto"/>
            <w:vAlign w:val="center"/>
          </w:tcPr>
          <w:p w14:paraId="7EFDF074" w14:textId="77777777" w:rsidR="002133E3" w:rsidRDefault="002133E3">
            <w:pPr>
              <w:widowControl/>
              <w:jc w:val="center"/>
              <w:rPr>
                <w:rFonts w:ascii="Times New Roman" w:eastAsia="宋体" w:hAnsi="Times New Roman" w:cs="Times New Roman"/>
                <w:kern w:val="0"/>
                <w:szCs w:val="21"/>
              </w:rPr>
            </w:pPr>
          </w:p>
        </w:tc>
        <w:tc>
          <w:tcPr>
            <w:tcW w:w="522" w:type="pct"/>
            <w:tcBorders>
              <w:top w:val="nil"/>
              <w:left w:val="nil"/>
              <w:bottom w:val="single" w:sz="4" w:space="0" w:color="auto"/>
              <w:right w:val="single" w:sz="4" w:space="0" w:color="auto"/>
            </w:tcBorders>
            <w:shd w:val="clear" w:color="auto" w:fill="auto"/>
            <w:noWrap/>
            <w:vAlign w:val="bottom"/>
          </w:tcPr>
          <w:p w14:paraId="6EFE9D34" w14:textId="77777777" w:rsidR="002133E3" w:rsidRDefault="002133E3">
            <w:pPr>
              <w:widowControl/>
              <w:jc w:val="center"/>
              <w:rPr>
                <w:rFonts w:ascii="Times New Roman" w:eastAsia="宋体" w:hAnsi="Times New Roman" w:cs="Times New Roman"/>
                <w:kern w:val="0"/>
                <w:szCs w:val="21"/>
              </w:rPr>
            </w:pPr>
          </w:p>
        </w:tc>
      </w:tr>
      <w:tr w:rsidR="002133E3" w14:paraId="39A134DB" w14:textId="77777777">
        <w:trPr>
          <w:trHeight w:val="270"/>
          <w:jc w:val="center"/>
        </w:trPr>
        <w:tc>
          <w:tcPr>
            <w:tcW w:w="1300"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4A66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合计</w:t>
            </w:r>
          </w:p>
        </w:tc>
        <w:tc>
          <w:tcPr>
            <w:tcW w:w="521" w:type="pct"/>
            <w:vMerge w:val="restart"/>
            <w:tcBorders>
              <w:top w:val="nil"/>
              <w:left w:val="single" w:sz="4" w:space="0" w:color="auto"/>
              <w:bottom w:val="single" w:sz="4" w:space="0" w:color="auto"/>
              <w:right w:val="single" w:sz="4" w:space="0" w:color="auto"/>
            </w:tcBorders>
            <w:shd w:val="clear" w:color="auto" w:fill="auto"/>
            <w:vAlign w:val="center"/>
          </w:tcPr>
          <w:p w14:paraId="003F249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51933.08</w:t>
            </w:r>
          </w:p>
        </w:tc>
        <w:tc>
          <w:tcPr>
            <w:tcW w:w="662" w:type="pct"/>
            <w:tcBorders>
              <w:top w:val="nil"/>
              <w:left w:val="nil"/>
              <w:bottom w:val="single" w:sz="4" w:space="0" w:color="auto"/>
              <w:right w:val="single" w:sz="4" w:space="0" w:color="auto"/>
            </w:tcBorders>
            <w:shd w:val="clear" w:color="auto" w:fill="auto"/>
            <w:vAlign w:val="center"/>
          </w:tcPr>
          <w:p w14:paraId="116B96F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7.60</w:t>
            </w:r>
          </w:p>
        </w:tc>
        <w:tc>
          <w:tcPr>
            <w:tcW w:w="772" w:type="pct"/>
            <w:tcBorders>
              <w:top w:val="nil"/>
              <w:left w:val="nil"/>
              <w:bottom w:val="single" w:sz="4" w:space="0" w:color="auto"/>
              <w:right w:val="single" w:sz="4" w:space="0" w:color="auto"/>
            </w:tcBorders>
            <w:shd w:val="clear" w:color="auto" w:fill="auto"/>
            <w:vAlign w:val="center"/>
          </w:tcPr>
          <w:p w14:paraId="678A461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0.00</w:t>
            </w:r>
          </w:p>
        </w:tc>
        <w:tc>
          <w:tcPr>
            <w:tcW w:w="654" w:type="pct"/>
            <w:tcBorders>
              <w:top w:val="nil"/>
              <w:left w:val="nil"/>
              <w:bottom w:val="single" w:sz="4" w:space="0" w:color="auto"/>
              <w:right w:val="single" w:sz="4" w:space="0" w:color="auto"/>
            </w:tcBorders>
            <w:shd w:val="clear" w:color="auto" w:fill="auto"/>
            <w:vAlign w:val="center"/>
          </w:tcPr>
          <w:p w14:paraId="3EB08EF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2.27</w:t>
            </w:r>
          </w:p>
        </w:tc>
        <w:tc>
          <w:tcPr>
            <w:tcW w:w="568" w:type="pct"/>
            <w:tcBorders>
              <w:top w:val="nil"/>
              <w:left w:val="nil"/>
              <w:bottom w:val="single" w:sz="4" w:space="0" w:color="auto"/>
              <w:right w:val="single" w:sz="4" w:space="0" w:color="auto"/>
            </w:tcBorders>
            <w:shd w:val="clear" w:color="auto" w:fill="auto"/>
            <w:vAlign w:val="center"/>
          </w:tcPr>
          <w:p w14:paraId="1669BA9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12923.21</w:t>
            </w:r>
          </w:p>
        </w:tc>
        <w:tc>
          <w:tcPr>
            <w:tcW w:w="522" w:type="pct"/>
            <w:tcBorders>
              <w:top w:val="nil"/>
              <w:left w:val="nil"/>
              <w:bottom w:val="single" w:sz="4" w:space="0" w:color="auto"/>
              <w:right w:val="single" w:sz="4" w:space="0" w:color="auto"/>
            </w:tcBorders>
            <w:shd w:val="clear" w:color="auto" w:fill="auto"/>
            <w:noWrap/>
            <w:vAlign w:val="bottom"/>
          </w:tcPr>
          <w:p w14:paraId="71287F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39000.00</w:t>
            </w:r>
          </w:p>
        </w:tc>
      </w:tr>
      <w:tr w:rsidR="002133E3" w14:paraId="3903D422" w14:textId="77777777">
        <w:trPr>
          <w:trHeight w:val="270"/>
          <w:jc w:val="center"/>
        </w:trPr>
        <w:tc>
          <w:tcPr>
            <w:tcW w:w="1300" w:type="pct"/>
            <w:gridSpan w:val="2"/>
            <w:vMerge/>
            <w:tcBorders>
              <w:top w:val="single" w:sz="4" w:space="0" w:color="auto"/>
              <w:left w:val="single" w:sz="4" w:space="0" w:color="auto"/>
              <w:bottom w:val="single" w:sz="4" w:space="0" w:color="auto"/>
              <w:right w:val="single" w:sz="4" w:space="0" w:color="auto"/>
            </w:tcBorders>
            <w:vAlign w:val="center"/>
          </w:tcPr>
          <w:p w14:paraId="78758DBF" w14:textId="77777777" w:rsidR="002133E3" w:rsidRDefault="002133E3">
            <w:pPr>
              <w:widowControl/>
              <w:jc w:val="center"/>
              <w:rPr>
                <w:rFonts w:ascii="Times New Roman" w:eastAsia="宋体" w:hAnsi="Times New Roman" w:cs="Times New Roman"/>
                <w:kern w:val="0"/>
                <w:szCs w:val="21"/>
              </w:rPr>
            </w:pPr>
          </w:p>
        </w:tc>
        <w:tc>
          <w:tcPr>
            <w:tcW w:w="521" w:type="pct"/>
            <w:vMerge/>
            <w:tcBorders>
              <w:top w:val="nil"/>
              <w:left w:val="single" w:sz="4" w:space="0" w:color="auto"/>
              <w:bottom w:val="single" w:sz="4" w:space="0" w:color="auto"/>
              <w:right w:val="single" w:sz="4" w:space="0" w:color="auto"/>
            </w:tcBorders>
            <w:vAlign w:val="center"/>
          </w:tcPr>
          <w:p w14:paraId="50CBD092" w14:textId="77777777" w:rsidR="002133E3" w:rsidRDefault="002133E3">
            <w:pPr>
              <w:widowControl/>
              <w:jc w:val="center"/>
              <w:rPr>
                <w:rFonts w:ascii="Times New Roman" w:eastAsia="宋体" w:hAnsi="Times New Roman" w:cs="Times New Roman"/>
                <w:b/>
                <w:bCs/>
                <w:kern w:val="0"/>
                <w:szCs w:val="21"/>
              </w:rPr>
            </w:pPr>
          </w:p>
        </w:tc>
        <w:tc>
          <w:tcPr>
            <w:tcW w:w="3178" w:type="pct"/>
            <w:gridSpan w:val="5"/>
            <w:tcBorders>
              <w:top w:val="nil"/>
              <w:left w:val="nil"/>
              <w:bottom w:val="single" w:sz="4" w:space="0" w:color="auto"/>
              <w:right w:val="single" w:sz="4" w:space="0" w:color="auto"/>
            </w:tcBorders>
            <w:shd w:val="clear" w:color="auto" w:fill="auto"/>
            <w:noWrap/>
            <w:vAlign w:val="bottom"/>
          </w:tcPr>
          <w:p w14:paraId="360D585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51933.08</w:t>
            </w:r>
          </w:p>
        </w:tc>
      </w:tr>
    </w:tbl>
    <w:p w14:paraId="62EDE8D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污染物产生情况</w:t>
      </w:r>
    </w:p>
    <w:p w14:paraId="5C0ADE7E" w14:textId="77777777" w:rsidR="002133E3" w:rsidRDefault="00C22CFA">
      <w:pPr>
        <w:widowControl/>
        <w:adjustRightInd w:val="0"/>
        <w:snapToGrid w:val="0"/>
        <w:spacing w:line="500" w:lineRule="atLeast"/>
        <w:ind w:firstLineChars="200" w:firstLine="560"/>
        <w:rPr>
          <w:rFonts w:ascii="Times New Roman" w:eastAsia="宋体" w:hAnsi="Times New Roman" w:cs="Times New Roman"/>
          <w:caps/>
          <w:kern w:val="0"/>
          <w:sz w:val="28"/>
          <w:szCs w:val="28"/>
        </w:rPr>
      </w:pPr>
      <w:r>
        <w:rPr>
          <w:rFonts w:ascii="Times New Roman" w:eastAsia="宋体" w:hAnsi="Times New Roman" w:cs="Times New Roman"/>
          <w:kern w:val="0"/>
          <w:sz w:val="28"/>
          <w:szCs w:val="28"/>
        </w:rPr>
        <w:lastRenderedPageBreak/>
        <w:t>无水乙醇生产</w:t>
      </w:r>
      <w:r>
        <w:rPr>
          <w:rFonts w:ascii="Times New Roman" w:eastAsia="宋体" w:hAnsi="Times New Roman" w:cs="Times New Roman"/>
          <w:caps/>
          <w:kern w:val="0"/>
          <w:sz w:val="28"/>
          <w:szCs w:val="28"/>
        </w:rPr>
        <w:t>过程中废气、废水、副产物产生情况见表</w:t>
      </w:r>
      <w:r>
        <w:rPr>
          <w:rFonts w:ascii="Times New Roman" w:eastAsia="宋体" w:hAnsi="Times New Roman" w:cs="Times New Roman"/>
          <w:caps/>
          <w:kern w:val="0"/>
          <w:sz w:val="28"/>
          <w:szCs w:val="28"/>
        </w:rPr>
        <w:t>4.2-16</w:t>
      </w:r>
      <w:r>
        <w:rPr>
          <w:rFonts w:ascii="Times New Roman" w:eastAsia="宋体" w:hAnsi="Times New Roman" w:cs="Times New Roman"/>
          <w:caps/>
          <w:kern w:val="0"/>
          <w:sz w:val="28"/>
          <w:szCs w:val="28"/>
        </w:rPr>
        <w:t>～</w:t>
      </w:r>
      <w:r>
        <w:rPr>
          <w:rFonts w:ascii="Times New Roman" w:eastAsia="宋体" w:hAnsi="Times New Roman" w:cs="Times New Roman"/>
          <w:caps/>
          <w:kern w:val="0"/>
          <w:sz w:val="28"/>
          <w:szCs w:val="28"/>
        </w:rPr>
        <w:t>17</w:t>
      </w:r>
      <w:r>
        <w:rPr>
          <w:rFonts w:ascii="Times New Roman" w:eastAsia="宋体" w:hAnsi="Times New Roman" w:cs="Times New Roman"/>
          <w:caps/>
          <w:kern w:val="0"/>
          <w:sz w:val="28"/>
          <w:szCs w:val="28"/>
        </w:rPr>
        <w:t>。</w:t>
      </w:r>
    </w:p>
    <w:p w14:paraId="280665CF" w14:textId="77777777" w:rsidR="002133E3" w:rsidRDefault="00C22CFA">
      <w:pPr>
        <w:widowControl/>
        <w:adjustRightInd w:val="0"/>
        <w:snapToGrid w:val="0"/>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 xml:space="preserve">4.2-16  </w:t>
      </w:r>
      <w:r>
        <w:rPr>
          <w:rFonts w:ascii="Times New Roman" w:eastAsia="宋体" w:hAnsi="Times New Roman" w:cs="Times New Roman"/>
          <w:b/>
          <w:bCs/>
          <w:kern w:val="0"/>
          <w:sz w:val="24"/>
          <w:szCs w:val="24"/>
        </w:rPr>
        <w:t>无水乙醇生产废气产生情况表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112"/>
        <w:gridCol w:w="1953"/>
        <w:gridCol w:w="1750"/>
        <w:gridCol w:w="1750"/>
        <w:gridCol w:w="2022"/>
      </w:tblGrid>
      <w:tr w:rsidR="002133E3" w14:paraId="798375FA" w14:textId="77777777">
        <w:trPr>
          <w:trHeight w:val="270"/>
          <w:jc w:val="center"/>
        </w:trPr>
        <w:tc>
          <w:tcPr>
            <w:tcW w:w="643" w:type="pct"/>
            <w:shd w:val="clear" w:color="auto" w:fill="auto"/>
            <w:vAlign w:val="center"/>
          </w:tcPr>
          <w:p w14:paraId="187C8E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类型</w:t>
            </w:r>
          </w:p>
        </w:tc>
        <w:tc>
          <w:tcPr>
            <w:tcW w:w="564" w:type="pct"/>
            <w:shd w:val="clear" w:color="auto" w:fill="auto"/>
            <w:vAlign w:val="center"/>
          </w:tcPr>
          <w:p w14:paraId="7D72440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代码</w:t>
            </w:r>
          </w:p>
        </w:tc>
        <w:tc>
          <w:tcPr>
            <w:tcW w:w="991" w:type="pct"/>
            <w:shd w:val="clear" w:color="auto" w:fill="auto"/>
            <w:vAlign w:val="center"/>
          </w:tcPr>
          <w:p w14:paraId="23A8570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污染物名称</w:t>
            </w:r>
          </w:p>
        </w:tc>
        <w:tc>
          <w:tcPr>
            <w:tcW w:w="888" w:type="pct"/>
            <w:vAlign w:val="center"/>
          </w:tcPr>
          <w:p w14:paraId="0C1F478A" w14:textId="77777777" w:rsidR="002133E3" w:rsidRDefault="00C22CFA">
            <w:pPr>
              <w:widowControl/>
              <w:jc w:val="center"/>
              <w:rPr>
                <w:rFonts w:ascii="Times New Roman" w:eastAsia="宋体" w:hAnsi="Times New Roman" w:cs="Times New Roman"/>
                <w:color w:val="000000"/>
                <w:kern w:val="0"/>
                <w:szCs w:val="21"/>
              </w:rPr>
            </w:pPr>
            <w:r>
              <w:rPr>
                <w:rFonts w:ascii="Times New Roman" w:hAnsi="Times New Roman" w:cs="Times New Roman"/>
                <w:color w:val="000000"/>
                <w:szCs w:val="21"/>
              </w:rPr>
              <w:t>产生量（</w:t>
            </w:r>
            <w:r>
              <w:rPr>
                <w:rFonts w:ascii="Times New Roman" w:eastAsia="等线" w:hAnsi="Times New Roman" w:cs="Times New Roman"/>
                <w:color w:val="000000"/>
                <w:szCs w:val="21"/>
              </w:rPr>
              <w:t>t/a</w:t>
            </w:r>
            <w:r>
              <w:rPr>
                <w:rFonts w:ascii="Times New Roman" w:hAnsi="Times New Roman" w:cs="Times New Roman"/>
                <w:color w:val="000000"/>
                <w:szCs w:val="21"/>
              </w:rPr>
              <w:t>）</w:t>
            </w:r>
          </w:p>
        </w:tc>
        <w:tc>
          <w:tcPr>
            <w:tcW w:w="888" w:type="pct"/>
            <w:shd w:val="clear" w:color="auto" w:fill="auto"/>
            <w:vAlign w:val="center"/>
          </w:tcPr>
          <w:p w14:paraId="2708421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产生速率</w:t>
            </w:r>
            <w:r>
              <w:rPr>
                <w:rFonts w:ascii="Times New Roman" w:eastAsia="宋体" w:hAnsi="Times New Roman" w:cs="Times New Roman"/>
                <w:color w:val="000000"/>
                <w:kern w:val="0"/>
                <w:szCs w:val="21"/>
              </w:rPr>
              <w:t>(kg/h)</w:t>
            </w:r>
          </w:p>
        </w:tc>
        <w:tc>
          <w:tcPr>
            <w:tcW w:w="1026" w:type="pct"/>
            <w:shd w:val="clear" w:color="auto" w:fill="auto"/>
            <w:vAlign w:val="center"/>
          </w:tcPr>
          <w:p w14:paraId="02DD293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排放时间</w:t>
            </w:r>
            <w:r>
              <w:rPr>
                <w:rFonts w:ascii="Times New Roman" w:eastAsia="宋体" w:hAnsi="Times New Roman" w:cs="Times New Roman"/>
                <w:color w:val="000000"/>
                <w:kern w:val="0"/>
                <w:szCs w:val="21"/>
              </w:rPr>
              <w:t>(h)</w:t>
            </w:r>
          </w:p>
        </w:tc>
      </w:tr>
      <w:tr w:rsidR="002133E3" w14:paraId="395935A5" w14:textId="77777777">
        <w:trPr>
          <w:trHeight w:val="270"/>
          <w:jc w:val="center"/>
        </w:trPr>
        <w:tc>
          <w:tcPr>
            <w:tcW w:w="643" w:type="pct"/>
            <w:vMerge w:val="restart"/>
            <w:shd w:val="clear" w:color="auto" w:fill="auto"/>
            <w:noWrap/>
            <w:vAlign w:val="center"/>
          </w:tcPr>
          <w:p w14:paraId="4351E4D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有组织废气</w:t>
            </w:r>
          </w:p>
        </w:tc>
        <w:tc>
          <w:tcPr>
            <w:tcW w:w="564" w:type="pct"/>
            <w:vMerge w:val="restart"/>
            <w:shd w:val="clear" w:color="auto" w:fill="auto"/>
            <w:vAlign w:val="center"/>
          </w:tcPr>
          <w:p w14:paraId="37C507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2-1</w:t>
            </w:r>
            <w:r>
              <w:rPr>
                <w:rFonts w:ascii="Times New Roman" w:eastAsia="宋体" w:hAnsi="Times New Roman" w:cs="Times New Roman"/>
                <w:kern w:val="0"/>
                <w:szCs w:val="21"/>
              </w:rPr>
              <w:t>：</w:t>
            </w:r>
          </w:p>
        </w:tc>
        <w:tc>
          <w:tcPr>
            <w:tcW w:w="991" w:type="pct"/>
            <w:shd w:val="clear" w:color="auto" w:fill="auto"/>
            <w:noWrap/>
            <w:vAlign w:val="center"/>
          </w:tcPr>
          <w:p w14:paraId="1CCF4BE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888" w:type="pct"/>
            <w:vAlign w:val="center"/>
          </w:tcPr>
          <w:p w14:paraId="579E8C3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30.01</w:t>
            </w:r>
          </w:p>
        </w:tc>
        <w:tc>
          <w:tcPr>
            <w:tcW w:w="888" w:type="pct"/>
            <w:shd w:val="clear" w:color="auto" w:fill="auto"/>
            <w:noWrap/>
            <w:vAlign w:val="center"/>
          </w:tcPr>
          <w:p w14:paraId="7877056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4.17</w:t>
            </w:r>
          </w:p>
        </w:tc>
        <w:tc>
          <w:tcPr>
            <w:tcW w:w="1026" w:type="pct"/>
            <w:shd w:val="clear" w:color="auto" w:fill="auto"/>
            <w:vAlign w:val="center"/>
          </w:tcPr>
          <w:p w14:paraId="091658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r w:rsidR="002133E3" w14:paraId="5B5E8B57" w14:textId="77777777">
        <w:trPr>
          <w:trHeight w:val="270"/>
          <w:jc w:val="center"/>
        </w:trPr>
        <w:tc>
          <w:tcPr>
            <w:tcW w:w="643" w:type="pct"/>
            <w:vMerge/>
            <w:vAlign w:val="center"/>
          </w:tcPr>
          <w:p w14:paraId="2E6BC2E0" w14:textId="77777777" w:rsidR="002133E3" w:rsidRDefault="002133E3">
            <w:pPr>
              <w:widowControl/>
              <w:jc w:val="center"/>
              <w:rPr>
                <w:rFonts w:ascii="Times New Roman" w:eastAsia="宋体" w:hAnsi="Times New Roman" w:cs="Times New Roman"/>
                <w:color w:val="000000"/>
                <w:kern w:val="0"/>
                <w:szCs w:val="21"/>
              </w:rPr>
            </w:pPr>
          </w:p>
        </w:tc>
        <w:tc>
          <w:tcPr>
            <w:tcW w:w="564" w:type="pct"/>
            <w:vMerge/>
            <w:vAlign w:val="center"/>
          </w:tcPr>
          <w:p w14:paraId="771FCD3C" w14:textId="77777777" w:rsidR="002133E3" w:rsidRDefault="002133E3">
            <w:pPr>
              <w:widowControl/>
              <w:jc w:val="center"/>
              <w:rPr>
                <w:rFonts w:ascii="Times New Roman" w:eastAsia="宋体" w:hAnsi="Times New Roman" w:cs="Times New Roman"/>
                <w:kern w:val="0"/>
                <w:szCs w:val="21"/>
              </w:rPr>
            </w:pPr>
          </w:p>
        </w:tc>
        <w:tc>
          <w:tcPr>
            <w:tcW w:w="991" w:type="pct"/>
            <w:shd w:val="clear" w:color="auto" w:fill="auto"/>
            <w:noWrap/>
            <w:vAlign w:val="center"/>
          </w:tcPr>
          <w:p w14:paraId="1A116A0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888" w:type="pct"/>
            <w:vAlign w:val="center"/>
          </w:tcPr>
          <w:p w14:paraId="291DC332"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kern w:val="0"/>
                <w:szCs w:val="21"/>
              </w:rPr>
              <w:t>0.004</w:t>
            </w:r>
          </w:p>
        </w:tc>
        <w:tc>
          <w:tcPr>
            <w:tcW w:w="888" w:type="pct"/>
            <w:shd w:val="clear" w:color="auto" w:fill="auto"/>
            <w:noWrap/>
            <w:vAlign w:val="center"/>
          </w:tcPr>
          <w:p w14:paraId="75D62C8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kern w:val="0"/>
                <w:szCs w:val="21"/>
              </w:rPr>
              <w:t>0.001</w:t>
            </w:r>
          </w:p>
        </w:tc>
        <w:tc>
          <w:tcPr>
            <w:tcW w:w="1026" w:type="pct"/>
            <w:shd w:val="clear" w:color="auto" w:fill="auto"/>
            <w:vAlign w:val="center"/>
          </w:tcPr>
          <w:p w14:paraId="34772F4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r w:rsidR="002133E3" w14:paraId="0E213167" w14:textId="77777777">
        <w:trPr>
          <w:trHeight w:val="270"/>
          <w:jc w:val="center"/>
        </w:trPr>
        <w:tc>
          <w:tcPr>
            <w:tcW w:w="643" w:type="pct"/>
            <w:vMerge/>
            <w:vAlign w:val="center"/>
          </w:tcPr>
          <w:p w14:paraId="551477CC" w14:textId="77777777" w:rsidR="002133E3" w:rsidRDefault="002133E3">
            <w:pPr>
              <w:widowControl/>
              <w:jc w:val="center"/>
              <w:rPr>
                <w:rFonts w:ascii="Times New Roman" w:eastAsia="宋体" w:hAnsi="Times New Roman" w:cs="Times New Roman"/>
                <w:color w:val="000000"/>
                <w:kern w:val="0"/>
                <w:szCs w:val="21"/>
              </w:rPr>
            </w:pPr>
          </w:p>
        </w:tc>
        <w:tc>
          <w:tcPr>
            <w:tcW w:w="564" w:type="pct"/>
            <w:vMerge w:val="restart"/>
            <w:shd w:val="clear" w:color="auto" w:fill="auto"/>
            <w:vAlign w:val="center"/>
          </w:tcPr>
          <w:p w14:paraId="0D44BC3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2-2</w:t>
            </w:r>
            <w:r>
              <w:rPr>
                <w:rFonts w:ascii="Times New Roman" w:eastAsia="宋体" w:hAnsi="Times New Roman" w:cs="Times New Roman"/>
                <w:kern w:val="0"/>
                <w:szCs w:val="21"/>
              </w:rPr>
              <w:t>：</w:t>
            </w:r>
          </w:p>
        </w:tc>
        <w:tc>
          <w:tcPr>
            <w:tcW w:w="991" w:type="pct"/>
            <w:shd w:val="clear" w:color="auto" w:fill="auto"/>
            <w:noWrap/>
            <w:vAlign w:val="center"/>
          </w:tcPr>
          <w:p w14:paraId="20F5E5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888" w:type="pct"/>
            <w:vAlign w:val="center"/>
          </w:tcPr>
          <w:p w14:paraId="1467819E"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4.17</w:t>
            </w:r>
          </w:p>
        </w:tc>
        <w:tc>
          <w:tcPr>
            <w:tcW w:w="888" w:type="pct"/>
            <w:shd w:val="clear" w:color="auto" w:fill="auto"/>
            <w:noWrap/>
            <w:vAlign w:val="center"/>
          </w:tcPr>
          <w:p w14:paraId="61E44FE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0.58</w:t>
            </w:r>
          </w:p>
        </w:tc>
        <w:tc>
          <w:tcPr>
            <w:tcW w:w="1026" w:type="pct"/>
            <w:shd w:val="clear" w:color="auto" w:fill="auto"/>
            <w:vAlign w:val="center"/>
          </w:tcPr>
          <w:p w14:paraId="0EDB4CE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r w:rsidR="002133E3" w14:paraId="31D909A0" w14:textId="77777777">
        <w:trPr>
          <w:trHeight w:val="270"/>
          <w:jc w:val="center"/>
        </w:trPr>
        <w:tc>
          <w:tcPr>
            <w:tcW w:w="643" w:type="pct"/>
            <w:vMerge/>
            <w:vAlign w:val="center"/>
          </w:tcPr>
          <w:p w14:paraId="2A70F1D8" w14:textId="77777777" w:rsidR="002133E3" w:rsidRDefault="002133E3">
            <w:pPr>
              <w:widowControl/>
              <w:jc w:val="center"/>
              <w:rPr>
                <w:rFonts w:ascii="Times New Roman" w:eastAsia="宋体" w:hAnsi="Times New Roman" w:cs="Times New Roman"/>
                <w:color w:val="000000"/>
                <w:kern w:val="0"/>
                <w:szCs w:val="21"/>
              </w:rPr>
            </w:pPr>
          </w:p>
        </w:tc>
        <w:tc>
          <w:tcPr>
            <w:tcW w:w="564" w:type="pct"/>
            <w:vMerge/>
            <w:vAlign w:val="center"/>
          </w:tcPr>
          <w:p w14:paraId="49FAB280" w14:textId="77777777" w:rsidR="002133E3" w:rsidRDefault="002133E3">
            <w:pPr>
              <w:widowControl/>
              <w:jc w:val="center"/>
              <w:rPr>
                <w:rFonts w:ascii="Times New Roman" w:eastAsia="宋体" w:hAnsi="Times New Roman" w:cs="Times New Roman"/>
                <w:kern w:val="0"/>
                <w:szCs w:val="21"/>
              </w:rPr>
            </w:pPr>
          </w:p>
        </w:tc>
        <w:tc>
          <w:tcPr>
            <w:tcW w:w="991" w:type="pct"/>
            <w:shd w:val="clear" w:color="auto" w:fill="auto"/>
            <w:noWrap/>
            <w:vAlign w:val="center"/>
          </w:tcPr>
          <w:p w14:paraId="319EB9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水</w:t>
            </w:r>
          </w:p>
        </w:tc>
        <w:tc>
          <w:tcPr>
            <w:tcW w:w="888" w:type="pct"/>
            <w:vAlign w:val="center"/>
          </w:tcPr>
          <w:p w14:paraId="314BF85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2.27</w:t>
            </w:r>
          </w:p>
        </w:tc>
        <w:tc>
          <w:tcPr>
            <w:tcW w:w="888" w:type="pct"/>
            <w:shd w:val="clear" w:color="auto" w:fill="auto"/>
            <w:noWrap/>
            <w:vAlign w:val="center"/>
          </w:tcPr>
          <w:p w14:paraId="4A832B4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0.31</w:t>
            </w:r>
          </w:p>
        </w:tc>
        <w:tc>
          <w:tcPr>
            <w:tcW w:w="1026" w:type="pct"/>
            <w:shd w:val="clear" w:color="auto" w:fill="auto"/>
            <w:vAlign w:val="center"/>
          </w:tcPr>
          <w:p w14:paraId="251F039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7200</w:t>
            </w:r>
          </w:p>
        </w:tc>
      </w:tr>
    </w:tbl>
    <w:p w14:paraId="6E531630" w14:textId="77777777" w:rsidR="002133E3" w:rsidRDefault="00C22CFA">
      <w:pPr>
        <w:widowControl/>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表</w:t>
      </w:r>
      <w:r>
        <w:rPr>
          <w:rFonts w:ascii="Times New Roman" w:eastAsia="宋体" w:hAnsi="Times New Roman" w:cs="Times New Roman"/>
          <w:b/>
          <w:bCs/>
          <w:kern w:val="0"/>
          <w:sz w:val="24"/>
          <w:szCs w:val="24"/>
        </w:rPr>
        <w:t xml:space="preserve">4.2-17  </w:t>
      </w:r>
      <w:r>
        <w:rPr>
          <w:rFonts w:ascii="Times New Roman" w:eastAsia="宋体" w:hAnsi="Times New Roman" w:cs="Times New Roman"/>
          <w:b/>
          <w:bCs/>
          <w:kern w:val="0"/>
          <w:sz w:val="24"/>
          <w:szCs w:val="24"/>
        </w:rPr>
        <w:t>无水乙醇生产副产物产生情况表</w:t>
      </w:r>
    </w:p>
    <w:tbl>
      <w:tblPr>
        <w:tblW w:w="5000" w:type="pct"/>
        <w:tblLook w:val="04A0" w:firstRow="1" w:lastRow="0" w:firstColumn="1" w:lastColumn="0" w:noHBand="0" w:noVBand="1"/>
      </w:tblPr>
      <w:tblGrid>
        <w:gridCol w:w="722"/>
        <w:gridCol w:w="871"/>
        <w:gridCol w:w="869"/>
        <w:gridCol w:w="1015"/>
        <w:gridCol w:w="1451"/>
        <w:gridCol w:w="1451"/>
        <w:gridCol w:w="1210"/>
        <w:gridCol w:w="1110"/>
        <w:gridCol w:w="1155"/>
      </w:tblGrid>
      <w:tr w:rsidR="002133E3" w14:paraId="79E46965" w14:textId="77777777">
        <w:trPr>
          <w:trHeight w:val="270"/>
        </w:trPr>
        <w:tc>
          <w:tcPr>
            <w:tcW w:w="36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487323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序号</w:t>
            </w:r>
          </w:p>
        </w:tc>
        <w:tc>
          <w:tcPr>
            <w:tcW w:w="4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9D33E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编号</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DDF8C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名称</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9E5A9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形态</w:t>
            </w:r>
          </w:p>
        </w:tc>
        <w:tc>
          <w:tcPr>
            <w:tcW w:w="7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2061A5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主要成分</w:t>
            </w:r>
          </w:p>
        </w:tc>
        <w:tc>
          <w:tcPr>
            <w:tcW w:w="7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F2D3A0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产生量</w:t>
            </w:r>
            <w:r>
              <w:rPr>
                <w:rFonts w:ascii="Times New Roman" w:eastAsia="宋体" w:hAnsi="Times New Roman" w:cs="Times New Roman"/>
                <w:color w:val="000000"/>
                <w:kern w:val="0"/>
                <w:szCs w:val="21"/>
              </w:rPr>
              <w:t>(t/a)</w:t>
            </w:r>
          </w:p>
        </w:tc>
        <w:tc>
          <w:tcPr>
            <w:tcW w:w="1763" w:type="pct"/>
            <w:gridSpan w:val="3"/>
            <w:tcBorders>
              <w:top w:val="single" w:sz="4" w:space="0" w:color="auto"/>
              <w:left w:val="nil"/>
              <w:bottom w:val="single" w:sz="4" w:space="0" w:color="auto"/>
              <w:right w:val="single" w:sz="4" w:space="0" w:color="auto"/>
            </w:tcBorders>
            <w:shd w:val="clear" w:color="auto" w:fill="auto"/>
            <w:vAlign w:val="center"/>
          </w:tcPr>
          <w:p w14:paraId="0517B7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种类判断</w:t>
            </w:r>
          </w:p>
        </w:tc>
      </w:tr>
      <w:tr w:rsidR="002133E3" w14:paraId="75A1D53D" w14:textId="77777777">
        <w:trPr>
          <w:trHeight w:val="270"/>
        </w:trPr>
        <w:tc>
          <w:tcPr>
            <w:tcW w:w="367" w:type="pct"/>
            <w:vMerge/>
            <w:tcBorders>
              <w:top w:val="single" w:sz="4" w:space="0" w:color="auto"/>
              <w:left w:val="single" w:sz="4" w:space="0" w:color="auto"/>
              <w:bottom w:val="single" w:sz="4" w:space="0" w:color="auto"/>
              <w:right w:val="single" w:sz="4" w:space="0" w:color="auto"/>
            </w:tcBorders>
            <w:vAlign w:val="center"/>
          </w:tcPr>
          <w:p w14:paraId="4AAC4C9D" w14:textId="77777777" w:rsidR="002133E3" w:rsidRDefault="002133E3">
            <w:pPr>
              <w:widowControl/>
              <w:jc w:val="left"/>
              <w:rPr>
                <w:rFonts w:ascii="Times New Roman" w:eastAsia="宋体" w:hAnsi="Times New Roman" w:cs="Times New Roman"/>
                <w:color w:val="000000"/>
                <w:kern w:val="0"/>
                <w:szCs w:val="21"/>
              </w:rPr>
            </w:pPr>
          </w:p>
        </w:tc>
        <w:tc>
          <w:tcPr>
            <w:tcW w:w="442" w:type="pct"/>
            <w:vMerge/>
            <w:tcBorders>
              <w:top w:val="single" w:sz="4" w:space="0" w:color="auto"/>
              <w:left w:val="single" w:sz="4" w:space="0" w:color="auto"/>
              <w:bottom w:val="single" w:sz="4" w:space="0" w:color="auto"/>
              <w:right w:val="single" w:sz="4" w:space="0" w:color="auto"/>
            </w:tcBorders>
            <w:vAlign w:val="center"/>
          </w:tcPr>
          <w:p w14:paraId="4F0405DD" w14:textId="77777777" w:rsidR="002133E3" w:rsidRDefault="002133E3">
            <w:pPr>
              <w:widowControl/>
              <w:jc w:val="left"/>
              <w:rPr>
                <w:rFonts w:ascii="Times New Roman" w:eastAsia="宋体" w:hAnsi="Times New Roman" w:cs="Times New Roman"/>
                <w:color w:val="000000"/>
                <w:kern w:val="0"/>
                <w:szCs w:val="21"/>
              </w:rPr>
            </w:pPr>
          </w:p>
        </w:tc>
        <w:tc>
          <w:tcPr>
            <w:tcW w:w="441" w:type="pct"/>
            <w:vMerge/>
            <w:tcBorders>
              <w:top w:val="single" w:sz="4" w:space="0" w:color="auto"/>
              <w:left w:val="single" w:sz="4" w:space="0" w:color="auto"/>
              <w:bottom w:val="single" w:sz="4" w:space="0" w:color="auto"/>
              <w:right w:val="single" w:sz="4" w:space="0" w:color="auto"/>
            </w:tcBorders>
            <w:vAlign w:val="center"/>
          </w:tcPr>
          <w:p w14:paraId="6861DF87" w14:textId="77777777" w:rsidR="002133E3" w:rsidRDefault="002133E3">
            <w:pPr>
              <w:widowControl/>
              <w:jc w:val="left"/>
              <w:rPr>
                <w:rFonts w:ascii="Times New Roman" w:eastAsia="宋体" w:hAnsi="Times New Roman" w:cs="Times New Roman"/>
                <w:color w:val="000000"/>
                <w:kern w:val="0"/>
                <w:szCs w:val="21"/>
              </w:rPr>
            </w:pPr>
          </w:p>
        </w:tc>
        <w:tc>
          <w:tcPr>
            <w:tcW w:w="515" w:type="pct"/>
            <w:vMerge/>
            <w:tcBorders>
              <w:top w:val="single" w:sz="4" w:space="0" w:color="auto"/>
              <w:left w:val="single" w:sz="4" w:space="0" w:color="auto"/>
              <w:bottom w:val="single" w:sz="4" w:space="0" w:color="auto"/>
              <w:right w:val="single" w:sz="4" w:space="0" w:color="auto"/>
            </w:tcBorders>
            <w:vAlign w:val="center"/>
          </w:tcPr>
          <w:p w14:paraId="0DC91BA2" w14:textId="77777777" w:rsidR="002133E3" w:rsidRDefault="002133E3">
            <w:pPr>
              <w:widowControl/>
              <w:jc w:val="left"/>
              <w:rPr>
                <w:rFonts w:ascii="Times New Roman" w:eastAsia="宋体" w:hAnsi="Times New Roman" w:cs="Times New Roman"/>
                <w:color w:val="000000"/>
                <w:kern w:val="0"/>
                <w:szCs w:val="21"/>
              </w:rPr>
            </w:pPr>
          </w:p>
        </w:tc>
        <w:tc>
          <w:tcPr>
            <w:tcW w:w="736" w:type="pct"/>
            <w:vMerge/>
            <w:tcBorders>
              <w:top w:val="single" w:sz="4" w:space="0" w:color="auto"/>
              <w:left w:val="single" w:sz="4" w:space="0" w:color="auto"/>
              <w:bottom w:val="single" w:sz="4" w:space="0" w:color="auto"/>
              <w:right w:val="single" w:sz="4" w:space="0" w:color="auto"/>
            </w:tcBorders>
            <w:vAlign w:val="center"/>
          </w:tcPr>
          <w:p w14:paraId="7735C44E" w14:textId="77777777" w:rsidR="002133E3" w:rsidRDefault="002133E3">
            <w:pPr>
              <w:widowControl/>
              <w:jc w:val="left"/>
              <w:rPr>
                <w:rFonts w:ascii="Times New Roman" w:eastAsia="宋体" w:hAnsi="Times New Roman" w:cs="Times New Roman"/>
                <w:color w:val="000000"/>
                <w:kern w:val="0"/>
                <w:szCs w:val="21"/>
              </w:rPr>
            </w:pPr>
          </w:p>
        </w:tc>
        <w:tc>
          <w:tcPr>
            <w:tcW w:w="736" w:type="pct"/>
            <w:vMerge/>
            <w:tcBorders>
              <w:top w:val="single" w:sz="4" w:space="0" w:color="auto"/>
              <w:left w:val="single" w:sz="4" w:space="0" w:color="auto"/>
              <w:bottom w:val="single" w:sz="4" w:space="0" w:color="auto"/>
              <w:right w:val="single" w:sz="4" w:space="0" w:color="auto"/>
            </w:tcBorders>
            <w:vAlign w:val="center"/>
          </w:tcPr>
          <w:p w14:paraId="64B8D5DA" w14:textId="77777777" w:rsidR="002133E3" w:rsidRDefault="002133E3">
            <w:pPr>
              <w:widowControl/>
              <w:jc w:val="left"/>
              <w:rPr>
                <w:rFonts w:ascii="Times New Roman" w:eastAsia="宋体" w:hAnsi="Times New Roman" w:cs="Times New Roman"/>
                <w:color w:val="000000"/>
                <w:kern w:val="0"/>
                <w:szCs w:val="21"/>
              </w:rPr>
            </w:pPr>
          </w:p>
        </w:tc>
        <w:tc>
          <w:tcPr>
            <w:tcW w:w="614" w:type="pct"/>
            <w:tcBorders>
              <w:top w:val="nil"/>
              <w:left w:val="nil"/>
              <w:bottom w:val="single" w:sz="4" w:space="0" w:color="auto"/>
              <w:right w:val="single" w:sz="4" w:space="0" w:color="auto"/>
            </w:tcBorders>
            <w:shd w:val="clear" w:color="auto" w:fill="auto"/>
            <w:vAlign w:val="center"/>
          </w:tcPr>
          <w:p w14:paraId="21F0ED3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固体废物</w:t>
            </w:r>
          </w:p>
        </w:tc>
        <w:tc>
          <w:tcPr>
            <w:tcW w:w="563" w:type="pct"/>
            <w:tcBorders>
              <w:top w:val="nil"/>
              <w:left w:val="nil"/>
              <w:bottom w:val="single" w:sz="4" w:space="0" w:color="auto"/>
              <w:right w:val="single" w:sz="4" w:space="0" w:color="auto"/>
            </w:tcBorders>
            <w:shd w:val="clear" w:color="auto" w:fill="auto"/>
            <w:vAlign w:val="center"/>
          </w:tcPr>
          <w:p w14:paraId="32C9AC8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副产品</w:t>
            </w:r>
          </w:p>
        </w:tc>
        <w:tc>
          <w:tcPr>
            <w:tcW w:w="586" w:type="pct"/>
            <w:tcBorders>
              <w:top w:val="nil"/>
              <w:left w:val="nil"/>
              <w:bottom w:val="single" w:sz="4" w:space="0" w:color="auto"/>
              <w:right w:val="single" w:sz="4" w:space="0" w:color="auto"/>
            </w:tcBorders>
            <w:shd w:val="clear" w:color="auto" w:fill="auto"/>
            <w:vAlign w:val="center"/>
          </w:tcPr>
          <w:p w14:paraId="7DEC847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判定依据</w:t>
            </w:r>
          </w:p>
        </w:tc>
      </w:tr>
      <w:tr w:rsidR="002133E3" w14:paraId="185F7554" w14:textId="77777777">
        <w:trPr>
          <w:trHeight w:val="270"/>
        </w:trPr>
        <w:tc>
          <w:tcPr>
            <w:tcW w:w="367" w:type="pct"/>
            <w:tcBorders>
              <w:top w:val="nil"/>
              <w:left w:val="single" w:sz="4" w:space="0" w:color="auto"/>
              <w:bottom w:val="single" w:sz="4" w:space="0" w:color="auto"/>
              <w:right w:val="single" w:sz="4" w:space="0" w:color="auto"/>
            </w:tcBorders>
            <w:shd w:val="clear" w:color="auto" w:fill="auto"/>
            <w:vAlign w:val="center"/>
          </w:tcPr>
          <w:p w14:paraId="5C7E7E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442" w:type="pct"/>
            <w:tcBorders>
              <w:top w:val="nil"/>
              <w:left w:val="nil"/>
              <w:bottom w:val="single" w:sz="4" w:space="0" w:color="auto"/>
              <w:right w:val="single" w:sz="4" w:space="0" w:color="auto"/>
            </w:tcBorders>
            <w:shd w:val="clear" w:color="auto" w:fill="auto"/>
            <w:vAlign w:val="center"/>
          </w:tcPr>
          <w:p w14:paraId="7BC69E6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F2-1</w:t>
            </w:r>
          </w:p>
        </w:tc>
        <w:tc>
          <w:tcPr>
            <w:tcW w:w="441" w:type="pct"/>
            <w:tcBorders>
              <w:top w:val="nil"/>
              <w:left w:val="nil"/>
              <w:bottom w:val="single" w:sz="4" w:space="0" w:color="auto"/>
              <w:right w:val="single" w:sz="4" w:space="0" w:color="auto"/>
            </w:tcBorders>
            <w:shd w:val="clear" w:color="auto" w:fill="auto"/>
            <w:noWrap/>
            <w:vAlign w:val="center"/>
          </w:tcPr>
          <w:p w14:paraId="0DB8BDD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淡酒</w:t>
            </w:r>
          </w:p>
        </w:tc>
        <w:tc>
          <w:tcPr>
            <w:tcW w:w="515" w:type="pct"/>
            <w:tcBorders>
              <w:top w:val="nil"/>
              <w:left w:val="nil"/>
              <w:bottom w:val="single" w:sz="4" w:space="0" w:color="auto"/>
              <w:right w:val="single" w:sz="4" w:space="0" w:color="auto"/>
            </w:tcBorders>
            <w:shd w:val="clear" w:color="auto" w:fill="auto"/>
            <w:vAlign w:val="center"/>
          </w:tcPr>
          <w:p w14:paraId="035715C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固态</w:t>
            </w:r>
          </w:p>
        </w:tc>
        <w:tc>
          <w:tcPr>
            <w:tcW w:w="736" w:type="pct"/>
            <w:tcBorders>
              <w:top w:val="nil"/>
              <w:left w:val="nil"/>
              <w:bottom w:val="single" w:sz="4" w:space="0" w:color="auto"/>
              <w:right w:val="single" w:sz="4" w:space="0" w:color="auto"/>
            </w:tcBorders>
            <w:shd w:val="clear" w:color="auto" w:fill="auto"/>
            <w:noWrap/>
            <w:vAlign w:val="center"/>
          </w:tcPr>
          <w:p w14:paraId="3EEC449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砂石</w:t>
            </w:r>
          </w:p>
        </w:tc>
        <w:tc>
          <w:tcPr>
            <w:tcW w:w="736" w:type="pct"/>
            <w:tcBorders>
              <w:top w:val="nil"/>
              <w:left w:val="nil"/>
              <w:bottom w:val="single" w:sz="4" w:space="0" w:color="auto"/>
              <w:right w:val="single" w:sz="4" w:space="0" w:color="auto"/>
            </w:tcBorders>
            <w:shd w:val="clear" w:color="auto" w:fill="auto"/>
            <w:vAlign w:val="center"/>
          </w:tcPr>
          <w:p w14:paraId="091157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21265.72 </w:t>
            </w:r>
          </w:p>
        </w:tc>
        <w:tc>
          <w:tcPr>
            <w:tcW w:w="614" w:type="pct"/>
            <w:tcBorders>
              <w:top w:val="nil"/>
              <w:left w:val="nil"/>
              <w:bottom w:val="single" w:sz="4" w:space="0" w:color="auto"/>
              <w:right w:val="single" w:sz="4" w:space="0" w:color="auto"/>
            </w:tcBorders>
            <w:shd w:val="clear" w:color="auto" w:fill="auto"/>
            <w:vAlign w:val="center"/>
          </w:tcPr>
          <w:p w14:paraId="7964736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3" w:type="pct"/>
            <w:tcBorders>
              <w:top w:val="nil"/>
              <w:left w:val="nil"/>
              <w:bottom w:val="single" w:sz="4" w:space="0" w:color="auto"/>
              <w:right w:val="single" w:sz="4" w:space="0" w:color="auto"/>
            </w:tcBorders>
            <w:shd w:val="clear" w:color="auto" w:fill="auto"/>
            <w:vAlign w:val="center"/>
          </w:tcPr>
          <w:p w14:paraId="1DAD1B0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6" w:type="pct"/>
            <w:tcBorders>
              <w:top w:val="nil"/>
              <w:left w:val="nil"/>
              <w:bottom w:val="single" w:sz="4" w:space="0" w:color="auto"/>
              <w:right w:val="single" w:sz="4" w:space="0" w:color="auto"/>
            </w:tcBorders>
            <w:shd w:val="clear" w:color="auto" w:fill="auto"/>
            <w:vAlign w:val="center"/>
          </w:tcPr>
          <w:p w14:paraId="14F1B95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77CE28DF" w14:textId="77777777">
        <w:trPr>
          <w:trHeight w:val="270"/>
        </w:trPr>
        <w:tc>
          <w:tcPr>
            <w:tcW w:w="80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24D8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合计</w:t>
            </w:r>
          </w:p>
        </w:tc>
        <w:tc>
          <w:tcPr>
            <w:tcW w:w="441" w:type="pct"/>
            <w:tcBorders>
              <w:top w:val="nil"/>
              <w:left w:val="nil"/>
              <w:bottom w:val="single" w:sz="4" w:space="0" w:color="auto"/>
              <w:right w:val="single" w:sz="4" w:space="0" w:color="auto"/>
            </w:tcBorders>
            <w:shd w:val="clear" w:color="auto" w:fill="auto"/>
            <w:vAlign w:val="center"/>
          </w:tcPr>
          <w:p w14:paraId="1D976C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15" w:type="pct"/>
            <w:tcBorders>
              <w:top w:val="nil"/>
              <w:left w:val="nil"/>
              <w:bottom w:val="single" w:sz="4" w:space="0" w:color="auto"/>
              <w:right w:val="single" w:sz="4" w:space="0" w:color="auto"/>
            </w:tcBorders>
            <w:shd w:val="clear" w:color="auto" w:fill="auto"/>
            <w:vAlign w:val="center"/>
          </w:tcPr>
          <w:p w14:paraId="5526BC6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36" w:type="pct"/>
            <w:tcBorders>
              <w:top w:val="nil"/>
              <w:left w:val="nil"/>
              <w:bottom w:val="single" w:sz="4" w:space="0" w:color="auto"/>
              <w:right w:val="single" w:sz="4" w:space="0" w:color="auto"/>
            </w:tcBorders>
            <w:shd w:val="clear" w:color="auto" w:fill="auto"/>
            <w:vAlign w:val="center"/>
          </w:tcPr>
          <w:p w14:paraId="4A16A77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736" w:type="pct"/>
            <w:tcBorders>
              <w:top w:val="nil"/>
              <w:left w:val="nil"/>
              <w:bottom w:val="single" w:sz="4" w:space="0" w:color="auto"/>
              <w:right w:val="single" w:sz="4" w:space="0" w:color="auto"/>
            </w:tcBorders>
            <w:shd w:val="clear" w:color="auto" w:fill="auto"/>
            <w:vAlign w:val="center"/>
          </w:tcPr>
          <w:p w14:paraId="6223573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 xml:space="preserve">21265.72 </w:t>
            </w:r>
          </w:p>
        </w:tc>
        <w:tc>
          <w:tcPr>
            <w:tcW w:w="614" w:type="pct"/>
            <w:tcBorders>
              <w:top w:val="nil"/>
              <w:left w:val="nil"/>
              <w:bottom w:val="single" w:sz="4" w:space="0" w:color="auto"/>
              <w:right w:val="single" w:sz="4" w:space="0" w:color="auto"/>
            </w:tcBorders>
            <w:shd w:val="clear" w:color="auto" w:fill="auto"/>
            <w:vAlign w:val="center"/>
          </w:tcPr>
          <w:p w14:paraId="00D5FB2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63" w:type="pct"/>
            <w:tcBorders>
              <w:top w:val="nil"/>
              <w:left w:val="nil"/>
              <w:bottom w:val="single" w:sz="4" w:space="0" w:color="auto"/>
              <w:right w:val="single" w:sz="4" w:space="0" w:color="auto"/>
            </w:tcBorders>
            <w:shd w:val="clear" w:color="auto" w:fill="auto"/>
            <w:vAlign w:val="center"/>
          </w:tcPr>
          <w:p w14:paraId="2C0FD72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586" w:type="pct"/>
            <w:tcBorders>
              <w:top w:val="nil"/>
              <w:left w:val="nil"/>
              <w:bottom w:val="single" w:sz="4" w:space="0" w:color="auto"/>
              <w:right w:val="single" w:sz="4" w:space="0" w:color="auto"/>
            </w:tcBorders>
            <w:shd w:val="clear" w:color="auto" w:fill="auto"/>
            <w:vAlign w:val="center"/>
          </w:tcPr>
          <w:p w14:paraId="76BE263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bl>
    <w:p w14:paraId="3B02DD7C"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t>主要原辅料理化性质、毒理毒性</w:t>
      </w:r>
    </w:p>
    <w:p w14:paraId="77F7BC3B"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项目为生物发酵项目，生产过程中使用的原辅料较少，但本项目产品主要为乙醇，主要原辅料、产品、中间产物、副产物等理化性质及毒理毒性详见表</w:t>
      </w:r>
      <w:r>
        <w:rPr>
          <w:rFonts w:ascii="Times New Roman" w:eastAsia="宋体" w:hAnsi="Times New Roman" w:cs="Times New Roman"/>
          <w:kern w:val="0"/>
          <w:sz w:val="28"/>
          <w:szCs w:val="28"/>
        </w:rPr>
        <w:t>4.3-1</w:t>
      </w:r>
      <w:r>
        <w:rPr>
          <w:rFonts w:ascii="Times New Roman" w:eastAsia="宋体" w:hAnsi="Times New Roman" w:cs="Times New Roman"/>
          <w:kern w:val="0"/>
          <w:sz w:val="28"/>
          <w:szCs w:val="28"/>
        </w:rPr>
        <w:t>。</w:t>
      </w:r>
    </w:p>
    <w:p w14:paraId="75FD09A2" w14:textId="77777777" w:rsidR="002133E3" w:rsidRDefault="002133E3">
      <w:pPr>
        <w:widowControl/>
        <w:spacing w:line="400" w:lineRule="exact"/>
        <w:jc w:val="center"/>
        <w:rPr>
          <w:rFonts w:ascii="Times New Roman" w:eastAsia="宋体" w:hAnsi="Times New Roman" w:cs="Times New Roman"/>
          <w:b/>
          <w:bCs/>
          <w:color w:val="000000"/>
          <w:kern w:val="0"/>
          <w:szCs w:val="21"/>
        </w:rPr>
        <w:sectPr w:rsidR="002133E3">
          <w:pgSz w:w="11906" w:h="16838"/>
          <w:pgMar w:top="1134" w:right="1134" w:bottom="1134" w:left="1134" w:header="850" w:footer="992" w:gutter="0"/>
          <w:cols w:space="720"/>
          <w:docGrid w:linePitch="312"/>
        </w:sectPr>
      </w:pPr>
    </w:p>
    <w:p w14:paraId="076782C4" w14:textId="77777777" w:rsidR="002133E3" w:rsidRDefault="00C22CFA">
      <w:pPr>
        <w:widowControl/>
        <w:spacing w:line="400" w:lineRule="exact"/>
        <w:jc w:val="center"/>
        <w:rPr>
          <w:rFonts w:ascii="Times New Roman" w:eastAsia="宋体" w:hAnsi="Times New Roman" w:cs="Times New Roman"/>
          <w:b/>
          <w:bCs/>
          <w:color w:val="000000"/>
          <w:kern w:val="0"/>
          <w:sz w:val="24"/>
          <w:szCs w:val="24"/>
        </w:rPr>
      </w:pPr>
      <w:r>
        <w:rPr>
          <w:rFonts w:ascii="Times New Roman" w:eastAsia="宋体" w:hAnsi="Times New Roman" w:cs="Times New Roman"/>
          <w:b/>
          <w:bCs/>
          <w:color w:val="000000"/>
          <w:kern w:val="0"/>
          <w:sz w:val="24"/>
          <w:szCs w:val="24"/>
        </w:rPr>
        <w:lastRenderedPageBreak/>
        <w:t>表</w:t>
      </w:r>
      <w:r>
        <w:rPr>
          <w:rFonts w:ascii="Times New Roman" w:eastAsia="宋体" w:hAnsi="Times New Roman" w:cs="Times New Roman"/>
          <w:b/>
          <w:bCs/>
          <w:color w:val="000000"/>
          <w:kern w:val="0"/>
          <w:sz w:val="24"/>
          <w:szCs w:val="24"/>
        </w:rPr>
        <w:t xml:space="preserve">4.3-1  </w:t>
      </w:r>
      <w:r>
        <w:rPr>
          <w:rFonts w:ascii="Times New Roman" w:eastAsia="宋体" w:hAnsi="Times New Roman" w:cs="Times New Roman"/>
          <w:b/>
          <w:bCs/>
          <w:color w:val="000000"/>
          <w:kern w:val="0"/>
          <w:sz w:val="24"/>
          <w:szCs w:val="24"/>
        </w:rPr>
        <w:t>项目主要原辅料、产品、中间产物、副产物的理化性质及毒性情况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52"/>
        <w:gridCol w:w="6094"/>
        <w:gridCol w:w="3402"/>
        <w:gridCol w:w="2268"/>
        <w:gridCol w:w="927"/>
      </w:tblGrid>
      <w:tr w:rsidR="002133E3" w14:paraId="51704A85" w14:textId="77777777" w:rsidTr="009C2E4E">
        <w:trPr>
          <w:jc w:val="center"/>
        </w:trPr>
        <w:tc>
          <w:tcPr>
            <w:tcW w:w="675" w:type="dxa"/>
            <w:vAlign w:val="center"/>
          </w:tcPr>
          <w:p w14:paraId="291056DF" w14:textId="77777777" w:rsidR="002133E3" w:rsidRDefault="00C22CFA" w:rsidP="009C2E4E">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852" w:type="dxa"/>
            <w:vAlign w:val="center"/>
          </w:tcPr>
          <w:p w14:paraId="72E16F4B" w14:textId="77777777" w:rsidR="002133E3" w:rsidRDefault="00C22CFA" w:rsidP="009C2E4E">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名称</w:t>
            </w:r>
          </w:p>
        </w:tc>
        <w:tc>
          <w:tcPr>
            <w:tcW w:w="6094" w:type="dxa"/>
            <w:vAlign w:val="center"/>
          </w:tcPr>
          <w:p w14:paraId="4D77789F"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理化特性</w:t>
            </w:r>
          </w:p>
        </w:tc>
        <w:tc>
          <w:tcPr>
            <w:tcW w:w="3402" w:type="dxa"/>
            <w:vAlign w:val="center"/>
          </w:tcPr>
          <w:p w14:paraId="7B5B46A5"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危险特性</w:t>
            </w:r>
          </w:p>
        </w:tc>
        <w:tc>
          <w:tcPr>
            <w:tcW w:w="2268" w:type="dxa"/>
            <w:vAlign w:val="center"/>
          </w:tcPr>
          <w:p w14:paraId="77B234CE" w14:textId="77777777" w:rsidR="002133E3" w:rsidRDefault="00C22CFA" w:rsidP="009C2E4E">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毒性毒理</w:t>
            </w:r>
          </w:p>
        </w:tc>
        <w:tc>
          <w:tcPr>
            <w:tcW w:w="927" w:type="dxa"/>
            <w:vAlign w:val="center"/>
          </w:tcPr>
          <w:p w14:paraId="0AA0AF43"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三致性</w:t>
            </w:r>
          </w:p>
        </w:tc>
      </w:tr>
      <w:tr w:rsidR="002133E3" w14:paraId="5FB8FA0C" w14:textId="77777777" w:rsidTr="009C2E4E">
        <w:trPr>
          <w:jc w:val="center"/>
        </w:trPr>
        <w:tc>
          <w:tcPr>
            <w:tcW w:w="675" w:type="dxa"/>
            <w:vAlign w:val="center"/>
          </w:tcPr>
          <w:p w14:paraId="5BE7BE76" w14:textId="77777777" w:rsidR="002133E3" w:rsidRDefault="00C22CFA"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852" w:type="dxa"/>
            <w:vAlign w:val="center"/>
          </w:tcPr>
          <w:p w14:paraId="64828F27" w14:textId="77777777" w:rsidR="002133E3" w:rsidRDefault="00C22CFA" w:rsidP="009C2E4E">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木薯干</w:t>
            </w:r>
          </w:p>
        </w:tc>
        <w:tc>
          <w:tcPr>
            <w:tcW w:w="6094" w:type="dxa"/>
            <w:vAlign w:val="center"/>
          </w:tcPr>
          <w:p w14:paraId="7FBAC6A5"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淀粉含量高，其淀粉颗粒常以</w:t>
            </w:r>
            <w:r>
              <w:rPr>
                <w:rFonts w:ascii="Times New Roman" w:eastAsia="宋体" w:hAnsi="Times New Roman" w:cs="Times New Roman"/>
                <w:bCs/>
                <w:kern w:val="0"/>
                <w:szCs w:val="21"/>
              </w:rPr>
              <w:t>2</w:t>
            </w:r>
            <w:r>
              <w:rPr>
                <w:rFonts w:ascii="Times New Roman" w:eastAsia="宋体" w:hAnsi="Times New Roman" w:cs="Times New Roman"/>
                <w:bCs/>
                <w:kern w:val="0"/>
                <w:szCs w:val="21"/>
              </w:rPr>
              <w:t>－</w:t>
            </w:r>
            <w:r>
              <w:rPr>
                <w:rFonts w:ascii="Times New Roman" w:eastAsia="宋体" w:hAnsi="Times New Roman" w:cs="Times New Roman"/>
                <w:bCs/>
                <w:kern w:val="0"/>
                <w:szCs w:val="21"/>
              </w:rPr>
              <w:t>6</w:t>
            </w:r>
            <w:r>
              <w:rPr>
                <w:rFonts w:ascii="Times New Roman" w:eastAsia="宋体" w:hAnsi="Times New Roman" w:cs="Times New Roman"/>
                <w:bCs/>
                <w:kern w:val="0"/>
                <w:szCs w:val="21"/>
              </w:rPr>
              <w:t>粒结合在一起，形成特殊的团粒状态；薯干含水量约为</w:t>
            </w:r>
            <w:r>
              <w:rPr>
                <w:rFonts w:ascii="Times New Roman" w:eastAsia="宋体" w:hAnsi="Times New Roman" w:cs="Times New Roman"/>
                <w:bCs/>
                <w:kern w:val="0"/>
                <w:szCs w:val="21"/>
              </w:rPr>
              <w:t>10-11%</w:t>
            </w:r>
            <w:r>
              <w:rPr>
                <w:rFonts w:ascii="Times New Roman" w:eastAsia="宋体" w:hAnsi="Times New Roman" w:cs="Times New Roman"/>
                <w:bCs/>
                <w:kern w:val="0"/>
                <w:szCs w:val="21"/>
              </w:rPr>
              <w:t>；灰分含量约为</w:t>
            </w:r>
            <w:r>
              <w:rPr>
                <w:rFonts w:ascii="Times New Roman" w:eastAsia="宋体" w:hAnsi="Times New Roman" w:cs="Times New Roman"/>
                <w:bCs/>
                <w:kern w:val="0"/>
                <w:szCs w:val="21"/>
              </w:rPr>
              <w:t>1.9-3%</w:t>
            </w:r>
            <w:r>
              <w:rPr>
                <w:rFonts w:ascii="Times New Roman" w:eastAsia="宋体" w:hAnsi="Times New Roman" w:cs="Times New Roman"/>
                <w:bCs/>
                <w:kern w:val="0"/>
                <w:szCs w:val="21"/>
              </w:rPr>
              <w:t>，杂质含量小于</w:t>
            </w:r>
            <w:r>
              <w:rPr>
                <w:rFonts w:ascii="Times New Roman" w:eastAsia="宋体" w:hAnsi="Times New Roman" w:cs="Times New Roman"/>
                <w:bCs/>
                <w:kern w:val="0"/>
                <w:szCs w:val="21"/>
              </w:rPr>
              <w:t>1%</w:t>
            </w:r>
            <w:r>
              <w:rPr>
                <w:rFonts w:ascii="Times New Roman" w:eastAsia="宋体" w:hAnsi="Times New Roman" w:cs="Times New Roman"/>
                <w:bCs/>
                <w:kern w:val="0"/>
                <w:szCs w:val="21"/>
              </w:rPr>
              <w:t>。薯干中蛋白质含量较低，一般约为</w:t>
            </w:r>
            <w:r>
              <w:rPr>
                <w:rFonts w:ascii="Times New Roman" w:eastAsia="宋体" w:hAnsi="Times New Roman" w:cs="Times New Roman"/>
                <w:bCs/>
                <w:kern w:val="0"/>
                <w:szCs w:val="21"/>
              </w:rPr>
              <w:t>2-5%</w:t>
            </w:r>
            <w:r>
              <w:rPr>
                <w:rFonts w:ascii="Times New Roman" w:eastAsia="宋体" w:hAnsi="Times New Roman" w:cs="Times New Roman"/>
                <w:bCs/>
                <w:kern w:val="0"/>
                <w:szCs w:val="21"/>
              </w:rPr>
              <w:t>，其中三分之二是纯蛋白，三分之一是酰胺类化合物；薯干中脂肪含量也较低，约为</w:t>
            </w:r>
            <w:r>
              <w:rPr>
                <w:rFonts w:ascii="Times New Roman" w:eastAsia="宋体" w:hAnsi="Times New Roman" w:cs="Times New Roman"/>
                <w:bCs/>
                <w:kern w:val="0"/>
                <w:szCs w:val="21"/>
              </w:rPr>
              <w:t>0.8%</w:t>
            </w:r>
            <w:r>
              <w:rPr>
                <w:rFonts w:ascii="Times New Roman" w:eastAsia="宋体" w:hAnsi="Times New Roman" w:cs="Times New Roman"/>
                <w:bCs/>
                <w:kern w:val="0"/>
                <w:szCs w:val="21"/>
              </w:rPr>
              <w:t>。薯干中除含上述物质外，还含有少量的单糖、双糖及树胶物质等。</w:t>
            </w:r>
          </w:p>
        </w:tc>
        <w:tc>
          <w:tcPr>
            <w:tcW w:w="3402" w:type="dxa"/>
            <w:vAlign w:val="center"/>
          </w:tcPr>
          <w:p w14:paraId="3B63B555"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2268" w:type="dxa"/>
            <w:vAlign w:val="center"/>
          </w:tcPr>
          <w:p w14:paraId="7B304E6C" w14:textId="77777777" w:rsidR="002133E3" w:rsidRDefault="00C22CFA" w:rsidP="009C2E4E">
            <w:pPr>
              <w:widowControl/>
              <w:tabs>
                <w:tab w:val="left" w:pos="1733"/>
              </w:tabs>
              <w:rPr>
                <w:rFonts w:ascii="Times New Roman" w:eastAsia="宋体" w:hAnsi="Times New Roman" w:cs="Times New Roman"/>
                <w:bCs/>
                <w:kern w:val="0"/>
                <w:szCs w:val="21"/>
              </w:rPr>
            </w:pPr>
            <w:r>
              <w:rPr>
                <w:rFonts w:ascii="Times New Roman" w:eastAsia="宋体" w:hAnsi="Times New Roman" w:cs="Times New Roman"/>
                <w:bCs/>
                <w:kern w:val="0"/>
                <w:szCs w:val="21"/>
              </w:rPr>
              <w:t>无</w:t>
            </w:r>
          </w:p>
        </w:tc>
        <w:tc>
          <w:tcPr>
            <w:tcW w:w="927" w:type="dxa"/>
            <w:vAlign w:val="center"/>
          </w:tcPr>
          <w:p w14:paraId="073D8F8E" w14:textId="77777777" w:rsidR="002133E3" w:rsidRDefault="00C22CFA">
            <w:pPr>
              <w:widowControl/>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r w:rsidR="002133E3" w14:paraId="475EB86A" w14:textId="77777777" w:rsidTr="009C2E4E">
        <w:trPr>
          <w:jc w:val="center"/>
        </w:trPr>
        <w:tc>
          <w:tcPr>
            <w:tcW w:w="675" w:type="dxa"/>
            <w:vAlign w:val="center"/>
          </w:tcPr>
          <w:p w14:paraId="565D98CB"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2</w:t>
            </w:r>
          </w:p>
        </w:tc>
        <w:tc>
          <w:tcPr>
            <w:tcW w:w="852" w:type="dxa"/>
            <w:vAlign w:val="center"/>
          </w:tcPr>
          <w:p w14:paraId="5FBB75F1" w14:textId="77777777" w:rsidR="002133E3" w:rsidRDefault="00C22CFA"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糖化酶</w:t>
            </w:r>
          </w:p>
        </w:tc>
        <w:tc>
          <w:tcPr>
            <w:tcW w:w="6094" w:type="dxa"/>
            <w:vAlign w:val="center"/>
          </w:tcPr>
          <w:p w14:paraId="35A8825B"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由黑曲霉经液态深层鼓风发酵，精制提取而成。分为固体和液体两种剂型。固体时粉状无结块。液体时黄褐色允许有少量凝集物。产品质量符合</w:t>
            </w:r>
            <w:r>
              <w:rPr>
                <w:rFonts w:ascii="Times New Roman" w:eastAsia="宋体" w:hAnsi="Times New Roman" w:cs="Times New Roman"/>
                <w:bCs/>
                <w:kern w:val="0"/>
                <w:szCs w:val="21"/>
              </w:rPr>
              <w:t>QB1805.2-93</w:t>
            </w:r>
            <w:r>
              <w:rPr>
                <w:rFonts w:ascii="Times New Roman" w:eastAsia="宋体" w:hAnsi="Times New Roman" w:cs="Times New Roman"/>
                <w:bCs/>
                <w:kern w:val="0"/>
                <w:szCs w:val="21"/>
              </w:rPr>
              <w:t>标准。最适用温度</w:t>
            </w:r>
            <w:r>
              <w:rPr>
                <w:rFonts w:ascii="Times New Roman" w:eastAsia="宋体" w:hAnsi="Times New Roman" w:cs="Times New Roman"/>
                <w:bCs/>
                <w:kern w:val="0"/>
                <w:szCs w:val="21"/>
              </w:rPr>
              <w:t>58-60</w:t>
            </w:r>
            <w:r>
              <w:rPr>
                <w:rFonts w:ascii="宋体" w:eastAsia="宋体" w:hAnsi="宋体" w:cs="宋体" w:hint="eastAsia"/>
                <w:bCs/>
                <w:kern w:val="0"/>
                <w:szCs w:val="21"/>
              </w:rPr>
              <w:t>℃</w:t>
            </w:r>
            <w:r>
              <w:rPr>
                <w:rFonts w:ascii="Times New Roman" w:eastAsia="宋体" w:hAnsi="Times New Roman" w:cs="Times New Roman"/>
                <w:bCs/>
                <w:kern w:val="0"/>
                <w:szCs w:val="21"/>
              </w:rPr>
              <w:t>，最适用</w:t>
            </w:r>
            <w:r>
              <w:rPr>
                <w:rFonts w:ascii="Times New Roman" w:eastAsia="宋体" w:hAnsi="Times New Roman" w:cs="Times New Roman"/>
                <w:bCs/>
                <w:kern w:val="0"/>
                <w:szCs w:val="21"/>
              </w:rPr>
              <w:t>pH 4.5-5.0</w:t>
            </w:r>
            <w:r>
              <w:rPr>
                <w:rFonts w:ascii="Times New Roman" w:eastAsia="宋体" w:hAnsi="Times New Roman" w:cs="Times New Roman"/>
                <w:bCs/>
                <w:kern w:val="0"/>
                <w:szCs w:val="21"/>
              </w:rPr>
              <w:t>。</w:t>
            </w:r>
          </w:p>
        </w:tc>
        <w:tc>
          <w:tcPr>
            <w:tcW w:w="3402" w:type="dxa"/>
            <w:vAlign w:val="center"/>
          </w:tcPr>
          <w:p w14:paraId="1C9DB4CD"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2268" w:type="dxa"/>
            <w:vAlign w:val="center"/>
          </w:tcPr>
          <w:p w14:paraId="692DEAD8" w14:textId="77777777" w:rsidR="002133E3" w:rsidRDefault="00C22CFA"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bCs/>
                <w:kern w:val="0"/>
                <w:szCs w:val="21"/>
              </w:rPr>
              <w:t>属食品添加剂，对人体无毒害作用。</w:t>
            </w:r>
          </w:p>
        </w:tc>
        <w:tc>
          <w:tcPr>
            <w:tcW w:w="927" w:type="dxa"/>
            <w:vAlign w:val="center"/>
          </w:tcPr>
          <w:p w14:paraId="21976086" w14:textId="77777777" w:rsidR="002133E3" w:rsidRDefault="00C22CFA">
            <w:pPr>
              <w:widowControl/>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r w:rsidR="002133E3" w14:paraId="78777EF6" w14:textId="77777777" w:rsidTr="009C2E4E">
        <w:trPr>
          <w:jc w:val="center"/>
        </w:trPr>
        <w:tc>
          <w:tcPr>
            <w:tcW w:w="675" w:type="dxa"/>
            <w:vAlign w:val="center"/>
          </w:tcPr>
          <w:p w14:paraId="17D59C24"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3</w:t>
            </w:r>
          </w:p>
        </w:tc>
        <w:tc>
          <w:tcPr>
            <w:tcW w:w="852" w:type="dxa"/>
            <w:vAlign w:val="center"/>
          </w:tcPr>
          <w:p w14:paraId="78D3DE8D" w14:textId="77777777" w:rsidR="002133E3" w:rsidRDefault="00C22CFA"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淀粉酶</w:t>
            </w:r>
          </w:p>
        </w:tc>
        <w:tc>
          <w:tcPr>
            <w:tcW w:w="6094" w:type="dxa"/>
            <w:vAlign w:val="center"/>
          </w:tcPr>
          <w:p w14:paraId="730DC061"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黄白色无定形粉末状，系麦芽用冷水浸出制得的混合淀粉水解酶，在水中能部分溶解成混浊液，几乎不溶于醇。贮存日久逐渐失去水解淀粉能力，溶液加热到</w:t>
            </w:r>
            <w:r>
              <w:rPr>
                <w:rFonts w:ascii="Times New Roman" w:eastAsia="宋体" w:hAnsi="Times New Roman" w:cs="Times New Roman"/>
                <w:bCs/>
                <w:kern w:val="0"/>
                <w:szCs w:val="21"/>
              </w:rPr>
              <w:t>85</w:t>
            </w:r>
            <w:r>
              <w:rPr>
                <w:rFonts w:ascii="宋体" w:eastAsia="宋体" w:hAnsi="宋体" w:cs="宋体" w:hint="eastAsia"/>
                <w:bCs/>
                <w:kern w:val="0"/>
                <w:szCs w:val="21"/>
              </w:rPr>
              <w:t>℃</w:t>
            </w:r>
            <w:r>
              <w:rPr>
                <w:rFonts w:ascii="Times New Roman" w:eastAsia="宋体" w:hAnsi="Times New Roman" w:cs="Times New Roman"/>
                <w:bCs/>
                <w:kern w:val="0"/>
                <w:szCs w:val="21"/>
              </w:rPr>
              <w:t>以上或加入强酸也失去效力。</w:t>
            </w:r>
          </w:p>
        </w:tc>
        <w:tc>
          <w:tcPr>
            <w:tcW w:w="3402" w:type="dxa"/>
            <w:vAlign w:val="center"/>
          </w:tcPr>
          <w:p w14:paraId="719A3E80"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2268" w:type="dxa"/>
            <w:vAlign w:val="center"/>
          </w:tcPr>
          <w:p w14:paraId="455C98AE" w14:textId="77777777" w:rsidR="002133E3" w:rsidRDefault="00C22CFA"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bCs/>
                <w:kern w:val="0"/>
                <w:szCs w:val="21"/>
              </w:rPr>
              <w:t>属食品添加剂，对人体无毒害作用。</w:t>
            </w:r>
          </w:p>
        </w:tc>
        <w:tc>
          <w:tcPr>
            <w:tcW w:w="927" w:type="dxa"/>
            <w:vAlign w:val="center"/>
          </w:tcPr>
          <w:p w14:paraId="0C5A1F82" w14:textId="77777777" w:rsidR="002133E3" w:rsidRDefault="00C22CFA">
            <w:pPr>
              <w:widowControl/>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r w:rsidR="002133E3" w14:paraId="6259293A" w14:textId="77777777" w:rsidTr="009C2E4E">
        <w:trPr>
          <w:jc w:val="center"/>
        </w:trPr>
        <w:tc>
          <w:tcPr>
            <w:tcW w:w="675" w:type="dxa"/>
            <w:vAlign w:val="center"/>
          </w:tcPr>
          <w:p w14:paraId="1B4EA12D"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4</w:t>
            </w:r>
          </w:p>
        </w:tc>
        <w:tc>
          <w:tcPr>
            <w:tcW w:w="852" w:type="dxa"/>
            <w:vAlign w:val="center"/>
          </w:tcPr>
          <w:p w14:paraId="3289EDED" w14:textId="77777777" w:rsidR="002133E3" w:rsidRDefault="00C22CFA"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葡萄糖</w:t>
            </w:r>
          </w:p>
        </w:tc>
        <w:tc>
          <w:tcPr>
            <w:tcW w:w="6094" w:type="dxa"/>
            <w:vAlign w:val="center"/>
          </w:tcPr>
          <w:p w14:paraId="707967E0"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无色或白色结晶粉，无臭。熔点</w:t>
            </w:r>
            <w:r>
              <w:rPr>
                <w:rFonts w:ascii="Times New Roman" w:eastAsia="宋体" w:hAnsi="Times New Roman" w:cs="Times New Roman"/>
                <w:bCs/>
                <w:kern w:val="0"/>
                <w:szCs w:val="21"/>
              </w:rPr>
              <w:t>146</w:t>
            </w:r>
            <w:r>
              <w:rPr>
                <w:rFonts w:ascii="宋体" w:eastAsia="宋体" w:hAnsi="宋体" w:cs="宋体" w:hint="eastAsia"/>
                <w:bCs/>
                <w:kern w:val="0"/>
                <w:szCs w:val="21"/>
              </w:rPr>
              <w:t>℃</w:t>
            </w:r>
            <w:r>
              <w:rPr>
                <w:rFonts w:ascii="Times New Roman" w:eastAsia="宋体" w:hAnsi="Times New Roman" w:cs="Times New Roman"/>
                <w:bCs/>
                <w:kern w:val="0"/>
                <w:szCs w:val="21"/>
              </w:rPr>
              <w:t>，相对密度</w:t>
            </w:r>
            <w:r>
              <w:rPr>
                <w:rFonts w:ascii="Times New Roman" w:eastAsia="宋体" w:hAnsi="Times New Roman" w:cs="Times New Roman"/>
                <w:bCs/>
                <w:kern w:val="0"/>
                <w:szCs w:val="21"/>
              </w:rPr>
              <w:t>(</w:t>
            </w:r>
            <w:r>
              <w:rPr>
                <w:rFonts w:ascii="Times New Roman" w:eastAsia="宋体" w:hAnsi="Times New Roman" w:cs="Times New Roman"/>
                <w:bCs/>
                <w:kern w:val="0"/>
                <w:szCs w:val="21"/>
              </w:rPr>
              <w:t>水</w:t>
            </w:r>
            <w:r>
              <w:rPr>
                <w:rFonts w:ascii="Times New Roman" w:eastAsia="宋体" w:hAnsi="Times New Roman" w:cs="Times New Roman"/>
                <w:bCs/>
                <w:kern w:val="0"/>
                <w:szCs w:val="21"/>
              </w:rPr>
              <w:t>=1)</w:t>
            </w:r>
            <w:r>
              <w:rPr>
                <w:rFonts w:ascii="Times New Roman" w:eastAsia="宋体" w:hAnsi="Times New Roman" w:cs="Times New Roman"/>
                <w:bCs/>
                <w:kern w:val="0"/>
                <w:szCs w:val="21"/>
              </w:rPr>
              <w:t>：</w:t>
            </w:r>
            <w:r>
              <w:rPr>
                <w:rFonts w:ascii="Times New Roman" w:eastAsia="宋体" w:hAnsi="Times New Roman" w:cs="Times New Roman"/>
                <w:bCs/>
                <w:kern w:val="0"/>
                <w:szCs w:val="21"/>
              </w:rPr>
              <w:t>1.544(25</w:t>
            </w:r>
            <w:r>
              <w:rPr>
                <w:rFonts w:ascii="宋体" w:eastAsia="宋体" w:hAnsi="宋体" w:cs="宋体" w:hint="eastAsia"/>
                <w:bCs/>
                <w:kern w:val="0"/>
                <w:szCs w:val="21"/>
              </w:rPr>
              <w:t>℃</w:t>
            </w:r>
            <w:r>
              <w:rPr>
                <w:rFonts w:ascii="Times New Roman" w:eastAsia="宋体" w:hAnsi="Times New Roman" w:cs="Times New Roman"/>
                <w:bCs/>
                <w:kern w:val="0"/>
                <w:szCs w:val="21"/>
              </w:rPr>
              <w:t>)</w:t>
            </w:r>
            <w:r>
              <w:rPr>
                <w:rFonts w:ascii="Times New Roman" w:eastAsia="宋体" w:hAnsi="Times New Roman" w:cs="Times New Roman"/>
                <w:bCs/>
                <w:kern w:val="0"/>
                <w:szCs w:val="21"/>
              </w:rPr>
              <w:t>。溶于水，稍溶于乙醇，不溶于乙醚和芳香烃。</w:t>
            </w:r>
          </w:p>
        </w:tc>
        <w:tc>
          <w:tcPr>
            <w:tcW w:w="3402" w:type="dxa"/>
            <w:vAlign w:val="center"/>
          </w:tcPr>
          <w:p w14:paraId="7C92E0DA"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2268" w:type="dxa"/>
            <w:vAlign w:val="center"/>
          </w:tcPr>
          <w:p w14:paraId="29C8FB5D" w14:textId="77777777" w:rsidR="002133E3" w:rsidRDefault="00C22CFA"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927" w:type="dxa"/>
            <w:vAlign w:val="center"/>
          </w:tcPr>
          <w:p w14:paraId="1E5FF57B" w14:textId="77777777" w:rsidR="002133E3" w:rsidRDefault="00C22CFA">
            <w:pPr>
              <w:widowControl/>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r w:rsidR="002133E3" w14:paraId="636A2ED5" w14:textId="77777777" w:rsidTr="009C2E4E">
        <w:trPr>
          <w:jc w:val="center"/>
        </w:trPr>
        <w:tc>
          <w:tcPr>
            <w:tcW w:w="675" w:type="dxa"/>
            <w:vAlign w:val="center"/>
          </w:tcPr>
          <w:p w14:paraId="118F8318"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5</w:t>
            </w:r>
          </w:p>
        </w:tc>
        <w:tc>
          <w:tcPr>
            <w:tcW w:w="852" w:type="dxa"/>
            <w:vAlign w:val="center"/>
          </w:tcPr>
          <w:p w14:paraId="49A4EE35" w14:textId="77777777" w:rsidR="002133E3" w:rsidRDefault="00C22CFA"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二氧化碳</w:t>
            </w:r>
          </w:p>
        </w:tc>
        <w:tc>
          <w:tcPr>
            <w:tcW w:w="6094" w:type="dxa"/>
            <w:vAlign w:val="center"/>
          </w:tcPr>
          <w:p w14:paraId="575353D3"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kern w:val="0"/>
                <w:szCs w:val="21"/>
              </w:rPr>
              <w:t>无色无臭气体。熔点</w:t>
            </w:r>
            <w:r>
              <w:rPr>
                <w:rFonts w:ascii="Times New Roman" w:eastAsia="宋体" w:hAnsi="Times New Roman" w:cs="Times New Roman"/>
                <w:kern w:val="0"/>
                <w:szCs w:val="21"/>
              </w:rPr>
              <w:t>(</w:t>
            </w:r>
            <w:r>
              <w:rPr>
                <w:rFonts w:ascii="宋体" w:eastAsia="宋体" w:hAnsi="宋体" w:cs="宋体" w:hint="eastAsia"/>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-56.6(527kPa)</w:t>
            </w:r>
            <w:r>
              <w:rPr>
                <w:rFonts w:ascii="Times New Roman" w:eastAsia="宋体" w:hAnsi="Times New Roman" w:cs="Times New Roman"/>
                <w:kern w:val="0"/>
                <w:szCs w:val="21"/>
              </w:rPr>
              <w:t>，相对密度</w:t>
            </w:r>
            <w:r>
              <w:rPr>
                <w:rFonts w:ascii="Times New Roman" w:eastAsia="宋体" w:hAnsi="Times New Roman" w:cs="Times New Roman"/>
                <w:kern w:val="0"/>
                <w:szCs w:val="21"/>
              </w:rPr>
              <w:t>(</w:t>
            </w:r>
            <w:r>
              <w:rPr>
                <w:rFonts w:ascii="Times New Roman" w:eastAsia="宋体" w:hAnsi="Times New Roman" w:cs="Times New Roman"/>
                <w:kern w:val="0"/>
                <w:szCs w:val="21"/>
              </w:rPr>
              <w:t>水</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1.56(-79</w:t>
            </w:r>
            <w:r>
              <w:rPr>
                <w:rFonts w:ascii="宋体" w:eastAsia="宋体" w:hAnsi="宋体" w:cs="宋体" w:hint="eastAsia"/>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，沸点</w:t>
            </w:r>
            <w:r>
              <w:rPr>
                <w:rFonts w:ascii="Times New Roman" w:eastAsia="宋体" w:hAnsi="Times New Roman" w:cs="Times New Roman"/>
                <w:kern w:val="0"/>
                <w:szCs w:val="21"/>
              </w:rPr>
              <w:t>(</w:t>
            </w:r>
            <w:r>
              <w:rPr>
                <w:rFonts w:ascii="宋体" w:eastAsia="宋体" w:hAnsi="宋体" w:cs="宋体" w:hint="eastAsia"/>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-78.5(</w:t>
            </w:r>
            <w:r>
              <w:rPr>
                <w:rFonts w:ascii="Times New Roman" w:eastAsia="宋体" w:hAnsi="Times New Roman" w:cs="Times New Roman"/>
                <w:kern w:val="0"/>
                <w:szCs w:val="21"/>
              </w:rPr>
              <w:t>升华</w:t>
            </w:r>
            <w:r>
              <w:rPr>
                <w:rFonts w:ascii="Times New Roman" w:eastAsia="宋体" w:hAnsi="Times New Roman" w:cs="Times New Roman"/>
                <w:kern w:val="0"/>
                <w:szCs w:val="21"/>
              </w:rPr>
              <w:t>)</w:t>
            </w:r>
            <w:r>
              <w:rPr>
                <w:rFonts w:ascii="Times New Roman" w:eastAsia="宋体" w:hAnsi="Times New Roman" w:cs="Times New Roman"/>
                <w:kern w:val="0"/>
                <w:szCs w:val="21"/>
              </w:rPr>
              <w:t>，相对蒸气密度</w:t>
            </w:r>
            <w:r>
              <w:rPr>
                <w:rFonts w:ascii="Times New Roman" w:eastAsia="宋体" w:hAnsi="Times New Roman" w:cs="Times New Roman"/>
                <w:kern w:val="0"/>
                <w:szCs w:val="21"/>
              </w:rPr>
              <w:t>(</w:t>
            </w:r>
            <w:r>
              <w:rPr>
                <w:rFonts w:ascii="Times New Roman" w:eastAsia="宋体" w:hAnsi="Times New Roman" w:cs="Times New Roman"/>
                <w:kern w:val="0"/>
                <w:szCs w:val="21"/>
              </w:rPr>
              <w:t>空气</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1.53</w:t>
            </w:r>
            <w:r>
              <w:rPr>
                <w:rFonts w:ascii="Times New Roman" w:eastAsia="宋体" w:hAnsi="Times New Roman" w:cs="Times New Roman"/>
                <w:kern w:val="0"/>
                <w:szCs w:val="21"/>
              </w:rPr>
              <w:t>，饱和蒸气压</w:t>
            </w:r>
            <w:r>
              <w:rPr>
                <w:rFonts w:ascii="Times New Roman" w:eastAsia="宋体" w:hAnsi="Times New Roman" w:cs="Times New Roman"/>
                <w:kern w:val="0"/>
                <w:szCs w:val="21"/>
              </w:rPr>
              <w:t>(kPa)</w:t>
            </w:r>
            <w:r>
              <w:rPr>
                <w:rFonts w:ascii="Times New Roman" w:eastAsia="宋体" w:hAnsi="Times New Roman" w:cs="Times New Roman"/>
                <w:kern w:val="0"/>
                <w:szCs w:val="21"/>
              </w:rPr>
              <w:t>：</w:t>
            </w:r>
            <w:r>
              <w:rPr>
                <w:rFonts w:ascii="Times New Roman" w:eastAsia="宋体" w:hAnsi="Times New Roman" w:cs="Times New Roman"/>
                <w:kern w:val="0"/>
                <w:szCs w:val="21"/>
              </w:rPr>
              <w:t>1013.25(-39</w:t>
            </w:r>
            <w:r>
              <w:rPr>
                <w:rFonts w:ascii="宋体" w:eastAsia="宋体" w:hAnsi="宋体" w:cs="宋体" w:hint="eastAsia"/>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，溶于水、烃类等多数有机溶剂。</w:t>
            </w:r>
          </w:p>
        </w:tc>
        <w:tc>
          <w:tcPr>
            <w:tcW w:w="3402" w:type="dxa"/>
            <w:vAlign w:val="center"/>
          </w:tcPr>
          <w:p w14:paraId="32C3A70F"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kern w:val="0"/>
                <w:szCs w:val="21"/>
                <w:shd w:val="clear" w:color="auto" w:fill="FFFFFF"/>
              </w:rPr>
              <w:t>若遇高热，容器内压增大，有开裂和爆炸的危险。</w:t>
            </w:r>
          </w:p>
        </w:tc>
        <w:tc>
          <w:tcPr>
            <w:tcW w:w="2268" w:type="dxa"/>
            <w:vAlign w:val="center"/>
          </w:tcPr>
          <w:p w14:paraId="16ECC963" w14:textId="77777777" w:rsidR="002133E3" w:rsidRDefault="00C22CFA" w:rsidP="009C2E4E">
            <w:pPr>
              <w:widowControl/>
              <w:tabs>
                <w:tab w:val="left" w:pos="1733"/>
              </w:tabs>
              <w:snapToGrid w:val="0"/>
              <w:rPr>
                <w:rFonts w:ascii="Times New Roman" w:eastAsia="宋体" w:hAnsi="Times New Roman" w:cs="Times New Roman"/>
                <w:kern w:val="0"/>
                <w:szCs w:val="21"/>
              </w:rPr>
            </w:pPr>
            <w:r>
              <w:rPr>
                <w:rFonts w:ascii="Times New Roman" w:eastAsia="宋体" w:hAnsi="Times New Roman" w:cs="Times New Roman"/>
                <w:kern w:val="0"/>
                <w:szCs w:val="21"/>
              </w:rPr>
              <w:t>LD</w:t>
            </w:r>
            <w:r>
              <w:rPr>
                <w:rFonts w:ascii="Times New Roman" w:eastAsia="宋体" w:hAnsi="Times New Roman" w:cs="Times New Roman"/>
                <w:kern w:val="0"/>
                <w:szCs w:val="21"/>
                <w:vertAlign w:val="subscript"/>
              </w:rPr>
              <w:t>50</w:t>
            </w:r>
            <w:r>
              <w:rPr>
                <w:rFonts w:ascii="Times New Roman" w:eastAsia="宋体" w:hAnsi="Times New Roman" w:cs="Times New Roman"/>
                <w:kern w:val="0"/>
                <w:szCs w:val="21"/>
              </w:rPr>
              <w:t>：无资料</w:t>
            </w:r>
          </w:p>
          <w:p w14:paraId="14F693C3" w14:textId="77777777" w:rsidR="002133E3" w:rsidRDefault="00C22CFA"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kern w:val="0"/>
                <w:szCs w:val="21"/>
              </w:rPr>
              <w:t>LC</w:t>
            </w:r>
            <w:r>
              <w:rPr>
                <w:rFonts w:ascii="Times New Roman" w:eastAsia="宋体" w:hAnsi="Times New Roman" w:cs="Times New Roman"/>
                <w:kern w:val="0"/>
                <w:szCs w:val="21"/>
                <w:vertAlign w:val="subscript"/>
              </w:rPr>
              <w:t>50</w:t>
            </w:r>
            <w:r>
              <w:rPr>
                <w:rFonts w:ascii="Times New Roman" w:eastAsia="宋体" w:hAnsi="Times New Roman" w:cs="Times New Roman"/>
                <w:kern w:val="0"/>
                <w:szCs w:val="21"/>
              </w:rPr>
              <w:t>：无资料</w:t>
            </w:r>
          </w:p>
        </w:tc>
        <w:tc>
          <w:tcPr>
            <w:tcW w:w="927" w:type="dxa"/>
            <w:vAlign w:val="center"/>
          </w:tcPr>
          <w:p w14:paraId="528F6D8A" w14:textId="77777777" w:rsidR="002133E3" w:rsidRDefault="00C22CFA">
            <w:pPr>
              <w:widowControl/>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r w:rsidR="002133E3" w14:paraId="47743220" w14:textId="77777777" w:rsidTr="009C2E4E">
        <w:trPr>
          <w:jc w:val="center"/>
        </w:trPr>
        <w:tc>
          <w:tcPr>
            <w:tcW w:w="675" w:type="dxa"/>
            <w:vAlign w:val="center"/>
          </w:tcPr>
          <w:p w14:paraId="7B938A33"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6</w:t>
            </w:r>
          </w:p>
        </w:tc>
        <w:tc>
          <w:tcPr>
            <w:tcW w:w="852" w:type="dxa"/>
            <w:vAlign w:val="center"/>
          </w:tcPr>
          <w:p w14:paraId="6629CB26" w14:textId="77777777" w:rsidR="002133E3" w:rsidRDefault="00C22CFA"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乙醇</w:t>
            </w:r>
          </w:p>
        </w:tc>
        <w:tc>
          <w:tcPr>
            <w:tcW w:w="6094" w:type="dxa"/>
            <w:vAlign w:val="center"/>
          </w:tcPr>
          <w:p w14:paraId="6C635E1F"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kern w:val="0"/>
                <w:szCs w:val="21"/>
              </w:rPr>
              <w:t>分子式：</w:t>
            </w:r>
            <w:r>
              <w:rPr>
                <w:rFonts w:ascii="Times New Roman" w:eastAsia="宋体" w:hAnsi="Times New Roman" w:cs="Times New Roman"/>
                <w:kern w:val="0"/>
                <w:szCs w:val="21"/>
              </w:rPr>
              <w:t>C</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H</w:t>
            </w:r>
            <w:r>
              <w:rPr>
                <w:rFonts w:ascii="Times New Roman" w:eastAsia="宋体" w:hAnsi="Times New Roman" w:cs="Times New Roman"/>
                <w:kern w:val="0"/>
                <w:szCs w:val="21"/>
                <w:vertAlign w:val="subscript"/>
              </w:rPr>
              <w:t>6</w:t>
            </w:r>
            <w:r>
              <w:rPr>
                <w:rFonts w:ascii="Times New Roman" w:eastAsia="宋体" w:hAnsi="Times New Roman" w:cs="Times New Roman"/>
                <w:kern w:val="0"/>
                <w:szCs w:val="21"/>
              </w:rPr>
              <w:t>O</w:t>
            </w:r>
            <w:r>
              <w:rPr>
                <w:rFonts w:ascii="Times New Roman" w:eastAsia="宋体" w:hAnsi="Times New Roman" w:cs="Times New Roman"/>
                <w:kern w:val="0"/>
                <w:szCs w:val="21"/>
              </w:rPr>
              <w:t>，</w:t>
            </w:r>
            <w:r>
              <w:rPr>
                <w:rFonts w:ascii="Times New Roman" w:eastAsia="宋体" w:hAnsi="Times New Roman" w:cs="Times New Roman"/>
                <w:bCs/>
                <w:kern w:val="0"/>
                <w:szCs w:val="21"/>
              </w:rPr>
              <w:t>分子量：</w:t>
            </w:r>
            <w:r>
              <w:rPr>
                <w:rFonts w:ascii="Times New Roman" w:eastAsia="宋体" w:hAnsi="Times New Roman" w:cs="Times New Roman"/>
                <w:kern w:val="0"/>
                <w:szCs w:val="21"/>
              </w:rPr>
              <w:t>46.07</w:t>
            </w:r>
            <w:r>
              <w:rPr>
                <w:rFonts w:ascii="Times New Roman" w:eastAsia="宋体" w:hAnsi="Times New Roman" w:cs="Times New Roman"/>
                <w:kern w:val="0"/>
                <w:szCs w:val="21"/>
              </w:rPr>
              <w:t>，</w:t>
            </w:r>
            <w:r>
              <w:rPr>
                <w:rFonts w:ascii="Times New Roman" w:eastAsia="宋体" w:hAnsi="Times New Roman" w:cs="Times New Roman"/>
                <w:bCs/>
                <w:kern w:val="0"/>
                <w:szCs w:val="21"/>
              </w:rPr>
              <w:t>外观与性状：</w:t>
            </w:r>
            <w:r>
              <w:rPr>
                <w:rFonts w:ascii="Times New Roman" w:eastAsia="宋体" w:hAnsi="Times New Roman" w:cs="Times New Roman"/>
                <w:kern w:val="0"/>
                <w:szCs w:val="21"/>
              </w:rPr>
              <w:t>无色液体，有酒香。相对密度</w:t>
            </w:r>
            <w:r>
              <w:rPr>
                <w:rFonts w:ascii="Times New Roman" w:eastAsia="宋体" w:hAnsi="Times New Roman" w:cs="Times New Roman"/>
                <w:kern w:val="0"/>
                <w:szCs w:val="21"/>
              </w:rPr>
              <w:t>(</w:t>
            </w:r>
            <w:r>
              <w:rPr>
                <w:rFonts w:ascii="Times New Roman" w:eastAsia="宋体" w:hAnsi="Times New Roman" w:cs="Times New Roman"/>
                <w:kern w:val="0"/>
                <w:szCs w:val="21"/>
              </w:rPr>
              <w:t>水</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0.79</w:t>
            </w:r>
            <w:r>
              <w:rPr>
                <w:rFonts w:ascii="Times New Roman" w:eastAsia="宋体" w:hAnsi="Times New Roman" w:cs="Times New Roman"/>
                <w:kern w:val="0"/>
                <w:szCs w:val="21"/>
              </w:rPr>
              <w:t>，熔点：</w:t>
            </w:r>
            <w:r>
              <w:rPr>
                <w:rFonts w:ascii="Times New Roman" w:eastAsia="宋体" w:hAnsi="Times New Roman" w:cs="Times New Roman"/>
                <w:kern w:val="0"/>
                <w:szCs w:val="21"/>
              </w:rPr>
              <w:t>-114.1</w:t>
            </w:r>
            <w:r>
              <w:rPr>
                <w:rFonts w:ascii="宋体" w:eastAsia="宋体" w:hAnsi="宋体" w:cs="宋体" w:hint="eastAsia"/>
                <w:kern w:val="0"/>
                <w:szCs w:val="21"/>
              </w:rPr>
              <w:t>℃</w:t>
            </w:r>
            <w:r>
              <w:rPr>
                <w:rFonts w:ascii="Times New Roman" w:eastAsia="宋体" w:hAnsi="Times New Roman" w:cs="Times New Roman"/>
                <w:kern w:val="0"/>
                <w:szCs w:val="21"/>
              </w:rPr>
              <w:t>，沸点：</w:t>
            </w:r>
            <w:r>
              <w:rPr>
                <w:rFonts w:ascii="Times New Roman" w:eastAsia="宋体" w:hAnsi="Times New Roman" w:cs="Times New Roman"/>
                <w:kern w:val="0"/>
                <w:szCs w:val="21"/>
              </w:rPr>
              <w:t>78.3</w:t>
            </w:r>
            <w:r>
              <w:rPr>
                <w:rFonts w:ascii="宋体" w:eastAsia="宋体" w:hAnsi="宋体" w:cs="宋体" w:hint="eastAsia"/>
                <w:kern w:val="0"/>
                <w:szCs w:val="21"/>
              </w:rPr>
              <w:t>℃</w:t>
            </w:r>
            <w:r>
              <w:rPr>
                <w:rFonts w:ascii="Times New Roman" w:eastAsia="宋体" w:hAnsi="Times New Roman" w:cs="Times New Roman"/>
                <w:kern w:val="0"/>
                <w:szCs w:val="21"/>
              </w:rPr>
              <w:t>，闪点：</w:t>
            </w:r>
            <w:r>
              <w:rPr>
                <w:rFonts w:ascii="Times New Roman" w:eastAsia="宋体" w:hAnsi="Times New Roman" w:cs="Times New Roman"/>
                <w:kern w:val="0"/>
                <w:szCs w:val="21"/>
              </w:rPr>
              <w:t>12</w:t>
            </w:r>
            <w:r>
              <w:rPr>
                <w:rFonts w:ascii="宋体" w:eastAsia="宋体" w:hAnsi="宋体" w:cs="宋体" w:hint="eastAsia"/>
                <w:kern w:val="0"/>
                <w:szCs w:val="21"/>
              </w:rPr>
              <w:t>℃</w:t>
            </w:r>
            <w:r>
              <w:rPr>
                <w:rFonts w:ascii="Times New Roman" w:eastAsia="宋体" w:hAnsi="Times New Roman" w:cs="Times New Roman"/>
                <w:kern w:val="0"/>
                <w:szCs w:val="21"/>
              </w:rPr>
              <w:t>，引燃温度：</w:t>
            </w:r>
            <w:r>
              <w:rPr>
                <w:rFonts w:ascii="Times New Roman" w:eastAsia="宋体" w:hAnsi="Times New Roman" w:cs="Times New Roman"/>
                <w:kern w:val="0"/>
                <w:szCs w:val="21"/>
              </w:rPr>
              <w:t>363</w:t>
            </w:r>
            <w:r>
              <w:rPr>
                <w:rFonts w:ascii="宋体" w:eastAsia="宋体" w:hAnsi="宋体" w:cs="宋体" w:hint="eastAsia"/>
                <w:kern w:val="0"/>
                <w:szCs w:val="21"/>
              </w:rPr>
              <w:t>℃</w:t>
            </w:r>
            <w:r>
              <w:rPr>
                <w:rFonts w:ascii="Times New Roman" w:eastAsia="宋体" w:hAnsi="Times New Roman" w:cs="Times New Roman"/>
                <w:kern w:val="0"/>
                <w:szCs w:val="21"/>
              </w:rPr>
              <w:t>，饱和蒸汽压：</w:t>
            </w:r>
            <w:r>
              <w:rPr>
                <w:rFonts w:ascii="Times New Roman" w:eastAsia="宋体" w:hAnsi="Times New Roman" w:cs="Times New Roman"/>
                <w:kern w:val="0"/>
                <w:szCs w:val="21"/>
              </w:rPr>
              <w:t>5.33Kpa</w:t>
            </w:r>
            <w:r>
              <w:rPr>
                <w:rFonts w:ascii="Times New Roman" w:eastAsia="宋体" w:hAnsi="Times New Roman" w:cs="Times New Roman"/>
                <w:kern w:val="0"/>
                <w:szCs w:val="21"/>
              </w:rPr>
              <w:t>。与水混溶，可混溶于醚、三氯甲烷、甘油等多数有机溶剂。</w:t>
            </w:r>
          </w:p>
        </w:tc>
        <w:tc>
          <w:tcPr>
            <w:tcW w:w="3402" w:type="dxa"/>
            <w:vAlign w:val="center"/>
          </w:tcPr>
          <w:p w14:paraId="3B1ECBFD"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kern w:val="0"/>
                <w:szCs w:val="21"/>
              </w:rPr>
              <w:t>易燃，其蒸气与空气可形成爆炸性混合物。遇明火、高热能引起燃烧爆炸。与氧化剂接触发生化学反应或引起燃烧。在火场中，受热的容器有爆炸的危险。其蒸气比空气重，能在较低处扩散到相当远的地方，遇明火会引起回燃。</w:t>
            </w:r>
          </w:p>
        </w:tc>
        <w:tc>
          <w:tcPr>
            <w:tcW w:w="2268" w:type="dxa"/>
            <w:vAlign w:val="center"/>
          </w:tcPr>
          <w:p w14:paraId="27848526" w14:textId="77777777" w:rsidR="002133E3" w:rsidRDefault="00C22CFA"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kern w:val="0"/>
                <w:szCs w:val="21"/>
              </w:rPr>
              <w:t>为中枢神经系统抑制剂，首先引起兴备，随后抑制。急性毒性为：</w:t>
            </w:r>
            <w:r>
              <w:rPr>
                <w:rFonts w:ascii="Times New Roman" w:eastAsia="宋体" w:hAnsi="Times New Roman" w:cs="Times New Roman"/>
                <w:kern w:val="0"/>
                <w:szCs w:val="21"/>
              </w:rPr>
              <w:t>LD</w:t>
            </w:r>
            <w:r>
              <w:rPr>
                <w:rFonts w:ascii="Times New Roman" w:eastAsia="宋体" w:hAnsi="Times New Roman" w:cs="Times New Roman"/>
                <w:kern w:val="0"/>
                <w:szCs w:val="21"/>
                <w:vertAlign w:val="subscript"/>
              </w:rPr>
              <w:t>50</w:t>
            </w:r>
            <w:r>
              <w:rPr>
                <w:rFonts w:ascii="Times New Roman" w:eastAsia="宋体" w:hAnsi="Times New Roman" w:cs="Times New Roman"/>
                <w:kern w:val="0"/>
                <w:szCs w:val="21"/>
              </w:rPr>
              <w:t>：</w:t>
            </w:r>
            <w:r>
              <w:rPr>
                <w:rFonts w:ascii="Times New Roman" w:eastAsia="宋体" w:hAnsi="Times New Roman" w:cs="Times New Roman"/>
                <w:kern w:val="0"/>
                <w:szCs w:val="21"/>
              </w:rPr>
              <w:t>7060mg/Kg(</w:t>
            </w:r>
            <w:r>
              <w:rPr>
                <w:rFonts w:ascii="Times New Roman" w:eastAsia="宋体" w:hAnsi="Times New Roman" w:cs="Times New Roman"/>
                <w:kern w:val="0"/>
                <w:szCs w:val="21"/>
              </w:rPr>
              <w:t>兔经口</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7430mg/Kg(</w:t>
            </w:r>
            <w:r>
              <w:rPr>
                <w:rFonts w:ascii="Times New Roman" w:eastAsia="宋体" w:hAnsi="Times New Roman" w:cs="Times New Roman"/>
                <w:kern w:val="0"/>
                <w:szCs w:val="21"/>
              </w:rPr>
              <w:t>兔经皮</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LC</w:t>
            </w:r>
            <w:r>
              <w:rPr>
                <w:rFonts w:ascii="Times New Roman" w:eastAsia="宋体" w:hAnsi="Times New Roman" w:cs="Times New Roman"/>
                <w:kern w:val="0"/>
                <w:szCs w:val="21"/>
                <w:vertAlign w:val="subscript"/>
              </w:rPr>
              <w:t>50</w:t>
            </w:r>
            <w:r>
              <w:rPr>
                <w:rFonts w:ascii="Times New Roman" w:eastAsia="宋体" w:hAnsi="Times New Roman" w:cs="Times New Roman"/>
                <w:kern w:val="0"/>
                <w:szCs w:val="21"/>
              </w:rPr>
              <w:t>：</w:t>
            </w:r>
            <w:r>
              <w:rPr>
                <w:rFonts w:ascii="Times New Roman" w:eastAsia="宋体" w:hAnsi="Times New Roman" w:cs="Times New Roman"/>
                <w:kern w:val="0"/>
                <w:szCs w:val="21"/>
              </w:rPr>
              <w:t>37620mg/m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r>
              <w:rPr>
                <w:rFonts w:ascii="Times New Roman" w:eastAsia="宋体" w:hAnsi="Times New Roman" w:cs="Times New Roman"/>
                <w:kern w:val="0"/>
                <w:szCs w:val="21"/>
              </w:rPr>
              <w:t>大鼠吸入</w:t>
            </w:r>
            <w:r>
              <w:rPr>
                <w:rFonts w:ascii="Times New Roman" w:eastAsia="宋体" w:hAnsi="Times New Roman" w:cs="Times New Roman"/>
                <w:kern w:val="0"/>
                <w:szCs w:val="21"/>
              </w:rPr>
              <w:t>)</w:t>
            </w:r>
            <w:r>
              <w:rPr>
                <w:rFonts w:ascii="Times New Roman" w:eastAsia="宋体" w:hAnsi="Times New Roman" w:cs="Times New Roman"/>
                <w:kern w:val="0"/>
                <w:szCs w:val="21"/>
              </w:rPr>
              <w:t>。</w:t>
            </w:r>
          </w:p>
        </w:tc>
        <w:tc>
          <w:tcPr>
            <w:tcW w:w="927" w:type="dxa"/>
            <w:vAlign w:val="center"/>
          </w:tcPr>
          <w:p w14:paraId="21F4CD49" w14:textId="77777777" w:rsidR="002133E3" w:rsidRDefault="00C22CFA">
            <w:pPr>
              <w:widowControl/>
              <w:snapToGrid w:val="0"/>
              <w:jc w:val="left"/>
              <w:rPr>
                <w:rFonts w:ascii="Times New Roman" w:eastAsia="宋体" w:hAnsi="Times New Roman" w:cs="Times New Roman"/>
                <w:bCs/>
                <w:kern w:val="0"/>
                <w:szCs w:val="21"/>
              </w:rPr>
            </w:pPr>
            <w:r>
              <w:rPr>
                <w:rFonts w:ascii="Times New Roman" w:eastAsia="宋体" w:hAnsi="Times New Roman" w:cs="Times New Roman"/>
                <w:kern w:val="0"/>
                <w:szCs w:val="21"/>
              </w:rPr>
              <w:t>-</w:t>
            </w:r>
          </w:p>
        </w:tc>
      </w:tr>
      <w:tr w:rsidR="002133E3" w14:paraId="7F743C9B" w14:textId="77777777" w:rsidTr="009C2E4E">
        <w:trPr>
          <w:jc w:val="center"/>
        </w:trPr>
        <w:tc>
          <w:tcPr>
            <w:tcW w:w="675" w:type="dxa"/>
            <w:vAlign w:val="center"/>
          </w:tcPr>
          <w:p w14:paraId="4FB3CFD7"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7</w:t>
            </w:r>
          </w:p>
        </w:tc>
        <w:tc>
          <w:tcPr>
            <w:tcW w:w="852" w:type="dxa"/>
            <w:vAlign w:val="center"/>
          </w:tcPr>
          <w:p w14:paraId="40393942" w14:textId="77777777" w:rsidR="002133E3" w:rsidRDefault="00C22CFA" w:rsidP="009C2E4E">
            <w:pPr>
              <w:widowControl/>
              <w:tabs>
                <w:tab w:val="left" w:pos="1733"/>
              </w:tabs>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甲醇</w:t>
            </w:r>
          </w:p>
        </w:tc>
        <w:tc>
          <w:tcPr>
            <w:tcW w:w="6094" w:type="dxa"/>
            <w:vAlign w:val="center"/>
          </w:tcPr>
          <w:p w14:paraId="6E565DC2" w14:textId="77777777" w:rsidR="002133E3" w:rsidRDefault="00C22CFA">
            <w:pPr>
              <w:autoSpaceDE w:val="0"/>
              <w:autoSpaceDN w:val="0"/>
              <w:adjustRightInd w:val="0"/>
              <w:jc w:val="left"/>
              <w:rPr>
                <w:rFonts w:ascii="Times New Roman" w:eastAsia="宋体" w:hAnsi="Times New Roman" w:cs="Times New Roman"/>
                <w:kern w:val="0"/>
                <w:szCs w:val="21"/>
              </w:rPr>
            </w:pPr>
            <w:r>
              <w:rPr>
                <w:rFonts w:ascii="Times New Roman" w:eastAsia="宋体" w:hAnsi="Times New Roman" w:cs="Times New Roman"/>
                <w:kern w:val="0"/>
                <w:szCs w:val="21"/>
                <w:lang w:val="zh-CN"/>
              </w:rPr>
              <w:t>外观与性状：无色澄清液体，有刺激性气味；熔点（</w:t>
            </w:r>
            <w:r>
              <w:rPr>
                <w:rFonts w:ascii="宋体" w:eastAsia="宋体" w:hAnsi="宋体" w:cs="宋体" w:hint="eastAsia"/>
                <w:kern w:val="0"/>
                <w:szCs w:val="21"/>
                <w:lang w:val="zh-CN"/>
              </w:rPr>
              <w:t>℃</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-97.8</w:t>
            </w:r>
            <w:r>
              <w:rPr>
                <w:rFonts w:ascii="Times New Roman" w:eastAsia="宋体" w:hAnsi="Times New Roman" w:cs="Times New Roman"/>
                <w:kern w:val="0"/>
                <w:szCs w:val="21"/>
                <w:lang w:val="zh-CN"/>
              </w:rPr>
              <w:t>；相对密度（水</w:t>
            </w:r>
            <w:r>
              <w:rPr>
                <w:rFonts w:ascii="Times New Roman" w:eastAsia="宋体" w:hAnsi="Times New Roman" w:cs="Times New Roman"/>
                <w:kern w:val="0"/>
                <w:szCs w:val="21"/>
                <w:lang w:val="zh-CN"/>
              </w:rPr>
              <w:t>=1</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0.79</w:t>
            </w:r>
            <w:r>
              <w:rPr>
                <w:rFonts w:ascii="Times New Roman" w:eastAsia="宋体" w:hAnsi="Times New Roman" w:cs="Times New Roman"/>
                <w:kern w:val="0"/>
                <w:szCs w:val="21"/>
                <w:lang w:val="zh-CN"/>
              </w:rPr>
              <w:t>；沸点（</w:t>
            </w:r>
            <w:r>
              <w:rPr>
                <w:rFonts w:ascii="Times New Roman" w:eastAsia="宋体" w:hAnsi="Times New Roman" w:cs="Times New Roman"/>
                <w:kern w:val="0"/>
                <w:szCs w:val="21"/>
                <w:lang w:val="zh-CN"/>
              </w:rPr>
              <w:t>C</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 xml:space="preserve"> 64.8</w:t>
            </w:r>
            <w:r>
              <w:rPr>
                <w:rFonts w:ascii="Times New Roman" w:eastAsia="宋体" w:hAnsi="Times New Roman" w:cs="Times New Roman"/>
                <w:kern w:val="0"/>
                <w:szCs w:val="21"/>
                <w:lang w:val="zh-CN"/>
              </w:rPr>
              <w:t>；相对蒸气密度（空气</w:t>
            </w:r>
            <w:r>
              <w:rPr>
                <w:rFonts w:ascii="Times New Roman" w:eastAsia="宋体" w:hAnsi="Times New Roman" w:cs="Times New Roman"/>
                <w:kern w:val="0"/>
                <w:szCs w:val="21"/>
                <w:lang w:val="zh-CN"/>
              </w:rPr>
              <w:t>=1</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 xml:space="preserve"> 1.11</w:t>
            </w:r>
            <w:r>
              <w:rPr>
                <w:rFonts w:ascii="Times New Roman" w:eastAsia="宋体" w:hAnsi="Times New Roman" w:cs="Times New Roman"/>
                <w:kern w:val="0"/>
                <w:szCs w:val="21"/>
                <w:lang w:val="zh-CN"/>
              </w:rPr>
              <w:t>；分子量：</w:t>
            </w:r>
            <w:r>
              <w:rPr>
                <w:rFonts w:ascii="Times New Roman" w:eastAsia="宋体" w:hAnsi="Times New Roman" w:cs="Times New Roman"/>
                <w:kern w:val="0"/>
                <w:szCs w:val="21"/>
                <w:lang w:val="zh-CN"/>
              </w:rPr>
              <w:t xml:space="preserve"> 32.04</w:t>
            </w:r>
            <w:r>
              <w:rPr>
                <w:rFonts w:ascii="Times New Roman" w:eastAsia="宋体" w:hAnsi="Times New Roman" w:cs="Times New Roman"/>
                <w:kern w:val="0"/>
                <w:szCs w:val="21"/>
                <w:lang w:val="zh-CN"/>
              </w:rPr>
              <w:t>；饱和蒸气压（</w:t>
            </w:r>
            <w:r>
              <w:rPr>
                <w:rFonts w:ascii="Times New Roman" w:eastAsia="宋体" w:hAnsi="Times New Roman" w:cs="Times New Roman"/>
                <w:kern w:val="0"/>
                <w:szCs w:val="21"/>
                <w:lang w:val="zh-CN"/>
              </w:rPr>
              <w:t>kPa</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13.33</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21.2</w:t>
            </w:r>
            <w:r>
              <w:rPr>
                <w:rFonts w:ascii="宋体" w:eastAsia="宋体" w:hAnsi="宋体" w:cs="宋体" w:hint="eastAsia"/>
                <w:kern w:val="0"/>
                <w:szCs w:val="21"/>
                <w:lang w:val="zh-CN"/>
              </w:rPr>
              <w:t>℃</w:t>
            </w:r>
            <w:r>
              <w:rPr>
                <w:rFonts w:ascii="Times New Roman" w:eastAsia="宋体" w:hAnsi="Times New Roman" w:cs="Times New Roman"/>
                <w:kern w:val="0"/>
                <w:szCs w:val="21"/>
                <w:lang w:val="zh-CN"/>
              </w:rPr>
              <w:t>）；燃烧热（</w:t>
            </w:r>
            <w:r>
              <w:rPr>
                <w:rFonts w:ascii="Times New Roman" w:eastAsia="宋体" w:hAnsi="Times New Roman" w:cs="Times New Roman"/>
                <w:kern w:val="0"/>
                <w:szCs w:val="21"/>
                <w:lang w:val="zh-CN"/>
              </w:rPr>
              <w:t>kJ/mol</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 xml:space="preserve"> 727.0</w:t>
            </w:r>
            <w:r>
              <w:rPr>
                <w:rFonts w:ascii="Times New Roman" w:eastAsia="宋体" w:hAnsi="Times New Roman" w:cs="Times New Roman"/>
                <w:kern w:val="0"/>
                <w:szCs w:val="21"/>
                <w:lang w:val="zh-CN"/>
              </w:rPr>
              <w:t>；临界温度（</w:t>
            </w:r>
            <w:r>
              <w:rPr>
                <w:rFonts w:ascii="Times New Roman" w:eastAsia="宋体" w:hAnsi="Times New Roman" w:cs="Times New Roman"/>
                <w:kern w:val="0"/>
                <w:szCs w:val="21"/>
                <w:lang w:val="zh-CN"/>
              </w:rPr>
              <w:t>C</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 xml:space="preserve"> 240</w:t>
            </w:r>
            <w:r>
              <w:rPr>
                <w:rFonts w:ascii="Times New Roman" w:eastAsia="宋体" w:hAnsi="Times New Roman" w:cs="Times New Roman"/>
                <w:kern w:val="0"/>
                <w:szCs w:val="21"/>
                <w:lang w:val="zh-CN"/>
              </w:rPr>
              <w:t>；临界压力（</w:t>
            </w:r>
            <w:r>
              <w:rPr>
                <w:rFonts w:ascii="Times New Roman" w:eastAsia="宋体" w:hAnsi="Times New Roman" w:cs="Times New Roman"/>
                <w:kern w:val="0"/>
                <w:szCs w:val="21"/>
                <w:lang w:val="zh-CN"/>
              </w:rPr>
              <w:t>MPa</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 xml:space="preserve"> </w:t>
            </w:r>
            <w:r>
              <w:rPr>
                <w:rFonts w:ascii="Times New Roman" w:eastAsia="宋体" w:hAnsi="Times New Roman" w:cs="Times New Roman"/>
                <w:kern w:val="0"/>
                <w:szCs w:val="21"/>
                <w:lang w:val="zh-CN"/>
              </w:rPr>
              <w:lastRenderedPageBreak/>
              <w:t>7.95</w:t>
            </w:r>
            <w:r>
              <w:rPr>
                <w:rFonts w:ascii="Times New Roman" w:eastAsia="宋体" w:hAnsi="Times New Roman" w:cs="Times New Roman"/>
                <w:kern w:val="0"/>
                <w:szCs w:val="21"/>
                <w:lang w:val="zh-CN"/>
              </w:rPr>
              <w:t>；辛醇</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水分配系数的对数值：</w:t>
            </w:r>
            <w:r>
              <w:rPr>
                <w:rFonts w:ascii="Times New Roman" w:eastAsia="宋体" w:hAnsi="Times New Roman" w:cs="Times New Roman"/>
                <w:kern w:val="0"/>
                <w:szCs w:val="21"/>
                <w:lang w:val="zh-CN"/>
              </w:rPr>
              <w:t>-0.82/-0.66</w:t>
            </w:r>
            <w:r>
              <w:rPr>
                <w:rFonts w:ascii="Times New Roman" w:eastAsia="宋体" w:hAnsi="Times New Roman" w:cs="Times New Roman"/>
                <w:kern w:val="0"/>
                <w:szCs w:val="21"/>
                <w:lang w:val="zh-CN"/>
              </w:rPr>
              <w:t>；闪点（</w:t>
            </w:r>
            <w:r>
              <w:rPr>
                <w:rFonts w:ascii="Times New Roman" w:eastAsia="宋体" w:hAnsi="Times New Roman" w:cs="Times New Roman"/>
                <w:kern w:val="0"/>
                <w:szCs w:val="21"/>
                <w:lang w:val="zh-CN"/>
              </w:rPr>
              <w:t>C</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11</w:t>
            </w:r>
            <w:r>
              <w:rPr>
                <w:rFonts w:ascii="Times New Roman" w:eastAsia="宋体" w:hAnsi="Times New Roman" w:cs="Times New Roman"/>
                <w:kern w:val="0"/>
                <w:szCs w:val="21"/>
                <w:lang w:val="zh-CN"/>
              </w:rPr>
              <w:t>；爆炸上限</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V/V</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44.0</w:t>
            </w:r>
            <w:r>
              <w:rPr>
                <w:rFonts w:ascii="Times New Roman" w:eastAsia="宋体" w:hAnsi="Times New Roman" w:cs="Times New Roman"/>
                <w:kern w:val="0"/>
                <w:szCs w:val="21"/>
                <w:lang w:val="zh-CN"/>
              </w:rPr>
              <w:t>；引燃温度（</w:t>
            </w:r>
            <w:r>
              <w:rPr>
                <w:rFonts w:ascii="Times New Roman" w:eastAsia="宋体" w:hAnsi="Times New Roman" w:cs="Times New Roman"/>
                <w:kern w:val="0"/>
                <w:szCs w:val="21"/>
                <w:lang w:val="zh-CN"/>
              </w:rPr>
              <w:t>C</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385</w:t>
            </w:r>
            <w:r>
              <w:rPr>
                <w:rFonts w:ascii="Times New Roman" w:eastAsia="宋体" w:hAnsi="Times New Roman" w:cs="Times New Roman"/>
                <w:kern w:val="0"/>
                <w:szCs w:val="21"/>
                <w:lang w:val="zh-CN"/>
              </w:rPr>
              <w:t>；爆炸下限</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V/V</w:t>
            </w:r>
            <w:r>
              <w:rPr>
                <w:rFonts w:ascii="Times New Roman" w:eastAsia="宋体" w:hAnsi="Times New Roman" w:cs="Times New Roman"/>
                <w:kern w:val="0"/>
                <w:szCs w:val="21"/>
                <w:lang w:val="zh-CN"/>
              </w:rPr>
              <w:t>）：</w:t>
            </w:r>
            <w:r>
              <w:rPr>
                <w:rFonts w:ascii="Times New Roman" w:eastAsia="宋体" w:hAnsi="Times New Roman" w:cs="Times New Roman"/>
                <w:kern w:val="0"/>
                <w:szCs w:val="21"/>
                <w:lang w:val="zh-CN"/>
              </w:rPr>
              <w:t>5.5</w:t>
            </w:r>
            <w:r>
              <w:rPr>
                <w:rFonts w:ascii="Times New Roman" w:eastAsia="宋体" w:hAnsi="Times New Roman" w:cs="Times New Roman"/>
                <w:kern w:val="0"/>
                <w:szCs w:val="21"/>
                <w:lang w:val="zh-CN"/>
              </w:rPr>
              <w:t>；溶解性：溶于水，可混溶于醇、醚等多数有机溶剂。主要用途：主要用于制甲醛、香精、染料、医药、火药、防冻剂等。</w:t>
            </w:r>
          </w:p>
        </w:tc>
        <w:tc>
          <w:tcPr>
            <w:tcW w:w="3402" w:type="dxa"/>
            <w:vAlign w:val="center"/>
          </w:tcPr>
          <w:p w14:paraId="0257D1F1" w14:textId="77777777" w:rsidR="002133E3" w:rsidRDefault="00C22CFA">
            <w:pPr>
              <w:widowControl/>
              <w:tabs>
                <w:tab w:val="left" w:pos="1733"/>
              </w:tabs>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lang w:val="zh-CN"/>
              </w:rPr>
              <w:lastRenderedPageBreak/>
              <w:t>易燃，其蒸气与空气可形成爆炸性混合物，遇明火、高热能引起燃烧爆炸。与氧化剂接触发生化学反应或引起燃烧。在火场中，受热的容</w:t>
            </w:r>
            <w:r>
              <w:rPr>
                <w:rFonts w:ascii="Times New Roman" w:eastAsia="宋体" w:hAnsi="Times New Roman" w:cs="Times New Roman"/>
                <w:kern w:val="0"/>
                <w:szCs w:val="21"/>
                <w:lang w:val="zh-CN"/>
              </w:rPr>
              <w:lastRenderedPageBreak/>
              <w:t>器有爆炸危险。其蒸气比空气重，能在较低处扩散到相当远的地方，遇火源会着火回燃。</w:t>
            </w:r>
          </w:p>
        </w:tc>
        <w:tc>
          <w:tcPr>
            <w:tcW w:w="2268" w:type="dxa"/>
            <w:vAlign w:val="center"/>
          </w:tcPr>
          <w:p w14:paraId="7E1DC4C4" w14:textId="77777777" w:rsidR="002133E3" w:rsidRDefault="00C22CFA" w:rsidP="009C2E4E">
            <w:pPr>
              <w:widowControl/>
              <w:tabs>
                <w:tab w:val="left" w:pos="1733"/>
              </w:tabs>
              <w:snapToGrid w:val="0"/>
              <w:rPr>
                <w:rFonts w:ascii="Times New Roman" w:eastAsia="宋体" w:hAnsi="Times New Roman" w:cs="Times New Roman"/>
                <w:kern w:val="0"/>
                <w:szCs w:val="21"/>
              </w:rPr>
            </w:pPr>
            <w:r>
              <w:rPr>
                <w:rFonts w:ascii="Times New Roman" w:eastAsia="宋体" w:hAnsi="Times New Roman" w:cs="Times New Roman"/>
                <w:kern w:val="0"/>
                <w:szCs w:val="21"/>
              </w:rPr>
              <w:lastRenderedPageBreak/>
              <w:t>LD50</w:t>
            </w:r>
            <w:r>
              <w:rPr>
                <w:rFonts w:ascii="Times New Roman" w:eastAsia="宋体" w:hAnsi="Times New Roman" w:cs="Times New Roman"/>
                <w:kern w:val="0"/>
                <w:szCs w:val="21"/>
              </w:rPr>
              <w:t>：</w:t>
            </w:r>
            <w:r>
              <w:rPr>
                <w:rFonts w:ascii="Times New Roman" w:eastAsia="宋体" w:hAnsi="Times New Roman" w:cs="Times New Roman"/>
                <w:kern w:val="0"/>
                <w:szCs w:val="21"/>
              </w:rPr>
              <w:t>5628mg/kg</w:t>
            </w:r>
            <w:r>
              <w:rPr>
                <w:rFonts w:ascii="Times New Roman" w:eastAsia="宋体" w:hAnsi="Times New Roman" w:cs="Times New Roman"/>
                <w:kern w:val="0"/>
                <w:szCs w:val="21"/>
              </w:rPr>
              <w:t>（</w:t>
            </w:r>
            <w:r>
              <w:rPr>
                <w:rFonts w:ascii="Times New Roman" w:eastAsia="宋体" w:hAnsi="Times New Roman" w:cs="Times New Roman"/>
                <w:kern w:val="0"/>
                <w:szCs w:val="21"/>
                <w:lang w:val="zh-CN"/>
              </w:rPr>
              <w:t>大鼠经口</w:t>
            </w:r>
            <w:r>
              <w:rPr>
                <w:rFonts w:ascii="Times New Roman" w:eastAsia="宋体" w:hAnsi="Times New Roman" w:cs="Times New Roman"/>
                <w:kern w:val="0"/>
                <w:szCs w:val="21"/>
              </w:rPr>
              <w:t>）；</w:t>
            </w:r>
            <w:r>
              <w:rPr>
                <w:rFonts w:ascii="Times New Roman" w:eastAsia="宋体" w:hAnsi="Times New Roman" w:cs="Times New Roman"/>
                <w:kern w:val="0"/>
                <w:szCs w:val="21"/>
              </w:rPr>
              <w:t>15800mg/kg</w:t>
            </w:r>
            <w:r>
              <w:rPr>
                <w:rFonts w:ascii="Times New Roman" w:eastAsia="宋体" w:hAnsi="Times New Roman" w:cs="Times New Roman"/>
                <w:kern w:val="0"/>
                <w:szCs w:val="21"/>
              </w:rPr>
              <w:t>（</w:t>
            </w:r>
            <w:r>
              <w:rPr>
                <w:rFonts w:ascii="Times New Roman" w:eastAsia="宋体" w:hAnsi="Times New Roman" w:cs="Times New Roman"/>
                <w:kern w:val="0"/>
                <w:szCs w:val="21"/>
                <w:lang w:val="zh-CN"/>
              </w:rPr>
              <w:t>兔经皮</w:t>
            </w:r>
            <w:r>
              <w:rPr>
                <w:rFonts w:ascii="Times New Roman" w:eastAsia="宋体" w:hAnsi="Times New Roman" w:cs="Times New Roman"/>
                <w:kern w:val="0"/>
                <w:szCs w:val="21"/>
              </w:rPr>
              <w:t>），</w:t>
            </w:r>
            <w:r>
              <w:rPr>
                <w:rFonts w:ascii="Times New Roman" w:eastAsia="宋体" w:hAnsi="Times New Roman" w:cs="Times New Roman"/>
                <w:kern w:val="0"/>
                <w:szCs w:val="21"/>
              </w:rPr>
              <w:t>LC50</w:t>
            </w:r>
            <w:r>
              <w:rPr>
                <w:rFonts w:ascii="Times New Roman" w:eastAsia="宋体" w:hAnsi="Times New Roman" w:cs="Times New Roman"/>
                <w:kern w:val="0"/>
                <w:szCs w:val="21"/>
              </w:rPr>
              <w:t>：</w:t>
            </w:r>
            <w:r>
              <w:rPr>
                <w:rFonts w:ascii="Times New Roman" w:eastAsia="宋体" w:hAnsi="Times New Roman" w:cs="Times New Roman"/>
                <w:kern w:val="0"/>
                <w:szCs w:val="21"/>
              </w:rPr>
              <w:t>83776mg/m3</w:t>
            </w:r>
            <w:r>
              <w:rPr>
                <w:rFonts w:ascii="Times New Roman" w:eastAsia="宋体" w:hAnsi="Times New Roman" w:cs="Times New Roman"/>
                <w:kern w:val="0"/>
                <w:szCs w:val="21"/>
              </w:rPr>
              <w:t>，</w:t>
            </w:r>
            <w:r>
              <w:rPr>
                <w:rFonts w:ascii="Times New Roman" w:eastAsia="宋体" w:hAnsi="Times New Roman" w:cs="Times New Roman"/>
                <w:kern w:val="0"/>
                <w:szCs w:val="21"/>
              </w:rPr>
              <w:t>4</w:t>
            </w:r>
            <w:r>
              <w:rPr>
                <w:rFonts w:ascii="Times New Roman" w:eastAsia="宋体" w:hAnsi="Times New Roman" w:cs="Times New Roman"/>
                <w:kern w:val="0"/>
                <w:szCs w:val="21"/>
                <w:lang w:val="zh-CN"/>
              </w:rPr>
              <w:t>小时</w:t>
            </w:r>
            <w:r>
              <w:rPr>
                <w:rFonts w:ascii="Times New Roman" w:eastAsia="宋体" w:hAnsi="Times New Roman" w:cs="Times New Roman"/>
                <w:kern w:val="0"/>
                <w:szCs w:val="21"/>
              </w:rPr>
              <w:lastRenderedPageBreak/>
              <w:t>（</w:t>
            </w:r>
            <w:r>
              <w:rPr>
                <w:rFonts w:ascii="Times New Roman" w:eastAsia="宋体" w:hAnsi="Times New Roman" w:cs="Times New Roman"/>
                <w:kern w:val="0"/>
                <w:szCs w:val="21"/>
                <w:lang w:val="zh-CN"/>
              </w:rPr>
              <w:t>大鼠吸入</w:t>
            </w:r>
            <w:r>
              <w:rPr>
                <w:rFonts w:ascii="Times New Roman" w:eastAsia="宋体" w:hAnsi="Times New Roman" w:cs="Times New Roman"/>
                <w:kern w:val="0"/>
                <w:szCs w:val="21"/>
              </w:rPr>
              <w:t>）</w:t>
            </w:r>
          </w:p>
        </w:tc>
        <w:tc>
          <w:tcPr>
            <w:tcW w:w="927" w:type="dxa"/>
            <w:vAlign w:val="center"/>
          </w:tcPr>
          <w:p w14:paraId="57129894" w14:textId="77777777" w:rsidR="002133E3" w:rsidRDefault="002133E3">
            <w:pPr>
              <w:widowControl/>
              <w:snapToGrid w:val="0"/>
              <w:jc w:val="left"/>
              <w:rPr>
                <w:rFonts w:ascii="Times New Roman" w:eastAsia="宋体" w:hAnsi="Times New Roman" w:cs="Times New Roman"/>
                <w:kern w:val="0"/>
                <w:szCs w:val="21"/>
              </w:rPr>
            </w:pPr>
          </w:p>
        </w:tc>
      </w:tr>
      <w:tr w:rsidR="002133E3" w14:paraId="2B8C5B6B" w14:textId="77777777" w:rsidTr="009C2E4E">
        <w:trPr>
          <w:jc w:val="center"/>
        </w:trPr>
        <w:tc>
          <w:tcPr>
            <w:tcW w:w="675" w:type="dxa"/>
            <w:vAlign w:val="center"/>
          </w:tcPr>
          <w:p w14:paraId="2945F428"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8</w:t>
            </w:r>
          </w:p>
        </w:tc>
        <w:tc>
          <w:tcPr>
            <w:tcW w:w="852" w:type="dxa"/>
            <w:vAlign w:val="center"/>
          </w:tcPr>
          <w:p w14:paraId="7BB46118" w14:textId="77777777" w:rsidR="002133E3" w:rsidRDefault="00C22CFA" w:rsidP="009C2E4E">
            <w:pPr>
              <w:widowControl/>
              <w:tabs>
                <w:tab w:val="left" w:pos="1733"/>
              </w:tabs>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杂醇油</w:t>
            </w:r>
          </w:p>
        </w:tc>
        <w:tc>
          <w:tcPr>
            <w:tcW w:w="6094" w:type="dxa"/>
            <w:vAlign w:val="center"/>
          </w:tcPr>
          <w:p w14:paraId="51FDC942" w14:textId="77777777" w:rsidR="002133E3" w:rsidRDefault="00C22CFA">
            <w:pPr>
              <w:widowControl/>
              <w:ind w:firstLine="573"/>
              <w:jc w:val="left"/>
              <w:rPr>
                <w:rFonts w:ascii="Times New Roman" w:eastAsia="宋体" w:hAnsi="Times New Roman" w:cs="Times New Roman"/>
                <w:kern w:val="0"/>
                <w:szCs w:val="21"/>
              </w:rPr>
            </w:pPr>
            <w:r>
              <w:rPr>
                <w:rFonts w:ascii="Times New Roman" w:eastAsia="宋体" w:hAnsi="Times New Roman" w:cs="Times New Roman"/>
                <w:kern w:val="0"/>
                <w:szCs w:val="21"/>
              </w:rPr>
              <w:t>杂醇油是发酵法制造酒精的副产品，由白氨酸、异白氨酸等蛋白质分解物经酵母作用而成，无色至黄色油状液体，有特殊臭味和毒性，相对密度约</w:t>
            </w:r>
            <w:r>
              <w:rPr>
                <w:rFonts w:ascii="Times New Roman" w:eastAsia="宋体" w:hAnsi="Times New Roman" w:cs="Times New Roman"/>
                <w:kern w:val="0"/>
                <w:szCs w:val="21"/>
              </w:rPr>
              <w:t>0.811</w:t>
            </w:r>
            <w:r>
              <w:rPr>
                <w:rFonts w:ascii="Times New Roman" w:eastAsia="宋体" w:hAnsi="Times New Roman" w:cs="Times New Roman"/>
                <w:kern w:val="0"/>
                <w:szCs w:val="21"/>
              </w:rPr>
              <w:t>～</w:t>
            </w:r>
            <w:r>
              <w:rPr>
                <w:rFonts w:ascii="Times New Roman" w:eastAsia="宋体" w:hAnsi="Times New Roman" w:cs="Times New Roman"/>
                <w:kern w:val="0"/>
                <w:szCs w:val="21"/>
              </w:rPr>
              <w:t>0.832</w:t>
            </w:r>
            <w:r>
              <w:rPr>
                <w:rFonts w:ascii="Times New Roman" w:eastAsia="宋体" w:hAnsi="Times New Roman" w:cs="Times New Roman"/>
                <w:kern w:val="0"/>
                <w:szCs w:val="21"/>
              </w:rPr>
              <w:t>（</w:t>
            </w:r>
            <w:r>
              <w:rPr>
                <w:rFonts w:ascii="Times New Roman" w:eastAsia="宋体" w:hAnsi="Times New Roman" w:cs="Times New Roman"/>
                <w:kern w:val="0"/>
                <w:szCs w:val="21"/>
              </w:rPr>
              <w:t>20/20</w:t>
            </w:r>
            <w:r>
              <w:rPr>
                <w:rFonts w:ascii="宋体" w:eastAsia="宋体" w:hAnsi="宋体" w:cs="宋体" w:hint="eastAsia"/>
                <w:kern w:val="0"/>
                <w:szCs w:val="21"/>
              </w:rPr>
              <w:t>℃</w:t>
            </w:r>
            <w:r>
              <w:rPr>
                <w:rFonts w:ascii="Times New Roman" w:eastAsia="宋体" w:hAnsi="Times New Roman" w:cs="Times New Roman"/>
                <w:kern w:val="0"/>
                <w:szCs w:val="21"/>
              </w:rPr>
              <w:t>），主要含有异戊醇、丁醇和丙醇等。</w:t>
            </w:r>
          </w:p>
        </w:tc>
        <w:tc>
          <w:tcPr>
            <w:tcW w:w="3402" w:type="dxa"/>
            <w:vAlign w:val="center"/>
          </w:tcPr>
          <w:p w14:paraId="101EC66A" w14:textId="77777777" w:rsidR="002133E3" w:rsidRDefault="00C22CFA">
            <w:pPr>
              <w:widowControl/>
              <w:tabs>
                <w:tab w:val="left" w:pos="1733"/>
              </w:tabs>
              <w:snapToGrid w:val="0"/>
              <w:jc w:val="left"/>
              <w:rPr>
                <w:rFonts w:ascii="Times New Roman" w:eastAsia="宋体" w:hAnsi="Times New Roman" w:cs="Times New Roman"/>
                <w:kern w:val="0"/>
                <w:szCs w:val="21"/>
              </w:rPr>
            </w:pPr>
            <w:r>
              <w:rPr>
                <w:rFonts w:ascii="Times New Roman" w:eastAsia="宋体" w:hAnsi="Times New Roman" w:cs="Times New Roman"/>
                <w:bCs/>
                <w:kern w:val="0"/>
                <w:szCs w:val="21"/>
              </w:rPr>
              <w:t>-</w:t>
            </w:r>
          </w:p>
        </w:tc>
        <w:tc>
          <w:tcPr>
            <w:tcW w:w="2268" w:type="dxa"/>
            <w:vAlign w:val="center"/>
          </w:tcPr>
          <w:p w14:paraId="07AE9765" w14:textId="77777777" w:rsidR="002133E3" w:rsidRDefault="00C22CFA" w:rsidP="009C2E4E">
            <w:pPr>
              <w:widowControl/>
              <w:tabs>
                <w:tab w:val="left" w:pos="1733"/>
              </w:tabs>
              <w:snapToGrid w:val="0"/>
              <w:rPr>
                <w:rFonts w:ascii="Times New Roman" w:eastAsia="宋体" w:hAnsi="Times New Roman" w:cs="Times New Roman"/>
                <w:kern w:val="0"/>
                <w:szCs w:val="21"/>
              </w:rPr>
            </w:pPr>
            <w:r>
              <w:rPr>
                <w:rFonts w:ascii="Times New Roman" w:eastAsia="宋体" w:hAnsi="Times New Roman" w:cs="Times New Roman"/>
                <w:bCs/>
                <w:kern w:val="0"/>
                <w:szCs w:val="21"/>
              </w:rPr>
              <w:t>-</w:t>
            </w:r>
          </w:p>
        </w:tc>
        <w:tc>
          <w:tcPr>
            <w:tcW w:w="927" w:type="dxa"/>
            <w:vAlign w:val="center"/>
          </w:tcPr>
          <w:p w14:paraId="4FF2AAB9" w14:textId="77777777" w:rsidR="002133E3" w:rsidRDefault="00C22CFA">
            <w:pPr>
              <w:widowControl/>
              <w:snapToGrid w:val="0"/>
              <w:jc w:val="left"/>
              <w:rPr>
                <w:rFonts w:ascii="Times New Roman" w:eastAsia="宋体" w:hAnsi="Times New Roman" w:cs="Times New Roman"/>
                <w:kern w:val="0"/>
                <w:szCs w:val="21"/>
              </w:rPr>
            </w:pPr>
            <w:r>
              <w:rPr>
                <w:rFonts w:ascii="Times New Roman" w:eastAsia="宋体" w:hAnsi="Times New Roman" w:cs="Times New Roman"/>
                <w:bCs/>
                <w:kern w:val="0"/>
                <w:szCs w:val="21"/>
              </w:rPr>
              <w:t>-</w:t>
            </w:r>
          </w:p>
        </w:tc>
      </w:tr>
      <w:tr w:rsidR="002133E3" w14:paraId="1C32960F" w14:textId="77777777" w:rsidTr="009C2E4E">
        <w:trPr>
          <w:jc w:val="center"/>
        </w:trPr>
        <w:tc>
          <w:tcPr>
            <w:tcW w:w="675" w:type="dxa"/>
            <w:vAlign w:val="center"/>
          </w:tcPr>
          <w:p w14:paraId="429BD40A"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9</w:t>
            </w:r>
          </w:p>
        </w:tc>
        <w:tc>
          <w:tcPr>
            <w:tcW w:w="852" w:type="dxa"/>
            <w:vAlign w:val="center"/>
          </w:tcPr>
          <w:p w14:paraId="6F225800" w14:textId="77777777" w:rsidR="002133E3" w:rsidRDefault="00C22CFA"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尿素</w:t>
            </w:r>
          </w:p>
        </w:tc>
        <w:tc>
          <w:tcPr>
            <w:tcW w:w="6094" w:type="dxa"/>
            <w:vAlign w:val="center"/>
          </w:tcPr>
          <w:p w14:paraId="1396E613"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szCs w:val="21"/>
              </w:rPr>
              <w:t>外观：白色结晶或粉末，有氨的气味；分子量：</w:t>
            </w:r>
            <w:r>
              <w:rPr>
                <w:rFonts w:ascii="Times New Roman" w:eastAsia="宋体" w:hAnsi="Times New Roman" w:cs="Times New Roman"/>
                <w:szCs w:val="21"/>
              </w:rPr>
              <w:t>60.06</w:t>
            </w:r>
            <w:r>
              <w:rPr>
                <w:rFonts w:ascii="Times New Roman" w:eastAsia="宋体" w:hAnsi="Times New Roman" w:cs="Times New Roman"/>
                <w:szCs w:val="21"/>
              </w:rPr>
              <w:t>；熔点（</w:t>
            </w:r>
            <w:r>
              <w:rPr>
                <w:rFonts w:ascii="宋体" w:eastAsia="宋体" w:hAnsi="宋体" w:cs="宋体" w:hint="eastAsia"/>
                <w:szCs w:val="21"/>
              </w:rPr>
              <w:t>℃</w:t>
            </w:r>
            <w:r>
              <w:rPr>
                <w:rFonts w:ascii="Times New Roman" w:eastAsia="宋体" w:hAnsi="Times New Roman" w:cs="Times New Roman"/>
                <w:szCs w:val="21"/>
              </w:rPr>
              <w:t>）：</w:t>
            </w:r>
            <w:r>
              <w:rPr>
                <w:rFonts w:ascii="Times New Roman" w:eastAsia="宋体" w:hAnsi="Times New Roman" w:cs="Times New Roman"/>
                <w:szCs w:val="21"/>
              </w:rPr>
              <w:t>132.7</w:t>
            </w:r>
            <w:r>
              <w:rPr>
                <w:rFonts w:ascii="Times New Roman" w:eastAsia="宋体" w:hAnsi="Times New Roman" w:cs="Times New Roman"/>
                <w:szCs w:val="21"/>
              </w:rPr>
              <w:t>；相对密度：</w:t>
            </w:r>
            <w:r>
              <w:rPr>
                <w:rFonts w:ascii="Times New Roman" w:eastAsia="宋体" w:hAnsi="Times New Roman" w:cs="Times New Roman"/>
                <w:szCs w:val="21"/>
              </w:rPr>
              <w:t>1.335 (</w:t>
            </w:r>
            <w:r>
              <w:rPr>
                <w:rFonts w:ascii="Times New Roman" w:eastAsia="宋体" w:hAnsi="Times New Roman" w:cs="Times New Roman"/>
                <w:szCs w:val="21"/>
              </w:rPr>
              <w:t>水</w:t>
            </w:r>
            <w:r>
              <w:rPr>
                <w:rFonts w:ascii="Times New Roman" w:eastAsia="宋体" w:hAnsi="Times New Roman" w:cs="Times New Roman"/>
                <w:szCs w:val="21"/>
              </w:rPr>
              <w:t>=1)</w:t>
            </w:r>
            <w:r>
              <w:rPr>
                <w:rFonts w:ascii="Times New Roman" w:eastAsia="宋体" w:hAnsi="Times New Roman" w:cs="Times New Roman"/>
                <w:szCs w:val="21"/>
              </w:rPr>
              <w:t>；溶解性：溶于水、甲醇、乙醇，微溶于乙醚、氯仿、苯。</w:t>
            </w:r>
          </w:p>
        </w:tc>
        <w:tc>
          <w:tcPr>
            <w:tcW w:w="3402" w:type="dxa"/>
            <w:vAlign w:val="center"/>
          </w:tcPr>
          <w:p w14:paraId="1F0513F0"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szCs w:val="21"/>
              </w:rPr>
              <w:t>遇明火、高热可燃。与次氯酸钠、次氯酸钙反应生成有爆炸性的三氯化氮。受高热分解放出有毒的气体。</w:t>
            </w:r>
          </w:p>
        </w:tc>
        <w:tc>
          <w:tcPr>
            <w:tcW w:w="2268" w:type="dxa"/>
            <w:vAlign w:val="center"/>
          </w:tcPr>
          <w:p w14:paraId="20DA9809" w14:textId="77777777" w:rsidR="002133E3" w:rsidRDefault="00C22CFA"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szCs w:val="21"/>
              </w:rPr>
              <w:t>属微毒类，</w:t>
            </w:r>
            <w:r>
              <w:rPr>
                <w:rFonts w:ascii="Times New Roman" w:eastAsia="宋体" w:hAnsi="Times New Roman" w:cs="Times New Roman"/>
                <w:szCs w:val="21"/>
              </w:rPr>
              <w:t>LD</w:t>
            </w:r>
            <w:r>
              <w:rPr>
                <w:rFonts w:ascii="Times New Roman" w:eastAsia="宋体" w:hAnsi="Times New Roman" w:cs="Times New Roman"/>
                <w:szCs w:val="21"/>
                <w:vertAlign w:val="subscript"/>
              </w:rPr>
              <w:t>50</w:t>
            </w:r>
            <w:r>
              <w:rPr>
                <w:rFonts w:ascii="Times New Roman" w:eastAsia="宋体" w:hAnsi="Times New Roman" w:cs="Times New Roman"/>
                <w:szCs w:val="21"/>
              </w:rPr>
              <w:t>14300 mg/kg(</w:t>
            </w:r>
            <w:r>
              <w:rPr>
                <w:rFonts w:ascii="Times New Roman" w:eastAsia="宋体" w:hAnsi="Times New Roman" w:cs="Times New Roman"/>
                <w:szCs w:val="21"/>
              </w:rPr>
              <w:t>大鼠经口</w:t>
            </w:r>
            <w:r>
              <w:rPr>
                <w:rFonts w:ascii="Times New Roman" w:eastAsia="宋体" w:hAnsi="Times New Roman" w:cs="Times New Roman"/>
                <w:szCs w:val="21"/>
              </w:rPr>
              <w:t>)</w:t>
            </w:r>
          </w:p>
        </w:tc>
        <w:tc>
          <w:tcPr>
            <w:tcW w:w="927" w:type="dxa"/>
            <w:vAlign w:val="center"/>
          </w:tcPr>
          <w:p w14:paraId="7D074D6F" w14:textId="77777777" w:rsidR="002133E3" w:rsidRDefault="002133E3">
            <w:pPr>
              <w:widowControl/>
              <w:snapToGrid w:val="0"/>
              <w:jc w:val="left"/>
              <w:rPr>
                <w:rFonts w:ascii="Times New Roman" w:eastAsia="宋体" w:hAnsi="Times New Roman" w:cs="Times New Roman"/>
                <w:bCs/>
                <w:kern w:val="0"/>
                <w:szCs w:val="21"/>
              </w:rPr>
            </w:pPr>
          </w:p>
        </w:tc>
      </w:tr>
      <w:tr w:rsidR="002133E3" w14:paraId="3946D4E8" w14:textId="77777777" w:rsidTr="009C2E4E">
        <w:trPr>
          <w:jc w:val="center"/>
        </w:trPr>
        <w:tc>
          <w:tcPr>
            <w:tcW w:w="675" w:type="dxa"/>
            <w:vAlign w:val="center"/>
          </w:tcPr>
          <w:p w14:paraId="5BB3854E" w14:textId="77777777" w:rsidR="002133E3" w:rsidRDefault="00C22CFA"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10</w:t>
            </w:r>
          </w:p>
        </w:tc>
        <w:tc>
          <w:tcPr>
            <w:tcW w:w="852" w:type="dxa"/>
            <w:vAlign w:val="center"/>
          </w:tcPr>
          <w:p w14:paraId="110DE299" w14:textId="77777777" w:rsidR="002133E3" w:rsidRDefault="00C22CFA"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硫酸</w:t>
            </w:r>
          </w:p>
        </w:tc>
        <w:tc>
          <w:tcPr>
            <w:tcW w:w="6094" w:type="dxa"/>
            <w:vAlign w:val="center"/>
          </w:tcPr>
          <w:p w14:paraId="5CBAB237"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szCs w:val="21"/>
              </w:rPr>
              <w:t>外观：纯品为无色透明油状液体，无臭；分子量：</w:t>
            </w:r>
            <w:r>
              <w:rPr>
                <w:rFonts w:ascii="Times New Roman" w:eastAsia="宋体" w:hAnsi="Times New Roman" w:cs="Times New Roman"/>
                <w:szCs w:val="21"/>
              </w:rPr>
              <w:t>98.08</w:t>
            </w:r>
            <w:r>
              <w:rPr>
                <w:rFonts w:ascii="Times New Roman" w:eastAsia="宋体" w:hAnsi="Times New Roman" w:cs="Times New Roman"/>
                <w:szCs w:val="21"/>
              </w:rPr>
              <w:t>；熔点（</w:t>
            </w:r>
            <w:r>
              <w:rPr>
                <w:rFonts w:ascii="宋体" w:eastAsia="宋体" w:hAnsi="宋体" w:cs="宋体" w:hint="eastAsia"/>
                <w:szCs w:val="21"/>
              </w:rPr>
              <w:t>℃</w:t>
            </w:r>
            <w:r>
              <w:rPr>
                <w:rFonts w:ascii="Times New Roman" w:eastAsia="宋体" w:hAnsi="Times New Roman" w:cs="Times New Roman"/>
                <w:szCs w:val="21"/>
              </w:rPr>
              <w:t>）：</w:t>
            </w:r>
            <w:r>
              <w:rPr>
                <w:rFonts w:ascii="Times New Roman" w:eastAsia="宋体" w:hAnsi="Times New Roman" w:cs="Times New Roman"/>
                <w:szCs w:val="21"/>
              </w:rPr>
              <w:t>10.5</w:t>
            </w:r>
            <w:r>
              <w:rPr>
                <w:rFonts w:ascii="Times New Roman" w:eastAsia="宋体" w:hAnsi="Times New Roman" w:cs="Times New Roman"/>
                <w:szCs w:val="21"/>
              </w:rPr>
              <w:t>；沸点（</w:t>
            </w:r>
            <w:r>
              <w:rPr>
                <w:rFonts w:ascii="宋体" w:eastAsia="宋体" w:hAnsi="宋体" w:cs="宋体" w:hint="eastAsia"/>
                <w:szCs w:val="21"/>
              </w:rPr>
              <w:t>℃</w:t>
            </w:r>
            <w:r>
              <w:rPr>
                <w:rFonts w:ascii="Times New Roman" w:eastAsia="宋体" w:hAnsi="Times New Roman" w:cs="Times New Roman"/>
                <w:szCs w:val="21"/>
              </w:rPr>
              <w:t>）：</w:t>
            </w:r>
            <w:r>
              <w:rPr>
                <w:rFonts w:ascii="Times New Roman" w:eastAsia="宋体" w:hAnsi="Times New Roman" w:cs="Times New Roman"/>
                <w:szCs w:val="21"/>
              </w:rPr>
              <w:t>330.0</w:t>
            </w:r>
            <w:r>
              <w:rPr>
                <w:rFonts w:ascii="Times New Roman" w:eastAsia="宋体" w:hAnsi="Times New Roman" w:cs="Times New Roman"/>
                <w:szCs w:val="21"/>
              </w:rPr>
              <w:t>；相对密度：</w:t>
            </w:r>
            <w:r>
              <w:rPr>
                <w:rFonts w:ascii="Times New Roman" w:eastAsia="宋体" w:hAnsi="Times New Roman" w:cs="Times New Roman"/>
                <w:szCs w:val="21"/>
              </w:rPr>
              <w:t>1.83 (</w:t>
            </w:r>
            <w:r>
              <w:rPr>
                <w:rFonts w:ascii="Times New Roman" w:eastAsia="宋体" w:hAnsi="Times New Roman" w:cs="Times New Roman"/>
                <w:szCs w:val="21"/>
              </w:rPr>
              <w:t>水</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t>3.4 (</w:t>
            </w:r>
            <w:r>
              <w:rPr>
                <w:rFonts w:ascii="Times New Roman" w:eastAsia="宋体" w:hAnsi="Times New Roman" w:cs="Times New Roman"/>
                <w:szCs w:val="21"/>
              </w:rPr>
              <w:t>空气</w:t>
            </w:r>
            <w:r>
              <w:rPr>
                <w:rFonts w:ascii="Times New Roman" w:eastAsia="宋体" w:hAnsi="Times New Roman" w:cs="Times New Roman"/>
                <w:szCs w:val="21"/>
              </w:rPr>
              <w:t>=1)</w:t>
            </w:r>
            <w:r>
              <w:rPr>
                <w:rFonts w:ascii="Times New Roman" w:eastAsia="宋体" w:hAnsi="Times New Roman" w:cs="Times New Roman"/>
                <w:szCs w:val="21"/>
              </w:rPr>
              <w:t>；饱和蒸汽压（</w:t>
            </w:r>
            <w:r>
              <w:rPr>
                <w:rFonts w:ascii="Times New Roman" w:eastAsia="宋体" w:hAnsi="Times New Roman" w:cs="Times New Roman"/>
                <w:szCs w:val="21"/>
              </w:rPr>
              <w:t>kPa</w:t>
            </w:r>
            <w:r>
              <w:rPr>
                <w:rFonts w:ascii="Times New Roman" w:eastAsia="宋体" w:hAnsi="Times New Roman" w:cs="Times New Roman"/>
                <w:szCs w:val="21"/>
              </w:rPr>
              <w:t>）：</w:t>
            </w:r>
            <w:r>
              <w:rPr>
                <w:rFonts w:ascii="Times New Roman" w:eastAsia="宋体" w:hAnsi="Times New Roman" w:cs="Times New Roman"/>
                <w:szCs w:val="21"/>
              </w:rPr>
              <w:t>0.13</w:t>
            </w:r>
            <w:r>
              <w:rPr>
                <w:rFonts w:ascii="Times New Roman" w:eastAsia="宋体" w:hAnsi="Times New Roman" w:cs="Times New Roman"/>
                <w:szCs w:val="21"/>
              </w:rPr>
              <w:t>（</w:t>
            </w:r>
            <w:r>
              <w:rPr>
                <w:rFonts w:ascii="Times New Roman" w:eastAsia="宋体" w:hAnsi="Times New Roman" w:cs="Times New Roman"/>
                <w:szCs w:val="21"/>
              </w:rPr>
              <w:t>145.8</w:t>
            </w:r>
            <w:r>
              <w:rPr>
                <w:rFonts w:ascii="宋体" w:eastAsia="宋体" w:hAnsi="宋体" w:cs="宋体" w:hint="eastAsia"/>
                <w:szCs w:val="21"/>
              </w:rPr>
              <w:t>℃</w:t>
            </w:r>
            <w:r>
              <w:rPr>
                <w:rFonts w:ascii="Times New Roman" w:eastAsia="宋体" w:hAnsi="Times New Roman" w:cs="Times New Roman"/>
                <w:szCs w:val="21"/>
              </w:rPr>
              <w:t>）；溶解性：与水混溶。</w:t>
            </w:r>
          </w:p>
        </w:tc>
        <w:tc>
          <w:tcPr>
            <w:tcW w:w="3402" w:type="dxa"/>
            <w:vAlign w:val="center"/>
          </w:tcPr>
          <w:p w14:paraId="0153CF63" w14:textId="77777777" w:rsidR="002133E3" w:rsidRDefault="00C22CFA">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szCs w:val="21"/>
              </w:rPr>
              <w:t>遇水大量放热</w:t>
            </w:r>
            <w:r>
              <w:rPr>
                <w:rFonts w:ascii="Times New Roman" w:eastAsia="宋体" w:hAnsi="Times New Roman" w:cs="Times New Roman"/>
                <w:szCs w:val="21"/>
              </w:rPr>
              <w:t xml:space="preserve">, </w:t>
            </w:r>
            <w:r>
              <w:rPr>
                <w:rFonts w:ascii="Times New Roman" w:eastAsia="宋体" w:hAnsi="Times New Roman" w:cs="Times New Roman"/>
                <w:szCs w:val="21"/>
              </w:rPr>
              <w:t>可发生沸溅。与易燃物（如苯）和可燃物（如糖、纤维素等）接触会发生剧烈反应，甚至引起燃烧。遇电石、高氯酸盐、雷酸盐、硝酸盐、苦味酸盐、金属粉末等猛烈反应，发生爆炸或燃烧。有强烈的腐蚀性和吸水性。</w:t>
            </w:r>
          </w:p>
        </w:tc>
        <w:tc>
          <w:tcPr>
            <w:tcW w:w="2268" w:type="dxa"/>
            <w:vAlign w:val="center"/>
          </w:tcPr>
          <w:p w14:paraId="0747AF8F" w14:textId="77777777" w:rsidR="002133E3" w:rsidRDefault="00C22CFA"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szCs w:val="21"/>
              </w:rPr>
              <w:t>属中等毒性，</w:t>
            </w:r>
            <w:r>
              <w:rPr>
                <w:rFonts w:ascii="Times New Roman" w:eastAsia="宋体" w:hAnsi="Times New Roman" w:cs="Times New Roman"/>
                <w:szCs w:val="21"/>
              </w:rPr>
              <w:t>LD</w:t>
            </w:r>
            <w:r>
              <w:rPr>
                <w:rFonts w:ascii="Times New Roman" w:eastAsia="宋体" w:hAnsi="Times New Roman" w:cs="Times New Roman"/>
                <w:szCs w:val="21"/>
                <w:vertAlign w:val="subscript"/>
              </w:rPr>
              <w:t>50</w:t>
            </w:r>
            <w:r>
              <w:rPr>
                <w:rFonts w:ascii="Times New Roman" w:eastAsia="宋体" w:hAnsi="Times New Roman" w:cs="Times New Roman"/>
                <w:szCs w:val="21"/>
              </w:rPr>
              <w:t>80mg/kg(</w:t>
            </w:r>
            <w:r>
              <w:rPr>
                <w:rFonts w:ascii="Times New Roman" w:eastAsia="宋体" w:hAnsi="Times New Roman" w:cs="Times New Roman"/>
                <w:szCs w:val="21"/>
              </w:rPr>
              <w:t>大鼠经口</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LC</w:t>
            </w:r>
            <w:r>
              <w:rPr>
                <w:rFonts w:ascii="Times New Roman" w:eastAsia="宋体" w:hAnsi="Times New Roman" w:cs="Times New Roman"/>
                <w:szCs w:val="21"/>
                <w:vertAlign w:val="subscript"/>
              </w:rPr>
              <w:t>50</w:t>
            </w:r>
            <w:r>
              <w:rPr>
                <w:rFonts w:ascii="Times New Roman" w:eastAsia="宋体" w:hAnsi="Times New Roman" w:cs="Times New Roman"/>
                <w:szCs w:val="21"/>
              </w:rPr>
              <w:t>510mg/m</w:t>
            </w:r>
            <w:r>
              <w:rPr>
                <w:rFonts w:ascii="Times New Roman" w:eastAsia="宋体" w:hAnsi="Times New Roman" w:cs="Times New Roman"/>
                <w:szCs w:val="21"/>
                <w:vertAlign w:val="superscript"/>
              </w:rPr>
              <w:t>3</w:t>
            </w: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小时</w:t>
            </w:r>
            <w:r>
              <w:rPr>
                <w:rFonts w:ascii="Times New Roman" w:eastAsia="宋体" w:hAnsi="Times New Roman" w:cs="Times New Roman"/>
                <w:szCs w:val="21"/>
              </w:rPr>
              <w:t>(</w:t>
            </w:r>
            <w:r>
              <w:rPr>
                <w:rFonts w:ascii="Times New Roman" w:eastAsia="宋体" w:hAnsi="Times New Roman" w:cs="Times New Roman"/>
                <w:szCs w:val="21"/>
              </w:rPr>
              <w:t>大鼠吸入</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320mg/m</w:t>
            </w:r>
            <w:r>
              <w:rPr>
                <w:rFonts w:ascii="Times New Roman" w:eastAsia="宋体" w:hAnsi="Times New Roman" w:cs="Times New Roman"/>
                <w:szCs w:val="21"/>
                <w:vertAlign w:val="superscript"/>
              </w:rPr>
              <w:t>3</w:t>
            </w: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小时</w:t>
            </w:r>
            <w:r>
              <w:rPr>
                <w:rFonts w:ascii="Times New Roman" w:eastAsia="宋体" w:hAnsi="Times New Roman" w:cs="Times New Roman"/>
                <w:szCs w:val="21"/>
              </w:rPr>
              <w:t>(</w:t>
            </w:r>
            <w:r>
              <w:rPr>
                <w:rFonts w:ascii="Times New Roman" w:eastAsia="宋体" w:hAnsi="Times New Roman" w:cs="Times New Roman"/>
                <w:szCs w:val="21"/>
              </w:rPr>
              <w:t>小鼠吸入</w:t>
            </w:r>
            <w:r>
              <w:rPr>
                <w:rFonts w:ascii="Times New Roman" w:eastAsia="宋体" w:hAnsi="Times New Roman" w:cs="Times New Roman"/>
                <w:szCs w:val="21"/>
              </w:rPr>
              <w:t>)</w:t>
            </w:r>
          </w:p>
        </w:tc>
        <w:tc>
          <w:tcPr>
            <w:tcW w:w="927" w:type="dxa"/>
            <w:vAlign w:val="center"/>
          </w:tcPr>
          <w:p w14:paraId="6426A2F7" w14:textId="77777777" w:rsidR="002133E3" w:rsidRDefault="002133E3">
            <w:pPr>
              <w:widowControl/>
              <w:snapToGrid w:val="0"/>
              <w:jc w:val="left"/>
              <w:rPr>
                <w:rFonts w:ascii="Times New Roman" w:eastAsia="宋体" w:hAnsi="Times New Roman" w:cs="Times New Roman"/>
                <w:bCs/>
                <w:kern w:val="0"/>
                <w:szCs w:val="21"/>
              </w:rPr>
            </w:pPr>
          </w:p>
        </w:tc>
      </w:tr>
      <w:tr w:rsidR="009C2E4E" w14:paraId="5C53C56D" w14:textId="77777777" w:rsidTr="009C2E4E">
        <w:trPr>
          <w:jc w:val="center"/>
        </w:trPr>
        <w:tc>
          <w:tcPr>
            <w:tcW w:w="675" w:type="dxa"/>
            <w:vAlign w:val="center"/>
          </w:tcPr>
          <w:p w14:paraId="6D628B1D" w14:textId="77777777" w:rsidR="009C2E4E" w:rsidRDefault="009C2E4E"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11</w:t>
            </w:r>
          </w:p>
        </w:tc>
        <w:tc>
          <w:tcPr>
            <w:tcW w:w="852" w:type="dxa"/>
            <w:vAlign w:val="center"/>
          </w:tcPr>
          <w:p w14:paraId="787FD8A2" w14:textId="43D3FB0D" w:rsidR="009C2E4E" w:rsidRDefault="009C2E4E"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干酵母</w:t>
            </w:r>
          </w:p>
        </w:tc>
        <w:tc>
          <w:tcPr>
            <w:tcW w:w="6094" w:type="dxa"/>
            <w:vAlign w:val="center"/>
          </w:tcPr>
          <w:p w14:paraId="5BA6BDDB" w14:textId="365300CF" w:rsidR="009C2E4E" w:rsidRDefault="009C2E4E" w:rsidP="009C2E4E">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酵母菌是一类单细胞的真核微生物的通俗名称。活性干酵母是以固体形式存在，而不失去活性的酵母细胞产品。活性干酵母有两个基本特征：一是常温下长期贮存而不失去活性，二是将活性干酵母在一定条件下复水活化后，即恢复成自然状态并具有正常酵母活性的细胞。活性干酵母具有性能稳定、易于运输等优点，被广泛地应用于酿酒领域，具有提高发酵的安全性和稳定性、提高出酒率、节能降耗等优点。</w:t>
            </w:r>
          </w:p>
        </w:tc>
        <w:tc>
          <w:tcPr>
            <w:tcW w:w="3402" w:type="dxa"/>
            <w:vAlign w:val="center"/>
          </w:tcPr>
          <w:p w14:paraId="26CE4FE7" w14:textId="2952CBEF" w:rsidR="009C2E4E" w:rsidRDefault="009C2E4E" w:rsidP="009C2E4E">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2268" w:type="dxa"/>
            <w:vAlign w:val="center"/>
          </w:tcPr>
          <w:p w14:paraId="53DC267C" w14:textId="68665548" w:rsidR="009C2E4E" w:rsidRDefault="009C2E4E"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927" w:type="dxa"/>
            <w:vAlign w:val="center"/>
          </w:tcPr>
          <w:p w14:paraId="3FBD4D85" w14:textId="38E2939B" w:rsidR="009C2E4E" w:rsidRDefault="009C2E4E" w:rsidP="009C2E4E">
            <w:pPr>
              <w:widowControl/>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r w:rsidR="009C2E4E" w14:paraId="77E7DE4D" w14:textId="77777777" w:rsidTr="009C2E4E">
        <w:trPr>
          <w:jc w:val="center"/>
        </w:trPr>
        <w:tc>
          <w:tcPr>
            <w:tcW w:w="675" w:type="dxa"/>
            <w:vAlign w:val="center"/>
          </w:tcPr>
          <w:p w14:paraId="14C9C5D6" w14:textId="77777777" w:rsidR="009C2E4E" w:rsidRDefault="009C2E4E"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12</w:t>
            </w:r>
          </w:p>
        </w:tc>
        <w:tc>
          <w:tcPr>
            <w:tcW w:w="852" w:type="dxa"/>
            <w:vAlign w:val="center"/>
          </w:tcPr>
          <w:p w14:paraId="1BB7510D" w14:textId="67458317" w:rsidR="009C2E4E" w:rsidRDefault="009C2E4E"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磷酸一铵</w:t>
            </w:r>
          </w:p>
        </w:tc>
        <w:tc>
          <w:tcPr>
            <w:tcW w:w="6094" w:type="dxa"/>
            <w:vAlign w:val="center"/>
          </w:tcPr>
          <w:p w14:paraId="62AD1CF0" w14:textId="70C2E4C4" w:rsidR="009C2E4E" w:rsidRDefault="009C2E4E" w:rsidP="009C2E4E">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szCs w:val="21"/>
                <w:shd w:val="clear" w:color="auto" w:fill="FFFFFF"/>
              </w:rPr>
              <w:t>白色结晶性粉末。在空气中稳定。微溶于</w:t>
            </w:r>
            <w:hyperlink r:id="rId53" w:tgtFrame="_blank" w:history="1">
              <w:r>
                <w:rPr>
                  <w:rStyle w:val="affff0"/>
                  <w:rFonts w:ascii="Times New Roman" w:eastAsia="宋体" w:hAnsi="Times New Roman" w:cs="Times New Roman"/>
                  <w:color w:val="auto"/>
                  <w:szCs w:val="21"/>
                  <w:u w:val="none"/>
                  <w:shd w:val="clear" w:color="auto" w:fill="FFFFFF"/>
                </w:rPr>
                <w:t>乙醇</w:t>
              </w:r>
            </w:hyperlink>
            <w:r>
              <w:rPr>
                <w:rFonts w:ascii="Times New Roman" w:eastAsia="宋体" w:hAnsi="Times New Roman" w:cs="Times New Roman"/>
                <w:szCs w:val="21"/>
                <w:shd w:val="clear" w:color="auto" w:fill="FFFFFF"/>
              </w:rPr>
              <w:t>，不溶于</w:t>
            </w:r>
            <w:hyperlink r:id="rId54" w:tgtFrame="_blank" w:history="1">
              <w:r>
                <w:rPr>
                  <w:rStyle w:val="affff0"/>
                  <w:rFonts w:ascii="Times New Roman" w:eastAsia="宋体" w:hAnsi="Times New Roman" w:cs="Times New Roman"/>
                  <w:color w:val="auto"/>
                  <w:szCs w:val="21"/>
                  <w:u w:val="none"/>
                  <w:shd w:val="clear" w:color="auto" w:fill="FFFFFF"/>
                </w:rPr>
                <w:t>丙酮</w:t>
              </w:r>
            </w:hyperlink>
            <w:r>
              <w:rPr>
                <w:rFonts w:ascii="Times New Roman" w:eastAsia="宋体" w:hAnsi="Times New Roman" w:cs="Times New Roman"/>
                <w:szCs w:val="21"/>
                <w:shd w:val="clear" w:color="auto" w:fill="FFFFFF"/>
              </w:rPr>
              <w:t>。水溶液呈酸性。常温下</w:t>
            </w:r>
            <w:r>
              <w:rPr>
                <w:rFonts w:ascii="Times New Roman" w:eastAsia="宋体" w:hAnsi="Times New Roman" w:cs="Times New Roman"/>
                <w:szCs w:val="21"/>
                <w:shd w:val="clear" w:color="auto" w:fill="FFFFFF"/>
              </w:rPr>
              <w:t>( 20</w:t>
            </w:r>
            <w:r>
              <w:rPr>
                <w:rFonts w:ascii="宋体" w:eastAsia="宋体" w:hAnsi="宋体" w:cs="宋体" w:hint="eastAsia"/>
                <w:szCs w:val="21"/>
                <w:shd w:val="clear" w:color="auto" w:fill="FFFFFF"/>
              </w:rPr>
              <w:t>℃</w:t>
            </w:r>
            <w:r>
              <w:rPr>
                <w:rFonts w:ascii="Times New Roman" w:eastAsia="宋体" w:hAnsi="Times New Roman" w:cs="Times New Roman"/>
                <w:szCs w:val="21"/>
                <w:shd w:val="clear" w:color="auto" w:fill="FFFFFF"/>
              </w:rPr>
              <w:t>)</w:t>
            </w:r>
            <w:r>
              <w:rPr>
                <w:rFonts w:ascii="Times New Roman" w:eastAsia="宋体" w:hAnsi="Times New Roman" w:cs="Times New Roman"/>
                <w:szCs w:val="21"/>
                <w:shd w:val="clear" w:color="auto" w:fill="FFFFFF"/>
              </w:rPr>
              <w:t>在水中的溶解度为</w:t>
            </w:r>
            <w:r>
              <w:rPr>
                <w:rFonts w:ascii="Times New Roman" w:eastAsia="宋体" w:hAnsi="Times New Roman" w:cs="Times New Roman"/>
                <w:szCs w:val="21"/>
                <w:shd w:val="clear" w:color="auto" w:fill="FFFFFF"/>
              </w:rPr>
              <w:t>37.4g</w:t>
            </w:r>
            <w:r>
              <w:rPr>
                <w:rFonts w:ascii="Times New Roman" w:eastAsia="宋体" w:hAnsi="Times New Roman" w:cs="Times New Roman"/>
                <w:szCs w:val="21"/>
                <w:shd w:val="clear" w:color="auto" w:fill="FFFFFF"/>
              </w:rPr>
              <w:t>。相对密度</w:t>
            </w:r>
            <w:r>
              <w:rPr>
                <w:rFonts w:ascii="Times New Roman" w:eastAsia="宋体" w:hAnsi="Times New Roman" w:cs="Times New Roman"/>
                <w:szCs w:val="21"/>
                <w:shd w:val="clear" w:color="auto" w:fill="FFFFFF"/>
              </w:rPr>
              <w:t>1.80</w:t>
            </w:r>
            <w:r>
              <w:rPr>
                <w:rFonts w:ascii="Times New Roman" w:eastAsia="宋体" w:hAnsi="Times New Roman" w:cs="Times New Roman"/>
                <w:szCs w:val="21"/>
                <w:shd w:val="clear" w:color="auto" w:fill="FFFFFF"/>
              </w:rPr>
              <w:t>。熔点</w:t>
            </w:r>
            <w:r>
              <w:rPr>
                <w:rFonts w:ascii="Times New Roman" w:eastAsia="宋体" w:hAnsi="Times New Roman" w:cs="Times New Roman"/>
                <w:szCs w:val="21"/>
                <w:shd w:val="clear" w:color="auto" w:fill="FFFFFF"/>
              </w:rPr>
              <w:t>180</w:t>
            </w:r>
            <w:r>
              <w:rPr>
                <w:rFonts w:ascii="宋体" w:eastAsia="宋体" w:hAnsi="宋体" w:cs="宋体" w:hint="eastAsia"/>
                <w:szCs w:val="21"/>
                <w:shd w:val="clear" w:color="auto" w:fill="FFFFFF"/>
              </w:rPr>
              <w:t>℃</w:t>
            </w:r>
            <w:r>
              <w:rPr>
                <w:rFonts w:ascii="Times New Roman" w:eastAsia="宋体" w:hAnsi="Times New Roman" w:cs="Times New Roman"/>
                <w:szCs w:val="21"/>
                <w:shd w:val="clear" w:color="auto" w:fill="FFFFFF"/>
              </w:rPr>
              <w:t>。折光率</w:t>
            </w:r>
            <w:r>
              <w:rPr>
                <w:rFonts w:ascii="Times New Roman" w:eastAsia="宋体" w:hAnsi="Times New Roman" w:cs="Times New Roman"/>
                <w:szCs w:val="21"/>
                <w:shd w:val="clear" w:color="auto" w:fill="FFFFFF"/>
              </w:rPr>
              <w:t>1.525</w:t>
            </w:r>
            <w:r>
              <w:rPr>
                <w:rFonts w:ascii="Times New Roman" w:eastAsia="宋体" w:hAnsi="Times New Roman" w:cs="Times New Roman"/>
                <w:szCs w:val="21"/>
                <w:shd w:val="clear" w:color="auto" w:fill="FFFFFF"/>
              </w:rPr>
              <w:t>。</w:t>
            </w:r>
          </w:p>
        </w:tc>
        <w:tc>
          <w:tcPr>
            <w:tcW w:w="3402" w:type="dxa"/>
            <w:vAlign w:val="center"/>
          </w:tcPr>
          <w:p w14:paraId="263C0C64" w14:textId="7FCF241E" w:rsidR="009C2E4E" w:rsidRDefault="009C2E4E" w:rsidP="009C2E4E">
            <w:pPr>
              <w:widowControl/>
              <w:tabs>
                <w:tab w:val="left" w:pos="1733"/>
              </w:tabs>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2268" w:type="dxa"/>
            <w:vAlign w:val="center"/>
          </w:tcPr>
          <w:p w14:paraId="68B40CB3" w14:textId="48A988E9" w:rsidR="009C2E4E" w:rsidRDefault="009C2E4E" w:rsidP="009C2E4E">
            <w:pPr>
              <w:widowControl/>
              <w:tabs>
                <w:tab w:val="left" w:pos="1733"/>
              </w:tabs>
              <w:snapToGrid w:val="0"/>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c>
          <w:tcPr>
            <w:tcW w:w="927" w:type="dxa"/>
            <w:vAlign w:val="center"/>
          </w:tcPr>
          <w:p w14:paraId="5E582DF4" w14:textId="2AF62FC8" w:rsidR="009C2E4E" w:rsidRDefault="009C2E4E" w:rsidP="009C2E4E">
            <w:pPr>
              <w:widowControl/>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r w:rsidR="009C2E4E" w14:paraId="1DB1FDF8" w14:textId="77777777" w:rsidTr="009C2E4E">
        <w:trPr>
          <w:jc w:val="center"/>
        </w:trPr>
        <w:tc>
          <w:tcPr>
            <w:tcW w:w="675" w:type="dxa"/>
            <w:vAlign w:val="center"/>
          </w:tcPr>
          <w:p w14:paraId="1548290F" w14:textId="77777777" w:rsidR="009C2E4E" w:rsidRDefault="009C2E4E" w:rsidP="009C2E4E">
            <w:pPr>
              <w:widowControl/>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13</w:t>
            </w:r>
          </w:p>
        </w:tc>
        <w:tc>
          <w:tcPr>
            <w:tcW w:w="852" w:type="dxa"/>
            <w:vAlign w:val="center"/>
          </w:tcPr>
          <w:p w14:paraId="0C5BEC4F" w14:textId="4193DD07" w:rsidR="009C2E4E" w:rsidRDefault="009C2E4E" w:rsidP="009C2E4E">
            <w:pPr>
              <w:widowControl/>
              <w:tabs>
                <w:tab w:val="left" w:pos="1733"/>
              </w:tabs>
              <w:snapToGrid w:val="0"/>
              <w:jc w:val="center"/>
              <w:rPr>
                <w:rFonts w:ascii="Times New Roman" w:eastAsia="宋体" w:hAnsi="Times New Roman" w:cs="Times New Roman"/>
                <w:bCs/>
                <w:kern w:val="0"/>
                <w:szCs w:val="21"/>
              </w:rPr>
            </w:pPr>
            <w:r>
              <w:rPr>
                <w:rFonts w:ascii="Times New Roman" w:eastAsia="宋体" w:hAnsi="Times New Roman" w:cs="Times New Roman"/>
                <w:kern w:val="0"/>
                <w:szCs w:val="21"/>
              </w:rPr>
              <w:t>片碱</w:t>
            </w:r>
          </w:p>
        </w:tc>
        <w:tc>
          <w:tcPr>
            <w:tcW w:w="6094" w:type="dxa"/>
            <w:vAlign w:val="center"/>
          </w:tcPr>
          <w:p w14:paraId="3D854D98" w14:textId="6093396C" w:rsidR="009C2E4E" w:rsidRDefault="009C2E4E" w:rsidP="009C2E4E">
            <w:pPr>
              <w:widowControl/>
              <w:snapToGrid w:val="0"/>
              <w:jc w:val="left"/>
              <w:rPr>
                <w:rFonts w:ascii="Times New Roman" w:eastAsia="宋体" w:hAnsi="Times New Roman" w:cs="Times New Roman"/>
                <w:bCs/>
                <w:kern w:val="0"/>
                <w:szCs w:val="21"/>
              </w:rPr>
            </w:pPr>
            <w:r>
              <w:rPr>
                <w:rFonts w:ascii="Times New Roman" w:eastAsia="宋体" w:hAnsi="Times New Roman" w:cs="Times New Roman"/>
                <w:szCs w:val="21"/>
                <w:shd w:val="clear" w:color="auto" w:fill="FFFFFF"/>
              </w:rPr>
              <w:t>氢氧化钠具有强碱性和有很强的</w:t>
            </w:r>
            <w:hyperlink r:id="rId55" w:tgtFrame="_blank" w:history="1">
              <w:r>
                <w:rPr>
                  <w:rStyle w:val="affff0"/>
                  <w:rFonts w:ascii="Times New Roman" w:eastAsia="宋体" w:hAnsi="Times New Roman" w:cs="Times New Roman"/>
                  <w:color w:val="auto"/>
                  <w:szCs w:val="21"/>
                  <w:u w:val="none"/>
                  <w:shd w:val="clear" w:color="auto" w:fill="FFFFFF"/>
                </w:rPr>
                <w:t>吸湿性</w:t>
              </w:r>
            </w:hyperlink>
            <w:r>
              <w:rPr>
                <w:rFonts w:ascii="Times New Roman" w:eastAsia="宋体" w:hAnsi="Times New Roman" w:cs="Times New Roman"/>
                <w:szCs w:val="21"/>
                <w:shd w:val="clear" w:color="auto" w:fill="FFFFFF"/>
              </w:rPr>
              <w:t>。易溶于水，溶解时放热，水溶液呈碱性，有滑腻感；腐蚀性极强，对纤维、皮肤、玻璃、陶瓷等有腐蚀作用。与金属</w:t>
            </w:r>
            <w:hyperlink r:id="rId56" w:tgtFrame="_blank" w:history="1">
              <w:r>
                <w:rPr>
                  <w:rStyle w:val="affff0"/>
                  <w:rFonts w:ascii="Times New Roman" w:eastAsia="宋体" w:hAnsi="Times New Roman" w:cs="Times New Roman"/>
                  <w:color w:val="auto"/>
                  <w:szCs w:val="21"/>
                  <w:u w:val="none"/>
                  <w:shd w:val="clear" w:color="auto" w:fill="FFFFFF"/>
                </w:rPr>
                <w:t>铝</w:t>
              </w:r>
            </w:hyperlink>
            <w:r>
              <w:rPr>
                <w:rFonts w:ascii="Times New Roman" w:eastAsia="宋体" w:hAnsi="Times New Roman" w:cs="Times New Roman"/>
                <w:szCs w:val="21"/>
                <w:shd w:val="clear" w:color="auto" w:fill="FFFFFF"/>
              </w:rPr>
              <w:t>和</w:t>
            </w:r>
            <w:hyperlink r:id="rId57" w:tgtFrame="_blank" w:history="1">
              <w:r>
                <w:rPr>
                  <w:rStyle w:val="affff0"/>
                  <w:rFonts w:ascii="Times New Roman" w:eastAsia="宋体" w:hAnsi="Times New Roman" w:cs="Times New Roman"/>
                  <w:color w:val="auto"/>
                  <w:szCs w:val="21"/>
                  <w:u w:val="none"/>
                  <w:shd w:val="clear" w:color="auto" w:fill="FFFFFF"/>
                </w:rPr>
                <w:t>锌</w:t>
              </w:r>
            </w:hyperlink>
            <w:r>
              <w:rPr>
                <w:rFonts w:ascii="Times New Roman" w:eastAsia="宋体" w:hAnsi="Times New Roman" w:cs="Times New Roman"/>
                <w:szCs w:val="21"/>
                <w:shd w:val="clear" w:color="auto" w:fill="FFFFFF"/>
              </w:rPr>
              <w:t>、非金属</w:t>
            </w:r>
            <w:hyperlink r:id="rId58" w:tgtFrame="_blank" w:history="1">
              <w:r>
                <w:rPr>
                  <w:rStyle w:val="affff0"/>
                  <w:rFonts w:ascii="Times New Roman" w:eastAsia="宋体" w:hAnsi="Times New Roman" w:cs="Times New Roman"/>
                  <w:color w:val="auto"/>
                  <w:szCs w:val="21"/>
                  <w:u w:val="none"/>
                  <w:shd w:val="clear" w:color="auto" w:fill="FFFFFF"/>
                </w:rPr>
                <w:t>硼</w:t>
              </w:r>
            </w:hyperlink>
            <w:r>
              <w:rPr>
                <w:rFonts w:ascii="Times New Roman" w:eastAsia="宋体" w:hAnsi="Times New Roman" w:cs="Times New Roman"/>
                <w:szCs w:val="21"/>
                <w:shd w:val="clear" w:color="auto" w:fill="FFFFFF"/>
              </w:rPr>
              <w:t>和</w:t>
            </w:r>
            <w:hyperlink r:id="rId59" w:tgtFrame="_blank" w:history="1">
              <w:r>
                <w:rPr>
                  <w:rStyle w:val="affff0"/>
                  <w:rFonts w:ascii="Times New Roman" w:eastAsia="宋体" w:hAnsi="Times New Roman" w:cs="Times New Roman"/>
                  <w:color w:val="auto"/>
                  <w:szCs w:val="21"/>
                  <w:u w:val="none"/>
                  <w:shd w:val="clear" w:color="auto" w:fill="FFFFFF"/>
                </w:rPr>
                <w:t>硅</w:t>
              </w:r>
            </w:hyperlink>
            <w:r>
              <w:rPr>
                <w:rFonts w:ascii="Times New Roman" w:eastAsia="宋体" w:hAnsi="Times New Roman" w:cs="Times New Roman"/>
                <w:szCs w:val="21"/>
                <w:shd w:val="clear" w:color="auto" w:fill="FFFFFF"/>
              </w:rPr>
              <w:t>等反应放出氢；与</w:t>
            </w:r>
            <w:hyperlink r:id="rId60" w:tgtFrame="_blank" w:history="1">
              <w:r>
                <w:rPr>
                  <w:rStyle w:val="affff0"/>
                  <w:rFonts w:ascii="Times New Roman" w:eastAsia="宋体" w:hAnsi="Times New Roman" w:cs="Times New Roman"/>
                  <w:color w:val="auto"/>
                  <w:szCs w:val="21"/>
                  <w:u w:val="none"/>
                  <w:shd w:val="clear" w:color="auto" w:fill="FFFFFF"/>
                </w:rPr>
                <w:t>氯</w:t>
              </w:r>
            </w:hyperlink>
            <w:r>
              <w:rPr>
                <w:rFonts w:ascii="Times New Roman" w:eastAsia="宋体" w:hAnsi="Times New Roman" w:cs="Times New Roman"/>
                <w:szCs w:val="21"/>
                <w:shd w:val="clear" w:color="auto" w:fill="FFFFFF"/>
              </w:rPr>
              <w:t>、</w:t>
            </w:r>
            <w:hyperlink r:id="rId61" w:tgtFrame="_blank" w:history="1">
              <w:r>
                <w:rPr>
                  <w:rStyle w:val="affff0"/>
                  <w:rFonts w:ascii="Times New Roman" w:eastAsia="宋体" w:hAnsi="Times New Roman" w:cs="Times New Roman"/>
                  <w:color w:val="auto"/>
                  <w:szCs w:val="21"/>
                  <w:u w:val="none"/>
                  <w:shd w:val="clear" w:color="auto" w:fill="FFFFFF"/>
                </w:rPr>
                <w:t>溴</w:t>
              </w:r>
            </w:hyperlink>
            <w:r>
              <w:rPr>
                <w:rFonts w:ascii="Times New Roman" w:eastAsia="宋体" w:hAnsi="Times New Roman" w:cs="Times New Roman"/>
                <w:szCs w:val="21"/>
                <w:shd w:val="clear" w:color="auto" w:fill="FFFFFF"/>
              </w:rPr>
              <w:t>、</w:t>
            </w:r>
            <w:hyperlink r:id="rId62" w:tgtFrame="_blank" w:history="1">
              <w:r>
                <w:rPr>
                  <w:rStyle w:val="affff0"/>
                  <w:rFonts w:ascii="Times New Roman" w:eastAsia="宋体" w:hAnsi="Times New Roman" w:cs="Times New Roman"/>
                  <w:color w:val="auto"/>
                  <w:szCs w:val="21"/>
                  <w:u w:val="none"/>
                  <w:shd w:val="clear" w:color="auto" w:fill="FFFFFF"/>
                </w:rPr>
                <w:t>碘</w:t>
              </w:r>
            </w:hyperlink>
            <w:r>
              <w:rPr>
                <w:rFonts w:ascii="Times New Roman" w:eastAsia="宋体" w:hAnsi="Times New Roman" w:cs="Times New Roman"/>
                <w:szCs w:val="21"/>
                <w:shd w:val="clear" w:color="auto" w:fill="FFFFFF"/>
              </w:rPr>
              <w:t>等卤素发生</w:t>
            </w:r>
            <w:hyperlink r:id="rId63" w:tgtFrame="_blank" w:history="1">
              <w:r>
                <w:rPr>
                  <w:rStyle w:val="affff0"/>
                  <w:rFonts w:ascii="Times New Roman" w:eastAsia="宋体" w:hAnsi="Times New Roman" w:cs="Times New Roman"/>
                  <w:color w:val="auto"/>
                  <w:szCs w:val="21"/>
                  <w:u w:val="none"/>
                  <w:shd w:val="clear" w:color="auto" w:fill="FFFFFF"/>
                </w:rPr>
                <w:t>歧化反应</w:t>
              </w:r>
            </w:hyperlink>
            <w:r>
              <w:rPr>
                <w:rFonts w:ascii="Times New Roman" w:eastAsia="宋体" w:hAnsi="Times New Roman" w:cs="Times New Roman"/>
                <w:szCs w:val="21"/>
                <w:shd w:val="clear" w:color="auto" w:fill="FFFFFF"/>
              </w:rPr>
              <w:t>；与酸类起中和作用而生成盐和水。</w:t>
            </w:r>
          </w:p>
        </w:tc>
        <w:tc>
          <w:tcPr>
            <w:tcW w:w="3402" w:type="dxa"/>
            <w:vAlign w:val="center"/>
          </w:tcPr>
          <w:p w14:paraId="3DFE9137" w14:textId="0B0EC2F3" w:rsidR="009C2E4E" w:rsidRDefault="009C2E4E" w:rsidP="009C2E4E">
            <w:pPr>
              <w:widowControl/>
              <w:tabs>
                <w:tab w:val="left" w:pos="1733"/>
              </w:tabs>
              <w:snapToGrid w:val="0"/>
              <w:jc w:val="left"/>
              <w:rPr>
                <w:rFonts w:ascii="Times New Roman" w:eastAsia="宋体" w:hAnsi="Times New Roman" w:cs="Times New Roman"/>
                <w:kern w:val="0"/>
                <w:szCs w:val="21"/>
                <w:shd w:val="clear" w:color="auto" w:fill="FFFFFF"/>
              </w:rPr>
            </w:pPr>
            <w:r>
              <w:rPr>
                <w:rFonts w:ascii="Times New Roman" w:eastAsia="宋体" w:hAnsi="Times New Roman" w:cs="Times New Roman"/>
                <w:kern w:val="0"/>
                <w:szCs w:val="21"/>
                <w:lang w:val="zh-CN"/>
              </w:rPr>
              <w:t>与酸发生中和反应并放热。遇潮时对铝、锌和锡有腐蚀性，并放出易燃易爆的氢气。本品不会燃烧，遇水和水蒸气大量放热，形成腐蚀性溶液。具有强腐蚀性。</w:t>
            </w:r>
          </w:p>
        </w:tc>
        <w:tc>
          <w:tcPr>
            <w:tcW w:w="2268" w:type="dxa"/>
            <w:vAlign w:val="center"/>
          </w:tcPr>
          <w:p w14:paraId="6A15D261" w14:textId="5059882B" w:rsidR="009C2E4E" w:rsidRDefault="009C2E4E" w:rsidP="009C2E4E">
            <w:pPr>
              <w:widowControl/>
              <w:tabs>
                <w:tab w:val="left" w:pos="1733"/>
              </w:tabs>
              <w:snapToGrid w:val="0"/>
              <w:rPr>
                <w:rFonts w:ascii="Times New Roman" w:eastAsia="宋体" w:hAnsi="Times New Roman" w:cs="Times New Roman"/>
                <w:kern w:val="0"/>
                <w:szCs w:val="21"/>
              </w:rPr>
            </w:pPr>
            <w:r>
              <w:rPr>
                <w:rFonts w:ascii="Times New Roman" w:eastAsia="宋体" w:hAnsi="Times New Roman" w:cs="Times New Roman"/>
                <w:bCs/>
                <w:kern w:val="0"/>
                <w:szCs w:val="21"/>
              </w:rPr>
              <w:t>-</w:t>
            </w:r>
          </w:p>
        </w:tc>
        <w:tc>
          <w:tcPr>
            <w:tcW w:w="927" w:type="dxa"/>
            <w:vAlign w:val="center"/>
          </w:tcPr>
          <w:p w14:paraId="6234C68D" w14:textId="15C9B3B0" w:rsidR="009C2E4E" w:rsidRDefault="009C2E4E" w:rsidP="009C2E4E">
            <w:pPr>
              <w:widowControl/>
              <w:snapToGrid w:val="0"/>
              <w:jc w:val="left"/>
              <w:rPr>
                <w:rFonts w:ascii="Times New Roman" w:eastAsia="宋体" w:hAnsi="Times New Roman" w:cs="Times New Roman"/>
                <w:bCs/>
                <w:kern w:val="0"/>
                <w:szCs w:val="21"/>
              </w:rPr>
            </w:pPr>
            <w:r>
              <w:rPr>
                <w:rFonts w:ascii="Times New Roman" w:eastAsia="宋体" w:hAnsi="Times New Roman" w:cs="Times New Roman"/>
                <w:bCs/>
                <w:kern w:val="0"/>
                <w:szCs w:val="21"/>
              </w:rPr>
              <w:t>-</w:t>
            </w:r>
          </w:p>
        </w:tc>
      </w:tr>
    </w:tbl>
    <w:p w14:paraId="3B624915" w14:textId="77777777" w:rsidR="002133E3" w:rsidRDefault="002133E3">
      <w:pPr>
        <w:widowControl/>
        <w:adjustRightInd w:val="0"/>
        <w:snapToGrid w:val="0"/>
        <w:spacing w:line="500" w:lineRule="atLeast"/>
        <w:ind w:firstLineChars="200" w:firstLine="602"/>
        <w:rPr>
          <w:rFonts w:ascii="Times New Roman" w:eastAsia="宋体" w:hAnsi="Times New Roman" w:cs="Times New Roman"/>
          <w:b/>
          <w:sz w:val="30"/>
          <w:szCs w:val="30"/>
        </w:rPr>
        <w:sectPr w:rsidR="002133E3">
          <w:pgSz w:w="16838" w:h="11906" w:orient="landscape"/>
          <w:pgMar w:top="1134" w:right="1134" w:bottom="1134" w:left="1134" w:header="851" w:footer="992" w:gutter="0"/>
          <w:cols w:space="720"/>
          <w:docGrid w:linePitch="312"/>
        </w:sectPr>
      </w:pPr>
    </w:p>
    <w:p w14:paraId="449A7A21"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水平衡及蒸汽平衡</w:t>
      </w:r>
    </w:p>
    <w:p w14:paraId="754C131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水平衡</w:t>
      </w:r>
    </w:p>
    <w:p w14:paraId="0286122F" w14:textId="77777777" w:rsidR="002133E3" w:rsidRDefault="00C22CFA">
      <w:pPr>
        <w:spacing w:line="500" w:lineRule="exact"/>
        <w:ind w:firstLineChars="200" w:firstLine="560"/>
        <w:jc w:val="left"/>
        <w:rPr>
          <w:rFonts w:ascii="Times New Roman" w:eastAsia="宋体" w:hAnsi="Times New Roman" w:cs="Times New Roman"/>
          <w:sz w:val="28"/>
          <w:szCs w:val="20"/>
        </w:rPr>
      </w:pPr>
      <w:r>
        <w:rPr>
          <w:rFonts w:ascii="Times New Roman" w:eastAsia="宋体" w:hAnsi="Times New Roman" w:cs="Times New Roman"/>
          <w:color w:val="000000"/>
          <w:kern w:val="0"/>
          <w:sz w:val="28"/>
          <w:szCs w:val="28"/>
        </w:rPr>
        <w:t>本项目用水平衡见</w:t>
      </w:r>
      <w:r>
        <w:rPr>
          <w:rFonts w:ascii="Times New Roman" w:eastAsia="宋体" w:hAnsi="Times New Roman" w:cs="Times New Roman"/>
          <w:sz w:val="28"/>
          <w:szCs w:val="24"/>
        </w:rPr>
        <w:t>图</w:t>
      </w:r>
      <w:r>
        <w:rPr>
          <w:rFonts w:ascii="Times New Roman" w:eastAsia="宋体" w:hAnsi="Times New Roman" w:cs="Times New Roman"/>
          <w:color w:val="000000"/>
          <w:kern w:val="0"/>
          <w:sz w:val="28"/>
          <w:szCs w:val="28"/>
        </w:rPr>
        <w:t>4.4-1</w:t>
      </w:r>
      <w:r>
        <w:rPr>
          <w:rFonts w:ascii="Times New Roman" w:eastAsia="宋体" w:hAnsi="Times New Roman" w:cs="Times New Roman"/>
          <w:color w:val="000000"/>
          <w:kern w:val="0"/>
          <w:sz w:val="28"/>
          <w:szCs w:val="28"/>
        </w:rPr>
        <w:t>，建成后</w:t>
      </w:r>
      <w:r>
        <w:rPr>
          <w:rFonts w:ascii="Times New Roman" w:eastAsia="宋体" w:hAnsi="Times New Roman" w:cs="Times New Roman"/>
          <w:sz w:val="28"/>
          <w:szCs w:val="28"/>
        </w:rPr>
        <w:t>全厂</w:t>
      </w:r>
      <w:r>
        <w:rPr>
          <w:rFonts w:ascii="Times New Roman" w:eastAsia="宋体" w:hAnsi="Times New Roman" w:cs="Times New Roman"/>
          <w:sz w:val="28"/>
          <w:szCs w:val="24"/>
        </w:rPr>
        <w:t>水平衡见图</w:t>
      </w:r>
      <w:r>
        <w:rPr>
          <w:rFonts w:ascii="Times New Roman" w:eastAsia="宋体" w:hAnsi="Times New Roman" w:cs="Times New Roman"/>
          <w:sz w:val="28"/>
          <w:szCs w:val="24"/>
        </w:rPr>
        <w:t>4.4-2</w:t>
      </w:r>
      <w:r>
        <w:rPr>
          <w:rFonts w:ascii="Times New Roman" w:eastAsia="宋体" w:hAnsi="Times New Roman" w:cs="Times New Roman"/>
          <w:sz w:val="28"/>
          <w:szCs w:val="24"/>
        </w:rPr>
        <w:t>。</w:t>
      </w:r>
    </w:p>
    <w:p w14:paraId="6C745609" w14:textId="77777777" w:rsidR="002133E3" w:rsidRDefault="009F1FEF">
      <w:pPr>
        <w:jc w:val="center"/>
        <w:rPr>
          <w:rFonts w:ascii="Times New Roman" w:eastAsia="宋体" w:hAnsi="Times New Roman" w:cs="Times New Roman"/>
          <w:color w:val="000000"/>
          <w:kern w:val="0"/>
          <w:sz w:val="28"/>
          <w:szCs w:val="28"/>
        </w:rPr>
      </w:pPr>
      <w:r>
        <w:pict w14:anchorId="26D83527">
          <v:shape id="_x0000_i1050" type="#_x0000_t75" style="width:481.7pt;height:432.1pt">
            <v:imagedata r:id="rId64" o:title=""/>
          </v:shape>
        </w:pict>
      </w:r>
    </w:p>
    <w:p w14:paraId="5F6BB950" w14:textId="77777777" w:rsidR="002133E3" w:rsidRDefault="00C22CFA">
      <w:pPr>
        <w:widowControl/>
        <w:spacing w:line="400" w:lineRule="exact"/>
        <w:jc w:val="center"/>
        <w:rPr>
          <w:rFonts w:ascii="Times New Roman" w:eastAsia="宋体" w:hAnsi="Times New Roman" w:cs="Times New Roman"/>
          <w:b/>
          <w:bCs/>
          <w:color w:val="000000"/>
          <w:kern w:val="0"/>
          <w:sz w:val="24"/>
          <w:szCs w:val="24"/>
        </w:rPr>
      </w:pPr>
      <w:r>
        <w:rPr>
          <w:rFonts w:ascii="Times New Roman" w:eastAsia="宋体" w:hAnsi="Times New Roman" w:cs="Times New Roman"/>
          <w:b/>
          <w:bCs/>
          <w:color w:val="000000"/>
          <w:kern w:val="0"/>
          <w:sz w:val="24"/>
          <w:szCs w:val="24"/>
        </w:rPr>
        <w:t>图</w:t>
      </w:r>
      <w:r>
        <w:rPr>
          <w:rFonts w:ascii="Times New Roman" w:eastAsia="宋体" w:hAnsi="Times New Roman" w:cs="Times New Roman"/>
          <w:b/>
          <w:bCs/>
          <w:color w:val="000000"/>
          <w:kern w:val="0"/>
          <w:sz w:val="24"/>
          <w:szCs w:val="24"/>
        </w:rPr>
        <w:t xml:space="preserve">4.4-1  </w:t>
      </w:r>
      <w:r>
        <w:rPr>
          <w:rFonts w:ascii="Times New Roman" w:eastAsia="宋体" w:hAnsi="Times New Roman" w:cs="Times New Roman"/>
          <w:b/>
          <w:bCs/>
          <w:color w:val="000000"/>
          <w:kern w:val="0"/>
          <w:sz w:val="24"/>
          <w:szCs w:val="24"/>
        </w:rPr>
        <w:t>技改项目水平衡图</w:t>
      </w:r>
      <w:r>
        <w:rPr>
          <w:rFonts w:ascii="Times New Roman" w:eastAsia="宋体" w:hAnsi="Times New Roman" w:cs="Times New Roman"/>
          <w:b/>
          <w:bCs/>
          <w:color w:val="000000"/>
          <w:kern w:val="0"/>
          <w:sz w:val="24"/>
          <w:szCs w:val="24"/>
        </w:rPr>
        <w:t>(m</w:t>
      </w:r>
      <w:r>
        <w:rPr>
          <w:rFonts w:ascii="Times New Roman" w:eastAsia="宋体" w:hAnsi="Times New Roman" w:cs="Times New Roman"/>
          <w:b/>
          <w:bCs/>
          <w:color w:val="000000"/>
          <w:kern w:val="0"/>
          <w:sz w:val="24"/>
          <w:szCs w:val="24"/>
          <w:vertAlign w:val="superscript"/>
        </w:rPr>
        <w:t>3</w:t>
      </w:r>
      <w:r>
        <w:rPr>
          <w:rFonts w:ascii="Times New Roman" w:eastAsia="宋体" w:hAnsi="Times New Roman" w:cs="Times New Roman"/>
          <w:b/>
          <w:bCs/>
          <w:color w:val="000000"/>
          <w:kern w:val="0"/>
          <w:sz w:val="24"/>
          <w:szCs w:val="24"/>
        </w:rPr>
        <w:t>/a)</w:t>
      </w:r>
    </w:p>
    <w:p w14:paraId="42B12048" w14:textId="77777777" w:rsidR="002133E3" w:rsidRDefault="009F1FEF">
      <w:pPr>
        <w:widowControl/>
        <w:jc w:val="center"/>
        <w:rPr>
          <w:rFonts w:ascii="Times New Roman" w:eastAsia="宋体" w:hAnsi="Times New Roman" w:cs="Times New Roman"/>
          <w:b/>
          <w:sz w:val="30"/>
          <w:szCs w:val="30"/>
        </w:rPr>
      </w:pPr>
      <w:r>
        <w:lastRenderedPageBreak/>
        <w:pict w14:anchorId="4AAAB469">
          <v:shape id="_x0000_i1051" type="#_x0000_t75" style="width:397.7pt;height:696.95pt">
            <v:imagedata r:id="rId65" o:title=""/>
          </v:shape>
        </w:pict>
      </w:r>
    </w:p>
    <w:p w14:paraId="284FEB2F" w14:textId="77777777" w:rsidR="002133E3" w:rsidRDefault="00C22CFA">
      <w:pPr>
        <w:widowControl/>
        <w:spacing w:line="400" w:lineRule="exact"/>
        <w:jc w:val="center"/>
        <w:rPr>
          <w:rFonts w:ascii="Times New Roman" w:eastAsia="宋体" w:hAnsi="Times New Roman" w:cs="Times New Roman"/>
          <w:b/>
          <w:sz w:val="36"/>
          <w:szCs w:val="36"/>
        </w:rPr>
      </w:pPr>
      <w:r>
        <w:rPr>
          <w:rFonts w:ascii="Times New Roman" w:eastAsia="宋体" w:hAnsi="Times New Roman" w:cs="Times New Roman"/>
          <w:b/>
          <w:bCs/>
          <w:color w:val="000000"/>
          <w:kern w:val="0"/>
          <w:sz w:val="24"/>
          <w:szCs w:val="24"/>
        </w:rPr>
        <w:t>图</w:t>
      </w:r>
      <w:r>
        <w:rPr>
          <w:rFonts w:ascii="Times New Roman" w:eastAsia="宋体" w:hAnsi="Times New Roman" w:cs="Times New Roman"/>
          <w:b/>
          <w:bCs/>
          <w:color w:val="000000"/>
          <w:kern w:val="0"/>
          <w:sz w:val="24"/>
          <w:szCs w:val="24"/>
        </w:rPr>
        <w:t xml:space="preserve">4.4-2  </w:t>
      </w:r>
      <w:r>
        <w:rPr>
          <w:rFonts w:ascii="Times New Roman" w:eastAsia="宋体" w:hAnsi="Times New Roman" w:cs="Times New Roman"/>
          <w:b/>
          <w:bCs/>
          <w:color w:val="000000"/>
          <w:kern w:val="0"/>
          <w:sz w:val="24"/>
          <w:szCs w:val="24"/>
        </w:rPr>
        <w:t>建成后全厂水平衡图</w:t>
      </w:r>
      <w:r>
        <w:rPr>
          <w:rFonts w:ascii="Times New Roman" w:eastAsia="宋体" w:hAnsi="Times New Roman" w:cs="Times New Roman"/>
          <w:b/>
          <w:bCs/>
          <w:color w:val="000000"/>
          <w:kern w:val="0"/>
          <w:sz w:val="24"/>
          <w:szCs w:val="24"/>
        </w:rPr>
        <w:t>(m</w:t>
      </w:r>
      <w:r>
        <w:rPr>
          <w:rFonts w:ascii="Times New Roman" w:eastAsia="宋体" w:hAnsi="Times New Roman" w:cs="Times New Roman"/>
          <w:b/>
          <w:bCs/>
          <w:color w:val="000000"/>
          <w:kern w:val="0"/>
          <w:sz w:val="24"/>
          <w:szCs w:val="24"/>
          <w:vertAlign w:val="superscript"/>
        </w:rPr>
        <w:t>3</w:t>
      </w:r>
      <w:r>
        <w:rPr>
          <w:rFonts w:ascii="Times New Roman" w:eastAsia="宋体" w:hAnsi="Times New Roman" w:cs="Times New Roman"/>
          <w:b/>
          <w:bCs/>
          <w:color w:val="000000"/>
          <w:kern w:val="0"/>
          <w:sz w:val="24"/>
          <w:szCs w:val="24"/>
        </w:rPr>
        <w:t>/a)</w:t>
      </w:r>
    </w:p>
    <w:p w14:paraId="1CFE257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蒸汽平衡</w:t>
      </w:r>
    </w:p>
    <w:p w14:paraId="5CF12E2F"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本项目为针对酒精生产线的技改项目，</w:t>
      </w:r>
      <w:r>
        <w:rPr>
          <w:rFonts w:ascii="Times New Roman" w:eastAsia="宋体" w:hAnsi="Times New Roman" w:cs="Times New Roman"/>
          <w:sz w:val="28"/>
          <w:szCs w:val="24"/>
        </w:rPr>
        <w:t>蒸汽单耗由</w:t>
      </w:r>
      <w:r>
        <w:rPr>
          <w:rFonts w:ascii="Times New Roman" w:eastAsia="宋体" w:hAnsi="Times New Roman" w:cs="Times New Roman"/>
          <w:sz w:val="28"/>
          <w:szCs w:val="24"/>
        </w:rPr>
        <w:t>2.0</w:t>
      </w:r>
      <w:r>
        <w:rPr>
          <w:rFonts w:ascii="Times New Roman" w:eastAsia="宋体" w:hAnsi="Times New Roman" w:cs="Times New Roman"/>
          <w:sz w:val="28"/>
          <w:szCs w:val="24"/>
        </w:rPr>
        <w:t>吨降至</w:t>
      </w:r>
      <w:r>
        <w:rPr>
          <w:rFonts w:ascii="Times New Roman" w:eastAsia="宋体" w:hAnsi="Times New Roman" w:cs="Times New Roman"/>
          <w:sz w:val="28"/>
          <w:szCs w:val="24"/>
        </w:rPr>
        <w:t>1.7</w:t>
      </w:r>
      <w:r>
        <w:rPr>
          <w:rFonts w:ascii="Times New Roman" w:eastAsia="宋体" w:hAnsi="Times New Roman" w:cs="Times New Roman"/>
          <w:sz w:val="28"/>
          <w:szCs w:val="24"/>
        </w:rPr>
        <w:t>吨；</w:t>
      </w:r>
      <w:r>
        <w:rPr>
          <w:rFonts w:ascii="Times New Roman" w:eastAsia="宋体" w:hAnsi="Times New Roman" w:cs="Times New Roman"/>
          <w:sz w:val="28"/>
          <w:szCs w:val="28"/>
        </w:rPr>
        <w:t>技改前后木薯干投加量及进入厌氧发酵系统废水维持不变，因此相应的沼气产生量、蒸汽产生量维持不变。本项目蒸汽平衡见图</w:t>
      </w:r>
      <w:r>
        <w:rPr>
          <w:rFonts w:ascii="Times New Roman" w:eastAsia="宋体" w:hAnsi="Times New Roman" w:cs="Times New Roman"/>
          <w:sz w:val="28"/>
          <w:szCs w:val="28"/>
        </w:rPr>
        <w:t>4.4-3</w:t>
      </w:r>
      <w:r>
        <w:rPr>
          <w:rFonts w:ascii="Times New Roman" w:eastAsia="宋体" w:hAnsi="Times New Roman" w:cs="Times New Roman"/>
          <w:sz w:val="28"/>
          <w:szCs w:val="28"/>
        </w:rPr>
        <w:t>，技改完成后，全厂蒸汽平衡见图</w:t>
      </w:r>
      <w:r>
        <w:rPr>
          <w:rFonts w:ascii="Times New Roman" w:eastAsia="宋体" w:hAnsi="Times New Roman" w:cs="Times New Roman"/>
          <w:sz w:val="28"/>
          <w:szCs w:val="28"/>
        </w:rPr>
        <w:t>4.4-4</w:t>
      </w:r>
      <w:r>
        <w:rPr>
          <w:rFonts w:ascii="Times New Roman" w:eastAsia="宋体" w:hAnsi="Times New Roman" w:cs="Times New Roman"/>
          <w:sz w:val="28"/>
          <w:szCs w:val="28"/>
        </w:rPr>
        <w:t>。</w:t>
      </w:r>
    </w:p>
    <w:p w14:paraId="2B85B1FE" w14:textId="77777777" w:rsidR="002133E3" w:rsidRDefault="009F1FEF">
      <w:pPr>
        <w:adjustRightInd w:val="0"/>
        <w:snapToGrid w:val="0"/>
        <w:spacing w:line="500" w:lineRule="atLeast"/>
        <w:jc w:val="center"/>
        <w:rPr>
          <w:rFonts w:ascii="Times New Roman" w:eastAsia="宋体" w:hAnsi="Times New Roman" w:cs="Times New Roman"/>
          <w:sz w:val="28"/>
          <w:szCs w:val="28"/>
        </w:rPr>
      </w:pPr>
      <w:r>
        <w:rPr>
          <w:rFonts w:ascii="Times New Roman" w:hAnsi="Times New Roman" w:cs="Times New Roman"/>
        </w:rPr>
        <w:pict w14:anchorId="15E4B6D3">
          <v:shape id="_x0000_i1052" type="#_x0000_t75" style="width:331.6pt;height:145.9pt">
            <v:imagedata r:id="rId66" o:title=""/>
          </v:shape>
        </w:pict>
      </w:r>
    </w:p>
    <w:p w14:paraId="649024EA" w14:textId="77777777" w:rsidR="002133E3" w:rsidRDefault="00C22CFA">
      <w:pPr>
        <w:widowControl/>
        <w:spacing w:line="400" w:lineRule="exact"/>
        <w:jc w:val="center"/>
        <w:rPr>
          <w:rFonts w:ascii="Times New Roman" w:eastAsia="宋体" w:hAnsi="Times New Roman" w:cs="Times New Roman"/>
          <w:b/>
          <w:bCs/>
          <w:color w:val="000000"/>
          <w:kern w:val="0"/>
          <w:sz w:val="24"/>
          <w:szCs w:val="24"/>
        </w:rPr>
      </w:pPr>
      <w:r>
        <w:rPr>
          <w:rFonts w:ascii="Times New Roman" w:eastAsia="宋体" w:hAnsi="Times New Roman" w:cs="Times New Roman"/>
          <w:b/>
          <w:bCs/>
          <w:color w:val="000000"/>
          <w:kern w:val="0"/>
          <w:sz w:val="24"/>
          <w:szCs w:val="24"/>
        </w:rPr>
        <w:t>图</w:t>
      </w:r>
      <w:r>
        <w:rPr>
          <w:rFonts w:ascii="Times New Roman" w:eastAsia="宋体" w:hAnsi="Times New Roman" w:cs="Times New Roman"/>
          <w:b/>
          <w:bCs/>
          <w:color w:val="000000"/>
          <w:kern w:val="0"/>
          <w:sz w:val="24"/>
          <w:szCs w:val="24"/>
        </w:rPr>
        <w:t xml:space="preserve">4.4-3  </w:t>
      </w:r>
      <w:r>
        <w:rPr>
          <w:rFonts w:ascii="Times New Roman" w:eastAsia="宋体" w:hAnsi="Times New Roman" w:cs="Times New Roman"/>
          <w:b/>
          <w:bCs/>
          <w:color w:val="000000"/>
          <w:kern w:val="0"/>
          <w:sz w:val="24"/>
          <w:szCs w:val="24"/>
        </w:rPr>
        <w:t>本项目蒸汽平衡图</w:t>
      </w:r>
      <w:r>
        <w:rPr>
          <w:rFonts w:ascii="Times New Roman" w:eastAsia="宋体" w:hAnsi="Times New Roman" w:cs="Times New Roman"/>
          <w:b/>
          <w:bCs/>
          <w:color w:val="000000"/>
          <w:kern w:val="0"/>
          <w:sz w:val="24"/>
          <w:szCs w:val="24"/>
        </w:rPr>
        <w:t>(t/a)</w:t>
      </w:r>
    </w:p>
    <w:p w14:paraId="08E51B53" w14:textId="77777777" w:rsidR="002133E3" w:rsidRDefault="009F1FEF">
      <w:pPr>
        <w:widowControl/>
        <w:jc w:val="center"/>
        <w:rPr>
          <w:rFonts w:ascii="Times New Roman" w:eastAsia="宋体" w:hAnsi="Times New Roman" w:cs="Times New Roman"/>
          <w:b/>
          <w:sz w:val="30"/>
          <w:szCs w:val="30"/>
        </w:rPr>
      </w:pPr>
      <w:r>
        <w:rPr>
          <w:rFonts w:ascii="Times New Roman" w:hAnsi="Times New Roman" w:cs="Times New Roman"/>
        </w:rPr>
        <w:pict w14:anchorId="7FB1B67F">
          <v:shape id="_x0000_i1053" type="#_x0000_t75" style="width:479.3pt;height:405.4pt">
            <v:imagedata r:id="rId67" o:title=""/>
          </v:shape>
        </w:pict>
      </w:r>
    </w:p>
    <w:p w14:paraId="75573A6C" w14:textId="77777777" w:rsidR="002133E3" w:rsidRDefault="00C22CFA">
      <w:pPr>
        <w:widowControl/>
        <w:snapToGrid w:val="0"/>
        <w:jc w:val="center"/>
        <w:rPr>
          <w:rFonts w:ascii="Times New Roman" w:eastAsia="宋体" w:hAnsi="Times New Roman" w:cs="Times New Roman"/>
          <w:b/>
          <w:sz w:val="36"/>
          <w:szCs w:val="36"/>
        </w:rPr>
      </w:pPr>
      <w:r>
        <w:rPr>
          <w:rFonts w:ascii="Times New Roman" w:eastAsia="宋体" w:hAnsi="Times New Roman" w:cs="Times New Roman"/>
          <w:b/>
          <w:bCs/>
          <w:color w:val="000000"/>
          <w:kern w:val="0"/>
          <w:sz w:val="24"/>
          <w:szCs w:val="24"/>
        </w:rPr>
        <w:t>图</w:t>
      </w:r>
      <w:r>
        <w:rPr>
          <w:rFonts w:ascii="Times New Roman" w:eastAsia="宋体" w:hAnsi="Times New Roman" w:cs="Times New Roman"/>
          <w:b/>
          <w:bCs/>
          <w:color w:val="000000"/>
          <w:kern w:val="0"/>
          <w:sz w:val="24"/>
          <w:szCs w:val="24"/>
        </w:rPr>
        <w:t xml:space="preserve">4.4-4  </w:t>
      </w:r>
      <w:r>
        <w:rPr>
          <w:rFonts w:ascii="Times New Roman" w:eastAsia="宋体" w:hAnsi="Times New Roman" w:cs="Times New Roman"/>
          <w:b/>
          <w:bCs/>
          <w:color w:val="000000"/>
          <w:kern w:val="0"/>
          <w:sz w:val="24"/>
          <w:szCs w:val="24"/>
        </w:rPr>
        <w:t>建成后全厂蒸汽平衡图</w:t>
      </w:r>
      <w:r>
        <w:rPr>
          <w:rFonts w:ascii="Times New Roman" w:eastAsia="宋体" w:hAnsi="Times New Roman" w:cs="Times New Roman"/>
          <w:b/>
          <w:bCs/>
          <w:color w:val="000000"/>
          <w:kern w:val="0"/>
          <w:sz w:val="24"/>
          <w:szCs w:val="24"/>
        </w:rPr>
        <w:t>(t/a)</w:t>
      </w:r>
    </w:p>
    <w:p w14:paraId="2E69287D"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技改项目污染物排放量分析</w:t>
      </w:r>
    </w:p>
    <w:p w14:paraId="1343029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废气</w:t>
      </w:r>
    </w:p>
    <w:p w14:paraId="0CC69FF7" w14:textId="77777777" w:rsidR="002133E3" w:rsidRDefault="00C22CFA">
      <w:pPr>
        <w:numPr>
          <w:ilvl w:val="0"/>
          <w:numId w:val="8"/>
        </w:numPr>
        <w:adjustRightInd w:val="0"/>
        <w:snapToGrid w:val="0"/>
        <w:spacing w:line="500" w:lineRule="atLeast"/>
        <w:rPr>
          <w:rFonts w:ascii="Times New Roman" w:eastAsia="宋体" w:hAnsi="Times New Roman" w:cs="Times New Roman"/>
          <w:sz w:val="28"/>
          <w:szCs w:val="28"/>
        </w:rPr>
      </w:pPr>
      <w:r>
        <w:rPr>
          <w:rFonts w:ascii="Times New Roman" w:eastAsia="宋体" w:hAnsi="Times New Roman" w:cs="Times New Roman"/>
          <w:sz w:val="28"/>
          <w:szCs w:val="28"/>
        </w:rPr>
        <w:t>有组织废气产生情况分析</w:t>
      </w:r>
    </w:p>
    <w:p w14:paraId="3AF3830C"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①工艺废气</w:t>
      </w:r>
    </w:p>
    <w:p w14:paraId="2AF745AB"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技改</w:t>
      </w:r>
      <w:r>
        <w:rPr>
          <w:rFonts w:ascii="Times New Roman" w:eastAsia="宋体" w:hAnsi="Times New Roman" w:cs="Times New Roman"/>
          <w:sz w:val="28"/>
          <w:szCs w:val="28"/>
        </w:rPr>
        <w:t>项目工艺有组织废气主要包括粉尘、乙醇、甲醇</w:t>
      </w:r>
      <w:r>
        <w:rPr>
          <w:rFonts w:ascii="Times New Roman" w:eastAsia="宋体" w:hAnsi="Times New Roman" w:cs="Times New Roman"/>
          <w:sz w:val="28"/>
          <w:szCs w:val="28"/>
        </w:rPr>
        <w:t>/</w:t>
      </w:r>
      <w:r>
        <w:rPr>
          <w:rFonts w:ascii="Times New Roman" w:eastAsia="宋体" w:hAnsi="Times New Roman" w:cs="Times New Roman"/>
          <w:sz w:val="28"/>
          <w:szCs w:val="28"/>
        </w:rPr>
        <w:t>醛等多种污染物。各车间废气污染物产生情况见表</w:t>
      </w:r>
      <w:r>
        <w:rPr>
          <w:rFonts w:ascii="Times New Roman" w:eastAsia="宋体" w:hAnsi="Times New Roman" w:cs="Times New Roman"/>
          <w:sz w:val="28"/>
          <w:szCs w:val="28"/>
        </w:rPr>
        <w:t>4.5-1</w:t>
      </w:r>
      <w:r>
        <w:rPr>
          <w:rFonts w:ascii="Times New Roman" w:eastAsia="宋体" w:hAnsi="Times New Roman" w:cs="Times New Roman"/>
          <w:sz w:val="28"/>
          <w:szCs w:val="28"/>
        </w:rPr>
        <w:t>。</w:t>
      </w:r>
    </w:p>
    <w:p w14:paraId="6B387095" w14:textId="77777777" w:rsidR="002133E3" w:rsidRDefault="00C22CFA">
      <w:pPr>
        <w:widowControl/>
        <w:snapToGrid w:val="0"/>
        <w:spacing w:line="500" w:lineRule="atLeast"/>
        <w:jc w:val="center"/>
        <w:rPr>
          <w:rFonts w:ascii="Times New Roman" w:eastAsia="宋体" w:hAnsi="Times New Roman" w:cs="Times New Roman"/>
          <w:sz w:val="36"/>
          <w:szCs w:val="36"/>
        </w:rPr>
      </w:pPr>
      <w:r>
        <w:rPr>
          <w:rFonts w:ascii="Times New Roman" w:eastAsia="宋体" w:hAnsi="Times New Roman" w:cs="Times New Roman"/>
          <w:b/>
          <w:bCs/>
          <w:color w:val="000000"/>
          <w:kern w:val="0"/>
          <w:sz w:val="24"/>
          <w:szCs w:val="24"/>
        </w:rPr>
        <w:t>表</w:t>
      </w:r>
      <w:r>
        <w:rPr>
          <w:rFonts w:ascii="Times New Roman" w:eastAsia="宋体" w:hAnsi="Times New Roman" w:cs="Times New Roman"/>
          <w:b/>
          <w:bCs/>
          <w:color w:val="000000"/>
          <w:kern w:val="0"/>
          <w:sz w:val="24"/>
          <w:szCs w:val="24"/>
        </w:rPr>
        <w:t xml:space="preserve">4.5-1  </w:t>
      </w:r>
      <w:r>
        <w:rPr>
          <w:rFonts w:ascii="Times New Roman" w:eastAsia="宋体" w:hAnsi="Times New Roman" w:cs="Times New Roman"/>
          <w:b/>
          <w:bCs/>
          <w:color w:val="000000"/>
          <w:kern w:val="0"/>
          <w:sz w:val="24"/>
          <w:szCs w:val="24"/>
        </w:rPr>
        <w:t>本项目有组织废气源强情况表</w:t>
      </w:r>
    </w:p>
    <w:tbl>
      <w:tblPr>
        <w:tblW w:w="5000" w:type="pct"/>
        <w:tblLook w:val="04A0" w:firstRow="1" w:lastRow="0" w:firstColumn="1" w:lastColumn="0" w:noHBand="0" w:noVBand="1"/>
      </w:tblPr>
      <w:tblGrid>
        <w:gridCol w:w="2172"/>
        <w:gridCol w:w="1466"/>
        <w:gridCol w:w="1628"/>
        <w:gridCol w:w="2008"/>
        <w:gridCol w:w="2580"/>
      </w:tblGrid>
      <w:tr w:rsidR="002133E3" w14:paraId="231442D8" w14:textId="77777777">
        <w:trPr>
          <w:trHeight w:val="284"/>
        </w:trPr>
        <w:tc>
          <w:tcPr>
            <w:tcW w:w="1102" w:type="pct"/>
            <w:tcBorders>
              <w:top w:val="single" w:sz="4" w:space="0" w:color="auto"/>
              <w:left w:val="single" w:sz="4" w:space="0" w:color="auto"/>
              <w:bottom w:val="single" w:sz="4" w:space="0" w:color="auto"/>
              <w:right w:val="single" w:sz="4" w:space="0" w:color="auto"/>
            </w:tcBorders>
            <w:shd w:val="clear" w:color="auto" w:fill="auto"/>
            <w:vAlign w:val="center"/>
          </w:tcPr>
          <w:p w14:paraId="6F43FE8F"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生产线</w:t>
            </w:r>
          </w:p>
        </w:tc>
        <w:tc>
          <w:tcPr>
            <w:tcW w:w="744" w:type="pct"/>
            <w:tcBorders>
              <w:top w:val="single" w:sz="4" w:space="0" w:color="auto"/>
              <w:left w:val="single" w:sz="4" w:space="0" w:color="auto"/>
              <w:bottom w:val="single" w:sz="4" w:space="0" w:color="auto"/>
              <w:right w:val="single" w:sz="4" w:space="0" w:color="auto"/>
            </w:tcBorders>
            <w:shd w:val="clear" w:color="auto" w:fill="auto"/>
            <w:vAlign w:val="center"/>
          </w:tcPr>
          <w:p w14:paraId="1E89ACA9"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代码</w:t>
            </w:r>
          </w:p>
        </w:tc>
        <w:tc>
          <w:tcPr>
            <w:tcW w:w="826" w:type="pct"/>
            <w:tcBorders>
              <w:top w:val="single" w:sz="4" w:space="0" w:color="auto"/>
              <w:left w:val="single" w:sz="4" w:space="0" w:color="auto"/>
              <w:bottom w:val="single" w:sz="4" w:space="0" w:color="auto"/>
              <w:right w:val="single" w:sz="4" w:space="0" w:color="auto"/>
            </w:tcBorders>
            <w:shd w:val="clear" w:color="auto" w:fill="auto"/>
            <w:vAlign w:val="center"/>
          </w:tcPr>
          <w:p w14:paraId="22B19AD9"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污染物名称</w:t>
            </w:r>
          </w:p>
        </w:tc>
        <w:tc>
          <w:tcPr>
            <w:tcW w:w="1019" w:type="pct"/>
            <w:tcBorders>
              <w:top w:val="single" w:sz="4" w:space="0" w:color="auto"/>
              <w:left w:val="single" w:sz="4" w:space="0" w:color="auto"/>
              <w:bottom w:val="single" w:sz="4" w:space="0" w:color="auto"/>
              <w:right w:val="single" w:sz="4" w:space="0" w:color="auto"/>
            </w:tcBorders>
            <w:shd w:val="clear" w:color="auto" w:fill="auto"/>
            <w:vAlign w:val="center"/>
          </w:tcPr>
          <w:p w14:paraId="128E4D4D"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产生量（</w:t>
            </w:r>
            <w:r>
              <w:rPr>
                <w:rFonts w:ascii="Times New Roman" w:eastAsia="等线" w:hAnsi="Times New Roman" w:cs="Times New Roman"/>
                <w:b/>
                <w:bCs/>
                <w:color w:val="000000"/>
                <w:kern w:val="0"/>
                <w:szCs w:val="21"/>
              </w:rPr>
              <w:t>t/a</w:t>
            </w:r>
            <w:r>
              <w:rPr>
                <w:rFonts w:ascii="Times New Roman" w:eastAsia="宋体" w:hAnsi="Times New Roman" w:cs="Times New Roman"/>
                <w:b/>
                <w:bCs/>
                <w:color w:val="000000"/>
                <w:kern w:val="0"/>
                <w:szCs w:val="21"/>
              </w:rPr>
              <w:t>）</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tcPr>
          <w:p w14:paraId="78384DF9"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产生速率（</w:t>
            </w:r>
            <w:r>
              <w:rPr>
                <w:rFonts w:ascii="Times New Roman" w:eastAsia="等线" w:hAnsi="Times New Roman" w:cs="Times New Roman"/>
                <w:b/>
                <w:bCs/>
                <w:color w:val="000000"/>
                <w:kern w:val="0"/>
                <w:szCs w:val="21"/>
              </w:rPr>
              <w:t>kg/h</w:t>
            </w:r>
            <w:r>
              <w:rPr>
                <w:rFonts w:ascii="Times New Roman" w:eastAsia="宋体" w:hAnsi="Times New Roman" w:cs="Times New Roman"/>
                <w:b/>
                <w:bCs/>
                <w:color w:val="000000"/>
                <w:kern w:val="0"/>
                <w:szCs w:val="21"/>
              </w:rPr>
              <w:t>）</w:t>
            </w:r>
          </w:p>
        </w:tc>
      </w:tr>
      <w:tr w:rsidR="002133E3" w14:paraId="45143BC5" w14:textId="77777777">
        <w:trPr>
          <w:trHeight w:val="284"/>
        </w:trPr>
        <w:tc>
          <w:tcPr>
            <w:tcW w:w="1102" w:type="pct"/>
            <w:vMerge w:val="restart"/>
            <w:tcBorders>
              <w:top w:val="nil"/>
              <w:left w:val="single" w:sz="4" w:space="0" w:color="auto"/>
              <w:bottom w:val="single" w:sz="4" w:space="0" w:color="auto"/>
              <w:right w:val="single" w:sz="4" w:space="0" w:color="auto"/>
            </w:tcBorders>
            <w:shd w:val="clear" w:color="auto" w:fill="auto"/>
            <w:vAlign w:val="center"/>
          </w:tcPr>
          <w:p w14:paraId="5B5515D5"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等线" w:hAnsi="Times New Roman" w:cs="Times New Roman"/>
                <w:b/>
                <w:bCs/>
                <w:color w:val="000000"/>
                <w:kern w:val="0"/>
                <w:szCs w:val="21"/>
              </w:rPr>
              <w:t>10</w:t>
            </w:r>
            <w:r>
              <w:rPr>
                <w:rFonts w:ascii="Times New Roman" w:eastAsia="宋体" w:hAnsi="Times New Roman" w:cs="Times New Roman"/>
                <w:b/>
                <w:bCs/>
                <w:color w:val="000000"/>
                <w:kern w:val="0"/>
                <w:szCs w:val="21"/>
              </w:rPr>
              <w:t>万</w:t>
            </w:r>
            <w:r>
              <w:rPr>
                <w:rFonts w:ascii="Times New Roman" w:eastAsia="等线" w:hAnsi="Times New Roman" w:cs="Times New Roman"/>
                <w:b/>
                <w:bCs/>
                <w:color w:val="000000"/>
                <w:kern w:val="0"/>
                <w:szCs w:val="21"/>
              </w:rPr>
              <w:t>t/a</w:t>
            </w:r>
            <w:r>
              <w:rPr>
                <w:rFonts w:ascii="Times New Roman" w:eastAsia="宋体" w:hAnsi="Times New Roman" w:cs="Times New Roman"/>
                <w:b/>
                <w:bCs/>
                <w:color w:val="000000"/>
                <w:kern w:val="0"/>
                <w:szCs w:val="21"/>
              </w:rPr>
              <w:t>酒精</w:t>
            </w:r>
            <w:r>
              <w:rPr>
                <w:rFonts w:ascii="Times New Roman" w:eastAsia="等线" w:hAnsi="Times New Roman" w:cs="Times New Roman"/>
                <w:b/>
                <w:bCs/>
                <w:color w:val="000000"/>
                <w:kern w:val="0"/>
                <w:szCs w:val="21"/>
              </w:rPr>
              <w:t>(</w:t>
            </w:r>
            <w:r>
              <w:rPr>
                <w:rFonts w:ascii="Times New Roman" w:eastAsia="宋体" w:hAnsi="Times New Roman" w:cs="Times New Roman"/>
                <w:b/>
                <w:bCs/>
                <w:color w:val="000000"/>
                <w:kern w:val="0"/>
                <w:szCs w:val="21"/>
              </w:rPr>
              <w:t>≥</w:t>
            </w:r>
            <w:r>
              <w:rPr>
                <w:rFonts w:ascii="Times New Roman" w:eastAsia="等线" w:hAnsi="Times New Roman" w:cs="Times New Roman"/>
                <w:b/>
                <w:bCs/>
                <w:color w:val="000000"/>
                <w:kern w:val="0"/>
                <w:szCs w:val="21"/>
              </w:rPr>
              <w:t>95%,V/V)</w:t>
            </w:r>
            <w:r>
              <w:rPr>
                <w:rFonts w:ascii="Times New Roman" w:eastAsia="宋体" w:hAnsi="Times New Roman" w:cs="Times New Roman"/>
                <w:b/>
                <w:bCs/>
                <w:color w:val="000000"/>
                <w:kern w:val="0"/>
                <w:szCs w:val="21"/>
              </w:rPr>
              <w:t>生产线</w:t>
            </w: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6A33838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G1-1</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55493173"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019" w:type="pct"/>
            <w:tcBorders>
              <w:top w:val="nil"/>
              <w:left w:val="nil"/>
              <w:bottom w:val="single" w:sz="4" w:space="0" w:color="auto"/>
              <w:right w:val="single" w:sz="4" w:space="0" w:color="auto"/>
            </w:tcBorders>
            <w:shd w:val="clear" w:color="auto" w:fill="auto"/>
            <w:noWrap/>
            <w:vAlign w:val="center"/>
          </w:tcPr>
          <w:p w14:paraId="73FAE21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16.00 </w:t>
            </w:r>
          </w:p>
        </w:tc>
        <w:tc>
          <w:tcPr>
            <w:tcW w:w="1309" w:type="pct"/>
            <w:tcBorders>
              <w:top w:val="nil"/>
              <w:left w:val="nil"/>
              <w:bottom w:val="single" w:sz="4" w:space="0" w:color="auto"/>
              <w:right w:val="single" w:sz="4" w:space="0" w:color="auto"/>
            </w:tcBorders>
            <w:shd w:val="clear" w:color="auto" w:fill="auto"/>
            <w:noWrap/>
            <w:vAlign w:val="center"/>
          </w:tcPr>
          <w:p w14:paraId="7AC079F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2.22 </w:t>
            </w:r>
          </w:p>
        </w:tc>
      </w:tr>
      <w:tr w:rsidR="002133E3" w14:paraId="002DBE2A"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445C737"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73F849DE"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1736AF07"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水蒸气</w:t>
            </w:r>
          </w:p>
        </w:tc>
        <w:tc>
          <w:tcPr>
            <w:tcW w:w="1019" w:type="pct"/>
            <w:tcBorders>
              <w:top w:val="nil"/>
              <w:left w:val="nil"/>
              <w:bottom w:val="single" w:sz="4" w:space="0" w:color="auto"/>
              <w:right w:val="single" w:sz="4" w:space="0" w:color="auto"/>
            </w:tcBorders>
            <w:shd w:val="clear" w:color="auto" w:fill="auto"/>
            <w:noWrap/>
            <w:vAlign w:val="center"/>
          </w:tcPr>
          <w:p w14:paraId="27E5703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77.76 </w:t>
            </w:r>
          </w:p>
        </w:tc>
        <w:tc>
          <w:tcPr>
            <w:tcW w:w="1309" w:type="pct"/>
            <w:tcBorders>
              <w:top w:val="nil"/>
              <w:left w:val="nil"/>
              <w:bottom w:val="single" w:sz="4" w:space="0" w:color="auto"/>
              <w:right w:val="single" w:sz="4" w:space="0" w:color="auto"/>
            </w:tcBorders>
            <w:shd w:val="clear" w:color="auto" w:fill="auto"/>
            <w:noWrap/>
            <w:vAlign w:val="center"/>
          </w:tcPr>
          <w:p w14:paraId="280FC60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10.80 </w:t>
            </w:r>
          </w:p>
        </w:tc>
      </w:tr>
      <w:tr w:rsidR="002133E3" w14:paraId="036228C0"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75E4F1C6"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6B1C32B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G1-2</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33D1789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1019" w:type="pct"/>
            <w:tcBorders>
              <w:top w:val="nil"/>
              <w:left w:val="nil"/>
              <w:bottom w:val="single" w:sz="4" w:space="0" w:color="auto"/>
              <w:right w:val="single" w:sz="4" w:space="0" w:color="auto"/>
            </w:tcBorders>
            <w:shd w:val="clear" w:color="auto" w:fill="auto"/>
            <w:noWrap/>
            <w:vAlign w:val="center"/>
          </w:tcPr>
          <w:p w14:paraId="060CB71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91962.83 </w:t>
            </w:r>
          </w:p>
        </w:tc>
        <w:tc>
          <w:tcPr>
            <w:tcW w:w="1309" w:type="pct"/>
            <w:tcBorders>
              <w:top w:val="nil"/>
              <w:left w:val="nil"/>
              <w:bottom w:val="single" w:sz="4" w:space="0" w:color="auto"/>
              <w:right w:val="single" w:sz="4" w:space="0" w:color="auto"/>
            </w:tcBorders>
            <w:shd w:val="clear" w:color="auto" w:fill="auto"/>
            <w:noWrap/>
            <w:vAlign w:val="center"/>
          </w:tcPr>
          <w:p w14:paraId="30D8AC9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12772.62 </w:t>
            </w:r>
          </w:p>
        </w:tc>
      </w:tr>
      <w:tr w:rsidR="002133E3" w14:paraId="457426F5"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67C205F2"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196AF799"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37A96487"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noWrap/>
            <w:vAlign w:val="center"/>
          </w:tcPr>
          <w:p w14:paraId="78824E8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46.96 </w:t>
            </w:r>
          </w:p>
        </w:tc>
        <w:tc>
          <w:tcPr>
            <w:tcW w:w="1309" w:type="pct"/>
            <w:tcBorders>
              <w:top w:val="nil"/>
              <w:left w:val="nil"/>
              <w:bottom w:val="single" w:sz="4" w:space="0" w:color="auto"/>
              <w:right w:val="single" w:sz="4" w:space="0" w:color="auto"/>
            </w:tcBorders>
            <w:shd w:val="clear" w:color="auto" w:fill="auto"/>
            <w:noWrap/>
            <w:vAlign w:val="center"/>
          </w:tcPr>
          <w:p w14:paraId="3A0AA54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6.52 </w:t>
            </w:r>
          </w:p>
        </w:tc>
      </w:tr>
      <w:tr w:rsidR="002133E3" w14:paraId="0B8CF209"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14075063"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77A38F19"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58B5A792"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noWrap/>
            <w:vAlign w:val="center"/>
          </w:tcPr>
          <w:p w14:paraId="4BEA5EA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0.03 </w:t>
            </w:r>
          </w:p>
        </w:tc>
        <w:tc>
          <w:tcPr>
            <w:tcW w:w="1309" w:type="pct"/>
            <w:tcBorders>
              <w:top w:val="nil"/>
              <w:left w:val="nil"/>
              <w:bottom w:val="single" w:sz="4" w:space="0" w:color="auto"/>
              <w:right w:val="single" w:sz="4" w:space="0" w:color="auto"/>
            </w:tcBorders>
            <w:shd w:val="clear" w:color="auto" w:fill="auto"/>
            <w:noWrap/>
            <w:vAlign w:val="center"/>
          </w:tcPr>
          <w:p w14:paraId="793F46D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0.00 </w:t>
            </w:r>
          </w:p>
        </w:tc>
      </w:tr>
      <w:tr w:rsidR="002133E3" w14:paraId="423984FC"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92DED9B"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32011ED6"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7008D52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水蒸气</w:t>
            </w:r>
          </w:p>
        </w:tc>
        <w:tc>
          <w:tcPr>
            <w:tcW w:w="1019" w:type="pct"/>
            <w:tcBorders>
              <w:top w:val="nil"/>
              <w:left w:val="nil"/>
              <w:bottom w:val="single" w:sz="4" w:space="0" w:color="auto"/>
              <w:right w:val="single" w:sz="4" w:space="0" w:color="auto"/>
            </w:tcBorders>
            <w:shd w:val="clear" w:color="auto" w:fill="auto"/>
            <w:noWrap/>
            <w:vAlign w:val="center"/>
          </w:tcPr>
          <w:p w14:paraId="1DE70C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51.57 </w:t>
            </w:r>
          </w:p>
        </w:tc>
        <w:tc>
          <w:tcPr>
            <w:tcW w:w="1309" w:type="pct"/>
            <w:tcBorders>
              <w:top w:val="nil"/>
              <w:left w:val="nil"/>
              <w:bottom w:val="single" w:sz="4" w:space="0" w:color="auto"/>
              <w:right w:val="single" w:sz="4" w:space="0" w:color="auto"/>
            </w:tcBorders>
            <w:shd w:val="clear" w:color="auto" w:fill="auto"/>
            <w:noWrap/>
            <w:vAlign w:val="center"/>
          </w:tcPr>
          <w:p w14:paraId="43DAF6C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7.16 </w:t>
            </w:r>
          </w:p>
        </w:tc>
      </w:tr>
      <w:tr w:rsidR="002133E3" w14:paraId="3AA03CFD"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3AF91D6"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717A93D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G1-3</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068745F4"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noWrap/>
            <w:vAlign w:val="center"/>
          </w:tcPr>
          <w:p w14:paraId="0E934BD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2.74 </w:t>
            </w:r>
          </w:p>
        </w:tc>
        <w:tc>
          <w:tcPr>
            <w:tcW w:w="1309" w:type="pct"/>
            <w:tcBorders>
              <w:top w:val="nil"/>
              <w:left w:val="nil"/>
              <w:bottom w:val="single" w:sz="4" w:space="0" w:color="auto"/>
              <w:right w:val="single" w:sz="4" w:space="0" w:color="auto"/>
            </w:tcBorders>
            <w:shd w:val="clear" w:color="auto" w:fill="auto"/>
            <w:noWrap/>
            <w:vAlign w:val="center"/>
          </w:tcPr>
          <w:p w14:paraId="43D0C19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0.38 </w:t>
            </w:r>
          </w:p>
        </w:tc>
      </w:tr>
      <w:tr w:rsidR="002133E3" w14:paraId="54F62D3B"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0507C0B"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1AB38C70"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751F6160"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noWrap/>
            <w:vAlign w:val="center"/>
          </w:tcPr>
          <w:p w14:paraId="4FE7A50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22.26 </w:t>
            </w:r>
          </w:p>
        </w:tc>
        <w:tc>
          <w:tcPr>
            <w:tcW w:w="1309" w:type="pct"/>
            <w:tcBorders>
              <w:top w:val="nil"/>
              <w:left w:val="nil"/>
              <w:bottom w:val="single" w:sz="4" w:space="0" w:color="auto"/>
              <w:right w:val="single" w:sz="4" w:space="0" w:color="auto"/>
            </w:tcBorders>
            <w:shd w:val="clear" w:color="auto" w:fill="auto"/>
            <w:noWrap/>
            <w:vAlign w:val="center"/>
          </w:tcPr>
          <w:p w14:paraId="04B2A8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3.09 </w:t>
            </w:r>
          </w:p>
        </w:tc>
      </w:tr>
      <w:tr w:rsidR="002133E3" w14:paraId="022F5006"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03321345"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3319E195"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02EFEEB9"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noWrap/>
            <w:vAlign w:val="center"/>
          </w:tcPr>
          <w:p w14:paraId="49A5CE4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1.03 </w:t>
            </w:r>
          </w:p>
        </w:tc>
        <w:tc>
          <w:tcPr>
            <w:tcW w:w="1309" w:type="pct"/>
            <w:tcBorders>
              <w:top w:val="nil"/>
              <w:left w:val="nil"/>
              <w:bottom w:val="single" w:sz="4" w:space="0" w:color="auto"/>
              <w:right w:val="single" w:sz="4" w:space="0" w:color="auto"/>
            </w:tcBorders>
            <w:shd w:val="clear" w:color="auto" w:fill="auto"/>
            <w:noWrap/>
            <w:vAlign w:val="center"/>
          </w:tcPr>
          <w:p w14:paraId="78E8486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0.14 </w:t>
            </w:r>
          </w:p>
        </w:tc>
      </w:tr>
      <w:tr w:rsidR="002133E3" w14:paraId="6577C158"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6C1DA229"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47E2F0A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G1-4</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683683CA"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noWrap/>
            <w:vAlign w:val="center"/>
          </w:tcPr>
          <w:p w14:paraId="0E6ACFC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0.02 </w:t>
            </w:r>
          </w:p>
        </w:tc>
        <w:tc>
          <w:tcPr>
            <w:tcW w:w="1309" w:type="pct"/>
            <w:tcBorders>
              <w:top w:val="nil"/>
              <w:left w:val="nil"/>
              <w:bottom w:val="single" w:sz="4" w:space="0" w:color="auto"/>
              <w:right w:val="single" w:sz="4" w:space="0" w:color="auto"/>
            </w:tcBorders>
            <w:shd w:val="clear" w:color="auto" w:fill="auto"/>
            <w:noWrap/>
            <w:vAlign w:val="center"/>
          </w:tcPr>
          <w:p w14:paraId="32B1AE4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0.00 </w:t>
            </w:r>
          </w:p>
        </w:tc>
      </w:tr>
      <w:tr w:rsidR="002133E3" w14:paraId="3D768F55"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E4127DB"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64A2E30F"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57EDA2DF"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noWrap/>
            <w:vAlign w:val="center"/>
          </w:tcPr>
          <w:p w14:paraId="528E18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24.98 </w:t>
            </w:r>
          </w:p>
        </w:tc>
        <w:tc>
          <w:tcPr>
            <w:tcW w:w="1309" w:type="pct"/>
            <w:tcBorders>
              <w:top w:val="nil"/>
              <w:left w:val="nil"/>
              <w:bottom w:val="single" w:sz="4" w:space="0" w:color="auto"/>
              <w:right w:val="single" w:sz="4" w:space="0" w:color="auto"/>
            </w:tcBorders>
            <w:shd w:val="clear" w:color="auto" w:fill="auto"/>
            <w:noWrap/>
            <w:vAlign w:val="center"/>
          </w:tcPr>
          <w:p w14:paraId="304E0D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3.47 </w:t>
            </w:r>
          </w:p>
        </w:tc>
      </w:tr>
      <w:tr w:rsidR="002133E3" w14:paraId="4C65CEB6"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086584A0"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399DB24F"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71CE65C6"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noWrap/>
            <w:vAlign w:val="center"/>
          </w:tcPr>
          <w:p w14:paraId="16235E6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0.23 </w:t>
            </w:r>
          </w:p>
        </w:tc>
        <w:tc>
          <w:tcPr>
            <w:tcW w:w="1309" w:type="pct"/>
            <w:tcBorders>
              <w:top w:val="nil"/>
              <w:left w:val="nil"/>
              <w:bottom w:val="single" w:sz="4" w:space="0" w:color="auto"/>
              <w:right w:val="single" w:sz="4" w:space="0" w:color="auto"/>
            </w:tcBorders>
            <w:shd w:val="clear" w:color="auto" w:fill="auto"/>
            <w:noWrap/>
            <w:vAlign w:val="center"/>
          </w:tcPr>
          <w:p w14:paraId="65E990D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0.03 </w:t>
            </w:r>
          </w:p>
        </w:tc>
      </w:tr>
      <w:tr w:rsidR="002133E3" w14:paraId="4DDA495F"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78B7F0B5"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439A52B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G1-5</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126496E5"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noWrap/>
            <w:vAlign w:val="center"/>
          </w:tcPr>
          <w:p w14:paraId="37FD833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2.74 </w:t>
            </w:r>
          </w:p>
        </w:tc>
        <w:tc>
          <w:tcPr>
            <w:tcW w:w="1309" w:type="pct"/>
            <w:tcBorders>
              <w:top w:val="nil"/>
              <w:left w:val="nil"/>
              <w:bottom w:val="single" w:sz="4" w:space="0" w:color="auto"/>
              <w:right w:val="single" w:sz="4" w:space="0" w:color="auto"/>
            </w:tcBorders>
            <w:shd w:val="clear" w:color="auto" w:fill="auto"/>
            <w:noWrap/>
            <w:vAlign w:val="center"/>
          </w:tcPr>
          <w:p w14:paraId="139ECAE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0.38 </w:t>
            </w:r>
          </w:p>
        </w:tc>
      </w:tr>
      <w:tr w:rsidR="002133E3" w14:paraId="57B7828D"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4A3D925C"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3724ACE3"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150955A9"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noWrap/>
            <w:vAlign w:val="center"/>
          </w:tcPr>
          <w:p w14:paraId="2227FC0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22.26 </w:t>
            </w:r>
          </w:p>
        </w:tc>
        <w:tc>
          <w:tcPr>
            <w:tcW w:w="1309" w:type="pct"/>
            <w:tcBorders>
              <w:top w:val="nil"/>
              <w:left w:val="nil"/>
              <w:bottom w:val="single" w:sz="4" w:space="0" w:color="auto"/>
              <w:right w:val="single" w:sz="4" w:space="0" w:color="auto"/>
            </w:tcBorders>
            <w:shd w:val="clear" w:color="auto" w:fill="auto"/>
            <w:noWrap/>
            <w:vAlign w:val="center"/>
          </w:tcPr>
          <w:p w14:paraId="72FC64E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3.09 </w:t>
            </w:r>
          </w:p>
        </w:tc>
      </w:tr>
      <w:tr w:rsidR="002133E3" w14:paraId="5CB8BD2C"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61841A7"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5B9B62C2"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7328841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noWrap/>
            <w:vAlign w:val="center"/>
          </w:tcPr>
          <w:p w14:paraId="745F66F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1.02 </w:t>
            </w:r>
          </w:p>
        </w:tc>
        <w:tc>
          <w:tcPr>
            <w:tcW w:w="1309" w:type="pct"/>
            <w:tcBorders>
              <w:top w:val="nil"/>
              <w:left w:val="nil"/>
              <w:bottom w:val="single" w:sz="4" w:space="0" w:color="auto"/>
              <w:right w:val="single" w:sz="4" w:space="0" w:color="auto"/>
            </w:tcBorders>
            <w:shd w:val="clear" w:color="auto" w:fill="auto"/>
            <w:noWrap/>
            <w:vAlign w:val="center"/>
          </w:tcPr>
          <w:p w14:paraId="0AFE66C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0.14 </w:t>
            </w:r>
          </w:p>
        </w:tc>
      </w:tr>
      <w:tr w:rsidR="002133E3" w14:paraId="4B35CC1E"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63E30A1"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0ADC5CB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G1-6</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42DCC1BA"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noWrap/>
            <w:vAlign w:val="center"/>
          </w:tcPr>
          <w:p w14:paraId="2A00C4B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0.02 </w:t>
            </w:r>
          </w:p>
        </w:tc>
        <w:tc>
          <w:tcPr>
            <w:tcW w:w="1309" w:type="pct"/>
            <w:tcBorders>
              <w:top w:val="nil"/>
              <w:left w:val="nil"/>
              <w:bottom w:val="single" w:sz="4" w:space="0" w:color="auto"/>
              <w:right w:val="single" w:sz="4" w:space="0" w:color="auto"/>
            </w:tcBorders>
            <w:shd w:val="clear" w:color="auto" w:fill="auto"/>
            <w:noWrap/>
            <w:vAlign w:val="center"/>
          </w:tcPr>
          <w:p w14:paraId="7A87EA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0.00 </w:t>
            </w:r>
          </w:p>
        </w:tc>
      </w:tr>
      <w:tr w:rsidR="002133E3" w14:paraId="1006E8D8"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69E483DF"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7EA3EE34"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71F64C2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noWrap/>
            <w:vAlign w:val="center"/>
          </w:tcPr>
          <w:p w14:paraId="10D574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24.98 </w:t>
            </w:r>
          </w:p>
        </w:tc>
        <w:tc>
          <w:tcPr>
            <w:tcW w:w="1309" w:type="pct"/>
            <w:tcBorders>
              <w:top w:val="nil"/>
              <w:left w:val="nil"/>
              <w:bottom w:val="single" w:sz="4" w:space="0" w:color="auto"/>
              <w:right w:val="single" w:sz="4" w:space="0" w:color="auto"/>
            </w:tcBorders>
            <w:shd w:val="clear" w:color="auto" w:fill="auto"/>
            <w:noWrap/>
            <w:vAlign w:val="center"/>
          </w:tcPr>
          <w:p w14:paraId="67DC78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3.47 </w:t>
            </w:r>
          </w:p>
        </w:tc>
      </w:tr>
      <w:tr w:rsidR="002133E3" w14:paraId="0CCF905F"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741F57FE"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717FADF2"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4A4114B9"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noWrap/>
            <w:vAlign w:val="center"/>
          </w:tcPr>
          <w:p w14:paraId="3DC4E82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0.23 </w:t>
            </w:r>
          </w:p>
        </w:tc>
        <w:tc>
          <w:tcPr>
            <w:tcW w:w="1309" w:type="pct"/>
            <w:tcBorders>
              <w:top w:val="nil"/>
              <w:left w:val="nil"/>
              <w:bottom w:val="single" w:sz="4" w:space="0" w:color="auto"/>
              <w:right w:val="single" w:sz="4" w:space="0" w:color="auto"/>
            </w:tcBorders>
            <w:shd w:val="clear" w:color="auto" w:fill="auto"/>
            <w:noWrap/>
            <w:vAlign w:val="center"/>
          </w:tcPr>
          <w:p w14:paraId="460A1B8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szCs w:val="21"/>
              </w:rPr>
              <w:t xml:space="preserve">0.03 </w:t>
            </w:r>
          </w:p>
        </w:tc>
      </w:tr>
      <w:tr w:rsidR="002133E3" w14:paraId="4630CCE0" w14:textId="77777777">
        <w:trPr>
          <w:trHeight w:val="284"/>
        </w:trPr>
        <w:tc>
          <w:tcPr>
            <w:tcW w:w="1102" w:type="pct"/>
            <w:vMerge w:val="restart"/>
            <w:tcBorders>
              <w:top w:val="nil"/>
              <w:left w:val="single" w:sz="4" w:space="0" w:color="auto"/>
              <w:bottom w:val="single" w:sz="4" w:space="0" w:color="auto"/>
              <w:right w:val="single" w:sz="4" w:space="0" w:color="auto"/>
            </w:tcBorders>
            <w:shd w:val="clear" w:color="auto" w:fill="auto"/>
            <w:vAlign w:val="center"/>
          </w:tcPr>
          <w:p w14:paraId="11E23D12" w14:textId="77777777" w:rsidR="002133E3" w:rsidRDefault="00C22CFA">
            <w:pPr>
              <w:widowControl/>
              <w:jc w:val="center"/>
              <w:rPr>
                <w:rFonts w:ascii="Times New Roman" w:eastAsia="等线" w:hAnsi="Times New Roman" w:cs="Times New Roman"/>
                <w:kern w:val="0"/>
                <w:szCs w:val="21"/>
              </w:rPr>
            </w:pPr>
            <w:bookmarkStart w:id="34" w:name="RANGE!A21"/>
            <w:r>
              <w:rPr>
                <w:rFonts w:ascii="Times New Roman" w:eastAsia="等线" w:hAnsi="Times New Roman" w:cs="Times New Roman"/>
                <w:kern w:val="0"/>
                <w:szCs w:val="21"/>
              </w:rPr>
              <w:t>5</w:t>
            </w:r>
            <w:r>
              <w:rPr>
                <w:rFonts w:ascii="Times New Roman" w:eastAsia="宋体" w:hAnsi="Times New Roman" w:cs="Times New Roman"/>
                <w:b/>
                <w:bCs/>
                <w:color w:val="000000"/>
                <w:kern w:val="0"/>
                <w:szCs w:val="21"/>
              </w:rPr>
              <w:t>万</w:t>
            </w:r>
            <w:r>
              <w:rPr>
                <w:rFonts w:ascii="Times New Roman" w:eastAsia="等线" w:hAnsi="Times New Roman" w:cs="Times New Roman"/>
                <w:b/>
                <w:bCs/>
                <w:color w:val="000000"/>
                <w:kern w:val="0"/>
                <w:szCs w:val="21"/>
              </w:rPr>
              <w:t>t/a</w:t>
            </w:r>
            <w:r>
              <w:rPr>
                <w:rFonts w:ascii="Times New Roman" w:eastAsia="宋体" w:hAnsi="Times New Roman" w:cs="Times New Roman"/>
                <w:b/>
                <w:bCs/>
                <w:color w:val="000000"/>
                <w:kern w:val="0"/>
                <w:szCs w:val="21"/>
              </w:rPr>
              <w:t>酒精</w:t>
            </w:r>
            <w:r>
              <w:rPr>
                <w:rFonts w:ascii="Times New Roman" w:eastAsia="等线" w:hAnsi="Times New Roman" w:cs="Times New Roman"/>
                <w:b/>
                <w:bCs/>
                <w:color w:val="000000"/>
                <w:kern w:val="0"/>
                <w:szCs w:val="21"/>
              </w:rPr>
              <w:t>(</w:t>
            </w:r>
            <w:r>
              <w:rPr>
                <w:rFonts w:ascii="Times New Roman" w:eastAsia="宋体" w:hAnsi="Times New Roman" w:cs="Times New Roman"/>
                <w:b/>
                <w:bCs/>
                <w:color w:val="000000"/>
                <w:kern w:val="0"/>
                <w:szCs w:val="21"/>
              </w:rPr>
              <w:t>≥</w:t>
            </w:r>
            <w:r>
              <w:rPr>
                <w:rFonts w:ascii="Times New Roman" w:eastAsia="等线" w:hAnsi="Times New Roman" w:cs="Times New Roman"/>
                <w:b/>
                <w:bCs/>
                <w:color w:val="000000"/>
                <w:kern w:val="0"/>
                <w:szCs w:val="21"/>
              </w:rPr>
              <w:t>95%,V/V)</w:t>
            </w:r>
            <w:r>
              <w:rPr>
                <w:rFonts w:ascii="Times New Roman" w:eastAsia="宋体" w:hAnsi="Times New Roman" w:cs="Times New Roman"/>
                <w:b/>
                <w:bCs/>
                <w:color w:val="000000"/>
                <w:kern w:val="0"/>
                <w:szCs w:val="21"/>
              </w:rPr>
              <w:t>生产线</w:t>
            </w:r>
            <w:bookmarkEnd w:id="34"/>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2F4D83A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G1-7</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4BBF71C8"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019" w:type="pct"/>
            <w:tcBorders>
              <w:top w:val="nil"/>
              <w:left w:val="nil"/>
              <w:bottom w:val="single" w:sz="4" w:space="0" w:color="auto"/>
              <w:right w:val="single" w:sz="4" w:space="0" w:color="auto"/>
            </w:tcBorders>
            <w:shd w:val="clear" w:color="auto" w:fill="auto"/>
            <w:vAlign w:val="center"/>
          </w:tcPr>
          <w:p w14:paraId="0A7CEBA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8.00 </w:t>
            </w:r>
          </w:p>
        </w:tc>
        <w:tc>
          <w:tcPr>
            <w:tcW w:w="1309" w:type="pct"/>
            <w:tcBorders>
              <w:top w:val="nil"/>
              <w:left w:val="nil"/>
              <w:bottom w:val="single" w:sz="4" w:space="0" w:color="auto"/>
              <w:right w:val="single" w:sz="4" w:space="0" w:color="auto"/>
            </w:tcBorders>
            <w:shd w:val="clear" w:color="auto" w:fill="auto"/>
            <w:vAlign w:val="center"/>
          </w:tcPr>
          <w:p w14:paraId="756887D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1.11 </w:t>
            </w:r>
          </w:p>
        </w:tc>
      </w:tr>
      <w:tr w:rsidR="002133E3" w14:paraId="2A7D2974"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59309201"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375E0808"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2D66E250"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水蒸气</w:t>
            </w:r>
          </w:p>
        </w:tc>
        <w:tc>
          <w:tcPr>
            <w:tcW w:w="1019" w:type="pct"/>
            <w:tcBorders>
              <w:top w:val="nil"/>
              <w:left w:val="nil"/>
              <w:bottom w:val="single" w:sz="4" w:space="0" w:color="auto"/>
              <w:right w:val="single" w:sz="4" w:space="0" w:color="auto"/>
            </w:tcBorders>
            <w:shd w:val="clear" w:color="auto" w:fill="auto"/>
            <w:vAlign w:val="center"/>
          </w:tcPr>
          <w:p w14:paraId="5F04F4D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38.88 </w:t>
            </w:r>
          </w:p>
        </w:tc>
        <w:tc>
          <w:tcPr>
            <w:tcW w:w="1309" w:type="pct"/>
            <w:tcBorders>
              <w:top w:val="nil"/>
              <w:left w:val="nil"/>
              <w:bottom w:val="single" w:sz="4" w:space="0" w:color="auto"/>
              <w:right w:val="single" w:sz="4" w:space="0" w:color="auto"/>
            </w:tcBorders>
            <w:shd w:val="clear" w:color="auto" w:fill="auto"/>
            <w:vAlign w:val="center"/>
          </w:tcPr>
          <w:p w14:paraId="5C32F8B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5.40 </w:t>
            </w:r>
          </w:p>
        </w:tc>
      </w:tr>
      <w:tr w:rsidR="002133E3" w14:paraId="1FF3C0FD"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1EAC02DC" w14:textId="77777777" w:rsidR="002133E3" w:rsidRDefault="002133E3">
            <w:pPr>
              <w:widowControl/>
              <w:jc w:val="center"/>
              <w:rPr>
                <w:rFonts w:ascii="Times New Roman" w:eastAsia="等线" w:hAnsi="Times New Roman" w:cs="Times New Roman"/>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47F682D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G1-8</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570678E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1019" w:type="pct"/>
            <w:tcBorders>
              <w:top w:val="nil"/>
              <w:left w:val="nil"/>
              <w:bottom w:val="single" w:sz="4" w:space="0" w:color="auto"/>
              <w:right w:val="single" w:sz="4" w:space="0" w:color="auto"/>
            </w:tcBorders>
            <w:shd w:val="clear" w:color="auto" w:fill="auto"/>
            <w:vAlign w:val="center"/>
          </w:tcPr>
          <w:p w14:paraId="2E5906F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45981.42 </w:t>
            </w:r>
          </w:p>
        </w:tc>
        <w:tc>
          <w:tcPr>
            <w:tcW w:w="1309" w:type="pct"/>
            <w:tcBorders>
              <w:top w:val="nil"/>
              <w:left w:val="nil"/>
              <w:bottom w:val="single" w:sz="4" w:space="0" w:color="auto"/>
              <w:right w:val="single" w:sz="4" w:space="0" w:color="auto"/>
            </w:tcBorders>
            <w:shd w:val="clear" w:color="auto" w:fill="auto"/>
            <w:vAlign w:val="center"/>
          </w:tcPr>
          <w:p w14:paraId="286E064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6386.31 </w:t>
            </w:r>
          </w:p>
        </w:tc>
      </w:tr>
      <w:tr w:rsidR="002133E3" w14:paraId="0F565717"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653F72AA"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4E1ECBE8"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0E816F8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vAlign w:val="center"/>
          </w:tcPr>
          <w:p w14:paraId="16A1601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23.49 </w:t>
            </w:r>
          </w:p>
        </w:tc>
        <w:tc>
          <w:tcPr>
            <w:tcW w:w="1309" w:type="pct"/>
            <w:tcBorders>
              <w:top w:val="nil"/>
              <w:left w:val="nil"/>
              <w:bottom w:val="single" w:sz="4" w:space="0" w:color="auto"/>
              <w:right w:val="single" w:sz="4" w:space="0" w:color="auto"/>
            </w:tcBorders>
            <w:shd w:val="clear" w:color="auto" w:fill="auto"/>
            <w:vAlign w:val="center"/>
          </w:tcPr>
          <w:p w14:paraId="47F14E5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3.26 </w:t>
            </w:r>
          </w:p>
        </w:tc>
      </w:tr>
      <w:tr w:rsidR="002133E3" w14:paraId="465EB1C3"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7E57C2C7"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07D839B1"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0D29F646"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vAlign w:val="center"/>
          </w:tcPr>
          <w:p w14:paraId="1DD98D0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0.01 </w:t>
            </w:r>
          </w:p>
        </w:tc>
        <w:tc>
          <w:tcPr>
            <w:tcW w:w="1309" w:type="pct"/>
            <w:tcBorders>
              <w:top w:val="nil"/>
              <w:left w:val="nil"/>
              <w:bottom w:val="single" w:sz="4" w:space="0" w:color="auto"/>
              <w:right w:val="single" w:sz="4" w:space="0" w:color="auto"/>
            </w:tcBorders>
            <w:shd w:val="clear" w:color="auto" w:fill="auto"/>
            <w:vAlign w:val="center"/>
          </w:tcPr>
          <w:p w14:paraId="3E044F3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0.00 </w:t>
            </w:r>
          </w:p>
        </w:tc>
      </w:tr>
      <w:tr w:rsidR="002133E3" w14:paraId="184D5D47"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39D67110"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72BC49E0"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3C6B1920"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水蒸气</w:t>
            </w:r>
          </w:p>
        </w:tc>
        <w:tc>
          <w:tcPr>
            <w:tcW w:w="1019" w:type="pct"/>
            <w:tcBorders>
              <w:top w:val="nil"/>
              <w:left w:val="nil"/>
              <w:bottom w:val="single" w:sz="4" w:space="0" w:color="auto"/>
              <w:right w:val="single" w:sz="4" w:space="0" w:color="auto"/>
            </w:tcBorders>
            <w:shd w:val="clear" w:color="auto" w:fill="auto"/>
            <w:vAlign w:val="center"/>
          </w:tcPr>
          <w:p w14:paraId="73AFB91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25.79 </w:t>
            </w:r>
          </w:p>
        </w:tc>
        <w:tc>
          <w:tcPr>
            <w:tcW w:w="1309" w:type="pct"/>
            <w:tcBorders>
              <w:top w:val="nil"/>
              <w:left w:val="nil"/>
              <w:bottom w:val="single" w:sz="4" w:space="0" w:color="auto"/>
              <w:right w:val="single" w:sz="4" w:space="0" w:color="auto"/>
            </w:tcBorders>
            <w:shd w:val="clear" w:color="auto" w:fill="auto"/>
            <w:vAlign w:val="center"/>
          </w:tcPr>
          <w:p w14:paraId="375D7B3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3.58 </w:t>
            </w:r>
          </w:p>
        </w:tc>
      </w:tr>
      <w:tr w:rsidR="002133E3" w14:paraId="01791168"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6B003446" w14:textId="77777777" w:rsidR="002133E3" w:rsidRDefault="002133E3">
            <w:pPr>
              <w:widowControl/>
              <w:jc w:val="center"/>
              <w:rPr>
                <w:rFonts w:ascii="Times New Roman" w:eastAsia="等线" w:hAnsi="Times New Roman" w:cs="Times New Roman"/>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01E2463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G1-9</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60AC44E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vAlign w:val="center"/>
          </w:tcPr>
          <w:p w14:paraId="4BDD4AF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2.74 </w:t>
            </w:r>
          </w:p>
        </w:tc>
        <w:tc>
          <w:tcPr>
            <w:tcW w:w="1309" w:type="pct"/>
            <w:tcBorders>
              <w:top w:val="nil"/>
              <w:left w:val="nil"/>
              <w:bottom w:val="single" w:sz="4" w:space="0" w:color="auto"/>
              <w:right w:val="single" w:sz="4" w:space="0" w:color="auto"/>
            </w:tcBorders>
            <w:shd w:val="clear" w:color="auto" w:fill="auto"/>
            <w:vAlign w:val="center"/>
          </w:tcPr>
          <w:p w14:paraId="03918A7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0.38 </w:t>
            </w:r>
          </w:p>
        </w:tc>
      </w:tr>
      <w:tr w:rsidR="002133E3" w14:paraId="6AB7EA27"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1C9D7C07"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60ABE9B1"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3E3105C7"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vAlign w:val="center"/>
          </w:tcPr>
          <w:p w14:paraId="79B7769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22.26 </w:t>
            </w:r>
          </w:p>
        </w:tc>
        <w:tc>
          <w:tcPr>
            <w:tcW w:w="1309" w:type="pct"/>
            <w:tcBorders>
              <w:top w:val="nil"/>
              <w:left w:val="nil"/>
              <w:bottom w:val="single" w:sz="4" w:space="0" w:color="auto"/>
              <w:right w:val="single" w:sz="4" w:space="0" w:color="auto"/>
            </w:tcBorders>
            <w:shd w:val="clear" w:color="auto" w:fill="auto"/>
            <w:vAlign w:val="center"/>
          </w:tcPr>
          <w:p w14:paraId="0E4E3E4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3.09 </w:t>
            </w:r>
          </w:p>
        </w:tc>
      </w:tr>
      <w:tr w:rsidR="002133E3" w14:paraId="1E59CEB4"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2C9EDB7F"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65575E3E"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63C758D2"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vAlign w:val="center"/>
          </w:tcPr>
          <w:p w14:paraId="71A76A7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1.02 </w:t>
            </w:r>
          </w:p>
        </w:tc>
        <w:tc>
          <w:tcPr>
            <w:tcW w:w="1309" w:type="pct"/>
            <w:tcBorders>
              <w:top w:val="nil"/>
              <w:left w:val="nil"/>
              <w:bottom w:val="single" w:sz="4" w:space="0" w:color="auto"/>
              <w:right w:val="single" w:sz="4" w:space="0" w:color="auto"/>
            </w:tcBorders>
            <w:shd w:val="clear" w:color="auto" w:fill="auto"/>
            <w:vAlign w:val="center"/>
          </w:tcPr>
          <w:p w14:paraId="3EAD6DC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0.14 </w:t>
            </w:r>
          </w:p>
        </w:tc>
      </w:tr>
      <w:tr w:rsidR="002133E3" w14:paraId="697ED45A"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765B8D94" w14:textId="77777777" w:rsidR="002133E3" w:rsidRDefault="002133E3">
            <w:pPr>
              <w:widowControl/>
              <w:jc w:val="center"/>
              <w:rPr>
                <w:rFonts w:ascii="Times New Roman" w:eastAsia="等线" w:hAnsi="Times New Roman" w:cs="Times New Roman"/>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31535DD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G1-10</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6643599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甲醇、醛等</w:t>
            </w:r>
          </w:p>
        </w:tc>
        <w:tc>
          <w:tcPr>
            <w:tcW w:w="1019" w:type="pct"/>
            <w:tcBorders>
              <w:top w:val="nil"/>
              <w:left w:val="nil"/>
              <w:bottom w:val="single" w:sz="4" w:space="0" w:color="auto"/>
              <w:right w:val="single" w:sz="4" w:space="0" w:color="auto"/>
            </w:tcBorders>
            <w:shd w:val="clear" w:color="auto" w:fill="auto"/>
            <w:vAlign w:val="center"/>
          </w:tcPr>
          <w:p w14:paraId="40D1E6C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0.02 </w:t>
            </w:r>
          </w:p>
        </w:tc>
        <w:tc>
          <w:tcPr>
            <w:tcW w:w="1309" w:type="pct"/>
            <w:tcBorders>
              <w:top w:val="nil"/>
              <w:left w:val="nil"/>
              <w:bottom w:val="single" w:sz="4" w:space="0" w:color="auto"/>
              <w:right w:val="single" w:sz="4" w:space="0" w:color="auto"/>
            </w:tcBorders>
            <w:shd w:val="clear" w:color="auto" w:fill="auto"/>
            <w:vAlign w:val="center"/>
          </w:tcPr>
          <w:p w14:paraId="4F902F9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0.00 </w:t>
            </w:r>
          </w:p>
        </w:tc>
      </w:tr>
      <w:tr w:rsidR="002133E3" w14:paraId="117FBA2D"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41A55D62"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7FFC4686"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0C2A7F4A"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vAlign w:val="center"/>
          </w:tcPr>
          <w:p w14:paraId="5561F00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24.98 </w:t>
            </w:r>
          </w:p>
        </w:tc>
        <w:tc>
          <w:tcPr>
            <w:tcW w:w="1309" w:type="pct"/>
            <w:tcBorders>
              <w:top w:val="nil"/>
              <w:left w:val="nil"/>
              <w:bottom w:val="single" w:sz="4" w:space="0" w:color="auto"/>
              <w:right w:val="single" w:sz="4" w:space="0" w:color="auto"/>
            </w:tcBorders>
            <w:shd w:val="clear" w:color="auto" w:fill="auto"/>
            <w:vAlign w:val="center"/>
          </w:tcPr>
          <w:p w14:paraId="29432F7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3.47 </w:t>
            </w:r>
          </w:p>
        </w:tc>
      </w:tr>
      <w:tr w:rsidR="002133E3" w14:paraId="5A3F4C36"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6C1605B2" w14:textId="77777777" w:rsidR="002133E3" w:rsidRDefault="002133E3">
            <w:pPr>
              <w:widowControl/>
              <w:jc w:val="center"/>
              <w:rPr>
                <w:rFonts w:ascii="Times New Roman" w:eastAsia="等线" w:hAnsi="Times New Roman" w:cs="Times New Roman"/>
                <w:kern w:val="0"/>
                <w:szCs w:val="21"/>
              </w:rPr>
            </w:pPr>
          </w:p>
        </w:tc>
        <w:tc>
          <w:tcPr>
            <w:tcW w:w="744" w:type="pct"/>
            <w:vMerge/>
            <w:tcBorders>
              <w:top w:val="nil"/>
              <w:left w:val="single" w:sz="4" w:space="0" w:color="auto"/>
              <w:bottom w:val="single" w:sz="4" w:space="0" w:color="auto"/>
              <w:right w:val="single" w:sz="4" w:space="0" w:color="auto"/>
            </w:tcBorders>
            <w:vAlign w:val="center"/>
          </w:tcPr>
          <w:p w14:paraId="23E56418"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323DABE2"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vAlign w:val="center"/>
          </w:tcPr>
          <w:p w14:paraId="02F7DBA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0.22 </w:t>
            </w:r>
          </w:p>
        </w:tc>
        <w:tc>
          <w:tcPr>
            <w:tcW w:w="1309" w:type="pct"/>
            <w:tcBorders>
              <w:top w:val="nil"/>
              <w:left w:val="nil"/>
              <w:bottom w:val="single" w:sz="4" w:space="0" w:color="auto"/>
              <w:right w:val="single" w:sz="4" w:space="0" w:color="auto"/>
            </w:tcBorders>
            <w:shd w:val="clear" w:color="auto" w:fill="auto"/>
            <w:vAlign w:val="center"/>
          </w:tcPr>
          <w:p w14:paraId="79B2C51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0.03 </w:t>
            </w:r>
          </w:p>
        </w:tc>
      </w:tr>
      <w:tr w:rsidR="002133E3" w14:paraId="6BF2566F" w14:textId="77777777">
        <w:trPr>
          <w:trHeight w:val="284"/>
        </w:trPr>
        <w:tc>
          <w:tcPr>
            <w:tcW w:w="1102" w:type="pct"/>
            <w:vMerge w:val="restart"/>
            <w:tcBorders>
              <w:top w:val="nil"/>
              <w:left w:val="single" w:sz="4" w:space="0" w:color="auto"/>
              <w:bottom w:val="single" w:sz="4" w:space="0" w:color="auto"/>
              <w:right w:val="single" w:sz="4" w:space="0" w:color="auto"/>
            </w:tcBorders>
            <w:shd w:val="clear" w:color="auto" w:fill="auto"/>
            <w:vAlign w:val="center"/>
          </w:tcPr>
          <w:p w14:paraId="495B8A29"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等线" w:hAnsi="Times New Roman" w:cs="Times New Roman"/>
                <w:b/>
                <w:bCs/>
                <w:color w:val="000000"/>
                <w:kern w:val="0"/>
                <w:szCs w:val="21"/>
              </w:rPr>
              <w:t>6</w:t>
            </w:r>
            <w:r>
              <w:rPr>
                <w:rFonts w:ascii="Times New Roman" w:eastAsia="宋体" w:hAnsi="Times New Roman" w:cs="Times New Roman"/>
                <w:b/>
                <w:bCs/>
                <w:color w:val="000000"/>
                <w:kern w:val="0"/>
                <w:szCs w:val="21"/>
              </w:rPr>
              <w:t>万</w:t>
            </w:r>
            <w:r>
              <w:rPr>
                <w:rFonts w:ascii="Times New Roman" w:eastAsia="等线" w:hAnsi="Times New Roman" w:cs="Times New Roman"/>
                <w:b/>
                <w:bCs/>
                <w:color w:val="000000"/>
                <w:kern w:val="0"/>
                <w:szCs w:val="21"/>
              </w:rPr>
              <w:t>t/a</w:t>
            </w:r>
            <w:r>
              <w:rPr>
                <w:rFonts w:ascii="Times New Roman" w:eastAsia="宋体" w:hAnsi="Times New Roman" w:cs="Times New Roman"/>
                <w:b/>
                <w:bCs/>
                <w:color w:val="000000"/>
                <w:kern w:val="0"/>
                <w:szCs w:val="21"/>
              </w:rPr>
              <w:t>无水乙醇</w:t>
            </w:r>
            <w:r>
              <w:rPr>
                <w:rFonts w:ascii="Times New Roman" w:eastAsia="等线" w:hAnsi="Times New Roman" w:cs="Times New Roman"/>
                <w:b/>
                <w:bCs/>
                <w:color w:val="000000"/>
                <w:kern w:val="0"/>
                <w:szCs w:val="21"/>
              </w:rPr>
              <w:t>(</w:t>
            </w:r>
            <w:r>
              <w:rPr>
                <w:rFonts w:ascii="Times New Roman" w:eastAsia="宋体" w:hAnsi="Times New Roman" w:cs="Times New Roman"/>
                <w:b/>
                <w:bCs/>
                <w:color w:val="000000"/>
                <w:kern w:val="0"/>
                <w:szCs w:val="21"/>
              </w:rPr>
              <w:t>≥</w:t>
            </w:r>
            <w:r>
              <w:rPr>
                <w:rFonts w:ascii="Times New Roman" w:eastAsia="等线" w:hAnsi="Times New Roman" w:cs="Times New Roman"/>
                <w:b/>
                <w:bCs/>
                <w:color w:val="000000"/>
                <w:kern w:val="0"/>
                <w:szCs w:val="21"/>
              </w:rPr>
              <w:t>99.99%,V/V)</w:t>
            </w:r>
            <w:r>
              <w:rPr>
                <w:rFonts w:ascii="Times New Roman" w:eastAsia="宋体" w:hAnsi="Times New Roman" w:cs="Times New Roman"/>
                <w:b/>
                <w:bCs/>
                <w:color w:val="000000"/>
                <w:kern w:val="0"/>
                <w:szCs w:val="21"/>
              </w:rPr>
              <w:t>生产线</w:t>
            </w: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57D018D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2-1</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6556CB8C"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noWrap/>
            <w:vAlign w:val="center"/>
          </w:tcPr>
          <w:p w14:paraId="4DCB9DF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30.01</w:t>
            </w:r>
          </w:p>
        </w:tc>
        <w:tc>
          <w:tcPr>
            <w:tcW w:w="1309" w:type="pct"/>
            <w:tcBorders>
              <w:top w:val="nil"/>
              <w:left w:val="nil"/>
              <w:bottom w:val="single" w:sz="4" w:space="0" w:color="auto"/>
              <w:right w:val="single" w:sz="4" w:space="0" w:color="auto"/>
            </w:tcBorders>
            <w:shd w:val="clear" w:color="auto" w:fill="auto"/>
            <w:noWrap/>
            <w:vAlign w:val="center"/>
          </w:tcPr>
          <w:p w14:paraId="1777D9F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4.17</w:t>
            </w:r>
          </w:p>
        </w:tc>
      </w:tr>
      <w:tr w:rsidR="002133E3" w14:paraId="3647618B"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4AEAE1E0"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2FE82A77"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78B1D3C5"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noWrap/>
            <w:vAlign w:val="center"/>
          </w:tcPr>
          <w:p w14:paraId="591623C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0.004</w:t>
            </w:r>
          </w:p>
        </w:tc>
        <w:tc>
          <w:tcPr>
            <w:tcW w:w="1309" w:type="pct"/>
            <w:tcBorders>
              <w:top w:val="nil"/>
              <w:left w:val="nil"/>
              <w:bottom w:val="single" w:sz="4" w:space="0" w:color="auto"/>
              <w:right w:val="single" w:sz="4" w:space="0" w:color="auto"/>
            </w:tcBorders>
            <w:shd w:val="clear" w:color="auto" w:fill="auto"/>
            <w:noWrap/>
            <w:vAlign w:val="center"/>
          </w:tcPr>
          <w:p w14:paraId="416762D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0.001</w:t>
            </w:r>
          </w:p>
        </w:tc>
      </w:tr>
      <w:tr w:rsidR="002133E3" w14:paraId="75C41980"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6B75D501"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val="restart"/>
            <w:tcBorders>
              <w:top w:val="nil"/>
              <w:left w:val="single" w:sz="4" w:space="0" w:color="auto"/>
              <w:bottom w:val="single" w:sz="4" w:space="0" w:color="auto"/>
              <w:right w:val="single" w:sz="4" w:space="0" w:color="auto"/>
            </w:tcBorders>
            <w:shd w:val="clear" w:color="auto" w:fill="auto"/>
            <w:vAlign w:val="center"/>
          </w:tcPr>
          <w:p w14:paraId="22797A7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2-2</w:t>
            </w:r>
            <w:r>
              <w:rPr>
                <w:rFonts w:ascii="Times New Roman" w:eastAsia="宋体" w:hAnsi="Times New Roman" w:cs="Times New Roman"/>
                <w:kern w:val="0"/>
                <w:szCs w:val="21"/>
              </w:rPr>
              <w:t>：</w:t>
            </w:r>
          </w:p>
        </w:tc>
        <w:tc>
          <w:tcPr>
            <w:tcW w:w="826" w:type="pct"/>
            <w:tcBorders>
              <w:top w:val="nil"/>
              <w:left w:val="nil"/>
              <w:bottom w:val="single" w:sz="4" w:space="0" w:color="auto"/>
              <w:right w:val="single" w:sz="4" w:space="0" w:color="auto"/>
            </w:tcBorders>
            <w:shd w:val="clear" w:color="auto" w:fill="auto"/>
            <w:noWrap/>
            <w:vAlign w:val="center"/>
          </w:tcPr>
          <w:p w14:paraId="295B8DF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019" w:type="pct"/>
            <w:tcBorders>
              <w:top w:val="nil"/>
              <w:left w:val="nil"/>
              <w:bottom w:val="single" w:sz="4" w:space="0" w:color="auto"/>
              <w:right w:val="single" w:sz="4" w:space="0" w:color="auto"/>
            </w:tcBorders>
            <w:shd w:val="clear" w:color="auto" w:fill="auto"/>
            <w:noWrap/>
            <w:vAlign w:val="center"/>
          </w:tcPr>
          <w:p w14:paraId="3862A7D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4.17</w:t>
            </w:r>
          </w:p>
        </w:tc>
        <w:tc>
          <w:tcPr>
            <w:tcW w:w="1309" w:type="pct"/>
            <w:tcBorders>
              <w:top w:val="nil"/>
              <w:left w:val="nil"/>
              <w:bottom w:val="single" w:sz="4" w:space="0" w:color="auto"/>
              <w:right w:val="single" w:sz="4" w:space="0" w:color="auto"/>
            </w:tcBorders>
            <w:shd w:val="clear" w:color="auto" w:fill="auto"/>
            <w:noWrap/>
            <w:vAlign w:val="center"/>
          </w:tcPr>
          <w:p w14:paraId="3BCE55F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0.58</w:t>
            </w:r>
          </w:p>
        </w:tc>
      </w:tr>
      <w:tr w:rsidR="002133E3" w14:paraId="3F15D7CE" w14:textId="77777777">
        <w:trPr>
          <w:trHeight w:val="284"/>
        </w:trPr>
        <w:tc>
          <w:tcPr>
            <w:tcW w:w="1102" w:type="pct"/>
            <w:vMerge/>
            <w:tcBorders>
              <w:top w:val="nil"/>
              <w:left w:val="single" w:sz="4" w:space="0" w:color="auto"/>
              <w:bottom w:val="single" w:sz="4" w:space="0" w:color="auto"/>
              <w:right w:val="single" w:sz="4" w:space="0" w:color="auto"/>
            </w:tcBorders>
            <w:vAlign w:val="center"/>
          </w:tcPr>
          <w:p w14:paraId="7F13359D" w14:textId="77777777" w:rsidR="002133E3" w:rsidRDefault="002133E3">
            <w:pPr>
              <w:widowControl/>
              <w:jc w:val="center"/>
              <w:rPr>
                <w:rFonts w:ascii="Times New Roman" w:eastAsia="等线" w:hAnsi="Times New Roman" w:cs="Times New Roman"/>
                <w:b/>
                <w:bCs/>
                <w:color w:val="000000"/>
                <w:kern w:val="0"/>
                <w:szCs w:val="21"/>
              </w:rPr>
            </w:pPr>
          </w:p>
        </w:tc>
        <w:tc>
          <w:tcPr>
            <w:tcW w:w="744" w:type="pct"/>
            <w:vMerge/>
            <w:tcBorders>
              <w:top w:val="nil"/>
              <w:left w:val="single" w:sz="4" w:space="0" w:color="auto"/>
              <w:bottom w:val="single" w:sz="4" w:space="0" w:color="auto"/>
              <w:right w:val="single" w:sz="4" w:space="0" w:color="auto"/>
            </w:tcBorders>
            <w:vAlign w:val="center"/>
          </w:tcPr>
          <w:p w14:paraId="1EFCBA74" w14:textId="77777777" w:rsidR="002133E3" w:rsidRDefault="002133E3">
            <w:pPr>
              <w:widowControl/>
              <w:jc w:val="center"/>
              <w:rPr>
                <w:rFonts w:ascii="Times New Roman" w:eastAsia="等线" w:hAnsi="Times New Roman" w:cs="Times New Roman"/>
                <w:kern w:val="0"/>
                <w:szCs w:val="21"/>
              </w:rPr>
            </w:pPr>
          </w:p>
        </w:tc>
        <w:tc>
          <w:tcPr>
            <w:tcW w:w="826" w:type="pct"/>
            <w:tcBorders>
              <w:top w:val="nil"/>
              <w:left w:val="nil"/>
              <w:bottom w:val="single" w:sz="4" w:space="0" w:color="auto"/>
              <w:right w:val="single" w:sz="4" w:space="0" w:color="auto"/>
            </w:tcBorders>
            <w:shd w:val="clear" w:color="auto" w:fill="auto"/>
            <w:noWrap/>
            <w:vAlign w:val="center"/>
          </w:tcPr>
          <w:p w14:paraId="6089B5B4"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水</w:t>
            </w:r>
          </w:p>
        </w:tc>
        <w:tc>
          <w:tcPr>
            <w:tcW w:w="1019" w:type="pct"/>
            <w:tcBorders>
              <w:top w:val="nil"/>
              <w:left w:val="nil"/>
              <w:bottom w:val="single" w:sz="4" w:space="0" w:color="auto"/>
              <w:right w:val="single" w:sz="4" w:space="0" w:color="auto"/>
            </w:tcBorders>
            <w:shd w:val="clear" w:color="auto" w:fill="auto"/>
            <w:noWrap/>
            <w:vAlign w:val="center"/>
          </w:tcPr>
          <w:p w14:paraId="1E0C91C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2.27</w:t>
            </w:r>
          </w:p>
        </w:tc>
        <w:tc>
          <w:tcPr>
            <w:tcW w:w="1309" w:type="pct"/>
            <w:tcBorders>
              <w:top w:val="nil"/>
              <w:left w:val="nil"/>
              <w:bottom w:val="single" w:sz="4" w:space="0" w:color="auto"/>
              <w:right w:val="single" w:sz="4" w:space="0" w:color="auto"/>
            </w:tcBorders>
            <w:shd w:val="clear" w:color="auto" w:fill="auto"/>
            <w:noWrap/>
            <w:vAlign w:val="center"/>
          </w:tcPr>
          <w:p w14:paraId="634091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0.31</w:t>
            </w:r>
          </w:p>
        </w:tc>
      </w:tr>
    </w:tbl>
    <w:p w14:paraId="4404E210"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酒精两套生产线不同时运行，因此相应生产废气不同时产生，排放量选取</w:t>
      </w:r>
      <w:r>
        <w:rPr>
          <w:rFonts w:ascii="Times New Roman" w:eastAsia="宋体" w:hAnsi="Times New Roman" w:cs="Times New Roman"/>
          <w:kern w:val="0"/>
          <w:sz w:val="28"/>
          <w:szCs w:val="28"/>
        </w:rPr>
        <w:lastRenderedPageBreak/>
        <w:t>二者较大值。</w:t>
      </w:r>
    </w:p>
    <w:p w14:paraId="0A614CB1"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vertAlign w:val="subscript"/>
        </w:rPr>
      </w:pP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1-7</w:t>
      </w:r>
      <w:r>
        <w:rPr>
          <w:rFonts w:ascii="Times New Roman" w:eastAsia="宋体" w:hAnsi="Times New Roman" w:cs="Times New Roman"/>
          <w:kern w:val="0"/>
          <w:sz w:val="28"/>
          <w:szCs w:val="28"/>
        </w:rPr>
        <w:t>分别为</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万吨酒精和</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万吨酒精粉碎系统废气，两套粉碎系统不同时运行，粉碎废气不同时产生，由于其不共用治理设施及排气筒，因此，需对每一根排气筒进行达标判定。</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1-8</w:t>
      </w:r>
      <w:r>
        <w:rPr>
          <w:rFonts w:ascii="Times New Roman" w:eastAsia="宋体" w:hAnsi="Times New Roman" w:cs="Times New Roman"/>
          <w:kern w:val="0"/>
          <w:sz w:val="28"/>
          <w:szCs w:val="28"/>
        </w:rPr>
        <w:t>分别为</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万吨酒精和</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万吨酒精发酵系统废气，两套发酵系统不同时运行，因此发酵废气不同时产生，选取二者排放浓度较大值进行达标判定。</w:t>
      </w:r>
    </w:p>
    <w:p w14:paraId="51C7E3B6"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②危废仓库废气</w:t>
      </w:r>
    </w:p>
    <w:p w14:paraId="7C77ACE8"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厂区</w:t>
      </w:r>
      <w:r>
        <w:rPr>
          <w:rFonts w:ascii="Times New Roman" w:eastAsia="宋体" w:hAnsi="Times New Roman" w:cs="Times New Roman" w:hint="eastAsia"/>
          <w:sz w:val="28"/>
          <w:szCs w:val="28"/>
        </w:rPr>
        <w:t>已建</w:t>
      </w:r>
      <w:r>
        <w:rPr>
          <w:rFonts w:ascii="Times New Roman" w:eastAsia="宋体" w:hAnsi="Times New Roman" w:cs="Times New Roman"/>
          <w:sz w:val="28"/>
          <w:szCs w:val="28"/>
        </w:rPr>
        <w:t>约</w:t>
      </w:r>
      <w:r>
        <w:rPr>
          <w:rFonts w:ascii="Times New Roman" w:eastAsia="宋体" w:hAnsi="Times New Roman" w:cs="Times New Roman"/>
          <w:sz w:val="28"/>
          <w:szCs w:val="28"/>
        </w:rPr>
        <w:t>43.95m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危废仓库，用于暂存厂区内危险废物。</w:t>
      </w:r>
      <w:r>
        <w:rPr>
          <w:rFonts w:ascii="Times New Roman" w:eastAsia="宋体" w:hAnsi="Times New Roman" w:cs="Times New Roman" w:hint="eastAsia"/>
          <w:sz w:val="28"/>
          <w:szCs w:val="28"/>
        </w:rPr>
        <w:t>公司已批</w:t>
      </w:r>
      <w:r>
        <w:rPr>
          <w:rFonts w:ascii="Times New Roman" w:eastAsia="宋体" w:hAnsi="Times New Roman" w:cs="Times New Roman"/>
          <w:sz w:val="28"/>
          <w:szCs w:val="28"/>
        </w:rPr>
        <w:t>项目危废产生量约</w:t>
      </w:r>
      <w:r>
        <w:rPr>
          <w:rFonts w:ascii="Times New Roman" w:eastAsia="宋体" w:hAnsi="Times New Roman" w:cs="Times New Roman"/>
          <w:sz w:val="28"/>
          <w:szCs w:val="28"/>
        </w:rPr>
        <w:t>63.88t/a</w:t>
      </w:r>
      <w:r>
        <w:rPr>
          <w:rFonts w:ascii="Times New Roman" w:eastAsia="宋体" w:hAnsi="Times New Roman" w:cs="Times New Roman"/>
          <w:sz w:val="28"/>
          <w:szCs w:val="28"/>
        </w:rPr>
        <w:t>，</w:t>
      </w:r>
      <w:r>
        <w:rPr>
          <w:rFonts w:ascii="Times New Roman" w:eastAsia="宋体" w:hAnsi="Times New Roman" w:cs="Times New Roman" w:hint="eastAsia"/>
          <w:sz w:val="28"/>
          <w:szCs w:val="28"/>
        </w:rPr>
        <w:t>主要为废电解银、废活性炭、废树脂及废包装材料，</w:t>
      </w:r>
      <w:r>
        <w:rPr>
          <w:rFonts w:ascii="Times New Roman" w:eastAsia="宋体" w:hAnsi="Times New Roman" w:cs="Times New Roman"/>
          <w:sz w:val="28"/>
          <w:szCs w:val="28"/>
        </w:rPr>
        <w:t>会有挥发性有机物挥发出来，需要收集处理，产生及收集处理情况见表</w:t>
      </w:r>
      <w:r>
        <w:rPr>
          <w:rFonts w:ascii="Times New Roman" w:eastAsia="宋体" w:hAnsi="Times New Roman" w:cs="Times New Roman"/>
          <w:sz w:val="28"/>
          <w:szCs w:val="28"/>
        </w:rPr>
        <w:t>4.5-2</w:t>
      </w:r>
      <w:r>
        <w:rPr>
          <w:rFonts w:ascii="Times New Roman" w:eastAsia="宋体" w:hAnsi="Times New Roman" w:cs="Times New Roman"/>
          <w:bCs/>
          <w:sz w:val="28"/>
          <w:szCs w:val="28"/>
        </w:rPr>
        <w:t>。</w:t>
      </w:r>
    </w:p>
    <w:p w14:paraId="163140C9" w14:textId="77777777" w:rsidR="002133E3" w:rsidRDefault="00C22CFA">
      <w:pPr>
        <w:tabs>
          <w:tab w:val="left" w:pos="3600"/>
        </w:tabs>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4.5-2  </w:t>
      </w:r>
      <w:r>
        <w:rPr>
          <w:rFonts w:ascii="Times New Roman" w:eastAsia="宋体" w:hAnsi="Times New Roman" w:cs="Times New Roman"/>
          <w:b/>
          <w:sz w:val="24"/>
          <w:szCs w:val="24"/>
        </w:rPr>
        <w:t>污水站及危废库废气污染物产生、收集及排放状况</w:t>
      </w:r>
    </w:p>
    <w:tbl>
      <w:tblPr>
        <w:tblW w:w="0" w:type="auto"/>
        <w:jc w:val="center"/>
        <w:tblLayout w:type="fixed"/>
        <w:tblLook w:val="04A0" w:firstRow="1" w:lastRow="0" w:firstColumn="1" w:lastColumn="0" w:noHBand="0" w:noVBand="1"/>
      </w:tblPr>
      <w:tblGrid>
        <w:gridCol w:w="723"/>
        <w:gridCol w:w="724"/>
        <w:gridCol w:w="873"/>
        <w:gridCol w:w="1557"/>
        <w:gridCol w:w="563"/>
        <w:gridCol w:w="878"/>
        <w:gridCol w:w="546"/>
        <w:gridCol w:w="851"/>
        <w:gridCol w:w="708"/>
        <w:gridCol w:w="709"/>
        <w:gridCol w:w="747"/>
        <w:gridCol w:w="862"/>
      </w:tblGrid>
      <w:tr w:rsidR="002133E3" w14:paraId="1EBE093C" w14:textId="77777777">
        <w:trPr>
          <w:trHeight w:val="285"/>
          <w:jc w:val="center"/>
        </w:trPr>
        <w:tc>
          <w:tcPr>
            <w:tcW w:w="723" w:type="dxa"/>
            <w:vMerge w:val="restart"/>
            <w:tcBorders>
              <w:top w:val="single" w:sz="4" w:space="0" w:color="auto"/>
              <w:left w:val="single" w:sz="4" w:space="0" w:color="auto"/>
              <w:bottom w:val="single" w:sz="4" w:space="0" w:color="auto"/>
              <w:right w:val="single" w:sz="4" w:space="0" w:color="auto"/>
            </w:tcBorders>
            <w:vAlign w:val="center"/>
          </w:tcPr>
          <w:p w14:paraId="60BC41AA"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污染源名称</w:t>
            </w:r>
          </w:p>
        </w:tc>
        <w:tc>
          <w:tcPr>
            <w:tcW w:w="724" w:type="dxa"/>
            <w:vMerge w:val="restart"/>
            <w:tcBorders>
              <w:top w:val="single" w:sz="4" w:space="0" w:color="auto"/>
              <w:left w:val="single" w:sz="4" w:space="0" w:color="auto"/>
              <w:bottom w:val="single" w:sz="4" w:space="0" w:color="auto"/>
              <w:right w:val="single" w:sz="4" w:space="0" w:color="auto"/>
            </w:tcBorders>
            <w:vAlign w:val="center"/>
          </w:tcPr>
          <w:p w14:paraId="313008E0"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污染物名称</w:t>
            </w:r>
          </w:p>
        </w:tc>
        <w:tc>
          <w:tcPr>
            <w:tcW w:w="873" w:type="dxa"/>
            <w:vMerge w:val="restart"/>
            <w:tcBorders>
              <w:top w:val="single" w:sz="4" w:space="0" w:color="auto"/>
              <w:left w:val="single" w:sz="4" w:space="0" w:color="auto"/>
              <w:bottom w:val="single" w:sz="4" w:space="0" w:color="000000"/>
              <w:right w:val="single" w:sz="4" w:space="0" w:color="auto"/>
            </w:tcBorders>
            <w:vAlign w:val="center"/>
          </w:tcPr>
          <w:p w14:paraId="1AD1455B"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产生量</w:t>
            </w:r>
            <w:r>
              <w:rPr>
                <w:rFonts w:ascii="Times New Roman" w:eastAsia="宋体" w:hAnsi="Times New Roman" w:cs="Times New Roman"/>
                <w:b/>
                <w:bCs/>
                <w:color w:val="000000"/>
                <w:kern w:val="0"/>
                <w:sz w:val="18"/>
                <w:szCs w:val="18"/>
              </w:rPr>
              <w:t>(t/a)</w:t>
            </w:r>
          </w:p>
        </w:tc>
        <w:tc>
          <w:tcPr>
            <w:tcW w:w="1557" w:type="dxa"/>
            <w:vMerge w:val="restart"/>
            <w:tcBorders>
              <w:top w:val="single" w:sz="4" w:space="0" w:color="auto"/>
              <w:left w:val="single" w:sz="4" w:space="0" w:color="auto"/>
              <w:bottom w:val="single" w:sz="4" w:space="0" w:color="auto"/>
              <w:right w:val="single" w:sz="4" w:space="0" w:color="auto"/>
            </w:tcBorders>
            <w:vAlign w:val="center"/>
          </w:tcPr>
          <w:p w14:paraId="695E6E93"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拟采取的处理方式</w:t>
            </w:r>
          </w:p>
        </w:tc>
        <w:tc>
          <w:tcPr>
            <w:tcW w:w="563" w:type="dxa"/>
            <w:vMerge w:val="restart"/>
            <w:tcBorders>
              <w:top w:val="single" w:sz="4" w:space="0" w:color="auto"/>
              <w:left w:val="single" w:sz="4" w:space="0" w:color="auto"/>
              <w:bottom w:val="single" w:sz="4" w:space="0" w:color="auto"/>
              <w:right w:val="single" w:sz="4" w:space="0" w:color="auto"/>
            </w:tcBorders>
            <w:vAlign w:val="center"/>
          </w:tcPr>
          <w:p w14:paraId="66C4F848"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收集率</w:t>
            </w:r>
          </w:p>
        </w:tc>
        <w:tc>
          <w:tcPr>
            <w:tcW w:w="878" w:type="dxa"/>
            <w:vMerge w:val="restart"/>
            <w:tcBorders>
              <w:top w:val="single" w:sz="4" w:space="0" w:color="auto"/>
              <w:left w:val="single" w:sz="4" w:space="0" w:color="auto"/>
              <w:bottom w:val="single" w:sz="4" w:space="0" w:color="auto"/>
              <w:right w:val="single" w:sz="4" w:space="0" w:color="auto"/>
            </w:tcBorders>
            <w:vAlign w:val="center"/>
          </w:tcPr>
          <w:p w14:paraId="2D75DE2A"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无组织排放量</w:t>
            </w:r>
            <w:r>
              <w:rPr>
                <w:rFonts w:ascii="Times New Roman" w:eastAsia="宋体" w:hAnsi="Times New Roman" w:cs="Times New Roman"/>
                <w:b/>
                <w:bCs/>
                <w:color w:val="000000"/>
                <w:kern w:val="0"/>
                <w:sz w:val="18"/>
                <w:szCs w:val="18"/>
              </w:rPr>
              <w:t>(t/a)</w:t>
            </w:r>
          </w:p>
        </w:tc>
        <w:tc>
          <w:tcPr>
            <w:tcW w:w="4423" w:type="dxa"/>
            <w:gridSpan w:val="6"/>
            <w:tcBorders>
              <w:top w:val="single" w:sz="4" w:space="0" w:color="auto"/>
              <w:left w:val="nil"/>
              <w:bottom w:val="single" w:sz="4" w:space="0" w:color="auto"/>
              <w:right w:val="single" w:sz="4" w:space="0" w:color="auto"/>
            </w:tcBorders>
            <w:vAlign w:val="center"/>
          </w:tcPr>
          <w:p w14:paraId="1DD8BC57"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排放状况</w:t>
            </w:r>
            <w:r>
              <w:rPr>
                <w:rFonts w:ascii="Times New Roman" w:eastAsia="宋体" w:hAnsi="Times New Roman" w:cs="Times New Roman"/>
                <w:b/>
                <w:bCs/>
                <w:color w:val="000000"/>
                <w:kern w:val="0"/>
                <w:sz w:val="18"/>
                <w:szCs w:val="18"/>
              </w:rPr>
              <w:t>(</w:t>
            </w:r>
            <w:r>
              <w:rPr>
                <w:rFonts w:ascii="Times New Roman" w:eastAsia="宋体" w:hAnsi="Times New Roman" w:cs="Times New Roman"/>
                <w:b/>
                <w:bCs/>
                <w:color w:val="000000"/>
                <w:kern w:val="0"/>
                <w:sz w:val="18"/>
                <w:szCs w:val="18"/>
              </w:rPr>
              <w:t>有组织</w:t>
            </w:r>
            <w:r>
              <w:rPr>
                <w:rFonts w:ascii="Times New Roman" w:eastAsia="宋体" w:hAnsi="Times New Roman" w:cs="Times New Roman"/>
                <w:b/>
                <w:bCs/>
                <w:color w:val="000000"/>
                <w:kern w:val="0"/>
                <w:sz w:val="18"/>
                <w:szCs w:val="18"/>
              </w:rPr>
              <w:t>)</w:t>
            </w:r>
          </w:p>
        </w:tc>
      </w:tr>
      <w:tr w:rsidR="002133E3" w14:paraId="06DED6BB" w14:textId="77777777">
        <w:trPr>
          <w:trHeight w:val="450"/>
          <w:jc w:val="center"/>
        </w:trPr>
        <w:tc>
          <w:tcPr>
            <w:tcW w:w="723" w:type="dxa"/>
            <w:vMerge/>
            <w:tcBorders>
              <w:top w:val="single" w:sz="4" w:space="0" w:color="auto"/>
              <w:left w:val="single" w:sz="4" w:space="0" w:color="auto"/>
              <w:bottom w:val="single" w:sz="4" w:space="0" w:color="auto"/>
              <w:right w:val="single" w:sz="4" w:space="0" w:color="auto"/>
            </w:tcBorders>
            <w:vAlign w:val="center"/>
          </w:tcPr>
          <w:p w14:paraId="7B74FC0A" w14:textId="77777777" w:rsidR="002133E3" w:rsidRDefault="002133E3">
            <w:pPr>
              <w:widowControl/>
              <w:jc w:val="left"/>
              <w:rPr>
                <w:rFonts w:ascii="Times New Roman" w:eastAsia="宋体" w:hAnsi="Times New Roman" w:cs="Times New Roman"/>
                <w:b/>
                <w:bCs/>
                <w:color w:val="000000"/>
                <w:kern w:val="0"/>
                <w:sz w:val="18"/>
                <w:szCs w:val="18"/>
              </w:rPr>
            </w:pPr>
          </w:p>
        </w:tc>
        <w:tc>
          <w:tcPr>
            <w:tcW w:w="724" w:type="dxa"/>
            <w:vMerge/>
            <w:tcBorders>
              <w:top w:val="single" w:sz="4" w:space="0" w:color="auto"/>
              <w:left w:val="single" w:sz="4" w:space="0" w:color="auto"/>
              <w:bottom w:val="single" w:sz="4" w:space="0" w:color="auto"/>
              <w:right w:val="single" w:sz="4" w:space="0" w:color="auto"/>
            </w:tcBorders>
            <w:vAlign w:val="center"/>
          </w:tcPr>
          <w:p w14:paraId="51F60325" w14:textId="77777777" w:rsidR="002133E3" w:rsidRDefault="002133E3">
            <w:pPr>
              <w:widowControl/>
              <w:jc w:val="left"/>
              <w:rPr>
                <w:rFonts w:ascii="Times New Roman" w:eastAsia="宋体" w:hAnsi="Times New Roman" w:cs="Times New Roman"/>
                <w:b/>
                <w:bCs/>
                <w:color w:val="000000"/>
                <w:kern w:val="0"/>
                <w:sz w:val="18"/>
                <w:szCs w:val="18"/>
              </w:rPr>
            </w:pPr>
          </w:p>
        </w:tc>
        <w:tc>
          <w:tcPr>
            <w:tcW w:w="873" w:type="dxa"/>
            <w:vMerge/>
            <w:tcBorders>
              <w:top w:val="single" w:sz="4" w:space="0" w:color="auto"/>
              <w:left w:val="single" w:sz="4" w:space="0" w:color="auto"/>
              <w:bottom w:val="single" w:sz="4" w:space="0" w:color="000000"/>
              <w:right w:val="single" w:sz="4" w:space="0" w:color="auto"/>
            </w:tcBorders>
            <w:vAlign w:val="center"/>
          </w:tcPr>
          <w:p w14:paraId="65E3717D" w14:textId="77777777" w:rsidR="002133E3" w:rsidRDefault="002133E3">
            <w:pPr>
              <w:widowControl/>
              <w:jc w:val="left"/>
              <w:rPr>
                <w:rFonts w:ascii="Times New Roman" w:eastAsia="宋体" w:hAnsi="Times New Roman" w:cs="Times New Roman"/>
                <w:b/>
                <w:bCs/>
                <w:color w:val="000000"/>
                <w:kern w:val="0"/>
                <w:sz w:val="18"/>
                <w:szCs w:val="18"/>
              </w:rPr>
            </w:pPr>
          </w:p>
        </w:tc>
        <w:tc>
          <w:tcPr>
            <w:tcW w:w="1557" w:type="dxa"/>
            <w:vMerge/>
            <w:tcBorders>
              <w:top w:val="single" w:sz="4" w:space="0" w:color="auto"/>
              <w:left w:val="single" w:sz="4" w:space="0" w:color="auto"/>
              <w:bottom w:val="single" w:sz="4" w:space="0" w:color="auto"/>
              <w:right w:val="single" w:sz="4" w:space="0" w:color="auto"/>
            </w:tcBorders>
            <w:vAlign w:val="center"/>
          </w:tcPr>
          <w:p w14:paraId="6185BA73" w14:textId="77777777" w:rsidR="002133E3" w:rsidRDefault="002133E3">
            <w:pPr>
              <w:widowControl/>
              <w:jc w:val="left"/>
              <w:rPr>
                <w:rFonts w:ascii="Times New Roman" w:eastAsia="宋体" w:hAnsi="Times New Roman" w:cs="Times New Roman"/>
                <w:b/>
                <w:bCs/>
                <w:color w:val="000000"/>
                <w:kern w:val="0"/>
                <w:sz w:val="18"/>
                <w:szCs w:val="18"/>
              </w:rPr>
            </w:pPr>
          </w:p>
        </w:tc>
        <w:tc>
          <w:tcPr>
            <w:tcW w:w="563" w:type="dxa"/>
            <w:vMerge/>
            <w:tcBorders>
              <w:top w:val="single" w:sz="4" w:space="0" w:color="auto"/>
              <w:left w:val="single" w:sz="4" w:space="0" w:color="auto"/>
              <w:bottom w:val="single" w:sz="4" w:space="0" w:color="auto"/>
              <w:right w:val="single" w:sz="4" w:space="0" w:color="auto"/>
            </w:tcBorders>
            <w:vAlign w:val="center"/>
          </w:tcPr>
          <w:p w14:paraId="624EB926" w14:textId="77777777" w:rsidR="002133E3" w:rsidRDefault="002133E3">
            <w:pPr>
              <w:widowControl/>
              <w:jc w:val="left"/>
              <w:rPr>
                <w:rFonts w:ascii="Times New Roman" w:eastAsia="宋体" w:hAnsi="Times New Roman" w:cs="Times New Roman"/>
                <w:b/>
                <w:bCs/>
                <w:color w:val="000000"/>
                <w:kern w:val="0"/>
                <w:sz w:val="18"/>
                <w:szCs w:val="18"/>
              </w:rPr>
            </w:pPr>
          </w:p>
        </w:tc>
        <w:tc>
          <w:tcPr>
            <w:tcW w:w="878" w:type="dxa"/>
            <w:vMerge/>
            <w:tcBorders>
              <w:top w:val="single" w:sz="4" w:space="0" w:color="auto"/>
              <w:left w:val="single" w:sz="4" w:space="0" w:color="auto"/>
              <w:bottom w:val="single" w:sz="4" w:space="0" w:color="auto"/>
              <w:right w:val="single" w:sz="4" w:space="0" w:color="auto"/>
            </w:tcBorders>
            <w:vAlign w:val="center"/>
          </w:tcPr>
          <w:p w14:paraId="0121CBD0" w14:textId="77777777" w:rsidR="002133E3" w:rsidRDefault="002133E3">
            <w:pPr>
              <w:widowControl/>
              <w:jc w:val="left"/>
              <w:rPr>
                <w:rFonts w:ascii="Times New Roman" w:eastAsia="宋体" w:hAnsi="Times New Roman" w:cs="Times New Roman"/>
                <w:b/>
                <w:bCs/>
                <w:color w:val="000000"/>
                <w:kern w:val="0"/>
                <w:sz w:val="18"/>
                <w:szCs w:val="18"/>
              </w:rPr>
            </w:pPr>
          </w:p>
        </w:tc>
        <w:tc>
          <w:tcPr>
            <w:tcW w:w="546" w:type="dxa"/>
            <w:tcBorders>
              <w:top w:val="nil"/>
              <w:left w:val="nil"/>
              <w:bottom w:val="single" w:sz="4" w:space="0" w:color="auto"/>
              <w:right w:val="single" w:sz="4" w:space="0" w:color="auto"/>
            </w:tcBorders>
            <w:vAlign w:val="center"/>
          </w:tcPr>
          <w:p w14:paraId="08949859"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编号</w:t>
            </w:r>
          </w:p>
        </w:tc>
        <w:tc>
          <w:tcPr>
            <w:tcW w:w="851" w:type="dxa"/>
            <w:tcBorders>
              <w:top w:val="nil"/>
              <w:left w:val="nil"/>
              <w:bottom w:val="single" w:sz="4" w:space="0" w:color="auto"/>
              <w:right w:val="single" w:sz="4" w:space="0" w:color="auto"/>
            </w:tcBorders>
            <w:vAlign w:val="center"/>
          </w:tcPr>
          <w:p w14:paraId="47A54122"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排气量</w:t>
            </w:r>
            <w:r>
              <w:rPr>
                <w:rFonts w:ascii="Times New Roman" w:eastAsia="宋体" w:hAnsi="Times New Roman" w:cs="Times New Roman"/>
                <w:b/>
                <w:bCs/>
                <w:color w:val="000000"/>
                <w:kern w:val="0"/>
                <w:sz w:val="18"/>
                <w:szCs w:val="18"/>
              </w:rPr>
              <w:t>(Nm</w:t>
            </w:r>
            <w:r>
              <w:rPr>
                <w:rFonts w:ascii="Times New Roman" w:eastAsia="宋体" w:hAnsi="Times New Roman" w:cs="Times New Roman"/>
                <w:b/>
                <w:bCs/>
                <w:color w:val="000000"/>
                <w:kern w:val="0"/>
                <w:sz w:val="18"/>
                <w:szCs w:val="18"/>
                <w:vertAlign w:val="superscript"/>
              </w:rPr>
              <w:t>3</w:t>
            </w:r>
            <w:r>
              <w:rPr>
                <w:rFonts w:ascii="Times New Roman" w:eastAsia="宋体" w:hAnsi="Times New Roman" w:cs="Times New Roman"/>
                <w:b/>
                <w:bCs/>
                <w:color w:val="000000"/>
                <w:kern w:val="0"/>
                <w:sz w:val="18"/>
                <w:szCs w:val="18"/>
              </w:rPr>
              <w:t>/h)</w:t>
            </w:r>
          </w:p>
        </w:tc>
        <w:tc>
          <w:tcPr>
            <w:tcW w:w="708" w:type="dxa"/>
            <w:tcBorders>
              <w:top w:val="nil"/>
              <w:left w:val="nil"/>
              <w:bottom w:val="single" w:sz="4" w:space="0" w:color="auto"/>
              <w:right w:val="single" w:sz="4" w:space="0" w:color="auto"/>
            </w:tcBorders>
            <w:vAlign w:val="center"/>
          </w:tcPr>
          <w:p w14:paraId="29C0A08A" w14:textId="77777777" w:rsidR="002133E3" w:rsidRDefault="002133E3">
            <w:pPr>
              <w:widowControl/>
              <w:jc w:val="center"/>
              <w:rPr>
                <w:rFonts w:ascii="Times New Roman" w:eastAsia="宋体" w:hAnsi="Times New Roman" w:cs="Times New Roman"/>
                <w:b/>
                <w:bCs/>
                <w:color w:val="000000"/>
                <w:kern w:val="0"/>
                <w:sz w:val="18"/>
                <w:szCs w:val="18"/>
              </w:rPr>
            </w:pPr>
          </w:p>
        </w:tc>
        <w:tc>
          <w:tcPr>
            <w:tcW w:w="709" w:type="dxa"/>
            <w:tcBorders>
              <w:top w:val="nil"/>
              <w:left w:val="nil"/>
              <w:bottom w:val="single" w:sz="4" w:space="0" w:color="auto"/>
              <w:right w:val="single" w:sz="4" w:space="0" w:color="auto"/>
            </w:tcBorders>
            <w:vAlign w:val="center"/>
          </w:tcPr>
          <w:p w14:paraId="5DDB8E92"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速率</w:t>
            </w:r>
            <w:r>
              <w:rPr>
                <w:rFonts w:ascii="Times New Roman" w:eastAsia="宋体" w:hAnsi="Times New Roman" w:cs="Times New Roman"/>
                <w:b/>
                <w:bCs/>
                <w:color w:val="000000"/>
                <w:kern w:val="0"/>
                <w:sz w:val="18"/>
                <w:szCs w:val="18"/>
              </w:rPr>
              <w:t>(kg/h)</w:t>
            </w:r>
          </w:p>
        </w:tc>
        <w:tc>
          <w:tcPr>
            <w:tcW w:w="747" w:type="dxa"/>
            <w:tcBorders>
              <w:top w:val="nil"/>
              <w:left w:val="nil"/>
              <w:bottom w:val="single" w:sz="4" w:space="0" w:color="auto"/>
              <w:right w:val="single" w:sz="4" w:space="0" w:color="auto"/>
            </w:tcBorders>
            <w:vAlign w:val="center"/>
          </w:tcPr>
          <w:p w14:paraId="4AF958F8"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收集量</w:t>
            </w:r>
            <w:r>
              <w:rPr>
                <w:rFonts w:ascii="Times New Roman" w:eastAsia="宋体" w:hAnsi="Times New Roman" w:cs="Times New Roman"/>
                <w:b/>
                <w:bCs/>
                <w:color w:val="000000"/>
                <w:kern w:val="0"/>
                <w:sz w:val="18"/>
                <w:szCs w:val="18"/>
              </w:rPr>
              <w:t>(t/a)</w:t>
            </w:r>
          </w:p>
        </w:tc>
        <w:tc>
          <w:tcPr>
            <w:tcW w:w="862" w:type="dxa"/>
            <w:tcBorders>
              <w:top w:val="nil"/>
              <w:left w:val="nil"/>
              <w:bottom w:val="single" w:sz="4" w:space="0" w:color="auto"/>
              <w:right w:val="single" w:sz="4" w:space="0" w:color="auto"/>
            </w:tcBorders>
            <w:vAlign w:val="center"/>
          </w:tcPr>
          <w:p w14:paraId="5AD70B71" w14:textId="77777777" w:rsidR="002133E3" w:rsidRDefault="00C22CFA">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排放时间</w:t>
            </w:r>
            <w:r>
              <w:rPr>
                <w:rFonts w:ascii="Times New Roman" w:eastAsia="宋体" w:hAnsi="Times New Roman" w:cs="Times New Roman"/>
                <w:b/>
                <w:bCs/>
                <w:color w:val="000000"/>
                <w:kern w:val="0"/>
                <w:sz w:val="18"/>
                <w:szCs w:val="18"/>
              </w:rPr>
              <w:t>(h)</w:t>
            </w:r>
          </w:p>
        </w:tc>
      </w:tr>
      <w:tr w:rsidR="002133E3" w14:paraId="1C91E237" w14:textId="77777777">
        <w:trPr>
          <w:trHeight w:val="285"/>
          <w:jc w:val="center"/>
        </w:trPr>
        <w:tc>
          <w:tcPr>
            <w:tcW w:w="723" w:type="dxa"/>
            <w:tcBorders>
              <w:top w:val="nil"/>
              <w:left w:val="single" w:sz="4" w:space="0" w:color="auto"/>
              <w:bottom w:val="single" w:sz="4" w:space="0" w:color="auto"/>
              <w:right w:val="single" w:sz="4" w:space="0" w:color="auto"/>
            </w:tcBorders>
            <w:vAlign w:val="center"/>
          </w:tcPr>
          <w:p w14:paraId="2DE06DE5"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危废仓库</w:t>
            </w:r>
          </w:p>
        </w:tc>
        <w:tc>
          <w:tcPr>
            <w:tcW w:w="724" w:type="dxa"/>
            <w:tcBorders>
              <w:top w:val="nil"/>
              <w:left w:val="nil"/>
              <w:bottom w:val="single" w:sz="4" w:space="0" w:color="auto"/>
              <w:right w:val="single" w:sz="4" w:space="0" w:color="auto"/>
            </w:tcBorders>
            <w:vAlign w:val="center"/>
          </w:tcPr>
          <w:p w14:paraId="15E4B93E" w14:textId="77777777" w:rsidR="002133E3" w:rsidRDefault="00C22CFA">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VOCs</w:t>
            </w:r>
          </w:p>
        </w:tc>
        <w:tc>
          <w:tcPr>
            <w:tcW w:w="873" w:type="dxa"/>
            <w:tcBorders>
              <w:top w:val="nil"/>
              <w:left w:val="nil"/>
              <w:bottom w:val="single" w:sz="4" w:space="0" w:color="auto"/>
              <w:right w:val="single" w:sz="4" w:space="0" w:color="auto"/>
            </w:tcBorders>
            <w:vAlign w:val="center"/>
          </w:tcPr>
          <w:p w14:paraId="02A34B35"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0.067</w:t>
            </w:r>
          </w:p>
        </w:tc>
        <w:tc>
          <w:tcPr>
            <w:tcW w:w="1557" w:type="dxa"/>
            <w:tcBorders>
              <w:top w:val="nil"/>
              <w:left w:val="nil"/>
              <w:bottom w:val="single" w:sz="4" w:space="0" w:color="auto"/>
              <w:right w:val="single" w:sz="4" w:space="0" w:color="auto"/>
            </w:tcBorders>
            <w:vAlign w:val="center"/>
          </w:tcPr>
          <w:p w14:paraId="4D88CEE6"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负压集气收集后处理</w:t>
            </w:r>
          </w:p>
        </w:tc>
        <w:tc>
          <w:tcPr>
            <w:tcW w:w="563" w:type="dxa"/>
            <w:tcBorders>
              <w:top w:val="nil"/>
              <w:left w:val="nil"/>
              <w:bottom w:val="single" w:sz="4" w:space="0" w:color="auto"/>
              <w:right w:val="single" w:sz="4" w:space="0" w:color="auto"/>
            </w:tcBorders>
            <w:vAlign w:val="center"/>
          </w:tcPr>
          <w:p w14:paraId="14763290"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90%</w:t>
            </w:r>
          </w:p>
        </w:tc>
        <w:tc>
          <w:tcPr>
            <w:tcW w:w="878" w:type="dxa"/>
            <w:tcBorders>
              <w:top w:val="nil"/>
              <w:left w:val="nil"/>
              <w:bottom w:val="single" w:sz="4" w:space="0" w:color="auto"/>
              <w:right w:val="single" w:sz="4" w:space="0" w:color="auto"/>
            </w:tcBorders>
            <w:vAlign w:val="center"/>
          </w:tcPr>
          <w:p w14:paraId="157E8319"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0.0067</w:t>
            </w:r>
          </w:p>
        </w:tc>
        <w:tc>
          <w:tcPr>
            <w:tcW w:w="546" w:type="dxa"/>
            <w:tcBorders>
              <w:top w:val="nil"/>
              <w:left w:val="nil"/>
              <w:bottom w:val="single" w:sz="4" w:space="0" w:color="auto"/>
              <w:right w:val="single" w:sz="4" w:space="0" w:color="auto"/>
            </w:tcBorders>
            <w:vAlign w:val="center"/>
          </w:tcPr>
          <w:p w14:paraId="3178262E"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G</w:t>
            </w:r>
            <w:r>
              <w:rPr>
                <w:rFonts w:ascii="Times New Roman" w:eastAsia="宋体" w:hAnsi="Times New Roman" w:cs="Times New Roman"/>
                <w:color w:val="000000"/>
                <w:kern w:val="0"/>
                <w:sz w:val="18"/>
                <w:szCs w:val="18"/>
                <w:vertAlign w:val="subscript"/>
              </w:rPr>
              <w:t>危</w:t>
            </w:r>
          </w:p>
        </w:tc>
        <w:tc>
          <w:tcPr>
            <w:tcW w:w="851" w:type="dxa"/>
            <w:tcBorders>
              <w:top w:val="nil"/>
              <w:left w:val="single" w:sz="4" w:space="0" w:color="auto"/>
              <w:bottom w:val="single" w:sz="4" w:space="0" w:color="auto"/>
              <w:right w:val="single" w:sz="4" w:space="0" w:color="auto"/>
            </w:tcBorders>
            <w:vAlign w:val="center"/>
          </w:tcPr>
          <w:p w14:paraId="695D9337"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3</w:t>
            </w:r>
            <w:r>
              <w:rPr>
                <w:rFonts w:ascii="Times New Roman" w:eastAsia="宋体" w:hAnsi="Times New Roman" w:cs="Times New Roman"/>
                <w:color w:val="000000"/>
                <w:kern w:val="0"/>
                <w:sz w:val="18"/>
                <w:szCs w:val="18"/>
              </w:rPr>
              <w:t>500</w:t>
            </w:r>
          </w:p>
        </w:tc>
        <w:tc>
          <w:tcPr>
            <w:tcW w:w="708" w:type="dxa"/>
            <w:tcBorders>
              <w:top w:val="nil"/>
              <w:left w:val="nil"/>
              <w:bottom w:val="single" w:sz="4" w:space="0" w:color="auto"/>
              <w:right w:val="single" w:sz="4" w:space="0" w:color="auto"/>
            </w:tcBorders>
            <w:vAlign w:val="center"/>
          </w:tcPr>
          <w:p w14:paraId="45E5A362" w14:textId="77777777" w:rsidR="002133E3" w:rsidRDefault="002133E3">
            <w:pPr>
              <w:widowControl/>
              <w:jc w:val="center"/>
              <w:rPr>
                <w:rFonts w:ascii="Times New Roman" w:eastAsia="宋体" w:hAnsi="Times New Roman" w:cs="Times New Roman"/>
                <w:color w:val="000000"/>
                <w:kern w:val="0"/>
                <w:sz w:val="18"/>
                <w:szCs w:val="18"/>
              </w:rPr>
            </w:pPr>
          </w:p>
        </w:tc>
        <w:tc>
          <w:tcPr>
            <w:tcW w:w="709" w:type="dxa"/>
            <w:tcBorders>
              <w:top w:val="nil"/>
              <w:left w:val="nil"/>
              <w:bottom w:val="single" w:sz="4" w:space="0" w:color="auto"/>
              <w:right w:val="single" w:sz="4" w:space="0" w:color="auto"/>
            </w:tcBorders>
            <w:vAlign w:val="center"/>
          </w:tcPr>
          <w:p w14:paraId="15B9D0DA"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0.0072</w:t>
            </w:r>
          </w:p>
        </w:tc>
        <w:tc>
          <w:tcPr>
            <w:tcW w:w="747" w:type="dxa"/>
            <w:tcBorders>
              <w:top w:val="nil"/>
              <w:left w:val="nil"/>
              <w:bottom w:val="single" w:sz="4" w:space="0" w:color="auto"/>
              <w:right w:val="single" w:sz="4" w:space="0" w:color="auto"/>
            </w:tcBorders>
            <w:vAlign w:val="center"/>
          </w:tcPr>
          <w:p w14:paraId="148E0467"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0.0603</w:t>
            </w:r>
          </w:p>
        </w:tc>
        <w:tc>
          <w:tcPr>
            <w:tcW w:w="862" w:type="dxa"/>
            <w:tcBorders>
              <w:top w:val="nil"/>
              <w:left w:val="single" w:sz="4" w:space="0" w:color="auto"/>
              <w:bottom w:val="single" w:sz="4" w:space="0" w:color="auto"/>
              <w:right w:val="single" w:sz="4" w:space="0" w:color="auto"/>
            </w:tcBorders>
            <w:vAlign w:val="center"/>
          </w:tcPr>
          <w:p w14:paraId="274BA8A7" w14:textId="77777777" w:rsidR="002133E3" w:rsidRDefault="00C22CFA">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8</w:t>
            </w:r>
            <w:r>
              <w:rPr>
                <w:rFonts w:ascii="Times New Roman" w:eastAsia="宋体" w:hAnsi="Times New Roman" w:cs="Times New Roman"/>
                <w:color w:val="000000"/>
                <w:kern w:val="0"/>
                <w:sz w:val="18"/>
                <w:szCs w:val="18"/>
              </w:rPr>
              <w:t>760</w:t>
            </w:r>
          </w:p>
        </w:tc>
      </w:tr>
    </w:tbl>
    <w:p w14:paraId="23A01FC4"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各车间废气污染物产生、排放情况及拟采用的治理措施见表</w:t>
      </w:r>
      <w:r>
        <w:rPr>
          <w:rFonts w:ascii="Times New Roman" w:eastAsia="宋体" w:hAnsi="Times New Roman" w:cs="Times New Roman"/>
          <w:sz w:val="28"/>
          <w:szCs w:val="28"/>
        </w:rPr>
        <w:t>4.5-2</w:t>
      </w:r>
      <w:r>
        <w:rPr>
          <w:rFonts w:ascii="Times New Roman" w:eastAsia="宋体" w:hAnsi="Times New Roman" w:cs="Times New Roman"/>
          <w:sz w:val="28"/>
          <w:szCs w:val="28"/>
        </w:rPr>
        <w:t>。</w:t>
      </w:r>
    </w:p>
    <w:p w14:paraId="50EF5621"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根据表</w:t>
      </w:r>
      <w:r>
        <w:rPr>
          <w:rFonts w:ascii="Times New Roman" w:eastAsia="宋体" w:hAnsi="Times New Roman" w:cs="Times New Roman"/>
          <w:sz w:val="28"/>
          <w:szCs w:val="28"/>
        </w:rPr>
        <w:t>4.5-2</w:t>
      </w:r>
      <w:r>
        <w:rPr>
          <w:rFonts w:ascii="Times New Roman" w:eastAsia="宋体" w:hAnsi="Times New Roman" w:cs="Times New Roman"/>
          <w:sz w:val="28"/>
          <w:szCs w:val="28"/>
        </w:rPr>
        <w:t>中上述废气治理措施及排放限值可知，本项目工艺废气均能达标排放。</w:t>
      </w:r>
    </w:p>
    <w:p w14:paraId="08C8051C" w14:textId="77777777" w:rsidR="002133E3" w:rsidRDefault="002133E3">
      <w:pPr>
        <w:widowControl/>
        <w:spacing w:line="400" w:lineRule="exact"/>
        <w:jc w:val="center"/>
        <w:rPr>
          <w:rFonts w:ascii="Times New Roman" w:eastAsia="宋体" w:hAnsi="Times New Roman" w:cs="Times New Roman"/>
          <w:b/>
          <w:bCs/>
          <w:color w:val="000000"/>
          <w:kern w:val="0"/>
          <w:szCs w:val="21"/>
        </w:rPr>
        <w:sectPr w:rsidR="002133E3">
          <w:pgSz w:w="11906" w:h="16838"/>
          <w:pgMar w:top="1134" w:right="1134" w:bottom="1134" w:left="1134" w:header="850" w:footer="992" w:gutter="0"/>
          <w:cols w:space="720"/>
          <w:docGrid w:linePitch="312"/>
        </w:sectPr>
      </w:pPr>
    </w:p>
    <w:p w14:paraId="7C78C3D5" w14:textId="77777777" w:rsidR="002133E3" w:rsidRDefault="00C22CFA">
      <w:pPr>
        <w:widowControl/>
        <w:snapToGrid w:val="0"/>
        <w:spacing w:line="500" w:lineRule="atLeast"/>
        <w:jc w:val="center"/>
        <w:rPr>
          <w:rFonts w:ascii="Times New Roman" w:eastAsia="宋体" w:hAnsi="Times New Roman" w:cs="Times New Roman"/>
          <w:sz w:val="36"/>
          <w:szCs w:val="36"/>
        </w:rPr>
      </w:pPr>
      <w:r>
        <w:rPr>
          <w:rFonts w:ascii="Times New Roman" w:eastAsia="宋体" w:hAnsi="Times New Roman" w:cs="Times New Roman"/>
          <w:b/>
          <w:bCs/>
          <w:color w:val="000000"/>
          <w:kern w:val="0"/>
          <w:sz w:val="24"/>
          <w:szCs w:val="24"/>
        </w:rPr>
        <w:lastRenderedPageBreak/>
        <w:t>表</w:t>
      </w:r>
      <w:r>
        <w:rPr>
          <w:rFonts w:ascii="Times New Roman" w:eastAsia="宋体" w:hAnsi="Times New Roman" w:cs="Times New Roman"/>
          <w:b/>
          <w:bCs/>
          <w:color w:val="000000"/>
          <w:kern w:val="0"/>
          <w:sz w:val="24"/>
          <w:szCs w:val="24"/>
        </w:rPr>
        <w:t xml:space="preserve">4.5-2  </w:t>
      </w:r>
      <w:r>
        <w:rPr>
          <w:rFonts w:ascii="Times New Roman" w:eastAsia="宋体" w:hAnsi="Times New Roman" w:cs="Times New Roman"/>
          <w:b/>
          <w:bCs/>
          <w:color w:val="000000"/>
          <w:kern w:val="0"/>
          <w:sz w:val="24"/>
          <w:szCs w:val="24"/>
        </w:rPr>
        <w:t>本项目有组织废气源强核算结果一览表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851"/>
        <w:gridCol w:w="708"/>
        <w:gridCol w:w="993"/>
        <w:gridCol w:w="850"/>
        <w:gridCol w:w="851"/>
        <w:gridCol w:w="850"/>
        <w:gridCol w:w="851"/>
        <w:gridCol w:w="567"/>
        <w:gridCol w:w="850"/>
        <w:gridCol w:w="709"/>
        <w:gridCol w:w="709"/>
        <w:gridCol w:w="708"/>
        <w:gridCol w:w="1560"/>
        <w:gridCol w:w="850"/>
        <w:gridCol w:w="709"/>
        <w:gridCol w:w="786"/>
      </w:tblGrid>
      <w:tr w:rsidR="002133E3" w14:paraId="3AF85DAA" w14:textId="77777777">
        <w:trPr>
          <w:trHeight w:val="567"/>
        </w:trPr>
        <w:tc>
          <w:tcPr>
            <w:tcW w:w="1384" w:type="dxa"/>
            <w:vMerge w:val="restart"/>
            <w:shd w:val="clear" w:color="auto" w:fill="auto"/>
            <w:vAlign w:val="center"/>
          </w:tcPr>
          <w:p w14:paraId="3FFDB937"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污染源</w:t>
            </w:r>
          </w:p>
        </w:tc>
        <w:tc>
          <w:tcPr>
            <w:tcW w:w="1559" w:type="dxa"/>
            <w:gridSpan w:val="2"/>
            <w:vMerge w:val="restart"/>
            <w:shd w:val="clear" w:color="auto" w:fill="auto"/>
            <w:vAlign w:val="center"/>
          </w:tcPr>
          <w:p w14:paraId="03B750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排气量</w:t>
            </w:r>
          </w:p>
          <w:p w14:paraId="2A89604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m</w:t>
            </w:r>
            <w:r>
              <w:rPr>
                <w:rFonts w:ascii="Times New Roman" w:eastAsia="等线" w:hAnsi="Times New Roman" w:cs="Times New Roman"/>
                <w:kern w:val="0"/>
                <w:szCs w:val="21"/>
                <w:vertAlign w:val="superscript"/>
              </w:rPr>
              <w:t>3</w:t>
            </w:r>
            <w:r>
              <w:rPr>
                <w:rFonts w:ascii="Times New Roman" w:eastAsia="等线" w:hAnsi="Times New Roman" w:cs="Times New Roman"/>
                <w:kern w:val="0"/>
                <w:szCs w:val="21"/>
              </w:rPr>
              <w:t>/h</w:t>
            </w:r>
          </w:p>
        </w:tc>
        <w:tc>
          <w:tcPr>
            <w:tcW w:w="993" w:type="dxa"/>
            <w:vMerge w:val="restart"/>
            <w:shd w:val="clear" w:color="auto" w:fill="auto"/>
            <w:vAlign w:val="center"/>
          </w:tcPr>
          <w:p w14:paraId="733F1AF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污染物名称</w:t>
            </w:r>
          </w:p>
        </w:tc>
        <w:tc>
          <w:tcPr>
            <w:tcW w:w="2551" w:type="dxa"/>
            <w:gridSpan w:val="3"/>
            <w:shd w:val="clear" w:color="auto" w:fill="auto"/>
            <w:vAlign w:val="center"/>
          </w:tcPr>
          <w:p w14:paraId="56F9949F"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产生状况</w:t>
            </w:r>
          </w:p>
        </w:tc>
        <w:tc>
          <w:tcPr>
            <w:tcW w:w="851" w:type="dxa"/>
            <w:vMerge w:val="restart"/>
            <w:shd w:val="clear" w:color="auto" w:fill="auto"/>
            <w:vAlign w:val="center"/>
          </w:tcPr>
          <w:p w14:paraId="3FC7886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治理措施</w:t>
            </w:r>
          </w:p>
        </w:tc>
        <w:tc>
          <w:tcPr>
            <w:tcW w:w="567" w:type="dxa"/>
            <w:vMerge w:val="restart"/>
            <w:shd w:val="clear" w:color="auto" w:fill="auto"/>
            <w:vAlign w:val="center"/>
          </w:tcPr>
          <w:p w14:paraId="64C7CB4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去除率</w:t>
            </w:r>
            <w:r>
              <w:rPr>
                <w:rFonts w:ascii="Times New Roman" w:eastAsia="等线" w:hAnsi="Times New Roman" w:cs="Times New Roman"/>
                <w:kern w:val="0"/>
                <w:szCs w:val="21"/>
              </w:rPr>
              <w:t>%</w:t>
            </w:r>
          </w:p>
        </w:tc>
        <w:tc>
          <w:tcPr>
            <w:tcW w:w="2268" w:type="dxa"/>
            <w:gridSpan w:val="3"/>
            <w:shd w:val="clear" w:color="auto" w:fill="auto"/>
            <w:vAlign w:val="center"/>
          </w:tcPr>
          <w:p w14:paraId="5FCF2F8C"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排放状况</w:t>
            </w:r>
          </w:p>
        </w:tc>
        <w:tc>
          <w:tcPr>
            <w:tcW w:w="708" w:type="dxa"/>
            <w:vMerge w:val="restart"/>
            <w:shd w:val="clear" w:color="auto" w:fill="auto"/>
            <w:vAlign w:val="center"/>
          </w:tcPr>
          <w:p w14:paraId="2A60014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排放时间</w:t>
            </w:r>
            <w:r>
              <w:rPr>
                <w:rFonts w:ascii="Times New Roman" w:eastAsia="宋体" w:hAnsi="Times New Roman" w:cs="Times New Roman"/>
                <w:color w:val="000000"/>
                <w:kern w:val="0"/>
                <w:szCs w:val="21"/>
              </w:rPr>
              <w:t>h</w:t>
            </w:r>
          </w:p>
        </w:tc>
        <w:tc>
          <w:tcPr>
            <w:tcW w:w="1560" w:type="dxa"/>
            <w:vMerge w:val="restart"/>
            <w:shd w:val="clear" w:color="auto" w:fill="auto"/>
            <w:vAlign w:val="center"/>
          </w:tcPr>
          <w:p w14:paraId="401CC399"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排放参数</w:t>
            </w:r>
          </w:p>
        </w:tc>
        <w:tc>
          <w:tcPr>
            <w:tcW w:w="1559" w:type="dxa"/>
            <w:gridSpan w:val="2"/>
            <w:shd w:val="clear" w:color="auto" w:fill="auto"/>
            <w:vAlign w:val="center"/>
          </w:tcPr>
          <w:p w14:paraId="2A88AC22"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执行标准</w:t>
            </w:r>
          </w:p>
        </w:tc>
        <w:tc>
          <w:tcPr>
            <w:tcW w:w="786" w:type="dxa"/>
            <w:vMerge w:val="restart"/>
            <w:shd w:val="clear" w:color="auto" w:fill="auto"/>
            <w:vAlign w:val="center"/>
          </w:tcPr>
          <w:p w14:paraId="58406F3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排放方式及去向</w:t>
            </w:r>
          </w:p>
        </w:tc>
      </w:tr>
      <w:tr w:rsidR="002133E3" w14:paraId="6EE52295" w14:textId="77777777">
        <w:trPr>
          <w:trHeight w:val="567"/>
        </w:trPr>
        <w:tc>
          <w:tcPr>
            <w:tcW w:w="1384" w:type="dxa"/>
            <w:vMerge/>
            <w:vAlign w:val="center"/>
          </w:tcPr>
          <w:p w14:paraId="652E08D0" w14:textId="77777777" w:rsidR="002133E3" w:rsidRDefault="002133E3">
            <w:pPr>
              <w:widowControl/>
              <w:jc w:val="center"/>
              <w:rPr>
                <w:rFonts w:ascii="Times New Roman" w:eastAsia="等线" w:hAnsi="Times New Roman" w:cs="Times New Roman"/>
                <w:kern w:val="0"/>
                <w:szCs w:val="21"/>
              </w:rPr>
            </w:pPr>
          </w:p>
        </w:tc>
        <w:tc>
          <w:tcPr>
            <w:tcW w:w="1559" w:type="dxa"/>
            <w:gridSpan w:val="2"/>
            <w:vMerge/>
            <w:vAlign w:val="center"/>
          </w:tcPr>
          <w:p w14:paraId="32150D66" w14:textId="77777777" w:rsidR="002133E3" w:rsidRDefault="002133E3">
            <w:pPr>
              <w:widowControl/>
              <w:jc w:val="center"/>
              <w:rPr>
                <w:rFonts w:ascii="Times New Roman" w:eastAsia="等线" w:hAnsi="Times New Roman" w:cs="Times New Roman"/>
                <w:kern w:val="0"/>
                <w:szCs w:val="21"/>
              </w:rPr>
            </w:pPr>
          </w:p>
        </w:tc>
        <w:tc>
          <w:tcPr>
            <w:tcW w:w="993" w:type="dxa"/>
            <w:vMerge/>
            <w:vAlign w:val="center"/>
          </w:tcPr>
          <w:p w14:paraId="6CAFC2DE" w14:textId="77777777" w:rsidR="002133E3" w:rsidRDefault="002133E3">
            <w:pPr>
              <w:widowControl/>
              <w:jc w:val="center"/>
              <w:rPr>
                <w:rFonts w:ascii="Times New Roman" w:eastAsia="等线" w:hAnsi="Times New Roman" w:cs="Times New Roman"/>
                <w:kern w:val="0"/>
                <w:szCs w:val="21"/>
              </w:rPr>
            </w:pPr>
          </w:p>
        </w:tc>
        <w:tc>
          <w:tcPr>
            <w:tcW w:w="850" w:type="dxa"/>
            <w:shd w:val="clear" w:color="auto" w:fill="auto"/>
            <w:vAlign w:val="center"/>
          </w:tcPr>
          <w:p w14:paraId="2DD39D0F"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浓度</w:t>
            </w:r>
            <w:r>
              <w:rPr>
                <w:rFonts w:ascii="Times New Roman" w:eastAsia="等线" w:hAnsi="Times New Roman" w:cs="Times New Roman"/>
                <w:kern w:val="0"/>
                <w:szCs w:val="21"/>
              </w:rPr>
              <w:t>mg/m</w:t>
            </w:r>
            <w:r>
              <w:rPr>
                <w:rFonts w:ascii="Times New Roman" w:eastAsia="等线" w:hAnsi="Times New Roman" w:cs="Times New Roman"/>
                <w:kern w:val="0"/>
                <w:szCs w:val="21"/>
                <w:vertAlign w:val="superscript"/>
              </w:rPr>
              <w:t>3</w:t>
            </w:r>
          </w:p>
        </w:tc>
        <w:tc>
          <w:tcPr>
            <w:tcW w:w="851" w:type="dxa"/>
            <w:shd w:val="clear" w:color="auto" w:fill="auto"/>
            <w:vAlign w:val="center"/>
          </w:tcPr>
          <w:p w14:paraId="2A3D1D32"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产生量</w:t>
            </w:r>
            <w:r>
              <w:rPr>
                <w:rFonts w:ascii="Times New Roman" w:eastAsia="等线" w:hAnsi="Times New Roman" w:cs="Times New Roman"/>
                <w:kern w:val="0"/>
                <w:szCs w:val="21"/>
              </w:rPr>
              <w:t>t/a</w:t>
            </w:r>
          </w:p>
        </w:tc>
        <w:tc>
          <w:tcPr>
            <w:tcW w:w="850" w:type="dxa"/>
            <w:shd w:val="clear" w:color="auto" w:fill="auto"/>
            <w:vAlign w:val="center"/>
          </w:tcPr>
          <w:p w14:paraId="0595CB5A"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速率</w:t>
            </w:r>
            <w:r>
              <w:rPr>
                <w:rFonts w:ascii="Times New Roman" w:eastAsia="等线" w:hAnsi="Times New Roman" w:cs="Times New Roman"/>
                <w:kern w:val="0"/>
                <w:szCs w:val="21"/>
              </w:rPr>
              <w:t>kg/h</w:t>
            </w:r>
          </w:p>
        </w:tc>
        <w:tc>
          <w:tcPr>
            <w:tcW w:w="851" w:type="dxa"/>
            <w:vMerge/>
            <w:vAlign w:val="center"/>
          </w:tcPr>
          <w:p w14:paraId="5EA6FA69" w14:textId="77777777" w:rsidR="002133E3" w:rsidRDefault="002133E3">
            <w:pPr>
              <w:widowControl/>
              <w:jc w:val="center"/>
              <w:rPr>
                <w:rFonts w:ascii="Times New Roman" w:eastAsia="等线" w:hAnsi="Times New Roman" w:cs="Times New Roman"/>
                <w:kern w:val="0"/>
                <w:szCs w:val="21"/>
              </w:rPr>
            </w:pPr>
          </w:p>
        </w:tc>
        <w:tc>
          <w:tcPr>
            <w:tcW w:w="567" w:type="dxa"/>
            <w:vMerge/>
            <w:vAlign w:val="center"/>
          </w:tcPr>
          <w:p w14:paraId="46E16942" w14:textId="77777777" w:rsidR="002133E3" w:rsidRDefault="002133E3">
            <w:pPr>
              <w:widowControl/>
              <w:jc w:val="center"/>
              <w:rPr>
                <w:rFonts w:ascii="Times New Roman" w:eastAsia="等线" w:hAnsi="Times New Roman" w:cs="Times New Roman"/>
                <w:kern w:val="0"/>
                <w:szCs w:val="21"/>
              </w:rPr>
            </w:pPr>
          </w:p>
        </w:tc>
        <w:tc>
          <w:tcPr>
            <w:tcW w:w="850" w:type="dxa"/>
            <w:shd w:val="clear" w:color="auto" w:fill="auto"/>
            <w:vAlign w:val="center"/>
          </w:tcPr>
          <w:p w14:paraId="508FDE05"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浓度</w:t>
            </w:r>
            <w:r>
              <w:rPr>
                <w:rFonts w:ascii="Times New Roman" w:eastAsia="等线" w:hAnsi="Times New Roman" w:cs="Times New Roman"/>
                <w:kern w:val="0"/>
                <w:szCs w:val="21"/>
              </w:rPr>
              <w:t>mg/m</w:t>
            </w:r>
            <w:r>
              <w:rPr>
                <w:rFonts w:ascii="Times New Roman" w:eastAsia="等线" w:hAnsi="Times New Roman" w:cs="Times New Roman"/>
                <w:kern w:val="0"/>
                <w:szCs w:val="21"/>
                <w:vertAlign w:val="superscript"/>
              </w:rPr>
              <w:t>3</w:t>
            </w:r>
          </w:p>
        </w:tc>
        <w:tc>
          <w:tcPr>
            <w:tcW w:w="709" w:type="dxa"/>
            <w:shd w:val="clear" w:color="auto" w:fill="auto"/>
            <w:vAlign w:val="center"/>
          </w:tcPr>
          <w:p w14:paraId="3A4545E0"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排放量</w:t>
            </w:r>
            <w:r>
              <w:rPr>
                <w:rFonts w:ascii="Times New Roman" w:eastAsia="等线" w:hAnsi="Times New Roman" w:cs="Times New Roman"/>
                <w:kern w:val="0"/>
                <w:szCs w:val="21"/>
              </w:rPr>
              <w:t>t/a</w:t>
            </w:r>
          </w:p>
        </w:tc>
        <w:tc>
          <w:tcPr>
            <w:tcW w:w="709" w:type="dxa"/>
            <w:shd w:val="clear" w:color="auto" w:fill="auto"/>
            <w:vAlign w:val="center"/>
          </w:tcPr>
          <w:p w14:paraId="0E9676F9"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速率</w:t>
            </w:r>
            <w:r>
              <w:rPr>
                <w:rFonts w:ascii="Times New Roman" w:eastAsia="等线" w:hAnsi="Times New Roman" w:cs="Times New Roman"/>
                <w:kern w:val="0"/>
                <w:szCs w:val="21"/>
              </w:rPr>
              <w:t>kg/h</w:t>
            </w:r>
          </w:p>
        </w:tc>
        <w:tc>
          <w:tcPr>
            <w:tcW w:w="708" w:type="dxa"/>
            <w:vMerge/>
            <w:vAlign w:val="center"/>
          </w:tcPr>
          <w:p w14:paraId="3D5EE4B5" w14:textId="77777777" w:rsidR="002133E3" w:rsidRDefault="002133E3">
            <w:pPr>
              <w:widowControl/>
              <w:jc w:val="center"/>
              <w:rPr>
                <w:rFonts w:ascii="Times New Roman" w:eastAsia="宋体" w:hAnsi="Times New Roman" w:cs="Times New Roman"/>
                <w:color w:val="000000"/>
                <w:kern w:val="0"/>
                <w:szCs w:val="21"/>
              </w:rPr>
            </w:pPr>
          </w:p>
        </w:tc>
        <w:tc>
          <w:tcPr>
            <w:tcW w:w="1560" w:type="dxa"/>
            <w:vMerge/>
            <w:vAlign w:val="center"/>
          </w:tcPr>
          <w:p w14:paraId="7C78BAB5" w14:textId="77777777" w:rsidR="002133E3" w:rsidRDefault="002133E3">
            <w:pPr>
              <w:widowControl/>
              <w:jc w:val="center"/>
              <w:rPr>
                <w:rFonts w:ascii="Times New Roman" w:eastAsia="等线" w:hAnsi="Times New Roman" w:cs="Times New Roman"/>
                <w:kern w:val="0"/>
                <w:szCs w:val="21"/>
              </w:rPr>
            </w:pPr>
          </w:p>
        </w:tc>
        <w:tc>
          <w:tcPr>
            <w:tcW w:w="850" w:type="dxa"/>
            <w:shd w:val="clear" w:color="auto" w:fill="auto"/>
            <w:vAlign w:val="center"/>
          </w:tcPr>
          <w:p w14:paraId="3E9FB27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浓度</w:t>
            </w:r>
            <w:r>
              <w:rPr>
                <w:rFonts w:ascii="Times New Roman" w:eastAsia="等线" w:hAnsi="Times New Roman" w:cs="Times New Roman"/>
                <w:kern w:val="0"/>
                <w:szCs w:val="21"/>
              </w:rPr>
              <w:t>mg/m</w:t>
            </w:r>
            <w:r>
              <w:rPr>
                <w:rFonts w:ascii="Times New Roman" w:eastAsia="等线" w:hAnsi="Times New Roman" w:cs="Times New Roman"/>
                <w:kern w:val="0"/>
                <w:szCs w:val="21"/>
                <w:vertAlign w:val="superscript"/>
              </w:rPr>
              <w:t>3</w:t>
            </w:r>
          </w:p>
        </w:tc>
        <w:tc>
          <w:tcPr>
            <w:tcW w:w="709" w:type="dxa"/>
            <w:shd w:val="clear" w:color="auto" w:fill="auto"/>
            <w:vAlign w:val="center"/>
          </w:tcPr>
          <w:p w14:paraId="0F8EF4EC"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速率</w:t>
            </w:r>
            <w:r>
              <w:rPr>
                <w:rFonts w:ascii="Times New Roman" w:eastAsia="等线" w:hAnsi="Times New Roman" w:cs="Times New Roman"/>
                <w:kern w:val="0"/>
                <w:szCs w:val="21"/>
              </w:rPr>
              <w:t>kg/h</w:t>
            </w:r>
          </w:p>
        </w:tc>
        <w:tc>
          <w:tcPr>
            <w:tcW w:w="786" w:type="dxa"/>
            <w:vMerge/>
            <w:vAlign w:val="center"/>
          </w:tcPr>
          <w:p w14:paraId="7A56CC36" w14:textId="77777777" w:rsidR="002133E3" w:rsidRDefault="002133E3">
            <w:pPr>
              <w:widowControl/>
              <w:jc w:val="center"/>
              <w:rPr>
                <w:rFonts w:ascii="Times New Roman" w:eastAsia="等线" w:hAnsi="Times New Roman" w:cs="Times New Roman"/>
                <w:kern w:val="0"/>
                <w:szCs w:val="21"/>
              </w:rPr>
            </w:pPr>
          </w:p>
        </w:tc>
      </w:tr>
      <w:tr w:rsidR="002133E3" w14:paraId="7BB01069" w14:textId="77777777">
        <w:trPr>
          <w:trHeight w:val="567"/>
        </w:trPr>
        <w:tc>
          <w:tcPr>
            <w:tcW w:w="1384" w:type="dxa"/>
            <w:vMerge w:val="restart"/>
            <w:shd w:val="clear" w:color="auto" w:fill="auto"/>
            <w:vAlign w:val="center"/>
          </w:tcPr>
          <w:p w14:paraId="676CAEC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1-1</w:t>
            </w:r>
          </w:p>
        </w:tc>
        <w:tc>
          <w:tcPr>
            <w:tcW w:w="1559" w:type="dxa"/>
            <w:gridSpan w:val="2"/>
            <w:shd w:val="clear" w:color="auto" w:fill="auto"/>
            <w:vAlign w:val="center"/>
          </w:tcPr>
          <w:p w14:paraId="4F7A03D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60000</w:t>
            </w:r>
          </w:p>
        </w:tc>
        <w:tc>
          <w:tcPr>
            <w:tcW w:w="993" w:type="dxa"/>
            <w:shd w:val="clear" w:color="auto" w:fill="auto"/>
            <w:noWrap/>
            <w:vAlign w:val="center"/>
          </w:tcPr>
          <w:p w14:paraId="16F289D4"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850" w:type="dxa"/>
            <w:shd w:val="clear" w:color="auto" w:fill="auto"/>
            <w:vAlign w:val="center"/>
          </w:tcPr>
          <w:p w14:paraId="719E565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1234.6</w:t>
            </w:r>
          </w:p>
        </w:tc>
        <w:tc>
          <w:tcPr>
            <w:tcW w:w="851" w:type="dxa"/>
            <w:shd w:val="clear" w:color="auto" w:fill="auto"/>
            <w:noWrap/>
            <w:vAlign w:val="center"/>
          </w:tcPr>
          <w:p w14:paraId="6264318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533.33</w:t>
            </w:r>
          </w:p>
        </w:tc>
        <w:tc>
          <w:tcPr>
            <w:tcW w:w="850" w:type="dxa"/>
            <w:shd w:val="clear" w:color="auto" w:fill="auto"/>
            <w:noWrap/>
            <w:vAlign w:val="center"/>
          </w:tcPr>
          <w:p w14:paraId="38CC2EA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74.1</w:t>
            </w:r>
          </w:p>
        </w:tc>
        <w:tc>
          <w:tcPr>
            <w:tcW w:w="851" w:type="dxa"/>
            <w:shd w:val="clear" w:color="auto" w:fill="auto"/>
            <w:vAlign w:val="center"/>
          </w:tcPr>
          <w:p w14:paraId="0C26A220"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412656D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76DECFF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12.35</w:t>
            </w:r>
          </w:p>
        </w:tc>
        <w:tc>
          <w:tcPr>
            <w:tcW w:w="709" w:type="dxa"/>
            <w:shd w:val="clear" w:color="auto" w:fill="auto"/>
            <w:vAlign w:val="center"/>
          </w:tcPr>
          <w:p w14:paraId="5CDE4B9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5.33 </w:t>
            </w:r>
          </w:p>
        </w:tc>
        <w:tc>
          <w:tcPr>
            <w:tcW w:w="709" w:type="dxa"/>
            <w:shd w:val="clear" w:color="auto" w:fill="auto"/>
            <w:vAlign w:val="center"/>
          </w:tcPr>
          <w:p w14:paraId="5705E31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0.74 </w:t>
            </w:r>
          </w:p>
        </w:tc>
        <w:tc>
          <w:tcPr>
            <w:tcW w:w="708" w:type="dxa"/>
            <w:shd w:val="clear" w:color="auto" w:fill="auto"/>
            <w:vAlign w:val="center"/>
          </w:tcPr>
          <w:p w14:paraId="17E625B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7200</w:t>
            </w:r>
          </w:p>
        </w:tc>
        <w:tc>
          <w:tcPr>
            <w:tcW w:w="1560" w:type="dxa"/>
            <w:shd w:val="clear" w:color="auto" w:fill="auto"/>
            <w:noWrap/>
            <w:vAlign w:val="center"/>
          </w:tcPr>
          <w:p w14:paraId="73421CC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850" w:type="dxa"/>
            <w:shd w:val="clear" w:color="auto" w:fill="auto"/>
            <w:noWrap/>
            <w:vAlign w:val="center"/>
          </w:tcPr>
          <w:p w14:paraId="4A56A75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w:t>
            </w:r>
          </w:p>
        </w:tc>
        <w:tc>
          <w:tcPr>
            <w:tcW w:w="709" w:type="dxa"/>
            <w:shd w:val="clear" w:color="auto" w:fill="auto"/>
            <w:vAlign w:val="center"/>
          </w:tcPr>
          <w:p w14:paraId="795F163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w:t>
            </w:r>
          </w:p>
        </w:tc>
        <w:tc>
          <w:tcPr>
            <w:tcW w:w="786" w:type="dxa"/>
            <w:vMerge w:val="restart"/>
            <w:shd w:val="clear" w:color="auto" w:fill="auto"/>
            <w:vAlign w:val="center"/>
          </w:tcPr>
          <w:p w14:paraId="4FE412BF"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连续排入大气</w:t>
            </w:r>
          </w:p>
        </w:tc>
      </w:tr>
      <w:tr w:rsidR="002133E3" w14:paraId="52D655B7" w14:textId="77777777">
        <w:trPr>
          <w:trHeight w:val="567"/>
        </w:trPr>
        <w:tc>
          <w:tcPr>
            <w:tcW w:w="1384" w:type="dxa"/>
            <w:vMerge/>
            <w:vAlign w:val="center"/>
          </w:tcPr>
          <w:p w14:paraId="2C7282FB" w14:textId="77777777" w:rsidR="002133E3" w:rsidRDefault="002133E3">
            <w:pPr>
              <w:widowControl/>
              <w:jc w:val="center"/>
              <w:rPr>
                <w:rFonts w:ascii="Times New Roman" w:eastAsia="等线" w:hAnsi="Times New Roman" w:cs="Times New Roman"/>
                <w:kern w:val="0"/>
                <w:szCs w:val="21"/>
              </w:rPr>
            </w:pPr>
          </w:p>
        </w:tc>
        <w:tc>
          <w:tcPr>
            <w:tcW w:w="1559" w:type="dxa"/>
            <w:gridSpan w:val="2"/>
            <w:shd w:val="clear" w:color="auto" w:fill="auto"/>
            <w:vAlign w:val="center"/>
          </w:tcPr>
          <w:p w14:paraId="4017B45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60000</w:t>
            </w:r>
          </w:p>
        </w:tc>
        <w:tc>
          <w:tcPr>
            <w:tcW w:w="993" w:type="dxa"/>
            <w:shd w:val="clear" w:color="auto" w:fill="auto"/>
            <w:noWrap/>
            <w:vAlign w:val="center"/>
          </w:tcPr>
          <w:p w14:paraId="686D7F29"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850" w:type="dxa"/>
            <w:shd w:val="clear" w:color="auto" w:fill="auto"/>
            <w:vAlign w:val="center"/>
          </w:tcPr>
          <w:p w14:paraId="4BB42BC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1234.6</w:t>
            </w:r>
          </w:p>
        </w:tc>
        <w:tc>
          <w:tcPr>
            <w:tcW w:w="851" w:type="dxa"/>
            <w:shd w:val="clear" w:color="auto" w:fill="auto"/>
            <w:noWrap/>
            <w:vAlign w:val="center"/>
          </w:tcPr>
          <w:p w14:paraId="5A0029A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533.33</w:t>
            </w:r>
          </w:p>
        </w:tc>
        <w:tc>
          <w:tcPr>
            <w:tcW w:w="850" w:type="dxa"/>
            <w:shd w:val="clear" w:color="auto" w:fill="auto"/>
            <w:noWrap/>
            <w:vAlign w:val="center"/>
          </w:tcPr>
          <w:p w14:paraId="534A42D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74.1</w:t>
            </w:r>
          </w:p>
        </w:tc>
        <w:tc>
          <w:tcPr>
            <w:tcW w:w="851" w:type="dxa"/>
            <w:shd w:val="clear" w:color="auto" w:fill="auto"/>
            <w:vAlign w:val="center"/>
          </w:tcPr>
          <w:p w14:paraId="62F2BF7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15A738A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4B34458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12.35</w:t>
            </w:r>
          </w:p>
        </w:tc>
        <w:tc>
          <w:tcPr>
            <w:tcW w:w="709" w:type="dxa"/>
            <w:shd w:val="clear" w:color="auto" w:fill="auto"/>
            <w:vAlign w:val="center"/>
          </w:tcPr>
          <w:p w14:paraId="2F5BA84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5.33 </w:t>
            </w:r>
          </w:p>
        </w:tc>
        <w:tc>
          <w:tcPr>
            <w:tcW w:w="709" w:type="dxa"/>
            <w:shd w:val="clear" w:color="auto" w:fill="auto"/>
            <w:vAlign w:val="center"/>
          </w:tcPr>
          <w:p w14:paraId="6A54798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0.74 </w:t>
            </w:r>
          </w:p>
        </w:tc>
        <w:tc>
          <w:tcPr>
            <w:tcW w:w="708" w:type="dxa"/>
            <w:shd w:val="clear" w:color="auto" w:fill="auto"/>
            <w:vAlign w:val="center"/>
          </w:tcPr>
          <w:p w14:paraId="45C6E49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7200</w:t>
            </w:r>
          </w:p>
        </w:tc>
        <w:tc>
          <w:tcPr>
            <w:tcW w:w="1560" w:type="dxa"/>
            <w:shd w:val="clear" w:color="auto" w:fill="auto"/>
            <w:noWrap/>
            <w:vAlign w:val="center"/>
          </w:tcPr>
          <w:p w14:paraId="7A3B752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850" w:type="dxa"/>
            <w:shd w:val="clear" w:color="auto" w:fill="auto"/>
            <w:noWrap/>
            <w:vAlign w:val="center"/>
          </w:tcPr>
          <w:p w14:paraId="560B2BC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w:t>
            </w:r>
          </w:p>
        </w:tc>
        <w:tc>
          <w:tcPr>
            <w:tcW w:w="709" w:type="dxa"/>
            <w:shd w:val="clear" w:color="auto" w:fill="auto"/>
            <w:vAlign w:val="center"/>
          </w:tcPr>
          <w:p w14:paraId="059AF81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w:t>
            </w:r>
          </w:p>
        </w:tc>
        <w:tc>
          <w:tcPr>
            <w:tcW w:w="786" w:type="dxa"/>
            <w:vMerge/>
            <w:vAlign w:val="center"/>
          </w:tcPr>
          <w:p w14:paraId="252D3852" w14:textId="77777777" w:rsidR="002133E3" w:rsidRDefault="002133E3">
            <w:pPr>
              <w:widowControl/>
              <w:jc w:val="center"/>
              <w:rPr>
                <w:rFonts w:ascii="Times New Roman" w:eastAsia="等线" w:hAnsi="Times New Roman" w:cs="Times New Roman"/>
                <w:kern w:val="0"/>
                <w:szCs w:val="21"/>
              </w:rPr>
            </w:pPr>
          </w:p>
        </w:tc>
      </w:tr>
      <w:tr w:rsidR="002133E3" w14:paraId="1CC7E0D4" w14:textId="77777777">
        <w:trPr>
          <w:trHeight w:val="567"/>
        </w:trPr>
        <w:tc>
          <w:tcPr>
            <w:tcW w:w="1384" w:type="dxa"/>
            <w:vMerge/>
            <w:vAlign w:val="center"/>
          </w:tcPr>
          <w:p w14:paraId="03A3229A" w14:textId="77777777" w:rsidR="002133E3" w:rsidRDefault="002133E3">
            <w:pPr>
              <w:widowControl/>
              <w:jc w:val="center"/>
              <w:rPr>
                <w:rFonts w:ascii="Times New Roman" w:eastAsia="等线" w:hAnsi="Times New Roman" w:cs="Times New Roman"/>
                <w:kern w:val="0"/>
                <w:szCs w:val="21"/>
              </w:rPr>
            </w:pPr>
          </w:p>
        </w:tc>
        <w:tc>
          <w:tcPr>
            <w:tcW w:w="1559" w:type="dxa"/>
            <w:gridSpan w:val="2"/>
            <w:shd w:val="clear" w:color="auto" w:fill="auto"/>
            <w:vAlign w:val="center"/>
          </w:tcPr>
          <w:p w14:paraId="24732E9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60000</w:t>
            </w:r>
          </w:p>
        </w:tc>
        <w:tc>
          <w:tcPr>
            <w:tcW w:w="993" w:type="dxa"/>
            <w:shd w:val="clear" w:color="auto" w:fill="auto"/>
            <w:noWrap/>
            <w:vAlign w:val="center"/>
          </w:tcPr>
          <w:p w14:paraId="71CFE724"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850" w:type="dxa"/>
            <w:shd w:val="clear" w:color="auto" w:fill="auto"/>
            <w:vAlign w:val="center"/>
          </w:tcPr>
          <w:p w14:paraId="4FE3536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1234.6</w:t>
            </w:r>
          </w:p>
        </w:tc>
        <w:tc>
          <w:tcPr>
            <w:tcW w:w="851" w:type="dxa"/>
            <w:shd w:val="clear" w:color="auto" w:fill="auto"/>
            <w:noWrap/>
            <w:vAlign w:val="center"/>
          </w:tcPr>
          <w:p w14:paraId="5F04667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533.33</w:t>
            </w:r>
          </w:p>
        </w:tc>
        <w:tc>
          <w:tcPr>
            <w:tcW w:w="850" w:type="dxa"/>
            <w:shd w:val="clear" w:color="auto" w:fill="auto"/>
            <w:noWrap/>
            <w:vAlign w:val="center"/>
          </w:tcPr>
          <w:p w14:paraId="46DBFCA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74.1</w:t>
            </w:r>
          </w:p>
        </w:tc>
        <w:tc>
          <w:tcPr>
            <w:tcW w:w="851" w:type="dxa"/>
            <w:shd w:val="clear" w:color="auto" w:fill="auto"/>
            <w:vAlign w:val="center"/>
          </w:tcPr>
          <w:p w14:paraId="00799F6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54E5772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0219F91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12.35</w:t>
            </w:r>
          </w:p>
        </w:tc>
        <w:tc>
          <w:tcPr>
            <w:tcW w:w="709" w:type="dxa"/>
            <w:shd w:val="clear" w:color="auto" w:fill="auto"/>
            <w:vAlign w:val="center"/>
          </w:tcPr>
          <w:p w14:paraId="3976342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5.33 </w:t>
            </w:r>
          </w:p>
        </w:tc>
        <w:tc>
          <w:tcPr>
            <w:tcW w:w="709" w:type="dxa"/>
            <w:shd w:val="clear" w:color="auto" w:fill="auto"/>
            <w:vAlign w:val="center"/>
          </w:tcPr>
          <w:p w14:paraId="06BAE67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0.74 </w:t>
            </w:r>
          </w:p>
        </w:tc>
        <w:tc>
          <w:tcPr>
            <w:tcW w:w="708" w:type="dxa"/>
            <w:shd w:val="clear" w:color="auto" w:fill="auto"/>
            <w:vAlign w:val="center"/>
          </w:tcPr>
          <w:p w14:paraId="4B27C26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7200</w:t>
            </w:r>
          </w:p>
        </w:tc>
        <w:tc>
          <w:tcPr>
            <w:tcW w:w="1560" w:type="dxa"/>
            <w:shd w:val="clear" w:color="auto" w:fill="auto"/>
            <w:noWrap/>
            <w:vAlign w:val="center"/>
          </w:tcPr>
          <w:p w14:paraId="4F5A20E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850" w:type="dxa"/>
            <w:shd w:val="clear" w:color="auto" w:fill="auto"/>
            <w:noWrap/>
            <w:vAlign w:val="center"/>
          </w:tcPr>
          <w:p w14:paraId="4FADAAF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w:t>
            </w:r>
          </w:p>
        </w:tc>
        <w:tc>
          <w:tcPr>
            <w:tcW w:w="709" w:type="dxa"/>
            <w:shd w:val="clear" w:color="auto" w:fill="auto"/>
            <w:vAlign w:val="center"/>
          </w:tcPr>
          <w:p w14:paraId="5485A10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w:t>
            </w:r>
          </w:p>
        </w:tc>
        <w:tc>
          <w:tcPr>
            <w:tcW w:w="786" w:type="dxa"/>
            <w:vMerge/>
            <w:vAlign w:val="center"/>
          </w:tcPr>
          <w:p w14:paraId="257F3959" w14:textId="77777777" w:rsidR="002133E3" w:rsidRDefault="002133E3">
            <w:pPr>
              <w:widowControl/>
              <w:jc w:val="center"/>
              <w:rPr>
                <w:rFonts w:ascii="Times New Roman" w:eastAsia="等线" w:hAnsi="Times New Roman" w:cs="Times New Roman"/>
                <w:kern w:val="0"/>
                <w:szCs w:val="21"/>
              </w:rPr>
            </w:pPr>
          </w:p>
        </w:tc>
      </w:tr>
      <w:tr w:rsidR="002133E3" w14:paraId="2A798E13" w14:textId="77777777">
        <w:trPr>
          <w:trHeight w:val="567"/>
        </w:trPr>
        <w:tc>
          <w:tcPr>
            <w:tcW w:w="1384" w:type="dxa"/>
            <w:vMerge w:val="restart"/>
            <w:shd w:val="clear" w:color="auto" w:fill="auto"/>
            <w:vAlign w:val="center"/>
          </w:tcPr>
          <w:p w14:paraId="3B08E22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1-7</w:t>
            </w:r>
          </w:p>
        </w:tc>
        <w:tc>
          <w:tcPr>
            <w:tcW w:w="1559" w:type="dxa"/>
            <w:gridSpan w:val="2"/>
            <w:shd w:val="clear" w:color="auto" w:fill="auto"/>
            <w:noWrap/>
            <w:vAlign w:val="center"/>
          </w:tcPr>
          <w:p w14:paraId="5ED8FAC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10000</w:t>
            </w:r>
          </w:p>
        </w:tc>
        <w:tc>
          <w:tcPr>
            <w:tcW w:w="993" w:type="dxa"/>
            <w:shd w:val="clear" w:color="auto" w:fill="auto"/>
            <w:noWrap/>
            <w:vAlign w:val="center"/>
          </w:tcPr>
          <w:p w14:paraId="4518E9B3"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850" w:type="dxa"/>
            <w:shd w:val="clear" w:color="auto" w:fill="auto"/>
            <w:vAlign w:val="center"/>
          </w:tcPr>
          <w:p w14:paraId="67CA503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3703.7</w:t>
            </w:r>
          </w:p>
        </w:tc>
        <w:tc>
          <w:tcPr>
            <w:tcW w:w="851" w:type="dxa"/>
            <w:shd w:val="clear" w:color="auto" w:fill="auto"/>
            <w:noWrap/>
            <w:vAlign w:val="center"/>
          </w:tcPr>
          <w:p w14:paraId="5774462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266.67</w:t>
            </w:r>
          </w:p>
        </w:tc>
        <w:tc>
          <w:tcPr>
            <w:tcW w:w="850" w:type="dxa"/>
            <w:shd w:val="clear" w:color="auto" w:fill="auto"/>
            <w:noWrap/>
            <w:vAlign w:val="center"/>
          </w:tcPr>
          <w:p w14:paraId="22B4A09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w:t>
            </w:r>
          </w:p>
        </w:tc>
        <w:tc>
          <w:tcPr>
            <w:tcW w:w="851" w:type="dxa"/>
            <w:shd w:val="clear" w:color="auto" w:fill="auto"/>
            <w:vAlign w:val="center"/>
          </w:tcPr>
          <w:p w14:paraId="0681607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2C5EF4D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51E3079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709" w:type="dxa"/>
            <w:shd w:val="clear" w:color="auto" w:fill="auto"/>
            <w:vAlign w:val="center"/>
          </w:tcPr>
          <w:p w14:paraId="0DA6E38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2.67 </w:t>
            </w:r>
          </w:p>
        </w:tc>
        <w:tc>
          <w:tcPr>
            <w:tcW w:w="709" w:type="dxa"/>
            <w:shd w:val="clear" w:color="auto" w:fill="auto"/>
            <w:vAlign w:val="center"/>
          </w:tcPr>
          <w:p w14:paraId="56738A4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0.37 </w:t>
            </w:r>
          </w:p>
        </w:tc>
        <w:tc>
          <w:tcPr>
            <w:tcW w:w="708" w:type="dxa"/>
            <w:shd w:val="clear" w:color="auto" w:fill="auto"/>
            <w:vAlign w:val="center"/>
          </w:tcPr>
          <w:p w14:paraId="298DD17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7200</w:t>
            </w:r>
          </w:p>
        </w:tc>
        <w:tc>
          <w:tcPr>
            <w:tcW w:w="1560" w:type="dxa"/>
            <w:shd w:val="clear" w:color="auto" w:fill="auto"/>
            <w:noWrap/>
            <w:vAlign w:val="center"/>
          </w:tcPr>
          <w:p w14:paraId="40AA8B9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850" w:type="dxa"/>
            <w:shd w:val="clear" w:color="auto" w:fill="auto"/>
            <w:noWrap/>
            <w:vAlign w:val="center"/>
          </w:tcPr>
          <w:p w14:paraId="69BAF2C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w:t>
            </w:r>
          </w:p>
        </w:tc>
        <w:tc>
          <w:tcPr>
            <w:tcW w:w="709" w:type="dxa"/>
            <w:shd w:val="clear" w:color="auto" w:fill="auto"/>
            <w:vAlign w:val="center"/>
          </w:tcPr>
          <w:p w14:paraId="43FFC57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w:t>
            </w:r>
          </w:p>
        </w:tc>
        <w:tc>
          <w:tcPr>
            <w:tcW w:w="786" w:type="dxa"/>
            <w:vMerge/>
            <w:vAlign w:val="center"/>
          </w:tcPr>
          <w:p w14:paraId="4646F032" w14:textId="77777777" w:rsidR="002133E3" w:rsidRDefault="002133E3">
            <w:pPr>
              <w:widowControl/>
              <w:jc w:val="center"/>
              <w:rPr>
                <w:rFonts w:ascii="Times New Roman" w:eastAsia="等线" w:hAnsi="Times New Roman" w:cs="Times New Roman"/>
                <w:kern w:val="0"/>
                <w:szCs w:val="21"/>
              </w:rPr>
            </w:pPr>
          </w:p>
        </w:tc>
      </w:tr>
      <w:tr w:rsidR="002133E3" w14:paraId="0ECFAD84" w14:textId="77777777">
        <w:trPr>
          <w:trHeight w:val="567"/>
        </w:trPr>
        <w:tc>
          <w:tcPr>
            <w:tcW w:w="1384" w:type="dxa"/>
            <w:vMerge/>
            <w:vAlign w:val="center"/>
          </w:tcPr>
          <w:p w14:paraId="144C3590" w14:textId="77777777" w:rsidR="002133E3" w:rsidRDefault="002133E3">
            <w:pPr>
              <w:widowControl/>
              <w:jc w:val="center"/>
              <w:rPr>
                <w:rFonts w:ascii="Times New Roman" w:eastAsia="等线" w:hAnsi="Times New Roman" w:cs="Times New Roman"/>
                <w:kern w:val="0"/>
                <w:szCs w:val="21"/>
              </w:rPr>
            </w:pPr>
          </w:p>
        </w:tc>
        <w:tc>
          <w:tcPr>
            <w:tcW w:w="1559" w:type="dxa"/>
            <w:gridSpan w:val="2"/>
            <w:shd w:val="clear" w:color="auto" w:fill="auto"/>
            <w:noWrap/>
            <w:vAlign w:val="center"/>
          </w:tcPr>
          <w:p w14:paraId="4AAF93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10000</w:t>
            </w:r>
          </w:p>
        </w:tc>
        <w:tc>
          <w:tcPr>
            <w:tcW w:w="993" w:type="dxa"/>
            <w:shd w:val="clear" w:color="auto" w:fill="auto"/>
            <w:noWrap/>
            <w:vAlign w:val="center"/>
          </w:tcPr>
          <w:p w14:paraId="4CC60C0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850" w:type="dxa"/>
            <w:shd w:val="clear" w:color="auto" w:fill="auto"/>
            <w:vAlign w:val="center"/>
          </w:tcPr>
          <w:p w14:paraId="64C8E36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3703.7</w:t>
            </w:r>
          </w:p>
        </w:tc>
        <w:tc>
          <w:tcPr>
            <w:tcW w:w="851" w:type="dxa"/>
            <w:shd w:val="clear" w:color="auto" w:fill="auto"/>
            <w:noWrap/>
            <w:vAlign w:val="center"/>
          </w:tcPr>
          <w:p w14:paraId="09C8C55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266.67</w:t>
            </w:r>
          </w:p>
        </w:tc>
        <w:tc>
          <w:tcPr>
            <w:tcW w:w="850" w:type="dxa"/>
            <w:shd w:val="clear" w:color="auto" w:fill="auto"/>
            <w:noWrap/>
            <w:vAlign w:val="center"/>
          </w:tcPr>
          <w:p w14:paraId="7647ECD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w:t>
            </w:r>
          </w:p>
        </w:tc>
        <w:tc>
          <w:tcPr>
            <w:tcW w:w="851" w:type="dxa"/>
            <w:shd w:val="clear" w:color="auto" w:fill="auto"/>
            <w:vAlign w:val="center"/>
          </w:tcPr>
          <w:p w14:paraId="40565B42"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4BF7DAC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7E8FE78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709" w:type="dxa"/>
            <w:shd w:val="clear" w:color="auto" w:fill="auto"/>
            <w:vAlign w:val="center"/>
          </w:tcPr>
          <w:p w14:paraId="71B299A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2.67 </w:t>
            </w:r>
          </w:p>
        </w:tc>
        <w:tc>
          <w:tcPr>
            <w:tcW w:w="709" w:type="dxa"/>
            <w:shd w:val="clear" w:color="auto" w:fill="auto"/>
            <w:vAlign w:val="center"/>
          </w:tcPr>
          <w:p w14:paraId="6BBCC97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0.37 </w:t>
            </w:r>
          </w:p>
        </w:tc>
        <w:tc>
          <w:tcPr>
            <w:tcW w:w="708" w:type="dxa"/>
            <w:shd w:val="clear" w:color="auto" w:fill="auto"/>
            <w:vAlign w:val="center"/>
          </w:tcPr>
          <w:p w14:paraId="4489F6E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7200</w:t>
            </w:r>
          </w:p>
        </w:tc>
        <w:tc>
          <w:tcPr>
            <w:tcW w:w="1560" w:type="dxa"/>
            <w:shd w:val="clear" w:color="auto" w:fill="auto"/>
            <w:noWrap/>
            <w:vAlign w:val="center"/>
          </w:tcPr>
          <w:p w14:paraId="7BD1F4E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850" w:type="dxa"/>
            <w:shd w:val="clear" w:color="auto" w:fill="auto"/>
            <w:noWrap/>
            <w:vAlign w:val="center"/>
          </w:tcPr>
          <w:p w14:paraId="40AE0F5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w:t>
            </w:r>
          </w:p>
        </w:tc>
        <w:tc>
          <w:tcPr>
            <w:tcW w:w="709" w:type="dxa"/>
            <w:shd w:val="clear" w:color="auto" w:fill="auto"/>
            <w:vAlign w:val="center"/>
          </w:tcPr>
          <w:p w14:paraId="708FAED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w:t>
            </w:r>
          </w:p>
        </w:tc>
        <w:tc>
          <w:tcPr>
            <w:tcW w:w="786" w:type="dxa"/>
            <w:vMerge/>
            <w:vAlign w:val="center"/>
          </w:tcPr>
          <w:p w14:paraId="53340C7B" w14:textId="77777777" w:rsidR="002133E3" w:rsidRDefault="002133E3">
            <w:pPr>
              <w:widowControl/>
              <w:jc w:val="center"/>
              <w:rPr>
                <w:rFonts w:ascii="Times New Roman" w:eastAsia="等线" w:hAnsi="Times New Roman" w:cs="Times New Roman"/>
                <w:kern w:val="0"/>
                <w:szCs w:val="21"/>
              </w:rPr>
            </w:pPr>
          </w:p>
        </w:tc>
      </w:tr>
      <w:tr w:rsidR="002133E3" w14:paraId="0A107281" w14:textId="77777777">
        <w:trPr>
          <w:trHeight w:val="567"/>
        </w:trPr>
        <w:tc>
          <w:tcPr>
            <w:tcW w:w="1384" w:type="dxa"/>
            <w:vMerge/>
            <w:vAlign w:val="center"/>
          </w:tcPr>
          <w:p w14:paraId="50406AD5" w14:textId="77777777" w:rsidR="002133E3" w:rsidRDefault="002133E3">
            <w:pPr>
              <w:widowControl/>
              <w:jc w:val="center"/>
              <w:rPr>
                <w:rFonts w:ascii="Times New Roman" w:eastAsia="等线" w:hAnsi="Times New Roman" w:cs="Times New Roman"/>
                <w:kern w:val="0"/>
                <w:szCs w:val="21"/>
              </w:rPr>
            </w:pPr>
          </w:p>
        </w:tc>
        <w:tc>
          <w:tcPr>
            <w:tcW w:w="1559" w:type="dxa"/>
            <w:gridSpan w:val="2"/>
            <w:shd w:val="clear" w:color="auto" w:fill="auto"/>
            <w:noWrap/>
            <w:vAlign w:val="center"/>
          </w:tcPr>
          <w:p w14:paraId="524F4AF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10000</w:t>
            </w:r>
          </w:p>
        </w:tc>
        <w:tc>
          <w:tcPr>
            <w:tcW w:w="993" w:type="dxa"/>
            <w:shd w:val="clear" w:color="auto" w:fill="auto"/>
            <w:noWrap/>
            <w:vAlign w:val="center"/>
          </w:tcPr>
          <w:p w14:paraId="46FBBA8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850" w:type="dxa"/>
            <w:shd w:val="clear" w:color="auto" w:fill="auto"/>
            <w:vAlign w:val="center"/>
          </w:tcPr>
          <w:p w14:paraId="42307E6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3703.7</w:t>
            </w:r>
          </w:p>
        </w:tc>
        <w:tc>
          <w:tcPr>
            <w:tcW w:w="851" w:type="dxa"/>
            <w:shd w:val="clear" w:color="auto" w:fill="auto"/>
            <w:noWrap/>
            <w:vAlign w:val="center"/>
          </w:tcPr>
          <w:p w14:paraId="596D09D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266.67</w:t>
            </w:r>
          </w:p>
        </w:tc>
        <w:tc>
          <w:tcPr>
            <w:tcW w:w="850" w:type="dxa"/>
            <w:shd w:val="clear" w:color="auto" w:fill="auto"/>
            <w:noWrap/>
            <w:vAlign w:val="center"/>
          </w:tcPr>
          <w:p w14:paraId="471F0BD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w:t>
            </w:r>
          </w:p>
        </w:tc>
        <w:tc>
          <w:tcPr>
            <w:tcW w:w="851" w:type="dxa"/>
            <w:shd w:val="clear" w:color="auto" w:fill="auto"/>
            <w:vAlign w:val="center"/>
          </w:tcPr>
          <w:p w14:paraId="0D17152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4994047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4E7B132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709" w:type="dxa"/>
            <w:shd w:val="clear" w:color="auto" w:fill="auto"/>
            <w:vAlign w:val="center"/>
          </w:tcPr>
          <w:p w14:paraId="629AB08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2.67 </w:t>
            </w:r>
          </w:p>
        </w:tc>
        <w:tc>
          <w:tcPr>
            <w:tcW w:w="709" w:type="dxa"/>
            <w:shd w:val="clear" w:color="auto" w:fill="auto"/>
            <w:vAlign w:val="center"/>
          </w:tcPr>
          <w:p w14:paraId="63734AC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0.37 </w:t>
            </w:r>
          </w:p>
        </w:tc>
        <w:tc>
          <w:tcPr>
            <w:tcW w:w="708" w:type="dxa"/>
            <w:shd w:val="clear" w:color="auto" w:fill="auto"/>
            <w:vAlign w:val="center"/>
          </w:tcPr>
          <w:p w14:paraId="59090B1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7200</w:t>
            </w:r>
          </w:p>
        </w:tc>
        <w:tc>
          <w:tcPr>
            <w:tcW w:w="1560" w:type="dxa"/>
            <w:shd w:val="clear" w:color="auto" w:fill="auto"/>
            <w:noWrap/>
            <w:vAlign w:val="center"/>
          </w:tcPr>
          <w:p w14:paraId="4AFC284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16#</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850" w:type="dxa"/>
            <w:shd w:val="clear" w:color="auto" w:fill="auto"/>
            <w:noWrap/>
            <w:vAlign w:val="center"/>
          </w:tcPr>
          <w:p w14:paraId="46A331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w:t>
            </w:r>
          </w:p>
        </w:tc>
        <w:tc>
          <w:tcPr>
            <w:tcW w:w="709" w:type="dxa"/>
            <w:shd w:val="clear" w:color="auto" w:fill="auto"/>
            <w:vAlign w:val="center"/>
          </w:tcPr>
          <w:p w14:paraId="7DA324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w:t>
            </w:r>
          </w:p>
        </w:tc>
        <w:tc>
          <w:tcPr>
            <w:tcW w:w="786" w:type="dxa"/>
            <w:vMerge/>
            <w:vAlign w:val="center"/>
          </w:tcPr>
          <w:p w14:paraId="76BB49F0" w14:textId="77777777" w:rsidR="002133E3" w:rsidRDefault="002133E3">
            <w:pPr>
              <w:widowControl/>
              <w:jc w:val="center"/>
              <w:rPr>
                <w:rFonts w:ascii="Times New Roman" w:eastAsia="等线" w:hAnsi="Times New Roman" w:cs="Times New Roman"/>
                <w:kern w:val="0"/>
                <w:szCs w:val="21"/>
              </w:rPr>
            </w:pPr>
          </w:p>
        </w:tc>
      </w:tr>
      <w:tr w:rsidR="002133E3" w14:paraId="6DC11A20" w14:textId="77777777">
        <w:trPr>
          <w:trHeight w:val="567"/>
        </w:trPr>
        <w:tc>
          <w:tcPr>
            <w:tcW w:w="1384" w:type="dxa"/>
            <w:vMerge w:val="restart"/>
            <w:shd w:val="clear" w:color="auto" w:fill="auto"/>
            <w:vAlign w:val="center"/>
          </w:tcPr>
          <w:p w14:paraId="34056B2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G1-2</w:t>
            </w:r>
            <w:r>
              <w:rPr>
                <w:rFonts w:ascii="Times New Roman" w:eastAsia="宋体" w:hAnsi="Times New Roman" w:cs="Times New Roman"/>
                <w:kern w:val="0"/>
                <w:szCs w:val="21"/>
              </w:rPr>
              <w:t>、</w:t>
            </w:r>
            <w:r>
              <w:rPr>
                <w:rFonts w:ascii="Times New Roman" w:eastAsia="等线" w:hAnsi="Times New Roman" w:cs="Times New Roman"/>
                <w:kern w:val="0"/>
                <w:szCs w:val="21"/>
              </w:rPr>
              <w:t>G1-8</w:t>
            </w:r>
          </w:p>
        </w:tc>
        <w:tc>
          <w:tcPr>
            <w:tcW w:w="851" w:type="dxa"/>
            <w:vMerge w:val="restart"/>
            <w:shd w:val="clear" w:color="auto" w:fill="auto"/>
            <w:noWrap/>
            <w:vAlign w:val="center"/>
          </w:tcPr>
          <w:p w14:paraId="4EEC51B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6502</w:t>
            </w:r>
          </w:p>
        </w:tc>
        <w:tc>
          <w:tcPr>
            <w:tcW w:w="708" w:type="dxa"/>
            <w:vMerge w:val="restart"/>
            <w:shd w:val="clear" w:color="auto" w:fill="auto"/>
            <w:noWrap/>
            <w:vAlign w:val="center"/>
          </w:tcPr>
          <w:p w14:paraId="5B06D8A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13802</w:t>
            </w:r>
          </w:p>
        </w:tc>
        <w:tc>
          <w:tcPr>
            <w:tcW w:w="993" w:type="dxa"/>
            <w:shd w:val="clear" w:color="auto" w:fill="auto"/>
            <w:noWrap/>
            <w:vAlign w:val="center"/>
          </w:tcPr>
          <w:p w14:paraId="30B35BD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850" w:type="dxa"/>
            <w:shd w:val="clear" w:color="auto" w:fill="auto"/>
            <w:vAlign w:val="center"/>
          </w:tcPr>
          <w:p w14:paraId="6BD6E54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925389.4</w:t>
            </w:r>
          </w:p>
        </w:tc>
        <w:tc>
          <w:tcPr>
            <w:tcW w:w="851" w:type="dxa"/>
            <w:shd w:val="clear" w:color="auto" w:fill="auto"/>
            <w:vAlign w:val="center"/>
          </w:tcPr>
          <w:p w14:paraId="2E279C8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91962.83 </w:t>
            </w:r>
          </w:p>
        </w:tc>
        <w:tc>
          <w:tcPr>
            <w:tcW w:w="850" w:type="dxa"/>
            <w:shd w:val="clear" w:color="auto" w:fill="auto"/>
            <w:vAlign w:val="center"/>
          </w:tcPr>
          <w:p w14:paraId="40ACD41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12772.62 </w:t>
            </w:r>
          </w:p>
        </w:tc>
        <w:tc>
          <w:tcPr>
            <w:tcW w:w="851" w:type="dxa"/>
            <w:vMerge w:val="restart"/>
            <w:shd w:val="clear" w:color="auto" w:fill="auto"/>
            <w:vAlign w:val="center"/>
          </w:tcPr>
          <w:p w14:paraId="41504EA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一级水吸收</w:t>
            </w:r>
          </w:p>
        </w:tc>
        <w:tc>
          <w:tcPr>
            <w:tcW w:w="567" w:type="dxa"/>
            <w:shd w:val="clear" w:color="auto" w:fill="auto"/>
            <w:vAlign w:val="center"/>
          </w:tcPr>
          <w:p w14:paraId="40E6BC5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t>
            </w:r>
          </w:p>
        </w:tc>
        <w:tc>
          <w:tcPr>
            <w:tcW w:w="850" w:type="dxa"/>
            <w:shd w:val="clear" w:color="auto" w:fill="auto"/>
            <w:vAlign w:val="center"/>
          </w:tcPr>
          <w:p w14:paraId="6ED3C3E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925389.40 </w:t>
            </w:r>
          </w:p>
        </w:tc>
        <w:tc>
          <w:tcPr>
            <w:tcW w:w="709" w:type="dxa"/>
            <w:shd w:val="clear" w:color="auto" w:fill="auto"/>
            <w:vAlign w:val="center"/>
          </w:tcPr>
          <w:p w14:paraId="4D1013A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91962.83 </w:t>
            </w:r>
          </w:p>
        </w:tc>
        <w:tc>
          <w:tcPr>
            <w:tcW w:w="709" w:type="dxa"/>
            <w:shd w:val="clear" w:color="auto" w:fill="auto"/>
            <w:vAlign w:val="center"/>
          </w:tcPr>
          <w:p w14:paraId="7CCF665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12772.62 </w:t>
            </w:r>
          </w:p>
        </w:tc>
        <w:tc>
          <w:tcPr>
            <w:tcW w:w="708" w:type="dxa"/>
            <w:vMerge w:val="restart"/>
            <w:shd w:val="clear" w:color="auto" w:fill="auto"/>
            <w:vAlign w:val="center"/>
          </w:tcPr>
          <w:p w14:paraId="3B9685B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7200.00</w:t>
            </w:r>
          </w:p>
        </w:tc>
        <w:tc>
          <w:tcPr>
            <w:tcW w:w="1560" w:type="dxa"/>
            <w:vMerge w:val="restart"/>
            <w:shd w:val="clear" w:color="auto" w:fill="auto"/>
            <w:noWrap/>
            <w:vAlign w:val="center"/>
          </w:tcPr>
          <w:p w14:paraId="1895144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w:t>
            </w:r>
            <w:r>
              <w:rPr>
                <w:rFonts w:ascii="Times New Roman" w:eastAsia="宋体" w:hAnsi="Times New Roman" w:cs="Times New Roman"/>
                <w:kern w:val="0"/>
                <w:szCs w:val="21"/>
              </w:rPr>
              <w:t>，</w:t>
            </w:r>
            <w:r>
              <w:rPr>
                <w:rFonts w:ascii="Times New Roman" w:eastAsia="等线" w:hAnsi="Times New Roman" w:cs="Times New Roman"/>
                <w:kern w:val="0"/>
                <w:szCs w:val="21"/>
              </w:rPr>
              <w:t>H</w:t>
            </w:r>
            <w:r>
              <w:rPr>
                <w:rFonts w:ascii="Times New Roman" w:eastAsia="宋体" w:hAnsi="Times New Roman" w:cs="Times New Roman"/>
                <w:kern w:val="0"/>
                <w:szCs w:val="21"/>
              </w:rPr>
              <w:t>：</w:t>
            </w:r>
            <w:r>
              <w:rPr>
                <w:rFonts w:ascii="Times New Roman" w:eastAsia="等线" w:hAnsi="Times New Roman" w:cs="Times New Roman"/>
                <w:kern w:val="0"/>
                <w:szCs w:val="21"/>
              </w:rPr>
              <w:t>20m</w:t>
            </w:r>
            <w:r>
              <w:rPr>
                <w:rFonts w:ascii="Times New Roman" w:eastAsia="宋体" w:hAnsi="Times New Roman" w:cs="Times New Roman"/>
                <w:kern w:val="0"/>
                <w:szCs w:val="21"/>
              </w:rPr>
              <w:t>，</w:t>
            </w:r>
            <w:r>
              <w:rPr>
                <w:rFonts w:ascii="Times New Roman" w:eastAsia="等线" w:hAnsi="Times New Roman" w:cs="Times New Roman"/>
                <w:kern w:val="0"/>
                <w:szCs w:val="21"/>
              </w:rPr>
              <w:t>ф</w:t>
            </w:r>
            <w:r>
              <w:rPr>
                <w:rFonts w:ascii="Times New Roman" w:eastAsia="宋体" w:hAnsi="Times New Roman" w:cs="Times New Roman"/>
                <w:kern w:val="0"/>
                <w:szCs w:val="21"/>
              </w:rPr>
              <w:t>：</w:t>
            </w:r>
            <w:r>
              <w:rPr>
                <w:rFonts w:ascii="Times New Roman" w:eastAsia="等线" w:hAnsi="Times New Roman" w:cs="Times New Roman"/>
                <w:kern w:val="0"/>
                <w:szCs w:val="21"/>
              </w:rPr>
              <w:t>0.5m</w:t>
            </w:r>
            <w:r>
              <w:rPr>
                <w:rFonts w:ascii="Times New Roman" w:eastAsia="宋体" w:hAnsi="Times New Roman" w:cs="Times New Roman"/>
                <w:kern w:val="0"/>
                <w:szCs w:val="21"/>
              </w:rPr>
              <w:t>，</w:t>
            </w:r>
            <w:r>
              <w:rPr>
                <w:rFonts w:ascii="Times New Roman" w:eastAsia="等线" w:hAnsi="Times New Roman" w:cs="Times New Roman"/>
                <w:kern w:val="0"/>
                <w:szCs w:val="21"/>
              </w:rPr>
              <w:t>25</w:t>
            </w:r>
            <w:r>
              <w:rPr>
                <w:rFonts w:ascii="宋体" w:eastAsia="宋体" w:hAnsi="宋体" w:cs="宋体" w:hint="eastAsia"/>
                <w:kern w:val="0"/>
                <w:szCs w:val="21"/>
              </w:rPr>
              <w:t>℃</w:t>
            </w:r>
          </w:p>
        </w:tc>
        <w:tc>
          <w:tcPr>
            <w:tcW w:w="850" w:type="dxa"/>
            <w:shd w:val="clear" w:color="auto" w:fill="auto"/>
            <w:vAlign w:val="center"/>
          </w:tcPr>
          <w:p w14:paraId="2A389EB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t>
            </w:r>
          </w:p>
        </w:tc>
        <w:tc>
          <w:tcPr>
            <w:tcW w:w="709" w:type="dxa"/>
            <w:shd w:val="clear" w:color="auto" w:fill="auto"/>
            <w:vAlign w:val="center"/>
          </w:tcPr>
          <w:p w14:paraId="592ED7E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t>
            </w:r>
          </w:p>
        </w:tc>
        <w:tc>
          <w:tcPr>
            <w:tcW w:w="786" w:type="dxa"/>
            <w:vMerge/>
            <w:vAlign w:val="center"/>
          </w:tcPr>
          <w:p w14:paraId="751CD26A" w14:textId="77777777" w:rsidR="002133E3" w:rsidRDefault="002133E3">
            <w:pPr>
              <w:widowControl/>
              <w:jc w:val="center"/>
              <w:rPr>
                <w:rFonts w:ascii="Times New Roman" w:eastAsia="等线" w:hAnsi="Times New Roman" w:cs="Times New Roman"/>
                <w:kern w:val="0"/>
                <w:szCs w:val="21"/>
              </w:rPr>
            </w:pPr>
          </w:p>
        </w:tc>
      </w:tr>
      <w:tr w:rsidR="002133E3" w14:paraId="27FEDEA7" w14:textId="77777777">
        <w:trPr>
          <w:trHeight w:val="567"/>
        </w:trPr>
        <w:tc>
          <w:tcPr>
            <w:tcW w:w="1384" w:type="dxa"/>
            <w:vMerge/>
            <w:vAlign w:val="center"/>
          </w:tcPr>
          <w:p w14:paraId="241433F0" w14:textId="77777777" w:rsidR="002133E3" w:rsidRDefault="002133E3">
            <w:pPr>
              <w:widowControl/>
              <w:jc w:val="center"/>
              <w:rPr>
                <w:rFonts w:ascii="Times New Roman" w:eastAsia="等线" w:hAnsi="Times New Roman" w:cs="Times New Roman"/>
                <w:kern w:val="0"/>
                <w:szCs w:val="21"/>
              </w:rPr>
            </w:pPr>
          </w:p>
        </w:tc>
        <w:tc>
          <w:tcPr>
            <w:tcW w:w="851" w:type="dxa"/>
            <w:vMerge/>
            <w:vAlign w:val="center"/>
          </w:tcPr>
          <w:p w14:paraId="361950D6" w14:textId="77777777" w:rsidR="002133E3" w:rsidRDefault="002133E3">
            <w:pPr>
              <w:widowControl/>
              <w:jc w:val="center"/>
              <w:rPr>
                <w:rFonts w:ascii="Times New Roman" w:eastAsia="等线" w:hAnsi="Times New Roman" w:cs="Times New Roman"/>
                <w:color w:val="000000"/>
                <w:kern w:val="0"/>
                <w:szCs w:val="21"/>
              </w:rPr>
            </w:pPr>
          </w:p>
        </w:tc>
        <w:tc>
          <w:tcPr>
            <w:tcW w:w="708" w:type="dxa"/>
            <w:vMerge/>
            <w:vAlign w:val="center"/>
          </w:tcPr>
          <w:p w14:paraId="043EE2A2" w14:textId="77777777" w:rsidR="002133E3" w:rsidRDefault="002133E3">
            <w:pPr>
              <w:widowControl/>
              <w:jc w:val="center"/>
              <w:rPr>
                <w:rFonts w:ascii="Times New Roman" w:eastAsia="等线" w:hAnsi="Times New Roman" w:cs="Times New Roman"/>
                <w:color w:val="000000"/>
                <w:kern w:val="0"/>
                <w:szCs w:val="21"/>
              </w:rPr>
            </w:pPr>
          </w:p>
        </w:tc>
        <w:tc>
          <w:tcPr>
            <w:tcW w:w="993" w:type="dxa"/>
            <w:shd w:val="clear" w:color="auto" w:fill="auto"/>
            <w:noWrap/>
            <w:vAlign w:val="center"/>
          </w:tcPr>
          <w:p w14:paraId="7B891FD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850" w:type="dxa"/>
            <w:shd w:val="clear" w:color="auto" w:fill="auto"/>
            <w:vAlign w:val="center"/>
          </w:tcPr>
          <w:p w14:paraId="5698584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472.6</w:t>
            </w:r>
          </w:p>
        </w:tc>
        <w:tc>
          <w:tcPr>
            <w:tcW w:w="851" w:type="dxa"/>
            <w:shd w:val="clear" w:color="auto" w:fill="auto"/>
            <w:vAlign w:val="center"/>
          </w:tcPr>
          <w:p w14:paraId="2D7F39F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46.96 </w:t>
            </w:r>
          </w:p>
        </w:tc>
        <w:tc>
          <w:tcPr>
            <w:tcW w:w="850" w:type="dxa"/>
            <w:shd w:val="clear" w:color="auto" w:fill="auto"/>
            <w:vAlign w:val="center"/>
          </w:tcPr>
          <w:p w14:paraId="04E0807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6.52 </w:t>
            </w:r>
          </w:p>
        </w:tc>
        <w:tc>
          <w:tcPr>
            <w:tcW w:w="851" w:type="dxa"/>
            <w:vMerge/>
            <w:vAlign w:val="center"/>
          </w:tcPr>
          <w:p w14:paraId="33AD421A" w14:textId="77777777" w:rsidR="002133E3" w:rsidRDefault="002133E3">
            <w:pPr>
              <w:widowControl/>
              <w:jc w:val="center"/>
              <w:rPr>
                <w:rFonts w:ascii="Times New Roman" w:eastAsia="等线" w:hAnsi="Times New Roman" w:cs="Times New Roman"/>
                <w:kern w:val="0"/>
                <w:szCs w:val="21"/>
              </w:rPr>
            </w:pPr>
          </w:p>
        </w:tc>
        <w:tc>
          <w:tcPr>
            <w:tcW w:w="567" w:type="dxa"/>
            <w:shd w:val="clear" w:color="auto" w:fill="auto"/>
            <w:vAlign w:val="center"/>
          </w:tcPr>
          <w:p w14:paraId="18CDB65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26D9DC3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17.67</w:t>
            </w:r>
          </w:p>
        </w:tc>
        <w:tc>
          <w:tcPr>
            <w:tcW w:w="709" w:type="dxa"/>
            <w:shd w:val="clear" w:color="auto" w:fill="auto"/>
            <w:vAlign w:val="center"/>
          </w:tcPr>
          <w:p w14:paraId="0EE2CA7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1.76</w:t>
            </w:r>
          </w:p>
        </w:tc>
        <w:tc>
          <w:tcPr>
            <w:tcW w:w="709" w:type="dxa"/>
            <w:shd w:val="clear" w:color="auto" w:fill="auto"/>
            <w:vAlign w:val="center"/>
          </w:tcPr>
          <w:p w14:paraId="2D7DAA1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0.24</w:t>
            </w:r>
          </w:p>
        </w:tc>
        <w:tc>
          <w:tcPr>
            <w:tcW w:w="708" w:type="dxa"/>
            <w:vMerge/>
            <w:vAlign w:val="center"/>
          </w:tcPr>
          <w:p w14:paraId="48F422E8" w14:textId="77777777" w:rsidR="002133E3" w:rsidRDefault="002133E3">
            <w:pPr>
              <w:widowControl/>
              <w:jc w:val="center"/>
              <w:rPr>
                <w:rFonts w:ascii="Times New Roman" w:eastAsia="等线" w:hAnsi="Times New Roman" w:cs="Times New Roman"/>
                <w:kern w:val="0"/>
                <w:szCs w:val="21"/>
              </w:rPr>
            </w:pPr>
          </w:p>
        </w:tc>
        <w:tc>
          <w:tcPr>
            <w:tcW w:w="1560" w:type="dxa"/>
            <w:vMerge/>
            <w:vAlign w:val="center"/>
          </w:tcPr>
          <w:p w14:paraId="58EBE83C" w14:textId="77777777" w:rsidR="002133E3" w:rsidRDefault="002133E3">
            <w:pPr>
              <w:widowControl/>
              <w:jc w:val="center"/>
              <w:rPr>
                <w:rFonts w:ascii="Times New Roman" w:eastAsia="等线" w:hAnsi="Times New Roman" w:cs="Times New Roman"/>
                <w:color w:val="000000"/>
                <w:kern w:val="0"/>
                <w:szCs w:val="21"/>
              </w:rPr>
            </w:pPr>
          </w:p>
        </w:tc>
        <w:tc>
          <w:tcPr>
            <w:tcW w:w="850" w:type="dxa"/>
            <w:shd w:val="clear" w:color="auto" w:fill="auto"/>
            <w:vAlign w:val="center"/>
          </w:tcPr>
          <w:p w14:paraId="6D392A5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80</w:t>
            </w:r>
          </w:p>
        </w:tc>
        <w:tc>
          <w:tcPr>
            <w:tcW w:w="709" w:type="dxa"/>
            <w:shd w:val="clear" w:color="auto" w:fill="auto"/>
            <w:vAlign w:val="center"/>
          </w:tcPr>
          <w:p w14:paraId="451A8F6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14</w:t>
            </w:r>
          </w:p>
        </w:tc>
        <w:tc>
          <w:tcPr>
            <w:tcW w:w="786" w:type="dxa"/>
            <w:vMerge/>
            <w:vAlign w:val="center"/>
          </w:tcPr>
          <w:p w14:paraId="26FBE14C" w14:textId="77777777" w:rsidR="002133E3" w:rsidRDefault="002133E3">
            <w:pPr>
              <w:widowControl/>
              <w:jc w:val="center"/>
              <w:rPr>
                <w:rFonts w:ascii="Times New Roman" w:eastAsia="等线" w:hAnsi="Times New Roman" w:cs="Times New Roman"/>
                <w:kern w:val="0"/>
                <w:szCs w:val="21"/>
              </w:rPr>
            </w:pPr>
          </w:p>
        </w:tc>
      </w:tr>
      <w:tr w:rsidR="002133E3" w14:paraId="2D18F44B" w14:textId="77777777">
        <w:trPr>
          <w:trHeight w:val="567"/>
        </w:trPr>
        <w:tc>
          <w:tcPr>
            <w:tcW w:w="1384" w:type="dxa"/>
            <w:vMerge/>
            <w:vAlign w:val="center"/>
          </w:tcPr>
          <w:p w14:paraId="77B06F6D" w14:textId="77777777" w:rsidR="002133E3" w:rsidRDefault="002133E3">
            <w:pPr>
              <w:widowControl/>
              <w:jc w:val="center"/>
              <w:rPr>
                <w:rFonts w:ascii="Times New Roman" w:eastAsia="等线" w:hAnsi="Times New Roman" w:cs="Times New Roman"/>
                <w:kern w:val="0"/>
                <w:szCs w:val="21"/>
              </w:rPr>
            </w:pPr>
          </w:p>
        </w:tc>
        <w:tc>
          <w:tcPr>
            <w:tcW w:w="851" w:type="dxa"/>
            <w:vMerge/>
            <w:vAlign w:val="center"/>
          </w:tcPr>
          <w:p w14:paraId="46AFA2BB" w14:textId="77777777" w:rsidR="002133E3" w:rsidRDefault="002133E3">
            <w:pPr>
              <w:widowControl/>
              <w:jc w:val="center"/>
              <w:rPr>
                <w:rFonts w:ascii="Times New Roman" w:eastAsia="等线" w:hAnsi="Times New Roman" w:cs="Times New Roman"/>
                <w:color w:val="000000"/>
                <w:kern w:val="0"/>
                <w:szCs w:val="21"/>
              </w:rPr>
            </w:pPr>
          </w:p>
        </w:tc>
        <w:tc>
          <w:tcPr>
            <w:tcW w:w="708" w:type="dxa"/>
            <w:vMerge/>
            <w:vAlign w:val="center"/>
          </w:tcPr>
          <w:p w14:paraId="5B02BCC5" w14:textId="77777777" w:rsidR="002133E3" w:rsidRDefault="002133E3">
            <w:pPr>
              <w:widowControl/>
              <w:jc w:val="center"/>
              <w:rPr>
                <w:rFonts w:ascii="Times New Roman" w:eastAsia="等线" w:hAnsi="Times New Roman" w:cs="Times New Roman"/>
                <w:color w:val="000000"/>
                <w:kern w:val="0"/>
                <w:szCs w:val="21"/>
              </w:rPr>
            </w:pPr>
          </w:p>
        </w:tc>
        <w:tc>
          <w:tcPr>
            <w:tcW w:w="993" w:type="dxa"/>
            <w:shd w:val="clear" w:color="auto" w:fill="auto"/>
            <w:noWrap/>
            <w:vAlign w:val="center"/>
          </w:tcPr>
          <w:p w14:paraId="1310AD6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850" w:type="dxa"/>
            <w:shd w:val="clear" w:color="auto" w:fill="auto"/>
            <w:vAlign w:val="center"/>
          </w:tcPr>
          <w:p w14:paraId="01DA22F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0.3</w:t>
            </w:r>
          </w:p>
        </w:tc>
        <w:tc>
          <w:tcPr>
            <w:tcW w:w="851" w:type="dxa"/>
            <w:shd w:val="clear" w:color="auto" w:fill="auto"/>
            <w:vAlign w:val="center"/>
          </w:tcPr>
          <w:p w14:paraId="287C149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0.03 </w:t>
            </w:r>
          </w:p>
        </w:tc>
        <w:tc>
          <w:tcPr>
            <w:tcW w:w="850" w:type="dxa"/>
            <w:shd w:val="clear" w:color="auto" w:fill="auto"/>
            <w:vAlign w:val="center"/>
          </w:tcPr>
          <w:p w14:paraId="3B2E4A1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0.004 </w:t>
            </w:r>
          </w:p>
        </w:tc>
        <w:tc>
          <w:tcPr>
            <w:tcW w:w="851" w:type="dxa"/>
            <w:vMerge/>
            <w:vAlign w:val="center"/>
          </w:tcPr>
          <w:p w14:paraId="79DDE491" w14:textId="77777777" w:rsidR="002133E3" w:rsidRDefault="002133E3">
            <w:pPr>
              <w:widowControl/>
              <w:jc w:val="center"/>
              <w:rPr>
                <w:rFonts w:ascii="Times New Roman" w:eastAsia="等线" w:hAnsi="Times New Roman" w:cs="Times New Roman"/>
                <w:kern w:val="0"/>
                <w:szCs w:val="21"/>
              </w:rPr>
            </w:pPr>
          </w:p>
        </w:tc>
        <w:tc>
          <w:tcPr>
            <w:tcW w:w="567" w:type="dxa"/>
            <w:shd w:val="clear" w:color="auto" w:fill="auto"/>
            <w:vAlign w:val="center"/>
          </w:tcPr>
          <w:p w14:paraId="50968B0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3A61860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0.56</w:t>
            </w:r>
          </w:p>
        </w:tc>
        <w:tc>
          <w:tcPr>
            <w:tcW w:w="709" w:type="dxa"/>
            <w:shd w:val="clear" w:color="auto" w:fill="auto"/>
            <w:vAlign w:val="center"/>
          </w:tcPr>
          <w:p w14:paraId="4A5EC01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0.06</w:t>
            </w:r>
          </w:p>
        </w:tc>
        <w:tc>
          <w:tcPr>
            <w:tcW w:w="709" w:type="dxa"/>
            <w:shd w:val="clear" w:color="auto" w:fill="auto"/>
            <w:vAlign w:val="center"/>
          </w:tcPr>
          <w:p w14:paraId="2FFCD3A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0.0077</w:t>
            </w:r>
          </w:p>
        </w:tc>
        <w:tc>
          <w:tcPr>
            <w:tcW w:w="708" w:type="dxa"/>
            <w:vMerge/>
            <w:vAlign w:val="center"/>
          </w:tcPr>
          <w:p w14:paraId="11509393" w14:textId="77777777" w:rsidR="002133E3" w:rsidRDefault="002133E3">
            <w:pPr>
              <w:widowControl/>
              <w:jc w:val="center"/>
              <w:rPr>
                <w:rFonts w:ascii="Times New Roman" w:eastAsia="等线" w:hAnsi="Times New Roman" w:cs="Times New Roman"/>
                <w:kern w:val="0"/>
                <w:szCs w:val="21"/>
              </w:rPr>
            </w:pPr>
          </w:p>
        </w:tc>
        <w:tc>
          <w:tcPr>
            <w:tcW w:w="1560" w:type="dxa"/>
            <w:vMerge/>
            <w:vAlign w:val="center"/>
          </w:tcPr>
          <w:p w14:paraId="5B3A2313" w14:textId="77777777" w:rsidR="002133E3" w:rsidRDefault="002133E3">
            <w:pPr>
              <w:widowControl/>
              <w:jc w:val="center"/>
              <w:rPr>
                <w:rFonts w:ascii="Times New Roman" w:eastAsia="等线" w:hAnsi="Times New Roman" w:cs="Times New Roman"/>
                <w:color w:val="000000"/>
                <w:kern w:val="0"/>
                <w:szCs w:val="21"/>
              </w:rPr>
            </w:pPr>
          </w:p>
        </w:tc>
        <w:tc>
          <w:tcPr>
            <w:tcW w:w="850" w:type="dxa"/>
            <w:shd w:val="clear" w:color="auto" w:fill="auto"/>
            <w:noWrap/>
            <w:vAlign w:val="center"/>
          </w:tcPr>
          <w:p w14:paraId="6060845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60</w:t>
            </w:r>
          </w:p>
        </w:tc>
        <w:tc>
          <w:tcPr>
            <w:tcW w:w="709" w:type="dxa"/>
            <w:shd w:val="clear" w:color="auto" w:fill="auto"/>
            <w:noWrap/>
            <w:vAlign w:val="center"/>
          </w:tcPr>
          <w:p w14:paraId="71C1E1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7.2</w:t>
            </w:r>
          </w:p>
        </w:tc>
        <w:tc>
          <w:tcPr>
            <w:tcW w:w="786" w:type="dxa"/>
            <w:vMerge/>
            <w:vAlign w:val="center"/>
          </w:tcPr>
          <w:p w14:paraId="35FFB03D" w14:textId="77777777" w:rsidR="002133E3" w:rsidRDefault="002133E3">
            <w:pPr>
              <w:widowControl/>
              <w:jc w:val="center"/>
              <w:rPr>
                <w:rFonts w:ascii="Times New Roman" w:eastAsia="等线" w:hAnsi="Times New Roman" w:cs="Times New Roman"/>
                <w:kern w:val="0"/>
                <w:szCs w:val="21"/>
              </w:rPr>
            </w:pPr>
          </w:p>
        </w:tc>
      </w:tr>
      <w:tr w:rsidR="002133E3" w14:paraId="4CA0F1B1" w14:textId="77777777">
        <w:trPr>
          <w:trHeight w:val="567"/>
        </w:trPr>
        <w:tc>
          <w:tcPr>
            <w:tcW w:w="1384" w:type="dxa"/>
            <w:vMerge/>
            <w:vAlign w:val="center"/>
          </w:tcPr>
          <w:p w14:paraId="3160BCCF" w14:textId="77777777" w:rsidR="002133E3" w:rsidRDefault="002133E3">
            <w:pPr>
              <w:widowControl/>
              <w:jc w:val="center"/>
              <w:rPr>
                <w:rFonts w:ascii="Times New Roman" w:eastAsia="等线" w:hAnsi="Times New Roman" w:cs="Times New Roman"/>
                <w:kern w:val="0"/>
                <w:szCs w:val="21"/>
              </w:rPr>
            </w:pPr>
          </w:p>
        </w:tc>
        <w:tc>
          <w:tcPr>
            <w:tcW w:w="851" w:type="dxa"/>
            <w:vMerge/>
            <w:vAlign w:val="center"/>
          </w:tcPr>
          <w:p w14:paraId="673829B0" w14:textId="77777777" w:rsidR="002133E3" w:rsidRDefault="002133E3">
            <w:pPr>
              <w:widowControl/>
              <w:jc w:val="center"/>
              <w:rPr>
                <w:rFonts w:ascii="Times New Roman" w:eastAsia="等线" w:hAnsi="Times New Roman" w:cs="Times New Roman"/>
                <w:color w:val="000000"/>
                <w:kern w:val="0"/>
                <w:szCs w:val="21"/>
              </w:rPr>
            </w:pPr>
          </w:p>
        </w:tc>
        <w:tc>
          <w:tcPr>
            <w:tcW w:w="708" w:type="dxa"/>
            <w:vMerge/>
            <w:vAlign w:val="center"/>
          </w:tcPr>
          <w:p w14:paraId="70A432A1" w14:textId="77777777" w:rsidR="002133E3" w:rsidRDefault="002133E3">
            <w:pPr>
              <w:widowControl/>
              <w:jc w:val="center"/>
              <w:rPr>
                <w:rFonts w:ascii="Times New Roman" w:eastAsia="等线" w:hAnsi="Times New Roman" w:cs="Times New Roman"/>
                <w:color w:val="000000"/>
                <w:kern w:val="0"/>
                <w:szCs w:val="21"/>
              </w:rPr>
            </w:pPr>
          </w:p>
        </w:tc>
        <w:tc>
          <w:tcPr>
            <w:tcW w:w="993" w:type="dxa"/>
            <w:shd w:val="clear" w:color="auto" w:fill="auto"/>
            <w:noWrap/>
            <w:vAlign w:val="center"/>
          </w:tcPr>
          <w:p w14:paraId="663747B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挥发性有机物</w:t>
            </w:r>
          </w:p>
        </w:tc>
        <w:tc>
          <w:tcPr>
            <w:tcW w:w="850" w:type="dxa"/>
            <w:shd w:val="clear" w:color="auto" w:fill="auto"/>
            <w:vAlign w:val="center"/>
          </w:tcPr>
          <w:p w14:paraId="71C63F3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472.8</w:t>
            </w:r>
          </w:p>
        </w:tc>
        <w:tc>
          <w:tcPr>
            <w:tcW w:w="851" w:type="dxa"/>
            <w:shd w:val="clear" w:color="auto" w:fill="auto"/>
            <w:vAlign w:val="center"/>
          </w:tcPr>
          <w:p w14:paraId="5D74331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46.99 </w:t>
            </w:r>
          </w:p>
        </w:tc>
        <w:tc>
          <w:tcPr>
            <w:tcW w:w="850" w:type="dxa"/>
            <w:shd w:val="clear" w:color="auto" w:fill="auto"/>
            <w:vAlign w:val="center"/>
          </w:tcPr>
          <w:p w14:paraId="4DD8DAF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6.53 </w:t>
            </w:r>
          </w:p>
        </w:tc>
        <w:tc>
          <w:tcPr>
            <w:tcW w:w="851" w:type="dxa"/>
            <w:vMerge/>
            <w:vAlign w:val="center"/>
          </w:tcPr>
          <w:p w14:paraId="1355E964" w14:textId="77777777" w:rsidR="002133E3" w:rsidRDefault="002133E3">
            <w:pPr>
              <w:widowControl/>
              <w:jc w:val="center"/>
              <w:rPr>
                <w:rFonts w:ascii="Times New Roman" w:eastAsia="等线" w:hAnsi="Times New Roman" w:cs="Times New Roman"/>
                <w:kern w:val="0"/>
                <w:szCs w:val="21"/>
              </w:rPr>
            </w:pPr>
          </w:p>
        </w:tc>
        <w:tc>
          <w:tcPr>
            <w:tcW w:w="567" w:type="dxa"/>
            <w:shd w:val="clear" w:color="auto" w:fill="auto"/>
            <w:vAlign w:val="center"/>
          </w:tcPr>
          <w:p w14:paraId="61E74DC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99</w:t>
            </w:r>
          </w:p>
        </w:tc>
        <w:tc>
          <w:tcPr>
            <w:tcW w:w="850" w:type="dxa"/>
            <w:shd w:val="clear" w:color="auto" w:fill="auto"/>
            <w:vAlign w:val="center"/>
          </w:tcPr>
          <w:p w14:paraId="019F00A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18.23</w:t>
            </w:r>
          </w:p>
        </w:tc>
        <w:tc>
          <w:tcPr>
            <w:tcW w:w="709" w:type="dxa"/>
            <w:shd w:val="clear" w:color="auto" w:fill="auto"/>
            <w:vAlign w:val="center"/>
          </w:tcPr>
          <w:p w14:paraId="4BE956E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1.81</w:t>
            </w:r>
          </w:p>
        </w:tc>
        <w:tc>
          <w:tcPr>
            <w:tcW w:w="709" w:type="dxa"/>
            <w:shd w:val="clear" w:color="auto" w:fill="auto"/>
            <w:vAlign w:val="center"/>
          </w:tcPr>
          <w:p w14:paraId="51B7609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0.25</w:t>
            </w:r>
          </w:p>
        </w:tc>
        <w:tc>
          <w:tcPr>
            <w:tcW w:w="708" w:type="dxa"/>
            <w:vMerge/>
            <w:vAlign w:val="center"/>
          </w:tcPr>
          <w:p w14:paraId="030063A9" w14:textId="77777777" w:rsidR="002133E3" w:rsidRDefault="002133E3">
            <w:pPr>
              <w:widowControl/>
              <w:jc w:val="center"/>
              <w:rPr>
                <w:rFonts w:ascii="Times New Roman" w:eastAsia="等线" w:hAnsi="Times New Roman" w:cs="Times New Roman"/>
                <w:kern w:val="0"/>
                <w:szCs w:val="21"/>
              </w:rPr>
            </w:pPr>
          </w:p>
        </w:tc>
        <w:tc>
          <w:tcPr>
            <w:tcW w:w="1560" w:type="dxa"/>
            <w:vMerge/>
            <w:vAlign w:val="center"/>
          </w:tcPr>
          <w:p w14:paraId="40FBFAB9" w14:textId="77777777" w:rsidR="002133E3" w:rsidRDefault="002133E3">
            <w:pPr>
              <w:widowControl/>
              <w:jc w:val="center"/>
              <w:rPr>
                <w:rFonts w:ascii="Times New Roman" w:eastAsia="等线" w:hAnsi="Times New Roman" w:cs="Times New Roman"/>
                <w:color w:val="000000"/>
                <w:kern w:val="0"/>
                <w:szCs w:val="21"/>
              </w:rPr>
            </w:pPr>
          </w:p>
        </w:tc>
        <w:tc>
          <w:tcPr>
            <w:tcW w:w="850" w:type="dxa"/>
            <w:shd w:val="clear" w:color="auto" w:fill="auto"/>
            <w:vAlign w:val="center"/>
          </w:tcPr>
          <w:p w14:paraId="1DCE6B1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80</w:t>
            </w:r>
          </w:p>
        </w:tc>
        <w:tc>
          <w:tcPr>
            <w:tcW w:w="709" w:type="dxa"/>
            <w:shd w:val="clear" w:color="auto" w:fill="auto"/>
            <w:vAlign w:val="center"/>
          </w:tcPr>
          <w:p w14:paraId="12F03B9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14</w:t>
            </w:r>
          </w:p>
        </w:tc>
        <w:tc>
          <w:tcPr>
            <w:tcW w:w="786" w:type="dxa"/>
            <w:vMerge/>
            <w:vAlign w:val="center"/>
          </w:tcPr>
          <w:p w14:paraId="2529B8BD" w14:textId="77777777" w:rsidR="002133E3" w:rsidRDefault="002133E3">
            <w:pPr>
              <w:widowControl/>
              <w:jc w:val="center"/>
              <w:rPr>
                <w:rFonts w:ascii="Times New Roman" w:eastAsia="等线" w:hAnsi="Times New Roman" w:cs="Times New Roman"/>
                <w:kern w:val="0"/>
                <w:szCs w:val="21"/>
              </w:rPr>
            </w:pPr>
          </w:p>
        </w:tc>
      </w:tr>
      <w:tr w:rsidR="002133E3" w14:paraId="454DAE74" w14:textId="77777777">
        <w:trPr>
          <w:trHeight w:val="567"/>
        </w:trPr>
        <w:tc>
          <w:tcPr>
            <w:tcW w:w="1384" w:type="dxa"/>
            <w:vMerge w:val="restart"/>
            <w:shd w:val="clear" w:color="auto" w:fill="auto"/>
            <w:vAlign w:val="center"/>
          </w:tcPr>
          <w:p w14:paraId="5564F4A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G1-3</w:t>
            </w:r>
            <w:r>
              <w:rPr>
                <w:rFonts w:ascii="Times New Roman" w:eastAsia="宋体" w:hAnsi="Times New Roman" w:cs="Times New Roman"/>
                <w:kern w:val="0"/>
                <w:szCs w:val="21"/>
              </w:rPr>
              <w:t>、</w:t>
            </w:r>
            <w:r>
              <w:rPr>
                <w:rFonts w:ascii="Times New Roman" w:eastAsia="等线" w:hAnsi="Times New Roman" w:cs="Times New Roman"/>
                <w:kern w:val="0"/>
                <w:szCs w:val="21"/>
              </w:rPr>
              <w:t>G1-4</w:t>
            </w:r>
            <w:r>
              <w:rPr>
                <w:rFonts w:ascii="Times New Roman" w:eastAsia="宋体" w:hAnsi="Times New Roman" w:cs="Times New Roman"/>
                <w:kern w:val="0"/>
                <w:szCs w:val="21"/>
              </w:rPr>
              <w:t>、</w:t>
            </w:r>
            <w:r>
              <w:rPr>
                <w:rFonts w:ascii="Times New Roman" w:eastAsia="等线" w:hAnsi="Times New Roman" w:cs="Times New Roman"/>
                <w:kern w:val="0"/>
                <w:szCs w:val="21"/>
              </w:rPr>
              <w:t>G1-5</w:t>
            </w:r>
            <w:r>
              <w:rPr>
                <w:rFonts w:ascii="Times New Roman" w:eastAsia="宋体" w:hAnsi="Times New Roman" w:cs="Times New Roman"/>
                <w:kern w:val="0"/>
                <w:szCs w:val="21"/>
              </w:rPr>
              <w:t>、</w:t>
            </w:r>
            <w:r>
              <w:rPr>
                <w:rFonts w:ascii="Times New Roman" w:eastAsia="等线" w:hAnsi="Times New Roman" w:cs="Times New Roman"/>
                <w:kern w:val="0"/>
                <w:szCs w:val="21"/>
              </w:rPr>
              <w:t>G1-6</w:t>
            </w:r>
            <w:r>
              <w:rPr>
                <w:rFonts w:ascii="Times New Roman" w:eastAsia="宋体" w:hAnsi="Times New Roman" w:cs="Times New Roman"/>
                <w:kern w:val="0"/>
                <w:szCs w:val="21"/>
              </w:rPr>
              <w:t>、</w:t>
            </w:r>
            <w:r>
              <w:rPr>
                <w:rFonts w:ascii="Times New Roman" w:eastAsia="等线" w:hAnsi="Times New Roman" w:cs="Times New Roman"/>
                <w:kern w:val="0"/>
                <w:szCs w:val="21"/>
              </w:rPr>
              <w:t>G1-9</w:t>
            </w:r>
            <w:r>
              <w:rPr>
                <w:rFonts w:ascii="Times New Roman" w:eastAsia="宋体" w:hAnsi="Times New Roman" w:cs="Times New Roman"/>
                <w:kern w:val="0"/>
                <w:szCs w:val="21"/>
              </w:rPr>
              <w:t>、</w:t>
            </w:r>
            <w:r>
              <w:rPr>
                <w:rFonts w:ascii="Times New Roman" w:eastAsia="等线" w:hAnsi="Times New Roman" w:cs="Times New Roman"/>
                <w:kern w:val="0"/>
                <w:szCs w:val="21"/>
              </w:rPr>
              <w:t>G1-10</w:t>
            </w:r>
            <w:r>
              <w:rPr>
                <w:rFonts w:ascii="Times New Roman" w:eastAsia="宋体" w:hAnsi="Times New Roman" w:cs="Times New Roman"/>
                <w:kern w:val="0"/>
                <w:szCs w:val="21"/>
              </w:rPr>
              <w:t>、</w:t>
            </w:r>
            <w:r>
              <w:rPr>
                <w:rFonts w:ascii="Times New Roman" w:eastAsia="等线" w:hAnsi="Times New Roman" w:cs="Times New Roman"/>
                <w:kern w:val="0"/>
                <w:szCs w:val="21"/>
              </w:rPr>
              <w:t>G2-1</w:t>
            </w:r>
            <w:r>
              <w:rPr>
                <w:rFonts w:ascii="Times New Roman" w:eastAsia="宋体" w:hAnsi="Times New Roman" w:cs="Times New Roman"/>
                <w:kern w:val="0"/>
                <w:szCs w:val="21"/>
              </w:rPr>
              <w:t>、</w:t>
            </w:r>
            <w:r>
              <w:rPr>
                <w:rFonts w:ascii="Times New Roman" w:eastAsia="等线" w:hAnsi="Times New Roman" w:cs="Times New Roman"/>
                <w:kern w:val="0"/>
                <w:szCs w:val="21"/>
              </w:rPr>
              <w:t>G2-2</w:t>
            </w:r>
          </w:p>
        </w:tc>
        <w:tc>
          <w:tcPr>
            <w:tcW w:w="851" w:type="dxa"/>
            <w:vMerge w:val="restart"/>
            <w:shd w:val="clear" w:color="auto" w:fill="auto"/>
            <w:vAlign w:val="center"/>
          </w:tcPr>
          <w:p w14:paraId="1D09C2D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7300</w:t>
            </w:r>
          </w:p>
        </w:tc>
        <w:tc>
          <w:tcPr>
            <w:tcW w:w="708" w:type="dxa"/>
            <w:vMerge/>
            <w:vAlign w:val="center"/>
          </w:tcPr>
          <w:p w14:paraId="1A83AF35" w14:textId="77777777" w:rsidR="002133E3" w:rsidRDefault="002133E3">
            <w:pPr>
              <w:widowControl/>
              <w:jc w:val="center"/>
              <w:rPr>
                <w:rFonts w:ascii="Times New Roman" w:eastAsia="等线" w:hAnsi="Times New Roman" w:cs="Times New Roman"/>
                <w:color w:val="000000"/>
                <w:kern w:val="0"/>
                <w:szCs w:val="21"/>
              </w:rPr>
            </w:pPr>
          </w:p>
        </w:tc>
        <w:tc>
          <w:tcPr>
            <w:tcW w:w="993" w:type="dxa"/>
            <w:shd w:val="clear" w:color="auto" w:fill="auto"/>
            <w:noWrap/>
            <w:vAlign w:val="center"/>
          </w:tcPr>
          <w:p w14:paraId="48E55194"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850" w:type="dxa"/>
            <w:shd w:val="clear" w:color="auto" w:fill="auto"/>
            <w:vAlign w:val="center"/>
          </w:tcPr>
          <w:p w14:paraId="207785F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1294.6</w:t>
            </w:r>
          </w:p>
        </w:tc>
        <w:tc>
          <w:tcPr>
            <w:tcW w:w="851" w:type="dxa"/>
            <w:shd w:val="clear" w:color="auto" w:fill="auto"/>
            <w:vAlign w:val="center"/>
          </w:tcPr>
          <w:p w14:paraId="245C11F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128.66 </w:t>
            </w:r>
          </w:p>
        </w:tc>
        <w:tc>
          <w:tcPr>
            <w:tcW w:w="850" w:type="dxa"/>
            <w:shd w:val="clear" w:color="auto" w:fill="auto"/>
            <w:vAlign w:val="center"/>
          </w:tcPr>
          <w:p w14:paraId="7B2A803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17.87 </w:t>
            </w:r>
          </w:p>
        </w:tc>
        <w:tc>
          <w:tcPr>
            <w:tcW w:w="851" w:type="dxa"/>
            <w:vMerge w:val="restart"/>
            <w:shd w:val="clear" w:color="auto" w:fill="auto"/>
            <w:vAlign w:val="center"/>
          </w:tcPr>
          <w:p w14:paraId="288549AC"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二级水吸收</w:t>
            </w:r>
          </w:p>
        </w:tc>
        <w:tc>
          <w:tcPr>
            <w:tcW w:w="567" w:type="dxa"/>
            <w:shd w:val="clear" w:color="auto" w:fill="auto"/>
            <w:noWrap/>
            <w:vAlign w:val="center"/>
          </w:tcPr>
          <w:p w14:paraId="1C680BDA" w14:textId="77777777" w:rsidR="002133E3" w:rsidRDefault="002133E3">
            <w:pPr>
              <w:widowControl/>
              <w:jc w:val="center"/>
              <w:rPr>
                <w:rFonts w:ascii="Times New Roman" w:eastAsia="等线" w:hAnsi="Times New Roman" w:cs="Times New Roman"/>
                <w:kern w:val="0"/>
                <w:szCs w:val="21"/>
              </w:rPr>
            </w:pPr>
          </w:p>
        </w:tc>
        <w:tc>
          <w:tcPr>
            <w:tcW w:w="850" w:type="dxa"/>
            <w:shd w:val="clear" w:color="auto" w:fill="auto"/>
            <w:vAlign w:val="center"/>
          </w:tcPr>
          <w:p w14:paraId="5E9B5ECB"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09907F38"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076D4949" w14:textId="77777777" w:rsidR="002133E3" w:rsidRDefault="002133E3">
            <w:pPr>
              <w:widowControl/>
              <w:jc w:val="center"/>
              <w:rPr>
                <w:rFonts w:ascii="Times New Roman" w:eastAsia="等线" w:hAnsi="Times New Roman" w:cs="Times New Roman"/>
                <w:kern w:val="0"/>
                <w:szCs w:val="21"/>
              </w:rPr>
            </w:pPr>
          </w:p>
        </w:tc>
        <w:tc>
          <w:tcPr>
            <w:tcW w:w="708" w:type="dxa"/>
            <w:vMerge/>
            <w:vAlign w:val="center"/>
          </w:tcPr>
          <w:p w14:paraId="06A12301" w14:textId="77777777" w:rsidR="002133E3" w:rsidRDefault="002133E3">
            <w:pPr>
              <w:widowControl/>
              <w:jc w:val="center"/>
              <w:rPr>
                <w:rFonts w:ascii="Times New Roman" w:eastAsia="等线" w:hAnsi="Times New Roman" w:cs="Times New Roman"/>
                <w:kern w:val="0"/>
                <w:szCs w:val="21"/>
              </w:rPr>
            </w:pPr>
          </w:p>
        </w:tc>
        <w:tc>
          <w:tcPr>
            <w:tcW w:w="1560" w:type="dxa"/>
            <w:vMerge/>
            <w:vAlign w:val="center"/>
          </w:tcPr>
          <w:p w14:paraId="6EC89AA7" w14:textId="77777777" w:rsidR="002133E3" w:rsidRDefault="002133E3">
            <w:pPr>
              <w:widowControl/>
              <w:jc w:val="center"/>
              <w:rPr>
                <w:rFonts w:ascii="Times New Roman" w:eastAsia="等线" w:hAnsi="Times New Roman" w:cs="Times New Roman"/>
                <w:color w:val="000000"/>
                <w:kern w:val="0"/>
                <w:szCs w:val="21"/>
              </w:rPr>
            </w:pPr>
          </w:p>
        </w:tc>
        <w:tc>
          <w:tcPr>
            <w:tcW w:w="850" w:type="dxa"/>
            <w:shd w:val="clear" w:color="auto" w:fill="auto"/>
            <w:noWrap/>
            <w:vAlign w:val="center"/>
          </w:tcPr>
          <w:p w14:paraId="20E1E8D6" w14:textId="77777777" w:rsidR="002133E3" w:rsidRDefault="002133E3">
            <w:pPr>
              <w:widowControl/>
              <w:jc w:val="center"/>
              <w:rPr>
                <w:rFonts w:ascii="Times New Roman" w:eastAsia="等线" w:hAnsi="Times New Roman" w:cs="Times New Roman"/>
                <w:color w:val="000000"/>
                <w:kern w:val="0"/>
                <w:szCs w:val="21"/>
              </w:rPr>
            </w:pPr>
          </w:p>
        </w:tc>
        <w:tc>
          <w:tcPr>
            <w:tcW w:w="709" w:type="dxa"/>
            <w:shd w:val="clear" w:color="auto" w:fill="auto"/>
            <w:noWrap/>
            <w:vAlign w:val="center"/>
          </w:tcPr>
          <w:p w14:paraId="15AE3070" w14:textId="77777777" w:rsidR="002133E3" w:rsidRDefault="002133E3">
            <w:pPr>
              <w:widowControl/>
              <w:jc w:val="center"/>
              <w:rPr>
                <w:rFonts w:ascii="Times New Roman" w:eastAsia="等线" w:hAnsi="Times New Roman" w:cs="Times New Roman"/>
                <w:color w:val="000000"/>
                <w:kern w:val="0"/>
                <w:szCs w:val="21"/>
              </w:rPr>
            </w:pPr>
          </w:p>
        </w:tc>
        <w:tc>
          <w:tcPr>
            <w:tcW w:w="786" w:type="dxa"/>
            <w:vMerge/>
            <w:vAlign w:val="center"/>
          </w:tcPr>
          <w:p w14:paraId="5684F23B" w14:textId="77777777" w:rsidR="002133E3" w:rsidRDefault="002133E3">
            <w:pPr>
              <w:widowControl/>
              <w:jc w:val="center"/>
              <w:rPr>
                <w:rFonts w:ascii="Times New Roman" w:eastAsia="等线" w:hAnsi="Times New Roman" w:cs="Times New Roman"/>
                <w:kern w:val="0"/>
                <w:szCs w:val="21"/>
              </w:rPr>
            </w:pPr>
          </w:p>
        </w:tc>
      </w:tr>
      <w:tr w:rsidR="002133E3" w14:paraId="4BFEC52C" w14:textId="77777777">
        <w:trPr>
          <w:trHeight w:val="567"/>
        </w:trPr>
        <w:tc>
          <w:tcPr>
            <w:tcW w:w="1384" w:type="dxa"/>
            <w:vMerge/>
            <w:vAlign w:val="center"/>
          </w:tcPr>
          <w:p w14:paraId="502A7CFE" w14:textId="77777777" w:rsidR="002133E3" w:rsidRDefault="002133E3">
            <w:pPr>
              <w:widowControl/>
              <w:jc w:val="center"/>
              <w:rPr>
                <w:rFonts w:ascii="Times New Roman" w:eastAsia="等线" w:hAnsi="Times New Roman" w:cs="Times New Roman"/>
                <w:kern w:val="0"/>
                <w:szCs w:val="21"/>
              </w:rPr>
            </w:pPr>
          </w:p>
        </w:tc>
        <w:tc>
          <w:tcPr>
            <w:tcW w:w="851" w:type="dxa"/>
            <w:vMerge/>
            <w:vAlign w:val="center"/>
          </w:tcPr>
          <w:p w14:paraId="090A08D9" w14:textId="77777777" w:rsidR="002133E3" w:rsidRDefault="002133E3">
            <w:pPr>
              <w:widowControl/>
              <w:jc w:val="center"/>
              <w:rPr>
                <w:rFonts w:ascii="Times New Roman" w:eastAsia="等线" w:hAnsi="Times New Roman" w:cs="Times New Roman"/>
                <w:kern w:val="0"/>
                <w:szCs w:val="21"/>
              </w:rPr>
            </w:pPr>
          </w:p>
        </w:tc>
        <w:tc>
          <w:tcPr>
            <w:tcW w:w="708" w:type="dxa"/>
            <w:vMerge/>
            <w:vAlign w:val="center"/>
          </w:tcPr>
          <w:p w14:paraId="610227E0" w14:textId="77777777" w:rsidR="002133E3" w:rsidRDefault="002133E3">
            <w:pPr>
              <w:widowControl/>
              <w:jc w:val="center"/>
              <w:rPr>
                <w:rFonts w:ascii="Times New Roman" w:eastAsia="等线" w:hAnsi="Times New Roman" w:cs="Times New Roman"/>
                <w:color w:val="000000"/>
                <w:kern w:val="0"/>
                <w:szCs w:val="21"/>
              </w:rPr>
            </w:pPr>
          </w:p>
        </w:tc>
        <w:tc>
          <w:tcPr>
            <w:tcW w:w="993" w:type="dxa"/>
            <w:shd w:val="clear" w:color="auto" w:fill="auto"/>
            <w:noWrap/>
            <w:vAlign w:val="center"/>
          </w:tcPr>
          <w:p w14:paraId="2AC09B50"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850" w:type="dxa"/>
            <w:shd w:val="clear" w:color="auto" w:fill="auto"/>
            <w:vAlign w:val="center"/>
          </w:tcPr>
          <w:p w14:paraId="3A1304D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55.6</w:t>
            </w:r>
          </w:p>
        </w:tc>
        <w:tc>
          <w:tcPr>
            <w:tcW w:w="851" w:type="dxa"/>
            <w:shd w:val="clear" w:color="auto" w:fill="auto"/>
            <w:vAlign w:val="center"/>
          </w:tcPr>
          <w:p w14:paraId="06AE39A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5.53 </w:t>
            </w:r>
          </w:p>
        </w:tc>
        <w:tc>
          <w:tcPr>
            <w:tcW w:w="850" w:type="dxa"/>
            <w:shd w:val="clear" w:color="auto" w:fill="auto"/>
            <w:vAlign w:val="center"/>
          </w:tcPr>
          <w:p w14:paraId="64E5707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0.77 </w:t>
            </w:r>
          </w:p>
        </w:tc>
        <w:tc>
          <w:tcPr>
            <w:tcW w:w="851" w:type="dxa"/>
            <w:vMerge/>
            <w:vAlign w:val="center"/>
          </w:tcPr>
          <w:p w14:paraId="511847B1" w14:textId="77777777" w:rsidR="002133E3" w:rsidRDefault="002133E3">
            <w:pPr>
              <w:widowControl/>
              <w:jc w:val="center"/>
              <w:rPr>
                <w:rFonts w:ascii="Times New Roman" w:eastAsia="等线" w:hAnsi="Times New Roman" w:cs="Times New Roman"/>
                <w:kern w:val="0"/>
                <w:szCs w:val="21"/>
              </w:rPr>
            </w:pPr>
          </w:p>
        </w:tc>
        <w:tc>
          <w:tcPr>
            <w:tcW w:w="567" w:type="dxa"/>
            <w:shd w:val="clear" w:color="auto" w:fill="auto"/>
            <w:vAlign w:val="center"/>
          </w:tcPr>
          <w:p w14:paraId="2B832F90" w14:textId="77777777" w:rsidR="002133E3" w:rsidRDefault="002133E3">
            <w:pPr>
              <w:widowControl/>
              <w:jc w:val="center"/>
              <w:rPr>
                <w:rFonts w:ascii="Times New Roman" w:eastAsia="等线" w:hAnsi="Times New Roman" w:cs="Times New Roman"/>
                <w:kern w:val="0"/>
                <w:szCs w:val="21"/>
              </w:rPr>
            </w:pPr>
          </w:p>
        </w:tc>
        <w:tc>
          <w:tcPr>
            <w:tcW w:w="850" w:type="dxa"/>
            <w:shd w:val="clear" w:color="auto" w:fill="auto"/>
            <w:vAlign w:val="center"/>
          </w:tcPr>
          <w:p w14:paraId="62C46E1E"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24C167B1"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2AB3AF45" w14:textId="77777777" w:rsidR="002133E3" w:rsidRDefault="002133E3">
            <w:pPr>
              <w:widowControl/>
              <w:jc w:val="center"/>
              <w:rPr>
                <w:rFonts w:ascii="Times New Roman" w:eastAsia="等线" w:hAnsi="Times New Roman" w:cs="Times New Roman"/>
                <w:kern w:val="0"/>
                <w:szCs w:val="21"/>
              </w:rPr>
            </w:pPr>
          </w:p>
        </w:tc>
        <w:tc>
          <w:tcPr>
            <w:tcW w:w="708" w:type="dxa"/>
            <w:vMerge/>
            <w:vAlign w:val="center"/>
          </w:tcPr>
          <w:p w14:paraId="4A57A5DC" w14:textId="77777777" w:rsidR="002133E3" w:rsidRDefault="002133E3">
            <w:pPr>
              <w:widowControl/>
              <w:jc w:val="center"/>
              <w:rPr>
                <w:rFonts w:ascii="Times New Roman" w:eastAsia="等线" w:hAnsi="Times New Roman" w:cs="Times New Roman"/>
                <w:kern w:val="0"/>
                <w:szCs w:val="21"/>
              </w:rPr>
            </w:pPr>
          </w:p>
        </w:tc>
        <w:tc>
          <w:tcPr>
            <w:tcW w:w="1560" w:type="dxa"/>
            <w:vMerge/>
            <w:vAlign w:val="center"/>
          </w:tcPr>
          <w:p w14:paraId="1F82C0D1" w14:textId="77777777" w:rsidR="002133E3" w:rsidRDefault="002133E3">
            <w:pPr>
              <w:widowControl/>
              <w:jc w:val="center"/>
              <w:rPr>
                <w:rFonts w:ascii="Times New Roman" w:eastAsia="等线" w:hAnsi="Times New Roman" w:cs="Times New Roman"/>
                <w:color w:val="000000"/>
                <w:kern w:val="0"/>
                <w:szCs w:val="21"/>
              </w:rPr>
            </w:pPr>
          </w:p>
        </w:tc>
        <w:tc>
          <w:tcPr>
            <w:tcW w:w="850" w:type="dxa"/>
            <w:shd w:val="clear" w:color="auto" w:fill="auto"/>
            <w:vAlign w:val="center"/>
          </w:tcPr>
          <w:p w14:paraId="762BC7DF"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089FADD3" w14:textId="77777777" w:rsidR="002133E3" w:rsidRDefault="002133E3">
            <w:pPr>
              <w:widowControl/>
              <w:jc w:val="center"/>
              <w:rPr>
                <w:rFonts w:ascii="Times New Roman" w:eastAsia="等线" w:hAnsi="Times New Roman" w:cs="Times New Roman"/>
                <w:kern w:val="0"/>
                <w:szCs w:val="21"/>
              </w:rPr>
            </w:pPr>
          </w:p>
        </w:tc>
        <w:tc>
          <w:tcPr>
            <w:tcW w:w="786" w:type="dxa"/>
            <w:vMerge/>
            <w:vAlign w:val="center"/>
          </w:tcPr>
          <w:p w14:paraId="70DC3C36" w14:textId="77777777" w:rsidR="002133E3" w:rsidRDefault="002133E3">
            <w:pPr>
              <w:widowControl/>
              <w:jc w:val="center"/>
              <w:rPr>
                <w:rFonts w:ascii="Times New Roman" w:eastAsia="等线" w:hAnsi="Times New Roman" w:cs="Times New Roman"/>
                <w:kern w:val="0"/>
                <w:szCs w:val="21"/>
              </w:rPr>
            </w:pPr>
          </w:p>
        </w:tc>
      </w:tr>
      <w:tr w:rsidR="002133E3" w14:paraId="1F5EA652" w14:textId="77777777">
        <w:trPr>
          <w:trHeight w:val="567"/>
        </w:trPr>
        <w:tc>
          <w:tcPr>
            <w:tcW w:w="1384" w:type="dxa"/>
            <w:vMerge/>
            <w:vAlign w:val="center"/>
          </w:tcPr>
          <w:p w14:paraId="07DF1602" w14:textId="77777777" w:rsidR="002133E3" w:rsidRDefault="002133E3">
            <w:pPr>
              <w:widowControl/>
              <w:jc w:val="center"/>
              <w:rPr>
                <w:rFonts w:ascii="Times New Roman" w:eastAsia="等线" w:hAnsi="Times New Roman" w:cs="Times New Roman"/>
                <w:kern w:val="0"/>
                <w:szCs w:val="21"/>
              </w:rPr>
            </w:pPr>
          </w:p>
        </w:tc>
        <w:tc>
          <w:tcPr>
            <w:tcW w:w="851" w:type="dxa"/>
            <w:vMerge/>
            <w:vAlign w:val="center"/>
          </w:tcPr>
          <w:p w14:paraId="145C0938" w14:textId="77777777" w:rsidR="002133E3" w:rsidRDefault="002133E3">
            <w:pPr>
              <w:widowControl/>
              <w:jc w:val="center"/>
              <w:rPr>
                <w:rFonts w:ascii="Times New Roman" w:eastAsia="等线" w:hAnsi="Times New Roman" w:cs="Times New Roman"/>
                <w:kern w:val="0"/>
                <w:szCs w:val="21"/>
              </w:rPr>
            </w:pPr>
          </w:p>
        </w:tc>
        <w:tc>
          <w:tcPr>
            <w:tcW w:w="708" w:type="dxa"/>
            <w:vMerge/>
            <w:vAlign w:val="center"/>
          </w:tcPr>
          <w:p w14:paraId="29DA6F8E" w14:textId="77777777" w:rsidR="002133E3" w:rsidRDefault="002133E3">
            <w:pPr>
              <w:widowControl/>
              <w:jc w:val="center"/>
              <w:rPr>
                <w:rFonts w:ascii="Times New Roman" w:eastAsia="等线" w:hAnsi="Times New Roman" w:cs="Times New Roman"/>
                <w:color w:val="000000"/>
                <w:kern w:val="0"/>
                <w:szCs w:val="21"/>
              </w:rPr>
            </w:pPr>
          </w:p>
        </w:tc>
        <w:tc>
          <w:tcPr>
            <w:tcW w:w="993" w:type="dxa"/>
            <w:shd w:val="clear" w:color="auto" w:fill="auto"/>
            <w:noWrap/>
            <w:vAlign w:val="center"/>
          </w:tcPr>
          <w:p w14:paraId="3BF655A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挥发性有机物</w:t>
            </w:r>
          </w:p>
        </w:tc>
        <w:tc>
          <w:tcPr>
            <w:tcW w:w="850" w:type="dxa"/>
            <w:shd w:val="clear" w:color="auto" w:fill="auto"/>
            <w:vAlign w:val="center"/>
          </w:tcPr>
          <w:p w14:paraId="743FE06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1350.2</w:t>
            </w:r>
          </w:p>
        </w:tc>
        <w:tc>
          <w:tcPr>
            <w:tcW w:w="851" w:type="dxa"/>
            <w:shd w:val="clear" w:color="auto" w:fill="auto"/>
            <w:vAlign w:val="center"/>
          </w:tcPr>
          <w:p w14:paraId="51916E6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134.18 </w:t>
            </w:r>
          </w:p>
        </w:tc>
        <w:tc>
          <w:tcPr>
            <w:tcW w:w="850" w:type="dxa"/>
            <w:shd w:val="clear" w:color="auto" w:fill="auto"/>
            <w:vAlign w:val="center"/>
          </w:tcPr>
          <w:p w14:paraId="5344E68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18.64 </w:t>
            </w:r>
          </w:p>
        </w:tc>
        <w:tc>
          <w:tcPr>
            <w:tcW w:w="851" w:type="dxa"/>
            <w:vMerge/>
            <w:vAlign w:val="center"/>
          </w:tcPr>
          <w:p w14:paraId="154D31C6" w14:textId="77777777" w:rsidR="002133E3" w:rsidRDefault="002133E3">
            <w:pPr>
              <w:widowControl/>
              <w:jc w:val="center"/>
              <w:rPr>
                <w:rFonts w:ascii="Times New Roman" w:eastAsia="等线" w:hAnsi="Times New Roman" w:cs="Times New Roman"/>
                <w:kern w:val="0"/>
                <w:szCs w:val="21"/>
              </w:rPr>
            </w:pPr>
          </w:p>
        </w:tc>
        <w:tc>
          <w:tcPr>
            <w:tcW w:w="567" w:type="dxa"/>
            <w:shd w:val="clear" w:color="auto" w:fill="auto"/>
            <w:vAlign w:val="center"/>
          </w:tcPr>
          <w:p w14:paraId="4D7B3326" w14:textId="77777777" w:rsidR="002133E3" w:rsidRDefault="002133E3">
            <w:pPr>
              <w:widowControl/>
              <w:jc w:val="center"/>
              <w:rPr>
                <w:rFonts w:ascii="Times New Roman" w:eastAsia="等线" w:hAnsi="Times New Roman" w:cs="Times New Roman"/>
                <w:kern w:val="0"/>
                <w:szCs w:val="21"/>
              </w:rPr>
            </w:pPr>
          </w:p>
        </w:tc>
        <w:tc>
          <w:tcPr>
            <w:tcW w:w="850" w:type="dxa"/>
            <w:shd w:val="clear" w:color="auto" w:fill="auto"/>
            <w:vAlign w:val="center"/>
          </w:tcPr>
          <w:p w14:paraId="0A6617D1"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09AC6CB2"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36D28BE2" w14:textId="77777777" w:rsidR="002133E3" w:rsidRDefault="002133E3">
            <w:pPr>
              <w:widowControl/>
              <w:jc w:val="center"/>
              <w:rPr>
                <w:rFonts w:ascii="Times New Roman" w:eastAsia="等线" w:hAnsi="Times New Roman" w:cs="Times New Roman"/>
                <w:kern w:val="0"/>
                <w:szCs w:val="21"/>
              </w:rPr>
            </w:pPr>
          </w:p>
        </w:tc>
        <w:tc>
          <w:tcPr>
            <w:tcW w:w="708" w:type="dxa"/>
            <w:vMerge/>
            <w:vAlign w:val="center"/>
          </w:tcPr>
          <w:p w14:paraId="464D1ED0" w14:textId="77777777" w:rsidR="002133E3" w:rsidRDefault="002133E3">
            <w:pPr>
              <w:widowControl/>
              <w:jc w:val="center"/>
              <w:rPr>
                <w:rFonts w:ascii="Times New Roman" w:eastAsia="等线" w:hAnsi="Times New Roman" w:cs="Times New Roman"/>
                <w:kern w:val="0"/>
                <w:szCs w:val="21"/>
              </w:rPr>
            </w:pPr>
          </w:p>
        </w:tc>
        <w:tc>
          <w:tcPr>
            <w:tcW w:w="1560" w:type="dxa"/>
            <w:vMerge/>
            <w:vAlign w:val="center"/>
          </w:tcPr>
          <w:p w14:paraId="17A3F6DE" w14:textId="77777777" w:rsidR="002133E3" w:rsidRDefault="002133E3">
            <w:pPr>
              <w:widowControl/>
              <w:jc w:val="center"/>
              <w:rPr>
                <w:rFonts w:ascii="Times New Roman" w:eastAsia="等线" w:hAnsi="Times New Roman" w:cs="Times New Roman"/>
                <w:color w:val="000000"/>
                <w:kern w:val="0"/>
                <w:szCs w:val="21"/>
              </w:rPr>
            </w:pPr>
          </w:p>
        </w:tc>
        <w:tc>
          <w:tcPr>
            <w:tcW w:w="850" w:type="dxa"/>
            <w:shd w:val="clear" w:color="auto" w:fill="auto"/>
            <w:vAlign w:val="center"/>
          </w:tcPr>
          <w:p w14:paraId="08426C4F" w14:textId="77777777" w:rsidR="002133E3" w:rsidRDefault="002133E3">
            <w:pPr>
              <w:widowControl/>
              <w:jc w:val="center"/>
              <w:rPr>
                <w:rFonts w:ascii="Times New Roman" w:eastAsia="等线" w:hAnsi="Times New Roman" w:cs="Times New Roman"/>
                <w:kern w:val="0"/>
                <w:szCs w:val="21"/>
              </w:rPr>
            </w:pPr>
          </w:p>
        </w:tc>
        <w:tc>
          <w:tcPr>
            <w:tcW w:w="709" w:type="dxa"/>
            <w:shd w:val="clear" w:color="auto" w:fill="auto"/>
            <w:vAlign w:val="center"/>
          </w:tcPr>
          <w:p w14:paraId="7741B503" w14:textId="77777777" w:rsidR="002133E3" w:rsidRDefault="002133E3">
            <w:pPr>
              <w:widowControl/>
              <w:jc w:val="center"/>
              <w:rPr>
                <w:rFonts w:ascii="Times New Roman" w:eastAsia="等线" w:hAnsi="Times New Roman" w:cs="Times New Roman"/>
                <w:kern w:val="0"/>
                <w:szCs w:val="21"/>
              </w:rPr>
            </w:pPr>
          </w:p>
        </w:tc>
        <w:tc>
          <w:tcPr>
            <w:tcW w:w="786" w:type="dxa"/>
            <w:vMerge/>
            <w:vAlign w:val="center"/>
          </w:tcPr>
          <w:p w14:paraId="2ECA3BA3" w14:textId="77777777" w:rsidR="002133E3" w:rsidRDefault="002133E3">
            <w:pPr>
              <w:widowControl/>
              <w:jc w:val="center"/>
              <w:rPr>
                <w:rFonts w:ascii="Times New Roman" w:eastAsia="等线" w:hAnsi="Times New Roman" w:cs="Times New Roman"/>
                <w:kern w:val="0"/>
                <w:szCs w:val="21"/>
              </w:rPr>
            </w:pPr>
          </w:p>
        </w:tc>
      </w:tr>
    </w:tbl>
    <w:p w14:paraId="0D1F63EB" w14:textId="77777777" w:rsidR="002133E3" w:rsidRDefault="002133E3">
      <w:pPr>
        <w:adjustRightInd w:val="0"/>
        <w:snapToGrid w:val="0"/>
        <w:spacing w:line="500" w:lineRule="atLeast"/>
        <w:ind w:firstLineChars="200" w:firstLine="560"/>
        <w:rPr>
          <w:rFonts w:ascii="Times New Roman" w:eastAsia="宋体" w:hAnsi="Times New Roman" w:cs="Times New Roman"/>
          <w:sz w:val="28"/>
          <w:szCs w:val="28"/>
        </w:rPr>
        <w:sectPr w:rsidR="002133E3">
          <w:pgSz w:w="16838" w:h="11906" w:orient="landscape"/>
          <w:pgMar w:top="1134" w:right="1134" w:bottom="1134" w:left="1134" w:header="851" w:footer="992" w:gutter="0"/>
          <w:cols w:space="720"/>
          <w:docGrid w:linePitch="312"/>
        </w:sectPr>
      </w:pPr>
    </w:p>
    <w:p w14:paraId="0848F6D5" w14:textId="77777777" w:rsidR="002133E3" w:rsidRDefault="00C22CFA">
      <w:pPr>
        <w:pStyle w:val="affff3"/>
        <w:numPr>
          <w:ilvl w:val="0"/>
          <w:numId w:val="8"/>
        </w:numPr>
        <w:spacing w:line="500" w:lineRule="atLeast"/>
        <w:ind w:firstLineChars="0"/>
        <w:rPr>
          <w:rFonts w:ascii="Times New Roman" w:eastAsia="宋体" w:hAnsi="Times New Roman" w:cs="Times New Roman"/>
          <w:sz w:val="28"/>
          <w:szCs w:val="28"/>
        </w:rPr>
      </w:pPr>
      <w:r>
        <w:rPr>
          <w:rFonts w:ascii="Times New Roman" w:eastAsia="宋体" w:hAnsi="Times New Roman" w:cs="Times New Roman"/>
          <w:sz w:val="28"/>
          <w:szCs w:val="28"/>
        </w:rPr>
        <w:lastRenderedPageBreak/>
        <w:t>无组织废气产生情况分析</w:t>
      </w:r>
    </w:p>
    <w:p w14:paraId="7231EF4A" w14:textId="77777777" w:rsidR="002133E3" w:rsidRDefault="00C22CFA">
      <w:pPr>
        <w:widowControl/>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rPr>
        <w:t>本项目生产的无水乙醇使用双密封内浮顶罐储存，无水乙醇产品泵送入无水乙醇储罐暂存，再泵入槽罐车外运。由于储罐与槽车之间设有平衡管，无装车废气产生，双密封内浮顶罐储存过程由于温度变化而产生的小呼吸可忽略，因此本项目主要考虑无水乙醇从中间计量槽输送至无水乙醇储罐时排放的大呼吸废气。</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大呼吸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年蒸发损耗量采用下式估算：</w:t>
      </w:r>
    </w:p>
    <w:p w14:paraId="00B5E6A5" w14:textId="77777777" w:rsidR="002133E3" w:rsidRDefault="00C22CFA">
      <w:pPr>
        <w:spacing w:line="360" w:lineRule="auto"/>
        <w:jc w:val="center"/>
        <w:rPr>
          <w:rFonts w:ascii="Times New Roman" w:eastAsia="宋体" w:hAnsi="Times New Roman" w:cs="Times New Roman"/>
          <w:sz w:val="28"/>
          <w:szCs w:val="28"/>
        </w:rPr>
      </w:pPr>
      <w:r>
        <w:rPr>
          <w:rFonts w:ascii="Times New Roman" w:eastAsia="宋体" w:hAnsi="Times New Roman" w:cs="Times New Roman"/>
          <w:noProof/>
          <w:sz w:val="28"/>
          <w:szCs w:val="28"/>
        </w:rPr>
        <w:drawing>
          <wp:inline distT="0" distB="0" distL="0" distR="0" wp14:anchorId="7BB88073" wp14:editId="7024BC64">
            <wp:extent cx="2019300" cy="4762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019300" cy="476250"/>
                    </a:xfrm>
                    <a:prstGeom prst="rect">
                      <a:avLst/>
                    </a:prstGeom>
                    <a:noFill/>
                    <a:ln>
                      <a:noFill/>
                    </a:ln>
                  </pic:spPr>
                </pic:pic>
              </a:graphicData>
            </a:graphic>
          </wp:inline>
        </w:drawing>
      </w:r>
    </w:p>
    <w:p w14:paraId="5D5DE5B0" w14:textId="77777777" w:rsidR="002133E3" w:rsidRDefault="00C22CFA">
      <w:pPr>
        <w:spacing w:line="460" w:lineRule="exact"/>
        <w:ind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式中：</w:t>
      </w:r>
    </w:p>
    <w:p w14:paraId="76416F0C" w14:textId="77777777" w:rsidR="002133E3" w:rsidRDefault="00C22CFA">
      <w:pPr>
        <w:spacing w:line="460" w:lineRule="exact"/>
        <w:ind w:firstLineChars="400" w:firstLine="1120"/>
        <w:rPr>
          <w:rFonts w:ascii="Times New Roman" w:eastAsia="宋体" w:hAnsi="Times New Roman" w:cs="Times New Roman"/>
          <w:bCs/>
          <w:sz w:val="28"/>
          <w:szCs w:val="28"/>
        </w:rPr>
      </w:pPr>
      <w:r>
        <w:rPr>
          <w:rFonts w:ascii="Times New Roman" w:eastAsia="宋体" w:hAnsi="Times New Roman" w:cs="Times New Roman"/>
          <w:bCs/>
          <w:sz w:val="28"/>
          <w:szCs w:val="28"/>
        </w:rPr>
        <w:t>L</w:t>
      </w:r>
      <w:r>
        <w:rPr>
          <w:rFonts w:ascii="Times New Roman" w:eastAsia="宋体" w:hAnsi="Times New Roman" w:cs="Times New Roman"/>
          <w:bCs/>
          <w:sz w:val="28"/>
          <w:szCs w:val="28"/>
          <w:vertAlign w:val="subscript"/>
        </w:rPr>
        <w:t>W</w:t>
      </w:r>
      <w:r>
        <w:rPr>
          <w:rFonts w:ascii="Times New Roman" w:eastAsia="宋体" w:hAnsi="Times New Roman" w:cs="Times New Roman"/>
          <w:bCs/>
          <w:sz w:val="28"/>
          <w:szCs w:val="28"/>
        </w:rPr>
        <w:t>：</w:t>
      </w:r>
      <w:r>
        <w:rPr>
          <w:rFonts w:ascii="Times New Roman" w:eastAsia="宋体" w:hAnsi="Times New Roman" w:cs="Times New Roman"/>
          <w:bCs/>
          <w:sz w:val="28"/>
          <w:szCs w:val="28"/>
        </w:rPr>
        <w:t>“</w:t>
      </w:r>
      <w:r>
        <w:rPr>
          <w:rFonts w:ascii="Times New Roman" w:eastAsia="宋体" w:hAnsi="Times New Roman" w:cs="Times New Roman"/>
          <w:bCs/>
          <w:sz w:val="28"/>
          <w:szCs w:val="28"/>
        </w:rPr>
        <w:t>大呼吸</w:t>
      </w:r>
      <w:r>
        <w:rPr>
          <w:rFonts w:ascii="Times New Roman" w:eastAsia="宋体" w:hAnsi="Times New Roman" w:cs="Times New Roman"/>
          <w:bCs/>
          <w:sz w:val="28"/>
          <w:szCs w:val="28"/>
        </w:rPr>
        <w:t>”</w:t>
      </w:r>
      <w:r>
        <w:rPr>
          <w:rFonts w:ascii="Times New Roman" w:eastAsia="宋体" w:hAnsi="Times New Roman" w:cs="Times New Roman"/>
          <w:bCs/>
          <w:sz w:val="28"/>
          <w:szCs w:val="28"/>
        </w:rPr>
        <w:t>年蒸发损耗量，</w:t>
      </w:r>
      <w:r>
        <w:rPr>
          <w:rFonts w:ascii="Times New Roman" w:eastAsia="宋体" w:hAnsi="Times New Roman" w:cs="Times New Roman"/>
          <w:bCs/>
          <w:sz w:val="28"/>
          <w:szCs w:val="28"/>
        </w:rPr>
        <w:t>kg/a</w:t>
      </w:r>
      <w:r>
        <w:rPr>
          <w:rFonts w:ascii="Times New Roman" w:eastAsia="宋体" w:hAnsi="Times New Roman" w:cs="Times New Roman"/>
          <w:bCs/>
          <w:sz w:val="28"/>
          <w:szCs w:val="28"/>
        </w:rPr>
        <w:t>；</w:t>
      </w:r>
    </w:p>
    <w:p w14:paraId="474E0A0F" w14:textId="77777777" w:rsidR="002133E3" w:rsidRDefault="00C22CFA">
      <w:pPr>
        <w:spacing w:line="440" w:lineRule="exact"/>
        <w:ind w:firstLineChars="450" w:firstLine="1260"/>
        <w:rPr>
          <w:rFonts w:ascii="Times New Roman" w:eastAsia="宋体" w:hAnsi="Times New Roman" w:cs="Times New Roman"/>
          <w:kern w:val="0"/>
          <w:sz w:val="28"/>
          <w:szCs w:val="28"/>
        </w:rPr>
      </w:pPr>
      <w:proofErr w:type="spellStart"/>
      <w:r>
        <w:rPr>
          <w:rFonts w:ascii="Times New Roman" w:eastAsia="宋体" w:hAnsi="Times New Roman" w:cs="Times New Roman"/>
          <w:kern w:val="0"/>
          <w:sz w:val="28"/>
          <w:szCs w:val="28"/>
        </w:rPr>
        <w:t>Q</w:t>
      </w:r>
      <w:r>
        <w:rPr>
          <w:rFonts w:ascii="Times New Roman" w:eastAsia="宋体" w:hAnsi="Times New Roman" w:cs="Times New Roman"/>
          <w:kern w:val="0"/>
          <w:sz w:val="28"/>
          <w:szCs w:val="28"/>
          <w:vertAlign w:val="subscript"/>
        </w:rPr>
        <w:t>l</w:t>
      </w:r>
      <w:proofErr w:type="spellEnd"/>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储罐年周转量</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w:t>
      </w:r>
    </w:p>
    <w:p w14:paraId="17E4AE1B" w14:textId="77777777" w:rsidR="002133E3" w:rsidRDefault="00C22CFA">
      <w:pPr>
        <w:spacing w:line="440" w:lineRule="exact"/>
        <w:ind w:firstLineChars="450" w:firstLine="1260"/>
        <w:rPr>
          <w:rFonts w:ascii="Times New Roman" w:eastAsia="宋体" w:hAnsi="Times New Roman" w:cs="Times New Roman"/>
          <w:kern w:val="0"/>
          <w:sz w:val="28"/>
          <w:szCs w:val="28"/>
        </w:rPr>
      </w:pP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储罐直径</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rPr>
        <w:t>；</w:t>
      </w:r>
    </w:p>
    <w:p w14:paraId="3AF7EE51" w14:textId="77777777" w:rsidR="002133E3" w:rsidRDefault="00C22CFA">
      <w:pPr>
        <w:spacing w:line="440" w:lineRule="exact"/>
        <w:ind w:firstLineChars="450" w:firstLine="1260"/>
        <w:rPr>
          <w:rFonts w:ascii="Times New Roman" w:eastAsia="宋体" w:hAnsi="Times New Roman" w:cs="Times New Roman"/>
          <w:kern w:val="0"/>
          <w:sz w:val="28"/>
          <w:szCs w:val="28"/>
          <w:lang w:val="es-ES"/>
        </w:rPr>
      </w:pPr>
      <w:r>
        <w:rPr>
          <w:rFonts w:ascii="Times New Roman" w:eastAsia="宋体" w:hAnsi="Times New Roman" w:cs="Times New Roman"/>
          <w:kern w:val="0"/>
          <w:sz w:val="28"/>
          <w:szCs w:val="28"/>
        </w:rPr>
        <w:sym w:font="Symbol" w:char="F072"/>
      </w:r>
      <w:r>
        <w:rPr>
          <w:rFonts w:ascii="Times New Roman" w:eastAsia="宋体" w:hAnsi="Times New Roman" w:cs="Times New Roman"/>
          <w:kern w:val="0"/>
          <w:sz w:val="28"/>
          <w:szCs w:val="28"/>
          <w:vertAlign w:val="subscript"/>
          <w:lang w:val="es-ES"/>
        </w:rPr>
        <w:t>y</w:t>
      </w:r>
      <w:r>
        <w:rPr>
          <w:rFonts w:ascii="Times New Roman" w:eastAsia="宋体" w:hAnsi="Times New Roman" w:cs="Times New Roman"/>
          <w:kern w:val="0"/>
          <w:sz w:val="28"/>
          <w:szCs w:val="28"/>
          <w:lang w:val="es-ES"/>
        </w:rPr>
        <w:t>——</w:t>
      </w:r>
      <w:r>
        <w:rPr>
          <w:rFonts w:ascii="Times New Roman" w:eastAsia="宋体" w:hAnsi="Times New Roman" w:cs="Times New Roman"/>
          <w:kern w:val="0"/>
          <w:sz w:val="28"/>
          <w:szCs w:val="28"/>
        </w:rPr>
        <w:t>石化品的密度</w:t>
      </w:r>
      <w:r>
        <w:rPr>
          <w:rFonts w:ascii="Times New Roman" w:eastAsia="宋体" w:hAnsi="Times New Roman" w:cs="Times New Roman"/>
          <w:kern w:val="0"/>
          <w:sz w:val="28"/>
          <w:szCs w:val="28"/>
          <w:lang w:val="es-ES"/>
        </w:rPr>
        <w:t>(kg/m</w:t>
      </w:r>
      <w:r>
        <w:rPr>
          <w:rFonts w:ascii="Times New Roman" w:eastAsia="宋体" w:hAnsi="Times New Roman" w:cs="Times New Roman"/>
          <w:kern w:val="0"/>
          <w:sz w:val="28"/>
          <w:szCs w:val="28"/>
          <w:vertAlign w:val="superscript"/>
          <w:lang w:val="es-ES"/>
        </w:rPr>
        <w:t>3</w:t>
      </w:r>
      <w:r>
        <w:rPr>
          <w:rFonts w:ascii="Times New Roman" w:eastAsia="宋体" w:hAnsi="Times New Roman" w:cs="Times New Roman"/>
          <w:kern w:val="0"/>
          <w:sz w:val="28"/>
          <w:szCs w:val="28"/>
          <w:lang w:val="es-ES"/>
        </w:rPr>
        <w:t>)</w:t>
      </w:r>
      <w:r>
        <w:rPr>
          <w:rFonts w:ascii="Times New Roman" w:eastAsia="宋体" w:hAnsi="Times New Roman" w:cs="Times New Roman"/>
          <w:kern w:val="0"/>
          <w:sz w:val="28"/>
          <w:szCs w:val="28"/>
          <w:lang w:val="es-ES"/>
        </w:rPr>
        <w:t>；</w:t>
      </w:r>
    </w:p>
    <w:p w14:paraId="547E6F38" w14:textId="77777777" w:rsidR="002133E3" w:rsidRDefault="00C22CFA">
      <w:pPr>
        <w:spacing w:line="440" w:lineRule="exact"/>
        <w:ind w:firstLineChars="450" w:firstLine="1260"/>
        <w:rPr>
          <w:rFonts w:ascii="Times New Roman" w:eastAsia="宋体" w:hAnsi="Times New Roman" w:cs="Times New Roman"/>
          <w:kern w:val="0"/>
          <w:sz w:val="28"/>
          <w:szCs w:val="28"/>
        </w:rPr>
      </w:pPr>
      <w:r>
        <w:rPr>
          <w:rFonts w:ascii="Times New Roman" w:eastAsia="宋体" w:hAnsi="Times New Roman" w:cs="Times New Roman"/>
          <w:kern w:val="0"/>
          <w:sz w:val="28"/>
          <w:szCs w:val="28"/>
        </w:rPr>
        <w:t>C——</w:t>
      </w:r>
      <w:r>
        <w:rPr>
          <w:rFonts w:ascii="Times New Roman" w:eastAsia="宋体" w:hAnsi="Times New Roman" w:cs="Times New Roman"/>
          <w:kern w:val="0"/>
          <w:sz w:val="28"/>
          <w:szCs w:val="28"/>
        </w:rPr>
        <w:t>罐壁粘附系数</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/1000m</w:t>
      </w:r>
      <w:r>
        <w:rPr>
          <w:rFonts w:ascii="Times New Roman" w:eastAsia="宋体" w:hAnsi="Times New Roman" w:cs="Times New Roman"/>
          <w:kern w:val="0"/>
          <w:sz w:val="28"/>
          <w:szCs w:val="28"/>
          <w:vertAlign w:val="superscript"/>
        </w:rPr>
        <w:t>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，本项目取</w:t>
      </w:r>
      <w:r>
        <w:rPr>
          <w:rFonts w:ascii="Times New Roman" w:eastAsia="宋体" w:hAnsi="Times New Roman" w:cs="Times New Roman"/>
          <w:kern w:val="0"/>
          <w:sz w:val="28"/>
          <w:szCs w:val="28"/>
        </w:rPr>
        <w:t>0.00257</w:t>
      </w:r>
      <w:r>
        <w:rPr>
          <w:rFonts w:ascii="Times New Roman" w:eastAsia="宋体" w:hAnsi="Times New Roman" w:cs="Times New Roman"/>
          <w:kern w:val="0"/>
          <w:sz w:val="28"/>
          <w:szCs w:val="28"/>
        </w:rPr>
        <w:t>；</w:t>
      </w:r>
    </w:p>
    <w:p w14:paraId="117D905D" w14:textId="77777777" w:rsidR="002133E3" w:rsidRDefault="00C22CFA">
      <w:pPr>
        <w:spacing w:line="440" w:lineRule="exact"/>
        <w:ind w:firstLineChars="450" w:firstLine="1260"/>
        <w:rPr>
          <w:rFonts w:ascii="Times New Roman" w:eastAsia="宋体" w:hAnsi="Times New Roman" w:cs="Times New Roman"/>
          <w:kern w:val="0"/>
          <w:sz w:val="28"/>
          <w:szCs w:val="28"/>
        </w:rPr>
      </w:pPr>
      <w:r>
        <w:rPr>
          <w:rFonts w:ascii="Times New Roman" w:eastAsia="宋体" w:hAnsi="Times New Roman" w:cs="Times New Roman"/>
          <w:kern w:val="0"/>
          <w:sz w:val="28"/>
          <w:szCs w:val="28"/>
        </w:rPr>
        <w:t>N</w:t>
      </w:r>
      <w:r>
        <w:rPr>
          <w:rFonts w:ascii="Times New Roman" w:eastAsia="宋体" w:hAnsi="Times New Roman" w:cs="Times New Roman"/>
          <w:kern w:val="0"/>
          <w:sz w:val="28"/>
          <w:szCs w:val="28"/>
          <w:vertAlign w:val="subscript"/>
        </w:rPr>
        <w:t>C</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支柱个数；</w:t>
      </w:r>
    </w:p>
    <w:p w14:paraId="1917EB2C" w14:textId="77777777" w:rsidR="002133E3" w:rsidRDefault="00C22CFA">
      <w:pPr>
        <w:spacing w:line="440" w:lineRule="exact"/>
        <w:ind w:firstLineChars="450" w:firstLine="1260"/>
        <w:rPr>
          <w:rFonts w:ascii="Times New Roman" w:eastAsia="宋体" w:hAnsi="Times New Roman" w:cs="Times New Roman"/>
          <w:kern w:val="0"/>
          <w:sz w:val="28"/>
          <w:szCs w:val="28"/>
        </w:rPr>
      </w:pPr>
      <w:r>
        <w:rPr>
          <w:rFonts w:ascii="Times New Roman" w:eastAsia="宋体" w:hAnsi="Times New Roman" w:cs="Times New Roman"/>
          <w:kern w:val="0"/>
          <w:sz w:val="28"/>
          <w:szCs w:val="28"/>
        </w:rPr>
        <w:t>F</w:t>
      </w:r>
      <w:r>
        <w:rPr>
          <w:rFonts w:ascii="Times New Roman" w:eastAsia="宋体" w:hAnsi="Times New Roman" w:cs="Times New Roman"/>
          <w:kern w:val="0"/>
          <w:sz w:val="28"/>
          <w:szCs w:val="28"/>
          <w:vertAlign w:val="subscript"/>
        </w:rPr>
        <w:t>C</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支柱有效直径；</w:t>
      </w:r>
    </w:p>
    <w:p w14:paraId="45A5B0FB" w14:textId="77777777" w:rsidR="002133E3" w:rsidRDefault="00C22CFA">
      <w:pPr>
        <w:tabs>
          <w:tab w:val="left" w:pos="600"/>
        </w:tabs>
        <w:spacing w:line="460" w:lineRule="exact"/>
        <w:jc w:val="center"/>
        <w:rPr>
          <w:rFonts w:ascii="Times New Roman" w:eastAsia="宋体" w:hAnsi="Times New Roman" w:cs="Times New Roman"/>
          <w:kern w:val="0"/>
          <w:sz w:val="36"/>
          <w:szCs w:val="36"/>
        </w:rPr>
      </w:pPr>
      <w:r>
        <w:rPr>
          <w:rFonts w:ascii="Times New Roman" w:eastAsia="宋体" w:hAnsi="Times New Roman" w:cs="Times New Roman"/>
          <w:b/>
          <w:sz w:val="24"/>
          <w:szCs w:val="32"/>
        </w:rPr>
        <w:t>表</w:t>
      </w:r>
      <w:r>
        <w:rPr>
          <w:rFonts w:ascii="Times New Roman" w:eastAsia="宋体" w:hAnsi="Times New Roman" w:cs="Times New Roman"/>
          <w:b/>
          <w:sz w:val="24"/>
          <w:szCs w:val="32"/>
        </w:rPr>
        <w:t xml:space="preserve">4.5-3  </w:t>
      </w:r>
      <w:r>
        <w:rPr>
          <w:rFonts w:ascii="Times New Roman" w:eastAsia="宋体" w:hAnsi="Times New Roman" w:cs="Times New Roman"/>
          <w:b/>
          <w:sz w:val="24"/>
          <w:szCs w:val="32"/>
        </w:rPr>
        <w:t>无水乙醇罐区大呼吸损耗量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1853"/>
        <w:gridCol w:w="1392"/>
        <w:gridCol w:w="1853"/>
        <w:gridCol w:w="1392"/>
        <w:gridCol w:w="2156"/>
      </w:tblGrid>
      <w:tr w:rsidR="002133E3" w14:paraId="2A570C28" w14:textId="77777777">
        <w:trPr>
          <w:trHeight w:val="567"/>
          <w:jc w:val="center"/>
        </w:trPr>
        <w:tc>
          <w:tcPr>
            <w:tcW w:w="614" w:type="pct"/>
            <w:vAlign w:val="center"/>
          </w:tcPr>
          <w:p w14:paraId="0083574B"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物料名称</w:t>
            </w:r>
          </w:p>
        </w:tc>
        <w:tc>
          <w:tcPr>
            <w:tcW w:w="940" w:type="pct"/>
            <w:vAlign w:val="center"/>
          </w:tcPr>
          <w:p w14:paraId="49B87E02"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储罐直径</w:t>
            </w:r>
            <w:r>
              <w:rPr>
                <w:rFonts w:ascii="Times New Roman" w:eastAsia="宋体" w:hAnsi="Times New Roman" w:cs="Times New Roman"/>
                <w:bCs/>
                <w:szCs w:val="21"/>
              </w:rPr>
              <w:t>×</w:t>
            </w:r>
            <w:r>
              <w:rPr>
                <w:rFonts w:ascii="Times New Roman" w:eastAsia="宋体" w:hAnsi="Times New Roman" w:cs="Times New Roman"/>
                <w:bCs/>
                <w:szCs w:val="21"/>
              </w:rPr>
              <w:t>高度</w:t>
            </w:r>
          </w:p>
          <w:p w14:paraId="45C7018C"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(m)</w:t>
            </w:r>
          </w:p>
        </w:tc>
        <w:tc>
          <w:tcPr>
            <w:tcW w:w="706" w:type="pct"/>
            <w:vAlign w:val="center"/>
          </w:tcPr>
          <w:p w14:paraId="7E932F99"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年周转量</w:t>
            </w:r>
            <w:r>
              <w:rPr>
                <w:rFonts w:ascii="Times New Roman" w:eastAsia="宋体" w:hAnsi="Times New Roman" w:cs="Times New Roman"/>
                <w:bCs/>
                <w:szCs w:val="21"/>
              </w:rPr>
              <w:t>(</w:t>
            </w:r>
            <w:r>
              <w:rPr>
                <w:rFonts w:ascii="Times New Roman" w:eastAsia="宋体" w:hAnsi="Times New Roman" w:cs="Times New Roman"/>
                <w:bCs/>
                <w:szCs w:val="21"/>
              </w:rPr>
              <w:t>万</w:t>
            </w:r>
            <w:r>
              <w:rPr>
                <w:rFonts w:ascii="Times New Roman" w:eastAsia="宋体" w:hAnsi="Times New Roman" w:cs="Times New Roman"/>
                <w:bCs/>
                <w:szCs w:val="21"/>
              </w:rPr>
              <w:t>t/a)</w:t>
            </w:r>
          </w:p>
        </w:tc>
        <w:tc>
          <w:tcPr>
            <w:tcW w:w="940" w:type="pct"/>
            <w:vAlign w:val="center"/>
          </w:tcPr>
          <w:p w14:paraId="6F95F551"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大呼吸排放量</w:t>
            </w:r>
            <w:r>
              <w:rPr>
                <w:rFonts w:ascii="Times New Roman" w:eastAsia="宋体" w:hAnsi="Times New Roman" w:cs="Times New Roman"/>
                <w:bCs/>
                <w:szCs w:val="21"/>
              </w:rPr>
              <w:t>(kg/a)</w:t>
            </w:r>
          </w:p>
        </w:tc>
        <w:tc>
          <w:tcPr>
            <w:tcW w:w="706" w:type="pct"/>
            <w:vAlign w:val="center"/>
          </w:tcPr>
          <w:p w14:paraId="66F124A0" w14:textId="77777777" w:rsidR="002133E3" w:rsidRDefault="00C22CFA">
            <w:pPr>
              <w:widowControl/>
              <w:jc w:val="center"/>
              <w:rPr>
                <w:rFonts w:ascii="Times New Roman" w:eastAsia="宋体" w:hAnsi="Times New Roman" w:cs="Times New Roman"/>
                <w:bCs/>
                <w:szCs w:val="21"/>
              </w:rPr>
            </w:pPr>
            <w:r>
              <w:rPr>
                <w:rFonts w:ascii="Times New Roman" w:eastAsia="宋体" w:hAnsi="Times New Roman" w:cs="Times New Roman"/>
                <w:bCs/>
                <w:color w:val="000000"/>
                <w:szCs w:val="21"/>
              </w:rPr>
              <w:t>泵送速率</w:t>
            </w:r>
            <w:r>
              <w:rPr>
                <w:rFonts w:ascii="Times New Roman" w:eastAsia="宋体" w:hAnsi="Times New Roman" w:cs="Times New Roman"/>
                <w:bCs/>
                <w:color w:val="000000"/>
                <w:szCs w:val="21"/>
              </w:rPr>
              <w:t>m</w:t>
            </w:r>
            <w:r>
              <w:rPr>
                <w:rFonts w:ascii="Times New Roman" w:eastAsia="宋体" w:hAnsi="Times New Roman" w:cs="Times New Roman"/>
                <w:bCs/>
                <w:color w:val="000000"/>
                <w:szCs w:val="21"/>
                <w:vertAlign w:val="superscript"/>
              </w:rPr>
              <w:t>3</w:t>
            </w:r>
            <w:r>
              <w:rPr>
                <w:rFonts w:ascii="Times New Roman" w:eastAsia="宋体" w:hAnsi="Times New Roman" w:cs="Times New Roman"/>
                <w:bCs/>
                <w:color w:val="000000"/>
                <w:szCs w:val="21"/>
              </w:rPr>
              <w:t>/h</w:t>
            </w:r>
          </w:p>
        </w:tc>
        <w:tc>
          <w:tcPr>
            <w:tcW w:w="1094" w:type="pct"/>
            <w:vAlign w:val="center"/>
          </w:tcPr>
          <w:p w14:paraId="4C17063C"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大呼吸排放速率</w:t>
            </w:r>
            <w:r>
              <w:rPr>
                <w:rFonts w:ascii="Times New Roman" w:eastAsia="宋体" w:hAnsi="Times New Roman" w:cs="Times New Roman"/>
                <w:bCs/>
                <w:szCs w:val="21"/>
              </w:rPr>
              <w:t>(kg/h)</w:t>
            </w:r>
          </w:p>
        </w:tc>
      </w:tr>
      <w:tr w:rsidR="002133E3" w14:paraId="1CA4B517" w14:textId="77777777">
        <w:trPr>
          <w:trHeight w:val="567"/>
          <w:jc w:val="center"/>
        </w:trPr>
        <w:tc>
          <w:tcPr>
            <w:tcW w:w="614" w:type="pct"/>
            <w:vAlign w:val="center"/>
          </w:tcPr>
          <w:p w14:paraId="687A24A2"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无水乙醇</w:t>
            </w:r>
          </w:p>
        </w:tc>
        <w:tc>
          <w:tcPr>
            <w:tcW w:w="940" w:type="pct"/>
            <w:vAlign w:val="center"/>
          </w:tcPr>
          <w:p w14:paraId="30DC4D58"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Φ12×18</w:t>
            </w:r>
          </w:p>
        </w:tc>
        <w:tc>
          <w:tcPr>
            <w:tcW w:w="706" w:type="pct"/>
            <w:vAlign w:val="center"/>
          </w:tcPr>
          <w:p w14:paraId="0E8FF16E"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6</w:t>
            </w:r>
          </w:p>
        </w:tc>
        <w:tc>
          <w:tcPr>
            <w:tcW w:w="940" w:type="pct"/>
            <w:vAlign w:val="center"/>
          </w:tcPr>
          <w:p w14:paraId="432DAEE0"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51.40</w:t>
            </w:r>
          </w:p>
        </w:tc>
        <w:tc>
          <w:tcPr>
            <w:tcW w:w="706" w:type="pct"/>
            <w:vAlign w:val="center"/>
          </w:tcPr>
          <w:p w14:paraId="4A9A9DC4"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200</w:t>
            </w:r>
          </w:p>
        </w:tc>
        <w:tc>
          <w:tcPr>
            <w:tcW w:w="1094" w:type="pct"/>
            <w:vAlign w:val="center"/>
          </w:tcPr>
          <w:p w14:paraId="28A3529A"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0.14</w:t>
            </w:r>
          </w:p>
        </w:tc>
      </w:tr>
    </w:tbl>
    <w:p w14:paraId="75C3F058" w14:textId="77777777" w:rsidR="002133E3" w:rsidRDefault="00C22CFA">
      <w:pPr>
        <w:widowControl/>
        <w:snapToGrid w:val="0"/>
        <w:spacing w:line="500" w:lineRule="exact"/>
        <w:ind w:firstLineChars="200" w:firstLine="560"/>
        <w:rPr>
          <w:rFonts w:ascii="Times New Roman" w:eastAsia="宋体" w:hAnsi="Times New Roman" w:cs="Times New Roman"/>
          <w:color w:val="000000"/>
          <w:kern w:val="0"/>
          <w:sz w:val="28"/>
          <w:szCs w:val="28"/>
        </w:rPr>
      </w:pPr>
      <w:r>
        <w:rPr>
          <w:rFonts w:ascii="Times New Roman" w:eastAsia="宋体" w:hAnsi="Times New Roman" w:cs="Times New Roman"/>
          <w:color w:val="000000"/>
          <w:kern w:val="0"/>
          <w:sz w:val="28"/>
          <w:szCs w:val="28"/>
        </w:rPr>
        <w:t>采用上述公式计算所得为一次密封内浮顶罐大呼吸废气排放情况，为了增强密封效果，进一步降低蒸发损耗，本项目选用双密封内浮顶罐储存无水乙醇，在一次密封的基础上增设二次密封，二次密封主要有承压板、气体阻隔摸、橡胶滑动片等组成，橡胶滑动片在承压板作用下，紧贴罐壁形成密封，既防止了油气泄漏，又阻止了雨水向罐内渗漏。气体阻隔摸在承压板的保护下环绕在浮盘与罐壁的环形空间上，很好的阻隔了一次密封泄漏的油气，有效阻止了蒸发损耗，此外，二次密封对一次密封还能起到很好的保护作用。根据查阅相关文献，使用二次密封后，呼吸损耗降低了</w:t>
      </w:r>
      <w:r>
        <w:rPr>
          <w:rFonts w:ascii="Times New Roman" w:eastAsia="宋体" w:hAnsi="Times New Roman" w:cs="Times New Roman"/>
          <w:color w:val="000000"/>
          <w:kern w:val="0"/>
          <w:sz w:val="28"/>
          <w:szCs w:val="28"/>
        </w:rPr>
        <w:t>50%</w:t>
      </w:r>
      <w:r>
        <w:rPr>
          <w:rFonts w:ascii="Times New Roman" w:eastAsia="宋体" w:hAnsi="Times New Roman" w:cs="Times New Roman"/>
          <w:color w:val="000000"/>
          <w:kern w:val="0"/>
          <w:sz w:val="28"/>
          <w:szCs w:val="28"/>
        </w:rPr>
        <w:t>以上，即本项目无水乙醇储罐大呼吸排放量约</w:t>
      </w:r>
      <w:r>
        <w:rPr>
          <w:rFonts w:ascii="Times New Roman" w:eastAsia="宋体" w:hAnsi="Times New Roman" w:cs="Times New Roman"/>
          <w:color w:val="000000"/>
          <w:kern w:val="0"/>
          <w:sz w:val="28"/>
          <w:szCs w:val="28"/>
        </w:rPr>
        <w:t>25.7</w:t>
      </w:r>
      <w:r>
        <w:rPr>
          <w:rFonts w:ascii="Times New Roman" w:eastAsia="宋体" w:hAnsi="Times New Roman" w:cs="Times New Roman"/>
        </w:rPr>
        <w:t xml:space="preserve"> </w:t>
      </w:r>
      <w:r>
        <w:rPr>
          <w:rFonts w:ascii="Times New Roman" w:eastAsia="宋体" w:hAnsi="Times New Roman" w:cs="Times New Roman"/>
          <w:color w:val="000000"/>
          <w:kern w:val="0"/>
          <w:sz w:val="28"/>
          <w:szCs w:val="28"/>
        </w:rPr>
        <w:t>kg/a</w:t>
      </w:r>
      <w:r>
        <w:rPr>
          <w:rFonts w:ascii="Times New Roman" w:eastAsia="宋体" w:hAnsi="Times New Roman" w:cs="Times New Roman"/>
          <w:color w:val="000000"/>
          <w:kern w:val="0"/>
          <w:sz w:val="28"/>
          <w:szCs w:val="28"/>
        </w:rPr>
        <w:t>，排放速率</w:t>
      </w:r>
      <w:r>
        <w:rPr>
          <w:rFonts w:ascii="Times New Roman" w:eastAsia="宋体" w:hAnsi="Times New Roman" w:cs="Times New Roman"/>
          <w:color w:val="000000"/>
          <w:kern w:val="0"/>
          <w:sz w:val="28"/>
          <w:szCs w:val="28"/>
        </w:rPr>
        <w:t>0.07</w:t>
      </w:r>
      <w:r>
        <w:rPr>
          <w:rFonts w:ascii="Times New Roman" w:eastAsia="宋体" w:hAnsi="Times New Roman" w:cs="Times New Roman"/>
        </w:rPr>
        <w:t xml:space="preserve"> </w:t>
      </w:r>
      <w:r>
        <w:rPr>
          <w:rFonts w:ascii="Times New Roman" w:eastAsia="宋体" w:hAnsi="Times New Roman" w:cs="Times New Roman"/>
          <w:color w:val="000000"/>
          <w:kern w:val="0"/>
          <w:sz w:val="28"/>
          <w:szCs w:val="28"/>
        </w:rPr>
        <w:t>kg/h</w:t>
      </w:r>
      <w:r>
        <w:rPr>
          <w:rFonts w:ascii="Times New Roman" w:eastAsia="宋体" w:hAnsi="Times New Roman" w:cs="Times New Roman"/>
          <w:color w:val="000000"/>
          <w:kern w:val="0"/>
          <w:sz w:val="28"/>
          <w:szCs w:val="28"/>
        </w:rPr>
        <w:t>，以无组织形式排放。</w:t>
      </w:r>
    </w:p>
    <w:p w14:paraId="78E85AA0" w14:textId="77777777" w:rsidR="002133E3" w:rsidRDefault="00C22CFA">
      <w:pPr>
        <w:pStyle w:val="affff3"/>
        <w:numPr>
          <w:ilvl w:val="2"/>
          <w:numId w:val="2"/>
        </w:numPr>
        <w:snapToGrid w:val="0"/>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废水</w:t>
      </w:r>
    </w:p>
    <w:p w14:paraId="04E9934E" w14:textId="77777777" w:rsidR="002133E3" w:rsidRDefault="00C22CFA">
      <w:pPr>
        <w:widowControl/>
        <w:snapToGrid w:val="0"/>
        <w:spacing w:line="50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color w:val="000000"/>
          <w:kern w:val="0"/>
          <w:sz w:val="28"/>
          <w:szCs w:val="28"/>
        </w:rPr>
        <w:lastRenderedPageBreak/>
        <w:t>项目排放的废水主要为工艺废水、设备及地面冲洗、初期雨水、废气吸收废水等。</w:t>
      </w:r>
      <w:r>
        <w:rPr>
          <w:rFonts w:ascii="Times New Roman" w:eastAsia="宋体" w:hAnsi="Times New Roman" w:cs="Times New Roman"/>
          <w:kern w:val="0"/>
          <w:sz w:val="28"/>
          <w:szCs w:val="28"/>
        </w:rPr>
        <w:t>类比《江苏金茂源生物化工有限责任公司年产</w:t>
      </w:r>
      <w:r>
        <w:rPr>
          <w:rFonts w:ascii="Times New Roman" w:eastAsia="宋体" w:hAnsi="Times New Roman" w:cs="Times New Roman"/>
          <w:kern w:val="0"/>
          <w:sz w:val="28"/>
          <w:szCs w:val="28"/>
        </w:rPr>
        <w:t>20</w:t>
      </w:r>
      <w:r>
        <w:rPr>
          <w:rFonts w:ascii="Times New Roman" w:eastAsia="宋体" w:hAnsi="Times New Roman" w:cs="Times New Roman"/>
          <w:kern w:val="0"/>
          <w:sz w:val="28"/>
          <w:szCs w:val="28"/>
        </w:rPr>
        <w:t>万吨醋酸乙</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丁</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酯等工程项目环境影响报告书》、《江苏金茂源生物化工有限责任公司年产</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万吨发酵法混合物技改项目环境影响报告书》、《发酵酒精和白酒工业污染物排放标准》编制说明中相应水质情况，并结合物料平衡法，确定本项目各类废水污染物源强。</w:t>
      </w:r>
    </w:p>
    <w:p w14:paraId="0FC4CF7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工艺废水</w:t>
      </w:r>
    </w:p>
    <w:p w14:paraId="0C579738"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color w:val="0D0D0D"/>
          <w:sz w:val="28"/>
          <w:szCs w:val="28"/>
        </w:rPr>
        <w:t>根据工程分析和水平衡，项目工艺废水主要包括</w:t>
      </w:r>
      <w:r>
        <w:rPr>
          <w:rFonts w:ascii="Times New Roman" w:eastAsia="宋体" w:hAnsi="Times New Roman" w:cs="Times New Roman"/>
          <w:kern w:val="0"/>
          <w:sz w:val="28"/>
          <w:szCs w:val="28"/>
        </w:rPr>
        <w:t>釜底残液和精馏底液，酒精两套生产线不同时运行，因此相应生产废水不同时产生，即釜底残液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1-1</w:t>
      </w:r>
      <w:r>
        <w:rPr>
          <w:rFonts w:ascii="Times New Roman" w:eastAsia="宋体" w:hAnsi="Times New Roman" w:cs="Times New Roman"/>
          <w:kern w:val="0"/>
          <w:sz w:val="28"/>
          <w:szCs w:val="28"/>
          <w:vertAlign w:val="subscript"/>
        </w:rPr>
        <w:t>、</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1-3</w:t>
      </w:r>
      <w:r>
        <w:rPr>
          <w:rFonts w:ascii="Times New Roman" w:eastAsia="宋体" w:hAnsi="Times New Roman" w:cs="Times New Roman"/>
          <w:kern w:val="0"/>
          <w:sz w:val="28"/>
          <w:szCs w:val="28"/>
        </w:rPr>
        <w:t>与釜底残液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1-5</w:t>
      </w:r>
      <w:r>
        <w:rPr>
          <w:rFonts w:ascii="Times New Roman" w:eastAsia="宋体" w:hAnsi="Times New Roman" w:cs="Times New Roman"/>
          <w:kern w:val="0"/>
          <w:sz w:val="28"/>
          <w:szCs w:val="28"/>
        </w:rPr>
        <w:t>不同时产生，精馏底液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1-2</w:t>
      </w:r>
      <w:r>
        <w:rPr>
          <w:rFonts w:ascii="Times New Roman" w:eastAsia="宋体" w:hAnsi="Times New Roman" w:cs="Times New Roman"/>
          <w:kern w:val="0"/>
          <w:sz w:val="28"/>
          <w:szCs w:val="28"/>
          <w:vertAlign w:val="subscript"/>
        </w:rPr>
        <w:t>、</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1-4</w:t>
      </w:r>
      <w:r>
        <w:rPr>
          <w:rFonts w:ascii="Times New Roman" w:eastAsia="宋体" w:hAnsi="Times New Roman" w:cs="Times New Roman"/>
          <w:kern w:val="0"/>
          <w:sz w:val="28"/>
          <w:szCs w:val="28"/>
          <w:vertAlign w:val="subscript"/>
        </w:rPr>
        <w:t>与</w:t>
      </w:r>
      <w:r>
        <w:rPr>
          <w:rFonts w:ascii="Times New Roman" w:eastAsia="宋体" w:hAnsi="Times New Roman" w:cs="Times New Roman"/>
          <w:kern w:val="0"/>
          <w:sz w:val="28"/>
          <w:szCs w:val="28"/>
        </w:rPr>
        <w:t>精馏底液</w:t>
      </w:r>
      <w:r>
        <w:rPr>
          <w:rFonts w:ascii="Times New Roman" w:eastAsia="宋体" w:hAnsi="Times New Roman" w:cs="Times New Roman"/>
          <w:kern w:val="0"/>
          <w:sz w:val="28"/>
          <w:szCs w:val="28"/>
        </w:rPr>
        <w:t>W</w:t>
      </w:r>
      <w:r>
        <w:rPr>
          <w:rFonts w:ascii="Times New Roman" w:eastAsia="宋体" w:hAnsi="Times New Roman" w:cs="Times New Roman"/>
          <w:kern w:val="0"/>
          <w:sz w:val="28"/>
          <w:szCs w:val="28"/>
          <w:vertAlign w:val="subscript"/>
        </w:rPr>
        <w:t>1-6</w:t>
      </w:r>
      <w:r>
        <w:rPr>
          <w:rFonts w:ascii="Times New Roman" w:eastAsia="宋体" w:hAnsi="Times New Roman" w:cs="Times New Roman"/>
          <w:kern w:val="0"/>
          <w:sz w:val="28"/>
          <w:szCs w:val="28"/>
        </w:rPr>
        <w:t>不同时产生</w:t>
      </w:r>
      <w:r>
        <w:rPr>
          <w:rFonts w:ascii="Times New Roman" w:eastAsia="宋体" w:hAnsi="Times New Roman" w:cs="Times New Roman"/>
          <w:kern w:val="0"/>
          <w:sz w:val="28"/>
          <w:szCs w:val="28"/>
          <w:vertAlign w:val="subscript"/>
        </w:rPr>
        <w:t>，</w:t>
      </w:r>
      <w:r>
        <w:rPr>
          <w:rFonts w:ascii="Times New Roman" w:eastAsia="宋体" w:hAnsi="Times New Roman" w:cs="Times New Roman"/>
          <w:kern w:val="0"/>
          <w:sz w:val="28"/>
          <w:szCs w:val="28"/>
        </w:rPr>
        <w:t>排放量及浓度选取二者较大值。</w:t>
      </w:r>
    </w:p>
    <w:p w14:paraId="1750FF69"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废气吸收废水</w:t>
      </w:r>
    </w:p>
    <w:p w14:paraId="19631E3D"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color w:val="0D0D0D"/>
          <w:sz w:val="28"/>
          <w:szCs w:val="28"/>
        </w:rPr>
        <w:t>酒精</w:t>
      </w:r>
      <w:r>
        <w:rPr>
          <w:rFonts w:ascii="Times New Roman" w:eastAsia="宋体" w:hAnsi="Times New Roman" w:cs="Times New Roman"/>
          <w:color w:val="0D0D0D"/>
          <w:sz w:val="28"/>
          <w:szCs w:val="28"/>
        </w:rPr>
        <w:t>(95%)</w:t>
      </w:r>
      <w:r>
        <w:rPr>
          <w:rFonts w:ascii="Times New Roman" w:eastAsia="宋体" w:hAnsi="Times New Roman" w:cs="Times New Roman"/>
          <w:color w:val="0D0D0D"/>
          <w:sz w:val="28"/>
          <w:szCs w:val="28"/>
        </w:rPr>
        <w:t>生产线发酵废气采用</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一级水吸收</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处理</w:t>
      </w:r>
      <w:r>
        <w:rPr>
          <w:rFonts w:ascii="Times New Roman" w:eastAsia="宋体" w:hAnsi="Times New Roman" w:cs="Times New Roman"/>
          <w:kern w:val="0"/>
          <w:sz w:val="28"/>
          <w:szCs w:val="28"/>
        </w:rPr>
        <w:t>经</w:t>
      </w:r>
      <w:r>
        <w:rPr>
          <w:rFonts w:ascii="Times New Roman" w:eastAsia="宋体" w:hAnsi="Times New Roman" w:cs="Times New Roman"/>
          <w:kern w:val="0"/>
          <w:sz w:val="28"/>
          <w:szCs w:val="28"/>
        </w:rPr>
        <w:t>20m</w:t>
      </w:r>
      <w:r>
        <w:rPr>
          <w:rFonts w:ascii="Times New Roman" w:eastAsia="宋体" w:hAnsi="Times New Roman" w:cs="Times New Roman"/>
          <w:kern w:val="0"/>
          <w:sz w:val="28"/>
          <w:szCs w:val="28"/>
        </w:rPr>
        <w:t>高的排气筒排放，废气吸收排水</w:t>
      </w:r>
      <w:r>
        <w:rPr>
          <w:rFonts w:ascii="Times New Roman" w:eastAsia="宋体" w:hAnsi="Times New Roman" w:cs="Times New Roman"/>
          <w:kern w:val="0"/>
          <w:sz w:val="28"/>
          <w:szCs w:val="28"/>
        </w:rPr>
        <w:t>L</w:t>
      </w:r>
      <w:r>
        <w:rPr>
          <w:rFonts w:ascii="Times New Roman" w:eastAsia="宋体" w:hAnsi="Times New Roman" w:cs="Times New Roman"/>
          <w:kern w:val="0"/>
          <w:sz w:val="28"/>
          <w:szCs w:val="28"/>
          <w:vertAlign w:val="subscript"/>
        </w:rPr>
        <w:t>G1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L</w:t>
      </w:r>
      <w:r>
        <w:rPr>
          <w:rFonts w:ascii="Times New Roman" w:eastAsia="宋体" w:hAnsi="Times New Roman" w:cs="Times New Roman"/>
          <w:kern w:val="0"/>
          <w:sz w:val="28"/>
          <w:szCs w:val="28"/>
          <w:vertAlign w:val="subscript"/>
        </w:rPr>
        <w:t>G2</w:t>
      </w:r>
      <w:r>
        <w:rPr>
          <w:rFonts w:ascii="Times New Roman" w:eastAsia="宋体" w:hAnsi="Times New Roman" w:cs="Times New Roman"/>
          <w:kern w:val="0"/>
          <w:sz w:val="28"/>
          <w:szCs w:val="28"/>
        </w:rPr>
        <w:t>送入污水站处理，二者不同时产生，取大值。</w:t>
      </w:r>
    </w:p>
    <w:p w14:paraId="0A8BBB64"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color w:val="0D0D0D"/>
          <w:sz w:val="28"/>
          <w:szCs w:val="28"/>
        </w:rPr>
        <w:t>酒精</w:t>
      </w:r>
      <w:r>
        <w:rPr>
          <w:rFonts w:ascii="Times New Roman" w:eastAsia="宋体" w:hAnsi="Times New Roman" w:cs="Times New Roman"/>
          <w:color w:val="0D0D0D"/>
          <w:sz w:val="28"/>
          <w:szCs w:val="28"/>
        </w:rPr>
        <w:t>(95%)</w:t>
      </w:r>
      <w:r>
        <w:rPr>
          <w:rFonts w:ascii="Times New Roman" w:eastAsia="宋体" w:hAnsi="Times New Roman" w:cs="Times New Roman"/>
          <w:color w:val="0D0D0D"/>
          <w:sz w:val="28"/>
          <w:szCs w:val="28"/>
        </w:rPr>
        <w:t>生产线蒸馏废气及无水乙醇</w:t>
      </w:r>
      <w:r>
        <w:rPr>
          <w:rFonts w:ascii="Times New Roman" w:eastAsia="宋体" w:hAnsi="Times New Roman" w:cs="Times New Roman"/>
          <w:color w:val="0D0D0D"/>
          <w:sz w:val="28"/>
          <w:szCs w:val="28"/>
        </w:rPr>
        <w:t>(99.99%)</w:t>
      </w:r>
      <w:r>
        <w:rPr>
          <w:rFonts w:ascii="Times New Roman" w:eastAsia="宋体" w:hAnsi="Times New Roman" w:cs="Times New Roman"/>
          <w:color w:val="0D0D0D"/>
          <w:sz w:val="28"/>
          <w:szCs w:val="28"/>
        </w:rPr>
        <w:t>生产线不凝气</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一级水吸收</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处理</w:t>
      </w:r>
      <w:r>
        <w:rPr>
          <w:rFonts w:ascii="Times New Roman" w:eastAsia="宋体" w:hAnsi="Times New Roman" w:cs="Times New Roman"/>
          <w:kern w:val="0"/>
          <w:sz w:val="28"/>
          <w:szCs w:val="28"/>
        </w:rPr>
        <w:t>经</w:t>
      </w:r>
      <w:r>
        <w:rPr>
          <w:rFonts w:ascii="Times New Roman" w:eastAsia="宋体" w:hAnsi="Times New Roman" w:cs="Times New Roman"/>
          <w:kern w:val="0"/>
          <w:sz w:val="28"/>
          <w:szCs w:val="28"/>
        </w:rPr>
        <w:t>20m</w:t>
      </w:r>
      <w:r>
        <w:rPr>
          <w:rFonts w:ascii="Times New Roman" w:eastAsia="宋体" w:hAnsi="Times New Roman" w:cs="Times New Roman"/>
          <w:kern w:val="0"/>
          <w:sz w:val="28"/>
          <w:szCs w:val="28"/>
        </w:rPr>
        <w:t>高的排气筒排放，废气吸收排水</w:t>
      </w:r>
      <w:r>
        <w:rPr>
          <w:rFonts w:ascii="Times New Roman" w:eastAsia="宋体" w:hAnsi="Times New Roman" w:cs="Times New Roman"/>
          <w:kern w:val="0"/>
          <w:sz w:val="28"/>
          <w:szCs w:val="28"/>
        </w:rPr>
        <w:t>L</w:t>
      </w:r>
      <w:r>
        <w:rPr>
          <w:rFonts w:ascii="Times New Roman" w:eastAsia="宋体" w:hAnsi="Times New Roman" w:cs="Times New Roman"/>
          <w:kern w:val="0"/>
          <w:sz w:val="28"/>
          <w:szCs w:val="28"/>
          <w:vertAlign w:val="subscript"/>
        </w:rPr>
        <w:t>G3</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L</w:t>
      </w:r>
      <w:r>
        <w:rPr>
          <w:rFonts w:ascii="Times New Roman" w:eastAsia="宋体" w:hAnsi="Times New Roman" w:cs="Times New Roman"/>
          <w:kern w:val="0"/>
          <w:sz w:val="28"/>
          <w:szCs w:val="28"/>
          <w:vertAlign w:val="subscript"/>
        </w:rPr>
        <w:t>G4</w:t>
      </w:r>
      <w:r>
        <w:rPr>
          <w:rFonts w:ascii="Times New Roman" w:eastAsia="宋体" w:hAnsi="Times New Roman" w:cs="Times New Roman"/>
          <w:kern w:val="0"/>
          <w:sz w:val="28"/>
          <w:szCs w:val="28"/>
        </w:rPr>
        <w:t>送入污水站处理，二者不同时产生，取大值。</w:t>
      </w:r>
    </w:p>
    <w:p w14:paraId="2DA0ABC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bookmarkStart w:id="35" w:name="_Hlk73089307"/>
      <w:r>
        <w:rPr>
          <w:rFonts w:ascii="Times New Roman" w:eastAsia="宋体" w:hAnsi="Times New Roman" w:cs="Times New Roman"/>
          <w:b/>
          <w:sz w:val="30"/>
          <w:szCs w:val="30"/>
        </w:rPr>
        <w:t>设备及</w:t>
      </w:r>
      <w:bookmarkEnd w:id="35"/>
      <w:r>
        <w:rPr>
          <w:rFonts w:ascii="Times New Roman" w:eastAsia="宋体" w:hAnsi="Times New Roman" w:cs="Times New Roman"/>
          <w:b/>
          <w:sz w:val="30"/>
          <w:szCs w:val="30"/>
        </w:rPr>
        <w:t>地面冲洗</w:t>
      </w:r>
    </w:p>
    <w:p w14:paraId="07EA6023"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根据企业提供资料，技改项目在生产中会产生设备及地面冲洗废水，产生量约为</w:t>
      </w:r>
      <w:r>
        <w:rPr>
          <w:rFonts w:ascii="Times New Roman" w:eastAsia="宋体" w:hAnsi="Times New Roman" w:cs="Times New Roman"/>
          <w:color w:val="0D0D0D"/>
          <w:sz w:val="28"/>
          <w:szCs w:val="28"/>
        </w:rPr>
        <w:t>6000m</w:t>
      </w:r>
      <w:r>
        <w:rPr>
          <w:rFonts w:ascii="Times New Roman" w:eastAsia="宋体" w:hAnsi="Times New Roman" w:cs="Times New Roman"/>
          <w:color w:val="0D0D0D"/>
          <w:sz w:val="28"/>
          <w:szCs w:val="28"/>
          <w:vertAlign w:val="superscript"/>
        </w:rPr>
        <w:t>3</w:t>
      </w:r>
      <w:r>
        <w:rPr>
          <w:rFonts w:ascii="Times New Roman" w:eastAsia="宋体" w:hAnsi="Times New Roman" w:cs="Times New Roman"/>
          <w:color w:val="0D0D0D"/>
          <w:sz w:val="28"/>
          <w:szCs w:val="28"/>
        </w:rPr>
        <w:t>/a</w:t>
      </w:r>
      <w:r>
        <w:rPr>
          <w:rFonts w:ascii="Times New Roman" w:eastAsia="宋体" w:hAnsi="Times New Roman" w:cs="Times New Roman"/>
          <w:color w:val="0D0D0D"/>
          <w:sz w:val="28"/>
          <w:szCs w:val="28"/>
        </w:rPr>
        <w:t>。</w:t>
      </w:r>
    </w:p>
    <w:p w14:paraId="4576E1B3" w14:textId="77777777" w:rsidR="002133E3" w:rsidRDefault="00C22CFA">
      <w:pPr>
        <w:spacing w:line="50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color w:val="0D0D0D"/>
          <w:sz w:val="28"/>
          <w:szCs w:val="28"/>
        </w:rPr>
        <w:t>根据《发酵酒精和白酒工业污染物排放标准》编制说明，发酵酒精生产冲洗水、洗涤水排水量</w:t>
      </w:r>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rPr>
        <w:t>浓度取</w:t>
      </w:r>
      <w:r>
        <w:rPr>
          <w:rFonts w:ascii="Times New Roman" w:eastAsia="宋体" w:hAnsi="Times New Roman" w:cs="Times New Roman"/>
          <w:color w:val="0D0D0D"/>
          <w:sz w:val="28"/>
          <w:szCs w:val="28"/>
        </w:rPr>
        <w:t>1500mg/L</w:t>
      </w:r>
      <w:r>
        <w:rPr>
          <w:rFonts w:ascii="Times New Roman" w:eastAsia="宋体" w:hAnsi="Times New Roman" w:cs="Times New Roman"/>
          <w:color w:val="0D0D0D"/>
          <w:sz w:val="28"/>
          <w:szCs w:val="28"/>
        </w:rPr>
        <w:t>。</w:t>
      </w:r>
    </w:p>
    <w:p w14:paraId="7CBD78B3"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初期雨水</w:t>
      </w:r>
    </w:p>
    <w:p w14:paraId="0BCC61B8"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技改项目装置区设有初期雨水收集沟，保证装车区内初期雨水不外流，初期雨水按收集范围内的面积计算。初期雨水收集按每年一遇暴雨，收集前</w:t>
      </w:r>
      <w:r>
        <w:rPr>
          <w:rFonts w:ascii="Times New Roman" w:eastAsia="宋体" w:hAnsi="Times New Roman" w:cs="Times New Roman"/>
          <w:sz w:val="28"/>
          <w:szCs w:val="28"/>
        </w:rPr>
        <w:t>15min</w:t>
      </w:r>
      <w:r>
        <w:rPr>
          <w:rFonts w:ascii="Times New Roman" w:eastAsia="宋体" w:hAnsi="Times New Roman" w:cs="Times New Roman"/>
          <w:sz w:val="28"/>
          <w:szCs w:val="28"/>
        </w:rPr>
        <w:t>水量进行估算，根据《给水排水设计手册》，初期雨水量按下式计算：</w:t>
      </w:r>
    </w:p>
    <w:p w14:paraId="3ACD7888" w14:textId="77777777" w:rsidR="002133E3" w:rsidRDefault="00C22CFA">
      <w:pPr>
        <w:tabs>
          <w:tab w:val="left" w:pos="3600"/>
        </w:tabs>
        <w:jc w:val="center"/>
        <w:rPr>
          <w:rFonts w:ascii="Times New Roman" w:eastAsia="宋体" w:hAnsi="Times New Roman" w:cs="Times New Roman"/>
          <w:sz w:val="28"/>
          <w:szCs w:val="28"/>
        </w:rPr>
      </w:pPr>
      <w:r>
        <w:rPr>
          <w:rFonts w:ascii="Times New Roman" w:eastAsia="等线" w:hAnsi="Times New Roman" w:cs="Times New Roman"/>
          <w:noProof/>
        </w:rPr>
        <w:drawing>
          <wp:inline distT="0" distB="0" distL="0" distR="0" wp14:anchorId="4C5C2D42" wp14:editId="07410A3B">
            <wp:extent cx="867410" cy="255905"/>
            <wp:effectExtent l="0" t="0" r="8890" b="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69"/>
                    <a:srcRect/>
                    <a:stretch>
                      <a:fillRect/>
                    </a:stretch>
                  </pic:blipFill>
                  <pic:spPr>
                    <a:xfrm>
                      <a:off x="0" y="0"/>
                      <a:ext cx="907532" cy="267777"/>
                    </a:xfrm>
                    <a:prstGeom prst="rect">
                      <a:avLst/>
                    </a:prstGeom>
                    <a:noFill/>
                    <a:ln w="9525">
                      <a:noFill/>
                      <a:miter lim="800000"/>
                      <a:headEnd/>
                      <a:tailEnd/>
                    </a:ln>
                  </pic:spPr>
                </pic:pic>
              </a:graphicData>
            </a:graphic>
          </wp:inline>
        </w:drawing>
      </w:r>
    </w:p>
    <w:p w14:paraId="7795C515"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式中：</w:t>
      </w:r>
      <w:r>
        <w:rPr>
          <w:rFonts w:ascii="Times New Roman" w:eastAsia="宋体" w:hAnsi="Times New Roman" w:cs="Times New Roman"/>
          <w:sz w:val="28"/>
          <w:szCs w:val="28"/>
        </w:rPr>
        <w:t>Q</w:t>
      </w:r>
      <w:r>
        <w:rPr>
          <w:rFonts w:ascii="Times New Roman" w:eastAsia="宋体" w:hAnsi="Times New Roman" w:cs="Times New Roman"/>
          <w:sz w:val="28"/>
          <w:szCs w:val="28"/>
        </w:rPr>
        <w:t>为雨水设计流量，</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/min</w:t>
      </w:r>
      <w:r>
        <w:rPr>
          <w:rFonts w:ascii="Times New Roman" w:eastAsia="宋体" w:hAnsi="Times New Roman" w:cs="Times New Roman"/>
          <w:sz w:val="28"/>
          <w:szCs w:val="28"/>
        </w:rPr>
        <w:t>；</w:t>
      </w:r>
    </w:p>
    <w:p w14:paraId="47B6A200" w14:textId="77777777" w:rsidR="002133E3" w:rsidRDefault="00C22CFA">
      <w:pPr>
        <w:tabs>
          <w:tab w:val="left" w:pos="3600"/>
        </w:tabs>
        <w:spacing w:line="500" w:lineRule="exact"/>
        <w:ind w:firstLineChars="500" w:firstLine="1400"/>
        <w:rPr>
          <w:rFonts w:ascii="Times New Roman" w:eastAsia="宋体" w:hAnsi="Times New Roman" w:cs="Times New Roman"/>
          <w:sz w:val="28"/>
          <w:szCs w:val="28"/>
        </w:rPr>
      </w:pPr>
      <w:r>
        <w:rPr>
          <w:rFonts w:ascii="Times New Roman" w:eastAsia="宋体" w:hAnsi="Times New Roman" w:cs="Times New Roman"/>
          <w:sz w:val="28"/>
          <w:szCs w:val="28"/>
        </w:rPr>
        <w:lastRenderedPageBreak/>
        <w:t>Ψ</w:t>
      </w:r>
      <w:r>
        <w:rPr>
          <w:rFonts w:ascii="Times New Roman" w:eastAsia="宋体" w:hAnsi="Times New Roman" w:cs="Times New Roman"/>
          <w:sz w:val="28"/>
          <w:szCs w:val="28"/>
        </w:rPr>
        <w:t>为径流系数，取</w:t>
      </w:r>
      <w:r>
        <w:rPr>
          <w:rFonts w:ascii="Times New Roman" w:eastAsia="宋体" w:hAnsi="Times New Roman" w:cs="Times New Roman"/>
          <w:sz w:val="28"/>
          <w:szCs w:val="28"/>
        </w:rPr>
        <w:t>0.7</w:t>
      </w:r>
      <w:r>
        <w:rPr>
          <w:rFonts w:ascii="Times New Roman" w:eastAsia="宋体" w:hAnsi="Times New Roman" w:cs="Times New Roman"/>
          <w:sz w:val="28"/>
          <w:szCs w:val="28"/>
        </w:rPr>
        <w:t>；</w:t>
      </w:r>
    </w:p>
    <w:p w14:paraId="4471BF14" w14:textId="77777777" w:rsidR="002133E3" w:rsidRDefault="00C22CFA">
      <w:pPr>
        <w:tabs>
          <w:tab w:val="left" w:pos="3600"/>
        </w:tabs>
        <w:spacing w:line="500" w:lineRule="exact"/>
        <w:ind w:firstLineChars="500" w:firstLine="1400"/>
        <w:rPr>
          <w:rFonts w:ascii="Times New Roman" w:eastAsia="宋体" w:hAnsi="Times New Roman" w:cs="Times New Roman"/>
          <w:sz w:val="28"/>
          <w:szCs w:val="28"/>
        </w:rPr>
      </w:pPr>
      <w:r>
        <w:rPr>
          <w:rFonts w:ascii="Times New Roman" w:eastAsia="宋体" w:hAnsi="Times New Roman" w:cs="Times New Roman"/>
          <w:sz w:val="28"/>
          <w:szCs w:val="28"/>
        </w:rPr>
        <w:t>F</w:t>
      </w:r>
      <w:r>
        <w:rPr>
          <w:rFonts w:ascii="Times New Roman" w:eastAsia="宋体" w:hAnsi="Times New Roman" w:cs="Times New Roman"/>
          <w:sz w:val="28"/>
          <w:szCs w:val="28"/>
        </w:rPr>
        <w:t>为汇流面积，为装车区面积；</w:t>
      </w:r>
    </w:p>
    <w:p w14:paraId="5ABC3D61" w14:textId="77777777" w:rsidR="002133E3" w:rsidRDefault="00C22CFA">
      <w:pPr>
        <w:tabs>
          <w:tab w:val="left" w:pos="3600"/>
        </w:tabs>
        <w:spacing w:line="500" w:lineRule="exact"/>
        <w:ind w:firstLineChars="500" w:firstLine="1400"/>
        <w:rPr>
          <w:rFonts w:ascii="Times New Roman" w:eastAsia="宋体" w:hAnsi="Times New Roman" w:cs="Times New Roman"/>
          <w:sz w:val="28"/>
          <w:szCs w:val="28"/>
        </w:rPr>
      </w:pPr>
      <w:r>
        <w:rPr>
          <w:rFonts w:ascii="Times New Roman" w:eastAsia="宋体" w:hAnsi="Times New Roman" w:cs="Times New Roman"/>
          <w:sz w:val="28"/>
          <w:szCs w:val="28"/>
        </w:rPr>
        <w:t>q</w:t>
      </w:r>
      <w:r>
        <w:rPr>
          <w:rFonts w:ascii="Times New Roman" w:eastAsia="宋体" w:hAnsi="Times New Roman" w:cs="Times New Roman"/>
          <w:sz w:val="28"/>
          <w:szCs w:val="28"/>
        </w:rPr>
        <w:t>为降雨强度</w:t>
      </w:r>
      <w:r>
        <w:rPr>
          <w:rFonts w:ascii="Times New Roman" w:eastAsia="宋体" w:hAnsi="Times New Roman" w:cs="Times New Roman"/>
          <w:sz w:val="28"/>
          <w:szCs w:val="28"/>
        </w:rPr>
        <w:t>(mm/min)</w:t>
      </w:r>
      <w:r>
        <w:rPr>
          <w:rFonts w:ascii="Times New Roman" w:eastAsia="宋体" w:hAnsi="Times New Roman" w:cs="Times New Roman"/>
          <w:sz w:val="28"/>
          <w:szCs w:val="28"/>
        </w:rPr>
        <w:t>，按连云港市暴雨强度公式即：</w:t>
      </w:r>
    </w:p>
    <w:p w14:paraId="028B8749" w14:textId="77777777" w:rsidR="002133E3" w:rsidRDefault="00C22CFA">
      <w:pPr>
        <w:tabs>
          <w:tab w:val="left" w:pos="3600"/>
        </w:tabs>
        <w:jc w:val="center"/>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65323753" wp14:editId="52814657">
            <wp:extent cx="2662555" cy="316865"/>
            <wp:effectExtent l="0" t="0" r="4445" b="698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2923347" cy="348485"/>
                    </a:xfrm>
                    <a:prstGeom prst="rect">
                      <a:avLst/>
                    </a:prstGeom>
                    <a:noFill/>
                  </pic:spPr>
                </pic:pic>
              </a:graphicData>
            </a:graphic>
          </wp:inline>
        </w:drawing>
      </w:r>
    </w:p>
    <w:p w14:paraId="3DD1B537"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其中：重现期</w:t>
      </w:r>
      <w:r>
        <w:rPr>
          <w:rFonts w:ascii="Times New Roman" w:eastAsia="宋体" w:hAnsi="Times New Roman" w:cs="Times New Roman"/>
          <w:sz w:val="28"/>
          <w:szCs w:val="28"/>
        </w:rPr>
        <w:t>P=1</w:t>
      </w:r>
      <w:r>
        <w:rPr>
          <w:rFonts w:ascii="Times New Roman" w:eastAsia="宋体" w:hAnsi="Times New Roman" w:cs="Times New Roman"/>
          <w:sz w:val="28"/>
          <w:szCs w:val="28"/>
        </w:rPr>
        <w:t>；设计降雨历时</w:t>
      </w:r>
      <w:r>
        <w:rPr>
          <w:rFonts w:ascii="Times New Roman" w:eastAsia="宋体" w:hAnsi="Times New Roman" w:cs="Times New Roman"/>
          <w:sz w:val="28"/>
          <w:szCs w:val="28"/>
        </w:rPr>
        <w:t>t</w:t>
      </w:r>
      <w:r>
        <w:rPr>
          <w:rFonts w:ascii="Times New Roman" w:eastAsia="宋体" w:hAnsi="Times New Roman" w:cs="Times New Roman"/>
          <w:sz w:val="28"/>
          <w:szCs w:val="28"/>
        </w:rPr>
        <w:t>，取</w:t>
      </w:r>
      <w:r>
        <w:rPr>
          <w:rFonts w:ascii="Times New Roman" w:eastAsia="宋体" w:hAnsi="Times New Roman" w:cs="Times New Roman"/>
          <w:sz w:val="28"/>
          <w:szCs w:val="28"/>
        </w:rPr>
        <w:t>15min</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 </w:t>
      </w:r>
    </w:p>
    <w:p w14:paraId="3121D394"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年平均暴雨次数约</w:t>
      </w:r>
      <w:r>
        <w:rPr>
          <w:rFonts w:ascii="Times New Roman" w:eastAsia="宋体" w:hAnsi="Times New Roman" w:cs="Times New Roman"/>
          <w:sz w:val="28"/>
          <w:szCs w:val="28"/>
        </w:rPr>
        <w:t>28</w:t>
      </w:r>
      <w:r>
        <w:rPr>
          <w:rFonts w:ascii="Times New Roman" w:eastAsia="宋体" w:hAnsi="Times New Roman" w:cs="Times New Roman"/>
          <w:sz w:val="28"/>
          <w:szCs w:val="28"/>
        </w:rPr>
        <w:t>次，本项目初期雨水产生及收集情况见表</w:t>
      </w:r>
      <w:r>
        <w:rPr>
          <w:rFonts w:ascii="Times New Roman" w:eastAsia="宋体" w:hAnsi="Times New Roman" w:cs="Times New Roman"/>
          <w:sz w:val="28"/>
          <w:szCs w:val="28"/>
        </w:rPr>
        <w:t>4.5-4</w:t>
      </w:r>
      <w:r>
        <w:rPr>
          <w:rFonts w:ascii="Times New Roman" w:eastAsia="宋体" w:hAnsi="Times New Roman" w:cs="Times New Roman"/>
          <w:sz w:val="28"/>
          <w:szCs w:val="28"/>
        </w:rPr>
        <w:t>。</w:t>
      </w:r>
    </w:p>
    <w:p w14:paraId="79BEA203" w14:textId="77777777" w:rsidR="002133E3" w:rsidRDefault="00C22CFA">
      <w:pPr>
        <w:tabs>
          <w:tab w:val="left" w:pos="3600"/>
        </w:tabs>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4.5-4  </w:t>
      </w:r>
      <w:r>
        <w:rPr>
          <w:rFonts w:ascii="Times New Roman" w:eastAsia="宋体" w:hAnsi="Times New Roman" w:cs="Times New Roman"/>
          <w:b/>
          <w:sz w:val="24"/>
          <w:szCs w:val="24"/>
        </w:rPr>
        <w:t>初期雨水量产生及收集情况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938"/>
        <w:gridCol w:w="1137"/>
        <w:gridCol w:w="1289"/>
        <w:gridCol w:w="1293"/>
        <w:gridCol w:w="1080"/>
        <w:gridCol w:w="1553"/>
        <w:gridCol w:w="1384"/>
      </w:tblGrid>
      <w:tr w:rsidR="002133E3" w14:paraId="1D795FDB" w14:textId="77777777">
        <w:trPr>
          <w:trHeight w:val="315"/>
          <w:jc w:val="center"/>
        </w:trPr>
        <w:tc>
          <w:tcPr>
            <w:tcW w:w="599" w:type="pct"/>
            <w:shd w:val="clear" w:color="auto" w:fill="auto"/>
            <w:noWrap/>
            <w:vAlign w:val="center"/>
          </w:tcPr>
          <w:p w14:paraId="215A57B6"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q</w:t>
            </w:r>
          </w:p>
        </w:tc>
        <w:tc>
          <w:tcPr>
            <w:tcW w:w="476" w:type="pct"/>
            <w:shd w:val="clear" w:color="auto" w:fill="auto"/>
            <w:noWrap/>
            <w:vAlign w:val="center"/>
          </w:tcPr>
          <w:p w14:paraId="21E3961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F</w:t>
            </w:r>
          </w:p>
        </w:tc>
        <w:tc>
          <w:tcPr>
            <w:tcW w:w="577" w:type="pct"/>
            <w:shd w:val="clear" w:color="auto" w:fill="auto"/>
            <w:noWrap/>
            <w:vAlign w:val="center"/>
          </w:tcPr>
          <w:p w14:paraId="3301DA4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Q</w:t>
            </w:r>
          </w:p>
        </w:tc>
        <w:tc>
          <w:tcPr>
            <w:tcW w:w="1310" w:type="pct"/>
            <w:gridSpan w:val="2"/>
            <w:shd w:val="clear" w:color="auto" w:fill="auto"/>
            <w:noWrap/>
            <w:vAlign w:val="center"/>
          </w:tcPr>
          <w:p w14:paraId="6920B607"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初期雨水</w:t>
            </w:r>
          </w:p>
        </w:tc>
        <w:tc>
          <w:tcPr>
            <w:tcW w:w="548" w:type="pct"/>
            <w:vMerge w:val="restart"/>
            <w:shd w:val="clear" w:color="auto" w:fill="auto"/>
            <w:vAlign w:val="center"/>
          </w:tcPr>
          <w:p w14:paraId="26F426A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污染物名称</w:t>
            </w:r>
          </w:p>
        </w:tc>
        <w:tc>
          <w:tcPr>
            <w:tcW w:w="1490" w:type="pct"/>
            <w:gridSpan w:val="2"/>
            <w:shd w:val="clear" w:color="auto" w:fill="auto"/>
            <w:vAlign w:val="center"/>
          </w:tcPr>
          <w:p w14:paraId="7F7A9A2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污染物产生量</w:t>
            </w:r>
          </w:p>
        </w:tc>
      </w:tr>
      <w:tr w:rsidR="002133E3" w14:paraId="0D32D11B" w14:textId="77777777">
        <w:trPr>
          <w:trHeight w:val="330"/>
          <w:jc w:val="center"/>
        </w:trPr>
        <w:tc>
          <w:tcPr>
            <w:tcW w:w="599" w:type="pct"/>
            <w:shd w:val="clear" w:color="auto" w:fill="auto"/>
            <w:noWrap/>
            <w:vAlign w:val="center"/>
          </w:tcPr>
          <w:p w14:paraId="545F0E5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 xml:space="preserve"> L/</w:t>
            </w:r>
            <w:proofErr w:type="spellStart"/>
            <w:r>
              <w:rPr>
                <w:rFonts w:ascii="Times New Roman" w:eastAsia="宋体" w:hAnsi="Times New Roman" w:cs="Times New Roman"/>
                <w:b/>
                <w:bCs/>
                <w:kern w:val="0"/>
                <w:szCs w:val="21"/>
              </w:rPr>
              <w:t>s•ha</w:t>
            </w:r>
            <w:proofErr w:type="spellEnd"/>
          </w:p>
        </w:tc>
        <w:tc>
          <w:tcPr>
            <w:tcW w:w="476" w:type="pct"/>
            <w:shd w:val="clear" w:color="auto" w:fill="auto"/>
            <w:noWrap/>
            <w:vAlign w:val="center"/>
          </w:tcPr>
          <w:p w14:paraId="5DB5881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 xml:space="preserve"> m</w:t>
            </w:r>
            <w:r>
              <w:rPr>
                <w:rFonts w:ascii="Times New Roman" w:eastAsia="宋体" w:hAnsi="Times New Roman" w:cs="Times New Roman"/>
                <w:b/>
                <w:bCs/>
                <w:kern w:val="0"/>
                <w:szCs w:val="21"/>
                <w:vertAlign w:val="superscript"/>
              </w:rPr>
              <w:t>2</w:t>
            </w:r>
          </w:p>
        </w:tc>
        <w:tc>
          <w:tcPr>
            <w:tcW w:w="577" w:type="pct"/>
            <w:shd w:val="clear" w:color="auto" w:fill="auto"/>
            <w:noWrap/>
            <w:vAlign w:val="center"/>
          </w:tcPr>
          <w:p w14:paraId="18323FC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 xml:space="preserve"> L/s</w:t>
            </w:r>
          </w:p>
        </w:tc>
        <w:tc>
          <w:tcPr>
            <w:tcW w:w="654" w:type="pct"/>
            <w:shd w:val="clear" w:color="auto" w:fill="auto"/>
            <w:noWrap/>
            <w:vAlign w:val="center"/>
          </w:tcPr>
          <w:p w14:paraId="5AC4BCCF"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次</w:t>
            </w:r>
          </w:p>
        </w:tc>
        <w:tc>
          <w:tcPr>
            <w:tcW w:w="656" w:type="pct"/>
            <w:shd w:val="clear" w:color="auto" w:fill="auto"/>
            <w:noWrap/>
            <w:vAlign w:val="center"/>
          </w:tcPr>
          <w:p w14:paraId="488C280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/a</w:t>
            </w:r>
          </w:p>
        </w:tc>
        <w:tc>
          <w:tcPr>
            <w:tcW w:w="548" w:type="pct"/>
            <w:vMerge/>
            <w:vAlign w:val="center"/>
          </w:tcPr>
          <w:p w14:paraId="43E8F57A" w14:textId="77777777" w:rsidR="002133E3" w:rsidRDefault="002133E3">
            <w:pPr>
              <w:widowControl/>
              <w:jc w:val="center"/>
              <w:rPr>
                <w:rFonts w:ascii="Times New Roman" w:eastAsia="宋体" w:hAnsi="Times New Roman" w:cs="Times New Roman"/>
                <w:b/>
                <w:bCs/>
                <w:kern w:val="0"/>
                <w:szCs w:val="21"/>
              </w:rPr>
            </w:pPr>
          </w:p>
        </w:tc>
        <w:tc>
          <w:tcPr>
            <w:tcW w:w="788" w:type="pct"/>
            <w:shd w:val="clear" w:color="auto" w:fill="auto"/>
            <w:vAlign w:val="center"/>
          </w:tcPr>
          <w:p w14:paraId="5B1E2E1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浓度</w:t>
            </w:r>
            <w:r>
              <w:rPr>
                <w:rFonts w:ascii="Times New Roman" w:eastAsia="宋体" w:hAnsi="Times New Roman" w:cs="Times New Roman"/>
                <w:b/>
                <w:bCs/>
                <w:kern w:val="0"/>
                <w:szCs w:val="21"/>
              </w:rPr>
              <w:t>mg/L</w:t>
            </w:r>
          </w:p>
        </w:tc>
        <w:tc>
          <w:tcPr>
            <w:tcW w:w="702" w:type="pct"/>
            <w:shd w:val="clear" w:color="auto" w:fill="auto"/>
            <w:vAlign w:val="center"/>
          </w:tcPr>
          <w:p w14:paraId="2FDB5AB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产生量</w:t>
            </w:r>
            <w:r>
              <w:rPr>
                <w:rFonts w:ascii="Times New Roman" w:eastAsia="宋体" w:hAnsi="Times New Roman" w:cs="Times New Roman"/>
                <w:b/>
                <w:bCs/>
                <w:kern w:val="0"/>
                <w:szCs w:val="21"/>
              </w:rPr>
              <w:t>t/a</w:t>
            </w:r>
          </w:p>
        </w:tc>
      </w:tr>
      <w:tr w:rsidR="002133E3" w14:paraId="42A57C0D" w14:textId="77777777">
        <w:trPr>
          <w:trHeight w:val="315"/>
          <w:jc w:val="center"/>
        </w:trPr>
        <w:tc>
          <w:tcPr>
            <w:tcW w:w="599" w:type="pct"/>
            <w:vMerge w:val="restart"/>
            <w:shd w:val="clear" w:color="auto" w:fill="auto"/>
            <w:noWrap/>
            <w:vAlign w:val="center"/>
          </w:tcPr>
          <w:p w14:paraId="718CB10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183.92</w:t>
            </w:r>
          </w:p>
        </w:tc>
        <w:tc>
          <w:tcPr>
            <w:tcW w:w="476" w:type="pct"/>
            <w:vMerge w:val="restart"/>
            <w:shd w:val="clear" w:color="auto" w:fill="auto"/>
            <w:noWrap/>
            <w:vAlign w:val="center"/>
          </w:tcPr>
          <w:p w14:paraId="3D6F560B"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1222.53</w:t>
            </w:r>
          </w:p>
        </w:tc>
        <w:tc>
          <w:tcPr>
            <w:tcW w:w="577" w:type="pct"/>
            <w:vMerge w:val="restart"/>
            <w:shd w:val="clear" w:color="auto" w:fill="auto"/>
            <w:noWrap/>
            <w:vAlign w:val="center"/>
          </w:tcPr>
          <w:p w14:paraId="7344C66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15.74</w:t>
            </w:r>
          </w:p>
        </w:tc>
        <w:tc>
          <w:tcPr>
            <w:tcW w:w="654" w:type="pct"/>
            <w:vMerge w:val="restart"/>
            <w:shd w:val="clear" w:color="auto" w:fill="auto"/>
            <w:noWrap/>
            <w:vAlign w:val="center"/>
          </w:tcPr>
          <w:p w14:paraId="307B3DA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14.17</w:t>
            </w:r>
          </w:p>
        </w:tc>
        <w:tc>
          <w:tcPr>
            <w:tcW w:w="656" w:type="pct"/>
            <w:vMerge w:val="restart"/>
            <w:shd w:val="clear" w:color="auto" w:fill="auto"/>
            <w:noWrap/>
            <w:vAlign w:val="center"/>
          </w:tcPr>
          <w:p w14:paraId="02F9BF7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396.64</w:t>
            </w:r>
          </w:p>
        </w:tc>
        <w:tc>
          <w:tcPr>
            <w:tcW w:w="548" w:type="pct"/>
            <w:shd w:val="clear" w:color="auto" w:fill="auto"/>
            <w:vAlign w:val="center"/>
          </w:tcPr>
          <w:p w14:paraId="4231D7E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 w:val="22"/>
              </w:rPr>
              <w:t>COD</w:t>
            </w:r>
          </w:p>
        </w:tc>
        <w:tc>
          <w:tcPr>
            <w:tcW w:w="788" w:type="pct"/>
            <w:shd w:val="clear" w:color="auto" w:fill="auto"/>
            <w:noWrap/>
            <w:vAlign w:val="center"/>
          </w:tcPr>
          <w:p w14:paraId="0D344C7B"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 w:val="20"/>
                <w:szCs w:val="20"/>
              </w:rPr>
              <w:t xml:space="preserve">300 </w:t>
            </w:r>
          </w:p>
        </w:tc>
        <w:tc>
          <w:tcPr>
            <w:tcW w:w="702" w:type="pct"/>
            <w:shd w:val="clear" w:color="auto" w:fill="auto"/>
            <w:vAlign w:val="center"/>
          </w:tcPr>
          <w:p w14:paraId="2A66BE7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 w:val="22"/>
              </w:rPr>
              <w:t xml:space="preserve">0.12 </w:t>
            </w:r>
          </w:p>
        </w:tc>
      </w:tr>
      <w:tr w:rsidR="002133E3" w14:paraId="1B6D98AE" w14:textId="77777777">
        <w:trPr>
          <w:trHeight w:val="315"/>
          <w:jc w:val="center"/>
        </w:trPr>
        <w:tc>
          <w:tcPr>
            <w:tcW w:w="599" w:type="pct"/>
            <w:vMerge/>
            <w:vAlign w:val="center"/>
          </w:tcPr>
          <w:p w14:paraId="6194C7A0" w14:textId="77777777" w:rsidR="002133E3" w:rsidRDefault="002133E3">
            <w:pPr>
              <w:widowControl/>
              <w:jc w:val="center"/>
              <w:rPr>
                <w:rFonts w:ascii="Times New Roman" w:eastAsia="宋体" w:hAnsi="Times New Roman" w:cs="Times New Roman"/>
                <w:kern w:val="0"/>
                <w:szCs w:val="21"/>
              </w:rPr>
            </w:pPr>
          </w:p>
        </w:tc>
        <w:tc>
          <w:tcPr>
            <w:tcW w:w="476" w:type="pct"/>
            <w:vMerge/>
            <w:vAlign w:val="center"/>
          </w:tcPr>
          <w:p w14:paraId="23BB3B37" w14:textId="77777777" w:rsidR="002133E3" w:rsidRDefault="002133E3">
            <w:pPr>
              <w:widowControl/>
              <w:jc w:val="center"/>
              <w:rPr>
                <w:rFonts w:ascii="Times New Roman" w:eastAsia="宋体" w:hAnsi="Times New Roman" w:cs="Times New Roman"/>
                <w:kern w:val="0"/>
                <w:szCs w:val="21"/>
              </w:rPr>
            </w:pPr>
          </w:p>
        </w:tc>
        <w:tc>
          <w:tcPr>
            <w:tcW w:w="577" w:type="pct"/>
            <w:vMerge/>
            <w:vAlign w:val="center"/>
          </w:tcPr>
          <w:p w14:paraId="60DB6AA5" w14:textId="77777777" w:rsidR="002133E3" w:rsidRDefault="002133E3">
            <w:pPr>
              <w:widowControl/>
              <w:jc w:val="center"/>
              <w:rPr>
                <w:rFonts w:ascii="Times New Roman" w:eastAsia="宋体" w:hAnsi="Times New Roman" w:cs="Times New Roman"/>
                <w:kern w:val="0"/>
                <w:szCs w:val="21"/>
              </w:rPr>
            </w:pPr>
          </w:p>
        </w:tc>
        <w:tc>
          <w:tcPr>
            <w:tcW w:w="654" w:type="pct"/>
            <w:vMerge/>
            <w:vAlign w:val="center"/>
          </w:tcPr>
          <w:p w14:paraId="5C972896" w14:textId="77777777" w:rsidR="002133E3" w:rsidRDefault="002133E3">
            <w:pPr>
              <w:widowControl/>
              <w:jc w:val="center"/>
              <w:rPr>
                <w:rFonts w:ascii="Times New Roman" w:eastAsia="宋体" w:hAnsi="Times New Roman" w:cs="Times New Roman"/>
                <w:kern w:val="0"/>
                <w:szCs w:val="21"/>
              </w:rPr>
            </w:pPr>
          </w:p>
        </w:tc>
        <w:tc>
          <w:tcPr>
            <w:tcW w:w="656" w:type="pct"/>
            <w:vMerge/>
            <w:vAlign w:val="center"/>
          </w:tcPr>
          <w:p w14:paraId="2DFCEADE" w14:textId="77777777" w:rsidR="002133E3" w:rsidRDefault="002133E3">
            <w:pPr>
              <w:widowControl/>
              <w:jc w:val="center"/>
              <w:rPr>
                <w:rFonts w:ascii="Times New Roman" w:eastAsia="宋体" w:hAnsi="Times New Roman" w:cs="Times New Roman"/>
                <w:kern w:val="0"/>
                <w:szCs w:val="21"/>
              </w:rPr>
            </w:pPr>
          </w:p>
        </w:tc>
        <w:tc>
          <w:tcPr>
            <w:tcW w:w="548" w:type="pct"/>
            <w:shd w:val="clear" w:color="auto" w:fill="auto"/>
            <w:vAlign w:val="center"/>
          </w:tcPr>
          <w:p w14:paraId="5ACB2176"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 w:val="22"/>
              </w:rPr>
              <w:t>SS</w:t>
            </w:r>
          </w:p>
        </w:tc>
        <w:tc>
          <w:tcPr>
            <w:tcW w:w="788" w:type="pct"/>
            <w:shd w:val="clear" w:color="auto" w:fill="auto"/>
            <w:vAlign w:val="center"/>
          </w:tcPr>
          <w:p w14:paraId="3DCF8B6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 w:val="20"/>
                <w:szCs w:val="20"/>
              </w:rPr>
              <w:t xml:space="preserve">300 </w:t>
            </w:r>
          </w:p>
        </w:tc>
        <w:tc>
          <w:tcPr>
            <w:tcW w:w="702" w:type="pct"/>
            <w:shd w:val="clear" w:color="auto" w:fill="auto"/>
            <w:vAlign w:val="center"/>
          </w:tcPr>
          <w:p w14:paraId="5E23B89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 w:val="22"/>
              </w:rPr>
              <w:t xml:space="preserve">0.12 </w:t>
            </w:r>
          </w:p>
        </w:tc>
      </w:tr>
    </w:tbl>
    <w:p w14:paraId="56870F8B" w14:textId="77777777" w:rsidR="002133E3" w:rsidRDefault="00C22CFA">
      <w:pPr>
        <w:widowControl/>
        <w:snapToGrid w:val="0"/>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color w:val="000000"/>
          <w:kern w:val="0"/>
          <w:sz w:val="28"/>
          <w:szCs w:val="28"/>
        </w:rPr>
        <w:t>上述废水收集后进入厂区污水处理厂预处理，达到海州湾产业区通海污水处理厂接管要求后再排入污水处理厂集中处理。</w:t>
      </w:r>
      <w:r>
        <w:rPr>
          <w:rFonts w:ascii="Times New Roman" w:eastAsia="宋体" w:hAnsi="Times New Roman" w:cs="Times New Roman"/>
          <w:kern w:val="0"/>
          <w:sz w:val="28"/>
          <w:szCs w:val="28"/>
        </w:rPr>
        <w:t>技改各类废水污染物源强核算情况见表</w:t>
      </w:r>
      <w:r>
        <w:rPr>
          <w:rFonts w:ascii="Times New Roman" w:eastAsia="宋体" w:hAnsi="Times New Roman" w:cs="Times New Roman"/>
          <w:kern w:val="0"/>
          <w:sz w:val="28"/>
          <w:szCs w:val="28"/>
        </w:rPr>
        <w:t>4.5-5</w:t>
      </w:r>
      <w:r>
        <w:rPr>
          <w:rFonts w:ascii="Times New Roman" w:eastAsia="宋体" w:hAnsi="Times New Roman" w:cs="Times New Roman"/>
          <w:kern w:val="0"/>
          <w:sz w:val="28"/>
          <w:szCs w:val="28"/>
        </w:rPr>
        <w:t>。项目废水污染源源强核算结果及相关参数见表</w:t>
      </w:r>
      <w:r>
        <w:rPr>
          <w:rFonts w:ascii="Times New Roman" w:eastAsia="宋体" w:hAnsi="Times New Roman" w:cs="Times New Roman"/>
          <w:kern w:val="0"/>
          <w:sz w:val="28"/>
          <w:szCs w:val="28"/>
        </w:rPr>
        <w:t>4.5-6</w:t>
      </w:r>
      <w:r>
        <w:rPr>
          <w:rFonts w:ascii="Times New Roman" w:eastAsia="宋体" w:hAnsi="Times New Roman" w:cs="Times New Roman"/>
          <w:kern w:val="0"/>
          <w:sz w:val="28"/>
          <w:szCs w:val="28"/>
        </w:rPr>
        <w:t>。厂区污水站综合废水产生及排放情况见表</w:t>
      </w:r>
      <w:r>
        <w:rPr>
          <w:rFonts w:ascii="Times New Roman" w:eastAsia="宋体" w:hAnsi="Times New Roman" w:cs="Times New Roman"/>
          <w:kern w:val="0"/>
          <w:sz w:val="28"/>
          <w:szCs w:val="28"/>
        </w:rPr>
        <w:t>4.5-7</w:t>
      </w:r>
      <w:r>
        <w:rPr>
          <w:rFonts w:ascii="Times New Roman" w:eastAsia="宋体" w:hAnsi="Times New Roman" w:cs="Times New Roman"/>
          <w:kern w:val="0"/>
          <w:sz w:val="28"/>
          <w:szCs w:val="28"/>
        </w:rPr>
        <w:t>。</w:t>
      </w:r>
    </w:p>
    <w:p w14:paraId="166C3A84" w14:textId="77777777" w:rsidR="002133E3" w:rsidRDefault="00C22CFA">
      <w:pPr>
        <w:widowControl/>
        <w:snapToGrid w:val="0"/>
        <w:spacing w:line="500" w:lineRule="exact"/>
        <w:jc w:val="center"/>
        <w:rPr>
          <w:rFonts w:ascii="Times New Roman" w:eastAsia="宋体" w:hAnsi="Times New Roman" w:cs="Times New Roman"/>
          <w:color w:val="000000"/>
          <w:kern w:val="0"/>
          <w:sz w:val="36"/>
          <w:szCs w:val="36"/>
        </w:rPr>
      </w:pPr>
      <w:r>
        <w:rPr>
          <w:rFonts w:ascii="Times New Roman" w:eastAsia="宋体" w:hAnsi="Times New Roman" w:cs="Times New Roman"/>
          <w:b/>
          <w:bCs/>
          <w:color w:val="000000"/>
          <w:kern w:val="0"/>
          <w:sz w:val="24"/>
          <w:szCs w:val="24"/>
        </w:rPr>
        <w:t>表</w:t>
      </w:r>
      <w:r>
        <w:rPr>
          <w:rFonts w:ascii="Times New Roman" w:eastAsia="宋体" w:hAnsi="Times New Roman" w:cs="Times New Roman"/>
          <w:b/>
          <w:bCs/>
          <w:color w:val="000000"/>
          <w:kern w:val="0"/>
          <w:sz w:val="24"/>
          <w:szCs w:val="24"/>
        </w:rPr>
        <w:t xml:space="preserve">4.5-5  </w:t>
      </w:r>
      <w:r>
        <w:rPr>
          <w:rFonts w:ascii="Times New Roman" w:eastAsia="宋体" w:hAnsi="Times New Roman" w:cs="Times New Roman"/>
          <w:b/>
          <w:bCs/>
          <w:color w:val="000000"/>
          <w:kern w:val="0"/>
          <w:sz w:val="24"/>
          <w:szCs w:val="24"/>
        </w:rPr>
        <w:t>项目废水污染源源强一览表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1155"/>
        <w:gridCol w:w="1155"/>
        <w:gridCol w:w="943"/>
        <w:gridCol w:w="1276"/>
        <w:gridCol w:w="1428"/>
        <w:gridCol w:w="1155"/>
        <w:gridCol w:w="1210"/>
      </w:tblGrid>
      <w:tr w:rsidR="002133E3" w14:paraId="1C625D8B" w14:textId="77777777">
        <w:trPr>
          <w:trHeight w:val="285"/>
          <w:jc w:val="center"/>
        </w:trPr>
        <w:tc>
          <w:tcPr>
            <w:tcW w:w="1533" w:type="dxa"/>
            <w:vMerge w:val="restart"/>
            <w:shd w:val="clear" w:color="auto" w:fill="auto"/>
            <w:vAlign w:val="center"/>
          </w:tcPr>
          <w:p w14:paraId="510D8676"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生产线名称</w:t>
            </w:r>
          </w:p>
        </w:tc>
        <w:tc>
          <w:tcPr>
            <w:tcW w:w="1155" w:type="dxa"/>
            <w:vMerge w:val="restart"/>
            <w:shd w:val="clear" w:color="auto" w:fill="auto"/>
            <w:vAlign w:val="center"/>
          </w:tcPr>
          <w:p w14:paraId="0EEC32A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装置</w:t>
            </w:r>
          </w:p>
        </w:tc>
        <w:tc>
          <w:tcPr>
            <w:tcW w:w="1155" w:type="dxa"/>
            <w:vMerge w:val="restart"/>
            <w:shd w:val="clear" w:color="auto" w:fill="auto"/>
            <w:noWrap/>
            <w:vAlign w:val="center"/>
          </w:tcPr>
          <w:p w14:paraId="1660566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943" w:type="dxa"/>
            <w:vMerge w:val="restart"/>
            <w:shd w:val="clear" w:color="auto" w:fill="auto"/>
            <w:noWrap/>
            <w:vAlign w:val="center"/>
          </w:tcPr>
          <w:p w14:paraId="08DFCBE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污染物名称</w:t>
            </w:r>
          </w:p>
        </w:tc>
        <w:tc>
          <w:tcPr>
            <w:tcW w:w="5069" w:type="dxa"/>
            <w:gridSpan w:val="4"/>
            <w:shd w:val="clear" w:color="auto" w:fill="auto"/>
            <w:noWrap/>
            <w:vAlign w:val="center"/>
          </w:tcPr>
          <w:p w14:paraId="0C9DCA3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产生状况</w:t>
            </w:r>
          </w:p>
        </w:tc>
      </w:tr>
      <w:tr w:rsidR="002133E3" w14:paraId="10FC4428" w14:textId="77777777">
        <w:trPr>
          <w:trHeight w:val="315"/>
          <w:jc w:val="center"/>
        </w:trPr>
        <w:tc>
          <w:tcPr>
            <w:tcW w:w="1533" w:type="dxa"/>
            <w:vMerge/>
            <w:vAlign w:val="center"/>
          </w:tcPr>
          <w:p w14:paraId="04AB69A1" w14:textId="77777777" w:rsidR="002133E3" w:rsidRDefault="002133E3">
            <w:pPr>
              <w:widowControl/>
              <w:jc w:val="left"/>
              <w:rPr>
                <w:rFonts w:ascii="Times New Roman" w:eastAsia="等线" w:hAnsi="Times New Roman" w:cs="Times New Roman"/>
                <w:b/>
                <w:bCs/>
                <w:kern w:val="0"/>
                <w:szCs w:val="21"/>
              </w:rPr>
            </w:pPr>
          </w:p>
        </w:tc>
        <w:tc>
          <w:tcPr>
            <w:tcW w:w="1155" w:type="dxa"/>
            <w:vMerge/>
            <w:vAlign w:val="center"/>
          </w:tcPr>
          <w:p w14:paraId="3EFFE795" w14:textId="77777777" w:rsidR="002133E3" w:rsidRDefault="002133E3">
            <w:pPr>
              <w:widowControl/>
              <w:jc w:val="left"/>
              <w:rPr>
                <w:rFonts w:ascii="Times New Roman" w:eastAsia="宋体" w:hAnsi="Times New Roman" w:cs="Times New Roman"/>
                <w:b/>
                <w:bCs/>
                <w:color w:val="000000"/>
                <w:kern w:val="0"/>
                <w:szCs w:val="21"/>
              </w:rPr>
            </w:pPr>
          </w:p>
        </w:tc>
        <w:tc>
          <w:tcPr>
            <w:tcW w:w="1155" w:type="dxa"/>
            <w:vMerge/>
            <w:vAlign w:val="center"/>
          </w:tcPr>
          <w:p w14:paraId="7A640B67" w14:textId="77777777" w:rsidR="002133E3" w:rsidRDefault="002133E3">
            <w:pPr>
              <w:widowControl/>
              <w:jc w:val="left"/>
              <w:rPr>
                <w:rFonts w:ascii="Times New Roman" w:eastAsia="宋体" w:hAnsi="Times New Roman" w:cs="Times New Roman"/>
                <w:b/>
                <w:bCs/>
                <w:kern w:val="0"/>
                <w:szCs w:val="21"/>
              </w:rPr>
            </w:pPr>
          </w:p>
        </w:tc>
        <w:tc>
          <w:tcPr>
            <w:tcW w:w="943" w:type="dxa"/>
            <w:vMerge/>
            <w:vAlign w:val="center"/>
          </w:tcPr>
          <w:p w14:paraId="6B166B2C" w14:textId="77777777" w:rsidR="002133E3" w:rsidRDefault="002133E3">
            <w:pPr>
              <w:widowControl/>
              <w:jc w:val="left"/>
              <w:rPr>
                <w:rFonts w:ascii="Times New Roman" w:eastAsia="宋体" w:hAnsi="Times New Roman" w:cs="Times New Roman"/>
                <w:b/>
                <w:bCs/>
                <w:kern w:val="0"/>
                <w:szCs w:val="21"/>
              </w:rPr>
            </w:pPr>
          </w:p>
        </w:tc>
        <w:tc>
          <w:tcPr>
            <w:tcW w:w="1276" w:type="dxa"/>
            <w:shd w:val="clear" w:color="auto" w:fill="auto"/>
            <w:noWrap/>
            <w:vAlign w:val="center"/>
          </w:tcPr>
          <w:p w14:paraId="561A617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核算方法</w:t>
            </w:r>
          </w:p>
        </w:tc>
        <w:tc>
          <w:tcPr>
            <w:tcW w:w="1428" w:type="dxa"/>
            <w:shd w:val="clear" w:color="auto" w:fill="auto"/>
            <w:noWrap/>
            <w:vAlign w:val="center"/>
          </w:tcPr>
          <w:p w14:paraId="4D19A3B0"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废水量</w:t>
            </w:r>
            <w:r>
              <w:rPr>
                <w:rFonts w:ascii="Times New Roman" w:eastAsia="等线" w:hAnsi="Times New Roman" w:cs="Times New Roman"/>
                <w:b/>
                <w:bCs/>
                <w:kern w:val="0"/>
                <w:szCs w:val="21"/>
              </w:rPr>
              <w:t>m</w:t>
            </w:r>
            <w:r>
              <w:rPr>
                <w:rFonts w:ascii="Times New Roman" w:eastAsia="等线" w:hAnsi="Times New Roman" w:cs="Times New Roman"/>
                <w:b/>
                <w:bCs/>
                <w:kern w:val="0"/>
                <w:szCs w:val="21"/>
                <w:vertAlign w:val="superscript"/>
              </w:rPr>
              <w:t>3</w:t>
            </w:r>
            <w:r>
              <w:rPr>
                <w:rFonts w:ascii="Times New Roman" w:eastAsia="等线" w:hAnsi="Times New Roman" w:cs="Times New Roman"/>
                <w:b/>
                <w:bCs/>
                <w:kern w:val="0"/>
                <w:szCs w:val="21"/>
              </w:rPr>
              <w:t>/a</w:t>
            </w:r>
          </w:p>
        </w:tc>
        <w:tc>
          <w:tcPr>
            <w:tcW w:w="1155" w:type="dxa"/>
            <w:shd w:val="clear" w:color="auto" w:fill="auto"/>
            <w:noWrap/>
            <w:vAlign w:val="center"/>
          </w:tcPr>
          <w:p w14:paraId="6BA97D23"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浓度</w:t>
            </w:r>
            <w:r>
              <w:rPr>
                <w:rFonts w:ascii="Times New Roman" w:eastAsia="等线" w:hAnsi="Times New Roman" w:cs="Times New Roman"/>
                <w:b/>
                <w:bCs/>
                <w:kern w:val="0"/>
                <w:szCs w:val="21"/>
              </w:rPr>
              <w:t>mg/L</w:t>
            </w:r>
          </w:p>
        </w:tc>
        <w:tc>
          <w:tcPr>
            <w:tcW w:w="1210" w:type="dxa"/>
            <w:shd w:val="clear" w:color="auto" w:fill="auto"/>
            <w:noWrap/>
            <w:vAlign w:val="center"/>
          </w:tcPr>
          <w:p w14:paraId="60329EA0"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产生量</w:t>
            </w:r>
            <w:r>
              <w:rPr>
                <w:rFonts w:ascii="Times New Roman" w:eastAsia="等线" w:hAnsi="Times New Roman" w:cs="Times New Roman"/>
                <w:b/>
                <w:bCs/>
                <w:kern w:val="0"/>
                <w:szCs w:val="21"/>
              </w:rPr>
              <w:t>t/a</w:t>
            </w:r>
          </w:p>
        </w:tc>
      </w:tr>
      <w:tr w:rsidR="002133E3" w14:paraId="3E52EB03" w14:textId="77777777">
        <w:trPr>
          <w:trHeight w:val="285"/>
          <w:jc w:val="center"/>
        </w:trPr>
        <w:tc>
          <w:tcPr>
            <w:tcW w:w="1533" w:type="dxa"/>
            <w:vMerge w:val="restart"/>
            <w:shd w:val="clear" w:color="auto" w:fill="auto"/>
            <w:vAlign w:val="center"/>
          </w:tcPr>
          <w:p w14:paraId="38CF78D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酒精</w:t>
            </w:r>
            <w:r>
              <w:rPr>
                <w:rFonts w:ascii="Times New Roman" w:eastAsia="等线" w:hAnsi="Times New Roman" w:cs="Times New Roman"/>
                <w:kern w:val="0"/>
                <w:szCs w:val="21"/>
              </w:rPr>
              <w:t>(</w:t>
            </w:r>
            <w:r>
              <w:rPr>
                <w:rFonts w:ascii="Times New Roman" w:eastAsia="宋体" w:hAnsi="Times New Roman" w:cs="Times New Roman"/>
                <w:kern w:val="0"/>
                <w:szCs w:val="21"/>
              </w:rPr>
              <w:t>≥</w:t>
            </w:r>
            <w:r>
              <w:rPr>
                <w:rFonts w:ascii="Times New Roman" w:eastAsia="等线" w:hAnsi="Times New Roman" w:cs="Times New Roman"/>
                <w:kern w:val="0"/>
                <w:szCs w:val="21"/>
              </w:rPr>
              <w:t>95%,V/V)</w:t>
            </w:r>
            <w:r>
              <w:rPr>
                <w:rFonts w:ascii="Times New Roman" w:eastAsia="宋体" w:hAnsi="Times New Roman" w:cs="Times New Roman"/>
                <w:kern w:val="0"/>
                <w:szCs w:val="21"/>
              </w:rPr>
              <w:t>生产线</w:t>
            </w:r>
          </w:p>
        </w:tc>
        <w:tc>
          <w:tcPr>
            <w:tcW w:w="1155" w:type="dxa"/>
            <w:vMerge w:val="restart"/>
            <w:shd w:val="clear" w:color="auto" w:fill="auto"/>
            <w:vAlign w:val="center"/>
          </w:tcPr>
          <w:p w14:paraId="0A5AABF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粗馏塔（两塔蒸馏系统）</w:t>
            </w:r>
          </w:p>
        </w:tc>
        <w:tc>
          <w:tcPr>
            <w:tcW w:w="1155" w:type="dxa"/>
            <w:vMerge w:val="restart"/>
            <w:shd w:val="clear" w:color="auto" w:fill="auto"/>
            <w:noWrap/>
            <w:vAlign w:val="center"/>
          </w:tcPr>
          <w:p w14:paraId="5382F100"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釜底残液</w:t>
            </w:r>
            <w:r>
              <w:rPr>
                <w:rFonts w:ascii="Times New Roman" w:eastAsia="等线" w:hAnsi="Times New Roman" w:cs="Times New Roman"/>
                <w:kern w:val="0"/>
                <w:szCs w:val="21"/>
              </w:rPr>
              <w:t>W</w:t>
            </w:r>
            <w:r>
              <w:rPr>
                <w:rFonts w:ascii="Times New Roman" w:eastAsia="等线" w:hAnsi="Times New Roman" w:cs="Times New Roman"/>
                <w:kern w:val="0"/>
                <w:szCs w:val="21"/>
                <w:vertAlign w:val="subscript"/>
              </w:rPr>
              <w:t>1-1</w:t>
            </w:r>
          </w:p>
        </w:tc>
        <w:tc>
          <w:tcPr>
            <w:tcW w:w="943" w:type="dxa"/>
            <w:shd w:val="clear" w:color="auto" w:fill="auto"/>
            <w:noWrap/>
            <w:vAlign w:val="center"/>
          </w:tcPr>
          <w:p w14:paraId="61646C8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pH</w:t>
            </w:r>
          </w:p>
        </w:tc>
        <w:tc>
          <w:tcPr>
            <w:tcW w:w="1276" w:type="dxa"/>
            <w:vMerge w:val="restart"/>
            <w:shd w:val="clear" w:color="auto" w:fill="auto"/>
            <w:noWrap/>
            <w:vAlign w:val="center"/>
          </w:tcPr>
          <w:p w14:paraId="64A48DF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noWrap/>
            <w:vAlign w:val="center"/>
          </w:tcPr>
          <w:p w14:paraId="17E6766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561490.13</w:t>
            </w:r>
          </w:p>
        </w:tc>
        <w:tc>
          <w:tcPr>
            <w:tcW w:w="1155" w:type="dxa"/>
            <w:shd w:val="clear" w:color="auto" w:fill="auto"/>
            <w:noWrap/>
            <w:vAlign w:val="center"/>
          </w:tcPr>
          <w:p w14:paraId="7F58053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4.50</w:t>
            </w:r>
          </w:p>
        </w:tc>
        <w:tc>
          <w:tcPr>
            <w:tcW w:w="1210" w:type="dxa"/>
            <w:shd w:val="clear" w:color="auto" w:fill="auto"/>
            <w:noWrap/>
            <w:vAlign w:val="center"/>
          </w:tcPr>
          <w:p w14:paraId="6ECCB54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r>
      <w:tr w:rsidR="002133E3" w14:paraId="0FE3ED39" w14:textId="77777777">
        <w:trPr>
          <w:trHeight w:val="270"/>
          <w:jc w:val="center"/>
        </w:trPr>
        <w:tc>
          <w:tcPr>
            <w:tcW w:w="1533" w:type="dxa"/>
            <w:vMerge/>
            <w:vAlign w:val="center"/>
          </w:tcPr>
          <w:p w14:paraId="0E0EAEEE"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645995F5"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5BDACC5E"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73DF0F5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ign w:val="center"/>
          </w:tcPr>
          <w:p w14:paraId="4F5D14C3"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40F25CAC"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2CDA188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60000 </w:t>
            </w:r>
          </w:p>
        </w:tc>
        <w:tc>
          <w:tcPr>
            <w:tcW w:w="1210" w:type="dxa"/>
            <w:shd w:val="clear" w:color="auto" w:fill="auto"/>
            <w:noWrap/>
            <w:vAlign w:val="center"/>
          </w:tcPr>
          <w:p w14:paraId="45EC28B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33689.41 </w:t>
            </w:r>
          </w:p>
        </w:tc>
      </w:tr>
      <w:tr w:rsidR="002133E3" w14:paraId="4DEFFAEF" w14:textId="77777777">
        <w:trPr>
          <w:trHeight w:val="270"/>
          <w:jc w:val="center"/>
        </w:trPr>
        <w:tc>
          <w:tcPr>
            <w:tcW w:w="1533" w:type="dxa"/>
            <w:vMerge/>
            <w:vAlign w:val="center"/>
          </w:tcPr>
          <w:p w14:paraId="36106246"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2D96E49B"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10CCEB99"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2077058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SS</w:t>
            </w:r>
          </w:p>
        </w:tc>
        <w:tc>
          <w:tcPr>
            <w:tcW w:w="1276" w:type="dxa"/>
            <w:vMerge/>
            <w:vAlign w:val="center"/>
          </w:tcPr>
          <w:p w14:paraId="111BE7AF"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7693DDAB"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21ABD2B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10000</w:t>
            </w:r>
          </w:p>
        </w:tc>
        <w:tc>
          <w:tcPr>
            <w:tcW w:w="1210" w:type="dxa"/>
            <w:shd w:val="clear" w:color="auto" w:fill="auto"/>
            <w:noWrap/>
            <w:vAlign w:val="center"/>
          </w:tcPr>
          <w:p w14:paraId="57BECDF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5614.90 </w:t>
            </w:r>
          </w:p>
        </w:tc>
      </w:tr>
      <w:tr w:rsidR="002133E3" w14:paraId="4897708A" w14:textId="77777777">
        <w:trPr>
          <w:trHeight w:val="270"/>
          <w:jc w:val="center"/>
        </w:trPr>
        <w:tc>
          <w:tcPr>
            <w:tcW w:w="1533" w:type="dxa"/>
            <w:vMerge/>
            <w:vAlign w:val="center"/>
          </w:tcPr>
          <w:p w14:paraId="0A7A6EE1"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15FC6F3A"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1043D479"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153AD59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总氮</w:t>
            </w:r>
          </w:p>
        </w:tc>
        <w:tc>
          <w:tcPr>
            <w:tcW w:w="1276" w:type="dxa"/>
            <w:vMerge w:val="restart"/>
            <w:shd w:val="clear" w:color="auto" w:fill="auto"/>
            <w:noWrap/>
            <w:vAlign w:val="center"/>
          </w:tcPr>
          <w:p w14:paraId="0D21AF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物料平衡法</w:t>
            </w:r>
          </w:p>
        </w:tc>
        <w:tc>
          <w:tcPr>
            <w:tcW w:w="1428" w:type="dxa"/>
            <w:vMerge/>
            <w:vAlign w:val="center"/>
          </w:tcPr>
          <w:p w14:paraId="605A1F9A"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7C7B386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85</w:t>
            </w:r>
          </w:p>
        </w:tc>
        <w:tc>
          <w:tcPr>
            <w:tcW w:w="1210" w:type="dxa"/>
            <w:shd w:val="clear" w:color="auto" w:fill="auto"/>
            <w:noWrap/>
            <w:vAlign w:val="center"/>
          </w:tcPr>
          <w:p w14:paraId="1E30938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47.84 </w:t>
            </w:r>
          </w:p>
        </w:tc>
      </w:tr>
      <w:tr w:rsidR="002133E3" w14:paraId="716E1949" w14:textId="77777777">
        <w:trPr>
          <w:trHeight w:val="270"/>
          <w:jc w:val="center"/>
        </w:trPr>
        <w:tc>
          <w:tcPr>
            <w:tcW w:w="1533" w:type="dxa"/>
            <w:vMerge/>
            <w:vAlign w:val="center"/>
          </w:tcPr>
          <w:p w14:paraId="74C52C35"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4B3DD16F"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1D98639F"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7A328B7F"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氨氮</w:t>
            </w:r>
          </w:p>
        </w:tc>
        <w:tc>
          <w:tcPr>
            <w:tcW w:w="1276" w:type="dxa"/>
            <w:vMerge/>
            <w:vAlign w:val="center"/>
          </w:tcPr>
          <w:p w14:paraId="001E84F2"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2DDEEA7E"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5BD6AE8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110</w:t>
            </w:r>
          </w:p>
        </w:tc>
        <w:tc>
          <w:tcPr>
            <w:tcW w:w="1210" w:type="dxa"/>
            <w:shd w:val="clear" w:color="auto" w:fill="auto"/>
            <w:noWrap/>
            <w:vAlign w:val="center"/>
          </w:tcPr>
          <w:p w14:paraId="55F34A1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61.51 </w:t>
            </w:r>
          </w:p>
        </w:tc>
      </w:tr>
      <w:tr w:rsidR="002133E3" w14:paraId="40BE21B7" w14:textId="77777777">
        <w:trPr>
          <w:trHeight w:val="270"/>
          <w:jc w:val="center"/>
        </w:trPr>
        <w:tc>
          <w:tcPr>
            <w:tcW w:w="1533" w:type="dxa"/>
            <w:vMerge/>
            <w:vAlign w:val="center"/>
          </w:tcPr>
          <w:p w14:paraId="27CD09EB"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000254B7"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7478A9DF"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5419D576"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总磷</w:t>
            </w:r>
          </w:p>
        </w:tc>
        <w:tc>
          <w:tcPr>
            <w:tcW w:w="1276" w:type="dxa"/>
            <w:vMerge/>
            <w:vAlign w:val="center"/>
          </w:tcPr>
          <w:p w14:paraId="7E1EE475"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022F5F7C"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6E6EB8A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4.8</w:t>
            </w:r>
          </w:p>
        </w:tc>
        <w:tc>
          <w:tcPr>
            <w:tcW w:w="1210" w:type="dxa"/>
            <w:shd w:val="clear" w:color="auto" w:fill="auto"/>
            <w:noWrap/>
            <w:vAlign w:val="center"/>
          </w:tcPr>
          <w:p w14:paraId="28AE45F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2.70 </w:t>
            </w:r>
          </w:p>
        </w:tc>
      </w:tr>
      <w:tr w:rsidR="002133E3" w14:paraId="636985EF" w14:textId="77777777">
        <w:trPr>
          <w:trHeight w:val="270"/>
          <w:jc w:val="center"/>
        </w:trPr>
        <w:tc>
          <w:tcPr>
            <w:tcW w:w="1533" w:type="dxa"/>
            <w:vMerge/>
            <w:vAlign w:val="center"/>
          </w:tcPr>
          <w:p w14:paraId="59204A49"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46CEC66F"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059F6A18"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4FB5BF0F"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盐分</w:t>
            </w:r>
          </w:p>
        </w:tc>
        <w:tc>
          <w:tcPr>
            <w:tcW w:w="1276" w:type="dxa"/>
            <w:vMerge/>
            <w:vAlign w:val="center"/>
          </w:tcPr>
          <w:p w14:paraId="0A6F7FF7"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728CCE37"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1ED0099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28</w:t>
            </w:r>
          </w:p>
        </w:tc>
        <w:tc>
          <w:tcPr>
            <w:tcW w:w="1210" w:type="dxa"/>
            <w:shd w:val="clear" w:color="auto" w:fill="auto"/>
            <w:noWrap/>
            <w:vAlign w:val="center"/>
          </w:tcPr>
          <w:p w14:paraId="2E0DD32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15.94 </w:t>
            </w:r>
          </w:p>
        </w:tc>
      </w:tr>
      <w:tr w:rsidR="002133E3" w14:paraId="522243A0" w14:textId="77777777">
        <w:trPr>
          <w:trHeight w:val="270"/>
          <w:jc w:val="center"/>
        </w:trPr>
        <w:tc>
          <w:tcPr>
            <w:tcW w:w="1533" w:type="dxa"/>
            <w:vMerge/>
            <w:vAlign w:val="center"/>
          </w:tcPr>
          <w:p w14:paraId="6243FFB5" w14:textId="77777777" w:rsidR="002133E3" w:rsidRDefault="002133E3">
            <w:pPr>
              <w:widowControl/>
              <w:jc w:val="left"/>
              <w:rPr>
                <w:rFonts w:ascii="Times New Roman" w:eastAsia="等线" w:hAnsi="Times New Roman" w:cs="Times New Roman"/>
                <w:kern w:val="0"/>
                <w:szCs w:val="21"/>
              </w:rPr>
            </w:pPr>
          </w:p>
        </w:tc>
        <w:tc>
          <w:tcPr>
            <w:tcW w:w="1155" w:type="dxa"/>
            <w:vMerge w:val="restart"/>
            <w:shd w:val="clear" w:color="auto" w:fill="auto"/>
            <w:vAlign w:val="center"/>
          </w:tcPr>
          <w:p w14:paraId="65B5B3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粗馏塔（三塔蒸馏系统）</w:t>
            </w:r>
          </w:p>
        </w:tc>
        <w:tc>
          <w:tcPr>
            <w:tcW w:w="1155" w:type="dxa"/>
            <w:vMerge w:val="restart"/>
            <w:shd w:val="clear" w:color="auto" w:fill="auto"/>
            <w:noWrap/>
            <w:vAlign w:val="center"/>
          </w:tcPr>
          <w:p w14:paraId="06B1FD73"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釜底残液</w:t>
            </w:r>
            <w:r>
              <w:rPr>
                <w:rFonts w:ascii="Times New Roman" w:eastAsia="等线" w:hAnsi="Times New Roman" w:cs="Times New Roman"/>
                <w:kern w:val="0"/>
                <w:szCs w:val="21"/>
              </w:rPr>
              <w:t>W</w:t>
            </w:r>
            <w:r>
              <w:rPr>
                <w:rFonts w:ascii="Times New Roman" w:eastAsia="等线" w:hAnsi="Times New Roman" w:cs="Times New Roman"/>
                <w:kern w:val="0"/>
                <w:szCs w:val="21"/>
                <w:vertAlign w:val="subscript"/>
              </w:rPr>
              <w:t>1-3</w:t>
            </w:r>
          </w:p>
        </w:tc>
        <w:tc>
          <w:tcPr>
            <w:tcW w:w="943" w:type="dxa"/>
            <w:shd w:val="clear" w:color="auto" w:fill="auto"/>
            <w:noWrap/>
            <w:vAlign w:val="center"/>
          </w:tcPr>
          <w:p w14:paraId="7554E0D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pH</w:t>
            </w:r>
          </w:p>
        </w:tc>
        <w:tc>
          <w:tcPr>
            <w:tcW w:w="1276" w:type="dxa"/>
            <w:vMerge w:val="restart"/>
            <w:shd w:val="clear" w:color="auto" w:fill="auto"/>
            <w:noWrap/>
            <w:vAlign w:val="center"/>
          </w:tcPr>
          <w:p w14:paraId="544398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noWrap/>
            <w:vAlign w:val="center"/>
          </w:tcPr>
          <w:p w14:paraId="403AE66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541694.14</w:t>
            </w:r>
          </w:p>
        </w:tc>
        <w:tc>
          <w:tcPr>
            <w:tcW w:w="1155" w:type="dxa"/>
            <w:shd w:val="clear" w:color="auto" w:fill="auto"/>
            <w:noWrap/>
            <w:vAlign w:val="center"/>
          </w:tcPr>
          <w:p w14:paraId="2EA6240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4.50</w:t>
            </w:r>
          </w:p>
        </w:tc>
        <w:tc>
          <w:tcPr>
            <w:tcW w:w="1210" w:type="dxa"/>
            <w:shd w:val="clear" w:color="auto" w:fill="auto"/>
            <w:noWrap/>
            <w:vAlign w:val="center"/>
          </w:tcPr>
          <w:p w14:paraId="36C22C1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r>
      <w:tr w:rsidR="002133E3" w14:paraId="79FF8C16" w14:textId="77777777">
        <w:trPr>
          <w:trHeight w:val="270"/>
          <w:jc w:val="center"/>
        </w:trPr>
        <w:tc>
          <w:tcPr>
            <w:tcW w:w="1533" w:type="dxa"/>
            <w:vMerge/>
            <w:vAlign w:val="center"/>
          </w:tcPr>
          <w:p w14:paraId="07891FBB"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3292EACD"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49469835"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344A0C0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ign w:val="center"/>
          </w:tcPr>
          <w:p w14:paraId="17BB9201"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11DCEBB6"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634B533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60000 </w:t>
            </w:r>
          </w:p>
        </w:tc>
        <w:tc>
          <w:tcPr>
            <w:tcW w:w="1210" w:type="dxa"/>
            <w:shd w:val="clear" w:color="auto" w:fill="auto"/>
            <w:noWrap/>
            <w:vAlign w:val="center"/>
          </w:tcPr>
          <w:p w14:paraId="5BC39A3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32501.65 </w:t>
            </w:r>
          </w:p>
        </w:tc>
      </w:tr>
      <w:tr w:rsidR="002133E3" w14:paraId="46C78A7A" w14:textId="77777777">
        <w:trPr>
          <w:trHeight w:val="270"/>
          <w:jc w:val="center"/>
        </w:trPr>
        <w:tc>
          <w:tcPr>
            <w:tcW w:w="1533" w:type="dxa"/>
            <w:vMerge/>
            <w:vAlign w:val="center"/>
          </w:tcPr>
          <w:p w14:paraId="5BAE27F8"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43403839"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11B9C876"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1F4C23F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SS</w:t>
            </w:r>
          </w:p>
        </w:tc>
        <w:tc>
          <w:tcPr>
            <w:tcW w:w="1276" w:type="dxa"/>
            <w:vMerge/>
            <w:vAlign w:val="center"/>
          </w:tcPr>
          <w:p w14:paraId="470CB769"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4DE51A93"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693954A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10000</w:t>
            </w:r>
          </w:p>
        </w:tc>
        <w:tc>
          <w:tcPr>
            <w:tcW w:w="1210" w:type="dxa"/>
            <w:shd w:val="clear" w:color="auto" w:fill="auto"/>
            <w:noWrap/>
            <w:vAlign w:val="center"/>
          </w:tcPr>
          <w:p w14:paraId="5771E0B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5416.94 </w:t>
            </w:r>
          </w:p>
        </w:tc>
      </w:tr>
      <w:tr w:rsidR="002133E3" w14:paraId="18DB218F" w14:textId="77777777">
        <w:trPr>
          <w:trHeight w:val="270"/>
          <w:jc w:val="center"/>
        </w:trPr>
        <w:tc>
          <w:tcPr>
            <w:tcW w:w="1533" w:type="dxa"/>
            <w:vMerge/>
            <w:vAlign w:val="center"/>
          </w:tcPr>
          <w:p w14:paraId="70183FA9"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6D4F3253"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124A84C7"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4FD48C0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总氮</w:t>
            </w:r>
          </w:p>
        </w:tc>
        <w:tc>
          <w:tcPr>
            <w:tcW w:w="1276" w:type="dxa"/>
            <w:vMerge w:val="restart"/>
            <w:shd w:val="clear" w:color="auto" w:fill="auto"/>
            <w:noWrap/>
            <w:vAlign w:val="center"/>
          </w:tcPr>
          <w:p w14:paraId="280DAC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物料平衡法</w:t>
            </w:r>
          </w:p>
        </w:tc>
        <w:tc>
          <w:tcPr>
            <w:tcW w:w="1428" w:type="dxa"/>
            <w:vMerge/>
            <w:vAlign w:val="center"/>
          </w:tcPr>
          <w:p w14:paraId="2FA686DF"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2290F5E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88</w:t>
            </w:r>
          </w:p>
        </w:tc>
        <w:tc>
          <w:tcPr>
            <w:tcW w:w="1210" w:type="dxa"/>
            <w:shd w:val="clear" w:color="auto" w:fill="auto"/>
            <w:noWrap/>
            <w:vAlign w:val="center"/>
          </w:tcPr>
          <w:p w14:paraId="2E37419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47.84 </w:t>
            </w:r>
          </w:p>
        </w:tc>
      </w:tr>
      <w:tr w:rsidR="002133E3" w14:paraId="1755A442" w14:textId="77777777">
        <w:trPr>
          <w:trHeight w:val="270"/>
          <w:jc w:val="center"/>
        </w:trPr>
        <w:tc>
          <w:tcPr>
            <w:tcW w:w="1533" w:type="dxa"/>
            <w:vMerge/>
            <w:vAlign w:val="center"/>
          </w:tcPr>
          <w:p w14:paraId="29A3222C"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7262C6CD"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527197FD"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6AE0A5F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氨氮</w:t>
            </w:r>
          </w:p>
        </w:tc>
        <w:tc>
          <w:tcPr>
            <w:tcW w:w="1276" w:type="dxa"/>
            <w:vMerge/>
            <w:vAlign w:val="center"/>
          </w:tcPr>
          <w:p w14:paraId="474AF102"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210CA748"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7D7A288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113</w:t>
            </w:r>
          </w:p>
        </w:tc>
        <w:tc>
          <w:tcPr>
            <w:tcW w:w="1210" w:type="dxa"/>
            <w:shd w:val="clear" w:color="auto" w:fill="auto"/>
            <w:noWrap/>
            <w:vAlign w:val="center"/>
          </w:tcPr>
          <w:p w14:paraId="5272C0A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61.26 </w:t>
            </w:r>
          </w:p>
        </w:tc>
      </w:tr>
      <w:tr w:rsidR="002133E3" w14:paraId="243ED400" w14:textId="77777777">
        <w:trPr>
          <w:trHeight w:val="250"/>
          <w:jc w:val="center"/>
        </w:trPr>
        <w:tc>
          <w:tcPr>
            <w:tcW w:w="1533" w:type="dxa"/>
            <w:vMerge/>
            <w:vAlign w:val="center"/>
          </w:tcPr>
          <w:p w14:paraId="4B8B266F"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344E3B7A"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384C9847"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6D7AB747"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总磷</w:t>
            </w:r>
          </w:p>
        </w:tc>
        <w:tc>
          <w:tcPr>
            <w:tcW w:w="1276" w:type="dxa"/>
            <w:vMerge/>
            <w:vAlign w:val="center"/>
          </w:tcPr>
          <w:p w14:paraId="17D616AE"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0B30DCAB"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6C8E3C3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5.0</w:t>
            </w:r>
          </w:p>
        </w:tc>
        <w:tc>
          <w:tcPr>
            <w:tcW w:w="1210" w:type="dxa"/>
            <w:shd w:val="clear" w:color="auto" w:fill="auto"/>
            <w:noWrap/>
            <w:vAlign w:val="center"/>
          </w:tcPr>
          <w:p w14:paraId="27A9481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2.70 </w:t>
            </w:r>
          </w:p>
        </w:tc>
      </w:tr>
      <w:tr w:rsidR="002133E3" w14:paraId="5A1410A9" w14:textId="77777777">
        <w:trPr>
          <w:trHeight w:val="270"/>
          <w:jc w:val="center"/>
        </w:trPr>
        <w:tc>
          <w:tcPr>
            <w:tcW w:w="1533" w:type="dxa"/>
            <w:vMerge/>
            <w:vAlign w:val="center"/>
          </w:tcPr>
          <w:p w14:paraId="1957C856"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57AD57E5"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3011BF10"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33DB9E9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盐分</w:t>
            </w:r>
          </w:p>
        </w:tc>
        <w:tc>
          <w:tcPr>
            <w:tcW w:w="1276" w:type="dxa"/>
            <w:vMerge/>
            <w:vAlign w:val="center"/>
          </w:tcPr>
          <w:p w14:paraId="0B607954"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0F1B36E7"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2215F5E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29</w:t>
            </w:r>
          </w:p>
        </w:tc>
        <w:tc>
          <w:tcPr>
            <w:tcW w:w="1210" w:type="dxa"/>
            <w:shd w:val="clear" w:color="auto" w:fill="auto"/>
            <w:noWrap/>
            <w:vAlign w:val="center"/>
          </w:tcPr>
          <w:p w14:paraId="3F87DC1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15.93 </w:t>
            </w:r>
          </w:p>
        </w:tc>
      </w:tr>
      <w:tr w:rsidR="002133E3" w14:paraId="2E6BFAFC" w14:textId="77777777">
        <w:trPr>
          <w:trHeight w:val="270"/>
          <w:jc w:val="center"/>
        </w:trPr>
        <w:tc>
          <w:tcPr>
            <w:tcW w:w="1533" w:type="dxa"/>
            <w:vMerge/>
            <w:vAlign w:val="center"/>
          </w:tcPr>
          <w:p w14:paraId="4ED01237" w14:textId="77777777" w:rsidR="002133E3" w:rsidRDefault="002133E3">
            <w:pPr>
              <w:widowControl/>
              <w:jc w:val="left"/>
              <w:rPr>
                <w:rFonts w:ascii="Times New Roman" w:eastAsia="等线" w:hAnsi="Times New Roman" w:cs="Times New Roman"/>
                <w:kern w:val="0"/>
                <w:szCs w:val="21"/>
              </w:rPr>
            </w:pPr>
          </w:p>
        </w:tc>
        <w:tc>
          <w:tcPr>
            <w:tcW w:w="1155" w:type="dxa"/>
            <w:vMerge w:val="restart"/>
            <w:shd w:val="clear" w:color="auto" w:fill="auto"/>
            <w:vAlign w:val="center"/>
          </w:tcPr>
          <w:p w14:paraId="1F57944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粗馏塔（三塔蒸馏系统）</w:t>
            </w:r>
          </w:p>
        </w:tc>
        <w:tc>
          <w:tcPr>
            <w:tcW w:w="1155" w:type="dxa"/>
            <w:vMerge w:val="restart"/>
            <w:shd w:val="clear" w:color="auto" w:fill="auto"/>
            <w:noWrap/>
            <w:vAlign w:val="center"/>
          </w:tcPr>
          <w:p w14:paraId="7DDF7E5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釜底残液</w:t>
            </w:r>
            <w:r>
              <w:rPr>
                <w:rFonts w:ascii="Times New Roman" w:eastAsia="等线" w:hAnsi="Times New Roman" w:cs="Times New Roman"/>
                <w:kern w:val="0"/>
                <w:szCs w:val="21"/>
              </w:rPr>
              <w:t>W</w:t>
            </w:r>
            <w:r>
              <w:rPr>
                <w:rFonts w:ascii="Times New Roman" w:eastAsia="等线" w:hAnsi="Times New Roman" w:cs="Times New Roman"/>
                <w:kern w:val="0"/>
                <w:szCs w:val="21"/>
                <w:vertAlign w:val="subscript"/>
              </w:rPr>
              <w:t>1-5</w:t>
            </w:r>
          </w:p>
        </w:tc>
        <w:tc>
          <w:tcPr>
            <w:tcW w:w="943" w:type="dxa"/>
            <w:shd w:val="clear" w:color="auto" w:fill="auto"/>
            <w:noWrap/>
            <w:vAlign w:val="center"/>
          </w:tcPr>
          <w:p w14:paraId="01FFC68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pH</w:t>
            </w:r>
          </w:p>
        </w:tc>
        <w:tc>
          <w:tcPr>
            <w:tcW w:w="1276" w:type="dxa"/>
            <w:vMerge w:val="restart"/>
            <w:shd w:val="clear" w:color="auto" w:fill="auto"/>
            <w:noWrap/>
            <w:vAlign w:val="center"/>
          </w:tcPr>
          <w:p w14:paraId="4C70C00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noWrap/>
            <w:vAlign w:val="center"/>
          </w:tcPr>
          <w:p w14:paraId="1C82A35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541759.64</w:t>
            </w:r>
          </w:p>
        </w:tc>
        <w:tc>
          <w:tcPr>
            <w:tcW w:w="1155" w:type="dxa"/>
            <w:shd w:val="clear" w:color="auto" w:fill="auto"/>
            <w:noWrap/>
            <w:vAlign w:val="center"/>
          </w:tcPr>
          <w:p w14:paraId="5AC1C55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4.50</w:t>
            </w:r>
          </w:p>
        </w:tc>
        <w:tc>
          <w:tcPr>
            <w:tcW w:w="1210" w:type="dxa"/>
            <w:shd w:val="clear" w:color="auto" w:fill="auto"/>
            <w:noWrap/>
            <w:vAlign w:val="center"/>
          </w:tcPr>
          <w:p w14:paraId="56BD121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r>
      <w:tr w:rsidR="002133E3" w14:paraId="222ADF84" w14:textId="77777777">
        <w:trPr>
          <w:trHeight w:val="270"/>
          <w:jc w:val="center"/>
        </w:trPr>
        <w:tc>
          <w:tcPr>
            <w:tcW w:w="1533" w:type="dxa"/>
            <w:vMerge/>
            <w:vAlign w:val="center"/>
          </w:tcPr>
          <w:p w14:paraId="7F886E55"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2FFDBC73"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34334E23"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2F495DB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ign w:val="center"/>
          </w:tcPr>
          <w:p w14:paraId="2C9C4C5C"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032A1EF9"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01F2D6C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60000 </w:t>
            </w:r>
          </w:p>
        </w:tc>
        <w:tc>
          <w:tcPr>
            <w:tcW w:w="1210" w:type="dxa"/>
            <w:shd w:val="clear" w:color="auto" w:fill="auto"/>
            <w:noWrap/>
            <w:vAlign w:val="center"/>
          </w:tcPr>
          <w:p w14:paraId="5C25689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32505.58 </w:t>
            </w:r>
          </w:p>
        </w:tc>
      </w:tr>
      <w:tr w:rsidR="002133E3" w14:paraId="36BB0CA1" w14:textId="77777777">
        <w:trPr>
          <w:trHeight w:val="270"/>
          <w:jc w:val="center"/>
        </w:trPr>
        <w:tc>
          <w:tcPr>
            <w:tcW w:w="1533" w:type="dxa"/>
            <w:vMerge/>
            <w:vAlign w:val="center"/>
          </w:tcPr>
          <w:p w14:paraId="61CD9BA6"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27D92133"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4FDB5899"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2CE2D2D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SS</w:t>
            </w:r>
          </w:p>
        </w:tc>
        <w:tc>
          <w:tcPr>
            <w:tcW w:w="1276" w:type="dxa"/>
            <w:vMerge/>
            <w:vAlign w:val="center"/>
          </w:tcPr>
          <w:p w14:paraId="14BEE26A"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7A00B659"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08607D3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10000</w:t>
            </w:r>
          </w:p>
        </w:tc>
        <w:tc>
          <w:tcPr>
            <w:tcW w:w="1210" w:type="dxa"/>
            <w:shd w:val="clear" w:color="auto" w:fill="auto"/>
            <w:noWrap/>
            <w:vAlign w:val="center"/>
          </w:tcPr>
          <w:p w14:paraId="78B0EE8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5417.60 </w:t>
            </w:r>
          </w:p>
        </w:tc>
      </w:tr>
      <w:tr w:rsidR="002133E3" w14:paraId="28C48677" w14:textId="77777777">
        <w:trPr>
          <w:trHeight w:val="270"/>
          <w:jc w:val="center"/>
        </w:trPr>
        <w:tc>
          <w:tcPr>
            <w:tcW w:w="1533" w:type="dxa"/>
            <w:vMerge/>
            <w:vAlign w:val="center"/>
          </w:tcPr>
          <w:p w14:paraId="40E04BD6"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77CA384A"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23DE7023"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2780AEE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总氮</w:t>
            </w:r>
          </w:p>
        </w:tc>
        <w:tc>
          <w:tcPr>
            <w:tcW w:w="1276" w:type="dxa"/>
            <w:vMerge w:val="restart"/>
            <w:shd w:val="clear" w:color="auto" w:fill="auto"/>
            <w:noWrap/>
            <w:vAlign w:val="center"/>
          </w:tcPr>
          <w:p w14:paraId="0EC3AD7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物料平衡法</w:t>
            </w:r>
          </w:p>
        </w:tc>
        <w:tc>
          <w:tcPr>
            <w:tcW w:w="1428" w:type="dxa"/>
            <w:vMerge/>
            <w:vAlign w:val="center"/>
          </w:tcPr>
          <w:p w14:paraId="03E363C3"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4576F10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88.300</w:t>
            </w:r>
          </w:p>
        </w:tc>
        <w:tc>
          <w:tcPr>
            <w:tcW w:w="1210" w:type="dxa"/>
            <w:shd w:val="clear" w:color="auto" w:fill="auto"/>
            <w:noWrap/>
            <w:vAlign w:val="center"/>
          </w:tcPr>
          <w:p w14:paraId="7F09746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47.84</w:t>
            </w:r>
          </w:p>
        </w:tc>
      </w:tr>
      <w:tr w:rsidR="002133E3" w14:paraId="2508821F" w14:textId="77777777">
        <w:trPr>
          <w:trHeight w:val="270"/>
          <w:jc w:val="center"/>
        </w:trPr>
        <w:tc>
          <w:tcPr>
            <w:tcW w:w="1533" w:type="dxa"/>
            <w:vMerge/>
            <w:vAlign w:val="center"/>
          </w:tcPr>
          <w:p w14:paraId="1667494B"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13736F5B"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4E83B6DF"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2E0B676C"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氨氮</w:t>
            </w:r>
          </w:p>
        </w:tc>
        <w:tc>
          <w:tcPr>
            <w:tcW w:w="1276" w:type="dxa"/>
            <w:vMerge/>
            <w:vAlign w:val="center"/>
          </w:tcPr>
          <w:p w14:paraId="068B6EFB"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2E2D575F"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1C7D963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113.529</w:t>
            </w:r>
          </w:p>
        </w:tc>
        <w:tc>
          <w:tcPr>
            <w:tcW w:w="1210" w:type="dxa"/>
            <w:shd w:val="clear" w:color="auto" w:fill="auto"/>
            <w:noWrap/>
            <w:vAlign w:val="center"/>
          </w:tcPr>
          <w:p w14:paraId="18F90A3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61.51</w:t>
            </w:r>
          </w:p>
        </w:tc>
      </w:tr>
      <w:tr w:rsidR="002133E3" w14:paraId="60447BE6" w14:textId="77777777">
        <w:trPr>
          <w:trHeight w:val="270"/>
          <w:jc w:val="center"/>
        </w:trPr>
        <w:tc>
          <w:tcPr>
            <w:tcW w:w="1533" w:type="dxa"/>
            <w:vMerge/>
            <w:vAlign w:val="center"/>
          </w:tcPr>
          <w:p w14:paraId="527498F5"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5E1CC399"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1088A132"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649CC21F"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总磷</w:t>
            </w:r>
          </w:p>
        </w:tc>
        <w:tc>
          <w:tcPr>
            <w:tcW w:w="1276" w:type="dxa"/>
            <w:vMerge/>
            <w:vAlign w:val="center"/>
          </w:tcPr>
          <w:p w14:paraId="6CCFF99F"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01A84B37"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305A399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4.98</w:t>
            </w:r>
          </w:p>
        </w:tc>
        <w:tc>
          <w:tcPr>
            <w:tcW w:w="1210" w:type="dxa"/>
            <w:shd w:val="clear" w:color="auto" w:fill="auto"/>
            <w:noWrap/>
            <w:vAlign w:val="center"/>
          </w:tcPr>
          <w:p w14:paraId="10607A6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2.70</w:t>
            </w:r>
          </w:p>
        </w:tc>
      </w:tr>
      <w:tr w:rsidR="002133E3" w14:paraId="3F2FFB63" w14:textId="77777777">
        <w:trPr>
          <w:trHeight w:val="270"/>
          <w:jc w:val="center"/>
        </w:trPr>
        <w:tc>
          <w:tcPr>
            <w:tcW w:w="1533" w:type="dxa"/>
            <w:vMerge/>
            <w:vAlign w:val="center"/>
          </w:tcPr>
          <w:p w14:paraId="3E520AC6"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6C741269"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3BF34719"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7EFB54C8"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盐分</w:t>
            </w:r>
          </w:p>
        </w:tc>
        <w:tc>
          <w:tcPr>
            <w:tcW w:w="1276" w:type="dxa"/>
            <w:vMerge/>
            <w:vAlign w:val="center"/>
          </w:tcPr>
          <w:p w14:paraId="0AF08089"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477FAF42"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0873464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29.413</w:t>
            </w:r>
          </w:p>
        </w:tc>
        <w:tc>
          <w:tcPr>
            <w:tcW w:w="1210" w:type="dxa"/>
            <w:shd w:val="clear" w:color="auto" w:fill="auto"/>
            <w:noWrap/>
            <w:vAlign w:val="center"/>
          </w:tcPr>
          <w:p w14:paraId="495AE5D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15.93</w:t>
            </w:r>
          </w:p>
        </w:tc>
      </w:tr>
      <w:tr w:rsidR="002133E3" w14:paraId="25172391" w14:textId="77777777">
        <w:trPr>
          <w:trHeight w:val="270"/>
          <w:jc w:val="center"/>
        </w:trPr>
        <w:tc>
          <w:tcPr>
            <w:tcW w:w="3843" w:type="dxa"/>
            <w:gridSpan w:val="3"/>
            <w:vMerge w:val="restart"/>
            <w:shd w:val="clear" w:color="auto" w:fill="auto"/>
            <w:noWrap/>
            <w:vAlign w:val="center"/>
          </w:tcPr>
          <w:p w14:paraId="2ECBEB1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废气吸收废水</w:t>
            </w:r>
          </w:p>
        </w:tc>
        <w:tc>
          <w:tcPr>
            <w:tcW w:w="943" w:type="dxa"/>
            <w:shd w:val="clear" w:color="auto" w:fill="auto"/>
            <w:vAlign w:val="center"/>
          </w:tcPr>
          <w:p w14:paraId="6006C14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shd w:val="clear" w:color="auto" w:fill="auto"/>
            <w:noWrap/>
            <w:vAlign w:val="center"/>
          </w:tcPr>
          <w:p w14:paraId="7E3268A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物料平衡法</w:t>
            </w:r>
          </w:p>
        </w:tc>
        <w:tc>
          <w:tcPr>
            <w:tcW w:w="1428" w:type="dxa"/>
            <w:vMerge w:val="restart"/>
            <w:shd w:val="clear" w:color="auto" w:fill="auto"/>
            <w:vAlign w:val="center"/>
          </w:tcPr>
          <w:p w14:paraId="6EE6E6E0" w14:textId="77777777" w:rsidR="002133E3" w:rsidRDefault="00C22CFA">
            <w:pPr>
              <w:jc w:val="center"/>
              <w:rPr>
                <w:rFonts w:ascii="Times New Roman" w:eastAsia="等线" w:hAnsi="Times New Roman" w:cs="Times New Roman"/>
                <w:kern w:val="0"/>
                <w:szCs w:val="21"/>
              </w:rPr>
            </w:pPr>
            <w:r>
              <w:rPr>
                <w:rFonts w:ascii="Times New Roman" w:eastAsia="等线" w:hAnsi="Times New Roman" w:cs="Times New Roman"/>
                <w:szCs w:val="21"/>
              </w:rPr>
              <w:t>406.37</w:t>
            </w:r>
          </w:p>
        </w:tc>
        <w:tc>
          <w:tcPr>
            <w:tcW w:w="1155" w:type="dxa"/>
            <w:shd w:val="clear" w:color="auto" w:fill="auto"/>
            <w:vAlign w:val="center"/>
          </w:tcPr>
          <w:p w14:paraId="2B340F6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692745</w:t>
            </w:r>
          </w:p>
        </w:tc>
        <w:tc>
          <w:tcPr>
            <w:tcW w:w="1210" w:type="dxa"/>
            <w:shd w:val="clear" w:color="auto" w:fill="auto"/>
            <w:vAlign w:val="center"/>
          </w:tcPr>
          <w:p w14:paraId="073F5E7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281.5 </w:t>
            </w:r>
          </w:p>
        </w:tc>
      </w:tr>
      <w:tr w:rsidR="002133E3" w14:paraId="0E95FF0E" w14:textId="77777777">
        <w:trPr>
          <w:trHeight w:val="270"/>
          <w:jc w:val="center"/>
        </w:trPr>
        <w:tc>
          <w:tcPr>
            <w:tcW w:w="3843" w:type="dxa"/>
            <w:gridSpan w:val="3"/>
            <w:vMerge/>
            <w:vAlign w:val="center"/>
          </w:tcPr>
          <w:p w14:paraId="03BC3796" w14:textId="77777777" w:rsidR="002133E3" w:rsidRDefault="002133E3">
            <w:pPr>
              <w:widowControl/>
              <w:jc w:val="left"/>
              <w:rPr>
                <w:rFonts w:ascii="Times New Roman" w:eastAsia="等线" w:hAnsi="Times New Roman" w:cs="Times New Roman"/>
                <w:color w:val="000000"/>
                <w:kern w:val="0"/>
                <w:szCs w:val="21"/>
              </w:rPr>
            </w:pPr>
          </w:p>
        </w:tc>
        <w:tc>
          <w:tcPr>
            <w:tcW w:w="943" w:type="dxa"/>
            <w:shd w:val="clear" w:color="auto" w:fill="auto"/>
            <w:vAlign w:val="center"/>
          </w:tcPr>
          <w:p w14:paraId="66AD3B0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SS</w:t>
            </w:r>
          </w:p>
        </w:tc>
        <w:tc>
          <w:tcPr>
            <w:tcW w:w="1276" w:type="dxa"/>
            <w:shd w:val="clear" w:color="auto" w:fill="auto"/>
            <w:noWrap/>
            <w:vAlign w:val="center"/>
          </w:tcPr>
          <w:p w14:paraId="1EBE449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ign w:val="center"/>
          </w:tcPr>
          <w:p w14:paraId="045A7F3F"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vAlign w:val="center"/>
          </w:tcPr>
          <w:p w14:paraId="1ED0495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40</w:t>
            </w:r>
          </w:p>
        </w:tc>
        <w:tc>
          <w:tcPr>
            <w:tcW w:w="1210" w:type="dxa"/>
            <w:shd w:val="clear" w:color="auto" w:fill="auto"/>
            <w:vAlign w:val="center"/>
          </w:tcPr>
          <w:p w14:paraId="3799491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0.02 </w:t>
            </w:r>
          </w:p>
        </w:tc>
      </w:tr>
      <w:tr w:rsidR="002133E3" w14:paraId="7F95FD0A" w14:textId="77777777">
        <w:trPr>
          <w:trHeight w:val="285"/>
          <w:jc w:val="center"/>
        </w:trPr>
        <w:tc>
          <w:tcPr>
            <w:tcW w:w="1533" w:type="dxa"/>
            <w:vMerge w:val="restart"/>
            <w:shd w:val="clear" w:color="auto" w:fill="auto"/>
            <w:vAlign w:val="center"/>
          </w:tcPr>
          <w:p w14:paraId="2B666DB1"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酒精</w:t>
            </w:r>
            <w:r>
              <w:rPr>
                <w:rFonts w:ascii="Times New Roman" w:eastAsia="等线" w:hAnsi="Times New Roman" w:cs="Times New Roman"/>
                <w:kern w:val="0"/>
                <w:szCs w:val="21"/>
              </w:rPr>
              <w:t>(</w:t>
            </w:r>
            <w:r>
              <w:rPr>
                <w:rFonts w:ascii="Times New Roman" w:eastAsia="宋体" w:hAnsi="Times New Roman" w:cs="Times New Roman"/>
                <w:kern w:val="0"/>
                <w:szCs w:val="21"/>
              </w:rPr>
              <w:t>≥</w:t>
            </w:r>
            <w:r>
              <w:rPr>
                <w:rFonts w:ascii="Times New Roman" w:eastAsia="等线" w:hAnsi="Times New Roman" w:cs="Times New Roman"/>
                <w:kern w:val="0"/>
                <w:szCs w:val="21"/>
              </w:rPr>
              <w:t>95%,V/V)</w:t>
            </w:r>
            <w:r>
              <w:rPr>
                <w:rFonts w:ascii="Times New Roman" w:eastAsia="宋体" w:hAnsi="Times New Roman" w:cs="Times New Roman"/>
                <w:kern w:val="0"/>
                <w:szCs w:val="21"/>
              </w:rPr>
              <w:t>生产线</w:t>
            </w:r>
          </w:p>
        </w:tc>
        <w:tc>
          <w:tcPr>
            <w:tcW w:w="1155" w:type="dxa"/>
            <w:vMerge w:val="restart"/>
            <w:shd w:val="clear" w:color="auto" w:fill="auto"/>
            <w:vAlign w:val="center"/>
          </w:tcPr>
          <w:p w14:paraId="138ADC3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精馏塔（两塔蒸馏系统）</w:t>
            </w:r>
          </w:p>
        </w:tc>
        <w:tc>
          <w:tcPr>
            <w:tcW w:w="1155" w:type="dxa"/>
            <w:vMerge w:val="restart"/>
            <w:shd w:val="clear" w:color="auto" w:fill="auto"/>
            <w:noWrap/>
            <w:vAlign w:val="center"/>
          </w:tcPr>
          <w:p w14:paraId="512F1DA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精馏底液</w:t>
            </w:r>
            <w:r>
              <w:rPr>
                <w:rFonts w:ascii="Times New Roman" w:eastAsia="等线" w:hAnsi="Times New Roman" w:cs="Times New Roman"/>
                <w:kern w:val="0"/>
                <w:szCs w:val="21"/>
              </w:rPr>
              <w:t>W</w:t>
            </w:r>
            <w:r>
              <w:rPr>
                <w:rFonts w:ascii="Times New Roman" w:eastAsia="等线" w:hAnsi="Times New Roman" w:cs="Times New Roman"/>
                <w:kern w:val="0"/>
                <w:szCs w:val="21"/>
                <w:vertAlign w:val="subscript"/>
              </w:rPr>
              <w:t>1-2</w:t>
            </w:r>
          </w:p>
        </w:tc>
        <w:tc>
          <w:tcPr>
            <w:tcW w:w="943" w:type="dxa"/>
            <w:shd w:val="clear" w:color="auto" w:fill="auto"/>
            <w:noWrap/>
            <w:vAlign w:val="center"/>
          </w:tcPr>
          <w:p w14:paraId="1792145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pH</w:t>
            </w:r>
          </w:p>
        </w:tc>
        <w:tc>
          <w:tcPr>
            <w:tcW w:w="1276" w:type="dxa"/>
            <w:vMerge w:val="restart"/>
            <w:shd w:val="clear" w:color="auto" w:fill="auto"/>
            <w:noWrap/>
            <w:vAlign w:val="center"/>
          </w:tcPr>
          <w:p w14:paraId="5A234B0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noWrap/>
            <w:vAlign w:val="center"/>
          </w:tcPr>
          <w:p w14:paraId="170274A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22826.50</w:t>
            </w:r>
          </w:p>
        </w:tc>
        <w:tc>
          <w:tcPr>
            <w:tcW w:w="1155" w:type="dxa"/>
            <w:shd w:val="clear" w:color="auto" w:fill="auto"/>
            <w:noWrap/>
            <w:vAlign w:val="center"/>
          </w:tcPr>
          <w:p w14:paraId="5442297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 </w:t>
            </w:r>
          </w:p>
        </w:tc>
        <w:tc>
          <w:tcPr>
            <w:tcW w:w="1210" w:type="dxa"/>
            <w:shd w:val="clear" w:color="auto" w:fill="auto"/>
            <w:noWrap/>
            <w:vAlign w:val="center"/>
          </w:tcPr>
          <w:p w14:paraId="093CE12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r>
      <w:tr w:rsidR="002133E3" w14:paraId="09D026E3" w14:textId="77777777">
        <w:trPr>
          <w:trHeight w:val="270"/>
          <w:jc w:val="center"/>
        </w:trPr>
        <w:tc>
          <w:tcPr>
            <w:tcW w:w="1533" w:type="dxa"/>
            <w:vMerge/>
            <w:vAlign w:val="center"/>
          </w:tcPr>
          <w:p w14:paraId="3819561B"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3F090BD2"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5917521A"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vAlign w:val="center"/>
          </w:tcPr>
          <w:p w14:paraId="6EB58EF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ign w:val="center"/>
          </w:tcPr>
          <w:p w14:paraId="463AFD5D"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6016AC07"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60D2812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1000 </w:t>
            </w:r>
          </w:p>
        </w:tc>
        <w:tc>
          <w:tcPr>
            <w:tcW w:w="1210" w:type="dxa"/>
            <w:shd w:val="clear" w:color="auto" w:fill="auto"/>
            <w:noWrap/>
            <w:vAlign w:val="center"/>
          </w:tcPr>
          <w:p w14:paraId="06B2862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22.83 </w:t>
            </w:r>
          </w:p>
        </w:tc>
      </w:tr>
      <w:tr w:rsidR="002133E3" w14:paraId="00E67EEB" w14:textId="77777777">
        <w:trPr>
          <w:trHeight w:val="270"/>
          <w:jc w:val="center"/>
        </w:trPr>
        <w:tc>
          <w:tcPr>
            <w:tcW w:w="1533" w:type="dxa"/>
            <w:vMerge/>
            <w:vAlign w:val="center"/>
          </w:tcPr>
          <w:p w14:paraId="11707ADB"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2325D35D"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7D2A6C46"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5F88C34C"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盐分</w:t>
            </w:r>
          </w:p>
        </w:tc>
        <w:tc>
          <w:tcPr>
            <w:tcW w:w="1276" w:type="dxa"/>
            <w:shd w:val="clear" w:color="auto" w:fill="auto"/>
            <w:noWrap/>
            <w:vAlign w:val="center"/>
          </w:tcPr>
          <w:p w14:paraId="1CB91CD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物料平衡法</w:t>
            </w:r>
          </w:p>
        </w:tc>
        <w:tc>
          <w:tcPr>
            <w:tcW w:w="1428" w:type="dxa"/>
            <w:vMerge/>
            <w:vAlign w:val="center"/>
          </w:tcPr>
          <w:p w14:paraId="049442F8"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46D9D5E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372.37 </w:t>
            </w:r>
          </w:p>
        </w:tc>
        <w:tc>
          <w:tcPr>
            <w:tcW w:w="1210" w:type="dxa"/>
            <w:shd w:val="clear" w:color="auto" w:fill="auto"/>
            <w:noWrap/>
            <w:vAlign w:val="center"/>
          </w:tcPr>
          <w:p w14:paraId="2DF0908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8.50 </w:t>
            </w:r>
          </w:p>
        </w:tc>
      </w:tr>
      <w:tr w:rsidR="002133E3" w14:paraId="501B8DA2" w14:textId="77777777">
        <w:trPr>
          <w:trHeight w:val="270"/>
          <w:jc w:val="center"/>
        </w:trPr>
        <w:tc>
          <w:tcPr>
            <w:tcW w:w="1533" w:type="dxa"/>
            <w:vMerge/>
            <w:vAlign w:val="center"/>
          </w:tcPr>
          <w:p w14:paraId="259F9CFE" w14:textId="77777777" w:rsidR="002133E3" w:rsidRDefault="002133E3">
            <w:pPr>
              <w:widowControl/>
              <w:jc w:val="left"/>
              <w:rPr>
                <w:rFonts w:ascii="Times New Roman" w:eastAsia="等线" w:hAnsi="Times New Roman" w:cs="Times New Roman"/>
                <w:kern w:val="0"/>
                <w:szCs w:val="21"/>
              </w:rPr>
            </w:pPr>
          </w:p>
        </w:tc>
        <w:tc>
          <w:tcPr>
            <w:tcW w:w="1155" w:type="dxa"/>
            <w:vMerge w:val="restart"/>
            <w:shd w:val="clear" w:color="auto" w:fill="auto"/>
            <w:vAlign w:val="center"/>
          </w:tcPr>
          <w:p w14:paraId="775688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精馏塔（三塔蒸馏系统）</w:t>
            </w:r>
          </w:p>
        </w:tc>
        <w:tc>
          <w:tcPr>
            <w:tcW w:w="1155" w:type="dxa"/>
            <w:vMerge w:val="restart"/>
            <w:shd w:val="clear" w:color="auto" w:fill="auto"/>
            <w:noWrap/>
            <w:vAlign w:val="center"/>
          </w:tcPr>
          <w:p w14:paraId="4DCA0ABA"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精馏底液</w:t>
            </w:r>
            <w:r>
              <w:rPr>
                <w:rFonts w:ascii="Times New Roman" w:eastAsia="等线" w:hAnsi="Times New Roman" w:cs="Times New Roman"/>
                <w:kern w:val="0"/>
                <w:szCs w:val="21"/>
              </w:rPr>
              <w:t>W</w:t>
            </w:r>
            <w:r>
              <w:rPr>
                <w:rFonts w:ascii="Times New Roman" w:eastAsia="等线" w:hAnsi="Times New Roman" w:cs="Times New Roman"/>
                <w:kern w:val="0"/>
                <w:szCs w:val="21"/>
                <w:vertAlign w:val="subscript"/>
              </w:rPr>
              <w:t>1-4</w:t>
            </w:r>
          </w:p>
        </w:tc>
        <w:tc>
          <w:tcPr>
            <w:tcW w:w="943" w:type="dxa"/>
            <w:shd w:val="clear" w:color="auto" w:fill="auto"/>
            <w:noWrap/>
            <w:vAlign w:val="center"/>
          </w:tcPr>
          <w:p w14:paraId="5B0A6E4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pH</w:t>
            </w:r>
          </w:p>
        </w:tc>
        <w:tc>
          <w:tcPr>
            <w:tcW w:w="1276" w:type="dxa"/>
            <w:vMerge w:val="restart"/>
            <w:shd w:val="clear" w:color="auto" w:fill="auto"/>
            <w:noWrap/>
            <w:vAlign w:val="center"/>
          </w:tcPr>
          <w:p w14:paraId="3A35FC3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noWrap/>
            <w:vAlign w:val="center"/>
          </w:tcPr>
          <w:p w14:paraId="441A13C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42626.50</w:t>
            </w:r>
          </w:p>
        </w:tc>
        <w:tc>
          <w:tcPr>
            <w:tcW w:w="1155" w:type="dxa"/>
            <w:shd w:val="clear" w:color="auto" w:fill="auto"/>
            <w:noWrap/>
            <w:vAlign w:val="center"/>
          </w:tcPr>
          <w:p w14:paraId="3774FFC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 </w:t>
            </w:r>
          </w:p>
        </w:tc>
        <w:tc>
          <w:tcPr>
            <w:tcW w:w="1210" w:type="dxa"/>
            <w:shd w:val="clear" w:color="auto" w:fill="auto"/>
            <w:noWrap/>
            <w:vAlign w:val="center"/>
          </w:tcPr>
          <w:p w14:paraId="1E842F6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r>
      <w:tr w:rsidR="002133E3" w14:paraId="70AC3B66" w14:textId="77777777">
        <w:trPr>
          <w:trHeight w:val="270"/>
          <w:jc w:val="center"/>
        </w:trPr>
        <w:tc>
          <w:tcPr>
            <w:tcW w:w="1533" w:type="dxa"/>
            <w:vMerge/>
            <w:vAlign w:val="center"/>
          </w:tcPr>
          <w:p w14:paraId="4C156C6C"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6CED4CA4"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66A20E83"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vAlign w:val="center"/>
          </w:tcPr>
          <w:p w14:paraId="721396D2"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ign w:val="center"/>
          </w:tcPr>
          <w:p w14:paraId="748DF152"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046FBA86"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4D53512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1000 </w:t>
            </w:r>
          </w:p>
        </w:tc>
        <w:tc>
          <w:tcPr>
            <w:tcW w:w="1210" w:type="dxa"/>
            <w:shd w:val="clear" w:color="auto" w:fill="auto"/>
            <w:noWrap/>
            <w:vAlign w:val="center"/>
          </w:tcPr>
          <w:p w14:paraId="105D91B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42.63 </w:t>
            </w:r>
          </w:p>
        </w:tc>
      </w:tr>
      <w:tr w:rsidR="002133E3" w14:paraId="3E89350F" w14:textId="77777777">
        <w:trPr>
          <w:trHeight w:val="270"/>
          <w:jc w:val="center"/>
        </w:trPr>
        <w:tc>
          <w:tcPr>
            <w:tcW w:w="1533" w:type="dxa"/>
            <w:vMerge/>
            <w:vAlign w:val="center"/>
          </w:tcPr>
          <w:p w14:paraId="1A6FA60D"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48420D13"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28FC6F44"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7745439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盐分</w:t>
            </w:r>
          </w:p>
        </w:tc>
        <w:tc>
          <w:tcPr>
            <w:tcW w:w="1276" w:type="dxa"/>
            <w:shd w:val="clear" w:color="auto" w:fill="auto"/>
            <w:noWrap/>
            <w:vAlign w:val="center"/>
          </w:tcPr>
          <w:p w14:paraId="373FDBE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物料平衡法</w:t>
            </w:r>
          </w:p>
        </w:tc>
        <w:tc>
          <w:tcPr>
            <w:tcW w:w="1428" w:type="dxa"/>
            <w:vMerge/>
            <w:vAlign w:val="center"/>
          </w:tcPr>
          <w:p w14:paraId="27E47FD8"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0409412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199 </w:t>
            </w:r>
          </w:p>
        </w:tc>
        <w:tc>
          <w:tcPr>
            <w:tcW w:w="1210" w:type="dxa"/>
            <w:shd w:val="clear" w:color="auto" w:fill="auto"/>
            <w:noWrap/>
            <w:vAlign w:val="center"/>
          </w:tcPr>
          <w:p w14:paraId="7215848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8.50 </w:t>
            </w:r>
          </w:p>
        </w:tc>
      </w:tr>
      <w:tr w:rsidR="002133E3" w14:paraId="0DC8B6EB" w14:textId="77777777">
        <w:trPr>
          <w:trHeight w:val="270"/>
          <w:jc w:val="center"/>
        </w:trPr>
        <w:tc>
          <w:tcPr>
            <w:tcW w:w="1533" w:type="dxa"/>
            <w:vMerge/>
            <w:vAlign w:val="center"/>
          </w:tcPr>
          <w:p w14:paraId="30C56561" w14:textId="77777777" w:rsidR="002133E3" w:rsidRDefault="002133E3">
            <w:pPr>
              <w:widowControl/>
              <w:jc w:val="left"/>
              <w:rPr>
                <w:rFonts w:ascii="Times New Roman" w:eastAsia="等线" w:hAnsi="Times New Roman" w:cs="Times New Roman"/>
                <w:kern w:val="0"/>
                <w:szCs w:val="21"/>
              </w:rPr>
            </w:pPr>
          </w:p>
        </w:tc>
        <w:tc>
          <w:tcPr>
            <w:tcW w:w="1155" w:type="dxa"/>
            <w:vMerge w:val="restart"/>
            <w:shd w:val="clear" w:color="auto" w:fill="auto"/>
            <w:vAlign w:val="center"/>
          </w:tcPr>
          <w:p w14:paraId="1FCF076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精馏塔（三塔蒸馏系统）</w:t>
            </w:r>
          </w:p>
        </w:tc>
        <w:tc>
          <w:tcPr>
            <w:tcW w:w="1155" w:type="dxa"/>
            <w:vMerge w:val="restart"/>
            <w:shd w:val="clear" w:color="auto" w:fill="auto"/>
            <w:noWrap/>
            <w:vAlign w:val="center"/>
          </w:tcPr>
          <w:p w14:paraId="645C4AC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精馏底液</w:t>
            </w:r>
            <w:r>
              <w:rPr>
                <w:rFonts w:ascii="Times New Roman" w:eastAsia="等线" w:hAnsi="Times New Roman" w:cs="Times New Roman"/>
                <w:kern w:val="0"/>
                <w:szCs w:val="21"/>
              </w:rPr>
              <w:t>W</w:t>
            </w:r>
            <w:r>
              <w:rPr>
                <w:rFonts w:ascii="Times New Roman" w:eastAsia="等线" w:hAnsi="Times New Roman" w:cs="Times New Roman"/>
                <w:kern w:val="0"/>
                <w:szCs w:val="21"/>
                <w:vertAlign w:val="subscript"/>
              </w:rPr>
              <w:t>1-6</w:t>
            </w:r>
          </w:p>
        </w:tc>
        <w:tc>
          <w:tcPr>
            <w:tcW w:w="943" w:type="dxa"/>
            <w:shd w:val="clear" w:color="auto" w:fill="auto"/>
            <w:noWrap/>
            <w:vAlign w:val="center"/>
          </w:tcPr>
          <w:p w14:paraId="43AE2D0E"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pH</w:t>
            </w:r>
          </w:p>
        </w:tc>
        <w:tc>
          <w:tcPr>
            <w:tcW w:w="1276" w:type="dxa"/>
            <w:vMerge w:val="restart"/>
            <w:shd w:val="clear" w:color="auto" w:fill="auto"/>
            <w:noWrap/>
            <w:vAlign w:val="center"/>
          </w:tcPr>
          <w:p w14:paraId="0C034D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noWrap/>
            <w:vAlign w:val="center"/>
          </w:tcPr>
          <w:p w14:paraId="75C991AA"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42626.51</w:t>
            </w:r>
          </w:p>
        </w:tc>
        <w:tc>
          <w:tcPr>
            <w:tcW w:w="1155" w:type="dxa"/>
            <w:shd w:val="clear" w:color="auto" w:fill="auto"/>
            <w:noWrap/>
            <w:vAlign w:val="center"/>
          </w:tcPr>
          <w:p w14:paraId="50E6105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5 </w:t>
            </w:r>
          </w:p>
        </w:tc>
        <w:tc>
          <w:tcPr>
            <w:tcW w:w="1210" w:type="dxa"/>
            <w:shd w:val="clear" w:color="auto" w:fill="auto"/>
            <w:noWrap/>
            <w:vAlign w:val="center"/>
          </w:tcPr>
          <w:p w14:paraId="250D642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r>
      <w:tr w:rsidR="002133E3" w14:paraId="1B5D924D" w14:textId="77777777">
        <w:trPr>
          <w:trHeight w:val="270"/>
          <w:jc w:val="center"/>
        </w:trPr>
        <w:tc>
          <w:tcPr>
            <w:tcW w:w="1533" w:type="dxa"/>
            <w:vMerge/>
            <w:vAlign w:val="center"/>
          </w:tcPr>
          <w:p w14:paraId="681DFB0F"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6135564C"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563C985F"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vAlign w:val="center"/>
          </w:tcPr>
          <w:p w14:paraId="6DAE4A8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ign w:val="center"/>
          </w:tcPr>
          <w:p w14:paraId="526E0AF6"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62A76B30"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4BC7F8E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1000 </w:t>
            </w:r>
          </w:p>
        </w:tc>
        <w:tc>
          <w:tcPr>
            <w:tcW w:w="1210" w:type="dxa"/>
            <w:shd w:val="clear" w:color="auto" w:fill="auto"/>
            <w:noWrap/>
            <w:vAlign w:val="center"/>
          </w:tcPr>
          <w:p w14:paraId="51A3FE3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42.63 </w:t>
            </w:r>
          </w:p>
        </w:tc>
      </w:tr>
      <w:tr w:rsidR="002133E3" w14:paraId="2D6BB5CA" w14:textId="77777777">
        <w:trPr>
          <w:trHeight w:val="270"/>
          <w:jc w:val="center"/>
        </w:trPr>
        <w:tc>
          <w:tcPr>
            <w:tcW w:w="1533" w:type="dxa"/>
            <w:vMerge/>
            <w:vAlign w:val="center"/>
          </w:tcPr>
          <w:p w14:paraId="6FC25E86" w14:textId="77777777" w:rsidR="002133E3" w:rsidRDefault="002133E3">
            <w:pPr>
              <w:widowControl/>
              <w:jc w:val="left"/>
              <w:rPr>
                <w:rFonts w:ascii="Times New Roman" w:eastAsia="等线" w:hAnsi="Times New Roman" w:cs="Times New Roman"/>
                <w:kern w:val="0"/>
                <w:szCs w:val="21"/>
              </w:rPr>
            </w:pPr>
          </w:p>
        </w:tc>
        <w:tc>
          <w:tcPr>
            <w:tcW w:w="1155" w:type="dxa"/>
            <w:vMerge/>
            <w:vAlign w:val="center"/>
          </w:tcPr>
          <w:p w14:paraId="0EB1309F" w14:textId="77777777" w:rsidR="002133E3" w:rsidRDefault="002133E3">
            <w:pPr>
              <w:widowControl/>
              <w:jc w:val="left"/>
              <w:rPr>
                <w:rFonts w:ascii="Times New Roman" w:eastAsia="宋体" w:hAnsi="Times New Roman" w:cs="Times New Roman"/>
                <w:kern w:val="0"/>
                <w:szCs w:val="21"/>
              </w:rPr>
            </w:pPr>
          </w:p>
        </w:tc>
        <w:tc>
          <w:tcPr>
            <w:tcW w:w="1155" w:type="dxa"/>
            <w:vMerge/>
            <w:vAlign w:val="center"/>
          </w:tcPr>
          <w:p w14:paraId="3EA2F3A4"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noWrap/>
            <w:vAlign w:val="center"/>
          </w:tcPr>
          <w:p w14:paraId="0C69B70B"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盐分</w:t>
            </w:r>
          </w:p>
        </w:tc>
        <w:tc>
          <w:tcPr>
            <w:tcW w:w="1276" w:type="dxa"/>
            <w:shd w:val="clear" w:color="auto" w:fill="auto"/>
            <w:noWrap/>
            <w:vAlign w:val="center"/>
          </w:tcPr>
          <w:p w14:paraId="4E9FDA0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物料平衡法</w:t>
            </w:r>
          </w:p>
        </w:tc>
        <w:tc>
          <w:tcPr>
            <w:tcW w:w="1428" w:type="dxa"/>
            <w:vMerge/>
            <w:vAlign w:val="center"/>
          </w:tcPr>
          <w:p w14:paraId="657BAE0F"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noWrap/>
            <w:vAlign w:val="center"/>
          </w:tcPr>
          <w:p w14:paraId="54D150C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199.41 </w:t>
            </w:r>
          </w:p>
        </w:tc>
        <w:tc>
          <w:tcPr>
            <w:tcW w:w="1210" w:type="dxa"/>
            <w:shd w:val="clear" w:color="auto" w:fill="auto"/>
            <w:noWrap/>
            <w:vAlign w:val="center"/>
          </w:tcPr>
          <w:p w14:paraId="7D1518F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8.50 </w:t>
            </w:r>
          </w:p>
        </w:tc>
      </w:tr>
      <w:tr w:rsidR="002133E3" w14:paraId="0154B57A" w14:textId="77777777">
        <w:trPr>
          <w:trHeight w:val="270"/>
          <w:jc w:val="center"/>
        </w:trPr>
        <w:tc>
          <w:tcPr>
            <w:tcW w:w="3843" w:type="dxa"/>
            <w:gridSpan w:val="3"/>
            <w:vMerge w:val="restart"/>
            <w:shd w:val="clear" w:color="auto" w:fill="auto"/>
            <w:noWrap/>
            <w:vAlign w:val="center"/>
          </w:tcPr>
          <w:p w14:paraId="1829DC2E"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设备及地面冲洗</w:t>
            </w:r>
          </w:p>
        </w:tc>
        <w:tc>
          <w:tcPr>
            <w:tcW w:w="943" w:type="dxa"/>
            <w:shd w:val="clear" w:color="auto" w:fill="auto"/>
            <w:vAlign w:val="center"/>
          </w:tcPr>
          <w:p w14:paraId="18F0835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restart"/>
            <w:shd w:val="clear" w:color="auto" w:fill="auto"/>
            <w:noWrap/>
            <w:vAlign w:val="center"/>
          </w:tcPr>
          <w:p w14:paraId="5DEC588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vAlign w:val="center"/>
          </w:tcPr>
          <w:p w14:paraId="4F0D39C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6000</w:t>
            </w:r>
          </w:p>
        </w:tc>
        <w:tc>
          <w:tcPr>
            <w:tcW w:w="1155" w:type="dxa"/>
            <w:shd w:val="clear" w:color="auto" w:fill="auto"/>
            <w:vAlign w:val="center"/>
          </w:tcPr>
          <w:p w14:paraId="496DDE4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1500</w:t>
            </w:r>
          </w:p>
        </w:tc>
        <w:tc>
          <w:tcPr>
            <w:tcW w:w="1210" w:type="dxa"/>
            <w:shd w:val="clear" w:color="auto" w:fill="auto"/>
            <w:vAlign w:val="center"/>
          </w:tcPr>
          <w:p w14:paraId="16F648D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9.00 </w:t>
            </w:r>
          </w:p>
        </w:tc>
      </w:tr>
      <w:tr w:rsidR="002133E3" w14:paraId="4A21B44C" w14:textId="77777777">
        <w:trPr>
          <w:trHeight w:val="270"/>
          <w:jc w:val="center"/>
        </w:trPr>
        <w:tc>
          <w:tcPr>
            <w:tcW w:w="3843" w:type="dxa"/>
            <w:gridSpan w:val="3"/>
            <w:vMerge/>
            <w:vAlign w:val="center"/>
          </w:tcPr>
          <w:p w14:paraId="29C2AF3C"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vAlign w:val="center"/>
          </w:tcPr>
          <w:p w14:paraId="2CC9673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SS</w:t>
            </w:r>
          </w:p>
        </w:tc>
        <w:tc>
          <w:tcPr>
            <w:tcW w:w="1276" w:type="dxa"/>
            <w:vMerge/>
            <w:vAlign w:val="center"/>
          </w:tcPr>
          <w:p w14:paraId="45889256"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2362D309"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vAlign w:val="center"/>
          </w:tcPr>
          <w:p w14:paraId="2146BDB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500</w:t>
            </w:r>
          </w:p>
        </w:tc>
        <w:tc>
          <w:tcPr>
            <w:tcW w:w="1210" w:type="dxa"/>
            <w:shd w:val="clear" w:color="auto" w:fill="auto"/>
            <w:vAlign w:val="center"/>
          </w:tcPr>
          <w:p w14:paraId="31E8C6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3.00 </w:t>
            </w:r>
          </w:p>
        </w:tc>
      </w:tr>
      <w:tr w:rsidR="002133E3" w14:paraId="1C500C5F" w14:textId="77777777">
        <w:trPr>
          <w:trHeight w:val="270"/>
          <w:jc w:val="center"/>
        </w:trPr>
        <w:tc>
          <w:tcPr>
            <w:tcW w:w="3843" w:type="dxa"/>
            <w:gridSpan w:val="3"/>
            <w:vMerge w:val="restart"/>
            <w:shd w:val="clear" w:color="auto" w:fill="auto"/>
            <w:noWrap/>
            <w:vAlign w:val="center"/>
          </w:tcPr>
          <w:p w14:paraId="0A0EA14D" w14:textId="77777777" w:rsidR="002133E3" w:rsidRDefault="00C22CFA">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初期雨水</w:t>
            </w:r>
          </w:p>
        </w:tc>
        <w:tc>
          <w:tcPr>
            <w:tcW w:w="943" w:type="dxa"/>
            <w:shd w:val="clear" w:color="auto" w:fill="auto"/>
            <w:vAlign w:val="center"/>
          </w:tcPr>
          <w:p w14:paraId="6E4ECAB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COD</w:t>
            </w:r>
          </w:p>
        </w:tc>
        <w:tc>
          <w:tcPr>
            <w:tcW w:w="1276" w:type="dxa"/>
            <w:vMerge w:val="restart"/>
            <w:shd w:val="clear" w:color="auto" w:fill="auto"/>
            <w:noWrap/>
            <w:vAlign w:val="center"/>
          </w:tcPr>
          <w:p w14:paraId="5FC3636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类比法</w:t>
            </w:r>
          </w:p>
        </w:tc>
        <w:tc>
          <w:tcPr>
            <w:tcW w:w="1428" w:type="dxa"/>
            <w:vMerge w:val="restart"/>
            <w:shd w:val="clear" w:color="auto" w:fill="auto"/>
            <w:vAlign w:val="center"/>
          </w:tcPr>
          <w:p w14:paraId="65C89A8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396.64</w:t>
            </w:r>
          </w:p>
        </w:tc>
        <w:tc>
          <w:tcPr>
            <w:tcW w:w="1155" w:type="dxa"/>
            <w:shd w:val="clear" w:color="auto" w:fill="auto"/>
            <w:vAlign w:val="center"/>
          </w:tcPr>
          <w:p w14:paraId="5BDC93B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300</w:t>
            </w:r>
          </w:p>
        </w:tc>
        <w:tc>
          <w:tcPr>
            <w:tcW w:w="1210" w:type="dxa"/>
            <w:shd w:val="clear" w:color="auto" w:fill="auto"/>
            <w:vAlign w:val="center"/>
          </w:tcPr>
          <w:p w14:paraId="381BC48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0.12 </w:t>
            </w:r>
          </w:p>
        </w:tc>
      </w:tr>
      <w:tr w:rsidR="002133E3" w14:paraId="41B31A31" w14:textId="77777777">
        <w:trPr>
          <w:trHeight w:val="270"/>
          <w:jc w:val="center"/>
        </w:trPr>
        <w:tc>
          <w:tcPr>
            <w:tcW w:w="3843" w:type="dxa"/>
            <w:gridSpan w:val="3"/>
            <w:vMerge/>
            <w:vAlign w:val="center"/>
          </w:tcPr>
          <w:p w14:paraId="45F7665D" w14:textId="77777777" w:rsidR="002133E3" w:rsidRDefault="002133E3">
            <w:pPr>
              <w:widowControl/>
              <w:jc w:val="left"/>
              <w:rPr>
                <w:rFonts w:ascii="Times New Roman" w:eastAsia="等线" w:hAnsi="Times New Roman" w:cs="Times New Roman"/>
                <w:kern w:val="0"/>
                <w:szCs w:val="21"/>
              </w:rPr>
            </w:pPr>
          </w:p>
        </w:tc>
        <w:tc>
          <w:tcPr>
            <w:tcW w:w="943" w:type="dxa"/>
            <w:shd w:val="clear" w:color="auto" w:fill="auto"/>
            <w:vAlign w:val="center"/>
          </w:tcPr>
          <w:p w14:paraId="3F1ECD0F"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SS</w:t>
            </w:r>
          </w:p>
        </w:tc>
        <w:tc>
          <w:tcPr>
            <w:tcW w:w="1276" w:type="dxa"/>
            <w:vMerge/>
            <w:vAlign w:val="center"/>
          </w:tcPr>
          <w:p w14:paraId="1BAD9909" w14:textId="77777777" w:rsidR="002133E3" w:rsidRDefault="002133E3">
            <w:pPr>
              <w:widowControl/>
              <w:jc w:val="left"/>
              <w:rPr>
                <w:rFonts w:ascii="Times New Roman" w:eastAsia="宋体" w:hAnsi="Times New Roman" w:cs="Times New Roman"/>
                <w:color w:val="000000"/>
                <w:kern w:val="0"/>
                <w:szCs w:val="21"/>
              </w:rPr>
            </w:pPr>
          </w:p>
        </w:tc>
        <w:tc>
          <w:tcPr>
            <w:tcW w:w="1428" w:type="dxa"/>
            <w:vMerge/>
            <w:vAlign w:val="center"/>
          </w:tcPr>
          <w:p w14:paraId="6DD4A6EA" w14:textId="77777777" w:rsidR="002133E3" w:rsidRDefault="002133E3">
            <w:pPr>
              <w:widowControl/>
              <w:jc w:val="left"/>
              <w:rPr>
                <w:rFonts w:ascii="Times New Roman" w:eastAsia="等线" w:hAnsi="Times New Roman" w:cs="Times New Roman"/>
                <w:kern w:val="0"/>
                <w:szCs w:val="21"/>
              </w:rPr>
            </w:pPr>
          </w:p>
        </w:tc>
        <w:tc>
          <w:tcPr>
            <w:tcW w:w="1155" w:type="dxa"/>
            <w:shd w:val="clear" w:color="auto" w:fill="auto"/>
            <w:vAlign w:val="center"/>
          </w:tcPr>
          <w:p w14:paraId="1214452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300</w:t>
            </w:r>
          </w:p>
        </w:tc>
        <w:tc>
          <w:tcPr>
            <w:tcW w:w="1210" w:type="dxa"/>
            <w:shd w:val="clear" w:color="auto" w:fill="auto"/>
            <w:vAlign w:val="center"/>
          </w:tcPr>
          <w:p w14:paraId="2EAD19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0.12 </w:t>
            </w:r>
          </w:p>
        </w:tc>
      </w:tr>
    </w:tbl>
    <w:p w14:paraId="0F00AAFC" w14:textId="77777777" w:rsidR="002133E3" w:rsidRDefault="002133E3">
      <w:pPr>
        <w:adjustRightInd w:val="0"/>
        <w:snapToGrid w:val="0"/>
        <w:spacing w:line="500" w:lineRule="atLeast"/>
        <w:ind w:firstLineChars="200" w:firstLine="560"/>
        <w:rPr>
          <w:rFonts w:ascii="Times New Roman" w:eastAsia="宋体" w:hAnsi="Times New Roman" w:cs="Times New Roman"/>
          <w:kern w:val="0"/>
          <w:sz w:val="28"/>
          <w:szCs w:val="28"/>
        </w:rPr>
      </w:pPr>
    </w:p>
    <w:p w14:paraId="27AC4F94"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sectPr w:rsidR="002133E3">
          <w:pgSz w:w="11907" w:h="16840"/>
          <w:pgMar w:top="1134" w:right="1134" w:bottom="1134" w:left="1134" w:header="851" w:footer="992" w:gutter="0"/>
          <w:cols w:space="0"/>
          <w:docGrid w:linePitch="271"/>
        </w:sectPr>
      </w:pPr>
      <w:r>
        <w:rPr>
          <w:rFonts w:ascii="Times New Roman" w:eastAsia="宋体" w:hAnsi="Times New Roman" w:cs="Times New Roman"/>
          <w:kern w:val="0"/>
          <w:sz w:val="28"/>
          <w:szCs w:val="28"/>
        </w:rPr>
        <w:t xml:space="preserve">  </w:t>
      </w:r>
    </w:p>
    <w:p w14:paraId="1875A5ED" w14:textId="77777777" w:rsidR="002133E3" w:rsidRDefault="00C22CFA">
      <w:pPr>
        <w:widowControl/>
        <w:snapToGrid w:val="0"/>
        <w:spacing w:line="500" w:lineRule="atLeast"/>
        <w:jc w:val="center"/>
        <w:rPr>
          <w:rFonts w:ascii="Times New Roman" w:eastAsia="宋体" w:hAnsi="Times New Roman" w:cs="Times New Roman"/>
          <w:b/>
          <w:bCs/>
          <w:color w:val="000000"/>
          <w:kern w:val="0"/>
          <w:sz w:val="24"/>
          <w:szCs w:val="24"/>
        </w:rPr>
      </w:pPr>
      <w:r>
        <w:rPr>
          <w:rFonts w:ascii="Times New Roman" w:eastAsia="宋体" w:hAnsi="Times New Roman" w:cs="Times New Roman"/>
          <w:b/>
          <w:bCs/>
          <w:color w:val="000000"/>
          <w:kern w:val="0"/>
          <w:sz w:val="24"/>
          <w:szCs w:val="24"/>
        </w:rPr>
        <w:lastRenderedPageBreak/>
        <w:t>表</w:t>
      </w:r>
      <w:r>
        <w:rPr>
          <w:rFonts w:ascii="Times New Roman" w:eastAsia="宋体" w:hAnsi="Times New Roman" w:cs="Times New Roman"/>
          <w:b/>
          <w:bCs/>
          <w:color w:val="000000"/>
          <w:kern w:val="0"/>
          <w:sz w:val="24"/>
          <w:szCs w:val="24"/>
        </w:rPr>
        <w:t xml:space="preserve">4.5-6  </w:t>
      </w:r>
      <w:r>
        <w:rPr>
          <w:rFonts w:ascii="Times New Roman" w:eastAsia="宋体" w:hAnsi="Times New Roman" w:cs="Times New Roman"/>
          <w:b/>
          <w:bCs/>
          <w:color w:val="000000"/>
          <w:kern w:val="0"/>
          <w:sz w:val="24"/>
          <w:szCs w:val="24"/>
        </w:rPr>
        <w:t>项目废水污染源源强核算结果及相关参数一览表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1414"/>
        <w:gridCol w:w="1443"/>
        <w:gridCol w:w="1558"/>
        <w:gridCol w:w="1275"/>
        <w:gridCol w:w="994"/>
        <w:gridCol w:w="1133"/>
        <w:gridCol w:w="1278"/>
        <w:gridCol w:w="1419"/>
        <w:gridCol w:w="1416"/>
        <w:gridCol w:w="1068"/>
      </w:tblGrid>
      <w:tr w:rsidR="002133E3" w14:paraId="6A6B9995" w14:textId="77777777">
        <w:trPr>
          <w:trHeight w:val="285"/>
          <w:jc w:val="center"/>
        </w:trPr>
        <w:tc>
          <w:tcPr>
            <w:tcW w:w="605" w:type="pct"/>
            <w:vMerge w:val="restart"/>
            <w:shd w:val="clear" w:color="auto" w:fill="auto"/>
            <w:vAlign w:val="center"/>
          </w:tcPr>
          <w:p w14:paraId="746B41A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污染源</w:t>
            </w:r>
          </w:p>
        </w:tc>
        <w:tc>
          <w:tcPr>
            <w:tcW w:w="478" w:type="pct"/>
            <w:vMerge w:val="restart"/>
            <w:vAlign w:val="center"/>
          </w:tcPr>
          <w:p w14:paraId="51C355C0" w14:textId="77777777" w:rsidR="002133E3" w:rsidRDefault="00C22CFA">
            <w:pPr>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污染物名称</w:t>
            </w:r>
          </w:p>
        </w:tc>
        <w:tc>
          <w:tcPr>
            <w:tcW w:w="1446" w:type="pct"/>
            <w:gridSpan w:val="3"/>
            <w:shd w:val="clear" w:color="auto" w:fill="auto"/>
            <w:vAlign w:val="center"/>
          </w:tcPr>
          <w:p w14:paraId="4DBD80B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综合水质情况</w:t>
            </w:r>
            <w:r>
              <w:rPr>
                <w:rFonts w:ascii="Times New Roman" w:eastAsia="宋体" w:hAnsi="Times New Roman" w:cs="Times New Roman"/>
                <w:b/>
                <w:bCs/>
                <w:color w:val="000000"/>
                <w:kern w:val="0"/>
                <w:szCs w:val="21"/>
              </w:rPr>
              <w:t>mg/L</w:t>
            </w:r>
          </w:p>
        </w:tc>
        <w:tc>
          <w:tcPr>
            <w:tcW w:w="1151" w:type="pct"/>
            <w:gridSpan w:val="3"/>
            <w:shd w:val="clear" w:color="auto" w:fill="auto"/>
            <w:vAlign w:val="center"/>
          </w:tcPr>
          <w:p w14:paraId="7A00B24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治理措施</w:t>
            </w:r>
          </w:p>
        </w:tc>
        <w:tc>
          <w:tcPr>
            <w:tcW w:w="959" w:type="pct"/>
            <w:gridSpan w:val="2"/>
            <w:shd w:val="clear" w:color="auto" w:fill="auto"/>
            <w:vAlign w:val="center"/>
          </w:tcPr>
          <w:p w14:paraId="07C3D23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排放状况</w:t>
            </w:r>
          </w:p>
        </w:tc>
        <w:tc>
          <w:tcPr>
            <w:tcW w:w="361" w:type="pct"/>
            <w:vMerge w:val="restart"/>
            <w:shd w:val="clear" w:color="auto" w:fill="auto"/>
            <w:vAlign w:val="center"/>
          </w:tcPr>
          <w:p w14:paraId="7E64570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接管浓度</w:t>
            </w:r>
            <w:r>
              <w:rPr>
                <w:rFonts w:ascii="Times New Roman" w:eastAsia="宋体" w:hAnsi="Times New Roman" w:cs="Times New Roman"/>
                <w:b/>
                <w:bCs/>
                <w:color w:val="000000"/>
                <w:kern w:val="0"/>
                <w:szCs w:val="21"/>
              </w:rPr>
              <w:t>mg/L</w:t>
            </w:r>
          </w:p>
        </w:tc>
      </w:tr>
      <w:tr w:rsidR="002133E3" w14:paraId="1A1CE013" w14:textId="77777777">
        <w:trPr>
          <w:trHeight w:val="315"/>
          <w:jc w:val="center"/>
        </w:trPr>
        <w:tc>
          <w:tcPr>
            <w:tcW w:w="605" w:type="pct"/>
            <w:vMerge/>
            <w:vAlign w:val="center"/>
          </w:tcPr>
          <w:p w14:paraId="3CEFD4A7" w14:textId="77777777" w:rsidR="002133E3" w:rsidRDefault="002133E3">
            <w:pPr>
              <w:widowControl/>
              <w:jc w:val="left"/>
              <w:rPr>
                <w:rFonts w:ascii="Times New Roman" w:eastAsia="宋体" w:hAnsi="Times New Roman" w:cs="Times New Roman"/>
                <w:b/>
                <w:bCs/>
                <w:kern w:val="0"/>
                <w:szCs w:val="21"/>
              </w:rPr>
            </w:pPr>
          </w:p>
        </w:tc>
        <w:tc>
          <w:tcPr>
            <w:tcW w:w="478" w:type="pct"/>
            <w:vMerge/>
            <w:vAlign w:val="center"/>
          </w:tcPr>
          <w:p w14:paraId="57BDD73E" w14:textId="77777777" w:rsidR="002133E3" w:rsidRDefault="002133E3">
            <w:pPr>
              <w:widowControl/>
              <w:jc w:val="center"/>
              <w:rPr>
                <w:rFonts w:ascii="Times New Roman" w:eastAsia="宋体" w:hAnsi="Times New Roman" w:cs="Times New Roman"/>
                <w:b/>
                <w:bCs/>
                <w:color w:val="000000"/>
                <w:kern w:val="0"/>
                <w:szCs w:val="21"/>
              </w:rPr>
            </w:pPr>
          </w:p>
        </w:tc>
        <w:tc>
          <w:tcPr>
            <w:tcW w:w="488" w:type="pct"/>
            <w:shd w:val="clear" w:color="auto" w:fill="auto"/>
            <w:vAlign w:val="center"/>
          </w:tcPr>
          <w:p w14:paraId="28F757C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szCs w:val="21"/>
              </w:rPr>
              <w:t>废水量</w:t>
            </w:r>
            <w:r>
              <w:rPr>
                <w:rFonts w:ascii="Times New Roman" w:eastAsia="宋体" w:hAnsi="Times New Roman" w:cs="Times New Roman"/>
                <w:b/>
                <w:bCs/>
                <w:szCs w:val="21"/>
              </w:rPr>
              <w:t>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/a</w:t>
            </w:r>
          </w:p>
        </w:tc>
        <w:tc>
          <w:tcPr>
            <w:tcW w:w="527" w:type="pct"/>
            <w:shd w:val="clear" w:color="auto" w:fill="auto"/>
            <w:noWrap/>
            <w:vAlign w:val="center"/>
          </w:tcPr>
          <w:p w14:paraId="33EFBA4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浓度</w:t>
            </w:r>
            <w:r>
              <w:rPr>
                <w:rFonts w:ascii="Times New Roman" w:eastAsia="宋体" w:hAnsi="Times New Roman" w:cs="Times New Roman"/>
                <w:b/>
                <w:bCs/>
                <w:kern w:val="0"/>
                <w:szCs w:val="21"/>
              </w:rPr>
              <w:t>mg/L</w:t>
            </w:r>
          </w:p>
        </w:tc>
        <w:tc>
          <w:tcPr>
            <w:tcW w:w="431" w:type="pct"/>
            <w:shd w:val="clear" w:color="auto" w:fill="auto"/>
            <w:noWrap/>
            <w:vAlign w:val="center"/>
          </w:tcPr>
          <w:p w14:paraId="0ECACE4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产生量</w:t>
            </w:r>
            <w:r>
              <w:rPr>
                <w:rFonts w:ascii="Times New Roman" w:eastAsia="宋体" w:hAnsi="Times New Roman" w:cs="Times New Roman"/>
                <w:b/>
                <w:bCs/>
                <w:kern w:val="0"/>
                <w:szCs w:val="21"/>
              </w:rPr>
              <w:t>t/a</w:t>
            </w:r>
          </w:p>
        </w:tc>
        <w:tc>
          <w:tcPr>
            <w:tcW w:w="336" w:type="pct"/>
            <w:shd w:val="clear" w:color="auto" w:fill="auto"/>
            <w:noWrap/>
            <w:vAlign w:val="center"/>
          </w:tcPr>
          <w:p w14:paraId="1557428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工艺</w:t>
            </w:r>
          </w:p>
        </w:tc>
        <w:tc>
          <w:tcPr>
            <w:tcW w:w="383" w:type="pct"/>
            <w:shd w:val="clear" w:color="auto" w:fill="auto"/>
            <w:noWrap/>
            <w:vAlign w:val="center"/>
          </w:tcPr>
          <w:p w14:paraId="4F9FB6E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收集率</w:t>
            </w:r>
            <w:r>
              <w:rPr>
                <w:rFonts w:ascii="Times New Roman" w:eastAsia="宋体" w:hAnsi="Times New Roman" w:cs="Times New Roman"/>
                <w:color w:val="000000"/>
                <w:kern w:val="0"/>
                <w:szCs w:val="21"/>
              </w:rPr>
              <w:t>%</w:t>
            </w:r>
          </w:p>
        </w:tc>
        <w:tc>
          <w:tcPr>
            <w:tcW w:w="432" w:type="pct"/>
            <w:shd w:val="clear" w:color="auto" w:fill="auto"/>
            <w:noWrap/>
            <w:vAlign w:val="center"/>
          </w:tcPr>
          <w:p w14:paraId="3D391D9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处理效率</w:t>
            </w:r>
            <w:r>
              <w:rPr>
                <w:rFonts w:ascii="Times New Roman" w:eastAsia="宋体" w:hAnsi="Times New Roman" w:cs="Times New Roman"/>
                <w:color w:val="000000"/>
                <w:kern w:val="0"/>
                <w:szCs w:val="21"/>
              </w:rPr>
              <w:t>%</w:t>
            </w:r>
          </w:p>
        </w:tc>
        <w:tc>
          <w:tcPr>
            <w:tcW w:w="480" w:type="pct"/>
            <w:shd w:val="clear" w:color="auto" w:fill="auto"/>
            <w:vAlign w:val="center"/>
          </w:tcPr>
          <w:p w14:paraId="53317AA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浓度</w:t>
            </w:r>
            <w:r>
              <w:rPr>
                <w:rFonts w:ascii="Times New Roman" w:eastAsia="宋体" w:hAnsi="Times New Roman" w:cs="Times New Roman"/>
                <w:b/>
                <w:bCs/>
                <w:color w:val="000000"/>
                <w:kern w:val="0"/>
                <w:szCs w:val="21"/>
              </w:rPr>
              <w:t>mg/L</w:t>
            </w:r>
          </w:p>
        </w:tc>
        <w:tc>
          <w:tcPr>
            <w:tcW w:w="479" w:type="pct"/>
            <w:shd w:val="clear" w:color="auto" w:fill="auto"/>
            <w:vAlign w:val="center"/>
          </w:tcPr>
          <w:p w14:paraId="2C3C47F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接管量</w:t>
            </w:r>
            <w:r>
              <w:rPr>
                <w:rFonts w:ascii="Times New Roman" w:eastAsia="宋体" w:hAnsi="Times New Roman" w:cs="Times New Roman"/>
                <w:b/>
                <w:bCs/>
                <w:color w:val="000000"/>
                <w:kern w:val="0"/>
                <w:szCs w:val="21"/>
              </w:rPr>
              <w:t>t/a</w:t>
            </w:r>
          </w:p>
        </w:tc>
        <w:tc>
          <w:tcPr>
            <w:tcW w:w="361" w:type="pct"/>
            <w:vMerge/>
            <w:vAlign w:val="center"/>
          </w:tcPr>
          <w:p w14:paraId="1FA1B802" w14:textId="77777777" w:rsidR="002133E3" w:rsidRDefault="002133E3">
            <w:pPr>
              <w:widowControl/>
              <w:jc w:val="left"/>
              <w:rPr>
                <w:rFonts w:ascii="Times New Roman" w:eastAsia="宋体" w:hAnsi="Times New Roman" w:cs="Times New Roman"/>
                <w:b/>
                <w:bCs/>
                <w:color w:val="000000"/>
                <w:kern w:val="0"/>
                <w:szCs w:val="21"/>
              </w:rPr>
            </w:pPr>
          </w:p>
        </w:tc>
      </w:tr>
      <w:tr w:rsidR="002133E3" w14:paraId="46FF4187" w14:textId="77777777">
        <w:trPr>
          <w:trHeight w:val="285"/>
          <w:jc w:val="center"/>
        </w:trPr>
        <w:tc>
          <w:tcPr>
            <w:tcW w:w="605" w:type="pct"/>
            <w:vMerge w:val="restart"/>
            <w:shd w:val="clear" w:color="auto" w:fill="auto"/>
            <w:vAlign w:val="center"/>
          </w:tcPr>
          <w:p w14:paraId="60CCE6F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r>
              <w:rPr>
                <w:rFonts w:ascii="Times New Roman" w:eastAsia="宋体" w:hAnsi="Times New Roman" w:cs="Times New Roman"/>
                <w:kern w:val="0"/>
                <w:szCs w:val="21"/>
              </w:rPr>
              <w:t>(≥95%,V/V)</w:t>
            </w:r>
            <w:r>
              <w:rPr>
                <w:rFonts w:ascii="Times New Roman" w:eastAsia="宋体" w:hAnsi="Times New Roman" w:cs="Times New Roman"/>
                <w:kern w:val="0"/>
                <w:szCs w:val="21"/>
              </w:rPr>
              <w:t>生产线釜底残液、废气吸收废水</w:t>
            </w:r>
          </w:p>
        </w:tc>
        <w:tc>
          <w:tcPr>
            <w:tcW w:w="478" w:type="pct"/>
            <w:vAlign w:val="center"/>
          </w:tcPr>
          <w:p w14:paraId="2FC620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88" w:type="pct"/>
            <w:vMerge w:val="restart"/>
            <w:shd w:val="clear" w:color="auto" w:fill="auto"/>
            <w:noWrap/>
            <w:vAlign w:val="center"/>
          </w:tcPr>
          <w:p w14:paraId="5ECEF9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1103590.64</w:t>
            </w:r>
          </w:p>
        </w:tc>
        <w:tc>
          <w:tcPr>
            <w:tcW w:w="527" w:type="pct"/>
            <w:shd w:val="clear" w:color="auto" w:fill="auto"/>
            <w:noWrap/>
            <w:vAlign w:val="center"/>
          </w:tcPr>
          <w:p w14:paraId="455612E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1" w:type="pct"/>
            <w:shd w:val="clear" w:color="auto" w:fill="auto"/>
            <w:noWrap/>
            <w:vAlign w:val="center"/>
          </w:tcPr>
          <w:p w14:paraId="121FBE5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36" w:type="pct"/>
            <w:vMerge w:val="restart"/>
            <w:shd w:val="clear" w:color="auto" w:fill="auto"/>
            <w:vAlign w:val="center"/>
          </w:tcPr>
          <w:p w14:paraId="66D5358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厌氧</w:t>
            </w:r>
            <w:r>
              <w:rPr>
                <w:rFonts w:ascii="Times New Roman" w:eastAsia="宋体" w:hAnsi="Times New Roman" w:cs="Times New Roman"/>
                <w:kern w:val="0"/>
                <w:szCs w:val="21"/>
              </w:rPr>
              <w:t>+</w:t>
            </w:r>
            <w:r>
              <w:rPr>
                <w:rFonts w:ascii="Times New Roman" w:eastAsia="宋体" w:hAnsi="Times New Roman" w:cs="Times New Roman"/>
                <w:kern w:val="0"/>
                <w:szCs w:val="21"/>
              </w:rPr>
              <w:t>气浮</w:t>
            </w:r>
            <w:r>
              <w:rPr>
                <w:rFonts w:ascii="Times New Roman" w:eastAsia="宋体" w:hAnsi="Times New Roman" w:cs="Times New Roman"/>
                <w:kern w:val="0"/>
                <w:szCs w:val="21"/>
              </w:rPr>
              <w:t>+</w:t>
            </w:r>
            <w:r>
              <w:rPr>
                <w:rFonts w:ascii="Times New Roman" w:eastAsia="宋体" w:hAnsi="Times New Roman" w:cs="Times New Roman"/>
                <w:kern w:val="0"/>
                <w:szCs w:val="21"/>
              </w:rPr>
              <w:t>三级厌氧</w:t>
            </w:r>
            <w:r>
              <w:rPr>
                <w:rFonts w:ascii="Times New Roman" w:eastAsia="宋体" w:hAnsi="Times New Roman" w:cs="Times New Roman"/>
                <w:kern w:val="0"/>
                <w:szCs w:val="21"/>
              </w:rPr>
              <w:t>+</w:t>
            </w:r>
            <w:r>
              <w:rPr>
                <w:rFonts w:ascii="Times New Roman" w:eastAsia="宋体" w:hAnsi="Times New Roman" w:cs="Times New Roman"/>
                <w:kern w:val="0"/>
                <w:szCs w:val="21"/>
              </w:rPr>
              <w:t>好氧</w:t>
            </w:r>
          </w:p>
        </w:tc>
        <w:tc>
          <w:tcPr>
            <w:tcW w:w="383" w:type="pct"/>
            <w:shd w:val="clear" w:color="auto" w:fill="auto"/>
            <w:noWrap/>
            <w:vAlign w:val="center"/>
          </w:tcPr>
          <w:p w14:paraId="1C73E2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24C8DDE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xml:space="preserve">　</w:t>
            </w:r>
          </w:p>
        </w:tc>
        <w:tc>
          <w:tcPr>
            <w:tcW w:w="480" w:type="pct"/>
            <w:shd w:val="clear" w:color="auto" w:fill="auto"/>
            <w:noWrap/>
            <w:vAlign w:val="center"/>
          </w:tcPr>
          <w:p w14:paraId="48F5A3FC"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479" w:type="pct"/>
            <w:shd w:val="clear" w:color="auto" w:fill="auto"/>
            <w:noWrap/>
            <w:vAlign w:val="center"/>
          </w:tcPr>
          <w:p w14:paraId="12A0D5D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361" w:type="pct"/>
            <w:shd w:val="clear" w:color="auto" w:fill="auto"/>
            <w:noWrap/>
            <w:vAlign w:val="center"/>
          </w:tcPr>
          <w:p w14:paraId="3F37492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2225F780" w14:textId="77777777">
        <w:trPr>
          <w:trHeight w:val="270"/>
          <w:jc w:val="center"/>
        </w:trPr>
        <w:tc>
          <w:tcPr>
            <w:tcW w:w="605" w:type="pct"/>
            <w:vMerge/>
            <w:vAlign w:val="center"/>
          </w:tcPr>
          <w:p w14:paraId="4981AD63"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0EE5848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COD</w:t>
            </w:r>
          </w:p>
        </w:tc>
        <w:tc>
          <w:tcPr>
            <w:tcW w:w="488" w:type="pct"/>
            <w:vMerge/>
            <w:shd w:val="clear" w:color="auto" w:fill="auto"/>
            <w:noWrap/>
            <w:vAlign w:val="center"/>
          </w:tcPr>
          <w:p w14:paraId="161A3FE2"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081178D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60233</w:t>
            </w:r>
          </w:p>
        </w:tc>
        <w:tc>
          <w:tcPr>
            <w:tcW w:w="431" w:type="pct"/>
            <w:shd w:val="clear" w:color="auto" w:fill="auto"/>
            <w:noWrap/>
            <w:vAlign w:val="center"/>
          </w:tcPr>
          <w:p w14:paraId="2155FC1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66472.57 </w:t>
            </w:r>
          </w:p>
        </w:tc>
        <w:tc>
          <w:tcPr>
            <w:tcW w:w="336" w:type="pct"/>
            <w:vMerge/>
            <w:vAlign w:val="center"/>
          </w:tcPr>
          <w:p w14:paraId="7AB3ECD7"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6391FE0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72CBFB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99.34%</w:t>
            </w:r>
          </w:p>
        </w:tc>
        <w:tc>
          <w:tcPr>
            <w:tcW w:w="480" w:type="pct"/>
            <w:shd w:val="clear" w:color="auto" w:fill="auto"/>
            <w:noWrap/>
            <w:vAlign w:val="center"/>
          </w:tcPr>
          <w:p w14:paraId="1681579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400.00</w:t>
            </w:r>
          </w:p>
        </w:tc>
        <w:tc>
          <w:tcPr>
            <w:tcW w:w="479" w:type="pct"/>
            <w:shd w:val="clear" w:color="auto" w:fill="auto"/>
            <w:noWrap/>
            <w:vAlign w:val="center"/>
          </w:tcPr>
          <w:p w14:paraId="7B08DD6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441.44</w:t>
            </w:r>
          </w:p>
        </w:tc>
        <w:tc>
          <w:tcPr>
            <w:tcW w:w="361" w:type="pct"/>
            <w:shd w:val="clear" w:color="auto" w:fill="auto"/>
            <w:noWrap/>
            <w:vAlign w:val="center"/>
          </w:tcPr>
          <w:p w14:paraId="1E223A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400.00</w:t>
            </w:r>
          </w:p>
        </w:tc>
      </w:tr>
      <w:tr w:rsidR="002133E3" w14:paraId="2C902654" w14:textId="77777777">
        <w:trPr>
          <w:trHeight w:val="270"/>
          <w:jc w:val="center"/>
        </w:trPr>
        <w:tc>
          <w:tcPr>
            <w:tcW w:w="605" w:type="pct"/>
            <w:vMerge/>
            <w:vAlign w:val="center"/>
          </w:tcPr>
          <w:p w14:paraId="2594AAB1"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5364FC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SS</w:t>
            </w:r>
          </w:p>
        </w:tc>
        <w:tc>
          <w:tcPr>
            <w:tcW w:w="488" w:type="pct"/>
            <w:vMerge/>
            <w:shd w:val="clear" w:color="auto" w:fill="auto"/>
            <w:noWrap/>
            <w:vAlign w:val="center"/>
          </w:tcPr>
          <w:p w14:paraId="64441127"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2252F19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9996</w:t>
            </w:r>
          </w:p>
        </w:tc>
        <w:tc>
          <w:tcPr>
            <w:tcW w:w="431" w:type="pct"/>
            <w:shd w:val="clear" w:color="auto" w:fill="auto"/>
            <w:noWrap/>
            <w:vAlign w:val="center"/>
          </w:tcPr>
          <w:p w14:paraId="630B01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11031.86 </w:t>
            </w:r>
          </w:p>
        </w:tc>
        <w:tc>
          <w:tcPr>
            <w:tcW w:w="336" w:type="pct"/>
            <w:vMerge/>
            <w:vAlign w:val="center"/>
          </w:tcPr>
          <w:p w14:paraId="383EB454"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5898D8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7AC6D0D7" w14:textId="77777777" w:rsidR="002133E3" w:rsidRDefault="00C22CFA">
            <w:pPr>
              <w:widowControl/>
              <w:jc w:val="center"/>
              <w:rPr>
                <w:rFonts w:ascii="Times New Roman" w:eastAsia="等线" w:hAnsi="Times New Roman" w:cs="Times New Roman"/>
                <w:szCs w:val="21"/>
              </w:rPr>
            </w:pPr>
            <w:r>
              <w:rPr>
                <w:rFonts w:ascii="Times New Roman" w:eastAsia="等线" w:hAnsi="Times New Roman" w:cs="Times New Roman"/>
                <w:color w:val="000000"/>
                <w:szCs w:val="21"/>
              </w:rPr>
              <w:t>98.60%</w:t>
            </w:r>
          </w:p>
        </w:tc>
        <w:tc>
          <w:tcPr>
            <w:tcW w:w="480" w:type="pct"/>
            <w:shd w:val="clear" w:color="auto" w:fill="auto"/>
            <w:noWrap/>
            <w:vAlign w:val="center"/>
          </w:tcPr>
          <w:p w14:paraId="3846B2A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140</w:t>
            </w:r>
          </w:p>
        </w:tc>
        <w:tc>
          <w:tcPr>
            <w:tcW w:w="479" w:type="pct"/>
            <w:shd w:val="clear" w:color="auto" w:fill="auto"/>
            <w:noWrap/>
            <w:vAlign w:val="center"/>
          </w:tcPr>
          <w:p w14:paraId="0B4095E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154.50</w:t>
            </w:r>
          </w:p>
        </w:tc>
        <w:tc>
          <w:tcPr>
            <w:tcW w:w="361" w:type="pct"/>
            <w:shd w:val="clear" w:color="auto" w:fill="auto"/>
            <w:noWrap/>
            <w:vAlign w:val="center"/>
          </w:tcPr>
          <w:p w14:paraId="47C35B3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140</w:t>
            </w:r>
          </w:p>
        </w:tc>
      </w:tr>
      <w:tr w:rsidR="002133E3" w14:paraId="3980DB2A" w14:textId="77777777">
        <w:trPr>
          <w:trHeight w:val="270"/>
          <w:jc w:val="center"/>
        </w:trPr>
        <w:tc>
          <w:tcPr>
            <w:tcW w:w="605" w:type="pct"/>
            <w:vMerge/>
            <w:vAlign w:val="center"/>
          </w:tcPr>
          <w:p w14:paraId="311B1EF6"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787F90E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总氮</w:t>
            </w:r>
          </w:p>
        </w:tc>
        <w:tc>
          <w:tcPr>
            <w:tcW w:w="488" w:type="pct"/>
            <w:vMerge/>
            <w:shd w:val="clear" w:color="auto" w:fill="auto"/>
            <w:noWrap/>
            <w:vAlign w:val="center"/>
          </w:tcPr>
          <w:p w14:paraId="50E76122"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5786469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87</w:t>
            </w:r>
          </w:p>
        </w:tc>
        <w:tc>
          <w:tcPr>
            <w:tcW w:w="431" w:type="pct"/>
            <w:shd w:val="clear" w:color="auto" w:fill="auto"/>
            <w:noWrap/>
            <w:vAlign w:val="center"/>
          </w:tcPr>
          <w:p w14:paraId="554E141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95.68 </w:t>
            </w:r>
          </w:p>
        </w:tc>
        <w:tc>
          <w:tcPr>
            <w:tcW w:w="336" w:type="pct"/>
            <w:vMerge/>
            <w:vAlign w:val="center"/>
          </w:tcPr>
          <w:p w14:paraId="2F66D53C"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170F2E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3C8407D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42.33%</w:t>
            </w:r>
          </w:p>
        </w:tc>
        <w:tc>
          <w:tcPr>
            <w:tcW w:w="480" w:type="pct"/>
            <w:shd w:val="clear" w:color="auto" w:fill="auto"/>
            <w:noWrap/>
            <w:vAlign w:val="center"/>
          </w:tcPr>
          <w:p w14:paraId="302D2C2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50.0</w:t>
            </w:r>
          </w:p>
        </w:tc>
        <w:tc>
          <w:tcPr>
            <w:tcW w:w="479" w:type="pct"/>
            <w:shd w:val="clear" w:color="auto" w:fill="auto"/>
            <w:noWrap/>
            <w:vAlign w:val="center"/>
          </w:tcPr>
          <w:p w14:paraId="5004A43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55.18</w:t>
            </w:r>
          </w:p>
        </w:tc>
        <w:tc>
          <w:tcPr>
            <w:tcW w:w="361" w:type="pct"/>
            <w:shd w:val="clear" w:color="auto" w:fill="auto"/>
            <w:noWrap/>
            <w:vAlign w:val="center"/>
          </w:tcPr>
          <w:p w14:paraId="5D1CEB6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50.0</w:t>
            </w:r>
          </w:p>
        </w:tc>
      </w:tr>
      <w:tr w:rsidR="002133E3" w14:paraId="5C304661" w14:textId="77777777">
        <w:trPr>
          <w:trHeight w:val="270"/>
          <w:jc w:val="center"/>
        </w:trPr>
        <w:tc>
          <w:tcPr>
            <w:tcW w:w="605" w:type="pct"/>
            <w:vMerge/>
            <w:vAlign w:val="center"/>
          </w:tcPr>
          <w:p w14:paraId="1F64ABEF"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7424A2D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p>
        </w:tc>
        <w:tc>
          <w:tcPr>
            <w:tcW w:w="488" w:type="pct"/>
            <w:vMerge/>
            <w:shd w:val="clear" w:color="auto" w:fill="auto"/>
            <w:noWrap/>
            <w:vAlign w:val="center"/>
          </w:tcPr>
          <w:p w14:paraId="3C88536C"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54F521F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111</w:t>
            </w:r>
          </w:p>
        </w:tc>
        <w:tc>
          <w:tcPr>
            <w:tcW w:w="431" w:type="pct"/>
            <w:shd w:val="clear" w:color="auto" w:fill="auto"/>
            <w:noWrap/>
            <w:vAlign w:val="center"/>
          </w:tcPr>
          <w:p w14:paraId="5B25B2E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122.77 </w:t>
            </w:r>
          </w:p>
        </w:tc>
        <w:tc>
          <w:tcPr>
            <w:tcW w:w="336" w:type="pct"/>
            <w:vMerge/>
            <w:vAlign w:val="center"/>
          </w:tcPr>
          <w:p w14:paraId="504C8F59"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24241DD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189A09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73.03%</w:t>
            </w:r>
          </w:p>
        </w:tc>
        <w:tc>
          <w:tcPr>
            <w:tcW w:w="480" w:type="pct"/>
            <w:shd w:val="clear" w:color="auto" w:fill="auto"/>
            <w:noWrap/>
            <w:vAlign w:val="center"/>
          </w:tcPr>
          <w:p w14:paraId="6878482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30</w:t>
            </w:r>
          </w:p>
        </w:tc>
        <w:tc>
          <w:tcPr>
            <w:tcW w:w="479" w:type="pct"/>
            <w:shd w:val="clear" w:color="auto" w:fill="auto"/>
            <w:noWrap/>
            <w:vAlign w:val="center"/>
          </w:tcPr>
          <w:p w14:paraId="69760D1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33.11</w:t>
            </w:r>
          </w:p>
        </w:tc>
        <w:tc>
          <w:tcPr>
            <w:tcW w:w="361" w:type="pct"/>
            <w:shd w:val="clear" w:color="auto" w:fill="auto"/>
            <w:noWrap/>
            <w:vAlign w:val="center"/>
          </w:tcPr>
          <w:p w14:paraId="70DFFE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r>
      <w:tr w:rsidR="002133E3" w14:paraId="3169B1E3" w14:textId="77777777">
        <w:trPr>
          <w:trHeight w:val="270"/>
          <w:jc w:val="center"/>
        </w:trPr>
        <w:tc>
          <w:tcPr>
            <w:tcW w:w="605" w:type="pct"/>
            <w:vMerge/>
            <w:vAlign w:val="center"/>
          </w:tcPr>
          <w:p w14:paraId="4308ECA7"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486B8E5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p>
        </w:tc>
        <w:tc>
          <w:tcPr>
            <w:tcW w:w="488" w:type="pct"/>
            <w:vMerge/>
            <w:shd w:val="clear" w:color="auto" w:fill="auto"/>
            <w:noWrap/>
            <w:vAlign w:val="center"/>
          </w:tcPr>
          <w:p w14:paraId="6140B157"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09E03B9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w:t>
            </w:r>
          </w:p>
        </w:tc>
        <w:tc>
          <w:tcPr>
            <w:tcW w:w="431" w:type="pct"/>
            <w:shd w:val="clear" w:color="auto" w:fill="auto"/>
            <w:noWrap/>
            <w:vAlign w:val="center"/>
          </w:tcPr>
          <w:p w14:paraId="7A5BA3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5.39 </w:t>
            </w:r>
          </w:p>
        </w:tc>
        <w:tc>
          <w:tcPr>
            <w:tcW w:w="336" w:type="pct"/>
            <w:vMerge/>
            <w:vAlign w:val="center"/>
          </w:tcPr>
          <w:p w14:paraId="28A86218"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5EC7EC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36BCD37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38.61%</w:t>
            </w:r>
          </w:p>
        </w:tc>
        <w:tc>
          <w:tcPr>
            <w:tcW w:w="480" w:type="pct"/>
            <w:shd w:val="clear" w:color="auto" w:fill="auto"/>
            <w:noWrap/>
            <w:vAlign w:val="center"/>
          </w:tcPr>
          <w:p w14:paraId="050A4B6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w:t>
            </w:r>
          </w:p>
        </w:tc>
        <w:tc>
          <w:tcPr>
            <w:tcW w:w="479" w:type="pct"/>
            <w:shd w:val="clear" w:color="auto" w:fill="auto"/>
            <w:noWrap/>
            <w:vAlign w:val="center"/>
          </w:tcPr>
          <w:p w14:paraId="76FADAC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3.31</w:t>
            </w:r>
          </w:p>
        </w:tc>
        <w:tc>
          <w:tcPr>
            <w:tcW w:w="361" w:type="pct"/>
            <w:shd w:val="clear" w:color="auto" w:fill="auto"/>
            <w:noWrap/>
            <w:vAlign w:val="center"/>
          </w:tcPr>
          <w:p w14:paraId="10A8A90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r>
      <w:tr w:rsidR="002133E3" w14:paraId="4D5846EE" w14:textId="77777777">
        <w:trPr>
          <w:trHeight w:val="270"/>
          <w:jc w:val="center"/>
        </w:trPr>
        <w:tc>
          <w:tcPr>
            <w:tcW w:w="605" w:type="pct"/>
            <w:vMerge/>
            <w:vAlign w:val="center"/>
          </w:tcPr>
          <w:p w14:paraId="3EDA0F5B"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4E8BF13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盐分</w:t>
            </w:r>
          </w:p>
        </w:tc>
        <w:tc>
          <w:tcPr>
            <w:tcW w:w="488" w:type="pct"/>
            <w:vMerge/>
            <w:shd w:val="clear" w:color="auto" w:fill="auto"/>
            <w:noWrap/>
            <w:vAlign w:val="center"/>
          </w:tcPr>
          <w:p w14:paraId="69B2D9E5"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0D5E287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29</w:t>
            </w:r>
          </w:p>
        </w:tc>
        <w:tc>
          <w:tcPr>
            <w:tcW w:w="431" w:type="pct"/>
            <w:shd w:val="clear" w:color="auto" w:fill="auto"/>
            <w:noWrap/>
            <w:vAlign w:val="center"/>
          </w:tcPr>
          <w:p w14:paraId="70443E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31.87 </w:t>
            </w:r>
          </w:p>
        </w:tc>
        <w:tc>
          <w:tcPr>
            <w:tcW w:w="336" w:type="pct"/>
            <w:vMerge/>
            <w:vAlign w:val="center"/>
          </w:tcPr>
          <w:p w14:paraId="0527D81E"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649AA95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1C5EB85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80" w:type="pct"/>
            <w:shd w:val="clear" w:color="auto" w:fill="auto"/>
            <w:noWrap/>
            <w:vAlign w:val="center"/>
          </w:tcPr>
          <w:p w14:paraId="78D367C7"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28.88</w:t>
            </w:r>
          </w:p>
        </w:tc>
        <w:tc>
          <w:tcPr>
            <w:tcW w:w="479" w:type="pct"/>
            <w:shd w:val="clear" w:color="auto" w:fill="auto"/>
            <w:noWrap/>
            <w:vAlign w:val="center"/>
          </w:tcPr>
          <w:p w14:paraId="61412CA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31.87 </w:t>
            </w:r>
          </w:p>
        </w:tc>
        <w:tc>
          <w:tcPr>
            <w:tcW w:w="361" w:type="pct"/>
            <w:shd w:val="clear" w:color="auto" w:fill="auto"/>
            <w:noWrap/>
            <w:vAlign w:val="center"/>
          </w:tcPr>
          <w:p w14:paraId="1C5A400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6D349FCC" w14:textId="77777777">
        <w:trPr>
          <w:trHeight w:val="285"/>
          <w:jc w:val="center"/>
        </w:trPr>
        <w:tc>
          <w:tcPr>
            <w:tcW w:w="605" w:type="pct"/>
            <w:vMerge w:val="restart"/>
            <w:shd w:val="clear" w:color="auto" w:fill="auto"/>
            <w:vAlign w:val="center"/>
          </w:tcPr>
          <w:p w14:paraId="4EA5FD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酒精</w:t>
            </w:r>
            <w:r>
              <w:rPr>
                <w:rFonts w:ascii="Times New Roman" w:eastAsia="宋体" w:hAnsi="Times New Roman" w:cs="Times New Roman"/>
                <w:kern w:val="0"/>
                <w:szCs w:val="21"/>
              </w:rPr>
              <w:t>(≥95%,V/V)</w:t>
            </w:r>
            <w:r>
              <w:rPr>
                <w:rFonts w:ascii="Times New Roman" w:eastAsia="宋体" w:hAnsi="Times New Roman" w:cs="Times New Roman"/>
                <w:kern w:val="0"/>
                <w:szCs w:val="21"/>
              </w:rPr>
              <w:t>生产线精馏底液、设备及地面冲洗、初期雨水</w:t>
            </w:r>
          </w:p>
        </w:tc>
        <w:tc>
          <w:tcPr>
            <w:tcW w:w="478" w:type="pct"/>
            <w:vAlign w:val="center"/>
          </w:tcPr>
          <w:p w14:paraId="50F0F2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pH</w:t>
            </w:r>
          </w:p>
        </w:tc>
        <w:tc>
          <w:tcPr>
            <w:tcW w:w="488" w:type="pct"/>
            <w:vMerge w:val="restart"/>
            <w:shd w:val="clear" w:color="auto" w:fill="auto"/>
            <w:noWrap/>
            <w:vAlign w:val="center"/>
          </w:tcPr>
          <w:p w14:paraId="469E08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71849.63</w:t>
            </w:r>
          </w:p>
        </w:tc>
        <w:tc>
          <w:tcPr>
            <w:tcW w:w="527" w:type="pct"/>
            <w:shd w:val="clear" w:color="auto" w:fill="auto"/>
            <w:noWrap/>
            <w:vAlign w:val="center"/>
          </w:tcPr>
          <w:p w14:paraId="37B3DCB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1" w:type="pct"/>
            <w:shd w:val="clear" w:color="auto" w:fill="auto"/>
            <w:noWrap/>
            <w:vAlign w:val="center"/>
          </w:tcPr>
          <w:p w14:paraId="0A26EE7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36" w:type="pct"/>
            <w:vMerge w:val="restart"/>
            <w:shd w:val="clear" w:color="auto" w:fill="auto"/>
            <w:vAlign w:val="center"/>
          </w:tcPr>
          <w:p w14:paraId="1295FAA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三级厌氧</w:t>
            </w:r>
            <w:r>
              <w:rPr>
                <w:rFonts w:ascii="Times New Roman" w:eastAsia="宋体" w:hAnsi="Times New Roman" w:cs="Times New Roman"/>
                <w:kern w:val="0"/>
                <w:szCs w:val="21"/>
              </w:rPr>
              <w:t>+</w:t>
            </w:r>
            <w:r>
              <w:rPr>
                <w:rFonts w:ascii="Times New Roman" w:eastAsia="宋体" w:hAnsi="Times New Roman" w:cs="Times New Roman"/>
                <w:kern w:val="0"/>
                <w:szCs w:val="21"/>
              </w:rPr>
              <w:t>好氧</w:t>
            </w:r>
          </w:p>
        </w:tc>
        <w:tc>
          <w:tcPr>
            <w:tcW w:w="383" w:type="pct"/>
            <w:shd w:val="clear" w:color="auto" w:fill="auto"/>
            <w:noWrap/>
            <w:vAlign w:val="center"/>
          </w:tcPr>
          <w:p w14:paraId="1EBCD85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4DC36F7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80" w:type="pct"/>
            <w:shd w:val="clear" w:color="auto" w:fill="auto"/>
            <w:noWrap/>
            <w:vAlign w:val="center"/>
          </w:tcPr>
          <w:p w14:paraId="5D992D5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w:t>
            </w:r>
          </w:p>
        </w:tc>
        <w:tc>
          <w:tcPr>
            <w:tcW w:w="479" w:type="pct"/>
            <w:shd w:val="clear" w:color="auto" w:fill="auto"/>
            <w:noWrap/>
            <w:vAlign w:val="center"/>
          </w:tcPr>
          <w:p w14:paraId="586CF9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szCs w:val="21"/>
              </w:rPr>
              <w:t>-</w:t>
            </w:r>
          </w:p>
        </w:tc>
        <w:tc>
          <w:tcPr>
            <w:tcW w:w="361" w:type="pct"/>
            <w:shd w:val="clear" w:color="auto" w:fill="auto"/>
            <w:noWrap/>
            <w:vAlign w:val="center"/>
          </w:tcPr>
          <w:p w14:paraId="67B386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627DFB35" w14:textId="77777777">
        <w:trPr>
          <w:trHeight w:val="270"/>
          <w:jc w:val="center"/>
        </w:trPr>
        <w:tc>
          <w:tcPr>
            <w:tcW w:w="605" w:type="pct"/>
            <w:vMerge/>
            <w:vAlign w:val="center"/>
          </w:tcPr>
          <w:p w14:paraId="16E3552A"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2A46F0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COD</w:t>
            </w:r>
          </w:p>
        </w:tc>
        <w:tc>
          <w:tcPr>
            <w:tcW w:w="488" w:type="pct"/>
            <w:vMerge/>
            <w:shd w:val="clear" w:color="auto" w:fill="auto"/>
            <w:noWrap/>
            <w:vAlign w:val="center"/>
          </w:tcPr>
          <w:p w14:paraId="7E74A4C6"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5BE22F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1038</w:t>
            </w:r>
          </w:p>
        </w:tc>
        <w:tc>
          <w:tcPr>
            <w:tcW w:w="431" w:type="pct"/>
            <w:shd w:val="clear" w:color="auto" w:fill="auto"/>
            <w:noWrap/>
            <w:vAlign w:val="center"/>
          </w:tcPr>
          <w:p w14:paraId="0F4AC68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74.57 </w:t>
            </w:r>
          </w:p>
        </w:tc>
        <w:tc>
          <w:tcPr>
            <w:tcW w:w="336" w:type="pct"/>
            <w:vMerge/>
            <w:vAlign w:val="center"/>
          </w:tcPr>
          <w:p w14:paraId="42AFE17E"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706A898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422B937B" w14:textId="77777777" w:rsidR="002133E3" w:rsidRDefault="00C22CFA">
            <w:pPr>
              <w:widowControl/>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61.46%</w:t>
            </w:r>
          </w:p>
        </w:tc>
        <w:tc>
          <w:tcPr>
            <w:tcW w:w="480" w:type="pct"/>
            <w:shd w:val="clear" w:color="auto" w:fill="auto"/>
            <w:noWrap/>
            <w:vAlign w:val="center"/>
          </w:tcPr>
          <w:p w14:paraId="1CC5A470"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400.00</w:t>
            </w:r>
          </w:p>
        </w:tc>
        <w:tc>
          <w:tcPr>
            <w:tcW w:w="479" w:type="pct"/>
            <w:shd w:val="clear" w:color="auto" w:fill="auto"/>
            <w:noWrap/>
            <w:vAlign w:val="center"/>
          </w:tcPr>
          <w:p w14:paraId="65420C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28.74</w:t>
            </w:r>
          </w:p>
        </w:tc>
        <w:tc>
          <w:tcPr>
            <w:tcW w:w="361" w:type="pct"/>
            <w:shd w:val="clear" w:color="auto" w:fill="auto"/>
            <w:noWrap/>
            <w:vAlign w:val="center"/>
          </w:tcPr>
          <w:p w14:paraId="31E6134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400.00</w:t>
            </w:r>
          </w:p>
        </w:tc>
      </w:tr>
      <w:tr w:rsidR="002133E3" w14:paraId="28BB5A2B" w14:textId="77777777">
        <w:trPr>
          <w:trHeight w:val="270"/>
          <w:jc w:val="center"/>
        </w:trPr>
        <w:tc>
          <w:tcPr>
            <w:tcW w:w="605" w:type="pct"/>
            <w:vMerge/>
            <w:vAlign w:val="center"/>
          </w:tcPr>
          <w:p w14:paraId="161B027D"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253B2D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SS</w:t>
            </w:r>
          </w:p>
        </w:tc>
        <w:tc>
          <w:tcPr>
            <w:tcW w:w="488" w:type="pct"/>
            <w:vMerge/>
            <w:shd w:val="clear" w:color="auto" w:fill="auto"/>
            <w:noWrap/>
            <w:vAlign w:val="center"/>
          </w:tcPr>
          <w:p w14:paraId="6A5CF578"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0B41F4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43</w:t>
            </w:r>
          </w:p>
        </w:tc>
        <w:tc>
          <w:tcPr>
            <w:tcW w:w="431" w:type="pct"/>
            <w:shd w:val="clear" w:color="auto" w:fill="auto"/>
            <w:noWrap/>
            <w:vAlign w:val="center"/>
          </w:tcPr>
          <w:p w14:paraId="7C585D9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3.12 </w:t>
            </w:r>
          </w:p>
        </w:tc>
        <w:tc>
          <w:tcPr>
            <w:tcW w:w="336" w:type="pct"/>
            <w:vMerge/>
            <w:vAlign w:val="center"/>
          </w:tcPr>
          <w:p w14:paraId="650C62BE"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2735060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3835808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80" w:type="pct"/>
            <w:shd w:val="clear" w:color="auto" w:fill="auto"/>
            <w:noWrap/>
            <w:vAlign w:val="center"/>
          </w:tcPr>
          <w:p w14:paraId="778FAAA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43</w:t>
            </w:r>
          </w:p>
        </w:tc>
        <w:tc>
          <w:tcPr>
            <w:tcW w:w="479" w:type="pct"/>
            <w:shd w:val="clear" w:color="auto" w:fill="auto"/>
            <w:noWrap/>
            <w:vAlign w:val="center"/>
          </w:tcPr>
          <w:p w14:paraId="5D92C80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3.12</w:t>
            </w:r>
          </w:p>
        </w:tc>
        <w:tc>
          <w:tcPr>
            <w:tcW w:w="361" w:type="pct"/>
            <w:shd w:val="clear" w:color="auto" w:fill="auto"/>
            <w:noWrap/>
            <w:vAlign w:val="center"/>
          </w:tcPr>
          <w:p w14:paraId="6311461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140</w:t>
            </w:r>
          </w:p>
        </w:tc>
      </w:tr>
      <w:tr w:rsidR="002133E3" w14:paraId="7905CA6C" w14:textId="77777777">
        <w:trPr>
          <w:trHeight w:val="270"/>
          <w:jc w:val="center"/>
        </w:trPr>
        <w:tc>
          <w:tcPr>
            <w:tcW w:w="605" w:type="pct"/>
            <w:vMerge/>
            <w:vAlign w:val="center"/>
          </w:tcPr>
          <w:p w14:paraId="367EEDBA" w14:textId="77777777" w:rsidR="002133E3" w:rsidRDefault="002133E3">
            <w:pPr>
              <w:widowControl/>
              <w:jc w:val="left"/>
              <w:rPr>
                <w:rFonts w:ascii="Times New Roman" w:eastAsia="宋体" w:hAnsi="Times New Roman" w:cs="Times New Roman"/>
                <w:kern w:val="0"/>
                <w:szCs w:val="21"/>
              </w:rPr>
            </w:pPr>
          </w:p>
        </w:tc>
        <w:tc>
          <w:tcPr>
            <w:tcW w:w="478" w:type="pct"/>
            <w:vAlign w:val="center"/>
          </w:tcPr>
          <w:p w14:paraId="3E72C4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盐分</w:t>
            </w:r>
          </w:p>
        </w:tc>
        <w:tc>
          <w:tcPr>
            <w:tcW w:w="488" w:type="pct"/>
            <w:vMerge/>
            <w:shd w:val="clear" w:color="auto" w:fill="auto"/>
            <w:noWrap/>
            <w:vAlign w:val="center"/>
          </w:tcPr>
          <w:p w14:paraId="53F0CF7B" w14:textId="77777777" w:rsidR="002133E3" w:rsidRDefault="002133E3">
            <w:pPr>
              <w:widowControl/>
              <w:jc w:val="center"/>
              <w:rPr>
                <w:rFonts w:ascii="Times New Roman" w:eastAsia="宋体" w:hAnsi="Times New Roman" w:cs="Times New Roman"/>
                <w:kern w:val="0"/>
                <w:szCs w:val="21"/>
              </w:rPr>
            </w:pPr>
          </w:p>
        </w:tc>
        <w:tc>
          <w:tcPr>
            <w:tcW w:w="527" w:type="pct"/>
            <w:shd w:val="clear" w:color="auto" w:fill="auto"/>
            <w:noWrap/>
            <w:vAlign w:val="center"/>
          </w:tcPr>
          <w:p w14:paraId="585494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237</w:t>
            </w:r>
          </w:p>
        </w:tc>
        <w:tc>
          <w:tcPr>
            <w:tcW w:w="431" w:type="pct"/>
            <w:shd w:val="clear" w:color="auto" w:fill="auto"/>
            <w:noWrap/>
            <w:vAlign w:val="center"/>
          </w:tcPr>
          <w:p w14:paraId="3FCB0A8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17.00 </w:t>
            </w:r>
          </w:p>
        </w:tc>
        <w:tc>
          <w:tcPr>
            <w:tcW w:w="336" w:type="pct"/>
            <w:vMerge/>
            <w:vAlign w:val="center"/>
          </w:tcPr>
          <w:p w14:paraId="6B6060E4" w14:textId="77777777" w:rsidR="002133E3" w:rsidRDefault="002133E3">
            <w:pPr>
              <w:widowControl/>
              <w:jc w:val="left"/>
              <w:rPr>
                <w:rFonts w:ascii="Times New Roman" w:eastAsia="宋体" w:hAnsi="Times New Roman" w:cs="Times New Roman"/>
                <w:kern w:val="0"/>
                <w:szCs w:val="21"/>
              </w:rPr>
            </w:pPr>
          </w:p>
        </w:tc>
        <w:tc>
          <w:tcPr>
            <w:tcW w:w="383" w:type="pct"/>
            <w:shd w:val="clear" w:color="auto" w:fill="auto"/>
            <w:noWrap/>
            <w:vAlign w:val="center"/>
          </w:tcPr>
          <w:p w14:paraId="6B7208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432" w:type="pct"/>
            <w:shd w:val="clear" w:color="auto" w:fill="auto"/>
            <w:noWrap/>
            <w:vAlign w:val="center"/>
          </w:tcPr>
          <w:p w14:paraId="10B688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80" w:type="pct"/>
            <w:shd w:val="clear" w:color="auto" w:fill="auto"/>
            <w:noWrap/>
            <w:vAlign w:val="center"/>
          </w:tcPr>
          <w:p w14:paraId="45981A0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szCs w:val="21"/>
              </w:rPr>
              <w:t>237</w:t>
            </w:r>
          </w:p>
        </w:tc>
        <w:tc>
          <w:tcPr>
            <w:tcW w:w="479" w:type="pct"/>
            <w:shd w:val="clear" w:color="auto" w:fill="auto"/>
            <w:noWrap/>
            <w:vAlign w:val="center"/>
          </w:tcPr>
          <w:p w14:paraId="772BB53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17.00 </w:t>
            </w:r>
          </w:p>
        </w:tc>
        <w:tc>
          <w:tcPr>
            <w:tcW w:w="361" w:type="pct"/>
            <w:shd w:val="clear" w:color="auto" w:fill="auto"/>
            <w:noWrap/>
            <w:vAlign w:val="center"/>
          </w:tcPr>
          <w:p w14:paraId="62D3F90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bl>
    <w:p w14:paraId="6E33909C" w14:textId="77777777" w:rsidR="002133E3" w:rsidRDefault="00C22CFA">
      <w:pPr>
        <w:pStyle w:val="af1"/>
        <w:spacing w:line="480" w:lineRule="exact"/>
        <w:jc w:val="center"/>
        <w:rPr>
          <w:rFonts w:ascii="Times New Roman" w:eastAsia="宋体" w:hAnsi="Times New Roman" w:cs="Times New Roman"/>
          <w:b/>
          <w:bCs/>
          <w:color w:val="000000" w:themeColor="text1"/>
          <w:sz w:val="36"/>
          <w:szCs w:val="36"/>
        </w:rPr>
      </w:pPr>
      <w:r>
        <w:rPr>
          <w:rFonts w:ascii="Times New Roman" w:eastAsia="宋体" w:hAnsi="Times New Roman" w:cs="Times New Roman"/>
          <w:b/>
          <w:bCs/>
          <w:sz w:val="24"/>
          <w:szCs w:val="28"/>
        </w:rPr>
        <w:t>表</w:t>
      </w:r>
      <w:r>
        <w:rPr>
          <w:rFonts w:ascii="Times New Roman" w:eastAsia="宋体" w:hAnsi="Times New Roman" w:cs="Times New Roman"/>
          <w:b/>
          <w:bCs/>
          <w:sz w:val="24"/>
          <w:szCs w:val="28"/>
        </w:rPr>
        <w:t xml:space="preserve">4.5-7  </w:t>
      </w:r>
      <w:r>
        <w:rPr>
          <w:rFonts w:ascii="Times New Roman" w:eastAsia="宋体" w:hAnsi="Times New Roman" w:cs="Times New Roman"/>
          <w:b/>
          <w:bCs/>
          <w:sz w:val="24"/>
          <w:szCs w:val="28"/>
        </w:rPr>
        <w:t>厂区污水站综合废水产生及排放情况表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4"/>
        <w:gridCol w:w="1476"/>
        <w:gridCol w:w="1538"/>
        <w:gridCol w:w="1505"/>
        <w:gridCol w:w="1748"/>
        <w:gridCol w:w="1275"/>
        <w:gridCol w:w="1275"/>
        <w:gridCol w:w="1251"/>
        <w:gridCol w:w="1011"/>
        <w:gridCol w:w="1183"/>
        <w:gridCol w:w="1310"/>
      </w:tblGrid>
      <w:tr w:rsidR="002133E3" w14:paraId="4E397C1C" w14:textId="77777777">
        <w:trPr>
          <w:trHeight w:val="285"/>
          <w:jc w:val="center"/>
        </w:trPr>
        <w:tc>
          <w:tcPr>
            <w:tcW w:w="411" w:type="pct"/>
            <w:vMerge w:val="restart"/>
            <w:shd w:val="clear" w:color="auto" w:fill="auto"/>
            <w:vAlign w:val="center"/>
          </w:tcPr>
          <w:p w14:paraId="4B3FA8C8"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废水量（</w:t>
            </w:r>
            <w:r>
              <w:rPr>
                <w:rFonts w:ascii="Times New Roman" w:eastAsia="等线" w:hAnsi="Times New Roman" w:cs="Times New Roman"/>
                <w:b/>
                <w:bCs/>
                <w:kern w:val="0"/>
                <w:szCs w:val="21"/>
              </w:rPr>
              <w:t>m</w:t>
            </w:r>
            <w:r>
              <w:rPr>
                <w:rFonts w:ascii="Times New Roman" w:eastAsia="等线" w:hAnsi="Times New Roman" w:cs="Times New Roman"/>
                <w:b/>
                <w:bCs/>
                <w:kern w:val="0"/>
                <w:szCs w:val="21"/>
                <w:vertAlign w:val="superscript"/>
              </w:rPr>
              <w:t>3</w:t>
            </w:r>
            <w:r>
              <w:rPr>
                <w:rFonts w:ascii="Times New Roman" w:eastAsia="等线" w:hAnsi="Times New Roman" w:cs="Times New Roman"/>
                <w:b/>
                <w:bCs/>
                <w:kern w:val="0"/>
                <w:szCs w:val="21"/>
              </w:rPr>
              <w:t>/a</w:t>
            </w:r>
            <w:r>
              <w:rPr>
                <w:rFonts w:ascii="Times New Roman" w:eastAsia="宋体" w:hAnsi="Times New Roman" w:cs="Times New Roman"/>
                <w:b/>
                <w:bCs/>
                <w:kern w:val="0"/>
                <w:szCs w:val="21"/>
              </w:rPr>
              <w:t>）</w:t>
            </w:r>
          </w:p>
        </w:tc>
        <w:tc>
          <w:tcPr>
            <w:tcW w:w="1528" w:type="pct"/>
            <w:gridSpan w:val="3"/>
            <w:shd w:val="clear" w:color="auto" w:fill="auto"/>
            <w:vAlign w:val="center"/>
          </w:tcPr>
          <w:p w14:paraId="643AE116"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综合水质情况</w:t>
            </w:r>
            <w:r>
              <w:rPr>
                <w:rFonts w:ascii="Times New Roman" w:eastAsia="等线" w:hAnsi="Times New Roman" w:cs="Times New Roman"/>
                <w:b/>
                <w:bCs/>
                <w:color w:val="000000"/>
                <w:kern w:val="0"/>
                <w:szCs w:val="21"/>
              </w:rPr>
              <w:t>mg/L</w:t>
            </w:r>
          </w:p>
        </w:tc>
        <w:tc>
          <w:tcPr>
            <w:tcW w:w="1022" w:type="pct"/>
            <w:gridSpan w:val="2"/>
            <w:shd w:val="clear" w:color="auto" w:fill="auto"/>
            <w:vAlign w:val="center"/>
          </w:tcPr>
          <w:p w14:paraId="41DA006E"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治理措施</w:t>
            </w:r>
          </w:p>
        </w:tc>
        <w:tc>
          <w:tcPr>
            <w:tcW w:w="854" w:type="pct"/>
            <w:gridSpan w:val="2"/>
            <w:shd w:val="clear" w:color="auto" w:fill="auto"/>
            <w:vAlign w:val="center"/>
          </w:tcPr>
          <w:p w14:paraId="634F43F7"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污染物排放量</w:t>
            </w:r>
          </w:p>
        </w:tc>
        <w:tc>
          <w:tcPr>
            <w:tcW w:w="342" w:type="pct"/>
            <w:vMerge w:val="restart"/>
            <w:shd w:val="clear" w:color="auto" w:fill="auto"/>
            <w:vAlign w:val="center"/>
          </w:tcPr>
          <w:p w14:paraId="72EF49EC"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接管浓度</w:t>
            </w:r>
            <w:r>
              <w:rPr>
                <w:rFonts w:ascii="Times New Roman" w:eastAsia="宋体" w:hAnsi="Times New Roman" w:cs="Times New Roman"/>
                <w:b/>
                <w:bCs/>
                <w:color w:val="000000"/>
                <w:kern w:val="0"/>
                <w:szCs w:val="21"/>
              </w:rPr>
              <w:t>mg/L</w:t>
            </w:r>
          </w:p>
        </w:tc>
        <w:tc>
          <w:tcPr>
            <w:tcW w:w="400" w:type="pct"/>
            <w:vMerge w:val="restart"/>
            <w:shd w:val="clear" w:color="auto" w:fill="auto"/>
            <w:vAlign w:val="center"/>
          </w:tcPr>
          <w:p w14:paraId="60F3D1D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最终排放量</w:t>
            </w:r>
            <w:r>
              <w:rPr>
                <w:rFonts w:ascii="Times New Roman" w:eastAsia="宋体" w:hAnsi="Times New Roman" w:cs="Times New Roman"/>
                <w:b/>
                <w:bCs/>
                <w:color w:val="000000"/>
                <w:kern w:val="0"/>
                <w:szCs w:val="21"/>
              </w:rPr>
              <w:t>t/a</w:t>
            </w:r>
          </w:p>
        </w:tc>
        <w:tc>
          <w:tcPr>
            <w:tcW w:w="443" w:type="pct"/>
            <w:vMerge w:val="restart"/>
            <w:shd w:val="clear" w:color="auto" w:fill="auto"/>
            <w:vAlign w:val="center"/>
          </w:tcPr>
          <w:p w14:paraId="04C6806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尾水排放浓度</w:t>
            </w:r>
            <w:r>
              <w:rPr>
                <w:rFonts w:ascii="Times New Roman" w:eastAsia="宋体" w:hAnsi="Times New Roman" w:cs="Times New Roman"/>
                <w:b/>
                <w:bCs/>
                <w:color w:val="000000"/>
                <w:kern w:val="0"/>
                <w:szCs w:val="21"/>
              </w:rPr>
              <w:t>mg/L</w:t>
            </w:r>
          </w:p>
        </w:tc>
      </w:tr>
      <w:tr w:rsidR="002133E3" w14:paraId="171E43A5" w14:textId="77777777">
        <w:trPr>
          <w:trHeight w:val="315"/>
          <w:jc w:val="center"/>
        </w:trPr>
        <w:tc>
          <w:tcPr>
            <w:tcW w:w="411" w:type="pct"/>
            <w:vMerge/>
            <w:vAlign w:val="center"/>
          </w:tcPr>
          <w:p w14:paraId="0E5B25F3" w14:textId="77777777" w:rsidR="002133E3" w:rsidRDefault="002133E3">
            <w:pPr>
              <w:widowControl/>
              <w:jc w:val="left"/>
              <w:rPr>
                <w:rFonts w:ascii="Times New Roman" w:eastAsia="等线" w:hAnsi="Times New Roman" w:cs="Times New Roman"/>
                <w:b/>
                <w:bCs/>
                <w:kern w:val="0"/>
                <w:szCs w:val="21"/>
              </w:rPr>
            </w:pPr>
          </w:p>
        </w:tc>
        <w:tc>
          <w:tcPr>
            <w:tcW w:w="499" w:type="pct"/>
            <w:shd w:val="clear" w:color="auto" w:fill="auto"/>
            <w:vAlign w:val="center"/>
          </w:tcPr>
          <w:p w14:paraId="59CBA4B5"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污染物名称</w:t>
            </w:r>
          </w:p>
        </w:tc>
        <w:tc>
          <w:tcPr>
            <w:tcW w:w="520" w:type="pct"/>
            <w:shd w:val="clear" w:color="auto" w:fill="auto"/>
            <w:noWrap/>
            <w:vAlign w:val="center"/>
          </w:tcPr>
          <w:p w14:paraId="747A8DE4"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浓度（</w:t>
            </w:r>
            <w:r>
              <w:rPr>
                <w:rFonts w:ascii="Times New Roman" w:eastAsia="等线" w:hAnsi="Times New Roman" w:cs="Times New Roman"/>
                <w:b/>
                <w:bCs/>
                <w:kern w:val="0"/>
                <w:szCs w:val="21"/>
              </w:rPr>
              <w:t>mg/L</w:t>
            </w:r>
            <w:r>
              <w:rPr>
                <w:rFonts w:ascii="Times New Roman" w:eastAsia="宋体" w:hAnsi="Times New Roman" w:cs="Times New Roman"/>
                <w:b/>
                <w:bCs/>
                <w:kern w:val="0"/>
                <w:szCs w:val="21"/>
              </w:rPr>
              <w:t>）</w:t>
            </w:r>
          </w:p>
        </w:tc>
        <w:tc>
          <w:tcPr>
            <w:tcW w:w="509" w:type="pct"/>
            <w:shd w:val="clear" w:color="auto" w:fill="auto"/>
            <w:noWrap/>
            <w:vAlign w:val="center"/>
          </w:tcPr>
          <w:p w14:paraId="1CA25160"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产生量（</w:t>
            </w:r>
            <w:r>
              <w:rPr>
                <w:rFonts w:ascii="Times New Roman" w:eastAsia="等线" w:hAnsi="Times New Roman" w:cs="Times New Roman"/>
                <w:b/>
                <w:bCs/>
                <w:kern w:val="0"/>
                <w:szCs w:val="21"/>
              </w:rPr>
              <w:t>t/a</w:t>
            </w:r>
            <w:r>
              <w:rPr>
                <w:rFonts w:ascii="Times New Roman" w:eastAsia="宋体" w:hAnsi="Times New Roman" w:cs="Times New Roman"/>
                <w:b/>
                <w:bCs/>
                <w:kern w:val="0"/>
                <w:szCs w:val="21"/>
              </w:rPr>
              <w:t>）</w:t>
            </w:r>
          </w:p>
        </w:tc>
        <w:tc>
          <w:tcPr>
            <w:tcW w:w="591" w:type="pct"/>
            <w:shd w:val="clear" w:color="auto" w:fill="auto"/>
            <w:vAlign w:val="center"/>
          </w:tcPr>
          <w:p w14:paraId="1A1898E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工艺</w:t>
            </w:r>
          </w:p>
        </w:tc>
        <w:tc>
          <w:tcPr>
            <w:tcW w:w="431" w:type="pct"/>
            <w:shd w:val="clear" w:color="auto" w:fill="auto"/>
            <w:vAlign w:val="center"/>
          </w:tcPr>
          <w:p w14:paraId="3CAFC01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处理效率</w:t>
            </w:r>
            <w:r>
              <w:rPr>
                <w:rFonts w:ascii="Times New Roman" w:eastAsia="宋体" w:hAnsi="Times New Roman" w:cs="Times New Roman"/>
                <w:b/>
                <w:bCs/>
                <w:color w:val="000000"/>
                <w:kern w:val="0"/>
                <w:szCs w:val="21"/>
              </w:rPr>
              <w:t>%</w:t>
            </w:r>
          </w:p>
        </w:tc>
        <w:tc>
          <w:tcPr>
            <w:tcW w:w="431" w:type="pct"/>
            <w:shd w:val="clear" w:color="auto" w:fill="auto"/>
            <w:vAlign w:val="center"/>
          </w:tcPr>
          <w:p w14:paraId="3D6A410D"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浓度</w:t>
            </w:r>
            <w:r>
              <w:rPr>
                <w:rFonts w:ascii="Times New Roman" w:eastAsia="等线" w:hAnsi="Times New Roman" w:cs="Times New Roman"/>
                <w:b/>
                <w:bCs/>
                <w:color w:val="000000"/>
                <w:kern w:val="0"/>
                <w:szCs w:val="21"/>
              </w:rPr>
              <w:t>mg/L</w:t>
            </w:r>
          </w:p>
        </w:tc>
        <w:tc>
          <w:tcPr>
            <w:tcW w:w="423" w:type="pct"/>
            <w:shd w:val="clear" w:color="auto" w:fill="auto"/>
            <w:vAlign w:val="center"/>
          </w:tcPr>
          <w:p w14:paraId="304E56C2"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排放量</w:t>
            </w:r>
            <w:r>
              <w:rPr>
                <w:rFonts w:ascii="Times New Roman" w:eastAsia="等线" w:hAnsi="Times New Roman" w:cs="Times New Roman"/>
                <w:b/>
                <w:bCs/>
                <w:color w:val="000000"/>
                <w:kern w:val="0"/>
                <w:szCs w:val="21"/>
              </w:rPr>
              <w:t>t/a</w:t>
            </w:r>
          </w:p>
        </w:tc>
        <w:tc>
          <w:tcPr>
            <w:tcW w:w="342" w:type="pct"/>
            <w:vMerge/>
            <w:vAlign w:val="center"/>
          </w:tcPr>
          <w:p w14:paraId="48630B72" w14:textId="77777777" w:rsidR="002133E3" w:rsidRDefault="002133E3">
            <w:pPr>
              <w:widowControl/>
              <w:jc w:val="left"/>
              <w:rPr>
                <w:rFonts w:ascii="Times New Roman" w:eastAsia="宋体" w:hAnsi="Times New Roman" w:cs="Times New Roman"/>
                <w:b/>
                <w:bCs/>
                <w:color w:val="000000"/>
                <w:kern w:val="0"/>
                <w:szCs w:val="21"/>
              </w:rPr>
            </w:pPr>
          </w:p>
        </w:tc>
        <w:tc>
          <w:tcPr>
            <w:tcW w:w="400" w:type="pct"/>
            <w:vMerge/>
            <w:vAlign w:val="center"/>
          </w:tcPr>
          <w:p w14:paraId="1ABAEC62" w14:textId="77777777" w:rsidR="002133E3" w:rsidRDefault="002133E3">
            <w:pPr>
              <w:widowControl/>
              <w:jc w:val="left"/>
              <w:rPr>
                <w:rFonts w:ascii="Times New Roman" w:eastAsia="宋体" w:hAnsi="Times New Roman" w:cs="Times New Roman"/>
                <w:b/>
                <w:bCs/>
                <w:color w:val="000000"/>
                <w:kern w:val="0"/>
                <w:szCs w:val="21"/>
              </w:rPr>
            </w:pPr>
          </w:p>
        </w:tc>
        <w:tc>
          <w:tcPr>
            <w:tcW w:w="443" w:type="pct"/>
            <w:vMerge/>
            <w:vAlign w:val="center"/>
          </w:tcPr>
          <w:p w14:paraId="100B2886" w14:textId="77777777" w:rsidR="002133E3" w:rsidRDefault="002133E3">
            <w:pPr>
              <w:widowControl/>
              <w:jc w:val="left"/>
              <w:rPr>
                <w:rFonts w:ascii="Times New Roman" w:eastAsia="宋体" w:hAnsi="Times New Roman" w:cs="Times New Roman"/>
                <w:b/>
                <w:bCs/>
                <w:color w:val="000000"/>
                <w:kern w:val="0"/>
                <w:szCs w:val="21"/>
              </w:rPr>
            </w:pPr>
          </w:p>
        </w:tc>
      </w:tr>
      <w:tr w:rsidR="002133E3" w14:paraId="321D37BA" w14:textId="77777777">
        <w:trPr>
          <w:trHeight w:val="285"/>
          <w:jc w:val="center"/>
        </w:trPr>
        <w:tc>
          <w:tcPr>
            <w:tcW w:w="411" w:type="pct"/>
            <w:vMerge w:val="restart"/>
            <w:shd w:val="clear" w:color="auto" w:fill="auto"/>
            <w:noWrap/>
            <w:vAlign w:val="center"/>
          </w:tcPr>
          <w:p w14:paraId="7F15D5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499" w:type="pct"/>
            <w:shd w:val="clear" w:color="auto" w:fill="auto"/>
            <w:noWrap/>
            <w:vAlign w:val="center"/>
          </w:tcPr>
          <w:p w14:paraId="03B7F08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pH</w:t>
            </w:r>
          </w:p>
        </w:tc>
        <w:tc>
          <w:tcPr>
            <w:tcW w:w="520" w:type="pct"/>
            <w:shd w:val="clear" w:color="auto" w:fill="auto"/>
            <w:noWrap/>
            <w:vAlign w:val="center"/>
          </w:tcPr>
          <w:p w14:paraId="4293BAA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c>
          <w:tcPr>
            <w:tcW w:w="509" w:type="pct"/>
            <w:shd w:val="clear" w:color="auto" w:fill="auto"/>
            <w:noWrap/>
            <w:vAlign w:val="center"/>
          </w:tcPr>
          <w:p w14:paraId="386D187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c>
          <w:tcPr>
            <w:tcW w:w="591" w:type="pct"/>
            <w:vMerge w:val="restart"/>
            <w:shd w:val="clear" w:color="auto" w:fill="auto"/>
            <w:vAlign w:val="center"/>
          </w:tcPr>
          <w:p w14:paraId="4C50B87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废槽液及废气吸收水经</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厌氧</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气浮</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预处理后同设备及地面冲洗、初期雨水混合，再经</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三级厌氧</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好氧</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处理</w:t>
            </w:r>
          </w:p>
        </w:tc>
        <w:tc>
          <w:tcPr>
            <w:tcW w:w="431" w:type="pct"/>
            <w:shd w:val="clear" w:color="auto" w:fill="auto"/>
            <w:noWrap/>
            <w:vAlign w:val="center"/>
          </w:tcPr>
          <w:p w14:paraId="4FC0A2C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c>
          <w:tcPr>
            <w:tcW w:w="431" w:type="pct"/>
            <w:shd w:val="clear" w:color="auto" w:fill="auto"/>
            <w:noWrap/>
            <w:vAlign w:val="center"/>
          </w:tcPr>
          <w:p w14:paraId="2C30F94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c>
          <w:tcPr>
            <w:tcW w:w="423" w:type="pct"/>
            <w:shd w:val="clear" w:color="auto" w:fill="auto"/>
            <w:noWrap/>
            <w:vAlign w:val="center"/>
          </w:tcPr>
          <w:p w14:paraId="6DD78B2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c>
          <w:tcPr>
            <w:tcW w:w="342" w:type="pct"/>
            <w:shd w:val="clear" w:color="auto" w:fill="auto"/>
            <w:noWrap/>
            <w:vAlign w:val="center"/>
          </w:tcPr>
          <w:p w14:paraId="01025520"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t>
            </w:r>
          </w:p>
        </w:tc>
        <w:tc>
          <w:tcPr>
            <w:tcW w:w="400" w:type="pct"/>
            <w:shd w:val="clear" w:color="auto" w:fill="auto"/>
            <w:noWrap/>
            <w:vAlign w:val="center"/>
          </w:tcPr>
          <w:p w14:paraId="51886D2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c>
          <w:tcPr>
            <w:tcW w:w="443" w:type="pct"/>
            <w:shd w:val="clear" w:color="auto" w:fill="auto"/>
            <w:noWrap/>
            <w:vAlign w:val="center"/>
          </w:tcPr>
          <w:p w14:paraId="79CFC09D"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t>
            </w:r>
          </w:p>
        </w:tc>
      </w:tr>
      <w:tr w:rsidR="002133E3" w14:paraId="7CB285C7" w14:textId="77777777">
        <w:trPr>
          <w:trHeight w:val="270"/>
          <w:jc w:val="center"/>
        </w:trPr>
        <w:tc>
          <w:tcPr>
            <w:tcW w:w="411" w:type="pct"/>
            <w:vMerge/>
            <w:vAlign w:val="center"/>
          </w:tcPr>
          <w:p w14:paraId="25EFBB9B" w14:textId="77777777" w:rsidR="002133E3" w:rsidRDefault="002133E3">
            <w:pPr>
              <w:widowControl/>
              <w:jc w:val="left"/>
              <w:rPr>
                <w:rFonts w:ascii="Times New Roman" w:eastAsia="等线" w:hAnsi="Times New Roman" w:cs="Times New Roman"/>
                <w:color w:val="000000"/>
                <w:kern w:val="0"/>
                <w:szCs w:val="21"/>
              </w:rPr>
            </w:pPr>
          </w:p>
        </w:tc>
        <w:tc>
          <w:tcPr>
            <w:tcW w:w="499" w:type="pct"/>
            <w:shd w:val="clear" w:color="auto" w:fill="auto"/>
            <w:noWrap/>
            <w:vAlign w:val="center"/>
          </w:tcPr>
          <w:p w14:paraId="78FCE56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COD</w:t>
            </w:r>
          </w:p>
        </w:tc>
        <w:tc>
          <w:tcPr>
            <w:tcW w:w="520" w:type="pct"/>
            <w:shd w:val="clear" w:color="auto" w:fill="auto"/>
            <w:noWrap/>
            <w:vAlign w:val="center"/>
          </w:tcPr>
          <w:p w14:paraId="18F96DD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56615</w:t>
            </w:r>
          </w:p>
        </w:tc>
        <w:tc>
          <w:tcPr>
            <w:tcW w:w="509" w:type="pct"/>
            <w:shd w:val="clear" w:color="auto" w:fill="auto"/>
            <w:noWrap/>
            <w:vAlign w:val="center"/>
          </w:tcPr>
          <w:p w14:paraId="33F6DD3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66547.14 </w:t>
            </w:r>
          </w:p>
        </w:tc>
        <w:tc>
          <w:tcPr>
            <w:tcW w:w="591" w:type="pct"/>
            <w:vMerge/>
            <w:vAlign w:val="center"/>
          </w:tcPr>
          <w:p w14:paraId="20907AB8" w14:textId="77777777" w:rsidR="002133E3" w:rsidRDefault="002133E3">
            <w:pPr>
              <w:widowControl/>
              <w:jc w:val="left"/>
              <w:rPr>
                <w:rFonts w:ascii="Times New Roman" w:eastAsia="等线" w:hAnsi="Times New Roman" w:cs="Times New Roman"/>
                <w:color w:val="000000"/>
                <w:kern w:val="0"/>
                <w:szCs w:val="21"/>
              </w:rPr>
            </w:pPr>
          </w:p>
        </w:tc>
        <w:tc>
          <w:tcPr>
            <w:tcW w:w="431" w:type="pct"/>
            <w:shd w:val="clear" w:color="auto" w:fill="auto"/>
            <w:vAlign w:val="center"/>
          </w:tcPr>
          <w:p w14:paraId="61C0971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99.29%</w:t>
            </w:r>
          </w:p>
        </w:tc>
        <w:tc>
          <w:tcPr>
            <w:tcW w:w="431" w:type="pct"/>
            <w:shd w:val="clear" w:color="auto" w:fill="auto"/>
            <w:noWrap/>
            <w:vAlign w:val="center"/>
          </w:tcPr>
          <w:p w14:paraId="3472558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400</w:t>
            </w:r>
          </w:p>
        </w:tc>
        <w:tc>
          <w:tcPr>
            <w:tcW w:w="423" w:type="pct"/>
            <w:shd w:val="clear" w:color="auto" w:fill="auto"/>
            <w:noWrap/>
            <w:vAlign w:val="center"/>
          </w:tcPr>
          <w:p w14:paraId="2148110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470.18</w:t>
            </w:r>
          </w:p>
        </w:tc>
        <w:tc>
          <w:tcPr>
            <w:tcW w:w="342" w:type="pct"/>
            <w:shd w:val="clear" w:color="auto" w:fill="auto"/>
            <w:noWrap/>
            <w:vAlign w:val="center"/>
          </w:tcPr>
          <w:p w14:paraId="64C141F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400.00</w:t>
            </w:r>
          </w:p>
        </w:tc>
        <w:tc>
          <w:tcPr>
            <w:tcW w:w="400" w:type="pct"/>
            <w:shd w:val="clear" w:color="auto" w:fill="auto"/>
            <w:noWrap/>
            <w:vAlign w:val="center"/>
          </w:tcPr>
          <w:p w14:paraId="650C31B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58.77</w:t>
            </w:r>
          </w:p>
        </w:tc>
        <w:tc>
          <w:tcPr>
            <w:tcW w:w="443" w:type="pct"/>
            <w:shd w:val="clear" w:color="auto" w:fill="auto"/>
            <w:noWrap/>
            <w:vAlign w:val="center"/>
          </w:tcPr>
          <w:p w14:paraId="1FDD026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w:t>
            </w:r>
          </w:p>
        </w:tc>
      </w:tr>
      <w:tr w:rsidR="002133E3" w14:paraId="18DAC61E" w14:textId="77777777">
        <w:trPr>
          <w:trHeight w:val="270"/>
          <w:jc w:val="center"/>
        </w:trPr>
        <w:tc>
          <w:tcPr>
            <w:tcW w:w="411" w:type="pct"/>
            <w:vMerge/>
            <w:vAlign w:val="center"/>
          </w:tcPr>
          <w:p w14:paraId="67C32B5C" w14:textId="77777777" w:rsidR="002133E3" w:rsidRDefault="002133E3">
            <w:pPr>
              <w:widowControl/>
              <w:jc w:val="left"/>
              <w:rPr>
                <w:rFonts w:ascii="Times New Roman" w:eastAsia="等线" w:hAnsi="Times New Roman" w:cs="Times New Roman"/>
                <w:color w:val="000000"/>
                <w:kern w:val="0"/>
                <w:szCs w:val="21"/>
              </w:rPr>
            </w:pPr>
          </w:p>
        </w:tc>
        <w:tc>
          <w:tcPr>
            <w:tcW w:w="499" w:type="pct"/>
            <w:shd w:val="clear" w:color="auto" w:fill="auto"/>
            <w:noWrap/>
            <w:vAlign w:val="center"/>
          </w:tcPr>
          <w:p w14:paraId="4563633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SS</w:t>
            </w:r>
          </w:p>
        </w:tc>
        <w:tc>
          <w:tcPr>
            <w:tcW w:w="520" w:type="pct"/>
            <w:shd w:val="clear" w:color="auto" w:fill="auto"/>
            <w:noWrap/>
            <w:vAlign w:val="center"/>
          </w:tcPr>
          <w:p w14:paraId="10E29D1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9388</w:t>
            </w:r>
          </w:p>
        </w:tc>
        <w:tc>
          <w:tcPr>
            <w:tcW w:w="509" w:type="pct"/>
            <w:shd w:val="clear" w:color="auto" w:fill="auto"/>
            <w:noWrap/>
            <w:vAlign w:val="center"/>
          </w:tcPr>
          <w:p w14:paraId="60B20A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11034.98 </w:t>
            </w:r>
          </w:p>
        </w:tc>
        <w:tc>
          <w:tcPr>
            <w:tcW w:w="591" w:type="pct"/>
            <w:vMerge/>
            <w:vAlign w:val="center"/>
          </w:tcPr>
          <w:p w14:paraId="2944B821" w14:textId="77777777" w:rsidR="002133E3" w:rsidRDefault="002133E3">
            <w:pPr>
              <w:widowControl/>
              <w:jc w:val="left"/>
              <w:rPr>
                <w:rFonts w:ascii="Times New Roman" w:eastAsia="等线" w:hAnsi="Times New Roman" w:cs="Times New Roman"/>
                <w:color w:val="000000"/>
                <w:kern w:val="0"/>
                <w:szCs w:val="21"/>
              </w:rPr>
            </w:pPr>
          </w:p>
        </w:tc>
        <w:tc>
          <w:tcPr>
            <w:tcW w:w="431" w:type="pct"/>
            <w:shd w:val="clear" w:color="auto" w:fill="auto"/>
            <w:vAlign w:val="center"/>
          </w:tcPr>
          <w:p w14:paraId="4C5886C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98.51%</w:t>
            </w:r>
          </w:p>
        </w:tc>
        <w:tc>
          <w:tcPr>
            <w:tcW w:w="431" w:type="pct"/>
            <w:shd w:val="clear" w:color="auto" w:fill="auto"/>
            <w:noWrap/>
            <w:vAlign w:val="center"/>
          </w:tcPr>
          <w:p w14:paraId="7B367FD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140</w:t>
            </w:r>
          </w:p>
        </w:tc>
        <w:tc>
          <w:tcPr>
            <w:tcW w:w="423" w:type="pct"/>
            <w:shd w:val="clear" w:color="auto" w:fill="auto"/>
            <w:noWrap/>
            <w:vAlign w:val="center"/>
          </w:tcPr>
          <w:p w14:paraId="74D434B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164.56</w:t>
            </w:r>
          </w:p>
        </w:tc>
        <w:tc>
          <w:tcPr>
            <w:tcW w:w="342" w:type="pct"/>
            <w:shd w:val="clear" w:color="auto" w:fill="auto"/>
            <w:noWrap/>
            <w:vAlign w:val="center"/>
          </w:tcPr>
          <w:p w14:paraId="0BF8802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140</w:t>
            </w:r>
          </w:p>
        </w:tc>
        <w:tc>
          <w:tcPr>
            <w:tcW w:w="400" w:type="pct"/>
            <w:shd w:val="clear" w:color="auto" w:fill="auto"/>
            <w:noWrap/>
            <w:vAlign w:val="center"/>
          </w:tcPr>
          <w:p w14:paraId="5758CF8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w:t>
            </w:r>
          </w:p>
        </w:tc>
        <w:tc>
          <w:tcPr>
            <w:tcW w:w="443" w:type="pct"/>
            <w:shd w:val="clear" w:color="auto" w:fill="auto"/>
            <w:noWrap/>
            <w:vAlign w:val="center"/>
          </w:tcPr>
          <w:p w14:paraId="051F32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w:t>
            </w:r>
          </w:p>
        </w:tc>
      </w:tr>
      <w:tr w:rsidR="002133E3" w14:paraId="079CF6A6" w14:textId="77777777">
        <w:trPr>
          <w:trHeight w:val="270"/>
          <w:jc w:val="center"/>
        </w:trPr>
        <w:tc>
          <w:tcPr>
            <w:tcW w:w="411" w:type="pct"/>
            <w:vMerge/>
            <w:vAlign w:val="center"/>
          </w:tcPr>
          <w:p w14:paraId="1BEF1B35" w14:textId="77777777" w:rsidR="002133E3" w:rsidRDefault="002133E3">
            <w:pPr>
              <w:widowControl/>
              <w:jc w:val="left"/>
              <w:rPr>
                <w:rFonts w:ascii="Times New Roman" w:eastAsia="等线" w:hAnsi="Times New Roman" w:cs="Times New Roman"/>
                <w:color w:val="000000"/>
                <w:kern w:val="0"/>
                <w:szCs w:val="21"/>
              </w:rPr>
            </w:pPr>
          </w:p>
        </w:tc>
        <w:tc>
          <w:tcPr>
            <w:tcW w:w="499" w:type="pct"/>
            <w:shd w:val="clear" w:color="auto" w:fill="auto"/>
            <w:noWrap/>
            <w:vAlign w:val="center"/>
          </w:tcPr>
          <w:p w14:paraId="3EF37D79" w14:textId="77777777" w:rsidR="002133E3" w:rsidRDefault="00C22CFA">
            <w:pPr>
              <w:widowControl/>
              <w:jc w:val="center"/>
              <w:rPr>
                <w:rFonts w:ascii="Times New Roman" w:eastAsia="等线" w:hAnsi="Times New Roman" w:cs="Times New Roman"/>
                <w:kern w:val="0"/>
                <w:szCs w:val="21"/>
              </w:rPr>
            </w:pPr>
            <w:r>
              <w:rPr>
                <w:rFonts w:cs="Times New Roman" w:hint="eastAsia"/>
                <w:szCs w:val="21"/>
              </w:rPr>
              <w:t>总氮</w:t>
            </w:r>
          </w:p>
        </w:tc>
        <w:tc>
          <w:tcPr>
            <w:tcW w:w="520" w:type="pct"/>
            <w:shd w:val="clear" w:color="auto" w:fill="auto"/>
            <w:noWrap/>
            <w:vAlign w:val="center"/>
          </w:tcPr>
          <w:p w14:paraId="1E214D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81</w:t>
            </w:r>
          </w:p>
        </w:tc>
        <w:tc>
          <w:tcPr>
            <w:tcW w:w="509" w:type="pct"/>
            <w:shd w:val="clear" w:color="auto" w:fill="auto"/>
            <w:noWrap/>
            <w:vAlign w:val="center"/>
          </w:tcPr>
          <w:p w14:paraId="7EB23F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95.68 </w:t>
            </w:r>
          </w:p>
        </w:tc>
        <w:tc>
          <w:tcPr>
            <w:tcW w:w="591" w:type="pct"/>
            <w:vMerge/>
            <w:vAlign w:val="center"/>
          </w:tcPr>
          <w:p w14:paraId="173A509D" w14:textId="77777777" w:rsidR="002133E3" w:rsidRDefault="002133E3">
            <w:pPr>
              <w:widowControl/>
              <w:jc w:val="left"/>
              <w:rPr>
                <w:rFonts w:ascii="Times New Roman" w:eastAsia="等线" w:hAnsi="Times New Roman" w:cs="Times New Roman"/>
                <w:color w:val="000000"/>
                <w:kern w:val="0"/>
                <w:szCs w:val="21"/>
              </w:rPr>
            </w:pPr>
          </w:p>
        </w:tc>
        <w:tc>
          <w:tcPr>
            <w:tcW w:w="431" w:type="pct"/>
            <w:shd w:val="clear" w:color="auto" w:fill="auto"/>
            <w:vAlign w:val="center"/>
          </w:tcPr>
          <w:p w14:paraId="333365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38.57%</w:t>
            </w:r>
          </w:p>
        </w:tc>
        <w:tc>
          <w:tcPr>
            <w:tcW w:w="431" w:type="pct"/>
            <w:shd w:val="clear" w:color="auto" w:fill="auto"/>
            <w:noWrap/>
            <w:vAlign w:val="center"/>
          </w:tcPr>
          <w:p w14:paraId="55C926B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50</w:t>
            </w:r>
          </w:p>
        </w:tc>
        <w:tc>
          <w:tcPr>
            <w:tcW w:w="423" w:type="pct"/>
            <w:shd w:val="clear" w:color="auto" w:fill="auto"/>
            <w:noWrap/>
            <w:vAlign w:val="center"/>
          </w:tcPr>
          <w:p w14:paraId="20DEAD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58.77</w:t>
            </w:r>
          </w:p>
        </w:tc>
        <w:tc>
          <w:tcPr>
            <w:tcW w:w="342" w:type="pct"/>
            <w:shd w:val="clear" w:color="auto" w:fill="auto"/>
            <w:noWrap/>
            <w:vAlign w:val="center"/>
          </w:tcPr>
          <w:p w14:paraId="19ADD12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50.0</w:t>
            </w:r>
          </w:p>
        </w:tc>
        <w:tc>
          <w:tcPr>
            <w:tcW w:w="400" w:type="pct"/>
            <w:shd w:val="clear" w:color="auto" w:fill="auto"/>
            <w:noWrap/>
            <w:vAlign w:val="center"/>
          </w:tcPr>
          <w:p w14:paraId="3C3DB5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17.63</w:t>
            </w:r>
          </w:p>
        </w:tc>
        <w:tc>
          <w:tcPr>
            <w:tcW w:w="443" w:type="pct"/>
            <w:shd w:val="clear" w:color="auto" w:fill="auto"/>
            <w:noWrap/>
            <w:vAlign w:val="center"/>
          </w:tcPr>
          <w:p w14:paraId="26683A9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p>
        </w:tc>
      </w:tr>
      <w:tr w:rsidR="002133E3" w14:paraId="11137D42" w14:textId="77777777">
        <w:trPr>
          <w:trHeight w:val="270"/>
          <w:jc w:val="center"/>
        </w:trPr>
        <w:tc>
          <w:tcPr>
            <w:tcW w:w="411" w:type="pct"/>
            <w:vMerge/>
            <w:vAlign w:val="center"/>
          </w:tcPr>
          <w:p w14:paraId="2BAEE378" w14:textId="77777777" w:rsidR="002133E3" w:rsidRDefault="002133E3">
            <w:pPr>
              <w:widowControl/>
              <w:jc w:val="left"/>
              <w:rPr>
                <w:rFonts w:ascii="Times New Roman" w:eastAsia="等线" w:hAnsi="Times New Roman" w:cs="Times New Roman"/>
                <w:color w:val="000000"/>
                <w:kern w:val="0"/>
                <w:szCs w:val="21"/>
              </w:rPr>
            </w:pPr>
          </w:p>
        </w:tc>
        <w:tc>
          <w:tcPr>
            <w:tcW w:w="499" w:type="pct"/>
            <w:shd w:val="clear" w:color="auto" w:fill="auto"/>
            <w:noWrap/>
            <w:vAlign w:val="center"/>
          </w:tcPr>
          <w:p w14:paraId="6F595007" w14:textId="77777777" w:rsidR="002133E3" w:rsidRDefault="00C22CFA">
            <w:pPr>
              <w:widowControl/>
              <w:jc w:val="center"/>
              <w:rPr>
                <w:rFonts w:ascii="Times New Roman" w:eastAsia="等线" w:hAnsi="Times New Roman" w:cs="Times New Roman"/>
                <w:kern w:val="0"/>
                <w:szCs w:val="21"/>
              </w:rPr>
            </w:pPr>
            <w:r>
              <w:rPr>
                <w:rFonts w:cs="Times New Roman" w:hint="eastAsia"/>
                <w:szCs w:val="21"/>
              </w:rPr>
              <w:t>氨氮</w:t>
            </w:r>
          </w:p>
        </w:tc>
        <w:tc>
          <w:tcPr>
            <w:tcW w:w="520" w:type="pct"/>
            <w:shd w:val="clear" w:color="auto" w:fill="auto"/>
            <w:noWrap/>
            <w:vAlign w:val="center"/>
          </w:tcPr>
          <w:p w14:paraId="506009C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104</w:t>
            </w:r>
          </w:p>
        </w:tc>
        <w:tc>
          <w:tcPr>
            <w:tcW w:w="509" w:type="pct"/>
            <w:shd w:val="clear" w:color="auto" w:fill="auto"/>
            <w:noWrap/>
            <w:vAlign w:val="center"/>
          </w:tcPr>
          <w:p w14:paraId="0F645DE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122.77 </w:t>
            </w:r>
          </w:p>
        </w:tc>
        <w:tc>
          <w:tcPr>
            <w:tcW w:w="591" w:type="pct"/>
            <w:vMerge/>
            <w:vAlign w:val="center"/>
          </w:tcPr>
          <w:p w14:paraId="18743B3F" w14:textId="77777777" w:rsidR="002133E3" w:rsidRDefault="002133E3">
            <w:pPr>
              <w:widowControl/>
              <w:jc w:val="left"/>
              <w:rPr>
                <w:rFonts w:ascii="Times New Roman" w:eastAsia="等线" w:hAnsi="Times New Roman" w:cs="Times New Roman"/>
                <w:color w:val="000000"/>
                <w:kern w:val="0"/>
                <w:szCs w:val="21"/>
              </w:rPr>
            </w:pPr>
          </w:p>
        </w:tc>
        <w:tc>
          <w:tcPr>
            <w:tcW w:w="431" w:type="pct"/>
            <w:shd w:val="clear" w:color="auto" w:fill="auto"/>
            <w:vAlign w:val="center"/>
          </w:tcPr>
          <w:p w14:paraId="3E1193D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71.28%</w:t>
            </w:r>
          </w:p>
        </w:tc>
        <w:tc>
          <w:tcPr>
            <w:tcW w:w="431" w:type="pct"/>
            <w:shd w:val="clear" w:color="auto" w:fill="auto"/>
            <w:noWrap/>
            <w:vAlign w:val="center"/>
          </w:tcPr>
          <w:p w14:paraId="436067A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30</w:t>
            </w:r>
          </w:p>
        </w:tc>
        <w:tc>
          <w:tcPr>
            <w:tcW w:w="423" w:type="pct"/>
            <w:shd w:val="clear" w:color="auto" w:fill="auto"/>
            <w:noWrap/>
            <w:vAlign w:val="center"/>
          </w:tcPr>
          <w:p w14:paraId="6476653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35.26</w:t>
            </w:r>
          </w:p>
        </w:tc>
        <w:tc>
          <w:tcPr>
            <w:tcW w:w="342" w:type="pct"/>
            <w:shd w:val="clear" w:color="auto" w:fill="auto"/>
            <w:noWrap/>
            <w:vAlign w:val="center"/>
          </w:tcPr>
          <w:p w14:paraId="2D16A5A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30</w:t>
            </w:r>
          </w:p>
        </w:tc>
        <w:tc>
          <w:tcPr>
            <w:tcW w:w="400" w:type="pct"/>
            <w:shd w:val="clear" w:color="auto" w:fill="auto"/>
            <w:noWrap/>
            <w:vAlign w:val="center"/>
          </w:tcPr>
          <w:p w14:paraId="58DD14D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5.88</w:t>
            </w:r>
          </w:p>
        </w:tc>
        <w:tc>
          <w:tcPr>
            <w:tcW w:w="443" w:type="pct"/>
            <w:shd w:val="clear" w:color="auto" w:fill="auto"/>
            <w:noWrap/>
            <w:vAlign w:val="center"/>
          </w:tcPr>
          <w:p w14:paraId="34753F8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w:t>
            </w:r>
          </w:p>
        </w:tc>
      </w:tr>
      <w:tr w:rsidR="002133E3" w14:paraId="207E5870" w14:textId="77777777">
        <w:trPr>
          <w:trHeight w:val="270"/>
          <w:jc w:val="center"/>
        </w:trPr>
        <w:tc>
          <w:tcPr>
            <w:tcW w:w="411" w:type="pct"/>
            <w:vMerge/>
            <w:vAlign w:val="center"/>
          </w:tcPr>
          <w:p w14:paraId="33B90493" w14:textId="77777777" w:rsidR="002133E3" w:rsidRDefault="002133E3">
            <w:pPr>
              <w:widowControl/>
              <w:jc w:val="left"/>
              <w:rPr>
                <w:rFonts w:ascii="Times New Roman" w:eastAsia="等线" w:hAnsi="Times New Roman" w:cs="Times New Roman"/>
                <w:color w:val="000000"/>
                <w:kern w:val="0"/>
                <w:szCs w:val="21"/>
              </w:rPr>
            </w:pPr>
          </w:p>
        </w:tc>
        <w:tc>
          <w:tcPr>
            <w:tcW w:w="499" w:type="pct"/>
            <w:shd w:val="clear" w:color="auto" w:fill="auto"/>
            <w:noWrap/>
            <w:vAlign w:val="center"/>
          </w:tcPr>
          <w:p w14:paraId="5BF14CB3" w14:textId="77777777" w:rsidR="002133E3" w:rsidRDefault="00C22CFA">
            <w:pPr>
              <w:widowControl/>
              <w:jc w:val="center"/>
              <w:rPr>
                <w:rFonts w:ascii="Times New Roman" w:eastAsia="等线" w:hAnsi="Times New Roman" w:cs="Times New Roman"/>
                <w:kern w:val="0"/>
                <w:szCs w:val="21"/>
              </w:rPr>
            </w:pPr>
            <w:r>
              <w:rPr>
                <w:rFonts w:cs="Times New Roman" w:hint="eastAsia"/>
                <w:szCs w:val="21"/>
              </w:rPr>
              <w:t>总磷</w:t>
            </w:r>
          </w:p>
        </w:tc>
        <w:tc>
          <w:tcPr>
            <w:tcW w:w="520" w:type="pct"/>
            <w:shd w:val="clear" w:color="auto" w:fill="auto"/>
            <w:noWrap/>
            <w:vAlign w:val="center"/>
          </w:tcPr>
          <w:p w14:paraId="53184B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w:t>
            </w:r>
          </w:p>
        </w:tc>
        <w:tc>
          <w:tcPr>
            <w:tcW w:w="509" w:type="pct"/>
            <w:shd w:val="clear" w:color="auto" w:fill="auto"/>
            <w:noWrap/>
            <w:vAlign w:val="center"/>
          </w:tcPr>
          <w:p w14:paraId="6626190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5.39 </w:t>
            </w:r>
          </w:p>
        </w:tc>
        <w:tc>
          <w:tcPr>
            <w:tcW w:w="591" w:type="pct"/>
            <w:vMerge/>
            <w:vAlign w:val="center"/>
          </w:tcPr>
          <w:p w14:paraId="5E9A9EB2" w14:textId="77777777" w:rsidR="002133E3" w:rsidRDefault="002133E3">
            <w:pPr>
              <w:widowControl/>
              <w:jc w:val="left"/>
              <w:rPr>
                <w:rFonts w:ascii="Times New Roman" w:eastAsia="等线" w:hAnsi="Times New Roman" w:cs="Times New Roman"/>
                <w:color w:val="000000"/>
                <w:kern w:val="0"/>
                <w:szCs w:val="21"/>
              </w:rPr>
            </w:pPr>
          </w:p>
        </w:tc>
        <w:tc>
          <w:tcPr>
            <w:tcW w:w="431" w:type="pct"/>
            <w:shd w:val="clear" w:color="auto" w:fill="auto"/>
            <w:vAlign w:val="center"/>
          </w:tcPr>
          <w:p w14:paraId="6CC6F03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34.61%</w:t>
            </w:r>
          </w:p>
        </w:tc>
        <w:tc>
          <w:tcPr>
            <w:tcW w:w="431" w:type="pct"/>
            <w:shd w:val="clear" w:color="auto" w:fill="auto"/>
            <w:noWrap/>
            <w:vAlign w:val="center"/>
          </w:tcPr>
          <w:p w14:paraId="26FB9C1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w:t>
            </w:r>
          </w:p>
        </w:tc>
        <w:tc>
          <w:tcPr>
            <w:tcW w:w="423" w:type="pct"/>
            <w:shd w:val="clear" w:color="auto" w:fill="auto"/>
            <w:noWrap/>
            <w:vAlign w:val="center"/>
          </w:tcPr>
          <w:p w14:paraId="1D9F29B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3.53</w:t>
            </w:r>
          </w:p>
        </w:tc>
        <w:tc>
          <w:tcPr>
            <w:tcW w:w="342" w:type="pct"/>
            <w:shd w:val="clear" w:color="auto" w:fill="auto"/>
            <w:noWrap/>
            <w:vAlign w:val="center"/>
          </w:tcPr>
          <w:p w14:paraId="7E0F4C4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w:t>
            </w:r>
          </w:p>
        </w:tc>
        <w:tc>
          <w:tcPr>
            <w:tcW w:w="400" w:type="pct"/>
            <w:shd w:val="clear" w:color="auto" w:fill="auto"/>
            <w:noWrap/>
            <w:vAlign w:val="center"/>
          </w:tcPr>
          <w:p w14:paraId="2BED5B7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0.59</w:t>
            </w:r>
          </w:p>
        </w:tc>
        <w:tc>
          <w:tcPr>
            <w:tcW w:w="443" w:type="pct"/>
            <w:shd w:val="clear" w:color="auto" w:fill="auto"/>
            <w:noWrap/>
            <w:vAlign w:val="center"/>
          </w:tcPr>
          <w:p w14:paraId="4BDAB5D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w:t>
            </w:r>
          </w:p>
        </w:tc>
      </w:tr>
      <w:tr w:rsidR="002133E3" w14:paraId="3AA5505D" w14:textId="77777777">
        <w:trPr>
          <w:trHeight w:val="270"/>
          <w:jc w:val="center"/>
        </w:trPr>
        <w:tc>
          <w:tcPr>
            <w:tcW w:w="411" w:type="pct"/>
            <w:vMerge/>
            <w:vAlign w:val="center"/>
          </w:tcPr>
          <w:p w14:paraId="2A139309" w14:textId="77777777" w:rsidR="002133E3" w:rsidRDefault="002133E3">
            <w:pPr>
              <w:widowControl/>
              <w:jc w:val="left"/>
              <w:rPr>
                <w:rFonts w:ascii="Times New Roman" w:eastAsia="等线" w:hAnsi="Times New Roman" w:cs="Times New Roman"/>
                <w:color w:val="000000"/>
                <w:kern w:val="0"/>
                <w:szCs w:val="21"/>
              </w:rPr>
            </w:pPr>
          </w:p>
        </w:tc>
        <w:tc>
          <w:tcPr>
            <w:tcW w:w="499" w:type="pct"/>
            <w:shd w:val="clear" w:color="auto" w:fill="auto"/>
            <w:noWrap/>
            <w:vAlign w:val="center"/>
          </w:tcPr>
          <w:p w14:paraId="4BFC8BA6" w14:textId="77777777" w:rsidR="002133E3" w:rsidRDefault="00C22CFA">
            <w:pPr>
              <w:widowControl/>
              <w:jc w:val="center"/>
              <w:rPr>
                <w:rFonts w:ascii="Times New Roman" w:eastAsia="等线" w:hAnsi="Times New Roman" w:cs="Times New Roman"/>
                <w:kern w:val="0"/>
                <w:szCs w:val="21"/>
              </w:rPr>
            </w:pPr>
            <w:r>
              <w:rPr>
                <w:rFonts w:cs="Times New Roman" w:hint="eastAsia"/>
                <w:szCs w:val="21"/>
              </w:rPr>
              <w:t>盐分</w:t>
            </w:r>
          </w:p>
        </w:tc>
        <w:tc>
          <w:tcPr>
            <w:tcW w:w="520" w:type="pct"/>
            <w:shd w:val="clear" w:color="auto" w:fill="auto"/>
            <w:noWrap/>
            <w:vAlign w:val="center"/>
          </w:tcPr>
          <w:p w14:paraId="32862EC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42</w:t>
            </w:r>
          </w:p>
        </w:tc>
        <w:tc>
          <w:tcPr>
            <w:tcW w:w="509" w:type="pct"/>
            <w:shd w:val="clear" w:color="auto" w:fill="auto"/>
            <w:noWrap/>
            <w:vAlign w:val="center"/>
          </w:tcPr>
          <w:p w14:paraId="60BE63F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48.87 </w:t>
            </w:r>
          </w:p>
        </w:tc>
        <w:tc>
          <w:tcPr>
            <w:tcW w:w="591" w:type="pct"/>
            <w:vMerge/>
            <w:vAlign w:val="center"/>
          </w:tcPr>
          <w:p w14:paraId="030DA704" w14:textId="77777777" w:rsidR="002133E3" w:rsidRDefault="002133E3">
            <w:pPr>
              <w:widowControl/>
              <w:jc w:val="left"/>
              <w:rPr>
                <w:rFonts w:ascii="Times New Roman" w:eastAsia="等线" w:hAnsi="Times New Roman" w:cs="Times New Roman"/>
                <w:color w:val="000000"/>
                <w:kern w:val="0"/>
                <w:szCs w:val="21"/>
              </w:rPr>
            </w:pPr>
          </w:p>
        </w:tc>
        <w:tc>
          <w:tcPr>
            <w:tcW w:w="431" w:type="pct"/>
            <w:shd w:val="clear" w:color="auto" w:fill="auto"/>
            <w:noWrap/>
            <w:vAlign w:val="center"/>
          </w:tcPr>
          <w:p w14:paraId="3DCD055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w:t>
            </w:r>
          </w:p>
        </w:tc>
        <w:tc>
          <w:tcPr>
            <w:tcW w:w="431" w:type="pct"/>
            <w:shd w:val="clear" w:color="auto" w:fill="auto"/>
            <w:noWrap/>
            <w:vAlign w:val="center"/>
          </w:tcPr>
          <w:p w14:paraId="7D52BFF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42</w:t>
            </w:r>
          </w:p>
        </w:tc>
        <w:tc>
          <w:tcPr>
            <w:tcW w:w="423" w:type="pct"/>
            <w:shd w:val="clear" w:color="auto" w:fill="auto"/>
            <w:noWrap/>
            <w:vAlign w:val="center"/>
          </w:tcPr>
          <w:p w14:paraId="6A9C0E2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48.87</w:t>
            </w:r>
          </w:p>
        </w:tc>
        <w:tc>
          <w:tcPr>
            <w:tcW w:w="342" w:type="pct"/>
            <w:shd w:val="clear" w:color="auto" w:fill="auto"/>
            <w:noWrap/>
            <w:vAlign w:val="center"/>
          </w:tcPr>
          <w:p w14:paraId="7FD88FE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kern w:val="0"/>
                <w:szCs w:val="21"/>
              </w:rPr>
              <w:t>-</w:t>
            </w:r>
          </w:p>
        </w:tc>
        <w:tc>
          <w:tcPr>
            <w:tcW w:w="400" w:type="pct"/>
            <w:shd w:val="clear" w:color="auto" w:fill="auto"/>
            <w:noWrap/>
            <w:vAlign w:val="center"/>
          </w:tcPr>
          <w:p w14:paraId="3215ED5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48.87</w:t>
            </w:r>
          </w:p>
        </w:tc>
        <w:tc>
          <w:tcPr>
            <w:tcW w:w="443" w:type="pct"/>
            <w:shd w:val="clear" w:color="auto" w:fill="auto"/>
            <w:noWrap/>
            <w:vAlign w:val="center"/>
          </w:tcPr>
          <w:p w14:paraId="0E3FA4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bl>
    <w:p w14:paraId="7308C697" w14:textId="77777777" w:rsidR="002133E3" w:rsidRDefault="002133E3">
      <w:pPr>
        <w:widowControl/>
        <w:spacing w:line="400" w:lineRule="exact"/>
        <w:jc w:val="center"/>
        <w:rPr>
          <w:rFonts w:ascii="Times New Roman" w:eastAsia="宋体" w:hAnsi="Times New Roman" w:cs="Times New Roman"/>
          <w:b/>
          <w:bCs/>
          <w:color w:val="000000"/>
          <w:kern w:val="0"/>
          <w:szCs w:val="21"/>
        </w:rPr>
      </w:pPr>
    </w:p>
    <w:p w14:paraId="32B781A6" w14:textId="77777777" w:rsidR="002133E3" w:rsidRDefault="002133E3">
      <w:pPr>
        <w:widowControl/>
        <w:spacing w:line="400" w:lineRule="exact"/>
        <w:jc w:val="center"/>
        <w:rPr>
          <w:rFonts w:ascii="Times New Roman" w:eastAsia="宋体" w:hAnsi="Times New Roman" w:cs="Times New Roman"/>
          <w:b/>
          <w:bCs/>
          <w:color w:val="000000"/>
          <w:kern w:val="0"/>
          <w:szCs w:val="21"/>
        </w:rPr>
        <w:sectPr w:rsidR="002133E3">
          <w:pgSz w:w="16838" w:h="11906" w:orient="landscape"/>
          <w:pgMar w:top="1134" w:right="1134" w:bottom="1134" w:left="1134" w:header="851" w:footer="992" w:gutter="0"/>
          <w:cols w:space="720"/>
          <w:docGrid w:linePitch="312"/>
        </w:sectPr>
      </w:pPr>
    </w:p>
    <w:p w14:paraId="44F57B4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固</w:t>
      </w:r>
      <w:r>
        <w:rPr>
          <w:rFonts w:ascii="Times New Roman" w:eastAsia="宋体" w:hAnsi="Times New Roman" w:cs="Times New Roman"/>
          <w:b/>
          <w:sz w:val="30"/>
          <w:szCs w:val="30"/>
        </w:rPr>
        <w:t>(</w:t>
      </w:r>
      <w:r>
        <w:rPr>
          <w:rFonts w:ascii="Times New Roman" w:eastAsia="宋体" w:hAnsi="Times New Roman" w:cs="Times New Roman"/>
          <w:b/>
          <w:sz w:val="30"/>
          <w:szCs w:val="30"/>
        </w:rPr>
        <w:t>液</w:t>
      </w:r>
      <w:r>
        <w:rPr>
          <w:rFonts w:ascii="Times New Roman" w:eastAsia="宋体" w:hAnsi="Times New Roman" w:cs="Times New Roman"/>
          <w:b/>
          <w:sz w:val="30"/>
          <w:szCs w:val="30"/>
        </w:rPr>
        <w:t>)</w:t>
      </w:r>
      <w:r>
        <w:rPr>
          <w:rFonts w:ascii="Times New Roman" w:eastAsia="宋体" w:hAnsi="Times New Roman" w:cs="Times New Roman"/>
          <w:b/>
          <w:sz w:val="30"/>
          <w:szCs w:val="30"/>
        </w:rPr>
        <w:t>废</w:t>
      </w:r>
    </w:p>
    <w:p w14:paraId="1886E83A"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技改</w:t>
      </w:r>
      <w:r>
        <w:rPr>
          <w:rFonts w:ascii="Times New Roman" w:eastAsia="宋体" w:hAnsi="Times New Roman" w:cs="Times New Roman"/>
          <w:kern w:val="0"/>
          <w:sz w:val="28"/>
          <w:szCs w:val="28"/>
        </w:rPr>
        <w:t>项目固体废物主要为木薯干杂质、酒糟固体废物、污水处理污泥</w:t>
      </w:r>
      <w:r>
        <w:rPr>
          <w:rFonts w:ascii="Times New Roman" w:eastAsia="宋体" w:hAnsi="Times New Roman" w:cs="Times New Roman" w:hint="eastAsia"/>
          <w:kern w:val="0"/>
          <w:sz w:val="28"/>
          <w:szCs w:val="28"/>
        </w:rPr>
        <w:t>、废分子筛及废包装材料</w:t>
      </w:r>
      <w:r>
        <w:rPr>
          <w:rFonts w:ascii="Times New Roman" w:eastAsia="宋体" w:hAnsi="Times New Roman" w:cs="Times New Roman"/>
          <w:kern w:val="0"/>
          <w:sz w:val="28"/>
          <w:szCs w:val="28"/>
        </w:rPr>
        <w:t>等。</w:t>
      </w:r>
      <w:r>
        <w:rPr>
          <w:rFonts w:ascii="Times New Roman" w:eastAsia="宋体" w:hAnsi="Times New Roman" w:cs="Times New Roman" w:hint="eastAsia"/>
          <w:kern w:val="0"/>
          <w:sz w:val="28"/>
          <w:szCs w:val="28"/>
        </w:rPr>
        <w:t>根据前文的物料平衡分析可知，技改项目</w:t>
      </w:r>
      <w:r>
        <w:rPr>
          <w:rFonts w:ascii="Times New Roman" w:eastAsia="宋体" w:hAnsi="Times New Roman" w:cs="Times New Roman"/>
          <w:kern w:val="0"/>
          <w:sz w:val="28"/>
          <w:szCs w:val="28"/>
        </w:rPr>
        <w:t>木薯干杂质</w:t>
      </w:r>
      <w:r>
        <w:rPr>
          <w:rFonts w:ascii="Times New Roman" w:eastAsia="宋体" w:hAnsi="Times New Roman" w:cs="Times New Roman" w:hint="eastAsia"/>
          <w:kern w:val="0"/>
          <w:sz w:val="28"/>
          <w:szCs w:val="28"/>
        </w:rPr>
        <w:t>估算产生量为</w:t>
      </w:r>
      <w:r>
        <w:rPr>
          <w:rFonts w:ascii="Times New Roman" w:eastAsia="宋体" w:hAnsi="Times New Roman" w:cs="Times New Roman" w:hint="eastAsia"/>
          <w:kern w:val="0"/>
          <w:sz w:val="28"/>
          <w:szCs w:val="28"/>
        </w:rPr>
        <w:t>7</w:t>
      </w:r>
      <w:r>
        <w:rPr>
          <w:rFonts w:ascii="Times New Roman" w:eastAsia="宋体" w:hAnsi="Times New Roman" w:cs="Times New Roman"/>
          <w:kern w:val="0"/>
          <w:sz w:val="28"/>
          <w:szCs w:val="28"/>
        </w:rPr>
        <w:t>952t/a</w:t>
      </w:r>
      <w:r>
        <w:rPr>
          <w:rFonts w:ascii="Times New Roman" w:eastAsia="宋体" w:hAnsi="Times New Roman" w:cs="Times New Roman" w:hint="eastAsia"/>
          <w:kern w:val="0"/>
          <w:sz w:val="28"/>
          <w:szCs w:val="28"/>
        </w:rPr>
        <w:t>，</w:t>
      </w:r>
      <w:r>
        <w:rPr>
          <w:rFonts w:ascii="Times New Roman" w:eastAsia="宋体" w:hAnsi="Times New Roman" w:cs="Times New Roman"/>
          <w:kern w:val="0"/>
          <w:sz w:val="28"/>
          <w:szCs w:val="28"/>
        </w:rPr>
        <w:t>酒糟固体废物</w:t>
      </w:r>
      <w:r>
        <w:rPr>
          <w:rFonts w:ascii="Times New Roman" w:eastAsia="宋体" w:hAnsi="Times New Roman" w:cs="Times New Roman" w:hint="eastAsia"/>
          <w:kern w:val="0"/>
          <w:sz w:val="28"/>
          <w:szCs w:val="28"/>
        </w:rPr>
        <w:t>估算产生量为</w:t>
      </w:r>
      <w:r>
        <w:rPr>
          <w:rFonts w:ascii="Times New Roman" w:eastAsia="宋体" w:hAnsi="Times New Roman" w:cs="Times New Roman"/>
          <w:kern w:val="0"/>
          <w:sz w:val="28"/>
          <w:szCs w:val="28"/>
        </w:rPr>
        <w:t>196624t/a</w:t>
      </w:r>
      <w:r>
        <w:rPr>
          <w:rFonts w:ascii="Times New Roman" w:eastAsia="宋体" w:hAnsi="Times New Roman" w:cs="Times New Roman" w:hint="eastAsia"/>
          <w:kern w:val="0"/>
          <w:sz w:val="28"/>
          <w:szCs w:val="28"/>
        </w:rPr>
        <w:t>，</w:t>
      </w:r>
      <w:r>
        <w:rPr>
          <w:rFonts w:ascii="Times New Roman" w:eastAsia="宋体" w:hAnsi="Times New Roman" w:cs="Times New Roman"/>
          <w:kern w:val="0"/>
          <w:sz w:val="28"/>
          <w:szCs w:val="28"/>
        </w:rPr>
        <w:t>污水处理污泥</w:t>
      </w:r>
      <w:r>
        <w:rPr>
          <w:rFonts w:ascii="Times New Roman" w:eastAsia="宋体" w:hAnsi="Times New Roman" w:cs="Times New Roman" w:hint="eastAsia"/>
          <w:kern w:val="0"/>
          <w:sz w:val="28"/>
          <w:szCs w:val="28"/>
        </w:rPr>
        <w:t>估算产生量为</w:t>
      </w:r>
      <w:r>
        <w:rPr>
          <w:rFonts w:ascii="Times New Roman" w:eastAsia="宋体" w:hAnsi="Times New Roman" w:cs="Times New Roman" w:hint="eastAsia"/>
          <w:kern w:val="0"/>
          <w:sz w:val="28"/>
          <w:szCs w:val="28"/>
        </w:rPr>
        <w:t>3</w:t>
      </w:r>
      <w:r>
        <w:rPr>
          <w:rFonts w:ascii="Times New Roman" w:eastAsia="宋体" w:hAnsi="Times New Roman" w:cs="Times New Roman"/>
          <w:kern w:val="0"/>
          <w:sz w:val="28"/>
          <w:szCs w:val="28"/>
        </w:rPr>
        <w:t>008t/a</w:t>
      </w:r>
      <w:r>
        <w:rPr>
          <w:rFonts w:ascii="Times New Roman" w:eastAsia="宋体" w:hAnsi="Times New Roman" w:cs="Times New Roman" w:hint="eastAsia"/>
          <w:kern w:val="0"/>
          <w:sz w:val="28"/>
          <w:szCs w:val="28"/>
        </w:rPr>
        <w:t>，技改前后维持不变。</w:t>
      </w:r>
    </w:p>
    <w:p w14:paraId="0A87AA9A"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技改项目新增固体废物为废分子筛及废包装材料。</w:t>
      </w:r>
      <w:r>
        <w:rPr>
          <w:rFonts w:ascii="Times New Roman" w:eastAsia="宋体" w:hAnsi="Times New Roman" w:cs="Times New Roman"/>
          <w:kern w:val="0"/>
          <w:sz w:val="28"/>
          <w:szCs w:val="28"/>
        </w:rPr>
        <w:t>无水乙醇制备过程采用铝材质分子筛平均</w:t>
      </w:r>
      <w:r>
        <w:rPr>
          <w:rFonts w:ascii="Times New Roman" w:eastAsia="宋体" w:hAnsi="Times New Roman" w:cs="Times New Roman"/>
          <w:kern w:val="0"/>
          <w:sz w:val="28"/>
          <w:szCs w:val="28"/>
        </w:rPr>
        <w:t>6~7</w:t>
      </w:r>
      <w:r>
        <w:rPr>
          <w:rFonts w:ascii="Times New Roman" w:eastAsia="宋体" w:hAnsi="Times New Roman" w:cs="Times New Roman"/>
          <w:kern w:val="0"/>
          <w:sz w:val="28"/>
          <w:szCs w:val="28"/>
        </w:rPr>
        <w:t>年更换一次</w:t>
      </w:r>
      <w:r>
        <w:rPr>
          <w:rFonts w:ascii="Times New Roman" w:eastAsia="宋体" w:hAnsi="Times New Roman" w:cs="Times New Roman"/>
          <w:kern w:val="0"/>
          <w:sz w:val="28"/>
          <w:szCs w:val="28"/>
        </w:rPr>
        <w:t>,</w:t>
      </w:r>
      <w:r>
        <w:rPr>
          <w:rFonts w:ascii="Times New Roman" w:eastAsia="宋体" w:hAnsi="Times New Roman" w:cs="Times New Roman"/>
        </w:rPr>
        <w:t xml:space="preserve"> </w:t>
      </w:r>
      <w:r>
        <w:rPr>
          <w:rFonts w:ascii="Times New Roman" w:eastAsia="宋体" w:hAnsi="Times New Roman" w:cs="Times New Roman"/>
          <w:kern w:val="0"/>
          <w:sz w:val="28"/>
          <w:szCs w:val="28"/>
        </w:rPr>
        <w:t>更换量约</w:t>
      </w:r>
      <w:r>
        <w:rPr>
          <w:rFonts w:ascii="Times New Roman" w:eastAsia="宋体" w:hAnsi="Times New Roman" w:cs="Times New Roman"/>
          <w:kern w:val="0"/>
          <w:sz w:val="28"/>
          <w:szCs w:val="28"/>
        </w:rPr>
        <w:t>100t</w:t>
      </w:r>
      <w:r>
        <w:rPr>
          <w:rFonts w:ascii="Times New Roman" w:eastAsia="宋体" w:hAnsi="Times New Roman" w:cs="Times New Roman"/>
          <w:kern w:val="0"/>
          <w:sz w:val="28"/>
          <w:szCs w:val="28"/>
        </w:rPr>
        <w:t>，平均</w:t>
      </w:r>
      <w:r>
        <w:rPr>
          <w:rFonts w:ascii="Times New Roman" w:eastAsia="宋体" w:hAnsi="Times New Roman" w:cs="Times New Roman"/>
          <w:kern w:val="0"/>
          <w:sz w:val="28"/>
          <w:szCs w:val="28"/>
        </w:rPr>
        <w:t>14.3t/a</w:t>
      </w:r>
      <w:r>
        <w:rPr>
          <w:rFonts w:ascii="Times New Roman" w:eastAsia="宋体" w:hAnsi="Times New Roman" w:cs="Times New Roman"/>
          <w:kern w:val="0"/>
          <w:sz w:val="28"/>
          <w:szCs w:val="28"/>
        </w:rPr>
        <w:t>，为一般工业固废</w:t>
      </w:r>
      <w:r>
        <w:rPr>
          <w:rFonts w:ascii="Times New Roman" w:eastAsia="宋体" w:hAnsi="Times New Roman" w:cs="Times New Roman" w:hint="eastAsia"/>
          <w:kern w:val="0"/>
          <w:sz w:val="28"/>
          <w:szCs w:val="28"/>
        </w:rPr>
        <w:t>，</w:t>
      </w:r>
      <w:r>
        <w:rPr>
          <w:rFonts w:ascii="Times New Roman" w:eastAsia="宋体" w:hAnsi="Times New Roman" w:cs="Times New Roman" w:hint="eastAsia"/>
          <w:sz w:val="28"/>
          <w:szCs w:val="28"/>
        </w:rPr>
        <w:t>外售综合利用</w:t>
      </w:r>
      <w:r>
        <w:rPr>
          <w:rFonts w:ascii="Times New Roman" w:eastAsia="宋体" w:hAnsi="Times New Roman" w:cs="Times New Roman" w:hint="eastAsia"/>
          <w:kern w:val="0"/>
          <w:sz w:val="28"/>
          <w:szCs w:val="28"/>
        </w:rPr>
        <w:t>，</w:t>
      </w:r>
      <w:r>
        <w:rPr>
          <w:rFonts w:ascii="Times New Roman" w:eastAsia="宋体" w:hAnsi="宋体" w:cs="Times New Roman"/>
          <w:kern w:val="0"/>
          <w:sz w:val="28"/>
          <w:szCs w:val="28"/>
        </w:rPr>
        <w:t>不会对周围环境产生二次污染。</w:t>
      </w:r>
    </w:p>
    <w:p w14:paraId="11A88BE6"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根据《固体废物鉴别标准</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通则》</w:t>
      </w:r>
      <w:r>
        <w:rPr>
          <w:rFonts w:ascii="Times New Roman" w:eastAsia="宋体" w:hAnsi="Times New Roman" w:cs="Times New Roman"/>
          <w:kern w:val="0"/>
          <w:sz w:val="28"/>
          <w:szCs w:val="28"/>
        </w:rPr>
        <w:t>(GB34330-2017)</w:t>
      </w:r>
      <w:r>
        <w:rPr>
          <w:rFonts w:ascii="Times New Roman" w:eastAsia="宋体" w:hAnsi="Times New Roman" w:cs="Times New Roman"/>
          <w:kern w:val="0"/>
          <w:sz w:val="28"/>
          <w:szCs w:val="28"/>
        </w:rPr>
        <w:t>的规定，判断建设项目所有副产物是否属于固体废物，同时根据《国家危险废物名录</w:t>
      </w:r>
      <w:r>
        <w:rPr>
          <w:rFonts w:ascii="Times New Roman" w:eastAsia="宋体" w:hAnsi="Times New Roman" w:cs="Times New Roman"/>
          <w:kern w:val="0"/>
          <w:sz w:val="28"/>
          <w:szCs w:val="28"/>
        </w:rPr>
        <w:t>(2016)</w:t>
      </w:r>
      <w:r>
        <w:rPr>
          <w:rFonts w:ascii="Times New Roman" w:eastAsia="宋体" w:hAnsi="Times New Roman" w:cs="Times New Roman"/>
          <w:kern w:val="0"/>
          <w:sz w:val="28"/>
          <w:szCs w:val="28"/>
        </w:rPr>
        <w:t>》和《危险废物鉴别标准</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通则》</w:t>
      </w:r>
      <w:r>
        <w:rPr>
          <w:rFonts w:ascii="Times New Roman" w:eastAsia="宋体" w:hAnsi="Times New Roman" w:cs="Times New Roman"/>
          <w:kern w:val="0"/>
          <w:sz w:val="28"/>
          <w:szCs w:val="28"/>
        </w:rPr>
        <w:t>(GB5085.7-2019)</w:t>
      </w:r>
      <w:r>
        <w:rPr>
          <w:rFonts w:ascii="Times New Roman" w:eastAsia="宋体" w:hAnsi="Times New Roman" w:cs="Times New Roman"/>
          <w:kern w:val="0"/>
          <w:sz w:val="28"/>
          <w:szCs w:val="28"/>
        </w:rPr>
        <w:t>，判定建设项目的固体废物是否属于危险废物，固废产生情况情况详见表</w:t>
      </w:r>
      <w:r>
        <w:rPr>
          <w:rFonts w:ascii="Times New Roman" w:eastAsia="宋体" w:hAnsi="Times New Roman" w:cs="Times New Roman"/>
          <w:kern w:val="0"/>
          <w:sz w:val="28"/>
          <w:szCs w:val="28"/>
        </w:rPr>
        <w:t>4.5-8</w:t>
      </w:r>
      <w:r>
        <w:rPr>
          <w:rFonts w:ascii="Times New Roman" w:eastAsia="宋体" w:hAnsi="Times New Roman" w:cs="Times New Roman"/>
          <w:kern w:val="0"/>
          <w:sz w:val="28"/>
          <w:szCs w:val="28"/>
        </w:rPr>
        <w:t>。</w:t>
      </w:r>
    </w:p>
    <w:p w14:paraId="0A0BA1A4" w14:textId="77777777" w:rsidR="002133E3" w:rsidRDefault="00C22CFA">
      <w:pPr>
        <w:widowControl/>
        <w:snapToGrid w:val="0"/>
        <w:spacing w:line="500" w:lineRule="atLeast"/>
        <w:jc w:val="center"/>
        <w:rPr>
          <w:rFonts w:ascii="Times New Roman" w:eastAsia="宋体" w:hAnsi="Times New Roman" w:cs="Times New Roman"/>
          <w:b/>
          <w:bCs/>
          <w:color w:val="000000"/>
          <w:kern w:val="0"/>
          <w:sz w:val="24"/>
          <w:szCs w:val="24"/>
        </w:rPr>
      </w:pPr>
      <w:r>
        <w:rPr>
          <w:rFonts w:ascii="Times New Roman" w:eastAsia="宋体" w:hAnsi="Times New Roman" w:cs="Times New Roman"/>
          <w:b/>
          <w:bCs/>
          <w:color w:val="000000"/>
          <w:kern w:val="0"/>
          <w:sz w:val="24"/>
          <w:szCs w:val="24"/>
        </w:rPr>
        <w:t>表</w:t>
      </w:r>
      <w:r>
        <w:rPr>
          <w:rFonts w:ascii="Times New Roman" w:eastAsia="宋体" w:hAnsi="Times New Roman" w:cs="Times New Roman"/>
          <w:b/>
          <w:bCs/>
          <w:color w:val="000000"/>
          <w:kern w:val="0"/>
          <w:sz w:val="24"/>
          <w:szCs w:val="24"/>
        </w:rPr>
        <w:t xml:space="preserve">4.5-8   </w:t>
      </w:r>
      <w:r>
        <w:rPr>
          <w:rFonts w:ascii="Times New Roman" w:eastAsia="宋体" w:hAnsi="Times New Roman" w:cs="Times New Roman"/>
          <w:b/>
          <w:bCs/>
          <w:color w:val="000000"/>
          <w:kern w:val="0"/>
          <w:sz w:val="24"/>
          <w:szCs w:val="24"/>
        </w:rPr>
        <w:t>技改项目</w:t>
      </w:r>
      <w:r>
        <w:rPr>
          <w:rFonts w:ascii="Times New Roman" w:eastAsia="宋体" w:hAnsi="Times New Roman" w:cs="Times New Roman" w:hint="eastAsia"/>
          <w:b/>
          <w:bCs/>
          <w:color w:val="000000"/>
          <w:kern w:val="0"/>
          <w:sz w:val="24"/>
          <w:szCs w:val="24"/>
        </w:rPr>
        <w:t>新增</w:t>
      </w:r>
      <w:r>
        <w:rPr>
          <w:rFonts w:ascii="Times New Roman" w:eastAsia="宋体" w:hAnsi="Times New Roman" w:cs="Times New Roman"/>
          <w:b/>
          <w:bCs/>
          <w:color w:val="000000"/>
          <w:kern w:val="0"/>
          <w:sz w:val="24"/>
          <w:szCs w:val="24"/>
        </w:rPr>
        <w:t>固体废物产生结果一览表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1235"/>
        <w:gridCol w:w="1133"/>
        <w:gridCol w:w="1135"/>
        <w:gridCol w:w="849"/>
        <w:gridCol w:w="851"/>
        <w:gridCol w:w="1275"/>
        <w:gridCol w:w="993"/>
        <w:gridCol w:w="991"/>
        <w:gridCol w:w="950"/>
      </w:tblGrid>
      <w:tr w:rsidR="002133E3" w14:paraId="5F3B1A0A" w14:textId="77777777">
        <w:trPr>
          <w:trHeight w:val="270"/>
        </w:trPr>
        <w:tc>
          <w:tcPr>
            <w:tcW w:w="224" w:type="pct"/>
            <w:shd w:val="clear" w:color="auto" w:fill="auto"/>
            <w:noWrap/>
            <w:vAlign w:val="center"/>
          </w:tcPr>
          <w:p w14:paraId="7B44D50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626" w:type="pct"/>
            <w:shd w:val="clear" w:color="auto" w:fill="auto"/>
            <w:noWrap/>
            <w:vAlign w:val="center"/>
          </w:tcPr>
          <w:p w14:paraId="1AAEA16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固废名称</w:t>
            </w:r>
          </w:p>
        </w:tc>
        <w:tc>
          <w:tcPr>
            <w:tcW w:w="575" w:type="pct"/>
            <w:shd w:val="clear" w:color="auto" w:fill="auto"/>
            <w:noWrap/>
            <w:vAlign w:val="center"/>
          </w:tcPr>
          <w:p w14:paraId="3872B71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产生工序</w:t>
            </w:r>
          </w:p>
        </w:tc>
        <w:tc>
          <w:tcPr>
            <w:tcW w:w="576" w:type="pct"/>
            <w:shd w:val="clear" w:color="auto" w:fill="auto"/>
            <w:noWrap/>
            <w:vAlign w:val="center"/>
          </w:tcPr>
          <w:p w14:paraId="23E7FDC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属性</w:t>
            </w:r>
          </w:p>
        </w:tc>
        <w:tc>
          <w:tcPr>
            <w:tcW w:w="431" w:type="pct"/>
            <w:shd w:val="clear" w:color="auto" w:fill="auto"/>
            <w:noWrap/>
            <w:vAlign w:val="center"/>
          </w:tcPr>
          <w:p w14:paraId="15FF62C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形态</w:t>
            </w:r>
          </w:p>
        </w:tc>
        <w:tc>
          <w:tcPr>
            <w:tcW w:w="432" w:type="pct"/>
            <w:shd w:val="clear" w:color="auto" w:fill="auto"/>
            <w:noWrap/>
            <w:vAlign w:val="center"/>
          </w:tcPr>
          <w:p w14:paraId="017D61E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类别</w:t>
            </w:r>
          </w:p>
        </w:tc>
        <w:tc>
          <w:tcPr>
            <w:tcW w:w="647" w:type="pct"/>
            <w:shd w:val="clear" w:color="auto" w:fill="auto"/>
            <w:noWrap/>
            <w:vAlign w:val="center"/>
          </w:tcPr>
          <w:p w14:paraId="4222C80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代码</w:t>
            </w:r>
          </w:p>
        </w:tc>
        <w:tc>
          <w:tcPr>
            <w:tcW w:w="504" w:type="pct"/>
            <w:shd w:val="clear" w:color="auto" w:fill="auto"/>
            <w:noWrap/>
            <w:vAlign w:val="center"/>
          </w:tcPr>
          <w:p w14:paraId="4B612D0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产生量</w:t>
            </w:r>
            <w:r>
              <w:rPr>
                <w:rFonts w:ascii="Times New Roman" w:eastAsia="宋体" w:hAnsi="Times New Roman" w:cs="Times New Roman"/>
                <w:b/>
                <w:bCs/>
                <w:color w:val="000000"/>
                <w:kern w:val="0"/>
                <w:szCs w:val="21"/>
              </w:rPr>
              <w:t>t/a</w:t>
            </w:r>
          </w:p>
        </w:tc>
        <w:tc>
          <w:tcPr>
            <w:tcW w:w="503" w:type="pct"/>
            <w:vAlign w:val="center"/>
          </w:tcPr>
          <w:p w14:paraId="6A0870F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kern w:val="0"/>
                <w:szCs w:val="21"/>
              </w:rPr>
              <w:t>处置量</w:t>
            </w:r>
            <w:r>
              <w:rPr>
                <w:rFonts w:ascii="Times New Roman" w:eastAsia="宋体" w:hAnsi="Times New Roman" w:cs="Times New Roman"/>
                <w:b/>
                <w:kern w:val="0"/>
                <w:szCs w:val="21"/>
              </w:rPr>
              <w:t>t/a</w:t>
            </w:r>
          </w:p>
        </w:tc>
        <w:tc>
          <w:tcPr>
            <w:tcW w:w="483" w:type="pct"/>
            <w:shd w:val="clear" w:color="auto" w:fill="auto"/>
            <w:noWrap/>
            <w:vAlign w:val="center"/>
          </w:tcPr>
          <w:p w14:paraId="60E2289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处置措施</w:t>
            </w:r>
          </w:p>
        </w:tc>
      </w:tr>
      <w:tr w:rsidR="002133E3" w14:paraId="6A3AAD0D" w14:textId="77777777">
        <w:trPr>
          <w:trHeight w:val="300"/>
        </w:trPr>
        <w:tc>
          <w:tcPr>
            <w:tcW w:w="224" w:type="pct"/>
            <w:shd w:val="clear" w:color="auto" w:fill="auto"/>
            <w:noWrap/>
            <w:vAlign w:val="center"/>
          </w:tcPr>
          <w:p w14:paraId="7962E9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626" w:type="pct"/>
            <w:shd w:val="clear" w:color="auto" w:fill="auto"/>
            <w:noWrap/>
            <w:vAlign w:val="center"/>
          </w:tcPr>
          <w:p w14:paraId="62B3BE1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废分子筛</w:t>
            </w:r>
          </w:p>
        </w:tc>
        <w:tc>
          <w:tcPr>
            <w:tcW w:w="575" w:type="pct"/>
            <w:shd w:val="clear" w:color="auto" w:fill="auto"/>
            <w:noWrap/>
            <w:vAlign w:val="center"/>
          </w:tcPr>
          <w:p w14:paraId="249193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无水乙醇制备</w:t>
            </w:r>
          </w:p>
        </w:tc>
        <w:tc>
          <w:tcPr>
            <w:tcW w:w="576" w:type="pct"/>
            <w:shd w:val="clear" w:color="auto" w:fill="auto"/>
            <w:noWrap/>
            <w:vAlign w:val="center"/>
          </w:tcPr>
          <w:p w14:paraId="7FD3EF4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一般工业固废</w:t>
            </w:r>
          </w:p>
        </w:tc>
        <w:tc>
          <w:tcPr>
            <w:tcW w:w="431" w:type="pct"/>
            <w:shd w:val="clear" w:color="auto" w:fill="auto"/>
            <w:noWrap/>
            <w:vAlign w:val="center"/>
          </w:tcPr>
          <w:p w14:paraId="008FAB4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固态</w:t>
            </w:r>
          </w:p>
        </w:tc>
        <w:tc>
          <w:tcPr>
            <w:tcW w:w="432" w:type="pct"/>
            <w:shd w:val="clear" w:color="auto" w:fill="auto"/>
            <w:noWrap/>
            <w:vAlign w:val="center"/>
          </w:tcPr>
          <w:p w14:paraId="22AB4C1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99</w:t>
            </w:r>
          </w:p>
        </w:tc>
        <w:tc>
          <w:tcPr>
            <w:tcW w:w="647" w:type="pct"/>
            <w:shd w:val="clear" w:color="auto" w:fill="auto"/>
            <w:noWrap/>
            <w:vAlign w:val="center"/>
          </w:tcPr>
          <w:p w14:paraId="2093D5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151-999-99</w:t>
            </w:r>
          </w:p>
        </w:tc>
        <w:tc>
          <w:tcPr>
            <w:tcW w:w="504" w:type="pct"/>
            <w:shd w:val="clear" w:color="auto" w:fill="auto"/>
            <w:noWrap/>
            <w:vAlign w:val="center"/>
          </w:tcPr>
          <w:p w14:paraId="6277E9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14.3</w:t>
            </w:r>
          </w:p>
        </w:tc>
        <w:tc>
          <w:tcPr>
            <w:tcW w:w="503" w:type="pct"/>
            <w:vAlign w:val="center"/>
          </w:tcPr>
          <w:p w14:paraId="2D45D1C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14.3</w:t>
            </w:r>
          </w:p>
        </w:tc>
        <w:tc>
          <w:tcPr>
            <w:tcW w:w="483" w:type="pct"/>
            <w:shd w:val="clear" w:color="auto" w:fill="auto"/>
            <w:noWrap/>
            <w:vAlign w:val="center"/>
          </w:tcPr>
          <w:p w14:paraId="6A8E255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外售综合利用</w:t>
            </w:r>
          </w:p>
        </w:tc>
      </w:tr>
      <w:tr w:rsidR="002133E3" w14:paraId="5B0038EB" w14:textId="77777777">
        <w:trPr>
          <w:trHeight w:val="270"/>
        </w:trPr>
        <w:tc>
          <w:tcPr>
            <w:tcW w:w="224" w:type="pct"/>
            <w:shd w:val="clear" w:color="auto" w:fill="auto"/>
            <w:noWrap/>
            <w:vAlign w:val="center"/>
          </w:tcPr>
          <w:p w14:paraId="680DCBF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626" w:type="pct"/>
            <w:shd w:val="clear" w:color="auto" w:fill="auto"/>
            <w:noWrap/>
            <w:vAlign w:val="center"/>
          </w:tcPr>
          <w:p w14:paraId="7457F4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废包装材料</w:t>
            </w:r>
          </w:p>
        </w:tc>
        <w:tc>
          <w:tcPr>
            <w:tcW w:w="575" w:type="pct"/>
            <w:shd w:val="clear" w:color="auto" w:fill="auto"/>
            <w:noWrap/>
            <w:vAlign w:val="center"/>
          </w:tcPr>
          <w:p w14:paraId="6D510CD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原料包装</w:t>
            </w:r>
          </w:p>
        </w:tc>
        <w:tc>
          <w:tcPr>
            <w:tcW w:w="576" w:type="pct"/>
            <w:shd w:val="clear" w:color="auto" w:fill="auto"/>
            <w:noWrap/>
            <w:vAlign w:val="center"/>
          </w:tcPr>
          <w:p w14:paraId="5966AF9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危险固废</w:t>
            </w:r>
          </w:p>
        </w:tc>
        <w:tc>
          <w:tcPr>
            <w:tcW w:w="431" w:type="pct"/>
            <w:shd w:val="clear" w:color="auto" w:fill="auto"/>
            <w:noWrap/>
            <w:vAlign w:val="center"/>
          </w:tcPr>
          <w:p w14:paraId="536ABD5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固态</w:t>
            </w:r>
          </w:p>
        </w:tc>
        <w:tc>
          <w:tcPr>
            <w:tcW w:w="432" w:type="pct"/>
            <w:shd w:val="clear" w:color="auto" w:fill="auto"/>
            <w:noWrap/>
            <w:vAlign w:val="center"/>
          </w:tcPr>
          <w:p w14:paraId="40EFC1F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HW49</w:t>
            </w:r>
          </w:p>
        </w:tc>
        <w:tc>
          <w:tcPr>
            <w:tcW w:w="647" w:type="pct"/>
            <w:shd w:val="clear" w:color="auto" w:fill="auto"/>
            <w:noWrap/>
            <w:vAlign w:val="center"/>
          </w:tcPr>
          <w:p w14:paraId="48F14C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 900-041-49</w:t>
            </w:r>
          </w:p>
        </w:tc>
        <w:tc>
          <w:tcPr>
            <w:tcW w:w="504" w:type="pct"/>
            <w:shd w:val="clear" w:color="auto" w:fill="auto"/>
            <w:noWrap/>
            <w:vAlign w:val="center"/>
          </w:tcPr>
          <w:p w14:paraId="6C1DB6B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0.63</w:t>
            </w:r>
          </w:p>
        </w:tc>
        <w:tc>
          <w:tcPr>
            <w:tcW w:w="503" w:type="pct"/>
            <w:vAlign w:val="center"/>
          </w:tcPr>
          <w:p w14:paraId="4AF73F7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0.63</w:t>
            </w:r>
          </w:p>
        </w:tc>
        <w:tc>
          <w:tcPr>
            <w:tcW w:w="483" w:type="pct"/>
            <w:shd w:val="clear" w:color="auto" w:fill="auto"/>
            <w:noWrap/>
            <w:vAlign w:val="center"/>
          </w:tcPr>
          <w:p w14:paraId="0A4A2F2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委托处理</w:t>
            </w:r>
          </w:p>
        </w:tc>
      </w:tr>
    </w:tbl>
    <w:p w14:paraId="3294875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噪声</w:t>
      </w:r>
    </w:p>
    <w:p w14:paraId="07189A4E"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项目主要噪声源有风机、粉碎机、减速机、空压机、泵等，源强约</w:t>
      </w:r>
      <w:r>
        <w:rPr>
          <w:rFonts w:ascii="Times New Roman" w:eastAsia="宋体" w:hAnsi="Times New Roman" w:cs="Times New Roman"/>
          <w:kern w:val="0"/>
          <w:sz w:val="28"/>
          <w:szCs w:val="28"/>
        </w:rPr>
        <w:t>80</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90dB(A)</w:t>
      </w:r>
      <w:r>
        <w:rPr>
          <w:rFonts w:ascii="Times New Roman" w:eastAsia="宋体" w:hAnsi="Times New Roman" w:cs="Times New Roman"/>
          <w:kern w:val="0"/>
          <w:sz w:val="28"/>
          <w:szCs w:val="28"/>
        </w:rPr>
        <w:t>，其噪声设备声压级及拟采取措施情况见表</w:t>
      </w:r>
      <w:r>
        <w:rPr>
          <w:rFonts w:ascii="Times New Roman" w:eastAsia="宋体" w:hAnsi="Times New Roman" w:cs="Times New Roman"/>
          <w:kern w:val="0"/>
          <w:sz w:val="28"/>
          <w:szCs w:val="28"/>
        </w:rPr>
        <w:t>4.5-9</w:t>
      </w:r>
      <w:r>
        <w:rPr>
          <w:rFonts w:ascii="Times New Roman" w:eastAsia="宋体" w:hAnsi="Times New Roman" w:cs="Times New Roman"/>
          <w:kern w:val="0"/>
          <w:sz w:val="28"/>
          <w:szCs w:val="28"/>
        </w:rPr>
        <w:t>。</w:t>
      </w:r>
    </w:p>
    <w:p w14:paraId="55E44E51" w14:textId="77777777" w:rsidR="002133E3" w:rsidRDefault="00C22CFA">
      <w:pPr>
        <w:widowControl/>
        <w:spacing w:line="500" w:lineRule="atLeast"/>
        <w:jc w:val="center"/>
        <w:rPr>
          <w:rFonts w:ascii="Times New Roman" w:eastAsia="宋体" w:hAnsi="Times New Roman" w:cs="Times New Roman"/>
          <w:b/>
          <w:bCs/>
          <w:color w:val="000000"/>
          <w:kern w:val="0"/>
          <w:sz w:val="24"/>
          <w:szCs w:val="24"/>
        </w:rPr>
      </w:pPr>
      <w:r>
        <w:rPr>
          <w:rFonts w:ascii="Times New Roman" w:eastAsia="宋体" w:hAnsi="Times New Roman" w:cs="Times New Roman"/>
          <w:b/>
          <w:bCs/>
          <w:color w:val="000000"/>
          <w:kern w:val="0"/>
          <w:sz w:val="24"/>
          <w:szCs w:val="24"/>
        </w:rPr>
        <w:t>表</w:t>
      </w:r>
      <w:r>
        <w:rPr>
          <w:rFonts w:ascii="Times New Roman" w:eastAsia="宋体" w:hAnsi="Times New Roman" w:cs="Times New Roman"/>
          <w:b/>
          <w:bCs/>
          <w:color w:val="000000"/>
          <w:kern w:val="0"/>
          <w:sz w:val="24"/>
          <w:szCs w:val="24"/>
        </w:rPr>
        <w:t xml:space="preserve">4.5-9  </w:t>
      </w:r>
      <w:r>
        <w:rPr>
          <w:rFonts w:ascii="Times New Roman" w:eastAsia="宋体" w:hAnsi="Times New Roman" w:cs="Times New Roman"/>
          <w:b/>
          <w:bCs/>
          <w:color w:val="000000"/>
          <w:kern w:val="0"/>
          <w:sz w:val="24"/>
          <w:szCs w:val="24"/>
        </w:rPr>
        <w:t>项目噪声产生、治理及排放情况表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1013"/>
        <w:gridCol w:w="891"/>
        <w:gridCol w:w="995"/>
        <w:gridCol w:w="869"/>
        <w:gridCol w:w="871"/>
        <w:gridCol w:w="2670"/>
        <w:gridCol w:w="2107"/>
      </w:tblGrid>
      <w:tr w:rsidR="002133E3" w14:paraId="1C155854" w14:textId="77777777">
        <w:trPr>
          <w:trHeight w:val="284"/>
          <w:jc w:val="center"/>
        </w:trPr>
        <w:tc>
          <w:tcPr>
            <w:tcW w:w="222" w:type="pct"/>
            <w:vMerge w:val="restart"/>
            <w:vAlign w:val="center"/>
          </w:tcPr>
          <w:p w14:paraId="329D6B2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514" w:type="pct"/>
            <w:vMerge w:val="restart"/>
            <w:vAlign w:val="center"/>
          </w:tcPr>
          <w:p w14:paraId="5C25201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设备</w:t>
            </w:r>
          </w:p>
        </w:tc>
        <w:tc>
          <w:tcPr>
            <w:tcW w:w="452" w:type="pct"/>
            <w:vMerge w:val="restart"/>
            <w:vAlign w:val="center"/>
          </w:tcPr>
          <w:p w14:paraId="174E146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数量</w:t>
            </w:r>
          </w:p>
          <w:p w14:paraId="2970EC9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w:t>
            </w:r>
            <w:r>
              <w:rPr>
                <w:rFonts w:ascii="Times New Roman" w:eastAsia="宋体" w:hAnsi="Times New Roman" w:cs="Times New Roman"/>
                <w:b/>
                <w:bCs/>
                <w:kern w:val="0"/>
                <w:szCs w:val="21"/>
              </w:rPr>
              <w:t>台</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套</w:t>
            </w:r>
            <w:r>
              <w:rPr>
                <w:rFonts w:ascii="Times New Roman" w:eastAsia="宋体" w:hAnsi="Times New Roman" w:cs="Times New Roman"/>
                <w:b/>
                <w:bCs/>
                <w:kern w:val="0"/>
                <w:szCs w:val="21"/>
              </w:rPr>
              <w:t>)</w:t>
            </w:r>
          </w:p>
        </w:tc>
        <w:tc>
          <w:tcPr>
            <w:tcW w:w="1388" w:type="pct"/>
            <w:gridSpan w:val="3"/>
            <w:vAlign w:val="center"/>
          </w:tcPr>
          <w:p w14:paraId="6C3203E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噪声级</w:t>
            </w:r>
          </w:p>
        </w:tc>
        <w:tc>
          <w:tcPr>
            <w:tcW w:w="1355" w:type="pct"/>
            <w:vMerge w:val="restart"/>
            <w:vAlign w:val="center"/>
          </w:tcPr>
          <w:p w14:paraId="55CD5A1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拟采取措施</w:t>
            </w:r>
          </w:p>
        </w:tc>
        <w:tc>
          <w:tcPr>
            <w:tcW w:w="1069" w:type="pct"/>
            <w:vMerge w:val="restart"/>
            <w:vAlign w:val="center"/>
          </w:tcPr>
          <w:p w14:paraId="4206DB3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距离厂界最近距离</w:t>
            </w:r>
            <w:r>
              <w:rPr>
                <w:rFonts w:ascii="Times New Roman" w:eastAsia="宋体" w:hAnsi="Times New Roman" w:cs="Times New Roman"/>
                <w:b/>
                <w:bCs/>
                <w:kern w:val="0"/>
                <w:szCs w:val="21"/>
              </w:rPr>
              <w:t>(m)</w:t>
            </w:r>
          </w:p>
        </w:tc>
      </w:tr>
      <w:tr w:rsidR="002133E3" w14:paraId="7CEF2BC5" w14:textId="77777777">
        <w:trPr>
          <w:trHeight w:val="284"/>
          <w:jc w:val="center"/>
        </w:trPr>
        <w:tc>
          <w:tcPr>
            <w:tcW w:w="222" w:type="pct"/>
            <w:vMerge/>
            <w:vAlign w:val="center"/>
          </w:tcPr>
          <w:p w14:paraId="79EA4596" w14:textId="77777777" w:rsidR="002133E3" w:rsidRDefault="002133E3">
            <w:pPr>
              <w:widowControl/>
              <w:jc w:val="center"/>
              <w:rPr>
                <w:rFonts w:ascii="Times New Roman" w:eastAsia="宋体" w:hAnsi="Times New Roman" w:cs="Times New Roman"/>
                <w:b/>
                <w:bCs/>
                <w:kern w:val="0"/>
                <w:szCs w:val="21"/>
              </w:rPr>
            </w:pPr>
          </w:p>
        </w:tc>
        <w:tc>
          <w:tcPr>
            <w:tcW w:w="514" w:type="pct"/>
            <w:vMerge/>
            <w:vAlign w:val="center"/>
          </w:tcPr>
          <w:p w14:paraId="2B7C78BD" w14:textId="77777777" w:rsidR="002133E3" w:rsidRDefault="002133E3">
            <w:pPr>
              <w:widowControl/>
              <w:jc w:val="center"/>
              <w:rPr>
                <w:rFonts w:ascii="Times New Roman" w:eastAsia="宋体" w:hAnsi="Times New Roman" w:cs="Times New Roman"/>
                <w:b/>
                <w:bCs/>
                <w:kern w:val="0"/>
                <w:szCs w:val="21"/>
              </w:rPr>
            </w:pPr>
          </w:p>
        </w:tc>
        <w:tc>
          <w:tcPr>
            <w:tcW w:w="452" w:type="pct"/>
            <w:vMerge/>
            <w:vAlign w:val="center"/>
          </w:tcPr>
          <w:p w14:paraId="6130BE34" w14:textId="77777777" w:rsidR="002133E3" w:rsidRDefault="002133E3">
            <w:pPr>
              <w:widowControl/>
              <w:jc w:val="center"/>
              <w:rPr>
                <w:rFonts w:ascii="Times New Roman" w:eastAsia="宋体" w:hAnsi="Times New Roman" w:cs="Times New Roman"/>
                <w:b/>
                <w:bCs/>
                <w:kern w:val="0"/>
                <w:szCs w:val="21"/>
              </w:rPr>
            </w:pPr>
          </w:p>
        </w:tc>
        <w:tc>
          <w:tcPr>
            <w:tcW w:w="505" w:type="pct"/>
            <w:vAlign w:val="center"/>
          </w:tcPr>
          <w:p w14:paraId="25FDBF0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降噪前</w:t>
            </w:r>
          </w:p>
        </w:tc>
        <w:tc>
          <w:tcPr>
            <w:tcW w:w="441" w:type="pct"/>
            <w:vAlign w:val="center"/>
          </w:tcPr>
          <w:p w14:paraId="1296969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降噪后</w:t>
            </w:r>
          </w:p>
        </w:tc>
        <w:tc>
          <w:tcPr>
            <w:tcW w:w="442" w:type="pct"/>
            <w:vAlign w:val="center"/>
          </w:tcPr>
          <w:p w14:paraId="361AC11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降噪量</w:t>
            </w:r>
          </w:p>
        </w:tc>
        <w:tc>
          <w:tcPr>
            <w:tcW w:w="1355" w:type="pct"/>
            <w:vMerge/>
            <w:vAlign w:val="center"/>
          </w:tcPr>
          <w:p w14:paraId="3B6D9034" w14:textId="77777777" w:rsidR="002133E3" w:rsidRDefault="002133E3">
            <w:pPr>
              <w:widowControl/>
              <w:jc w:val="center"/>
              <w:rPr>
                <w:rFonts w:ascii="Times New Roman" w:eastAsia="宋体" w:hAnsi="Times New Roman" w:cs="Times New Roman"/>
                <w:b/>
                <w:bCs/>
                <w:kern w:val="0"/>
                <w:szCs w:val="21"/>
              </w:rPr>
            </w:pPr>
          </w:p>
        </w:tc>
        <w:tc>
          <w:tcPr>
            <w:tcW w:w="1069" w:type="pct"/>
            <w:vMerge/>
            <w:vAlign w:val="center"/>
          </w:tcPr>
          <w:p w14:paraId="7541EB5C" w14:textId="77777777" w:rsidR="002133E3" w:rsidRDefault="002133E3">
            <w:pPr>
              <w:widowControl/>
              <w:jc w:val="center"/>
              <w:rPr>
                <w:rFonts w:ascii="Times New Roman" w:eastAsia="宋体" w:hAnsi="Times New Roman" w:cs="Times New Roman"/>
                <w:b/>
                <w:bCs/>
                <w:kern w:val="0"/>
                <w:szCs w:val="21"/>
              </w:rPr>
            </w:pPr>
          </w:p>
        </w:tc>
      </w:tr>
      <w:tr w:rsidR="002133E3" w14:paraId="467509A5" w14:textId="77777777">
        <w:trPr>
          <w:trHeight w:val="284"/>
          <w:jc w:val="center"/>
        </w:trPr>
        <w:tc>
          <w:tcPr>
            <w:tcW w:w="222" w:type="pct"/>
            <w:vAlign w:val="center"/>
          </w:tcPr>
          <w:p w14:paraId="7E6F0E7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14" w:type="pct"/>
            <w:vAlign w:val="center"/>
          </w:tcPr>
          <w:p w14:paraId="0589D1D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风机</w:t>
            </w:r>
          </w:p>
        </w:tc>
        <w:tc>
          <w:tcPr>
            <w:tcW w:w="452" w:type="pct"/>
            <w:vAlign w:val="center"/>
          </w:tcPr>
          <w:p w14:paraId="134479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505" w:type="pct"/>
            <w:vAlign w:val="center"/>
          </w:tcPr>
          <w:p w14:paraId="44E5C8C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85</w:t>
            </w:r>
          </w:p>
        </w:tc>
        <w:tc>
          <w:tcPr>
            <w:tcW w:w="441" w:type="pct"/>
            <w:vAlign w:val="center"/>
          </w:tcPr>
          <w:p w14:paraId="3E549CAA" w14:textId="77777777" w:rsidR="002133E3" w:rsidRDefault="00C22CFA">
            <w:pPr>
              <w:widowControl/>
              <w:autoSpaceDE w:val="0"/>
              <w:autoSpaceDN w:val="0"/>
              <w:adjustRightInd w:val="0"/>
              <w:snapToGrid w:val="0"/>
              <w:jc w:val="center"/>
              <w:textAlignment w:val="baseline"/>
              <w:rPr>
                <w:rFonts w:ascii="Times New Roman" w:eastAsia="宋体" w:hAnsi="Times New Roman" w:cs="Times New Roman"/>
                <w:color w:val="000000"/>
                <w:spacing w:val="-20"/>
                <w:w w:val="90"/>
                <w:kern w:val="0"/>
                <w:szCs w:val="21"/>
                <w:lang w:val="en-JM"/>
              </w:rPr>
            </w:pPr>
            <w:r>
              <w:rPr>
                <w:rFonts w:ascii="Times New Roman" w:eastAsia="宋体" w:hAnsi="Times New Roman" w:cs="Times New Roman"/>
                <w:color w:val="000000"/>
                <w:spacing w:val="-20"/>
                <w:w w:val="90"/>
                <w:kern w:val="0"/>
                <w:szCs w:val="21"/>
                <w:lang w:val="en-JM"/>
              </w:rPr>
              <w:t>60</w:t>
            </w:r>
          </w:p>
        </w:tc>
        <w:tc>
          <w:tcPr>
            <w:tcW w:w="442" w:type="pct"/>
            <w:vAlign w:val="center"/>
          </w:tcPr>
          <w:p w14:paraId="4F0AF0D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1355" w:type="pct"/>
            <w:vAlign w:val="center"/>
          </w:tcPr>
          <w:p w14:paraId="71C61BBA"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装消声器，安装减振装置，设隔声围封</w:t>
            </w:r>
          </w:p>
        </w:tc>
        <w:tc>
          <w:tcPr>
            <w:tcW w:w="1069" w:type="pct"/>
            <w:vAlign w:val="center"/>
          </w:tcPr>
          <w:p w14:paraId="5822B48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E135</w:t>
            </w:r>
            <w:r>
              <w:rPr>
                <w:rFonts w:ascii="Times New Roman" w:eastAsia="宋体" w:hAnsi="Times New Roman" w:cs="Times New Roman"/>
                <w:kern w:val="0"/>
                <w:szCs w:val="21"/>
              </w:rPr>
              <w:t>；</w:t>
            </w:r>
            <w:r>
              <w:rPr>
                <w:rFonts w:ascii="Times New Roman" w:eastAsia="宋体" w:hAnsi="Times New Roman" w:cs="Times New Roman"/>
                <w:kern w:val="0"/>
                <w:szCs w:val="21"/>
              </w:rPr>
              <w:t>S426</w:t>
            </w:r>
            <w:r>
              <w:rPr>
                <w:rFonts w:ascii="Times New Roman" w:eastAsia="宋体" w:hAnsi="Times New Roman" w:cs="Times New Roman"/>
                <w:kern w:val="0"/>
                <w:szCs w:val="21"/>
              </w:rPr>
              <w:t>；</w:t>
            </w:r>
            <w:r>
              <w:rPr>
                <w:rFonts w:ascii="Times New Roman" w:eastAsia="宋体" w:hAnsi="Times New Roman" w:cs="Times New Roman"/>
                <w:kern w:val="0"/>
                <w:szCs w:val="21"/>
              </w:rPr>
              <w:t>W45</w:t>
            </w:r>
            <w:r>
              <w:rPr>
                <w:rFonts w:ascii="Times New Roman" w:eastAsia="宋体" w:hAnsi="Times New Roman" w:cs="Times New Roman"/>
                <w:kern w:val="0"/>
                <w:szCs w:val="21"/>
              </w:rPr>
              <w:t>；</w:t>
            </w:r>
            <w:r>
              <w:rPr>
                <w:rFonts w:ascii="Times New Roman" w:eastAsia="宋体" w:hAnsi="Times New Roman" w:cs="Times New Roman"/>
                <w:kern w:val="0"/>
                <w:szCs w:val="21"/>
              </w:rPr>
              <w:t>N698</w:t>
            </w:r>
          </w:p>
        </w:tc>
      </w:tr>
      <w:tr w:rsidR="002133E3" w14:paraId="08C4B186" w14:textId="77777777">
        <w:trPr>
          <w:trHeight w:val="284"/>
          <w:jc w:val="center"/>
        </w:trPr>
        <w:tc>
          <w:tcPr>
            <w:tcW w:w="222" w:type="pct"/>
            <w:vAlign w:val="center"/>
          </w:tcPr>
          <w:p w14:paraId="12FFCDE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514" w:type="pct"/>
            <w:vAlign w:val="center"/>
          </w:tcPr>
          <w:p w14:paraId="7A8B751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粉碎机</w:t>
            </w:r>
          </w:p>
        </w:tc>
        <w:tc>
          <w:tcPr>
            <w:tcW w:w="452" w:type="pct"/>
            <w:vAlign w:val="center"/>
          </w:tcPr>
          <w:p w14:paraId="53176FC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505" w:type="pct"/>
            <w:vAlign w:val="center"/>
          </w:tcPr>
          <w:p w14:paraId="45274A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441" w:type="pct"/>
            <w:vAlign w:val="center"/>
          </w:tcPr>
          <w:p w14:paraId="0F52C5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55</w:t>
            </w:r>
          </w:p>
        </w:tc>
        <w:tc>
          <w:tcPr>
            <w:tcW w:w="442" w:type="pct"/>
            <w:vAlign w:val="center"/>
          </w:tcPr>
          <w:p w14:paraId="756EA0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1355" w:type="pct"/>
            <w:vAlign w:val="center"/>
          </w:tcPr>
          <w:p w14:paraId="3018DD62"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安装减振装置，厂房隔音</w:t>
            </w:r>
          </w:p>
        </w:tc>
        <w:tc>
          <w:tcPr>
            <w:tcW w:w="1069" w:type="pct"/>
            <w:vAlign w:val="center"/>
          </w:tcPr>
          <w:p w14:paraId="44F1BB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E390</w:t>
            </w:r>
            <w:r>
              <w:rPr>
                <w:rFonts w:ascii="Times New Roman" w:eastAsia="宋体" w:hAnsi="Times New Roman" w:cs="Times New Roman"/>
                <w:kern w:val="0"/>
                <w:szCs w:val="21"/>
              </w:rPr>
              <w:t>；</w:t>
            </w:r>
            <w:r>
              <w:rPr>
                <w:rFonts w:ascii="Times New Roman" w:eastAsia="宋体" w:hAnsi="Times New Roman" w:cs="Times New Roman"/>
                <w:kern w:val="0"/>
                <w:szCs w:val="21"/>
              </w:rPr>
              <w:t>S725</w:t>
            </w:r>
            <w:r>
              <w:rPr>
                <w:rFonts w:ascii="Times New Roman" w:eastAsia="宋体" w:hAnsi="Times New Roman" w:cs="Times New Roman"/>
                <w:kern w:val="0"/>
                <w:szCs w:val="21"/>
              </w:rPr>
              <w:t>；</w:t>
            </w:r>
            <w:r>
              <w:rPr>
                <w:rFonts w:ascii="Times New Roman" w:eastAsia="宋体" w:hAnsi="Times New Roman" w:cs="Times New Roman"/>
                <w:kern w:val="0"/>
                <w:szCs w:val="21"/>
              </w:rPr>
              <w:t>W565</w:t>
            </w:r>
            <w:r>
              <w:rPr>
                <w:rFonts w:ascii="Times New Roman" w:eastAsia="宋体" w:hAnsi="Times New Roman" w:cs="Times New Roman"/>
                <w:kern w:val="0"/>
                <w:szCs w:val="21"/>
              </w:rPr>
              <w:t>；</w:t>
            </w:r>
            <w:r>
              <w:rPr>
                <w:rFonts w:ascii="Times New Roman" w:eastAsia="宋体" w:hAnsi="Times New Roman" w:cs="Times New Roman"/>
                <w:kern w:val="0"/>
                <w:szCs w:val="21"/>
              </w:rPr>
              <w:t>N702</w:t>
            </w:r>
          </w:p>
        </w:tc>
      </w:tr>
      <w:tr w:rsidR="002133E3" w14:paraId="40E5D340" w14:textId="77777777">
        <w:trPr>
          <w:trHeight w:val="284"/>
          <w:jc w:val="center"/>
        </w:trPr>
        <w:tc>
          <w:tcPr>
            <w:tcW w:w="222" w:type="pct"/>
            <w:vAlign w:val="center"/>
          </w:tcPr>
          <w:p w14:paraId="7CDB1D6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514" w:type="pct"/>
            <w:vAlign w:val="center"/>
          </w:tcPr>
          <w:p w14:paraId="7D03A2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减速机</w:t>
            </w:r>
          </w:p>
        </w:tc>
        <w:tc>
          <w:tcPr>
            <w:tcW w:w="452" w:type="pct"/>
            <w:vAlign w:val="center"/>
          </w:tcPr>
          <w:p w14:paraId="0F9031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505" w:type="pct"/>
            <w:vAlign w:val="center"/>
          </w:tcPr>
          <w:p w14:paraId="29BE5B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441" w:type="pct"/>
            <w:vAlign w:val="center"/>
          </w:tcPr>
          <w:p w14:paraId="06D316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55</w:t>
            </w:r>
          </w:p>
        </w:tc>
        <w:tc>
          <w:tcPr>
            <w:tcW w:w="442" w:type="pct"/>
            <w:vAlign w:val="center"/>
          </w:tcPr>
          <w:p w14:paraId="6B1F14A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1355" w:type="pct"/>
            <w:vAlign w:val="center"/>
          </w:tcPr>
          <w:p w14:paraId="22677A59"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安装减振装置，设隔声围封</w:t>
            </w:r>
          </w:p>
        </w:tc>
        <w:tc>
          <w:tcPr>
            <w:tcW w:w="1069" w:type="pct"/>
            <w:vAlign w:val="center"/>
          </w:tcPr>
          <w:p w14:paraId="76CD66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E390</w:t>
            </w:r>
            <w:r>
              <w:rPr>
                <w:rFonts w:ascii="Times New Roman" w:eastAsia="宋体" w:hAnsi="Times New Roman" w:cs="Times New Roman"/>
                <w:kern w:val="0"/>
                <w:szCs w:val="21"/>
              </w:rPr>
              <w:t>；</w:t>
            </w:r>
            <w:r>
              <w:rPr>
                <w:rFonts w:ascii="Times New Roman" w:eastAsia="宋体" w:hAnsi="Times New Roman" w:cs="Times New Roman"/>
                <w:kern w:val="0"/>
                <w:szCs w:val="21"/>
              </w:rPr>
              <w:t>S725</w:t>
            </w:r>
            <w:r>
              <w:rPr>
                <w:rFonts w:ascii="Times New Roman" w:eastAsia="宋体" w:hAnsi="Times New Roman" w:cs="Times New Roman"/>
                <w:kern w:val="0"/>
                <w:szCs w:val="21"/>
              </w:rPr>
              <w:t>；</w:t>
            </w:r>
            <w:r>
              <w:rPr>
                <w:rFonts w:ascii="Times New Roman" w:eastAsia="宋体" w:hAnsi="Times New Roman" w:cs="Times New Roman"/>
                <w:kern w:val="0"/>
                <w:szCs w:val="21"/>
              </w:rPr>
              <w:t>W565</w:t>
            </w:r>
            <w:r>
              <w:rPr>
                <w:rFonts w:ascii="Times New Roman" w:eastAsia="宋体" w:hAnsi="Times New Roman" w:cs="Times New Roman"/>
                <w:kern w:val="0"/>
                <w:szCs w:val="21"/>
              </w:rPr>
              <w:t>；</w:t>
            </w:r>
            <w:r>
              <w:rPr>
                <w:rFonts w:ascii="Times New Roman" w:eastAsia="宋体" w:hAnsi="Times New Roman" w:cs="Times New Roman"/>
                <w:kern w:val="0"/>
                <w:szCs w:val="21"/>
              </w:rPr>
              <w:t>N702</w:t>
            </w:r>
          </w:p>
        </w:tc>
      </w:tr>
      <w:tr w:rsidR="002133E3" w14:paraId="3E874C38" w14:textId="77777777">
        <w:trPr>
          <w:trHeight w:val="284"/>
          <w:jc w:val="center"/>
        </w:trPr>
        <w:tc>
          <w:tcPr>
            <w:tcW w:w="222" w:type="pct"/>
            <w:vAlign w:val="center"/>
          </w:tcPr>
          <w:p w14:paraId="4BE605C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514" w:type="pct"/>
            <w:vAlign w:val="center"/>
          </w:tcPr>
          <w:p w14:paraId="52799B9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泵</w:t>
            </w:r>
          </w:p>
        </w:tc>
        <w:tc>
          <w:tcPr>
            <w:tcW w:w="452" w:type="pct"/>
            <w:vAlign w:val="center"/>
          </w:tcPr>
          <w:p w14:paraId="1E52849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81</w:t>
            </w:r>
          </w:p>
        </w:tc>
        <w:tc>
          <w:tcPr>
            <w:tcW w:w="505" w:type="pct"/>
            <w:vAlign w:val="center"/>
          </w:tcPr>
          <w:p w14:paraId="5EB63A9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441" w:type="pct"/>
            <w:vAlign w:val="center"/>
          </w:tcPr>
          <w:p w14:paraId="0FF1F4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442" w:type="pct"/>
            <w:vAlign w:val="center"/>
          </w:tcPr>
          <w:p w14:paraId="503B612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30</w:t>
            </w:r>
          </w:p>
        </w:tc>
        <w:tc>
          <w:tcPr>
            <w:tcW w:w="1355" w:type="pct"/>
            <w:vAlign w:val="center"/>
          </w:tcPr>
          <w:p w14:paraId="1109ECCF"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安装减振装置，设泵房</w:t>
            </w:r>
          </w:p>
        </w:tc>
        <w:tc>
          <w:tcPr>
            <w:tcW w:w="1069" w:type="pct"/>
            <w:vAlign w:val="center"/>
          </w:tcPr>
          <w:p w14:paraId="44CE6F0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E135</w:t>
            </w:r>
            <w:r>
              <w:rPr>
                <w:rFonts w:ascii="Times New Roman" w:eastAsia="宋体" w:hAnsi="Times New Roman" w:cs="Times New Roman"/>
                <w:kern w:val="0"/>
                <w:szCs w:val="21"/>
              </w:rPr>
              <w:t>；</w:t>
            </w:r>
            <w:r>
              <w:rPr>
                <w:rFonts w:ascii="Times New Roman" w:eastAsia="宋体" w:hAnsi="Times New Roman" w:cs="Times New Roman"/>
                <w:kern w:val="0"/>
                <w:szCs w:val="21"/>
              </w:rPr>
              <w:t>S426</w:t>
            </w:r>
            <w:r>
              <w:rPr>
                <w:rFonts w:ascii="Times New Roman" w:eastAsia="宋体" w:hAnsi="Times New Roman" w:cs="Times New Roman"/>
                <w:kern w:val="0"/>
                <w:szCs w:val="21"/>
              </w:rPr>
              <w:t>；</w:t>
            </w:r>
            <w:r>
              <w:rPr>
                <w:rFonts w:ascii="Times New Roman" w:eastAsia="宋体" w:hAnsi="Times New Roman" w:cs="Times New Roman"/>
                <w:kern w:val="0"/>
                <w:szCs w:val="21"/>
              </w:rPr>
              <w:t>W45</w:t>
            </w:r>
            <w:r>
              <w:rPr>
                <w:rFonts w:ascii="Times New Roman" w:eastAsia="宋体" w:hAnsi="Times New Roman" w:cs="Times New Roman"/>
                <w:kern w:val="0"/>
                <w:szCs w:val="21"/>
              </w:rPr>
              <w:t>；</w:t>
            </w:r>
            <w:r>
              <w:rPr>
                <w:rFonts w:ascii="Times New Roman" w:eastAsia="宋体" w:hAnsi="Times New Roman" w:cs="Times New Roman"/>
                <w:kern w:val="0"/>
                <w:szCs w:val="21"/>
              </w:rPr>
              <w:t>N698</w:t>
            </w:r>
          </w:p>
        </w:tc>
      </w:tr>
      <w:tr w:rsidR="002133E3" w14:paraId="03BE4956" w14:textId="77777777">
        <w:trPr>
          <w:trHeight w:val="284"/>
          <w:jc w:val="center"/>
        </w:trPr>
        <w:tc>
          <w:tcPr>
            <w:tcW w:w="222" w:type="pct"/>
            <w:vAlign w:val="center"/>
          </w:tcPr>
          <w:p w14:paraId="6783DBE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514" w:type="pct"/>
            <w:vAlign w:val="center"/>
          </w:tcPr>
          <w:p w14:paraId="48982B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离心机</w:t>
            </w:r>
          </w:p>
        </w:tc>
        <w:tc>
          <w:tcPr>
            <w:tcW w:w="452" w:type="pct"/>
            <w:vAlign w:val="center"/>
          </w:tcPr>
          <w:p w14:paraId="10D4124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505" w:type="pct"/>
            <w:vAlign w:val="center"/>
          </w:tcPr>
          <w:p w14:paraId="32CD6B2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85</w:t>
            </w:r>
          </w:p>
        </w:tc>
        <w:tc>
          <w:tcPr>
            <w:tcW w:w="441" w:type="pct"/>
            <w:vAlign w:val="center"/>
          </w:tcPr>
          <w:p w14:paraId="0D95B18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442" w:type="pct"/>
            <w:vAlign w:val="center"/>
          </w:tcPr>
          <w:p w14:paraId="42C979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1355" w:type="pct"/>
            <w:vAlign w:val="center"/>
          </w:tcPr>
          <w:p w14:paraId="4641CA63"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安装减振装置，厂房隔音</w:t>
            </w:r>
          </w:p>
        </w:tc>
        <w:tc>
          <w:tcPr>
            <w:tcW w:w="1069" w:type="pct"/>
            <w:vAlign w:val="center"/>
          </w:tcPr>
          <w:p w14:paraId="64FE1D7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E135</w:t>
            </w:r>
            <w:r>
              <w:rPr>
                <w:rFonts w:ascii="Times New Roman" w:eastAsia="宋体" w:hAnsi="Times New Roman" w:cs="Times New Roman"/>
                <w:kern w:val="0"/>
                <w:szCs w:val="21"/>
              </w:rPr>
              <w:t>；</w:t>
            </w:r>
            <w:r>
              <w:rPr>
                <w:rFonts w:ascii="Times New Roman" w:eastAsia="宋体" w:hAnsi="Times New Roman" w:cs="Times New Roman"/>
                <w:kern w:val="0"/>
                <w:szCs w:val="21"/>
              </w:rPr>
              <w:t>S426</w:t>
            </w:r>
            <w:r>
              <w:rPr>
                <w:rFonts w:ascii="Times New Roman" w:eastAsia="宋体" w:hAnsi="Times New Roman" w:cs="Times New Roman"/>
                <w:kern w:val="0"/>
                <w:szCs w:val="21"/>
              </w:rPr>
              <w:t>；</w:t>
            </w:r>
            <w:r>
              <w:rPr>
                <w:rFonts w:ascii="Times New Roman" w:eastAsia="宋体" w:hAnsi="Times New Roman" w:cs="Times New Roman"/>
                <w:kern w:val="0"/>
                <w:szCs w:val="21"/>
              </w:rPr>
              <w:t>W751</w:t>
            </w:r>
            <w:r>
              <w:rPr>
                <w:rFonts w:ascii="Times New Roman" w:eastAsia="宋体" w:hAnsi="Times New Roman" w:cs="Times New Roman"/>
                <w:kern w:val="0"/>
                <w:szCs w:val="21"/>
              </w:rPr>
              <w:t>；</w:t>
            </w:r>
            <w:r>
              <w:rPr>
                <w:rFonts w:ascii="Times New Roman" w:eastAsia="宋体" w:hAnsi="Times New Roman" w:cs="Times New Roman"/>
                <w:kern w:val="0"/>
                <w:szCs w:val="21"/>
              </w:rPr>
              <w:t>N1003</w:t>
            </w:r>
          </w:p>
        </w:tc>
      </w:tr>
      <w:tr w:rsidR="002133E3" w14:paraId="2EA5AF7E" w14:textId="77777777">
        <w:trPr>
          <w:trHeight w:val="284"/>
          <w:jc w:val="center"/>
        </w:trPr>
        <w:tc>
          <w:tcPr>
            <w:tcW w:w="222" w:type="pct"/>
            <w:vAlign w:val="center"/>
          </w:tcPr>
          <w:p w14:paraId="3610248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514" w:type="pct"/>
            <w:vAlign w:val="center"/>
          </w:tcPr>
          <w:p w14:paraId="245764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空压机</w:t>
            </w:r>
          </w:p>
        </w:tc>
        <w:tc>
          <w:tcPr>
            <w:tcW w:w="452" w:type="pct"/>
            <w:vAlign w:val="center"/>
          </w:tcPr>
          <w:p w14:paraId="47ADF77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7</w:t>
            </w:r>
          </w:p>
        </w:tc>
        <w:tc>
          <w:tcPr>
            <w:tcW w:w="505" w:type="pct"/>
            <w:vAlign w:val="center"/>
          </w:tcPr>
          <w:p w14:paraId="77FA7E1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85</w:t>
            </w:r>
          </w:p>
        </w:tc>
        <w:tc>
          <w:tcPr>
            <w:tcW w:w="441" w:type="pct"/>
            <w:vAlign w:val="center"/>
          </w:tcPr>
          <w:p w14:paraId="5FC53D7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60</w:t>
            </w:r>
          </w:p>
        </w:tc>
        <w:tc>
          <w:tcPr>
            <w:tcW w:w="442" w:type="pct"/>
            <w:vAlign w:val="center"/>
          </w:tcPr>
          <w:p w14:paraId="2CD3956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25</w:t>
            </w:r>
          </w:p>
        </w:tc>
        <w:tc>
          <w:tcPr>
            <w:tcW w:w="1355" w:type="pct"/>
            <w:vAlign w:val="center"/>
          </w:tcPr>
          <w:p w14:paraId="4C16AF4F"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装消声器，安装减振装置，厂房隔音</w:t>
            </w:r>
          </w:p>
        </w:tc>
        <w:tc>
          <w:tcPr>
            <w:tcW w:w="1069" w:type="pct"/>
            <w:vAlign w:val="center"/>
          </w:tcPr>
          <w:p w14:paraId="1D505A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E135</w:t>
            </w:r>
            <w:r>
              <w:rPr>
                <w:rFonts w:ascii="Times New Roman" w:eastAsia="宋体" w:hAnsi="Times New Roman" w:cs="Times New Roman"/>
                <w:szCs w:val="21"/>
              </w:rPr>
              <w:t>；</w:t>
            </w:r>
            <w:r>
              <w:rPr>
                <w:rFonts w:ascii="Times New Roman" w:eastAsia="宋体" w:hAnsi="Times New Roman" w:cs="Times New Roman"/>
                <w:szCs w:val="21"/>
              </w:rPr>
              <w:t>S426</w:t>
            </w:r>
            <w:r>
              <w:rPr>
                <w:rFonts w:ascii="Times New Roman" w:eastAsia="宋体" w:hAnsi="Times New Roman" w:cs="Times New Roman"/>
                <w:szCs w:val="21"/>
              </w:rPr>
              <w:t>；</w:t>
            </w:r>
            <w:r>
              <w:rPr>
                <w:rFonts w:ascii="Times New Roman" w:eastAsia="宋体" w:hAnsi="Times New Roman" w:cs="Times New Roman"/>
                <w:szCs w:val="21"/>
              </w:rPr>
              <w:t>W172</w:t>
            </w:r>
            <w:r>
              <w:rPr>
                <w:rFonts w:ascii="Times New Roman" w:eastAsia="宋体" w:hAnsi="Times New Roman" w:cs="Times New Roman"/>
                <w:szCs w:val="21"/>
              </w:rPr>
              <w:t>；</w:t>
            </w:r>
            <w:r>
              <w:rPr>
                <w:rFonts w:ascii="Times New Roman" w:eastAsia="宋体" w:hAnsi="Times New Roman" w:cs="Times New Roman"/>
                <w:szCs w:val="21"/>
              </w:rPr>
              <w:t>N764</w:t>
            </w:r>
          </w:p>
        </w:tc>
      </w:tr>
    </w:tbl>
    <w:p w14:paraId="254A34F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非正常情况下污染物的产生与排放状况</w:t>
      </w:r>
    </w:p>
    <w:p w14:paraId="2ADF9AF0"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项目生产线一般每年需对设备进行维护保养，废气处理设施在停车后</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分钟及开车前均应开启并进入正常运行状态，以确保开、停车时废气达标排放。</w:t>
      </w:r>
    </w:p>
    <w:p w14:paraId="5F47B889"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考虑最不利情况，本项目所涉及到的非正常工况污染主要为水吸收塔完全失效，废气直接排放形式，当出现严重事故或设备出现严重故障时应立刻停产检修，建议将事故处理控制时间在</w:t>
      </w:r>
      <w:r>
        <w:rPr>
          <w:rFonts w:ascii="Times New Roman" w:eastAsia="宋体" w:hAnsi="Times New Roman" w:cs="Times New Roman"/>
          <w:kern w:val="0"/>
          <w:sz w:val="28"/>
          <w:szCs w:val="28"/>
        </w:rPr>
        <w:t>30</w:t>
      </w:r>
      <w:r>
        <w:rPr>
          <w:rFonts w:ascii="Times New Roman" w:eastAsia="宋体" w:hAnsi="Times New Roman" w:cs="Times New Roman"/>
          <w:kern w:val="0"/>
          <w:sz w:val="28"/>
          <w:szCs w:val="28"/>
        </w:rPr>
        <w:t>分钟内。项目非正常工况下大气污染物源强及排放情况详见表</w:t>
      </w:r>
      <w:r>
        <w:rPr>
          <w:rFonts w:ascii="Times New Roman" w:eastAsia="宋体" w:hAnsi="Times New Roman" w:cs="Times New Roman"/>
          <w:kern w:val="0"/>
          <w:sz w:val="28"/>
          <w:szCs w:val="28"/>
        </w:rPr>
        <w:t>4.5-10</w:t>
      </w:r>
      <w:r>
        <w:rPr>
          <w:rFonts w:ascii="Times New Roman" w:eastAsia="宋体" w:hAnsi="Times New Roman" w:cs="Times New Roman"/>
          <w:kern w:val="0"/>
          <w:sz w:val="28"/>
          <w:szCs w:val="28"/>
        </w:rPr>
        <w:t>。</w:t>
      </w:r>
    </w:p>
    <w:p w14:paraId="5D7F4752" w14:textId="77777777" w:rsidR="002133E3" w:rsidRDefault="002133E3">
      <w:pPr>
        <w:spacing w:line="480" w:lineRule="exact"/>
        <w:jc w:val="center"/>
        <w:rPr>
          <w:rFonts w:ascii="Times New Roman" w:eastAsia="宋体" w:hAnsi="Times New Roman" w:cs="Times New Roman"/>
          <w:b/>
          <w:kern w:val="0"/>
          <w:szCs w:val="21"/>
        </w:rPr>
        <w:sectPr w:rsidR="002133E3">
          <w:pgSz w:w="11906" w:h="16838"/>
          <w:pgMar w:top="1134" w:right="1134" w:bottom="1134" w:left="1134" w:header="850" w:footer="992" w:gutter="0"/>
          <w:cols w:space="720"/>
          <w:docGrid w:linePitch="312"/>
        </w:sectPr>
      </w:pPr>
    </w:p>
    <w:p w14:paraId="76DFEFAD" w14:textId="77777777" w:rsidR="002133E3" w:rsidRDefault="00C22CFA">
      <w:pPr>
        <w:snapToGrid w:val="0"/>
        <w:spacing w:line="500" w:lineRule="atLeast"/>
        <w:jc w:val="center"/>
        <w:rPr>
          <w:rFonts w:ascii="Times New Roman" w:eastAsia="宋体" w:hAnsi="Times New Roman" w:cs="Times New Roman"/>
          <w:kern w:val="0"/>
          <w:sz w:val="18"/>
          <w:szCs w:val="18"/>
        </w:rPr>
      </w:pPr>
      <w:r>
        <w:rPr>
          <w:rFonts w:ascii="Times New Roman" w:eastAsia="宋体" w:hAnsi="Times New Roman" w:cs="Times New Roman"/>
          <w:b/>
          <w:kern w:val="0"/>
          <w:sz w:val="24"/>
          <w:szCs w:val="24"/>
        </w:rPr>
        <w:lastRenderedPageBreak/>
        <w:t>表</w:t>
      </w:r>
      <w:r>
        <w:rPr>
          <w:rFonts w:ascii="Times New Roman" w:eastAsia="宋体" w:hAnsi="Times New Roman" w:cs="Times New Roman"/>
          <w:b/>
          <w:kern w:val="0"/>
          <w:sz w:val="24"/>
          <w:szCs w:val="24"/>
        </w:rPr>
        <w:t xml:space="preserve">4.5-10  </w:t>
      </w:r>
      <w:r>
        <w:rPr>
          <w:rFonts w:ascii="Times New Roman" w:eastAsia="宋体" w:hAnsi="Times New Roman" w:cs="Times New Roman"/>
          <w:b/>
          <w:kern w:val="0"/>
          <w:sz w:val="24"/>
          <w:szCs w:val="24"/>
        </w:rPr>
        <w:t>非正常工况下事故排放情况一览表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851"/>
        <w:gridCol w:w="850"/>
        <w:gridCol w:w="993"/>
        <w:gridCol w:w="1134"/>
        <w:gridCol w:w="992"/>
        <w:gridCol w:w="1134"/>
        <w:gridCol w:w="850"/>
        <w:gridCol w:w="567"/>
        <w:gridCol w:w="1134"/>
        <w:gridCol w:w="993"/>
        <w:gridCol w:w="1134"/>
        <w:gridCol w:w="567"/>
        <w:gridCol w:w="1701"/>
        <w:gridCol w:w="644"/>
      </w:tblGrid>
      <w:tr w:rsidR="002133E3" w14:paraId="73B4260F" w14:textId="77777777">
        <w:trPr>
          <w:trHeight w:val="567"/>
          <w:jc w:val="center"/>
        </w:trPr>
        <w:tc>
          <w:tcPr>
            <w:tcW w:w="1242" w:type="dxa"/>
            <w:vMerge w:val="restart"/>
            <w:shd w:val="clear" w:color="auto" w:fill="auto"/>
            <w:vAlign w:val="center"/>
          </w:tcPr>
          <w:p w14:paraId="07FAA65A" w14:textId="77777777" w:rsidR="002133E3" w:rsidRDefault="00C22CFA">
            <w:pPr>
              <w:widowControl/>
              <w:snapToGrid w:val="0"/>
              <w:jc w:val="left"/>
              <w:rPr>
                <w:rFonts w:ascii="Times New Roman" w:eastAsia="等线" w:hAnsi="Times New Roman" w:cs="Times New Roman"/>
                <w:kern w:val="0"/>
                <w:szCs w:val="21"/>
              </w:rPr>
            </w:pPr>
            <w:r>
              <w:rPr>
                <w:rFonts w:ascii="Times New Roman" w:eastAsia="宋体" w:hAnsi="Times New Roman" w:cs="Times New Roman"/>
                <w:kern w:val="0"/>
                <w:szCs w:val="21"/>
              </w:rPr>
              <w:t>污染源</w:t>
            </w:r>
          </w:p>
        </w:tc>
        <w:tc>
          <w:tcPr>
            <w:tcW w:w="1701" w:type="dxa"/>
            <w:gridSpan w:val="2"/>
            <w:vMerge w:val="restart"/>
            <w:shd w:val="clear" w:color="auto" w:fill="auto"/>
            <w:vAlign w:val="center"/>
          </w:tcPr>
          <w:p w14:paraId="35CC90C1"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排气量</w:t>
            </w:r>
            <w:r>
              <w:rPr>
                <w:rFonts w:ascii="Times New Roman" w:eastAsia="等线" w:hAnsi="Times New Roman" w:cs="Times New Roman"/>
                <w:kern w:val="0"/>
                <w:szCs w:val="21"/>
              </w:rPr>
              <w:t>(m</w:t>
            </w:r>
            <w:r>
              <w:rPr>
                <w:rFonts w:ascii="Times New Roman" w:eastAsia="等线" w:hAnsi="Times New Roman" w:cs="Times New Roman"/>
                <w:kern w:val="0"/>
                <w:szCs w:val="21"/>
                <w:vertAlign w:val="superscript"/>
              </w:rPr>
              <w:t>3</w:t>
            </w:r>
            <w:r>
              <w:rPr>
                <w:rFonts w:ascii="Times New Roman" w:eastAsia="等线" w:hAnsi="Times New Roman" w:cs="Times New Roman"/>
                <w:kern w:val="0"/>
                <w:szCs w:val="21"/>
              </w:rPr>
              <w:t>/h)</w:t>
            </w:r>
          </w:p>
        </w:tc>
        <w:tc>
          <w:tcPr>
            <w:tcW w:w="993" w:type="dxa"/>
            <w:vMerge w:val="restart"/>
            <w:shd w:val="clear" w:color="auto" w:fill="auto"/>
            <w:vAlign w:val="center"/>
          </w:tcPr>
          <w:p w14:paraId="03DA0F96"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污染物名称</w:t>
            </w:r>
          </w:p>
        </w:tc>
        <w:tc>
          <w:tcPr>
            <w:tcW w:w="3260" w:type="dxa"/>
            <w:gridSpan w:val="3"/>
            <w:shd w:val="clear" w:color="auto" w:fill="auto"/>
            <w:vAlign w:val="center"/>
          </w:tcPr>
          <w:p w14:paraId="5F94AE4E"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产生状况</w:t>
            </w:r>
          </w:p>
        </w:tc>
        <w:tc>
          <w:tcPr>
            <w:tcW w:w="850" w:type="dxa"/>
            <w:vMerge w:val="restart"/>
            <w:shd w:val="clear" w:color="auto" w:fill="auto"/>
            <w:vAlign w:val="center"/>
          </w:tcPr>
          <w:p w14:paraId="65EFC4BE"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治理措施</w:t>
            </w:r>
          </w:p>
        </w:tc>
        <w:tc>
          <w:tcPr>
            <w:tcW w:w="567" w:type="dxa"/>
            <w:vMerge w:val="restart"/>
            <w:shd w:val="clear" w:color="auto" w:fill="auto"/>
            <w:vAlign w:val="center"/>
          </w:tcPr>
          <w:p w14:paraId="3A5BA822"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去除率</w:t>
            </w:r>
            <w:r>
              <w:rPr>
                <w:rFonts w:ascii="Times New Roman" w:eastAsia="等线" w:hAnsi="Times New Roman" w:cs="Times New Roman"/>
                <w:kern w:val="0"/>
                <w:szCs w:val="21"/>
              </w:rPr>
              <w:t>(%)</w:t>
            </w:r>
          </w:p>
        </w:tc>
        <w:tc>
          <w:tcPr>
            <w:tcW w:w="3261" w:type="dxa"/>
            <w:gridSpan w:val="3"/>
            <w:shd w:val="clear" w:color="auto" w:fill="auto"/>
            <w:vAlign w:val="center"/>
          </w:tcPr>
          <w:p w14:paraId="694DE48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排放状况</w:t>
            </w:r>
          </w:p>
        </w:tc>
        <w:tc>
          <w:tcPr>
            <w:tcW w:w="567" w:type="dxa"/>
            <w:vMerge w:val="restart"/>
            <w:shd w:val="clear" w:color="auto" w:fill="auto"/>
            <w:vAlign w:val="center"/>
          </w:tcPr>
          <w:p w14:paraId="6C4540D8" w14:textId="77777777" w:rsidR="002133E3" w:rsidRDefault="00C22CFA">
            <w:pPr>
              <w:widowControl/>
              <w:snapToGrid w:val="0"/>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排放时间</w:t>
            </w:r>
            <w:r>
              <w:rPr>
                <w:rFonts w:ascii="Times New Roman" w:eastAsia="宋体" w:hAnsi="Times New Roman" w:cs="Times New Roman"/>
                <w:color w:val="000000"/>
                <w:kern w:val="0"/>
                <w:szCs w:val="21"/>
              </w:rPr>
              <w:t>h</w:t>
            </w:r>
          </w:p>
        </w:tc>
        <w:tc>
          <w:tcPr>
            <w:tcW w:w="1701" w:type="dxa"/>
            <w:vMerge w:val="restart"/>
            <w:shd w:val="clear" w:color="auto" w:fill="auto"/>
            <w:vAlign w:val="center"/>
          </w:tcPr>
          <w:p w14:paraId="37D59FF2"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排放参数</w:t>
            </w:r>
          </w:p>
        </w:tc>
        <w:tc>
          <w:tcPr>
            <w:tcW w:w="644" w:type="dxa"/>
            <w:vMerge w:val="restart"/>
            <w:shd w:val="clear" w:color="auto" w:fill="auto"/>
            <w:vAlign w:val="center"/>
          </w:tcPr>
          <w:p w14:paraId="1965DBF6"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排放方式及去向</w:t>
            </w:r>
          </w:p>
        </w:tc>
      </w:tr>
      <w:tr w:rsidR="002133E3" w14:paraId="040C44E8" w14:textId="77777777">
        <w:trPr>
          <w:trHeight w:val="567"/>
          <w:jc w:val="center"/>
        </w:trPr>
        <w:tc>
          <w:tcPr>
            <w:tcW w:w="1242" w:type="dxa"/>
            <w:vMerge/>
            <w:vAlign w:val="center"/>
          </w:tcPr>
          <w:p w14:paraId="61250868" w14:textId="77777777" w:rsidR="002133E3" w:rsidRDefault="002133E3">
            <w:pPr>
              <w:widowControl/>
              <w:snapToGrid w:val="0"/>
              <w:jc w:val="left"/>
              <w:rPr>
                <w:rFonts w:ascii="Times New Roman" w:eastAsia="等线" w:hAnsi="Times New Roman" w:cs="Times New Roman"/>
                <w:kern w:val="0"/>
                <w:szCs w:val="21"/>
              </w:rPr>
            </w:pPr>
          </w:p>
        </w:tc>
        <w:tc>
          <w:tcPr>
            <w:tcW w:w="1701" w:type="dxa"/>
            <w:gridSpan w:val="2"/>
            <w:vMerge/>
            <w:vAlign w:val="center"/>
          </w:tcPr>
          <w:p w14:paraId="64C05A77" w14:textId="77777777" w:rsidR="002133E3" w:rsidRDefault="002133E3">
            <w:pPr>
              <w:widowControl/>
              <w:snapToGrid w:val="0"/>
              <w:jc w:val="left"/>
              <w:rPr>
                <w:rFonts w:ascii="Times New Roman" w:eastAsia="等线" w:hAnsi="Times New Roman" w:cs="Times New Roman"/>
                <w:kern w:val="0"/>
                <w:szCs w:val="21"/>
              </w:rPr>
            </w:pPr>
          </w:p>
        </w:tc>
        <w:tc>
          <w:tcPr>
            <w:tcW w:w="993" w:type="dxa"/>
            <w:vMerge/>
            <w:vAlign w:val="center"/>
          </w:tcPr>
          <w:p w14:paraId="425B7B85" w14:textId="77777777" w:rsidR="002133E3" w:rsidRDefault="002133E3">
            <w:pPr>
              <w:widowControl/>
              <w:snapToGrid w:val="0"/>
              <w:jc w:val="left"/>
              <w:rPr>
                <w:rFonts w:ascii="Times New Roman" w:eastAsia="等线" w:hAnsi="Times New Roman" w:cs="Times New Roman"/>
                <w:kern w:val="0"/>
                <w:szCs w:val="21"/>
              </w:rPr>
            </w:pPr>
          </w:p>
        </w:tc>
        <w:tc>
          <w:tcPr>
            <w:tcW w:w="1134" w:type="dxa"/>
            <w:shd w:val="clear" w:color="auto" w:fill="auto"/>
            <w:vAlign w:val="center"/>
          </w:tcPr>
          <w:p w14:paraId="4A9E738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浓度</w:t>
            </w:r>
            <w:r>
              <w:rPr>
                <w:rFonts w:ascii="Times New Roman" w:eastAsia="等线" w:hAnsi="Times New Roman" w:cs="Times New Roman"/>
                <w:kern w:val="0"/>
                <w:szCs w:val="21"/>
              </w:rPr>
              <w:t>(mg/m</w:t>
            </w:r>
            <w:r>
              <w:rPr>
                <w:rFonts w:ascii="Times New Roman" w:eastAsia="等线" w:hAnsi="Times New Roman" w:cs="Times New Roman"/>
                <w:kern w:val="0"/>
                <w:szCs w:val="21"/>
                <w:vertAlign w:val="superscript"/>
              </w:rPr>
              <w:t>3</w:t>
            </w:r>
            <w:r>
              <w:rPr>
                <w:rFonts w:ascii="Times New Roman" w:eastAsia="等线" w:hAnsi="Times New Roman" w:cs="Times New Roman"/>
                <w:kern w:val="0"/>
                <w:szCs w:val="21"/>
              </w:rPr>
              <w:t>)</w:t>
            </w:r>
          </w:p>
        </w:tc>
        <w:tc>
          <w:tcPr>
            <w:tcW w:w="992" w:type="dxa"/>
            <w:shd w:val="clear" w:color="auto" w:fill="auto"/>
            <w:vAlign w:val="center"/>
          </w:tcPr>
          <w:p w14:paraId="3BC41169"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产生量</w:t>
            </w:r>
            <w:r>
              <w:rPr>
                <w:rFonts w:ascii="Times New Roman" w:eastAsia="等线" w:hAnsi="Times New Roman" w:cs="Times New Roman"/>
                <w:color w:val="000000"/>
                <w:kern w:val="0"/>
                <w:szCs w:val="21"/>
              </w:rPr>
              <w:t>(</w:t>
            </w:r>
            <w:r>
              <w:rPr>
                <w:rFonts w:ascii="Times New Roman" w:eastAsia="等线" w:hAnsi="Times New Roman" w:cs="Times New Roman"/>
                <w:kern w:val="0"/>
                <w:szCs w:val="21"/>
              </w:rPr>
              <w:t>kg</w:t>
            </w:r>
            <w:r>
              <w:rPr>
                <w:rFonts w:ascii="Times New Roman" w:eastAsia="等线" w:hAnsi="Times New Roman" w:cs="Times New Roman"/>
                <w:color w:val="000000"/>
                <w:kern w:val="0"/>
                <w:szCs w:val="21"/>
              </w:rPr>
              <w:t>)</w:t>
            </w:r>
          </w:p>
        </w:tc>
        <w:tc>
          <w:tcPr>
            <w:tcW w:w="1134" w:type="dxa"/>
            <w:shd w:val="clear" w:color="auto" w:fill="auto"/>
            <w:vAlign w:val="center"/>
          </w:tcPr>
          <w:p w14:paraId="6BDCC887"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速率</w:t>
            </w:r>
            <w:r>
              <w:rPr>
                <w:rFonts w:ascii="Times New Roman" w:eastAsia="等线" w:hAnsi="Times New Roman" w:cs="Times New Roman"/>
                <w:kern w:val="0"/>
                <w:szCs w:val="21"/>
              </w:rPr>
              <w:t>(kg/h)</w:t>
            </w:r>
          </w:p>
        </w:tc>
        <w:tc>
          <w:tcPr>
            <w:tcW w:w="850" w:type="dxa"/>
            <w:vMerge/>
            <w:vAlign w:val="center"/>
          </w:tcPr>
          <w:p w14:paraId="1005C5A7" w14:textId="77777777" w:rsidR="002133E3" w:rsidRDefault="002133E3">
            <w:pPr>
              <w:widowControl/>
              <w:snapToGrid w:val="0"/>
              <w:jc w:val="left"/>
              <w:rPr>
                <w:rFonts w:ascii="Times New Roman" w:eastAsia="等线" w:hAnsi="Times New Roman" w:cs="Times New Roman"/>
                <w:kern w:val="0"/>
                <w:szCs w:val="21"/>
              </w:rPr>
            </w:pPr>
          </w:p>
        </w:tc>
        <w:tc>
          <w:tcPr>
            <w:tcW w:w="567" w:type="dxa"/>
            <w:vMerge/>
            <w:vAlign w:val="center"/>
          </w:tcPr>
          <w:p w14:paraId="487C4CA4" w14:textId="77777777" w:rsidR="002133E3" w:rsidRDefault="002133E3">
            <w:pPr>
              <w:widowControl/>
              <w:snapToGrid w:val="0"/>
              <w:jc w:val="left"/>
              <w:rPr>
                <w:rFonts w:ascii="Times New Roman" w:eastAsia="等线" w:hAnsi="Times New Roman" w:cs="Times New Roman"/>
                <w:kern w:val="0"/>
                <w:szCs w:val="21"/>
              </w:rPr>
            </w:pPr>
          </w:p>
        </w:tc>
        <w:tc>
          <w:tcPr>
            <w:tcW w:w="1134" w:type="dxa"/>
            <w:shd w:val="clear" w:color="auto" w:fill="auto"/>
            <w:vAlign w:val="center"/>
          </w:tcPr>
          <w:p w14:paraId="63951986"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浓度</w:t>
            </w:r>
            <w:r>
              <w:rPr>
                <w:rFonts w:ascii="Times New Roman" w:eastAsia="等线" w:hAnsi="Times New Roman" w:cs="Times New Roman"/>
                <w:kern w:val="0"/>
                <w:szCs w:val="21"/>
              </w:rPr>
              <w:t>(mg/m</w:t>
            </w:r>
            <w:r>
              <w:rPr>
                <w:rFonts w:ascii="Times New Roman" w:eastAsia="等线" w:hAnsi="Times New Roman" w:cs="Times New Roman"/>
                <w:kern w:val="0"/>
                <w:szCs w:val="21"/>
                <w:vertAlign w:val="superscript"/>
              </w:rPr>
              <w:t>3</w:t>
            </w:r>
            <w:r>
              <w:rPr>
                <w:rFonts w:ascii="Times New Roman" w:eastAsia="等线" w:hAnsi="Times New Roman" w:cs="Times New Roman"/>
                <w:kern w:val="0"/>
                <w:szCs w:val="21"/>
              </w:rPr>
              <w:t>)</w:t>
            </w:r>
          </w:p>
        </w:tc>
        <w:tc>
          <w:tcPr>
            <w:tcW w:w="993" w:type="dxa"/>
            <w:shd w:val="clear" w:color="auto" w:fill="auto"/>
            <w:vAlign w:val="center"/>
          </w:tcPr>
          <w:p w14:paraId="6A0123BC"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产生量</w:t>
            </w:r>
            <w:r>
              <w:rPr>
                <w:rFonts w:ascii="Times New Roman" w:eastAsia="等线" w:hAnsi="Times New Roman" w:cs="Times New Roman"/>
                <w:color w:val="000000"/>
                <w:kern w:val="0"/>
                <w:szCs w:val="21"/>
              </w:rPr>
              <w:t>(</w:t>
            </w:r>
            <w:r>
              <w:rPr>
                <w:rFonts w:ascii="Times New Roman" w:eastAsia="等线" w:hAnsi="Times New Roman" w:cs="Times New Roman"/>
                <w:kern w:val="0"/>
                <w:szCs w:val="21"/>
              </w:rPr>
              <w:t>kg</w:t>
            </w:r>
            <w:r>
              <w:rPr>
                <w:rFonts w:ascii="Times New Roman" w:eastAsia="等线" w:hAnsi="Times New Roman" w:cs="Times New Roman"/>
                <w:color w:val="000000"/>
                <w:kern w:val="0"/>
                <w:szCs w:val="21"/>
              </w:rPr>
              <w:t>)</w:t>
            </w:r>
          </w:p>
        </w:tc>
        <w:tc>
          <w:tcPr>
            <w:tcW w:w="1134" w:type="dxa"/>
            <w:shd w:val="clear" w:color="auto" w:fill="auto"/>
            <w:vAlign w:val="center"/>
          </w:tcPr>
          <w:p w14:paraId="48C4DF61"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速率</w:t>
            </w:r>
            <w:r>
              <w:rPr>
                <w:rFonts w:ascii="Times New Roman" w:eastAsia="等线" w:hAnsi="Times New Roman" w:cs="Times New Roman"/>
                <w:kern w:val="0"/>
                <w:szCs w:val="21"/>
              </w:rPr>
              <w:t>(kg/h)</w:t>
            </w:r>
          </w:p>
        </w:tc>
        <w:tc>
          <w:tcPr>
            <w:tcW w:w="567" w:type="dxa"/>
            <w:vMerge/>
            <w:vAlign w:val="center"/>
          </w:tcPr>
          <w:p w14:paraId="43BA5E49" w14:textId="77777777" w:rsidR="002133E3" w:rsidRDefault="002133E3">
            <w:pPr>
              <w:widowControl/>
              <w:snapToGrid w:val="0"/>
              <w:jc w:val="left"/>
              <w:rPr>
                <w:rFonts w:ascii="Times New Roman" w:eastAsia="宋体" w:hAnsi="Times New Roman" w:cs="Times New Roman"/>
                <w:color w:val="000000"/>
                <w:kern w:val="0"/>
                <w:szCs w:val="21"/>
              </w:rPr>
            </w:pPr>
          </w:p>
        </w:tc>
        <w:tc>
          <w:tcPr>
            <w:tcW w:w="1701" w:type="dxa"/>
            <w:vMerge/>
            <w:vAlign w:val="center"/>
          </w:tcPr>
          <w:p w14:paraId="5FBFEC63" w14:textId="77777777" w:rsidR="002133E3" w:rsidRDefault="002133E3">
            <w:pPr>
              <w:widowControl/>
              <w:snapToGrid w:val="0"/>
              <w:jc w:val="left"/>
              <w:rPr>
                <w:rFonts w:ascii="Times New Roman" w:eastAsia="等线" w:hAnsi="Times New Roman" w:cs="Times New Roman"/>
                <w:kern w:val="0"/>
                <w:szCs w:val="21"/>
              </w:rPr>
            </w:pPr>
          </w:p>
        </w:tc>
        <w:tc>
          <w:tcPr>
            <w:tcW w:w="644" w:type="dxa"/>
            <w:vMerge/>
            <w:vAlign w:val="center"/>
          </w:tcPr>
          <w:p w14:paraId="60DC71F2" w14:textId="77777777" w:rsidR="002133E3" w:rsidRDefault="002133E3">
            <w:pPr>
              <w:widowControl/>
              <w:snapToGrid w:val="0"/>
              <w:jc w:val="left"/>
              <w:rPr>
                <w:rFonts w:ascii="Times New Roman" w:eastAsia="等线" w:hAnsi="Times New Roman" w:cs="Times New Roman"/>
                <w:kern w:val="0"/>
                <w:szCs w:val="21"/>
              </w:rPr>
            </w:pPr>
          </w:p>
        </w:tc>
      </w:tr>
      <w:tr w:rsidR="002133E3" w14:paraId="768621E2" w14:textId="77777777">
        <w:trPr>
          <w:trHeight w:val="567"/>
          <w:jc w:val="center"/>
        </w:trPr>
        <w:tc>
          <w:tcPr>
            <w:tcW w:w="1242" w:type="dxa"/>
            <w:vMerge w:val="restart"/>
            <w:shd w:val="clear" w:color="auto" w:fill="auto"/>
            <w:vAlign w:val="center"/>
          </w:tcPr>
          <w:p w14:paraId="65BC32A6"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1-1</w:t>
            </w:r>
          </w:p>
        </w:tc>
        <w:tc>
          <w:tcPr>
            <w:tcW w:w="1701" w:type="dxa"/>
            <w:gridSpan w:val="2"/>
            <w:shd w:val="clear" w:color="auto" w:fill="auto"/>
            <w:vAlign w:val="center"/>
          </w:tcPr>
          <w:p w14:paraId="7FEFF73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60000</w:t>
            </w:r>
          </w:p>
        </w:tc>
        <w:tc>
          <w:tcPr>
            <w:tcW w:w="993" w:type="dxa"/>
            <w:shd w:val="clear" w:color="auto" w:fill="auto"/>
            <w:noWrap/>
            <w:vAlign w:val="center"/>
          </w:tcPr>
          <w:p w14:paraId="33ED3023"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134" w:type="dxa"/>
            <w:shd w:val="clear" w:color="auto" w:fill="auto"/>
            <w:noWrap/>
            <w:vAlign w:val="center"/>
          </w:tcPr>
          <w:p w14:paraId="2D5C791F"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1234.6</w:t>
            </w:r>
          </w:p>
        </w:tc>
        <w:tc>
          <w:tcPr>
            <w:tcW w:w="992" w:type="dxa"/>
            <w:shd w:val="clear" w:color="auto" w:fill="auto"/>
            <w:noWrap/>
            <w:vAlign w:val="center"/>
          </w:tcPr>
          <w:p w14:paraId="4F9F5BE6"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37.04</w:t>
            </w:r>
          </w:p>
        </w:tc>
        <w:tc>
          <w:tcPr>
            <w:tcW w:w="1134" w:type="dxa"/>
            <w:shd w:val="clear" w:color="auto" w:fill="auto"/>
            <w:noWrap/>
            <w:vAlign w:val="center"/>
          </w:tcPr>
          <w:p w14:paraId="2F9564E4"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74.07</w:t>
            </w:r>
          </w:p>
        </w:tc>
        <w:tc>
          <w:tcPr>
            <w:tcW w:w="850" w:type="dxa"/>
            <w:shd w:val="clear" w:color="auto" w:fill="auto"/>
            <w:vAlign w:val="center"/>
          </w:tcPr>
          <w:p w14:paraId="114C4C9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37239E9E"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vAlign w:val="center"/>
          </w:tcPr>
          <w:p w14:paraId="6C88D1BD"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1234.6</w:t>
            </w:r>
          </w:p>
        </w:tc>
        <w:tc>
          <w:tcPr>
            <w:tcW w:w="993" w:type="dxa"/>
            <w:shd w:val="clear" w:color="auto" w:fill="auto"/>
            <w:vAlign w:val="center"/>
          </w:tcPr>
          <w:p w14:paraId="57E31E4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1134" w:type="dxa"/>
            <w:shd w:val="clear" w:color="auto" w:fill="auto"/>
            <w:vAlign w:val="center"/>
          </w:tcPr>
          <w:p w14:paraId="3F0E0CF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74.07</w:t>
            </w:r>
          </w:p>
        </w:tc>
        <w:tc>
          <w:tcPr>
            <w:tcW w:w="567" w:type="dxa"/>
            <w:shd w:val="clear" w:color="auto" w:fill="auto"/>
            <w:vAlign w:val="center"/>
          </w:tcPr>
          <w:p w14:paraId="19146B40"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0.5 </w:t>
            </w:r>
          </w:p>
        </w:tc>
        <w:tc>
          <w:tcPr>
            <w:tcW w:w="1701" w:type="dxa"/>
            <w:shd w:val="clear" w:color="auto" w:fill="auto"/>
            <w:noWrap/>
            <w:vAlign w:val="center"/>
          </w:tcPr>
          <w:p w14:paraId="3F6331F8"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644" w:type="dxa"/>
            <w:vMerge w:val="restart"/>
            <w:shd w:val="clear" w:color="auto" w:fill="auto"/>
            <w:vAlign w:val="center"/>
          </w:tcPr>
          <w:p w14:paraId="5B80C804"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连续排入大气</w:t>
            </w:r>
          </w:p>
        </w:tc>
      </w:tr>
      <w:tr w:rsidR="002133E3" w14:paraId="007B0C10" w14:textId="77777777">
        <w:trPr>
          <w:trHeight w:val="567"/>
          <w:jc w:val="center"/>
        </w:trPr>
        <w:tc>
          <w:tcPr>
            <w:tcW w:w="1242" w:type="dxa"/>
            <w:vMerge/>
            <w:vAlign w:val="center"/>
          </w:tcPr>
          <w:p w14:paraId="12CED28A" w14:textId="77777777" w:rsidR="002133E3" w:rsidRDefault="002133E3">
            <w:pPr>
              <w:widowControl/>
              <w:snapToGrid w:val="0"/>
              <w:jc w:val="left"/>
              <w:rPr>
                <w:rFonts w:ascii="Times New Roman" w:eastAsia="等线" w:hAnsi="Times New Roman" w:cs="Times New Roman"/>
                <w:kern w:val="0"/>
                <w:szCs w:val="21"/>
              </w:rPr>
            </w:pPr>
          </w:p>
        </w:tc>
        <w:tc>
          <w:tcPr>
            <w:tcW w:w="1701" w:type="dxa"/>
            <w:gridSpan w:val="2"/>
            <w:shd w:val="clear" w:color="auto" w:fill="auto"/>
            <w:vAlign w:val="center"/>
          </w:tcPr>
          <w:p w14:paraId="236FC04A"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60000</w:t>
            </w:r>
          </w:p>
        </w:tc>
        <w:tc>
          <w:tcPr>
            <w:tcW w:w="993" w:type="dxa"/>
            <w:shd w:val="clear" w:color="auto" w:fill="auto"/>
            <w:noWrap/>
            <w:vAlign w:val="center"/>
          </w:tcPr>
          <w:p w14:paraId="1130ADA7"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134" w:type="dxa"/>
            <w:shd w:val="clear" w:color="auto" w:fill="auto"/>
            <w:noWrap/>
            <w:vAlign w:val="center"/>
          </w:tcPr>
          <w:p w14:paraId="1382A02F"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1234.6</w:t>
            </w:r>
          </w:p>
        </w:tc>
        <w:tc>
          <w:tcPr>
            <w:tcW w:w="992" w:type="dxa"/>
            <w:shd w:val="clear" w:color="auto" w:fill="auto"/>
            <w:noWrap/>
            <w:vAlign w:val="center"/>
          </w:tcPr>
          <w:p w14:paraId="1547ED9D"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37.04</w:t>
            </w:r>
          </w:p>
        </w:tc>
        <w:tc>
          <w:tcPr>
            <w:tcW w:w="1134" w:type="dxa"/>
            <w:shd w:val="clear" w:color="auto" w:fill="auto"/>
            <w:noWrap/>
            <w:vAlign w:val="center"/>
          </w:tcPr>
          <w:p w14:paraId="03735EE7"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74.07</w:t>
            </w:r>
          </w:p>
        </w:tc>
        <w:tc>
          <w:tcPr>
            <w:tcW w:w="850" w:type="dxa"/>
            <w:shd w:val="clear" w:color="auto" w:fill="auto"/>
            <w:vAlign w:val="center"/>
          </w:tcPr>
          <w:p w14:paraId="7C0C869A"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0794B51D"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vAlign w:val="center"/>
          </w:tcPr>
          <w:p w14:paraId="6EF4D40D"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1234.6</w:t>
            </w:r>
          </w:p>
        </w:tc>
        <w:tc>
          <w:tcPr>
            <w:tcW w:w="993" w:type="dxa"/>
            <w:shd w:val="clear" w:color="auto" w:fill="auto"/>
            <w:vAlign w:val="center"/>
          </w:tcPr>
          <w:p w14:paraId="4177F19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1134" w:type="dxa"/>
            <w:shd w:val="clear" w:color="auto" w:fill="auto"/>
            <w:vAlign w:val="center"/>
          </w:tcPr>
          <w:p w14:paraId="317C9CF4"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74.07</w:t>
            </w:r>
          </w:p>
        </w:tc>
        <w:tc>
          <w:tcPr>
            <w:tcW w:w="567" w:type="dxa"/>
            <w:shd w:val="clear" w:color="auto" w:fill="auto"/>
            <w:vAlign w:val="center"/>
          </w:tcPr>
          <w:p w14:paraId="149E07B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0.5 </w:t>
            </w:r>
          </w:p>
        </w:tc>
        <w:tc>
          <w:tcPr>
            <w:tcW w:w="1701" w:type="dxa"/>
            <w:shd w:val="clear" w:color="auto" w:fill="auto"/>
            <w:noWrap/>
            <w:vAlign w:val="center"/>
          </w:tcPr>
          <w:p w14:paraId="0D9AF7D6"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644" w:type="dxa"/>
            <w:vMerge/>
            <w:vAlign w:val="center"/>
          </w:tcPr>
          <w:p w14:paraId="0D2285FE" w14:textId="77777777" w:rsidR="002133E3" w:rsidRDefault="002133E3">
            <w:pPr>
              <w:widowControl/>
              <w:snapToGrid w:val="0"/>
              <w:jc w:val="left"/>
              <w:rPr>
                <w:rFonts w:ascii="Times New Roman" w:eastAsia="等线" w:hAnsi="Times New Roman" w:cs="Times New Roman"/>
                <w:kern w:val="0"/>
                <w:szCs w:val="21"/>
              </w:rPr>
            </w:pPr>
          </w:p>
        </w:tc>
      </w:tr>
      <w:tr w:rsidR="002133E3" w14:paraId="49D88AFD" w14:textId="77777777">
        <w:trPr>
          <w:trHeight w:val="567"/>
          <w:jc w:val="center"/>
        </w:trPr>
        <w:tc>
          <w:tcPr>
            <w:tcW w:w="1242" w:type="dxa"/>
            <w:vMerge/>
            <w:vAlign w:val="center"/>
          </w:tcPr>
          <w:p w14:paraId="0B8A6A6D" w14:textId="77777777" w:rsidR="002133E3" w:rsidRDefault="002133E3">
            <w:pPr>
              <w:widowControl/>
              <w:snapToGrid w:val="0"/>
              <w:jc w:val="left"/>
              <w:rPr>
                <w:rFonts w:ascii="Times New Roman" w:eastAsia="等线" w:hAnsi="Times New Roman" w:cs="Times New Roman"/>
                <w:kern w:val="0"/>
                <w:szCs w:val="21"/>
              </w:rPr>
            </w:pPr>
          </w:p>
        </w:tc>
        <w:tc>
          <w:tcPr>
            <w:tcW w:w="1701" w:type="dxa"/>
            <w:gridSpan w:val="2"/>
            <w:shd w:val="clear" w:color="auto" w:fill="auto"/>
            <w:vAlign w:val="center"/>
          </w:tcPr>
          <w:p w14:paraId="58219C4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60000</w:t>
            </w:r>
          </w:p>
        </w:tc>
        <w:tc>
          <w:tcPr>
            <w:tcW w:w="993" w:type="dxa"/>
            <w:shd w:val="clear" w:color="auto" w:fill="auto"/>
            <w:noWrap/>
            <w:vAlign w:val="center"/>
          </w:tcPr>
          <w:p w14:paraId="1C765755"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134" w:type="dxa"/>
            <w:shd w:val="clear" w:color="auto" w:fill="auto"/>
            <w:noWrap/>
            <w:vAlign w:val="center"/>
          </w:tcPr>
          <w:p w14:paraId="030124C2"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1234.6</w:t>
            </w:r>
          </w:p>
        </w:tc>
        <w:tc>
          <w:tcPr>
            <w:tcW w:w="992" w:type="dxa"/>
            <w:shd w:val="clear" w:color="auto" w:fill="auto"/>
            <w:noWrap/>
            <w:vAlign w:val="center"/>
          </w:tcPr>
          <w:p w14:paraId="5DEBE7E3"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37.04</w:t>
            </w:r>
          </w:p>
        </w:tc>
        <w:tc>
          <w:tcPr>
            <w:tcW w:w="1134" w:type="dxa"/>
            <w:shd w:val="clear" w:color="auto" w:fill="auto"/>
            <w:noWrap/>
            <w:vAlign w:val="center"/>
          </w:tcPr>
          <w:p w14:paraId="3E2BDF43"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74.07</w:t>
            </w:r>
          </w:p>
        </w:tc>
        <w:tc>
          <w:tcPr>
            <w:tcW w:w="850" w:type="dxa"/>
            <w:shd w:val="clear" w:color="auto" w:fill="auto"/>
            <w:vAlign w:val="center"/>
          </w:tcPr>
          <w:p w14:paraId="3420D81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6B0FDB60"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vAlign w:val="center"/>
          </w:tcPr>
          <w:p w14:paraId="5A5FE1F7"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1234.6</w:t>
            </w:r>
          </w:p>
        </w:tc>
        <w:tc>
          <w:tcPr>
            <w:tcW w:w="993" w:type="dxa"/>
            <w:shd w:val="clear" w:color="auto" w:fill="auto"/>
            <w:vAlign w:val="center"/>
          </w:tcPr>
          <w:p w14:paraId="2B6CB6BE"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1134" w:type="dxa"/>
            <w:shd w:val="clear" w:color="auto" w:fill="auto"/>
            <w:vAlign w:val="center"/>
          </w:tcPr>
          <w:p w14:paraId="04AB7417"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74.07</w:t>
            </w:r>
          </w:p>
        </w:tc>
        <w:tc>
          <w:tcPr>
            <w:tcW w:w="567" w:type="dxa"/>
            <w:shd w:val="clear" w:color="auto" w:fill="auto"/>
            <w:vAlign w:val="center"/>
          </w:tcPr>
          <w:p w14:paraId="40913A65"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0.5 </w:t>
            </w:r>
          </w:p>
        </w:tc>
        <w:tc>
          <w:tcPr>
            <w:tcW w:w="1701" w:type="dxa"/>
            <w:shd w:val="clear" w:color="auto" w:fill="auto"/>
            <w:noWrap/>
            <w:vAlign w:val="center"/>
          </w:tcPr>
          <w:p w14:paraId="1E7A1CB2"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644" w:type="dxa"/>
            <w:vMerge/>
            <w:vAlign w:val="center"/>
          </w:tcPr>
          <w:p w14:paraId="4DAB90A3" w14:textId="77777777" w:rsidR="002133E3" w:rsidRDefault="002133E3">
            <w:pPr>
              <w:widowControl/>
              <w:snapToGrid w:val="0"/>
              <w:jc w:val="left"/>
              <w:rPr>
                <w:rFonts w:ascii="Times New Roman" w:eastAsia="等线" w:hAnsi="Times New Roman" w:cs="Times New Roman"/>
                <w:kern w:val="0"/>
                <w:szCs w:val="21"/>
              </w:rPr>
            </w:pPr>
          </w:p>
        </w:tc>
      </w:tr>
      <w:tr w:rsidR="002133E3" w14:paraId="28BA7C41" w14:textId="77777777">
        <w:trPr>
          <w:trHeight w:val="567"/>
          <w:jc w:val="center"/>
        </w:trPr>
        <w:tc>
          <w:tcPr>
            <w:tcW w:w="1242" w:type="dxa"/>
            <w:vMerge w:val="restart"/>
            <w:shd w:val="clear" w:color="auto" w:fill="auto"/>
            <w:vAlign w:val="center"/>
          </w:tcPr>
          <w:p w14:paraId="1358FA95"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1-7</w:t>
            </w:r>
          </w:p>
        </w:tc>
        <w:tc>
          <w:tcPr>
            <w:tcW w:w="1701" w:type="dxa"/>
            <w:gridSpan w:val="2"/>
            <w:shd w:val="clear" w:color="auto" w:fill="auto"/>
            <w:noWrap/>
            <w:vAlign w:val="center"/>
          </w:tcPr>
          <w:p w14:paraId="5791E478"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10000</w:t>
            </w:r>
          </w:p>
        </w:tc>
        <w:tc>
          <w:tcPr>
            <w:tcW w:w="993" w:type="dxa"/>
            <w:shd w:val="clear" w:color="auto" w:fill="auto"/>
            <w:noWrap/>
            <w:vAlign w:val="center"/>
          </w:tcPr>
          <w:p w14:paraId="12F6AE3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134" w:type="dxa"/>
            <w:shd w:val="clear" w:color="auto" w:fill="auto"/>
            <w:noWrap/>
            <w:vAlign w:val="center"/>
          </w:tcPr>
          <w:p w14:paraId="1C86D0B9"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3703.7</w:t>
            </w:r>
          </w:p>
        </w:tc>
        <w:tc>
          <w:tcPr>
            <w:tcW w:w="992" w:type="dxa"/>
            <w:shd w:val="clear" w:color="auto" w:fill="auto"/>
            <w:noWrap/>
            <w:vAlign w:val="center"/>
          </w:tcPr>
          <w:p w14:paraId="7B020106"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18.52</w:t>
            </w:r>
          </w:p>
        </w:tc>
        <w:tc>
          <w:tcPr>
            <w:tcW w:w="1134" w:type="dxa"/>
            <w:shd w:val="clear" w:color="auto" w:fill="auto"/>
            <w:noWrap/>
            <w:vAlign w:val="center"/>
          </w:tcPr>
          <w:p w14:paraId="16EE4FBF"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37.04</w:t>
            </w:r>
          </w:p>
        </w:tc>
        <w:tc>
          <w:tcPr>
            <w:tcW w:w="850" w:type="dxa"/>
            <w:shd w:val="clear" w:color="auto" w:fill="auto"/>
            <w:vAlign w:val="center"/>
          </w:tcPr>
          <w:p w14:paraId="4F7622E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02270EC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vAlign w:val="center"/>
          </w:tcPr>
          <w:p w14:paraId="2F6ECDF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3703.7</w:t>
            </w:r>
          </w:p>
        </w:tc>
        <w:tc>
          <w:tcPr>
            <w:tcW w:w="993" w:type="dxa"/>
            <w:shd w:val="clear" w:color="auto" w:fill="auto"/>
            <w:vAlign w:val="center"/>
          </w:tcPr>
          <w:p w14:paraId="48E08F9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18.52</w:t>
            </w:r>
          </w:p>
        </w:tc>
        <w:tc>
          <w:tcPr>
            <w:tcW w:w="1134" w:type="dxa"/>
            <w:shd w:val="clear" w:color="auto" w:fill="auto"/>
            <w:vAlign w:val="center"/>
          </w:tcPr>
          <w:p w14:paraId="69F1854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567" w:type="dxa"/>
            <w:shd w:val="clear" w:color="auto" w:fill="auto"/>
            <w:vAlign w:val="center"/>
          </w:tcPr>
          <w:p w14:paraId="71938E9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0.5 </w:t>
            </w:r>
          </w:p>
        </w:tc>
        <w:tc>
          <w:tcPr>
            <w:tcW w:w="1701" w:type="dxa"/>
            <w:shd w:val="clear" w:color="auto" w:fill="auto"/>
            <w:noWrap/>
            <w:vAlign w:val="center"/>
          </w:tcPr>
          <w:p w14:paraId="44D26331"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644" w:type="dxa"/>
            <w:vMerge/>
            <w:vAlign w:val="center"/>
          </w:tcPr>
          <w:p w14:paraId="56341FF2" w14:textId="77777777" w:rsidR="002133E3" w:rsidRDefault="002133E3">
            <w:pPr>
              <w:widowControl/>
              <w:snapToGrid w:val="0"/>
              <w:jc w:val="left"/>
              <w:rPr>
                <w:rFonts w:ascii="Times New Roman" w:eastAsia="等线" w:hAnsi="Times New Roman" w:cs="Times New Roman"/>
                <w:kern w:val="0"/>
                <w:szCs w:val="21"/>
              </w:rPr>
            </w:pPr>
          </w:p>
        </w:tc>
      </w:tr>
      <w:tr w:rsidR="002133E3" w14:paraId="2E824A04" w14:textId="77777777">
        <w:trPr>
          <w:trHeight w:val="567"/>
          <w:jc w:val="center"/>
        </w:trPr>
        <w:tc>
          <w:tcPr>
            <w:tcW w:w="1242" w:type="dxa"/>
            <w:vMerge/>
            <w:vAlign w:val="center"/>
          </w:tcPr>
          <w:p w14:paraId="153D8E53" w14:textId="77777777" w:rsidR="002133E3" w:rsidRDefault="002133E3">
            <w:pPr>
              <w:widowControl/>
              <w:snapToGrid w:val="0"/>
              <w:jc w:val="left"/>
              <w:rPr>
                <w:rFonts w:ascii="Times New Roman" w:eastAsia="等线" w:hAnsi="Times New Roman" w:cs="Times New Roman"/>
                <w:kern w:val="0"/>
                <w:szCs w:val="21"/>
              </w:rPr>
            </w:pPr>
          </w:p>
        </w:tc>
        <w:tc>
          <w:tcPr>
            <w:tcW w:w="1701" w:type="dxa"/>
            <w:gridSpan w:val="2"/>
            <w:shd w:val="clear" w:color="auto" w:fill="auto"/>
            <w:noWrap/>
            <w:vAlign w:val="center"/>
          </w:tcPr>
          <w:p w14:paraId="7589CF48"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10000</w:t>
            </w:r>
          </w:p>
        </w:tc>
        <w:tc>
          <w:tcPr>
            <w:tcW w:w="993" w:type="dxa"/>
            <w:shd w:val="clear" w:color="auto" w:fill="auto"/>
            <w:noWrap/>
            <w:vAlign w:val="center"/>
          </w:tcPr>
          <w:p w14:paraId="42E1E1C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134" w:type="dxa"/>
            <w:shd w:val="clear" w:color="auto" w:fill="auto"/>
            <w:noWrap/>
            <w:vAlign w:val="center"/>
          </w:tcPr>
          <w:p w14:paraId="6E9FB3C2"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3703.7</w:t>
            </w:r>
          </w:p>
        </w:tc>
        <w:tc>
          <w:tcPr>
            <w:tcW w:w="992" w:type="dxa"/>
            <w:shd w:val="clear" w:color="auto" w:fill="auto"/>
            <w:noWrap/>
            <w:vAlign w:val="center"/>
          </w:tcPr>
          <w:p w14:paraId="7FC00E36"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18.52</w:t>
            </w:r>
          </w:p>
        </w:tc>
        <w:tc>
          <w:tcPr>
            <w:tcW w:w="1134" w:type="dxa"/>
            <w:shd w:val="clear" w:color="auto" w:fill="auto"/>
            <w:noWrap/>
            <w:vAlign w:val="center"/>
          </w:tcPr>
          <w:p w14:paraId="05EE2DD3"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37.04</w:t>
            </w:r>
          </w:p>
        </w:tc>
        <w:tc>
          <w:tcPr>
            <w:tcW w:w="850" w:type="dxa"/>
            <w:shd w:val="clear" w:color="auto" w:fill="auto"/>
            <w:vAlign w:val="center"/>
          </w:tcPr>
          <w:p w14:paraId="1D60A30A"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1F5B70A1"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vAlign w:val="center"/>
          </w:tcPr>
          <w:p w14:paraId="11FC9A9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3703.7</w:t>
            </w:r>
          </w:p>
        </w:tc>
        <w:tc>
          <w:tcPr>
            <w:tcW w:w="993" w:type="dxa"/>
            <w:shd w:val="clear" w:color="auto" w:fill="auto"/>
            <w:vAlign w:val="center"/>
          </w:tcPr>
          <w:p w14:paraId="22C3855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18.52</w:t>
            </w:r>
          </w:p>
        </w:tc>
        <w:tc>
          <w:tcPr>
            <w:tcW w:w="1134" w:type="dxa"/>
            <w:shd w:val="clear" w:color="auto" w:fill="auto"/>
            <w:vAlign w:val="center"/>
          </w:tcPr>
          <w:p w14:paraId="41DF6FCA"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567" w:type="dxa"/>
            <w:shd w:val="clear" w:color="auto" w:fill="auto"/>
            <w:vAlign w:val="center"/>
          </w:tcPr>
          <w:p w14:paraId="33D064A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0.5 </w:t>
            </w:r>
          </w:p>
        </w:tc>
        <w:tc>
          <w:tcPr>
            <w:tcW w:w="1701" w:type="dxa"/>
            <w:shd w:val="clear" w:color="auto" w:fill="auto"/>
            <w:noWrap/>
            <w:vAlign w:val="center"/>
          </w:tcPr>
          <w:p w14:paraId="5CB27DC9"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644" w:type="dxa"/>
            <w:vMerge/>
            <w:vAlign w:val="center"/>
          </w:tcPr>
          <w:p w14:paraId="4690726B" w14:textId="77777777" w:rsidR="002133E3" w:rsidRDefault="002133E3">
            <w:pPr>
              <w:widowControl/>
              <w:snapToGrid w:val="0"/>
              <w:jc w:val="left"/>
              <w:rPr>
                <w:rFonts w:ascii="Times New Roman" w:eastAsia="等线" w:hAnsi="Times New Roman" w:cs="Times New Roman"/>
                <w:kern w:val="0"/>
                <w:szCs w:val="21"/>
              </w:rPr>
            </w:pPr>
          </w:p>
        </w:tc>
      </w:tr>
      <w:tr w:rsidR="002133E3" w14:paraId="205B93F1" w14:textId="77777777">
        <w:trPr>
          <w:trHeight w:val="567"/>
          <w:jc w:val="center"/>
        </w:trPr>
        <w:tc>
          <w:tcPr>
            <w:tcW w:w="1242" w:type="dxa"/>
            <w:vMerge/>
            <w:vAlign w:val="center"/>
          </w:tcPr>
          <w:p w14:paraId="575E3872" w14:textId="77777777" w:rsidR="002133E3" w:rsidRDefault="002133E3">
            <w:pPr>
              <w:widowControl/>
              <w:snapToGrid w:val="0"/>
              <w:jc w:val="left"/>
              <w:rPr>
                <w:rFonts w:ascii="Times New Roman" w:eastAsia="等线" w:hAnsi="Times New Roman" w:cs="Times New Roman"/>
                <w:kern w:val="0"/>
                <w:szCs w:val="21"/>
              </w:rPr>
            </w:pPr>
          </w:p>
        </w:tc>
        <w:tc>
          <w:tcPr>
            <w:tcW w:w="1701" w:type="dxa"/>
            <w:gridSpan w:val="2"/>
            <w:shd w:val="clear" w:color="auto" w:fill="auto"/>
            <w:noWrap/>
            <w:vAlign w:val="center"/>
          </w:tcPr>
          <w:p w14:paraId="54A841B5"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10000</w:t>
            </w:r>
          </w:p>
        </w:tc>
        <w:tc>
          <w:tcPr>
            <w:tcW w:w="993" w:type="dxa"/>
            <w:shd w:val="clear" w:color="auto" w:fill="auto"/>
            <w:noWrap/>
            <w:vAlign w:val="center"/>
          </w:tcPr>
          <w:p w14:paraId="55EDA3D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粉尘</w:t>
            </w:r>
          </w:p>
        </w:tc>
        <w:tc>
          <w:tcPr>
            <w:tcW w:w="1134" w:type="dxa"/>
            <w:shd w:val="clear" w:color="auto" w:fill="auto"/>
            <w:noWrap/>
            <w:vAlign w:val="center"/>
          </w:tcPr>
          <w:p w14:paraId="18B3E001"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3703.7</w:t>
            </w:r>
          </w:p>
        </w:tc>
        <w:tc>
          <w:tcPr>
            <w:tcW w:w="992" w:type="dxa"/>
            <w:shd w:val="clear" w:color="auto" w:fill="auto"/>
            <w:noWrap/>
            <w:vAlign w:val="center"/>
          </w:tcPr>
          <w:p w14:paraId="47A538DD"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18.52</w:t>
            </w:r>
          </w:p>
        </w:tc>
        <w:tc>
          <w:tcPr>
            <w:tcW w:w="1134" w:type="dxa"/>
            <w:shd w:val="clear" w:color="auto" w:fill="auto"/>
            <w:noWrap/>
            <w:vAlign w:val="center"/>
          </w:tcPr>
          <w:p w14:paraId="28836076"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37.04</w:t>
            </w:r>
          </w:p>
        </w:tc>
        <w:tc>
          <w:tcPr>
            <w:tcW w:w="850" w:type="dxa"/>
            <w:shd w:val="clear" w:color="auto" w:fill="auto"/>
            <w:vAlign w:val="center"/>
          </w:tcPr>
          <w:p w14:paraId="5318511A"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一级水膜除尘</w:t>
            </w:r>
          </w:p>
        </w:tc>
        <w:tc>
          <w:tcPr>
            <w:tcW w:w="567" w:type="dxa"/>
            <w:shd w:val="clear" w:color="auto" w:fill="auto"/>
            <w:vAlign w:val="center"/>
          </w:tcPr>
          <w:p w14:paraId="66EC422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vAlign w:val="center"/>
          </w:tcPr>
          <w:p w14:paraId="10B3186E"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3703.7</w:t>
            </w:r>
          </w:p>
        </w:tc>
        <w:tc>
          <w:tcPr>
            <w:tcW w:w="993" w:type="dxa"/>
            <w:shd w:val="clear" w:color="auto" w:fill="auto"/>
            <w:vAlign w:val="center"/>
          </w:tcPr>
          <w:p w14:paraId="41BCFF44"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18.52</w:t>
            </w:r>
          </w:p>
        </w:tc>
        <w:tc>
          <w:tcPr>
            <w:tcW w:w="1134" w:type="dxa"/>
            <w:shd w:val="clear" w:color="auto" w:fill="auto"/>
            <w:vAlign w:val="center"/>
          </w:tcPr>
          <w:p w14:paraId="0A999C3D"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567" w:type="dxa"/>
            <w:shd w:val="clear" w:color="auto" w:fill="auto"/>
            <w:vAlign w:val="center"/>
          </w:tcPr>
          <w:p w14:paraId="420B7D0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0.5 </w:t>
            </w:r>
          </w:p>
        </w:tc>
        <w:tc>
          <w:tcPr>
            <w:tcW w:w="1701" w:type="dxa"/>
            <w:shd w:val="clear" w:color="auto" w:fill="auto"/>
            <w:noWrap/>
            <w:vAlign w:val="center"/>
          </w:tcPr>
          <w:p w14:paraId="4DC8E144"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16#</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H</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20m</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ф</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0.7m</w:t>
            </w:r>
            <w:r>
              <w:rPr>
                <w:rFonts w:ascii="Times New Roman" w:eastAsia="宋体" w:hAnsi="Times New Roman" w:cs="Times New Roman"/>
                <w:color w:val="000000"/>
                <w:kern w:val="0"/>
                <w:szCs w:val="21"/>
              </w:rPr>
              <w:t>，</w:t>
            </w:r>
            <w:r>
              <w:rPr>
                <w:rFonts w:ascii="Times New Roman" w:eastAsia="等线" w:hAnsi="Times New Roman" w:cs="Times New Roman"/>
                <w:color w:val="000000"/>
                <w:kern w:val="0"/>
                <w:szCs w:val="21"/>
              </w:rPr>
              <w:t>25</w:t>
            </w:r>
            <w:r>
              <w:rPr>
                <w:rFonts w:ascii="宋体" w:eastAsia="宋体" w:hAnsi="宋体" w:cs="宋体" w:hint="eastAsia"/>
                <w:color w:val="000000"/>
                <w:kern w:val="0"/>
                <w:szCs w:val="21"/>
              </w:rPr>
              <w:t>℃</w:t>
            </w:r>
          </w:p>
        </w:tc>
        <w:tc>
          <w:tcPr>
            <w:tcW w:w="644" w:type="dxa"/>
            <w:vMerge/>
            <w:vAlign w:val="center"/>
          </w:tcPr>
          <w:p w14:paraId="2E76D87A" w14:textId="77777777" w:rsidR="002133E3" w:rsidRDefault="002133E3">
            <w:pPr>
              <w:widowControl/>
              <w:snapToGrid w:val="0"/>
              <w:jc w:val="left"/>
              <w:rPr>
                <w:rFonts w:ascii="Times New Roman" w:eastAsia="等线" w:hAnsi="Times New Roman" w:cs="Times New Roman"/>
                <w:kern w:val="0"/>
                <w:szCs w:val="21"/>
              </w:rPr>
            </w:pPr>
          </w:p>
        </w:tc>
      </w:tr>
      <w:tr w:rsidR="002133E3" w14:paraId="629CD17F" w14:textId="77777777">
        <w:trPr>
          <w:trHeight w:val="567"/>
          <w:jc w:val="center"/>
        </w:trPr>
        <w:tc>
          <w:tcPr>
            <w:tcW w:w="1242" w:type="dxa"/>
            <w:vMerge w:val="restart"/>
            <w:shd w:val="clear" w:color="auto" w:fill="auto"/>
            <w:vAlign w:val="center"/>
          </w:tcPr>
          <w:p w14:paraId="7447534C" w14:textId="77777777" w:rsidR="002133E3" w:rsidRDefault="00C22CFA">
            <w:pPr>
              <w:widowControl/>
              <w:snapToGrid w:val="0"/>
              <w:jc w:val="left"/>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1-2</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1-8</w:t>
            </w:r>
          </w:p>
        </w:tc>
        <w:tc>
          <w:tcPr>
            <w:tcW w:w="851" w:type="dxa"/>
            <w:vMerge w:val="restart"/>
            <w:shd w:val="clear" w:color="auto" w:fill="auto"/>
            <w:noWrap/>
            <w:vAlign w:val="center"/>
          </w:tcPr>
          <w:p w14:paraId="6F538723"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6502</w:t>
            </w:r>
          </w:p>
        </w:tc>
        <w:tc>
          <w:tcPr>
            <w:tcW w:w="850" w:type="dxa"/>
            <w:vMerge w:val="restart"/>
            <w:shd w:val="clear" w:color="auto" w:fill="auto"/>
            <w:noWrap/>
            <w:vAlign w:val="center"/>
          </w:tcPr>
          <w:p w14:paraId="727445B8"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13802</w:t>
            </w:r>
          </w:p>
        </w:tc>
        <w:tc>
          <w:tcPr>
            <w:tcW w:w="993" w:type="dxa"/>
            <w:shd w:val="clear" w:color="auto" w:fill="auto"/>
            <w:noWrap/>
            <w:vAlign w:val="center"/>
          </w:tcPr>
          <w:p w14:paraId="71A3955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1134" w:type="dxa"/>
            <w:shd w:val="clear" w:color="auto" w:fill="auto"/>
            <w:noWrap/>
            <w:vAlign w:val="center"/>
          </w:tcPr>
          <w:p w14:paraId="2BA5CB75"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925389.40</w:t>
            </w:r>
          </w:p>
        </w:tc>
        <w:tc>
          <w:tcPr>
            <w:tcW w:w="992" w:type="dxa"/>
            <w:shd w:val="clear" w:color="auto" w:fill="auto"/>
            <w:noWrap/>
            <w:vAlign w:val="center"/>
          </w:tcPr>
          <w:p w14:paraId="127B03AD"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6386.31</w:t>
            </w:r>
          </w:p>
        </w:tc>
        <w:tc>
          <w:tcPr>
            <w:tcW w:w="1134" w:type="dxa"/>
            <w:shd w:val="clear" w:color="auto" w:fill="auto"/>
            <w:noWrap/>
            <w:vAlign w:val="center"/>
          </w:tcPr>
          <w:p w14:paraId="1448B1DB"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12772.62</w:t>
            </w:r>
          </w:p>
        </w:tc>
        <w:tc>
          <w:tcPr>
            <w:tcW w:w="850" w:type="dxa"/>
            <w:vMerge w:val="restart"/>
            <w:shd w:val="clear" w:color="auto" w:fill="auto"/>
            <w:vAlign w:val="center"/>
          </w:tcPr>
          <w:p w14:paraId="43DBE644"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一级水吸收</w:t>
            </w:r>
          </w:p>
        </w:tc>
        <w:tc>
          <w:tcPr>
            <w:tcW w:w="567" w:type="dxa"/>
            <w:shd w:val="clear" w:color="auto" w:fill="auto"/>
            <w:vAlign w:val="center"/>
          </w:tcPr>
          <w:p w14:paraId="661D9205"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w:t>
            </w:r>
          </w:p>
        </w:tc>
        <w:tc>
          <w:tcPr>
            <w:tcW w:w="1134" w:type="dxa"/>
            <w:shd w:val="clear" w:color="auto" w:fill="auto"/>
            <w:noWrap/>
            <w:vAlign w:val="center"/>
          </w:tcPr>
          <w:p w14:paraId="1777C96C"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925389.40</w:t>
            </w:r>
          </w:p>
        </w:tc>
        <w:tc>
          <w:tcPr>
            <w:tcW w:w="993" w:type="dxa"/>
            <w:shd w:val="clear" w:color="auto" w:fill="auto"/>
            <w:vAlign w:val="center"/>
          </w:tcPr>
          <w:p w14:paraId="6976F485"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 xml:space="preserve">6386.31 </w:t>
            </w:r>
          </w:p>
        </w:tc>
        <w:tc>
          <w:tcPr>
            <w:tcW w:w="1134" w:type="dxa"/>
            <w:shd w:val="clear" w:color="auto" w:fill="auto"/>
            <w:vAlign w:val="center"/>
          </w:tcPr>
          <w:p w14:paraId="138F8CAD"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 xml:space="preserve">12772.62 </w:t>
            </w:r>
          </w:p>
        </w:tc>
        <w:tc>
          <w:tcPr>
            <w:tcW w:w="567" w:type="dxa"/>
            <w:vMerge w:val="restart"/>
            <w:shd w:val="clear" w:color="auto" w:fill="auto"/>
            <w:vAlign w:val="center"/>
          </w:tcPr>
          <w:p w14:paraId="05149414"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0.5 </w:t>
            </w:r>
          </w:p>
        </w:tc>
        <w:tc>
          <w:tcPr>
            <w:tcW w:w="1701" w:type="dxa"/>
            <w:vMerge w:val="restart"/>
            <w:shd w:val="clear" w:color="auto" w:fill="auto"/>
            <w:noWrap/>
            <w:vAlign w:val="center"/>
          </w:tcPr>
          <w:p w14:paraId="018184D5"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w:t>
            </w:r>
            <w:r>
              <w:rPr>
                <w:rFonts w:ascii="Times New Roman" w:eastAsia="宋体" w:hAnsi="Times New Roman" w:cs="Times New Roman"/>
                <w:kern w:val="0"/>
                <w:szCs w:val="21"/>
              </w:rPr>
              <w:t>，</w:t>
            </w:r>
            <w:r>
              <w:rPr>
                <w:rFonts w:ascii="Times New Roman" w:eastAsia="等线" w:hAnsi="Times New Roman" w:cs="Times New Roman"/>
                <w:kern w:val="0"/>
                <w:szCs w:val="21"/>
              </w:rPr>
              <w:t>H</w:t>
            </w:r>
            <w:r>
              <w:rPr>
                <w:rFonts w:ascii="Times New Roman" w:eastAsia="宋体" w:hAnsi="Times New Roman" w:cs="Times New Roman"/>
                <w:kern w:val="0"/>
                <w:szCs w:val="21"/>
              </w:rPr>
              <w:t>：</w:t>
            </w:r>
            <w:r>
              <w:rPr>
                <w:rFonts w:ascii="Times New Roman" w:eastAsia="等线" w:hAnsi="Times New Roman" w:cs="Times New Roman"/>
                <w:kern w:val="0"/>
                <w:szCs w:val="21"/>
              </w:rPr>
              <w:t>20m</w:t>
            </w:r>
            <w:r>
              <w:rPr>
                <w:rFonts w:ascii="Times New Roman" w:eastAsia="宋体" w:hAnsi="Times New Roman" w:cs="Times New Roman"/>
                <w:kern w:val="0"/>
                <w:szCs w:val="21"/>
              </w:rPr>
              <w:t>，</w:t>
            </w:r>
            <w:r>
              <w:rPr>
                <w:rFonts w:ascii="Times New Roman" w:eastAsia="等线" w:hAnsi="Times New Roman" w:cs="Times New Roman"/>
                <w:kern w:val="0"/>
                <w:szCs w:val="21"/>
              </w:rPr>
              <w:t>ф</w:t>
            </w:r>
            <w:r>
              <w:rPr>
                <w:rFonts w:ascii="Times New Roman" w:eastAsia="宋体" w:hAnsi="Times New Roman" w:cs="Times New Roman"/>
                <w:kern w:val="0"/>
                <w:szCs w:val="21"/>
              </w:rPr>
              <w:t>：</w:t>
            </w:r>
            <w:r>
              <w:rPr>
                <w:rFonts w:ascii="Times New Roman" w:eastAsia="等线" w:hAnsi="Times New Roman" w:cs="Times New Roman"/>
                <w:kern w:val="0"/>
                <w:szCs w:val="21"/>
              </w:rPr>
              <w:t>0.5m</w:t>
            </w:r>
            <w:r>
              <w:rPr>
                <w:rFonts w:ascii="Times New Roman" w:eastAsia="宋体" w:hAnsi="Times New Roman" w:cs="Times New Roman"/>
                <w:kern w:val="0"/>
                <w:szCs w:val="21"/>
              </w:rPr>
              <w:t>，</w:t>
            </w:r>
            <w:r>
              <w:rPr>
                <w:rFonts w:ascii="Times New Roman" w:eastAsia="等线" w:hAnsi="Times New Roman" w:cs="Times New Roman"/>
                <w:kern w:val="0"/>
                <w:szCs w:val="21"/>
              </w:rPr>
              <w:t>25</w:t>
            </w:r>
            <w:r>
              <w:rPr>
                <w:rFonts w:ascii="宋体" w:eastAsia="宋体" w:hAnsi="宋体" w:cs="宋体" w:hint="eastAsia"/>
                <w:kern w:val="0"/>
                <w:szCs w:val="21"/>
              </w:rPr>
              <w:t>℃</w:t>
            </w:r>
          </w:p>
        </w:tc>
        <w:tc>
          <w:tcPr>
            <w:tcW w:w="644" w:type="dxa"/>
            <w:vMerge/>
            <w:vAlign w:val="center"/>
          </w:tcPr>
          <w:p w14:paraId="60D19061" w14:textId="77777777" w:rsidR="002133E3" w:rsidRDefault="002133E3">
            <w:pPr>
              <w:widowControl/>
              <w:snapToGrid w:val="0"/>
              <w:jc w:val="left"/>
              <w:rPr>
                <w:rFonts w:ascii="Times New Roman" w:eastAsia="等线" w:hAnsi="Times New Roman" w:cs="Times New Roman"/>
                <w:kern w:val="0"/>
                <w:szCs w:val="21"/>
              </w:rPr>
            </w:pPr>
          </w:p>
        </w:tc>
      </w:tr>
      <w:tr w:rsidR="002133E3" w14:paraId="2B965634" w14:textId="77777777">
        <w:trPr>
          <w:trHeight w:val="567"/>
          <w:jc w:val="center"/>
        </w:trPr>
        <w:tc>
          <w:tcPr>
            <w:tcW w:w="1242" w:type="dxa"/>
            <w:vMerge/>
            <w:vAlign w:val="center"/>
          </w:tcPr>
          <w:p w14:paraId="351DEEE5" w14:textId="77777777" w:rsidR="002133E3" w:rsidRDefault="002133E3">
            <w:pPr>
              <w:widowControl/>
              <w:snapToGrid w:val="0"/>
              <w:jc w:val="left"/>
              <w:rPr>
                <w:rFonts w:ascii="Times New Roman" w:eastAsia="等线" w:hAnsi="Times New Roman" w:cs="Times New Roman"/>
                <w:kern w:val="0"/>
                <w:szCs w:val="21"/>
              </w:rPr>
            </w:pPr>
          </w:p>
        </w:tc>
        <w:tc>
          <w:tcPr>
            <w:tcW w:w="851" w:type="dxa"/>
            <w:vMerge/>
            <w:vAlign w:val="center"/>
          </w:tcPr>
          <w:p w14:paraId="5862A766" w14:textId="77777777" w:rsidR="002133E3" w:rsidRDefault="002133E3">
            <w:pPr>
              <w:widowControl/>
              <w:snapToGrid w:val="0"/>
              <w:jc w:val="left"/>
              <w:rPr>
                <w:rFonts w:ascii="Times New Roman" w:eastAsia="等线" w:hAnsi="Times New Roman" w:cs="Times New Roman"/>
                <w:color w:val="000000"/>
                <w:kern w:val="0"/>
                <w:szCs w:val="21"/>
              </w:rPr>
            </w:pPr>
          </w:p>
        </w:tc>
        <w:tc>
          <w:tcPr>
            <w:tcW w:w="850" w:type="dxa"/>
            <w:vMerge/>
            <w:vAlign w:val="center"/>
          </w:tcPr>
          <w:p w14:paraId="5BBCD696" w14:textId="77777777" w:rsidR="002133E3" w:rsidRDefault="002133E3">
            <w:pPr>
              <w:widowControl/>
              <w:snapToGrid w:val="0"/>
              <w:jc w:val="left"/>
              <w:rPr>
                <w:rFonts w:ascii="Times New Roman" w:eastAsia="等线" w:hAnsi="Times New Roman" w:cs="Times New Roman"/>
                <w:color w:val="000000"/>
                <w:kern w:val="0"/>
                <w:szCs w:val="21"/>
              </w:rPr>
            </w:pPr>
          </w:p>
        </w:tc>
        <w:tc>
          <w:tcPr>
            <w:tcW w:w="993" w:type="dxa"/>
            <w:shd w:val="clear" w:color="auto" w:fill="auto"/>
            <w:noWrap/>
            <w:vAlign w:val="center"/>
          </w:tcPr>
          <w:p w14:paraId="76810CDC"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134" w:type="dxa"/>
            <w:shd w:val="clear" w:color="auto" w:fill="auto"/>
            <w:noWrap/>
            <w:vAlign w:val="center"/>
          </w:tcPr>
          <w:p w14:paraId="4FD741FE"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472.56</w:t>
            </w:r>
          </w:p>
        </w:tc>
        <w:tc>
          <w:tcPr>
            <w:tcW w:w="992" w:type="dxa"/>
            <w:shd w:val="clear" w:color="auto" w:fill="auto"/>
            <w:noWrap/>
            <w:vAlign w:val="center"/>
          </w:tcPr>
          <w:p w14:paraId="100B80AC"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3.26</w:t>
            </w:r>
          </w:p>
        </w:tc>
        <w:tc>
          <w:tcPr>
            <w:tcW w:w="1134" w:type="dxa"/>
            <w:shd w:val="clear" w:color="auto" w:fill="auto"/>
            <w:noWrap/>
            <w:vAlign w:val="center"/>
          </w:tcPr>
          <w:p w14:paraId="24540055"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6.52</w:t>
            </w:r>
          </w:p>
        </w:tc>
        <w:tc>
          <w:tcPr>
            <w:tcW w:w="850" w:type="dxa"/>
            <w:vMerge/>
            <w:vAlign w:val="center"/>
          </w:tcPr>
          <w:p w14:paraId="459D790C" w14:textId="77777777" w:rsidR="002133E3" w:rsidRDefault="002133E3">
            <w:pPr>
              <w:widowControl/>
              <w:snapToGrid w:val="0"/>
              <w:jc w:val="left"/>
              <w:rPr>
                <w:rFonts w:ascii="Times New Roman" w:eastAsia="等线" w:hAnsi="Times New Roman" w:cs="Times New Roman"/>
                <w:kern w:val="0"/>
                <w:szCs w:val="21"/>
              </w:rPr>
            </w:pPr>
          </w:p>
        </w:tc>
        <w:tc>
          <w:tcPr>
            <w:tcW w:w="567" w:type="dxa"/>
            <w:shd w:val="clear" w:color="auto" w:fill="auto"/>
            <w:vAlign w:val="center"/>
          </w:tcPr>
          <w:p w14:paraId="453995B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noWrap/>
            <w:vAlign w:val="center"/>
          </w:tcPr>
          <w:p w14:paraId="4D31EEA4"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17.67</w:t>
            </w:r>
          </w:p>
        </w:tc>
        <w:tc>
          <w:tcPr>
            <w:tcW w:w="993" w:type="dxa"/>
            <w:shd w:val="clear" w:color="auto" w:fill="auto"/>
            <w:vAlign w:val="center"/>
          </w:tcPr>
          <w:p w14:paraId="0F9CDCE7"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12.20</w:t>
            </w:r>
          </w:p>
        </w:tc>
        <w:tc>
          <w:tcPr>
            <w:tcW w:w="1134" w:type="dxa"/>
            <w:shd w:val="clear" w:color="auto" w:fill="auto"/>
            <w:vAlign w:val="center"/>
          </w:tcPr>
          <w:p w14:paraId="0FD33CCC"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24.39</w:t>
            </w:r>
          </w:p>
        </w:tc>
        <w:tc>
          <w:tcPr>
            <w:tcW w:w="567" w:type="dxa"/>
            <w:vMerge/>
            <w:vAlign w:val="center"/>
          </w:tcPr>
          <w:p w14:paraId="35D01E66" w14:textId="77777777" w:rsidR="002133E3" w:rsidRDefault="002133E3">
            <w:pPr>
              <w:widowControl/>
              <w:snapToGrid w:val="0"/>
              <w:jc w:val="left"/>
              <w:rPr>
                <w:rFonts w:ascii="Times New Roman" w:eastAsia="等线" w:hAnsi="Times New Roman" w:cs="Times New Roman"/>
                <w:kern w:val="0"/>
                <w:szCs w:val="21"/>
              </w:rPr>
            </w:pPr>
          </w:p>
        </w:tc>
        <w:tc>
          <w:tcPr>
            <w:tcW w:w="1701" w:type="dxa"/>
            <w:vMerge/>
            <w:vAlign w:val="center"/>
          </w:tcPr>
          <w:p w14:paraId="0C2B030E" w14:textId="77777777" w:rsidR="002133E3" w:rsidRDefault="002133E3">
            <w:pPr>
              <w:widowControl/>
              <w:snapToGrid w:val="0"/>
              <w:jc w:val="left"/>
              <w:rPr>
                <w:rFonts w:ascii="Times New Roman" w:eastAsia="等线" w:hAnsi="Times New Roman" w:cs="Times New Roman"/>
                <w:color w:val="000000"/>
                <w:kern w:val="0"/>
                <w:szCs w:val="21"/>
              </w:rPr>
            </w:pPr>
          </w:p>
        </w:tc>
        <w:tc>
          <w:tcPr>
            <w:tcW w:w="644" w:type="dxa"/>
            <w:vMerge/>
            <w:vAlign w:val="center"/>
          </w:tcPr>
          <w:p w14:paraId="6920D4F3" w14:textId="77777777" w:rsidR="002133E3" w:rsidRDefault="002133E3">
            <w:pPr>
              <w:widowControl/>
              <w:snapToGrid w:val="0"/>
              <w:jc w:val="left"/>
              <w:rPr>
                <w:rFonts w:ascii="Times New Roman" w:eastAsia="等线" w:hAnsi="Times New Roman" w:cs="Times New Roman"/>
                <w:kern w:val="0"/>
                <w:szCs w:val="21"/>
              </w:rPr>
            </w:pPr>
          </w:p>
        </w:tc>
      </w:tr>
      <w:tr w:rsidR="002133E3" w14:paraId="495C50A1" w14:textId="77777777">
        <w:trPr>
          <w:trHeight w:val="567"/>
          <w:jc w:val="center"/>
        </w:trPr>
        <w:tc>
          <w:tcPr>
            <w:tcW w:w="1242" w:type="dxa"/>
            <w:vMerge/>
            <w:vAlign w:val="center"/>
          </w:tcPr>
          <w:p w14:paraId="4175E042" w14:textId="77777777" w:rsidR="002133E3" w:rsidRDefault="002133E3">
            <w:pPr>
              <w:widowControl/>
              <w:snapToGrid w:val="0"/>
              <w:jc w:val="left"/>
              <w:rPr>
                <w:rFonts w:ascii="Times New Roman" w:eastAsia="等线" w:hAnsi="Times New Roman" w:cs="Times New Roman"/>
                <w:kern w:val="0"/>
                <w:szCs w:val="21"/>
              </w:rPr>
            </w:pPr>
          </w:p>
        </w:tc>
        <w:tc>
          <w:tcPr>
            <w:tcW w:w="851" w:type="dxa"/>
            <w:vMerge/>
            <w:vAlign w:val="center"/>
          </w:tcPr>
          <w:p w14:paraId="622915DF" w14:textId="77777777" w:rsidR="002133E3" w:rsidRDefault="002133E3">
            <w:pPr>
              <w:widowControl/>
              <w:snapToGrid w:val="0"/>
              <w:jc w:val="left"/>
              <w:rPr>
                <w:rFonts w:ascii="Times New Roman" w:eastAsia="等线" w:hAnsi="Times New Roman" w:cs="Times New Roman"/>
                <w:color w:val="000000"/>
                <w:kern w:val="0"/>
                <w:szCs w:val="21"/>
              </w:rPr>
            </w:pPr>
          </w:p>
        </w:tc>
        <w:tc>
          <w:tcPr>
            <w:tcW w:w="850" w:type="dxa"/>
            <w:vMerge/>
            <w:vAlign w:val="center"/>
          </w:tcPr>
          <w:p w14:paraId="5D38FA4E" w14:textId="77777777" w:rsidR="002133E3" w:rsidRDefault="002133E3">
            <w:pPr>
              <w:widowControl/>
              <w:snapToGrid w:val="0"/>
              <w:jc w:val="left"/>
              <w:rPr>
                <w:rFonts w:ascii="Times New Roman" w:eastAsia="等线" w:hAnsi="Times New Roman" w:cs="Times New Roman"/>
                <w:color w:val="000000"/>
                <w:kern w:val="0"/>
                <w:szCs w:val="21"/>
              </w:rPr>
            </w:pPr>
          </w:p>
        </w:tc>
        <w:tc>
          <w:tcPr>
            <w:tcW w:w="993" w:type="dxa"/>
            <w:shd w:val="clear" w:color="auto" w:fill="auto"/>
            <w:noWrap/>
            <w:vAlign w:val="center"/>
          </w:tcPr>
          <w:p w14:paraId="6DE76A8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1134" w:type="dxa"/>
            <w:shd w:val="clear" w:color="auto" w:fill="auto"/>
            <w:noWrap/>
            <w:vAlign w:val="center"/>
          </w:tcPr>
          <w:p w14:paraId="61EFE330"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0.276</w:t>
            </w:r>
          </w:p>
        </w:tc>
        <w:tc>
          <w:tcPr>
            <w:tcW w:w="992" w:type="dxa"/>
            <w:shd w:val="clear" w:color="auto" w:fill="auto"/>
            <w:noWrap/>
            <w:vAlign w:val="center"/>
          </w:tcPr>
          <w:p w14:paraId="4AEB905D"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0.002</w:t>
            </w:r>
          </w:p>
        </w:tc>
        <w:tc>
          <w:tcPr>
            <w:tcW w:w="1134" w:type="dxa"/>
            <w:shd w:val="clear" w:color="auto" w:fill="auto"/>
            <w:noWrap/>
            <w:vAlign w:val="center"/>
          </w:tcPr>
          <w:p w14:paraId="4A0E1727"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0.004</w:t>
            </w:r>
          </w:p>
        </w:tc>
        <w:tc>
          <w:tcPr>
            <w:tcW w:w="850" w:type="dxa"/>
            <w:vMerge/>
            <w:vAlign w:val="center"/>
          </w:tcPr>
          <w:p w14:paraId="199B0511" w14:textId="77777777" w:rsidR="002133E3" w:rsidRDefault="002133E3">
            <w:pPr>
              <w:widowControl/>
              <w:snapToGrid w:val="0"/>
              <w:jc w:val="left"/>
              <w:rPr>
                <w:rFonts w:ascii="Times New Roman" w:eastAsia="等线" w:hAnsi="Times New Roman" w:cs="Times New Roman"/>
                <w:kern w:val="0"/>
                <w:szCs w:val="21"/>
              </w:rPr>
            </w:pPr>
          </w:p>
        </w:tc>
        <w:tc>
          <w:tcPr>
            <w:tcW w:w="567" w:type="dxa"/>
            <w:shd w:val="clear" w:color="auto" w:fill="auto"/>
            <w:vAlign w:val="center"/>
          </w:tcPr>
          <w:p w14:paraId="6B1E251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noWrap/>
            <w:vAlign w:val="center"/>
          </w:tcPr>
          <w:p w14:paraId="7E826508"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0.56</w:t>
            </w:r>
          </w:p>
        </w:tc>
        <w:tc>
          <w:tcPr>
            <w:tcW w:w="993" w:type="dxa"/>
            <w:shd w:val="clear" w:color="auto" w:fill="auto"/>
            <w:vAlign w:val="center"/>
          </w:tcPr>
          <w:p w14:paraId="6B6AD73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0.39</w:t>
            </w:r>
          </w:p>
        </w:tc>
        <w:tc>
          <w:tcPr>
            <w:tcW w:w="1134" w:type="dxa"/>
            <w:shd w:val="clear" w:color="auto" w:fill="auto"/>
            <w:vAlign w:val="center"/>
          </w:tcPr>
          <w:p w14:paraId="7CCF6E2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0.77</w:t>
            </w:r>
          </w:p>
        </w:tc>
        <w:tc>
          <w:tcPr>
            <w:tcW w:w="567" w:type="dxa"/>
            <w:vMerge/>
            <w:vAlign w:val="center"/>
          </w:tcPr>
          <w:p w14:paraId="3CC20D9C" w14:textId="77777777" w:rsidR="002133E3" w:rsidRDefault="002133E3">
            <w:pPr>
              <w:widowControl/>
              <w:snapToGrid w:val="0"/>
              <w:jc w:val="left"/>
              <w:rPr>
                <w:rFonts w:ascii="Times New Roman" w:eastAsia="等线" w:hAnsi="Times New Roman" w:cs="Times New Roman"/>
                <w:kern w:val="0"/>
                <w:szCs w:val="21"/>
              </w:rPr>
            </w:pPr>
          </w:p>
        </w:tc>
        <w:tc>
          <w:tcPr>
            <w:tcW w:w="1701" w:type="dxa"/>
            <w:vMerge/>
            <w:vAlign w:val="center"/>
          </w:tcPr>
          <w:p w14:paraId="7B90F71B" w14:textId="77777777" w:rsidR="002133E3" w:rsidRDefault="002133E3">
            <w:pPr>
              <w:widowControl/>
              <w:snapToGrid w:val="0"/>
              <w:jc w:val="left"/>
              <w:rPr>
                <w:rFonts w:ascii="Times New Roman" w:eastAsia="等线" w:hAnsi="Times New Roman" w:cs="Times New Roman"/>
                <w:color w:val="000000"/>
                <w:kern w:val="0"/>
                <w:szCs w:val="21"/>
              </w:rPr>
            </w:pPr>
          </w:p>
        </w:tc>
        <w:tc>
          <w:tcPr>
            <w:tcW w:w="644" w:type="dxa"/>
            <w:vMerge/>
            <w:vAlign w:val="center"/>
          </w:tcPr>
          <w:p w14:paraId="0364B40F" w14:textId="77777777" w:rsidR="002133E3" w:rsidRDefault="002133E3">
            <w:pPr>
              <w:widowControl/>
              <w:snapToGrid w:val="0"/>
              <w:jc w:val="left"/>
              <w:rPr>
                <w:rFonts w:ascii="Times New Roman" w:eastAsia="等线" w:hAnsi="Times New Roman" w:cs="Times New Roman"/>
                <w:kern w:val="0"/>
                <w:szCs w:val="21"/>
              </w:rPr>
            </w:pPr>
          </w:p>
        </w:tc>
      </w:tr>
      <w:tr w:rsidR="002133E3" w14:paraId="09F0F40E" w14:textId="77777777">
        <w:trPr>
          <w:trHeight w:val="567"/>
          <w:jc w:val="center"/>
        </w:trPr>
        <w:tc>
          <w:tcPr>
            <w:tcW w:w="1242" w:type="dxa"/>
            <w:vMerge/>
            <w:vAlign w:val="center"/>
          </w:tcPr>
          <w:p w14:paraId="758E1EA1" w14:textId="77777777" w:rsidR="002133E3" w:rsidRDefault="002133E3">
            <w:pPr>
              <w:widowControl/>
              <w:snapToGrid w:val="0"/>
              <w:jc w:val="left"/>
              <w:rPr>
                <w:rFonts w:ascii="Times New Roman" w:eastAsia="等线" w:hAnsi="Times New Roman" w:cs="Times New Roman"/>
                <w:kern w:val="0"/>
                <w:szCs w:val="21"/>
              </w:rPr>
            </w:pPr>
          </w:p>
        </w:tc>
        <w:tc>
          <w:tcPr>
            <w:tcW w:w="851" w:type="dxa"/>
            <w:vMerge/>
            <w:vAlign w:val="center"/>
          </w:tcPr>
          <w:p w14:paraId="683A0723" w14:textId="77777777" w:rsidR="002133E3" w:rsidRDefault="002133E3">
            <w:pPr>
              <w:widowControl/>
              <w:snapToGrid w:val="0"/>
              <w:jc w:val="left"/>
              <w:rPr>
                <w:rFonts w:ascii="Times New Roman" w:eastAsia="等线" w:hAnsi="Times New Roman" w:cs="Times New Roman"/>
                <w:color w:val="000000"/>
                <w:kern w:val="0"/>
                <w:szCs w:val="21"/>
              </w:rPr>
            </w:pPr>
          </w:p>
        </w:tc>
        <w:tc>
          <w:tcPr>
            <w:tcW w:w="850" w:type="dxa"/>
            <w:vMerge/>
            <w:vAlign w:val="center"/>
          </w:tcPr>
          <w:p w14:paraId="1530C546" w14:textId="77777777" w:rsidR="002133E3" w:rsidRDefault="002133E3">
            <w:pPr>
              <w:widowControl/>
              <w:snapToGrid w:val="0"/>
              <w:jc w:val="left"/>
              <w:rPr>
                <w:rFonts w:ascii="Times New Roman" w:eastAsia="等线" w:hAnsi="Times New Roman" w:cs="Times New Roman"/>
                <w:color w:val="000000"/>
                <w:kern w:val="0"/>
                <w:szCs w:val="21"/>
              </w:rPr>
            </w:pPr>
          </w:p>
        </w:tc>
        <w:tc>
          <w:tcPr>
            <w:tcW w:w="993" w:type="dxa"/>
            <w:shd w:val="clear" w:color="auto" w:fill="auto"/>
            <w:noWrap/>
            <w:vAlign w:val="center"/>
          </w:tcPr>
          <w:p w14:paraId="0B0CD611"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挥发性有机物</w:t>
            </w:r>
          </w:p>
        </w:tc>
        <w:tc>
          <w:tcPr>
            <w:tcW w:w="1134" w:type="dxa"/>
            <w:shd w:val="clear" w:color="auto" w:fill="auto"/>
            <w:noWrap/>
            <w:vAlign w:val="center"/>
          </w:tcPr>
          <w:p w14:paraId="067CF02B"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472.84</w:t>
            </w:r>
          </w:p>
        </w:tc>
        <w:tc>
          <w:tcPr>
            <w:tcW w:w="992" w:type="dxa"/>
            <w:shd w:val="clear" w:color="auto" w:fill="auto"/>
            <w:noWrap/>
            <w:vAlign w:val="center"/>
          </w:tcPr>
          <w:p w14:paraId="0216589F"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3.26</w:t>
            </w:r>
          </w:p>
        </w:tc>
        <w:tc>
          <w:tcPr>
            <w:tcW w:w="1134" w:type="dxa"/>
            <w:shd w:val="clear" w:color="auto" w:fill="auto"/>
            <w:noWrap/>
            <w:vAlign w:val="center"/>
          </w:tcPr>
          <w:p w14:paraId="2E528BAD"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6.53</w:t>
            </w:r>
          </w:p>
        </w:tc>
        <w:tc>
          <w:tcPr>
            <w:tcW w:w="850" w:type="dxa"/>
            <w:vMerge/>
            <w:vAlign w:val="center"/>
          </w:tcPr>
          <w:p w14:paraId="2FC5435E" w14:textId="77777777" w:rsidR="002133E3" w:rsidRDefault="002133E3">
            <w:pPr>
              <w:widowControl/>
              <w:snapToGrid w:val="0"/>
              <w:jc w:val="left"/>
              <w:rPr>
                <w:rFonts w:ascii="Times New Roman" w:eastAsia="等线" w:hAnsi="Times New Roman" w:cs="Times New Roman"/>
                <w:kern w:val="0"/>
                <w:szCs w:val="21"/>
              </w:rPr>
            </w:pPr>
          </w:p>
        </w:tc>
        <w:tc>
          <w:tcPr>
            <w:tcW w:w="567" w:type="dxa"/>
            <w:shd w:val="clear" w:color="auto" w:fill="auto"/>
            <w:vAlign w:val="center"/>
          </w:tcPr>
          <w:p w14:paraId="3DB63D9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0%</w:t>
            </w:r>
          </w:p>
        </w:tc>
        <w:tc>
          <w:tcPr>
            <w:tcW w:w="1134" w:type="dxa"/>
            <w:shd w:val="clear" w:color="auto" w:fill="auto"/>
            <w:noWrap/>
            <w:vAlign w:val="center"/>
          </w:tcPr>
          <w:p w14:paraId="1366D9C0"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18.23</w:t>
            </w:r>
          </w:p>
        </w:tc>
        <w:tc>
          <w:tcPr>
            <w:tcW w:w="993" w:type="dxa"/>
            <w:shd w:val="clear" w:color="auto" w:fill="auto"/>
            <w:vAlign w:val="center"/>
          </w:tcPr>
          <w:p w14:paraId="6BBC5E2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12.58</w:t>
            </w:r>
          </w:p>
        </w:tc>
        <w:tc>
          <w:tcPr>
            <w:tcW w:w="1134" w:type="dxa"/>
            <w:shd w:val="clear" w:color="auto" w:fill="auto"/>
            <w:vAlign w:val="center"/>
          </w:tcPr>
          <w:p w14:paraId="34761D32"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szCs w:val="21"/>
              </w:rPr>
              <w:t>25.16</w:t>
            </w:r>
          </w:p>
        </w:tc>
        <w:tc>
          <w:tcPr>
            <w:tcW w:w="567" w:type="dxa"/>
            <w:vMerge/>
            <w:vAlign w:val="center"/>
          </w:tcPr>
          <w:p w14:paraId="324AE533" w14:textId="77777777" w:rsidR="002133E3" w:rsidRDefault="002133E3">
            <w:pPr>
              <w:widowControl/>
              <w:snapToGrid w:val="0"/>
              <w:jc w:val="left"/>
              <w:rPr>
                <w:rFonts w:ascii="Times New Roman" w:eastAsia="等线" w:hAnsi="Times New Roman" w:cs="Times New Roman"/>
                <w:kern w:val="0"/>
                <w:szCs w:val="21"/>
              </w:rPr>
            </w:pPr>
          </w:p>
        </w:tc>
        <w:tc>
          <w:tcPr>
            <w:tcW w:w="1701" w:type="dxa"/>
            <w:vMerge/>
            <w:vAlign w:val="center"/>
          </w:tcPr>
          <w:p w14:paraId="7E47ADCA" w14:textId="77777777" w:rsidR="002133E3" w:rsidRDefault="002133E3">
            <w:pPr>
              <w:widowControl/>
              <w:snapToGrid w:val="0"/>
              <w:jc w:val="left"/>
              <w:rPr>
                <w:rFonts w:ascii="Times New Roman" w:eastAsia="等线" w:hAnsi="Times New Roman" w:cs="Times New Roman"/>
                <w:color w:val="000000"/>
                <w:kern w:val="0"/>
                <w:szCs w:val="21"/>
              </w:rPr>
            </w:pPr>
          </w:p>
        </w:tc>
        <w:tc>
          <w:tcPr>
            <w:tcW w:w="644" w:type="dxa"/>
            <w:vMerge/>
            <w:vAlign w:val="center"/>
          </w:tcPr>
          <w:p w14:paraId="1EE31D8A" w14:textId="77777777" w:rsidR="002133E3" w:rsidRDefault="002133E3">
            <w:pPr>
              <w:widowControl/>
              <w:snapToGrid w:val="0"/>
              <w:jc w:val="left"/>
              <w:rPr>
                <w:rFonts w:ascii="Times New Roman" w:eastAsia="等线" w:hAnsi="Times New Roman" w:cs="Times New Roman"/>
                <w:kern w:val="0"/>
                <w:szCs w:val="21"/>
              </w:rPr>
            </w:pPr>
          </w:p>
        </w:tc>
      </w:tr>
      <w:tr w:rsidR="002133E3" w14:paraId="05E6169F" w14:textId="77777777">
        <w:trPr>
          <w:trHeight w:val="567"/>
          <w:jc w:val="center"/>
        </w:trPr>
        <w:tc>
          <w:tcPr>
            <w:tcW w:w="1242" w:type="dxa"/>
            <w:vMerge w:val="restart"/>
            <w:shd w:val="clear" w:color="auto" w:fill="auto"/>
            <w:vAlign w:val="center"/>
          </w:tcPr>
          <w:p w14:paraId="7BCF640C" w14:textId="77777777" w:rsidR="002133E3" w:rsidRDefault="00C22CFA">
            <w:pPr>
              <w:widowControl/>
              <w:snapToGrid w:val="0"/>
              <w:jc w:val="left"/>
              <w:rPr>
                <w:rFonts w:ascii="Times New Roman" w:eastAsia="等线" w:hAnsi="Times New Roman" w:cs="Times New Roman"/>
                <w:kern w:val="0"/>
                <w:szCs w:val="21"/>
              </w:rPr>
            </w:pP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1-3</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1-4</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1-5</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1-6</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1-9</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1-10</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2-1</w:t>
            </w:r>
            <w:r>
              <w:rPr>
                <w:rFonts w:ascii="Times New Roman" w:eastAsia="宋体" w:hAnsi="Times New Roman" w:cs="Times New Roman"/>
                <w:kern w:val="0"/>
                <w:szCs w:val="21"/>
              </w:rPr>
              <w:t>、</w:t>
            </w:r>
            <w:r>
              <w:rPr>
                <w:rFonts w:ascii="Times New Roman" w:eastAsia="等线" w:hAnsi="Times New Roman" w:cs="Times New Roman"/>
                <w:kern w:val="0"/>
                <w:szCs w:val="21"/>
              </w:rPr>
              <w:t>G</w:t>
            </w:r>
            <w:r>
              <w:rPr>
                <w:rFonts w:ascii="Times New Roman" w:eastAsia="等线" w:hAnsi="Times New Roman" w:cs="Times New Roman"/>
                <w:kern w:val="0"/>
                <w:szCs w:val="21"/>
                <w:vertAlign w:val="subscript"/>
              </w:rPr>
              <w:t>2-2</w:t>
            </w:r>
          </w:p>
        </w:tc>
        <w:tc>
          <w:tcPr>
            <w:tcW w:w="851" w:type="dxa"/>
            <w:vMerge w:val="restart"/>
            <w:shd w:val="clear" w:color="auto" w:fill="auto"/>
            <w:vAlign w:val="center"/>
          </w:tcPr>
          <w:p w14:paraId="5E3E0B95"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7300</w:t>
            </w:r>
          </w:p>
        </w:tc>
        <w:tc>
          <w:tcPr>
            <w:tcW w:w="850" w:type="dxa"/>
            <w:vMerge/>
            <w:vAlign w:val="center"/>
          </w:tcPr>
          <w:p w14:paraId="0D4F2A46" w14:textId="77777777" w:rsidR="002133E3" w:rsidRDefault="002133E3">
            <w:pPr>
              <w:widowControl/>
              <w:snapToGrid w:val="0"/>
              <w:jc w:val="left"/>
              <w:rPr>
                <w:rFonts w:ascii="Times New Roman" w:eastAsia="等线" w:hAnsi="Times New Roman" w:cs="Times New Roman"/>
                <w:color w:val="000000"/>
                <w:kern w:val="0"/>
                <w:szCs w:val="21"/>
              </w:rPr>
            </w:pPr>
          </w:p>
        </w:tc>
        <w:tc>
          <w:tcPr>
            <w:tcW w:w="993" w:type="dxa"/>
            <w:shd w:val="clear" w:color="auto" w:fill="auto"/>
            <w:noWrap/>
            <w:vAlign w:val="center"/>
          </w:tcPr>
          <w:p w14:paraId="31157C6C"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乙醇</w:t>
            </w:r>
          </w:p>
        </w:tc>
        <w:tc>
          <w:tcPr>
            <w:tcW w:w="1134" w:type="dxa"/>
            <w:shd w:val="clear" w:color="auto" w:fill="auto"/>
            <w:noWrap/>
            <w:vAlign w:val="center"/>
          </w:tcPr>
          <w:p w14:paraId="20530F88"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1294.64</w:t>
            </w:r>
          </w:p>
        </w:tc>
        <w:tc>
          <w:tcPr>
            <w:tcW w:w="992" w:type="dxa"/>
            <w:shd w:val="clear" w:color="auto" w:fill="auto"/>
            <w:noWrap/>
            <w:vAlign w:val="center"/>
          </w:tcPr>
          <w:p w14:paraId="2D879525"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8.93</w:t>
            </w:r>
          </w:p>
        </w:tc>
        <w:tc>
          <w:tcPr>
            <w:tcW w:w="1134" w:type="dxa"/>
            <w:shd w:val="clear" w:color="auto" w:fill="auto"/>
            <w:noWrap/>
            <w:vAlign w:val="center"/>
          </w:tcPr>
          <w:p w14:paraId="457183E2"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17.87</w:t>
            </w:r>
          </w:p>
        </w:tc>
        <w:tc>
          <w:tcPr>
            <w:tcW w:w="850" w:type="dxa"/>
            <w:vMerge w:val="restart"/>
            <w:shd w:val="clear" w:color="auto" w:fill="auto"/>
            <w:vAlign w:val="center"/>
          </w:tcPr>
          <w:p w14:paraId="2EDD4DF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二级水吸收</w:t>
            </w:r>
          </w:p>
        </w:tc>
        <w:tc>
          <w:tcPr>
            <w:tcW w:w="567" w:type="dxa"/>
            <w:shd w:val="clear" w:color="auto" w:fill="auto"/>
            <w:noWrap/>
            <w:vAlign w:val="center"/>
          </w:tcPr>
          <w:p w14:paraId="7B04E6E7" w14:textId="77777777" w:rsidR="002133E3" w:rsidRDefault="002133E3">
            <w:pPr>
              <w:widowControl/>
              <w:snapToGrid w:val="0"/>
              <w:jc w:val="center"/>
              <w:rPr>
                <w:rFonts w:ascii="Times New Roman" w:eastAsia="等线" w:hAnsi="Times New Roman" w:cs="Times New Roman"/>
                <w:kern w:val="0"/>
                <w:szCs w:val="21"/>
              </w:rPr>
            </w:pPr>
          </w:p>
        </w:tc>
        <w:tc>
          <w:tcPr>
            <w:tcW w:w="1134" w:type="dxa"/>
            <w:shd w:val="clear" w:color="auto" w:fill="auto"/>
            <w:vAlign w:val="center"/>
          </w:tcPr>
          <w:p w14:paraId="061B1486"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993" w:type="dxa"/>
            <w:shd w:val="clear" w:color="auto" w:fill="auto"/>
            <w:vAlign w:val="center"/>
          </w:tcPr>
          <w:p w14:paraId="57EEFBAC"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1134" w:type="dxa"/>
            <w:shd w:val="clear" w:color="auto" w:fill="auto"/>
            <w:vAlign w:val="center"/>
          </w:tcPr>
          <w:p w14:paraId="0639C8A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567" w:type="dxa"/>
            <w:vMerge/>
            <w:vAlign w:val="center"/>
          </w:tcPr>
          <w:p w14:paraId="71D3A055" w14:textId="77777777" w:rsidR="002133E3" w:rsidRDefault="002133E3">
            <w:pPr>
              <w:widowControl/>
              <w:snapToGrid w:val="0"/>
              <w:jc w:val="left"/>
              <w:rPr>
                <w:rFonts w:ascii="Times New Roman" w:eastAsia="等线" w:hAnsi="Times New Roman" w:cs="Times New Roman"/>
                <w:kern w:val="0"/>
                <w:szCs w:val="21"/>
              </w:rPr>
            </w:pPr>
          </w:p>
        </w:tc>
        <w:tc>
          <w:tcPr>
            <w:tcW w:w="1701" w:type="dxa"/>
            <w:vMerge/>
            <w:vAlign w:val="center"/>
          </w:tcPr>
          <w:p w14:paraId="5EBACBC5" w14:textId="77777777" w:rsidR="002133E3" w:rsidRDefault="002133E3">
            <w:pPr>
              <w:widowControl/>
              <w:snapToGrid w:val="0"/>
              <w:jc w:val="left"/>
              <w:rPr>
                <w:rFonts w:ascii="Times New Roman" w:eastAsia="等线" w:hAnsi="Times New Roman" w:cs="Times New Roman"/>
                <w:color w:val="000000"/>
                <w:kern w:val="0"/>
                <w:szCs w:val="21"/>
              </w:rPr>
            </w:pPr>
          </w:p>
        </w:tc>
        <w:tc>
          <w:tcPr>
            <w:tcW w:w="644" w:type="dxa"/>
            <w:vMerge/>
            <w:vAlign w:val="center"/>
          </w:tcPr>
          <w:p w14:paraId="3F283E2D" w14:textId="77777777" w:rsidR="002133E3" w:rsidRDefault="002133E3">
            <w:pPr>
              <w:widowControl/>
              <w:snapToGrid w:val="0"/>
              <w:jc w:val="left"/>
              <w:rPr>
                <w:rFonts w:ascii="Times New Roman" w:eastAsia="等线" w:hAnsi="Times New Roman" w:cs="Times New Roman"/>
                <w:kern w:val="0"/>
                <w:szCs w:val="21"/>
              </w:rPr>
            </w:pPr>
          </w:p>
        </w:tc>
      </w:tr>
      <w:tr w:rsidR="002133E3" w14:paraId="276E04EC" w14:textId="77777777">
        <w:trPr>
          <w:trHeight w:val="567"/>
          <w:jc w:val="center"/>
        </w:trPr>
        <w:tc>
          <w:tcPr>
            <w:tcW w:w="1242" w:type="dxa"/>
            <w:vMerge/>
            <w:vAlign w:val="center"/>
          </w:tcPr>
          <w:p w14:paraId="66FE962B" w14:textId="77777777" w:rsidR="002133E3" w:rsidRDefault="002133E3">
            <w:pPr>
              <w:widowControl/>
              <w:snapToGrid w:val="0"/>
              <w:jc w:val="left"/>
              <w:rPr>
                <w:rFonts w:ascii="Times New Roman" w:eastAsia="等线" w:hAnsi="Times New Roman" w:cs="Times New Roman"/>
                <w:kern w:val="0"/>
                <w:szCs w:val="21"/>
              </w:rPr>
            </w:pPr>
          </w:p>
        </w:tc>
        <w:tc>
          <w:tcPr>
            <w:tcW w:w="851" w:type="dxa"/>
            <w:vMerge/>
            <w:vAlign w:val="center"/>
          </w:tcPr>
          <w:p w14:paraId="4FD3E99B" w14:textId="77777777" w:rsidR="002133E3" w:rsidRDefault="002133E3">
            <w:pPr>
              <w:widowControl/>
              <w:snapToGrid w:val="0"/>
              <w:jc w:val="left"/>
              <w:rPr>
                <w:rFonts w:ascii="Times New Roman" w:eastAsia="等线" w:hAnsi="Times New Roman" w:cs="Times New Roman"/>
                <w:kern w:val="0"/>
                <w:szCs w:val="21"/>
              </w:rPr>
            </w:pPr>
          </w:p>
        </w:tc>
        <w:tc>
          <w:tcPr>
            <w:tcW w:w="850" w:type="dxa"/>
            <w:vMerge/>
            <w:vAlign w:val="center"/>
          </w:tcPr>
          <w:p w14:paraId="0FB5AE10" w14:textId="77777777" w:rsidR="002133E3" w:rsidRDefault="002133E3">
            <w:pPr>
              <w:widowControl/>
              <w:snapToGrid w:val="0"/>
              <w:jc w:val="left"/>
              <w:rPr>
                <w:rFonts w:ascii="Times New Roman" w:eastAsia="等线" w:hAnsi="Times New Roman" w:cs="Times New Roman"/>
                <w:color w:val="000000"/>
                <w:kern w:val="0"/>
                <w:szCs w:val="21"/>
              </w:rPr>
            </w:pPr>
          </w:p>
        </w:tc>
        <w:tc>
          <w:tcPr>
            <w:tcW w:w="993" w:type="dxa"/>
            <w:shd w:val="clear" w:color="auto" w:fill="auto"/>
            <w:noWrap/>
            <w:vAlign w:val="center"/>
          </w:tcPr>
          <w:p w14:paraId="47E34B9E"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1134" w:type="dxa"/>
            <w:shd w:val="clear" w:color="auto" w:fill="auto"/>
            <w:noWrap/>
            <w:vAlign w:val="center"/>
          </w:tcPr>
          <w:p w14:paraId="75D8C1E3"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55.61</w:t>
            </w:r>
          </w:p>
        </w:tc>
        <w:tc>
          <w:tcPr>
            <w:tcW w:w="992" w:type="dxa"/>
            <w:shd w:val="clear" w:color="auto" w:fill="auto"/>
            <w:noWrap/>
            <w:vAlign w:val="center"/>
          </w:tcPr>
          <w:p w14:paraId="17932B56"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0.38</w:t>
            </w:r>
          </w:p>
        </w:tc>
        <w:tc>
          <w:tcPr>
            <w:tcW w:w="1134" w:type="dxa"/>
            <w:shd w:val="clear" w:color="auto" w:fill="auto"/>
            <w:noWrap/>
            <w:vAlign w:val="center"/>
          </w:tcPr>
          <w:p w14:paraId="03F23E1D"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0.77</w:t>
            </w:r>
          </w:p>
        </w:tc>
        <w:tc>
          <w:tcPr>
            <w:tcW w:w="850" w:type="dxa"/>
            <w:vMerge/>
            <w:vAlign w:val="center"/>
          </w:tcPr>
          <w:p w14:paraId="7F459707" w14:textId="77777777" w:rsidR="002133E3" w:rsidRDefault="002133E3">
            <w:pPr>
              <w:widowControl/>
              <w:snapToGrid w:val="0"/>
              <w:jc w:val="left"/>
              <w:rPr>
                <w:rFonts w:ascii="Times New Roman" w:eastAsia="等线" w:hAnsi="Times New Roman" w:cs="Times New Roman"/>
                <w:kern w:val="0"/>
                <w:szCs w:val="21"/>
              </w:rPr>
            </w:pPr>
          </w:p>
        </w:tc>
        <w:tc>
          <w:tcPr>
            <w:tcW w:w="567" w:type="dxa"/>
            <w:shd w:val="clear" w:color="auto" w:fill="auto"/>
            <w:vAlign w:val="center"/>
          </w:tcPr>
          <w:p w14:paraId="2BBFE619"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1134" w:type="dxa"/>
            <w:shd w:val="clear" w:color="auto" w:fill="auto"/>
            <w:vAlign w:val="center"/>
          </w:tcPr>
          <w:p w14:paraId="7BEB1EFA"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993" w:type="dxa"/>
            <w:shd w:val="clear" w:color="auto" w:fill="auto"/>
            <w:vAlign w:val="center"/>
          </w:tcPr>
          <w:p w14:paraId="06104B1E"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1134" w:type="dxa"/>
            <w:shd w:val="clear" w:color="auto" w:fill="auto"/>
            <w:vAlign w:val="center"/>
          </w:tcPr>
          <w:p w14:paraId="3A1E7FC3"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567" w:type="dxa"/>
            <w:vMerge/>
            <w:vAlign w:val="center"/>
          </w:tcPr>
          <w:p w14:paraId="3F1828B7" w14:textId="77777777" w:rsidR="002133E3" w:rsidRDefault="002133E3">
            <w:pPr>
              <w:widowControl/>
              <w:snapToGrid w:val="0"/>
              <w:jc w:val="left"/>
              <w:rPr>
                <w:rFonts w:ascii="Times New Roman" w:eastAsia="等线" w:hAnsi="Times New Roman" w:cs="Times New Roman"/>
                <w:kern w:val="0"/>
                <w:szCs w:val="21"/>
              </w:rPr>
            </w:pPr>
          </w:p>
        </w:tc>
        <w:tc>
          <w:tcPr>
            <w:tcW w:w="1701" w:type="dxa"/>
            <w:vMerge/>
            <w:vAlign w:val="center"/>
          </w:tcPr>
          <w:p w14:paraId="1CDEDC42" w14:textId="77777777" w:rsidR="002133E3" w:rsidRDefault="002133E3">
            <w:pPr>
              <w:widowControl/>
              <w:snapToGrid w:val="0"/>
              <w:jc w:val="left"/>
              <w:rPr>
                <w:rFonts w:ascii="Times New Roman" w:eastAsia="等线" w:hAnsi="Times New Roman" w:cs="Times New Roman"/>
                <w:color w:val="000000"/>
                <w:kern w:val="0"/>
                <w:szCs w:val="21"/>
              </w:rPr>
            </w:pPr>
          </w:p>
        </w:tc>
        <w:tc>
          <w:tcPr>
            <w:tcW w:w="644" w:type="dxa"/>
            <w:vMerge/>
            <w:vAlign w:val="center"/>
          </w:tcPr>
          <w:p w14:paraId="2CB49968" w14:textId="77777777" w:rsidR="002133E3" w:rsidRDefault="002133E3">
            <w:pPr>
              <w:widowControl/>
              <w:snapToGrid w:val="0"/>
              <w:jc w:val="left"/>
              <w:rPr>
                <w:rFonts w:ascii="Times New Roman" w:eastAsia="等线" w:hAnsi="Times New Roman" w:cs="Times New Roman"/>
                <w:kern w:val="0"/>
                <w:szCs w:val="21"/>
              </w:rPr>
            </w:pPr>
          </w:p>
        </w:tc>
      </w:tr>
      <w:tr w:rsidR="002133E3" w14:paraId="7162F245" w14:textId="77777777">
        <w:trPr>
          <w:trHeight w:val="567"/>
          <w:jc w:val="center"/>
        </w:trPr>
        <w:tc>
          <w:tcPr>
            <w:tcW w:w="1242" w:type="dxa"/>
            <w:vMerge/>
            <w:vAlign w:val="center"/>
          </w:tcPr>
          <w:p w14:paraId="42BF98EB" w14:textId="77777777" w:rsidR="002133E3" w:rsidRDefault="002133E3">
            <w:pPr>
              <w:widowControl/>
              <w:snapToGrid w:val="0"/>
              <w:jc w:val="left"/>
              <w:rPr>
                <w:rFonts w:ascii="Times New Roman" w:eastAsia="等线" w:hAnsi="Times New Roman" w:cs="Times New Roman"/>
                <w:kern w:val="0"/>
                <w:szCs w:val="21"/>
              </w:rPr>
            </w:pPr>
          </w:p>
        </w:tc>
        <w:tc>
          <w:tcPr>
            <w:tcW w:w="851" w:type="dxa"/>
            <w:vMerge/>
            <w:vAlign w:val="center"/>
          </w:tcPr>
          <w:p w14:paraId="4B5A3847" w14:textId="77777777" w:rsidR="002133E3" w:rsidRDefault="002133E3">
            <w:pPr>
              <w:widowControl/>
              <w:snapToGrid w:val="0"/>
              <w:jc w:val="left"/>
              <w:rPr>
                <w:rFonts w:ascii="Times New Roman" w:eastAsia="等线" w:hAnsi="Times New Roman" w:cs="Times New Roman"/>
                <w:kern w:val="0"/>
                <w:szCs w:val="21"/>
              </w:rPr>
            </w:pPr>
          </w:p>
        </w:tc>
        <w:tc>
          <w:tcPr>
            <w:tcW w:w="850" w:type="dxa"/>
            <w:vMerge/>
            <w:vAlign w:val="center"/>
          </w:tcPr>
          <w:p w14:paraId="5F2DCB84" w14:textId="77777777" w:rsidR="002133E3" w:rsidRDefault="002133E3">
            <w:pPr>
              <w:widowControl/>
              <w:snapToGrid w:val="0"/>
              <w:jc w:val="left"/>
              <w:rPr>
                <w:rFonts w:ascii="Times New Roman" w:eastAsia="等线" w:hAnsi="Times New Roman" w:cs="Times New Roman"/>
                <w:color w:val="000000"/>
                <w:kern w:val="0"/>
                <w:szCs w:val="21"/>
              </w:rPr>
            </w:pPr>
          </w:p>
        </w:tc>
        <w:tc>
          <w:tcPr>
            <w:tcW w:w="993" w:type="dxa"/>
            <w:shd w:val="clear" w:color="auto" w:fill="auto"/>
            <w:noWrap/>
            <w:vAlign w:val="center"/>
          </w:tcPr>
          <w:p w14:paraId="7AE56AFB"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宋体" w:hAnsi="Times New Roman" w:cs="Times New Roman"/>
                <w:kern w:val="0"/>
                <w:szCs w:val="21"/>
              </w:rPr>
              <w:t>挥发性有机物</w:t>
            </w:r>
          </w:p>
        </w:tc>
        <w:tc>
          <w:tcPr>
            <w:tcW w:w="1134" w:type="dxa"/>
            <w:shd w:val="clear" w:color="auto" w:fill="auto"/>
            <w:noWrap/>
            <w:vAlign w:val="center"/>
          </w:tcPr>
          <w:p w14:paraId="4E460BD4"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1350.25</w:t>
            </w:r>
          </w:p>
        </w:tc>
        <w:tc>
          <w:tcPr>
            <w:tcW w:w="992" w:type="dxa"/>
            <w:shd w:val="clear" w:color="auto" w:fill="auto"/>
            <w:noWrap/>
            <w:vAlign w:val="center"/>
          </w:tcPr>
          <w:p w14:paraId="7040AC8A"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9.32</w:t>
            </w:r>
          </w:p>
        </w:tc>
        <w:tc>
          <w:tcPr>
            <w:tcW w:w="1134" w:type="dxa"/>
            <w:shd w:val="clear" w:color="auto" w:fill="auto"/>
            <w:noWrap/>
            <w:vAlign w:val="center"/>
          </w:tcPr>
          <w:p w14:paraId="7C2812E1" w14:textId="77777777" w:rsidR="002133E3" w:rsidRDefault="00C22CFA">
            <w:pPr>
              <w:widowControl/>
              <w:snapToGrid w:val="0"/>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18.64</w:t>
            </w:r>
          </w:p>
        </w:tc>
        <w:tc>
          <w:tcPr>
            <w:tcW w:w="850" w:type="dxa"/>
            <w:vMerge/>
            <w:vAlign w:val="center"/>
          </w:tcPr>
          <w:p w14:paraId="28693F8B" w14:textId="77777777" w:rsidR="002133E3" w:rsidRDefault="002133E3">
            <w:pPr>
              <w:widowControl/>
              <w:snapToGrid w:val="0"/>
              <w:jc w:val="left"/>
              <w:rPr>
                <w:rFonts w:ascii="Times New Roman" w:eastAsia="等线" w:hAnsi="Times New Roman" w:cs="Times New Roman"/>
                <w:kern w:val="0"/>
                <w:szCs w:val="21"/>
              </w:rPr>
            </w:pPr>
          </w:p>
        </w:tc>
        <w:tc>
          <w:tcPr>
            <w:tcW w:w="567" w:type="dxa"/>
            <w:shd w:val="clear" w:color="auto" w:fill="auto"/>
            <w:vAlign w:val="center"/>
          </w:tcPr>
          <w:p w14:paraId="68B7906F"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1134" w:type="dxa"/>
            <w:shd w:val="clear" w:color="auto" w:fill="auto"/>
            <w:vAlign w:val="center"/>
          </w:tcPr>
          <w:p w14:paraId="652CE377"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993" w:type="dxa"/>
            <w:shd w:val="clear" w:color="auto" w:fill="auto"/>
            <w:vAlign w:val="center"/>
          </w:tcPr>
          <w:p w14:paraId="061F30B7"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1134" w:type="dxa"/>
            <w:shd w:val="clear" w:color="auto" w:fill="auto"/>
            <w:vAlign w:val="center"/>
          </w:tcPr>
          <w:p w14:paraId="759C7FD8" w14:textId="77777777" w:rsidR="002133E3" w:rsidRDefault="00C22CFA">
            <w:pPr>
              <w:widowControl/>
              <w:snapToGrid w:val="0"/>
              <w:jc w:val="center"/>
              <w:rPr>
                <w:rFonts w:ascii="Times New Roman" w:eastAsia="等线" w:hAnsi="Times New Roman" w:cs="Times New Roman"/>
                <w:kern w:val="0"/>
                <w:szCs w:val="21"/>
              </w:rPr>
            </w:pPr>
            <w:r>
              <w:rPr>
                <w:rFonts w:ascii="Times New Roman" w:eastAsia="等线" w:hAnsi="Times New Roman" w:cs="Times New Roman"/>
                <w:kern w:val="0"/>
                <w:szCs w:val="21"/>
              </w:rPr>
              <w:t xml:space="preserve">　</w:t>
            </w:r>
          </w:p>
        </w:tc>
        <w:tc>
          <w:tcPr>
            <w:tcW w:w="567" w:type="dxa"/>
            <w:vMerge/>
            <w:vAlign w:val="center"/>
          </w:tcPr>
          <w:p w14:paraId="0FE1777C" w14:textId="77777777" w:rsidR="002133E3" w:rsidRDefault="002133E3">
            <w:pPr>
              <w:widowControl/>
              <w:snapToGrid w:val="0"/>
              <w:jc w:val="left"/>
              <w:rPr>
                <w:rFonts w:ascii="Times New Roman" w:eastAsia="等线" w:hAnsi="Times New Roman" w:cs="Times New Roman"/>
                <w:kern w:val="0"/>
                <w:szCs w:val="21"/>
              </w:rPr>
            </w:pPr>
          </w:p>
        </w:tc>
        <w:tc>
          <w:tcPr>
            <w:tcW w:w="1701" w:type="dxa"/>
            <w:vMerge/>
            <w:vAlign w:val="center"/>
          </w:tcPr>
          <w:p w14:paraId="57B186D1" w14:textId="77777777" w:rsidR="002133E3" w:rsidRDefault="002133E3">
            <w:pPr>
              <w:widowControl/>
              <w:snapToGrid w:val="0"/>
              <w:jc w:val="left"/>
              <w:rPr>
                <w:rFonts w:ascii="Times New Roman" w:eastAsia="等线" w:hAnsi="Times New Roman" w:cs="Times New Roman"/>
                <w:color w:val="000000"/>
                <w:kern w:val="0"/>
                <w:szCs w:val="21"/>
              </w:rPr>
            </w:pPr>
          </w:p>
        </w:tc>
        <w:tc>
          <w:tcPr>
            <w:tcW w:w="644" w:type="dxa"/>
            <w:vMerge/>
            <w:vAlign w:val="center"/>
          </w:tcPr>
          <w:p w14:paraId="508DF7A9" w14:textId="77777777" w:rsidR="002133E3" w:rsidRDefault="002133E3">
            <w:pPr>
              <w:widowControl/>
              <w:snapToGrid w:val="0"/>
              <w:jc w:val="left"/>
              <w:rPr>
                <w:rFonts w:ascii="Times New Roman" w:eastAsia="等线" w:hAnsi="Times New Roman" w:cs="Times New Roman"/>
                <w:kern w:val="0"/>
                <w:szCs w:val="21"/>
              </w:rPr>
            </w:pPr>
          </w:p>
        </w:tc>
      </w:tr>
    </w:tbl>
    <w:p w14:paraId="7BF54623" w14:textId="77777777" w:rsidR="002133E3" w:rsidRDefault="002133E3">
      <w:pPr>
        <w:widowControl/>
        <w:jc w:val="left"/>
        <w:rPr>
          <w:rFonts w:ascii="Times New Roman" w:eastAsia="宋体" w:hAnsi="Times New Roman" w:cs="Times New Roman"/>
          <w:kern w:val="0"/>
          <w:sz w:val="18"/>
          <w:szCs w:val="18"/>
        </w:rPr>
        <w:sectPr w:rsidR="002133E3">
          <w:pgSz w:w="16838" w:h="11906" w:orient="landscape"/>
          <w:pgMar w:top="1134" w:right="1134" w:bottom="1134" w:left="1134" w:header="851" w:footer="992" w:gutter="0"/>
          <w:cols w:space="720"/>
          <w:docGrid w:linePitch="312"/>
        </w:sectPr>
      </w:pPr>
    </w:p>
    <w:p w14:paraId="0B909D56"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项目污染物排放量汇总</w:t>
      </w:r>
    </w:p>
    <w:p w14:paraId="45F0A005"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本项目各种污染物产生、排放统计汇总见表</w:t>
      </w:r>
      <w:r>
        <w:rPr>
          <w:rFonts w:ascii="Times New Roman" w:eastAsia="宋体" w:hAnsi="Times New Roman" w:cs="Times New Roman"/>
          <w:kern w:val="0"/>
          <w:sz w:val="28"/>
          <w:szCs w:val="28"/>
        </w:rPr>
        <w:t>4.5-11</w:t>
      </w:r>
      <w:r>
        <w:rPr>
          <w:rFonts w:ascii="Times New Roman" w:eastAsia="宋体" w:hAnsi="Times New Roman" w:cs="Times New Roman"/>
          <w:kern w:val="0"/>
          <w:sz w:val="28"/>
          <w:szCs w:val="28"/>
        </w:rPr>
        <w:t>。</w:t>
      </w:r>
    </w:p>
    <w:p w14:paraId="3B37A700" w14:textId="77777777" w:rsidR="002133E3" w:rsidRDefault="00C22CFA">
      <w:pPr>
        <w:spacing w:line="480" w:lineRule="exac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4.5-11  </w:t>
      </w:r>
      <w:r>
        <w:rPr>
          <w:rFonts w:ascii="Times New Roman" w:eastAsia="宋体" w:hAnsi="Times New Roman" w:cs="Times New Roman"/>
          <w:b/>
          <w:kern w:val="0"/>
          <w:sz w:val="24"/>
          <w:szCs w:val="24"/>
        </w:rPr>
        <w:t>项目污染物产生排放情况汇总表</w:t>
      </w:r>
    </w:p>
    <w:tbl>
      <w:tblPr>
        <w:tblW w:w="5000" w:type="pct"/>
        <w:jc w:val="center"/>
        <w:tblLook w:val="04A0" w:firstRow="1" w:lastRow="0" w:firstColumn="1" w:lastColumn="0" w:noHBand="0" w:noVBand="1"/>
      </w:tblPr>
      <w:tblGrid>
        <w:gridCol w:w="1747"/>
        <w:gridCol w:w="1661"/>
        <w:gridCol w:w="1456"/>
        <w:gridCol w:w="1858"/>
        <w:gridCol w:w="1478"/>
        <w:gridCol w:w="1654"/>
      </w:tblGrid>
      <w:tr w:rsidR="002133E3" w14:paraId="5BA83B7D" w14:textId="77777777">
        <w:trPr>
          <w:trHeight w:val="285"/>
          <w:jc w:val="center"/>
        </w:trPr>
        <w:tc>
          <w:tcPr>
            <w:tcW w:w="88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0E73E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种类</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2815B0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污染物名称</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8D196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产生量</w:t>
            </w:r>
          </w:p>
        </w:tc>
        <w:tc>
          <w:tcPr>
            <w:tcW w:w="94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B13FDF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自身削减量</w:t>
            </w:r>
          </w:p>
        </w:tc>
        <w:tc>
          <w:tcPr>
            <w:tcW w:w="1589" w:type="pct"/>
            <w:gridSpan w:val="2"/>
            <w:tcBorders>
              <w:top w:val="single" w:sz="4" w:space="0" w:color="auto"/>
              <w:left w:val="nil"/>
              <w:bottom w:val="single" w:sz="4" w:space="0" w:color="auto"/>
              <w:right w:val="single" w:sz="4" w:space="0" w:color="auto"/>
            </w:tcBorders>
            <w:shd w:val="clear" w:color="auto" w:fill="auto"/>
            <w:vAlign w:val="center"/>
          </w:tcPr>
          <w:p w14:paraId="090338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排放量</w:t>
            </w:r>
          </w:p>
        </w:tc>
      </w:tr>
      <w:tr w:rsidR="002133E3" w14:paraId="487BBFEF" w14:textId="77777777">
        <w:trPr>
          <w:trHeight w:val="285"/>
          <w:jc w:val="center"/>
        </w:trPr>
        <w:tc>
          <w:tcPr>
            <w:tcW w:w="886" w:type="pct"/>
            <w:vMerge/>
            <w:tcBorders>
              <w:top w:val="single" w:sz="4" w:space="0" w:color="auto"/>
              <w:left w:val="single" w:sz="4" w:space="0" w:color="auto"/>
              <w:bottom w:val="single" w:sz="4" w:space="0" w:color="auto"/>
              <w:right w:val="single" w:sz="4" w:space="0" w:color="auto"/>
            </w:tcBorders>
            <w:vAlign w:val="center"/>
          </w:tcPr>
          <w:p w14:paraId="5FFF0AC4" w14:textId="77777777" w:rsidR="002133E3" w:rsidRDefault="002133E3">
            <w:pPr>
              <w:widowControl/>
              <w:jc w:val="left"/>
              <w:rPr>
                <w:rFonts w:ascii="Times New Roman" w:eastAsia="宋体" w:hAnsi="Times New Roman" w:cs="Times New Roman"/>
                <w:color w:val="000000"/>
                <w:kern w:val="0"/>
                <w:szCs w:val="21"/>
              </w:rPr>
            </w:pPr>
          </w:p>
        </w:tc>
        <w:tc>
          <w:tcPr>
            <w:tcW w:w="843" w:type="pct"/>
            <w:vMerge/>
            <w:tcBorders>
              <w:top w:val="single" w:sz="4" w:space="0" w:color="auto"/>
              <w:left w:val="single" w:sz="4" w:space="0" w:color="auto"/>
              <w:bottom w:val="single" w:sz="4" w:space="0" w:color="auto"/>
              <w:right w:val="single" w:sz="4" w:space="0" w:color="auto"/>
            </w:tcBorders>
            <w:vAlign w:val="center"/>
          </w:tcPr>
          <w:p w14:paraId="564CF1AB" w14:textId="77777777" w:rsidR="002133E3" w:rsidRDefault="002133E3">
            <w:pPr>
              <w:widowControl/>
              <w:jc w:val="left"/>
              <w:rPr>
                <w:rFonts w:ascii="Times New Roman" w:eastAsia="宋体" w:hAnsi="Times New Roman" w:cs="Times New Roman"/>
                <w:color w:val="000000"/>
                <w:kern w:val="0"/>
                <w:szCs w:val="21"/>
              </w:rPr>
            </w:pPr>
          </w:p>
        </w:tc>
        <w:tc>
          <w:tcPr>
            <w:tcW w:w="739" w:type="pct"/>
            <w:vMerge/>
            <w:tcBorders>
              <w:top w:val="single" w:sz="4" w:space="0" w:color="auto"/>
              <w:left w:val="single" w:sz="4" w:space="0" w:color="auto"/>
              <w:bottom w:val="single" w:sz="4" w:space="0" w:color="auto"/>
              <w:right w:val="single" w:sz="4" w:space="0" w:color="auto"/>
            </w:tcBorders>
            <w:vAlign w:val="center"/>
          </w:tcPr>
          <w:p w14:paraId="60E01F9C" w14:textId="77777777" w:rsidR="002133E3" w:rsidRDefault="002133E3">
            <w:pPr>
              <w:widowControl/>
              <w:jc w:val="left"/>
              <w:rPr>
                <w:rFonts w:ascii="Times New Roman" w:eastAsia="宋体" w:hAnsi="Times New Roman" w:cs="Times New Roman"/>
                <w:color w:val="000000"/>
                <w:kern w:val="0"/>
                <w:szCs w:val="21"/>
              </w:rPr>
            </w:pPr>
          </w:p>
        </w:tc>
        <w:tc>
          <w:tcPr>
            <w:tcW w:w="943" w:type="pct"/>
            <w:vMerge/>
            <w:tcBorders>
              <w:top w:val="single" w:sz="4" w:space="0" w:color="auto"/>
              <w:left w:val="single" w:sz="4" w:space="0" w:color="auto"/>
              <w:bottom w:val="single" w:sz="4" w:space="0" w:color="auto"/>
              <w:right w:val="single" w:sz="4" w:space="0" w:color="auto"/>
            </w:tcBorders>
            <w:vAlign w:val="center"/>
          </w:tcPr>
          <w:p w14:paraId="1129927E" w14:textId="77777777" w:rsidR="002133E3" w:rsidRDefault="002133E3">
            <w:pPr>
              <w:widowControl/>
              <w:jc w:val="left"/>
              <w:rPr>
                <w:rFonts w:ascii="Times New Roman" w:eastAsia="宋体" w:hAnsi="Times New Roman" w:cs="Times New Roman"/>
                <w:color w:val="000000"/>
                <w:kern w:val="0"/>
                <w:szCs w:val="21"/>
              </w:rPr>
            </w:pPr>
          </w:p>
        </w:tc>
        <w:tc>
          <w:tcPr>
            <w:tcW w:w="750" w:type="pct"/>
            <w:tcBorders>
              <w:top w:val="nil"/>
              <w:left w:val="nil"/>
              <w:bottom w:val="single" w:sz="4" w:space="0" w:color="auto"/>
              <w:right w:val="single" w:sz="4" w:space="0" w:color="auto"/>
            </w:tcBorders>
            <w:shd w:val="clear" w:color="auto" w:fill="auto"/>
            <w:vAlign w:val="center"/>
          </w:tcPr>
          <w:p w14:paraId="02E5B80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接管量</w:t>
            </w:r>
          </w:p>
        </w:tc>
        <w:tc>
          <w:tcPr>
            <w:tcW w:w="839" w:type="pct"/>
            <w:tcBorders>
              <w:top w:val="nil"/>
              <w:left w:val="nil"/>
              <w:bottom w:val="single" w:sz="4" w:space="0" w:color="auto"/>
              <w:right w:val="single" w:sz="4" w:space="0" w:color="auto"/>
            </w:tcBorders>
            <w:shd w:val="clear" w:color="auto" w:fill="auto"/>
            <w:vAlign w:val="center"/>
          </w:tcPr>
          <w:p w14:paraId="41D2A11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最终外排放量</w:t>
            </w:r>
          </w:p>
        </w:tc>
      </w:tr>
      <w:tr w:rsidR="002133E3" w14:paraId="6D9EE7B4" w14:textId="77777777">
        <w:trPr>
          <w:trHeight w:val="300"/>
          <w:jc w:val="center"/>
        </w:trPr>
        <w:tc>
          <w:tcPr>
            <w:tcW w:w="886" w:type="pct"/>
            <w:vMerge w:val="restart"/>
            <w:tcBorders>
              <w:top w:val="nil"/>
              <w:left w:val="single" w:sz="4" w:space="0" w:color="auto"/>
              <w:bottom w:val="single" w:sz="4" w:space="0" w:color="auto"/>
              <w:right w:val="single" w:sz="4" w:space="0" w:color="auto"/>
            </w:tcBorders>
            <w:shd w:val="clear" w:color="auto" w:fill="auto"/>
            <w:vAlign w:val="center"/>
          </w:tcPr>
          <w:p w14:paraId="4E7F21F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废水</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水量单位为</w:t>
            </w:r>
            <w:r>
              <w:rPr>
                <w:rFonts w:ascii="Times New Roman" w:eastAsia="宋体" w:hAnsi="Times New Roman" w:cs="Times New Roman"/>
                <w:color w:val="000000"/>
                <w:kern w:val="0"/>
                <w:szCs w:val="21"/>
              </w:rPr>
              <w:t>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/a</w:t>
            </w:r>
            <w:r>
              <w:rPr>
                <w:rFonts w:ascii="Times New Roman" w:eastAsia="宋体" w:hAnsi="Times New Roman" w:cs="Times New Roman"/>
                <w:color w:val="000000"/>
                <w:kern w:val="0"/>
                <w:szCs w:val="21"/>
              </w:rPr>
              <w:t>、其它均为</w:t>
            </w:r>
            <w:r>
              <w:rPr>
                <w:rFonts w:ascii="Times New Roman" w:eastAsia="宋体" w:hAnsi="Times New Roman" w:cs="Times New Roman"/>
                <w:color w:val="000000"/>
                <w:kern w:val="0"/>
                <w:szCs w:val="21"/>
              </w:rPr>
              <w:t>t/a)</w:t>
            </w:r>
          </w:p>
        </w:tc>
        <w:tc>
          <w:tcPr>
            <w:tcW w:w="843" w:type="pct"/>
            <w:tcBorders>
              <w:top w:val="nil"/>
              <w:left w:val="nil"/>
              <w:bottom w:val="single" w:sz="4" w:space="0" w:color="auto"/>
              <w:right w:val="single" w:sz="4" w:space="0" w:color="auto"/>
            </w:tcBorders>
            <w:shd w:val="clear" w:color="auto" w:fill="auto"/>
            <w:vAlign w:val="center"/>
          </w:tcPr>
          <w:p w14:paraId="7E4701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废水量</w:t>
            </w:r>
          </w:p>
        </w:tc>
        <w:tc>
          <w:tcPr>
            <w:tcW w:w="739" w:type="pct"/>
            <w:tcBorders>
              <w:top w:val="nil"/>
              <w:left w:val="nil"/>
              <w:bottom w:val="single" w:sz="4" w:space="0" w:color="auto"/>
              <w:right w:val="single" w:sz="4" w:space="0" w:color="auto"/>
            </w:tcBorders>
            <w:shd w:val="clear" w:color="auto" w:fill="auto"/>
            <w:vAlign w:val="center"/>
          </w:tcPr>
          <w:p w14:paraId="050CE1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1175440.28</w:t>
            </w:r>
          </w:p>
        </w:tc>
        <w:tc>
          <w:tcPr>
            <w:tcW w:w="943" w:type="pct"/>
            <w:tcBorders>
              <w:top w:val="nil"/>
              <w:left w:val="nil"/>
              <w:bottom w:val="single" w:sz="4" w:space="0" w:color="auto"/>
              <w:right w:val="single" w:sz="4" w:space="0" w:color="auto"/>
            </w:tcBorders>
            <w:shd w:val="clear" w:color="auto" w:fill="auto"/>
            <w:vAlign w:val="center"/>
          </w:tcPr>
          <w:p w14:paraId="5A3C36D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50" w:type="pct"/>
            <w:tcBorders>
              <w:top w:val="nil"/>
              <w:left w:val="nil"/>
              <w:bottom w:val="nil"/>
              <w:right w:val="nil"/>
            </w:tcBorders>
            <w:shd w:val="clear" w:color="auto" w:fill="auto"/>
            <w:noWrap/>
            <w:vAlign w:val="center"/>
          </w:tcPr>
          <w:p w14:paraId="5311D97C" w14:textId="77777777" w:rsidR="002133E3" w:rsidRDefault="00C22CFA">
            <w:pPr>
              <w:widowControl/>
              <w:ind w:right="105"/>
              <w:jc w:val="right"/>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1175440.28</w:t>
            </w:r>
          </w:p>
        </w:tc>
        <w:tc>
          <w:tcPr>
            <w:tcW w:w="839" w:type="pct"/>
            <w:tcBorders>
              <w:top w:val="nil"/>
              <w:left w:val="single" w:sz="4" w:space="0" w:color="auto"/>
              <w:bottom w:val="single" w:sz="4" w:space="0" w:color="auto"/>
              <w:right w:val="single" w:sz="4" w:space="0" w:color="auto"/>
            </w:tcBorders>
            <w:shd w:val="clear" w:color="auto" w:fill="auto"/>
            <w:vAlign w:val="center"/>
          </w:tcPr>
          <w:p w14:paraId="6ED1470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1175440.28</w:t>
            </w:r>
          </w:p>
        </w:tc>
      </w:tr>
      <w:tr w:rsidR="002133E3" w14:paraId="0F7CF49B" w14:textId="77777777">
        <w:trPr>
          <w:trHeight w:val="300"/>
          <w:jc w:val="center"/>
        </w:trPr>
        <w:tc>
          <w:tcPr>
            <w:tcW w:w="886" w:type="pct"/>
            <w:vMerge/>
            <w:tcBorders>
              <w:top w:val="nil"/>
              <w:left w:val="single" w:sz="4" w:space="0" w:color="auto"/>
              <w:bottom w:val="single" w:sz="4" w:space="0" w:color="auto"/>
              <w:right w:val="single" w:sz="4" w:space="0" w:color="auto"/>
            </w:tcBorders>
            <w:vAlign w:val="center"/>
          </w:tcPr>
          <w:p w14:paraId="042BD084"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1FEB0FA1" w14:textId="77777777" w:rsidR="002133E3" w:rsidRDefault="00C22CFA">
            <w:pPr>
              <w:widowControl/>
              <w:jc w:val="center"/>
              <w:rPr>
                <w:rFonts w:ascii="Times New Roman" w:eastAsia="宋体" w:hAnsi="Times New Roman" w:cs="Times New Roman"/>
                <w:color w:val="000000"/>
                <w:kern w:val="0"/>
                <w:szCs w:val="21"/>
              </w:rPr>
            </w:pPr>
            <w:bookmarkStart w:id="36" w:name="RANGE!B4"/>
            <w:r>
              <w:rPr>
                <w:rFonts w:ascii="Times New Roman" w:eastAsia="宋体" w:hAnsi="Times New Roman" w:cs="Times New Roman"/>
                <w:color w:val="000000"/>
                <w:kern w:val="0"/>
                <w:szCs w:val="21"/>
              </w:rPr>
              <w:t>COD</w:t>
            </w:r>
            <w:bookmarkEnd w:id="36"/>
          </w:p>
        </w:tc>
        <w:tc>
          <w:tcPr>
            <w:tcW w:w="739" w:type="pct"/>
            <w:tcBorders>
              <w:top w:val="nil"/>
              <w:left w:val="nil"/>
              <w:bottom w:val="single" w:sz="4" w:space="0" w:color="auto"/>
              <w:right w:val="single" w:sz="4" w:space="0" w:color="auto"/>
            </w:tcBorders>
            <w:shd w:val="clear" w:color="auto" w:fill="auto"/>
            <w:vAlign w:val="center"/>
          </w:tcPr>
          <w:p w14:paraId="17C3456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66547.14 </w:t>
            </w:r>
          </w:p>
        </w:tc>
        <w:tc>
          <w:tcPr>
            <w:tcW w:w="943" w:type="pct"/>
            <w:tcBorders>
              <w:top w:val="nil"/>
              <w:left w:val="nil"/>
              <w:bottom w:val="single" w:sz="4" w:space="0" w:color="auto"/>
              <w:right w:val="single" w:sz="4" w:space="0" w:color="auto"/>
            </w:tcBorders>
            <w:shd w:val="clear" w:color="auto" w:fill="auto"/>
            <w:vAlign w:val="center"/>
          </w:tcPr>
          <w:p w14:paraId="3949E61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66076.96</w:t>
            </w:r>
          </w:p>
        </w:tc>
        <w:tc>
          <w:tcPr>
            <w:tcW w:w="750" w:type="pct"/>
            <w:tcBorders>
              <w:top w:val="single" w:sz="4" w:space="0" w:color="auto"/>
              <w:left w:val="nil"/>
              <w:bottom w:val="single" w:sz="4" w:space="0" w:color="auto"/>
              <w:right w:val="single" w:sz="4" w:space="0" w:color="auto"/>
            </w:tcBorders>
            <w:shd w:val="clear" w:color="auto" w:fill="auto"/>
            <w:vAlign w:val="center"/>
          </w:tcPr>
          <w:p w14:paraId="630DF0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470.18</w:t>
            </w:r>
          </w:p>
        </w:tc>
        <w:tc>
          <w:tcPr>
            <w:tcW w:w="839" w:type="pct"/>
            <w:tcBorders>
              <w:top w:val="nil"/>
              <w:left w:val="nil"/>
              <w:bottom w:val="single" w:sz="4" w:space="0" w:color="auto"/>
              <w:right w:val="single" w:sz="4" w:space="0" w:color="auto"/>
            </w:tcBorders>
            <w:shd w:val="clear" w:color="auto" w:fill="auto"/>
            <w:vAlign w:val="center"/>
          </w:tcPr>
          <w:p w14:paraId="28C1022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58.77</w:t>
            </w:r>
          </w:p>
        </w:tc>
      </w:tr>
      <w:tr w:rsidR="002133E3" w14:paraId="38A6E22B" w14:textId="77777777">
        <w:trPr>
          <w:trHeight w:val="300"/>
          <w:jc w:val="center"/>
        </w:trPr>
        <w:tc>
          <w:tcPr>
            <w:tcW w:w="886" w:type="pct"/>
            <w:vMerge/>
            <w:tcBorders>
              <w:top w:val="nil"/>
              <w:left w:val="single" w:sz="4" w:space="0" w:color="auto"/>
              <w:bottom w:val="single" w:sz="4" w:space="0" w:color="auto"/>
              <w:right w:val="single" w:sz="4" w:space="0" w:color="auto"/>
            </w:tcBorders>
            <w:vAlign w:val="center"/>
          </w:tcPr>
          <w:p w14:paraId="47C08EA3"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412CE32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SS</w:t>
            </w:r>
          </w:p>
        </w:tc>
        <w:tc>
          <w:tcPr>
            <w:tcW w:w="739" w:type="pct"/>
            <w:tcBorders>
              <w:top w:val="nil"/>
              <w:left w:val="nil"/>
              <w:bottom w:val="single" w:sz="4" w:space="0" w:color="auto"/>
              <w:right w:val="single" w:sz="4" w:space="0" w:color="auto"/>
            </w:tcBorders>
            <w:shd w:val="clear" w:color="auto" w:fill="auto"/>
            <w:vAlign w:val="center"/>
          </w:tcPr>
          <w:p w14:paraId="72120948" w14:textId="77777777" w:rsidR="002133E3" w:rsidRDefault="00C22CFA">
            <w:pPr>
              <w:widowControl/>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 xml:space="preserve">11034.98 </w:t>
            </w:r>
          </w:p>
        </w:tc>
        <w:tc>
          <w:tcPr>
            <w:tcW w:w="943" w:type="pct"/>
            <w:tcBorders>
              <w:top w:val="nil"/>
              <w:left w:val="nil"/>
              <w:bottom w:val="single" w:sz="4" w:space="0" w:color="auto"/>
              <w:right w:val="single" w:sz="4" w:space="0" w:color="auto"/>
            </w:tcBorders>
            <w:shd w:val="clear" w:color="auto" w:fill="auto"/>
            <w:vAlign w:val="center"/>
          </w:tcPr>
          <w:p w14:paraId="38FAF40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10870.42</w:t>
            </w:r>
          </w:p>
        </w:tc>
        <w:tc>
          <w:tcPr>
            <w:tcW w:w="750" w:type="pct"/>
            <w:tcBorders>
              <w:top w:val="nil"/>
              <w:left w:val="nil"/>
              <w:bottom w:val="single" w:sz="4" w:space="0" w:color="auto"/>
              <w:right w:val="single" w:sz="4" w:space="0" w:color="auto"/>
            </w:tcBorders>
            <w:shd w:val="clear" w:color="auto" w:fill="auto"/>
            <w:vAlign w:val="center"/>
          </w:tcPr>
          <w:p w14:paraId="0E6FDD7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164.56</w:t>
            </w:r>
          </w:p>
        </w:tc>
        <w:tc>
          <w:tcPr>
            <w:tcW w:w="839" w:type="pct"/>
            <w:tcBorders>
              <w:top w:val="nil"/>
              <w:left w:val="nil"/>
              <w:bottom w:val="single" w:sz="4" w:space="0" w:color="auto"/>
              <w:right w:val="single" w:sz="4" w:space="0" w:color="auto"/>
            </w:tcBorders>
            <w:shd w:val="clear" w:color="auto" w:fill="auto"/>
            <w:vAlign w:val="center"/>
          </w:tcPr>
          <w:p w14:paraId="748F4DC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11.75</w:t>
            </w:r>
          </w:p>
        </w:tc>
      </w:tr>
      <w:tr w:rsidR="002133E3" w14:paraId="4C675D6F" w14:textId="77777777">
        <w:trPr>
          <w:trHeight w:val="300"/>
          <w:jc w:val="center"/>
        </w:trPr>
        <w:tc>
          <w:tcPr>
            <w:tcW w:w="886" w:type="pct"/>
            <w:vMerge/>
            <w:tcBorders>
              <w:top w:val="nil"/>
              <w:left w:val="single" w:sz="4" w:space="0" w:color="auto"/>
              <w:bottom w:val="single" w:sz="4" w:space="0" w:color="auto"/>
              <w:right w:val="single" w:sz="4" w:space="0" w:color="auto"/>
            </w:tcBorders>
            <w:vAlign w:val="center"/>
          </w:tcPr>
          <w:p w14:paraId="753F6B9A"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1D0FE6F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总氮</w:t>
            </w:r>
          </w:p>
        </w:tc>
        <w:tc>
          <w:tcPr>
            <w:tcW w:w="739" w:type="pct"/>
            <w:tcBorders>
              <w:top w:val="nil"/>
              <w:left w:val="nil"/>
              <w:bottom w:val="single" w:sz="4" w:space="0" w:color="auto"/>
              <w:right w:val="single" w:sz="4" w:space="0" w:color="auto"/>
            </w:tcBorders>
            <w:shd w:val="clear" w:color="auto" w:fill="auto"/>
            <w:vAlign w:val="center"/>
          </w:tcPr>
          <w:p w14:paraId="061B3F8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95.68 </w:t>
            </w:r>
          </w:p>
        </w:tc>
        <w:tc>
          <w:tcPr>
            <w:tcW w:w="943" w:type="pct"/>
            <w:tcBorders>
              <w:top w:val="nil"/>
              <w:left w:val="nil"/>
              <w:bottom w:val="single" w:sz="4" w:space="0" w:color="auto"/>
              <w:right w:val="single" w:sz="4" w:space="0" w:color="auto"/>
            </w:tcBorders>
            <w:shd w:val="clear" w:color="auto" w:fill="auto"/>
            <w:vAlign w:val="center"/>
          </w:tcPr>
          <w:p w14:paraId="5E62178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36.91</w:t>
            </w:r>
          </w:p>
        </w:tc>
        <w:tc>
          <w:tcPr>
            <w:tcW w:w="750" w:type="pct"/>
            <w:tcBorders>
              <w:top w:val="nil"/>
              <w:left w:val="nil"/>
              <w:bottom w:val="single" w:sz="4" w:space="0" w:color="auto"/>
              <w:right w:val="single" w:sz="4" w:space="0" w:color="auto"/>
            </w:tcBorders>
            <w:shd w:val="clear" w:color="auto" w:fill="auto"/>
            <w:vAlign w:val="center"/>
          </w:tcPr>
          <w:p w14:paraId="742D9A4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58.77</w:t>
            </w:r>
          </w:p>
        </w:tc>
        <w:tc>
          <w:tcPr>
            <w:tcW w:w="839" w:type="pct"/>
            <w:tcBorders>
              <w:top w:val="nil"/>
              <w:left w:val="nil"/>
              <w:bottom w:val="single" w:sz="4" w:space="0" w:color="auto"/>
              <w:right w:val="single" w:sz="4" w:space="0" w:color="auto"/>
            </w:tcBorders>
            <w:shd w:val="clear" w:color="auto" w:fill="auto"/>
            <w:vAlign w:val="center"/>
          </w:tcPr>
          <w:p w14:paraId="1484F99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17.63</w:t>
            </w:r>
          </w:p>
        </w:tc>
      </w:tr>
      <w:tr w:rsidR="002133E3" w14:paraId="34E83B30" w14:textId="77777777">
        <w:trPr>
          <w:trHeight w:val="300"/>
          <w:jc w:val="center"/>
        </w:trPr>
        <w:tc>
          <w:tcPr>
            <w:tcW w:w="886" w:type="pct"/>
            <w:vMerge/>
            <w:tcBorders>
              <w:top w:val="nil"/>
              <w:left w:val="single" w:sz="4" w:space="0" w:color="auto"/>
              <w:bottom w:val="single" w:sz="4" w:space="0" w:color="auto"/>
              <w:right w:val="single" w:sz="4" w:space="0" w:color="auto"/>
            </w:tcBorders>
            <w:vAlign w:val="center"/>
          </w:tcPr>
          <w:p w14:paraId="34784DC8"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064CBF1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氨氮</w:t>
            </w:r>
          </w:p>
        </w:tc>
        <w:tc>
          <w:tcPr>
            <w:tcW w:w="739" w:type="pct"/>
            <w:tcBorders>
              <w:top w:val="nil"/>
              <w:left w:val="nil"/>
              <w:bottom w:val="single" w:sz="4" w:space="0" w:color="auto"/>
              <w:right w:val="single" w:sz="4" w:space="0" w:color="auto"/>
            </w:tcBorders>
            <w:shd w:val="clear" w:color="auto" w:fill="auto"/>
            <w:vAlign w:val="center"/>
          </w:tcPr>
          <w:p w14:paraId="494A6E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122.77 </w:t>
            </w:r>
          </w:p>
        </w:tc>
        <w:tc>
          <w:tcPr>
            <w:tcW w:w="943" w:type="pct"/>
            <w:tcBorders>
              <w:top w:val="nil"/>
              <w:left w:val="nil"/>
              <w:bottom w:val="single" w:sz="4" w:space="0" w:color="auto"/>
              <w:right w:val="single" w:sz="4" w:space="0" w:color="auto"/>
            </w:tcBorders>
            <w:shd w:val="clear" w:color="auto" w:fill="auto"/>
            <w:vAlign w:val="center"/>
          </w:tcPr>
          <w:p w14:paraId="47756C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87.51</w:t>
            </w:r>
          </w:p>
        </w:tc>
        <w:tc>
          <w:tcPr>
            <w:tcW w:w="750" w:type="pct"/>
            <w:tcBorders>
              <w:top w:val="nil"/>
              <w:left w:val="nil"/>
              <w:bottom w:val="single" w:sz="4" w:space="0" w:color="auto"/>
              <w:right w:val="single" w:sz="4" w:space="0" w:color="auto"/>
            </w:tcBorders>
            <w:shd w:val="clear" w:color="auto" w:fill="auto"/>
            <w:vAlign w:val="center"/>
          </w:tcPr>
          <w:p w14:paraId="7ED96B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35.26</w:t>
            </w:r>
          </w:p>
        </w:tc>
        <w:tc>
          <w:tcPr>
            <w:tcW w:w="839" w:type="pct"/>
            <w:tcBorders>
              <w:top w:val="nil"/>
              <w:left w:val="nil"/>
              <w:bottom w:val="single" w:sz="4" w:space="0" w:color="auto"/>
              <w:right w:val="single" w:sz="4" w:space="0" w:color="auto"/>
            </w:tcBorders>
            <w:shd w:val="clear" w:color="auto" w:fill="auto"/>
            <w:vAlign w:val="center"/>
          </w:tcPr>
          <w:p w14:paraId="75FAE32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5.88</w:t>
            </w:r>
          </w:p>
        </w:tc>
      </w:tr>
      <w:tr w:rsidR="002133E3" w14:paraId="2AFFC294" w14:textId="77777777">
        <w:trPr>
          <w:trHeight w:val="300"/>
          <w:jc w:val="center"/>
        </w:trPr>
        <w:tc>
          <w:tcPr>
            <w:tcW w:w="886" w:type="pct"/>
            <w:vMerge/>
            <w:tcBorders>
              <w:top w:val="nil"/>
              <w:left w:val="single" w:sz="4" w:space="0" w:color="auto"/>
              <w:bottom w:val="single" w:sz="4" w:space="0" w:color="auto"/>
              <w:right w:val="single" w:sz="4" w:space="0" w:color="auto"/>
            </w:tcBorders>
            <w:vAlign w:val="center"/>
          </w:tcPr>
          <w:p w14:paraId="4C335DF4"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69A838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总磷</w:t>
            </w:r>
          </w:p>
        </w:tc>
        <w:tc>
          <w:tcPr>
            <w:tcW w:w="739" w:type="pct"/>
            <w:tcBorders>
              <w:top w:val="nil"/>
              <w:left w:val="nil"/>
              <w:bottom w:val="single" w:sz="4" w:space="0" w:color="auto"/>
              <w:right w:val="single" w:sz="4" w:space="0" w:color="auto"/>
            </w:tcBorders>
            <w:shd w:val="clear" w:color="auto" w:fill="auto"/>
            <w:vAlign w:val="center"/>
          </w:tcPr>
          <w:p w14:paraId="75869EF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5.39 </w:t>
            </w:r>
          </w:p>
        </w:tc>
        <w:tc>
          <w:tcPr>
            <w:tcW w:w="943" w:type="pct"/>
            <w:tcBorders>
              <w:top w:val="nil"/>
              <w:left w:val="nil"/>
              <w:bottom w:val="single" w:sz="4" w:space="0" w:color="auto"/>
              <w:right w:val="single" w:sz="4" w:space="0" w:color="auto"/>
            </w:tcBorders>
            <w:shd w:val="clear" w:color="auto" w:fill="auto"/>
            <w:vAlign w:val="center"/>
          </w:tcPr>
          <w:p w14:paraId="488CAA5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1.86</w:t>
            </w:r>
          </w:p>
        </w:tc>
        <w:tc>
          <w:tcPr>
            <w:tcW w:w="750" w:type="pct"/>
            <w:tcBorders>
              <w:top w:val="nil"/>
              <w:left w:val="nil"/>
              <w:bottom w:val="single" w:sz="4" w:space="0" w:color="auto"/>
              <w:right w:val="single" w:sz="4" w:space="0" w:color="auto"/>
            </w:tcBorders>
            <w:shd w:val="clear" w:color="auto" w:fill="auto"/>
            <w:vAlign w:val="center"/>
          </w:tcPr>
          <w:p w14:paraId="576FB25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3.53</w:t>
            </w:r>
          </w:p>
        </w:tc>
        <w:tc>
          <w:tcPr>
            <w:tcW w:w="839" w:type="pct"/>
            <w:tcBorders>
              <w:top w:val="nil"/>
              <w:left w:val="nil"/>
              <w:bottom w:val="single" w:sz="4" w:space="0" w:color="auto"/>
              <w:right w:val="single" w:sz="4" w:space="0" w:color="auto"/>
            </w:tcBorders>
            <w:shd w:val="clear" w:color="auto" w:fill="auto"/>
            <w:vAlign w:val="center"/>
          </w:tcPr>
          <w:p w14:paraId="731941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0.59</w:t>
            </w:r>
          </w:p>
        </w:tc>
      </w:tr>
      <w:tr w:rsidR="002133E3" w14:paraId="5357FF35" w14:textId="77777777">
        <w:trPr>
          <w:trHeight w:val="300"/>
          <w:jc w:val="center"/>
        </w:trPr>
        <w:tc>
          <w:tcPr>
            <w:tcW w:w="886" w:type="pct"/>
            <w:vMerge/>
            <w:tcBorders>
              <w:top w:val="nil"/>
              <w:left w:val="single" w:sz="4" w:space="0" w:color="auto"/>
              <w:bottom w:val="single" w:sz="4" w:space="0" w:color="auto"/>
              <w:right w:val="single" w:sz="4" w:space="0" w:color="auto"/>
            </w:tcBorders>
            <w:vAlign w:val="center"/>
          </w:tcPr>
          <w:p w14:paraId="30D869C7"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795ED2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盐分</w:t>
            </w:r>
          </w:p>
        </w:tc>
        <w:tc>
          <w:tcPr>
            <w:tcW w:w="739" w:type="pct"/>
            <w:tcBorders>
              <w:top w:val="nil"/>
              <w:left w:val="nil"/>
              <w:bottom w:val="single" w:sz="4" w:space="0" w:color="auto"/>
              <w:right w:val="single" w:sz="4" w:space="0" w:color="auto"/>
            </w:tcBorders>
            <w:shd w:val="clear" w:color="auto" w:fill="auto"/>
            <w:vAlign w:val="center"/>
          </w:tcPr>
          <w:p w14:paraId="45AF355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48.87 </w:t>
            </w:r>
          </w:p>
        </w:tc>
        <w:tc>
          <w:tcPr>
            <w:tcW w:w="943" w:type="pct"/>
            <w:tcBorders>
              <w:top w:val="nil"/>
              <w:left w:val="nil"/>
              <w:bottom w:val="single" w:sz="4" w:space="0" w:color="auto"/>
              <w:right w:val="single" w:sz="4" w:space="0" w:color="auto"/>
            </w:tcBorders>
            <w:shd w:val="clear" w:color="auto" w:fill="auto"/>
            <w:vAlign w:val="center"/>
          </w:tcPr>
          <w:p w14:paraId="6D9E3B3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750" w:type="pct"/>
            <w:tcBorders>
              <w:top w:val="nil"/>
              <w:left w:val="nil"/>
              <w:bottom w:val="single" w:sz="4" w:space="0" w:color="auto"/>
              <w:right w:val="single" w:sz="4" w:space="0" w:color="auto"/>
            </w:tcBorders>
            <w:shd w:val="clear" w:color="auto" w:fill="auto"/>
            <w:vAlign w:val="center"/>
          </w:tcPr>
          <w:p w14:paraId="6A52D3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48.87</w:t>
            </w:r>
          </w:p>
        </w:tc>
        <w:tc>
          <w:tcPr>
            <w:tcW w:w="839" w:type="pct"/>
            <w:tcBorders>
              <w:top w:val="nil"/>
              <w:left w:val="nil"/>
              <w:bottom w:val="single" w:sz="4" w:space="0" w:color="auto"/>
              <w:right w:val="single" w:sz="4" w:space="0" w:color="auto"/>
            </w:tcBorders>
            <w:shd w:val="clear" w:color="auto" w:fill="auto"/>
            <w:vAlign w:val="center"/>
          </w:tcPr>
          <w:p w14:paraId="0693134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48.87</w:t>
            </w:r>
          </w:p>
        </w:tc>
      </w:tr>
      <w:tr w:rsidR="002133E3" w14:paraId="0D81FAB7" w14:textId="77777777">
        <w:trPr>
          <w:trHeight w:val="300"/>
          <w:jc w:val="center"/>
        </w:trPr>
        <w:tc>
          <w:tcPr>
            <w:tcW w:w="886" w:type="pct"/>
            <w:vMerge w:val="restart"/>
            <w:tcBorders>
              <w:top w:val="nil"/>
              <w:left w:val="single" w:sz="4" w:space="0" w:color="auto"/>
              <w:bottom w:val="single" w:sz="4" w:space="0" w:color="000000"/>
              <w:right w:val="single" w:sz="4" w:space="0" w:color="auto"/>
            </w:tcBorders>
            <w:shd w:val="clear" w:color="auto" w:fill="auto"/>
            <w:vAlign w:val="center"/>
          </w:tcPr>
          <w:p w14:paraId="71E681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有组织废气</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单位：</w:t>
            </w:r>
            <w:r>
              <w:rPr>
                <w:rFonts w:ascii="Times New Roman" w:eastAsia="宋体" w:hAnsi="Times New Roman" w:cs="Times New Roman"/>
                <w:color w:val="000000"/>
                <w:kern w:val="0"/>
                <w:szCs w:val="21"/>
              </w:rPr>
              <w:t>t/a)</w:t>
            </w:r>
          </w:p>
        </w:tc>
        <w:tc>
          <w:tcPr>
            <w:tcW w:w="843" w:type="pct"/>
            <w:tcBorders>
              <w:top w:val="nil"/>
              <w:left w:val="nil"/>
              <w:bottom w:val="single" w:sz="4" w:space="0" w:color="auto"/>
              <w:right w:val="single" w:sz="4" w:space="0" w:color="auto"/>
            </w:tcBorders>
            <w:shd w:val="clear" w:color="auto" w:fill="auto"/>
            <w:vAlign w:val="center"/>
          </w:tcPr>
          <w:p w14:paraId="330B7E8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粉尘</w:t>
            </w:r>
          </w:p>
        </w:tc>
        <w:tc>
          <w:tcPr>
            <w:tcW w:w="739" w:type="pct"/>
            <w:tcBorders>
              <w:top w:val="nil"/>
              <w:left w:val="nil"/>
              <w:bottom w:val="single" w:sz="4" w:space="0" w:color="auto"/>
              <w:right w:val="single" w:sz="4" w:space="0" w:color="auto"/>
            </w:tcBorders>
            <w:shd w:val="clear" w:color="auto" w:fill="auto"/>
            <w:vAlign w:val="bottom"/>
          </w:tcPr>
          <w:p w14:paraId="5B01151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1600.00</w:t>
            </w:r>
          </w:p>
        </w:tc>
        <w:tc>
          <w:tcPr>
            <w:tcW w:w="943" w:type="pct"/>
            <w:tcBorders>
              <w:top w:val="nil"/>
              <w:left w:val="nil"/>
              <w:bottom w:val="single" w:sz="4" w:space="0" w:color="auto"/>
              <w:right w:val="single" w:sz="4" w:space="0" w:color="auto"/>
            </w:tcBorders>
            <w:shd w:val="clear" w:color="auto" w:fill="auto"/>
            <w:vAlign w:val="bottom"/>
          </w:tcPr>
          <w:p w14:paraId="5392373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1584.00 </w:t>
            </w:r>
          </w:p>
        </w:tc>
        <w:tc>
          <w:tcPr>
            <w:tcW w:w="1589" w:type="pct"/>
            <w:gridSpan w:val="2"/>
            <w:tcBorders>
              <w:top w:val="single" w:sz="4" w:space="0" w:color="auto"/>
              <w:left w:val="nil"/>
              <w:bottom w:val="single" w:sz="4" w:space="0" w:color="auto"/>
              <w:right w:val="single" w:sz="4" w:space="0" w:color="000000"/>
            </w:tcBorders>
            <w:shd w:val="clear" w:color="auto" w:fill="auto"/>
            <w:vAlign w:val="bottom"/>
          </w:tcPr>
          <w:p w14:paraId="2B5C42F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16.00 </w:t>
            </w:r>
          </w:p>
        </w:tc>
      </w:tr>
      <w:tr w:rsidR="002133E3" w14:paraId="5085BE05" w14:textId="77777777">
        <w:trPr>
          <w:trHeight w:val="300"/>
          <w:jc w:val="center"/>
        </w:trPr>
        <w:tc>
          <w:tcPr>
            <w:tcW w:w="886" w:type="pct"/>
            <w:vMerge/>
            <w:tcBorders>
              <w:top w:val="nil"/>
              <w:left w:val="single" w:sz="4" w:space="0" w:color="auto"/>
              <w:bottom w:val="single" w:sz="4" w:space="0" w:color="000000"/>
              <w:right w:val="single" w:sz="4" w:space="0" w:color="auto"/>
            </w:tcBorders>
            <w:vAlign w:val="center"/>
          </w:tcPr>
          <w:p w14:paraId="4E7BF10E"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03DB973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w:t>
            </w:r>
            <w:r>
              <w:rPr>
                <w:rFonts w:ascii="Times New Roman" w:eastAsia="宋体" w:hAnsi="Times New Roman" w:cs="Times New Roman"/>
                <w:color w:val="000000"/>
                <w:kern w:val="0"/>
                <w:szCs w:val="21"/>
                <w:vertAlign w:val="subscript"/>
              </w:rPr>
              <w:t>2</w:t>
            </w:r>
          </w:p>
        </w:tc>
        <w:tc>
          <w:tcPr>
            <w:tcW w:w="739" w:type="pct"/>
            <w:tcBorders>
              <w:top w:val="nil"/>
              <w:left w:val="nil"/>
              <w:bottom w:val="single" w:sz="4" w:space="0" w:color="auto"/>
              <w:right w:val="single" w:sz="4" w:space="0" w:color="auto"/>
            </w:tcBorders>
            <w:shd w:val="clear" w:color="auto" w:fill="auto"/>
            <w:vAlign w:val="bottom"/>
          </w:tcPr>
          <w:p w14:paraId="1A4570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91962.83 </w:t>
            </w:r>
          </w:p>
        </w:tc>
        <w:tc>
          <w:tcPr>
            <w:tcW w:w="943" w:type="pct"/>
            <w:tcBorders>
              <w:top w:val="nil"/>
              <w:left w:val="nil"/>
              <w:bottom w:val="single" w:sz="4" w:space="0" w:color="auto"/>
              <w:right w:val="single" w:sz="4" w:space="0" w:color="auto"/>
            </w:tcBorders>
            <w:shd w:val="clear" w:color="auto" w:fill="auto"/>
            <w:vAlign w:val="bottom"/>
          </w:tcPr>
          <w:p w14:paraId="74FB9AF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0.00 </w:t>
            </w:r>
          </w:p>
        </w:tc>
        <w:tc>
          <w:tcPr>
            <w:tcW w:w="1589" w:type="pct"/>
            <w:gridSpan w:val="2"/>
            <w:tcBorders>
              <w:top w:val="single" w:sz="4" w:space="0" w:color="auto"/>
              <w:left w:val="nil"/>
              <w:bottom w:val="single" w:sz="4" w:space="0" w:color="auto"/>
              <w:right w:val="single" w:sz="4" w:space="0" w:color="000000"/>
            </w:tcBorders>
            <w:shd w:val="clear" w:color="auto" w:fill="auto"/>
            <w:vAlign w:val="bottom"/>
          </w:tcPr>
          <w:p w14:paraId="7374524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91962.83 </w:t>
            </w:r>
          </w:p>
        </w:tc>
      </w:tr>
      <w:tr w:rsidR="002133E3" w14:paraId="0EACDE05" w14:textId="77777777">
        <w:trPr>
          <w:trHeight w:val="300"/>
          <w:jc w:val="center"/>
        </w:trPr>
        <w:tc>
          <w:tcPr>
            <w:tcW w:w="886" w:type="pct"/>
            <w:vMerge/>
            <w:tcBorders>
              <w:top w:val="nil"/>
              <w:left w:val="single" w:sz="4" w:space="0" w:color="auto"/>
              <w:bottom w:val="single" w:sz="4" w:space="0" w:color="000000"/>
              <w:right w:val="single" w:sz="4" w:space="0" w:color="auto"/>
            </w:tcBorders>
            <w:vAlign w:val="center"/>
          </w:tcPr>
          <w:p w14:paraId="35D79744"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2AD2D03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乙醇</w:t>
            </w:r>
          </w:p>
        </w:tc>
        <w:tc>
          <w:tcPr>
            <w:tcW w:w="739" w:type="pct"/>
            <w:tcBorders>
              <w:top w:val="nil"/>
              <w:left w:val="nil"/>
              <w:bottom w:val="single" w:sz="4" w:space="0" w:color="auto"/>
              <w:right w:val="single" w:sz="4" w:space="0" w:color="auto"/>
            </w:tcBorders>
            <w:shd w:val="clear" w:color="auto" w:fill="auto"/>
            <w:vAlign w:val="bottom"/>
          </w:tcPr>
          <w:p w14:paraId="74899C0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175.62 </w:t>
            </w:r>
          </w:p>
        </w:tc>
        <w:tc>
          <w:tcPr>
            <w:tcW w:w="943" w:type="pct"/>
            <w:tcBorders>
              <w:top w:val="nil"/>
              <w:left w:val="nil"/>
              <w:bottom w:val="single" w:sz="4" w:space="0" w:color="auto"/>
              <w:right w:val="single" w:sz="4" w:space="0" w:color="auto"/>
            </w:tcBorders>
            <w:shd w:val="clear" w:color="auto" w:fill="auto"/>
            <w:vAlign w:val="bottom"/>
          </w:tcPr>
          <w:p w14:paraId="5E33832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173.86 </w:t>
            </w:r>
          </w:p>
        </w:tc>
        <w:tc>
          <w:tcPr>
            <w:tcW w:w="1589" w:type="pct"/>
            <w:gridSpan w:val="2"/>
            <w:tcBorders>
              <w:top w:val="single" w:sz="4" w:space="0" w:color="auto"/>
              <w:left w:val="nil"/>
              <w:bottom w:val="single" w:sz="4" w:space="0" w:color="auto"/>
              <w:right w:val="single" w:sz="4" w:space="0" w:color="000000"/>
            </w:tcBorders>
            <w:shd w:val="clear" w:color="auto" w:fill="auto"/>
            <w:vAlign w:val="bottom"/>
          </w:tcPr>
          <w:p w14:paraId="793C058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1.76 </w:t>
            </w:r>
          </w:p>
        </w:tc>
      </w:tr>
      <w:tr w:rsidR="002133E3" w14:paraId="3130D0E9" w14:textId="77777777">
        <w:trPr>
          <w:trHeight w:val="300"/>
          <w:jc w:val="center"/>
        </w:trPr>
        <w:tc>
          <w:tcPr>
            <w:tcW w:w="886" w:type="pct"/>
            <w:vMerge/>
            <w:tcBorders>
              <w:top w:val="nil"/>
              <w:left w:val="single" w:sz="4" w:space="0" w:color="auto"/>
              <w:bottom w:val="single" w:sz="4" w:space="0" w:color="000000"/>
              <w:right w:val="single" w:sz="4" w:space="0" w:color="auto"/>
            </w:tcBorders>
            <w:vAlign w:val="center"/>
          </w:tcPr>
          <w:p w14:paraId="18CE0E81"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340F36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甲醇</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醛等</w:t>
            </w:r>
          </w:p>
        </w:tc>
        <w:tc>
          <w:tcPr>
            <w:tcW w:w="739" w:type="pct"/>
            <w:tcBorders>
              <w:top w:val="nil"/>
              <w:left w:val="nil"/>
              <w:bottom w:val="single" w:sz="4" w:space="0" w:color="auto"/>
              <w:right w:val="single" w:sz="4" w:space="0" w:color="auto"/>
            </w:tcBorders>
            <w:shd w:val="clear" w:color="auto" w:fill="auto"/>
            <w:vAlign w:val="bottom"/>
          </w:tcPr>
          <w:p w14:paraId="46AC378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5.55 </w:t>
            </w:r>
          </w:p>
        </w:tc>
        <w:tc>
          <w:tcPr>
            <w:tcW w:w="943" w:type="pct"/>
            <w:tcBorders>
              <w:top w:val="nil"/>
              <w:left w:val="nil"/>
              <w:bottom w:val="single" w:sz="4" w:space="0" w:color="auto"/>
              <w:right w:val="single" w:sz="4" w:space="0" w:color="auto"/>
            </w:tcBorders>
            <w:shd w:val="clear" w:color="auto" w:fill="auto"/>
            <w:vAlign w:val="bottom"/>
          </w:tcPr>
          <w:p w14:paraId="57DA34D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5.50 </w:t>
            </w:r>
          </w:p>
        </w:tc>
        <w:tc>
          <w:tcPr>
            <w:tcW w:w="1589" w:type="pct"/>
            <w:gridSpan w:val="2"/>
            <w:tcBorders>
              <w:top w:val="single" w:sz="4" w:space="0" w:color="auto"/>
              <w:left w:val="nil"/>
              <w:bottom w:val="single" w:sz="4" w:space="0" w:color="auto"/>
              <w:right w:val="single" w:sz="4" w:space="0" w:color="000000"/>
            </w:tcBorders>
            <w:shd w:val="clear" w:color="auto" w:fill="auto"/>
            <w:vAlign w:val="bottom"/>
          </w:tcPr>
          <w:p w14:paraId="692AFCC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0.06 </w:t>
            </w:r>
          </w:p>
        </w:tc>
      </w:tr>
      <w:tr w:rsidR="002133E3" w14:paraId="295B0865" w14:textId="77777777">
        <w:trPr>
          <w:trHeight w:val="300"/>
          <w:jc w:val="center"/>
        </w:trPr>
        <w:tc>
          <w:tcPr>
            <w:tcW w:w="886" w:type="pct"/>
            <w:vMerge/>
            <w:tcBorders>
              <w:top w:val="nil"/>
              <w:left w:val="single" w:sz="4" w:space="0" w:color="auto"/>
              <w:bottom w:val="single" w:sz="4" w:space="0" w:color="000000"/>
              <w:right w:val="single" w:sz="4" w:space="0" w:color="auto"/>
            </w:tcBorders>
            <w:vAlign w:val="center"/>
          </w:tcPr>
          <w:p w14:paraId="38CB5A54" w14:textId="77777777" w:rsidR="002133E3" w:rsidRDefault="002133E3">
            <w:pPr>
              <w:widowControl/>
              <w:jc w:val="left"/>
              <w:rPr>
                <w:rFonts w:ascii="Times New Roman" w:eastAsia="宋体" w:hAnsi="Times New Roman" w:cs="Times New Roman"/>
                <w:color w:val="000000"/>
                <w:kern w:val="0"/>
                <w:szCs w:val="21"/>
              </w:rPr>
            </w:pPr>
          </w:p>
        </w:tc>
        <w:tc>
          <w:tcPr>
            <w:tcW w:w="843" w:type="pct"/>
            <w:tcBorders>
              <w:top w:val="nil"/>
              <w:left w:val="nil"/>
              <w:bottom w:val="single" w:sz="4" w:space="0" w:color="auto"/>
              <w:right w:val="single" w:sz="4" w:space="0" w:color="auto"/>
            </w:tcBorders>
            <w:shd w:val="clear" w:color="auto" w:fill="auto"/>
            <w:vAlign w:val="center"/>
          </w:tcPr>
          <w:p w14:paraId="6C5520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挥发性有机物</w:t>
            </w:r>
          </w:p>
        </w:tc>
        <w:tc>
          <w:tcPr>
            <w:tcW w:w="739" w:type="pct"/>
            <w:tcBorders>
              <w:top w:val="nil"/>
              <w:left w:val="nil"/>
              <w:bottom w:val="single" w:sz="4" w:space="0" w:color="auto"/>
              <w:right w:val="single" w:sz="4" w:space="0" w:color="auto"/>
            </w:tcBorders>
            <w:shd w:val="clear" w:color="auto" w:fill="auto"/>
            <w:vAlign w:val="bottom"/>
          </w:tcPr>
          <w:p w14:paraId="18D1B1B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181.17 </w:t>
            </w:r>
          </w:p>
        </w:tc>
        <w:tc>
          <w:tcPr>
            <w:tcW w:w="943" w:type="pct"/>
            <w:tcBorders>
              <w:top w:val="nil"/>
              <w:left w:val="nil"/>
              <w:bottom w:val="single" w:sz="4" w:space="0" w:color="auto"/>
              <w:right w:val="single" w:sz="4" w:space="0" w:color="auto"/>
            </w:tcBorders>
            <w:shd w:val="clear" w:color="auto" w:fill="auto"/>
            <w:vAlign w:val="bottom"/>
          </w:tcPr>
          <w:p w14:paraId="3F9B31E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179.36 </w:t>
            </w:r>
          </w:p>
        </w:tc>
        <w:tc>
          <w:tcPr>
            <w:tcW w:w="1589" w:type="pct"/>
            <w:gridSpan w:val="2"/>
            <w:tcBorders>
              <w:top w:val="single" w:sz="4" w:space="0" w:color="auto"/>
              <w:left w:val="nil"/>
              <w:bottom w:val="single" w:sz="4" w:space="0" w:color="auto"/>
              <w:right w:val="single" w:sz="4" w:space="0" w:color="000000"/>
            </w:tcBorders>
            <w:shd w:val="clear" w:color="auto" w:fill="auto"/>
            <w:vAlign w:val="bottom"/>
          </w:tcPr>
          <w:p w14:paraId="3FD6AA9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1.81 </w:t>
            </w:r>
          </w:p>
        </w:tc>
      </w:tr>
      <w:tr w:rsidR="002133E3" w14:paraId="338F7119" w14:textId="77777777">
        <w:trPr>
          <w:trHeight w:val="300"/>
          <w:jc w:val="center"/>
        </w:trPr>
        <w:tc>
          <w:tcPr>
            <w:tcW w:w="172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5DE49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固废</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单位：</w:t>
            </w:r>
            <w:r>
              <w:rPr>
                <w:rFonts w:ascii="Times New Roman" w:eastAsia="宋体" w:hAnsi="Times New Roman" w:cs="Times New Roman"/>
                <w:color w:val="000000"/>
                <w:kern w:val="0"/>
                <w:szCs w:val="21"/>
              </w:rPr>
              <w:t>t/a)</w:t>
            </w:r>
          </w:p>
        </w:tc>
        <w:tc>
          <w:tcPr>
            <w:tcW w:w="739" w:type="pct"/>
            <w:tcBorders>
              <w:top w:val="nil"/>
              <w:left w:val="nil"/>
              <w:bottom w:val="single" w:sz="4" w:space="0" w:color="auto"/>
              <w:right w:val="single" w:sz="4" w:space="0" w:color="auto"/>
            </w:tcBorders>
            <w:shd w:val="clear" w:color="auto" w:fill="auto"/>
            <w:vAlign w:val="center"/>
          </w:tcPr>
          <w:p w14:paraId="4117E6F3" w14:textId="77777777" w:rsidR="002133E3" w:rsidRDefault="00C22CFA">
            <w:pPr>
              <w:widowControl/>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14.93</w:t>
            </w:r>
          </w:p>
        </w:tc>
        <w:tc>
          <w:tcPr>
            <w:tcW w:w="943" w:type="pct"/>
            <w:tcBorders>
              <w:top w:val="nil"/>
              <w:left w:val="nil"/>
              <w:bottom w:val="single" w:sz="4" w:space="0" w:color="auto"/>
              <w:right w:val="single" w:sz="4" w:space="0" w:color="auto"/>
            </w:tcBorders>
            <w:shd w:val="clear" w:color="auto" w:fill="auto"/>
            <w:vAlign w:val="center"/>
          </w:tcPr>
          <w:p w14:paraId="4D03CD8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14.93</w:t>
            </w:r>
          </w:p>
        </w:tc>
        <w:tc>
          <w:tcPr>
            <w:tcW w:w="1589" w:type="pct"/>
            <w:gridSpan w:val="2"/>
            <w:tcBorders>
              <w:top w:val="single" w:sz="4" w:space="0" w:color="auto"/>
              <w:left w:val="nil"/>
              <w:bottom w:val="single" w:sz="4" w:space="0" w:color="auto"/>
              <w:right w:val="single" w:sz="4" w:space="0" w:color="auto"/>
            </w:tcBorders>
            <w:shd w:val="clear" w:color="auto" w:fill="auto"/>
            <w:vAlign w:val="center"/>
          </w:tcPr>
          <w:p w14:paraId="25F1427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r>
    </w:tbl>
    <w:p w14:paraId="20F2A9D2" w14:textId="77777777" w:rsidR="002133E3" w:rsidRDefault="00C22CFA">
      <w:pPr>
        <w:pStyle w:val="affff3"/>
        <w:numPr>
          <w:ilvl w:val="1"/>
          <w:numId w:val="2"/>
        </w:numPr>
        <w:snapToGrid w:val="0"/>
        <w:spacing w:line="500" w:lineRule="atLeast"/>
        <w:ind w:left="0" w:firstLineChars="0" w:firstLine="0"/>
        <w:outlineLvl w:val="1"/>
        <w:rPr>
          <w:rFonts w:ascii="Times New Roman" w:eastAsia="宋体" w:hAnsi="Times New Roman" w:cs="Times New Roman"/>
          <w:b/>
          <w:sz w:val="30"/>
          <w:szCs w:val="30"/>
        </w:rPr>
      </w:pPr>
      <w:r>
        <w:rPr>
          <w:rFonts w:ascii="Times New Roman" w:eastAsia="宋体" w:hAnsi="Times New Roman" w:cs="Times New Roman"/>
          <w:b/>
          <w:sz w:val="30"/>
          <w:szCs w:val="30"/>
        </w:rPr>
        <w:t>环境风险评价</w:t>
      </w:r>
    </w:p>
    <w:p w14:paraId="186999AF"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概述</w:t>
      </w:r>
    </w:p>
    <w:p w14:paraId="2639917D"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环境风险评价的目的是分析和预测建设项目存在的潜在危险、有害因素，建设项目建设和运行期间可能发生的突发性事件或事故</w:t>
      </w:r>
      <w:r>
        <w:rPr>
          <w:rFonts w:ascii="Times New Roman" w:eastAsia="宋体" w:hAnsi="Times New Roman" w:cs="Times New Roman"/>
          <w:sz w:val="28"/>
          <w:szCs w:val="28"/>
        </w:rPr>
        <w:t>(</w:t>
      </w:r>
      <w:r>
        <w:rPr>
          <w:rFonts w:ascii="Times New Roman" w:eastAsia="宋体" w:hAnsi="Times New Roman" w:cs="Times New Roman"/>
          <w:sz w:val="28"/>
          <w:szCs w:val="28"/>
        </w:rPr>
        <w:t>一般不包括人为破坏和自然灾害</w:t>
      </w:r>
      <w:r>
        <w:rPr>
          <w:rFonts w:ascii="Times New Roman" w:eastAsia="宋体" w:hAnsi="Times New Roman" w:cs="Times New Roman"/>
          <w:sz w:val="28"/>
          <w:szCs w:val="28"/>
        </w:rPr>
        <w:t>)</w:t>
      </w:r>
      <w:r>
        <w:rPr>
          <w:rFonts w:ascii="Times New Roman" w:eastAsia="宋体" w:hAnsi="Times New Roman" w:cs="Times New Roman"/>
          <w:sz w:val="28"/>
          <w:szCs w:val="28"/>
        </w:rPr>
        <w:t>，引起有毒有害和易燃易爆等物质泄漏，所造成的人身安全与环境影响和损害程度，提出合理可行的防范、应急与减缓措施，以使建设项目事故率、损失和环境影响达到可接受水平。</w:t>
      </w:r>
    </w:p>
    <w:p w14:paraId="098F23C2"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现有项目风险评价结论</w:t>
      </w:r>
    </w:p>
    <w:p w14:paraId="535B778E"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bookmarkStart w:id="37" w:name="_Hlk37671008"/>
      <w:r>
        <w:rPr>
          <w:rFonts w:ascii="Times New Roman" w:eastAsia="宋体" w:hAnsi="Times New Roman" w:cs="Times New Roman"/>
          <w:b/>
          <w:sz w:val="30"/>
          <w:szCs w:val="30"/>
        </w:rPr>
        <w:t>现有项目风险识别</w:t>
      </w:r>
    </w:p>
    <w:p w14:paraId="7706779F"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已批项目环评文件，已批项目使用的原辅料及产品中沼气、氢气属于可燃气体；醋酸、醋酸乙酯、丁醇属于可燃液体；丙酮、乙醇及乙醛属于易燃液体；硫酸属于腐蚀性物质，已批项目中没有明显易爆物质、有毒物质。经核算已批项目构成重大危险源，</w:t>
      </w:r>
      <w:r>
        <w:rPr>
          <w:rFonts w:ascii="Times New Roman" w:eastAsia="宋体" w:hAnsi="Times New Roman" w:cs="Times New Roman"/>
          <w:sz w:val="28"/>
          <w:szCs w:val="28"/>
        </w:rPr>
        <w:t xml:space="preserve"> </w:t>
      </w:r>
    </w:p>
    <w:p w14:paraId="4E280453"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bookmarkStart w:id="38" w:name="_Hlk54173108"/>
      <w:bookmarkEnd w:id="37"/>
      <w:r>
        <w:rPr>
          <w:rFonts w:ascii="Times New Roman" w:eastAsia="宋体" w:hAnsi="Times New Roman" w:cs="Times New Roman"/>
          <w:b/>
          <w:sz w:val="30"/>
          <w:szCs w:val="30"/>
        </w:rPr>
        <w:t>现有项目</w:t>
      </w:r>
      <w:bookmarkEnd w:id="38"/>
      <w:r>
        <w:rPr>
          <w:rFonts w:ascii="Times New Roman" w:eastAsia="宋体" w:hAnsi="Times New Roman" w:cs="Times New Roman"/>
          <w:b/>
          <w:sz w:val="30"/>
          <w:szCs w:val="30"/>
        </w:rPr>
        <w:t>事故影响预测</w:t>
      </w:r>
    </w:p>
    <w:p w14:paraId="703ABDD7" w14:textId="77777777" w:rsidR="002133E3" w:rsidRDefault="00C22CFA">
      <w:pPr>
        <w:pStyle w:val="affff5"/>
        <w:spacing w:line="500" w:lineRule="atLeast"/>
        <w:ind w:firstLine="560"/>
        <w:jc w:val="both"/>
        <w:rPr>
          <w:rFonts w:eastAsia="宋体"/>
          <w:szCs w:val="28"/>
        </w:rPr>
      </w:pPr>
      <w:r>
        <w:rPr>
          <w:rFonts w:eastAsia="宋体"/>
          <w:szCs w:val="28"/>
        </w:rPr>
        <w:t>最大可信事故为丁醇、乙醇发生泄漏，以及沼气、氢气、丁醇、丙酮、乙醇泄露后引发的火灾爆炸事故。</w:t>
      </w:r>
    </w:p>
    <w:p w14:paraId="1891CB35" w14:textId="77777777" w:rsidR="002133E3" w:rsidRDefault="00C22CFA">
      <w:pPr>
        <w:pStyle w:val="affff5"/>
        <w:spacing w:line="500" w:lineRule="atLeast"/>
        <w:ind w:firstLine="560"/>
        <w:jc w:val="both"/>
        <w:rPr>
          <w:rFonts w:eastAsia="宋体"/>
          <w:szCs w:val="28"/>
        </w:rPr>
      </w:pPr>
      <w:r>
        <w:rPr>
          <w:rFonts w:eastAsia="宋体"/>
          <w:szCs w:val="28"/>
        </w:rPr>
        <w:lastRenderedPageBreak/>
        <w:t>若丁醇储罐发生泄漏，有风时最大超标距离为</w:t>
      </w:r>
      <w:r>
        <w:rPr>
          <w:rFonts w:eastAsia="宋体"/>
          <w:szCs w:val="28"/>
        </w:rPr>
        <w:t>46.4</w:t>
      </w:r>
      <w:r>
        <w:rPr>
          <w:rFonts w:eastAsia="宋体"/>
          <w:szCs w:val="28"/>
        </w:rPr>
        <w:t>米，静小风时最大超标距离为</w:t>
      </w:r>
      <w:r>
        <w:rPr>
          <w:rFonts w:eastAsia="宋体"/>
          <w:szCs w:val="28"/>
        </w:rPr>
        <w:t>9.1</w:t>
      </w:r>
      <w:r>
        <w:rPr>
          <w:rFonts w:eastAsia="宋体"/>
          <w:szCs w:val="28"/>
        </w:rPr>
        <w:t>米，下风向均未形成半致死浓度范围。若乙醇储罐发生泄漏，有风时最大超标距离为</w:t>
      </w:r>
      <w:r>
        <w:rPr>
          <w:rFonts w:eastAsia="宋体"/>
          <w:szCs w:val="28"/>
        </w:rPr>
        <w:t>730.7</w:t>
      </w:r>
      <w:r>
        <w:rPr>
          <w:rFonts w:eastAsia="宋体"/>
          <w:szCs w:val="28"/>
        </w:rPr>
        <w:t>米，静小风时最大超标距离为</w:t>
      </w:r>
      <w:r>
        <w:rPr>
          <w:rFonts w:eastAsia="宋体"/>
          <w:szCs w:val="28"/>
        </w:rPr>
        <w:t>96.2</w:t>
      </w:r>
      <w:r>
        <w:rPr>
          <w:rFonts w:eastAsia="宋体"/>
          <w:szCs w:val="28"/>
        </w:rPr>
        <w:t>米，下风向均未形成半致死浓度范围。</w:t>
      </w:r>
    </w:p>
    <w:p w14:paraId="2C2D6B86" w14:textId="77777777" w:rsidR="002133E3" w:rsidRDefault="00C22CFA">
      <w:pPr>
        <w:pStyle w:val="affff5"/>
        <w:spacing w:line="500" w:lineRule="atLeast"/>
        <w:ind w:firstLine="560"/>
        <w:jc w:val="both"/>
        <w:rPr>
          <w:rFonts w:eastAsia="宋体"/>
          <w:szCs w:val="28"/>
        </w:rPr>
      </w:pPr>
      <w:r>
        <w:rPr>
          <w:rFonts w:eastAsia="宋体"/>
          <w:szCs w:val="28"/>
        </w:rPr>
        <w:t>丁醇泄漏，泄漏量为</w:t>
      </w:r>
      <w:r>
        <w:rPr>
          <w:rFonts w:eastAsia="宋体"/>
          <w:szCs w:val="28"/>
        </w:rPr>
        <w:t>13.79kg/s</w:t>
      </w:r>
      <w:r>
        <w:rPr>
          <w:rFonts w:eastAsia="宋体"/>
          <w:szCs w:val="28"/>
        </w:rPr>
        <w:t>，在低洼处形成</w:t>
      </w:r>
      <w:r>
        <w:rPr>
          <w:rFonts w:eastAsia="宋体"/>
          <w:szCs w:val="28"/>
        </w:rPr>
        <w:t>314m2</w:t>
      </w:r>
      <w:r>
        <w:rPr>
          <w:rFonts w:eastAsia="宋体"/>
          <w:szCs w:val="28"/>
        </w:rPr>
        <w:t>液池而引发火灾时，造成伤害范围为：死亡半径</w:t>
      </w:r>
      <w:r>
        <w:rPr>
          <w:rFonts w:eastAsia="宋体"/>
          <w:szCs w:val="28"/>
        </w:rPr>
        <w:t>45.8m</w:t>
      </w:r>
      <w:r>
        <w:rPr>
          <w:rFonts w:eastAsia="宋体"/>
          <w:szCs w:val="28"/>
        </w:rPr>
        <w:t>、重伤半径</w:t>
      </w:r>
      <w:r>
        <w:rPr>
          <w:rFonts w:eastAsia="宋体"/>
          <w:szCs w:val="28"/>
        </w:rPr>
        <w:t>55.3m</w:t>
      </w:r>
      <w:r>
        <w:rPr>
          <w:rFonts w:eastAsia="宋体"/>
          <w:szCs w:val="28"/>
        </w:rPr>
        <w:t>、轻伤半径</w:t>
      </w:r>
      <w:r>
        <w:rPr>
          <w:rFonts w:eastAsia="宋体"/>
          <w:szCs w:val="28"/>
        </w:rPr>
        <w:t>80.6m</w:t>
      </w:r>
      <w:r>
        <w:rPr>
          <w:rFonts w:eastAsia="宋体"/>
          <w:szCs w:val="28"/>
        </w:rPr>
        <w:t>、财产损失半径为</w:t>
      </w:r>
      <w:r>
        <w:rPr>
          <w:rFonts w:eastAsia="宋体"/>
          <w:szCs w:val="28"/>
        </w:rPr>
        <w:t>17.4m</w:t>
      </w:r>
      <w:r>
        <w:rPr>
          <w:rFonts w:eastAsia="宋体"/>
          <w:szCs w:val="28"/>
        </w:rPr>
        <w:t>。</w:t>
      </w:r>
    </w:p>
    <w:p w14:paraId="6582C127" w14:textId="77777777" w:rsidR="002133E3" w:rsidRDefault="00C22CFA">
      <w:pPr>
        <w:pStyle w:val="affff5"/>
        <w:spacing w:line="500" w:lineRule="atLeast"/>
        <w:ind w:firstLine="560"/>
        <w:jc w:val="both"/>
        <w:rPr>
          <w:rFonts w:eastAsia="宋体"/>
          <w:szCs w:val="28"/>
        </w:rPr>
      </w:pPr>
      <w:r>
        <w:rPr>
          <w:rFonts w:eastAsia="宋体"/>
          <w:szCs w:val="28"/>
        </w:rPr>
        <w:t>乙醇泄漏，泄漏量为</w:t>
      </w:r>
      <w:r>
        <w:rPr>
          <w:rFonts w:eastAsia="宋体"/>
          <w:szCs w:val="28"/>
        </w:rPr>
        <w:t>13.45kg/s</w:t>
      </w:r>
      <w:r>
        <w:rPr>
          <w:rFonts w:eastAsia="宋体"/>
          <w:szCs w:val="28"/>
        </w:rPr>
        <w:t>，在低洼处形成</w:t>
      </w:r>
      <w:r>
        <w:rPr>
          <w:rFonts w:eastAsia="宋体"/>
          <w:szCs w:val="28"/>
        </w:rPr>
        <w:t>314m2</w:t>
      </w:r>
      <w:r>
        <w:rPr>
          <w:rFonts w:eastAsia="宋体"/>
          <w:szCs w:val="28"/>
        </w:rPr>
        <w:t>液池而引发火灾时，造成伤害范围为：死亡半径</w:t>
      </w:r>
      <w:r>
        <w:rPr>
          <w:rFonts w:eastAsia="宋体"/>
          <w:szCs w:val="28"/>
        </w:rPr>
        <w:t>34.5m</w:t>
      </w:r>
      <w:r>
        <w:rPr>
          <w:rFonts w:eastAsia="宋体"/>
          <w:szCs w:val="28"/>
        </w:rPr>
        <w:t>、重伤半径</w:t>
      </w:r>
      <w:r>
        <w:rPr>
          <w:rFonts w:eastAsia="宋体"/>
          <w:szCs w:val="28"/>
        </w:rPr>
        <w:t>41.3m</w:t>
      </w:r>
      <w:r>
        <w:rPr>
          <w:rFonts w:eastAsia="宋体"/>
          <w:szCs w:val="28"/>
        </w:rPr>
        <w:t>、轻伤半径</w:t>
      </w:r>
      <w:r>
        <w:rPr>
          <w:rFonts w:eastAsia="宋体"/>
          <w:szCs w:val="28"/>
        </w:rPr>
        <w:t>59.8m</w:t>
      </w:r>
      <w:r>
        <w:rPr>
          <w:rFonts w:eastAsia="宋体"/>
          <w:szCs w:val="28"/>
        </w:rPr>
        <w:t>、财产损失半径为</w:t>
      </w:r>
      <w:r>
        <w:rPr>
          <w:rFonts w:eastAsia="宋体"/>
          <w:szCs w:val="28"/>
        </w:rPr>
        <w:t>13.4m</w:t>
      </w:r>
      <w:r>
        <w:rPr>
          <w:rFonts w:eastAsia="宋体"/>
          <w:szCs w:val="28"/>
        </w:rPr>
        <w:t>。</w:t>
      </w:r>
    </w:p>
    <w:p w14:paraId="6438EE53" w14:textId="77777777" w:rsidR="002133E3" w:rsidRDefault="00C22CFA">
      <w:pPr>
        <w:pStyle w:val="affff5"/>
        <w:spacing w:line="500" w:lineRule="atLeast"/>
        <w:ind w:firstLine="560"/>
        <w:jc w:val="both"/>
        <w:rPr>
          <w:rFonts w:eastAsia="宋体"/>
          <w:szCs w:val="28"/>
        </w:rPr>
      </w:pPr>
      <w:r>
        <w:rPr>
          <w:rFonts w:eastAsia="宋体"/>
          <w:szCs w:val="28"/>
        </w:rPr>
        <w:t>丙酮泄漏，泄漏量为</w:t>
      </w:r>
      <w:r>
        <w:rPr>
          <w:rFonts w:eastAsia="宋体"/>
          <w:szCs w:val="28"/>
        </w:rPr>
        <w:t>13.62kg/s</w:t>
      </w:r>
      <w:r>
        <w:rPr>
          <w:rFonts w:eastAsia="宋体"/>
          <w:szCs w:val="28"/>
        </w:rPr>
        <w:t>，在低洼处形成</w:t>
      </w:r>
      <w:r>
        <w:rPr>
          <w:rFonts w:eastAsia="宋体"/>
          <w:szCs w:val="28"/>
        </w:rPr>
        <w:t>314m2</w:t>
      </w:r>
      <w:r>
        <w:rPr>
          <w:rFonts w:eastAsia="宋体"/>
          <w:szCs w:val="28"/>
        </w:rPr>
        <w:t>液池而引发火灾时，造成伤害范围为：死亡半径</w:t>
      </w:r>
      <w:r>
        <w:rPr>
          <w:rFonts w:eastAsia="宋体"/>
          <w:szCs w:val="28"/>
        </w:rPr>
        <w:t>45.9m</w:t>
      </w:r>
      <w:r>
        <w:rPr>
          <w:rFonts w:eastAsia="宋体"/>
          <w:szCs w:val="28"/>
        </w:rPr>
        <w:t>、重伤半径</w:t>
      </w:r>
      <w:r>
        <w:rPr>
          <w:rFonts w:eastAsia="宋体"/>
          <w:szCs w:val="28"/>
        </w:rPr>
        <w:t>55.5m</w:t>
      </w:r>
      <w:r>
        <w:rPr>
          <w:rFonts w:eastAsia="宋体"/>
          <w:szCs w:val="28"/>
        </w:rPr>
        <w:t>、轻伤半径</w:t>
      </w:r>
      <w:r>
        <w:rPr>
          <w:rFonts w:eastAsia="宋体"/>
          <w:szCs w:val="28"/>
        </w:rPr>
        <w:t>81.1m</w:t>
      </w:r>
      <w:r>
        <w:rPr>
          <w:rFonts w:eastAsia="宋体"/>
          <w:szCs w:val="28"/>
        </w:rPr>
        <w:t>、财产损失半径为</w:t>
      </w:r>
      <w:r>
        <w:rPr>
          <w:rFonts w:eastAsia="宋体"/>
          <w:szCs w:val="28"/>
        </w:rPr>
        <w:t>16.9m</w:t>
      </w:r>
      <w:r>
        <w:rPr>
          <w:rFonts w:eastAsia="宋体"/>
          <w:szCs w:val="28"/>
        </w:rPr>
        <w:t>。</w:t>
      </w:r>
    </w:p>
    <w:p w14:paraId="771BDB56" w14:textId="77777777" w:rsidR="002133E3" w:rsidRDefault="00C22CFA">
      <w:pPr>
        <w:pStyle w:val="affff5"/>
        <w:spacing w:line="500" w:lineRule="atLeast"/>
        <w:ind w:firstLine="560"/>
        <w:jc w:val="both"/>
        <w:rPr>
          <w:rFonts w:eastAsia="宋体"/>
          <w:szCs w:val="28"/>
        </w:rPr>
      </w:pPr>
      <w:r>
        <w:rPr>
          <w:rFonts w:eastAsia="宋体"/>
          <w:szCs w:val="28"/>
        </w:rPr>
        <w:t>氢气泄漏引发火灾爆炸，造成伤害范围为：死亡半径</w:t>
      </w:r>
      <w:r>
        <w:rPr>
          <w:rFonts w:eastAsia="宋体"/>
          <w:szCs w:val="28"/>
        </w:rPr>
        <w:t>9.5m</w:t>
      </w:r>
      <w:r>
        <w:rPr>
          <w:rFonts w:eastAsia="宋体"/>
          <w:szCs w:val="28"/>
        </w:rPr>
        <w:t>、重伤半径</w:t>
      </w:r>
      <w:r>
        <w:rPr>
          <w:rFonts w:eastAsia="宋体"/>
          <w:szCs w:val="28"/>
        </w:rPr>
        <w:t>28.5m</w:t>
      </w:r>
      <w:r>
        <w:rPr>
          <w:rFonts w:eastAsia="宋体"/>
          <w:szCs w:val="28"/>
        </w:rPr>
        <w:t>、轻伤半径</w:t>
      </w:r>
      <w:r>
        <w:rPr>
          <w:rFonts w:eastAsia="宋体"/>
          <w:szCs w:val="28"/>
        </w:rPr>
        <w:t>51.1m</w:t>
      </w:r>
      <w:r>
        <w:rPr>
          <w:rFonts w:eastAsia="宋体"/>
          <w:szCs w:val="28"/>
        </w:rPr>
        <w:t>、财产损失半径为</w:t>
      </w:r>
      <w:r>
        <w:rPr>
          <w:rFonts w:eastAsia="宋体"/>
          <w:szCs w:val="28"/>
        </w:rPr>
        <w:t>16.2m</w:t>
      </w:r>
      <w:r>
        <w:rPr>
          <w:rFonts w:eastAsia="宋体"/>
          <w:szCs w:val="28"/>
        </w:rPr>
        <w:t>。</w:t>
      </w:r>
    </w:p>
    <w:p w14:paraId="02BA75BF" w14:textId="77777777" w:rsidR="002133E3" w:rsidRDefault="00C22CFA">
      <w:pPr>
        <w:pStyle w:val="affff5"/>
        <w:spacing w:line="500" w:lineRule="atLeast"/>
        <w:ind w:firstLine="560"/>
        <w:jc w:val="both"/>
        <w:rPr>
          <w:rFonts w:eastAsia="宋体"/>
          <w:szCs w:val="28"/>
        </w:rPr>
      </w:pPr>
      <w:r>
        <w:rPr>
          <w:rFonts w:eastAsia="宋体"/>
          <w:szCs w:val="28"/>
        </w:rPr>
        <w:t>沼气柜泄漏发生火灾、爆炸，造成的伤害范围为：死亡半径：</w:t>
      </w:r>
      <w:r>
        <w:rPr>
          <w:rFonts w:eastAsia="宋体"/>
          <w:szCs w:val="28"/>
        </w:rPr>
        <w:t>9.5m</w:t>
      </w:r>
      <w:r>
        <w:rPr>
          <w:rFonts w:eastAsia="宋体"/>
          <w:szCs w:val="28"/>
        </w:rPr>
        <w:t>，重伤半径：</w:t>
      </w:r>
      <w:r>
        <w:rPr>
          <w:rFonts w:eastAsia="宋体"/>
          <w:szCs w:val="28"/>
        </w:rPr>
        <w:t>28.5 m</w:t>
      </w:r>
      <w:r>
        <w:rPr>
          <w:rFonts w:eastAsia="宋体"/>
          <w:szCs w:val="28"/>
        </w:rPr>
        <w:t>，轻伤半径：</w:t>
      </w:r>
      <w:r>
        <w:rPr>
          <w:rFonts w:eastAsia="宋体"/>
          <w:szCs w:val="28"/>
        </w:rPr>
        <w:t>51.2 m</w:t>
      </w:r>
      <w:r>
        <w:rPr>
          <w:rFonts w:eastAsia="宋体"/>
          <w:szCs w:val="28"/>
        </w:rPr>
        <w:t>，财产损失半径：</w:t>
      </w:r>
      <w:r>
        <w:rPr>
          <w:rFonts w:eastAsia="宋体"/>
          <w:szCs w:val="28"/>
        </w:rPr>
        <w:t>16.3 m</w:t>
      </w:r>
      <w:r>
        <w:rPr>
          <w:rFonts w:eastAsia="宋体"/>
          <w:szCs w:val="28"/>
        </w:rPr>
        <w:t>。</w:t>
      </w:r>
    </w:p>
    <w:p w14:paraId="4643CB78" w14:textId="77777777" w:rsidR="002133E3" w:rsidRDefault="00C22CFA">
      <w:pPr>
        <w:adjustRightInd w:val="0"/>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根据现有项目环评报告，项目的最大风险值为</w:t>
      </w:r>
      <w:r>
        <w:rPr>
          <w:rFonts w:ascii="Times New Roman" w:eastAsia="宋体" w:hAnsi="Times New Roman" w:cs="Times New Roman"/>
          <w:sz w:val="28"/>
          <w:szCs w:val="28"/>
        </w:rPr>
        <w:t>2×10</w:t>
      </w:r>
      <w:r>
        <w:rPr>
          <w:rFonts w:ascii="Times New Roman" w:eastAsia="宋体" w:hAnsi="Times New Roman" w:cs="Times New Roman"/>
          <w:sz w:val="28"/>
          <w:szCs w:val="28"/>
          <w:vertAlign w:val="superscript"/>
        </w:rPr>
        <w:t>-5</w:t>
      </w:r>
      <w:r>
        <w:rPr>
          <w:rFonts w:ascii="Times New Roman" w:eastAsia="宋体" w:hAnsi="Times New Roman" w:cs="Times New Roman"/>
          <w:sz w:val="28"/>
          <w:szCs w:val="28"/>
        </w:rPr>
        <w:t>/</w:t>
      </w:r>
      <w:r>
        <w:rPr>
          <w:rFonts w:ascii="Times New Roman" w:eastAsia="宋体" w:hAnsi="Times New Roman" w:cs="Times New Roman"/>
          <w:sz w:val="28"/>
          <w:szCs w:val="28"/>
        </w:rPr>
        <w:t>年，小于化工行业可接受的风险值</w:t>
      </w:r>
      <w:r>
        <w:rPr>
          <w:rFonts w:ascii="Times New Roman" w:eastAsia="宋体" w:hAnsi="Times New Roman" w:cs="Times New Roman"/>
          <w:sz w:val="28"/>
          <w:szCs w:val="28"/>
        </w:rPr>
        <w:t>8.33×10</w:t>
      </w:r>
      <w:r>
        <w:rPr>
          <w:rFonts w:ascii="Times New Roman" w:eastAsia="宋体" w:hAnsi="Times New Roman" w:cs="Times New Roman"/>
          <w:sz w:val="28"/>
          <w:szCs w:val="28"/>
          <w:vertAlign w:val="superscript"/>
        </w:rPr>
        <w:t>-5</w:t>
      </w:r>
      <w:r>
        <w:rPr>
          <w:rFonts w:ascii="Times New Roman" w:eastAsia="宋体" w:hAnsi="Times New Roman" w:cs="Times New Roman"/>
          <w:sz w:val="28"/>
          <w:szCs w:val="28"/>
        </w:rPr>
        <w:t>/</w:t>
      </w:r>
      <w:r>
        <w:rPr>
          <w:rFonts w:ascii="Times New Roman" w:eastAsia="宋体" w:hAnsi="Times New Roman" w:cs="Times New Roman"/>
          <w:sz w:val="28"/>
          <w:szCs w:val="28"/>
        </w:rPr>
        <w:t>年，风险水平是可以接受的。</w:t>
      </w:r>
    </w:p>
    <w:p w14:paraId="31E1A572"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本项目风险调查</w:t>
      </w:r>
    </w:p>
    <w:p w14:paraId="3894D1A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环境风险源调查</w:t>
      </w:r>
    </w:p>
    <w:p w14:paraId="403B6881"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危险物质情况</w:t>
      </w:r>
    </w:p>
    <w:p w14:paraId="4224F43B"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28"/>
          <w:sz w:val="28"/>
          <w:szCs w:val="28"/>
        </w:rPr>
      </w:pPr>
      <w:r>
        <w:rPr>
          <w:rFonts w:ascii="Times New Roman" w:eastAsia="宋体" w:hAnsi="Times New Roman" w:cs="Times New Roman"/>
          <w:kern w:val="0"/>
          <w:sz w:val="28"/>
          <w:szCs w:val="28"/>
        </w:rPr>
        <w:t>本项目</w:t>
      </w:r>
      <w:r>
        <w:rPr>
          <w:rFonts w:ascii="Times New Roman" w:eastAsia="宋体" w:hAnsi="Times New Roman" w:cs="Times New Roman"/>
          <w:kern w:val="28"/>
          <w:sz w:val="28"/>
          <w:szCs w:val="28"/>
        </w:rPr>
        <w:t>所涉及的原辅料及产品有关性质列于表</w:t>
      </w:r>
      <w:r>
        <w:rPr>
          <w:rFonts w:ascii="Times New Roman" w:eastAsia="宋体" w:hAnsi="Times New Roman" w:cs="Times New Roman"/>
          <w:kern w:val="28"/>
          <w:sz w:val="28"/>
          <w:szCs w:val="28"/>
        </w:rPr>
        <w:t>4.6-1</w:t>
      </w:r>
      <w:r>
        <w:rPr>
          <w:rFonts w:ascii="Times New Roman" w:eastAsia="宋体" w:hAnsi="Times New Roman" w:cs="Times New Roman"/>
          <w:kern w:val="28"/>
          <w:sz w:val="28"/>
          <w:szCs w:val="28"/>
        </w:rPr>
        <w:t>。</w:t>
      </w:r>
    </w:p>
    <w:p w14:paraId="1EBA4D55" w14:textId="77777777" w:rsidR="002133E3" w:rsidRDefault="00C22CFA">
      <w:pPr>
        <w:adjustRightInd w:val="0"/>
        <w:snapToGrid w:val="0"/>
        <w:spacing w:line="500" w:lineRule="exact"/>
        <w:jc w:val="center"/>
        <w:rPr>
          <w:rFonts w:ascii="Times New Roman" w:eastAsia="宋体" w:hAnsi="Times New Roman" w:cs="Times New Roman"/>
          <w:b/>
          <w:kern w:val="0"/>
          <w:szCs w:val="21"/>
        </w:rPr>
      </w:pPr>
      <w:r>
        <w:rPr>
          <w:rFonts w:ascii="Times New Roman" w:eastAsia="宋体" w:hAnsi="Times New Roman" w:cs="Times New Roman"/>
          <w:b/>
          <w:kern w:val="0"/>
          <w:szCs w:val="21"/>
        </w:rPr>
        <w:t>表</w:t>
      </w:r>
      <w:r>
        <w:rPr>
          <w:rFonts w:ascii="Times New Roman" w:eastAsia="宋体" w:hAnsi="Times New Roman" w:cs="Times New Roman"/>
          <w:b/>
          <w:kern w:val="0"/>
          <w:szCs w:val="21"/>
        </w:rPr>
        <w:t xml:space="preserve">4.6-1  </w:t>
      </w:r>
      <w:r>
        <w:rPr>
          <w:rFonts w:ascii="Times New Roman" w:eastAsia="宋体" w:hAnsi="Times New Roman" w:cs="Times New Roman"/>
          <w:b/>
          <w:kern w:val="0"/>
          <w:szCs w:val="21"/>
        </w:rPr>
        <w:t>本项目主要原辅材料、产品的理化性质、毒性资料表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435"/>
        <w:gridCol w:w="760"/>
        <w:gridCol w:w="866"/>
        <w:gridCol w:w="724"/>
        <w:gridCol w:w="1734"/>
        <w:gridCol w:w="1592"/>
        <w:gridCol w:w="863"/>
        <w:gridCol w:w="1458"/>
        <w:gridCol w:w="698"/>
      </w:tblGrid>
      <w:tr w:rsidR="002133E3" w14:paraId="1ACA6936" w14:textId="77777777" w:rsidTr="009C2E4E">
        <w:trPr>
          <w:trHeight w:val="284"/>
          <w:jc w:val="center"/>
        </w:trPr>
        <w:tc>
          <w:tcPr>
            <w:tcW w:w="367" w:type="pct"/>
            <w:vAlign w:val="center"/>
          </w:tcPr>
          <w:p w14:paraId="6C357DCF"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物质名称</w:t>
            </w:r>
          </w:p>
        </w:tc>
        <w:tc>
          <w:tcPr>
            <w:tcW w:w="220" w:type="pct"/>
            <w:vAlign w:val="center"/>
          </w:tcPr>
          <w:p w14:paraId="5B28566C"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形态</w:t>
            </w:r>
          </w:p>
        </w:tc>
        <w:tc>
          <w:tcPr>
            <w:tcW w:w="385" w:type="pct"/>
            <w:vAlign w:val="center"/>
          </w:tcPr>
          <w:p w14:paraId="3588608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熔点</w:t>
            </w:r>
          </w:p>
          <w:p w14:paraId="4BECC99A"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w:t>
            </w:r>
            <w:r>
              <w:rPr>
                <w:rFonts w:ascii="宋体" w:eastAsia="宋体" w:hAnsi="宋体" w:cs="宋体" w:hint="eastAsia"/>
                <w:b/>
                <w:bCs/>
                <w:kern w:val="0"/>
                <w:szCs w:val="21"/>
              </w:rPr>
              <w:t>℃</w:t>
            </w:r>
            <w:r>
              <w:rPr>
                <w:rFonts w:ascii="Times New Roman" w:eastAsia="宋体" w:hAnsi="Times New Roman" w:cs="Times New Roman"/>
                <w:b/>
                <w:bCs/>
                <w:kern w:val="0"/>
                <w:szCs w:val="21"/>
              </w:rPr>
              <w:t>)</w:t>
            </w:r>
          </w:p>
        </w:tc>
        <w:tc>
          <w:tcPr>
            <w:tcW w:w="439" w:type="pct"/>
            <w:vAlign w:val="center"/>
          </w:tcPr>
          <w:p w14:paraId="55FF049E"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沸点</w:t>
            </w:r>
          </w:p>
          <w:p w14:paraId="3360FBEA"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w:t>
            </w:r>
            <w:r>
              <w:rPr>
                <w:rFonts w:ascii="宋体" w:eastAsia="宋体" w:hAnsi="宋体" w:cs="宋体" w:hint="eastAsia"/>
                <w:b/>
                <w:bCs/>
                <w:kern w:val="0"/>
                <w:szCs w:val="21"/>
              </w:rPr>
              <w:t>℃</w:t>
            </w:r>
            <w:r>
              <w:rPr>
                <w:rFonts w:ascii="Times New Roman" w:eastAsia="宋体" w:hAnsi="Times New Roman" w:cs="Times New Roman"/>
                <w:b/>
                <w:bCs/>
                <w:kern w:val="0"/>
                <w:szCs w:val="21"/>
              </w:rPr>
              <w:t>)</w:t>
            </w:r>
          </w:p>
        </w:tc>
        <w:tc>
          <w:tcPr>
            <w:tcW w:w="367" w:type="pct"/>
            <w:vAlign w:val="center"/>
          </w:tcPr>
          <w:p w14:paraId="2AAD03AB"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闪点</w:t>
            </w:r>
          </w:p>
          <w:p w14:paraId="4A7291C9"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w:t>
            </w:r>
            <w:r>
              <w:rPr>
                <w:rFonts w:ascii="宋体" w:eastAsia="宋体" w:hAnsi="宋体" w:cs="宋体" w:hint="eastAsia"/>
                <w:b/>
                <w:bCs/>
                <w:kern w:val="0"/>
                <w:szCs w:val="21"/>
              </w:rPr>
              <w:t>℃</w:t>
            </w:r>
            <w:r>
              <w:rPr>
                <w:rFonts w:ascii="Times New Roman" w:eastAsia="宋体" w:hAnsi="Times New Roman" w:cs="Times New Roman"/>
                <w:b/>
                <w:bCs/>
                <w:kern w:val="0"/>
                <w:szCs w:val="21"/>
              </w:rPr>
              <w:t>)</w:t>
            </w:r>
          </w:p>
        </w:tc>
        <w:tc>
          <w:tcPr>
            <w:tcW w:w="880" w:type="pct"/>
            <w:vAlign w:val="center"/>
          </w:tcPr>
          <w:p w14:paraId="284F9D9E"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LD50</w:t>
            </w:r>
          </w:p>
          <w:p w14:paraId="115E88D3"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(mg/kg)</w:t>
            </w:r>
          </w:p>
        </w:tc>
        <w:tc>
          <w:tcPr>
            <w:tcW w:w="808" w:type="pct"/>
            <w:vAlign w:val="center"/>
          </w:tcPr>
          <w:p w14:paraId="72B3B2A2"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LC50</w:t>
            </w:r>
          </w:p>
          <w:p w14:paraId="72D8E297"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438" w:type="pct"/>
            <w:vAlign w:val="center"/>
          </w:tcPr>
          <w:p w14:paraId="0579B0DF"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爆炸极限</w:t>
            </w:r>
            <w:r>
              <w:rPr>
                <w:rFonts w:ascii="Times New Roman" w:eastAsia="宋体" w:hAnsi="Times New Roman" w:cs="Times New Roman"/>
                <w:b/>
                <w:bCs/>
                <w:kern w:val="0"/>
                <w:szCs w:val="21"/>
              </w:rPr>
              <w:t>(%)</w:t>
            </w:r>
          </w:p>
        </w:tc>
        <w:tc>
          <w:tcPr>
            <w:tcW w:w="740" w:type="pct"/>
            <w:vAlign w:val="center"/>
          </w:tcPr>
          <w:p w14:paraId="288311C9"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危险性类别</w:t>
            </w:r>
          </w:p>
        </w:tc>
        <w:tc>
          <w:tcPr>
            <w:tcW w:w="354" w:type="pct"/>
            <w:vAlign w:val="center"/>
          </w:tcPr>
          <w:p w14:paraId="474E1D64"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急性毒性</w:t>
            </w:r>
          </w:p>
        </w:tc>
      </w:tr>
      <w:tr w:rsidR="002133E3" w14:paraId="27B82615" w14:textId="77777777" w:rsidTr="009C2E4E">
        <w:trPr>
          <w:trHeight w:val="284"/>
          <w:jc w:val="center"/>
        </w:trPr>
        <w:tc>
          <w:tcPr>
            <w:tcW w:w="367" w:type="pct"/>
            <w:vAlign w:val="center"/>
          </w:tcPr>
          <w:p w14:paraId="6232F4F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木薯干</w:t>
            </w:r>
          </w:p>
        </w:tc>
        <w:tc>
          <w:tcPr>
            <w:tcW w:w="220" w:type="pct"/>
            <w:vAlign w:val="center"/>
          </w:tcPr>
          <w:p w14:paraId="57EC71F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385" w:type="pct"/>
            <w:vAlign w:val="center"/>
          </w:tcPr>
          <w:p w14:paraId="24DDAA9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9" w:type="pct"/>
            <w:vAlign w:val="center"/>
          </w:tcPr>
          <w:p w14:paraId="66E7093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7" w:type="pct"/>
            <w:vAlign w:val="center"/>
          </w:tcPr>
          <w:p w14:paraId="485AA94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80" w:type="pct"/>
            <w:vAlign w:val="center"/>
          </w:tcPr>
          <w:p w14:paraId="591CD82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08" w:type="pct"/>
            <w:vAlign w:val="center"/>
          </w:tcPr>
          <w:p w14:paraId="429CC4A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8" w:type="pct"/>
            <w:vAlign w:val="center"/>
          </w:tcPr>
          <w:p w14:paraId="13302F6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40" w:type="pct"/>
            <w:vAlign w:val="center"/>
          </w:tcPr>
          <w:p w14:paraId="3A965C6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54" w:type="pct"/>
            <w:vAlign w:val="center"/>
          </w:tcPr>
          <w:p w14:paraId="3562BB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402CD977" w14:textId="77777777" w:rsidTr="009C2E4E">
        <w:trPr>
          <w:trHeight w:val="284"/>
          <w:jc w:val="center"/>
        </w:trPr>
        <w:tc>
          <w:tcPr>
            <w:tcW w:w="367" w:type="pct"/>
            <w:vAlign w:val="center"/>
          </w:tcPr>
          <w:p w14:paraId="5E99B47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淀粉酶</w:t>
            </w:r>
          </w:p>
        </w:tc>
        <w:tc>
          <w:tcPr>
            <w:tcW w:w="220" w:type="pct"/>
            <w:vAlign w:val="center"/>
          </w:tcPr>
          <w:p w14:paraId="49AC317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385" w:type="pct"/>
            <w:vAlign w:val="center"/>
          </w:tcPr>
          <w:p w14:paraId="6DF2509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9" w:type="pct"/>
            <w:vAlign w:val="center"/>
          </w:tcPr>
          <w:p w14:paraId="040B5B3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7" w:type="pct"/>
            <w:vAlign w:val="center"/>
          </w:tcPr>
          <w:p w14:paraId="42B7589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80" w:type="pct"/>
            <w:vAlign w:val="center"/>
          </w:tcPr>
          <w:p w14:paraId="0ECDC21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08" w:type="pct"/>
            <w:vAlign w:val="center"/>
          </w:tcPr>
          <w:p w14:paraId="069BB92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8" w:type="pct"/>
            <w:vAlign w:val="center"/>
          </w:tcPr>
          <w:p w14:paraId="1F1B145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40" w:type="pct"/>
            <w:vAlign w:val="center"/>
          </w:tcPr>
          <w:p w14:paraId="6CE81B2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54" w:type="pct"/>
            <w:vAlign w:val="center"/>
          </w:tcPr>
          <w:p w14:paraId="1F66A7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30A12D39" w14:textId="77777777" w:rsidTr="009C2E4E">
        <w:trPr>
          <w:trHeight w:val="284"/>
          <w:jc w:val="center"/>
        </w:trPr>
        <w:tc>
          <w:tcPr>
            <w:tcW w:w="367" w:type="pct"/>
            <w:vAlign w:val="center"/>
          </w:tcPr>
          <w:p w14:paraId="139F6F5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糖化酶</w:t>
            </w:r>
          </w:p>
        </w:tc>
        <w:tc>
          <w:tcPr>
            <w:tcW w:w="220" w:type="pct"/>
            <w:vAlign w:val="center"/>
          </w:tcPr>
          <w:p w14:paraId="667E3C0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385" w:type="pct"/>
            <w:vAlign w:val="center"/>
          </w:tcPr>
          <w:p w14:paraId="13D1F5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9" w:type="pct"/>
            <w:vAlign w:val="center"/>
          </w:tcPr>
          <w:p w14:paraId="78BC17C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7" w:type="pct"/>
            <w:vAlign w:val="center"/>
          </w:tcPr>
          <w:p w14:paraId="62E9562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80" w:type="pct"/>
            <w:vAlign w:val="center"/>
          </w:tcPr>
          <w:p w14:paraId="2C9C0CB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08" w:type="pct"/>
            <w:vAlign w:val="center"/>
          </w:tcPr>
          <w:p w14:paraId="79A162F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8" w:type="pct"/>
            <w:vAlign w:val="center"/>
          </w:tcPr>
          <w:p w14:paraId="3F5E48F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40" w:type="pct"/>
            <w:vAlign w:val="center"/>
          </w:tcPr>
          <w:p w14:paraId="1F21FE3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54" w:type="pct"/>
            <w:vAlign w:val="center"/>
          </w:tcPr>
          <w:p w14:paraId="7622D06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54B94B6E" w14:textId="77777777" w:rsidTr="009C2E4E">
        <w:trPr>
          <w:trHeight w:val="284"/>
          <w:jc w:val="center"/>
        </w:trPr>
        <w:tc>
          <w:tcPr>
            <w:tcW w:w="367" w:type="pct"/>
            <w:vAlign w:val="center"/>
          </w:tcPr>
          <w:p w14:paraId="3250B3A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lastRenderedPageBreak/>
              <w:t>尿素</w:t>
            </w:r>
          </w:p>
        </w:tc>
        <w:tc>
          <w:tcPr>
            <w:tcW w:w="220" w:type="pct"/>
            <w:vAlign w:val="center"/>
          </w:tcPr>
          <w:p w14:paraId="5D09069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385" w:type="pct"/>
            <w:vAlign w:val="center"/>
          </w:tcPr>
          <w:p w14:paraId="3E4F223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132.7</w:t>
            </w:r>
          </w:p>
        </w:tc>
        <w:tc>
          <w:tcPr>
            <w:tcW w:w="439" w:type="pct"/>
            <w:vAlign w:val="center"/>
          </w:tcPr>
          <w:p w14:paraId="7CE0F491" w14:textId="77777777" w:rsidR="002133E3" w:rsidRDefault="002133E3">
            <w:pPr>
              <w:jc w:val="center"/>
              <w:rPr>
                <w:rFonts w:ascii="Times New Roman" w:eastAsia="宋体" w:hAnsi="Times New Roman" w:cs="Times New Roman"/>
                <w:kern w:val="0"/>
                <w:szCs w:val="21"/>
              </w:rPr>
            </w:pPr>
          </w:p>
        </w:tc>
        <w:tc>
          <w:tcPr>
            <w:tcW w:w="367" w:type="pct"/>
            <w:vAlign w:val="center"/>
          </w:tcPr>
          <w:p w14:paraId="5D135549" w14:textId="77777777" w:rsidR="002133E3" w:rsidRDefault="002133E3">
            <w:pPr>
              <w:jc w:val="center"/>
              <w:rPr>
                <w:rFonts w:ascii="Times New Roman" w:eastAsia="宋体" w:hAnsi="Times New Roman" w:cs="Times New Roman"/>
                <w:kern w:val="0"/>
                <w:szCs w:val="21"/>
              </w:rPr>
            </w:pPr>
          </w:p>
        </w:tc>
        <w:tc>
          <w:tcPr>
            <w:tcW w:w="880" w:type="pct"/>
            <w:vAlign w:val="center"/>
          </w:tcPr>
          <w:p w14:paraId="49BBC00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14300(</w:t>
            </w:r>
            <w:r>
              <w:rPr>
                <w:rFonts w:ascii="Times New Roman" w:eastAsia="宋体" w:hAnsi="Times New Roman" w:cs="Times New Roman"/>
                <w:szCs w:val="21"/>
              </w:rPr>
              <w:t>大鼠经口</w:t>
            </w:r>
            <w:r>
              <w:rPr>
                <w:rFonts w:ascii="Times New Roman" w:eastAsia="宋体" w:hAnsi="Times New Roman" w:cs="Times New Roman"/>
                <w:szCs w:val="21"/>
              </w:rPr>
              <w:t>)</w:t>
            </w:r>
          </w:p>
        </w:tc>
        <w:tc>
          <w:tcPr>
            <w:tcW w:w="808" w:type="pct"/>
            <w:vAlign w:val="center"/>
          </w:tcPr>
          <w:p w14:paraId="42C3166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8" w:type="pct"/>
            <w:vAlign w:val="center"/>
          </w:tcPr>
          <w:p w14:paraId="513F2DE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40" w:type="pct"/>
            <w:vAlign w:val="center"/>
          </w:tcPr>
          <w:p w14:paraId="7FD1EC5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54" w:type="pct"/>
            <w:vAlign w:val="center"/>
          </w:tcPr>
          <w:p w14:paraId="33656AA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04F01BC5" w14:textId="77777777" w:rsidTr="009C2E4E">
        <w:trPr>
          <w:trHeight w:val="284"/>
          <w:jc w:val="center"/>
        </w:trPr>
        <w:tc>
          <w:tcPr>
            <w:tcW w:w="367" w:type="pct"/>
            <w:vAlign w:val="center"/>
          </w:tcPr>
          <w:p w14:paraId="5468C14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干酵母</w:t>
            </w:r>
          </w:p>
        </w:tc>
        <w:tc>
          <w:tcPr>
            <w:tcW w:w="220" w:type="pct"/>
            <w:vAlign w:val="center"/>
          </w:tcPr>
          <w:p w14:paraId="51CBBD1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385" w:type="pct"/>
            <w:vAlign w:val="center"/>
          </w:tcPr>
          <w:p w14:paraId="10224F0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9" w:type="pct"/>
            <w:vAlign w:val="center"/>
          </w:tcPr>
          <w:p w14:paraId="0F3ED5C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7" w:type="pct"/>
            <w:vAlign w:val="center"/>
          </w:tcPr>
          <w:p w14:paraId="789BEE0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80" w:type="pct"/>
            <w:vAlign w:val="center"/>
          </w:tcPr>
          <w:p w14:paraId="1107B8B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08" w:type="pct"/>
            <w:vAlign w:val="center"/>
          </w:tcPr>
          <w:p w14:paraId="70454E0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8" w:type="pct"/>
            <w:vAlign w:val="center"/>
          </w:tcPr>
          <w:p w14:paraId="2DCEE8F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40" w:type="pct"/>
            <w:vAlign w:val="center"/>
          </w:tcPr>
          <w:p w14:paraId="75CCFD5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54" w:type="pct"/>
            <w:vAlign w:val="center"/>
          </w:tcPr>
          <w:p w14:paraId="5420AF4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24C9D017" w14:textId="77777777" w:rsidTr="009C2E4E">
        <w:trPr>
          <w:trHeight w:val="284"/>
          <w:jc w:val="center"/>
        </w:trPr>
        <w:tc>
          <w:tcPr>
            <w:tcW w:w="367" w:type="pct"/>
            <w:vAlign w:val="center"/>
          </w:tcPr>
          <w:p w14:paraId="0A660F2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磷酸一铵</w:t>
            </w:r>
          </w:p>
        </w:tc>
        <w:tc>
          <w:tcPr>
            <w:tcW w:w="220" w:type="pct"/>
            <w:vAlign w:val="center"/>
          </w:tcPr>
          <w:p w14:paraId="0860736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385" w:type="pct"/>
            <w:vAlign w:val="center"/>
          </w:tcPr>
          <w:p w14:paraId="7737481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180</w:t>
            </w:r>
          </w:p>
        </w:tc>
        <w:tc>
          <w:tcPr>
            <w:tcW w:w="439" w:type="pct"/>
            <w:vAlign w:val="center"/>
          </w:tcPr>
          <w:p w14:paraId="1ED6BF1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67" w:type="pct"/>
            <w:vAlign w:val="center"/>
          </w:tcPr>
          <w:p w14:paraId="2F6D38C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80" w:type="pct"/>
            <w:vAlign w:val="center"/>
          </w:tcPr>
          <w:p w14:paraId="0C292F2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08" w:type="pct"/>
            <w:vAlign w:val="center"/>
          </w:tcPr>
          <w:p w14:paraId="230379E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438" w:type="pct"/>
            <w:vAlign w:val="center"/>
          </w:tcPr>
          <w:p w14:paraId="5767B73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40" w:type="pct"/>
            <w:vAlign w:val="center"/>
          </w:tcPr>
          <w:p w14:paraId="40EC398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54" w:type="pct"/>
            <w:vAlign w:val="center"/>
          </w:tcPr>
          <w:p w14:paraId="4166EE1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5B6D092D" w14:textId="77777777" w:rsidTr="009C2E4E">
        <w:trPr>
          <w:trHeight w:val="284"/>
          <w:jc w:val="center"/>
        </w:trPr>
        <w:tc>
          <w:tcPr>
            <w:tcW w:w="367" w:type="pct"/>
            <w:vAlign w:val="center"/>
          </w:tcPr>
          <w:p w14:paraId="6D40B80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氢氧化钠</w:t>
            </w:r>
          </w:p>
        </w:tc>
        <w:tc>
          <w:tcPr>
            <w:tcW w:w="220" w:type="pct"/>
            <w:vAlign w:val="center"/>
          </w:tcPr>
          <w:p w14:paraId="66DFDA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固态</w:t>
            </w:r>
          </w:p>
        </w:tc>
        <w:tc>
          <w:tcPr>
            <w:tcW w:w="385" w:type="pct"/>
            <w:vAlign w:val="center"/>
          </w:tcPr>
          <w:p w14:paraId="34C6910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318.4</w:t>
            </w:r>
          </w:p>
        </w:tc>
        <w:tc>
          <w:tcPr>
            <w:tcW w:w="439" w:type="pct"/>
            <w:vAlign w:val="center"/>
          </w:tcPr>
          <w:p w14:paraId="40B6268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1390</w:t>
            </w:r>
          </w:p>
        </w:tc>
        <w:tc>
          <w:tcPr>
            <w:tcW w:w="367" w:type="pct"/>
            <w:vAlign w:val="center"/>
          </w:tcPr>
          <w:p w14:paraId="26F0443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无意义</w:t>
            </w:r>
          </w:p>
        </w:tc>
        <w:tc>
          <w:tcPr>
            <w:tcW w:w="880" w:type="pct"/>
            <w:vAlign w:val="center"/>
          </w:tcPr>
          <w:p w14:paraId="6A749BA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无资料</w:t>
            </w:r>
          </w:p>
        </w:tc>
        <w:tc>
          <w:tcPr>
            <w:tcW w:w="808" w:type="pct"/>
            <w:vAlign w:val="center"/>
          </w:tcPr>
          <w:p w14:paraId="168575E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无资料</w:t>
            </w:r>
          </w:p>
        </w:tc>
        <w:tc>
          <w:tcPr>
            <w:tcW w:w="438" w:type="pct"/>
            <w:vAlign w:val="center"/>
          </w:tcPr>
          <w:p w14:paraId="1908AC8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无意义</w:t>
            </w:r>
          </w:p>
        </w:tc>
        <w:tc>
          <w:tcPr>
            <w:tcW w:w="740" w:type="pct"/>
            <w:vAlign w:val="center"/>
          </w:tcPr>
          <w:p w14:paraId="7CD09FA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第</w:t>
            </w:r>
            <w:r>
              <w:rPr>
                <w:rFonts w:ascii="Times New Roman" w:eastAsia="宋体" w:hAnsi="Times New Roman" w:cs="Times New Roman"/>
                <w:szCs w:val="21"/>
              </w:rPr>
              <w:t>8.2</w:t>
            </w:r>
            <w:r>
              <w:rPr>
                <w:rFonts w:ascii="Times New Roman" w:eastAsia="宋体" w:hAnsi="Times New Roman" w:cs="Times New Roman"/>
                <w:szCs w:val="21"/>
              </w:rPr>
              <w:t>类碱性腐蚀品</w:t>
            </w:r>
          </w:p>
        </w:tc>
        <w:tc>
          <w:tcPr>
            <w:tcW w:w="354" w:type="pct"/>
            <w:vAlign w:val="center"/>
          </w:tcPr>
          <w:p w14:paraId="6A8A6C6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w:t>
            </w:r>
          </w:p>
        </w:tc>
      </w:tr>
      <w:tr w:rsidR="002133E3" w14:paraId="64E729F2" w14:textId="77777777" w:rsidTr="009C2E4E">
        <w:trPr>
          <w:trHeight w:val="284"/>
          <w:jc w:val="center"/>
        </w:trPr>
        <w:tc>
          <w:tcPr>
            <w:tcW w:w="367" w:type="pct"/>
            <w:vAlign w:val="center"/>
          </w:tcPr>
          <w:p w14:paraId="0105DCD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沼气</w:t>
            </w:r>
          </w:p>
        </w:tc>
        <w:tc>
          <w:tcPr>
            <w:tcW w:w="220" w:type="pct"/>
            <w:vAlign w:val="center"/>
          </w:tcPr>
          <w:p w14:paraId="58F4ECC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气态</w:t>
            </w:r>
          </w:p>
        </w:tc>
        <w:tc>
          <w:tcPr>
            <w:tcW w:w="385" w:type="pct"/>
            <w:vAlign w:val="center"/>
          </w:tcPr>
          <w:p w14:paraId="472B961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-182.5</w:t>
            </w:r>
          </w:p>
        </w:tc>
        <w:tc>
          <w:tcPr>
            <w:tcW w:w="439" w:type="pct"/>
            <w:vAlign w:val="center"/>
          </w:tcPr>
          <w:p w14:paraId="6E2A87F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-161.5</w:t>
            </w:r>
          </w:p>
        </w:tc>
        <w:tc>
          <w:tcPr>
            <w:tcW w:w="367" w:type="pct"/>
            <w:vAlign w:val="center"/>
          </w:tcPr>
          <w:p w14:paraId="70AFCA4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-188</w:t>
            </w:r>
          </w:p>
        </w:tc>
        <w:tc>
          <w:tcPr>
            <w:tcW w:w="880" w:type="pct"/>
            <w:vAlign w:val="center"/>
          </w:tcPr>
          <w:p w14:paraId="22EEF54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无资料</w:t>
            </w:r>
          </w:p>
        </w:tc>
        <w:tc>
          <w:tcPr>
            <w:tcW w:w="808" w:type="pct"/>
            <w:vAlign w:val="center"/>
          </w:tcPr>
          <w:p w14:paraId="4443B02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无资料</w:t>
            </w:r>
          </w:p>
        </w:tc>
        <w:tc>
          <w:tcPr>
            <w:tcW w:w="438" w:type="pct"/>
            <w:vAlign w:val="center"/>
          </w:tcPr>
          <w:p w14:paraId="73C8C2F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5.3-15</w:t>
            </w:r>
          </w:p>
        </w:tc>
        <w:tc>
          <w:tcPr>
            <w:tcW w:w="740" w:type="pct"/>
            <w:vAlign w:val="center"/>
          </w:tcPr>
          <w:p w14:paraId="77EB996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第</w:t>
            </w:r>
            <w:r>
              <w:rPr>
                <w:rFonts w:ascii="Times New Roman" w:eastAsia="宋体" w:hAnsi="Times New Roman" w:cs="Times New Roman"/>
                <w:szCs w:val="21"/>
              </w:rPr>
              <w:t>1</w:t>
            </w:r>
            <w:r>
              <w:rPr>
                <w:rFonts w:ascii="Times New Roman" w:eastAsia="宋体" w:hAnsi="Times New Roman" w:cs="Times New Roman"/>
                <w:szCs w:val="21"/>
              </w:rPr>
              <w:t>类可燃气体</w:t>
            </w:r>
          </w:p>
        </w:tc>
        <w:tc>
          <w:tcPr>
            <w:tcW w:w="354" w:type="pct"/>
            <w:vAlign w:val="center"/>
          </w:tcPr>
          <w:p w14:paraId="2468D60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w:t>
            </w:r>
          </w:p>
        </w:tc>
      </w:tr>
      <w:tr w:rsidR="002133E3" w14:paraId="65CD3319" w14:textId="77777777" w:rsidTr="009C2E4E">
        <w:trPr>
          <w:trHeight w:val="284"/>
          <w:jc w:val="center"/>
        </w:trPr>
        <w:tc>
          <w:tcPr>
            <w:tcW w:w="367" w:type="pct"/>
            <w:vAlign w:val="center"/>
          </w:tcPr>
          <w:p w14:paraId="13412898" w14:textId="77777777" w:rsidR="002133E3" w:rsidRDefault="00C22CFA">
            <w:pPr>
              <w:jc w:val="center"/>
              <w:rPr>
                <w:rFonts w:ascii="Times New Roman" w:eastAsia="宋体" w:hAnsi="Times New Roman" w:cs="Times New Roman"/>
                <w:kern w:val="0"/>
                <w:szCs w:val="21"/>
              </w:rPr>
            </w:pPr>
            <w:bookmarkStart w:id="39" w:name="_Hlk72487002"/>
            <w:r>
              <w:rPr>
                <w:rFonts w:ascii="Times New Roman" w:eastAsia="宋体" w:hAnsi="Times New Roman" w:cs="Times New Roman"/>
                <w:kern w:val="0"/>
                <w:szCs w:val="21"/>
              </w:rPr>
              <w:t>乙醇</w:t>
            </w:r>
            <w:bookmarkEnd w:id="39"/>
          </w:p>
        </w:tc>
        <w:tc>
          <w:tcPr>
            <w:tcW w:w="220" w:type="pct"/>
            <w:vAlign w:val="center"/>
          </w:tcPr>
          <w:p w14:paraId="45BF167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液态</w:t>
            </w:r>
          </w:p>
        </w:tc>
        <w:tc>
          <w:tcPr>
            <w:tcW w:w="385" w:type="pct"/>
            <w:vAlign w:val="center"/>
          </w:tcPr>
          <w:p w14:paraId="4ECE163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-114.1</w:t>
            </w:r>
          </w:p>
        </w:tc>
        <w:tc>
          <w:tcPr>
            <w:tcW w:w="439" w:type="pct"/>
            <w:vAlign w:val="center"/>
          </w:tcPr>
          <w:p w14:paraId="533647C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78.3</w:t>
            </w:r>
          </w:p>
        </w:tc>
        <w:tc>
          <w:tcPr>
            <w:tcW w:w="367" w:type="pct"/>
            <w:vAlign w:val="center"/>
          </w:tcPr>
          <w:p w14:paraId="646C0E9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12</w:t>
            </w:r>
          </w:p>
        </w:tc>
        <w:tc>
          <w:tcPr>
            <w:tcW w:w="880" w:type="pct"/>
            <w:vAlign w:val="center"/>
          </w:tcPr>
          <w:p w14:paraId="2079396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7060(</w:t>
            </w:r>
            <w:r>
              <w:rPr>
                <w:rFonts w:ascii="Times New Roman" w:eastAsia="宋体" w:hAnsi="Times New Roman" w:cs="Times New Roman"/>
                <w:szCs w:val="21"/>
              </w:rPr>
              <w:t>兔经口</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7430 (</w:t>
            </w:r>
            <w:r>
              <w:rPr>
                <w:rFonts w:ascii="Times New Roman" w:eastAsia="宋体" w:hAnsi="Times New Roman" w:cs="Times New Roman"/>
                <w:szCs w:val="21"/>
              </w:rPr>
              <w:t>兔经皮</w:t>
            </w:r>
            <w:r>
              <w:rPr>
                <w:rFonts w:ascii="Times New Roman" w:eastAsia="宋体" w:hAnsi="Times New Roman" w:cs="Times New Roman"/>
                <w:szCs w:val="21"/>
              </w:rPr>
              <w:t>)</w:t>
            </w:r>
          </w:p>
        </w:tc>
        <w:tc>
          <w:tcPr>
            <w:tcW w:w="808" w:type="pct"/>
            <w:vAlign w:val="center"/>
          </w:tcPr>
          <w:p w14:paraId="659D2B1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37620</w:t>
            </w:r>
            <w:r>
              <w:rPr>
                <w:rFonts w:ascii="Times New Roman" w:eastAsia="宋体" w:hAnsi="Times New Roman" w:cs="Times New Roman"/>
                <w:szCs w:val="21"/>
              </w:rPr>
              <w:t>，</w:t>
            </w:r>
            <w:r>
              <w:rPr>
                <w:rFonts w:ascii="Times New Roman" w:eastAsia="宋体" w:hAnsi="Times New Roman" w:cs="Times New Roman"/>
                <w:szCs w:val="21"/>
              </w:rPr>
              <w:t>10</w:t>
            </w:r>
            <w:r>
              <w:rPr>
                <w:rFonts w:ascii="Times New Roman" w:eastAsia="宋体" w:hAnsi="Times New Roman" w:cs="Times New Roman"/>
                <w:szCs w:val="21"/>
              </w:rPr>
              <w:t>小时</w:t>
            </w:r>
            <w:r>
              <w:rPr>
                <w:rFonts w:ascii="Times New Roman" w:eastAsia="宋体" w:hAnsi="Times New Roman" w:cs="Times New Roman"/>
                <w:szCs w:val="21"/>
              </w:rPr>
              <w:t>(</w:t>
            </w:r>
            <w:r>
              <w:rPr>
                <w:rFonts w:ascii="Times New Roman" w:eastAsia="宋体" w:hAnsi="Times New Roman" w:cs="Times New Roman"/>
                <w:szCs w:val="21"/>
              </w:rPr>
              <w:t>大鼠吸入</w:t>
            </w:r>
            <w:r>
              <w:rPr>
                <w:rFonts w:ascii="Times New Roman" w:eastAsia="宋体" w:hAnsi="Times New Roman" w:cs="Times New Roman"/>
                <w:szCs w:val="21"/>
              </w:rPr>
              <w:t>)</w:t>
            </w:r>
          </w:p>
        </w:tc>
        <w:tc>
          <w:tcPr>
            <w:tcW w:w="438" w:type="pct"/>
            <w:vAlign w:val="center"/>
          </w:tcPr>
          <w:p w14:paraId="598B146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3.3-19</w:t>
            </w:r>
          </w:p>
        </w:tc>
        <w:tc>
          <w:tcPr>
            <w:tcW w:w="740" w:type="pct"/>
            <w:vAlign w:val="center"/>
          </w:tcPr>
          <w:p w14:paraId="479AA7B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类中闪点易燃液体</w:t>
            </w:r>
          </w:p>
        </w:tc>
        <w:tc>
          <w:tcPr>
            <w:tcW w:w="354" w:type="pct"/>
            <w:vAlign w:val="center"/>
          </w:tcPr>
          <w:p w14:paraId="1320A10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w:t>
            </w:r>
          </w:p>
        </w:tc>
      </w:tr>
      <w:tr w:rsidR="002133E3" w14:paraId="693F23BC" w14:textId="77777777" w:rsidTr="009C2E4E">
        <w:trPr>
          <w:trHeight w:val="284"/>
          <w:jc w:val="center"/>
        </w:trPr>
        <w:tc>
          <w:tcPr>
            <w:tcW w:w="367" w:type="pct"/>
            <w:vAlign w:val="center"/>
          </w:tcPr>
          <w:p w14:paraId="0C2E257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220" w:type="pct"/>
            <w:vAlign w:val="center"/>
          </w:tcPr>
          <w:p w14:paraId="616028D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液态</w:t>
            </w:r>
          </w:p>
        </w:tc>
        <w:tc>
          <w:tcPr>
            <w:tcW w:w="385" w:type="pct"/>
            <w:vAlign w:val="center"/>
          </w:tcPr>
          <w:p w14:paraId="410B751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10.5</w:t>
            </w:r>
          </w:p>
        </w:tc>
        <w:tc>
          <w:tcPr>
            <w:tcW w:w="439" w:type="pct"/>
            <w:vAlign w:val="center"/>
          </w:tcPr>
          <w:p w14:paraId="6F976A3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330</w:t>
            </w:r>
          </w:p>
        </w:tc>
        <w:tc>
          <w:tcPr>
            <w:tcW w:w="367" w:type="pct"/>
            <w:vAlign w:val="center"/>
          </w:tcPr>
          <w:p w14:paraId="1ED293A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80" w:type="pct"/>
            <w:vAlign w:val="center"/>
          </w:tcPr>
          <w:p w14:paraId="0F7829A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2140(</w:t>
            </w:r>
            <w:r>
              <w:rPr>
                <w:rFonts w:ascii="Times New Roman" w:eastAsia="宋体" w:hAnsi="Times New Roman" w:cs="Times New Roman"/>
                <w:szCs w:val="21"/>
              </w:rPr>
              <w:t>大鼠经口</w:t>
            </w:r>
            <w:r>
              <w:rPr>
                <w:rFonts w:ascii="Times New Roman" w:eastAsia="宋体" w:hAnsi="Times New Roman" w:cs="Times New Roman"/>
                <w:szCs w:val="21"/>
              </w:rPr>
              <w:t>)</w:t>
            </w:r>
          </w:p>
        </w:tc>
        <w:tc>
          <w:tcPr>
            <w:tcW w:w="808" w:type="pct"/>
            <w:vAlign w:val="center"/>
          </w:tcPr>
          <w:p w14:paraId="0FE2519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510</w:t>
            </w: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小时</w:t>
            </w:r>
            <w:r>
              <w:rPr>
                <w:rFonts w:ascii="Times New Roman" w:eastAsia="宋体" w:hAnsi="Times New Roman" w:cs="Times New Roman"/>
                <w:szCs w:val="21"/>
              </w:rPr>
              <w:t>(</w:t>
            </w:r>
            <w:r>
              <w:rPr>
                <w:rFonts w:ascii="Times New Roman" w:eastAsia="宋体" w:hAnsi="Times New Roman" w:cs="Times New Roman"/>
                <w:szCs w:val="21"/>
              </w:rPr>
              <w:t>大鼠吸入</w:t>
            </w:r>
            <w:r>
              <w:rPr>
                <w:rFonts w:ascii="Times New Roman" w:eastAsia="宋体" w:hAnsi="Times New Roman" w:cs="Times New Roman"/>
                <w:szCs w:val="21"/>
              </w:rPr>
              <w:t>)</w:t>
            </w:r>
          </w:p>
        </w:tc>
        <w:tc>
          <w:tcPr>
            <w:tcW w:w="438" w:type="pct"/>
            <w:vAlign w:val="center"/>
          </w:tcPr>
          <w:p w14:paraId="786105F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40" w:type="pct"/>
            <w:vAlign w:val="center"/>
          </w:tcPr>
          <w:p w14:paraId="3D2EB51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第</w:t>
            </w:r>
            <w:r>
              <w:rPr>
                <w:rFonts w:ascii="Times New Roman" w:eastAsia="宋体" w:hAnsi="Times New Roman" w:cs="Times New Roman"/>
                <w:szCs w:val="21"/>
              </w:rPr>
              <w:t>8.1</w:t>
            </w:r>
            <w:r>
              <w:rPr>
                <w:rFonts w:ascii="Times New Roman" w:eastAsia="宋体" w:hAnsi="Times New Roman" w:cs="Times New Roman"/>
                <w:szCs w:val="21"/>
              </w:rPr>
              <w:t>类酸性腐蚀品</w:t>
            </w:r>
          </w:p>
        </w:tc>
        <w:tc>
          <w:tcPr>
            <w:tcW w:w="354" w:type="pct"/>
            <w:vAlign w:val="center"/>
          </w:tcPr>
          <w:p w14:paraId="43E5FD9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类别</w:t>
            </w:r>
            <w:r>
              <w:rPr>
                <w:rFonts w:ascii="Times New Roman" w:eastAsia="宋体" w:hAnsi="Times New Roman" w:cs="Times New Roman"/>
                <w:szCs w:val="21"/>
              </w:rPr>
              <w:t>5</w:t>
            </w:r>
          </w:p>
        </w:tc>
      </w:tr>
    </w:tbl>
    <w:p w14:paraId="364AC9E0"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生产工艺特点</w:t>
      </w:r>
    </w:p>
    <w:p w14:paraId="6E2F6366"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本项目产品工艺特点见表</w:t>
      </w:r>
      <w:r>
        <w:rPr>
          <w:rFonts w:ascii="Times New Roman" w:eastAsia="宋体" w:hAnsi="Times New Roman" w:cs="Times New Roman"/>
          <w:kern w:val="0"/>
          <w:sz w:val="28"/>
          <w:szCs w:val="28"/>
        </w:rPr>
        <w:t>4.6-2</w:t>
      </w:r>
      <w:r>
        <w:rPr>
          <w:rFonts w:ascii="Times New Roman" w:eastAsia="宋体" w:hAnsi="Times New Roman" w:cs="Times New Roman"/>
          <w:kern w:val="0"/>
          <w:sz w:val="28"/>
          <w:szCs w:val="28"/>
        </w:rPr>
        <w:t>。</w:t>
      </w:r>
    </w:p>
    <w:p w14:paraId="2B0535C5" w14:textId="77777777" w:rsidR="002133E3" w:rsidRDefault="00C22CFA">
      <w:pPr>
        <w:adjustRightInd w:val="0"/>
        <w:snapToGrid w:val="0"/>
        <w:spacing w:line="50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4.6-2</w:t>
      </w:r>
      <w:r>
        <w:rPr>
          <w:rFonts w:ascii="Times New Roman" w:eastAsia="宋体" w:hAnsi="Times New Roman" w:cs="Times New Roman"/>
          <w:b/>
          <w:kern w:val="0"/>
          <w:sz w:val="24"/>
          <w:szCs w:val="21"/>
        </w:rPr>
        <w:t>产品工艺特点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303"/>
        <w:gridCol w:w="1451"/>
        <w:gridCol w:w="1596"/>
        <w:gridCol w:w="1886"/>
        <w:gridCol w:w="2024"/>
      </w:tblGrid>
      <w:tr w:rsidR="002133E3" w14:paraId="047F9809" w14:textId="77777777">
        <w:trPr>
          <w:trHeight w:val="226"/>
          <w:jc w:val="center"/>
        </w:trPr>
        <w:tc>
          <w:tcPr>
            <w:tcW w:w="809" w:type="pct"/>
            <w:shd w:val="clear" w:color="auto" w:fill="auto"/>
            <w:vAlign w:val="center"/>
          </w:tcPr>
          <w:p w14:paraId="01EC87D5"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产品名称</w:t>
            </w:r>
          </w:p>
        </w:tc>
        <w:tc>
          <w:tcPr>
            <w:tcW w:w="661" w:type="pct"/>
            <w:shd w:val="clear" w:color="auto" w:fill="auto"/>
            <w:vAlign w:val="center"/>
          </w:tcPr>
          <w:p w14:paraId="6A23B1DF"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反应名称</w:t>
            </w:r>
          </w:p>
        </w:tc>
        <w:tc>
          <w:tcPr>
            <w:tcW w:w="736" w:type="pct"/>
            <w:shd w:val="clear" w:color="auto" w:fill="auto"/>
            <w:vAlign w:val="center"/>
          </w:tcPr>
          <w:p w14:paraId="766B9A64"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参数名称</w:t>
            </w:r>
          </w:p>
        </w:tc>
        <w:tc>
          <w:tcPr>
            <w:tcW w:w="810" w:type="pct"/>
            <w:shd w:val="clear" w:color="auto" w:fill="auto"/>
            <w:vAlign w:val="center"/>
          </w:tcPr>
          <w:p w14:paraId="190EF221"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项目情况</w:t>
            </w:r>
          </w:p>
        </w:tc>
        <w:tc>
          <w:tcPr>
            <w:tcW w:w="957" w:type="pct"/>
            <w:vAlign w:val="center"/>
          </w:tcPr>
          <w:p w14:paraId="6D6BA2F1"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kern w:val="0"/>
                <w:szCs w:val="21"/>
              </w:rPr>
              <w:t>危险物质</w:t>
            </w:r>
          </w:p>
        </w:tc>
        <w:tc>
          <w:tcPr>
            <w:tcW w:w="1027" w:type="pct"/>
            <w:vAlign w:val="center"/>
          </w:tcPr>
          <w:p w14:paraId="5556F847"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kern w:val="0"/>
                <w:szCs w:val="21"/>
              </w:rPr>
              <w:t>危险特性</w:t>
            </w:r>
          </w:p>
        </w:tc>
      </w:tr>
      <w:tr w:rsidR="002133E3" w14:paraId="2AD07920" w14:textId="77777777">
        <w:trPr>
          <w:trHeight w:val="226"/>
          <w:jc w:val="center"/>
        </w:trPr>
        <w:tc>
          <w:tcPr>
            <w:tcW w:w="809" w:type="pct"/>
            <w:vMerge w:val="restart"/>
            <w:shd w:val="clear" w:color="auto" w:fill="auto"/>
            <w:vAlign w:val="center"/>
          </w:tcPr>
          <w:p w14:paraId="2DF8356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酒精</w:t>
            </w:r>
            <w:r>
              <w:rPr>
                <w:rFonts w:ascii="Times New Roman" w:eastAsia="宋体" w:hAnsi="Times New Roman" w:cs="Times New Roman"/>
                <w:szCs w:val="21"/>
              </w:rPr>
              <w:t>(≥95%,V/V)</w:t>
            </w:r>
          </w:p>
        </w:tc>
        <w:tc>
          <w:tcPr>
            <w:tcW w:w="661" w:type="pct"/>
            <w:vMerge w:val="restart"/>
            <w:shd w:val="clear" w:color="auto" w:fill="auto"/>
            <w:vAlign w:val="center"/>
          </w:tcPr>
          <w:p w14:paraId="2624DF92"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蒸煮液化</w:t>
            </w:r>
          </w:p>
        </w:tc>
        <w:tc>
          <w:tcPr>
            <w:tcW w:w="736" w:type="pct"/>
            <w:shd w:val="clear" w:color="auto" w:fill="auto"/>
            <w:vAlign w:val="center"/>
          </w:tcPr>
          <w:p w14:paraId="6FA1BE40"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反应温度</w:t>
            </w:r>
          </w:p>
        </w:tc>
        <w:tc>
          <w:tcPr>
            <w:tcW w:w="810" w:type="pct"/>
            <w:shd w:val="clear" w:color="auto" w:fill="auto"/>
            <w:vAlign w:val="center"/>
          </w:tcPr>
          <w:p w14:paraId="2B0C91C4"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86~105</w:t>
            </w:r>
            <w:r>
              <w:rPr>
                <w:rFonts w:ascii="宋体" w:eastAsia="宋体" w:hAnsi="宋体" w:cs="宋体" w:hint="eastAsia"/>
                <w:szCs w:val="21"/>
              </w:rPr>
              <w:t>℃</w:t>
            </w:r>
          </w:p>
        </w:tc>
        <w:tc>
          <w:tcPr>
            <w:tcW w:w="957" w:type="pct"/>
            <w:vMerge w:val="restart"/>
            <w:vAlign w:val="center"/>
          </w:tcPr>
          <w:p w14:paraId="1C40D111"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1027" w:type="pct"/>
            <w:vMerge w:val="restart"/>
            <w:vAlign w:val="center"/>
          </w:tcPr>
          <w:p w14:paraId="7DA129E0"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物料泄漏、火灾、爆炸</w:t>
            </w:r>
          </w:p>
        </w:tc>
      </w:tr>
      <w:tr w:rsidR="002133E3" w14:paraId="22CB4B17" w14:textId="77777777">
        <w:trPr>
          <w:trHeight w:val="240"/>
          <w:jc w:val="center"/>
        </w:trPr>
        <w:tc>
          <w:tcPr>
            <w:tcW w:w="809" w:type="pct"/>
            <w:vMerge/>
            <w:shd w:val="clear" w:color="auto" w:fill="auto"/>
            <w:vAlign w:val="center"/>
          </w:tcPr>
          <w:p w14:paraId="1AC3991E" w14:textId="77777777" w:rsidR="002133E3" w:rsidRDefault="002133E3">
            <w:pPr>
              <w:adjustRightInd w:val="0"/>
              <w:snapToGrid w:val="0"/>
              <w:jc w:val="center"/>
              <w:rPr>
                <w:rFonts w:ascii="Times New Roman" w:eastAsia="宋体" w:hAnsi="Times New Roman" w:cs="Times New Roman"/>
                <w:szCs w:val="21"/>
              </w:rPr>
            </w:pPr>
          </w:p>
        </w:tc>
        <w:tc>
          <w:tcPr>
            <w:tcW w:w="661" w:type="pct"/>
            <w:vMerge/>
            <w:shd w:val="clear" w:color="auto" w:fill="auto"/>
            <w:vAlign w:val="center"/>
          </w:tcPr>
          <w:p w14:paraId="5CD5DB3B" w14:textId="77777777" w:rsidR="002133E3" w:rsidRDefault="002133E3">
            <w:pPr>
              <w:adjustRightInd w:val="0"/>
              <w:snapToGrid w:val="0"/>
              <w:jc w:val="center"/>
              <w:rPr>
                <w:rFonts w:ascii="Times New Roman" w:eastAsia="宋体" w:hAnsi="Times New Roman" w:cs="Times New Roman"/>
                <w:szCs w:val="21"/>
              </w:rPr>
            </w:pPr>
          </w:p>
        </w:tc>
        <w:tc>
          <w:tcPr>
            <w:tcW w:w="736" w:type="pct"/>
            <w:shd w:val="clear" w:color="auto" w:fill="auto"/>
            <w:vAlign w:val="center"/>
          </w:tcPr>
          <w:p w14:paraId="13483D47"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反应压力</w:t>
            </w:r>
          </w:p>
        </w:tc>
        <w:tc>
          <w:tcPr>
            <w:tcW w:w="810" w:type="pct"/>
            <w:shd w:val="clear" w:color="auto" w:fill="auto"/>
            <w:vAlign w:val="center"/>
          </w:tcPr>
          <w:p w14:paraId="55639446"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常压</w:t>
            </w:r>
          </w:p>
        </w:tc>
        <w:tc>
          <w:tcPr>
            <w:tcW w:w="957" w:type="pct"/>
            <w:vMerge/>
            <w:vAlign w:val="center"/>
          </w:tcPr>
          <w:p w14:paraId="683C2635" w14:textId="77777777" w:rsidR="002133E3" w:rsidRDefault="002133E3">
            <w:pPr>
              <w:adjustRightInd w:val="0"/>
              <w:snapToGrid w:val="0"/>
              <w:jc w:val="center"/>
              <w:rPr>
                <w:rFonts w:ascii="Times New Roman" w:eastAsia="宋体" w:hAnsi="Times New Roman" w:cs="Times New Roman"/>
                <w:szCs w:val="21"/>
              </w:rPr>
            </w:pPr>
          </w:p>
        </w:tc>
        <w:tc>
          <w:tcPr>
            <w:tcW w:w="1027" w:type="pct"/>
            <w:vMerge/>
            <w:vAlign w:val="center"/>
          </w:tcPr>
          <w:p w14:paraId="6692A4DB" w14:textId="77777777" w:rsidR="002133E3" w:rsidRDefault="002133E3">
            <w:pPr>
              <w:adjustRightInd w:val="0"/>
              <w:snapToGrid w:val="0"/>
              <w:jc w:val="center"/>
              <w:rPr>
                <w:rFonts w:ascii="Times New Roman" w:eastAsia="宋体" w:hAnsi="Times New Roman" w:cs="Times New Roman"/>
                <w:szCs w:val="21"/>
              </w:rPr>
            </w:pPr>
          </w:p>
        </w:tc>
      </w:tr>
      <w:tr w:rsidR="002133E3" w14:paraId="3A5B1226" w14:textId="77777777">
        <w:trPr>
          <w:trHeight w:val="240"/>
          <w:jc w:val="center"/>
        </w:trPr>
        <w:tc>
          <w:tcPr>
            <w:tcW w:w="809" w:type="pct"/>
            <w:vMerge/>
            <w:shd w:val="clear" w:color="auto" w:fill="auto"/>
            <w:vAlign w:val="center"/>
          </w:tcPr>
          <w:p w14:paraId="6C0C698D" w14:textId="77777777" w:rsidR="002133E3" w:rsidRDefault="002133E3">
            <w:pPr>
              <w:adjustRightInd w:val="0"/>
              <w:snapToGrid w:val="0"/>
              <w:jc w:val="center"/>
              <w:rPr>
                <w:rFonts w:ascii="Times New Roman" w:eastAsia="宋体" w:hAnsi="Times New Roman" w:cs="Times New Roman"/>
                <w:szCs w:val="21"/>
              </w:rPr>
            </w:pPr>
          </w:p>
        </w:tc>
        <w:tc>
          <w:tcPr>
            <w:tcW w:w="661" w:type="pct"/>
            <w:vMerge w:val="restart"/>
            <w:shd w:val="clear" w:color="auto" w:fill="auto"/>
            <w:vAlign w:val="center"/>
          </w:tcPr>
          <w:p w14:paraId="333A28E8"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糖化</w:t>
            </w:r>
          </w:p>
        </w:tc>
        <w:tc>
          <w:tcPr>
            <w:tcW w:w="736" w:type="pct"/>
            <w:shd w:val="clear" w:color="auto" w:fill="auto"/>
            <w:vAlign w:val="center"/>
          </w:tcPr>
          <w:p w14:paraId="5940084C"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反应温度</w:t>
            </w:r>
          </w:p>
        </w:tc>
        <w:tc>
          <w:tcPr>
            <w:tcW w:w="810" w:type="pct"/>
            <w:shd w:val="clear" w:color="auto" w:fill="auto"/>
            <w:vAlign w:val="center"/>
          </w:tcPr>
          <w:p w14:paraId="088B3869"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58~62</w:t>
            </w:r>
            <w:r>
              <w:rPr>
                <w:rFonts w:ascii="宋体" w:eastAsia="宋体" w:hAnsi="宋体" w:cs="宋体" w:hint="eastAsia"/>
                <w:szCs w:val="21"/>
              </w:rPr>
              <w:t>℃</w:t>
            </w:r>
          </w:p>
        </w:tc>
        <w:tc>
          <w:tcPr>
            <w:tcW w:w="957" w:type="pct"/>
            <w:vMerge w:val="restart"/>
            <w:vAlign w:val="center"/>
          </w:tcPr>
          <w:p w14:paraId="5FFFBDBA" w14:textId="554F8120"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硫酸等</w:t>
            </w:r>
          </w:p>
        </w:tc>
        <w:tc>
          <w:tcPr>
            <w:tcW w:w="1027" w:type="pct"/>
            <w:vMerge w:val="restart"/>
            <w:vAlign w:val="center"/>
          </w:tcPr>
          <w:p w14:paraId="711E8180"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物料泄漏、火灾、爆炸</w:t>
            </w:r>
          </w:p>
        </w:tc>
      </w:tr>
      <w:tr w:rsidR="002133E3" w14:paraId="1C5D86B7" w14:textId="77777777">
        <w:trPr>
          <w:trHeight w:val="240"/>
          <w:jc w:val="center"/>
        </w:trPr>
        <w:tc>
          <w:tcPr>
            <w:tcW w:w="809" w:type="pct"/>
            <w:vMerge/>
            <w:shd w:val="clear" w:color="auto" w:fill="auto"/>
            <w:vAlign w:val="center"/>
          </w:tcPr>
          <w:p w14:paraId="52D3FF04" w14:textId="77777777" w:rsidR="002133E3" w:rsidRDefault="002133E3">
            <w:pPr>
              <w:adjustRightInd w:val="0"/>
              <w:snapToGrid w:val="0"/>
              <w:jc w:val="center"/>
              <w:rPr>
                <w:rFonts w:ascii="Times New Roman" w:eastAsia="宋体" w:hAnsi="Times New Roman" w:cs="Times New Roman"/>
                <w:szCs w:val="21"/>
              </w:rPr>
            </w:pPr>
          </w:p>
        </w:tc>
        <w:tc>
          <w:tcPr>
            <w:tcW w:w="661" w:type="pct"/>
            <w:vMerge/>
            <w:shd w:val="clear" w:color="auto" w:fill="auto"/>
            <w:vAlign w:val="center"/>
          </w:tcPr>
          <w:p w14:paraId="29EB13AC" w14:textId="77777777" w:rsidR="002133E3" w:rsidRDefault="002133E3">
            <w:pPr>
              <w:adjustRightInd w:val="0"/>
              <w:snapToGrid w:val="0"/>
              <w:jc w:val="center"/>
              <w:rPr>
                <w:rFonts w:ascii="Times New Roman" w:eastAsia="宋体" w:hAnsi="Times New Roman" w:cs="Times New Roman"/>
                <w:szCs w:val="21"/>
              </w:rPr>
            </w:pPr>
          </w:p>
        </w:tc>
        <w:tc>
          <w:tcPr>
            <w:tcW w:w="736" w:type="pct"/>
            <w:shd w:val="clear" w:color="auto" w:fill="auto"/>
            <w:vAlign w:val="center"/>
          </w:tcPr>
          <w:p w14:paraId="3A5E7172"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反应压力</w:t>
            </w:r>
          </w:p>
        </w:tc>
        <w:tc>
          <w:tcPr>
            <w:tcW w:w="810" w:type="pct"/>
            <w:shd w:val="clear" w:color="auto" w:fill="auto"/>
            <w:vAlign w:val="center"/>
          </w:tcPr>
          <w:p w14:paraId="5432F296"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常压</w:t>
            </w:r>
          </w:p>
        </w:tc>
        <w:tc>
          <w:tcPr>
            <w:tcW w:w="957" w:type="pct"/>
            <w:vMerge/>
            <w:vAlign w:val="center"/>
          </w:tcPr>
          <w:p w14:paraId="41914BF8" w14:textId="77777777" w:rsidR="002133E3" w:rsidRDefault="002133E3">
            <w:pPr>
              <w:adjustRightInd w:val="0"/>
              <w:snapToGrid w:val="0"/>
              <w:jc w:val="center"/>
              <w:rPr>
                <w:rFonts w:ascii="Times New Roman" w:eastAsia="宋体" w:hAnsi="Times New Roman" w:cs="Times New Roman"/>
                <w:szCs w:val="21"/>
              </w:rPr>
            </w:pPr>
          </w:p>
        </w:tc>
        <w:tc>
          <w:tcPr>
            <w:tcW w:w="1027" w:type="pct"/>
            <w:vMerge/>
            <w:vAlign w:val="center"/>
          </w:tcPr>
          <w:p w14:paraId="7E1C3D03" w14:textId="77777777" w:rsidR="002133E3" w:rsidRDefault="002133E3">
            <w:pPr>
              <w:adjustRightInd w:val="0"/>
              <w:snapToGrid w:val="0"/>
              <w:jc w:val="center"/>
              <w:rPr>
                <w:rFonts w:ascii="Times New Roman" w:eastAsia="宋体" w:hAnsi="Times New Roman" w:cs="Times New Roman"/>
                <w:szCs w:val="21"/>
              </w:rPr>
            </w:pPr>
          </w:p>
        </w:tc>
      </w:tr>
      <w:tr w:rsidR="002133E3" w14:paraId="42CB5ADC" w14:textId="77777777">
        <w:trPr>
          <w:trHeight w:val="240"/>
          <w:jc w:val="center"/>
        </w:trPr>
        <w:tc>
          <w:tcPr>
            <w:tcW w:w="809" w:type="pct"/>
            <w:vMerge/>
            <w:shd w:val="clear" w:color="auto" w:fill="auto"/>
            <w:vAlign w:val="center"/>
          </w:tcPr>
          <w:p w14:paraId="4B05E03D" w14:textId="77777777" w:rsidR="002133E3" w:rsidRDefault="002133E3">
            <w:pPr>
              <w:adjustRightInd w:val="0"/>
              <w:snapToGrid w:val="0"/>
              <w:jc w:val="center"/>
              <w:rPr>
                <w:rFonts w:ascii="Times New Roman" w:eastAsia="宋体" w:hAnsi="Times New Roman" w:cs="Times New Roman"/>
                <w:szCs w:val="21"/>
              </w:rPr>
            </w:pPr>
          </w:p>
        </w:tc>
        <w:tc>
          <w:tcPr>
            <w:tcW w:w="661" w:type="pct"/>
            <w:vMerge w:val="restart"/>
            <w:shd w:val="clear" w:color="auto" w:fill="auto"/>
            <w:vAlign w:val="center"/>
          </w:tcPr>
          <w:p w14:paraId="3B78621F"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发酵</w:t>
            </w:r>
          </w:p>
        </w:tc>
        <w:tc>
          <w:tcPr>
            <w:tcW w:w="736" w:type="pct"/>
            <w:shd w:val="clear" w:color="auto" w:fill="auto"/>
            <w:vAlign w:val="center"/>
          </w:tcPr>
          <w:p w14:paraId="14591090"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反应温度</w:t>
            </w:r>
          </w:p>
        </w:tc>
        <w:tc>
          <w:tcPr>
            <w:tcW w:w="810" w:type="pct"/>
            <w:shd w:val="clear" w:color="auto" w:fill="auto"/>
            <w:vAlign w:val="center"/>
          </w:tcPr>
          <w:p w14:paraId="37DD1ADC"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29.5~35</w:t>
            </w:r>
            <w:r>
              <w:rPr>
                <w:rFonts w:ascii="宋体" w:eastAsia="宋体" w:hAnsi="宋体" w:cs="宋体" w:hint="eastAsia"/>
                <w:szCs w:val="21"/>
              </w:rPr>
              <w:t>℃</w:t>
            </w:r>
          </w:p>
        </w:tc>
        <w:tc>
          <w:tcPr>
            <w:tcW w:w="957" w:type="pct"/>
            <w:vMerge w:val="restart"/>
            <w:vAlign w:val="center"/>
          </w:tcPr>
          <w:p w14:paraId="385C4CC1" w14:textId="66198310"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硫酸、乙醇等</w:t>
            </w:r>
          </w:p>
        </w:tc>
        <w:tc>
          <w:tcPr>
            <w:tcW w:w="1027" w:type="pct"/>
            <w:vMerge w:val="restart"/>
            <w:vAlign w:val="center"/>
          </w:tcPr>
          <w:p w14:paraId="47F951FE"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物料泄漏、火灾、爆炸</w:t>
            </w:r>
          </w:p>
        </w:tc>
      </w:tr>
      <w:tr w:rsidR="002133E3" w14:paraId="25DF76F3" w14:textId="77777777">
        <w:trPr>
          <w:trHeight w:val="240"/>
          <w:jc w:val="center"/>
        </w:trPr>
        <w:tc>
          <w:tcPr>
            <w:tcW w:w="809" w:type="pct"/>
            <w:vMerge/>
            <w:shd w:val="clear" w:color="auto" w:fill="auto"/>
            <w:vAlign w:val="center"/>
          </w:tcPr>
          <w:p w14:paraId="0E697EBE" w14:textId="77777777" w:rsidR="002133E3" w:rsidRDefault="002133E3">
            <w:pPr>
              <w:adjustRightInd w:val="0"/>
              <w:snapToGrid w:val="0"/>
              <w:jc w:val="center"/>
              <w:rPr>
                <w:rFonts w:ascii="Times New Roman" w:eastAsia="宋体" w:hAnsi="Times New Roman" w:cs="Times New Roman"/>
                <w:szCs w:val="21"/>
              </w:rPr>
            </w:pPr>
          </w:p>
        </w:tc>
        <w:tc>
          <w:tcPr>
            <w:tcW w:w="661" w:type="pct"/>
            <w:vMerge/>
            <w:shd w:val="clear" w:color="auto" w:fill="auto"/>
            <w:vAlign w:val="center"/>
          </w:tcPr>
          <w:p w14:paraId="00300A2E" w14:textId="77777777" w:rsidR="002133E3" w:rsidRDefault="002133E3">
            <w:pPr>
              <w:adjustRightInd w:val="0"/>
              <w:snapToGrid w:val="0"/>
              <w:jc w:val="center"/>
              <w:rPr>
                <w:rFonts w:ascii="Times New Roman" w:eastAsia="宋体" w:hAnsi="Times New Roman" w:cs="Times New Roman"/>
                <w:szCs w:val="21"/>
              </w:rPr>
            </w:pPr>
          </w:p>
        </w:tc>
        <w:tc>
          <w:tcPr>
            <w:tcW w:w="736" w:type="pct"/>
            <w:shd w:val="clear" w:color="auto" w:fill="auto"/>
            <w:vAlign w:val="center"/>
          </w:tcPr>
          <w:p w14:paraId="4E03414E"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反应压力</w:t>
            </w:r>
          </w:p>
        </w:tc>
        <w:tc>
          <w:tcPr>
            <w:tcW w:w="810" w:type="pct"/>
            <w:shd w:val="clear" w:color="auto" w:fill="auto"/>
            <w:vAlign w:val="center"/>
          </w:tcPr>
          <w:p w14:paraId="6DED28D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常压</w:t>
            </w:r>
          </w:p>
        </w:tc>
        <w:tc>
          <w:tcPr>
            <w:tcW w:w="957" w:type="pct"/>
            <w:vMerge/>
            <w:vAlign w:val="center"/>
          </w:tcPr>
          <w:p w14:paraId="3E440690" w14:textId="77777777" w:rsidR="002133E3" w:rsidRDefault="002133E3">
            <w:pPr>
              <w:adjustRightInd w:val="0"/>
              <w:snapToGrid w:val="0"/>
              <w:jc w:val="center"/>
              <w:rPr>
                <w:rFonts w:ascii="Times New Roman" w:eastAsia="宋体" w:hAnsi="Times New Roman" w:cs="Times New Roman"/>
                <w:szCs w:val="21"/>
              </w:rPr>
            </w:pPr>
          </w:p>
        </w:tc>
        <w:tc>
          <w:tcPr>
            <w:tcW w:w="1027" w:type="pct"/>
            <w:vMerge/>
            <w:vAlign w:val="center"/>
          </w:tcPr>
          <w:p w14:paraId="52BC88F8" w14:textId="77777777" w:rsidR="002133E3" w:rsidRDefault="002133E3">
            <w:pPr>
              <w:adjustRightInd w:val="0"/>
              <w:snapToGrid w:val="0"/>
              <w:jc w:val="center"/>
              <w:rPr>
                <w:rFonts w:ascii="Times New Roman" w:eastAsia="宋体" w:hAnsi="Times New Roman" w:cs="Times New Roman"/>
                <w:szCs w:val="21"/>
              </w:rPr>
            </w:pPr>
          </w:p>
        </w:tc>
      </w:tr>
      <w:tr w:rsidR="002133E3" w14:paraId="401314B5" w14:textId="77777777">
        <w:trPr>
          <w:trHeight w:val="240"/>
          <w:jc w:val="center"/>
        </w:trPr>
        <w:tc>
          <w:tcPr>
            <w:tcW w:w="809" w:type="pct"/>
            <w:vMerge/>
            <w:shd w:val="clear" w:color="auto" w:fill="auto"/>
            <w:vAlign w:val="center"/>
          </w:tcPr>
          <w:p w14:paraId="08E30E7D" w14:textId="77777777" w:rsidR="002133E3" w:rsidRDefault="002133E3">
            <w:pPr>
              <w:adjustRightInd w:val="0"/>
              <w:snapToGrid w:val="0"/>
              <w:jc w:val="center"/>
              <w:rPr>
                <w:rFonts w:ascii="Times New Roman" w:eastAsia="宋体" w:hAnsi="Times New Roman" w:cs="Times New Roman"/>
                <w:szCs w:val="21"/>
              </w:rPr>
            </w:pPr>
          </w:p>
        </w:tc>
        <w:tc>
          <w:tcPr>
            <w:tcW w:w="661" w:type="pct"/>
            <w:vMerge w:val="restart"/>
            <w:shd w:val="clear" w:color="auto" w:fill="auto"/>
            <w:vAlign w:val="center"/>
          </w:tcPr>
          <w:p w14:paraId="09AF8C75"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蒸馏</w:t>
            </w:r>
          </w:p>
        </w:tc>
        <w:tc>
          <w:tcPr>
            <w:tcW w:w="736" w:type="pct"/>
            <w:shd w:val="clear" w:color="auto" w:fill="auto"/>
            <w:vAlign w:val="center"/>
          </w:tcPr>
          <w:p w14:paraId="2EAC1D1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反应温度</w:t>
            </w:r>
          </w:p>
        </w:tc>
        <w:tc>
          <w:tcPr>
            <w:tcW w:w="810" w:type="pct"/>
            <w:shd w:val="clear" w:color="auto" w:fill="auto"/>
            <w:vAlign w:val="center"/>
          </w:tcPr>
          <w:p w14:paraId="1BE44110"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80~130</w:t>
            </w:r>
            <w:r>
              <w:rPr>
                <w:rFonts w:ascii="宋体" w:eastAsia="宋体" w:hAnsi="宋体" w:cs="宋体" w:hint="eastAsia"/>
                <w:szCs w:val="21"/>
              </w:rPr>
              <w:t>℃</w:t>
            </w:r>
          </w:p>
        </w:tc>
        <w:tc>
          <w:tcPr>
            <w:tcW w:w="957" w:type="pct"/>
            <w:vMerge w:val="restart"/>
            <w:vAlign w:val="center"/>
          </w:tcPr>
          <w:p w14:paraId="1EA0D084" w14:textId="7BC5DFDD"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硫酸、乙醇等</w:t>
            </w:r>
          </w:p>
        </w:tc>
        <w:tc>
          <w:tcPr>
            <w:tcW w:w="1027" w:type="pct"/>
            <w:vMerge w:val="restart"/>
            <w:vAlign w:val="center"/>
          </w:tcPr>
          <w:p w14:paraId="1A6C194B"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物料泄漏、火灾、爆炸</w:t>
            </w:r>
          </w:p>
        </w:tc>
      </w:tr>
      <w:tr w:rsidR="002133E3" w14:paraId="1C02D534" w14:textId="77777777">
        <w:trPr>
          <w:trHeight w:val="240"/>
          <w:jc w:val="center"/>
        </w:trPr>
        <w:tc>
          <w:tcPr>
            <w:tcW w:w="809" w:type="pct"/>
            <w:vMerge/>
            <w:shd w:val="clear" w:color="auto" w:fill="auto"/>
            <w:vAlign w:val="center"/>
          </w:tcPr>
          <w:p w14:paraId="370E4204" w14:textId="77777777" w:rsidR="002133E3" w:rsidRDefault="002133E3">
            <w:pPr>
              <w:adjustRightInd w:val="0"/>
              <w:snapToGrid w:val="0"/>
              <w:jc w:val="center"/>
              <w:rPr>
                <w:rFonts w:ascii="Times New Roman" w:eastAsia="宋体" w:hAnsi="Times New Roman" w:cs="Times New Roman"/>
                <w:szCs w:val="21"/>
              </w:rPr>
            </w:pPr>
          </w:p>
        </w:tc>
        <w:tc>
          <w:tcPr>
            <w:tcW w:w="661" w:type="pct"/>
            <w:vMerge/>
            <w:shd w:val="clear" w:color="auto" w:fill="auto"/>
            <w:vAlign w:val="center"/>
          </w:tcPr>
          <w:p w14:paraId="39075A43" w14:textId="77777777" w:rsidR="002133E3" w:rsidRDefault="002133E3">
            <w:pPr>
              <w:adjustRightInd w:val="0"/>
              <w:snapToGrid w:val="0"/>
              <w:jc w:val="center"/>
              <w:rPr>
                <w:rFonts w:ascii="Times New Roman" w:eastAsia="宋体" w:hAnsi="Times New Roman" w:cs="Times New Roman"/>
                <w:szCs w:val="21"/>
              </w:rPr>
            </w:pPr>
          </w:p>
        </w:tc>
        <w:tc>
          <w:tcPr>
            <w:tcW w:w="736" w:type="pct"/>
            <w:shd w:val="clear" w:color="auto" w:fill="auto"/>
            <w:vAlign w:val="center"/>
          </w:tcPr>
          <w:p w14:paraId="6A1E88C4"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反应压力</w:t>
            </w:r>
          </w:p>
        </w:tc>
        <w:tc>
          <w:tcPr>
            <w:tcW w:w="810" w:type="pct"/>
            <w:shd w:val="clear" w:color="auto" w:fill="auto"/>
            <w:vAlign w:val="center"/>
          </w:tcPr>
          <w:p w14:paraId="3071AB89"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常压、减压</w:t>
            </w:r>
          </w:p>
        </w:tc>
        <w:tc>
          <w:tcPr>
            <w:tcW w:w="957" w:type="pct"/>
            <w:vMerge/>
            <w:vAlign w:val="center"/>
          </w:tcPr>
          <w:p w14:paraId="13CE6291" w14:textId="77777777" w:rsidR="002133E3" w:rsidRDefault="002133E3">
            <w:pPr>
              <w:adjustRightInd w:val="0"/>
              <w:snapToGrid w:val="0"/>
              <w:jc w:val="center"/>
              <w:rPr>
                <w:rFonts w:ascii="Times New Roman" w:eastAsia="宋体" w:hAnsi="Times New Roman" w:cs="Times New Roman"/>
                <w:szCs w:val="21"/>
              </w:rPr>
            </w:pPr>
          </w:p>
        </w:tc>
        <w:tc>
          <w:tcPr>
            <w:tcW w:w="1027" w:type="pct"/>
            <w:vMerge/>
            <w:vAlign w:val="center"/>
          </w:tcPr>
          <w:p w14:paraId="6FA80633" w14:textId="77777777" w:rsidR="002133E3" w:rsidRDefault="002133E3">
            <w:pPr>
              <w:adjustRightInd w:val="0"/>
              <w:snapToGrid w:val="0"/>
              <w:jc w:val="center"/>
              <w:rPr>
                <w:rFonts w:ascii="Times New Roman" w:eastAsia="宋体" w:hAnsi="Times New Roman" w:cs="Times New Roman"/>
                <w:szCs w:val="21"/>
              </w:rPr>
            </w:pPr>
          </w:p>
        </w:tc>
      </w:tr>
      <w:tr w:rsidR="002133E3" w14:paraId="5914295E" w14:textId="77777777">
        <w:trPr>
          <w:trHeight w:val="240"/>
          <w:jc w:val="center"/>
        </w:trPr>
        <w:tc>
          <w:tcPr>
            <w:tcW w:w="809" w:type="pct"/>
            <w:vMerge w:val="restart"/>
            <w:shd w:val="clear" w:color="auto" w:fill="auto"/>
            <w:vAlign w:val="center"/>
          </w:tcPr>
          <w:p w14:paraId="33B9FD57"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无水乙醇</w:t>
            </w:r>
            <w:r>
              <w:rPr>
                <w:rFonts w:ascii="Times New Roman" w:eastAsia="宋体" w:hAnsi="Times New Roman" w:cs="Times New Roman"/>
                <w:szCs w:val="21"/>
              </w:rPr>
              <w:t>(≥99.99%,V/V)</w:t>
            </w:r>
          </w:p>
        </w:tc>
        <w:tc>
          <w:tcPr>
            <w:tcW w:w="661" w:type="pct"/>
            <w:vMerge w:val="restart"/>
            <w:shd w:val="clear" w:color="auto" w:fill="auto"/>
            <w:vAlign w:val="center"/>
          </w:tcPr>
          <w:p w14:paraId="0138B718"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吸附</w:t>
            </w:r>
            <w:r>
              <w:rPr>
                <w:rFonts w:ascii="Times New Roman" w:eastAsia="宋体" w:hAnsi="Times New Roman" w:cs="Times New Roman"/>
                <w:szCs w:val="21"/>
              </w:rPr>
              <w:t>-</w:t>
            </w:r>
            <w:r>
              <w:rPr>
                <w:rFonts w:ascii="Times New Roman" w:eastAsia="宋体" w:hAnsi="Times New Roman" w:cs="Times New Roman"/>
                <w:szCs w:val="21"/>
              </w:rPr>
              <w:t>解析</w:t>
            </w:r>
          </w:p>
        </w:tc>
        <w:tc>
          <w:tcPr>
            <w:tcW w:w="736" w:type="pct"/>
            <w:shd w:val="clear" w:color="auto" w:fill="auto"/>
            <w:vAlign w:val="center"/>
          </w:tcPr>
          <w:p w14:paraId="77D4C7F1"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反应温度</w:t>
            </w:r>
          </w:p>
        </w:tc>
        <w:tc>
          <w:tcPr>
            <w:tcW w:w="810" w:type="pct"/>
            <w:shd w:val="clear" w:color="auto" w:fill="auto"/>
            <w:vAlign w:val="center"/>
          </w:tcPr>
          <w:p w14:paraId="3907598B"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130~135</w:t>
            </w:r>
            <w:r>
              <w:rPr>
                <w:rFonts w:ascii="宋体" w:eastAsia="宋体" w:hAnsi="宋体" w:cs="宋体" w:hint="eastAsia"/>
                <w:szCs w:val="21"/>
              </w:rPr>
              <w:t>℃</w:t>
            </w:r>
          </w:p>
        </w:tc>
        <w:tc>
          <w:tcPr>
            <w:tcW w:w="957" w:type="pct"/>
            <w:vMerge w:val="restart"/>
            <w:vAlign w:val="center"/>
          </w:tcPr>
          <w:p w14:paraId="6A030B93"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乙醇</w:t>
            </w:r>
          </w:p>
        </w:tc>
        <w:tc>
          <w:tcPr>
            <w:tcW w:w="1027" w:type="pct"/>
            <w:vMerge w:val="restart"/>
            <w:vAlign w:val="center"/>
          </w:tcPr>
          <w:p w14:paraId="11DFFDB1"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kern w:val="0"/>
                <w:szCs w:val="21"/>
              </w:rPr>
              <w:t>物料泄漏、火灾、爆炸</w:t>
            </w:r>
          </w:p>
        </w:tc>
      </w:tr>
      <w:tr w:rsidR="002133E3" w14:paraId="75D6B954" w14:textId="77777777">
        <w:trPr>
          <w:trHeight w:val="240"/>
          <w:jc w:val="center"/>
        </w:trPr>
        <w:tc>
          <w:tcPr>
            <w:tcW w:w="809" w:type="pct"/>
            <w:vMerge/>
            <w:shd w:val="clear" w:color="auto" w:fill="auto"/>
            <w:vAlign w:val="center"/>
          </w:tcPr>
          <w:p w14:paraId="7583F295" w14:textId="77777777" w:rsidR="002133E3" w:rsidRDefault="002133E3">
            <w:pPr>
              <w:adjustRightInd w:val="0"/>
              <w:snapToGrid w:val="0"/>
              <w:jc w:val="center"/>
              <w:rPr>
                <w:rFonts w:ascii="Times New Roman" w:eastAsia="宋体" w:hAnsi="Times New Roman" w:cs="Times New Roman"/>
                <w:szCs w:val="21"/>
              </w:rPr>
            </w:pPr>
          </w:p>
        </w:tc>
        <w:tc>
          <w:tcPr>
            <w:tcW w:w="661" w:type="pct"/>
            <w:vMerge/>
            <w:shd w:val="clear" w:color="auto" w:fill="auto"/>
            <w:vAlign w:val="center"/>
          </w:tcPr>
          <w:p w14:paraId="61FE2C7F" w14:textId="77777777" w:rsidR="002133E3" w:rsidRDefault="002133E3">
            <w:pPr>
              <w:adjustRightInd w:val="0"/>
              <w:snapToGrid w:val="0"/>
              <w:jc w:val="center"/>
              <w:rPr>
                <w:rFonts w:ascii="Times New Roman" w:eastAsia="宋体" w:hAnsi="Times New Roman" w:cs="Times New Roman"/>
                <w:szCs w:val="21"/>
              </w:rPr>
            </w:pPr>
          </w:p>
        </w:tc>
        <w:tc>
          <w:tcPr>
            <w:tcW w:w="736" w:type="pct"/>
            <w:shd w:val="clear" w:color="auto" w:fill="auto"/>
            <w:vAlign w:val="center"/>
          </w:tcPr>
          <w:p w14:paraId="6EFDF367"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反应压力</w:t>
            </w:r>
          </w:p>
        </w:tc>
        <w:tc>
          <w:tcPr>
            <w:tcW w:w="810" w:type="pct"/>
            <w:shd w:val="clear" w:color="auto" w:fill="auto"/>
            <w:vAlign w:val="center"/>
          </w:tcPr>
          <w:p w14:paraId="1F6FAC82"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常压、</w:t>
            </w:r>
            <w:r>
              <w:rPr>
                <w:rFonts w:ascii="Times New Roman" w:eastAsia="宋体" w:hAnsi="Times New Roman" w:cs="Times New Roman"/>
                <w:szCs w:val="21"/>
              </w:rPr>
              <w:t xml:space="preserve">0.1 </w:t>
            </w:r>
            <w:proofErr w:type="spellStart"/>
            <w:r>
              <w:rPr>
                <w:rFonts w:ascii="Times New Roman" w:eastAsia="宋体" w:hAnsi="Times New Roman" w:cs="Times New Roman"/>
                <w:szCs w:val="21"/>
              </w:rPr>
              <w:t>Mpa</w:t>
            </w:r>
            <w:proofErr w:type="spellEnd"/>
          </w:p>
        </w:tc>
        <w:tc>
          <w:tcPr>
            <w:tcW w:w="957" w:type="pct"/>
            <w:vMerge/>
            <w:vAlign w:val="center"/>
          </w:tcPr>
          <w:p w14:paraId="1A39B4E5" w14:textId="77777777" w:rsidR="002133E3" w:rsidRDefault="002133E3">
            <w:pPr>
              <w:adjustRightInd w:val="0"/>
              <w:snapToGrid w:val="0"/>
              <w:jc w:val="center"/>
              <w:rPr>
                <w:rFonts w:ascii="Times New Roman" w:eastAsia="宋体" w:hAnsi="Times New Roman" w:cs="Times New Roman"/>
                <w:szCs w:val="21"/>
              </w:rPr>
            </w:pPr>
          </w:p>
        </w:tc>
        <w:tc>
          <w:tcPr>
            <w:tcW w:w="1027" w:type="pct"/>
            <w:vMerge/>
            <w:vAlign w:val="center"/>
          </w:tcPr>
          <w:p w14:paraId="32DD7B7A" w14:textId="77777777" w:rsidR="002133E3" w:rsidRDefault="002133E3">
            <w:pPr>
              <w:adjustRightInd w:val="0"/>
              <w:snapToGrid w:val="0"/>
              <w:jc w:val="center"/>
              <w:rPr>
                <w:rFonts w:ascii="Times New Roman" w:eastAsia="宋体" w:hAnsi="Times New Roman" w:cs="Times New Roman"/>
                <w:szCs w:val="21"/>
              </w:rPr>
            </w:pPr>
          </w:p>
        </w:tc>
      </w:tr>
    </w:tbl>
    <w:p w14:paraId="4990CCB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环境敏感目标调查</w:t>
      </w:r>
    </w:p>
    <w:p w14:paraId="530981D5"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8"/>
        </w:rPr>
        <w:t>本项目</w:t>
      </w:r>
      <w:r>
        <w:rPr>
          <w:rFonts w:ascii="Times New Roman" w:eastAsia="宋体" w:hAnsi="Times New Roman" w:cs="Times New Roman"/>
          <w:kern w:val="0"/>
          <w:sz w:val="28"/>
          <w:szCs w:val="20"/>
        </w:rPr>
        <w:t>环境保护目标详见表</w:t>
      </w:r>
      <w:r>
        <w:rPr>
          <w:rFonts w:ascii="Times New Roman" w:eastAsia="宋体" w:hAnsi="Times New Roman" w:cs="Times New Roman"/>
          <w:kern w:val="0"/>
          <w:sz w:val="28"/>
          <w:szCs w:val="20"/>
        </w:rPr>
        <w:t>4.6-3</w:t>
      </w:r>
      <w:r>
        <w:rPr>
          <w:rFonts w:ascii="Times New Roman" w:eastAsia="宋体" w:hAnsi="Times New Roman" w:cs="Times New Roman"/>
          <w:kern w:val="0"/>
          <w:sz w:val="28"/>
          <w:szCs w:val="20"/>
        </w:rPr>
        <w:t>及</w:t>
      </w:r>
      <w:r>
        <w:rPr>
          <w:rFonts w:ascii="Times New Roman" w:eastAsia="宋体" w:hAnsi="Times New Roman" w:cs="Times New Roman"/>
          <w:kern w:val="0"/>
          <w:sz w:val="28"/>
          <w:szCs w:val="20"/>
          <w:highlight w:val="yellow"/>
        </w:rPr>
        <w:t>图</w:t>
      </w:r>
      <w:r>
        <w:rPr>
          <w:rFonts w:ascii="Times New Roman" w:eastAsia="宋体" w:hAnsi="Times New Roman" w:cs="Times New Roman"/>
          <w:kern w:val="0"/>
          <w:sz w:val="28"/>
          <w:szCs w:val="20"/>
          <w:highlight w:val="yellow"/>
        </w:rPr>
        <w:t>2.4-1</w:t>
      </w:r>
      <w:r>
        <w:rPr>
          <w:rFonts w:ascii="Times New Roman" w:eastAsia="宋体" w:hAnsi="Times New Roman" w:cs="Times New Roman"/>
          <w:kern w:val="0"/>
          <w:sz w:val="28"/>
          <w:szCs w:val="20"/>
        </w:rPr>
        <w:t>。</w:t>
      </w:r>
    </w:p>
    <w:p w14:paraId="2EC6B8EC" w14:textId="77777777" w:rsidR="002133E3" w:rsidRDefault="00C22CFA">
      <w:pPr>
        <w:adjustRightInd w:val="0"/>
        <w:snapToGrid w:val="0"/>
        <w:spacing w:line="500" w:lineRule="exact"/>
        <w:jc w:val="center"/>
        <w:rPr>
          <w:rFonts w:ascii="Times New Roman" w:eastAsia="宋体" w:hAnsi="Times New Roman" w:cs="Times New Roman"/>
          <w:b/>
          <w:kern w:val="0"/>
          <w:szCs w:val="18"/>
        </w:rPr>
      </w:pPr>
      <w:r>
        <w:rPr>
          <w:rFonts w:ascii="Times New Roman" w:eastAsia="宋体" w:hAnsi="Times New Roman" w:cs="Times New Roman"/>
          <w:b/>
          <w:kern w:val="0"/>
          <w:szCs w:val="18"/>
        </w:rPr>
        <w:t>表</w:t>
      </w:r>
      <w:r>
        <w:rPr>
          <w:rFonts w:ascii="Times New Roman" w:eastAsia="宋体" w:hAnsi="Times New Roman" w:cs="Times New Roman"/>
          <w:b/>
          <w:kern w:val="0"/>
          <w:szCs w:val="18"/>
        </w:rPr>
        <w:t xml:space="preserve">4.6-3 </w:t>
      </w:r>
      <w:r>
        <w:rPr>
          <w:rFonts w:ascii="Times New Roman" w:eastAsia="宋体" w:hAnsi="Times New Roman" w:cs="Times New Roman"/>
          <w:b/>
          <w:kern w:val="0"/>
          <w:szCs w:val="18"/>
        </w:rPr>
        <w:t>敏感目标情况表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765"/>
        <w:gridCol w:w="1161"/>
        <w:gridCol w:w="1385"/>
        <w:gridCol w:w="1234"/>
        <w:gridCol w:w="1356"/>
        <w:gridCol w:w="889"/>
        <w:gridCol w:w="1086"/>
        <w:gridCol w:w="1299"/>
      </w:tblGrid>
      <w:tr w:rsidR="002133E3" w14:paraId="2A451422" w14:textId="77777777">
        <w:trPr>
          <w:trHeight w:val="340"/>
          <w:jc w:val="center"/>
        </w:trPr>
        <w:tc>
          <w:tcPr>
            <w:tcW w:w="345" w:type="pct"/>
            <w:vAlign w:val="center"/>
          </w:tcPr>
          <w:p w14:paraId="18B108D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类别</w:t>
            </w:r>
          </w:p>
        </w:tc>
        <w:tc>
          <w:tcPr>
            <w:tcW w:w="4655" w:type="pct"/>
            <w:gridSpan w:val="8"/>
            <w:vAlign w:val="center"/>
          </w:tcPr>
          <w:p w14:paraId="5AAC97B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环境敏感特征</w:t>
            </w:r>
          </w:p>
        </w:tc>
      </w:tr>
      <w:tr w:rsidR="002133E3" w14:paraId="35ADCE84" w14:textId="77777777">
        <w:trPr>
          <w:trHeight w:val="340"/>
          <w:jc w:val="center"/>
        </w:trPr>
        <w:tc>
          <w:tcPr>
            <w:tcW w:w="345" w:type="pct"/>
            <w:vMerge w:val="restart"/>
            <w:vAlign w:val="center"/>
          </w:tcPr>
          <w:p w14:paraId="37222F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环境空气</w:t>
            </w:r>
          </w:p>
        </w:tc>
        <w:tc>
          <w:tcPr>
            <w:tcW w:w="4655" w:type="pct"/>
            <w:gridSpan w:val="8"/>
            <w:vAlign w:val="center"/>
          </w:tcPr>
          <w:p w14:paraId="357A73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厂址周边</w:t>
            </w:r>
            <w:r>
              <w:rPr>
                <w:rFonts w:ascii="Times New Roman" w:eastAsia="宋体" w:hAnsi="Times New Roman" w:cs="Times New Roman"/>
                <w:szCs w:val="21"/>
              </w:rPr>
              <w:t>5km</w:t>
            </w:r>
            <w:r>
              <w:rPr>
                <w:rFonts w:ascii="Times New Roman" w:eastAsia="宋体" w:hAnsi="Times New Roman" w:cs="Times New Roman"/>
                <w:szCs w:val="21"/>
              </w:rPr>
              <w:t>范围内</w:t>
            </w:r>
          </w:p>
        </w:tc>
      </w:tr>
      <w:tr w:rsidR="002133E3" w14:paraId="6B658F10" w14:textId="77777777">
        <w:trPr>
          <w:trHeight w:val="340"/>
          <w:jc w:val="center"/>
        </w:trPr>
        <w:tc>
          <w:tcPr>
            <w:tcW w:w="345" w:type="pct"/>
            <w:vMerge/>
            <w:vAlign w:val="center"/>
          </w:tcPr>
          <w:p w14:paraId="67D86FB3" w14:textId="77777777" w:rsidR="002133E3" w:rsidRDefault="002133E3">
            <w:pPr>
              <w:rPr>
                <w:rFonts w:ascii="Times New Roman" w:eastAsia="宋体" w:hAnsi="Times New Roman" w:cs="Times New Roman"/>
                <w:szCs w:val="21"/>
              </w:rPr>
            </w:pPr>
          </w:p>
        </w:tc>
        <w:tc>
          <w:tcPr>
            <w:tcW w:w="388" w:type="pct"/>
            <w:vAlign w:val="center"/>
          </w:tcPr>
          <w:p w14:paraId="7542066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589" w:type="pct"/>
            <w:vAlign w:val="center"/>
          </w:tcPr>
          <w:p w14:paraId="00FBCE1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敏感目标名称</w:t>
            </w:r>
          </w:p>
        </w:tc>
        <w:tc>
          <w:tcPr>
            <w:tcW w:w="703" w:type="pct"/>
            <w:vAlign w:val="center"/>
          </w:tcPr>
          <w:p w14:paraId="571D54B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坐标</w:t>
            </w:r>
            <w:r>
              <w:rPr>
                <w:rFonts w:ascii="Times New Roman" w:eastAsia="宋体" w:hAnsi="Times New Roman" w:cs="Times New Roman"/>
                <w:szCs w:val="21"/>
              </w:rPr>
              <w:t>X</w:t>
            </w:r>
          </w:p>
        </w:tc>
        <w:tc>
          <w:tcPr>
            <w:tcW w:w="626" w:type="pct"/>
            <w:vAlign w:val="center"/>
          </w:tcPr>
          <w:p w14:paraId="1B48CC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坐标</w:t>
            </w:r>
            <w:r>
              <w:rPr>
                <w:rFonts w:ascii="Times New Roman" w:eastAsia="宋体" w:hAnsi="Times New Roman" w:cs="Times New Roman"/>
                <w:szCs w:val="21"/>
              </w:rPr>
              <w:t>Y</w:t>
            </w:r>
          </w:p>
        </w:tc>
        <w:tc>
          <w:tcPr>
            <w:tcW w:w="688" w:type="pct"/>
            <w:vAlign w:val="center"/>
          </w:tcPr>
          <w:p w14:paraId="52D82B6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相对方位</w:t>
            </w:r>
          </w:p>
        </w:tc>
        <w:tc>
          <w:tcPr>
            <w:tcW w:w="451" w:type="pct"/>
            <w:vAlign w:val="center"/>
          </w:tcPr>
          <w:p w14:paraId="4A05B6C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距离</w:t>
            </w:r>
            <w:r>
              <w:rPr>
                <w:rFonts w:ascii="Times New Roman" w:eastAsia="宋体" w:hAnsi="Times New Roman" w:cs="Times New Roman"/>
                <w:szCs w:val="21"/>
              </w:rPr>
              <w:t>m</w:t>
            </w:r>
          </w:p>
        </w:tc>
        <w:tc>
          <w:tcPr>
            <w:tcW w:w="551" w:type="pct"/>
            <w:vAlign w:val="center"/>
          </w:tcPr>
          <w:p w14:paraId="5842D30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属性</w:t>
            </w:r>
          </w:p>
        </w:tc>
        <w:tc>
          <w:tcPr>
            <w:tcW w:w="659" w:type="pct"/>
            <w:vAlign w:val="center"/>
          </w:tcPr>
          <w:p w14:paraId="16A5A2D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人口数</w:t>
            </w:r>
          </w:p>
        </w:tc>
      </w:tr>
      <w:tr w:rsidR="002133E3" w14:paraId="3EB39343" w14:textId="77777777">
        <w:trPr>
          <w:trHeight w:val="340"/>
          <w:jc w:val="center"/>
        </w:trPr>
        <w:tc>
          <w:tcPr>
            <w:tcW w:w="345" w:type="pct"/>
            <w:vMerge/>
            <w:vAlign w:val="center"/>
          </w:tcPr>
          <w:p w14:paraId="322E3B0B" w14:textId="77777777" w:rsidR="002133E3" w:rsidRDefault="002133E3">
            <w:pPr>
              <w:rPr>
                <w:rFonts w:ascii="Times New Roman" w:eastAsia="宋体" w:hAnsi="Times New Roman" w:cs="Times New Roman"/>
                <w:szCs w:val="21"/>
              </w:rPr>
            </w:pPr>
          </w:p>
        </w:tc>
        <w:tc>
          <w:tcPr>
            <w:tcW w:w="388" w:type="pct"/>
            <w:vAlign w:val="center"/>
          </w:tcPr>
          <w:p w14:paraId="329BF3E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589" w:type="pct"/>
            <w:vAlign w:val="center"/>
          </w:tcPr>
          <w:p w14:paraId="23E9D09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兴庄村</w:t>
            </w:r>
          </w:p>
        </w:tc>
        <w:tc>
          <w:tcPr>
            <w:tcW w:w="703" w:type="pct"/>
            <w:vAlign w:val="center"/>
          </w:tcPr>
          <w:p w14:paraId="5BF5317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34.899769</w:t>
            </w:r>
          </w:p>
        </w:tc>
        <w:tc>
          <w:tcPr>
            <w:tcW w:w="626" w:type="pct"/>
            <w:vAlign w:val="center"/>
          </w:tcPr>
          <w:p w14:paraId="6877639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119.166000</w:t>
            </w:r>
          </w:p>
        </w:tc>
        <w:tc>
          <w:tcPr>
            <w:tcW w:w="688" w:type="pct"/>
            <w:vAlign w:val="center"/>
          </w:tcPr>
          <w:p w14:paraId="47339A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w:t>
            </w:r>
          </w:p>
        </w:tc>
        <w:tc>
          <w:tcPr>
            <w:tcW w:w="451" w:type="pct"/>
            <w:vAlign w:val="center"/>
          </w:tcPr>
          <w:p w14:paraId="21BAFEC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190</w:t>
            </w:r>
          </w:p>
        </w:tc>
        <w:tc>
          <w:tcPr>
            <w:tcW w:w="551" w:type="pct"/>
            <w:vAlign w:val="center"/>
          </w:tcPr>
          <w:p w14:paraId="1DCC45A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4098BDB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6360</w:t>
            </w:r>
            <w:r>
              <w:rPr>
                <w:rFonts w:ascii="Times New Roman" w:eastAsia="宋体" w:hAnsi="Times New Roman" w:cs="Times New Roman"/>
                <w:szCs w:val="21"/>
              </w:rPr>
              <w:t>人</w:t>
            </w:r>
          </w:p>
        </w:tc>
      </w:tr>
      <w:tr w:rsidR="002133E3" w14:paraId="2EBF02E9" w14:textId="77777777">
        <w:trPr>
          <w:trHeight w:val="340"/>
          <w:jc w:val="center"/>
        </w:trPr>
        <w:tc>
          <w:tcPr>
            <w:tcW w:w="345" w:type="pct"/>
            <w:vMerge/>
            <w:vAlign w:val="center"/>
          </w:tcPr>
          <w:p w14:paraId="0A255380" w14:textId="77777777" w:rsidR="002133E3" w:rsidRDefault="002133E3">
            <w:pPr>
              <w:rPr>
                <w:rFonts w:ascii="Times New Roman" w:eastAsia="宋体" w:hAnsi="Times New Roman" w:cs="Times New Roman"/>
                <w:szCs w:val="21"/>
              </w:rPr>
            </w:pPr>
          </w:p>
        </w:tc>
        <w:tc>
          <w:tcPr>
            <w:tcW w:w="388" w:type="pct"/>
            <w:vAlign w:val="center"/>
          </w:tcPr>
          <w:p w14:paraId="5501070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589" w:type="pct"/>
            <w:vAlign w:val="center"/>
          </w:tcPr>
          <w:p w14:paraId="237773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李巷</w:t>
            </w:r>
          </w:p>
        </w:tc>
        <w:tc>
          <w:tcPr>
            <w:tcW w:w="703" w:type="pct"/>
            <w:vAlign w:val="center"/>
          </w:tcPr>
          <w:p w14:paraId="38A46A0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34.911865</w:t>
            </w:r>
          </w:p>
        </w:tc>
        <w:tc>
          <w:tcPr>
            <w:tcW w:w="626" w:type="pct"/>
            <w:vAlign w:val="center"/>
          </w:tcPr>
          <w:p w14:paraId="1683933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119.169751</w:t>
            </w:r>
          </w:p>
        </w:tc>
        <w:tc>
          <w:tcPr>
            <w:tcW w:w="688" w:type="pct"/>
            <w:vAlign w:val="center"/>
          </w:tcPr>
          <w:p w14:paraId="50B3593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NW</w:t>
            </w:r>
          </w:p>
        </w:tc>
        <w:tc>
          <w:tcPr>
            <w:tcW w:w="451" w:type="pct"/>
            <w:vAlign w:val="center"/>
          </w:tcPr>
          <w:p w14:paraId="0B7210E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680</w:t>
            </w:r>
          </w:p>
        </w:tc>
        <w:tc>
          <w:tcPr>
            <w:tcW w:w="551" w:type="pct"/>
            <w:vAlign w:val="center"/>
          </w:tcPr>
          <w:p w14:paraId="31FE84A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0C337FE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3205</w:t>
            </w:r>
            <w:r>
              <w:rPr>
                <w:rFonts w:ascii="Times New Roman" w:eastAsia="宋体" w:hAnsi="Times New Roman" w:cs="Times New Roman"/>
                <w:szCs w:val="21"/>
              </w:rPr>
              <w:t>人</w:t>
            </w:r>
          </w:p>
        </w:tc>
      </w:tr>
      <w:tr w:rsidR="002133E3" w14:paraId="2AC3DDDF" w14:textId="77777777">
        <w:trPr>
          <w:trHeight w:val="340"/>
          <w:jc w:val="center"/>
        </w:trPr>
        <w:tc>
          <w:tcPr>
            <w:tcW w:w="345" w:type="pct"/>
            <w:vMerge/>
            <w:vAlign w:val="center"/>
          </w:tcPr>
          <w:p w14:paraId="70DF6262" w14:textId="77777777" w:rsidR="002133E3" w:rsidRDefault="002133E3">
            <w:pPr>
              <w:rPr>
                <w:rFonts w:ascii="Times New Roman" w:eastAsia="宋体" w:hAnsi="Times New Roman" w:cs="Times New Roman"/>
                <w:szCs w:val="21"/>
              </w:rPr>
            </w:pPr>
          </w:p>
        </w:tc>
        <w:tc>
          <w:tcPr>
            <w:tcW w:w="388" w:type="pct"/>
            <w:vAlign w:val="center"/>
          </w:tcPr>
          <w:p w14:paraId="44CE3D3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589" w:type="pct"/>
            <w:vAlign w:val="center"/>
          </w:tcPr>
          <w:p w14:paraId="370F4B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匡口</w:t>
            </w:r>
          </w:p>
        </w:tc>
        <w:tc>
          <w:tcPr>
            <w:tcW w:w="703" w:type="pct"/>
            <w:vAlign w:val="center"/>
          </w:tcPr>
          <w:p w14:paraId="60C8F7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34.908027</w:t>
            </w:r>
          </w:p>
        </w:tc>
        <w:tc>
          <w:tcPr>
            <w:tcW w:w="626" w:type="pct"/>
            <w:vAlign w:val="center"/>
          </w:tcPr>
          <w:p w14:paraId="18D9647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119.185840</w:t>
            </w:r>
          </w:p>
        </w:tc>
        <w:tc>
          <w:tcPr>
            <w:tcW w:w="688" w:type="pct"/>
            <w:vAlign w:val="center"/>
          </w:tcPr>
          <w:p w14:paraId="66EF6C1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NE</w:t>
            </w:r>
          </w:p>
        </w:tc>
        <w:tc>
          <w:tcPr>
            <w:tcW w:w="451" w:type="pct"/>
            <w:vAlign w:val="center"/>
          </w:tcPr>
          <w:p w14:paraId="0A127FC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760</w:t>
            </w:r>
          </w:p>
        </w:tc>
        <w:tc>
          <w:tcPr>
            <w:tcW w:w="551" w:type="pct"/>
            <w:vAlign w:val="center"/>
          </w:tcPr>
          <w:p w14:paraId="02BDC65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456E12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1783</w:t>
            </w:r>
            <w:r>
              <w:rPr>
                <w:rFonts w:ascii="Times New Roman" w:eastAsia="宋体" w:hAnsi="Times New Roman" w:cs="Times New Roman"/>
                <w:szCs w:val="21"/>
              </w:rPr>
              <w:t>人</w:t>
            </w:r>
          </w:p>
        </w:tc>
      </w:tr>
      <w:tr w:rsidR="002133E3" w14:paraId="5BC825BE" w14:textId="77777777">
        <w:trPr>
          <w:trHeight w:val="340"/>
          <w:jc w:val="center"/>
        </w:trPr>
        <w:tc>
          <w:tcPr>
            <w:tcW w:w="345" w:type="pct"/>
            <w:vMerge/>
            <w:vAlign w:val="center"/>
          </w:tcPr>
          <w:p w14:paraId="37237B32" w14:textId="77777777" w:rsidR="002133E3" w:rsidRDefault="002133E3">
            <w:pPr>
              <w:rPr>
                <w:rFonts w:ascii="Times New Roman" w:eastAsia="宋体" w:hAnsi="Times New Roman" w:cs="Times New Roman"/>
                <w:szCs w:val="21"/>
              </w:rPr>
            </w:pPr>
          </w:p>
        </w:tc>
        <w:tc>
          <w:tcPr>
            <w:tcW w:w="388" w:type="pct"/>
            <w:vAlign w:val="center"/>
          </w:tcPr>
          <w:p w14:paraId="6739F6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589" w:type="pct"/>
            <w:vAlign w:val="center"/>
          </w:tcPr>
          <w:p w14:paraId="35A1E04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兴庄小学</w:t>
            </w:r>
          </w:p>
        </w:tc>
        <w:tc>
          <w:tcPr>
            <w:tcW w:w="703" w:type="pct"/>
            <w:vAlign w:val="center"/>
          </w:tcPr>
          <w:p w14:paraId="1E254E5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34.918903</w:t>
            </w:r>
          </w:p>
        </w:tc>
        <w:tc>
          <w:tcPr>
            <w:tcW w:w="626" w:type="pct"/>
            <w:vAlign w:val="center"/>
          </w:tcPr>
          <w:p w14:paraId="183C58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119.173693</w:t>
            </w:r>
          </w:p>
        </w:tc>
        <w:tc>
          <w:tcPr>
            <w:tcW w:w="688" w:type="pct"/>
            <w:vAlign w:val="center"/>
          </w:tcPr>
          <w:p w14:paraId="5E274C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24A01C1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780</w:t>
            </w:r>
          </w:p>
        </w:tc>
        <w:tc>
          <w:tcPr>
            <w:tcW w:w="551" w:type="pct"/>
            <w:vAlign w:val="center"/>
          </w:tcPr>
          <w:p w14:paraId="2D61E47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文教区</w:t>
            </w:r>
          </w:p>
        </w:tc>
        <w:tc>
          <w:tcPr>
            <w:tcW w:w="659" w:type="pct"/>
            <w:vAlign w:val="center"/>
          </w:tcPr>
          <w:p w14:paraId="1F8566D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380</w:t>
            </w:r>
            <w:r>
              <w:rPr>
                <w:rFonts w:ascii="Times New Roman" w:eastAsia="宋体" w:hAnsi="Times New Roman" w:cs="Times New Roman"/>
                <w:szCs w:val="21"/>
              </w:rPr>
              <w:t>人</w:t>
            </w:r>
          </w:p>
        </w:tc>
      </w:tr>
      <w:tr w:rsidR="002133E3" w14:paraId="0122E68F" w14:textId="77777777">
        <w:trPr>
          <w:trHeight w:val="340"/>
          <w:jc w:val="center"/>
        </w:trPr>
        <w:tc>
          <w:tcPr>
            <w:tcW w:w="345" w:type="pct"/>
            <w:vMerge/>
            <w:vAlign w:val="center"/>
          </w:tcPr>
          <w:p w14:paraId="285CD4B9" w14:textId="77777777" w:rsidR="002133E3" w:rsidRDefault="002133E3">
            <w:pPr>
              <w:rPr>
                <w:rFonts w:ascii="Times New Roman" w:eastAsia="宋体" w:hAnsi="Times New Roman" w:cs="Times New Roman"/>
                <w:szCs w:val="21"/>
              </w:rPr>
            </w:pPr>
          </w:p>
        </w:tc>
        <w:tc>
          <w:tcPr>
            <w:tcW w:w="388" w:type="pct"/>
            <w:vAlign w:val="center"/>
          </w:tcPr>
          <w:p w14:paraId="0C5989D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589" w:type="pct"/>
            <w:vAlign w:val="center"/>
          </w:tcPr>
          <w:p w14:paraId="620A8FC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赵沙村</w:t>
            </w:r>
          </w:p>
        </w:tc>
        <w:tc>
          <w:tcPr>
            <w:tcW w:w="703" w:type="pct"/>
            <w:vAlign w:val="center"/>
          </w:tcPr>
          <w:p w14:paraId="4A3B348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34.917367</w:t>
            </w:r>
          </w:p>
        </w:tc>
        <w:tc>
          <w:tcPr>
            <w:tcW w:w="626" w:type="pct"/>
            <w:vAlign w:val="center"/>
          </w:tcPr>
          <w:p w14:paraId="5C5B6B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119.197030</w:t>
            </w:r>
          </w:p>
        </w:tc>
        <w:tc>
          <w:tcPr>
            <w:tcW w:w="688" w:type="pct"/>
            <w:vAlign w:val="center"/>
          </w:tcPr>
          <w:p w14:paraId="3A2A628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NW</w:t>
            </w:r>
          </w:p>
        </w:tc>
        <w:tc>
          <w:tcPr>
            <w:tcW w:w="451" w:type="pct"/>
            <w:vAlign w:val="center"/>
          </w:tcPr>
          <w:p w14:paraId="07139B9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1700</w:t>
            </w:r>
          </w:p>
        </w:tc>
        <w:tc>
          <w:tcPr>
            <w:tcW w:w="551" w:type="pct"/>
            <w:vAlign w:val="center"/>
          </w:tcPr>
          <w:p w14:paraId="16446D3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5A1F62E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890</w:t>
            </w:r>
            <w:r>
              <w:rPr>
                <w:rFonts w:ascii="Times New Roman" w:eastAsia="宋体" w:hAnsi="Times New Roman" w:cs="Times New Roman"/>
                <w:szCs w:val="21"/>
              </w:rPr>
              <w:t>人</w:t>
            </w:r>
          </w:p>
        </w:tc>
      </w:tr>
      <w:tr w:rsidR="002133E3" w14:paraId="49A6F278" w14:textId="77777777">
        <w:trPr>
          <w:trHeight w:val="340"/>
          <w:jc w:val="center"/>
        </w:trPr>
        <w:tc>
          <w:tcPr>
            <w:tcW w:w="345" w:type="pct"/>
            <w:vMerge/>
            <w:vAlign w:val="center"/>
          </w:tcPr>
          <w:p w14:paraId="32F3A1DD" w14:textId="77777777" w:rsidR="002133E3" w:rsidRDefault="002133E3">
            <w:pPr>
              <w:rPr>
                <w:rFonts w:ascii="Times New Roman" w:eastAsia="宋体" w:hAnsi="Times New Roman" w:cs="Times New Roman"/>
                <w:szCs w:val="21"/>
              </w:rPr>
            </w:pPr>
          </w:p>
        </w:tc>
        <w:tc>
          <w:tcPr>
            <w:tcW w:w="388" w:type="pct"/>
            <w:vAlign w:val="center"/>
          </w:tcPr>
          <w:p w14:paraId="479571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w:t>
            </w:r>
          </w:p>
        </w:tc>
        <w:tc>
          <w:tcPr>
            <w:tcW w:w="589" w:type="pct"/>
            <w:vAlign w:val="center"/>
          </w:tcPr>
          <w:p w14:paraId="4B36EFB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梁东沙</w:t>
            </w:r>
          </w:p>
        </w:tc>
        <w:tc>
          <w:tcPr>
            <w:tcW w:w="703" w:type="pct"/>
            <w:vAlign w:val="center"/>
          </w:tcPr>
          <w:p w14:paraId="1598582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34.924102</w:t>
            </w:r>
          </w:p>
        </w:tc>
        <w:tc>
          <w:tcPr>
            <w:tcW w:w="626" w:type="pct"/>
            <w:vAlign w:val="center"/>
          </w:tcPr>
          <w:p w14:paraId="107A2A2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119.187386</w:t>
            </w:r>
          </w:p>
        </w:tc>
        <w:tc>
          <w:tcPr>
            <w:tcW w:w="688" w:type="pct"/>
            <w:vAlign w:val="center"/>
          </w:tcPr>
          <w:p w14:paraId="39B0FD0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NE</w:t>
            </w:r>
          </w:p>
        </w:tc>
        <w:tc>
          <w:tcPr>
            <w:tcW w:w="451" w:type="pct"/>
            <w:vAlign w:val="center"/>
          </w:tcPr>
          <w:p w14:paraId="55E7D8F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2200</w:t>
            </w:r>
          </w:p>
        </w:tc>
        <w:tc>
          <w:tcPr>
            <w:tcW w:w="551" w:type="pct"/>
            <w:vAlign w:val="center"/>
          </w:tcPr>
          <w:p w14:paraId="3A7BA3B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3444ACD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1779</w:t>
            </w:r>
            <w:r>
              <w:rPr>
                <w:rFonts w:ascii="Times New Roman" w:eastAsia="宋体" w:hAnsi="Times New Roman" w:cs="Times New Roman"/>
                <w:szCs w:val="21"/>
              </w:rPr>
              <w:t>人</w:t>
            </w:r>
          </w:p>
        </w:tc>
      </w:tr>
      <w:tr w:rsidR="002133E3" w14:paraId="14E0131D" w14:textId="77777777">
        <w:trPr>
          <w:trHeight w:val="340"/>
          <w:jc w:val="center"/>
        </w:trPr>
        <w:tc>
          <w:tcPr>
            <w:tcW w:w="345" w:type="pct"/>
            <w:vMerge/>
            <w:vAlign w:val="center"/>
          </w:tcPr>
          <w:p w14:paraId="24B0BAF0" w14:textId="77777777" w:rsidR="002133E3" w:rsidRDefault="002133E3">
            <w:pPr>
              <w:rPr>
                <w:rFonts w:ascii="Times New Roman" w:eastAsia="宋体" w:hAnsi="Times New Roman" w:cs="Times New Roman"/>
                <w:szCs w:val="21"/>
              </w:rPr>
            </w:pPr>
          </w:p>
        </w:tc>
        <w:tc>
          <w:tcPr>
            <w:tcW w:w="388" w:type="pct"/>
            <w:vAlign w:val="center"/>
          </w:tcPr>
          <w:p w14:paraId="2B005EC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w:t>
            </w:r>
          </w:p>
        </w:tc>
        <w:tc>
          <w:tcPr>
            <w:tcW w:w="589" w:type="pct"/>
            <w:vAlign w:val="center"/>
          </w:tcPr>
          <w:p w14:paraId="483FFC9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海脐</w:t>
            </w:r>
          </w:p>
        </w:tc>
        <w:tc>
          <w:tcPr>
            <w:tcW w:w="703" w:type="pct"/>
            <w:vAlign w:val="center"/>
          </w:tcPr>
          <w:p w14:paraId="59C9E49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34.899769</w:t>
            </w:r>
          </w:p>
        </w:tc>
        <w:tc>
          <w:tcPr>
            <w:tcW w:w="626" w:type="pct"/>
            <w:vAlign w:val="center"/>
          </w:tcPr>
          <w:p w14:paraId="3153C72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119.166000</w:t>
            </w:r>
          </w:p>
        </w:tc>
        <w:tc>
          <w:tcPr>
            <w:tcW w:w="688" w:type="pct"/>
            <w:vAlign w:val="center"/>
          </w:tcPr>
          <w:p w14:paraId="760D046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NE</w:t>
            </w:r>
          </w:p>
        </w:tc>
        <w:tc>
          <w:tcPr>
            <w:tcW w:w="451" w:type="pct"/>
            <w:vAlign w:val="center"/>
          </w:tcPr>
          <w:p w14:paraId="6C6DE0D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2150</w:t>
            </w:r>
          </w:p>
        </w:tc>
        <w:tc>
          <w:tcPr>
            <w:tcW w:w="551" w:type="pct"/>
            <w:vAlign w:val="center"/>
          </w:tcPr>
          <w:p w14:paraId="4E569B3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6B8CD54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2610</w:t>
            </w:r>
            <w:r>
              <w:rPr>
                <w:rFonts w:ascii="Times New Roman" w:eastAsia="宋体" w:hAnsi="Times New Roman" w:cs="Times New Roman"/>
                <w:szCs w:val="21"/>
              </w:rPr>
              <w:t>人</w:t>
            </w:r>
          </w:p>
        </w:tc>
      </w:tr>
      <w:tr w:rsidR="002133E3" w14:paraId="26066DBF" w14:textId="77777777">
        <w:trPr>
          <w:trHeight w:val="340"/>
          <w:jc w:val="center"/>
        </w:trPr>
        <w:tc>
          <w:tcPr>
            <w:tcW w:w="345" w:type="pct"/>
            <w:vMerge/>
            <w:vAlign w:val="center"/>
          </w:tcPr>
          <w:p w14:paraId="734A0A16" w14:textId="77777777" w:rsidR="002133E3" w:rsidRDefault="002133E3">
            <w:pPr>
              <w:rPr>
                <w:rFonts w:ascii="Times New Roman" w:eastAsia="宋体" w:hAnsi="Times New Roman" w:cs="Times New Roman"/>
                <w:szCs w:val="21"/>
              </w:rPr>
            </w:pPr>
          </w:p>
        </w:tc>
        <w:tc>
          <w:tcPr>
            <w:tcW w:w="388" w:type="pct"/>
            <w:vAlign w:val="center"/>
          </w:tcPr>
          <w:p w14:paraId="7A71E3E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589" w:type="pct"/>
            <w:vAlign w:val="center"/>
          </w:tcPr>
          <w:p w14:paraId="7E41F7B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海前村</w:t>
            </w:r>
          </w:p>
        </w:tc>
        <w:tc>
          <w:tcPr>
            <w:tcW w:w="703" w:type="pct"/>
            <w:vAlign w:val="center"/>
          </w:tcPr>
          <w:p w14:paraId="43C890E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34.926723</w:t>
            </w:r>
          </w:p>
        </w:tc>
        <w:tc>
          <w:tcPr>
            <w:tcW w:w="626" w:type="pct"/>
            <w:vAlign w:val="center"/>
          </w:tcPr>
          <w:p w14:paraId="006CBA8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119.174523</w:t>
            </w:r>
          </w:p>
        </w:tc>
        <w:tc>
          <w:tcPr>
            <w:tcW w:w="688" w:type="pct"/>
            <w:vAlign w:val="center"/>
          </w:tcPr>
          <w:p w14:paraId="663C8C2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NW</w:t>
            </w:r>
          </w:p>
        </w:tc>
        <w:tc>
          <w:tcPr>
            <w:tcW w:w="451" w:type="pct"/>
            <w:vAlign w:val="center"/>
          </w:tcPr>
          <w:p w14:paraId="3BD8CBF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2400</w:t>
            </w:r>
          </w:p>
        </w:tc>
        <w:tc>
          <w:tcPr>
            <w:tcW w:w="551" w:type="pct"/>
            <w:vAlign w:val="center"/>
          </w:tcPr>
          <w:p w14:paraId="0714CED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444F01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5060</w:t>
            </w:r>
            <w:r>
              <w:rPr>
                <w:rFonts w:ascii="Times New Roman" w:eastAsia="宋体" w:hAnsi="Times New Roman" w:cs="Times New Roman"/>
                <w:szCs w:val="21"/>
              </w:rPr>
              <w:t>人</w:t>
            </w:r>
          </w:p>
        </w:tc>
      </w:tr>
      <w:tr w:rsidR="002133E3" w14:paraId="7B13D1DD" w14:textId="77777777">
        <w:trPr>
          <w:trHeight w:val="340"/>
          <w:jc w:val="center"/>
        </w:trPr>
        <w:tc>
          <w:tcPr>
            <w:tcW w:w="345" w:type="pct"/>
            <w:vMerge/>
            <w:vAlign w:val="center"/>
          </w:tcPr>
          <w:p w14:paraId="5FAD0DA7" w14:textId="77777777" w:rsidR="002133E3" w:rsidRDefault="002133E3">
            <w:pPr>
              <w:rPr>
                <w:rFonts w:ascii="Times New Roman" w:eastAsia="宋体" w:hAnsi="Times New Roman" w:cs="Times New Roman"/>
                <w:szCs w:val="21"/>
              </w:rPr>
            </w:pPr>
          </w:p>
        </w:tc>
        <w:tc>
          <w:tcPr>
            <w:tcW w:w="388" w:type="pct"/>
            <w:vAlign w:val="center"/>
          </w:tcPr>
          <w:p w14:paraId="0CF1B4A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589" w:type="pct"/>
            <w:vAlign w:val="center"/>
          </w:tcPr>
          <w:p w14:paraId="2FAB731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三合村</w:t>
            </w:r>
          </w:p>
        </w:tc>
        <w:tc>
          <w:tcPr>
            <w:tcW w:w="703" w:type="pct"/>
            <w:vAlign w:val="center"/>
          </w:tcPr>
          <w:p w14:paraId="5F6ACA5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34.891369</w:t>
            </w:r>
          </w:p>
        </w:tc>
        <w:tc>
          <w:tcPr>
            <w:tcW w:w="626" w:type="pct"/>
            <w:vAlign w:val="center"/>
          </w:tcPr>
          <w:p w14:paraId="1EE234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119.164291</w:t>
            </w:r>
          </w:p>
        </w:tc>
        <w:tc>
          <w:tcPr>
            <w:tcW w:w="688" w:type="pct"/>
            <w:vAlign w:val="center"/>
          </w:tcPr>
          <w:p w14:paraId="67067B6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7EB926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1160</w:t>
            </w:r>
          </w:p>
        </w:tc>
        <w:tc>
          <w:tcPr>
            <w:tcW w:w="551" w:type="pct"/>
            <w:vAlign w:val="center"/>
          </w:tcPr>
          <w:p w14:paraId="20065D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2F4B69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1250</w:t>
            </w:r>
            <w:r>
              <w:rPr>
                <w:rFonts w:ascii="Times New Roman" w:eastAsia="宋体" w:hAnsi="Times New Roman" w:cs="Times New Roman"/>
                <w:szCs w:val="21"/>
              </w:rPr>
              <w:t>人</w:t>
            </w:r>
          </w:p>
        </w:tc>
      </w:tr>
      <w:tr w:rsidR="002133E3" w14:paraId="32F0BAF0" w14:textId="77777777">
        <w:trPr>
          <w:trHeight w:val="340"/>
          <w:jc w:val="center"/>
        </w:trPr>
        <w:tc>
          <w:tcPr>
            <w:tcW w:w="345" w:type="pct"/>
            <w:vMerge/>
            <w:vAlign w:val="center"/>
          </w:tcPr>
          <w:p w14:paraId="42670724" w14:textId="77777777" w:rsidR="002133E3" w:rsidRDefault="002133E3">
            <w:pPr>
              <w:rPr>
                <w:rFonts w:ascii="Times New Roman" w:eastAsia="宋体" w:hAnsi="Times New Roman" w:cs="Times New Roman"/>
                <w:szCs w:val="21"/>
              </w:rPr>
            </w:pPr>
          </w:p>
        </w:tc>
        <w:tc>
          <w:tcPr>
            <w:tcW w:w="388" w:type="pct"/>
            <w:vAlign w:val="center"/>
          </w:tcPr>
          <w:p w14:paraId="0589D3A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589" w:type="pct"/>
            <w:vAlign w:val="center"/>
          </w:tcPr>
          <w:p w14:paraId="1389BD3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里沙</w:t>
            </w:r>
          </w:p>
        </w:tc>
        <w:tc>
          <w:tcPr>
            <w:tcW w:w="703" w:type="pct"/>
            <w:vAlign w:val="center"/>
          </w:tcPr>
          <w:p w14:paraId="262D5B2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34.883433</w:t>
            </w:r>
          </w:p>
        </w:tc>
        <w:tc>
          <w:tcPr>
            <w:tcW w:w="626" w:type="pct"/>
            <w:vAlign w:val="center"/>
          </w:tcPr>
          <w:p w14:paraId="350F7F8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119.171539</w:t>
            </w:r>
          </w:p>
        </w:tc>
        <w:tc>
          <w:tcPr>
            <w:tcW w:w="688" w:type="pct"/>
            <w:vAlign w:val="center"/>
          </w:tcPr>
          <w:p w14:paraId="2E9D128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t>
            </w:r>
          </w:p>
        </w:tc>
        <w:tc>
          <w:tcPr>
            <w:tcW w:w="451" w:type="pct"/>
            <w:vAlign w:val="center"/>
          </w:tcPr>
          <w:p w14:paraId="5ADC716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1600</w:t>
            </w:r>
          </w:p>
        </w:tc>
        <w:tc>
          <w:tcPr>
            <w:tcW w:w="551" w:type="pct"/>
            <w:vAlign w:val="center"/>
          </w:tcPr>
          <w:p w14:paraId="55F7444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0A0312B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2156</w:t>
            </w:r>
            <w:r>
              <w:rPr>
                <w:rFonts w:ascii="Times New Roman" w:eastAsia="宋体" w:hAnsi="Times New Roman" w:cs="Times New Roman"/>
                <w:szCs w:val="21"/>
              </w:rPr>
              <w:t>人</w:t>
            </w:r>
          </w:p>
        </w:tc>
      </w:tr>
      <w:tr w:rsidR="002133E3" w14:paraId="38B9559B" w14:textId="77777777">
        <w:trPr>
          <w:trHeight w:val="340"/>
          <w:jc w:val="center"/>
        </w:trPr>
        <w:tc>
          <w:tcPr>
            <w:tcW w:w="345" w:type="pct"/>
            <w:vMerge/>
            <w:vAlign w:val="center"/>
          </w:tcPr>
          <w:p w14:paraId="58404A39" w14:textId="77777777" w:rsidR="002133E3" w:rsidRDefault="002133E3">
            <w:pPr>
              <w:rPr>
                <w:rFonts w:ascii="Times New Roman" w:eastAsia="宋体" w:hAnsi="Times New Roman" w:cs="Times New Roman"/>
                <w:szCs w:val="21"/>
              </w:rPr>
            </w:pPr>
          </w:p>
        </w:tc>
        <w:tc>
          <w:tcPr>
            <w:tcW w:w="388" w:type="pct"/>
            <w:vAlign w:val="center"/>
          </w:tcPr>
          <w:p w14:paraId="356C600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w:t>
            </w:r>
          </w:p>
        </w:tc>
        <w:tc>
          <w:tcPr>
            <w:tcW w:w="589" w:type="pct"/>
            <w:vAlign w:val="center"/>
          </w:tcPr>
          <w:p w14:paraId="19AC8E9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大盘</w:t>
            </w:r>
          </w:p>
        </w:tc>
        <w:tc>
          <w:tcPr>
            <w:tcW w:w="703" w:type="pct"/>
            <w:vAlign w:val="center"/>
          </w:tcPr>
          <w:p w14:paraId="0BE5EFA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34.884095</w:t>
            </w:r>
          </w:p>
        </w:tc>
        <w:tc>
          <w:tcPr>
            <w:tcW w:w="626" w:type="pct"/>
            <w:vAlign w:val="center"/>
          </w:tcPr>
          <w:p w14:paraId="0F26814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119.159947</w:t>
            </w:r>
          </w:p>
        </w:tc>
        <w:tc>
          <w:tcPr>
            <w:tcW w:w="688" w:type="pct"/>
            <w:vAlign w:val="center"/>
          </w:tcPr>
          <w:p w14:paraId="533A447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7D60F0C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1960</w:t>
            </w:r>
          </w:p>
        </w:tc>
        <w:tc>
          <w:tcPr>
            <w:tcW w:w="551" w:type="pct"/>
            <w:vAlign w:val="center"/>
          </w:tcPr>
          <w:p w14:paraId="0B02E07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0868D4D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2076</w:t>
            </w:r>
            <w:r>
              <w:rPr>
                <w:rFonts w:ascii="Times New Roman" w:eastAsia="宋体" w:hAnsi="Times New Roman" w:cs="Times New Roman"/>
                <w:szCs w:val="21"/>
              </w:rPr>
              <w:t>人</w:t>
            </w:r>
          </w:p>
        </w:tc>
      </w:tr>
      <w:tr w:rsidR="002133E3" w14:paraId="2A7B6C7F" w14:textId="77777777">
        <w:trPr>
          <w:trHeight w:val="340"/>
          <w:jc w:val="center"/>
        </w:trPr>
        <w:tc>
          <w:tcPr>
            <w:tcW w:w="345" w:type="pct"/>
            <w:vMerge/>
            <w:vAlign w:val="center"/>
          </w:tcPr>
          <w:p w14:paraId="3915E291" w14:textId="77777777" w:rsidR="002133E3" w:rsidRDefault="002133E3">
            <w:pPr>
              <w:rPr>
                <w:rFonts w:ascii="Times New Roman" w:eastAsia="宋体" w:hAnsi="Times New Roman" w:cs="Times New Roman"/>
                <w:szCs w:val="21"/>
              </w:rPr>
            </w:pPr>
          </w:p>
        </w:tc>
        <w:tc>
          <w:tcPr>
            <w:tcW w:w="388" w:type="pct"/>
            <w:vAlign w:val="center"/>
          </w:tcPr>
          <w:p w14:paraId="17A1A48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w:t>
            </w:r>
          </w:p>
        </w:tc>
        <w:tc>
          <w:tcPr>
            <w:tcW w:w="589" w:type="pct"/>
            <w:vAlign w:val="center"/>
          </w:tcPr>
          <w:p w14:paraId="2F3280D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小盘</w:t>
            </w:r>
          </w:p>
        </w:tc>
        <w:tc>
          <w:tcPr>
            <w:tcW w:w="703" w:type="pct"/>
            <w:vAlign w:val="center"/>
          </w:tcPr>
          <w:p w14:paraId="3F85030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34.879737</w:t>
            </w:r>
          </w:p>
        </w:tc>
        <w:tc>
          <w:tcPr>
            <w:tcW w:w="626" w:type="pct"/>
            <w:vAlign w:val="center"/>
          </w:tcPr>
          <w:p w14:paraId="6CD3193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119.159105</w:t>
            </w:r>
          </w:p>
        </w:tc>
        <w:tc>
          <w:tcPr>
            <w:tcW w:w="688" w:type="pct"/>
            <w:vAlign w:val="center"/>
          </w:tcPr>
          <w:p w14:paraId="797B006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7ECAB2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2530</w:t>
            </w:r>
          </w:p>
        </w:tc>
        <w:tc>
          <w:tcPr>
            <w:tcW w:w="551" w:type="pct"/>
            <w:vAlign w:val="center"/>
          </w:tcPr>
          <w:p w14:paraId="413A3E6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7279172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1340</w:t>
            </w:r>
            <w:r>
              <w:rPr>
                <w:rFonts w:ascii="Times New Roman" w:eastAsia="宋体" w:hAnsi="Times New Roman" w:cs="Times New Roman"/>
                <w:szCs w:val="21"/>
              </w:rPr>
              <w:t>人</w:t>
            </w:r>
          </w:p>
        </w:tc>
      </w:tr>
      <w:tr w:rsidR="002133E3" w14:paraId="63DB176B" w14:textId="77777777">
        <w:trPr>
          <w:trHeight w:val="340"/>
          <w:jc w:val="center"/>
        </w:trPr>
        <w:tc>
          <w:tcPr>
            <w:tcW w:w="345" w:type="pct"/>
            <w:vMerge/>
            <w:vAlign w:val="center"/>
          </w:tcPr>
          <w:p w14:paraId="5BFE18E1" w14:textId="77777777" w:rsidR="002133E3" w:rsidRDefault="002133E3">
            <w:pPr>
              <w:rPr>
                <w:rFonts w:ascii="Times New Roman" w:eastAsia="宋体" w:hAnsi="Times New Roman" w:cs="Times New Roman"/>
                <w:szCs w:val="21"/>
              </w:rPr>
            </w:pPr>
          </w:p>
        </w:tc>
        <w:tc>
          <w:tcPr>
            <w:tcW w:w="388" w:type="pct"/>
            <w:vAlign w:val="center"/>
          </w:tcPr>
          <w:p w14:paraId="3E0D5A4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13</w:t>
            </w:r>
          </w:p>
        </w:tc>
        <w:tc>
          <w:tcPr>
            <w:tcW w:w="589" w:type="pct"/>
            <w:vAlign w:val="center"/>
          </w:tcPr>
          <w:p w14:paraId="214D879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墩后</w:t>
            </w:r>
          </w:p>
        </w:tc>
        <w:tc>
          <w:tcPr>
            <w:tcW w:w="703" w:type="pct"/>
            <w:vAlign w:val="center"/>
          </w:tcPr>
          <w:p w14:paraId="3657D3B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34.876256</w:t>
            </w:r>
          </w:p>
        </w:tc>
        <w:tc>
          <w:tcPr>
            <w:tcW w:w="626" w:type="pct"/>
            <w:vAlign w:val="center"/>
          </w:tcPr>
          <w:p w14:paraId="626128B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119.162475</w:t>
            </w:r>
          </w:p>
        </w:tc>
        <w:tc>
          <w:tcPr>
            <w:tcW w:w="688" w:type="pct"/>
            <w:vAlign w:val="center"/>
          </w:tcPr>
          <w:p w14:paraId="446387D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t>
            </w:r>
          </w:p>
        </w:tc>
        <w:tc>
          <w:tcPr>
            <w:tcW w:w="451" w:type="pct"/>
            <w:vAlign w:val="center"/>
          </w:tcPr>
          <w:p w14:paraId="395E0B2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2710</w:t>
            </w:r>
          </w:p>
        </w:tc>
        <w:tc>
          <w:tcPr>
            <w:tcW w:w="551" w:type="pct"/>
            <w:vAlign w:val="center"/>
          </w:tcPr>
          <w:p w14:paraId="67DEDA2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6B63846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1000</w:t>
            </w:r>
            <w:r>
              <w:rPr>
                <w:rFonts w:ascii="Times New Roman" w:eastAsia="宋体" w:hAnsi="Times New Roman" w:cs="Times New Roman"/>
                <w:szCs w:val="21"/>
              </w:rPr>
              <w:t>人</w:t>
            </w:r>
          </w:p>
        </w:tc>
      </w:tr>
      <w:tr w:rsidR="002133E3" w14:paraId="6380AC3D" w14:textId="77777777">
        <w:trPr>
          <w:trHeight w:val="340"/>
          <w:jc w:val="center"/>
        </w:trPr>
        <w:tc>
          <w:tcPr>
            <w:tcW w:w="345" w:type="pct"/>
            <w:vMerge/>
            <w:vAlign w:val="center"/>
          </w:tcPr>
          <w:p w14:paraId="671E401B" w14:textId="77777777" w:rsidR="002133E3" w:rsidRDefault="002133E3">
            <w:pPr>
              <w:rPr>
                <w:rFonts w:ascii="Times New Roman" w:eastAsia="宋体" w:hAnsi="Times New Roman" w:cs="Times New Roman"/>
                <w:szCs w:val="21"/>
              </w:rPr>
            </w:pPr>
          </w:p>
        </w:tc>
        <w:tc>
          <w:tcPr>
            <w:tcW w:w="388" w:type="pct"/>
            <w:vAlign w:val="center"/>
          </w:tcPr>
          <w:p w14:paraId="0E8E3CA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14</w:t>
            </w:r>
          </w:p>
        </w:tc>
        <w:tc>
          <w:tcPr>
            <w:tcW w:w="589" w:type="pct"/>
            <w:vAlign w:val="center"/>
          </w:tcPr>
          <w:p w14:paraId="01B99B4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安庄村</w:t>
            </w:r>
          </w:p>
        </w:tc>
        <w:tc>
          <w:tcPr>
            <w:tcW w:w="703" w:type="pct"/>
            <w:vAlign w:val="center"/>
          </w:tcPr>
          <w:p w14:paraId="4886A6A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34.875526</w:t>
            </w:r>
          </w:p>
        </w:tc>
        <w:tc>
          <w:tcPr>
            <w:tcW w:w="626" w:type="pct"/>
            <w:vAlign w:val="center"/>
          </w:tcPr>
          <w:p w14:paraId="70B3D61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119.170613</w:t>
            </w:r>
          </w:p>
        </w:tc>
        <w:tc>
          <w:tcPr>
            <w:tcW w:w="688" w:type="pct"/>
            <w:vAlign w:val="center"/>
          </w:tcPr>
          <w:p w14:paraId="3E29328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SE</w:t>
            </w:r>
          </w:p>
        </w:tc>
        <w:tc>
          <w:tcPr>
            <w:tcW w:w="451" w:type="pct"/>
            <w:vAlign w:val="center"/>
          </w:tcPr>
          <w:p w14:paraId="4D836C5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2540</w:t>
            </w:r>
          </w:p>
        </w:tc>
        <w:tc>
          <w:tcPr>
            <w:tcW w:w="551" w:type="pct"/>
            <w:vAlign w:val="center"/>
          </w:tcPr>
          <w:p w14:paraId="45DFE12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38CE758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3230</w:t>
            </w:r>
            <w:r>
              <w:rPr>
                <w:rFonts w:ascii="Times New Roman" w:eastAsia="宋体" w:hAnsi="Times New Roman" w:cs="Times New Roman"/>
                <w:szCs w:val="21"/>
              </w:rPr>
              <w:t>人</w:t>
            </w:r>
          </w:p>
        </w:tc>
      </w:tr>
      <w:tr w:rsidR="002133E3" w14:paraId="425E7229" w14:textId="77777777">
        <w:trPr>
          <w:trHeight w:val="340"/>
          <w:jc w:val="center"/>
        </w:trPr>
        <w:tc>
          <w:tcPr>
            <w:tcW w:w="345" w:type="pct"/>
            <w:vMerge/>
            <w:vAlign w:val="center"/>
          </w:tcPr>
          <w:p w14:paraId="5A5C9054" w14:textId="77777777" w:rsidR="002133E3" w:rsidRDefault="002133E3">
            <w:pPr>
              <w:rPr>
                <w:rFonts w:ascii="Times New Roman" w:eastAsia="宋体" w:hAnsi="Times New Roman" w:cs="Times New Roman"/>
                <w:szCs w:val="21"/>
              </w:rPr>
            </w:pPr>
          </w:p>
        </w:tc>
        <w:tc>
          <w:tcPr>
            <w:tcW w:w="388" w:type="pct"/>
            <w:vAlign w:val="center"/>
          </w:tcPr>
          <w:p w14:paraId="2C19BD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589" w:type="pct"/>
            <w:vAlign w:val="center"/>
          </w:tcPr>
          <w:p w14:paraId="72799A4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大岗村</w:t>
            </w:r>
          </w:p>
        </w:tc>
        <w:tc>
          <w:tcPr>
            <w:tcW w:w="703" w:type="pct"/>
            <w:vAlign w:val="center"/>
          </w:tcPr>
          <w:p w14:paraId="3E20FA0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34.941630</w:t>
            </w:r>
          </w:p>
        </w:tc>
        <w:tc>
          <w:tcPr>
            <w:tcW w:w="626" w:type="pct"/>
            <w:vAlign w:val="center"/>
          </w:tcPr>
          <w:p w14:paraId="12249CD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119.156747</w:t>
            </w:r>
          </w:p>
        </w:tc>
        <w:tc>
          <w:tcPr>
            <w:tcW w:w="688" w:type="pct"/>
            <w:vAlign w:val="center"/>
          </w:tcPr>
          <w:p w14:paraId="21A088D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NW</w:t>
            </w:r>
          </w:p>
        </w:tc>
        <w:tc>
          <w:tcPr>
            <w:tcW w:w="451" w:type="pct"/>
            <w:vAlign w:val="center"/>
          </w:tcPr>
          <w:p w14:paraId="26AF740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4380</w:t>
            </w:r>
          </w:p>
        </w:tc>
        <w:tc>
          <w:tcPr>
            <w:tcW w:w="551" w:type="pct"/>
            <w:vAlign w:val="center"/>
          </w:tcPr>
          <w:p w14:paraId="34041AE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1C88ACE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2155</w:t>
            </w:r>
            <w:r>
              <w:rPr>
                <w:rFonts w:ascii="Times New Roman" w:eastAsia="宋体" w:hAnsi="Times New Roman" w:cs="Times New Roman"/>
                <w:szCs w:val="21"/>
              </w:rPr>
              <w:t>人</w:t>
            </w:r>
          </w:p>
        </w:tc>
      </w:tr>
      <w:tr w:rsidR="002133E3" w14:paraId="001CF4C6" w14:textId="77777777">
        <w:trPr>
          <w:trHeight w:val="340"/>
          <w:jc w:val="center"/>
        </w:trPr>
        <w:tc>
          <w:tcPr>
            <w:tcW w:w="345" w:type="pct"/>
            <w:vMerge/>
            <w:vAlign w:val="center"/>
          </w:tcPr>
          <w:p w14:paraId="3C4E70FA" w14:textId="77777777" w:rsidR="002133E3" w:rsidRDefault="002133E3">
            <w:pPr>
              <w:rPr>
                <w:rFonts w:ascii="Times New Roman" w:eastAsia="宋体" w:hAnsi="Times New Roman" w:cs="Times New Roman"/>
                <w:szCs w:val="21"/>
              </w:rPr>
            </w:pPr>
          </w:p>
        </w:tc>
        <w:tc>
          <w:tcPr>
            <w:tcW w:w="388" w:type="pct"/>
            <w:vAlign w:val="center"/>
          </w:tcPr>
          <w:p w14:paraId="2850F7B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16</w:t>
            </w:r>
          </w:p>
        </w:tc>
        <w:tc>
          <w:tcPr>
            <w:tcW w:w="589" w:type="pct"/>
            <w:vAlign w:val="center"/>
          </w:tcPr>
          <w:p w14:paraId="453D147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木头沟</w:t>
            </w:r>
          </w:p>
        </w:tc>
        <w:tc>
          <w:tcPr>
            <w:tcW w:w="703" w:type="pct"/>
            <w:vAlign w:val="center"/>
          </w:tcPr>
          <w:p w14:paraId="53469D9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34.901361</w:t>
            </w:r>
          </w:p>
        </w:tc>
        <w:tc>
          <w:tcPr>
            <w:tcW w:w="626" w:type="pct"/>
            <w:vAlign w:val="center"/>
          </w:tcPr>
          <w:p w14:paraId="5717FEC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119.130226</w:t>
            </w:r>
          </w:p>
        </w:tc>
        <w:tc>
          <w:tcPr>
            <w:tcW w:w="688" w:type="pct"/>
            <w:vAlign w:val="center"/>
          </w:tcPr>
          <w:p w14:paraId="4E95BAC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612A939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3700</w:t>
            </w:r>
          </w:p>
        </w:tc>
        <w:tc>
          <w:tcPr>
            <w:tcW w:w="551" w:type="pct"/>
          </w:tcPr>
          <w:p w14:paraId="396D165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2900006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1960</w:t>
            </w:r>
            <w:r>
              <w:rPr>
                <w:rFonts w:ascii="Times New Roman" w:eastAsia="宋体" w:hAnsi="Times New Roman" w:cs="Times New Roman"/>
                <w:szCs w:val="21"/>
              </w:rPr>
              <w:t>人</w:t>
            </w:r>
          </w:p>
        </w:tc>
      </w:tr>
      <w:tr w:rsidR="002133E3" w14:paraId="3CD78547" w14:textId="77777777">
        <w:trPr>
          <w:trHeight w:val="340"/>
          <w:jc w:val="center"/>
        </w:trPr>
        <w:tc>
          <w:tcPr>
            <w:tcW w:w="345" w:type="pct"/>
            <w:vMerge/>
            <w:vAlign w:val="center"/>
          </w:tcPr>
          <w:p w14:paraId="71E6F29E" w14:textId="77777777" w:rsidR="002133E3" w:rsidRDefault="002133E3">
            <w:pPr>
              <w:rPr>
                <w:rFonts w:ascii="Times New Roman" w:eastAsia="宋体" w:hAnsi="Times New Roman" w:cs="Times New Roman"/>
                <w:szCs w:val="21"/>
              </w:rPr>
            </w:pPr>
          </w:p>
        </w:tc>
        <w:tc>
          <w:tcPr>
            <w:tcW w:w="388" w:type="pct"/>
            <w:vAlign w:val="center"/>
          </w:tcPr>
          <w:p w14:paraId="43F69B6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w:t>
            </w:r>
          </w:p>
        </w:tc>
        <w:tc>
          <w:tcPr>
            <w:tcW w:w="589" w:type="pct"/>
            <w:vAlign w:val="center"/>
          </w:tcPr>
          <w:p w14:paraId="66B5686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匡湖村</w:t>
            </w:r>
          </w:p>
        </w:tc>
        <w:tc>
          <w:tcPr>
            <w:tcW w:w="703" w:type="pct"/>
            <w:vAlign w:val="center"/>
          </w:tcPr>
          <w:p w14:paraId="587346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34.919196</w:t>
            </w:r>
          </w:p>
        </w:tc>
        <w:tc>
          <w:tcPr>
            <w:tcW w:w="626" w:type="pct"/>
            <w:vAlign w:val="center"/>
          </w:tcPr>
          <w:p w14:paraId="595FE6F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119.149154</w:t>
            </w:r>
          </w:p>
        </w:tc>
        <w:tc>
          <w:tcPr>
            <w:tcW w:w="688" w:type="pct"/>
            <w:vAlign w:val="center"/>
          </w:tcPr>
          <w:p w14:paraId="4F2C182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NW</w:t>
            </w:r>
          </w:p>
        </w:tc>
        <w:tc>
          <w:tcPr>
            <w:tcW w:w="451" w:type="pct"/>
            <w:vAlign w:val="center"/>
          </w:tcPr>
          <w:p w14:paraId="69A841A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2600</w:t>
            </w:r>
          </w:p>
        </w:tc>
        <w:tc>
          <w:tcPr>
            <w:tcW w:w="551" w:type="pct"/>
          </w:tcPr>
          <w:p w14:paraId="76EB6C3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Merge w:val="restart"/>
            <w:vAlign w:val="center"/>
          </w:tcPr>
          <w:p w14:paraId="40A2B3C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1881</w:t>
            </w:r>
            <w:r>
              <w:rPr>
                <w:rFonts w:ascii="Times New Roman" w:eastAsia="宋体" w:hAnsi="Times New Roman" w:cs="Times New Roman"/>
                <w:szCs w:val="21"/>
              </w:rPr>
              <w:t>人</w:t>
            </w:r>
          </w:p>
        </w:tc>
      </w:tr>
      <w:tr w:rsidR="002133E3" w14:paraId="039721E6" w14:textId="77777777">
        <w:trPr>
          <w:trHeight w:val="340"/>
          <w:jc w:val="center"/>
        </w:trPr>
        <w:tc>
          <w:tcPr>
            <w:tcW w:w="345" w:type="pct"/>
            <w:vMerge/>
            <w:vAlign w:val="center"/>
          </w:tcPr>
          <w:p w14:paraId="3320C02C" w14:textId="77777777" w:rsidR="002133E3" w:rsidRDefault="002133E3">
            <w:pPr>
              <w:rPr>
                <w:rFonts w:ascii="Times New Roman" w:eastAsia="宋体" w:hAnsi="Times New Roman" w:cs="Times New Roman"/>
                <w:szCs w:val="21"/>
              </w:rPr>
            </w:pPr>
          </w:p>
        </w:tc>
        <w:tc>
          <w:tcPr>
            <w:tcW w:w="388" w:type="pct"/>
            <w:vAlign w:val="center"/>
          </w:tcPr>
          <w:p w14:paraId="0A7927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18</w:t>
            </w:r>
          </w:p>
        </w:tc>
        <w:tc>
          <w:tcPr>
            <w:tcW w:w="589" w:type="pct"/>
            <w:vAlign w:val="center"/>
          </w:tcPr>
          <w:p w14:paraId="64EC8F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王场村</w:t>
            </w:r>
          </w:p>
        </w:tc>
        <w:tc>
          <w:tcPr>
            <w:tcW w:w="703" w:type="pct"/>
            <w:vAlign w:val="center"/>
          </w:tcPr>
          <w:p w14:paraId="623D5DA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34.929539</w:t>
            </w:r>
          </w:p>
        </w:tc>
        <w:tc>
          <w:tcPr>
            <w:tcW w:w="626" w:type="pct"/>
            <w:vAlign w:val="center"/>
          </w:tcPr>
          <w:p w14:paraId="673DD0B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119.147687</w:t>
            </w:r>
          </w:p>
        </w:tc>
        <w:tc>
          <w:tcPr>
            <w:tcW w:w="688" w:type="pct"/>
            <w:vAlign w:val="center"/>
          </w:tcPr>
          <w:p w14:paraId="497DC80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NW</w:t>
            </w:r>
          </w:p>
        </w:tc>
        <w:tc>
          <w:tcPr>
            <w:tcW w:w="451" w:type="pct"/>
            <w:vAlign w:val="center"/>
          </w:tcPr>
          <w:p w14:paraId="796FF84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3600</w:t>
            </w:r>
          </w:p>
        </w:tc>
        <w:tc>
          <w:tcPr>
            <w:tcW w:w="551" w:type="pct"/>
          </w:tcPr>
          <w:p w14:paraId="5793C08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Merge/>
            <w:vAlign w:val="center"/>
          </w:tcPr>
          <w:p w14:paraId="5A4E2966" w14:textId="77777777" w:rsidR="002133E3" w:rsidRDefault="002133E3">
            <w:pPr>
              <w:jc w:val="center"/>
              <w:rPr>
                <w:rFonts w:ascii="Times New Roman" w:eastAsia="宋体" w:hAnsi="Times New Roman" w:cs="Times New Roman"/>
                <w:szCs w:val="21"/>
              </w:rPr>
            </w:pPr>
          </w:p>
        </w:tc>
      </w:tr>
      <w:tr w:rsidR="002133E3" w14:paraId="32BA4C0D" w14:textId="77777777">
        <w:trPr>
          <w:trHeight w:val="340"/>
          <w:jc w:val="center"/>
        </w:trPr>
        <w:tc>
          <w:tcPr>
            <w:tcW w:w="345" w:type="pct"/>
            <w:vMerge/>
            <w:vAlign w:val="center"/>
          </w:tcPr>
          <w:p w14:paraId="57FC20FC" w14:textId="77777777" w:rsidR="002133E3" w:rsidRDefault="002133E3">
            <w:pPr>
              <w:rPr>
                <w:rFonts w:ascii="Times New Roman" w:eastAsia="宋体" w:hAnsi="Times New Roman" w:cs="Times New Roman"/>
                <w:szCs w:val="21"/>
              </w:rPr>
            </w:pPr>
          </w:p>
        </w:tc>
        <w:tc>
          <w:tcPr>
            <w:tcW w:w="388" w:type="pct"/>
            <w:vAlign w:val="center"/>
          </w:tcPr>
          <w:p w14:paraId="7E8A58B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w:t>
            </w:r>
          </w:p>
        </w:tc>
        <w:tc>
          <w:tcPr>
            <w:tcW w:w="589" w:type="pct"/>
            <w:vAlign w:val="center"/>
          </w:tcPr>
          <w:p w14:paraId="1C7B016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杨坨</w:t>
            </w:r>
          </w:p>
        </w:tc>
        <w:tc>
          <w:tcPr>
            <w:tcW w:w="703" w:type="pct"/>
            <w:vAlign w:val="center"/>
          </w:tcPr>
          <w:p w14:paraId="35F2D0C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34.864692</w:t>
            </w:r>
          </w:p>
        </w:tc>
        <w:tc>
          <w:tcPr>
            <w:tcW w:w="626" w:type="pct"/>
            <w:vAlign w:val="center"/>
          </w:tcPr>
          <w:p w14:paraId="3F40006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119.167855</w:t>
            </w:r>
          </w:p>
        </w:tc>
        <w:tc>
          <w:tcPr>
            <w:tcW w:w="688" w:type="pct"/>
            <w:vAlign w:val="center"/>
          </w:tcPr>
          <w:p w14:paraId="155CBD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t>
            </w:r>
          </w:p>
        </w:tc>
        <w:tc>
          <w:tcPr>
            <w:tcW w:w="451" w:type="pct"/>
            <w:vAlign w:val="center"/>
          </w:tcPr>
          <w:p w14:paraId="21CF32B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3800</w:t>
            </w:r>
          </w:p>
        </w:tc>
        <w:tc>
          <w:tcPr>
            <w:tcW w:w="551" w:type="pct"/>
          </w:tcPr>
          <w:p w14:paraId="24D946A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3E78935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2028</w:t>
            </w:r>
            <w:r>
              <w:rPr>
                <w:rFonts w:ascii="Times New Roman" w:eastAsia="宋体" w:hAnsi="Times New Roman" w:cs="Times New Roman"/>
                <w:szCs w:val="21"/>
              </w:rPr>
              <w:t>人</w:t>
            </w:r>
          </w:p>
        </w:tc>
      </w:tr>
      <w:tr w:rsidR="002133E3" w14:paraId="31925CB6" w14:textId="77777777">
        <w:trPr>
          <w:trHeight w:val="340"/>
          <w:jc w:val="center"/>
        </w:trPr>
        <w:tc>
          <w:tcPr>
            <w:tcW w:w="345" w:type="pct"/>
            <w:vMerge/>
            <w:vAlign w:val="center"/>
          </w:tcPr>
          <w:p w14:paraId="30044C77" w14:textId="77777777" w:rsidR="002133E3" w:rsidRDefault="002133E3">
            <w:pPr>
              <w:rPr>
                <w:rFonts w:ascii="Times New Roman" w:eastAsia="宋体" w:hAnsi="Times New Roman" w:cs="Times New Roman"/>
                <w:szCs w:val="21"/>
              </w:rPr>
            </w:pPr>
          </w:p>
        </w:tc>
        <w:tc>
          <w:tcPr>
            <w:tcW w:w="388" w:type="pct"/>
            <w:vAlign w:val="center"/>
          </w:tcPr>
          <w:p w14:paraId="2FF63E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589" w:type="pct"/>
            <w:vAlign w:val="center"/>
          </w:tcPr>
          <w:p w14:paraId="14C7D8F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杨庄</w:t>
            </w:r>
          </w:p>
        </w:tc>
        <w:tc>
          <w:tcPr>
            <w:tcW w:w="703" w:type="pct"/>
            <w:vAlign w:val="center"/>
          </w:tcPr>
          <w:p w14:paraId="51DA4A6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34.892684</w:t>
            </w:r>
          </w:p>
        </w:tc>
        <w:tc>
          <w:tcPr>
            <w:tcW w:w="626" w:type="pct"/>
            <w:vAlign w:val="center"/>
          </w:tcPr>
          <w:p w14:paraId="3E6420E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119.126093</w:t>
            </w:r>
          </w:p>
        </w:tc>
        <w:tc>
          <w:tcPr>
            <w:tcW w:w="688" w:type="pct"/>
            <w:vAlign w:val="center"/>
          </w:tcPr>
          <w:p w14:paraId="224E806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38A0C46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4000</w:t>
            </w:r>
          </w:p>
        </w:tc>
        <w:tc>
          <w:tcPr>
            <w:tcW w:w="551" w:type="pct"/>
          </w:tcPr>
          <w:p w14:paraId="0A9AE30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730568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2200</w:t>
            </w:r>
            <w:r>
              <w:rPr>
                <w:rFonts w:ascii="Times New Roman" w:eastAsia="宋体" w:hAnsi="Times New Roman" w:cs="Times New Roman"/>
                <w:szCs w:val="21"/>
              </w:rPr>
              <w:t>人</w:t>
            </w:r>
          </w:p>
        </w:tc>
      </w:tr>
      <w:tr w:rsidR="002133E3" w14:paraId="359C2EC1" w14:textId="77777777">
        <w:trPr>
          <w:trHeight w:val="340"/>
          <w:jc w:val="center"/>
        </w:trPr>
        <w:tc>
          <w:tcPr>
            <w:tcW w:w="345" w:type="pct"/>
            <w:vMerge/>
            <w:vAlign w:val="center"/>
          </w:tcPr>
          <w:p w14:paraId="56FB7CAB" w14:textId="77777777" w:rsidR="002133E3" w:rsidRDefault="002133E3">
            <w:pPr>
              <w:rPr>
                <w:rFonts w:ascii="Times New Roman" w:eastAsia="宋体" w:hAnsi="Times New Roman" w:cs="Times New Roman"/>
                <w:szCs w:val="21"/>
              </w:rPr>
            </w:pPr>
          </w:p>
        </w:tc>
        <w:tc>
          <w:tcPr>
            <w:tcW w:w="388" w:type="pct"/>
            <w:vAlign w:val="center"/>
          </w:tcPr>
          <w:p w14:paraId="08EAA21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21</w:t>
            </w:r>
          </w:p>
        </w:tc>
        <w:tc>
          <w:tcPr>
            <w:tcW w:w="589" w:type="pct"/>
            <w:vAlign w:val="center"/>
          </w:tcPr>
          <w:p w14:paraId="2C57EF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西湾子</w:t>
            </w:r>
          </w:p>
        </w:tc>
        <w:tc>
          <w:tcPr>
            <w:tcW w:w="703" w:type="pct"/>
            <w:vAlign w:val="center"/>
          </w:tcPr>
          <w:p w14:paraId="448D760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34.876437</w:t>
            </w:r>
          </w:p>
        </w:tc>
        <w:tc>
          <w:tcPr>
            <w:tcW w:w="626" w:type="pct"/>
            <w:vAlign w:val="center"/>
          </w:tcPr>
          <w:p w14:paraId="01F5857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119.137024</w:t>
            </w:r>
          </w:p>
        </w:tc>
        <w:tc>
          <w:tcPr>
            <w:tcW w:w="688" w:type="pct"/>
            <w:vAlign w:val="center"/>
          </w:tcPr>
          <w:p w14:paraId="430D21E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69DAA3A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4700</w:t>
            </w:r>
          </w:p>
        </w:tc>
        <w:tc>
          <w:tcPr>
            <w:tcW w:w="551" w:type="pct"/>
          </w:tcPr>
          <w:p w14:paraId="03C58E3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4CECDB0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580</w:t>
            </w:r>
            <w:r>
              <w:rPr>
                <w:rFonts w:ascii="Times New Roman" w:eastAsia="宋体" w:hAnsi="Times New Roman" w:cs="Times New Roman"/>
                <w:szCs w:val="21"/>
              </w:rPr>
              <w:t>人</w:t>
            </w:r>
          </w:p>
        </w:tc>
      </w:tr>
      <w:tr w:rsidR="002133E3" w14:paraId="0388FB0C" w14:textId="77777777">
        <w:trPr>
          <w:trHeight w:val="340"/>
          <w:jc w:val="center"/>
        </w:trPr>
        <w:tc>
          <w:tcPr>
            <w:tcW w:w="345" w:type="pct"/>
            <w:vMerge/>
            <w:vAlign w:val="center"/>
          </w:tcPr>
          <w:p w14:paraId="43BA8252" w14:textId="77777777" w:rsidR="002133E3" w:rsidRDefault="002133E3">
            <w:pPr>
              <w:rPr>
                <w:rFonts w:ascii="Times New Roman" w:eastAsia="宋体" w:hAnsi="Times New Roman" w:cs="Times New Roman"/>
                <w:szCs w:val="21"/>
              </w:rPr>
            </w:pPr>
          </w:p>
        </w:tc>
        <w:tc>
          <w:tcPr>
            <w:tcW w:w="388" w:type="pct"/>
            <w:vAlign w:val="center"/>
          </w:tcPr>
          <w:p w14:paraId="6526665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22</w:t>
            </w:r>
          </w:p>
        </w:tc>
        <w:tc>
          <w:tcPr>
            <w:tcW w:w="589" w:type="pct"/>
            <w:vAlign w:val="center"/>
          </w:tcPr>
          <w:p w14:paraId="0D302C2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东湾子</w:t>
            </w:r>
          </w:p>
        </w:tc>
        <w:tc>
          <w:tcPr>
            <w:tcW w:w="703" w:type="pct"/>
            <w:vAlign w:val="center"/>
          </w:tcPr>
          <w:p w14:paraId="0C1AE89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34.875327</w:t>
            </w:r>
          </w:p>
        </w:tc>
        <w:tc>
          <w:tcPr>
            <w:tcW w:w="626" w:type="pct"/>
            <w:vAlign w:val="center"/>
          </w:tcPr>
          <w:p w14:paraId="7F5A2F4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119.142661</w:t>
            </w:r>
          </w:p>
        </w:tc>
        <w:tc>
          <w:tcPr>
            <w:tcW w:w="688" w:type="pct"/>
            <w:vAlign w:val="center"/>
          </w:tcPr>
          <w:p w14:paraId="41D41CF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SW</w:t>
            </w:r>
          </w:p>
        </w:tc>
        <w:tc>
          <w:tcPr>
            <w:tcW w:w="451" w:type="pct"/>
            <w:vAlign w:val="center"/>
          </w:tcPr>
          <w:p w14:paraId="0167304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4000</w:t>
            </w:r>
          </w:p>
        </w:tc>
        <w:tc>
          <w:tcPr>
            <w:tcW w:w="551" w:type="pct"/>
          </w:tcPr>
          <w:p w14:paraId="6EB3EEC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居住区</w:t>
            </w:r>
          </w:p>
        </w:tc>
        <w:tc>
          <w:tcPr>
            <w:tcW w:w="659" w:type="pct"/>
            <w:vAlign w:val="center"/>
          </w:tcPr>
          <w:p w14:paraId="07DB4F9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约</w:t>
            </w:r>
            <w:r>
              <w:rPr>
                <w:rFonts w:ascii="Times New Roman" w:eastAsia="宋体" w:hAnsi="Times New Roman" w:cs="Times New Roman"/>
                <w:szCs w:val="21"/>
              </w:rPr>
              <w:t>960</w:t>
            </w:r>
            <w:r>
              <w:rPr>
                <w:rFonts w:ascii="Times New Roman" w:eastAsia="宋体" w:hAnsi="Times New Roman" w:cs="Times New Roman"/>
                <w:szCs w:val="21"/>
              </w:rPr>
              <w:t>人</w:t>
            </w:r>
          </w:p>
        </w:tc>
      </w:tr>
      <w:tr w:rsidR="002133E3" w14:paraId="733C8593" w14:textId="77777777">
        <w:trPr>
          <w:trHeight w:val="340"/>
          <w:jc w:val="center"/>
        </w:trPr>
        <w:tc>
          <w:tcPr>
            <w:tcW w:w="345" w:type="pct"/>
            <w:vMerge/>
            <w:vAlign w:val="center"/>
          </w:tcPr>
          <w:p w14:paraId="3913AEC3" w14:textId="77777777" w:rsidR="002133E3" w:rsidRDefault="002133E3">
            <w:pPr>
              <w:rPr>
                <w:rFonts w:ascii="Times New Roman" w:eastAsia="宋体" w:hAnsi="Times New Roman" w:cs="Times New Roman"/>
                <w:szCs w:val="21"/>
              </w:rPr>
            </w:pPr>
          </w:p>
        </w:tc>
        <w:tc>
          <w:tcPr>
            <w:tcW w:w="3996" w:type="pct"/>
            <w:gridSpan w:val="7"/>
            <w:vAlign w:val="center"/>
          </w:tcPr>
          <w:p w14:paraId="432439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厂址周边</w:t>
            </w:r>
            <w:r>
              <w:rPr>
                <w:rFonts w:ascii="Times New Roman" w:eastAsia="宋体" w:hAnsi="Times New Roman" w:cs="Times New Roman"/>
                <w:szCs w:val="21"/>
              </w:rPr>
              <w:t>500m</w:t>
            </w:r>
            <w:r>
              <w:rPr>
                <w:rFonts w:ascii="Times New Roman" w:eastAsia="宋体" w:hAnsi="Times New Roman" w:cs="Times New Roman"/>
                <w:szCs w:val="21"/>
              </w:rPr>
              <w:t>范围内人口数小计</w:t>
            </w:r>
          </w:p>
        </w:tc>
        <w:tc>
          <w:tcPr>
            <w:tcW w:w="659" w:type="pct"/>
            <w:vAlign w:val="center"/>
          </w:tcPr>
          <w:p w14:paraId="5FC0670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5E0195B0" w14:textId="77777777">
        <w:trPr>
          <w:trHeight w:val="340"/>
          <w:jc w:val="center"/>
        </w:trPr>
        <w:tc>
          <w:tcPr>
            <w:tcW w:w="345" w:type="pct"/>
            <w:vMerge/>
            <w:vAlign w:val="center"/>
          </w:tcPr>
          <w:p w14:paraId="73DD4E09" w14:textId="77777777" w:rsidR="002133E3" w:rsidRDefault="002133E3">
            <w:pPr>
              <w:rPr>
                <w:rFonts w:ascii="Times New Roman" w:eastAsia="宋体" w:hAnsi="Times New Roman" w:cs="Times New Roman"/>
                <w:szCs w:val="21"/>
              </w:rPr>
            </w:pPr>
          </w:p>
        </w:tc>
        <w:tc>
          <w:tcPr>
            <w:tcW w:w="3996" w:type="pct"/>
            <w:gridSpan w:val="7"/>
            <w:vAlign w:val="center"/>
          </w:tcPr>
          <w:p w14:paraId="0C07B65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厂址周边</w:t>
            </w:r>
            <w:r>
              <w:rPr>
                <w:rFonts w:ascii="Times New Roman" w:eastAsia="宋体" w:hAnsi="Times New Roman" w:cs="Times New Roman"/>
                <w:szCs w:val="21"/>
              </w:rPr>
              <w:t>5km</w:t>
            </w:r>
            <w:r>
              <w:rPr>
                <w:rFonts w:ascii="Times New Roman" w:eastAsia="宋体" w:hAnsi="Times New Roman" w:cs="Times New Roman"/>
                <w:szCs w:val="21"/>
              </w:rPr>
              <w:t>范围内人口数小计</w:t>
            </w:r>
          </w:p>
        </w:tc>
        <w:tc>
          <w:tcPr>
            <w:tcW w:w="659" w:type="pct"/>
            <w:vAlign w:val="center"/>
          </w:tcPr>
          <w:p w14:paraId="1EEBFAC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大于</w:t>
            </w:r>
            <w:r>
              <w:rPr>
                <w:rFonts w:ascii="Times New Roman" w:eastAsia="宋体" w:hAnsi="Times New Roman" w:cs="Times New Roman"/>
                <w:szCs w:val="21"/>
              </w:rPr>
              <w:t>5</w:t>
            </w:r>
            <w:r>
              <w:rPr>
                <w:rFonts w:ascii="Times New Roman" w:eastAsia="宋体" w:hAnsi="Times New Roman" w:cs="Times New Roman"/>
                <w:szCs w:val="21"/>
              </w:rPr>
              <w:t>万人</w:t>
            </w:r>
          </w:p>
        </w:tc>
      </w:tr>
      <w:tr w:rsidR="002133E3" w14:paraId="30DDCC41" w14:textId="77777777">
        <w:trPr>
          <w:trHeight w:val="340"/>
          <w:jc w:val="center"/>
        </w:trPr>
        <w:tc>
          <w:tcPr>
            <w:tcW w:w="345" w:type="pct"/>
            <w:vMerge/>
            <w:vAlign w:val="center"/>
          </w:tcPr>
          <w:p w14:paraId="7DD86D81" w14:textId="77777777" w:rsidR="002133E3" w:rsidRDefault="002133E3">
            <w:pPr>
              <w:rPr>
                <w:rFonts w:ascii="Times New Roman" w:eastAsia="宋体" w:hAnsi="Times New Roman" w:cs="Times New Roman"/>
                <w:szCs w:val="21"/>
              </w:rPr>
            </w:pPr>
          </w:p>
        </w:tc>
        <w:tc>
          <w:tcPr>
            <w:tcW w:w="3996" w:type="pct"/>
            <w:gridSpan w:val="7"/>
            <w:vAlign w:val="center"/>
          </w:tcPr>
          <w:p w14:paraId="72EDF5A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大气环境敏感程度</w:t>
            </w:r>
            <w:r>
              <w:rPr>
                <w:rFonts w:ascii="Times New Roman" w:eastAsia="宋体" w:hAnsi="Times New Roman" w:cs="Times New Roman"/>
                <w:szCs w:val="21"/>
              </w:rPr>
              <w:t>E</w:t>
            </w:r>
            <w:r>
              <w:rPr>
                <w:rFonts w:ascii="Times New Roman" w:eastAsia="宋体" w:hAnsi="Times New Roman" w:cs="Times New Roman"/>
                <w:szCs w:val="21"/>
              </w:rPr>
              <w:t>值</w:t>
            </w:r>
          </w:p>
        </w:tc>
        <w:tc>
          <w:tcPr>
            <w:tcW w:w="659" w:type="pct"/>
            <w:vAlign w:val="center"/>
          </w:tcPr>
          <w:p w14:paraId="2DF526C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E1</w:t>
            </w:r>
          </w:p>
        </w:tc>
      </w:tr>
      <w:tr w:rsidR="002133E3" w14:paraId="32A88C7F" w14:textId="77777777">
        <w:trPr>
          <w:trHeight w:val="340"/>
          <w:jc w:val="center"/>
        </w:trPr>
        <w:tc>
          <w:tcPr>
            <w:tcW w:w="345" w:type="pct"/>
            <w:vMerge w:val="restart"/>
            <w:vAlign w:val="center"/>
          </w:tcPr>
          <w:p w14:paraId="47F1AE4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地表水</w:t>
            </w:r>
          </w:p>
        </w:tc>
        <w:tc>
          <w:tcPr>
            <w:tcW w:w="4655" w:type="pct"/>
            <w:gridSpan w:val="8"/>
            <w:tcBorders>
              <w:bottom w:val="single" w:sz="4" w:space="0" w:color="auto"/>
            </w:tcBorders>
            <w:vAlign w:val="center"/>
          </w:tcPr>
          <w:p w14:paraId="1DB7E3B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受纳水体</w:t>
            </w:r>
          </w:p>
        </w:tc>
      </w:tr>
      <w:tr w:rsidR="002133E3" w14:paraId="7AC09053" w14:textId="77777777">
        <w:trPr>
          <w:trHeight w:val="340"/>
          <w:jc w:val="center"/>
        </w:trPr>
        <w:tc>
          <w:tcPr>
            <w:tcW w:w="345" w:type="pct"/>
            <w:vMerge/>
            <w:tcBorders>
              <w:right w:val="single" w:sz="4" w:space="0" w:color="auto"/>
            </w:tcBorders>
            <w:vAlign w:val="center"/>
          </w:tcPr>
          <w:p w14:paraId="0722BEE1" w14:textId="77777777" w:rsidR="002133E3" w:rsidRDefault="002133E3">
            <w:pPr>
              <w:rPr>
                <w:rFonts w:ascii="Times New Roman" w:eastAsia="宋体" w:hAnsi="Times New Roman" w:cs="Times New Roman"/>
                <w:szCs w:val="21"/>
              </w:rPr>
            </w:pPr>
          </w:p>
        </w:tc>
        <w:tc>
          <w:tcPr>
            <w:tcW w:w="388" w:type="pct"/>
            <w:tcBorders>
              <w:top w:val="single" w:sz="4" w:space="0" w:color="auto"/>
              <w:left w:val="single" w:sz="4" w:space="0" w:color="auto"/>
              <w:bottom w:val="single" w:sz="4" w:space="0" w:color="auto"/>
              <w:right w:val="single" w:sz="4" w:space="0" w:color="auto"/>
            </w:tcBorders>
            <w:vAlign w:val="center"/>
          </w:tcPr>
          <w:p w14:paraId="5B016FF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918" w:type="pct"/>
            <w:gridSpan w:val="3"/>
            <w:tcBorders>
              <w:top w:val="single" w:sz="4" w:space="0" w:color="auto"/>
              <w:left w:val="single" w:sz="4" w:space="0" w:color="auto"/>
              <w:bottom w:val="single" w:sz="4" w:space="0" w:color="auto"/>
              <w:right w:val="single" w:sz="4" w:space="0" w:color="auto"/>
            </w:tcBorders>
            <w:vAlign w:val="center"/>
          </w:tcPr>
          <w:p w14:paraId="61303ED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受纳水体</w:t>
            </w:r>
          </w:p>
        </w:tc>
        <w:tc>
          <w:tcPr>
            <w:tcW w:w="1139" w:type="pct"/>
            <w:gridSpan w:val="2"/>
            <w:tcBorders>
              <w:top w:val="single" w:sz="4" w:space="0" w:color="auto"/>
              <w:left w:val="single" w:sz="4" w:space="0" w:color="auto"/>
              <w:bottom w:val="single" w:sz="4" w:space="0" w:color="auto"/>
              <w:right w:val="single" w:sz="4" w:space="0" w:color="auto"/>
            </w:tcBorders>
            <w:vAlign w:val="center"/>
          </w:tcPr>
          <w:p w14:paraId="12E803E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排放点水域环境功能</w:t>
            </w:r>
          </w:p>
        </w:tc>
        <w:tc>
          <w:tcPr>
            <w:tcW w:w="1210" w:type="pct"/>
            <w:gridSpan w:val="2"/>
            <w:tcBorders>
              <w:top w:val="single" w:sz="4" w:space="0" w:color="auto"/>
              <w:left w:val="single" w:sz="4" w:space="0" w:color="auto"/>
              <w:bottom w:val="single" w:sz="4" w:space="0" w:color="auto"/>
              <w:right w:val="single" w:sz="4" w:space="0" w:color="auto"/>
            </w:tcBorders>
            <w:vAlign w:val="center"/>
          </w:tcPr>
          <w:p w14:paraId="69EB163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24h</w:t>
            </w:r>
            <w:r>
              <w:rPr>
                <w:rFonts w:ascii="Times New Roman" w:eastAsia="宋体" w:hAnsi="Times New Roman" w:cs="Times New Roman"/>
                <w:szCs w:val="21"/>
              </w:rPr>
              <w:t>内流经范围</w:t>
            </w:r>
            <w:r>
              <w:rPr>
                <w:rFonts w:ascii="Times New Roman" w:eastAsia="宋体" w:hAnsi="Times New Roman" w:cs="Times New Roman"/>
                <w:szCs w:val="21"/>
              </w:rPr>
              <w:t>km</w:t>
            </w:r>
          </w:p>
        </w:tc>
      </w:tr>
      <w:tr w:rsidR="002133E3" w14:paraId="0491DDAA" w14:textId="77777777">
        <w:trPr>
          <w:trHeight w:val="340"/>
          <w:jc w:val="center"/>
        </w:trPr>
        <w:tc>
          <w:tcPr>
            <w:tcW w:w="345" w:type="pct"/>
            <w:vMerge/>
            <w:tcBorders>
              <w:right w:val="single" w:sz="4" w:space="0" w:color="auto"/>
            </w:tcBorders>
            <w:vAlign w:val="center"/>
          </w:tcPr>
          <w:p w14:paraId="486DB783" w14:textId="77777777" w:rsidR="002133E3" w:rsidRDefault="002133E3">
            <w:pPr>
              <w:rPr>
                <w:rFonts w:ascii="Times New Roman" w:eastAsia="宋体" w:hAnsi="Times New Roman" w:cs="Times New Roman"/>
                <w:szCs w:val="21"/>
              </w:rPr>
            </w:pPr>
          </w:p>
        </w:tc>
        <w:tc>
          <w:tcPr>
            <w:tcW w:w="388" w:type="pct"/>
            <w:tcBorders>
              <w:top w:val="single" w:sz="4" w:space="0" w:color="auto"/>
              <w:left w:val="single" w:sz="4" w:space="0" w:color="auto"/>
              <w:bottom w:val="single" w:sz="4" w:space="0" w:color="auto"/>
              <w:right w:val="single" w:sz="4" w:space="0" w:color="auto"/>
            </w:tcBorders>
            <w:vAlign w:val="center"/>
          </w:tcPr>
          <w:p w14:paraId="342604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1918" w:type="pct"/>
            <w:gridSpan w:val="3"/>
            <w:tcBorders>
              <w:top w:val="single" w:sz="4" w:space="0" w:color="auto"/>
              <w:left w:val="single" w:sz="4" w:space="0" w:color="auto"/>
              <w:bottom w:val="single" w:sz="4" w:space="0" w:color="auto"/>
              <w:right w:val="single" w:sz="4" w:space="0" w:color="auto"/>
            </w:tcBorders>
            <w:vAlign w:val="center"/>
          </w:tcPr>
          <w:p w14:paraId="3176D4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兴庄河</w:t>
            </w:r>
          </w:p>
        </w:tc>
        <w:tc>
          <w:tcPr>
            <w:tcW w:w="1139" w:type="pct"/>
            <w:gridSpan w:val="2"/>
            <w:tcBorders>
              <w:top w:val="single" w:sz="4" w:space="0" w:color="auto"/>
              <w:left w:val="single" w:sz="4" w:space="0" w:color="auto"/>
              <w:bottom w:val="single" w:sz="4" w:space="0" w:color="auto"/>
              <w:right w:val="single" w:sz="4" w:space="0" w:color="auto"/>
            </w:tcBorders>
            <w:vAlign w:val="center"/>
          </w:tcPr>
          <w:p w14:paraId="36B3875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3 \* ROMAN </w:instrText>
            </w:r>
            <w:r>
              <w:rPr>
                <w:rFonts w:ascii="Times New Roman" w:eastAsia="宋体" w:hAnsi="Times New Roman" w:cs="Times New Roman"/>
                <w:szCs w:val="21"/>
              </w:rPr>
              <w:fldChar w:fldCharType="separate"/>
            </w:r>
            <w:r>
              <w:rPr>
                <w:rFonts w:ascii="Times New Roman" w:eastAsia="宋体" w:hAnsi="Times New Roman" w:cs="Times New Roman"/>
                <w:szCs w:val="21"/>
              </w:rPr>
              <w:t>III</w:t>
            </w:r>
            <w:r>
              <w:rPr>
                <w:rFonts w:ascii="Times New Roman" w:eastAsia="宋体" w:hAnsi="Times New Roman" w:cs="Times New Roman"/>
                <w:szCs w:val="21"/>
              </w:rPr>
              <w:fldChar w:fldCharType="end"/>
            </w:r>
            <w:r>
              <w:rPr>
                <w:rFonts w:ascii="Times New Roman" w:eastAsia="宋体" w:hAnsi="Times New Roman" w:cs="Times New Roman"/>
                <w:szCs w:val="21"/>
              </w:rPr>
              <w:t>类</w:t>
            </w:r>
          </w:p>
        </w:tc>
        <w:tc>
          <w:tcPr>
            <w:tcW w:w="1210" w:type="pct"/>
            <w:gridSpan w:val="2"/>
            <w:tcBorders>
              <w:top w:val="single" w:sz="4" w:space="0" w:color="auto"/>
              <w:left w:val="single" w:sz="4" w:space="0" w:color="auto"/>
              <w:bottom w:val="single" w:sz="4" w:space="0" w:color="auto"/>
              <w:right w:val="single" w:sz="4" w:space="0" w:color="auto"/>
            </w:tcBorders>
            <w:vAlign w:val="center"/>
          </w:tcPr>
          <w:p w14:paraId="205C00A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1E3D5F47" w14:textId="77777777">
        <w:trPr>
          <w:trHeight w:val="340"/>
          <w:jc w:val="center"/>
        </w:trPr>
        <w:tc>
          <w:tcPr>
            <w:tcW w:w="345" w:type="pct"/>
            <w:vMerge/>
            <w:tcBorders>
              <w:right w:val="single" w:sz="4" w:space="0" w:color="auto"/>
            </w:tcBorders>
            <w:vAlign w:val="center"/>
          </w:tcPr>
          <w:p w14:paraId="6AF171CF" w14:textId="77777777" w:rsidR="002133E3" w:rsidRDefault="002133E3">
            <w:pPr>
              <w:rPr>
                <w:rFonts w:ascii="Times New Roman" w:eastAsia="宋体" w:hAnsi="Times New Roman" w:cs="Times New Roman"/>
                <w:szCs w:val="21"/>
              </w:rPr>
            </w:pPr>
          </w:p>
        </w:tc>
        <w:tc>
          <w:tcPr>
            <w:tcW w:w="388" w:type="pct"/>
            <w:tcBorders>
              <w:top w:val="single" w:sz="4" w:space="0" w:color="auto"/>
              <w:left w:val="single" w:sz="4" w:space="0" w:color="auto"/>
              <w:bottom w:val="single" w:sz="4" w:space="0" w:color="auto"/>
              <w:right w:val="single" w:sz="4" w:space="0" w:color="auto"/>
            </w:tcBorders>
            <w:vAlign w:val="center"/>
          </w:tcPr>
          <w:p w14:paraId="4BA815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1918" w:type="pct"/>
            <w:gridSpan w:val="3"/>
            <w:tcBorders>
              <w:top w:val="single" w:sz="4" w:space="0" w:color="auto"/>
              <w:left w:val="single" w:sz="4" w:space="0" w:color="auto"/>
              <w:bottom w:val="single" w:sz="4" w:space="0" w:color="auto"/>
              <w:right w:val="single" w:sz="4" w:space="0" w:color="auto"/>
            </w:tcBorders>
            <w:vAlign w:val="center"/>
          </w:tcPr>
          <w:p w14:paraId="0A3E468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139" w:type="pct"/>
            <w:gridSpan w:val="2"/>
            <w:tcBorders>
              <w:top w:val="single" w:sz="4" w:space="0" w:color="auto"/>
              <w:left w:val="single" w:sz="4" w:space="0" w:color="auto"/>
              <w:bottom w:val="single" w:sz="4" w:space="0" w:color="auto"/>
              <w:right w:val="single" w:sz="4" w:space="0" w:color="auto"/>
            </w:tcBorders>
            <w:vAlign w:val="center"/>
          </w:tcPr>
          <w:p w14:paraId="1223CEA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210" w:type="pct"/>
            <w:gridSpan w:val="2"/>
            <w:tcBorders>
              <w:top w:val="single" w:sz="4" w:space="0" w:color="auto"/>
              <w:left w:val="single" w:sz="4" w:space="0" w:color="auto"/>
              <w:bottom w:val="single" w:sz="4" w:space="0" w:color="auto"/>
              <w:right w:val="single" w:sz="4" w:space="0" w:color="auto"/>
            </w:tcBorders>
            <w:vAlign w:val="center"/>
          </w:tcPr>
          <w:p w14:paraId="02BCC0C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2BA3028A" w14:textId="77777777">
        <w:trPr>
          <w:trHeight w:val="340"/>
          <w:jc w:val="center"/>
        </w:trPr>
        <w:tc>
          <w:tcPr>
            <w:tcW w:w="345" w:type="pct"/>
            <w:vMerge/>
            <w:vAlign w:val="center"/>
          </w:tcPr>
          <w:p w14:paraId="337CE25D" w14:textId="77777777" w:rsidR="002133E3" w:rsidRDefault="002133E3">
            <w:pPr>
              <w:rPr>
                <w:rFonts w:ascii="Times New Roman" w:eastAsia="宋体" w:hAnsi="Times New Roman" w:cs="Times New Roman"/>
                <w:szCs w:val="21"/>
              </w:rPr>
            </w:pPr>
          </w:p>
        </w:tc>
        <w:tc>
          <w:tcPr>
            <w:tcW w:w="4655" w:type="pct"/>
            <w:gridSpan w:val="8"/>
            <w:tcBorders>
              <w:top w:val="single" w:sz="4" w:space="0" w:color="auto"/>
            </w:tcBorders>
            <w:vAlign w:val="center"/>
          </w:tcPr>
          <w:p w14:paraId="5904E3C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内陆水体排放点下游</w:t>
            </w:r>
            <w:r>
              <w:rPr>
                <w:rFonts w:ascii="Times New Roman" w:eastAsia="宋体" w:hAnsi="Times New Roman" w:cs="Times New Roman"/>
                <w:szCs w:val="21"/>
              </w:rPr>
              <w:t>10km</w:t>
            </w:r>
            <w:r>
              <w:rPr>
                <w:rFonts w:ascii="Times New Roman" w:eastAsia="宋体" w:hAnsi="Times New Roman" w:cs="Times New Roman"/>
                <w:szCs w:val="21"/>
              </w:rPr>
              <w:t>范围内敏感目标</w:t>
            </w:r>
          </w:p>
        </w:tc>
      </w:tr>
      <w:tr w:rsidR="002133E3" w14:paraId="3D86B7A5" w14:textId="77777777">
        <w:trPr>
          <w:trHeight w:val="340"/>
          <w:jc w:val="center"/>
        </w:trPr>
        <w:tc>
          <w:tcPr>
            <w:tcW w:w="345" w:type="pct"/>
            <w:vMerge/>
            <w:vAlign w:val="center"/>
          </w:tcPr>
          <w:p w14:paraId="27A53948" w14:textId="77777777" w:rsidR="002133E3" w:rsidRDefault="002133E3">
            <w:pPr>
              <w:rPr>
                <w:rFonts w:ascii="Times New Roman" w:eastAsia="宋体" w:hAnsi="Times New Roman" w:cs="Times New Roman"/>
                <w:szCs w:val="21"/>
              </w:rPr>
            </w:pPr>
          </w:p>
        </w:tc>
        <w:tc>
          <w:tcPr>
            <w:tcW w:w="388" w:type="pct"/>
            <w:vAlign w:val="center"/>
          </w:tcPr>
          <w:p w14:paraId="08934E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918" w:type="pct"/>
            <w:gridSpan w:val="3"/>
            <w:vAlign w:val="center"/>
          </w:tcPr>
          <w:p w14:paraId="1629331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敏感目标名称</w:t>
            </w:r>
          </w:p>
        </w:tc>
        <w:tc>
          <w:tcPr>
            <w:tcW w:w="1139" w:type="pct"/>
            <w:gridSpan w:val="2"/>
            <w:vAlign w:val="center"/>
          </w:tcPr>
          <w:p w14:paraId="4598B5F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环境敏感特征</w:t>
            </w:r>
          </w:p>
        </w:tc>
        <w:tc>
          <w:tcPr>
            <w:tcW w:w="551" w:type="pct"/>
            <w:vAlign w:val="center"/>
          </w:tcPr>
          <w:p w14:paraId="0E88C32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水质目标</w:t>
            </w:r>
          </w:p>
        </w:tc>
        <w:tc>
          <w:tcPr>
            <w:tcW w:w="659" w:type="pct"/>
            <w:vAlign w:val="center"/>
          </w:tcPr>
          <w:p w14:paraId="2FB493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与排放点距离</w:t>
            </w:r>
            <w:r>
              <w:rPr>
                <w:rFonts w:ascii="Times New Roman" w:eastAsia="宋体" w:hAnsi="Times New Roman" w:cs="Times New Roman"/>
                <w:szCs w:val="21"/>
              </w:rPr>
              <w:t>m</w:t>
            </w:r>
          </w:p>
        </w:tc>
      </w:tr>
      <w:tr w:rsidR="002133E3" w14:paraId="21EB9956" w14:textId="77777777">
        <w:trPr>
          <w:trHeight w:val="340"/>
          <w:jc w:val="center"/>
        </w:trPr>
        <w:tc>
          <w:tcPr>
            <w:tcW w:w="345" w:type="pct"/>
            <w:vMerge/>
            <w:vAlign w:val="center"/>
          </w:tcPr>
          <w:p w14:paraId="744012C0" w14:textId="77777777" w:rsidR="002133E3" w:rsidRDefault="002133E3">
            <w:pPr>
              <w:rPr>
                <w:rFonts w:ascii="Times New Roman" w:eastAsia="宋体" w:hAnsi="Times New Roman" w:cs="Times New Roman"/>
                <w:szCs w:val="21"/>
              </w:rPr>
            </w:pPr>
          </w:p>
        </w:tc>
        <w:tc>
          <w:tcPr>
            <w:tcW w:w="388" w:type="pct"/>
            <w:vAlign w:val="center"/>
          </w:tcPr>
          <w:p w14:paraId="591C397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1918" w:type="pct"/>
            <w:gridSpan w:val="3"/>
            <w:vAlign w:val="center"/>
          </w:tcPr>
          <w:p w14:paraId="2AD5BC3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139" w:type="pct"/>
            <w:gridSpan w:val="2"/>
            <w:vAlign w:val="center"/>
          </w:tcPr>
          <w:p w14:paraId="64A140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51" w:type="pct"/>
            <w:vAlign w:val="center"/>
          </w:tcPr>
          <w:p w14:paraId="1925D86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659" w:type="pct"/>
            <w:vAlign w:val="center"/>
          </w:tcPr>
          <w:p w14:paraId="5BECAE6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4DAF85FE" w14:textId="77777777">
        <w:trPr>
          <w:trHeight w:val="340"/>
          <w:jc w:val="center"/>
        </w:trPr>
        <w:tc>
          <w:tcPr>
            <w:tcW w:w="345" w:type="pct"/>
            <w:vMerge/>
            <w:vAlign w:val="center"/>
          </w:tcPr>
          <w:p w14:paraId="66662BA4" w14:textId="77777777" w:rsidR="002133E3" w:rsidRDefault="002133E3">
            <w:pPr>
              <w:rPr>
                <w:rFonts w:ascii="Times New Roman" w:eastAsia="宋体" w:hAnsi="Times New Roman" w:cs="Times New Roman"/>
                <w:szCs w:val="21"/>
              </w:rPr>
            </w:pPr>
          </w:p>
        </w:tc>
        <w:tc>
          <w:tcPr>
            <w:tcW w:w="3996" w:type="pct"/>
            <w:gridSpan w:val="7"/>
            <w:vAlign w:val="center"/>
          </w:tcPr>
          <w:p w14:paraId="78A523A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地表水环境敏感程度</w:t>
            </w:r>
            <w:r>
              <w:rPr>
                <w:rFonts w:ascii="Times New Roman" w:eastAsia="宋体" w:hAnsi="Times New Roman" w:cs="Times New Roman"/>
                <w:szCs w:val="21"/>
              </w:rPr>
              <w:t>E</w:t>
            </w:r>
            <w:r>
              <w:rPr>
                <w:rFonts w:ascii="Times New Roman" w:eastAsia="宋体" w:hAnsi="Times New Roman" w:cs="Times New Roman"/>
                <w:szCs w:val="21"/>
              </w:rPr>
              <w:t>值</w:t>
            </w:r>
          </w:p>
        </w:tc>
        <w:tc>
          <w:tcPr>
            <w:tcW w:w="659" w:type="pct"/>
            <w:vAlign w:val="center"/>
          </w:tcPr>
          <w:p w14:paraId="72554E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E2</w:t>
            </w:r>
          </w:p>
        </w:tc>
      </w:tr>
      <w:tr w:rsidR="002133E3" w14:paraId="22EA284B" w14:textId="77777777">
        <w:trPr>
          <w:trHeight w:val="340"/>
          <w:jc w:val="center"/>
        </w:trPr>
        <w:tc>
          <w:tcPr>
            <w:tcW w:w="345" w:type="pct"/>
            <w:vMerge w:val="restart"/>
            <w:vAlign w:val="center"/>
          </w:tcPr>
          <w:p w14:paraId="61B4309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地下水</w:t>
            </w:r>
          </w:p>
        </w:tc>
        <w:tc>
          <w:tcPr>
            <w:tcW w:w="388" w:type="pct"/>
            <w:vAlign w:val="center"/>
          </w:tcPr>
          <w:p w14:paraId="58BA2B5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918" w:type="pct"/>
            <w:gridSpan w:val="3"/>
            <w:vAlign w:val="center"/>
          </w:tcPr>
          <w:p w14:paraId="791C76F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环境敏感区名称</w:t>
            </w:r>
          </w:p>
        </w:tc>
        <w:tc>
          <w:tcPr>
            <w:tcW w:w="688" w:type="pct"/>
            <w:vAlign w:val="center"/>
          </w:tcPr>
          <w:p w14:paraId="540C2E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环境敏感特征</w:t>
            </w:r>
          </w:p>
        </w:tc>
        <w:tc>
          <w:tcPr>
            <w:tcW w:w="451" w:type="pct"/>
            <w:vAlign w:val="center"/>
          </w:tcPr>
          <w:p w14:paraId="726B74B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水质目标</w:t>
            </w:r>
          </w:p>
        </w:tc>
        <w:tc>
          <w:tcPr>
            <w:tcW w:w="551" w:type="pct"/>
            <w:vAlign w:val="center"/>
          </w:tcPr>
          <w:p w14:paraId="1F6963F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包气带防污性能</w:t>
            </w:r>
          </w:p>
        </w:tc>
        <w:tc>
          <w:tcPr>
            <w:tcW w:w="659" w:type="pct"/>
            <w:vAlign w:val="center"/>
          </w:tcPr>
          <w:p w14:paraId="292C489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与下游厂界距离</w:t>
            </w:r>
            <w:r>
              <w:rPr>
                <w:rFonts w:ascii="Times New Roman" w:eastAsia="宋体" w:hAnsi="Times New Roman" w:cs="Times New Roman"/>
                <w:szCs w:val="21"/>
              </w:rPr>
              <w:t>m</w:t>
            </w:r>
          </w:p>
        </w:tc>
      </w:tr>
      <w:tr w:rsidR="002133E3" w14:paraId="57BF684D" w14:textId="77777777">
        <w:trPr>
          <w:trHeight w:val="340"/>
          <w:jc w:val="center"/>
        </w:trPr>
        <w:tc>
          <w:tcPr>
            <w:tcW w:w="345" w:type="pct"/>
            <w:vMerge/>
            <w:vAlign w:val="center"/>
          </w:tcPr>
          <w:p w14:paraId="0C1891C0" w14:textId="77777777" w:rsidR="002133E3" w:rsidRDefault="002133E3">
            <w:pPr>
              <w:rPr>
                <w:rFonts w:ascii="Times New Roman" w:eastAsia="宋体" w:hAnsi="Times New Roman" w:cs="Times New Roman"/>
                <w:szCs w:val="21"/>
              </w:rPr>
            </w:pPr>
          </w:p>
        </w:tc>
        <w:tc>
          <w:tcPr>
            <w:tcW w:w="388" w:type="pct"/>
            <w:vAlign w:val="center"/>
          </w:tcPr>
          <w:p w14:paraId="259C37B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918" w:type="pct"/>
            <w:gridSpan w:val="3"/>
            <w:vAlign w:val="center"/>
          </w:tcPr>
          <w:p w14:paraId="7511129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688" w:type="pct"/>
            <w:vAlign w:val="center"/>
          </w:tcPr>
          <w:p w14:paraId="2B03C2F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451" w:type="pct"/>
            <w:vAlign w:val="center"/>
          </w:tcPr>
          <w:p w14:paraId="4A5A4A2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51" w:type="pct"/>
            <w:vAlign w:val="center"/>
          </w:tcPr>
          <w:p w14:paraId="04DA9EC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D2</w:t>
            </w:r>
          </w:p>
        </w:tc>
        <w:tc>
          <w:tcPr>
            <w:tcW w:w="659" w:type="pct"/>
            <w:vAlign w:val="center"/>
          </w:tcPr>
          <w:p w14:paraId="5209A9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6E4362E6" w14:textId="77777777">
        <w:trPr>
          <w:trHeight w:val="340"/>
          <w:jc w:val="center"/>
        </w:trPr>
        <w:tc>
          <w:tcPr>
            <w:tcW w:w="345" w:type="pct"/>
            <w:vMerge/>
            <w:vAlign w:val="center"/>
          </w:tcPr>
          <w:p w14:paraId="651147FC" w14:textId="77777777" w:rsidR="002133E3" w:rsidRDefault="002133E3">
            <w:pPr>
              <w:rPr>
                <w:rFonts w:ascii="Times New Roman" w:eastAsia="宋体" w:hAnsi="Times New Roman" w:cs="Times New Roman"/>
                <w:szCs w:val="21"/>
              </w:rPr>
            </w:pPr>
          </w:p>
        </w:tc>
        <w:tc>
          <w:tcPr>
            <w:tcW w:w="3996" w:type="pct"/>
            <w:gridSpan w:val="7"/>
            <w:vAlign w:val="center"/>
          </w:tcPr>
          <w:p w14:paraId="63036B9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地下水环境敏感程度</w:t>
            </w:r>
            <w:r>
              <w:rPr>
                <w:rFonts w:ascii="Times New Roman" w:eastAsia="宋体" w:hAnsi="Times New Roman" w:cs="Times New Roman"/>
                <w:szCs w:val="21"/>
              </w:rPr>
              <w:t>E</w:t>
            </w:r>
            <w:r>
              <w:rPr>
                <w:rFonts w:ascii="Times New Roman" w:eastAsia="宋体" w:hAnsi="Times New Roman" w:cs="Times New Roman"/>
                <w:szCs w:val="21"/>
              </w:rPr>
              <w:t>值</w:t>
            </w:r>
          </w:p>
        </w:tc>
        <w:tc>
          <w:tcPr>
            <w:tcW w:w="659" w:type="pct"/>
            <w:vAlign w:val="center"/>
          </w:tcPr>
          <w:p w14:paraId="15440A1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E3</w:t>
            </w:r>
          </w:p>
        </w:tc>
      </w:tr>
    </w:tbl>
    <w:p w14:paraId="2A361641"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环境风险潜势初判</w:t>
      </w:r>
    </w:p>
    <w:p w14:paraId="7800897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环境风险潜势划分</w:t>
      </w:r>
    </w:p>
    <w:p w14:paraId="47A66981"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建设项目环境风险潜势划分为</w:t>
      </w:r>
      <w:r>
        <w:rPr>
          <w:rFonts w:ascii="宋体" w:eastAsia="宋体" w:hAnsi="宋体" w:cs="宋体" w:hint="eastAsia"/>
          <w:sz w:val="28"/>
          <w:szCs w:val="28"/>
        </w:rPr>
        <w:t>Ⅰ</w:t>
      </w:r>
      <w:r>
        <w:rPr>
          <w:rFonts w:ascii="Times New Roman" w:eastAsia="宋体" w:hAnsi="Times New Roman" w:cs="Times New Roman"/>
          <w:sz w:val="28"/>
          <w:szCs w:val="28"/>
        </w:rPr>
        <w:t>、</w:t>
      </w:r>
      <w:r>
        <w:rPr>
          <w:rFonts w:ascii="宋体" w:eastAsia="宋体" w:hAnsi="宋体" w:cs="宋体" w:hint="eastAsia"/>
          <w:sz w:val="28"/>
          <w:szCs w:val="28"/>
        </w:rPr>
        <w:t>Ⅱ</w:t>
      </w:r>
      <w:r>
        <w:rPr>
          <w:rFonts w:ascii="Times New Roman" w:eastAsia="宋体" w:hAnsi="Times New Roman" w:cs="Times New Roman"/>
          <w:sz w:val="28"/>
          <w:szCs w:val="28"/>
        </w:rPr>
        <w:t>、</w:t>
      </w:r>
      <w:r>
        <w:rPr>
          <w:rFonts w:ascii="宋体" w:eastAsia="宋体" w:hAnsi="宋体" w:cs="宋体" w:hint="eastAsia"/>
          <w:sz w:val="28"/>
          <w:szCs w:val="28"/>
        </w:rPr>
        <w:t>Ⅲ</w:t>
      </w:r>
      <w:r>
        <w:rPr>
          <w:rFonts w:ascii="Times New Roman" w:eastAsia="宋体" w:hAnsi="Times New Roman" w:cs="Times New Roman"/>
          <w:sz w:val="28"/>
          <w:szCs w:val="28"/>
        </w:rPr>
        <w:t>、</w:t>
      </w:r>
      <w:r>
        <w:rPr>
          <w:rFonts w:ascii="宋体" w:eastAsia="宋体" w:hAnsi="宋体" w:cs="宋体" w:hint="eastAsia"/>
          <w:sz w:val="28"/>
          <w:szCs w:val="28"/>
        </w:rPr>
        <w:t>Ⅳ</w:t>
      </w:r>
      <w:r>
        <w:rPr>
          <w:rFonts w:ascii="Times New Roman" w:eastAsia="宋体" w:hAnsi="Times New Roman" w:cs="Times New Roman"/>
          <w:sz w:val="28"/>
          <w:szCs w:val="28"/>
        </w:rPr>
        <w:t>、</w:t>
      </w:r>
      <w:r>
        <w:rPr>
          <w:rFonts w:ascii="宋体" w:eastAsia="宋体" w:hAnsi="宋体" w:cs="宋体" w:hint="eastAsia"/>
          <w:sz w:val="28"/>
          <w:szCs w:val="28"/>
        </w:rPr>
        <w:t>Ⅳ</w:t>
      </w:r>
      <w:r>
        <w:rPr>
          <w:rFonts w:ascii="Times New Roman" w:eastAsia="宋体" w:hAnsi="Times New Roman" w:cs="Times New Roman"/>
          <w:sz w:val="28"/>
          <w:szCs w:val="28"/>
        </w:rPr>
        <w:t>+</w:t>
      </w:r>
      <w:r>
        <w:rPr>
          <w:rFonts w:ascii="Times New Roman" w:eastAsia="宋体" w:hAnsi="Times New Roman" w:cs="Times New Roman"/>
          <w:sz w:val="28"/>
          <w:szCs w:val="28"/>
        </w:rPr>
        <w:t>级。环境风险潜势按照表</w:t>
      </w:r>
      <w:r>
        <w:rPr>
          <w:rFonts w:ascii="Times New Roman" w:eastAsia="宋体" w:hAnsi="Times New Roman" w:cs="Times New Roman"/>
          <w:sz w:val="28"/>
          <w:szCs w:val="28"/>
        </w:rPr>
        <w:t>4.6-4</w:t>
      </w:r>
      <w:r>
        <w:rPr>
          <w:rFonts w:ascii="Times New Roman" w:eastAsia="宋体" w:hAnsi="Times New Roman" w:cs="Times New Roman"/>
          <w:sz w:val="28"/>
          <w:szCs w:val="28"/>
        </w:rPr>
        <w:t>划分。</w:t>
      </w:r>
    </w:p>
    <w:p w14:paraId="562A5A98" w14:textId="77777777" w:rsidR="002133E3" w:rsidRDefault="00C22CFA">
      <w:pPr>
        <w:snapToGrid w:val="0"/>
        <w:spacing w:line="5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4.6-4  </w:t>
      </w:r>
      <w:r>
        <w:rPr>
          <w:rFonts w:ascii="Times New Roman" w:eastAsia="宋体" w:hAnsi="Times New Roman" w:cs="Times New Roman"/>
          <w:b/>
          <w:spacing w:val="-6"/>
          <w:kern w:val="0"/>
          <w:szCs w:val="21"/>
        </w:rPr>
        <w:t>建设项目环境风险潜势划分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80"/>
        <w:gridCol w:w="1836"/>
        <w:gridCol w:w="1836"/>
        <w:gridCol w:w="1831"/>
        <w:gridCol w:w="1852"/>
      </w:tblGrid>
      <w:tr w:rsidR="002133E3" w14:paraId="332E50C5" w14:textId="77777777">
        <w:trPr>
          <w:trHeight w:hRule="exact" w:val="284"/>
          <w:jc w:val="center"/>
        </w:trPr>
        <w:tc>
          <w:tcPr>
            <w:tcW w:w="2180" w:type="dxa"/>
            <w:vMerge w:val="restart"/>
            <w:vAlign w:val="center"/>
          </w:tcPr>
          <w:p w14:paraId="31E2662A"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环境敏感程度</w:t>
            </w:r>
            <w:r>
              <w:rPr>
                <w:rFonts w:ascii="Times New Roman" w:eastAsia="宋体" w:hAnsi="Times New Roman" w:cs="Times New Roman"/>
                <w:szCs w:val="24"/>
              </w:rPr>
              <w:t>(E)</w:t>
            </w:r>
          </w:p>
        </w:tc>
        <w:tc>
          <w:tcPr>
            <w:tcW w:w="7355" w:type="dxa"/>
            <w:gridSpan w:val="4"/>
            <w:vAlign w:val="center"/>
          </w:tcPr>
          <w:p w14:paraId="55763724"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危险物质及工艺系统危险性</w:t>
            </w:r>
            <w:r>
              <w:rPr>
                <w:rFonts w:ascii="Times New Roman" w:eastAsia="宋体" w:hAnsi="Times New Roman" w:cs="Times New Roman"/>
                <w:szCs w:val="24"/>
              </w:rPr>
              <w:t>(P)</w:t>
            </w:r>
          </w:p>
        </w:tc>
      </w:tr>
      <w:tr w:rsidR="002133E3" w14:paraId="39358F4E" w14:textId="77777777">
        <w:trPr>
          <w:trHeight w:hRule="exact" w:val="284"/>
          <w:jc w:val="center"/>
        </w:trPr>
        <w:tc>
          <w:tcPr>
            <w:tcW w:w="2180" w:type="dxa"/>
            <w:vMerge/>
            <w:vAlign w:val="center"/>
          </w:tcPr>
          <w:p w14:paraId="12DD769A" w14:textId="77777777" w:rsidR="002133E3" w:rsidRDefault="002133E3">
            <w:pPr>
              <w:snapToGrid w:val="0"/>
              <w:jc w:val="center"/>
              <w:rPr>
                <w:rFonts w:ascii="Times New Roman" w:eastAsia="宋体" w:hAnsi="Times New Roman" w:cs="Times New Roman"/>
                <w:szCs w:val="24"/>
              </w:rPr>
            </w:pPr>
          </w:p>
        </w:tc>
        <w:tc>
          <w:tcPr>
            <w:tcW w:w="1836" w:type="dxa"/>
            <w:vAlign w:val="center"/>
          </w:tcPr>
          <w:p w14:paraId="551BAE09"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极高危害</w:t>
            </w:r>
            <w:r>
              <w:rPr>
                <w:rFonts w:ascii="Times New Roman" w:eastAsia="宋体" w:hAnsi="Times New Roman" w:cs="Times New Roman"/>
                <w:szCs w:val="24"/>
              </w:rPr>
              <w:t>(P1)</w:t>
            </w:r>
          </w:p>
        </w:tc>
        <w:tc>
          <w:tcPr>
            <w:tcW w:w="1836" w:type="dxa"/>
            <w:vAlign w:val="center"/>
          </w:tcPr>
          <w:p w14:paraId="21F08309"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高度危害</w:t>
            </w:r>
            <w:r>
              <w:rPr>
                <w:rFonts w:ascii="Times New Roman" w:eastAsia="宋体" w:hAnsi="Times New Roman" w:cs="Times New Roman"/>
                <w:szCs w:val="24"/>
              </w:rPr>
              <w:t>(P2)</w:t>
            </w:r>
          </w:p>
        </w:tc>
        <w:tc>
          <w:tcPr>
            <w:tcW w:w="1831" w:type="dxa"/>
            <w:vAlign w:val="center"/>
          </w:tcPr>
          <w:p w14:paraId="22DFBC19"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中度危害</w:t>
            </w:r>
            <w:r>
              <w:rPr>
                <w:rFonts w:ascii="Times New Roman" w:eastAsia="宋体" w:hAnsi="Times New Roman" w:cs="Times New Roman"/>
                <w:szCs w:val="24"/>
              </w:rPr>
              <w:t>(P3)</w:t>
            </w:r>
          </w:p>
        </w:tc>
        <w:tc>
          <w:tcPr>
            <w:tcW w:w="1852" w:type="dxa"/>
            <w:vAlign w:val="center"/>
          </w:tcPr>
          <w:p w14:paraId="7C3FDE06"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轻度危害</w:t>
            </w:r>
            <w:r>
              <w:rPr>
                <w:rFonts w:ascii="Times New Roman" w:eastAsia="宋体" w:hAnsi="Times New Roman" w:cs="Times New Roman"/>
                <w:szCs w:val="24"/>
              </w:rPr>
              <w:t>(P4)</w:t>
            </w:r>
          </w:p>
        </w:tc>
      </w:tr>
      <w:tr w:rsidR="002133E3" w14:paraId="1BFD29A8" w14:textId="77777777">
        <w:trPr>
          <w:trHeight w:hRule="exact" w:val="284"/>
          <w:jc w:val="center"/>
        </w:trPr>
        <w:tc>
          <w:tcPr>
            <w:tcW w:w="2180" w:type="dxa"/>
            <w:vAlign w:val="center"/>
          </w:tcPr>
          <w:p w14:paraId="56C77861"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环境高度敏感区</w:t>
            </w:r>
            <w:r>
              <w:rPr>
                <w:rFonts w:ascii="Times New Roman" w:eastAsia="宋体" w:hAnsi="Times New Roman" w:cs="Times New Roman"/>
                <w:szCs w:val="24"/>
              </w:rPr>
              <w:t>(E1)</w:t>
            </w:r>
          </w:p>
        </w:tc>
        <w:tc>
          <w:tcPr>
            <w:tcW w:w="1836" w:type="dxa"/>
            <w:vAlign w:val="center"/>
          </w:tcPr>
          <w:p w14:paraId="3D62014C"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Ⅳ</w:t>
            </w:r>
            <w:r>
              <w:rPr>
                <w:rFonts w:ascii="Times New Roman" w:eastAsia="宋体" w:hAnsi="Times New Roman" w:cs="Times New Roman"/>
                <w:szCs w:val="24"/>
                <w:vertAlign w:val="superscript"/>
              </w:rPr>
              <w:t>+</w:t>
            </w:r>
          </w:p>
        </w:tc>
        <w:tc>
          <w:tcPr>
            <w:tcW w:w="1836" w:type="dxa"/>
            <w:vAlign w:val="center"/>
          </w:tcPr>
          <w:p w14:paraId="73D89533"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Ⅳ</w:t>
            </w:r>
          </w:p>
        </w:tc>
        <w:tc>
          <w:tcPr>
            <w:tcW w:w="1831" w:type="dxa"/>
            <w:vAlign w:val="center"/>
          </w:tcPr>
          <w:p w14:paraId="56E0C880"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Ⅲ</w:t>
            </w:r>
          </w:p>
        </w:tc>
        <w:tc>
          <w:tcPr>
            <w:tcW w:w="1852" w:type="dxa"/>
            <w:vAlign w:val="center"/>
          </w:tcPr>
          <w:p w14:paraId="0878C3D3"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Ⅲ</w:t>
            </w:r>
          </w:p>
        </w:tc>
      </w:tr>
      <w:tr w:rsidR="002133E3" w14:paraId="20AD1D8D" w14:textId="77777777">
        <w:trPr>
          <w:trHeight w:hRule="exact" w:val="284"/>
          <w:jc w:val="center"/>
        </w:trPr>
        <w:tc>
          <w:tcPr>
            <w:tcW w:w="2180" w:type="dxa"/>
            <w:vAlign w:val="center"/>
          </w:tcPr>
          <w:p w14:paraId="5A33C7C1"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环境中度敏感区</w:t>
            </w:r>
            <w:r>
              <w:rPr>
                <w:rFonts w:ascii="Times New Roman" w:eastAsia="宋体" w:hAnsi="Times New Roman" w:cs="Times New Roman"/>
                <w:szCs w:val="24"/>
              </w:rPr>
              <w:t>(E2)</w:t>
            </w:r>
          </w:p>
        </w:tc>
        <w:tc>
          <w:tcPr>
            <w:tcW w:w="1836" w:type="dxa"/>
            <w:vAlign w:val="center"/>
          </w:tcPr>
          <w:p w14:paraId="0F831A06"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Ⅳ</w:t>
            </w:r>
          </w:p>
        </w:tc>
        <w:tc>
          <w:tcPr>
            <w:tcW w:w="1836" w:type="dxa"/>
            <w:vAlign w:val="center"/>
          </w:tcPr>
          <w:p w14:paraId="338A02AA"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Ⅲ</w:t>
            </w:r>
          </w:p>
        </w:tc>
        <w:tc>
          <w:tcPr>
            <w:tcW w:w="1831" w:type="dxa"/>
            <w:vAlign w:val="center"/>
          </w:tcPr>
          <w:p w14:paraId="50950D39"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Ⅲ</w:t>
            </w:r>
          </w:p>
        </w:tc>
        <w:tc>
          <w:tcPr>
            <w:tcW w:w="1852" w:type="dxa"/>
            <w:vAlign w:val="center"/>
          </w:tcPr>
          <w:p w14:paraId="012918E8"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Ⅱ</w:t>
            </w:r>
          </w:p>
        </w:tc>
      </w:tr>
      <w:tr w:rsidR="002133E3" w14:paraId="20130FD7" w14:textId="77777777">
        <w:trPr>
          <w:trHeight w:hRule="exact" w:val="284"/>
          <w:jc w:val="center"/>
        </w:trPr>
        <w:tc>
          <w:tcPr>
            <w:tcW w:w="2180" w:type="dxa"/>
            <w:vAlign w:val="center"/>
          </w:tcPr>
          <w:p w14:paraId="2C537694" w14:textId="77777777" w:rsidR="002133E3" w:rsidRDefault="00C22CFA">
            <w:pPr>
              <w:snapToGrid w:val="0"/>
              <w:jc w:val="center"/>
              <w:rPr>
                <w:rFonts w:ascii="Times New Roman" w:eastAsia="宋体" w:hAnsi="Times New Roman" w:cs="Times New Roman"/>
                <w:szCs w:val="24"/>
              </w:rPr>
            </w:pPr>
            <w:r>
              <w:rPr>
                <w:rFonts w:ascii="Times New Roman" w:eastAsia="宋体" w:hAnsi="Times New Roman" w:cs="Times New Roman"/>
                <w:szCs w:val="24"/>
              </w:rPr>
              <w:t>环境低度敏感区</w:t>
            </w:r>
            <w:r>
              <w:rPr>
                <w:rFonts w:ascii="Times New Roman" w:eastAsia="宋体" w:hAnsi="Times New Roman" w:cs="Times New Roman"/>
                <w:szCs w:val="24"/>
              </w:rPr>
              <w:t>(E3)</w:t>
            </w:r>
          </w:p>
        </w:tc>
        <w:tc>
          <w:tcPr>
            <w:tcW w:w="1836" w:type="dxa"/>
            <w:vAlign w:val="center"/>
          </w:tcPr>
          <w:p w14:paraId="18F8CE44"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Ⅲ</w:t>
            </w:r>
          </w:p>
        </w:tc>
        <w:tc>
          <w:tcPr>
            <w:tcW w:w="1836" w:type="dxa"/>
            <w:vAlign w:val="center"/>
          </w:tcPr>
          <w:p w14:paraId="1C0DD545"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Ⅲ</w:t>
            </w:r>
          </w:p>
        </w:tc>
        <w:tc>
          <w:tcPr>
            <w:tcW w:w="1831" w:type="dxa"/>
            <w:vAlign w:val="center"/>
          </w:tcPr>
          <w:p w14:paraId="59BB69A1"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Ⅱ</w:t>
            </w:r>
          </w:p>
        </w:tc>
        <w:tc>
          <w:tcPr>
            <w:tcW w:w="1852" w:type="dxa"/>
            <w:vAlign w:val="center"/>
          </w:tcPr>
          <w:p w14:paraId="05D03878" w14:textId="77777777" w:rsidR="002133E3" w:rsidRDefault="00C22CFA">
            <w:pPr>
              <w:snapToGrid w:val="0"/>
              <w:jc w:val="center"/>
              <w:rPr>
                <w:rFonts w:ascii="Times New Roman" w:eastAsia="宋体" w:hAnsi="Times New Roman" w:cs="Times New Roman"/>
                <w:szCs w:val="24"/>
              </w:rPr>
            </w:pPr>
            <w:r>
              <w:rPr>
                <w:rFonts w:ascii="宋体" w:eastAsia="宋体" w:hAnsi="宋体" w:cs="宋体" w:hint="eastAsia"/>
                <w:szCs w:val="24"/>
              </w:rPr>
              <w:t>Ⅰ</w:t>
            </w:r>
          </w:p>
        </w:tc>
      </w:tr>
      <w:tr w:rsidR="002133E3" w14:paraId="1799C938" w14:textId="77777777">
        <w:trPr>
          <w:trHeight w:hRule="exact" w:val="284"/>
          <w:jc w:val="center"/>
        </w:trPr>
        <w:tc>
          <w:tcPr>
            <w:tcW w:w="9535" w:type="dxa"/>
            <w:gridSpan w:val="5"/>
            <w:vAlign w:val="center"/>
          </w:tcPr>
          <w:p w14:paraId="16536015" w14:textId="77777777" w:rsidR="002133E3" w:rsidRDefault="00C22CFA">
            <w:pPr>
              <w:snapToGrid w:val="0"/>
              <w:jc w:val="left"/>
              <w:rPr>
                <w:rFonts w:ascii="Times New Roman" w:eastAsia="宋体" w:hAnsi="Times New Roman" w:cs="Times New Roman"/>
                <w:szCs w:val="24"/>
              </w:rPr>
            </w:pPr>
            <w:r>
              <w:rPr>
                <w:rFonts w:ascii="Times New Roman" w:eastAsia="宋体" w:hAnsi="Times New Roman" w:cs="Times New Roman"/>
                <w:szCs w:val="24"/>
              </w:rPr>
              <w:lastRenderedPageBreak/>
              <w:t>注：</w:t>
            </w:r>
            <w:r>
              <w:rPr>
                <w:rFonts w:ascii="宋体" w:eastAsia="宋体" w:hAnsi="宋体" w:cs="宋体" w:hint="eastAsia"/>
                <w:szCs w:val="24"/>
              </w:rPr>
              <w:t>Ⅳ</w:t>
            </w:r>
            <w:r>
              <w:rPr>
                <w:rFonts w:ascii="Times New Roman" w:eastAsia="宋体" w:hAnsi="Times New Roman" w:cs="Times New Roman"/>
                <w:szCs w:val="24"/>
                <w:vertAlign w:val="superscript"/>
              </w:rPr>
              <w:t>+</w:t>
            </w:r>
            <w:r>
              <w:rPr>
                <w:rFonts w:ascii="Times New Roman" w:eastAsia="宋体" w:hAnsi="Times New Roman" w:cs="Times New Roman"/>
                <w:szCs w:val="24"/>
              </w:rPr>
              <w:t>为极高环境风险。</w:t>
            </w:r>
          </w:p>
        </w:tc>
      </w:tr>
    </w:tbl>
    <w:p w14:paraId="01C916AE"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P</w:t>
      </w:r>
      <w:r>
        <w:rPr>
          <w:rFonts w:ascii="Times New Roman" w:eastAsia="宋体" w:hAnsi="Times New Roman" w:cs="Times New Roman"/>
          <w:b/>
          <w:sz w:val="30"/>
          <w:szCs w:val="30"/>
        </w:rPr>
        <w:t>的分级确定</w:t>
      </w:r>
    </w:p>
    <w:p w14:paraId="1A77C091"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4"/>
          <w:lang w:val="zh-TW"/>
        </w:rPr>
      </w:pPr>
      <w:r>
        <w:rPr>
          <w:rFonts w:ascii="Times New Roman" w:eastAsia="宋体" w:hAnsi="Times New Roman" w:cs="Times New Roman"/>
          <w:sz w:val="28"/>
          <w:szCs w:val="24"/>
          <w:lang w:val="zh-TW" w:eastAsia="zh-TW"/>
        </w:rPr>
        <w:t>分析建设项目生产、使用、储存过程中涉及的有毒有害、易燃易爆物质，参见附录</w:t>
      </w:r>
      <w:r>
        <w:rPr>
          <w:rFonts w:ascii="Times New Roman" w:eastAsia="宋体" w:hAnsi="Times New Roman" w:cs="Times New Roman"/>
          <w:sz w:val="28"/>
          <w:szCs w:val="24"/>
        </w:rPr>
        <w:t>B</w:t>
      </w:r>
      <w:r>
        <w:rPr>
          <w:rFonts w:ascii="Times New Roman" w:eastAsia="宋体" w:hAnsi="Times New Roman" w:cs="Times New Roman"/>
          <w:sz w:val="28"/>
          <w:szCs w:val="24"/>
          <w:lang w:val="zh-TW" w:eastAsia="zh-TW"/>
        </w:rPr>
        <w:t>确定</w:t>
      </w:r>
      <w:r>
        <w:rPr>
          <w:rFonts w:ascii="Times New Roman" w:eastAsia="宋体" w:hAnsi="Times New Roman" w:cs="Times New Roman"/>
          <w:sz w:val="28"/>
          <w:szCs w:val="24"/>
          <w:lang w:val="zh-TW" w:eastAsia="zh-TW"/>
        </w:rPr>
        <w:t xml:space="preserve"> </w:t>
      </w:r>
      <w:r>
        <w:rPr>
          <w:rFonts w:ascii="Times New Roman" w:eastAsia="宋体" w:hAnsi="Times New Roman" w:cs="Times New Roman"/>
          <w:sz w:val="28"/>
          <w:szCs w:val="24"/>
          <w:lang w:val="zh-TW" w:eastAsia="zh-TW"/>
        </w:rPr>
        <w:t>危险物质的临界量。定量分析危险物质数量与临界量的比值</w:t>
      </w:r>
      <w:r>
        <w:rPr>
          <w:rFonts w:ascii="Times New Roman" w:eastAsia="宋体" w:hAnsi="Times New Roman" w:cs="Times New Roman"/>
          <w:sz w:val="28"/>
          <w:szCs w:val="28"/>
        </w:rPr>
        <w:t>(Q)</w:t>
      </w:r>
      <w:r>
        <w:rPr>
          <w:rFonts w:ascii="Times New Roman" w:eastAsia="宋体" w:hAnsi="Times New Roman" w:cs="Times New Roman"/>
          <w:sz w:val="28"/>
          <w:szCs w:val="28"/>
        </w:rPr>
        <w:t>和所属行业及生产工艺特点</w:t>
      </w:r>
      <w:r>
        <w:rPr>
          <w:rFonts w:ascii="Times New Roman" w:eastAsia="宋体" w:hAnsi="Times New Roman" w:cs="Times New Roman"/>
          <w:sz w:val="28"/>
          <w:szCs w:val="24"/>
          <w:lang w:val="zh-TW" w:eastAsia="zh-TW"/>
        </w:rPr>
        <w:t xml:space="preserve"> </w:t>
      </w:r>
      <w:r>
        <w:rPr>
          <w:rFonts w:ascii="Times New Roman" w:eastAsia="宋体" w:hAnsi="Times New Roman" w:cs="Times New Roman"/>
          <w:sz w:val="28"/>
          <w:szCs w:val="24"/>
        </w:rPr>
        <w:t>(M)</w:t>
      </w:r>
      <w:r>
        <w:rPr>
          <w:rFonts w:ascii="Times New Roman" w:eastAsia="宋体" w:hAnsi="Times New Roman" w:cs="Times New Roman"/>
          <w:sz w:val="28"/>
          <w:szCs w:val="24"/>
        </w:rPr>
        <w:t>，</w:t>
      </w:r>
      <w:r>
        <w:rPr>
          <w:rFonts w:ascii="Times New Roman" w:eastAsia="宋体" w:hAnsi="Times New Roman" w:cs="Times New Roman"/>
          <w:sz w:val="28"/>
          <w:szCs w:val="24"/>
          <w:lang w:val="zh-TW" w:eastAsia="zh-TW"/>
        </w:rPr>
        <w:t>按</w:t>
      </w:r>
      <w:r>
        <w:rPr>
          <w:rFonts w:ascii="Times New Roman" w:eastAsia="宋体" w:hAnsi="Times New Roman" w:cs="Times New Roman"/>
          <w:sz w:val="28"/>
          <w:szCs w:val="24"/>
          <w:lang w:val="zh-TW"/>
        </w:rPr>
        <w:t>HJ169-2018</w:t>
      </w:r>
      <w:r>
        <w:rPr>
          <w:rFonts w:ascii="Times New Roman" w:eastAsia="宋体" w:hAnsi="Times New Roman" w:cs="Times New Roman"/>
          <w:sz w:val="28"/>
          <w:szCs w:val="24"/>
          <w:lang w:val="zh-TW" w:eastAsia="zh-TW"/>
        </w:rPr>
        <w:t>附录</w:t>
      </w:r>
      <w:r>
        <w:rPr>
          <w:rFonts w:ascii="Times New Roman" w:eastAsia="宋体" w:hAnsi="Times New Roman" w:cs="Times New Roman"/>
          <w:sz w:val="28"/>
          <w:szCs w:val="24"/>
        </w:rPr>
        <w:t>C</w:t>
      </w:r>
      <w:r>
        <w:rPr>
          <w:rFonts w:ascii="Times New Roman" w:eastAsia="宋体" w:hAnsi="Times New Roman" w:cs="Times New Roman"/>
          <w:sz w:val="28"/>
          <w:szCs w:val="24"/>
          <w:lang w:val="zh-TW" w:eastAsia="zh-TW"/>
        </w:rPr>
        <w:t>对危险物质及工艺系统危险性</w:t>
      </w:r>
      <w:r>
        <w:rPr>
          <w:rFonts w:ascii="Times New Roman" w:eastAsia="宋体" w:hAnsi="Times New Roman" w:cs="Times New Roman"/>
          <w:sz w:val="28"/>
          <w:szCs w:val="28"/>
        </w:rPr>
        <w:t>(</w:t>
      </w:r>
      <w:r>
        <w:rPr>
          <w:rFonts w:ascii="Times New Roman" w:eastAsia="宋体" w:hAnsi="Times New Roman" w:cs="Times New Roman"/>
          <w:sz w:val="28"/>
          <w:szCs w:val="24"/>
        </w:rPr>
        <w:t>P)</w:t>
      </w:r>
      <w:r>
        <w:rPr>
          <w:rFonts w:ascii="Times New Roman" w:eastAsia="宋体" w:hAnsi="Times New Roman" w:cs="Times New Roman"/>
          <w:sz w:val="28"/>
          <w:szCs w:val="24"/>
          <w:lang w:val="zh-TW" w:eastAsia="zh-TW"/>
        </w:rPr>
        <w:t>等级进行判断。</w:t>
      </w:r>
    </w:p>
    <w:p w14:paraId="7F234CB9" w14:textId="77777777" w:rsidR="002133E3" w:rsidRDefault="00C22CFA">
      <w:pPr>
        <w:adjustRightInd w:val="0"/>
        <w:snapToGrid w:val="0"/>
        <w:spacing w:line="500" w:lineRule="exact"/>
        <w:ind w:firstLineChars="200" w:firstLine="562"/>
        <w:rPr>
          <w:rFonts w:ascii="Times New Roman" w:eastAsia="宋体" w:hAnsi="Times New Roman" w:cs="Times New Roman"/>
          <w:b/>
          <w:bCs/>
          <w:sz w:val="28"/>
          <w:szCs w:val="24"/>
          <w:lang w:val="zh-TW"/>
        </w:rPr>
      </w:pPr>
      <w:r>
        <w:rPr>
          <w:rFonts w:ascii="Times New Roman" w:eastAsia="宋体" w:hAnsi="Times New Roman" w:cs="Times New Roman"/>
          <w:b/>
          <w:bCs/>
          <w:sz w:val="28"/>
          <w:szCs w:val="24"/>
          <w:lang w:val="zh-TW"/>
        </w:rPr>
        <w:t>(1)</w:t>
      </w:r>
      <w:r>
        <w:rPr>
          <w:rFonts w:ascii="Times New Roman" w:eastAsia="宋体" w:hAnsi="Times New Roman" w:cs="Times New Roman"/>
          <w:b/>
          <w:bCs/>
          <w:sz w:val="28"/>
          <w:szCs w:val="24"/>
          <w:lang w:val="zh-TW" w:eastAsia="zh-TW"/>
        </w:rPr>
        <w:t xml:space="preserve"> </w:t>
      </w:r>
      <w:r>
        <w:rPr>
          <w:rFonts w:ascii="Times New Roman" w:eastAsia="宋体" w:hAnsi="Times New Roman" w:cs="Times New Roman"/>
          <w:b/>
          <w:bCs/>
          <w:sz w:val="28"/>
          <w:szCs w:val="24"/>
          <w:lang w:val="zh-TW"/>
        </w:rPr>
        <w:t>危险物质数量与临界量比值</w:t>
      </w:r>
      <w:r>
        <w:rPr>
          <w:rFonts w:ascii="Times New Roman" w:eastAsia="宋体" w:hAnsi="Times New Roman" w:cs="Times New Roman"/>
          <w:b/>
          <w:bCs/>
          <w:sz w:val="28"/>
          <w:szCs w:val="28"/>
        </w:rPr>
        <w:t>(Q)</w:t>
      </w:r>
    </w:p>
    <w:p w14:paraId="08434215"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4"/>
          <w:lang w:val="zh-TW"/>
        </w:rPr>
      </w:pPr>
      <w:r>
        <w:rPr>
          <w:rFonts w:ascii="Times New Roman" w:eastAsia="宋体" w:hAnsi="Times New Roman" w:cs="Times New Roman"/>
          <w:sz w:val="28"/>
          <w:szCs w:val="24"/>
          <w:lang w:val="zh-TW" w:eastAsia="zh-TW"/>
        </w:rPr>
        <w:t>计算所涉及的每种危险物质在厂界内的最大存在总量与其在附录</w:t>
      </w:r>
      <w:r>
        <w:rPr>
          <w:rFonts w:ascii="Times New Roman" w:eastAsia="宋体" w:hAnsi="Times New Roman" w:cs="Times New Roman"/>
          <w:sz w:val="28"/>
          <w:szCs w:val="24"/>
        </w:rPr>
        <w:t>B</w:t>
      </w:r>
      <w:r>
        <w:rPr>
          <w:rFonts w:ascii="Times New Roman" w:eastAsia="宋体" w:hAnsi="Times New Roman" w:cs="Times New Roman"/>
          <w:sz w:val="28"/>
          <w:szCs w:val="24"/>
          <w:lang w:val="zh-TW" w:eastAsia="zh-TW"/>
        </w:rPr>
        <w:t>中对应临界量的比值</w:t>
      </w:r>
      <w:r>
        <w:rPr>
          <w:rFonts w:ascii="Times New Roman" w:eastAsia="宋体" w:hAnsi="Times New Roman" w:cs="Times New Roman"/>
          <w:sz w:val="28"/>
          <w:szCs w:val="24"/>
          <w:lang w:val="zh-TW" w:eastAsia="zh-TW"/>
        </w:rPr>
        <w:t>Q</w:t>
      </w:r>
      <w:r>
        <w:rPr>
          <w:rFonts w:ascii="Times New Roman" w:eastAsia="宋体" w:hAnsi="Times New Roman" w:cs="Times New Roman"/>
          <w:sz w:val="28"/>
          <w:szCs w:val="24"/>
          <w:lang w:val="zh-TW" w:eastAsia="zh-TW"/>
        </w:rPr>
        <w:t>。</w:t>
      </w:r>
      <w:r>
        <w:rPr>
          <w:rFonts w:ascii="Times New Roman" w:eastAsia="宋体" w:hAnsi="Times New Roman" w:cs="Times New Roman"/>
          <w:sz w:val="28"/>
          <w:szCs w:val="28"/>
        </w:rPr>
        <w:t>在不同厂区的同一种物质</w:t>
      </w:r>
      <w:r>
        <w:rPr>
          <w:rFonts w:ascii="Times New Roman" w:eastAsia="宋体" w:hAnsi="Times New Roman" w:cs="Times New Roman"/>
          <w:sz w:val="28"/>
          <w:szCs w:val="24"/>
          <w:lang w:val="zh-TW" w:eastAsia="zh-TW"/>
        </w:rPr>
        <w:t>，按其在厂界内的最大存在总量计算。</w:t>
      </w:r>
    </w:p>
    <w:p w14:paraId="174AD043"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8"/>
        </w:rPr>
        <w:t>当只涉及一种危险物质时</w:t>
      </w:r>
      <w:r>
        <w:rPr>
          <w:rFonts w:ascii="Times New Roman" w:eastAsia="宋体" w:hAnsi="Times New Roman" w:cs="Times New Roman"/>
          <w:sz w:val="28"/>
          <w:szCs w:val="24"/>
          <w:lang w:val="zh-TW" w:eastAsia="zh-TW"/>
        </w:rPr>
        <w:t>，计算该物质的总量与其临界量比值，即为</w:t>
      </w:r>
      <w:r>
        <w:rPr>
          <w:rFonts w:ascii="Times New Roman" w:eastAsia="宋体" w:hAnsi="Times New Roman" w:cs="Times New Roman"/>
          <w:sz w:val="28"/>
          <w:szCs w:val="24"/>
          <w:lang w:val="zh-TW"/>
        </w:rPr>
        <w:t>Q</w:t>
      </w:r>
      <w:r>
        <w:rPr>
          <w:rFonts w:ascii="Times New Roman" w:eastAsia="宋体" w:hAnsi="Times New Roman" w:cs="Times New Roman"/>
          <w:sz w:val="28"/>
          <w:szCs w:val="24"/>
          <w:lang w:val="zh-TW" w:eastAsia="zh-TW"/>
        </w:rPr>
        <w:t>；</w:t>
      </w:r>
    </w:p>
    <w:p w14:paraId="2C244965"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8"/>
        </w:rPr>
        <w:t>当存在多种危险物质时</w:t>
      </w:r>
      <w:r>
        <w:rPr>
          <w:rFonts w:ascii="Times New Roman" w:eastAsia="宋体" w:hAnsi="Times New Roman" w:cs="Times New Roman"/>
          <w:sz w:val="28"/>
          <w:szCs w:val="24"/>
          <w:lang w:val="zh-TW" w:eastAsia="zh-TW"/>
        </w:rPr>
        <w:t>，则</w:t>
      </w:r>
      <w:r>
        <w:rPr>
          <w:rFonts w:ascii="Times New Roman" w:eastAsia="宋体" w:hAnsi="Times New Roman" w:cs="Times New Roman"/>
          <w:sz w:val="28"/>
          <w:szCs w:val="24"/>
          <w:lang w:val="zh-TW"/>
        </w:rPr>
        <w:t>下式</w:t>
      </w:r>
      <w:r>
        <w:rPr>
          <w:rFonts w:ascii="Times New Roman" w:eastAsia="宋体" w:hAnsi="Times New Roman" w:cs="Times New Roman"/>
          <w:sz w:val="28"/>
          <w:szCs w:val="24"/>
          <w:lang w:val="zh-TW" w:eastAsia="zh-TW"/>
        </w:rPr>
        <w:t>计算物质总量与其临界量比值</w:t>
      </w:r>
      <w:r>
        <w:rPr>
          <w:rFonts w:ascii="Times New Roman" w:eastAsia="宋体" w:hAnsi="Times New Roman" w:cs="Times New Roman"/>
          <w:sz w:val="28"/>
          <w:szCs w:val="28"/>
        </w:rPr>
        <w:t>(Q)</w:t>
      </w:r>
      <w:r>
        <w:rPr>
          <w:rFonts w:ascii="Times New Roman" w:eastAsia="宋体" w:hAnsi="Times New Roman" w:cs="Times New Roman"/>
          <w:sz w:val="28"/>
          <w:szCs w:val="24"/>
        </w:rPr>
        <w:t>:</w:t>
      </w:r>
    </w:p>
    <w:p w14:paraId="0720843B" w14:textId="77777777" w:rsidR="002133E3" w:rsidRDefault="00C22CFA">
      <w:pPr>
        <w:tabs>
          <w:tab w:val="left" w:pos="720"/>
        </w:tabs>
        <w:snapToGrid w:val="0"/>
        <w:spacing w:line="500" w:lineRule="exact"/>
        <w:ind w:firstLine="480"/>
        <w:jc w:val="center"/>
        <w:rPr>
          <w:rFonts w:ascii="Times New Roman" w:eastAsia="宋体" w:hAnsi="Times New Roman" w:cs="Times New Roman"/>
          <w:sz w:val="28"/>
          <w:szCs w:val="28"/>
          <w:lang w:val="fr-FR" w:eastAsia="zh-TW"/>
        </w:rPr>
      </w:pPr>
      <w:r>
        <w:rPr>
          <w:rFonts w:ascii="Times New Roman" w:eastAsia="宋体" w:hAnsi="Times New Roman" w:cs="Times New Roman"/>
          <w:sz w:val="28"/>
          <w:szCs w:val="28"/>
          <w:lang w:val="fr-FR"/>
        </w:rPr>
        <w:t>Q=</w:t>
      </w:r>
      <w:r>
        <w:rPr>
          <w:rFonts w:ascii="Times New Roman" w:eastAsia="宋体" w:hAnsi="Times New Roman" w:cs="Times New Roman"/>
          <w:sz w:val="28"/>
          <w:szCs w:val="28"/>
          <w:lang w:val="fr-FR" w:eastAsia="zh-TW"/>
        </w:rPr>
        <w:t>q</w:t>
      </w:r>
      <w:r>
        <w:rPr>
          <w:rFonts w:ascii="Times New Roman" w:eastAsia="宋体" w:hAnsi="Times New Roman" w:cs="Times New Roman"/>
          <w:sz w:val="28"/>
          <w:szCs w:val="28"/>
          <w:vertAlign w:val="subscript"/>
          <w:lang w:val="fr-FR" w:eastAsia="zh-TW"/>
        </w:rPr>
        <w:t>1</w:t>
      </w:r>
      <w:r>
        <w:rPr>
          <w:rFonts w:ascii="Times New Roman" w:eastAsia="宋体" w:hAnsi="Times New Roman" w:cs="Times New Roman"/>
          <w:sz w:val="28"/>
          <w:szCs w:val="28"/>
          <w:lang w:val="fr-FR" w:eastAsia="zh-TW"/>
        </w:rPr>
        <w:t>/Q</w:t>
      </w:r>
      <w:r>
        <w:rPr>
          <w:rFonts w:ascii="Times New Roman" w:eastAsia="宋体" w:hAnsi="Times New Roman" w:cs="Times New Roman"/>
          <w:sz w:val="28"/>
          <w:szCs w:val="28"/>
          <w:vertAlign w:val="subscript"/>
          <w:lang w:val="fr-FR" w:eastAsia="zh-TW"/>
        </w:rPr>
        <w:t>1</w:t>
      </w:r>
      <w:r>
        <w:rPr>
          <w:rFonts w:ascii="Times New Roman" w:eastAsia="宋体" w:hAnsi="Times New Roman" w:cs="Times New Roman"/>
          <w:sz w:val="28"/>
          <w:szCs w:val="28"/>
          <w:lang w:val="fr-FR" w:eastAsia="zh-TW"/>
        </w:rPr>
        <w:t xml:space="preserve"> + q</w:t>
      </w:r>
      <w:r>
        <w:rPr>
          <w:rFonts w:ascii="Times New Roman" w:eastAsia="宋体" w:hAnsi="Times New Roman" w:cs="Times New Roman"/>
          <w:sz w:val="28"/>
          <w:szCs w:val="28"/>
          <w:vertAlign w:val="subscript"/>
          <w:lang w:val="fr-FR" w:eastAsia="zh-TW"/>
        </w:rPr>
        <w:t>2</w:t>
      </w:r>
      <w:r>
        <w:rPr>
          <w:rFonts w:ascii="Times New Roman" w:eastAsia="宋体" w:hAnsi="Times New Roman" w:cs="Times New Roman"/>
          <w:sz w:val="28"/>
          <w:szCs w:val="28"/>
          <w:lang w:val="fr-FR" w:eastAsia="zh-TW"/>
        </w:rPr>
        <w:t>/Q</w:t>
      </w:r>
      <w:r>
        <w:rPr>
          <w:rFonts w:ascii="Times New Roman" w:eastAsia="宋体" w:hAnsi="Times New Roman" w:cs="Times New Roman"/>
          <w:sz w:val="28"/>
          <w:szCs w:val="28"/>
          <w:vertAlign w:val="subscript"/>
          <w:lang w:val="fr-FR" w:eastAsia="zh-TW"/>
        </w:rPr>
        <w:t xml:space="preserve">2 </w:t>
      </w:r>
      <w:r>
        <w:rPr>
          <w:rFonts w:ascii="Times New Roman" w:eastAsia="宋体" w:hAnsi="Times New Roman" w:cs="Times New Roman"/>
          <w:sz w:val="28"/>
          <w:szCs w:val="28"/>
          <w:lang w:val="fr-FR" w:eastAsia="zh-TW"/>
        </w:rPr>
        <w:t>…… + q</w:t>
      </w:r>
      <w:r>
        <w:rPr>
          <w:rFonts w:ascii="Times New Roman" w:eastAsia="宋体" w:hAnsi="Times New Roman" w:cs="Times New Roman"/>
          <w:sz w:val="28"/>
          <w:szCs w:val="28"/>
          <w:vertAlign w:val="subscript"/>
          <w:lang w:val="fr-FR" w:eastAsia="zh-TW"/>
        </w:rPr>
        <w:t>n</w:t>
      </w:r>
      <w:r>
        <w:rPr>
          <w:rFonts w:ascii="Times New Roman" w:eastAsia="宋体" w:hAnsi="Times New Roman" w:cs="Times New Roman"/>
          <w:sz w:val="28"/>
          <w:szCs w:val="28"/>
          <w:lang w:val="fr-FR" w:eastAsia="zh-TW"/>
        </w:rPr>
        <w:t>/Q</w:t>
      </w:r>
      <w:r>
        <w:rPr>
          <w:rFonts w:ascii="Times New Roman" w:eastAsia="宋体" w:hAnsi="Times New Roman" w:cs="Times New Roman"/>
          <w:sz w:val="28"/>
          <w:szCs w:val="28"/>
          <w:vertAlign w:val="subscript"/>
          <w:lang w:val="fr-FR" w:eastAsia="zh-TW"/>
        </w:rPr>
        <w:t>n</w:t>
      </w:r>
      <w:r>
        <w:rPr>
          <w:rFonts w:ascii="Times New Roman" w:eastAsia="宋体" w:hAnsi="Times New Roman" w:cs="Times New Roman"/>
          <w:sz w:val="28"/>
          <w:szCs w:val="28"/>
          <w:lang w:val="fr-FR" w:eastAsia="zh-TW"/>
        </w:rPr>
        <w:t xml:space="preserve"> </w:t>
      </w:r>
    </w:p>
    <w:p w14:paraId="057D8B6D" w14:textId="77777777" w:rsidR="002133E3" w:rsidRDefault="00C22CFA">
      <w:pPr>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式中：</w:t>
      </w:r>
    </w:p>
    <w:p w14:paraId="3C5A8CB8" w14:textId="77777777" w:rsidR="002133E3" w:rsidRDefault="00C22CFA">
      <w:pPr>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q1</w:t>
      </w:r>
      <w:r>
        <w:rPr>
          <w:rFonts w:ascii="Times New Roman" w:eastAsia="宋体" w:hAnsi="Times New Roman" w:cs="Times New Roman"/>
          <w:sz w:val="28"/>
          <w:szCs w:val="28"/>
        </w:rPr>
        <w:t>、</w:t>
      </w:r>
      <w:r>
        <w:rPr>
          <w:rFonts w:ascii="Times New Roman" w:eastAsia="宋体" w:hAnsi="Times New Roman" w:cs="Times New Roman"/>
          <w:sz w:val="28"/>
          <w:szCs w:val="28"/>
        </w:rPr>
        <w:t>q2…</w:t>
      </w:r>
      <w:proofErr w:type="spellStart"/>
      <w:r>
        <w:rPr>
          <w:rFonts w:ascii="Times New Roman" w:eastAsia="宋体" w:hAnsi="Times New Roman" w:cs="Times New Roman"/>
          <w:sz w:val="28"/>
          <w:szCs w:val="28"/>
        </w:rPr>
        <w:t>qn</w:t>
      </w:r>
      <w:proofErr w:type="spellEnd"/>
      <w:r>
        <w:rPr>
          <w:rFonts w:ascii="Times New Roman" w:eastAsia="宋体" w:hAnsi="Times New Roman" w:cs="Times New Roman"/>
          <w:sz w:val="28"/>
          <w:szCs w:val="28"/>
        </w:rPr>
        <w:t xml:space="preserve"> — </w:t>
      </w:r>
      <w:r>
        <w:rPr>
          <w:rFonts w:ascii="Times New Roman" w:eastAsia="宋体" w:hAnsi="Times New Roman" w:cs="Times New Roman"/>
          <w:sz w:val="28"/>
          <w:szCs w:val="28"/>
        </w:rPr>
        <w:t>每种危险物质的最大存在量，</w:t>
      </w:r>
      <w:r>
        <w:rPr>
          <w:rFonts w:ascii="Times New Roman" w:eastAsia="宋体" w:hAnsi="Times New Roman" w:cs="Times New Roman"/>
          <w:sz w:val="28"/>
          <w:szCs w:val="28"/>
        </w:rPr>
        <w:t>t</w:t>
      </w:r>
      <w:r>
        <w:rPr>
          <w:rFonts w:ascii="Times New Roman" w:eastAsia="宋体" w:hAnsi="Times New Roman" w:cs="Times New Roman"/>
          <w:sz w:val="28"/>
          <w:szCs w:val="28"/>
        </w:rPr>
        <w:t>；</w:t>
      </w:r>
    </w:p>
    <w:p w14:paraId="78D54A8E" w14:textId="77777777" w:rsidR="002133E3" w:rsidRDefault="00C22CFA">
      <w:pPr>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Q1</w:t>
      </w:r>
      <w:r>
        <w:rPr>
          <w:rFonts w:ascii="Times New Roman" w:eastAsia="宋体" w:hAnsi="Times New Roman" w:cs="Times New Roman"/>
          <w:sz w:val="28"/>
          <w:szCs w:val="28"/>
        </w:rPr>
        <w:t>、</w:t>
      </w:r>
      <w:r>
        <w:rPr>
          <w:rFonts w:ascii="Times New Roman" w:eastAsia="宋体" w:hAnsi="Times New Roman" w:cs="Times New Roman"/>
          <w:sz w:val="28"/>
          <w:szCs w:val="28"/>
        </w:rPr>
        <w:t>Q2…</w:t>
      </w:r>
      <w:proofErr w:type="spellStart"/>
      <w:r>
        <w:rPr>
          <w:rFonts w:ascii="Times New Roman" w:eastAsia="宋体" w:hAnsi="Times New Roman" w:cs="Times New Roman"/>
          <w:sz w:val="28"/>
          <w:szCs w:val="28"/>
        </w:rPr>
        <w:t>Qn</w:t>
      </w:r>
      <w:proofErr w:type="spellEnd"/>
      <w:r>
        <w:rPr>
          <w:rFonts w:ascii="Times New Roman" w:eastAsia="宋体" w:hAnsi="Times New Roman" w:cs="Times New Roman"/>
          <w:sz w:val="28"/>
          <w:szCs w:val="28"/>
        </w:rPr>
        <w:t xml:space="preserve"> — </w:t>
      </w:r>
      <w:r>
        <w:rPr>
          <w:rFonts w:ascii="Times New Roman" w:eastAsia="宋体" w:hAnsi="Times New Roman" w:cs="Times New Roman"/>
          <w:sz w:val="28"/>
          <w:szCs w:val="28"/>
        </w:rPr>
        <w:t>与各危险物质相对应的临界量，</w:t>
      </w:r>
      <w:r>
        <w:rPr>
          <w:rFonts w:ascii="Times New Roman" w:eastAsia="宋体" w:hAnsi="Times New Roman" w:cs="Times New Roman"/>
          <w:sz w:val="28"/>
          <w:szCs w:val="28"/>
        </w:rPr>
        <w:t>t</w:t>
      </w:r>
      <w:r>
        <w:rPr>
          <w:rFonts w:ascii="Times New Roman" w:eastAsia="宋体" w:hAnsi="Times New Roman" w:cs="Times New Roman"/>
          <w:sz w:val="28"/>
          <w:szCs w:val="28"/>
        </w:rPr>
        <w:t>。</w:t>
      </w:r>
    </w:p>
    <w:p w14:paraId="299A1004"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当</w:t>
      </w:r>
      <w:r>
        <w:rPr>
          <w:rFonts w:ascii="Times New Roman" w:eastAsia="宋体" w:hAnsi="Times New Roman" w:cs="Times New Roman"/>
          <w:sz w:val="28"/>
          <w:szCs w:val="28"/>
        </w:rPr>
        <w:t>Q</w:t>
      </w:r>
      <w:r>
        <w:rPr>
          <w:rFonts w:ascii="Times New Roman" w:eastAsia="宋体" w:hAnsi="Times New Roman" w:cs="Times New Roman"/>
          <w:sz w:val="28"/>
          <w:szCs w:val="28"/>
        </w:rPr>
        <w:t>＜</w:t>
      </w:r>
      <w:r>
        <w:rPr>
          <w:rFonts w:ascii="Times New Roman" w:eastAsia="宋体" w:hAnsi="Times New Roman" w:cs="Times New Roman"/>
          <w:sz w:val="28"/>
          <w:szCs w:val="28"/>
        </w:rPr>
        <w:t>1</w:t>
      </w:r>
      <w:r>
        <w:rPr>
          <w:rFonts w:ascii="Times New Roman" w:eastAsia="宋体" w:hAnsi="Times New Roman" w:cs="Times New Roman"/>
          <w:sz w:val="28"/>
          <w:szCs w:val="28"/>
        </w:rPr>
        <w:t>时，该项目环境风险潜势为</w:t>
      </w:r>
      <w:r>
        <w:rPr>
          <w:rFonts w:ascii="宋体" w:eastAsia="宋体" w:hAnsi="宋体" w:cs="宋体" w:hint="eastAsia"/>
          <w:sz w:val="28"/>
          <w:szCs w:val="28"/>
        </w:rPr>
        <w:t>Ⅰ</w:t>
      </w:r>
      <w:r>
        <w:rPr>
          <w:rFonts w:ascii="Times New Roman" w:eastAsia="宋体" w:hAnsi="Times New Roman" w:cs="Times New Roman"/>
          <w:sz w:val="28"/>
          <w:szCs w:val="28"/>
        </w:rPr>
        <w:t>。</w:t>
      </w:r>
    </w:p>
    <w:p w14:paraId="1665289F"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当</w:t>
      </w:r>
      <w:r>
        <w:rPr>
          <w:rFonts w:ascii="Times New Roman" w:eastAsia="宋体" w:hAnsi="Times New Roman" w:cs="Times New Roman"/>
          <w:sz w:val="28"/>
          <w:szCs w:val="28"/>
        </w:rPr>
        <w:t>Q≥1</w:t>
      </w:r>
      <w:r>
        <w:rPr>
          <w:rFonts w:ascii="Times New Roman" w:eastAsia="宋体" w:hAnsi="Times New Roman" w:cs="Times New Roman"/>
          <w:sz w:val="28"/>
          <w:szCs w:val="28"/>
        </w:rPr>
        <w:t>时，将</w:t>
      </w:r>
      <w:r>
        <w:rPr>
          <w:rFonts w:ascii="Times New Roman" w:eastAsia="宋体" w:hAnsi="Times New Roman" w:cs="Times New Roman"/>
          <w:sz w:val="28"/>
          <w:szCs w:val="28"/>
        </w:rPr>
        <w:t>Q</w:t>
      </w:r>
      <w:r>
        <w:rPr>
          <w:rFonts w:ascii="Times New Roman" w:eastAsia="宋体" w:hAnsi="Times New Roman" w:cs="Times New Roman"/>
          <w:sz w:val="28"/>
          <w:szCs w:val="28"/>
        </w:rPr>
        <w:t>值划分为：</w:t>
      </w:r>
      <w:r>
        <w:rPr>
          <w:rFonts w:ascii="宋体" w:eastAsia="宋体" w:hAnsi="宋体" w:cs="宋体" w:hint="eastAsia"/>
          <w:sz w:val="28"/>
          <w:szCs w:val="28"/>
        </w:rPr>
        <w:t>⑴</w:t>
      </w:r>
      <w:r>
        <w:rPr>
          <w:rFonts w:ascii="Times New Roman" w:eastAsia="宋体" w:hAnsi="Times New Roman" w:cs="Times New Roman"/>
          <w:sz w:val="28"/>
          <w:szCs w:val="28"/>
        </w:rPr>
        <w:t>1≤Q</w:t>
      </w:r>
      <w:r>
        <w:rPr>
          <w:rFonts w:ascii="Times New Roman" w:eastAsia="宋体" w:hAnsi="Times New Roman" w:cs="Times New Roman"/>
          <w:sz w:val="28"/>
          <w:szCs w:val="28"/>
        </w:rPr>
        <w:t>＜</w:t>
      </w:r>
      <w:r>
        <w:rPr>
          <w:rFonts w:ascii="Times New Roman" w:eastAsia="宋体" w:hAnsi="Times New Roman" w:cs="Times New Roman"/>
          <w:sz w:val="28"/>
          <w:szCs w:val="28"/>
        </w:rPr>
        <w:t>10</w:t>
      </w:r>
      <w:r>
        <w:rPr>
          <w:rFonts w:ascii="Times New Roman" w:eastAsia="宋体" w:hAnsi="Times New Roman" w:cs="Times New Roman"/>
          <w:sz w:val="28"/>
          <w:szCs w:val="28"/>
        </w:rPr>
        <w:t>；</w:t>
      </w:r>
      <w:r>
        <w:rPr>
          <w:rFonts w:ascii="宋体" w:eastAsia="宋体" w:hAnsi="宋体" w:cs="宋体" w:hint="eastAsia"/>
          <w:sz w:val="28"/>
          <w:szCs w:val="28"/>
        </w:rPr>
        <w:t>⑵</w:t>
      </w:r>
      <w:r>
        <w:rPr>
          <w:rFonts w:ascii="Times New Roman" w:eastAsia="宋体" w:hAnsi="Times New Roman" w:cs="Times New Roman"/>
          <w:sz w:val="28"/>
          <w:szCs w:val="28"/>
        </w:rPr>
        <w:t>10≤Q</w:t>
      </w:r>
      <w:r>
        <w:rPr>
          <w:rFonts w:ascii="Times New Roman" w:eastAsia="宋体" w:hAnsi="Times New Roman" w:cs="Times New Roman"/>
          <w:sz w:val="28"/>
          <w:szCs w:val="28"/>
        </w:rPr>
        <w:t>＜</w:t>
      </w:r>
      <w:r>
        <w:rPr>
          <w:rFonts w:ascii="Times New Roman" w:eastAsia="宋体" w:hAnsi="Times New Roman" w:cs="Times New Roman"/>
          <w:sz w:val="28"/>
          <w:szCs w:val="28"/>
        </w:rPr>
        <w:t>100</w:t>
      </w:r>
      <w:r>
        <w:rPr>
          <w:rFonts w:ascii="Times New Roman" w:eastAsia="宋体" w:hAnsi="Times New Roman" w:cs="Times New Roman"/>
          <w:sz w:val="28"/>
          <w:szCs w:val="28"/>
        </w:rPr>
        <w:t>；</w:t>
      </w:r>
      <w:r>
        <w:rPr>
          <w:rFonts w:ascii="宋体" w:eastAsia="宋体" w:hAnsi="宋体" w:cs="宋体" w:hint="eastAsia"/>
          <w:sz w:val="28"/>
          <w:szCs w:val="28"/>
        </w:rPr>
        <w:t>⑶</w:t>
      </w:r>
      <w:r>
        <w:rPr>
          <w:rFonts w:ascii="Times New Roman" w:eastAsia="宋体" w:hAnsi="Times New Roman" w:cs="Times New Roman"/>
          <w:sz w:val="28"/>
          <w:szCs w:val="28"/>
        </w:rPr>
        <w:t>Q≥100</w:t>
      </w:r>
      <w:r>
        <w:rPr>
          <w:rFonts w:ascii="Times New Roman" w:eastAsia="宋体" w:hAnsi="Times New Roman" w:cs="Times New Roman"/>
          <w:sz w:val="28"/>
          <w:szCs w:val="28"/>
        </w:rPr>
        <w:t>。</w:t>
      </w:r>
    </w:p>
    <w:p w14:paraId="41D413F5" w14:textId="77777777" w:rsidR="002133E3" w:rsidRDefault="00C22CFA">
      <w:pPr>
        <w:snapToGrid w:val="0"/>
        <w:spacing w:line="5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4.6-5 </w:t>
      </w:r>
      <w:r>
        <w:rPr>
          <w:rFonts w:ascii="Times New Roman" w:eastAsia="宋体" w:hAnsi="Times New Roman" w:cs="Times New Roman"/>
          <w:b/>
          <w:spacing w:val="-6"/>
          <w:kern w:val="0"/>
          <w:szCs w:val="21"/>
        </w:rPr>
        <w:t>项目危险化学物品临界储存、使用量及重大危险源判别表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2479"/>
        <w:gridCol w:w="2121"/>
        <w:gridCol w:w="2176"/>
        <w:gridCol w:w="1299"/>
      </w:tblGrid>
      <w:tr w:rsidR="002133E3" w14:paraId="1CC5A709" w14:textId="77777777">
        <w:trPr>
          <w:trHeight w:val="216"/>
          <w:jc w:val="center"/>
        </w:trPr>
        <w:tc>
          <w:tcPr>
            <w:tcW w:w="903" w:type="pct"/>
            <w:shd w:val="clear" w:color="auto" w:fill="auto"/>
            <w:noWrap/>
            <w:vAlign w:val="center"/>
          </w:tcPr>
          <w:p w14:paraId="000E80B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储存物质</w:t>
            </w:r>
          </w:p>
        </w:tc>
        <w:tc>
          <w:tcPr>
            <w:tcW w:w="1258" w:type="pct"/>
            <w:shd w:val="clear" w:color="auto" w:fill="auto"/>
            <w:noWrap/>
            <w:vAlign w:val="center"/>
          </w:tcPr>
          <w:p w14:paraId="476B9BE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最大储存量</w:t>
            </w:r>
            <w:r>
              <w:rPr>
                <w:rFonts w:ascii="Times New Roman" w:eastAsia="宋体" w:hAnsi="Times New Roman" w:cs="Times New Roman"/>
                <w:b/>
                <w:bCs/>
                <w:kern w:val="0"/>
                <w:szCs w:val="21"/>
              </w:rPr>
              <w:t>(t)</w:t>
            </w:r>
          </w:p>
        </w:tc>
        <w:tc>
          <w:tcPr>
            <w:tcW w:w="1076" w:type="pct"/>
            <w:shd w:val="clear" w:color="auto" w:fill="auto"/>
            <w:vAlign w:val="center"/>
          </w:tcPr>
          <w:p w14:paraId="0647EC9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临界量</w:t>
            </w:r>
            <w:r>
              <w:rPr>
                <w:rFonts w:ascii="Times New Roman" w:eastAsia="宋体" w:hAnsi="Times New Roman" w:cs="Times New Roman"/>
                <w:b/>
                <w:bCs/>
                <w:kern w:val="0"/>
                <w:szCs w:val="21"/>
              </w:rPr>
              <w:t>(t)</w:t>
            </w:r>
          </w:p>
        </w:tc>
        <w:tc>
          <w:tcPr>
            <w:tcW w:w="1104" w:type="pct"/>
            <w:shd w:val="clear" w:color="auto" w:fill="auto"/>
            <w:noWrap/>
            <w:vAlign w:val="center"/>
          </w:tcPr>
          <w:p w14:paraId="104B586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q/Q</w:t>
            </w:r>
          </w:p>
        </w:tc>
        <w:tc>
          <w:tcPr>
            <w:tcW w:w="659" w:type="pct"/>
            <w:shd w:val="clear" w:color="auto" w:fill="auto"/>
            <w:noWrap/>
            <w:vAlign w:val="center"/>
          </w:tcPr>
          <w:p w14:paraId="358A7C0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Q</w:t>
            </w:r>
          </w:p>
        </w:tc>
      </w:tr>
      <w:tr w:rsidR="002133E3" w14:paraId="3156084A" w14:textId="77777777">
        <w:trPr>
          <w:trHeight w:val="285"/>
          <w:jc w:val="center"/>
        </w:trPr>
        <w:tc>
          <w:tcPr>
            <w:tcW w:w="903" w:type="pct"/>
            <w:shd w:val="clear" w:color="auto" w:fill="auto"/>
            <w:vAlign w:val="center"/>
          </w:tcPr>
          <w:p w14:paraId="65A5D37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1258" w:type="pct"/>
            <w:shd w:val="clear" w:color="auto" w:fill="auto"/>
            <w:noWrap/>
            <w:vAlign w:val="center"/>
          </w:tcPr>
          <w:p w14:paraId="25AE7C3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1076" w:type="pct"/>
            <w:shd w:val="clear" w:color="auto" w:fill="auto"/>
            <w:noWrap/>
            <w:vAlign w:val="center"/>
          </w:tcPr>
          <w:p w14:paraId="31DFE06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104" w:type="pct"/>
            <w:shd w:val="clear" w:color="auto" w:fill="auto"/>
            <w:noWrap/>
            <w:vAlign w:val="center"/>
          </w:tcPr>
          <w:p w14:paraId="74AFF5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1.5</w:t>
            </w:r>
          </w:p>
        </w:tc>
        <w:tc>
          <w:tcPr>
            <w:tcW w:w="659" w:type="pct"/>
            <w:vMerge w:val="restart"/>
            <w:shd w:val="clear" w:color="auto" w:fill="auto"/>
            <w:noWrap/>
            <w:vAlign w:val="center"/>
          </w:tcPr>
          <w:p w14:paraId="1D64712A" w14:textId="03C3D221" w:rsidR="002133E3" w:rsidRDefault="009C2E4E">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1.5568</w:t>
            </w:r>
          </w:p>
        </w:tc>
      </w:tr>
      <w:tr w:rsidR="002133E3" w14:paraId="4F911C14" w14:textId="77777777">
        <w:trPr>
          <w:trHeight w:val="300"/>
          <w:jc w:val="center"/>
        </w:trPr>
        <w:tc>
          <w:tcPr>
            <w:tcW w:w="903" w:type="pct"/>
            <w:shd w:val="clear" w:color="auto" w:fill="auto"/>
            <w:noWrap/>
            <w:vAlign w:val="center"/>
          </w:tcPr>
          <w:p w14:paraId="70CD157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沼气</w:t>
            </w:r>
            <w:r>
              <w:rPr>
                <w:rFonts w:ascii="Times New Roman" w:eastAsia="宋体" w:hAnsi="Times New Roman" w:cs="Times New Roman"/>
                <w:color w:val="000000"/>
                <w:kern w:val="0"/>
                <w:szCs w:val="21"/>
              </w:rPr>
              <w:t>*</w:t>
            </w:r>
          </w:p>
        </w:tc>
        <w:tc>
          <w:tcPr>
            <w:tcW w:w="1258" w:type="pct"/>
            <w:shd w:val="clear" w:color="auto" w:fill="auto"/>
            <w:noWrap/>
            <w:vAlign w:val="center"/>
          </w:tcPr>
          <w:p w14:paraId="06BC5A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0.568</w:t>
            </w:r>
          </w:p>
        </w:tc>
        <w:tc>
          <w:tcPr>
            <w:tcW w:w="1076" w:type="pct"/>
            <w:shd w:val="clear" w:color="auto" w:fill="auto"/>
            <w:noWrap/>
            <w:vAlign w:val="center"/>
          </w:tcPr>
          <w:p w14:paraId="02F55BA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104" w:type="pct"/>
            <w:shd w:val="clear" w:color="auto" w:fill="auto"/>
            <w:noWrap/>
            <w:vAlign w:val="center"/>
          </w:tcPr>
          <w:p w14:paraId="19C9A0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0.0568</w:t>
            </w:r>
          </w:p>
        </w:tc>
        <w:tc>
          <w:tcPr>
            <w:tcW w:w="659" w:type="pct"/>
            <w:vMerge/>
            <w:vAlign w:val="center"/>
          </w:tcPr>
          <w:p w14:paraId="67234814" w14:textId="77777777" w:rsidR="002133E3" w:rsidRDefault="002133E3">
            <w:pPr>
              <w:widowControl/>
              <w:jc w:val="left"/>
              <w:rPr>
                <w:rFonts w:ascii="Times New Roman" w:eastAsia="宋体" w:hAnsi="Times New Roman" w:cs="Times New Roman"/>
                <w:kern w:val="0"/>
                <w:szCs w:val="21"/>
              </w:rPr>
            </w:pPr>
          </w:p>
        </w:tc>
      </w:tr>
      <w:tr w:rsidR="002133E3" w14:paraId="49A942B6" w14:textId="77777777">
        <w:trPr>
          <w:trHeight w:val="300"/>
          <w:jc w:val="center"/>
        </w:trPr>
        <w:tc>
          <w:tcPr>
            <w:tcW w:w="5000" w:type="pct"/>
            <w:gridSpan w:val="5"/>
            <w:shd w:val="clear" w:color="auto" w:fill="auto"/>
            <w:noWrap/>
            <w:vAlign w:val="center"/>
          </w:tcPr>
          <w:p w14:paraId="0CEF0BED"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w:t>
            </w:r>
            <w:r>
              <w:rPr>
                <w:rFonts w:ascii="Times New Roman" w:eastAsia="宋体" w:hAnsi="Times New Roman" w:cs="Times New Roman"/>
                <w:kern w:val="0"/>
                <w:szCs w:val="21"/>
              </w:rPr>
              <w:t>沼气临界量参考甲烷</w:t>
            </w:r>
          </w:p>
        </w:tc>
      </w:tr>
    </w:tbl>
    <w:p w14:paraId="7D71221F" w14:textId="77777777" w:rsidR="002133E3" w:rsidRDefault="00C22CFA">
      <w:pPr>
        <w:widowControl/>
        <w:spacing w:line="500" w:lineRule="exact"/>
        <w:ind w:firstLine="561"/>
        <w:rPr>
          <w:rFonts w:ascii="Times New Roman" w:eastAsia="宋体" w:hAnsi="Times New Roman" w:cs="Times New Roman"/>
          <w:kern w:val="0"/>
          <w:sz w:val="28"/>
          <w:szCs w:val="28"/>
        </w:rPr>
      </w:pPr>
      <w:r>
        <w:rPr>
          <w:rFonts w:ascii="Times New Roman" w:eastAsia="宋体" w:hAnsi="Times New Roman" w:cs="Times New Roman"/>
          <w:kern w:val="0"/>
          <w:sz w:val="28"/>
          <w:szCs w:val="28"/>
        </w:rPr>
        <w:t>由上述计算可知，本项目</w:t>
      </w:r>
      <w:r>
        <w:rPr>
          <w:rFonts w:ascii="Times New Roman" w:eastAsia="宋体" w:hAnsi="Times New Roman" w:cs="Times New Roman"/>
          <w:kern w:val="0"/>
          <w:sz w:val="28"/>
          <w:szCs w:val="28"/>
        </w:rPr>
        <w:t>Q</w:t>
      </w:r>
      <w:r>
        <w:rPr>
          <w:rFonts w:ascii="Times New Roman" w:eastAsia="宋体" w:hAnsi="Times New Roman" w:cs="Times New Roman"/>
          <w:kern w:val="0"/>
          <w:sz w:val="28"/>
          <w:szCs w:val="28"/>
        </w:rPr>
        <w:t>值为：</w:t>
      </w:r>
      <w:r>
        <w:rPr>
          <w:rFonts w:ascii="Times New Roman" w:eastAsia="宋体" w:hAnsi="Times New Roman" w:cs="Times New Roman"/>
          <w:kern w:val="0"/>
          <w:sz w:val="28"/>
          <w:szCs w:val="28"/>
        </w:rPr>
        <w:t>1≤Q</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w:t>
      </w:r>
    </w:p>
    <w:p w14:paraId="7836EF93" w14:textId="77777777" w:rsidR="002133E3" w:rsidRDefault="00C22CFA">
      <w:pPr>
        <w:widowControl/>
        <w:spacing w:line="500" w:lineRule="exact"/>
        <w:ind w:firstLine="561"/>
        <w:jc w:val="left"/>
        <w:rPr>
          <w:rFonts w:ascii="Times New Roman" w:eastAsia="宋体" w:hAnsi="Times New Roman" w:cs="Times New Roman"/>
          <w:b/>
          <w:bCs/>
          <w:kern w:val="0"/>
          <w:sz w:val="28"/>
          <w:szCs w:val="28"/>
        </w:rPr>
      </w:pPr>
      <w:r>
        <w:rPr>
          <w:rFonts w:ascii="Times New Roman" w:eastAsia="宋体" w:hAnsi="Times New Roman" w:cs="Times New Roman"/>
          <w:b/>
          <w:bCs/>
          <w:sz w:val="28"/>
          <w:szCs w:val="24"/>
          <w:lang w:val="zh-TW"/>
        </w:rPr>
        <w:t>(</w:t>
      </w:r>
      <w:r>
        <w:rPr>
          <w:rFonts w:ascii="Times New Roman" w:eastAsia="宋体" w:hAnsi="Times New Roman" w:cs="Times New Roman"/>
          <w:b/>
          <w:bCs/>
          <w:sz w:val="28"/>
          <w:szCs w:val="24"/>
          <w:lang w:val="zh-TW" w:eastAsia="zh-TW"/>
        </w:rPr>
        <w:t>2</w:t>
      </w:r>
      <w:r>
        <w:rPr>
          <w:rFonts w:ascii="Times New Roman" w:eastAsia="宋体" w:hAnsi="Times New Roman" w:cs="Times New Roman"/>
          <w:b/>
          <w:bCs/>
          <w:sz w:val="28"/>
          <w:szCs w:val="24"/>
          <w:lang w:val="zh-TW"/>
        </w:rPr>
        <w:t>)</w:t>
      </w:r>
      <w:r>
        <w:rPr>
          <w:rFonts w:ascii="Times New Roman" w:eastAsia="宋体" w:hAnsi="Times New Roman" w:cs="Times New Roman"/>
          <w:b/>
          <w:bCs/>
          <w:sz w:val="28"/>
          <w:szCs w:val="24"/>
          <w:lang w:val="zh-TW" w:eastAsia="zh-TW"/>
        </w:rPr>
        <w:t xml:space="preserve"> </w:t>
      </w:r>
      <w:r>
        <w:rPr>
          <w:rFonts w:ascii="Times New Roman" w:eastAsia="宋体" w:hAnsi="Times New Roman" w:cs="Times New Roman"/>
          <w:b/>
          <w:bCs/>
          <w:kern w:val="0"/>
          <w:sz w:val="28"/>
          <w:szCs w:val="28"/>
        </w:rPr>
        <w:t>行业及生产工艺</w:t>
      </w:r>
      <w:r>
        <w:rPr>
          <w:rFonts w:ascii="Times New Roman" w:eastAsia="宋体" w:hAnsi="Times New Roman" w:cs="Times New Roman"/>
          <w:b/>
          <w:bCs/>
          <w:kern w:val="0"/>
          <w:sz w:val="28"/>
          <w:szCs w:val="28"/>
        </w:rPr>
        <w:t>(M)</w:t>
      </w:r>
    </w:p>
    <w:p w14:paraId="6E91E564" w14:textId="77777777" w:rsidR="002133E3" w:rsidRDefault="00C22CFA">
      <w:pPr>
        <w:widowControl/>
        <w:spacing w:line="500" w:lineRule="exact"/>
        <w:ind w:firstLine="561"/>
        <w:rPr>
          <w:rFonts w:ascii="Times New Roman" w:eastAsia="宋体" w:hAnsi="Times New Roman" w:cs="Times New Roman"/>
          <w:kern w:val="0"/>
          <w:sz w:val="28"/>
          <w:szCs w:val="28"/>
        </w:rPr>
      </w:pPr>
      <w:r>
        <w:rPr>
          <w:rFonts w:ascii="Times New Roman" w:eastAsia="宋体" w:hAnsi="Times New Roman" w:cs="Times New Roman"/>
          <w:kern w:val="0"/>
          <w:sz w:val="28"/>
          <w:szCs w:val="28"/>
        </w:rPr>
        <w:t>分析项目所属行业及生产工艺特点，按照表</w:t>
      </w:r>
      <w:r>
        <w:rPr>
          <w:rFonts w:ascii="Times New Roman" w:eastAsia="宋体" w:hAnsi="Times New Roman" w:cs="Times New Roman"/>
          <w:kern w:val="0"/>
          <w:sz w:val="28"/>
          <w:szCs w:val="28"/>
        </w:rPr>
        <w:t>C.1</w:t>
      </w:r>
      <w:r>
        <w:rPr>
          <w:rFonts w:ascii="Times New Roman" w:eastAsia="宋体" w:hAnsi="Times New Roman" w:cs="Times New Roman"/>
          <w:kern w:val="0"/>
          <w:sz w:val="28"/>
          <w:szCs w:val="28"/>
        </w:rPr>
        <w:t>评估生产工艺情况。具有多套工艺单元的项目，对每套生产工艺分别评分并求和。将</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rPr>
        <w:t>划分为</w:t>
      </w: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M&gt;20; </w:t>
      </w: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10&lt;M≤20; </w:t>
      </w:r>
      <w:r>
        <w:rPr>
          <w:rFonts w:ascii="宋体" w:eastAsia="宋体" w:hAnsi="宋体" w:cs="宋体" w:hint="eastAsia"/>
          <w:kern w:val="0"/>
          <w:sz w:val="28"/>
          <w:szCs w:val="28"/>
        </w:rPr>
        <w:t>⑶</w:t>
      </w:r>
      <w:r>
        <w:rPr>
          <w:rFonts w:ascii="Times New Roman" w:eastAsia="宋体" w:hAnsi="Times New Roman" w:cs="Times New Roman"/>
          <w:kern w:val="0"/>
          <w:sz w:val="28"/>
          <w:szCs w:val="28"/>
        </w:rPr>
        <w:t>5&lt; M≤10; (4) M=5</w:t>
      </w:r>
      <w:r>
        <w:rPr>
          <w:rFonts w:ascii="Times New Roman" w:eastAsia="宋体" w:hAnsi="Times New Roman" w:cs="Times New Roman"/>
          <w:kern w:val="0"/>
          <w:sz w:val="28"/>
          <w:szCs w:val="28"/>
        </w:rPr>
        <w:t>，分别以</w:t>
      </w:r>
      <w:r>
        <w:rPr>
          <w:rFonts w:ascii="Times New Roman" w:eastAsia="宋体" w:hAnsi="Times New Roman" w:cs="Times New Roman"/>
          <w:kern w:val="0"/>
          <w:sz w:val="28"/>
          <w:szCs w:val="28"/>
        </w:rPr>
        <w:t xml:space="preserve"> M1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M2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 xml:space="preserve">M3 </w:t>
      </w:r>
      <w:r>
        <w:rPr>
          <w:rFonts w:ascii="Times New Roman" w:eastAsia="宋体" w:hAnsi="Times New Roman" w:cs="Times New Roman"/>
          <w:kern w:val="0"/>
          <w:sz w:val="28"/>
          <w:szCs w:val="28"/>
        </w:rPr>
        <w:t>和</w:t>
      </w:r>
      <w:r>
        <w:rPr>
          <w:rFonts w:ascii="Times New Roman" w:eastAsia="宋体" w:hAnsi="Times New Roman" w:cs="Times New Roman"/>
          <w:kern w:val="0"/>
          <w:sz w:val="28"/>
          <w:szCs w:val="28"/>
        </w:rPr>
        <w:t xml:space="preserve"> M4 </w:t>
      </w:r>
      <w:r>
        <w:rPr>
          <w:rFonts w:ascii="Times New Roman" w:eastAsia="宋体" w:hAnsi="Times New Roman" w:cs="Times New Roman"/>
          <w:kern w:val="0"/>
          <w:sz w:val="28"/>
          <w:szCs w:val="28"/>
        </w:rPr>
        <w:t>表示。</w:t>
      </w:r>
    </w:p>
    <w:p w14:paraId="6E1A2B6E" w14:textId="77777777" w:rsidR="002133E3" w:rsidRDefault="00C22CFA">
      <w:pPr>
        <w:spacing w:line="4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4.6-6  </w:t>
      </w:r>
      <w:r>
        <w:rPr>
          <w:rFonts w:ascii="Times New Roman" w:eastAsia="宋体" w:hAnsi="Times New Roman" w:cs="Times New Roman"/>
          <w:b/>
          <w:spacing w:val="-6"/>
          <w:kern w:val="0"/>
          <w:szCs w:val="21"/>
        </w:rPr>
        <w:t>行业及生产工艺</w:t>
      </w:r>
    </w:p>
    <w:tbl>
      <w:tblPr>
        <w:tblW w:w="5000" w:type="pct"/>
        <w:jc w:val="center"/>
        <w:tblCellMar>
          <w:left w:w="0" w:type="dxa"/>
          <w:right w:w="0" w:type="dxa"/>
        </w:tblCellMar>
        <w:tblLook w:val="04A0" w:firstRow="1" w:lastRow="0" w:firstColumn="1" w:lastColumn="0" w:noHBand="0" w:noVBand="1"/>
      </w:tblPr>
      <w:tblGrid>
        <w:gridCol w:w="1835"/>
        <w:gridCol w:w="6825"/>
        <w:gridCol w:w="988"/>
      </w:tblGrid>
      <w:tr w:rsidR="002133E3" w14:paraId="79033E5C" w14:textId="77777777">
        <w:trPr>
          <w:trHeight w:val="284"/>
          <w:jc w:val="center"/>
        </w:trPr>
        <w:tc>
          <w:tcPr>
            <w:tcW w:w="951" w:type="pct"/>
            <w:tcBorders>
              <w:top w:val="single" w:sz="4" w:space="0" w:color="auto"/>
              <w:left w:val="single" w:sz="4" w:space="0" w:color="auto"/>
              <w:bottom w:val="nil"/>
              <w:right w:val="nil"/>
            </w:tcBorders>
            <w:vAlign w:val="center"/>
          </w:tcPr>
          <w:p w14:paraId="7D010FC5" w14:textId="77777777" w:rsidR="002133E3" w:rsidRDefault="00C22CFA">
            <w:pPr>
              <w:widowControl/>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szCs w:val="21"/>
                <w:lang w:val="zh-TW" w:eastAsia="zh-TW"/>
              </w:rPr>
              <w:t>行业</w:t>
            </w:r>
          </w:p>
        </w:tc>
        <w:tc>
          <w:tcPr>
            <w:tcW w:w="3537" w:type="pct"/>
            <w:tcBorders>
              <w:top w:val="single" w:sz="4" w:space="0" w:color="auto"/>
              <w:left w:val="single" w:sz="4" w:space="0" w:color="auto"/>
              <w:bottom w:val="nil"/>
              <w:right w:val="nil"/>
            </w:tcBorders>
            <w:vAlign w:val="center"/>
          </w:tcPr>
          <w:p w14:paraId="2CC6FFAA" w14:textId="77777777" w:rsidR="002133E3" w:rsidRDefault="00C22CFA">
            <w:pPr>
              <w:widowControl/>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szCs w:val="21"/>
                <w:lang w:val="zh-TW" w:eastAsia="zh-TW"/>
              </w:rPr>
              <w:t>评估依据</w:t>
            </w:r>
          </w:p>
        </w:tc>
        <w:tc>
          <w:tcPr>
            <w:tcW w:w="512" w:type="pct"/>
            <w:tcBorders>
              <w:top w:val="single" w:sz="4" w:space="0" w:color="auto"/>
              <w:left w:val="single" w:sz="4" w:space="0" w:color="auto"/>
              <w:bottom w:val="nil"/>
              <w:right w:val="single" w:sz="4" w:space="0" w:color="auto"/>
            </w:tcBorders>
            <w:vAlign w:val="center"/>
          </w:tcPr>
          <w:p w14:paraId="694AE36A" w14:textId="77777777" w:rsidR="002133E3" w:rsidRDefault="00C22CFA">
            <w:pPr>
              <w:widowControl/>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szCs w:val="21"/>
                <w:lang w:val="zh-TW" w:eastAsia="zh-TW"/>
              </w:rPr>
              <w:t>分值</w:t>
            </w:r>
          </w:p>
        </w:tc>
      </w:tr>
      <w:tr w:rsidR="002133E3" w14:paraId="61DC1E7D" w14:textId="77777777">
        <w:trPr>
          <w:trHeight w:val="284"/>
          <w:jc w:val="center"/>
        </w:trPr>
        <w:tc>
          <w:tcPr>
            <w:tcW w:w="951" w:type="pct"/>
            <w:vMerge w:val="restart"/>
            <w:tcBorders>
              <w:top w:val="single" w:sz="4" w:space="0" w:color="auto"/>
              <w:left w:val="single" w:sz="4" w:space="0" w:color="auto"/>
              <w:bottom w:val="nil"/>
              <w:right w:val="nil"/>
            </w:tcBorders>
            <w:vAlign w:val="center"/>
          </w:tcPr>
          <w:p w14:paraId="0C7C3BFF"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石化、化工、医药、</w:t>
            </w:r>
            <w:r>
              <w:rPr>
                <w:rFonts w:ascii="Times New Roman" w:eastAsia="宋体" w:hAnsi="Times New Roman" w:cs="Times New Roman"/>
                <w:szCs w:val="21"/>
                <w:lang w:val="zh-TW" w:eastAsia="zh-TW"/>
              </w:rPr>
              <w:t xml:space="preserve"> </w:t>
            </w:r>
            <w:r>
              <w:rPr>
                <w:rFonts w:ascii="Times New Roman" w:eastAsia="宋体" w:hAnsi="Times New Roman" w:cs="Times New Roman"/>
                <w:szCs w:val="21"/>
                <w:lang w:val="zh-TW" w:eastAsia="zh-TW"/>
              </w:rPr>
              <w:t>轻工、化纤、有色</w:t>
            </w:r>
            <w:r>
              <w:rPr>
                <w:rFonts w:ascii="Times New Roman" w:eastAsia="宋体" w:hAnsi="Times New Roman" w:cs="Times New Roman"/>
                <w:szCs w:val="21"/>
                <w:lang w:val="zh-TW" w:eastAsia="zh-TW"/>
              </w:rPr>
              <w:t xml:space="preserve"> </w:t>
            </w:r>
            <w:r>
              <w:rPr>
                <w:rFonts w:ascii="Times New Roman" w:eastAsia="宋体" w:hAnsi="Times New Roman" w:cs="Times New Roman"/>
                <w:szCs w:val="21"/>
                <w:lang w:val="zh-TW" w:eastAsia="zh-TW"/>
              </w:rPr>
              <w:t>冶</w:t>
            </w:r>
            <w:r>
              <w:rPr>
                <w:rFonts w:ascii="Times New Roman" w:eastAsia="宋体" w:hAnsi="Times New Roman" w:cs="Times New Roman"/>
                <w:szCs w:val="21"/>
                <w:lang w:val="zh-TW" w:eastAsia="zh-TW"/>
              </w:rPr>
              <w:lastRenderedPageBreak/>
              <w:t>炼等</w:t>
            </w:r>
          </w:p>
        </w:tc>
        <w:tc>
          <w:tcPr>
            <w:tcW w:w="3537" w:type="pct"/>
            <w:tcBorders>
              <w:top w:val="single" w:sz="4" w:space="0" w:color="auto"/>
              <w:left w:val="single" w:sz="4" w:space="0" w:color="auto"/>
              <w:bottom w:val="nil"/>
              <w:right w:val="nil"/>
            </w:tcBorders>
            <w:vAlign w:val="center"/>
          </w:tcPr>
          <w:p w14:paraId="151660C2"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lastRenderedPageBreak/>
              <w:t>涉及光气及光气化工艺、电解工艺</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氯碱</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、氯化工艺、硝化工艺、合成氨工艺、裂解</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裂化</w:t>
            </w:r>
            <w:r>
              <w:rPr>
                <w:rFonts w:ascii="Times New Roman" w:eastAsia="宋体" w:hAnsi="Times New Roman" w:cs="Times New Roman"/>
                <w:szCs w:val="21"/>
              </w:rPr>
              <w:t>)</w:t>
            </w:r>
            <w:r>
              <w:rPr>
                <w:rFonts w:ascii="Times New Roman" w:eastAsia="宋体" w:hAnsi="Times New Roman" w:cs="Times New Roman"/>
                <w:szCs w:val="21"/>
                <w:lang w:val="zh-TW" w:eastAsia="zh-TW"/>
              </w:rPr>
              <w:t>工艺、氟化工艺、加氢工艺、重氮化工艺、氧化工艺、过氧</w:t>
            </w:r>
            <w:r>
              <w:rPr>
                <w:rFonts w:ascii="Times New Roman" w:eastAsia="宋体" w:hAnsi="Times New Roman" w:cs="Times New Roman"/>
                <w:szCs w:val="21"/>
                <w:lang w:val="zh-TW" w:eastAsia="zh-TW"/>
              </w:rPr>
              <w:lastRenderedPageBreak/>
              <w:t>化工艺、胺基化工艺、磺化工艺、聚合工艺、烷基化工艺、新型煤化工工艺、电石生产工艺、偶氮化工艺</w:t>
            </w:r>
          </w:p>
        </w:tc>
        <w:tc>
          <w:tcPr>
            <w:tcW w:w="512" w:type="pct"/>
            <w:tcBorders>
              <w:top w:val="single" w:sz="4" w:space="0" w:color="auto"/>
              <w:left w:val="single" w:sz="4" w:space="0" w:color="auto"/>
              <w:bottom w:val="nil"/>
              <w:right w:val="single" w:sz="4" w:space="0" w:color="auto"/>
            </w:tcBorders>
            <w:vAlign w:val="center"/>
          </w:tcPr>
          <w:p w14:paraId="168AB205"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lastRenderedPageBreak/>
              <w:t>10/</w:t>
            </w:r>
            <w:r>
              <w:rPr>
                <w:rFonts w:ascii="Times New Roman" w:eastAsia="宋体" w:hAnsi="Times New Roman" w:cs="Times New Roman"/>
                <w:szCs w:val="21"/>
                <w:lang w:val="zh-TW" w:eastAsia="zh-TW"/>
              </w:rPr>
              <w:t>套</w:t>
            </w:r>
          </w:p>
        </w:tc>
      </w:tr>
      <w:tr w:rsidR="002133E3" w14:paraId="55BEDBD5" w14:textId="77777777">
        <w:trPr>
          <w:trHeight w:val="284"/>
          <w:jc w:val="center"/>
        </w:trPr>
        <w:tc>
          <w:tcPr>
            <w:tcW w:w="951" w:type="pct"/>
            <w:vMerge/>
            <w:tcBorders>
              <w:top w:val="nil"/>
              <w:left w:val="single" w:sz="4" w:space="0" w:color="auto"/>
              <w:bottom w:val="nil"/>
              <w:right w:val="nil"/>
            </w:tcBorders>
            <w:vAlign w:val="center"/>
          </w:tcPr>
          <w:p w14:paraId="548A95D9" w14:textId="77777777" w:rsidR="002133E3" w:rsidRDefault="002133E3">
            <w:pPr>
              <w:widowControl/>
              <w:adjustRightInd w:val="0"/>
              <w:snapToGrid w:val="0"/>
              <w:rPr>
                <w:rFonts w:ascii="Times New Roman" w:eastAsia="宋体" w:hAnsi="Times New Roman" w:cs="Times New Roman"/>
                <w:kern w:val="0"/>
                <w:szCs w:val="21"/>
              </w:rPr>
            </w:pPr>
          </w:p>
        </w:tc>
        <w:tc>
          <w:tcPr>
            <w:tcW w:w="3537" w:type="pct"/>
            <w:tcBorders>
              <w:top w:val="single" w:sz="4" w:space="0" w:color="auto"/>
              <w:left w:val="single" w:sz="4" w:space="0" w:color="auto"/>
              <w:bottom w:val="nil"/>
              <w:right w:val="nil"/>
            </w:tcBorders>
            <w:vAlign w:val="center"/>
          </w:tcPr>
          <w:p w14:paraId="63A38A02"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无机酸制酸工艺、焦化工艺</w:t>
            </w:r>
          </w:p>
        </w:tc>
        <w:tc>
          <w:tcPr>
            <w:tcW w:w="512" w:type="pct"/>
            <w:tcBorders>
              <w:top w:val="single" w:sz="4" w:space="0" w:color="auto"/>
              <w:left w:val="single" w:sz="4" w:space="0" w:color="auto"/>
              <w:bottom w:val="nil"/>
              <w:right w:val="single" w:sz="4" w:space="0" w:color="auto"/>
            </w:tcBorders>
            <w:vAlign w:val="center"/>
          </w:tcPr>
          <w:p w14:paraId="13F26950"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5/</w:t>
            </w:r>
            <w:r>
              <w:rPr>
                <w:rFonts w:ascii="Times New Roman" w:eastAsia="宋体" w:hAnsi="Times New Roman" w:cs="Times New Roman"/>
                <w:szCs w:val="21"/>
                <w:lang w:val="zh-TW" w:eastAsia="zh-TW"/>
              </w:rPr>
              <w:t>套</w:t>
            </w:r>
          </w:p>
        </w:tc>
      </w:tr>
      <w:tr w:rsidR="002133E3" w14:paraId="7C11D55B" w14:textId="77777777">
        <w:trPr>
          <w:trHeight w:val="284"/>
          <w:jc w:val="center"/>
        </w:trPr>
        <w:tc>
          <w:tcPr>
            <w:tcW w:w="951" w:type="pct"/>
            <w:vMerge/>
            <w:tcBorders>
              <w:top w:val="nil"/>
              <w:left w:val="single" w:sz="4" w:space="0" w:color="auto"/>
              <w:bottom w:val="nil"/>
              <w:right w:val="nil"/>
            </w:tcBorders>
            <w:vAlign w:val="center"/>
          </w:tcPr>
          <w:p w14:paraId="160455F2" w14:textId="77777777" w:rsidR="002133E3" w:rsidRDefault="002133E3">
            <w:pPr>
              <w:widowControl/>
              <w:adjustRightInd w:val="0"/>
              <w:snapToGrid w:val="0"/>
              <w:rPr>
                <w:rFonts w:ascii="Times New Roman" w:eastAsia="宋体" w:hAnsi="Times New Roman" w:cs="Times New Roman"/>
                <w:kern w:val="0"/>
                <w:szCs w:val="21"/>
              </w:rPr>
            </w:pPr>
          </w:p>
        </w:tc>
        <w:tc>
          <w:tcPr>
            <w:tcW w:w="3537" w:type="pct"/>
            <w:tcBorders>
              <w:top w:val="single" w:sz="4" w:space="0" w:color="auto"/>
              <w:left w:val="single" w:sz="4" w:space="0" w:color="auto"/>
              <w:bottom w:val="nil"/>
              <w:right w:val="nil"/>
            </w:tcBorders>
            <w:vAlign w:val="center"/>
          </w:tcPr>
          <w:p w14:paraId="3F61D70B"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其他高温或高压，且涉及危险物质的工艺过程</w:t>
            </w:r>
            <w:r>
              <w:rPr>
                <w:rFonts w:ascii="Times New Roman" w:eastAsia="宋体" w:hAnsi="Times New Roman" w:cs="Times New Roman"/>
                <w:szCs w:val="21"/>
                <w:vertAlign w:val="superscript"/>
                <w:lang w:val="zh-TW"/>
              </w:rPr>
              <w:t>a</w:t>
            </w:r>
            <w:r>
              <w:rPr>
                <w:rFonts w:ascii="Times New Roman" w:eastAsia="宋体" w:hAnsi="Times New Roman" w:cs="Times New Roman"/>
                <w:szCs w:val="21"/>
                <w:lang w:val="zh-TW" w:eastAsia="zh-TW"/>
              </w:rPr>
              <w:t>、危险物质贮存罐区</w:t>
            </w:r>
          </w:p>
        </w:tc>
        <w:tc>
          <w:tcPr>
            <w:tcW w:w="512" w:type="pct"/>
            <w:tcBorders>
              <w:top w:val="single" w:sz="4" w:space="0" w:color="auto"/>
              <w:left w:val="single" w:sz="4" w:space="0" w:color="auto"/>
              <w:bottom w:val="nil"/>
              <w:right w:val="single" w:sz="4" w:space="0" w:color="auto"/>
            </w:tcBorders>
            <w:vAlign w:val="center"/>
          </w:tcPr>
          <w:p w14:paraId="27838854"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5/</w:t>
            </w:r>
            <w:r>
              <w:rPr>
                <w:rFonts w:ascii="Times New Roman" w:eastAsia="宋体" w:hAnsi="Times New Roman" w:cs="Times New Roman"/>
                <w:szCs w:val="21"/>
                <w:lang w:val="zh-TW" w:eastAsia="zh-TW"/>
              </w:rPr>
              <w:t>套</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罐区</w:t>
            </w:r>
            <w:r>
              <w:rPr>
                <w:rFonts w:ascii="Times New Roman" w:eastAsia="宋体" w:hAnsi="Times New Roman" w:cs="Times New Roman"/>
                <w:szCs w:val="21"/>
              </w:rPr>
              <w:t>)</w:t>
            </w:r>
          </w:p>
        </w:tc>
      </w:tr>
      <w:tr w:rsidR="002133E3" w14:paraId="2D3DBB04" w14:textId="77777777">
        <w:trPr>
          <w:trHeight w:val="284"/>
          <w:jc w:val="center"/>
        </w:trPr>
        <w:tc>
          <w:tcPr>
            <w:tcW w:w="951" w:type="pct"/>
            <w:tcBorders>
              <w:top w:val="single" w:sz="4" w:space="0" w:color="auto"/>
              <w:left w:val="single" w:sz="4" w:space="0" w:color="auto"/>
              <w:bottom w:val="nil"/>
              <w:right w:val="nil"/>
            </w:tcBorders>
            <w:shd w:val="clear" w:color="auto" w:fill="auto"/>
            <w:vAlign w:val="center"/>
          </w:tcPr>
          <w:p w14:paraId="5332F1E7"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管道、港口</w:t>
            </w:r>
            <w:r>
              <w:rPr>
                <w:rFonts w:ascii="Times New Roman" w:eastAsia="宋体" w:hAnsi="Times New Roman" w:cs="Times New Roman"/>
                <w:szCs w:val="21"/>
                <w:lang w:val="zh-TW" w:eastAsia="zh-TW"/>
              </w:rPr>
              <w:t xml:space="preserve"> /</w:t>
            </w:r>
            <w:r>
              <w:rPr>
                <w:rFonts w:ascii="Times New Roman" w:eastAsia="宋体" w:hAnsi="Times New Roman" w:cs="Times New Roman"/>
                <w:szCs w:val="21"/>
                <w:lang w:val="zh-TW" w:eastAsia="zh-TW"/>
              </w:rPr>
              <w:t>码头等</w:t>
            </w:r>
          </w:p>
        </w:tc>
        <w:tc>
          <w:tcPr>
            <w:tcW w:w="3537" w:type="pct"/>
            <w:tcBorders>
              <w:top w:val="single" w:sz="4" w:space="0" w:color="auto"/>
              <w:left w:val="single" w:sz="4" w:space="0" w:color="auto"/>
              <w:bottom w:val="nil"/>
              <w:right w:val="nil"/>
            </w:tcBorders>
            <w:shd w:val="clear" w:color="auto" w:fill="auto"/>
            <w:vAlign w:val="center"/>
          </w:tcPr>
          <w:p w14:paraId="64770FD8"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涉及危险物质管道运输项目、港口</w:t>
            </w:r>
            <w:r>
              <w:rPr>
                <w:rFonts w:ascii="Times New Roman" w:eastAsia="宋体" w:hAnsi="Times New Roman" w:cs="Times New Roman"/>
                <w:szCs w:val="21"/>
                <w:lang w:val="zh-TW" w:eastAsia="zh-TW"/>
              </w:rPr>
              <w:t xml:space="preserve"> /</w:t>
            </w:r>
            <w:r>
              <w:rPr>
                <w:rFonts w:ascii="Times New Roman" w:eastAsia="宋体" w:hAnsi="Times New Roman" w:cs="Times New Roman"/>
                <w:szCs w:val="21"/>
                <w:lang w:val="zh-TW" w:eastAsia="zh-TW"/>
              </w:rPr>
              <w:t>码头等</w:t>
            </w:r>
          </w:p>
        </w:tc>
        <w:tc>
          <w:tcPr>
            <w:tcW w:w="512" w:type="pct"/>
            <w:tcBorders>
              <w:top w:val="single" w:sz="4" w:space="0" w:color="auto"/>
              <w:left w:val="single" w:sz="4" w:space="0" w:color="auto"/>
              <w:bottom w:val="nil"/>
              <w:right w:val="single" w:sz="4" w:space="0" w:color="auto"/>
            </w:tcBorders>
            <w:shd w:val="clear" w:color="auto" w:fill="auto"/>
            <w:vAlign w:val="center"/>
          </w:tcPr>
          <w:p w14:paraId="46A7C502"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10</w:t>
            </w:r>
          </w:p>
        </w:tc>
      </w:tr>
      <w:tr w:rsidR="002133E3" w14:paraId="6819360C" w14:textId="77777777">
        <w:trPr>
          <w:trHeight w:val="284"/>
          <w:jc w:val="center"/>
        </w:trPr>
        <w:tc>
          <w:tcPr>
            <w:tcW w:w="951" w:type="pct"/>
            <w:tcBorders>
              <w:top w:val="single" w:sz="4" w:space="0" w:color="auto"/>
              <w:left w:val="single" w:sz="4" w:space="0" w:color="auto"/>
              <w:bottom w:val="nil"/>
              <w:right w:val="nil"/>
            </w:tcBorders>
            <w:shd w:val="clear" w:color="auto" w:fill="auto"/>
            <w:vAlign w:val="center"/>
          </w:tcPr>
          <w:p w14:paraId="343C4166"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石油天然气</w:t>
            </w:r>
          </w:p>
        </w:tc>
        <w:tc>
          <w:tcPr>
            <w:tcW w:w="3537" w:type="pct"/>
            <w:tcBorders>
              <w:top w:val="single" w:sz="4" w:space="0" w:color="auto"/>
              <w:left w:val="single" w:sz="4" w:space="0" w:color="auto"/>
              <w:bottom w:val="nil"/>
              <w:right w:val="nil"/>
            </w:tcBorders>
            <w:shd w:val="clear" w:color="auto" w:fill="auto"/>
            <w:vAlign w:val="center"/>
          </w:tcPr>
          <w:p w14:paraId="06A5C1B2"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石油、天然气、页岩气开采</w:t>
            </w:r>
            <w:r>
              <w:rPr>
                <w:rFonts w:ascii="Times New Roman" w:eastAsia="宋体" w:hAnsi="Times New Roman" w:cs="Times New Roman"/>
                <w:szCs w:val="21"/>
              </w:rPr>
              <w:t>(</w:t>
            </w:r>
            <w:r>
              <w:rPr>
                <w:rFonts w:ascii="Times New Roman" w:eastAsia="宋体" w:hAnsi="Times New Roman" w:cs="Times New Roman"/>
                <w:szCs w:val="21"/>
                <w:lang w:val="zh-TW" w:eastAsia="zh-TW"/>
              </w:rPr>
              <w:t>含净化</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，气库</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不含加气站的气库</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，油</w:t>
            </w:r>
            <w:r>
              <w:rPr>
                <w:rFonts w:ascii="Times New Roman" w:eastAsia="宋体" w:hAnsi="Times New Roman" w:cs="Times New Roman"/>
                <w:szCs w:val="21"/>
                <w:lang w:val="zh-TW" w:eastAsia="zh-TW"/>
              </w:rPr>
              <w:t xml:space="preserve"> </w:t>
            </w:r>
            <w:r>
              <w:rPr>
                <w:rFonts w:ascii="Times New Roman" w:eastAsia="宋体" w:hAnsi="Times New Roman" w:cs="Times New Roman"/>
                <w:szCs w:val="21"/>
                <w:lang w:val="zh-TW" w:eastAsia="zh-TW"/>
              </w:rPr>
              <w:t>库</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不含加气站的油库</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、油气管线</w:t>
            </w:r>
            <w:r>
              <w:rPr>
                <w:rFonts w:ascii="Times New Roman" w:eastAsia="宋体" w:hAnsi="Times New Roman" w:cs="Times New Roman"/>
                <w:szCs w:val="21"/>
                <w:vertAlign w:val="superscript"/>
                <w:lang w:val="zh-TW"/>
              </w:rPr>
              <w:t>b</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eastAsia="zh-TW"/>
              </w:rPr>
              <w:t>不含城镇燃气管线</w:t>
            </w:r>
            <w:r>
              <w:rPr>
                <w:rFonts w:ascii="Times New Roman" w:eastAsia="宋体" w:hAnsi="Times New Roman" w:cs="Times New Roman"/>
                <w:szCs w:val="21"/>
              </w:rPr>
              <w:t>)</w:t>
            </w:r>
          </w:p>
        </w:tc>
        <w:tc>
          <w:tcPr>
            <w:tcW w:w="512" w:type="pct"/>
            <w:tcBorders>
              <w:top w:val="single" w:sz="4" w:space="0" w:color="auto"/>
              <w:left w:val="single" w:sz="4" w:space="0" w:color="auto"/>
              <w:bottom w:val="nil"/>
              <w:right w:val="single" w:sz="4" w:space="0" w:color="auto"/>
            </w:tcBorders>
            <w:shd w:val="clear" w:color="auto" w:fill="auto"/>
            <w:vAlign w:val="center"/>
          </w:tcPr>
          <w:p w14:paraId="200482C3"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10</w:t>
            </w:r>
          </w:p>
        </w:tc>
      </w:tr>
      <w:tr w:rsidR="002133E3" w14:paraId="35D7D951" w14:textId="77777777">
        <w:trPr>
          <w:trHeight w:val="284"/>
          <w:jc w:val="center"/>
        </w:trPr>
        <w:tc>
          <w:tcPr>
            <w:tcW w:w="951" w:type="pct"/>
            <w:tcBorders>
              <w:top w:val="single" w:sz="4" w:space="0" w:color="auto"/>
              <w:left w:val="single" w:sz="4" w:space="0" w:color="auto"/>
              <w:bottom w:val="nil"/>
              <w:right w:val="nil"/>
            </w:tcBorders>
            <w:shd w:val="clear" w:color="auto" w:fill="D0CECE" w:themeFill="background2" w:themeFillShade="E6"/>
            <w:vAlign w:val="center"/>
          </w:tcPr>
          <w:p w14:paraId="2A3B67F1"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其他</w:t>
            </w:r>
          </w:p>
        </w:tc>
        <w:tc>
          <w:tcPr>
            <w:tcW w:w="3537" w:type="pct"/>
            <w:tcBorders>
              <w:top w:val="single" w:sz="4" w:space="0" w:color="auto"/>
              <w:left w:val="single" w:sz="4" w:space="0" w:color="auto"/>
              <w:bottom w:val="nil"/>
              <w:right w:val="nil"/>
            </w:tcBorders>
            <w:shd w:val="clear" w:color="auto" w:fill="D0CECE" w:themeFill="background2" w:themeFillShade="E6"/>
            <w:vAlign w:val="center"/>
          </w:tcPr>
          <w:p w14:paraId="440F4C83"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涉及危险物质使用、贮存的项目</w:t>
            </w:r>
          </w:p>
        </w:tc>
        <w:tc>
          <w:tcPr>
            <w:tcW w:w="512" w:type="pct"/>
            <w:tcBorders>
              <w:top w:val="single" w:sz="4" w:space="0" w:color="auto"/>
              <w:left w:val="single" w:sz="4" w:space="0" w:color="auto"/>
              <w:bottom w:val="nil"/>
              <w:right w:val="single" w:sz="4" w:space="0" w:color="auto"/>
            </w:tcBorders>
            <w:shd w:val="clear" w:color="auto" w:fill="D0CECE" w:themeFill="background2" w:themeFillShade="E6"/>
            <w:vAlign w:val="center"/>
          </w:tcPr>
          <w:p w14:paraId="19F70DC4"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szCs w:val="21"/>
                <w:lang w:val="zh-TW" w:eastAsia="zh-TW"/>
              </w:rPr>
              <w:t>5</w:t>
            </w:r>
          </w:p>
        </w:tc>
      </w:tr>
      <w:tr w:rsidR="002133E3" w14:paraId="5B2F2AE7" w14:textId="77777777">
        <w:trPr>
          <w:trHeight w:val="284"/>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34B8CC59" w14:textId="77777777" w:rsidR="002133E3" w:rsidRDefault="00C22CFA">
            <w:pPr>
              <w:widowControl/>
              <w:adjustRightInd w:val="0"/>
              <w:snapToGrid w:val="0"/>
              <w:rPr>
                <w:rFonts w:ascii="Times New Roman" w:eastAsia="宋体" w:hAnsi="Times New Roman" w:cs="Times New Roman"/>
                <w:szCs w:val="21"/>
              </w:rPr>
            </w:pPr>
            <w:r>
              <w:rPr>
                <w:rFonts w:ascii="Times New Roman" w:eastAsia="宋体" w:hAnsi="Times New Roman" w:cs="Times New Roman"/>
                <w:szCs w:val="21"/>
                <w:vertAlign w:val="superscript"/>
                <w:lang w:val="zh-TW"/>
              </w:rPr>
              <w:t>a</w:t>
            </w:r>
            <w:r>
              <w:rPr>
                <w:rFonts w:ascii="Times New Roman" w:eastAsia="宋体" w:hAnsi="Times New Roman" w:cs="Times New Roman"/>
                <w:szCs w:val="21"/>
                <w:lang w:val="zh-TW" w:eastAsia="zh-TW"/>
              </w:rPr>
              <w:t>高温指工艺温度</w:t>
            </w:r>
            <w:r>
              <w:rPr>
                <w:rFonts w:ascii="Times New Roman" w:eastAsia="宋体" w:hAnsi="Times New Roman" w:cs="Times New Roman"/>
                <w:szCs w:val="21"/>
                <w:lang w:val="zh-TW" w:eastAsia="zh-TW"/>
              </w:rPr>
              <w:t xml:space="preserve">&gt;300 </w:t>
            </w:r>
            <w:r>
              <w:rPr>
                <w:rFonts w:ascii="宋体" w:eastAsia="宋体" w:hAnsi="宋体" w:cs="宋体" w:hint="eastAsia"/>
                <w:szCs w:val="21"/>
              </w:rPr>
              <w:t>℃</w:t>
            </w:r>
            <w:r>
              <w:rPr>
                <w:rFonts w:ascii="Times New Roman" w:eastAsia="宋体" w:hAnsi="Times New Roman" w:cs="Times New Roman"/>
                <w:szCs w:val="21"/>
              </w:rPr>
              <w:t>，</w:t>
            </w:r>
            <w:r>
              <w:rPr>
                <w:rFonts w:ascii="Times New Roman" w:eastAsia="宋体" w:hAnsi="Times New Roman" w:cs="Times New Roman"/>
                <w:szCs w:val="21"/>
                <w:lang w:val="zh-TW" w:eastAsia="zh-TW"/>
              </w:rPr>
              <w:t>高压指压力容器的设计压力</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rPr>
              <w:t>P</w:t>
            </w:r>
            <w:r>
              <w:rPr>
                <w:rFonts w:ascii="Times New Roman" w:eastAsia="宋体" w:hAnsi="Times New Roman" w:cs="Times New Roman"/>
                <w:szCs w:val="21"/>
                <w:lang w:val="zh-TW" w:eastAsia="zh-TW"/>
              </w:rPr>
              <w:t>)</w:t>
            </w:r>
            <w:r>
              <w:rPr>
                <w:rFonts w:ascii="Times New Roman" w:eastAsia="宋体" w:hAnsi="Times New Roman" w:cs="Times New Roman"/>
                <w:szCs w:val="21"/>
                <w:lang w:val="zh-TW"/>
              </w:rPr>
              <w:t>≥</w:t>
            </w:r>
            <w:r>
              <w:rPr>
                <w:rFonts w:ascii="Times New Roman" w:eastAsia="宋体" w:hAnsi="Times New Roman" w:cs="Times New Roman"/>
                <w:szCs w:val="21"/>
                <w:lang w:val="zh-TW" w:eastAsia="zh-TW"/>
              </w:rPr>
              <w:t xml:space="preserve">10.0 </w:t>
            </w:r>
            <w:r>
              <w:rPr>
                <w:rFonts w:ascii="Times New Roman" w:eastAsia="宋体" w:hAnsi="Times New Roman" w:cs="Times New Roman"/>
                <w:kern w:val="0"/>
                <w:szCs w:val="21"/>
              </w:rPr>
              <w:t>MPa</w:t>
            </w:r>
            <w:r>
              <w:rPr>
                <w:rFonts w:ascii="Times New Roman" w:eastAsia="宋体" w:hAnsi="Times New Roman" w:cs="Times New Roman"/>
                <w:szCs w:val="21"/>
              </w:rPr>
              <w:t xml:space="preserve">; </w:t>
            </w:r>
          </w:p>
          <w:p w14:paraId="30843698" w14:textId="77777777" w:rsidR="002133E3" w:rsidRDefault="00C22CFA">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vertAlign w:val="superscript"/>
              </w:rPr>
              <w:t>b</w:t>
            </w:r>
            <w:r>
              <w:rPr>
                <w:rFonts w:ascii="Times New Roman" w:eastAsia="宋体" w:hAnsi="Times New Roman" w:cs="Times New Roman"/>
                <w:szCs w:val="21"/>
                <w:lang w:val="zh-TW" w:eastAsia="zh-TW"/>
              </w:rPr>
              <w:t>长输管道运输项目应按站场、管线分段进行评价。</w:t>
            </w:r>
          </w:p>
        </w:tc>
      </w:tr>
    </w:tbl>
    <w:p w14:paraId="3B8DB6E9" w14:textId="77777777" w:rsidR="002133E3" w:rsidRDefault="00C22CFA">
      <w:pPr>
        <w:widowControl/>
        <w:spacing w:line="403" w:lineRule="exact"/>
        <w:ind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本项目为泊位升级改造项目，</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rPr>
        <w:t>值为</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，等级为</w:t>
      </w:r>
      <w:r>
        <w:rPr>
          <w:rFonts w:ascii="Times New Roman" w:eastAsia="宋体" w:hAnsi="Times New Roman" w:cs="Times New Roman"/>
          <w:kern w:val="0"/>
          <w:sz w:val="28"/>
          <w:szCs w:val="28"/>
        </w:rPr>
        <w:t>M4</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M=5</w:t>
      </w:r>
      <w:r>
        <w:rPr>
          <w:rFonts w:ascii="Times New Roman" w:eastAsia="宋体" w:hAnsi="Times New Roman" w:cs="Times New Roman"/>
          <w:kern w:val="0"/>
          <w:sz w:val="28"/>
          <w:szCs w:val="28"/>
        </w:rPr>
        <w:t>。</w:t>
      </w:r>
    </w:p>
    <w:p w14:paraId="46AEDE10" w14:textId="77777777" w:rsidR="002133E3" w:rsidRDefault="00C22CFA">
      <w:pPr>
        <w:widowControl/>
        <w:spacing w:line="500" w:lineRule="exact"/>
        <w:ind w:firstLine="561"/>
        <w:jc w:val="left"/>
        <w:rPr>
          <w:rFonts w:ascii="Times New Roman" w:eastAsia="宋体" w:hAnsi="Times New Roman" w:cs="Times New Roman"/>
          <w:b/>
          <w:bCs/>
          <w:kern w:val="0"/>
          <w:sz w:val="28"/>
          <w:szCs w:val="28"/>
        </w:rPr>
      </w:pPr>
      <w:r>
        <w:rPr>
          <w:rFonts w:ascii="Times New Roman" w:eastAsia="宋体" w:hAnsi="Times New Roman" w:cs="Times New Roman"/>
          <w:b/>
          <w:bCs/>
          <w:sz w:val="28"/>
          <w:szCs w:val="24"/>
          <w:lang w:val="zh-TW"/>
        </w:rPr>
        <w:t>(</w:t>
      </w:r>
      <w:r>
        <w:rPr>
          <w:rFonts w:ascii="Times New Roman" w:eastAsia="宋体" w:hAnsi="Times New Roman" w:cs="Times New Roman"/>
          <w:b/>
          <w:bCs/>
          <w:sz w:val="28"/>
          <w:szCs w:val="24"/>
          <w:lang w:val="zh-TW" w:eastAsia="zh-TW"/>
        </w:rPr>
        <w:t>3</w:t>
      </w:r>
      <w:r>
        <w:rPr>
          <w:rFonts w:ascii="Times New Roman" w:eastAsia="宋体" w:hAnsi="Times New Roman" w:cs="Times New Roman"/>
          <w:b/>
          <w:bCs/>
          <w:sz w:val="28"/>
          <w:szCs w:val="24"/>
          <w:lang w:val="zh-TW"/>
        </w:rPr>
        <w:t>)</w:t>
      </w:r>
      <w:r>
        <w:rPr>
          <w:rFonts w:ascii="Times New Roman" w:eastAsia="宋体" w:hAnsi="Times New Roman" w:cs="Times New Roman"/>
          <w:b/>
          <w:bCs/>
          <w:sz w:val="28"/>
          <w:szCs w:val="24"/>
          <w:lang w:val="zh-TW" w:eastAsia="zh-TW"/>
        </w:rPr>
        <w:t xml:space="preserve"> </w:t>
      </w:r>
      <w:r>
        <w:rPr>
          <w:rFonts w:ascii="Times New Roman" w:eastAsia="宋体" w:hAnsi="Times New Roman" w:cs="Times New Roman"/>
          <w:b/>
          <w:bCs/>
          <w:kern w:val="0"/>
          <w:sz w:val="28"/>
          <w:szCs w:val="28"/>
        </w:rPr>
        <w:t>危险物质及工艺系统危险性</w:t>
      </w:r>
      <w:r>
        <w:rPr>
          <w:rFonts w:ascii="Times New Roman" w:eastAsia="宋体" w:hAnsi="Times New Roman" w:cs="Times New Roman"/>
          <w:b/>
          <w:bCs/>
          <w:kern w:val="0"/>
          <w:sz w:val="28"/>
          <w:szCs w:val="28"/>
        </w:rPr>
        <w:t>(P)</w:t>
      </w:r>
      <w:r>
        <w:rPr>
          <w:rFonts w:ascii="Times New Roman" w:eastAsia="宋体" w:hAnsi="Times New Roman" w:cs="Times New Roman"/>
          <w:b/>
          <w:bCs/>
          <w:kern w:val="0"/>
          <w:sz w:val="28"/>
          <w:szCs w:val="28"/>
        </w:rPr>
        <w:t>分级</w:t>
      </w:r>
    </w:p>
    <w:p w14:paraId="3D89E859" w14:textId="77777777" w:rsidR="002133E3" w:rsidRDefault="00C22CFA">
      <w:pPr>
        <w:widowControl/>
        <w:spacing w:line="500" w:lineRule="exact"/>
        <w:ind w:firstLine="561"/>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根据危险物质数量与临界量比值</w:t>
      </w:r>
      <w:r>
        <w:rPr>
          <w:rFonts w:ascii="Times New Roman" w:eastAsia="宋体" w:hAnsi="Times New Roman" w:cs="Times New Roman"/>
          <w:kern w:val="0"/>
          <w:sz w:val="28"/>
          <w:szCs w:val="28"/>
        </w:rPr>
        <w:t>(Q)</w:t>
      </w:r>
      <w:r>
        <w:rPr>
          <w:rFonts w:ascii="Times New Roman" w:eastAsia="宋体" w:hAnsi="Times New Roman" w:cs="Times New Roman"/>
          <w:kern w:val="0"/>
          <w:sz w:val="28"/>
          <w:szCs w:val="28"/>
        </w:rPr>
        <w:t>和行业及生产工艺</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rPr>
        <w:t>，按照导则表</w:t>
      </w:r>
      <w:r>
        <w:rPr>
          <w:rFonts w:ascii="Times New Roman" w:eastAsia="宋体" w:hAnsi="Times New Roman" w:cs="Times New Roman"/>
          <w:kern w:val="0"/>
          <w:sz w:val="28"/>
          <w:szCs w:val="28"/>
        </w:rPr>
        <w:t>C.2</w:t>
      </w:r>
      <w:r>
        <w:rPr>
          <w:rFonts w:ascii="Times New Roman" w:eastAsia="宋体" w:hAnsi="Times New Roman" w:cs="Times New Roman"/>
          <w:kern w:val="0"/>
          <w:sz w:val="28"/>
          <w:szCs w:val="28"/>
        </w:rPr>
        <w:t>确定危险物质及工艺系统危险性等级</w:t>
      </w:r>
      <w:r>
        <w:rPr>
          <w:rFonts w:ascii="Times New Roman" w:eastAsia="宋体" w:hAnsi="Times New Roman" w:cs="Times New Roman"/>
          <w:kern w:val="0"/>
          <w:sz w:val="28"/>
          <w:szCs w:val="28"/>
        </w:rPr>
        <w:t>(P)</w:t>
      </w:r>
      <w:r>
        <w:rPr>
          <w:rFonts w:ascii="Times New Roman" w:eastAsia="宋体" w:hAnsi="Times New Roman" w:cs="Times New Roman"/>
          <w:kern w:val="0"/>
          <w:sz w:val="28"/>
          <w:szCs w:val="28"/>
        </w:rPr>
        <w:t>，分别以</w:t>
      </w:r>
      <w:r>
        <w:rPr>
          <w:rFonts w:ascii="Times New Roman" w:eastAsia="宋体" w:hAnsi="Times New Roman" w:cs="Times New Roman"/>
          <w:kern w:val="0"/>
          <w:sz w:val="28"/>
          <w:szCs w:val="28"/>
        </w:rPr>
        <w:t>P1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P2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P3</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P4</w:t>
      </w:r>
      <w:r>
        <w:rPr>
          <w:rFonts w:ascii="Times New Roman" w:eastAsia="宋体" w:hAnsi="Times New Roman" w:cs="Times New Roman"/>
          <w:kern w:val="0"/>
          <w:sz w:val="28"/>
          <w:szCs w:val="28"/>
        </w:rPr>
        <w:t>表示。</w:t>
      </w:r>
    </w:p>
    <w:p w14:paraId="6EA384AE" w14:textId="77777777" w:rsidR="002133E3" w:rsidRDefault="00C22CFA">
      <w:pPr>
        <w:spacing w:line="4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4.6-7  </w:t>
      </w:r>
      <w:r>
        <w:rPr>
          <w:rFonts w:ascii="Times New Roman" w:eastAsia="宋体" w:hAnsi="Times New Roman" w:cs="Times New Roman"/>
          <w:b/>
          <w:spacing w:val="-6"/>
          <w:kern w:val="0"/>
          <w:szCs w:val="21"/>
        </w:rPr>
        <w:t>危险物质及工艺系统危险性判断</w:t>
      </w:r>
    </w:p>
    <w:tbl>
      <w:tblPr>
        <w:tblW w:w="5000" w:type="pct"/>
        <w:jc w:val="center"/>
        <w:tblCellMar>
          <w:left w:w="0" w:type="dxa"/>
          <w:right w:w="0" w:type="dxa"/>
        </w:tblCellMar>
        <w:tblLook w:val="04A0" w:firstRow="1" w:lastRow="0" w:firstColumn="1" w:lastColumn="0" w:noHBand="0" w:noVBand="1"/>
      </w:tblPr>
      <w:tblGrid>
        <w:gridCol w:w="2357"/>
        <w:gridCol w:w="1818"/>
        <w:gridCol w:w="1823"/>
        <w:gridCol w:w="1823"/>
        <w:gridCol w:w="1827"/>
      </w:tblGrid>
      <w:tr w:rsidR="002133E3" w14:paraId="78502630" w14:textId="77777777">
        <w:trPr>
          <w:trHeight w:val="284"/>
          <w:jc w:val="center"/>
        </w:trPr>
        <w:tc>
          <w:tcPr>
            <w:tcW w:w="1221" w:type="pct"/>
            <w:vMerge w:val="restart"/>
            <w:tcBorders>
              <w:top w:val="single" w:sz="4" w:space="0" w:color="auto"/>
              <w:left w:val="single" w:sz="4" w:space="0" w:color="auto"/>
              <w:bottom w:val="nil"/>
              <w:right w:val="nil"/>
            </w:tcBorders>
            <w:vAlign w:val="center"/>
          </w:tcPr>
          <w:p w14:paraId="12260C10"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szCs w:val="21"/>
                <w:lang w:val="zh-TW" w:eastAsia="zh-TW"/>
              </w:rPr>
              <w:t>危险物质数量与临界量比值</w:t>
            </w:r>
            <w:r>
              <w:rPr>
                <w:rFonts w:ascii="Times New Roman" w:eastAsia="宋体" w:hAnsi="Times New Roman" w:cs="Times New Roman"/>
                <w:b/>
                <w:bCs/>
                <w:szCs w:val="21"/>
              </w:rPr>
              <w:t>(Q)</w:t>
            </w:r>
          </w:p>
        </w:tc>
        <w:tc>
          <w:tcPr>
            <w:tcW w:w="3779" w:type="pct"/>
            <w:gridSpan w:val="4"/>
            <w:tcBorders>
              <w:top w:val="single" w:sz="4" w:space="0" w:color="auto"/>
              <w:left w:val="single" w:sz="4" w:space="0" w:color="auto"/>
              <w:bottom w:val="nil"/>
              <w:right w:val="single" w:sz="4" w:space="0" w:color="auto"/>
            </w:tcBorders>
            <w:vAlign w:val="center"/>
          </w:tcPr>
          <w:p w14:paraId="58A9773C"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szCs w:val="21"/>
                <w:lang w:val="zh-TW" w:eastAsia="zh-TW"/>
              </w:rPr>
              <w:t>行业及生产工艺</w:t>
            </w:r>
            <w:r>
              <w:rPr>
                <w:rFonts w:ascii="Times New Roman" w:eastAsia="宋体" w:hAnsi="Times New Roman" w:cs="Times New Roman"/>
                <w:b/>
                <w:bCs/>
                <w:szCs w:val="21"/>
              </w:rPr>
              <w:t>(</w:t>
            </w:r>
            <w:r>
              <w:rPr>
                <w:rFonts w:ascii="Times New Roman" w:eastAsia="宋体" w:hAnsi="Times New Roman" w:cs="Times New Roman"/>
                <w:b/>
                <w:bCs/>
                <w:kern w:val="0"/>
                <w:szCs w:val="21"/>
              </w:rPr>
              <w:t>M</w:t>
            </w:r>
            <w:r>
              <w:rPr>
                <w:rFonts w:ascii="Times New Roman" w:eastAsia="宋体" w:hAnsi="Times New Roman" w:cs="Times New Roman"/>
                <w:b/>
                <w:bCs/>
                <w:szCs w:val="21"/>
              </w:rPr>
              <w:t>)</w:t>
            </w:r>
          </w:p>
        </w:tc>
      </w:tr>
      <w:tr w:rsidR="002133E3" w14:paraId="6CCDDDA0" w14:textId="77777777">
        <w:trPr>
          <w:trHeight w:val="284"/>
          <w:jc w:val="center"/>
        </w:trPr>
        <w:tc>
          <w:tcPr>
            <w:tcW w:w="1221" w:type="pct"/>
            <w:vMerge/>
            <w:tcBorders>
              <w:top w:val="nil"/>
              <w:left w:val="single" w:sz="4" w:space="0" w:color="auto"/>
              <w:bottom w:val="nil"/>
              <w:right w:val="nil"/>
            </w:tcBorders>
            <w:vAlign w:val="center"/>
          </w:tcPr>
          <w:p w14:paraId="35D60722" w14:textId="77777777" w:rsidR="002133E3" w:rsidRDefault="002133E3">
            <w:pPr>
              <w:widowControl/>
              <w:snapToGrid w:val="0"/>
              <w:jc w:val="center"/>
              <w:rPr>
                <w:rFonts w:ascii="Times New Roman" w:eastAsia="宋体" w:hAnsi="Times New Roman" w:cs="Times New Roman"/>
                <w:b/>
                <w:bCs/>
                <w:kern w:val="0"/>
                <w:szCs w:val="21"/>
              </w:rPr>
            </w:pPr>
          </w:p>
        </w:tc>
        <w:tc>
          <w:tcPr>
            <w:tcW w:w="942" w:type="pct"/>
            <w:tcBorders>
              <w:top w:val="single" w:sz="4" w:space="0" w:color="auto"/>
              <w:left w:val="single" w:sz="4" w:space="0" w:color="auto"/>
              <w:bottom w:val="nil"/>
              <w:right w:val="nil"/>
            </w:tcBorders>
            <w:vAlign w:val="center"/>
          </w:tcPr>
          <w:p w14:paraId="6EDC7B64"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w:t>
            </w:r>
            <w:r>
              <w:rPr>
                <w:rFonts w:ascii="Times New Roman" w:eastAsia="宋体" w:hAnsi="Times New Roman" w:cs="Times New Roman"/>
                <w:b/>
                <w:bCs/>
                <w:szCs w:val="21"/>
              </w:rPr>
              <w:t>1</w:t>
            </w:r>
          </w:p>
        </w:tc>
        <w:tc>
          <w:tcPr>
            <w:tcW w:w="945" w:type="pct"/>
            <w:tcBorders>
              <w:top w:val="single" w:sz="4" w:space="0" w:color="auto"/>
              <w:left w:val="single" w:sz="4" w:space="0" w:color="auto"/>
              <w:bottom w:val="nil"/>
              <w:right w:val="nil"/>
            </w:tcBorders>
            <w:vAlign w:val="center"/>
          </w:tcPr>
          <w:p w14:paraId="1B769594"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w:t>
            </w:r>
            <w:r>
              <w:rPr>
                <w:rFonts w:ascii="Times New Roman" w:eastAsia="宋体" w:hAnsi="Times New Roman" w:cs="Times New Roman"/>
                <w:b/>
                <w:bCs/>
                <w:szCs w:val="21"/>
              </w:rPr>
              <w:t>2</w:t>
            </w:r>
          </w:p>
        </w:tc>
        <w:tc>
          <w:tcPr>
            <w:tcW w:w="945" w:type="pct"/>
            <w:tcBorders>
              <w:top w:val="single" w:sz="4" w:space="0" w:color="auto"/>
              <w:left w:val="single" w:sz="4" w:space="0" w:color="auto"/>
              <w:bottom w:val="nil"/>
              <w:right w:val="nil"/>
            </w:tcBorders>
            <w:vAlign w:val="center"/>
          </w:tcPr>
          <w:p w14:paraId="2F55181F"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w:t>
            </w:r>
            <w:r>
              <w:rPr>
                <w:rFonts w:ascii="Times New Roman" w:eastAsia="宋体" w:hAnsi="Times New Roman" w:cs="Times New Roman"/>
                <w:b/>
                <w:bCs/>
                <w:szCs w:val="21"/>
              </w:rPr>
              <w:t>3</w:t>
            </w:r>
          </w:p>
        </w:tc>
        <w:tc>
          <w:tcPr>
            <w:tcW w:w="947" w:type="pct"/>
            <w:tcBorders>
              <w:top w:val="single" w:sz="4" w:space="0" w:color="auto"/>
              <w:left w:val="single" w:sz="4" w:space="0" w:color="auto"/>
              <w:bottom w:val="nil"/>
              <w:right w:val="single" w:sz="4" w:space="0" w:color="auto"/>
            </w:tcBorders>
            <w:vAlign w:val="center"/>
          </w:tcPr>
          <w:p w14:paraId="6E8B306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M</w:t>
            </w:r>
            <w:r>
              <w:rPr>
                <w:rFonts w:ascii="Times New Roman" w:eastAsia="宋体" w:hAnsi="Times New Roman" w:cs="Times New Roman"/>
                <w:b/>
                <w:bCs/>
                <w:szCs w:val="21"/>
              </w:rPr>
              <w:t>4</w:t>
            </w:r>
          </w:p>
        </w:tc>
      </w:tr>
      <w:tr w:rsidR="002133E3" w14:paraId="4EF0B4A8" w14:textId="77777777">
        <w:trPr>
          <w:trHeight w:val="284"/>
          <w:jc w:val="center"/>
        </w:trPr>
        <w:tc>
          <w:tcPr>
            <w:tcW w:w="1221" w:type="pct"/>
            <w:tcBorders>
              <w:top w:val="single" w:sz="4" w:space="0" w:color="auto"/>
              <w:left w:val="single" w:sz="4" w:space="0" w:color="auto"/>
              <w:bottom w:val="nil"/>
              <w:right w:val="nil"/>
            </w:tcBorders>
            <w:vAlign w:val="center"/>
          </w:tcPr>
          <w:p w14:paraId="30BC321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lang w:val="zh-TW"/>
              </w:rPr>
              <w:t>Q≥100</w:t>
            </w:r>
          </w:p>
        </w:tc>
        <w:tc>
          <w:tcPr>
            <w:tcW w:w="942" w:type="pct"/>
            <w:tcBorders>
              <w:top w:val="single" w:sz="4" w:space="0" w:color="auto"/>
              <w:left w:val="single" w:sz="4" w:space="0" w:color="auto"/>
              <w:bottom w:val="nil"/>
              <w:right w:val="nil"/>
            </w:tcBorders>
            <w:vAlign w:val="center"/>
          </w:tcPr>
          <w:p w14:paraId="3EDA9D0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1</w:t>
            </w:r>
          </w:p>
        </w:tc>
        <w:tc>
          <w:tcPr>
            <w:tcW w:w="945" w:type="pct"/>
            <w:tcBorders>
              <w:top w:val="single" w:sz="4" w:space="0" w:color="auto"/>
              <w:left w:val="single" w:sz="4" w:space="0" w:color="auto"/>
              <w:bottom w:val="nil"/>
              <w:right w:val="nil"/>
            </w:tcBorders>
            <w:vAlign w:val="center"/>
          </w:tcPr>
          <w:p w14:paraId="63C62AD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1</w:t>
            </w:r>
          </w:p>
        </w:tc>
        <w:tc>
          <w:tcPr>
            <w:tcW w:w="945" w:type="pct"/>
            <w:tcBorders>
              <w:top w:val="single" w:sz="4" w:space="0" w:color="auto"/>
              <w:left w:val="single" w:sz="4" w:space="0" w:color="auto"/>
              <w:bottom w:val="nil"/>
              <w:right w:val="nil"/>
            </w:tcBorders>
            <w:shd w:val="clear" w:color="auto" w:fill="auto"/>
            <w:vAlign w:val="center"/>
          </w:tcPr>
          <w:p w14:paraId="4466877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2</w:t>
            </w:r>
          </w:p>
        </w:tc>
        <w:tc>
          <w:tcPr>
            <w:tcW w:w="947" w:type="pct"/>
            <w:tcBorders>
              <w:top w:val="single" w:sz="4" w:space="0" w:color="auto"/>
              <w:left w:val="single" w:sz="4" w:space="0" w:color="auto"/>
              <w:bottom w:val="nil"/>
              <w:right w:val="single" w:sz="4" w:space="0" w:color="auto"/>
            </w:tcBorders>
            <w:vAlign w:val="center"/>
          </w:tcPr>
          <w:p w14:paraId="2C68E39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3</w:t>
            </w:r>
          </w:p>
        </w:tc>
      </w:tr>
      <w:tr w:rsidR="002133E3" w14:paraId="7E7650F5" w14:textId="77777777">
        <w:trPr>
          <w:trHeight w:val="284"/>
          <w:jc w:val="center"/>
        </w:trPr>
        <w:tc>
          <w:tcPr>
            <w:tcW w:w="1221" w:type="pct"/>
            <w:tcBorders>
              <w:top w:val="single" w:sz="4" w:space="0" w:color="auto"/>
              <w:left w:val="single" w:sz="4" w:space="0" w:color="auto"/>
              <w:bottom w:val="nil"/>
              <w:right w:val="nil"/>
            </w:tcBorders>
            <w:vAlign w:val="center"/>
          </w:tcPr>
          <w:p w14:paraId="034F7A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10≤Q</w:t>
            </w:r>
            <w:r>
              <w:rPr>
                <w:rFonts w:ascii="Times New Roman" w:eastAsia="宋体" w:hAnsi="Times New Roman" w:cs="Times New Roman"/>
                <w:kern w:val="0"/>
                <w:szCs w:val="21"/>
              </w:rPr>
              <w:t>＜</w:t>
            </w:r>
            <w:r>
              <w:rPr>
                <w:rFonts w:ascii="Times New Roman" w:eastAsia="宋体" w:hAnsi="Times New Roman" w:cs="Times New Roman"/>
                <w:kern w:val="0"/>
                <w:szCs w:val="21"/>
              </w:rPr>
              <w:t>100</w:t>
            </w:r>
          </w:p>
        </w:tc>
        <w:tc>
          <w:tcPr>
            <w:tcW w:w="942" w:type="pct"/>
            <w:tcBorders>
              <w:top w:val="single" w:sz="4" w:space="0" w:color="auto"/>
              <w:left w:val="single" w:sz="4" w:space="0" w:color="auto"/>
              <w:bottom w:val="nil"/>
              <w:right w:val="nil"/>
            </w:tcBorders>
            <w:vAlign w:val="center"/>
          </w:tcPr>
          <w:p w14:paraId="1B28032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1</w:t>
            </w:r>
          </w:p>
        </w:tc>
        <w:tc>
          <w:tcPr>
            <w:tcW w:w="945" w:type="pct"/>
            <w:tcBorders>
              <w:top w:val="single" w:sz="4" w:space="0" w:color="auto"/>
              <w:left w:val="single" w:sz="4" w:space="0" w:color="auto"/>
              <w:bottom w:val="nil"/>
              <w:right w:val="nil"/>
            </w:tcBorders>
            <w:vAlign w:val="center"/>
          </w:tcPr>
          <w:p w14:paraId="690D33A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2</w:t>
            </w:r>
          </w:p>
        </w:tc>
        <w:tc>
          <w:tcPr>
            <w:tcW w:w="945" w:type="pct"/>
            <w:tcBorders>
              <w:top w:val="single" w:sz="4" w:space="0" w:color="auto"/>
              <w:left w:val="single" w:sz="4" w:space="0" w:color="auto"/>
              <w:bottom w:val="nil"/>
              <w:right w:val="nil"/>
            </w:tcBorders>
            <w:vAlign w:val="center"/>
          </w:tcPr>
          <w:p w14:paraId="3A845C2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3</w:t>
            </w:r>
          </w:p>
        </w:tc>
        <w:tc>
          <w:tcPr>
            <w:tcW w:w="947" w:type="pct"/>
            <w:tcBorders>
              <w:top w:val="single" w:sz="4" w:space="0" w:color="auto"/>
              <w:left w:val="single" w:sz="4" w:space="0" w:color="auto"/>
              <w:bottom w:val="nil"/>
              <w:right w:val="single" w:sz="4" w:space="0" w:color="auto"/>
            </w:tcBorders>
            <w:vAlign w:val="center"/>
          </w:tcPr>
          <w:p w14:paraId="02CFF1A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4</w:t>
            </w:r>
          </w:p>
        </w:tc>
      </w:tr>
      <w:tr w:rsidR="002133E3" w14:paraId="7FE7A55F" w14:textId="77777777">
        <w:trPr>
          <w:trHeight w:val="284"/>
          <w:jc w:val="center"/>
        </w:trPr>
        <w:tc>
          <w:tcPr>
            <w:tcW w:w="1221" w:type="pct"/>
            <w:tcBorders>
              <w:top w:val="single" w:sz="4" w:space="0" w:color="auto"/>
              <w:left w:val="single" w:sz="4" w:space="0" w:color="auto"/>
              <w:bottom w:val="single" w:sz="4" w:space="0" w:color="auto"/>
              <w:right w:val="nil"/>
            </w:tcBorders>
            <w:vAlign w:val="center"/>
          </w:tcPr>
          <w:p w14:paraId="1C0CB72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1≤Q</w:t>
            </w:r>
            <w:r>
              <w:rPr>
                <w:rFonts w:ascii="Times New Roman" w:eastAsia="宋体" w:hAnsi="Times New Roman" w:cs="Times New Roman"/>
                <w:kern w:val="0"/>
                <w:szCs w:val="21"/>
              </w:rPr>
              <w:t>＜</w:t>
            </w:r>
            <w:r>
              <w:rPr>
                <w:rFonts w:ascii="Times New Roman" w:eastAsia="宋体" w:hAnsi="Times New Roman" w:cs="Times New Roman"/>
                <w:kern w:val="0"/>
                <w:szCs w:val="21"/>
              </w:rPr>
              <w:t>10</w:t>
            </w:r>
          </w:p>
        </w:tc>
        <w:tc>
          <w:tcPr>
            <w:tcW w:w="942" w:type="pct"/>
            <w:tcBorders>
              <w:top w:val="single" w:sz="4" w:space="0" w:color="auto"/>
              <w:left w:val="single" w:sz="4" w:space="0" w:color="auto"/>
              <w:bottom w:val="single" w:sz="4" w:space="0" w:color="auto"/>
              <w:right w:val="nil"/>
            </w:tcBorders>
            <w:vAlign w:val="center"/>
          </w:tcPr>
          <w:p w14:paraId="2EDC009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2</w:t>
            </w:r>
          </w:p>
        </w:tc>
        <w:tc>
          <w:tcPr>
            <w:tcW w:w="945" w:type="pct"/>
            <w:tcBorders>
              <w:top w:val="single" w:sz="4" w:space="0" w:color="auto"/>
              <w:left w:val="single" w:sz="4" w:space="0" w:color="auto"/>
              <w:bottom w:val="single" w:sz="4" w:space="0" w:color="auto"/>
              <w:right w:val="nil"/>
            </w:tcBorders>
            <w:vAlign w:val="center"/>
          </w:tcPr>
          <w:p w14:paraId="49100A2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3</w:t>
            </w:r>
          </w:p>
        </w:tc>
        <w:tc>
          <w:tcPr>
            <w:tcW w:w="945" w:type="pct"/>
            <w:tcBorders>
              <w:top w:val="single" w:sz="4" w:space="0" w:color="auto"/>
              <w:left w:val="single" w:sz="4" w:space="0" w:color="auto"/>
              <w:bottom w:val="single" w:sz="4" w:space="0" w:color="auto"/>
              <w:right w:val="nil"/>
            </w:tcBorders>
            <w:shd w:val="clear" w:color="auto" w:fill="auto"/>
            <w:vAlign w:val="center"/>
          </w:tcPr>
          <w:p w14:paraId="076378A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4</w:t>
            </w:r>
          </w:p>
        </w:tc>
        <w:tc>
          <w:tcPr>
            <w:tcW w:w="9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E19694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szCs w:val="21"/>
              </w:rPr>
              <w:t>4</w:t>
            </w:r>
          </w:p>
        </w:tc>
      </w:tr>
    </w:tbl>
    <w:p w14:paraId="74C027A4" w14:textId="77777777" w:rsidR="002133E3" w:rsidRDefault="00C22CFA">
      <w:pPr>
        <w:widowControl/>
        <w:snapToGrid w:val="0"/>
        <w:spacing w:line="500" w:lineRule="exact"/>
        <w:ind w:firstLine="560"/>
        <w:jc w:val="left"/>
        <w:rPr>
          <w:rFonts w:ascii="Times New Roman" w:eastAsia="宋体" w:hAnsi="Times New Roman" w:cs="Times New Roman"/>
          <w:b/>
          <w:kern w:val="0"/>
          <w:sz w:val="28"/>
          <w:szCs w:val="28"/>
        </w:rPr>
      </w:pPr>
      <w:r>
        <w:rPr>
          <w:rFonts w:ascii="Times New Roman" w:eastAsia="宋体" w:hAnsi="Times New Roman" w:cs="Times New Roman"/>
          <w:b/>
          <w:kern w:val="0"/>
          <w:sz w:val="28"/>
          <w:szCs w:val="28"/>
        </w:rPr>
        <w:t>综上计算，本项目危险物质及工艺系统危险性分级为</w:t>
      </w:r>
      <w:r>
        <w:rPr>
          <w:rFonts w:ascii="Times New Roman" w:eastAsia="宋体" w:hAnsi="Times New Roman" w:cs="Times New Roman"/>
          <w:b/>
          <w:kern w:val="0"/>
          <w:sz w:val="28"/>
          <w:szCs w:val="28"/>
        </w:rPr>
        <w:t>P4</w:t>
      </w:r>
      <w:r>
        <w:rPr>
          <w:rFonts w:ascii="Times New Roman" w:eastAsia="宋体" w:hAnsi="Times New Roman" w:cs="Times New Roman"/>
          <w:b/>
          <w:kern w:val="0"/>
          <w:sz w:val="28"/>
          <w:szCs w:val="28"/>
        </w:rPr>
        <w:t>。</w:t>
      </w:r>
    </w:p>
    <w:p w14:paraId="0ABDC1C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E</w:t>
      </w:r>
      <w:r>
        <w:rPr>
          <w:rFonts w:ascii="Times New Roman" w:eastAsia="宋体" w:hAnsi="Times New Roman" w:cs="Times New Roman"/>
          <w:b/>
          <w:sz w:val="30"/>
          <w:szCs w:val="30"/>
        </w:rPr>
        <w:t>的分级</w:t>
      </w:r>
    </w:p>
    <w:p w14:paraId="2CBFCB3B" w14:textId="77777777" w:rsidR="002133E3" w:rsidRDefault="00C22CFA">
      <w:pPr>
        <w:widowControl/>
        <w:snapToGrid w:val="0"/>
        <w:spacing w:line="500" w:lineRule="atLeast"/>
        <w:ind w:firstLine="561"/>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本项目按照</w:t>
      </w:r>
      <w:r>
        <w:rPr>
          <w:rFonts w:ascii="Times New Roman" w:eastAsia="宋体" w:hAnsi="Times New Roman" w:cs="Times New Roman"/>
          <w:kern w:val="0"/>
          <w:sz w:val="28"/>
          <w:szCs w:val="28"/>
        </w:rPr>
        <w:t>HJ169-2018</w:t>
      </w:r>
      <w:r>
        <w:rPr>
          <w:rFonts w:ascii="Times New Roman" w:eastAsia="宋体" w:hAnsi="Times New Roman" w:cs="Times New Roman"/>
          <w:kern w:val="0"/>
          <w:sz w:val="28"/>
          <w:szCs w:val="28"/>
        </w:rPr>
        <w:t>附录</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对建设项目大气、海水</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参照地表水</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、地下水各要素环境敏感程度</w:t>
      </w:r>
      <w:r>
        <w:rPr>
          <w:rFonts w:ascii="Times New Roman" w:eastAsia="宋体" w:hAnsi="Times New Roman" w:cs="Times New Roman"/>
          <w:kern w:val="0"/>
          <w:sz w:val="28"/>
          <w:szCs w:val="28"/>
        </w:rPr>
        <w:t>(E)</w:t>
      </w:r>
      <w:r>
        <w:rPr>
          <w:rFonts w:ascii="Times New Roman" w:eastAsia="宋体" w:hAnsi="Times New Roman" w:cs="Times New Roman"/>
          <w:kern w:val="0"/>
          <w:sz w:val="28"/>
          <w:szCs w:val="28"/>
        </w:rPr>
        <w:t>等级进行判断。</w:t>
      </w:r>
    </w:p>
    <w:p w14:paraId="54E46B67" w14:textId="77777777" w:rsidR="002133E3" w:rsidRDefault="00C22CFA">
      <w:pPr>
        <w:widowControl/>
        <w:snapToGrid w:val="0"/>
        <w:spacing w:line="500" w:lineRule="atLeast"/>
        <w:ind w:left="560"/>
        <w:jc w:val="left"/>
        <w:rPr>
          <w:rFonts w:ascii="Times New Roman" w:eastAsia="宋体" w:hAnsi="Times New Roman" w:cs="Times New Roman"/>
          <w:b/>
          <w:bCs/>
          <w:kern w:val="0"/>
          <w:sz w:val="28"/>
          <w:szCs w:val="28"/>
          <w:lang w:val="zh-TW"/>
        </w:rPr>
      </w:pPr>
      <w:r>
        <w:rPr>
          <w:rFonts w:ascii="Times New Roman" w:eastAsia="宋体" w:hAnsi="Times New Roman" w:cs="Times New Roman"/>
          <w:b/>
          <w:bCs/>
          <w:kern w:val="0"/>
          <w:sz w:val="28"/>
          <w:szCs w:val="28"/>
        </w:rPr>
        <w:t xml:space="preserve">(1) </w:t>
      </w:r>
      <w:r>
        <w:rPr>
          <w:rFonts w:ascii="Times New Roman" w:eastAsia="宋体" w:hAnsi="Times New Roman" w:cs="Times New Roman"/>
          <w:b/>
          <w:bCs/>
          <w:kern w:val="0"/>
          <w:sz w:val="28"/>
          <w:szCs w:val="28"/>
          <w:lang w:val="zh-TW"/>
        </w:rPr>
        <w:t>大气环境</w:t>
      </w:r>
    </w:p>
    <w:p w14:paraId="59F92782" w14:textId="77777777" w:rsidR="002133E3" w:rsidRDefault="00C22CFA">
      <w:pPr>
        <w:widowControl/>
        <w:snapToGrid w:val="0"/>
        <w:spacing w:line="500" w:lineRule="atLeast"/>
        <w:ind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lang w:val="zh-TW" w:eastAsia="zh-TW"/>
        </w:rPr>
        <w:t>依据环境敏感目标环境敏感性及人口密度划分环境风险受体的敏感性，共分为三种类型，</w:t>
      </w:r>
      <w:r>
        <w:rPr>
          <w:rFonts w:ascii="Times New Roman" w:eastAsia="宋体" w:hAnsi="Times New Roman" w:cs="Times New Roman"/>
          <w:kern w:val="0"/>
          <w:sz w:val="28"/>
          <w:szCs w:val="28"/>
          <w:lang w:val="zh-TW" w:eastAsia="zh-TW"/>
        </w:rPr>
        <w:t>E1</w:t>
      </w:r>
      <w:r>
        <w:rPr>
          <w:rFonts w:ascii="Times New Roman" w:eastAsia="宋体" w:hAnsi="Times New Roman" w:cs="Times New Roman"/>
          <w:kern w:val="0"/>
          <w:sz w:val="28"/>
          <w:szCs w:val="28"/>
          <w:lang w:val="zh-TW" w:eastAsia="zh-TW"/>
        </w:rPr>
        <w:t>为环境高度敏感区，</w:t>
      </w:r>
      <w:r>
        <w:rPr>
          <w:rFonts w:ascii="Times New Roman" w:eastAsia="宋体" w:hAnsi="Times New Roman" w:cs="Times New Roman"/>
          <w:kern w:val="0"/>
          <w:sz w:val="28"/>
          <w:szCs w:val="28"/>
          <w:lang w:val="zh-TW" w:eastAsia="zh-TW"/>
        </w:rPr>
        <w:t>E2</w:t>
      </w:r>
      <w:r>
        <w:rPr>
          <w:rFonts w:ascii="Times New Roman" w:eastAsia="宋体" w:hAnsi="Times New Roman" w:cs="Times New Roman"/>
          <w:kern w:val="0"/>
          <w:sz w:val="28"/>
          <w:szCs w:val="28"/>
          <w:lang w:val="zh-TW" w:eastAsia="zh-TW"/>
        </w:rPr>
        <w:t>为环境中度敏感区，</w:t>
      </w:r>
      <w:r>
        <w:rPr>
          <w:rFonts w:ascii="Times New Roman" w:eastAsia="宋体" w:hAnsi="Times New Roman" w:cs="Times New Roman"/>
          <w:kern w:val="0"/>
          <w:sz w:val="28"/>
          <w:szCs w:val="28"/>
          <w:lang w:val="zh-TW" w:eastAsia="zh-TW"/>
        </w:rPr>
        <w:t>E3</w:t>
      </w:r>
      <w:r>
        <w:rPr>
          <w:rFonts w:ascii="Times New Roman" w:eastAsia="宋体" w:hAnsi="Times New Roman" w:cs="Times New Roman"/>
          <w:kern w:val="0"/>
          <w:sz w:val="28"/>
          <w:szCs w:val="28"/>
          <w:lang w:val="zh-TW" w:eastAsia="zh-TW"/>
        </w:rPr>
        <w:t>为环境低度敏感区，分级原则见表</w:t>
      </w:r>
      <w:r>
        <w:rPr>
          <w:rFonts w:ascii="Times New Roman" w:eastAsia="宋体" w:hAnsi="Times New Roman" w:cs="Times New Roman"/>
          <w:kern w:val="0"/>
          <w:sz w:val="28"/>
          <w:szCs w:val="28"/>
          <w:lang w:val="zh-TW" w:eastAsia="zh-TW"/>
        </w:rPr>
        <w:t>4.6-8</w:t>
      </w:r>
      <w:r>
        <w:rPr>
          <w:rFonts w:ascii="Times New Roman" w:eastAsia="宋体" w:hAnsi="Times New Roman" w:cs="Times New Roman"/>
          <w:kern w:val="0"/>
          <w:sz w:val="28"/>
          <w:szCs w:val="28"/>
          <w:lang w:val="zh-TW" w:eastAsia="zh-TW"/>
        </w:rPr>
        <w:t>。</w:t>
      </w:r>
    </w:p>
    <w:p w14:paraId="466D7EF1" w14:textId="77777777" w:rsidR="002133E3" w:rsidRDefault="00C22CFA">
      <w:pPr>
        <w:snapToGrid w:val="0"/>
        <w:spacing w:line="500" w:lineRule="atLeas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4.6-8  </w:t>
      </w:r>
      <w:r>
        <w:rPr>
          <w:rFonts w:ascii="Times New Roman" w:eastAsia="宋体" w:hAnsi="Times New Roman" w:cs="Times New Roman"/>
          <w:b/>
          <w:spacing w:val="-6"/>
          <w:kern w:val="0"/>
          <w:szCs w:val="21"/>
        </w:rPr>
        <w:t>大气环境敏感程度分级</w:t>
      </w:r>
    </w:p>
    <w:tbl>
      <w:tblPr>
        <w:tblW w:w="5000" w:type="pct"/>
        <w:jc w:val="center"/>
        <w:tblCellMar>
          <w:left w:w="0" w:type="dxa"/>
          <w:right w:w="0" w:type="dxa"/>
        </w:tblCellMar>
        <w:tblLook w:val="04A0" w:firstRow="1" w:lastRow="0" w:firstColumn="1" w:lastColumn="0" w:noHBand="0" w:noVBand="1"/>
      </w:tblPr>
      <w:tblGrid>
        <w:gridCol w:w="747"/>
        <w:gridCol w:w="8901"/>
      </w:tblGrid>
      <w:tr w:rsidR="002133E3" w14:paraId="6AE8510A" w14:textId="77777777">
        <w:trPr>
          <w:trHeight w:val="284"/>
          <w:jc w:val="center"/>
        </w:trPr>
        <w:tc>
          <w:tcPr>
            <w:tcW w:w="387" w:type="pct"/>
            <w:tcBorders>
              <w:top w:val="single" w:sz="4" w:space="0" w:color="auto"/>
              <w:left w:val="single" w:sz="4" w:space="0" w:color="auto"/>
              <w:bottom w:val="nil"/>
              <w:right w:val="nil"/>
            </w:tcBorders>
            <w:vAlign w:val="bottom"/>
          </w:tcPr>
          <w:p w14:paraId="71ABBFC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szCs w:val="21"/>
                <w:lang w:val="zh-TW" w:eastAsia="zh-TW"/>
              </w:rPr>
              <w:t>分级</w:t>
            </w:r>
          </w:p>
        </w:tc>
        <w:tc>
          <w:tcPr>
            <w:tcW w:w="4613" w:type="pct"/>
            <w:tcBorders>
              <w:top w:val="single" w:sz="4" w:space="0" w:color="auto"/>
              <w:left w:val="single" w:sz="4" w:space="0" w:color="auto"/>
              <w:bottom w:val="nil"/>
              <w:right w:val="single" w:sz="4" w:space="0" w:color="auto"/>
            </w:tcBorders>
            <w:vAlign w:val="bottom"/>
          </w:tcPr>
          <w:p w14:paraId="64E972D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szCs w:val="21"/>
                <w:lang w:val="zh-TW" w:eastAsia="zh-TW"/>
              </w:rPr>
              <w:t>大气环境敏感性</w:t>
            </w:r>
          </w:p>
        </w:tc>
      </w:tr>
      <w:tr w:rsidR="002133E3" w14:paraId="69CE77CF" w14:textId="77777777">
        <w:trPr>
          <w:trHeight w:val="284"/>
          <w:jc w:val="center"/>
        </w:trPr>
        <w:tc>
          <w:tcPr>
            <w:tcW w:w="387" w:type="pct"/>
            <w:tcBorders>
              <w:top w:val="single" w:sz="4" w:space="0" w:color="auto"/>
              <w:left w:val="single" w:sz="4" w:space="0" w:color="auto"/>
              <w:bottom w:val="nil"/>
              <w:right w:val="nil"/>
            </w:tcBorders>
            <w:vAlign w:val="center"/>
          </w:tcPr>
          <w:p w14:paraId="6D79D4C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E</w:t>
            </w:r>
            <w:r>
              <w:rPr>
                <w:rFonts w:ascii="Times New Roman" w:eastAsia="宋体" w:hAnsi="Times New Roman" w:cs="Times New Roman"/>
                <w:szCs w:val="21"/>
              </w:rPr>
              <w:t>1</w:t>
            </w:r>
          </w:p>
        </w:tc>
        <w:tc>
          <w:tcPr>
            <w:tcW w:w="4613" w:type="pct"/>
            <w:tcBorders>
              <w:top w:val="single" w:sz="4" w:space="0" w:color="auto"/>
              <w:left w:val="single" w:sz="4" w:space="0" w:color="auto"/>
              <w:bottom w:val="nil"/>
              <w:right w:val="single" w:sz="4" w:space="0" w:color="auto"/>
            </w:tcBorders>
          </w:tcPr>
          <w:p w14:paraId="75E4E913"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szCs w:val="21"/>
                <w:lang w:val="zh-TW" w:eastAsia="zh-TW"/>
              </w:rPr>
              <w:t>周边</w:t>
            </w:r>
            <w:r>
              <w:rPr>
                <w:rFonts w:ascii="Times New Roman" w:eastAsia="宋体" w:hAnsi="Times New Roman" w:cs="Times New Roman"/>
                <w:szCs w:val="21"/>
                <w:lang w:val="zh-TW" w:eastAsia="zh-TW"/>
              </w:rPr>
              <w:t xml:space="preserve">5 </w:t>
            </w:r>
            <w:r>
              <w:rPr>
                <w:rFonts w:ascii="Times New Roman" w:eastAsia="宋体" w:hAnsi="Times New Roman" w:cs="Times New Roman"/>
                <w:kern w:val="0"/>
                <w:szCs w:val="21"/>
              </w:rPr>
              <w:t>km</w:t>
            </w:r>
            <w:r>
              <w:rPr>
                <w:rFonts w:ascii="Times New Roman" w:eastAsia="宋体" w:hAnsi="Times New Roman" w:cs="Times New Roman"/>
                <w:szCs w:val="21"/>
                <w:lang w:val="zh-TW" w:eastAsia="zh-TW"/>
              </w:rPr>
              <w:t>范围内居住区、医疗卫生、文化教育、科研、行政办公等机构人口总数大于</w:t>
            </w:r>
            <w:r>
              <w:rPr>
                <w:rFonts w:ascii="Times New Roman" w:eastAsia="宋体" w:hAnsi="Times New Roman" w:cs="Times New Roman"/>
                <w:szCs w:val="21"/>
                <w:lang w:val="zh-TW" w:eastAsia="zh-TW"/>
              </w:rPr>
              <w:t xml:space="preserve">5 </w:t>
            </w:r>
            <w:r>
              <w:rPr>
                <w:rFonts w:ascii="Times New Roman" w:eastAsia="宋体" w:hAnsi="Times New Roman" w:cs="Times New Roman"/>
                <w:szCs w:val="21"/>
                <w:lang w:val="zh-TW" w:eastAsia="zh-TW"/>
              </w:rPr>
              <w:t>万人，或其他需要特殊保护区域；或周边</w:t>
            </w:r>
            <w:r>
              <w:rPr>
                <w:rFonts w:ascii="Times New Roman" w:eastAsia="宋体" w:hAnsi="Times New Roman" w:cs="Times New Roman"/>
                <w:szCs w:val="21"/>
              </w:rPr>
              <w:t xml:space="preserve">500 </w:t>
            </w:r>
            <w:r>
              <w:rPr>
                <w:rFonts w:ascii="Times New Roman" w:eastAsia="宋体" w:hAnsi="Times New Roman" w:cs="Times New Roman"/>
                <w:kern w:val="0"/>
                <w:szCs w:val="21"/>
              </w:rPr>
              <w:t>m</w:t>
            </w:r>
            <w:r>
              <w:rPr>
                <w:rFonts w:ascii="Times New Roman" w:eastAsia="宋体" w:hAnsi="Times New Roman" w:cs="Times New Roman"/>
                <w:szCs w:val="21"/>
                <w:lang w:val="zh-TW" w:eastAsia="zh-TW"/>
              </w:rPr>
              <w:t>范围内人口总数大于</w:t>
            </w:r>
            <w:r>
              <w:rPr>
                <w:rFonts w:ascii="Times New Roman" w:eastAsia="宋体" w:hAnsi="Times New Roman" w:cs="Times New Roman"/>
                <w:szCs w:val="21"/>
                <w:lang w:val="zh-TW" w:eastAsia="zh-TW"/>
              </w:rPr>
              <w:t>1000</w:t>
            </w:r>
            <w:r>
              <w:rPr>
                <w:rFonts w:ascii="Times New Roman" w:eastAsia="宋体" w:hAnsi="Times New Roman" w:cs="Times New Roman"/>
                <w:szCs w:val="21"/>
                <w:lang w:val="zh-TW" w:eastAsia="zh-TW"/>
              </w:rPr>
              <w:t>人；油气、化</w:t>
            </w:r>
            <w:r>
              <w:rPr>
                <w:rFonts w:ascii="Times New Roman" w:eastAsia="宋体" w:hAnsi="Times New Roman" w:cs="Times New Roman"/>
                <w:szCs w:val="21"/>
                <w:lang w:val="zh-TW" w:eastAsia="zh-TW"/>
              </w:rPr>
              <w:t xml:space="preserve"> </w:t>
            </w:r>
            <w:r>
              <w:rPr>
                <w:rFonts w:ascii="Times New Roman" w:eastAsia="宋体" w:hAnsi="Times New Roman" w:cs="Times New Roman"/>
                <w:szCs w:val="21"/>
                <w:lang w:val="zh-TW" w:eastAsia="zh-TW"/>
              </w:rPr>
              <w:t>学品输送管线管段周边</w:t>
            </w:r>
            <w:r>
              <w:rPr>
                <w:rFonts w:ascii="Times New Roman" w:eastAsia="宋体" w:hAnsi="Times New Roman" w:cs="Times New Roman"/>
                <w:szCs w:val="21"/>
                <w:lang w:val="zh-TW" w:eastAsia="zh-TW"/>
              </w:rPr>
              <w:t xml:space="preserve">200 </w:t>
            </w:r>
            <w:r>
              <w:rPr>
                <w:rFonts w:ascii="Times New Roman" w:eastAsia="宋体" w:hAnsi="Times New Roman" w:cs="Times New Roman"/>
                <w:kern w:val="0"/>
                <w:szCs w:val="21"/>
              </w:rPr>
              <w:t>m</w:t>
            </w:r>
            <w:r>
              <w:rPr>
                <w:rFonts w:ascii="Times New Roman" w:eastAsia="宋体" w:hAnsi="Times New Roman" w:cs="Times New Roman"/>
                <w:szCs w:val="21"/>
                <w:lang w:val="zh-TW" w:eastAsia="zh-TW"/>
              </w:rPr>
              <w:t>范围内，每千米管段人口数大于</w:t>
            </w:r>
            <w:r>
              <w:rPr>
                <w:rFonts w:ascii="Times New Roman" w:eastAsia="宋体" w:hAnsi="Times New Roman" w:cs="Times New Roman"/>
                <w:szCs w:val="21"/>
                <w:lang w:val="zh-TW" w:eastAsia="zh-TW"/>
              </w:rPr>
              <w:t>200</w:t>
            </w:r>
            <w:r>
              <w:rPr>
                <w:rFonts w:ascii="Times New Roman" w:eastAsia="宋体" w:hAnsi="Times New Roman" w:cs="Times New Roman"/>
                <w:szCs w:val="21"/>
                <w:lang w:val="zh-TW" w:eastAsia="zh-TW"/>
              </w:rPr>
              <w:t>人</w:t>
            </w:r>
          </w:p>
        </w:tc>
      </w:tr>
      <w:tr w:rsidR="002133E3" w14:paraId="4737E2FC" w14:textId="77777777">
        <w:trPr>
          <w:trHeight w:val="284"/>
          <w:jc w:val="center"/>
        </w:trPr>
        <w:tc>
          <w:tcPr>
            <w:tcW w:w="387" w:type="pct"/>
            <w:tcBorders>
              <w:top w:val="single" w:sz="4" w:space="0" w:color="auto"/>
              <w:left w:val="single" w:sz="4" w:space="0" w:color="auto"/>
              <w:bottom w:val="nil"/>
              <w:right w:val="nil"/>
            </w:tcBorders>
            <w:vAlign w:val="center"/>
          </w:tcPr>
          <w:p w14:paraId="30D72E6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E</w:t>
            </w:r>
            <w:r>
              <w:rPr>
                <w:rFonts w:ascii="Times New Roman" w:eastAsia="宋体" w:hAnsi="Times New Roman" w:cs="Times New Roman"/>
                <w:szCs w:val="21"/>
              </w:rPr>
              <w:t>2</w:t>
            </w:r>
          </w:p>
        </w:tc>
        <w:tc>
          <w:tcPr>
            <w:tcW w:w="4613" w:type="pct"/>
            <w:tcBorders>
              <w:top w:val="single" w:sz="4" w:space="0" w:color="auto"/>
              <w:left w:val="single" w:sz="4" w:space="0" w:color="auto"/>
              <w:bottom w:val="nil"/>
              <w:right w:val="single" w:sz="4" w:space="0" w:color="auto"/>
            </w:tcBorders>
          </w:tcPr>
          <w:p w14:paraId="4A1CA021"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szCs w:val="21"/>
                <w:lang w:val="zh-TW" w:eastAsia="zh-TW"/>
              </w:rPr>
              <w:t>周边</w:t>
            </w:r>
            <w:r>
              <w:rPr>
                <w:rFonts w:ascii="Times New Roman" w:eastAsia="宋体" w:hAnsi="Times New Roman" w:cs="Times New Roman"/>
                <w:szCs w:val="21"/>
                <w:lang w:val="zh-TW" w:eastAsia="zh-TW"/>
              </w:rPr>
              <w:t xml:space="preserve">5 </w:t>
            </w:r>
            <w:r>
              <w:rPr>
                <w:rFonts w:ascii="Times New Roman" w:eastAsia="宋体" w:hAnsi="Times New Roman" w:cs="Times New Roman"/>
                <w:kern w:val="0"/>
                <w:szCs w:val="21"/>
              </w:rPr>
              <w:t>km</w:t>
            </w:r>
            <w:r>
              <w:rPr>
                <w:rFonts w:ascii="Times New Roman" w:eastAsia="宋体" w:hAnsi="Times New Roman" w:cs="Times New Roman"/>
                <w:szCs w:val="21"/>
                <w:lang w:val="zh-TW" w:eastAsia="zh-TW"/>
              </w:rPr>
              <w:t>范围内居住区、医疗卫生、文化教育、科研、行政办公等机构人口总数大于</w:t>
            </w:r>
            <w:r>
              <w:rPr>
                <w:rFonts w:ascii="Times New Roman" w:eastAsia="宋体" w:hAnsi="Times New Roman" w:cs="Times New Roman"/>
                <w:szCs w:val="21"/>
                <w:lang w:val="zh-TW" w:eastAsia="zh-TW"/>
              </w:rPr>
              <w:t xml:space="preserve">1 </w:t>
            </w:r>
            <w:r>
              <w:rPr>
                <w:rFonts w:ascii="Times New Roman" w:eastAsia="宋体" w:hAnsi="Times New Roman" w:cs="Times New Roman"/>
                <w:szCs w:val="21"/>
                <w:lang w:val="zh-TW" w:eastAsia="zh-TW"/>
              </w:rPr>
              <w:t>万人，小于</w:t>
            </w:r>
            <w:r>
              <w:rPr>
                <w:rFonts w:ascii="Times New Roman" w:eastAsia="宋体" w:hAnsi="Times New Roman" w:cs="Times New Roman"/>
                <w:szCs w:val="21"/>
                <w:lang w:val="zh-TW" w:eastAsia="zh-TW"/>
              </w:rPr>
              <w:t>5</w:t>
            </w:r>
            <w:r>
              <w:rPr>
                <w:rFonts w:ascii="Times New Roman" w:eastAsia="宋体" w:hAnsi="Times New Roman" w:cs="Times New Roman"/>
                <w:szCs w:val="21"/>
                <w:lang w:val="zh-TW" w:eastAsia="zh-TW"/>
              </w:rPr>
              <w:t>万人；或周边</w:t>
            </w:r>
            <w:r>
              <w:rPr>
                <w:rFonts w:ascii="Times New Roman" w:eastAsia="宋体" w:hAnsi="Times New Roman" w:cs="Times New Roman"/>
                <w:szCs w:val="21"/>
              </w:rPr>
              <w:t xml:space="preserve">500 </w:t>
            </w:r>
            <w:r>
              <w:rPr>
                <w:rFonts w:ascii="Times New Roman" w:eastAsia="宋体" w:hAnsi="Times New Roman" w:cs="Times New Roman"/>
                <w:kern w:val="0"/>
                <w:szCs w:val="21"/>
              </w:rPr>
              <w:t>m</w:t>
            </w:r>
            <w:r>
              <w:rPr>
                <w:rFonts w:ascii="Times New Roman" w:eastAsia="宋体" w:hAnsi="Times New Roman" w:cs="Times New Roman"/>
                <w:szCs w:val="21"/>
                <w:lang w:val="zh-TW" w:eastAsia="zh-TW"/>
              </w:rPr>
              <w:t>范围内人口总数大于</w:t>
            </w:r>
            <w:r>
              <w:rPr>
                <w:rFonts w:ascii="Times New Roman" w:eastAsia="宋体" w:hAnsi="Times New Roman" w:cs="Times New Roman"/>
                <w:szCs w:val="21"/>
                <w:lang w:val="zh-TW" w:eastAsia="zh-TW"/>
              </w:rPr>
              <w:t>500</w:t>
            </w:r>
            <w:r>
              <w:rPr>
                <w:rFonts w:ascii="Times New Roman" w:eastAsia="宋体" w:hAnsi="Times New Roman" w:cs="Times New Roman"/>
                <w:szCs w:val="21"/>
                <w:lang w:val="zh-TW" w:eastAsia="zh-TW"/>
              </w:rPr>
              <w:t>人，小于</w:t>
            </w:r>
            <w:r>
              <w:rPr>
                <w:rFonts w:ascii="Times New Roman" w:eastAsia="宋体" w:hAnsi="Times New Roman" w:cs="Times New Roman"/>
                <w:szCs w:val="21"/>
                <w:lang w:val="zh-TW" w:eastAsia="zh-TW"/>
              </w:rPr>
              <w:t>1000</w:t>
            </w:r>
            <w:r>
              <w:rPr>
                <w:rFonts w:ascii="Times New Roman" w:eastAsia="宋体" w:hAnsi="Times New Roman" w:cs="Times New Roman"/>
                <w:szCs w:val="21"/>
                <w:lang w:val="zh-TW" w:eastAsia="zh-TW"/>
              </w:rPr>
              <w:t>人；油气、化</w:t>
            </w:r>
            <w:r>
              <w:rPr>
                <w:rFonts w:ascii="Times New Roman" w:eastAsia="宋体" w:hAnsi="Times New Roman" w:cs="Times New Roman"/>
                <w:szCs w:val="21"/>
                <w:lang w:val="zh-TW" w:eastAsia="zh-TW"/>
              </w:rPr>
              <w:t xml:space="preserve"> </w:t>
            </w:r>
            <w:r>
              <w:rPr>
                <w:rFonts w:ascii="Times New Roman" w:eastAsia="宋体" w:hAnsi="Times New Roman" w:cs="Times New Roman"/>
                <w:szCs w:val="21"/>
                <w:lang w:val="zh-TW" w:eastAsia="zh-TW"/>
              </w:rPr>
              <w:t>学品输送管线管段周边</w:t>
            </w:r>
            <w:r>
              <w:rPr>
                <w:rFonts w:ascii="Times New Roman" w:eastAsia="宋体" w:hAnsi="Times New Roman" w:cs="Times New Roman"/>
                <w:szCs w:val="21"/>
              </w:rPr>
              <w:t xml:space="preserve">200 </w:t>
            </w:r>
            <w:r>
              <w:rPr>
                <w:rFonts w:ascii="Times New Roman" w:eastAsia="宋体" w:hAnsi="Times New Roman" w:cs="Times New Roman"/>
                <w:kern w:val="0"/>
                <w:szCs w:val="21"/>
              </w:rPr>
              <w:t>m</w:t>
            </w:r>
            <w:r>
              <w:rPr>
                <w:rFonts w:ascii="Times New Roman" w:eastAsia="宋体" w:hAnsi="Times New Roman" w:cs="Times New Roman"/>
                <w:szCs w:val="21"/>
                <w:lang w:val="zh-TW" w:eastAsia="zh-TW"/>
              </w:rPr>
              <w:t>范围内，每千米管段人口数大于</w:t>
            </w:r>
            <w:r>
              <w:rPr>
                <w:rFonts w:ascii="Times New Roman" w:eastAsia="宋体" w:hAnsi="Times New Roman" w:cs="Times New Roman"/>
                <w:szCs w:val="21"/>
                <w:lang w:val="zh-TW" w:eastAsia="zh-TW"/>
              </w:rPr>
              <w:t>100</w:t>
            </w:r>
            <w:r>
              <w:rPr>
                <w:rFonts w:ascii="Times New Roman" w:eastAsia="宋体" w:hAnsi="Times New Roman" w:cs="Times New Roman"/>
                <w:szCs w:val="21"/>
                <w:lang w:val="zh-TW" w:eastAsia="zh-TW"/>
              </w:rPr>
              <w:t>人，小于</w:t>
            </w:r>
            <w:r>
              <w:rPr>
                <w:rFonts w:ascii="Times New Roman" w:eastAsia="宋体" w:hAnsi="Times New Roman" w:cs="Times New Roman"/>
                <w:szCs w:val="21"/>
                <w:lang w:val="zh-TW" w:eastAsia="zh-TW"/>
              </w:rPr>
              <w:t>200</w:t>
            </w:r>
            <w:r>
              <w:rPr>
                <w:rFonts w:ascii="Times New Roman" w:eastAsia="宋体" w:hAnsi="Times New Roman" w:cs="Times New Roman"/>
                <w:szCs w:val="21"/>
                <w:lang w:val="zh-TW" w:eastAsia="zh-TW"/>
              </w:rPr>
              <w:t>人</w:t>
            </w:r>
          </w:p>
        </w:tc>
      </w:tr>
      <w:tr w:rsidR="002133E3" w14:paraId="35117ED1" w14:textId="77777777">
        <w:trPr>
          <w:trHeight w:val="284"/>
          <w:jc w:val="center"/>
        </w:trPr>
        <w:tc>
          <w:tcPr>
            <w:tcW w:w="387" w:type="pct"/>
            <w:tcBorders>
              <w:top w:val="single" w:sz="4" w:space="0" w:color="auto"/>
              <w:left w:val="single" w:sz="4" w:space="0" w:color="auto"/>
              <w:bottom w:val="single" w:sz="4" w:space="0" w:color="auto"/>
              <w:right w:val="nil"/>
            </w:tcBorders>
            <w:vAlign w:val="center"/>
          </w:tcPr>
          <w:p w14:paraId="460BC4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E</w:t>
            </w:r>
            <w:r>
              <w:rPr>
                <w:rFonts w:ascii="Times New Roman" w:eastAsia="宋体" w:hAnsi="Times New Roman" w:cs="Times New Roman"/>
                <w:szCs w:val="21"/>
              </w:rPr>
              <w:t>3</w:t>
            </w:r>
          </w:p>
        </w:tc>
        <w:tc>
          <w:tcPr>
            <w:tcW w:w="4613" w:type="pct"/>
            <w:tcBorders>
              <w:top w:val="single" w:sz="4" w:space="0" w:color="auto"/>
              <w:left w:val="single" w:sz="4" w:space="0" w:color="auto"/>
              <w:bottom w:val="single" w:sz="4" w:space="0" w:color="auto"/>
              <w:right w:val="single" w:sz="4" w:space="0" w:color="auto"/>
            </w:tcBorders>
          </w:tcPr>
          <w:p w14:paraId="4C8F6B3A"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szCs w:val="21"/>
                <w:lang w:val="zh-TW" w:eastAsia="zh-TW"/>
              </w:rPr>
              <w:t>周边</w:t>
            </w:r>
            <w:r>
              <w:rPr>
                <w:rFonts w:ascii="Times New Roman" w:eastAsia="宋体" w:hAnsi="Times New Roman" w:cs="Times New Roman"/>
                <w:szCs w:val="21"/>
                <w:lang w:val="zh-TW" w:eastAsia="zh-TW"/>
              </w:rPr>
              <w:t xml:space="preserve">5 </w:t>
            </w:r>
            <w:r>
              <w:rPr>
                <w:rFonts w:ascii="Times New Roman" w:eastAsia="宋体" w:hAnsi="Times New Roman" w:cs="Times New Roman"/>
                <w:kern w:val="0"/>
                <w:szCs w:val="21"/>
              </w:rPr>
              <w:t>km</w:t>
            </w:r>
            <w:r>
              <w:rPr>
                <w:rFonts w:ascii="Times New Roman" w:eastAsia="宋体" w:hAnsi="Times New Roman" w:cs="Times New Roman"/>
                <w:szCs w:val="21"/>
                <w:lang w:val="zh-TW" w:eastAsia="zh-TW"/>
              </w:rPr>
              <w:t>范围内居住区、医疗卫生、文化教育、科研、行政办公等机构人口总数小于</w:t>
            </w:r>
            <w:r>
              <w:rPr>
                <w:rFonts w:ascii="Times New Roman" w:eastAsia="宋体" w:hAnsi="Times New Roman" w:cs="Times New Roman"/>
                <w:szCs w:val="21"/>
                <w:lang w:val="zh-TW" w:eastAsia="zh-TW"/>
              </w:rPr>
              <w:t xml:space="preserve">1 </w:t>
            </w:r>
            <w:r>
              <w:rPr>
                <w:rFonts w:ascii="Times New Roman" w:eastAsia="宋体" w:hAnsi="Times New Roman" w:cs="Times New Roman"/>
                <w:szCs w:val="21"/>
                <w:lang w:val="zh-TW" w:eastAsia="zh-TW"/>
              </w:rPr>
              <w:t>万人</w:t>
            </w:r>
            <w:r>
              <w:rPr>
                <w:rFonts w:ascii="Times New Roman" w:eastAsia="宋体" w:hAnsi="Times New Roman" w:cs="Times New Roman"/>
                <w:kern w:val="0"/>
                <w:szCs w:val="21"/>
                <w:lang w:val="zh-TW" w:eastAsia="zh-TW"/>
              </w:rPr>
              <w:t>；</w:t>
            </w:r>
            <w:r>
              <w:rPr>
                <w:rFonts w:ascii="Times New Roman" w:eastAsia="宋体" w:hAnsi="Times New Roman" w:cs="Times New Roman"/>
                <w:szCs w:val="21"/>
                <w:lang w:val="zh-TW" w:eastAsia="zh-TW"/>
              </w:rPr>
              <w:t>或周边</w:t>
            </w:r>
            <w:r>
              <w:rPr>
                <w:rFonts w:ascii="Times New Roman" w:eastAsia="宋体" w:hAnsi="Times New Roman" w:cs="Times New Roman"/>
                <w:szCs w:val="21"/>
              </w:rPr>
              <w:t>500</w:t>
            </w:r>
            <w:r>
              <w:rPr>
                <w:rFonts w:ascii="Times New Roman" w:eastAsia="宋体" w:hAnsi="Times New Roman" w:cs="Times New Roman"/>
                <w:kern w:val="0"/>
                <w:szCs w:val="21"/>
              </w:rPr>
              <w:t>m</w:t>
            </w:r>
            <w:r>
              <w:rPr>
                <w:rFonts w:ascii="Times New Roman" w:eastAsia="宋体" w:hAnsi="Times New Roman" w:cs="Times New Roman"/>
                <w:szCs w:val="21"/>
                <w:lang w:val="zh-TW" w:eastAsia="zh-TW"/>
              </w:rPr>
              <w:t>范围内人口总数小于</w:t>
            </w:r>
            <w:r>
              <w:rPr>
                <w:rFonts w:ascii="Times New Roman" w:eastAsia="宋体" w:hAnsi="Times New Roman" w:cs="Times New Roman"/>
                <w:szCs w:val="21"/>
                <w:lang w:val="zh-TW" w:eastAsia="zh-TW"/>
              </w:rPr>
              <w:t>500</w:t>
            </w:r>
            <w:r>
              <w:rPr>
                <w:rFonts w:ascii="Times New Roman" w:eastAsia="宋体" w:hAnsi="Times New Roman" w:cs="Times New Roman"/>
                <w:szCs w:val="21"/>
                <w:lang w:val="zh-TW" w:eastAsia="zh-TW"/>
              </w:rPr>
              <w:t>人</w:t>
            </w:r>
            <w:r>
              <w:rPr>
                <w:rFonts w:ascii="Times New Roman" w:eastAsia="宋体" w:hAnsi="Times New Roman" w:cs="Times New Roman"/>
                <w:kern w:val="0"/>
                <w:szCs w:val="21"/>
                <w:lang w:val="zh-TW" w:eastAsia="zh-TW"/>
              </w:rPr>
              <w:t>；</w:t>
            </w:r>
            <w:r>
              <w:rPr>
                <w:rFonts w:ascii="Times New Roman" w:eastAsia="宋体" w:hAnsi="Times New Roman" w:cs="Times New Roman"/>
                <w:szCs w:val="21"/>
                <w:lang w:val="zh-TW" w:eastAsia="zh-TW"/>
              </w:rPr>
              <w:t>油气</w:t>
            </w:r>
            <w:r>
              <w:rPr>
                <w:rFonts w:ascii="Times New Roman" w:eastAsia="宋体" w:hAnsi="Times New Roman" w:cs="Times New Roman"/>
                <w:kern w:val="0"/>
                <w:szCs w:val="21"/>
                <w:lang w:val="zh-TW" w:eastAsia="zh-TW"/>
              </w:rPr>
              <w:t>、</w:t>
            </w:r>
            <w:r>
              <w:rPr>
                <w:rFonts w:ascii="Times New Roman" w:eastAsia="宋体" w:hAnsi="Times New Roman" w:cs="Times New Roman"/>
                <w:szCs w:val="21"/>
                <w:lang w:val="zh-TW" w:eastAsia="zh-TW"/>
              </w:rPr>
              <w:t>化学品输送管线管段周边</w:t>
            </w:r>
            <w:r>
              <w:rPr>
                <w:rFonts w:ascii="Times New Roman" w:eastAsia="宋体" w:hAnsi="Times New Roman" w:cs="Times New Roman"/>
                <w:szCs w:val="21"/>
              </w:rPr>
              <w:t>200</w:t>
            </w:r>
            <w:r>
              <w:rPr>
                <w:rFonts w:ascii="Times New Roman" w:eastAsia="宋体" w:hAnsi="Times New Roman" w:cs="Times New Roman"/>
                <w:kern w:val="0"/>
                <w:szCs w:val="21"/>
              </w:rPr>
              <w:t xml:space="preserve">m </w:t>
            </w:r>
            <w:r>
              <w:rPr>
                <w:rFonts w:ascii="Times New Roman" w:eastAsia="宋体" w:hAnsi="Times New Roman" w:cs="Times New Roman"/>
                <w:szCs w:val="21"/>
                <w:lang w:val="zh-TW" w:eastAsia="zh-TW"/>
              </w:rPr>
              <w:t>范围内，每千米管段人口数小于</w:t>
            </w:r>
            <w:r>
              <w:rPr>
                <w:rFonts w:ascii="Times New Roman" w:eastAsia="宋体" w:hAnsi="Times New Roman" w:cs="Times New Roman"/>
                <w:szCs w:val="21"/>
                <w:lang w:val="zh-TW" w:eastAsia="zh-TW"/>
              </w:rPr>
              <w:t>100</w:t>
            </w:r>
            <w:r>
              <w:rPr>
                <w:rFonts w:ascii="Times New Roman" w:eastAsia="宋体" w:hAnsi="Times New Roman" w:cs="Times New Roman"/>
                <w:szCs w:val="21"/>
                <w:lang w:val="zh-TW" w:eastAsia="zh-TW"/>
              </w:rPr>
              <w:t>人</w:t>
            </w:r>
          </w:p>
        </w:tc>
      </w:tr>
    </w:tbl>
    <w:p w14:paraId="7B3ADD3B" w14:textId="77777777" w:rsidR="002133E3" w:rsidRDefault="00C22CFA">
      <w:pPr>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lastRenderedPageBreak/>
        <w:t>经调查，统计包括区域规划的人口在内，本项目周边</w:t>
      </w:r>
      <w:r>
        <w:rPr>
          <w:rFonts w:ascii="Times New Roman" w:eastAsia="宋体" w:hAnsi="Times New Roman" w:cs="Times New Roman"/>
          <w:sz w:val="28"/>
          <w:szCs w:val="24"/>
        </w:rPr>
        <w:t>5km</w:t>
      </w:r>
      <w:r>
        <w:rPr>
          <w:rFonts w:ascii="Times New Roman" w:eastAsia="宋体" w:hAnsi="Times New Roman" w:cs="Times New Roman"/>
          <w:sz w:val="28"/>
          <w:szCs w:val="24"/>
        </w:rPr>
        <w:t>范围内人口大于</w:t>
      </w:r>
      <w:r>
        <w:rPr>
          <w:rFonts w:ascii="Times New Roman" w:eastAsia="宋体" w:hAnsi="Times New Roman" w:cs="Times New Roman"/>
          <w:sz w:val="28"/>
          <w:szCs w:val="24"/>
        </w:rPr>
        <w:t>5</w:t>
      </w:r>
      <w:r>
        <w:rPr>
          <w:rFonts w:ascii="Times New Roman" w:eastAsia="宋体" w:hAnsi="Times New Roman" w:cs="Times New Roman"/>
          <w:sz w:val="28"/>
          <w:szCs w:val="24"/>
        </w:rPr>
        <w:t>万人，大气环境敏感程度为</w:t>
      </w:r>
      <w:r>
        <w:rPr>
          <w:rFonts w:ascii="Times New Roman" w:eastAsia="宋体" w:hAnsi="Times New Roman" w:cs="Times New Roman"/>
          <w:sz w:val="28"/>
          <w:szCs w:val="24"/>
        </w:rPr>
        <w:t>E1</w:t>
      </w:r>
      <w:r>
        <w:rPr>
          <w:rFonts w:ascii="Times New Roman" w:eastAsia="宋体" w:hAnsi="Times New Roman" w:cs="Times New Roman"/>
          <w:sz w:val="28"/>
          <w:szCs w:val="24"/>
        </w:rPr>
        <w:t>。则大气环境风险潜势为</w:t>
      </w:r>
      <w:r>
        <w:rPr>
          <w:rFonts w:ascii="Times New Roman" w:eastAsia="宋体" w:hAnsi="Times New Roman" w:cs="Times New Roman"/>
          <w:sz w:val="28"/>
          <w:szCs w:val="24"/>
        </w:rPr>
        <w:t>III</w:t>
      </w:r>
      <w:r>
        <w:rPr>
          <w:rFonts w:ascii="Times New Roman" w:eastAsia="宋体" w:hAnsi="Times New Roman" w:cs="Times New Roman"/>
          <w:sz w:val="28"/>
          <w:szCs w:val="24"/>
        </w:rPr>
        <w:t>级。</w:t>
      </w:r>
    </w:p>
    <w:p w14:paraId="1C462150" w14:textId="77777777" w:rsidR="002133E3" w:rsidRDefault="00C22CFA">
      <w:pPr>
        <w:spacing w:line="500" w:lineRule="exact"/>
        <w:ind w:firstLineChars="200" w:firstLine="562"/>
        <w:jc w:val="left"/>
        <w:rPr>
          <w:rFonts w:ascii="Times New Roman" w:eastAsia="宋体" w:hAnsi="Times New Roman" w:cs="Times New Roman"/>
          <w:b/>
          <w:bCs/>
          <w:kern w:val="0"/>
          <w:sz w:val="28"/>
          <w:szCs w:val="20"/>
        </w:rPr>
      </w:pPr>
      <w:r>
        <w:rPr>
          <w:rFonts w:ascii="Times New Roman" w:eastAsia="宋体" w:hAnsi="Times New Roman" w:cs="Times New Roman"/>
          <w:b/>
          <w:bCs/>
          <w:kern w:val="0"/>
          <w:sz w:val="28"/>
          <w:szCs w:val="20"/>
        </w:rPr>
        <w:t xml:space="preserve">(2) </w:t>
      </w:r>
      <w:r>
        <w:rPr>
          <w:rFonts w:ascii="Times New Roman" w:eastAsia="宋体" w:hAnsi="Times New Roman" w:cs="Times New Roman"/>
          <w:b/>
          <w:bCs/>
          <w:kern w:val="0"/>
          <w:sz w:val="28"/>
          <w:szCs w:val="20"/>
        </w:rPr>
        <w:t>地表水环境</w:t>
      </w:r>
    </w:p>
    <w:p w14:paraId="4978BDB9" w14:textId="77777777" w:rsidR="002133E3" w:rsidRDefault="00C22CFA">
      <w:pPr>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依据事故情况下危险物质泄漏到水体的排放点受纳水体功能敏感性，与下游环境敏感目标情况，共分为三种类型，</w:t>
      </w:r>
      <w:r>
        <w:rPr>
          <w:rFonts w:ascii="Times New Roman" w:eastAsia="宋体" w:hAnsi="Times New Roman" w:cs="Times New Roman"/>
          <w:kern w:val="0"/>
          <w:sz w:val="28"/>
          <w:szCs w:val="20"/>
        </w:rPr>
        <w:t>E1</w:t>
      </w:r>
      <w:r>
        <w:rPr>
          <w:rFonts w:ascii="Times New Roman" w:eastAsia="宋体" w:hAnsi="Times New Roman" w:cs="Times New Roman"/>
          <w:kern w:val="0"/>
          <w:sz w:val="28"/>
          <w:szCs w:val="20"/>
        </w:rPr>
        <w:t>为环境高度敏感区，</w:t>
      </w:r>
      <w:r>
        <w:rPr>
          <w:rFonts w:ascii="Times New Roman" w:eastAsia="宋体" w:hAnsi="Times New Roman" w:cs="Times New Roman"/>
          <w:kern w:val="0"/>
          <w:sz w:val="28"/>
          <w:szCs w:val="20"/>
        </w:rPr>
        <w:t>E2</w:t>
      </w:r>
      <w:r>
        <w:rPr>
          <w:rFonts w:ascii="Times New Roman" w:eastAsia="宋体" w:hAnsi="Times New Roman" w:cs="Times New Roman"/>
          <w:kern w:val="0"/>
          <w:sz w:val="28"/>
          <w:szCs w:val="20"/>
        </w:rPr>
        <w:t>为环境中度敏感区，</w:t>
      </w:r>
      <w:r>
        <w:rPr>
          <w:rFonts w:ascii="Times New Roman" w:eastAsia="宋体" w:hAnsi="Times New Roman" w:cs="Times New Roman"/>
          <w:kern w:val="0"/>
          <w:sz w:val="28"/>
          <w:szCs w:val="20"/>
        </w:rPr>
        <w:t>E3</w:t>
      </w:r>
      <w:r>
        <w:rPr>
          <w:rFonts w:ascii="Times New Roman" w:eastAsia="宋体" w:hAnsi="Times New Roman" w:cs="Times New Roman"/>
          <w:kern w:val="0"/>
          <w:sz w:val="28"/>
          <w:szCs w:val="20"/>
        </w:rPr>
        <w:t>为环境低度敏感区，分级原则见表</w:t>
      </w:r>
      <w:r>
        <w:rPr>
          <w:rFonts w:ascii="Times New Roman" w:eastAsia="宋体" w:hAnsi="Times New Roman" w:cs="Times New Roman"/>
          <w:kern w:val="0"/>
          <w:sz w:val="28"/>
          <w:szCs w:val="20"/>
        </w:rPr>
        <w:t>4.6-9</w:t>
      </w:r>
      <w:r>
        <w:rPr>
          <w:rFonts w:ascii="Times New Roman" w:eastAsia="宋体" w:hAnsi="Times New Roman" w:cs="Times New Roman"/>
          <w:kern w:val="0"/>
          <w:sz w:val="28"/>
          <w:szCs w:val="20"/>
        </w:rPr>
        <w:t>。</w:t>
      </w:r>
    </w:p>
    <w:p w14:paraId="38133CDF" w14:textId="77777777" w:rsidR="002133E3" w:rsidRDefault="00C22CFA">
      <w:pPr>
        <w:adjustRightInd w:val="0"/>
        <w:snapToGrid w:val="0"/>
        <w:spacing w:line="500" w:lineRule="exact"/>
        <w:jc w:val="center"/>
        <w:rPr>
          <w:rFonts w:ascii="Times New Roman" w:eastAsia="宋体" w:hAnsi="Times New Roman" w:cs="Times New Roman"/>
          <w:b/>
          <w:kern w:val="0"/>
          <w:szCs w:val="18"/>
        </w:rPr>
      </w:pPr>
      <w:r>
        <w:rPr>
          <w:rFonts w:ascii="Times New Roman" w:eastAsia="宋体" w:hAnsi="Times New Roman" w:cs="Times New Roman"/>
          <w:b/>
          <w:kern w:val="0"/>
          <w:szCs w:val="18"/>
        </w:rPr>
        <w:t>表</w:t>
      </w:r>
      <w:r>
        <w:rPr>
          <w:rFonts w:ascii="Times New Roman" w:eastAsia="宋体" w:hAnsi="Times New Roman" w:cs="Times New Roman"/>
          <w:b/>
          <w:kern w:val="0"/>
          <w:szCs w:val="18"/>
        </w:rPr>
        <w:t xml:space="preserve">4.6-9 </w:t>
      </w:r>
      <w:r>
        <w:rPr>
          <w:rFonts w:ascii="Times New Roman" w:eastAsia="宋体" w:hAnsi="Times New Roman" w:cs="Times New Roman"/>
          <w:b/>
          <w:kern w:val="0"/>
          <w:szCs w:val="18"/>
        </w:rPr>
        <w:t>地表水环境敏感程度分级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9"/>
        <w:gridCol w:w="2341"/>
        <w:gridCol w:w="2186"/>
        <w:gridCol w:w="2678"/>
      </w:tblGrid>
      <w:tr w:rsidR="002133E3" w14:paraId="27A23A11" w14:textId="77777777">
        <w:trPr>
          <w:jc w:val="center"/>
        </w:trPr>
        <w:tc>
          <w:tcPr>
            <w:tcW w:w="1344" w:type="pct"/>
            <w:vMerge w:val="restart"/>
            <w:vAlign w:val="center"/>
          </w:tcPr>
          <w:p w14:paraId="5513089C"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环境敏感目标</w:t>
            </w:r>
          </w:p>
        </w:tc>
        <w:tc>
          <w:tcPr>
            <w:tcW w:w="3656" w:type="pct"/>
            <w:gridSpan w:val="3"/>
            <w:vAlign w:val="center"/>
          </w:tcPr>
          <w:p w14:paraId="563E1B18" w14:textId="77777777" w:rsidR="002133E3" w:rsidRDefault="00C22CFA">
            <w:pPr>
              <w:tabs>
                <w:tab w:val="left" w:pos="696"/>
                <w:tab w:val="center" w:pos="3163"/>
              </w:tabs>
              <w:jc w:val="center"/>
              <w:rPr>
                <w:rFonts w:ascii="Times New Roman" w:eastAsia="宋体" w:hAnsi="Times New Roman" w:cs="Times New Roman"/>
                <w:kern w:val="0"/>
                <w:szCs w:val="18"/>
              </w:rPr>
            </w:pPr>
            <w:r>
              <w:rPr>
                <w:rFonts w:ascii="Times New Roman" w:eastAsia="宋体" w:hAnsi="Times New Roman" w:cs="Times New Roman"/>
                <w:kern w:val="0"/>
                <w:szCs w:val="18"/>
              </w:rPr>
              <w:t>地表水功能敏感性</w:t>
            </w:r>
          </w:p>
        </w:tc>
      </w:tr>
      <w:tr w:rsidR="002133E3" w14:paraId="4CF787BF" w14:textId="77777777">
        <w:trPr>
          <w:jc w:val="center"/>
        </w:trPr>
        <w:tc>
          <w:tcPr>
            <w:tcW w:w="1344" w:type="pct"/>
            <w:vMerge/>
            <w:vAlign w:val="center"/>
          </w:tcPr>
          <w:p w14:paraId="159A698E" w14:textId="77777777" w:rsidR="002133E3" w:rsidRDefault="002133E3">
            <w:pPr>
              <w:jc w:val="center"/>
              <w:rPr>
                <w:rFonts w:ascii="Times New Roman" w:eastAsia="宋体" w:hAnsi="Times New Roman" w:cs="Times New Roman"/>
                <w:kern w:val="0"/>
                <w:szCs w:val="18"/>
              </w:rPr>
            </w:pPr>
          </w:p>
        </w:tc>
        <w:tc>
          <w:tcPr>
            <w:tcW w:w="1188" w:type="pct"/>
            <w:vAlign w:val="center"/>
          </w:tcPr>
          <w:p w14:paraId="5FD03C15"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F1</w:t>
            </w:r>
          </w:p>
        </w:tc>
        <w:tc>
          <w:tcPr>
            <w:tcW w:w="1109" w:type="pct"/>
            <w:vAlign w:val="center"/>
          </w:tcPr>
          <w:p w14:paraId="529DE71E"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F2</w:t>
            </w:r>
          </w:p>
        </w:tc>
        <w:tc>
          <w:tcPr>
            <w:tcW w:w="1359" w:type="pct"/>
            <w:vAlign w:val="center"/>
          </w:tcPr>
          <w:p w14:paraId="0EB83C8C"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F3</w:t>
            </w:r>
          </w:p>
        </w:tc>
      </w:tr>
      <w:tr w:rsidR="002133E3" w14:paraId="784426DF" w14:textId="77777777">
        <w:trPr>
          <w:jc w:val="center"/>
        </w:trPr>
        <w:tc>
          <w:tcPr>
            <w:tcW w:w="1344" w:type="pct"/>
            <w:shd w:val="clear" w:color="auto" w:fill="auto"/>
            <w:vAlign w:val="center"/>
          </w:tcPr>
          <w:p w14:paraId="4F1F8FC4"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S1</w:t>
            </w:r>
          </w:p>
        </w:tc>
        <w:tc>
          <w:tcPr>
            <w:tcW w:w="1188" w:type="pct"/>
            <w:shd w:val="clear" w:color="auto" w:fill="auto"/>
            <w:vAlign w:val="center"/>
          </w:tcPr>
          <w:p w14:paraId="08DB22D4"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E1</w:t>
            </w:r>
          </w:p>
        </w:tc>
        <w:tc>
          <w:tcPr>
            <w:tcW w:w="1109" w:type="pct"/>
            <w:shd w:val="clear" w:color="auto" w:fill="auto"/>
            <w:vAlign w:val="center"/>
          </w:tcPr>
          <w:p w14:paraId="59D3E393"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E1</w:t>
            </w:r>
          </w:p>
        </w:tc>
        <w:tc>
          <w:tcPr>
            <w:tcW w:w="1359" w:type="pct"/>
            <w:shd w:val="clear" w:color="auto" w:fill="FFFFFF"/>
            <w:vAlign w:val="center"/>
          </w:tcPr>
          <w:p w14:paraId="30CE5FF6"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E2</w:t>
            </w:r>
          </w:p>
        </w:tc>
      </w:tr>
      <w:tr w:rsidR="002133E3" w14:paraId="5D4115F3" w14:textId="77777777">
        <w:trPr>
          <w:jc w:val="center"/>
        </w:trPr>
        <w:tc>
          <w:tcPr>
            <w:tcW w:w="1344" w:type="pct"/>
            <w:vAlign w:val="center"/>
          </w:tcPr>
          <w:p w14:paraId="6994364A"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S2</w:t>
            </w:r>
          </w:p>
        </w:tc>
        <w:tc>
          <w:tcPr>
            <w:tcW w:w="1188" w:type="pct"/>
            <w:vAlign w:val="center"/>
          </w:tcPr>
          <w:p w14:paraId="75F3A9B1"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E1</w:t>
            </w:r>
          </w:p>
        </w:tc>
        <w:tc>
          <w:tcPr>
            <w:tcW w:w="1109" w:type="pct"/>
            <w:vAlign w:val="center"/>
          </w:tcPr>
          <w:p w14:paraId="1FC1F253"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E2</w:t>
            </w:r>
          </w:p>
        </w:tc>
        <w:tc>
          <w:tcPr>
            <w:tcW w:w="1359" w:type="pct"/>
            <w:vAlign w:val="center"/>
          </w:tcPr>
          <w:p w14:paraId="6E7A19EA"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E3</w:t>
            </w:r>
          </w:p>
        </w:tc>
      </w:tr>
      <w:tr w:rsidR="002133E3" w14:paraId="6802F509" w14:textId="77777777">
        <w:trPr>
          <w:jc w:val="center"/>
        </w:trPr>
        <w:tc>
          <w:tcPr>
            <w:tcW w:w="1344" w:type="pct"/>
            <w:vAlign w:val="center"/>
          </w:tcPr>
          <w:p w14:paraId="24F3F381"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S3</w:t>
            </w:r>
          </w:p>
        </w:tc>
        <w:tc>
          <w:tcPr>
            <w:tcW w:w="1188" w:type="pct"/>
            <w:vAlign w:val="center"/>
          </w:tcPr>
          <w:p w14:paraId="3DD168BD"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E1</w:t>
            </w:r>
          </w:p>
        </w:tc>
        <w:tc>
          <w:tcPr>
            <w:tcW w:w="1109" w:type="pct"/>
            <w:vAlign w:val="center"/>
          </w:tcPr>
          <w:p w14:paraId="25AC0270"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E2</w:t>
            </w:r>
          </w:p>
        </w:tc>
        <w:tc>
          <w:tcPr>
            <w:tcW w:w="1359" w:type="pct"/>
            <w:vAlign w:val="center"/>
          </w:tcPr>
          <w:p w14:paraId="52E64C1E" w14:textId="77777777" w:rsidR="002133E3" w:rsidRDefault="00C22CFA">
            <w:pPr>
              <w:jc w:val="center"/>
              <w:rPr>
                <w:rFonts w:ascii="Times New Roman" w:eastAsia="宋体" w:hAnsi="Times New Roman" w:cs="Times New Roman"/>
                <w:kern w:val="0"/>
                <w:szCs w:val="18"/>
              </w:rPr>
            </w:pPr>
            <w:r>
              <w:rPr>
                <w:rFonts w:ascii="Times New Roman" w:eastAsia="宋体" w:hAnsi="Times New Roman" w:cs="Times New Roman"/>
                <w:kern w:val="0"/>
                <w:szCs w:val="18"/>
              </w:rPr>
              <w:t>E3</w:t>
            </w:r>
          </w:p>
        </w:tc>
      </w:tr>
    </w:tbl>
    <w:p w14:paraId="547F47D0" w14:textId="77777777" w:rsidR="002133E3" w:rsidRDefault="00C22CFA">
      <w:pPr>
        <w:spacing w:line="50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本项目受纳水体为兴庄河，按地表水水域环境功能</w:t>
      </w:r>
      <w:r>
        <w:rPr>
          <w:rFonts w:ascii="宋体" w:eastAsia="宋体" w:hAnsi="宋体" w:cs="宋体" w:hint="eastAsia"/>
          <w:kern w:val="0"/>
          <w:sz w:val="28"/>
          <w:szCs w:val="20"/>
        </w:rPr>
        <w:t>Ⅲ</w:t>
      </w:r>
      <w:r>
        <w:rPr>
          <w:rFonts w:ascii="Times New Roman" w:eastAsia="宋体" w:hAnsi="Times New Roman" w:cs="Times New Roman"/>
          <w:kern w:val="0"/>
          <w:sz w:val="28"/>
          <w:szCs w:val="20"/>
        </w:rPr>
        <w:t>类，故确定地表水环境敏感性为较敏感</w:t>
      </w:r>
      <w:r>
        <w:rPr>
          <w:rFonts w:ascii="Times New Roman" w:eastAsia="宋体" w:hAnsi="Times New Roman" w:cs="Times New Roman"/>
          <w:kern w:val="0"/>
          <w:sz w:val="28"/>
          <w:szCs w:val="20"/>
        </w:rPr>
        <w:t>F2</w:t>
      </w:r>
      <w:r>
        <w:rPr>
          <w:rFonts w:ascii="Times New Roman" w:eastAsia="宋体" w:hAnsi="Times New Roman" w:cs="Times New Roman"/>
          <w:kern w:val="0"/>
          <w:sz w:val="28"/>
          <w:szCs w:val="20"/>
        </w:rPr>
        <w:t>。</w:t>
      </w:r>
    </w:p>
    <w:p w14:paraId="31F2E5D5" w14:textId="77777777" w:rsidR="002133E3" w:rsidRDefault="00C22CFA">
      <w:pPr>
        <w:spacing w:line="50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本项目事故情况下，危险物质若泄漏到兴庄河，排放点下游</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顺水流向</w:t>
      </w:r>
      <w:r>
        <w:rPr>
          <w:rFonts w:ascii="Times New Roman" w:eastAsia="宋体" w:hAnsi="Times New Roman" w:cs="Times New Roman"/>
          <w:kern w:val="0"/>
          <w:sz w:val="28"/>
          <w:szCs w:val="20"/>
        </w:rPr>
        <w:t xml:space="preserve">)10 km </w:t>
      </w:r>
      <w:r>
        <w:rPr>
          <w:rFonts w:ascii="Times New Roman" w:eastAsia="宋体" w:hAnsi="Times New Roman" w:cs="Times New Roman"/>
          <w:kern w:val="0"/>
          <w:sz w:val="28"/>
          <w:szCs w:val="20"/>
        </w:rPr>
        <w:t>范围内、近岸海域一个潮周期水质点可能达到的最大水平距离的两倍范围内无集中式地表水饮用水水源保护区</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包括一级保护区、二级保护区及准保护区</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；农村及分散式饮用水水源保护区、自然保护区等环境风险受体，故本项目周边地表水环境敏感目标分级为</w:t>
      </w:r>
      <w:r>
        <w:rPr>
          <w:rFonts w:ascii="Times New Roman" w:eastAsia="宋体" w:hAnsi="Times New Roman" w:cs="Times New Roman"/>
          <w:kern w:val="0"/>
          <w:sz w:val="28"/>
          <w:szCs w:val="20"/>
        </w:rPr>
        <w:t>S3</w:t>
      </w:r>
      <w:r>
        <w:rPr>
          <w:rFonts w:ascii="Times New Roman" w:eastAsia="宋体" w:hAnsi="Times New Roman" w:cs="Times New Roman"/>
          <w:kern w:val="0"/>
          <w:sz w:val="28"/>
          <w:szCs w:val="20"/>
        </w:rPr>
        <w:t>。</w:t>
      </w:r>
    </w:p>
    <w:p w14:paraId="4E67EC1A" w14:textId="77777777" w:rsidR="002133E3" w:rsidRDefault="00C22CFA">
      <w:pPr>
        <w:spacing w:line="50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依据表</w:t>
      </w:r>
      <w:r>
        <w:rPr>
          <w:rFonts w:ascii="Times New Roman" w:eastAsia="宋体" w:hAnsi="Times New Roman" w:cs="Times New Roman"/>
          <w:kern w:val="0"/>
          <w:sz w:val="28"/>
          <w:szCs w:val="20"/>
        </w:rPr>
        <w:t>4.6-9</w:t>
      </w:r>
      <w:r>
        <w:rPr>
          <w:rFonts w:ascii="Times New Roman" w:eastAsia="宋体" w:hAnsi="Times New Roman" w:cs="Times New Roman"/>
          <w:kern w:val="0"/>
          <w:sz w:val="28"/>
          <w:szCs w:val="20"/>
        </w:rPr>
        <w:t>分析可见，本项目地表水环境敏感程度分级为</w:t>
      </w:r>
      <w:r>
        <w:rPr>
          <w:rFonts w:ascii="Times New Roman" w:eastAsia="宋体" w:hAnsi="Times New Roman" w:cs="Times New Roman"/>
          <w:kern w:val="0"/>
          <w:sz w:val="28"/>
          <w:szCs w:val="20"/>
        </w:rPr>
        <w:t>E2</w:t>
      </w:r>
      <w:r>
        <w:rPr>
          <w:rFonts w:ascii="Times New Roman" w:eastAsia="宋体" w:hAnsi="Times New Roman" w:cs="Times New Roman"/>
          <w:kern w:val="0"/>
          <w:sz w:val="28"/>
          <w:szCs w:val="20"/>
        </w:rPr>
        <w:t>，为环境中度敏感区，则地表水环境风险潜势为</w:t>
      </w:r>
      <w:r>
        <w:rPr>
          <w:rFonts w:ascii="Times New Roman" w:eastAsia="宋体" w:hAnsi="Times New Roman" w:cs="Times New Roman"/>
          <w:bCs/>
          <w:snapToGrid w:val="0"/>
          <w:kern w:val="0"/>
          <w:sz w:val="28"/>
          <w:szCs w:val="20"/>
        </w:rPr>
        <w:t>II</w:t>
      </w:r>
      <w:r>
        <w:rPr>
          <w:rFonts w:ascii="Times New Roman" w:eastAsia="宋体" w:hAnsi="Times New Roman" w:cs="Times New Roman"/>
          <w:kern w:val="0"/>
          <w:sz w:val="28"/>
          <w:szCs w:val="20"/>
        </w:rPr>
        <w:t>级。</w:t>
      </w:r>
    </w:p>
    <w:p w14:paraId="03D9857B" w14:textId="77777777" w:rsidR="002133E3" w:rsidRDefault="00C22CFA">
      <w:pPr>
        <w:tabs>
          <w:tab w:val="left" w:pos="993"/>
        </w:tabs>
        <w:spacing w:line="500" w:lineRule="exact"/>
        <w:ind w:firstLineChars="200" w:firstLine="562"/>
        <w:rPr>
          <w:rFonts w:ascii="Times New Roman" w:eastAsia="宋体" w:hAnsi="Times New Roman" w:cs="Times New Roman"/>
          <w:b/>
          <w:bCs/>
          <w:kern w:val="0"/>
          <w:sz w:val="28"/>
          <w:szCs w:val="20"/>
          <w:lang w:val="zh-TW"/>
        </w:rPr>
      </w:pPr>
      <w:r>
        <w:rPr>
          <w:rFonts w:ascii="Times New Roman" w:eastAsia="宋体" w:hAnsi="Times New Roman" w:cs="Times New Roman"/>
          <w:b/>
          <w:bCs/>
          <w:kern w:val="0"/>
          <w:sz w:val="28"/>
          <w:szCs w:val="20"/>
          <w:lang w:val="zh-TW"/>
        </w:rPr>
        <w:t>(3)</w:t>
      </w:r>
      <w:r>
        <w:rPr>
          <w:rFonts w:ascii="Times New Roman" w:eastAsia="宋体" w:hAnsi="Times New Roman" w:cs="Times New Roman"/>
          <w:b/>
          <w:bCs/>
          <w:kern w:val="0"/>
          <w:sz w:val="28"/>
          <w:szCs w:val="20"/>
          <w:lang w:val="zh-TW" w:eastAsia="zh-TW"/>
        </w:rPr>
        <w:t xml:space="preserve"> </w:t>
      </w:r>
      <w:r>
        <w:rPr>
          <w:rFonts w:ascii="Times New Roman" w:eastAsia="宋体" w:hAnsi="Times New Roman" w:cs="Times New Roman"/>
          <w:b/>
          <w:bCs/>
          <w:kern w:val="0"/>
          <w:sz w:val="28"/>
          <w:szCs w:val="20"/>
          <w:lang w:val="zh-TW"/>
        </w:rPr>
        <w:t>地下水环境</w:t>
      </w:r>
    </w:p>
    <w:p w14:paraId="4AE25F9A" w14:textId="77777777" w:rsidR="002133E3" w:rsidRDefault="00C22CFA">
      <w:pPr>
        <w:spacing w:line="500" w:lineRule="exact"/>
        <w:ind w:firstLine="561"/>
        <w:rPr>
          <w:rFonts w:ascii="Times New Roman" w:eastAsia="宋体" w:hAnsi="Times New Roman" w:cs="Times New Roman"/>
          <w:kern w:val="0"/>
          <w:sz w:val="28"/>
          <w:szCs w:val="20"/>
          <w:lang w:val="zh-TW"/>
        </w:rPr>
      </w:pPr>
      <w:r>
        <w:rPr>
          <w:rFonts w:ascii="Times New Roman" w:eastAsia="宋体" w:hAnsi="Times New Roman" w:cs="Times New Roman"/>
          <w:kern w:val="0"/>
          <w:sz w:val="28"/>
          <w:szCs w:val="20"/>
          <w:lang w:val="zh-TW"/>
        </w:rPr>
        <w:t>依据地下水功能敏感性与包气带防污性能，共分为三种类型，</w:t>
      </w:r>
      <w:r>
        <w:rPr>
          <w:rFonts w:ascii="Times New Roman" w:eastAsia="宋体" w:hAnsi="Times New Roman" w:cs="Times New Roman"/>
          <w:kern w:val="0"/>
          <w:sz w:val="28"/>
          <w:szCs w:val="20"/>
          <w:lang w:val="zh-TW"/>
        </w:rPr>
        <w:t>E1</w:t>
      </w:r>
      <w:r>
        <w:rPr>
          <w:rFonts w:ascii="Times New Roman" w:eastAsia="宋体" w:hAnsi="Times New Roman" w:cs="Times New Roman"/>
          <w:kern w:val="0"/>
          <w:sz w:val="28"/>
          <w:szCs w:val="20"/>
          <w:lang w:val="zh-TW"/>
        </w:rPr>
        <w:t>为环境高度敏感区，</w:t>
      </w:r>
      <w:r>
        <w:rPr>
          <w:rFonts w:ascii="Times New Roman" w:eastAsia="宋体" w:hAnsi="Times New Roman" w:cs="Times New Roman"/>
          <w:kern w:val="0"/>
          <w:sz w:val="28"/>
          <w:szCs w:val="20"/>
          <w:lang w:val="zh-TW"/>
        </w:rPr>
        <w:t>E2</w:t>
      </w:r>
      <w:r>
        <w:rPr>
          <w:rFonts w:ascii="Times New Roman" w:eastAsia="宋体" w:hAnsi="Times New Roman" w:cs="Times New Roman"/>
          <w:kern w:val="0"/>
          <w:sz w:val="28"/>
          <w:szCs w:val="20"/>
          <w:lang w:val="zh-TW"/>
        </w:rPr>
        <w:t>为环</w:t>
      </w:r>
      <w:r>
        <w:rPr>
          <w:rFonts w:ascii="Times New Roman" w:eastAsia="宋体" w:hAnsi="Times New Roman" w:cs="Times New Roman"/>
          <w:bCs/>
          <w:kern w:val="0"/>
          <w:sz w:val="28"/>
          <w:szCs w:val="20"/>
        </w:rPr>
        <w:t>境中度敏感区，</w:t>
      </w:r>
      <w:r>
        <w:rPr>
          <w:rFonts w:ascii="Times New Roman" w:eastAsia="宋体" w:hAnsi="Times New Roman" w:cs="Times New Roman"/>
          <w:kern w:val="0"/>
          <w:sz w:val="28"/>
          <w:szCs w:val="20"/>
          <w:lang w:val="zh-TW"/>
        </w:rPr>
        <w:t>E3</w:t>
      </w:r>
      <w:r>
        <w:rPr>
          <w:rFonts w:ascii="Times New Roman" w:eastAsia="宋体" w:hAnsi="Times New Roman" w:cs="Times New Roman"/>
          <w:kern w:val="0"/>
          <w:sz w:val="28"/>
          <w:szCs w:val="20"/>
          <w:lang w:val="zh-TW"/>
        </w:rPr>
        <w:t>为环境低度敏感区，分级原则见表</w:t>
      </w:r>
      <w:r>
        <w:rPr>
          <w:rFonts w:ascii="Times New Roman" w:eastAsia="宋体" w:hAnsi="Times New Roman" w:cs="Times New Roman"/>
          <w:kern w:val="0"/>
          <w:sz w:val="28"/>
          <w:szCs w:val="20"/>
          <w:lang w:val="zh-TW" w:eastAsia="zh-TW"/>
        </w:rPr>
        <w:t>4.6-10</w:t>
      </w:r>
      <w:r>
        <w:rPr>
          <w:rFonts w:ascii="Times New Roman" w:eastAsia="宋体" w:hAnsi="Times New Roman" w:cs="Times New Roman"/>
          <w:kern w:val="0"/>
          <w:sz w:val="28"/>
          <w:szCs w:val="20"/>
          <w:lang w:val="zh-TW"/>
        </w:rPr>
        <w:t>。其中地下水功能敏感性分区和包气带防污性能分级分别见表</w:t>
      </w:r>
      <w:r>
        <w:rPr>
          <w:rFonts w:ascii="Times New Roman" w:eastAsia="宋体" w:hAnsi="Times New Roman" w:cs="Times New Roman"/>
          <w:kern w:val="0"/>
          <w:sz w:val="28"/>
          <w:szCs w:val="20"/>
          <w:lang w:val="zh-TW" w:eastAsia="zh-TW"/>
        </w:rPr>
        <w:t>4.6-11</w:t>
      </w:r>
      <w:r>
        <w:rPr>
          <w:rFonts w:ascii="Times New Roman" w:eastAsia="宋体" w:hAnsi="Times New Roman" w:cs="Times New Roman"/>
          <w:kern w:val="0"/>
          <w:sz w:val="28"/>
          <w:szCs w:val="20"/>
          <w:lang w:val="zh-TW"/>
        </w:rPr>
        <w:t>和表</w:t>
      </w:r>
      <w:r>
        <w:rPr>
          <w:rFonts w:ascii="Times New Roman" w:eastAsia="宋体" w:hAnsi="Times New Roman" w:cs="Times New Roman"/>
          <w:kern w:val="0"/>
          <w:sz w:val="28"/>
          <w:szCs w:val="20"/>
          <w:lang w:val="zh-TW" w:eastAsia="zh-TW"/>
        </w:rPr>
        <w:t>4.6-12</w:t>
      </w:r>
      <w:r>
        <w:rPr>
          <w:rFonts w:ascii="Times New Roman" w:eastAsia="宋体" w:hAnsi="Times New Roman" w:cs="Times New Roman"/>
          <w:kern w:val="0"/>
          <w:sz w:val="28"/>
          <w:szCs w:val="20"/>
          <w:lang w:val="zh-TW"/>
        </w:rPr>
        <w:t>。当同一建设项目涉及两个</w:t>
      </w:r>
      <w:r>
        <w:rPr>
          <w:rFonts w:ascii="Times New Roman" w:eastAsia="宋体" w:hAnsi="Times New Roman" w:cs="Times New Roman"/>
          <w:kern w:val="0"/>
          <w:sz w:val="28"/>
          <w:szCs w:val="20"/>
          <w:lang w:val="zh-TW"/>
        </w:rPr>
        <w:t>G</w:t>
      </w:r>
      <w:r>
        <w:rPr>
          <w:rFonts w:ascii="Times New Roman" w:eastAsia="宋体" w:hAnsi="Times New Roman" w:cs="Times New Roman"/>
          <w:kern w:val="0"/>
          <w:sz w:val="28"/>
          <w:szCs w:val="20"/>
          <w:lang w:val="zh-TW"/>
        </w:rPr>
        <w:t>分区或</w:t>
      </w:r>
      <w:r>
        <w:rPr>
          <w:rFonts w:ascii="Times New Roman" w:eastAsia="宋体" w:hAnsi="Times New Roman" w:cs="Times New Roman"/>
          <w:kern w:val="0"/>
          <w:sz w:val="28"/>
          <w:szCs w:val="20"/>
          <w:lang w:val="zh-TW"/>
        </w:rPr>
        <w:t>D</w:t>
      </w:r>
      <w:r>
        <w:rPr>
          <w:rFonts w:ascii="Times New Roman" w:eastAsia="宋体" w:hAnsi="Times New Roman" w:cs="Times New Roman"/>
          <w:kern w:val="0"/>
          <w:sz w:val="28"/>
          <w:szCs w:val="20"/>
          <w:lang w:val="zh-TW"/>
        </w:rPr>
        <w:t>分级及以上时，取相对高值。</w:t>
      </w:r>
    </w:p>
    <w:p w14:paraId="697A7F51" w14:textId="77777777" w:rsidR="002133E3" w:rsidRDefault="00C22CFA">
      <w:pPr>
        <w:adjustRightInd w:val="0"/>
        <w:snapToGrid w:val="0"/>
        <w:spacing w:line="500" w:lineRule="exact"/>
        <w:jc w:val="center"/>
        <w:rPr>
          <w:rFonts w:ascii="Times New Roman" w:eastAsia="宋体" w:hAnsi="Times New Roman" w:cs="Times New Roman"/>
          <w:b/>
          <w:kern w:val="0"/>
          <w:szCs w:val="18"/>
        </w:rPr>
      </w:pPr>
      <w:r>
        <w:rPr>
          <w:rFonts w:ascii="Times New Roman" w:eastAsia="宋体" w:hAnsi="Times New Roman" w:cs="Times New Roman"/>
          <w:b/>
          <w:kern w:val="0"/>
          <w:szCs w:val="18"/>
        </w:rPr>
        <w:t>表</w:t>
      </w:r>
      <w:r>
        <w:rPr>
          <w:rFonts w:ascii="Times New Roman" w:eastAsia="宋体" w:hAnsi="Times New Roman" w:cs="Times New Roman"/>
          <w:b/>
          <w:kern w:val="0"/>
          <w:szCs w:val="18"/>
        </w:rPr>
        <w:t xml:space="preserve">4.6-10 </w:t>
      </w:r>
      <w:r>
        <w:rPr>
          <w:rFonts w:ascii="Times New Roman" w:eastAsia="宋体" w:hAnsi="Times New Roman" w:cs="Times New Roman"/>
          <w:b/>
          <w:kern w:val="0"/>
          <w:szCs w:val="18"/>
        </w:rPr>
        <w:t>地下水环境敏感程度分级</w:t>
      </w:r>
    </w:p>
    <w:tbl>
      <w:tblPr>
        <w:tblW w:w="5000" w:type="pct"/>
        <w:jc w:val="center"/>
        <w:tblCellMar>
          <w:left w:w="0" w:type="dxa"/>
          <w:right w:w="0" w:type="dxa"/>
        </w:tblCellMar>
        <w:tblLook w:val="04A0" w:firstRow="1" w:lastRow="0" w:firstColumn="1" w:lastColumn="0" w:noHBand="0" w:noVBand="1"/>
      </w:tblPr>
      <w:tblGrid>
        <w:gridCol w:w="3097"/>
        <w:gridCol w:w="1727"/>
        <w:gridCol w:w="2402"/>
        <w:gridCol w:w="2422"/>
      </w:tblGrid>
      <w:tr w:rsidR="002133E3" w14:paraId="6F2E3EDC" w14:textId="77777777">
        <w:trPr>
          <w:trHeight w:val="284"/>
          <w:jc w:val="center"/>
        </w:trPr>
        <w:tc>
          <w:tcPr>
            <w:tcW w:w="1605" w:type="pct"/>
            <w:vMerge w:val="restart"/>
            <w:tcBorders>
              <w:top w:val="single" w:sz="4" w:space="0" w:color="auto"/>
              <w:left w:val="single" w:sz="4" w:space="0" w:color="auto"/>
              <w:bottom w:val="nil"/>
              <w:right w:val="nil"/>
            </w:tcBorders>
            <w:vAlign w:val="center"/>
          </w:tcPr>
          <w:p w14:paraId="1B73479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包气带防污性能</w:t>
            </w:r>
          </w:p>
        </w:tc>
        <w:tc>
          <w:tcPr>
            <w:tcW w:w="3395" w:type="pct"/>
            <w:gridSpan w:val="3"/>
            <w:tcBorders>
              <w:top w:val="single" w:sz="4" w:space="0" w:color="auto"/>
              <w:left w:val="single" w:sz="4" w:space="0" w:color="auto"/>
              <w:bottom w:val="nil"/>
              <w:right w:val="single" w:sz="4" w:space="0" w:color="auto"/>
            </w:tcBorders>
            <w:vAlign w:val="center"/>
          </w:tcPr>
          <w:p w14:paraId="308EBE7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地下水功能敏感性</w:t>
            </w:r>
          </w:p>
        </w:tc>
      </w:tr>
      <w:tr w:rsidR="002133E3" w14:paraId="19C8BFE5" w14:textId="77777777">
        <w:trPr>
          <w:trHeight w:val="284"/>
          <w:jc w:val="center"/>
        </w:trPr>
        <w:tc>
          <w:tcPr>
            <w:tcW w:w="1605" w:type="pct"/>
            <w:vMerge/>
            <w:tcBorders>
              <w:top w:val="nil"/>
              <w:left w:val="single" w:sz="4" w:space="0" w:color="auto"/>
              <w:bottom w:val="nil"/>
              <w:right w:val="nil"/>
            </w:tcBorders>
            <w:vAlign w:val="center"/>
          </w:tcPr>
          <w:p w14:paraId="5C2E7761" w14:textId="77777777" w:rsidR="002133E3" w:rsidRDefault="002133E3">
            <w:pPr>
              <w:jc w:val="center"/>
              <w:rPr>
                <w:rFonts w:ascii="Times New Roman" w:eastAsia="宋体" w:hAnsi="Times New Roman" w:cs="Times New Roman"/>
                <w:kern w:val="0"/>
                <w:szCs w:val="21"/>
              </w:rPr>
            </w:pPr>
          </w:p>
        </w:tc>
        <w:tc>
          <w:tcPr>
            <w:tcW w:w="895" w:type="pct"/>
            <w:tcBorders>
              <w:top w:val="single" w:sz="4" w:space="0" w:color="auto"/>
              <w:left w:val="single" w:sz="4" w:space="0" w:color="auto"/>
              <w:bottom w:val="nil"/>
              <w:right w:val="nil"/>
            </w:tcBorders>
            <w:vAlign w:val="center"/>
          </w:tcPr>
          <w:p w14:paraId="7DA6AF0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G1</w:t>
            </w:r>
          </w:p>
        </w:tc>
        <w:tc>
          <w:tcPr>
            <w:tcW w:w="1245" w:type="pct"/>
            <w:tcBorders>
              <w:top w:val="single" w:sz="4" w:space="0" w:color="auto"/>
              <w:left w:val="single" w:sz="4" w:space="0" w:color="auto"/>
              <w:bottom w:val="nil"/>
              <w:right w:val="nil"/>
            </w:tcBorders>
            <w:vAlign w:val="center"/>
          </w:tcPr>
          <w:p w14:paraId="7E94D9B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G2</w:t>
            </w:r>
          </w:p>
        </w:tc>
        <w:tc>
          <w:tcPr>
            <w:tcW w:w="1255" w:type="pct"/>
            <w:tcBorders>
              <w:top w:val="single" w:sz="4" w:space="0" w:color="auto"/>
              <w:left w:val="single" w:sz="4" w:space="0" w:color="auto"/>
              <w:bottom w:val="nil"/>
              <w:right w:val="single" w:sz="4" w:space="0" w:color="auto"/>
            </w:tcBorders>
            <w:vAlign w:val="center"/>
          </w:tcPr>
          <w:p w14:paraId="2F70E9D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G3</w:t>
            </w:r>
          </w:p>
        </w:tc>
      </w:tr>
      <w:tr w:rsidR="002133E3" w14:paraId="34923038" w14:textId="77777777">
        <w:trPr>
          <w:trHeight w:val="284"/>
          <w:jc w:val="center"/>
        </w:trPr>
        <w:tc>
          <w:tcPr>
            <w:tcW w:w="1605" w:type="pct"/>
            <w:tcBorders>
              <w:top w:val="single" w:sz="4" w:space="0" w:color="auto"/>
              <w:left w:val="single" w:sz="4" w:space="0" w:color="auto"/>
              <w:bottom w:val="nil"/>
              <w:right w:val="nil"/>
            </w:tcBorders>
            <w:vAlign w:val="center"/>
          </w:tcPr>
          <w:p w14:paraId="45766A4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D1</w:t>
            </w:r>
          </w:p>
        </w:tc>
        <w:tc>
          <w:tcPr>
            <w:tcW w:w="895" w:type="pct"/>
            <w:tcBorders>
              <w:top w:val="single" w:sz="4" w:space="0" w:color="auto"/>
              <w:left w:val="single" w:sz="4" w:space="0" w:color="auto"/>
              <w:bottom w:val="nil"/>
              <w:right w:val="nil"/>
            </w:tcBorders>
            <w:vAlign w:val="center"/>
          </w:tcPr>
          <w:p w14:paraId="6AD8784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E1</w:t>
            </w:r>
          </w:p>
        </w:tc>
        <w:tc>
          <w:tcPr>
            <w:tcW w:w="1245" w:type="pct"/>
            <w:tcBorders>
              <w:top w:val="single" w:sz="4" w:space="0" w:color="auto"/>
              <w:left w:val="single" w:sz="4" w:space="0" w:color="auto"/>
              <w:bottom w:val="nil"/>
              <w:right w:val="nil"/>
            </w:tcBorders>
            <w:vAlign w:val="center"/>
          </w:tcPr>
          <w:p w14:paraId="0D8AAB5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E1</w:t>
            </w:r>
          </w:p>
        </w:tc>
        <w:tc>
          <w:tcPr>
            <w:tcW w:w="1255" w:type="pct"/>
            <w:tcBorders>
              <w:top w:val="single" w:sz="4" w:space="0" w:color="auto"/>
              <w:left w:val="single" w:sz="4" w:space="0" w:color="auto"/>
              <w:bottom w:val="nil"/>
              <w:right w:val="single" w:sz="4" w:space="0" w:color="auto"/>
            </w:tcBorders>
            <w:vAlign w:val="center"/>
          </w:tcPr>
          <w:p w14:paraId="1BDAD10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E2</w:t>
            </w:r>
          </w:p>
        </w:tc>
      </w:tr>
      <w:tr w:rsidR="002133E3" w14:paraId="15226FD0" w14:textId="77777777">
        <w:trPr>
          <w:trHeight w:val="284"/>
          <w:jc w:val="center"/>
        </w:trPr>
        <w:tc>
          <w:tcPr>
            <w:tcW w:w="1605" w:type="pct"/>
            <w:tcBorders>
              <w:top w:val="single" w:sz="4" w:space="0" w:color="auto"/>
              <w:left w:val="single" w:sz="4" w:space="0" w:color="auto"/>
              <w:bottom w:val="nil"/>
              <w:right w:val="nil"/>
            </w:tcBorders>
            <w:vAlign w:val="center"/>
          </w:tcPr>
          <w:p w14:paraId="6750A80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D2</w:t>
            </w:r>
          </w:p>
        </w:tc>
        <w:tc>
          <w:tcPr>
            <w:tcW w:w="895" w:type="pct"/>
            <w:tcBorders>
              <w:top w:val="single" w:sz="4" w:space="0" w:color="auto"/>
              <w:left w:val="single" w:sz="4" w:space="0" w:color="auto"/>
              <w:bottom w:val="nil"/>
              <w:right w:val="nil"/>
            </w:tcBorders>
            <w:vAlign w:val="center"/>
          </w:tcPr>
          <w:p w14:paraId="1C4B5D5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E1</w:t>
            </w:r>
          </w:p>
        </w:tc>
        <w:tc>
          <w:tcPr>
            <w:tcW w:w="1245" w:type="pct"/>
            <w:tcBorders>
              <w:top w:val="single" w:sz="4" w:space="0" w:color="auto"/>
              <w:left w:val="single" w:sz="4" w:space="0" w:color="auto"/>
              <w:bottom w:val="nil"/>
              <w:right w:val="nil"/>
            </w:tcBorders>
            <w:vAlign w:val="center"/>
          </w:tcPr>
          <w:p w14:paraId="124917B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E2</w:t>
            </w:r>
          </w:p>
        </w:tc>
        <w:tc>
          <w:tcPr>
            <w:tcW w:w="1255" w:type="pct"/>
            <w:tcBorders>
              <w:top w:val="single" w:sz="4" w:space="0" w:color="auto"/>
              <w:left w:val="single" w:sz="4" w:space="0" w:color="auto"/>
              <w:bottom w:val="nil"/>
              <w:right w:val="single" w:sz="4" w:space="0" w:color="auto"/>
            </w:tcBorders>
            <w:vAlign w:val="center"/>
          </w:tcPr>
          <w:p w14:paraId="1920A9E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E3</w:t>
            </w:r>
          </w:p>
        </w:tc>
      </w:tr>
      <w:tr w:rsidR="002133E3" w14:paraId="21CCCAA5" w14:textId="77777777">
        <w:trPr>
          <w:trHeight w:val="284"/>
          <w:jc w:val="center"/>
        </w:trPr>
        <w:tc>
          <w:tcPr>
            <w:tcW w:w="1605" w:type="pct"/>
            <w:tcBorders>
              <w:top w:val="single" w:sz="4" w:space="0" w:color="auto"/>
              <w:left w:val="single" w:sz="4" w:space="0" w:color="auto"/>
              <w:bottom w:val="single" w:sz="4" w:space="0" w:color="auto"/>
              <w:right w:val="nil"/>
            </w:tcBorders>
            <w:vAlign w:val="center"/>
          </w:tcPr>
          <w:p w14:paraId="65284C3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D3</w:t>
            </w:r>
          </w:p>
        </w:tc>
        <w:tc>
          <w:tcPr>
            <w:tcW w:w="895" w:type="pct"/>
            <w:tcBorders>
              <w:top w:val="single" w:sz="4" w:space="0" w:color="auto"/>
              <w:left w:val="single" w:sz="4" w:space="0" w:color="auto"/>
              <w:bottom w:val="single" w:sz="4" w:space="0" w:color="auto"/>
              <w:right w:val="nil"/>
            </w:tcBorders>
            <w:vAlign w:val="center"/>
          </w:tcPr>
          <w:p w14:paraId="55FFAE2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E2</w:t>
            </w:r>
          </w:p>
        </w:tc>
        <w:tc>
          <w:tcPr>
            <w:tcW w:w="1245" w:type="pct"/>
            <w:tcBorders>
              <w:top w:val="single" w:sz="4" w:space="0" w:color="auto"/>
              <w:left w:val="single" w:sz="4" w:space="0" w:color="auto"/>
              <w:bottom w:val="single" w:sz="4" w:space="0" w:color="auto"/>
              <w:right w:val="nil"/>
            </w:tcBorders>
            <w:vAlign w:val="center"/>
          </w:tcPr>
          <w:p w14:paraId="4CC9949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E3</w:t>
            </w:r>
          </w:p>
        </w:tc>
        <w:tc>
          <w:tcPr>
            <w:tcW w:w="1255" w:type="pct"/>
            <w:tcBorders>
              <w:top w:val="single" w:sz="4" w:space="0" w:color="auto"/>
              <w:left w:val="single" w:sz="4" w:space="0" w:color="auto"/>
              <w:bottom w:val="single" w:sz="4" w:space="0" w:color="auto"/>
              <w:right w:val="single" w:sz="4" w:space="0" w:color="auto"/>
            </w:tcBorders>
            <w:vAlign w:val="center"/>
          </w:tcPr>
          <w:p w14:paraId="6C555C8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E3</w:t>
            </w:r>
          </w:p>
        </w:tc>
      </w:tr>
    </w:tbl>
    <w:p w14:paraId="4886D69C" w14:textId="77777777" w:rsidR="002133E3" w:rsidRDefault="00C22CFA">
      <w:pPr>
        <w:adjustRightInd w:val="0"/>
        <w:snapToGrid w:val="0"/>
        <w:spacing w:line="500" w:lineRule="exact"/>
        <w:jc w:val="center"/>
        <w:rPr>
          <w:rFonts w:ascii="Times New Roman" w:eastAsia="宋体" w:hAnsi="Times New Roman" w:cs="Times New Roman"/>
          <w:b/>
          <w:kern w:val="0"/>
          <w:szCs w:val="18"/>
        </w:rPr>
      </w:pPr>
      <w:r>
        <w:rPr>
          <w:rFonts w:ascii="Times New Roman" w:eastAsia="宋体" w:hAnsi="Times New Roman" w:cs="Times New Roman"/>
          <w:b/>
          <w:kern w:val="0"/>
          <w:szCs w:val="18"/>
        </w:rPr>
        <w:t>表</w:t>
      </w:r>
      <w:r>
        <w:rPr>
          <w:rFonts w:ascii="Times New Roman" w:eastAsia="宋体" w:hAnsi="Times New Roman" w:cs="Times New Roman"/>
          <w:b/>
          <w:kern w:val="0"/>
          <w:szCs w:val="18"/>
        </w:rPr>
        <w:t xml:space="preserve">4.6-11 </w:t>
      </w:r>
      <w:r>
        <w:rPr>
          <w:rFonts w:ascii="Times New Roman" w:eastAsia="宋体" w:hAnsi="Times New Roman" w:cs="Times New Roman"/>
          <w:b/>
          <w:kern w:val="0"/>
          <w:szCs w:val="18"/>
        </w:rPr>
        <w:t>地下水功能敏感性分区</w:t>
      </w:r>
    </w:p>
    <w:tbl>
      <w:tblPr>
        <w:tblW w:w="5019" w:type="pct"/>
        <w:tblCellMar>
          <w:left w:w="0" w:type="dxa"/>
          <w:right w:w="0" w:type="dxa"/>
        </w:tblCellMar>
        <w:tblLook w:val="04A0" w:firstRow="1" w:lastRow="0" w:firstColumn="1" w:lastColumn="0" w:noHBand="0" w:noVBand="1"/>
      </w:tblPr>
      <w:tblGrid>
        <w:gridCol w:w="1081"/>
        <w:gridCol w:w="8604"/>
      </w:tblGrid>
      <w:tr w:rsidR="002133E3" w14:paraId="48A9F43B" w14:textId="77777777">
        <w:trPr>
          <w:trHeight w:val="302"/>
        </w:trPr>
        <w:tc>
          <w:tcPr>
            <w:tcW w:w="558" w:type="pct"/>
            <w:tcBorders>
              <w:top w:val="single" w:sz="4" w:space="0" w:color="auto"/>
              <w:left w:val="single" w:sz="4" w:space="0" w:color="auto"/>
              <w:bottom w:val="nil"/>
              <w:right w:val="nil"/>
            </w:tcBorders>
            <w:vAlign w:val="center"/>
          </w:tcPr>
          <w:p w14:paraId="77E4012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lastRenderedPageBreak/>
              <w:t>敏感性</w:t>
            </w:r>
          </w:p>
        </w:tc>
        <w:tc>
          <w:tcPr>
            <w:tcW w:w="4442" w:type="pct"/>
            <w:tcBorders>
              <w:top w:val="single" w:sz="4" w:space="0" w:color="auto"/>
              <w:left w:val="single" w:sz="4" w:space="0" w:color="auto"/>
              <w:bottom w:val="nil"/>
              <w:right w:val="single" w:sz="4" w:space="0" w:color="auto"/>
            </w:tcBorders>
            <w:vAlign w:val="center"/>
          </w:tcPr>
          <w:p w14:paraId="010C1C6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地下水环境敏感特征</w:t>
            </w:r>
          </w:p>
        </w:tc>
      </w:tr>
      <w:tr w:rsidR="002133E3" w14:paraId="7CE764EF" w14:textId="77777777">
        <w:trPr>
          <w:trHeight w:val="302"/>
        </w:trPr>
        <w:tc>
          <w:tcPr>
            <w:tcW w:w="558" w:type="pct"/>
            <w:tcBorders>
              <w:top w:val="single" w:sz="4" w:space="0" w:color="auto"/>
              <w:left w:val="single" w:sz="4" w:space="0" w:color="auto"/>
              <w:bottom w:val="nil"/>
              <w:right w:val="nil"/>
            </w:tcBorders>
            <w:vAlign w:val="center"/>
          </w:tcPr>
          <w:p w14:paraId="3B0B555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敏感</w:t>
            </w:r>
            <w:r>
              <w:rPr>
                <w:rFonts w:ascii="Times New Roman" w:eastAsia="宋体" w:hAnsi="Times New Roman" w:cs="Times New Roman"/>
                <w:kern w:val="0"/>
                <w:szCs w:val="21"/>
              </w:rPr>
              <w:t>G1</w:t>
            </w:r>
          </w:p>
        </w:tc>
        <w:tc>
          <w:tcPr>
            <w:tcW w:w="4442" w:type="pct"/>
            <w:tcBorders>
              <w:top w:val="single" w:sz="4" w:space="0" w:color="auto"/>
              <w:left w:val="single" w:sz="4" w:space="0" w:color="auto"/>
              <w:bottom w:val="nil"/>
              <w:right w:val="single" w:sz="4" w:space="0" w:color="auto"/>
            </w:tcBorders>
            <w:vAlign w:val="center"/>
          </w:tcPr>
          <w:p w14:paraId="3CD61B70" w14:textId="77777777" w:rsidR="002133E3" w:rsidRDefault="00C22CFA">
            <w:pPr>
              <w:jc w:val="left"/>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集中式饮用水水源</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包括己建成的在用、备用、应急水源，在建和规划的饮用水水源</w:t>
            </w:r>
            <w:r>
              <w:rPr>
                <w:rFonts w:ascii="Times New Roman" w:eastAsia="宋体" w:hAnsi="Times New Roman" w:cs="Times New Roman"/>
                <w:kern w:val="0"/>
                <w:szCs w:val="21"/>
              </w:rPr>
              <w:t>)</w:t>
            </w:r>
            <w:r>
              <w:rPr>
                <w:rFonts w:ascii="Times New Roman" w:eastAsia="宋体" w:hAnsi="Times New Roman" w:cs="Times New Roman"/>
                <w:kern w:val="0"/>
                <w:szCs w:val="21"/>
                <w:lang w:val="zh-TW" w:eastAsia="zh-TW"/>
              </w:rPr>
              <w:t>准保护区；除</w:t>
            </w:r>
            <w:r>
              <w:rPr>
                <w:rFonts w:ascii="Times New Roman" w:eastAsia="宋体" w:hAnsi="Times New Roman" w:cs="Times New Roman"/>
                <w:kern w:val="0"/>
                <w:szCs w:val="21"/>
                <w:lang w:val="zh-TW" w:eastAsia="zh-TW"/>
              </w:rPr>
              <w:t xml:space="preserve"> </w:t>
            </w:r>
            <w:r>
              <w:rPr>
                <w:rFonts w:ascii="Times New Roman" w:eastAsia="宋体" w:hAnsi="Times New Roman" w:cs="Times New Roman"/>
                <w:kern w:val="0"/>
                <w:szCs w:val="21"/>
                <w:lang w:val="zh-TW" w:eastAsia="zh-TW"/>
              </w:rPr>
              <w:t>集中式饮用水水源以外的国家或地方政府设定的与地下水环境相关的其他保护区，如热水、矿泉水、</w:t>
            </w:r>
            <w:r>
              <w:rPr>
                <w:rFonts w:ascii="Times New Roman" w:eastAsia="宋体" w:hAnsi="Times New Roman" w:cs="Times New Roman"/>
                <w:kern w:val="0"/>
                <w:szCs w:val="21"/>
                <w:lang w:val="zh-TW" w:eastAsia="zh-TW"/>
              </w:rPr>
              <w:t xml:space="preserve"> </w:t>
            </w:r>
            <w:r>
              <w:rPr>
                <w:rFonts w:ascii="Times New Roman" w:eastAsia="宋体" w:hAnsi="Times New Roman" w:cs="Times New Roman"/>
                <w:kern w:val="0"/>
                <w:szCs w:val="21"/>
                <w:lang w:val="zh-TW" w:eastAsia="zh-TW"/>
              </w:rPr>
              <w:t>温泉等特殊地下水资源保护区</w:t>
            </w:r>
          </w:p>
        </w:tc>
      </w:tr>
      <w:tr w:rsidR="002133E3" w14:paraId="539A08EA" w14:textId="77777777">
        <w:trPr>
          <w:trHeight w:val="302"/>
        </w:trPr>
        <w:tc>
          <w:tcPr>
            <w:tcW w:w="558" w:type="pct"/>
            <w:tcBorders>
              <w:top w:val="single" w:sz="4" w:space="0" w:color="auto"/>
              <w:left w:val="single" w:sz="4" w:space="0" w:color="auto"/>
              <w:bottom w:val="nil"/>
              <w:right w:val="nil"/>
            </w:tcBorders>
            <w:vAlign w:val="center"/>
          </w:tcPr>
          <w:p w14:paraId="54182F7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较敏感</w:t>
            </w:r>
            <w:r>
              <w:rPr>
                <w:rFonts w:ascii="Times New Roman" w:eastAsia="宋体" w:hAnsi="Times New Roman" w:cs="Times New Roman"/>
                <w:kern w:val="0"/>
                <w:szCs w:val="21"/>
              </w:rPr>
              <w:t>G2</w:t>
            </w:r>
          </w:p>
        </w:tc>
        <w:tc>
          <w:tcPr>
            <w:tcW w:w="4442" w:type="pct"/>
            <w:tcBorders>
              <w:top w:val="single" w:sz="4" w:space="0" w:color="auto"/>
              <w:left w:val="single" w:sz="4" w:space="0" w:color="auto"/>
              <w:bottom w:val="nil"/>
              <w:right w:val="single" w:sz="4" w:space="0" w:color="auto"/>
            </w:tcBorders>
            <w:vAlign w:val="center"/>
          </w:tcPr>
          <w:p w14:paraId="3EE0DD64" w14:textId="77777777" w:rsidR="002133E3" w:rsidRDefault="00C22CFA">
            <w:pPr>
              <w:jc w:val="left"/>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集中式饮用水水源</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包括己建成的在用、备用、应急水源，在建和规划的饮用水水源</w:t>
            </w:r>
            <w:r>
              <w:rPr>
                <w:rFonts w:ascii="Times New Roman" w:eastAsia="宋体" w:hAnsi="Times New Roman" w:cs="Times New Roman"/>
                <w:kern w:val="0"/>
                <w:szCs w:val="21"/>
              </w:rPr>
              <w:t>)</w:t>
            </w:r>
            <w:r>
              <w:rPr>
                <w:rFonts w:ascii="Times New Roman" w:eastAsia="宋体" w:hAnsi="Times New Roman" w:cs="Times New Roman"/>
                <w:kern w:val="0"/>
                <w:szCs w:val="21"/>
                <w:lang w:val="zh-TW" w:eastAsia="zh-TW"/>
              </w:rPr>
              <w:t>准保护区以外</w:t>
            </w:r>
            <w:r>
              <w:rPr>
                <w:rFonts w:ascii="Times New Roman" w:eastAsia="宋体" w:hAnsi="Times New Roman" w:cs="Times New Roman"/>
                <w:kern w:val="0"/>
                <w:szCs w:val="21"/>
                <w:lang w:val="zh-TW" w:eastAsia="zh-TW"/>
              </w:rPr>
              <w:t xml:space="preserve"> </w:t>
            </w:r>
            <w:r>
              <w:rPr>
                <w:rFonts w:ascii="Times New Roman" w:eastAsia="宋体" w:hAnsi="Times New Roman" w:cs="Times New Roman"/>
                <w:kern w:val="0"/>
                <w:szCs w:val="21"/>
                <w:lang w:val="zh-TW" w:eastAsia="zh-TW"/>
              </w:rPr>
              <w:t>的补给径流区；未划定准保护区的集中式饮用水水源，其保护区以外的补给径流区；分散式饮用水水</w:t>
            </w:r>
            <w:r>
              <w:rPr>
                <w:rFonts w:ascii="Times New Roman" w:eastAsia="宋体" w:hAnsi="Times New Roman" w:cs="Times New Roman"/>
                <w:kern w:val="0"/>
                <w:szCs w:val="21"/>
                <w:lang w:val="zh-TW" w:eastAsia="zh-TW"/>
              </w:rPr>
              <w:t xml:space="preserve"> </w:t>
            </w:r>
            <w:r>
              <w:rPr>
                <w:rFonts w:ascii="Times New Roman" w:eastAsia="宋体" w:hAnsi="Times New Roman" w:cs="Times New Roman"/>
                <w:kern w:val="0"/>
                <w:szCs w:val="21"/>
                <w:lang w:val="zh-TW" w:eastAsia="zh-TW"/>
              </w:rPr>
              <w:t>源地；特殊地下水资源</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如热水、矿泉水、温泉等</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保护区以外的分布区等其他未列入上述敏感分级</w:t>
            </w:r>
            <w:r>
              <w:rPr>
                <w:rFonts w:ascii="Times New Roman" w:eastAsia="宋体" w:hAnsi="Times New Roman" w:cs="Times New Roman"/>
                <w:kern w:val="0"/>
                <w:szCs w:val="21"/>
                <w:lang w:val="zh-TW" w:eastAsia="zh-TW"/>
              </w:rPr>
              <w:t xml:space="preserve"> </w:t>
            </w:r>
            <w:r>
              <w:rPr>
                <w:rFonts w:ascii="Times New Roman" w:eastAsia="宋体" w:hAnsi="Times New Roman" w:cs="Times New Roman"/>
                <w:kern w:val="0"/>
                <w:szCs w:val="21"/>
                <w:lang w:val="zh-TW" w:eastAsia="zh-TW"/>
              </w:rPr>
              <w:t>的环境敏感区</w:t>
            </w:r>
            <w:r>
              <w:rPr>
                <w:rFonts w:ascii="Times New Roman" w:eastAsia="宋体" w:hAnsi="Times New Roman" w:cs="Times New Roman"/>
                <w:kern w:val="0"/>
                <w:szCs w:val="21"/>
                <w:vertAlign w:val="superscript"/>
              </w:rPr>
              <w:t>a</w:t>
            </w:r>
          </w:p>
        </w:tc>
      </w:tr>
      <w:tr w:rsidR="002133E3" w14:paraId="41716338" w14:textId="77777777">
        <w:trPr>
          <w:trHeight w:val="302"/>
        </w:trPr>
        <w:tc>
          <w:tcPr>
            <w:tcW w:w="558" w:type="pct"/>
            <w:tcBorders>
              <w:top w:val="single" w:sz="4" w:space="0" w:color="auto"/>
              <w:left w:val="single" w:sz="4" w:space="0" w:color="auto"/>
              <w:bottom w:val="nil"/>
              <w:right w:val="nil"/>
            </w:tcBorders>
            <w:vAlign w:val="center"/>
          </w:tcPr>
          <w:p w14:paraId="5754CCB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不敏感</w:t>
            </w:r>
            <w:r>
              <w:rPr>
                <w:rFonts w:ascii="Times New Roman" w:eastAsia="宋体" w:hAnsi="Times New Roman" w:cs="Times New Roman"/>
                <w:kern w:val="0"/>
                <w:szCs w:val="21"/>
              </w:rPr>
              <w:t>G3</w:t>
            </w:r>
          </w:p>
        </w:tc>
        <w:tc>
          <w:tcPr>
            <w:tcW w:w="4442" w:type="pct"/>
            <w:tcBorders>
              <w:top w:val="single" w:sz="4" w:space="0" w:color="auto"/>
              <w:left w:val="single" w:sz="4" w:space="0" w:color="auto"/>
              <w:bottom w:val="nil"/>
              <w:right w:val="single" w:sz="4" w:space="0" w:color="auto"/>
            </w:tcBorders>
            <w:vAlign w:val="center"/>
          </w:tcPr>
          <w:p w14:paraId="6B3DEB1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上述地区之外的其他地区</w:t>
            </w:r>
          </w:p>
        </w:tc>
      </w:tr>
      <w:tr w:rsidR="002133E3" w14:paraId="0D87A479" w14:textId="77777777">
        <w:trPr>
          <w:trHeight w:val="302"/>
        </w:trPr>
        <w:tc>
          <w:tcPr>
            <w:tcW w:w="5000" w:type="pct"/>
            <w:gridSpan w:val="2"/>
            <w:tcBorders>
              <w:top w:val="single" w:sz="4" w:space="0" w:color="auto"/>
              <w:left w:val="single" w:sz="4" w:space="0" w:color="auto"/>
              <w:bottom w:val="single" w:sz="4" w:space="0" w:color="auto"/>
              <w:right w:val="single" w:sz="4" w:space="0" w:color="auto"/>
            </w:tcBorders>
            <w:vAlign w:val="center"/>
          </w:tcPr>
          <w:p w14:paraId="35F8314A" w14:textId="77777777" w:rsidR="002133E3" w:rsidRDefault="00C22CFA">
            <w:pPr>
              <w:jc w:val="left"/>
              <w:rPr>
                <w:rFonts w:ascii="Times New Roman" w:eastAsia="宋体" w:hAnsi="Times New Roman" w:cs="Times New Roman"/>
                <w:kern w:val="0"/>
                <w:szCs w:val="21"/>
              </w:rPr>
            </w:pPr>
            <w:r>
              <w:rPr>
                <w:rFonts w:ascii="Times New Roman" w:eastAsia="宋体" w:hAnsi="Times New Roman" w:cs="Times New Roman"/>
                <w:kern w:val="0"/>
                <w:szCs w:val="21"/>
                <w:vertAlign w:val="superscript"/>
              </w:rPr>
              <w:t>a</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环境敏感区</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是指《建设项目环境影响评价分类管理名录》中所界定的涉及地下水的环境敏感区</w:t>
            </w:r>
          </w:p>
        </w:tc>
      </w:tr>
    </w:tbl>
    <w:p w14:paraId="27BD7F77" w14:textId="77777777" w:rsidR="002133E3" w:rsidRDefault="00C22CFA">
      <w:pPr>
        <w:adjustRightInd w:val="0"/>
        <w:snapToGrid w:val="0"/>
        <w:spacing w:line="500" w:lineRule="exact"/>
        <w:jc w:val="center"/>
        <w:rPr>
          <w:rFonts w:ascii="Times New Roman" w:eastAsia="宋体" w:hAnsi="Times New Roman" w:cs="Times New Roman"/>
          <w:b/>
          <w:kern w:val="0"/>
          <w:szCs w:val="18"/>
        </w:rPr>
      </w:pPr>
      <w:r>
        <w:rPr>
          <w:rFonts w:ascii="Times New Roman" w:eastAsia="宋体" w:hAnsi="Times New Roman" w:cs="Times New Roman"/>
          <w:b/>
          <w:kern w:val="0"/>
          <w:szCs w:val="18"/>
        </w:rPr>
        <w:t>表</w:t>
      </w:r>
      <w:r>
        <w:rPr>
          <w:rFonts w:ascii="Times New Roman" w:eastAsia="宋体" w:hAnsi="Times New Roman" w:cs="Times New Roman"/>
          <w:b/>
          <w:kern w:val="0"/>
          <w:szCs w:val="18"/>
        </w:rPr>
        <w:t xml:space="preserve">4.6-12 </w:t>
      </w:r>
      <w:r>
        <w:rPr>
          <w:rFonts w:ascii="Times New Roman" w:eastAsia="宋体" w:hAnsi="Times New Roman" w:cs="Times New Roman"/>
          <w:b/>
          <w:kern w:val="0"/>
          <w:szCs w:val="18"/>
        </w:rPr>
        <w:t>包气带防区性能分级</w:t>
      </w:r>
    </w:p>
    <w:tbl>
      <w:tblPr>
        <w:tblW w:w="5057" w:type="pct"/>
        <w:jc w:val="center"/>
        <w:tblCellMar>
          <w:left w:w="0" w:type="dxa"/>
          <w:right w:w="0" w:type="dxa"/>
        </w:tblCellMar>
        <w:tblLook w:val="04A0" w:firstRow="1" w:lastRow="0" w:firstColumn="1" w:lastColumn="0" w:noHBand="0" w:noVBand="1"/>
      </w:tblPr>
      <w:tblGrid>
        <w:gridCol w:w="1269"/>
        <w:gridCol w:w="8489"/>
      </w:tblGrid>
      <w:tr w:rsidR="002133E3" w14:paraId="7B601E61" w14:textId="77777777">
        <w:trPr>
          <w:trHeight w:val="340"/>
          <w:jc w:val="center"/>
        </w:trPr>
        <w:tc>
          <w:tcPr>
            <w:tcW w:w="650" w:type="pct"/>
            <w:tcBorders>
              <w:top w:val="single" w:sz="4" w:space="0" w:color="auto"/>
              <w:left w:val="single" w:sz="4" w:space="0" w:color="auto"/>
              <w:bottom w:val="nil"/>
              <w:right w:val="nil"/>
            </w:tcBorders>
            <w:vAlign w:val="bottom"/>
          </w:tcPr>
          <w:p w14:paraId="2BCFB2F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分级</w:t>
            </w:r>
          </w:p>
        </w:tc>
        <w:tc>
          <w:tcPr>
            <w:tcW w:w="4350" w:type="pct"/>
            <w:tcBorders>
              <w:top w:val="single" w:sz="4" w:space="0" w:color="auto"/>
              <w:left w:val="single" w:sz="4" w:space="0" w:color="auto"/>
              <w:bottom w:val="nil"/>
              <w:right w:val="single" w:sz="4" w:space="0" w:color="auto"/>
            </w:tcBorders>
            <w:vAlign w:val="bottom"/>
          </w:tcPr>
          <w:p w14:paraId="5A11E3E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包气带岩土的渗透性能</w:t>
            </w:r>
          </w:p>
        </w:tc>
      </w:tr>
      <w:tr w:rsidR="002133E3" w14:paraId="077F115F" w14:textId="77777777">
        <w:trPr>
          <w:trHeight w:val="340"/>
          <w:jc w:val="center"/>
        </w:trPr>
        <w:tc>
          <w:tcPr>
            <w:tcW w:w="650" w:type="pct"/>
            <w:tcBorders>
              <w:top w:val="single" w:sz="4" w:space="0" w:color="auto"/>
              <w:left w:val="single" w:sz="4" w:space="0" w:color="auto"/>
              <w:bottom w:val="nil"/>
              <w:right w:val="nil"/>
            </w:tcBorders>
          </w:tcPr>
          <w:p w14:paraId="317A61C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D3</w:t>
            </w:r>
          </w:p>
        </w:tc>
        <w:tc>
          <w:tcPr>
            <w:tcW w:w="4350" w:type="pct"/>
            <w:tcBorders>
              <w:top w:val="single" w:sz="4" w:space="0" w:color="auto"/>
              <w:left w:val="single" w:sz="4" w:space="0" w:color="auto"/>
              <w:bottom w:val="nil"/>
              <w:right w:val="single" w:sz="4" w:space="0" w:color="auto"/>
            </w:tcBorders>
          </w:tcPr>
          <w:p w14:paraId="3F06EB5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Mb≥1m</w:t>
            </w:r>
            <w:r>
              <w:rPr>
                <w:rFonts w:ascii="Times New Roman" w:eastAsia="宋体" w:hAnsi="Times New Roman" w:cs="Times New Roman"/>
                <w:kern w:val="0"/>
                <w:szCs w:val="21"/>
              </w:rPr>
              <w:t>，</w:t>
            </w:r>
            <w:r>
              <w:rPr>
                <w:rFonts w:ascii="Times New Roman" w:eastAsia="宋体" w:hAnsi="Times New Roman" w:cs="Times New Roman"/>
                <w:kern w:val="0"/>
                <w:szCs w:val="21"/>
              </w:rPr>
              <w:t>K≤1.0×10</w:t>
            </w:r>
            <w:r>
              <w:rPr>
                <w:rFonts w:ascii="Times New Roman" w:eastAsia="宋体" w:hAnsi="Times New Roman" w:cs="Times New Roman"/>
                <w:kern w:val="0"/>
                <w:szCs w:val="21"/>
                <w:vertAlign w:val="superscript"/>
              </w:rPr>
              <w:t>-6</w:t>
            </w:r>
            <w:r>
              <w:rPr>
                <w:rFonts w:ascii="Times New Roman" w:eastAsia="宋体" w:hAnsi="Times New Roman" w:cs="Times New Roman"/>
                <w:kern w:val="0"/>
                <w:szCs w:val="21"/>
              </w:rPr>
              <w:t>cm/s</w:t>
            </w:r>
            <w:r>
              <w:rPr>
                <w:rFonts w:ascii="Times New Roman" w:eastAsia="宋体" w:hAnsi="Times New Roman" w:cs="Times New Roman"/>
                <w:kern w:val="0"/>
                <w:szCs w:val="21"/>
              </w:rPr>
              <w:t>，且分布连续、稳定</w:t>
            </w:r>
          </w:p>
        </w:tc>
      </w:tr>
      <w:tr w:rsidR="002133E3" w14:paraId="34AE6114" w14:textId="77777777">
        <w:trPr>
          <w:trHeight w:val="340"/>
          <w:jc w:val="center"/>
        </w:trPr>
        <w:tc>
          <w:tcPr>
            <w:tcW w:w="650" w:type="pct"/>
            <w:tcBorders>
              <w:top w:val="single" w:sz="4" w:space="0" w:color="auto"/>
              <w:left w:val="single" w:sz="4" w:space="0" w:color="auto"/>
              <w:bottom w:val="nil"/>
              <w:right w:val="nil"/>
            </w:tcBorders>
            <w:vAlign w:val="center"/>
          </w:tcPr>
          <w:p w14:paraId="30CA15C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D2</w:t>
            </w:r>
          </w:p>
        </w:tc>
        <w:tc>
          <w:tcPr>
            <w:tcW w:w="4350" w:type="pct"/>
            <w:tcBorders>
              <w:top w:val="single" w:sz="4" w:space="0" w:color="auto"/>
              <w:left w:val="single" w:sz="4" w:space="0" w:color="auto"/>
              <w:bottom w:val="nil"/>
              <w:right w:val="single" w:sz="4" w:space="0" w:color="auto"/>
            </w:tcBorders>
          </w:tcPr>
          <w:p w14:paraId="53B2F3F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0.5≤Mb</w:t>
            </w:r>
            <w:r>
              <w:rPr>
                <w:rFonts w:ascii="Times New Roman" w:eastAsia="宋体" w:hAnsi="Times New Roman" w:cs="Times New Roman"/>
                <w:kern w:val="0"/>
                <w:szCs w:val="21"/>
              </w:rPr>
              <w:t>＜</w:t>
            </w:r>
            <w:r>
              <w:rPr>
                <w:rFonts w:ascii="Times New Roman" w:eastAsia="宋体" w:hAnsi="Times New Roman" w:cs="Times New Roman"/>
                <w:kern w:val="0"/>
                <w:szCs w:val="21"/>
              </w:rPr>
              <w:t>1m</w:t>
            </w:r>
            <w:r>
              <w:rPr>
                <w:rFonts w:ascii="Times New Roman" w:eastAsia="宋体" w:hAnsi="Times New Roman" w:cs="Times New Roman"/>
                <w:kern w:val="0"/>
                <w:szCs w:val="21"/>
              </w:rPr>
              <w:t>，</w:t>
            </w:r>
            <w:r>
              <w:rPr>
                <w:rFonts w:ascii="Times New Roman" w:eastAsia="宋体" w:hAnsi="Times New Roman" w:cs="Times New Roman"/>
                <w:kern w:val="0"/>
                <w:szCs w:val="21"/>
              </w:rPr>
              <w:t>K≤1.0×10</w:t>
            </w:r>
            <w:r>
              <w:rPr>
                <w:rFonts w:ascii="Times New Roman" w:eastAsia="宋体" w:hAnsi="Times New Roman" w:cs="Times New Roman"/>
                <w:kern w:val="0"/>
                <w:szCs w:val="21"/>
                <w:vertAlign w:val="superscript"/>
              </w:rPr>
              <w:t>-6</w:t>
            </w:r>
            <w:r>
              <w:rPr>
                <w:rFonts w:ascii="Times New Roman" w:eastAsia="宋体" w:hAnsi="Times New Roman" w:cs="Times New Roman"/>
                <w:kern w:val="0"/>
                <w:szCs w:val="21"/>
              </w:rPr>
              <w:t>cm/s</w:t>
            </w:r>
            <w:r>
              <w:rPr>
                <w:rFonts w:ascii="Times New Roman" w:eastAsia="宋体" w:hAnsi="Times New Roman" w:cs="Times New Roman"/>
                <w:kern w:val="0"/>
                <w:szCs w:val="21"/>
              </w:rPr>
              <w:t>，且分布连续、稳定</w:t>
            </w:r>
          </w:p>
          <w:p w14:paraId="1347630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Mb≥1m</w:t>
            </w:r>
            <w:r>
              <w:rPr>
                <w:rFonts w:ascii="Times New Roman" w:eastAsia="宋体" w:hAnsi="Times New Roman" w:cs="Times New Roman"/>
                <w:kern w:val="0"/>
                <w:szCs w:val="21"/>
              </w:rPr>
              <w:t>，</w:t>
            </w:r>
            <w:r>
              <w:rPr>
                <w:rFonts w:ascii="Times New Roman" w:eastAsia="宋体" w:hAnsi="Times New Roman" w:cs="Times New Roman"/>
                <w:kern w:val="0"/>
                <w:szCs w:val="21"/>
              </w:rPr>
              <w:t>1.0×10</w:t>
            </w:r>
            <w:r>
              <w:rPr>
                <w:rFonts w:ascii="Times New Roman" w:eastAsia="宋体" w:hAnsi="Times New Roman" w:cs="Times New Roman"/>
                <w:kern w:val="0"/>
                <w:szCs w:val="21"/>
                <w:vertAlign w:val="superscript"/>
              </w:rPr>
              <w:t>-6</w:t>
            </w:r>
            <w:r>
              <w:rPr>
                <w:rFonts w:ascii="Times New Roman" w:eastAsia="宋体" w:hAnsi="Times New Roman" w:cs="Times New Roman"/>
                <w:kern w:val="0"/>
                <w:szCs w:val="21"/>
              </w:rPr>
              <w:t xml:space="preserve">cm/s </w:t>
            </w:r>
            <w:r>
              <w:rPr>
                <w:rFonts w:ascii="Times New Roman" w:eastAsia="宋体" w:hAnsi="Times New Roman" w:cs="Times New Roman"/>
                <w:kern w:val="0"/>
                <w:szCs w:val="21"/>
              </w:rPr>
              <w:t>＜</w:t>
            </w:r>
            <w:r>
              <w:rPr>
                <w:rFonts w:ascii="Times New Roman" w:eastAsia="宋体" w:hAnsi="Times New Roman" w:cs="Times New Roman"/>
                <w:kern w:val="0"/>
                <w:szCs w:val="21"/>
              </w:rPr>
              <w:t>K≤1.0×10</w:t>
            </w:r>
            <w:r>
              <w:rPr>
                <w:rFonts w:ascii="Times New Roman" w:eastAsia="宋体" w:hAnsi="Times New Roman" w:cs="Times New Roman"/>
                <w:kern w:val="0"/>
                <w:szCs w:val="21"/>
                <w:vertAlign w:val="superscript"/>
              </w:rPr>
              <w:t>-4</w:t>
            </w:r>
            <w:r>
              <w:rPr>
                <w:rFonts w:ascii="Times New Roman" w:eastAsia="宋体" w:hAnsi="Times New Roman" w:cs="Times New Roman"/>
                <w:kern w:val="0"/>
                <w:szCs w:val="21"/>
              </w:rPr>
              <w:t>cm/s</w:t>
            </w:r>
            <w:r>
              <w:rPr>
                <w:rFonts w:ascii="Times New Roman" w:eastAsia="宋体" w:hAnsi="Times New Roman" w:cs="Times New Roman"/>
                <w:kern w:val="0"/>
                <w:szCs w:val="21"/>
              </w:rPr>
              <w:t>，且分布连续、稳定</w:t>
            </w:r>
          </w:p>
        </w:tc>
      </w:tr>
      <w:tr w:rsidR="002133E3" w14:paraId="2AC65E20" w14:textId="77777777">
        <w:trPr>
          <w:trHeight w:val="340"/>
          <w:jc w:val="center"/>
        </w:trPr>
        <w:tc>
          <w:tcPr>
            <w:tcW w:w="650" w:type="pct"/>
            <w:tcBorders>
              <w:top w:val="single" w:sz="4" w:space="0" w:color="auto"/>
              <w:left w:val="single" w:sz="4" w:space="0" w:color="auto"/>
              <w:bottom w:val="nil"/>
              <w:right w:val="nil"/>
            </w:tcBorders>
          </w:tcPr>
          <w:p w14:paraId="20CF00D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D1</w:t>
            </w:r>
          </w:p>
        </w:tc>
        <w:tc>
          <w:tcPr>
            <w:tcW w:w="4350" w:type="pct"/>
            <w:tcBorders>
              <w:top w:val="single" w:sz="4" w:space="0" w:color="auto"/>
              <w:left w:val="single" w:sz="4" w:space="0" w:color="auto"/>
              <w:bottom w:val="nil"/>
              <w:right w:val="single" w:sz="4" w:space="0" w:color="auto"/>
            </w:tcBorders>
          </w:tcPr>
          <w:p w14:paraId="405F803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岩</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土</w:t>
            </w:r>
            <w:r>
              <w:rPr>
                <w:rFonts w:ascii="Times New Roman" w:eastAsia="宋体" w:hAnsi="Times New Roman" w:cs="Times New Roman"/>
                <w:kern w:val="0"/>
                <w:szCs w:val="21"/>
                <w:lang w:val="zh-TW" w:eastAsia="zh-TW"/>
              </w:rPr>
              <w:t>)</w:t>
            </w:r>
            <w:r>
              <w:rPr>
                <w:rFonts w:ascii="Times New Roman" w:eastAsia="宋体" w:hAnsi="Times New Roman" w:cs="Times New Roman"/>
                <w:kern w:val="0"/>
                <w:szCs w:val="21"/>
                <w:lang w:val="zh-TW" w:eastAsia="zh-TW"/>
              </w:rPr>
              <w:t>层不满足上述</w:t>
            </w:r>
            <w:r>
              <w:rPr>
                <w:rFonts w:ascii="Times New Roman" w:eastAsia="宋体" w:hAnsi="Times New Roman" w:cs="Times New Roman"/>
                <w:kern w:val="0"/>
                <w:szCs w:val="21"/>
              </w:rPr>
              <w:t>“D2”</w:t>
            </w:r>
            <w:r>
              <w:rPr>
                <w:rFonts w:ascii="Times New Roman" w:eastAsia="宋体" w:hAnsi="Times New Roman" w:cs="Times New Roman"/>
                <w:kern w:val="0"/>
                <w:szCs w:val="21"/>
                <w:lang w:val="zh-TW" w:eastAsia="zh-TW"/>
              </w:rPr>
              <w:t>和</w:t>
            </w:r>
            <w:r>
              <w:rPr>
                <w:rFonts w:ascii="Times New Roman" w:eastAsia="宋体" w:hAnsi="Times New Roman" w:cs="Times New Roman"/>
                <w:kern w:val="0"/>
                <w:szCs w:val="21"/>
              </w:rPr>
              <w:t>“D3”</w:t>
            </w:r>
            <w:r>
              <w:rPr>
                <w:rFonts w:ascii="Times New Roman" w:eastAsia="宋体" w:hAnsi="Times New Roman" w:cs="Times New Roman"/>
                <w:kern w:val="0"/>
                <w:szCs w:val="21"/>
                <w:lang w:val="zh-TW" w:eastAsia="zh-TW"/>
              </w:rPr>
              <w:t>条件</w:t>
            </w:r>
          </w:p>
        </w:tc>
      </w:tr>
      <w:tr w:rsidR="002133E3" w14:paraId="39BB4AF2" w14:textId="77777777">
        <w:trPr>
          <w:trHeight w:val="340"/>
          <w:jc w:val="center"/>
        </w:trPr>
        <w:tc>
          <w:tcPr>
            <w:tcW w:w="5000" w:type="pct"/>
            <w:gridSpan w:val="2"/>
            <w:tcBorders>
              <w:top w:val="single" w:sz="4" w:space="0" w:color="auto"/>
              <w:left w:val="single" w:sz="4" w:space="0" w:color="auto"/>
              <w:bottom w:val="single" w:sz="4" w:space="0" w:color="auto"/>
              <w:right w:val="single" w:sz="4" w:space="0" w:color="auto"/>
            </w:tcBorders>
          </w:tcPr>
          <w:p w14:paraId="1715C88B" w14:textId="77777777" w:rsidR="002133E3" w:rsidRDefault="00C22CFA">
            <w:pPr>
              <w:jc w:val="left"/>
              <w:rPr>
                <w:rFonts w:ascii="Times New Roman" w:eastAsia="宋体" w:hAnsi="Times New Roman" w:cs="Times New Roman"/>
                <w:kern w:val="0"/>
                <w:szCs w:val="21"/>
              </w:rPr>
            </w:pPr>
            <w:r>
              <w:rPr>
                <w:rFonts w:ascii="Times New Roman" w:eastAsia="宋体" w:hAnsi="Times New Roman" w:cs="Times New Roman"/>
                <w:kern w:val="0"/>
                <w:szCs w:val="21"/>
              </w:rPr>
              <w:t>Mb:</w:t>
            </w:r>
            <w:r>
              <w:rPr>
                <w:rFonts w:ascii="Times New Roman" w:eastAsia="宋体" w:hAnsi="Times New Roman" w:cs="Times New Roman"/>
                <w:kern w:val="0"/>
                <w:szCs w:val="21"/>
                <w:lang w:val="zh-TW" w:eastAsia="zh-TW"/>
              </w:rPr>
              <w:t>岩土层单层厚度。</w:t>
            </w:r>
            <w:r>
              <w:rPr>
                <w:rFonts w:ascii="Times New Roman" w:eastAsia="宋体" w:hAnsi="Times New Roman" w:cs="Times New Roman"/>
                <w:kern w:val="0"/>
                <w:szCs w:val="21"/>
                <w:lang w:val="zh-TW" w:eastAsia="zh-TW"/>
              </w:rPr>
              <w:t xml:space="preserve"> </w:t>
            </w:r>
            <w:r>
              <w:rPr>
                <w:rFonts w:ascii="Times New Roman" w:eastAsia="宋体" w:hAnsi="Times New Roman" w:cs="Times New Roman"/>
                <w:kern w:val="0"/>
                <w:szCs w:val="21"/>
                <w:lang w:val="zh-TW"/>
              </w:rPr>
              <w:t>K</w:t>
            </w:r>
            <w:r>
              <w:rPr>
                <w:rFonts w:ascii="Times New Roman" w:eastAsia="宋体" w:hAnsi="Times New Roman" w:cs="Times New Roman"/>
                <w:kern w:val="0"/>
                <w:szCs w:val="21"/>
                <w:lang w:val="zh-TW" w:eastAsia="zh-TW"/>
              </w:rPr>
              <w:t>：渗透系数。</w:t>
            </w:r>
          </w:p>
        </w:tc>
      </w:tr>
    </w:tbl>
    <w:p w14:paraId="61370692" w14:textId="77777777" w:rsidR="002133E3" w:rsidRDefault="00C22CFA">
      <w:pPr>
        <w:spacing w:line="500" w:lineRule="exact"/>
        <w:ind w:firstLine="561"/>
        <w:rPr>
          <w:rFonts w:ascii="Times New Roman" w:eastAsia="宋体" w:hAnsi="Times New Roman" w:cs="Times New Roman"/>
          <w:kern w:val="0"/>
          <w:sz w:val="28"/>
          <w:szCs w:val="20"/>
          <w:lang w:val="zh-TW"/>
        </w:rPr>
      </w:pPr>
      <w:r>
        <w:rPr>
          <w:rFonts w:ascii="Times New Roman" w:eastAsia="宋体" w:hAnsi="Times New Roman" w:cs="Times New Roman"/>
          <w:kern w:val="0"/>
          <w:sz w:val="28"/>
          <w:szCs w:val="20"/>
          <w:lang w:val="zh-TW"/>
        </w:rPr>
        <w:t>根据区域的地下水文勘查报告和敏感性分区调查，项目所在地地下水功能敏感性为不敏感</w:t>
      </w:r>
      <w:r>
        <w:rPr>
          <w:rFonts w:ascii="Times New Roman" w:eastAsia="宋体" w:hAnsi="Times New Roman" w:cs="Times New Roman"/>
          <w:kern w:val="0"/>
          <w:sz w:val="28"/>
          <w:szCs w:val="20"/>
          <w:lang w:val="zh-TW"/>
        </w:rPr>
        <w:t>G3</w:t>
      </w:r>
      <w:r>
        <w:rPr>
          <w:rFonts w:ascii="Times New Roman" w:eastAsia="宋体" w:hAnsi="Times New Roman" w:cs="Times New Roman"/>
          <w:kern w:val="0"/>
          <w:sz w:val="28"/>
          <w:szCs w:val="20"/>
          <w:lang w:val="zh-TW"/>
        </w:rPr>
        <w:t>，包气带防污性能为</w:t>
      </w:r>
      <w:r>
        <w:rPr>
          <w:rFonts w:ascii="Times New Roman" w:eastAsia="宋体" w:hAnsi="Times New Roman" w:cs="Times New Roman"/>
          <w:kern w:val="0"/>
          <w:sz w:val="28"/>
          <w:szCs w:val="20"/>
          <w:lang w:val="zh-TW"/>
        </w:rPr>
        <w:t>D2</w:t>
      </w:r>
      <w:r>
        <w:rPr>
          <w:rFonts w:ascii="Times New Roman" w:eastAsia="宋体" w:hAnsi="Times New Roman" w:cs="Times New Roman"/>
          <w:kern w:val="0"/>
          <w:sz w:val="28"/>
          <w:szCs w:val="20"/>
          <w:lang w:val="zh-TW"/>
        </w:rPr>
        <w:t>，确定区域地下水环境敏感程度为</w:t>
      </w:r>
      <w:r>
        <w:rPr>
          <w:rFonts w:ascii="Times New Roman" w:eastAsia="宋体" w:hAnsi="Times New Roman" w:cs="Times New Roman"/>
          <w:kern w:val="0"/>
          <w:sz w:val="28"/>
          <w:szCs w:val="20"/>
          <w:lang w:val="zh-TW"/>
        </w:rPr>
        <w:t>E3</w:t>
      </w:r>
      <w:r>
        <w:rPr>
          <w:rFonts w:ascii="Times New Roman" w:eastAsia="宋体" w:hAnsi="Times New Roman" w:cs="Times New Roman"/>
          <w:kern w:val="0"/>
          <w:sz w:val="28"/>
          <w:szCs w:val="20"/>
          <w:lang w:val="zh-TW"/>
        </w:rPr>
        <w:t>，</w:t>
      </w:r>
      <w:r>
        <w:rPr>
          <w:rFonts w:ascii="Times New Roman" w:eastAsia="宋体" w:hAnsi="Times New Roman" w:cs="Times New Roman"/>
          <w:kern w:val="0"/>
          <w:sz w:val="28"/>
          <w:szCs w:val="20"/>
        </w:rPr>
        <w:t>则地下水环境风险潜势为</w:t>
      </w:r>
      <w:r>
        <w:rPr>
          <w:rFonts w:ascii="Times New Roman" w:eastAsia="宋体" w:hAnsi="Times New Roman" w:cs="Times New Roman"/>
          <w:bCs/>
          <w:snapToGrid w:val="0"/>
          <w:kern w:val="0"/>
          <w:sz w:val="28"/>
          <w:szCs w:val="20"/>
        </w:rPr>
        <w:t>I</w:t>
      </w:r>
      <w:r>
        <w:rPr>
          <w:rFonts w:ascii="Times New Roman" w:eastAsia="宋体" w:hAnsi="Times New Roman" w:cs="Times New Roman"/>
          <w:kern w:val="0"/>
          <w:sz w:val="28"/>
          <w:szCs w:val="20"/>
        </w:rPr>
        <w:t>级。</w:t>
      </w:r>
    </w:p>
    <w:p w14:paraId="1703F505"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评价等级及评价范围</w:t>
      </w:r>
    </w:p>
    <w:p w14:paraId="0DDB7C7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评价等级</w:t>
      </w:r>
    </w:p>
    <w:p w14:paraId="384284D2" w14:textId="77777777" w:rsidR="002133E3" w:rsidRDefault="00C22CFA">
      <w:pPr>
        <w:spacing w:beforeLines="50" w:before="120" w:line="480" w:lineRule="exact"/>
        <w:ind w:firstLineChars="200" w:firstLine="560"/>
        <w:rPr>
          <w:rFonts w:ascii="Times New Roman" w:eastAsia="宋体" w:hAnsi="Times New Roman" w:cs="Times New Roman"/>
          <w:bCs/>
          <w:snapToGrid w:val="0"/>
          <w:sz w:val="28"/>
          <w:szCs w:val="24"/>
        </w:rPr>
      </w:pPr>
      <w:r>
        <w:rPr>
          <w:rFonts w:ascii="Times New Roman" w:eastAsia="宋体" w:hAnsi="Times New Roman" w:cs="Times New Roman"/>
          <w:bCs/>
          <w:snapToGrid w:val="0"/>
          <w:sz w:val="28"/>
          <w:szCs w:val="24"/>
        </w:rPr>
        <w:t>根据《建设项目环境风险评价技术导则》</w:t>
      </w:r>
      <w:r>
        <w:rPr>
          <w:rFonts w:ascii="Times New Roman" w:eastAsia="宋体" w:hAnsi="Times New Roman" w:cs="Times New Roman"/>
          <w:bCs/>
          <w:snapToGrid w:val="0"/>
          <w:sz w:val="28"/>
          <w:szCs w:val="24"/>
        </w:rPr>
        <w:t>(HJ/T169-2018)</w:t>
      </w:r>
      <w:r>
        <w:rPr>
          <w:rFonts w:ascii="Times New Roman" w:eastAsia="宋体" w:hAnsi="Times New Roman" w:cs="Times New Roman"/>
          <w:bCs/>
          <w:snapToGrid w:val="0"/>
          <w:sz w:val="28"/>
          <w:szCs w:val="24"/>
        </w:rPr>
        <w:t>，根据建设项目涉及的物质及工艺系统危险性和所在地的环境敏感性确定环境风险潜势，风险潜势为</w:t>
      </w:r>
      <w:r>
        <w:rPr>
          <w:rFonts w:ascii="Times New Roman" w:eastAsia="宋体" w:hAnsi="Times New Roman" w:cs="Times New Roman"/>
          <w:bCs/>
          <w:snapToGrid w:val="0"/>
          <w:sz w:val="28"/>
          <w:szCs w:val="24"/>
        </w:rPr>
        <w:t>IV</w:t>
      </w:r>
      <w:r>
        <w:rPr>
          <w:rFonts w:ascii="Times New Roman" w:eastAsia="宋体" w:hAnsi="Times New Roman" w:cs="Times New Roman"/>
          <w:bCs/>
          <w:snapToGrid w:val="0"/>
          <w:sz w:val="28"/>
          <w:szCs w:val="24"/>
        </w:rPr>
        <w:t>及以上，进行一级评价；风险潜势为</w:t>
      </w:r>
      <w:r>
        <w:rPr>
          <w:rFonts w:ascii="Times New Roman" w:eastAsia="宋体" w:hAnsi="Times New Roman" w:cs="Times New Roman"/>
          <w:bCs/>
          <w:snapToGrid w:val="0"/>
          <w:sz w:val="28"/>
          <w:szCs w:val="24"/>
        </w:rPr>
        <w:t>III</w:t>
      </w:r>
      <w:r>
        <w:rPr>
          <w:rFonts w:ascii="Times New Roman" w:eastAsia="宋体" w:hAnsi="Times New Roman" w:cs="Times New Roman"/>
          <w:bCs/>
          <w:snapToGrid w:val="0"/>
          <w:sz w:val="28"/>
          <w:szCs w:val="24"/>
        </w:rPr>
        <w:t>，进行二级评价；风险潜势为</w:t>
      </w:r>
      <w:r>
        <w:rPr>
          <w:rFonts w:ascii="Times New Roman" w:eastAsia="宋体" w:hAnsi="Times New Roman" w:cs="Times New Roman"/>
          <w:bCs/>
          <w:snapToGrid w:val="0"/>
          <w:sz w:val="28"/>
          <w:szCs w:val="24"/>
        </w:rPr>
        <w:t>II</w:t>
      </w:r>
      <w:r>
        <w:rPr>
          <w:rFonts w:ascii="Times New Roman" w:eastAsia="宋体" w:hAnsi="Times New Roman" w:cs="Times New Roman"/>
          <w:bCs/>
          <w:snapToGrid w:val="0"/>
          <w:sz w:val="28"/>
          <w:szCs w:val="24"/>
        </w:rPr>
        <w:t>，进行三级评价；风险潜势为</w:t>
      </w:r>
      <w:r>
        <w:rPr>
          <w:rFonts w:ascii="Times New Roman" w:eastAsia="宋体" w:hAnsi="Times New Roman" w:cs="Times New Roman"/>
          <w:bCs/>
          <w:snapToGrid w:val="0"/>
          <w:sz w:val="28"/>
          <w:szCs w:val="24"/>
        </w:rPr>
        <w:t>I</w:t>
      </w:r>
      <w:r>
        <w:rPr>
          <w:rFonts w:ascii="Times New Roman" w:eastAsia="宋体" w:hAnsi="Times New Roman" w:cs="Times New Roman"/>
          <w:bCs/>
          <w:snapToGrid w:val="0"/>
          <w:sz w:val="28"/>
          <w:szCs w:val="24"/>
        </w:rPr>
        <w:t>，可开展简单分析。</w:t>
      </w:r>
    </w:p>
    <w:p w14:paraId="6AEE50D7" w14:textId="77777777" w:rsidR="002133E3" w:rsidRDefault="00C22CFA">
      <w:pPr>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评价等级的判定见表</w:t>
      </w:r>
      <w:r>
        <w:rPr>
          <w:rFonts w:ascii="Times New Roman" w:eastAsia="宋体" w:hAnsi="Times New Roman" w:cs="Times New Roman"/>
          <w:sz w:val="28"/>
          <w:szCs w:val="24"/>
        </w:rPr>
        <w:t>4.6-13</w:t>
      </w:r>
      <w:r>
        <w:rPr>
          <w:rFonts w:ascii="Times New Roman" w:eastAsia="宋体" w:hAnsi="Times New Roman" w:cs="Times New Roman"/>
          <w:sz w:val="28"/>
          <w:szCs w:val="24"/>
        </w:rPr>
        <w:t>。</w:t>
      </w:r>
    </w:p>
    <w:p w14:paraId="53A03F2A" w14:textId="77777777" w:rsidR="002133E3" w:rsidRDefault="00C22CFA">
      <w:pPr>
        <w:spacing w:line="400" w:lineRule="exact"/>
        <w:jc w:val="center"/>
        <w:rPr>
          <w:rFonts w:ascii="Times New Roman" w:eastAsia="宋体" w:hAnsi="Times New Roman" w:cs="Times New Roman"/>
          <w:b/>
          <w:spacing w:val="-6"/>
          <w:kern w:val="0"/>
          <w:szCs w:val="21"/>
        </w:rPr>
      </w:pPr>
      <w:r>
        <w:rPr>
          <w:rFonts w:ascii="Times New Roman" w:eastAsia="宋体" w:hAnsi="Times New Roman" w:cs="Times New Roman"/>
          <w:b/>
          <w:spacing w:val="-6"/>
          <w:kern w:val="0"/>
          <w:szCs w:val="21"/>
        </w:rPr>
        <w:t>表</w:t>
      </w:r>
      <w:r>
        <w:rPr>
          <w:rFonts w:ascii="Times New Roman" w:eastAsia="宋体" w:hAnsi="Times New Roman" w:cs="Times New Roman"/>
          <w:b/>
          <w:spacing w:val="-6"/>
          <w:kern w:val="0"/>
          <w:szCs w:val="21"/>
        </w:rPr>
        <w:t xml:space="preserve">4.6-13  </w:t>
      </w:r>
      <w:r>
        <w:rPr>
          <w:rFonts w:ascii="Times New Roman" w:eastAsia="宋体" w:hAnsi="Times New Roman" w:cs="Times New Roman"/>
          <w:b/>
          <w:spacing w:val="-6"/>
          <w:kern w:val="0"/>
          <w:szCs w:val="21"/>
        </w:rPr>
        <w:t>评价工作等级</w:t>
      </w:r>
    </w:p>
    <w:tbl>
      <w:tblPr>
        <w:tblW w:w="0" w:type="auto"/>
        <w:jc w:val="center"/>
        <w:tblLayout w:type="fixed"/>
        <w:tblCellMar>
          <w:left w:w="0" w:type="dxa"/>
          <w:right w:w="0" w:type="dxa"/>
        </w:tblCellMar>
        <w:tblLook w:val="04A0" w:firstRow="1" w:lastRow="0" w:firstColumn="1" w:lastColumn="0" w:noHBand="0" w:noVBand="1"/>
      </w:tblPr>
      <w:tblGrid>
        <w:gridCol w:w="1790"/>
        <w:gridCol w:w="1684"/>
        <w:gridCol w:w="1928"/>
        <w:gridCol w:w="1934"/>
        <w:gridCol w:w="2199"/>
      </w:tblGrid>
      <w:tr w:rsidR="002133E3" w14:paraId="36C7F806" w14:textId="77777777">
        <w:trPr>
          <w:trHeight w:val="340"/>
          <w:jc w:val="center"/>
        </w:trPr>
        <w:tc>
          <w:tcPr>
            <w:tcW w:w="1790" w:type="dxa"/>
            <w:tcBorders>
              <w:top w:val="single" w:sz="4" w:space="0" w:color="auto"/>
              <w:left w:val="single" w:sz="4" w:space="0" w:color="auto"/>
              <w:bottom w:val="nil"/>
              <w:right w:val="nil"/>
            </w:tcBorders>
            <w:vAlign w:val="center"/>
          </w:tcPr>
          <w:p w14:paraId="45A420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环境风险潜势</w:t>
            </w:r>
          </w:p>
        </w:tc>
        <w:tc>
          <w:tcPr>
            <w:tcW w:w="1684" w:type="dxa"/>
            <w:tcBorders>
              <w:top w:val="single" w:sz="4" w:space="0" w:color="auto"/>
              <w:left w:val="single" w:sz="4" w:space="0" w:color="auto"/>
              <w:bottom w:val="nil"/>
              <w:right w:val="nil"/>
            </w:tcBorders>
            <w:vAlign w:val="center"/>
          </w:tcPr>
          <w:p w14:paraId="44750F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IV</w:t>
            </w:r>
            <w:r>
              <w:rPr>
                <w:rFonts w:ascii="Times New Roman" w:eastAsia="宋体" w:hAnsi="Times New Roman" w:cs="Times New Roman"/>
                <w:szCs w:val="21"/>
              </w:rPr>
              <w:t>、</w:t>
            </w:r>
            <w:r>
              <w:rPr>
                <w:rFonts w:ascii="Times New Roman" w:eastAsia="宋体" w:hAnsi="Times New Roman" w:cs="Times New Roman"/>
                <w:kern w:val="0"/>
                <w:szCs w:val="21"/>
              </w:rPr>
              <w:t>IV</w:t>
            </w:r>
            <w:r>
              <w:rPr>
                <w:rFonts w:ascii="Times New Roman" w:eastAsia="宋体" w:hAnsi="Times New Roman" w:cs="Times New Roman"/>
                <w:szCs w:val="21"/>
                <w:vertAlign w:val="superscript"/>
              </w:rPr>
              <w:t>+</w:t>
            </w:r>
          </w:p>
        </w:tc>
        <w:tc>
          <w:tcPr>
            <w:tcW w:w="1928" w:type="dxa"/>
            <w:tcBorders>
              <w:top w:val="single" w:sz="4" w:space="0" w:color="auto"/>
              <w:left w:val="single" w:sz="4" w:space="0" w:color="auto"/>
              <w:bottom w:val="nil"/>
              <w:right w:val="nil"/>
            </w:tcBorders>
            <w:vAlign w:val="center"/>
          </w:tcPr>
          <w:p w14:paraId="59D18E4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III</w:t>
            </w:r>
          </w:p>
        </w:tc>
        <w:tc>
          <w:tcPr>
            <w:tcW w:w="1934" w:type="dxa"/>
            <w:tcBorders>
              <w:top w:val="single" w:sz="4" w:space="0" w:color="auto"/>
              <w:left w:val="single" w:sz="4" w:space="0" w:color="auto"/>
              <w:bottom w:val="nil"/>
              <w:right w:val="nil"/>
            </w:tcBorders>
            <w:vAlign w:val="center"/>
          </w:tcPr>
          <w:p w14:paraId="574CCD61" w14:textId="77777777" w:rsidR="002133E3" w:rsidRDefault="00C22CFA">
            <w:pPr>
              <w:widowControl/>
              <w:jc w:val="center"/>
              <w:rPr>
                <w:rFonts w:ascii="Times New Roman" w:eastAsia="宋体" w:hAnsi="Times New Roman" w:cs="Times New Roman"/>
                <w:kern w:val="0"/>
                <w:szCs w:val="21"/>
              </w:rPr>
            </w:pPr>
            <w:bookmarkStart w:id="40" w:name="_Hlk72486583"/>
            <w:r>
              <w:rPr>
                <w:rFonts w:ascii="Times New Roman" w:eastAsia="宋体" w:hAnsi="Times New Roman" w:cs="Times New Roman"/>
                <w:kern w:val="0"/>
                <w:szCs w:val="21"/>
                <w:lang w:val="zh-TW" w:eastAsia="zh-TW"/>
              </w:rPr>
              <w:t>II</w:t>
            </w:r>
            <w:bookmarkEnd w:id="40"/>
          </w:p>
        </w:tc>
        <w:tc>
          <w:tcPr>
            <w:tcW w:w="2199" w:type="dxa"/>
            <w:tcBorders>
              <w:top w:val="single" w:sz="4" w:space="0" w:color="auto"/>
              <w:left w:val="single" w:sz="4" w:space="0" w:color="auto"/>
              <w:bottom w:val="nil"/>
              <w:right w:val="single" w:sz="4" w:space="0" w:color="auto"/>
            </w:tcBorders>
            <w:vAlign w:val="center"/>
          </w:tcPr>
          <w:p w14:paraId="386FDE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lang w:val="zh-TW" w:eastAsia="zh-TW"/>
              </w:rPr>
              <w:t>I</w:t>
            </w:r>
          </w:p>
        </w:tc>
      </w:tr>
      <w:tr w:rsidR="002133E3" w14:paraId="625B121F" w14:textId="77777777">
        <w:trPr>
          <w:trHeight w:val="340"/>
          <w:jc w:val="center"/>
        </w:trPr>
        <w:tc>
          <w:tcPr>
            <w:tcW w:w="1790" w:type="dxa"/>
            <w:tcBorders>
              <w:top w:val="single" w:sz="4" w:space="0" w:color="auto"/>
              <w:left w:val="single" w:sz="4" w:space="0" w:color="auto"/>
              <w:bottom w:val="nil"/>
              <w:right w:val="nil"/>
            </w:tcBorders>
            <w:vAlign w:val="center"/>
          </w:tcPr>
          <w:p w14:paraId="3082D46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评价工作等级</w:t>
            </w:r>
          </w:p>
        </w:tc>
        <w:tc>
          <w:tcPr>
            <w:tcW w:w="1684" w:type="dxa"/>
            <w:tcBorders>
              <w:top w:val="single" w:sz="4" w:space="0" w:color="auto"/>
              <w:left w:val="single" w:sz="4" w:space="0" w:color="auto"/>
              <w:bottom w:val="nil"/>
              <w:right w:val="nil"/>
            </w:tcBorders>
            <w:vAlign w:val="center"/>
          </w:tcPr>
          <w:p w14:paraId="261C0F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一</w:t>
            </w:r>
          </w:p>
        </w:tc>
        <w:tc>
          <w:tcPr>
            <w:tcW w:w="1928" w:type="dxa"/>
            <w:tcBorders>
              <w:top w:val="single" w:sz="4" w:space="0" w:color="auto"/>
              <w:left w:val="single" w:sz="4" w:space="0" w:color="auto"/>
              <w:bottom w:val="nil"/>
              <w:right w:val="nil"/>
            </w:tcBorders>
            <w:vAlign w:val="center"/>
          </w:tcPr>
          <w:p w14:paraId="1D92FF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二</w:t>
            </w:r>
          </w:p>
        </w:tc>
        <w:tc>
          <w:tcPr>
            <w:tcW w:w="1934" w:type="dxa"/>
            <w:tcBorders>
              <w:top w:val="single" w:sz="4" w:space="0" w:color="auto"/>
              <w:left w:val="single" w:sz="4" w:space="0" w:color="auto"/>
              <w:bottom w:val="nil"/>
              <w:right w:val="nil"/>
            </w:tcBorders>
            <w:vAlign w:val="center"/>
          </w:tcPr>
          <w:p w14:paraId="2B4F51F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三</w:t>
            </w:r>
          </w:p>
        </w:tc>
        <w:tc>
          <w:tcPr>
            <w:tcW w:w="2199" w:type="dxa"/>
            <w:tcBorders>
              <w:top w:val="single" w:sz="4" w:space="0" w:color="auto"/>
              <w:left w:val="single" w:sz="4" w:space="0" w:color="auto"/>
              <w:bottom w:val="nil"/>
              <w:right w:val="single" w:sz="4" w:space="0" w:color="auto"/>
            </w:tcBorders>
            <w:vAlign w:val="center"/>
          </w:tcPr>
          <w:p w14:paraId="1D084C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lang w:val="zh-TW" w:eastAsia="zh-TW"/>
              </w:rPr>
              <w:t>简单分析</w:t>
            </w:r>
            <w:r>
              <w:rPr>
                <w:rFonts w:ascii="Times New Roman" w:eastAsia="宋体" w:hAnsi="Times New Roman" w:cs="Times New Roman"/>
                <w:kern w:val="0"/>
                <w:szCs w:val="21"/>
                <w:vertAlign w:val="superscript"/>
              </w:rPr>
              <w:t>a</w:t>
            </w:r>
          </w:p>
        </w:tc>
      </w:tr>
      <w:tr w:rsidR="002133E3" w14:paraId="71E50481" w14:textId="77777777">
        <w:trPr>
          <w:trHeight w:val="340"/>
          <w:jc w:val="center"/>
        </w:trPr>
        <w:tc>
          <w:tcPr>
            <w:tcW w:w="9535" w:type="dxa"/>
            <w:gridSpan w:val="5"/>
            <w:tcBorders>
              <w:top w:val="single" w:sz="4" w:space="0" w:color="auto"/>
              <w:left w:val="single" w:sz="4" w:space="0" w:color="auto"/>
              <w:bottom w:val="single" w:sz="4" w:space="0" w:color="auto"/>
              <w:right w:val="single" w:sz="4" w:space="0" w:color="auto"/>
            </w:tcBorders>
            <w:vAlign w:val="center"/>
          </w:tcPr>
          <w:p w14:paraId="5AD32952"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vertAlign w:val="superscript"/>
              </w:rPr>
              <w:t>a</w:t>
            </w:r>
            <w:r>
              <w:rPr>
                <w:rFonts w:ascii="Times New Roman" w:eastAsia="宋体" w:hAnsi="Times New Roman" w:cs="Times New Roman"/>
                <w:szCs w:val="21"/>
                <w:lang w:val="zh-TW" w:eastAsia="zh-TW"/>
              </w:rPr>
              <w:t>是相对于详细评价工作内容而言，在描述危险物质、环境影响途径、环境危害后果</w:t>
            </w:r>
            <w:r>
              <w:rPr>
                <w:rFonts w:ascii="Times New Roman" w:eastAsia="宋体" w:hAnsi="Times New Roman" w:cs="Times New Roman"/>
                <w:szCs w:val="21"/>
                <w:lang w:val="zh-TW"/>
              </w:rPr>
              <w:t>、</w:t>
            </w:r>
            <w:r>
              <w:rPr>
                <w:rFonts w:ascii="Times New Roman" w:eastAsia="宋体" w:hAnsi="Times New Roman" w:cs="Times New Roman"/>
                <w:szCs w:val="21"/>
                <w:lang w:val="zh-TW" w:eastAsia="zh-TW"/>
              </w:rPr>
              <w:t>风险防范措施等方面给出定性的说明。</w:t>
            </w:r>
          </w:p>
        </w:tc>
      </w:tr>
    </w:tbl>
    <w:p w14:paraId="79EAC145" w14:textId="77777777" w:rsidR="002133E3" w:rsidRDefault="00C22CFA">
      <w:pPr>
        <w:spacing w:beforeLines="50" w:before="120" w:line="480" w:lineRule="exact"/>
        <w:ind w:firstLineChars="200" w:firstLine="560"/>
        <w:rPr>
          <w:rFonts w:ascii="Times New Roman" w:eastAsia="宋体" w:hAnsi="Times New Roman" w:cs="Times New Roman"/>
          <w:bCs/>
          <w:snapToGrid w:val="0"/>
          <w:sz w:val="28"/>
          <w:szCs w:val="24"/>
        </w:rPr>
      </w:pPr>
      <w:r>
        <w:rPr>
          <w:rFonts w:ascii="Times New Roman" w:eastAsia="宋体" w:hAnsi="Times New Roman" w:cs="Times New Roman"/>
          <w:bCs/>
          <w:snapToGrid w:val="0"/>
          <w:sz w:val="28"/>
          <w:szCs w:val="24"/>
        </w:rPr>
        <w:t>由表</w:t>
      </w:r>
      <w:r>
        <w:rPr>
          <w:rFonts w:ascii="Times New Roman" w:eastAsia="宋体" w:hAnsi="Times New Roman" w:cs="Times New Roman"/>
          <w:bCs/>
          <w:snapToGrid w:val="0"/>
          <w:sz w:val="28"/>
          <w:szCs w:val="24"/>
        </w:rPr>
        <w:t>4.6-4</w:t>
      </w:r>
      <w:r>
        <w:rPr>
          <w:rFonts w:ascii="Times New Roman" w:eastAsia="宋体" w:hAnsi="Times New Roman" w:cs="Times New Roman"/>
          <w:bCs/>
          <w:snapToGrid w:val="0"/>
          <w:sz w:val="28"/>
          <w:szCs w:val="24"/>
        </w:rPr>
        <w:t>可知，本项目大气环境风险潜势均为</w:t>
      </w:r>
      <w:r>
        <w:rPr>
          <w:rFonts w:ascii="宋体" w:eastAsia="宋体" w:hAnsi="宋体" w:cs="宋体" w:hint="eastAsia"/>
          <w:bCs/>
          <w:snapToGrid w:val="0"/>
          <w:sz w:val="28"/>
          <w:szCs w:val="24"/>
        </w:rPr>
        <w:t>Ⅲ</w:t>
      </w:r>
      <w:r>
        <w:rPr>
          <w:rFonts w:ascii="Times New Roman" w:eastAsia="宋体" w:hAnsi="Times New Roman" w:cs="Times New Roman"/>
          <w:bCs/>
          <w:snapToGrid w:val="0"/>
          <w:sz w:val="28"/>
          <w:szCs w:val="24"/>
        </w:rPr>
        <w:t>级、地表水环境风险潜势均为</w:t>
      </w:r>
      <w:r>
        <w:rPr>
          <w:rFonts w:ascii="Times New Roman" w:eastAsia="宋体" w:hAnsi="Times New Roman" w:cs="Times New Roman"/>
          <w:bCs/>
          <w:snapToGrid w:val="0"/>
          <w:sz w:val="28"/>
          <w:szCs w:val="24"/>
        </w:rPr>
        <w:t>II</w:t>
      </w:r>
      <w:r>
        <w:rPr>
          <w:rFonts w:ascii="Times New Roman" w:eastAsia="宋体" w:hAnsi="Times New Roman" w:cs="Times New Roman"/>
          <w:bCs/>
          <w:snapToGrid w:val="0"/>
          <w:sz w:val="28"/>
          <w:szCs w:val="24"/>
        </w:rPr>
        <w:t>级、地下水环境风险潜势均为</w:t>
      </w:r>
      <w:r>
        <w:rPr>
          <w:rFonts w:ascii="Times New Roman" w:eastAsia="宋体" w:hAnsi="Times New Roman" w:cs="Times New Roman"/>
          <w:bCs/>
          <w:snapToGrid w:val="0"/>
          <w:sz w:val="28"/>
          <w:szCs w:val="24"/>
        </w:rPr>
        <w:t>I</w:t>
      </w:r>
      <w:r>
        <w:rPr>
          <w:rFonts w:ascii="Times New Roman" w:eastAsia="宋体" w:hAnsi="Times New Roman" w:cs="Times New Roman"/>
          <w:bCs/>
          <w:snapToGrid w:val="0"/>
          <w:sz w:val="28"/>
          <w:szCs w:val="24"/>
        </w:rPr>
        <w:t>级。由表</w:t>
      </w:r>
      <w:r>
        <w:rPr>
          <w:rFonts w:ascii="Times New Roman" w:eastAsia="宋体" w:hAnsi="Times New Roman" w:cs="Times New Roman"/>
          <w:bCs/>
          <w:snapToGrid w:val="0"/>
          <w:sz w:val="28"/>
          <w:szCs w:val="24"/>
        </w:rPr>
        <w:t>4.6-13</w:t>
      </w:r>
      <w:r>
        <w:rPr>
          <w:rFonts w:ascii="Times New Roman" w:eastAsia="宋体" w:hAnsi="Times New Roman" w:cs="Times New Roman"/>
          <w:bCs/>
          <w:snapToGrid w:val="0"/>
          <w:sz w:val="28"/>
          <w:szCs w:val="24"/>
        </w:rPr>
        <w:t>可知，本项目大气环境风险评价等级为二级、地表水环境风险评价等级为三级、地下水环境风险可简单分析。</w:t>
      </w:r>
    </w:p>
    <w:p w14:paraId="3E05705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评价范围</w:t>
      </w:r>
    </w:p>
    <w:p w14:paraId="71B4D389" w14:textId="77777777" w:rsidR="002133E3" w:rsidRDefault="00C22CFA">
      <w:pPr>
        <w:spacing w:beforeLines="50" w:before="120" w:line="480" w:lineRule="exact"/>
        <w:ind w:firstLineChars="200" w:firstLine="560"/>
        <w:rPr>
          <w:rFonts w:ascii="Times New Roman" w:eastAsia="宋体" w:hAnsi="Times New Roman" w:cs="Times New Roman"/>
          <w:bCs/>
          <w:snapToGrid w:val="0"/>
          <w:sz w:val="28"/>
          <w:szCs w:val="24"/>
        </w:rPr>
      </w:pPr>
      <w:r>
        <w:rPr>
          <w:rFonts w:ascii="Times New Roman" w:eastAsia="宋体" w:hAnsi="Times New Roman" w:cs="Times New Roman"/>
          <w:bCs/>
          <w:snapToGrid w:val="0"/>
          <w:sz w:val="28"/>
          <w:szCs w:val="24"/>
        </w:rPr>
        <w:t>本项目大气风险评价范围为距离项目厂界</w:t>
      </w:r>
      <w:r>
        <w:rPr>
          <w:rFonts w:ascii="Times New Roman" w:eastAsia="宋体" w:hAnsi="Times New Roman" w:cs="Times New Roman"/>
          <w:bCs/>
          <w:snapToGrid w:val="0"/>
          <w:sz w:val="28"/>
          <w:szCs w:val="24"/>
        </w:rPr>
        <w:t>3km</w:t>
      </w:r>
      <w:r>
        <w:rPr>
          <w:rFonts w:ascii="Times New Roman" w:eastAsia="宋体" w:hAnsi="Times New Roman" w:cs="Times New Roman"/>
          <w:bCs/>
          <w:snapToGrid w:val="0"/>
          <w:sz w:val="28"/>
          <w:szCs w:val="24"/>
        </w:rPr>
        <w:t>的范围，地表水风险评价范围同地表水现状评价范围，地下水风险评价范围为海州湾生物科技园区。</w:t>
      </w:r>
    </w:p>
    <w:p w14:paraId="4124259B"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风险识别</w:t>
      </w:r>
    </w:p>
    <w:p w14:paraId="22C3887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物质危险性识别</w:t>
      </w:r>
    </w:p>
    <w:p w14:paraId="42564EC9"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根据《建设项目环境风险评价技术导则》</w:t>
      </w:r>
      <w:r>
        <w:rPr>
          <w:rFonts w:ascii="Times New Roman" w:eastAsia="宋体" w:hAnsi="Times New Roman" w:cs="Times New Roman"/>
          <w:sz w:val="28"/>
          <w:szCs w:val="28"/>
        </w:rPr>
        <w:t>(HJ1695-2018)</w:t>
      </w:r>
      <w:r>
        <w:rPr>
          <w:rFonts w:ascii="Times New Roman" w:eastAsia="宋体" w:hAnsi="Times New Roman" w:cs="Times New Roman"/>
          <w:sz w:val="28"/>
          <w:szCs w:val="28"/>
        </w:rPr>
        <w:t>附录</w:t>
      </w:r>
      <w:r>
        <w:rPr>
          <w:rFonts w:ascii="Times New Roman" w:eastAsia="宋体" w:hAnsi="Times New Roman" w:cs="Times New Roman"/>
          <w:sz w:val="28"/>
          <w:szCs w:val="28"/>
        </w:rPr>
        <w:t>B</w:t>
      </w:r>
      <w:r>
        <w:rPr>
          <w:rFonts w:ascii="Times New Roman" w:eastAsia="宋体" w:hAnsi="Times New Roman" w:cs="Times New Roman"/>
          <w:sz w:val="28"/>
          <w:szCs w:val="28"/>
        </w:rPr>
        <w:t>识别出本项目涉及的危险物质，具体识别情况见表</w:t>
      </w:r>
      <w:r>
        <w:rPr>
          <w:rFonts w:ascii="Times New Roman" w:eastAsia="宋体" w:hAnsi="Times New Roman" w:cs="Times New Roman"/>
          <w:sz w:val="28"/>
          <w:szCs w:val="28"/>
        </w:rPr>
        <w:t>4.6-14</w:t>
      </w:r>
      <w:r>
        <w:rPr>
          <w:rFonts w:ascii="Times New Roman" w:eastAsia="宋体" w:hAnsi="Times New Roman" w:cs="Times New Roman"/>
          <w:sz w:val="28"/>
          <w:szCs w:val="28"/>
        </w:rPr>
        <w:t>。</w:t>
      </w:r>
    </w:p>
    <w:p w14:paraId="041958E7" w14:textId="77777777" w:rsidR="002133E3" w:rsidRDefault="00C22CFA">
      <w:pPr>
        <w:tabs>
          <w:tab w:val="left" w:pos="3600"/>
        </w:tabs>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4.6-14  </w:t>
      </w:r>
      <w:r>
        <w:rPr>
          <w:rFonts w:ascii="Times New Roman" w:eastAsia="宋体" w:hAnsi="Times New Roman" w:cs="Times New Roman"/>
          <w:b/>
          <w:szCs w:val="21"/>
        </w:rPr>
        <w:t>储存物质的危险性识别</w:t>
      </w: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1163"/>
        <w:gridCol w:w="871"/>
        <w:gridCol w:w="5803"/>
        <w:gridCol w:w="1595"/>
      </w:tblGrid>
      <w:tr w:rsidR="002133E3" w14:paraId="5787106D" w14:textId="77777777">
        <w:trPr>
          <w:trHeight w:val="272"/>
          <w:jc w:val="center"/>
        </w:trPr>
        <w:tc>
          <w:tcPr>
            <w:tcW w:w="287" w:type="pct"/>
            <w:vAlign w:val="center"/>
          </w:tcPr>
          <w:p w14:paraId="5B744E4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581" w:type="pct"/>
            <w:vAlign w:val="center"/>
          </w:tcPr>
          <w:p w14:paraId="17EB50F6"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名称</w:t>
            </w:r>
          </w:p>
        </w:tc>
        <w:tc>
          <w:tcPr>
            <w:tcW w:w="435" w:type="pct"/>
            <w:vAlign w:val="center"/>
          </w:tcPr>
          <w:p w14:paraId="398DA11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szCs w:val="21"/>
              </w:rPr>
              <w:t>临界量</w:t>
            </w:r>
            <w:r>
              <w:rPr>
                <w:rFonts w:ascii="Times New Roman" w:eastAsia="宋体" w:hAnsi="Times New Roman" w:cs="Times New Roman"/>
                <w:b/>
                <w:bCs/>
                <w:szCs w:val="21"/>
              </w:rPr>
              <w:t>(t)</w:t>
            </w:r>
          </w:p>
        </w:tc>
        <w:tc>
          <w:tcPr>
            <w:tcW w:w="2900" w:type="pct"/>
            <w:vAlign w:val="center"/>
          </w:tcPr>
          <w:p w14:paraId="0968EFC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危险特性</w:t>
            </w:r>
          </w:p>
        </w:tc>
        <w:tc>
          <w:tcPr>
            <w:tcW w:w="797" w:type="pct"/>
            <w:vAlign w:val="center"/>
          </w:tcPr>
          <w:p w14:paraId="19C28C2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危险物质的分布</w:t>
            </w:r>
          </w:p>
        </w:tc>
      </w:tr>
      <w:tr w:rsidR="002133E3" w14:paraId="71EDD3C5" w14:textId="77777777">
        <w:trPr>
          <w:trHeight w:val="284"/>
          <w:jc w:val="center"/>
        </w:trPr>
        <w:tc>
          <w:tcPr>
            <w:tcW w:w="287" w:type="pct"/>
            <w:noWrap/>
            <w:vAlign w:val="center"/>
          </w:tcPr>
          <w:p w14:paraId="738E0D2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581" w:type="pct"/>
            <w:vAlign w:val="center"/>
          </w:tcPr>
          <w:p w14:paraId="2B9B45B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435" w:type="pct"/>
            <w:vAlign w:val="center"/>
          </w:tcPr>
          <w:p w14:paraId="7ECD7DE0" w14:textId="77777777" w:rsidR="002133E3" w:rsidRDefault="00C22CFA">
            <w:pPr>
              <w:widowControl/>
              <w:jc w:val="center"/>
              <w:rPr>
                <w:rFonts w:ascii="Times New Roman" w:eastAsia="宋体" w:hAnsi="Times New Roman" w:cs="Times New Roman"/>
              </w:rPr>
            </w:pPr>
            <w:r>
              <w:rPr>
                <w:rFonts w:ascii="Times New Roman" w:eastAsia="宋体" w:hAnsi="Times New Roman" w:cs="Times New Roman"/>
                <w:kern w:val="0"/>
                <w:szCs w:val="21"/>
              </w:rPr>
              <w:t>10</w:t>
            </w:r>
          </w:p>
        </w:tc>
        <w:tc>
          <w:tcPr>
            <w:tcW w:w="2900" w:type="pct"/>
            <w:vAlign w:val="center"/>
          </w:tcPr>
          <w:p w14:paraId="2C62EDC4" w14:textId="77777777" w:rsidR="002133E3" w:rsidRDefault="00C22CFA">
            <w:pPr>
              <w:widowControl/>
              <w:rPr>
                <w:rFonts w:ascii="Times New Roman" w:eastAsia="宋体" w:hAnsi="Times New Roman" w:cs="Times New Roman"/>
              </w:rPr>
            </w:pPr>
            <w:r>
              <w:rPr>
                <w:rFonts w:ascii="Times New Roman" w:eastAsia="宋体" w:hAnsi="Times New Roman" w:cs="Times New Roman"/>
              </w:rPr>
              <w:t>遇水大量放热，可发生沸溅。与易燃物（如苯）和可燃物（如糖、纤维素等）接触会发生剧烈反应，甚至引起燃烧。遇电石、高氯酸盐、雷酸盐、硝酸盐、苦味酸盐、金属粉末等猛烈反应，发生爆炸或燃烧。有强烈的腐蚀性和吸水性。</w:t>
            </w:r>
          </w:p>
        </w:tc>
        <w:tc>
          <w:tcPr>
            <w:tcW w:w="797" w:type="pct"/>
            <w:vAlign w:val="center"/>
          </w:tcPr>
          <w:p w14:paraId="6A48478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储罐</w:t>
            </w:r>
            <w:r>
              <w:rPr>
                <w:rFonts w:ascii="Times New Roman" w:eastAsia="宋体" w:hAnsi="Times New Roman" w:cs="Times New Roman"/>
                <w:szCs w:val="21"/>
              </w:rPr>
              <w:t>→</w:t>
            </w:r>
            <w:r>
              <w:rPr>
                <w:rFonts w:ascii="Times New Roman" w:eastAsia="宋体" w:hAnsi="Times New Roman" w:cs="Times New Roman"/>
                <w:szCs w:val="21"/>
              </w:rPr>
              <w:t>糖化</w:t>
            </w:r>
            <w:r>
              <w:rPr>
                <w:rFonts w:ascii="Times New Roman" w:eastAsia="宋体" w:hAnsi="Times New Roman" w:cs="Times New Roman"/>
                <w:szCs w:val="21"/>
              </w:rPr>
              <w:t>→</w:t>
            </w:r>
            <w:r>
              <w:rPr>
                <w:rFonts w:ascii="Times New Roman" w:eastAsia="宋体" w:hAnsi="Times New Roman" w:cs="Times New Roman"/>
                <w:szCs w:val="21"/>
              </w:rPr>
              <w:t>发酵</w:t>
            </w:r>
            <w:r>
              <w:rPr>
                <w:rFonts w:ascii="Times New Roman" w:eastAsia="宋体" w:hAnsi="Times New Roman" w:cs="Times New Roman"/>
                <w:szCs w:val="21"/>
              </w:rPr>
              <w:t>→</w:t>
            </w:r>
            <w:r>
              <w:rPr>
                <w:rFonts w:ascii="Times New Roman" w:eastAsia="宋体" w:hAnsi="Times New Roman" w:cs="Times New Roman"/>
                <w:szCs w:val="21"/>
              </w:rPr>
              <w:t>粗馏</w:t>
            </w:r>
          </w:p>
        </w:tc>
      </w:tr>
      <w:tr w:rsidR="009C2E4E" w14:paraId="77FCE645" w14:textId="77777777">
        <w:trPr>
          <w:trHeight w:val="284"/>
          <w:jc w:val="center"/>
        </w:trPr>
        <w:tc>
          <w:tcPr>
            <w:tcW w:w="287" w:type="pct"/>
            <w:noWrap/>
            <w:vAlign w:val="center"/>
          </w:tcPr>
          <w:p w14:paraId="1B2B3C8E" w14:textId="2DF682F4"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581" w:type="pct"/>
            <w:vAlign w:val="center"/>
          </w:tcPr>
          <w:p w14:paraId="64BED9A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甲烷</w:t>
            </w:r>
          </w:p>
        </w:tc>
        <w:tc>
          <w:tcPr>
            <w:tcW w:w="435" w:type="pct"/>
            <w:vAlign w:val="center"/>
          </w:tcPr>
          <w:p w14:paraId="08B0626A"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2900" w:type="pct"/>
            <w:vAlign w:val="center"/>
          </w:tcPr>
          <w:p w14:paraId="71BC3D51" w14:textId="77777777" w:rsidR="009C2E4E" w:rsidRDefault="009C2E4E" w:rsidP="009C2E4E">
            <w:pPr>
              <w:widowControl/>
              <w:rPr>
                <w:rFonts w:ascii="Times New Roman" w:eastAsia="宋体" w:hAnsi="Times New Roman" w:cs="Times New Roman"/>
                <w:kern w:val="0"/>
                <w:szCs w:val="21"/>
              </w:rPr>
            </w:pPr>
            <w:r>
              <w:rPr>
                <w:rFonts w:ascii="Times New Roman" w:eastAsia="宋体" w:hAnsi="Times New Roman" w:cs="Times New Roman"/>
              </w:rPr>
              <w:t>与空气混合能形成爆炸性混合物，遇明火、高热极易燃烧爆炸。与氟、氯等能发生剧烈的化学反应。其蒸气比空气重，能在较低处扩散到相当远的地方，遇明火会引着回燃。若遇高热，容器内压增大，有开裂和爆炸的危险。</w:t>
            </w:r>
          </w:p>
        </w:tc>
        <w:tc>
          <w:tcPr>
            <w:tcW w:w="797" w:type="pct"/>
            <w:vAlign w:val="center"/>
          </w:tcPr>
          <w:p w14:paraId="5D895132" w14:textId="77777777" w:rsidR="009C2E4E" w:rsidRDefault="009C2E4E" w:rsidP="009C2E4E">
            <w:pPr>
              <w:widowControl/>
              <w:jc w:val="center"/>
              <w:rPr>
                <w:rFonts w:ascii="Times New Roman" w:eastAsia="宋体" w:hAnsi="Times New Roman" w:cs="Times New Roman"/>
                <w:szCs w:val="21"/>
              </w:rPr>
            </w:pPr>
            <w:r>
              <w:rPr>
                <w:rFonts w:ascii="Times New Roman" w:eastAsia="宋体" w:hAnsi="Times New Roman" w:cs="Times New Roman"/>
                <w:szCs w:val="21"/>
              </w:rPr>
              <w:t>厌氧罐</w:t>
            </w:r>
            <w:r>
              <w:rPr>
                <w:rFonts w:ascii="Times New Roman" w:eastAsia="宋体" w:hAnsi="Times New Roman" w:cs="Times New Roman"/>
                <w:szCs w:val="21"/>
              </w:rPr>
              <w:t>→</w:t>
            </w:r>
            <w:r>
              <w:rPr>
                <w:rFonts w:ascii="Times New Roman" w:eastAsia="宋体" w:hAnsi="Times New Roman" w:cs="Times New Roman"/>
                <w:szCs w:val="21"/>
              </w:rPr>
              <w:t>沼气气柜</w:t>
            </w:r>
            <w:r>
              <w:rPr>
                <w:rFonts w:ascii="Times New Roman" w:eastAsia="宋体" w:hAnsi="Times New Roman" w:cs="Times New Roman"/>
                <w:szCs w:val="21"/>
              </w:rPr>
              <w:t>→</w:t>
            </w:r>
            <w:r>
              <w:rPr>
                <w:rFonts w:ascii="Times New Roman" w:eastAsia="宋体" w:hAnsi="Times New Roman" w:cs="Times New Roman"/>
                <w:szCs w:val="21"/>
              </w:rPr>
              <w:t>锅炉</w:t>
            </w:r>
          </w:p>
        </w:tc>
      </w:tr>
      <w:tr w:rsidR="009C2E4E" w14:paraId="4AE3DC71" w14:textId="77777777">
        <w:trPr>
          <w:trHeight w:val="284"/>
          <w:jc w:val="center"/>
        </w:trPr>
        <w:tc>
          <w:tcPr>
            <w:tcW w:w="287" w:type="pct"/>
            <w:noWrap/>
            <w:vAlign w:val="center"/>
          </w:tcPr>
          <w:p w14:paraId="3C1ACF9D" w14:textId="650A88D4"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581" w:type="pct"/>
            <w:vAlign w:val="center"/>
          </w:tcPr>
          <w:p w14:paraId="6B9B9F43"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二氧化硫</w:t>
            </w:r>
          </w:p>
        </w:tc>
        <w:tc>
          <w:tcPr>
            <w:tcW w:w="435" w:type="pct"/>
            <w:vAlign w:val="center"/>
          </w:tcPr>
          <w:p w14:paraId="4C39B664"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2900" w:type="pct"/>
            <w:vAlign w:val="center"/>
          </w:tcPr>
          <w:p w14:paraId="5D16E747" w14:textId="77777777" w:rsidR="009C2E4E" w:rsidRDefault="009C2E4E" w:rsidP="009C2E4E">
            <w:pPr>
              <w:widowControl/>
              <w:rPr>
                <w:rFonts w:ascii="Times New Roman" w:eastAsia="宋体" w:hAnsi="Times New Roman" w:cs="Times New Roman"/>
              </w:rPr>
            </w:pPr>
            <w:r>
              <w:rPr>
                <w:rFonts w:ascii="Times New Roman" w:eastAsia="宋体" w:hAnsi="Times New Roman" w:cs="Times New Roman"/>
              </w:rPr>
              <w:t>不燃。若遇高热，容器内压增大，有开裂和爆炸的危险。</w:t>
            </w:r>
          </w:p>
        </w:tc>
        <w:tc>
          <w:tcPr>
            <w:tcW w:w="797" w:type="pct"/>
            <w:vMerge w:val="restart"/>
            <w:vAlign w:val="center"/>
          </w:tcPr>
          <w:p w14:paraId="52B37D89" w14:textId="77777777" w:rsidR="009C2E4E" w:rsidRDefault="009C2E4E" w:rsidP="009C2E4E">
            <w:pPr>
              <w:widowControl/>
              <w:jc w:val="center"/>
              <w:rPr>
                <w:rFonts w:ascii="Times New Roman" w:eastAsia="宋体" w:hAnsi="Times New Roman" w:cs="Times New Roman"/>
                <w:szCs w:val="21"/>
              </w:rPr>
            </w:pPr>
            <w:r>
              <w:rPr>
                <w:rFonts w:ascii="Times New Roman" w:eastAsia="宋体" w:hAnsi="Times New Roman" w:cs="Times New Roman"/>
                <w:szCs w:val="21"/>
              </w:rPr>
              <w:t>甲烷火灾爆炸伴生</w:t>
            </w:r>
            <w:r>
              <w:rPr>
                <w:rFonts w:ascii="Times New Roman" w:eastAsia="宋体" w:hAnsi="Times New Roman" w:cs="Times New Roman"/>
                <w:szCs w:val="21"/>
              </w:rPr>
              <w:t>/</w:t>
            </w:r>
            <w:r>
              <w:rPr>
                <w:rFonts w:ascii="Times New Roman" w:eastAsia="宋体" w:hAnsi="Times New Roman" w:cs="Times New Roman"/>
                <w:szCs w:val="21"/>
              </w:rPr>
              <w:t>次生物</w:t>
            </w:r>
          </w:p>
        </w:tc>
      </w:tr>
      <w:tr w:rsidR="009C2E4E" w14:paraId="1107363E" w14:textId="77777777">
        <w:trPr>
          <w:trHeight w:val="284"/>
          <w:jc w:val="center"/>
        </w:trPr>
        <w:tc>
          <w:tcPr>
            <w:tcW w:w="287" w:type="pct"/>
            <w:noWrap/>
            <w:vAlign w:val="center"/>
          </w:tcPr>
          <w:p w14:paraId="228CB591" w14:textId="31E4DECB"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581" w:type="pct"/>
            <w:vAlign w:val="center"/>
          </w:tcPr>
          <w:p w14:paraId="0B1E3F57" w14:textId="77777777" w:rsidR="009C2E4E" w:rsidRDefault="009C2E4E" w:rsidP="009C2E4E">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一氧化碳</w:t>
            </w:r>
          </w:p>
        </w:tc>
        <w:tc>
          <w:tcPr>
            <w:tcW w:w="435" w:type="pct"/>
            <w:vAlign w:val="center"/>
          </w:tcPr>
          <w:p w14:paraId="2270A0E8" w14:textId="77777777" w:rsidR="009C2E4E" w:rsidRDefault="009C2E4E" w:rsidP="009C2E4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7.5</w:t>
            </w:r>
          </w:p>
        </w:tc>
        <w:tc>
          <w:tcPr>
            <w:tcW w:w="2900" w:type="pct"/>
            <w:vAlign w:val="center"/>
          </w:tcPr>
          <w:p w14:paraId="55D9B5E1" w14:textId="77777777" w:rsidR="009C2E4E" w:rsidRDefault="009C2E4E" w:rsidP="009C2E4E">
            <w:pPr>
              <w:widowControl/>
              <w:rPr>
                <w:rFonts w:ascii="Times New Roman" w:eastAsia="宋体" w:hAnsi="Times New Roman" w:cs="Times New Roman"/>
              </w:rPr>
            </w:pPr>
            <w:r>
              <w:rPr>
                <w:rFonts w:ascii="Times New Roman" w:eastAsia="宋体" w:hAnsi="Times New Roman" w:cs="Times New Roman"/>
              </w:rPr>
              <w:t>是一种易燃易爆气体。与空气混合能形成爆炸性混合物，遇明火、高热能引起燃烧爆炸。</w:t>
            </w:r>
          </w:p>
        </w:tc>
        <w:tc>
          <w:tcPr>
            <w:tcW w:w="797" w:type="pct"/>
            <w:vMerge/>
            <w:vAlign w:val="center"/>
          </w:tcPr>
          <w:p w14:paraId="1C234B29" w14:textId="77777777" w:rsidR="009C2E4E" w:rsidRDefault="009C2E4E" w:rsidP="009C2E4E">
            <w:pPr>
              <w:widowControl/>
              <w:jc w:val="center"/>
              <w:rPr>
                <w:rFonts w:ascii="Times New Roman" w:eastAsia="宋体" w:hAnsi="Times New Roman" w:cs="Times New Roman"/>
                <w:szCs w:val="21"/>
              </w:rPr>
            </w:pPr>
          </w:p>
        </w:tc>
      </w:tr>
    </w:tbl>
    <w:p w14:paraId="5CB8B3E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生产系统危险性识别</w:t>
      </w:r>
    </w:p>
    <w:p w14:paraId="34DA746B" w14:textId="77777777" w:rsidR="002133E3" w:rsidRDefault="00C22CFA">
      <w:pPr>
        <w:tabs>
          <w:tab w:val="left" w:pos="4500"/>
        </w:tabs>
        <w:spacing w:line="48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生产过程风险识别主要包括对生产过程、环保设施、贮存系统等环境出现故障可能发生的事故风险进行识别。</w:t>
      </w:r>
    </w:p>
    <w:p w14:paraId="3BB0FBFF" w14:textId="77777777" w:rsidR="002133E3" w:rsidRDefault="00C22CFA">
      <w:pPr>
        <w:tabs>
          <w:tab w:val="left" w:pos="4500"/>
        </w:tabs>
        <w:spacing w:line="480" w:lineRule="exact"/>
        <w:ind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(1) </w:t>
      </w:r>
      <w:r>
        <w:rPr>
          <w:rFonts w:ascii="Times New Roman" w:eastAsia="宋体" w:hAnsi="Times New Roman" w:cs="Times New Roman"/>
          <w:kern w:val="0"/>
          <w:sz w:val="28"/>
          <w:szCs w:val="28"/>
        </w:rPr>
        <w:t>生产车间内物料输送管道破损造成的液体物料泄漏；</w:t>
      </w:r>
    </w:p>
    <w:p w14:paraId="0FC03849" w14:textId="77777777" w:rsidR="002133E3" w:rsidRDefault="00C22CFA">
      <w:pPr>
        <w:tabs>
          <w:tab w:val="left" w:pos="4500"/>
        </w:tabs>
        <w:spacing w:line="480" w:lineRule="exact"/>
        <w:ind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废气处理系统故障造成对大气环境的影响；</w:t>
      </w:r>
    </w:p>
    <w:p w14:paraId="5C3C0968" w14:textId="77777777" w:rsidR="002133E3" w:rsidRDefault="00C22CFA">
      <w:pPr>
        <w:tabs>
          <w:tab w:val="left" w:pos="4500"/>
        </w:tabs>
        <w:spacing w:line="480" w:lineRule="exact"/>
        <w:ind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(3) </w:t>
      </w:r>
      <w:r>
        <w:rPr>
          <w:rFonts w:ascii="Times New Roman" w:eastAsia="宋体" w:hAnsi="Times New Roman" w:cs="Times New Roman"/>
          <w:kern w:val="0"/>
          <w:sz w:val="28"/>
          <w:szCs w:val="28"/>
        </w:rPr>
        <w:t>污水站废水泄漏造成的地下水、土壤的污染；</w:t>
      </w:r>
    </w:p>
    <w:p w14:paraId="0641C02A" w14:textId="77777777" w:rsidR="002133E3" w:rsidRDefault="00C22CFA">
      <w:pPr>
        <w:tabs>
          <w:tab w:val="left" w:pos="4500"/>
        </w:tabs>
        <w:spacing w:line="480" w:lineRule="exact"/>
        <w:ind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(4) </w:t>
      </w:r>
      <w:r>
        <w:rPr>
          <w:rFonts w:ascii="Times New Roman" w:eastAsia="宋体" w:hAnsi="Times New Roman" w:cs="Times New Roman"/>
          <w:color w:val="0D0D0D" w:themeColor="text1" w:themeTint="F2"/>
          <w:sz w:val="28"/>
          <w:szCs w:val="28"/>
          <w:lang w:val="en-GB"/>
        </w:rPr>
        <w:t>污水站沼气柜发生泄漏引起火灾爆炸造成的次生</w:t>
      </w:r>
      <w:r>
        <w:rPr>
          <w:rFonts w:ascii="Times New Roman" w:eastAsia="宋体" w:hAnsi="Times New Roman" w:cs="Times New Roman"/>
          <w:color w:val="0D0D0D" w:themeColor="text1" w:themeTint="F2"/>
          <w:sz w:val="28"/>
          <w:szCs w:val="28"/>
          <w:lang w:val="en-GB"/>
        </w:rPr>
        <w:t>/</w:t>
      </w:r>
      <w:r>
        <w:rPr>
          <w:rFonts w:ascii="Times New Roman" w:eastAsia="宋体" w:hAnsi="Times New Roman" w:cs="Times New Roman"/>
          <w:color w:val="0D0D0D" w:themeColor="text1" w:themeTint="F2"/>
          <w:sz w:val="28"/>
          <w:szCs w:val="28"/>
          <w:lang w:val="en-GB"/>
        </w:rPr>
        <w:t>伴生危害</w:t>
      </w:r>
      <w:r>
        <w:rPr>
          <w:rFonts w:ascii="Times New Roman" w:eastAsia="宋体" w:hAnsi="Times New Roman" w:cs="Times New Roman"/>
          <w:kern w:val="0"/>
          <w:sz w:val="28"/>
          <w:szCs w:val="28"/>
        </w:rPr>
        <w:t>；</w:t>
      </w:r>
    </w:p>
    <w:p w14:paraId="2375B585" w14:textId="77777777" w:rsidR="002133E3" w:rsidRDefault="00C22CFA">
      <w:pPr>
        <w:tabs>
          <w:tab w:val="left" w:pos="4500"/>
        </w:tabs>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(5) </w:t>
      </w:r>
      <w:r>
        <w:rPr>
          <w:rFonts w:ascii="Times New Roman" w:eastAsia="宋体" w:hAnsi="Times New Roman" w:cs="Times New Roman"/>
          <w:kern w:val="0"/>
          <w:sz w:val="28"/>
          <w:szCs w:val="28"/>
        </w:rPr>
        <w:t>硫酸储罐泄漏造成的地下水、土壤的污染；</w:t>
      </w:r>
    </w:p>
    <w:p w14:paraId="198739E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风险识别结果</w:t>
      </w:r>
    </w:p>
    <w:p w14:paraId="73C64C7B" w14:textId="77777777" w:rsidR="002133E3" w:rsidRDefault="00C22CFA">
      <w:pPr>
        <w:tabs>
          <w:tab w:val="left" w:pos="4500"/>
        </w:tabs>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根据项目物质危险性识别、生产系统危险性识别，本项目危险单元详见表</w:t>
      </w:r>
      <w:r>
        <w:rPr>
          <w:rFonts w:ascii="Times New Roman" w:eastAsia="宋体" w:hAnsi="Times New Roman" w:cs="Times New Roman"/>
          <w:kern w:val="0"/>
          <w:sz w:val="28"/>
          <w:szCs w:val="28"/>
        </w:rPr>
        <w:t>4.6-15</w:t>
      </w:r>
      <w:r>
        <w:rPr>
          <w:rFonts w:ascii="Times New Roman" w:eastAsia="宋体" w:hAnsi="Times New Roman" w:cs="Times New Roman"/>
          <w:kern w:val="0"/>
          <w:sz w:val="28"/>
          <w:szCs w:val="28"/>
        </w:rPr>
        <w:t>。</w:t>
      </w:r>
    </w:p>
    <w:p w14:paraId="1970EF8A" w14:textId="77777777" w:rsidR="002133E3" w:rsidRDefault="00C22CFA">
      <w:pPr>
        <w:adjustRightInd w:val="0"/>
        <w:snapToGrid w:val="0"/>
        <w:jc w:val="center"/>
        <w:rPr>
          <w:rFonts w:ascii="Times New Roman" w:eastAsia="宋体" w:hAnsi="Times New Roman" w:cs="Times New Roman"/>
          <w:b/>
          <w:kern w:val="0"/>
          <w:szCs w:val="18"/>
        </w:rPr>
      </w:pPr>
      <w:r>
        <w:rPr>
          <w:rFonts w:ascii="Times New Roman" w:eastAsia="宋体" w:hAnsi="Times New Roman" w:cs="Times New Roman"/>
          <w:b/>
          <w:kern w:val="0"/>
          <w:szCs w:val="18"/>
        </w:rPr>
        <w:t>表</w:t>
      </w:r>
      <w:r>
        <w:rPr>
          <w:rFonts w:ascii="Times New Roman" w:eastAsia="宋体" w:hAnsi="Times New Roman" w:cs="Times New Roman"/>
          <w:b/>
          <w:kern w:val="0"/>
          <w:szCs w:val="18"/>
        </w:rPr>
        <w:t xml:space="preserve">4.6-15  </w:t>
      </w:r>
      <w:r>
        <w:rPr>
          <w:rFonts w:ascii="Times New Roman" w:eastAsia="宋体" w:hAnsi="Times New Roman" w:cs="Times New Roman"/>
          <w:b/>
          <w:kern w:val="0"/>
          <w:szCs w:val="18"/>
        </w:rPr>
        <w:t>风险识别结果表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590"/>
        <w:gridCol w:w="873"/>
        <w:gridCol w:w="1303"/>
        <w:gridCol w:w="1575"/>
        <w:gridCol w:w="2925"/>
        <w:gridCol w:w="1151"/>
      </w:tblGrid>
      <w:tr w:rsidR="002133E3" w14:paraId="6EE8DAD2" w14:textId="77777777" w:rsidTr="009C2E4E">
        <w:trPr>
          <w:trHeight w:val="329"/>
          <w:jc w:val="center"/>
        </w:trPr>
        <w:tc>
          <w:tcPr>
            <w:tcW w:w="222" w:type="pct"/>
            <w:vAlign w:val="center"/>
          </w:tcPr>
          <w:p w14:paraId="1CA2477E" w14:textId="77777777" w:rsidR="002133E3" w:rsidRDefault="00C22CFA">
            <w:pPr>
              <w:tabs>
                <w:tab w:val="left" w:pos="4500"/>
              </w:tabs>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807" w:type="pct"/>
            <w:vAlign w:val="center"/>
          </w:tcPr>
          <w:p w14:paraId="189D75C2" w14:textId="77777777" w:rsidR="002133E3" w:rsidRDefault="00C22CFA">
            <w:pPr>
              <w:tabs>
                <w:tab w:val="left" w:pos="4500"/>
              </w:tabs>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危险单元</w:t>
            </w:r>
          </w:p>
        </w:tc>
        <w:tc>
          <w:tcPr>
            <w:tcW w:w="443" w:type="pct"/>
            <w:vAlign w:val="center"/>
          </w:tcPr>
          <w:p w14:paraId="6BBB43CE" w14:textId="77777777" w:rsidR="002133E3" w:rsidRDefault="00C22CFA">
            <w:pPr>
              <w:tabs>
                <w:tab w:val="left" w:pos="4500"/>
              </w:tabs>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风险源</w:t>
            </w:r>
          </w:p>
        </w:tc>
        <w:tc>
          <w:tcPr>
            <w:tcW w:w="661" w:type="pct"/>
            <w:vAlign w:val="center"/>
          </w:tcPr>
          <w:p w14:paraId="0A2515BF" w14:textId="77777777" w:rsidR="002133E3" w:rsidRDefault="00C22CFA">
            <w:pPr>
              <w:tabs>
                <w:tab w:val="left" w:pos="4500"/>
              </w:tabs>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主要危险物质</w:t>
            </w:r>
          </w:p>
        </w:tc>
        <w:tc>
          <w:tcPr>
            <w:tcW w:w="799" w:type="pct"/>
            <w:vAlign w:val="center"/>
          </w:tcPr>
          <w:p w14:paraId="4BC0070B" w14:textId="77777777" w:rsidR="002133E3" w:rsidRDefault="00C22CFA">
            <w:pPr>
              <w:tabs>
                <w:tab w:val="left" w:pos="4500"/>
              </w:tabs>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环境风险类型</w:t>
            </w:r>
          </w:p>
        </w:tc>
        <w:tc>
          <w:tcPr>
            <w:tcW w:w="1484" w:type="pct"/>
            <w:vAlign w:val="center"/>
          </w:tcPr>
          <w:p w14:paraId="20DB15DA" w14:textId="77777777" w:rsidR="002133E3" w:rsidRDefault="00C22CFA">
            <w:pPr>
              <w:tabs>
                <w:tab w:val="left" w:pos="4500"/>
              </w:tabs>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环境影响途径</w:t>
            </w:r>
          </w:p>
        </w:tc>
        <w:tc>
          <w:tcPr>
            <w:tcW w:w="584" w:type="pct"/>
            <w:vAlign w:val="center"/>
          </w:tcPr>
          <w:p w14:paraId="0FE21268" w14:textId="77777777" w:rsidR="002133E3" w:rsidRDefault="00C22CFA">
            <w:pPr>
              <w:tabs>
                <w:tab w:val="left" w:pos="4500"/>
              </w:tabs>
              <w:adjustRightInd w:val="0"/>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可能受影响的环境敏感目标</w:t>
            </w:r>
          </w:p>
        </w:tc>
      </w:tr>
      <w:tr w:rsidR="002133E3" w14:paraId="70CAFD92" w14:textId="77777777" w:rsidTr="009C2E4E">
        <w:trPr>
          <w:trHeight w:val="329"/>
          <w:jc w:val="center"/>
        </w:trPr>
        <w:tc>
          <w:tcPr>
            <w:tcW w:w="222" w:type="pct"/>
            <w:vAlign w:val="center"/>
          </w:tcPr>
          <w:p w14:paraId="761FAF95" w14:textId="77777777" w:rsidR="002133E3" w:rsidRDefault="00C22CFA">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1</w:t>
            </w:r>
          </w:p>
        </w:tc>
        <w:tc>
          <w:tcPr>
            <w:tcW w:w="807" w:type="pct"/>
            <w:vAlign w:val="center"/>
          </w:tcPr>
          <w:p w14:paraId="389FECBA" w14:textId="77777777" w:rsidR="002133E3" w:rsidRDefault="00C22CFA">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生产车间废气处理</w:t>
            </w:r>
          </w:p>
        </w:tc>
        <w:tc>
          <w:tcPr>
            <w:tcW w:w="443" w:type="pct"/>
            <w:vAlign w:val="center"/>
          </w:tcPr>
          <w:p w14:paraId="6A497050" w14:textId="77777777" w:rsidR="002133E3" w:rsidRDefault="00C22CFA">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废气处理设施</w:t>
            </w:r>
          </w:p>
        </w:tc>
        <w:tc>
          <w:tcPr>
            <w:tcW w:w="661" w:type="pct"/>
            <w:vAlign w:val="center"/>
          </w:tcPr>
          <w:p w14:paraId="1E66979D" w14:textId="77777777" w:rsidR="002133E3" w:rsidRDefault="00C22CFA">
            <w:pPr>
              <w:adjustRightInd w:val="0"/>
              <w:snapToGrid w:val="0"/>
              <w:jc w:val="center"/>
              <w:textAlignment w:val="top"/>
              <w:rPr>
                <w:rFonts w:ascii="Times New Roman" w:eastAsia="宋体" w:hAnsi="Times New Roman" w:cs="Times New Roman"/>
                <w:kern w:val="0"/>
                <w:szCs w:val="21"/>
              </w:rPr>
            </w:pPr>
            <w:r>
              <w:rPr>
                <w:rFonts w:ascii="Times New Roman" w:eastAsia="宋体" w:hAnsi="Times New Roman" w:cs="Times New Roman"/>
                <w:kern w:val="0"/>
                <w:szCs w:val="21"/>
              </w:rPr>
              <w:t>粉尘、乙醇、甲醇</w:t>
            </w:r>
            <w:r>
              <w:rPr>
                <w:rFonts w:ascii="Times New Roman" w:eastAsia="宋体" w:hAnsi="Times New Roman" w:cs="Times New Roman"/>
                <w:kern w:val="0"/>
                <w:szCs w:val="21"/>
              </w:rPr>
              <w:t>/</w:t>
            </w:r>
            <w:r>
              <w:rPr>
                <w:rFonts w:ascii="Times New Roman" w:eastAsia="宋体" w:hAnsi="Times New Roman" w:cs="Times New Roman"/>
                <w:kern w:val="0"/>
                <w:szCs w:val="21"/>
              </w:rPr>
              <w:t>醛等</w:t>
            </w:r>
          </w:p>
        </w:tc>
        <w:tc>
          <w:tcPr>
            <w:tcW w:w="799" w:type="pct"/>
            <w:vAlign w:val="center"/>
          </w:tcPr>
          <w:p w14:paraId="60D320C0" w14:textId="77777777" w:rsidR="002133E3" w:rsidRDefault="00C22CFA">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设备故障</w:t>
            </w:r>
          </w:p>
        </w:tc>
        <w:tc>
          <w:tcPr>
            <w:tcW w:w="1484" w:type="pct"/>
            <w:vAlign w:val="center"/>
          </w:tcPr>
          <w:p w14:paraId="1E9C40DD" w14:textId="77777777" w:rsidR="002133E3" w:rsidRDefault="00C22CFA">
            <w:pPr>
              <w:tabs>
                <w:tab w:val="left" w:pos="4500"/>
              </w:tabs>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生产线废气未经处理直接排放，对大气环境造成影响</w:t>
            </w:r>
          </w:p>
        </w:tc>
        <w:tc>
          <w:tcPr>
            <w:tcW w:w="584" w:type="pct"/>
            <w:vMerge w:val="restart"/>
            <w:vAlign w:val="center"/>
          </w:tcPr>
          <w:p w14:paraId="6B713354" w14:textId="77777777" w:rsidR="002133E3" w:rsidRDefault="00C22CFA">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大气环境周围</w:t>
            </w:r>
            <w:r>
              <w:rPr>
                <w:rFonts w:ascii="Times New Roman" w:eastAsia="宋体" w:hAnsi="Times New Roman" w:cs="Times New Roman"/>
                <w:kern w:val="0"/>
                <w:szCs w:val="21"/>
              </w:rPr>
              <w:t>5km</w:t>
            </w:r>
            <w:r>
              <w:rPr>
                <w:rFonts w:ascii="Times New Roman" w:eastAsia="宋体" w:hAnsi="Times New Roman" w:cs="Times New Roman"/>
                <w:kern w:val="0"/>
                <w:szCs w:val="21"/>
              </w:rPr>
              <w:t>居民</w:t>
            </w:r>
          </w:p>
        </w:tc>
      </w:tr>
      <w:tr w:rsidR="009C2E4E" w14:paraId="195AB7E1" w14:textId="77777777" w:rsidTr="009C2E4E">
        <w:trPr>
          <w:trHeight w:val="329"/>
          <w:jc w:val="center"/>
        </w:trPr>
        <w:tc>
          <w:tcPr>
            <w:tcW w:w="222" w:type="pct"/>
            <w:vMerge w:val="restart"/>
            <w:vAlign w:val="center"/>
          </w:tcPr>
          <w:p w14:paraId="366EC526"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807" w:type="pct"/>
            <w:vMerge w:val="restart"/>
            <w:vAlign w:val="center"/>
          </w:tcPr>
          <w:p w14:paraId="528E0710"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酒精生产装置区、仓库、沼气气柜、罐区等</w:t>
            </w:r>
          </w:p>
        </w:tc>
        <w:tc>
          <w:tcPr>
            <w:tcW w:w="443" w:type="pct"/>
            <w:vMerge w:val="restart"/>
            <w:vAlign w:val="center"/>
          </w:tcPr>
          <w:p w14:paraId="2DB1DCDC"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生产及储存</w:t>
            </w:r>
          </w:p>
        </w:tc>
        <w:tc>
          <w:tcPr>
            <w:tcW w:w="661" w:type="pct"/>
            <w:vAlign w:val="center"/>
          </w:tcPr>
          <w:p w14:paraId="1B72BAEB" w14:textId="75A16146"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硫酸、沼气</w:t>
            </w:r>
          </w:p>
        </w:tc>
        <w:tc>
          <w:tcPr>
            <w:tcW w:w="799" w:type="pct"/>
            <w:vAlign w:val="center"/>
          </w:tcPr>
          <w:p w14:paraId="1B79786E" w14:textId="4B1DA3C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危险品泄露</w:t>
            </w:r>
          </w:p>
        </w:tc>
        <w:tc>
          <w:tcPr>
            <w:tcW w:w="1484" w:type="pct"/>
            <w:vAlign w:val="center"/>
          </w:tcPr>
          <w:p w14:paraId="1E0DCA23" w14:textId="4B20F21E" w:rsidR="009C2E4E" w:rsidRDefault="009C2E4E" w:rsidP="009C2E4E">
            <w:pPr>
              <w:tabs>
                <w:tab w:val="left" w:pos="4500"/>
              </w:tabs>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泄漏蒸发进入环境空气，引起厂内外人员中毒，以及对环境造成危害。</w:t>
            </w:r>
          </w:p>
        </w:tc>
        <w:tc>
          <w:tcPr>
            <w:tcW w:w="584" w:type="pct"/>
            <w:vMerge/>
            <w:vAlign w:val="center"/>
          </w:tcPr>
          <w:p w14:paraId="121060B5"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r>
      <w:tr w:rsidR="009C2E4E" w14:paraId="6C4FF95F" w14:textId="77777777" w:rsidTr="009C2E4E">
        <w:trPr>
          <w:trHeight w:val="329"/>
          <w:jc w:val="center"/>
        </w:trPr>
        <w:tc>
          <w:tcPr>
            <w:tcW w:w="222" w:type="pct"/>
            <w:vMerge/>
            <w:vAlign w:val="center"/>
          </w:tcPr>
          <w:p w14:paraId="65C48D88"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c>
          <w:tcPr>
            <w:tcW w:w="807" w:type="pct"/>
            <w:vMerge/>
            <w:vAlign w:val="center"/>
          </w:tcPr>
          <w:p w14:paraId="407677B1"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c>
          <w:tcPr>
            <w:tcW w:w="443" w:type="pct"/>
            <w:vMerge/>
            <w:vAlign w:val="center"/>
          </w:tcPr>
          <w:p w14:paraId="1BDAA09D"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c>
          <w:tcPr>
            <w:tcW w:w="661" w:type="pct"/>
            <w:vAlign w:val="center"/>
          </w:tcPr>
          <w:p w14:paraId="2D505C50"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w:t>
            </w:r>
          </w:p>
        </w:tc>
        <w:tc>
          <w:tcPr>
            <w:tcW w:w="799" w:type="pct"/>
            <w:vAlign w:val="center"/>
          </w:tcPr>
          <w:p w14:paraId="7EF22228"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危险品泄露引起火灾爆炸</w:t>
            </w:r>
          </w:p>
        </w:tc>
        <w:tc>
          <w:tcPr>
            <w:tcW w:w="1484" w:type="pct"/>
            <w:vAlign w:val="center"/>
          </w:tcPr>
          <w:p w14:paraId="2A15421B" w14:textId="77777777" w:rsidR="009C2E4E" w:rsidRDefault="009C2E4E" w:rsidP="009C2E4E">
            <w:pPr>
              <w:tabs>
                <w:tab w:val="left" w:pos="4500"/>
              </w:tabs>
              <w:adjustRightInd w:val="0"/>
              <w:snapToGrid w:val="0"/>
              <w:rPr>
                <w:rFonts w:ascii="Times New Roman" w:eastAsia="宋体" w:hAnsi="Times New Roman" w:cs="Times New Roman"/>
                <w:kern w:val="0"/>
                <w:szCs w:val="21"/>
              </w:rPr>
            </w:pPr>
            <w:r>
              <w:rPr>
                <w:rFonts w:ascii="Times New Roman" w:eastAsia="宋体" w:hAnsi="Times New Roman" w:cs="Times New Roman"/>
                <w:szCs w:val="21"/>
              </w:rPr>
              <w:t>产生次生伴生物质</w:t>
            </w:r>
            <w:r>
              <w:rPr>
                <w:rFonts w:ascii="Times New Roman" w:eastAsia="宋体" w:hAnsi="Times New Roman" w:cs="Times New Roman"/>
                <w:szCs w:val="21"/>
              </w:rPr>
              <w:t>CO</w:t>
            </w:r>
            <w:r>
              <w:rPr>
                <w:rFonts w:ascii="Times New Roman" w:eastAsia="宋体" w:hAnsi="Times New Roman" w:cs="Times New Roman"/>
                <w:szCs w:val="21"/>
              </w:rPr>
              <w:t>，污染环境空气</w:t>
            </w:r>
          </w:p>
        </w:tc>
        <w:tc>
          <w:tcPr>
            <w:tcW w:w="584" w:type="pct"/>
            <w:vMerge/>
            <w:vAlign w:val="center"/>
          </w:tcPr>
          <w:p w14:paraId="0C95DD1B"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r>
      <w:tr w:rsidR="009C2E4E" w14:paraId="569CB0B8" w14:textId="77777777" w:rsidTr="009C2E4E">
        <w:trPr>
          <w:trHeight w:val="934"/>
          <w:jc w:val="center"/>
        </w:trPr>
        <w:tc>
          <w:tcPr>
            <w:tcW w:w="222" w:type="pct"/>
            <w:vAlign w:val="center"/>
          </w:tcPr>
          <w:p w14:paraId="531EA3ED"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807" w:type="pct"/>
            <w:vAlign w:val="center"/>
          </w:tcPr>
          <w:p w14:paraId="5983A306"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酒精生产装置区、罐区等</w:t>
            </w:r>
          </w:p>
        </w:tc>
        <w:tc>
          <w:tcPr>
            <w:tcW w:w="443" w:type="pct"/>
            <w:vAlign w:val="center"/>
          </w:tcPr>
          <w:p w14:paraId="2A11F48C"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生产及储存</w:t>
            </w:r>
          </w:p>
        </w:tc>
        <w:tc>
          <w:tcPr>
            <w:tcW w:w="661" w:type="pct"/>
            <w:vAlign w:val="center"/>
          </w:tcPr>
          <w:p w14:paraId="0DDF70C2"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799" w:type="pct"/>
            <w:vAlign w:val="center"/>
          </w:tcPr>
          <w:p w14:paraId="4FF58A68"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泄露</w:t>
            </w:r>
          </w:p>
        </w:tc>
        <w:tc>
          <w:tcPr>
            <w:tcW w:w="1484" w:type="pct"/>
            <w:vAlign w:val="center"/>
          </w:tcPr>
          <w:p w14:paraId="19CBA002" w14:textId="77777777" w:rsidR="009C2E4E" w:rsidRDefault="009C2E4E" w:rsidP="009C2E4E">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kern w:val="0"/>
                <w:szCs w:val="21"/>
              </w:rPr>
              <w:t>车间内工艺槽体、管道破碎，槽液泄漏，储罐破损，意外泄漏至地表</w:t>
            </w:r>
            <w:r>
              <w:rPr>
                <w:rFonts w:ascii="Times New Roman" w:eastAsia="宋体" w:hAnsi="Times New Roman" w:cs="Times New Roman"/>
                <w:szCs w:val="21"/>
              </w:rPr>
              <w:t>并进入</w:t>
            </w:r>
            <w:r>
              <w:rPr>
                <w:rFonts w:ascii="Times New Roman" w:eastAsia="宋体" w:hAnsi="Times New Roman" w:cs="Times New Roman"/>
                <w:kern w:val="0"/>
                <w:szCs w:val="21"/>
              </w:rPr>
              <w:t>地表水、</w:t>
            </w:r>
            <w:r>
              <w:rPr>
                <w:rFonts w:ascii="Times New Roman" w:eastAsia="宋体" w:hAnsi="Times New Roman" w:cs="Times New Roman"/>
                <w:szCs w:val="21"/>
              </w:rPr>
              <w:t>土壤、地下水</w:t>
            </w:r>
            <w:r>
              <w:rPr>
                <w:rFonts w:ascii="Times New Roman" w:eastAsia="宋体" w:hAnsi="Times New Roman" w:cs="Times New Roman"/>
                <w:kern w:val="0"/>
                <w:szCs w:val="21"/>
              </w:rPr>
              <w:t>环境，造成影响。</w:t>
            </w:r>
          </w:p>
        </w:tc>
        <w:tc>
          <w:tcPr>
            <w:tcW w:w="584" w:type="pct"/>
            <w:vAlign w:val="center"/>
          </w:tcPr>
          <w:p w14:paraId="33C6399B"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地表水、土壤、地下水环境</w:t>
            </w:r>
          </w:p>
        </w:tc>
      </w:tr>
      <w:tr w:rsidR="009C2E4E" w14:paraId="3F8861F8" w14:textId="77777777" w:rsidTr="009C2E4E">
        <w:trPr>
          <w:trHeight w:val="618"/>
          <w:jc w:val="center"/>
        </w:trPr>
        <w:tc>
          <w:tcPr>
            <w:tcW w:w="222" w:type="pct"/>
            <w:vMerge w:val="restart"/>
            <w:vAlign w:val="center"/>
          </w:tcPr>
          <w:p w14:paraId="543472A3"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807" w:type="pct"/>
            <w:vMerge w:val="restart"/>
            <w:vAlign w:val="center"/>
          </w:tcPr>
          <w:p w14:paraId="7B1EB15A"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污水站</w:t>
            </w:r>
          </w:p>
        </w:tc>
        <w:tc>
          <w:tcPr>
            <w:tcW w:w="443" w:type="pct"/>
            <w:vMerge w:val="restart"/>
            <w:vAlign w:val="center"/>
          </w:tcPr>
          <w:p w14:paraId="6386B73D"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污水处理</w:t>
            </w:r>
          </w:p>
        </w:tc>
        <w:tc>
          <w:tcPr>
            <w:tcW w:w="661" w:type="pct"/>
            <w:vAlign w:val="center"/>
          </w:tcPr>
          <w:p w14:paraId="42308E94"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污水</w:t>
            </w:r>
          </w:p>
        </w:tc>
        <w:tc>
          <w:tcPr>
            <w:tcW w:w="799" w:type="pct"/>
            <w:vAlign w:val="center"/>
          </w:tcPr>
          <w:p w14:paraId="5BDAA16D"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rPr>
              <w:t>污水泄漏</w:t>
            </w:r>
          </w:p>
        </w:tc>
        <w:tc>
          <w:tcPr>
            <w:tcW w:w="1484" w:type="pct"/>
            <w:vAlign w:val="center"/>
          </w:tcPr>
          <w:p w14:paraId="6D6FAE62" w14:textId="77777777" w:rsidR="009C2E4E" w:rsidRDefault="009C2E4E" w:rsidP="009C2E4E">
            <w:pPr>
              <w:autoSpaceDE w:val="0"/>
              <w:autoSpaceDN w:val="0"/>
              <w:adjustRightInd w:val="0"/>
              <w:snapToGrid w:val="0"/>
              <w:rPr>
                <w:rFonts w:ascii="Times New Roman" w:eastAsia="宋体" w:hAnsi="Times New Roman" w:cs="Times New Roman"/>
                <w:kern w:val="0"/>
                <w:szCs w:val="21"/>
              </w:rPr>
            </w:pPr>
            <w:r>
              <w:rPr>
                <w:rFonts w:ascii="Times New Roman" w:eastAsia="宋体" w:hAnsi="Times New Roman" w:cs="Times New Roman"/>
                <w:szCs w:val="21"/>
              </w:rPr>
              <w:t>污水站池体及处理设施损坏，导致污水意外泄漏至地表并进入</w:t>
            </w:r>
            <w:r>
              <w:rPr>
                <w:rFonts w:ascii="Times New Roman" w:eastAsia="宋体" w:hAnsi="Times New Roman" w:cs="Times New Roman"/>
                <w:kern w:val="0"/>
                <w:szCs w:val="21"/>
              </w:rPr>
              <w:t>地表水、</w:t>
            </w:r>
            <w:r>
              <w:rPr>
                <w:rFonts w:ascii="Times New Roman" w:eastAsia="宋体" w:hAnsi="Times New Roman" w:cs="Times New Roman"/>
                <w:szCs w:val="21"/>
              </w:rPr>
              <w:t>土壤、地下水。</w:t>
            </w:r>
          </w:p>
        </w:tc>
        <w:tc>
          <w:tcPr>
            <w:tcW w:w="584" w:type="pct"/>
            <w:vAlign w:val="center"/>
          </w:tcPr>
          <w:p w14:paraId="7081D2FF"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地表水、土壤、地下水环境</w:t>
            </w:r>
          </w:p>
        </w:tc>
      </w:tr>
      <w:tr w:rsidR="009C2E4E" w14:paraId="77FBDB6E" w14:textId="77777777" w:rsidTr="009C2E4E">
        <w:trPr>
          <w:trHeight w:val="618"/>
          <w:jc w:val="center"/>
        </w:trPr>
        <w:tc>
          <w:tcPr>
            <w:tcW w:w="222" w:type="pct"/>
            <w:vMerge/>
            <w:vAlign w:val="center"/>
          </w:tcPr>
          <w:p w14:paraId="6E233F22"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c>
          <w:tcPr>
            <w:tcW w:w="807" w:type="pct"/>
            <w:vMerge/>
            <w:vAlign w:val="center"/>
          </w:tcPr>
          <w:p w14:paraId="5939E599"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c>
          <w:tcPr>
            <w:tcW w:w="443" w:type="pct"/>
            <w:vMerge/>
            <w:vAlign w:val="center"/>
          </w:tcPr>
          <w:p w14:paraId="1D2A0E4D"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p>
        </w:tc>
        <w:tc>
          <w:tcPr>
            <w:tcW w:w="661" w:type="pct"/>
            <w:vAlign w:val="center"/>
          </w:tcPr>
          <w:p w14:paraId="71737324" w14:textId="77777777" w:rsidR="009C2E4E" w:rsidRDefault="009C2E4E" w:rsidP="009C2E4E">
            <w:pPr>
              <w:tabs>
                <w:tab w:val="left" w:pos="4500"/>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沼气</w:t>
            </w:r>
          </w:p>
        </w:tc>
        <w:tc>
          <w:tcPr>
            <w:tcW w:w="799" w:type="pct"/>
            <w:vAlign w:val="center"/>
          </w:tcPr>
          <w:p w14:paraId="75151DBE" w14:textId="77777777" w:rsidR="009C2E4E" w:rsidRDefault="009C2E4E" w:rsidP="009C2E4E">
            <w:pPr>
              <w:tabs>
                <w:tab w:val="left" w:pos="4500"/>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沼气泄漏</w:t>
            </w:r>
          </w:p>
        </w:tc>
        <w:tc>
          <w:tcPr>
            <w:tcW w:w="1484" w:type="pct"/>
            <w:vAlign w:val="center"/>
          </w:tcPr>
          <w:p w14:paraId="4622F0FE" w14:textId="77777777" w:rsidR="009C2E4E" w:rsidRDefault="009C2E4E" w:rsidP="009C2E4E">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kern w:val="0"/>
                <w:szCs w:val="21"/>
              </w:rPr>
              <w:t>泄漏进入环境空气，引起厂内外人员中毒，以及对环境造成危害。</w:t>
            </w:r>
          </w:p>
        </w:tc>
        <w:tc>
          <w:tcPr>
            <w:tcW w:w="584" w:type="pct"/>
            <w:vAlign w:val="center"/>
          </w:tcPr>
          <w:p w14:paraId="45841A90" w14:textId="77777777" w:rsidR="009C2E4E" w:rsidRDefault="009C2E4E" w:rsidP="009C2E4E">
            <w:pPr>
              <w:tabs>
                <w:tab w:val="left" w:pos="450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大气环境周围</w:t>
            </w:r>
            <w:r>
              <w:rPr>
                <w:rFonts w:ascii="Times New Roman" w:eastAsia="宋体" w:hAnsi="Times New Roman" w:cs="Times New Roman"/>
                <w:kern w:val="0"/>
                <w:szCs w:val="21"/>
              </w:rPr>
              <w:t>5km</w:t>
            </w:r>
            <w:r>
              <w:rPr>
                <w:rFonts w:ascii="Times New Roman" w:eastAsia="宋体" w:hAnsi="Times New Roman" w:cs="Times New Roman"/>
                <w:kern w:val="0"/>
                <w:szCs w:val="21"/>
              </w:rPr>
              <w:t>居民</w:t>
            </w:r>
          </w:p>
        </w:tc>
      </w:tr>
    </w:tbl>
    <w:p w14:paraId="141DF1FE"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风险事故情形分析</w:t>
      </w:r>
    </w:p>
    <w:p w14:paraId="5BD94775" w14:textId="77777777" w:rsidR="002133E3" w:rsidRDefault="00C22CFA">
      <w:pPr>
        <w:autoSpaceDE w:val="0"/>
        <w:autoSpaceDN w:val="0"/>
        <w:adjustRightInd w:val="0"/>
        <w:spacing w:line="500" w:lineRule="exact"/>
        <w:ind w:firstLine="482"/>
        <w:rPr>
          <w:rFonts w:ascii="Times New Roman" w:eastAsia="宋体" w:hAnsi="Times New Roman" w:cs="Times New Roman"/>
          <w:sz w:val="28"/>
          <w:szCs w:val="28"/>
        </w:rPr>
      </w:pPr>
      <w:r>
        <w:rPr>
          <w:rFonts w:ascii="Times New Roman" w:eastAsia="宋体" w:hAnsi="Times New Roman" w:cs="Times New Roman"/>
          <w:sz w:val="28"/>
          <w:szCs w:val="28"/>
        </w:rPr>
        <w:t>据调查，现有项目在施工期及运营期均未发生环境风险污染事故。</w:t>
      </w:r>
    </w:p>
    <w:p w14:paraId="39973775" w14:textId="77777777" w:rsidR="002133E3" w:rsidRDefault="00C22CFA">
      <w:pPr>
        <w:autoSpaceDE w:val="0"/>
        <w:autoSpaceDN w:val="0"/>
        <w:adjustRightInd w:val="0"/>
        <w:spacing w:line="500" w:lineRule="exact"/>
        <w:ind w:firstLine="482"/>
        <w:rPr>
          <w:rFonts w:ascii="Times New Roman" w:eastAsia="宋体" w:hAnsi="Times New Roman" w:cs="Times New Roman"/>
          <w:sz w:val="28"/>
          <w:szCs w:val="28"/>
        </w:rPr>
      </w:pPr>
      <w:r>
        <w:rPr>
          <w:rFonts w:ascii="Times New Roman" w:eastAsia="宋体" w:hAnsi="Times New Roman" w:cs="Times New Roman"/>
          <w:sz w:val="28"/>
          <w:szCs w:val="28"/>
        </w:rPr>
        <w:t>根据</w:t>
      </w:r>
      <w:r>
        <w:rPr>
          <w:rFonts w:ascii="Times New Roman" w:eastAsia="宋体" w:hAnsi="Times New Roman" w:cs="Times New Roman"/>
          <w:sz w:val="28"/>
          <w:szCs w:val="28"/>
        </w:rPr>
        <w:t>4.6.6</w:t>
      </w:r>
      <w:r>
        <w:rPr>
          <w:rFonts w:ascii="Times New Roman" w:eastAsia="宋体" w:hAnsi="Times New Roman" w:cs="Times New Roman"/>
          <w:sz w:val="28"/>
          <w:szCs w:val="28"/>
        </w:rPr>
        <w:t>节风险识别，并结合本项目特点，选择对环境影响较大并具有代表性的事故类型。本项目环境风险事故情形设定情况见表</w:t>
      </w:r>
      <w:r>
        <w:rPr>
          <w:rFonts w:ascii="Times New Roman" w:eastAsia="宋体" w:hAnsi="Times New Roman" w:cs="Times New Roman"/>
          <w:sz w:val="28"/>
          <w:szCs w:val="28"/>
        </w:rPr>
        <w:t>4.6-15</w:t>
      </w:r>
      <w:r>
        <w:rPr>
          <w:rFonts w:ascii="Times New Roman" w:eastAsia="宋体" w:hAnsi="Times New Roman" w:cs="Times New Roman"/>
          <w:sz w:val="28"/>
          <w:szCs w:val="28"/>
        </w:rPr>
        <w:t>。</w:t>
      </w:r>
    </w:p>
    <w:p w14:paraId="7937692E" w14:textId="77777777" w:rsidR="002133E3" w:rsidRDefault="00C22CFA">
      <w:pPr>
        <w:tabs>
          <w:tab w:val="left" w:pos="3600"/>
        </w:tabs>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4.6-15  </w:t>
      </w:r>
      <w:r>
        <w:rPr>
          <w:rFonts w:ascii="Times New Roman" w:eastAsia="宋体" w:hAnsi="Times New Roman" w:cs="Times New Roman"/>
          <w:b/>
          <w:szCs w:val="21"/>
        </w:rPr>
        <w:t>风险事故情形表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1012"/>
        <w:gridCol w:w="1306"/>
        <w:gridCol w:w="1161"/>
        <w:gridCol w:w="1306"/>
        <w:gridCol w:w="4346"/>
      </w:tblGrid>
      <w:tr w:rsidR="002133E3" w14:paraId="78F5B779" w14:textId="77777777">
        <w:trPr>
          <w:trHeight w:val="285"/>
        </w:trPr>
        <w:tc>
          <w:tcPr>
            <w:tcW w:w="707" w:type="dxa"/>
            <w:shd w:val="clear" w:color="auto" w:fill="auto"/>
            <w:noWrap/>
            <w:vAlign w:val="center"/>
          </w:tcPr>
          <w:p w14:paraId="5DCAF63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环境因素</w:t>
            </w:r>
          </w:p>
        </w:tc>
        <w:tc>
          <w:tcPr>
            <w:tcW w:w="989" w:type="dxa"/>
            <w:shd w:val="clear" w:color="auto" w:fill="auto"/>
            <w:noWrap/>
            <w:vAlign w:val="center"/>
          </w:tcPr>
          <w:p w14:paraId="4E5429B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环境风险类型</w:t>
            </w:r>
          </w:p>
        </w:tc>
        <w:tc>
          <w:tcPr>
            <w:tcW w:w="1276" w:type="dxa"/>
            <w:shd w:val="clear" w:color="auto" w:fill="auto"/>
            <w:noWrap/>
            <w:vAlign w:val="center"/>
          </w:tcPr>
          <w:p w14:paraId="0DD04E5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环境风险源</w:t>
            </w:r>
          </w:p>
        </w:tc>
        <w:tc>
          <w:tcPr>
            <w:tcW w:w="1134" w:type="dxa"/>
            <w:shd w:val="clear" w:color="auto" w:fill="auto"/>
            <w:noWrap/>
            <w:vAlign w:val="center"/>
          </w:tcPr>
          <w:p w14:paraId="0B5AD7D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危险单元</w:t>
            </w:r>
          </w:p>
        </w:tc>
        <w:tc>
          <w:tcPr>
            <w:tcW w:w="1276" w:type="dxa"/>
            <w:shd w:val="clear" w:color="auto" w:fill="auto"/>
            <w:noWrap/>
            <w:vAlign w:val="center"/>
          </w:tcPr>
          <w:p w14:paraId="37174AB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危险物质</w:t>
            </w:r>
          </w:p>
        </w:tc>
        <w:tc>
          <w:tcPr>
            <w:tcW w:w="4246" w:type="dxa"/>
            <w:shd w:val="clear" w:color="auto" w:fill="auto"/>
            <w:noWrap/>
            <w:vAlign w:val="center"/>
          </w:tcPr>
          <w:p w14:paraId="13993E3F"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影响途径</w:t>
            </w:r>
          </w:p>
        </w:tc>
      </w:tr>
      <w:tr w:rsidR="002133E3" w14:paraId="4147527C" w14:textId="77777777">
        <w:trPr>
          <w:trHeight w:val="285"/>
        </w:trPr>
        <w:tc>
          <w:tcPr>
            <w:tcW w:w="707" w:type="dxa"/>
            <w:vMerge w:val="restart"/>
            <w:shd w:val="clear" w:color="auto" w:fill="auto"/>
            <w:noWrap/>
            <w:vAlign w:val="center"/>
          </w:tcPr>
          <w:p w14:paraId="058C8CD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989" w:type="dxa"/>
            <w:shd w:val="clear" w:color="auto" w:fill="auto"/>
            <w:vAlign w:val="center"/>
          </w:tcPr>
          <w:p w14:paraId="7C035B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危险物质泄漏</w:t>
            </w:r>
          </w:p>
        </w:tc>
        <w:tc>
          <w:tcPr>
            <w:tcW w:w="1276" w:type="dxa"/>
            <w:vMerge w:val="restart"/>
            <w:shd w:val="clear" w:color="auto" w:fill="auto"/>
            <w:noWrap/>
            <w:vAlign w:val="center"/>
          </w:tcPr>
          <w:p w14:paraId="27E6EA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生产及储存</w:t>
            </w:r>
          </w:p>
        </w:tc>
        <w:tc>
          <w:tcPr>
            <w:tcW w:w="1134" w:type="dxa"/>
            <w:shd w:val="clear" w:color="auto" w:fill="auto"/>
            <w:vAlign w:val="center"/>
          </w:tcPr>
          <w:p w14:paraId="60C973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硫酸储罐</w:t>
            </w:r>
          </w:p>
        </w:tc>
        <w:tc>
          <w:tcPr>
            <w:tcW w:w="1276" w:type="dxa"/>
            <w:shd w:val="clear" w:color="auto" w:fill="auto"/>
            <w:vAlign w:val="center"/>
          </w:tcPr>
          <w:p w14:paraId="2B5105E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硫酸</w:t>
            </w:r>
          </w:p>
        </w:tc>
        <w:tc>
          <w:tcPr>
            <w:tcW w:w="4246" w:type="dxa"/>
            <w:shd w:val="clear" w:color="auto" w:fill="auto"/>
            <w:vAlign w:val="center"/>
          </w:tcPr>
          <w:p w14:paraId="5E5D6DB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装卸过程中，发生泄漏事故，</w:t>
            </w:r>
            <w:r>
              <w:rPr>
                <w:rFonts w:ascii="Times New Roman" w:eastAsia="宋体" w:hAnsi="Times New Roman" w:cs="Times New Roman"/>
                <w:color w:val="000000"/>
                <w:kern w:val="0"/>
                <w:szCs w:val="21"/>
              </w:rPr>
              <w:t>三氯化磷、氯甲酸甲酯</w:t>
            </w:r>
            <w:r>
              <w:rPr>
                <w:rFonts w:ascii="Times New Roman" w:eastAsia="宋体" w:hAnsi="Times New Roman" w:cs="Times New Roman"/>
                <w:kern w:val="0"/>
                <w:szCs w:val="21"/>
              </w:rPr>
              <w:t>蒸发进入环境空气。盐酸储存过程中，储罐破损发生泄露事故，蒸发进入环境空气。</w:t>
            </w:r>
          </w:p>
        </w:tc>
      </w:tr>
      <w:tr w:rsidR="002133E3" w14:paraId="07CAE3D1" w14:textId="77777777">
        <w:trPr>
          <w:trHeight w:val="300"/>
        </w:trPr>
        <w:tc>
          <w:tcPr>
            <w:tcW w:w="707" w:type="dxa"/>
            <w:vMerge/>
            <w:vAlign w:val="center"/>
          </w:tcPr>
          <w:p w14:paraId="683437AF" w14:textId="77777777" w:rsidR="002133E3" w:rsidRDefault="002133E3">
            <w:pPr>
              <w:widowControl/>
              <w:jc w:val="left"/>
              <w:rPr>
                <w:rFonts w:ascii="Times New Roman" w:eastAsia="宋体" w:hAnsi="Times New Roman" w:cs="Times New Roman"/>
                <w:kern w:val="0"/>
                <w:szCs w:val="21"/>
              </w:rPr>
            </w:pPr>
          </w:p>
        </w:tc>
        <w:tc>
          <w:tcPr>
            <w:tcW w:w="989" w:type="dxa"/>
            <w:shd w:val="clear" w:color="auto" w:fill="auto"/>
            <w:noWrap/>
            <w:vAlign w:val="center"/>
          </w:tcPr>
          <w:p w14:paraId="3649303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火灾、爆炸</w:t>
            </w:r>
          </w:p>
        </w:tc>
        <w:tc>
          <w:tcPr>
            <w:tcW w:w="1276" w:type="dxa"/>
            <w:vMerge/>
            <w:vAlign w:val="center"/>
          </w:tcPr>
          <w:p w14:paraId="30CB2FDB" w14:textId="77777777" w:rsidR="002133E3" w:rsidRDefault="002133E3">
            <w:pPr>
              <w:widowControl/>
              <w:jc w:val="left"/>
              <w:rPr>
                <w:rFonts w:ascii="Times New Roman" w:eastAsia="宋体" w:hAnsi="Times New Roman" w:cs="Times New Roman"/>
                <w:kern w:val="0"/>
                <w:szCs w:val="21"/>
              </w:rPr>
            </w:pPr>
          </w:p>
        </w:tc>
        <w:tc>
          <w:tcPr>
            <w:tcW w:w="1134" w:type="dxa"/>
            <w:shd w:val="clear" w:color="auto" w:fill="auto"/>
            <w:vAlign w:val="center"/>
          </w:tcPr>
          <w:p w14:paraId="7DF7ACC9"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沼气气柜</w:t>
            </w:r>
          </w:p>
        </w:tc>
        <w:tc>
          <w:tcPr>
            <w:tcW w:w="1276" w:type="dxa"/>
            <w:shd w:val="clear" w:color="auto" w:fill="auto"/>
            <w:noWrap/>
            <w:vAlign w:val="center"/>
          </w:tcPr>
          <w:p w14:paraId="21AC9F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二氧化硫、一氧化碳</w:t>
            </w:r>
          </w:p>
        </w:tc>
        <w:tc>
          <w:tcPr>
            <w:tcW w:w="4246" w:type="dxa"/>
            <w:shd w:val="clear" w:color="auto" w:fill="auto"/>
            <w:noWrap/>
            <w:vAlign w:val="center"/>
          </w:tcPr>
          <w:p w14:paraId="766124B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沼气柜发生泄漏发生火灾事故，产生的伴生</w:t>
            </w:r>
            <w:r>
              <w:rPr>
                <w:rFonts w:ascii="Times New Roman" w:eastAsia="宋体" w:hAnsi="Times New Roman" w:cs="Times New Roman"/>
                <w:kern w:val="0"/>
                <w:szCs w:val="21"/>
              </w:rPr>
              <w:t>/</w:t>
            </w:r>
            <w:r>
              <w:rPr>
                <w:rFonts w:ascii="Times New Roman" w:eastAsia="宋体" w:hAnsi="Times New Roman" w:cs="Times New Roman"/>
                <w:kern w:val="0"/>
                <w:szCs w:val="21"/>
              </w:rPr>
              <w:t>次生污染物</w:t>
            </w:r>
            <w:r>
              <w:rPr>
                <w:rFonts w:ascii="Times New Roman" w:eastAsia="宋体" w:hAnsi="Times New Roman" w:cs="Times New Roman"/>
                <w:kern w:val="0"/>
                <w:szCs w:val="21"/>
              </w:rPr>
              <w:t>CO</w:t>
            </w:r>
            <w:r>
              <w:rPr>
                <w:rFonts w:ascii="Times New Roman" w:eastAsia="宋体" w:hAnsi="Times New Roman" w:cs="Times New Roman"/>
                <w:kern w:val="0"/>
                <w:szCs w:val="21"/>
              </w:rPr>
              <w:t>在高温下挥发至大气中。</w:t>
            </w:r>
          </w:p>
        </w:tc>
      </w:tr>
    </w:tbl>
    <w:p w14:paraId="0D92804D" w14:textId="77777777" w:rsidR="002133E3" w:rsidRDefault="00C22CFA">
      <w:pPr>
        <w:pStyle w:val="affff3"/>
        <w:numPr>
          <w:ilvl w:val="2"/>
          <w:numId w:val="2"/>
        </w:numPr>
        <w:spacing w:line="500" w:lineRule="exac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源项分析</w:t>
      </w:r>
    </w:p>
    <w:p w14:paraId="4850C65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大气环境影响事故源强</w:t>
      </w:r>
    </w:p>
    <w:p w14:paraId="5DD6C70F"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本项目取硫酸储罐发生泄漏和沼气发生火灾爆炸作为最大可信事故。</w:t>
      </w:r>
    </w:p>
    <w:p w14:paraId="139F6C29" w14:textId="77777777" w:rsidR="002133E3" w:rsidRDefault="00C22CFA">
      <w:pPr>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t xml:space="preserve">(1) </w:t>
      </w:r>
      <w:r>
        <w:rPr>
          <w:rFonts w:ascii="Times New Roman" w:eastAsia="宋体" w:hAnsi="Times New Roman" w:cs="Times New Roman"/>
          <w:b/>
          <w:bCs/>
          <w:sz w:val="28"/>
          <w:szCs w:val="28"/>
        </w:rPr>
        <w:t>硫酸储罐泄漏源强计算</w:t>
      </w:r>
    </w:p>
    <w:p w14:paraId="66050EF9" w14:textId="77777777" w:rsidR="002133E3" w:rsidRDefault="00C22CFA">
      <w:pPr>
        <w:spacing w:line="50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①</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危险物质泄漏量</w:t>
      </w:r>
    </w:p>
    <w:p w14:paraId="6B1C5B7E"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储罐泄漏事故大多数集中在罐与进出料管道连接处</w:t>
      </w:r>
      <w:r>
        <w:rPr>
          <w:rFonts w:ascii="Times New Roman" w:eastAsia="宋体" w:hAnsi="Times New Roman" w:cs="Times New Roman"/>
          <w:sz w:val="28"/>
          <w:szCs w:val="28"/>
        </w:rPr>
        <w:t>(</w:t>
      </w:r>
      <w:r>
        <w:rPr>
          <w:rFonts w:ascii="Times New Roman" w:eastAsia="宋体" w:hAnsi="Times New Roman" w:cs="Times New Roman"/>
          <w:sz w:val="28"/>
          <w:szCs w:val="28"/>
        </w:rPr>
        <w:t>接头</w:t>
      </w:r>
      <w:r>
        <w:rPr>
          <w:rFonts w:ascii="Times New Roman" w:eastAsia="宋体" w:hAnsi="Times New Roman" w:cs="Times New Roman"/>
          <w:sz w:val="28"/>
          <w:szCs w:val="28"/>
        </w:rPr>
        <w:t>)</w:t>
      </w:r>
      <w:r>
        <w:rPr>
          <w:rFonts w:ascii="Times New Roman" w:eastAsia="宋体" w:hAnsi="Times New Roman" w:cs="Times New Roman"/>
          <w:sz w:val="28"/>
          <w:szCs w:val="28"/>
        </w:rPr>
        <w:t>，损坏尺寸按</w:t>
      </w:r>
      <w:r>
        <w:rPr>
          <w:rFonts w:ascii="Times New Roman" w:eastAsia="宋体" w:hAnsi="Times New Roman" w:cs="Times New Roman"/>
          <w:sz w:val="28"/>
          <w:szCs w:val="28"/>
        </w:rPr>
        <w:t>100%</w:t>
      </w:r>
      <w:r>
        <w:rPr>
          <w:rFonts w:ascii="Times New Roman" w:eastAsia="宋体" w:hAnsi="Times New Roman" w:cs="Times New Roman"/>
          <w:sz w:val="28"/>
          <w:szCs w:val="28"/>
        </w:rPr>
        <w:t>或</w:t>
      </w:r>
      <w:r>
        <w:rPr>
          <w:rFonts w:ascii="Times New Roman" w:eastAsia="宋体" w:hAnsi="Times New Roman" w:cs="Times New Roman"/>
          <w:sz w:val="28"/>
          <w:szCs w:val="28"/>
        </w:rPr>
        <w:t>20%</w:t>
      </w:r>
      <w:r>
        <w:rPr>
          <w:rFonts w:ascii="Times New Roman" w:eastAsia="宋体" w:hAnsi="Times New Roman" w:cs="Times New Roman"/>
          <w:sz w:val="28"/>
          <w:szCs w:val="28"/>
        </w:rPr>
        <w:t>管径计，本项目源强计算按连接处管道或阀门完全断裂或损坏考虑，即按损坏尺寸为接管口径</w:t>
      </w:r>
      <w:r>
        <w:rPr>
          <w:rFonts w:ascii="Times New Roman" w:eastAsia="宋体" w:hAnsi="Times New Roman" w:cs="Times New Roman"/>
          <w:sz w:val="28"/>
          <w:szCs w:val="28"/>
        </w:rPr>
        <w:t>20%</w:t>
      </w:r>
      <w:r>
        <w:rPr>
          <w:rFonts w:ascii="Times New Roman" w:eastAsia="宋体" w:hAnsi="Times New Roman" w:cs="Times New Roman"/>
          <w:sz w:val="28"/>
          <w:szCs w:val="28"/>
        </w:rPr>
        <w:t>考虑，事故泄漏以控制在</w:t>
      </w:r>
      <w:r>
        <w:rPr>
          <w:rFonts w:ascii="Times New Roman" w:eastAsia="宋体" w:hAnsi="Times New Roman" w:cs="Times New Roman"/>
          <w:sz w:val="28"/>
          <w:szCs w:val="28"/>
        </w:rPr>
        <w:t>10min</w:t>
      </w:r>
      <w:r>
        <w:rPr>
          <w:rFonts w:ascii="Times New Roman" w:eastAsia="宋体" w:hAnsi="Times New Roman" w:cs="Times New Roman"/>
          <w:sz w:val="28"/>
          <w:szCs w:val="28"/>
        </w:rPr>
        <w:t>计。硫酸储罐管道连接处直径为</w:t>
      </w:r>
      <w:r>
        <w:rPr>
          <w:rFonts w:ascii="Times New Roman" w:eastAsia="宋体" w:hAnsi="Times New Roman" w:cs="Times New Roman"/>
          <w:sz w:val="28"/>
          <w:szCs w:val="28"/>
        </w:rPr>
        <w:t>100mm</w:t>
      </w:r>
      <w:r>
        <w:rPr>
          <w:rFonts w:ascii="Times New Roman" w:eastAsia="宋体" w:hAnsi="Times New Roman" w:cs="Times New Roman"/>
          <w:sz w:val="28"/>
          <w:szCs w:val="28"/>
        </w:rPr>
        <w:t>。</w:t>
      </w:r>
    </w:p>
    <w:p w14:paraId="39EEE656"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硫酸储罐泄漏量以液体泄漏量</w:t>
      </w:r>
      <w:r>
        <w:rPr>
          <w:rFonts w:ascii="Times New Roman" w:eastAsia="宋体" w:hAnsi="Times New Roman" w:cs="Times New Roman"/>
          <w:sz w:val="28"/>
          <w:szCs w:val="28"/>
        </w:rPr>
        <w:t>Q</w:t>
      </w:r>
      <w:r>
        <w:rPr>
          <w:rFonts w:ascii="Times New Roman" w:eastAsia="宋体" w:hAnsi="Times New Roman" w:cs="Times New Roman"/>
          <w:sz w:val="28"/>
          <w:szCs w:val="28"/>
        </w:rPr>
        <w:t>用伯努利方程计算。</w:t>
      </w:r>
    </w:p>
    <w:p w14:paraId="1D074AEF" w14:textId="77777777" w:rsidR="002133E3" w:rsidRDefault="009F1FEF">
      <w:pPr>
        <w:tabs>
          <w:tab w:val="left" w:pos="360"/>
          <w:tab w:val="left" w:pos="780"/>
        </w:tabs>
        <w:spacing w:line="500" w:lineRule="exact"/>
        <w:ind w:leftChars="200" w:left="980" w:hangingChars="200" w:hanging="560"/>
        <w:rPr>
          <w:rFonts w:ascii="Times New Roman" w:eastAsia="宋体" w:hAnsi="Times New Roman" w:cs="Times New Roman"/>
          <w:sz w:val="28"/>
          <w:szCs w:val="28"/>
        </w:rPr>
      </w:pPr>
      <w:r>
        <w:rPr>
          <w:rFonts w:ascii="Times New Roman" w:eastAsia="宋体" w:hAnsi="Times New Roman" w:cs="Times New Roman"/>
          <w:sz w:val="28"/>
          <w:szCs w:val="28"/>
        </w:rPr>
        <w:lastRenderedPageBreak/>
        <w:object w:dxaOrig="1440" w:dyaOrig="1440" w14:anchorId="3BD2768F">
          <v:shape id="对象 560" o:spid="_x0000_s1058" type="#_x0000_t75" style="position:absolute;left:0;text-align:left;margin-left:131.25pt;margin-top:0;width:147pt;height:38pt;z-index:251679232;mso-width-relative:page;mso-height-relative:page">
            <v:imagedata r:id="rId71" o:title=""/>
          </v:shape>
          <o:OLEObject Type="Embed" ProgID="Equation.3" ShapeID="对象 560" DrawAspect="Content" ObjectID="_1687345265" r:id="rId72"/>
        </w:object>
      </w:r>
    </w:p>
    <w:p w14:paraId="364CCCDC"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式中：</w:t>
      </w:r>
    </w:p>
    <w:p w14:paraId="3B5BE12C" w14:textId="77777777" w:rsidR="002133E3" w:rsidRDefault="00C22CFA">
      <w:pPr>
        <w:spacing w:line="500" w:lineRule="exact"/>
        <w:ind w:firstLineChars="200" w:firstLine="560"/>
        <w:rPr>
          <w:rFonts w:ascii="Times New Roman" w:eastAsia="宋体" w:hAnsi="Times New Roman" w:cs="Times New Roman"/>
          <w:sz w:val="28"/>
          <w:szCs w:val="20"/>
        </w:rPr>
      </w:pPr>
      <w:r>
        <w:rPr>
          <w:rFonts w:ascii="Times New Roman" w:eastAsia="宋体" w:hAnsi="Times New Roman" w:cs="Times New Roman"/>
          <w:i/>
          <w:sz w:val="28"/>
          <w:szCs w:val="20"/>
        </w:rPr>
        <w:t>Q</w:t>
      </w:r>
      <w:r>
        <w:rPr>
          <w:rFonts w:ascii="Times New Roman" w:eastAsia="宋体" w:hAnsi="Times New Roman" w:cs="Times New Roman"/>
          <w:i/>
          <w:sz w:val="28"/>
          <w:szCs w:val="20"/>
          <w:vertAlign w:val="subscript"/>
        </w:rPr>
        <w:t>L</w:t>
      </w:r>
      <w:r>
        <w:rPr>
          <w:rFonts w:ascii="Times New Roman" w:eastAsia="宋体" w:hAnsi="Times New Roman" w:cs="Times New Roman"/>
          <w:sz w:val="28"/>
          <w:szCs w:val="20"/>
        </w:rPr>
        <w:t>——</w:t>
      </w:r>
      <w:r>
        <w:rPr>
          <w:rFonts w:ascii="Times New Roman" w:eastAsia="宋体" w:hAnsi="Times New Roman" w:cs="Times New Roman"/>
          <w:sz w:val="28"/>
          <w:szCs w:val="20"/>
          <w:lang w:val="zh-CN"/>
        </w:rPr>
        <w:t>液体泄漏速度</w:t>
      </w:r>
      <w:r>
        <w:rPr>
          <w:rFonts w:ascii="Times New Roman" w:eastAsia="宋体" w:hAnsi="Times New Roman" w:cs="Times New Roman"/>
          <w:sz w:val="28"/>
          <w:szCs w:val="20"/>
        </w:rPr>
        <w:t>，</w:t>
      </w:r>
      <w:r>
        <w:rPr>
          <w:rFonts w:ascii="Times New Roman" w:eastAsia="宋体" w:hAnsi="Times New Roman" w:cs="Times New Roman"/>
          <w:sz w:val="28"/>
          <w:szCs w:val="20"/>
        </w:rPr>
        <w:t>kg/s</w:t>
      </w:r>
      <w:r>
        <w:rPr>
          <w:rFonts w:ascii="Times New Roman" w:eastAsia="宋体" w:hAnsi="Times New Roman" w:cs="Times New Roman"/>
          <w:sz w:val="28"/>
          <w:szCs w:val="20"/>
        </w:rPr>
        <w:t>；</w:t>
      </w:r>
    </w:p>
    <w:p w14:paraId="4EDA393D"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i/>
          <w:sz w:val="28"/>
          <w:szCs w:val="28"/>
        </w:rPr>
        <w:t>C</w:t>
      </w:r>
      <w:r>
        <w:rPr>
          <w:rFonts w:ascii="Times New Roman" w:eastAsia="宋体" w:hAnsi="Times New Roman" w:cs="Times New Roman"/>
          <w:i/>
          <w:sz w:val="28"/>
          <w:szCs w:val="28"/>
          <w:vertAlign w:val="subscript"/>
        </w:rPr>
        <w:t>d</w:t>
      </w:r>
      <w:r>
        <w:rPr>
          <w:rFonts w:ascii="Times New Roman" w:eastAsia="宋体" w:hAnsi="Times New Roman" w:cs="Times New Roman"/>
          <w:sz w:val="28"/>
          <w:szCs w:val="28"/>
        </w:rPr>
        <w:t>——</w:t>
      </w:r>
      <w:r>
        <w:rPr>
          <w:rFonts w:ascii="Times New Roman" w:eastAsia="宋体" w:hAnsi="Times New Roman" w:cs="Times New Roman"/>
          <w:sz w:val="28"/>
          <w:szCs w:val="28"/>
        </w:rPr>
        <w:t>液体泄漏系数，此值选取</w:t>
      </w:r>
      <w:r>
        <w:rPr>
          <w:rFonts w:ascii="Times New Roman" w:eastAsia="宋体" w:hAnsi="Times New Roman" w:cs="Times New Roman"/>
          <w:sz w:val="28"/>
          <w:szCs w:val="28"/>
        </w:rPr>
        <w:t>0.65</w:t>
      </w:r>
      <w:r>
        <w:rPr>
          <w:rFonts w:ascii="Times New Roman" w:eastAsia="宋体" w:hAnsi="Times New Roman" w:cs="Times New Roman"/>
          <w:sz w:val="28"/>
          <w:szCs w:val="28"/>
        </w:rPr>
        <w:t>。</w:t>
      </w:r>
    </w:p>
    <w:p w14:paraId="24D2B45A"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i/>
          <w:sz w:val="28"/>
          <w:szCs w:val="28"/>
        </w:rPr>
        <w:t>A</w:t>
      </w:r>
      <w:r>
        <w:rPr>
          <w:rFonts w:ascii="Times New Roman" w:eastAsia="宋体" w:hAnsi="Times New Roman" w:cs="Times New Roman"/>
          <w:sz w:val="28"/>
          <w:szCs w:val="28"/>
        </w:rPr>
        <w:t>——</w:t>
      </w:r>
      <w:r>
        <w:rPr>
          <w:rFonts w:ascii="Times New Roman" w:eastAsia="宋体" w:hAnsi="Times New Roman" w:cs="Times New Roman"/>
          <w:sz w:val="28"/>
          <w:szCs w:val="28"/>
        </w:rPr>
        <w:t>裂口面积，</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w:t>
      </w:r>
    </w:p>
    <w:p w14:paraId="425D9658"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i/>
          <w:sz w:val="28"/>
          <w:szCs w:val="28"/>
        </w:rPr>
        <w:t>P</w:t>
      </w:r>
      <w:r>
        <w:rPr>
          <w:rFonts w:ascii="Times New Roman" w:eastAsia="宋体" w:hAnsi="Times New Roman" w:cs="Times New Roman"/>
          <w:sz w:val="28"/>
          <w:szCs w:val="28"/>
        </w:rPr>
        <w:t>——</w:t>
      </w:r>
      <w:r>
        <w:rPr>
          <w:rFonts w:ascii="Times New Roman" w:eastAsia="宋体" w:hAnsi="Times New Roman" w:cs="Times New Roman"/>
          <w:sz w:val="28"/>
          <w:szCs w:val="28"/>
        </w:rPr>
        <w:t>容器内介质压力，</w:t>
      </w:r>
      <w:r>
        <w:rPr>
          <w:rFonts w:ascii="Times New Roman" w:eastAsia="宋体" w:hAnsi="Times New Roman" w:cs="Times New Roman"/>
          <w:sz w:val="28"/>
          <w:szCs w:val="28"/>
        </w:rPr>
        <w:t>Pa</w:t>
      </w:r>
      <w:r>
        <w:rPr>
          <w:rFonts w:ascii="Times New Roman" w:eastAsia="宋体" w:hAnsi="Times New Roman" w:cs="Times New Roman"/>
          <w:sz w:val="28"/>
          <w:szCs w:val="28"/>
        </w:rPr>
        <w:t>；</w:t>
      </w:r>
    </w:p>
    <w:p w14:paraId="1B5D89E9"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i/>
          <w:sz w:val="28"/>
          <w:szCs w:val="28"/>
        </w:rPr>
        <w:t>P</w:t>
      </w:r>
      <w:r>
        <w:rPr>
          <w:rFonts w:ascii="Times New Roman" w:eastAsia="宋体" w:hAnsi="Times New Roman" w:cs="Times New Roman"/>
          <w:i/>
          <w:sz w:val="28"/>
          <w:szCs w:val="28"/>
          <w:vertAlign w:val="subscript"/>
        </w:rPr>
        <w:t>0</w:t>
      </w:r>
      <w:r>
        <w:rPr>
          <w:rFonts w:ascii="Times New Roman" w:eastAsia="宋体" w:hAnsi="Times New Roman" w:cs="Times New Roman"/>
          <w:sz w:val="28"/>
          <w:szCs w:val="28"/>
        </w:rPr>
        <w:t>——</w:t>
      </w:r>
      <w:r>
        <w:rPr>
          <w:rFonts w:ascii="Times New Roman" w:eastAsia="宋体" w:hAnsi="Times New Roman" w:cs="Times New Roman"/>
          <w:sz w:val="28"/>
          <w:szCs w:val="28"/>
        </w:rPr>
        <w:t>环境压力，</w:t>
      </w:r>
      <w:r>
        <w:rPr>
          <w:rFonts w:ascii="Times New Roman" w:eastAsia="宋体" w:hAnsi="Times New Roman" w:cs="Times New Roman"/>
          <w:sz w:val="28"/>
          <w:szCs w:val="28"/>
        </w:rPr>
        <w:t>Pa</w:t>
      </w:r>
      <w:r>
        <w:rPr>
          <w:rFonts w:ascii="Times New Roman" w:eastAsia="宋体" w:hAnsi="Times New Roman" w:cs="Times New Roman"/>
          <w:sz w:val="28"/>
          <w:szCs w:val="28"/>
        </w:rPr>
        <w:t>；</w:t>
      </w:r>
    </w:p>
    <w:p w14:paraId="6E805E3F"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i/>
          <w:sz w:val="28"/>
          <w:szCs w:val="28"/>
        </w:rPr>
        <w:t>g</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重力加速度。</w:t>
      </w:r>
    </w:p>
    <w:p w14:paraId="4DAC9657"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i/>
          <w:sz w:val="28"/>
          <w:szCs w:val="28"/>
        </w:rPr>
        <w:t>h</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裂口之上液位高度，</w:t>
      </w:r>
      <w:r>
        <w:rPr>
          <w:rFonts w:ascii="Times New Roman" w:eastAsia="宋体" w:hAnsi="Times New Roman" w:cs="Times New Roman"/>
          <w:sz w:val="28"/>
          <w:szCs w:val="28"/>
        </w:rPr>
        <w:t>m</w:t>
      </w:r>
      <w:r>
        <w:rPr>
          <w:rFonts w:ascii="Times New Roman" w:eastAsia="宋体" w:hAnsi="Times New Roman" w:cs="Times New Roman"/>
          <w:sz w:val="28"/>
          <w:szCs w:val="28"/>
        </w:rPr>
        <w:t>。</w:t>
      </w:r>
    </w:p>
    <w:p w14:paraId="71106065"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本法的限制条件：液体在喷口内不应有急剧蒸发。</w:t>
      </w:r>
    </w:p>
    <w:p w14:paraId="1C4EE5E6"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本项目评价等级为二级，选取最不利气象条件进行后果预测。项目泄漏管道参数及泄漏量详见表</w:t>
      </w:r>
      <w:r>
        <w:rPr>
          <w:rFonts w:ascii="Times New Roman" w:eastAsia="宋体" w:hAnsi="Times New Roman" w:cs="Times New Roman"/>
          <w:sz w:val="28"/>
          <w:szCs w:val="20"/>
          <w:lang w:val="zh-CN"/>
        </w:rPr>
        <w:t>4.6-16</w:t>
      </w:r>
      <w:r>
        <w:rPr>
          <w:rFonts w:ascii="Times New Roman" w:eastAsia="宋体" w:hAnsi="Times New Roman" w:cs="Times New Roman"/>
          <w:sz w:val="28"/>
          <w:szCs w:val="20"/>
          <w:lang w:val="zh-CN"/>
        </w:rPr>
        <w:t>。</w:t>
      </w:r>
    </w:p>
    <w:p w14:paraId="19D66EEA" w14:textId="77777777" w:rsidR="002133E3" w:rsidRDefault="00C22CFA">
      <w:pPr>
        <w:tabs>
          <w:tab w:val="left" w:pos="3600"/>
        </w:tabs>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4.6-16  </w:t>
      </w:r>
      <w:r>
        <w:rPr>
          <w:rFonts w:ascii="Times New Roman" w:eastAsia="宋体" w:hAnsi="Times New Roman" w:cs="Times New Roman"/>
          <w:b/>
          <w:szCs w:val="21"/>
        </w:rPr>
        <w:t>泄漏管道参数及泄漏量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9"/>
        <w:gridCol w:w="4925"/>
      </w:tblGrid>
      <w:tr w:rsidR="002133E3" w14:paraId="48FA3ADA" w14:textId="77777777">
        <w:trPr>
          <w:trHeight w:val="227"/>
          <w:jc w:val="center"/>
        </w:trPr>
        <w:tc>
          <w:tcPr>
            <w:tcW w:w="2501" w:type="pct"/>
            <w:shd w:val="clear" w:color="auto" w:fill="auto"/>
            <w:noWrap/>
            <w:vAlign w:val="center"/>
          </w:tcPr>
          <w:p w14:paraId="5269CFF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参数</w:t>
            </w:r>
          </w:p>
        </w:tc>
        <w:tc>
          <w:tcPr>
            <w:tcW w:w="2499" w:type="pct"/>
            <w:shd w:val="clear" w:color="auto" w:fill="auto"/>
            <w:vAlign w:val="center"/>
          </w:tcPr>
          <w:p w14:paraId="405CF39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最不利气象条件</w:t>
            </w:r>
          </w:p>
        </w:tc>
      </w:tr>
      <w:tr w:rsidR="002133E3" w14:paraId="351DABF3" w14:textId="77777777">
        <w:trPr>
          <w:trHeight w:val="227"/>
          <w:jc w:val="center"/>
        </w:trPr>
        <w:tc>
          <w:tcPr>
            <w:tcW w:w="2501" w:type="pct"/>
            <w:shd w:val="clear" w:color="auto" w:fill="auto"/>
            <w:noWrap/>
            <w:vAlign w:val="center"/>
          </w:tcPr>
          <w:p w14:paraId="42B0AA3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环境风险源</w:t>
            </w:r>
          </w:p>
        </w:tc>
        <w:tc>
          <w:tcPr>
            <w:tcW w:w="2499" w:type="pct"/>
            <w:shd w:val="clear" w:color="auto" w:fill="auto"/>
            <w:vAlign w:val="center"/>
          </w:tcPr>
          <w:p w14:paraId="0E7EE4D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硫酸储罐</w:t>
            </w:r>
          </w:p>
        </w:tc>
      </w:tr>
      <w:tr w:rsidR="002133E3" w14:paraId="21234C63" w14:textId="77777777">
        <w:trPr>
          <w:trHeight w:val="227"/>
          <w:jc w:val="center"/>
        </w:trPr>
        <w:tc>
          <w:tcPr>
            <w:tcW w:w="2501" w:type="pct"/>
            <w:shd w:val="clear" w:color="auto" w:fill="auto"/>
            <w:noWrap/>
            <w:vAlign w:val="center"/>
          </w:tcPr>
          <w:p w14:paraId="4E5A6AA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危险物质</w:t>
            </w:r>
          </w:p>
        </w:tc>
        <w:tc>
          <w:tcPr>
            <w:tcW w:w="2499" w:type="pct"/>
            <w:shd w:val="clear" w:color="auto" w:fill="auto"/>
            <w:vAlign w:val="center"/>
          </w:tcPr>
          <w:p w14:paraId="7DBB9A8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硫酸</w:t>
            </w:r>
          </w:p>
        </w:tc>
      </w:tr>
      <w:tr w:rsidR="002133E3" w14:paraId="311CF91C" w14:textId="77777777">
        <w:trPr>
          <w:trHeight w:val="227"/>
          <w:jc w:val="center"/>
        </w:trPr>
        <w:tc>
          <w:tcPr>
            <w:tcW w:w="2501" w:type="pct"/>
            <w:shd w:val="clear" w:color="auto" w:fill="auto"/>
            <w:noWrap/>
            <w:vAlign w:val="center"/>
          </w:tcPr>
          <w:p w14:paraId="62363FD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分子量</w:t>
            </w:r>
            <w:r>
              <w:rPr>
                <w:rFonts w:ascii="Times New Roman" w:eastAsia="宋体" w:hAnsi="Times New Roman" w:cs="Times New Roman"/>
                <w:b/>
                <w:bCs/>
                <w:color w:val="000000"/>
                <w:kern w:val="0"/>
                <w:szCs w:val="21"/>
              </w:rPr>
              <w:t>(g/mol)</w:t>
            </w:r>
          </w:p>
        </w:tc>
        <w:tc>
          <w:tcPr>
            <w:tcW w:w="2499" w:type="pct"/>
            <w:shd w:val="clear" w:color="auto" w:fill="auto"/>
            <w:vAlign w:val="center"/>
          </w:tcPr>
          <w:p w14:paraId="563B043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98</w:t>
            </w:r>
          </w:p>
        </w:tc>
      </w:tr>
      <w:tr w:rsidR="002133E3" w14:paraId="3D6599AF" w14:textId="77777777">
        <w:trPr>
          <w:trHeight w:val="227"/>
          <w:jc w:val="center"/>
        </w:trPr>
        <w:tc>
          <w:tcPr>
            <w:tcW w:w="2501" w:type="pct"/>
            <w:shd w:val="clear" w:color="auto" w:fill="auto"/>
            <w:noWrap/>
            <w:vAlign w:val="center"/>
          </w:tcPr>
          <w:p w14:paraId="3F8D862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泄漏液体密度</w:t>
            </w:r>
            <w:r>
              <w:rPr>
                <w:rFonts w:ascii="Times New Roman" w:eastAsia="宋体" w:hAnsi="Times New Roman" w:cs="Times New Roman"/>
                <w:b/>
                <w:bCs/>
                <w:color w:val="000000"/>
                <w:kern w:val="0"/>
                <w:szCs w:val="21"/>
              </w:rPr>
              <w:t>(kg/m</w:t>
            </w:r>
            <w:r>
              <w:rPr>
                <w:rFonts w:ascii="Times New Roman" w:eastAsia="宋体" w:hAnsi="Times New Roman" w:cs="Times New Roman"/>
                <w:b/>
                <w:bCs/>
                <w:color w:val="000000"/>
                <w:kern w:val="0"/>
                <w:szCs w:val="21"/>
                <w:vertAlign w:val="superscript"/>
              </w:rPr>
              <w:t>3</w:t>
            </w:r>
            <w:r>
              <w:rPr>
                <w:rFonts w:ascii="Times New Roman" w:eastAsia="宋体" w:hAnsi="Times New Roman" w:cs="Times New Roman"/>
                <w:b/>
                <w:bCs/>
                <w:color w:val="000000"/>
                <w:kern w:val="0"/>
                <w:szCs w:val="21"/>
              </w:rPr>
              <w:t>)</w:t>
            </w:r>
          </w:p>
        </w:tc>
        <w:tc>
          <w:tcPr>
            <w:tcW w:w="2499" w:type="pct"/>
            <w:shd w:val="clear" w:color="auto" w:fill="auto"/>
            <w:vAlign w:val="center"/>
          </w:tcPr>
          <w:p w14:paraId="336178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1830</w:t>
            </w:r>
          </w:p>
        </w:tc>
      </w:tr>
      <w:tr w:rsidR="002133E3" w14:paraId="14B4A154" w14:textId="77777777">
        <w:trPr>
          <w:trHeight w:val="227"/>
          <w:jc w:val="center"/>
        </w:trPr>
        <w:tc>
          <w:tcPr>
            <w:tcW w:w="2501" w:type="pct"/>
            <w:shd w:val="clear" w:color="auto" w:fill="auto"/>
            <w:noWrap/>
            <w:vAlign w:val="center"/>
          </w:tcPr>
          <w:p w14:paraId="7DC5B6A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容器内介质压力</w:t>
            </w:r>
            <w:r>
              <w:rPr>
                <w:rFonts w:ascii="Times New Roman" w:eastAsia="宋体" w:hAnsi="Times New Roman" w:cs="Times New Roman"/>
                <w:b/>
                <w:bCs/>
                <w:color w:val="000000"/>
                <w:kern w:val="0"/>
                <w:szCs w:val="21"/>
              </w:rPr>
              <w:t>(Pa)</w:t>
            </w:r>
          </w:p>
        </w:tc>
        <w:tc>
          <w:tcPr>
            <w:tcW w:w="2499" w:type="pct"/>
            <w:shd w:val="clear" w:color="auto" w:fill="auto"/>
            <w:vAlign w:val="center"/>
          </w:tcPr>
          <w:p w14:paraId="24FCE39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101325</w:t>
            </w:r>
          </w:p>
        </w:tc>
      </w:tr>
      <w:tr w:rsidR="002133E3" w14:paraId="12F85F70" w14:textId="77777777">
        <w:trPr>
          <w:trHeight w:val="227"/>
          <w:jc w:val="center"/>
        </w:trPr>
        <w:tc>
          <w:tcPr>
            <w:tcW w:w="2501" w:type="pct"/>
            <w:shd w:val="clear" w:color="auto" w:fill="auto"/>
            <w:noWrap/>
            <w:vAlign w:val="center"/>
          </w:tcPr>
          <w:p w14:paraId="709DDC3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裂口直径</w:t>
            </w:r>
            <w:r>
              <w:rPr>
                <w:rFonts w:ascii="Times New Roman" w:eastAsia="宋体" w:hAnsi="Times New Roman" w:cs="Times New Roman"/>
                <w:b/>
                <w:bCs/>
                <w:color w:val="000000"/>
                <w:kern w:val="0"/>
                <w:szCs w:val="21"/>
              </w:rPr>
              <w:t>(mm)</w:t>
            </w:r>
          </w:p>
        </w:tc>
        <w:tc>
          <w:tcPr>
            <w:tcW w:w="2499" w:type="pct"/>
            <w:shd w:val="clear" w:color="auto" w:fill="auto"/>
            <w:vAlign w:val="center"/>
          </w:tcPr>
          <w:p w14:paraId="73154B5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p>
        </w:tc>
      </w:tr>
      <w:tr w:rsidR="002133E3" w14:paraId="36D266C5" w14:textId="77777777">
        <w:trPr>
          <w:trHeight w:val="227"/>
          <w:jc w:val="center"/>
        </w:trPr>
        <w:tc>
          <w:tcPr>
            <w:tcW w:w="2501" w:type="pct"/>
            <w:shd w:val="clear" w:color="auto" w:fill="auto"/>
            <w:noWrap/>
            <w:vAlign w:val="center"/>
          </w:tcPr>
          <w:p w14:paraId="5D7217E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裂口之上液位高度</w:t>
            </w:r>
            <w:r>
              <w:rPr>
                <w:rFonts w:ascii="Times New Roman" w:eastAsia="宋体" w:hAnsi="Times New Roman" w:cs="Times New Roman"/>
                <w:b/>
                <w:bCs/>
                <w:color w:val="000000"/>
                <w:kern w:val="0"/>
                <w:szCs w:val="21"/>
              </w:rPr>
              <w:t>(m)</w:t>
            </w:r>
          </w:p>
        </w:tc>
        <w:tc>
          <w:tcPr>
            <w:tcW w:w="2499" w:type="pct"/>
            <w:shd w:val="clear" w:color="auto" w:fill="auto"/>
            <w:vAlign w:val="center"/>
          </w:tcPr>
          <w:p w14:paraId="7D0B554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w:t>
            </w:r>
          </w:p>
        </w:tc>
      </w:tr>
      <w:tr w:rsidR="002133E3" w14:paraId="71ECAFE7" w14:textId="77777777">
        <w:trPr>
          <w:trHeight w:val="227"/>
          <w:jc w:val="center"/>
        </w:trPr>
        <w:tc>
          <w:tcPr>
            <w:tcW w:w="2501" w:type="pct"/>
            <w:shd w:val="clear" w:color="auto" w:fill="auto"/>
            <w:noWrap/>
            <w:vAlign w:val="center"/>
          </w:tcPr>
          <w:p w14:paraId="40BD6A6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泄漏时间</w:t>
            </w:r>
            <w:r>
              <w:rPr>
                <w:rFonts w:ascii="Times New Roman" w:eastAsia="宋体" w:hAnsi="Times New Roman" w:cs="Times New Roman"/>
                <w:b/>
                <w:bCs/>
                <w:color w:val="000000"/>
                <w:kern w:val="0"/>
                <w:szCs w:val="21"/>
              </w:rPr>
              <w:t>(s)</w:t>
            </w:r>
          </w:p>
        </w:tc>
        <w:tc>
          <w:tcPr>
            <w:tcW w:w="2499" w:type="pct"/>
            <w:shd w:val="clear" w:color="auto" w:fill="auto"/>
            <w:vAlign w:val="center"/>
          </w:tcPr>
          <w:p w14:paraId="3DA805A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600</w:t>
            </w:r>
          </w:p>
        </w:tc>
      </w:tr>
      <w:tr w:rsidR="002133E3" w14:paraId="5DC82A07" w14:textId="77777777">
        <w:trPr>
          <w:trHeight w:val="227"/>
          <w:jc w:val="center"/>
        </w:trPr>
        <w:tc>
          <w:tcPr>
            <w:tcW w:w="2501" w:type="pct"/>
            <w:shd w:val="clear" w:color="auto" w:fill="auto"/>
            <w:noWrap/>
            <w:vAlign w:val="center"/>
          </w:tcPr>
          <w:p w14:paraId="2025168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大气稳定度</w:t>
            </w:r>
          </w:p>
        </w:tc>
        <w:tc>
          <w:tcPr>
            <w:tcW w:w="2499" w:type="pct"/>
            <w:shd w:val="clear" w:color="auto" w:fill="auto"/>
            <w:vAlign w:val="center"/>
          </w:tcPr>
          <w:p w14:paraId="49DDD1D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F</w:t>
            </w:r>
          </w:p>
        </w:tc>
      </w:tr>
      <w:tr w:rsidR="002133E3" w14:paraId="4C206AEB" w14:textId="77777777">
        <w:trPr>
          <w:trHeight w:val="227"/>
          <w:jc w:val="center"/>
        </w:trPr>
        <w:tc>
          <w:tcPr>
            <w:tcW w:w="2501" w:type="pct"/>
            <w:shd w:val="clear" w:color="auto" w:fill="auto"/>
            <w:noWrap/>
            <w:vAlign w:val="center"/>
          </w:tcPr>
          <w:p w14:paraId="6301313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泄漏温度</w:t>
            </w:r>
            <w:r>
              <w:rPr>
                <w:rFonts w:ascii="Times New Roman" w:eastAsia="宋体" w:hAnsi="Times New Roman" w:cs="Times New Roman"/>
                <w:b/>
                <w:bCs/>
                <w:color w:val="000000"/>
                <w:kern w:val="0"/>
                <w:szCs w:val="21"/>
              </w:rPr>
              <w:t>(</w:t>
            </w:r>
            <w:r>
              <w:rPr>
                <w:rFonts w:ascii="宋体" w:eastAsia="宋体" w:hAnsi="宋体" w:cs="宋体" w:hint="eastAsia"/>
                <w:b/>
                <w:bCs/>
                <w:color w:val="000000"/>
                <w:kern w:val="0"/>
                <w:szCs w:val="21"/>
              </w:rPr>
              <w:t>℃</w:t>
            </w:r>
            <w:r>
              <w:rPr>
                <w:rFonts w:ascii="Times New Roman" w:eastAsia="宋体" w:hAnsi="Times New Roman" w:cs="Times New Roman"/>
                <w:b/>
                <w:bCs/>
                <w:color w:val="000000"/>
                <w:kern w:val="0"/>
                <w:szCs w:val="21"/>
              </w:rPr>
              <w:t>)</w:t>
            </w:r>
          </w:p>
        </w:tc>
        <w:tc>
          <w:tcPr>
            <w:tcW w:w="2499" w:type="pct"/>
            <w:shd w:val="clear" w:color="auto" w:fill="auto"/>
            <w:vAlign w:val="center"/>
          </w:tcPr>
          <w:p w14:paraId="3FCA3A0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w:t>
            </w:r>
          </w:p>
        </w:tc>
      </w:tr>
      <w:tr w:rsidR="002133E3" w14:paraId="12D526B2" w14:textId="77777777">
        <w:trPr>
          <w:trHeight w:val="227"/>
          <w:jc w:val="center"/>
        </w:trPr>
        <w:tc>
          <w:tcPr>
            <w:tcW w:w="2501" w:type="pct"/>
            <w:shd w:val="clear" w:color="auto" w:fill="auto"/>
            <w:vAlign w:val="center"/>
          </w:tcPr>
          <w:p w14:paraId="12B28D7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泄漏速率</w:t>
            </w:r>
            <w:r>
              <w:rPr>
                <w:rFonts w:ascii="Times New Roman" w:eastAsia="宋体" w:hAnsi="Times New Roman" w:cs="Times New Roman"/>
                <w:b/>
                <w:bCs/>
                <w:color w:val="000000"/>
                <w:kern w:val="0"/>
                <w:szCs w:val="21"/>
              </w:rPr>
              <w:t>(kg/s)</w:t>
            </w:r>
          </w:p>
        </w:tc>
        <w:tc>
          <w:tcPr>
            <w:tcW w:w="2499" w:type="pct"/>
            <w:shd w:val="clear" w:color="auto" w:fill="auto"/>
            <w:vAlign w:val="center"/>
          </w:tcPr>
          <w:p w14:paraId="66E8FA3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0.43162</w:t>
            </w:r>
          </w:p>
        </w:tc>
      </w:tr>
      <w:tr w:rsidR="002133E3" w14:paraId="4EBBC633" w14:textId="77777777">
        <w:trPr>
          <w:trHeight w:val="227"/>
          <w:jc w:val="center"/>
        </w:trPr>
        <w:tc>
          <w:tcPr>
            <w:tcW w:w="2501" w:type="pct"/>
            <w:shd w:val="clear" w:color="auto" w:fill="auto"/>
            <w:noWrap/>
            <w:vAlign w:val="center"/>
          </w:tcPr>
          <w:p w14:paraId="163A2C0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泄漏量</w:t>
            </w:r>
            <w:r>
              <w:rPr>
                <w:rFonts w:ascii="Times New Roman" w:eastAsia="宋体" w:hAnsi="Times New Roman" w:cs="Times New Roman"/>
                <w:b/>
                <w:bCs/>
                <w:color w:val="000000"/>
                <w:kern w:val="0"/>
                <w:szCs w:val="21"/>
              </w:rPr>
              <w:t>(kg)</w:t>
            </w:r>
          </w:p>
        </w:tc>
        <w:tc>
          <w:tcPr>
            <w:tcW w:w="2499" w:type="pct"/>
            <w:shd w:val="clear" w:color="auto" w:fill="auto"/>
            <w:vAlign w:val="center"/>
          </w:tcPr>
          <w:p w14:paraId="50B8705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258.972</w:t>
            </w:r>
          </w:p>
        </w:tc>
      </w:tr>
    </w:tbl>
    <w:p w14:paraId="14AF7CA1" w14:textId="77777777" w:rsidR="002133E3" w:rsidRDefault="00C22CFA">
      <w:pPr>
        <w:tabs>
          <w:tab w:val="left" w:pos="4500"/>
        </w:tabs>
        <w:spacing w:line="500" w:lineRule="exact"/>
        <w:ind w:firstLineChars="200" w:firstLine="562"/>
        <w:rPr>
          <w:rFonts w:ascii="Times New Roman" w:eastAsia="宋体" w:hAnsi="Times New Roman" w:cs="Times New Roman"/>
          <w:b/>
          <w:bCs/>
          <w:sz w:val="28"/>
          <w:szCs w:val="28"/>
        </w:rPr>
      </w:pPr>
      <w:r>
        <w:rPr>
          <w:rFonts w:ascii="宋体" w:eastAsia="宋体" w:hAnsi="宋体" w:cs="宋体" w:hint="eastAsia"/>
          <w:b/>
          <w:bCs/>
          <w:sz w:val="28"/>
          <w:szCs w:val="28"/>
        </w:rPr>
        <w:t>②</w:t>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泄漏物质蒸发速率</w:t>
      </w:r>
    </w:p>
    <w:p w14:paraId="2B4CE7C2"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本项目中硫酸泄漏后先形成液池再蒸发，包括闪蒸蒸发、热量蒸发和质量蒸发三种，其蒸发总量为这三种蒸发之和，蒸发速率小于其泄漏速率。</w:t>
      </w:r>
    </w:p>
    <w:p w14:paraId="4063CAF4"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硫酸青泄漏蒸发量主要为质量蒸发，当热量蒸发结束，转由液池表面气流运动使液体蒸发，称之为质量蒸发。其蒸发速度可按下式计算：</w:t>
      </w:r>
    </w:p>
    <w:p w14:paraId="4F6DC570" w14:textId="77777777" w:rsidR="002133E3" w:rsidRDefault="009F1FEF">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object w:dxaOrig="1440" w:dyaOrig="1440" w14:anchorId="413C2883">
          <v:shape id="对象 561" o:spid="_x0000_s1059" type="#_x0000_t75" style="position:absolute;left:0;text-align:left;margin-left:66pt;margin-top:4.9pt;width:240pt;height:19pt;z-index:251680256;mso-width-relative:page;mso-height-relative:page" o:allowincell="f">
            <v:imagedata r:id="rId73" o:title=""/>
          </v:shape>
          <o:OLEObject Type="Embed" ProgID="Equation.3" ShapeID="对象 561" DrawAspect="Content" ObjectID="_1687345266" r:id="rId74"/>
        </w:object>
      </w:r>
      <w:r w:rsidR="00C22CFA">
        <w:rPr>
          <w:rFonts w:ascii="Times New Roman" w:eastAsia="宋体" w:hAnsi="Times New Roman" w:cs="Times New Roman"/>
          <w:sz w:val="28"/>
          <w:szCs w:val="20"/>
          <w:lang w:val="zh-CN"/>
        </w:rPr>
        <w:t xml:space="preserve">  </w:t>
      </w:r>
    </w:p>
    <w:p w14:paraId="31F861BD"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式中：</w:t>
      </w:r>
    </w:p>
    <w:p w14:paraId="20CA69BA"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Q</w:t>
      </w:r>
      <w:r>
        <w:rPr>
          <w:rFonts w:ascii="Times New Roman" w:eastAsia="宋体" w:hAnsi="Times New Roman" w:cs="Times New Roman"/>
          <w:sz w:val="28"/>
          <w:szCs w:val="20"/>
          <w:vertAlign w:val="subscript"/>
          <w:lang w:val="zh-CN"/>
        </w:rPr>
        <w:t>3</w:t>
      </w:r>
      <w:r>
        <w:rPr>
          <w:rFonts w:ascii="Times New Roman" w:eastAsia="宋体" w:hAnsi="Times New Roman" w:cs="Times New Roman"/>
          <w:sz w:val="28"/>
          <w:szCs w:val="20"/>
          <w:lang w:val="zh-CN"/>
        </w:rPr>
        <w:t>——</w:t>
      </w:r>
      <w:r>
        <w:rPr>
          <w:rFonts w:ascii="Times New Roman" w:eastAsia="宋体" w:hAnsi="Times New Roman" w:cs="Times New Roman"/>
          <w:sz w:val="28"/>
          <w:szCs w:val="20"/>
          <w:lang w:val="zh-CN"/>
        </w:rPr>
        <w:t>质量蒸发速度，</w:t>
      </w:r>
      <w:r>
        <w:rPr>
          <w:rFonts w:ascii="Times New Roman" w:eastAsia="宋体" w:hAnsi="Times New Roman" w:cs="Times New Roman"/>
          <w:sz w:val="28"/>
          <w:szCs w:val="20"/>
          <w:lang w:val="zh-CN"/>
        </w:rPr>
        <w:t>kg/s</w:t>
      </w:r>
      <w:r>
        <w:rPr>
          <w:rFonts w:ascii="Times New Roman" w:eastAsia="宋体" w:hAnsi="Times New Roman" w:cs="Times New Roman"/>
          <w:sz w:val="28"/>
          <w:szCs w:val="20"/>
          <w:lang w:val="zh-CN"/>
        </w:rPr>
        <w:t>；</w:t>
      </w:r>
    </w:p>
    <w:p w14:paraId="1046C4C9"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lastRenderedPageBreak/>
        <w:t>a,n——</w:t>
      </w:r>
      <w:r>
        <w:rPr>
          <w:rFonts w:ascii="Times New Roman" w:eastAsia="宋体" w:hAnsi="Times New Roman" w:cs="Times New Roman"/>
          <w:sz w:val="28"/>
          <w:szCs w:val="20"/>
          <w:lang w:val="zh-CN"/>
        </w:rPr>
        <w:t>大气稳定度系数；</w:t>
      </w:r>
    </w:p>
    <w:p w14:paraId="05F8200D"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p——</w:t>
      </w:r>
      <w:r>
        <w:rPr>
          <w:rFonts w:ascii="Times New Roman" w:eastAsia="宋体" w:hAnsi="Times New Roman" w:cs="Times New Roman"/>
          <w:sz w:val="28"/>
          <w:szCs w:val="20"/>
          <w:lang w:val="zh-CN"/>
        </w:rPr>
        <w:t>液体表面蒸气压，</w:t>
      </w:r>
      <w:r>
        <w:rPr>
          <w:rFonts w:ascii="Times New Roman" w:eastAsia="宋体" w:hAnsi="Times New Roman" w:cs="Times New Roman"/>
          <w:sz w:val="28"/>
          <w:szCs w:val="20"/>
          <w:lang w:val="zh-CN"/>
        </w:rPr>
        <w:t>Pa</w:t>
      </w:r>
      <w:r>
        <w:rPr>
          <w:rFonts w:ascii="Times New Roman" w:eastAsia="宋体" w:hAnsi="Times New Roman" w:cs="Times New Roman"/>
          <w:sz w:val="28"/>
          <w:szCs w:val="20"/>
          <w:lang w:val="zh-CN"/>
        </w:rPr>
        <w:t>；</w:t>
      </w:r>
    </w:p>
    <w:p w14:paraId="1AF23BB6"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R——</w:t>
      </w:r>
      <w:r>
        <w:rPr>
          <w:rFonts w:ascii="Times New Roman" w:eastAsia="宋体" w:hAnsi="Times New Roman" w:cs="Times New Roman"/>
          <w:sz w:val="28"/>
          <w:szCs w:val="20"/>
          <w:lang w:val="zh-CN"/>
        </w:rPr>
        <w:t>气体常数；</w:t>
      </w:r>
      <w:r>
        <w:rPr>
          <w:rFonts w:ascii="Times New Roman" w:eastAsia="宋体" w:hAnsi="Times New Roman" w:cs="Times New Roman"/>
          <w:sz w:val="28"/>
          <w:szCs w:val="20"/>
          <w:lang w:val="zh-CN"/>
        </w:rPr>
        <w:t>J/mol·k</w:t>
      </w:r>
      <w:r>
        <w:rPr>
          <w:rFonts w:ascii="Times New Roman" w:eastAsia="宋体" w:hAnsi="Times New Roman" w:cs="Times New Roman"/>
          <w:sz w:val="28"/>
          <w:szCs w:val="20"/>
          <w:lang w:val="zh-CN"/>
        </w:rPr>
        <w:t>；</w:t>
      </w:r>
    </w:p>
    <w:p w14:paraId="59E9764E"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T</w:t>
      </w:r>
      <w:r>
        <w:rPr>
          <w:rFonts w:ascii="Times New Roman" w:eastAsia="宋体" w:hAnsi="Times New Roman" w:cs="Times New Roman"/>
          <w:sz w:val="28"/>
          <w:szCs w:val="20"/>
          <w:vertAlign w:val="subscript"/>
          <w:lang w:val="zh-CN"/>
        </w:rPr>
        <w:t>0</w:t>
      </w:r>
      <w:r>
        <w:rPr>
          <w:rFonts w:ascii="Times New Roman" w:eastAsia="宋体" w:hAnsi="Times New Roman" w:cs="Times New Roman"/>
          <w:sz w:val="28"/>
          <w:szCs w:val="20"/>
          <w:lang w:val="zh-CN"/>
        </w:rPr>
        <w:t>——</w:t>
      </w:r>
      <w:r>
        <w:rPr>
          <w:rFonts w:ascii="Times New Roman" w:eastAsia="宋体" w:hAnsi="Times New Roman" w:cs="Times New Roman"/>
          <w:sz w:val="28"/>
          <w:szCs w:val="20"/>
          <w:lang w:val="zh-CN"/>
        </w:rPr>
        <w:t>环境温度，</w:t>
      </w:r>
      <w:r>
        <w:rPr>
          <w:rFonts w:ascii="Times New Roman" w:eastAsia="宋体" w:hAnsi="Times New Roman" w:cs="Times New Roman"/>
          <w:sz w:val="28"/>
          <w:szCs w:val="20"/>
          <w:lang w:val="zh-CN"/>
        </w:rPr>
        <w:t>k</w:t>
      </w:r>
      <w:r>
        <w:rPr>
          <w:rFonts w:ascii="Times New Roman" w:eastAsia="宋体" w:hAnsi="Times New Roman" w:cs="Times New Roman"/>
          <w:sz w:val="28"/>
          <w:szCs w:val="20"/>
          <w:lang w:val="zh-CN"/>
        </w:rPr>
        <w:t>；</w:t>
      </w:r>
    </w:p>
    <w:p w14:paraId="6C6C6939"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u——</w:t>
      </w:r>
      <w:r>
        <w:rPr>
          <w:rFonts w:ascii="Times New Roman" w:eastAsia="宋体" w:hAnsi="Times New Roman" w:cs="Times New Roman"/>
          <w:sz w:val="28"/>
          <w:szCs w:val="20"/>
          <w:lang w:val="zh-CN"/>
        </w:rPr>
        <w:t>风速，</w:t>
      </w:r>
      <w:r>
        <w:rPr>
          <w:rFonts w:ascii="Times New Roman" w:eastAsia="宋体" w:hAnsi="Times New Roman" w:cs="Times New Roman"/>
          <w:sz w:val="28"/>
          <w:szCs w:val="20"/>
          <w:lang w:val="zh-CN"/>
        </w:rPr>
        <w:t>m/s</w:t>
      </w:r>
      <w:r>
        <w:rPr>
          <w:rFonts w:ascii="Times New Roman" w:eastAsia="宋体" w:hAnsi="Times New Roman" w:cs="Times New Roman"/>
          <w:sz w:val="28"/>
          <w:szCs w:val="20"/>
          <w:lang w:val="zh-CN"/>
        </w:rPr>
        <w:t>；</w:t>
      </w:r>
    </w:p>
    <w:p w14:paraId="160D9636" w14:textId="77777777" w:rsidR="002133E3" w:rsidRDefault="00C22CFA">
      <w:pPr>
        <w:spacing w:line="500" w:lineRule="exact"/>
        <w:ind w:firstLineChars="200" w:firstLine="560"/>
        <w:rPr>
          <w:rFonts w:ascii="Times New Roman" w:eastAsia="宋体" w:hAnsi="Times New Roman" w:cs="Times New Roman"/>
          <w:sz w:val="28"/>
          <w:szCs w:val="20"/>
          <w:lang w:val="zh-CN"/>
        </w:rPr>
      </w:pPr>
      <w:r>
        <w:rPr>
          <w:rFonts w:ascii="Times New Roman" w:eastAsia="宋体" w:hAnsi="Times New Roman" w:cs="Times New Roman"/>
          <w:sz w:val="28"/>
          <w:szCs w:val="20"/>
          <w:lang w:val="zh-CN"/>
        </w:rPr>
        <w:t>r——</w:t>
      </w:r>
      <w:r>
        <w:rPr>
          <w:rFonts w:ascii="Times New Roman" w:eastAsia="宋体" w:hAnsi="Times New Roman" w:cs="Times New Roman"/>
          <w:sz w:val="28"/>
          <w:szCs w:val="20"/>
          <w:lang w:val="zh-CN"/>
        </w:rPr>
        <w:t>液池半径，</w:t>
      </w:r>
      <w:r>
        <w:rPr>
          <w:rFonts w:ascii="Times New Roman" w:eastAsia="宋体" w:hAnsi="Times New Roman" w:cs="Times New Roman"/>
          <w:sz w:val="28"/>
          <w:szCs w:val="20"/>
          <w:lang w:val="zh-CN"/>
        </w:rPr>
        <w:t>m</w:t>
      </w:r>
      <w:r>
        <w:rPr>
          <w:rFonts w:ascii="Times New Roman" w:eastAsia="宋体" w:hAnsi="Times New Roman" w:cs="Times New Roman"/>
          <w:sz w:val="28"/>
          <w:szCs w:val="20"/>
          <w:lang w:val="zh-CN"/>
        </w:rPr>
        <w:t>。</w:t>
      </w:r>
    </w:p>
    <w:p w14:paraId="22485BAD" w14:textId="77777777" w:rsidR="002133E3" w:rsidRDefault="00C22CFA">
      <w:pPr>
        <w:spacing w:line="500" w:lineRule="exact"/>
        <w:ind w:firstLineChars="200" w:firstLine="560"/>
        <w:rPr>
          <w:rFonts w:ascii="Times New Roman" w:eastAsia="宋体" w:hAnsi="Times New Roman" w:cs="Times New Roman"/>
          <w:sz w:val="28"/>
          <w:szCs w:val="28"/>
          <w:lang w:val="zh-CN"/>
        </w:rPr>
      </w:pPr>
      <w:r>
        <w:rPr>
          <w:rFonts w:ascii="Times New Roman" w:eastAsia="宋体" w:hAnsi="Times New Roman" w:cs="Times New Roman"/>
          <w:sz w:val="28"/>
          <w:szCs w:val="20"/>
          <w:lang w:val="zh-CN"/>
        </w:rPr>
        <w:t>液池最大直径取决于泄漏点附近的地域构型、泄漏的连续性或瞬时性。有围堰时，以围堰最大等效半径为液池半径；无围堰时，设定液体瞬间扩</w:t>
      </w:r>
      <w:r>
        <w:rPr>
          <w:rFonts w:ascii="Times New Roman" w:eastAsia="宋体" w:hAnsi="Times New Roman" w:cs="Times New Roman"/>
          <w:sz w:val="28"/>
          <w:szCs w:val="28"/>
          <w:lang w:val="zh-CN"/>
        </w:rPr>
        <w:t>散到最小厚度时，推算液池等效半径。</w:t>
      </w:r>
    </w:p>
    <w:p w14:paraId="4CF1CF51" w14:textId="77777777" w:rsidR="002133E3" w:rsidRDefault="00C22CFA">
      <w:pPr>
        <w:tabs>
          <w:tab w:val="left" w:pos="4500"/>
        </w:tabs>
        <w:spacing w:line="500" w:lineRule="exact"/>
        <w:ind w:firstLine="570"/>
        <w:rPr>
          <w:rFonts w:ascii="Times New Roman" w:eastAsia="宋体" w:hAnsi="Times New Roman" w:cs="Times New Roman"/>
          <w:sz w:val="28"/>
          <w:szCs w:val="28"/>
        </w:rPr>
      </w:pPr>
      <w:r>
        <w:rPr>
          <w:rFonts w:ascii="Times New Roman" w:eastAsia="宋体" w:hAnsi="Times New Roman" w:cs="Times New Roman"/>
          <w:sz w:val="28"/>
          <w:szCs w:val="20"/>
          <w:lang w:val="zh-CN"/>
        </w:rPr>
        <w:t>硫酸</w:t>
      </w:r>
      <w:r>
        <w:rPr>
          <w:rFonts w:ascii="Times New Roman" w:eastAsia="宋体" w:hAnsi="Times New Roman" w:cs="Times New Roman"/>
          <w:sz w:val="28"/>
          <w:szCs w:val="28"/>
        </w:rPr>
        <w:t>泄漏气象条件及泄漏参数情况详见表</w:t>
      </w:r>
      <w:r>
        <w:rPr>
          <w:rFonts w:ascii="Times New Roman" w:eastAsia="宋体" w:hAnsi="Times New Roman" w:cs="Times New Roman"/>
          <w:sz w:val="28"/>
          <w:szCs w:val="28"/>
        </w:rPr>
        <w:t>4.6-17</w:t>
      </w:r>
      <w:r>
        <w:rPr>
          <w:rFonts w:ascii="Times New Roman" w:eastAsia="宋体" w:hAnsi="Times New Roman" w:cs="Times New Roman"/>
          <w:sz w:val="28"/>
          <w:szCs w:val="28"/>
        </w:rPr>
        <w:t>。</w:t>
      </w:r>
    </w:p>
    <w:p w14:paraId="73AB3D99" w14:textId="77777777" w:rsidR="002133E3" w:rsidRDefault="00C22CFA">
      <w:pPr>
        <w:spacing w:line="500" w:lineRule="exact"/>
        <w:jc w:val="center"/>
        <w:rPr>
          <w:rFonts w:ascii="Times New Roman" w:eastAsia="宋体" w:hAnsi="Times New Roman" w:cs="Times New Roman"/>
          <w:sz w:val="28"/>
          <w:szCs w:val="28"/>
        </w:rPr>
      </w:pPr>
      <w:r>
        <w:rPr>
          <w:rFonts w:ascii="Times New Roman" w:eastAsia="宋体" w:hAnsi="Times New Roman" w:cs="Times New Roman"/>
          <w:b/>
          <w:szCs w:val="21"/>
        </w:rPr>
        <w:t>表</w:t>
      </w:r>
      <w:r>
        <w:rPr>
          <w:rFonts w:ascii="Times New Roman" w:eastAsia="宋体" w:hAnsi="Times New Roman" w:cs="Times New Roman"/>
          <w:b/>
          <w:szCs w:val="21"/>
        </w:rPr>
        <w:t xml:space="preserve">4.6-17  </w:t>
      </w:r>
      <w:r>
        <w:rPr>
          <w:rFonts w:ascii="Times New Roman" w:eastAsia="宋体" w:hAnsi="Times New Roman" w:cs="Times New Roman"/>
          <w:b/>
          <w:spacing w:val="-6"/>
          <w:kern w:val="0"/>
          <w:szCs w:val="21"/>
        </w:rPr>
        <w:t>不同情形泄漏参数表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761"/>
      </w:tblGrid>
      <w:tr w:rsidR="002133E3" w14:paraId="19561106" w14:textId="77777777">
        <w:trPr>
          <w:trHeight w:val="284"/>
          <w:jc w:val="center"/>
        </w:trPr>
        <w:tc>
          <w:tcPr>
            <w:tcW w:w="1062" w:type="pct"/>
            <w:shd w:val="clear" w:color="auto" w:fill="auto"/>
            <w:noWrap/>
            <w:vAlign w:val="center"/>
          </w:tcPr>
          <w:p w14:paraId="0B671B5C"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参数</w:t>
            </w:r>
          </w:p>
        </w:tc>
        <w:tc>
          <w:tcPr>
            <w:tcW w:w="3938" w:type="pct"/>
            <w:shd w:val="clear" w:color="auto" w:fill="auto"/>
            <w:vAlign w:val="center"/>
          </w:tcPr>
          <w:p w14:paraId="0D9146C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最不利气象条件</w:t>
            </w:r>
          </w:p>
        </w:tc>
      </w:tr>
      <w:tr w:rsidR="002133E3" w14:paraId="66839A61" w14:textId="77777777">
        <w:trPr>
          <w:trHeight w:val="284"/>
          <w:jc w:val="center"/>
        </w:trPr>
        <w:tc>
          <w:tcPr>
            <w:tcW w:w="1062" w:type="pct"/>
            <w:shd w:val="clear" w:color="auto" w:fill="auto"/>
            <w:noWrap/>
            <w:vAlign w:val="center"/>
          </w:tcPr>
          <w:p w14:paraId="15D7D1E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危险物质</w:t>
            </w:r>
          </w:p>
        </w:tc>
        <w:tc>
          <w:tcPr>
            <w:tcW w:w="3938" w:type="pct"/>
            <w:shd w:val="clear" w:color="auto" w:fill="auto"/>
            <w:vAlign w:val="center"/>
          </w:tcPr>
          <w:p w14:paraId="139C194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 xml:space="preserve">硫酸　</w:t>
            </w:r>
          </w:p>
        </w:tc>
      </w:tr>
      <w:tr w:rsidR="002133E3" w14:paraId="261D7281" w14:textId="77777777">
        <w:trPr>
          <w:trHeight w:val="284"/>
          <w:jc w:val="center"/>
        </w:trPr>
        <w:tc>
          <w:tcPr>
            <w:tcW w:w="1062" w:type="pct"/>
            <w:shd w:val="clear" w:color="auto" w:fill="auto"/>
            <w:vAlign w:val="center"/>
          </w:tcPr>
          <w:p w14:paraId="61C65B4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液体表面蒸气压</w:t>
            </w:r>
            <w:r>
              <w:rPr>
                <w:rFonts w:ascii="Times New Roman" w:eastAsia="宋体" w:hAnsi="Times New Roman" w:cs="Times New Roman"/>
                <w:b/>
                <w:bCs/>
                <w:color w:val="000000"/>
                <w:kern w:val="0"/>
                <w:szCs w:val="21"/>
              </w:rPr>
              <w:t>(Pa)</w:t>
            </w:r>
          </w:p>
        </w:tc>
        <w:tc>
          <w:tcPr>
            <w:tcW w:w="3938" w:type="pct"/>
            <w:shd w:val="clear" w:color="auto" w:fill="auto"/>
            <w:vAlign w:val="center"/>
          </w:tcPr>
          <w:p w14:paraId="11A9473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0.033</w:t>
            </w:r>
            <w:r>
              <w:rPr>
                <w:rFonts w:ascii="Times New Roman" w:eastAsia="宋体" w:hAnsi="Times New Roman" w:cs="Times New Roman"/>
                <w:color w:val="000000"/>
                <w:kern w:val="0"/>
                <w:szCs w:val="21"/>
              </w:rPr>
              <w:t xml:space="preserve">　</w:t>
            </w:r>
          </w:p>
        </w:tc>
      </w:tr>
      <w:tr w:rsidR="002133E3" w14:paraId="693319C1" w14:textId="77777777">
        <w:trPr>
          <w:trHeight w:val="284"/>
          <w:jc w:val="center"/>
        </w:trPr>
        <w:tc>
          <w:tcPr>
            <w:tcW w:w="1062" w:type="pct"/>
            <w:shd w:val="clear" w:color="auto" w:fill="auto"/>
            <w:noWrap/>
            <w:vAlign w:val="center"/>
          </w:tcPr>
          <w:p w14:paraId="52BE85D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泄漏量</w:t>
            </w:r>
            <w:r>
              <w:rPr>
                <w:rFonts w:ascii="Times New Roman" w:eastAsia="宋体" w:hAnsi="Times New Roman" w:cs="Times New Roman"/>
                <w:b/>
                <w:bCs/>
                <w:color w:val="000000"/>
                <w:kern w:val="0"/>
                <w:szCs w:val="21"/>
              </w:rPr>
              <w:t>(kg)</w:t>
            </w:r>
          </w:p>
        </w:tc>
        <w:tc>
          <w:tcPr>
            <w:tcW w:w="3938" w:type="pct"/>
            <w:shd w:val="clear" w:color="auto" w:fill="auto"/>
            <w:vAlign w:val="center"/>
          </w:tcPr>
          <w:p w14:paraId="7220A3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846.72</w:t>
            </w:r>
          </w:p>
        </w:tc>
      </w:tr>
      <w:tr w:rsidR="002133E3" w14:paraId="17E8111E" w14:textId="77777777">
        <w:trPr>
          <w:trHeight w:val="284"/>
          <w:jc w:val="center"/>
        </w:trPr>
        <w:tc>
          <w:tcPr>
            <w:tcW w:w="1062" w:type="pct"/>
            <w:shd w:val="clear" w:color="auto" w:fill="auto"/>
            <w:noWrap/>
            <w:vAlign w:val="center"/>
          </w:tcPr>
          <w:p w14:paraId="686FE41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大气稳定度</w:t>
            </w:r>
          </w:p>
        </w:tc>
        <w:tc>
          <w:tcPr>
            <w:tcW w:w="3938" w:type="pct"/>
            <w:shd w:val="clear" w:color="auto" w:fill="auto"/>
            <w:vAlign w:val="center"/>
          </w:tcPr>
          <w:p w14:paraId="278E44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F</w:t>
            </w:r>
          </w:p>
        </w:tc>
      </w:tr>
      <w:tr w:rsidR="002133E3" w14:paraId="7848BB7A" w14:textId="77777777">
        <w:trPr>
          <w:trHeight w:val="284"/>
          <w:jc w:val="center"/>
        </w:trPr>
        <w:tc>
          <w:tcPr>
            <w:tcW w:w="1062" w:type="pct"/>
            <w:shd w:val="clear" w:color="auto" w:fill="auto"/>
            <w:noWrap/>
            <w:vAlign w:val="center"/>
          </w:tcPr>
          <w:p w14:paraId="3CE55B1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风速</w:t>
            </w:r>
            <w:r>
              <w:rPr>
                <w:rFonts w:ascii="Times New Roman" w:eastAsia="宋体" w:hAnsi="Times New Roman" w:cs="Times New Roman"/>
                <w:b/>
                <w:bCs/>
                <w:color w:val="000000"/>
                <w:kern w:val="0"/>
                <w:szCs w:val="21"/>
              </w:rPr>
              <w:t>m/s</w:t>
            </w:r>
          </w:p>
        </w:tc>
        <w:tc>
          <w:tcPr>
            <w:tcW w:w="3938" w:type="pct"/>
            <w:shd w:val="clear" w:color="auto" w:fill="auto"/>
            <w:vAlign w:val="center"/>
          </w:tcPr>
          <w:p w14:paraId="45E4DEE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r>
      <w:tr w:rsidR="002133E3" w14:paraId="443DBB15" w14:textId="77777777">
        <w:trPr>
          <w:trHeight w:val="284"/>
          <w:jc w:val="center"/>
        </w:trPr>
        <w:tc>
          <w:tcPr>
            <w:tcW w:w="1062" w:type="pct"/>
            <w:shd w:val="clear" w:color="auto" w:fill="auto"/>
            <w:noWrap/>
            <w:vAlign w:val="center"/>
          </w:tcPr>
          <w:p w14:paraId="194D3CEC"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温度</w:t>
            </w:r>
            <w:r>
              <w:rPr>
                <w:rFonts w:ascii="宋体" w:eastAsia="宋体" w:hAnsi="宋体" w:cs="宋体" w:hint="eastAsia"/>
                <w:b/>
                <w:bCs/>
                <w:color w:val="000000"/>
                <w:kern w:val="0"/>
                <w:szCs w:val="21"/>
              </w:rPr>
              <w:t>℃</w:t>
            </w:r>
          </w:p>
        </w:tc>
        <w:tc>
          <w:tcPr>
            <w:tcW w:w="3938" w:type="pct"/>
            <w:shd w:val="clear" w:color="auto" w:fill="auto"/>
            <w:vAlign w:val="center"/>
          </w:tcPr>
          <w:p w14:paraId="4326D81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w:t>
            </w:r>
          </w:p>
        </w:tc>
      </w:tr>
      <w:tr w:rsidR="002133E3" w14:paraId="25166CB2" w14:textId="77777777">
        <w:trPr>
          <w:trHeight w:val="284"/>
          <w:jc w:val="center"/>
        </w:trPr>
        <w:tc>
          <w:tcPr>
            <w:tcW w:w="1062" w:type="pct"/>
            <w:shd w:val="clear" w:color="auto" w:fill="auto"/>
            <w:noWrap/>
            <w:vAlign w:val="center"/>
          </w:tcPr>
          <w:p w14:paraId="0F3EF9B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相对湿度</w:t>
            </w:r>
            <w:r>
              <w:rPr>
                <w:rFonts w:ascii="Times New Roman" w:eastAsia="宋体" w:hAnsi="Times New Roman" w:cs="Times New Roman"/>
                <w:b/>
                <w:bCs/>
                <w:color w:val="000000"/>
                <w:kern w:val="0"/>
                <w:szCs w:val="21"/>
              </w:rPr>
              <w:t>%</w:t>
            </w:r>
          </w:p>
        </w:tc>
        <w:tc>
          <w:tcPr>
            <w:tcW w:w="3938" w:type="pct"/>
            <w:shd w:val="clear" w:color="auto" w:fill="auto"/>
            <w:vAlign w:val="center"/>
          </w:tcPr>
          <w:p w14:paraId="7DFE6FD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w:t>
            </w:r>
          </w:p>
        </w:tc>
      </w:tr>
      <w:tr w:rsidR="002133E3" w14:paraId="198077F5" w14:textId="77777777">
        <w:trPr>
          <w:trHeight w:val="284"/>
          <w:jc w:val="center"/>
        </w:trPr>
        <w:tc>
          <w:tcPr>
            <w:tcW w:w="1062" w:type="pct"/>
            <w:shd w:val="clear" w:color="auto" w:fill="auto"/>
            <w:noWrap/>
            <w:vAlign w:val="center"/>
          </w:tcPr>
          <w:p w14:paraId="6854A26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液池面积</w:t>
            </w:r>
            <w:r>
              <w:rPr>
                <w:rFonts w:ascii="Times New Roman" w:eastAsia="宋体" w:hAnsi="Times New Roman" w:cs="Times New Roman"/>
                <w:b/>
                <w:bCs/>
                <w:color w:val="000000"/>
                <w:kern w:val="0"/>
                <w:szCs w:val="21"/>
              </w:rPr>
              <w:t>(m</w:t>
            </w:r>
            <w:r>
              <w:rPr>
                <w:rFonts w:ascii="Times New Roman" w:eastAsia="宋体" w:hAnsi="Times New Roman" w:cs="Times New Roman"/>
                <w:b/>
                <w:bCs/>
                <w:color w:val="000000"/>
                <w:kern w:val="0"/>
                <w:szCs w:val="21"/>
                <w:vertAlign w:val="superscript"/>
              </w:rPr>
              <w:t>2</w:t>
            </w:r>
            <w:r>
              <w:rPr>
                <w:rFonts w:ascii="Times New Roman" w:eastAsia="宋体" w:hAnsi="Times New Roman" w:cs="Times New Roman"/>
                <w:b/>
                <w:bCs/>
                <w:color w:val="000000"/>
                <w:kern w:val="0"/>
                <w:szCs w:val="21"/>
              </w:rPr>
              <w:t>)</w:t>
            </w:r>
          </w:p>
        </w:tc>
        <w:tc>
          <w:tcPr>
            <w:tcW w:w="3938" w:type="pct"/>
            <w:shd w:val="clear" w:color="auto" w:fill="auto"/>
            <w:vAlign w:val="center"/>
          </w:tcPr>
          <w:p w14:paraId="11E857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65.45</w:t>
            </w:r>
            <w:r>
              <w:rPr>
                <w:rFonts w:ascii="Times New Roman" w:eastAsia="宋体" w:hAnsi="Times New Roman" w:cs="Times New Roman"/>
                <w:color w:val="000000"/>
                <w:kern w:val="0"/>
                <w:szCs w:val="21"/>
              </w:rPr>
              <w:t xml:space="preserve">　</w:t>
            </w:r>
          </w:p>
        </w:tc>
      </w:tr>
      <w:tr w:rsidR="002133E3" w14:paraId="1C60E68D" w14:textId="77777777">
        <w:trPr>
          <w:trHeight w:val="284"/>
          <w:jc w:val="center"/>
        </w:trPr>
        <w:tc>
          <w:tcPr>
            <w:tcW w:w="1062" w:type="pct"/>
            <w:shd w:val="clear" w:color="auto" w:fill="auto"/>
            <w:noWrap/>
            <w:vAlign w:val="center"/>
          </w:tcPr>
          <w:p w14:paraId="7086B95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最大蒸发速率</w:t>
            </w:r>
            <w:r>
              <w:rPr>
                <w:rFonts w:ascii="Times New Roman" w:eastAsia="宋体" w:hAnsi="Times New Roman" w:cs="Times New Roman"/>
                <w:b/>
                <w:bCs/>
                <w:color w:val="000000"/>
                <w:kern w:val="0"/>
                <w:szCs w:val="21"/>
              </w:rPr>
              <w:t>(kg/s)</w:t>
            </w:r>
          </w:p>
        </w:tc>
        <w:tc>
          <w:tcPr>
            <w:tcW w:w="3938" w:type="pct"/>
            <w:shd w:val="clear" w:color="auto" w:fill="auto"/>
            <w:noWrap/>
            <w:vAlign w:val="center"/>
          </w:tcPr>
          <w:p w14:paraId="7B80EF1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4.0133E-07</w:t>
            </w:r>
            <w:r>
              <w:rPr>
                <w:rFonts w:ascii="Times New Roman" w:eastAsia="宋体" w:hAnsi="Times New Roman" w:cs="Times New Roman"/>
                <w:color w:val="000000"/>
                <w:kern w:val="0"/>
                <w:szCs w:val="21"/>
              </w:rPr>
              <w:t xml:space="preserve">　</w:t>
            </w:r>
          </w:p>
        </w:tc>
      </w:tr>
      <w:tr w:rsidR="002133E3" w14:paraId="0391782E" w14:textId="77777777">
        <w:trPr>
          <w:trHeight w:val="284"/>
          <w:jc w:val="center"/>
        </w:trPr>
        <w:tc>
          <w:tcPr>
            <w:tcW w:w="1062" w:type="pct"/>
            <w:shd w:val="clear" w:color="auto" w:fill="auto"/>
            <w:noWrap/>
            <w:vAlign w:val="center"/>
          </w:tcPr>
          <w:p w14:paraId="4C7974A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理查德森系数</w:t>
            </w:r>
            <w:r>
              <w:rPr>
                <w:rFonts w:ascii="Times New Roman" w:eastAsia="宋体" w:hAnsi="Times New Roman" w:cs="Times New Roman"/>
                <w:b/>
                <w:bCs/>
                <w:color w:val="000000"/>
                <w:kern w:val="0"/>
                <w:szCs w:val="21"/>
              </w:rPr>
              <w:t>Ri</w:t>
            </w:r>
          </w:p>
        </w:tc>
        <w:tc>
          <w:tcPr>
            <w:tcW w:w="3938" w:type="pct"/>
            <w:shd w:val="clear" w:color="auto" w:fill="auto"/>
            <w:vAlign w:val="center"/>
          </w:tcPr>
          <w:p w14:paraId="6A7E1FA9" w14:textId="77777777" w:rsidR="002133E3" w:rsidRDefault="00C22CFA">
            <w:pPr>
              <w:widowControl/>
              <w:jc w:val="left"/>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烟团初始密度未大于空气密度，不计算理查德森数。扩散计算建议采用</w:t>
            </w:r>
            <w:r>
              <w:rPr>
                <w:rFonts w:ascii="Times New Roman" w:eastAsia="宋体" w:hAnsi="Times New Roman" w:cs="Times New Roman"/>
                <w:color w:val="000000"/>
                <w:kern w:val="0"/>
                <w:szCs w:val="21"/>
              </w:rPr>
              <w:t xml:space="preserve"> AFTOX </w:t>
            </w:r>
            <w:r>
              <w:rPr>
                <w:rFonts w:ascii="Times New Roman" w:eastAsia="宋体" w:hAnsi="Times New Roman" w:cs="Times New Roman"/>
                <w:color w:val="000000"/>
                <w:kern w:val="0"/>
                <w:szCs w:val="21"/>
              </w:rPr>
              <w:t>模式。</w:t>
            </w:r>
          </w:p>
        </w:tc>
      </w:tr>
    </w:tbl>
    <w:p w14:paraId="7EBC31C2" w14:textId="77777777" w:rsidR="002133E3" w:rsidRDefault="00C22CFA">
      <w:pPr>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t>（</w:t>
      </w:r>
      <w:r>
        <w:rPr>
          <w:rFonts w:ascii="Times New Roman" w:eastAsia="宋体" w:hAnsi="Times New Roman" w:cs="Times New Roman"/>
          <w:b/>
          <w:bCs/>
          <w:sz w:val="28"/>
          <w:szCs w:val="28"/>
        </w:rPr>
        <w:t>2</w:t>
      </w:r>
      <w:r>
        <w:rPr>
          <w:rFonts w:ascii="Times New Roman" w:eastAsia="宋体" w:hAnsi="Times New Roman" w:cs="Times New Roman"/>
          <w:b/>
          <w:bCs/>
          <w:sz w:val="28"/>
          <w:szCs w:val="28"/>
        </w:rPr>
        <w:t>）沼气火灾伴生</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次生污染物产生量</w:t>
      </w:r>
    </w:p>
    <w:p w14:paraId="14CDD065"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沼气发生火灾、爆炸事故，产生的次生</w:t>
      </w:r>
      <w:r>
        <w:rPr>
          <w:rFonts w:ascii="Times New Roman" w:eastAsia="宋体" w:hAnsi="Times New Roman" w:cs="Times New Roman"/>
          <w:sz w:val="28"/>
          <w:szCs w:val="28"/>
        </w:rPr>
        <w:t>/</w:t>
      </w:r>
      <w:r>
        <w:rPr>
          <w:rFonts w:ascii="Times New Roman" w:eastAsia="宋体" w:hAnsi="Times New Roman" w:cs="Times New Roman"/>
          <w:sz w:val="28"/>
          <w:szCs w:val="28"/>
        </w:rPr>
        <w:t>伴生污染物</w:t>
      </w:r>
      <w:r>
        <w:rPr>
          <w:rFonts w:ascii="Times New Roman" w:eastAsia="宋体" w:hAnsi="Times New Roman" w:cs="Times New Roman"/>
          <w:sz w:val="28"/>
          <w:szCs w:val="28"/>
        </w:rPr>
        <w:t>SO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w:t>
      </w:r>
      <w:r>
        <w:rPr>
          <w:rFonts w:ascii="Times New Roman" w:eastAsia="宋体" w:hAnsi="Times New Roman" w:cs="Times New Roman"/>
          <w:sz w:val="28"/>
          <w:szCs w:val="28"/>
        </w:rPr>
        <w:t>CO</w:t>
      </w:r>
      <w:r>
        <w:rPr>
          <w:rFonts w:ascii="Times New Roman" w:eastAsia="宋体" w:hAnsi="Times New Roman" w:cs="Times New Roman"/>
          <w:sz w:val="28"/>
          <w:szCs w:val="28"/>
        </w:rPr>
        <w:t>在高温下挥发至大气中。本项目按储存的</w:t>
      </w:r>
      <w:r>
        <w:rPr>
          <w:rFonts w:ascii="Times New Roman" w:eastAsia="宋体" w:hAnsi="Times New Roman" w:cs="Times New Roman"/>
          <w:sz w:val="28"/>
          <w:szCs w:val="28"/>
        </w:rPr>
        <w:t>0.568t</w:t>
      </w:r>
      <w:r>
        <w:rPr>
          <w:rFonts w:ascii="Times New Roman" w:eastAsia="宋体" w:hAnsi="Times New Roman" w:cs="Times New Roman"/>
          <w:sz w:val="28"/>
          <w:szCs w:val="28"/>
        </w:rPr>
        <w:t>沼气全部参与燃烧计，火灾事故持续时间参考火灾消防用水持续时间</w:t>
      </w:r>
      <w:r>
        <w:rPr>
          <w:rFonts w:ascii="Times New Roman" w:eastAsia="宋体" w:hAnsi="Times New Roman" w:cs="Times New Roman"/>
          <w:sz w:val="28"/>
          <w:szCs w:val="28"/>
        </w:rPr>
        <w:t>3h</w:t>
      </w:r>
      <w:r>
        <w:rPr>
          <w:rFonts w:ascii="Times New Roman" w:eastAsia="宋体" w:hAnsi="Times New Roman" w:cs="Times New Roman"/>
          <w:sz w:val="28"/>
          <w:szCs w:val="28"/>
        </w:rPr>
        <w:t>，则沼气参与燃烧的速率为</w:t>
      </w:r>
      <w:r>
        <w:rPr>
          <w:rFonts w:ascii="Times New Roman" w:eastAsia="宋体" w:hAnsi="Times New Roman" w:cs="Times New Roman"/>
          <w:sz w:val="28"/>
          <w:szCs w:val="28"/>
        </w:rPr>
        <w:t>0.053kg/s</w:t>
      </w:r>
      <w:r>
        <w:rPr>
          <w:rFonts w:ascii="Times New Roman" w:eastAsia="宋体" w:hAnsi="Times New Roman" w:cs="Times New Roman"/>
          <w:sz w:val="28"/>
          <w:szCs w:val="28"/>
        </w:rPr>
        <w:t>。</w:t>
      </w:r>
    </w:p>
    <w:p w14:paraId="36C08257" w14:textId="77777777" w:rsidR="002133E3" w:rsidRDefault="00C22CFA">
      <w:pPr>
        <w:tabs>
          <w:tab w:val="left" w:pos="4500"/>
        </w:tabs>
        <w:spacing w:line="500" w:lineRule="exact"/>
        <w:ind w:firstLineChars="200" w:firstLine="560"/>
        <w:rPr>
          <w:rFonts w:ascii="Times New Roman" w:eastAsia="宋体" w:hAnsi="Times New Roman" w:cs="Times New Roman"/>
          <w:sz w:val="30"/>
          <w:szCs w:val="30"/>
        </w:rPr>
      </w:pPr>
      <w:r>
        <w:rPr>
          <w:rFonts w:ascii="Times New Roman" w:eastAsia="宋体" w:hAnsi="Times New Roman" w:cs="Times New Roman"/>
          <w:sz w:val="28"/>
          <w:szCs w:val="28"/>
        </w:rPr>
        <w:t>次生</w:t>
      </w:r>
      <w:r>
        <w:rPr>
          <w:rFonts w:ascii="Times New Roman" w:eastAsia="宋体" w:hAnsi="Times New Roman" w:cs="Times New Roman"/>
          <w:sz w:val="28"/>
          <w:szCs w:val="28"/>
        </w:rPr>
        <w:t>/</w:t>
      </w:r>
      <w:r>
        <w:rPr>
          <w:rFonts w:ascii="Times New Roman" w:eastAsia="宋体" w:hAnsi="Times New Roman" w:cs="Times New Roman"/>
          <w:sz w:val="28"/>
          <w:szCs w:val="28"/>
        </w:rPr>
        <w:t>伴生污染物</w:t>
      </w:r>
      <w:r>
        <w:rPr>
          <w:rFonts w:ascii="Times New Roman" w:eastAsia="宋体" w:hAnsi="Times New Roman" w:cs="Times New Roman"/>
          <w:sz w:val="28"/>
          <w:szCs w:val="28"/>
        </w:rPr>
        <w:t>CO</w:t>
      </w:r>
      <w:r>
        <w:rPr>
          <w:rFonts w:ascii="Times New Roman" w:eastAsia="宋体" w:hAnsi="Times New Roman" w:cs="Times New Roman"/>
          <w:sz w:val="28"/>
          <w:szCs w:val="28"/>
        </w:rPr>
        <w:t>产生量参照</w:t>
      </w:r>
      <w:r>
        <w:rPr>
          <w:rFonts w:ascii="Times New Roman" w:eastAsia="宋体" w:hAnsi="Times New Roman" w:cs="Times New Roman"/>
          <w:sz w:val="28"/>
          <w:szCs w:val="28"/>
        </w:rPr>
        <w:t>HJ169-2018</w:t>
      </w:r>
      <w:r>
        <w:rPr>
          <w:rFonts w:ascii="Times New Roman" w:eastAsia="宋体" w:hAnsi="Times New Roman" w:cs="Times New Roman"/>
          <w:sz w:val="28"/>
          <w:szCs w:val="28"/>
        </w:rPr>
        <w:t>附表</w:t>
      </w:r>
      <w:r>
        <w:rPr>
          <w:rFonts w:ascii="Times New Roman" w:eastAsia="宋体" w:hAnsi="Times New Roman" w:cs="Times New Roman"/>
          <w:sz w:val="28"/>
          <w:szCs w:val="28"/>
        </w:rPr>
        <w:t>F</w:t>
      </w:r>
      <w:r>
        <w:rPr>
          <w:rFonts w:ascii="Times New Roman" w:eastAsia="宋体" w:hAnsi="Times New Roman" w:cs="Times New Roman"/>
          <w:sz w:val="28"/>
          <w:szCs w:val="28"/>
        </w:rPr>
        <w:t>中的火灾伴生</w:t>
      </w:r>
      <w:r>
        <w:rPr>
          <w:rFonts w:ascii="Times New Roman" w:eastAsia="宋体" w:hAnsi="Times New Roman" w:cs="Times New Roman"/>
          <w:sz w:val="28"/>
          <w:szCs w:val="28"/>
        </w:rPr>
        <w:t>/</w:t>
      </w:r>
      <w:r>
        <w:rPr>
          <w:rFonts w:ascii="Times New Roman" w:eastAsia="宋体" w:hAnsi="Times New Roman" w:cs="Times New Roman"/>
          <w:sz w:val="28"/>
          <w:szCs w:val="28"/>
        </w:rPr>
        <w:t>次生污染物计算公式：</w:t>
      </w:r>
      <w:r>
        <w:rPr>
          <w:rFonts w:ascii="Times New Roman" w:eastAsia="宋体" w:hAnsi="Times New Roman" w:cs="Times New Roman"/>
          <w:sz w:val="30"/>
          <w:szCs w:val="30"/>
        </w:rPr>
        <w:t xml:space="preserve"> </w:t>
      </w:r>
    </w:p>
    <w:p w14:paraId="125520AB" w14:textId="77777777" w:rsidR="002133E3" w:rsidRDefault="00C22CFA">
      <w:pPr>
        <w:tabs>
          <w:tab w:val="left" w:pos="4500"/>
        </w:tabs>
        <w:spacing w:line="500" w:lineRule="exact"/>
        <w:jc w:val="center"/>
        <w:rPr>
          <w:rFonts w:ascii="Times New Roman" w:eastAsia="宋体" w:hAnsi="Times New Roman" w:cs="Times New Roman"/>
          <w:color w:val="000000"/>
          <w:sz w:val="28"/>
          <w:szCs w:val="28"/>
        </w:rPr>
      </w:pPr>
      <w:r>
        <w:rPr>
          <w:rFonts w:ascii="Times New Roman" w:eastAsia="宋体" w:hAnsi="Times New Roman" w:cs="Times New Roman"/>
          <w:color w:val="000000"/>
          <w:sz w:val="28"/>
          <w:szCs w:val="28"/>
        </w:rPr>
        <w:t>G</w:t>
      </w:r>
      <w:r>
        <w:rPr>
          <w:rFonts w:ascii="Times New Roman" w:eastAsia="宋体" w:hAnsi="Times New Roman" w:cs="Times New Roman"/>
          <w:color w:val="000000"/>
          <w:sz w:val="28"/>
          <w:szCs w:val="28"/>
          <w:vertAlign w:val="subscript"/>
        </w:rPr>
        <w:t>二氧化硫</w:t>
      </w:r>
      <w:r>
        <w:rPr>
          <w:rFonts w:ascii="Times New Roman" w:eastAsia="宋体" w:hAnsi="Times New Roman" w:cs="Times New Roman"/>
          <w:color w:val="000000"/>
          <w:sz w:val="28"/>
          <w:szCs w:val="28"/>
        </w:rPr>
        <w:t>=2BS</w:t>
      </w:r>
    </w:p>
    <w:p w14:paraId="66D30A86" w14:textId="77777777" w:rsidR="002133E3" w:rsidRDefault="00C22CFA">
      <w:pPr>
        <w:tabs>
          <w:tab w:val="left" w:pos="4500"/>
        </w:tabs>
        <w:spacing w:line="500" w:lineRule="exact"/>
        <w:ind w:firstLineChars="200" w:firstLine="560"/>
        <w:rPr>
          <w:rFonts w:ascii="Times New Roman" w:eastAsia="宋体" w:hAnsi="Times New Roman" w:cs="Times New Roman"/>
          <w:color w:val="000000"/>
          <w:sz w:val="28"/>
          <w:szCs w:val="28"/>
        </w:rPr>
      </w:pPr>
      <w:r>
        <w:rPr>
          <w:rFonts w:ascii="Times New Roman" w:eastAsia="宋体" w:hAnsi="Times New Roman" w:cs="Times New Roman"/>
          <w:color w:val="000000"/>
          <w:sz w:val="28"/>
          <w:szCs w:val="28"/>
        </w:rPr>
        <w:t>式中：</w:t>
      </w:r>
      <w:r>
        <w:rPr>
          <w:rFonts w:ascii="Times New Roman" w:eastAsia="宋体" w:hAnsi="Times New Roman" w:cs="Times New Roman"/>
          <w:color w:val="000000"/>
          <w:sz w:val="28"/>
          <w:szCs w:val="28"/>
        </w:rPr>
        <w:t>G</w:t>
      </w:r>
      <w:r>
        <w:rPr>
          <w:rFonts w:ascii="Times New Roman" w:eastAsia="宋体" w:hAnsi="Times New Roman" w:cs="Times New Roman"/>
          <w:color w:val="000000"/>
          <w:sz w:val="28"/>
          <w:szCs w:val="28"/>
          <w:vertAlign w:val="subscript"/>
        </w:rPr>
        <w:t>二氧化硫</w:t>
      </w:r>
      <w:r>
        <w:rPr>
          <w:rFonts w:ascii="Times New Roman" w:eastAsia="宋体" w:hAnsi="Times New Roman" w:cs="Times New Roman"/>
          <w:color w:val="000000"/>
          <w:sz w:val="28"/>
          <w:szCs w:val="28"/>
        </w:rPr>
        <w:t>—</w:t>
      </w:r>
      <w:r>
        <w:rPr>
          <w:rFonts w:ascii="Times New Roman" w:eastAsia="宋体" w:hAnsi="Times New Roman" w:cs="Times New Roman"/>
          <w:color w:val="000000"/>
          <w:sz w:val="28"/>
          <w:szCs w:val="28"/>
        </w:rPr>
        <w:t>二氧化硫排放速率，</w:t>
      </w:r>
      <w:r>
        <w:rPr>
          <w:rFonts w:ascii="Times New Roman" w:eastAsia="宋体" w:hAnsi="Times New Roman" w:cs="Times New Roman"/>
          <w:color w:val="000000"/>
          <w:sz w:val="28"/>
          <w:szCs w:val="28"/>
        </w:rPr>
        <w:t>kg/h</w:t>
      </w:r>
      <w:r>
        <w:rPr>
          <w:rFonts w:ascii="Times New Roman" w:eastAsia="宋体" w:hAnsi="Times New Roman" w:cs="Times New Roman"/>
          <w:color w:val="000000"/>
          <w:sz w:val="28"/>
          <w:szCs w:val="28"/>
        </w:rPr>
        <w:t>；</w:t>
      </w:r>
    </w:p>
    <w:p w14:paraId="49479EAE" w14:textId="77777777" w:rsidR="002133E3" w:rsidRDefault="00C22CFA">
      <w:pPr>
        <w:tabs>
          <w:tab w:val="left" w:pos="4500"/>
        </w:tabs>
        <w:spacing w:line="500" w:lineRule="exact"/>
        <w:ind w:firstLineChars="500" w:firstLine="1400"/>
        <w:rPr>
          <w:rFonts w:ascii="Times New Roman" w:eastAsia="宋体" w:hAnsi="Times New Roman" w:cs="Times New Roman"/>
          <w:color w:val="000000"/>
          <w:sz w:val="28"/>
          <w:szCs w:val="28"/>
        </w:rPr>
      </w:pPr>
      <w:r>
        <w:rPr>
          <w:rFonts w:ascii="Times New Roman" w:eastAsia="宋体" w:hAnsi="Times New Roman" w:cs="Times New Roman"/>
          <w:color w:val="000000"/>
          <w:sz w:val="28"/>
          <w:szCs w:val="28"/>
        </w:rPr>
        <w:t>B—</w:t>
      </w:r>
      <w:r>
        <w:rPr>
          <w:rFonts w:ascii="Times New Roman" w:eastAsia="宋体" w:hAnsi="Times New Roman" w:cs="Times New Roman"/>
          <w:color w:val="000000"/>
          <w:sz w:val="28"/>
          <w:szCs w:val="28"/>
        </w:rPr>
        <w:t>物质燃烧量，</w:t>
      </w:r>
      <w:r>
        <w:rPr>
          <w:rFonts w:ascii="Times New Roman" w:eastAsia="宋体" w:hAnsi="Times New Roman" w:cs="Times New Roman"/>
          <w:color w:val="000000"/>
          <w:sz w:val="28"/>
          <w:szCs w:val="28"/>
        </w:rPr>
        <w:t>kg/h</w:t>
      </w:r>
      <w:r>
        <w:rPr>
          <w:rFonts w:ascii="Times New Roman" w:eastAsia="宋体" w:hAnsi="Times New Roman" w:cs="Times New Roman"/>
          <w:color w:val="000000"/>
          <w:sz w:val="28"/>
          <w:szCs w:val="28"/>
        </w:rPr>
        <w:t>，本项目</w:t>
      </w:r>
      <w:r>
        <w:rPr>
          <w:rFonts w:ascii="Times New Roman" w:eastAsia="宋体" w:hAnsi="Times New Roman" w:cs="Times New Roman"/>
          <w:color w:val="000000"/>
          <w:sz w:val="28"/>
          <w:szCs w:val="28"/>
        </w:rPr>
        <w:t>189kg/h</w:t>
      </w:r>
      <w:r>
        <w:rPr>
          <w:rFonts w:ascii="Times New Roman" w:eastAsia="宋体" w:hAnsi="Times New Roman" w:cs="Times New Roman"/>
          <w:color w:val="000000"/>
          <w:sz w:val="28"/>
          <w:szCs w:val="28"/>
        </w:rPr>
        <w:t>；</w:t>
      </w:r>
    </w:p>
    <w:p w14:paraId="5B9F578B" w14:textId="77777777" w:rsidR="002133E3" w:rsidRDefault="00C22CFA">
      <w:pPr>
        <w:tabs>
          <w:tab w:val="left" w:pos="4500"/>
        </w:tabs>
        <w:spacing w:line="500" w:lineRule="exact"/>
        <w:ind w:firstLineChars="500" w:firstLine="1400"/>
        <w:rPr>
          <w:rFonts w:ascii="Times New Roman" w:eastAsia="宋体" w:hAnsi="Times New Roman" w:cs="Times New Roman"/>
          <w:color w:val="000000"/>
          <w:sz w:val="28"/>
          <w:szCs w:val="28"/>
        </w:rPr>
      </w:pPr>
      <w:r>
        <w:rPr>
          <w:rFonts w:ascii="Times New Roman" w:eastAsia="宋体" w:hAnsi="Times New Roman" w:cs="Times New Roman"/>
          <w:color w:val="000000"/>
          <w:sz w:val="28"/>
          <w:szCs w:val="28"/>
        </w:rPr>
        <w:t>S—</w:t>
      </w:r>
      <w:r>
        <w:rPr>
          <w:rFonts w:ascii="Times New Roman" w:eastAsia="宋体" w:hAnsi="Times New Roman" w:cs="Times New Roman"/>
          <w:color w:val="000000"/>
          <w:sz w:val="28"/>
          <w:szCs w:val="28"/>
        </w:rPr>
        <w:t>物质中硫的含量，</w:t>
      </w:r>
      <w:r>
        <w:rPr>
          <w:rFonts w:ascii="Times New Roman" w:eastAsia="宋体" w:hAnsi="Times New Roman" w:cs="Times New Roman"/>
          <w:color w:val="000000"/>
          <w:sz w:val="28"/>
          <w:szCs w:val="28"/>
        </w:rPr>
        <w:t>%</w:t>
      </w:r>
      <w:r>
        <w:rPr>
          <w:rFonts w:ascii="Times New Roman" w:eastAsia="宋体" w:hAnsi="Times New Roman" w:cs="Times New Roman"/>
          <w:color w:val="000000"/>
          <w:sz w:val="28"/>
          <w:szCs w:val="28"/>
        </w:rPr>
        <w:t>，本项目</w:t>
      </w:r>
      <w:r>
        <w:rPr>
          <w:rFonts w:ascii="Times New Roman" w:eastAsia="宋体" w:hAnsi="Times New Roman" w:cs="Times New Roman"/>
          <w:color w:val="000000"/>
          <w:sz w:val="28"/>
          <w:szCs w:val="28"/>
        </w:rPr>
        <w:t>0.3%</w:t>
      </w:r>
      <w:r>
        <w:rPr>
          <w:rFonts w:ascii="Times New Roman" w:eastAsia="宋体" w:hAnsi="Times New Roman" w:cs="Times New Roman"/>
          <w:color w:val="000000"/>
          <w:sz w:val="28"/>
          <w:szCs w:val="28"/>
        </w:rPr>
        <w:t>。</w:t>
      </w:r>
    </w:p>
    <w:p w14:paraId="0AEE63A3" w14:textId="77777777" w:rsidR="002133E3" w:rsidRDefault="00C22CFA">
      <w:pPr>
        <w:tabs>
          <w:tab w:val="left" w:pos="4500"/>
        </w:tabs>
        <w:spacing w:line="500" w:lineRule="exact"/>
        <w:ind w:firstLineChars="200" w:firstLine="560"/>
        <w:rPr>
          <w:rFonts w:ascii="Times New Roman" w:eastAsia="宋体" w:hAnsi="Times New Roman" w:cs="Times New Roman"/>
          <w:sz w:val="30"/>
          <w:szCs w:val="30"/>
        </w:rPr>
      </w:pPr>
      <w:r>
        <w:rPr>
          <w:rFonts w:ascii="Times New Roman" w:eastAsia="宋体" w:hAnsi="Times New Roman" w:cs="Times New Roman"/>
          <w:color w:val="000000"/>
          <w:sz w:val="28"/>
          <w:szCs w:val="28"/>
        </w:rPr>
        <w:lastRenderedPageBreak/>
        <w:t>通过计算，次生</w:t>
      </w:r>
      <w:r>
        <w:rPr>
          <w:rFonts w:ascii="Times New Roman" w:eastAsia="宋体" w:hAnsi="Times New Roman" w:cs="Times New Roman"/>
          <w:color w:val="000000"/>
          <w:sz w:val="28"/>
          <w:szCs w:val="28"/>
        </w:rPr>
        <w:t>/</w:t>
      </w:r>
      <w:r>
        <w:rPr>
          <w:rFonts w:ascii="Times New Roman" w:eastAsia="宋体" w:hAnsi="Times New Roman" w:cs="Times New Roman"/>
          <w:color w:val="000000"/>
          <w:sz w:val="28"/>
          <w:szCs w:val="28"/>
        </w:rPr>
        <w:t>伴生污染物</w:t>
      </w:r>
      <w:r>
        <w:rPr>
          <w:rFonts w:ascii="Times New Roman" w:eastAsia="宋体" w:hAnsi="Times New Roman" w:cs="Times New Roman"/>
          <w:color w:val="000000"/>
          <w:sz w:val="28"/>
          <w:szCs w:val="28"/>
        </w:rPr>
        <w:t>SO</w:t>
      </w:r>
      <w:r>
        <w:rPr>
          <w:rFonts w:ascii="Times New Roman" w:eastAsia="宋体" w:hAnsi="Times New Roman" w:cs="Times New Roman"/>
          <w:color w:val="000000"/>
          <w:sz w:val="28"/>
          <w:szCs w:val="28"/>
          <w:vertAlign w:val="subscript"/>
        </w:rPr>
        <w:t>2</w:t>
      </w:r>
      <w:r>
        <w:rPr>
          <w:rFonts w:ascii="Times New Roman" w:eastAsia="宋体" w:hAnsi="Times New Roman" w:cs="Times New Roman"/>
          <w:color w:val="000000"/>
          <w:sz w:val="28"/>
          <w:szCs w:val="28"/>
        </w:rPr>
        <w:t>产生量为</w:t>
      </w:r>
      <w:r>
        <w:rPr>
          <w:rFonts w:ascii="Times New Roman" w:eastAsia="宋体" w:hAnsi="Times New Roman" w:cs="Times New Roman"/>
          <w:color w:val="000000"/>
          <w:sz w:val="28"/>
          <w:szCs w:val="28"/>
        </w:rPr>
        <w:t>0.000315kg/s</w:t>
      </w:r>
      <w:r>
        <w:rPr>
          <w:rFonts w:ascii="Times New Roman" w:eastAsia="宋体" w:hAnsi="Times New Roman" w:cs="Times New Roman"/>
          <w:color w:val="000000"/>
          <w:sz w:val="28"/>
          <w:szCs w:val="28"/>
        </w:rPr>
        <w:t>。</w:t>
      </w:r>
    </w:p>
    <w:p w14:paraId="76712C85" w14:textId="77777777" w:rsidR="002133E3" w:rsidRDefault="00C22CFA">
      <w:pPr>
        <w:tabs>
          <w:tab w:val="left" w:pos="4500"/>
        </w:tabs>
        <w:spacing w:line="500" w:lineRule="exact"/>
        <w:ind w:firstLineChars="200" w:firstLine="560"/>
        <w:jc w:val="center"/>
        <w:rPr>
          <w:rFonts w:ascii="Times New Roman" w:eastAsia="宋体" w:hAnsi="Times New Roman" w:cs="Times New Roman"/>
          <w:sz w:val="28"/>
          <w:szCs w:val="28"/>
        </w:rPr>
      </w:pPr>
      <w:r>
        <w:rPr>
          <w:rFonts w:ascii="Times New Roman" w:eastAsia="宋体" w:hAnsi="Times New Roman" w:cs="Times New Roman"/>
          <w:sz w:val="28"/>
          <w:szCs w:val="28"/>
        </w:rPr>
        <w:t>G</w:t>
      </w:r>
      <w:r>
        <w:rPr>
          <w:rFonts w:ascii="Times New Roman" w:eastAsia="宋体" w:hAnsi="Times New Roman" w:cs="Times New Roman"/>
          <w:sz w:val="28"/>
          <w:szCs w:val="28"/>
          <w:vertAlign w:val="subscript"/>
        </w:rPr>
        <w:t>一氧化碳</w:t>
      </w:r>
      <w:r>
        <w:rPr>
          <w:rFonts w:ascii="Times New Roman" w:eastAsia="宋体" w:hAnsi="Times New Roman" w:cs="Times New Roman"/>
          <w:sz w:val="28"/>
          <w:szCs w:val="28"/>
        </w:rPr>
        <w:t>=2330qCQ</w:t>
      </w:r>
    </w:p>
    <w:p w14:paraId="6EC5CF04"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式中：</w:t>
      </w:r>
      <w:r>
        <w:rPr>
          <w:rFonts w:ascii="Times New Roman" w:eastAsia="宋体" w:hAnsi="Times New Roman" w:cs="Times New Roman"/>
          <w:sz w:val="28"/>
          <w:szCs w:val="28"/>
        </w:rPr>
        <w:t>G</w:t>
      </w:r>
      <w:r>
        <w:rPr>
          <w:rFonts w:ascii="Times New Roman" w:eastAsia="宋体" w:hAnsi="Times New Roman" w:cs="Times New Roman"/>
          <w:sz w:val="28"/>
          <w:szCs w:val="28"/>
          <w:vertAlign w:val="subscript"/>
        </w:rPr>
        <w:t>一氧化碳</w:t>
      </w:r>
      <w:r>
        <w:rPr>
          <w:rFonts w:ascii="Times New Roman" w:eastAsia="宋体" w:hAnsi="Times New Roman" w:cs="Times New Roman"/>
          <w:sz w:val="28"/>
          <w:szCs w:val="28"/>
        </w:rPr>
        <w:t>—</w:t>
      </w:r>
      <w:r>
        <w:rPr>
          <w:rFonts w:ascii="Times New Roman" w:eastAsia="宋体" w:hAnsi="Times New Roman" w:cs="Times New Roman"/>
          <w:sz w:val="28"/>
          <w:szCs w:val="28"/>
        </w:rPr>
        <w:t>一氧化碳产生量，</w:t>
      </w:r>
      <w:r>
        <w:rPr>
          <w:rFonts w:ascii="Times New Roman" w:eastAsia="宋体" w:hAnsi="Times New Roman" w:cs="Times New Roman"/>
          <w:sz w:val="28"/>
          <w:szCs w:val="28"/>
        </w:rPr>
        <w:t>kg/s</w:t>
      </w:r>
    </w:p>
    <w:p w14:paraId="35A3D174" w14:textId="77777777" w:rsidR="002133E3" w:rsidRDefault="00C22CFA">
      <w:pPr>
        <w:tabs>
          <w:tab w:val="left" w:pos="4500"/>
        </w:tabs>
        <w:spacing w:line="500" w:lineRule="exact"/>
        <w:ind w:firstLineChars="500" w:firstLine="1400"/>
        <w:rPr>
          <w:rFonts w:ascii="Times New Roman" w:eastAsia="宋体" w:hAnsi="Times New Roman" w:cs="Times New Roman"/>
          <w:sz w:val="28"/>
          <w:szCs w:val="28"/>
        </w:rPr>
      </w:pPr>
      <w:r>
        <w:rPr>
          <w:rFonts w:ascii="Times New Roman" w:eastAsia="宋体" w:hAnsi="Times New Roman" w:cs="Times New Roman"/>
          <w:sz w:val="28"/>
          <w:szCs w:val="28"/>
        </w:rPr>
        <w:t>C—</w:t>
      </w:r>
      <w:r>
        <w:rPr>
          <w:rFonts w:ascii="Times New Roman" w:eastAsia="宋体" w:hAnsi="Times New Roman" w:cs="Times New Roman"/>
          <w:sz w:val="28"/>
          <w:szCs w:val="28"/>
        </w:rPr>
        <w:t>物质中碳的含量，取</w:t>
      </w:r>
      <w:r>
        <w:rPr>
          <w:rFonts w:ascii="Times New Roman" w:eastAsia="宋体" w:hAnsi="Times New Roman" w:cs="Times New Roman"/>
          <w:sz w:val="28"/>
          <w:szCs w:val="28"/>
        </w:rPr>
        <w:t>85%</w:t>
      </w:r>
    </w:p>
    <w:p w14:paraId="68A71280" w14:textId="77777777" w:rsidR="002133E3" w:rsidRDefault="00C22CFA">
      <w:pPr>
        <w:tabs>
          <w:tab w:val="left" w:pos="4500"/>
        </w:tabs>
        <w:spacing w:line="500" w:lineRule="exact"/>
        <w:ind w:firstLineChars="500" w:firstLine="1400"/>
        <w:rPr>
          <w:rFonts w:ascii="Times New Roman" w:eastAsia="宋体" w:hAnsi="Times New Roman" w:cs="Times New Roman"/>
          <w:sz w:val="28"/>
          <w:szCs w:val="28"/>
        </w:rPr>
      </w:pPr>
      <w:r>
        <w:rPr>
          <w:rFonts w:ascii="Times New Roman" w:eastAsia="宋体" w:hAnsi="Times New Roman" w:cs="Times New Roman"/>
          <w:sz w:val="28"/>
          <w:szCs w:val="28"/>
        </w:rPr>
        <w:t>q—</w:t>
      </w:r>
      <w:r>
        <w:rPr>
          <w:rFonts w:ascii="Times New Roman" w:eastAsia="宋体" w:hAnsi="Times New Roman" w:cs="Times New Roman"/>
          <w:sz w:val="28"/>
          <w:szCs w:val="28"/>
        </w:rPr>
        <w:t>化学不完全燃烧值，取</w:t>
      </w:r>
      <w:r>
        <w:rPr>
          <w:rFonts w:ascii="Times New Roman" w:eastAsia="宋体" w:hAnsi="Times New Roman" w:cs="Times New Roman"/>
          <w:sz w:val="28"/>
          <w:szCs w:val="28"/>
        </w:rPr>
        <w:t>1.5%~6%</w:t>
      </w:r>
      <w:r>
        <w:rPr>
          <w:rFonts w:ascii="Times New Roman" w:eastAsia="宋体" w:hAnsi="Times New Roman" w:cs="Times New Roman"/>
          <w:sz w:val="28"/>
          <w:szCs w:val="28"/>
        </w:rPr>
        <w:t>。本项目取</w:t>
      </w:r>
      <w:r>
        <w:rPr>
          <w:rFonts w:ascii="Times New Roman" w:eastAsia="宋体" w:hAnsi="Times New Roman" w:cs="Times New Roman"/>
          <w:sz w:val="28"/>
          <w:szCs w:val="28"/>
        </w:rPr>
        <w:t>2%</w:t>
      </w:r>
    </w:p>
    <w:p w14:paraId="6C7D9DA7" w14:textId="77777777" w:rsidR="002133E3" w:rsidRDefault="00C22CFA">
      <w:pPr>
        <w:tabs>
          <w:tab w:val="left" w:pos="4500"/>
        </w:tabs>
        <w:spacing w:line="500" w:lineRule="exact"/>
        <w:ind w:firstLineChars="500" w:firstLine="1400"/>
        <w:rPr>
          <w:rFonts w:ascii="Times New Roman" w:eastAsia="宋体" w:hAnsi="Times New Roman" w:cs="Times New Roman"/>
          <w:sz w:val="28"/>
          <w:szCs w:val="28"/>
        </w:rPr>
      </w:pPr>
      <w:r>
        <w:rPr>
          <w:rFonts w:ascii="Times New Roman" w:eastAsia="宋体" w:hAnsi="Times New Roman" w:cs="Times New Roman"/>
          <w:sz w:val="28"/>
          <w:szCs w:val="28"/>
        </w:rPr>
        <w:t>Q—</w:t>
      </w:r>
      <w:r>
        <w:rPr>
          <w:rFonts w:ascii="Times New Roman" w:eastAsia="宋体" w:hAnsi="Times New Roman" w:cs="Times New Roman"/>
          <w:sz w:val="28"/>
          <w:szCs w:val="28"/>
        </w:rPr>
        <w:t>参与燃烧的物质量，</w:t>
      </w:r>
      <w:r>
        <w:rPr>
          <w:rFonts w:ascii="Times New Roman" w:eastAsia="宋体" w:hAnsi="Times New Roman" w:cs="Times New Roman"/>
          <w:sz w:val="28"/>
          <w:szCs w:val="28"/>
        </w:rPr>
        <w:t>t/s</w:t>
      </w:r>
      <w:r>
        <w:rPr>
          <w:rFonts w:ascii="Times New Roman" w:eastAsia="宋体" w:hAnsi="Times New Roman" w:cs="Times New Roman"/>
          <w:sz w:val="28"/>
          <w:szCs w:val="28"/>
        </w:rPr>
        <w:t>，本项目为</w:t>
      </w:r>
      <w:r>
        <w:rPr>
          <w:rFonts w:ascii="Times New Roman" w:eastAsia="宋体" w:hAnsi="Times New Roman" w:cs="Times New Roman"/>
          <w:sz w:val="28"/>
          <w:szCs w:val="28"/>
        </w:rPr>
        <w:t>0.000053t/s</w:t>
      </w:r>
    </w:p>
    <w:p w14:paraId="2A15F1C0"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通过计算，次生</w:t>
      </w:r>
      <w:r>
        <w:rPr>
          <w:rFonts w:ascii="Times New Roman" w:eastAsia="宋体" w:hAnsi="Times New Roman" w:cs="Times New Roman"/>
          <w:sz w:val="28"/>
          <w:szCs w:val="28"/>
        </w:rPr>
        <w:t>/</w:t>
      </w:r>
      <w:r>
        <w:rPr>
          <w:rFonts w:ascii="Times New Roman" w:eastAsia="宋体" w:hAnsi="Times New Roman" w:cs="Times New Roman"/>
          <w:sz w:val="28"/>
          <w:szCs w:val="28"/>
        </w:rPr>
        <w:t>伴生污染物</w:t>
      </w:r>
      <w:r>
        <w:rPr>
          <w:rFonts w:ascii="Times New Roman" w:eastAsia="宋体" w:hAnsi="Times New Roman" w:cs="Times New Roman"/>
          <w:sz w:val="28"/>
          <w:szCs w:val="28"/>
        </w:rPr>
        <w:t>CO</w:t>
      </w:r>
      <w:r>
        <w:rPr>
          <w:rFonts w:ascii="Times New Roman" w:eastAsia="宋体" w:hAnsi="Times New Roman" w:cs="Times New Roman"/>
          <w:sz w:val="28"/>
          <w:szCs w:val="28"/>
        </w:rPr>
        <w:t>产生量为</w:t>
      </w:r>
      <w:r>
        <w:rPr>
          <w:rFonts w:ascii="Times New Roman" w:eastAsia="宋体" w:hAnsi="Times New Roman" w:cs="Times New Roman"/>
          <w:sz w:val="28"/>
          <w:szCs w:val="28"/>
        </w:rPr>
        <w:t>0.0021kg/s</w:t>
      </w:r>
      <w:r>
        <w:rPr>
          <w:rFonts w:ascii="Times New Roman" w:eastAsia="宋体" w:hAnsi="Times New Roman" w:cs="Times New Roman"/>
          <w:sz w:val="28"/>
          <w:szCs w:val="28"/>
        </w:rPr>
        <w:t>。</w:t>
      </w:r>
    </w:p>
    <w:p w14:paraId="26E823C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地下水环境影响事故源强</w:t>
      </w:r>
    </w:p>
    <w:p w14:paraId="32B03DCA"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在非正常状况下，生产废水调节池一旦防渗发生损坏，渗漏的污水将直接与地下水接触，对地下水水质将产生严重影响。因此，将生产废水调节池设置成预测情景，模拟预测时高锰酸盐指数浓度为</w:t>
      </w:r>
      <w:r>
        <w:rPr>
          <w:rFonts w:ascii="Times New Roman" w:eastAsia="宋体" w:hAnsi="Times New Roman" w:cs="Times New Roman"/>
          <w:sz w:val="28"/>
          <w:szCs w:val="28"/>
        </w:rPr>
        <w:t>9988mg/l</w:t>
      </w:r>
      <w:r>
        <w:rPr>
          <w:rFonts w:ascii="Times New Roman" w:eastAsia="宋体" w:hAnsi="Times New Roman" w:cs="Times New Roman"/>
          <w:sz w:val="28"/>
          <w:szCs w:val="28"/>
        </w:rPr>
        <w:t>。</w:t>
      </w:r>
    </w:p>
    <w:p w14:paraId="2E3F3B5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建设项目风险源强汇总</w:t>
      </w:r>
    </w:p>
    <w:p w14:paraId="4AD41A9F" w14:textId="77777777" w:rsidR="002133E3" w:rsidRDefault="00C22CFA">
      <w:pPr>
        <w:tabs>
          <w:tab w:val="left" w:pos="3600"/>
        </w:tabs>
        <w:spacing w:line="5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4.6-18 </w:t>
      </w:r>
      <w:r>
        <w:rPr>
          <w:rFonts w:ascii="Times New Roman" w:eastAsia="宋体" w:hAnsi="Times New Roman" w:cs="Times New Roman"/>
          <w:b/>
          <w:szCs w:val="21"/>
        </w:rPr>
        <w:t>建设项目风险源强一览表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50"/>
        <w:gridCol w:w="851"/>
        <w:gridCol w:w="992"/>
        <w:gridCol w:w="709"/>
        <w:gridCol w:w="1701"/>
        <w:gridCol w:w="730"/>
        <w:gridCol w:w="1268"/>
        <w:gridCol w:w="1268"/>
        <w:gridCol w:w="951"/>
      </w:tblGrid>
      <w:tr w:rsidR="002133E3" w14:paraId="4EE67EAA" w14:textId="77777777">
        <w:trPr>
          <w:trHeight w:val="567"/>
          <w:jc w:val="center"/>
        </w:trPr>
        <w:tc>
          <w:tcPr>
            <w:tcW w:w="534" w:type="dxa"/>
            <w:shd w:val="clear" w:color="auto" w:fill="auto"/>
            <w:noWrap/>
            <w:vAlign w:val="center"/>
          </w:tcPr>
          <w:p w14:paraId="460E316F"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序号</w:t>
            </w:r>
          </w:p>
        </w:tc>
        <w:tc>
          <w:tcPr>
            <w:tcW w:w="850" w:type="dxa"/>
            <w:shd w:val="clear" w:color="auto" w:fill="auto"/>
            <w:noWrap/>
            <w:vAlign w:val="center"/>
          </w:tcPr>
          <w:p w14:paraId="298B49D7"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风险事故情形描述</w:t>
            </w:r>
          </w:p>
        </w:tc>
        <w:tc>
          <w:tcPr>
            <w:tcW w:w="851" w:type="dxa"/>
            <w:shd w:val="clear" w:color="auto" w:fill="auto"/>
            <w:noWrap/>
            <w:vAlign w:val="center"/>
          </w:tcPr>
          <w:p w14:paraId="5F9C80C4"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危险单元</w:t>
            </w:r>
          </w:p>
        </w:tc>
        <w:tc>
          <w:tcPr>
            <w:tcW w:w="992" w:type="dxa"/>
            <w:shd w:val="clear" w:color="auto" w:fill="auto"/>
            <w:noWrap/>
            <w:vAlign w:val="center"/>
          </w:tcPr>
          <w:p w14:paraId="1204B9DF"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危险物质</w:t>
            </w:r>
          </w:p>
        </w:tc>
        <w:tc>
          <w:tcPr>
            <w:tcW w:w="709" w:type="dxa"/>
            <w:shd w:val="clear" w:color="auto" w:fill="auto"/>
            <w:noWrap/>
            <w:vAlign w:val="center"/>
          </w:tcPr>
          <w:p w14:paraId="5A5B4B3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影响途径</w:t>
            </w:r>
          </w:p>
        </w:tc>
        <w:tc>
          <w:tcPr>
            <w:tcW w:w="1701" w:type="dxa"/>
            <w:shd w:val="clear" w:color="auto" w:fill="auto"/>
            <w:noWrap/>
            <w:vAlign w:val="center"/>
          </w:tcPr>
          <w:p w14:paraId="7B62824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泄漏速率</w:t>
            </w:r>
            <w:r>
              <w:rPr>
                <w:rFonts w:ascii="Times New Roman" w:eastAsia="宋体" w:hAnsi="Times New Roman" w:cs="Times New Roman"/>
                <w:b/>
                <w:bCs/>
                <w:kern w:val="0"/>
                <w:szCs w:val="21"/>
              </w:rPr>
              <w:t>kg/s</w:t>
            </w:r>
          </w:p>
        </w:tc>
        <w:tc>
          <w:tcPr>
            <w:tcW w:w="730" w:type="dxa"/>
            <w:shd w:val="clear" w:color="auto" w:fill="auto"/>
            <w:noWrap/>
            <w:vAlign w:val="center"/>
          </w:tcPr>
          <w:p w14:paraId="0D2DE30D"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泄漏时间</w:t>
            </w:r>
            <w:r>
              <w:rPr>
                <w:rFonts w:ascii="Times New Roman" w:eastAsia="宋体" w:hAnsi="Times New Roman" w:cs="Times New Roman"/>
                <w:b/>
                <w:bCs/>
                <w:kern w:val="0"/>
                <w:szCs w:val="21"/>
              </w:rPr>
              <w:t>/min</w:t>
            </w:r>
          </w:p>
        </w:tc>
        <w:tc>
          <w:tcPr>
            <w:tcW w:w="1268" w:type="dxa"/>
            <w:shd w:val="clear" w:color="auto" w:fill="auto"/>
            <w:noWrap/>
            <w:vAlign w:val="center"/>
          </w:tcPr>
          <w:p w14:paraId="346C0ED0"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泄漏量</w:t>
            </w:r>
            <w:r>
              <w:rPr>
                <w:rFonts w:ascii="Times New Roman" w:eastAsia="宋体" w:hAnsi="Times New Roman" w:cs="Times New Roman"/>
                <w:b/>
                <w:bCs/>
                <w:kern w:val="0"/>
                <w:szCs w:val="21"/>
              </w:rPr>
              <w:t>kg</w:t>
            </w:r>
          </w:p>
        </w:tc>
        <w:tc>
          <w:tcPr>
            <w:tcW w:w="1268" w:type="dxa"/>
            <w:shd w:val="clear" w:color="auto" w:fill="auto"/>
            <w:noWrap/>
            <w:vAlign w:val="center"/>
          </w:tcPr>
          <w:p w14:paraId="30811808"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泄漏液体蒸发量</w:t>
            </w:r>
            <w:r>
              <w:rPr>
                <w:rFonts w:ascii="Times New Roman" w:eastAsia="宋体" w:hAnsi="Times New Roman" w:cs="Times New Roman"/>
                <w:b/>
                <w:bCs/>
                <w:kern w:val="0"/>
                <w:szCs w:val="21"/>
              </w:rPr>
              <w:t>kg/s</w:t>
            </w:r>
          </w:p>
        </w:tc>
        <w:tc>
          <w:tcPr>
            <w:tcW w:w="951" w:type="dxa"/>
            <w:shd w:val="clear" w:color="auto" w:fill="auto"/>
            <w:noWrap/>
            <w:vAlign w:val="center"/>
          </w:tcPr>
          <w:p w14:paraId="6383B5E8"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事故概率</w:t>
            </w:r>
          </w:p>
        </w:tc>
      </w:tr>
      <w:tr w:rsidR="002133E3" w14:paraId="373862CB" w14:textId="77777777">
        <w:trPr>
          <w:trHeight w:val="567"/>
          <w:jc w:val="center"/>
        </w:trPr>
        <w:tc>
          <w:tcPr>
            <w:tcW w:w="534" w:type="dxa"/>
            <w:shd w:val="clear" w:color="auto" w:fill="auto"/>
            <w:noWrap/>
            <w:vAlign w:val="center"/>
          </w:tcPr>
          <w:p w14:paraId="7B96237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850" w:type="dxa"/>
            <w:shd w:val="clear" w:color="auto" w:fill="auto"/>
            <w:noWrap/>
            <w:vAlign w:val="center"/>
          </w:tcPr>
          <w:p w14:paraId="49DC432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硫酸泄漏</w:t>
            </w:r>
          </w:p>
        </w:tc>
        <w:tc>
          <w:tcPr>
            <w:tcW w:w="851" w:type="dxa"/>
            <w:shd w:val="clear" w:color="auto" w:fill="auto"/>
            <w:noWrap/>
            <w:vAlign w:val="center"/>
          </w:tcPr>
          <w:p w14:paraId="220A34B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罐区</w:t>
            </w:r>
          </w:p>
        </w:tc>
        <w:tc>
          <w:tcPr>
            <w:tcW w:w="992" w:type="dxa"/>
            <w:shd w:val="clear" w:color="auto" w:fill="auto"/>
            <w:noWrap/>
            <w:vAlign w:val="center"/>
          </w:tcPr>
          <w:p w14:paraId="7C955E1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709" w:type="dxa"/>
            <w:shd w:val="clear" w:color="auto" w:fill="auto"/>
            <w:noWrap/>
            <w:vAlign w:val="center"/>
          </w:tcPr>
          <w:p w14:paraId="0947A41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1701" w:type="dxa"/>
            <w:shd w:val="clear" w:color="auto" w:fill="auto"/>
            <w:noWrap/>
            <w:vAlign w:val="center"/>
          </w:tcPr>
          <w:p w14:paraId="1C6F23C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0.43162</w:t>
            </w:r>
          </w:p>
        </w:tc>
        <w:tc>
          <w:tcPr>
            <w:tcW w:w="730" w:type="dxa"/>
            <w:shd w:val="clear" w:color="auto" w:fill="auto"/>
            <w:noWrap/>
            <w:vAlign w:val="center"/>
          </w:tcPr>
          <w:p w14:paraId="6EBC7B2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268" w:type="dxa"/>
            <w:shd w:val="clear" w:color="auto" w:fill="auto"/>
            <w:noWrap/>
            <w:vAlign w:val="center"/>
          </w:tcPr>
          <w:p w14:paraId="4FCE978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258.972</w:t>
            </w:r>
          </w:p>
        </w:tc>
        <w:tc>
          <w:tcPr>
            <w:tcW w:w="1268" w:type="dxa"/>
            <w:shd w:val="clear" w:color="auto" w:fill="auto"/>
            <w:noWrap/>
            <w:vAlign w:val="center"/>
          </w:tcPr>
          <w:p w14:paraId="4397438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不利气象</w:t>
            </w:r>
            <w:r>
              <w:rPr>
                <w:rFonts w:ascii="Times New Roman" w:eastAsia="宋体" w:hAnsi="Times New Roman" w:cs="Times New Roman"/>
                <w:color w:val="000000"/>
                <w:kern w:val="0"/>
                <w:szCs w:val="21"/>
              </w:rPr>
              <w:t>4.0133E-07</w:t>
            </w:r>
          </w:p>
        </w:tc>
        <w:tc>
          <w:tcPr>
            <w:tcW w:w="951" w:type="dxa"/>
            <w:shd w:val="clear" w:color="auto" w:fill="auto"/>
            <w:noWrap/>
            <w:vAlign w:val="center"/>
          </w:tcPr>
          <w:p w14:paraId="1D072C3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rPr>
              <w:t>1.0×10</w:t>
            </w:r>
            <w:r>
              <w:rPr>
                <w:rFonts w:ascii="Times New Roman" w:eastAsia="宋体" w:hAnsi="Times New Roman" w:cs="Times New Roman"/>
                <w:szCs w:val="21"/>
                <w:vertAlign w:val="superscript"/>
              </w:rPr>
              <w:t>-4</w:t>
            </w:r>
          </w:p>
        </w:tc>
      </w:tr>
      <w:tr w:rsidR="002133E3" w14:paraId="12A538BC" w14:textId="77777777">
        <w:trPr>
          <w:trHeight w:val="567"/>
          <w:jc w:val="center"/>
        </w:trPr>
        <w:tc>
          <w:tcPr>
            <w:tcW w:w="534" w:type="dxa"/>
            <w:shd w:val="clear" w:color="auto" w:fill="auto"/>
            <w:noWrap/>
            <w:vAlign w:val="center"/>
          </w:tcPr>
          <w:p w14:paraId="0932E8A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850" w:type="dxa"/>
            <w:shd w:val="clear" w:color="auto" w:fill="auto"/>
            <w:noWrap/>
            <w:vAlign w:val="center"/>
          </w:tcPr>
          <w:p w14:paraId="01141F8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沼气火灾</w:t>
            </w:r>
          </w:p>
        </w:tc>
        <w:tc>
          <w:tcPr>
            <w:tcW w:w="851" w:type="dxa"/>
            <w:shd w:val="clear" w:color="auto" w:fill="auto"/>
            <w:noWrap/>
            <w:vAlign w:val="center"/>
          </w:tcPr>
          <w:p w14:paraId="7C09E46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沼气柜</w:t>
            </w:r>
          </w:p>
        </w:tc>
        <w:tc>
          <w:tcPr>
            <w:tcW w:w="992" w:type="dxa"/>
            <w:shd w:val="clear" w:color="auto" w:fill="auto"/>
            <w:noWrap/>
            <w:vAlign w:val="center"/>
          </w:tcPr>
          <w:p w14:paraId="228CB21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沼气柜</w:t>
            </w:r>
          </w:p>
        </w:tc>
        <w:tc>
          <w:tcPr>
            <w:tcW w:w="709" w:type="dxa"/>
            <w:shd w:val="clear" w:color="auto" w:fill="auto"/>
            <w:noWrap/>
            <w:vAlign w:val="center"/>
          </w:tcPr>
          <w:p w14:paraId="0A98096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1701" w:type="dxa"/>
            <w:shd w:val="clear" w:color="auto" w:fill="auto"/>
            <w:noWrap/>
            <w:vAlign w:val="center"/>
          </w:tcPr>
          <w:p w14:paraId="05AE468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w:t>
            </w:r>
            <w:r>
              <w:rPr>
                <w:rFonts w:ascii="Times New Roman" w:eastAsia="宋体" w:hAnsi="Times New Roman" w:cs="Times New Roman"/>
                <w:kern w:val="0"/>
                <w:szCs w:val="21"/>
              </w:rPr>
              <w:t>0.00033kg/s</w:t>
            </w:r>
          </w:p>
          <w:p w14:paraId="09D3ADA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CO</w:t>
            </w:r>
            <w:r>
              <w:rPr>
                <w:rFonts w:ascii="Times New Roman" w:eastAsia="宋体" w:hAnsi="Times New Roman" w:cs="Times New Roman"/>
                <w:kern w:val="0"/>
                <w:szCs w:val="21"/>
              </w:rPr>
              <w:t>：</w:t>
            </w:r>
            <w:r>
              <w:rPr>
                <w:rFonts w:ascii="Times New Roman" w:eastAsia="宋体" w:hAnsi="Times New Roman" w:cs="Times New Roman"/>
                <w:kern w:val="0"/>
                <w:szCs w:val="21"/>
              </w:rPr>
              <w:t>0.13kg/s</w:t>
            </w:r>
          </w:p>
        </w:tc>
        <w:tc>
          <w:tcPr>
            <w:tcW w:w="730" w:type="dxa"/>
            <w:shd w:val="clear" w:color="auto" w:fill="auto"/>
            <w:noWrap/>
            <w:vAlign w:val="center"/>
          </w:tcPr>
          <w:p w14:paraId="18B919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rPr>
              <w:t>360</w:t>
            </w:r>
          </w:p>
        </w:tc>
        <w:tc>
          <w:tcPr>
            <w:tcW w:w="1268" w:type="dxa"/>
            <w:shd w:val="clear" w:color="auto" w:fill="auto"/>
            <w:noWrap/>
            <w:vAlign w:val="center"/>
          </w:tcPr>
          <w:p w14:paraId="1020F57F" w14:textId="77777777" w:rsidR="002133E3" w:rsidRDefault="00C22CFA">
            <w:pPr>
              <w:widowControl/>
              <w:snapToGrid w:val="0"/>
              <w:jc w:val="center"/>
              <w:rPr>
                <w:rFonts w:ascii="Times New Roman" w:eastAsia="宋体" w:hAnsi="Times New Roman" w:cs="Times New Roman"/>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r>
              <w:rPr>
                <w:rFonts w:ascii="Times New Roman" w:eastAsia="宋体" w:hAnsi="Times New Roman" w:cs="Times New Roman"/>
                <w:szCs w:val="21"/>
              </w:rPr>
              <w:t>：</w:t>
            </w:r>
            <w:r>
              <w:rPr>
                <w:rFonts w:ascii="Times New Roman" w:eastAsia="宋体" w:hAnsi="Times New Roman" w:cs="Times New Roman"/>
                <w:szCs w:val="21"/>
              </w:rPr>
              <w:t>71.28</w:t>
            </w:r>
          </w:p>
          <w:p w14:paraId="5B76B8F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zCs w:val="21"/>
              </w:rPr>
              <w:t>CO</w:t>
            </w:r>
            <w:r>
              <w:rPr>
                <w:rFonts w:ascii="Times New Roman" w:eastAsia="宋体" w:hAnsi="Times New Roman" w:cs="Times New Roman"/>
                <w:szCs w:val="21"/>
              </w:rPr>
              <w:t>：</w:t>
            </w:r>
            <w:r>
              <w:rPr>
                <w:rFonts w:ascii="Times New Roman" w:eastAsia="宋体" w:hAnsi="Times New Roman" w:cs="Times New Roman"/>
                <w:szCs w:val="21"/>
              </w:rPr>
              <w:t>2808</w:t>
            </w:r>
          </w:p>
        </w:tc>
        <w:tc>
          <w:tcPr>
            <w:tcW w:w="1268" w:type="dxa"/>
            <w:shd w:val="clear" w:color="auto" w:fill="auto"/>
            <w:noWrap/>
            <w:vAlign w:val="center"/>
          </w:tcPr>
          <w:p w14:paraId="74A1CB0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51" w:type="dxa"/>
            <w:shd w:val="clear" w:color="auto" w:fill="auto"/>
            <w:noWrap/>
            <w:vAlign w:val="center"/>
          </w:tcPr>
          <w:p w14:paraId="7DF7487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A9C6E63" w14:textId="77777777">
        <w:trPr>
          <w:trHeight w:val="567"/>
          <w:jc w:val="center"/>
        </w:trPr>
        <w:tc>
          <w:tcPr>
            <w:tcW w:w="534" w:type="dxa"/>
            <w:shd w:val="clear" w:color="auto" w:fill="auto"/>
            <w:noWrap/>
            <w:vAlign w:val="center"/>
          </w:tcPr>
          <w:p w14:paraId="677E3CD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850" w:type="dxa"/>
            <w:shd w:val="clear" w:color="auto" w:fill="auto"/>
            <w:noWrap/>
            <w:vAlign w:val="center"/>
          </w:tcPr>
          <w:p w14:paraId="70F1EFC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污水站泄漏</w:t>
            </w:r>
          </w:p>
        </w:tc>
        <w:tc>
          <w:tcPr>
            <w:tcW w:w="851" w:type="dxa"/>
            <w:shd w:val="clear" w:color="auto" w:fill="auto"/>
            <w:noWrap/>
            <w:vAlign w:val="center"/>
          </w:tcPr>
          <w:p w14:paraId="0C89A5E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调节池</w:t>
            </w:r>
          </w:p>
        </w:tc>
        <w:tc>
          <w:tcPr>
            <w:tcW w:w="992" w:type="dxa"/>
            <w:shd w:val="clear" w:color="auto" w:fill="auto"/>
            <w:noWrap/>
            <w:vAlign w:val="center"/>
          </w:tcPr>
          <w:p w14:paraId="17AE505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高锰酸盐指数</w:t>
            </w:r>
          </w:p>
        </w:tc>
        <w:tc>
          <w:tcPr>
            <w:tcW w:w="709" w:type="dxa"/>
            <w:shd w:val="clear" w:color="auto" w:fill="auto"/>
            <w:noWrap/>
            <w:vAlign w:val="center"/>
          </w:tcPr>
          <w:p w14:paraId="154C965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地下水</w:t>
            </w:r>
          </w:p>
        </w:tc>
        <w:tc>
          <w:tcPr>
            <w:tcW w:w="1701" w:type="dxa"/>
            <w:shd w:val="clear" w:color="auto" w:fill="auto"/>
            <w:noWrap/>
            <w:vAlign w:val="center"/>
          </w:tcPr>
          <w:p w14:paraId="362F2ED7" w14:textId="77777777" w:rsidR="002133E3" w:rsidRDefault="00C22CFA">
            <w:pPr>
              <w:widowControl/>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w:t>
            </w:r>
            <w:r>
              <w:rPr>
                <w:rFonts w:ascii="Times New Roman" w:eastAsia="宋体" w:hAnsi="Times New Roman" w:cs="Times New Roman"/>
                <w:kern w:val="0"/>
                <w:szCs w:val="21"/>
                <w:vertAlign w:val="subscript"/>
              </w:rPr>
              <w:t>Mn</w:t>
            </w:r>
            <w:proofErr w:type="spellEnd"/>
            <w:r>
              <w:rPr>
                <w:rFonts w:ascii="Times New Roman" w:eastAsia="宋体" w:hAnsi="Times New Roman" w:cs="Times New Roman"/>
                <w:kern w:val="0"/>
                <w:szCs w:val="21"/>
                <w:vertAlign w:val="subscript"/>
              </w:rPr>
              <w:t xml:space="preserve"> </w:t>
            </w:r>
            <w:r>
              <w:rPr>
                <w:rFonts w:ascii="Times New Roman" w:eastAsia="宋体" w:hAnsi="Times New Roman" w:cs="Times New Roman"/>
                <w:kern w:val="0"/>
                <w:szCs w:val="21"/>
              </w:rPr>
              <w:t>9988mg/L</w:t>
            </w:r>
          </w:p>
        </w:tc>
        <w:tc>
          <w:tcPr>
            <w:tcW w:w="730" w:type="dxa"/>
            <w:shd w:val="clear" w:color="auto" w:fill="auto"/>
            <w:noWrap/>
            <w:vAlign w:val="center"/>
          </w:tcPr>
          <w:p w14:paraId="4B24B54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年</w:t>
            </w:r>
          </w:p>
        </w:tc>
        <w:tc>
          <w:tcPr>
            <w:tcW w:w="1268" w:type="dxa"/>
            <w:shd w:val="clear" w:color="auto" w:fill="auto"/>
            <w:noWrap/>
            <w:vAlign w:val="center"/>
          </w:tcPr>
          <w:p w14:paraId="5A4BA0C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268" w:type="dxa"/>
            <w:shd w:val="clear" w:color="auto" w:fill="auto"/>
            <w:noWrap/>
            <w:vAlign w:val="center"/>
          </w:tcPr>
          <w:p w14:paraId="2264351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51" w:type="dxa"/>
            <w:shd w:val="clear" w:color="auto" w:fill="auto"/>
            <w:noWrap/>
            <w:vAlign w:val="center"/>
          </w:tcPr>
          <w:p w14:paraId="795630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bl>
    <w:p w14:paraId="5E43B47D" w14:textId="77777777" w:rsidR="002133E3" w:rsidRDefault="00C22CFA">
      <w:pPr>
        <w:widowControl/>
        <w:jc w:val="left"/>
        <w:rPr>
          <w:rFonts w:ascii="Times New Roman" w:eastAsia="宋体" w:hAnsi="Times New Roman" w:cs="Times New Roman"/>
          <w:b/>
          <w:sz w:val="30"/>
          <w:szCs w:val="30"/>
        </w:rPr>
      </w:pPr>
      <w:r>
        <w:rPr>
          <w:rFonts w:ascii="Times New Roman" w:eastAsia="宋体" w:hAnsi="Times New Roman" w:cs="Times New Roman"/>
          <w:b/>
          <w:sz w:val="30"/>
          <w:szCs w:val="30"/>
        </w:rPr>
        <w:br w:type="page"/>
      </w:r>
    </w:p>
    <w:p w14:paraId="6670083C" w14:textId="77777777" w:rsidR="002133E3" w:rsidRDefault="00C22CFA">
      <w:pPr>
        <w:pStyle w:val="affff3"/>
        <w:numPr>
          <w:ilvl w:val="0"/>
          <w:numId w:val="2"/>
        </w:numPr>
        <w:ind w:left="0" w:firstLineChars="0" w:firstLine="0"/>
        <w:outlineLvl w:val="0"/>
        <w:rPr>
          <w:rFonts w:ascii="Times New Roman" w:eastAsia="宋体" w:hAnsi="Times New Roman" w:cs="Times New Roman"/>
          <w:b/>
          <w:sz w:val="30"/>
          <w:szCs w:val="30"/>
        </w:rPr>
      </w:pPr>
      <w:bookmarkStart w:id="41" w:name="_Toc47604335"/>
      <w:r>
        <w:rPr>
          <w:rFonts w:ascii="Times New Roman" w:eastAsia="宋体" w:hAnsi="Times New Roman" w:cs="Times New Roman"/>
          <w:b/>
          <w:sz w:val="30"/>
          <w:szCs w:val="30"/>
        </w:rPr>
        <w:lastRenderedPageBreak/>
        <w:t>环境现状调查与评价</w:t>
      </w:r>
      <w:bookmarkEnd w:id="41"/>
    </w:p>
    <w:p w14:paraId="72F8C40E" w14:textId="77777777" w:rsidR="002133E3" w:rsidRDefault="00C22CFA">
      <w:pPr>
        <w:pStyle w:val="affff3"/>
        <w:numPr>
          <w:ilvl w:val="1"/>
          <w:numId w:val="2"/>
        </w:numPr>
        <w:spacing w:line="500" w:lineRule="exact"/>
        <w:ind w:firstLineChars="0" w:hanging="567"/>
        <w:outlineLvl w:val="1"/>
        <w:rPr>
          <w:rFonts w:ascii="Times New Roman" w:eastAsia="宋体" w:hAnsi="Times New Roman" w:cs="Times New Roman"/>
          <w:b/>
          <w:sz w:val="30"/>
          <w:szCs w:val="30"/>
        </w:rPr>
      </w:pPr>
      <w:bookmarkStart w:id="42" w:name="_Toc47604336"/>
      <w:r>
        <w:rPr>
          <w:rFonts w:ascii="Times New Roman" w:eastAsia="宋体" w:hAnsi="Times New Roman" w:cs="Times New Roman"/>
          <w:b/>
          <w:sz w:val="30"/>
          <w:szCs w:val="30"/>
        </w:rPr>
        <w:t>自然环境概况</w:t>
      </w:r>
      <w:bookmarkEnd w:id="42"/>
    </w:p>
    <w:p w14:paraId="4C863A4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地理位置</w:t>
      </w:r>
      <w:r>
        <w:rPr>
          <w:rFonts w:ascii="Times New Roman" w:eastAsia="宋体" w:hAnsi="Times New Roman" w:cs="Times New Roman"/>
          <w:b/>
          <w:sz w:val="30"/>
          <w:szCs w:val="30"/>
        </w:rPr>
        <w:t xml:space="preserve"> </w:t>
      </w:r>
    </w:p>
    <w:p w14:paraId="5475C27A"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本项目位于海头镇，海头镇位于海州湾畔，赣榆区境东北部，地理坐标为东经</w:t>
      </w:r>
      <w:r>
        <w:rPr>
          <w:rFonts w:ascii="Times New Roman" w:eastAsia="宋体" w:hAnsi="Times New Roman" w:cs="Times New Roman"/>
          <w:spacing w:val="-9"/>
          <w:sz w:val="28"/>
          <w:szCs w:val="28"/>
        </w:rPr>
        <w:t>119°16′14″</w:t>
      </w:r>
      <w:r>
        <w:rPr>
          <w:rFonts w:ascii="Times New Roman" w:eastAsia="宋体" w:hAnsi="Times New Roman" w:cs="Times New Roman"/>
          <w:spacing w:val="-9"/>
          <w:sz w:val="28"/>
          <w:szCs w:val="28"/>
        </w:rPr>
        <w:t>和北纬</w:t>
      </w:r>
      <w:r>
        <w:rPr>
          <w:rFonts w:ascii="Times New Roman" w:eastAsia="宋体" w:hAnsi="Times New Roman" w:cs="Times New Roman"/>
          <w:spacing w:val="-9"/>
          <w:sz w:val="28"/>
          <w:szCs w:val="28"/>
        </w:rPr>
        <w:t>34°22′19″</w:t>
      </w:r>
      <w:r>
        <w:rPr>
          <w:rFonts w:ascii="Times New Roman" w:eastAsia="宋体" w:hAnsi="Times New Roman" w:cs="Times New Roman"/>
          <w:spacing w:val="-9"/>
          <w:sz w:val="28"/>
          <w:szCs w:val="28"/>
        </w:rPr>
        <w:t>，是国务院首批沿海开放镇；东临黄海，西靠金山镇、赣马镇；北有赣榆港区、赣榆经济开发区；南有赣榆城区。沿海高速、</w:t>
      </w:r>
      <w:r>
        <w:rPr>
          <w:rFonts w:ascii="Times New Roman" w:eastAsia="宋体" w:hAnsi="Times New Roman" w:cs="Times New Roman"/>
          <w:spacing w:val="-9"/>
          <w:sz w:val="28"/>
          <w:szCs w:val="28"/>
        </w:rPr>
        <w:t>204</w:t>
      </w:r>
      <w:r>
        <w:rPr>
          <w:rFonts w:ascii="Times New Roman" w:eastAsia="宋体" w:hAnsi="Times New Roman" w:cs="Times New Roman"/>
          <w:spacing w:val="-9"/>
          <w:sz w:val="28"/>
          <w:szCs w:val="28"/>
        </w:rPr>
        <w:t>国道、临海高等级公路是海头镇的主要对外交通。赣榆海州湾生物科技园位于海头镇南部，是赣榆区四大产业园区之一，是赣榆区承接工业项目的重要载体之一。地理位置图详见</w:t>
      </w:r>
      <w:r>
        <w:rPr>
          <w:rFonts w:ascii="Times New Roman" w:eastAsia="宋体" w:hAnsi="Times New Roman" w:cs="Times New Roman"/>
          <w:spacing w:val="-9"/>
          <w:sz w:val="28"/>
          <w:szCs w:val="28"/>
          <w:highlight w:val="yellow"/>
        </w:rPr>
        <w:t>图</w:t>
      </w:r>
      <w:r>
        <w:rPr>
          <w:rFonts w:ascii="Times New Roman" w:eastAsia="宋体" w:hAnsi="Times New Roman" w:cs="Times New Roman"/>
          <w:spacing w:val="-9"/>
          <w:sz w:val="28"/>
          <w:szCs w:val="28"/>
          <w:highlight w:val="yellow"/>
        </w:rPr>
        <w:t>5.1-1</w:t>
      </w:r>
      <w:r>
        <w:rPr>
          <w:rFonts w:ascii="Times New Roman" w:eastAsia="宋体" w:hAnsi="Times New Roman" w:cs="Times New Roman"/>
          <w:spacing w:val="-9"/>
          <w:sz w:val="28"/>
          <w:szCs w:val="28"/>
        </w:rPr>
        <w:t>。</w:t>
      </w:r>
    </w:p>
    <w:p w14:paraId="44B2AD9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bookmarkStart w:id="43" w:name="_Toc28808"/>
      <w:bookmarkStart w:id="44" w:name="_Toc4356"/>
      <w:r>
        <w:rPr>
          <w:rFonts w:ascii="Times New Roman" w:eastAsia="宋体" w:hAnsi="Times New Roman" w:cs="Times New Roman"/>
          <w:b/>
          <w:sz w:val="30"/>
          <w:szCs w:val="30"/>
        </w:rPr>
        <w:t>地形、地址和地貌</w:t>
      </w:r>
      <w:bookmarkEnd w:id="43"/>
      <w:bookmarkEnd w:id="44"/>
    </w:p>
    <w:p w14:paraId="15BB647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赣榆地处中国一级大地构造单元秦岭褶皱系武当、大别隆起的东延部分苏胶隆起带上，基底主要为晚太古代变质岩和侵入岩浆岩，地势西北高东南低，地貌可分为剥蚀低山丘陵区、剥蚀陇岗洼地、山前河湖堆积平原、近代海积平原四种类型。</w:t>
      </w:r>
    </w:p>
    <w:p w14:paraId="5108CE97"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海头镇地处滨海平原，地势平坦，高程平均在</w:t>
      </w:r>
      <w:r>
        <w:rPr>
          <w:rFonts w:ascii="Times New Roman" w:eastAsia="宋体" w:hAnsi="Times New Roman" w:cs="Times New Roman"/>
          <w:spacing w:val="-9"/>
          <w:sz w:val="28"/>
          <w:szCs w:val="28"/>
        </w:rPr>
        <w:t>3.5-4.0</w:t>
      </w:r>
      <w:r>
        <w:rPr>
          <w:rFonts w:ascii="Times New Roman" w:eastAsia="宋体" w:hAnsi="Times New Roman" w:cs="Times New Roman"/>
          <w:spacing w:val="-9"/>
          <w:sz w:val="28"/>
          <w:szCs w:val="28"/>
        </w:rPr>
        <w:t>米。区域地质构造属华北地台，连云</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嘉山隆起带，以轴向</w:t>
      </w:r>
      <w:r>
        <w:rPr>
          <w:rFonts w:ascii="Times New Roman" w:eastAsia="宋体" w:hAnsi="Times New Roman" w:cs="Times New Roman"/>
          <w:spacing w:val="-9"/>
          <w:sz w:val="28"/>
          <w:szCs w:val="28"/>
        </w:rPr>
        <w:t>NNE</w:t>
      </w:r>
      <w:r>
        <w:rPr>
          <w:rFonts w:ascii="Times New Roman" w:eastAsia="宋体" w:hAnsi="Times New Roman" w:cs="Times New Roman"/>
          <w:spacing w:val="-9"/>
          <w:sz w:val="28"/>
          <w:szCs w:val="28"/>
        </w:rPr>
        <w:t>的倒转背斜为主。该地区地层属于扬子地层区，基底为前震旦系中深度变质岩系，上部直接覆盖第四系松散土层，为典型的沙壤土耕地区，厚度</w:t>
      </w:r>
      <w:r>
        <w:rPr>
          <w:rFonts w:ascii="Times New Roman" w:eastAsia="宋体" w:hAnsi="Times New Roman" w:cs="Times New Roman"/>
          <w:spacing w:val="-9"/>
          <w:sz w:val="28"/>
          <w:szCs w:val="28"/>
        </w:rPr>
        <w:t>0-50m</w:t>
      </w:r>
      <w:r>
        <w:rPr>
          <w:rFonts w:ascii="Times New Roman" w:eastAsia="宋体" w:hAnsi="Times New Roman" w:cs="Times New Roman"/>
          <w:spacing w:val="-9"/>
          <w:sz w:val="28"/>
          <w:szCs w:val="28"/>
        </w:rPr>
        <w:t>。地质承载力为</w:t>
      </w:r>
      <w:r>
        <w:rPr>
          <w:rFonts w:ascii="Times New Roman" w:eastAsia="宋体" w:hAnsi="Times New Roman" w:cs="Times New Roman"/>
          <w:spacing w:val="-9"/>
          <w:sz w:val="28"/>
          <w:szCs w:val="28"/>
        </w:rPr>
        <w:t>8-12</w:t>
      </w:r>
      <w:r>
        <w:rPr>
          <w:rFonts w:ascii="Times New Roman" w:eastAsia="宋体" w:hAnsi="Times New Roman" w:cs="Times New Roman"/>
          <w:spacing w:val="-9"/>
          <w:sz w:val="28"/>
          <w:szCs w:val="28"/>
        </w:rPr>
        <w:t>吨</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平方米，境内为七度设防区。</w:t>
      </w:r>
    </w:p>
    <w:p w14:paraId="59EA4FA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气候气象</w:t>
      </w:r>
    </w:p>
    <w:p w14:paraId="0CFE5026"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区域地处我过沿海南北过渡地带，属暖温带季风气候，四季分明，光照充足，雨量适中，气候温和，夏无酷暑，冬无严寒，春秋多旱。由于受海洋气候影响较大，故冬夏季较长，春秋季较短。</w:t>
      </w:r>
    </w:p>
    <w:p w14:paraId="1355882A"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本地区多年平均气温</w:t>
      </w:r>
      <w:r>
        <w:rPr>
          <w:rFonts w:ascii="Times New Roman" w:eastAsia="宋体" w:hAnsi="Times New Roman" w:cs="Times New Roman"/>
          <w:spacing w:val="-9"/>
          <w:sz w:val="28"/>
          <w:szCs w:val="28"/>
        </w:rPr>
        <w:t>13.5</w:t>
      </w:r>
      <w:r>
        <w:rPr>
          <w:rFonts w:ascii="宋体" w:eastAsia="宋体" w:hAnsi="宋体" w:cs="宋体" w:hint="eastAsia"/>
          <w:spacing w:val="-9"/>
          <w:sz w:val="28"/>
          <w:szCs w:val="28"/>
        </w:rPr>
        <w:t>℃</w:t>
      </w:r>
      <w:r>
        <w:rPr>
          <w:rFonts w:ascii="Times New Roman" w:eastAsia="宋体" w:hAnsi="Times New Roman" w:cs="Times New Roman"/>
          <w:spacing w:val="-9"/>
          <w:sz w:val="28"/>
          <w:szCs w:val="28"/>
        </w:rPr>
        <w:t>，七月平均气温</w:t>
      </w:r>
      <w:r>
        <w:rPr>
          <w:rFonts w:ascii="Times New Roman" w:eastAsia="宋体" w:hAnsi="Times New Roman" w:cs="Times New Roman"/>
          <w:spacing w:val="-9"/>
          <w:sz w:val="28"/>
          <w:szCs w:val="28"/>
        </w:rPr>
        <w:t>26.5</w:t>
      </w:r>
      <w:r>
        <w:rPr>
          <w:rFonts w:ascii="宋体" w:eastAsia="宋体" w:hAnsi="宋体" w:cs="宋体" w:hint="eastAsia"/>
          <w:spacing w:val="-9"/>
          <w:sz w:val="28"/>
          <w:szCs w:val="28"/>
        </w:rPr>
        <w:t>℃</w:t>
      </w:r>
      <w:r>
        <w:rPr>
          <w:rFonts w:ascii="Times New Roman" w:eastAsia="宋体" w:hAnsi="Times New Roman" w:cs="Times New Roman"/>
          <w:spacing w:val="-9"/>
          <w:sz w:val="28"/>
          <w:szCs w:val="28"/>
        </w:rPr>
        <w:t>，一月平均气温</w:t>
      </w:r>
      <w:r>
        <w:rPr>
          <w:rFonts w:ascii="Times New Roman" w:eastAsia="宋体" w:hAnsi="Times New Roman" w:cs="Times New Roman"/>
          <w:spacing w:val="-9"/>
          <w:sz w:val="28"/>
          <w:szCs w:val="28"/>
        </w:rPr>
        <w:t>-1.6</w:t>
      </w:r>
      <w:r>
        <w:rPr>
          <w:rFonts w:ascii="宋体" w:eastAsia="宋体" w:hAnsi="宋体" w:cs="宋体" w:hint="eastAsia"/>
          <w:spacing w:val="-9"/>
          <w:sz w:val="28"/>
          <w:szCs w:val="28"/>
        </w:rPr>
        <w:t>℃</w:t>
      </w:r>
      <w:r>
        <w:rPr>
          <w:rFonts w:ascii="Times New Roman" w:eastAsia="宋体" w:hAnsi="Times New Roman" w:cs="Times New Roman"/>
          <w:spacing w:val="-9"/>
          <w:sz w:val="28"/>
          <w:szCs w:val="28"/>
        </w:rPr>
        <w:t>，极端最高温度</w:t>
      </w:r>
      <w:r>
        <w:rPr>
          <w:rFonts w:ascii="Times New Roman" w:eastAsia="宋体" w:hAnsi="Times New Roman" w:cs="Times New Roman"/>
          <w:spacing w:val="-9"/>
          <w:sz w:val="28"/>
          <w:szCs w:val="28"/>
        </w:rPr>
        <w:t>39.9</w:t>
      </w:r>
      <w:r>
        <w:rPr>
          <w:rFonts w:ascii="宋体" w:eastAsia="宋体" w:hAnsi="宋体" w:cs="宋体" w:hint="eastAsia"/>
          <w:spacing w:val="-9"/>
          <w:sz w:val="28"/>
          <w:szCs w:val="28"/>
        </w:rPr>
        <w:t>℃</w:t>
      </w:r>
      <w:r>
        <w:rPr>
          <w:rFonts w:ascii="Times New Roman" w:eastAsia="宋体" w:hAnsi="Times New Roman" w:cs="Times New Roman"/>
          <w:spacing w:val="-9"/>
          <w:sz w:val="28"/>
          <w:szCs w:val="28"/>
        </w:rPr>
        <w:t>，极端最低气温</w:t>
      </w:r>
      <w:r>
        <w:rPr>
          <w:rFonts w:ascii="Times New Roman" w:eastAsia="宋体" w:hAnsi="Times New Roman" w:cs="Times New Roman"/>
          <w:spacing w:val="-9"/>
          <w:sz w:val="28"/>
          <w:szCs w:val="28"/>
        </w:rPr>
        <w:t>-19.5</w:t>
      </w:r>
      <w:r>
        <w:rPr>
          <w:rFonts w:ascii="宋体" w:eastAsia="宋体" w:hAnsi="宋体" w:cs="宋体" w:hint="eastAsia"/>
          <w:spacing w:val="-9"/>
          <w:sz w:val="28"/>
          <w:szCs w:val="28"/>
        </w:rPr>
        <w:t>℃</w:t>
      </w:r>
      <w:r>
        <w:rPr>
          <w:rFonts w:ascii="Times New Roman" w:eastAsia="宋体" w:hAnsi="Times New Roman" w:cs="Times New Roman"/>
          <w:spacing w:val="-9"/>
          <w:sz w:val="28"/>
          <w:szCs w:val="28"/>
        </w:rPr>
        <w:t>，无霜期</w:t>
      </w:r>
      <w:r>
        <w:rPr>
          <w:rFonts w:ascii="Times New Roman" w:eastAsia="宋体" w:hAnsi="Times New Roman" w:cs="Times New Roman"/>
          <w:spacing w:val="-9"/>
          <w:sz w:val="28"/>
          <w:szCs w:val="28"/>
        </w:rPr>
        <w:t>214</w:t>
      </w:r>
      <w:r>
        <w:rPr>
          <w:rFonts w:ascii="Times New Roman" w:eastAsia="宋体" w:hAnsi="Times New Roman" w:cs="Times New Roman"/>
          <w:spacing w:val="-9"/>
          <w:sz w:val="28"/>
          <w:szCs w:val="28"/>
        </w:rPr>
        <w:t>天，光照时间长，全年日照</w:t>
      </w:r>
      <w:r>
        <w:rPr>
          <w:rFonts w:ascii="Times New Roman" w:eastAsia="宋体" w:hAnsi="Times New Roman" w:cs="Times New Roman"/>
          <w:spacing w:val="-9"/>
          <w:sz w:val="28"/>
          <w:szCs w:val="28"/>
        </w:rPr>
        <w:t>2626.2</w:t>
      </w:r>
      <w:r>
        <w:rPr>
          <w:rFonts w:ascii="Times New Roman" w:eastAsia="宋体" w:hAnsi="Times New Roman" w:cs="Times New Roman"/>
          <w:spacing w:val="-9"/>
          <w:sz w:val="28"/>
          <w:szCs w:val="28"/>
        </w:rPr>
        <w:t>小时。多年平均冻土深度</w:t>
      </w:r>
      <w:r>
        <w:rPr>
          <w:rFonts w:ascii="Times New Roman" w:eastAsia="宋体" w:hAnsi="Times New Roman" w:cs="Times New Roman"/>
          <w:spacing w:val="-9"/>
          <w:sz w:val="28"/>
          <w:szCs w:val="28"/>
        </w:rPr>
        <w:t>11cm</w:t>
      </w:r>
      <w:r>
        <w:rPr>
          <w:rFonts w:ascii="Times New Roman" w:eastAsia="宋体" w:hAnsi="Times New Roman" w:cs="Times New Roman"/>
          <w:spacing w:val="-9"/>
          <w:sz w:val="28"/>
          <w:szCs w:val="28"/>
        </w:rPr>
        <w:t>，历年最大冻土深度</w:t>
      </w:r>
      <w:r>
        <w:rPr>
          <w:rFonts w:ascii="Times New Roman" w:eastAsia="宋体" w:hAnsi="Times New Roman" w:cs="Times New Roman"/>
          <w:spacing w:val="-9"/>
          <w:sz w:val="28"/>
          <w:szCs w:val="28"/>
        </w:rPr>
        <w:t>12.2cm</w:t>
      </w:r>
      <w:r>
        <w:rPr>
          <w:rFonts w:ascii="Times New Roman" w:eastAsia="宋体" w:hAnsi="Times New Roman" w:cs="Times New Roman"/>
          <w:spacing w:val="-9"/>
          <w:sz w:val="28"/>
          <w:szCs w:val="28"/>
        </w:rPr>
        <w:t>，最小冻土深度</w:t>
      </w:r>
      <w:r>
        <w:rPr>
          <w:rFonts w:ascii="Times New Roman" w:eastAsia="宋体" w:hAnsi="Times New Roman" w:cs="Times New Roman"/>
          <w:spacing w:val="-9"/>
          <w:sz w:val="28"/>
          <w:szCs w:val="28"/>
        </w:rPr>
        <w:t>10.7cm</w:t>
      </w:r>
      <w:r>
        <w:rPr>
          <w:rFonts w:ascii="Times New Roman" w:eastAsia="宋体" w:hAnsi="Times New Roman" w:cs="Times New Roman"/>
          <w:spacing w:val="-9"/>
          <w:sz w:val="28"/>
          <w:szCs w:val="28"/>
        </w:rPr>
        <w:t>。</w:t>
      </w:r>
    </w:p>
    <w:p w14:paraId="53557C3D"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历年平均降雨量</w:t>
      </w:r>
      <w:r>
        <w:rPr>
          <w:rFonts w:ascii="Times New Roman" w:eastAsia="宋体" w:hAnsi="Times New Roman" w:cs="Times New Roman"/>
          <w:spacing w:val="-9"/>
          <w:sz w:val="28"/>
          <w:szCs w:val="28"/>
        </w:rPr>
        <w:t>931.6mm</w:t>
      </w:r>
      <w:r>
        <w:rPr>
          <w:rFonts w:ascii="Times New Roman" w:eastAsia="宋体" w:hAnsi="Times New Roman" w:cs="Times New Roman"/>
          <w:spacing w:val="-9"/>
          <w:sz w:val="28"/>
          <w:szCs w:val="28"/>
        </w:rPr>
        <w:t>。四季分配不均，</w:t>
      </w:r>
      <w:r>
        <w:rPr>
          <w:rFonts w:ascii="Times New Roman" w:eastAsia="宋体" w:hAnsi="Times New Roman" w:cs="Times New Roman"/>
          <w:spacing w:val="-9"/>
          <w:sz w:val="28"/>
          <w:szCs w:val="28"/>
        </w:rPr>
        <w:t>60%</w:t>
      </w:r>
      <w:r>
        <w:rPr>
          <w:rFonts w:ascii="Times New Roman" w:eastAsia="宋体" w:hAnsi="Times New Roman" w:cs="Times New Roman"/>
          <w:spacing w:val="-9"/>
          <w:sz w:val="28"/>
          <w:szCs w:val="28"/>
        </w:rPr>
        <w:t>主要集中于夏季，年变率较大。年平均相对湿度</w:t>
      </w:r>
      <w:r>
        <w:rPr>
          <w:rFonts w:ascii="Times New Roman" w:eastAsia="宋体" w:hAnsi="Times New Roman" w:cs="Times New Roman"/>
          <w:spacing w:val="-9"/>
          <w:sz w:val="28"/>
          <w:szCs w:val="28"/>
        </w:rPr>
        <w:t>74%</w:t>
      </w:r>
      <w:r>
        <w:rPr>
          <w:rFonts w:ascii="Times New Roman" w:eastAsia="宋体" w:hAnsi="Times New Roman" w:cs="Times New Roman"/>
          <w:spacing w:val="-9"/>
          <w:sz w:val="28"/>
          <w:szCs w:val="28"/>
        </w:rPr>
        <w:t>，年最小相对湿度</w:t>
      </w:r>
      <w:r>
        <w:rPr>
          <w:rFonts w:ascii="Times New Roman" w:eastAsia="宋体" w:hAnsi="Times New Roman" w:cs="Times New Roman"/>
          <w:spacing w:val="-9"/>
          <w:sz w:val="28"/>
          <w:szCs w:val="28"/>
        </w:rPr>
        <w:t>42%</w:t>
      </w:r>
      <w:r>
        <w:rPr>
          <w:rFonts w:ascii="Times New Roman" w:eastAsia="宋体" w:hAnsi="Times New Roman" w:cs="Times New Roman"/>
          <w:spacing w:val="-9"/>
          <w:sz w:val="28"/>
          <w:szCs w:val="28"/>
        </w:rPr>
        <w:t>。历年平均蒸发量</w:t>
      </w:r>
      <w:r>
        <w:rPr>
          <w:rFonts w:ascii="Times New Roman" w:eastAsia="宋体" w:hAnsi="Times New Roman" w:cs="Times New Roman"/>
          <w:spacing w:val="-9"/>
          <w:sz w:val="28"/>
          <w:szCs w:val="28"/>
        </w:rPr>
        <w:t>1570mm</w:t>
      </w:r>
      <w:r>
        <w:rPr>
          <w:rFonts w:ascii="Times New Roman" w:eastAsia="宋体" w:hAnsi="Times New Roman" w:cs="Times New Roman"/>
          <w:spacing w:val="-9"/>
          <w:sz w:val="28"/>
          <w:szCs w:val="28"/>
        </w:rPr>
        <w:t>。</w:t>
      </w:r>
    </w:p>
    <w:p w14:paraId="118C06DB"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年最多风向为东北风，频率为</w:t>
      </w:r>
      <w:r>
        <w:rPr>
          <w:rFonts w:ascii="Times New Roman" w:eastAsia="宋体" w:hAnsi="Times New Roman" w:cs="Times New Roman"/>
          <w:spacing w:val="-9"/>
          <w:sz w:val="28"/>
          <w:szCs w:val="28"/>
        </w:rPr>
        <w:t>10</w:t>
      </w:r>
      <w:r>
        <w:rPr>
          <w:rFonts w:ascii="Times New Roman" w:eastAsia="宋体" w:hAnsi="Times New Roman" w:cs="Times New Roman"/>
          <w:spacing w:val="-9"/>
          <w:sz w:val="28"/>
          <w:szCs w:val="28"/>
        </w:rPr>
        <w:t>，东风频率为</w:t>
      </w:r>
      <w:r>
        <w:rPr>
          <w:rFonts w:ascii="Times New Roman" w:eastAsia="宋体" w:hAnsi="Times New Roman" w:cs="Times New Roman"/>
          <w:spacing w:val="-9"/>
          <w:sz w:val="28"/>
          <w:szCs w:val="28"/>
        </w:rPr>
        <w:t>9</w:t>
      </w:r>
      <w:r>
        <w:rPr>
          <w:rFonts w:ascii="Times New Roman" w:eastAsia="宋体" w:hAnsi="Times New Roman" w:cs="Times New Roman"/>
          <w:spacing w:val="-9"/>
          <w:sz w:val="28"/>
          <w:szCs w:val="28"/>
        </w:rPr>
        <w:t>，北风频率为</w:t>
      </w:r>
      <w:r>
        <w:rPr>
          <w:rFonts w:ascii="Times New Roman" w:eastAsia="宋体" w:hAnsi="Times New Roman" w:cs="Times New Roman"/>
          <w:spacing w:val="-9"/>
          <w:sz w:val="28"/>
          <w:szCs w:val="28"/>
        </w:rPr>
        <w:t>8</w:t>
      </w:r>
      <w:r>
        <w:rPr>
          <w:rFonts w:ascii="Times New Roman" w:eastAsia="宋体" w:hAnsi="Times New Roman" w:cs="Times New Roman"/>
          <w:spacing w:val="-9"/>
          <w:sz w:val="28"/>
          <w:szCs w:val="28"/>
        </w:rPr>
        <w:t>，西风和南风频率为</w:t>
      </w:r>
      <w:r>
        <w:rPr>
          <w:rFonts w:ascii="Times New Roman" w:eastAsia="宋体" w:hAnsi="Times New Roman" w:cs="Times New Roman"/>
          <w:spacing w:val="-9"/>
          <w:sz w:val="28"/>
          <w:szCs w:val="28"/>
        </w:rPr>
        <w:t>3</w:t>
      </w:r>
      <w:r>
        <w:rPr>
          <w:rFonts w:ascii="Times New Roman" w:eastAsia="宋体" w:hAnsi="Times New Roman" w:cs="Times New Roman"/>
          <w:spacing w:val="-9"/>
          <w:sz w:val="28"/>
          <w:szCs w:val="28"/>
        </w:rPr>
        <w:t>，静风多出现在</w:t>
      </w:r>
      <w:r>
        <w:rPr>
          <w:rFonts w:ascii="Times New Roman" w:eastAsia="宋体" w:hAnsi="Times New Roman" w:cs="Times New Roman"/>
          <w:spacing w:val="-9"/>
          <w:sz w:val="28"/>
          <w:szCs w:val="28"/>
        </w:rPr>
        <w:t>9</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10</w:t>
      </w:r>
      <w:r>
        <w:rPr>
          <w:rFonts w:ascii="Times New Roman" w:eastAsia="宋体" w:hAnsi="Times New Roman" w:cs="Times New Roman"/>
          <w:spacing w:val="-9"/>
          <w:sz w:val="28"/>
          <w:szCs w:val="28"/>
        </w:rPr>
        <w:t>两月，早西风晚东风，一般发生在夏春之交。年平均风</w:t>
      </w:r>
      <w:r>
        <w:rPr>
          <w:rFonts w:ascii="Times New Roman" w:eastAsia="宋体" w:hAnsi="Times New Roman" w:cs="Times New Roman"/>
          <w:spacing w:val="-9"/>
          <w:sz w:val="28"/>
          <w:szCs w:val="28"/>
        </w:rPr>
        <w:lastRenderedPageBreak/>
        <w:t>速</w:t>
      </w:r>
      <w:r>
        <w:rPr>
          <w:rFonts w:ascii="Times New Roman" w:eastAsia="宋体" w:hAnsi="Times New Roman" w:cs="Times New Roman"/>
          <w:spacing w:val="-9"/>
          <w:sz w:val="28"/>
          <w:szCs w:val="28"/>
        </w:rPr>
        <w:t>2.9m/s</w:t>
      </w:r>
      <w:r>
        <w:rPr>
          <w:rFonts w:ascii="Times New Roman" w:eastAsia="宋体" w:hAnsi="Times New Roman" w:cs="Times New Roman"/>
          <w:spacing w:val="-9"/>
          <w:sz w:val="28"/>
          <w:szCs w:val="28"/>
        </w:rPr>
        <w:t>，十分钟最大持续风速</w:t>
      </w:r>
      <w:r>
        <w:rPr>
          <w:rFonts w:ascii="Times New Roman" w:eastAsia="宋体" w:hAnsi="Times New Roman" w:cs="Times New Roman"/>
          <w:spacing w:val="-9"/>
          <w:sz w:val="28"/>
          <w:szCs w:val="28"/>
        </w:rPr>
        <w:t>24m/s</w:t>
      </w:r>
      <w:r>
        <w:rPr>
          <w:rFonts w:ascii="Times New Roman" w:eastAsia="宋体" w:hAnsi="Times New Roman" w:cs="Times New Roman"/>
          <w:spacing w:val="-9"/>
          <w:sz w:val="28"/>
          <w:szCs w:val="28"/>
        </w:rPr>
        <w:t>，年均大风日数</w:t>
      </w:r>
      <w:r>
        <w:rPr>
          <w:rFonts w:ascii="Times New Roman" w:eastAsia="宋体" w:hAnsi="Times New Roman" w:cs="Times New Roman"/>
          <w:spacing w:val="-9"/>
          <w:sz w:val="28"/>
          <w:szCs w:val="28"/>
        </w:rPr>
        <w:t>13.7</w:t>
      </w:r>
      <w:r>
        <w:rPr>
          <w:rFonts w:ascii="Times New Roman" w:eastAsia="宋体" w:hAnsi="Times New Roman" w:cs="Times New Roman"/>
          <w:spacing w:val="-9"/>
          <w:sz w:val="28"/>
          <w:szCs w:val="28"/>
        </w:rPr>
        <w:t>天。</w:t>
      </w:r>
      <w:r>
        <w:rPr>
          <w:rFonts w:ascii="Times New Roman" w:eastAsia="宋体" w:hAnsi="Times New Roman" w:cs="Times New Roman"/>
          <w:spacing w:val="-9"/>
          <w:sz w:val="28"/>
          <w:szCs w:val="28"/>
        </w:rPr>
        <w:t>6-9</w:t>
      </w:r>
      <w:r>
        <w:rPr>
          <w:rFonts w:ascii="Times New Roman" w:eastAsia="宋体" w:hAnsi="Times New Roman" w:cs="Times New Roman"/>
          <w:spacing w:val="-9"/>
          <w:sz w:val="28"/>
          <w:szCs w:val="28"/>
        </w:rPr>
        <w:t>月份受台风影响，实测最大风速</w:t>
      </w:r>
      <w:r>
        <w:rPr>
          <w:rFonts w:ascii="Times New Roman" w:eastAsia="宋体" w:hAnsi="Times New Roman" w:cs="Times New Roman"/>
          <w:spacing w:val="-9"/>
          <w:sz w:val="28"/>
          <w:szCs w:val="28"/>
        </w:rPr>
        <w:t>36m/s</w:t>
      </w:r>
      <w:r>
        <w:rPr>
          <w:rFonts w:ascii="Times New Roman" w:eastAsia="宋体" w:hAnsi="Times New Roman" w:cs="Times New Roman"/>
          <w:spacing w:val="-9"/>
          <w:sz w:val="28"/>
          <w:szCs w:val="28"/>
        </w:rPr>
        <w:t>。</w:t>
      </w:r>
    </w:p>
    <w:p w14:paraId="43EFB91B"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地区年平均气压</w:t>
      </w:r>
      <w:r>
        <w:rPr>
          <w:rFonts w:ascii="Times New Roman" w:eastAsia="宋体" w:hAnsi="Times New Roman" w:cs="Times New Roman"/>
          <w:spacing w:val="-9"/>
          <w:sz w:val="28"/>
          <w:szCs w:val="28"/>
        </w:rPr>
        <w:t>1016.5pa</w:t>
      </w:r>
      <w:r>
        <w:rPr>
          <w:rFonts w:ascii="Times New Roman" w:eastAsia="宋体" w:hAnsi="Times New Roman" w:cs="Times New Roman"/>
          <w:spacing w:val="-9"/>
          <w:sz w:val="28"/>
          <w:szCs w:val="28"/>
        </w:rPr>
        <w:t>，年平均水汽压</w:t>
      </w:r>
      <w:r>
        <w:rPr>
          <w:rFonts w:ascii="Times New Roman" w:eastAsia="宋体" w:hAnsi="Times New Roman" w:cs="Times New Roman"/>
          <w:spacing w:val="-9"/>
          <w:sz w:val="28"/>
          <w:szCs w:val="28"/>
        </w:rPr>
        <w:t>13.7pa</w:t>
      </w:r>
      <w:r>
        <w:rPr>
          <w:rFonts w:ascii="Times New Roman" w:eastAsia="宋体" w:hAnsi="Times New Roman" w:cs="Times New Roman"/>
          <w:spacing w:val="-9"/>
          <w:sz w:val="28"/>
          <w:szCs w:val="28"/>
        </w:rPr>
        <w:t>。</w:t>
      </w:r>
    </w:p>
    <w:p w14:paraId="5E9D077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河流与水文特征</w:t>
      </w:r>
    </w:p>
    <w:p w14:paraId="49344515"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项目所在区域主要水体有：兴庄河、通榆河。</w:t>
      </w:r>
    </w:p>
    <w:p w14:paraId="754B2332"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1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⑴</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兴庄河上游源自塔山水库，流经官河、赣马、海头等乡镇，由兴庄河闸控制入海。兴庄河全长</w:t>
      </w:r>
      <w:r>
        <w:rPr>
          <w:rFonts w:ascii="Times New Roman" w:eastAsia="宋体" w:hAnsi="Times New Roman" w:cs="Times New Roman"/>
          <w:spacing w:val="-9"/>
          <w:sz w:val="28"/>
          <w:szCs w:val="28"/>
        </w:rPr>
        <w:t>20</w:t>
      </w:r>
      <w:r>
        <w:rPr>
          <w:rFonts w:ascii="Times New Roman" w:eastAsia="宋体" w:hAnsi="Times New Roman" w:cs="Times New Roman"/>
          <w:spacing w:val="-9"/>
          <w:sz w:val="28"/>
          <w:szCs w:val="28"/>
        </w:rPr>
        <w:t>公里，流域面积</w:t>
      </w:r>
      <w:r>
        <w:rPr>
          <w:rFonts w:ascii="Times New Roman" w:eastAsia="宋体" w:hAnsi="Times New Roman" w:cs="Times New Roman"/>
          <w:spacing w:val="-9"/>
          <w:sz w:val="28"/>
          <w:szCs w:val="28"/>
        </w:rPr>
        <w:t>12.5</w:t>
      </w:r>
      <w:r>
        <w:rPr>
          <w:rFonts w:ascii="Times New Roman" w:eastAsia="宋体" w:hAnsi="Times New Roman" w:cs="Times New Roman"/>
          <w:spacing w:val="-9"/>
          <w:sz w:val="28"/>
          <w:szCs w:val="28"/>
        </w:rPr>
        <w:t>平方公里，其主要功能为渔业、农业用水，水质保护目标为</w:t>
      </w:r>
      <w:r>
        <w:rPr>
          <w:rFonts w:ascii="宋体" w:eastAsia="宋体" w:hAnsi="宋体" w:cs="宋体" w:hint="eastAsia"/>
          <w:spacing w:val="-9"/>
          <w:sz w:val="28"/>
          <w:szCs w:val="28"/>
        </w:rPr>
        <w:t>Ⅲ</w:t>
      </w:r>
      <w:r>
        <w:rPr>
          <w:rFonts w:ascii="Times New Roman" w:eastAsia="宋体" w:hAnsi="Times New Roman" w:cs="Times New Roman"/>
          <w:spacing w:val="-9"/>
          <w:sz w:val="28"/>
          <w:szCs w:val="28"/>
        </w:rPr>
        <w:t>类。</w:t>
      </w:r>
    </w:p>
    <w:p w14:paraId="5E923CEF"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⑵</w:t>
      </w:r>
      <w:r>
        <w:rPr>
          <w:rFonts w:ascii="Times New Roman" w:eastAsia="宋体" w:hAnsi="Times New Roman" w:cs="Times New Roman"/>
          <w:spacing w:val="-9"/>
          <w:sz w:val="28"/>
          <w:szCs w:val="28"/>
        </w:rPr>
        <w:t>通榆河为通榆运河北段，南起新沭河，北至青口河，全长</w:t>
      </w:r>
      <w:r>
        <w:rPr>
          <w:rFonts w:ascii="Times New Roman" w:eastAsia="宋体" w:hAnsi="Times New Roman" w:cs="Times New Roman"/>
          <w:spacing w:val="-9"/>
          <w:sz w:val="28"/>
          <w:szCs w:val="28"/>
        </w:rPr>
        <w:t>15.4km</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2007</w:t>
      </w:r>
      <w:r>
        <w:rPr>
          <w:rFonts w:ascii="Times New Roman" w:eastAsia="宋体" w:hAnsi="Times New Roman" w:cs="Times New Roman"/>
          <w:spacing w:val="-9"/>
          <w:sz w:val="28"/>
          <w:szCs w:val="28"/>
        </w:rPr>
        <w:t>年省政府实施通榆河北延送水工程，疏浚中心城区东侧现状青龙大沟河道，建设通榆运河赣榆段，按五级航道标准，与连云港境内的新墟运河相连，向南接上盐河，连入苏北航道网。通榆河作为赣榆第二水源。目前工程已全线贯通，具备了送水条件。通榆运河进入赣榆伊始流量</w:t>
      </w:r>
      <w:r>
        <w:rPr>
          <w:rFonts w:ascii="Times New Roman" w:eastAsia="宋体" w:hAnsi="Times New Roman" w:cs="Times New Roman"/>
          <w:spacing w:val="-9"/>
          <w:sz w:val="28"/>
          <w:szCs w:val="28"/>
        </w:rPr>
        <w:t>8m</w:t>
      </w:r>
      <w:r>
        <w:rPr>
          <w:rFonts w:ascii="Times New Roman" w:eastAsia="宋体" w:hAnsi="Times New Roman" w:cs="Times New Roman"/>
          <w:spacing w:val="-9"/>
          <w:sz w:val="28"/>
          <w:szCs w:val="28"/>
          <w:vertAlign w:val="superscript"/>
        </w:rPr>
        <w:t>3</w:t>
      </w:r>
      <w:r>
        <w:rPr>
          <w:rFonts w:ascii="Times New Roman" w:eastAsia="宋体" w:hAnsi="Times New Roman" w:cs="Times New Roman"/>
          <w:spacing w:val="-9"/>
          <w:sz w:val="28"/>
          <w:szCs w:val="28"/>
        </w:rPr>
        <w:t>/s</w:t>
      </w:r>
      <w:r>
        <w:rPr>
          <w:rFonts w:ascii="Times New Roman" w:eastAsia="宋体" w:hAnsi="Times New Roman" w:cs="Times New Roman"/>
          <w:spacing w:val="-9"/>
          <w:sz w:val="28"/>
          <w:szCs w:val="28"/>
        </w:rPr>
        <w:t>，末端</w:t>
      </w:r>
      <w:r>
        <w:rPr>
          <w:rFonts w:ascii="Times New Roman" w:eastAsia="宋体" w:hAnsi="Times New Roman" w:cs="Times New Roman"/>
          <w:spacing w:val="-9"/>
          <w:sz w:val="28"/>
          <w:szCs w:val="28"/>
        </w:rPr>
        <w:t>4m</w:t>
      </w:r>
      <w:r>
        <w:rPr>
          <w:rFonts w:ascii="Times New Roman" w:eastAsia="宋体" w:hAnsi="Times New Roman" w:cs="Times New Roman"/>
          <w:spacing w:val="-9"/>
          <w:sz w:val="28"/>
          <w:szCs w:val="28"/>
          <w:vertAlign w:val="superscript"/>
        </w:rPr>
        <w:t>3</w:t>
      </w:r>
      <w:r>
        <w:rPr>
          <w:rFonts w:ascii="Times New Roman" w:eastAsia="宋体" w:hAnsi="Times New Roman" w:cs="Times New Roman"/>
          <w:spacing w:val="-9"/>
          <w:sz w:val="28"/>
          <w:szCs w:val="28"/>
        </w:rPr>
        <w:t>/s</w:t>
      </w:r>
      <w:r>
        <w:rPr>
          <w:rFonts w:ascii="Times New Roman" w:eastAsia="宋体" w:hAnsi="Times New Roman" w:cs="Times New Roman"/>
          <w:spacing w:val="-9"/>
          <w:sz w:val="28"/>
          <w:szCs w:val="28"/>
        </w:rPr>
        <w:t>，常态供水流量</w:t>
      </w:r>
      <w:r>
        <w:rPr>
          <w:rFonts w:ascii="Times New Roman" w:eastAsia="宋体" w:hAnsi="Times New Roman" w:cs="Times New Roman"/>
          <w:spacing w:val="-9"/>
          <w:sz w:val="28"/>
          <w:szCs w:val="28"/>
        </w:rPr>
        <w:t>6m</w:t>
      </w:r>
      <w:r>
        <w:rPr>
          <w:rFonts w:ascii="Times New Roman" w:eastAsia="宋体" w:hAnsi="Times New Roman" w:cs="Times New Roman"/>
          <w:spacing w:val="-9"/>
          <w:sz w:val="28"/>
          <w:szCs w:val="28"/>
          <w:vertAlign w:val="superscript"/>
        </w:rPr>
        <w:t>3</w:t>
      </w:r>
      <w:r>
        <w:rPr>
          <w:rFonts w:ascii="Times New Roman" w:eastAsia="宋体" w:hAnsi="Times New Roman" w:cs="Times New Roman"/>
          <w:spacing w:val="-9"/>
          <w:sz w:val="28"/>
          <w:szCs w:val="28"/>
        </w:rPr>
        <w:t>/s</w:t>
      </w:r>
      <w:r>
        <w:rPr>
          <w:rFonts w:ascii="Times New Roman" w:eastAsia="宋体" w:hAnsi="Times New Roman" w:cs="Times New Roman"/>
          <w:spacing w:val="-9"/>
          <w:sz w:val="28"/>
          <w:szCs w:val="28"/>
        </w:rPr>
        <w:t>。</w:t>
      </w:r>
    </w:p>
    <w:p w14:paraId="2B387BC3"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区域水系情况详见</w:t>
      </w:r>
      <w:r>
        <w:rPr>
          <w:rFonts w:ascii="Times New Roman" w:eastAsia="宋体" w:hAnsi="Times New Roman" w:cs="Times New Roman"/>
          <w:spacing w:val="-9"/>
          <w:sz w:val="28"/>
          <w:szCs w:val="28"/>
          <w:highlight w:val="yellow"/>
        </w:rPr>
        <w:t>图</w:t>
      </w:r>
      <w:r>
        <w:rPr>
          <w:rFonts w:ascii="Times New Roman" w:eastAsia="宋体" w:hAnsi="Times New Roman" w:cs="Times New Roman"/>
          <w:spacing w:val="-9"/>
          <w:sz w:val="28"/>
          <w:szCs w:val="28"/>
          <w:highlight w:val="yellow"/>
        </w:rPr>
        <w:t>5.1-2</w:t>
      </w:r>
      <w:r>
        <w:rPr>
          <w:rFonts w:ascii="Times New Roman" w:eastAsia="宋体" w:hAnsi="Times New Roman" w:cs="Times New Roman"/>
          <w:spacing w:val="-9"/>
          <w:sz w:val="28"/>
          <w:szCs w:val="28"/>
          <w:highlight w:val="yellow"/>
        </w:rPr>
        <w:t>。</w:t>
      </w:r>
    </w:p>
    <w:p w14:paraId="30F0A0A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地震烈度</w:t>
      </w:r>
    </w:p>
    <w:p w14:paraId="1A4F5AEB"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地震设防烈度为</w:t>
      </w:r>
      <w:r>
        <w:rPr>
          <w:rFonts w:ascii="Times New Roman" w:eastAsia="宋体" w:hAnsi="Times New Roman" w:cs="Times New Roman"/>
          <w:spacing w:val="-9"/>
          <w:sz w:val="28"/>
          <w:szCs w:val="28"/>
        </w:rPr>
        <w:t>7</w:t>
      </w:r>
      <w:r>
        <w:rPr>
          <w:rFonts w:ascii="Times New Roman" w:eastAsia="宋体" w:hAnsi="Times New Roman" w:cs="Times New Roman"/>
          <w:spacing w:val="-9"/>
          <w:sz w:val="28"/>
          <w:szCs w:val="28"/>
        </w:rPr>
        <w:t>度。</w:t>
      </w:r>
    </w:p>
    <w:p w14:paraId="715FAAB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地下水</w:t>
      </w:r>
    </w:p>
    <w:p w14:paraId="7E24CA93"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本项目评价范围在赣榆区海州湾生物科技园在内的水文地质单元内，对区域地下水环境概况进行资料调查及现场勘察后概述如下：</w:t>
      </w:r>
    </w:p>
    <w:p w14:paraId="647C6E19"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区域地质条件</w:t>
      </w:r>
    </w:p>
    <w:p w14:paraId="1498A94C"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1</w:t>
      </w:r>
      <w:r>
        <w:rPr>
          <w:rFonts w:ascii="Times New Roman" w:eastAsia="宋体" w:hAnsi="Times New Roman" w:cs="Times New Roman"/>
          <w:spacing w:val="-9"/>
          <w:sz w:val="28"/>
          <w:szCs w:val="28"/>
        </w:rPr>
        <w:t>、地质岩性</w:t>
      </w:r>
    </w:p>
    <w:p w14:paraId="3FA397E2"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根据评价区勘察的</w:t>
      </w:r>
      <w:r>
        <w:rPr>
          <w:rFonts w:ascii="Times New Roman" w:eastAsia="宋体" w:hAnsi="Times New Roman" w:cs="Times New Roman"/>
          <w:spacing w:val="-9"/>
          <w:sz w:val="28"/>
          <w:szCs w:val="28"/>
        </w:rPr>
        <w:t>12</w:t>
      </w:r>
      <w:r>
        <w:rPr>
          <w:rFonts w:ascii="Times New Roman" w:eastAsia="宋体" w:hAnsi="Times New Roman" w:cs="Times New Roman"/>
          <w:spacing w:val="-9"/>
          <w:sz w:val="28"/>
          <w:szCs w:val="28"/>
        </w:rPr>
        <w:t>个水文地质钻孔及搜集有关资料，评价区的主要地层岩性为：</w:t>
      </w:r>
    </w:p>
    <w:p w14:paraId="020699B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⑴</w:t>
      </w:r>
      <w:r>
        <w:rPr>
          <w:rFonts w:ascii="Times New Roman" w:eastAsia="宋体" w:hAnsi="Times New Roman" w:cs="Times New Roman"/>
          <w:spacing w:val="-9"/>
          <w:sz w:val="28"/>
          <w:szCs w:val="28"/>
        </w:rPr>
        <w:t>全新统人工填土</w:t>
      </w:r>
      <w:r>
        <w:rPr>
          <w:rFonts w:ascii="Times New Roman" w:eastAsia="宋体" w:hAnsi="Times New Roman" w:cs="Times New Roman"/>
          <w:spacing w:val="-9"/>
          <w:sz w:val="28"/>
          <w:szCs w:val="28"/>
        </w:rPr>
        <w:t>(Q</w:t>
      </w:r>
      <w:r>
        <w:rPr>
          <w:rFonts w:ascii="Times New Roman" w:eastAsia="宋体" w:hAnsi="Times New Roman" w:cs="Times New Roman"/>
          <w:spacing w:val="-9"/>
          <w:sz w:val="28"/>
          <w:szCs w:val="28"/>
          <w:vertAlign w:val="subscript"/>
        </w:rPr>
        <w:t>4</w:t>
      </w:r>
      <w:r>
        <w:rPr>
          <w:rFonts w:ascii="Times New Roman" w:eastAsia="宋体" w:hAnsi="Times New Roman" w:cs="Times New Roman"/>
          <w:spacing w:val="-9"/>
          <w:sz w:val="28"/>
          <w:szCs w:val="28"/>
          <w:vertAlign w:val="superscript"/>
        </w:rPr>
        <w:t>ml</w:t>
      </w:r>
      <w:r>
        <w:rPr>
          <w:rFonts w:ascii="Times New Roman" w:eastAsia="宋体" w:hAnsi="Times New Roman" w:cs="Times New Roman"/>
          <w:spacing w:val="-9"/>
          <w:sz w:val="28"/>
          <w:szCs w:val="28"/>
        </w:rPr>
        <w:t xml:space="preserve"> )</w:t>
      </w:r>
      <w:r>
        <w:rPr>
          <w:rFonts w:ascii="Times New Roman" w:eastAsia="宋体" w:hAnsi="Times New Roman" w:cs="Times New Roman"/>
          <w:spacing w:val="-9"/>
          <w:sz w:val="28"/>
          <w:szCs w:val="28"/>
        </w:rPr>
        <w:t>：以灰褐色、灰黄色素填土为主；</w:t>
      </w:r>
    </w:p>
    <w:p w14:paraId="5242AD95"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⑵</w:t>
      </w:r>
      <w:r>
        <w:rPr>
          <w:rFonts w:ascii="Times New Roman" w:eastAsia="宋体" w:hAnsi="Times New Roman" w:cs="Times New Roman"/>
          <w:spacing w:val="-9"/>
          <w:sz w:val="28"/>
          <w:szCs w:val="28"/>
        </w:rPr>
        <w:t>全新统冲海积层</w:t>
      </w:r>
      <w:r>
        <w:rPr>
          <w:rFonts w:ascii="Times New Roman" w:eastAsia="宋体" w:hAnsi="Times New Roman" w:cs="Times New Roman"/>
          <w:spacing w:val="-9"/>
          <w:sz w:val="28"/>
          <w:szCs w:val="28"/>
        </w:rPr>
        <w:t>(Q</w:t>
      </w:r>
      <w:r>
        <w:rPr>
          <w:rFonts w:ascii="Times New Roman" w:eastAsia="宋体" w:hAnsi="Times New Roman" w:cs="Times New Roman"/>
          <w:spacing w:val="-9"/>
          <w:sz w:val="28"/>
          <w:szCs w:val="28"/>
          <w:vertAlign w:val="subscript"/>
        </w:rPr>
        <w:t>4</w:t>
      </w:r>
      <w:r>
        <w:rPr>
          <w:rFonts w:ascii="Times New Roman" w:eastAsia="宋体" w:hAnsi="Times New Roman" w:cs="Times New Roman"/>
          <w:spacing w:val="-9"/>
          <w:sz w:val="28"/>
          <w:szCs w:val="28"/>
          <w:vertAlign w:val="superscript"/>
        </w:rPr>
        <w:t>al+ m</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：以灰黄色粘性土及灰色淤泥为主，局部夹砂薄层；</w:t>
      </w:r>
    </w:p>
    <w:p w14:paraId="630A1342"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⑶</w:t>
      </w:r>
      <w:r>
        <w:rPr>
          <w:rFonts w:ascii="Times New Roman" w:eastAsia="宋体" w:hAnsi="Times New Roman" w:cs="Times New Roman"/>
          <w:spacing w:val="-9"/>
          <w:sz w:val="28"/>
          <w:szCs w:val="28"/>
        </w:rPr>
        <w:t>上更新统冲洪积层</w:t>
      </w:r>
      <w:r>
        <w:rPr>
          <w:rFonts w:ascii="Times New Roman" w:eastAsia="宋体" w:hAnsi="Times New Roman" w:cs="Times New Roman"/>
          <w:spacing w:val="-9"/>
          <w:sz w:val="28"/>
          <w:szCs w:val="28"/>
        </w:rPr>
        <w:t>(Q</w:t>
      </w:r>
      <w:r>
        <w:rPr>
          <w:rFonts w:ascii="Times New Roman" w:eastAsia="宋体" w:hAnsi="Times New Roman" w:cs="Times New Roman"/>
          <w:spacing w:val="-9"/>
          <w:sz w:val="28"/>
          <w:szCs w:val="28"/>
          <w:vertAlign w:val="subscript"/>
        </w:rPr>
        <w:t>3</w:t>
      </w:r>
      <w:r>
        <w:rPr>
          <w:rFonts w:ascii="Times New Roman" w:eastAsia="宋体" w:hAnsi="Times New Roman" w:cs="Times New Roman"/>
          <w:spacing w:val="-9"/>
          <w:sz w:val="28"/>
          <w:szCs w:val="28"/>
          <w:vertAlign w:val="superscript"/>
        </w:rPr>
        <w:t>al+pl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：以粘性土及砂层为主，砂层主要为中砂；</w:t>
      </w:r>
    </w:p>
    <w:p w14:paraId="1491AB9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⑷</w:t>
      </w:r>
      <w:r>
        <w:rPr>
          <w:rFonts w:ascii="Times New Roman" w:eastAsia="宋体" w:hAnsi="Times New Roman" w:cs="Times New Roman"/>
          <w:spacing w:val="-9"/>
          <w:sz w:val="28"/>
          <w:szCs w:val="28"/>
        </w:rPr>
        <w:t>元古界岩层</w:t>
      </w:r>
      <w:r>
        <w:rPr>
          <w:rFonts w:ascii="Times New Roman" w:eastAsia="宋体" w:hAnsi="Times New Roman" w:cs="Times New Roman"/>
          <w:spacing w:val="-9"/>
          <w:sz w:val="28"/>
          <w:szCs w:val="28"/>
        </w:rPr>
        <w:t>(P</w:t>
      </w:r>
      <w:r>
        <w:rPr>
          <w:rFonts w:ascii="Times New Roman" w:eastAsia="宋体" w:hAnsi="Times New Roman" w:cs="Times New Roman"/>
          <w:spacing w:val="-9"/>
          <w:sz w:val="28"/>
          <w:szCs w:val="28"/>
          <w:vertAlign w:val="subscript"/>
        </w:rPr>
        <w:t>t</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：以片麻岩为主。</w:t>
      </w:r>
    </w:p>
    <w:p w14:paraId="336F6BF6"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lastRenderedPageBreak/>
        <w:t>按岩土层的地质时代、成因类型及岩性，将评价区勘察深度范围内的岩土层自上而下划分为</w:t>
      </w:r>
      <w:r>
        <w:rPr>
          <w:rFonts w:ascii="Times New Roman" w:eastAsia="宋体" w:hAnsi="Times New Roman" w:cs="Times New Roman"/>
          <w:spacing w:val="-9"/>
          <w:sz w:val="28"/>
          <w:szCs w:val="28"/>
        </w:rPr>
        <w:t>6</w:t>
      </w:r>
      <w:r>
        <w:rPr>
          <w:rFonts w:ascii="Times New Roman" w:eastAsia="宋体" w:hAnsi="Times New Roman" w:cs="Times New Roman"/>
          <w:spacing w:val="-9"/>
          <w:sz w:val="28"/>
          <w:szCs w:val="28"/>
        </w:rPr>
        <w:t>个工程地质层，详细地层如下：</w:t>
      </w:r>
    </w:p>
    <w:p w14:paraId="548D7C21"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①</w:t>
      </w:r>
      <w:r>
        <w:rPr>
          <w:rFonts w:ascii="Times New Roman" w:eastAsia="宋体" w:hAnsi="Times New Roman" w:cs="Times New Roman"/>
          <w:spacing w:val="-9"/>
          <w:sz w:val="28"/>
          <w:szCs w:val="28"/>
        </w:rPr>
        <w:t>层素填土：灰褐色、灰黄色，稍湿，松散，土质不均，主要由风化岩碎屑、粘性土等组成，部分表层含植物根系。场区普遍分布，厚度：</w:t>
      </w:r>
      <w:r>
        <w:rPr>
          <w:rFonts w:ascii="Times New Roman" w:eastAsia="宋体" w:hAnsi="Times New Roman" w:cs="Times New Roman"/>
          <w:spacing w:val="-9"/>
          <w:sz w:val="28"/>
          <w:szCs w:val="28"/>
        </w:rPr>
        <w:t>0.50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2.20m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1.33m</w:t>
      </w:r>
      <w:r>
        <w:rPr>
          <w:rFonts w:ascii="Times New Roman" w:eastAsia="宋体" w:hAnsi="Times New Roman" w:cs="Times New Roman"/>
          <w:spacing w:val="-9"/>
          <w:sz w:val="28"/>
          <w:szCs w:val="28"/>
        </w:rPr>
        <w:t>；层底标高：</w:t>
      </w:r>
      <w:r>
        <w:rPr>
          <w:rFonts w:ascii="Times New Roman" w:eastAsia="宋体" w:hAnsi="Times New Roman" w:cs="Times New Roman"/>
          <w:spacing w:val="-9"/>
          <w:sz w:val="28"/>
          <w:szCs w:val="28"/>
        </w:rPr>
        <w:t>0.63</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2.78m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1.72m</w:t>
      </w:r>
      <w:r>
        <w:rPr>
          <w:rFonts w:ascii="Times New Roman" w:eastAsia="宋体" w:hAnsi="Times New Roman" w:cs="Times New Roman"/>
          <w:spacing w:val="-9"/>
          <w:sz w:val="28"/>
          <w:szCs w:val="28"/>
        </w:rPr>
        <w:t>；层底埋深：</w:t>
      </w:r>
      <w:r>
        <w:rPr>
          <w:rFonts w:ascii="Times New Roman" w:eastAsia="宋体" w:hAnsi="Times New Roman" w:cs="Times New Roman"/>
          <w:spacing w:val="-9"/>
          <w:sz w:val="28"/>
          <w:szCs w:val="28"/>
        </w:rPr>
        <w:t>0.50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2.20m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1.33m</w:t>
      </w:r>
      <w:r>
        <w:rPr>
          <w:rFonts w:ascii="Times New Roman" w:eastAsia="宋体" w:hAnsi="Times New Roman" w:cs="Times New Roman"/>
          <w:spacing w:val="-9"/>
          <w:sz w:val="28"/>
          <w:szCs w:val="28"/>
        </w:rPr>
        <w:t>。此层主要为包气带层。</w:t>
      </w:r>
    </w:p>
    <w:p w14:paraId="52DFEDEE"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②</w:t>
      </w:r>
      <w:r>
        <w:rPr>
          <w:rFonts w:ascii="Times New Roman" w:eastAsia="宋体" w:hAnsi="Times New Roman" w:cs="Times New Roman"/>
          <w:spacing w:val="-9"/>
          <w:sz w:val="28"/>
          <w:szCs w:val="28"/>
        </w:rPr>
        <w:t>层粘土：灰黄色夹灰褐色，可塑，切面光滑，土质较均，局部夹粉土薄层。场区大部分分布，厚度：</w:t>
      </w:r>
      <w:r>
        <w:rPr>
          <w:rFonts w:ascii="Times New Roman" w:eastAsia="宋体" w:hAnsi="Times New Roman" w:cs="Times New Roman"/>
          <w:spacing w:val="-9"/>
          <w:sz w:val="28"/>
          <w:szCs w:val="28"/>
        </w:rPr>
        <w:t>0.40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2.20m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1.32m</w:t>
      </w:r>
      <w:r>
        <w:rPr>
          <w:rFonts w:ascii="Times New Roman" w:eastAsia="宋体" w:hAnsi="Times New Roman" w:cs="Times New Roman"/>
          <w:spacing w:val="-9"/>
          <w:sz w:val="28"/>
          <w:szCs w:val="28"/>
        </w:rPr>
        <w:t>；层底标高：</w:t>
      </w:r>
      <w:r>
        <w:rPr>
          <w:rFonts w:ascii="Times New Roman" w:eastAsia="宋体" w:hAnsi="Times New Roman" w:cs="Times New Roman"/>
          <w:spacing w:val="-9"/>
          <w:sz w:val="28"/>
          <w:szCs w:val="28"/>
        </w:rPr>
        <w:t>0.35</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0.98m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0.70m</w:t>
      </w:r>
      <w:r>
        <w:rPr>
          <w:rFonts w:ascii="Times New Roman" w:eastAsia="宋体" w:hAnsi="Times New Roman" w:cs="Times New Roman"/>
          <w:spacing w:val="-9"/>
          <w:sz w:val="28"/>
          <w:szCs w:val="28"/>
        </w:rPr>
        <w:t>；层底埋深：</w:t>
      </w:r>
      <w:r>
        <w:rPr>
          <w:rFonts w:ascii="Times New Roman" w:eastAsia="宋体" w:hAnsi="Times New Roman" w:cs="Times New Roman"/>
          <w:spacing w:val="-9"/>
          <w:sz w:val="28"/>
          <w:szCs w:val="28"/>
        </w:rPr>
        <w:t>2.20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3.40m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2.63m</w:t>
      </w:r>
      <w:r>
        <w:rPr>
          <w:rFonts w:ascii="Times New Roman" w:eastAsia="宋体" w:hAnsi="Times New Roman" w:cs="Times New Roman"/>
          <w:spacing w:val="-9"/>
          <w:sz w:val="28"/>
          <w:szCs w:val="28"/>
        </w:rPr>
        <w:t>。此层上部主要为包气带层，下部主要为潜水赋水层。</w:t>
      </w:r>
    </w:p>
    <w:p w14:paraId="73B7AB89"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③</w:t>
      </w:r>
      <w:r>
        <w:rPr>
          <w:rFonts w:ascii="Times New Roman" w:eastAsia="宋体" w:hAnsi="Times New Roman" w:cs="Times New Roman"/>
          <w:spacing w:val="-9"/>
          <w:sz w:val="28"/>
          <w:szCs w:val="28"/>
        </w:rPr>
        <w:t>层淤泥：灰色，流塑，饱和，土质不均，有轻微於臭味，夹砂，局部较厚。场区普遍分布，厚度：</w:t>
      </w:r>
      <w:r>
        <w:rPr>
          <w:rFonts w:ascii="Times New Roman" w:eastAsia="宋体" w:hAnsi="Times New Roman" w:cs="Times New Roman"/>
          <w:spacing w:val="-9"/>
          <w:sz w:val="28"/>
          <w:szCs w:val="28"/>
        </w:rPr>
        <w:t>0.40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6.90m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3.48m</w:t>
      </w:r>
      <w:r>
        <w:rPr>
          <w:rFonts w:ascii="Times New Roman" w:eastAsia="宋体" w:hAnsi="Times New Roman" w:cs="Times New Roman"/>
          <w:spacing w:val="-9"/>
          <w:sz w:val="28"/>
          <w:szCs w:val="28"/>
        </w:rPr>
        <w:t>；层底标高：</w:t>
      </w:r>
      <w:r>
        <w:rPr>
          <w:rFonts w:ascii="Times New Roman" w:eastAsia="宋体" w:hAnsi="Times New Roman" w:cs="Times New Roman"/>
          <w:spacing w:val="-9"/>
          <w:sz w:val="28"/>
          <w:szCs w:val="28"/>
        </w:rPr>
        <w:t>-6.27</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0.58m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-2.42m</w:t>
      </w:r>
      <w:r>
        <w:rPr>
          <w:rFonts w:ascii="Times New Roman" w:eastAsia="宋体" w:hAnsi="Times New Roman" w:cs="Times New Roman"/>
          <w:spacing w:val="-9"/>
          <w:sz w:val="28"/>
          <w:szCs w:val="28"/>
        </w:rPr>
        <w:t>；层底埋深：</w:t>
      </w:r>
      <w:r>
        <w:rPr>
          <w:rFonts w:ascii="Times New Roman" w:eastAsia="宋体" w:hAnsi="Times New Roman" w:cs="Times New Roman"/>
          <w:spacing w:val="-9"/>
          <w:sz w:val="28"/>
          <w:szCs w:val="28"/>
        </w:rPr>
        <w:t>2.80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9.00m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5.47m</w:t>
      </w:r>
      <w:r>
        <w:rPr>
          <w:rFonts w:ascii="Times New Roman" w:eastAsia="宋体" w:hAnsi="Times New Roman" w:cs="Times New Roman"/>
          <w:spacing w:val="-9"/>
          <w:sz w:val="28"/>
          <w:szCs w:val="28"/>
        </w:rPr>
        <w:t>。此层为潜水赋水层。</w:t>
      </w:r>
    </w:p>
    <w:p w14:paraId="683C8C12"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④</w:t>
      </w:r>
      <w:r>
        <w:rPr>
          <w:rFonts w:ascii="Times New Roman" w:eastAsia="宋体" w:hAnsi="Times New Roman" w:cs="Times New Roman"/>
          <w:spacing w:val="-9"/>
          <w:sz w:val="28"/>
          <w:szCs w:val="28"/>
        </w:rPr>
        <w:t>层粉质黏土：灰黄色、褐黄色，可塑，切面较光滑，土质较均，含少量小钙质结核。场区普遍分布，厚度</w:t>
      </w:r>
      <w:r>
        <w:rPr>
          <w:rFonts w:ascii="Times New Roman" w:eastAsia="宋体" w:hAnsi="Times New Roman" w:cs="Times New Roman"/>
          <w:spacing w:val="-9"/>
          <w:sz w:val="28"/>
          <w:szCs w:val="28"/>
        </w:rPr>
        <w:t>11.70m</w:t>
      </w:r>
      <w:r>
        <w:rPr>
          <w:rFonts w:ascii="Times New Roman" w:eastAsia="宋体" w:hAnsi="Times New Roman" w:cs="Times New Roman"/>
          <w:spacing w:val="-9"/>
          <w:sz w:val="28"/>
          <w:szCs w:val="28"/>
        </w:rPr>
        <w:t>；层底标高</w:t>
      </w:r>
      <w:r>
        <w:rPr>
          <w:rFonts w:ascii="Times New Roman" w:eastAsia="宋体" w:hAnsi="Times New Roman" w:cs="Times New Roman"/>
          <w:spacing w:val="-9"/>
          <w:sz w:val="28"/>
          <w:szCs w:val="28"/>
        </w:rPr>
        <w:t>-13.47m</w:t>
      </w:r>
      <w:r>
        <w:rPr>
          <w:rFonts w:ascii="Times New Roman" w:eastAsia="宋体" w:hAnsi="Times New Roman" w:cs="Times New Roman"/>
          <w:spacing w:val="-9"/>
          <w:sz w:val="28"/>
          <w:szCs w:val="28"/>
        </w:rPr>
        <w:t>；层底埋深</w:t>
      </w:r>
      <w:r>
        <w:rPr>
          <w:rFonts w:ascii="Times New Roman" w:eastAsia="宋体" w:hAnsi="Times New Roman" w:cs="Times New Roman"/>
          <w:spacing w:val="-9"/>
          <w:sz w:val="28"/>
          <w:szCs w:val="28"/>
        </w:rPr>
        <w:t>16.20m</w:t>
      </w:r>
      <w:r>
        <w:rPr>
          <w:rFonts w:ascii="Times New Roman" w:eastAsia="宋体" w:hAnsi="Times New Roman" w:cs="Times New Roman"/>
          <w:spacing w:val="-9"/>
          <w:sz w:val="28"/>
          <w:szCs w:val="28"/>
        </w:rPr>
        <w:t>。此层为隔水层</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弱透水层</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w:t>
      </w:r>
    </w:p>
    <w:p w14:paraId="75D67E8E"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⑤</w:t>
      </w:r>
      <w:r>
        <w:rPr>
          <w:rFonts w:ascii="Times New Roman" w:eastAsia="宋体" w:hAnsi="Times New Roman" w:cs="Times New Roman"/>
          <w:spacing w:val="-9"/>
          <w:sz w:val="28"/>
          <w:szCs w:val="28"/>
        </w:rPr>
        <w:t>层中砂：灰黄色，中密，饱和，颗粒为圆粒，级配差，分选性好，主要由石英、长石等组成，夹粘性土薄层。场区普遍分布，厚度</w:t>
      </w:r>
      <w:r>
        <w:rPr>
          <w:rFonts w:ascii="Times New Roman" w:eastAsia="宋体" w:hAnsi="Times New Roman" w:cs="Times New Roman"/>
          <w:spacing w:val="-9"/>
          <w:sz w:val="28"/>
          <w:szCs w:val="28"/>
        </w:rPr>
        <w:t>2.30m</w:t>
      </w:r>
      <w:r>
        <w:rPr>
          <w:rFonts w:ascii="Times New Roman" w:eastAsia="宋体" w:hAnsi="Times New Roman" w:cs="Times New Roman"/>
          <w:spacing w:val="-9"/>
          <w:sz w:val="28"/>
          <w:szCs w:val="28"/>
        </w:rPr>
        <w:t>；层底标高</w:t>
      </w:r>
      <w:r>
        <w:rPr>
          <w:rFonts w:ascii="Times New Roman" w:eastAsia="宋体" w:hAnsi="Times New Roman" w:cs="Times New Roman"/>
          <w:spacing w:val="-9"/>
          <w:sz w:val="28"/>
          <w:szCs w:val="28"/>
        </w:rPr>
        <w:t>-15.77m</w:t>
      </w:r>
      <w:r>
        <w:rPr>
          <w:rFonts w:ascii="Times New Roman" w:eastAsia="宋体" w:hAnsi="Times New Roman" w:cs="Times New Roman"/>
          <w:spacing w:val="-9"/>
          <w:sz w:val="28"/>
          <w:szCs w:val="28"/>
        </w:rPr>
        <w:t>；层底埋深</w:t>
      </w:r>
      <w:r>
        <w:rPr>
          <w:rFonts w:ascii="Times New Roman" w:eastAsia="宋体" w:hAnsi="Times New Roman" w:cs="Times New Roman"/>
          <w:spacing w:val="-9"/>
          <w:sz w:val="28"/>
          <w:szCs w:val="28"/>
        </w:rPr>
        <w:t>18.50m</w:t>
      </w:r>
      <w:r>
        <w:rPr>
          <w:rFonts w:ascii="Times New Roman" w:eastAsia="宋体" w:hAnsi="Times New Roman" w:cs="Times New Roman"/>
          <w:spacing w:val="-9"/>
          <w:sz w:val="28"/>
          <w:szCs w:val="28"/>
        </w:rPr>
        <w:t>。此层为第</w:t>
      </w:r>
      <w:r>
        <w:rPr>
          <w:rFonts w:ascii="宋体" w:eastAsia="宋体" w:hAnsi="宋体" w:cs="宋体" w:hint="eastAsia"/>
          <w:spacing w:val="-9"/>
          <w:sz w:val="28"/>
          <w:szCs w:val="28"/>
        </w:rPr>
        <w:t>Ⅰ</w:t>
      </w:r>
      <w:r>
        <w:rPr>
          <w:rFonts w:ascii="Times New Roman" w:eastAsia="宋体" w:hAnsi="Times New Roman" w:cs="Times New Roman"/>
          <w:spacing w:val="-9"/>
          <w:sz w:val="28"/>
          <w:szCs w:val="28"/>
        </w:rPr>
        <w:t>孔隙承压水的上段赋水层。</w:t>
      </w:r>
    </w:p>
    <w:p w14:paraId="40C1FCA1"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⑥</w:t>
      </w:r>
      <w:r>
        <w:rPr>
          <w:rFonts w:ascii="Times New Roman" w:eastAsia="宋体" w:hAnsi="Times New Roman" w:cs="Times New Roman"/>
          <w:spacing w:val="-9"/>
          <w:sz w:val="28"/>
          <w:szCs w:val="28"/>
        </w:rPr>
        <w:t>层粘土：黄褐色，可塑，切面光滑，土质较均，夹砂薄层。该层未穿透。此层为隔水层</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弱透水层</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w:t>
      </w:r>
    </w:p>
    <w:p w14:paraId="6D058DD1"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评价区潜水含水层综合水文地质图详见图</w:t>
      </w:r>
      <w:r>
        <w:rPr>
          <w:rFonts w:ascii="Times New Roman" w:eastAsia="宋体" w:hAnsi="Times New Roman" w:cs="Times New Roman"/>
          <w:spacing w:val="-9"/>
          <w:sz w:val="28"/>
          <w:szCs w:val="28"/>
        </w:rPr>
        <w:t>5.1-1</w:t>
      </w:r>
      <w:r>
        <w:rPr>
          <w:rFonts w:ascii="Times New Roman" w:eastAsia="宋体" w:hAnsi="Times New Roman" w:cs="Times New Roman"/>
          <w:spacing w:val="-9"/>
          <w:sz w:val="28"/>
          <w:szCs w:val="28"/>
        </w:rPr>
        <w:t>，评价区勘探点位详见表</w:t>
      </w:r>
      <w:r>
        <w:rPr>
          <w:rFonts w:ascii="Times New Roman" w:eastAsia="宋体" w:hAnsi="Times New Roman" w:cs="Times New Roman"/>
          <w:spacing w:val="-9"/>
          <w:sz w:val="28"/>
          <w:szCs w:val="28"/>
        </w:rPr>
        <w:t>5.1-3</w:t>
      </w:r>
      <w:r>
        <w:rPr>
          <w:rFonts w:ascii="Times New Roman" w:eastAsia="宋体" w:hAnsi="Times New Roman" w:cs="Times New Roman"/>
          <w:spacing w:val="-9"/>
          <w:sz w:val="28"/>
          <w:szCs w:val="28"/>
        </w:rPr>
        <w:t>。地层剖面详见图</w:t>
      </w:r>
      <w:r>
        <w:rPr>
          <w:rFonts w:ascii="Times New Roman" w:eastAsia="宋体" w:hAnsi="Times New Roman" w:cs="Times New Roman"/>
          <w:spacing w:val="-9"/>
          <w:sz w:val="28"/>
          <w:szCs w:val="28"/>
        </w:rPr>
        <w:t>5.1-2</w:t>
      </w:r>
      <w:r>
        <w:rPr>
          <w:rFonts w:ascii="Times New Roman" w:eastAsia="宋体" w:hAnsi="Times New Roman" w:cs="Times New Roman"/>
          <w:spacing w:val="-9"/>
          <w:sz w:val="28"/>
          <w:szCs w:val="28"/>
        </w:rPr>
        <w:t>。</w:t>
      </w:r>
    </w:p>
    <w:p w14:paraId="091E8942" w14:textId="77777777" w:rsidR="002133E3" w:rsidRDefault="00C22CFA">
      <w:pPr>
        <w:adjustRightInd w:val="0"/>
        <w:snapToGrid w:val="0"/>
        <w:spacing w:line="360" w:lineRule="auto"/>
        <w:rPr>
          <w:rFonts w:ascii="Times New Roman" w:eastAsia="宋体" w:hAnsi="Times New Roman" w:cs="Times New Roman"/>
          <w:sz w:val="24"/>
          <w:szCs w:val="24"/>
        </w:rPr>
      </w:pPr>
      <w:r>
        <w:rPr>
          <w:rFonts w:ascii="Times New Roman" w:eastAsia="宋体" w:hAnsi="Times New Roman" w:cs="Times New Roman"/>
          <w:noProof/>
          <w:sz w:val="28"/>
          <w:szCs w:val="24"/>
        </w:rPr>
        <w:lastRenderedPageBreak/>
        <w:drawing>
          <wp:inline distT="0" distB="0" distL="0" distR="0" wp14:anchorId="4474539E" wp14:editId="3DB8B056">
            <wp:extent cx="5676900" cy="4181475"/>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75"/>
                    <a:srcRect r="1433" b="3005"/>
                    <a:stretch>
                      <a:fillRect/>
                    </a:stretch>
                  </pic:blipFill>
                  <pic:spPr>
                    <a:xfrm>
                      <a:off x="0" y="0"/>
                      <a:ext cx="5676900" cy="4181475"/>
                    </a:xfrm>
                    <a:prstGeom prst="rect">
                      <a:avLst/>
                    </a:prstGeom>
                    <a:ln>
                      <a:noFill/>
                    </a:ln>
                  </pic:spPr>
                </pic:pic>
              </a:graphicData>
            </a:graphic>
          </wp:inline>
        </w:drawing>
      </w:r>
    </w:p>
    <w:p w14:paraId="7384660A" w14:textId="77777777" w:rsidR="002133E3" w:rsidRDefault="00C22CFA">
      <w:pPr>
        <w:adjustRightInd w:val="0"/>
        <w:snapToGrid w:val="0"/>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图</w:t>
      </w:r>
      <w:r>
        <w:rPr>
          <w:rFonts w:ascii="Times New Roman" w:eastAsia="宋体" w:hAnsi="Times New Roman" w:cs="Times New Roman"/>
          <w:b/>
          <w:szCs w:val="21"/>
        </w:rPr>
        <w:t xml:space="preserve">5.1-1  </w:t>
      </w:r>
      <w:r>
        <w:rPr>
          <w:rFonts w:ascii="Times New Roman" w:eastAsia="宋体" w:hAnsi="Times New Roman" w:cs="Times New Roman"/>
          <w:b/>
          <w:szCs w:val="21"/>
        </w:rPr>
        <w:t>潜水含水层综合水文地质图</w:t>
      </w:r>
    </w:p>
    <w:p w14:paraId="394B8F42" w14:textId="77777777" w:rsidR="002133E3" w:rsidRDefault="00C22CFA">
      <w:pPr>
        <w:spacing w:line="300" w:lineRule="exac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5.1-3  </w:t>
      </w:r>
      <w:r>
        <w:rPr>
          <w:rFonts w:ascii="Times New Roman" w:eastAsia="宋体" w:hAnsi="Times New Roman" w:cs="Times New Roman"/>
          <w:b/>
          <w:szCs w:val="21"/>
        </w:rPr>
        <w:t>评价区勘探点位一览表</w:t>
      </w:r>
      <w:r>
        <w:rPr>
          <w:rFonts w:ascii="Times New Roman" w:eastAsia="宋体" w:hAnsi="Times New Roman" w:cs="Times New Roman"/>
          <w:b/>
          <w:szCs w:val="21"/>
        </w:rPr>
        <w:t>(m)</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8"/>
        <w:gridCol w:w="1009"/>
        <w:gridCol w:w="870"/>
        <w:gridCol w:w="726"/>
        <w:gridCol w:w="726"/>
        <w:gridCol w:w="697"/>
        <w:gridCol w:w="805"/>
        <w:gridCol w:w="714"/>
        <w:gridCol w:w="847"/>
        <w:gridCol w:w="713"/>
        <w:gridCol w:w="1174"/>
        <w:gridCol w:w="1135"/>
      </w:tblGrid>
      <w:tr w:rsidR="002133E3" w14:paraId="5F4F0570" w14:textId="77777777">
        <w:tc>
          <w:tcPr>
            <w:tcW w:w="427" w:type="dxa"/>
            <w:vAlign w:val="center"/>
          </w:tcPr>
          <w:p w14:paraId="22C3BA1C"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序号</w:t>
            </w:r>
          </w:p>
        </w:tc>
        <w:tc>
          <w:tcPr>
            <w:tcW w:w="986" w:type="dxa"/>
            <w:vAlign w:val="center"/>
          </w:tcPr>
          <w:p w14:paraId="49C78390"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孔号</w:t>
            </w:r>
          </w:p>
        </w:tc>
        <w:tc>
          <w:tcPr>
            <w:tcW w:w="850" w:type="dxa"/>
            <w:vAlign w:val="center"/>
          </w:tcPr>
          <w:p w14:paraId="060EF86B"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类型</w:t>
            </w:r>
          </w:p>
        </w:tc>
        <w:tc>
          <w:tcPr>
            <w:tcW w:w="709" w:type="dxa"/>
            <w:vAlign w:val="center"/>
          </w:tcPr>
          <w:p w14:paraId="075CD0D4"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孔口标高</w:t>
            </w:r>
          </w:p>
        </w:tc>
        <w:tc>
          <w:tcPr>
            <w:tcW w:w="709" w:type="dxa"/>
            <w:vAlign w:val="center"/>
          </w:tcPr>
          <w:p w14:paraId="0EC41216"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最大深度</w:t>
            </w:r>
          </w:p>
        </w:tc>
        <w:tc>
          <w:tcPr>
            <w:tcW w:w="681" w:type="dxa"/>
            <w:vAlign w:val="center"/>
          </w:tcPr>
          <w:p w14:paraId="12F68AE5"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初见水位深度</w:t>
            </w:r>
          </w:p>
        </w:tc>
        <w:tc>
          <w:tcPr>
            <w:tcW w:w="787" w:type="dxa"/>
            <w:vAlign w:val="center"/>
          </w:tcPr>
          <w:p w14:paraId="173B2FD0"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初见水位标高</w:t>
            </w:r>
          </w:p>
        </w:tc>
        <w:tc>
          <w:tcPr>
            <w:tcW w:w="698" w:type="dxa"/>
            <w:vAlign w:val="center"/>
          </w:tcPr>
          <w:p w14:paraId="54A5F004"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稳定水位深度</w:t>
            </w:r>
          </w:p>
        </w:tc>
        <w:tc>
          <w:tcPr>
            <w:tcW w:w="828" w:type="dxa"/>
            <w:vAlign w:val="center"/>
          </w:tcPr>
          <w:p w14:paraId="7CF59ECB"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稳定水位标高</w:t>
            </w:r>
          </w:p>
        </w:tc>
        <w:tc>
          <w:tcPr>
            <w:tcW w:w="697" w:type="dxa"/>
            <w:vAlign w:val="center"/>
          </w:tcPr>
          <w:p w14:paraId="75D9CDAD"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原状样</w:t>
            </w:r>
            <w:r>
              <w:rPr>
                <w:rFonts w:ascii="Times New Roman" w:eastAsia="宋体" w:hAnsi="Times New Roman" w:cs="Times New Roman"/>
                <w:b/>
                <w:szCs w:val="21"/>
              </w:rPr>
              <w:t>(</w:t>
            </w:r>
            <w:r>
              <w:rPr>
                <w:rFonts w:ascii="Times New Roman" w:eastAsia="宋体" w:hAnsi="Times New Roman" w:cs="Times New Roman"/>
                <w:b/>
                <w:szCs w:val="21"/>
              </w:rPr>
              <w:t>个</w:t>
            </w:r>
            <w:r>
              <w:rPr>
                <w:rFonts w:ascii="Times New Roman" w:eastAsia="宋体" w:hAnsi="Times New Roman" w:cs="Times New Roman"/>
                <w:b/>
                <w:szCs w:val="21"/>
              </w:rPr>
              <w:t>)</w:t>
            </w:r>
          </w:p>
        </w:tc>
        <w:tc>
          <w:tcPr>
            <w:tcW w:w="1147" w:type="dxa"/>
            <w:vAlign w:val="center"/>
          </w:tcPr>
          <w:p w14:paraId="3FB45079"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坐标</w:t>
            </w:r>
            <w:r>
              <w:rPr>
                <w:rFonts w:ascii="Times New Roman" w:eastAsia="宋体" w:hAnsi="Times New Roman" w:cs="Times New Roman"/>
                <w:b/>
                <w:szCs w:val="21"/>
              </w:rPr>
              <w:t>x(m)</w:t>
            </w:r>
          </w:p>
        </w:tc>
        <w:tc>
          <w:tcPr>
            <w:tcW w:w="1109" w:type="dxa"/>
            <w:vAlign w:val="center"/>
          </w:tcPr>
          <w:p w14:paraId="037FF7B8" w14:textId="77777777" w:rsidR="002133E3" w:rsidRDefault="00C22CFA">
            <w:pPr>
              <w:widowControl/>
              <w:jc w:val="center"/>
              <w:rPr>
                <w:rFonts w:ascii="Times New Roman" w:eastAsia="宋体" w:hAnsi="Times New Roman" w:cs="Times New Roman"/>
                <w:b/>
                <w:szCs w:val="21"/>
              </w:rPr>
            </w:pPr>
            <w:r>
              <w:rPr>
                <w:rFonts w:ascii="Times New Roman" w:eastAsia="宋体" w:hAnsi="Times New Roman" w:cs="Times New Roman"/>
                <w:b/>
                <w:szCs w:val="21"/>
              </w:rPr>
              <w:t>坐标</w:t>
            </w:r>
            <w:r>
              <w:rPr>
                <w:rFonts w:ascii="Times New Roman" w:eastAsia="宋体" w:hAnsi="Times New Roman" w:cs="Times New Roman"/>
                <w:b/>
                <w:szCs w:val="21"/>
              </w:rPr>
              <w:t>Y(m)</w:t>
            </w:r>
          </w:p>
        </w:tc>
      </w:tr>
      <w:tr w:rsidR="002133E3" w14:paraId="4EBC4375" w14:textId="77777777">
        <w:tc>
          <w:tcPr>
            <w:tcW w:w="427" w:type="dxa"/>
            <w:vAlign w:val="center"/>
          </w:tcPr>
          <w:p w14:paraId="7590915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p>
        </w:tc>
        <w:tc>
          <w:tcPr>
            <w:tcW w:w="986" w:type="dxa"/>
            <w:vAlign w:val="center"/>
          </w:tcPr>
          <w:p w14:paraId="4624E03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ZK01</w:t>
            </w:r>
          </w:p>
        </w:tc>
        <w:tc>
          <w:tcPr>
            <w:tcW w:w="850" w:type="dxa"/>
            <w:vAlign w:val="center"/>
          </w:tcPr>
          <w:p w14:paraId="0FBB8D5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292AA5F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4.38</w:t>
            </w:r>
          </w:p>
        </w:tc>
        <w:tc>
          <w:tcPr>
            <w:tcW w:w="709" w:type="dxa"/>
            <w:vAlign w:val="center"/>
          </w:tcPr>
          <w:p w14:paraId="642CC5C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7.50</w:t>
            </w:r>
          </w:p>
        </w:tc>
        <w:tc>
          <w:tcPr>
            <w:tcW w:w="681" w:type="dxa"/>
            <w:vAlign w:val="center"/>
          </w:tcPr>
          <w:p w14:paraId="24AC11C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2.60</w:t>
            </w:r>
          </w:p>
        </w:tc>
        <w:tc>
          <w:tcPr>
            <w:tcW w:w="787" w:type="dxa"/>
            <w:vAlign w:val="center"/>
          </w:tcPr>
          <w:p w14:paraId="7831BDE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1.78</w:t>
            </w:r>
          </w:p>
        </w:tc>
        <w:tc>
          <w:tcPr>
            <w:tcW w:w="698" w:type="dxa"/>
            <w:vAlign w:val="center"/>
          </w:tcPr>
          <w:p w14:paraId="274F27E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2.40</w:t>
            </w:r>
          </w:p>
        </w:tc>
        <w:tc>
          <w:tcPr>
            <w:tcW w:w="828" w:type="dxa"/>
            <w:vAlign w:val="center"/>
          </w:tcPr>
          <w:p w14:paraId="22B9980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1.98</w:t>
            </w:r>
          </w:p>
        </w:tc>
        <w:tc>
          <w:tcPr>
            <w:tcW w:w="697" w:type="dxa"/>
            <w:vAlign w:val="center"/>
          </w:tcPr>
          <w:p w14:paraId="45098A8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w:t>
            </w:r>
          </w:p>
        </w:tc>
        <w:tc>
          <w:tcPr>
            <w:tcW w:w="1147" w:type="dxa"/>
            <w:vAlign w:val="center"/>
          </w:tcPr>
          <w:p w14:paraId="1A15067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82638.882</w:t>
            </w:r>
          </w:p>
        </w:tc>
        <w:tc>
          <w:tcPr>
            <w:tcW w:w="1109" w:type="dxa"/>
            <w:vAlign w:val="center"/>
          </w:tcPr>
          <w:p w14:paraId="33A4A78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11981.578</w:t>
            </w:r>
          </w:p>
        </w:tc>
      </w:tr>
      <w:tr w:rsidR="002133E3" w14:paraId="0C5711FB" w14:textId="77777777">
        <w:tc>
          <w:tcPr>
            <w:tcW w:w="427" w:type="dxa"/>
            <w:vAlign w:val="center"/>
          </w:tcPr>
          <w:p w14:paraId="2774AFA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w:t>
            </w:r>
          </w:p>
        </w:tc>
        <w:tc>
          <w:tcPr>
            <w:tcW w:w="986" w:type="dxa"/>
            <w:vAlign w:val="center"/>
          </w:tcPr>
          <w:p w14:paraId="4284675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ZK02</w:t>
            </w:r>
          </w:p>
        </w:tc>
        <w:tc>
          <w:tcPr>
            <w:tcW w:w="850" w:type="dxa"/>
            <w:vAlign w:val="center"/>
          </w:tcPr>
          <w:p w14:paraId="6C7CAF1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0655302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3.11</w:t>
            </w:r>
          </w:p>
        </w:tc>
        <w:tc>
          <w:tcPr>
            <w:tcW w:w="709" w:type="dxa"/>
            <w:vAlign w:val="center"/>
          </w:tcPr>
          <w:p w14:paraId="0D25810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9.00</w:t>
            </w:r>
          </w:p>
        </w:tc>
        <w:tc>
          <w:tcPr>
            <w:tcW w:w="681" w:type="dxa"/>
            <w:vAlign w:val="center"/>
          </w:tcPr>
          <w:p w14:paraId="72D3546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2.30</w:t>
            </w:r>
          </w:p>
        </w:tc>
        <w:tc>
          <w:tcPr>
            <w:tcW w:w="787" w:type="dxa"/>
            <w:vAlign w:val="center"/>
          </w:tcPr>
          <w:p w14:paraId="305A37C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0.81</w:t>
            </w:r>
          </w:p>
        </w:tc>
        <w:tc>
          <w:tcPr>
            <w:tcW w:w="698" w:type="dxa"/>
            <w:vAlign w:val="center"/>
          </w:tcPr>
          <w:p w14:paraId="101BB6D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2.06</w:t>
            </w:r>
          </w:p>
        </w:tc>
        <w:tc>
          <w:tcPr>
            <w:tcW w:w="828" w:type="dxa"/>
            <w:vAlign w:val="center"/>
          </w:tcPr>
          <w:p w14:paraId="1241801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1.05</w:t>
            </w:r>
          </w:p>
        </w:tc>
        <w:tc>
          <w:tcPr>
            <w:tcW w:w="697" w:type="dxa"/>
            <w:vAlign w:val="center"/>
          </w:tcPr>
          <w:p w14:paraId="75DBB81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w:t>
            </w:r>
          </w:p>
        </w:tc>
        <w:tc>
          <w:tcPr>
            <w:tcW w:w="1147" w:type="dxa"/>
            <w:vAlign w:val="center"/>
          </w:tcPr>
          <w:p w14:paraId="09330E8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81791.880</w:t>
            </w:r>
          </w:p>
        </w:tc>
        <w:tc>
          <w:tcPr>
            <w:tcW w:w="1109" w:type="dxa"/>
            <w:vAlign w:val="center"/>
          </w:tcPr>
          <w:p w14:paraId="06BFEF9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14066.213</w:t>
            </w:r>
          </w:p>
        </w:tc>
      </w:tr>
      <w:tr w:rsidR="002133E3" w14:paraId="704E5D74" w14:textId="77777777">
        <w:tc>
          <w:tcPr>
            <w:tcW w:w="427" w:type="dxa"/>
            <w:vAlign w:val="center"/>
          </w:tcPr>
          <w:p w14:paraId="03597E6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w:t>
            </w:r>
          </w:p>
        </w:tc>
        <w:tc>
          <w:tcPr>
            <w:tcW w:w="986" w:type="dxa"/>
            <w:vAlign w:val="center"/>
          </w:tcPr>
          <w:p w14:paraId="1B534CC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ZK03</w:t>
            </w:r>
          </w:p>
        </w:tc>
        <w:tc>
          <w:tcPr>
            <w:tcW w:w="850" w:type="dxa"/>
            <w:vAlign w:val="center"/>
          </w:tcPr>
          <w:p w14:paraId="65B51E7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705ED9E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2.73</w:t>
            </w:r>
          </w:p>
        </w:tc>
        <w:tc>
          <w:tcPr>
            <w:tcW w:w="709" w:type="dxa"/>
            <w:vAlign w:val="center"/>
          </w:tcPr>
          <w:p w14:paraId="01DB4E5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12.00</w:t>
            </w:r>
          </w:p>
        </w:tc>
        <w:tc>
          <w:tcPr>
            <w:tcW w:w="681" w:type="dxa"/>
            <w:vAlign w:val="center"/>
          </w:tcPr>
          <w:p w14:paraId="555A039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2.20</w:t>
            </w:r>
          </w:p>
        </w:tc>
        <w:tc>
          <w:tcPr>
            <w:tcW w:w="787" w:type="dxa"/>
            <w:vAlign w:val="center"/>
          </w:tcPr>
          <w:p w14:paraId="7948FF2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0.53</w:t>
            </w:r>
          </w:p>
        </w:tc>
        <w:tc>
          <w:tcPr>
            <w:tcW w:w="698" w:type="dxa"/>
            <w:vAlign w:val="center"/>
          </w:tcPr>
          <w:p w14:paraId="0071E56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1.96</w:t>
            </w:r>
          </w:p>
        </w:tc>
        <w:tc>
          <w:tcPr>
            <w:tcW w:w="828" w:type="dxa"/>
            <w:vAlign w:val="center"/>
          </w:tcPr>
          <w:p w14:paraId="2C7A265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0.77</w:t>
            </w:r>
          </w:p>
        </w:tc>
        <w:tc>
          <w:tcPr>
            <w:tcW w:w="697" w:type="dxa"/>
            <w:vAlign w:val="center"/>
          </w:tcPr>
          <w:p w14:paraId="651D987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p>
        </w:tc>
        <w:tc>
          <w:tcPr>
            <w:tcW w:w="1147" w:type="dxa"/>
            <w:vAlign w:val="center"/>
          </w:tcPr>
          <w:p w14:paraId="3B700AA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81416.429</w:t>
            </w:r>
          </w:p>
        </w:tc>
        <w:tc>
          <w:tcPr>
            <w:tcW w:w="1109" w:type="dxa"/>
            <w:vAlign w:val="center"/>
          </w:tcPr>
          <w:p w14:paraId="545587F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14842.710</w:t>
            </w:r>
          </w:p>
        </w:tc>
      </w:tr>
      <w:tr w:rsidR="002133E3" w14:paraId="56BF7445" w14:textId="77777777">
        <w:tc>
          <w:tcPr>
            <w:tcW w:w="427" w:type="dxa"/>
            <w:vAlign w:val="center"/>
          </w:tcPr>
          <w:p w14:paraId="096430F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4</w:t>
            </w:r>
          </w:p>
        </w:tc>
        <w:tc>
          <w:tcPr>
            <w:tcW w:w="986" w:type="dxa"/>
            <w:vAlign w:val="center"/>
          </w:tcPr>
          <w:p w14:paraId="63B7371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ZK04</w:t>
            </w:r>
          </w:p>
        </w:tc>
        <w:tc>
          <w:tcPr>
            <w:tcW w:w="850" w:type="dxa"/>
            <w:vAlign w:val="center"/>
          </w:tcPr>
          <w:p w14:paraId="06C9528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746F274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3.05</w:t>
            </w:r>
          </w:p>
        </w:tc>
        <w:tc>
          <w:tcPr>
            <w:tcW w:w="709" w:type="dxa"/>
            <w:vAlign w:val="center"/>
          </w:tcPr>
          <w:p w14:paraId="6743D29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8.00</w:t>
            </w:r>
          </w:p>
        </w:tc>
        <w:tc>
          <w:tcPr>
            <w:tcW w:w="681" w:type="dxa"/>
            <w:vAlign w:val="center"/>
          </w:tcPr>
          <w:p w14:paraId="2FF3FE3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1.00</w:t>
            </w:r>
          </w:p>
        </w:tc>
        <w:tc>
          <w:tcPr>
            <w:tcW w:w="787" w:type="dxa"/>
            <w:vAlign w:val="center"/>
          </w:tcPr>
          <w:p w14:paraId="3E6B953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2.05</w:t>
            </w:r>
          </w:p>
        </w:tc>
        <w:tc>
          <w:tcPr>
            <w:tcW w:w="698" w:type="dxa"/>
            <w:vAlign w:val="center"/>
          </w:tcPr>
          <w:p w14:paraId="40490D2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0.84</w:t>
            </w:r>
          </w:p>
        </w:tc>
        <w:tc>
          <w:tcPr>
            <w:tcW w:w="828" w:type="dxa"/>
            <w:vAlign w:val="center"/>
          </w:tcPr>
          <w:p w14:paraId="4D8AF37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2.21</w:t>
            </w:r>
          </w:p>
        </w:tc>
        <w:tc>
          <w:tcPr>
            <w:tcW w:w="697" w:type="dxa"/>
            <w:vAlign w:val="center"/>
          </w:tcPr>
          <w:p w14:paraId="66AA71E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4</w:t>
            </w:r>
          </w:p>
        </w:tc>
        <w:tc>
          <w:tcPr>
            <w:tcW w:w="1147" w:type="dxa"/>
            <w:vAlign w:val="center"/>
          </w:tcPr>
          <w:p w14:paraId="33E0465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81599.047</w:t>
            </w:r>
          </w:p>
        </w:tc>
        <w:tc>
          <w:tcPr>
            <w:tcW w:w="1109" w:type="dxa"/>
            <w:vAlign w:val="center"/>
          </w:tcPr>
          <w:p w14:paraId="3DF763E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11452.053</w:t>
            </w:r>
          </w:p>
        </w:tc>
      </w:tr>
      <w:tr w:rsidR="002133E3" w14:paraId="3EAB4057" w14:textId="77777777">
        <w:tc>
          <w:tcPr>
            <w:tcW w:w="427" w:type="dxa"/>
            <w:vAlign w:val="center"/>
          </w:tcPr>
          <w:p w14:paraId="09DC6A7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5</w:t>
            </w:r>
          </w:p>
        </w:tc>
        <w:tc>
          <w:tcPr>
            <w:tcW w:w="986" w:type="dxa"/>
            <w:vAlign w:val="center"/>
          </w:tcPr>
          <w:p w14:paraId="67EDF4B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ZK05</w:t>
            </w:r>
          </w:p>
        </w:tc>
        <w:tc>
          <w:tcPr>
            <w:tcW w:w="850" w:type="dxa"/>
            <w:vAlign w:val="center"/>
          </w:tcPr>
          <w:p w14:paraId="2ED19F8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3AE25E8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2.73</w:t>
            </w:r>
          </w:p>
        </w:tc>
        <w:tc>
          <w:tcPr>
            <w:tcW w:w="709" w:type="dxa"/>
            <w:vAlign w:val="center"/>
          </w:tcPr>
          <w:p w14:paraId="1951426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681" w:type="dxa"/>
            <w:vAlign w:val="center"/>
          </w:tcPr>
          <w:p w14:paraId="5D6C34D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1.60</w:t>
            </w:r>
          </w:p>
        </w:tc>
        <w:tc>
          <w:tcPr>
            <w:tcW w:w="787" w:type="dxa"/>
            <w:vAlign w:val="center"/>
          </w:tcPr>
          <w:p w14:paraId="1B33FF6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1.13</w:t>
            </w:r>
          </w:p>
        </w:tc>
        <w:tc>
          <w:tcPr>
            <w:tcW w:w="698" w:type="dxa"/>
            <w:vAlign w:val="center"/>
          </w:tcPr>
          <w:p w14:paraId="34D9464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1.44</w:t>
            </w:r>
          </w:p>
        </w:tc>
        <w:tc>
          <w:tcPr>
            <w:tcW w:w="828" w:type="dxa"/>
            <w:vAlign w:val="center"/>
          </w:tcPr>
          <w:p w14:paraId="0E6A701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1.29</w:t>
            </w:r>
          </w:p>
        </w:tc>
        <w:tc>
          <w:tcPr>
            <w:tcW w:w="697" w:type="dxa"/>
            <w:vAlign w:val="center"/>
          </w:tcPr>
          <w:p w14:paraId="245B92E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w:t>
            </w:r>
          </w:p>
        </w:tc>
        <w:tc>
          <w:tcPr>
            <w:tcW w:w="1147" w:type="dxa"/>
            <w:vAlign w:val="center"/>
          </w:tcPr>
          <w:p w14:paraId="681E77C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80730.139</w:t>
            </w:r>
          </w:p>
        </w:tc>
        <w:tc>
          <w:tcPr>
            <w:tcW w:w="1109" w:type="dxa"/>
            <w:vAlign w:val="center"/>
          </w:tcPr>
          <w:p w14:paraId="73E54C4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13664.896</w:t>
            </w:r>
          </w:p>
        </w:tc>
      </w:tr>
      <w:tr w:rsidR="002133E3" w14:paraId="5E7A4C72" w14:textId="77777777">
        <w:tc>
          <w:tcPr>
            <w:tcW w:w="427" w:type="dxa"/>
            <w:vAlign w:val="center"/>
          </w:tcPr>
          <w:p w14:paraId="4AD024A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w:t>
            </w:r>
          </w:p>
        </w:tc>
        <w:tc>
          <w:tcPr>
            <w:tcW w:w="986" w:type="dxa"/>
            <w:vAlign w:val="center"/>
          </w:tcPr>
          <w:p w14:paraId="2E1A9C0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ZK05-1</w:t>
            </w:r>
          </w:p>
        </w:tc>
        <w:tc>
          <w:tcPr>
            <w:tcW w:w="850" w:type="dxa"/>
            <w:vAlign w:val="center"/>
          </w:tcPr>
          <w:p w14:paraId="4DE029A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2BAA001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2.63</w:t>
            </w:r>
          </w:p>
        </w:tc>
        <w:tc>
          <w:tcPr>
            <w:tcW w:w="709" w:type="dxa"/>
            <w:vAlign w:val="center"/>
          </w:tcPr>
          <w:p w14:paraId="33D192A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9.00</w:t>
            </w:r>
          </w:p>
        </w:tc>
        <w:tc>
          <w:tcPr>
            <w:tcW w:w="681" w:type="dxa"/>
            <w:vAlign w:val="center"/>
          </w:tcPr>
          <w:p w14:paraId="09F4AC0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1.50</w:t>
            </w:r>
          </w:p>
        </w:tc>
        <w:tc>
          <w:tcPr>
            <w:tcW w:w="787" w:type="dxa"/>
            <w:vAlign w:val="center"/>
          </w:tcPr>
          <w:p w14:paraId="0A7920D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1.13</w:t>
            </w:r>
          </w:p>
        </w:tc>
        <w:tc>
          <w:tcPr>
            <w:tcW w:w="698" w:type="dxa"/>
            <w:vAlign w:val="center"/>
          </w:tcPr>
          <w:p w14:paraId="63EE128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1.34</w:t>
            </w:r>
          </w:p>
        </w:tc>
        <w:tc>
          <w:tcPr>
            <w:tcW w:w="828" w:type="dxa"/>
            <w:vAlign w:val="center"/>
          </w:tcPr>
          <w:p w14:paraId="3F499BE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1.29</w:t>
            </w:r>
          </w:p>
        </w:tc>
        <w:tc>
          <w:tcPr>
            <w:tcW w:w="697" w:type="dxa"/>
            <w:vAlign w:val="center"/>
          </w:tcPr>
          <w:p w14:paraId="05EE1AF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w:t>
            </w:r>
          </w:p>
        </w:tc>
        <w:tc>
          <w:tcPr>
            <w:tcW w:w="1147" w:type="dxa"/>
            <w:vAlign w:val="center"/>
          </w:tcPr>
          <w:p w14:paraId="1A8C9AB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80730.196</w:t>
            </w:r>
          </w:p>
        </w:tc>
        <w:tc>
          <w:tcPr>
            <w:tcW w:w="1109" w:type="dxa"/>
            <w:vAlign w:val="center"/>
          </w:tcPr>
          <w:p w14:paraId="1F175DE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13660.821</w:t>
            </w:r>
          </w:p>
        </w:tc>
      </w:tr>
      <w:tr w:rsidR="002133E3" w14:paraId="5FC51CE2" w14:textId="77777777">
        <w:tc>
          <w:tcPr>
            <w:tcW w:w="427" w:type="dxa"/>
            <w:vAlign w:val="center"/>
          </w:tcPr>
          <w:p w14:paraId="14D38FF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7</w:t>
            </w:r>
          </w:p>
        </w:tc>
        <w:tc>
          <w:tcPr>
            <w:tcW w:w="986" w:type="dxa"/>
            <w:vAlign w:val="center"/>
          </w:tcPr>
          <w:p w14:paraId="1347262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ZK05-2</w:t>
            </w:r>
          </w:p>
        </w:tc>
        <w:tc>
          <w:tcPr>
            <w:tcW w:w="850" w:type="dxa"/>
            <w:vAlign w:val="center"/>
          </w:tcPr>
          <w:p w14:paraId="2B8EEF0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257478A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2.70</w:t>
            </w:r>
          </w:p>
        </w:tc>
        <w:tc>
          <w:tcPr>
            <w:tcW w:w="709" w:type="dxa"/>
            <w:vAlign w:val="center"/>
          </w:tcPr>
          <w:p w14:paraId="0045260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9.00</w:t>
            </w:r>
          </w:p>
        </w:tc>
        <w:tc>
          <w:tcPr>
            <w:tcW w:w="681" w:type="dxa"/>
            <w:vAlign w:val="center"/>
          </w:tcPr>
          <w:p w14:paraId="77D0134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1.60</w:t>
            </w:r>
          </w:p>
        </w:tc>
        <w:tc>
          <w:tcPr>
            <w:tcW w:w="787" w:type="dxa"/>
            <w:vAlign w:val="center"/>
          </w:tcPr>
          <w:p w14:paraId="0480BB5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1.10</w:t>
            </w:r>
          </w:p>
        </w:tc>
        <w:tc>
          <w:tcPr>
            <w:tcW w:w="698" w:type="dxa"/>
            <w:vAlign w:val="center"/>
          </w:tcPr>
          <w:p w14:paraId="599F454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1.41</w:t>
            </w:r>
          </w:p>
        </w:tc>
        <w:tc>
          <w:tcPr>
            <w:tcW w:w="828" w:type="dxa"/>
            <w:vAlign w:val="center"/>
          </w:tcPr>
          <w:p w14:paraId="4E31A4B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1.29</w:t>
            </w:r>
          </w:p>
        </w:tc>
        <w:tc>
          <w:tcPr>
            <w:tcW w:w="697" w:type="dxa"/>
            <w:vAlign w:val="center"/>
          </w:tcPr>
          <w:p w14:paraId="6189A85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w:t>
            </w:r>
          </w:p>
        </w:tc>
        <w:tc>
          <w:tcPr>
            <w:tcW w:w="1147" w:type="dxa"/>
            <w:vAlign w:val="center"/>
          </w:tcPr>
          <w:p w14:paraId="790D29D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80730.139</w:t>
            </w:r>
          </w:p>
        </w:tc>
        <w:tc>
          <w:tcPr>
            <w:tcW w:w="1109" w:type="dxa"/>
            <w:vAlign w:val="center"/>
          </w:tcPr>
          <w:p w14:paraId="090A009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13662.847</w:t>
            </w:r>
          </w:p>
        </w:tc>
      </w:tr>
      <w:tr w:rsidR="002133E3" w14:paraId="16E3E6BA" w14:textId="77777777">
        <w:tc>
          <w:tcPr>
            <w:tcW w:w="427" w:type="dxa"/>
            <w:vAlign w:val="center"/>
          </w:tcPr>
          <w:p w14:paraId="27F1F24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w:t>
            </w:r>
          </w:p>
        </w:tc>
        <w:tc>
          <w:tcPr>
            <w:tcW w:w="986" w:type="dxa"/>
            <w:vAlign w:val="center"/>
          </w:tcPr>
          <w:p w14:paraId="07E76D8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ZK05-3</w:t>
            </w:r>
          </w:p>
        </w:tc>
        <w:tc>
          <w:tcPr>
            <w:tcW w:w="850" w:type="dxa"/>
            <w:vAlign w:val="center"/>
          </w:tcPr>
          <w:p w14:paraId="5461733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398DCE0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2.73</w:t>
            </w:r>
          </w:p>
        </w:tc>
        <w:tc>
          <w:tcPr>
            <w:tcW w:w="709" w:type="dxa"/>
            <w:vAlign w:val="center"/>
          </w:tcPr>
          <w:p w14:paraId="10260CE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9.00</w:t>
            </w:r>
          </w:p>
        </w:tc>
        <w:tc>
          <w:tcPr>
            <w:tcW w:w="681" w:type="dxa"/>
            <w:vAlign w:val="center"/>
          </w:tcPr>
          <w:p w14:paraId="1ECAE24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1.60</w:t>
            </w:r>
          </w:p>
        </w:tc>
        <w:tc>
          <w:tcPr>
            <w:tcW w:w="787" w:type="dxa"/>
            <w:vAlign w:val="center"/>
          </w:tcPr>
          <w:p w14:paraId="6856784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1.13</w:t>
            </w:r>
          </w:p>
        </w:tc>
        <w:tc>
          <w:tcPr>
            <w:tcW w:w="698" w:type="dxa"/>
            <w:vAlign w:val="center"/>
          </w:tcPr>
          <w:p w14:paraId="5851437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1.44</w:t>
            </w:r>
          </w:p>
        </w:tc>
        <w:tc>
          <w:tcPr>
            <w:tcW w:w="828" w:type="dxa"/>
            <w:vAlign w:val="center"/>
          </w:tcPr>
          <w:p w14:paraId="4096EA6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1.29</w:t>
            </w:r>
          </w:p>
        </w:tc>
        <w:tc>
          <w:tcPr>
            <w:tcW w:w="697" w:type="dxa"/>
            <w:vAlign w:val="center"/>
          </w:tcPr>
          <w:p w14:paraId="78AA482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w:t>
            </w:r>
          </w:p>
        </w:tc>
        <w:tc>
          <w:tcPr>
            <w:tcW w:w="1147" w:type="dxa"/>
            <w:vAlign w:val="center"/>
          </w:tcPr>
          <w:p w14:paraId="379EF3D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80728.004</w:t>
            </w:r>
          </w:p>
        </w:tc>
        <w:tc>
          <w:tcPr>
            <w:tcW w:w="1109" w:type="dxa"/>
            <w:vAlign w:val="center"/>
          </w:tcPr>
          <w:p w14:paraId="67FE03C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13662.839</w:t>
            </w:r>
          </w:p>
        </w:tc>
      </w:tr>
      <w:tr w:rsidR="002133E3" w14:paraId="7CDCF17D" w14:textId="77777777">
        <w:tc>
          <w:tcPr>
            <w:tcW w:w="427" w:type="dxa"/>
            <w:vAlign w:val="center"/>
          </w:tcPr>
          <w:p w14:paraId="4017239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9</w:t>
            </w:r>
          </w:p>
        </w:tc>
        <w:tc>
          <w:tcPr>
            <w:tcW w:w="986" w:type="dxa"/>
            <w:vAlign w:val="center"/>
          </w:tcPr>
          <w:p w14:paraId="52BD56A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ZK06</w:t>
            </w:r>
          </w:p>
        </w:tc>
        <w:tc>
          <w:tcPr>
            <w:tcW w:w="850" w:type="dxa"/>
            <w:vAlign w:val="center"/>
          </w:tcPr>
          <w:p w14:paraId="44B16B9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6578E7B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3.35</w:t>
            </w:r>
          </w:p>
        </w:tc>
        <w:tc>
          <w:tcPr>
            <w:tcW w:w="709" w:type="dxa"/>
            <w:vAlign w:val="center"/>
          </w:tcPr>
          <w:p w14:paraId="6A5EB80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12.00</w:t>
            </w:r>
          </w:p>
        </w:tc>
        <w:tc>
          <w:tcPr>
            <w:tcW w:w="681" w:type="dxa"/>
            <w:vAlign w:val="center"/>
          </w:tcPr>
          <w:p w14:paraId="4EC73FE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3.00</w:t>
            </w:r>
          </w:p>
        </w:tc>
        <w:tc>
          <w:tcPr>
            <w:tcW w:w="787" w:type="dxa"/>
            <w:vAlign w:val="center"/>
          </w:tcPr>
          <w:p w14:paraId="4CEC87A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0.35</w:t>
            </w:r>
          </w:p>
        </w:tc>
        <w:tc>
          <w:tcPr>
            <w:tcW w:w="698" w:type="dxa"/>
            <w:vAlign w:val="center"/>
          </w:tcPr>
          <w:p w14:paraId="291D8EC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2.83</w:t>
            </w:r>
          </w:p>
        </w:tc>
        <w:tc>
          <w:tcPr>
            <w:tcW w:w="828" w:type="dxa"/>
            <w:vAlign w:val="center"/>
          </w:tcPr>
          <w:p w14:paraId="6DFB321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0.52</w:t>
            </w:r>
          </w:p>
        </w:tc>
        <w:tc>
          <w:tcPr>
            <w:tcW w:w="697" w:type="dxa"/>
            <w:vAlign w:val="center"/>
          </w:tcPr>
          <w:p w14:paraId="58BDBFB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p>
        </w:tc>
        <w:tc>
          <w:tcPr>
            <w:tcW w:w="1147" w:type="dxa"/>
            <w:vAlign w:val="center"/>
          </w:tcPr>
          <w:p w14:paraId="02700EF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80722.535</w:t>
            </w:r>
          </w:p>
        </w:tc>
        <w:tc>
          <w:tcPr>
            <w:tcW w:w="1109" w:type="dxa"/>
            <w:vAlign w:val="center"/>
          </w:tcPr>
          <w:p w14:paraId="1FFB0AE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15325.040</w:t>
            </w:r>
          </w:p>
        </w:tc>
      </w:tr>
      <w:tr w:rsidR="002133E3" w14:paraId="39FDC563" w14:textId="77777777">
        <w:tc>
          <w:tcPr>
            <w:tcW w:w="427" w:type="dxa"/>
            <w:vAlign w:val="center"/>
          </w:tcPr>
          <w:p w14:paraId="43294F8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10</w:t>
            </w:r>
          </w:p>
        </w:tc>
        <w:tc>
          <w:tcPr>
            <w:tcW w:w="986" w:type="dxa"/>
            <w:vAlign w:val="center"/>
          </w:tcPr>
          <w:p w14:paraId="22DBF4E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ZK07</w:t>
            </w:r>
          </w:p>
        </w:tc>
        <w:tc>
          <w:tcPr>
            <w:tcW w:w="850" w:type="dxa"/>
            <w:vAlign w:val="center"/>
          </w:tcPr>
          <w:p w14:paraId="6B4E66F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39D08B3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3.05</w:t>
            </w:r>
          </w:p>
        </w:tc>
        <w:tc>
          <w:tcPr>
            <w:tcW w:w="709" w:type="dxa"/>
            <w:vAlign w:val="center"/>
          </w:tcPr>
          <w:p w14:paraId="1079781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8.00</w:t>
            </w:r>
          </w:p>
        </w:tc>
        <w:tc>
          <w:tcPr>
            <w:tcW w:w="681" w:type="dxa"/>
            <w:vAlign w:val="center"/>
          </w:tcPr>
          <w:p w14:paraId="1F013CF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1.00</w:t>
            </w:r>
          </w:p>
        </w:tc>
        <w:tc>
          <w:tcPr>
            <w:tcW w:w="787" w:type="dxa"/>
            <w:vAlign w:val="center"/>
          </w:tcPr>
          <w:p w14:paraId="0D8D6A9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2.05</w:t>
            </w:r>
          </w:p>
        </w:tc>
        <w:tc>
          <w:tcPr>
            <w:tcW w:w="698" w:type="dxa"/>
            <w:vAlign w:val="center"/>
          </w:tcPr>
          <w:p w14:paraId="053ECA9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0.73</w:t>
            </w:r>
          </w:p>
        </w:tc>
        <w:tc>
          <w:tcPr>
            <w:tcW w:w="828" w:type="dxa"/>
            <w:vAlign w:val="center"/>
          </w:tcPr>
          <w:p w14:paraId="54EE00D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2.32</w:t>
            </w:r>
          </w:p>
        </w:tc>
        <w:tc>
          <w:tcPr>
            <w:tcW w:w="697" w:type="dxa"/>
            <w:vAlign w:val="center"/>
          </w:tcPr>
          <w:p w14:paraId="49A3A5C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w:t>
            </w:r>
          </w:p>
        </w:tc>
        <w:tc>
          <w:tcPr>
            <w:tcW w:w="1147" w:type="dxa"/>
            <w:vAlign w:val="center"/>
          </w:tcPr>
          <w:p w14:paraId="261BA36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80801.234</w:t>
            </w:r>
          </w:p>
        </w:tc>
        <w:tc>
          <w:tcPr>
            <w:tcW w:w="1109" w:type="dxa"/>
            <w:vAlign w:val="center"/>
          </w:tcPr>
          <w:p w14:paraId="0D59682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11178.309</w:t>
            </w:r>
          </w:p>
        </w:tc>
      </w:tr>
      <w:tr w:rsidR="002133E3" w14:paraId="4AFC9A14" w14:textId="77777777">
        <w:tc>
          <w:tcPr>
            <w:tcW w:w="427" w:type="dxa"/>
            <w:vAlign w:val="center"/>
          </w:tcPr>
          <w:p w14:paraId="578A2E4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11</w:t>
            </w:r>
          </w:p>
        </w:tc>
        <w:tc>
          <w:tcPr>
            <w:tcW w:w="986" w:type="dxa"/>
            <w:vAlign w:val="center"/>
          </w:tcPr>
          <w:p w14:paraId="6B1EF07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ZK08</w:t>
            </w:r>
          </w:p>
        </w:tc>
        <w:tc>
          <w:tcPr>
            <w:tcW w:w="850" w:type="dxa"/>
            <w:vAlign w:val="center"/>
          </w:tcPr>
          <w:p w14:paraId="1CFB59A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71AA0DB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3.04</w:t>
            </w:r>
          </w:p>
        </w:tc>
        <w:tc>
          <w:tcPr>
            <w:tcW w:w="709" w:type="dxa"/>
            <w:vAlign w:val="center"/>
          </w:tcPr>
          <w:p w14:paraId="23DC0C7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8.50</w:t>
            </w:r>
          </w:p>
        </w:tc>
        <w:tc>
          <w:tcPr>
            <w:tcW w:w="681" w:type="dxa"/>
            <w:vAlign w:val="center"/>
          </w:tcPr>
          <w:p w14:paraId="4BD781C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1.60</w:t>
            </w:r>
          </w:p>
        </w:tc>
        <w:tc>
          <w:tcPr>
            <w:tcW w:w="787" w:type="dxa"/>
            <w:vAlign w:val="center"/>
          </w:tcPr>
          <w:p w14:paraId="2599B65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1.44</w:t>
            </w:r>
          </w:p>
        </w:tc>
        <w:tc>
          <w:tcPr>
            <w:tcW w:w="698" w:type="dxa"/>
            <w:vAlign w:val="center"/>
          </w:tcPr>
          <w:p w14:paraId="14F5BAD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1.41</w:t>
            </w:r>
          </w:p>
        </w:tc>
        <w:tc>
          <w:tcPr>
            <w:tcW w:w="828" w:type="dxa"/>
            <w:vAlign w:val="center"/>
          </w:tcPr>
          <w:p w14:paraId="320CC42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1.63</w:t>
            </w:r>
          </w:p>
        </w:tc>
        <w:tc>
          <w:tcPr>
            <w:tcW w:w="697" w:type="dxa"/>
            <w:vAlign w:val="center"/>
          </w:tcPr>
          <w:p w14:paraId="2ECD2EE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w:t>
            </w:r>
          </w:p>
        </w:tc>
        <w:tc>
          <w:tcPr>
            <w:tcW w:w="1147" w:type="dxa"/>
            <w:vAlign w:val="center"/>
          </w:tcPr>
          <w:p w14:paraId="108C687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79527.972</w:t>
            </w:r>
          </w:p>
        </w:tc>
        <w:tc>
          <w:tcPr>
            <w:tcW w:w="1109" w:type="dxa"/>
            <w:vAlign w:val="center"/>
          </w:tcPr>
          <w:p w14:paraId="7590B1A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12753.832</w:t>
            </w:r>
          </w:p>
        </w:tc>
      </w:tr>
      <w:tr w:rsidR="002133E3" w14:paraId="1651978C" w14:textId="77777777">
        <w:tc>
          <w:tcPr>
            <w:tcW w:w="427" w:type="dxa"/>
            <w:vAlign w:val="center"/>
          </w:tcPr>
          <w:p w14:paraId="57AFCA8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w:t>
            </w:r>
          </w:p>
        </w:tc>
        <w:tc>
          <w:tcPr>
            <w:tcW w:w="986" w:type="dxa"/>
            <w:vAlign w:val="center"/>
          </w:tcPr>
          <w:p w14:paraId="0DF89D8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ZK09</w:t>
            </w:r>
          </w:p>
        </w:tc>
        <w:tc>
          <w:tcPr>
            <w:tcW w:w="850" w:type="dxa"/>
            <w:vAlign w:val="center"/>
          </w:tcPr>
          <w:p w14:paraId="15BFA4F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钻探孔</w:t>
            </w:r>
          </w:p>
        </w:tc>
        <w:tc>
          <w:tcPr>
            <w:tcW w:w="709" w:type="dxa"/>
            <w:vAlign w:val="center"/>
          </w:tcPr>
          <w:p w14:paraId="7427C98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3.08</w:t>
            </w:r>
          </w:p>
        </w:tc>
        <w:tc>
          <w:tcPr>
            <w:tcW w:w="709" w:type="dxa"/>
            <w:vAlign w:val="center"/>
          </w:tcPr>
          <w:p w14:paraId="356A41C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12.00</w:t>
            </w:r>
          </w:p>
        </w:tc>
        <w:tc>
          <w:tcPr>
            <w:tcW w:w="681" w:type="dxa"/>
            <w:vAlign w:val="center"/>
          </w:tcPr>
          <w:p w14:paraId="486AB9D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2.40</w:t>
            </w:r>
          </w:p>
        </w:tc>
        <w:tc>
          <w:tcPr>
            <w:tcW w:w="787" w:type="dxa"/>
            <w:vAlign w:val="center"/>
          </w:tcPr>
          <w:p w14:paraId="4167AC8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0.68</w:t>
            </w:r>
          </w:p>
        </w:tc>
        <w:tc>
          <w:tcPr>
            <w:tcW w:w="698" w:type="dxa"/>
            <w:vAlign w:val="center"/>
          </w:tcPr>
          <w:p w14:paraId="41522E2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2.10</w:t>
            </w:r>
          </w:p>
        </w:tc>
        <w:tc>
          <w:tcPr>
            <w:tcW w:w="828" w:type="dxa"/>
            <w:vAlign w:val="center"/>
          </w:tcPr>
          <w:p w14:paraId="08C06A3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0.98</w:t>
            </w:r>
          </w:p>
        </w:tc>
        <w:tc>
          <w:tcPr>
            <w:tcW w:w="697" w:type="dxa"/>
            <w:vAlign w:val="center"/>
          </w:tcPr>
          <w:p w14:paraId="58B7FC6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w:t>
            </w:r>
          </w:p>
        </w:tc>
        <w:tc>
          <w:tcPr>
            <w:tcW w:w="1147" w:type="dxa"/>
            <w:vAlign w:val="center"/>
          </w:tcPr>
          <w:p w14:paraId="255BB4C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78999.470</w:t>
            </w:r>
          </w:p>
        </w:tc>
        <w:tc>
          <w:tcPr>
            <w:tcW w:w="1109" w:type="dxa"/>
            <w:vAlign w:val="center"/>
          </w:tcPr>
          <w:p w14:paraId="4A32B4D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14332.098</w:t>
            </w:r>
          </w:p>
        </w:tc>
      </w:tr>
    </w:tbl>
    <w:p w14:paraId="532F82BE" w14:textId="77777777" w:rsidR="002133E3" w:rsidRDefault="002133E3">
      <w:pPr>
        <w:adjustRightInd w:val="0"/>
        <w:snapToGrid w:val="0"/>
        <w:spacing w:line="360" w:lineRule="auto"/>
        <w:ind w:firstLineChars="200" w:firstLine="480"/>
        <w:rPr>
          <w:rFonts w:ascii="Times New Roman" w:eastAsia="宋体" w:hAnsi="Times New Roman" w:cs="Times New Roman"/>
          <w:sz w:val="24"/>
          <w:szCs w:val="24"/>
        </w:rPr>
        <w:sectPr w:rsidR="002133E3">
          <w:pgSz w:w="11906" w:h="16838"/>
          <w:pgMar w:top="1134" w:right="1134" w:bottom="1134" w:left="1134" w:header="850" w:footer="992" w:gutter="0"/>
          <w:cols w:space="720"/>
          <w:docGrid w:linePitch="312"/>
        </w:sectPr>
      </w:pPr>
    </w:p>
    <w:p w14:paraId="60B7854B" w14:textId="77777777" w:rsidR="002133E3" w:rsidRDefault="00C22CFA">
      <w:pPr>
        <w:adjustRightInd w:val="0"/>
        <w:snapToGrid w:val="0"/>
        <w:spacing w:line="360" w:lineRule="auto"/>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7151A835" wp14:editId="64AEF8B4">
            <wp:extent cx="3048000" cy="1847215"/>
            <wp:effectExtent l="0" t="0" r="0"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082658" cy="1868300"/>
                    </a:xfrm>
                    <a:prstGeom prst="rect">
                      <a:avLst/>
                    </a:prstGeom>
                    <a:noFill/>
                    <a:ln>
                      <a:noFill/>
                    </a:ln>
                  </pic:spPr>
                </pic:pic>
              </a:graphicData>
            </a:graphic>
          </wp:inline>
        </w:drawing>
      </w:r>
      <w:r>
        <w:rPr>
          <w:rFonts w:ascii="Times New Roman" w:eastAsia="宋体" w:hAnsi="Times New Roman" w:cs="Times New Roman"/>
          <w:noProof/>
          <w:sz w:val="24"/>
          <w:szCs w:val="24"/>
        </w:rPr>
        <w:drawing>
          <wp:inline distT="0" distB="0" distL="0" distR="0" wp14:anchorId="2788108C" wp14:editId="29EF87B4">
            <wp:extent cx="2933700" cy="21240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961016" cy="2143581"/>
                    </a:xfrm>
                    <a:prstGeom prst="rect">
                      <a:avLst/>
                    </a:prstGeom>
                    <a:noFill/>
                    <a:ln>
                      <a:noFill/>
                    </a:ln>
                  </pic:spPr>
                </pic:pic>
              </a:graphicData>
            </a:graphic>
          </wp:inline>
        </w:drawing>
      </w:r>
    </w:p>
    <w:p w14:paraId="7B817904" w14:textId="77777777" w:rsidR="002133E3" w:rsidRDefault="00C22CFA">
      <w:pPr>
        <w:adjustRightInd w:val="0"/>
        <w:snapToGrid w:val="0"/>
        <w:spacing w:line="360" w:lineRule="auto"/>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6535CABF" wp14:editId="5BAFF0BB">
            <wp:extent cx="2977515" cy="177165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991134" cy="1779700"/>
                    </a:xfrm>
                    <a:prstGeom prst="rect">
                      <a:avLst/>
                    </a:prstGeom>
                    <a:noFill/>
                    <a:ln>
                      <a:noFill/>
                    </a:ln>
                  </pic:spPr>
                </pic:pic>
              </a:graphicData>
            </a:graphic>
          </wp:inline>
        </w:drawing>
      </w:r>
    </w:p>
    <w:p w14:paraId="310C8870" w14:textId="77777777" w:rsidR="002133E3" w:rsidRDefault="00C22CFA">
      <w:pPr>
        <w:adjustRightInd w:val="0"/>
        <w:snapToGrid w:val="0"/>
        <w:spacing w:line="360" w:lineRule="auto"/>
        <w:ind w:firstLineChars="200" w:firstLine="422"/>
        <w:jc w:val="center"/>
        <w:rPr>
          <w:rFonts w:ascii="Times New Roman" w:eastAsia="宋体" w:hAnsi="Times New Roman" w:cs="Times New Roman"/>
          <w:b/>
          <w:szCs w:val="21"/>
        </w:rPr>
      </w:pPr>
      <w:r>
        <w:rPr>
          <w:rFonts w:ascii="Times New Roman" w:eastAsia="宋体" w:hAnsi="Times New Roman" w:cs="Times New Roman"/>
          <w:b/>
          <w:szCs w:val="21"/>
        </w:rPr>
        <w:t>图</w:t>
      </w:r>
      <w:r>
        <w:rPr>
          <w:rFonts w:ascii="Times New Roman" w:eastAsia="宋体" w:hAnsi="Times New Roman" w:cs="Times New Roman"/>
          <w:b/>
          <w:szCs w:val="21"/>
        </w:rPr>
        <w:t xml:space="preserve">5.1-2  </w:t>
      </w:r>
      <w:r>
        <w:rPr>
          <w:rFonts w:ascii="Times New Roman" w:eastAsia="宋体" w:hAnsi="Times New Roman" w:cs="Times New Roman"/>
          <w:b/>
          <w:szCs w:val="21"/>
        </w:rPr>
        <w:t>地层剖面</w:t>
      </w:r>
    </w:p>
    <w:p w14:paraId="48DAFF7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2</w:t>
      </w:r>
      <w:r>
        <w:rPr>
          <w:rFonts w:ascii="Times New Roman" w:eastAsia="宋体" w:hAnsi="Times New Roman" w:cs="Times New Roman"/>
          <w:spacing w:val="-9"/>
          <w:sz w:val="28"/>
          <w:szCs w:val="28"/>
        </w:rPr>
        <w:t>、地质构造</w:t>
      </w:r>
    </w:p>
    <w:p w14:paraId="148641DC"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根据本工程调查、勘探取得的成果及搜集的资料，评价区勘察深度范围内的地下水主要包含松散岩类孔隙水，其中，松散岩类孔隙水主要为孔隙潜水含水层组和孔隙承压水含水层组。</w:t>
      </w:r>
    </w:p>
    <w:p w14:paraId="7D99440C"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1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⑴</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包气带层</w:t>
      </w:r>
    </w:p>
    <w:p w14:paraId="7BD48A39"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包气带层是指地表与潜水面之间的地带，根据本次施工的勘探孔资料，评价区内包气带厚度</w:t>
      </w:r>
      <w:r>
        <w:rPr>
          <w:rFonts w:ascii="Times New Roman" w:eastAsia="宋体" w:hAnsi="Times New Roman" w:cs="Times New Roman"/>
          <w:spacing w:val="-9"/>
          <w:sz w:val="28"/>
          <w:szCs w:val="28"/>
        </w:rPr>
        <w:t>0.70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2.80m</w:t>
      </w:r>
      <w:r>
        <w:rPr>
          <w:rFonts w:ascii="Times New Roman" w:eastAsia="宋体" w:hAnsi="Times New Roman" w:cs="Times New Roman"/>
          <w:spacing w:val="-9"/>
          <w:sz w:val="28"/>
          <w:szCs w:val="28"/>
        </w:rPr>
        <w:t>，区内包气带岩性主要为素填土和粘土。根据渗水试验数据资料，包气带土层渗透系数</w:t>
      </w:r>
      <w:r>
        <w:rPr>
          <w:rFonts w:ascii="Times New Roman" w:eastAsia="宋体" w:hAnsi="Times New Roman" w:cs="Times New Roman"/>
          <w:spacing w:val="-9"/>
          <w:sz w:val="28"/>
          <w:szCs w:val="28"/>
        </w:rPr>
        <w:t>1.28E-04</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1.06E-03cm/s</w:t>
      </w:r>
      <w:r>
        <w:rPr>
          <w:rFonts w:ascii="Times New Roman" w:eastAsia="宋体" w:hAnsi="Times New Roman" w:cs="Times New Roman"/>
          <w:spacing w:val="-9"/>
          <w:sz w:val="28"/>
          <w:szCs w:val="28"/>
        </w:rPr>
        <w:t>，平均值</w:t>
      </w:r>
      <w:r>
        <w:rPr>
          <w:rFonts w:ascii="Times New Roman" w:eastAsia="宋体" w:hAnsi="Times New Roman" w:cs="Times New Roman"/>
          <w:spacing w:val="-9"/>
          <w:sz w:val="28"/>
          <w:szCs w:val="28"/>
        </w:rPr>
        <w:t>6.08E-04cm/s</w:t>
      </w:r>
      <w:r>
        <w:rPr>
          <w:rFonts w:ascii="Times New Roman" w:eastAsia="宋体" w:hAnsi="Times New Roman" w:cs="Times New Roman"/>
          <w:spacing w:val="-9"/>
          <w:sz w:val="28"/>
          <w:szCs w:val="28"/>
        </w:rPr>
        <w:t>。</w:t>
      </w:r>
    </w:p>
    <w:p w14:paraId="23C7B54E"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2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⑵</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潜水含水层组</w:t>
      </w:r>
    </w:p>
    <w:p w14:paraId="3F8329E8"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从评价区场地地层构成情况来看，潜水主要赋存于上部粘土和淤泥层中，厚</w:t>
      </w:r>
      <w:r>
        <w:rPr>
          <w:rFonts w:ascii="Times New Roman" w:eastAsia="宋体" w:hAnsi="Times New Roman" w:cs="Times New Roman"/>
          <w:spacing w:val="-9"/>
          <w:sz w:val="28"/>
          <w:szCs w:val="28"/>
        </w:rPr>
        <w:t>1.40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7.00m</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3.80m</w:t>
      </w:r>
      <w:r>
        <w:rPr>
          <w:rFonts w:ascii="Times New Roman" w:eastAsia="宋体" w:hAnsi="Times New Roman" w:cs="Times New Roman"/>
          <w:spacing w:val="-9"/>
          <w:sz w:val="28"/>
          <w:szCs w:val="28"/>
        </w:rPr>
        <w:t>，单井涌水量小于</w:t>
      </w:r>
      <w:r>
        <w:rPr>
          <w:rFonts w:ascii="Times New Roman" w:eastAsia="宋体" w:hAnsi="Times New Roman" w:cs="Times New Roman"/>
          <w:spacing w:val="-9"/>
          <w:sz w:val="28"/>
          <w:szCs w:val="28"/>
        </w:rPr>
        <w:t>10m3/d</w:t>
      </w:r>
      <w:r>
        <w:rPr>
          <w:rFonts w:ascii="Times New Roman" w:eastAsia="宋体" w:hAnsi="Times New Roman" w:cs="Times New Roman"/>
          <w:spacing w:val="-9"/>
          <w:sz w:val="28"/>
          <w:szCs w:val="28"/>
        </w:rPr>
        <w:t>，水位随微地貌形态而异，标高</w:t>
      </w:r>
      <w:r>
        <w:rPr>
          <w:rFonts w:ascii="Times New Roman" w:eastAsia="宋体" w:hAnsi="Times New Roman" w:cs="Times New Roman"/>
          <w:spacing w:val="-9"/>
          <w:sz w:val="28"/>
          <w:szCs w:val="28"/>
        </w:rPr>
        <w:t>0.52</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2.32m</w:t>
      </w:r>
      <w:r>
        <w:rPr>
          <w:rFonts w:ascii="Times New Roman" w:eastAsia="宋体" w:hAnsi="Times New Roman" w:cs="Times New Roman"/>
          <w:spacing w:val="-9"/>
          <w:sz w:val="28"/>
          <w:szCs w:val="28"/>
        </w:rPr>
        <w:t>，随季节变化，雨季水位上升旱季水位下降，年变化幅度</w:t>
      </w:r>
      <w:r>
        <w:rPr>
          <w:rFonts w:ascii="Times New Roman" w:eastAsia="宋体" w:hAnsi="Times New Roman" w:cs="Times New Roman"/>
          <w:spacing w:val="-9"/>
          <w:sz w:val="28"/>
          <w:szCs w:val="28"/>
        </w:rPr>
        <w:t>1.00m</w:t>
      </w:r>
      <w:r>
        <w:rPr>
          <w:rFonts w:ascii="Times New Roman" w:eastAsia="宋体" w:hAnsi="Times New Roman" w:cs="Times New Roman"/>
          <w:spacing w:val="-9"/>
          <w:sz w:val="28"/>
          <w:szCs w:val="28"/>
        </w:rPr>
        <w:t>左右。</w:t>
      </w:r>
    </w:p>
    <w:p w14:paraId="25EB8871"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根据水质分析实验结果，评价区内潜水层主要为微咸水、咸水、盐水；化学类型为</w:t>
      </w:r>
      <w:r>
        <w:rPr>
          <w:rFonts w:ascii="Times New Roman" w:eastAsia="宋体" w:hAnsi="Times New Roman" w:cs="Times New Roman"/>
          <w:spacing w:val="-9"/>
          <w:sz w:val="28"/>
          <w:szCs w:val="28"/>
        </w:rPr>
        <w:t>HCO</w:t>
      </w:r>
      <w:r>
        <w:rPr>
          <w:rFonts w:ascii="Times New Roman" w:eastAsia="宋体" w:hAnsi="Times New Roman" w:cs="Times New Roman"/>
          <w:spacing w:val="-9"/>
          <w:sz w:val="28"/>
          <w:szCs w:val="28"/>
          <w:vertAlign w:val="subscript"/>
        </w:rPr>
        <w:t>3</w:t>
      </w:r>
      <w:r>
        <w:rPr>
          <w:rFonts w:ascii="Times New Roman" w:eastAsia="宋体" w:hAnsi="Times New Roman" w:cs="Times New Roman"/>
          <w:spacing w:val="-9"/>
          <w:sz w:val="28"/>
          <w:szCs w:val="28"/>
        </w:rPr>
        <w:t>·Cl-Na·Mg·Ca</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Cl·SO</w:t>
      </w:r>
      <w:r>
        <w:rPr>
          <w:rFonts w:ascii="Times New Roman" w:eastAsia="宋体" w:hAnsi="Times New Roman" w:cs="Times New Roman"/>
          <w:spacing w:val="-9"/>
          <w:sz w:val="28"/>
          <w:szCs w:val="28"/>
          <w:vertAlign w:val="subscript"/>
        </w:rPr>
        <w:t>4</w:t>
      </w:r>
      <w:r>
        <w:rPr>
          <w:rFonts w:ascii="Times New Roman" w:eastAsia="宋体" w:hAnsi="Times New Roman" w:cs="Times New Roman"/>
          <w:spacing w:val="-9"/>
          <w:sz w:val="28"/>
          <w:szCs w:val="28"/>
        </w:rPr>
        <w:t>-Na·Mg·Ca</w:t>
      </w:r>
      <w:r>
        <w:rPr>
          <w:rFonts w:ascii="Times New Roman" w:eastAsia="宋体" w:hAnsi="Times New Roman" w:cs="Times New Roman"/>
          <w:spacing w:val="-9"/>
          <w:sz w:val="28"/>
          <w:szCs w:val="28"/>
        </w:rPr>
        <w:t>、</w:t>
      </w:r>
      <w:proofErr w:type="spellStart"/>
      <w:r>
        <w:rPr>
          <w:rFonts w:ascii="Times New Roman" w:eastAsia="宋体" w:hAnsi="Times New Roman" w:cs="Times New Roman"/>
          <w:spacing w:val="-9"/>
          <w:sz w:val="28"/>
          <w:szCs w:val="28"/>
        </w:rPr>
        <w:t>Cl-Na·Mg</w:t>
      </w:r>
      <w:proofErr w:type="spellEnd"/>
      <w:r>
        <w:rPr>
          <w:rFonts w:ascii="Times New Roman" w:eastAsia="宋体" w:hAnsi="Times New Roman" w:cs="Times New Roman"/>
          <w:spacing w:val="-9"/>
          <w:sz w:val="28"/>
          <w:szCs w:val="28"/>
        </w:rPr>
        <w:t>型水，矿化度</w:t>
      </w:r>
      <w:r>
        <w:rPr>
          <w:rFonts w:ascii="Times New Roman" w:eastAsia="宋体" w:hAnsi="Times New Roman" w:cs="Times New Roman"/>
          <w:spacing w:val="-9"/>
          <w:sz w:val="28"/>
          <w:szCs w:val="28"/>
        </w:rPr>
        <w:t>1.24</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1.68g/L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lastRenderedPageBreak/>
        <w:t>3.37</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17.79</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20.05g/L</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1.46g/L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3.37g/L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18.92g/L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 xml:space="preserve">PH </w:t>
      </w:r>
      <w:r>
        <w:rPr>
          <w:rFonts w:ascii="Times New Roman" w:eastAsia="宋体" w:hAnsi="Times New Roman" w:cs="Times New Roman"/>
          <w:spacing w:val="-9"/>
          <w:sz w:val="28"/>
          <w:szCs w:val="28"/>
        </w:rPr>
        <w:t>值</w:t>
      </w:r>
      <w:r>
        <w:rPr>
          <w:rFonts w:ascii="Times New Roman" w:eastAsia="宋体" w:hAnsi="Times New Roman" w:cs="Times New Roman"/>
          <w:spacing w:val="-9"/>
          <w:sz w:val="28"/>
          <w:szCs w:val="28"/>
        </w:rPr>
        <w:t>7.19</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7.53</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7.15</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7.06</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7.27</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7.36</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7.15</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7.17</w:t>
      </w:r>
      <w:r>
        <w:rPr>
          <w:rFonts w:ascii="Times New Roman" w:eastAsia="宋体" w:hAnsi="Times New Roman" w:cs="Times New Roman"/>
          <w:spacing w:val="-9"/>
          <w:sz w:val="28"/>
          <w:szCs w:val="28"/>
        </w:rPr>
        <w:t>，弱碱性；总硬度</w:t>
      </w:r>
      <w:r>
        <w:rPr>
          <w:rFonts w:ascii="Times New Roman" w:eastAsia="宋体" w:hAnsi="Times New Roman" w:cs="Times New Roman"/>
          <w:spacing w:val="-9"/>
          <w:sz w:val="28"/>
          <w:szCs w:val="28"/>
        </w:rPr>
        <w:t>0.31</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0.63g/L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2.70g/L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2.18</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3.54g/L</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0.47g/L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2.70g/L</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2.86g/L</w:t>
      </w:r>
      <w:r>
        <w:rPr>
          <w:rFonts w:ascii="Times New Roman" w:eastAsia="宋体" w:hAnsi="Times New Roman" w:cs="Times New Roman"/>
          <w:spacing w:val="-9"/>
          <w:sz w:val="28"/>
          <w:szCs w:val="28"/>
        </w:rPr>
        <w:t>；整体水质较差。</w:t>
      </w:r>
    </w:p>
    <w:p w14:paraId="57DE24C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根据潜水层微水试验</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抽水</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、弥散试验等试验数据资料，潜水层渗透系数</w:t>
      </w:r>
      <w:r>
        <w:rPr>
          <w:rFonts w:ascii="Times New Roman" w:eastAsia="宋体" w:hAnsi="Times New Roman" w:cs="Times New Roman"/>
          <w:spacing w:val="-9"/>
          <w:sz w:val="28"/>
          <w:szCs w:val="28"/>
        </w:rPr>
        <w:t>6.13E-05</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9.84E-05cm/s</w:t>
      </w:r>
      <w:r>
        <w:rPr>
          <w:rFonts w:ascii="Times New Roman" w:eastAsia="宋体" w:hAnsi="Times New Roman" w:cs="Times New Roman"/>
          <w:spacing w:val="-9"/>
          <w:sz w:val="28"/>
          <w:szCs w:val="28"/>
        </w:rPr>
        <w:t>，平均值</w:t>
      </w:r>
      <w:r>
        <w:rPr>
          <w:rFonts w:ascii="Times New Roman" w:eastAsia="宋体" w:hAnsi="Times New Roman" w:cs="Times New Roman"/>
          <w:spacing w:val="-9"/>
          <w:sz w:val="28"/>
          <w:szCs w:val="28"/>
        </w:rPr>
        <w:t>7.99E-05cm/s</w:t>
      </w:r>
      <w:r>
        <w:rPr>
          <w:rFonts w:ascii="Times New Roman" w:eastAsia="宋体" w:hAnsi="Times New Roman" w:cs="Times New Roman"/>
          <w:spacing w:val="-9"/>
          <w:sz w:val="28"/>
          <w:szCs w:val="28"/>
        </w:rPr>
        <w:t>；导水系数</w:t>
      </w:r>
      <w:r>
        <w:rPr>
          <w:rFonts w:ascii="Times New Roman" w:eastAsia="宋体" w:hAnsi="Times New Roman" w:cs="Times New Roman"/>
          <w:spacing w:val="-9"/>
          <w:sz w:val="28"/>
          <w:szCs w:val="28"/>
        </w:rPr>
        <w:t>T</w:t>
      </w:r>
      <w:r>
        <w:rPr>
          <w:rFonts w:ascii="Times New Roman" w:eastAsia="宋体" w:hAnsi="Times New Roman" w:cs="Times New Roman"/>
          <w:spacing w:val="-9"/>
          <w:sz w:val="28"/>
          <w:szCs w:val="28"/>
        </w:rPr>
        <w:t>为</w:t>
      </w:r>
      <w:r>
        <w:rPr>
          <w:rFonts w:ascii="Times New Roman" w:eastAsia="宋体" w:hAnsi="Times New Roman" w:cs="Times New Roman"/>
          <w:spacing w:val="-9"/>
          <w:sz w:val="28"/>
          <w:szCs w:val="28"/>
        </w:rPr>
        <w:t>0.0188</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0.0587cm</w:t>
      </w:r>
      <w:r>
        <w:rPr>
          <w:rFonts w:ascii="Times New Roman" w:eastAsia="宋体" w:hAnsi="Times New Roman" w:cs="Times New Roman"/>
          <w:spacing w:val="-9"/>
          <w:sz w:val="28"/>
          <w:szCs w:val="28"/>
          <w:vertAlign w:val="superscript"/>
        </w:rPr>
        <w:t>2</w:t>
      </w:r>
      <w:r>
        <w:rPr>
          <w:rFonts w:ascii="Times New Roman" w:eastAsia="宋体" w:hAnsi="Times New Roman" w:cs="Times New Roman"/>
          <w:spacing w:val="-9"/>
          <w:sz w:val="28"/>
          <w:szCs w:val="28"/>
        </w:rPr>
        <w:t>/s</w:t>
      </w:r>
      <w:r>
        <w:rPr>
          <w:rFonts w:ascii="Times New Roman" w:eastAsia="宋体" w:hAnsi="Times New Roman" w:cs="Times New Roman"/>
          <w:spacing w:val="-9"/>
          <w:sz w:val="28"/>
          <w:szCs w:val="28"/>
        </w:rPr>
        <w:t>，平均值</w:t>
      </w:r>
      <w:r>
        <w:rPr>
          <w:rFonts w:ascii="Times New Roman" w:eastAsia="宋体" w:hAnsi="Times New Roman" w:cs="Times New Roman"/>
          <w:spacing w:val="-9"/>
          <w:sz w:val="28"/>
          <w:szCs w:val="28"/>
        </w:rPr>
        <w:t>0.0388cm</w:t>
      </w:r>
      <w:r>
        <w:rPr>
          <w:rFonts w:ascii="Times New Roman" w:eastAsia="宋体" w:hAnsi="Times New Roman" w:cs="Times New Roman"/>
          <w:spacing w:val="-9"/>
          <w:sz w:val="28"/>
          <w:szCs w:val="28"/>
          <w:vertAlign w:val="superscript"/>
        </w:rPr>
        <w:t>2</w:t>
      </w:r>
      <w:r>
        <w:rPr>
          <w:rFonts w:ascii="Times New Roman" w:eastAsia="宋体" w:hAnsi="Times New Roman" w:cs="Times New Roman"/>
          <w:spacing w:val="-9"/>
          <w:sz w:val="28"/>
          <w:szCs w:val="28"/>
        </w:rPr>
        <w:t>/s</w:t>
      </w:r>
      <w:r>
        <w:rPr>
          <w:rFonts w:ascii="Times New Roman" w:eastAsia="宋体" w:hAnsi="Times New Roman" w:cs="Times New Roman"/>
          <w:spacing w:val="-9"/>
          <w:sz w:val="28"/>
          <w:szCs w:val="28"/>
        </w:rPr>
        <w:t>；给水度</w:t>
      </w:r>
      <w:r>
        <w:rPr>
          <w:rFonts w:ascii="Times New Roman" w:eastAsia="宋体" w:hAnsi="Times New Roman" w:cs="Times New Roman"/>
          <w:spacing w:val="-9"/>
          <w:sz w:val="28"/>
          <w:szCs w:val="28"/>
        </w:rPr>
        <w:t>μ</w:t>
      </w:r>
      <w:r>
        <w:rPr>
          <w:rFonts w:ascii="Times New Roman" w:eastAsia="宋体" w:hAnsi="Times New Roman" w:cs="Times New Roman"/>
          <w:spacing w:val="-9"/>
          <w:sz w:val="28"/>
          <w:szCs w:val="28"/>
        </w:rPr>
        <w:t>为</w:t>
      </w:r>
      <w:r>
        <w:rPr>
          <w:rFonts w:ascii="Times New Roman" w:eastAsia="宋体" w:hAnsi="Times New Roman" w:cs="Times New Roman"/>
          <w:spacing w:val="-9"/>
          <w:sz w:val="28"/>
          <w:szCs w:val="28"/>
        </w:rPr>
        <w:t>0.035</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0.069</w:t>
      </w:r>
      <w:r>
        <w:rPr>
          <w:rFonts w:ascii="Times New Roman" w:eastAsia="宋体" w:hAnsi="Times New Roman" w:cs="Times New Roman"/>
          <w:spacing w:val="-9"/>
          <w:sz w:val="28"/>
          <w:szCs w:val="28"/>
        </w:rPr>
        <w:t>，平均值</w:t>
      </w:r>
      <w:r>
        <w:rPr>
          <w:rFonts w:ascii="Times New Roman" w:eastAsia="宋体" w:hAnsi="Times New Roman" w:cs="Times New Roman"/>
          <w:spacing w:val="-9"/>
          <w:sz w:val="28"/>
          <w:szCs w:val="28"/>
        </w:rPr>
        <w:t>0.052</w:t>
      </w:r>
      <w:r>
        <w:rPr>
          <w:rFonts w:ascii="Times New Roman" w:eastAsia="宋体" w:hAnsi="Times New Roman" w:cs="Times New Roman"/>
          <w:spacing w:val="-9"/>
          <w:sz w:val="28"/>
          <w:szCs w:val="28"/>
        </w:rPr>
        <w:t>。潜水层总体流向近西</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东，水力坡度</w:t>
      </w:r>
      <w:r>
        <w:rPr>
          <w:rFonts w:ascii="Times New Roman" w:eastAsia="宋体" w:hAnsi="Times New Roman" w:cs="Times New Roman"/>
          <w:spacing w:val="-9"/>
          <w:sz w:val="28"/>
          <w:szCs w:val="28"/>
        </w:rPr>
        <w:t>(I)1‰</w:t>
      </w:r>
      <w:r>
        <w:rPr>
          <w:rFonts w:ascii="Times New Roman" w:eastAsia="宋体" w:hAnsi="Times New Roman" w:cs="Times New Roman"/>
          <w:spacing w:val="-9"/>
          <w:sz w:val="28"/>
          <w:szCs w:val="28"/>
        </w:rPr>
        <w:t>，水流速度</w:t>
      </w:r>
      <w:r>
        <w:rPr>
          <w:rFonts w:ascii="Times New Roman" w:eastAsia="宋体" w:hAnsi="Times New Roman" w:cs="Times New Roman"/>
          <w:spacing w:val="-9"/>
          <w:sz w:val="28"/>
          <w:szCs w:val="28"/>
        </w:rPr>
        <w:t>(u)0.01375m/d</w:t>
      </w:r>
      <w:r>
        <w:rPr>
          <w:rFonts w:ascii="Times New Roman" w:eastAsia="宋体" w:hAnsi="Times New Roman" w:cs="Times New Roman"/>
          <w:spacing w:val="-9"/>
          <w:sz w:val="28"/>
          <w:szCs w:val="28"/>
        </w:rPr>
        <w:t>，有效孔隙度</w:t>
      </w:r>
      <w:r>
        <w:rPr>
          <w:rFonts w:ascii="Times New Roman" w:eastAsia="宋体" w:hAnsi="Times New Roman" w:cs="Times New Roman"/>
          <w:spacing w:val="-9"/>
          <w:sz w:val="28"/>
          <w:szCs w:val="28"/>
        </w:rPr>
        <w:t>(ne)0.505</w:t>
      </w:r>
      <w:r>
        <w:rPr>
          <w:rFonts w:ascii="Times New Roman" w:eastAsia="宋体" w:hAnsi="Times New Roman" w:cs="Times New Roman"/>
          <w:spacing w:val="-9"/>
          <w:sz w:val="28"/>
          <w:szCs w:val="28"/>
        </w:rPr>
        <w:t>，纵向弥散系数</w:t>
      </w:r>
      <w:r>
        <w:rPr>
          <w:rFonts w:ascii="Times New Roman" w:eastAsia="宋体" w:hAnsi="Times New Roman" w:cs="Times New Roman"/>
          <w:spacing w:val="-9"/>
          <w:sz w:val="28"/>
          <w:szCs w:val="28"/>
        </w:rPr>
        <w:t>(DL)0.00294m</w:t>
      </w:r>
      <w:r>
        <w:rPr>
          <w:rFonts w:ascii="Times New Roman" w:eastAsia="宋体" w:hAnsi="Times New Roman" w:cs="Times New Roman"/>
          <w:spacing w:val="-9"/>
          <w:sz w:val="28"/>
          <w:szCs w:val="28"/>
          <w:vertAlign w:val="superscript"/>
        </w:rPr>
        <w:t>2</w:t>
      </w:r>
      <w:r>
        <w:rPr>
          <w:rFonts w:ascii="Times New Roman" w:eastAsia="宋体" w:hAnsi="Times New Roman" w:cs="Times New Roman"/>
          <w:spacing w:val="-9"/>
          <w:sz w:val="28"/>
          <w:szCs w:val="28"/>
        </w:rPr>
        <w:t>/d</w:t>
      </w:r>
      <w:r>
        <w:rPr>
          <w:rFonts w:ascii="Times New Roman" w:eastAsia="宋体" w:hAnsi="Times New Roman" w:cs="Times New Roman"/>
          <w:spacing w:val="-9"/>
          <w:sz w:val="28"/>
          <w:szCs w:val="28"/>
        </w:rPr>
        <w:t>，横向</w:t>
      </w:r>
      <w:r>
        <w:rPr>
          <w:rFonts w:ascii="Times New Roman" w:eastAsia="宋体" w:hAnsi="Times New Roman" w:cs="Times New Roman"/>
          <w:spacing w:val="-9"/>
          <w:sz w:val="28"/>
          <w:szCs w:val="28"/>
        </w:rPr>
        <w:t>y</w:t>
      </w:r>
      <w:r>
        <w:rPr>
          <w:rFonts w:ascii="Times New Roman" w:eastAsia="宋体" w:hAnsi="Times New Roman" w:cs="Times New Roman"/>
          <w:spacing w:val="-9"/>
          <w:sz w:val="28"/>
          <w:szCs w:val="28"/>
        </w:rPr>
        <w:t>方向弥散系数</w:t>
      </w:r>
      <w:r>
        <w:rPr>
          <w:rFonts w:ascii="Times New Roman" w:eastAsia="宋体" w:hAnsi="Times New Roman" w:cs="Times New Roman"/>
          <w:spacing w:val="-9"/>
          <w:sz w:val="28"/>
          <w:szCs w:val="28"/>
        </w:rPr>
        <w:t>(DT)0.00067m</w:t>
      </w:r>
      <w:r>
        <w:rPr>
          <w:rFonts w:ascii="Times New Roman" w:eastAsia="宋体" w:hAnsi="Times New Roman" w:cs="Times New Roman"/>
          <w:spacing w:val="-9"/>
          <w:sz w:val="28"/>
          <w:szCs w:val="28"/>
          <w:vertAlign w:val="superscript"/>
        </w:rPr>
        <w:t>2</w:t>
      </w:r>
      <w:r>
        <w:rPr>
          <w:rFonts w:ascii="Times New Roman" w:eastAsia="宋体" w:hAnsi="Times New Roman" w:cs="Times New Roman"/>
          <w:spacing w:val="-9"/>
          <w:sz w:val="28"/>
          <w:szCs w:val="28"/>
        </w:rPr>
        <w:t>/d</w:t>
      </w:r>
      <w:r>
        <w:rPr>
          <w:rFonts w:ascii="Times New Roman" w:eastAsia="宋体" w:hAnsi="Times New Roman" w:cs="Times New Roman"/>
          <w:spacing w:val="-9"/>
          <w:sz w:val="28"/>
          <w:szCs w:val="28"/>
        </w:rPr>
        <w:t>。</w:t>
      </w:r>
    </w:p>
    <w:p w14:paraId="0034C174"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评价区水温见图</w:t>
      </w:r>
      <w:r>
        <w:rPr>
          <w:rFonts w:ascii="Times New Roman" w:eastAsia="宋体" w:hAnsi="Times New Roman" w:cs="Times New Roman"/>
          <w:spacing w:val="-9"/>
          <w:sz w:val="28"/>
          <w:szCs w:val="28"/>
        </w:rPr>
        <w:t>5.1-3</w:t>
      </w:r>
      <w:r>
        <w:rPr>
          <w:rFonts w:ascii="Times New Roman" w:eastAsia="宋体" w:hAnsi="Times New Roman" w:cs="Times New Roman"/>
          <w:spacing w:val="-9"/>
          <w:sz w:val="28"/>
          <w:szCs w:val="28"/>
        </w:rPr>
        <w:t>，地下水温度变化曲线基本一致，随着钻孔深度增加温度随之增大，且增大的趋势逐渐变小。</w:t>
      </w:r>
    </w:p>
    <w:p w14:paraId="02EE419B" w14:textId="77777777" w:rsidR="002133E3" w:rsidRDefault="00C22CFA">
      <w:pPr>
        <w:adjustRightInd w:val="0"/>
        <w:snapToGrid w:val="0"/>
        <w:spacing w:line="360" w:lineRule="auto"/>
        <w:ind w:firstLineChars="200" w:firstLine="482"/>
        <w:jc w:val="center"/>
        <w:rPr>
          <w:rFonts w:ascii="Times New Roman" w:eastAsia="宋体" w:hAnsi="Times New Roman" w:cs="Times New Roman"/>
          <w:b/>
          <w:kern w:val="0"/>
          <w:sz w:val="24"/>
          <w:szCs w:val="24"/>
        </w:rPr>
      </w:pPr>
      <w:r>
        <w:rPr>
          <w:rFonts w:ascii="Times New Roman" w:eastAsia="宋体" w:hAnsi="Times New Roman" w:cs="Times New Roman"/>
          <w:b/>
          <w:noProof/>
          <w:kern w:val="0"/>
          <w:sz w:val="24"/>
          <w:szCs w:val="24"/>
        </w:rPr>
        <w:drawing>
          <wp:inline distT="0" distB="0" distL="0" distR="0" wp14:anchorId="07B30CA1" wp14:editId="7AF83608">
            <wp:extent cx="4886325" cy="3571875"/>
            <wp:effectExtent l="0" t="0" r="9525" b="9525"/>
            <wp:docPr id="47" name="图片 47"/>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4886325" cy="3571875"/>
                    </a:xfrm>
                    <a:prstGeom prst="rect">
                      <a:avLst/>
                    </a:prstGeom>
                    <a:noFill/>
                    <a:ln>
                      <a:noFill/>
                    </a:ln>
                  </pic:spPr>
                </pic:pic>
              </a:graphicData>
            </a:graphic>
          </wp:inline>
        </w:drawing>
      </w:r>
    </w:p>
    <w:p w14:paraId="09578F36" w14:textId="77777777" w:rsidR="002133E3" w:rsidRDefault="00C22CFA">
      <w:pPr>
        <w:adjustRightInd w:val="0"/>
        <w:snapToGrid w:val="0"/>
        <w:spacing w:line="360" w:lineRule="auto"/>
        <w:ind w:firstLineChars="200" w:firstLine="422"/>
        <w:jc w:val="center"/>
        <w:rPr>
          <w:rFonts w:ascii="Times New Roman" w:eastAsia="宋体" w:hAnsi="Times New Roman" w:cs="Times New Roman"/>
          <w:b/>
          <w:szCs w:val="21"/>
        </w:rPr>
      </w:pPr>
      <w:r>
        <w:rPr>
          <w:rFonts w:ascii="Times New Roman" w:eastAsia="宋体" w:hAnsi="Times New Roman" w:cs="Times New Roman"/>
          <w:b/>
          <w:szCs w:val="21"/>
        </w:rPr>
        <w:t>图</w:t>
      </w:r>
      <w:r>
        <w:rPr>
          <w:rFonts w:ascii="Times New Roman" w:eastAsia="宋体" w:hAnsi="Times New Roman" w:cs="Times New Roman"/>
          <w:b/>
          <w:szCs w:val="21"/>
        </w:rPr>
        <w:t xml:space="preserve">5.1-3 </w:t>
      </w:r>
      <w:r>
        <w:rPr>
          <w:rFonts w:ascii="Times New Roman" w:eastAsia="宋体" w:hAnsi="Times New Roman" w:cs="Times New Roman"/>
          <w:b/>
          <w:szCs w:val="21"/>
        </w:rPr>
        <w:t>评价区地下水温曲线图</w:t>
      </w:r>
    </w:p>
    <w:p w14:paraId="7F1DB96F"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3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⑶</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承压水含水层组</w:t>
      </w:r>
    </w:p>
    <w:p w14:paraId="325FC56F"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根据评价区场地地层情况及区域地质资料，承压水</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第</w:t>
      </w:r>
      <w:r>
        <w:rPr>
          <w:rFonts w:ascii="宋体" w:eastAsia="宋体" w:hAnsi="宋体" w:cs="宋体" w:hint="eastAsia"/>
          <w:spacing w:val="-9"/>
          <w:sz w:val="28"/>
          <w:szCs w:val="28"/>
        </w:rPr>
        <w:t>Ⅰ</w:t>
      </w:r>
      <w:r>
        <w:rPr>
          <w:rFonts w:ascii="Times New Roman" w:eastAsia="宋体" w:hAnsi="Times New Roman" w:cs="Times New Roman"/>
          <w:spacing w:val="-9"/>
          <w:sz w:val="28"/>
          <w:szCs w:val="28"/>
        </w:rPr>
        <w:t>承压水</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主要赋存于</w:t>
      </w:r>
      <w:r>
        <w:rPr>
          <w:rFonts w:ascii="Times New Roman" w:eastAsia="宋体" w:hAnsi="Times New Roman" w:cs="Times New Roman"/>
          <w:spacing w:val="-9"/>
          <w:sz w:val="28"/>
          <w:szCs w:val="28"/>
        </w:rPr>
        <w:t>5</w:t>
      </w:r>
      <w:r>
        <w:rPr>
          <w:rFonts w:ascii="Times New Roman" w:eastAsia="宋体" w:hAnsi="Times New Roman" w:cs="Times New Roman"/>
          <w:spacing w:val="-9"/>
          <w:sz w:val="28"/>
          <w:szCs w:val="28"/>
        </w:rPr>
        <w:t>层中砂中，层顶埋深</w:t>
      </w:r>
      <w:r>
        <w:rPr>
          <w:rFonts w:ascii="Times New Roman" w:eastAsia="宋体" w:hAnsi="Times New Roman" w:cs="Times New Roman"/>
          <w:spacing w:val="-9"/>
          <w:sz w:val="28"/>
          <w:szCs w:val="28"/>
        </w:rPr>
        <w:t>16.2m</w:t>
      </w:r>
      <w:r>
        <w:rPr>
          <w:rFonts w:ascii="Times New Roman" w:eastAsia="宋体" w:hAnsi="Times New Roman" w:cs="Times New Roman"/>
          <w:spacing w:val="-9"/>
          <w:sz w:val="28"/>
          <w:szCs w:val="28"/>
        </w:rPr>
        <w:t>，层底埋深</w:t>
      </w:r>
      <w:r>
        <w:rPr>
          <w:rFonts w:ascii="Times New Roman" w:eastAsia="宋体" w:hAnsi="Times New Roman" w:cs="Times New Roman"/>
          <w:spacing w:val="-9"/>
          <w:sz w:val="28"/>
          <w:szCs w:val="28"/>
        </w:rPr>
        <w:t>18.5m</w:t>
      </w:r>
      <w:r>
        <w:rPr>
          <w:rFonts w:ascii="Times New Roman" w:eastAsia="宋体" w:hAnsi="Times New Roman" w:cs="Times New Roman"/>
          <w:spacing w:val="-9"/>
          <w:sz w:val="28"/>
          <w:szCs w:val="28"/>
        </w:rPr>
        <w:t>，厚</w:t>
      </w:r>
      <w:r>
        <w:rPr>
          <w:rFonts w:ascii="Times New Roman" w:eastAsia="宋体" w:hAnsi="Times New Roman" w:cs="Times New Roman"/>
          <w:spacing w:val="-9"/>
          <w:sz w:val="28"/>
          <w:szCs w:val="28"/>
        </w:rPr>
        <w:t>2.3m</w:t>
      </w:r>
      <w:r>
        <w:rPr>
          <w:rFonts w:ascii="Times New Roman" w:eastAsia="宋体" w:hAnsi="Times New Roman" w:cs="Times New Roman"/>
          <w:spacing w:val="-9"/>
          <w:sz w:val="28"/>
          <w:szCs w:val="28"/>
        </w:rPr>
        <w:t>，水位年变化幅度约</w:t>
      </w:r>
      <w:r>
        <w:rPr>
          <w:rFonts w:ascii="Times New Roman" w:eastAsia="宋体" w:hAnsi="Times New Roman" w:cs="Times New Roman"/>
          <w:spacing w:val="-9"/>
          <w:sz w:val="28"/>
          <w:szCs w:val="28"/>
        </w:rPr>
        <w:t>0.30m</w:t>
      </w:r>
      <w:r>
        <w:rPr>
          <w:rFonts w:ascii="Times New Roman" w:eastAsia="宋体" w:hAnsi="Times New Roman" w:cs="Times New Roman"/>
          <w:spacing w:val="-9"/>
          <w:sz w:val="28"/>
          <w:szCs w:val="28"/>
        </w:rPr>
        <w:t>，水位受气候影响微弱；富水性中等，单井涌水量</w:t>
      </w:r>
      <w:r>
        <w:rPr>
          <w:rFonts w:ascii="Times New Roman" w:eastAsia="宋体" w:hAnsi="Times New Roman" w:cs="Times New Roman"/>
          <w:spacing w:val="-9"/>
          <w:sz w:val="28"/>
          <w:szCs w:val="28"/>
        </w:rPr>
        <w:t>300m3/d</w:t>
      </w:r>
      <w:r>
        <w:rPr>
          <w:rFonts w:ascii="Times New Roman" w:eastAsia="宋体" w:hAnsi="Times New Roman" w:cs="Times New Roman"/>
          <w:spacing w:val="-9"/>
          <w:sz w:val="28"/>
          <w:szCs w:val="28"/>
        </w:rPr>
        <w:t>左右，主要接受上部潜水越流补给。</w:t>
      </w:r>
      <w:r>
        <w:rPr>
          <w:rFonts w:ascii="Times New Roman" w:eastAsia="宋体" w:hAnsi="Times New Roman" w:cs="Times New Roman"/>
          <w:spacing w:val="-9"/>
          <w:sz w:val="28"/>
          <w:szCs w:val="28"/>
        </w:rPr>
        <w:t xml:space="preserve"> </w:t>
      </w:r>
    </w:p>
    <w:p w14:paraId="1F25F6FD"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lastRenderedPageBreak/>
        <w:t>承压水化学类型多为</w:t>
      </w:r>
      <w:r>
        <w:rPr>
          <w:rFonts w:ascii="Times New Roman" w:eastAsia="宋体" w:hAnsi="Times New Roman" w:cs="Times New Roman"/>
          <w:spacing w:val="-9"/>
          <w:sz w:val="28"/>
          <w:szCs w:val="28"/>
        </w:rPr>
        <w:t>Cl·SO</w:t>
      </w:r>
      <w:r>
        <w:rPr>
          <w:rFonts w:ascii="Times New Roman" w:eastAsia="宋体" w:hAnsi="Times New Roman" w:cs="Times New Roman"/>
          <w:spacing w:val="-9"/>
          <w:sz w:val="28"/>
          <w:szCs w:val="28"/>
          <w:vertAlign w:val="subscript"/>
        </w:rPr>
        <w:t>4</w:t>
      </w:r>
      <w:r>
        <w:rPr>
          <w:rFonts w:ascii="Times New Roman" w:eastAsia="宋体" w:hAnsi="Times New Roman" w:cs="Times New Roman"/>
          <w:spacing w:val="-9"/>
          <w:sz w:val="28"/>
          <w:szCs w:val="28"/>
        </w:rPr>
        <w:t>-Na·Mg·Ca</w:t>
      </w:r>
      <w:r>
        <w:rPr>
          <w:rFonts w:ascii="Times New Roman" w:eastAsia="宋体" w:hAnsi="Times New Roman" w:cs="Times New Roman"/>
          <w:spacing w:val="-9"/>
          <w:sz w:val="28"/>
          <w:szCs w:val="28"/>
        </w:rPr>
        <w:t>型水，矿化度</w:t>
      </w:r>
      <w:r>
        <w:rPr>
          <w:rFonts w:ascii="Times New Roman" w:eastAsia="宋体" w:hAnsi="Times New Roman" w:cs="Times New Roman"/>
          <w:spacing w:val="-9"/>
          <w:sz w:val="28"/>
          <w:szCs w:val="28"/>
        </w:rPr>
        <w:t>1.0g/l</w:t>
      </w:r>
      <w:r>
        <w:rPr>
          <w:rFonts w:ascii="Times New Roman" w:eastAsia="宋体" w:hAnsi="Times New Roman" w:cs="Times New Roman"/>
          <w:spacing w:val="-9"/>
          <w:sz w:val="28"/>
          <w:szCs w:val="28"/>
        </w:rPr>
        <w:t>左右，</w:t>
      </w:r>
      <w:r>
        <w:rPr>
          <w:rFonts w:ascii="Times New Roman" w:eastAsia="宋体" w:hAnsi="Times New Roman" w:cs="Times New Roman"/>
          <w:spacing w:val="-9"/>
          <w:sz w:val="28"/>
          <w:szCs w:val="28"/>
        </w:rPr>
        <w:t xml:space="preserve">PH </w:t>
      </w:r>
      <w:r>
        <w:rPr>
          <w:rFonts w:ascii="Times New Roman" w:eastAsia="宋体" w:hAnsi="Times New Roman" w:cs="Times New Roman"/>
          <w:spacing w:val="-9"/>
          <w:sz w:val="28"/>
          <w:szCs w:val="28"/>
        </w:rPr>
        <w:t>值</w:t>
      </w:r>
      <w:r>
        <w:rPr>
          <w:rFonts w:ascii="Times New Roman" w:eastAsia="宋体" w:hAnsi="Times New Roman" w:cs="Times New Roman"/>
          <w:spacing w:val="-9"/>
          <w:sz w:val="28"/>
          <w:szCs w:val="28"/>
        </w:rPr>
        <w:t>7.20</w:t>
      </w:r>
      <w:r>
        <w:rPr>
          <w:rFonts w:ascii="Times New Roman" w:eastAsia="宋体" w:hAnsi="Times New Roman" w:cs="Times New Roman"/>
          <w:spacing w:val="-9"/>
          <w:sz w:val="28"/>
          <w:szCs w:val="28"/>
        </w:rPr>
        <w:t>，弱碱性；部分地区水中镁、钠、氯化物、硫酸盐等含量较高。总体上来说，承压水水质一般，为淡水～微咸水，不易直接作为生活用水。</w:t>
      </w:r>
    </w:p>
    <w:p w14:paraId="0E80FC37"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根据调查资料，承压水层总体流向近西</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东，渗透系数</w:t>
      </w:r>
      <w:r>
        <w:rPr>
          <w:rFonts w:ascii="Times New Roman" w:eastAsia="宋体" w:hAnsi="Times New Roman" w:cs="Times New Roman"/>
          <w:spacing w:val="-9"/>
          <w:sz w:val="28"/>
          <w:szCs w:val="28"/>
        </w:rPr>
        <w:t>1.00E-02cm/s</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3.00E-02cm/s</w:t>
      </w:r>
      <w:r>
        <w:rPr>
          <w:rFonts w:ascii="Times New Roman" w:eastAsia="宋体" w:hAnsi="Times New Roman" w:cs="Times New Roman"/>
          <w:spacing w:val="-9"/>
          <w:sz w:val="28"/>
          <w:szCs w:val="28"/>
        </w:rPr>
        <w:t>，平均</w:t>
      </w:r>
      <w:r>
        <w:rPr>
          <w:rFonts w:ascii="Times New Roman" w:eastAsia="宋体" w:hAnsi="Times New Roman" w:cs="Times New Roman"/>
          <w:spacing w:val="-9"/>
          <w:sz w:val="28"/>
          <w:szCs w:val="28"/>
        </w:rPr>
        <w:t>2.00E-02cm/s</w:t>
      </w:r>
      <w:r>
        <w:rPr>
          <w:rFonts w:ascii="Times New Roman" w:eastAsia="宋体" w:hAnsi="Times New Roman" w:cs="Times New Roman"/>
          <w:spacing w:val="-9"/>
          <w:sz w:val="28"/>
          <w:szCs w:val="28"/>
        </w:rPr>
        <w:t>。</w:t>
      </w:r>
    </w:p>
    <w:p w14:paraId="0558753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地下水动态及补径排条件</w:t>
      </w:r>
    </w:p>
    <w:p w14:paraId="2D959167"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noProof/>
          <w:spacing w:val="-9"/>
          <w:sz w:val="28"/>
          <w:szCs w:val="28"/>
        </w:rPr>
        <mc:AlternateContent>
          <mc:Choice Requires="wps">
            <w:drawing>
              <wp:anchor distT="0" distB="0" distL="114300" distR="114300" simplePos="0" relativeHeight="251674112" behindDoc="0" locked="0" layoutInCell="1" allowOverlap="1" wp14:anchorId="1F3DBDEE" wp14:editId="1EAC1207">
                <wp:simplePos x="0" y="0"/>
                <wp:positionH relativeFrom="column">
                  <wp:posOffset>13368655</wp:posOffset>
                </wp:positionH>
                <wp:positionV relativeFrom="paragraph">
                  <wp:posOffset>-8347710</wp:posOffset>
                </wp:positionV>
                <wp:extent cx="728980" cy="355600"/>
                <wp:effectExtent l="12700" t="5080" r="10795" b="10795"/>
                <wp:wrapNone/>
                <wp:docPr id="37" name="文本框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355600"/>
                        </a:xfrm>
                        <a:prstGeom prst="rect">
                          <a:avLst/>
                        </a:prstGeom>
                        <a:solidFill>
                          <a:srgbClr val="FFFFFF"/>
                        </a:solidFill>
                        <a:ln w="6350">
                          <a:solidFill>
                            <a:srgbClr val="000000"/>
                          </a:solidFill>
                          <a:miter lim="800000"/>
                        </a:ln>
                      </wps:spPr>
                      <wps:txbx>
                        <w:txbxContent>
                          <w:p w14:paraId="201043A1"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wps:txbx>
                      <wps:bodyPr rot="0" vert="horz" wrap="square" lIns="0" tIns="45720" rIns="0" bIns="45720" anchor="t" anchorCtr="0" upright="1">
                        <a:noAutofit/>
                      </wps:bodyPr>
                    </wps:wsp>
                  </a:graphicData>
                </a:graphic>
              </wp:anchor>
            </w:drawing>
          </mc:Choice>
          <mc:Fallback>
            <w:pict>
              <v:shape w14:anchorId="1F3DBDEE" id="文本框 37" o:spid="_x0000_s1240" type="#_x0000_t202" style="position:absolute;left:0;text-align:left;margin-left:1052.65pt;margin-top:-657.3pt;width:57.4pt;height:28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" strokeweight=".5pt">
                <v:textbox inset="0,,0">
                  <w:txbxContent>
                    <w:p w14:paraId="201043A1"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v:textbox>
              </v:shape>
            </w:pict>
          </mc:Fallback>
        </mc:AlternateContent>
      </w:r>
      <w:r>
        <w:rPr>
          <w:rFonts w:ascii="Times New Roman" w:eastAsia="宋体" w:hAnsi="Times New Roman" w:cs="Times New Roman"/>
          <w:noProof/>
          <w:spacing w:val="-9"/>
          <w:sz w:val="28"/>
          <w:szCs w:val="28"/>
        </w:rPr>
        <mc:AlternateContent>
          <mc:Choice Requires="wps">
            <w:drawing>
              <wp:anchor distT="0" distB="0" distL="114300" distR="114300" simplePos="0" relativeHeight="251673088" behindDoc="0" locked="0" layoutInCell="1" allowOverlap="1" wp14:anchorId="4A3C63B8" wp14:editId="09CA6722">
                <wp:simplePos x="0" y="0"/>
                <wp:positionH relativeFrom="column">
                  <wp:posOffset>13369925</wp:posOffset>
                </wp:positionH>
                <wp:positionV relativeFrom="paragraph">
                  <wp:posOffset>-9148445</wp:posOffset>
                </wp:positionV>
                <wp:extent cx="728980" cy="355600"/>
                <wp:effectExtent l="13970" t="13970" r="9525" b="11430"/>
                <wp:wrapNone/>
                <wp:docPr id="38" name="文本框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355600"/>
                        </a:xfrm>
                        <a:prstGeom prst="rect">
                          <a:avLst/>
                        </a:prstGeom>
                        <a:solidFill>
                          <a:srgbClr val="FFFFFF"/>
                        </a:solidFill>
                        <a:ln w="6350">
                          <a:solidFill>
                            <a:srgbClr val="000000"/>
                          </a:solidFill>
                          <a:miter lim="800000"/>
                        </a:ln>
                      </wps:spPr>
                      <wps:txbx>
                        <w:txbxContent>
                          <w:p w14:paraId="4FAD4576"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wps:txbx>
                      <wps:bodyPr rot="0" vert="horz" wrap="square" lIns="0" tIns="45720" rIns="0" bIns="45720" anchor="t" anchorCtr="0" upright="1">
                        <a:noAutofit/>
                      </wps:bodyPr>
                    </wps:wsp>
                  </a:graphicData>
                </a:graphic>
              </wp:anchor>
            </w:drawing>
          </mc:Choice>
          <mc:Fallback>
            <w:pict>
              <v:shape w14:anchorId="4A3C63B8" id="文本框 38" o:spid="_x0000_s1241" type="#_x0000_t202" style="position:absolute;left:0;text-align:left;margin-left:1052.75pt;margin-top:-720.35pt;width:57.4pt;height:28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" strokeweight=".5pt">
                <v:textbox inset="0,,0">
                  <w:txbxContent>
                    <w:p w14:paraId="4FAD4576"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v:textbox>
              </v:shape>
            </w:pict>
          </mc:Fallback>
        </mc:AlternateContent>
      </w: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1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⑴</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地下水动态</w:t>
      </w:r>
    </w:p>
    <w:p w14:paraId="454EA53F"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1 \* GB3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①</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潜水</w:t>
      </w:r>
    </w:p>
    <w:p w14:paraId="75263282"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评价区潜水位标高一般在</w:t>
      </w:r>
      <w:r>
        <w:rPr>
          <w:rFonts w:ascii="Times New Roman" w:eastAsia="宋体" w:hAnsi="Times New Roman" w:cs="Times New Roman"/>
          <w:spacing w:val="-9"/>
          <w:sz w:val="28"/>
          <w:szCs w:val="28"/>
        </w:rPr>
        <w:t>0.52</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2.32m</w:t>
      </w:r>
      <w:r>
        <w:rPr>
          <w:rFonts w:ascii="Times New Roman" w:eastAsia="宋体" w:hAnsi="Times New Roman" w:cs="Times New Roman"/>
          <w:spacing w:val="-9"/>
          <w:sz w:val="28"/>
          <w:szCs w:val="28"/>
        </w:rPr>
        <w:t>之间，随季节性变化，一般丰水期水位上升，枯水期水位下降，水位年变化幅度</w:t>
      </w:r>
      <w:r>
        <w:rPr>
          <w:rFonts w:ascii="Times New Roman" w:eastAsia="宋体" w:hAnsi="Times New Roman" w:cs="Times New Roman"/>
          <w:spacing w:val="-9"/>
          <w:sz w:val="28"/>
          <w:szCs w:val="28"/>
        </w:rPr>
        <w:t>1.00m</w:t>
      </w:r>
      <w:r>
        <w:rPr>
          <w:rFonts w:ascii="Times New Roman" w:eastAsia="宋体" w:hAnsi="Times New Roman" w:cs="Times New Roman"/>
          <w:spacing w:val="-9"/>
          <w:sz w:val="28"/>
          <w:szCs w:val="28"/>
        </w:rPr>
        <w:t>左右。大气降雨入渗是潜水主要补给源，其水位动态类型属于大气降水入渗补给型；排泄方式主要为大气蒸发和向下游排泄。</w:t>
      </w:r>
    </w:p>
    <w:p w14:paraId="556C9026"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2 \* GB3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②</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承压水</w:t>
      </w:r>
    </w:p>
    <w:p w14:paraId="40E2E37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评价区承压水位受气候的影响微弱，主要接受上部潜水越流补给，排泄是通过人工开采的方式进行和向下游排泄。通过调查，区内承压水开采较少，地下水水位年内变幅较小，年变化幅度</w:t>
      </w:r>
      <w:r>
        <w:rPr>
          <w:rFonts w:ascii="Times New Roman" w:eastAsia="宋体" w:hAnsi="Times New Roman" w:cs="Times New Roman"/>
          <w:spacing w:val="-9"/>
          <w:sz w:val="28"/>
          <w:szCs w:val="28"/>
        </w:rPr>
        <w:t>0.30m</w:t>
      </w:r>
      <w:r>
        <w:rPr>
          <w:rFonts w:ascii="Times New Roman" w:eastAsia="宋体" w:hAnsi="Times New Roman" w:cs="Times New Roman"/>
          <w:spacing w:val="-9"/>
          <w:sz w:val="28"/>
          <w:szCs w:val="28"/>
        </w:rPr>
        <w:t>左右。</w:t>
      </w:r>
    </w:p>
    <w:p w14:paraId="5B3C0D29"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noProof/>
          <w:spacing w:val="-9"/>
          <w:sz w:val="28"/>
          <w:szCs w:val="28"/>
        </w:rPr>
        <mc:AlternateContent>
          <mc:Choice Requires="wps">
            <w:drawing>
              <wp:anchor distT="0" distB="0" distL="114300" distR="114300" simplePos="0" relativeHeight="251676160" behindDoc="0" locked="0" layoutInCell="1" allowOverlap="1" wp14:anchorId="34E33C4C" wp14:editId="0C8D0B40">
                <wp:simplePos x="0" y="0"/>
                <wp:positionH relativeFrom="column">
                  <wp:posOffset>13368655</wp:posOffset>
                </wp:positionH>
                <wp:positionV relativeFrom="paragraph">
                  <wp:posOffset>-8347710</wp:posOffset>
                </wp:positionV>
                <wp:extent cx="728980" cy="355600"/>
                <wp:effectExtent l="12700" t="7620" r="10795" b="8255"/>
                <wp:wrapNone/>
                <wp:docPr id="39" name="文本框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355600"/>
                        </a:xfrm>
                        <a:prstGeom prst="rect">
                          <a:avLst/>
                        </a:prstGeom>
                        <a:solidFill>
                          <a:srgbClr val="FFFFFF"/>
                        </a:solidFill>
                        <a:ln w="6350">
                          <a:solidFill>
                            <a:srgbClr val="000000"/>
                          </a:solidFill>
                          <a:miter lim="800000"/>
                        </a:ln>
                      </wps:spPr>
                      <wps:txbx>
                        <w:txbxContent>
                          <w:p w14:paraId="506081C8"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wps:txbx>
                      <wps:bodyPr rot="0" vert="horz" wrap="square" lIns="0" tIns="45720" rIns="0" bIns="45720" anchor="t" anchorCtr="0" upright="1">
                        <a:noAutofit/>
                      </wps:bodyPr>
                    </wps:wsp>
                  </a:graphicData>
                </a:graphic>
              </wp:anchor>
            </w:drawing>
          </mc:Choice>
          <mc:Fallback>
            <w:pict>
              <v:shape w14:anchorId="34E33C4C" id="文本框 39" o:spid="_x0000_s1242" type="#_x0000_t202" style="position:absolute;left:0;text-align:left;margin-left:1052.65pt;margin-top:-657.3pt;width:57.4pt;height:28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" strokeweight=".5pt">
                <v:textbox inset="0,,0">
                  <w:txbxContent>
                    <w:p w14:paraId="506081C8"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v:textbox>
              </v:shape>
            </w:pict>
          </mc:Fallback>
        </mc:AlternateContent>
      </w:r>
      <w:r>
        <w:rPr>
          <w:rFonts w:ascii="Times New Roman" w:eastAsia="宋体" w:hAnsi="Times New Roman" w:cs="Times New Roman"/>
          <w:noProof/>
          <w:spacing w:val="-9"/>
          <w:sz w:val="28"/>
          <w:szCs w:val="28"/>
        </w:rPr>
        <mc:AlternateContent>
          <mc:Choice Requires="wps">
            <w:drawing>
              <wp:anchor distT="0" distB="0" distL="114300" distR="114300" simplePos="0" relativeHeight="251675136" behindDoc="0" locked="0" layoutInCell="1" allowOverlap="1" wp14:anchorId="19F54F59" wp14:editId="72F1CC8A">
                <wp:simplePos x="0" y="0"/>
                <wp:positionH relativeFrom="column">
                  <wp:posOffset>13369925</wp:posOffset>
                </wp:positionH>
                <wp:positionV relativeFrom="paragraph">
                  <wp:posOffset>-9148445</wp:posOffset>
                </wp:positionV>
                <wp:extent cx="728980" cy="355600"/>
                <wp:effectExtent l="13970" t="6985" r="9525" b="8890"/>
                <wp:wrapNone/>
                <wp:docPr id="41"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355600"/>
                        </a:xfrm>
                        <a:prstGeom prst="rect">
                          <a:avLst/>
                        </a:prstGeom>
                        <a:solidFill>
                          <a:srgbClr val="FFFFFF"/>
                        </a:solidFill>
                        <a:ln w="6350">
                          <a:solidFill>
                            <a:srgbClr val="000000"/>
                          </a:solidFill>
                          <a:miter lim="800000"/>
                        </a:ln>
                      </wps:spPr>
                      <wps:txbx>
                        <w:txbxContent>
                          <w:p w14:paraId="5A78C6D5"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wps:txbx>
                      <wps:bodyPr rot="0" vert="horz" wrap="square" lIns="0" tIns="45720" rIns="0" bIns="45720" anchor="t" anchorCtr="0" upright="1">
                        <a:noAutofit/>
                      </wps:bodyPr>
                    </wps:wsp>
                  </a:graphicData>
                </a:graphic>
              </wp:anchor>
            </w:drawing>
          </mc:Choice>
          <mc:Fallback>
            <w:pict>
              <v:shape w14:anchorId="19F54F59" id="文本框 41" o:spid="_x0000_s1243" type="#_x0000_t202" style="position:absolute;left:0;text-align:left;margin-left:1052.75pt;margin-top:-720.35pt;width:57.4pt;height:28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" strokeweight=".5pt">
                <v:textbox inset="0,,0">
                  <w:txbxContent>
                    <w:p w14:paraId="5A78C6D5"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v:textbox>
              </v:shape>
            </w:pict>
          </mc:Fallback>
        </mc:AlternateContent>
      </w: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2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⑵</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地下水补经排条件</w:t>
      </w:r>
    </w:p>
    <w:p w14:paraId="6670CA72"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由于潜水最接近于地表，其补给条件受地形、气象、水文、人类活动等诸多自然及人为因素的影响。评价区属滨海平原区，地势低洼平坦，高程一般</w:t>
      </w:r>
      <w:r>
        <w:rPr>
          <w:rFonts w:ascii="Times New Roman" w:eastAsia="宋体" w:hAnsi="Times New Roman" w:cs="Times New Roman"/>
          <w:spacing w:val="-9"/>
          <w:sz w:val="28"/>
          <w:szCs w:val="28"/>
        </w:rPr>
        <w:t>2.00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5.00m</w:t>
      </w:r>
      <w:r>
        <w:rPr>
          <w:rFonts w:ascii="Times New Roman" w:eastAsia="宋体" w:hAnsi="Times New Roman" w:cs="Times New Roman"/>
          <w:spacing w:val="-9"/>
          <w:sz w:val="28"/>
          <w:szCs w:val="28"/>
        </w:rPr>
        <w:t>，浅部地层岩性为粘土、淤泥，透水性较差，大气降水的入渗补给也一般，同时评价区地表水较发育，沟渠纵横交错，主要水系有通榆河及官庄河等，使浅层地下水与地表水直接接触，因此，浅层地下水与地表水有密切的互补关系。本次调查过程中，根据临近区域资料及我院施工期间调查资料可知，丰水期地表水位一般高于地下水，地表水补给地下水体，而枯水季节地下水排泄于地表水。地下水水位与邻近地表水体水位联测详见表</w:t>
      </w:r>
      <w:r>
        <w:rPr>
          <w:rFonts w:ascii="Times New Roman" w:eastAsia="宋体" w:hAnsi="Times New Roman" w:cs="Times New Roman"/>
          <w:spacing w:val="-9"/>
          <w:sz w:val="28"/>
          <w:szCs w:val="28"/>
        </w:rPr>
        <w:t>4.1.6-2</w:t>
      </w:r>
      <w:r>
        <w:rPr>
          <w:rFonts w:ascii="Times New Roman" w:eastAsia="宋体" w:hAnsi="Times New Roman" w:cs="Times New Roman"/>
          <w:spacing w:val="-9"/>
          <w:sz w:val="28"/>
          <w:szCs w:val="28"/>
        </w:rPr>
        <w:t>。临近评价区水位联测详见表</w:t>
      </w:r>
      <w:r>
        <w:rPr>
          <w:rFonts w:ascii="Times New Roman" w:eastAsia="宋体" w:hAnsi="Times New Roman" w:cs="Times New Roman"/>
          <w:spacing w:val="-9"/>
          <w:sz w:val="28"/>
          <w:szCs w:val="28"/>
        </w:rPr>
        <w:t>4.1.6-3</w:t>
      </w:r>
      <w:r>
        <w:rPr>
          <w:rFonts w:ascii="Times New Roman" w:eastAsia="宋体" w:hAnsi="Times New Roman" w:cs="Times New Roman"/>
          <w:spacing w:val="-9"/>
          <w:sz w:val="28"/>
          <w:szCs w:val="28"/>
        </w:rPr>
        <w:t>。</w:t>
      </w:r>
    </w:p>
    <w:p w14:paraId="101354EE" w14:textId="77777777" w:rsidR="002133E3" w:rsidRDefault="00C22CFA">
      <w:pPr>
        <w:adjustRightInd w:val="0"/>
        <w:snapToGrid w:val="0"/>
        <w:spacing w:line="500" w:lineRule="exact"/>
        <w:ind w:firstLineChars="200" w:firstLine="422"/>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4.1.6-2 </w:t>
      </w:r>
      <w:r>
        <w:rPr>
          <w:rFonts w:ascii="Times New Roman" w:eastAsia="宋体" w:hAnsi="Times New Roman" w:cs="Times New Roman"/>
          <w:b/>
          <w:szCs w:val="21"/>
        </w:rPr>
        <w:t>地下水水位与邻近地表水水位联测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1"/>
        <w:gridCol w:w="1758"/>
        <w:gridCol w:w="1984"/>
        <w:gridCol w:w="1973"/>
        <w:gridCol w:w="2052"/>
      </w:tblGrid>
      <w:tr w:rsidR="002133E3" w14:paraId="05AAB89A" w14:textId="77777777">
        <w:trPr>
          <w:trHeight w:val="340"/>
          <w:jc w:val="center"/>
        </w:trPr>
        <w:tc>
          <w:tcPr>
            <w:tcW w:w="2519" w:type="dxa"/>
            <w:gridSpan w:val="2"/>
            <w:vAlign w:val="center"/>
          </w:tcPr>
          <w:p w14:paraId="50ADD5F3"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联测点</w:t>
            </w:r>
          </w:p>
        </w:tc>
        <w:tc>
          <w:tcPr>
            <w:tcW w:w="1984" w:type="dxa"/>
            <w:vAlign w:val="center"/>
          </w:tcPr>
          <w:p w14:paraId="37F59A8D"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2016</w:t>
            </w:r>
            <w:r>
              <w:rPr>
                <w:rFonts w:ascii="Times New Roman" w:eastAsia="宋体" w:hAnsi="Times New Roman" w:cs="Times New Roman"/>
                <w:b/>
                <w:kern w:val="0"/>
                <w:szCs w:val="21"/>
              </w:rPr>
              <w:t>年</w:t>
            </w:r>
            <w:r>
              <w:rPr>
                <w:rFonts w:ascii="Times New Roman" w:eastAsia="宋体" w:hAnsi="Times New Roman" w:cs="Times New Roman"/>
                <w:b/>
                <w:kern w:val="0"/>
                <w:szCs w:val="21"/>
              </w:rPr>
              <w:t>10</w:t>
            </w:r>
            <w:r>
              <w:rPr>
                <w:rFonts w:ascii="Times New Roman" w:eastAsia="宋体" w:hAnsi="Times New Roman" w:cs="Times New Roman"/>
                <w:b/>
                <w:kern w:val="0"/>
                <w:szCs w:val="21"/>
              </w:rPr>
              <w:t>月</w:t>
            </w:r>
            <w:r>
              <w:rPr>
                <w:rFonts w:ascii="Times New Roman" w:eastAsia="宋体" w:hAnsi="Times New Roman" w:cs="Times New Roman"/>
                <w:b/>
                <w:kern w:val="0"/>
                <w:szCs w:val="21"/>
              </w:rPr>
              <w:t>10</w:t>
            </w:r>
            <w:r>
              <w:rPr>
                <w:rFonts w:ascii="Times New Roman" w:eastAsia="宋体" w:hAnsi="Times New Roman" w:cs="Times New Roman"/>
                <w:b/>
                <w:kern w:val="0"/>
                <w:szCs w:val="21"/>
              </w:rPr>
              <w:t>日水位标高</w:t>
            </w:r>
            <w:r>
              <w:rPr>
                <w:rFonts w:ascii="Times New Roman" w:eastAsia="宋体" w:hAnsi="Times New Roman" w:cs="Times New Roman"/>
                <w:b/>
                <w:kern w:val="0"/>
                <w:szCs w:val="21"/>
              </w:rPr>
              <w:t>(m)</w:t>
            </w:r>
          </w:p>
        </w:tc>
        <w:tc>
          <w:tcPr>
            <w:tcW w:w="1973" w:type="dxa"/>
            <w:vAlign w:val="center"/>
          </w:tcPr>
          <w:p w14:paraId="6436F3CE"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2016</w:t>
            </w:r>
            <w:r>
              <w:rPr>
                <w:rFonts w:ascii="Times New Roman" w:eastAsia="宋体" w:hAnsi="Times New Roman" w:cs="Times New Roman"/>
                <w:b/>
                <w:kern w:val="0"/>
                <w:szCs w:val="21"/>
              </w:rPr>
              <w:t>年</w:t>
            </w:r>
            <w:r>
              <w:rPr>
                <w:rFonts w:ascii="Times New Roman" w:eastAsia="宋体" w:hAnsi="Times New Roman" w:cs="Times New Roman"/>
                <w:b/>
                <w:kern w:val="0"/>
                <w:szCs w:val="21"/>
              </w:rPr>
              <w:t>10</w:t>
            </w:r>
            <w:r>
              <w:rPr>
                <w:rFonts w:ascii="Times New Roman" w:eastAsia="宋体" w:hAnsi="Times New Roman" w:cs="Times New Roman"/>
                <w:b/>
                <w:kern w:val="0"/>
                <w:szCs w:val="21"/>
              </w:rPr>
              <w:t>月</w:t>
            </w:r>
            <w:r>
              <w:rPr>
                <w:rFonts w:ascii="Times New Roman" w:eastAsia="宋体" w:hAnsi="Times New Roman" w:cs="Times New Roman"/>
                <w:b/>
                <w:kern w:val="0"/>
                <w:szCs w:val="21"/>
              </w:rPr>
              <w:t>16</w:t>
            </w:r>
            <w:r>
              <w:rPr>
                <w:rFonts w:ascii="Times New Roman" w:eastAsia="宋体" w:hAnsi="Times New Roman" w:cs="Times New Roman"/>
                <w:b/>
                <w:kern w:val="0"/>
                <w:szCs w:val="21"/>
              </w:rPr>
              <w:t>日水位标高</w:t>
            </w:r>
            <w:r>
              <w:rPr>
                <w:rFonts w:ascii="Times New Roman" w:eastAsia="宋体" w:hAnsi="Times New Roman" w:cs="Times New Roman"/>
                <w:b/>
                <w:kern w:val="0"/>
                <w:szCs w:val="21"/>
              </w:rPr>
              <w:t>(m)</w:t>
            </w:r>
          </w:p>
        </w:tc>
        <w:tc>
          <w:tcPr>
            <w:tcW w:w="2052" w:type="dxa"/>
            <w:vAlign w:val="center"/>
          </w:tcPr>
          <w:p w14:paraId="2B3404D9"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2016</w:t>
            </w:r>
            <w:r>
              <w:rPr>
                <w:rFonts w:ascii="Times New Roman" w:eastAsia="宋体" w:hAnsi="Times New Roman" w:cs="Times New Roman"/>
                <w:b/>
                <w:kern w:val="0"/>
                <w:szCs w:val="21"/>
              </w:rPr>
              <w:t>年</w:t>
            </w:r>
            <w:r>
              <w:rPr>
                <w:rFonts w:ascii="Times New Roman" w:eastAsia="宋体" w:hAnsi="Times New Roman" w:cs="Times New Roman"/>
                <w:b/>
                <w:kern w:val="0"/>
                <w:szCs w:val="21"/>
              </w:rPr>
              <w:t>10</w:t>
            </w:r>
            <w:r>
              <w:rPr>
                <w:rFonts w:ascii="Times New Roman" w:eastAsia="宋体" w:hAnsi="Times New Roman" w:cs="Times New Roman"/>
                <w:b/>
                <w:kern w:val="0"/>
                <w:szCs w:val="21"/>
              </w:rPr>
              <w:t>月</w:t>
            </w:r>
            <w:r>
              <w:rPr>
                <w:rFonts w:ascii="Times New Roman" w:eastAsia="宋体" w:hAnsi="Times New Roman" w:cs="Times New Roman"/>
                <w:b/>
                <w:kern w:val="0"/>
                <w:szCs w:val="21"/>
              </w:rPr>
              <w:t>19</w:t>
            </w:r>
            <w:r>
              <w:rPr>
                <w:rFonts w:ascii="Times New Roman" w:eastAsia="宋体" w:hAnsi="Times New Roman" w:cs="Times New Roman"/>
                <w:b/>
                <w:kern w:val="0"/>
                <w:szCs w:val="21"/>
              </w:rPr>
              <w:t>日水位标高</w:t>
            </w:r>
            <w:r>
              <w:rPr>
                <w:rFonts w:ascii="Times New Roman" w:eastAsia="宋体" w:hAnsi="Times New Roman" w:cs="Times New Roman"/>
                <w:b/>
                <w:kern w:val="0"/>
                <w:szCs w:val="21"/>
              </w:rPr>
              <w:t>(m)</w:t>
            </w:r>
          </w:p>
        </w:tc>
      </w:tr>
      <w:tr w:rsidR="002133E3" w14:paraId="570CA378" w14:textId="77777777">
        <w:trPr>
          <w:trHeight w:val="161"/>
          <w:jc w:val="center"/>
        </w:trPr>
        <w:tc>
          <w:tcPr>
            <w:tcW w:w="761" w:type="dxa"/>
            <w:vMerge w:val="restart"/>
            <w:vAlign w:val="center"/>
          </w:tcPr>
          <w:p w14:paraId="01788F2A"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758" w:type="dxa"/>
            <w:vAlign w:val="center"/>
          </w:tcPr>
          <w:p w14:paraId="0918FFF9"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ZK01</w:t>
            </w:r>
          </w:p>
        </w:tc>
        <w:tc>
          <w:tcPr>
            <w:tcW w:w="1984" w:type="dxa"/>
            <w:vAlign w:val="center"/>
          </w:tcPr>
          <w:p w14:paraId="1F20B266"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1.98</w:t>
            </w:r>
          </w:p>
        </w:tc>
        <w:tc>
          <w:tcPr>
            <w:tcW w:w="1973" w:type="dxa"/>
            <w:vAlign w:val="center"/>
          </w:tcPr>
          <w:p w14:paraId="4468C836"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2.02</w:t>
            </w:r>
          </w:p>
        </w:tc>
        <w:tc>
          <w:tcPr>
            <w:tcW w:w="2052" w:type="dxa"/>
            <w:vAlign w:val="center"/>
          </w:tcPr>
          <w:p w14:paraId="02D596F3"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1.98</w:t>
            </w:r>
          </w:p>
        </w:tc>
      </w:tr>
      <w:tr w:rsidR="002133E3" w14:paraId="1A1BA449" w14:textId="77777777">
        <w:trPr>
          <w:trHeight w:val="70"/>
          <w:jc w:val="center"/>
        </w:trPr>
        <w:tc>
          <w:tcPr>
            <w:tcW w:w="761" w:type="dxa"/>
            <w:vMerge/>
            <w:vAlign w:val="center"/>
          </w:tcPr>
          <w:p w14:paraId="1AE81F78" w14:textId="77777777" w:rsidR="002133E3" w:rsidRDefault="002133E3">
            <w:pPr>
              <w:widowControl/>
              <w:adjustRightInd w:val="0"/>
              <w:snapToGrid w:val="0"/>
              <w:jc w:val="center"/>
              <w:rPr>
                <w:rFonts w:ascii="Times New Roman" w:eastAsia="宋体" w:hAnsi="Times New Roman" w:cs="Times New Roman"/>
                <w:kern w:val="0"/>
                <w:szCs w:val="21"/>
              </w:rPr>
            </w:pPr>
          </w:p>
        </w:tc>
        <w:tc>
          <w:tcPr>
            <w:tcW w:w="1758" w:type="dxa"/>
            <w:vAlign w:val="center"/>
          </w:tcPr>
          <w:p w14:paraId="560C0626"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官庄河</w:t>
            </w:r>
          </w:p>
        </w:tc>
        <w:tc>
          <w:tcPr>
            <w:tcW w:w="1984" w:type="dxa"/>
            <w:vAlign w:val="center"/>
          </w:tcPr>
          <w:p w14:paraId="2654CB8E"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1973" w:type="dxa"/>
            <w:vAlign w:val="center"/>
          </w:tcPr>
          <w:p w14:paraId="1E11C1B5"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2.05</w:t>
            </w:r>
          </w:p>
        </w:tc>
        <w:tc>
          <w:tcPr>
            <w:tcW w:w="2052" w:type="dxa"/>
            <w:vAlign w:val="center"/>
          </w:tcPr>
          <w:p w14:paraId="2A40FC4B"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w:t>
            </w:r>
          </w:p>
        </w:tc>
      </w:tr>
      <w:tr w:rsidR="002133E3" w14:paraId="20C1D804" w14:textId="77777777">
        <w:trPr>
          <w:trHeight w:val="157"/>
          <w:jc w:val="center"/>
        </w:trPr>
        <w:tc>
          <w:tcPr>
            <w:tcW w:w="761" w:type="dxa"/>
            <w:vMerge w:val="restart"/>
            <w:vAlign w:val="center"/>
          </w:tcPr>
          <w:p w14:paraId="317A5299"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758" w:type="dxa"/>
            <w:vAlign w:val="center"/>
          </w:tcPr>
          <w:p w14:paraId="3CBF7566"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ZK08</w:t>
            </w:r>
          </w:p>
        </w:tc>
        <w:tc>
          <w:tcPr>
            <w:tcW w:w="1984" w:type="dxa"/>
            <w:vAlign w:val="center"/>
          </w:tcPr>
          <w:p w14:paraId="18079E47"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1.63</w:t>
            </w:r>
          </w:p>
        </w:tc>
        <w:tc>
          <w:tcPr>
            <w:tcW w:w="1973" w:type="dxa"/>
            <w:vAlign w:val="center"/>
          </w:tcPr>
          <w:p w14:paraId="774FC38F"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1.70</w:t>
            </w:r>
          </w:p>
        </w:tc>
        <w:tc>
          <w:tcPr>
            <w:tcW w:w="2052" w:type="dxa"/>
            <w:vAlign w:val="center"/>
          </w:tcPr>
          <w:p w14:paraId="4A0E46E0"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1.63</w:t>
            </w:r>
          </w:p>
        </w:tc>
      </w:tr>
      <w:tr w:rsidR="002133E3" w14:paraId="5B84EC25" w14:textId="77777777">
        <w:trPr>
          <w:trHeight w:val="70"/>
          <w:jc w:val="center"/>
        </w:trPr>
        <w:tc>
          <w:tcPr>
            <w:tcW w:w="761" w:type="dxa"/>
            <w:vMerge/>
            <w:vAlign w:val="center"/>
          </w:tcPr>
          <w:p w14:paraId="4788E6B9" w14:textId="77777777" w:rsidR="002133E3" w:rsidRDefault="002133E3">
            <w:pPr>
              <w:widowControl/>
              <w:adjustRightInd w:val="0"/>
              <w:snapToGrid w:val="0"/>
              <w:jc w:val="center"/>
              <w:rPr>
                <w:rFonts w:ascii="Times New Roman" w:eastAsia="宋体" w:hAnsi="Times New Roman" w:cs="Times New Roman"/>
                <w:kern w:val="0"/>
                <w:szCs w:val="21"/>
              </w:rPr>
            </w:pPr>
          </w:p>
        </w:tc>
        <w:tc>
          <w:tcPr>
            <w:tcW w:w="1758" w:type="dxa"/>
            <w:vAlign w:val="center"/>
          </w:tcPr>
          <w:p w14:paraId="6A0815CE"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通榆河</w:t>
            </w:r>
            <w:r>
              <w:rPr>
                <w:rFonts w:ascii="Times New Roman" w:eastAsia="宋体" w:hAnsi="Times New Roman" w:cs="Times New Roman"/>
                <w:kern w:val="0"/>
                <w:szCs w:val="21"/>
              </w:rPr>
              <w:t>(</w:t>
            </w:r>
            <w:r>
              <w:rPr>
                <w:rFonts w:ascii="Times New Roman" w:eastAsia="宋体" w:hAnsi="Times New Roman" w:cs="Times New Roman"/>
                <w:kern w:val="0"/>
                <w:szCs w:val="21"/>
              </w:rPr>
              <w:t>兴庄河</w:t>
            </w:r>
            <w:r>
              <w:rPr>
                <w:rFonts w:ascii="Times New Roman" w:eastAsia="宋体" w:hAnsi="Times New Roman" w:cs="Times New Roman"/>
                <w:kern w:val="0"/>
                <w:szCs w:val="21"/>
              </w:rPr>
              <w:t>)</w:t>
            </w:r>
          </w:p>
        </w:tc>
        <w:tc>
          <w:tcPr>
            <w:tcW w:w="1984" w:type="dxa"/>
            <w:vAlign w:val="center"/>
          </w:tcPr>
          <w:p w14:paraId="53396E6E"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1.68</w:t>
            </w:r>
          </w:p>
        </w:tc>
        <w:tc>
          <w:tcPr>
            <w:tcW w:w="1973" w:type="dxa"/>
            <w:vAlign w:val="center"/>
          </w:tcPr>
          <w:p w14:paraId="5D4E4FB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1.75</w:t>
            </w:r>
          </w:p>
        </w:tc>
        <w:tc>
          <w:tcPr>
            <w:tcW w:w="2052" w:type="dxa"/>
            <w:vAlign w:val="center"/>
          </w:tcPr>
          <w:p w14:paraId="2054426C"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1.68</w:t>
            </w:r>
          </w:p>
        </w:tc>
      </w:tr>
    </w:tbl>
    <w:p w14:paraId="15642927" w14:textId="77777777" w:rsidR="002133E3" w:rsidRDefault="00C22CFA">
      <w:pPr>
        <w:adjustRightInd w:val="0"/>
        <w:snapToGrid w:val="0"/>
        <w:spacing w:line="500" w:lineRule="exact"/>
        <w:ind w:firstLineChars="200" w:firstLine="422"/>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4.1.6-3  </w:t>
      </w:r>
      <w:r>
        <w:rPr>
          <w:rFonts w:ascii="Times New Roman" w:eastAsia="宋体" w:hAnsi="Times New Roman" w:cs="Times New Roman"/>
          <w:b/>
          <w:szCs w:val="21"/>
        </w:rPr>
        <w:t>临近评价区水位联测成果表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1"/>
        <w:gridCol w:w="1827"/>
        <w:gridCol w:w="2062"/>
        <w:gridCol w:w="1951"/>
        <w:gridCol w:w="1897"/>
      </w:tblGrid>
      <w:tr w:rsidR="002133E3" w14:paraId="4C6115D6" w14:textId="77777777">
        <w:trPr>
          <w:trHeight w:val="340"/>
          <w:jc w:val="center"/>
        </w:trPr>
        <w:tc>
          <w:tcPr>
            <w:tcW w:w="2618" w:type="dxa"/>
            <w:gridSpan w:val="2"/>
            <w:vAlign w:val="center"/>
          </w:tcPr>
          <w:p w14:paraId="3E8B6B40"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联测点</w:t>
            </w:r>
          </w:p>
        </w:tc>
        <w:tc>
          <w:tcPr>
            <w:tcW w:w="2062" w:type="dxa"/>
            <w:vAlign w:val="center"/>
          </w:tcPr>
          <w:p w14:paraId="059E44EE"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2016</w:t>
            </w:r>
            <w:r>
              <w:rPr>
                <w:rFonts w:ascii="Times New Roman" w:eastAsia="宋体" w:hAnsi="Times New Roman" w:cs="Times New Roman"/>
                <w:b/>
                <w:kern w:val="0"/>
                <w:szCs w:val="21"/>
              </w:rPr>
              <w:t>年</w:t>
            </w:r>
            <w:r>
              <w:rPr>
                <w:rFonts w:ascii="Times New Roman" w:eastAsia="宋体" w:hAnsi="Times New Roman" w:cs="Times New Roman"/>
                <w:b/>
                <w:kern w:val="0"/>
                <w:szCs w:val="21"/>
              </w:rPr>
              <w:t>7</w:t>
            </w:r>
            <w:r>
              <w:rPr>
                <w:rFonts w:ascii="Times New Roman" w:eastAsia="宋体" w:hAnsi="Times New Roman" w:cs="Times New Roman"/>
                <w:b/>
                <w:kern w:val="0"/>
                <w:szCs w:val="21"/>
              </w:rPr>
              <w:t>月</w:t>
            </w:r>
            <w:r>
              <w:rPr>
                <w:rFonts w:ascii="Times New Roman" w:eastAsia="宋体" w:hAnsi="Times New Roman" w:cs="Times New Roman"/>
                <w:b/>
                <w:kern w:val="0"/>
                <w:szCs w:val="21"/>
              </w:rPr>
              <w:t>10</w:t>
            </w:r>
            <w:r>
              <w:rPr>
                <w:rFonts w:ascii="Times New Roman" w:eastAsia="宋体" w:hAnsi="Times New Roman" w:cs="Times New Roman"/>
                <w:b/>
                <w:kern w:val="0"/>
                <w:szCs w:val="21"/>
              </w:rPr>
              <w:t>日水位标高</w:t>
            </w:r>
            <w:r>
              <w:rPr>
                <w:rFonts w:ascii="Times New Roman" w:eastAsia="宋体" w:hAnsi="Times New Roman" w:cs="Times New Roman"/>
                <w:b/>
                <w:kern w:val="0"/>
                <w:szCs w:val="21"/>
              </w:rPr>
              <w:t>(m)</w:t>
            </w:r>
          </w:p>
        </w:tc>
        <w:tc>
          <w:tcPr>
            <w:tcW w:w="1951" w:type="dxa"/>
            <w:vAlign w:val="center"/>
          </w:tcPr>
          <w:p w14:paraId="23C7074D"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2016</w:t>
            </w:r>
            <w:r>
              <w:rPr>
                <w:rFonts w:ascii="Times New Roman" w:eastAsia="宋体" w:hAnsi="Times New Roman" w:cs="Times New Roman"/>
                <w:b/>
                <w:kern w:val="0"/>
                <w:szCs w:val="21"/>
              </w:rPr>
              <w:t>年</w:t>
            </w:r>
            <w:r>
              <w:rPr>
                <w:rFonts w:ascii="Times New Roman" w:eastAsia="宋体" w:hAnsi="Times New Roman" w:cs="Times New Roman"/>
                <w:b/>
                <w:kern w:val="0"/>
                <w:szCs w:val="21"/>
              </w:rPr>
              <w:t>7</w:t>
            </w:r>
            <w:r>
              <w:rPr>
                <w:rFonts w:ascii="Times New Roman" w:eastAsia="宋体" w:hAnsi="Times New Roman" w:cs="Times New Roman"/>
                <w:b/>
                <w:kern w:val="0"/>
                <w:szCs w:val="21"/>
              </w:rPr>
              <w:t>月</w:t>
            </w:r>
            <w:r>
              <w:rPr>
                <w:rFonts w:ascii="Times New Roman" w:eastAsia="宋体" w:hAnsi="Times New Roman" w:cs="Times New Roman"/>
                <w:b/>
                <w:kern w:val="0"/>
                <w:szCs w:val="21"/>
              </w:rPr>
              <w:t>16</w:t>
            </w:r>
            <w:r>
              <w:rPr>
                <w:rFonts w:ascii="Times New Roman" w:eastAsia="宋体" w:hAnsi="Times New Roman" w:cs="Times New Roman"/>
                <w:b/>
                <w:kern w:val="0"/>
                <w:szCs w:val="21"/>
              </w:rPr>
              <w:t>日水位标高</w:t>
            </w:r>
            <w:r>
              <w:rPr>
                <w:rFonts w:ascii="Times New Roman" w:eastAsia="宋体" w:hAnsi="Times New Roman" w:cs="Times New Roman"/>
                <w:b/>
                <w:kern w:val="0"/>
                <w:szCs w:val="21"/>
              </w:rPr>
              <w:t>(m)</w:t>
            </w:r>
          </w:p>
        </w:tc>
        <w:tc>
          <w:tcPr>
            <w:tcW w:w="1897" w:type="dxa"/>
            <w:vAlign w:val="center"/>
          </w:tcPr>
          <w:p w14:paraId="256FC83A"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2016</w:t>
            </w:r>
            <w:r>
              <w:rPr>
                <w:rFonts w:ascii="Times New Roman" w:eastAsia="宋体" w:hAnsi="Times New Roman" w:cs="Times New Roman"/>
                <w:b/>
                <w:kern w:val="0"/>
                <w:szCs w:val="21"/>
              </w:rPr>
              <w:t>年</w:t>
            </w:r>
            <w:r>
              <w:rPr>
                <w:rFonts w:ascii="Times New Roman" w:eastAsia="宋体" w:hAnsi="Times New Roman" w:cs="Times New Roman"/>
                <w:b/>
                <w:kern w:val="0"/>
                <w:szCs w:val="21"/>
              </w:rPr>
              <w:t>7</w:t>
            </w:r>
            <w:r>
              <w:rPr>
                <w:rFonts w:ascii="Times New Roman" w:eastAsia="宋体" w:hAnsi="Times New Roman" w:cs="Times New Roman"/>
                <w:b/>
                <w:kern w:val="0"/>
                <w:szCs w:val="21"/>
              </w:rPr>
              <w:t>月</w:t>
            </w:r>
            <w:r>
              <w:rPr>
                <w:rFonts w:ascii="Times New Roman" w:eastAsia="宋体" w:hAnsi="Times New Roman" w:cs="Times New Roman"/>
                <w:b/>
                <w:kern w:val="0"/>
                <w:szCs w:val="21"/>
              </w:rPr>
              <w:t>18</w:t>
            </w:r>
            <w:r>
              <w:rPr>
                <w:rFonts w:ascii="Times New Roman" w:eastAsia="宋体" w:hAnsi="Times New Roman" w:cs="Times New Roman"/>
                <w:b/>
                <w:kern w:val="0"/>
                <w:szCs w:val="21"/>
              </w:rPr>
              <w:t>日水位标高</w:t>
            </w:r>
            <w:r>
              <w:rPr>
                <w:rFonts w:ascii="Times New Roman" w:eastAsia="宋体" w:hAnsi="Times New Roman" w:cs="Times New Roman"/>
                <w:b/>
                <w:kern w:val="0"/>
                <w:szCs w:val="21"/>
              </w:rPr>
              <w:t>(m)</w:t>
            </w:r>
          </w:p>
        </w:tc>
      </w:tr>
      <w:tr w:rsidR="002133E3" w14:paraId="2E481512" w14:textId="77777777">
        <w:trPr>
          <w:trHeight w:val="437"/>
          <w:jc w:val="center"/>
        </w:trPr>
        <w:tc>
          <w:tcPr>
            <w:tcW w:w="791" w:type="dxa"/>
            <w:vMerge w:val="restart"/>
            <w:vAlign w:val="center"/>
          </w:tcPr>
          <w:p w14:paraId="438F987F"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827" w:type="dxa"/>
            <w:vAlign w:val="center"/>
          </w:tcPr>
          <w:p w14:paraId="76DA0D3C"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ZK03</w:t>
            </w:r>
          </w:p>
        </w:tc>
        <w:tc>
          <w:tcPr>
            <w:tcW w:w="2062" w:type="dxa"/>
            <w:vAlign w:val="center"/>
          </w:tcPr>
          <w:p w14:paraId="263AB37B"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2.09</w:t>
            </w:r>
          </w:p>
        </w:tc>
        <w:tc>
          <w:tcPr>
            <w:tcW w:w="1951" w:type="dxa"/>
            <w:vAlign w:val="center"/>
          </w:tcPr>
          <w:p w14:paraId="350432C0"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2.13</w:t>
            </w:r>
          </w:p>
        </w:tc>
        <w:tc>
          <w:tcPr>
            <w:tcW w:w="1897" w:type="dxa"/>
            <w:vAlign w:val="center"/>
          </w:tcPr>
          <w:p w14:paraId="7D1BCB02"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2.09</w:t>
            </w:r>
          </w:p>
        </w:tc>
      </w:tr>
      <w:tr w:rsidR="002133E3" w14:paraId="73C3D220" w14:textId="77777777">
        <w:trPr>
          <w:trHeight w:val="340"/>
          <w:jc w:val="center"/>
        </w:trPr>
        <w:tc>
          <w:tcPr>
            <w:tcW w:w="791" w:type="dxa"/>
            <w:vMerge/>
            <w:vAlign w:val="center"/>
          </w:tcPr>
          <w:p w14:paraId="1E5D2B6F" w14:textId="77777777" w:rsidR="002133E3" w:rsidRDefault="002133E3">
            <w:pPr>
              <w:widowControl/>
              <w:adjustRightInd w:val="0"/>
              <w:snapToGrid w:val="0"/>
              <w:jc w:val="center"/>
              <w:rPr>
                <w:rFonts w:ascii="Times New Roman" w:eastAsia="宋体" w:hAnsi="Times New Roman" w:cs="Times New Roman"/>
                <w:kern w:val="0"/>
                <w:szCs w:val="21"/>
              </w:rPr>
            </w:pPr>
          </w:p>
        </w:tc>
        <w:tc>
          <w:tcPr>
            <w:tcW w:w="1827" w:type="dxa"/>
            <w:vAlign w:val="center"/>
          </w:tcPr>
          <w:p w14:paraId="7757F745"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朱稽付河</w:t>
            </w:r>
          </w:p>
        </w:tc>
        <w:tc>
          <w:tcPr>
            <w:tcW w:w="2062" w:type="dxa"/>
            <w:vAlign w:val="center"/>
          </w:tcPr>
          <w:p w14:paraId="04B609E1"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2.11</w:t>
            </w:r>
          </w:p>
        </w:tc>
        <w:tc>
          <w:tcPr>
            <w:tcW w:w="1951" w:type="dxa"/>
            <w:vAlign w:val="center"/>
          </w:tcPr>
          <w:p w14:paraId="56A5C14C"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2.19</w:t>
            </w:r>
          </w:p>
        </w:tc>
        <w:tc>
          <w:tcPr>
            <w:tcW w:w="1897" w:type="dxa"/>
            <w:vAlign w:val="center"/>
          </w:tcPr>
          <w:p w14:paraId="2FF5622B"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2.12</w:t>
            </w:r>
          </w:p>
        </w:tc>
      </w:tr>
      <w:tr w:rsidR="002133E3" w14:paraId="57CB88CA" w14:textId="77777777">
        <w:trPr>
          <w:trHeight w:val="340"/>
          <w:jc w:val="center"/>
        </w:trPr>
        <w:tc>
          <w:tcPr>
            <w:tcW w:w="791" w:type="dxa"/>
            <w:vMerge w:val="restart"/>
            <w:vAlign w:val="center"/>
          </w:tcPr>
          <w:p w14:paraId="3A6112E8"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827" w:type="dxa"/>
            <w:vAlign w:val="center"/>
          </w:tcPr>
          <w:p w14:paraId="391F1CBB"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ZK04</w:t>
            </w:r>
          </w:p>
        </w:tc>
        <w:tc>
          <w:tcPr>
            <w:tcW w:w="2062" w:type="dxa"/>
            <w:vAlign w:val="center"/>
          </w:tcPr>
          <w:p w14:paraId="799E1297"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2.58</w:t>
            </w:r>
          </w:p>
        </w:tc>
        <w:tc>
          <w:tcPr>
            <w:tcW w:w="1951" w:type="dxa"/>
            <w:vAlign w:val="center"/>
          </w:tcPr>
          <w:p w14:paraId="403C10D5"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2.62</w:t>
            </w:r>
          </w:p>
        </w:tc>
        <w:tc>
          <w:tcPr>
            <w:tcW w:w="1897" w:type="dxa"/>
            <w:vAlign w:val="center"/>
          </w:tcPr>
          <w:p w14:paraId="5B5E9D75"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2.58</w:t>
            </w:r>
          </w:p>
        </w:tc>
      </w:tr>
      <w:tr w:rsidR="002133E3" w14:paraId="5D7B008A" w14:textId="77777777">
        <w:trPr>
          <w:trHeight w:val="340"/>
          <w:jc w:val="center"/>
        </w:trPr>
        <w:tc>
          <w:tcPr>
            <w:tcW w:w="791" w:type="dxa"/>
            <w:vMerge/>
            <w:vAlign w:val="center"/>
          </w:tcPr>
          <w:p w14:paraId="364B8DD1" w14:textId="77777777" w:rsidR="002133E3" w:rsidRDefault="002133E3">
            <w:pPr>
              <w:widowControl/>
              <w:adjustRightInd w:val="0"/>
              <w:snapToGrid w:val="0"/>
              <w:jc w:val="center"/>
              <w:rPr>
                <w:rFonts w:ascii="Times New Roman" w:eastAsia="宋体" w:hAnsi="Times New Roman" w:cs="Times New Roman"/>
                <w:kern w:val="0"/>
                <w:szCs w:val="21"/>
              </w:rPr>
            </w:pPr>
          </w:p>
        </w:tc>
        <w:tc>
          <w:tcPr>
            <w:tcW w:w="1827" w:type="dxa"/>
            <w:vAlign w:val="center"/>
          </w:tcPr>
          <w:p w14:paraId="0B8C5C00"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青口河</w:t>
            </w:r>
          </w:p>
        </w:tc>
        <w:tc>
          <w:tcPr>
            <w:tcW w:w="2062" w:type="dxa"/>
            <w:vAlign w:val="center"/>
          </w:tcPr>
          <w:p w14:paraId="22B23402"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2.60</w:t>
            </w:r>
          </w:p>
        </w:tc>
        <w:tc>
          <w:tcPr>
            <w:tcW w:w="1951" w:type="dxa"/>
            <w:vAlign w:val="center"/>
          </w:tcPr>
          <w:p w14:paraId="2981F98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2.63</w:t>
            </w:r>
          </w:p>
        </w:tc>
        <w:tc>
          <w:tcPr>
            <w:tcW w:w="1897" w:type="dxa"/>
            <w:vAlign w:val="center"/>
          </w:tcPr>
          <w:p w14:paraId="7A4FABB4"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2.60</w:t>
            </w:r>
          </w:p>
        </w:tc>
      </w:tr>
    </w:tbl>
    <w:p w14:paraId="52D09A8E"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3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⑶</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地下水径流条件</w:t>
      </w:r>
    </w:p>
    <w:p w14:paraId="27C60D0F"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评价区为滨海平原区，地势平坦，实测潜水位坡降为</w:t>
      </w:r>
      <w:r>
        <w:rPr>
          <w:rFonts w:ascii="Times New Roman" w:eastAsia="宋体" w:hAnsi="Times New Roman" w:cs="Times New Roman"/>
          <w:spacing w:val="-9"/>
          <w:sz w:val="28"/>
          <w:szCs w:val="28"/>
        </w:rPr>
        <w:t>1‰</w:t>
      </w:r>
      <w:r>
        <w:rPr>
          <w:rFonts w:ascii="Times New Roman" w:eastAsia="宋体" w:hAnsi="Times New Roman" w:cs="Times New Roman"/>
          <w:spacing w:val="-9"/>
          <w:sz w:val="28"/>
          <w:szCs w:val="28"/>
        </w:rPr>
        <w:t>左右，且地层岩性为粘土、淤泥，透水性较差，因此地下水水平径流速度迟缓。根据潜水位统测资料分析，评价区潜水流向依地形高差主流方向由西向东，承压水流向主流方向由西向东。</w:t>
      </w:r>
    </w:p>
    <w:p w14:paraId="73EFB942"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4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⑷</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地下水排泄条件</w:t>
      </w:r>
    </w:p>
    <w:p w14:paraId="4EA31DC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经调查，评价区内有少量地下水开采机井和民用井。拟建厂区水质一般，为咸水，不能直接饮用，现农村为改善用水卫生条件，基本都安装了自来水。地下水排泄主要以地面蒸发和侧向径流为主。</w:t>
      </w:r>
    </w:p>
    <w:p w14:paraId="62B9237E"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地下水富水性</w:t>
      </w:r>
    </w:p>
    <w:p w14:paraId="73938352"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1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⑴</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潜水富水性</w:t>
      </w:r>
    </w:p>
    <w:p w14:paraId="7D21C5DD"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根据评价区微水试验及已有的水文地质资料分析，潜水含水层岩性主要为粘土和淤泥层，厚</w:t>
      </w:r>
      <w:r>
        <w:rPr>
          <w:rFonts w:ascii="Times New Roman" w:eastAsia="宋体" w:hAnsi="Times New Roman" w:cs="Times New Roman"/>
          <w:spacing w:val="-9"/>
          <w:sz w:val="28"/>
          <w:szCs w:val="28"/>
        </w:rPr>
        <w:t>1.4</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7.0m</w:t>
      </w:r>
      <w:r>
        <w:rPr>
          <w:rFonts w:ascii="Times New Roman" w:eastAsia="宋体" w:hAnsi="Times New Roman" w:cs="Times New Roman"/>
          <w:spacing w:val="-9"/>
          <w:sz w:val="28"/>
          <w:szCs w:val="28"/>
        </w:rPr>
        <w:t>，主要接受雨水和侧向径流补给，单井涌水量小于</w:t>
      </w:r>
      <w:r>
        <w:rPr>
          <w:rFonts w:ascii="Times New Roman" w:eastAsia="宋体" w:hAnsi="Times New Roman" w:cs="Times New Roman"/>
          <w:spacing w:val="-9"/>
          <w:sz w:val="28"/>
          <w:szCs w:val="28"/>
        </w:rPr>
        <w:t>10m3/d</w:t>
      </w:r>
      <w:r>
        <w:rPr>
          <w:rFonts w:ascii="Times New Roman" w:eastAsia="宋体" w:hAnsi="Times New Roman" w:cs="Times New Roman"/>
          <w:spacing w:val="-9"/>
          <w:sz w:val="28"/>
          <w:szCs w:val="28"/>
        </w:rPr>
        <w:t>，富水性弱。</w:t>
      </w:r>
    </w:p>
    <w:p w14:paraId="13B0B0D7"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fldChar w:fldCharType="begin"/>
      </w:r>
      <w:r>
        <w:rPr>
          <w:rFonts w:ascii="Times New Roman" w:eastAsia="宋体" w:hAnsi="Times New Roman" w:cs="Times New Roman"/>
          <w:spacing w:val="-9"/>
          <w:sz w:val="28"/>
          <w:szCs w:val="28"/>
        </w:rPr>
        <w:instrText xml:space="preserve"> = 2 \* GB2 </w:instrText>
      </w:r>
      <w:r>
        <w:rPr>
          <w:rFonts w:ascii="Times New Roman" w:eastAsia="宋体" w:hAnsi="Times New Roman" w:cs="Times New Roman"/>
          <w:spacing w:val="-9"/>
          <w:sz w:val="28"/>
          <w:szCs w:val="28"/>
        </w:rPr>
        <w:fldChar w:fldCharType="separate"/>
      </w:r>
      <w:r>
        <w:rPr>
          <w:rFonts w:ascii="宋体" w:eastAsia="宋体" w:hAnsi="宋体" w:cs="宋体" w:hint="eastAsia"/>
          <w:spacing w:val="-9"/>
          <w:sz w:val="28"/>
          <w:szCs w:val="28"/>
        </w:rPr>
        <w:t>⑵</w:t>
      </w:r>
      <w:r>
        <w:rPr>
          <w:rFonts w:ascii="Times New Roman" w:eastAsia="宋体" w:hAnsi="Times New Roman" w:cs="Times New Roman"/>
          <w:spacing w:val="-9"/>
          <w:sz w:val="28"/>
          <w:szCs w:val="28"/>
        </w:rPr>
        <w:fldChar w:fldCharType="end"/>
      </w:r>
      <w:r>
        <w:rPr>
          <w:rFonts w:ascii="Times New Roman" w:eastAsia="宋体" w:hAnsi="Times New Roman" w:cs="Times New Roman"/>
          <w:spacing w:val="-9"/>
          <w:sz w:val="28"/>
          <w:szCs w:val="28"/>
        </w:rPr>
        <w:t>承压水富水性</w:t>
      </w:r>
    </w:p>
    <w:p w14:paraId="7C7CDDD3"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本次水文地质勘察仅针对潜水层，承压水层未有实测资料，根据评价区临近资料，承压水含水层岩性以中砂为主，评价深度内，主要含水层厚</w:t>
      </w:r>
      <w:r>
        <w:rPr>
          <w:rFonts w:ascii="Times New Roman" w:eastAsia="宋体" w:hAnsi="Times New Roman" w:cs="Times New Roman"/>
          <w:spacing w:val="-9"/>
          <w:sz w:val="28"/>
          <w:szCs w:val="28"/>
        </w:rPr>
        <w:t>2.3m</w:t>
      </w:r>
      <w:r>
        <w:rPr>
          <w:rFonts w:ascii="Times New Roman" w:eastAsia="宋体" w:hAnsi="Times New Roman" w:cs="Times New Roman"/>
          <w:spacing w:val="-9"/>
          <w:sz w:val="28"/>
          <w:szCs w:val="28"/>
        </w:rPr>
        <w:t>。单井涌水量</w:t>
      </w:r>
      <w:r>
        <w:rPr>
          <w:rFonts w:ascii="Times New Roman" w:eastAsia="宋体" w:hAnsi="Times New Roman" w:cs="Times New Roman"/>
          <w:spacing w:val="-9"/>
          <w:sz w:val="28"/>
          <w:szCs w:val="28"/>
        </w:rPr>
        <w:t>300m3/d</w:t>
      </w:r>
      <w:r>
        <w:rPr>
          <w:rFonts w:ascii="Times New Roman" w:eastAsia="宋体" w:hAnsi="Times New Roman" w:cs="Times New Roman"/>
          <w:spacing w:val="-9"/>
          <w:sz w:val="28"/>
          <w:szCs w:val="28"/>
        </w:rPr>
        <w:t>左右，渗透系数平均约</w:t>
      </w:r>
      <w:r>
        <w:rPr>
          <w:rFonts w:ascii="Times New Roman" w:eastAsia="宋体" w:hAnsi="Times New Roman" w:cs="Times New Roman"/>
          <w:spacing w:val="-9"/>
          <w:sz w:val="28"/>
          <w:szCs w:val="28"/>
        </w:rPr>
        <w:t>2.00E-02cm/s</w:t>
      </w:r>
      <w:r>
        <w:rPr>
          <w:rFonts w:ascii="Times New Roman" w:eastAsia="宋体" w:hAnsi="Times New Roman" w:cs="Times New Roman"/>
          <w:spacing w:val="-9"/>
          <w:sz w:val="28"/>
          <w:szCs w:val="28"/>
        </w:rPr>
        <w:t>，富水性中等。</w:t>
      </w:r>
    </w:p>
    <w:p w14:paraId="5D56F0E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水文地质问题</w:t>
      </w:r>
    </w:p>
    <w:p w14:paraId="6B655E94" w14:textId="77777777" w:rsidR="002133E3" w:rsidRDefault="00C22CFA">
      <w:pPr>
        <w:spacing w:line="520" w:lineRule="exact"/>
        <w:ind w:firstLineChars="210" w:firstLine="588"/>
        <w:rPr>
          <w:rFonts w:ascii="Times New Roman" w:eastAsia="宋体" w:hAnsi="Times New Roman" w:cs="Times New Roman"/>
          <w:spacing w:val="-9"/>
          <w:sz w:val="28"/>
          <w:szCs w:val="28"/>
        </w:rPr>
      </w:pPr>
      <w:r>
        <w:rPr>
          <w:rFonts w:ascii="Times New Roman" w:eastAsia="宋体" w:hAnsi="Times New Roman" w:cs="Times New Roman"/>
          <w:noProof/>
          <w:spacing w:val="-9"/>
          <w:sz w:val="28"/>
          <w:szCs w:val="28"/>
        </w:rPr>
        <mc:AlternateContent>
          <mc:Choice Requires="wps">
            <w:drawing>
              <wp:anchor distT="0" distB="0" distL="114300" distR="114300" simplePos="0" relativeHeight="251678208" behindDoc="0" locked="0" layoutInCell="1" allowOverlap="1" wp14:anchorId="4140C7B6" wp14:editId="6D3A7B70">
                <wp:simplePos x="0" y="0"/>
                <wp:positionH relativeFrom="column">
                  <wp:posOffset>13368655</wp:posOffset>
                </wp:positionH>
                <wp:positionV relativeFrom="paragraph">
                  <wp:posOffset>-8347710</wp:posOffset>
                </wp:positionV>
                <wp:extent cx="728980" cy="355600"/>
                <wp:effectExtent l="12700" t="5715" r="10795" b="10160"/>
                <wp:wrapNone/>
                <wp:docPr id="42" name="文本框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355600"/>
                        </a:xfrm>
                        <a:prstGeom prst="rect">
                          <a:avLst/>
                        </a:prstGeom>
                        <a:solidFill>
                          <a:srgbClr val="FFFFFF"/>
                        </a:solidFill>
                        <a:ln w="6350">
                          <a:solidFill>
                            <a:srgbClr val="000000"/>
                          </a:solidFill>
                          <a:miter lim="800000"/>
                        </a:ln>
                      </wps:spPr>
                      <wps:txbx>
                        <w:txbxContent>
                          <w:p w14:paraId="5E7C40E1"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wps:txbx>
                      <wps:bodyPr rot="0" vert="horz" wrap="square" lIns="0" tIns="45720" rIns="0" bIns="45720" anchor="t" anchorCtr="0" upright="1">
                        <a:noAutofit/>
                      </wps:bodyPr>
                    </wps:wsp>
                  </a:graphicData>
                </a:graphic>
              </wp:anchor>
            </w:drawing>
          </mc:Choice>
          <mc:Fallback>
            <w:pict>
              <v:shape w14:anchorId="4140C7B6" id="文本框 42" o:spid="_x0000_s1244" type="#_x0000_t202" style="position:absolute;left:0;text-align:left;margin-left:1052.65pt;margin-top:-657.3pt;width:57.4pt;height:28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" strokeweight=".5pt">
                <v:textbox inset="0,,0">
                  <w:txbxContent>
                    <w:p w14:paraId="5E7C40E1"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v:textbox>
              </v:shape>
            </w:pict>
          </mc:Fallback>
        </mc:AlternateContent>
      </w:r>
      <w:r>
        <w:rPr>
          <w:rFonts w:ascii="Times New Roman" w:eastAsia="宋体" w:hAnsi="Times New Roman" w:cs="Times New Roman"/>
          <w:noProof/>
          <w:spacing w:val="-9"/>
          <w:sz w:val="28"/>
          <w:szCs w:val="28"/>
        </w:rPr>
        <mc:AlternateContent>
          <mc:Choice Requires="wps">
            <w:drawing>
              <wp:anchor distT="0" distB="0" distL="114300" distR="114300" simplePos="0" relativeHeight="251677184" behindDoc="0" locked="0" layoutInCell="1" allowOverlap="1" wp14:anchorId="779E6E39" wp14:editId="13F76856">
                <wp:simplePos x="0" y="0"/>
                <wp:positionH relativeFrom="column">
                  <wp:posOffset>13369925</wp:posOffset>
                </wp:positionH>
                <wp:positionV relativeFrom="paragraph">
                  <wp:posOffset>-9148445</wp:posOffset>
                </wp:positionV>
                <wp:extent cx="728980" cy="355600"/>
                <wp:effectExtent l="13970" t="5080" r="9525" b="10795"/>
                <wp:wrapNone/>
                <wp:docPr id="43" name="文本框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355600"/>
                        </a:xfrm>
                        <a:prstGeom prst="rect">
                          <a:avLst/>
                        </a:prstGeom>
                        <a:solidFill>
                          <a:srgbClr val="FFFFFF"/>
                        </a:solidFill>
                        <a:ln w="6350">
                          <a:solidFill>
                            <a:srgbClr val="000000"/>
                          </a:solidFill>
                          <a:miter lim="800000"/>
                        </a:ln>
                      </wps:spPr>
                      <wps:txbx>
                        <w:txbxContent>
                          <w:p w14:paraId="38550596"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wps:txbx>
                      <wps:bodyPr rot="0" vert="horz" wrap="square" lIns="0" tIns="45720" rIns="0" bIns="45720" anchor="t" anchorCtr="0" upright="1">
                        <a:noAutofit/>
                      </wps:bodyPr>
                    </wps:wsp>
                  </a:graphicData>
                </a:graphic>
              </wp:anchor>
            </w:drawing>
          </mc:Choice>
          <mc:Fallback>
            <w:pict>
              <v:shape w14:anchorId="779E6E39" id="文本框 43" o:spid="_x0000_s1245" type="#_x0000_t202" style="position:absolute;left:0;text-align:left;margin-left:1052.75pt;margin-top:-720.35pt;width:57.4pt;height:28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" strokeweight=".5pt">
                <v:textbox inset="0,,0">
                  <w:txbxContent>
                    <w:p w14:paraId="38550596" w14:textId="77777777" w:rsidR="00F553A8" w:rsidRDefault="00F553A8">
                      <w:pPr>
                        <w:snapToGrid w:val="0"/>
                        <w:ind w:firstLine="643"/>
                        <w:jc w:val="center"/>
                        <w:rPr>
                          <w:rFonts w:ascii="黑体" w:eastAsia="黑体"/>
                          <w:b/>
                          <w:sz w:val="32"/>
                          <w:szCs w:val="32"/>
                        </w:rPr>
                      </w:pPr>
                      <w:r>
                        <w:rPr>
                          <w:rFonts w:ascii="黑体" w:eastAsia="黑体"/>
                          <w:b/>
                          <w:sz w:val="32"/>
                          <w:szCs w:val="32"/>
                        </w:rPr>
                        <w:t>2</w:t>
                      </w:r>
                    </w:p>
                  </w:txbxContent>
                </v:textbox>
              </v:shape>
            </w:pict>
          </mc:Fallback>
        </mc:AlternateContent>
      </w:r>
      <w:r>
        <w:rPr>
          <w:rFonts w:ascii="宋体" w:eastAsia="宋体" w:hAnsi="宋体" w:cs="宋体" w:hint="eastAsia"/>
          <w:spacing w:val="-9"/>
          <w:sz w:val="28"/>
          <w:szCs w:val="28"/>
        </w:rPr>
        <w:t>⑴</w:t>
      </w:r>
      <w:r>
        <w:rPr>
          <w:rFonts w:ascii="Times New Roman" w:eastAsia="宋体" w:hAnsi="Times New Roman" w:cs="Times New Roman"/>
          <w:spacing w:val="-9"/>
          <w:sz w:val="28"/>
          <w:szCs w:val="28"/>
        </w:rPr>
        <w:t>评价区浅层地下水矿化度均大于</w:t>
      </w:r>
      <w:r>
        <w:rPr>
          <w:rFonts w:ascii="Times New Roman" w:eastAsia="宋体" w:hAnsi="Times New Roman" w:cs="Times New Roman"/>
          <w:spacing w:val="-9"/>
          <w:sz w:val="28"/>
          <w:szCs w:val="28"/>
        </w:rPr>
        <w:t>1.0 g/l</w:t>
      </w:r>
      <w:r>
        <w:rPr>
          <w:rFonts w:ascii="Times New Roman" w:eastAsia="宋体" w:hAnsi="Times New Roman" w:cs="Times New Roman"/>
          <w:spacing w:val="-9"/>
          <w:sz w:val="28"/>
          <w:szCs w:val="28"/>
        </w:rPr>
        <w:t>，为微咸水～盐水，且地下水中溶解性总硬度、矿化度、氯化物、硫酸盐等部分指标超标，水质较差，不能直接饮用。</w:t>
      </w:r>
    </w:p>
    <w:p w14:paraId="30C420E9"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⑵</w:t>
      </w:r>
      <w:r>
        <w:rPr>
          <w:rFonts w:ascii="Times New Roman" w:eastAsia="宋体" w:hAnsi="Times New Roman" w:cs="Times New Roman"/>
          <w:spacing w:val="-9"/>
          <w:sz w:val="28"/>
          <w:szCs w:val="28"/>
        </w:rPr>
        <w:t>从区域内地层分布发育及结构特征分析，区域内浅部淤泥发育，为全新世沉积层，含水量一般，为不良工程地质层，强度极低，易触变、蠕动和震陷，属欠固结土，</w:t>
      </w:r>
      <w:r>
        <w:rPr>
          <w:rFonts w:ascii="Times New Roman" w:eastAsia="宋体" w:hAnsi="Times New Roman" w:cs="Times New Roman"/>
          <w:spacing w:val="-9"/>
          <w:sz w:val="28"/>
          <w:szCs w:val="28"/>
        </w:rPr>
        <w:lastRenderedPageBreak/>
        <w:t>压缩性高，工程性能极差，同时由于该层厚度大，且处于抗震设防烈度</w:t>
      </w:r>
      <w:r>
        <w:rPr>
          <w:rFonts w:ascii="宋体" w:eastAsia="宋体" w:hAnsi="宋体" w:cs="宋体" w:hint="eastAsia"/>
          <w:spacing w:val="-9"/>
          <w:sz w:val="28"/>
          <w:szCs w:val="28"/>
        </w:rPr>
        <w:t>Ⅶ</w:t>
      </w:r>
      <w:r>
        <w:rPr>
          <w:rFonts w:ascii="Times New Roman" w:eastAsia="宋体" w:hAnsi="Times New Roman" w:cs="Times New Roman"/>
          <w:spacing w:val="-9"/>
          <w:sz w:val="28"/>
          <w:szCs w:val="28"/>
        </w:rPr>
        <w:t>度区，受强烈震动有出现震陷的可能，从而导致装置开裂渗漏及装置底部防渗土工膜破坏，对地下水造成污染。</w:t>
      </w:r>
    </w:p>
    <w:p w14:paraId="6F2F672E"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宋体" w:eastAsia="宋体" w:hAnsi="宋体" w:cs="宋体" w:hint="eastAsia"/>
          <w:spacing w:val="-9"/>
          <w:sz w:val="28"/>
          <w:szCs w:val="28"/>
        </w:rPr>
        <w:t>⑶</w:t>
      </w:r>
      <w:r>
        <w:rPr>
          <w:rFonts w:ascii="Times New Roman" w:eastAsia="宋体" w:hAnsi="Times New Roman" w:cs="Times New Roman"/>
          <w:spacing w:val="-9"/>
          <w:sz w:val="28"/>
          <w:szCs w:val="28"/>
        </w:rPr>
        <w:t>本区域内的基础下部岩性为粘土、淤泥层，厚</w:t>
      </w:r>
      <w:r>
        <w:rPr>
          <w:rFonts w:ascii="Times New Roman" w:eastAsia="宋体" w:hAnsi="Times New Roman" w:cs="Times New Roman"/>
          <w:spacing w:val="-9"/>
          <w:sz w:val="28"/>
          <w:szCs w:val="28"/>
        </w:rPr>
        <w:t>2.0</w:t>
      </w:r>
      <w:r>
        <w:rPr>
          <w:rFonts w:ascii="Times New Roman" w:eastAsia="宋体" w:hAnsi="Times New Roman" w:cs="Times New Roman"/>
          <w:spacing w:val="-9"/>
          <w:sz w:val="28"/>
          <w:szCs w:val="28"/>
        </w:rPr>
        <w:t>～</w:t>
      </w:r>
      <w:r>
        <w:rPr>
          <w:rFonts w:ascii="Times New Roman" w:eastAsia="宋体" w:hAnsi="Times New Roman" w:cs="Times New Roman"/>
          <w:spacing w:val="-9"/>
          <w:sz w:val="28"/>
          <w:szCs w:val="28"/>
        </w:rPr>
        <w:t>7.0m</w:t>
      </w:r>
      <w:r>
        <w:rPr>
          <w:rFonts w:ascii="Times New Roman" w:eastAsia="宋体" w:hAnsi="Times New Roman" w:cs="Times New Roman"/>
          <w:spacing w:val="-9"/>
          <w:sz w:val="28"/>
          <w:szCs w:val="28"/>
        </w:rPr>
        <w:t>，垂直渗透系数在</w:t>
      </w:r>
      <w:r>
        <w:rPr>
          <w:rFonts w:ascii="Times New Roman" w:eastAsia="宋体" w:hAnsi="Times New Roman" w:cs="Times New Roman"/>
          <w:spacing w:val="-9"/>
          <w:sz w:val="28"/>
          <w:szCs w:val="28"/>
        </w:rPr>
        <w:t>3.00E-06cm/s</w:t>
      </w:r>
      <w:r>
        <w:rPr>
          <w:rFonts w:ascii="Times New Roman" w:eastAsia="宋体" w:hAnsi="Times New Roman" w:cs="Times New Roman"/>
          <w:spacing w:val="-9"/>
          <w:sz w:val="28"/>
          <w:szCs w:val="28"/>
        </w:rPr>
        <w:t>左右，具微透水性，防污性能中等偏好；其下粘性土垂直渗透系数在</w:t>
      </w:r>
      <w:r>
        <w:rPr>
          <w:rFonts w:ascii="Times New Roman" w:eastAsia="宋体" w:hAnsi="Times New Roman" w:cs="Times New Roman"/>
          <w:spacing w:val="-9"/>
          <w:sz w:val="28"/>
          <w:szCs w:val="28"/>
        </w:rPr>
        <w:t>4.50E-06cm/s</w:t>
      </w:r>
      <w:r>
        <w:rPr>
          <w:rFonts w:ascii="Times New Roman" w:eastAsia="宋体" w:hAnsi="Times New Roman" w:cs="Times New Roman"/>
          <w:spacing w:val="-9"/>
          <w:sz w:val="28"/>
          <w:szCs w:val="28"/>
        </w:rPr>
        <w:t>左右，厚度一般</w:t>
      </w:r>
      <w:r>
        <w:rPr>
          <w:rFonts w:ascii="Times New Roman" w:eastAsia="宋体" w:hAnsi="Times New Roman" w:cs="Times New Roman"/>
          <w:spacing w:val="-9"/>
          <w:sz w:val="28"/>
          <w:szCs w:val="28"/>
        </w:rPr>
        <w:t>12m</w:t>
      </w:r>
      <w:r>
        <w:rPr>
          <w:rFonts w:ascii="Times New Roman" w:eastAsia="宋体" w:hAnsi="Times New Roman" w:cs="Times New Roman"/>
          <w:spacing w:val="-9"/>
          <w:sz w:val="28"/>
          <w:szCs w:val="28"/>
        </w:rPr>
        <w:t>左右，为微透水层，防污性能中等偏好。</w:t>
      </w:r>
    </w:p>
    <w:p w14:paraId="08963611"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因此，在评价区内的建设项目应做好防渗措施，同时评价区上部地层主要为淤泥软土层，容易产生不均匀沉降，引起评价区拟建物底部防渗层破坏和出现开裂现象导致污水渗漏等问题，甚至影响装置稳定性。</w:t>
      </w:r>
    </w:p>
    <w:p w14:paraId="05A4E27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生态环境</w:t>
      </w:r>
    </w:p>
    <w:p w14:paraId="21901911"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海州湾生物科技园内多为盐碱地、滩地以及水塘，周边农田土壤植被以农作物和人工林为主要类型，农作物有小麦、水稻、玉米、花生等，植被中无珍稀濒危野生植物。动物种类主要为少量野兔、鼠类、蛙类等小型动物；无珍稀濒危野生动物。</w:t>
      </w:r>
    </w:p>
    <w:p w14:paraId="301E5900"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区内及周围河流中主要为青龙大沟中鱼类及其他水生动物较多，鱼类有鲤鱼、鲫鱼、青鱼、草鱼、乌鱼等，甲壳类有河虾、蟹等，贝类有田螺、蚌等，主要以野生为主，人工养殖主要为育苗。水生植物主要由沼泽植物和沉水植物构成。水生植物中常见的有水花生、水车前、凤眼莲、金鱼藻、满江红等，淀粉类植物有芡实、菱等，主要沼泽植物有芦苇、菖蒲等。</w:t>
      </w:r>
    </w:p>
    <w:p w14:paraId="174914D7" w14:textId="77777777" w:rsidR="002133E3" w:rsidRDefault="00C22CFA">
      <w:pPr>
        <w:spacing w:line="520" w:lineRule="exact"/>
        <w:ind w:firstLineChars="210" w:firstLine="550"/>
        <w:rPr>
          <w:rFonts w:ascii="Times New Roman" w:eastAsia="宋体" w:hAnsi="Times New Roman" w:cs="Times New Roman"/>
          <w:spacing w:val="-9"/>
          <w:sz w:val="28"/>
          <w:szCs w:val="28"/>
        </w:rPr>
      </w:pPr>
      <w:r>
        <w:rPr>
          <w:rFonts w:ascii="Times New Roman" w:eastAsia="宋体" w:hAnsi="Times New Roman" w:cs="Times New Roman"/>
          <w:spacing w:val="-9"/>
          <w:sz w:val="28"/>
          <w:szCs w:val="28"/>
        </w:rPr>
        <w:t>海州湾有基岩质海岸、砂质海岸、淤泥质海岸，江苏省仅有的基岩岛礁群位于海州湾中</w:t>
      </w:r>
      <w:r>
        <w:rPr>
          <w:rFonts w:ascii="Times New Roman" w:eastAsia="宋体" w:hAnsi="Times New Roman" w:cs="Times New Roman"/>
          <w:spacing w:val="-9"/>
          <w:sz w:val="28"/>
          <w:szCs w:val="28"/>
        </w:rPr>
        <w:t xml:space="preserve">, </w:t>
      </w:r>
      <w:r>
        <w:rPr>
          <w:rFonts w:ascii="Times New Roman" w:eastAsia="宋体" w:hAnsi="Times New Roman" w:cs="Times New Roman"/>
          <w:spacing w:val="-9"/>
          <w:sz w:val="28"/>
          <w:szCs w:val="28"/>
        </w:rPr>
        <w:t>海域环境优良，受陆地影响较小，并且天然栖息一些特种海洋生物，资源量较为丰富。沿海有绣针河、兴庄河、烧香河、临洪河、灌河等几十条河流入海，径流量较大，入海口附近海域悬浮物质密度大，大量淡水带来了丰富的有机物质和营养盐类，主要有活性磷酸盐、硝酸盐与亚硝酸盐、活性硅酸盐等，为海洋各种生物繁殖提供了丰富的营养。海州湾鱼、虾、蟹、贝、藻类相当丰富，鱼类有</w:t>
      </w:r>
      <w:r>
        <w:rPr>
          <w:rFonts w:ascii="Times New Roman" w:eastAsia="宋体" w:hAnsi="Times New Roman" w:cs="Times New Roman"/>
          <w:spacing w:val="-9"/>
          <w:sz w:val="28"/>
          <w:szCs w:val="28"/>
        </w:rPr>
        <w:t>59</w:t>
      </w:r>
      <w:r>
        <w:rPr>
          <w:rFonts w:ascii="Times New Roman" w:eastAsia="宋体" w:hAnsi="Times New Roman" w:cs="Times New Roman"/>
          <w:spacing w:val="-9"/>
          <w:sz w:val="28"/>
          <w:szCs w:val="28"/>
        </w:rPr>
        <w:t>科</w:t>
      </w:r>
      <w:r>
        <w:rPr>
          <w:rFonts w:ascii="Times New Roman" w:eastAsia="宋体" w:hAnsi="Times New Roman" w:cs="Times New Roman"/>
          <w:spacing w:val="-9"/>
          <w:sz w:val="28"/>
          <w:szCs w:val="28"/>
        </w:rPr>
        <w:t>100</w:t>
      </w:r>
      <w:r>
        <w:rPr>
          <w:rFonts w:ascii="Times New Roman" w:eastAsia="宋体" w:hAnsi="Times New Roman" w:cs="Times New Roman"/>
          <w:spacing w:val="-9"/>
          <w:sz w:val="28"/>
          <w:szCs w:val="28"/>
        </w:rPr>
        <w:t>余种，淡水经济鱼类有鲤鱼、鲫鱼、虾等</w:t>
      </w:r>
      <w:r>
        <w:rPr>
          <w:rFonts w:ascii="Times New Roman" w:eastAsia="宋体" w:hAnsi="Times New Roman" w:cs="Times New Roman"/>
          <w:spacing w:val="-9"/>
          <w:sz w:val="28"/>
          <w:szCs w:val="28"/>
        </w:rPr>
        <w:t>100</w:t>
      </w:r>
      <w:r>
        <w:rPr>
          <w:rFonts w:ascii="Times New Roman" w:eastAsia="宋体" w:hAnsi="Times New Roman" w:cs="Times New Roman"/>
          <w:spacing w:val="-9"/>
          <w:sz w:val="28"/>
          <w:szCs w:val="28"/>
        </w:rPr>
        <w:t>余种，主要有对虾、河蟹、梭子蟹、大菱鲆、牙鲆、石斑鱼、缢蛏、青蛤、杂色蛤、文蛤、紫菜等，而且本海区地处亚热带与暖温带的交界处，浮游生物种类较多，总生物量较大，随季节不同浮游植物与浮游动物在</w:t>
      </w:r>
      <w:r>
        <w:rPr>
          <w:rFonts w:ascii="Times New Roman" w:eastAsia="宋体" w:hAnsi="Times New Roman" w:cs="Times New Roman"/>
          <w:spacing w:val="-9"/>
          <w:sz w:val="28"/>
          <w:szCs w:val="28"/>
        </w:rPr>
        <w:lastRenderedPageBreak/>
        <w:t>数量互相补充，可以保持较高的生物量水平。</w:t>
      </w:r>
    </w:p>
    <w:p w14:paraId="69B14CA7" w14:textId="77777777" w:rsidR="002133E3" w:rsidRDefault="00C22CFA">
      <w:pPr>
        <w:pStyle w:val="affff3"/>
        <w:numPr>
          <w:ilvl w:val="1"/>
          <w:numId w:val="2"/>
        </w:numPr>
        <w:spacing w:line="500" w:lineRule="exact"/>
        <w:ind w:firstLineChars="0" w:hanging="567"/>
        <w:outlineLvl w:val="1"/>
        <w:rPr>
          <w:rFonts w:ascii="Times New Roman" w:eastAsia="宋体" w:hAnsi="Times New Roman" w:cs="Times New Roman"/>
          <w:b/>
          <w:sz w:val="30"/>
          <w:szCs w:val="30"/>
        </w:rPr>
      </w:pPr>
      <w:bookmarkStart w:id="45" w:name="_Toc47604338"/>
      <w:r>
        <w:rPr>
          <w:rFonts w:ascii="Times New Roman" w:eastAsia="宋体" w:hAnsi="Times New Roman" w:cs="Times New Roman"/>
          <w:b/>
          <w:sz w:val="30"/>
          <w:szCs w:val="30"/>
        </w:rPr>
        <w:t>环境质量现状调查与评价</w:t>
      </w:r>
      <w:bookmarkEnd w:id="45"/>
    </w:p>
    <w:p w14:paraId="51D6869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大气环境质量现状评价</w:t>
      </w:r>
    </w:p>
    <w:p w14:paraId="2DF7677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空气质量达标区判定</w:t>
      </w:r>
    </w:p>
    <w:p w14:paraId="07482030"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根据连云港市环境质量报告书（</w:t>
      </w:r>
      <w:r>
        <w:rPr>
          <w:rFonts w:ascii="Times New Roman" w:eastAsia="宋体" w:hAnsi="Times New Roman" w:cs="Times New Roman"/>
          <w:color w:val="0D0D0D"/>
          <w:sz w:val="28"/>
          <w:szCs w:val="28"/>
        </w:rPr>
        <w:t>2019</w:t>
      </w:r>
      <w:r>
        <w:rPr>
          <w:rFonts w:ascii="Times New Roman" w:eastAsia="宋体" w:hAnsi="Times New Roman" w:cs="Times New Roman"/>
          <w:color w:val="0D0D0D"/>
          <w:sz w:val="28"/>
          <w:szCs w:val="28"/>
        </w:rPr>
        <w:t>年度），连云港市环境达标区判定情况见表</w:t>
      </w:r>
      <w:r>
        <w:rPr>
          <w:rFonts w:ascii="Times New Roman" w:eastAsia="宋体" w:hAnsi="Times New Roman" w:cs="Times New Roman"/>
          <w:color w:val="0D0D0D"/>
          <w:sz w:val="28"/>
          <w:szCs w:val="28"/>
        </w:rPr>
        <w:t>5.2-1</w:t>
      </w:r>
      <w:r>
        <w:rPr>
          <w:rFonts w:ascii="Times New Roman" w:eastAsia="宋体" w:hAnsi="Times New Roman" w:cs="Times New Roman"/>
          <w:color w:val="0D0D0D"/>
          <w:sz w:val="28"/>
          <w:szCs w:val="28"/>
        </w:rPr>
        <w:t>。</w:t>
      </w:r>
    </w:p>
    <w:p w14:paraId="75078582" w14:textId="77777777" w:rsidR="002133E3" w:rsidRDefault="00C22CFA">
      <w:pPr>
        <w:spacing w:line="480" w:lineRule="exact"/>
        <w:jc w:val="center"/>
        <w:rPr>
          <w:rFonts w:ascii="Times New Roman" w:eastAsia="宋体" w:hAnsi="Times New Roman" w:cs="Times New Roman"/>
          <w:b/>
          <w:bCs/>
          <w:color w:val="0D0D0D"/>
          <w:sz w:val="24"/>
          <w:szCs w:val="28"/>
        </w:rPr>
      </w:pPr>
      <w:r>
        <w:rPr>
          <w:rFonts w:ascii="Times New Roman" w:eastAsia="宋体" w:hAnsi="Times New Roman" w:cs="Times New Roman"/>
          <w:b/>
          <w:bCs/>
          <w:color w:val="0D0D0D"/>
          <w:sz w:val="24"/>
          <w:szCs w:val="28"/>
        </w:rPr>
        <w:t>表</w:t>
      </w:r>
      <w:r>
        <w:rPr>
          <w:rFonts w:ascii="Times New Roman" w:eastAsia="宋体" w:hAnsi="Times New Roman" w:cs="Times New Roman"/>
          <w:b/>
          <w:bCs/>
          <w:color w:val="0D0D0D"/>
          <w:sz w:val="24"/>
          <w:szCs w:val="28"/>
        </w:rPr>
        <w:t xml:space="preserve">5.2-1 </w:t>
      </w:r>
      <w:r>
        <w:rPr>
          <w:rFonts w:ascii="Times New Roman" w:eastAsia="宋体" w:hAnsi="Times New Roman" w:cs="Times New Roman"/>
          <w:b/>
          <w:bCs/>
          <w:color w:val="0D0D0D"/>
          <w:sz w:val="24"/>
          <w:szCs w:val="28"/>
        </w:rPr>
        <w:t>区域空气质量现状评价表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9"/>
        <w:gridCol w:w="2907"/>
        <w:gridCol w:w="1687"/>
        <w:gridCol w:w="1472"/>
        <w:gridCol w:w="1129"/>
        <w:gridCol w:w="1090"/>
      </w:tblGrid>
      <w:tr w:rsidR="002133E3" w14:paraId="2474D835" w14:textId="77777777">
        <w:trPr>
          <w:trHeight w:val="340"/>
          <w:tblHeader/>
        </w:trPr>
        <w:tc>
          <w:tcPr>
            <w:tcW w:w="796" w:type="pct"/>
            <w:shd w:val="clear" w:color="auto" w:fill="auto"/>
            <w:vAlign w:val="center"/>
          </w:tcPr>
          <w:p w14:paraId="3C99D5A5"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污染物</w:t>
            </w:r>
          </w:p>
        </w:tc>
        <w:tc>
          <w:tcPr>
            <w:tcW w:w="1475" w:type="pct"/>
            <w:shd w:val="clear" w:color="auto" w:fill="auto"/>
            <w:vAlign w:val="center"/>
          </w:tcPr>
          <w:p w14:paraId="74A5F9DF"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年评价指标</w:t>
            </w:r>
          </w:p>
        </w:tc>
        <w:tc>
          <w:tcPr>
            <w:tcW w:w="856" w:type="pct"/>
            <w:shd w:val="clear" w:color="auto" w:fill="auto"/>
            <w:vAlign w:val="center"/>
          </w:tcPr>
          <w:p w14:paraId="1E6FE589"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现状浓度</w:t>
            </w:r>
            <w:r>
              <w:rPr>
                <w:rFonts w:ascii="Times New Roman" w:eastAsia="宋体" w:hAnsi="Times New Roman" w:cs="Times New Roman"/>
                <w:color w:val="0D0D0D"/>
                <w:szCs w:val="21"/>
              </w:rPr>
              <w:t>/</w:t>
            </w:r>
            <w:proofErr w:type="spellStart"/>
            <w:r>
              <w:rPr>
                <w:rFonts w:ascii="Times New Roman" w:eastAsia="宋体" w:hAnsi="Times New Roman" w:cs="Times New Roman"/>
                <w:color w:val="0D0D0D"/>
                <w:szCs w:val="21"/>
              </w:rPr>
              <w:t>μg</w:t>
            </w:r>
            <w:proofErr w:type="spellEnd"/>
            <w:r>
              <w:rPr>
                <w:rFonts w:ascii="Times New Roman" w:eastAsia="宋体" w:hAnsi="Times New Roman" w:cs="Times New Roman"/>
                <w:color w:val="0D0D0D"/>
                <w:szCs w:val="21"/>
              </w:rPr>
              <w:t>/m</w:t>
            </w:r>
            <w:r>
              <w:rPr>
                <w:rFonts w:ascii="Times New Roman" w:eastAsia="宋体" w:hAnsi="Times New Roman" w:cs="Times New Roman"/>
                <w:color w:val="0D0D0D"/>
                <w:szCs w:val="21"/>
                <w:vertAlign w:val="superscript"/>
              </w:rPr>
              <w:t>3</w:t>
            </w:r>
          </w:p>
        </w:tc>
        <w:tc>
          <w:tcPr>
            <w:tcW w:w="747" w:type="pct"/>
            <w:shd w:val="clear" w:color="auto" w:fill="auto"/>
            <w:vAlign w:val="center"/>
          </w:tcPr>
          <w:p w14:paraId="45C5869F"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标准值</w:t>
            </w:r>
            <w:r>
              <w:rPr>
                <w:rFonts w:ascii="Times New Roman" w:eastAsia="宋体" w:hAnsi="Times New Roman" w:cs="Times New Roman"/>
                <w:color w:val="0D0D0D"/>
                <w:szCs w:val="21"/>
              </w:rPr>
              <w:t>/</w:t>
            </w:r>
            <w:proofErr w:type="spellStart"/>
            <w:r>
              <w:rPr>
                <w:rFonts w:ascii="Times New Roman" w:eastAsia="宋体" w:hAnsi="Times New Roman" w:cs="Times New Roman"/>
                <w:color w:val="0D0D0D"/>
                <w:szCs w:val="21"/>
              </w:rPr>
              <w:t>μg</w:t>
            </w:r>
            <w:proofErr w:type="spellEnd"/>
            <w:r>
              <w:rPr>
                <w:rFonts w:ascii="Times New Roman" w:eastAsia="宋体" w:hAnsi="Times New Roman" w:cs="Times New Roman"/>
                <w:color w:val="0D0D0D"/>
                <w:szCs w:val="21"/>
              </w:rPr>
              <w:t>/m</w:t>
            </w:r>
            <w:r>
              <w:rPr>
                <w:rFonts w:ascii="Times New Roman" w:eastAsia="宋体" w:hAnsi="Times New Roman" w:cs="Times New Roman"/>
                <w:color w:val="0D0D0D"/>
                <w:szCs w:val="21"/>
                <w:vertAlign w:val="superscript"/>
              </w:rPr>
              <w:t>3</w:t>
            </w:r>
          </w:p>
        </w:tc>
        <w:tc>
          <w:tcPr>
            <w:tcW w:w="573" w:type="pct"/>
            <w:shd w:val="clear" w:color="auto" w:fill="auto"/>
            <w:vAlign w:val="center"/>
          </w:tcPr>
          <w:p w14:paraId="45CA5109"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占标率</w:t>
            </w:r>
            <w:r>
              <w:rPr>
                <w:rFonts w:ascii="Times New Roman" w:eastAsia="宋体" w:hAnsi="Times New Roman" w:cs="Times New Roman"/>
                <w:color w:val="0D0D0D"/>
                <w:szCs w:val="21"/>
              </w:rPr>
              <w:t>/%</w:t>
            </w:r>
          </w:p>
        </w:tc>
        <w:tc>
          <w:tcPr>
            <w:tcW w:w="553" w:type="pct"/>
            <w:shd w:val="clear" w:color="auto" w:fill="auto"/>
            <w:vAlign w:val="center"/>
          </w:tcPr>
          <w:p w14:paraId="7D93A6D9"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达标情况</w:t>
            </w:r>
          </w:p>
        </w:tc>
      </w:tr>
      <w:tr w:rsidR="002133E3" w14:paraId="1561BFB6" w14:textId="77777777">
        <w:trPr>
          <w:trHeight w:val="340"/>
        </w:trPr>
        <w:tc>
          <w:tcPr>
            <w:tcW w:w="796" w:type="pct"/>
            <w:shd w:val="clear" w:color="auto" w:fill="auto"/>
            <w:vAlign w:val="center"/>
          </w:tcPr>
          <w:p w14:paraId="31972905"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SO</w:t>
            </w:r>
            <w:r>
              <w:rPr>
                <w:rFonts w:ascii="Times New Roman" w:eastAsia="宋体" w:hAnsi="Times New Roman" w:cs="Times New Roman"/>
                <w:color w:val="0D0D0D"/>
                <w:szCs w:val="21"/>
                <w:vertAlign w:val="subscript"/>
              </w:rPr>
              <w:t>2</w:t>
            </w:r>
          </w:p>
        </w:tc>
        <w:tc>
          <w:tcPr>
            <w:tcW w:w="1475" w:type="pct"/>
            <w:shd w:val="clear" w:color="auto" w:fill="auto"/>
            <w:vAlign w:val="center"/>
          </w:tcPr>
          <w:p w14:paraId="0F0D6E66"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年平均质量浓度</w:t>
            </w:r>
          </w:p>
        </w:tc>
        <w:tc>
          <w:tcPr>
            <w:tcW w:w="856" w:type="pct"/>
            <w:shd w:val="clear" w:color="auto" w:fill="auto"/>
            <w:vAlign w:val="center"/>
          </w:tcPr>
          <w:p w14:paraId="115100C5"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13</w:t>
            </w:r>
          </w:p>
        </w:tc>
        <w:tc>
          <w:tcPr>
            <w:tcW w:w="747" w:type="pct"/>
            <w:shd w:val="clear" w:color="auto" w:fill="auto"/>
            <w:vAlign w:val="center"/>
          </w:tcPr>
          <w:p w14:paraId="6B974481"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60</w:t>
            </w:r>
          </w:p>
        </w:tc>
        <w:tc>
          <w:tcPr>
            <w:tcW w:w="573" w:type="pct"/>
            <w:shd w:val="clear" w:color="auto" w:fill="auto"/>
            <w:vAlign w:val="center"/>
          </w:tcPr>
          <w:p w14:paraId="252BF8E2"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21.67</w:t>
            </w:r>
          </w:p>
        </w:tc>
        <w:tc>
          <w:tcPr>
            <w:tcW w:w="553" w:type="pct"/>
            <w:vMerge w:val="restart"/>
            <w:shd w:val="clear" w:color="auto" w:fill="auto"/>
            <w:vAlign w:val="center"/>
          </w:tcPr>
          <w:p w14:paraId="22F7BEDC"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不达标区</w:t>
            </w:r>
          </w:p>
        </w:tc>
      </w:tr>
      <w:tr w:rsidR="002133E3" w14:paraId="4A643916" w14:textId="77777777">
        <w:trPr>
          <w:trHeight w:val="340"/>
        </w:trPr>
        <w:tc>
          <w:tcPr>
            <w:tcW w:w="796" w:type="pct"/>
            <w:shd w:val="clear" w:color="auto" w:fill="auto"/>
            <w:vAlign w:val="center"/>
          </w:tcPr>
          <w:p w14:paraId="62046F06"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NO</w:t>
            </w:r>
            <w:r>
              <w:rPr>
                <w:rFonts w:ascii="Times New Roman" w:eastAsia="宋体" w:hAnsi="Times New Roman" w:cs="Times New Roman"/>
                <w:color w:val="0D0D0D"/>
                <w:szCs w:val="21"/>
                <w:vertAlign w:val="subscript"/>
              </w:rPr>
              <w:t>2</w:t>
            </w:r>
          </w:p>
        </w:tc>
        <w:tc>
          <w:tcPr>
            <w:tcW w:w="1475" w:type="pct"/>
            <w:shd w:val="clear" w:color="auto" w:fill="auto"/>
            <w:vAlign w:val="center"/>
          </w:tcPr>
          <w:p w14:paraId="5F242513"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年平均质量浓度</w:t>
            </w:r>
          </w:p>
        </w:tc>
        <w:tc>
          <w:tcPr>
            <w:tcW w:w="856" w:type="pct"/>
            <w:shd w:val="clear" w:color="auto" w:fill="auto"/>
            <w:vAlign w:val="center"/>
          </w:tcPr>
          <w:p w14:paraId="08AF3953"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30</w:t>
            </w:r>
          </w:p>
        </w:tc>
        <w:tc>
          <w:tcPr>
            <w:tcW w:w="747" w:type="pct"/>
            <w:shd w:val="clear" w:color="auto" w:fill="auto"/>
            <w:vAlign w:val="center"/>
          </w:tcPr>
          <w:p w14:paraId="4536DC73"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40</w:t>
            </w:r>
          </w:p>
        </w:tc>
        <w:tc>
          <w:tcPr>
            <w:tcW w:w="573" w:type="pct"/>
            <w:shd w:val="clear" w:color="auto" w:fill="auto"/>
            <w:vAlign w:val="center"/>
          </w:tcPr>
          <w:p w14:paraId="64B40390"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75</w:t>
            </w:r>
          </w:p>
        </w:tc>
        <w:tc>
          <w:tcPr>
            <w:tcW w:w="553" w:type="pct"/>
            <w:vMerge/>
            <w:shd w:val="clear" w:color="auto" w:fill="auto"/>
            <w:vAlign w:val="center"/>
          </w:tcPr>
          <w:p w14:paraId="68F998B5" w14:textId="77777777" w:rsidR="002133E3" w:rsidRDefault="002133E3">
            <w:pPr>
              <w:adjustRightInd w:val="0"/>
              <w:snapToGrid w:val="0"/>
              <w:spacing w:line="280" w:lineRule="exact"/>
              <w:jc w:val="center"/>
              <w:rPr>
                <w:rFonts w:ascii="Times New Roman" w:eastAsia="宋体" w:hAnsi="Times New Roman" w:cs="Times New Roman"/>
                <w:color w:val="0D0D0D"/>
                <w:szCs w:val="21"/>
              </w:rPr>
            </w:pPr>
          </w:p>
        </w:tc>
      </w:tr>
      <w:tr w:rsidR="002133E3" w14:paraId="4A19F870" w14:textId="77777777">
        <w:trPr>
          <w:trHeight w:val="340"/>
        </w:trPr>
        <w:tc>
          <w:tcPr>
            <w:tcW w:w="796" w:type="pct"/>
            <w:shd w:val="clear" w:color="auto" w:fill="auto"/>
            <w:vAlign w:val="center"/>
          </w:tcPr>
          <w:p w14:paraId="01EED8F6"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臭氧</w:t>
            </w:r>
          </w:p>
        </w:tc>
        <w:tc>
          <w:tcPr>
            <w:tcW w:w="1475" w:type="pct"/>
            <w:shd w:val="clear" w:color="auto" w:fill="auto"/>
            <w:vAlign w:val="center"/>
          </w:tcPr>
          <w:p w14:paraId="43061249"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最大</w:t>
            </w:r>
            <w:r>
              <w:rPr>
                <w:rFonts w:ascii="Times New Roman" w:eastAsia="宋体" w:hAnsi="Times New Roman" w:cs="Times New Roman"/>
                <w:color w:val="0D0D0D"/>
                <w:szCs w:val="21"/>
              </w:rPr>
              <w:t>8</w:t>
            </w:r>
            <w:r>
              <w:rPr>
                <w:rFonts w:ascii="Times New Roman" w:eastAsia="宋体" w:hAnsi="Times New Roman" w:cs="Times New Roman"/>
                <w:color w:val="0D0D0D"/>
                <w:szCs w:val="21"/>
              </w:rPr>
              <w:t>小时</w:t>
            </w:r>
            <w:r>
              <w:rPr>
                <w:rFonts w:ascii="Times New Roman" w:eastAsia="宋体" w:hAnsi="Times New Roman" w:cs="Times New Roman"/>
                <w:color w:val="0D0D0D"/>
                <w:szCs w:val="21"/>
              </w:rPr>
              <w:t>90</w:t>
            </w:r>
            <w:r>
              <w:rPr>
                <w:rFonts w:ascii="Times New Roman" w:eastAsia="宋体" w:hAnsi="Times New Roman" w:cs="Times New Roman"/>
                <w:color w:val="0D0D0D"/>
                <w:szCs w:val="21"/>
              </w:rPr>
              <w:t>百分位浓度值</w:t>
            </w:r>
          </w:p>
        </w:tc>
        <w:tc>
          <w:tcPr>
            <w:tcW w:w="856" w:type="pct"/>
            <w:shd w:val="clear" w:color="auto" w:fill="auto"/>
            <w:vAlign w:val="center"/>
          </w:tcPr>
          <w:p w14:paraId="5AF847D9"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167</w:t>
            </w:r>
          </w:p>
        </w:tc>
        <w:tc>
          <w:tcPr>
            <w:tcW w:w="747" w:type="pct"/>
            <w:shd w:val="clear" w:color="auto" w:fill="auto"/>
            <w:vAlign w:val="center"/>
          </w:tcPr>
          <w:p w14:paraId="01E92BB3"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160</w:t>
            </w:r>
          </w:p>
        </w:tc>
        <w:tc>
          <w:tcPr>
            <w:tcW w:w="573" w:type="pct"/>
            <w:shd w:val="clear" w:color="auto" w:fill="auto"/>
            <w:vAlign w:val="center"/>
          </w:tcPr>
          <w:p w14:paraId="693E19AA"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104.38</w:t>
            </w:r>
          </w:p>
        </w:tc>
        <w:tc>
          <w:tcPr>
            <w:tcW w:w="553" w:type="pct"/>
            <w:vMerge/>
            <w:shd w:val="clear" w:color="auto" w:fill="auto"/>
            <w:vAlign w:val="center"/>
          </w:tcPr>
          <w:p w14:paraId="0E6B6BF9" w14:textId="77777777" w:rsidR="002133E3" w:rsidRDefault="002133E3">
            <w:pPr>
              <w:adjustRightInd w:val="0"/>
              <w:snapToGrid w:val="0"/>
              <w:spacing w:line="280" w:lineRule="exact"/>
              <w:jc w:val="center"/>
              <w:rPr>
                <w:rFonts w:ascii="Times New Roman" w:eastAsia="宋体" w:hAnsi="Times New Roman" w:cs="Times New Roman"/>
                <w:color w:val="0D0D0D"/>
                <w:szCs w:val="21"/>
              </w:rPr>
            </w:pPr>
          </w:p>
        </w:tc>
      </w:tr>
      <w:tr w:rsidR="002133E3" w14:paraId="2CB73CBA" w14:textId="77777777">
        <w:trPr>
          <w:trHeight w:val="340"/>
        </w:trPr>
        <w:tc>
          <w:tcPr>
            <w:tcW w:w="796" w:type="pct"/>
            <w:shd w:val="clear" w:color="auto" w:fill="auto"/>
            <w:vAlign w:val="center"/>
          </w:tcPr>
          <w:p w14:paraId="615CB761"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CO</w:t>
            </w:r>
            <w:r>
              <w:rPr>
                <w:rFonts w:ascii="Times New Roman" w:eastAsia="宋体" w:hAnsi="Times New Roman" w:cs="Times New Roman"/>
                <w:color w:val="0D0D0D"/>
                <w:szCs w:val="21"/>
              </w:rPr>
              <w:t>（</w:t>
            </w:r>
            <w:r>
              <w:rPr>
                <w:rFonts w:ascii="Times New Roman" w:eastAsia="宋体" w:hAnsi="Times New Roman" w:cs="Times New Roman"/>
                <w:color w:val="0D0D0D"/>
                <w:szCs w:val="21"/>
              </w:rPr>
              <w:t>mg/m</w:t>
            </w:r>
            <w:r>
              <w:rPr>
                <w:rFonts w:ascii="Times New Roman" w:eastAsia="宋体" w:hAnsi="Times New Roman" w:cs="Times New Roman"/>
                <w:color w:val="0D0D0D"/>
                <w:szCs w:val="21"/>
                <w:vertAlign w:val="superscript"/>
              </w:rPr>
              <w:t>3</w:t>
            </w:r>
            <w:r>
              <w:rPr>
                <w:rFonts w:ascii="Times New Roman" w:eastAsia="宋体" w:hAnsi="Times New Roman" w:cs="Times New Roman"/>
                <w:color w:val="0D0D0D"/>
                <w:szCs w:val="21"/>
              </w:rPr>
              <w:t>）</w:t>
            </w:r>
          </w:p>
        </w:tc>
        <w:tc>
          <w:tcPr>
            <w:tcW w:w="1475" w:type="pct"/>
            <w:shd w:val="clear" w:color="auto" w:fill="auto"/>
            <w:vAlign w:val="center"/>
          </w:tcPr>
          <w:p w14:paraId="3CF3E426"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日均值</w:t>
            </w:r>
            <w:r>
              <w:rPr>
                <w:rFonts w:ascii="Times New Roman" w:eastAsia="宋体" w:hAnsi="Times New Roman" w:cs="Times New Roman"/>
                <w:color w:val="0D0D0D"/>
                <w:szCs w:val="21"/>
              </w:rPr>
              <w:t>95</w:t>
            </w:r>
            <w:r>
              <w:rPr>
                <w:rFonts w:ascii="Times New Roman" w:eastAsia="宋体" w:hAnsi="Times New Roman" w:cs="Times New Roman"/>
                <w:color w:val="0D0D0D"/>
                <w:szCs w:val="21"/>
              </w:rPr>
              <w:t>百分位浓度值</w:t>
            </w:r>
          </w:p>
        </w:tc>
        <w:tc>
          <w:tcPr>
            <w:tcW w:w="856" w:type="pct"/>
            <w:shd w:val="clear" w:color="auto" w:fill="auto"/>
            <w:vAlign w:val="center"/>
          </w:tcPr>
          <w:p w14:paraId="73844C76"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1500</w:t>
            </w:r>
          </w:p>
        </w:tc>
        <w:tc>
          <w:tcPr>
            <w:tcW w:w="747" w:type="pct"/>
            <w:shd w:val="clear" w:color="auto" w:fill="auto"/>
            <w:vAlign w:val="center"/>
          </w:tcPr>
          <w:p w14:paraId="35762FB9"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4000</w:t>
            </w:r>
          </w:p>
        </w:tc>
        <w:tc>
          <w:tcPr>
            <w:tcW w:w="573" w:type="pct"/>
            <w:shd w:val="clear" w:color="auto" w:fill="auto"/>
            <w:vAlign w:val="center"/>
          </w:tcPr>
          <w:p w14:paraId="12119291"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37.5</w:t>
            </w:r>
          </w:p>
        </w:tc>
        <w:tc>
          <w:tcPr>
            <w:tcW w:w="553" w:type="pct"/>
            <w:vMerge/>
            <w:shd w:val="clear" w:color="auto" w:fill="auto"/>
            <w:vAlign w:val="center"/>
          </w:tcPr>
          <w:p w14:paraId="47308DA8" w14:textId="77777777" w:rsidR="002133E3" w:rsidRDefault="002133E3">
            <w:pPr>
              <w:adjustRightInd w:val="0"/>
              <w:snapToGrid w:val="0"/>
              <w:spacing w:line="280" w:lineRule="exact"/>
              <w:jc w:val="center"/>
              <w:rPr>
                <w:rFonts w:ascii="Times New Roman" w:eastAsia="宋体" w:hAnsi="Times New Roman" w:cs="Times New Roman"/>
                <w:color w:val="0D0D0D"/>
                <w:szCs w:val="21"/>
              </w:rPr>
            </w:pPr>
          </w:p>
        </w:tc>
      </w:tr>
      <w:tr w:rsidR="002133E3" w14:paraId="55E246D1" w14:textId="77777777">
        <w:trPr>
          <w:trHeight w:val="340"/>
        </w:trPr>
        <w:tc>
          <w:tcPr>
            <w:tcW w:w="796" w:type="pct"/>
            <w:shd w:val="clear" w:color="auto" w:fill="auto"/>
            <w:vAlign w:val="center"/>
          </w:tcPr>
          <w:p w14:paraId="0CA1651E"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PM10</w:t>
            </w:r>
          </w:p>
        </w:tc>
        <w:tc>
          <w:tcPr>
            <w:tcW w:w="1475" w:type="pct"/>
            <w:shd w:val="clear" w:color="auto" w:fill="auto"/>
            <w:vAlign w:val="center"/>
          </w:tcPr>
          <w:p w14:paraId="26B0F68F"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年平均质量浓度</w:t>
            </w:r>
          </w:p>
        </w:tc>
        <w:tc>
          <w:tcPr>
            <w:tcW w:w="856" w:type="pct"/>
            <w:shd w:val="clear" w:color="auto" w:fill="auto"/>
            <w:vAlign w:val="center"/>
          </w:tcPr>
          <w:p w14:paraId="6DEF8A70"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69</w:t>
            </w:r>
          </w:p>
        </w:tc>
        <w:tc>
          <w:tcPr>
            <w:tcW w:w="747" w:type="pct"/>
            <w:shd w:val="clear" w:color="auto" w:fill="auto"/>
            <w:vAlign w:val="center"/>
          </w:tcPr>
          <w:p w14:paraId="199ED743"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70</w:t>
            </w:r>
          </w:p>
        </w:tc>
        <w:tc>
          <w:tcPr>
            <w:tcW w:w="573" w:type="pct"/>
            <w:shd w:val="clear" w:color="auto" w:fill="auto"/>
            <w:vAlign w:val="center"/>
          </w:tcPr>
          <w:p w14:paraId="7DB4E074"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98.57</w:t>
            </w:r>
          </w:p>
        </w:tc>
        <w:tc>
          <w:tcPr>
            <w:tcW w:w="553" w:type="pct"/>
            <w:vMerge/>
            <w:shd w:val="clear" w:color="auto" w:fill="auto"/>
            <w:vAlign w:val="center"/>
          </w:tcPr>
          <w:p w14:paraId="1F13CE69" w14:textId="77777777" w:rsidR="002133E3" w:rsidRDefault="002133E3">
            <w:pPr>
              <w:adjustRightInd w:val="0"/>
              <w:snapToGrid w:val="0"/>
              <w:spacing w:line="280" w:lineRule="exact"/>
              <w:jc w:val="center"/>
              <w:rPr>
                <w:rFonts w:ascii="Times New Roman" w:eastAsia="宋体" w:hAnsi="Times New Roman" w:cs="Times New Roman"/>
                <w:color w:val="0D0D0D"/>
                <w:szCs w:val="21"/>
              </w:rPr>
            </w:pPr>
          </w:p>
        </w:tc>
      </w:tr>
      <w:tr w:rsidR="002133E3" w14:paraId="3076C338" w14:textId="77777777">
        <w:trPr>
          <w:trHeight w:val="340"/>
        </w:trPr>
        <w:tc>
          <w:tcPr>
            <w:tcW w:w="796" w:type="pct"/>
            <w:shd w:val="clear" w:color="auto" w:fill="auto"/>
            <w:vAlign w:val="center"/>
          </w:tcPr>
          <w:p w14:paraId="64C3B45D"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PM2.5</w:t>
            </w:r>
          </w:p>
        </w:tc>
        <w:tc>
          <w:tcPr>
            <w:tcW w:w="1475" w:type="pct"/>
            <w:shd w:val="clear" w:color="auto" w:fill="auto"/>
            <w:vAlign w:val="center"/>
          </w:tcPr>
          <w:p w14:paraId="42EB37F7"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年平均质量浓度</w:t>
            </w:r>
          </w:p>
        </w:tc>
        <w:tc>
          <w:tcPr>
            <w:tcW w:w="856" w:type="pct"/>
            <w:shd w:val="clear" w:color="auto" w:fill="auto"/>
            <w:vAlign w:val="center"/>
          </w:tcPr>
          <w:p w14:paraId="54CED2F3"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42</w:t>
            </w:r>
          </w:p>
        </w:tc>
        <w:tc>
          <w:tcPr>
            <w:tcW w:w="747" w:type="pct"/>
            <w:shd w:val="clear" w:color="auto" w:fill="auto"/>
            <w:vAlign w:val="center"/>
          </w:tcPr>
          <w:p w14:paraId="1D7F946A"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35</w:t>
            </w:r>
          </w:p>
        </w:tc>
        <w:tc>
          <w:tcPr>
            <w:tcW w:w="573" w:type="pct"/>
            <w:shd w:val="clear" w:color="auto" w:fill="auto"/>
            <w:vAlign w:val="center"/>
          </w:tcPr>
          <w:p w14:paraId="426D5BB5" w14:textId="77777777" w:rsidR="002133E3" w:rsidRDefault="00C22CFA">
            <w:pPr>
              <w:adjustRightInd w:val="0"/>
              <w:snapToGrid w:val="0"/>
              <w:spacing w:line="280" w:lineRule="exact"/>
              <w:jc w:val="center"/>
              <w:rPr>
                <w:rFonts w:ascii="Times New Roman" w:eastAsia="宋体" w:hAnsi="Times New Roman" w:cs="Times New Roman"/>
                <w:color w:val="0D0D0D"/>
                <w:szCs w:val="21"/>
              </w:rPr>
            </w:pPr>
            <w:r>
              <w:rPr>
                <w:rFonts w:ascii="Times New Roman" w:eastAsia="宋体" w:hAnsi="Times New Roman" w:cs="Times New Roman"/>
                <w:color w:val="0D0D0D"/>
                <w:szCs w:val="21"/>
              </w:rPr>
              <w:t>120</w:t>
            </w:r>
          </w:p>
        </w:tc>
        <w:tc>
          <w:tcPr>
            <w:tcW w:w="553" w:type="pct"/>
            <w:vMerge/>
            <w:shd w:val="clear" w:color="auto" w:fill="auto"/>
            <w:vAlign w:val="center"/>
          </w:tcPr>
          <w:p w14:paraId="7864073E" w14:textId="77777777" w:rsidR="002133E3" w:rsidRDefault="002133E3">
            <w:pPr>
              <w:adjustRightInd w:val="0"/>
              <w:snapToGrid w:val="0"/>
              <w:spacing w:line="280" w:lineRule="exact"/>
              <w:jc w:val="center"/>
              <w:rPr>
                <w:rFonts w:ascii="Times New Roman" w:eastAsia="宋体" w:hAnsi="Times New Roman" w:cs="Times New Roman"/>
                <w:color w:val="0D0D0D"/>
                <w:szCs w:val="21"/>
              </w:rPr>
            </w:pPr>
          </w:p>
        </w:tc>
      </w:tr>
    </w:tbl>
    <w:p w14:paraId="572C122F" w14:textId="77777777" w:rsidR="002133E3" w:rsidRDefault="00C22CFA">
      <w:pPr>
        <w:spacing w:line="500" w:lineRule="exact"/>
        <w:ind w:firstLineChars="200" w:firstLine="560"/>
        <w:rPr>
          <w:rFonts w:ascii="Times New Roman" w:eastAsia="宋体" w:hAnsi="Times New Roman" w:cs="Times New Roman"/>
          <w:spacing w:val="-9"/>
          <w:sz w:val="28"/>
          <w:szCs w:val="28"/>
        </w:rPr>
      </w:pPr>
      <w:r>
        <w:rPr>
          <w:rFonts w:ascii="Times New Roman" w:eastAsia="宋体" w:hAnsi="Times New Roman" w:cs="Times New Roman"/>
          <w:color w:val="0D0D0D"/>
          <w:sz w:val="28"/>
          <w:szCs w:val="28"/>
        </w:rPr>
        <w:t>经调查，</w:t>
      </w:r>
      <w:r>
        <w:rPr>
          <w:rFonts w:ascii="Times New Roman" w:eastAsia="宋体" w:hAnsi="Times New Roman" w:cs="Times New Roman"/>
          <w:color w:val="0D0D0D"/>
          <w:sz w:val="28"/>
          <w:szCs w:val="28"/>
        </w:rPr>
        <w:t>2019</w:t>
      </w:r>
      <w:r>
        <w:rPr>
          <w:rFonts w:ascii="Times New Roman" w:eastAsia="宋体" w:hAnsi="Times New Roman" w:cs="Times New Roman"/>
          <w:color w:val="0D0D0D"/>
          <w:sz w:val="28"/>
          <w:szCs w:val="28"/>
        </w:rPr>
        <w:t>年连云港市环境空气中，</w:t>
      </w:r>
      <w:r>
        <w:rPr>
          <w:rFonts w:ascii="Times New Roman" w:eastAsia="宋体" w:hAnsi="Times New Roman" w:cs="Times New Roman"/>
          <w:color w:val="0D0D0D"/>
          <w:sz w:val="28"/>
          <w:szCs w:val="28"/>
        </w:rPr>
        <w:t>SO</w:t>
      </w:r>
      <w:r>
        <w:rPr>
          <w:rFonts w:ascii="Times New Roman" w:eastAsia="宋体" w:hAnsi="Times New Roman" w:cs="Times New Roman"/>
          <w:color w:val="0D0D0D"/>
          <w:sz w:val="28"/>
          <w:szCs w:val="28"/>
          <w:vertAlign w:val="subscript"/>
        </w:rPr>
        <w:t>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NO</w:t>
      </w:r>
      <w:r>
        <w:rPr>
          <w:rFonts w:ascii="Times New Roman" w:eastAsia="宋体" w:hAnsi="Times New Roman" w:cs="Times New Roman"/>
          <w:color w:val="0D0D0D"/>
          <w:sz w:val="28"/>
          <w:szCs w:val="28"/>
          <w:vertAlign w:val="subscript"/>
        </w:rPr>
        <w:t>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PM</w:t>
      </w:r>
      <w:r>
        <w:rPr>
          <w:rFonts w:ascii="Times New Roman" w:eastAsia="宋体" w:hAnsi="Times New Roman" w:cs="Times New Roman"/>
          <w:color w:val="0D0D0D"/>
          <w:sz w:val="28"/>
          <w:szCs w:val="28"/>
          <w:vertAlign w:val="subscript"/>
        </w:rPr>
        <w:t>10</w:t>
      </w:r>
      <w:r>
        <w:rPr>
          <w:rFonts w:ascii="Times New Roman" w:eastAsia="宋体" w:hAnsi="Times New Roman" w:cs="Times New Roman"/>
          <w:color w:val="0D0D0D"/>
          <w:sz w:val="28"/>
          <w:szCs w:val="28"/>
        </w:rPr>
        <w:t>年平均浓度、</w:t>
      </w:r>
      <w:r>
        <w:rPr>
          <w:rFonts w:ascii="Times New Roman" w:eastAsia="宋体" w:hAnsi="Times New Roman" w:cs="Times New Roman"/>
          <w:color w:val="0D0D0D"/>
          <w:sz w:val="28"/>
          <w:szCs w:val="28"/>
        </w:rPr>
        <w:t>CO</w:t>
      </w:r>
      <w:r>
        <w:rPr>
          <w:rFonts w:ascii="Times New Roman" w:eastAsia="宋体" w:hAnsi="Times New Roman" w:cs="Times New Roman"/>
          <w:color w:val="0D0D0D"/>
          <w:sz w:val="28"/>
          <w:szCs w:val="28"/>
        </w:rPr>
        <w:t>日均值的第</w:t>
      </w:r>
      <w:r>
        <w:rPr>
          <w:rFonts w:ascii="Times New Roman" w:eastAsia="宋体" w:hAnsi="Times New Roman" w:cs="Times New Roman"/>
          <w:color w:val="0D0D0D"/>
          <w:sz w:val="28"/>
          <w:szCs w:val="28"/>
        </w:rPr>
        <w:t>95</w:t>
      </w:r>
      <w:r>
        <w:rPr>
          <w:rFonts w:ascii="Times New Roman" w:eastAsia="宋体" w:hAnsi="Times New Roman" w:cs="Times New Roman"/>
          <w:color w:val="0D0D0D"/>
          <w:sz w:val="28"/>
          <w:szCs w:val="28"/>
        </w:rPr>
        <w:t>百分位浓度符合国家二级标准要求；臭氧</w:t>
      </w:r>
      <w:r>
        <w:rPr>
          <w:rFonts w:ascii="Times New Roman" w:eastAsia="宋体" w:hAnsi="Times New Roman" w:cs="Times New Roman"/>
          <w:color w:val="0D0D0D"/>
          <w:sz w:val="28"/>
          <w:szCs w:val="28"/>
        </w:rPr>
        <w:t>8</w:t>
      </w:r>
      <w:r>
        <w:rPr>
          <w:rFonts w:ascii="Times New Roman" w:eastAsia="宋体" w:hAnsi="Times New Roman" w:cs="Times New Roman"/>
          <w:color w:val="0D0D0D"/>
          <w:sz w:val="28"/>
          <w:szCs w:val="28"/>
        </w:rPr>
        <w:t>小时第</w:t>
      </w:r>
      <w:r>
        <w:rPr>
          <w:rFonts w:ascii="Times New Roman" w:eastAsia="宋体" w:hAnsi="Times New Roman" w:cs="Times New Roman"/>
          <w:color w:val="0D0D0D"/>
          <w:sz w:val="28"/>
          <w:szCs w:val="28"/>
        </w:rPr>
        <w:t>90</w:t>
      </w:r>
      <w:r>
        <w:rPr>
          <w:rFonts w:ascii="Times New Roman" w:eastAsia="宋体" w:hAnsi="Times New Roman" w:cs="Times New Roman"/>
          <w:color w:val="0D0D0D"/>
          <w:sz w:val="28"/>
          <w:szCs w:val="28"/>
        </w:rPr>
        <w:t>位百分位浓度、</w:t>
      </w:r>
      <w:r>
        <w:rPr>
          <w:rFonts w:ascii="Times New Roman" w:eastAsia="宋体" w:hAnsi="Times New Roman" w:cs="Times New Roman"/>
          <w:color w:val="0D0D0D"/>
          <w:sz w:val="28"/>
          <w:szCs w:val="28"/>
        </w:rPr>
        <w:t>PM</w:t>
      </w:r>
      <w:r>
        <w:rPr>
          <w:rFonts w:ascii="Times New Roman" w:eastAsia="宋体" w:hAnsi="Times New Roman" w:cs="Times New Roman"/>
          <w:color w:val="0D0D0D"/>
          <w:sz w:val="28"/>
          <w:szCs w:val="28"/>
          <w:vertAlign w:val="subscript"/>
        </w:rPr>
        <w:t>2.5</w:t>
      </w:r>
      <w:r>
        <w:rPr>
          <w:rFonts w:ascii="Times New Roman" w:eastAsia="宋体" w:hAnsi="Times New Roman" w:cs="Times New Roman"/>
          <w:color w:val="0D0D0D"/>
          <w:sz w:val="28"/>
          <w:szCs w:val="28"/>
        </w:rPr>
        <w:t>年平均浓度均超过《环境空气质量标准》（</w:t>
      </w:r>
      <w:r>
        <w:rPr>
          <w:rFonts w:ascii="Times New Roman" w:eastAsia="宋体" w:hAnsi="Times New Roman" w:cs="Times New Roman"/>
          <w:color w:val="0D0D0D"/>
          <w:sz w:val="28"/>
          <w:szCs w:val="28"/>
        </w:rPr>
        <w:t>GB3095-2012</w:t>
      </w:r>
      <w:r>
        <w:rPr>
          <w:rFonts w:ascii="Times New Roman" w:eastAsia="宋体" w:hAnsi="Times New Roman" w:cs="Times New Roman"/>
          <w:color w:val="0D0D0D"/>
          <w:sz w:val="28"/>
          <w:szCs w:val="28"/>
        </w:rPr>
        <w:t>）二级标准值。根据《环境影响评价技术导则大气环境》（</w:t>
      </w:r>
      <w:r>
        <w:rPr>
          <w:rFonts w:ascii="Times New Roman" w:eastAsia="宋体" w:hAnsi="Times New Roman" w:cs="Times New Roman"/>
          <w:color w:val="0D0D0D"/>
          <w:sz w:val="28"/>
          <w:szCs w:val="28"/>
        </w:rPr>
        <w:t>HJ2.2-2018</w:t>
      </w:r>
      <w:r>
        <w:rPr>
          <w:rFonts w:ascii="Times New Roman" w:eastAsia="宋体" w:hAnsi="Times New Roman" w:cs="Times New Roman"/>
          <w:color w:val="0D0D0D"/>
          <w:sz w:val="28"/>
          <w:szCs w:val="28"/>
        </w:rPr>
        <w:t>），连云港市环境控制属于不达标区。</w:t>
      </w:r>
    </w:p>
    <w:p w14:paraId="50C282E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环境空气整治规划</w:t>
      </w:r>
    </w:p>
    <w:p w14:paraId="51255626"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⑴</w:t>
      </w:r>
      <w:r>
        <w:rPr>
          <w:rFonts w:ascii="Times New Roman" w:eastAsia="宋体" w:hAnsi="Times New Roman" w:cs="Times New Roman"/>
          <w:color w:val="0D0D0D"/>
          <w:sz w:val="28"/>
          <w:szCs w:val="28"/>
        </w:rPr>
        <w:t>PM</w:t>
      </w:r>
      <w:r>
        <w:rPr>
          <w:rFonts w:ascii="Times New Roman" w:eastAsia="宋体" w:hAnsi="Times New Roman" w:cs="Times New Roman"/>
          <w:color w:val="0D0D0D"/>
          <w:sz w:val="28"/>
          <w:szCs w:val="28"/>
          <w:vertAlign w:val="subscript"/>
        </w:rPr>
        <w:t>2.5</w:t>
      </w:r>
    </w:p>
    <w:p w14:paraId="2066D569"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连云港市</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两减六治三提升</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专项行动实施方案针对粉尘废气提出了整治燃煤锅炉。</w:t>
      </w:r>
      <w:r>
        <w:rPr>
          <w:rFonts w:ascii="Times New Roman" w:eastAsia="宋体" w:hAnsi="Times New Roman" w:cs="Times New Roman"/>
          <w:color w:val="0D0D0D"/>
          <w:sz w:val="28"/>
          <w:szCs w:val="28"/>
        </w:rPr>
        <w:t>2017</w:t>
      </w:r>
      <w:r>
        <w:rPr>
          <w:rFonts w:ascii="Times New Roman" w:eastAsia="宋体" w:hAnsi="Times New Roman" w:cs="Times New Roman"/>
          <w:color w:val="0D0D0D"/>
          <w:sz w:val="28"/>
          <w:szCs w:val="28"/>
        </w:rPr>
        <w:t>年底前，</w:t>
      </w:r>
      <w:r>
        <w:rPr>
          <w:rFonts w:ascii="Times New Roman" w:eastAsia="宋体" w:hAnsi="Times New Roman" w:cs="Times New Roman"/>
          <w:color w:val="0D0D0D"/>
          <w:sz w:val="28"/>
          <w:szCs w:val="28"/>
        </w:rPr>
        <w:t>10</w:t>
      </w:r>
      <w:r>
        <w:rPr>
          <w:rFonts w:ascii="Times New Roman" w:eastAsia="宋体" w:hAnsi="Times New Roman" w:cs="Times New Roman"/>
          <w:color w:val="0D0D0D"/>
          <w:sz w:val="28"/>
          <w:szCs w:val="28"/>
        </w:rPr>
        <w:t>蒸吨</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小时及以下燃煤锅炉全部淘汰或实施清洁能源替代；</w:t>
      </w:r>
      <w:r>
        <w:rPr>
          <w:rFonts w:ascii="Times New Roman" w:eastAsia="宋体" w:hAnsi="Times New Roman" w:cs="Times New Roman"/>
          <w:color w:val="0D0D0D"/>
          <w:sz w:val="28"/>
          <w:szCs w:val="28"/>
        </w:rPr>
        <w:t>2019</w:t>
      </w:r>
      <w:r>
        <w:rPr>
          <w:rFonts w:ascii="Times New Roman" w:eastAsia="宋体" w:hAnsi="Times New Roman" w:cs="Times New Roman"/>
          <w:color w:val="0D0D0D"/>
          <w:sz w:val="28"/>
          <w:szCs w:val="28"/>
        </w:rPr>
        <w:t>年底前，</w:t>
      </w:r>
      <w:r>
        <w:rPr>
          <w:rFonts w:ascii="Times New Roman" w:eastAsia="宋体" w:hAnsi="Times New Roman" w:cs="Times New Roman"/>
          <w:color w:val="0D0D0D"/>
          <w:sz w:val="28"/>
          <w:szCs w:val="28"/>
        </w:rPr>
        <w:t>35</w:t>
      </w:r>
      <w:r>
        <w:rPr>
          <w:rFonts w:ascii="Times New Roman" w:eastAsia="宋体" w:hAnsi="Times New Roman" w:cs="Times New Roman"/>
          <w:color w:val="0D0D0D"/>
          <w:sz w:val="28"/>
          <w:szCs w:val="28"/>
        </w:rPr>
        <w:t>蒸吨</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小时及以下燃煤锅炉全部淘汰或实施清洁能源替代，</w:t>
      </w:r>
      <w:r>
        <w:rPr>
          <w:rFonts w:ascii="Times New Roman" w:eastAsia="宋体" w:hAnsi="Times New Roman" w:cs="Times New Roman"/>
          <w:color w:val="0D0D0D"/>
          <w:sz w:val="28"/>
          <w:szCs w:val="28"/>
        </w:rPr>
        <w:t>65</w:t>
      </w:r>
      <w:r>
        <w:rPr>
          <w:rFonts w:ascii="Times New Roman" w:eastAsia="宋体" w:hAnsi="Times New Roman" w:cs="Times New Roman"/>
          <w:color w:val="0D0D0D"/>
          <w:sz w:val="28"/>
          <w:szCs w:val="28"/>
        </w:rPr>
        <w:t>蒸吨</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小时及以上燃煤锅炉全部实现超低排放，其余燃煤锅炉全部达到特别排放限值。</w:t>
      </w:r>
    </w:p>
    <w:p w14:paraId="2415DC50"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连云港市环境保护局于</w:t>
      </w:r>
      <w:r>
        <w:rPr>
          <w:rFonts w:ascii="Times New Roman" w:eastAsia="宋体" w:hAnsi="Times New Roman" w:cs="Times New Roman"/>
          <w:color w:val="0D0D0D"/>
          <w:sz w:val="28"/>
          <w:szCs w:val="28"/>
        </w:rPr>
        <w:t>2016</w:t>
      </w:r>
      <w:r>
        <w:rPr>
          <w:rFonts w:ascii="Times New Roman" w:eastAsia="宋体" w:hAnsi="Times New Roman" w:cs="Times New Roman"/>
          <w:color w:val="0D0D0D"/>
          <w:sz w:val="28"/>
          <w:szCs w:val="28"/>
        </w:rPr>
        <w:t>年委托环境保护部华南环境科学研究所编制《连云港市空气质量达标规划》，达标规划的目标如下：</w:t>
      </w:r>
    </w:p>
    <w:p w14:paraId="75B1A141"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①</w:t>
      </w:r>
      <w:r>
        <w:rPr>
          <w:rFonts w:ascii="Times New Roman" w:eastAsia="宋体" w:hAnsi="Times New Roman" w:cs="Times New Roman"/>
          <w:color w:val="0D0D0D"/>
          <w:sz w:val="28"/>
          <w:szCs w:val="28"/>
        </w:rPr>
        <w:t>到</w:t>
      </w:r>
      <w:r>
        <w:rPr>
          <w:rFonts w:ascii="Times New Roman" w:eastAsia="宋体" w:hAnsi="Times New Roman" w:cs="Times New Roman"/>
          <w:color w:val="0D0D0D"/>
          <w:sz w:val="28"/>
          <w:szCs w:val="28"/>
        </w:rPr>
        <w:t>2020</w:t>
      </w:r>
      <w:r>
        <w:rPr>
          <w:rFonts w:ascii="Times New Roman" w:eastAsia="宋体" w:hAnsi="Times New Roman" w:cs="Times New Roman"/>
          <w:color w:val="0D0D0D"/>
          <w:sz w:val="28"/>
          <w:szCs w:val="28"/>
        </w:rPr>
        <w:t>年，</w:t>
      </w:r>
      <w:r>
        <w:rPr>
          <w:rFonts w:ascii="Times New Roman" w:eastAsia="宋体" w:hAnsi="Times New Roman" w:cs="Times New Roman"/>
          <w:color w:val="0D0D0D"/>
          <w:sz w:val="28"/>
          <w:szCs w:val="28"/>
        </w:rPr>
        <w:t>PM</w:t>
      </w:r>
      <w:r>
        <w:rPr>
          <w:rFonts w:ascii="Times New Roman" w:eastAsia="宋体" w:hAnsi="Times New Roman" w:cs="Times New Roman"/>
          <w:color w:val="0D0D0D"/>
          <w:sz w:val="28"/>
          <w:szCs w:val="28"/>
          <w:vertAlign w:val="subscript"/>
        </w:rPr>
        <w:t>2.5</w:t>
      </w:r>
      <w:r>
        <w:rPr>
          <w:rFonts w:ascii="Times New Roman" w:eastAsia="宋体" w:hAnsi="Times New Roman" w:cs="Times New Roman"/>
          <w:color w:val="0D0D0D"/>
          <w:sz w:val="28"/>
          <w:szCs w:val="28"/>
        </w:rPr>
        <w:t>年均浓度较</w:t>
      </w:r>
      <w:r>
        <w:rPr>
          <w:rFonts w:ascii="Times New Roman" w:eastAsia="宋体" w:hAnsi="Times New Roman" w:cs="Times New Roman"/>
          <w:color w:val="0D0D0D"/>
          <w:sz w:val="28"/>
          <w:szCs w:val="28"/>
        </w:rPr>
        <w:t>2015</w:t>
      </w:r>
      <w:r>
        <w:rPr>
          <w:rFonts w:ascii="Times New Roman" w:eastAsia="宋体" w:hAnsi="Times New Roman" w:cs="Times New Roman"/>
          <w:color w:val="0D0D0D"/>
          <w:sz w:val="28"/>
          <w:szCs w:val="28"/>
        </w:rPr>
        <w:t>年（</w:t>
      </w:r>
      <w:r>
        <w:rPr>
          <w:rFonts w:ascii="Times New Roman" w:eastAsia="宋体" w:hAnsi="Times New Roman" w:cs="Times New Roman"/>
          <w:color w:val="0D0D0D"/>
          <w:sz w:val="28"/>
          <w:szCs w:val="28"/>
        </w:rPr>
        <w:t>55</w:t>
      </w:r>
      <w:r>
        <w:rPr>
          <w:rFonts w:ascii="Times New Roman" w:eastAsia="宋体" w:hAnsi="Times New Roman" w:cs="Times New Roman"/>
          <w:color w:val="0D0D0D"/>
          <w:sz w:val="28"/>
          <w:szCs w:val="28"/>
        </w:rPr>
        <w:t>微克</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立方米）下降</w:t>
      </w:r>
      <w:r>
        <w:rPr>
          <w:rFonts w:ascii="Times New Roman" w:eastAsia="宋体" w:hAnsi="Times New Roman" w:cs="Times New Roman"/>
          <w:color w:val="0D0D0D"/>
          <w:sz w:val="28"/>
          <w:szCs w:val="28"/>
        </w:rPr>
        <w:t xml:space="preserve"> 20%</w:t>
      </w:r>
      <w:r>
        <w:rPr>
          <w:rFonts w:ascii="Times New Roman" w:eastAsia="宋体" w:hAnsi="Times New Roman" w:cs="Times New Roman"/>
          <w:color w:val="0D0D0D"/>
          <w:sz w:val="28"/>
          <w:szCs w:val="28"/>
        </w:rPr>
        <w:t>，下降至</w:t>
      </w:r>
      <w:r>
        <w:rPr>
          <w:rFonts w:ascii="Times New Roman" w:eastAsia="宋体" w:hAnsi="Times New Roman" w:cs="Times New Roman"/>
          <w:color w:val="0D0D0D"/>
          <w:sz w:val="28"/>
          <w:szCs w:val="28"/>
        </w:rPr>
        <w:t>44</w:t>
      </w:r>
      <w:r>
        <w:rPr>
          <w:rFonts w:ascii="Times New Roman" w:eastAsia="宋体" w:hAnsi="Times New Roman" w:cs="Times New Roman"/>
          <w:color w:val="0D0D0D"/>
          <w:sz w:val="28"/>
          <w:szCs w:val="28"/>
        </w:rPr>
        <w:t>微克</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立方米左右（</w:t>
      </w:r>
      <w:r>
        <w:rPr>
          <w:rFonts w:ascii="Times New Roman" w:eastAsia="宋体" w:hAnsi="Times New Roman" w:cs="Times New Roman"/>
          <w:color w:val="0D0D0D"/>
          <w:sz w:val="28"/>
          <w:szCs w:val="28"/>
        </w:rPr>
        <w:t>2019</w:t>
      </w:r>
      <w:r>
        <w:rPr>
          <w:rFonts w:ascii="Times New Roman" w:eastAsia="宋体" w:hAnsi="Times New Roman" w:cs="Times New Roman"/>
          <w:color w:val="0D0D0D"/>
          <w:sz w:val="28"/>
          <w:szCs w:val="28"/>
        </w:rPr>
        <w:t>年均浓度为</w:t>
      </w:r>
      <w:r>
        <w:rPr>
          <w:rFonts w:ascii="Times New Roman" w:eastAsia="宋体" w:hAnsi="Times New Roman" w:cs="Times New Roman"/>
          <w:color w:val="0D0D0D"/>
          <w:sz w:val="28"/>
          <w:szCs w:val="28"/>
        </w:rPr>
        <w:t>42</w:t>
      </w:r>
      <w:r>
        <w:rPr>
          <w:rFonts w:ascii="Times New Roman" w:eastAsia="宋体" w:hAnsi="Times New Roman" w:cs="Times New Roman"/>
          <w:color w:val="0D0D0D"/>
          <w:sz w:val="28"/>
          <w:szCs w:val="28"/>
        </w:rPr>
        <w:t>微克</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立方米）；</w:t>
      </w:r>
      <w:r>
        <w:rPr>
          <w:rFonts w:ascii="Times New Roman" w:eastAsia="宋体" w:hAnsi="Times New Roman" w:cs="Times New Roman"/>
          <w:color w:val="0D0D0D"/>
          <w:sz w:val="28"/>
          <w:szCs w:val="28"/>
        </w:rPr>
        <w:t>PM</w:t>
      </w:r>
      <w:r>
        <w:rPr>
          <w:rFonts w:ascii="Times New Roman" w:eastAsia="宋体" w:hAnsi="Times New Roman" w:cs="Times New Roman"/>
          <w:color w:val="0D0D0D"/>
          <w:sz w:val="28"/>
          <w:szCs w:val="28"/>
          <w:vertAlign w:val="subscript"/>
        </w:rPr>
        <w:t>10</w:t>
      </w:r>
      <w:r>
        <w:rPr>
          <w:rFonts w:ascii="Times New Roman" w:eastAsia="宋体" w:hAnsi="Times New Roman" w:cs="Times New Roman"/>
          <w:color w:val="0D0D0D"/>
          <w:sz w:val="28"/>
          <w:szCs w:val="28"/>
        </w:rPr>
        <w:t>年均浓度同</w:t>
      </w:r>
      <w:r>
        <w:rPr>
          <w:rFonts w:ascii="Times New Roman" w:eastAsia="宋体" w:hAnsi="Times New Roman" w:cs="Times New Roman"/>
          <w:color w:val="0D0D0D"/>
          <w:sz w:val="28"/>
          <w:szCs w:val="28"/>
        </w:rPr>
        <w:lastRenderedPageBreak/>
        <w:t>比例下降；光化学污染频率降低。</w:t>
      </w:r>
    </w:p>
    <w:p w14:paraId="3A8443A8"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②</w:t>
      </w:r>
      <w:r>
        <w:rPr>
          <w:rFonts w:ascii="Times New Roman" w:eastAsia="宋体" w:hAnsi="Times New Roman" w:cs="Times New Roman"/>
          <w:color w:val="0D0D0D"/>
          <w:sz w:val="28"/>
          <w:szCs w:val="28"/>
        </w:rPr>
        <w:t>到</w:t>
      </w:r>
      <w:r>
        <w:rPr>
          <w:rFonts w:ascii="Times New Roman" w:eastAsia="宋体" w:hAnsi="Times New Roman" w:cs="Times New Roman"/>
          <w:color w:val="0D0D0D"/>
          <w:sz w:val="28"/>
          <w:szCs w:val="28"/>
        </w:rPr>
        <w:t>2030</w:t>
      </w:r>
      <w:r>
        <w:rPr>
          <w:rFonts w:ascii="Times New Roman" w:eastAsia="宋体" w:hAnsi="Times New Roman" w:cs="Times New Roman"/>
          <w:color w:val="0D0D0D"/>
          <w:sz w:val="28"/>
          <w:szCs w:val="28"/>
        </w:rPr>
        <w:t>年，实现</w:t>
      </w:r>
      <w:r>
        <w:rPr>
          <w:rFonts w:ascii="Times New Roman" w:eastAsia="宋体" w:hAnsi="Times New Roman" w:cs="Times New Roman"/>
          <w:color w:val="0D0D0D"/>
          <w:sz w:val="28"/>
          <w:szCs w:val="28"/>
        </w:rPr>
        <w:t>PM2.5</w:t>
      </w:r>
      <w:r>
        <w:rPr>
          <w:rFonts w:ascii="Times New Roman" w:eastAsia="宋体" w:hAnsi="Times New Roman" w:cs="Times New Roman"/>
          <w:color w:val="0D0D0D"/>
          <w:sz w:val="28"/>
          <w:szCs w:val="28"/>
        </w:rPr>
        <w:t>年均浓度基本达标（</w:t>
      </w:r>
      <w:r>
        <w:rPr>
          <w:rFonts w:ascii="Times New Roman" w:eastAsia="宋体" w:hAnsi="Times New Roman" w:cs="Times New Roman"/>
          <w:color w:val="0D0D0D"/>
          <w:sz w:val="28"/>
          <w:szCs w:val="28"/>
        </w:rPr>
        <w:t>35</w:t>
      </w:r>
      <w:r>
        <w:rPr>
          <w:rFonts w:ascii="Times New Roman" w:eastAsia="宋体" w:hAnsi="Times New Roman" w:cs="Times New Roman"/>
          <w:color w:val="0D0D0D"/>
          <w:sz w:val="28"/>
          <w:szCs w:val="28"/>
        </w:rPr>
        <w:t>微克</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立方米），</w:t>
      </w:r>
      <w:r>
        <w:rPr>
          <w:rFonts w:ascii="Times New Roman" w:eastAsia="宋体" w:hAnsi="Times New Roman" w:cs="Times New Roman"/>
          <w:color w:val="0D0D0D"/>
          <w:sz w:val="28"/>
          <w:szCs w:val="28"/>
        </w:rPr>
        <w:t>PM10</w:t>
      </w:r>
      <w:r>
        <w:rPr>
          <w:rFonts w:ascii="Times New Roman" w:eastAsia="宋体" w:hAnsi="Times New Roman" w:cs="Times New Roman"/>
          <w:color w:val="0D0D0D"/>
          <w:sz w:val="28"/>
          <w:szCs w:val="28"/>
        </w:rPr>
        <w:t>年均浓度达标（</w:t>
      </w:r>
      <w:r>
        <w:rPr>
          <w:rFonts w:ascii="Times New Roman" w:eastAsia="宋体" w:hAnsi="Times New Roman" w:cs="Times New Roman"/>
          <w:color w:val="0D0D0D"/>
          <w:sz w:val="28"/>
          <w:szCs w:val="28"/>
        </w:rPr>
        <w:t>70</w:t>
      </w:r>
      <w:r>
        <w:rPr>
          <w:rFonts w:ascii="Times New Roman" w:eastAsia="宋体" w:hAnsi="Times New Roman" w:cs="Times New Roman"/>
          <w:color w:val="0D0D0D"/>
          <w:sz w:val="28"/>
          <w:szCs w:val="28"/>
        </w:rPr>
        <w:t>微克</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立方米）；光化学污染频率降低。</w:t>
      </w:r>
    </w:p>
    <w:p w14:paraId="7F246669"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达标规划中常规污染物减排重点工程如下：</w:t>
      </w:r>
    </w:p>
    <w:p w14:paraId="3279B6F1"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①</w:t>
      </w:r>
      <w:r>
        <w:rPr>
          <w:rFonts w:ascii="Times New Roman" w:eastAsia="宋体" w:hAnsi="Times New Roman" w:cs="Times New Roman"/>
          <w:color w:val="0D0D0D"/>
          <w:sz w:val="28"/>
          <w:szCs w:val="28"/>
        </w:rPr>
        <w:t>连云港港码头区岸电及设备改电工程，交通运输部关于印发船舶与港口污染防治专项行动实施方案</w:t>
      </w:r>
      <w:r>
        <w:rPr>
          <w:rFonts w:ascii="Times New Roman" w:eastAsia="宋体" w:hAnsi="Times New Roman" w:cs="Times New Roman"/>
          <w:color w:val="0D0D0D"/>
          <w:sz w:val="28"/>
          <w:szCs w:val="28"/>
        </w:rPr>
        <w:t xml:space="preserve"> (2015-2020</w:t>
      </w:r>
      <w:r>
        <w:rPr>
          <w:rFonts w:ascii="Times New Roman" w:eastAsia="宋体" w:hAnsi="Times New Roman" w:cs="Times New Roman"/>
          <w:color w:val="0D0D0D"/>
          <w:sz w:val="28"/>
          <w:szCs w:val="28"/>
        </w:rPr>
        <w:t>年）的通知〔交水发</w:t>
      </w:r>
      <w:r>
        <w:rPr>
          <w:rFonts w:ascii="Times New Roman" w:eastAsia="宋体" w:hAnsi="Times New Roman" w:cs="Times New Roman"/>
          <w:color w:val="0D0D0D"/>
          <w:sz w:val="28"/>
          <w:szCs w:val="28"/>
        </w:rPr>
        <w:t>(2015) 133</w:t>
      </w:r>
      <w:r>
        <w:rPr>
          <w:rFonts w:ascii="Times New Roman" w:eastAsia="宋体" w:hAnsi="Times New Roman" w:cs="Times New Roman"/>
          <w:color w:val="0D0D0D"/>
          <w:sz w:val="28"/>
          <w:szCs w:val="28"/>
        </w:rPr>
        <w:t>号〕，大气污染防治目标为：到</w:t>
      </w:r>
      <w:r>
        <w:rPr>
          <w:rFonts w:ascii="Times New Roman" w:eastAsia="宋体" w:hAnsi="Times New Roman" w:cs="Times New Roman"/>
          <w:color w:val="0D0D0D"/>
          <w:sz w:val="28"/>
          <w:szCs w:val="28"/>
        </w:rPr>
        <w:t>2020</w:t>
      </w:r>
      <w:r>
        <w:rPr>
          <w:rFonts w:ascii="Times New Roman" w:eastAsia="宋体" w:hAnsi="Times New Roman" w:cs="Times New Roman"/>
          <w:color w:val="0D0D0D"/>
          <w:sz w:val="28"/>
          <w:szCs w:val="28"/>
        </w:rPr>
        <w:t>年，珠三角、长三角、环渤海（京津冀）水域船舶硫氧化物、氮氧化物、颗粒物与</w:t>
      </w:r>
      <w:r>
        <w:rPr>
          <w:rFonts w:ascii="Times New Roman" w:eastAsia="宋体" w:hAnsi="Times New Roman" w:cs="Times New Roman"/>
          <w:color w:val="0D0D0D"/>
          <w:sz w:val="28"/>
          <w:szCs w:val="28"/>
        </w:rPr>
        <w:t>2015</w:t>
      </w:r>
      <w:r>
        <w:rPr>
          <w:rFonts w:ascii="Times New Roman" w:eastAsia="宋体" w:hAnsi="Times New Roman" w:cs="Times New Roman"/>
          <w:color w:val="0D0D0D"/>
          <w:sz w:val="28"/>
          <w:szCs w:val="28"/>
        </w:rPr>
        <w:t>年相比分别下降</w:t>
      </w:r>
      <w:r>
        <w:rPr>
          <w:rFonts w:ascii="Times New Roman" w:eastAsia="宋体" w:hAnsi="Times New Roman" w:cs="Times New Roman"/>
          <w:color w:val="0D0D0D"/>
          <w:sz w:val="28"/>
          <w:szCs w:val="28"/>
        </w:rPr>
        <w:t>65%</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20%</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30%</w:t>
      </w:r>
      <w:r>
        <w:rPr>
          <w:rFonts w:ascii="Times New Roman" w:eastAsia="宋体" w:hAnsi="Times New Roman" w:cs="Times New Roman"/>
          <w:color w:val="0D0D0D"/>
          <w:sz w:val="28"/>
          <w:szCs w:val="28"/>
        </w:rPr>
        <w:t>；主要港口</w:t>
      </w:r>
      <w:r>
        <w:rPr>
          <w:rFonts w:ascii="Times New Roman" w:eastAsia="宋体" w:hAnsi="Times New Roman" w:cs="Times New Roman"/>
          <w:color w:val="0D0D0D"/>
          <w:sz w:val="28"/>
          <w:szCs w:val="28"/>
        </w:rPr>
        <w:t>90</w:t>
      </w:r>
      <w:r>
        <w:rPr>
          <w:rFonts w:ascii="Times New Roman" w:eastAsia="宋体" w:hAnsi="Times New Roman" w:cs="Times New Roman"/>
          <w:color w:val="0D0D0D"/>
          <w:sz w:val="28"/>
          <w:szCs w:val="28"/>
        </w:rPr>
        <w:t>％的港作船舶、公务船舶靠泊使用岸电，</w:t>
      </w:r>
      <w:r>
        <w:rPr>
          <w:rFonts w:ascii="Times New Roman" w:eastAsia="宋体" w:hAnsi="Times New Roman" w:cs="Times New Roman"/>
          <w:color w:val="0D0D0D"/>
          <w:sz w:val="28"/>
          <w:szCs w:val="28"/>
        </w:rPr>
        <w:t>50%</w:t>
      </w:r>
      <w:r>
        <w:rPr>
          <w:rFonts w:ascii="Times New Roman" w:eastAsia="宋体" w:hAnsi="Times New Roman" w:cs="Times New Roman"/>
          <w:color w:val="0D0D0D"/>
          <w:sz w:val="28"/>
          <w:szCs w:val="28"/>
        </w:rPr>
        <w:t>的集装箱、客滚和邮轮专业化码头具备向船舶供应岸电的能力；主要港口</w:t>
      </w:r>
      <w:r>
        <w:rPr>
          <w:rFonts w:ascii="Times New Roman" w:eastAsia="宋体" w:hAnsi="Times New Roman" w:cs="Times New Roman"/>
          <w:color w:val="0D0D0D"/>
          <w:sz w:val="28"/>
          <w:szCs w:val="28"/>
        </w:rPr>
        <w:t>100%</w:t>
      </w:r>
      <w:r>
        <w:rPr>
          <w:rFonts w:ascii="Times New Roman" w:eastAsia="宋体" w:hAnsi="Times New Roman" w:cs="Times New Roman"/>
          <w:color w:val="0D0D0D"/>
          <w:sz w:val="28"/>
          <w:szCs w:val="28"/>
        </w:rPr>
        <w:t>的大型煤炭、矿石码头堆场建设防风抑尘设施或实现封闭储存。交通运输部组织完成了码头船舶岸电示范项目的申报、筛选和审核等工作，正式公布</w:t>
      </w:r>
      <w:r>
        <w:rPr>
          <w:rFonts w:ascii="Times New Roman" w:eastAsia="宋体" w:hAnsi="Times New Roman" w:cs="Times New Roman"/>
          <w:color w:val="0D0D0D"/>
          <w:sz w:val="28"/>
          <w:szCs w:val="28"/>
        </w:rPr>
        <w:t>7</w:t>
      </w:r>
      <w:r>
        <w:rPr>
          <w:rFonts w:ascii="Times New Roman" w:eastAsia="宋体" w:hAnsi="Times New Roman" w:cs="Times New Roman"/>
          <w:color w:val="0D0D0D"/>
          <w:sz w:val="28"/>
          <w:szCs w:val="28"/>
        </w:rPr>
        <w:t>个码头船舶岸电示范项目名单，要求各相关单位按职责做好示范项目的组织实施和监督管理工作。交通运输部将继续做好项目督查、后评估及推广应用等工作。其中连云港港连云港区新东方集装箱码头有限公司</w:t>
      </w:r>
      <w:r>
        <w:rPr>
          <w:rFonts w:ascii="Times New Roman" w:eastAsia="宋体" w:hAnsi="Times New Roman" w:cs="Times New Roman"/>
          <w:color w:val="0D0D0D"/>
          <w:sz w:val="28"/>
          <w:szCs w:val="28"/>
        </w:rPr>
        <w:t>27</w:t>
      </w:r>
      <w:r>
        <w:rPr>
          <w:rFonts w:ascii="Times New Roman" w:eastAsia="宋体" w:hAnsi="Times New Roman" w:cs="Times New Roman"/>
          <w:color w:val="0D0D0D"/>
          <w:sz w:val="28"/>
          <w:szCs w:val="28"/>
        </w:rPr>
        <w:t>号泊位码头船用岸电系统和</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紫玉兰</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号船载受电系统工程为</w:t>
      </w:r>
      <w:r>
        <w:rPr>
          <w:rFonts w:ascii="Times New Roman" w:eastAsia="宋体" w:hAnsi="Times New Roman" w:cs="Times New Roman"/>
          <w:color w:val="0D0D0D"/>
          <w:sz w:val="28"/>
          <w:szCs w:val="28"/>
        </w:rPr>
        <w:t>7</w:t>
      </w:r>
      <w:r>
        <w:rPr>
          <w:rFonts w:ascii="Times New Roman" w:eastAsia="宋体" w:hAnsi="Times New Roman" w:cs="Times New Roman"/>
          <w:color w:val="0D0D0D"/>
          <w:sz w:val="28"/>
          <w:szCs w:val="28"/>
        </w:rPr>
        <w:t>个示范项目之一。连云港市应积极加入交通运输部船舶与港口污染防治专项行动，在连云港市实现船舶与港口大气污染防治目标。</w:t>
      </w:r>
    </w:p>
    <w:p w14:paraId="026C0B81"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②</w:t>
      </w:r>
      <w:r>
        <w:rPr>
          <w:rFonts w:ascii="Times New Roman" w:eastAsia="宋体" w:hAnsi="Times New Roman" w:cs="Times New Roman"/>
          <w:color w:val="0D0D0D"/>
          <w:sz w:val="28"/>
          <w:szCs w:val="28"/>
        </w:rPr>
        <w:t>活源用电及天然气改造，应大力推行连云港市生活源用电及天然气改造。</w:t>
      </w:r>
    </w:p>
    <w:p w14:paraId="06020013"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③</w:t>
      </w:r>
      <w:r>
        <w:rPr>
          <w:rFonts w:ascii="Times New Roman" w:eastAsia="宋体" w:hAnsi="Times New Roman" w:cs="Times New Roman"/>
          <w:color w:val="0D0D0D"/>
          <w:sz w:val="28"/>
          <w:szCs w:val="28"/>
        </w:rPr>
        <w:t>公交系统改新能源汽车工程，根据</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连云港市</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十三五</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交通运输发展规划</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2015</w:t>
      </w:r>
      <w:r>
        <w:rPr>
          <w:rFonts w:ascii="Times New Roman" w:eastAsia="宋体" w:hAnsi="Times New Roman" w:cs="Times New Roman"/>
          <w:color w:val="0D0D0D"/>
          <w:sz w:val="28"/>
          <w:szCs w:val="28"/>
        </w:rPr>
        <w:t>年清洁能源及新能源，公交车占比</w:t>
      </w:r>
      <w:r>
        <w:rPr>
          <w:rFonts w:ascii="Times New Roman" w:eastAsia="宋体" w:hAnsi="Times New Roman" w:cs="Times New Roman"/>
          <w:color w:val="0D0D0D"/>
          <w:sz w:val="28"/>
          <w:szCs w:val="28"/>
        </w:rPr>
        <w:t>24.2%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2020</w:t>
      </w:r>
      <w:r>
        <w:rPr>
          <w:rFonts w:ascii="Times New Roman" w:eastAsia="宋体" w:hAnsi="Times New Roman" w:cs="Times New Roman"/>
          <w:color w:val="0D0D0D"/>
          <w:sz w:val="28"/>
          <w:szCs w:val="28"/>
        </w:rPr>
        <w:t>年清洁能源及新能源公交车占比</w:t>
      </w:r>
      <w:r>
        <w:rPr>
          <w:rFonts w:ascii="Times New Roman" w:eastAsia="宋体" w:hAnsi="Times New Roman" w:cs="Times New Roman"/>
          <w:color w:val="0D0D0D"/>
          <w:sz w:val="28"/>
          <w:szCs w:val="28"/>
        </w:rPr>
        <w:t>55%</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2015</w:t>
      </w:r>
      <w:r>
        <w:rPr>
          <w:rFonts w:ascii="Times New Roman" w:eastAsia="宋体" w:hAnsi="Times New Roman" w:cs="Times New Roman"/>
          <w:color w:val="0D0D0D"/>
          <w:sz w:val="28"/>
          <w:szCs w:val="28"/>
        </w:rPr>
        <w:t>年清洁能源及新能源出租车占比</w:t>
      </w:r>
      <w:r>
        <w:rPr>
          <w:rFonts w:ascii="Times New Roman" w:eastAsia="宋体" w:hAnsi="Times New Roman" w:cs="Times New Roman"/>
          <w:color w:val="0D0D0D"/>
          <w:sz w:val="28"/>
          <w:szCs w:val="28"/>
        </w:rPr>
        <w:t>45.2%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2020</w:t>
      </w:r>
      <w:r>
        <w:rPr>
          <w:rFonts w:ascii="Times New Roman" w:eastAsia="宋体" w:hAnsi="Times New Roman" w:cs="Times New Roman"/>
          <w:color w:val="0D0D0D"/>
          <w:sz w:val="28"/>
          <w:szCs w:val="28"/>
        </w:rPr>
        <w:t>年清洁能源及新能源出租车占比</w:t>
      </w:r>
      <w:r>
        <w:rPr>
          <w:rFonts w:ascii="Times New Roman" w:eastAsia="宋体" w:hAnsi="Times New Roman" w:cs="Times New Roman"/>
          <w:color w:val="0D0D0D"/>
          <w:sz w:val="28"/>
          <w:szCs w:val="28"/>
        </w:rPr>
        <w:t>80%</w:t>
      </w:r>
      <w:r>
        <w:rPr>
          <w:rFonts w:ascii="Times New Roman" w:eastAsia="宋体" w:hAnsi="Times New Roman" w:cs="Times New Roman"/>
          <w:color w:val="0D0D0D"/>
          <w:sz w:val="28"/>
          <w:szCs w:val="28"/>
        </w:rPr>
        <w:t>。应大力推行连云港市公交车全部改新能源汽车，短距离运行的可采用电动车，长距离运行的可采用天然气车，出租车改为天然气车。</w:t>
      </w:r>
    </w:p>
    <w:p w14:paraId="15C992D4"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⑵</w:t>
      </w:r>
      <w:r>
        <w:rPr>
          <w:rFonts w:ascii="Times New Roman" w:eastAsia="宋体" w:hAnsi="Times New Roman" w:cs="Times New Roman"/>
          <w:color w:val="0D0D0D"/>
          <w:sz w:val="28"/>
          <w:szCs w:val="28"/>
        </w:rPr>
        <w:t>臭氧</w:t>
      </w:r>
    </w:p>
    <w:p w14:paraId="711282C7"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针对臭氧超标，连云港市发布《连云港市</w:t>
      </w:r>
      <w:r>
        <w:rPr>
          <w:rFonts w:ascii="Times New Roman" w:eastAsia="宋体" w:hAnsi="Times New Roman" w:cs="Times New Roman"/>
          <w:color w:val="0D0D0D"/>
          <w:sz w:val="28"/>
          <w:szCs w:val="28"/>
        </w:rPr>
        <w:t>2020</w:t>
      </w:r>
      <w:r>
        <w:rPr>
          <w:rFonts w:ascii="Times New Roman" w:eastAsia="宋体" w:hAnsi="Times New Roman" w:cs="Times New Roman"/>
          <w:color w:val="0D0D0D"/>
          <w:sz w:val="28"/>
          <w:szCs w:val="28"/>
        </w:rPr>
        <w:t>年</w:t>
      </w:r>
      <w:r>
        <w:rPr>
          <w:rFonts w:ascii="Times New Roman" w:eastAsia="宋体" w:hAnsi="Times New Roman" w:cs="Times New Roman"/>
          <w:color w:val="0D0D0D"/>
          <w:sz w:val="28"/>
          <w:szCs w:val="28"/>
        </w:rPr>
        <w:t>VOCs</w:t>
      </w:r>
      <w:r>
        <w:rPr>
          <w:rFonts w:ascii="Times New Roman" w:eastAsia="宋体" w:hAnsi="Times New Roman" w:cs="Times New Roman"/>
          <w:color w:val="0D0D0D"/>
          <w:sz w:val="28"/>
          <w:szCs w:val="28"/>
        </w:rPr>
        <w:t>专项治理实施方案》，推出如下措施：</w:t>
      </w:r>
    </w:p>
    <w:p w14:paraId="6E3010F3"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①</w:t>
      </w:r>
      <w:r>
        <w:rPr>
          <w:rFonts w:ascii="Times New Roman" w:eastAsia="宋体" w:hAnsi="Times New Roman" w:cs="Times New Roman"/>
          <w:color w:val="0D0D0D"/>
          <w:sz w:val="28"/>
          <w:szCs w:val="28"/>
        </w:rPr>
        <w:t>落实</w:t>
      </w:r>
      <w:r>
        <w:rPr>
          <w:rFonts w:ascii="Times New Roman" w:eastAsia="宋体" w:hAnsi="Times New Roman" w:cs="Times New Roman"/>
          <w:color w:val="0D0D0D"/>
          <w:sz w:val="28"/>
          <w:szCs w:val="28"/>
        </w:rPr>
        <w:t>VOCs</w:t>
      </w:r>
      <w:r>
        <w:rPr>
          <w:rFonts w:ascii="Times New Roman" w:eastAsia="宋体" w:hAnsi="Times New Roman" w:cs="Times New Roman"/>
          <w:color w:val="0D0D0D"/>
          <w:sz w:val="28"/>
          <w:szCs w:val="28"/>
        </w:rPr>
        <w:t>排放总量控制制度，全市新建排放</w:t>
      </w:r>
      <w:r>
        <w:rPr>
          <w:rFonts w:ascii="Times New Roman" w:eastAsia="宋体" w:hAnsi="Times New Roman" w:cs="Times New Roman"/>
          <w:color w:val="0D0D0D"/>
          <w:sz w:val="28"/>
          <w:szCs w:val="28"/>
        </w:rPr>
        <w:t>VOCs</w:t>
      </w:r>
      <w:r>
        <w:rPr>
          <w:rFonts w:ascii="Times New Roman" w:eastAsia="宋体" w:hAnsi="Times New Roman" w:cs="Times New Roman"/>
          <w:color w:val="0D0D0D"/>
          <w:sz w:val="28"/>
          <w:szCs w:val="28"/>
        </w:rPr>
        <w:t>的项目严格实行现役源</w:t>
      </w:r>
      <w:r>
        <w:rPr>
          <w:rFonts w:ascii="Times New Roman" w:eastAsia="宋体" w:hAnsi="Times New Roman" w:cs="Times New Roman"/>
          <w:color w:val="0D0D0D"/>
          <w:sz w:val="28"/>
          <w:szCs w:val="28"/>
        </w:rPr>
        <w:t>2</w:t>
      </w:r>
      <w:r>
        <w:rPr>
          <w:rFonts w:ascii="Times New Roman" w:eastAsia="宋体" w:hAnsi="Times New Roman" w:cs="Times New Roman"/>
          <w:color w:val="0D0D0D"/>
          <w:sz w:val="28"/>
          <w:szCs w:val="28"/>
        </w:rPr>
        <w:t>倍削减替代，市级及以下审批的涉及间二甲苯、对二甲苯、丙烯、甲苯、</w:t>
      </w:r>
      <w:r>
        <w:rPr>
          <w:rFonts w:ascii="Times New Roman" w:eastAsia="宋体" w:hAnsi="Times New Roman" w:cs="Times New Roman"/>
          <w:color w:val="0D0D0D"/>
          <w:sz w:val="28"/>
          <w:szCs w:val="28"/>
        </w:rPr>
        <w:lastRenderedPageBreak/>
        <w:t>乙烯、</w:t>
      </w:r>
      <w:r>
        <w:rPr>
          <w:rFonts w:ascii="Times New Roman" w:eastAsia="宋体" w:hAnsi="Times New Roman" w:cs="Times New Roman"/>
          <w:color w:val="0D0D0D"/>
          <w:sz w:val="28"/>
          <w:szCs w:val="28"/>
        </w:rPr>
        <w:t>1,3,5-</w:t>
      </w:r>
      <w:r>
        <w:rPr>
          <w:rFonts w:ascii="Times New Roman" w:eastAsia="宋体" w:hAnsi="Times New Roman" w:cs="Times New Roman"/>
          <w:color w:val="0D0D0D"/>
          <w:sz w:val="28"/>
          <w:szCs w:val="28"/>
        </w:rPr>
        <w:t>三甲苯、</w:t>
      </w:r>
      <w:r>
        <w:rPr>
          <w:rFonts w:ascii="Times New Roman" w:eastAsia="宋体" w:hAnsi="Times New Roman" w:cs="Times New Roman"/>
          <w:color w:val="0D0D0D"/>
          <w:sz w:val="28"/>
          <w:szCs w:val="28"/>
        </w:rPr>
        <w:t>1,2,4-</w:t>
      </w:r>
      <w:r>
        <w:rPr>
          <w:rFonts w:ascii="Times New Roman" w:eastAsia="宋体" w:hAnsi="Times New Roman" w:cs="Times New Roman"/>
          <w:color w:val="0D0D0D"/>
          <w:sz w:val="28"/>
          <w:szCs w:val="28"/>
        </w:rPr>
        <w:t>三甲苯、正己烷、邻二甲苯、</w:t>
      </w:r>
      <w:r>
        <w:rPr>
          <w:rFonts w:ascii="Times New Roman" w:eastAsia="宋体" w:hAnsi="Times New Roman" w:cs="Times New Roman"/>
          <w:color w:val="0D0D0D"/>
          <w:sz w:val="28"/>
          <w:szCs w:val="28"/>
        </w:rPr>
        <w:t>1-</w:t>
      </w:r>
      <w:r>
        <w:rPr>
          <w:rFonts w:ascii="Times New Roman" w:eastAsia="宋体" w:hAnsi="Times New Roman" w:cs="Times New Roman"/>
          <w:color w:val="0D0D0D"/>
          <w:sz w:val="28"/>
          <w:szCs w:val="28"/>
        </w:rPr>
        <w:t>己烯等</w:t>
      </w:r>
      <w:r>
        <w:rPr>
          <w:rFonts w:ascii="Times New Roman" w:eastAsia="宋体" w:hAnsi="Times New Roman" w:cs="Times New Roman"/>
          <w:color w:val="0D0D0D"/>
          <w:sz w:val="28"/>
          <w:szCs w:val="28"/>
        </w:rPr>
        <w:t>10</w:t>
      </w:r>
      <w:r>
        <w:rPr>
          <w:rFonts w:ascii="Times New Roman" w:eastAsia="宋体" w:hAnsi="Times New Roman" w:cs="Times New Roman"/>
          <w:color w:val="0D0D0D"/>
          <w:sz w:val="28"/>
          <w:szCs w:val="28"/>
        </w:rPr>
        <w:t>种主要臭氧前驱物的新建项目，原则上实施主要臭氧前驱物</w:t>
      </w:r>
      <w:r>
        <w:rPr>
          <w:rFonts w:ascii="Times New Roman" w:eastAsia="宋体" w:hAnsi="Times New Roman" w:cs="Times New Roman"/>
          <w:color w:val="0D0D0D"/>
          <w:sz w:val="28"/>
          <w:szCs w:val="28"/>
        </w:rPr>
        <w:t>2</w:t>
      </w:r>
      <w:r>
        <w:rPr>
          <w:rFonts w:ascii="Times New Roman" w:eastAsia="宋体" w:hAnsi="Times New Roman" w:cs="Times New Roman"/>
          <w:color w:val="0D0D0D"/>
          <w:sz w:val="28"/>
          <w:szCs w:val="28"/>
        </w:rPr>
        <w:t>倍削减替代。</w:t>
      </w:r>
    </w:p>
    <w:p w14:paraId="45073E3A"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②</w:t>
      </w:r>
      <w:r>
        <w:rPr>
          <w:rFonts w:ascii="Times New Roman" w:eastAsia="宋体" w:hAnsi="Times New Roman" w:cs="Times New Roman"/>
          <w:color w:val="0D0D0D"/>
          <w:sz w:val="28"/>
          <w:szCs w:val="28"/>
        </w:rPr>
        <w:t>坚决关闭规模小、污染重、治理无望的化工企业，减少低端低效化工产能。</w:t>
      </w:r>
    </w:p>
    <w:p w14:paraId="41EB0BF7"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③</w:t>
      </w:r>
      <w:r>
        <w:rPr>
          <w:rFonts w:ascii="Times New Roman" w:eastAsia="宋体" w:hAnsi="Times New Roman" w:cs="Times New Roman"/>
          <w:color w:val="0D0D0D"/>
          <w:sz w:val="28"/>
          <w:szCs w:val="28"/>
        </w:rPr>
        <w:t>继续推进家具制造、工业涂装、包装印刷等行业全面使用低</w:t>
      </w:r>
      <w:r>
        <w:rPr>
          <w:rFonts w:ascii="Times New Roman" w:eastAsia="宋体" w:hAnsi="Times New Roman" w:cs="Times New Roman"/>
          <w:color w:val="0D0D0D"/>
          <w:sz w:val="28"/>
          <w:szCs w:val="28"/>
        </w:rPr>
        <w:t>VOCs</w:t>
      </w:r>
      <w:r>
        <w:rPr>
          <w:rFonts w:ascii="Times New Roman" w:eastAsia="宋体" w:hAnsi="Times New Roman" w:cs="Times New Roman"/>
          <w:color w:val="0D0D0D"/>
          <w:sz w:val="28"/>
          <w:szCs w:val="28"/>
        </w:rPr>
        <w:t>含量、低反应活性的涂料、油墨、胶黏剂、清洗剂等，替代溶剂型涂料、油墨、胶粘剂、清洗剂等。</w:t>
      </w:r>
    </w:p>
    <w:p w14:paraId="7136D4D9"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④</w:t>
      </w:r>
      <w:r>
        <w:rPr>
          <w:rFonts w:ascii="Times New Roman" w:eastAsia="宋体" w:hAnsi="Times New Roman" w:cs="Times New Roman"/>
          <w:color w:val="0D0D0D"/>
          <w:sz w:val="28"/>
          <w:szCs w:val="28"/>
        </w:rPr>
        <w:t>各化工园区完成</w:t>
      </w:r>
      <w:r>
        <w:rPr>
          <w:rFonts w:ascii="Times New Roman" w:eastAsia="宋体" w:hAnsi="Times New Roman" w:cs="Times New Roman"/>
          <w:color w:val="0D0D0D"/>
          <w:sz w:val="28"/>
          <w:szCs w:val="28"/>
        </w:rPr>
        <w:t>VOCs</w:t>
      </w:r>
      <w:r>
        <w:rPr>
          <w:rFonts w:ascii="Times New Roman" w:eastAsia="宋体" w:hAnsi="Times New Roman" w:cs="Times New Roman"/>
          <w:color w:val="0D0D0D"/>
          <w:sz w:val="28"/>
          <w:szCs w:val="28"/>
        </w:rPr>
        <w:t>摸底调查，制定</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一园一策</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整治方案，明确整治目标、措施、时间节点和责任人。</w:t>
      </w:r>
    </w:p>
    <w:p w14:paraId="5F908C08"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⑤</w:t>
      </w:r>
      <w:r>
        <w:rPr>
          <w:rFonts w:ascii="Times New Roman" w:eastAsia="宋体" w:hAnsi="Times New Roman" w:cs="Times New Roman"/>
          <w:color w:val="0D0D0D"/>
          <w:sz w:val="28"/>
          <w:szCs w:val="28"/>
        </w:rPr>
        <w:t>徐圩新区、赣榆区柘汪临港产业区、连云区板桥工业园、开发区大浦工业区等重点园区正常生产的石化、化工等企业，以及家具制造、工业涂装、包装印刷等重点行业企业对照《重点行业挥发性有机物综合治理方案》，完成</w:t>
      </w:r>
      <w:r>
        <w:rPr>
          <w:rFonts w:ascii="Times New Roman" w:eastAsia="宋体" w:hAnsi="Times New Roman" w:cs="Times New Roman"/>
          <w:color w:val="0D0D0D"/>
          <w:sz w:val="28"/>
          <w:szCs w:val="28"/>
        </w:rPr>
        <w:t>VOCs“</w:t>
      </w:r>
      <w:r>
        <w:rPr>
          <w:rFonts w:ascii="Times New Roman" w:eastAsia="宋体" w:hAnsi="Times New Roman" w:cs="Times New Roman"/>
          <w:color w:val="0D0D0D"/>
          <w:sz w:val="28"/>
          <w:szCs w:val="28"/>
        </w:rPr>
        <w:t>一企一策</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整治方案编制、评估。</w:t>
      </w:r>
    </w:p>
    <w:p w14:paraId="4758EAD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其他污染物环境质量现状</w:t>
      </w:r>
    </w:p>
    <w:p w14:paraId="39363570"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(1) </w:t>
      </w:r>
      <w:r>
        <w:rPr>
          <w:rFonts w:ascii="Times New Roman" w:eastAsia="宋体" w:hAnsi="Times New Roman" w:cs="Times New Roman"/>
          <w:kern w:val="0"/>
          <w:sz w:val="28"/>
          <w:szCs w:val="28"/>
        </w:rPr>
        <w:t>监测点位及监测项目：</w:t>
      </w:r>
    </w:p>
    <w:p w14:paraId="6FACE2C6"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大气监测点位置及各监测点监测项目详见</w:t>
      </w:r>
      <w:r>
        <w:rPr>
          <w:rFonts w:ascii="Times New Roman" w:eastAsia="宋体" w:hAnsi="Times New Roman" w:cs="Times New Roman"/>
          <w:kern w:val="0"/>
          <w:sz w:val="28"/>
          <w:szCs w:val="28"/>
          <w:highlight w:val="yellow"/>
        </w:rPr>
        <w:t>图</w:t>
      </w:r>
      <w:r>
        <w:rPr>
          <w:rFonts w:ascii="Times New Roman" w:eastAsia="宋体" w:hAnsi="Times New Roman" w:cs="Times New Roman"/>
          <w:kern w:val="0"/>
          <w:sz w:val="28"/>
          <w:szCs w:val="28"/>
          <w:highlight w:val="yellow"/>
        </w:rPr>
        <w:t>2.4-1</w:t>
      </w:r>
      <w:r>
        <w:rPr>
          <w:rFonts w:ascii="Times New Roman" w:eastAsia="宋体" w:hAnsi="Times New Roman" w:cs="Times New Roman"/>
          <w:kern w:val="0"/>
          <w:sz w:val="28"/>
          <w:szCs w:val="28"/>
        </w:rPr>
        <w:t>及表</w:t>
      </w:r>
      <w:r>
        <w:rPr>
          <w:rFonts w:ascii="Times New Roman" w:eastAsia="宋体" w:hAnsi="Times New Roman" w:cs="Times New Roman"/>
          <w:kern w:val="0"/>
          <w:sz w:val="28"/>
          <w:szCs w:val="28"/>
        </w:rPr>
        <w:t>5.2-2</w:t>
      </w:r>
      <w:r>
        <w:rPr>
          <w:rFonts w:ascii="Times New Roman" w:eastAsia="宋体" w:hAnsi="Times New Roman" w:cs="Times New Roman"/>
          <w:kern w:val="0"/>
          <w:sz w:val="28"/>
          <w:szCs w:val="28"/>
        </w:rPr>
        <w:t>。</w:t>
      </w:r>
    </w:p>
    <w:p w14:paraId="5684C502" w14:textId="77777777" w:rsidR="002133E3" w:rsidRDefault="00C22CFA">
      <w:pPr>
        <w:spacing w:line="52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5.2-2  </w:t>
      </w:r>
      <w:r>
        <w:rPr>
          <w:rFonts w:ascii="Times New Roman" w:eastAsia="宋体" w:hAnsi="Times New Roman" w:cs="Times New Roman"/>
          <w:b/>
          <w:kern w:val="0"/>
          <w:sz w:val="24"/>
          <w:szCs w:val="21"/>
        </w:rPr>
        <w:t>大气监测点位置表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6"/>
        <w:gridCol w:w="2190"/>
        <w:gridCol w:w="3203"/>
        <w:gridCol w:w="3425"/>
      </w:tblGrid>
      <w:tr w:rsidR="002133E3" w14:paraId="06E66EE3" w14:textId="77777777">
        <w:trPr>
          <w:trHeight w:val="20"/>
          <w:jc w:val="center"/>
        </w:trPr>
        <w:tc>
          <w:tcPr>
            <w:tcW w:w="526" w:type="pct"/>
            <w:tcBorders>
              <w:top w:val="single" w:sz="4" w:space="0" w:color="auto"/>
              <w:left w:val="single" w:sz="4" w:space="0" w:color="auto"/>
              <w:bottom w:val="single" w:sz="4" w:space="0" w:color="auto"/>
              <w:right w:val="single" w:sz="4" w:space="0" w:color="auto"/>
            </w:tcBorders>
            <w:vAlign w:val="center"/>
          </w:tcPr>
          <w:p w14:paraId="3E86B9F7" w14:textId="77777777" w:rsidR="002133E3" w:rsidRDefault="00C22CFA">
            <w:pPr>
              <w:spacing w:line="320" w:lineRule="exact"/>
              <w:jc w:val="center"/>
              <w:rPr>
                <w:rFonts w:ascii="Times New Roman" w:eastAsia="宋体" w:hAnsi="Times New Roman" w:cs="Times New Roman"/>
                <w:kern w:val="0"/>
                <w:szCs w:val="21"/>
              </w:rPr>
            </w:pPr>
            <w:r>
              <w:rPr>
                <w:rFonts w:ascii="Times New Roman" w:eastAsia="宋体" w:hAnsi="Times New Roman" w:cs="Times New Roman"/>
                <w:caps/>
                <w:kern w:val="0"/>
                <w:szCs w:val="21"/>
              </w:rPr>
              <w:t>编号</w:t>
            </w:r>
          </w:p>
        </w:tc>
        <w:tc>
          <w:tcPr>
            <w:tcW w:w="1111" w:type="pct"/>
            <w:tcBorders>
              <w:top w:val="single" w:sz="4" w:space="0" w:color="auto"/>
              <w:left w:val="single" w:sz="4" w:space="0" w:color="auto"/>
              <w:bottom w:val="single" w:sz="4" w:space="0" w:color="auto"/>
              <w:right w:val="single" w:sz="4" w:space="0" w:color="auto"/>
            </w:tcBorders>
            <w:vAlign w:val="center"/>
          </w:tcPr>
          <w:p w14:paraId="51990335" w14:textId="77777777" w:rsidR="002133E3" w:rsidRDefault="00C22CFA">
            <w:pPr>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监测点位置</w:t>
            </w:r>
          </w:p>
        </w:tc>
        <w:tc>
          <w:tcPr>
            <w:tcW w:w="1625" w:type="pct"/>
            <w:tcBorders>
              <w:top w:val="single" w:sz="4" w:space="0" w:color="auto"/>
              <w:left w:val="single" w:sz="4" w:space="0" w:color="auto"/>
              <w:bottom w:val="single" w:sz="4" w:space="0" w:color="auto"/>
              <w:right w:val="single" w:sz="4" w:space="0" w:color="auto"/>
            </w:tcBorders>
            <w:vAlign w:val="center"/>
          </w:tcPr>
          <w:p w14:paraId="761CF738" w14:textId="77777777" w:rsidR="002133E3" w:rsidRDefault="00C22CFA">
            <w:pPr>
              <w:spacing w:line="320" w:lineRule="exact"/>
              <w:jc w:val="center"/>
              <w:rPr>
                <w:rFonts w:ascii="Times New Roman" w:eastAsia="宋体" w:hAnsi="Times New Roman" w:cs="Times New Roman"/>
                <w:szCs w:val="21"/>
              </w:rPr>
            </w:pPr>
            <w:r>
              <w:rPr>
                <w:rFonts w:ascii="Times New Roman" w:eastAsia="宋体" w:hAnsi="Times New Roman" w:cs="Times New Roman"/>
                <w:szCs w:val="21"/>
              </w:rPr>
              <w:t>监测因子</w:t>
            </w:r>
          </w:p>
        </w:tc>
        <w:tc>
          <w:tcPr>
            <w:tcW w:w="1738" w:type="pct"/>
            <w:tcBorders>
              <w:top w:val="single" w:sz="4" w:space="0" w:color="auto"/>
              <w:left w:val="single" w:sz="4" w:space="0" w:color="auto"/>
              <w:bottom w:val="single" w:sz="4" w:space="0" w:color="auto"/>
              <w:right w:val="single" w:sz="4" w:space="0" w:color="auto"/>
            </w:tcBorders>
            <w:vAlign w:val="center"/>
          </w:tcPr>
          <w:p w14:paraId="50451FEC" w14:textId="77777777" w:rsidR="002133E3" w:rsidRDefault="00C22CFA">
            <w:pPr>
              <w:spacing w:line="320" w:lineRule="exact"/>
              <w:jc w:val="center"/>
              <w:rPr>
                <w:rFonts w:ascii="Times New Roman" w:eastAsia="宋体" w:hAnsi="Times New Roman" w:cs="Times New Roman"/>
                <w:szCs w:val="21"/>
              </w:rPr>
            </w:pPr>
            <w:r>
              <w:rPr>
                <w:rFonts w:ascii="Times New Roman" w:eastAsia="宋体" w:hAnsi="Times New Roman" w:cs="Times New Roman"/>
                <w:szCs w:val="21"/>
              </w:rPr>
              <w:t>监测频次</w:t>
            </w:r>
          </w:p>
        </w:tc>
      </w:tr>
      <w:tr w:rsidR="002133E3" w14:paraId="07589DC5" w14:textId="77777777">
        <w:trPr>
          <w:trHeight w:val="162"/>
          <w:jc w:val="center"/>
        </w:trPr>
        <w:tc>
          <w:tcPr>
            <w:tcW w:w="526" w:type="pct"/>
            <w:tcBorders>
              <w:top w:val="single" w:sz="4" w:space="0" w:color="auto"/>
              <w:left w:val="single" w:sz="4" w:space="0" w:color="auto"/>
              <w:bottom w:val="single" w:sz="4" w:space="0" w:color="auto"/>
              <w:right w:val="single" w:sz="4" w:space="0" w:color="auto"/>
            </w:tcBorders>
            <w:vAlign w:val="center"/>
          </w:tcPr>
          <w:p w14:paraId="5138BF40" w14:textId="77777777" w:rsidR="002133E3" w:rsidRDefault="00C22CFA">
            <w:pPr>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w:t>
            </w:r>
          </w:p>
        </w:tc>
        <w:tc>
          <w:tcPr>
            <w:tcW w:w="1111" w:type="pct"/>
            <w:tcBorders>
              <w:top w:val="single" w:sz="4" w:space="0" w:color="auto"/>
              <w:left w:val="single" w:sz="4" w:space="0" w:color="auto"/>
              <w:bottom w:val="single" w:sz="4" w:space="0" w:color="auto"/>
              <w:right w:val="single" w:sz="4" w:space="0" w:color="auto"/>
            </w:tcBorders>
            <w:vAlign w:val="center"/>
          </w:tcPr>
          <w:p w14:paraId="090DCA5A" w14:textId="77777777" w:rsidR="002133E3" w:rsidRDefault="00C22CFA">
            <w:pPr>
              <w:spacing w:line="320" w:lineRule="exact"/>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李巷村</w:t>
            </w:r>
          </w:p>
        </w:tc>
        <w:tc>
          <w:tcPr>
            <w:tcW w:w="1625" w:type="pct"/>
            <w:vMerge w:val="restart"/>
            <w:tcBorders>
              <w:top w:val="single" w:sz="4" w:space="0" w:color="auto"/>
              <w:left w:val="single" w:sz="4" w:space="0" w:color="auto"/>
              <w:right w:val="single" w:sz="4" w:space="0" w:color="auto"/>
            </w:tcBorders>
            <w:vAlign w:val="center"/>
          </w:tcPr>
          <w:p w14:paraId="711898D6" w14:textId="77777777" w:rsidR="002133E3" w:rsidRDefault="00C22CFA">
            <w:pPr>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甲醇、乙醇、非甲烷总烃</w:t>
            </w:r>
          </w:p>
        </w:tc>
        <w:tc>
          <w:tcPr>
            <w:tcW w:w="1738" w:type="pct"/>
            <w:vMerge w:val="restart"/>
            <w:tcBorders>
              <w:top w:val="single" w:sz="4" w:space="0" w:color="auto"/>
              <w:left w:val="single" w:sz="4" w:space="0" w:color="auto"/>
              <w:right w:val="single" w:sz="4" w:space="0" w:color="auto"/>
            </w:tcBorders>
            <w:vAlign w:val="center"/>
          </w:tcPr>
          <w:p w14:paraId="57AC4825" w14:textId="77777777" w:rsidR="002133E3" w:rsidRDefault="00C22CFA">
            <w:pPr>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连续监测</w:t>
            </w:r>
            <w:r>
              <w:rPr>
                <w:rFonts w:ascii="Times New Roman" w:eastAsia="宋体" w:hAnsi="Times New Roman" w:cs="Times New Roman"/>
                <w:kern w:val="0"/>
                <w:szCs w:val="21"/>
              </w:rPr>
              <w:t>7</w:t>
            </w:r>
            <w:r>
              <w:rPr>
                <w:rFonts w:ascii="Times New Roman" w:eastAsia="宋体" w:hAnsi="Times New Roman" w:cs="Times New Roman"/>
                <w:kern w:val="0"/>
                <w:szCs w:val="21"/>
              </w:rPr>
              <w:t>天，监测小时值，</w:t>
            </w:r>
          </w:p>
        </w:tc>
      </w:tr>
      <w:tr w:rsidR="002133E3" w14:paraId="272F89F8" w14:textId="77777777">
        <w:trPr>
          <w:trHeight w:val="162"/>
          <w:jc w:val="center"/>
        </w:trPr>
        <w:tc>
          <w:tcPr>
            <w:tcW w:w="526" w:type="pct"/>
            <w:tcBorders>
              <w:top w:val="single" w:sz="4" w:space="0" w:color="auto"/>
              <w:left w:val="single" w:sz="4" w:space="0" w:color="auto"/>
              <w:bottom w:val="single" w:sz="4" w:space="0" w:color="auto"/>
              <w:right w:val="single" w:sz="4" w:space="0" w:color="auto"/>
            </w:tcBorders>
            <w:vAlign w:val="center"/>
          </w:tcPr>
          <w:p w14:paraId="6DA93860" w14:textId="77777777" w:rsidR="002133E3" w:rsidRDefault="00C22CFA">
            <w:pPr>
              <w:spacing w:line="32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w:t>
            </w:r>
          </w:p>
        </w:tc>
        <w:tc>
          <w:tcPr>
            <w:tcW w:w="1111" w:type="pct"/>
            <w:tcBorders>
              <w:top w:val="single" w:sz="4" w:space="0" w:color="auto"/>
              <w:left w:val="single" w:sz="4" w:space="0" w:color="auto"/>
              <w:bottom w:val="single" w:sz="4" w:space="0" w:color="auto"/>
              <w:right w:val="single" w:sz="4" w:space="0" w:color="auto"/>
            </w:tcBorders>
            <w:vAlign w:val="center"/>
          </w:tcPr>
          <w:p w14:paraId="0FE4A25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kern w:val="0"/>
                <w:szCs w:val="21"/>
              </w:rPr>
              <w:t>兴庄村</w:t>
            </w:r>
          </w:p>
        </w:tc>
        <w:tc>
          <w:tcPr>
            <w:tcW w:w="1625" w:type="pct"/>
            <w:vMerge/>
            <w:tcBorders>
              <w:left w:val="single" w:sz="4" w:space="0" w:color="auto"/>
              <w:bottom w:val="single" w:sz="4" w:space="0" w:color="auto"/>
              <w:right w:val="single" w:sz="4" w:space="0" w:color="auto"/>
            </w:tcBorders>
            <w:vAlign w:val="center"/>
          </w:tcPr>
          <w:p w14:paraId="51352AB0" w14:textId="77777777" w:rsidR="002133E3" w:rsidRDefault="002133E3">
            <w:pPr>
              <w:ind w:left="1920" w:hanging="480"/>
              <w:jc w:val="center"/>
              <w:rPr>
                <w:rFonts w:ascii="Times New Roman" w:eastAsia="宋体" w:hAnsi="Times New Roman" w:cs="Times New Roman"/>
                <w:szCs w:val="21"/>
              </w:rPr>
            </w:pPr>
          </w:p>
        </w:tc>
        <w:tc>
          <w:tcPr>
            <w:tcW w:w="1738" w:type="pct"/>
            <w:vMerge/>
            <w:tcBorders>
              <w:left w:val="single" w:sz="4" w:space="0" w:color="auto"/>
              <w:bottom w:val="single" w:sz="4" w:space="0" w:color="auto"/>
              <w:right w:val="single" w:sz="4" w:space="0" w:color="auto"/>
            </w:tcBorders>
            <w:vAlign w:val="center"/>
          </w:tcPr>
          <w:p w14:paraId="7FB39386" w14:textId="77777777" w:rsidR="002133E3" w:rsidRDefault="002133E3">
            <w:pPr>
              <w:jc w:val="center"/>
              <w:outlineLvl w:val="0"/>
              <w:rPr>
                <w:rFonts w:ascii="Times New Roman" w:eastAsia="宋体" w:hAnsi="Times New Roman" w:cs="Times New Roman"/>
                <w:kern w:val="0"/>
                <w:szCs w:val="21"/>
              </w:rPr>
            </w:pPr>
          </w:p>
        </w:tc>
      </w:tr>
    </w:tbl>
    <w:p w14:paraId="65CCC688" w14:textId="77777777" w:rsidR="002133E3" w:rsidRDefault="00C22CFA">
      <w:pPr>
        <w:adjustRightInd w:val="0"/>
        <w:snapToGrid w:val="0"/>
        <w:jc w:val="center"/>
        <w:rPr>
          <w:rFonts w:ascii="Times New Roman" w:eastAsia="宋体" w:hAnsi="Times New Roman" w:cs="Times New Roman"/>
          <w:kern w:val="0"/>
          <w:sz w:val="28"/>
          <w:szCs w:val="28"/>
        </w:rPr>
      </w:pPr>
      <w:r>
        <w:rPr>
          <w:rFonts w:ascii="Times New Roman" w:eastAsia="宋体" w:hAnsi="Times New Roman" w:cs="Times New Roman"/>
          <w:noProof/>
          <w:sz w:val="28"/>
          <w:szCs w:val="28"/>
        </w:rPr>
        <w:lastRenderedPageBreak/>
        <w:drawing>
          <wp:inline distT="0" distB="0" distL="0" distR="0" wp14:anchorId="156A66D0" wp14:editId="2DF6FC8D">
            <wp:extent cx="6120130" cy="7462520"/>
            <wp:effectExtent l="0" t="0" r="0" b="50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6120130" cy="7462520"/>
                    </a:xfrm>
                    <a:prstGeom prst="rect">
                      <a:avLst/>
                    </a:prstGeom>
                    <a:noFill/>
                    <a:ln>
                      <a:noFill/>
                    </a:ln>
                  </pic:spPr>
                </pic:pic>
              </a:graphicData>
            </a:graphic>
          </wp:inline>
        </w:drawing>
      </w:r>
    </w:p>
    <w:p w14:paraId="7BE94EA2" w14:textId="77777777" w:rsidR="002133E3" w:rsidRDefault="00C22CFA">
      <w:pPr>
        <w:adjustRightInd w:val="0"/>
        <w:snapToGrid w:val="0"/>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监测时间、频次及数据引用情况</w:t>
      </w:r>
    </w:p>
    <w:p w14:paraId="407A8706" w14:textId="77777777" w:rsidR="002133E3" w:rsidRDefault="00C22CFA">
      <w:pPr>
        <w:adjustRightInd w:val="0"/>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1</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G</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项目所在地所有监测因子委托连云港智清环境科技有限公司实测，连续监测</w:t>
      </w:r>
      <w:r>
        <w:rPr>
          <w:rFonts w:ascii="Times New Roman" w:eastAsia="宋体" w:hAnsi="Times New Roman" w:cs="Times New Roman"/>
          <w:kern w:val="0"/>
          <w:sz w:val="28"/>
          <w:szCs w:val="28"/>
        </w:rPr>
        <w:t>7</w:t>
      </w:r>
      <w:r>
        <w:rPr>
          <w:rFonts w:ascii="Times New Roman" w:eastAsia="宋体" w:hAnsi="Times New Roman" w:cs="Times New Roman"/>
          <w:kern w:val="0"/>
          <w:sz w:val="28"/>
          <w:szCs w:val="28"/>
        </w:rPr>
        <w:t>天，每天监测</w:t>
      </w:r>
      <w:r>
        <w:rPr>
          <w:rFonts w:ascii="Times New Roman" w:eastAsia="宋体" w:hAnsi="Times New Roman" w:cs="Times New Roman"/>
          <w:kern w:val="0"/>
          <w:sz w:val="28"/>
          <w:szCs w:val="28"/>
        </w:rPr>
        <w:t>4</w:t>
      </w:r>
      <w:r>
        <w:rPr>
          <w:rFonts w:ascii="Times New Roman" w:eastAsia="宋体" w:hAnsi="Times New Roman" w:cs="Times New Roman"/>
          <w:kern w:val="0"/>
          <w:sz w:val="28"/>
          <w:szCs w:val="28"/>
        </w:rPr>
        <w:t>次（获得</w:t>
      </w:r>
      <w:r>
        <w:rPr>
          <w:rFonts w:ascii="Times New Roman" w:eastAsia="宋体" w:hAnsi="Times New Roman" w:cs="Times New Roman"/>
          <w:kern w:val="0"/>
          <w:sz w:val="28"/>
          <w:szCs w:val="28"/>
        </w:rPr>
        <w:t>02</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08</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14</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20</w:t>
      </w:r>
      <w:r>
        <w:rPr>
          <w:rFonts w:ascii="Times New Roman" w:eastAsia="宋体" w:hAnsi="Times New Roman" w:cs="Times New Roman"/>
          <w:kern w:val="0"/>
          <w:sz w:val="28"/>
          <w:szCs w:val="28"/>
        </w:rPr>
        <w:t>时</w:t>
      </w:r>
      <w:r>
        <w:rPr>
          <w:rFonts w:ascii="Times New Roman" w:eastAsia="宋体" w:hAnsi="Times New Roman" w:cs="Times New Roman"/>
          <w:kern w:val="0"/>
          <w:sz w:val="28"/>
          <w:szCs w:val="28"/>
        </w:rPr>
        <w:t>4</w:t>
      </w:r>
      <w:r>
        <w:rPr>
          <w:rFonts w:ascii="Times New Roman" w:eastAsia="宋体" w:hAnsi="Times New Roman" w:cs="Times New Roman"/>
          <w:kern w:val="0"/>
          <w:sz w:val="28"/>
          <w:szCs w:val="28"/>
        </w:rPr>
        <w:t>个小时浓度值），采样时间为</w:t>
      </w:r>
      <w:r>
        <w:rPr>
          <w:rFonts w:ascii="Times New Roman" w:eastAsia="宋体" w:hAnsi="Times New Roman" w:cs="Times New Roman"/>
          <w:kern w:val="0"/>
          <w:sz w:val="28"/>
          <w:szCs w:val="28"/>
        </w:rPr>
        <w:t>2021</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05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06</w:t>
      </w:r>
      <w:r>
        <w:rPr>
          <w:rFonts w:ascii="Times New Roman" w:eastAsia="宋体" w:hAnsi="Times New Roman" w:cs="Times New Roman"/>
          <w:kern w:val="0"/>
          <w:sz w:val="28"/>
          <w:szCs w:val="28"/>
        </w:rPr>
        <w:t>日</w:t>
      </w:r>
      <w:r>
        <w:rPr>
          <w:rFonts w:ascii="Times New Roman" w:eastAsia="宋体" w:hAnsi="Times New Roman" w:cs="Times New Roman"/>
          <w:kern w:val="0"/>
          <w:sz w:val="28"/>
          <w:szCs w:val="28"/>
        </w:rPr>
        <w:t>~2021</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05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12</w:t>
      </w:r>
      <w:r>
        <w:rPr>
          <w:rFonts w:ascii="Times New Roman" w:eastAsia="宋体" w:hAnsi="Times New Roman" w:cs="Times New Roman"/>
          <w:kern w:val="0"/>
          <w:sz w:val="28"/>
          <w:szCs w:val="28"/>
        </w:rPr>
        <w:t>日。取样要求按国家规范执行。采样监测同时记录风向、风速、气压、气温等常规气象要素。</w:t>
      </w:r>
    </w:p>
    <w:p w14:paraId="379AD9DB" w14:textId="77777777" w:rsidR="002133E3" w:rsidRDefault="00C22CFA">
      <w:pPr>
        <w:adjustRightInd w:val="0"/>
        <w:snapToGrid w:val="0"/>
        <w:spacing w:line="52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lastRenderedPageBreak/>
        <w:fldChar w:fldCharType="begin"/>
      </w:r>
      <w:r>
        <w:rPr>
          <w:rFonts w:ascii="Times New Roman" w:eastAsia="宋体" w:hAnsi="Times New Roman" w:cs="Times New Roman"/>
          <w:kern w:val="0"/>
          <w:sz w:val="28"/>
          <w:szCs w:val="20"/>
        </w:rPr>
        <w:instrText xml:space="preserve"> = 3 \* GB2 </w:instrText>
      </w:r>
      <w:r>
        <w:rPr>
          <w:rFonts w:ascii="Times New Roman" w:eastAsia="宋体" w:hAnsi="Times New Roman" w:cs="Times New Roman"/>
          <w:kern w:val="0"/>
          <w:sz w:val="28"/>
          <w:szCs w:val="20"/>
        </w:rPr>
        <w:fldChar w:fldCharType="separate"/>
      </w:r>
      <w:r>
        <w:rPr>
          <w:rFonts w:ascii="宋体" w:eastAsia="宋体" w:hAnsi="宋体" w:cs="宋体" w:hint="eastAsia"/>
          <w:kern w:val="0"/>
          <w:sz w:val="28"/>
          <w:szCs w:val="20"/>
        </w:rPr>
        <w:t>⑶</w:t>
      </w:r>
      <w:r>
        <w:rPr>
          <w:rFonts w:ascii="Times New Roman" w:eastAsia="宋体" w:hAnsi="Times New Roman" w:cs="Times New Roman"/>
          <w:kern w:val="0"/>
          <w:sz w:val="28"/>
          <w:szCs w:val="20"/>
        </w:rPr>
        <w:fldChar w:fldCharType="end"/>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监测分析方法</w:t>
      </w:r>
    </w:p>
    <w:p w14:paraId="4AA476E2" w14:textId="77777777" w:rsidR="002133E3" w:rsidRDefault="00C22CFA">
      <w:pPr>
        <w:adjustRightInd w:val="0"/>
        <w:snapToGrid w:val="0"/>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按国家环保局编制的《空气和废气监测分析方法》等执行。</w:t>
      </w:r>
    </w:p>
    <w:p w14:paraId="22718B27" w14:textId="77777777" w:rsidR="002133E3" w:rsidRDefault="00C22CFA">
      <w:pPr>
        <w:adjustRightInd w:val="0"/>
        <w:snapToGrid w:val="0"/>
        <w:spacing w:line="52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fldChar w:fldCharType="begin"/>
      </w:r>
      <w:r>
        <w:rPr>
          <w:rFonts w:ascii="Times New Roman" w:eastAsia="宋体" w:hAnsi="Times New Roman" w:cs="Times New Roman"/>
          <w:kern w:val="0"/>
          <w:sz w:val="28"/>
          <w:szCs w:val="20"/>
        </w:rPr>
        <w:instrText xml:space="preserve"> = 4 \* GB2 </w:instrText>
      </w:r>
      <w:r>
        <w:rPr>
          <w:rFonts w:ascii="Times New Roman" w:eastAsia="宋体" w:hAnsi="Times New Roman" w:cs="Times New Roman"/>
          <w:kern w:val="0"/>
          <w:sz w:val="28"/>
          <w:szCs w:val="20"/>
        </w:rPr>
        <w:fldChar w:fldCharType="separate"/>
      </w:r>
      <w:r>
        <w:rPr>
          <w:rFonts w:ascii="宋体" w:eastAsia="宋体" w:hAnsi="宋体" w:cs="宋体" w:hint="eastAsia"/>
          <w:kern w:val="0"/>
          <w:sz w:val="28"/>
          <w:szCs w:val="20"/>
        </w:rPr>
        <w:t>⑷</w:t>
      </w:r>
      <w:r>
        <w:rPr>
          <w:rFonts w:ascii="Times New Roman" w:eastAsia="宋体" w:hAnsi="Times New Roman" w:cs="Times New Roman"/>
          <w:kern w:val="0"/>
          <w:sz w:val="28"/>
          <w:szCs w:val="20"/>
        </w:rPr>
        <w:fldChar w:fldCharType="end"/>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监测结果</w:t>
      </w:r>
    </w:p>
    <w:p w14:paraId="78F422D8" w14:textId="77777777" w:rsidR="002133E3" w:rsidRDefault="00C22CFA">
      <w:pPr>
        <w:spacing w:line="520" w:lineRule="exact"/>
        <w:ind w:firstLineChars="221" w:firstLine="619"/>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大气现状监测结果见表</w:t>
      </w:r>
      <w:r>
        <w:rPr>
          <w:rFonts w:ascii="Times New Roman" w:eastAsia="宋体" w:hAnsi="Times New Roman" w:cs="Times New Roman"/>
          <w:kern w:val="0"/>
          <w:sz w:val="28"/>
          <w:szCs w:val="28"/>
        </w:rPr>
        <w:t>5.2-3</w:t>
      </w:r>
      <w:r>
        <w:rPr>
          <w:rFonts w:ascii="Times New Roman" w:eastAsia="宋体" w:hAnsi="Times New Roman" w:cs="Times New Roman"/>
          <w:kern w:val="0"/>
          <w:sz w:val="28"/>
          <w:szCs w:val="28"/>
        </w:rPr>
        <w:t>。</w:t>
      </w:r>
    </w:p>
    <w:p w14:paraId="48E9A3D7" w14:textId="77777777" w:rsidR="002133E3" w:rsidRDefault="00C22CFA">
      <w:pPr>
        <w:spacing w:line="52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5.2-3  </w:t>
      </w:r>
      <w:r>
        <w:rPr>
          <w:rFonts w:ascii="Times New Roman" w:eastAsia="宋体" w:hAnsi="Times New Roman" w:cs="Times New Roman"/>
          <w:b/>
          <w:kern w:val="0"/>
          <w:sz w:val="24"/>
          <w:szCs w:val="21"/>
        </w:rPr>
        <w:t>大气环境质量现状监测结果表</w:t>
      </w:r>
    </w:p>
    <w:tbl>
      <w:tblPr>
        <w:tblW w:w="9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1578"/>
        <w:gridCol w:w="709"/>
        <w:gridCol w:w="1134"/>
        <w:gridCol w:w="992"/>
        <w:gridCol w:w="709"/>
        <w:gridCol w:w="708"/>
        <w:gridCol w:w="1191"/>
        <w:gridCol w:w="982"/>
        <w:gridCol w:w="682"/>
        <w:gridCol w:w="668"/>
      </w:tblGrid>
      <w:tr w:rsidR="002133E3" w14:paraId="51F128C0" w14:textId="77777777">
        <w:trPr>
          <w:trHeight w:val="285"/>
          <w:jc w:val="center"/>
        </w:trPr>
        <w:tc>
          <w:tcPr>
            <w:tcW w:w="529" w:type="dxa"/>
            <w:vMerge w:val="restart"/>
            <w:noWrap/>
            <w:vAlign w:val="center"/>
          </w:tcPr>
          <w:p w14:paraId="463F542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采样点</w:t>
            </w:r>
          </w:p>
        </w:tc>
        <w:tc>
          <w:tcPr>
            <w:tcW w:w="1578" w:type="dxa"/>
            <w:vMerge w:val="restart"/>
            <w:noWrap/>
            <w:vAlign w:val="center"/>
          </w:tcPr>
          <w:p w14:paraId="068D6A3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项目</w:t>
            </w:r>
          </w:p>
        </w:tc>
        <w:tc>
          <w:tcPr>
            <w:tcW w:w="709" w:type="dxa"/>
            <w:vMerge w:val="restart"/>
            <w:noWrap/>
            <w:vAlign w:val="center"/>
          </w:tcPr>
          <w:p w14:paraId="7A2F887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样品数</w:t>
            </w:r>
          </w:p>
        </w:tc>
        <w:tc>
          <w:tcPr>
            <w:tcW w:w="3543" w:type="dxa"/>
            <w:gridSpan w:val="4"/>
            <w:noWrap/>
            <w:vAlign w:val="center"/>
          </w:tcPr>
          <w:p w14:paraId="0C93B6B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一小时浓度</w:t>
            </w:r>
          </w:p>
        </w:tc>
        <w:tc>
          <w:tcPr>
            <w:tcW w:w="3523" w:type="dxa"/>
            <w:gridSpan w:val="4"/>
            <w:noWrap/>
            <w:vAlign w:val="center"/>
          </w:tcPr>
          <w:p w14:paraId="19D66BC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日均浓度</w:t>
            </w:r>
          </w:p>
        </w:tc>
      </w:tr>
      <w:tr w:rsidR="002133E3" w14:paraId="19F2AB33" w14:textId="77777777">
        <w:trPr>
          <w:trHeight w:val="285"/>
          <w:jc w:val="center"/>
        </w:trPr>
        <w:tc>
          <w:tcPr>
            <w:tcW w:w="529" w:type="dxa"/>
            <w:vMerge/>
            <w:vAlign w:val="center"/>
          </w:tcPr>
          <w:p w14:paraId="2BB532D4" w14:textId="77777777" w:rsidR="002133E3" w:rsidRDefault="002133E3">
            <w:pPr>
              <w:widowControl/>
              <w:jc w:val="left"/>
              <w:rPr>
                <w:rFonts w:ascii="Times New Roman" w:eastAsia="宋体" w:hAnsi="Times New Roman" w:cs="Times New Roman"/>
                <w:b/>
                <w:bCs/>
                <w:color w:val="000000"/>
                <w:kern w:val="0"/>
                <w:szCs w:val="21"/>
              </w:rPr>
            </w:pPr>
          </w:p>
        </w:tc>
        <w:tc>
          <w:tcPr>
            <w:tcW w:w="1578" w:type="dxa"/>
            <w:vMerge/>
            <w:vAlign w:val="center"/>
          </w:tcPr>
          <w:p w14:paraId="616BCA20" w14:textId="77777777" w:rsidR="002133E3" w:rsidRDefault="002133E3">
            <w:pPr>
              <w:widowControl/>
              <w:jc w:val="left"/>
              <w:rPr>
                <w:rFonts w:ascii="Times New Roman" w:eastAsia="宋体" w:hAnsi="Times New Roman" w:cs="Times New Roman"/>
                <w:b/>
                <w:bCs/>
                <w:color w:val="000000"/>
                <w:kern w:val="0"/>
                <w:szCs w:val="21"/>
              </w:rPr>
            </w:pPr>
          </w:p>
        </w:tc>
        <w:tc>
          <w:tcPr>
            <w:tcW w:w="709" w:type="dxa"/>
            <w:vMerge/>
            <w:vAlign w:val="center"/>
          </w:tcPr>
          <w:p w14:paraId="7F362907" w14:textId="77777777" w:rsidR="002133E3" w:rsidRDefault="002133E3">
            <w:pPr>
              <w:widowControl/>
              <w:jc w:val="left"/>
              <w:rPr>
                <w:rFonts w:ascii="Times New Roman" w:eastAsia="宋体" w:hAnsi="Times New Roman" w:cs="Times New Roman"/>
                <w:b/>
                <w:bCs/>
                <w:color w:val="000000"/>
                <w:kern w:val="0"/>
                <w:szCs w:val="21"/>
              </w:rPr>
            </w:pPr>
          </w:p>
        </w:tc>
        <w:tc>
          <w:tcPr>
            <w:tcW w:w="1134" w:type="dxa"/>
            <w:noWrap/>
            <w:vAlign w:val="center"/>
          </w:tcPr>
          <w:p w14:paraId="5BD0F7F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浓度范围</w:t>
            </w:r>
            <w:r>
              <w:rPr>
                <w:rFonts w:ascii="Times New Roman" w:eastAsia="宋体" w:hAnsi="Times New Roman" w:cs="Times New Roman"/>
                <w:b/>
                <w:bCs/>
                <w:color w:val="000000"/>
                <w:kern w:val="0"/>
                <w:szCs w:val="21"/>
              </w:rPr>
              <w:t>mg/Nm³</w:t>
            </w:r>
          </w:p>
        </w:tc>
        <w:tc>
          <w:tcPr>
            <w:tcW w:w="992" w:type="dxa"/>
            <w:noWrap/>
            <w:vAlign w:val="center"/>
          </w:tcPr>
          <w:p w14:paraId="7AC5937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标准值</w:t>
            </w:r>
            <w:r>
              <w:rPr>
                <w:rFonts w:ascii="Times New Roman" w:eastAsia="宋体" w:hAnsi="Times New Roman" w:cs="Times New Roman"/>
                <w:b/>
                <w:bCs/>
                <w:color w:val="000000"/>
                <w:kern w:val="0"/>
                <w:szCs w:val="21"/>
              </w:rPr>
              <w:t>mg/Nm³</w:t>
            </w:r>
          </w:p>
        </w:tc>
        <w:tc>
          <w:tcPr>
            <w:tcW w:w="709" w:type="dxa"/>
            <w:noWrap/>
            <w:vAlign w:val="center"/>
          </w:tcPr>
          <w:p w14:paraId="08B7738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超标个数</w:t>
            </w:r>
          </w:p>
        </w:tc>
        <w:tc>
          <w:tcPr>
            <w:tcW w:w="708" w:type="dxa"/>
            <w:noWrap/>
            <w:vAlign w:val="center"/>
          </w:tcPr>
          <w:p w14:paraId="00D7011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超标率</w:t>
            </w:r>
            <w:r>
              <w:rPr>
                <w:rFonts w:ascii="Times New Roman" w:eastAsia="宋体" w:hAnsi="Times New Roman" w:cs="Times New Roman"/>
                <w:b/>
                <w:bCs/>
                <w:color w:val="000000"/>
                <w:kern w:val="0"/>
                <w:szCs w:val="21"/>
              </w:rPr>
              <w:t>%</w:t>
            </w:r>
          </w:p>
        </w:tc>
        <w:tc>
          <w:tcPr>
            <w:tcW w:w="1191" w:type="dxa"/>
            <w:noWrap/>
            <w:vAlign w:val="center"/>
          </w:tcPr>
          <w:p w14:paraId="5351B86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浓度范围</w:t>
            </w:r>
            <w:r>
              <w:rPr>
                <w:rFonts w:ascii="Times New Roman" w:eastAsia="宋体" w:hAnsi="Times New Roman" w:cs="Times New Roman"/>
                <w:b/>
                <w:bCs/>
                <w:color w:val="000000"/>
                <w:kern w:val="0"/>
                <w:szCs w:val="21"/>
              </w:rPr>
              <w:t>mg/Nm³</w:t>
            </w:r>
          </w:p>
        </w:tc>
        <w:tc>
          <w:tcPr>
            <w:tcW w:w="982" w:type="dxa"/>
            <w:noWrap/>
            <w:vAlign w:val="center"/>
          </w:tcPr>
          <w:p w14:paraId="011C3A9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标准值</w:t>
            </w:r>
            <w:r>
              <w:rPr>
                <w:rFonts w:ascii="Times New Roman" w:eastAsia="宋体" w:hAnsi="Times New Roman" w:cs="Times New Roman"/>
                <w:b/>
                <w:bCs/>
                <w:color w:val="000000"/>
                <w:kern w:val="0"/>
                <w:szCs w:val="21"/>
              </w:rPr>
              <w:t>mg/Nm³</w:t>
            </w:r>
          </w:p>
        </w:tc>
        <w:tc>
          <w:tcPr>
            <w:tcW w:w="682" w:type="dxa"/>
            <w:noWrap/>
            <w:vAlign w:val="center"/>
          </w:tcPr>
          <w:p w14:paraId="3300526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超标个数</w:t>
            </w:r>
          </w:p>
        </w:tc>
        <w:tc>
          <w:tcPr>
            <w:tcW w:w="668" w:type="dxa"/>
            <w:noWrap/>
            <w:vAlign w:val="center"/>
          </w:tcPr>
          <w:p w14:paraId="2E65FEF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超标率</w:t>
            </w:r>
            <w:r>
              <w:rPr>
                <w:rFonts w:ascii="Times New Roman" w:eastAsia="宋体" w:hAnsi="Times New Roman" w:cs="Times New Roman"/>
                <w:b/>
                <w:bCs/>
                <w:color w:val="000000"/>
                <w:kern w:val="0"/>
                <w:szCs w:val="21"/>
              </w:rPr>
              <w:t>%</w:t>
            </w:r>
          </w:p>
        </w:tc>
      </w:tr>
      <w:tr w:rsidR="002133E3" w14:paraId="755305D9" w14:textId="77777777">
        <w:trPr>
          <w:trHeight w:val="315"/>
          <w:jc w:val="center"/>
        </w:trPr>
        <w:tc>
          <w:tcPr>
            <w:tcW w:w="529" w:type="dxa"/>
            <w:vMerge w:val="restart"/>
            <w:noWrap/>
            <w:vAlign w:val="center"/>
          </w:tcPr>
          <w:p w14:paraId="0D9E897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G1</w:t>
            </w:r>
          </w:p>
        </w:tc>
        <w:tc>
          <w:tcPr>
            <w:tcW w:w="1578" w:type="dxa"/>
            <w:noWrap/>
            <w:vAlign w:val="center"/>
          </w:tcPr>
          <w:p w14:paraId="160CC32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szCs w:val="21"/>
              </w:rPr>
              <w:t>甲醇</w:t>
            </w:r>
          </w:p>
        </w:tc>
        <w:tc>
          <w:tcPr>
            <w:tcW w:w="709" w:type="dxa"/>
            <w:noWrap/>
          </w:tcPr>
          <w:p w14:paraId="02A7AFB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28</w:t>
            </w:r>
          </w:p>
        </w:tc>
        <w:tc>
          <w:tcPr>
            <w:tcW w:w="1134" w:type="dxa"/>
            <w:noWrap/>
            <w:vAlign w:val="center"/>
          </w:tcPr>
          <w:p w14:paraId="760C909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未检出</w:t>
            </w:r>
          </w:p>
        </w:tc>
        <w:tc>
          <w:tcPr>
            <w:tcW w:w="992" w:type="dxa"/>
            <w:noWrap/>
            <w:vAlign w:val="center"/>
          </w:tcPr>
          <w:p w14:paraId="5B143DF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c>
          <w:tcPr>
            <w:tcW w:w="709" w:type="dxa"/>
            <w:noWrap/>
            <w:vAlign w:val="center"/>
          </w:tcPr>
          <w:p w14:paraId="329A607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6774458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729BDC4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605F5F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45E9F4B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3B5CE1E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682BA3A8" w14:textId="77777777">
        <w:trPr>
          <w:trHeight w:val="285"/>
          <w:jc w:val="center"/>
        </w:trPr>
        <w:tc>
          <w:tcPr>
            <w:tcW w:w="529" w:type="dxa"/>
            <w:vMerge/>
            <w:vAlign w:val="center"/>
          </w:tcPr>
          <w:p w14:paraId="0D14591C" w14:textId="77777777" w:rsidR="002133E3" w:rsidRDefault="002133E3">
            <w:pPr>
              <w:widowControl/>
              <w:jc w:val="left"/>
              <w:rPr>
                <w:rFonts w:ascii="Times New Roman" w:eastAsia="宋体" w:hAnsi="Times New Roman" w:cs="Times New Roman"/>
                <w:color w:val="000000"/>
                <w:kern w:val="0"/>
                <w:szCs w:val="21"/>
              </w:rPr>
            </w:pPr>
          </w:p>
        </w:tc>
        <w:tc>
          <w:tcPr>
            <w:tcW w:w="1578" w:type="dxa"/>
            <w:noWrap/>
            <w:vAlign w:val="center"/>
          </w:tcPr>
          <w:p w14:paraId="60AB43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乙醇</w:t>
            </w:r>
          </w:p>
        </w:tc>
        <w:tc>
          <w:tcPr>
            <w:tcW w:w="709" w:type="dxa"/>
            <w:noWrap/>
          </w:tcPr>
          <w:p w14:paraId="254EB476"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color w:val="000000"/>
                <w:kern w:val="0"/>
                <w:szCs w:val="21"/>
              </w:rPr>
              <w:t>28</w:t>
            </w:r>
          </w:p>
        </w:tc>
        <w:tc>
          <w:tcPr>
            <w:tcW w:w="1134" w:type="dxa"/>
            <w:noWrap/>
            <w:vAlign w:val="center"/>
          </w:tcPr>
          <w:p w14:paraId="576DCA1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未检出</w:t>
            </w:r>
          </w:p>
        </w:tc>
        <w:tc>
          <w:tcPr>
            <w:tcW w:w="992" w:type="dxa"/>
            <w:noWrap/>
            <w:vAlign w:val="center"/>
          </w:tcPr>
          <w:p w14:paraId="29EEA92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709" w:type="dxa"/>
            <w:noWrap/>
            <w:vAlign w:val="center"/>
          </w:tcPr>
          <w:p w14:paraId="43DCEE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0DB6857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2E2AB4F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376E45C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1C786E9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533660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2059C909" w14:textId="77777777">
        <w:trPr>
          <w:trHeight w:val="285"/>
          <w:jc w:val="center"/>
        </w:trPr>
        <w:tc>
          <w:tcPr>
            <w:tcW w:w="529" w:type="dxa"/>
            <w:vMerge/>
            <w:vAlign w:val="center"/>
          </w:tcPr>
          <w:p w14:paraId="6D325D6A" w14:textId="77777777" w:rsidR="002133E3" w:rsidRDefault="002133E3">
            <w:pPr>
              <w:widowControl/>
              <w:jc w:val="left"/>
              <w:rPr>
                <w:rFonts w:ascii="Times New Roman" w:eastAsia="宋体" w:hAnsi="Times New Roman" w:cs="Times New Roman"/>
                <w:color w:val="000000"/>
                <w:kern w:val="0"/>
                <w:szCs w:val="21"/>
              </w:rPr>
            </w:pPr>
          </w:p>
        </w:tc>
        <w:tc>
          <w:tcPr>
            <w:tcW w:w="1578" w:type="dxa"/>
            <w:noWrap/>
            <w:vAlign w:val="center"/>
          </w:tcPr>
          <w:p w14:paraId="40368F3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非甲烷总烃</w:t>
            </w:r>
          </w:p>
        </w:tc>
        <w:tc>
          <w:tcPr>
            <w:tcW w:w="709" w:type="dxa"/>
            <w:noWrap/>
            <w:vAlign w:val="center"/>
          </w:tcPr>
          <w:p w14:paraId="0821E803" w14:textId="77777777" w:rsidR="002133E3" w:rsidRDefault="00C22CFA">
            <w:pPr>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28</w:t>
            </w:r>
          </w:p>
        </w:tc>
        <w:tc>
          <w:tcPr>
            <w:tcW w:w="1134" w:type="dxa"/>
            <w:noWrap/>
            <w:vAlign w:val="center"/>
          </w:tcPr>
          <w:p w14:paraId="17CE6E3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0.35~0.62</w:t>
            </w:r>
          </w:p>
        </w:tc>
        <w:tc>
          <w:tcPr>
            <w:tcW w:w="992" w:type="dxa"/>
            <w:noWrap/>
            <w:vAlign w:val="center"/>
          </w:tcPr>
          <w:p w14:paraId="656622F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p>
        </w:tc>
        <w:tc>
          <w:tcPr>
            <w:tcW w:w="709" w:type="dxa"/>
            <w:noWrap/>
            <w:vAlign w:val="center"/>
          </w:tcPr>
          <w:p w14:paraId="1A59584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709C1B6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2FD4B53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0E397ED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4EC4A36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68BC717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0864C698" w14:textId="77777777">
        <w:trPr>
          <w:trHeight w:val="285"/>
          <w:jc w:val="center"/>
        </w:trPr>
        <w:tc>
          <w:tcPr>
            <w:tcW w:w="529" w:type="dxa"/>
            <w:vMerge/>
            <w:vAlign w:val="center"/>
          </w:tcPr>
          <w:p w14:paraId="2F8219D7" w14:textId="77777777" w:rsidR="002133E3" w:rsidRDefault="002133E3">
            <w:pPr>
              <w:widowControl/>
              <w:jc w:val="left"/>
              <w:rPr>
                <w:rFonts w:ascii="Times New Roman" w:eastAsia="宋体" w:hAnsi="Times New Roman" w:cs="Times New Roman"/>
                <w:color w:val="000000"/>
                <w:kern w:val="0"/>
                <w:szCs w:val="21"/>
              </w:rPr>
            </w:pPr>
          </w:p>
        </w:tc>
        <w:tc>
          <w:tcPr>
            <w:tcW w:w="1578" w:type="dxa"/>
            <w:noWrap/>
            <w:vAlign w:val="center"/>
          </w:tcPr>
          <w:p w14:paraId="2D26101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spacing w:val="-1"/>
                <w:szCs w:val="21"/>
              </w:rPr>
              <w:t>挥发性有机物</w:t>
            </w:r>
            <w:r>
              <w:rPr>
                <w:rFonts w:ascii="Times New Roman" w:eastAsia="宋体" w:hAnsi="Times New Roman" w:cs="Times New Roman"/>
                <w:spacing w:val="-1"/>
                <w:szCs w:val="21"/>
              </w:rPr>
              <w:t>*</w:t>
            </w:r>
          </w:p>
        </w:tc>
        <w:tc>
          <w:tcPr>
            <w:tcW w:w="709" w:type="dxa"/>
            <w:noWrap/>
            <w:vAlign w:val="center"/>
          </w:tcPr>
          <w:p w14:paraId="28442B08"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color w:val="000000"/>
                <w:kern w:val="0"/>
                <w:szCs w:val="21"/>
              </w:rPr>
              <w:t>28</w:t>
            </w:r>
          </w:p>
        </w:tc>
        <w:tc>
          <w:tcPr>
            <w:tcW w:w="1134" w:type="dxa"/>
            <w:noWrap/>
            <w:vAlign w:val="center"/>
          </w:tcPr>
          <w:p w14:paraId="5A33A23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0.35~0.62</w:t>
            </w:r>
          </w:p>
        </w:tc>
        <w:tc>
          <w:tcPr>
            <w:tcW w:w="992" w:type="dxa"/>
            <w:noWrap/>
            <w:vAlign w:val="center"/>
          </w:tcPr>
          <w:p w14:paraId="09E380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w:t>
            </w:r>
          </w:p>
        </w:tc>
        <w:tc>
          <w:tcPr>
            <w:tcW w:w="709" w:type="dxa"/>
            <w:noWrap/>
            <w:vAlign w:val="center"/>
          </w:tcPr>
          <w:p w14:paraId="77C4E0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56EE049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043286D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216BE79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43A0142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6F32BC0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38DA62CD" w14:textId="77777777">
        <w:trPr>
          <w:trHeight w:val="315"/>
          <w:jc w:val="center"/>
        </w:trPr>
        <w:tc>
          <w:tcPr>
            <w:tcW w:w="529" w:type="dxa"/>
            <w:vMerge w:val="restart"/>
            <w:noWrap/>
            <w:vAlign w:val="center"/>
          </w:tcPr>
          <w:p w14:paraId="1D236B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G2</w:t>
            </w:r>
          </w:p>
        </w:tc>
        <w:tc>
          <w:tcPr>
            <w:tcW w:w="1578" w:type="dxa"/>
            <w:noWrap/>
            <w:vAlign w:val="center"/>
          </w:tcPr>
          <w:p w14:paraId="72E181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szCs w:val="21"/>
              </w:rPr>
              <w:t>甲醇</w:t>
            </w:r>
          </w:p>
        </w:tc>
        <w:tc>
          <w:tcPr>
            <w:tcW w:w="709" w:type="dxa"/>
            <w:noWrap/>
          </w:tcPr>
          <w:p w14:paraId="502EE27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28</w:t>
            </w:r>
          </w:p>
        </w:tc>
        <w:tc>
          <w:tcPr>
            <w:tcW w:w="1134" w:type="dxa"/>
            <w:noWrap/>
            <w:vAlign w:val="center"/>
          </w:tcPr>
          <w:p w14:paraId="31B33ED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未检出</w:t>
            </w:r>
          </w:p>
        </w:tc>
        <w:tc>
          <w:tcPr>
            <w:tcW w:w="992" w:type="dxa"/>
            <w:noWrap/>
            <w:vAlign w:val="center"/>
          </w:tcPr>
          <w:p w14:paraId="447F3DE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c>
          <w:tcPr>
            <w:tcW w:w="709" w:type="dxa"/>
            <w:noWrap/>
            <w:vAlign w:val="center"/>
          </w:tcPr>
          <w:p w14:paraId="6076F22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4E33B7B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311B347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7BB82B9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636D3DC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70E9151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157258F0" w14:textId="77777777">
        <w:trPr>
          <w:trHeight w:val="315"/>
          <w:jc w:val="center"/>
        </w:trPr>
        <w:tc>
          <w:tcPr>
            <w:tcW w:w="529" w:type="dxa"/>
            <w:vMerge/>
            <w:noWrap/>
            <w:vAlign w:val="center"/>
          </w:tcPr>
          <w:p w14:paraId="2D0D37B4" w14:textId="77777777" w:rsidR="002133E3" w:rsidRDefault="002133E3">
            <w:pPr>
              <w:widowControl/>
              <w:jc w:val="center"/>
              <w:rPr>
                <w:rFonts w:ascii="Times New Roman" w:eastAsia="宋体" w:hAnsi="Times New Roman" w:cs="Times New Roman"/>
                <w:color w:val="000000"/>
                <w:kern w:val="0"/>
                <w:szCs w:val="21"/>
              </w:rPr>
            </w:pPr>
          </w:p>
        </w:tc>
        <w:tc>
          <w:tcPr>
            <w:tcW w:w="1578" w:type="dxa"/>
            <w:noWrap/>
            <w:vAlign w:val="center"/>
          </w:tcPr>
          <w:p w14:paraId="6F1EB71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乙醇</w:t>
            </w:r>
          </w:p>
        </w:tc>
        <w:tc>
          <w:tcPr>
            <w:tcW w:w="709" w:type="dxa"/>
            <w:noWrap/>
          </w:tcPr>
          <w:p w14:paraId="08624712"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color w:val="000000"/>
                <w:kern w:val="0"/>
                <w:szCs w:val="21"/>
              </w:rPr>
              <w:t>28</w:t>
            </w:r>
          </w:p>
        </w:tc>
        <w:tc>
          <w:tcPr>
            <w:tcW w:w="1134" w:type="dxa"/>
            <w:noWrap/>
            <w:vAlign w:val="center"/>
          </w:tcPr>
          <w:p w14:paraId="3D4D380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未检出</w:t>
            </w:r>
          </w:p>
        </w:tc>
        <w:tc>
          <w:tcPr>
            <w:tcW w:w="992" w:type="dxa"/>
            <w:noWrap/>
            <w:vAlign w:val="center"/>
          </w:tcPr>
          <w:p w14:paraId="566C6BF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c>
          <w:tcPr>
            <w:tcW w:w="709" w:type="dxa"/>
            <w:noWrap/>
            <w:vAlign w:val="center"/>
          </w:tcPr>
          <w:p w14:paraId="1876DE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234BC3B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2CA103A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3815D6E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38E2A02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6926ED8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30941AB5" w14:textId="77777777">
        <w:trPr>
          <w:trHeight w:val="315"/>
          <w:jc w:val="center"/>
        </w:trPr>
        <w:tc>
          <w:tcPr>
            <w:tcW w:w="529" w:type="dxa"/>
            <w:vMerge/>
            <w:noWrap/>
            <w:vAlign w:val="center"/>
          </w:tcPr>
          <w:p w14:paraId="5ECAB851" w14:textId="77777777" w:rsidR="002133E3" w:rsidRDefault="002133E3">
            <w:pPr>
              <w:widowControl/>
              <w:jc w:val="center"/>
              <w:rPr>
                <w:rFonts w:ascii="Times New Roman" w:eastAsia="宋体" w:hAnsi="Times New Roman" w:cs="Times New Roman"/>
                <w:color w:val="000000"/>
                <w:kern w:val="0"/>
                <w:szCs w:val="21"/>
              </w:rPr>
            </w:pPr>
          </w:p>
        </w:tc>
        <w:tc>
          <w:tcPr>
            <w:tcW w:w="1578" w:type="dxa"/>
            <w:noWrap/>
            <w:vAlign w:val="center"/>
          </w:tcPr>
          <w:p w14:paraId="220DE00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非甲烷总烃</w:t>
            </w:r>
          </w:p>
        </w:tc>
        <w:tc>
          <w:tcPr>
            <w:tcW w:w="709" w:type="dxa"/>
            <w:noWrap/>
            <w:vAlign w:val="center"/>
          </w:tcPr>
          <w:p w14:paraId="095950C1" w14:textId="77777777" w:rsidR="002133E3" w:rsidRDefault="00C22CFA">
            <w:pPr>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28</w:t>
            </w:r>
          </w:p>
        </w:tc>
        <w:tc>
          <w:tcPr>
            <w:tcW w:w="1134" w:type="dxa"/>
            <w:noWrap/>
            <w:vAlign w:val="center"/>
          </w:tcPr>
          <w:p w14:paraId="427BC38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0.31~0.74</w:t>
            </w:r>
          </w:p>
        </w:tc>
        <w:tc>
          <w:tcPr>
            <w:tcW w:w="992" w:type="dxa"/>
            <w:noWrap/>
            <w:vAlign w:val="center"/>
          </w:tcPr>
          <w:p w14:paraId="2108A32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p>
        </w:tc>
        <w:tc>
          <w:tcPr>
            <w:tcW w:w="709" w:type="dxa"/>
            <w:noWrap/>
            <w:vAlign w:val="center"/>
          </w:tcPr>
          <w:p w14:paraId="6366EC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7E85F7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7474322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28B3ECF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1997670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6058251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0256467D" w14:textId="77777777">
        <w:trPr>
          <w:trHeight w:val="285"/>
          <w:jc w:val="center"/>
        </w:trPr>
        <w:tc>
          <w:tcPr>
            <w:tcW w:w="529" w:type="dxa"/>
            <w:vMerge/>
            <w:vAlign w:val="center"/>
          </w:tcPr>
          <w:p w14:paraId="3CD15770" w14:textId="77777777" w:rsidR="002133E3" w:rsidRDefault="002133E3">
            <w:pPr>
              <w:widowControl/>
              <w:jc w:val="left"/>
              <w:rPr>
                <w:rFonts w:ascii="Times New Roman" w:eastAsia="宋体" w:hAnsi="Times New Roman" w:cs="Times New Roman"/>
                <w:color w:val="000000"/>
                <w:kern w:val="0"/>
                <w:szCs w:val="21"/>
              </w:rPr>
            </w:pPr>
          </w:p>
        </w:tc>
        <w:tc>
          <w:tcPr>
            <w:tcW w:w="1578" w:type="dxa"/>
            <w:noWrap/>
            <w:vAlign w:val="center"/>
          </w:tcPr>
          <w:p w14:paraId="46143AA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spacing w:val="-1"/>
                <w:szCs w:val="21"/>
              </w:rPr>
              <w:t>挥发性有机物</w:t>
            </w:r>
            <w:r>
              <w:rPr>
                <w:rFonts w:ascii="Times New Roman" w:eastAsia="宋体" w:hAnsi="Times New Roman" w:cs="Times New Roman"/>
                <w:spacing w:val="-1"/>
                <w:szCs w:val="21"/>
              </w:rPr>
              <w:t>*</w:t>
            </w:r>
          </w:p>
        </w:tc>
        <w:tc>
          <w:tcPr>
            <w:tcW w:w="709" w:type="dxa"/>
            <w:noWrap/>
            <w:vAlign w:val="center"/>
          </w:tcPr>
          <w:p w14:paraId="111BFAA2"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color w:val="000000"/>
                <w:kern w:val="0"/>
                <w:szCs w:val="21"/>
              </w:rPr>
              <w:t>28</w:t>
            </w:r>
          </w:p>
        </w:tc>
        <w:tc>
          <w:tcPr>
            <w:tcW w:w="1134" w:type="dxa"/>
            <w:noWrap/>
            <w:vAlign w:val="center"/>
          </w:tcPr>
          <w:p w14:paraId="796ACF0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0.31~0.74</w:t>
            </w:r>
          </w:p>
        </w:tc>
        <w:tc>
          <w:tcPr>
            <w:tcW w:w="992" w:type="dxa"/>
            <w:noWrap/>
            <w:vAlign w:val="center"/>
          </w:tcPr>
          <w:p w14:paraId="1194FF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w:t>
            </w:r>
          </w:p>
        </w:tc>
        <w:tc>
          <w:tcPr>
            <w:tcW w:w="709" w:type="dxa"/>
            <w:noWrap/>
            <w:vAlign w:val="center"/>
          </w:tcPr>
          <w:p w14:paraId="1C1BE30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708" w:type="dxa"/>
            <w:noWrap/>
            <w:vAlign w:val="center"/>
          </w:tcPr>
          <w:p w14:paraId="74E1E0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c>
          <w:tcPr>
            <w:tcW w:w="1191" w:type="dxa"/>
            <w:noWrap/>
            <w:vAlign w:val="center"/>
          </w:tcPr>
          <w:p w14:paraId="1866085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982" w:type="dxa"/>
            <w:noWrap/>
            <w:vAlign w:val="center"/>
          </w:tcPr>
          <w:p w14:paraId="1D5AD7E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82" w:type="dxa"/>
            <w:noWrap/>
            <w:vAlign w:val="center"/>
          </w:tcPr>
          <w:p w14:paraId="4118D09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668" w:type="dxa"/>
            <w:noWrap/>
            <w:vAlign w:val="center"/>
          </w:tcPr>
          <w:p w14:paraId="70081D3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bl>
    <w:p w14:paraId="42DAEC2C" w14:textId="77777777" w:rsidR="002133E3" w:rsidRDefault="00C22CFA">
      <w:pPr>
        <w:snapToGrid w:val="0"/>
        <w:spacing w:line="500" w:lineRule="atLeast"/>
        <w:rPr>
          <w:rFonts w:ascii="Times New Roman" w:eastAsia="宋体" w:hAnsi="Times New Roman" w:cs="Times New Roman"/>
          <w:color w:val="000000"/>
          <w:kern w:val="0"/>
          <w:szCs w:val="21"/>
        </w:rPr>
      </w:pPr>
      <w:r>
        <w:rPr>
          <w:rFonts w:ascii="Times New Roman" w:eastAsia="宋体" w:hAnsi="Times New Roman" w:cs="Times New Roman"/>
          <w:b/>
          <w:bCs/>
          <w:spacing w:val="-1"/>
          <w:szCs w:val="21"/>
        </w:rPr>
        <w:t>注：</w:t>
      </w:r>
      <w:r>
        <w:rPr>
          <w:rFonts w:ascii="Times New Roman" w:eastAsia="宋体" w:hAnsi="Times New Roman" w:cs="Times New Roman"/>
          <w:spacing w:val="-1"/>
          <w:szCs w:val="21"/>
        </w:rPr>
        <w:t>*</w:t>
      </w:r>
      <w:r>
        <w:rPr>
          <w:rFonts w:ascii="Times New Roman" w:eastAsia="宋体" w:hAnsi="Times New Roman" w:cs="Times New Roman"/>
          <w:color w:val="000000"/>
          <w:kern w:val="0"/>
          <w:szCs w:val="21"/>
        </w:rPr>
        <w:t>非甲烷总烃监测方法主要监测出</w:t>
      </w:r>
      <w:r>
        <w:rPr>
          <w:rFonts w:ascii="Times New Roman" w:eastAsia="宋体" w:hAnsi="Times New Roman" w:cs="Times New Roman"/>
          <w:color w:val="000000"/>
          <w:kern w:val="0"/>
          <w:szCs w:val="21"/>
        </w:rPr>
        <w:t>C</w:t>
      </w:r>
      <w:r>
        <w:rPr>
          <w:rFonts w:ascii="Times New Roman" w:eastAsia="宋体" w:hAnsi="Times New Roman" w:cs="Times New Roman"/>
          <w:color w:val="000000"/>
          <w:kern w:val="0"/>
          <w:szCs w:val="21"/>
          <w:vertAlign w:val="subscript"/>
        </w:rPr>
        <w:t>1</w:t>
      </w:r>
      <w:r>
        <w:rPr>
          <w:rFonts w:ascii="Times New Roman" w:eastAsia="宋体" w:hAnsi="Times New Roman" w:cs="Times New Roman"/>
          <w:color w:val="000000"/>
          <w:kern w:val="0"/>
          <w:szCs w:val="21"/>
        </w:rPr>
        <w:t>-C</w:t>
      </w:r>
      <w:r>
        <w:rPr>
          <w:rFonts w:ascii="Times New Roman" w:eastAsia="宋体" w:hAnsi="Times New Roman" w:cs="Times New Roman"/>
          <w:color w:val="000000"/>
          <w:kern w:val="0"/>
          <w:szCs w:val="21"/>
          <w:vertAlign w:val="subscript"/>
        </w:rPr>
        <w:t>6</w:t>
      </w:r>
      <w:r>
        <w:rPr>
          <w:rFonts w:ascii="Times New Roman" w:eastAsia="宋体" w:hAnsi="Times New Roman" w:cs="Times New Roman"/>
          <w:color w:val="000000"/>
          <w:kern w:val="0"/>
          <w:szCs w:val="21"/>
        </w:rPr>
        <w:t>的有机物，本项目排放的挥发性有机物主要为</w:t>
      </w:r>
      <w:r>
        <w:rPr>
          <w:rFonts w:ascii="Times New Roman" w:eastAsia="宋体" w:hAnsi="Times New Roman" w:cs="Times New Roman"/>
          <w:szCs w:val="21"/>
        </w:rPr>
        <w:t>甲醇、</w:t>
      </w:r>
      <w:r>
        <w:rPr>
          <w:rFonts w:ascii="Times New Roman" w:eastAsia="宋体" w:hAnsi="Times New Roman" w:cs="Times New Roman"/>
          <w:color w:val="000000"/>
          <w:kern w:val="0"/>
          <w:szCs w:val="21"/>
        </w:rPr>
        <w:t>乙醇等</w:t>
      </w:r>
      <w:r>
        <w:rPr>
          <w:rFonts w:ascii="Times New Roman" w:eastAsia="宋体" w:hAnsi="Times New Roman" w:cs="Times New Roman"/>
          <w:color w:val="000000"/>
          <w:kern w:val="0"/>
          <w:szCs w:val="21"/>
        </w:rPr>
        <w:t>C</w:t>
      </w:r>
      <w:r>
        <w:rPr>
          <w:rFonts w:ascii="Times New Roman" w:eastAsia="宋体" w:hAnsi="Times New Roman" w:cs="Times New Roman"/>
          <w:color w:val="000000"/>
          <w:kern w:val="0"/>
          <w:szCs w:val="21"/>
          <w:vertAlign w:val="subscript"/>
        </w:rPr>
        <w:t>1</w:t>
      </w:r>
      <w:r>
        <w:rPr>
          <w:rFonts w:ascii="Times New Roman" w:eastAsia="宋体" w:hAnsi="Times New Roman" w:cs="Times New Roman"/>
          <w:color w:val="000000"/>
          <w:kern w:val="0"/>
          <w:szCs w:val="21"/>
        </w:rPr>
        <w:t>-C</w:t>
      </w:r>
      <w:r>
        <w:rPr>
          <w:rFonts w:ascii="Times New Roman" w:eastAsia="宋体" w:hAnsi="Times New Roman" w:cs="Times New Roman"/>
          <w:color w:val="000000"/>
          <w:kern w:val="0"/>
          <w:szCs w:val="21"/>
          <w:vertAlign w:val="subscript"/>
        </w:rPr>
        <w:t>2</w:t>
      </w:r>
      <w:r>
        <w:rPr>
          <w:rFonts w:ascii="Times New Roman" w:eastAsia="宋体" w:hAnsi="Times New Roman" w:cs="Times New Roman"/>
          <w:color w:val="000000"/>
          <w:kern w:val="0"/>
          <w:szCs w:val="21"/>
        </w:rPr>
        <w:t>物质，因此本项目挥发性有机物现状监测可参照非甲烷总烃。</w:t>
      </w:r>
    </w:p>
    <w:p w14:paraId="63A327C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现状评价</w:t>
      </w:r>
    </w:p>
    <w:p w14:paraId="05390ACE"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大气环境质量评价采用单因子指数评价法，其计算公式如下：</w:t>
      </w:r>
    </w:p>
    <w:p w14:paraId="786045B1" w14:textId="77777777" w:rsidR="002133E3" w:rsidRDefault="009F1FEF">
      <w:pPr>
        <w:spacing w:beforeLines="100" w:before="312" w:line="500" w:lineRule="exact"/>
        <w:ind w:firstLineChars="550" w:firstLine="1540"/>
        <w:rPr>
          <w:rFonts w:ascii="Times New Roman" w:eastAsia="宋体" w:hAnsi="Times New Roman" w:cs="Times New Roman"/>
          <w:sz w:val="28"/>
          <w:szCs w:val="28"/>
        </w:rPr>
      </w:pPr>
      <w:r>
        <w:rPr>
          <w:rFonts w:ascii="Times New Roman" w:eastAsia="宋体" w:hAnsi="Times New Roman" w:cs="Times New Roman"/>
          <w:sz w:val="28"/>
          <w:szCs w:val="28"/>
        </w:rPr>
        <w:pict w14:anchorId="767C65C4">
          <v:shape id="_x0000_i1056" type="#_x0000_t75" style="width:36pt;height:28.5pt">
            <v:imagedata r:id="rId81" o:title=""/>
          </v:shape>
        </w:pict>
      </w:r>
      <w:r w:rsidR="00C22CFA">
        <w:rPr>
          <w:rFonts w:ascii="Times New Roman" w:eastAsia="宋体" w:hAnsi="Times New Roman" w:cs="Times New Roman"/>
          <w:sz w:val="28"/>
          <w:szCs w:val="28"/>
        </w:rPr>
        <w:t xml:space="preserve">    ………………(</w:t>
      </w:r>
      <w:r w:rsidR="00C22CFA">
        <w:rPr>
          <w:rFonts w:ascii="Times New Roman" w:eastAsia="宋体" w:hAnsi="Times New Roman" w:cs="Times New Roman"/>
          <w:sz w:val="28"/>
          <w:szCs w:val="28"/>
        </w:rPr>
        <w:t>式</w:t>
      </w:r>
      <w:r w:rsidR="00C22CFA">
        <w:rPr>
          <w:rFonts w:ascii="Times New Roman" w:eastAsia="宋体" w:hAnsi="Times New Roman" w:cs="Times New Roman"/>
          <w:sz w:val="28"/>
          <w:szCs w:val="28"/>
        </w:rPr>
        <w:t>5.3-1)</w:t>
      </w:r>
    </w:p>
    <w:p w14:paraId="78FA6403" w14:textId="77777777" w:rsidR="002133E3" w:rsidRDefault="00C22CFA">
      <w:pPr>
        <w:tabs>
          <w:tab w:val="left" w:pos="1469"/>
        </w:tabs>
        <w:spacing w:line="500" w:lineRule="exact"/>
        <w:ind w:leftChars="200" w:left="2050" w:hangingChars="582" w:hanging="1630"/>
        <w:rPr>
          <w:rFonts w:ascii="Times New Roman" w:eastAsia="宋体" w:hAnsi="Times New Roman" w:cs="Times New Roman"/>
          <w:sz w:val="28"/>
          <w:szCs w:val="28"/>
        </w:rPr>
      </w:pPr>
      <w:r>
        <w:rPr>
          <w:rFonts w:ascii="Times New Roman" w:eastAsia="宋体" w:hAnsi="Times New Roman" w:cs="Times New Roman"/>
          <w:sz w:val="28"/>
          <w:szCs w:val="28"/>
        </w:rPr>
        <w:t>式中：</w:t>
      </w:r>
      <w:r>
        <w:rPr>
          <w:rFonts w:ascii="Times New Roman" w:eastAsia="宋体" w:hAnsi="Times New Roman" w:cs="Times New Roman"/>
          <w:sz w:val="28"/>
          <w:szCs w:val="28"/>
        </w:rPr>
        <w:tab/>
      </w:r>
      <w:r>
        <w:rPr>
          <w:rFonts w:ascii="Times New Roman" w:eastAsia="宋体" w:hAnsi="Times New Roman" w:cs="Times New Roman"/>
          <w:i/>
          <w:sz w:val="28"/>
          <w:szCs w:val="28"/>
        </w:rPr>
        <w:t>P</w:t>
      </w:r>
      <w:r>
        <w:rPr>
          <w:rFonts w:ascii="Times New Roman" w:eastAsia="宋体" w:hAnsi="Times New Roman" w:cs="Times New Roman"/>
          <w:i/>
          <w:sz w:val="28"/>
          <w:szCs w:val="28"/>
          <w:vertAlign w:val="subscript"/>
        </w:rPr>
        <w:t>i</w:t>
      </w:r>
      <w:r>
        <w:rPr>
          <w:rFonts w:ascii="Times New Roman" w:eastAsia="宋体" w:hAnsi="Times New Roman" w:cs="Times New Roman"/>
          <w:sz w:val="28"/>
          <w:szCs w:val="28"/>
        </w:rPr>
        <w:t>—</w:t>
      </w:r>
      <w:r>
        <w:rPr>
          <w:rFonts w:ascii="Times New Roman" w:eastAsia="宋体" w:hAnsi="Times New Roman" w:cs="Times New Roman"/>
          <w:sz w:val="28"/>
          <w:szCs w:val="28"/>
        </w:rPr>
        <w:t>某污染因子</w:t>
      </w:r>
      <w:proofErr w:type="spellStart"/>
      <w:r>
        <w:rPr>
          <w:rFonts w:ascii="Times New Roman" w:eastAsia="宋体" w:hAnsi="Times New Roman" w:cs="Times New Roman"/>
          <w:i/>
          <w:sz w:val="28"/>
          <w:szCs w:val="28"/>
        </w:rPr>
        <w:t>i</w:t>
      </w:r>
      <w:proofErr w:type="spellEnd"/>
      <w:r>
        <w:rPr>
          <w:rFonts w:ascii="Times New Roman" w:eastAsia="宋体" w:hAnsi="Times New Roman" w:cs="Times New Roman"/>
          <w:sz w:val="28"/>
          <w:szCs w:val="28"/>
        </w:rPr>
        <w:t>的评价指数；</w:t>
      </w:r>
    </w:p>
    <w:p w14:paraId="38DBCC03" w14:textId="77777777" w:rsidR="002133E3" w:rsidRDefault="00C22CFA">
      <w:pPr>
        <w:tabs>
          <w:tab w:val="left" w:pos="1482"/>
        </w:tabs>
        <w:spacing w:line="500" w:lineRule="exact"/>
        <w:ind w:leftChars="200" w:left="2050" w:hangingChars="582" w:hanging="1630"/>
        <w:rPr>
          <w:rFonts w:ascii="Times New Roman" w:eastAsia="宋体" w:hAnsi="Times New Roman" w:cs="Times New Roman"/>
          <w:sz w:val="28"/>
          <w:szCs w:val="28"/>
        </w:rPr>
      </w:pPr>
      <w:r>
        <w:rPr>
          <w:rFonts w:ascii="Times New Roman" w:eastAsia="宋体" w:hAnsi="Times New Roman" w:cs="Times New Roman"/>
          <w:sz w:val="28"/>
          <w:szCs w:val="28"/>
        </w:rPr>
        <w:tab/>
      </w:r>
      <w:r>
        <w:rPr>
          <w:rFonts w:ascii="Times New Roman" w:eastAsia="宋体" w:hAnsi="Times New Roman" w:cs="Times New Roman"/>
          <w:i/>
          <w:sz w:val="28"/>
          <w:szCs w:val="28"/>
        </w:rPr>
        <w:t>C</w:t>
      </w:r>
      <w:r>
        <w:rPr>
          <w:rFonts w:ascii="Times New Roman" w:eastAsia="宋体" w:hAnsi="Times New Roman" w:cs="Times New Roman"/>
          <w:i/>
          <w:sz w:val="28"/>
          <w:szCs w:val="28"/>
          <w:vertAlign w:val="subscript"/>
        </w:rPr>
        <w:t>i</w:t>
      </w:r>
      <w:r>
        <w:rPr>
          <w:rFonts w:ascii="Times New Roman" w:eastAsia="宋体" w:hAnsi="Times New Roman" w:cs="Times New Roman"/>
          <w:sz w:val="28"/>
          <w:szCs w:val="28"/>
        </w:rPr>
        <w:t>—</w:t>
      </w:r>
      <w:r>
        <w:rPr>
          <w:rFonts w:ascii="Times New Roman" w:eastAsia="宋体" w:hAnsi="Times New Roman" w:cs="Times New Roman"/>
          <w:sz w:val="28"/>
          <w:szCs w:val="28"/>
        </w:rPr>
        <w:t>某污染因子</w:t>
      </w:r>
      <w:proofErr w:type="spellStart"/>
      <w:r>
        <w:rPr>
          <w:rFonts w:ascii="Times New Roman" w:eastAsia="宋体" w:hAnsi="Times New Roman" w:cs="Times New Roman"/>
          <w:i/>
          <w:sz w:val="28"/>
          <w:szCs w:val="28"/>
        </w:rPr>
        <w:t>i</w:t>
      </w:r>
      <w:proofErr w:type="spellEnd"/>
      <w:r>
        <w:rPr>
          <w:rFonts w:ascii="Times New Roman" w:eastAsia="宋体" w:hAnsi="Times New Roman" w:cs="Times New Roman"/>
          <w:sz w:val="28"/>
          <w:szCs w:val="28"/>
        </w:rPr>
        <w:t>的浓度值，</w:t>
      </w:r>
      <w:r>
        <w:rPr>
          <w:rFonts w:ascii="Times New Roman" w:eastAsia="宋体" w:hAnsi="Times New Roman" w:cs="Times New Roman"/>
          <w:sz w:val="28"/>
          <w:szCs w:val="28"/>
        </w:rPr>
        <w:t>mg/m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w:t>
      </w:r>
    </w:p>
    <w:p w14:paraId="632E71EB" w14:textId="77777777" w:rsidR="002133E3" w:rsidRDefault="00C22CFA">
      <w:pPr>
        <w:tabs>
          <w:tab w:val="left" w:pos="1482"/>
        </w:tabs>
        <w:spacing w:line="500" w:lineRule="exact"/>
        <w:ind w:leftChars="200" w:left="2050" w:hangingChars="582" w:hanging="1630"/>
        <w:rPr>
          <w:rFonts w:ascii="Times New Roman" w:eastAsia="宋体" w:hAnsi="Times New Roman" w:cs="Times New Roman"/>
          <w:sz w:val="28"/>
          <w:szCs w:val="28"/>
        </w:rPr>
      </w:pPr>
      <w:r>
        <w:rPr>
          <w:rFonts w:ascii="Times New Roman" w:eastAsia="宋体" w:hAnsi="Times New Roman" w:cs="Times New Roman"/>
          <w:sz w:val="28"/>
          <w:szCs w:val="28"/>
        </w:rPr>
        <w:tab/>
      </w:r>
      <w:r>
        <w:rPr>
          <w:rFonts w:ascii="Times New Roman" w:eastAsia="宋体" w:hAnsi="Times New Roman" w:cs="Times New Roman"/>
          <w:i/>
          <w:sz w:val="28"/>
          <w:szCs w:val="28"/>
        </w:rPr>
        <w:t>S</w:t>
      </w:r>
      <w:r>
        <w:rPr>
          <w:rFonts w:ascii="Times New Roman" w:eastAsia="宋体" w:hAnsi="Times New Roman" w:cs="Times New Roman"/>
          <w:i/>
          <w:sz w:val="28"/>
          <w:szCs w:val="28"/>
          <w:vertAlign w:val="subscript"/>
        </w:rPr>
        <w:t>i</w:t>
      </w:r>
      <w:r>
        <w:rPr>
          <w:rFonts w:ascii="Times New Roman" w:eastAsia="宋体" w:hAnsi="Times New Roman" w:cs="Times New Roman"/>
          <w:sz w:val="28"/>
          <w:szCs w:val="28"/>
        </w:rPr>
        <w:t>—</w:t>
      </w:r>
      <w:r>
        <w:rPr>
          <w:rFonts w:ascii="Times New Roman" w:eastAsia="宋体" w:hAnsi="Times New Roman" w:cs="Times New Roman"/>
          <w:sz w:val="28"/>
          <w:szCs w:val="28"/>
        </w:rPr>
        <w:t>某污染因子</w:t>
      </w:r>
      <w:proofErr w:type="spellStart"/>
      <w:r>
        <w:rPr>
          <w:rFonts w:ascii="Times New Roman" w:eastAsia="宋体" w:hAnsi="Times New Roman" w:cs="Times New Roman"/>
          <w:i/>
          <w:sz w:val="28"/>
          <w:szCs w:val="28"/>
        </w:rPr>
        <w:t>i</w:t>
      </w:r>
      <w:proofErr w:type="spellEnd"/>
      <w:r>
        <w:rPr>
          <w:rFonts w:ascii="Times New Roman" w:eastAsia="宋体" w:hAnsi="Times New Roman" w:cs="Times New Roman"/>
          <w:sz w:val="28"/>
          <w:szCs w:val="28"/>
        </w:rPr>
        <w:t>的大气环境质量标准值，</w:t>
      </w:r>
      <w:r>
        <w:rPr>
          <w:rFonts w:ascii="Times New Roman" w:eastAsia="宋体" w:hAnsi="Times New Roman" w:cs="Times New Roman"/>
          <w:sz w:val="28"/>
          <w:szCs w:val="28"/>
        </w:rPr>
        <w:t>mg/m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w:t>
      </w:r>
    </w:p>
    <w:p w14:paraId="07D5349E"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各监测点各污染因子的评价指数分别见表</w:t>
      </w:r>
      <w:r>
        <w:rPr>
          <w:rFonts w:ascii="Times New Roman" w:eastAsia="宋体" w:hAnsi="Times New Roman" w:cs="Times New Roman"/>
          <w:sz w:val="28"/>
          <w:szCs w:val="28"/>
        </w:rPr>
        <w:t>5.2-4</w:t>
      </w:r>
      <w:r>
        <w:rPr>
          <w:rFonts w:ascii="Times New Roman" w:eastAsia="宋体" w:hAnsi="Times New Roman" w:cs="Times New Roman"/>
          <w:sz w:val="28"/>
          <w:szCs w:val="28"/>
        </w:rPr>
        <w:t>。</w:t>
      </w:r>
    </w:p>
    <w:p w14:paraId="195048A0" w14:textId="77777777" w:rsidR="002133E3" w:rsidRDefault="00C22CFA">
      <w:pPr>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5.2-4  </w:t>
      </w:r>
      <w:r>
        <w:rPr>
          <w:rFonts w:ascii="Times New Roman" w:eastAsia="宋体" w:hAnsi="Times New Roman" w:cs="Times New Roman"/>
          <w:b/>
          <w:sz w:val="24"/>
          <w:szCs w:val="24"/>
        </w:rPr>
        <w:t>各监测点各污染因子的评价指数表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1"/>
        <w:gridCol w:w="1608"/>
        <w:gridCol w:w="1965"/>
        <w:gridCol w:w="1965"/>
        <w:gridCol w:w="1385"/>
      </w:tblGrid>
      <w:tr w:rsidR="002133E3" w14:paraId="1A2003B3" w14:textId="77777777">
        <w:trPr>
          <w:trHeight w:val="284"/>
          <w:jc w:val="center"/>
        </w:trPr>
        <w:tc>
          <w:tcPr>
            <w:tcW w:w="1487" w:type="pct"/>
            <w:tcBorders>
              <w:tl2br w:val="single" w:sz="4" w:space="0" w:color="auto"/>
            </w:tcBorders>
            <w:vAlign w:val="center"/>
          </w:tcPr>
          <w:p w14:paraId="37FED095" w14:textId="77777777" w:rsidR="002133E3" w:rsidRDefault="00C22CFA">
            <w:pPr>
              <w:overflowPunct w:val="0"/>
              <w:adjustRightInd w:val="0"/>
              <w:spacing w:line="200" w:lineRule="atLeast"/>
              <w:jc w:val="right"/>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监测点</w:t>
            </w:r>
          </w:p>
          <w:p w14:paraId="4594AF48" w14:textId="77777777" w:rsidR="002133E3" w:rsidRDefault="00C22CFA">
            <w:pPr>
              <w:overflowPunct w:val="0"/>
              <w:adjustRightInd w:val="0"/>
              <w:spacing w:line="200" w:lineRule="atLeast"/>
              <w:jc w:val="left"/>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评价指数</w:t>
            </w:r>
            <w:r>
              <w:rPr>
                <w:rFonts w:ascii="Times New Roman" w:eastAsia="宋体" w:hAnsi="Times New Roman" w:cs="Times New Roman"/>
                <w:b/>
                <w:kern w:val="0"/>
                <w:szCs w:val="21"/>
              </w:rPr>
              <w:t>Pi</w:t>
            </w:r>
          </w:p>
        </w:tc>
        <w:tc>
          <w:tcPr>
            <w:tcW w:w="816" w:type="pct"/>
            <w:vAlign w:val="center"/>
          </w:tcPr>
          <w:p w14:paraId="74153E1C" w14:textId="77777777" w:rsidR="002133E3" w:rsidRDefault="00C22CFA">
            <w:pPr>
              <w:overflowPunct w:val="0"/>
              <w:adjustRightInd w:val="0"/>
              <w:spacing w:line="20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质量标准</w:t>
            </w:r>
            <w:r>
              <w:rPr>
                <w:rFonts w:ascii="Times New Roman" w:eastAsia="宋体" w:hAnsi="Times New Roman" w:cs="Times New Roman"/>
                <w:b/>
                <w:kern w:val="0"/>
                <w:szCs w:val="21"/>
              </w:rPr>
              <w:t>(mg/m</w:t>
            </w:r>
            <w:r>
              <w:rPr>
                <w:rFonts w:ascii="Times New Roman" w:eastAsia="宋体" w:hAnsi="Times New Roman" w:cs="Times New Roman"/>
                <w:b/>
                <w:kern w:val="0"/>
                <w:szCs w:val="21"/>
                <w:vertAlign w:val="superscript"/>
              </w:rPr>
              <w:t>3</w:t>
            </w:r>
            <w:r>
              <w:rPr>
                <w:rFonts w:ascii="Times New Roman" w:eastAsia="宋体" w:hAnsi="Times New Roman" w:cs="Times New Roman"/>
                <w:b/>
                <w:kern w:val="0"/>
                <w:szCs w:val="21"/>
              </w:rPr>
              <w:t>)</w:t>
            </w:r>
          </w:p>
        </w:tc>
        <w:tc>
          <w:tcPr>
            <w:tcW w:w="997" w:type="pct"/>
            <w:vAlign w:val="center"/>
          </w:tcPr>
          <w:p w14:paraId="6DFCBA05" w14:textId="77777777" w:rsidR="002133E3" w:rsidRDefault="00C22CFA">
            <w:pPr>
              <w:overflowPunct w:val="0"/>
              <w:adjustRightInd w:val="0"/>
              <w:spacing w:line="20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G</w:t>
            </w:r>
            <w:r>
              <w:rPr>
                <w:rFonts w:ascii="Times New Roman" w:eastAsia="宋体" w:hAnsi="Times New Roman" w:cs="Times New Roman"/>
                <w:b/>
                <w:kern w:val="0"/>
                <w:szCs w:val="21"/>
                <w:vertAlign w:val="subscript"/>
              </w:rPr>
              <w:t>1</w:t>
            </w:r>
          </w:p>
        </w:tc>
        <w:tc>
          <w:tcPr>
            <w:tcW w:w="997" w:type="pct"/>
            <w:vAlign w:val="center"/>
          </w:tcPr>
          <w:p w14:paraId="137949C8" w14:textId="77777777" w:rsidR="002133E3" w:rsidRDefault="00C22CFA">
            <w:pPr>
              <w:overflowPunct w:val="0"/>
              <w:adjustRightInd w:val="0"/>
              <w:spacing w:line="20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G</w:t>
            </w:r>
            <w:r>
              <w:rPr>
                <w:rFonts w:ascii="Times New Roman" w:eastAsia="宋体" w:hAnsi="Times New Roman" w:cs="Times New Roman"/>
                <w:b/>
                <w:kern w:val="0"/>
                <w:szCs w:val="21"/>
                <w:vertAlign w:val="subscript"/>
              </w:rPr>
              <w:t>2</w:t>
            </w:r>
          </w:p>
        </w:tc>
        <w:tc>
          <w:tcPr>
            <w:tcW w:w="703" w:type="pct"/>
            <w:vAlign w:val="center"/>
          </w:tcPr>
          <w:p w14:paraId="2F1029CA" w14:textId="77777777" w:rsidR="002133E3" w:rsidRDefault="00C22CFA">
            <w:pPr>
              <w:overflowPunct w:val="0"/>
              <w:adjustRightInd w:val="0"/>
              <w:spacing w:line="20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检出限</w:t>
            </w:r>
            <w:r>
              <w:rPr>
                <w:rFonts w:ascii="Times New Roman" w:eastAsia="宋体" w:hAnsi="Times New Roman" w:cs="Times New Roman"/>
                <w:b/>
                <w:kern w:val="0"/>
                <w:szCs w:val="21"/>
              </w:rPr>
              <w:t>(mg/m</w:t>
            </w:r>
            <w:r>
              <w:rPr>
                <w:rFonts w:ascii="Times New Roman" w:eastAsia="宋体" w:hAnsi="Times New Roman" w:cs="Times New Roman"/>
                <w:b/>
                <w:kern w:val="0"/>
                <w:szCs w:val="21"/>
                <w:vertAlign w:val="superscript"/>
              </w:rPr>
              <w:t>3</w:t>
            </w:r>
            <w:r>
              <w:rPr>
                <w:rFonts w:ascii="Times New Roman" w:eastAsia="宋体" w:hAnsi="Times New Roman" w:cs="Times New Roman"/>
                <w:b/>
                <w:kern w:val="0"/>
                <w:szCs w:val="21"/>
              </w:rPr>
              <w:t>)</w:t>
            </w:r>
          </w:p>
        </w:tc>
      </w:tr>
      <w:tr w:rsidR="002133E3" w14:paraId="7C6D80BA" w14:textId="77777777">
        <w:trPr>
          <w:trHeight w:val="284"/>
          <w:jc w:val="center"/>
        </w:trPr>
        <w:tc>
          <w:tcPr>
            <w:tcW w:w="1487" w:type="pct"/>
            <w:vAlign w:val="center"/>
          </w:tcPr>
          <w:p w14:paraId="593AB148"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甲醇</w:t>
            </w:r>
            <w:r>
              <w:rPr>
                <w:rFonts w:ascii="Times New Roman" w:eastAsia="宋体" w:hAnsi="Times New Roman" w:cs="Times New Roman"/>
                <w:color w:val="000000"/>
                <w:kern w:val="0"/>
                <w:szCs w:val="21"/>
                <w:lang w:bidi="ar"/>
              </w:rPr>
              <w:t>(</w:t>
            </w:r>
            <w:r>
              <w:rPr>
                <w:rFonts w:ascii="Times New Roman" w:eastAsia="宋体" w:hAnsi="Times New Roman" w:cs="Times New Roman"/>
                <w:color w:val="000000"/>
                <w:kern w:val="0"/>
                <w:szCs w:val="21"/>
                <w:lang w:bidi="ar"/>
              </w:rPr>
              <w:t>小时均</w:t>
            </w:r>
            <w:r>
              <w:rPr>
                <w:rFonts w:ascii="Times New Roman" w:eastAsia="宋体" w:hAnsi="Times New Roman" w:cs="Times New Roman"/>
                <w:color w:val="000000"/>
                <w:kern w:val="0"/>
                <w:szCs w:val="21"/>
                <w:lang w:bidi="ar"/>
              </w:rPr>
              <w:t>)</w:t>
            </w:r>
          </w:p>
        </w:tc>
        <w:tc>
          <w:tcPr>
            <w:tcW w:w="816" w:type="pct"/>
            <w:vAlign w:val="center"/>
          </w:tcPr>
          <w:p w14:paraId="3BB00D65"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3</w:t>
            </w:r>
          </w:p>
        </w:tc>
        <w:tc>
          <w:tcPr>
            <w:tcW w:w="997" w:type="pct"/>
            <w:vAlign w:val="center"/>
          </w:tcPr>
          <w:p w14:paraId="6BFEA74B"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color w:val="000000"/>
                <w:kern w:val="0"/>
                <w:szCs w:val="21"/>
                <w:lang w:bidi="ar"/>
              </w:rPr>
              <w:t xml:space="preserve">0.033 </w:t>
            </w:r>
          </w:p>
        </w:tc>
        <w:tc>
          <w:tcPr>
            <w:tcW w:w="997" w:type="pct"/>
            <w:vAlign w:val="center"/>
          </w:tcPr>
          <w:p w14:paraId="2364CCA7"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color w:val="000000"/>
                <w:kern w:val="0"/>
                <w:szCs w:val="21"/>
                <w:lang w:bidi="ar"/>
              </w:rPr>
              <w:t xml:space="preserve">0.033 </w:t>
            </w:r>
          </w:p>
        </w:tc>
        <w:tc>
          <w:tcPr>
            <w:tcW w:w="703" w:type="pct"/>
            <w:vAlign w:val="center"/>
          </w:tcPr>
          <w:p w14:paraId="6D0BE56D"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0.2</w:t>
            </w:r>
          </w:p>
        </w:tc>
      </w:tr>
      <w:tr w:rsidR="002133E3" w14:paraId="5A6952EF" w14:textId="77777777">
        <w:trPr>
          <w:trHeight w:val="284"/>
          <w:jc w:val="center"/>
        </w:trPr>
        <w:tc>
          <w:tcPr>
            <w:tcW w:w="1487" w:type="pct"/>
            <w:vAlign w:val="center"/>
          </w:tcPr>
          <w:p w14:paraId="0FF062C6"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乙醇</w:t>
            </w:r>
            <w:r>
              <w:rPr>
                <w:rFonts w:ascii="Times New Roman" w:eastAsia="宋体" w:hAnsi="Times New Roman" w:cs="Times New Roman"/>
                <w:color w:val="000000"/>
                <w:kern w:val="0"/>
                <w:szCs w:val="21"/>
                <w:lang w:bidi="ar"/>
              </w:rPr>
              <w:t>(</w:t>
            </w:r>
            <w:r>
              <w:rPr>
                <w:rFonts w:ascii="Times New Roman" w:eastAsia="宋体" w:hAnsi="Times New Roman" w:cs="Times New Roman"/>
                <w:color w:val="000000"/>
                <w:kern w:val="0"/>
                <w:szCs w:val="21"/>
                <w:lang w:bidi="ar"/>
              </w:rPr>
              <w:t>小时均</w:t>
            </w:r>
            <w:r>
              <w:rPr>
                <w:rFonts w:ascii="Times New Roman" w:eastAsia="宋体" w:hAnsi="Times New Roman" w:cs="Times New Roman"/>
                <w:color w:val="000000"/>
                <w:kern w:val="0"/>
                <w:szCs w:val="21"/>
                <w:lang w:bidi="ar"/>
              </w:rPr>
              <w:t>)</w:t>
            </w:r>
          </w:p>
        </w:tc>
        <w:tc>
          <w:tcPr>
            <w:tcW w:w="816" w:type="pct"/>
            <w:vAlign w:val="center"/>
          </w:tcPr>
          <w:p w14:paraId="1409FB82"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5</w:t>
            </w:r>
          </w:p>
        </w:tc>
        <w:tc>
          <w:tcPr>
            <w:tcW w:w="997" w:type="pct"/>
            <w:vAlign w:val="center"/>
          </w:tcPr>
          <w:p w14:paraId="5E0258D5"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szCs w:val="21"/>
              </w:rPr>
              <w:t>0.02</w:t>
            </w:r>
          </w:p>
        </w:tc>
        <w:tc>
          <w:tcPr>
            <w:tcW w:w="997" w:type="pct"/>
            <w:vAlign w:val="center"/>
          </w:tcPr>
          <w:p w14:paraId="1B16BC79"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szCs w:val="21"/>
              </w:rPr>
              <w:t>0.02</w:t>
            </w:r>
          </w:p>
        </w:tc>
        <w:tc>
          <w:tcPr>
            <w:tcW w:w="703" w:type="pct"/>
            <w:vAlign w:val="center"/>
          </w:tcPr>
          <w:p w14:paraId="5249204F"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0.2</w:t>
            </w:r>
          </w:p>
        </w:tc>
      </w:tr>
      <w:tr w:rsidR="002133E3" w14:paraId="43D60AAA" w14:textId="77777777">
        <w:trPr>
          <w:trHeight w:val="284"/>
          <w:jc w:val="center"/>
        </w:trPr>
        <w:tc>
          <w:tcPr>
            <w:tcW w:w="1487" w:type="pct"/>
            <w:vAlign w:val="center"/>
          </w:tcPr>
          <w:p w14:paraId="159F8BAB" w14:textId="77777777" w:rsidR="002133E3" w:rsidRDefault="00C22CFA">
            <w:pPr>
              <w:widowControl/>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非甲烷总烃</w:t>
            </w:r>
            <w:r>
              <w:rPr>
                <w:rFonts w:ascii="Times New Roman" w:eastAsia="宋体" w:hAnsi="Times New Roman" w:cs="Times New Roman"/>
                <w:color w:val="000000"/>
                <w:kern w:val="0"/>
                <w:szCs w:val="21"/>
                <w:lang w:bidi="ar"/>
              </w:rPr>
              <w:t>(</w:t>
            </w:r>
            <w:r>
              <w:rPr>
                <w:rFonts w:ascii="Times New Roman" w:eastAsia="宋体" w:hAnsi="Times New Roman" w:cs="Times New Roman"/>
                <w:color w:val="000000"/>
                <w:kern w:val="0"/>
                <w:szCs w:val="21"/>
                <w:lang w:bidi="ar"/>
              </w:rPr>
              <w:t>小时均</w:t>
            </w:r>
            <w:r>
              <w:rPr>
                <w:rFonts w:ascii="Times New Roman" w:eastAsia="宋体" w:hAnsi="Times New Roman" w:cs="Times New Roman"/>
                <w:color w:val="000000"/>
                <w:kern w:val="0"/>
                <w:szCs w:val="21"/>
                <w:lang w:bidi="ar"/>
              </w:rPr>
              <w:t>)</w:t>
            </w:r>
          </w:p>
        </w:tc>
        <w:tc>
          <w:tcPr>
            <w:tcW w:w="816" w:type="pct"/>
            <w:vAlign w:val="center"/>
          </w:tcPr>
          <w:p w14:paraId="24BDE7BB" w14:textId="77777777" w:rsidR="002133E3" w:rsidRDefault="00C22CFA">
            <w:pPr>
              <w:widowControl/>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2.0</w:t>
            </w:r>
          </w:p>
        </w:tc>
        <w:tc>
          <w:tcPr>
            <w:tcW w:w="997" w:type="pct"/>
            <w:vAlign w:val="center"/>
          </w:tcPr>
          <w:p w14:paraId="246FA4C9"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0.175~0.31</w:t>
            </w:r>
          </w:p>
        </w:tc>
        <w:tc>
          <w:tcPr>
            <w:tcW w:w="997" w:type="pct"/>
            <w:vAlign w:val="center"/>
          </w:tcPr>
          <w:p w14:paraId="6A11812B"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0.155~0.37</w:t>
            </w:r>
          </w:p>
        </w:tc>
        <w:tc>
          <w:tcPr>
            <w:tcW w:w="703" w:type="pct"/>
            <w:vAlign w:val="center"/>
          </w:tcPr>
          <w:p w14:paraId="3C9539C5" w14:textId="77777777" w:rsidR="002133E3" w:rsidRDefault="00C22CFA">
            <w:pPr>
              <w:widowControl/>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0.07</w:t>
            </w:r>
          </w:p>
        </w:tc>
      </w:tr>
      <w:tr w:rsidR="002133E3" w14:paraId="35D0D232" w14:textId="77777777">
        <w:trPr>
          <w:trHeight w:val="284"/>
          <w:jc w:val="center"/>
        </w:trPr>
        <w:tc>
          <w:tcPr>
            <w:tcW w:w="1487" w:type="pct"/>
            <w:vAlign w:val="center"/>
          </w:tcPr>
          <w:p w14:paraId="0563FC45"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挥发性有机物</w:t>
            </w:r>
            <w:r>
              <w:rPr>
                <w:rFonts w:ascii="Times New Roman" w:eastAsia="宋体" w:hAnsi="Times New Roman" w:cs="Times New Roman"/>
                <w:color w:val="000000"/>
                <w:kern w:val="0"/>
                <w:szCs w:val="21"/>
                <w:lang w:bidi="ar"/>
              </w:rPr>
              <w:t>(</w:t>
            </w:r>
            <w:r>
              <w:rPr>
                <w:rFonts w:ascii="Times New Roman" w:eastAsia="宋体" w:hAnsi="Times New Roman" w:cs="Times New Roman"/>
                <w:color w:val="000000"/>
                <w:kern w:val="0"/>
                <w:szCs w:val="21"/>
                <w:lang w:bidi="ar"/>
              </w:rPr>
              <w:t>小时均</w:t>
            </w:r>
            <w:r>
              <w:rPr>
                <w:rFonts w:ascii="Times New Roman" w:eastAsia="宋体" w:hAnsi="Times New Roman" w:cs="Times New Roman"/>
                <w:color w:val="000000"/>
                <w:kern w:val="0"/>
                <w:szCs w:val="21"/>
                <w:lang w:bidi="ar"/>
              </w:rPr>
              <w:t>)</w:t>
            </w:r>
          </w:p>
        </w:tc>
        <w:tc>
          <w:tcPr>
            <w:tcW w:w="816" w:type="pct"/>
            <w:vAlign w:val="center"/>
          </w:tcPr>
          <w:p w14:paraId="67D194BE"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1.2</w:t>
            </w:r>
          </w:p>
        </w:tc>
        <w:tc>
          <w:tcPr>
            <w:tcW w:w="997" w:type="pct"/>
            <w:vAlign w:val="center"/>
          </w:tcPr>
          <w:p w14:paraId="6E442745"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0.29~0.52</w:t>
            </w:r>
          </w:p>
        </w:tc>
        <w:tc>
          <w:tcPr>
            <w:tcW w:w="997" w:type="pct"/>
            <w:vAlign w:val="center"/>
          </w:tcPr>
          <w:p w14:paraId="47A371A2" w14:textId="77777777" w:rsidR="002133E3" w:rsidRDefault="00C22CFA">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0.26~0.62</w:t>
            </w:r>
          </w:p>
        </w:tc>
        <w:tc>
          <w:tcPr>
            <w:tcW w:w="703" w:type="pct"/>
            <w:vAlign w:val="center"/>
          </w:tcPr>
          <w:p w14:paraId="644B3F86"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t>
            </w:r>
          </w:p>
        </w:tc>
      </w:tr>
    </w:tbl>
    <w:p w14:paraId="271C8BD3" w14:textId="77777777" w:rsidR="002133E3" w:rsidRDefault="00C22CFA">
      <w:pPr>
        <w:snapToGrid w:val="0"/>
        <w:spacing w:line="500" w:lineRule="atLeast"/>
        <w:rPr>
          <w:rFonts w:ascii="Times New Roman" w:eastAsia="宋体" w:hAnsi="Times New Roman" w:cs="Times New Roman"/>
          <w:kern w:val="0"/>
          <w:szCs w:val="21"/>
        </w:rPr>
      </w:pPr>
      <w:r>
        <w:rPr>
          <w:rFonts w:ascii="Times New Roman" w:eastAsia="宋体" w:hAnsi="Times New Roman" w:cs="Times New Roman"/>
          <w:b/>
          <w:kern w:val="0"/>
          <w:szCs w:val="21"/>
        </w:rPr>
        <w:t>注：</w:t>
      </w:r>
      <w:r>
        <w:rPr>
          <w:rFonts w:ascii="Times New Roman" w:eastAsia="宋体" w:hAnsi="Times New Roman" w:cs="Times New Roman"/>
          <w:kern w:val="0"/>
          <w:szCs w:val="21"/>
        </w:rPr>
        <w:t>未检出按检出限的二分之一计算。</w:t>
      </w:r>
    </w:p>
    <w:p w14:paraId="0D2CF852" w14:textId="77777777" w:rsidR="002133E3" w:rsidRDefault="00C22CFA">
      <w:pPr>
        <w:snapToGrid w:val="0"/>
        <w:spacing w:line="500" w:lineRule="atLeast"/>
        <w:ind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从上表可以看出，评价区域各</w:t>
      </w:r>
      <w:r>
        <w:rPr>
          <w:rFonts w:ascii="Times New Roman" w:eastAsia="宋体" w:hAnsi="Times New Roman" w:cs="Times New Roman"/>
          <w:sz w:val="28"/>
          <w:szCs w:val="28"/>
        </w:rPr>
        <w:t>甲醇、乙醇、非甲烷总烃及挥发性有机物</w:t>
      </w:r>
      <w:r>
        <w:rPr>
          <w:rFonts w:ascii="Times New Roman" w:eastAsia="宋体" w:hAnsi="Times New Roman" w:cs="Times New Roman"/>
          <w:kern w:val="0"/>
          <w:sz w:val="28"/>
          <w:szCs w:val="28"/>
        </w:rPr>
        <w:t>监测因子小时平均浓度均满足评价标准要求。改扩建项目评价区内环境空气质量总体较好，有一定的环境容量。</w:t>
      </w:r>
    </w:p>
    <w:p w14:paraId="113F0D0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bookmarkStart w:id="46" w:name="_Toc216000003"/>
      <w:bookmarkStart w:id="47" w:name="_Toc215999072"/>
      <w:bookmarkStart w:id="48" w:name="_Toc214870830"/>
      <w:bookmarkStart w:id="49" w:name="_Toc228002360"/>
      <w:r>
        <w:rPr>
          <w:rFonts w:ascii="Times New Roman" w:eastAsia="宋体" w:hAnsi="Times New Roman" w:cs="Times New Roman"/>
          <w:b/>
          <w:sz w:val="30"/>
          <w:szCs w:val="30"/>
        </w:rPr>
        <w:t>地表水环境质量现状评价</w:t>
      </w:r>
      <w:bookmarkEnd w:id="46"/>
      <w:bookmarkEnd w:id="47"/>
      <w:bookmarkEnd w:id="48"/>
      <w:bookmarkEnd w:id="49"/>
    </w:p>
    <w:p w14:paraId="3AE3719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监测断面、监测因子及监测时间</w:t>
      </w:r>
    </w:p>
    <w:p w14:paraId="4289F34B"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根据评价区内水域功能及水文特征，在兴庄河设置个监测断面。建设项目水环境现状监测点位见</w:t>
      </w:r>
      <w:r>
        <w:rPr>
          <w:rFonts w:ascii="Times New Roman" w:eastAsia="宋体" w:hAnsi="Times New Roman" w:cs="Times New Roman"/>
          <w:kern w:val="0"/>
          <w:sz w:val="28"/>
          <w:szCs w:val="28"/>
          <w:highlight w:val="yellow"/>
        </w:rPr>
        <w:t>图</w:t>
      </w:r>
      <w:r>
        <w:rPr>
          <w:rFonts w:ascii="Times New Roman" w:eastAsia="宋体" w:hAnsi="Times New Roman" w:cs="Times New Roman"/>
          <w:kern w:val="0"/>
          <w:sz w:val="28"/>
          <w:szCs w:val="28"/>
          <w:highlight w:val="yellow"/>
        </w:rPr>
        <w:t>4.1-2</w:t>
      </w:r>
      <w:r>
        <w:rPr>
          <w:rFonts w:ascii="Times New Roman" w:eastAsia="宋体" w:hAnsi="Times New Roman" w:cs="Times New Roman"/>
          <w:kern w:val="0"/>
          <w:sz w:val="28"/>
          <w:szCs w:val="28"/>
        </w:rPr>
        <w:t>和表</w:t>
      </w:r>
      <w:r>
        <w:rPr>
          <w:rFonts w:ascii="Times New Roman" w:eastAsia="宋体" w:hAnsi="Times New Roman" w:cs="Times New Roman"/>
          <w:kern w:val="0"/>
          <w:sz w:val="28"/>
          <w:szCs w:val="28"/>
        </w:rPr>
        <w:t>5.2-5</w:t>
      </w:r>
      <w:r>
        <w:rPr>
          <w:rFonts w:ascii="Times New Roman" w:eastAsia="宋体" w:hAnsi="Times New Roman" w:cs="Times New Roman"/>
          <w:kern w:val="0"/>
          <w:sz w:val="28"/>
          <w:szCs w:val="28"/>
        </w:rPr>
        <w:t>。</w:t>
      </w:r>
    </w:p>
    <w:p w14:paraId="41474FA0" w14:textId="77777777" w:rsidR="002133E3" w:rsidRDefault="00C22CFA">
      <w:pPr>
        <w:snapToGrid w:val="0"/>
        <w:spacing w:line="500" w:lineRule="atLeas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5.2-5  </w:t>
      </w:r>
      <w:r>
        <w:rPr>
          <w:rFonts w:ascii="Times New Roman" w:eastAsia="宋体" w:hAnsi="Times New Roman" w:cs="Times New Roman"/>
          <w:b/>
          <w:kern w:val="0"/>
          <w:sz w:val="24"/>
          <w:szCs w:val="24"/>
        </w:rPr>
        <w:t>水质监测断面布设表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849"/>
        <w:gridCol w:w="1845"/>
        <w:gridCol w:w="4395"/>
        <w:gridCol w:w="2089"/>
      </w:tblGrid>
      <w:tr w:rsidR="002133E3" w14:paraId="270BFA54" w14:textId="77777777">
        <w:trPr>
          <w:trHeight w:val="368"/>
          <w:jc w:val="center"/>
        </w:trPr>
        <w:tc>
          <w:tcPr>
            <w:tcW w:w="343" w:type="pct"/>
            <w:vAlign w:val="center"/>
          </w:tcPr>
          <w:p w14:paraId="67C67C9F"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断面编号</w:t>
            </w:r>
          </w:p>
        </w:tc>
        <w:tc>
          <w:tcPr>
            <w:tcW w:w="431" w:type="pct"/>
            <w:vAlign w:val="center"/>
          </w:tcPr>
          <w:p w14:paraId="44A7D540"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河流</w:t>
            </w:r>
          </w:p>
        </w:tc>
        <w:tc>
          <w:tcPr>
            <w:tcW w:w="936" w:type="pct"/>
            <w:vAlign w:val="center"/>
          </w:tcPr>
          <w:p w14:paraId="75ACCAE5"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断面位置</w:t>
            </w:r>
          </w:p>
        </w:tc>
        <w:tc>
          <w:tcPr>
            <w:tcW w:w="2230" w:type="pct"/>
            <w:vAlign w:val="center"/>
          </w:tcPr>
          <w:p w14:paraId="00F09A72"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监测因子</w:t>
            </w:r>
          </w:p>
        </w:tc>
        <w:tc>
          <w:tcPr>
            <w:tcW w:w="1060" w:type="pct"/>
            <w:vAlign w:val="center"/>
          </w:tcPr>
          <w:p w14:paraId="2961C695"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监测时段与取样频率</w:t>
            </w:r>
          </w:p>
        </w:tc>
      </w:tr>
      <w:tr w:rsidR="002133E3" w14:paraId="3BA29133" w14:textId="77777777">
        <w:trPr>
          <w:trHeight w:val="463"/>
          <w:jc w:val="center"/>
        </w:trPr>
        <w:tc>
          <w:tcPr>
            <w:tcW w:w="343" w:type="pct"/>
            <w:vAlign w:val="center"/>
          </w:tcPr>
          <w:p w14:paraId="118F3056"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W1</w:t>
            </w:r>
          </w:p>
        </w:tc>
        <w:tc>
          <w:tcPr>
            <w:tcW w:w="431" w:type="pct"/>
            <w:vAlign w:val="center"/>
          </w:tcPr>
          <w:p w14:paraId="3D3E1DD5"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caps/>
                <w:szCs w:val="21"/>
              </w:rPr>
              <w:t>兴庄河</w:t>
            </w:r>
          </w:p>
        </w:tc>
        <w:tc>
          <w:tcPr>
            <w:tcW w:w="936" w:type="pct"/>
            <w:vAlign w:val="center"/>
          </w:tcPr>
          <w:p w14:paraId="130B5A9F"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szCs w:val="21"/>
              </w:rPr>
              <w:t>兴庄河闸</w:t>
            </w:r>
          </w:p>
        </w:tc>
        <w:tc>
          <w:tcPr>
            <w:tcW w:w="2230" w:type="pct"/>
            <w:vAlign w:val="center"/>
          </w:tcPr>
          <w:p w14:paraId="35A046A7"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caps/>
                <w:szCs w:val="21"/>
              </w:rPr>
              <w:t>化学需氧量、氟化物、氨氮、总磷、铅、石油类、铬、锌、铜、镍、甲苯、二甲苯、苯乙烯</w:t>
            </w:r>
          </w:p>
        </w:tc>
        <w:tc>
          <w:tcPr>
            <w:tcW w:w="1060" w:type="pct"/>
            <w:vAlign w:val="center"/>
          </w:tcPr>
          <w:p w14:paraId="60C333AE"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szCs w:val="21"/>
              </w:rPr>
              <w:t>连续监测</w:t>
            </w:r>
            <w:r>
              <w:rPr>
                <w:rFonts w:ascii="Times New Roman" w:eastAsia="宋体" w:hAnsi="Times New Roman" w:cs="Times New Roman"/>
                <w:szCs w:val="21"/>
              </w:rPr>
              <w:t>3</w:t>
            </w:r>
            <w:r>
              <w:rPr>
                <w:rFonts w:ascii="Times New Roman" w:eastAsia="宋体" w:hAnsi="Times New Roman" w:cs="Times New Roman"/>
                <w:szCs w:val="21"/>
              </w:rPr>
              <w:t>天，每天</w:t>
            </w:r>
            <w:r>
              <w:rPr>
                <w:rFonts w:ascii="Times New Roman" w:eastAsia="宋体" w:hAnsi="Times New Roman" w:cs="Times New Roman"/>
                <w:szCs w:val="21"/>
              </w:rPr>
              <w:t>2</w:t>
            </w:r>
            <w:r>
              <w:rPr>
                <w:rFonts w:ascii="Times New Roman" w:eastAsia="宋体" w:hAnsi="Times New Roman" w:cs="Times New Roman"/>
                <w:szCs w:val="21"/>
              </w:rPr>
              <w:t>次</w:t>
            </w:r>
          </w:p>
        </w:tc>
      </w:tr>
    </w:tbl>
    <w:p w14:paraId="66A91616"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各监测断面委托连云港智清环境科技有限公司实测，监测时间为</w:t>
      </w:r>
      <w:r>
        <w:rPr>
          <w:rFonts w:ascii="Times New Roman" w:eastAsia="宋体" w:hAnsi="Times New Roman" w:cs="Times New Roman"/>
          <w:kern w:val="0"/>
          <w:sz w:val="28"/>
          <w:szCs w:val="28"/>
        </w:rPr>
        <w:t>2021</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日</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12</w:t>
      </w:r>
      <w:r>
        <w:rPr>
          <w:rFonts w:ascii="Times New Roman" w:eastAsia="宋体" w:hAnsi="Times New Roman" w:cs="Times New Roman"/>
          <w:kern w:val="0"/>
          <w:sz w:val="28"/>
          <w:szCs w:val="28"/>
        </w:rPr>
        <w:t>日。</w:t>
      </w:r>
    </w:p>
    <w:p w14:paraId="7FC12B8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采样及分析方法</w:t>
      </w:r>
    </w:p>
    <w:p w14:paraId="30B086BB" w14:textId="77777777" w:rsidR="002133E3" w:rsidRDefault="00C22CFA">
      <w:pPr>
        <w:autoSpaceDE w:val="0"/>
        <w:autoSpaceDN w:val="0"/>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采样及分析方法：《地表水和污水监测技术规范》（</w:t>
      </w:r>
      <w:r>
        <w:rPr>
          <w:rFonts w:ascii="Times New Roman" w:eastAsia="宋体" w:hAnsi="Times New Roman" w:cs="Times New Roman"/>
          <w:kern w:val="0"/>
          <w:sz w:val="28"/>
          <w:szCs w:val="28"/>
        </w:rPr>
        <w:t>HJ/T91-2002</w:t>
      </w:r>
      <w:r>
        <w:rPr>
          <w:rFonts w:ascii="Times New Roman" w:eastAsia="宋体" w:hAnsi="Times New Roman" w:cs="Times New Roman"/>
          <w:kern w:val="0"/>
          <w:sz w:val="28"/>
          <w:szCs w:val="28"/>
        </w:rPr>
        <w:t>）。</w:t>
      </w:r>
    </w:p>
    <w:p w14:paraId="7F2D8AE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现状监测结果及评价</w:t>
      </w:r>
    </w:p>
    <w:p w14:paraId="11377B85"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兴庄河污水处理厂排口上游</w:t>
      </w:r>
      <w:r>
        <w:rPr>
          <w:rFonts w:ascii="Times New Roman" w:eastAsia="宋体" w:hAnsi="Times New Roman" w:cs="Times New Roman"/>
          <w:sz w:val="28"/>
          <w:szCs w:val="28"/>
        </w:rPr>
        <w:t>500m</w:t>
      </w:r>
      <w:r>
        <w:rPr>
          <w:rFonts w:ascii="Times New Roman" w:eastAsia="宋体" w:hAnsi="Times New Roman" w:cs="Times New Roman"/>
          <w:sz w:val="28"/>
          <w:szCs w:val="28"/>
        </w:rPr>
        <w:t>按照《地表水环境质量标准》（</w:t>
      </w:r>
      <w:r>
        <w:rPr>
          <w:rFonts w:ascii="Times New Roman" w:eastAsia="宋体" w:hAnsi="Times New Roman" w:cs="Times New Roman"/>
          <w:sz w:val="28"/>
          <w:szCs w:val="28"/>
        </w:rPr>
        <w:t>GB3838-2002</w:t>
      </w:r>
      <w:r>
        <w:rPr>
          <w:rFonts w:ascii="Times New Roman" w:eastAsia="宋体" w:hAnsi="Times New Roman" w:cs="Times New Roman"/>
          <w:sz w:val="28"/>
          <w:szCs w:val="28"/>
        </w:rPr>
        <w:t>）</w:t>
      </w:r>
      <w:r>
        <w:rPr>
          <w:rFonts w:ascii="Times New Roman" w:eastAsia="宋体" w:hAnsi="Times New Roman" w:cs="Times New Roman"/>
          <w:sz w:val="28"/>
          <w:szCs w:val="28"/>
        </w:rPr>
        <w:fldChar w:fldCharType="begin"/>
      </w:r>
      <w:r>
        <w:rPr>
          <w:rFonts w:ascii="Times New Roman" w:eastAsia="宋体" w:hAnsi="Times New Roman" w:cs="Times New Roman"/>
          <w:sz w:val="28"/>
          <w:szCs w:val="28"/>
        </w:rPr>
        <w:instrText xml:space="preserve"> = 3 \* ROMAN </w:instrText>
      </w:r>
      <w:r>
        <w:rPr>
          <w:rFonts w:ascii="Times New Roman" w:eastAsia="宋体" w:hAnsi="Times New Roman" w:cs="Times New Roman"/>
          <w:sz w:val="28"/>
          <w:szCs w:val="28"/>
        </w:rPr>
        <w:fldChar w:fldCharType="separate"/>
      </w:r>
      <w:r>
        <w:rPr>
          <w:rFonts w:ascii="Times New Roman" w:eastAsia="宋体" w:hAnsi="Times New Roman" w:cs="Times New Roman"/>
          <w:sz w:val="28"/>
          <w:szCs w:val="28"/>
        </w:rPr>
        <w:t>III</w:t>
      </w:r>
      <w:r>
        <w:rPr>
          <w:rFonts w:ascii="Times New Roman" w:eastAsia="宋体" w:hAnsi="Times New Roman" w:cs="Times New Roman"/>
          <w:sz w:val="28"/>
          <w:szCs w:val="28"/>
        </w:rPr>
        <w:fldChar w:fldCharType="end"/>
      </w:r>
      <w:r>
        <w:rPr>
          <w:rFonts w:ascii="Times New Roman" w:eastAsia="宋体" w:hAnsi="Times New Roman" w:cs="Times New Roman"/>
          <w:sz w:val="28"/>
          <w:szCs w:val="28"/>
        </w:rPr>
        <w:t>类标准评价</w:t>
      </w:r>
      <w:r>
        <w:rPr>
          <w:rFonts w:ascii="Times New Roman" w:eastAsia="宋体" w:hAnsi="Times New Roman" w:cs="Times New Roman"/>
          <w:kern w:val="0"/>
          <w:sz w:val="28"/>
          <w:szCs w:val="28"/>
        </w:rPr>
        <w:t>。</w:t>
      </w:r>
    </w:p>
    <w:p w14:paraId="188A537E"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sz w:val="28"/>
          <w:szCs w:val="28"/>
        </w:rPr>
        <w:t>本次环评采用单项污染指数法和超标倍数法评价，评价各污染因子的污染指数，确定区域水环境重点污染物。</w:t>
      </w:r>
      <w:r>
        <w:rPr>
          <w:rFonts w:ascii="Times New Roman" w:eastAsia="宋体" w:hAnsi="Times New Roman" w:cs="Times New Roman"/>
          <w:kern w:val="0"/>
          <w:sz w:val="28"/>
          <w:szCs w:val="28"/>
        </w:rPr>
        <w:t>单项水质参数</w:t>
      </w:r>
      <w:proofErr w:type="spellStart"/>
      <w:r>
        <w:rPr>
          <w:rFonts w:ascii="Times New Roman" w:eastAsia="宋体" w:hAnsi="Times New Roman" w:cs="Times New Roman"/>
          <w:i/>
          <w:iCs/>
          <w:kern w:val="0"/>
          <w:sz w:val="28"/>
          <w:szCs w:val="28"/>
        </w:rPr>
        <w:t>i</w:t>
      </w:r>
      <w:proofErr w:type="spellEnd"/>
      <w:r>
        <w:rPr>
          <w:rFonts w:ascii="Times New Roman" w:eastAsia="宋体" w:hAnsi="Times New Roman" w:cs="Times New Roman"/>
          <w:kern w:val="0"/>
          <w:sz w:val="28"/>
          <w:szCs w:val="28"/>
        </w:rPr>
        <w:t>在第</w:t>
      </w:r>
      <w:r>
        <w:rPr>
          <w:rFonts w:ascii="Times New Roman" w:eastAsia="宋体" w:hAnsi="Times New Roman" w:cs="Times New Roman"/>
          <w:i/>
          <w:iCs/>
          <w:kern w:val="0"/>
          <w:sz w:val="28"/>
          <w:szCs w:val="28"/>
        </w:rPr>
        <w:t>j</w:t>
      </w:r>
      <w:r>
        <w:rPr>
          <w:rFonts w:ascii="Times New Roman" w:eastAsia="宋体" w:hAnsi="Times New Roman" w:cs="Times New Roman"/>
          <w:kern w:val="0"/>
          <w:sz w:val="28"/>
          <w:szCs w:val="28"/>
        </w:rPr>
        <w:t>点的标准指数为：</w:t>
      </w:r>
    </w:p>
    <w:p w14:paraId="0DB1C8C4" w14:textId="77777777" w:rsidR="002133E3" w:rsidRDefault="00C22CFA">
      <w:pPr>
        <w:snapToGrid w:val="0"/>
        <w:spacing w:line="500" w:lineRule="atLeast"/>
        <w:jc w:val="center"/>
        <w:rPr>
          <w:rFonts w:ascii="Times New Roman" w:eastAsia="宋体" w:hAnsi="Times New Roman" w:cs="Times New Roman"/>
          <w:kern w:val="0"/>
          <w:sz w:val="28"/>
          <w:szCs w:val="28"/>
        </w:rPr>
      </w:pPr>
      <w:r>
        <w:rPr>
          <w:rFonts w:ascii="Times New Roman" w:eastAsia="宋体" w:hAnsi="Times New Roman" w:cs="Times New Roman"/>
          <w:kern w:val="0"/>
          <w:position w:val="-32"/>
          <w:sz w:val="28"/>
          <w:szCs w:val="28"/>
        </w:rPr>
        <w:object w:dxaOrig="1050" w:dyaOrig="780" w14:anchorId="7F5EC17F">
          <v:shape id="_x0000_i1057" type="#_x0000_t75" style="width:52.5pt;height:39pt" o:ole="">
            <v:imagedata r:id="rId82" o:title=""/>
          </v:shape>
          <o:OLEObject Type="Embed" ProgID="Equation.3" ShapeID="_x0000_i1057" DrawAspect="Content" ObjectID="_1687345260" r:id="rId83"/>
        </w:object>
      </w:r>
    </w:p>
    <w:p w14:paraId="2D227D18" w14:textId="77777777" w:rsidR="002133E3" w:rsidRDefault="00C22CFA">
      <w:pPr>
        <w:tabs>
          <w:tab w:val="left" w:pos="1469"/>
        </w:tabs>
        <w:snapToGrid w:val="0"/>
        <w:spacing w:line="500" w:lineRule="atLeast"/>
        <w:ind w:leftChars="200" w:left="420"/>
        <w:rPr>
          <w:rFonts w:ascii="Times New Roman" w:eastAsia="宋体" w:hAnsi="Times New Roman" w:cs="Times New Roman"/>
          <w:kern w:val="0"/>
          <w:sz w:val="28"/>
          <w:szCs w:val="28"/>
        </w:rPr>
      </w:pPr>
      <w:r>
        <w:rPr>
          <w:rFonts w:ascii="Times New Roman" w:eastAsia="宋体" w:hAnsi="Times New Roman" w:cs="Times New Roman"/>
          <w:kern w:val="0"/>
          <w:sz w:val="28"/>
          <w:szCs w:val="28"/>
        </w:rPr>
        <w:t>式中：</w:t>
      </w:r>
      <w:r>
        <w:rPr>
          <w:rFonts w:ascii="Times New Roman" w:eastAsia="宋体" w:hAnsi="Times New Roman" w:cs="Times New Roman"/>
          <w:kern w:val="0"/>
          <w:sz w:val="28"/>
          <w:szCs w:val="28"/>
        </w:rPr>
        <w:tab/>
      </w:r>
      <w:proofErr w:type="spellStart"/>
      <w:r>
        <w:rPr>
          <w:rFonts w:ascii="Times New Roman" w:eastAsia="宋体" w:hAnsi="Times New Roman" w:cs="Times New Roman"/>
          <w:i/>
          <w:iCs/>
          <w:kern w:val="0"/>
          <w:sz w:val="28"/>
          <w:szCs w:val="28"/>
        </w:rPr>
        <w:t>S</w:t>
      </w:r>
      <w:r>
        <w:rPr>
          <w:rFonts w:ascii="Times New Roman" w:eastAsia="宋体" w:hAnsi="Times New Roman" w:cs="Times New Roman"/>
          <w:i/>
          <w:iCs/>
          <w:kern w:val="0"/>
          <w:sz w:val="28"/>
          <w:szCs w:val="28"/>
          <w:vertAlign w:val="subscript"/>
        </w:rPr>
        <w:t>i</w:t>
      </w:r>
      <w:r>
        <w:rPr>
          <w:rFonts w:ascii="Times New Roman" w:eastAsia="宋体" w:hAnsi="Times New Roman" w:cs="Times New Roman"/>
          <w:iCs/>
          <w:kern w:val="0"/>
          <w:sz w:val="28"/>
          <w:szCs w:val="28"/>
          <w:vertAlign w:val="subscript"/>
        </w:rPr>
        <w:t>,</w:t>
      </w:r>
      <w:r>
        <w:rPr>
          <w:rFonts w:ascii="Times New Roman" w:eastAsia="宋体" w:hAnsi="Times New Roman" w:cs="Times New Roman"/>
          <w:i/>
          <w:iCs/>
          <w:kern w:val="0"/>
          <w:sz w:val="28"/>
          <w:szCs w:val="28"/>
          <w:vertAlign w:val="subscript"/>
        </w:rPr>
        <w:t>j</w:t>
      </w:r>
      <w:proofErr w:type="spellEnd"/>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污染因子</w:t>
      </w:r>
      <w:proofErr w:type="spellStart"/>
      <w:r>
        <w:rPr>
          <w:rFonts w:ascii="Times New Roman" w:eastAsia="宋体" w:hAnsi="Times New Roman" w:cs="Times New Roman"/>
          <w:i/>
          <w:iCs/>
          <w:kern w:val="0"/>
          <w:sz w:val="28"/>
          <w:szCs w:val="28"/>
        </w:rPr>
        <w:t>i</w:t>
      </w:r>
      <w:proofErr w:type="spellEnd"/>
      <w:r>
        <w:rPr>
          <w:rFonts w:ascii="Times New Roman" w:eastAsia="宋体" w:hAnsi="Times New Roman" w:cs="Times New Roman"/>
          <w:kern w:val="0"/>
          <w:sz w:val="28"/>
          <w:szCs w:val="28"/>
        </w:rPr>
        <w:t>在第</w:t>
      </w:r>
      <w:r>
        <w:rPr>
          <w:rFonts w:ascii="Times New Roman" w:eastAsia="宋体" w:hAnsi="Times New Roman" w:cs="Times New Roman"/>
          <w:i/>
          <w:iCs/>
          <w:kern w:val="0"/>
          <w:sz w:val="28"/>
          <w:szCs w:val="28"/>
        </w:rPr>
        <w:t>j</w:t>
      </w:r>
      <w:r>
        <w:rPr>
          <w:rFonts w:ascii="Times New Roman" w:eastAsia="宋体" w:hAnsi="Times New Roman" w:cs="Times New Roman"/>
          <w:kern w:val="0"/>
          <w:sz w:val="28"/>
          <w:szCs w:val="28"/>
        </w:rPr>
        <w:t>点的标准指数</w:t>
      </w:r>
    </w:p>
    <w:p w14:paraId="1F25C83B" w14:textId="77777777" w:rsidR="002133E3" w:rsidRDefault="00C22CFA">
      <w:pPr>
        <w:tabs>
          <w:tab w:val="left" w:pos="1469"/>
        </w:tabs>
        <w:snapToGrid w:val="0"/>
        <w:spacing w:line="500" w:lineRule="atLeast"/>
        <w:ind w:leftChars="200" w:left="2050" w:hangingChars="582" w:hanging="1630"/>
        <w:jc w:val="left"/>
        <w:rPr>
          <w:rFonts w:ascii="Times New Roman" w:eastAsia="宋体" w:hAnsi="Times New Roman" w:cs="Times New Roman"/>
          <w:kern w:val="0"/>
          <w:sz w:val="28"/>
          <w:szCs w:val="28"/>
        </w:rPr>
      </w:pPr>
      <w:r>
        <w:rPr>
          <w:rFonts w:ascii="Times New Roman" w:eastAsia="宋体" w:hAnsi="Times New Roman" w:cs="Times New Roman"/>
          <w:iCs/>
          <w:kern w:val="0"/>
          <w:sz w:val="28"/>
          <w:szCs w:val="28"/>
        </w:rPr>
        <w:tab/>
      </w:r>
      <w:proofErr w:type="spellStart"/>
      <w:r>
        <w:rPr>
          <w:rFonts w:ascii="Times New Roman" w:eastAsia="宋体" w:hAnsi="Times New Roman" w:cs="Times New Roman"/>
          <w:i/>
          <w:iCs/>
          <w:kern w:val="0"/>
          <w:sz w:val="28"/>
          <w:szCs w:val="28"/>
        </w:rPr>
        <w:t>C</w:t>
      </w:r>
      <w:r>
        <w:rPr>
          <w:rFonts w:ascii="Times New Roman" w:eastAsia="宋体" w:hAnsi="Times New Roman" w:cs="Times New Roman"/>
          <w:i/>
          <w:iCs/>
          <w:kern w:val="0"/>
          <w:sz w:val="28"/>
          <w:szCs w:val="28"/>
          <w:vertAlign w:val="subscript"/>
        </w:rPr>
        <w:t>i</w:t>
      </w:r>
      <w:r>
        <w:rPr>
          <w:rFonts w:ascii="Times New Roman" w:eastAsia="宋体" w:hAnsi="Times New Roman" w:cs="Times New Roman"/>
          <w:iCs/>
          <w:kern w:val="0"/>
          <w:sz w:val="28"/>
          <w:szCs w:val="28"/>
          <w:vertAlign w:val="subscript"/>
        </w:rPr>
        <w:t>,</w:t>
      </w:r>
      <w:r>
        <w:rPr>
          <w:rFonts w:ascii="Times New Roman" w:eastAsia="宋体" w:hAnsi="Times New Roman" w:cs="Times New Roman"/>
          <w:i/>
          <w:iCs/>
          <w:kern w:val="0"/>
          <w:sz w:val="28"/>
          <w:szCs w:val="28"/>
          <w:vertAlign w:val="subscript"/>
        </w:rPr>
        <w:t>j</w:t>
      </w:r>
      <w:proofErr w:type="spellEnd"/>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污染因子</w:t>
      </w:r>
      <w:proofErr w:type="spellStart"/>
      <w:r>
        <w:rPr>
          <w:rFonts w:ascii="Times New Roman" w:eastAsia="宋体" w:hAnsi="Times New Roman" w:cs="Times New Roman"/>
          <w:i/>
          <w:iCs/>
          <w:kern w:val="0"/>
          <w:sz w:val="28"/>
          <w:szCs w:val="28"/>
        </w:rPr>
        <w:t>i</w:t>
      </w:r>
      <w:proofErr w:type="spellEnd"/>
      <w:r>
        <w:rPr>
          <w:rFonts w:ascii="Times New Roman" w:eastAsia="宋体" w:hAnsi="Times New Roman" w:cs="Times New Roman"/>
          <w:kern w:val="0"/>
          <w:sz w:val="28"/>
          <w:szCs w:val="28"/>
        </w:rPr>
        <w:t>在第</w:t>
      </w:r>
      <w:r>
        <w:rPr>
          <w:rFonts w:ascii="Times New Roman" w:eastAsia="宋体" w:hAnsi="Times New Roman" w:cs="Times New Roman"/>
          <w:i/>
          <w:iCs/>
          <w:kern w:val="0"/>
          <w:sz w:val="28"/>
          <w:szCs w:val="28"/>
        </w:rPr>
        <w:t>j</w:t>
      </w:r>
      <w:r>
        <w:rPr>
          <w:rFonts w:ascii="Times New Roman" w:eastAsia="宋体" w:hAnsi="Times New Roman" w:cs="Times New Roman"/>
          <w:kern w:val="0"/>
          <w:sz w:val="28"/>
          <w:szCs w:val="28"/>
        </w:rPr>
        <w:t>点的浓度值，</w:t>
      </w:r>
      <w:r>
        <w:rPr>
          <w:rFonts w:ascii="Times New Roman" w:eastAsia="宋体" w:hAnsi="Times New Roman" w:cs="Times New Roman"/>
          <w:kern w:val="0"/>
          <w:sz w:val="28"/>
          <w:szCs w:val="28"/>
        </w:rPr>
        <w:t>mg/L</w:t>
      </w:r>
    </w:p>
    <w:p w14:paraId="077F2FFE" w14:textId="77777777" w:rsidR="002133E3" w:rsidRDefault="00C22CFA">
      <w:pPr>
        <w:tabs>
          <w:tab w:val="left" w:pos="1469"/>
        </w:tabs>
        <w:snapToGrid w:val="0"/>
        <w:spacing w:line="500" w:lineRule="atLeast"/>
        <w:ind w:leftChars="200" w:left="2050" w:hangingChars="582" w:hanging="1630"/>
        <w:jc w:val="left"/>
        <w:rPr>
          <w:rFonts w:ascii="Times New Roman" w:eastAsia="宋体" w:hAnsi="Times New Roman" w:cs="Times New Roman"/>
          <w:kern w:val="0"/>
          <w:sz w:val="28"/>
          <w:szCs w:val="28"/>
        </w:rPr>
      </w:pPr>
      <w:r>
        <w:rPr>
          <w:rFonts w:ascii="Times New Roman" w:eastAsia="宋体" w:hAnsi="Times New Roman" w:cs="Times New Roman"/>
          <w:iCs/>
          <w:kern w:val="0"/>
          <w:sz w:val="28"/>
          <w:szCs w:val="28"/>
        </w:rPr>
        <w:tab/>
      </w:r>
      <w:proofErr w:type="spellStart"/>
      <w:r>
        <w:rPr>
          <w:rFonts w:ascii="Times New Roman" w:eastAsia="宋体" w:hAnsi="Times New Roman" w:cs="Times New Roman"/>
          <w:i/>
          <w:iCs/>
          <w:kern w:val="0"/>
          <w:sz w:val="28"/>
          <w:szCs w:val="28"/>
        </w:rPr>
        <w:t>C</w:t>
      </w:r>
      <w:r>
        <w:rPr>
          <w:rFonts w:ascii="Times New Roman" w:eastAsia="宋体" w:hAnsi="Times New Roman" w:cs="Times New Roman"/>
          <w:i/>
          <w:iCs/>
          <w:kern w:val="0"/>
          <w:sz w:val="28"/>
          <w:szCs w:val="28"/>
          <w:vertAlign w:val="subscript"/>
        </w:rPr>
        <w:t>si</w:t>
      </w:r>
      <w:proofErr w:type="spellEnd"/>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污染因子</w:t>
      </w:r>
      <w:proofErr w:type="spellStart"/>
      <w:r>
        <w:rPr>
          <w:rFonts w:ascii="Times New Roman" w:eastAsia="宋体" w:hAnsi="Times New Roman" w:cs="Times New Roman"/>
          <w:i/>
          <w:iCs/>
          <w:kern w:val="0"/>
          <w:sz w:val="28"/>
          <w:szCs w:val="28"/>
        </w:rPr>
        <w:t>i</w:t>
      </w:r>
      <w:proofErr w:type="spellEnd"/>
      <w:r>
        <w:rPr>
          <w:rFonts w:ascii="Times New Roman" w:eastAsia="宋体" w:hAnsi="Times New Roman" w:cs="Times New Roman"/>
          <w:kern w:val="0"/>
          <w:sz w:val="28"/>
          <w:szCs w:val="28"/>
        </w:rPr>
        <w:t>的地表水环境质量标准，</w:t>
      </w:r>
      <w:r>
        <w:rPr>
          <w:rFonts w:ascii="Times New Roman" w:eastAsia="宋体" w:hAnsi="Times New Roman" w:cs="Times New Roman"/>
          <w:kern w:val="0"/>
          <w:sz w:val="28"/>
          <w:szCs w:val="28"/>
        </w:rPr>
        <w:t>mg/L</w:t>
      </w:r>
    </w:p>
    <w:p w14:paraId="3560CB5C"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地表水监测结果统计见表</w:t>
      </w:r>
      <w:r>
        <w:rPr>
          <w:rFonts w:ascii="Times New Roman" w:eastAsia="宋体" w:hAnsi="Times New Roman" w:cs="Times New Roman"/>
          <w:kern w:val="0"/>
          <w:sz w:val="28"/>
          <w:szCs w:val="28"/>
        </w:rPr>
        <w:t>5.2-6</w:t>
      </w:r>
      <w:r>
        <w:rPr>
          <w:rFonts w:ascii="Times New Roman" w:eastAsia="宋体" w:hAnsi="Times New Roman" w:cs="Times New Roman"/>
          <w:kern w:val="0"/>
          <w:sz w:val="28"/>
          <w:szCs w:val="28"/>
        </w:rPr>
        <w:t>。</w:t>
      </w:r>
    </w:p>
    <w:p w14:paraId="5D666914" w14:textId="77777777" w:rsidR="002133E3" w:rsidRDefault="00C22CFA">
      <w:pPr>
        <w:snapToGrid w:val="0"/>
        <w:spacing w:line="500" w:lineRule="atLeas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5.2-6  </w:t>
      </w:r>
      <w:r>
        <w:rPr>
          <w:rFonts w:ascii="Times New Roman" w:eastAsia="宋体" w:hAnsi="Times New Roman" w:cs="Times New Roman"/>
          <w:b/>
          <w:kern w:val="0"/>
          <w:sz w:val="24"/>
          <w:szCs w:val="24"/>
        </w:rPr>
        <w:t>地表水现状监测及评价结果一栏表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1748"/>
        <w:gridCol w:w="1543"/>
        <w:gridCol w:w="1312"/>
        <w:gridCol w:w="1188"/>
        <w:gridCol w:w="1157"/>
        <w:gridCol w:w="1157"/>
      </w:tblGrid>
      <w:tr w:rsidR="002133E3" w14:paraId="034835B1" w14:textId="77777777">
        <w:trPr>
          <w:trHeight w:val="330"/>
          <w:jc w:val="center"/>
        </w:trPr>
        <w:tc>
          <w:tcPr>
            <w:tcW w:w="887" w:type="pct"/>
            <w:vAlign w:val="center"/>
          </w:tcPr>
          <w:p w14:paraId="3CDA0A3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采样地点</w:t>
            </w:r>
          </w:p>
        </w:tc>
        <w:tc>
          <w:tcPr>
            <w:tcW w:w="1670" w:type="pct"/>
            <w:gridSpan w:val="2"/>
            <w:vAlign w:val="center"/>
          </w:tcPr>
          <w:p w14:paraId="13C7CE8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污染物名称</w:t>
            </w:r>
          </w:p>
        </w:tc>
        <w:tc>
          <w:tcPr>
            <w:tcW w:w="666" w:type="pct"/>
            <w:shd w:val="clear" w:color="auto" w:fill="auto"/>
            <w:noWrap/>
            <w:vAlign w:val="center"/>
          </w:tcPr>
          <w:p w14:paraId="734B015C"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化学需氧量</w:t>
            </w:r>
          </w:p>
        </w:tc>
        <w:tc>
          <w:tcPr>
            <w:tcW w:w="603" w:type="pct"/>
            <w:shd w:val="clear" w:color="auto" w:fill="auto"/>
            <w:noWrap/>
            <w:vAlign w:val="center"/>
          </w:tcPr>
          <w:p w14:paraId="1F800AF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氨氮</w:t>
            </w:r>
          </w:p>
        </w:tc>
        <w:tc>
          <w:tcPr>
            <w:tcW w:w="587" w:type="pct"/>
            <w:shd w:val="clear" w:color="auto" w:fill="auto"/>
            <w:noWrap/>
            <w:vAlign w:val="center"/>
          </w:tcPr>
          <w:p w14:paraId="0E31E9AC"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总磷</w:t>
            </w:r>
          </w:p>
        </w:tc>
        <w:tc>
          <w:tcPr>
            <w:tcW w:w="587" w:type="pct"/>
          </w:tcPr>
          <w:p w14:paraId="2BDE1E96" w14:textId="77777777" w:rsidR="002133E3" w:rsidRDefault="00C22CFA">
            <w:pPr>
              <w:widowControl/>
              <w:jc w:val="center"/>
              <w:rPr>
                <w:color w:val="000000"/>
                <w:szCs w:val="21"/>
              </w:rPr>
            </w:pPr>
            <w:r>
              <w:rPr>
                <w:rFonts w:hint="eastAsia"/>
                <w:color w:val="000000"/>
                <w:szCs w:val="21"/>
              </w:rPr>
              <w:t>石油类</w:t>
            </w:r>
          </w:p>
        </w:tc>
      </w:tr>
      <w:tr w:rsidR="002133E3" w14:paraId="22D5A792" w14:textId="77777777">
        <w:trPr>
          <w:trHeight w:val="285"/>
          <w:jc w:val="center"/>
        </w:trPr>
        <w:tc>
          <w:tcPr>
            <w:tcW w:w="887" w:type="pct"/>
            <w:vMerge w:val="restart"/>
            <w:shd w:val="clear" w:color="auto" w:fill="auto"/>
            <w:noWrap/>
            <w:vAlign w:val="center"/>
          </w:tcPr>
          <w:p w14:paraId="0440689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兴庄河闸</w:t>
            </w:r>
          </w:p>
        </w:tc>
        <w:tc>
          <w:tcPr>
            <w:tcW w:w="887" w:type="pct"/>
            <w:vMerge w:val="restart"/>
            <w:shd w:val="clear" w:color="auto" w:fill="auto"/>
            <w:vAlign w:val="center"/>
          </w:tcPr>
          <w:p w14:paraId="35F87565" w14:textId="77777777" w:rsidR="002133E3" w:rsidRDefault="00C22CFA">
            <w:pPr>
              <w:widowControl/>
              <w:jc w:val="center"/>
              <w:rPr>
                <w:rFonts w:ascii="Times New Roman" w:eastAsia="宋体" w:hAnsi="Times New Roman" w:cs="Times New Roman"/>
                <w:color w:val="0D0D0D"/>
                <w:kern w:val="0"/>
                <w:szCs w:val="21"/>
              </w:rPr>
            </w:pPr>
            <w:r>
              <w:rPr>
                <w:rFonts w:ascii="Times New Roman" w:eastAsia="宋体" w:hAnsi="Times New Roman" w:cs="Times New Roman"/>
                <w:color w:val="0D0D0D"/>
                <w:kern w:val="0"/>
                <w:szCs w:val="21"/>
              </w:rPr>
              <w:t>浓度范围（</w:t>
            </w:r>
            <w:r>
              <w:rPr>
                <w:rFonts w:ascii="Times New Roman" w:eastAsia="宋体" w:hAnsi="Times New Roman" w:cs="Times New Roman"/>
                <w:color w:val="000000"/>
                <w:kern w:val="0"/>
                <w:szCs w:val="21"/>
              </w:rPr>
              <w:t>mg/L</w:t>
            </w:r>
            <w:r>
              <w:rPr>
                <w:rFonts w:ascii="Times New Roman" w:eastAsia="宋体" w:hAnsi="Times New Roman" w:cs="Times New Roman"/>
                <w:color w:val="000000"/>
                <w:kern w:val="0"/>
                <w:szCs w:val="21"/>
              </w:rPr>
              <w:t>）</w:t>
            </w:r>
          </w:p>
        </w:tc>
        <w:tc>
          <w:tcPr>
            <w:tcW w:w="783" w:type="pct"/>
            <w:shd w:val="clear" w:color="auto" w:fill="auto"/>
            <w:vAlign w:val="center"/>
          </w:tcPr>
          <w:p w14:paraId="17BC71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最小值</w:t>
            </w:r>
          </w:p>
        </w:tc>
        <w:tc>
          <w:tcPr>
            <w:tcW w:w="666" w:type="pct"/>
            <w:shd w:val="clear" w:color="auto" w:fill="auto"/>
            <w:noWrap/>
            <w:vAlign w:val="center"/>
          </w:tcPr>
          <w:p w14:paraId="336214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29</w:t>
            </w:r>
          </w:p>
        </w:tc>
        <w:tc>
          <w:tcPr>
            <w:tcW w:w="603" w:type="pct"/>
            <w:shd w:val="clear" w:color="auto" w:fill="auto"/>
            <w:noWrap/>
            <w:vAlign w:val="center"/>
          </w:tcPr>
          <w:p w14:paraId="54B948B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1.39</w:t>
            </w:r>
          </w:p>
        </w:tc>
        <w:tc>
          <w:tcPr>
            <w:tcW w:w="587" w:type="pct"/>
            <w:shd w:val="clear" w:color="auto" w:fill="auto"/>
            <w:noWrap/>
            <w:vAlign w:val="center"/>
          </w:tcPr>
          <w:p w14:paraId="63287D7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w:t>
            </w:r>
          </w:p>
        </w:tc>
        <w:tc>
          <w:tcPr>
            <w:tcW w:w="587" w:type="pct"/>
            <w:vAlign w:val="center"/>
          </w:tcPr>
          <w:p w14:paraId="2362DD6F" w14:textId="77777777" w:rsidR="002133E3" w:rsidRDefault="00C22CFA">
            <w:pPr>
              <w:widowControl/>
              <w:jc w:val="center"/>
              <w:rPr>
                <w:rFonts w:ascii="Times New Roman" w:eastAsia="宋体" w:hAnsi="Times New Roman" w:cs="Times New Roman"/>
                <w:color w:val="000000"/>
                <w:kern w:val="0"/>
                <w:szCs w:val="21"/>
              </w:rPr>
            </w:pPr>
            <w:r>
              <w:rPr>
                <w:rFonts w:ascii="等线" w:eastAsia="等线" w:hAnsi="等线" w:hint="eastAsia"/>
                <w:color w:val="000000"/>
                <w:sz w:val="22"/>
              </w:rPr>
              <w:t>0.05</w:t>
            </w:r>
          </w:p>
        </w:tc>
      </w:tr>
      <w:tr w:rsidR="002133E3" w14:paraId="535C7FAD" w14:textId="77777777">
        <w:trPr>
          <w:trHeight w:val="285"/>
          <w:jc w:val="center"/>
        </w:trPr>
        <w:tc>
          <w:tcPr>
            <w:tcW w:w="887" w:type="pct"/>
            <w:vMerge/>
            <w:vAlign w:val="center"/>
          </w:tcPr>
          <w:p w14:paraId="798A4103" w14:textId="77777777" w:rsidR="002133E3" w:rsidRDefault="002133E3">
            <w:pPr>
              <w:widowControl/>
              <w:jc w:val="center"/>
              <w:rPr>
                <w:rFonts w:ascii="Times New Roman" w:eastAsia="宋体" w:hAnsi="Times New Roman" w:cs="Times New Roman"/>
                <w:color w:val="000000"/>
                <w:kern w:val="0"/>
                <w:szCs w:val="21"/>
              </w:rPr>
            </w:pPr>
          </w:p>
        </w:tc>
        <w:tc>
          <w:tcPr>
            <w:tcW w:w="887" w:type="pct"/>
            <w:vMerge/>
            <w:vAlign w:val="center"/>
          </w:tcPr>
          <w:p w14:paraId="47ECFA0A" w14:textId="77777777" w:rsidR="002133E3" w:rsidRDefault="002133E3">
            <w:pPr>
              <w:widowControl/>
              <w:jc w:val="center"/>
              <w:rPr>
                <w:rFonts w:ascii="Times New Roman" w:eastAsia="宋体" w:hAnsi="Times New Roman" w:cs="Times New Roman"/>
                <w:color w:val="0D0D0D"/>
                <w:kern w:val="0"/>
                <w:szCs w:val="21"/>
              </w:rPr>
            </w:pPr>
          </w:p>
        </w:tc>
        <w:tc>
          <w:tcPr>
            <w:tcW w:w="783" w:type="pct"/>
            <w:shd w:val="clear" w:color="auto" w:fill="auto"/>
            <w:vAlign w:val="center"/>
          </w:tcPr>
          <w:p w14:paraId="6941257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最大值</w:t>
            </w:r>
          </w:p>
        </w:tc>
        <w:tc>
          <w:tcPr>
            <w:tcW w:w="666" w:type="pct"/>
            <w:shd w:val="clear" w:color="auto" w:fill="auto"/>
            <w:noWrap/>
            <w:vAlign w:val="center"/>
          </w:tcPr>
          <w:p w14:paraId="03479CF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w:t>
            </w:r>
          </w:p>
        </w:tc>
        <w:tc>
          <w:tcPr>
            <w:tcW w:w="603" w:type="pct"/>
            <w:shd w:val="clear" w:color="auto" w:fill="auto"/>
            <w:noWrap/>
            <w:vAlign w:val="center"/>
          </w:tcPr>
          <w:p w14:paraId="6D5DEC9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1.04</w:t>
            </w:r>
          </w:p>
        </w:tc>
        <w:tc>
          <w:tcPr>
            <w:tcW w:w="587" w:type="pct"/>
            <w:shd w:val="clear" w:color="auto" w:fill="auto"/>
            <w:noWrap/>
            <w:vAlign w:val="center"/>
          </w:tcPr>
          <w:p w14:paraId="474B8CB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0.23</w:t>
            </w:r>
          </w:p>
        </w:tc>
        <w:tc>
          <w:tcPr>
            <w:tcW w:w="587" w:type="pct"/>
            <w:vAlign w:val="center"/>
          </w:tcPr>
          <w:p w14:paraId="3863450B" w14:textId="77777777" w:rsidR="002133E3" w:rsidRDefault="00C22CFA">
            <w:pPr>
              <w:widowControl/>
              <w:jc w:val="center"/>
              <w:rPr>
                <w:rFonts w:ascii="Times New Roman" w:eastAsia="宋体" w:hAnsi="Times New Roman" w:cs="Times New Roman"/>
                <w:color w:val="000000"/>
                <w:kern w:val="0"/>
                <w:szCs w:val="21"/>
              </w:rPr>
            </w:pPr>
            <w:r>
              <w:rPr>
                <w:rFonts w:ascii="等线" w:eastAsia="等线" w:hAnsi="等线" w:hint="eastAsia"/>
                <w:color w:val="000000"/>
                <w:sz w:val="22"/>
              </w:rPr>
              <w:t>0.03</w:t>
            </w:r>
          </w:p>
        </w:tc>
      </w:tr>
      <w:tr w:rsidR="002133E3" w14:paraId="6EC2DB4E" w14:textId="77777777">
        <w:trPr>
          <w:trHeight w:val="285"/>
          <w:jc w:val="center"/>
        </w:trPr>
        <w:tc>
          <w:tcPr>
            <w:tcW w:w="887" w:type="pct"/>
            <w:vMerge/>
            <w:vAlign w:val="center"/>
          </w:tcPr>
          <w:p w14:paraId="1E9AF108" w14:textId="77777777" w:rsidR="002133E3" w:rsidRDefault="002133E3">
            <w:pPr>
              <w:widowControl/>
              <w:jc w:val="center"/>
              <w:rPr>
                <w:rFonts w:ascii="Times New Roman" w:eastAsia="宋体" w:hAnsi="Times New Roman" w:cs="Times New Roman"/>
                <w:color w:val="000000"/>
                <w:kern w:val="0"/>
                <w:szCs w:val="21"/>
              </w:rPr>
            </w:pPr>
          </w:p>
        </w:tc>
        <w:tc>
          <w:tcPr>
            <w:tcW w:w="887" w:type="pct"/>
            <w:vMerge w:val="restart"/>
            <w:shd w:val="clear" w:color="auto" w:fill="auto"/>
            <w:vAlign w:val="center"/>
          </w:tcPr>
          <w:p w14:paraId="391D89F0" w14:textId="77777777" w:rsidR="002133E3" w:rsidRDefault="00C22CFA">
            <w:pPr>
              <w:widowControl/>
              <w:jc w:val="center"/>
              <w:rPr>
                <w:rFonts w:ascii="Times New Roman" w:eastAsia="宋体" w:hAnsi="Times New Roman" w:cs="Times New Roman"/>
                <w:color w:val="0D0D0D"/>
                <w:kern w:val="0"/>
                <w:szCs w:val="21"/>
              </w:rPr>
            </w:pPr>
            <w:r>
              <w:rPr>
                <w:rFonts w:ascii="Times New Roman" w:eastAsia="宋体" w:hAnsi="Times New Roman" w:cs="Times New Roman"/>
                <w:color w:val="0D0D0D"/>
                <w:kern w:val="0"/>
                <w:szCs w:val="21"/>
              </w:rPr>
              <w:t>污染指数范围</w:t>
            </w:r>
          </w:p>
        </w:tc>
        <w:tc>
          <w:tcPr>
            <w:tcW w:w="783" w:type="pct"/>
            <w:shd w:val="clear" w:color="auto" w:fill="auto"/>
            <w:vAlign w:val="center"/>
          </w:tcPr>
          <w:p w14:paraId="3D4181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最小值</w:t>
            </w:r>
          </w:p>
        </w:tc>
        <w:tc>
          <w:tcPr>
            <w:tcW w:w="666" w:type="pct"/>
            <w:shd w:val="clear" w:color="auto" w:fill="auto"/>
            <w:noWrap/>
            <w:vAlign w:val="bottom"/>
          </w:tcPr>
          <w:p w14:paraId="150BFFE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1.45</w:t>
            </w:r>
          </w:p>
        </w:tc>
        <w:tc>
          <w:tcPr>
            <w:tcW w:w="603" w:type="pct"/>
            <w:shd w:val="clear" w:color="auto" w:fill="auto"/>
            <w:noWrap/>
            <w:vAlign w:val="bottom"/>
          </w:tcPr>
          <w:p w14:paraId="086559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1.39</w:t>
            </w:r>
          </w:p>
        </w:tc>
        <w:tc>
          <w:tcPr>
            <w:tcW w:w="587" w:type="pct"/>
            <w:shd w:val="clear" w:color="auto" w:fill="auto"/>
            <w:noWrap/>
            <w:vAlign w:val="bottom"/>
          </w:tcPr>
          <w:p w14:paraId="332929C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1.5</w:t>
            </w:r>
          </w:p>
        </w:tc>
        <w:tc>
          <w:tcPr>
            <w:tcW w:w="587" w:type="pct"/>
            <w:vAlign w:val="bottom"/>
          </w:tcPr>
          <w:p w14:paraId="4D346992" w14:textId="77777777" w:rsidR="002133E3" w:rsidRDefault="00C22CFA">
            <w:pPr>
              <w:widowControl/>
              <w:jc w:val="center"/>
              <w:rPr>
                <w:rFonts w:ascii="Times New Roman" w:eastAsia="等线" w:hAnsi="Times New Roman" w:cs="Times New Roman"/>
                <w:color w:val="000000"/>
                <w:sz w:val="22"/>
              </w:rPr>
            </w:pPr>
            <w:r>
              <w:rPr>
                <w:rFonts w:ascii="等线" w:eastAsia="等线" w:hAnsi="等线" w:hint="eastAsia"/>
                <w:color w:val="000000"/>
                <w:sz w:val="22"/>
              </w:rPr>
              <w:t>0.05</w:t>
            </w:r>
          </w:p>
        </w:tc>
      </w:tr>
      <w:tr w:rsidR="002133E3" w14:paraId="44AA676A" w14:textId="77777777">
        <w:trPr>
          <w:trHeight w:val="285"/>
          <w:jc w:val="center"/>
        </w:trPr>
        <w:tc>
          <w:tcPr>
            <w:tcW w:w="887" w:type="pct"/>
            <w:vMerge/>
            <w:vAlign w:val="center"/>
          </w:tcPr>
          <w:p w14:paraId="4464344D" w14:textId="77777777" w:rsidR="002133E3" w:rsidRDefault="002133E3">
            <w:pPr>
              <w:widowControl/>
              <w:jc w:val="center"/>
              <w:rPr>
                <w:rFonts w:ascii="Times New Roman" w:eastAsia="宋体" w:hAnsi="Times New Roman" w:cs="Times New Roman"/>
                <w:color w:val="000000"/>
                <w:kern w:val="0"/>
                <w:szCs w:val="21"/>
              </w:rPr>
            </w:pPr>
          </w:p>
        </w:tc>
        <w:tc>
          <w:tcPr>
            <w:tcW w:w="887" w:type="pct"/>
            <w:vMerge/>
            <w:vAlign w:val="center"/>
          </w:tcPr>
          <w:p w14:paraId="53373647" w14:textId="77777777" w:rsidR="002133E3" w:rsidRDefault="002133E3">
            <w:pPr>
              <w:widowControl/>
              <w:jc w:val="center"/>
              <w:rPr>
                <w:rFonts w:ascii="Times New Roman" w:eastAsia="宋体" w:hAnsi="Times New Roman" w:cs="Times New Roman"/>
                <w:color w:val="0D0D0D"/>
                <w:kern w:val="0"/>
                <w:szCs w:val="21"/>
              </w:rPr>
            </w:pPr>
          </w:p>
        </w:tc>
        <w:tc>
          <w:tcPr>
            <w:tcW w:w="783" w:type="pct"/>
            <w:shd w:val="clear" w:color="auto" w:fill="auto"/>
            <w:vAlign w:val="center"/>
          </w:tcPr>
          <w:p w14:paraId="082A26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最大值</w:t>
            </w:r>
          </w:p>
        </w:tc>
        <w:tc>
          <w:tcPr>
            <w:tcW w:w="666" w:type="pct"/>
            <w:shd w:val="clear" w:color="auto" w:fill="auto"/>
            <w:noWrap/>
            <w:vAlign w:val="bottom"/>
          </w:tcPr>
          <w:p w14:paraId="5413B4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1.2</w:t>
            </w:r>
          </w:p>
        </w:tc>
        <w:tc>
          <w:tcPr>
            <w:tcW w:w="603" w:type="pct"/>
            <w:shd w:val="clear" w:color="auto" w:fill="auto"/>
            <w:noWrap/>
            <w:vAlign w:val="bottom"/>
          </w:tcPr>
          <w:p w14:paraId="130AD33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1.04</w:t>
            </w:r>
          </w:p>
        </w:tc>
        <w:tc>
          <w:tcPr>
            <w:tcW w:w="587" w:type="pct"/>
            <w:shd w:val="clear" w:color="auto" w:fill="auto"/>
            <w:noWrap/>
            <w:vAlign w:val="bottom"/>
          </w:tcPr>
          <w:p w14:paraId="2155C32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1.15</w:t>
            </w:r>
          </w:p>
        </w:tc>
        <w:tc>
          <w:tcPr>
            <w:tcW w:w="587" w:type="pct"/>
            <w:vAlign w:val="bottom"/>
          </w:tcPr>
          <w:p w14:paraId="722D0875" w14:textId="77777777" w:rsidR="002133E3" w:rsidRDefault="00C22CFA">
            <w:pPr>
              <w:widowControl/>
              <w:jc w:val="center"/>
              <w:rPr>
                <w:rFonts w:ascii="Times New Roman" w:eastAsia="等线" w:hAnsi="Times New Roman" w:cs="Times New Roman"/>
                <w:color w:val="000000"/>
                <w:sz w:val="22"/>
              </w:rPr>
            </w:pPr>
            <w:r>
              <w:rPr>
                <w:rFonts w:ascii="等线" w:eastAsia="等线" w:hAnsi="等线" w:hint="eastAsia"/>
                <w:color w:val="000000"/>
                <w:sz w:val="22"/>
              </w:rPr>
              <w:t>0.03</w:t>
            </w:r>
          </w:p>
        </w:tc>
      </w:tr>
      <w:tr w:rsidR="002133E3" w14:paraId="0BB324D1" w14:textId="77777777">
        <w:trPr>
          <w:trHeight w:val="285"/>
          <w:jc w:val="center"/>
        </w:trPr>
        <w:tc>
          <w:tcPr>
            <w:tcW w:w="887" w:type="pct"/>
            <w:vMerge/>
            <w:vAlign w:val="center"/>
          </w:tcPr>
          <w:p w14:paraId="584E3189" w14:textId="77777777" w:rsidR="002133E3" w:rsidRDefault="002133E3">
            <w:pPr>
              <w:widowControl/>
              <w:jc w:val="center"/>
              <w:rPr>
                <w:rFonts w:ascii="Times New Roman" w:eastAsia="宋体" w:hAnsi="Times New Roman" w:cs="Times New Roman"/>
                <w:color w:val="000000"/>
                <w:kern w:val="0"/>
                <w:szCs w:val="21"/>
              </w:rPr>
            </w:pPr>
          </w:p>
        </w:tc>
        <w:tc>
          <w:tcPr>
            <w:tcW w:w="1670" w:type="pct"/>
            <w:gridSpan w:val="2"/>
            <w:shd w:val="clear" w:color="auto" w:fill="auto"/>
            <w:vAlign w:val="center"/>
          </w:tcPr>
          <w:p w14:paraId="4ACF416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超标率</w:t>
            </w:r>
            <w:r>
              <w:rPr>
                <w:rFonts w:ascii="Times New Roman" w:eastAsia="宋体" w:hAnsi="Times New Roman" w:cs="Times New Roman"/>
                <w:color w:val="000000"/>
                <w:kern w:val="0"/>
                <w:szCs w:val="21"/>
              </w:rPr>
              <w:t>%</w:t>
            </w:r>
          </w:p>
        </w:tc>
        <w:tc>
          <w:tcPr>
            <w:tcW w:w="666" w:type="pct"/>
            <w:shd w:val="clear" w:color="auto" w:fill="auto"/>
            <w:noWrap/>
            <w:vAlign w:val="bottom"/>
          </w:tcPr>
          <w:p w14:paraId="0C0D67E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100</w:t>
            </w:r>
          </w:p>
        </w:tc>
        <w:tc>
          <w:tcPr>
            <w:tcW w:w="603" w:type="pct"/>
            <w:shd w:val="clear" w:color="auto" w:fill="auto"/>
            <w:noWrap/>
            <w:vAlign w:val="bottom"/>
          </w:tcPr>
          <w:p w14:paraId="795723E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100</w:t>
            </w:r>
          </w:p>
        </w:tc>
        <w:tc>
          <w:tcPr>
            <w:tcW w:w="587" w:type="pct"/>
            <w:shd w:val="clear" w:color="auto" w:fill="auto"/>
            <w:noWrap/>
            <w:vAlign w:val="bottom"/>
          </w:tcPr>
          <w:p w14:paraId="1F09A7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100</w:t>
            </w:r>
          </w:p>
        </w:tc>
        <w:tc>
          <w:tcPr>
            <w:tcW w:w="587" w:type="pct"/>
          </w:tcPr>
          <w:p w14:paraId="506D49C0" w14:textId="77777777" w:rsidR="002133E3" w:rsidRDefault="00C22CFA">
            <w:pPr>
              <w:widowControl/>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1</w:t>
            </w:r>
            <w:r>
              <w:rPr>
                <w:rFonts w:ascii="Times New Roman" w:eastAsia="等线" w:hAnsi="Times New Roman" w:cs="Times New Roman"/>
                <w:color w:val="000000"/>
                <w:sz w:val="22"/>
              </w:rPr>
              <w:t>6.67</w:t>
            </w:r>
          </w:p>
        </w:tc>
      </w:tr>
      <w:tr w:rsidR="002133E3" w14:paraId="25BD8B75" w14:textId="77777777">
        <w:trPr>
          <w:trHeight w:val="300"/>
          <w:jc w:val="center"/>
        </w:trPr>
        <w:tc>
          <w:tcPr>
            <w:tcW w:w="2557" w:type="pct"/>
            <w:gridSpan w:val="3"/>
            <w:shd w:val="clear" w:color="auto" w:fill="auto"/>
            <w:noWrap/>
            <w:vAlign w:val="center"/>
          </w:tcPr>
          <w:p w14:paraId="729826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《地表水环境质量标准》（</w:t>
            </w:r>
            <w:r>
              <w:rPr>
                <w:rFonts w:ascii="Times New Roman" w:eastAsia="宋体" w:hAnsi="Times New Roman" w:cs="Times New Roman"/>
                <w:color w:val="000000"/>
                <w:kern w:val="0"/>
                <w:szCs w:val="21"/>
              </w:rPr>
              <w:t>GB3838-2002</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III</w:t>
            </w:r>
            <w:r>
              <w:rPr>
                <w:rFonts w:ascii="Times New Roman" w:eastAsia="宋体" w:hAnsi="Times New Roman" w:cs="Times New Roman"/>
                <w:color w:val="000000"/>
                <w:kern w:val="0"/>
                <w:szCs w:val="21"/>
              </w:rPr>
              <w:t>类标准</w:t>
            </w:r>
          </w:p>
        </w:tc>
        <w:tc>
          <w:tcPr>
            <w:tcW w:w="666" w:type="pct"/>
            <w:shd w:val="clear" w:color="auto" w:fill="auto"/>
            <w:noWrap/>
            <w:vAlign w:val="bottom"/>
          </w:tcPr>
          <w:p w14:paraId="51FC001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w:t>
            </w:r>
          </w:p>
        </w:tc>
        <w:tc>
          <w:tcPr>
            <w:tcW w:w="603" w:type="pct"/>
            <w:shd w:val="clear" w:color="auto" w:fill="auto"/>
            <w:noWrap/>
            <w:vAlign w:val="bottom"/>
          </w:tcPr>
          <w:p w14:paraId="4B9CDB2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 w:val="22"/>
              </w:rPr>
              <w:t>1</w:t>
            </w:r>
          </w:p>
        </w:tc>
        <w:tc>
          <w:tcPr>
            <w:tcW w:w="587" w:type="pct"/>
            <w:shd w:val="clear" w:color="auto" w:fill="auto"/>
            <w:noWrap/>
            <w:vAlign w:val="center"/>
          </w:tcPr>
          <w:p w14:paraId="5B90751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w:t>
            </w:r>
          </w:p>
        </w:tc>
        <w:tc>
          <w:tcPr>
            <w:tcW w:w="587" w:type="pct"/>
          </w:tcPr>
          <w:p w14:paraId="4FE8818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0</w:t>
            </w:r>
            <w:r>
              <w:rPr>
                <w:rFonts w:ascii="Times New Roman" w:eastAsia="宋体" w:hAnsi="Times New Roman" w:cs="Times New Roman"/>
                <w:color w:val="000000"/>
                <w:kern w:val="0"/>
                <w:szCs w:val="21"/>
              </w:rPr>
              <w:t>.05</w:t>
            </w:r>
          </w:p>
        </w:tc>
      </w:tr>
    </w:tbl>
    <w:p w14:paraId="739BCD8F"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根据监测结果，兴庄河监测的各因子中化学需氧量、氨氮、总磷和石油类均不满足满足《地表水环境质量标准》（</w:t>
      </w:r>
      <w:r>
        <w:rPr>
          <w:rFonts w:ascii="Times New Roman" w:eastAsia="宋体" w:hAnsi="Times New Roman" w:cs="Times New Roman"/>
          <w:kern w:val="0"/>
          <w:sz w:val="28"/>
          <w:szCs w:val="28"/>
        </w:rPr>
        <w:t>GB3838-2002</w:t>
      </w:r>
      <w:r>
        <w:rPr>
          <w:rFonts w:ascii="Times New Roman" w:eastAsia="宋体" w:hAnsi="Times New Roman" w:cs="Times New Roman"/>
          <w:kern w:val="0"/>
          <w:sz w:val="28"/>
          <w:szCs w:val="28"/>
        </w:rPr>
        <w:t>）中</w:t>
      </w:r>
      <w:r>
        <w:rPr>
          <w:rFonts w:ascii="宋体" w:eastAsia="宋体" w:hAnsi="宋体" w:cs="宋体" w:hint="eastAsia"/>
          <w:kern w:val="0"/>
          <w:sz w:val="28"/>
          <w:szCs w:val="28"/>
        </w:rPr>
        <w:t>Ⅲ</w:t>
      </w:r>
      <w:r>
        <w:rPr>
          <w:rFonts w:ascii="Times New Roman" w:eastAsia="宋体" w:hAnsi="Times New Roman" w:cs="Times New Roman"/>
          <w:kern w:val="0"/>
          <w:sz w:val="28"/>
          <w:szCs w:val="28"/>
        </w:rPr>
        <w:t>类水质标准。</w:t>
      </w:r>
    </w:p>
    <w:p w14:paraId="3B29E0C9"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地表水超标原因分析：</w:t>
      </w:r>
    </w:p>
    <w:p w14:paraId="50A13FFB"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兴庄河流域主要受到氮、磷营养盐和耗氧性有机物污染为主，占主导的污染源为生活污染源、农业面源及畜禽养殖。兴庄河沿线村庄生活污水处理设施建设相对滞后，生活污水收集、处理率低，沿线生活污水基本未经处理排入兴庄河内。区域农业基础设施落后、农业标准化和组织化程度较低，农业生产管理粗放，带来的问题一是耗水量依然较大；二是农业生产过分依赖化肥提高产量；三是化学农药的过量使用，也是造成水污染问题的因素之一。畜禽养殖污染治理不到位，区域规模畜禽养殖场缺乏规范的粪污处理设施，养殖场产生的粪便均直接用于灌溉附近农田，虽然粪便还田率较高，但是几乎未经过无害化和减量化处理，不少粪便和污水还直接排入附近河流、鱼塘，给养殖场附近的土壤、水环境造成了影响也较为突出。</w:t>
      </w:r>
    </w:p>
    <w:p w14:paraId="55206C87"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）地表水质变化趋势分析</w:t>
      </w:r>
    </w:p>
    <w:p w14:paraId="57F069E8" w14:textId="77777777" w:rsidR="002133E3" w:rsidRDefault="00C22CFA">
      <w:pPr>
        <w:snapToGrid w:val="0"/>
        <w:spacing w:line="500" w:lineRule="atLeast"/>
        <w:ind w:firstLineChars="200" w:firstLine="560"/>
        <w:rPr>
          <w:rFonts w:ascii="Times New Roman" w:eastAsia="宋体" w:hAnsi="Times New Roman" w:cs="Times New Roman"/>
          <w:b/>
          <w:kern w:val="0"/>
          <w:szCs w:val="21"/>
        </w:rPr>
      </w:pPr>
      <w:r>
        <w:rPr>
          <w:rFonts w:ascii="Times New Roman" w:eastAsia="宋体" w:hAnsi="Times New Roman" w:cs="Times New Roman"/>
          <w:kern w:val="0"/>
          <w:sz w:val="28"/>
          <w:szCs w:val="28"/>
        </w:rPr>
        <w:t>为了更加准确的体现兴庄河近年来水质变化趋势，收集了近年来兴庄河例行监测数据、区域项目环评现状监测数据。采用监测因子标准指数进行比对，详见表</w:t>
      </w:r>
      <w:r>
        <w:rPr>
          <w:rFonts w:ascii="Times New Roman" w:eastAsia="宋体" w:hAnsi="Times New Roman" w:cs="Times New Roman"/>
          <w:kern w:val="0"/>
          <w:sz w:val="28"/>
          <w:szCs w:val="28"/>
        </w:rPr>
        <w:t>5.2-7</w:t>
      </w:r>
      <w:r>
        <w:rPr>
          <w:rFonts w:ascii="Times New Roman" w:eastAsia="宋体" w:hAnsi="Times New Roman" w:cs="Times New Roman"/>
          <w:kern w:val="0"/>
          <w:sz w:val="28"/>
          <w:szCs w:val="28"/>
        </w:rPr>
        <w:t>。</w:t>
      </w:r>
    </w:p>
    <w:p w14:paraId="3D1BD494" w14:textId="77777777" w:rsidR="002133E3" w:rsidRDefault="00C22CFA">
      <w:pPr>
        <w:spacing w:line="500" w:lineRule="exact"/>
        <w:ind w:firstLineChars="200" w:firstLine="482"/>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5.2-7  </w:t>
      </w:r>
      <w:r>
        <w:rPr>
          <w:rFonts w:ascii="Times New Roman" w:eastAsia="宋体" w:hAnsi="Times New Roman" w:cs="Times New Roman"/>
          <w:b/>
          <w:kern w:val="0"/>
          <w:sz w:val="24"/>
          <w:szCs w:val="24"/>
        </w:rPr>
        <w:t>地表水水质评价指数对比一览表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268"/>
        <w:gridCol w:w="1297"/>
        <w:gridCol w:w="1297"/>
        <w:gridCol w:w="1297"/>
        <w:gridCol w:w="1297"/>
        <w:gridCol w:w="1297"/>
      </w:tblGrid>
      <w:tr w:rsidR="002133E3" w14:paraId="23DBF009" w14:textId="77777777">
        <w:trPr>
          <w:trHeight w:val="397"/>
          <w:jc w:val="center"/>
        </w:trPr>
        <w:tc>
          <w:tcPr>
            <w:tcW w:w="559" w:type="pct"/>
            <w:vAlign w:val="center"/>
          </w:tcPr>
          <w:p w14:paraId="6FB70FC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监测时间</w:t>
            </w:r>
          </w:p>
        </w:tc>
        <w:tc>
          <w:tcPr>
            <w:tcW w:w="1151" w:type="pct"/>
            <w:vAlign w:val="center"/>
          </w:tcPr>
          <w:p w14:paraId="5CE603B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监测断面</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兴庄桥</w:t>
            </w:r>
          </w:p>
        </w:tc>
        <w:tc>
          <w:tcPr>
            <w:tcW w:w="658" w:type="pct"/>
            <w:vAlign w:val="center"/>
          </w:tcPr>
          <w:p w14:paraId="7F2A429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p>
        </w:tc>
        <w:tc>
          <w:tcPr>
            <w:tcW w:w="658" w:type="pct"/>
            <w:vAlign w:val="center"/>
          </w:tcPr>
          <w:p w14:paraId="1349D8B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石油类</w:t>
            </w:r>
          </w:p>
        </w:tc>
        <w:tc>
          <w:tcPr>
            <w:tcW w:w="658" w:type="pct"/>
            <w:vAlign w:val="center"/>
          </w:tcPr>
          <w:p w14:paraId="130C15D7"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CODcr</w:t>
            </w:r>
            <w:proofErr w:type="spellEnd"/>
          </w:p>
        </w:tc>
        <w:tc>
          <w:tcPr>
            <w:tcW w:w="658" w:type="pct"/>
            <w:vAlign w:val="center"/>
          </w:tcPr>
          <w:p w14:paraId="51AE8A6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p>
        </w:tc>
        <w:tc>
          <w:tcPr>
            <w:tcW w:w="658" w:type="pct"/>
            <w:vAlign w:val="center"/>
          </w:tcPr>
          <w:p w14:paraId="3000A5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氟化物</w:t>
            </w:r>
          </w:p>
        </w:tc>
      </w:tr>
      <w:tr w:rsidR="002133E3" w14:paraId="17534DC6" w14:textId="77777777">
        <w:trPr>
          <w:trHeight w:val="173"/>
          <w:jc w:val="center"/>
        </w:trPr>
        <w:tc>
          <w:tcPr>
            <w:tcW w:w="559" w:type="pct"/>
            <w:vMerge w:val="restart"/>
            <w:vAlign w:val="center"/>
          </w:tcPr>
          <w:p w14:paraId="47944CA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2013</w:t>
            </w:r>
          </w:p>
        </w:tc>
        <w:tc>
          <w:tcPr>
            <w:tcW w:w="1151" w:type="pct"/>
            <w:vAlign w:val="center"/>
          </w:tcPr>
          <w:p w14:paraId="1F4CA1A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最大值</w:t>
            </w:r>
            <w:r>
              <w:rPr>
                <w:rFonts w:ascii="Times New Roman" w:eastAsia="宋体" w:hAnsi="Times New Roman" w:cs="Times New Roman"/>
                <w:kern w:val="0"/>
                <w:szCs w:val="21"/>
              </w:rPr>
              <w:t>mg/L</w:t>
            </w:r>
          </w:p>
        </w:tc>
        <w:tc>
          <w:tcPr>
            <w:tcW w:w="658" w:type="pct"/>
            <w:vAlign w:val="center"/>
          </w:tcPr>
          <w:p w14:paraId="59E1F2A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1.58</w:t>
            </w:r>
          </w:p>
        </w:tc>
        <w:tc>
          <w:tcPr>
            <w:tcW w:w="658" w:type="pct"/>
            <w:vAlign w:val="center"/>
          </w:tcPr>
          <w:p w14:paraId="4C270E5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0.03</w:t>
            </w:r>
          </w:p>
        </w:tc>
        <w:tc>
          <w:tcPr>
            <w:tcW w:w="658" w:type="pct"/>
            <w:vAlign w:val="center"/>
          </w:tcPr>
          <w:p w14:paraId="115D19D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30</w:t>
            </w:r>
          </w:p>
        </w:tc>
        <w:tc>
          <w:tcPr>
            <w:tcW w:w="658" w:type="pct"/>
            <w:vAlign w:val="center"/>
          </w:tcPr>
          <w:p w14:paraId="3BB5DDF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0.34</w:t>
            </w:r>
          </w:p>
        </w:tc>
        <w:tc>
          <w:tcPr>
            <w:tcW w:w="658" w:type="pct"/>
            <w:vAlign w:val="center"/>
          </w:tcPr>
          <w:p w14:paraId="4B1247A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1.02</w:t>
            </w:r>
          </w:p>
        </w:tc>
      </w:tr>
      <w:tr w:rsidR="002133E3" w14:paraId="19FF8252" w14:textId="77777777">
        <w:trPr>
          <w:trHeight w:val="193"/>
          <w:jc w:val="center"/>
        </w:trPr>
        <w:tc>
          <w:tcPr>
            <w:tcW w:w="559" w:type="pct"/>
            <w:vMerge/>
            <w:vAlign w:val="center"/>
          </w:tcPr>
          <w:p w14:paraId="71DB6DAF"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A0BBAB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最小值</w:t>
            </w:r>
            <w:r>
              <w:rPr>
                <w:rFonts w:ascii="Times New Roman" w:eastAsia="宋体" w:hAnsi="Times New Roman" w:cs="Times New Roman"/>
                <w:kern w:val="0"/>
                <w:szCs w:val="21"/>
              </w:rPr>
              <w:t>mg/L</w:t>
            </w:r>
          </w:p>
        </w:tc>
        <w:tc>
          <w:tcPr>
            <w:tcW w:w="658" w:type="pct"/>
            <w:vAlign w:val="center"/>
          </w:tcPr>
          <w:p w14:paraId="7F0737A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0.26</w:t>
            </w:r>
          </w:p>
        </w:tc>
        <w:tc>
          <w:tcPr>
            <w:tcW w:w="658" w:type="pct"/>
            <w:vAlign w:val="center"/>
          </w:tcPr>
          <w:p w14:paraId="52EDEEF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0.01</w:t>
            </w:r>
          </w:p>
        </w:tc>
        <w:tc>
          <w:tcPr>
            <w:tcW w:w="658" w:type="pct"/>
            <w:vAlign w:val="center"/>
          </w:tcPr>
          <w:p w14:paraId="0CF5145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658" w:type="pct"/>
            <w:vAlign w:val="center"/>
          </w:tcPr>
          <w:p w14:paraId="3119C6D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0.11</w:t>
            </w:r>
          </w:p>
        </w:tc>
        <w:tc>
          <w:tcPr>
            <w:tcW w:w="658" w:type="pct"/>
            <w:vAlign w:val="center"/>
          </w:tcPr>
          <w:p w14:paraId="44EED8C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0.32</w:t>
            </w:r>
          </w:p>
        </w:tc>
      </w:tr>
      <w:tr w:rsidR="002133E3" w14:paraId="6CC00B7D" w14:textId="77777777">
        <w:trPr>
          <w:trHeight w:val="200"/>
          <w:jc w:val="center"/>
        </w:trPr>
        <w:tc>
          <w:tcPr>
            <w:tcW w:w="559" w:type="pct"/>
            <w:vMerge/>
            <w:vAlign w:val="center"/>
          </w:tcPr>
          <w:p w14:paraId="7A373B75"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33F0F62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平均值</w:t>
            </w:r>
            <w:r>
              <w:rPr>
                <w:rFonts w:ascii="Times New Roman" w:eastAsia="宋体" w:hAnsi="Times New Roman" w:cs="Times New Roman"/>
                <w:kern w:val="0"/>
                <w:szCs w:val="21"/>
              </w:rPr>
              <w:t>mg/L</w:t>
            </w:r>
          </w:p>
        </w:tc>
        <w:tc>
          <w:tcPr>
            <w:tcW w:w="658" w:type="pct"/>
            <w:vAlign w:val="center"/>
          </w:tcPr>
          <w:p w14:paraId="3E1F4F4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0.90</w:t>
            </w:r>
          </w:p>
        </w:tc>
        <w:tc>
          <w:tcPr>
            <w:tcW w:w="658" w:type="pct"/>
            <w:vAlign w:val="center"/>
          </w:tcPr>
          <w:p w14:paraId="5231BB0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0.02</w:t>
            </w:r>
          </w:p>
        </w:tc>
        <w:tc>
          <w:tcPr>
            <w:tcW w:w="658" w:type="pct"/>
            <w:vAlign w:val="center"/>
          </w:tcPr>
          <w:p w14:paraId="58E0B9A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21</w:t>
            </w:r>
          </w:p>
        </w:tc>
        <w:tc>
          <w:tcPr>
            <w:tcW w:w="658" w:type="pct"/>
            <w:vAlign w:val="center"/>
          </w:tcPr>
          <w:p w14:paraId="403F522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0.19</w:t>
            </w:r>
          </w:p>
        </w:tc>
        <w:tc>
          <w:tcPr>
            <w:tcW w:w="658" w:type="pct"/>
            <w:vAlign w:val="center"/>
          </w:tcPr>
          <w:p w14:paraId="583E654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0.59</w:t>
            </w:r>
          </w:p>
        </w:tc>
      </w:tr>
      <w:tr w:rsidR="002133E3" w14:paraId="27768948" w14:textId="77777777">
        <w:trPr>
          <w:trHeight w:val="70"/>
          <w:jc w:val="center"/>
        </w:trPr>
        <w:tc>
          <w:tcPr>
            <w:tcW w:w="559" w:type="pct"/>
            <w:vMerge/>
            <w:vAlign w:val="center"/>
          </w:tcPr>
          <w:p w14:paraId="1E85AB2E"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904C56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Pi</w:t>
            </w:r>
          </w:p>
        </w:tc>
        <w:tc>
          <w:tcPr>
            <w:tcW w:w="658" w:type="pct"/>
            <w:vAlign w:val="center"/>
          </w:tcPr>
          <w:p w14:paraId="1716A58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0.90</w:t>
            </w:r>
          </w:p>
        </w:tc>
        <w:tc>
          <w:tcPr>
            <w:tcW w:w="658" w:type="pct"/>
            <w:vAlign w:val="center"/>
          </w:tcPr>
          <w:p w14:paraId="5AD968C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0.4</w:t>
            </w:r>
          </w:p>
        </w:tc>
        <w:tc>
          <w:tcPr>
            <w:tcW w:w="658" w:type="pct"/>
            <w:vAlign w:val="center"/>
          </w:tcPr>
          <w:p w14:paraId="6195D61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1.05</w:t>
            </w:r>
          </w:p>
        </w:tc>
        <w:tc>
          <w:tcPr>
            <w:tcW w:w="658" w:type="pct"/>
            <w:vAlign w:val="center"/>
          </w:tcPr>
          <w:p w14:paraId="4C4204F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0.95</w:t>
            </w:r>
          </w:p>
        </w:tc>
        <w:tc>
          <w:tcPr>
            <w:tcW w:w="658" w:type="pct"/>
            <w:vAlign w:val="center"/>
          </w:tcPr>
          <w:p w14:paraId="1BC674A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0.59</w:t>
            </w:r>
          </w:p>
        </w:tc>
      </w:tr>
      <w:tr w:rsidR="002133E3" w14:paraId="48963C23" w14:textId="77777777">
        <w:trPr>
          <w:trHeight w:val="195"/>
          <w:jc w:val="center"/>
        </w:trPr>
        <w:tc>
          <w:tcPr>
            <w:tcW w:w="559" w:type="pct"/>
            <w:vMerge/>
            <w:vAlign w:val="center"/>
          </w:tcPr>
          <w:p w14:paraId="097D5BBD"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29350733" w14:textId="77777777" w:rsidR="002133E3" w:rsidRDefault="00C22CFA">
            <w:pPr>
              <w:snapToGrid w:val="0"/>
              <w:jc w:val="center"/>
              <w:rPr>
                <w:rFonts w:ascii="Times New Roman" w:eastAsia="宋体" w:hAnsi="Times New Roman" w:cs="Times New Roman"/>
                <w:kern w:val="0"/>
                <w:szCs w:val="21"/>
              </w:rPr>
            </w:pPr>
            <w:r>
              <w:rPr>
                <w:rFonts w:ascii="宋体" w:eastAsia="宋体" w:hAnsi="宋体" w:cs="宋体" w:hint="eastAsia"/>
                <w:kern w:val="0"/>
                <w:szCs w:val="21"/>
              </w:rPr>
              <w:t>Ⅲ</w:t>
            </w:r>
            <w:r>
              <w:rPr>
                <w:rFonts w:ascii="Times New Roman" w:eastAsia="宋体" w:hAnsi="Times New Roman" w:cs="Times New Roman"/>
                <w:kern w:val="0"/>
                <w:szCs w:val="21"/>
              </w:rPr>
              <w:t>类</w:t>
            </w:r>
            <w:r>
              <w:rPr>
                <w:rFonts w:ascii="Times New Roman" w:eastAsia="宋体" w:hAnsi="Times New Roman" w:cs="Times New Roman"/>
                <w:kern w:val="0"/>
                <w:szCs w:val="21"/>
              </w:rPr>
              <w:t>mg/L</w:t>
            </w:r>
          </w:p>
        </w:tc>
        <w:tc>
          <w:tcPr>
            <w:tcW w:w="658" w:type="pct"/>
            <w:vAlign w:val="center"/>
          </w:tcPr>
          <w:p w14:paraId="7262097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658" w:type="pct"/>
            <w:vAlign w:val="center"/>
          </w:tcPr>
          <w:p w14:paraId="36110CB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658" w:type="pct"/>
            <w:vAlign w:val="center"/>
          </w:tcPr>
          <w:p w14:paraId="4720B7A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658" w:type="pct"/>
            <w:vAlign w:val="center"/>
          </w:tcPr>
          <w:p w14:paraId="4D320A8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658" w:type="pct"/>
            <w:vAlign w:val="center"/>
          </w:tcPr>
          <w:p w14:paraId="13CA07B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r>
      <w:tr w:rsidR="002133E3" w14:paraId="0E846185" w14:textId="77777777">
        <w:trPr>
          <w:trHeight w:val="397"/>
          <w:jc w:val="center"/>
        </w:trPr>
        <w:tc>
          <w:tcPr>
            <w:tcW w:w="559" w:type="pct"/>
            <w:vAlign w:val="center"/>
          </w:tcPr>
          <w:p w14:paraId="468DE9F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监测时间</w:t>
            </w:r>
          </w:p>
        </w:tc>
        <w:tc>
          <w:tcPr>
            <w:tcW w:w="1151" w:type="pct"/>
            <w:vAlign w:val="center"/>
          </w:tcPr>
          <w:p w14:paraId="4D54E3F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监测断面</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兴庄桥</w:t>
            </w:r>
          </w:p>
        </w:tc>
        <w:tc>
          <w:tcPr>
            <w:tcW w:w="658" w:type="pct"/>
            <w:vAlign w:val="center"/>
          </w:tcPr>
          <w:p w14:paraId="4CB99E7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p>
        </w:tc>
        <w:tc>
          <w:tcPr>
            <w:tcW w:w="658" w:type="pct"/>
            <w:vAlign w:val="center"/>
          </w:tcPr>
          <w:p w14:paraId="080230F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石油类</w:t>
            </w:r>
          </w:p>
        </w:tc>
        <w:tc>
          <w:tcPr>
            <w:tcW w:w="658" w:type="pct"/>
            <w:vAlign w:val="center"/>
          </w:tcPr>
          <w:p w14:paraId="571D9B32"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CODcr</w:t>
            </w:r>
            <w:proofErr w:type="spellEnd"/>
          </w:p>
        </w:tc>
        <w:tc>
          <w:tcPr>
            <w:tcW w:w="658" w:type="pct"/>
            <w:vAlign w:val="center"/>
          </w:tcPr>
          <w:p w14:paraId="25D7A5B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p>
        </w:tc>
        <w:tc>
          <w:tcPr>
            <w:tcW w:w="658" w:type="pct"/>
            <w:vAlign w:val="center"/>
          </w:tcPr>
          <w:p w14:paraId="5CFDC53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氟化物</w:t>
            </w:r>
          </w:p>
        </w:tc>
      </w:tr>
      <w:tr w:rsidR="002133E3" w14:paraId="49123E08" w14:textId="77777777">
        <w:trPr>
          <w:trHeight w:val="132"/>
          <w:jc w:val="center"/>
        </w:trPr>
        <w:tc>
          <w:tcPr>
            <w:tcW w:w="559" w:type="pct"/>
            <w:vMerge w:val="restart"/>
            <w:vAlign w:val="center"/>
          </w:tcPr>
          <w:p w14:paraId="079DF32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2014</w:t>
            </w:r>
          </w:p>
        </w:tc>
        <w:tc>
          <w:tcPr>
            <w:tcW w:w="1151" w:type="pct"/>
            <w:vAlign w:val="center"/>
          </w:tcPr>
          <w:p w14:paraId="5186C03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最大值</w:t>
            </w:r>
            <w:r>
              <w:rPr>
                <w:rFonts w:ascii="Times New Roman" w:eastAsia="宋体" w:hAnsi="Times New Roman" w:cs="Times New Roman"/>
                <w:kern w:val="0"/>
                <w:szCs w:val="21"/>
              </w:rPr>
              <w:t>mg/L</w:t>
            </w:r>
          </w:p>
        </w:tc>
        <w:tc>
          <w:tcPr>
            <w:tcW w:w="658" w:type="pct"/>
            <w:vAlign w:val="center"/>
          </w:tcPr>
          <w:p w14:paraId="3989DB8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w:t>
            </w:r>
          </w:p>
        </w:tc>
        <w:tc>
          <w:tcPr>
            <w:tcW w:w="658" w:type="pct"/>
            <w:vAlign w:val="center"/>
          </w:tcPr>
          <w:p w14:paraId="78B764B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0.04</w:t>
            </w:r>
          </w:p>
        </w:tc>
        <w:tc>
          <w:tcPr>
            <w:tcW w:w="658" w:type="pct"/>
            <w:vAlign w:val="center"/>
          </w:tcPr>
          <w:p w14:paraId="2E9FB3C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81</w:t>
            </w:r>
          </w:p>
        </w:tc>
        <w:tc>
          <w:tcPr>
            <w:tcW w:w="658" w:type="pct"/>
            <w:vAlign w:val="center"/>
          </w:tcPr>
          <w:p w14:paraId="3FC1619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0.42</w:t>
            </w:r>
          </w:p>
        </w:tc>
        <w:tc>
          <w:tcPr>
            <w:tcW w:w="658" w:type="pct"/>
            <w:vAlign w:val="center"/>
          </w:tcPr>
          <w:p w14:paraId="78C8C3F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1.72</w:t>
            </w:r>
          </w:p>
        </w:tc>
      </w:tr>
      <w:tr w:rsidR="002133E3" w14:paraId="5CE71D00" w14:textId="77777777">
        <w:trPr>
          <w:trHeight w:val="294"/>
          <w:jc w:val="center"/>
        </w:trPr>
        <w:tc>
          <w:tcPr>
            <w:tcW w:w="559" w:type="pct"/>
            <w:vMerge/>
            <w:vAlign w:val="center"/>
          </w:tcPr>
          <w:p w14:paraId="5BE2A361"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20A29E5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最小值</w:t>
            </w:r>
            <w:r>
              <w:rPr>
                <w:rFonts w:ascii="Times New Roman" w:eastAsia="宋体" w:hAnsi="Times New Roman" w:cs="Times New Roman"/>
                <w:kern w:val="0"/>
                <w:szCs w:val="21"/>
              </w:rPr>
              <w:t>mg/L</w:t>
            </w:r>
          </w:p>
        </w:tc>
        <w:tc>
          <w:tcPr>
            <w:tcW w:w="658" w:type="pct"/>
            <w:vAlign w:val="center"/>
          </w:tcPr>
          <w:p w14:paraId="19A19B9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0.26</w:t>
            </w:r>
          </w:p>
        </w:tc>
        <w:tc>
          <w:tcPr>
            <w:tcW w:w="658" w:type="pct"/>
            <w:vAlign w:val="center"/>
          </w:tcPr>
          <w:p w14:paraId="67D9DE5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0.01</w:t>
            </w:r>
          </w:p>
        </w:tc>
        <w:tc>
          <w:tcPr>
            <w:tcW w:w="658" w:type="pct"/>
            <w:vAlign w:val="center"/>
          </w:tcPr>
          <w:p w14:paraId="2C33B9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658" w:type="pct"/>
            <w:vAlign w:val="center"/>
          </w:tcPr>
          <w:p w14:paraId="5762190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0.13</w:t>
            </w:r>
          </w:p>
        </w:tc>
        <w:tc>
          <w:tcPr>
            <w:tcW w:w="658" w:type="pct"/>
            <w:vAlign w:val="center"/>
          </w:tcPr>
          <w:p w14:paraId="69682F2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0.38</w:t>
            </w:r>
          </w:p>
        </w:tc>
      </w:tr>
      <w:tr w:rsidR="002133E3" w14:paraId="5E747483" w14:textId="77777777">
        <w:trPr>
          <w:trHeight w:val="172"/>
          <w:jc w:val="center"/>
        </w:trPr>
        <w:tc>
          <w:tcPr>
            <w:tcW w:w="559" w:type="pct"/>
            <w:vMerge/>
            <w:vAlign w:val="center"/>
          </w:tcPr>
          <w:p w14:paraId="29507DAA"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FF1B57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平均值</w:t>
            </w:r>
            <w:r>
              <w:rPr>
                <w:rFonts w:ascii="Times New Roman" w:eastAsia="宋体" w:hAnsi="Times New Roman" w:cs="Times New Roman"/>
                <w:kern w:val="0"/>
                <w:szCs w:val="21"/>
              </w:rPr>
              <w:t>mg/L</w:t>
            </w:r>
          </w:p>
        </w:tc>
        <w:tc>
          <w:tcPr>
            <w:tcW w:w="658" w:type="pct"/>
            <w:vAlign w:val="center"/>
          </w:tcPr>
          <w:p w14:paraId="46CBF78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0.72</w:t>
            </w:r>
          </w:p>
        </w:tc>
        <w:tc>
          <w:tcPr>
            <w:tcW w:w="658" w:type="pct"/>
            <w:vAlign w:val="center"/>
          </w:tcPr>
          <w:p w14:paraId="19E44A6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0.02</w:t>
            </w:r>
          </w:p>
        </w:tc>
        <w:tc>
          <w:tcPr>
            <w:tcW w:w="658" w:type="pct"/>
            <w:vAlign w:val="center"/>
          </w:tcPr>
          <w:p w14:paraId="6606AF5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28</w:t>
            </w:r>
          </w:p>
        </w:tc>
        <w:tc>
          <w:tcPr>
            <w:tcW w:w="658" w:type="pct"/>
            <w:vAlign w:val="center"/>
          </w:tcPr>
          <w:p w14:paraId="2980EA8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0.23</w:t>
            </w:r>
          </w:p>
        </w:tc>
        <w:tc>
          <w:tcPr>
            <w:tcW w:w="658" w:type="pct"/>
            <w:vAlign w:val="center"/>
          </w:tcPr>
          <w:p w14:paraId="51B3168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0.69</w:t>
            </w:r>
          </w:p>
        </w:tc>
      </w:tr>
      <w:tr w:rsidR="002133E3" w14:paraId="3B01CE80" w14:textId="77777777">
        <w:trPr>
          <w:trHeight w:val="148"/>
          <w:jc w:val="center"/>
        </w:trPr>
        <w:tc>
          <w:tcPr>
            <w:tcW w:w="559" w:type="pct"/>
            <w:vMerge/>
            <w:vAlign w:val="center"/>
          </w:tcPr>
          <w:p w14:paraId="34A6B143"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79EB31D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Pi</w:t>
            </w:r>
          </w:p>
        </w:tc>
        <w:tc>
          <w:tcPr>
            <w:tcW w:w="658" w:type="pct"/>
            <w:vAlign w:val="center"/>
          </w:tcPr>
          <w:p w14:paraId="4EE4623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0.72</w:t>
            </w:r>
          </w:p>
        </w:tc>
        <w:tc>
          <w:tcPr>
            <w:tcW w:w="658" w:type="pct"/>
            <w:vAlign w:val="center"/>
          </w:tcPr>
          <w:p w14:paraId="2A98D91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0.4</w:t>
            </w:r>
          </w:p>
        </w:tc>
        <w:tc>
          <w:tcPr>
            <w:tcW w:w="658" w:type="pct"/>
            <w:vAlign w:val="center"/>
          </w:tcPr>
          <w:p w14:paraId="44CCD33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658" w:type="pct"/>
            <w:vAlign w:val="center"/>
          </w:tcPr>
          <w:p w14:paraId="00CEF37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1.15</w:t>
            </w:r>
          </w:p>
        </w:tc>
        <w:tc>
          <w:tcPr>
            <w:tcW w:w="658" w:type="pct"/>
            <w:vAlign w:val="center"/>
          </w:tcPr>
          <w:p w14:paraId="1E5EEEF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0.69</w:t>
            </w:r>
          </w:p>
        </w:tc>
      </w:tr>
      <w:tr w:rsidR="002133E3" w14:paraId="3CA819EC" w14:textId="77777777">
        <w:trPr>
          <w:trHeight w:val="84"/>
          <w:jc w:val="center"/>
        </w:trPr>
        <w:tc>
          <w:tcPr>
            <w:tcW w:w="559" w:type="pct"/>
            <w:vMerge/>
            <w:vAlign w:val="center"/>
          </w:tcPr>
          <w:p w14:paraId="4F5BCAE5"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F8392CE" w14:textId="77777777" w:rsidR="002133E3" w:rsidRDefault="00C22CFA">
            <w:pPr>
              <w:snapToGrid w:val="0"/>
              <w:jc w:val="center"/>
              <w:rPr>
                <w:rFonts w:ascii="Times New Roman" w:eastAsia="宋体" w:hAnsi="Times New Roman" w:cs="Times New Roman"/>
                <w:kern w:val="0"/>
                <w:szCs w:val="21"/>
              </w:rPr>
            </w:pPr>
            <w:r>
              <w:rPr>
                <w:rFonts w:ascii="宋体" w:eastAsia="宋体" w:hAnsi="宋体" w:cs="宋体" w:hint="eastAsia"/>
                <w:kern w:val="0"/>
                <w:szCs w:val="21"/>
              </w:rPr>
              <w:t>Ⅲ</w:t>
            </w:r>
            <w:r>
              <w:rPr>
                <w:rFonts w:ascii="Times New Roman" w:eastAsia="宋体" w:hAnsi="Times New Roman" w:cs="Times New Roman"/>
                <w:kern w:val="0"/>
                <w:szCs w:val="21"/>
              </w:rPr>
              <w:t>类</w:t>
            </w:r>
            <w:r>
              <w:rPr>
                <w:rFonts w:ascii="Times New Roman" w:eastAsia="宋体" w:hAnsi="Times New Roman" w:cs="Times New Roman"/>
                <w:kern w:val="0"/>
                <w:szCs w:val="21"/>
              </w:rPr>
              <w:t>mg/L</w:t>
            </w:r>
          </w:p>
        </w:tc>
        <w:tc>
          <w:tcPr>
            <w:tcW w:w="658" w:type="pct"/>
            <w:vAlign w:val="center"/>
          </w:tcPr>
          <w:p w14:paraId="45A3939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658" w:type="pct"/>
            <w:vAlign w:val="center"/>
          </w:tcPr>
          <w:p w14:paraId="2F6309B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658" w:type="pct"/>
            <w:vAlign w:val="center"/>
          </w:tcPr>
          <w:p w14:paraId="05795C6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658" w:type="pct"/>
            <w:vAlign w:val="center"/>
          </w:tcPr>
          <w:p w14:paraId="1BD971A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658" w:type="pct"/>
            <w:vAlign w:val="center"/>
          </w:tcPr>
          <w:p w14:paraId="7FE9853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r>
      <w:tr w:rsidR="002133E3" w14:paraId="5FEE2F7A" w14:textId="77777777">
        <w:trPr>
          <w:trHeight w:val="183"/>
          <w:jc w:val="center"/>
        </w:trPr>
        <w:tc>
          <w:tcPr>
            <w:tcW w:w="559" w:type="pct"/>
            <w:vAlign w:val="center"/>
          </w:tcPr>
          <w:p w14:paraId="17F73A4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监测时间</w:t>
            </w:r>
          </w:p>
        </w:tc>
        <w:tc>
          <w:tcPr>
            <w:tcW w:w="1151" w:type="pct"/>
            <w:vAlign w:val="center"/>
          </w:tcPr>
          <w:p w14:paraId="028414A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监测断面</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兴庄桥</w:t>
            </w:r>
          </w:p>
        </w:tc>
        <w:tc>
          <w:tcPr>
            <w:tcW w:w="658" w:type="pct"/>
            <w:vAlign w:val="center"/>
          </w:tcPr>
          <w:p w14:paraId="201845F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p>
        </w:tc>
        <w:tc>
          <w:tcPr>
            <w:tcW w:w="658" w:type="pct"/>
            <w:vAlign w:val="center"/>
          </w:tcPr>
          <w:p w14:paraId="5E4120F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石油类</w:t>
            </w:r>
          </w:p>
        </w:tc>
        <w:tc>
          <w:tcPr>
            <w:tcW w:w="658" w:type="pct"/>
            <w:vAlign w:val="center"/>
          </w:tcPr>
          <w:p w14:paraId="039BC8AE"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CODcr</w:t>
            </w:r>
            <w:proofErr w:type="spellEnd"/>
          </w:p>
        </w:tc>
        <w:tc>
          <w:tcPr>
            <w:tcW w:w="658" w:type="pct"/>
            <w:vAlign w:val="center"/>
          </w:tcPr>
          <w:p w14:paraId="0A6E803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p>
        </w:tc>
        <w:tc>
          <w:tcPr>
            <w:tcW w:w="658" w:type="pct"/>
            <w:vAlign w:val="center"/>
          </w:tcPr>
          <w:p w14:paraId="4C39C95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氟化物</w:t>
            </w:r>
          </w:p>
        </w:tc>
      </w:tr>
      <w:tr w:rsidR="002133E3" w14:paraId="5471FC55" w14:textId="77777777">
        <w:trPr>
          <w:trHeight w:val="70"/>
          <w:jc w:val="center"/>
        </w:trPr>
        <w:tc>
          <w:tcPr>
            <w:tcW w:w="559" w:type="pct"/>
            <w:vMerge w:val="restart"/>
            <w:vAlign w:val="center"/>
          </w:tcPr>
          <w:p w14:paraId="4FA0347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2015</w:t>
            </w:r>
          </w:p>
        </w:tc>
        <w:tc>
          <w:tcPr>
            <w:tcW w:w="1151" w:type="pct"/>
            <w:vAlign w:val="center"/>
          </w:tcPr>
          <w:p w14:paraId="500A58B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最大值</w:t>
            </w:r>
            <w:r>
              <w:rPr>
                <w:rFonts w:ascii="Times New Roman" w:eastAsia="宋体" w:hAnsi="Times New Roman" w:cs="Times New Roman"/>
                <w:kern w:val="0"/>
                <w:szCs w:val="21"/>
              </w:rPr>
              <w:t>mg/L</w:t>
            </w:r>
          </w:p>
        </w:tc>
        <w:tc>
          <w:tcPr>
            <w:tcW w:w="658" w:type="pct"/>
            <w:vAlign w:val="center"/>
          </w:tcPr>
          <w:p w14:paraId="37FAD60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2.4</w:t>
            </w:r>
          </w:p>
        </w:tc>
        <w:tc>
          <w:tcPr>
            <w:tcW w:w="658" w:type="pct"/>
            <w:vAlign w:val="center"/>
          </w:tcPr>
          <w:p w14:paraId="2CF27B9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0.02</w:t>
            </w:r>
          </w:p>
        </w:tc>
        <w:tc>
          <w:tcPr>
            <w:tcW w:w="658" w:type="pct"/>
            <w:vAlign w:val="center"/>
          </w:tcPr>
          <w:p w14:paraId="6D7BA1D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49</w:t>
            </w:r>
          </w:p>
        </w:tc>
        <w:tc>
          <w:tcPr>
            <w:tcW w:w="658" w:type="pct"/>
            <w:vAlign w:val="center"/>
          </w:tcPr>
          <w:p w14:paraId="3AFCEDC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0.37</w:t>
            </w:r>
          </w:p>
        </w:tc>
        <w:tc>
          <w:tcPr>
            <w:tcW w:w="658" w:type="pct"/>
            <w:vAlign w:val="center"/>
          </w:tcPr>
          <w:p w14:paraId="143BC7F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1.72</w:t>
            </w:r>
          </w:p>
        </w:tc>
      </w:tr>
      <w:tr w:rsidR="002133E3" w14:paraId="27639859" w14:textId="77777777">
        <w:trPr>
          <w:trHeight w:val="70"/>
          <w:jc w:val="center"/>
        </w:trPr>
        <w:tc>
          <w:tcPr>
            <w:tcW w:w="559" w:type="pct"/>
            <w:vMerge/>
            <w:vAlign w:val="center"/>
          </w:tcPr>
          <w:p w14:paraId="33EA20EC"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37FDC19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最小值</w:t>
            </w:r>
            <w:r>
              <w:rPr>
                <w:rFonts w:ascii="Times New Roman" w:eastAsia="宋体" w:hAnsi="Times New Roman" w:cs="Times New Roman"/>
                <w:kern w:val="0"/>
                <w:szCs w:val="21"/>
              </w:rPr>
              <w:t>mg/L</w:t>
            </w:r>
          </w:p>
        </w:tc>
        <w:tc>
          <w:tcPr>
            <w:tcW w:w="658" w:type="pct"/>
            <w:vAlign w:val="center"/>
          </w:tcPr>
          <w:p w14:paraId="1CF9B9F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0.4</w:t>
            </w:r>
          </w:p>
        </w:tc>
        <w:tc>
          <w:tcPr>
            <w:tcW w:w="658" w:type="pct"/>
            <w:vAlign w:val="center"/>
          </w:tcPr>
          <w:p w14:paraId="3360245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0.01</w:t>
            </w:r>
          </w:p>
        </w:tc>
        <w:tc>
          <w:tcPr>
            <w:tcW w:w="658" w:type="pct"/>
            <w:vAlign w:val="center"/>
          </w:tcPr>
          <w:p w14:paraId="0A5E7E1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19</w:t>
            </w:r>
          </w:p>
        </w:tc>
        <w:tc>
          <w:tcPr>
            <w:tcW w:w="658" w:type="pct"/>
            <w:vAlign w:val="center"/>
          </w:tcPr>
          <w:p w14:paraId="6616F39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0.17</w:t>
            </w:r>
          </w:p>
        </w:tc>
        <w:tc>
          <w:tcPr>
            <w:tcW w:w="658" w:type="pct"/>
            <w:vAlign w:val="center"/>
          </w:tcPr>
          <w:p w14:paraId="198BE88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0.38</w:t>
            </w:r>
          </w:p>
        </w:tc>
      </w:tr>
      <w:tr w:rsidR="002133E3" w14:paraId="5989C0BE" w14:textId="77777777">
        <w:trPr>
          <w:trHeight w:val="229"/>
          <w:jc w:val="center"/>
        </w:trPr>
        <w:tc>
          <w:tcPr>
            <w:tcW w:w="559" w:type="pct"/>
            <w:vMerge/>
            <w:vAlign w:val="center"/>
          </w:tcPr>
          <w:p w14:paraId="32D84EFF"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2F5B5D1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平均值</w:t>
            </w:r>
            <w:r>
              <w:rPr>
                <w:rFonts w:ascii="Times New Roman" w:eastAsia="宋体" w:hAnsi="Times New Roman" w:cs="Times New Roman"/>
                <w:kern w:val="0"/>
                <w:szCs w:val="21"/>
              </w:rPr>
              <w:t>mg/L</w:t>
            </w:r>
          </w:p>
        </w:tc>
        <w:tc>
          <w:tcPr>
            <w:tcW w:w="658" w:type="pct"/>
            <w:vAlign w:val="center"/>
          </w:tcPr>
          <w:p w14:paraId="5F0FD82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0.97</w:t>
            </w:r>
          </w:p>
        </w:tc>
        <w:tc>
          <w:tcPr>
            <w:tcW w:w="658" w:type="pct"/>
            <w:vAlign w:val="center"/>
          </w:tcPr>
          <w:p w14:paraId="7DE4605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0.015</w:t>
            </w:r>
          </w:p>
        </w:tc>
        <w:tc>
          <w:tcPr>
            <w:tcW w:w="658" w:type="pct"/>
            <w:vAlign w:val="center"/>
          </w:tcPr>
          <w:p w14:paraId="3D5062A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34</w:t>
            </w:r>
          </w:p>
        </w:tc>
        <w:tc>
          <w:tcPr>
            <w:tcW w:w="658" w:type="pct"/>
            <w:vAlign w:val="center"/>
          </w:tcPr>
          <w:p w14:paraId="4FE4E54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0.24</w:t>
            </w:r>
          </w:p>
        </w:tc>
        <w:tc>
          <w:tcPr>
            <w:tcW w:w="658" w:type="pct"/>
            <w:vAlign w:val="center"/>
          </w:tcPr>
          <w:p w14:paraId="1B3BA08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0.78</w:t>
            </w:r>
          </w:p>
        </w:tc>
      </w:tr>
      <w:tr w:rsidR="002133E3" w14:paraId="18AF5BED" w14:textId="77777777">
        <w:trPr>
          <w:trHeight w:val="70"/>
          <w:jc w:val="center"/>
        </w:trPr>
        <w:tc>
          <w:tcPr>
            <w:tcW w:w="559" w:type="pct"/>
            <w:vMerge/>
            <w:vAlign w:val="center"/>
          </w:tcPr>
          <w:p w14:paraId="14B41C3B"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5CABC9C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Pi</w:t>
            </w:r>
          </w:p>
        </w:tc>
        <w:tc>
          <w:tcPr>
            <w:tcW w:w="658" w:type="pct"/>
            <w:vAlign w:val="center"/>
          </w:tcPr>
          <w:p w14:paraId="456939B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0.97</w:t>
            </w:r>
          </w:p>
        </w:tc>
        <w:tc>
          <w:tcPr>
            <w:tcW w:w="658" w:type="pct"/>
            <w:vAlign w:val="center"/>
          </w:tcPr>
          <w:p w14:paraId="70D86B4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w:t>
            </w:r>
          </w:p>
        </w:tc>
        <w:tc>
          <w:tcPr>
            <w:tcW w:w="658" w:type="pct"/>
            <w:vAlign w:val="center"/>
          </w:tcPr>
          <w:p w14:paraId="3997C94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w:t>
            </w:r>
          </w:p>
        </w:tc>
        <w:tc>
          <w:tcPr>
            <w:tcW w:w="658" w:type="pct"/>
            <w:vAlign w:val="center"/>
          </w:tcPr>
          <w:p w14:paraId="0F1062E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658" w:type="pct"/>
            <w:vAlign w:val="center"/>
          </w:tcPr>
          <w:p w14:paraId="02AF432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0.78</w:t>
            </w:r>
          </w:p>
        </w:tc>
      </w:tr>
      <w:tr w:rsidR="002133E3" w14:paraId="1FACFD1E" w14:textId="77777777">
        <w:trPr>
          <w:trHeight w:val="167"/>
          <w:jc w:val="center"/>
        </w:trPr>
        <w:tc>
          <w:tcPr>
            <w:tcW w:w="559" w:type="pct"/>
            <w:vMerge/>
            <w:vAlign w:val="center"/>
          </w:tcPr>
          <w:p w14:paraId="1A664E25"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61D0B103" w14:textId="77777777" w:rsidR="002133E3" w:rsidRDefault="00C22CFA">
            <w:pPr>
              <w:snapToGrid w:val="0"/>
              <w:jc w:val="center"/>
              <w:rPr>
                <w:rFonts w:ascii="Times New Roman" w:eastAsia="宋体" w:hAnsi="Times New Roman" w:cs="Times New Roman"/>
                <w:kern w:val="0"/>
                <w:szCs w:val="21"/>
              </w:rPr>
            </w:pPr>
            <w:r>
              <w:rPr>
                <w:rFonts w:ascii="宋体" w:eastAsia="宋体" w:hAnsi="宋体" w:cs="宋体" w:hint="eastAsia"/>
                <w:kern w:val="0"/>
                <w:szCs w:val="21"/>
              </w:rPr>
              <w:t>Ⅲ</w:t>
            </w:r>
            <w:r>
              <w:rPr>
                <w:rFonts w:ascii="Times New Roman" w:eastAsia="宋体" w:hAnsi="Times New Roman" w:cs="Times New Roman"/>
                <w:kern w:val="0"/>
                <w:szCs w:val="21"/>
              </w:rPr>
              <w:t>类</w:t>
            </w:r>
            <w:r>
              <w:rPr>
                <w:rFonts w:ascii="Times New Roman" w:eastAsia="宋体" w:hAnsi="Times New Roman" w:cs="Times New Roman"/>
                <w:kern w:val="0"/>
                <w:szCs w:val="21"/>
              </w:rPr>
              <w:t>mg/L</w:t>
            </w:r>
          </w:p>
        </w:tc>
        <w:tc>
          <w:tcPr>
            <w:tcW w:w="658" w:type="pct"/>
            <w:vAlign w:val="center"/>
          </w:tcPr>
          <w:p w14:paraId="1E23BC8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658" w:type="pct"/>
            <w:vAlign w:val="center"/>
          </w:tcPr>
          <w:p w14:paraId="5C05156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658" w:type="pct"/>
            <w:vAlign w:val="center"/>
          </w:tcPr>
          <w:p w14:paraId="4A12383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658" w:type="pct"/>
            <w:vAlign w:val="center"/>
          </w:tcPr>
          <w:p w14:paraId="3803EAE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658" w:type="pct"/>
            <w:vAlign w:val="center"/>
          </w:tcPr>
          <w:p w14:paraId="0958687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r>
      <w:tr w:rsidR="002133E3" w14:paraId="326CBB10" w14:textId="77777777">
        <w:trPr>
          <w:trHeight w:val="397"/>
          <w:jc w:val="center"/>
        </w:trPr>
        <w:tc>
          <w:tcPr>
            <w:tcW w:w="559" w:type="pct"/>
            <w:vAlign w:val="center"/>
          </w:tcPr>
          <w:p w14:paraId="4A7737D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监测时间</w:t>
            </w:r>
          </w:p>
        </w:tc>
        <w:tc>
          <w:tcPr>
            <w:tcW w:w="1151" w:type="pct"/>
            <w:vAlign w:val="center"/>
          </w:tcPr>
          <w:p w14:paraId="5AA6526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监测断面</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兴庄河闸上</w:t>
            </w:r>
          </w:p>
        </w:tc>
        <w:tc>
          <w:tcPr>
            <w:tcW w:w="658" w:type="pct"/>
            <w:vAlign w:val="center"/>
          </w:tcPr>
          <w:p w14:paraId="39B419B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p>
        </w:tc>
        <w:tc>
          <w:tcPr>
            <w:tcW w:w="658" w:type="pct"/>
            <w:vAlign w:val="center"/>
          </w:tcPr>
          <w:p w14:paraId="4D4AD18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石油类</w:t>
            </w:r>
          </w:p>
        </w:tc>
        <w:tc>
          <w:tcPr>
            <w:tcW w:w="658" w:type="pct"/>
            <w:vAlign w:val="center"/>
          </w:tcPr>
          <w:p w14:paraId="4A54F84A"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CODcr</w:t>
            </w:r>
            <w:proofErr w:type="spellEnd"/>
          </w:p>
        </w:tc>
        <w:tc>
          <w:tcPr>
            <w:tcW w:w="658" w:type="pct"/>
            <w:vAlign w:val="center"/>
          </w:tcPr>
          <w:p w14:paraId="38C61D5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p>
        </w:tc>
        <w:tc>
          <w:tcPr>
            <w:tcW w:w="658" w:type="pct"/>
            <w:vAlign w:val="center"/>
          </w:tcPr>
          <w:p w14:paraId="235FEF5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氟化物</w:t>
            </w:r>
          </w:p>
        </w:tc>
      </w:tr>
      <w:tr w:rsidR="002133E3" w14:paraId="29251668" w14:textId="77777777">
        <w:trPr>
          <w:trHeight w:val="70"/>
          <w:jc w:val="center"/>
        </w:trPr>
        <w:tc>
          <w:tcPr>
            <w:tcW w:w="559" w:type="pct"/>
            <w:vMerge w:val="restart"/>
            <w:vAlign w:val="center"/>
          </w:tcPr>
          <w:p w14:paraId="105116F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2016</w:t>
            </w:r>
          </w:p>
        </w:tc>
        <w:tc>
          <w:tcPr>
            <w:tcW w:w="1151" w:type="pct"/>
            <w:vAlign w:val="center"/>
          </w:tcPr>
          <w:p w14:paraId="11EB373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最大值</w:t>
            </w:r>
            <w:r>
              <w:rPr>
                <w:rFonts w:ascii="Times New Roman" w:eastAsia="宋体" w:hAnsi="Times New Roman" w:cs="Times New Roman"/>
                <w:kern w:val="0"/>
                <w:szCs w:val="21"/>
              </w:rPr>
              <w:t>mg/L</w:t>
            </w:r>
          </w:p>
        </w:tc>
        <w:tc>
          <w:tcPr>
            <w:tcW w:w="658" w:type="pct"/>
            <w:vAlign w:val="center"/>
          </w:tcPr>
          <w:p w14:paraId="07B1C3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2.464</w:t>
            </w:r>
          </w:p>
        </w:tc>
        <w:tc>
          <w:tcPr>
            <w:tcW w:w="658" w:type="pct"/>
            <w:vAlign w:val="center"/>
          </w:tcPr>
          <w:p w14:paraId="49A79CC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658" w:type="pct"/>
            <w:vAlign w:val="center"/>
          </w:tcPr>
          <w:p w14:paraId="3E36BD6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24</w:t>
            </w:r>
          </w:p>
        </w:tc>
        <w:tc>
          <w:tcPr>
            <w:tcW w:w="658" w:type="pct"/>
            <w:vAlign w:val="center"/>
          </w:tcPr>
          <w:p w14:paraId="550E332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0.46</w:t>
            </w:r>
          </w:p>
        </w:tc>
        <w:tc>
          <w:tcPr>
            <w:tcW w:w="658" w:type="pct"/>
            <w:vAlign w:val="center"/>
          </w:tcPr>
          <w:p w14:paraId="1CCE15C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66296B36" w14:textId="77777777">
        <w:trPr>
          <w:trHeight w:val="149"/>
          <w:jc w:val="center"/>
        </w:trPr>
        <w:tc>
          <w:tcPr>
            <w:tcW w:w="559" w:type="pct"/>
            <w:vMerge/>
            <w:vAlign w:val="center"/>
          </w:tcPr>
          <w:p w14:paraId="0ED95B57"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4391DDF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最小值</w:t>
            </w:r>
            <w:r>
              <w:rPr>
                <w:rFonts w:ascii="Times New Roman" w:eastAsia="宋体" w:hAnsi="Times New Roman" w:cs="Times New Roman"/>
                <w:kern w:val="0"/>
                <w:szCs w:val="21"/>
              </w:rPr>
              <w:t>mg/L</w:t>
            </w:r>
          </w:p>
        </w:tc>
        <w:tc>
          <w:tcPr>
            <w:tcW w:w="658" w:type="pct"/>
            <w:vAlign w:val="center"/>
          </w:tcPr>
          <w:p w14:paraId="4DFE146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1.922</w:t>
            </w:r>
          </w:p>
        </w:tc>
        <w:tc>
          <w:tcPr>
            <w:tcW w:w="658" w:type="pct"/>
            <w:vAlign w:val="center"/>
          </w:tcPr>
          <w:p w14:paraId="2761263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658" w:type="pct"/>
            <w:vAlign w:val="center"/>
          </w:tcPr>
          <w:p w14:paraId="5504807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658" w:type="pct"/>
            <w:vAlign w:val="center"/>
          </w:tcPr>
          <w:p w14:paraId="28C1700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0.44</w:t>
            </w:r>
          </w:p>
        </w:tc>
        <w:tc>
          <w:tcPr>
            <w:tcW w:w="658" w:type="pct"/>
            <w:vAlign w:val="center"/>
          </w:tcPr>
          <w:p w14:paraId="1FF3C71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0729DF4A" w14:textId="77777777">
        <w:trPr>
          <w:trHeight w:val="70"/>
          <w:jc w:val="center"/>
        </w:trPr>
        <w:tc>
          <w:tcPr>
            <w:tcW w:w="559" w:type="pct"/>
            <w:vMerge/>
            <w:vAlign w:val="center"/>
          </w:tcPr>
          <w:p w14:paraId="5E02D6C0"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2DF55F5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平均值</w:t>
            </w:r>
            <w:r>
              <w:rPr>
                <w:rFonts w:ascii="Times New Roman" w:eastAsia="宋体" w:hAnsi="Times New Roman" w:cs="Times New Roman"/>
                <w:kern w:val="0"/>
                <w:szCs w:val="21"/>
              </w:rPr>
              <w:t>mg/L</w:t>
            </w:r>
          </w:p>
        </w:tc>
        <w:tc>
          <w:tcPr>
            <w:tcW w:w="658" w:type="pct"/>
            <w:vAlign w:val="center"/>
          </w:tcPr>
          <w:p w14:paraId="3956588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2.181</w:t>
            </w:r>
          </w:p>
        </w:tc>
        <w:tc>
          <w:tcPr>
            <w:tcW w:w="658" w:type="pct"/>
            <w:vAlign w:val="center"/>
          </w:tcPr>
          <w:p w14:paraId="409006E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658" w:type="pct"/>
            <w:vAlign w:val="center"/>
          </w:tcPr>
          <w:p w14:paraId="70663C3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23</w:t>
            </w:r>
          </w:p>
        </w:tc>
        <w:tc>
          <w:tcPr>
            <w:tcW w:w="658" w:type="pct"/>
            <w:vAlign w:val="center"/>
          </w:tcPr>
          <w:p w14:paraId="1D20D17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0.45</w:t>
            </w:r>
          </w:p>
        </w:tc>
        <w:tc>
          <w:tcPr>
            <w:tcW w:w="658" w:type="pct"/>
            <w:vAlign w:val="center"/>
          </w:tcPr>
          <w:p w14:paraId="0F1080C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2DA47C6B" w14:textId="77777777">
        <w:trPr>
          <w:trHeight w:val="70"/>
          <w:jc w:val="center"/>
        </w:trPr>
        <w:tc>
          <w:tcPr>
            <w:tcW w:w="559" w:type="pct"/>
            <w:vMerge/>
            <w:vAlign w:val="center"/>
          </w:tcPr>
          <w:p w14:paraId="6C67D0CE"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65C24E2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Pi</w:t>
            </w:r>
          </w:p>
        </w:tc>
        <w:tc>
          <w:tcPr>
            <w:tcW w:w="658" w:type="pct"/>
            <w:vAlign w:val="center"/>
          </w:tcPr>
          <w:p w14:paraId="6A3CBD1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2.181</w:t>
            </w:r>
          </w:p>
        </w:tc>
        <w:tc>
          <w:tcPr>
            <w:tcW w:w="658" w:type="pct"/>
            <w:vAlign w:val="center"/>
          </w:tcPr>
          <w:p w14:paraId="372E87B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658" w:type="pct"/>
            <w:vAlign w:val="center"/>
          </w:tcPr>
          <w:p w14:paraId="0F19ADC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1.15</w:t>
            </w:r>
          </w:p>
        </w:tc>
        <w:tc>
          <w:tcPr>
            <w:tcW w:w="658" w:type="pct"/>
            <w:vAlign w:val="center"/>
          </w:tcPr>
          <w:p w14:paraId="672CA8D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2.25</w:t>
            </w:r>
          </w:p>
        </w:tc>
        <w:tc>
          <w:tcPr>
            <w:tcW w:w="658" w:type="pct"/>
            <w:vAlign w:val="center"/>
          </w:tcPr>
          <w:p w14:paraId="37575D5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552203B6" w14:textId="77777777">
        <w:trPr>
          <w:trHeight w:val="397"/>
          <w:jc w:val="center"/>
        </w:trPr>
        <w:tc>
          <w:tcPr>
            <w:tcW w:w="559" w:type="pct"/>
            <w:vMerge/>
            <w:vAlign w:val="center"/>
          </w:tcPr>
          <w:p w14:paraId="1A45D5FD"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42EF878" w14:textId="77777777" w:rsidR="002133E3" w:rsidRDefault="00C22CFA">
            <w:pPr>
              <w:snapToGrid w:val="0"/>
              <w:jc w:val="center"/>
              <w:rPr>
                <w:rFonts w:ascii="Times New Roman" w:eastAsia="宋体" w:hAnsi="Times New Roman" w:cs="Times New Roman"/>
                <w:kern w:val="0"/>
                <w:szCs w:val="21"/>
              </w:rPr>
            </w:pPr>
            <w:r>
              <w:rPr>
                <w:rFonts w:ascii="宋体" w:eastAsia="宋体" w:hAnsi="宋体" w:cs="宋体" w:hint="eastAsia"/>
                <w:kern w:val="0"/>
                <w:szCs w:val="21"/>
              </w:rPr>
              <w:t>Ⅲ</w:t>
            </w:r>
            <w:r>
              <w:rPr>
                <w:rFonts w:ascii="Times New Roman" w:eastAsia="宋体" w:hAnsi="Times New Roman" w:cs="Times New Roman"/>
                <w:kern w:val="0"/>
                <w:szCs w:val="21"/>
              </w:rPr>
              <w:t>类</w:t>
            </w:r>
            <w:r>
              <w:rPr>
                <w:rFonts w:ascii="Times New Roman" w:eastAsia="宋体" w:hAnsi="Times New Roman" w:cs="Times New Roman"/>
                <w:kern w:val="0"/>
                <w:szCs w:val="21"/>
              </w:rPr>
              <w:t>mg/L</w:t>
            </w:r>
          </w:p>
        </w:tc>
        <w:tc>
          <w:tcPr>
            <w:tcW w:w="658" w:type="pct"/>
            <w:vAlign w:val="center"/>
          </w:tcPr>
          <w:p w14:paraId="18FED7D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658" w:type="pct"/>
            <w:vAlign w:val="center"/>
          </w:tcPr>
          <w:p w14:paraId="03ABB23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658" w:type="pct"/>
            <w:vAlign w:val="center"/>
          </w:tcPr>
          <w:p w14:paraId="6CE1CB8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658" w:type="pct"/>
            <w:vAlign w:val="center"/>
          </w:tcPr>
          <w:p w14:paraId="2D495C5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658" w:type="pct"/>
            <w:vAlign w:val="center"/>
          </w:tcPr>
          <w:p w14:paraId="7269850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r>
      <w:tr w:rsidR="002133E3" w14:paraId="27B4EF7A" w14:textId="77777777">
        <w:trPr>
          <w:trHeight w:val="97"/>
          <w:jc w:val="center"/>
        </w:trPr>
        <w:tc>
          <w:tcPr>
            <w:tcW w:w="559" w:type="pct"/>
            <w:vAlign w:val="center"/>
          </w:tcPr>
          <w:p w14:paraId="14F53BC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监测时间</w:t>
            </w:r>
          </w:p>
        </w:tc>
        <w:tc>
          <w:tcPr>
            <w:tcW w:w="1151" w:type="pct"/>
            <w:vAlign w:val="center"/>
          </w:tcPr>
          <w:p w14:paraId="1F021E6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监测断面兴庄桥</w:t>
            </w:r>
          </w:p>
        </w:tc>
        <w:tc>
          <w:tcPr>
            <w:tcW w:w="658" w:type="pct"/>
            <w:vAlign w:val="center"/>
          </w:tcPr>
          <w:p w14:paraId="2F550D3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p>
        </w:tc>
        <w:tc>
          <w:tcPr>
            <w:tcW w:w="658" w:type="pct"/>
            <w:vAlign w:val="center"/>
          </w:tcPr>
          <w:p w14:paraId="6CE9C35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石油类</w:t>
            </w:r>
          </w:p>
        </w:tc>
        <w:tc>
          <w:tcPr>
            <w:tcW w:w="658" w:type="pct"/>
            <w:vAlign w:val="center"/>
          </w:tcPr>
          <w:p w14:paraId="5EF89755"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CODcr</w:t>
            </w:r>
            <w:proofErr w:type="spellEnd"/>
          </w:p>
        </w:tc>
        <w:tc>
          <w:tcPr>
            <w:tcW w:w="658" w:type="pct"/>
            <w:vAlign w:val="center"/>
          </w:tcPr>
          <w:p w14:paraId="01D27BE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p>
        </w:tc>
        <w:tc>
          <w:tcPr>
            <w:tcW w:w="658" w:type="pct"/>
            <w:vAlign w:val="center"/>
          </w:tcPr>
          <w:p w14:paraId="02E85FE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氟化物</w:t>
            </w:r>
          </w:p>
        </w:tc>
      </w:tr>
      <w:tr w:rsidR="002133E3" w14:paraId="0E7460B3" w14:textId="77777777">
        <w:trPr>
          <w:trHeight w:val="117"/>
          <w:jc w:val="center"/>
        </w:trPr>
        <w:tc>
          <w:tcPr>
            <w:tcW w:w="559" w:type="pct"/>
            <w:vMerge w:val="restart"/>
            <w:vAlign w:val="center"/>
          </w:tcPr>
          <w:p w14:paraId="6353E6C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2017</w:t>
            </w:r>
          </w:p>
        </w:tc>
        <w:tc>
          <w:tcPr>
            <w:tcW w:w="1151" w:type="pct"/>
            <w:vAlign w:val="center"/>
          </w:tcPr>
          <w:p w14:paraId="24C8E26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最大值</w:t>
            </w:r>
            <w:r>
              <w:rPr>
                <w:rFonts w:ascii="Times New Roman" w:eastAsia="宋体" w:hAnsi="Times New Roman" w:cs="Times New Roman"/>
                <w:kern w:val="0"/>
                <w:szCs w:val="21"/>
              </w:rPr>
              <w:t>mg/L</w:t>
            </w:r>
          </w:p>
        </w:tc>
        <w:tc>
          <w:tcPr>
            <w:tcW w:w="658" w:type="pct"/>
            <w:vAlign w:val="center"/>
          </w:tcPr>
          <w:p w14:paraId="49A1F37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6.62</w:t>
            </w:r>
          </w:p>
        </w:tc>
        <w:tc>
          <w:tcPr>
            <w:tcW w:w="658" w:type="pct"/>
            <w:vAlign w:val="center"/>
          </w:tcPr>
          <w:p w14:paraId="6505ED9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0.06</w:t>
            </w:r>
          </w:p>
        </w:tc>
        <w:tc>
          <w:tcPr>
            <w:tcW w:w="658" w:type="pct"/>
            <w:vAlign w:val="center"/>
          </w:tcPr>
          <w:p w14:paraId="2F7910D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29</w:t>
            </w:r>
          </w:p>
        </w:tc>
        <w:tc>
          <w:tcPr>
            <w:tcW w:w="658" w:type="pct"/>
            <w:vAlign w:val="center"/>
          </w:tcPr>
          <w:p w14:paraId="52874D5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0.58</w:t>
            </w:r>
          </w:p>
        </w:tc>
        <w:tc>
          <w:tcPr>
            <w:tcW w:w="658" w:type="pct"/>
            <w:vAlign w:val="center"/>
          </w:tcPr>
          <w:p w14:paraId="2BAFB30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0.935</w:t>
            </w:r>
          </w:p>
        </w:tc>
      </w:tr>
      <w:tr w:rsidR="002133E3" w14:paraId="1F0FA3CF" w14:textId="77777777">
        <w:trPr>
          <w:trHeight w:val="117"/>
          <w:jc w:val="center"/>
        </w:trPr>
        <w:tc>
          <w:tcPr>
            <w:tcW w:w="559" w:type="pct"/>
            <w:vMerge/>
            <w:vAlign w:val="center"/>
          </w:tcPr>
          <w:p w14:paraId="21AE733E"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3C87DE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最小值</w:t>
            </w:r>
            <w:r>
              <w:rPr>
                <w:rFonts w:ascii="Times New Roman" w:eastAsia="宋体" w:hAnsi="Times New Roman" w:cs="Times New Roman"/>
                <w:kern w:val="0"/>
                <w:szCs w:val="21"/>
              </w:rPr>
              <w:t>mg/L</w:t>
            </w:r>
          </w:p>
        </w:tc>
        <w:tc>
          <w:tcPr>
            <w:tcW w:w="658" w:type="pct"/>
            <w:vAlign w:val="center"/>
          </w:tcPr>
          <w:p w14:paraId="4371969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0.23</w:t>
            </w:r>
          </w:p>
        </w:tc>
        <w:tc>
          <w:tcPr>
            <w:tcW w:w="658" w:type="pct"/>
            <w:vAlign w:val="center"/>
          </w:tcPr>
          <w:p w14:paraId="77AA469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0.02</w:t>
            </w:r>
          </w:p>
        </w:tc>
        <w:tc>
          <w:tcPr>
            <w:tcW w:w="658" w:type="pct"/>
            <w:vAlign w:val="center"/>
          </w:tcPr>
          <w:p w14:paraId="5A62E9B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658" w:type="pct"/>
            <w:vAlign w:val="center"/>
          </w:tcPr>
          <w:p w14:paraId="1FAE049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0.08</w:t>
            </w:r>
          </w:p>
        </w:tc>
        <w:tc>
          <w:tcPr>
            <w:tcW w:w="658" w:type="pct"/>
            <w:vAlign w:val="center"/>
          </w:tcPr>
          <w:p w14:paraId="71F354F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0.531</w:t>
            </w:r>
          </w:p>
        </w:tc>
      </w:tr>
      <w:tr w:rsidR="002133E3" w14:paraId="76A58372" w14:textId="77777777">
        <w:trPr>
          <w:trHeight w:val="117"/>
          <w:jc w:val="center"/>
        </w:trPr>
        <w:tc>
          <w:tcPr>
            <w:tcW w:w="559" w:type="pct"/>
            <w:vMerge/>
            <w:vAlign w:val="center"/>
          </w:tcPr>
          <w:p w14:paraId="360BFD76"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50779B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平均值</w:t>
            </w:r>
            <w:r>
              <w:rPr>
                <w:rFonts w:ascii="Times New Roman" w:eastAsia="宋体" w:hAnsi="Times New Roman" w:cs="Times New Roman"/>
                <w:kern w:val="0"/>
                <w:szCs w:val="21"/>
              </w:rPr>
              <w:t>mg/L</w:t>
            </w:r>
          </w:p>
        </w:tc>
        <w:tc>
          <w:tcPr>
            <w:tcW w:w="658" w:type="pct"/>
            <w:vAlign w:val="center"/>
          </w:tcPr>
          <w:p w14:paraId="0AD5909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1.44</w:t>
            </w:r>
          </w:p>
        </w:tc>
        <w:tc>
          <w:tcPr>
            <w:tcW w:w="658" w:type="pct"/>
            <w:vAlign w:val="center"/>
          </w:tcPr>
          <w:p w14:paraId="3E18B74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0.04</w:t>
            </w:r>
          </w:p>
        </w:tc>
        <w:tc>
          <w:tcPr>
            <w:tcW w:w="658" w:type="pct"/>
            <w:vAlign w:val="center"/>
          </w:tcPr>
          <w:p w14:paraId="553C61D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23.0</w:t>
            </w:r>
          </w:p>
        </w:tc>
        <w:tc>
          <w:tcPr>
            <w:tcW w:w="658" w:type="pct"/>
            <w:vAlign w:val="center"/>
          </w:tcPr>
          <w:p w14:paraId="0881FAF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0.30</w:t>
            </w:r>
          </w:p>
        </w:tc>
        <w:tc>
          <w:tcPr>
            <w:tcW w:w="658" w:type="pct"/>
            <w:vAlign w:val="center"/>
          </w:tcPr>
          <w:p w14:paraId="7D851C8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0.662</w:t>
            </w:r>
          </w:p>
        </w:tc>
      </w:tr>
      <w:tr w:rsidR="002133E3" w14:paraId="37C10D1F" w14:textId="77777777">
        <w:trPr>
          <w:trHeight w:val="117"/>
          <w:jc w:val="center"/>
        </w:trPr>
        <w:tc>
          <w:tcPr>
            <w:tcW w:w="559" w:type="pct"/>
            <w:vMerge/>
            <w:vAlign w:val="center"/>
          </w:tcPr>
          <w:p w14:paraId="46B0A307"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16B0BB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Pi</w:t>
            </w:r>
          </w:p>
        </w:tc>
        <w:tc>
          <w:tcPr>
            <w:tcW w:w="658" w:type="pct"/>
            <w:vAlign w:val="center"/>
          </w:tcPr>
          <w:p w14:paraId="02ACA8C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1.44</w:t>
            </w:r>
          </w:p>
        </w:tc>
        <w:tc>
          <w:tcPr>
            <w:tcW w:w="658" w:type="pct"/>
            <w:vAlign w:val="center"/>
          </w:tcPr>
          <w:p w14:paraId="34D45AA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0.8</w:t>
            </w:r>
          </w:p>
        </w:tc>
        <w:tc>
          <w:tcPr>
            <w:tcW w:w="658" w:type="pct"/>
            <w:vAlign w:val="center"/>
          </w:tcPr>
          <w:p w14:paraId="51A57A2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1.15</w:t>
            </w:r>
          </w:p>
        </w:tc>
        <w:tc>
          <w:tcPr>
            <w:tcW w:w="658" w:type="pct"/>
            <w:vAlign w:val="center"/>
          </w:tcPr>
          <w:p w14:paraId="544C53C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658" w:type="pct"/>
            <w:vAlign w:val="center"/>
          </w:tcPr>
          <w:p w14:paraId="0F3678B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0.662</w:t>
            </w:r>
          </w:p>
        </w:tc>
      </w:tr>
      <w:tr w:rsidR="002133E3" w14:paraId="0777448E" w14:textId="77777777">
        <w:trPr>
          <w:trHeight w:val="117"/>
          <w:jc w:val="center"/>
        </w:trPr>
        <w:tc>
          <w:tcPr>
            <w:tcW w:w="559" w:type="pct"/>
            <w:vMerge/>
            <w:vAlign w:val="center"/>
          </w:tcPr>
          <w:p w14:paraId="04212A8B"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769C687" w14:textId="77777777" w:rsidR="002133E3" w:rsidRDefault="00C22CFA">
            <w:pPr>
              <w:snapToGrid w:val="0"/>
              <w:jc w:val="center"/>
              <w:rPr>
                <w:rFonts w:ascii="Times New Roman" w:eastAsia="宋体" w:hAnsi="Times New Roman" w:cs="Times New Roman"/>
                <w:kern w:val="0"/>
                <w:szCs w:val="21"/>
              </w:rPr>
            </w:pPr>
            <w:r>
              <w:rPr>
                <w:rFonts w:ascii="宋体" w:eastAsia="宋体" w:hAnsi="宋体" w:cs="宋体" w:hint="eastAsia"/>
                <w:kern w:val="0"/>
                <w:szCs w:val="21"/>
              </w:rPr>
              <w:t>Ⅲ</w:t>
            </w:r>
            <w:r>
              <w:rPr>
                <w:rFonts w:ascii="Times New Roman" w:eastAsia="宋体" w:hAnsi="Times New Roman" w:cs="Times New Roman"/>
                <w:kern w:val="0"/>
                <w:szCs w:val="21"/>
              </w:rPr>
              <w:t>类</w:t>
            </w:r>
            <w:r>
              <w:rPr>
                <w:rFonts w:ascii="Times New Roman" w:eastAsia="宋体" w:hAnsi="Times New Roman" w:cs="Times New Roman"/>
                <w:kern w:val="0"/>
                <w:szCs w:val="21"/>
              </w:rPr>
              <w:t>mg/L</w:t>
            </w:r>
          </w:p>
        </w:tc>
        <w:tc>
          <w:tcPr>
            <w:tcW w:w="658" w:type="pct"/>
            <w:vAlign w:val="center"/>
          </w:tcPr>
          <w:p w14:paraId="7FF1ED1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658" w:type="pct"/>
            <w:vAlign w:val="center"/>
          </w:tcPr>
          <w:p w14:paraId="7F20EF6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658" w:type="pct"/>
            <w:vAlign w:val="center"/>
          </w:tcPr>
          <w:p w14:paraId="2D8D4C3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658" w:type="pct"/>
            <w:vAlign w:val="center"/>
          </w:tcPr>
          <w:p w14:paraId="20B18EF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658" w:type="pct"/>
            <w:vAlign w:val="center"/>
          </w:tcPr>
          <w:p w14:paraId="56C6109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r>
      <w:tr w:rsidR="002133E3" w14:paraId="7F3752F2" w14:textId="77777777">
        <w:trPr>
          <w:trHeight w:val="117"/>
          <w:jc w:val="center"/>
        </w:trPr>
        <w:tc>
          <w:tcPr>
            <w:tcW w:w="559" w:type="pct"/>
            <w:vAlign w:val="center"/>
          </w:tcPr>
          <w:p w14:paraId="058DAAF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监测时间</w:t>
            </w:r>
          </w:p>
        </w:tc>
        <w:tc>
          <w:tcPr>
            <w:tcW w:w="1151" w:type="pct"/>
            <w:vAlign w:val="center"/>
          </w:tcPr>
          <w:p w14:paraId="26E3B19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监测断面兴庄河闸上</w:t>
            </w:r>
          </w:p>
        </w:tc>
        <w:tc>
          <w:tcPr>
            <w:tcW w:w="658" w:type="pct"/>
            <w:vAlign w:val="center"/>
          </w:tcPr>
          <w:p w14:paraId="0821107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氨氮</w:t>
            </w:r>
          </w:p>
        </w:tc>
        <w:tc>
          <w:tcPr>
            <w:tcW w:w="658" w:type="pct"/>
            <w:vAlign w:val="center"/>
          </w:tcPr>
          <w:p w14:paraId="7780EBC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石油类</w:t>
            </w:r>
          </w:p>
        </w:tc>
        <w:tc>
          <w:tcPr>
            <w:tcW w:w="658" w:type="pct"/>
            <w:vAlign w:val="center"/>
          </w:tcPr>
          <w:p w14:paraId="27E16578" w14:textId="77777777" w:rsidR="002133E3" w:rsidRDefault="00C22CFA">
            <w:pPr>
              <w:snapToGrid w:val="0"/>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CODcr</w:t>
            </w:r>
            <w:proofErr w:type="spellEnd"/>
          </w:p>
        </w:tc>
        <w:tc>
          <w:tcPr>
            <w:tcW w:w="658" w:type="pct"/>
            <w:vAlign w:val="center"/>
          </w:tcPr>
          <w:p w14:paraId="0CFE66F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总磷</w:t>
            </w:r>
          </w:p>
        </w:tc>
        <w:tc>
          <w:tcPr>
            <w:tcW w:w="658" w:type="pct"/>
            <w:vAlign w:val="center"/>
          </w:tcPr>
          <w:p w14:paraId="16C0D85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氟化物</w:t>
            </w:r>
          </w:p>
        </w:tc>
      </w:tr>
      <w:tr w:rsidR="002133E3" w14:paraId="254DC4C9" w14:textId="77777777">
        <w:trPr>
          <w:trHeight w:val="117"/>
          <w:jc w:val="center"/>
        </w:trPr>
        <w:tc>
          <w:tcPr>
            <w:tcW w:w="559" w:type="pct"/>
            <w:vMerge w:val="restart"/>
            <w:vAlign w:val="center"/>
          </w:tcPr>
          <w:p w14:paraId="0875FE9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2018</w:t>
            </w:r>
          </w:p>
        </w:tc>
        <w:tc>
          <w:tcPr>
            <w:tcW w:w="1151" w:type="pct"/>
            <w:vAlign w:val="center"/>
          </w:tcPr>
          <w:p w14:paraId="31B5615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最大值</w:t>
            </w:r>
            <w:r>
              <w:rPr>
                <w:rFonts w:ascii="Times New Roman" w:eastAsia="宋体" w:hAnsi="Times New Roman" w:cs="Times New Roman"/>
                <w:kern w:val="0"/>
                <w:szCs w:val="21"/>
              </w:rPr>
              <w:t>mg/L</w:t>
            </w:r>
          </w:p>
        </w:tc>
        <w:tc>
          <w:tcPr>
            <w:tcW w:w="658" w:type="pct"/>
            <w:vAlign w:val="center"/>
          </w:tcPr>
          <w:p w14:paraId="1664291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7.32</w:t>
            </w:r>
          </w:p>
        </w:tc>
        <w:tc>
          <w:tcPr>
            <w:tcW w:w="658" w:type="pct"/>
            <w:vAlign w:val="center"/>
          </w:tcPr>
          <w:p w14:paraId="1B88183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0.12</w:t>
            </w:r>
          </w:p>
        </w:tc>
        <w:tc>
          <w:tcPr>
            <w:tcW w:w="658" w:type="pct"/>
            <w:vAlign w:val="center"/>
          </w:tcPr>
          <w:p w14:paraId="4F15C1C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33</w:t>
            </w:r>
          </w:p>
        </w:tc>
        <w:tc>
          <w:tcPr>
            <w:tcW w:w="658" w:type="pct"/>
            <w:vAlign w:val="center"/>
          </w:tcPr>
          <w:p w14:paraId="10B8F52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0.645</w:t>
            </w:r>
          </w:p>
        </w:tc>
        <w:tc>
          <w:tcPr>
            <w:tcW w:w="658" w:type="pct"/>
            <w:vAlign w:val="center"/>
          </w:tcPr>
          <w:p w14:paraId="22A1693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r>
      <w:tr w:rsidR="002133E3" w14:paraId="053F0C3F" w14:textId="77777777">
        <w:trPr>
          <w:trHeight w:val="117"/>
          <w:jc w:val="center"/>
        </w:trPr>
        <w:tc>
          <w:tcPr>
            <w:tcW w:w="559" w:type="pct"/>
            <w:vMerge/>
            <w:vAlign w:val="center"/>
          </w:tcPr>
          <w:p w14:paraId="33832524"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4934B2E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最小值</w:t>
            </w:r>
            <w:r>
              <w:rPr>
                <w:rFonts w:ascii="Times New Roman" w:eastAsia="宋体" w:hAnsi="Times New Roman" w:cs="Times New Roman"/>
                <w:kern w:val="0"/>
                <w:szCs w:val="21"/>
              </w:rPr>
              <w:t>mg/L</w:t>
            </w:r>
          </w:p>
        </w:tc>
        <w:tc>
          <w:tcPr>
            <w:tcW w:w="658" w:type="pct"/>
            <w:vAlign w:val="center"/>
          </w:tcPr>
          <w:p w14:paraId="05C096E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0.26</w:t>
            </w:r>
          </w:p>
        </w:tc>
        <w:tc>
          <w:tcPr>
            <w:tcW w:w="658" w:type="pct"/>
            <w:vAlign w:val="center"/>
          </w:tcPr>
          <w:p w14:paraId="4868B70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0.01</w:t>
            </w:r>
          </w:p>
        </w:tc>
        <w:tc>
          <w:tcPr>
            <w:tcW w:w="658" w:type="pct"/>
            <w:vAlign w:val="center"/>
          </w:tcPr>
          <w:p w14:paraId="7441CB4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658" w:type="pct"/>
            <w:vAlign w:val="center"/>
          </w:tcPr>
          <w:p w14:paraId="1B21215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0.085</w:t>
            </w:r>
          </w:p>
        </w:tc>
        <w:tc>
          <w:tcPr>
            <w:tcW w:w="658" w:type="pct"/>
            <w:vAlign w:val="center"/>
          </w:tcPr>
          <w:p w14:paraId="6107D9E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0.091</w:t>
            </w:r>
          </w:p>
        </w:tc>
      </w:tr>
      <w:tr w:rsidR="002133E3" w14:paraId="609EDA80" w14:textId="77777777">
        <w:trPr>
          <w:trHeight w:val="117"/>
          <w:jc w:val="center"/>
        </w:trPr>
        <w:tc>
          <w:tcPr>
            <w:tcW w:w="559" w:type="pct"/>
            <w:vMerge/>
            <w:vAlign w:val="center"/>
          </w:tcPr>
          <w:p w14:paraId="5EC58F7F"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5C1EE75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平均值</w:t>
            </w:r>
            <w:r>
              <w:rPr>
                <w:rFonts w:ascii="Times New Roman" w:eastAsia="宋体" w:hAnsi="Times New Roman" w:cs="Times New Roman"/>
                <w:kern w:val="0"/>
                <w:szCs w:val="21"/>
              </w:rPr>
              <w:t>mg/L</w:t>
            </w:r>
          </w:p>
        </w:tc>
        <w:tc>
          <w:tcPr>
            <w:tcW w:w="658" w:type="pct"/>
            <w:vAlign w:val="center"/>
          </w:tcPr>
          <w:p w14:paraId="289D8CC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1.71</w:t>
            </w:r>
          </w:p>
        </w:tc>
        <w:tc>
          <w:tcPr>
            <w:tcW w:w="658" w:type="pct"/>
            <w:vAlign w:val="center"/>
          </w:tcPr>
          <w:p w14:paraId="3F2FAE6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0.07</w:t>
            </w:r>
          </w:p>
        </w:tc>
        <w:tc>
          <w:tcPr>
            <w:tcW w:w="658" w:type="pct"/>
            <w:vAlign w:val="center"/>
          </w:tcPr>
          <w:p w14:paraId="2341762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26</w:t>
            </w:r>
          </w:p>
        </w:tc>
        <w:tc>
          <w:tcPr>
            <w:tcW w:w="658" w:type="pct"/>
            <w:vAlign w:val="center"/>
          </w:tcPr>
          <w:p w14:paraId="215EE23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0.38</w:t>
            </w:r>
          </w:p>
        </w:tc>
        <w:tc>
          <w:tcPr>
            <w:tcW w:w="658" w:type="pct"/>
            <w:vAlign w:val="center"/>
          </w:tcPr>
          <w:p w14:paraId="5018C08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0.63</w:t>
            </w:r>
          </w:p>
        </w:tc>
      </w:tr>
      <w:tr w:rsidR="002133E3" w14:paraId="2DDAD7CB" w14:textId="77777777">
        <w:trPr>
          <w:trHeight w:val="117"/>
          <w:jc w:val="center"/>
        </w:trPr>
        <w:tc>
          <w:tcPr>
            <w:tcW w:w="559" w:type="pct"/>
            <w:vMerge/>
            <w:vAlign w:val="center"/>
          </w:tcPr>
          <w:p w14:paraId="49314A13"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02F3921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Pi</w:t>
            </w:r>
          </w:p>
        </w:tc>
        <w:tc>
          <w:tcPr>
            <w:tcW w:w="658" w:type="pct"/>
            <w:vAlign w:val="center"/>
          </w:tcPr>
          <w:p w14:paraId="5539733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1.71</w:t>
            </w:r>
          </w:p>
        </w:tc>
        <w:tc>
          <w:tcPr>
            <w:tcW w:w="658" w:type="pct"/>
            <w:vAlign w:val="center"/>
          </w:tcPr>
          <w:p w14:paraId="180621E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658" w:type="pct"/>
            <w:vAlign w:val="center"/>
          </w:tcPr>
          <w:p w14:paraId="3E4EB33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658" w:type="pct"/>
            <w:vAlign w:val="center"/>
          </w:tcPr>
          <w:p w14:paraId="6C3E363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1.9</w:t>
            </w:r>
          </w:p>
        </w:tc>
        <w:tc>
          <w:tcPr>
            <w:tcW w:w="658" w:type="pct"/>
            <w:vAlign w:val="center"/>
          </w:tcPr>
          <w:p w14:paraId="29B2079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0.63</w:t>
            </w:r>
          </w:p>
        </w:tc>
      </w:tr>
      <w:tr w:rsidR="002133E3" w14:paraId="1B606A5B" w14:textId="77777777">
        <w:trPr>
          <w:trHeight w:val="117"/>
          <w:jc w:val="center"/>
        </w:trPr>
        <w:tc>
          <w:tcPr>
            <w:tcW w:w="559" w:type="pct"/>
            <w:vMerge/>
            <w:vAlign w:val="center"/>
          </w:tcPr>
          <w:p w14:paraId="3F9564B5" w14:textId="77777777" w:rsidR="002133E3" w:rsidRDefault="002133E3">
            <w:pPr>
              <w:snapToGrid w:val="0"/>
              <w:jc w:val="center"/>
              <w:rPr>
                <w:rFonts w:ascii="Times New Roman" w:eastAsia="宋体" w:hAnsi="Times New Roman" w:cs="Times New Roman"/>
                <w:kern w:val="0"/>
                <w:szCs w:val="21"/>
              </w:rPr>
            </w:pPr>
          </w:p>
        </w:tc>
        <w:tc>
          <w:tcPr>
            <w:tcW w:w="1151" w:type="pct"/>
            <w:vAlign w:val="center"/>
          </w:tcPr>
          <w:p w14:paraId="6145450D" w14:textId="77777777" w:rsidR="002133E3" w:rsidRDefault="00C22CFA">
            <w:pPr>
              <w:snapToGrid w:val="0"/>
              <w:jc w:val="center"/>
              <w:rPr>
                <w:rFonts w:ascii="Times New Roman" w:eastAsia="宋体" w:hAnsi="Times New Roman" w:cs="Times New Roman"/>
                <w:kern w:val="0"/>
                <w:szCs w:val="21"/>
              </w:rPr>
            </w:pPr>
            <w:r>
              <w:rPr>
                <w:rFonts w:ascii="宋体" w:eastAsia="宋体" w:hAnsi="宋体" w:cs="宋体" w:hint="eastAsia"/>
                <w:kern w:val="0"/>
                <w:szCs w:val="21"/>
              </w:rPr>
              <w:t>Ⅲ</w:t>
            </w:r>
            <w:r>
              <w:rPr>
                <w:rFonts w:ascii="Times New Roman" w:eastAsia="宋体" w:hAnsi="Times New Roman" w:cs="Times New Roman"/>
                <w:kern w:val="0"/>
                <w:szCs w:val="21"/>
              </w:rPr>
              <w:t>类</w:t>
            </w:r>
            <w:r>
              <w:rPr>
                <w:rFonts w:ascii="Times New Roman" w:eastAsia="宋体" w:hAnsi="Times New Roman" w:cs="Times New Roman"/>
                <w:kern w:val="0"/>
                <w:szCs w:val="21"/>
              </w:rPr>
              <w:t>mg/L</w:t>
            </w:r>
          </w:p>
        </w:tc>
        <w:tc>
          <w:tcPr>
            <w:tcW w:w="658" w:type="pct"/>
            <w:vAlign w:val="center"/>
          </w:tcPr>
          <w:p w14:paraId="3976E0A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658" w:type="pct"/>
            <w:vAlign w:val="center"/>
          </w:tcPr>
          <w:p w14:paraId="209489A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658" w:type="pct"/>
            <w:vAlign w:val="center"/>
          </w:tcPr>
          <w:p w14:paraId="7D72C87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658" w:type="pct"/>
            <w:vAlign w:val="center"/>
          </w:tcPr>
          <w:p w14:paraId="3780E7B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0.2</w:t>
            </w:r>
          </w:p>
        </w:tc>
        <w:tc>
          <w:tcPr>
            <w:tcW w:w="658" w:type="pct"/>
            <w:vAlign w:val="center"/>
          </w:tcPr>
          <w:p w14:paraId="67469F7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r>
    </w:tbl>
    <w:p w14:paraId="5CDCDB88" w14:textId="77777777" w:rsidR="002133E3" w:rsidRDefault="00C22CFA">
      <w:pPr>
        <w:spacing w:line="360" w:lineRule="auto"/>
        <w:ind w:firstLineChars="200" w:firstLine="422"/>
        <w:rPr>
          <w:rFonts w:ascii="Times New Roman" w:eastAsia="宋体" w:hAnsi="Times New Roman" w:cs="Times New Roman"/>
          <w:b/>
          <w:kern w:val="0"/>
          <w:szCs w:val="21"/>
        </w:rPr>
      </w:pPr>
      <w:r>
        <w:rPr>
          <w:rFonts w:ascii="Times New Roman" w:eastAsia="宋体" w:hAnsi="Times New Roman" w:cs="Times New Roman"/>
          <w:b/>
          <w:kern w:val="0"/>
          <w:szCs w:val="21"/>
        </w:rPr>
        <w:t>注：</w:t>
      </w:r>
      <w:r>
        <w:rPr>
          <w:rFonts w:ascii="Times New Roman" w:eastAsia="宋体" w:hAnsi="Times New Roman" w:cs="Times New Roman"/>
          <w:b/>
          <w:kern w:val="0"/>
          <w:szCs w:val="21"/>
        </w:rPr>
        <w:t>2013-2018</w:t>
      </w:r>
      <w:r>
        <w:rPr>
          <w:rFonts w:ascii="Times New Roman" w:eastAsia="宋体" w:hAnsi="Times New Roman" w:cs="Times New Roman"/>
          <w:b/>
          <w:kern w:val="0"/>
          <w:szCs w:val="21"/>
        </w:rPr>
        <w:t>年为赣榆区环保局全年例行监测数据。</w:t>
      </w:r>
      <w:r>
        <w:rPr>
          <w:rFonts w:ascii="Times New Roman" w:eastAsia="宋体" w:hAnsi="Times New Roman" w:cs="Times New Roman"/>
          <w:b/>
          <w:kern w:val="0"/>
          <w:szCs w:val="21"/>
        </w:rPr>
        <w:t>2016</w:t>
      </w:r>
      <w:r>
        <w:rPr>
          <w:rFonts w:ascii="Times New Roman" w:eastAsia="宋体" w:hAnsi="Times New Roman" w:cs="Times New Roman"/>
          <w:b/>
          <w:kern w:val="0"/>
          <w:szCs w:val="21"/>
        </w:rPr>
        <w:t>年为区域项目环评监测数据</w:t>
      </w:r>
      <w:r>
        <w:rPr>
          <w:rFonts w:ascii="Times New Roman" w:eastAsia="宋体" w:hAnsi="Times New Roman" w:cs="Times New Roman"/>
          <w:b/>
          <w:kern w:val="0"/>
          <w:szCs w:val="21"/>
        </w:rPr>
        <w:t>(</w:t>
      </w:r>
      <w:r>
        <w:rPr>
          <w:rFonts w:ascii="Times New Roman" w:eastAsia="宋体" w:hAnsi="Times New Roman" w:cs="Times New Roman"/>
          <w:b/>
          <w:kern w:val="0"/>
          <w:szCs w:val="21"/>
        </w:rPr>
        <w:t>监测时间为</w:t>
      </w:r>
      <w:r>
        <w:rPr>
          <w:rFonts w:ascii="Times New Roman" w:eastAsia="宋体" w:hAnsi="Times New Roman" w:cs="Times New Roman"/>
          <w:b/>
          <w:kern w:val="0"/>
          <w:szCs w:val="21"/>
        </w:rPr>
        <w:t>2016</w:t>
      </w:r>
      <w:r>
        <w:rPr>
          <w:rFonts w:ascii="Times New Roman" w:eastAsia="宋体" w:hAnsi="Times New Roman" w:cs="Times New Roman"/>
          <w:b/>
          <w:kern w:val="0"/>
          <w:szCs w:val="21"/>
        </w:rPr>
        <w:t>年</w:t>
      </w:r>
      <w:r>
        <w:rPr>
          <w:rFonts w:ascii="Times New Roman" w:eastAsia="宋体" w:hAnsi="Times New Roman" w:cs="Times New Roman"/>
          <w:b/>
          <w:kern w:val="0"/>
          <w:szCs w:val="21"/>
        </w:rPr>
        <w:t>10</w:t>
      </w:r>
      <w:r>
        <w:rPr>
          <w:rFonts w:ascii="Times New Roman" w:eastAsia="宋体" w:hAnsi="Times New Roman" w:cs="Times New Roman"/>
          <w:b/>
          <w:kern w:val="0"/>
          <w:szCs w:val="21"/>
        </w:rPr>
        <w:t>月</w:t>
      </w:r>
      <w:r>
        <w:rPr>
          <w:rFonts w:ascii="Times New Roman" w:eastAsia="宋体" w:hAnsi="Times New Roman" w:cs="Times New Roman"/>
          <w:b/>
          <w:kern w:val="0"/>
          <w:szCs w:val="21"/>
        </w:rPr>
        <w:t>)</w:t>
      </w:r>
      <w:r>
        <w:rPr>
          <w:rFonts w:ascii="Times New Roman" w:eastAsia="宋体" w:hAnsi="Times New Roman" w:cs="Times New Roman"/>
          <w:b/>
          <w:kern w:val="0"/>
          <w:szCs w:val="21"/>
        </w:rPr>
        <w:t>，兴庄桥断面位于兴庄河闸上约</w:t>
      </w:r>
      <w:r>
        <w:rPr>
          <w:rFonts w:ascii="Times New Roman" w:eastAsia="宋体" w:hAnsi="Times New Roman" w:cs="Times New Roman"/>
          <w:b/>
          <w:kern w:val="0"/>
          <w:szCs w:val="21"/>
        </w:rPr>
        <w:t>1km</w:t>
      </w:r>
      <w:r>
        <w:rPr>
          <w:rFonts w:ascii="Times New Roman" w:eastAsia="宋体" w:hAnsi="Times New Roman" w:cs="Times New Roman"/>
          <w:b/>
          <w:kern w:val="0"/>
          <w:szCs w:val="21"/>
        </w:rPr>
        <w:t>处。</w:t>
      </w:r>
    </w:p>
    <w:p w14:paraId="1FDECC45"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w:t>
      </w:r>
      <w:r>
        <w:rPr>
          <w:rFonts w:ascii="Times New Roman" w:eastAsia="宋体" w:hAnsi="Times New Roman" w:cs="Times New Roman"/>
          <w:kern w:val="0"/>
          <w:sz w:val="28"/>
          <w:szCs w:val="28"/>
        </w:rPr>
        <w:t>2013</w:t>
      </w:r>
      <w:r>
        <w:rPr>
          <w:rFonts w:ascii="Times New Roman" w:eastAsia="宋体" w:hAnsi="Times New Roman" w:cs="Times New Roman"/>
          <w:kern w:val="0"/>
          <w:sz w:val="28"/>
          <w:szCs w:val="28"/>
        </w:rPr>
        <w:t>至</w:t>
      </w:r>
      <w:r>
        <w:rPr>
          <w:rFonts w:ascii="Times New Roman" w:eastAsia="宋体" w:hAnsi="Times New Roman" w:cs="Times New Roman"/>
          <w:kern w:val="0"/>
          <w:sz w:val="28"/>
          <w:szCs w:val="28"/>
        </w:rPr>
        <w:t>2018</w:t>
      </w:r>
      <w:r>
        <w:rPr>
          <w:rFonts w:ascii="Times New Roman" w:eastAsia="宋体" w:hAnsi="Times New Roman" w:cs="Times New Roman"/>
          <w:kern w:val="0"/>
          <w:sz w:val="28"/>
          <w:szCs w:val="28"/>
        </w:rPr>
        <w:t>年兴庄河监测数据，氨氮、总磷、化学需氧量各年均有不同程度的超标现象，不能满足相应功能区类别要求。根据近年来监测数据，兴庄河水质无明显恶化趋势。</w:t>
      </w:r>
    </w:p>
    <w:p w14:paraId="414F411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近岸海水环境质量现状评价</w:t>
      </w:r>
    </w:p>
    <w:p w14:paraId="1880066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监测点的设置及监测因子</w:t>
      </w:r>
    </w:p>
    <w:p w14:paraId="0281DC4F"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海水</w:t>
      </w:r>
      <w:r>
        <w:rPr>
          <w:rFonts w:ascii="Times New Roman" w:eastAsia="宋体" w:hAnsi="Times New Roman" w:cs="Times New Roman"/>
          <w:kern w:val="0"/>
          <w:sz w:val="28"/>
          <w:szCs w:val="28"/>
        </w:rPr>
        <w:t>监测断面位置及监测因子见表</w:t>
      </w:r>
      <w:r>
        <w:rPr>
          <w:rFonts w:ascii="Times New Roman" w:eastAsia="宋体" w:hAnsi="Times New Roman" w:cs="Times New Roman"/>
          <w:kern w:val="0"/>
          <w:sz w:val="28"/>
          <w:szCs w:val="28"/>
        </w:rPr>
        <w:t>5.2-8</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highlight w:val="yellow"/>
        </w:rPr>
        <w:t>监测位置见图</w:t>
      </w:r>
      <w:r>
        <w:rPr>
          <w:rFonts w:ascii="Times New Roman" w:eastAsia="宋体" w:hAnsi="Times New Roman" w:cs="Times New Roman"/>
          <w:kern w:val="0"/>
          <w:sz w:val="28"/>
          <w:szCs w:val="28"/>
          <w:highlight w:val="yellow"/>
        </w:rPr>
        <w:t>4.2.3-1</w:t>
      </w:r>
      <w:r>
        <w:rPr>
          <w:rFonts w:ascii="Times New Roman" w:eastAsia="宋体" w:hAnsi="Times New Roman" w:cs="Times New Roman"/>
          <w:kern w:val="0"/>
          <w:sz w:val="28"/>
          <w:szCs w:val="28"/>
        </w:rPr>
        <w:t>。</w:t>
      </w:r>
    </w:p>
    <w:p w14:paraId="4AED7C18" w14:textId="77777777" w:rsidR="002133E3" w:rsidRDefault="00C22CFA">
      <w:pPr>
        <w:spacing w:line="500" w:lineRule="exact"/>
        <w:ind w:firstLineChars="200" w:firstLine="422"/>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5.2-8  </w:t>
      </w:r>
      <w:r>
        <w:rPr>
          <w:rFonts w:ascii="Times New Roman" w:eastAsia="宋体" w:hAnsi="Times New Roman" w:cs="Times New Roman"/>
          <w:b/>
          <w:szCs w:val="21"/>
        </w:rPr>
        <w:t>海水环境监测布点、监测因子情况表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410"/>
        <w:gridCol w:w="3916"/>
        <w:gridCol w:w="2286"/>
      </w:tblGrid>
      <w:tr w:rsidR="002133E3" w14:paraId="29A43C86" w14:textId="77777777">
        <w:trPr>
          <w:trHeight w:val="368"/>
          <w:jc w:val="center"/>
        </w:trPr>
        <w:tc>
          <w:tcPr>
            <w:tcW w:w="630" w:type="pct"/>
            <w:tcBorders>
              <w:top w:val="single" w:sz="4" w:space="0" w:color="auto"/>
              <w:left w:val="single" w:sz="4" w:space="0" w:color="auto"/>
              <w:bottom w:val="single" w:sz="4" w:space="0" w:color="auto"/>
              <w:right w:val="single" w:sz="4" w:space="0" w:color="auto"/>
            </w:tcBorders>
            <w:vAlign w:val="center"/>
          </w:tcPr>
          <w:p w14:paraId="13BE83CF" w14:textId="77777777" w:rsidR="002133E3" w:rsidRDefault="00C22CFA">
            <w:pPr>
              <w:jc w:val="center"/>
              <w:rPr>
                <w:rFonts w:ascii="Times New Roman" w:eastAsia="宋体" w:hAnsi="Times New Roman" w:cs="Times New Roman"/>
                <w:b/>
                <w:bCs/>
              </w:rPr>
            </w:pPr>
            <w:r>
              <w:rPr>
                <w:rFonts w:ascii="Times New Roman" w:eastAsia="宋体" w:hAnsi="Times New Roman" w:cs="Times New Roman"/>
                <w:b/>
                <w:bCs/>
              </w:rPr>
              <w:t>断面编号</w:t>
            </w:r>
          </w:p>
        </w:tc>
        <w:tc>
          <w:tcPr>
            <w:tcW w:w="1223" w:type="pct"/>
            <w:tcBorders>
              <w:top w:val="single" w:sz="4" w:space="0" w:color="auto"/>
              <w:left w:val="single" w:sz="4" w:space="0" w:color="auto"/>
              <w:bottom w:val="single" w:sz="4" w:space="0" w:color="auto"/>
              <w:right w:val="single" w:sz="4" w:space="0" w:color="auto"/>
            </w:tcBorders>
            <w:vAlign w:val="center"/>
          </w:tcPr>
          <w:p w14:paraId="0ED35393" w14:textId="77777777" w:rsidR="002133E3" w:rsidRDefault="00C22CFA">
            <w:pPr>
              <w:jc w:val="center"/>
              <w:rPr>
                <w:rFonts w:ascii="Times New Roman" w:eastAsia="宋体" w:hAnsi="Times New Roman" w:cs="Times New Roman"/>
                <w:b/>
                <w:bCs/>
              </w:rPr>
            </w:pPr>
            <w:r>
              <w:rPr>
                <w:rFonts w:ascii="Times New Roman" w:eastAsia="宋体" w:hAnsi="Times New Roman" w:cs="Times New Roman"/>
                <w:b/>
                <w:bCs/>
              </w:rPr>
              <w:t>断面位置</w:t>
            </w:r>
          </w:p>
        </w:tc>
        <w:tc>
          <w:tcPr>
            <w:tcW w:w="1987" w:type="pct"/>
            <w:tcBorders>
              <w:top w:val="single" w:sz="4" w:space="0" w:color="auto"/>
              <w:left w:val="single" w:sz="4" w:space="0" w:color="auto"/>
              <w:bottom w:val="single" w:sz="4" w:space="0" w:color="auto"/>
              <w:right w:val="single" w:sz="4" w:space="0" w:color="auto"/>
            </w:tcBorders>
            <w:vAlign w:val="center"/>
          </w:tcPr>
          <w:p w14:paraId="5C39EACB" w14:textId="77777777" w:rsidR="002133E3" w:rsidRDefault="00C22CFA">
            <w:pPr>
              <w:jc w:val="center"/>
              <w:rPr>
                <w:rFonts w:ascii="Times New Roman" w:eastAsia="宋体" w:hAnsi="Times New Roman" w:cs="Times New Roman"/>
                <w:b/>
                <w:bCs/>
              </w:rPr>
            </w:pPr>
            <w:r>
              <w:rPr>
                <w:rFonts w:ascii="Times New Roman" w:eastAsia="宋体" w:hAnsi="Times New Roman" w:cs="Times New Roman"/>
                <w:b/>
                <w:bCs/>
                <w:szCs w:val="21"/>
              </w:rPr>
              <w:t>监测项目</w:t>
            </w:r>
          </w:p>
        </w:tc>
        <w:tc>
          <w:tcPr>
            <w:tcW w:w="1160" w:type="pct"/>
            <w:tcBorders>
              <w:top w:val="single" w:sz="4" w:space="0" w:color="auto"/>
              <w:left w:val="single" w:sz="4" w:space="0" w:color="auto"/>
              <w:bottom w:val="single" w:sz="4" w:space="0" w:color="auto"/>
              <w:right w:val="single" w:sz="4" w:space="0" w:color="auto"/>
            </w:tcBorders>
            <w:vAlign w:val="center"/>
          </w:tcPr>
          <w:p w14:paraId="34F15705" w14:textId="77777777" w:rsidR="002133E3" w:rsidRDefault="00C22CFA">
            <w:pPr>
              <w:jc w:val="center"/>
              <w:rPr>
                <w:rFonts w:ascii="Times New Roman" w:eastAsia="宋体" w:hAnsi="Times New Roman" w:cs="Times New Roman"/>
                <w:b/>
                <w:bCs/>
              </w:rPr>
            </w:pPr>
            <w:r>
              <w:rPr>
                <w:rFonts w:ascii="Times New Roman" w:eastAsia="宋体" w:hAnsi="Times New Roman" w:cs="Times New Roman"/>
                <w:b/>
                <w:bCs/>
              </w:rPr>
              <w:t>监测时段与取样频率</w:t>
            </w:r>
          </w:p>
        </w:tc>
      </w:tr>
      <w:tr w:rsidR="002133E3" w14:paraId="252D85B7" w14:textId="77777777">
        <w:trPr>
          <w:trHeight w:val="333"/>
          <w:jc w:val="center"/>
        </w:trPr>
        <w:tc>
          <w:tcPr>
            <w:tcW w:w="630" w:type="pct"/>
            <w:tcBorders>
              <w:top w:val="single" w:sz="4" w:space="0" w:color="auto"/>
              <w:left w:val="single" w:sz="4" w:space="0" w:color="auto"/>
              <w:bottom w:val="single" w:sz="4" w:space="0" w:color="auto"/>
              <w:right w:val="single" w:sz="4" w:space="0" w:color="auto"/>
            </w:tcBorders>
            <w:vAlign w:val="center"/>
          </w:tcPr>
          <w:p w14:paraId="1CB2B520" w14:textId="77777777" w:rsidR="002133E3" w:rsidRDefault="00C22CFA">
            <w:pPr>
              <w:jc w:val="center"/>
              <w:rPr>
                <w:rFonts w:ascii="Times New Roman" w:eastAsia="宋体" w:hAnsi="Times New Roman" w:cs="Times New Roman"/>
              </w:rPr>
            </w:pPr>
            <w:r>
              <w:rPr>
                <w:rFonts w:ascii="Times New Roman" w:eastAsia="宋体" w:hAnsi="Times New Roman" w:cs="Times New Roman"/>
              </w:rPr>
              <w:t>W2</w:t>
            </w:r>
          </w:p>
        </w:tc>
        <w:tc>
          <w:tcPr>
            <w:tcW w:w="1223" w:type="pct"/>
            <w:tcBorders>
              <w:top w:val="single" w:sz="4" w:space="0" w:color="auto"/>
              <w:left w:val="single" w:sz="4" w:space="0" w:color="auto"/>
              <w:bottom w:val="single" w:sz="4" w:space="0" w:color="auto"/>
              <w:right w:val="single" w:sz="4" w:space="0" w:color="auto"/>
            </w:tcBorders>
            <w:vAlign w:val="center"/>
          </w:tcPr>
          <w:p w14:paraId="0EDB5B4E" w14:textId="77777777" w:rsidR="002133E3" w:rsidRDefault="00C22CFA">
            <w:pPr>
              <w:rPr>
                <w:rFonts w:ascii="Times New Roman" w:eastAsia="宋体" w:hAnsi="Times New Roman" w:cs="Times New Roman"/>
              </w:rPr>
            </w:pPr>
            <w:r>
              <w:rPr>
                <w:rFonts w:ascii="Times New Roman" w:eastAsia="宋体" w:hAnsi="Times New Roman" w:cs="Times New Roman"/>
              </w:rPr>
              <w:t>老兴庄河闸下</w:t>
            </w:r>
            <w:r>
              <w:rPr>
                <w:rFonts w:ascii="Times New Roman" w:eastAsia="宋体" w:hAnsi="Times New Roman" w:cs="Times New Roman"/>
              </w:rPr>
              <w:t>(G228</w:t>
            </w:r>
            <w:r>
              <w:rPr>
                <w:rFonts w:ascii="Times New Roman" w:eastAsia="宋体" w:hAnsi="Times New Roman" w:cs="Times New Roman"/>
              </w:rPr>
              <w:t>国道附近</w:t>
            </w:r>
            <w:r>
              <w:rPr>
                <w:rFonts w:ascii="Times New Roman" w:eastAsia="宋体" w:hAnsi="Times New Roman" w:cs="Times New Roman"/>
              </w:rPr>
              <w:t>)</w:t>
            </w:r>
          </w:p>
        </w:tc>
        <w:tc>
          <w:tcPr>
            <w:tcW w:w="1987" w:type="pct"/>
            <w:tcBorders>
              <w:top w:val="single" w:sz="4" w:space="0" w:color="auto"/>
              <w:left w:val="single" w:sz="4" w:space="0" w:color="auto"/>
              <w:bottom w:val="single" w:sz="4" w:space="0" w:color="auto"/>
              <w:right w:val="single" w:sz="4" w:space="0" w:color="auto"/>
            </w:tcBorders>
            <w:vAlign w:val="center"/>
          </w:tcPr>
          <w:p w14:paraId="104A682D" w14:textId="77777777" w:rsidR="002133E3" w:rsidRDefault="00C22CFA">
            <w:pPr>
              <w:rPr>
                <w:rFonts w:ascii="Times New Roman" w:eastAsia="宋体" w:hAnsi="Times New Roman" w:cs="Times New Roman"/>
              </w:rPr>
            </w:pPr>
            <w:r>
              <w:rPr>
                <w:rFonts w:ascii="Times New Roman" w:eastAsia="宋体" w:hAnsi="Times New Roman" w:cs="Times New Roman"/>
              </w:rPr>
              <w:t>高锰酸盐指数、无机氮、活性磷酸盐、铅、六价铬、铬、铜、锌、镍、石油类</w:t>
            </w:r>
          </w:p>
        </w:tc>
        <w:tc>
          <w:tcPr>
            <w:tcW w:w="1160" w:type="pct"/>
            <w:tcBorders>
              <w:left w:val="single" w:sz="4" w:space="0" w:color="auto"/>
              <w:bottom w:val="single" w:sz="4" w:space="0" w:color="auto"/>
              <w:right w:val="single" w:sz="4" w:space="0" w:color="auto"/>
            </w:tcBorders>
            <w:vAlign w:val="center"/>
          </w:tcPr>
          <w:p w14:paraId="118B399A" w14:textId="77777777" w:rsidR="002133E3" w:rsidRDefault="00C22CFA">
            <w:pPr>
              <w:rPr>
                <w:rFonts w:ascii="Times New Roman" w:eastAsia="宋体" w:hAnsi="Times New Roman" w:cs="Times New Roman"/>
              </w:rPr>
            </w:pPr>
            <w:r>
              <w:rPr>
                <w:rFonts w:ascii="Times New Roman" w:eastAsia="宋体" w:hAnsi="Times New Roman" w:cs="Times New Roman"/>
              </w:rPr>
              <w:t>连续监测</w:t>
            </w:r>
            <w:r>
              <w:rPr>
                <w:rFonts w:ascii="Times New Roman" w:eastAsia="宋体" w:hAnsi="Times New Roman" w:cs="Times New Roman"/>
              </w:rPr>
              <w:t>3</w:t>
            </w:r>
            <w:r>
              <w:rPr>
                <w:rFonts w:ascii="Times New Roman" w:eastAsia="宋体" w:hAnsi="Times New Roman" w:cs="Times New Roman"/>
              </w:rPr>
              <w:t>天，每天涨潮、落潮各一次</w:t>
            </w:r>
          </w:p>
        </w:tc>
      </w:tr>
    </w:tbl>
    <w:p w14:paraId="5E6F7CDE"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各监测断面委托连云港智清环境科技有限公司实测，监测时间为</w:t>
      </w:r>
      <w:r>
        <w:rPr>
          <w:rFonts w:ascii="Times New Roman" w:eastAsia="宋体" w:hAnsi="Times New Roman" w:cs="Times New Roman"/>
          <w:kern w:val="0"/>
          <w:sz w:val="28"/>
          <w:szCs w:val="28"/>
        </w:rPr>
        <w:t>2021</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10</w:t>
      </w:r>
      <w:r>
        <w:rPr>
          <w:rFonts w:ascii="Times New Roman" w:eastAsia="宋体" w:hAnsi="Times New Roman" w:cs="Times New Roman"/>
          <w:kern w:val="0"/>
          <w:sz w:val="28"/>
          <w:szCs w:val="28"/>
        </w:rPr>
        <w:t>日</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12</w:t>
      </w:r>
      <w:r>
        <w:rPr>
          <w:rFonts w:ascii="Times New Roman" w:eastAsia="宋体" w:hAnsi="Times New Roman" w:cs="Times New Roman"/>
          <w:kern w:val="0"/>
          <w:sz w:val="28"/>
          <w:szCs w:val="28"/>
        </w:rPr>
        <w:t>日。</w:t>
      </w:r>
    </w:p>
    <w:p w14:paraId="7616441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采样及分析方法</w:t>
      </w:r>
    </w:p>
    <w:p w14:paraId="4F3FE2DA"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现场样品采集、贮存与运输等要求按照《海洋监测规范》（</w:t>
      </w:r>
      <w:r>
        <w:rPr>
          <w:rFonts w:ascii="Times New Roman" w:eastAsia="宋体" w:hAnsi="Times New Roman" w:cs="Times New Roman"/>
          <w:kern w:val="0"/>
          <w:sz w:val="28"/>
          <w:szCs w:val="28"/>
        </w:rPr>
        <w:t>GB17378-2007</w:t>
      </w:r>
      <w:r>
        <w:rPr>
          <w:rFonts w:ascii="Times New Roman" w:eastAsia="宋体" w:hAnsi="Times New Roman" w:cs="Times New Roman"/>
          <w:kern w:val="0"/>
          <w:sz w:val="28"/>
          <w:szCs w:val="28"/>
        </w:rPr>
        <w:t>）、《海洋调查规范》（</w:t>
      </w:r>
      <w:r>
        <w:rPr>
          <w:rFonts w:ascii="Times New Roman" w:eastAsia="宋体" w:hAnsi="Times New Roman" w:cs="Times New Roman"/>
          <w:kern w:val="0"/>
          <w:sz w:val="28"/>
          <w:szCs w:val="28"/>
        </w:rPr>
        <w:t>GB/T 12763-2007</w:t>
      </w:r>
      <w:r>
        <w:rPr>
          <w:rFonts w:ascii="Times New Roman" w:eastAsia="宋体" w:hAnsi="Times New Roman" w:cs="Times New Roman"/>
          <w:kern w:val="0"/>
          <w:sz w:val="28"/>
          <w:szCs w:val="28"/>
        </w:rPr>
        <w:t>）等相关要求进行；样品的分析方法应遵</w:t>
      </w:r>
      <w:r>
        <w:rPr>
          <w:rFonts w:ascii="Times New Roman" w:eastAsia="宋体" w:hAnsi="Times New Roman" w:cs="Times New Roman"/>
          <w:kern w:val="0"/>
          <w:sz w:val="28"/>
          <w:szCs w:val="28"/>
        </w:rPr>
        <w:lastRenderedPageBreak/>
        <w:t>照</w:t>
      </w:r>
      <w:r>
        <w:rPr>
          <w:rFonts w:ascii="Times New Roman" w:eastAsia="宋体" w:hAnsi="Times New Roman" w:cs="Times New Roman"/>
          <w:kern w:val="0"/>
          <w:sz w:val="28"/>
          <w:szCs w:val="28"/>
        </w:rPr>
        <w:t>GB17378.4-2007</w:t>
      </w:r>
      <w:r>
        <w:rPr>
          <w:rFonts w:ascii="Times New Roman" w:eastAsia="宋体" w:hAnsi="Times New Roman" w:cs="Times New Roman"/>
          <w:kern w:val="0"/>
          <w:sz w:val="28"/>
          <w:szCs w:val="28"/>
        </w:rPr>
        <w:t>《海洋监测规范》中的有关条文执行。</w:t>
      </w:r>
    </w:p>
    <w:p w14:paraId="60EEA8A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海水现状评价</w:t>
      </w:r>
    </w:p>
    <w:p w14:paraId="3EC7DD63"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本次环评采用单项污染指数法评价，评价各污染因子的污染指数，确定区域水环境重点污染物。</w:t>
      </w:r>
    </w:p>
    <w:p w14:paraId="148501F3"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单项污染指数用下式计算。单项水质参数</w:t>
      </w:r>
      <w:r>
        <w:rPr>
          <w:rFonts w:ascii="Times New Roman" w:eastAsia="宋体" w:hAnsi="Times New Roman" w:cs="Times New Roman"/>
          <w:kern w:val="0"/>
          <w:sz w:val="28"/>
          <w:szCs w:val="28"/>
        </w:rPr>
        <w:t>I</w:t>
      </w:r>
      <w:r>
        <w:rPr>
          <w:rFonts w:ascii="Times New Roman" w:eastAsia="宋体" w:hAnsi="Times New Roman" w:cs="Times New Roman"/>
          <w:kern w:val="0"/>
          <w:sz w:val="28"/>
          <w:szCs w:val="28"/>
        </w:rPr>
        <w:t>在第</w:t>
      </w:r>
      <w:r>
        <w:rPr>
          <w:rFonts w:ascii="Times New Roman" w:eastAsia="宋体" w:hAnsi="Times New Roman" w:cs="Times New Roman"/>
          <w:kern w:val="0"/>
          <w:sz w:val="28"/>
          <w:szCs w:val="28"/>
        </w:rPr>
        <w:t>I</w:t>
      </w:r>
      <w:r>
        <w:rPr>
          <w:rFonts w:ascii="Times New Roman" w:eastAsia="宋体" w:hAnsi="Times New Roman" w:cs="Times New Roman"/>
          <w:kern w:val="0"/>
          <w:sz w:val="28"/>
          <w:szCs w:val="28"/>
        </w:rPr>
        <w:t>断面单项污染指数</w:t>
      </w:r>
      <w:r>
        <w:rPr>
          <w:rFonts w:ascii="Times New Roman" w:eastAsia="宋体" w:hAnsi="Times New Roman" w:cs="Times New Roman"/>
          <w:kern w:val="0"/>
          <w:sz w:val="28"/>
          <w:szCs w:val="28"/>
        </w:rPr>
        <w:t>:</w:t>
      </w:r>
    </w:p>
    <w:p w14:paraId="4DA878BB" w14:textId="77777777" w:rsidR="002133E3" w:rsidRDefault="00C22CFA">
      <w:pPr>
        <w:snapToGrid w:val="0"/>
        <w:spacing w:line="500" w:lineRule="atLeast"/>
        <w:ind w:firstLineChars="200" w:firstLine="560"/>
        <w:jc w:val="center"/>
        <w:rPr>
          <w:rFonts w:ascii="Times New Roman" w:eastAsia="宋体" w:hAnsi="Times New Roman" w:cs="Times New Roman"/>
          <w:kern w:val="0"/>
          <w:sz w:val="28"/>
          <w:szCs w:val="28"/>
        </w:rPr>
      </w:pPr>
      <w:r>
        <w:rPr>
          <w:rFonts w:ascii="Times New Roman" w:eastAsia="宋体" w:hAnsi="Times New Roman" w:cs="Times New Roman"/>
          <w:kern w:val="0"/>
          <w:sz w:val="28"/>
          <w:szCs w:val="28"/>
        </w:rPr>
        <w:object w:dxaOrig="1875" w:dyaOrig="435" w14:anchorId="49E32714">
          <v:shape id="_x0000_i1058" type="#_x0000_t75" style="width:93.75pt;height:21.75pt" o:ole="" fillcolor="#6d6d6d">
            <v:imagedata r:id="rId84" o:title=""/>
          </v:shape>
          <o:OLEObject Type="Embed" ProgID="Equation.3" ShapeID="_x0000_i1058" DrawAspect="Content" ObjectID="_1687345261" r:id="rId85"/>
        </w:object>
      </w:r>
    </w:p>
    <w:p w14:paraId="18C8E185"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式中：</w:t>
      </w:r>
      <w:proofErr w:type="spellStart"/>
      <w:r>
        <w:rPr>
          <w:rFonts w:ascii="Times New Roman" w:eastAsia="宋体" w:hAnsi="Times New Roman" w:cs="Times New Roman"/>
          <w:kern w:val="0"/>
          <w:sz w:val="28"/>
          <w:szCs w:val="28"/>
        </w:rPr>
        <w:t>Sij</w:t>
      </w:r>
      <w:proofErr w:type="spellEnd"/>
      <w:r>
        <w:rPr>
          <w:rFonts w:ascii="Times New Roman" w:eastAsia="宋体" w:hAnsi="Times New Roman" w:cs="Times New Roman"/>
          <w:kern w:val="0"/>
          <w:sz w:val="28"/>
          <w:szCs w:val="28"/>
        </w:rPr>
        <w:t>为第</w:t>
      </w:r>
      <w:r>
        <w:rPr>
          <w:rFonts w:ascii="Times New Roman" w:eastAsia="宋体" w:hAnsi="Times New Roman" w:cs="Times New Roman"/>
          <w:kern w:val="0"/>
          <w:sz w:val="28"/>
          <w:szCs w:val="28"/>
        </w:rPr>
        <w:t>I</w:t>
      </w:r>
      <w:r>
        <w:rPr>
          <w:rFonts w:ascii="Times New Roman" w:eastAsia="宋体" w:hAnsi="Times New Roman" w:cs="Times New Roman"/>
          <w:kern w:val="0"/>
          <w:sz w:val="28"/>
          <w:szCs w:val="28"/>
        </w:rPr>
        <w:t>种评价因子在第</w:t>
      </w:r>
      <w:r>
        <w:rPr>
          <w:rFonts w:ascii="Times New Roman" w:eastAsia="宋体" w:hAnsi="Times New Roman" w:cs="Times New Roman"/>
          <w:kern w:val="0"/>
          <w:sz w:val="28"/>
          <w:szCs w:val="28"/>
        </w:rPr>
        <w:t>j</w:t>
      </w:r>
      <w:r>
        <w:rPr>
          <w:rFonts w:ascii="Times New Roman" w:eastAsia="宋体" w:hAnsi="Times New Roman" w:cs="Times New Roman"/>
          <w:kern w:val="0"/>
          <w:sz w:val="28"/>
          <w:szCs w:val="28"/>
        </w:rPr>
        <w:t>断面的单项污染指数；</w:t>
      </w:r>
      <w:proofErr w:type="spellStart"/>
      <w:r>
        <w:rPr>
          <w:rFonts w:ascii="Times New Roman" w:eastAsia="宋体" w:hAnsi="Times New Roman" w:cs="Times New Roman"/>
          <w:kern w:val="0"/>
          <w:sz w:val="28"/>
          <w:szCs w:val="28"/>
        </w:rPr>
        <w:t>Cij</w:t>
      </w:r>
      <w:proofErr w:type="spellEnd"/>
      <w:r>
        <w:rPr>
          <w:rFonts w:ascii="Times New Roman" w:eastAsia="宋体" w:hAnsi="Times New Roman" w:cs="Times New Roman"/>
          <w:kern w:val="0"/>
          <w:sz w:val="28"/>
          <w:szCs w:val="28"/>
        </w:rPr>
        <w:t>为该评价因子污染物的实测浓度值（</w:t>
      </w:r>
      <w:r>
        <w:rPr>
          <w:rFonts w:ascii="Times New Roman" w:eastAsia="宋体" w:hAnsi="Times New Roman" w:cs="Times New Roman"/>
          <w:kern w:val="0"/>
          <w:sz w:val="28"/>
          <w:szCs w:val="28"/>
        </w:rPr>
        <w:t>mg/L</w:t>
      </w:r>
      <w:r>
        <w:rPr>
          <w:rFonts w:ascii="Times New Roman" w:eastAsia="宋体" w:hAnsi="Times New Roman" w:cs="Times New Roman"/>
          <w:kern w:val="0"/>
          <w:sz w:val="28"/>
          <w:szCs w:val="28"/>
        </w:rPr>
        <w:t>）；</w:t>
      </w:r>
      <w:proofErr w:type="spellStart"/>
      <w:r>
        <w:rPr>
          <w:rFonts w:ascii="Times New Roman" w:eastAsia="宋体" w:hAnsi="Times New Roman" w:cs="Times New Roman"/>
          <w:kern w:val="0"/>
          <w:sz w:val="28"/>
          <w:szCs w:val="28"/>
        </w:rPr>
        <w:t>Csi</w:t>
      </w:r>
      <w:proofErr w:type="spellEnd"/>
      <w:r>
        <w:rPr>
          <w:rFonts w:ascii="Times New Roman" w:eastAsia="宋体" w:hAnsi="Times New Roman" w:cs="Times New Roman"/>
          <w:kern w:val="0"/>
          <w:sz w:val="28"/>
          <w:szCs w:val="28"/>
        </w:rPr>
        <w:t>为该评价因子相应的评价标准值。</w:t>
      </w:r>
    </w:p>
    <w:p w14:paraId="6D806AA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监测结果及评价</w:t>
      </w:r>
    </w:p>
    <w:p w14:paraId="72878EFB"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评价采用《海水水质标准》（</w:t>
      </w:r>
      <w:r>
        <w:rPr>
          <w:rFonts w:ascii="Times New Roman" w:eastAsia="宋体" w:hAnsi="Times New Roman" w:cs="Times New Roman"/>
          <w:kern w:val="0"/>
          <w:sz w:val="28"/>
          <w:szCs w:val="28"/>
        </w:rPr>
        <w:t>GB3097-1997</w:t>
      </w:r>
      <w:r>
        <w:rPr>
          <w:rFonts w:ascii="Times New Roman" w:eastAsia="宋体" w:hAnsi="Times New Roman" w:cs="Times New Roman"/>
          <w:kern w:val="0"/>
          <w:sz w:val="28"/>
          <w:szCs w:val="28"/>
        </w:rPr>
        <w:t>）第二类标准。海水监测结果统计见表</w:t>
      </w:r>
      <w:r>
        <w:rPr>
          <w:rFonts w:ascii="Times New Roman" w:eastAsia="宋体" w:hAnsi="Times New Roman" w:cs="Times New Roman"/>
          <w:kern w:val="0"/>
          <w:sz w:val="28"/>
          <w:szCs w:val="28"/>
        </w:rPr>
        <w:t>5.2-9</w:t>
      </w:r>
      <w:r>
        <w:rPr>
          <w:rFonts w:ascii="Times New Roman" w:eastAsia="宋体" w:hAnsi="Times New Roman" w:cs="Times New Roman"/>
          <w:kern w:val="0"/>
          <w:sz w:val="28"/>
          <w:szCs w:val="28"/>
        </w:rPr>
        <w:t>。</w:t>
      </w:r>
    </w:p>
    <w:p w14:paraId="558533FC" w14:textId="77777777" w:rsidR="002133E3" w:rsidRDefault="00C22CFA">
      <w:pPr>
        <w:snapToGrid w:val="0"/>
        <w:spacing w:line="500" w:lineRule="atLeas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5.2-9  </w:t>
      </w:r>
      <w:r>
        <w:rPr>
          <w:rFonts w:ascii="Times New Roman" w:eastAsia="宋体" w:hAnsi="Times New Roman" w:cs="Times New Roman"/>
          <w:b/>
          <w:kern w:val="0"/>
          <w:sz w:val="24"/>
          <w:szCs w:val="24"/>
        </w:rPr>
        <w:t>海水现状监测及评价结果一栏表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1029"/>
        <w:gridCol w:w="1985"/>
        <w:gridCol w:w="1350"/>
        <w:gridCol w:w="1015"/>
        <w:gridCol w:w="1468"/>
        <w:gridCol w:w="1025"/>
      </w:tblGrid>
      <w:tr w:rsidR="002133E3" w14:paraId="660CC7CD" w14:textId="77777777">
        <w:trPr>
          <w:trHeight w:val="285"/>
          <w:jc w:val="center"/>
        </w:trPr>
        <w:tc>
          <w:tcPr>
            <w:tcW w:w="1006" w:type="pct"/>
            <w:vAlign w:val="center"/>
          </w:tcPr>
          <w:p w14:paraId="72282DA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采样地点</w:t>
            </w:r>
          </w:p>
        </w:tc>
        <w:tc>
          <w:tcPr>
            <w:tcW w:w="1529" w:type="pct"/>
            <w:gridSpan w:val="2"/>
            <w:vAlign w:val="center"/>
          </w:tcPr>
          <w:p w14:paraId="0A6D2B9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污染物名称</w:t>
            </w:r>
          </w:p>
        </w:tc>
        <w:tc>
          <w:tcPr>
            <w:tcW w:w="685" w:type="pct"/>
            <w:shd w:val="clear" w:color="auto" w:fill="auto"/>
            <w:vAlign w:val="center"/>
          </w:tcPr>
          <w:p w14:paraId="192E803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化学需氧量</w:t>
            </w:r>
          </w:p>
        </w:tc>
        <w:tc>
          <w:tcPr>
            <w:tcW w:w="515" w:type="pct"/>
            <w:shd w:val="clear" w:color="auto" w:fill="auto"/>
            <w:vAlign w:val="center"/>
          </w:tcPr>
          <w:p w14:paraId="27F8E26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无机氮</w:t>
            </w:r>
          </w:p>
        </w:tc>
        <w:tc>
          <w:tcPr>
            <w:tcW w:w="745" w:type="pct"/>
            <w:shd w:val="clear" w:color="auto" w:fill="auto"/>
            <w:vAlign w:val="center"/>
          </w:tcPr>
          <w:p w14:paraId="1212FE1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活性磷酸盐</w:t>
            </w:r>
          </w:p>
        </w:tc>
        <w:tc>
          <w:tcPr>
            <w:tcW w:w="520" w:type="pct"/>
            <w:shd w:val="clear" w:color="auto" w:fill="auto"/>
            <w:vAlign w:val="center"/>
          </w:tcPr>
          <w:p w14:paraId="7DA9617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石油类</w:t>
            </w:r>
          </w:p>
        </w:tc>
      </w:tr>
      <w:tr w:rsidR="002133E3" w14:paraId="05AA8847" w14:textId="77777777">
        <w:trPr>
          <w:trHeight w:val="285"/>
          <w:jc w:val="center"/>
        </w:trPr>
        <w:tc>
          <w:tcPr>
            <w:tcW w:w="1006" w:type="pct"/>
            <w:vMerge w:val="restart"/>
            <w:shd w:val="clear" w:color="auto" w:fill="auto"/>
            <w:vAlign w:val="center"/>
          </w:tcPr>
          <w:p w14:paraId="1359FEE2"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2#</w:t>
            </w:r>
            <w:r>
              <w:rPr>
                <w:rFonts w:ascii="Times New Roman" w:eastAsia="宋体" w:hAnsi="Times New Roman" w:cs="Times New Roman"/>
                <w:color w:val="000000"/>
                <w:kern w:val="0"/>
                <w:sz w:val="22"/>
              </w:rPr>
              <w:t>老兴庄河闸下</w:t>
            </w:r>
            <w:r>
              <w:rPr>
                <w:rFonts w:ascii="Times New Roman" w:eastAsia="宋体" w:hAnsi="Times New Roman" w:cs="Times New Roman"/>
                <w:color w:val="000000"/>
                <w:kern w:val="0"/>
                <w:sz w:val="22"/>
              </w:rPr>
              <w:t>(G228</w:t>
            </w:r>
            <w:r>
              <w:rPr>
                <w:rFonts w:ascii="Times New Roman" w:eastAsia="宋体" w:hAnsi="Times New Roman" w:cs="Times New Roman"/>
                <w:color w:val="000000"/>
                <w:kern w:val="0"/>
                <w:sz w:val="22"/>
              </w:rPr>
              <w:t>国道附近</w:t>
            </w:r>
            <w:r>
              <w:rPr>
                <w:rFonts w:ascii="Times New Roman" w:eastAsia="宋体" w:hAnsi="Times New Roman" w:cs="Times New Roman"/>
                <w:color w:val="000000"/>
                <w:kern w:val="0"/>
                <w:sz w:val="22"/>
              </w:rPr>
              <w:t>)</w:t>
            </w:r>
          </w:p>
        </w:tc>
        <w:tc>
          <w:tcPr>
            <w:tcW w:w="522" w:type="pct"/>
            <w:vMerge w:val="restart"/>
            <w:shd w:val="clear" w:color="auto" w:fill="auto"/>
            <w:vAlign w:val="center"/>
          </w:tcPr>
          <w:p w14:paraId="7E93DDCB" w14:textId="77777777" w:rsidR="002133E3" w:rsidRDefault="00C22CFA">
            <w:pPr>
              <w:widowControl/>
              <w:jc w:val="center"/>
              <w:rPr>
                <w:rFonts w:ascii="Times New Roman" w:eastAsia="宋体" w:hAnsi="Times New Roman" w:cs="Times New Roman"/>
                <w:color w:val="0D0D0D"/>
                <w:kern w:val="0"/>
                <w:szCs w:val="21"/>
              </w:rPr>
            </w:pPr>
            <w:r>
              <w:rPr>
                <w:rFonts w:ascii="Times New Roman" w:eastAsia="宋体" w:hAnsi="Times New Roman" w:cs="Times New Roman"/>
                <w:color w:val="0D0D0D"/>
                <w:kern w:val="0"/>
                <w:szCs w:val="21"/>
              </w:rPr>
              <w:t>浓度范围</w:t>
            </w:r>
            <w:r>
              <w:rPr>
                <w:rFonts w:ascii="Times New Roman" w:eastAsia="宋体" w:hAnsi="Times New Roman" w:cs="Times New Roman"/>
                <w:color w:val="0D0D0D"/>
                <w:kern w:val="0"/>
                <w:szCs w:val="21"/>
              </w:rPr>
              <w:t>(mg/L)</w:t>
            </w:r>
          </w:p>
        </w:tc>
        <w:tc>
          <w:tcPr>
            <w:tcW w:w="1007" w:type="pct"/>
            <w:shd w:val="clear" w:color="auto" w:fill="auto"/>
            <w:vAlign w:val="center"/>
          </w:tcPr>
          <w:p w14:paraId="09B0AFB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最小值</w:t>
            </w:r>
          </w:p>
        </w:tc>
        <w:tc>
          <w:tcPr>
            <w:tcW w:w="685" w:type="pct"/>
            <w:shd w:val="clear" w:color="auto" w:fill="auto"/>
            <w:noWrap/>
            <w:vAlign w:val="center"/>
          </w:tcPr>
          <w:p w14:paraId="5A516913"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2.68</w:t>
            </w:r>
          </w:p>
        </w:tc>
        <w:tc>
          <w:tcPr>
            <w:tcW w:w="515" w:type="pct"/>
            <w:shd w:val="clear" w:color="auto" w:fill="auto"/>
            <w:noWrap/>
            <w:vAlign w:val="center"/>
          </w:tcPr>
          <w:p w14:paraId="0038F232"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0.507</w:t>
            </w:r>
          </w:p>
        </w:tc>
        <w:tc>
          <w:tcPr>
            <w:tcW w:w="745" w:type="pct"/>
            <w:shd w:val="clear" w:color="auto" w:fill="auto"/>
            <w:noWrap/>
            <w:vAlign w:val="center"/>
          </w:tcPr>
          <w:p w14:paraId="23B0180C"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0.0246</w:t>
            </w:r>
          </w:p>
        </w:tc>
        <w:tc>
          <w:tcPr>
            <w:tcW w:w="520" w:type="pct"/>
            <w:shd w:val="clear" w:color="auto" w:fill="auto"/>
            <w:noWrap/>
            <w:vAlign w:val="center"/>
          </w:tcPr>
          <w:p w14:paraId="35973A76"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0.05</w:t>
            </w:r>
          </w:p>
        </w:tc>
      </w:tr>
      <w:tr w:rsidR="002133E3" w14:paraId="03ED38E7" w14:textId="77777777">
        <w:trPr>
          <w:trHeight w:val="285"/>
          <w:jc w:val="center"/>
        </w:trPr>
        <w:tc>
          <w:tcPr>
            <w:tcW w:w="1006" w:type="pct"/>
            <w:vMerge/>
            <w:vAlign w:val="center"/>
          </w:tcPr>
          <w:p w14:paraId="7A3AC33D" w14:textId="77777777" w:rsidR="002133E3" w:rsidRDefault="002133E3">
            <w:pPr>
              <w:widowControl/>
              <w:jc w:val="left"/>
              <w:rPr>
                <w:rFonts w:ascii="Times New Roman" w:eastAsia="宋体" w:hAnsi="Times New Roman" w:cs="Times New Roman"/>
                <w:color w:val="000000"/>
                <w:kern w:val="0"/>
                <w:sz w:val="22"/>
              </w:rPr>
            </w:pPr>
          </w:p>
        </w:tc>
        <w:tc>
          <w:tcPr>
            <w:tcW w:w="522" w:type="pct"/>
            <w:vMerge/>
            <w:vAlign w:val="center"/>
          </w:tcPr>
          <w:p w14:paraId="3B60E4E2" w14:textId="77777777" w:rsidR="002133E3" w:rsidRDefault="002133E3">
            <w:pPr>
              <w:widowControl/>
              <w:jc w:val="left"/>
              <w:rPr>
                <w:rFonts w:ascii="Times New Roman" w:eastAsia="宋体" w:hAnsi="Times New Roman" w:cs="Times New Roman"/>
                <w:color w:val="0D0D0D"/>
                <w:kern w:val="0"/>
                <w:szCs w:val="21"/>
              </w:rPr>
            </w:pPr>
          </w:p>
        </w:tc>
        <w:tc>
          <w:tcPr>
            <w:tcW w:w="1007" w:type="pct"/>
            <w:shd w:val="clear" w:color="auto" w:fill="auto"/>
            <w:vAlign w:val="center"/>
          </w:tcPr>
          <w:p w14:paraId="0F39975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最大值</w:t>
            </w:r>
          </w:p>
        </w:tc>
        <w:tc>
          <w:tcPr>
            <w:tcW w:w="685" w:type="pct"/>
            <w:shd w:val="clear" w:color="auto" w:fill="auto"/>
            <w:noWrap/>
            <w:vAlign w:val="center"/>
          </w:tcPr>
          <w:p w14:paraId="2F6F5A91"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2.17</w:t>
            </w:r>
          </w:p>
        </w:tc>
        <w:tc>
          <w:tcPr>
            <w:tcW w:w="515" w:type="pct"/>
            <w:shd w:val="clear" w:color="auto" w:fill="auto"/>
            <w:noWrap/>
            <w:vAlign w:val="center"/>
          </w:tcPr>
          <w:p w14:paraId="5DF2397A"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0.2993</w:t>
            </w:r>
          </w:p>
        </w:tc>
        <w:tc>
          <w:tcPr>
            <w:tcW w:w="745" w:type="pct"/>
            <w:shd w:val="clear" w:color="auto" w:fill="auto"/>
            <w:noWrap/>
            <w:vAlign w:val="center"/>
          </w:tcPr>
          <w:p w14:paraId="3093DE21"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0.0191</w:t>
            </w:r>
          </w:p>
        </w:tc>
        <w:tc>
          <w:tcPr>
            <w:tcW w:w="520" w:type="pct"/>
            <w:shd w:val="clear" w:color="auto" w:fill="auto"/>
            <w:noWrap/>
            <w:vAlign w:val="center"/>
          </w:tcPr>
          <w:p w14:paraId="33BD658A"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0.02</w:t>
            </w:r>
          </w:p>
        </w:tc>
      </w:tr>
      <w:tr w:rsidR="002133E3" w14:paraId="7222A297" w14:textId="77777777">
        <w:trPr>
          <w:trHeight w:val="285"/>
          <w:jc w:val="center"/>
        </w:trPr>
        <w:tc>
          <w:tcPr>
            <w:tcW w:w="1006" w:type="pct"/>
            <w:vMerge/>
            <w:vAlign w:val="center"/>
          </w:tcPr>
          <w:p w14:paraId="3EAC9A42" w14:textId="77777777" w:rsidR="002133E3" w:rsidRDefault="002133E3">
            <w:pPr>
              <w:widowControl/>
              <w:jc w:val="left"/>
              <w:rPr>
                <w:rFonts w:ascii="Times New Roman" w:eastAsia="宋体" w:hAnsi="Times New Roman" w:cs="Times New Roman"/>
                <w:color w:val="000000"/>
                <w:kern w:val="0"/>
                <w:sz w:val="22"/>
              </w:rPr>
            </w:pPr>
          </w:p>
        </w:tc>
        <w:tc>
          <w:tcPr>
            <w:tcW w:w="522" w:type="pct"/>
            <w:vMerge w:val="restart"/>
            <w:shd w:val="clear" w:color="auto" w:fill="auto"/>
            <w:vAlign w:val="center"/>
          </w:tcPr>
          <w:p w14:paraId="7EA6B37C" w14:textId="77777777" w:rsidR="002133E3" w:rsidRDefault="00C22CFA">
            <w:pPr>
              <w:widowControl/>
              <w:jc w:val="center"/>
              <w:rPr>
                <w:rFonts w:ascii="Times New Roman" w:eastAsia="宋体" w:hAnsi="Times New Roman" w:cs="Times New Roman"/>
                <w:color w:val="0D0D0D"/>
                <w:kern w:val="0"/>
                <w:szCs w:val="21"/>
              </w:rPr>
            </w:pPr>
            <w:r>
              <w:rPr>
                <w:rFonts w:ascii="Times New Roman" w:eastAsia="宋体" w:hAnsi="Times New Roman" w:cs="Times New Roman"/>
                <w:color w:val="0D0D0D"/>
                <w:kern w:val="0"/>
                <w:szCs w:val="21"/>
              </w:rPr>
              <w:t>污染指数范围</w:t>
            </w:r>
          </w:p>
        </w:tc>
        <w:tc>
          <w:tcPr>
            <w:tcW w:w="1007" w:type="pct"/>
            <w:shd w:val="clear" w:color="auto" w:fill="auto"/>
            <w:vAlign w:val="center"/>
          </w:tcPr>
          <w:p w14:paraId="5C40904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最小值</w:t>
            </w:r>
          </w:p>
        </w:tc>
        <w:tc>
          <w:tcPr>
            <w:tcW w:w="685" w:type="pct"/>
            <w:shd w:val="clear" w:color="auto" w:fill="auto"/>
            <w:noWrap/>
            <w:vAlign w:val="center"/>
          </w:tcPr>
          <w:p w14:paraId="33EB29B1"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0.89</w:t>
            </w:r>
          </w:p>
        </w:tc>
        <w:tc>
          <w:tcPr>
            <w:tcW w:w="515" w:type="pct"/>
            <w:shd w:val="clear" w:color="auto" w:fill="auto"/>
            <w:noWrap/>
            <w:vAlign w:val="center"/>
          </w:tcPr>
          <w:p w14:paraId="5FAB2C7D"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1.69</w:t>
            </w:r>
          </w:p>
        </w:tc>
        <w:tc>
          <w:tcPr>
            <w:tcW w:w="745" w:type="pct"/>
            <w:shd w:val="clear" w:color="auto" w:fill="auto"/>
            <w:noWrap/>
            <w:vAlign w:val="center"/>
          </w:tcPr>
          <w:p w14:paraId="44D6924C"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0.82</w:t>
            </w:r>
          </w:p>
        </w:tc>
        <w:tc>
          <w:tcPr>
            <w:tcW w:w="520" w:type="pct"/>
            <w:shd w:val="clear" w:color="auto" w:fill="auto"/>
            <w:noWrap/>
            <w:vAlign w:val="center"/>
          </w:tcPr>
          <w:p w14:paraId="76B7541C"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1.00</w:t>
            </w:r>
          </w:p>
        </w:tc>
      </w:tr>
      <w:tr w:rsidR="002133E3" w14:paraId="2D77E940" w14:textId="77777777">
        <w:trPr>
          <w:trHeight w:val="285"/>
          <w:jc w:val="center"/>
        </w:trPr>
        <w:tc>
          <w:tcPr>
            <w:tcW w:w="1006" w:type="pct"/>
            <w:vMerge/>
            <w:vAlign w:val="center"/>
          </w:tcPr>
          <w:p w14:paraId="35C474C4" w14:textId="77777777" w:rsidR="002133E3" w:rsidRDefault="002133E3">
            <w:pPr>
              <w:widowControl/>
              <w:jc w:val="left"/>
              <w:rPr>
                <w:rFonts w:ascii="Times New Roman" w:eastAsia="宋体" w:hAnsi="Times New Roman" w:cs="Times New Roman"/>
                <w:color w:val="000000"/>
                <w:kern w:val="0"/>
                <w:sz w:val="22"/>
              </w:rPr>
            </w:pPr>
          </w:p>
        </w:tc>
        <w:tc>
          <w:tcPr>
            <w:tcW w:w="522" w:type="pct"/>
            <w:vMerge/>
            <w:vAlign w:val="center"/>
          </w:tcPr>
          <w:p w14:paraId="4CC04B0F" w14:textId="77777777" w:rsidR="002133E3" w:rsidRDefault="002133E3">
            <w:pPr>
              <w:widowControl/>
              <w:jc w:val="left"/>
              <w:rPr>
                <w:rFonts w:ascii="Times New Roman" w:eastAsia="宋体" w:hAnsi="Times New Roman" w:cs="Times New Roman"/>
                <w:color w:val="0D0D0D"/>
                <w:kern w:val="0"/>
                <w:szCs w:val="21"/>
              </w:rPr>
            </w:pPr>
          </w:p>
        </w:tc>
        <w:tc>
          <w:tcPr>
            <w:tcW w:w="1007" w:type="pct"/>
            <w:shd w:val="clear" w:color="auto" w:fill="auto"/>
            <w:vAlign w:val="center"/>
          </w:tcPr>
          <w:p w14:paraId="080C5FB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最大值</w:t>
            </w:r>
          </w:p>
        </w:tc>
        <w:tc>
          <w:tcPr>
            <w:tcW w:w="685" w:type="pct"/>
            <w:shd w:val="clear" w:color="auto" w:fill="auto"/>
            <w:noWrap/>
            <w:vAlign w:val="center"/>
          </w:tcPr>
          <w:p w14:paraId="5DC073C0"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0.72</w:t>
            </w:r>
          </w:p>
        </w:tc>
        <w:tc>
          <w:tcPr>
            <w:tcW w:w="515" w:type="pct"/>
            <w:shd w:val="clear" w:color="auto" w:fill="auto"/>
            <w:noWrap/>
            <w:vAlign w:val="center"/>
          </w:tcPr>
          <w:p w14:paraId="3B257427"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1.00</w:t>
            </w:r>
          </w:p>
        </w:tc>
        <w:tc>
          <w:tcPr>
            <w:tcW w:w="745" w:type="pct"/>
            <w:shd w:val="clear" w:color="auto" w:fill="auto"/>
            <w:noWrap/>
            <w:vAlign w:val="center"/>
          </w:tcPr>
          <w:p w14:paraId="26E5C91F"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0.64</w:t>
            </w:r>
          </w:p>
        </w:tc>
        <w:tc>
          <w:tcPr>
            <w:tcW w:w="520" w:type="pct"/>
            <w:shd w:val="clear" w:color="auto" w:fill="auto"/>
            <w:noWrap/>
            <w:vAlign w:val="center"/>
          </w:tcPr>
          <w:p w14:paraId="586172A4"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0.40</w:t>
            </w:r>
          </w:p>
        </w:tc>
      </w:tr>
      <w:tr w:rsidR="002133E3" w14:paraId="147F4D09" w14:textId="77777777">
        <w:trPr>
          <w:trHeight w:val="285"/>
          <w:jc w:val="center"/>
        </w:trPr>
        <w:tc>
          <w:tcPr>
            <w:tcW w:w="1006" w:type="pct"/>
            <w:vMerge/>
            <w:vAlign w:val="center"/>
          </w:tcPr>
          <w:p w14:paraId="6C3C16C3" w14:textId="77777777" w:rsidR="002133E3" w:rsidRDefault="002133E3">
            <w:pPr>
              <w:widowControl/>
              <w:jc w:val="left"/>
              <w:rPr>
                <w:rFonts w:ascii="Times New Roman" w:eastAsia="宋体" w:hAnsi="Times New Roman" w:cs="Times New Roman"/>
                <w:color w:val="000000"/>
                <w:kern w:val="0"/>
                <w:sz w:val="22"/>
              </w:rPr>
            </w:pPr>
          </w:p>
        </w:tc>
        <w:tc>
          <w:tcPr>
            <w:tcW w:w="1529" w:type="pct"/>
            <w:gridSpan w:val="2"/>
            <w:shd w:val="clear" w:color="auto" w:fill="auto"/>
            <w:vAlign w:val="center"/>
          </w:tcPr>
          <w:p w14:paraId="584220D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超标率</w:t>
            </w:r>
            <w:r>
              <w:rPr>
                <w:rFonts w:ascii="Times New Roman" w:eastAsia="宋体" w:hAnsi="Times New Roman" w:cs="Times New Roman"/>
                <w:color w:val="000000"/>
                <w:kern w:val="0"/>
                <w:szCs w:val="21"/>
              </w:rPr>
              <w:t>%</w:t>
            </w:r>
          </w:p>
        </w:tc>
        <w:tc>
          <w:tcPr>
            <w:tcW w:w="685" w:type="pct"/>
            <w:shd w:val="clear" w:color="auto" w:fill="auto"/>
            <w:noWrap/>
            <w:vAlign w:val="center"/>
          </w:tcPr>
          <w:p w14:paraId="7BF39905"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w:t>
            </w:r>
          </w:p>
        </w:tc>
        <w:tc>
          <w:tcPr>
            <w:tcW w:w="515" w:type="pct"/>
            <w:shd w:val="clear" w:color="auto" w:fill="auto"/>
            <w:noWrap/>
            <w:vAlign w:val="center"/>
          </w:tcPr>
          <w:p w14:paraId="4B4253BF"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100</w:t>
            </w:r>
          </w:p>
        </w:tc>
        <w:tc>
          <w:tcPr>
            <w:tcW w:w="745" w:type="pct"/>
            <w:shd w:val="clear" w:color="auto" w:fill="auto"/>
            <w:noWrap/>
            <w:vAlign w:val="center"/>
          </w:tcPr>
          <w:p w14:paraId="4A9394D6"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w:t>
            </w:r>
          </w:p>
        </w:tc>
        <w:tc>
          <w:tcPr>
            <w:tcW w:w="520" w:type="pct"/>
            <w:shd w:val="clear" w:color="auto" w:fill="auto"/>
            <w:noWrap/>
            <w:vAlign w:val="center"/>
          </w:tcPr>
          <w:p w14:paraId="1AC1B667"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11</w:t>
            </w:r>
          </w:p>
        </w:tc>
      </w:tr>
      <w:tr w:rsidR="002133E3" w14:paraId="2A671794" w14:textId="77777777">
        <w:trPr>
          <w:trHeight w:val="285"/>
          <w:jc w:val="center"/>
        </w:trPr>
        <w:tc>
          <w:tcPr>
            <w:tcW w:w="2535" w:type="pct"/>
            <w:gridSpan w:val="3"/>
            <w:shd w:val="clear" w:color="auto" w:fill="auto"/>
            <w:noWrap/>
            <w:vAlign w:val="center"/>
          </w:tcPr>
          <w:p w14:paraId="72BB0DE9"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《海水水质标准》（</w:t>
            </w:r>
            <w:r>
              <w:rPr>
                <w:rFonts w:ascii="Times New Roman" w:eastAsia="宋体" w:hAnsi="Times New Roman" w:cs="Times New Roman"/>
                <w:color w:val="000000"/>
                <w:kern w:val="0"/>
                <w:sz w:val="22"/>
              </w:rPr>
              <w:t>GB3097-1997</w:t>
            </w:r>
            <w:r>
              <w:rPr>
                <w:rFonts w:ascii="Times New Roman" w:eastAsia="宋体" w:hAnsi="Times New Roman" w:cs="Times New Roman"/>
                <w:color w:val="000000"/>
                <w:kern w:val="0"/>
                <w:sz w:val="22"/>
              </w:rPr>
              <w:t>）第二类标准</w:t>
            </w:r>
          </w:p>
        </w:tc>
        <w:tc>
          <w:tcPr>
            <w:tcW w:w="685" w:type="pct"/>
            <w:shd w:val="clear" w:color="auto" w:fill="auto"/>
            <w:noWrap/>
            <w:vAlign w:val="center"/>
          </w:tcPr>
          <w:p w14:paraId="0D1193F7"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3</w:t>
            </w:r>
          </w:p>
        </w:tc>
        <w:tc>
          <w:tcPr>
            <w:tcW w:w="515" w:type="pct"/>
            <w:shd w:val="clear" w:color="auto" w:fill="auto"/>
            <w:noWrap/>
            <w:vAlign w:val="center"/>
          </w:tcPr>
          <w:p w14:paraId="766628FE"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0.3</w:t>
            </w:r>
          </w:p>
        </w:tc>
        <w:tc>
          <w:tcPr>
            <w:tcW w:w="745" w:type="pct"/>
            <w:shd w:val="clear" w:color="auto" w:fill="auto"/>
            <w:noWrap/>
            <w:vAlign w:val="center"/>
          </w:tcPr>
          <w:p w14:paraId="483F964D"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0.03</w:t>
            </w:r>
          </w:p>
        </w:tc>
        <w:tc>
          <w:tcPr>
            <w:tcW w:w="520" w:type="pct"/>
            <w:shd w:val="clear" w:color="auto" w:fill="auto"/>
            <w:noWrap/>
            <w:vAlign w:val="center"/>
          </w:tcPr>
          <w:p w14:paraId="4A75F5E4" w14:textId="77777777" w:rsidR="002133E3" w:rsidRDefault="00C22CFA">
            <w:pPr>
              <w:widowControl/>
              <w:jc w:val="center"/>
              <w:rPr>
                <w:rFonts w:ascii="Times New Roman" w:eastAsia="宋体" w:hAnsi="Times New Roman" w:cs="Times New Roman"/>
                <w:color w:val="000000"/>
                <w:kern w:val="0"/>
                <w:sz w:val="22"/>
              </w:rPr>
            </w:pPr>
            <w:r>
              <w:rPr>
                <w:rFonts w:ascii="Times New Roman" w:eastAsia="宋体" w:hAnsi="Times New Roman" w:cs="Times New Roman"/>
                <w:color w:val="000000"/>
                <w:kern w:val="0"/>
                <w:sz w:val="22"/>
              </w:rPr>
              <w:t>0.05</w:t>
            </w:r>
          </w:p>
        </w:tc>
      </w:tr>
    </w:tbl>
    <w:p w14:paraId="500043E2"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兴庄河入海口水质无机氮和</w:t>
      </w:r>
      <w:r>
        <w:rPr>
          <w:rFonts w:ascii="Times New Roman" w:eastAsia="宋体" w:hAnsi="Times New Roman" w:cs="Times New Roman" w:hint="eastAsia"/>
          <w:kern w:val="0"/>
          <w:sz w:val="28"/>
          <w:szCs w:val="28"/>
        </w:rPr>
        <w:t>石油类</w:t>
      </w:r>
      <w:r>
        <w:rPr>
          <w:rFonts w:ascii="Times New Roman" w:eastAsia="宋体" w:hAnsi="Times New Roman" w:cs="Times New Roman"/>
          <w:kern w:val="0"/>
          <w:sz w:val="28"/>
          <w:szCs w:val="28"/>
        </w:rPr>
        <w:t>超标，其它指标均能满足《海水水质标准》（</w:t>
      </w:r>
      <w:r>
        <w:rPr>
          <w:rFonts w:ascii="Times New Roman" w:eastAsia="宋体" w:hAnsi="Times New Roman" w:cs="Times New Roman"/>
          <w:kern w:val="0"/>
          <w:sz w:val="28"/>
          <w:szCs w:val="28"/>
        </w:rPr>
        <w:t>GB3097-1997</w:t>
      </w:r>
      <w:r>
        <w:rPr>
          <w:rFonts w:ascii="Times New Roman" w:eastAsia="宋体" w:hAnsi="Times New Roman" w:cs="Times New Roman"/>
          <w:kern w:val="0"/>
          <w:sz w:val="28"/>
          <w:szCs w:val="28"/>
        </w:rPr>
        <w:t>）第二类标准相应要求。该调查海域有较多的养殖区，这可能是造成调查海域营养盐超标的主要原因。</w:t>
      </w:r>
    </w:p>
    <w:p w14:paraId="35391B0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地下水质量现状评价</w:t>
      </w:r>
    </w:p>
    <w:p w14:paraId="6ACDD06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监测布点、监测项目及监测频次</w:t>
      </w:r>
      <w:r>
        <w:rPr>
          <w:rFonts w:ascii="Times New Roman" w:eastAsia="宋体" w:hAnsi="Times New Roman" w:cs="Times New Roman" w:hint="eastAsia"/>
          <w:b/>
          <w:sz w:val="30"/>
          <w:szCs w:val="30"/>
        </w:rPr>
        <w:t>和监测</w:t>
      </w:r>
      <w:r>
        <w:rPr>
          <w:rFonts w:ascii="Times New Roman" w:eastAsia="宋体" w:hAnsi="Times New Roman" w:cs="Times New Roman"/>
          <w:b/>
          <w:sz w:val="30"/>
          <w:szCs w:val="30"/>
        </w:rPr>
        <w:t>时间</w:t>
      </w:r>
    </w:p>
    <w:p w14:paraId="74C0CD7E" w14:textId="77777777" w:rsidR="002133E3" w:rsidRDefault="00C22CFA">
      <w:pPr>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监测点位见图</w:t>
      </w:r>
      <w:r>
        <w:rPr>
          <w:rFonts w:ascii="Times New Roman" w:eastAsia="宋体" w:hAnsi="Times New Roman" w:cs="Times New Roman"/>
          <w:kern w:val="0"/>
          <w:sz w:val="28"/>
          <w:szCs w:val="28"/>
        </w:rPr>
        <w:t>2.</w:t>
      </w:r>
      <w:r>
        <w:rPr>
          <w:rFonts w:ascii="Times New Roman" w:eastAsia="宋体" w:hAnsi="Times New Roman" w:cs="Times New Roman" w:hint="eastAsia"/>
          <w:kern w:val="0"/>
          <w:sz w:val="28"/>
          <w:szCs w:val="28"/>
        </w:rPr>
        <w:t>4</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5.2-1</w:t>
      </w:r>
      <w:r>
        <w:rPr>
          <w:rFonts w:ascii="Times New Roman" w:eastAsia="宋体" w:hAnsi="Times New Roman" w:cs="Times New Roman" w:hint="eastAsia"/>
          <w:kern w:val="0"/>
          <w:sz w:val="28"/>
          <w:szCs w:val="28"/>
        </w:rPr>
        <w:t>0</w:t>
      </w:r>
      <w:r>
        <w:rPr>
          <w:rFonts w:ascii="Times New Roman" w:eastAsia="宋体" w:hAnsi="Times New Roman" w:cs="Times New Roman"/>
          <w:kern w:val="0"/>
          <w:sz w:val="28"/>
          <w:szCs w:val="28"/>
        </w:rPr>
        <w:t>。</w:t>
      </w:r>
    </w:p>
    <w:p w14:paraId="23983F1B" w14:textId="77777777" w:rsidR="002133E3" w:rsidRDefault="00C22CFA">
      <w:pPr>
        <w:snapToGrid w:val="0"/>
        <w:spacing w:line="500" w:lineRule="atLeas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5.2-1</w:t>
      </w:r>
      <w:r>
        <w:rPr>
          <w:rFonts w:ascii="Times New Roman" w:eastAsia="宋体" w:hAnsi="Times New Roman" w:cs="Times New Roman" w:hint="eastAsia"/>
          <w:b/>
          <w:kern w:val="0"/>
          <w:sz w:val="24"/>
          <w:szCs w:val="24"/>
        </w:rPr>
        <w:t>0</w:t>
      </w:r>
      <w:r>
        <w:rPr>
          <w:rFonts w:ascii="Times New Roman" w:eastAsia="宋体" w:hAnsi="Times New Roman" w:cs="Times New Roman"/>
          <w:b/>
          <w:kern w:val="0"/>
          <w:sz w:val="24"/>
          <w:szCs w:val="24"/>
        </w:rPr>
        <w:t xml:space="preserve">  </w:t>
      </w:r>
      <w:r>
        <w:rPr>
          <w:rFonts w:ascii="Times New Roman" w:eastAsia="宋体" w:hAnsi="Times New Roman" w:cs="Times New Roman"/>
          <w:b/>
          <w:kern w:val="0"/>
          <w:sz w:val="24"/>
          <w:szCs w:val="24"/>
        </w:rPr>
        <w:t>地下水监测点位表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2578"/>
        <w:gridCol w:w="4807"/>
        <w:gridCol w:w="1679"/>
      </w:tblGrid>
      <w:tr w:rsidR="002133E3" w14:paraId="562B649F" w14:textId="77777777">
        <w:trPr>
          <w:trHeight w:val="284"/>
          <w:jc w:val="center"/>
        </w:trPr>
        <w:tc>
          <w:tcPr>
            <w:tcW w:w="401" w:type="pct"/>
            <w:vAlign w:val="center"/>
          </w:tcPr>
          <w:p w14:paraId="22B9AAAE" w14:textId="77777777" w:rsidR="002133E3" w:rsidRDefault="00C22CFA">
            <w:pPr>
              <w:spacing w:line="360" w:lineRule="exact"/>
              <w:jc w:val="center"/>
              <w:rPr>
                <w:rFonts w:ascii="Times New Roman" w:eastAsia="宋体" w:hAnsi="Times New Roman" w:cs="Times New Roman"/>
                <w:b/>
                <w:bCs/>
                <w:szCs w:val="21"/>
              </w:rPr>
            </w:pPr>
            <w:r>
              <w:rPr>
                <w:rFonts w:ascii="Times New Roman" w:eastAsia="宋体" w:hAnsi="Times New Roman" w:cs="Times New Roman"/>
                <w:b/>
                <w:bCs/>
                <w:szCs w:val="21"/>
              </w:rPr>
              <w:t>序号</w:t>
            </w:r>
          </w:p>
        </w:tc>
        <w:tc>
          <w:tcPr>
            <w:tcW w:w="1308" w:type="pct"/>
            <w:vAlign w:val="center"/>
          </w:tcPr>
          <w:p w14:paraId="47D58DB5" w14:textId="77777777" w:rsidR="002133E3" w:rsidRDefault="00C22CFA">
            <w:pPr>
              <w:spacing w:line="360" w:lineRule="exact"/>
              <w:jc w:val="center"/>
              <w:rPr>
                <w:rFonts w:ascii="Times New Roman" w:eastAsia="宋体" w:hAnsi="Times New Roman" w:cs="Times New Roman"/>
                <w:b/>
                <w:bCs/>
                <w:szCs w:val="21"/>
              </w:rPr>
            </w:pPr>
            <w:r>
              <w:rPr>
                <w:rFonts w:ascii="Times New Roman" w:eastAsia="宋体" w:hAnsi="Times New Roman" w:cs="Times New Roman"/>
                <w:b/>
                <w:bCs/>
                <w:szCs w:val="21"/>
              </w:rPr>
              <w:t>监测点位置</w:t>
            </w:r>
          </w:p>
        </w:tc>
        <w:tc>
          <w:tcPr>
            <w:tcW w:w="2439" w:type="pct"/>
            <w:vAlign w:val="center"/>
          </w:tcPr>
          <w:p w14:paraId="66AA30F1" w14:textId="77777777" w:rsidR="002133E3" w:rsidRDefault="00C22CFA">
            <w:pPr>
              <w:widowControl/>
              <w:spacing w:line="36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监测因子</w:t>
            </w:r>
          </w:p>
        </w:tc>
        <w:tc>
          <w:tcPr>
            <w:tcW w:w="852" w:type="pct"/>
            <w:vAlign w:val="center"/>
          </w:tcPr>
          <w:p w14:paraId="2A2485BD" w14:textId="77777777" w:rsidR="002133E3" w:rsidRDefault="00C22CFA">
            <w:pPr>
              <w:widowControl/>
              <w:spacing w:line="36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监测频次</w:t>
            </w:r>
          </w:p>
        </w:tc>
      </w:tr>
      <w:tr w:rsidR="002133E3" w14:paraId="3EE7B683" w14:textId="77777777">
        <w:trPr>
          <w:trHeight w:val="284"/>
          <w:jc w:val="center"/>
        </w:trPr>
        <w:tc>
          <w:tcPr>
            <w:tcW w:w="401" w:type="pct"/>
            <w:vAlign w:val="center"/>
          </w:tcPr>
          <w:p w14:paraId="59C0141B" w14:textId="77777777" w:rsidR="002133E3" w:rsidRDefault="00C22CFA">
            <w:pPr>
              <w:spacing w:line="360" w:lineRule="exact"/>
              <w:jc w:val="center"/>
              <w:rPr>
                <w:rFonts w:ascii="Times New Roman" w:eastAsia="宋体" w:hAnsi="Times New Roman" w:cs="Times New Roman"/>
                <w:szCs w:val="21"/>
              </w:rPr>
            </w:pPr>
            <w:r>
              <w:rPr>
                <w:rFonts w:ascii="Times New Roman" w:eastAsia="宋体" w:hAnsi="Times New Roman" w:cs="Times New Roman"/>
                <w:szCs w:val="21"/>
              </w:rPr>
              <w:t>D1</w:t>
            </w:r>
          </w:p>
        </w:tc>
        <w:tc>
          <w:tcPr>
            <w:tcW w:w="1308" w:type="pct"/>
            <w:vMerge w:val="restart"/>
            <w:vAlign w:val="center"/>
          </w:tcPr>
          <w:p w14:paraId="38D042AD" w14:textId="77777777" w:rsidR="002133E3" w:rsidRDefault="00C22CFA">
            <w:pPr>
              <w:spacing w:line="360" w:lineRule="exact"/>
              <w:jc w:val="center"/>
              <w:rPr>
                <w:rFonts w:ascii="Times New Roman" w:eastAsia="宋体" w:hAnsi="Times New Roman" w:cs="Times New Roman"/>
                <w:szCs w:val="21"/>
              </w:rPr>
            </w:pPr>
            <w:r>
              <w:rPr>
                <w:rFonts w:ascii="Times New Roman" w:eastAsia="宋体" w:hAnsi="Times New Roman" w:cs="Times New Roman"/>
                <w:szCs w:val="21"/>
              </w:rPr>
              <w:t>按照园区地下水流向上下游设置，详见附图</w:t>
            </w:r>
          </w:p>
        </w:tc>
        <w:tc>
          <w:tcPr>
            <w:tcW w:w="2439" w:type="pct"/>
            <w:vMerge w:val="restart"/>
            <w:vAlign w:val="center"/>
          </w:tcPr>
          <w:p w14:paraId="289AABC9" w14:textId="77777777" w:rsidR="002133E3" w:rsidRDefault="00C22CFA">
            <w:pPr>
              <w:spacing w:line="360" w:lineRule="exact"/>
              <w:jc w:val="left"/>
              <w:rPr>
                <w:rFonts w:ascii="Times New Roman" w:eastAsia="宋体" w:hAnsi="Times New Roman" w:cs="Times New Roman"/>
                <w:szCs w:val="21"/>
              </w:rPr>
            </w:pPr>
            <w:r>
              <w:rPr>
                <w:rFonts w:ascii="Times New Roman" w:eastAsia="宋体" w:hAnsi="Times New Roman" w:cs="Times New Roman"/>
                <w:szCs w:val="21"/>
              </w:rPr>
              <w:t>水位</w:t>
            </w:r>
          </w:p>
          <w:p w14:paraId="50BCF5B1" w14:textId="77777777" w:rsidR="002133E3" w:rsidRDefault="00C22CFA">
            <w:pPr>
              <w:spacing w:line="360" w:lineRule="exact"/>
              <w:jc w:val="left"/>
              <w:rPr>
                <w:rFonts w:ascii="Times New Roman" w:eastAsia="宋体" w:hAnsi="Times New Roman" w:cs="Times New Roman"/>
                <w:szCs w:val="21"/>
              </w:rPr>
            </w:pPr>
            <w:r>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1 \* GB3 </w:instrText>
            </w:r>
            <w:r>
              <w:rPr>
                <w:rFonts w:ascii="Times New Roman" w:eastAsia="宋体" w:hAnsi="Times New Roman" w:cs="Times New Roman"/>
                <w:szCs w:val="21"/>
              </w:rPr>
              <w:fldChar w:fldCharType="separate"/>
            </w:r>
            <w:r>
              <w:rPr>
                <w:rFonts w:ascii="宋体" w:eastAsia="宋体" w:hAnsi="宋体" w:cs="宋体" w:hint="eastAsia"/>
                <w:szCs w:val="21"/>
              </w:rPr>
              <w:t>①</w:t>
            </w:r>
            <w:r>
              <w:rPr>
                <w:rFonts w:ascii="Times New Roman" w:eastAsia="宋体" w:hAnsi="Times New Roman" w:cs="Times New Roman"/>
                <w:szCs w:val="21"/>
              </w:rPr>
              <w:fldChar w:fldCharType="end"/>
            </w:r>
            <w:r>
              <w:rPr>
                <w:rFonts w:ascii="Times New Roman" w:eastAsia="宋体" w:hAnsi="Times New Roman" w:cs="Times New Roman"/>
                <w:szCs w:val="21"/>
              </w:rPr>
              <w:t>K</w:t>
            </w:r>
            <w:r>
              <w:rPr>
                <w:rFonts w:ascii="Times New Roman" w:eastAsia="宋体" w:hAnsi="Times New Roman" w:cs="Times New Roman"/>
                <w:szCs w:val="21"/>
                <w:vertAlign w:val="superscript"/>
              </w:rPr>
              <w:t>+</w:t>
            </w:r>
            <w:r>
              <w:rPr>
                <w:rFonts w:ascii="Times New Roman" w:eastAsia="宋体" w:hAnsi="Times New Roman" w:cs="Times New Roman"/>
                <w:szCs w:val="21"/>
              </w:rPr>
              <w:t>、</w:t>
            </w:r>
            <w:r>
              <w:rPr>
                <w:rFonts w:ascii="Times New Roman" w:eastAsia="宋体" w:hAnsi="Times New Roman" w:cs="Times New Roman"/>
                <w:szCs w:val="21"/>
              </w:rPr>
              <w:t>Na</w:t>
            </w:r>
            <w:r>
              <w:rPr>
                <w:rFonts w:ascii="Times New Roman" w:eastAsia="宋体" w:hAnsi="Times New Roman" w:cs="Times New Roman"/>
                <w:szCs w:val="21"/>
                <w:vertAlign w:val="superscript"/>
              </w:rPr>
              <w:t>+</w:t>
            </w:r>
            <w:r>
              <w:rPr>
                <w:rFonts w:ascii="Times New Roman" w:eastAsia="宋体" w:hAnsi="Times New Roman" w:cs="Times New Roman"/>
                <w:szCs w:val="21"/>
              </w:rPr>
              <w:t>、</w:t>
            </w:r>
            <w:r>
              <w:rPr>
                <w:rFonts w:ascii="Times New Roman" w:eastAsia="宋体" w:hAnsi="Times New Roman" w:cs="Times New Roman"/>
                <w:szCs w:val="21"/>
              </w:rPr>
              <w:t>Ca</w:t>
            </w:r>
            <w:r>
              <w:rPr>
                <w:rFonts w:ascii="Times New Roman" w:eastAsia="宋体" w:hAnsi="Times New Roman" w:cs="Times New Roman"/>
                <w:szCs w:val="21"/>
                <w:vertAlign w:val="superscript"/>
              </w:rPr>
              <w:t>2+</w:t>
            </w:r>
            <w:r>
              <w:rPr>
                <w:rFonts w:ascii="Times New Roman" w:eastAsia="宋体" w:hAnsi="Times New Roman" w:cs="Times New Roman"/>
                <w:szCs w:val="21"/>
              </w:rPr>
              <w:t>、</w:t>
            </w:r>
            <w:r>
              <w:rPr>
                <w:rFonts w:ascii="Times New Roman" w:eastAsia="宋体" w:hAnsi="Times New Roman" w:cs="Times New Roman"/>
                <w:szCs w:val="21"/>
              </w:rPr>
              <w:t>Mg</w:t>
            </w:r>
            <w:r>
              <w:rPr>
                <w:rFonts w:ascii="Times New Roman" w:eastAsia="宋体" w:hAnsi="Times New Roman" w:cs="Times New Roman"/>
                <w:szCs w:val="21"/>
                <w:vertAlign w:val="superscript"/>
              </w:rPr>
              <w:t>2+</w:t>
            </w:r>
            <w:r>
              <w:rPr>
                <w:rFonts w:ascii="Times New Roman" w:eastAsia="宋体" w:hAnsi="Times New Roman" w:cs="Times New Roman"/>
                <w:szCs w:val="21"/>
              </w:rPr>
              <w:t>、</w:t>
            </w:r>
            <w:r>
              <w:rPr>
                <w:rFonts w:ascii="Times New Roman" w:eastAsia="宋体" w:hAnsi="Times New Roman" w:cs="Times New Roman"/>
                <w:szCs w:val="21"/>
              </w:rPr>
              <w:t>CO</w:t>
            </w:r>
            <w:r>
              <w:rPr>
                <w:rFonts w:ascii="Times New Roman" w:eastAsia="宋体" w:hAnsi="Times New Roman" w:cs="Times New Roman"/>
                <w:szCs w:val="21"/>
                <w:vertAlign w:val="subscript"/>
              </w:rPr>
              <w:t>3</w:t>
            </w:r>
            <w:r>
              <w:rPr>
                <w:rFonts w:ascii="Times New Roman" w:eastAsia="宋体" w:hAnsi="Times New Roman" w:cs="Times New Roman"/>
                <w:szCs w:val="21"/>
                <w:vertAlign w:val="superscript"/>
              </w:rPr>
              <w:t>2-</w:t>
            </w:r>
            <w:r>
              <w:rPr>
                <w:rFonts w:ascii="Times New Roman" w:eastAsia="宋体" w:hAnsi="Times New Roman" w:cs="Times New Roman"/>
                <w:szCs w:val="21"/>
              </w:rPr>
              <w:t>、</w:t>
            </w:r>
            <w:r>
              <w:rPr>
                <w:rFonts w:ascii="Times New Roman" w:eastAsia="宋体" w:hAnsi="Times New Roman" w:cs="Times New Roman"/>
                <w:szCs w:val="21"/>
              </w:rPr>
              <w:t>HCO</w:t>
            </w:r>
            <w:r>
              <w:rPr>
                <w:rFonts w:ascii="Times New Roman" w:eastAsia="宋体" w:hAnsi="Times New Roman" w:cs="Times New Roman"/>
                <w:szCs w:val="21"/>
                <w:vertAlign w:val="subscript"/>
              </w:rPr>
              <w:t>3</w:t>
            </w:r>
            <w:r>
              <w:rPr>
                <w:rFonts w:ascii="Times New Roman" w:eastAsia="宋体" w:hAnsi="Times New Roman" w:cs="Times New Roman"/>
                <w:szCs w:val="21"/>
                <w:vertAlign w:val="superscript"/>
              </w:rPr>
              <w:t>-</w:t>
            </w:r>
            <w:r>
              <w:rPr>
                <w:rFonts w:ascii="Times New Roman" w:eastAsia="宋体" w:hAnsi="Times New Roman" w:cs="Times New Roman"/>
                <w:szCs w:val="21"/>
              </w:rPr>
              <w:t>、</w:t>
            </w:r>
            <w:r>
              <w:rPr>
                <w:rFonts w:ascii="Times New Roman" w:eastAsia="宋体" w:hAnsi="Times New Roman" w:cs="Times New Roman"/>
                <w:szCs w:val="21"/>
              </w:rPr>
              <w:t>Cl</w:t>
            </w:r>
            <w:r>
              <w:rPr>
                <w:rFonts w:ascii="Times New Roman" w:eastAsia="宋体" w:hAnsi="Times New Roman" w:cs="Times New Roman"/>
                <w:szCs w:val="21"/>
                <w:vertAlign w:val="superscript"/>
              </w:rPr>
              <w:t>-</w:t>
            </w:r>
            <w:r>
              <w:rPr>
                <w:rFonts w:ascii="Times New Roman" w:eastAsia="宋体" w:hAnsi="Times New Roman" w:cs="Times New Roman"/>
                <w:szCs w:val="21"/>
              </w:rPr>
              <w:t>、</w:t>
            </w:r>
            <w:r>
              <w:rPr>
                <w:rFonts w:ascii="Times New Roman" w:eastAsia="宋体" w:hAnsi="Times New Roman" w:cs="Times New Roman"/>
                <w:szCs w:val="21"/>
              </w:rPr>
              <w:t>SO</w:t>
            </w:r>
            <w:r>
              <w:rPr>
                <w:rFonts w:ascii="Times New Roman" w:eastAsia="宋体" w:hAnsi="Times New Roman" w:cs="Times New Roman"/>
                <w:szCs w:val="21"/>
                <w:vertAlign w:val="subscript"/>
              </w:rPr>
              <w:t>4</w:t>
            </w:r>
            <w:r>
              <w:rPr>
                <w:rFonts w:ascii="Times New Roman" w:eastAsia="宋体" w:hAnsi="Times New Roman" w:cs="Times New Roman"/>
                <w:szCs w:val="21"/>
                <w:vertAlign w:val="superscript"/>
              </w:rPr>
              <w:t>2-</w:t>
            </w:r>
          </w:p>
          <w:p w14:paraId="7C2A5F90" w14:textId="77777777" w:rsidR="002133E3" w:rsidRDefault="00C22CFA">
            <w:pPr>
              <w:widowControl/>
              <w:spacing w:line="360" w:lineRule="exact"/>
              <w:rPr>
                <w:rFonts w:ascii="Times New Roman" w:eastAsia="宋体" w:hAnsi="Times New Roman" w:cs="Times New Roman"/>
                <w:kern w:val="0"/>
                <w:szCs w:val="21"/>
              </w:rPr>
            </w:pPr>
            <w:r>
              <w:rPr>
                <w:rFonts w:ascii="Times New Roman" w:eastAsia="宋体" w:hAnsi="Times New Roman" w:cs="Times New Roman"/>
                <w:kern w:val="0"/>
                <w:szCs w:val="21"/>
              </w:rPr>
              <w:fldChar w:fldCharType="begin"/>
            </w:r>
            <w:r>
              <w:rPr>
                <w:rFonts w:ascii="Times New Roman" w:eastAsia="宋体" w:hAnsi="Times New Roman" w:cs="Times New Roman"/>
                <w:kern w:val="0"/>
                <w:szCs w:val="21"/>
              </w:rPr>
              <w:instrText xml:space="preserve"> = 2 \* GB3 </w:instrText>
            </w:r>
            <w:r>
              <w:rPr>
                <w:rFonts w:ascii="Times New Roman" w:eastAsia="宋体" w:hAnsi="Times New Roman" w:cs="Times New Roman"/>
                <w:kern w:val="0"/>
                <w:szCs w:val="21"/>
              </w:rPr>
              <w:fldChar w:fldCharType="separate"/>
            </w:r>
            <w:r>
              <w:rPr>
                <w:rFonts w:ascii="宋体" w:eastAsia="宋体" w:hAnsi="宋体" w:cs="宋体" w:hint="eastAsia"/>
                <w:kern w:val="0"/>
                <w:szCs w:val="21"/>
              </w:rPr>
              <w:t>②</w:t>
            </w:r>
            <w:r>
              <w:rPr>
                <w:rFonts w:ascii="Times New Roman" w:eastAsia="宋体" w:hAnsi="Times New Roman" w:cs="Times New Roman"/>
                <w:kern w:val="0"/>
                <w:szCs w:val="21"/>
              </w:rPr>
              <w:fldChar w:fldCharType="end"/>
            </w:r>
            <w:r>
              <w:rPr>
                <w:rFonts w:ascii="Times New Roman" w:eastAsia="宋体" w:hAnsi="Times New Roman" w:cs="Times New Roman"/>
                <w:kern w:val="0"/>
                <w:szCs w:val="21"/>
              </w:rPr>
              <w:t>pH</w:t>
            </w:r>
            <w:r>
              <w:rPr>
                <w:rFonts w:ascii="Times New Roman" w:eastAsia="宋体" w:hAnsi="Times New Roman" w:cs="Times New Roman"/>
                <w:kern w:val="0"/>
                <w:szCs w:val="21"/>
              </w:rPr>
              <w:t>、耗氧量、总硬度、溶解性总固体、硝酸盐氮、亚硝酸盐氮、氨氮、六价铬、铜、铅、锌、甲苯、二甲苯、镍；</w:t>
            </w:r>
          </w:p>
        </w:tc>
        <w:tc>
          <w:tcPr>
            <w:tcW w:w="852" w:type="pct"/>
            <w:vMerge w:val="restart"/>
            <w:vAlign w:val="center"/>
          </w:tcPr>
          <w:p w14:paraId="00A11678" w14:textId="77777777" w:rsidR="002133E3" w:rsidRDefault="00C22CFA">
            <w:pPr>
              <w:spacing w:line="360" w:lineRule="exact"/>
              <w:jc w:val="center"/>
              <w:rPr>
                <w:rFonts w:ascii="Times New Roman" w:eastAsia="宋体" w:hAnsi="Times New Roman" w:cs="Times New Roman"/>
                <w:szCs w:val="20"/>
              </w:rPr>
            </w:pPr>
            <w:r>
              <w:rPr>
                <w:rFonts w:ascii="Times New Roman" w:eastAsia="宋体" w:hAnsi="Times New Roman" w:cs="Times New Roman"/>
                <w:szCs w:val="21"/>
              </w:rPr>
              <w:t>监测一次</w:t>
            </w:r>
          </w:p>
        </w:tc>
      </w:tr>
      <w:tr w:rsidR="002133E3" w14:paraId="0C1D43E8" w14:textId="77777777">
        <w:trPr>
          <w:trHeight w:val="284"/>
          <w:jc w:val="center"/>
        </w:trPr>
        <w:tc>
          <w:tcPr>
            <w:tcW w:w="401" w:type="pct"/>
            <w:vAlign w:val="center"/>
          </w:tcPr>
          <w:p w14:paraId="5A518CEA" w14:textId="77777777" w:rsidR="002133E3" w:rsidRDefault="00C22CFA">
            <w:pPr>
              <w:spacing w:line="360" w:lineRule="exact"/>
              <w:jc w:val="center"/>
              <w:rPr>
                <w:rFonts w:ascii="Times New Roman" w:eastAsia="宋体" w:hAnsi="Times New Roman" w:cs="Times New Roman"/>
                <w:szCs w:val="21"/>
              </w:rPr>
            </w:pPr>
            <w:r>
              <w:rPr>
                <w:rFonts w:ascii="Times New Roman" w:eastAsia="宋体" w:hAnsi="Times New Roman" w:cs="Times New Roman"/>
                <w:szCs w:val="21"/>
              </w:rPr>
              <w:t>D2</w:t>
            </w:r>
          </w:p>
        </w:tc>
        <w:tc>
          <w:tcPr>
            <w:tcW w:w="1308" w:type="pct"/>
            <w:vMerge/>
            <w:vAlign w:val="center"/>
          </w:tcPr>
          <w:p w14:paraId="0597E3B3" w14:textId="77777777" w:rsidR="002133E3" w:rsidRDefault="002133E3">
            <w:pPr>
              <w:spacing w:line="360" w:lineRule="exact"/>
              <w:jc w:val="center"/>
              <w:rPr>
                <w:rFonts w:ascii="Times New Roman" w:eastAsia="宋体" w:hAnsi="Times New Roman" w:cs="Times New Roman"/>
                <w:szCs w:val="21"/>
              </w:rPr>
            </w:pPr>
          </w:p>
        </w:tc>
        <w:tc>
          <w:tcPr>
            <w:tcW w:w="2439" w:type="pct"/>
            <w:vMerge/>
            <w:vAlign w:val="center"/>
          </w:tcPr>
          <w:p w14:paraId="2F06F2B7" w14:textId="77777777" w:rsidR="002133E3" w:rsidRDefault="002133E3">
            <w:pPr>
              <w:spacing w:line="360" w:lineRule="exact"/>
              <w:jc w:val="left"/>
              <w:rPr>
                <w:rFonts w:ascii="Times New Roman" w:eastAsia="宋体" w:hAnsi="Times New Roman" w:cs="Times New Roman"/>
                <w:szCs w:val="21"/>
              </w:rPr>
            </w:pPr>
          </w:p>
        </w:tc>
        <w:tc>
          <w:tcPr>
            <w:tcW w:w="852" w:type="pct"/>
            <w:vMerge/>
            <w:vAlign w:val="center"/>
          </w:tcPr>
          <w:p w14:paraId="389A2229" w14:textId="77777777" w:rsidR="002133E3" w:rsidRDefault="002133E3">
            <w:pPr>
              <w:spacing w:line="360" w:lineRule="exact"/>
              <w:jc w:val="center"/>
              <w:rPr>
                <w:rFonts w:ascii="Times New Roman" w:eastAsia="宋体" w:hAnsi="Times New Roman" w:cs="Times New Roman"/>
                <w:szCs w:val="21"/>
              </w:rPr>
            </w:pPr>
          </w:p>
        </w:tc>
      </w:tr>
      <w:tr w:rsidR="002133E3" w14:paraId="0E6C8310" w14:textId="77777777">
        <w:trPr>
          <w:trHeight w:val="284"/>
          <w:jc w:val="center"/>
        </w:trPr>
        <w:tc>
          <w:tcPr>
            <w:tcW w:w="401" w:type="pct"/>
            <w:vAlign w:val="center"/>
          </w:tcPr>
          <w:p w14:paraId="59C2D9EC" w14:textId="77777777" w:rsidR="002133E3" w:rsidRDefault="00C22CFA">
            <w:pPr>
              <w:spacing w:line="360" w:lineRule="exact"/>
              <w:jc w:val="center"/>
              <w:rPr>
                <w:rFonts w:ascii="Times New Roman" w:eastAsia="宋体" w:hAnsi="Times New Roman" w:cs="Times New Roman"/>
                <w:szCs w:val="21"/>
              </w:rPr>
            </w:pPr>
            <w:r>
              <w:rPr>
                <w:rFonts w:ascii="Times New Roman" w:eastAsia="宋体" w:hAnsi="Times New Roman" w:cs="Times New Roman"/>
                <w:szCs w:val="21"/>
              </w:rPr>
              <w:t>D3</w:t>
            </w:r>
          </w:p>
        </w:tc>
        <w:tc>
          <w:tcPr>
            <w:tcW w:w="1308" w:type="pct"/>
            <w:vMerge/>
            <w:vAlign w:val="center"/>
          </w:tcPr>
          <w:p w14:paraId="232F06E2" w14:textId="77777777" w:rsidR="002133E3" w:rsidRDefault="002133E3">
            <w:pPr>
              <w:spacing w:line="360" w:lineRule="exact"/>
              <w:jc w:val="center"/>
              <w:rPr>
                <w:rFonts w:ascii="Times New Roman" w:eastAsia="宋体" w:hAnsi="Times New Roman" w:cs="Times New Roman"/>
                <w:szCs w:val="21"/>
              </w:rPr>
            </w:pPr>
          </w:p>
        </w:tc>
        <w:tc>
          <w:tcPr>
            <w:tcW w:w="2439" w:type="pct"/>
            <w:vMerge/>
            <w:vAlign w:val="center"/>
          </w:tcPr>
          <w:p w14:paraId="5E27BEE7" w14:textId="77777777" w:rsidR="002133E3" w:rsidRDefault="002133E3">
            <w:pPr>
              <w:spacing w:line="360" w:lineRule="exact"/>
              <w:jc w:val="left"/>
              <w:rPr>
                <w:rFonts w:ascii="Times New Roman" w:eastAsia="宋体" w:hAnsi="Times New Roman" w:cs="Times New Roman"/>
                <w:szCs w:val="21"/>
              </w:rPr>
            </w:pPr>
          </w:p>
        </w:tc>
        <w:tc>
          <w:tcPr>
            <w:tcW w:w="852" w:type="pct"/>
            <w:vMerge/>
            <w:vAlign w:val="center"/>
          </w:tcPr>
          <w:p w14:paraId="35D3839A" w14:textId="77777777" w:rsidR="002133E3" w:rsidRDefault="002133E3">
            <w:pPr>
              <w:spacing w:line="360" w:lineRule="exact"/>
              <w:jc w:val="center"/>
              <w:rPr>
                <w:rFonts w:ascii="Times New Roman" w:eastAsia="宋体" w:hAnsi="Times New Roman" w:cs="Times New Roman"/>
                <w:szCs w:val="21"/>
              </w:rPr>
            </w:pPr>
          </w:p>
        </w:tc>
      </w:tr>
      <w:tr w:rsidR="002133E3" w14:paraId="0E51502C" w14:textId="77777777">
        <w:trPr>
          <w:trHeight w:val="284"/>
          <w:jc w:val="center"/>
        </w:trPr>
        <w:tc>
          <w:tcPr>
            <w:tcW w:w="401" w:type="pct"/>
            <w:vAlign w:val="center"/>
          </w:tcPr>
          <w:p w14:paraId="73ECC7AA" w14:textId="77777777" w:rsidR="002133E3" w:rsidRDefault="00C22CFA">
            <w:pPr>
              <w:spacing w:line="360" w:lineRule="exact"/>
              <w:jc w:val="center"/>
              <w:rPr>
                <w:rFonts w:ascii="Times New Roman" w:eastAsia="宋体" w:hAnsi="Times New Roman" w:cs="Times New Roman"/>
                <w:szCs w:val="21"/>
              </w:rPr>
            </w:pPr>
            <w:r>
              <w:rPr>
                <w:rFonts w:ascii="Times New Roman" w:eastAsia="宋体" w:hAnsi="Times New Roman" w:cs="Times New Roman"/>
                <w:szCs w:val="21"/>
              </w:rPr>
              <w:t>D4</w:t>
            </w:r>
          </w:p>
        </w:tc>
        <w:tc>
          <w:tcPr>
            <w:tcW w:w="1308" w:type="pct"/>
            <w:vMerge/>
            <w:vAlign w:val="center"/>
          </w:tcPr>
          <w:p w14:paraId="5DB4B034" w14:textId="77777777" w:rsidR="002133E3" w:rsidRDefault="002133E3">
            <w:pPr>
              <w:spacing w:line="360" w:lineRule="exact"/>
              <w:jc w:val="center"/>
              <w:rPr>
                <w:rFonts w:ascii="Times New Roman" w:eastAsia="宋体" w:hAnsi="Times New Roman" w:cs="Times New Roman"/>
                <w:szCs w:val="21"/>
              </w:rPr>
            </w:pPr>
          </w:p>
        </w:tc>
        <w:tc>
          <w:tcPr>
            <w:tcW w:w="2439" w:type="pct"/>
            <w:vMerge/>
            <w:vAlign w:val="center"/>
          </w:tcPr>
          <w:p w14:paraId="77D8A702" w14:textId="77777777" w:rsidR="002133E3" w:rsidRDefault="002133E3">
            <w:pPr>
              <w:spacing w:line="360" w:lineRule="exact"/>
              <w:jc w:val="left"/>
              <w:rPr>
                <w:rFonts w:ascii="Times New Roman" w:eastAsia="宋体" w:hAnsi="Times New Roman" w:cs="Times New Roman"/>
                <w:szCs w:val="21"/>
              </w:rPr>
            </w:pPr>
          </w:p>
        </w:tc>
        <w:tc>
          <w:tcPr>
            <w:tcW w:w="852" w:type="pct"/>
            <w:vMerge/>
            <w:vAlign w:val="center"/>
          </w:tcPr>
          <w:p w14:paraId="4D8BFC0D" w14:textId="77777777" w:rsidR="002133E3" w:rsidRDefault="002133E3">
            <w:pPr>
              <w:spacing w:line="360" w:lineRule="exact"/>
              <w:jc w:val="center"/>
              <w:rPr>
                <w:rFonts w:ascii="Times New Roman" w:eastAsia="宋体" w:hAnsi="Times New Roman" w:cs="Times New Roman"/>
                <w:szCs w:val="21"/>
              </w:rPr>
            </w:pPr>
          </w:p>
        </w:tc>
      </w:tr>
      <w:tr w:rsidR="002133E3" w14:paraId="70D76CDE" w14:textId="77777777">
        <w:trPr>
          <w:trHeight w:val="284"/>
          <w:jc w:val="center"/>
        </w:trPr>
        <w:tc>
          <w:tcPr>
            <w:tcW w:w="401" w:type="pct"/>
            <w:vAlign w:val="center"/>
          </w:tcPr>
          <w:p w14:paraId="607D6C78" w14:textId="77777777" w:rsidR="002133E3" w:rsidRDefault="00C22CFA">
            <w:pPr>
              <w:spacing w:line="360" w:lineRule="exact"/>
              <w:jc w:val="center"/>
              <w:rPr>
                <w:rFonts w:ascii="Times New Roman" w:eastAsia="宋体" w:hAnsi="Times New Roman" w:cs="Times New Roman"/>
                <w:szCs w:val="21"/>
              </w:rPr>
            </w:pPr>
            <w:r>
              <w:rPr>
                <w:rFonts w:ascii="Times New Roman" w:eastAsia="宋体" w:hAnsi="Times New Roman" w:cs="Times New Roman"/>
                <w:szCs w:val="21"/>
              </w:rPr>
              <w:t>D5</w:t>
            </w:r>
          </w:p>
        </w:tc>
        <w:tc>
          <w:tcPr>
            <w:tcW w:w="1308" w:type="pct"/>
            <w:vMerge/>
            <w:vAlign w:val="center"/>
          </w:tcPr>
          <w:p w14:paraId="46B7122F" w14:textId="77777777" w:rsidR="002133E3" w:rsidRDefault="002133E3">
            <w:pPr>
              <w:spacing w:line="360" w:lineRule="exact"/>
              <w:jc w:val="center"/>
              <w:rPr>
                <w:rFonts w:ascii="Times New Roman" w:eastAsia="宋体" w:hAnsi="Times New Roman" w:cs="Times New Roman"/>
                <w:szCs w:val="21"/>
              </w:rPr>
            </w:pPr>
          </w:p>
        </w:tc>
        <w:tc>
          <w:tcPr>
            <w:tcW w:w="2439" w:type="pct"/>
            <w:vMerge/>
            <w:vAlign w:val="center"/>
          </w:tcPr>
          <w:p w14:paraId="78415FB3" w14:textId="77777777" w:rsidR="002133E3" w:rsidRDefault="002133E3">
            <w:pPr>
              <w:spacing w:line="360" w:lineRule="exact"/>
              <w:jc w:val="left"/>
              <w:rPr>
                <w:rFonts w:ascii="Times New Roman" w:eastAsia="宋体" w:hAnsi="Times New Roman" w:cs="Times New Roman"/>
                <w:szCs w:val="21"/>
              </w:rPr>
            </w:pPr>
          </w:p>
        </w:tc>
        <w:tc>
          <w:tcPr>
            <w:tcW w:w="852" w:type="pct"/>
            <w:vMerge/>
            <w:vAlign w:val="center"/>
          </w:tcPr>
          <w:p w14:paraId="7F0152EE" w14:textId="77777777" w:rsidR="002133E3" w:rsidRDefault="002133E3">
            <w:pPr>
              <w:spacing w:line="360" w:lineRule="exact"/>
              <w:jc w:val="center"/>
              <w:rPr>
                <w:rFonts w:ascii="Times New Roman" w:eastAsia="宋体" w:hAnsi="Times New Roman" w:cs="Times New Roman"/>
                <w:szCs w:val="21"/>
              </w:rPr>
            </w:pPr>
          </w:p>
        </w:tc>
      </w:tr>
    </w:tbl>
    <w:p w14:paraId="13787CF5" w14:textId="77777777" w:rsidR="002133E3" w:rsidRDefault="00C22CFA">
      <w:pPr>
        <w:jc w:val="left"/>
        <w:rPr>
          <w:rFonts w:ascii="Times New Roman" w:eastAsia="宋体" w:hAnsi="Times New Roman" w:cs="Times New Roman"/>
          <w:kern w:val="0"/>
          <w:sz w:val="24"/>
          <w:szCs w:val="21"/>
        </w:rPr>
      </w:pPr>
      <w:r>
        <w:rPr>
          <w:rFonts w:ascii="Times New Roman" w:eastAsia="宋体" w:hAnsi="宋体" w:cs="Times New Roman" w:hint="eastAsia"/>
          <w:b/>
          <w:bCs/>
          <w:kern w:val="0"/>
          <w:sz w:val="24"/>
          <w:szCs w:val="21"/>
        </w:rPr>
        <w:t>注：</w:t>
      </w:r>
      <w:r>
        <w:rPr>
          <w:rFonts w:ascii="Times New Roman" w:eastAsia="宋体" w:hAnsi="宋体" w:cs="Times New Roman" w:hint="eastAsia"/>
          <w:kern w:val="0"/>
          <w:sz w:val="24"/>
          <w:szCs w:val="21"/>
        </w:rPr>
        <w:t>取样点位于潜水水位以下</w:t>
      </w:r>
      <w:r>
        <w:rPr>
          <w:rFonts w:ascii="Times New Roman" w:eastAsia="宋体" w:hAnsi="Times New Roman" w:cs="Times New Roman"/>
          <w:kern w:val="0"/>
          <w:sz w:val="24"/>
          <w:szCs w:val="21"/>
        </w:rPr>
        <w:t>1m</w:t>
      </w:r>
    </w:p>
    <w:p w14:paraId="105E83AC" w14:textId="77777777" w:rsidR="002133E3" w:rsidRDefault="00C22CFA">
      <w:pPr>
        <w:adjustRightInd w:val="0"/>
        <w:snapToGrid w:val="0"/>
        <w:ind w:firstLineChars="200" w:firstLine="562"/>
        <w:jc w:val="center"/>
        <w:rPr>
          <w:rFonts w:ascii="Times New Roman" w:eastAsia="宋体" w:hAnsi="Times New Roman" w:cs="Times New Roman"/>
          <w:b/>
          <w:bCs/>
          <w:kern w:val="0"/>
          <w:sz w:val="28"/>
          <w:szCs w:val="28"/>
        </w:rPr>
      </w:pPr>
      <w:r>
        <w:rPr>
          <w:rFonts w:ascii="宋体" w:eastAsia="宋体" w:hAnsi="宋体" w:hint="eastAsia"/>
          <w:b/>
          <w:noProof/>
          <w:sz w:val="28"/>
          <w:szCs w:val="28"/>
        </w:rPr>
        <w:lastRenderedPageBreak/>
        <w:drawing>
          <wp:inline distT="0" distB="0" distL="0" distR="0" wp14:anchorId="77436F88" wp14:editId="711AAB17">
            <wp:extent cx="4343400" cy="34099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343400" cy="3409950"/>
                    </a:xfrm>
                    <a:prstGeom prst="rect">
                      <a:avLst/>
                    </a:prstGeom>
                    <a:noFill/>
                    <a:ln>
                      <a:noFill/>
                    </a:ln>
                  </pic:spPr>
                </pic:pic>
              </a:graphicData>
            </a:graphic>
          </wp:inline>
        </w:drawing>
      </w:r>
    </w:p>
    <w:p w14:paraId="14EE0799" w14:textId="77777777" w:rsidR="002133E3" w:rsidRDefault="00C22CFA">
      <w:pPr>
        <w:adjustRightInd w:val="0"/>
        <w:snapToGrid w:val="0"/>
        <w:spacing w:line="500" w:lineRule="atLeast"/>
        <w:jc w:val="center"/>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图</w:t>
      </w:r>
      <w:r>
        <w:rPr>
          <w:rFonts w:ascii="Times New Roman" w:eastAsia="宋体" w:hAnsi="Times New Roman" w:cs="Times New Roman"/>
          <w:b/>
          <w:bCs/>
          <w:kern w:val="0"/>
          <w:sz w:val="24"/>
          <w:szCs w:val="24"/>
        </w:rPr>
        <w:t>2.</w:t>
      </w:r>
      <w:r>
        <w:rPr>
          <w:rFonts w:ascii="Times New Roman" w:eastAsia="宋体" w:hAnsi="Times New Roman" w:cs="Times New Roman" w:hint="eastAsia"/>
          <w:b/>
          <w:bCs/>
          <w:kern w:val="0"/>
          <w:sz w:val="24"/>
          <w:szCs w:val="24"/>
        </w:rPr>
        <w:t>4</w:t>
      </w:r>
      <w:r>
        <w:rPr>
          <w:rFonts w:ascii="Times New Roman" w:eastAsia="宋体" w:hAnsi="Times New Roman" w:cs="Times New Roman"/>
          <w:b/>
          <w:bCs/>
          <w:kern w:val="0"/>
          <w:sz w:val="24"/>
          <w:szCs w:val="24"/>
        </w:rPr>
        <w:t xml:space="preserve">-1 </w:t>
      </w:r>
      <w:r>
        <w:rPr>
          <w:rFonts w:ascii="Times New Roman" w:eastAsia="宋体" w:hAnsi="Times New Roman" w:cs="Times New Roman"/>
          <w:b/>
          <w:bCs/>
          <w:kern w:val="0"/>
          <w:sz w:val="24"/>
          <w:szCs w:val="24"/>
        </w:rPr>
        <w:t>地下水监测点位</w:t>
      </w:r>
      <w:r>
        <w:rPr>
          <w:rFonts w:ascii="Times New Roman" w:eastAsia="宋体" w:hAnsi="Times New Roman" w:cs="Times New Roman" w:hint="eastAsia"/>
          <w:b/>
          <w:bCs/>
          <w:kern w:val="0"/>
          <w:sz w:val="24"/>
          <w:szCs w:val="24"/>
        </w:rPr>
        <w:t>图</w:t>
      </w:r>
    </w:p>
    <w:p w14:paraId="0AA62F35"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本项目委托连云港智清环境科技有限公司实测，</w:t>
      </w:r>
      <w:r>
        <w:rPr>
          <w:rFonts w:ascii="Times New Roman" w:eastAsia="宋体" w:hAnsi="Times New Roman" w:cs="Times New Roman"/>
          <w:kern w:val="0"/>
          <w:sz w:val="28"/>
          <w:szCs w:val="28"/>
        </w:rPr>
        <w:t>监测时间：</w:t>
      </w:r>
      <w:r>
        <w:rPr>
          <w:rFonts w:ascii="Times New Roman" w:eastAsia="宋体" w:hAnsi="Times New Roman" w:cs="Times New Roman"/>
          <w:kern w:val="0"/>
          <w:sz w:val="28"/>
          <w:szCs w:val="28"/>
        </w:rPr>
        <w:t>2021</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12</w:t>
      </w:r>
      <w:r>
        <w:rPr>
          <w:rFonts w:ascii="Times New Roman" w:eastAsia="宋体" w:hAnsi="Times New Roman" w:cs="Times New Roman"/>
          <w:kern w:val="0"/>
          <w:sz w:val="28"/>
          <w:szCs w:val="28"/>
        </w:rPr>
        <w:t>日。</w:t>
      </w:r>
    </w:p>
    <w:p w14:paraId="246DC7B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采样分析方法</w:t>
      </w:r>
    </w:p>
    <w:p w14:paraId="22929710" w14:textId="77777777" w:rsidR="002133E3" w:rsidRDefault="00C22CFA">
      <w:pPr>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地下水监测分析方法见表</w:t>
      </w:r>
      <w:r>
        <w:rPr>
          <w:rFonts w:ascii="Times New Roman" w:eastAsia="宋体" w:hAnsi="Times New Roman" w:cs="Times New Roman"/>
          <w:kern w:val="0"/>
          <w:sz w:val="28"/>
          <w:szCs w:val="28"/>
        </w:rPr>
        <w:t>5</w:t>
      </w:r>
      <w:r>
        <w:rPr>
          <w:rFonts w:ascii="Times New Roman" w:eastAsia="宋体" w:hAnsi="Times New Roman" w:cs="Times New Roman" w:hint="eastAsia"/>
          <w:kern w:val="0"/>
          <w:sz w:val="28"/>
          <w:szCs w:val="28"/>
        </w:rPr>
        <w:t>.2-11</w:t>
      </w:r>
      <w:r>
        <w:rPr>
          <w:rFonts w:ascii="Times New Roman" w:eastAsia="宋体" w:hAnsi="Times New Roman" w:cs="Times New Roman" w:hint="eastAsia"/>
          <w:kern w:val="0"/>
          <w:sz w:val="28"/>
          <w:szCs w:val="28"/>
        </w:rPr>
        <w:t>。</w:t>
      </w:r>
    </w:p>
    <w:p w14:paraId="6CB9F868" w14:textId="77777777" w:rsidR="002133E3" w:rsidRDefault="00C22CFA">
      <w:pPr>
        <w:snapToGrid w:val="0"/>
        <w:spacing w:line="500" w:lineRule="atLeast"/>
        <w:jc w:val="center"/>
        <w:rPr>
          <w:rFonts w:ascii="Times New Roman" w:eastAsia="宋体" w:hAnsi="Times New Roman" w:cs="Times New Roman"/>
          <w:b/>
          <w:kern w:val="0"/>
          <w:sz w:val="24"/>
          <w:szCs w:val="24"/>
        </w:rPr>
      </w:pPr>
      <w:r>
        <w:rPr>
          <w:rFonts w:ascii="Times New Roman" w:eastAsia="宋体" w:hAnsi="Times New Roman" w:cs="Times New Roman" w:hint="eastAsia"/>
          <w:b/>
          <w:kern w:val="0"/>
          <w:sz w:val="24"/>
          <w:szCs w:val="24"/>
        </w:rPr>
        <w:t>表</w:t>
      </w:r>
      <w:r>
        <w:rPr>
          <w:rFonts w:ascii="Times New Roman" w:eastAsia="宋体" w:hAnsi="Times New Roman" w:cs="Times New Roman"/>
          <w:b/>
          <w:kern w:val="0"/>
          <w:sz w:val="24"/>
          <w:szCs w:val="24"/>
        </w:rPr>
        <w:t>5</w:t>
      </w:r>
      <w:r>
        <w:rPr>
          <w:rFonts w:ascii="Times New Roman" w:eastAsia="宋体" w:hAnsi="Times New Roman" w:cs="Times New Roman" w:hint="eastAsia"/>
          <w:b/>
          <w:kern w:val="0"/>
          <w:sz w:val="24"/>
          <w:szCs w:val="24"/>
        </w:rPr>
        <w:t>.2-11</w:t>
      </w:r>
      <w:r>
        <w:rPr>
          <w:rFonts w:ascii="Times New Roman" w:eastAsia="宋体" w:hAnsi="Times New Roman" w:cs="Times New Roman" w:hint="eastAsia"/>
          <w:b/>
          <w:kern w:val="0"/>
          <w:sz w:val="24"/>
          <w:szCs w:val="24"/>
        </w:rPr>
        <w:t>土地下水监测分析方法一览表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389"/>
        <w:gridCol w:w="2126"/>
        <w:gridCol w:w="5635"/>
      </w:tblGrid>
      <w:tr w:rsidR="002133E3" w14:paraId="7A7A2591"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357BA571" w14:textId="77777777" w:rsidR="002133E3" w:rsidRDefault="00C22CFA">
            <w:pPr>
              <w:snapToGrid w:val="0"/>
              <w:jc w:val="center"/>
              <w:rPr>
                <w:rFonts w:ascii="Times New Roman" w:eastAsia="宋体" w:hAnsi="Times New Roman" w:cs="Times New Roman"/>
                <w:b/>
                <w:bCs/>
                <w:kern w:val="0"/>
                <w:szCs w:val="21"/>
              </w:rPr>
            </w:pPr>
            <w:r>
              <w:rPr>
                <w:rFonts w:ascii="Times New Roman" w:eastAsia="宋体" w:hAnsi="Times New Roman" w:cs="Times New Roman" w:hint="eastAsia"/>
                <w:b/>
                <w:bCs/>
                <w:kern w:val="0"/>
                <w:szCs w:val="21"/>
              </w:rPr>
              <w:t>序号</w:t>
            </w:r>
          </w:p>
        </w:tc>
        <w:tc>
          <w:tcPr>
            <w:tcW w:w="705" w:type="pct"/>
            <w:tcBorders>
              <w:top w:val="single" w:sz="4" w:space="0" w:color="auto"/>
              <w:left w:val="single" w:sz="4" w:space="0" w:color="auto"/>
              <w:bottom w:val="single" w:sz="4" w:space="0" w:color="auto"/>
              <w:right w:val="single" w:sz="4" w:space="0" w:color="auto"/>
            </w:tcBorders>
            <w:vAlign w:val="center"/>
          </w:tcPr>
          <w:p w14:paraId="6386BD09" w14:textId="77777777" w:rsidR="002133E3" w:rsidRDefault="00C22CFA">
            <w:pPr>
              <w:snapToGrid w:val="0"/>
              <w:jc w:val="center"/>
              <w:rPr>
                <w:rFonts w:ascii="Times New Roman" w:eastAsia="宋体" w:hAnsi="Times New Roman" w:cs="Times New Roman"/>
                <w:b/>
                <w:bCs/>
                <w:kern w:val="0"/>
                <w:szCs w:val="21"/>
              </w:rPr>
            </w:pPr>
            <w:r>
              <w:rPr>
                <w:rFonts w:ascii="Times New Roman" w:eastAsia="宋体" w:hAnsi="Times New Roman" w:cs="Times New Roman" w:hint="eastAsia"/>
                <w:b/>
                <w:bCs/>
                <w:kern w:val="0"/>
                <w:szCs w:val="21"/>
              </w:rPr>
              <w:t>监测因子</w:t>
            </w:r>
          </w:p>
        </w:tc>
        <w:tc>
          <w:tcPr>
            <w:tcW w:w="1079" w:type="pct"/>
            <w:tcBorders>
              <w:top w:val="single" w:sz="4" w:space="0" w:color="auto"/>
              <w:left w:val="single" w:sz="4" w:space="0" w:color="auto"/>
              <w:bottom w:val="single" w:sz="4" w:space="0" w:color="auto"/>
              <w:right w:val="single" w:sz="4" w:space="0" w:color="auto"/>
            </w:tcBorders>
            <w:vAlign w:val="center"/>
          </w:tcPr>
          <w:p w14:paraId="430EEC12" w14:textId="77777777" w:rsidR="002133E3" w:rsidRDefault="00C22CFA">
            <w:pPr>
              <w:snapToGrid w:val="0"/>
              <w:jc w:val="center"/>
              <w:rPr>
                <w:rFonts w:ascii="Times New Roman" w:eastAsia="宋体" w:hAnsi="Times New Roman" w:cs="Times New Roman"/>
                <w:b/>
                <w:bCs/>
                <w:kern w:val="0"/>
                <w:szCs w:val="21"/>
              </w:rPr>
            </w:pPr>
            <w:r>
              <w:rPr>
                <w:rFonts w:ascii="Times New Roman" w:eastAsia="宋体" w:hAnsi="Times New Roman" w:cs="Times New Roman" w:hint="eastAsia"/>
                <w:b/>
                <w:bCs/>
                <w:kern w:val="0"/>
                <w:szCs w:val="21"/>
              </w:rPr>
              <w:t>分析方法</w:t>
            </w:r>
          </w:p>
        </w:tc>
        <w:tc>
          <w:tcPr>
            <w:tcW w:w="2859" w:type="pct"/>
            <w:tcBorders>
              <w:top w:val="single" w:sz="4" w:space="0" w:color="auto"/>
              <w:left w:val="single" w:sz="4" w:space="0" w:color="auto"/>
              <w:bottom w:val="single" w:sz="4" w:space="0" w:color="auto"/>
              <w:right w:val="single" w:sz="4" w:space="0" w:color="auto"/>
            </w:tcBorders>
            <w:vAlign w:val="center"/>
          </w:tcPr>
          <w:p w14:paraId="2E83344C" w14:textId="77777777" w:rsidR="002133E3" w:rsidRDefault="00C22CFA">
            <w:pPr>
              <w:snapToGrid w:val="0"/>
              <w:jc w:val="center"/>
              <w:rPr>
                <w:rFonts w:ascii="Times New Roman" w:eastAsia="宋体" w:hAnsi="Times New Roman" w:cs="Times New Roman"/>
                <w:b/>
                <w:bCs/>
                <w:kern w:val="0"/>
                <w:szCs w:val="21"/>
              </w:rPr>
            </w:pPr>
            <w:r>
              <w:rPr>
                <w:rFonts w:ascii="Times New Roman" w:eastAsia="宋体" w:hAnsi="Times New Roman" w:cs="Times New Roman" w:hint="eastAsia"/>
                <w:b/>
                <w:bCs/>
                <w:kern w:val="0"/>
                <w:szCs w:val="21"/>
              </w:rPr>
              <w:t>监测方法</w:t>
            </w:r>
          </w:p>
        </w:tc>
      </w:tr>
      <w:tr w:rsidR="002133E3" w14:paraId="59C2DC57"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3B00235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705" w:type="pct"/>
            <w:tcBorders>
              <w:top w:val="single" w:sz="4" w:space="0" w:color="auto"/>
              <w:left w:val="single" w:sz="4" w:space="0" w:color="auto"/>
              <w:bottom w:val="single" w:sz="4" w:space="0" w:color="auto"/>
              <w:right w:val="single" w:sz="4" w:space="0" w:color="auto"/>
            </w:tcBorders>
            <w:vAlign w:val="center"/>
          </w:tcPr>
          <w:p w14:paraId="0F58773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p>
        </w:tc>
        <w:tc>
          <w:tcPr>
            <w:tcW w:w="1079" w:type="pct"/>
            <w:tcBorders>
              <w:top w:val="single" w:sz="4" w:space="0" w:color="auto"/>
              <w:left w:val="single" w:sz="4" w:space="0" w:color="auto"/>
              <w:bottom w:val="single" w:sz="4" w:space="0" w:color="auto"/>
              <w:right w:val="single" w:sz="4" w:space="0" w:color="auto"/>
            </w:tcBorders>
            <w:vAlign w:val="center"/>
          </w:tcPr>
          <w:p w14:paraId="4FE2D5D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便携式</w:t>
            </w:r>
            <w:r>
              <w:rPr>
                <w:rFonts w:ascii="Times New Roman" w:eastAsia="宋体" w:hAnsi="Times New Roman" w:cs="Times New Roman"/>
                <w:kern w:val="0"/>
                <w:szCs w:val="21"/>
              </w:rPr>
              <w:t>pH</w:t>
            </w:r>
            <w:r>
              <w:rPr>
                <w:rFonts w:ascii="Times New Roman" w:eastAsia="宋体" w:hAnsi="Times New Roman" w:cs="Times New Roman"/>
                <w:kern w:val="0"/>
                <w:szCs w:val="21"/>
              </w:rPr>
              <w:t>计</w:t>
            </w:r>
          </w:p>
          <w:p w14:paraId="4C3391C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PHB-4</w:t>
            </w:r>
          </w:p>
        </w:tc>
        <w:tc>
          <w:tcPr>
            <w:tcW w:w="2859" w:type="pct"/>
            <w:tcBorders>
              <w:top w:val="single" w:sz="4" w:space="0" w:color="auto"/>
              <w:left w:val="single" w:sz="4" w:space="0" w:color="auto"/>
              <w:bottom w:val="single" w:sz="4" w:space="0" w:color="auto"/>
              <w:right w:val="single" w:sz="4" w:space="0" w:color="auto"/>
            </w:tcBorders>
            <w:vAlign w:val="center"/>
          </w:tcPr>
          <w:p w14:paraId="716C108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《水和废水监测分析方法》（第四版增补版）国家环境保护总局（</w:t>
            </w:r>
            <w:r>
              <w:rPr>
                <w:rFonts w:ascii="Times New Roman" w:eastAsia="宋体" w:hAnsi="Times New Roman" w:cs="Times New Roman"/>
                <w:kern w:val="0"/>
                <w:szCs w:val="21"/>
              </w:rPr>
              <w:t>2002</w:t>
            </w:r>
            <w:r>
              <w:rPr>
                <w:rFonts w:ascii="Times New Roman" w:eastAsia="宋体" w:hAnsi="Times New Roman" w:cs="Times New Roman"/>
                <w:kern w:val="0"/>
                <w:szCs w:val="21"/>
              </w:rPr>
              <w:t>年）便携式</w:t>
            </w:r>
            <w:r>
              <w:rPr>
                <w:rFonts w:ascii="Times New Roman" w:eastAsia="宋体" w:hAnsi="Times New Roman" w:cs="Times New Roman"/>
                <w:kern w:val="0"/>
                <w:szCs w:val="21"/>
              </w:rPr>
              <w:t>pH</w:t>
            </w:r>
            <w:r>
              <w:rPr>
                <w:rFonts w:ascii="Times New Roman" w:eastAsia="宋体" w:hAnsi="Times New Roman" w:cs="Times New Roman"/>
                <w:kern w:val="0"/>
                <w:szCs w:val="21"/>
              </w:rPr>
              <w:t>计法</w:t>
            </w:r>
            <w:r>
              <w:rPr>
                <w:rFonts w:ascii="Times New Roman" w:eastAsia="宋体" w:hAnsi="Times New Roman" w:cs="Times New Roman"/>
                <w:kern w:val="0"/>
                <w:szCs w:val="21"/>
              </w:rPr>
              <w:t>3.1.6</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w:t>
            </w:r>
          </w:p>
        </w:tc>
      </w:tr>
      <w:tr w:rsidR="002133E3" w14:paraId="5392DE44"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238BD29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705" w:type="pct"/>
            <w:tcBorders>
              <w:top w:val="single" w:sz="4" w:space="0" w:color="auto"/>
              <w:left w:val="single" w:sz="4" w:space="0" w:color="auto"/>
              <w:bottom w:val="single" w:sz="4" w:space="0" w:color="auto"/>
              <w:right w:val="single" w:sz="4" w:space="0" w:color="auto"/>
            </w:tcBorders>
            <w:vAlign w:val="center"/>
          </w:tcPr>
          <w:p w14:paraId="461AD4A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钾</w:t>
            </w:r>
            <w:r>
              <w:rPr>
                <w:rFonts w:ascii="Times New Roman" w:eastAsia="宋体" w:hAnsi="Times New Roman" w:cs="Times New Roman"/>
                <w:kern w:val="0"/>
                <w:szCs w:val="21"/>
              </w:rPr>
              <w:t>(K)</w:t>
            </w:r>
          </w:p>
        </w:tc>
        <w:tc>
          <w:tcPr>
            <w:tcW w:w="1079" w:type="pct"/>
            <w:tcBorders>
              <w:top w:val="single" w:sz="4" w:space="0" w:color="auto"/>
              <w:left w:val="single" w:sz="4" w:space="0" w:color="auto"/>
              <w:bottom w:val="single" w:sz="4" w:space="0" w:color="auto"/>
              <w:right w:val="single" w:sz="4" w:space="0" w:color="auto"/>
            </w:tcBorders>
          </w:tcPr>
          <w:p w14:paraId="0E5CF6C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原子吸收分光光度计</w:t>
            </w:r>
            <w:r>
              <w:rPr>
                <w:rFonts w:ascii="Times New Roman" w:eastAsia="宋体" w:hAnsi="Times New Roman" w:cs="Times New Roman"/>
                <w:kern w:val="0"/>
                <w:szCs w:val="21"/>
              </w:rPr>
              <w:t>TAS-990F</w:t>
            </w:r>
          </w:p>
        </w:tc>
        <w:tc>
          <w:tcPr>
            <w:tcW w:w="2859" w:type="pct"/>
            <w:tcBorders>
              <w:top w:val="single" w:sz="4" w:space="0" w:color="auto"/>
              <w:left w:val="single" w:sz="4" w:space="0" w:color="auto"/>
              <w:bottom w:val="single" w:sz="4" w:space="0" w:color="auto"/>
              <w:right w:val="single" w:sz="4" w:space="0" w:color="auto"/>
            </w:tcBorders>
            <w:vAlign w:val="center"/>
          </w:tcPr>
          <w:p w14:paraId="1F74815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钾和钠的测定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火焰原子吸收分光光度法</w:t>
            </w:r>
            <w:r>
              <w:rPr>
                <w:rFonts w:ascii="Times New Roman" w:eastAsia="宋体" w:hAnsi="Times New Roman" w:cs="Times New Roman"/>
                <w:kern w:val="0"/>
                <w:szCs w:val="21"/>
              </w:rPr>
              <w:t xml:space="preserve"> GB/T 11904-1989</w:t>
            </w:r>
          </w:p>
        </w:tc>
      </w:tr>
      <w:tr w:rsidR="002133E3" w14:paraId="5003DB4E"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465B39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705" w:type="pct"/>
            <w:tcBorders>
              <w:top w:val="single" w:sz="4" w:space="0" w:color="auto"/>
              <w:left w:val="single" w:sz="4" w:space="0" w:color="auto"/>
              <w:bottom w:val="single" w:sz="4" w:space="0" w:color="auto"/>
              <w:right w:val="single" w:sz="4" w:space="0" w:color="auto"/>
            </w:tcBorders>
            <w:vAlign w:val="center"/>
          </w:tcPr>
          <w:p w14:paraId="0CA870D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钠</w:t>
            </w:r>
            <w:r>
              <w:rPr>
                <w:rFonts w:ascii="Times New Roman" w:eastAsia="宋体" w:hAnsi="Times New Roman" w:cs="Times New Roman"/>
                <w:kern w:val="0"/>
                <w:szCs w:val="21"/>
              </w:rPr>
              <w:t>(Na)</w:t>
            </w:r>
          </w:p>
        </w:tc>
        <w:tc>
          <w:tcPr>
            <w:tcW w:w="1079" w:type="pct"/>
            <w:tcBorders>
              <w:top w:val="single" w:sz="4" w:space="0" w:color="auto"/>
              <w:left w:val="single" w:sz="4" w:space="0" w:color="auto"/>
              <w:bottom w:val="single" w:sz="4" w:space="0" w:color="auto"/>
              <w:right w:val="single" w:sz="4" w:space="0" w:color="auto"/>
            </w:tcBorders>
          </w:tcPr>
          <w:p w14:paraId="34FEBE8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原子吸收分光光度计</w:t>
            </w:r>
            <w:r>
              <w:rPr>
                <w:rFonts w:ascii="Times New Roman" w:eastAsia="宋体" w:hAnsi="Times New Roman" w:cs="Times New Roman"/>
                <w:kern w:val="0"/>
                <w:szCs w:val="21"/>
              </w:rPr>
              <w:t>TAS-990F</w:t>
            </w:r>
          </w:p>
        </w:tc>
        <w:tc>
          <w:tcPr>
            <w:tcW w:w="2859" w:type="pct"/>
            <w:tcBorders>
              <w:top w:val="single" w:sz="4" w:space="0" w:color="auto"/>
              <w:left w:val="single" w:sz="4" w:space="0" w:color="auto"/>
              <w:bottom w:val="single" w:sz="4" w:space="0" w:color="auto"/>
              <w:right w:val="single" w:sz="4" w:space="0" w:color="auto"/>
            </w:tcBorders>
            <w:vAlign w:val="center"/>
          </w:tcPr>
          <w:p w14:paraId="2BE01EA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钾和钠的测定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火焰原子吸收分光光度法</w:t>
            </w:r>
            <w:r>
              <w:rPr>
                <w:rFonts w:ascii="Times New Roman" w:eastAsia="宋体" w:hAnsi="Times New Roman" w:cs="Times New Roman"/>
                <w:kern w:val="0"/>
                <w:szCs w:val="21"/>
              </w:rPr>
              <w:t xml:space="preserve">  GB/T 11904-1989</w:t>
            </w:r>
          </w:p>
        </w:tc>
      </w:tr>
      <w:tr w:rsidR="002133E3" w14:paraId="2404D00A"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3F0130D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705" w:type="pct"/>
            <w:tcBorders>
              <w:top w:val="single" w:sz="4" w:space="0" w:color="auto"/>
              <w:left w:val="single" w:sz="4" w:space="0" w:color="auto"/>
              <w:bottom w:val="single" w:sz="4" w:space="0" w:color="auto"/>
              <w:right w:val="single" w:sz="4" w:space="0" w:color="auto"/>
            </w:tcBorders>
            <w:vAlign w:val="center"/>
          </w:tcPr>
          <w:p w14:paraId="2BBBFC2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钙</w:t>
            </w:r>
            <w:r>
              <w:rPr>
                <w:rFonts w:ascii="Times New Roman" w:eastAsia="宋体" w:hAnsi="Times New Roman" w:cs="Times New Roman"/>
                <w:kern w:val="0"/>
                <w:szCs w:val="21"/>
              </w:rPr>
              <w:t>(Ca)</w:t>
            </w:r>
          </w:p>
        </w:tc>
        <w:tc>
          <w:tcPr>
            <w:tcW w:w="1079" w:type="pct"/>
            <w:tcBorders>
              <w:top w:val="single" w:sz="4" w:space="0" w:color="auto"/>
              <w:left w:val="single" w:sz="4" w:space="0" w:color="auto"/>
              <w:bottom w:val="single" w:sz="4" w:space="0" w:color="auto"/>
              <w:right w:val="single" w:sz="4" w:space="0" w:color="auto"/>
            </w:tcBorders>
          </w:tcPr>
          <w:p w14:paraId="65C53FA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原子吸收分光光度计</w:t>
            </w:r>
            <w:r>
              <w:rPr>
                <w:rFonts w:ascii="Times New Roman" w:eastAsia="宋体" w:hAnsi="Times New Roman" w:cs="Times New Roman"/>
                <w:kern w:val="0"/>
                <w:szCs w:val="21"/>
              </w:rPr>
              <w:t>TAS-990F</w:t>
            </w:r>
          </w:p>
        </w:tc>
        <w:tc>
          <w:tcPr>
            <w:tcW w:w="2859" w:type="pct"/>
            <w:tcBorders>
              <w:top w:val="single" w:sz="4" w:space="0" w:color="auto"/>
              <w:left w:val="single" w:sz="4" w:space="0" w:color="auto"/>
              <w:bottom w:val="single" w:sz="4" w:space="0" w:color="auto"/>
              <w:right w:val="single" w:sz="4" w:space="0" w:color="auto"/>
            </w:tcBorders>
            <w:vAlign w:val="center"/>
          </w:tcPr>
          <w:p w14:paraId="5B27E1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钙和镁的测定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原子吸收分光光度法</w:t>
            </w:r>
            <w:r>
              <w:rPr>
                <w:rFonts w:ascii="Times New Roman" w:eastAsia="宋体" w:hAnsi="Times New Roman" w:cs="Times New Roman"/>
                <w:kern w:val="0"/>
                <w:szCs w:val="21"/>
              </w:rPr>
              <w:t xml:space="preserve"> GB/T11905-1989</w:t>
            </w:r>
          </w:p>
        </w:tc>
      </w:tr>
      <w:tr w:rsidR="002133E3" w14:paraId="5799BDE1"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67ADE61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705" w:type="pct"/>
            <w:tcBorders>
              <w:top w:val="single" w:sz="4" w:space="0" w:color="auto"/>
              <w:left w:val="single" w:sz="4" w:space="0" w:color="auto"/>
              <w:bottom w:val="single" w:sz="4" w:space="0" w:color="auto"/>
              <w:right w:val="single" w:sz="4" w:space="0" w:color="auto"/>
            </w:tcBorders>
            <w:vAlign w:val="center"/>
          </w:tcPr>
          <w:p w14:paraId="15613E7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镁</w:t>
            </w:r>
            <w:r>
              <w:rPr>
                <w:rFonts w:ascii="Times New Roman" w:eastAsia="宋体" w:hAnsi="Times New Roman" w:cs="Times New Roman"/>
                <w:kern w:val="0"/>
                <w:szCs w:val="21"/>
              </w:rPr>
              <w:t>(Mg)</w:t>
            </w:r>
          </w:p>
        </w:tc>
        <w:tc>
          <w:tcPr>
            <w:tcW w:w="1079" w:type="pct"/>
            <w:tcBorders>
              <w:top w:val="single" w:sz="4" w:space="0" w:color="auto"/>
              <w:left w:val="single" w:sz="4" w:space="0" w:color="auto"/>
              <w:bottom w:val="single" w:sz="4" w:space="0" w:color="auto"/>
              <w:right w:val="single" w:sz="4" w:space="0" w:color="auto"/>
            </w:tcBorders>
          </w:tcPr>
          <w:p w14:paraId="4EA594C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原子吸收分光光度计</w:t>
            </w:r>
            <w:r>
              <w:rPr>
                <w:rFonts w:ascii="Times New Roman" w:eastAsia="宋体" w:hAnsi="Times New Roman" w:cs="Times New Roman"/>
                <w:kern w:val="0"/>
                <w:szCs w:val="21"/>
              </w:rPr>
              <w:t>TAS-990F</w:t>
            </w:r>
          </w:p>
        </w:tc>
        <w:tc>
          <w:tcPr>
            <w:tcW w:w="2859" w:type="pct"/>
            <w:tcBorders>
              <w:top w:val="single" w:sz="4" w:space="0" w:color="auto"/>
              <w:left w:val="single" w:sz="4" w:space="0" w:color="auto"/>
              <w:bottom w:val="single" w:sz="4" w:space="0" w:color="auto"/>
              <w:right w:val="single" w:sz="4" w:space="0" w:color="auto"/>
            </w:tcBorders>
            <w:vAlign w:val="center"/>
          </w:tcPr>
          <w:p w14:paraId="414A39D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钙和镁的测定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原子吸收分光光度法</w:t>
            </w:r>
            <w:r>
              <w:rPr>
                <w:rFonts w:ascii="Times New Roman" w:eastAsia="宋体" w:hAnsi="Times New Roman" w:cs="Times New Roman"/>
                <w:kern w:val="0"/>
                <w:szCs w:val="21"/>
              </w:rPr>
              <w:t xml:space="preserve">  GB/T11905-1989</w:t>
            </w:r>
          </w:p>
        </w:tc>
      </w:tr>
      <w:tr w:rsidR="002133E3" w14:paraId="56F93B83"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016333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705" w:type="pct"/>
            <w:tcBorders>
              <w:top w:val="single" w:sz="4" w:space="0" w:color="auto"/>
              <w:left w:val="single" w:sz="4" w:space="0" w:color="auto"/>
              <w:bottom w:val="single" w:sz="4" w:space="0" w:color="auto"/>
              <w:right w:val="single" w:sz="4" w:space="0" w:color="auto"/>
            </w:tcBorders>
            <w:vAlign w:val="center"/>
          </w:tcPr>
          <w:p w14:paraId="2EB85E1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碳酸盐</w:t>
            </w:r>
          </w:p>
        </w:tc>
        <w:tc>
          <w:tcPr>
            <w:tcW w:w="1079" w:type="pct"/>
            <w:tcBorders>
              <w:top w:val="single" w:sz="4" w:space="0" w:color="auto"/>
              <w:left w:val="single" w:sz="4" w:space="0" w:color="auto"/>
              <w:bottom w:val="single" w:sz="4" w:space="0" w:color="auto"/>
              <w:right w:val="single" w:sz="4" w:space="0" w:color="auto"/>
            </w:tcBorders>
            <w:vAlign w:val="center"/>
          </w:tcPr>
          <w:p w14:paraId="71FF45C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滴定法</w:t>
            </w:r>
          </w:p>
        </w:tc>
        <w:tc>
          <w:tcPr>
            <w:tcW w:w="2859" w:type="pct"/>
            <w:tcBorders>
              <w:top w:val="single" w:sz="4" w:space="0" w:color="auto"/>
              <w:left w:val="single" w:sz="4" w:space="0" w:color="auto"/>
              <w:bottom w:val="single" w:sz="4" w:space="0" w:color="auto"/>
              <w:right w:val="single" w:sz="4" w:space="0" w:color="auto"/>
            </w:tcBorders>
            <w:vAlign w:val="center"/>
          </w:tcPr>
          <w:p w14:paraId="69254C9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《水和废水监测分析方法》（第四版增补版）</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国家环境保护总局</w:t>
            </w:r>
            <w:r>
              <w:rPr>
                <w:rFonts w:ascii="Times New Roman" w:eastAsia="宋体" w:hAnsi="Times New Roman" w:cs="Times New Roman"/>
                <w:kern w:val="0"/>
                <w:szCs w:val="21"/>
              </w:rPr>
              <w:t xml:space="preserve"> 2002</w:t>
            </w:r>
            <w:r>
              <w:rPr>
                <w:rFonts w:ascii="Times New Roman" w:eastAsia="宋体" w:hAnsi="Times New Roman" w:cs="Times New Roman"/>
                <w:kern w:val="0"/>
                <w:szCs w:val="21"/>
              </w:rPr>
              <w:t>年</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酸碱指示剂滴定法</w:t>
            </w:r>
            <w:r>
              <w:rPr>
                <w:rFonts w:ascii="Times New Roman" w:eastAsia="宋体" w:hAnsi="Times New Roman" w:cs="Times New Roman"/>
                <w:kern w:val="0"/>
                <w:szCs w:val="21"/>
              </w:rPr>
              <w:t>3.1.12</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w:t>
            </w:r>
          </w:p>
        </w:tc>
      </w:tr>
      <w:tr w:rsidR="002133E3" w14:paraId="69C50E29"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326D02E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705" w:type="pct"/>
            <w:tcBorders>
              <w:top w:val="single" w:sz="4" w:space="0" w:color="auto"/>
              <w:left w:val="single" w:sz="4" w:space="0" w:color="auto"/>
              <w:bottom w:val="single" w:sz="4" w:space="0" w:color="auto"/>
              <w:right w:val="single" w:sz="4" w:space="0" w:color="auto"/>
            </w:tcBorders>
            <w:vAlign w:val="center"/>
          </w:tcPr>
          <w:p w14:paraId="1B16455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重碳酸盐</w:t>
            </w:r>
          </w:p>
        </w:tc>
        <w:tc>
          <w:tcPr>
            <w:tcW w:w="1079" w:type="pct"/>
            <w:tcBorders>
              <w:top w:val="single" w:sz="4" w:space="0" w:color="auto"/>
              <w:left w:val="single" w:sz="4" w:space="0" w:color="auto"/>
              <w:bottom w:val="single" w:sz="4" w:space="0" w:color="auto"/>
              <w:right w:val="single" w:sz="4" w:space="0" w:color="auto"/>
            </w:tcBorders>
            <w:vAlign w:val="center"/>
          </w:tcPr>
          <w:p w14:paraId="406F157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滴定法</w:t>
            </w:r>
          </w:p>
        </w:tc>
        <w:tc>
          <w:tcPr>
            <w:tcW w:w="2859" w:type="pct"/>
            <w:tcBorders>
              <w:top w:val="single" w:sz="4" w:space="0" w:color="auto"/>
              <w:left w:val="single" w:sz="4" w:space="0" w:color="auto"/>
              <w:bottom w:val="single" w:sz="4" w:space="0" w:color="auto"/>
              <w:right w:val="single" w:sz="4" w:space="0" w:color="auto"/>
            </w:tcBorders>
            <w:vAlign w:val="center"/>
          </w:tcPr>
          <w:p w14:paraId="0098320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《水和废水监测分析方法》（第四版增补版）</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国家环境保护总局</w:t>
            </w:r>
            <w:r>
              <w:rPr>
                <w:rFonts w:ascii="Times New Roman" w:eastAsia="宋体" w:hAnsi="Times New Roman" w:cs="Times New Roman"/>
                <w:kern w:val="0"/>
                <w:szCs w:val="21"/>
              </w:rPr>
              <w:t xml:space="preserve"> 2002</w:t>
            </w:r>
            <w:r>
              <w:rPr>
                <w:rFonts w:ascii="Times New Roman" w:eastAsia="宋体" w:hAnsi="Times New Roman" w:cs="Times New Roman"/>
                <w:kern w:val="0"/>
                <w:szCs w:val="21"/>
              </w:rPr>
              <w:t>年</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酸碱指示剂滴定法</w:t>
            </w:r>
            <w:r>
              <w:rPr>
                <w:rFonts w:ascii="Times New Roman" w:eastAsia="宋体" w:hAnsi="Times New Roman" w:cs="Times New Roman"/>
                <w:kern w:val="0"/>
                <w:szCs w:val="21"/>
              </w:rPr>
              <w:t>3.1.12</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w:t>
            </w:r>
          </w:p>
        </w:tc>
      </w:tr>
      <w:tr w:rsidR="002133E3" w14:paraId="49DD446B"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7BD3B3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705" w:type="pct"/>
            <w:tcBorders>
              <w:top w:val="single" w:sz="4" w:space="0" w:color="auto"/>
              <w:left w:val="single" w:sz="4" w:space="0" w:color="auto"/>
              <w:bottom w:val="single" w:sz="4" w:space="0" w:color="auto"/>
              <w:right w:val="single" w:sz="4" w:space="0" w:color="auto"/>
            </w:tcBorders>
            <w:vAlign w:val="center"/>
          </w:tcPr>
          <w:p w14:paraId="4196CAF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氯化物</w:t>
            </w:r>
          </w:p>
        </w:tc>
        <w:tc>
          <w:tcPr>
            <w:tcW w:w="1079" w:type="pct"/>
            <w:tcBorders>
              <w:top w:val="single" w:sz="4" w:space="0" w:color="auto"/>
              <w:left w:val="single" w:sz="4" w:space="0" w:color="auto"/>
              <w:bottom w:val="single" w:sz="4" w:space="0" w:color="auto"/>
              <w:right w:val="single" w:sz="4" w:space="0" w:color="auto"/>
            </w:tcBorders>
            <w:vAlign w:val="center"/>
          </w:tcPr>
          <w:p w14:paraId="50F5087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滴定法</w:t>
            </w:r>
          </w:p>
        </w:tc>
        <w:tc>
          <w:tcPr>
            <w:tcW w:w="2859" w:type="pct"/>
            <w:tcBorders>
              <w:top w:val="single" w:sz="4" w:space="0" w:color="auto"/>
              <w:left w:val="single" w:sz="4" w:space="0" w:color="auto"/>
              <w:bottom w:val="single" w:sz="4" w:space="0" w:color="auto"/>
              <w:right w:val="single" w:sz="4" w:space="0" w:color="auto"/>
            </w:tcBorders>
            <w:vAlign w:val="center"/>
          </w:tcPr>
          <w:p w14:paraId="6353D4C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氯化物的测定</w:t>
            </w:r>
            <w:r>
              <w:rPr>
                <w:rFonts w:ascii="Times New Roman" w:eastAsia="宋体" w:hAnsi="Times New Roman" w:cs="Times New Roman"/>
                <w:kern w:val="0"/>
                <w:szCs w:val="21"/>
              </w:rPr>
              <w:t xml:space="preserve">  </w:t>
            </w:r>
          </w:p>
          <w:p w14:paraId="22163AD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硝酸银滴定法</w:t>
            </w:r>
            <w:r>
              <w:rPr>
                <w:rFonts w:ascii="Times New Roman" w:eastAsia="宋体" w:hAnsi="Times New Roman" w:cs="Times New Roman"/>
                <w:kern w:val="0"/>
                <w:szCs w:val="21"/>
              </w:rPr>
              <w:t xml:space="preserve"> GB/T 11896-1989</w:t>
            </w:r>
          </w:p>
        </w:tc>
      </w:tr>
      <w:tr w:rsidR="002133E3" w14:paraId="1AF529D8"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8969AA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705" w:type="pct"/>
            <w:tcBorders>
              <w:top w:val="single" w:sz="4" w:space="0" w:color="auto"/>
              <w:left w:val="single" w:sz="4" w:space="0" w:color="auto"/>
              <w:bottom w:val="single" w:sz="4" w:space="0" w:color="auto"/>
              <w:right w:val="single" w:sz="4" w:space="0" w:color="auto"/>
            </w:tcBorders>
            <w:vAlign w:val="center"/>
          </w:tcPr>
          <w:p w14:paraId="54B8EEE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硫酸盐</w:t>
            </w:r>
          </w:p>
        </w:tc>
        <w:tc>
          <w:tcPr>
            <w:tcW w:w="1079" w:type="pct"/>
            <w:tcBorders>
              <w:top w:val="single" w:sz="4" w:space="0" w:color="auto"/>
              <w:left w:val="single" w:sz="4" w:space="0" w:color="auto"/>
              <w:bottom w:val="single" w:sz="4" w:space="0" w:color="auto"/>
              <w:right w:val="single" w:sz="4" w:space="0" w:color="auto"/>
            </w:tcBorders>
            <w:vAlign w:val="center"/>
          </w:tcPr>
          <w:p w14:paraId="55B32BF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离子色谱法</w:t>
            </w:r>
          </w:p>
        </w:tc>
        <w:tc>
          <w:tcPr>
            <w:tcW w:w="2859" w:type="pct"/>
            <w:tcBorders>
              <w:top w:val="single" w:sz="4" w:space="0" w:color="auto"/>
              <w:left w:val="single" w:sz="4" w:space="0" w:color="auto"/>
              <w:bottom w:val="single" w:sz="4" w:space="0" w:color="auto"/>
              <w:right w:val="single" w:sz="4" w:space="0" w:color="auto"/>
            </w:tcBorders>
            <w:vAlign w:val="center"/>
          </w:tcPr>
          <w:p w14:paraId="55AAF7E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无机阴离子（</w:t>
            </w:r>
            <w:r>
              <w:rPr>
                <w:rFonts w:ascii="Times New Roman" w:eastAsia="宋体" w:hAnsi="Times New Roman" w:cs="Times New Roman"/>
                <w:kern w:val="0"/>
                <w:szCs w:val="21"/>
              </w:rPr>
              <w:t>F-</w:t>
            </w:r>
            <w:r>
              <w:rPr>
                <w:rFonts w:ascii="Times New Roman" w:eastAsia="宋体" w:hAnsi="Times New Roman" w:cs="Times New Roman"/>
                <w:kern w:val="0"/>
                <w:szCs w:val="21"/>
              </w:rPr>
              <w:t>、</w:t>
            </w:r>
            <w:r>
              <w:rPr>
                <w:rFonts w:ascii="Times New Roman" w:eastAsia="宋体" w:hAnsi="Times New Roman" w:cs="Times New Roman"/>
                <w:kern w:val="0"/>
                <w:szCs w:val="21"/>
              </w:rPr>
              <w:t>Cl-</w:t>
            </w:r>
            <w:r>
              <w:rPr>
                <w:rFonts w:ascii="Times New Roman" w:eastAsia="宋体" w:hAnsi="Times New Roman" w:cs="Times New Roman"/>
                <w:kern w:val="0"/>
                <w:szCs w:val="21"/>
              </w:rPr>
              <w:t>、</w:t>
            </w:r>
            <w:r>
              <w:rPr>
                <w:rFonts w:ascii="Times New Roman" w:eastAsia="宋体" w:hAnsi="Times New Roman" w:cs="Times New Roman"/>
                <w:kern w:val="0"/>
                <w:szCs w:val="21"/>
              </w:rPr>
              <w:t>NO2-</w:t>
            </w:r>
            <w:r>
              <w:rPr>
                <w:rFonts w:ascii="Times New Roman" w:eastAsia="宋体" w:hAnsi="Times New Roman" w:cs="Times New Roman"/>
                <w:kern w:val="0"/>
                <w:szCs w:val="21"/>
              </w:rPr>
              <w:t>、</w:t>
            </w:r>
            <w:r>
              <w:rPr>
                <w:rFonts w:ascii="Times New Roman" w:eastAsia="宋体" w:hAnsi="Times New Roman" w:cs="Times New Roman"/>
                <w:kern w:val="0"/>
                <w:szCs w:val="21"/>
              </w:rPr>
              <w:t>Br-</w:t>
            </w:r>
            <w:r>
              <w:rPr>
                <w:rFonts w:ascii="Times New Roman" w:eastAsia="宋体" w:hAnsi="Times New Roman" w:cs="Times New Roman"/>
                <w:kern w:val="0"/>
                <w:szCs w:val="21"/>
              </w:rPr>
              <w:t>、</w:t>
            </w:r>
            <w:r>
              <w:rPr>
                <w:rFonts w:ascii="Times New Roman" w:eastAsia="宋体" w:hAnsi="Times New Roman" w:cs="Times New Roman"/>
                <w:kern w:val="0"/>
                <w:szCs w:val="21"/>
              </w:rPr>
              <w:t>NO3-</w:t>
            </w:r>
            <w:r>
              <w:rPr>
                <w:rFonts w:ascii="Times New Roman" w:eastAsia="宋体" w:hAnsi="Times New Roman" w:cs="Times New Roman"/>
                <w:kern w:val="0"/>
                <w:szCs w:val="21"/>
              </w:rPr>
              <w:t>、</w:t>
            </w:r>
            <w:r>
              <w:rPr>
                <w:rFonts w:ascii="Times New Roman" w:eastAsia="宋体" w:hAnsi="Times New Roman" w:cs="Times New Roman"/>
                <w:kern w:val="0"/>
                <w:szCs w:val="21"/>
              </w:rPr>
              <w:t>PO43-</w:t>
            </w:r>
            <w:r>
              <w:rPr>
                <w:rFonts w:ascii="Times New Roman" w:eastAsia="宋体" w:hAnsi="Times New Roman" w:cs="Times New Roman"/>
                <w:kern w:val="0"/>
                <w:szCs w:val="21"/>
              </w:rPr>
              <w:t>、</w:t>
            </w:r>
            <w:r>
              <w:rPr>
                <w:rFonts w:ascii="Times New Roman" w:eastAsia="宋体" w:hAnsi="Times New Roman" w:cs="Times New Roman"/>
                <w:kern w:val="0"/>
                <w:szCs w:val="21"/>
              </w:rPr>
              <w:t>SO32-</w:t>
            </w:r>
            <w:r>
              <w:rPr>
                <w:rFonts w:ascii="Times New Roman" w:eastAsia="宋体" w:hAnsi="Times New Roman" w:cs="Times New Roman"/>
                <w:kern w:val="0"/>
                <w:szCs w:val="21"/>
              </w:rPr>
              <w:t>、</w:t>
            </w:r>
            <w:r>
              <w:rPr>
                <w:rFonts w:ascii="Times New Roman" w:eastAsia="宋体" w:hAnsi="Times New Roman" w:cs="Times New Roman"/>
                <w:kern w:val="0"/>
                <w:szCs w:val="21"/>
              </w:rPr>
              <w:t>SO42-</w:t>
            </w:r>
            <w:r>
              <w:rPr>
                <w:rFonts w:ascii="Times New Roman" w:eastAsia="宋体" w:hAnsi="Times New Roman" w:cs="Times New Roman"/>
                <w:kern w:val="0"/>
                <w:szCs w:val="21"/>
              </w:rPr>
              <w:t>）的测定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离子色谱法</w:t>
            </w:r>
            <w:r>
              <w:rPr>
                <w:rFonts w:ascii="Times New Roman" w:eastAsia="宋体" w:hAnsi="Times New Roman" w:cs="Times New Roman"/>
                <w:kern w:val="0"/>
                <w:szCs w:val="21"/>
              </w:rPr>
              <w:t xml:space="preserve"> HJ 84-2016</w:t>
            </w:r>
          </w:p>
        </w:tc>
      </w:tr>
      <w:tr w:rsidR="002133E3" w14:paraId="356DB4B4"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A52FD8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705" w:type="pct"/>
            <w:tcBorders>
              <w:top w:val="single" w:sz="4" w:space="0" w:color="auto"/>
              <w:left w:val="single" w:sz="4" w:space="0" w:color="auto"/>
              <w:bottom w:val="single" w:sz="4" w:space="0" w:color="auto"/>
              <w:right w:val="single" w:sz="4" w:space="0" w:color="auto"/>
            </w:tcBorders>
            <w:vAlign w:val="center"/>
          </w:tcPr>
          <w:p w14:paraId="6CD5683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耗氧量</w:t>
            </w:r>
            <w:r>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高锰酸盐指数</w:t>
            </w:r>
            <w:r>
              <w:rPr>
                <w:rFonts w:ascii="Times New Roman" w:eastAsia="宋体" w:hAnsi="Times New Roman" w:cs="Times New Roman" w:hint="eastAsia"/>
                <w:kern w:val="0"/>
                <w:szCs w:val="21"/>
              </w:rPr>
              <w:t>)</w:t>
            </w:r>
          </w:p>
        </w:tc>
        <w:tc>
          <w:tcPr>
            <w:tcW w:w="1079" w:type="pct"/>
            <w:tcBorders>
              <w:top w:val="single" w:sz="4" w:space="0" w:color="auto"/>
              <w:left w:val="single" w:sz="4" w:space="0" w:color="auto"/>
              <w:bottom w:val="single" w:sz="4" w:space="0" w:color="auto"/>
              <w:right w:val="single" w:sz="4" w:space="0" w:color="auto"/>
            </w:tcBorders>
            <w:vAlign w:val="center"/>
          </w:tcPr>
          <w:p w14:paraId="520B814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酸性高锰酸钾滴定法</w:t>
            </w:r>
          </w:p>
        </w:tc>
        <w:tc>
          <w:tcPr>
            <w:tcW w:w="2859" w:type="pct"/>
            <w:tcBorders>
              <w:top w:val="single" w:sz="4" w:space="0" w:color="auto"/>
              <w:left w:val="single" w:sz="4" w:space="0" w:color="auto"/>
              <w:bottom w:val="single" w:sz="4" w:space="0" w:color="auto"/>
              <w:right w:val="single" w:sz="4" w:space="0" w:color="auto"/>
            </w:tcBorders>
            <w:vAlign w:val="center"/>
          </w:tcPr>
          <w:p w14:paraId="1E6AB03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高锰酸盐指数的测定</w:t>
            </w:r>
          </w:p>
          <w:p w14:paraId="7DF8309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GB/T 11892-1989</w:t>
            </w:r>
          </w:p>
        </w:tc>
      </w:tr>
      <w:tr w:rsidR="002133E3" w14:paraId="021966EE"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CBA23B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705" w:type="pct"/>
            <w:tcBorders>
              <w:top w:val="single" w:sz="4" w:space="0" w:color="auto"/>
              <w:left w:val="single" w:sz="4" w:space="0" w:color="auto"/>
              <w:bottom w:val="single" w:sz="4" w:space="0" w:color="auto"/>
              <w:right w:val="single" w:sz="4" w:space="0" w:color="auto"/>
            </w:tcBorders>
            <w:vAlign w:val="center"/>
          </w:tcPr>
          <w:p w14:paraId="1BFA45B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挥发性酚类</w:t>
            </w:r>
            <w:r>
              <w:rPr>
                <w:rFonts w:ascii="Times New Roman" w:eastAsia="宋体" w:hAnsi="Times New Roman" w:cs="Times New Roman"/>
                <w:kern w:val="0"/>
                <w:szCs w:val="21"/>
              </w:rPr>
              <w:lastRenderedPageBreak/>
              <w:t>(</w:t>
            </w:r>
            <w:r>
              <w:rPr>
                <w:rFonts w:ascii="Times New Roman" w:eastAsia="宋体" w:hAnsi="Times New Roman" w:cs="Times New Roman" w:hint="eastAsia"/>
                <w:kern w:val="0"/>
                <w:szCs w:val="21"/>
              </w:rPr>
              <w:t>以苯酚计）</w:t>
            </w:r>
          </w:p>
        </w:tc>
        <w:tc>
          <w:tcPr>
            <w:tcW w:w="1079" w:type="pct"/>
            <w:tcBorders>
              <w:top w:val="single" w:sz="4" w:space="0" w:color="auto"/>
              <w:left w:val="single" w:sz="4" w:space="0" w:color="auto"/>
              <w:bottom w:val="single" w:sz="4" w:space="0" w:color="auto"/>
              <w:right w:val="single" w:sz="4" w:space="0" w:color="auto"/>
            </w:tcBorders>
            <w:vAlign w:val="center"/>
          </w:tcPr>
          <w:p w14:paraId="6B51EDA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4-</w:t>
            </w:r>
            <w:r>
              <w:rPr>
                <w:rFonts w:ascii="Times New Roman" w:eastAsia="宋体" w:hAnsi="Times New Roman" w:cs="Times New Roman" w:hint="eastAsia"/>
                <w:kern w:val="0"/>
                <w:szCs w:val="21"/>
              </w:rPr>
              <w:t>氨基安替吡啉分光</w:t>
            </w:r>
            <w:r>
              <w:rPr>
                <w:rFonts w:ascii="Times New Roman" w:eastAsia="宋体" w:hAnsi="Times New Roman" w:cs="Times New Roman" w:hint="eastAsia"/>
                <w:kern w:val="0"/>
                <w:szCs w:val="21"/>
              </w:rPr>
              <w:lastRenderedPageBreak/>
              <w:t>光度法</w:t>
            </w:r>
          </w:p>
        </w:tc>
        <w:tc>
          <w:tcPr>
            <w:tcW w:w="2859" w:type="pct"/>
            <w:tcBorders>
              <w:top w:val="single" w:sz="4" w:space="0" w:color="auto"/>
              <w:left w:val="single" w:sz="4" w:space="0" w:color="auto"/>
              <w:bottom w:val="single" w:sz="4" w:space="0" w:color="auto"/>
              <w:right w:val="single" w:sz="4" w:space="0" w:color="auto"/>
            </w:tcBorders>
            <w:vAlign w:val="center"/>
          </w:tcPr>
          <w:p w14:paraId="4115F30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挥发酚的测定</w:t>
            </w:r>
            <w:r>
              <w:rPr>
                <w:rFonts w:ascii="Times New Roman" w:eastAsia="宋体" w:hAnsi="Times New Roman" w:cs="Times New Roman"/>
                <w:kern w:val="0"/>
                <w:szCs w:val="21"/>
              </w:rPr>
              <w:t xml:space="preserve"> 4-</w:t>
            </w:r>
            <w:r>
              <w:rPr>
                <w:rFonts w:ascii="Times New Roman" w:eastAsia="宋体" w:hAnsi="Times New Roman" w:cs="Times New Roman"/>
                <w:kern w:val="0"/>
                <w:szCs w:val="21"/>
              </w:rPr>
              <w:t>氨基安替吡啉分光光度法</w:t>
            </w:r>
            <w:r>
              <w:rPr>
                <w:rFonts w:ascii="Times New Roman" w:eastAsia="宋体" w:hAnsi="Times New Roman" w:cs="Times New Roman"/>
                <w:kern w:val="0"/>
                <w:szCs w:val="21"/>
              </w:rPr>
              <w:t xml:space="preserve"> HJ </w:t>
            </w:r>
            <w:r>
              <w:rPr>
                <w:rFonts w:ascii="Times New Roman" w:eastAsia="宋体" w:hAnsi="Times New Roman" w:cs="Times New Roman"/>
                <w:kern w:val="0"/>
                <w:szCs w:val="21"/>
              </w:rPr>
              <w:lastRenderedPageBreak/>
              <w:t>503-2009</w:t>
            </w:r>
          </w:p>
        </w:tc>
      </w:tr>
      <w:tr w:rsidR="002133E3" w14:paraId="33DC7B81"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238E76F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12</w:t>
            </w:r>
          </w:p>
        </w:tc>
        <w:tc>
          <w:tcPr>
            <w:tcW w:w="705" w:type="pct"/>
            <w:tcBorders>
              <w:top w:val="single" w:sz="4" w:space="0" w:color="auto"/>
              <w:left w:val="single" w:sz="4" w:space="0" w:color="auto"/>
              <w:bottom w:val="single" w:sz="4" w:space="0" w:color="auto"/>
              <w:right w:val="single" w:sz="4" w:space="0" w:color="auto"/>
            </w:tcBorders>
            <w:vAlign w:val="center"/>
          </w:tcPr>
          <w:p w14:paraId="2B7634D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氨氮</w:t>
            </w:r>
          </w:p>
        </w:tc>
        <w:tc>
          <w:tcPr>
            <w:tcW w:w="1079" w:type="pct"/>
            <w:tcBorders>
              <w:top w:val="single" w:sz="4" w:space="0" w:color="auto"/>
              <w:left w:val="single" w:sz="4" w:space="0" w:color="auto"/>
              <w:bottom w:val="single" w:sz="4" w:space="0" w:color="auto"/>
              <w:right w:val="single" w:sz="4" w:space="0" w:color="auto"/>
            </w:tcBorders>
            <w:vAlign w:val="center"/>
          </w:tcPr>
          <w:p w14:paraId="70D6613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纳氏试剂分光光度法</w:t>
            </w:r>
          </w:p>
        </w:tc>
        <w:tc>
          <w:tcPr>
            <w:tcW w:w="2859" w:type="pct"/>
            <w:tcBorders>
              <w:top w:val="single" w:sz="4" w:space="0" w:color="auto"/>
              <w:left w:val="single" w:sz="4" w:space="0" w:color="auto"/>
              <w:bottom w:val="single" w:sz="4" w:space="0" w:color="auto"/>
              <w:right w:val="single" w:sz="4" w:space="0" w:color="auto"/>
            </w:tcBorders>
            <w:vAlign w:val="center"/>
          </w:tcPr>
          <w:p w14:paraId="6B5D5D6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氨氮的测定</w:t>
            </w:r>
            <w:r>
              <w:rPr>
                <w:rFonts w:ascii="Times New Roman" w:eastAsia="宋体" w:hAnsi="Times New Roman" w:cs="Times New Roman"/>
                <w:kern w:val="0"/>
                <w:szCs w:val="21"/>
              </w:rPr>
              <w:t xml:space="preserve"> </w:t>
            </w:r>
          </w:p>
          <w:p w14:paraId="77D4A57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纳氏试剂分光光光度法</w:t>
            </w:r>
            <w:r>
              <w:rPr>
                <w:rFonts w:ascii="Times New Roman" w:eastAsia="宋体" w:hAnsi="Times New Roman" w:cs="Times New Roman"/>
                <w:kern w:val="0"/>
                <w:szCs w:val="21"/>
              </w:rPr>
              <w:t>HJ 535-2009</w:t>
            </w:r>
          </w:p>
        </w:tc>
      </w:tr>
      <w:tr w:rsidR="002133E3" w14:paraId="2A587DB9"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2C7AE36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705" w:type="pct"/>
            <w:tcBorders>
              <w:top w:val="single" w:sz="4" w:space="0" w:color="auto"/>
              <w:left w:val="single" w:sz="4" w:space="0" w:color="auto"/>
              <w:bottom w:val="single" w:sz="4" w:space="0" w:color="auto"/>
              <w:right w:val="single" w:sz="4" w:space="0" w:color="auto"/>
            </w:tcBorders>
            <w:vAlign w:val="center"/>
          </w:tcPr>
          <w:p w14:paraId="01728A3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硝酸盐</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以</w:t>
            </w:r>
            <w:r>
              <w:rPr>
                <w:rFonts w:ascii="Times New Roman" w:eastAsia="宋体" w:hAnsi="Times New Roman" w:cs="Times New Roman"/>
                <w:kern w:val="0"/>
                <w:szCs w:val="21"/>
              </w:rPr>
              <w:t>N</w:t>
            </w:r>
            <w:r>
              <w:rPr>
                <w:rFonts w:ascii="Times New Roman" w:eastAsia="宋体" w:hAnsi="Times New Roman" w:cs="Times New Roman" w:hint="eastAsia"/>
                <w:kern w:val="0"/>
                <w:szCs w:val="21"/>
              </w:rPr>
              <w:t>计）</w:t>
            </w:r>
          </w:p>
        </w:tc>
        <w:tc>
          <w:tcPr>
            <w:tcW w:w="1079" w:type="pct"/>
            <w:tcBorders>
              <w:top w:val="single" w:sz="4" w:space="0" w:color="auto"/>
              <w:left w:val="single" w:sz="4" w:space="0" w:color="auto"/>
              <w:bottom w:val="single" w:sz="4" w:space="0" w:color="auto"/>
              <w:right w:val="single" w:sz="4" w:space="0" w:color="auto"/>
            </w:tcBorders>
            <w:vAlign w:val="center"/>
          </w:tcPr>
          <w:p w14:paraId="222DF2E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紫外可见分光光度</w:t>
            </w:r>
            <w:r>
              <w:rPr>
                <w:rFonts w:ascii="Times New Roman" w:eastAsia="宋体" w:hAnsi="Times New Roman" w:cs="Times New Roman" w:hint="eastAsia"/>
                <w:kern w:val="0"/>
                <w:szCs w:val="21"/>
              </w:rPr>
              <w:t>法</w:t>
            </w:r>
          </w:p>
        </w:tc>
        <w:tc>
          <w:tcPr>
            <w:tcW w:w="2859" w:type="pct"/>
            <w:tcBorders>
              <w:top w:val="single" w:sz="4" w:space="0" w:color="auto"/>
              <w:left w:val="single" w:sz="4" w:space="0" w:color="auto"/>
              <w:bottom w:val="single" w:sz="4" w:space="0" w:color="auto"/>
              <w:right w:val="single" w:sz="4" w:space="0" w:color="auto"/>
            </w:tcBorders>
            <w:vAlign w:val="center"/>
          </w:tcPr>
          <w:p w14:paraId="57CBFF8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硝酸盐氮的测定</w:t>
            </w:r>
            <w:r>
              <w:rPr>
                <w:rFonts w:ascii="Times New Roman" w:eastAsia="宋体" w:hAnsi="Times New Roman" w:cs="Times New Roman"/>
                <w:kern w:val="0"/>
                <w:szCs w:val="21"/>
              </w:rPr>
              <w:t xml:space="preserve"> </w:t>
            </w:r>
          </w:p>
          <w:p w14:paraId="4816B63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紫外分光光度法（试行）</w:t>
            </w:r>
            <w:r>
              <w:rPr>
                <w:rFonts w:ascii="Times New Roman" w:eastAsia="宋体" w:hAnsi="Times New Roman" w:cs="Times New Roman"/>
                <w:kern w:val="0"/>
                <w:szCs w:val="21"/>
              </w:rPr>
              <w:t>HJ/T346-2007</w:t>
            </w:r>
          </w:p>
        </w:tc>
      </w:tr>
      <w:tr w:rsidR="002133E3" w14:paraId="4E35AE40"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1FDBE8B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705" w:type="pct"/>
            <w:tcBorders>
              <w:top w:val="single" w:sz="4" w:space="0" w:color="auto"/>
              <w:left w:val="single" w:sz="4" w:space="0" w:color="auto"/>
              <w:bottom w:val="single" w:sz="4" w:space="0" w:color="auto"/>
              <w:right w:val="single" w:sz="4" w:space="0" w:color="auto"/>
            </w:tcBorders>
            <w:vAlign w:val="center"/>
          </w:tcPr>
          <w:p w14:paraId="527B8B6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亚硝酸盐</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以</w:t>
            </w:r>
            <w:r>
              <w:rPr>
                <w:rFonts w:ascii="Times New Roman" w:eastAsia="宋体" w:hAnsi="Times New Roman" w:cs="Times New Roman"/>
                <w:kern w:val="0"/>
                <w:szCs w:val="21"/>
              </w:rPr>
              <w:t>N</w:t>
            </w:r>
            <w:r>
              <w:rPr>
                <w:rFonts w:ascii="Times New Roman" w:eastAsia="宋体" w:hAnsi="Times New Roman" w:cs="Times New Roman" w:hint="eastAsia"/>
                <w:kern w:val="0"/>
                <w:szCs w:val="21"/>
              </w:rPr>
              <w:t>计）</w:t>
            </w:r>
          </w:p>
        </w:tc>
        <w:tc>
          <w:tcPr>
            <w:tcW w:w="1079" w:type="pct"/>
            <w:tcBorders>
              <w:top w:val="single" w:sz="4" w:space="0" w:color="auto"/>
              <w:left w:val="single" w:sz="4" w:space="0" w:color="auto"/>
              <w:bottom w:val="single" w:sz="4" w:space="0" w:color="auto"/>
              <w:right w:val="single" w:sz="4" w:space="0" w:color="auto"/>
            </w:tcBorders>
            <w:vAlign w:val="center"/>
          </w:tcPr>
          <w:p w14:paraId="689F968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可见分光光度</w:t>
            </w:r>
            <w:r>
              <w:rPr>
                <w:rFonts w:ascii="Times New Roman" w:eastAsia="宋体" w:hAnsi="Times New Roman" w:cs="Times New Roman" w:hint="eastAsia"/>
                <w:kern w:val="0"/>
                <w:szCs w:val="21"/>
              </w:rPr>
              <w:t>法</w:t>
            </w:r>
          </w:p>
        </w:tc>
        <w:tc>
          <w:tcPr>
            <w:tcW w:w="2859" w:type="pct"/>
            <w:tcBorders>
              <w:top w:val="single" w:sz="4" w:space="0" w:color="auto"/>
              <w:left w:val="single" w:sz="4" w:space="0" w:color="auto"/>
              <w:bottom w:val="single" w:sz="4" w:space="0" w:color="auto"/>
              <w:right w:val="single" w:sz="4" w:space="0" w:color="auto"/>
            </w:tcBorders>
            <w:vAlign w:val="center"/>
          </w:tcPr>
          <w:p w14:paraId="4D5DB38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亚硝酸盐氮的测定</w:t>
            </w:r>
          </w:p>
          <w:p w14:paraId="1EBCDB4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分光光度法</w:t>
            </w:r>
            <w:r>
              <w:rPr>
                <w:rFonts w:ascii="Times New Roman" w:eastAsia="宋体" w:hAnsi="Times New Roman" w:cs="Times New Roman"/>
                <w:kern w:val="0"/>
                <w:szCs w:val="21"/>
              </w:rPr>
              <w:t>GB/T 7493-1987</w:t>
            </w:r>
          </w:p>
        </w:tc>
      </w:tr>
      <w:tr w:rsidR="002133E3" w14:paraId="25DE91A3"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7C6ABD9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705" w:type="pct"/>
            <w:tcBorders>
              <w:top w:val="single" w:sz="4" w:space="0" w:color="auto"/>
              <w:left w:val="single" w:sz="4" w:space="0" w:color="auto"/>
              <w:bottom w:val="single" w:sz="4" w:space="0" w:color="auto"/>
              <w:right w:val="single" w:sz="4" w:space="0" w:color="auto"/>
            </w:tcBorders>
            <w:vAlign w:val="center"/>
          </w:tcPr>
          <w:p w14:paraId="25F7483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总硬度</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以</w:t>
            </w:r>
            <w:r>
              <w:rPr>
                <w:rFonts w:ascii="Times New Roman" w:eastAsia="宋体" w:hAnsi="Times New Roman" w:cs="Times New Roman"/>
                <w:kern w:val="0"/>
                <w:szCs w:val="21"/>
              </w:rPr>
              <w:t>CaC</w:t>
            </w:r>
            <w:r>
              <w:rPr>
                <w:rFonts w:ascii="Times New Roman" w:eastAsia="宋体" w:hAnsi="Times New Roman" w:cs="Times New Roman" w:hint="eastAsia"/>
                <w:kern w:val="0"/>
                <w:szCs w:val="21"/>
              </w:rPr>
              <w:t>O</w:t>
            </w:r>
            <w:r>
              <w:rPr>
                <w:rFonts w:ascii="Times New Roman" w:eastAsia="宋体" w:hAnsi="Times New Roman" w:cs="Times New Roman"/>
                <w:kern w:val="0"/>
                <w:szCs w:val="21"/>
              </w:rPr>
              <w:t>3</w:t>
            </w:r>
            <w:r>
              <w:rPr>
                <w:rFonts w:ascii="Times New Roman" w:eastAsia="宋体" w:hAnsi="Times New Roman" w:cs="Times New Roman" w:hint="eastAsia"/>
                <w:kern w:val="0"/>
                <w:szCs w:val="21"/>
              </w:rPr>
              <w:t>计）</w:t>
            </w:r>
          </w:p>
        </w:tc>
        <w:tc>
          <w:tcPr>
            <w:tcW w:w="1079" w:type="pct"/>
            <w:tcBorders>
              <w:top w:val="single" w:sz="4" w:space="0" w:color="auto"/>
              <w:left w:val="single" w:sz="4" w:space="0" w:color="auto"/>
              <w:bottom w:val="single" w:sz="4" w:space="0" w:color="auto"/>
              <w:right w:val="single" w:sz="4" w:space="0" w:color="auto"/>
            </w:tcBorders>
            <w:vAlign w:val="center"/>
          </w:tcPr>
          <w:p w14:paraId="1A9AD04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滴定</w:t>
            </w:r>
            <w:r>
              <w:rPr>
                <w:rFonts w:ascii="Times New Roman" w:eastAsia="宋体" w:hAnsi="Times New Roman" w:cs="Times New Roman" w:hint="eastAsia"/>
                <w:kern w:val="0"/>
                <w:szCs w:val="21"/>
              </w:rPr>
              <w:t>法</w:t>
            </w:r>
          </w:p>
        </w:tc>
        <w:tc>
          <w:tcPr>
            <w:tcW w:w="2859" w:type="pct"/>
            <w:tcBorders>
              <w:top w:val="single" w:sz="4" w:space="0" w:color="auto"/>
              <w:left w:val="single" w:sz="4" w:space="0" w:color="auto"/>
              <w:bottom w:val="single" w:sz="4" w:space="0" w:color="auto"/>
              <w:right w:val="single" w:sz="4" w:space="0" w:color="auto"/>
            </w:tcBorders>
            <w:vAlign w:val="center"/>
          </w:tcPr>
          <w:p w14:paraId="4035339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w:t>
            </w:r>
            <w:r>
              <w:rPr>
                <w:rFonts w:ascii="Times New Roman" w:eastAsia="宋体" w:hAnsi="Times New Roman" w:cs="Times New Roman"/>
                <w:kern w:val="0"/>
                <w:szCs w:val="21"/>
              </w:rPr>
              <w:t>钙和镁总量的测定</w:t>
            </w:r>
            <w:r>
              <w:rPr>
                <w:rFonts w:ascii="Times New Roman" w:eastAsia="宋体" w:hAnsi="Times New Roman" w:cs="Times New Roman"/>
                <w:kern w:val="0"/>
                <w:szCs w:val="21"/>
              </w:rPr>
              <w:t xml:space="preserve">  </w:t>
            </w:r>
          </w:p>
          <w:p w14:paraId="540A2FF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EDTA</w:t>
            </w:r>
            <w:r>
              <w:rPr>
                <w:rFonts w:ascii="Times New Roman" w:eastAsia="宋体" w:hAnsi="Times New Roman" w:cs="Times New Roman"/>
                <w:kern w:val="0"/>
                <w:szCs w:val="21"/>
              </w:rPr>
              <w:t>滴定法</w:t>
            </w:r>
            <w:r>
              <w:rPr>
                <w:rFonts w:ascii="Times New Roman" w:eastAsia="宋体" w:hAnsi="Times New Roman" w:cs="Times New Roman"/>
                <w:kern w:val="0"/>
                <w:szCs w:val="21"/>
              </w:rPr>
              <w:t xml:space="preserve">  GB/T 7477-1987</w:t>
            </w:r>
          </w:p>
        </w:tc>
      </w:tr>
      <w:tr w:rsidR="002133E3" w14:paraId="2E3622E2"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6685E691"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w:t>
            </w:r>
          </w:p>
        </w:tc>
        <w:tc>
          <w:tcPr>
            <w:tcW w:w="705" w:type="pct"/>
            <w:tcBorders>
              <w:top w:val="single" w:sz="4" w:space="0" w:color="auto"/>
              <w:left w:val="single" w:sz="4" w:space="0" w:color="auto"/>
              <w:bottom w:val="single" w:sz="4" w:space="0" w:color="auto"/>
              <w:right w:val="single" w:sz="4" w:space="0" w:color="auto"/>
            </w:tcBorders>
            <w:vAlign w:val="center"/>
          </w:tcPr>
          <w:p w14:paraId="39EB260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砷</w:t>
            </w:r>
          </w:p>
        </w:tc>
        <w:tc>
          <w:tcPr>
            <w:tcW w:w="1079" w:type="pct"/>
            <w:tcBorders>
              <w:top w:val="single" w:sz="4" w:space="0" w:color="auto"/>
              <w:left w:val="single" w:sz="4" w:space="0" w:color="auto"/>
              <w:bottom w:val="single" w:sz="4" w:space="0" w:color="auto"/>
              <w:right w:val="single" w:sz="4" w:space="0" w:color="auto"/>
            </w:tcBorders>
            <w:vAlign w:val="center"/>
          </w:tcPr>
          <w:p w14:paraId="0D1F0D8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原子荧光法</w:t>
            </w:r>
          </w:p>
        </w:tc>
        <w:tc>
          <w:tcPr>
            <w:tcW w:w="2859" w:type="pct"/>
            <w:tcBorders>
              <w:top w:val="single" w:sz="4" w:space="0" w:color="auto"/>
              <w:left w:val="single" w:sz="4" w:space="0" w:color="auto"/>
              <w:bottom w:val="single" w:sz="4" w:space="0" w:color="auto"/>
              <w:right w:val="single" w:sz="4" w:space="0" w:color="auto"/>
            </w:tcBorders>
            <w:vAlign w:val="center"/>
          </w:tcPr>
          <w:p w14:paraId="7B578B5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汞、砷、硒、铋和锑的测定</w:t>
            </w:r>
            <w:r>
              <w:rPr>
                <w:rFonts w:ascii="Times New Roman" w:eastAsia="宋体" w:hAnsi="Times New Roman" w:cs="Times New Roman"/>
                <w:kern w:val="0"/>
                <w:szCs w:val="21"/>
              </w:rPr>
              <w:t xml:space="preserve"> </w:t>
            </w:r>
          </w:p>
          <w:p w14:paraId="688AC1B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原子荧光法</w:t>
            </w:r>
            <w:r>
              <w:rPr>
                <w:rFonts w:ascii="Times New Roman" w:eastAsia="宋体" w:hAnsi="Times New Roman" w:cs="Times New Roman"/>
                <w:kern w:val="0"/>
                <w:szCs w:val="21"/>
              </w:rPr>
              <w:t xml:space="preserve"> HJ 694-2014</w:t>
            </w:r>
          </w:p>
        </w:tc>
      </w:tr>
      <w:tr w:rsidR="002133E3" w14:paraId="5B06269F"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6DE501A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17</w:t>
            </w:r>
          </w:p>
        </w:tc>
        <w:tc>
          <w:tcPr>
            <w:tcW w:w="705" w:type="pct"/>
            <w:tcBorders>
              <w:top w:val="single" w:sz="4" w:space="0" w:color="auto"/>
              <w:left w:val="single" w:sz="4" w:space="0" w:color="auto"/>
              <w:bottom w:val="single" w:sz="4" w:space="0" w:color="auto"/>
              <w:right w:val="single" w:sz="4" w:space="0" w:color="auto"/>
            </w:tcBorders>
            <w:vAlign w:val="center"/>
          </w:tcPr>
          <w:p w14:paraId="057E584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汞</w:t>
            </w:r>
          </w:p>
        </w:tc>
        <w:tc>
          <w:tcPr>
            <w:tcW w:w="1079" w:type="pct"/>
            <w:tcBorders>
              <w:top w:val="single" w:sz="4" w:space="0" w:color="auto"/>
              <w:left w:val="single" w:sz="4" w:space="0" w:color="auto"/>
              <w:bottom w:val="single" w:sz="4" w:space="0" w:color="auto"/>
              <w:right w:val="single" w:sz="4" w:space="0" w:color="auto"/>
            </w:tcBorders>
            <w:vAlign w:val="center"/>
          </w:tcPr>
          <w:p w14:paraId="5B0DCDE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原子荧光法</w:t>
            </w:r>
          </w:p>
        </w:tc>
        <w:tc>
          <w:tcPr>
            <w:tcW w:w="2859" w:type="pct"/>
            <w:tcBorders>
              <w:top w:val="single" w:sz="4" w:space="0" w:color="auto"/>
              <w:left w:val="single" w:sz="4" w:space="0" w:color="auto"/>
              <w:bottom w:val="single" w:sz="4" w:space="0" w:color="auto"/>
              <w:right w:val="single" w:sz="4" w:space="0" w:color="auto"/>
            </w:tcBorders>
            <w:vAlign w:val="center"/>
          </w:tcPr>
          <w:p w14:paraId="3BA0C12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汞、砷、硒、铋和锑的测定</w:t>
            </w:r>
            <w:r>
              <w:rPr>
                <w:rFonts w:ascii="Times New Roman" w:eastAsia="宋体" w:hAnsi="Times New Roman" w:cs="Times New Roman"/>
                <w:kern w:val="0"/>
                <w:szCs w:val="21"/>
              </w:rPr>
              <w:t xml:space="preserve"> </w:t>
            </w:r>
          </w:p>
          <w:p w14:paraId="211FC64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原子荧光法</w:t>
            </w:r>
            <w:r>
              <w:rPr>
                <w:rFonts w:ascii="Times New Roman" w:eastAsia="宋体" w:hAnsi="Times New Roman" w:cs="Times New Roman"/>
                <w:kern w:val="0"/>
                <w:szCs w:val="21"/>
              </w:rPr>
              <w:t xml:space="preserve"> HJ 694-2014</w:t>
            </w:r>
          </w:p>
        </w:tc>
      </w:tr>
      <w:tr w:rsidR="002133E3" w14:paraId="2B8DDD27"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16048EA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705" w:type="pct"/>
            <w:tcBorders>
              <w:top w:val="single" w:sz="4" w:space="0" w:color="auto"/>
              <w:left w:val="single" w:sz="4" w:space="0" w:color="auto"/>
              <w:bottom w:val="single" w:sz="4" w:space="0" w:color="auto"/>
              <w:right w:val="single" w:sz="4" w:space="0" w:color="auto"/>
            </w:tcBorders>
            <w:vAlign w:val="center"/>
          </w:tcPr>
          <w:p w14:paraId="47E0B3C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镍</w:t>
            </w:r>
          </w:p>
        </w:tc>
        <w:tc>
          <w:tcPr>
            <w:tcW w:w="1079" w:type="pct"/>
            <w:tcBorders>
              <w:top w:val="single" w:sz="4" w:space="0" w:color="auto"/>
              <w:left w:val="single" w:sz="4" w:space="0" w:color="auto"/>
              <w:bottom w:val="single" w:sz="4" w:space="0" w:color="auto"/>
              <w:right w:val="single" w:sz="4" w:space="0" w:color="auto"/>
            </w:tcBorders>
          </w:tcPr>
          <w:p w14:paraId="125D5B0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原子吸收分光光度法</w:t>
            </w:r>
          </w:p>
        </w:tc>
        <w:tc>
          <w:tcPr>
            <w:tcW w:w="2859" w:type="pct"/>
            <w:tcBorders>
              <w:top w:val="single" w:sz="4" w:space="0" w:color="auto"/>
              <w:left w:val="single" w:sz="4" w:space="0" w:color="auto"/>
              <w:bottom w:val="single" w:sz="4" w:space="0" w:color="auto"/>
              <w:right w:val="single" w:sz="4" w:space="0" w:color="auto"/>
            </w:tcBorders>
            <w:vAlign w:val="center"/>
          </w:tcPr>
          <w:p w14:paraId="2279891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镍的测定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火焰原子吸收分光光度法</w:t>
            </w:r>
            <w:r>
              <w:rPr>
                <w:rFonts w:ascii="Times New Roman" w:eastAsia="宋体" w:hAnsi="Times New Roman" w:cs="Times New Roman"/>
                <w:kern w:val="0"/>
                <w:szCs w:val="21"/>
              </w:rPr>
              <w:t xml:space="preserve"> GB/T 11912-1989</w:t>
            </w:r>
          </w:p>
        </w:tc>
      </w:tr>
      <w:tr w:rsidR="002133E3" w14:paraId="672B69AA"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7C69DCC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19</w:t>
            </w:r>
          </w:p>
        </w:tc>
        <w:tc>
          <w:tcPr>
            <w:tcW w:w="705" w:type="pct"/>
            <w:tcBorders>
              <w:top w:val="single" w:sz="4" w:space="0" w:color="auto"/>
              <w:left w:val="single" w:sz="4" w:space="0" w:color="auto"/>
              <w:bottom w:val="single" w:sz="4" w:space="0" w:color="auto"/>
              <w:right w:val="single" w:sz="4" w:space="0" w:color="auto"/>
            </w:tcBorders>
            <w:vAlign w:val="center"/>
          </w:tcPr>
          <w:p w14:paraId="0448E18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铁</w:t>
            </w:r>
          </w:p>
        </w:tc>
        <w:tc>
          <w:tcPr>
            <w:tcW w:w="1079" w:type="pct"/>
            <w:tcBorders>
              <w:top w:val="single" w:sz="4" w:space="0" w:color="auto"/>
              <w:left w:val="single" w:sz="4" w:space="0" w:color="auto"/>
              <w:bottom w:val="single" w:sz="4" w:space="0" w:color="auto"/>
              <w:right w:val="single" w:sz="4" w:space="0" w:color="auto"/>
            </w:tcBorders>
          </w:tcPr>
          <w:p w14:paraId="7B00699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原子吸收分光光度法</w:t>
            </w:r>
          </w:p>
        </w:tc>
        <w:tc>
          <w:tcPr>
            <w:tcW w:w="2859" w:type="pct"/>
            <w:tcBorders>
              <w:top w:val="single" w:sz="4" w:space="0" w:color="auto"/>
              <w:left w:val="single" w:sz="4" w:space="0" w:color="auto"/>
              <w:bottom w:val="single" w:sz="4" w:space="0" w:color="auto"/>
              <w:right w:val="single" w:sz="4" w:space="0" w:color="auto"/>
            </w:tcBorders>
            <w:vAlign w:val="center"/>
          </w:tcPr>
          <w:p w14:paraId="59DF50C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铁、锰的测定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火焰原子吸收分光光度法</w:t>
            </w:r>
            <w:r>
              <w:rPr>
                <w:rFonts w:ascii="Times New Roman" w:eastAsia="宋体" w:hAnsi="Times New Roman" w:cs="Times New Roman"/>
                <w:kern w:val="0"/>
                <w:szCs w:val="21"/>
              </w:rPr>
              <w:t xml:space="preserve"> GB/T 11911-1989</w:t>
            </w:r>
          </w:p>
        </w:tc>
      </w:tr>
      <w:tr w:rsidR="002133E3" w14:paraId="405663CC"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07818A8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20</w:t>
            </w:r>
          </w:p>
        </w:tc>
        <w:tc>
          <w:tcPr>
            <w:tcW w:w="705" w:type="pct"/>
            <w:tcBorders>
              <w:top w:val="single" w:sz="4" w:space="0" w:color="auto"/>
              <w:left w:val="single" w:sz="4" w:space="0" w:color="auto"/>
              <w:bottom w:val="single" w:sz="4" w:space="0" w:color="auto"/>
              <w:right w:val="single" w:sz="4" w:space="0" w:color="auto"/>
            </w:tcBorders>
            <w:vAlign w:val="center"/>
          </w:tcPr>
          <w:p w14:paraId="0FAB585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锰</w:t>
            </w:r>
          </w:p>
        </w:tc>
        <w:tc>
          <w:tcPr>
            <w:tcW w:w="1079" w:type="pct"/>
            <w:tcBorders>
              <w:top w:val="single" w:sz="4" w:space="0" w:color="auto"/>
              <w:left w:val="single" w:sz="4" w:space="0" w:color="auto"/>
              <w:bottom w:val="single" w:sz="4" w:space="0" w:color="auto"/>
              <w:right w:val="single" w:sz="4" w:space="0" w:color="auto"/>
            </w:tcBorders>
          </w:tcPr>
          <w:p w14:paraId="3B690DD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原子吸收分光光度法</w:t>
            </w:r>
          </w:p>
        </w:tc>
        <w:tc>
          <w:tcPr>
            <w:tcW w:w="2859" w:type="pct"/>
            <w:tcBorders>
              <w:top w:val="single" w:sz="4" w:space="0" w:color="auto"/>
              <w:left w:val="single" w:sz="4" w:space="0" w:color="auto"/>
              <w:bottom w:val="single" w:sz="4" w:space="0" w:color="auto"/>
              <w:right w:val="single" w:sz="4" w:space="0" w:color="auto"/>
            </w:tcBorders>
            <w:vAlign w:val="center"/>
          </w:tcPr>
          <w:p w14:paraId="4845FF0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铁、锰的测定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火焰原子吸收分光光度法</w:t>
            </w:r>
            <w:r>
              <w:rPr>
                <w:rFonts w:ascii="Times New Roman" w:eastAsia="宋体" w:hAnsi="Times New Roman" w:cs="Times New Roman"/>
                <w:kern w:val="0"/>
                <w:szCs w:val="21"/>
              </w:rPr>
              <w:t xml:space="preserve"> GB/T 11911-1989</w:t>
            </w:r>
          </w:p>
        </w:tc>
      </w:tr>
      <w:tr w:rsidR="002133E3" w14:paraId="6477F501"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D3F6D4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21</w:t>
            </w:r>
          </w:p>
        </w:tc>
        <w:tc>
          <w:tcPr>
            <w:tcW w:w="705" w:type="pct"/>
            <w:tcBorders>
              <w:top w:val="single" w:sz="4" w:space="0" w:color="auto"/>
              <w:left w:val="single" w:sz="4" w:space="0" w:color="auto"/>
              <w:bottom w:val="single" w:sz="4" w:space="0" w:color="auto"/>
              <w:right w:val="single" w:sz="4" w:space="0" w:color="auto"/>
            </w:tcBorders>
            <w:vAlign w:val="center"/>
          </w:tcPr>
          <w:p w14:paraId="1550841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铅</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Pb</w:t>
            </w:r>
            <w:r>
              <w:rPr>
                <w:rFonts w:ascii="Times New Roman" w:eastAsia="宋体" w:hAnsi="Times New Roman" w:cs="Times New Roman"/>
                <w:kern w:val="0"/>
                <w:szCs w:val="21"/>
              </w:rPr>
              <w:t>)</w:t>
            </w:r>
          </w:p>
        </w:tc>
        <w:tc>
          <w:tcPr>
            <w:tcW w:w="1079" w:type="pct"/>
            <w:tcBorders>
              <w:top w:val="single" w:sz="4" w:space="0" w:color="auto"/>
              <w:left w:val="single" w:sz="4" w:space="0" w:color="auto"/>
              <w:bottom w:val="single" w:sz="4" w:space="0" w:color="auto"/>
              <w:right w:val="single" w:sz="4" w:space="0" w:color="auto"/>
            </w:tcBorders>
            <w:vAlign w:val="center"/>
          </w:tcPr>
          <w:p w14:paraId="4CE8B99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石墨炉原子吸收分光光度法</w:t>
            </w:r>
          </w:p>
        </w:tc>
        <w:tc>
          <w:tcPr>
            <w:tcW w:w="2859" w:type="pct"/>
            <w:tcBorders>
              <w:top w:val="single" w:sz="4" w:space="0" w:color="auto"/>
              <w:left w:val="single" w:sz="4" w:space="0" w:color="auto"/>
              <w:bottom w:val="single" w:sz="4" w:space="0" w:color="auto"/>
              <w:right w:val="single" w:sz="4" w:space="0" w:color="auto"/>
            </w:tcBorders>
            <w:vAlign w:val="center"/>
          </w:tcPr>
          <w:p w14:paraId="17243E5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《水和废水监测分析方法》（第四版增补</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版）国家环境保护总局</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w:t>
            </w:r>
            <w:r>
              <w:rPr>
                <w:rFonts w:ascii="Times New Roman" w:eastAsia="宋体" w:hAnsi="Times New Roman" w:cs="Times New Roman"/>
                <w:kern w:val="0"/>
                <w:szCs w:val="21"/>
              </w:rPr>
              <w:t>2002</w:t>
            </w:r>
            <w:r>
              <w:rPr>
                <w:rFonts w:ascii="Times New Roman" w:eastAsia="宋体" w:hAnsi="Times New Roman" w:cs="Times New Roman"/>
                <w:kern w:val="0"/>
                <w:szCs w:val="21"/>
              </w:rPr>
              <w:t>年）石墨炉</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原子吸收法</w:t>
            </w:r>
            <w:r>
              <w:rPr>
                <w:rFonts w:ascii="Times New Roman" w:eastAsia="宋体" w:hAnsi="Times New Roman" w:cs="Times New Roman"/>
                <w:kern w:val="0"/>
                <w:szCs w:val="21"/>
              </w:rPr>
              <w:t xml:space="preserve"> 3.4.16(5) </w:t>
            </w:r>
          </w:p>
        </w:tc>
      </w:tr>
      <w:tr w:rsidR="002133E3" w14:paraId="6EFF26EF"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68FF150E"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22</w:t>
            </w:r>
          </w:p>
        </w:tc>
        <w:tc>
          <w:tcPr>
            <w:tcW w:w="705" w:type="pct"/>
            <w:tcBorders>
              <w:top w:val="single" w:sz="4" w:space="0" w:color="auto"/>
              <w:left w:val="single" w:sz="4" w:space="0" w:color="auto"/>
              <w:bottom w:val="single" w:sz="4" w:space="0" w:color="auto"/>
              <w:right w:val="single" w:sz="4" w:space="0" w:color="auto"/>
            </w:tcBorders>
            <w:vAlign w:val="center"/>
          </w:tcPr>
          <w:p w14:paraId="1CD7B74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镉</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Ge</w:t>
            </w:r>
            <w:r>
              <w:rPr>
                <w:rFonts w:ascii="Times New Roman" w:eastAsia="宋体" w:hAnsi="Times New Roman" w:cs="Times New Roman"/>
                <w:kern w:val="0"/>
                <w:szCs w:val="21"/>
              </w:rPr>
              <w:t>)</w:t>
            </w:r>
          </w:p>
        </w:tc>
        <w:tc>
          <w:tcPr>
            <w:tcW w:w="1079" w:type="pct"/>
            <w:tcBorders>
              <w:top w:val="single" w:sz="4" w:space="0" w:color="auto"/>
              <w:left w:val="single" w:sz="4" w:space="0" w:color="auto"/>
              <w:bottom w:val="single" w:sz="4" w:space="0" w:color="auto"/>
              <w:right w:val="single" w:sz="4" w:space="0" w:color="auto"/>
            </w:tcBorders>
            <w:vAlign w:val="center"/>
          </w:tcPr>
          <w:p w14:paraId="1A9F7FB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石墨炉原子吸收分光光度法</w:t>
            </w:r>
          </w:p>
        </w:tc>
        <w:tc>
          <w:tcPr>
            <w:tcW w:w="2859" w:type="pct"/>
            <w:tcBorders>
              <w:top w:val="single" w:sz="4" w:space="0" w:color="auto"/>
              <w:left w:val="single" w:sz="4" w:space="0" w:color="auto"/>
              <w:bottom w:val="single" w:sz="4" w:space="0" w:color="auto"/>
              <w:right w:val="single" w:sz="4" w:space="0" w:color="auto"/>
            </w:tcBorders>
            <w:vAlign w:val="center"/>
          </w:tcPr>
          <w:p w14:paraId="73F3E75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《水和废水监测分析方法》（第四版增补版）国家环境保护总局</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w:t>
            </w:r>
            <w:r>
              <w:rPr>
                <w:rFonts w:ascii="Times New Roman" w:eastAsia="宋体" w:hAnsi="Times New Roman" w:cs="Times New Roman"/>
                <w:kern w:val="0"/>
                <w:szCs w:val="21"/>
              </w:rPr>
              <w:t>2002</w:t>
            </w:r>
            <w:r>
              <w:rPr>
                <w:rFonts w:ascii="Times New Roman" w:eastAsia="宋体" w:hAnsi="Times New Roman" w:cs="Times New Roman"/>
                <w:kern w:val="0"/>
                <w:szCs w:val="21"/>
              </w:rPr>
              <w:t>年）石墨炉原子吸收法</w:t>
            </w:r>
            <w:r>
              <w:rPr>
                <w:rFonts w:ascii="Times New Roman" w:eastAsia="宋体" w:hAnsi="Times New Roman" w:cs="Times New Roman"/>
                <w:kern w:val="0"/>
                <w:szCs w:val="21"/>
              </w:rPr>
              <w:t xml:space="preserve"> 3.4.7(4)</w:t>
            </w:r>
          </w:p>
        </w:tc>
      </w:tr>
      <w:tr w:rsidR="002133E3" w14:paraId="0567C542"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4D85845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23</w:t>
            </w:r>
          </w:p>
        </w:tc>
        <w:tc>
          <w:tcPr>
            <w:tcW w:w="705" w:type="pct"/>
            <w:tcBorders>
              <w:top w:val="single" w:sz="4" w:space="0" w:color="auto"/>
              <w:left w:val="single" w:sz="4" w:space="0" w:color="auto"/>
              <w:bottom w:val="single" w:sz="4" w:space="0" w:color="auto"/>
              <w:right w:val="single" w:sz="4" w:space="0" w:color="auto"/>
            </w:tcBorders>
            <w:vAlign w:val="center"/>
          </w:tcPr>
          <w:p w14:paraId="16334F5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六价铬</w:t>
            </w:r>
          </w:p>
        </w:tc>
        <w:tc>
          <w:tcPr>
            <w:tcW w:w="1079" w:type="pct"/>
            <w:tcBorders>
              <w:top w:val="single" w:sz="4" w:space="0" w:color="auto"/>
              <w:left w:val="single" w:sz="4" w:space="0" w:color="auto"/>
              <w:bottom w:val="single" w:sz="4" w:space="0" w:color="auto"/>
              <w:right w:val="single" w:sz="4" w:space="0" w:color="auto"/>
            </w:tcBorders>
            <w:vAlign w:val="center"/>
          </w:tcPr>
          <w:p w14:paraId="4977332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可见分光光度</w:t>
            </w:r>
            <w:r>
              <w:rPr>
                <w:rFonts w:ascii="Times New Roman" w:eastAsia="宋体" w:hAnsi="Times New Roman" w:cs="Times New Roman" w:hint="eastAsia"/>
                <w:kern w:val="0"/>
                <w:szCs w:val="21"/>
              </w:rPr>
              <w:t>法</w:t>
            </w:r>
          </w:p>
        </w:tc>
        <w:tc>
          <w:tcPr>
            <w:tcW w:w="2859" w:type="pct"/>
            <w:tcBorders>
              <w:top w:val="single" w:sz="4" w:space="0" w:color="auto"/>
              <w:left w:val="single" w:sz="4" w:space="0" w:color="auto"/>
              <w:bottom w:val="single" w:sz="4" w:space="0" w:color="auto"/>
              <w:right w:val="single" w:sz="4" w:space="0" w:color="auto"/>
            </w:tcBorders>
            <w:vAlign w:val="center"/>
          </w:tcPr>
          <w:p w14:paraId="7CF2B07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六价铬的测定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二苯碳酰二肼分光光度法</w:t>
            </w:r>
            <w:r>
              <w:rPr>
                <w:rFonts w:ascii="Times New Roman" w:eastAsia="宋体" w:hAnsi="Times New Roman" w:cs="Times New Roman"/>
                <w:kern w:val="0"/>
                <w:szCs w:val="21"/>
              </w:rPr>
              <w:t xml:space="preserve"> GB/T 7467-1987</w:t>
            </w:r>
          </w:p>
        </w:tc>
      </w:tr>
      <w:tr w:rsidR="002133E3" w14:paraId="1F97836E"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79071F2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24</w:t>
            </w:r>
          </w:p>
        </w:tc>
        <w:tc>
          <w:tcPr>
            <w:tcW w:w="705" w:type="pct"/>
            <w:tcBorders>
              <w:top w:val="single" w:sz="4" w:space="0" w:color="auto"/>
              <w:left w:val="single" w:sz="4" w:space="0" w:color="auto"/>
              <w:bottom w:val="single" w:sz="4" w:space="0" w:color="auto"/>
              <w:right w:val="single" w:sz="4" w:space="0" w:color="auto"/>
            </w:tcBorders>
            <w:vAlign w:val="center"/>
          </w:tcPr>
          <w:p w14:paraId="21434BD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氰化物</w:t>
            </w:r>
          </w:p>
        </w:tc>
        <w:tc>
          <w:tcPr>
            <w:tcW w:w="1079" w:type="pct"/>
            <w:tcBorders>
              <w:top w:val="single" w:sz="4" w:space="0" w:color="auto"/>
              <w:left w:val="single" w:sz="4" w:space="0" w:color="auto"/>
              <w:bottom w:val="single" w:sz="4" w:space="0" w:color="auto"/>
              <w:right w:val="single" w:sz="4" w:space="0" w:color="auto"/>
            </w:tcBorders>
            <w:vAlign w:val="center"/>
          </w:tcPr>
          <w:p w14:paraId="2DC1A9A9"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可见分光光度</w:t>
            </w:r>
            <w:r>
              <w:rPr>
                <w:rFonts w:ascii="Times New Roman" w:eastAsia="宋体" w:hAnsi="Times New Roman" w:cs="Times New Roman" w:hint="eastAsia"/>
                <w:kern w:val="0"/>
                <w:szCs w:val="21"/>
              </w:rPr>
              <w:t>法</w:t>
            </w:r>
          </w:p>
        </w:tc>
        <w:tc>
          <w:tcPr>
            <w:tcW w:w="2859" w:type="pct"/>
            <w:tcBorders>
              <w:top w:val="single" w:sz="4" w:space="0" w:color="auto"/>
              <w:left w:val="single" w:sz="4" w:space="0" w:color="auto"/>
              <w:bottom w:val="single" w:sz="4" w:space="0" w:color="auto"/>
              <w:right w:val="single" w:sz="4" w:space="0" w:color="auto"/>
            </w:tcBorders>
            <w:vAlign w:val="center"/>
          </w:tcPr>
          <w:p w14:paraId="79968C7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氰化物的测定</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容量法和分光光度法</w:t>
            </w:r>
            <w:r>
              <w:rPr>
                <w:rFonts w:ascii="Times New Roman" w:eastAsia="宋体" w:hAnsi="Times New Roman" w:cs="Times New Roman"/>
                <w:kern w:val="0"/>
                <w:szCs w:val="21"/>
              </w:rPr>
              <w:t xml:space="preserve"> HJ 484-2009</w:t>
            </w:r>
          </w:p>
        </w:tc>
      </w:tr>
      <w:tr w:rsidR="002133E3" w14:paraId="391FAFE6"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1299D07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25</w:t>
            </w:r>
          </w:p>
        </w:tc>
        <w:tc>
          <w:tcPr>
            <w:tcW w:w="705" w:type="pct"/>
            <w:tcBorders>
              <w:top w:val="single" w:sz="4" w:space="0" w:color="auto"/>
              <w:left w:val="single" w:sz="4" w:space="0" w:color="auto"/>
              <w:bottom w:val="single" w:sz="4" w:space="0" w:color="auto"/>
              <w:right w:val="single" w:sz="4" w:space="0" w:color="auto"/>
            </w:tcBorders>
            <w:vAlign w:val="center"/>
          </w:tcPr>
          <w:p w14:paraId="31DFB70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氟化物</w:t>
            </w:r>
          </w:p>
        </w:tc>
        <w:tc>
          <w:tcPr>
            <w:tcW w:w="1079" w:type="pct"/>
            <w:tcBorders>
              <w:top w:val="single" w:sz="4" w:space="0" w:color="auto"/>
              <w:left w:val="single" w:sz="4" w:space="0" w:color="auto"/>
              <w:bottom w:val="single" w:sz="4" w:space="0" w:color="auto"/>
              <w:right w:val="single" w:sz="4" w:space="0" w:color="auto"/>
            </w:tcBorders>
            <w:vAlign w:val="center"/>
          </w:tcPr>
          <w:p w14:paraId="6E7D782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酸度计</w:t>
            </w:r>
          </w:p>
        </w:tc>
        <w:tc>
          <w:tcPr>
            <w:tcW w:w="2859" w:type="pct"/>
            <w:tcBorders>
              <w:top w:val="single" w:sz="4" w:space="0" w:color="auto"/>
              <w:left w:val="single" w:sz="4" w:space="0" w:color="auto"/>
              <w:bottom w:val="single" w:sz="4" w:space="0" w:color="auto"/>
              <w:right w:val="single" w:sz="4" w:space="0" w:color="auto"/>
            </w:tcBorders>
            <w:vAlign w:val="center"/>
          </w:tcPr>
          <w:p w14:paraId="5E7796F5"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氟化物的测定</w:t>
            </w:r>
          </w:p>
          <w:p w14:paraId="2CE71BB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离子选择电极法</w:t>
            </w:r>
            <w:r>
              <w:rPr>
                <w:rFonts w:ascii="Times New Roman" w:eastAsia="宋体" w:hAnsi="Times New Roman" w:cs="Times New Roman"/>
                <w:kern w:val="0"/>
                <w:szCs w:val="21"/>
              </w:rPr>
              <w:t>GB/T 7484-1987</w:t>
            </w:r>
          </w:p>
        </w:tc>
      </w:tr>
      <w:tr w:rsidR="002133E3" w14:paraId="529C15E8" w14:textId="77777777">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0FABD1A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w:t>
            </w:r>
          </w:p>
        </w:tc>
        <w:tc>
          <w:tcPr>
            <w:tcW w:w="705" w:type="pct"/>
            <w:tcBorders>
              <w:top w:val="single" w:sz="4" w:space="0" w:color="auto"/>
              <w:left w:val="single" w:sz="4" w:space="0" w:color="auto"/>
              <w:bottom w:val="single" w:sz="4" w:space="0" w:color="auto"/>
              <w:right w:val="single" w:sz="4" w:space="0" w:color="auto"/>
            </w:tcBorders>
            <w:vAlign w:val="center"/>
          </w:tcPr>
          <w:p w14:paraId="4D9728B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溶解性总固体</w:t>
            </w:r>
          </w:p>
        </w:tc>
        <w:tc>
          <w:tcPr>
            <w:tcW w:w="1079" w:type="pct"/>
            <w:tcBorders>
              <w:top w:val="single" w:sz="4" w:space="0" w:color="auto"/>
              <w:left w:val="single" w:sz="4" w:space="0" w:color="auto"/>
              <w:bottom w:val="single" w:sz="4" w:space="0" w:color="auto"/>
              <w:right w:val="single" w:sz="4" w:space="0" w:color="auto"/>
            </w:tcBorders>
            <w:vAlign w:val="center"/>
          </w:tcPr>
          <w:p w14:paraId="3B01088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重量法</w:t>
            </w:r>
          </w:p>
        </w:tc>
        <w:tc>
          <w:tcPr>
            <w:tcW w:w="2859" w:type="pct"/>
            <w:tcBorders>
              <w:top w:val="single" w:sz="4" w:space="0" w:color="auto"/>
              <w:left w:val="single" w:sz="4" w:space="0" w:color="auto"/>
              <w:bottom w:val="single" w:sz="4" w:space="0" w:color="auto"/>
              <w:right w:val="single" w:sz="4" w:space="0" w:color="auto"/>
            </w:tcBorders>
            <w:vAlign w:val="center"/>
          </w:tcPr>
          <w:p w14:paraId="31B046E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生活饮用水标准检验方法感官性状和物理指标</w:t>
            </w:r>
            <w:r>
              <w:rPr>
                <w:rFonts w:ascii="Times New Roman" w:eastAsia="宋体" w:hAnsi="Times New Roman" w:cs="Times New Roman"/>
                <w:kern w:val="0"/>
                <w:szCs w:val="21"/>
              </w:rPr>
              <w:t xml:space="preserve">GB/T 5750.4-2006 </w:t>
            </w:r>
          </w:p>
        </w:tc>
      </w:tr>
    </w:tbl>
    <w:p w14:paraId="49013BE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hint="eastAsia"/>
          <w:b/>
          <w:sz w:val="30"/>
          <w:szCs w:val="30"/>
        </w:rPr>
        <w:t>现状评价</w:t>
      </w:r>
    </w:p>
    <w:p w14:paraId="4F63BF7E"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项目地下水监测结果及根据《地下水质量标准》（</w:t>
      </w:r>
      <w:r>
        <w:rPr>
          <w:rFonts w:ascii="Times New Roman" w:eastAsia="宋体" w:hAnsi="Times New Roman" w:cs="Times New Roman"/>
          <w:kern w:val="0"/>
          <w:sz w:val="28"/>
          <w:szCs w:val="28"/>
        </w:rPr>
        <w:t>GB/T14848-2017</w:t>
      </w:r>
      <w:r>
        <w:rPr>
          <w:rFonts w:ascii="Times New Roman" w:eastAsia="宋体" w:hAnsi="Times New Roman" w:cs="Times New Roman"/>
          <w:kern w:val="0"/>
          <w:sz w:val="28"/>
          <w:szCs w:val="28"/>
        </w:rPr>
        <w:t>）</w:t>
      </w:r>
      <w:r>
        <w:rPr>
          <w:rFonts w:ascii="Times New Roman" w:eastAsia="宋体" w:hAnsi="Times New Roman" w:cs="Times New Roman" w:hint="eastAsia"/>
          <w:kern w:val="0"/>
          <w:sz w:val="28"/>
          <w:szCs w:val="28"/>
        </w:rPr>
        <w:t>的</w:t>
      </w:r>
      <w:r>
        <w:rPr>
          <w:rFonts w:ascii="Times New Roman" w:eastAsia="宋体" w:hAnsi="Times New Roman" w:cs="Times New Roman"/>
          <w:kern w:val="0"/>
          <w:sz w:val="28"/>
          <w:szCs w:val="28"/>
        </w:rPr>
        <w:t>地下水质量评价结果详见表</w:t>
      </w:r>
      <w:r>
        <w:rPr>
          <w:rFonts w:ascii="Times New Roman" w:eastAsia="宋体" w:hAnsi="Times New Roman" w:cs="Times New Roman"/>
          <w:kern w:val="0"/>
          <w:sz w:val="28"/>
          <w:szCs w:val="28"/>
        </w:rPr>
        <w:t>5.2-1</w:t>
      </w:r>
      <w:r>
        <w:rPr>
          <w:rFonts w:ascii="Times New Roman" w:eastAsia="宋体" w:hAnsi="Times New Roman" w:cs="Times New Roman" w:hint="eastAsia"/>
          <w:kern w:val="0"/>
          <w:sz w:val="28"/>
          <w:szCs w:val="28"/>
        </w:rPr>
        <w:t>2</w:t>
      </w:r>
      <w:r>
        <w:rPr>
          <w:rFonts w:ascii="Times New Roman" w:eastAsia="宋体" w:hAnsi="Times New Roman" w:cs="Times New Roman"/>
          <w:kern w:val="0"/>
          <w:sz w:val="28"/>
          <w:szCs w:val="28"/>
        </w:rPr>
        <w:t>。</w:t>
      </w:r>
    </w:p>
    <w:p w14:paraId="40B635EA" w14:textId="77777777" w:rsidR="002133E3" w:rsidRDefault="002133E3">
      <w:pPr>
        <w:spacing w:line="276" w:lineRule="auto"/>
        <w:jc w:val="center"/>
        <w:rPr>
          <w:rFonts w:ascii="Times New Roman" w:eastAsia="宋体" w:hAnsi="Times New Roman" w:cs="Times New Roman"/>
          <w:b/>
          <w:kern w:val="0"/>
          <w:sz w:val="24"/>
          <w:szCs w:val="24"/>
        </w:rPr>
        <w:sectPr w:rsidR="002133E3">
          <w:pgSz w:w="11906" w:h="16838"/>
          <w:pgMar w:top="1134" w:right="1134" w:bottom="1134" w:left="1134" w:header="851" w:footer="992" w:gutter="0"/>
          <w:cols w:space="425"/>
          <w:docGrid w:type="lines" w:linePitch="312"/>
        </w:sectPr>
      </w:pPr>
    </w:p>
    <w:p w14:paraId="293F367D" w14:textId="77777777" w:rsidR="002133E3" w:rsidRDefault="00C22CFA">
      <w:pPr>
        <w:spacing w:line="276" w:lineRule="auto"/>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lastRenderedPageBreak/>
        <w:t>表</w:t>
      </w:r>
      <w:r>
        <w:rPr>
          <w:rFonts w:ascii="Times New Roman" w:eastAsia="宋体" w:hAnsi="Times New Roman" w:cs="Times New Roman"/>
          <w:b/>
          <w:kern w:val="0"/>
          <w:sz w:val="24"/>
          <w:szCs w:val="24"/>
        </w:rPr>
        <w:t>5.2-</w:t>
      </w:r>
      <w:r>
        <w:rPr>
          <w:rFonts w:ascii="Times New Roman" w:eastAsia="宋体" w:hAnsi="Times New Roman" w:cs="Times New Roman" w:hint="eastAsia"/>
          <w:b/>
          <w:kern w:val="0"/>
          <w:sz w:val="24"/>
          <w:szCs w:val="24"/>
        </w:rPr>
        <w:t>12</w:t>
      </w:r>
      <w:r>
        <w:rPr>
          <w:rFonts w:ascii="Times New Roman" w:eastAsia="宋体" w:hAnsi="Times New Roman" w:cs="Times New Roman"/>
          <w:b/>
          <w:kern w:val="0"/>
          <w:sz w:val="24"/>
          <w:szCs w:val="24"/>
        </w:rPr>
        <w:t xml:space="preserve">  </w:t>
      </w:r>
      <w:r>
        <w:rPr>
          <w:rFonts w:ascii="Times New Roman" w:eastAsia="宋体" w:hAnsi="Times New Roman" w:cs="Times New Roman"/>
          <w:b/>
          <w:kern w:val="0"/>
          <w:sz w:val="24"/>
          <w:szCs w:val="24"/>
        </w:rPr>
        <w:t>地下水环境质量现状监测及</w:t>
      </w:r>
      <w:r>
        <w:rPr>
          <w:rFonts w:ascii="Times New Roman" w:eastAsia="宋体" w:hAnsi="Times New Roman" w:cs="Times New Roman" w:hint="eastAsia"/>
          <w:b/>
          <w:kern w:val="0"/>
          <w:sz w:val="24"/>
          <w:szCs w:val="24"/>
        </w:rPr>
        <w:t>评价</w:t>
      </w:r>
      <w:r>
        <w:rPr>
          <w:rFonts w:ascii="Times New Roman" w:eastAsia="宋体" w:hAnsi="Times New Roman" w:cs="Times New Roman"/>
          <w:b/>
          <w:kern w:val="0"/>
          <w:sz w:val="24"/>
          <w:szCs w:val="24"/>
        </w:rPr>
        <w:t>结果</w:t>
      </w:r>
    </w:p>
    <w:tbl>
      <w:tblPr>
        <w:tblW w:w="5000" w:type="pct"/>
        <w:jc w:val="center"/>
        <w:tblLook w:val="04A0" w:firstRow="1" w:lastRow="0" w:firstColumn="1" w:lastColumn="0" w:noHBand="0" w:noVBand="1"/>
      </w:tblPr>
      <w:tblGrid>
        <w:gridCol w:w="2369"/>
        <w:gridCol w:w="846"/>
        <w:gridCol w:w="1422"/>
        <w:gridCol w:w="1340"/>
        <w:gridCol w:w="1422"/>
        <w:gridCol w:w="1422"/>
        <w:gridCol w:w="1425"/>
        <w:gridCol w:w="908"/>
        <w:gridCol w:w="908"/>
        <w:gridCol w:w="908"/>
        <w:gridCol w:w="908"/>
        <w:gridCol w:w="908"/>
      </w:tblGrid>
      <w:tr w:rsidR="002133E3" w14:paraId="6E8B4F5F" w14:textId="77777777">
        <w:trPr>
          <w:trHeight w:val="285"/>
          <w:jc w:val="center"/>
        </w:trPr>
        <w:tc>
          <w:tcPr>
            <w:tcW w:w="80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91A232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检测项目</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AC2EBB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单位</w:t>
            </w:r>
          </w:p>
        </w:tc>
        <w:tc>
          <w:tcPr>
            <w:tcW w:w="2377" w:type="pct"/>
            <w:gridSpan w:val="5"/>
            <w:tcBorders>
              <w:top w:val="single" w:sz="4" w:space="0" w:color="auto"/>
              <w:left w:val="nil"/>
              <w:bottom w:val="single" w:sz="4" w:space="0" w:color="auto"/>
              <w:right w:val="single" w:sz="4" w:space="0" w:color="auto"/>
            </w:tcBorders>
            <w:shd w:val="clear" w:color="auto" w:fill="auto"/>
            <w:noWrap/>
            <w:vAlign w:val="center"/>
          </w:tcPr>
          <w:p w14:paraId="22DA1BB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监测点位</w:t>
            </w:r>
          </w:p>
        </w:tc>
        <w:tc>
          <w:tcPr>
            <w:tcW w:w="1536" w:type="pct"/>
            <w:gridSpan w:val="5"/>
            <w:tcBorders>
              <w:top w:val="single" w:sz="4" w:space="0" w:color="auto"/>
              <w:left w:val="nil"/>
              <w:bottom w:val="single" w:sz="4" w:space="0" w:color="auto"/>
              <w:right w:val="single" w:sz="4" w:space="0" w:color="auto"/>
            </w:tcBorders>
            <w:shd w:val="clear" w:color="auto" w:fill="auto"/>
            <w:noWrap/>
            <w:vAlign w:val="center"/>
          </w:tcPr>
          <w:p w14:paraId="2465C034"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类别</w:t>
            </w:r>
          </w:p>
        </w:tc>
      </w:tr>
      <w:tr w:rsidR="002133E3" w14:paraId="4A447A29" w14:textId="77777777">
        <w:trPr>
          <w:trHeight w:val="285"/>
          <w:jc w:val="center"/>
        </w:trPr>
        <w:tc>
          <w:tcPr>
            <w:tcW w:w="801" w:type="pct"/>
            <w:vMerge/>
            <w:tcBorders>
              <w:top w:val="single" w:sz="4" w:space="0" w:color="auto"/>
              <w:left w:val="single" w:sz="4" w:space="0" w:color="auto"/>
              <w:bottom w:val="single" w:sz="4" w:space="0" w:color="auto"/>
              <w:right w:val="single" w:sz="4" w:space="0" w:color="auto"/>
            </w:tcBorders>
            <w:vAlign w:val="center"/>
          </w:tcPr>
          <w:p w14:paraId="7170F076" w14:textId="77777777" w:rsidR="002133E3" w:rsidRDefault="002133E3">
            <w:pPr>
              <w:widowControl/>
              <w:jc w:val="left"/>
              <w:rPr>
                <w:rFonts w:ascii="宋体" w:eastAsia="宋体" w:hAnsi="宋体" w:cs="宋体"/>
                <w:color w:val="000000"/>
                <w:kern w:val="0"/>
                <w:szCs w:val="21"/>
              </w:rPr>
            </w:pPr>
          </w:p>
        </w:tc>
        <w:tc>
          <w:tcPr>
            <w:tcW w:w="286" w:type="pct"/>
            <w:vMerge/>
            <w:tcBorders>
              <w:top w:val="single" w:sz="4" w:space="0" w:color="auto"/>
              <w:left w:val="single" w:sz="4" w:space="0" w:color="auto"/>
              <w:bottom w:val="single" w:sz="4" w:space="0" w:color="auto"/>
              <w:right w:val="single" w:sz="4" w:space="0" w:color="auto"/>
            </w:tcBorders>
            <w:vAlign w:val="center"/>
          </w:tcPr>
          <w:p w14:paraId="14C5CFF0" w14:textId="77777777" w:rsidR="002133E3" w:rsidRDefault="002133E3">
            <w:pPr>
              <w:widowControl/>
              <w:jc w:val="left"/>
              <w:rPr>
                <w:rFonts w:ascii="宋体" w:eastAsia="宋体" w:hAnsi="宋体" w:cs="宋体"/>
                <w:color w:val="000000"/>
                <w:kern w:val="0"/>
                <w:szCs w:val="21"/>
              </w:rPr>
            </w:pPr>
          </w:p>
        </w:tc>
        <w:tc>
          <w:tcPr>
            <w:tcW w:w="481" w:type="pct"/>
            <w:tcBorders>
              <w:top w:val="nil"/>
              <w:left w:val="nil"/>
              <w:bottom w:val="single" w:sz="4" w:space="0" w:color="auto"/>
              <w:right w:val="single" w:sz="4" w:space="0" w:color="auto"/>
            </w:tcBorders>
            <w:shd w:val="clear" w:color="auto" w:fill="auto"/>
            <w:noWrap/>
            <w:vAlign w:val="center"/>
          </w:tcPr>
          <w:p w14:paraId="03C6E16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D1</w:t>
            </w:r>
          </w:p>
        </w:tc>
        <w:tc>
          <w:tcPr>
            <w:tcW w:w="453" w:type="pct"/>
            <w:tcBorders>
              <w:top w:val="nil"/>
              <w:left w:val="nil"/>
              <w:bottom w:val="single" w:sz="4" w:space="0" w:color="auto"/>
              <w:right w:val="single" w:sz="4" w:space="0" w:color="auto"/>
            </w:tcBorders>
            <w:shd w:val="clear" w:color="auto" w:fill="auto"/>
            <w:noWrap/>
            <w:vAlign w:val="center"/>
          </w:tcPr>
          <w:p w14:paraId="7FC24DF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D2</w:t>
            </w:r>
          </w:p>
        </w:tc>
        <w:tc>
          <w:tcPr>
            <w:tcW w:w="481" w:type="pct"/>
            <w:tcBorders>
              <w:top w:val="nil"/>
              <w:left w:val="nil"/>
              <w:bottom w:val="single" w:sz="4" w:space="0" w:color="auto"/>
              <w:right w:val="single" w:sz="4" w:space="0" w:color="auto"/>
            </w:tcBorders>
            <w:shd w:val="clear" w:color="auto" w:fill="auto"/>
            <w:noWrap/>
            <w:vAlign w:val="center"/>
          </w:tcPr>
          <w:p w14:paraId="5C35C7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D3</w:t>
            </w:r>
          </w:p>
        </w:tc>
        <w:tc>
          <w:tcPr>
            <w:tcW w:w="481" w:type="pct"/>
            <w:tcBorders>
              <w:top w:val="nil"/>
              <w:left w:val="nil"/>
              <w:bottom w:val="single" w:sz="4" w:space="0" w:color="auto"/>
              <w:right w:val="single" w:sz="4" w:space="0" w:color="auto"/>
            </w:tcBorders>
            <w:shd w:val="clear" w:color="auto" w:fill="auto"/>
            <w:noWrap/>
            <w:vAlign w:val="center"/>
          </w:tcPr>
          <w:p w14:paraId="16420A2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D4</w:t>
            </w:r>
          </w:p>
        </w:tc>
        <w:tc>
          <w:tcPr>
            <w:tcW w:w="482" w:type="pct"/>
            <w:tcBorders>
              <w:top w:val="nil"/>
              <w:left w:val="nil"/>
              <w:bottom w:val="single" w:sz="4" w:space="0" w:color="auto"/>
              <w:right w:val="single" w:sz="4" w:space="0" w:color="auto"/>
            </w:tcBorders>
            <w:shd w:val="clear" w:color="auto" w:fill="auto"/>
            <w:noWrap/>
            <w:vAlign w:val="center"/>
          </w:tcPr>
          <w:p w14:paraId="7E8B9CC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D5</w:t>
            </w:r>
          </w:p>
        </w:tc>
        <w:tc>
          <w:tcPr>
            <w:tcW w:w="307" w:type="pct"/>
            <w:tcBorders>
              <w:top w:val="nil"/>
              <w:left w:val="nil"/>
              <w:bottom w:val="single" w:sz="4" w:space="0" w:color="auto"/>
              <w:right w:val="single" w:sz="4" w:space="0" w:color="auto"/>
            </w:tcBorders>
            <w:shd w:val="clear" w:color="auto" w:fill="auto"/>
            <w:noWrap/>
            <w:vAlign w:val="center"/>
          </w:tcPr>
          <w:p w14:paraId="4D0B7E9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D1</w:t>
            </w:r>
          </w:p>
        </w:tc>
        <w:tc>
          <w:tcPr>
            <w:tcW w:w="307" w:type="pct"/>
            <w:tcBorders>
              <w:top w:val="nil"/>
              <w:left w:val="nil"/>
              <w:bottom w:val="single" w:sz="4" w:space="0" w:color="auto"/>
              <w:right w:val="single" w:sz="4" w:space="0" w:color="auto"/>
            </w:tcBorders>
            <w:shd w:val="clear" w:color="auto" w:fill="auto"/>
            <w:noWrap/>
            <w:vAlign w:val="center"/>
          </w:tcPr>
          <w:p w14:paraId="4D04A5D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D2</w:t>
            </w:r>
          </w:p>
        </w:tc>
        <w:tc>
          <w:tcPr>
            <w:tcW w:w="307" w:type="pct"/>
            <w:tcBorders>
              <w:top w:val="nil"/>
              <w:left w:val="nil"/>
              <w:bottom w:val="single" w:sz="4" w:space="0" w:color="auto"/>
              <w:right w:val="single" w:sz="4" w:space="0" w:color="auto"/>
            </w:tcBorders>
            <w:shd w:val="clear" w:color="auto" w:fill="auto"/>
            <w:noWrap/>
            <w:vAlign w:val="center"/>
          </w:tcPr>
          <w:p w14:paraId="465B4FB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D3</w:t>
            </w:r>
          </w:p>
        </w:tc>
        <w:tc>
          <w:tcPr>
            <w:tcW w:w="307" w:type="pct"/>
            <w:tcBorders>
              <w:top w:val="nil"/>
              <w:left w:val="nil"/>
              <w:bottom w:val="single" w:sz="4" w:space="0" w:color="auto"/>
              <w:right w:val="single" w:sz="4" w:space="0" w:color="auto"/>
            </w:tcBorders>
            <w:shd w:val="clear" w:color="auto" w:fill="auto"/>
            <w:noWrap/>
            <w:vAlign w:val="center"/>
          </w:tcPr>
          <w:p w14:paraId="380F2B0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D4</w:t>
            </w:r>
          </w:p>
        </w:tc>
        <w:tc>
          <w:tcPr>
            <w:tcW w:w="308" w:type="pct"/>
            <w:tcBorders>
              <w:top w:val="nil"/>
              <w:left w:val="nil"/>
              <w:bottom w:val="single" w:sz="4" w:space="0" w:color="auto"/>
              <w:right w:val="single" w:sz="4" w:space="0" w:color="auto"/>
            </w:tcBorders>
            <w:shd w:val="clear" w:color="auto" w:fill="auto"/>
            <w:noWrap/>
            <w:vAlign w:val="center"/>
          </w:tcPr>
          <w:p w14:paraId="38F280D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D5</w:t>
            </w:r>
          </w:p>
        </w:tc>
      </w:tr>
      <w:tr w:rsidR="002133E3" w14:paraId="5C023F19"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400F657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pH</w:t>
            </w:r>
            <w:r>
              <w:rPr>
                <w:rFonts w:ascii="宋体" w:eastAsia="宋体" w:hAnsi="宋体" w:cs="Times New Roman" w:hint="eastAsia"/>
                <w:color w:val="000000"/>
                <w:kern w:val="0"/>
                <w:szCs w:val="21"/>
              </w:rPr>
              <w:t>值</w:t>
            </w:r>
          </w:p>
        </w:tc>
        <w:tc>
          <w:tcPr>
            <w:tcW w:w="286" w:type="pct"/>
            <w:tcBorders>
              <w:top w:val="nil"/>
              <w:left w:val="nil"/>
              <w:bottom w:val="single" w:sz="4" w:space="0" w:color="auto"/>
              <w:right w:val="single" w:sz="4" w:space="0" w:color="auto"/>
            </w:tcBorders>
            <w:shd w:val="clear" w:color="auto" w:fill="auto"/>
            <w:noWrap/>
            <w:vAlign w:val="center"/>
          </w:tcPr>
          <w:p w14:paraId="29B54A2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无量纲</w:t>
            </w:r>
          </w:p>
        </w:tc>
        <w:tc>
          <w:tcPr>
            <w:tcW w:w="481" w:type="pct"/>
            <w:tcBorders>
              <w:top w:val="nil"/>
              <w:left w:val="nil"/>
              <w:bottom w:val="single" w:sz="4" w:space="0" w:color="auto"/>
              <w:right w:val="single" w:sz="4" w:space="0" w:color="auto"/>
            </w:tcBorders>
            <w:shd w:val="clear" w:color="auto" w:fill="auto"/>
            <w:noWrap/>
            <w:vAlign w:val="center"/>
          </w:tcPr>
          <w:p w14:paraId="2AEA503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6.77</w:t>
            </w:r>
          </w:p>
        </w:tc>
        <w:tc>
          <w:tcPr>
            <w:tcW w:w="453" w:type="pct"/>
            <w:tcBorders>
              <w:top w:val="nil"/>
              <w:left w:val="nil"/>
              <w:bottom w:val="single" w:sz="4" w:space="0" w:color="auto"/>
              <w:right w:val="single" w:sz="4" w:space="0" w:color="auto"/>
            </w:tcBorders>
            <w:shd w:val="clear" w:color="auto" w:fill="auto"/>
            <w:noWrap/>
            <w:vAlign w:val="center"/>
          </w:tcPr>
          <w:p w14:paraId="7A13776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8.55</w:t>
            </w:r>
          </w:p>
        </w:tc>
        <w:tc>
          <w:tcPr>
            <w:tcW w:w="481" w:type="pct"/>
            <w:tcBorders>
              <w:top w:val="nil"/>
              <w:left w:val="nil"/>
              <w:bottom w:val="single" w:sz="4" w:space="0" w:color="auto"/>
              <w:right w:val="single" w:sz="4" w:space="0" w:color="auto"/>
            </w:tcBorders>
            <w:shd w:val="clear" w:color="auto" w:fill="auto"/>
            <w:noWrap/>
            <w:vAlign w:val="center"/>
          </w:tcPr>
          <w:p w14:paraId="57D9E56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7.86</w:t>
            </w:r>
          </w:p>
        </w:tc>
        <w:tc>
          <w:tcPr>
            <w:tcW w:w="481" w:type="pct"/>
            <w:tcBorders>
              <w:top w:val="nil"/>
              <w:left w:val="nil"/>
              <w:bottom w:val="single" w:sz="4" w:space="0" w:color="auto"/>
              <w:right w:val="single" w:sz="4" w:space="0" w:color="auto"/>
            </w:tcBorders>
            <w:shd w:val="clear" w:color="auto" w:fill="auto"/>
            <w:noWrap/>
            <w:vAlign w:val="center"/>
          </w:tcPr>
          <w:p w14:paraId="5D42282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7.27</w:t>
            </w:r>
          </w:p>
        </w:tc>
        <w:tc>
          <w:tcPr>
            <w:tcW w:w="482" w:type="pct"/>
            <w:tcBorders>
              <w:top w:val="nil"/>
              <w:left w:val="nil"/>
              <w:bottom w:val="single" w:sz="4" w:space="0" w:color="auto"/>
              <w:right w:val="nil"/>
            </w:tcBorders>
            <w:shd w:val="clear" w:color="auto" w:fill="auto"/>
            <w:noWrap/>
            <w:vAlign w:val="center"/>
          </w:tcPr>
          <w:p w14:paraId="4E0A956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7.28</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0711EC8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55ABD0A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3B70A02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6ABD2AA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8" w:type="pct"/>
            <w:tcBorders>
              <w:top w:val="nil"/>
              <w:left w:val="nil"/>
              <w:bottom w:val="single" w:sz="4" w:space="0" w:color="auto"/>
              <w:right w:val="single" w:sz="4" w:space="0" w:color="auto"/>
            </w:tcBorders>
            <w:shd w:val="clear" w:color="auto" w:fill="auto"/>
            <w:noWrap/>
            <w:vAlign w:val="center"/>
          </w:tcPr>
          <w:p w14:paraId="7619EF6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r>
      <w:tr w:rsidR="002133E3" w14:paraId="1E0C1F34"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5D3B858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钾</w:t>
            </w:r>
          </w:p>
        </w:tc>
        <w:tc>
          <w:tcPr>
            <w:tcW w:w="286" w:type="pct"/>
            <w:tcBorders>
              <w:top w:val="nil"/>
              <w:left w:val="nil"/>
              <w:bottom w:val="single" w:sz="4" w:space="0" w:color="auto"/>
              <w:right w:val="single" w:sz="4" w:space="0" w:color="auto"/>
            </w:tcBorders>
            <w:shd w:val="clear" w:color="auto" w:fill="auto"/>
            <w:noWrap/>
            <w:vAlign w:val="center"/>
          </w:tcPr>
          <w:p w14:paraId="4F7DCDD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284F072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22.7</w:t>
            </w:r>
          </w:p>
        </w:tc>
        <w:tc>
          <w:tcPr>
            <w:tcW w:w="453" w:type="pct"/>
            <w:tcBorders>
              <w:top w:val="nil"/>
              <w:left w:val="nil"/>
              <w:bottom w:val="single" w:sz="4" w:space="0" w:color="auto"/>
              <w:right w:val="single" w:sz="4" w:space="0" w:color="auto"/>
            </w:tcBorders>
            <w:shd w:val="clear" w:color="auto" w:fill="auto"/>
            <w:noWrap/>
            <w:vAlign w:val="center"/>
          </w:tcPr>
          <w:p w14:paraId="7AD3212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73.3</w:t>
            </w:r>
          </w:p>
        </w:tc>
        <w:tc>
          <w:tcPr>
            <w:tcW w:w="481" w:type="pct"/>
            <w:tcBorders>
              <w:top w:val="nil"/>
              <w:left w:val="nil"/>
              <w:bottom w:val="single" w:sz="4" w:space="0" w:color="auto"/>
              <w:right w:val="single" w:sz="4" w:space="0" w:color="auto"/>
            </w:tcBorders>
            <w:shd w:val="clear" w:color="auto" w:fill="auto"/>
            <w:noWrap/>
            <w:vAlign w:val="center"/>
          </w:tcPr>
          <w:p w14:paraId="10AC1D9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283</w:t>
            </w:r>
          </w:p>
        </w:tc>
        <w:tc>
          <w:tcPr>
            <w:tcW w:w="481" w:type="pct"/>
            <w:tcBorders>
              <w:top w:val="nil"/>
              <w:left w:val="nil"/>
              <w:bottom w:val="single" w:sz="4" w:space="0" w:color="auto"/>
              <w:right w:val="single" w:sz="4" w:space="0" w:color="auto"/>
            </w:tcBorders>
            <w:shd w:val="clear" w:color="auto" w:fill="auto"/>
            <w:noWrap/>
            <w:vAlign w:val="center"/>
          </w:tcPr>
          <w:p w14:paraId="35F8729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25.5</w:t>
            </w:r>
          </w:p>
        </w:tc>
        <w:tc>
          <w:tcPr>
            <w:tcW w:w="482" w:type="pct"/>
            <w:tcBorders>
              <w:top w:val="nil"/>
              <w:left w:val="nil"/>
              <w:bottom w:val="single" w:sz="4" w:space="0" w:color="auto"/>
              <w:right w:val="single" w:sz="4" w:space="0" w:color="auto"/>
            </w:tcBorders>
            <w:shd w:val="clear" w:color="auto" w:fill="auto"/>
            <w:noWrap/>
            <w:vAlign w:val="center"/>
          </w:tcPr>
          <w:p w14:paraId="1750D5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256</w:t>
            </w:r>
          </w:p>
        </w:tc>
        <w:tc>
          <w:tcPr>
            <w:tcW w:w="307" w:type="pct"/>
            <w:tcBorders>
              <w:top w:val="nil"/>
              <w:left w:val="nil"/>
              <w:bottom w:val="single" w:sz="4" w:space="0" w:color="auto"/>
              <w:right w:val="single" w:sz="4" w:space="0" w:color="auto"/>
            </w:tcBorders>
            <w:shd w:val="clear" w:color="auto" w:fill="auto"/>
            <w:noWrap/>
            <w:vAlign w:val="center"/>
          </w:tcPr>
          <w:p w14:paraId="132C0BD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1BCE0A2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4A690B2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3ADCE6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477CE93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0768CBE2" w14:textId="77777777">
        <w:trPr>
          <w:trHeight w:val="330"/>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5215CC2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钠</w:t>
            </w:r>
          </w:p>
        </w:tc>
        <w:tc>
          <w:tcPr>
            <w:tcW w:w="286" w:type="pct"/>
            <w:tcBorders>
              <w:top w:val="nil"/>
              <w:left w:val="nil"/>
              <w:bottom w:val="single" w:sz="4" w:space="0" w:color="auto"/>
              <w:right w:val="single" w:sz="4" w:space="0" w:color="auto"/>
            </w:tcBorders>
            <w:shd w:val="clear" w:color="auto" w:fill="auto"/>
            <w:noWrap/>
            <w:vAlign w:val="center"/>
          </w:tcPr>
          <w:p w14:paraId="2945F23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7B6955E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270</w:t>
            </w:r>
          </w:p>
        </w:tc>
        <w:tc>
          <w:tcPr>
            <w:tcW w:w="453" w:type="pct"/>
            <w:tcBorders>
              <w:top w:val="nil"/>
              <w:left w:val="nil"/>
              <w:bottom w:val="single" w:sz="4" w:space="0" w:color="auto"/>
              <w:right w:val="single" w:sz="4" w:space="0" w:color="auto"/>
            </w:tcBorders>
            <w:shd w:val="clear" w:color="auto" w:fill="auto"/>
            <w:noWrap/>
            <w:vAlign w:val="center"/>
          </w:tcPr>
          <w:p w14:paraId="13128FA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2.38×10</w:t>
            </w:r>
            <w:r>
              <w:rPr>
                <w:rFonts w:ascii="Times New Roman" w:eastAsia="等线" w:hAnsi="Times New Roman" w:cs="Times New Roman"/>
                <w:color w:val="000000"/>
                <w:kern w:val="0"/>
                <w:szCs w:val="21"/>
                <w:vertAlign w:val="superscript"/>
              </w:rPr>
              <w:t>3</w:t>
            </w:r>
          </w:p>
        </w:tc>
        <w:tc>
          <w:tcPr>
            <w:tcW w:w="481" w:type="pct"/>
            <w:tcBorders>
              <w:top w:val="nil"/>
              <w:left w:val="nil"/>
              <w:bottom w:val="single" w:sz="4" w:space="0" w:color="auto"/>
              <w:right w:val="single" w:sz="4" w:space="0" w:color="auto"/>
            </w:tcBorders>
            <w:shd w:val="clear" w:color="auto" w:fill="auto"/>
            <w:noWrap/>
            <w:vAlign w:val="center"/>
          </w:tcPr>
          <w:p w14:paraId="4A1D239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6.96×10</w:t>
            </w:r>
            <w:r>
              <w:rPr>
                <w:rFonts w:ascii="Times New Roman" w:eastAsia="等线" w:hAnsi="Times New Roman" w:cs="Times New Roman"/>
                <w:color w:val="000000"/>
                <w:kern w:val="0"/>
                <w:szCs w:val="21"/>
                <w:vertAlign w:val="superscript"/>
              </w:rPr>
              <w:t>3</w:t>
            </w:r>
          </w:p>
        </w:tc>
        <w:tc>
          <w:tcPr>
            <w:tcW w:w="481" w:type="pct"/>
            <w:tcBorders>
              <w:top w:val="nil"/>
              <w:left w:val="nil"/>
              <w:bottom w:val="single" w:sz="4" w:space="0" w:color="auto"/>
              <w:right w:val="single" w:sz="4" w:space="0" w:color="auto"/>
            </w:tcBorders>
            <w:shd w:val="clear" w:color="auto" w:fill="auto"/>
            <w:noWrap/>
            <w:vAlign w:val="center"/>
          </w:tcPr>
          <w:p w14:paraId="5AEAA38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301</w:t>
            </w:r>
          </w:p>
        </w:tc>
        <w:tc>
          <w:tcPr>
            <w:tcW w:w="482" w:type="pct"/>
            <w:tcBorders>
              <w:top w:val="nil"/>
              <w:left w:val="nil"/>
              <w:bottom w:val="single" w:sz="4" w:space="0" w:color="auto"/>
              <w:right w:val="nil"/>
            </w:tcBorders>
            <w:shd w:val="clear" w:color="auto" w:fill="auto"/>
            <w:noWrap/>
            <w:vAlign w:val="center"/>
          </w:tcPr>
          <w:p w14:paraId="769160A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7.85×10</w:t>
            </w:r>
            <w:r>
              <w:rPr>
                <w:rFonts w:ascii="Times New Roman" w:eastAsia="等线" w:hAnsi="Times New Roman" w:cs="Times New Roman"/>
                <w:color w:val="000000"/>
                <w:kern w:val="0"/>
                <w:szCs w:val="21"/>
                <w:vertAlign w:val="superscript"/>
              </w:rPr>
              <w:t>3</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4236510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38CFF36E"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1CBA940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3CCDE54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8" w:type="pct"/>
            <w:tcBorders>
              <w:top w:val="nil"/>
              <w:left w:val="nil"/>
              <w:bottom w:val="single" w:sz="4" w:space="0" w:color="auto"/>
              <w:right w:val="single" w:sz="4" w:space="0" w:color="auto"/>
            </w:tcBorders>
            <w:shd w:val="clear" w:color="auto" w:fill="auto"/>
            <w:noWrap/>
            <w:vAlign w:val="center"/>
          </w:tcPr>
          <w:p w14:paraId="41E19DA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r>
      <w:tr w:rsidR="002133E3" w14:paraId="726D2EEB"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5A625EE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钙</w:t>
            </w:r>
          </w:p>
        </w:tc>
        <w:tc>
          <w:tcPr>
            <w:tcW w:w="286" w:type="pct"/>
            <w:tcBorders>
              <w:top w:val="nil"/>
              <w:left w:val="nil"/>
              <w:bottom w:val="single" w:sz="4" w:space="0" w:color="auto"/>
              <w:right w:val="single" w:sz="4" w:space="0" w:color="auto"/>
            </w:tcBorders>
            <w:shd w:val="clear" w:color="auto" w:fill="auto"/>
            <w:noWrap/>
            <w:vAlign w:val="center"/>
          </w:tcPr>
          <w:p w14:paraId="0ADF16B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2B7816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154</w:t>
            </w:r>
          </w:p>
        </w:tc>
        <w:tc>
          <w:tcPr>
            <w:tcW w:w="453" w:type="pct"/>
            <w:tcBorders>
              <w:top w:val="nil"/>
              <w:left w:val="nil"/>
              <w:bottom w:val="single" w:sz="4" w:space="0" w:color="auto"/>
              <w:right w:val="single" w:sz="4" w:space="0" w:color="auto"/>
            </w:tcBorders>
            <w:shd w:val="clear" w:color="auto" w:fill="auto"/>
            <w:noWrap/>
            <w:vAlign w:val="center"/>
          </w:tcPr>
          <w:p w14:paraId="38F8453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418</w:t>
            </w:r>
          </w:p>
        </w:tc>
        <w:tc>
          <w:tcPr>
            <w:tcW w:w="481" w:type="pct"/>
            <w:tcBorders>
              <w:top w:val="nil"/>
              <w:left w:val="nil"/>
              <w:bottom w:val="single" w:sz="4" w:space="0" w:color="auto"/>
              <w:right w:val="single" w:sz="4" w:space="0" w:color="auto"/>
            </w:tcBorders>
            <w:shd w:val="clear" w:color="auto" w:fill="auto"/>
            <w:noWrap/>
            <w:vAlign w:val="center"/>
          </w:tcPr>
          <w:p w14:paraId="2784530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827</w:t>
            </w:r>
          </w:p>
        </w:tc>
        <w:tc>
          <w:tcPr>
            <w:tcW w:w="481" w:type="pct"/>
            <w:tcBorders>
              <w:top w:val="nil"/>
              <w:left w:val="nil"/>
              <w:bottom w:val="single" w:sz="4" w:space="0" w:color="auto"/>
              <w:right w:val="single" w:sz="4" w:space="0" w:color="auto"/>
            </w:tcBorders>
            <w:shd w:val="clear" w:color="auto" w:fill="auto"/>
            <w:noWrap/>
            <w:vAlign w:val="center"/>
          </w:tcPr>
          <w:p w14:paraId="1A71292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189</w:t>
            </w:r>
          </w:p>
        </w:tc>
        <w:tc>
          <w:tcPr>
            <w:tcW w:w="482" w:type="pct"/>
            <w:tcBorders>
              <w:top w:val="nil"/>
              <w:left w:val="nil"/>
              <w:bottom w:val="single" w:sz="4" w:space="0" w:color="auto"/>
              <w:right w:val="single" w:sz="4" w:space="0" w:color="auto"/>
            </w:tcBorders>
            <w:shd w:val="clear" w:color="auto" w:fill="auto"/>
            <w:noWrap/>
            <w:vAlign w:val="center"/>
          </w:tcPr>
          <w:p w14:paraId="0244843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863</w:t>
            </w:r>
          </w:p>
        </w:tc>
        <w:tc>
          <w:tcPr>
            <w:tcW w:w="307" w:type="pct"/>
            <w:tcBorders>
              <w:top w:val="nil"/>
              <w:left w:val="nil"/>
              <w:bottom w:val="single" w:sz="4" w:space="0" w:color="auto"/>
              <w:right w:val="single" w:sz="4" w:space="0" w:color="auto"/>
            </w:tcBorders>
            <w:shd w:val="clear" w:color="auto" w:fill="auto"/>
            <w:noWrap/>
            <w:vAlign w:val="center"/>
          </w:tcPr>
          <w:p w14:paraId="199079D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569FC4E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4A5132B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2814B40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3D4A9CC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5F06E9E2"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61ADE92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镁</w:t>
            </w:r>
          </w:p>
        </w:tc>
        <w:tc>
          <w:tcPr>
            <w:tcW w:w="286" w:type="pct"/>
            <w:tcBorders>
              <w:top w:val="nil"/>
              <w:left w:val="nil"/>
              <w:bottom w:val="single" w:sz="4" w:space="0" w:color="auto"/>
              <w:right w:val="single" w:sz="4" w:space="0" w:color="auto"/>
            </w:tcBorders>
            <w:shd w:val="clear" w:color="auto" w:fill="auto"/>
            <w:noWrap/>
            <w:vAlign w:val="center"/>
          </w:tcPr>
          <w:p w14:paraId="67D659B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253C34B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31.2</w:t>
            </w:r>
          </w:p>
        </w:tc>
        <w:tc>
          <w:tcPr>
            <w:tcW w:w="453" w:type="pct"/>
            <w:tcBorders>
              <w:top w:val="nil"/>
              <w:left w:val="nil"/>
              <w:bottom w:val="single" w:sz="4" w:space="0" w:color="auto"/>
              <w:right w:val="single" w:sz="4" w:space="0" w:color="auto"/>
            </w:tcBorders>
            <w:shd w:val="clear" w:color="auto" w:fill="auto"/>
            <w:noWrap/>
            <w:vAlign w:val="center"/>
          </w:tcPr>
          <w:p w14:paraId="11C03B8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98</w:t>
            </w:r>
          </w:p>
        </w:tc>
        <w:tc>
          <w:tcPr>
            <w:tcW w:w="481" w:type="pct"/>
            <w:tcBorders>
              <w:top w:val="nil"/>
              <w:left w:val="nil"/>
              <w:bottom w:val="single" w:sz="4" w:space="0" w:color="auto"/>
              <w:right w:val="single" w:sz="4" w:space="0" w:color="auto"/>
            </w:tcBorders>
            <w:shd w:val="clear" w:color="auto" w:fill="auto"/>
            <w:noWrap/>
            <w:vAlign w:val="center"/>
          </w:tcPr>
          <w:p w14:paraId="16B7C5F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374</w:t>
            </w:r>
          </w:p>
        </w:tc>
        <w:tc>
          <w:tcPr>
            <w:tcW w:w="481" w:type="pct"/>
            <w:tcBorders>
              <w:top w:val="nil"/>
              <w:left w:val="nil"/>
              <w:bottom w:val="single" w:sz="4" w:space="0" w:color="auto"/>
              <w:right w:val="single" w:sz="4" w:space="0" w:color="auto"/>
            </w:tcBorders>
            <w:shd w:val="clear" w:color="auto" w:fill="auto"/>
            <w:noWrap/>
            <w:vAlign w:val="center"/>
          </w:tcPr>
          <w:p w14:paraId="23316E9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26.9</w:t>
            </w:r>
          </w:p>
        </w:tc>
        <w:tc>
          <w:tcPr>
            <w:tcW w:w="482" w:type="pct"/>
            <w:tcBorders>
              <w:top w:val="nil"/>
              <w:left w:val="nil"/>
              <w:bottom w:val="single" w:sz="4" w:space="0" w:color="auto"/>
              <w:right w:val="single" w:sz="4" w:space="0" w:color="auto"/>
            </w:tcBorders>
            <w:shd w:val="clear" w:color="auto" w:fill="auto"/>
            <w:noWrap/>
            <w:vAlign w:val="center"/>
          </w:tcPr>
          <w:p w14:paraId="3A6D627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355</w:t>
            </w:r>
          </w:p>
        </w:tc>
        <w:tc>
          <w:tcPr>
            <w:tcW w:w="307" w:type="pct"/>
            <w:tcBorders>
              <w:top w:val="nil"/>
              <w:left w:val="nil"/>
              <w:bottom w:val="single" w:sz="4" w:space="0" w:color="auto"/>
              <w:right w:val="single" w:sz="4" w:space="0" w:color="auto"/>
            </w:tcBorders>
            <w:shd w:val="clear" w:color="auto" w:fill="auto"/>
            <w:noWrap/>
            <w:vAlign w:val="center"/>
          </w:tcPr>
          <w:p w14:paraId="11682D0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64933F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00037D6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20EEC1C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028C64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59EA634C"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2747790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重碳酸根</w:t>
            </w:r>
          </w:p>
        </w:tc>
        <w:tc>
          <w:tcPr>
            <w:tcW w:w="286" w:type="pct"/>
            <w:tcBorders>
              <w:top w:val="nil"/>
              <w:left w:val="nil"/>
              <w:bottom w:val="single" w:sz="4" w:space="0" w:color="auto"/>
              <w:right w:val="single" w:sz="4" w:space="0" w:color="auto"/>
            </w:tcBorders>
            <w:shd w:val="clear" w:color="auto" w:fill="auto"/>
            <w:noWrap/>
            <w:vAlign w:val="center"/>
          </w:tcPr>
          <w:p w14:paraId="7BF9F1C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3EBC638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390</w:t>
            </w:r>
          </w:p>
        </w:tc>
        <w:tc>
          <w:tcPr>
            <w:tcW w:w="453" w:type="pct"/>
            <w:tcBorders>
              <w:top w:val="nil"/>
              <w:left w:val="nil"/>
              <w:bottom w:val="single" w:sz="4" w:space="0" w:color="auto"/>
              <w:right w:val="single" w:sz="4" w:space="0" w:color="auto"/>
            </w:tcBorders>
            <w:shd w:val="clear" w:color="auto" w:fill="auto"/>
            <w:noWrap/>
            <w:vAlign w:val="center"/>
          </w:tcPr>
          <w:p w14:paraId="5C426FB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278</w:t>
            </w:r>
          </w:p>
        </w:tc>
        <w:tc>
          <w:tcPr>
            <w:tcW w:w="481" w:type="pct"/>
            <w:tcBorders>
              <w:top w:val="nil"/>
              <w:left w:val="nil"/>
              <w:bottom w:val="single" w:sz="4" w:space="0" w:color="auto"/>
              <w:right w:val="single" w:sz="4" w:space="0" w:color="auto"/>
            </w:tcBorders>
            <w:shd w:val="clear" w:color="auto" w:fill="auto"/>
            <w:noWrap/>
            <w:vAlign w:val="center"/>
          </w:tcPr>
          <w:p w14:paraId="7BC53C4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439</w:t>
            </w:r>
          </w:p>
        </w:tc>
        <w:tc>
          <w:tcPr>
            <w:tcW w:w="481" w:type="pct"/>
            <w:tcBorders>
              <w:top w:val="nil"/>
              <w:left w:val="nil"/>
              <w:bottom w:val="single" w:sz="4" w:space="0" w:color="auto"/>
              <w:right w:val="single" w:sz="4" w:space="0" w:color="auto"/>
            </w:tcBorders>
            <w:shd w:val="clear" w:color="auto" w:fill="auto"/>
            <w:noWrap/>
            <w:vAlign w:val="center"/>
          </w:tcPr>
          <w:p w14:paraId="58A6B72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430</w:t>
            </w:r>
          </w:p>
        </w:tc>
        <w:tc>
          <w:tcPr>
            <w:tcW w:w="482" w:type="pct"/>
            <w:tcBorders>
              <w:top w:val="nil"/>
              <w:left w:val="nil"/>
              <w:bottom w:val="single" w:sz="4" w:space="0" w:color="auto"/>
              <w:right w:val="single" w:sz="4" w:space="0" w:color="auto"/>
            </w:tcBorders>
            <w:shd w:val="clear" w:color="auto" w:fill="auto"/>
            <w:noWrap/>
            <w:vAlign w:val="center"/>
          </w:tcPr>
          <w:p w14:paraId="0ECE208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430</w:t>
            </w:r>
          </w:p>
        </w:tc>
        <w:tc>
          <w:tcPr>
            <w:tcW w:w="307" w:type="pct"/>
            <w:tcBorders>
              <w:top w:val="nil"/>
              <w:left w:val="nil"/>
              <w:bottom w:val="single" w:sz="4" w:space="0" w:color="auto"/>
              <w:right w:val="single" w:sz="4" w:space="0" w:color="auto"/>
            </w:tcBorders>
            <w:shd w:val="clear" w:color="auto" w:fill="auto"/>
            <w:noWrap/>
            <w:vAlign w:val="center"/>
          </w:tcPr>
          <w:p w14:paraId="14C2931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0791AE1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7AD0DFA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3A20089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79F57D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06D16E62"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0FF0368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碳酸根</w:t>
            </w:r>
          </w:p>
        </w:tc>
        <w:tc>
          <w:tcPr>
            <w:tcW w:w="286" w:type="pct"/>
            <w:tcBorders>
              <w:top w:val="nil"/>
              <w:left w:val="nil"/>
              <w:bottom w:val="single" w:sz="4" w:space="0" w:color="auto"/>
              <w:right w:val="single" w:sz="4" w:space="0" w:color="auto"/>
            </w:tcBorders>
            <w:shd w:val="clear" w:color="auto" w:fill="auto"/>
            <w:noWrap/>
            <w:vAlign w:val="center"/>
          </w:tcPr>
          <w:p w14:paraId="0D696DD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20A7371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53" w:type="pct"/>
            <w:tcBorders>
              <w:top w:val="nil"/>
              <w:left w:val="nil"/>
              <w:bottom w:val="single" w:sz="4" w:space="0" w:color="auto"/>
              <w:right w:val="single" w:sz="4" w:space="0" w:color="auto"/>
            </w:tcBorders>
            <w:shd w:val="clear" w:color="auto" w:fill="auto"/>
            <w:noWrap/>
            <w:vAlign w:val="center"/>
          </w:tcPr>
          <w:p w14:paraId="49F9DF8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56</w:t>
            </w:r>
          </w:p>
        </w:tc>
        <w:tc>
          <w:tcPr>
            <w:tcW w:w="481" w:type="pct"/>
            <w:tcBorders>
              <w:top w:val="nil"/>
              <w:left w:val="nil"/>
              <w:bottom w:val="single" w:sz="4" w:space="0" w:color="auto"/>
              <w:right w:val="single" w:sz="4" w:space="0" w:color="auto"/>
            </w:tcBorders>
            <w:shd w:val="clear" w:color="auto" w:fill="auto"/>
            <w:noWrap/>
            <w:vAlign w:val="center"/>
          </w:tcPr>
          <w:p w14:paraId="1200F3E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499A48D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2" w:type="pct"/>
            <w:tcBorders>
              <w:top w:val="nil"/>
              <w:left w:val="nil"/>
              <w:bottom w:val="single" w:sz="4" w:space="0" w:color="auto"/>
              <w:right w:val="single" w:sz="4" w:space="0" w:color="auto"/>
            </w:tcBorders>
            <w:shd w:val="clear" w:color="auto" w:fill="auto"/>
            <w:noWrap/>
            <w:vAlign w:val="center"/>
          </w:tcPr>
          <w:p w14:paraId="3EE99B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307" w:type="pct"/>
            <w:tcBorders>
              <w:top w:val="nil"/>
              <w:left w:val="nil"/>
              <w:bottom w:val="single" w:sz="4" w:space="0" w:color="auto"/>
              <w:right w:val="single" w:sz="4" w:space="0" w:color="auto"/>
            </w:tcBorders>
            <w:shd w:val="clear" w:color="auto" w:fill="auto"/>
            <w:noWrap/>
            <w:vAlign w:val="center"/>
          </w:tcPr>
          <w:p w14:paraId="230AE1B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7380EB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33C7962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0AD7B3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1007659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3AA9F318" w14:textId="77777777">
        <w:trPr>
          <w:trHeight w:val="330"/>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2B846A3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氯化物</w:t>
            </w:r>
          </w:p>
        </w:tc>
        <w:tc>
          <w:tcPr>
            <w:tcW w:w="286" w:type="pct"/>
            <w:tcBorders>
              <w:top w:val="nil"/>
              <w:left w:val="nil"/>
              <w:bottom w:val="single" w:sz="4" w:space="0" w:color="auto"/>
              <w:right w:val="single" w:sz="4" w:space="0" w:color="auto"/>
            </w:tcBorders>
            <w:shd w:val="clear" w:color="auto" w:fill="auto"/>
            <w:noWrap/>
            <w:vAlign w:val="center"/>
          </w:tcPr>
          <w:p w14:paraId="11EC685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356AFA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518</w:t>
            </w:r>
          </w:p>
        </w:tc>
        <w:tc>
          <w:tcPr>
            <w:tcW w:w="453" w:type="pct"/>
            <w:tcBorders>
              <w:top w:val="nil"/>
              <w:left w:val="nil"/>
              <w:bottom w:val="single" w:sz="4" w:space="0" w:color="auto"/>
              <w:right w:val="single" w:sz="4" w:space="0" w:color="auto"/>
            </w:tcBorders>
            <w:shd w:val="clear" w:color="auto" w:fill="auto"/>
            <w:noWrap/>
            <w:vAlign w:val="center"/>
          </w:tcPr>
          <w:p w14:paraId="641A576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4.21×10</w:t>
            </w:r>
            <w:r>
              <w:rPr>
                <w:rFonts w:ascii="Times New Roman" w:eastAsia="等线" w:hAnsi="Times New Roman" w:cs="Times New Roman"/>
                <w:color w:val="000000"/>
                <w:kern w:val="0"/>
                <w:szCs w:val="21"/>
                <w:vertAlign w:val="superscript"/>
              </w:rPr>
              <w:t>3</w:t>
            </w:r>
          </w:p>
        </w:tc>
        <w:tc>
          <w:tcPr>
            <w:tcW w:w="481" w:type="pct"/>
            <w:tcBorders>
              <w:top w:val="nil"/>
              <w:left w:val="nil"/>
              <w:bottom w:val="single" w:sz="4" w:space="0" w:color="auto"/>
              <w:right w:val="single" w:sz="4" w:space="0" w:color="auto"/>
            </w:tcBorders>
            <w:shd w:val="clear" w:color="auto" w:fill="auto"/>
            <w:noWrap/>
            <w:vAlign w:val="center"/>
          </w:tcPr>
          <w:p w14:paraId="6198BB8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1.20×10</w:t>
            </w:r>
            <w:r>
              <w:rPr>
                <w:rFonts w:ascii="Times New Roman" w:eastAsia="等线" w:hAnsi="Times New Roman" w:cs="Times New Roman"/>
                <w:color w:val="000000"/>
                <w:kern w:val="0"/>
                <w:szCs w:val="21"/>
                <w:vertAlign w:val="superscript"/>
              </w:rPr>
              <w:t>4</w:t>
            </w:r>
          </w:p>
        </w:tc>
        <w:tc>
          <w:tcPr>
            <w:tcW w:w="481" w:type="pct"/>
            <w:tcBorders>
              <w:top w:val="nil"/>
              <w:left w:val="nil"/>
              <w:bottom w:val="single" w:sz="4" w:space="0" w:color="auto"/>
              <w:right w:val="single" w:sz="4" w:space="0" w:color="auto"/>
            </w:tcBorders>
            <w:shd w:val="clear" w:color="auto" w:fill="auto"/>
            <w:noWrap/>
            <w:vAlign w:val="center"/>
          </w:tcPr>
          <w:p w14:paraId="3B5EF61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568</w:t>
            </w:r>
          </w:p>
        </w:tc>
        <w:tc>
          <w:tcPr>
            <w:tcW w:w="482" w:type="pct"/>
            <w:tcBorders>
              <w:top w:val="nil"/>
              <w:left w:val="nil"/>
              <w:bottom w:val="single" w:sz="4" w:space="0" w:color="auto"/>
              <w:right w:val="nil"/>
            </w:tcBorders>
            <w:shd w:val="clear" w:color="auto" w:fill="auto"/>
            <w:noWrap/>
            <w:vAlign w:val="center"/>
          </w:tcPr>
          <w:p w14:paraId="4513DE9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1.35×10</w:t>
            </w:r>
            <w:r>
              <w:rPr>
                <w:rFonts w:ascii="Times New Roman" w:eastAsia="等线" w:hAnsi="Times New Roman" w:cs="Times New Roman"/>
                <w:color w:val="000000"/>
                <w:kern w:val="0"/>
                <w:szCs w:val="21"/>
                <w:vertAlign w:val="superscript"/>
              </w:rPr>
              <w:t>4</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264E577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267D39B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2D1B9C5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17486E7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8" w:type="pct"/>
            <w:tcBorders>
              <w:top w:val="nil"/>
              <w:left w:val="nil"/>
              <w:bottom w:val="single" w:sz="4" w:space="0" w:color="auto"/>
              <w:right w:val="single" w:sz="4" w:space="0" w:color="auto"/>
            </w:tcBorders>
            <w:shd w:val="clear" w:color="auto" w:fill="auto"/>
            <w:noWrap/>
            <w:vAlign w:val="center"/>
          </w:tcPr>
          <w:p w14:paraId="50C1ECE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r>
      <w:tr w:rsidR="002133E3" w14:paraId="1B33E940" w14:textId="77777777">
        <w:trPr>
          <w:trHeight w:val="330"/>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24DFBAC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总硬度（以</w:t>
            </w:r>
            <w:r>
              <w:rPr>
                <w:rFonts w:ascii="Times New Roman" w:eastAsia="宋体" w:hAnsi="Times New Roman" w:cs="Times New Roman"/>
                <w:color w:val="000000"/>
                <w:kern w:val="0"/>
                <w:szCs w:val="21"/>
              </w:rPr>
              <w:t>CaCO</w:t>
            </w:r>
            <w:r>
              <w:rPr>
                <w:rFonts w:ascii="Times New Roman" w:eastAsia="宋体" w:hAnsi="Times New Roman" w:cs="Times New Roman"/>
                <w:color w:val="000000"/>
                <w:kern w:val="0"/>
                <w:szCs w:val="21"/>
                <w:vertAlign w:val="subscript"/>
              </w:rPr>
              <w:t>3</w:t>
            </w:r>
            <w:r>
              <w:rPr>
                <w:rFonts w:ascii="宋体" w:eastAsia="宋体" w:hAnsi="宋体" w:cs="宋体" w:hint="eastAsia"/>
                <w:color w:val="000000"/>
                <w:kern w:val="0"/>
                <w:szCs w:val="21"/>
              </w:rPr>
              <w:t>计）</w:t>
            </w:r>
          </w:p>
        </w:tc>
        <w:tc>
          <w:tcPr>
            <w:tcW w:w="286" w:type="pct"/>
            <w:tcBorders>
              <w:top w:val="nil"/>
              <w:left w:val="nil"/>
              <w:bottom w:val="single" w:sz="4" w:space="0" w:color="auto"/>
              <w:right w:val="single" w:sz="4" w:space="0" w:color="auto"/>
            </w:tcBorders>
            <w:shd w:val="clear" w:color="auto" w:fill="auto"/>
            <w:noWrap/>
            <w:vAlign w:val="center"/>
          </w:tcPr>
          <w:p w14:paraId="360C728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16936F6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620</w:t>
            </w:r>
          </w:p>
        </w:tc>
        <w:tc>
          <w:tcPr>
            <w:tcW w:w="453" w:type="pct"/>
            <w:tcBorders>
              <w:top w:val="nil"/>
              <w:left w:val="nil"/>
              <w:bottom w:val="single" w:sz="4" w:space="0" w:color="auto"/>
              <w:right w:val="single" w:sz="4" w:space="0" w:color="auto"/>
            </w:tcBorders>
            <w:shd w:val="clear" w:color="auto" w:fill="auto"/>
            <w:noWrap/>
            <w:vAlign w:val="center"/>
          </w:tcPr>
          <w:p w14:paraId="312596A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1.87×10</w:t>
            </w:r>
            <w:r>
              <w:rPr>
                <w:rFonts w:ascii="Times New Roman" w:eastAsia="等线" w:hAnsi="Times New Roman" w:cs="Times New Roman"/>
                <w:color w:val="000000"/>
                <w:kern w:val="0"/>
                <w:szCs w:val="21"/>
                <w:vertAlign w:val="superscript"/>
              </w:rPr>
              <w:t>3</w:t>
            </w:r>
          </w:p>
        </w:tc>
        <w:tc>
          <w:tcPr>
            <w:tcW w:w="481" w:type="pct"/>
            <w:tcBorders>
              <w:top w:val="nil"/>
              <w:left w:val="nil"/>
              <w:bottom w:val="single" w:sz="4" w:space="0" w:color="auto"/>
              <w:right w:val="single" w:sz="4" w:space="0" w:color="auto"/>
            </w:tcBorders>
            <w:shd w:val="clear" w:color="auto" w:fill="auto"/>
            <w:noWrap/>
            <w:vAlign w:val="center"/>
          </w:tcPr>
          <w:p w14:paraId="0A10CB5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4.55×10</w:t>
            </w:r>
            <w:r>
              <w:rPr>
                <w:rFonts w:ascii="Times New Roman" w:eastAsia="等线" w:hAnsi="Times New Roman" w:cs="Times New Roman"/>
                <w:color w:val="000000"/>
                <w:kern w:val="0"/>
                <w:szCs w:val="21"/>
                <w:vertAlign w:val="superscript"/>
              </w:rPr>
              <w:t>3</w:t>
            </w:r>
          </w:p>
        </w:tc>
        <w:tc>
          <w:tcPr>
            <w:tcW w:w="481" w:type="pct"/>
            <w:tcBorders>
              <w:top w:val="nil"/>
              <w:left w:val="nil"/>
              <w:bottom w:val="single" w:sz="4" w:space="0" w:color="auto"/>
              <w:right w:val="single" w:sz="4" w:space="0" w:color="auto"/>
            </w:tcBorders>
            <w:shd w:val="clear" w:color="auto" w:fill="auto"/>
            <w:noWrap/>
            <w:vAlign w:val="center"/>
          </w:tcPr>
          <w:p w14:paraId="4155F0E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710</w:t>
            </w:r>
          </w:p>
        </w:tc>
        <w:tc>
          <w:tcPr>
            <w:tcW w:w="482" w:type="pct"/>
            <w:tcBorders>
              <w:top w:val="nil"/>
              <w:left w:val="nil"/>
              <w:bottom w:val="single" w:sz="4" w:space="0" w:color="auto"/>
              <w:right w:val="nil"/>
            </w:tcBorders>
            <w:shd w:val="clear" w:color="auto" w:fill="auto"/>
            <w:noWrap/>
            <w:vAlign w:val="center"/>
          </w:tcPr>
          <w:p w14:paraId="190759A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5.25×10</w:t>
            </w:r>
            <w:r>
              <w:rPr>
                <w:rFonts w:ascii="Times New Roman" w:eastAsia="等线" w:hAnsi="Times New Roman" w:cs="Times New Roman"/>
                <w:color w:val="000000"/>
                <w:kern w:val="0"/>
                <w:szCs w:val="21"/>
                <w:vertAlign w:val="superscript"/>
              </w:rPr>
              <w:t>3</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4A0855E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3CD47C2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3EAA9F1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32A6B39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8" w:type="pct"/>
            <w:tcBorders>
              <w:top w:val="nil"/>
              <w:left w:val="nil"/>
              <w:bottom w:val="single" w:sz="4" w:space="0" w:color="auto"/>
              <w:right w:val="single" w:sz="4" w:space="0" w:color="auto"/>
            </w:tcBorders>
            <w:shd w:val="clear" w:color="auto" w:fill="auto"/>
            <w:noWrap/>
            <w:vAlign w:val="center"/>
          </w:tcPr>
          <w:p w14:paraId="4044671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r>
      <w:tr w:rsidR="002133E3" w14:paraId="192A58A3"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3187F47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硝酸盐（以N计）</w:t>
            </w:r>
          </w:p>
        </w:tc>
        <w:tc>
          <w:tcPr>
            <w:tcW w:w="286" w:type="pct"/>
            <w:tcBorders>
              <w:top w:val="nil"/>
              <w:left w:val="nil"/>
              <w:bottom w:val="single" w:sz="4" w:space="0" w:color="auto"/>
              <w:right w:val="single" w:sz="4" w:space="0" w:color="auto"/>
            </w:tcBorders>
            <w:shd w:val="clear" w:color="auto" w:fill="auto"/>
            <w:noWrap/>
            <w:vAlign w:val="center"/>
          </w:tcPr>
          <w:p w14:paraId="47B99C1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36A6270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w:t>
            </w:r>
          </w:p>
        </w:tc>
        <w:tc>
          <w:tcPr>
            <w:tcW w:w="453" w:type="pct"/>
            <w:tcBorders>
              <w:top w:val="nil"/>
              <w:left w:val="nil"/>
              <w:bottom w:val="single" w:sz="4" w:space="0" w:color="auto"/>
              <w:right w:val="single" w:sz="4" w:space="0" w:color="auto"/>
            </w:tcBorders>
            <w:shd w:val="clear" w:color="auto" w:fill="auto"/>
            <w:noWrap/>
            <w:vAlign w:val="center"/>
          </w:tcPr>
          <w:p w14:paraId="1F33F70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2.1</w:t>
            </w:r>
          </w:p>
        </w:tc>
        <w:tc>
          <w:tcPr>
            <w:tcW w:w="481" w:type="pct"/>
            <w:tcBorders>
              <w:top w:val="nil"/>
              <w:left w:val="nil"/>
              <w:bottom w:val="single" w:sz="4" w:space="0" w:color="auto"/>
              <w:right w:val="single" w:sz="4" w:space="0" w:color="auto"/>
            </w:tcBorders>
            <w:shd w:val="clear" w:color="auto" w:fill="auto"/>
            <w:noWrap/>
            <w:vAlign w:val="center"/>
          </w:tcPr>
          <w:p w14:paraId="2797DB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w:t>
            </w:r>
          </w:p>
        </w:tc>
        <w:tc>
          <w:tcPr>
            <w:tcW w:w="481" w:type="pct"/>
            <w:tcBorders>
              <w:top w:val="nil"/>
              <w:left w:val="nil"/>
              <w:bottom w:val="single" w:sz="4" w:space="0" w:color="auto"/>
              <w:right w:val="single" w:sz="4" w:space="0" w:color="auto"/>
            </w:tcBorders>
            <w:shd w:val="clear" w:color="auto" w:fill="auto"/>
            <w:noWrap/>
            <w:vAlign w:val="center"/>
          </w:tcPr>
          <w:p w14:paraId="07D7F34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w:t>
            </w:r>
          </w:p>
        </w:tc>
        <w:tc>
          <w:tcPr>
            <w:tcW w:w="482" w:type="pct"/>
            <w:tcBorders>
              <w:top w:val="nil"/>
              <w:left w:val="nil"/>
              <w:bottom w:val="single" w:sz="4" w:space="0" w:color="auto"/>
              <w:right w:val="nil"/>
            </w:tcBorders>
            <w:shd w:val="clear" w:color="auto" w:fill="auto"/>
            <w:noWrap/>
            <w:vAlign w:val="center"/>
          </w:tcPr>
          <w:p w14:paraId="029DDB2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0.6</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7CECCBD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235405A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7" w:type="pct"/>
            <w:tcBorders>
              <w:top w:val="nil"/>
              <w:left w:val="nil"/>
              <w:bottom w:val="single" w:sz="4" w:space="0" w:color="auto"/>
              <w:right w:val="single" w:sz="4" w:space="0" w:color="auto"/>
            </w:tcBorders>
            <w:shd w:val="clear" w:color="auto" w:fill="auto"/>
            <w:noWrap/>
            <w:vAlign w:val="center"/>
          </w:tcPr>
          <w:p w14:paraId="696A3B8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2B7A6BAF"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8" w:type="pct"/>
            <w:tcBorders>
              <w:top w:val="nil"/>
              <w:left w:val="nil"/>
              <w:bottom w:val="single" w:sz="4" w:space="0" w:color="auto"/>
              <w:right w:val="single" w:sz="4" w:space="0" w:color="auto"/>
            </w:tcBorders>
            <w:shd w:val="clear" w:color="auto" w:fill="auto"/>
            <w:noWrap/>
            <w:vAlign w:val="center"/>
          </w:tcPr>
          <w:p w14:paraId="1281D08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r>
      <w:tr w:rsidR="002133E3" w14:paraId="72146522"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08972D8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 xml:space="preserve"> </w:t>
            </w:r>
            <w:r>
              <w:rPr>
                <w:rFonts w:ascii="宋体" w:eastAsia="宋体" w:hAnsi="宋体" w:cs="Times New Roman" w:hint="eastAsia"/>
                <w:color w:val="000000"/>
                <w:kern w:val="0"/>
                <w:szCs w:val="21"/>
              </w:rPr>
              <w:t>亚硝酸盐（以</w:t>
            </w:r>
            <w:r>
              <w:rPr>
                <w:rFonts w:ascii="Times New Roman" w:eastAsia="等线" w:hAnsi="Times New Roman" w:cs="Times New Roman"/>
                <w:color w:val="000000"/>
                <w:kern w:val="0"/>
                <w:szCs w:val="21"/>
              </w:rPr>
              <w:t>N</w:t>
            </w:r>
            <w:r>
              <w:rPr>
                <w:rFonts w:ascii="宋体" w:eastAsia="宋体" w:hAnsi="宋体" w:cs="Times New Roman" w:hint="eastAsia"/>
                <w:color w:val="000000"/>
                <w:kern w:val="0"/>
                <w:szCs w:val="21"/>
              </w:rPr>
              <w:t>计）</w:t>
            </w:r>
          </w:p>
        </w:tc>
        <w:tc>
          <w:tcPr>
            <w:tcW w:w="286" w:type="pct"/>
            <w:tcBorders>
              <w:top w:val="nil"/>
              <w:left w:val="nil"/>
              <w:bottom w:val="single" w:sz="4" w:space="0" w:color="auto"/>
              <w:right w:val="single" w:sz="4" w:space="0" w:color="auto"/>
            </w:tcBorders>
            <w:shd w:val="clear" w:color="auto" w:fill="auto"/>
            <w:noWrap/>
            <w:vAlign w:val="center"/>
          </w:tcPr>
          <w:p w14:paraId="2ABA2C0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43379A7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53" w:type="pct"/>
            <w:tcBorders>
              <w:top w:val="nil"/>
              <w:left w:val="nil"/>
              <w:bottom w:val="single" w:sz="4" w:space="0" w:color="auto"/>
              <w:right w:val="single" w:sz="4" w:space="0" w:color="auto"/>
            </w:tcBorders>
            <w:shd w:val="clear" w:color="auto" w:fill="auto"/>
            <w:noWrap/>
            <w:vAlign w:val="center"/>
          </w:tcPr>
          <w:p w14:paraId="472D176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1.35</w:t>
            </w:r>
          </w:p>
        </w:tc>
        <w:tc>
          <w:tcPr>
            <w:tcW w:w="481" w:type="pct"/>
            <w:tcBorders>
              <w:top w:val="nil"/>
              <w:left w:val="nil"/>
              <w:bottom w:val="single" w:sz="4" w:space="0" w:color="auto"/>
              <w:right w:val="single" w:sz="4" w:space="0" w:color="auto"/>
            </w:tcBorders>
            <w:shd w:val="clear" w:color="auto" w:fill="auto"/>
            <w:noWrap/>
            <w:vAlign w:val="center"/>
          </w:tcPr>
          <w:p w14:paraId="27E88EC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0.005</w:t>
            </w:r>
          </w:p>
        </w:tc>
        <w:tc>
          <w:tcPr>
            <w:tcW w:w="481" w:type="pct"/>
            <w:tcBorders>
              <w:top w:val="nil"/>
              <w:left w:val="nil"/>
              <w:bottom w:val="single" w:sz="4" w:space="0" w:color="auto"/>
              <w:right w:val="single" w:sz="4" w:space="0" w:color="auto"/>
            </w:tcBorders>
            <w:shd w:val="clear" w:color="auto" w:fill="auto"/>
            <w:noWrap/>
            <w:vAlign w:val="center"/>
          </w:tcPr>
          <w:p w14:paraId="1FBA74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0.032</w:t>
            </w:r>
          </w:p>
        </w:tc>
        <w:tc>
          <w:tcPr>
            <w:tcW w:w="482" w:type="pct"/>
            <w:tcBorders>
              <w:top w:val="nil"/>
              <w:left w:val="nil"/>
              <w:bottom w:val="single" w:sz="4" w:space="0" w:color="auto"/>
              <w:right w:val="nil"/>
            </w:tcBorders>
            <w:shd w:val="clear" w:color="auto" w:fill="auto"/>
            <w:noWrap/>
            <w:vAlign w:val="center"/>
          </w:tcPr>
          <w:p w14:paraId="4F21EC7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0.018</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63799B8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4B512F8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0499874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10E7162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8" w:type="pct"/>
            <w:tcBorders>
              <w:top w:val="nil"/>
              <w:left w:val="nil"/>
              <w:bottom w:val="single" w:sz="4" w:space="0" w:color="auto"/>
              <w:right w:val="single" w:sz="4" w:space="0" w:color="auto"/>
            </w:tcBorders>
            <w:shd w:val="clear" w:color="auto" w:fill="auto"/>
            <w:noWrap/>
            <w:vAlign w:val="center"/>
          </w:tcPr>
          <w:p w14:paraId="0C49462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r>
      <w:tr w:rsidR="002133E3" w14:paraId="40BA1A05" w14:textId="77777777">
        <w:trPr>
          <w:trHeight w:val="300"/>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1378C0F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耗氧量（</w:t>
            </w:r>
            <w:proofErr w:type="spellStart"/>
            <w:r>
              <w:rPr>
                <w:rFonts w:ascii="Times New Roman" w:eastAsia="宋体" w:hAnsi="Times New Roman" w:cs="Times New Roman"/>
                <w:color w:val="000000"/>
                <w:kern w:val="0"/>
                <w:szCs w:val="21"/>
              </w:rPr>
              <w:t>COD</w:t>
            </w:r>
            <w:r>
              <w:rPr>
                <w:rFonts w:ascii="Times New Roman" w:eastAsia="宋体" w:hAnsi="Times New Roman" w:cs="Times New Roman"/>
                <w:color w:val="000000"/>
                <w:kern w:val="0"/>
                <w:szCs w:val="21"/>
                <w:vertAlign w:val="subscript"/>
              </w:rPr>
              <w:t>Mn</w:t>
            </w:r>
            <w:proofErr w:type="spellEnd"/>
            <w:r>
              <w:rPr>
                <w:rFonts w:ascii="宋体" w:eastAsia="宋体" w:hAnsi="宋体" w:cs="宋体" w:hint="eastAsia"/>
                <w:color w:val="000000"/>
                <w:kern w:val="0"/>
                <w:szCs w:val="21"/>
              </w:rPr>
              <w:t>）</w:t>
            </w:r>
          </w:p>
        </w:tc>
        <w:tc>
          <w:tcPr>
            <w:tcW w:w="286" w:type="pct"/>
            <w:tcBorders>
              <w:top w:val="nil"/>
              <w:left w:val="nil"/>
              <w:bottom w:val="single" w:sz="4" w:space="0" w:color="auto"/>
              <w:right w:val="single" w:sz="4" w:space="0" w:color="auto"/>
            </w:tcBorders>
            <w:shd w:val="clear" w:color="auto" w:fill="auto"/>
            <w:noWrap/>
            <w:vAlign w:val="center"/>
          </w:tcPr>
          <w:p w14:paraId="1A8E8D2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69C911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0.82</w:t>
            </w:r>
          </w:p>
        </w:tc>
        <w:tc>
          <w:tcPr>
            <w:tcW w:w="453" w:type="pct"/>
            <w:tcBorders>
              <w:top w:val="nil"/>
              <w:left w:val="nil"/>
              <w:bottom w:val="single" w:sz="4" w:space="0" w:color="auto"/>
              <w:right w:val="single" w:sz="4" w:space="0" w:color="auto"/>
            </w:tcBorders>
            <w:shd w:val="clear" w:color="auto" w:fill="auto"/>
            <w:noWrap/>
            <w:vAlign w:val="center"/>
          </w:tcPr>
          <w:p w14:paraId="61C2140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30.6</w:t>
            </w:r>
          </w:p>
        </w:tc>
        <w:tc>
          <w:tcPr>
            <w:tcW w:w="481" w:type="pct"/>
            <w:tcBorders>
              <w:top w:val="nil"/>
              <w:left w:val="nil"/>
              <w:bottom w:val="single" w:sz="4" w:space="0" w:color="auto"/>
              <w:right w:val="single" w:sz="4" w:space="0" w:color="auto"/>
            </w:tcBorders>
            <w:shd w:val="clear" w:color="auto" w:fill="auto"/>
            <w:noWrap/>
            <w:vAlign w:val="center"/>
          </w:tcPr>
          <w:p w14:paraId="6D883E3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3.32</w:t>
            </w:r>
          </w:p>
        </w:tc>
        <w:tc>
          <w:tcPr>
            <w:tcW w:w="481" w:type="pct"/>
            <w:tcBorders>
              <w:top w:val="nil"/>
              <w:left w:val="nil"/>
              <w:bottom w:val="single" w:sz="4" w:space="0" w:color="auto"/>
              <w:right w:val="single" w:sz="4" w:space="0" w:color="auto"/>
            </w:tcBorders>
            <w:shd w:val="clear" w:color="auto" w:fill="auto"/>
            <w:noWrap/>
            <w:vAlign w:val="center"/>
          </w:tcPr>
          <w:p w14:paraId="1EC6C73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4.53</w:t>
            </w:r>
          </w:p>
        </w:tc>
        <w:tc>
          <w:tcPr>
            <w:tcW w:w="482" w:type="pct"/>
            <w:tcBorders>
              <w:top w:val="nil"/>
              <w:left w:val="nil"/>
              <w:bottom w:val="single" w:sz="4" w:space="0" w:color="auto"/>
              <w:right w:val="nil"/>
            </w:tcBorders>
            <w:shd w:val="clear" w:color="auto" w:fill="auto"/>
            <w:noWrap/>
            <w:vAlign w:val="center"/>
          </w:tcPr>
          <w:p w14:paraId="4AD5C56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4.29</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0603B9C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57FA85DE"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40EE848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195F9BBE"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8" w:type="pct"/>
            <w:tcBorders>
              <w:top w:val="nil"/>
              <w:left w:val="nil"/>
              <w:bottom w:val="single" w:sz="4" w:space="0" w:color="auto"/>
              <w:right w:val="single" w:sz="4" w:space="0" w:color="auto"/>
            </w:tcBorders>
            <w:shd w:val="clear" w:color="auto" w:fill="auto"/>
            <w:noWrap/>
            <w:vAlign w:val="center"/>
          </w:tcPr>
          <w:p w14:paraId="03E69A4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r>
      <w:tr w:rsidR="002133E3" w14:paraId="5109E41E"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3E85057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氨氮</w:t>
            </w:r>
          </w:p>
        </w:tc>
        <w:tc>
          <w:tcPr>
            <w:tcW w:w="286" w:type="pct"/>
            <w:tcBorders>
              <w:top w:val="nil"/>
              <w:left w:val="nil"/>
              <w:bottom w:val="single" w:sz="4" w:space="0" w:color="auto"/>
              <w:right w:val="single" w:sz="4" w:space="0" w:color="auto"/>
            </w:tcBorders>
            <w:shd w:val="clear" w:color="auto" w:fill="auto"/>
            <w:noWrap/>
            <w:vAlign w:val="center"/>
          </w:tcPr>
          <w:p w14:paraId="102E687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bottom"/>
          </w:tcPr>
          <w:p w14:paraId="5F6966D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0.626</w:t>
            </w:r>
          </w:p>
        </w:tc>
        <w:tc>
          <w:tcPr>
            <w:tcW w:w="453" w:type="pct"/>
            <w:tcBorders>
              <w:top w:val="nil"/>
              <w:left w:val="nil"/>
              <w:bottom w:val="single" w:sz="4" w:space="0" w:color="auto"/>
              <w:right w:val="single" w:sz="4" w:space="0" w:color="auto"/>
            </w:tcBorders>
            <w:shd w:val="clear" w:color="auto" w:fill="auto"/>
            <w:noWrap/>
            <w:vAlign w:val="bottom"/>
          </w:tcPr>
          <w:p w14:paraId="699BB50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5.84</w:t>
            </w:r>
          </w:p>
        </w:tc>
        <w:tc>
          <w:tcPr>
            <w:tcW w:w="481" w:type="pct"/>
            <w:tcBorders>
              <w:top w:val="nil"/>
              <w:left w:val="nil"/>
              <w:bottom w:val="single" w:sz="4" w:space="0" w:color="auto"/>
              <w:right w:val="single" w:sz="4" w:space="0" w:color="auto"/>
            </w:tcBorders>
            <w:shd w:val="clear" w:color="auto" w:fill="auto"/>
            <w:noWrap/>
            <w:vAlign w:val="bottom"/>
          </w:tcPr>
          <w:p w14:paraId="157D973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4.89</w:t>
            </w:r>
          </w:p>
        </w:tc>
        <w:tc>
          <w:tcPr>
            <w:tcW w:w="481" w:type="pct"/>
            <w:tcBorders>
              <w:top w:val="nil"/>
              <w:left w:val="nil"/>
              <w:bottom w:val="single" w:sz="4" w:space="0" w:color="auto"/>
              <w:right w:val="single" w:sz="4" w:space="0" w:color="auto"/>
            </w:tcBorders>
            <w:shd w:val="clear" w:color="auto" w:fill="auto"/>
            <w:noWrap/>
            <w:vAlign w:val="bottom"/>
          </w:tcPr>
          <w:p w14:paraId="0E1F6E4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0.679</w:t>
            </w:r>
          </w:p>
        </w:tc>
        <w:tc>
          <w:tcPr>
            <w:tcW w:w="482" w:type="pct"/>
            <w:tcBorders>
              <w:top w:val="nil"/>
              <w:left w:val="nil"/>
              <w:bottom w:val="single" w:sz="4" w:space="0" w:color="auto"/>
              <w:right w:val="nil"/>
            </w:tcBorders>
            <w:shd w:val="clear" w:color="auto" w:fill="auto"/>
            <w:noWrap/>
            <w:vAlign w:val="bottom"/>
          </w:tcPr>
          <w:p w14:paraId="66D75ED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3.15</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6F5DE99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00D657D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39F57A4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195FAF3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8" w:type="pct"/>
            <w:tcBorders>
              <w:top w:val="nil"/>
              <w:left w:val="nil"/>
              <w:bottom w:val="single" w:sz="4" w:space="0" w:color="auto"/>
              <w:right w:val="single" w:sz="4" w:space="0" w:color="auto"/>
            </w:tcBorders>
            <w:shd w:val="clear" w:color="auto" w:fill="auto"/>
            <w:noWrap/>
            <w:vAlign w:val="center"/>
          </w:tcPr>
          <w:p w14:paraId="06D268C4"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r>
      <w:tr w:rsidR="002133E3" w14:paraId="5F65C562" w14:textId="77777777">
        <w:trPr>
          <w:trHeight w:val="330"/>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0381469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溶解性总固体</w:t>
            </w:r>
          </w:p>
        </w:tc>
        <w:tc>
          <w:tcPr>
            <w:tcW w:w="286" w:type="pct"/>
            <w:tcBorders>
              <w:top w:val="nil"/>
              <w:left w:val="nil"/>
              <w:bottom w:val="single" w:sz="4" w:space="0" w:color="auto"/>
              <w:right w:val="single" w:sz="4" w:space="0" w:color="auto"/>
            </w:tcBorders>
            <w:shd w:val="clear" w:color="auto" w:fill="auto"/>
            <w:noWrap/>
            <w:vAlign w:val="center"/>
          </w:tcPr>
          <w:p w14:paraId="117DD3B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bottom"/>
          </w:tcPr>
          <w:p w14:paraId="232FEA8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1.95×10</w:t>
            </w:r>
            <w:r>
              <w:rPr>
                <w:rFonts w:ascii="Times New Roman" w:eastAsia="等线" w:hAnsi="Times New Roman" w:cs="Times New Roman"/>
                <w:color w:val="000000"/>
                <w:kern w:val="0"/>
                <w:szCs w:val="21"/>
                <w:vertAlign w:val="superscript"/>
              </w:rPr>
              <w:t>3</w:t>
            </w:r>
          </w:p>
        </w:tc>
        <w:tc>
          <w:tcPr>
            <w:tcW w:w="453" w:type="pct"/>
            <w:tcBorders>
              <w:top w:val="nil"/>
              <w:left w:val="nil"/>
              <w:bottom w:val="single" w:sz="4" w:space="0" w:color="auto"/>
              <w:right w:val="single" w:sz="4" w:space="0" w:color="auto"/>
            </w:tcBorders>
            <w:shd w:val="clear" w:color="auto" w:fill="auto"/>
            <w:noWrap/>
            <w:vAlign w:val="bottom"/>
          </w:tcPr>
          <w:p w14:paraId="0045D94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9.20×10</w:t>
            </w:r>
            <w:r>
              <w:rPr>
                <w:rFonts w:ascii="Times New Roman" w:eastAsia="等线" w:hAnsi="Times New Roman" w:cs="Times New Roman"/>
                <w:color w:val="000000"/>
                <w:kern w:val="0"/>
                <w:szCs w:val="21"/>
                <w:vertAlign w:val="superscript"/>
              </w:rPr>
              <w:t>3</w:t>
            </w:r>
          </w:p>
        </w:tc>
        <w:tc>
          <w:tcPr>
            <w:tcW w:w="481" w:type="pct"/>
            <w:tcBorders>
              <w:top w:val="nil"/>
              <w:left w:val="nil"/>
              <w:bottom w:val="single" w:sz="4" w:space="0" w:color="auto"/>
              <w:right w:val="single" w:sz="4" w:space="0" w:color="auto"/>
            </w:tcBorders>
            <w:shd w:val="clear" w:color="auto" w:fill="auto"/>
            <w:noWrap/>
            <w:vAlign w:val="bottom"/>
          </w:tcPr>
          <w:p w14:paraId="12AC1E4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4.60×10</w:t>
            </w:r>
            <w:r>
              <w:rPr>
                <w:rFonts w:ascii="Times New Roman" w:eastAsia="等线" w:hAnsi="Times New Roman" w:cs="Times New Roman"/>
                <w:color w:val="000000"/>
                <w:kern w:val="0"/>
                <w:szCs w:val="21"/>
                <w:vertAlign w:val="superscript"/>
              </w:rPr>
              <w:t>4</w:t>
            </w:r>
          </w:p>
        </w:tc>
        <w:tc>
          <w:tcPr>
            <w:tcW w:w="481" w:type="pct"/>
            <w:tcBorders>
              <w:top w:val="nil"/>
              <w:left w:val="nil"/>
              <w:bottom w:val="single" w:sz="4" w:space="0" w:color="auto"/>
              <w:right w:val="single" w:sz="4" w:space="0" w:color="auto"/>
            </w:tcBorders>
            <w:shd w:val="clear" w:color="auto" w:fill="auto"/>
            <w:noWrap/>
            <w:vAlign w:val="bottom"/>
          </w:tcPr>
          <w:p w14:paraId="701356B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1.83×10</w:t>
            </w:r>
            <w:r>
              <w:rPr>
                <w:rFonts w:ascii="Times New Roman" w:eastAsia="等线" w:hAnsi="Times New Roman" w:cs="Times New Roman"/>
                <w:color w:val="000000"/>
                <w:kern w:val="0"/>
                <w:szCs w:val="21"/>
                <w:vertAlign w:val="superscript"/>
              </w:rPr>
              <w:t>3</w:t>
            </w:r>
          </w:p>
        </w:tc>
        <w:tc>
          <w:tcPr>
            <w:tcW w:w="482" w:type="pct"/>
            <w:tcBorders>
              <w:top w:val="nil"/>
              <w:left w:val="nil"/>
              <w:bottom w:val="single" w:sz="4" w:space="0" w:color="auto"/>
              <w:right w:val="nil"/>
            </w:tcBorders>
            <w:shd w:val="clear" w:color="auto" w:fill="auto"/>
            <w:noWrap/>
            <w:vAlign w:val="bottom"/>
          </w:tcPr>
          <w:p w14:paraId="30F1FA5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4.82×10</w:t>
            </w:r>
            <w:r>
              <w:rPr>
                <w:rFonts w:ascii="Times New Roman" w:eastAsia="等线" w:hAnsi="Times New Roman" w:cs="Times New Roman"/>
                <w:color w:val="000000"/>
                <w:kern w:val="0"/>
                <w:szCs w:val="21"/>
                <w:vertAlign w:val="superscript"/>
              </w:rPr>
              <w:t>4</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4E1E65A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7F2F77E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5B180C3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4499B3CF"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8" w:type="pct"/>
            <w:tcBorders>
              <w:top w:val="nil"/>
              <w:left w:val="nil"/>
              <w:bottom w:val="single" w:sz="4" w:space="0" w:color="auto"/>
              <w:right w:val="single" w:sz="4" w:space="0" w:color="auto"/>
            </w:tcBorders>
            <w:shd w:val="clear" w:color="auto" w:fill="auto"/>
            <w:noWrap/>
            <w:vAlign w:val="center"/>
          </w:tcPr>
          <w:p w14:paraId="5793E284"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r>
      <w:tr w:rsidR="002133E3" w14:paraId="20B769EF"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5E521BD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六价铬</w:t>
            </w:r>
          </w:p>
        </w:tc>
        <w:tc>
          <w:tcPr>
            <w:tcW w:w="286" w:type="pct"/>
            <w:tcBorders>
              <w:top w:val="nil"/>
              <w:left w:val="nil"/>
              <w:bottom w:val="single" w:sz="4" w:space="0" w:color="auto"/>
              <w:right w:val="single" w:sz="4" w:space="0" w:color="auto"/>
            </w:tcBorders>
            <w:shd w:val="clear" w:color="auto" w:fill="auto"/>
            <w:noWrap/>
            <w:vAlign w:val="center"/>
          </w:tcPr>
          <w:p w14:paraId="0F03D04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2059988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53" w:type="pct"/>
            <w:tcBorders>
              <w:top w:val="nil"/>
              <w:left w:val="nil"/>
              <w:bottom w:val="single" w:sz="4" w:space="0" w:color="auto"/>
              <w:right w:val="single" w:sz="4" w:space="0" w:color="auto"/>
            </w:tcBorders>
            <w:shd w:val="clear" w:color="auto" w:fill="auto"/>
            <w:noWrap/>
            <w:vAlign w:val="center"/>
          </w:tcPr>
          <w:p w14:paraId="283CFBA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468F57F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042E62D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2" w:type="pct"/>
            <w:tcBorders>
              <w:top w:val="nil"/>
              <w:left w:val="nil"/>
              <w:bottom w:val="single" w:sz="4" w:space="0" w:color="auto"/>
              <w:right w:val="single" w:sz="4" w:space="0" w:color="auto"/>
            </w:tcBorders>
            <w:shd w:val="clear" w:color="auto" w:fill="auto"/>
            <w:noWrap/>
            <w:vAlign w:val="center"/>
          </w:tcPr>
          <w:p w14:paraId="0292B03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307" w:type="pct"/>
            <w:tcBorders>
              <w:top w:val="nil"/>
              <w:left w:val="nil"/>
              <w:bottom w:val="single" w:sz="4" w:space="0" w:color="auto"/>
              <w:right w:val="single" w:sz="4" w:space="0" w:color="auto"/>
            </w:tcBorders>
            <w:shd w:val="clear" w:color="auto" w:fill="auto"/>
            <w:noWrap/>
            <w:vAlign w:val="center"/>
          </w:tcPr>
          <w:p w14:paraId="507F0D3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352ACBA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45D399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61C3799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231CBE2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1AA5AE8C" w14:textId="77777777">
        <w:trPr>
          <w:trHeight w:val="330"/>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3767BD2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硫酸盐</w:t>
            </w:r>
          </w:p>
        </w:tc>
        <w:tc>
          <w:tcPr>
            <w:tcW w:w="286" w:type="pct"/>
            <w:tcBorders>
              <w:top w:val="nil"/>
              <w:left w:val="nil"/>
              <w:bottom w:val="single" w:sz="4" w:space="0" w:color="auto"/>
              <w:right w:val="single" w:sz="4" w:space="0" w:color="auto"/>
            </w:tcBorders>
            <w:shd w:val="clear" w:color="auto" w:fill="auto"/>
            <w:noWrap/>
            <w:vAlign w:val="center"/>
          </w:tcPr>
          <w:p w14:paraId="21D07E6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568CF05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81.2</w:t>
            </w:r>
          </w:p>
        </w:tc>
        <w:tc>
          <w:tcPr>
            <w:tcW w:w="453" w:type="pct"/>
            <w:tcBorders>
              <w:top w:val="nil"/>
              <w:left w:val="nil"/>
              <w:bottom w:val="single" w:sz="4" w:space="0" w:color="auto"/>
              <w:right w:val="single" w:sz="4" w:space="0" w:color="auto"/>
            </w:tcBorders>
            <w:shd w:val="clear" w:color="auto" w:fill="auto"/>
            <w:noWrap/>
            <w:vAlign w:val="center"/>
          </w:tcPr>
          <w:p w14:paraId="77EDB7D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618</w:t>
            </w:r>
          </w:p>
        </w:tc>
        <w:tc>
          <w:tcPr>
            <w:tcW w:w="481" w:type="pct"/>
            <w:tcBorders>
              <w:top w:val="nil"/>
              <w:left w:val="nil"/>
              <w:bottom w:val="single" w:sz="4" w:space="0" w:color="auto"/>
              <w:right w:val="single" w:sz="4" w:space="0" w:color="auto"/>
            </w:tcBorders>
            <w:shd w:val="clear" w:color="auto" w:fill="auto"/>
            <w:noWrap/>
            <w:vAlign w:val="center"/>
          </w:tcPr>
          <w:p w14:paraId="75B2725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2.09×10</w:t>
            </w:r>
            <w:r>
              <w:rPr>
                <w:rFonts w:ascii="Times New Roman" w:eastAsia="等线" w:hAnsi="Times New Roman" w:cs="Times New Roman"/>
                <w:color w:val="000000"/>
                <w:kern w:val="0"/>
                <w:szCs w:val="21"/>
                <w:vertAlign w:val="superscript"/>
              </w:rPr>
              <w:t>3</w:t>
            </w:r>
          </w:p>
        </w:tc>
        <w:tc>
          <w:tcPr>
            <w:tcW w:w="481" w:type="pct"/>
            <w:tcBorders>
              <w:top w:val="nil"/>
              <w:left w:val="nil"/>
              <w:bottom w:val="single" w:sz="4" w:space="0" w:color="auto"/>
              <w:right w:val="single" w:sz="4" w:space="0" w:color="auto"/>
            </w:tcBorders>
            <w:shd w:val="clear" w:color="auto" w:fill="auto"/>
            <w:noWrap/>
            <w:vAlign w:val="center"/>
          </w:tcPr>
          <w:p w14:paraId="59D97F7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179</w:t>
            </w:r>
          </w:p>
        </w:tc>
        <w:tc>
          <w:tcPr>
            <w:tcW w:w="482" w:type="pct"/>
            <w:tcBorders>
              <w:top w:val="nil"/>
              <w:left w:val="nil"/>
              <w:bottom w:val="single" w:sz="4" w:space="0" w:color="auto"/>
              <w:right w:val="nil"/>
            </w:tcBorders>
            <w:shd w:val="clear" w:color="auto" w:fill="auto"/>
            <w:noWrap/>
            <w:vAlign w:val="center"/>
          </w:tcPr>
          <w:p w14:paraId="07FD09C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2.06×10</w:t>
            </w:r>
            <w:r>
              <w:rPr>
                <w:rFonts w:ascii="Times New Roman" w:eastAsia="等线" w:hAnsi="Times New Roman" w:cs="Times New Roman"/>
                <w:color w:val="000000"/>
                <w:kern w:val="0"/>
                <w:szCs w:val="21"/>
                <w:vertAlign w:val="superscript"/>
              </w:rPr>
              <w:t>3</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116CB43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7" w:type="pct"/>
            <w:tcBorders>
              <w:top w:val="nil"/>
              <w:left w:val="nil"/>
              <w:bottom w:val="single" w:sz="4" w:space="0" w:color="auto"/>
              <w:right w:val="single" w:sz="4" w:space="0" w:color="auto"/>
            </w:tcBorders>
            <w:shd w:val="clear" w:color="auto" w:fill="auto"/>
            <w:noWrap/>
            <w:vAlign w:val="center"/>
          </w:tcPr>
          <w:p w14:paraId="124A802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4F23B17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c>
          <w:tcPr>
            <w:tcW w:w="307" w:type="pct"/>
            <w:tcBorders>
              <w:top w:val="nil"/>
              <w:left w:val="nil"/>
              <w:bottom w:val="single" w:sz="4" w:space="0" w:color="auto"/>
              <w:right w:val="single" w:sz="4" w:space="0" w:color="auto"/>
            </w:tcBorders>
            <w:shd w:val="clear" w:color="auto" w:fill="auto"/>
            <w:noWrap/>
            <w:vAlign w:val="center"/>
          </w:tcPr>
          <w:p w14:paraId="275BCC6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Ⅲ类</w:t>
            </w:r>
          </w:p>
        </w:tc>
        <w:tc>
          <w:tcPr>
            <w:tcW w:w="308" w:type="pct"/>
            <w:tcBorders>
              <w:top w:val="nil"/>
              <w:left w:val="nil"/>
              <w:bottom w:val="single" w:sz="4" w:space="0" w:color="auto"/>
              <w:right w:val="single" w:sz="4" w:space="0" w:color="auto"/>
            </w:tcBorders>
            <w:shd w:val="clear" w:color="auto" w:fill="auto"/>
            <w:noWrap/>
            <w:vAlign w:val="center"/>
          </w:tcPr>
          <w:p w14:paraId="07BDE27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Ⅴ类</w:t>
            </w:r>
          </w:p>
        </w:tc>
      </w:tr>
      <w:tr w:rsidR="002133E3" w14:paraId="455F8AF9"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6125F6FE"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铅</w:t>
            </w:r>
          </w:p>
        </w:tc>
        <w:tc>
          <w:tcPr>
            <w:tcW w:w="286" w:type="pct"/>
            <w:tcBorders>
              <w:top w:val="nil"/>
              <w:left w:val="nil"/>
              <w:bottom w:val="single" w:sz="4" w:space="0" w:color="auto"/>
              <w:right w:val="single" w:sz="4" w:space="0" w:color="auto"/>
            </w:tcBorders>
            <w:shd w:val="clear" w:color="auto" w:fill="auto"/>
            <w:noWrap/>
            <w:vAlign w:val="center"/>
          </w:tcPr>
          <w:p w14:paraId="088148B7"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/L</w:t>
            </w:r>
          </w:p>
        </w:tc>
        <w:tc>
          <w:tcPr>
            <w:tcW w:w="481" w:type="pct"/>
            <w:tcBorders>
              <w:top w:val="nil"/>
              <w:left w:val="nil"/>
              <w:bottom w:val="single" w:sz="4" w:space="0" w:color="auto"/>
              <w:right w:val="single" w:sz="4" w:space="0" w:color="auto"/>
            </w:tcBorders>
            <w:shd w:val="clear" w:color="auto" w:fill="auto"/>
            <w:noWrap/>
            <w:vAlign w:val="center"/>
          </w:tcPr>
          <w:p w14:paraId="62CF512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21.4</w:t>
            </w:r>
          </w:p>
        </w:tc>
        <w:tc>
          <w:tcPr>
            <w:tcW w:w="453" w:type="pct"/>
            <w:tcBorders>
              <w:top w:val="nil"/>
              <w:left w:val="nil"/>
              <w:bottom w:val="single" w:sz="4" w:space="0" w:color="auto"/>
              <w:right w:val="single" w:sz="4" w:space="0" w:color="auto"/>
            </w:tcBorders>
            <w:shd w:val="clear" w:color="auto" w:fill="auto"/>
            <w:noWrap/>
            <w:vAlign w:val="center"/>
          </w:tcPr>
          <w:p w14:paraId="4669E3C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36.3</w:t>
            </w:r>
          </w:p>
        </w:tc>
        <w:tc>
          <w:tcPr>
            <w:tcW w:w="481" w:type="pct"/>
            <w:tcBorders>
              <w:top w:val="nil"/>
              <w:left w:val="nil"/>
              <w:bottom w:val="single" w:sz="4" w:space="0" w:color="auto"/>
              <w:right w:val="single" w:sz="4" w:space="0" w:color="auto"/>
            </w:tcBorders>
            <w:shd w:val="clear" w:color="auto" w:fill="auto"/>
            <w:noWrap/>
            <w:vAlign w:val="center"/>
          </w:tcPr>
          <w:p w14:paraId="6753CDC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62.1</w:t>
            </w:r>
          </w:p>
        </w:tc>
        <w:tc>
          <w:tcPr>
            <w:tcW w:w="481" w:type="pct"/>
            <w:tcBorders>
              <w:top w:val="nil"/>
              <w:left w:val="nil"/>
              <w:bottom w:val="single" w:sz="4" w:space="0" w:color="auto"/>
              <w:right w:val="single" w:sz="4" w:space="0" w:color="auto"/>
            </w:tcBorders>
            <w:shd w:val="clear" w:color="auto" w:fill="auto"/>
            <w:noWrap/>
            <w:vAlign w:val="center"/>
          </w:tcPr>
          <w:p w14:paraId="150A94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14.9</w:t>
            </w:r>
          </w:p>
        </w:tc>
        <w:tc>
          <w:tcPr>
            <w:tcW w:w="482" w:type="pct"/>
            <w:tcBorders>
              <w:top w:val="nil"/>
              <w:left w:val="nil"/>
              <w:bottom w:val="single" w:sz="4" w:space="0" w:color="auto"/>
              <w:right w:val="nil"/>
            </w:tcBorders>
            <w:shd w:val="clear" w:color="auto" w:fill="auto"/>
            <w:noWrap/>
            <w:vAlign w:val="center"/>
          </w:tcPr>
          <w:p w14:paraId="51E91B1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64.4</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76C1A44F"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7DC9722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342DC50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7" w:type="pct"/>
            <w:tcBorders>
              <w:top w:val="nil"/>
              <w:left w:val="nil"/>
              <w:bottom w:val="single" w:sz="4" w:space="0" w:color="auto"/>
              <w:right w:val="single" w:sz="4" w:space="0" w:color="auto"/>
            </w:tcBorders>
            <w:shd w:val="clear" w:color="auto" w:fill="auto"/>
            <w:noWrap/>
            <w:vAlign w:val="center"/>
          </w:tcPr>
          <w:p w14:paraId="5AED26B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c>
          <w:tcPr>
            <w:tcW w:w="308" w:type="pct"/>
            <w:tcBorders>
              <w:top w:val="nil"/>
              <w:left w:val="nil"/>
              <w:bottom w:val="single" w:sz="4" w:space="0" w:color="auto"/>
              <w:right w:val="single" w:sz="4" w:space="0" w:color="auto"/>
            </w:tcBorders>
            <w:shd w:val="clear" w:color="auto" w:fill="auto"/>
            <w:noWrap/>
            <w:vAlign w:val="center"/>
          </w:tcPr>
          <w:p w14:paraId="56F30DA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Ⅳ类</w:t>
            </w:r>
          </w:p>
        </w:tc>
      </w:tr>
      <w:tr w:rsidR="002133E3" w14:paraId="64E028C8"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7D633AF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铜</w:t>
            </w:r>
          </w:p>
        </w:tc>
        <w:tc>
          <w:tcPr>
            <w:tcW w:w="286" w:type="pct"/>
            <w:tcBorders>
              <w:top w:val="nil"/>
              <w:left w:val="nil"/>
              <w:bottom w:val="single" w:sz="4" w:space="0" w:color="auto"/>
              <w:right w:val="single" w:sz="4" w:space="0" w:color="auto"/>
            </w:tcBorders>
            <w:shd w:val="clear" w:color="auto" w:fill="auto"/>
            <w:noWrap/>
            <w:vAlign w:val="center"/>
          </w:tcPr>
          <w:p w14:paraId="62DACF27"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/L</w:t>
            </w:r>
          </w:p>
        </w:tc>
        <w:tc>
          <w:tcPr>
            <w:tcW w:w="481" w:type="pct"/>
            <w:tcBorders>
              <w:top w:val="nil"/>
              <w:left w:val="nil"/>
              <w:bottom w:val="single" w:sz="4" w:space="0" w:color="auto"/>
              <w:right w:val="single" w:sz="4" w:space="0" w:color="auto"/>
            </w:tcBorders>
            <w:shd w:val="clear" w:color="auto" w:fill="auto"/>
            <w:noWrap/>
            <w:vAlign w:val="center"/>
          </w:tcPr>
          <w:p w14:paraId="7F4A03E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15.4</w:t>
            </w:r>
          </w:p>
        </w:tc>
        <w:tc>
          <w:tcPr>
            <w:tcW w:w="453" w:type="pct"/>
            <w:tcBorders>
              <w:top w:val="nil"/>
              <w:left w:val="nil"/>
              <w:bottom w:val="single" w:sz="4" w:space="0" w:color="auto"/>
              <w:right w:val="single" w:sz="4" w:space="0" w:color="auto"/>
            </w:tcBorders>
            <w:shd w:val="clear" w:color="auto" w:fill="auto"/>
            <w:noWrap/>
            <w:vAlign w:val="center"/>
          </w:tcPr>
          <w:p w14:paraId="55839A1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49.4</w:t>
            </w:r>
          </w:p>
        </w:tc>
        <w:tc>
          <w:tcPr>
            <w:tcW w:w="481" w:type="pct"/>
            <w:tcBorders>
              <w:top w:val="nil"/>
              <w:left w:val="nil"/>
              <w:bottom w:val="single" w:sz="4" w:space="0" w:color="auto"/>
              <w:right w:val="single" w:sz="4" w:space="0" w:color="auto"/>
            </w:tcBorders>
            <w:shd w:val="clear" w:color="auto" w:fill="auto"/>
            <w:noWrap/>
            <w:vAlign w:val="center"/>
          </w:tcPr>
          <w:p w14:paraId="34BC408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90.9</w:t>
            </w:r>
          </w:p>
        </w:tc>
        <w:tc>
          <w:tcPr>
            <w:tcW w:w="481" w:type="pct"/>
            <w:tcBorders>
              <w:top w:val="nil"/>
              <w:left w:val="nil"/>
              <w:bottom w:val="single" w:sz="4" w:space="0" w:color="auto"/>
              <w:right w:val="single" w:sz="4" w:space="0" w:color="auto"/>
            </w:tcBorders>
            <w:shd w:val="clear" w:color="auto" w:fill="auto"/>
            <w:noWrap/>
            <w:vAlign w:val="center"/>
          </w:tcPr>
          <w:p w14:paraId="350517E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17.7</w:t>
            </w:r>
          </w:p>
        </w:tc>
        <w:tc>
          <w:tcPr>
            <w:tcW w:w="482" w:type="pct"/>
            <w:tcBorders>
              <w:top w:val="nil"/>
              <w:left w:val="nil"/>
              <w:bottom w:val="single" w:sz="4" w:space="0" w:color="auto"/>
              <w:right w:val="nil"/>
            </w:tcBorders>
            <w:shd w:val="clear" w:color="auto" w:fill="auto"/>
            <w:noWrap/>
            <w:vAlign w:val="center"/>
          </w:tcPr>
          <w:p w14:paraId="1F73832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80.9</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2D7ABDB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7" w:type="pct"/>
            <w:tcBorders>
              <w:top w:val="nil"/>
              <w:left w:val="nil"/>
              <w:bottom w:val="single" w:sz="4" w:space="0" w:color="auto"/>
              <w:right w:val="single" w:sz="4" w:space="0" w:color="auto"/>
            </w:tcBorders>
            <w:shd w:val="clear" w:color="auto" w:fill="auto"/>
            <w:noWrap/>
            <w:vAlign w:val="center"/>
          </w:tcPr>
          <w:p w14:paraId="58CCF3D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7" w:type="pct"/>
            <w:tcBorders>
              <w:top w:val="nil"/>
              <w:left w:val="nil"/>
              <w:bottom w:val="single" w:sz="4" w:space="0" w:color="auto"/>
              <w:right w:val="single" w:sz="4" w:space="0" w:color="auto"/>
            </w:tcBorders>
            <w:shd w:val="clear" w:color="auto" w:fill="auto"/>
            <w:noWrap/>
            <w:vAlign w:val="center"/>
          </w:tcPr>
          <w:p w14:paraId="49B266B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Ⅲ类</w:t>
            </w:r>
          </w:p>
        </w:tc>
        <w:tc>
          <w:tcPr>
            <w:tcW w:w="307" w:type="pct"/>
            <w:tcBorders>
              <w:top w:val="nil"/>
              <w:left w:val="nil"/>
              <w:bottom w:val="single" w:sz="4" w:space="0" w:color="auto"/>
              <w:right w:val="single" w:sz="4" w:space="0" w:color="auto"/>
            </w:tcBorders>
            <w:shd w:val="clear" w:color="auto" w:fill="auto"/>
            <w:noWrap/>
            <w:vAlign w:val="center"/>
          </w:tcPr>
          <w:p w14:paraId="5C1ACFB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8" w:type="pct"/>
            <w:tcBorders>
              <w:top w:val="nil"/>
              <w:left w:val="nil"/>
              <w:bottom w:val="single" w:sz="4" w:space="0" w:color="auto"/>
              <w:right w:val="single" w:sz="4" w:space="0" w:color="auto"/>
            </w:tcBorders>
            <w:shd w:val="clear" w:color="auto" w:fill="auto"/>
            <w:noWrap/>
            <w:vAlign w:val="center"/>
          </w:tcPr>
          <w:p w14:paraId="0B9EC45F"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Ⅲ类</w:t>
            </w:r>
          </w:p>
        </w:tc>
      </w:tr>
      <w:tr w:rsidR="002133E3" w14:paraId="2ADE0942"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06896A4F"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锌</w:t>
            </w:r>
          </w:p>
        </w:tc>
        <w:tc>
          <w:tcPr>
            <w:tcW w:w="286" w:type="pct"/>
            <w:tcBorders>
              <w:top w:val="nil"/>
              <w:left w:val="nil"/>
              <w:bottom w:val="single" w:sz="4" w:space="0" w:color="auto"/>
              <w:right w:val="single" w:sz="4" w:space="0" w:color="auto"/>
            </w:tcBorders>
            <w:shd w:val="clear" w:color="auto" w:fill="auto"/>
            <w:noWrap/>
            <w:vAlign w:val="center"/>
          </w:tcPr>
          <w:p w14:paraId="60C0108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mg/L</w:t>
            </w:r>
          </w:p>
        </w:tc>
        <w:tc>
          <w:tcPr>
            <w:tcW w:w="481" w:type="pct"/>
            <w:tcBorders>
              <w:top w:val="nil"/>
              <w:left w:val="nil"/>
              <w:bottom w:val="single" w:sz="4" w:space="0" w:color="auto"/>
              <w:right w:val="single" w:sz="4" w:space="0" w:color="auto"/>
            </w:tcBorders>
            <w:shd w:val="clear" w:color="auto" w:fill="auto"/>
            <w:noWrap/>
            <w:vAlign w:val="center"/>
          </w:tcPr>
          <w:p w14:paraId="4346A48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0.07</w:t>
            </w:r>
          </w:p>
        </w:tc>
        <w:tc>
          <w:tcPr>
            <w:tcW w:w="453" w:type="pct"/>
            <w:tcBorders>
              <w:top w:val="nil"/>
              <w:left w:val="nil"/>
              <w:bottom w:val="single" w:sz="4" w:space="0" w:color="auto"/>
              <w:right w:val="single" w:sz="4" w:space="0" w:color="auto"/>
            </w:tcBorders>
            <w:shd w:val="clear" w:color="auto" w:fill="auto"/>
            <w:noWrap/>
            <w:vAlign w:val="center"/>
          </w:tcPr>
          <w:p w14:paraId="082252D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0.04</w:t>
            </w:r>
          </w:p>
        </w:tc>
        <w:tc>
          <w:tcPr>
            <w:tcW w:w="481" w:type="pct"/>
            <w:tcBorders>
              <w:top w:val="nil"/>
              <w:left w:val="nil"/>
              <w:bottom w:val="single" w:sz="4" w:space="0" w:color="auto"/>
              <w:right w:val="single" w:sz="4" w:space="0" w:color="auto"/>
            </w:tcBorders>
            <w:shd w:val="clear" w:color="auto" w:fill="auto"/>
            <w:noWrap/>
            <w:vAlign w:val="center"/>
          </w:tcPr>
          <w:p w14:paraId="27D1CC3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0.1</w:t>
            </w:r>
          </w:p>
        </w:tc>
        <w:tc>
          <w:tcPr>
            <w:tcW w:w="481" w:type="pct"/>
            <w:tcBorders>
              <w:top w:val="nil"/>
              <w:left w:val="nil"/>
              <w:bottom w:val="single" w:sz="4" w:space="0" w:color="auto"/>
              <w:right w:val="single" w:sz="4" w:space="0" w:color="auto"/>
            </w:tcBorders>
            <w:shd w:val="clear" w:color="auto" w:fill="auto"/>
            <w:noWrap/>
            <w:vAlign w:val="center"/>
          </w:tcPr>
          <w:p w14:paraId="369525D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0.13</w:t>
            </w:r>
          </w:p>
        </w:tc>
        <w:tc>
          <w:tcPr>
            <w:tcW w:w="482" w:type="pct"/>
            <w:tcBorders>
              <w:top w:val="nil"/>
              <w:left w:val="nil"/>
              <w:bottom w:val="single" w:sz="4" w:space="0" w:color="auto"/>
              <w:right w:val="nil"/>
            </w:tcBorders>
            <w:shd w:val="clear" w:color="auto" w:fill="auto"/>
            <w:noWrap/>
            <w:vAlign w:val="center"/>
          </w:tcPr>
          <w:p w14:paraId="12D96F3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0.26</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3A8D519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7" w:type="pct"/>
            <w:tcBorders>
              <w:top w:val="nil"/>
              <w:left w:val="nil"/>
              <w:bottom w:val="single" w:sz="4" w:space="0" w:color="auto"/>
              <w:right w:val="single" w:sz="4" w:space="0" w:color="auto"/>
            </w:tcBorders>
            <w:shd w:val="clear" w:color="auto" w:fill="auto"/>
            <w:noWrap/>
            <w:vAlign w:val="center"/>
          </w:tcPr>
          <w:p w14:paraId="5A803DA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04C9750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7" w:type="pct"/>
            <w:tcBorders>
              <w:top w:val="nil"/>
              <w:left w:val="nil"/>
              <w:bottom w:val="single" w:sz="4" w:space="0" w:color="auto"/>
              <w:right w:val="single" w:sz="4" w:space="0" w:color="auto"/>
            </w:tcBorders>
            <w:shd w:val="clear" w:color="auto" w:fill="auto"/>
            <w:noWrap/>
            <w:vAlign w:val="center"/>
          </w:tcPr>
          <w:p w14:paraId="3F9A523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c>
          <w:tcPr>
            <w:tcW w:w="308" w:type="pct"/>
            <w:tcBorders>
              <w:top w:val="nil"/>
              <w:left w:val="nil"/>
              <w:bottom w:val="single" w:sz="4" w:space="0" w:color="auto"/>
              <w:right w:val="single" w:sz="4" w:space="0" w:color="auto"/>
            </w:tcBorders>
            <w:shd w:val="clear" w:color="auto" w:fill="auto"/>
            <w:noWrap/>
            <w:vAlign w:val="center"/>
          </w:tcPr>
          <w:p w14:paraId="1E512AA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Ⅱ类</w:t>
            </w:r>
          </w:p>
        </w:tc>
      </w:tr>
      <w:tr w:rsidR="002133E3" w14:paraId="511A12B2"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2315F27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甲苯</w:t>
            </w:r>
          </w:p>
        </w:tc>
        <w:tc>
          <w:tcPr>
            <w:tcW w:w="286" w:type="pct"/>
            <w:tcBorders>
              <w:top w:val="nil"/>
              <w:left w:val="nil"/>
              <w:bottom w:val="single" w:sz="4" w:space="0" w:color="auto"/>
              <w:right w:val="single" w:sz="4" w:space="0" w:color="auto"/>
            </w:tcBorders>
            <w:shd w:val="clear" w:color="auto" w:fill="auto"/>
            <w:noWrap/>
            <w:vAlign w:val="center"/>
          </w:tcPr>
          <w:p w14:paraId="1C0439C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ug/L</w:t>
            </w:r>
          </w:p>
        </w:tc>
        <w:tc>
          <w:tcPr>
            <w:tcW w:w="481" w:type="pct"/>
            <w:tcBorders>
              <w:top w:val="nil"/>
              <w:left w:val="nil"/>
              <w:bottom w:val="single" w:sz="4" w:space="0" w:color="auto"/>
              <w:right w:val="single" w:sz="4" w:space="0" w:color="auto"/>
            </w:tcBorders>
            <w:shd w:val="clear" w:color="auto" w:fill="auto"/>
            <w:noWrap/>
            <w:vAlign w:val="center"/>
          </w:tcPr>
          <w:p w14:paraId="6929E3C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53" w:type="pct"/>
            <w:tcBorders>
              <w:top w:val="nil"/>
              <w:left w:val="nil"/>
              <w:bottom w:val="single" w:sz="4" w:space="0" w:color="auto"/>
              <w:right w:val="single" w:sz="4" w:space="0" w:color="auto"/>
            </w:tcBorders>
            <w:shd w:val="clear" w:color="auto" w:fill="auto"/>
            <w:noWrap/>
            <w:vAlign w:val="center"/>
          </w:tcPr>
          <w:p w14:paraId="071545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56174B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56C712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2" w:type="pct"/>
            <w:tcBorders>
              <w:top w:val="nil"/>
              <w:left w:val="nil"/>
              <w:bottom w:val="single" w:sz="4" w:space="0" w:color="auto"/>
              <w:right w:val="nil"/>
            </w:tcBorders>
            <w:shd w:val="clear" w:color="auto" w:fill="auto"/>
            <w:noWrap/>
            <w:vAlign w:val="center"/>
          </w:tcPr>
          <w:p w14:paraId="2E2C7CF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307" w:type="pct"/>
            <w:tcBorders>
              <w:top w:val="nil"/>
              <w:left w:val="single" w:sz="4" w:space="0" w:color="auto"/>
              <w:bottom w:val="single" w:sz="4" w:space="0" w:color="auto"/>
              <w:right w:val="single" w:sz="4" w:space="0" w:color="auto"/>
            </w:tcBorders>
            <w:shd w:val="clear" w:color="auto" w:fill="auto"/>
            <w:noWrap/>
            <w:vAlign w:val="center"/>
          </w:tcPr>
          <w:p w14:paraId="7BC3A64F"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1BD031F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1D18AD2A"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7" w:type="pct"/>
            <w:tcBorders>
              <w:top w:val="nil"/>
              <w:left w:val="nil"/>
              <w:bottom w:val="single" w:sz="4" w:space="0" w:color="auto"/>
              <w:right w:val="single" w:sz="4" w:space="0" w:color="auto"/>
            </w:tcBorders>
            <w:shd w:val="clear" w:color="auto" w:fill="auto"/>
            <w:noWrap/>
            <w:vAlign w:val="center"/>
          </w:tcPr>
          <w:p w14:paraId="56B7EA1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c>
          <w:tcPr>
            <w:tcW w:w="308" w:type="pct"/>
            <w:tcBorders>
              <w:top w:val="nil"/>
              <w:left w:val="nil"/>
              <w:bottom w:val="single" w:sz="4" w:space="0" w:color="auto"/>
              <w:right w:val="single" w:sz="4" w:space="0" w:color="auto"/>
            </w:tcBorders>
            <w:shd w:val="clear" w:color="auto" w:fill="auto"/>
            <w:noWrap/>
            <w:vAlign w:val="center"/>
          </w:tcPr>
          <w:p w14:paraId="689C5948"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Ⅰ类</w:t>
            </w:r>
          </w:p>
        </w:tc>
      </w:tr>
      <w:tr w:rsidR="002133E3" w14:paraId="53E0A696"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704C13F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对二甲苯</w:t>
            </w:r>
          </w:p>
        </w:tc>
        <w:tc>
          <w:tcPr>
            <w:tcW w:w="286" w:type="pct"/>
            <w:tcBorders>
              <w:top w:val="nil"/>
              <w:left w:val="nil"/>
              <w:bottom w:val="single" w:sz="4" w:space="0" w:color="auto"/>
              <w:right w:val="single" w:sz="4" w:space="0" w:color="auto"/>
            </w:tcBorders>
            <w:shd w:val="clear" w:color="auto" w:fill="auto"/>
            <w:noWrap/>
            <w:vAlign w:val="center"/>
          </w:tcPr>
          <w:p w14:paraId="31A63096"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/L</w:t>
            </w:r>
          </w:p>
        </w:tc>
        <w:tc>
          <w:tcPr>
            <w:tcW w:w="481" w:type="pct"/>
            <w:tcBorders>
              <w:top w:val="nil"/>
              <w:left w:val="nil"/>
              <w:bottom w:val="single" w:sz="4" w:space="0" w:color="auto"/>
              <w:right w:val="single" w:sz="4" w:space="0" w:color="auto"/>
            </w:tcBorders>
            <w:shd w:val="clear" w:color="auto" w:fill="auto"/>
            <w:noWrap/>
            <w:vAlign w:val="center"/>
          </w:tcPr>
          <w:p w14:paraId="4FA2C62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53" w:type="pct"/>
            <w:tcBorders>
              <w:top w:val="nil"/>
              <w:left w:val="nil"/>
              <w:bottom w:val="single" w:sz="4" w:space="0" w:color="auto"/>
              <w:right w:val="single" w:sz="4" w:space="0" w:color="auto"/>
            </w:tcBorders>
            <w:shd w:val="clear" w:color="auto" w:fill="auto"/>
            <w:noWrap/>
            <w:vAlign w:val="center"/>
          </w:tcPr>
          <w:p w14:paraId="3297BF7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029861F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2AF3FE2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2" w:type="pct"/>
            <w:tcBorders>
              <w:top w:val="nil"/>
              <w:left w:val="nil"/>
              <w:bottom w:val="single" w:sz="4" w:space="0" w:color="auto"/>
              <w:right w:val="single" w:sz="4" w:space="0" w:color="auto"/>
            </w:tcBorders>
            <w:shd w:val="clear" w:color="auto" w:fill="auto"/>
            <w:noWrap/>
            <w:vAlign w:val="center"/>
          </w:tcPr>
          <w:p w14:paraId="6D68FBF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307" w:type="pct"/>
            <w:tcBorders>
              <w:top w:val="nil"/>
              <w:left w:val="nil"/>
              <w:bottom w:val="single" w:sz="4" w:space="0" w:color="auto"/>
              <w:right w:val="single" w:sz="4" w:space="0" w:color="auto"/>
            </w:tcBorders>
            <w:shd w:val="clear" w:color="auto" w:fill="auto"/>
            <w:noWrap/>
            <w:vAlign w:val="center"/>
          </w:tcPr>
          <w:p w14:paraId="6F96807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7BCAC09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2C4C95E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111FF91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12A4B5D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39CE8CD2"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6C63AC2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间二甲苯</w:t>
            </w:r>
          </w:p>
        </w:tc>
        <w:tc>
          <w:tcPr>
            <w:tcW w:w="286" w:type="pct"/>
            <w:tcBorders>
              <w:top w:val="nil"/>
              <w:left w:val="nil"/>
              <w:bottom w:val="single" w:sz="4" w:space="0" w:color="auto"/>
              <w:right w:val="single" w:sz="4" w:space="0" w:color="auto"/>
            </w:tcBorders>
            <w:shd w:val="clear" w:color="auto" w:fill="auto"/>
            <w:noWrap/>
            <w:vAlign w:val="center"/>
          </w:tcPr>
          <w:p w14:paraId="46CFF79C"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/L</w:t>
            </w:r>
          </w:p>
        </w:tc>
        <w:tc>
          <w:tcPr>
            <w:tcW w:w="481" w:type="pct"/>
            <w:tcBorders>
              <w:top w:val="nil"/>
              <w:left w:val="nil"/>
              <w:bottom w:val="single" w:sz="4" w:space="0" w:color="auto"/>
              <w:right w:val="single" w:sz="4" w:space="0" w:color="auto"/>
            </w:tcBorders>
            <w:shd w:val="clear" w:color="auto" w:fill="auto"/>
            <w:noWrap/>
            <w:vAlign w:val="center"/>
          </w:tcPr>
          <w:p w14:paraId="335AF25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53" w:type="pct"/>
            <w:tcBorders>
              <w:top w:val="nil"/>
              <w:left w:val="nil"/>
              <w:bottom w:val="single" w:sz="4" w:space="0" w:color="auto"/>
              <w:right w:val="single" w:sz="4" w:space="0" w:color="auto"/>
            </w:tcBorders>
            <w:shd w:val="clear" w:color="auto" w:fill="auto"/>
            <w:noWrap/>
            <w:vAlign w:val="center"/>
          </w:tcPr>
          <w:p w14:paraId="4310B9B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73B0A85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5B3636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2" w:type="pct"/>
            <w:tcBorders>
              <w:top w:val="nil"/>
              <w:left w:val="nil"/>
              <w:bottom w:val="single" w:sz="4" w:space="0" w:color="auto"/>
              <w:right w:val="single" w:sz="4" w:space="0" w:color="auto"/>
            </w:tcBorders>
            <w:shd w:val="clear" w:color="auto" w:fill="auto"/>
            <w:noWrap/>
            <w:vAlign w:val="center"/>
          </w:tcPr>
          <w:p w14:paraId="49DB1E4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307" w:type="pct"/>
            <w:tcBorders>
              <w:top w:val="nil"/>
              <w:left w:val="nil"/>
              <w:bottom w:val="single" w:sz="4" w:space="0" w:color="auto"/>
              <w:right w:val="single" w:sz="4" w:space="0" w:color="auto"/>
            </w:tcBorders>
            <w:shd w:val="clear" w:color="auto" w:fill="auto"/>
            <w:noWrap/>
            <w:vAlign w:val="center"/>
          </w:tcPr>
          <w:p w14:paraId="762638F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3363BF5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14AFFFD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3EF78EE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3A32616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r w:rsidR="002133E3" w14:paraId="0F70BF36" w14:textId="77777777">
        <w:trPr>
          <w:trHeight w:val="285"/>
          <w:jc w:val="center"/>
        </w:trPr>
        <w:tc>
          <w:tcPr>
            <w:tcW w:w="801" w:type="pct"/>
            <w:tcBorders>
              <w:top w:val="nil"/>
              <w:left w:val="single" w:sz="4" w:space="0" w:color="auto"/>
              <w:bottom w:val="single" w:sz="4" w:space="0" w:color="auto"/>
              <w:right w:val="single" w:sz="4" w:space="0" w:color="auto"/>
            </w:tcBorders>
            <w:shd w:val="clear" w:color="auto" w:fill="auto"/>
            <w:noWrap/>
            <w:vAlign w:val="center"/>
          </w:tcPr>
          <w:p w14:paraId="43FD322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邻二甲苯</w:t>
            </w:r>
          </w:p>
        </w:tc>
        <w:tc>
          <w:tcPr>
            <w:tcW w:w="286" w:type="pct"/>
            <w:tcBorders>
              <w:top w:val="nil"/>
              <w:left w:val="nil"/>
              <w:bottom w:val="single" w:sz="4" w:space="0" w:color="auto"/>
              <w:right w:val="single" w:sz="4" w:space="0" w:color="auto"/>
            </w:tcBorders>
            <w:shd w:val="clear" w:color="auto" w:fill="auto"/>
            <w:noWrap/>
            <w:vAlign w:val="center"/>
          </w:tcPr>
          <w:p w14:paraId="637AB2AD"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/L</w:t>
            </w:r>
          </w:p>
        </w:tc>
        <w:tc>
          <w:tcPr>
            <w:tcW w:w="481" w:type="pct"/>
            <w:tcBorders>
              <w:top w:val="nil"/>
              <w:left w:val="nil"/>
              <w:bottom w:val="single" w:sz="4" w:space="0" w:color="auto"/>
              <w:right w:val="single" w:sz="4" w:space="0" w:color="auto"/>
            </w:tcBorders>
            <w:shd w:val="clear" w:color="auto" w:fill="auto"/>
            <w:noWrap/>
            <w:vAlign w:val="center"/>
          </w:tcPr>
          <w:p w14:paraId="752577E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53" w:type="pct"/>
            <w:tcBorders>
              <w:top w:val="nil"/>
              <w:left w:val="nil"/>
              <w:bottom w:val="single" w:sz="4" w:space="0" w:color="auto"/>
              <w:right w:val="single" w:sz="4" w:space="0" w:color="auto"/>
            </w:tcBorders>
            <w:shd w:val="clear" w:color="auto" w:fill="auto"/>
            <w:noWrap/>
            <w:vAlign w:val="center"/>
          </w:tcPr>
          <w:p w14:paraId="3974D5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5223ACB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1" w:type="pct"/>
            <w:tcBorders>
              <w:top w:val="nil"/>
              <w:left w:val="nil"/>
              <w:bottom w:val="single" w:sz="4" w:space="0" w:color="auto"/>
              <w:right w:val="single" w:sz="4" w:space="0" w:color="auto"/>
            </w:tcBorders>
            <w:shd w:val="clear" w:color="auto" w:fill="auto"/>
            <w:noWrap/>
            <w:vAlign w:val="center"/>
          </w:tcPr>
          <w:p w14:paraId="3DA5C23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482" w:type="pct"/>
            <w:tcBorders>
              <w:top w:val="nil"/>
              <w:left w:val="nil"/>
              <w:bottom w:val="single" w:sz="4" w:space="0" w:color="auto"/>
              <w:right w:val="single" w:sz="4" w:space="0" w:color="auto"/>
            </w:tcBorders>
            <w:shd w:val="clear" w:color="auto" w:fill="auto"/>
            <w:noWrap/>
            <w:vAlign w:val="center"/>
          </w:tcPr>
          <w:p w14:paraId="1B19B5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307" w:type="pct"/>
            <w:tcBorders>
              <w:top w:val="nil"/>
              <w:left w:val="nil"/>
              <w:bottom w:val="single" w:sz="4" w:space="0" w:color="auto"/>
              <w:right w:val="single" w:sz="4" w:space="0" w:color="auto"/>
            </w:tcBorders>
            <w:shd w:val="clear" w:color="auto" w:fill="auto"/>
            <w:noWrap/>
            <w:vAlign w:val="center"/>
          </w:tcPr>
          <w:p w14:paraId="44583F5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0883C70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42761A4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7" w:type="pct"/>
            <w:tcBorders>
              <w:top w:val="nil"/>
              <w:left w:val="nil"/>
              <w:bottom w:val="single" w:sz="4" w:space="0" w:color="auto"/>
              <w:right w:val="single" w:sz="4" w:space="0" w:color="auto"/>
            </w:tcBorders>
            <w:shd w:val="clear" w:color="auto" w:fill="auto"/>
            <w:noWrap/>
            <w:vAlign w:val="center"/>
          </w:tcPr>
          <w:p w14:paraId="47DAD00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308" w:type="pct"/>
            <w:tcBorders>
              <w:top w:val="nil"/>
              <w:left w:val="nil"/>
              <w:bottom w:val="single" w:sz="4" w:space="0" w:color="auto"/>
              <w:right w:val="single" w:sz="4" w:space="0" w:color="auto"/>
            </w:tcBorders>
            <w:shd w:val="clear" w:color="auto" w:fill="auto"/>
            <w:noWrap/>
            <w:vAlign w:val="center"/>
          </w:tcPr>
          <w:p w14:paraId="306AE21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r>
    </w:tbl>
    <w:p w14:paraId="73644432" w14:textId="77777777" w:rsidR="002133E3" w:rsidRDefault="002133E3">
      <w:pPr>
        <w:spacing w:line="276" w:lineRule="auto"/>
        <w:jc w:val="center"/>
        <w:rPr>
          <w:rFonts w:ascii="Times New Roman" w:eastAsia="宋体" w:hAnsi="Times New Roman" w:cs="Times New Roman"/>
          <w:b/>
          <w:kern w:val="0"/>
          <w:sz w:val="24"/>
          <w:szCs w:val="24"/>
        </w:rPr>
      </w:pPr>
    </w:p>
    <w:p w14:paraId="68991A3D" w14:textId="77777777" w:rsidR="002133E3" w:rsidRDefault="002133E3">
      <w:pPr>
        <w:spacing w:line="276" w:lineRule="auto"/>
        <w:jc w:val="center"/>
        <w:rPr>
          <w:rFonts w:ascii="Times New Roman" w:eastAsia="宋体" w:hAnsi="Times New Roman" w:cs="Times New Roman"/>
          <w:b/>
          <w:kern w:val="0"/>
          <w:sz w:val="24"/>
          <w:szCs w:val="24"/>
        </w:rPr>
        <w:sectPr w:rsidR="002133E3">
          <w:pgSz w:w="16838" w:h="11906" w:orient="landscape"/>
          <w:pgMar w:top="1134" w:right="1134" w:bottom="1134" w:left="1134" w:header="851" w:footer="992" w:gutter="0"/>
          <w:cols w:space="425"/>
          <w:docGrid w:type="linesAndChars" w:linePitch="312"/>
        </w:sectPr>
      </w:pPr>
    </w:p>
    <w:p w14:paraId="54907B8A"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由表</w:t>
      </w:r>
      <w:r>
        <w:rPr>
          <w:rFonts w:ascii="Times New Roman" w:eastAsia="宋体" w:hAnsi="Times New Roman" w:cs="Times New Roman"/>
          <w:kern w:val="0"/>
          <w:sz w:val="28"/>
          <w:szCs w:val="28"/>
        </w:rPr>
        <w:t>5.2-12</w:t>
      </w:r>
      <w:r>
        <w:rPr>
          <w:rFonts w:ascii="Times New Roman" w:eastAsia="宋体" w:hAnsi="Times New Roman" w:cs="Times New Roman"/>
          <w:kern w:val="0"/>
          <w:sz w:val="28"/>
          <w:szCs w:val="28"/>
        </w:rPr>
        <w:t>数据可见，在评价区域内地下水所测项目中总硬度</w:t>
      </w:r>
      <w:r>
        <w:rPr>
          <w:rFonts w:ascii="Times New Roman" w:eastAsia="宋体" w:hAnsi="Times New Roman" w:cs="Times New Roman" w:hint="eastAsia"/>
          <w:kern w:val="0"/>
          <w:sz w:val="28"/>
          <w:szCs w:val="28"/>
        </w:rPr>
        <w:t>、</w:t>
      </w:r>
      <w:r>
        <w:rPr>
          <w:rFonts w:ascii="Times New Roman" w:eastAsia="宋体" w:hAnsi="Times New Roman" w:cs="Times New Roman"/>
          <w:kern w:val="0"/>
          <w:sz w:val="28"/>
          <w:szCs w:val="28"/>
        </w:rPr>
        <w:t>溶解性总固体</w:t>
      </w:r>
      <w:r>
        <w:rPr>
          <w:rFonts w:ascii="Times New Roman" w:eastAsia="宋体" w:hAnsi="Times New Roman" w:cs="Times New Roman" w:hint="eastAsia"/>
          <w:kern w:val="0"/>
          <w:sz w:val="28"/>
          <w:szCs w:val="28"/>
        </w:rPr>
        <w:t>、硫酸盐</w:t>
      </w:r>
      <w:r>
        <w:rPr>
          <w:rFonts w:ascii="Times New Roman" w:eastAsia="宋体" w:hAnsi="Times New Roman" w:cs="Times New Roman"/>
          <w:kern w:val="0"/>
          <w:sz w:val="28"/>
          <w:szCs w:val="28"/>
        </w:rPr>
        <w:t>指数较高，与该地区临近大海，受海水渗入地下水相关。根据调查，该地区的浅层地下水含盐量高，不适宜作为饮用水源。</w:t>
      </w:r>
    </w:p>
    <w:p w14:paraId="45E02DC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kern w:val="0"/>
          <w:sz w:val="28"/>
          <w:szCs w:val="28"/>
        </w:rPr>
      </w:pPr>
      <w:r>
        <w:rPr>
          <w:rFonts w:ascii="Times New Roman" w:eastAsia="宋体" w:hAnsi="Times New Roman" w:cs="Times New Roman" w:hint="eastAsia"/>
          <w:b/>
          <w:sz w:val="30"/>
          <w:szCs w:val="30"/>
        </w:rPr>
        <w:t>监测数据的有效性分析</w:t>
      </w:r>
    </w:p>
    <w:p w14:paraId="44483009"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1 \* GB3 </w:instrText>
      </w:r>
      <w:r>
        <w:rPr>
          <w:rFonts w:ascii="Times New Roman" w:eastAsia="宋体" w:hAnsi="Times New Roman" w:cs="Times New Roman"/>
          <w:kern w:val="0"/>
          <w:sz w:val="28"/>
          <w:szCs w:val="28"/>
        </w:rPr>
        <w:fldChar w:fldCharType="separate"/>
      </w:r>
      <w:r>
        <w:rPr>
          <w:rFonts w:ascii="Times New Roman" w:eastAsia="宋体" w:hAnsi="Times New Roman" w:cs="Times New Roman" w:hint="eastAsia"/>
          <w:kern w:val="0"/>
          <w:sz w:val="28"/>
          <w:szCs w:val="28"/>
        </w:rPr>
        <w:t>①</w:t>
      </w:r>
      <w:r>
        <w:rPr>
          <w:rFonts w:ascii="Times New Roman" w:eastAsia="宋体" w:hAnsi="Times New Roman" w:cs="Times New Roman"/>
          <w:kern w:val="0"/>
          <w:sz w:val="28"/>
          <w:szCs w:val="28"/>
        </w:rPr>
        <w:fldChar w:fldCharType="end"/>
      </w:r>
      <w:r>
        <w:rPr>
          <w:rFonts w:ascii="Times New Roman" w:eastAsia="宋体" w:hAnsi="Times New Roman" w:cs="Times New Roman" w:hint="eastAsia"/>
          <w:kern w:val="0"/>
          <w:sz w:val="28"/>
          <w:szCs w:val="28"/>
        </w:rPr>
        <w:t>准确性</w:t>
      </w:r>
    </w:p>
    <w:p w14:paraId="2067AAD4"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根据监测报告可知，实测数据的采样、保存样品及数据分析等满足地下水环境监测技术规范</w:t>
      </w:r>
      <w:r>
        <w:rPr>
          <w:rFonts w:ascii="Times New Roman" w:eastAsia="宋体" w:hAnsi="Times New Roman" w:cs="Times New Roman" w:hint="eastAsia"/>
          <w:kern w:val="0"/>
          <w:sz w:val="28"/>
          <w:szCs w:val="28"/>
        </w:rPr>
        <w:t>HJ/T164-2004</w:t>
      </w:r>
      <w:r>
        <w:rPr>
          <w:rFonts w:ascii="Times New Roman" w:eastAsia="宋体" w:hAnsi="Times New Roman" w:cs="Times New Roman" w:hint="eastAsia"/>
          <w:kern w:val="0"/>
          <w:sz w:val="28"/>
          <w:szCs w:val="28"/>
        </w:rPr>
        <w:t>，监测结果准确、可靠，因此数据具有准确性。</w:t>
      </w:r>
    </w:p>
    <w:p w14:paraId="44114D86"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 2 \* GB3 </w:instrText>
      </w:r>
      <w:r>
        <w:rPr>
          <w:rFonts w:ascii="Times New Roman" w:eastAsia="宋体" w:hAnsi="Times New Roman" w:cs="Times New Roman"/>
          <w:kern w:val="0"/>
          <w:sz w:val="28"/>
          <w:szCs w:val="28"/>
        </w:rPr>
        <w:fldChar w:fldCharType="separate"/>
      </w:r>
      <w:r>
        <w:rPr>
          <w:rFonts w:ascii="Times New Roman" w:eastAsia="宋体" w:hAnsi="Times New Roman" w:cs="Times New Roman" w:hint="eastAsia"/>
          <w:kern w:val="0"/>
          <w:sz w:val="28"/>
          <w:szCs w:val="28"/>
        </w:rPr>
        <w:t>②</w:t>
      </w:r>
      <w:r>
        <w:rPr>
          <w:rFonts w:ascii="Times New Roman" w:eastAsia="宋体" w:hAnsi="Times New Roman" w:cs="Times New Roman"/>
          <w:kern w:val="0"/>
          <w:sz w:val="28"/>
          <w:szCs w:val="28"/>
        </w:rPr>
        <w:fldChar w:fldCharType="end"/>
      </w:r>
      <w:r>
        <w:rPr>
          <w:rFonts w:ascii="Times New Roman" w:eastAsia="宋体" w:hAnsi="Times New Roman" w:cs="Times New Roman" w:hint="eastAsia"/>
          <w:kern w:val="0"/>
          <w:sz w:val="28"/>
          <w:szCs w:val="28"/>
        </w:rPr>
        <w:t>代表性</w:t>
      </w:r>
    </w:p>
    <w:p w14:paraId="66D7E498"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《环境影响评价技术导则</w:t>
      </w:r>
      <w:r>
        <w:rPr>
          <w:rFonts w:ascii="Times New Roman" w:eastAsia="宋体" w:hAnsi="Times New Roman" w:cs="Times New Roman"/>
          <w:kern w:val="0"/>
          <w:sz w:val="28"/>
          <w:szCs w:val="28"/>
        </w:rPr>
        <w:t>-</w:t>
      </w:r>
      <w:r>
        <w:rPr>
          <w:rFonts w:ascii="Times New Roman" w:eastAsia="宋体" w:hAnsi="Times New Roman" w:cs="Times New Roman" w:hint="eastAsia"/>
          <w:kern w:val="0"/>
          <w:sz w:val="28"/>
          <w:szCs w:val="28"/>
        </w:rPr>
        <w:t>地下水环境》（</w:t>
      </w:r>
      <w:r>
        <w:rPr>
          <w:rFonts w:ascii="Times New Roman" w:eastAsia="宋体" w:hAnsi="Times New Roman" w:cs="Times New Roman"/>
          <w:kern w:val="0"/>
          <w:sz w:val="28"/>
          <w:szCs w:val="28"/>
        </w:rPr>
        <w:t>HJ</w:t>
      </w:r>
      <w:r>
        <w:rPr>
          <w:rFonts w:ascii="Times New Roman" w:eastAsia="宋体" w:hAnsi="Times New Roman" w:cs="Times New Roman" w:hint="eastAsia"/>
          <w:kern w:val="0"/>
          <w:sz w:val="28"/>
          <w:szCs w:val="28"/>
        </w:rPr>
        <w:t xml:space="preserve"> 610-2016</w:t>
      </w:r>
      <w:r>
        <w:rPr>
          <w:rFonts w:ascii="Times New Roman" w:eastAsia="宋体" w:hAnsi="Times New Roman" w:cs="Times New Roman" w:hint="eastAsia"/>
          <w:kern w:val="0"/>
          <w:sz w:val="28"/>
          <w:szCs w:val="28"/>
        </w:rPr>
        <w:t>）可知：三级评价项目潜水含水层水质监测点应不少于</w:t>
      </w:r>
      <w:r>
        <w:rPr>
          <w:rFonts w:ascii="Times New Roman" w:eastAsia="宋体" w:hAnsi="Times New Roman" w:cs="Times New Roman" w:hint="eastAsia"/>
          <w:kern w:val="0"/>
          <w:sz w:val="28"/>
          <w:szCs w:val="28"/>
        </w:rPr>
        <w:t xml:space="preserve"> 3 </w:t>
      </w:r>
      <w:r>
        <w:rPr>
          <w:rFonts w:ascii="Times New Roman" w:eastAsia="宋体" w:hAnsi="Times New Roman" w:cs="Times New Roman" w:hint="eastAsia"/>
          <w:kern w:val="0"/>
          <w:sz w:val="28"/>
          <w:szCs w:val="28"/>
        </w:rPr>
        <w:t>个，可能受建设项目影响且具有饮用水开发利用价值的含水层</w:t>
      </w:r>
      <w:r>
        <w:rPr>
          <w:rFonts w:ascii="Times New Roman" w:eastAsia="宋体" w:hAnsi="Times New Roman" w:cs="Times New Roman" w:hint="eastAsia"/>
          <w:kern w:val="0"/>
          <w:sz w:val="28"/>
          <w:szCs w:val="28"/>
        </w:rPr>
        <w:t xml:space="preserve"> 1-2 </w:t>
      </w:r>
      <w:r>
        <w:rPr>
          <w:rFonts w:ascii="Times New Roman" w:eastAsia="宋体" w:hAnsi="Times New Roman" w:cs="Times New Roman" w:hint="eastAsia"/>
          <w:kern w:val="0"/>
          <w:sz w:val="28"/>
          <w:szCs w:val="28"/>
        </w:rPr>
        <w:t>个。原则上建设项目场地上游及下游影响区的地下水水质监测点各不得少于</w:t>
      </w:r>
      <w:r>
        <w:rPr>
          <w:rFonts w:ascii="Times New Roman" w:eastAsia="宋体" w:hAnsi="Times New Roman" w:cs="Times New Roman" w:hint="eastAsia"/>
          <w:kern w:val="0"/>
          <w:sz w:val="28"/>
          <w:szCs w:val="28"/>
        </w:rPr>
        <w:t xml:space="preserve"> 1 </w:t>
      </w:r>
      <w:r>
        <w:rPr>
          <w:rFonts w:ascii="Times New Roman" w:eastAsia="宋体" w:hAnsi="Times New Roman" w:cs="Times New Roman" w:hint="eastAsia"/>
          <w:kern w:val="0"/>
          <w:sz w:val="28"/>
          <w:szCs w:val="28"/>
        </w:rPr>
        <w:t>个。</w:t>
      </w:r>
    </w:p>
    <w:p w14:paraId="03699009" w14:textId="77777777" w:rsidR="002133E3" w:rsidRDefault="00C22CFA">
      <w:pPr>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项目设置</w:t>
      </w:r>
      <w:r>
        <w:rPr>
          <w:rFonts w:ascii="Times New Roman" w:eastAsia="宋体" w:hAnsi="Times New Roman" w:cs="Times New Roman"/>
          <w:kern w:val="0"/>
          <w:sz w:val="28"/>
          <w:szCs w:val="28"/>
        </w:rPr>
        <w:t>5</w:t>
      </w:r>
      <w:r>
        <w:rPr>
          <w:rFonts w:ascii="Times New Roman" w:eastAsia="宋体" w:hAnsi="Times New Roman" w:cs="Times New Roman" w:hint="eastAsia"/>
          <w:kern w:val="0"/>
          <w:sz w:val="28"/>
          <w:szCs w:val="28"/>
        </w:rPr>
        <w:t>个监测点，分布于项目地、上游和下游，符合导则要求，能够代表区域地下水水质概况，是具有代表性的。</w:t>
      </w:r>
    </w:p>
    <w:p w14:paraId="03C7639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土壤环境质量现状评价</w:t>
      </w:r>
    </w:p>
    <w:p w14:paraId="1343714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土壤监测布点、监测因子</w:t>
      </w:r>
    </w:p>
    <w:p w14:paraId="1D5E05E4"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本项目设置土壤监测点</w:t>
      </w:r>
      <w:r>
        <w:rPr>
          <w:rFonts w:ascii="Times New Roman" w:eastAsia="宋体" w:hAnsi="Times New Roman" w:cs="Times New Roman" w:hint="eastAsia"/>
          <w:kern w:val="0"/>
          <w:sz w:val="28"/>
          <w:szCs w:val="28"/>
        </w:rPr>
        <w:t>6</w:t>
      </w:r>
      <w:r>
        <w:rPr>
          <w:rFonts w:ascii="Times New Roman" w:eastAsia="宋体" w:hAnsi="Times New Roman" w:cs="Times New Roman"/>
          <w:kern w:val="0"/>
          <w:sz w:val="28"/>
          <w:szCs w:val="28"/>
        </w:rPr>
        <w:t>个，其</w:t>
      </w:r>
      <w:r>
        <w:rPr>
          <w:rFonts w:ascii="Times New Roman" w:eastAsia="宋体" w:hAnsi="Times New Roman" w:cs="Times New Roman" w:hint="eastAsia"/>
          <w:kern w:val="0"/>
          <w:sz w:val="28"/>
          <w:szCs w:val="28"/>
        </w:rPr>
        <w:t>中厂区内</w:t>
      </w:r>
      <w:r>
        <w:rPr>
          <w:rFonts w:ascii="Times New Roman" w:eastAsia="宋体" w:hAnsi="Times New Roman" w:cs="Times New Roman" w:hint="eastAsia"/>
          <w:kern w:val="0"/>
          <w:sz w:val="28"/>
          <w:szCs w:val="28"/>
        </w:rPr>
        <w:t>4</w:t>
      </w:r>
      <w:r>
        <w:rPr>
          <w:rFonts w:ascii="Times New Roman" w:eastAsia="宋体" w:hAnsi="Times New Roman" w:cs="Times New Roman" w:hint="eastAsia"/>
          <w:kern w:val="0"/>
          <w:sz w:val="28"/>
          <w:szCs w:val="28"/>
        </w:rPr>
        <w:t>个点位（</w:t>
      </w:r>
      <w:r>
        <w:rPr>
          <w:rFonts w:ascii="Times New Roman" w:eastAsia="宋体" w:hAnsi="Times New Roman" w:cs="Times New Roman" w:hint="eastAsia"/>
          <w:kern w:val="0"/>
          <w:sz w:val="28"/>
          <w:szCs w:val="28"/>
        </w:rPr>
        <w:t>3</w:t>
      </w:r>
      <w:r>
        <w:rPr>
          <w:rFonts w:ascii="Times New Roman" w:eastAsia="宋体" w:hAnsi="Times New Roman" w:cs="Times New Roman" w:hint="eastAsia"/>
          <w:kern w:val="0"/>
          <w:sz w:val="28"/>
          <w:szCs w:val="28"/>
        </w:rPr>
        <w:t>个柱状样、</w:t>
      </w:r>
      <w:r>
        <w:rPr>
          <w:rFonts w:ascii="Times New Roman" w:eastAsia="宋体" w:hAnsi="Times New Roman" w:cs="Times New Roman" w:hint="eastAsia"/>
          <w:kern w:val="0"/>
          <w:sz w:val="28"/>
          <w:szCs w:val="28"/>
        </w:rPr>
        <w:t>1</w:t>
      </w:r>
      <w:r>
        <w:rPr>
          <w:rFonts w:ascii="Times New Roman" w:eastAsia="宋体" w:hAnsi="Times New Roman" w:cs="Times New Roman" w:hint="eastAsia"/>
          <w:kern w:val="0"/>
          <w:sz w:val="28"/>
          <w:szCs w:val="28"/>
        </w:rPr>
        <w:t>个表层样），厂区外</w:t>
      </w:r>
      <w:r>
        <w:rPr>
          <w:rFonts w:ascii="Times New Roman" w:eastAsia="宋体" w:hAnsi="Times New Roman" w:cs="Times New Roman" w:hint="eastAsia"/>
          <w:kern w:val="0"/>
          <w:sz w:val="28"/>
          <w:szCs w:val="28"/>
        </w:rPr>
        <w:t>2</w:t>
      </w:r>
      <w:r>
        <w:rPr>
          <w:rFonts w:ascii="Times New Roman" w:eastAsia="宋体" w:hAnsi="Times New Roman" w:cs="Times New Roman" w:hint="eastAsia"/>
          <w:kern w:val="0"/>
          <w:sz w:val="28"/>
          <w:szCs w:val="28"/>
        </w:rPr>
        <w:t>个点位（</w:t>
      </w:r>
      <w:r>
        <w:rPr>
          <w:rFonts w:ascii="Times New Roman" w:eastAsia="宋体" w:hAnsi="Times New Roman" w:cs="Times New Roman" w:hint="eastAsia"/>
          <w:kern w:val="0"/>
          <w:sz w:val="28"/>
          <w:szCs w:val="28"/>
        </w:rPr>
        <w:t>2</w:t>
      </w:r>
      <w:r>
        <w:rPr>
          <w:rFonts w:ascii="Times New Roman" w:eastAsia="宋体" w:hAnsi="Times New Roman" w:cs="Times New Roman" w:hint="eastAsia"/>
          <w:kern w:val="0"/>
          <w:sz w:val="28"/>
          <w:szCs w:val="28"/>
        </w:rPr>
        <w:t>个均为表层样），柱状样取样深度分别为</w:t>
      </w:r>
      <w:r>
        <w:rPr>
          <w:rFonts w:ascii="Times New Roman" w:eastAsia="宋体" w:hAnsi="Times New Roman" w:cs="Times New Roman" w:hint="eastAsia"/>
          <w:kern w:val="0"/>
          <w:sz w:val="28"/>
          <w:szCs w:val="28"/>
        </w:rPr>
        <w:t>0~0.5m</w:t>
      </w:r>
      <w:r>
        <w:rPr>
          <w:rFonts w:ascii="Times New Roman" w:eastAsia="宋体" w:hAnsi="Times New Roman" w:cs="Times New Roman" w:hint="eastAsia"/>
          <w:kern w:val="0"/>
          <w:sz w:val="28"/>
          <w:szCs w:val="28"/>
        </w:rPr>
        <w:t>，</w:t>
      </w:r>
      <w:r>
        <w:rPr>
          <w:rFonts w:ascii="Times New Roman" w:eastAsia="宋体" w:hAnsi="Times New Roman" w:cs="Times New Roman" w:hint="eastAsia"/>
          <w:kern w:val="0"/>
          <w:sz w:val="28"/>
          <w:szCs w:val="28"/>
        </w:rPr>
        <w:t>0.5~1.5m</w:t>
      </w:r>
      <w:r>
        <w:rPr>
          <w:rFonts w:ascii="Times New Roman" w:eastAsia="宋体" w:hAnsi="Times New Roman" w:cs="Times New Roman" w:hint="eastAsia"/>
          <w:kern w:val="0"/>
          <w:sz w:val="28"/>
          <w:szCs w:val="28"/>
        </w:rPr>
        <w:t>，</w:t>
      </w:r>
      <w:r>
        <w:rPr>
          <w:rFonts w:ascii="Times New Roman" w:eastAsia="宋体" w:hAnsi="Times New Roman" w:cs="Times New Roman" w:hint="eastAsia"/>
          <w:kern w:val="0"/>
          <w:sz w:val="28"/>
          <w:szCs w:val="28"/>
        </w:rPr>
        <w:t>1.5~3m</w:t>
      </w:r>
      <w:r>
        <w:rPr>
          <w:rFonts w:ascii="Times New Roman" w:eastAsia="宋体" w:hAnsi="Times New Roman" w:cs="Times New Roman" w:hint="eastAsia"/>
          <w:kern w:val="0"/>
          <w:sz w:val="28"/>
          <w:szCs w:val="28"/>
        </w:rPr>
        <w:t>，表层样取样深度为</w:t>
      </w:r>
      <w:r>
        <w:rPr>
          <w:rFonts w:ascii="Times New Roman" w:eastAsia="宋体" w:hAnsi="Times New Roman" w:cs="Times New Roman" w:hint="eastAsia"/>
          <w:kern w:val="0"/>
          <w:sz w:val="28"/>
          <w:szCs w:val="28"/>
        </w:rPr>
        <w:t>0~0.2m</w:t>
      </w:r>
      <w:r>
        <w:rPr>
          <w:rFonts w:ascii="Times New Roman" w:eastAsia="宋体" w:hAnsi="Times New Roman" w:cs="Times New Roman"/>
          <w:kern w:val="0"/>
          <w:sz w:val="28"/>
          <w:szCs w:val="28"/>
        </w:rPr>
        <w:t>，具体见表</w:t>
      </w:r>
      <w:r>
        <w:rPr>
          <w:rFonts w:ascii="Times New Roman" w:eastAsia="宋体" w:hAnsi="Times New Roman" w:cs="Times New Roman"/>
          <w:kern w:val="0"/>
          <w:sz w:val="28"/>
          <w:szCs w:val="28"/>
        </w:rPr>
        <w:t>5.2-1</w:t>
      </w:r>
      <w:r>
        <w:rPr>
          <w:rFonts w:ascii="Times New Roman" w:eastAsia="宋体" w:hAnsi="Times New Roman" w:cs="Times New Roman" w:hint="eastAsia"/>
          <w:kern w:val="0"/>
          <w:sz w:val="28"/>
          <w:szCs w:val="28"/>
        </w:rPr>
        <w:t>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highlight w:val="yellow"/>
        </w:rPr>
        <w:t>监测具体点位见图</w:t>
      </w:r>
      <w:r>
        <w:rPr>
          <w:rFonts w:ascii="Times New Roman" w:eastAsia="宋体" w:hAnsi="Times New Roman" w:cs="Times New Roman"/>
          <w:kern w:val="0"/>
          <w:sz w:val="28"/>
          <w:szCs w:val="28"/>
          <w:highlight w:val="yellow"/>
        </w:rPr>
        <w:t>4.1-1</w:t>
      </w:r>
      <w:r>
        <w:rPr>
          <w:rFonts w:ascii="Times New Roman" w:eastAsia="宋体" w:hAnsi="Times New Roman" w:cs="Times New Roman"/>
          <w:kern w:val="0"/>
          <w:sz w:val="28"/>
          <w:szCs w:val="28"/>
          <w:highlight w:val="yellow"/>
        </w:rPr>
        <w:t>。</w:t>
      </w:r>
    </w:p>
    <w:p w14:paraId="3B14C5C8" w14:textId="77777777" w:rsidR="002133E3" w:rsidRDefault="00C22CFA">
      <w:pPr>
        <w:widowControl/>
        <w:spacing w:line="500" w:lineRule="exac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5.2-</w:t>
      </w:r>
      <w:r>
        <w:rPr>
          <w:rFonts w:ascii="Times New Roman" w:eastAsia="宋体" w:hAnsi="Times New Roman" w:cs="Times New Roman" w:hint="eastAsia"/>
          <w:b/>
          <w:kern w:val="0"/>
          <w:sz w:val="24"/>
          <w:szCs w:val="24"/>
        </w:rPr>
        <w:t>11</w:t>
      </w:r>
      <w:r>
        <w:rPr>
          <w:rFonts w:ascii="Times New Roman" w:eastAsia="宋体" w:hAnsi="Times New Roman" w:cs="Times New Roman"/>
          <w:b/>
          <w:kern w:val="0"/>
          <w:sz w:val="24"/>
          <w:szCs w:val="24"/>
        </w:rPr>
        <w:t xml:space="preserve">  </w:t>
      </w:r>
      <w:r>
        <w:rPr>
          <w:rFonts w:ascii="Times New Roman" w:eastAsia="宋体" w:hAnsi="Times New Roman" w:cs="Times New Roman"/>
          <w:b/>
          <w:kern w:val="0"/>
          <w:sz w:val="24"/>
          <w:szCs w:val="24"/>
        </w:rPr>
        <w:t>土壤监测项目及点位表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4255"/>
        <w:gridCol w:w="1945"/>
        <w:gridCol w:w="2698"/>
      </w:tblGrid>
      <w:tr w:rsidR="002133E3" w14:paraId="0D19F027" w14:textId="77777777">
        <w:trPr>
          <w:trHeight w:val="298"/>
          <w:jc w:val="center"/>
        </w:trPr>
        <w:tc>
          <w:tcPr>
            <w:tcW w:w="485" w:type="pct"/>
            <w:vAlign w:val="center"/>
          </w:tcPr>
          <w:p w14:paraId="26F46E36" w14:textId="77777777" w:rsidR="002133E3" w:rsidRDefault="00C22CFA">
            <w:pPr>
              <w:spacing w:line="360" w:lineRule="exact"/>
              <w:jc w:val="center"/>
              <w:rPr>
                <w:rFonts w:ascii="Times New Roman" w:eastAsia="宋体" w:hAnsi="Times New Roman" w:cs="Times New Roman"/>
                <w:b/>
                <w:bCs/>
                <w:szCs w:val="21"/>
              </w:rPr>
            </w:pPr>
            <w:r>
              <w:rPr>
                <w:rFonts w:ascii="Times New Roman" w:eastAsia="宋体" w:hAnsi="Times New Roman" w:cs="Times New Roman"/>
                <w:b/>
                <w:bCs/>
                <w:szCs w:val="21"/>
              </w:rPr>
              <w:t>序号</w:t>
            </w:r>
          </w:p>
        </w:tc>
        <w:tc>
          <w:tcPr>
            <w:tcW w:w="2159" w:type="pct"/>
            <w:vAlign w:val="center"/>
          </w:tcPr>
          <w:p w14:paraId="0A34DE52" w14:textId="77777777" w:rsidR="002133E3" w:rsidRDefault="00C22CFA">
            <w:pPr>
              <w:spacing w:line="360" w:lineRule="exact"/>
              <w:jc w:val="center"/>
              <w:rPr>
                <w:rFonts w:ascii="Times New Roman" w:eastAsia="宋体" w:hAnsi="Times New Roman" w:cs="Times New Roman"/>
                <w:b/>
                <w:bCs/>
                <w:szCs w:val="21"/>
              </w:rPr>
            </w:pPr>
            <w:r>
              <w:rPr>
                <w:rFonts w:ascii="Times New Roman" w:eastAsia="宋体" w:hAnsi="Times New Roman" w:cs="Times New Roman"/>
                <w:b/>
                <w:bCs/>
                <w:szCs w:val="21"/>
              </w:rPr>
              <w:t>监测点位置</w:t>
            </w:r>
          </w:p>
        </w:tc>
        <w:tc>
          <w:tcPr>
            <w:tcW w:w="987" w:type="pct"/>
            <w:vAlign w:val="center"/>
          </w:tcPr>
          <w:p w14:paraId="294194F5" w14:textId="77777777" w:rsidR="002133E3" w:rsidRDefault="00C22CFA">
            <w:pPr>
              <w:widowControl/>
              <w:spacing w:line="36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监测因子</w:t>
            </w:r>
          </w:p>
        </w:tc>
        <w:tc>
          <w:tcPr>
            <w:tcW w:w="1369" w:type="pct"/>
            <w:vAlign w:val="center"/>
          </w:tcPr>
          <w:p w14:paraId="53FC3213" w14:textId="77777777" w:rsidR="002133E3" w:rsidRDefault="00C22CFA">
            <w:pPr>
              <w:widowControl/>
              <w:spacing w:line="36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监测频次</w:t>
            </w:r>
          </w:p>
        </w:tc>
      </w:tr>
      <w:tr w:rsidR="002133E3" w14:paraId="030289D3" w14:textId="77777777">
        <w:trPr>
          <w:trHeight w:val="298"/>
          <w:jc w:val="center"/>
        </w:trPr>
        <w:tc>
          <w:tcPr>
            <w:tcW w:w="485" w:type="pct"/>
            <w:vAlign w:val="center"/>
          </w:tcPr>
          <w:p w14:paraId="371EB533"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T1</w:t>
            </w:r>
          </w:p>
        </w:tc>
        <w:tc>
          <w:tcPr>
            <w:tcW w:w="2159" w:type="pct"/>
            <w:vAlign w:val="center"/>
          </w:tcPr>
          <w:p w14:paraId="301A45BD"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罐区二、三附近</w:t>
            </w:r>
          </w:p>
        </w:tc>
        <w:tc>
          <w:tcPr>
            <w:tcW w:w="987" w:type="pct"/>
            <w:vMerge w:val="restart"/>
            <w:vAlign w:val="center"/>
          </w:tcPr>
          <w:p w14:paraId="7AF21FD3"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caps/>
                <w:szCs w:val="21"/>
              </w:rPr>
              <w:t>GB36600-2018</w:t>
            </w:r>
            <w:r>
              <w:rPr>
                <w:rFonts w:ascii="Times New Roman" w:eastAsia="宋体" w:hAnsi="Times New Roman" w:cs="Times New Roman"/>
                <w:caps/>
                <w:szCs w:val="21"/>
              </w:rPr>
              <w:t>中基本项目，共</w:t>
            </w:r>
            <w:r>
              <w:rPr>
                <w:rFonts w:ascii="Times New Roman" w:eastAsia="宋体" w:hAnsi="Times New Roman" w:cs="Times New Roman"/>
                <w:caps/>
                <w:szCs w:val="21"/>
              </w:rPr>
              <w:t>45</w:t>
            </w:r>
            <w:r>
              <w:rPr>
                <w:rFonts w:ascii="Times New Roman" w:eastAsia="宋体" w:hAnsi="Times New Roman" w:cs="Times New Roman"/>
                <w:caps/>
                <w:szCs w:val="21"/>
              </w:rPr>
              <w:t>项因子</w:t>
            </w:r>
          </w:p>
        </w:tc>
        <w:tc>
          <w:tcPr>
            <w:tcW w:w="1369" w:type="pct"/>
            <w:vMerge w:val="restart"/>
            <w:vAlign w:val="center"/>
          </w:tcPr>
          <w:p w14:paraId="35BBDC63" w14:textId="77777777" w:rsidR="002133E3" w:rsidRDefault="00C22CFA">
            <w:pPr>
              <w:widowControl/>
              <w:spacing w:line="360" w:lineRule="exact"/>
              <w:jc w:val="center"/>
              <w:rPr>
                <w:rFonts w:ascii="Times New Roman" w:eastAsia="宋体" w:hAnsi="Times New Roman" w:cs="Times New Roman"/>
                <w:kern w:val="0"/>
                <w:szCs w:val="21"/>
              </w:rPr>
            </w:pPr>
            <w:r>
              <w:rPr>
                <w:rFonts w:ascii="Times New Roman" w:eastAsia="宋体" w:hAnsi="Times New Roman" w:cs="Times New Roman"/>
                <w:szCs w:val="21"/>
              </w:rPr>
              <w:t>实测，柱状样点，取样深度分别为</w:t>
            </w:r>
            <w:r>
              <w:rPr>
                <w:rFonts w:ascii="Times New Roman" w:eastAsia="宋体" w:hAnsi="Times New Roman" w:cs="Times New Roman"/>
                <w:szCs w:val="21"/>
              </w:rPr>
              <w:t>0-0.5m</w:t>
            </w:r>
            <w:r>
              <w:rPr>
                <w:rFonts w:ascii="Times New Roman" w:eastAsia="宋体" w:hAnsi="Times New Roman" w:cs="Times New Roman"/>
                <w:szCs w:val="21"/>
              </w:rPr>
              <w:t>、</w:t>
            </w:r>
            <w:r>
              <w:rPr>
                <w:rFonts w:ascii="Times New Roman" w:eastAsia="宋体" w:hAnsi="Times New Roman" w:cs="Times New Roman"/>
                <w:szCs w:val="21"/>
              </w:rPr>
              <w:t>0.5-1.5m</w:t>
            </w:r>
            <w:r>
              <w:rPr>
                <w:rFonts w:ascii="Times New Roman" w:eastAsia="宋体" w:hAnsi="Times New Roman" w:cs="Times New Roman"/>
                <w:szCs w:val="21"/>
              </w:rPr>
              <w:t>、</w:t>
            </w:r>
            <w:r>
              <w:rPr>
                <w:rFonts w:ascii="Times New Roman" w:eastAsia="宋体" w:hAnsi="Times New Roman" w:cs="Times New Roman"/>
                <w:szCs w:val="21"/>
              </w:rPr>
              <w:t>1.5-3.0m</w:t>
            </w:r>
          </w:p>
        </w:tc>
      </w:tr>
      <w:tr w:rsidR="002133E3" w14:paraId="23C7D49C" w14:textId="77777777">
        <w:trPr>
          <w:trHeight w:val="298"/>
          <w:jc w:val="center"/>
        </w:trPr>
        <w:tc>
          <w:tcPr>
            <w:tcW w:w="485" w:type="pct"/>
            <w:vAlign w:val="center"/>
          </w:tcPr>
          <w:p w14:paraId="136E1E8D"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T2</w:t>
            </w:r>
          </w:p>
        </w:tc>
        <w:tc>
          <w:tcPr>
            <w:tcW w:w="2159" w:type="pct"/>
            <w:vAlign w:val="center"/>
          </w:tcPr>
          <w:p w14:paraId="0296B1DD"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5</w:t>
            </w:r>
            <w:r>
              <w:rPr>
                <w:rFonts w:ascii="Times New Roman" w:eastAsia="宋体" w:hAnsi="Times New Roman" w:cs="Times New Roman"/>
                <w:szCs w:val="21"/>
              </w:rPr>
              <w:t>万吨酒精蒸馏及</w:t>
            </w:r>
            <w:r>
              <w:rPr>
                <w:rFonts w:ascii="Times New Roman" w:eastAsia="宋体" w:hAnsi="Times New Roman" w:cs="Times New Roman"/>
                <w:szCs w:val="21"/>
              </w:rPr>
              <w:t>6</w:t>
            </w:r>
            <w:r>
              <w:rPr>
                <w:rFonts w:ascii="Times New Roman" w:eastAsia="宋体" w:hAnsi="Times New Roman" w:cs="Times New Roman"/>
                <w:szCs w:val="21"/>
              </w:rPr>
              <w:t>万吨无水酒精联合装置</w:t>
            </w:r>
          </w:p>
        </w:tc>
        <w:tc>
          <w:tcPr>
            <w:tcW w:w="987" w:type="pct"/>
            <w:vMerge/>
            <w:vAlign w:val="center"/>
          </w:tcPr>
          <w:p w14:paraId="6A321CF6" w14:textId="77777777" w:rsidR="002133E3" w:rsidRDefault="002133E3">
            <w:pPr>
              <w:widowControl/>
              <w:spacing w:line="360" w:lineRule="exact"/>
              <w:jc w:val="center"/>
              <w:rPr>
                <w:rFonts w:ascii="Times New Roman" w:eastAsia="宋体" w:hAnsi="Times New Roman" w:cs="Times New Roman"/>
                <w:kern w:val="0"/>
                <w:szCs w:val="21"/>
              </w:rPr>
            </w:pPr>
          </w:p>
        </w:tc>
        <w:tc>
          <w:tcPr>
            <w:tcW w:w="1369" w:type="pct"/>
            <w:vMerge/>
            <w:vAlign w:val="center"/>
          </w:tcPr>
          <w:p w14:paraId="1F8DF39F" w14:textId="77777777" w:rsidR="002133E3" w:rsidRDefault="002133E3">
            <w:pPr>
              <w:widowControl/>
              <w:spacing w:line="360" w:lineRule="exact"/>
              <w:jc w:val="center"/>
              <w:rPr>
                <w:rFonts w:ascii="Times New Roman" w:eastAsia="宋体" w:hAnsi="Times New Roman" w:cs="Times New Roman"/>
                <w:kern w:val="0"/>
                <w:szCs w:val="21"/>
              </w:rPr>
            </w:pPr>
          </w:p>
        </w:tc>
      </w:tr>
      <w:tr w:rsidR="002133E3" w14:paraId="6D34E686" w14:textId="77777777">
        <w:trPr>
          <w:trHeight w:val="298"/>
          <w:jc w:val="center"/>
        </w:trPr>
        <w:tc>
          <w:tcPr>
            <w:tcW w:w="485" w:type="pct"/>
            <w:vAlign w:val="center"/>
          </w:tcPr>
          <w:p w14:paraId="443420D7"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T3</w:t>
            </w:r>
          </w:p>
        </w:tc>
        <w:tc>
          <w:tcPr>
            <w:tcW w:w="2159" w:type="pct"/>
            <w:vAlign w:val="center"/>
          </w:tcPr>
          <w:p w14:paraId="1EDCAC7A"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污水站集水池附近</w:t>
            </w:r>
          </w:p>
        </w:tc>
        <w:tc>
          <w:tcPr>
            <w:tcW w:w="987" w:type="pct"/>
            <w:vMerge/>
            <w:vAlign w:val="center"/>
          </w:tcPr>
          <w:p w14:paraId="12D18C08" w14:textId="77777777" w:rsidR="002133E3" w:rsidRDefault="002133E3">
            <w:pPr>
              <w:widowControl/>
              <w:spacing w:line="360" w:lineRule="exact"/>
              <w:jc w:val="center"/>
              <w:rPr>
                <w:rFonts w:ascii="Times New Roman" w:eastAsia="宋体" w:hAnsi="Times New Roman" w:cs="Times New Roman"/>
                <w:kern w:val="0"/>
                <w:szCs w:val="21"/>
              </w:rPr>
            </w:pPr>
          </w:p>
        </w:tc>
        <w:tc>
          <w:tcPr>
            <w:tcW w:w="1369" w:type="pct"/>
            <w:vMerge/>
            <w:vAlign w:val="center"/>
          </w:tcPr>
          <w:p w14:paraId="0BF5BBDE" w14:textId="77777777" w:rsidR="002133E3" w:rsidRDefault="002133E3">
            <w:pPr>
              <w:widowControl/>
              <w:spacing w:line="360" w:lineRule="exact"/>
              <w:jc w:val="center"/>
              <w:rPr>
                <w:rFonts w:ascii="Times New Roman" w:eastAsia="宋体" w:hAnsi="Times New Roman" w:cs="Times New Roman"/>
                <w:kern w:val="0"/>
                <w:szCs w:val="21"/>
              </w:rPr>
            </w:pPr>
          </w:p>
        </w:tc>
      </w:tr>
      <w:tr w:rsidR="002133E3" w14:paraId="4C37F6C9" w14:textId="77777777">
        <w:trPr>
          <w:trHeight w:val="298"/>
          <w:jc w:val="center"/>
        </w:trPr>
        <w:tc>
          <w:tcPr>
            <w:tcW w:w="485" w:type="pct"/>
            <w:vAlign w:val="center"/>
          </w:tcPr>
          <w:p w14:paraId="217C8955"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T4</w:t>
            </w:r>
          </w:p>
        </w:tc>
        <w:tc>
          <w:tcPr>
            <w:tcW w:w="2159" w:type="pct"/>
            <w:vAlign w:val="center"/>
          </w:tcPr>
          <w:p w14:paraId="41AD5606"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szCs w:val="21"/>
              </w:rPr>
              <w:t>危废仓库附近</w:t>
            </w:r>
          </w:p>
        </w:tc>
        <w:tc>
          <w:tcPr>
            <w:tcW w:w="987" w:type="pct"/>
            <w:vMerge/>
            <w:vAlign w:val="center"/>
          </w:tcPr>
          <w:p w14:paraId="31C9FD58" w14:textId="77777777" w:rsidR="002133E3" w:rsidRDefault="002133E3">
            <w:pPr>
              <w:widowControl/>
              <w:spacing w:line="360" w:lineRule="exact"/>
              <w:jc w:val="center"/>
              <w:rPr>
                <w:rFonts w:ascii="Times New Roman" w:eastAsia="宋体" w:hAnsi="Times New Roman" w:cs="Times New Roman"/>
                <w:kern w:val="0"/>
                <w:szCs w:val="21"/>
              </w:rPr>
            </w:pPr>
          </w:p>
        </w:tc>
        <w:tc>
          <w:tcPr>
            <w:tcW w:w="1369" w:type="pct"/>
            <w:vAlign w:val="center"/>
          </w:tcPr>
          <w:p w14:paraId="2D08F8A7" w14:textId="77777777" w:rsidR="002133E3" w:rsidRDefault="00C22CFA">
            <w:pPr>
              <w:widowControl/>
              <w:spacing w:line="360" w:lineRule="exact"/>
              <w:jc w:val="center"/>
              <w:rPr>
                <w:rFonts w:ascii="Times New Roman" w:eastAsia="宋体" w:hAnsi="Times New Roman" w:cs="Times New Roman"/>
                <w:kern w:val="0"/>
                <w:szCs w:val="21"/>
              </w:rPr>
            </w:pPr>
            <w:r>
              <w:rPr>
                <w:rFonts w:ascii="Times New Roman" w:eastAsia="宋体" w:hAnsi="Times New Roman" w:cs="Times New Roman"/>
                <w:szCs w:val="21"/>
              </w:rPr>
              <w:t>实测，表层样点，取样深度为表层（</w:t>
            </w:r>
            <w:r>
              <w:rPr>
                <w:rFonts w:ascii="Times New Roman" w:eastAsia="宋体" w:hAnsi="Times New Roman" w:cs="Times New Roman"/>
                <w:szCs w:val="21"/>
              </w:rPr>
              <w:t>0-0.2m</w:t>
            </w:r>
            <w:r>
              <w:rPr>
                <w:rFonts w:ascii="Times New Roman" w:eastAsia="宋体" w:hAnsi="Times New Roman" w:cs="Times New Roman"/>
                <w:szCs w:val="21"/>
              </w:rPr>
              <w:t>）</w:t>
            </w:r>
          </w:p>
        </w:tc>
      </w:tr>
      <w:tr w:rsidR="002133E3" w14:paraId="70D87A81" w14:textId="77777777">
        <w:trPr>
          <w:trHeight w:val="298"/>
          <w:jc w:val="center"/>
        </w:trPr>
        <w:tc>
          <w:tcPr>
            <w:tcW w:w="485" w:type="pct"/>
            <w:vAlign w:val="center"/>
          </w:tcPr>
          <w:p w14:paraId="1A0347E0"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caps/>
                <w:szCs w:val="21"/>
              </w:rPr>
              <w:t>T5</w:t>
            </w:r>
          </w:p>
        </w:tc>
        <w:tc>
          <w:tcPr>
            <w:tcW w:w="2159" w:type="pct"/>
            <w:vAlign w:val="center"/>
          </w:tcPr>
          <w:p w14:paraId="0AE92176"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caps/>
                <w:szCs w:val="21"/>
              </w:rPr>
              <w:t>德友精工附近</w:t>
            </w:r>
          </w:p>
        </w:tc>
        <w:tc>
          <w:tcPr>
            <w:tcW w:w="987" w:type="pct"/>
            <w:vMerge/>
            <w:vAlign w:val="center"/>
          </w:tcPr>
          <w:p w14:paraId="2CB5717A" w14:textId="77777777" w:rsidR="002133E3" w:rsidRDefault="002133E3">
            <w:pPr>
              <w:widowControl/>
              <w:spacing w:line="360" w:lineRule="exact"/>
              <w:jc w:val="center"/>
              <w:rPr>
                <w:rFonts w:ascii="Times New Roman" w:eastAsia="宋体" w:hAnsi="Times New Roman" w:cs="Times New Roman"/>
                <w:kern w:val="0"/>
                <w:szCs w:val="21"/>
              </w:rPr>
            </w:pPr>
          </w:p>
        </w:tc>
        <w:tc>
          <w:tcPr>
            <w:tcW w:w="1369" w:type="pct"/>
            <w:vMerge w:val="restart"/>
            <w:vAlign w:val="center"/>
          </w:tcPr>
          <w:p w14:paraId="47CF2558" w14:textId="77777777" w:rsidR="002133E3" w:rsidRDefault="00C22CFA">
            <w:pPr>
              <w:widowControl/>
              <w:spacing w:line="36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引用，表层样</w:t>
            </w:r>
            <w:r>
              <w:rPr>
                <w:rFonts w:ascii="Times New Roman" w:eastAsia="宋体" w:hAnsi="Times New Roman" w:cs="Times New Roman" w:hint="eastAsia"/>
                <w:kern w:val="0"/>
                <w:szCs w:val="21"/>
              </w:rPr>
              <w:t>，</w:t>
            </w:r>
            <w:r>
              <w:rPr>
                <w:rFonts w:ascii="Times New Roman" w:eastAsia="宋体" w:hAnsi="Times New Roman" w:cs="Times New Roman"/>
                <w:szCs w:val="21"/>
              </w:rPr>
              <w:t>表层样点，取样深度为表层（</w:t>
            </w:r>
            <w:r>
              <w:rPr>
                <w:rFonts w:ascii="Times New Roman" w:eastAsia="宋体" w:hAnsi="Times New Roman" w:cs="Times New Roman"/>
                <w:szCs w:val="21"/>
              </w:rPr>
              <w:t>0-0.2m</w:t>
            </w:r>
            <w:r>
              <w:rPr>
                <w:rFonts w:ascii="Times New Roman" w:eastAsia="宋体" w:hAnsi="Times New Roman" w:cs="Times New Roman"/>
                <w:szCs w:val="21"/>
              </w:rPr>
              <w:t>）</w:t>
            </w:r>
          </w:p>
        </w:tc>
      </w:tr>
      <w:tr w:rsidR="002133E3" w14:paraId="3CA73F6C" w14:textId="77777777">
        <w:trPr>
          <w:trHeight w:val="298"/>
          <w:jc w:val="center"/>
        </w:trPr>
        <w:tc>
          <w:tcPr>
            <w:tcW w:w="485" w:type="pct"/>
            <w:vAlign w:val="center"/>
          </w:tcPr>
          <w:p w14:paraId="3BE0A964"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caps/>
                <w:szCs w:val="21"/>
              </w:rPr>
              <w:t>T6</w:t>
            </w:r>
          </w:p>
        </w:tc>
        <w:tc>
          <w:tcPr>
            <w:tcW w:w="2159" w:type="pct"/>
            <w:vAlign w:val="center"/>
          </w:tcPr>
          <w:p w14:paraId="34CF24FD" w14:textId="77777777" w:rsidR="002133E3" w:rsidRDefault="00C22CFA">
            <w:pPr>
              <w:spacing w:line="360" w:lineRule="exact"/>
              <w:jc w:val="center"/>
              <w:rPr>
                <w:rFonts w:ascii="Times New Roman" w:eastAsia="宋体" w:hAnsi="Times New Roman" w:cs="Times New Roman"/>
                <w:caps/>
                <w:szCs w:val="21"/>
              </w:rPr>
            </w:pPr>
            <w:r>
              <w:rPr>
                <w:rFonts w:ascii="Times New Roman" w:eastAsia="宋体" w:hAnsi="Times New Roman" w:cs="Times New Roman"/>
                <w:caps/>
                <w:szCs w:val="21"/>
              </w:rPr>
              <w:t>北港镍业附近</w:t>
            </w:r>
          </w:p>
        </w:tc>
        <w:tc>
          <w:tcPr>
            <w:tcW w:w="987" w:type="pct"/>
            <w:vMerge/>
            <w:vAlign w:val="center"/>
          </w:tcPr>
          <w:p w14:paraId="09CAD894" w14:textId="77777777" w:rsidR="002133E3" w:rsidRDefault="002133E3">
            <w:pPr>
              <w:widowControl/>
              <w:spacing w:line="360" w:lineRule="exact"/>
              <w:jc w:val="center"/>
              <w:rPr>
                <w:rFonts w:ascii="Times New Roman" w:eastAsia="宋体" w:hAnsi="Times New Roman" w:cs="Times New Roman"/>
                <w:kern w:val="0"/>
                <w:szCs w:val="21"/>
              </w:rPr>
            </w:pPr>
          </w:p>
        </w:tc>
        <w:tc>
          <w:tcPr>
            <w:tcW w:w="1369" w:type="pct"/>
            <w:vMerge/>
            <w:vAlign w:val="center"/>
          </w:tcPr>
          <w:p w14:paraId="45E35100" w14:textId="77777777" w:rsidR="002133E3" w:rsidRDefault="002133E3">
            <w:pPr>
              <w:widowControl/>
              <w:spacing w:line="360" w:lineRule="exact"/>
              <w:jc w:val="center"/>
              <w:rPr>
                <w:rFonts w:ascii="Times New Roman" w:eastAsia="宋体" w:hAnsi="Times New Roman" w:cs="Times New Roman"/>
                <w:kern w:val="0"/>
                <w:szCs w:val="21"/>
              </w:rPr>
            </w:pPr>
          </w:p>
        </w:tc>
      </w:tr>
    </w:tbl>
    <w:p w14:paraId="7738E49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监测时间、监测频次</w:t>
      </w:r>
    </w:p>
    <w:p w14:paraId="5CA5F381" w14:textId="77777777" w:rsidR="002133E3" w:rsidRDefault="00C22CFA">
      <w:pPr>
        <w:adjustRightInd w:val="0"/>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lastRenderedPageBreak/>
        <w:t>T1</w:t>
      </w:r>
      <w:r>
        <w:rPr>
          <w:rFonts w:ascii="Times New Roman" w:eastAsia="宋体" w:hAnsi="Times New Roman" w:cs="Times New Roman" w:hint="eastAsia"/>
          <w:kern w:val="0"/>
          <w:sz w:val="28"/>
          <w:szCs w:val="28"/>
        </w:rPr>
        <w:t>、</w:t>
      </w:r>
      <w:r>
        <w:rPr>
          <w:rFonts w:ascii="Times New Roman" w:eastAsia="宋体" w:hAnsi="Times New Roman" w:cs="Times New Roman" w:hint="eastAsia"/>
          <w:kern w:val="0"/>
          <w:sz w:val="28"/>
          <w:szCs w:val="28"/>
        </w:rPr>
        <w:t>T2</w:t>
      </w:r>
      <w:r>
        <w:rPr>
          <w:rFonts w:ascii="Times New Roman" w:eastAsia="宋体" w:hAnsi="Times New Roman" w:cs="Times New Roman" w:hint="eastAsia"/>
          <w:kern w:val="0"/>
          <w:sz w:val="28"/>
          <w:szCs w:val="28"/>
        </w:rPr>
        <w:t>、</w:t>
      </w:r>
      <w:r>
        <w:rPr>
          <w:rFonts w:ascii="Times New Roman" w:eastAsia="宋体" w:hAnsi="Times New Roman" w:cs="Times New Roman" w:hint="eastAsia"/>
          <w:kern w:val="0"/>
          <w:sz w:val="28"/>
          <w:szCs w:val="28"/>
        </w:rPr>
        <w:t>T3</w:t>
      </w:r>
      <w:r>
        <w:rPr>
          <w:rFonts w:ascii="Times New Roman" w:eastAsia="宋体" w:hAnsi="Times New Roman" w:cs="Times New Roman" w:hint="eastAsia"/>
          <w:kern w:val="0"/>
          <w:sz w:val="28"/>
          <w:szCs w:val="28"/>
        </w:rPr>
        <w:t>、</w:t>
      </w:r>
      <w:r>
        <w:rPr>
          <w:rFonts w:ascii="Times New Roman" w:eastAsia="宋体" w:hAnsi="Times New Roman" w:cs="Times New Roman" w:hint="eastAsia"/>
          <w:kern w:val="0"/>
          <w:sz w:val="28"/>
          <w:szCs w:val="28"/>
        </w:rPr>
        <w:t>T4</w:t>
      </w:r>
      <w:r>
        <w:rPr>
          <w:rFonts w:ascii="Times New Roman" w:eastAsia="宋体" w:hAnsi="Times New Roman" w:cs="Times New Roman" w:hint="eastAsia"/>
          <w:kern w:val="0"/>
          <w:sz w:val="28"/>
          <w:szCs w:val="28"/>
        </w:rPr>
        <w:t>点位引用连云港智清环境科技有限公司</w:t>
      </w:r>
      <w:r>
        <w:rPr>
          <w:rFonts w:ascii="Times New Roman" w:eastAsia="宋体" w:hAnsi="Times New Roman" w:cs="Times New Roman" w:hint="eastAsia"/>
          <w:kern w:val="0"/>
          <w:sz w:val="28"/>
          <w:szCs w:val="28"/>
        </w:rPr>
        <w:t>20</w:t>
      </w:r>
      <w:r>
        <w:rPr>
          <w:rFonts w:ascii="Times New Roman" w:eastAsia="宋体" w:hAnsi="Times New Roman" w:cs="Times New Roman"/>
          <w:kern w:val="0"/>
          <w:sz w:val="28"/>
          <w:szCs w:val="28"/>
        </w:rPr>
        <w:t>21</w:t>
      </w:r>
      <w:r>
        <w:rPr>
          <w:rFonts w:ascii="Times New Roman" w:eastAsia="宋体" w:hAnsi="Times New Roman" w:cs="Times New Roman" w:hint="eastAsia"/>
          <w:kern w:val="0"/>
          <w:sz w:val="28"/>
          <w:szCs w:val="28"/>
        </w:rPr>
        <w:t>年</w:t>
      </w:r>
      <w:r>
        <w:rPr>
          <w:rFonts w:ascii="Times New Roman" w:eastAsia="宋体" w:hAnsi="Times New Roman" w:cs="Times New Roman"/>
          <w:kern w:val="0"/>
          <w:sz w:val="28"/>
          <w:szCs w:val="28"/>
        </w:rPr>
        <w:t>5</w:t>
      </w:r>
      <w:r>
        <w:rPr>
          <w:rFonts w:ascii="Times New Roman" w:eastAsia="宋体" w:hAnsi="Times New Roman" w:cs="Times New Roman" w:hint="eastAsia"/>
          <w:kern w:val="0"/>
          <w:sz w:val="28"/>
          <w:szCs w:val="28"/>
        </w:rPr>
        <w:t>月</w:t>
      </w:r>
      <w:r>
        <w:rPr>
          <w:rFonts w:ascii="Times New Roman" w:eastAsia="宋体" w:hAnsi="Times New Roman" w:cs="Times New Roman"/>
          <w:kern w:val="0"/>
          <w:sz w:val="28"/>
          <w:szCs w:val="28"/>
        </w:rPr>
        <w:t>10</w:t>
      </w:r>
      <w:r>
        <w:rPr>
          <w:rFonts w:ascii="Times New Roman" w:eastAsia="宋体" w:hAnsi="Times New Roman" w:cs="Times New Roman" w:hint="eastAsia"/>
          <w:kern w:val="0"/>
          <w:sz w:val="28"/>
          <w:szCs w:val="28"/>
        </w:rPr>
        <w:t>日监测数据（报告编号：连智检（</w:t>
      </w:r>
      <w:r>
        <w:rPr>
          <w:rFonts w:ascii="Times New Roman" w:eastAsia="宋体" w:hAnsi="Times New Roman" w:cs="Times New Roman"/>
          <w:kern w:val="0"/>
          <w:sz w:val="28"/>
          <w:szCs w:val="28"/>
        </w:rPr>
        <w:t>2021</w:t>
      </w:r>
      <w:r>
        <w:rPr>
          <w:rFonts w:ascii="Times New Roman" w:eastAsia="宋体" w:hAnsi="Times New Roman" w:cs="Times New Roman"/>
          <w:kern w:val="0"/>
          <w:sz w:val="28"/>
          <w:szCs w:val="28"/>
        </w:rPr>
        <w:t>）第</w:t>
      </w:r>
      <w:r>
        <w:rPr>
          <w:rFonts w:ascii="Times New Roman" w:eastAsia="宋体" w:hAnsi="Times New Roman" w:cs="Times New Roman"/>
          <w:kern w:val="0"/>
          <w:sz w:val="28"/>
          <w:szCs w:val="28"/>
        </w:rPr>
        <w:t>167</w:t>
      </w:r>
      <w:r>
        <w:rPr>
          <w:rFonts w:ascii="Times New Roman" w:eastAsia="宋体" w:hAnsi="Times New Roman" w:cs="Times New Roman"/>
          <w:kern w:val="0"/>
          <w:sz w:val="28"/>
          <w:szCs w:val="28"/>
        </w:rPr>
        <w:t>号</w:t>
      </w:r>
      <w:r>
        <w:rPr>
          <w:rFonts w:ascii="Times New Roman" w:eastAsia="宋体" w:hAnsi="Times New Roman" w:cs="Times New Roman" w:hint="eastAsia"/>
          <w:kern w:val="0"/>
          <w:sz w:val="28"/>
          <w:szCs w:val="28"/>
        </w:rPr>
        <w:t>）。</w:t>
      </w:r>
      <w:r>
        <w:rPr>
          <w:rFonts w:ascii="Times New Roman" w:eastAsia="宋体" w:hAnsi="Times New Roman" w:cs="Times New Roman" w:hint="eastAsia"/>
          <w:kern w:val="0"/>
          <w:sz w:val="28"/>
          <w:szCs w:val="28"/>
        </w:rPr>
        <w:t>T5</w:t>
      </w:r>
      <w:r>
        <w:rPr>
          <w:rFonts w:ascii="Times New Roman" w:eastAsia="宋体" w:hAnsi="Times New Roman" w:cs="Times New Roman" w:hint="eastAsia"/>
          <w:kern w:val="0"/>
          <w:sz w:val="28"/>
          <w:szCs w:val="28"/>
        </w:rPr>
        <w:t>、</w:t>
      </w:r>
      <w:r>
        <w:rPr>
          <w:rFonts w:ascii="Times New Roman" w:eastAsia="宋体" w:hAnsi="Times New Roman" w:cs="Times New Roman" w:hint="eastAsia"/>
          <w:kern w:val="0"/>
          <w:sz w:val="28"/>
          <w:szCs w:val="28"/>
        </w:rPr>
        <w:t>T6</w:t>
      </w:r>
      <w:r>
        <w:rPr>
          <w:rFonts w:ascii="Times New Roman" w:eastAsia="宋体" w:hAnsi="Times New Roman" w:cs="Times New Roman" w:hint="eastAsia"/>
          <w:kern w:val="0"/>
          <w:sz w:val="28"/>
          <w:szCs w:val="28"/>
        </w:rPr>
        <w:t>点位引用连云港智清环境科技有限公司监测数据（</w:t>
      </w:r>
      <w:r>
        <w:rPr>
          <w:rFonts w:ascii="Times New Roman" w:eastAsia="宋体" w:hAnsi="Times New Roman" w:cs="Times New Roman" w:hint="eastAsia"/>
          <w:sz w:val="28"/>
          <w:szCs w:val="28"/>
        </w:rPr>
        <w:t>报告编号：连智检（</w:t>
      </w:r>
      <w:r>
        <w:rPr>
          <w:rFonts w:ascii="Times New Roman" w:eastAsia="宋体" w:hAnsi="Times New Roman" w:cs="Times New Roman"/>
          <w:sz w:val="28"/>
          <w:szCs w:val="28"/>
        </w:rPr>
        <w:t>2021</w:t>
      </w:r>
      <w:r>
        <w:rPr>
          <w:rFonts w:ascii="Times New Roman" w:eastAsia="宋体" w:hAnsi="Times New Roman" w:cs="Times New Roman"/>
          <w:sz w:val="28"/>
          <w:szCs w:val="28"/>
        </w:rPr>
        <w:t>）第</w:t>
      </w:r>
      <w:r>
        <w:rPr>
          <w:rFonts w:ascii="Times New Roman" w:eastAsia="宋体" w:hAnsi="Times New Roman" w:cs="Times New Roman"/>
          <w:sz w:val="28"/>
          <w:szCs w:val="28"/>
        </w:rPr>
        <w:t>164</w:t>
      </w:r>
      <w:r>
        <w:rPr>
          <w:rFonts w:ascii="Times New Roman" w:eastAsia="宋体" w:hAnsi="Times New Roman" w:cs="Times New Roman"/>
          <w:sz w:val="28"/>
          <w:szCs w:val="28"/>
        </w:rPr>
        <w:t>号</w:t>
      </w:r>
      <w:r>
        <w:rPr>
          <w:rFonts w:ascii="Times New Roman" w:eastAsia="宋体" w:hAnsi="Times New Roman" w:cs="Times New Roman" w:hint="eastAsia"/>
          <w:kern w:val="0"/>
          <w:sz w:val="28"/>
          <w:szCs w:val="28"/>
        </w:rPr>
        <w:t>），</w:t>
      </w:r>
      <w:r>
        <w:rPr>
          <w:rFonts w:ascii="Times New Roman" w:eastAsia="宋体" w:hAnsi="Times New Roman" w:cs="Times New Roman"/>
          <w:kern w:val="0"/>
          <w:sz w:val="28"/>
          <w:szCs w:val="28"/>
        </w:rPr>
        <w:t>采样时间为</w:t>
      </w:r>
      <w:r>
        <w:rPr>
          <w:rFonts w:ascii="Times New Roman" w:eastAsia="宋体" w:hAnsi="Times New Roman" w:cs="Times New Roman"/>
          <w:kern w:val="0"/>
          <w:sz w:val="28"/>
          <w:szCs w:val="28"/>
        </w:rPr>
        <w:t>2021</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21</w:t>
      </w:r>
      <w:r>
        <w:rPr>
          <w:rFonts w:ascii="Times New Roman" w:eastAsia="宋体" w:hAnsi="Times New Roman" w:cs="Times New Roman"/>
          <w:kern w:val="0"/>
          <w:sz w:val="28"/>
          <w:szCs w:val="28"/>
        </w:rPr>
        <w:t>日</w:t>
      </w:r>
      <w:r>
        <w:rPr>
          <w:rFonts w:ascii="Times New Roman" w:eastAsia="宋体" w:hAnsi="Times New Roman" w:cs="Times New Roman" w:hint="eastAsia"/>
          <w:kern w:val="0"/>
          <w:sz w:val="28"/>
          <w:szCs w:val="28"/>
        </w:rPr>
        <w:t>，</w:t>
      </w:r>
      <w:r>
        <w:rPr>
          <w:rFonts w:ascii="Times New Roman" w:eastAsia="宋体" w:hAnsi="Times New Roman" w:cs="Times New Roman"/>
          <w:kern w:val="0"/>
          <w:sz w:val="28"/>
          <w:szCs w:val="28"/>
        </w:rPr>
        <w:t>监测一次</w:t>
      </w:r>
      <w:r>
        <w:rPr>
          <w:rFonts w:ascii="Times New Roman" w:eastAsia="宋体" w:hAnsi="Times New Roman" w:cs="Times New Roman" w:hint="eastAsia"/>
          <w:kern w:val="0"/>
          <w:sz w:val="28"/>
          <w:szCs w:val="28"/>
        </w:rPr>
        <w:t>。</w:t>
      </w:r>
    </w:p>
    <w:p w14:paraId="657B91E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采样分析方法</w:t>
      </w:r>
    </w:p>
    <w:p w14:paraId="50981B6F" w14:textId="77777777" w:rsidR="002133E3" w:rsidRDefault="00C22CFA">
      <w:pPr>
        <w:adjustRightInd w:val="0"/>
        <w:snapToGrid w:val="0"/>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按照国家环保总局颁布的《环境监测技术规范》、《环境监测分析方法》和《土壤环境质量</w:t>
      </w:r>
      <w:r>
        <w:rPr>
          <w:rFonts w:ascii="Times New Roman" w:eastAsia="宋体" w:hAnsi="Times New Roman" w:cs="Times New Roman" w:hint="eastAsia"/>
          <w:kern w:val="0"/>
          <w:sz w:val="28"/>
          <w:szCs w:val="28"/>
        </w:rPr>
        <w:t xml:space="preserve"> </w:t>
      </w:r>
      <w:r>
        <w:rPr>
          <w:rFonts w:ascii="Times New Roman" w:eastAsia="宋体" w:hAnsi="Times New Roman" w:cs="Times New Roman" w:hint="eastAsia"/>
          <w:kern w:val="0"/>
          <w:sz w:val="28"/>
          <w:szCs w:val="28"/>
        </w:rPr>
        <w:t>建设用地土壤污染风险管控标准（试行）》（</w:t>
      </w:r>
      <w:r>
        <w:rPr>
          <w:rFonts w:ascii="Times New Roman" w:eastAsia="宋体" w:hAnsi="Times New Roman" w:cs="Times New Roman" w:hint="eastAsia"/>
          <w:kern w:val="0"/>
          <w:sz w:val="28"/>
          <w:szCs w:val="28"/>
        </w:rPr>
        <w:t>GB36600-2018</w:t>
      </w:r>
      <w:r>
        <w:rPr>
          <w:rFonts w:ascii="Times New Roman" w:eastAsia="宋体" w:hAnsi="Times New Roman" w:cs="Times New Roman" w:hint="eastAsia"/>
          <w:kern w:val="0"/>
          <w:sz w:val="28"/>
          <w:szCs w:val="28"/>
        </w:rPr>
        <w:t>）等有关规定和要求执行。</w:t>
      </w:r>
    </w:p>
    <w:p w14:paraId="76616217"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现状监测结果与评价</w:t>
      </w:r>
    </w:p>
    <w:p w14:paraId="10FCF45C"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土壤监测具体结果见表</w:t>
      </w:r>
      <w:r>
        <w:rPr>
          <w:rFonts w:ascii="Times New Roman" w:eastAsia="宋体" w:hAnsi="Times New Roman" w:cs="Times New Roman"/>
          <w:kern w:val="0"/>
          <w:sz w:val="28"/>
          <w:szCs w:val="28"/>
        </w:rPr>
        <w:t>5.2-1</w:t>
      </w:r>
      <w:r>
        <w:rPr>
          <w:rFonts w:ascii="Times New Roman" w:eastAsia="宋体" w:hAnsi="Times New Roman" w:cs="Times New Roman" w:hint="eastAsia"/>
          <w:kern w:val="0"/>
          <w:sz w:val="28"/>
          <w:szCs w:val="28"/>
        </w:rPr>
        <w:t>2</w:t>
      </w:r>
      <w:r>
        <w:rPr>
          <w:rFonts w:ascii="Times New Roman" w:eastAsia="宋体" w:hAnsi="Times New Roman" w:cs="Times New Roman"/>
          <w:kern w:val="0"/>
          <w:sz w:val="28"/>
          <w:szCs w:val="28"/>
        </w:rPr>
        <w:t>。</w:t>
      </w:r>
    </w:p>
    <w:p w14:paraId="53372564" w14:textId="77777777" w:rsidR="002133E3" w:rsidRDefault="00C22CFA">
      <w:pPr>
        <w:adjustRightInd w:val="0"/>
        <w:snapToGrid w:val="0"/>
        <w:spacing w:line="52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从现状监测结果看，各层土壤各监测因子均低于《建设用地土壤污染风险管控标准》（</w:t>
      </w:r>
      <w:r>
        <w:rPr>
          <w:rFonts w:ascii="Times New Roman" w:eastAsia="宋体" w:hAnsi="Times New Roman" w:cs="Times New Roman"/>
          <w:kern w:val="0"/>
          <w:sz w:val="28"/>
          <w:szCs w:val="20"/>
        </w:rPr>
        <w:t>GB36600-2018</w:t>
      </w:r>
      <w:r>
        <w:rPr>
          <w:rFonts w:ascii="Times New Roman" w:eastAsia="宋体" w:hAnsi="Times New Roman" w:cs="Times New Roman"/>
          <w:kern w:val="0"/>
          <w:sz w:val="28"/>
          <w:szCs w:val="20"/>
        </w:rPr>
        <w:t>）中二类用地筛选值，说明该地区土壤质量较好，基本未受污染。</w:t>
      </w:r>
    </w:p>
    <w:p w14:paraId="05A26179" w14:textId="77777777" w:rsidR="002133E3" w:rsidRDefault="002133E3">
      <w:pPr>
        <w:widowControl/>
        <w:spacing w:line="500" w:lineRule="exact"/>
        <w:jc w:val="center"/>
        <w:rPr>
          <w:rFonts w:ascii="Times New Roman" w:eastAsia="宋体" w:hAnsi="Times New Roman" w:cs="Times New Roman"/>
          <w:b/>
          <w:kern w:val="0"/>
          <w:sz w:val="24"/>
          <w:szCs w:val="24"/>
        </w:rPr>
        <w:sectPr w:rsidR="002133E3">
          <w:pgSz w:w="11906" w:h="16838"/>
          <w:pgMar w:top="1134" w:right="1134" w:bottom="1134" w:left="1134" w:header="851" w:footer="992" w:gutter="0"/>
          <w:cols w:space="425"/>
          <w:docGrid w:type="lines" w:linePitch="312"/>
        </w:sectPr>
      </w:pPr>
    </w:p>
    <w:p w14:paraId="418200E6" w14:textId="77777777" w:rsidR="002133E3" w:rsidRDefault="00C22CFA">
      <w:pPr>
        <w:widowControl/>
        <w:spacing w:line="500" w:lineRule="exact"/>
        <w:jc w:val="center"/>
        <w:rPr>
          <w:rFonts w:ascii="Times New Roman" w:eastAsia="宋体" w:hAnsi="Times New Roman" w:cs="Times New Roman"/>
          <w:szCs w:val="21"/>
        </w:rPr>
      </w:pPr>
      <w:r>
        <w:rPr>
          <w:rFonts w:ascii="Times New Roman" w:eastAsia="宋体" w:hAnsi="Times New Roman" w:cs="Times New Roman"/>
          <w:b/>
          <w:kern w:val="0"/>
          <w:sz w:val="24"/>
          <w:szCs w:val="24"/>
        </w:rPr>
        <w:lastRenderedPageBreak/>
        <w:t>表</w:t>
      </w:r>
      <w:r>
        <w:rPr>
          <w:rFonts w:ascii="Times New Roman" w:eastAsia="宋体" w:hAnsi="Times New Roman" w:cs="Times New Roman"/>
          <w:b/>
          <w:kern w:val="0"/>
          <w:sz w:val="24"/>
          <w:szCs w:val="24"/>
        </w:rPr>
        <w:t>5.2-1</w:t>
      </w:r>
      <w:r>
        <w:rPr>
          <w:rFonts w:ascii="Times New Roman" w:eastAsia="宋体" w:hAnsi="Times New Roman" w:cs="Times New Roman" w:hint="eastAsia"/>
          <w:b/>
          <w:kern w:val="0"/>
          <w:sz w:val="24"/>
          <w:szCs w:val="24"/>
        </w:rPr>
        <w:t>2</w:t>
      </w:r>
      <w:r>
        <w:rPr>
          <w:rFonts w:ascii="Times New Roman" w:eastAsia="宋体" w:hAnsi="Times New Roman" w:cs="Times New Roman"/>
          <w:b/>
          <w:kern w:val="0"/>
          <w:sz w:val="24"/>
          <w:szCs w:val="24"/>
        </w:rPr>
        <w:t xml:space="preserve">  </w:t>
      </w:r>
      <w:r>
        <w:rPr>
          <w:rFonts w:ascii="Times New Roman" w:eastAsia="宋体" w:hAnsi="Times New Roman" w:cs="Times New Roman"/>
          <w:b/>
          <w:kern w:val="0"/>
          <w:sz w:val="24"/>
          <w:szCs w:val="24"/>
        </w:rPr>
        <w:t>土壤监测结果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992"/>
        <w:gridCol w:w="1134"/>
        <w:gridCol w:w="705"/>
        <w:gridCol w:w="855"/>
        <w:gridCol w:w="992"/>
        <w:gridCol w:w="846"/>
        <w:gridCol w:w="855"/>
        <w:gridCol w:w="992"/>
        <w:gridCol w:w="709"/>
        <w:gridCol w:w="885"/>
        <w:gridCol w:w="984"/>
        <w:gridCol w:w="983"/>
        <w:gridCol w:w="1123"/>
        <w:gridCol w:w="780"/>
      </w:tblGrid>
      <w:tr w:rsidR="002133E3" w14:paraId="047BDB72" w14:textId="77777777">
        <w:trPr>
          <w:trHeight w:val="300"/>
          <w:jc w:val="center"/>
        </w:trPr>
        <w:tc>
          <w:tcPr>
            <w:tcW w:w="2943" w:type="dxa"/>
            <w:gridSpan w:val="2"/>
            <w:shd w:val="clear" w:color="000000" w:fill="FFFFFF"/>
            <w:noWrap/>
            <w:vAlign w:val="center"/>
          </w:tcPr>
          <w:p w14:paraId="33695C4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采样地点</w:t>
            </w:r>
          </w:p>
        </w:tc>
        <w:tc>
          <w:tcPr>
            <w:tcW w:w="1134" w:type="dxa"/>
            <w:vMerge w:val="restart"/>
            <w:shd w:val="clear" w:color="auto" w:fill="auto"/>
            <w:vAlign w:val="center"/>
          </w:tcPr>
          <w:p w14:paraId="6C052E9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第二类用地土壤污染风险筛选值</w:t>
            </w:r>
          </w:p>
        </w:tc>
        <w:tc>
          <w:tcPr>
            <w:tcW w:w="2552" w:type="dxa"/>
            <w:gridSpan w:val="3"/>
            <w:shd w:val="clear" w:color="000000" w:fill="FFFFFF"/>
            <w:noWrap/>
            <w:vAlign w:val="center"/>
          </w:tcPr>
          <w:p w14:paraId="1DDA005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 xml:space="preserve">T1 </w:t>
            </w:r>
            <w:r>
              <w:rPr>
                <w:rFonts w:ascii="宋体" w:eastAsia="宋体" w:hAnsi="宋体" w:cs="Times New Roman" w:hint="eastAsia"/>
                <w:color w:val="000000"/>
                <w:kern w:val="0"/>
                <w:szCs w:val="21"/>
              </w:rPr>
              <w:t>罐区二三附近</w:t>
            </w:r>
          </w:p>
        </w:tc>
        <w:tc>
          <w:tcPr>
            <w:tcW w:w="2693" w:type="dxa"/>
            <w:gridSpan w:val="3"/>
            <w:shd w:val="clear" w:color="000000" w:fill="FFFFFF"/>
            <w:noWrap/>
            <w:vAlign w:val="center"/>
          </w:tcPr>
          <w:p w14:paraId="4F4B282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T3</w:t>
            </w:r>
            <w:r>
              <w:rPr>
                <w:rFonts w:ascii="宋体" w:eastAsia="宋体" w:hAnsi="宋体" w:cs="Times New Roman" w:hint="eastAsia"/>
                <w:color w:val="000000"/>
                <w:kern w:val="0"/>
                <w:szCs w:val="21"/>
              </w:rPr>
              <w:t>污水站集水池附近</w:t>
            </w:r>
          </w:p>
        </w:tc>
        <w:tc>
          <w:tcPr>
            <w:tcW w:w="2578" w:type="dxa"/>
            <w:gridSpan w:val="3"/>
            <w:shd w:val="clear" w:color="000000" w:fill="FFFFFF"/>
            <w:noWrap/>
            <w:vAlign w:val="center"/>
          </w:tcPr>
          <w:p w14:paraId="114F216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T2 5</w:t>
            </w:r>
            <w:r>
              <w:rPr>
                <w:rFonts w:ascii="宋体" w:eastAsia="宋体" w:hAnsi="宋体" w:cs="Times New Roman" w:hint="eastAsia"/>
                <w:color w:val="000000"/>
                <w:kern w:val="0"/>
                <w:szCs w:val="21"/>
              </w:rPr>
              <w:t>万吨酒精蒸馏及</w:t>
            </w:r>
            <w:r>
              <w:rPr>
                <w:rFonts w:ascii="Times New Roman" w:eastAsia="等线" w:hAnsi="Times New Roman" w:cs="Times New Roman"/>
                <w:color w:val="000000"/>
                <w:kern w:val="0"/>
                <w:szCs w:val="21"/>
              </w:rPr>
              <w:t>6</w:t>
            </w:r>
            <w:r>
              <w:rPr>
                <w:rFonts w:ascii="宋体" w:eastAsia="宋体" w:hAnsi="宋体" w:cs="Times New Roman" w:hint="eastAsia"/>
                <w:color w:val="000000"/>
                <w:kern w:val="0"/>
                <w:szCs w:val="21"/>
              </w:rPr>
              <w:t>万吨无水酒精联合装置</w:t>
            </w:r>
          </w:p>
        </w:tc>
        <w:tc>
          <w:tcPr>
            <w:tcW w:w="983" w:type="dxa"/>
            <w:shd w:val="clear" w:color="000000" w:fill="FFFFFF"/>
            <w:noWrap/>
            <w:vAlign w:val="center"/>
          </w:tcPr>
          <w:p w14:paraId="23C134B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T4</w:t>
            </w:r>
            <w:r>
              <w:rPr>
                <w:rFonts w:ascii="宋体" w:eastAsia="宋体" w:hAnsi="宋体" w:cs="Times New Roman" w:hint="eastAsia"/>
                <w:color w:val="000000"/>
                <w:kern w:val="0"/>
                <w:szCs w:val="21"/>
              </w:rPr>
              <w:t>危废库附近</w:t>
            </w:r>
          </w:p>
        </w:tc>
        <w:tc>
          <w:tcPr>
            <w:tcW w:w="1123" w:type="dxa"/>
            <w:shd w:val="clear" w:color="000000" w:fill="FFFFFF"/>
            <w:vAlign w:val="center"/>
          </w:tcPr>
          <w:p w14:paraId="461081E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T5</w:t>
            </w:r>
            <w:r>
              <w:rPr>
                <w:rFonts w:ascii="宋体" w:eastAsia="宋体" w:hAnsi="宋体" w:cs="Times New Roman" w:hint="eastAsia"/>
                <w:color w:val="000000"/>
                <w:kern w:val="0"/>
                <w:szCs w:val="21"/>
              </w:rPr>
              <w:t>德友精工附近</w:t>
            </w:r>
          </w:p>
        </w:tc>
        <w:tc>
          <w:tcPr>
            <w:tcW w:w="780" w:type="dxa"/>
            <w:shd w:val="clear" w:color="000000" w:fill="FFFFFF"/>
            <w:vAlign w:val="center"/>
          </w:tcPr>
          <w:p w14:paraId="0254A64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T6</w:t>
            </w:r>
            <w:r>
              <w:rPr>
                <w:rFonts w:ascii="宋体" w:eastAsia="宋体" w:hAnsi="宋体" w:cs="Times New Roman" w:hint="eastAsia"/>
                <w:color w:val="000000"/>
                <w:kern w:val="0"/>
                <w:szCs w:val="21"/>
              </w:rPr>
              <w:t>园区内</w:t>
            </w:r>
          </w:p>
        </w:tc>
      </w:tr>
      <w:tr w:rsidR="002133E3" w14:paraId="28BF97BA" w14:textId="77777777">
        <w:trPr>
          <w:trHeight w:val="285"/>
          <w:jc w:val="center"/>
        </w:trPr>
        <w:tc>
          <w:tcPr>
            <w:tcW w:w="2943" w:type="dxa"/>
            <w:gridSpan w:val="2"/>
            <w:shd w:val="clear" w:color="000000" w:fill="FFFFFF"/>
            <w:noWrap/>
            <w:vAlign w:val="center"/>
          </w:tcPr>
          <w:p w14:paraId="1E9E5C3E"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采样深度（</w:t>
            </w:r>
            <w:r>
              <w:rPr>
                <w:rFonts w:ascii="Times New Roman" w:eastAsia="宋体" w:hAnsi="Times New Roman" w:cs="Times New Roman"/>
                <w:color w:val="000000"/>
                <w:kern w:val="0"/>
                <w:szCs w:val="21"/>
              </w:rPr>
              <w:t>cm</w:t>
            </w:r>
            <w:r>
              <w:rPr>
                <w:rFonts w:ascii="宋体" w:eastAsia="宋体" w:hAnsi="宋体" w:cs="宋体" w:hint="eastAsia"/>
                <w:color w:val="000000"/>
                <w:kern w:val="0"/>
                <w:szCs w:val="21"/>
              </w:rPr>
              <w:t>）</w:t>
            </w:r>
          </w:p>
        </w:tc>
        <w:tc>
          <w:tcPr>
            <w:tcW w:w="1134" w:type="dxa"/>
            <w:vMerge/>
            <w:vAlign w:val="center"/>
          </w:tcPr>
          <w:p w14:paraId="3C4566FE" w14:textId="77777777" w:rsidR="002133E3" w:rsidRDefault="002133E3">
            <w:pPr>
              <w:widowControl/>
              <w:jc w:val="left"/>
              <w:rPr>
                <w:rFonts w:ascii="宋体" w:eastAsia="宋体" w:hAnsi="宋体" w:cs="宋体"/>
                <w:color w:val="000000"/>
                <w:kern w:val="0"/>
                <w:szCs w:val="21"/>
              </w:rPr>
            </w:pPr>
          </w:p>
        </w:tc>
        <w:tc>
          <w:tcPr>
            <w:tcW w:w="705" w:type="dxa"/>
            <w:shd w:val="clear" w:color="000000" w:fill="FFFFFF"/>
            <w:noWrap/>
            <w:vAlign w:val="center"/>
          </w:tcPr>
          <w:p w14:paraId="4D8CFCD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0~50</w:t>
            </w:r>
          </w:p>
        </w:tc>
        <w:tc>
          <w:tcPr>
            <w:tcW w:w="855" w:type="dxa"/>
            <w:shd w:val="clear" w:color="000000" w:fill="FFFFFF"/>
            <w:noWrap/>
            <w:vAlign w:val="center"/>
          </w:tcPr>
          <w:p w14:paraId="34CDCA0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50~150</w:t>
            </w:r>
          </w:p>
        </w:tc>
        <w:tc>
          <w:tcPr>
            <w:tcW w:w="992" w:type="dxa"/>
            <w:shd w:val="clear" w:color="000000" w:fill="FFFFFF"/>
            <w:noWrap/>
            <w:vAlign w:val="center"/>
          </w:tcPr>
          <w:p w14:paraId="55CC78A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150~300</w:t>
            </w:r>
          </w:p>
        </w:tc>
        <w:tc>
          <w:tcPr>
            <w:tcW w:w="846" w:type="dxa"/>
            <w:shd w:val="clear" w:color="000000" w:fill="FFFFFF"/>
            <w:noWrap/>
            <w:vAlign w:val="center"/>
          </w:tcPr>
          <w:p w14:paraId="203CD5F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0~50</w:t>
            </w:r>
          </w:p>
        </w:tc>
        <w:tc>
          <w:tcPr>
            <w:tcW w:w="855" w:type="dxa"/>
            <w:shd w:val="clear" w:color="000000" w:fill="FFFFFF"/>
            <w:noWrap/>
            <w:vAlign w:val="center"/>
          </w:tcPr>
          <w:p w14:paraId="58EA1D6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50~150</w:t>
            </w:r>
          </w:p>
        </w:tc>
        <w:tc>
          <w:tcPr>
            <w:tcW w:w="992" w:type="dxa"/>
            <w:shd w:val="clear" w:color="000000" w:fill="FFFFFF"/>
            <w:noWrap/>
            <w:vAlign w:val="center"/>
          </w:tcPr>
          <w:p w14:paraId="2876F81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150~300</w:t>
            </w:r>
          </w:p>
        </w:tc>
        <w:tc>
          <w:tcPr>
            <w:tcW w:w="709" w:type="dxa"/>
            <w:shd w:val="clear" w:color="000000" w:fill="FFFFFF"/>
            <w:noWrap/>
            <w:vAlign w:val="center"/>
          </w:tcPr>
          <w:p w14:paraId="77189E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0~50</w:t>
            </w:r>
          </w:p>
        </w:tc>
        <w:tc>
          <w:tcPr>
            <w:tcW w:w="885" w:type="dxa"/>
            <w:shd w:val="clear" w:color="000000" w:fill="FFFFFF"/>
            <w:noWrap/>
            <w:vAlign w:val="center"/>
          </w:tcPr>
          <w:p w14:paraId="067F3F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50~150</w:t>
            </w:r>
          </w:p>
        </w:tc>
        <w:tc>
          <w:tcPr>
            <w:tcW w:w="984" w:type="dxa"/>
            <w:shd w:val="clear" w:color="000000" w:fill="FFFFFF"/>
            <w:noWrap/>
            <w:vAlign w:val="center"/>
          </w:tcPr>
          <w:p w14:paraId="5AB31D6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150~300</w:t>
            </w:r>
          </w:p>
        </w:tc>
        <w:tc>
          <w:tcPr>
            <w:tcW w:w="983" w:type="dxa"/>
            <w:shd w:val="clear" w:color="000000" w:fill="FFFFFF"/>
            <w:noWrap/>
            <w:vAlign w:val="center"/>
          </w:tcPr>
          <w:p w14:paraId="247D1DA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0~20</w:t>
            </w:r>
          </w:p>
        </w:tc>
        <w:tc>
          <w:tcPr>
            <w:tcW w:w="1123" w:type="dxa"/>
            <w:shd w:val="clear" w:color="000000" w:fill="FFFFFF"/>
            <w:noWrap/>
            <w:vAlign w:val="center"/>
          </w:tcPr>
          <w:p w14:paraId="6EE7E3A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0~50</w:t>
            </w:r>
          </w:p>
        </w:tc>
        <w:tc>
          <w:tcPr>
            <w:tcW w:w="780" w:type="dxa"/>
            <w:shd w:val="clear" w:color="000000" w:fill="FFFFFF"/>
            <w:noWrap/>
            <w:vAlign w:val="center"/>
          </w:tcPr>
          <w:p w14:paraId="5114DF1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0~50</w:t>
            </w:r>
          </w:p>
        </w:tc>
      </w:tr>
      <w:tr w:rsidR="002133E3" w14:paraId="4201F40B" w14:textId="77777777">
        <w:trPr>
          <w:trHeight w:val="285"/>
          <w:jc w:val="center"/>
        </w:trPr>
        <w:tc>
          <w:tcPr>
            <w:tcW w:w="1951" w:type="dxa"/>
            <w:shd w:val="clear" w:color="000000" w:fill="FFFFFF"/>
            <w:noWrap/>
            <w:vAlign w:val="center"/>
          </w:tcPr>
          <w:p w14:paraId="592C85A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汞</w:t>
            </w:r>
          </w:p>
        </w:tc>
        <w:tc>
          <w:tcPr>
            <w:tcW w:w="992" w:type="dxa"/>
            <w:shd w:val="clear" w:color="000000" w:fill="FFFFFF"/>
            <w:noWrap/>
            <w:vAlign w:val="center"/>
          </w:tcPr>
          <w:p w14:paraId="1C100B4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2E8E1BD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38</w:t>
            </w:r>
          </w:p>
        </w:tc>
        <w:tc>
          <w:tcPr>
            <w:tcW w:w="705" w:type="dxa"/>
            <w:shd w:val="clear" w:color="000000" w:fill="FFFFFF"/>
            <w:noWrap/>
            <w:vAlign w:val="center"/>
          </w:tcPr>
          <w:p w14:paraId="1CCF71B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0.04</w:t>
            </w:r>
          </w:p>
        </w:tc>
        <w:tc>
          <w:tcPr>
            <w:tcW w:w="855" w:type="dxa"/>
            <w:shd w:val="clear" w:color="000000" w:fill="FFFFFF"/>
            <w:noWrap/>
            <w:vAlign w:val="center"/>
          </w:tcPr>
          <w:p w14:paraId="5D49FBB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0.144</w:t>
            </w:r>
          </w:p>
        </w:tc>
        <w:tc>
          <w:tcPr>
            <w:tcW w:w="992" w:type="dxa"/>
            <w:shd w:val="clear" w:color="000000" w:fill="FFFFFF"/>
            <w:noWrap/>
            <w:vAlign w:val="center"/>
          </w:tcPr>
          <w:p w14:paraId="7A4AF9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0.07</w:t>
            </w:r>
          </w:p>
        </w:tc>
        <w:tc>
          <w:tcPr>
            <w:tcW w:w="846" w:type="dxa"/>
            <w:shd w:val="clear" w:color="000000" w:fill="FFFFFF"/>
            <w:noWrap/>
            <w:vAlign w:val="center"/>
          </w:tcPr>
          <w:p w14:paraId="2957F81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0.039</w:t>
            </w:r>
          </w:p>
        </w:tc>
        <w:tc>
          <w:tcPr>
            <w:tcW w:w="855" w:type="dxa"/>
            <w:shd w:val="clear" w:color="000000" w:fill="FFFFFF"/>
            <w:noWrap/>
            <w:vAlign w:val="center"/>
          </w:tcPr>
          <w:p w14:paraId="2ED4AF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0.036</w:t>
            </w:r>
          </w:p>
        </w:tc>
        <w:tc>
          <w:tcPr>
            <w:tcW w:w="992" w:type="dxa"/>
            <w:shd w:val="clear" w:color="000000" w:fill="FFFFFF"/>
            <w:noWrap/>
            <w:vAlign w:val="center"/>
          </w:tcPr>
          <w:p w14:paraId="3050DC4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0.036</w:t>
            </w:r>
          </w:p>
        </w:tc>
        <w:tc>
          <w:tcPr>
            <w:tcW w:w="709" w:type="dxa"/>
            <w:shd w:val="clear" w:color="000000" w:fill="FFFFFF"/>
            <w:noWrap/>
            <w:vAlign w:val="center"/>
          </w:tcPr>
          <w:p w14:paraId="291FCA4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0.027</w:t>
            </w:r>
          </w:p>
        </w:tc>
        <w:tc>
          <w:tcPr>
            <w:tcW w:w="885" w:type="dxa"/>
            <w:shd w:val="clear" w:color="000000" w:fill="FFFFFF"/>
            <w:noWrap/>
            <w:vAlign w:val="center"/>
          </w:tcPr>
          <w:p w14:paraId="43A056B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0.033</w:t>
            </w:r>
          </w:p>
        </w:tc>
        <w:tc>
          <w:tcPr>
            <w:tcW w:w="984" w:type="dxa"/>
            <w:shd w:val="clear" w:color="000000" w:fill="FFFFFF"/>
            <w:noWrap/>
            <w:vAlign w:val="center"/>
          </w:tcPr>
          <w:p w14:paraId="792AAE0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0.026</w:t>
            </w:r>
          </w:p>
        </w:tc>
        <w:tc>
          <w:tcPr>
            <w:tcW w:w="983" w:type="dxa"/>
            <w:shd w:val="clear" w:color="000000" w:fill="FFFFFF"/>
            <w:noWrap/>
            <w:vAlign w:val="center"/>
          </w:tcPr>
          <w:p w14:paraId="756301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0.042</w:t>
            </w:r>
          </w:p>
        </w:tc>
        <w:tc>
          <w:tcPr>
            <w:tcW w:w="1123" w:type="dxa"/>
            <w:shd w:val="clear" w:color="000000" w:fill="FFFFFF"/>
            <w:vAlign w:val="center"/>
          </w:tcPr>
          <w:p w14:paraId="7236FC1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0.068</w:t>
            </w:r>
          </w:p>
        </w:tc>
        <w:tc>
          <w:tcPr>
            <w:tcW w:w="780" w:type="dxa"/>
            <w:shd w:val="clear" w:color="000000" w:fill="FFFFFF"/>
            <w:vAlign w:val="center"/>
          </w:tcPr>
          <w:p w14:paraId="42729D1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0.071</w:t>
            </w:r>
          </w:p>
        </w:tc>
      </w:tr>
      <w:tr w:rsidR="002133E3" w14:paraId="3E3A5B81" w14:textId="77777777">
        <w:trPr>
          <w:trHeight w:val="285"/>
          <w:jc w:val="center"/>
        </w:trPr>
        <w:tc>
          <w:tcPr>
            <w:tcW w:w="1951" w:type="dxa"/>
            <w:shd w:val="clear" w:color="000000" w:fill="FFFFFF"/>
            <w:noWrap/>
            <w:vAlign w:val="center"/>
          </w:tcPr>
          <w:p w14:paraId="5FFC1EAA"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砷</w:t>
            </w:r>
          </w:p>
        </w:tc>
        <w:tc>
          <w:tcPr>
            <w:tcW w:w="992" w:type="dxa"/>
            <w:shd w:val="clear" w:color="000000" w:fill="FFFFFF"/>
            <w:noWrap/>
            <w:vAlign w:val="center"/>
          </w:tcPr>
          <w:p w14:paraId="663143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0AF1237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60</w:t>
            </w:r>
          </w:p>
        </w:tc>
        <w:tc>
          <w:tcPr>
            <w:tcW w:w="705" w:type="dxa"/>
            <w:shd w:val="clear" w:color="000000" w:fill="FFFFFF"/>
            <w:noWrap/>
            <w:vAlign w:val="center"/>
          </w:tcPr>
          <w:p w14:paraId="5FE980C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6.06</w:t>
            </w:r>
          </w:p>
        </w:tc>
        <w:tc>
          <w:tcPr>
            <w:tcW w:w="855" w:type="dxa"/>
            <w:shd w:val="clear" w:color="000000" w:fill="FFFFFF"/>
            <w:noWrap/>
            <w:vAlign w:val="center"/>
          </w:tcPr>
          <w:p w14:paraId="1BFE9DF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7.68</w:t>
            </w:r>
          </w:p>
        </w:tc>
        <w:tc>
          <w:tcPr>
            <w:tcW w:w="992" w:type="dxa"/>
            <w:shd w:val="clear" w:color="000000" w:fill="FFFFFF"/>
            <w:noWrap/>
            <w:vAlign w:val="center"/>
          </w:tcPr>
          <w:p w14:paraId="11FE419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10.6</w:t>
            </w:r>
          </w:p>
        </w:tc>
        <w:tc>
          <w:tcPr>
            <w:tcW w:w="846" w:type="dxa"/>
            <w:shd w:val="clear" w:color="000000" w:fill="FFFFFF"/>
            <w:noWrap/>
            <w:vAlign w:val="center"/>
          </w:tcPr>
          <w:p w14:paraId="62269D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1.27</w:t>
            </w:r>
          </w:p>
        </w:tc>
        <w:tc>
          <w:tcPr>
            <w:tcW w:w="855" w:type="dxa"/>
            <w:shd w:val="clear" w:color="000000" w:fill="FFFFFF"/>
            <w:noWrap/>
            <w:vAlign w:val="center"/>
          </w:tcPr>
          <w:p w14:paraId="7E748C4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1.78</w:t>
            </w:r>
          </w:p>
        </w:tc>
        <w:tc>
          <w:tcPr>
            <w:tcW w:w="992" w:type="dxa"/>
            <w:shd w:val="clear" w:color="000000" w:fill="FFFFFF"/>
            <w:noWrap/>
            <w:vAlign w:val="center"/>
          </w:tcPr>
          <w:p w14:paraId="5835EDF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5.02</w:t>
            </w:r>
          </w:p>
        </w:tc>
        <w:tc>
          <w:tcPr>
            <w:tcW w:w="709" w:type="dxa"/>
            <w:shd w:val="clear" w:color="000000" w:fill="FFFFFF"/>
            <w:noWrap/>
            <w:vAlign w:val="center"/>
          </w:tcPr>
          <w:p w14:paraId="27F6C78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4.29</w:t>
            </w:r>
          </w:p>
        </w:tc>
        <w:tc>
          <w:tcPr>
            <w:tcW w:w="885" w:type="dxa"/>
            <w:shd w:val="clear" w:color="000000" w:fill="FFFFFF"/>
            <w:noWrap/>
            <w:vAlign w:val="center"/>
          </w:tcPr>
          <w:p w14:paraId="4150E1E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5.24</w:t>
            </w:r>
          </w:p>
        </w:tc>
        <w:tc>
          <w:tcPr>
            <w:tcW w:w="984" w:type="dxa"/>
            <w:shd w:val="clear" w:color="000000" w:fill="FFFFFF"/>
            <w:noWrap/>
            <w:vAlign w:val="center"/>
          </w:tcPr>
          <w:p w14:paraId="56F82C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4.05</w:t>
            </w:r>
          </w:p>
        </w:tc>
        <w:tc>
          <w:tcPr>
            <w:tcW w:w="983" w:type="dxa"/>
            <w:shd w:val="clear" w:color="000000" w:fill="FFFFFF"/>
            <w:noWrap/>
            <w:vAlign w:val="center"/>
          </w:tcPr>
          <w:p w14:paraId="09C35D1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3.16</w:t>
            </w:r>
          </w:p>
        </w:tc>
        <w:tc>
          <w:tcPr>
            <w:tcW w:w="1123" w:type="dxa"/>
            <w:shd w:val="clear" w:color="000000" w:fill="FFFFFF"/>
            <w:vAlign w:val="center"/>
          </w:tcPr>
          <w:p w14:paraId="26D8062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5.23</w:t>
            </w:r>
          </w:p>
        </w:tc>
        <w:tc>
          <w:tcPr>
            <w:tcW w:w="780" w:type="dxa"/>
            <w:shd w:val="clear" w:color="000000" w:fill="FFFFFF"/>
            <w:vAlign w:val="center"/>
          </w:tcPr>
          <w:p w14:paraId="487150E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5.1</w:t>
            </w:r>
          </w:p>
        </w:tc>
      </w:tr>
      <w:tr w:rsidR="002133E3" w14:paraId="32BEC397" w14:textId="77777777">
        <w:trPr>
          <w:trHeight w:val="285"/>
          <w:jc w:val="center"/>
        </w:trPr>
        <w:tc>
          <w:tcPr>
            <w:tcW w:w="1951" w:type="dxa"/>
            <w:shd w:val="clear" w:color="000000" w:fill="FFFFFF"/>
            <w:noWrap/>
            <w:vAlign w:val="center"/>
          </w:tcPr>
          <w:p w14:paraId="5FD541A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铜</w:t>
            </w:r>
          </w:p>
        </w:tc>
        <w:tc>
          <w:tcPr>
            <w:tcW w:w="992" w:type="dxa"/>
            <w:shd w:val="clear" w:color="000000" w:fill="FFFFFF"/>
            <w:noWrap/>
            <w:vAlign w:val="center"/>
          </w:tcPr>
          <w:p w14:paraId="13454D3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64AFCF6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18000</w:t>
            </w:r>
          </w:p>
        </w:tc>
        <w:tc>
          <w:tcPr>
            <w:tcW w:w="705" w:type="dxa"/>
            <w:shd w:val="clear" w:color="000000" w:fill="FFFFFF"/>
            <w:noWrap/>
            <w:vAlign w:val="center"/>
          </w:tcPr>
          <w:p w14:paraId="47B4AAD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17</w:t>
            </w:r>
          </w:p>
        </w:tc>
        <w:tc>
          <w:tcPr>
            <w:tcW w:w="855" w:type="dxa"/>
            <w:shd w:val="clear" w:color="000000" w:fill="FFFFFF"/>
            <w:noWrap/>
            <w:vAlign w:val="center"/>
          </w:tcPr>
          <w:p w14:paraId="790BB13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18</w:t>
            </w:r>
          </w:p>
        </w:tc>
        <w:tc>
          <w:tcPr>
            <w:tcW w:w="992" w:type="dxa"/>
            <w:shd w:val="clear" w:color="000000" w:fill="FFFFFF"/>
            <w:noWrap/>
            <w:vAlign w:val="center"/>
          </w:tcPr>
          <w:p w14:paraId="509A1EB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24</w:t>
            </w:r>
          </w:p>
        </w:tc>
        <w:tc>
          <w:tcPr>
            <w:tcW w:w="846" w:type="dxa"/>
            <w:shd w:val="clear" w:color="000000" w:fill="FFFFFF"/>
            <w:noWrap/>
            <w:vAlign w:val="center"/>
          </w:tcPr>
          <w:p w14:paraId="439817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w:t>
            </w:r>
          </w:p>
        </w:tc>
        <w:tc>
          <w:tcPr>
            <w:tcW w:w="855" w:type="dxa"/>
            <w:shd w:val="clear" w:color="000000" w:fill="FFFFFF"/>
            <w:noWrap/>
            <w:vAlign w:val="center"/>
          </w:tcPr>
          <w:p w14:paraId="3CBA75F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w:t>
            </w:r>
          </w:p>
        </w:tc>
        <w:tc>
          <w:tcPr>
            <w:tcW w:w="992" w:type="dxa"/>
            <w:shd w:val="clear" w:color="000000" w:fill="FFFFFF"/>
            <w:noWrap/>
            <w:vAlign w:val="center"/>
          </w:tcPr>
          <w:p w14:paraId="584C6F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w:t>
            </w:r>
          </w:p>
        </w:tc>
        <w:tc>
          <w:tcPr>
            <w:tcW w:w="709" w:type="dxa"/>
            <w:shd w:val="clear" w:color="000000" w:fill="FFFFFF"/>
            <w:noWrap/>
            <w:vAlign w:val="center"/>
          </w:tcPr>
          <w:p w14:paraId="0769FAF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11</w:t>
            </w:r>
          </w:p>
        </w:tc>
        <w:tc>
          <w:tcPr>
            <w:tcW w:w="885" w:type="dxa"/>
            <w:shd w:val="clear" w:color="000000" w:fill="FFFFFF"/>
            <w:noWrap/>
            <w:vAlign w:val="center"/>
          </w:tcPr>
          <w:p w14:paraId="07CDBA5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w:t>
            </w:r>
          </w:p>
        </w:tc>
        <w:tc>
          <w:tcPr>
            <w:tcW w:w="984" w:type="dxa"/>
            <w:shd w:val="clear" w:color="000000" w:fill="FFFFFF"/>
            <w:noWrap/>
            <w:vAlign w:val="center"/>
          </w:tcPr>
          <w:p w14:paraId="7A7333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w:t>
            </w:r>
          </w:p>
        </w:tc>
        <w:tc>
          <w:tcPr>
            <w:tcW w:w="983" w:type="dxa"/>
            <w:shd w:val="clear" w:color="000000" w:fill="FFFFFF"/>
            <w:noWrap/>
            <w:vAlign w:val="center"/>
          </w:tcPr>
          <w:p w14:paraId="307BC0C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30</w:t>
            </w:r>
          </w:p>
        </w:tc>
        <w:tc>
          <w:tcPr>
            <w:tcW w:w="1123" w:type="dxa"/>
            <w:shd w:val="clear" w:color="000000" w:fill="FFFFFF"/>
            <w:vAlign w:val="center"/>
          </w:tcPr>
          <w:p w14:paraId="169ED6B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65</w:t>
            </w:r>
          </w:p>
        </w:tc>
        <w:tc>
          <w:tcPr>
            <w:tcW w:w="780" w:type="dxa"/>
            <w:shd w:val="clear" w:color="000000" w:fill="FFFFFF"/>
            <w:vAlign w:val="center"/>
          </w:tcPr>
          <w:p w14:paraId="66A067E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24</w:t>
            </w:r>
          </w:p>
        </w:tc>
      </w:tr>
      <w:tr w:rsidR="002133E3" w14:paraId="58398450" w14:textId="77777777">
        <w:trPr>
          <w:trHeight w:val="285"/>
          <w:jc w:val="center"/>
        </w:trPr>
        <w:tc>
          <w:tcPr>
            <w:tcW w:w="1951" w:type="dxa"/>
            <w:shd w:val="clear" w:color="000000" w:fill="FFFFFF"/>
            <w:noWrap/>
            <w:vAlign w:val="center"/>
          </w:tcPr>
          <w:p w14:paraId="5B6233F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铅</w:t>
            </w:r>
          </w:p>
        </w:tc>
        <w:tc>
          <w:tcPr>
            <w:tcW w:w="992" w:type="dxa"/>
            <w:shd w:val="clear" w:color="000000" w:fill="FFFFFF"/>
            <w:noWrap/>
            <w:vAlign w:val="center"/>
          </w:tcPr>
          <w:p w14:paraId="616FBEA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16F2E50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800</w:t>
            </w:r>
          </w:p>
        </w:tc>
        <w:tc>
          <w:tcPr>
            <w:tcW w:w="705" w:type="dxa"/>
            <w:shd w:val="clear" w:color="000000" w:fill="FFFFFF"/>
            <w:noWrap/>
            <w:vAlign w:val="center"/>
          </w:tcPr>
          <w:p w14:paraId="7F49839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14.1</w:t>
            </w:r>
          </w:p>
        </w:tc>
        <w:tc>
          <w:tcPr>
            <w:tcW w:w="855" w:type="dxa"/>
            <w:shd w:val="clear" w:color="000000" w:fill="FFFFFF"/>
            <w:noWrap/>
            <w:vAlign w:val="center"/>
          </w:tcPr>
          <w:p w14:paraId="4249A18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13.2</w:t>
            </w:r>
          </w:p>
        </w:tc>
        <w:tc>
          <w:tcPr>
            <w:tcW w:w="992" w:type="dxa"/>
            <w:shd w:val="clear" w:color="000000" w:fill="FFFFFF"/>
            <w:noWrap/>
            <w:vAlign w:val="center"/>
          </w:tcPr>
          <w:p w14:paraId="1DC68D1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11</w:t>
            </w:r>
          </w:p>
        </w:tc>
        <w:tc>
          <w:tcPr>
            <w:tcW w:w="846" w:type="dxa"/>
            <w:shd w:val="clear" w:color="000000" w:fill="FFFFFF"/>
            <w:noWrap/>
            <w:vAlign w:val="center"/>
          </w:tcPr>
          <w:p w14:paraId="651F650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31.3</w:t>
            </w:r>
          </w:p>
        </w:tc>
        <w:tc>
          <w:tcPr>
            <w:tcW w:w="855" w:type="dxa"/>
            <w:shd w:val="clear" w:color="000000" w:fill="FFFFFF"/>
            <w:noWrap/>
            <w:vAlign w:val="center"/>
          </w:tcPr>
          <w:p w14:paraId="0074785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41.7</w:t>
            </w:r>
          </w:p>
        </w:tc>
        <w:tc>
          <w:tcPr>
            <w:tcW w:w="992" w:type="dxa"/>
            <w:shd w:val="clear" w:color="000000" w:fill="FFFFFF"/>
            <w:noWrap/>
            <w:vAlign w:val="center"/>
          </w:tcPr>
          <w:p w14:paraId="0F38980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25.3</w:t>
            </w:r>
          </w:p>
        </w:tc>
        <w:tc>
          <w:tcPr>
            <w:tcW w:w="709" w:type="dxa"/>
            <w:shd w:val="clear" w:color="000000" w:fill="FFFFFF"/>
            <w:noWrap/>
            <w:vAlign w:val="center"/>
          </w:tcPr>
          <w:p w14:paraId="092D7E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20.5</w:t>
            </w:r>
          </w:p>
        </w:tc>
        <w:tc>
          <w:tcPr>
            <w:tcW w:w="885" w:type="dxa"/>
            <w:shd w:val="clear" w:color="000000" w:fill="FFFFFF"/>
            <w:noWrap/>
            <w:vAlign w:val="center"/>
          </w:tcPr>
          <w:p w14:paraId="315E4CB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w:t>
            </w:r>
          </w:p>
        </w:tc>
        <w:tc>
          <w:tcPr>
            <w:tcW w:w="984" w:type="dxa"/>
            <w:shd w:val="clear" w:color="000000" w:fill="FFFFFF"/>
            <w:noWrap/>
            <w:vAlign w:val="center"/>
          </w:tcPr>
          <w:p w14:paraId="09B2199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16.2</w:t>
            </w:r>
          </w:p>
        </w:tc>
        <w:tc>
          <w:tcPr>
            <w:tcW w:w="983" w:type="dxa"/>
            <w:shd w:val="clear" w:color="000000" w:fill="FFFFFF"/>
            <w:noWrap/>
            <w:vAlign w:val="center"/>
          </w:tcPr>
          <w:p w14:paraId="108C26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14.2</w:t>
            </w:r>
          </w:p>
        </w:tc>
        <w:tc>
          <w:tcPr>
            <w:tcW w:w="1123" w:type="dxa"/>
            <w:shd w:val="clear" w:color="000000" w:fill="FFFFFF"/>
            <w:vAlign w:val="center"/>
          </w:tcPr>
          <w:p w14:paraId="6B9DD79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19.1</w:t>
            </w:r>
          </w:p>
        </w:tc>
        <w:tc>
          <w:tcPr>
            <w:tcW w:w="780" w:type="dxa"/>
            <w:shd w:val="clear" w:color="000000" w:fill="FFFFFF"/>
            <w:vAlign w:val="center"/>
          </w:tcPr>
          <w:p w14:paraId="2165C4B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w:t>
            </w:r>
          </w:p>
        </w:tc>
      </w:tr>
      <w:tr w:rsidR="002133E3" w14:paraId="14DCE075" w14:textId="77777777">
        <w:trPr>
          <w:trHeight w:val="285"/>
          <w:jc w:val="center"/>
        </w:trPr>
        <w:tc>
          <w:tcPr>
            <w:tcW w:w="1951" w:type="dxa"/>
            <w:shd w:val="clear" w:color="000000" w:fill="FFFFFF"/>
            <w:noWrap/>
            <w:vAlign w:val="center"/>
          </w:tcPr>
          <w:p w14:paraId="3195E25B"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镍</w:t>
            </w:r>
          </w:p>
        </w:tc>
        <w:tc>
          <w:tcPr>
            <w:tcW w:w="992" w:type="dxa"/>
            <w:shd w:val="clear" w:color="000000" w:fill="FFFFFF"/>
            <w:noWrap/>
            <w:vAlign w:val="center"/>
          </w:tcPr>
          <w:p w14:paraId="5E19891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14ADDF0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900</w:t>
            </w:r>
          </w:p>
        </w:tc>
        <w:tc>
          <w:tcPr>
            <w:tcW w:w="705" w:type="dxa"/>
            <w:shd w:val="clear" w:color="000000" w:fill="FFFFFF"/>
            <w:noWrap/>
            <w:vAlign w:val="center"/>
          </w:tcPr>
          <w:p w14:paraId="6D51B99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35</w:t>
            </w:r>
          </w:p>
        </w:tc>
        <w:tc>
          <w:tcPr>
            <w:tcW w:w="855" w:type="dxa"/>
            <w:shd w:val="clear" w:color="000000" w:fill="FFFFFF"/>
            <w:noWrap/>
            <w:vAlign w:val="center"/>
          </w:tcPr>
          <w:p w14:paraId="734938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54</w:t>
            </w:r>
          </w:p>
        </w:tc>
        <w:tc>
          <w:tcPr>
            <w:tcW w:w="992" w:type="dxa"/>
            <w:shd w:val="clear" w:color="000000" w:fill="FFFFFF"/>
            <w:noWrap/>
            <w:vAlign w:val="center"/>
          </w:tcPr>
          <w:p w14:paraId="5B143E9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60</w:t>
            </w:r>
          </w:p>
        </w:tc>
        <w:tc>
          <w:tcPr>
            <w:tcW w:w="846" w:type="dxa"/>
            <w:shd w:val="clear" w:color="000000" w:fill="FFFFFF"/>
            <w:noWrap/>
            <w:vAlign w:val="center"/>
          </w:tcPr>
          <w:p w14:paraId="32B1793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23</w:t>
            </w:r>
          </w:p>
        </w:tc>
        <w:tc>
          <w:tcPr>
            <w:tcW w:w="855" w:type="dxa"/>
            <w:shd w:val="clear" w:color="000000" w:fill="FFFFFF"/>
            <w:noWrap/>
            <w:vAlign w:val="center"/>
          </w:tcPr>
          <w:p w14:paraId="5D84682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32</w:t>
            </w:r>
          </w:p>
        </w:tc>
        <w:tc>
          <w:tcPr>
            <w:tcW w:w="992" w:type="dxa"/>
            <w:shd w:val="clear" w:color="000000" w:fill="FFFFFF"/>
            <w:noWrap/>
            <w:vAlign w:val="center"/>
          </w:tcPr>
          <w:p w14:paraId="3B9CA85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52</w:t>
            </w:r>
          </w:p>
        </w:tc>
        <w:tc>
          <w:tcPr>
            <w:tcW w:w="709" w:type="dxa"/>
            <w:shd w:val="clear" w:color="000000" w:fill="FFFFFF"/>
            <w:noWrap/>
            <w:vAlign w:val="center"/>
          </w:tcPr>
          <w:p w14:paraId="03F1E0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46</w:t>
            </w:r>
          </w:p>
        </w:tc>
        <w:tc>
          <w:tcPr>
            <w:tcW w:w="885" w:type="dxa"/>
            <w:shd w:val="clear" w:color="000000" w:fill="FFFFFF"/>
            <w:noWrap/>
            <w:vAlign w:val="center"/>
          </w:tcPr>
          <w:p w14:paraId="713D72D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45</w:t>
            </w:r>
          </w:p>
        </w:tc>
        <w:tc>
          <w:tcPr>
            <w:tcW w:w="984" w:type="dxa"/>
            <w:shd w:val="clear" w:color="000000" w:fill="FFFFFF"/>
            <w:noWrap/>
            <w:vAlign w:val="center"/>
          </w:tcPr>
          <w:p w14:paraId="5D6CCAF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46</w:t>
            </w:r>
          </w:p>
        </w:tc>
        <w:tc>
          <w:tcPr>
            <w:tcW w:w="983" w:type="dxa"/>
            <w:shd w:val="clear" w:color="000000" w:fill="FFFFFF"/>
            <w:noWrap/>
            <w:vAlign w:val="center"/>
          </w:tcPr>
          <w:p w14:paraId="31B2A28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45</w:t>
            </w:r>
          </w:p>
        </w:tc>
        <w:tc>
          <w:tcPr>
            <w:tcW w:w="1123" w:type="dxa"/>
            <w:shd w:val="clear" w:color="000000" w:fill="FFFFFF"/>
            <w:vAlign w:val="center"/>
          </w:tcPr>
          <w:p w14:paraId="2D11A4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41</w:t>
            </w:r>
          </w:p>
        </w:tc>
        <w:tc>
          <w:tcPr>
            <w:tcW w:w="780" w:type="dxa"/>
            <w:shd w:val="clear" w:color="000000" w:fill="FFFFFF"/>
            <w:vAlign w:val="center"/>
          </w:tcPr>
          <w:p w14:paraId="18EB45A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31</w:t>
            </w:r>
          </w:p>
        </w:tc>
      </w:tr>
      <w:tr w:rsidR="002133E3" w14:paraId="65F7C0E2" w14:textId="77777777">
        <w:trPr>
          <w:trHeight w:val="285"/>
          <w:jc w:val="center"/>
        </w:trPr>
        <w:tc>
          <w:tcPr>
            <w:tcW w:w="1951" w:type="dxa"/>
            <w:shd w:val="clear" w:color="000000" w:fill="FFFFFF"/>
            <w:noWrap/>
            <w:vAlign w:val="center"/>
          </w:tcPr>
          <w:p w14:paraId="789B9D7A"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镉</w:t>
            </w:r>
          </w:p>
        </w:tc>
        <w:tc>
          <w:tcPr>
            <w:tcW w:w="992" w:type="dxa"/>
            <w:shd w:val="clear" w:color="000000" w:fill="FFFFFF"/>
            <w:noWrap/>
            <w:vAlign w:val="center"/>
          </w:tcPr>
          <w:p w14:paraId="04F53B4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4EEF99E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65</w:t>
            </w:r>
          </w:p>
        </w:tc>
        <w:tc>
          <w:tcPr>
            <w:tcW w:w="705" w:type="dxa"/>
            <w:shd w:val="clear" w:color="000000" w:fill="FFFFFF"/>
            <w:noWrap/>
            <w:vAlign w:val="center"/>
          </w:tcPr>
          <w:p w14:paraId="58F0634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0.21</w:t>
            </w:r>
          </w:p>
        </w:tc>
        <w:tc>
          <w:tcPr>
            <w:tcW w:w="855" w:type="dxa"/>
            <w:shd w:val="clear" w:color="000000" w:fill="FFFFFF"/>
            <w:noWrap/>
            <w:vAlign w:val="center"/>
          </w:tcPr>
          <w:p w14:paraId="191E4A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0.25</w:t>
            </w:r>
          </w:p>
        </w:tc>
        <w:tc>
          <w:tcPr>
            <w:tcW w:w="992" w:type="dxa"/>
            <w:shd w:val="clear" w:color="000000" w:fill="FFFFFF"/>
            <w:noWrap/>
            <w:vAlign w:val="center"/>
          </w:tcPr>
          <w:p w14:paraId="3A278AE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0.3</w:t>
            </w:r>
          </w:p>
        </w:tc>
        <w:tc>
          <w:tcPr>
            <w:tcW w:w="846" w:type="dxa"/>
            <w:shd w:val="clear" w:color="000000" w:fill="FFFFFF"/>
            <w:noWrap/>
            <w:vAlign w:val="center"/>
          </w:tcPr>
          <w:p w14:paraId="1A08E59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0.33</w:t>
            </w:r>
          </w:p>
        </w:tc>
        <w:tc>
          <w:tcPr>
            <w:tcW w:w="855" w:type="dxa"/>
            <w:shd w:val="clear" w:color="000000" w:fill="FFFFFF"/>
            <w:noWrap/>
            <w:vAlign w:val="center"/>
          </w:tcPr>
          <w:p w14:paraId="625C764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0.4</w:t>
            </w:r>
          </w:p>
        </w:tc>
        <w:tc>
          <w:tcPr>
            <w:tcW w:w="992" w:type="dxa"/>
            <w:shd w:val="clear" w:color="000000" w:fill="FFFFFF"/>
            <w:noWrap/>
            <w:vAlign w:val="center"/>
          </w:tcPr>
          <w:p w14:paraId="1032198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0.25</w:t>
            </w:r>
          </w:p>
        </w:tc>
        <w:tc>
          <w:tcPr>
            <w:tcW w:w="709" w:type="dxa"/>
            <w:shd w:val="clear" w:color="000000" w:fill="FFFFFF"/>
            <w:noWrap/>
            <w:vAlign w:val="center"/>
          </w:tcPr>
          <w:p w14:paraId="6D0AD99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0.09</w:t>
            </w:r>
          </w:p>
        </w:tc>
        <w:tc>
          <w:tcPr>
            <w:tcW w:w="885" w:type="dxa"/>
            <w:shd w:val="clear" w:color="000000" w:fill="FFFFFF"/>
            <w:noWrap/>
            <w:vAlign w:val="center"/>
          </w:tcPr>
          <w:p w14:paraId="544A458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0.07</w:t>
            </w:r>
          </w:p>
        </w:tc>
        <w:tc>
          <w:tcPr>
            <w:tcW w:w="984" w:type="dxa"/>
            <w:shd w:val="clear" w:color="000000" w:fill="FFFFFF"/>
            <w:noWrap/>
            <w:vAlign w:val="center"/>
          </w:tcPr>
          <w:p w14:paraId="4059430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0.07</w:t>
            </w:r>
          </w:p>
        </w:tc>
        <w:tc>
          <w:tcPr>
            <w:tcW w:w="983" w:type="dxa"/>
            <w:shd w:val="clear" w:color="000000" w:fill="FFFFFF"/>
            <w:noWrap/>
            <w:vAlign w:val="center"/>
          </w:tcPr>
          <w:p w14:paraId="3B6C28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0.21</w:t>
            </w:r>
          </w:p>
        </w:tc>
        <w:tc>
          <w:tcPr>
            <w:tcW w:w="1123" w:type="dxa"/>
            <w:shd w:val="clear" w:color="000000" w:fill="FFFFFF"/>
            <w:vAlign w:val="center"/>
          </w:tcPr>
          <w:p w14:paraId="3F55A86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0.35</w:t>
            </w:r>
          </w:p>
        </w:tc>
        <w:tc>
          <w:tcPr>
            <w:tcW w:w="780" w:type="dxa"/>
            <w:shd w:val="clear" w:color="000000" w:fill="FFFFFF"/>
            <w:vAlign w:val="center"/>
          </w:tcPr>
          <w:p w14:paraId="5429E30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0.5</w:t>
            </w:r>
          </w:p>
        </w:tc>
      </w:tr>
      <w:tr w:rsidR="002133E3" w14:paraId="32E89803" w14:textId="77777777">
        <w:trPr>
          <w:trHeight w:val="285"/>
          <w:jc w:val="center"/>
        </w:trPr>
        <w:tc>
          <w:tcPr>
            <w:tcW w:w="1951" w:type="dxa"/>
            <w:shd w:val="clear" w:color="000000" w:fill="FFFFFF"/>
            <w:noWrap/>
            <w:vAlign w:val="center"/>
          </w:tcPr>
          <w:p w14:paraId="6CAF9E87"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六价铬</w:t>
            </w:r>
          </w:p>
        </w:tc>
        <w:tc>
          <w:tcPr>
            <w:tcW w:w="992" w:type="dxa"/>
            <w:shd w:val="clear" w:color="000000" w:fill="FFFFFF"/>
            <w:noWrap/>
            <w:vAlign w:val="center"/>
          </w:tcPr>
          <w:p w14:paraId="2861879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409CABD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5.7</w:t>
            </w:r>
          </w:p>
        </w:tc>
        <w:tc>
          <w:tcPr>
            <w:tcW w:w="705" w:type="dxa"/>
            <w:shd w:val="clear" w:color="000000" w:fill="FFFFFF"/>
            <w:noWrap/>
            <w:vAlign w:val="center"/>
          </w:tcPr>
          <w:p w14:paraId="557A139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474EDE6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7B5E42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57FDF5B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44C785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558950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225A031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23633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24681F0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497C14F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383CCFA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FF7DD1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036F2AB3" w14:textId="77777777">
        <w:trPr>
          <w:trHeight w:val="285"/>
          <w:jc w:val="center"/>
        </w:trPr>
        <w:tc>
          <w:tcPr>
            <w:tcW w:w="1951" w:type="dxa"/>
            <w:shd w:val="clear" w:color="000000" w:fill="FFFFFF"/>
            <w:noWrap/>
            <w:vAlign w:val="center"/>
          </w:tcPr>
          <w:p w14:paraId="201C85D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氯甲烷</w:t>
            </w:r>
          </w:p>
        </w:tc>
        <w:tc>
          <w:tcPr>
            <w:tcW w:w="992" w:type="dxa"/>
            <w:shd w:val="clear" w:color="000000" w:fill="FFFFFF"/>
            <w:noWrap/>
            <w:vAlign w:val="center"/>
          </w:tcPr>
          <w:p w14:paraId="0146EE96"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193B986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37000</w:t>
            </w:r>
          </w:p>
        </w:tc>
        <w:tc>
          <w:tcPr>
            <w:tcW w:w="705" w:type="dxa"/>
            <w:shd w:val="clear" w:color="000000" w:fill="FFFFFF"/>
            <w:noWrap/>
            <w:vAlign w:val="center"/>
          </w:tcPr>
          <w:p w14:paraId="1E5386A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562BA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7AA2C5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1674E39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D4AB92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6AE86C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07475A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0ED3465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5A3E3E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21015F8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4CBABA9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32946EE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09060F2C" w14:textId="77777777">
        <w:trPr>
          <w:trHeight w:val="285"/>
          <w:jc w:val="center"/>
        </w:trPr>
        <w:tc>
          <w:tcPr>
            <w:tcW w:w="1951" w:type="dxa"/>
            <w:shd w:val="clear" w:color="000000" w:fill="FFFFFF"/>
            <w:noWrap/>
            <w:vAlign w:val="center"/>
          </w:tcPr>
          <w:p w14:paraId="5AC5D0E5"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氯乙烯</w:t>
            </w:r>
          </w:p>
        </w:tc>
        <w:tc>
          <w:tcPr>
            <w:tcW w:w="992" w:type="dxa"/>
            <w:shd w:val="clear" w:color="000000" w:fill="FFFFFF"/>
            <w:noWrap/>
            <w:vAlign w:val="center"/>
          </w:tcPr>
          <w:p w14:paraId="71EBC00C"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7C338AE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430</w:t>
            </w:r>
          </w:p>
        </w:tc>
        <w:tc>
          <w:tcPr>
            <w:tcW w:w="705" w:type="dxa"/>
            <w:shd w:val="clear" w:color="000000" w:fill="FFFFFF"/>
            <w:noWrap/>
            <w:vAlign w:val="center"/>
          </w:tcPr>
          <w:p w14:paraId="606504E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E7A004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4969DFB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7DB8383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F523DF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11F59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1AB30BB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61D52C4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4A1117A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0CC55CC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0A8502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2BBCE76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70EA8386" w14:textId="77777777">
        <w:trPr>
          <w:trHeight w:val="285"/>
          <w:jc w:val="center"/>
        </w:trPr>
        <w:tc>
          <w:tcPr>
            <w:tcW w:w="1951" w:type="dxa"/>
            <w:shd w:val="clear" w:color="000000" w:fill="FFFFFF"/>
            <w:noWrap/>
            <w:vAlign w:val="center"/>
          </w:tcPr>
          <w:p w14:paraId="4880B9A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 xml:space="preserve"> 1,1-</w:t>
            </w:r>
            <w:r>
              <w:rPr>
                <w:rFonts w:ascii="宋体" w:eastAsia="宋体" w:hAnsi="宋体" w:cs="Times New Roman" w:hint="eastAsia"/>
                <w:color w:val="000000"/>
                <w:kern w:val="0"/>
                <w:szCs w:val="21"/>
              </w:rPr>
              <w:t>二氯乙烯</w:t>
            </w:r>
          </w:p>
        </w:tc>
        <w:tc>
          <w:tcPr>
            <w:tcW w:w="992" w:type="dxa"/>
            <w:shd w:val="clear" w:color="000000" w:fill="FFFFFF"/>
            <w:noWrap/>
            <w:vAlign w:val="center"/>
          </w:tcPr>
          <w:p w14:paraId="0D5F8ED2"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25F6BC8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66000</w:t>
            </w:r>
          </w:p>
        </w:tc>
        <w:tc>
          <w:tcPr>
            <w:tcW w:w="705" w:type="dxa"/>
            <w:shd w:val="clear" w:color="000000" w:fill="FFFFFF"/>
            <w:noWrap/>
            <w:vAlign w:val="center"/>
          </w:tcPr>
          <w:p w14:paraId="05AB16E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F9B6F6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90E363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114377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45AFC0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182A99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5CB045D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1752AD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36F9681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191B79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4E1C647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324735D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7A69647A" w14:textId="77777777">
        <w:trPr>
          <w:trHeight w:val="285"/>
          <w:jc w:val="center"/>
        </w:trPr>
        <w:tc>
          <w:tcPr>
            <w:tcW w:w="1951" w:type="dxa"/>
            <w:shd w:val="clear" w:color="000000" w:fill="FFFFFF"/>
            <w:noWrap/>
            <w:vAlign w:val="center"/>
          </w:tcPr>
          <w:p w14:paraId="6FC4B1E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二氯甲烷</w:t>
            </w:r>
          </w:p>
        </w:tc>
        <w:tc>
          <w:tcPr>
            <w:tcW w:w="992" w:type="dxa"/>
            <w:shd w:val="clear" w:color="000000" w:fill="FFFFFF"/>
            <w:noWrap/>
            <w:vAlign w:val="center"/>
          </w:tcPr>
          <w:p w14:paraId="67E8C480"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67C7528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616000</w:t>
            </w:r>
          </w:p>
        </w:tc>
        <w:tc>
          <w:tcPr>
            <w:tcW w:w="705" w:type="dxa"/>
            <w:shd w:val="clear" w:color="000000" w:fill="FFFFFF"/>
            <w:noWrap/>
            <w:vAlign w:val="center"/>
          </w:tcPr>
          <w:p w14:paraId="64B580F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222297D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4271D5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B9C97F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17E11D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C7FCA7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D86EA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BE9D34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545BDFE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63A889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53AF569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899414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1D9DACBF" w14:textId="77777777">
        <w:trPr>
          <w:trHeight w:val="285"/>
          <w:jc w:val="center"/>
        </w:trPr>
        <w:tc>
          <w:tcPr>
            <w:tcW w:w="1951" w:type="dxa"/>
            <w:shd w:val="clear" w:color="000000" w:fill="FFFFFF"/>
            <w:noWrap/>
            <w:vAlign w:val="center"/>
          </w:tcPr>
          <w:p w14:paraId="3840A4EA"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反式</w:t>
            </w:r>
            <w:r>
              <w:rPr>
                <w:rFonts w:ascii="Times New Roman" w:eastAsia="宋体" w:hAnsi="Times New Roman" w:cs="Times New Roman"/>
                <w:color w:val="000000"/>
                <w:kern w:val="0"/>
                <w:szCs w:val="21"/>
              </w:rPr>
              <w:t>-1,2-</w:t>
            </w:r>
            <w:r>
              <w:rPr>
                <w:rFonts w:ascii="宋体" w:eastAsia="宋体" w:hAnsi="宋体" w:cs="宋体" w:hint="eastAsia"/>
                <w:color w:val="000000"/>
                <w:kern w:val="0"/>
                <w:szCs w:val="21"/>
              </w:rPr>
              <w:t>二氯乙烯</w:t>
            </w:r>
          </w:p>
        </w:tc>
        <w:tc>
          <w:tcPr>
            <w:tcW w:w="992" w:type="dxa"/>
            <w:shd w:val="clear" w:color="000000" w:fill="FFFFFF"/>
            <w:noWrap/>
            <w:vAlign w:val="center"/>
          </w:tcPr>
          <w:p w14:paraId="230383F2"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58E993B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54000</w:t>
            </w:r>
          </w:p>
        </w:tc>
        <w:tc>
          <w:tcPr>
            <w:tcW w:w="705" w:type="dxa"/>
            <w:shd w:val="clear" w:color="000000" w:fill="FFFFFF"/>
            <w:noWrap/>
            <w:vAlign w:val="center"/>
          </w:tcPr>
          <w:p w14:paraId="13D47AD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9788BA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009161F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6467858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727AC5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B08867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411A797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2FB1962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4ADB2A0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4E8BED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7FEE059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6959304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6BB74765" w14:textId="77777777">
        <w:trPr>
          <w:trHeight w:val="285"/>
          <w:jc w:val="center"/>
        </w:trPr>
        <w:tc>
          <w:tcPr>
            <w:tcW w:w="1951" w:type="dxa"/>
            <w:shd w:val="clear" w:color="000000" w:fill="FFFFFF"/>
            <w:noWrap/>
            <w:vAlign w:val="center"/>
          </w:tcPr>
          <w:p w14:paraId="44F8E18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1,1-</w:t>
            </w:r>
            <w:r>
              <w:rPr>
                <w:rFonts w:ascii="宋体" w:eastAsia="宋体" w:hAnsi="宋体" w:cs="Times New Roman" w:hint="eastAsia"/>
                <w:color w:val="000000"/>
                <w:kern w:val="0"/>
                <w:szCs w:val="21"/>
              </w:rPr>
              <w:t>二氯乙烷</w:t>
            </w:r>
          </w:p>
        </w:tc>
        <w:tc>
          <w:tcPr>
            <w:tcW w:w="992" w:type="dxa"/>
            <w:shd w:val="clear" w:color="000000" w:fill="FFFFFF"/>
            <w:noWrap/>
            <w:vAlign w:val="center"/>
          </w:tcPr>
          <w:p w14:paraId="1AF085C2"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1848202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9000</w:t>
            </w:r>
          </w:p>
        </w:tc>
        <w:tc>
          <w:tcPr>
            <w:tcW w:w="705" w:type="dxa"/>
            <w:shd w:val="clear" w:color="000000" w:fill="FFFFFF"/>
            <w:noWrap/>
            <w:vAlign w:val="center"/>
          </w:tcPr>
          <w:p w14:paraId="2206F06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7F41970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24AD74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5C32B25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FF16A4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0B8642F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8C3C1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48D6546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616FEB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1D9ED4D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71577F9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44C59A2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4FFC69B2" w14:textId="77777777">
        <w:trPr>
          <w:trHeight w:val="285"/>
          <w:jc w:val="center"/>
        </w:trPr>
        <w:tc>
          <w:tcPr>
            <w:tcW w:w="1951" w:type="dxa"/>
            <w:shd w:val="clear" w:color="000000" w:fill="FFFFFF"/>
            <w:noWrap/>
            <w:vAlign w:val="center"/>
          </w:tcPr>
          <w:p w14:paraId="713AD23E"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顺式</w:t>
            </w:r>
            <w:r>
              <w:rPr>
                <w:rFonts w:ascii="Times New Roman" w:eastAsia="宋体" w:hAnsi="Times New Roman" w:cs="Times New Roman"/>
                <w:color w:val="000000"/>
                <w:kern w:val="0"/>
                <w:szCs w:val="21"/>
              </w:rPr>
              <w:t>-1,2-</w:t>
            </w:r>
            <w:r>
              <w:rPr>
                <w:rFonts w:ascii="宋体" w:eastAsia="宋体" w:hAnsi="宋体" w:cs="宋体" w:hint="eastAsia"/>
                <w:color w:val="000000"/>
                <w:kern w:val="0"/>
                <w:szCs w:val="21"/>
              </w:rPr>
              <w:t>二氯乙烯</w:t>
            </w:r>
          </w:p>
        </w:tc>
        <w:tc>
          <w:tcPr>
            <w:tcW w:w="992" w:type="dxa"/>
            <w:shd w:val="clear" w:color="000000" w:fill="FFFFFF"/>
            <w:noWrap/>
            <w:vAlign w:val="center"/>
          </w:tcPr>
          <w:p w14:paraId="78A08BBB"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421D84D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596000</w:t>
            </w:r>
          </w:p>
        </w:tc>
        <w:tc>
          <w:tcPr>
            <w:tcW w:w="705" w:type="dxa"/>
            <w:shd w:val="clear" w:color="000000" w:fill="FFFFFF"/>
            <w:noWrap/>
            <w:vAlign w:val="center"/>
          </w:tcPr>
          <w:p w14:paraId="017DE1F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55324A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1B2565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61A8137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7FF827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03BE41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44AA4BA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542524E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3005869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F090C1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7920F7B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0CCE86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0AE0C6FC" w14:textId="77777777">
        <w:trPr>
          <w:trHeight w:val="285"/>
          <w:jc w:val="center"/>
        </w:trPr>
        <w:tc>
          <w:tcPr>
            <w:tcW w:w="1951" w:type="dxa"/>
            <w:shd w:val="clear" w:color="000000" w:fill="FFFFFF"/>
            <w:noWrap/>
            <w:vAlign w:val="center"/>
          </w:tcPr>
          <w:p w14:paraId="216FA6F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氯仿</w:t>
            </w:r>
          </w:p>
        </w:tc>
        <w:tc>
          <w:tcPr>
            <w:tcW w:w="992" w:type="dxa"/>
            <w:shd w:val="clear" w:color="000000" w:fill="FFFFFF"/>
            <w:noWrap/>
            <w:vAlign w:val="center"/>
          </w:tcPr>
          <w:p w14:paraId="5363F8E3"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3D50030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900</w:t>
            </w:r>
          </w:p>
        </w:tc>
        <w:tc>
          <w:tcPr>
            <w:tcW w:w="705" w:type="dxa"/>
            <w:shd w:val="clear" w:color="000000" w:fill="FFFFFF"/>
            <w:noWrap/>
            <w:vAlign w:val="center"/>
          </w:tcPr>
          <w:p w14:paraId="41918A0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2.1</w:t>
            </w:r>
          </w:p>
        </w:tc>
        <w:tc>
          <w:tcPr>
            <w:tcW w:w="855" w:type="dxa"/>
            <w:shd w:val="clear" w:color="000000" w:fill="FFFFFF"/>
            <w:noWrap/>
            <w:vAlign w:val="center"/>
          </w:tcPr>
          <w:p w14:paraId="0768D78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3.5</w:t>
            </w:r>
          </w:p>
        </w:tc>
        <w:tc>
          <w:tcPr>
            <w:tcW w:w="992" w:type="dxa"/>
            <w:shd w:val="clear" w:color="000000" w:fill="FFFFFF"/>
            <w:noWrap/>
            <w:vAlign w:val="center"/>
          </w:tcPr>
          <w:p w14:paraId="5C213D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244CB1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1.7</w:t>
            </w:r>
          </w:p>
        </w:tc>
        <w:tc>
          <w:tcPr>
            <w:tcW w:w="855" w:type="dxa"/>
            <w:shd w:val="clear" w:color="000000" w:fill="FFFFFF"/>
            <w:noWrap/>
            <w:vAlign w:val="center"/>
          </w:tcPr>
          <w:p w14:paraId="2430B15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B0F101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w:t>
            </w:r>
          </w:p>
        </w:tc>
        <w:tc>
          <w:tcPr>
            <w:tcW w:w="709" w:type="dxa"/>
            <w:shd w:val="clear" w:color="000000" w:fill="FFFFFF"/>
            <w:noWrap/>
            <w:vAlign w:val="center"/>
          </w:tcPr>
          <w:p w14:paraId="0BEA5FB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6.4</w:t>
            </w:r>
          </w:p>
        </w:tc>
        <w:tc>
          <w:tcPr>
            <w:tcW w:w="885" w:type="dxa"/>
            <w:shd w:val="clear" w:color="000000" w:fill="FFFFFF"/>
            <w:noWrap/>
            <w:vAlign w:val="center"/>
          </w:tcPr>
          <w:p w14:paraId="39678D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2.1</w:t>
            </w:r>
          </w:p>
        </w:tc>
        <w:tc>
          <w:tcPr>
            <w:tcW w:w="984" w:type="dxa"/>
            <w:shd w:val="clear" w:color="000000" w:fill="FFFFFF"/>
            <w:noWrap/>
            <w:vAlign w:val="center"/>
          </w:tcPr>
          <w:p w14:paraId="54AB8D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2.5</w:t>
            </w:r>
          </w:p>
        </w:tc>
        <w:tc>
          <w:tcPr>
            <w:tcW w:w="983" w:type="dxa"/>
            <w:shd w:val="clear" w:color="000000" w:fill="FFFFFF"/>
            <w:noWrap/>
            <w:vAlign w:val="center"/>
          </w:tcPr>
          <w:p w14:paraId="546F0E0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5.9</w:t>
            </w:r>
          </w:p>
        </w:tc>
        <w:tc>
          <w:tcPr>
            <w:tcW w:w="1123" w:type="dxa"/>
            <w:shd w:val="clear" w:color="000000" w:fill="FFFFFF"/>
            <w:vAlign w:val="center"/>
          </w:tcPr>
          <w:p w14:paraId="43796D0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245924A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660BF84C" w14:textId="77777777">
        <w:trPr>
          <w:trHeight w:val="285"/>
          <w:jc w:val="center"/>
        </w:trPr>
        <w:tc>
          <w:tcPr>
            <w:tcW w:w="1951" w:type="dxa"/>
            <w:shd w:val="clear" w:color="000000" w:fill="FFFFFF"/>
            <w:noWrap/>
            <w:vAlign w:val="center"/>
          </w:tcPr>
          <w:p w14:paraId="6C3E659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1,1,1-</w:t>
            </w:r>
            <w:r>
              <w:rPr>
                <w:rFonts w:ascii="宋体" w:eastAsia="宋体" w:hAnsi="宋体" w:cs="Times New Roman" w:hint="eastAsia"/>
                <w:color w:val="000000"/>
                <w:kern w:val="0"/>
                <w:szCs w:val="21"/>
              </w:rPr>
              <w:t>三氯乙烷</w:t>
            </w:r>
          </w:p>
        </w:tc>
        <w:tc>
          <w:tcPr>
            <w:tcW w:w="992" w:type="dxa"/>
            <w:shd w:val="clear" w:color="000000" w:fill="FFFFFF"/>
            <w:noWrap/>
            <w:vAlign w:val="center"/>
          </w:tcPr>
          <w:p w14:paraId="30CD67D1"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53149B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840000</w:t>
            </w:r>
          </w:p>
        </w:tc>
        <w:tc>
          <w:tcPr>
            <w:tcW w:w="705" w:type="dxa"/>
            <w:shd w:val="clear" w:color="000000" w:fill="FFFFFF"/>
            <w:noWrap/>
            <w:vAlign w:val="center"/>
          </w:tcPr>
          <w:p w14:paraId="58AC261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F3DC1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F2E9B3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1A0575C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E853E1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8AC0BE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B50F64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2C03FFF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307EA2B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0534D1A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565B834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FC7261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6D1D1FB7" w14:textId="77777777">
        <w:trPr>
          <w:trHeight w:val="285"/>
          <w:jc w:val="center"/>
        </w:trPr>
        <w:tc>
          <w:tcPr>
            <w:tcW w:w="1951" w:type="dxa"/>
            <w:shd w:val="clear" w:color="000000" w:fill="FFFFFF"/>
            <w:noWrap/>
            <w:vAlign w:val="center"/>
          </w:tcPr>
          <w:p w14:paraId="7441563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四氯化碳</w:t>
            </w:r>
          </w:p>
        </w:tc>
        <w:tc>
          <w:tcPr>
            <w:tcW w:w="992" w:type="dxa"/>
            <w:shd w:val="clear" w:color="000000" w:fill="FFFFFF"/>
            <w:noWrap/>
            <w:vAlign w:val="center"/>
          </w:tcPr>
          <w:p w14:paraId="0994AD29"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27C3AE1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2800</w:t>
            </w:r>
          </w:p>
        </w:tc>
        <w:tc>
          <w:tcPr>
            <w:tcW w:w="705" w:type="dxa"/>
            <w:shd w:val="clear" w:color="000000" w:fill="FFFFFF"/>
            <w:noWrap/>
            <w:vAlign w:val="center"/>
          </w:tcPr>
          <w:p w14:paraId="18F9E0E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4534C04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3C1218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7330520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FC76E1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40D683E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08E12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6561CDD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7422D38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771AA5B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5454EB2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58CDE02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7269D78A" w14:textId="77777777">
        <w:trPr>
          <w:trHeight w:val="285"/>
          <w:jc w:val="center"/>
        </w:trPr>
        <w:tc>
          <w:tcPr>
            <w:tcW w:w="1951" w:type="dxa"/>
            <w:shd w:val="clear" w:color="000000" w:fill="FFFFFF"/>
            <w:noWrap/>
            <w:vAlign w:val="center"/>
          </w:tcPr>
          <w:p w14:paraId="1156B0B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苯</w:t>
            </w:r>
          </w:p>
        </w:tc>
        <w:tc>
          <w:tcPr>
            <w:tcW w:w="992" w:type="dxa"/>
            <w:shd w:val="clear" w:color="000000" w:fill="FFFFFF"/>
            <w:noWrap/>
            <w:vAlign w:val="center"/>
          </w:tcPr>
          <w:p w14:paraId="45C6DC83"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79065A9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4000</w:t>
            </w:r>
          </w:p>
        </w:tc>
        <w:tc>
          <w:tcPr>
            <w:tcW w:w="705" w:type="dxa"/>
            <w:shd w:val="clear" w:color="000000" w:fill="FFFFFF"/>
            <w:noWrap/>
            <w:vAlign w:val="center"/>
          </w:tcPr>
          <w:p w14:paraId="03CF2EC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E413D0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7CE7DF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77C28F4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7E001D0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566FEF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B4F5C9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6E9EC13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5B66A6E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0C1DE2F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719982B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29385D8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260BF25C" w14:textId="77777777">
        <w:trPr>
          <w:trHeight w:val="285"/>
          <w:jc w:val="center"/>
        </w:trPr>
        <w:tc>
          <w:tcPr>
            <w:tcW w:w="1951" w:type="dxa"/>
            <w:shd w:val="clear" w:color="000000" w:fill="FFFFFF"/>
            <w:noWrap/>
            <w:vAlign w:val="center"/>
          </w:tcPr>
          <w:p w14:paraId="617EC9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w:t>
            </w:r>
            <w:r>
              <w:rPr>
                <w:rFonts w:ascii="宋体" w:eastAsia="宋体" w:hAnsi="宋体" w:cs="Times New Roman" w:hint="eastAsia"/>
                <w:color w:val="000000"/>
                <w:kern w:val="0"/>
                <w:szCs w:val="21"/>
              </w:rPr>
              <w:t>二氯乙烷</w:t>
            </w:r>
          </w:p>
        </w:tc>
        <w:tc>
          <w:tcPr>
            <w:tcW w:w="992" w:type="dxa"/>
            <w:shd w:val="clear" w:color="000000" w:fill="FFFFFF"/>
            <w:noWrap/>
            <w:vAlign w:val="center"/>
          </w:tcPr>
          <w:p w14:paraId="5812D928"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6621C4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5000</w:t>
            </w:r>
          </w:p>
        </w:tc>
        <w:tc>
          <w:tcPr>
            <w:tcW w:w="705" w:type="dxa"/>
            <w:shd w:val="clear" w:color="000000" w:fill="FFFFFF"/>
            <w:noWrap/>
            <w:vAlign w:val="center"/>
          </w:tcPr>
          <w:p w14:paraId="38775F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696CBE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21904B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44D658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E0F766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23D55A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660CEA8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188DE94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173A1C8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2B6576E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6E8F728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1029937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17AF759A" w14:textId="77777777">
        <w:trPr>
          <w:trHeight w:val="285"/>
          <w:jc w:val="center"/>
        </w:trPr>
        <w:tc>
          <w:tcPr>
            <w:tcW w:w="1951" w:type="dxa"/>
            <w:shd w:val="clear" w:color="000000" w:fill="FFFFFF"/>
            <w:noWrap/>
            <w:vAlign w:val="center"/>
          </w:tcPr>
          <w:p w14:paraId="335D85FE"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三氯乙烯</w:t>
            </w:r>
          </w:p>
        </w:tc>
        <w:tc>
          <w:tcPr>
            <w:tcW w:w="992" w:type="dxa"/>
            <w:shd w:val="clear" w:color="000000" w:fill="FFFFFF"/>
            <w:noWrap/>
            <w:vAlign w:val="center"/>
          </w:tcPr>
          <w:p w14:paraId="25EA418F"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26E1CE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2800</w:t>
            </w:r>
          </w:p>
        </w:tc>
        <w:tc>
          <w:tcPr>
            <w:tcW w:w="705" w:type="dxa"/>
            <w:shd w:val="clear" w:color="000000" w:fill="FFFFFF"/>
            <w:noWrap/>
            <w:vAlign w:val="center"/>
          </w:tcPr>
          <w:p w14:paraId="3FABF23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4278FC9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67F961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57AE74C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AC3EB5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929112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27849C4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256C1AB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3F49F74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139F86D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6A04436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409B0F8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50C14ACE" w14:textId="77777777">
        <w:trPr>
          <w:trHeight w:val="285"/>
          <w:jc w:val="center"/>
        </w:trPr>
        <w:tc>
          <w:tcPr>
            <w:tcW w:w="1951" w:type="dxa"/>
            <w:shd w:val="clear" w:color="000000" w:fill="FFFFFF"/>
            <w:noWrap/>
            <w:vAlign w:val="center"/>
          </w:tcPr>
          <w:p w14:paraId="413F5A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 xml:space="preserve"> 1,2-</w:t>
            </w:r>
            <w:r>
              <w:rPr>
                <w:rFonts w:ascii="宋体" w:eastAsia="宋体" w:hAnsi="宋体" w:cs="Times New Roman" w:hint="eastAsia"/>
                <w:color w:val="000000"/>
                <w:kern w:val="0"/>
                <w:szCs w:val="21"/>
              </w:rPr>
              <w:t>二氯丙烷</w:t>
            </w:r>
          </w:p>
        </w:tc>
        <w:tc>
          <w:tcPr>
            <w:tcW w:w="992" w:type="dxa"/>
            <w:shd w:val="clear" w:color="000000" w:fill="FFFFFF"/>
            <w:noWrap/>
            <w:vAlign w:val="center"/>
          </w:tcPr>
          <w:p w14:paraId="36792A00"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614D01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5000</w:t>
            </w:r>
          </w:p>
        </w:tc>
        <w:tc>
          <w:tcPr>
            <w:tcW w:w="705" w:type="dxa"/>
            <w:shd w:val="clear" w:color="000000" w:fill="FFFFFF"/>
            <w:noWrap/>
            <w:vAlign w:val="center"/>
          </w:tcPr>
          <w:p w14:paraId="6240E6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ECAF40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B01C7A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E543FC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11FC2D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4A8243C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26F712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0853C32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1073541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336CDBE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723DA97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429B095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1B0440B2" w14:textId="77777777">
        <w:trPr>
          <w:trHeight w:val="285"/>
          <w:jc w:val="center"/>
        </w:trPr>
        <w:tc>
          <w:tcPr>
            <w:tcW w:w="1951" w:type="dxa"/>
            <w:shd w:val="clear" w:color="000000" w:fill="FFFFFF"/>
            <w:noWrap/>
            <w:vAlign w:val="center"/>
          </w:tcPr>
          <w:p w14:paraId="225FADA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甲苯</w:t>
            </w:r>
          </w:p>
        </w:tc>
        <w:tc>
          <w:tcPr>
            <w:tcW w:w="992" w:type="dxa"/>
            <w:shd w:val="clear" w:color="000000" w:fill="FFFFFF"/>
            <w:noWrap/>
            <w:vAlign w:val="center"/>
          </w:tcPr>
          <w:p w14:paraId="4B94EFCD"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2BC05E0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1200000</w:t>
            </w:r>
          </w:p>
        </w:tc>
        <w:tc>
          <w:tcPr>
            <w:tcW w:w="705" w:type="dxa"/>
            <w:shd w:val="clear" w:color="000000" w:fill="FFFFFF"/>
            <w:noWrap/>
            <w:vAlign w:val="center"/>
          </w:tcPr>
          <w:p w14:paraId="0DE4AC4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8B2094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011B528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10389A3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681262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03A1299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58C4E3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1459F7A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5A7DB4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238E0A1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1B260A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1D7134D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6DC18491" w14:textId="77777777">
        <w:trPr>
          <w:trHeight w:val="285"/>
          <w:jc w:val="center"/>
        </w:trPr>
        <w:tc>
          <w:tcPr>
            <w:tcW w:w="1951" w:type="dxa"/>
            <w:shd w:val="clear" w:color="000000" w:fill="FFFFFF"/>
            <w:noWrap/>
            <w:vAlign w:val="center"/>
          </w:tcPr>
          <w:p w14:paraId="0D32AF6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1,1,2-</w:t>
            </w:r>
            <w:r>
              <w:rPr>
                <w:rFonts w:ascii="宋体" w:eastAsia="宋体" w:hAnsi="宋体" w:cs="Times New Roman" w:hint="eastAsia"/>
                <w:color w:val="000000"/>
                <w:kern w:val="0"/>
                <w:szCs w:val="21"/>
              </w:rPr>
              <w:t>三氯乙烷</w:t>
            </w:r>
          </w:p>
        </w:tc>
        <w:tc>
          <w:tcPr>
            <w:tcW w:w="992" w:type="dxa"/>
            <w:shd w:val="clear" w:color="000000" w:fill="FFFFFF"/>
            <w:noWrap/>
            <w:vAlign w:val="center"/>
          </w:tcPr>
          <w:p w14:paraId="6C80BC5D"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21C73ED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2800</w:t>
            </w:r>
          </w:p>
        </w:tc>
        <w:tc>
          <w:tcPr>
            <w:tcW w:w="705" w:type="dxa"/>
            <w:shd w:val="clear" w:color="000000" w:fill="FFFFFF"/>
            <w:noWrap/>
            <w:vAlign w:val="center"/>
          </w:tcPr>
          <w:p w14:paraId="73C265B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3C6073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F10612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126B5B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BA1100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CF13CB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DB3976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2DC3BF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49A1171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43FF0F5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2AFB60F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8C44CC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706FD6A9" w14:textId="77777777">
        <w:trPr>
          <w:trHeight w:val="285"/>
          <w:jc w:val="center"/>
        </w:trPr>
        <w:tc>
          <w:tcPr>
            <w:tcW w:w="1951" w:type="dxa"/>
            <w:shd w:val="clear" w:color="000000" w:fill="FFFFFF"/>
            <w:noWrap/>
            <w:vAlign w:val="center"/>
          </w:tcPr>
          <w:p w14:paraId="3407A39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lastRenderedPageBreak/>
              <w:t>四氯乙烯</w:t>
            </w:r>
          </w:p>
        </w:tc>
        <w:tc>
          <w:tcPr>
            <w:tcW w:w="992" w:type="dxa"/>
            <w:shd w:val="clear" w:color="000000" w:fill="FFFFFF"/>
            <w:noWrap/>
            <w:vAlign w:val="center"/>
          </w:tcPr>
          <w:p w14:paraId="241AB2F1"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2F4F830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53000</w:t>
            </w:r>
          </w:p>
        </w:tc>
        <w:tc>
          <w:tcPr>
            <w:tcW w:w="705" w:type="dxa"/>
            <w:shd w:val="clear" w:color="000000" w:fill="FFFFFF"/>
            <w:noWrap/>
            <w:vAlign w:val="center"/>
          </w:tcPr>
          <w:p w14:paraId="18631F6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2DB792A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682A06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C5194E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0C9F5A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4EE0CC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2106888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12B0B89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20A6B4B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366F1F2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600BED9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44A7B24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46EDA600" w14:textId="77777777">
        <w:trPr>
          <w:trHeight w:val="285"/>
          <w:jc w:val="center"/>
        </w:trPr>
        <w:tc>
          <w:tcPr>
            <w:tcW w:w="1951" w:type="dxa"/>
            <w:shd w:val="clear" w:color="000000" w:fill="FFFFFF"/>
            <w:noWrap/>
            <w:vAlign w:val="center"/>
          </w:tcPr>
          <w:p w14:paraId="0D8B156C"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氯苯</w:t>
            </w:r>
          </w:p>
        </w:tc>
        <w:tc>
          <w:tcPr>
            <w:tcW w:w="992" w:type="dxa"/>
            <w:shd w:val="clear" w:color="000000" w:fill="FFFFFF"/>
            <w:noWrap/>
            <w:vAlign w:val="center"/>
          </w:tcPr>
          <w:p w14:paraId="2BC185CF"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3A372B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270000</w:t>
            </w:r>
          </w:p>
        </w:tc>
        <w:tc>
          <w:tcPr>
            <w:tcW w:w="705" w:type="dxa"/>
            <w:shd w:val="clear" w:color="000000" w:fill="FFFFFF"/>
            <w:noWrap/>
            <w:vAlign w:val="center"/>
          </w:tcPr>
          <w:p w14:paraId="717FE9B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335C3D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0A69E9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231FDDE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88FC95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F2C0F2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84F4C3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552C11D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16B5CEA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7C5E3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5DB6FD2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501B6B3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4C9F856B" w14:textId="77777777">
        <w:trPr>
          <w:trHeight w:val="285"/>
          <w:jc w:val="center"/>
        </w:trPr>
        <w:tc>
          <w:tcPr>
            <w:tcW w:w="1951" w:type="dxa"/>
            <w:shd w:val="clear" w:color="000000" w:fill="FFFFFF"/>
            <w:noWrap/>
            <w:vAlign w:val="center"/>
          </w:tcPr>
          <w:p w14:paraId="2606399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1,1,1,2-</w:t>
            </w:r>
            <w:r>
              <w:rPr>
                <w:rFonts w:ascii="宋体" w:eastAsia="宋体" w:hAnsi="宋体" w:cs="Times New Roman" w:hint="eastAsia"/>
                <w:color w:val="000000"/>
                <w:kern w:val="0"/>
                <w:szCs w:val="21"/>
              </w:rPr>
              <w:t>四氯乙烷</w:t>
            </w:r>
          </w:p>
        </w:tc>
        <w:tc>
          <w:tcPr>
            <w:tcW w:w="992" w:type="dxa"/>
            <w:shd w:val="clear" w:color="000000" w:fill="FFFFFF"/>
            <w:noWrap/>
            <w:vAlign w:val="center"/>
          </w:tcPr>
          <w:p w14:paraId="57DC7620"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3FAC97C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10000</w:t>
            </w:r>
          </w:p>
        </w:tc>
        <w:tc>
          <w:tcPr>
            <w:tcW w:w="705" w:type="dxa"/>
            <w:shd w:val="clear" w:color="000000" w:fill="FFFFFF"/>
            <w:noWrap/>
            <w:vAlign w:val="center"/>
          </w:tcPr>
          <w:p w14:paraId="5B473AD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6A9B8A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481EABE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5BB480D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6BFE1D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A46F8B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FC0BD5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02C1D8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677682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4878CE5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5D911D7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23248F7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6EDD91E3" w14:textId="77777777">
        <w:trPr>
          <w:trHeight w:val="285"/>
          <w:jc w:val="center"/>
        </w:trPr>
        <w:tc>
          <w:tcPr>
            <w:tcW w:w="1951" w:type="dxa"/>
            <w:shd w:val="clear" w:color="000000" w:fill="FFFFFF"/>
            <w:noWrap/>
            <w:vAlign w:val="center"/>
          </w:tcPr>
          <w:p w14:paraId="1ECE298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乙苯</w:t>
            </w:r>
          </w:p>
        </w:tc>
        <w:tc>
          <w:tcPr>
            <w:tcW w:w="992" w:type="dxa"/>
            <w:shd w:val="clear" w:color="000000" w:fill="FFFFFF"/>
            <w:noWrap/>
            <w:vAlign w:val="center"/>
          </w:tcPr>
          <w:p w14:paraId="661BB060"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4F4A43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28000</w:t>
            </w:r>
          </w:p>
        </w:tc>
        <w:tc>
          <w:tcPr>
            <w:tcW w:w="705" w:type="dxa"/>
            <w:shd w:val="clear" w:color="000000" w:fill="FFFFFF"/>
            <w:noWrap/>
            <w:vAlign w:val="center"/>
          </w:tcPr>
          <w:p w14:paraId="6F11D29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9C8561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59BF14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3A84BF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1C221B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F93159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28AFDB4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D7B3C8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7BCEFBA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4E9967C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6E2EE7A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1878D70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300E7212" w14:textId="77777777">
        <w:trPr>
          <w:trHeight w:val="285"/>
          <w:jc w:val="center"/>
        </w:trPr>
        <w:tc>
          <w:tcPr>
            <w:tcW w:w="1951" w:type="dxa"/>
            <w:shd w:val="clear" w:color="000000" w:fill="FFFFFF"/>
            <w:noWrap/>
            <w:vAlign w:val="center"/>
          </w:tcPr>
          <w:p w14:paraId="45329EB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间，对</w:t>
            </w:r>
            <w:r>
              <w:rPr>
                <w:rFonts w:ascii="Times New Roman" w:eastAsia="宋体" w:hAnsi="Times New Roman" w:cs="Times New Roman"/>
                <w:color w:val="000000"/>
                <w:kern w:val="0"/>
                <w:szCs w:val="21"/>
              </w:rPr>
              <w:t>-</w:t>
            </w:r>
            <w:r>
              <w:rPr>
                <w:rFonts w:ascii="宋体" w:eastAsia="宋体" w:hAnsi="宋体" w:cs="宋体" w:hint="eastAsia"/>
                <w:color w:val="000000"/>
                <w:kern w:val="0"/>
                <w:szCs w:val="21"/>
              </w:rPr>
              <w:t>二甲苯</w:t>
            </w:r>
          </w:p>
        </w:tc>
        <w:tc>
          <w:tcPr>
            <w:tcW w:w="992" w:type="dxa"/>
            <w:shd w:val="clear" w:color="000000" w:fill="FFFFFF"/>
            <w:noWrap/>
            <w:vAlign w:val="center"/>
          </w:tcPr>
          <w:p w14:paraId="41FF7FAA"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01D1648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570000</w:t>
            </w:r>
          </w:p>
        </w:tc>
        <w:tc>
          <w:tcPr>
            <w:tcW w:w="705" w:type="dxa"/>
            <w:shd w:val="clear" w:color="000000" w:fill="FFFFFF"/>
            <w:noWrap/>
            <w:vAlign w:val="center"/>
          </w:tcPr>
          <w:p w14:paraId="590ADC6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10B6F05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52FAAB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20B568F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A891CA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91C363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A589AC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43659A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641A063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56DBF8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6E5888E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558A273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7A63E93B" w14:textId="77777777">
        <w:trPr>
          <w:trHeight w:val="285"/>
          <w:jc w:val="center"/>
        </w:trPr>
        <w:tc>
          <w:tcPr>
            <w:tcW w:w="1951" w:type="dxa"/>
            <w:shd w:val="clear" w:color="000000" w:fill="FFFFFF"/>
            <w:noWrap/>
            <w:vAlign w:val="center"/>
          </w:tcPr>
          <w:p w14:paraId="353AEC44"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邻二甲苯</w:t>
            </w:r>
          </w:p>
        </w:tc>
        <w:tc>
          <w:tcPr>
            <w:tcW w:w="992" w:type="dxa"/>
            <w:shd w:val="clear" w:color="000000" w:fill="FFFFFF"/>
            <w:noWrap/>
            <w:vAlign w:val="center"/>
          </w:tcPr>
          <w:p w14:paraId="3086AA5F"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3942C4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640000</w:t>
            </w:r>
          </w:p>
        </w:tc>
        <w:tc>
          <w:tcPr>
            <w:tcW w:w="705" w:type="dxa"/>
            <w:shd w:val="clear" w:color="000000" w:fill="FFFFFF"/>
            <w:noWrap/>
            <w:vAlign w:val="center"/>
          </w:tcPr>
          <w:p w14:paraId="5184881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466E81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AE2006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2B3792D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E0A21B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5BD60B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D3465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1E347B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5E7DF0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2081B72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2B5BFE8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341479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4012D937" w14:textId="77777777">
        <w:trPr>
          <w:trHeight w:val="285"/>
          <w:jc w:val="center"/>
        </w:trPr>
        <w:tc>
          <w:tcPr>
            <w:tcW w:w="1951" w:type="dxa"/>
            <w:shd w:val="clear" w:color="000000" w:fill="FFFFFF"/>
            <w:noWrap/>
            <w:vAlign w:val="center"/>
          </w:tcPr>
          <w:p w14:paraId="65F76EED"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苯乙烯</w:t>
            </w:r>
          </w:p>
        </w:tc>
        <w:tc>
          <w:tcPr>
            <w:tcW w:w="992" w:type="dxa"/>
            <w:shd w:val="clear" w:color="000000" w:fill="FFFFFF"/>
            <w:noWrap/>
            <w:vAlign w:val="center"/>
          </w:tcPr>
          <w:p w14:paraId="606759A1"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77E6660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1290000</w:t>
            </w:r>
          </w:p>
        </w:tc>
        <w:tc>
          <w:tcPr>
            <w:tcW w:w="705" w:type="dxa"/>
            <w:shd w:val="clear" w:color="000000" w:fill="FFFFFF"/>
            <w:noWrap/>
            <w:vAlign w:val="center"/>
          </w:tcPr>
          <w:p w14:paraId="5CE5140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B3D2EC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538358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686B30F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7342969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C994D9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04389F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3A11250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3EC60B8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4EB62D8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3DFDD0A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4D39DE5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1AA667FF" w14:textId="77777777">
        <w:trPr>
          <w:trHeight w:val="285"/>
          <w:jc w:val="center"/>
        </w:trPr>
        <w:tc>
          <w:tcPr>
            <w:tcW w:w="1951" w:type="dxa"/>
            <w:shd w:val="clear" w:color="000000" w:fill="FFFFFF"/>
            <w:noWrap/>
            <w:vAlign w:val="center"/>
          </w:tcPr>
          <w:p w14:paraId="2E23DC4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1,1,2,2-</w:t>
            </w:r>
            <w:r>
              <w:rPr>
                <w:rFonts w:ascii="宋体" w:eastAsia="宋体" w:hAnsi="宋体" w:cs="Times New Roman" w:hint="eastAsia"/>
                <w:color w:val="000000"/>
                <w:kern w:val="0"/>
                <w:szCs w:val="21"/>
              </w:rPr>
              <w:t>四氯乙烷</w:t>
            </w:r>
          </w:p>
        </w:tc>
        <w:tc>
          <w:tcPr>
            <w:tcW w:w="992" w:type="dxa"/>
            <w:shd w:val="clear" w:color="000000" w:fill="FFFFFF"/>
            <w:noWrap/>
            <w:vAlign w:val="center"/>
          </w:tcPr>
          <w:p w14:paraId="30C5C28B"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2DC51DE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6800</w:t>
            </w:r>
          </w:p>
        </w:tc>
        <w:tc>
          <w:tcPr>
            <w:tcW w:w="705" w:type="dxa"/>
            <w:shd w:val="clear" w:color="000000" w:fill="FFFFFF"/>
            <w:noWrap/>
            <w:vAlign w:val="center"/>
          </w:tcPr>
          <w:p w14:paraId="7E19AE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A57379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EFCA93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7DF5A65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3FBF46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03DC23A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2F50B0C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4599DC5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3AA5E11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08B955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4910D12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2535C3D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205AE74C" w14:textId="77777777">
        <w:trPr>
          <w:trHeight w:val="285"/>
          <w:jc w:val="center"/>
        </w:trPr>
        <w:tc>
          <w:tcPr>
            <w:tcW w:w="1951" w:type="dxa"/>
            <w:shd w:val="clear" w:color="000000" w:fill="FFFFFF"/>
            <w:noWrap/>
            <w:vAlign w:val="center"/>
          </w:tcPr>
          <w:p w14:paraId="7CF05C2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1,2,3-</w:t>
            </w:r>
            <w:r>
              <w:rPr>
                <w:rFonts w:ascii="宋体" w:eastAsia="宋体" w:hAnsi="宋体" w:cs="Times New Roman" w:hint="eastAsia"/>
                <w:color w:val="000000"/>
                <w:kern w:val="0"/>
                <w:szCs w:val="21"/>
              </w:rPr>
              <w:t>三氯丙烷</w:t>
            </w:r>
          </w:p>
        </w:tc>
        <w:tc>
          <w:tcPr>
            <w:tcW w:w="992" w:type="dxa"/>
            <w:shd w:val="clear" w:color="000000" w:fill="FFFFFF"/>
            <w:noWrap/>
            <w:vAlign w:val="center"/>
          </w:tcPr>
          <w:p w14:paraId="2C0C3F0D"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6CDBAB5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500</w:t>
            </w:r>
          </w:p>
        </w:tc>
        <w:tc>
          <w:tcPr>
            <w:tcW w:w="705" w:type="dxa"/>
            <w:shd w:val="clear" w:color="000000" w:fill="FFFFFF"/>
            <w:noWrap/>
            <w:vAlign w:val="center"/>
          </w:tcPr>
          <w:p w14:paraId="424A003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2BF78B3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2A45D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6AF4A6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DC53AF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273D36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1081B65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5B3CE99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4ADB2D3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562502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37A9B25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42BD36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14A575CF" w14:textId="77777777">
        <w:trPr>
          <w:trHeight w:val="285"/>
          <w:jc w:val="center"/>
        </w:trPr>
        <w:tc>
          <w:tcPr>
            <w:tcW w:w="1951" w:type="dxa"/>
            <w:shd w:val="clear" w:color="000000" w:fill="FFFFFF"/>
            <w:noWrap/>
            <w:vAlign w:val="center"/>
          </w:tcPr>
          <w:p w14:paraId="5A681B4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1,4-</w:t>
            </w:r>
            <w:r>
              <w:rPr>
                <w:rFonts w:ascii="宋体" w:eastAsia="宋体" w:hAnsi="宋体" w:cs="Times New Roman" w:hint="eastAsia"/>
                <w:color w:val="000000"/>
                <w:kern w:val="0"/>
                <w:szCs w:val="21"/>
              </w:rPr>
              <w:t>二氯苯</w:t>
            </w:r>
          </w:p>
        </w:tc>
        <w:tc>
          <w:tcPr>
            <w:tcW w:w="992" w:type="dxa"/>
            <w:shd w:val="clear" w:color="000000" w:fill="FFFFFF"/>
            <w:noWrap/>
            <w:vAlign w:val="center"/>
          </w:tcPr>
          <w:p w14:paraId="66EAAC35"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53DD696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20000</w:t>
            </w:r>
          </w:p>
        </w:tc>
        <w:tc>
          <w:tcPr>
            <w:tcW w:w="705" w:type="dxa"/>
            <w:shd w:val="clear" w:color="000000" w:fill="FFFFFF"/>
            <w:noWrap/>
            <w:vAlign w:val="center"/>
          </w:tcPr>
          <w:p w14:paraId="7021BA2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8EF88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859DC0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2A5A302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0F6836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C1C504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1540744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64BABD4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6AFD6BE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1721151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6B34138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47DD6CD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49C27753" w14:textId="77777777">
        <w:trPr>
          <w:trHeight w:val="285"/>
          <w:jc w:val="center"/>
        </w:trPr>
        <w:tc>
          <w:tcPr>
            <w:tcW w:w="1951" w:type="dxa"/>
            <w:shd w:val="clear" w:color="000000" w:fill="FFFFFF"/>
            <w:noWrap/>
            <w:vAlign w:val="center"/>
          </w:tcPr>
          <w:p w14:paraId="2AA549C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w:t>
            </w:r>
            <w:r>
              <w:rPr>
                <w:rFonts w:ascii="宋体" w:eastAsia="宋体" w:hAnsi="宋体" w:cs="Times New Roman" w:hint="eastAsia"/>
                <w:color w:val="000000"/>
                <w:kern w:val="0"/>
                <w:szCs w:val="21"/>
              </w:rPr>
              <w:t>二氯苯</w:t>
            </w:r>
          </w:p>
        </w:tc>
        <w:tc>
          <w:tcPr>
            <w:tcW w:w="992" w:type="dxa"/>
            <w:shd w:val="clear" w:color="000000" w:fill="FFFFFF"/>
            <w:noWrap/>
            <w:vAlign w:val="center"/>
          </w:tcPr>
          <w:p w14:paraId="220C77B7" w14:textId="77777777" w:rsidR="002133E3" w:rsidRDefault="00C22CFA">
            <w:pPr>
              <w:widowControl/>
              <w:jc w:val="center"/>
              <w:rPr>
                <w:rFonts w:ascii="Times New Roman" w:eastAsia="等线" w:hAnsi="Times New Roman" w:cs="Times New Roman"/>
                <w:color w:val="000000"/>
                <w:kern w:val="0"/>
                <w:szCs w:val="21"/>
              </w:rPr>
            </w:pPr>
            <w:proofErr w:type="spellStart"/>
            <w:r>
              <w:rPr>
                <w:rFonts w:ascii="Times New Roman" w:eastAsia="等线" w:hAnsi="Times New Roman" w:cs="Times New Roman"/>
                <w:color w:val="000000"/>
                <w:kern w:val="0"/>
                <w:szCs w:val="21"/>
              </w:rPr>
              <w:t>μg</w:t>
            </w:r>
            <w:proofErr w:type="spellEnd"/>
            <w:r>
              <w:rPr>
                <w:rFonts w:ascii="Times New Roman" w:eastAsia="等线" w:hAnsi="Times New Roman" w:cs="Times New Roman"/>
                <w:color w:val="000000"/>
                <w:kern w:val="0"/>
                <w:szCs w:val="21"/>
              </w:rPr>
              <w:t>/kg</w:t>
            </w:r>
          </w:p>
        </w:tc>
        <w:tc>
          <w:tcPr>
            <w:tcW w:w="1134" w:type="dxa"/>
            <w:shd w:val="clear" w:color="auto" w:fill="auto"/>
            <w:vAlign w:val="center"/>
          </w:tcPr>
          <w:p w14:paraId="53597D3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560000</w:t>
            </w:r>
          </w:p>
        </w:tc>
        <w:tc>
          <w:tcPr>
            <w:tcW w:w="705" w:type="dxa"/>
            <w:shd w:val="clear" w:color="000000" w:fill="FFFFFF"/>
            <w:noWrap/>
            <w:vAlign w:val="center"/>
          </w:tcPr>
          <w:p w14:paraId="2B24DF9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40A1E04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D25970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46209B5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BF4861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EC800C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79D1F08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0604A9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7BF50F7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03606C4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2526C46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5B4A3AE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54E109A2" w14:textId="77777777">
        <w:trPr>
          <w:trHeight w:val="285"/>
          <w:jc w:val="center"/>
        </w:trPr>
        <w:tc>
          <w:tcPr>
            <w:tcW w:w="1951" w:type="dxa"/>
            <w:shd w:val="clear" w:color="000000" w:fill="FFFFFF"/>
            <w:noWrap/>
            <w:vAlign w:val="center"/>
          </w:tcPr>
          <w:p w14:paraId="446888F6"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苯胺</w:t>
            </w:r>
          </w:p>
        </w:tc>
        <w:tc>
          <w:tcPr>
            <w:tcW w:w="992" w:type="dxa"/>
            <w:shd w:val="clear" w:color="000000" w:fill="FFFFFF"/>
            <w:noWrap/>
            <w:vAlign w:val="center"/>
          </w:tcPr>
          <w:p w14:paraId="795B2F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3A2A6A8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260</w:t>
            </w:r>
          </w:p>
        </w:tc>
        <w:tc>
          <w:tcPr>
            <w:tcW w:w="705" w:type="dxa"/>
            <w:shd w:val="clear" w:color="000000" w:fill="FFFFFF"/>
            <w:noWrap/>
            <w:vAlign w:val="center"/>
          </w:tcPr>
          <w:p w14:paraId="0844DF7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53D6A5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02649F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47F0CD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7C0DF3E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E52D14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A32EA5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5E5577E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0FE6BB4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21AA85A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25D5433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181352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38F0DFE1" w14:textId="77777777">
        <w:trPr>
          <w:trHeight w:val="285"/>
          <w:jc w:val="center"/>
        </w:trPr>
        <w:tc>
          <w:tcPr>
            <w:tcW w:w="1951" w:type="dxa"/>
            <w:shd w:val="clear" w:color="000000" w:fill="FFFFFF"/>
            <w:noWrap/>
            <w:vAlign w:val="center"/>
          </w:tcPr>
          <w:p w14:paraId="583B7E5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w:t>
            </w:r>
            <w:r>
              <w:rPr>
                <w:rFonts w:ascii="宋体" w:eastAsia="宋体" w:hAnsi="宋体" w:cs="Times New Roman" w:hint="eastAsia"/>
                <w:color w:val="000000"/>
                <w:kern w:val="0"/>
                <w:szCs w:val="21"/>
              </w:rPr>
              <w:t>氯苯酚</w:t>
            </w:r>
          </w:p>
        </w:tc>
        <w:tc>
          <w:tcPr>
            <w:tcW w:w="992" w:type="dxa"/>
            <w:shd w:val="clear" w:color="000000" w:fill="FFFFFF"/>
            <w:noWrap/>
            <w:vAlign w:val="center"/>
          </w:tcPr>
          <w:p w14:paraId="7D6AC9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04CFF41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2256</w:t>
            </w:r>
          </w:p>
        </w:tc>
        <w:tc>
          <w:tcPr>
            <w:tcW w:w="705" w:type="dxa"/>
            <w:shd w:val="clear" w:color="000000" w:fill="FFFFFF"/>
            <w:noWrap/>
            <w:vAlign w:val="center"/>
          </w:tcPr>
          <w:p w14:paraId="38D3DC1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2B0227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A28337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634A063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29DE0EA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46E4005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3EEF3B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109481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0C20720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3C43DC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2A81F79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5703697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5A2D1715" w14:textId="77777777">
        <w:trPr>
          <w:trHeight w:val="285"/>
          <w:jc w:val="center"/>
        </w:trPr>
        <w:tc>
          <w:tcPr>
            <w:tcW w:w="1951" w:type="dxa"/>
            <w:shd w:val="clear" w:color="000000" w:fill="FFFFFF"/>
            <w:noWrap/>
            <w:vAlign w:val="center"/>
          </w:tcPr>
          <w:p w14:paraId="0BC98DB0"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硝基苯</w:t>
            </w:r>
          </w:p>
        </w:tc>
        <w:tc>
          <w:tcPr>
            <w:tcW w:w="992" w:type="dxa"/>
            <w:shd w:val="clear" w:color="000000" w:fill="FFFFFF"/>
            <w:noWrap/>
            <w:vAlign w:val="center"/>
          </w:tcPr>
          <w:p w14:paraId="4E4D4F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06E96B2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76</w:t>
            </w:r>
          </w:p>
        </w:tc>
        <w:tc>
          <w:tcPr>
            <w:tcW w:w="705" w:type="dxa"/>
            <w:shd w:val="clear" w:color="000000" w:fill="FFFFFF"/>
            <w:noWrap/>
            <w:vAlign w:val="center"/>
          </w:tcPr>
          <w:p w14:paraId="43BFEFD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560C19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BEF26A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0A9BC7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AB0E4A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F3F801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22250B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97EF71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16D9DDD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3F20393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524041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06287C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2692F5C9" w14:textId="77777777">
        <w:trPr>
          <w:trHeight w:val="285"/>
          <w:jc w:val="center"/>
        </w:trPr>
        <w:tc>
          <w:tcPr>
            <w:tcW w:w="1951" w:type="dxa"/>
            <w:shd w:val="clear" w:color="000000" w:fill="FFFFFF"/>
            <w:noWrap/>
            <w:vAlign w:val="center"/>
          </w:tcPr>
          <w:p w14:paraId="0EDB583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萘</w:t>
            </w:r>
          </w:p>
        </w:tc>
        <w:tc>
          <w:tcPr>
            <w:tcW w:w="992" w:type="dxa"/>
            <w:shd w:val="clear" w:color="000000" w:fill="FFFFFF"/>
            <w:noWrap/>
            <w:vAlign w:val="center"/>
          </w:tcPr>
          <w:p w14:paraId="0FD4432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5D20C4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70</w:t>
            </w:r>
          </w:p>
        </w:tc>
        <w:tc>
          <w:tcPr>
            <w:tcW w:w="705" w:type="dxa"/>
            <w:shd w:val="clear" w:color="000000" w:fill="FFFFFF"/>
            <w:noWrap/>
            <w:vAlign w:val="center"/>
          </w:tcPr>
          <w:p w14:paraId="4D1A59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6F6359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E72FEE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CA9D9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B035D8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B28FBF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6E56CB1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12B9BFD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7B00910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FC802F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1727C17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6B368B8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492A9929" w14:textId="77777777">
        <w:trPr>
          <w:trHeight w:val="285"/>
          <w:jc w:val="center"/>
        </w:trPr>
        <w:tc>
          <w:tcPr>
            <w:tcW w:w="1951" w:type="dxa"/>
            <w:shd w:val="clear" w:color="000000" w:fill="FFFFFF"/>
            <w:noWrap/>
            <w:vAlign w:val="center"/>
          </w:tcPr>
          <w:p w14:paraId="6EEBE7B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苯并</w:t>
            </w:r>
            <w:r>
              <w:rPr>
                <w:rFonts w:ascii="Times New Roman" w:eastAsia="宋体" w:hAnsi="Times New Roman" w:cs="Times New Roman"/>
                <w:color w:val="000000"/>
                <w:kern w:val="0"/>
                <w:szCs w:val="21"/>
              </w:rPr>
              <w:t>(a)</w:t>
            </w:r>
            <w:r>
              <w:rPr>
                <w:rFonts w:ascii="宋体" w:eastAsia="宋体" w:hAnsi="宋体" w:cs="宋体" w:hint="eastAsia"/>
                <w:color w:val="000000"/>
                <w:kern w:val="0"/>
                <w:szCs w:val="21"/>
              </w:rPr>
              <w:t>蒽</w:t>
            </w:r>
          </w:p>
        </w:tc>
        <w:tc>
          <w:tcPr>
            <w:tcW w:w="992" w:type="dxa"/>
            <w:shd w:val="clear" w:color="000000" w:fill="FFFFFF"/>
            <w:noWrap/>
            <w:vAlign w:val="center"/>
          </w:tcPr>
          <w:p w14:paraId="6B259DE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1D270D1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p>
        </w:tc>
        <w:tc>
          <w:tcPr>
            <w:tcW w:w="705" w:type="dxa"/>
            <w:shd w:val="clear" w:color="000000" w:fill="FFFFFF"/>
            <w:noWrap/>
            <w:vAlign w:val="center"/>
          </w:tcPr>
          <w:p w14:paraId="7E2D2BE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25FA17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0673005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04E1994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DC2C43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3EE300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3B518F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458AA95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738E8B7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3E89953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3F2F682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18BA967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4ED7B2BE" w14:textId="77777777">
        <w:trPr>
          <w:trHeight w:val="285"/>
          <w:jc w:val="center"/>
        </w:trPr>
        <w:tc>
          <w:tcPr>
            <w:tcW w:w="1951" w:type="dxa"/>
            <w:shd w:val="clear" w:color="000000" w:fill="FFFFFF"/>
            <w:noWrap/>
            <w:vAlign w:val="center"/>
          </w:tcPr>
          <w:p w14:paraId="02429C8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䓛</w:t>
            </w:r>
          </w:p>
        </w:tc>
        <w:tc>
          <w:tcPr>
            <w:tcW w:w="992" w:type="dxa"/>
            <w:shd w:val="clear" w:color="000000" w:fill="FFFFFF"/>
            <w:noWrap/>
            <w:vAlign w:val="center"/>
          </w:tcPr>
          <w:p w14:paraId="507AB5D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0E9EBCB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1293</w:t>
            </w:r>
          </w:p>
        </w:tc>
        <w:tc>
          <w:tcPr>
            <w:tcW w:w="705" w:type="dxa"/>
            <w:shd w:val="clear" w:color="000000" w:fill="FFFFFF"/>
            <w:noWrap/>
            <w:vAlign w:val="center"/>
          </w:tcPr>
          <w:p w14:paraId="7AB9BCF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429475A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54725A9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420B15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E50080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F4FE07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5663D1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4E77A6F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5F4D1FB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2CC7262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6F0F31C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34F5A56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08ADC96E" w14:textId="77777777">
        <w:trPr>
          <w:trHeight w:val="285"/>
          <w:jc w:val="center"/>
        </w:trPr>
        <w:tc>
          <w:tcPr>
            <w:tcW w:w="1951" w:type="dxa"/>
            <w:shd w:val="clear" w:color="000000" w:fill="FFFFFF"/>
            <w:noWrap/>
            <w:vAlign w:val="center"/>
          </w:tcPr>
          <w:p w14:paraId="43F0F7B1"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苯并</w:t>
            </w:r>
            <w:r>
              <w:rPr>
                <w:rFonts w:ascii="Times New Roman" w:eastAsia="宋体" w:hAnsi="Times New Roman" w:cs="Times New Roman"/>
                <w:color w:val="000000"/>
                <w:kern w:val="0"/>
                <w:szCs w:val="21"/>
              </w:rPr>
              <w:t>(b)</w:t>
            </w:r>
            <w:r>
              <w:rPr>
                <w:rFonts w:ascii="宋体" w:eastAsia="宋体" w:hAnsi="宋体" w:cs="宋体" w:hint="eastAsia"/>
                <w:color w:val="000000"/>
                <w:kern w:val="0"/>
                <w:szCs w:val="21"/>
              </w:rPr>
              <w:t>荧蒽</w:t>
            </w:r>
          </w:p>
        </w:tc>
        <w:tc>
          <w:tcPr>
            <w:tcW w:w="992" w:type="dxa"/>
            <w:shd w:val="clear" w:color="000000" w:fill="FFFFFF"/>
            <w:noWrap/>
            <w:vAlign w:val="center"/>
          </w:tcPr>
          <w:p w14:paraId="0E5B24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59A2B4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p>
        </w:tc>
        <w:tc>
          <w:tcPr>
            <w:tcW w:w="705" w:type="dxa"/>
            <w:shd w:val="clear" w:color="000000" w:fill="FFFFFF"/>
            <w:noWrap/>
            <w:vAlign w:val="center"/>
          </w:tcPr>
          <w:p w14:paraId="520435E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6959DA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4CE510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6A087F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30382D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8BF535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7EEDE7C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07E1CB1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7C37CB6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0382F6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5242DBE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69FC21E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39AF42F6" w14:textId="77777777">
        <w:trPr>
          <w:trHeight w:val="285"/>
          <w:jc w:val="center"/>
        </w:trPr>
        <w:tc>
          <w:tcPr>
            <w:tcW w:w="1951" w:type="dxa"/>
            <w:shd w:val="clear" w:color="000000" w:fill="FFFFFF"/>
            <w:noWrap/>
            <w:vAlign w:val="center"/>
          </w:tcPr>
          <w:p w14:paraId="0E153603"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苯并</w:t>
            </w:r>
            <w:r>
              <w:rPr>
                <w:rFonts w:ascii="Times New Roman" w:eastAsia="宋体" w:hAnsi="Times New Roman" w:cs="Times New Roman"/>
                <w:color w:val="000000"/>
                <w:kern w:val="0"/>
                <w:szCs w:val="21"/>
              </w:rPr>
              <w:t>(k)</w:t>
            </w:r>
            <w:r>
              <w:rPr>
                <w:rFonts w:ascii="宋体" w:eastAsia="宋体" w:hAnsi="宋体" w:cs="宋体" w:hint="eastAsia"/>
                <w:color w:val="000000"/>
                <w:kern w:val="0"/>
                <w:szCs w:val="21"/>
              </w:rPr>
              <w:t>荧蒽</w:t>
            </w:r>
          </w:p>
        </w:tc>
        <w:tc>
          <w:tcPr>
            <w:tcW w:w="992" w:type="dxa"/>
            <w:shd w:val="clear" w:color="000000" w:fill="FFFFFF"/>
            <w:noWrap/>
            <w:vAlign w:val="center"/>
          </w:tcPr>
          <w:p w14:paraId="5EC5DB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6788188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151</w:t>
            </w:r>
          </w:p>
        </w:tc>
        <w:tc>
          <w:tcPr>
            <w:tcW w:w="705" w:type="dxa"/>
            <w:shd w:val="clear" w:color="000000" w:fill="FFFFFF"/>
            <w:noWrap/>
            <w:vAlign w:val="center"/>
          </w:tcPr>
          <w:p w14:paraId="6B21560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78EED8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E033DB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5D63EA8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D2819E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677626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0D05EF7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37BF91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4B3CBD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743DC8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0131DAD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70A65F9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7A058406" w14:textId="77777777">
        <w:trPr>
          <w:trHeight w:val="285"/>
          <w:jc w:val="center"/>
        </w:trPr>
        <w:tc>
          <w:tcPr>
            <w:tcW w:w="1951" w:type="dxa"/>
            <w:shd w:val="clear" w:color="000000" w:fill="FFFFFF"/>
            <w:noWrap/>
            <w:vAlign w:val="center"/>
          </w:tcPr>
          <w:p w14:paraId="13A8A179"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苯并</w:t>
            </w:r>
            <w:r>
              <w:rPr>
                <w:rFonts w:ascii="Times New Roman" w:eastAsia="宋体" w:hAnsi="Times New Roman" w:cs="Times New Roman"/>
                <w:color w:val="000000"/>
                <w:kern w:val="0"/>
                <w:szCs w:val="21"/>
              </w:rPr>
              <w:t>(a)</w:t>
            </w:r>
            <w:r>
              <w:rPr>
                <w:rFonts w:ascii="宋体" w:eastAsia="宋体" w:hAnsi="宋体" w:cs="宋体" w:hint="eastAsia"/>
                <w:color w:val="000000"/>
                <w:kern w:val="0"/>
                <w:szCs w:val="21"/>
              </w:rPr>
              <w:t>芘</w:t>
            </w:r>
          </w:p>
        </w:tc>
        <w:tc>
          <w:tcPr>
            <w:tcW w:w="992" w:type="dxa"/>
            <w:shd w:val="clear" w:color="000000" w:fill="FFFFFF"/>
            <w:noWrap/>
            <w:vAlign w:val="center"/>
          </w:tcPr>
          <w:p w14:paraId="47476B1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19E3F37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p>
        </w:tc>
        <w:tc>
          <w:tcPr>
            <w:tcW w:w="705" w:type="dxa"/>
            <w:shd w:val="clear" w:color="000000" w:fill="FFFFFF"/>
            <w:noWrap/>
            <w:vAlign w:val="center"/>
          </w:tcPr>
          <w:p w14:paraId="58FF4F0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5588A2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75CE0CB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7CCAC5F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0A1A37F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2AE24D2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46B6E1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0F4FF6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01F601F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55B5E60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3E4756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51D1D5D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12188F87" w14:textId="77777777">
        <w:trPr>
          <w:trHeight w:val="285"/>
          <w:jc w:val="center"/>
        </w:trPr>
        <w:tc>
          <w:tcPr>
            <w:tcW w:w="1951" w:type="dxa"/>
            <w:shd w:val="clear" w:color="000000" w:fill="FFFFFF"/>
            <w:noWrap/>
            <w:vAlign w:val="center"/>
          </w:tcPr>
          <w:p w14:paraId="40A6E21A"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茚并</w:t>
            </w:r>
            <w:r>
              <w:rPr>
                <w:rFonts w:ascii="Times New Roman" w:eastAsia="宋体" w:hAnsi="Times New Roman" w:cs="Times New Roman"/>
                <w:color w:val="000000"/>
                <w:kern w:val="0"/>
                <w:szCs w:val="21"/>
              </w:rPr>
              <w:t>(1,2,3-cd)</w:t>
            </w:r>
            <w:r>
              <w:rPr>
                <w:rFonts w:ascii="宋体" w:eastAsia="宋体" w:hAnsi="宋体" w:cs="宋体" w:hint="eastAsia"/>
                <w:color w:val="000000"/>
                <w:kern w:val="0"/>
                <w:szCs w:val="21"/>
              </w:rPr>
              <w:t>芘</w:t>
            </w:r>
          </w:p>
        </w:tc>
        <w:tc>
          <w:tcPr>
            <w:tcW w:w="992" w:type="dxa"/>
            <w:shd w:val="clear" w:color="000000" w:fill="FFFFFF"/>
            <w:noWrap/>
            <w:vAlign w:val="center"/>
          </w:tcPr>
          <w:p w14:paraId="5D3CC61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7F88B84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p>
        </w:tc>
        <w:tc>
          <w:tcPr>
            <w:tcW w:w="705" w:type="dxa"/>
            <w:shd w:val="clear" w:color="000000" w:fill="FFFFFF"/>
            <w:noWrap/>
            <w:vAlign w:val="center"/>
          </w:tcPr>
          <w:p w14:paraId="3B13282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68F94E3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3F3993B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1EE43B6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34C8B90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36F727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358679F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03030BC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26E7602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155FAA7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121C0F0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5979009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r w:rsidR="002133E3" w14:paraId="05345B97" w14:textId="77777777">
        <w:trPr>
          <w:trHeight w:val="285"/>
          <w:jc w:val="center"/>
        </w:trPr>
        <w:tc>
          <w:tcPr>
            <w:tcW w:w="1951" w:type="dxa"/>
            <w:shd w:val="clear" w:color="000000" w:fill="FFFFFF"/>
            <w:noWrap/>
            <w:vAlign w:val="center"/>
          </w:tcPr>
          <w:p w14:paraId="5346EC62" w14:textId="77777777" w:rsidR="002133E3" w:rsidRDefault="00C22CF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二苯并</w:t>
            </w:r>
            <w:r>
              <w:rPr>
                <w:rFonts w:ascii="Times New Roman" w:eastAsia="宋体" w:hAnsi="Times New Roman" w:cs="Times New Roman"/>
                <w:color w:val="000000"/>
                <w:kern w:val="0"/>
                <w:szCs w:val="21"/>
              </w:rPr>
              <w:t>(</w:t>
            </w:r>
            <w:proofErr w:type="spellStart"/>
            <w:r>
              <w:rPr>
                <w:rFonts w:ascii="Times New Roman" w:eastAsia="宋体" w:hAnsi="Times New Roman" w:cs="Times New Roman"/>
                <w:color w:val="000000"/>
                <w:kern w:val="0"/>
                <w:szCs w:val="21"/>
              </w:rPr>
              <w:t>a,h</w:t>
            </w:r>
            <w:proofErr w:type="spellEnd"/>
            <w:r>
              <w:rPr>
                <w:rFonts w:ascii="Times New Roman" w:eastAsia="宋体" w:hAnsi="Times New Roman" w:cs="Times New Roman"/>
                <w:color w:val="000000"/>
                <w:kern w:val="0"/>
                <w:szCs w:val="21"/>
              </w:rPr>
              <w:t>)</w:t>
            </w:r>
            <w:r>
              <w:rPr>
                <w:rFonts w:ascii="宋体" w:eastAsia="宋体" w:hAnsi="宋体" w:cs="宋体" w:hint="eastAsia"/>
                <w:color w:val="000000"/>
                <w:kern w:val="0"/>
                <w:szCs w:val="21"/>
              </w:rPr>
              <w:t>蒽</w:t>
            </w:r>
          </w:p>
        </w:tc>
        <w:tc>
          <w:tcPr>
            <w:tcW w:w="992" w:type="dxa"/>
            <w:shd w:val="clear" w:color="000000" w:fill="FFFFFF"/>
            <w:noWrap/>
            <w:vAlign w:val="center"/>
          </w:tcPr>
          <w:p w14:paraId="62E74A3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mg/kg</w:t>
            </w:r>
          </w:p>
        </w:tc>
        <w:tc>
          <w:tcPr>
            <w:tcW w:w="1134" w:type="dxa"/>
            <w:shd w:val="clear" w:color="auto" w:fill="auto"/>
            <w:vAlign w:val="center"/>
          </w:tcPr>
          <w:p w14:paraId="5E17C97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1.5</w:t>
            </w:r>
          </w:p>
        </w:tc>
        <w:tc>
          <w:tcPr>
            <w:tcW w:w="705" w:type="dxa"/>
            <w:shd w:val="clear" w:color="000000" w:fill="FFFFFF"/>
            <w:noWrap/>
            <w:vAlign w:val="center"/>
          </w:tcPr>
          <w:p w14:paraId="5197F89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4E28EBC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12EA4E9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46" w:type="dxa"/>
            <w:shd w:val="clear" w:color="000000" w:fill="FFFFFF"/>
            <w:noWrap/>
            <w:vAlign w:val="center"/>
          </w:tcPr>
          <w:p w14:paraId="41D4F4A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55" w:type="dxa"/>
            <w:shd w:val="clear" w:color="000000" w:fill="FFFFFF"/>
            <w:noWrap/>
            <w:vAlign w:val="center"/>
          </w:tcPr>
          <w:p w14:paraId="21B9AA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92" w:type="dxa"/>
            <w:shd w:val="clear" w:color="000000" w:fill="FFFFFF"/>
            <w:noWrap/>
            <w:vAlign w:val="center"/>
          </w:tcPr>
          <w:p w14:paraId="6AC1F9C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09" w:type="dxa"/>
            <w:shd w:val="clear" w:color="000000" w:fill="FFFFFF"/>
            <w:noWrap/>
            <w:vAlign w:val="center"/>
          </w:tcPr>
          <w:p w14:paraId="2E973B8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885" w:type="dxa"/>
            <w:shd w:val="clear" w:color="000000" w:fill="FFFFFF"/>
            <w:noWrap/>
            <w:vAlign w:val="center"/>
          </w:tcPr>
          <w:p w14:paraId="7AD4734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4" w:type="dxa"/>
            <w:shd w:val="clear" w:color="000000" w:fill="FFFFFF"/>
            <w:noWrap/>
            <w:vAlign w:val="center"/>
          </w:tcPr>
          <w:p w14:paraId="4357499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983" w:type="dxa"/>
            <w:shd w:val="clear" w:color="000000" w:fill="FFFFFF"/>
            <w:noWrap/>
            <w:vAlign w:val="center"/>
          </w:tcPr>
          <w:p w14:paraId="06AE841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1123" w:type="dxa"/>
            <w:shd w:val="clear" w:color="000000" w:fill="FFFFFF"/>
            <w:vAlign w:val="center"/>
          </w:tcPr>
          <w:p w14:paraId="700D36B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c>
          <w:tcPr>
            <w:tcW w:w="780" w:type="dxa"/>
            <w:shd w:val="clear" w:color="000000" w:fill="FFFFFF"/>
            <w:vAlign w:val="center"/>
          </w:tcPr>
          <w:p w14:paraId="45F93A0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ND</w:t>
            </w:r>
          </w:p>
        </w:tc>
      </w:tr>
    </w:tbl>
    <w:p w14:paraId="44AA6E0C" w14:textId="77777777" w:rsidR="002133E3" w:rsidRDefault="002133E3">
      <w:pPr>
        <w:jc w:val="center"/>
        <w:rPr>
          <w:rFonts w:ascii="Times New Roman" w:eastAsia="宋体" w:hAnsi="Times New Roman" w:cs="Times New Roman"/>
          <w:szCs w:val="21"/>
        </w:rPr>
        <w:sectPr w:rsidR="002133E3">
          <w:pgSz w:w="16838" w:h="11906" w:orient="landscape"/>
          <w:pgMar w:top="1134" w:right="1134" w:bottom="1134" w:left="1134" w:header="851" w:footer="992" w:gutter="0"/>
          <w:cols w:space="425"/>
          <w:docGrid w:type="linesAndChars" w:linePitch="312"/>
        </w:sectPr>
      </w:pPr>
    </w:p>
    <w:p w14:paraId="594C930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color w:val="0D0D0D"/>
          <w:sz w:val="30"/>
        </w:rPr>
      </w:pPr>
      <w:r>
        <w:rPr>
          <w:rFonts w:ascii="Times New Roman" w:eastAsia="宋体" w:hAnsi="Times New Roman" w:cs="Times New Roman"/>
          <w:b/>
          <w:sz w:val="30"/>
          <w:szCs w:val="30"/>
        </w:rPr>
        <w:lastRenderedPageBreak/>
        <w:t>声环境质量现状评价</w:t>
      </w:r>
    </w:p>
    <w:p w14:paraId="69B271FA"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连云港智清环境科技有限公司于</w:t>
      </w:r>
      <w:r>
        <w:rPr>
          <w:rFonts w:ascii="Times New Roman" w:eastAsia="宋体" w:hAnsi="Times New Roman" w:cs="Times New Roman"/>
          <w:color w:val="0D0D0D"/>
          <w:sz w:val="28"/>
          <w:szCs w:val="28"/>
        </w:rPr>
        <w:t>2021</w:t>
      </w:r>
      <w:r>
        <w:rPr>
          <w:rFonts w:ascii="Times New Roman" w:eastAsia="宋体" w:hAnsi="Times New Roman" w:cs="Times New Roman"/>
          <w:color w:val="0D0D0D"/>
          <w:sz w:val="28"/>
          <w:szCs w:val="28"/>
        </w:rPr>
        <w:t>年</w:t>
      </w:r>
      <w:r>
        <w:rPr>
          <w:rFonts w:ascii="Times New Roman" w:eastAsia="宋体" w:hAnsi="Times New Roman" w:cs="Times New Roman"/>
          <w:color w:val="0D0D0D"/>
          <w:sz w:val="28"/>
          <w:szCs w:val="28"/>
        </w:rPr>
        <w:t>5</w:t>
      </w:r>
      <w:r>
        <w:rPr>
          <w:rFonts w:ascii="Times New Roman" w:eastAsia="宋体" w:hAnsi="Times New Roman" w:cs="Times New Roman"/>
          <w:color w:val="0D0D0D"/>
          <w:sz w:val="28"/>
          <w:szCs w:val="28"/>
        </w:rPr>
        <w:t>月</w:t>
      </w:r>
      <w:r>
        <w:rPr>
          <w:rFonts w:ascii="Times New Roman" w:eastAsia="宋体" w:hAnsi="Times New Roman" w:cs="Times New Roman"/>
          <w:color w:val="0D0D0D"/>
          <w:sz w:val="28"/>
          <w:szCs w:val="28"/>
        </w:rPr>
        <w:t>11</w:t>
      </w:r>
      <w:r>
        <w:rPr>
          <w:rFonts w:ascii="Times New Roman" w:eastAsia="宋体" w:hAnsi="Times New Roman" w:cs="Times New Roman"/>
          <w:color w:val="0D0D0D"/>
          <w:sz w:val="28"/>
          <w:szCs w:val="28"/>
        </w:rPr>
        <w:t>日</w:t>
      </w:r>
      <w:r>
        <w:rPr>
          <w:rFonts w:ascii="Times New Roman" w:eastAsia="宋体" w:hAnsi="Times New Roman" w:cs="Times New Roman"/>
          <w:color w:val="0D0D0D"/>
          <w:sz w:val="28"/>
          <w:szCs w:val="28"/>
        </w:rPr>
        <w:t>~12</w:t>
      </w:r>
      <w:r>
        <w:rPr>
          <w:rFonts w:ascii="Times New Roman" w:eastAsia="宋体" w:hAnsi="Times New Roman" w:cs="Times New Roman"/>
          <w:color w:val="0D0D0D"/>
          <w:sz w:val="28"/>
          <w:szCs w:val="28"/>
        </w:rPr>
        <w:t>日对项目所在区域周边声环境质量进行了监测。</w:t>
      </w:r>
    </w:p>
    <w:p w14:paraId="7DCB614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监测点位</w:t>
      </w:r>
    </w:p>
    <w:p w14:paraId="7E5EE7DB"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根据厂区布置及周围环境状况，本次评价拟在厂界布设</w:t>
      </w:r>
      <w:r>
        <w:rPr>
          <w:rFonts w:ascii="Times New Roman" w:eastAsia="宋体" w:hAnsi="Times New Roman" w:cs="Times New Roman"/>
          <w:color w:val="0D0D0D"/>
          <w:sz w:val="28"/>
          <w:szCs w:val="28"/>
        </w:rPr>
        <w:t>4</w:t>
      </w:r>
      <w:r>
        <w:rPr>
          <w:rFonts w:ascii="Times New Roman" w:eastAsia="宋体" w:hAnsi="Times New Roman" w:cs="Times New Roman"/>
          <w:color w:val="0D0D0D"/>
          <w:sz w:val="28"/>
          <w:szCs w:val="28"/>
        </w:rPr>
        <w:t>个噪声测点，具体位置见图</w:t>
      </w:r>
      <w:r>
        <w:rPr>
          <w:rFonts w:ascii="Times New Roman" w:eastAsia="宋体" w:hAnsi="Times New Roman" w:cs="Times New Roman"/>
          <w:color w:val="0D0D0D"/>
          <w:sz w:val="28"/>
          <w:szCs w:val="28"/>
        </w:rPr>
        <w:t>3.1-1</w:t>
      </w:r>
      <w:r>
        <w:rPr>
          <w:rFonts w:ascii="Times New Roman" w:eastAsia="宋体" w:hAnsi="Times New Roman" w:cs="Times New Roman"/>
          <w:color w:val="0D0D0D"/>
          <w:sz w:val="28"/>
          <w:szCs w:val="28"/>
        </w:rPr>
        <w:t>。</w:t>
      </w:r>
    </w:p>
    <w:p w14:paraId="19F1B67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监测时间及频次</w:t>
      </w:r>
    </w:p>
    <w:p w14:paraId="68F1E173" w14:textId="77777777" w:rsidR="002133E3" w:rsidRDefault="00C22CFA">
      <w:pPr>
        <w:spacing w:line="500" w:lineRule="exact"/>
        <w:ind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监测时间：</w:t>
      </w:r>
      <w:r>
        <w:rPr>
          <w:rFonts w:ascii="Times New Roman" w:eastAsia="宋体" w:hAnsi="Times New Roman" w:cs="Times New Roman"/>
          <w:color w:val="0D0D0D"/>
          <w:sz w:val="28"/>
          <w:szCs w:val="28"/>
        </w:rPr>
        <w:t>2021</w:t>
      </w:r>
      <w:r>
        <w:rPr>
          <w:rFonts w:ascii="Times New Roman" w:eastAsia="宋体" w:hAnsi="Times New Roman" w:cs="Times New Roman"/>
          <w:color w:val="0D0D0D"/>
          <w:sz w:val="28"/>
          <w:szCs w:val="28"/>
        </w:rPr>
        <w:t>年</w:t>
      </w:r>
      <w:r>
        <w:rPr>
          <w:rFonts w:ascii="Times New Roman" w:eastAsia="宋体" w:hAnsi="Times New Roman" w:cs="Times New Roman"/>
          <w:color w:val="0D0D0D"/>
          <w:sz w:val="28"/>
          <w:szCs w:val="28"/>
        </w:rPr>
        <w:t>5</w:t>
      </w:r>
      <w:r>
        <w:rPr>
          <w:rFonts w:ascii="Times New Roman" w:eastAsia="宋体" w:hAnsi="Times New Roman" w:cs="Times New Roman"/>
          <w:color w:val="0D0D0D"/>
          <w:sz w:val="28"/>
          <w:szCs w:val="28"/>
        </w:rPr>
        <w:t>月</w:t>
      </w:r>
      <w:r>
        <w:rPr>
          <w:rFonts w:ascii="Times New Roman" w:eastAsia="宋体" w:hAnsi="Times New Roman" w:cs="Times New Roman"/>
          <w:color w:val="0D0D0D"/>
          <w:sz w:val="28"/>
          <w:szCs w:val="28"/>
        </w:rPr>
        <w:t>11</w:t>
      </w:r>
      <w:r>
        <w:rPr>
          <w:rFonts w:ascii="Times New Roman" w:eastAsia="宋体" w:hAnsi="Times New Roman" w:cs="Times New Roman"/>
          <w:color w:val="0D0D0D"/>
          <w:sz w:val="28"/>
          <w:szCs w:val="28"/>
        </w:rPr>
        <w:t>日</w:t>
      </w:r>
      <w:r>
        <w:rPr>
          <w:rFonts w:ascii="Times New Roman" w:eastAsia="宋体" w:hAnsi="Times New Roman" w:cs="Times New Roman"/>
          <w:color w:val="0D0D0D"/>
          <w:sz w:val="28"/>
          <w:szCs w:val="28"/>
        </w:rPr>
        <w:t>~12</w:t>
      </w:r>
      <w:r>
        <w:rPr>
          <w:rFonts w:ascii="Times New Roman" w:eastAsia="宋体" w:hAnsi="Times New Roman" w:cs="Times New Roman"/>
          <w:color w:val="0D0D0D"/>
          <w:sz w:val="28"/>
          <w:szCs w:val="28"/>
        </w:rPr>
        <w:t>日，连续监测</w:t>
      </w:r>
      <w:r>
        <w:rPr>
          <w:rFonts w:ascii="Times New Roman" w:eastAsia="宋体" w:hAnsi="Times New Roman" w:cs="Times New Roman"/>
          <w:color w:val="0D0D0D"/>
          <w:sz w:val="28"/>
          <w:szCs w:val="28"/>
        </w:rPr>
        <w:t>2</w:t>
      </w:r>
      <w:r>
        <w:rPr>
          <w:rFonts w:ascii="Times New Roman" w:eastAsia="宋体" w:hAnsi="Times New Roman" w:cs="Times New Roman"/>
          <w:color w:val="0D0D0D"/>
          <w:sz w:val="28"/>
          <w:szCs w:val="28"/>
        </w:rPr>
        <w:t>天。</w:t>
      </w:r>
    </w:p>
    <w:p w14:paraId="2262DA09" w14:textId="77777777" w:rsidR="002133E3" w:rsidRDefault="00C22CFA">
      <w:pPr>
        <w:spacing w:line="500" w:lineRule="exact"/>
        <w:ind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监测频次：连续监测</w:t>
      </w:r>
      <w:r>
        <w:rPr>
          <w:rFonts w:ascii="Times New Roman" w:eastAsia="宋体" w:hAnsi="Times New Roman" w:cs="Times New Roman"/>
          <w:color w:val="0D0D0D"/>
          <w:sz w:val="28"/>
          <w:szCs w:val="28"/>
        </w:rPr>
        <w:t>2</w:t>
      </w:r>
      <w:r>
        <w:rPr>
          <w:rFonts w:ascii="Times New Roman" w:eastAsia="宋体" w:hAnsi="Times New Roman" w:cs="Times New Roman"/>
          <w:color w:val="0D0D0D"/>
          <w:sz w:val="28"/>
          <w:szCs w:val="28"/>
        </w:rPr>
        <w:t>天，昼夜各监测</w:t>
      </w:r>
      <w:r>
        <w:rPr>
          <w:rFonts w:ascii="Times New Roman" w:eastAsia="宋体" w:hAnsi="Times New Roman" w:cs="Times New Roman"/>
          <w:color w:val="0D0D0D"/>
          <w:sz w:val="28"/>
          <w:szCs w:val="28"/>
        </w:rPr>
        <w:t>1</w:t>
      </w:r>
      <w:r>
        <w:rPr>
          <w:rFonts w:ascii="Times New Roman" w:eastAsia="宋体" w:hAnsi="Times New Roman" w:cs="Times New Roman"/>
          <w:color w:val="0D0D0D"/>
          <w:sz w:val="28"/>
          <w:szCs w:val="28"/>
        </w:rPr>
        <w:t>次。</w:t>
      </w:r>
    </w:p>
    <w:p w14:paraId="45535C4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监测方法</w:t>
      </w:r>
    </w:p>
    <w:p w14:paraId="2A07841B" w14:textId="77777777" w:rsidR="002133E3" w:rsidRDefault="00C22CFA">
      <w:pPr>
        <w:spacing w:line="500" w:lineRule="exact"/>
        <w:ind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按《声环境质量标准》中规定的监测方法执行，使用</w:t>
      </w:r>
      <w:r>
        <w:rPr>
          <w:rFonts w:ascii="Times New Roman" w:eastAsia="宋体" w:hAnsi="Times New Roman" w:cs="Times New Roman"/>
          <w:color w:val="0D0D0D"/>
          <w:sz w:val="28"/>
          <w:szCs w:val="28"/>
        </w:rPr>
        <w:t>A</w:t>
      </w:r>
      <w:r>
        <w:rPr>
          <w:rFonts w:ascii="Times New Roman" w:eastAsia="宋体" w:hAnsi="Times New Roman" w:cs="Times New Roman"/>
          <w:color w:val="0D0D0D"/>
          <w:sz w:val="28"/>
          <w:szCs w:val="28"/>
        </w:rPr>
        <w:t>声级，传声器距地面</w:t>
      </w:r>
      <w:r>
        <w:rPr>
          <w:rFonts w:ascii="Times New Roman" w:eastAsia="宋体" w:hAnsi="Times New Roman" w:cs="Times New Roman"/>
          <w:color w:val="0D0D0D"/>
          <w:sz w:val="28"/>
          <w:szCs w:val="28"/>
        </w:rPr>
        <w:t>1.2</w:t>
      </w:r>
      <w:r>
        <w:rPr>
          <w:rFonts w:ascii="Times New Roman" w:eastAsia="宋体" w:hAnsi="Times New Roman" w:cs="Times New Roman"/>
          <w:color w:val="0D0D0D"/>
          <w:sz w:val="28"/>
          <w:szCs w:val="28"/>
        </w:rPr>
        <w:t>米，离厂界</w:t>
      </w:r>
      <w:r>
        <w:rPr>
          <w:rFonts w:ascii="Times New Roman" w:eastAsia="宋体" w:hAnsi="Times New Roman" w:cs="Times New Roman"/>
          <w:color w:val="0D0D0D"/>
          <w:sz w:val="28"/>
          <w:szCs w:val="28"/>
        </w:rPr>
        <w:t>1</w:t>
      </w:r>
      <w:r>
        <w:rPr>
          <w:rFonts w:ascii="Times New Roman" w:eastAsia="宋体" w:hAnsi="Times New Roman" w:cs="Times New Roman"/>
          <w:color w:val="0D0D0D"/>
          <w:sz w:val="28"/>
          <w:szCs w:val="28"/>
        </w:rPr>
        <w:t>米。符合环境监测技术规范中的要求。</w:t>
      </w:r>
    </w:p>
    <w:p w14:paraId="7D63CCC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监测结果</w:t>
      </w:r>
    </w:p>
    <w:p w14:paraId="78B31D38"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噪声监测结果见表</w:t>
      </w:r>
      <w:r>
        <w:rPr>
          <w:rFonts w:ascii="Times New Roman" w:eastAsia="宋体" w:hAnsi="Times New Roman" w:cs="Times New Roman"/>
          <w:color w:val="0D0D0D"/>
          <w:sz w:val="28"/>
          <w:szCs w:val="28"/>
        </w:rPr>
        <w:t>5.2-13</w:t>
      </w:r>
      <w:r>
        <w:rPr>
          <w:rFonts w:ascii="Times New Roman" w:eastAsia="宋体" w:hAnsi="Times New Roman" w:cs="Times New Roman"/>
          <w:color w:val="0D0D0D"/>
          <w:sz w:val="28"/>
          <w:szCs w:val="28"/>
        </w:rPr>
        <w:t>。</w:t>
      </w:r>
    </w:p>
    <w:p w14:paraId="0A74D92B" w14:textId="77777777" w:rsidR="002133E3" w:rsidRDefault="00C22CFA">
      <w:pPr>
        <w:spacing w:line="480" w:lineRule="exact"/>
        <w:jc w:val="center"/>
        <w:rPr>
          <w:rFonts w:ascii="Times New Roman" w:eastAsia="宋体" w:hAnsi="Times New Roman" w:cs="Times New Roman"/>
          <w:b/>
          <w:bCs/>
          <w:color w:val="0D0D0D"/>
          <w:sz w:val="24"/>
          <w:szCs w:val="28"/>
        </w:rPr>
      </w:pPr>
      <w:r>
        <w:rPr>
          <w:rFonts w:ascii="Times New Roman" w:eastAsia="宋体" w:hAnsi="Times New Roman" w:cs="Times New Roman"/>
          <w:b/>
          <w:bCs/>
          <w:color w:val="0D0D0D"/>
          <w:sz w:val="24"/>
          <w:szCs w:val="28"/>
        </w:rPr>
        <w:t>表</w:t>
      </w:r>
      <w:r>
        <w:rPr>
          <w:rFonts w:ascii="Times New Roman" w:eastAsia="宋体" w:hAnsi="Times New Roman" w:cs="Times New Roman"/>
          <w:b/>
          <w:bCs/>
          <w:color w:val="0D0D0D"/>
          <w:sz w:val="24"/>
          <w:szCs w:val="28"/>
        </w:rPr>
        <w:t xml:space="preserve">5.2-13  </w:t>
      </w:r>
      <w:r>
        <w:rPr>
          <w:rFonts w:ascii="Times New Roman" w:eastAsia="宋体" w:hAnsi="Times New Roman" w:cs="Times New Roman"/>
          <w:b/>
          <w:bCs/>
          <w:color w:val="0D0D0D"/>
          <w:sz w:val="24"/>
          <w:szCs w:val="28"/>
        </w:rPr>
        <w:t>厂区噪声环境质量监测结果</w:t>
      </w:r>
    </w:p>
    <w:tbl>
      <w:tblPr>
        <w:tblW w:w="5000" w:type="pct"/>
        <w:tblLook w:val="04A0" w:firstRow="1" w:lastRow="0" w:firstColumn="1" w:lastColumn="0" w:noHBand="0" w:noVBand="1"/>
      </w:tblPr>
      <w:tblGrid>
        <w:gridCol w:w="678"/>
        <w:gridCol w:w="993"/>
        <w:gridCol w:w="849"/>
        <w:gridCol w:w="1133"/>
        <w:gridCol w:w="851"/>
        <w:gridCol w:w="1135"/>
        <w:gridCol w:w="849"/>
        <w:gridCol w:w="1332"/>
        <w:gridCol w:w="978"/>
        <w:gridCol w:w="1056"/>
      </w:tblGrid>
      <w:tr w:rsidR="002133E3" w14:paraId="45450DD5" w14:textId="77777777">
        <w:trPr>
          <w:trHeight w:val="285"/>
        </w:trPr>
        <w:tc>
          <w:tcPr>
            <w:tcW w:w="3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FBC08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测点编号</w:t>
            </w:r>
          </w:p>
        </w:tc>
        <w:tc>
          <w:tcPr>
            <w:tcW w:w="50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A9C96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检测点位名称</w:t>
            </w:r>
          </w:p>
        </w:tc>
        <w:tc>
          <w:tcPr>
            <w:tcW w:w="4153" w:type="pct"/>
            <w:gridSpan w:val="8"/>
            <w:tcBorders>
              <w:top w:val="single" w:sz="4" w:space="0" w:color="auto"/>
              <w:left w:val="nil"/>
              <w:bottom w:val="single" w:sz="4" w:space="0" w:color="auto"/>
              <w:right w:val="single" w:sz="4" w:space="0" w:color="000000"/>
            </w:tcBorders>
            <w:shd w:val="clear" w:color="auto" w:fill="auto"/>
            <w:vAlign w:val="center"/>
          </w:tcPr>
          <w:p w14:paraId="2BA0721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等效声级</w:t>
            </w:r>
            <w:proofErr w:type="spellStart"/>
            <w:r>
              <w:rPr>
                <w:rFonts w:ascii="Times New Roman" w:eastAsia="宋体" w:hAnsi="Times New Roman" w:cs="Times New Roman"/>
                <w:color w:val="000000"/>
                <w:kern w:val="0"/>
                <w:szCs w:val="21"/>
              </w:rPr>
              <w:t>Leq</w:t>
            </w:r>
            <w:proofErr w:type="spellEnd"/>
            <w:r>
              <w:rPr>
                <w:rFonts w:ascii="Times New Roman" w:eastAsia="宋体" w:hAnsi="Times New Roman" w:cs="Times New Roman"/>
                <w:color w:val="000000"/>
                <w:kern w:val="0"/>
                <w:szCs w:val="21"/>
              </w:rPr>
              <w:t xml:space="preserve">  dB</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A</w:t>
            </w:r>
            <w:r>
              <w:rPr>
                <w:rFonts w:ascii="Times New Roman" w:eastAsia="宋体" w:hAnsi="Times New Roman" w:cs="Times New Roman"/>
                <w:color w:val="000000"/>
                <w:kern w:val="0"/>
                <w:szCs w:val="21"/>
              </w:rPr>
              <w:t>）</w:t>
            </w:r>
          </w:p>
        </w:tc>
      </w:tr>
      <w:tr w:rsidR="002133E3" w14:paraId="3F191686" w14:textId="77777777">
        <w:trPr>
          <w:trHeight w:val="285"/>
        </w:trPr>
        <w:tc>
          <w:tcPr>
            <w:tcW w:w="344" w:type="pct"/>
            <w:vMerge/>
            <w:tcBorders>
              <w:top w:val="single" w:sz="4" w:space="0" w:color="auto"/>
              <w:left w:val="single" w:sz="4" w:space="0" w:color="auto"/>
              <w:bottom w:val="single" w:sz="4" w:space="0" w:color="auto"/>
              <w:right w:val="single" w:sz="4" w:space="0" w:color="auto"/>
            </w:tcBorders>
            <w:vAlign w:val="center"/>
          </w:tcPr>
          <w:p w14:paraId="0530706F" w14:textId="77777777" w:rsidR="002133E3" w:rsidRDefault="002133E3">
            <w:pPr>
              <w:widowControl/>
              <w:jc w:val="left"/>
              <w:rPr>
                <w:rFonts w:ascii="Times New Roman" w:eastAsia="宋体" w:hAnsi="Times New Roman" w:cs="Times New Roman"/>
                <w:color w:val="000000"/>
                <w:kern w:val="0"/>
                <w:szCs w:val="21"/>
              </w:rPr>
            </w:pPr>
          </w:p>
        </w:tc>
        <w:tc>
          <w:tcPr>
            <w:tcW w:w="504" w:type="pct"/>
            <w:vMerge/>
            <w:tcBorders>
              <w:top w:val="single" w:sz="4" w:space="0" w:color="auto"/>
              <w:left w:val="single" w:sz="4" w:space="0" w:color="auto"/>
              <w:bottom w:val="single" w:sz="4" w:space="0" w:color="auto"/>
              <w:right w:val="single" w:sz="4" w:space="0" w:color="auto"/>
            </w:tcBorders>
            <w:vAlign w:val="center"/>
          </w:tcPr>
          <w:p w14:paraId="2E5613D0" w14:textId="77777777" w:rsidR="002133E3" w:rsidRDefault="002133E3">
            <w:pPr>
              <w:widowControl/>
              <w:jc w:val="left"/>
              <w:rPr>
                <w:rFonts w:ascii="Times New Roman" w:eastAsia="宋体" w:hAnsi="Times New Roman" w:cs="Times New Roman"/>
                <w:color w:val="000000"/>
                <w:kern w:val="0"/>
                <w:szCs w:val="21"/>
              </w:rPr>
            </w:pPr>
          </w:p>
        </w:tc>
        <w:tc>
          <w:tcPr>
            <w:tcW w:w="2013" w:type="pct"/>
            <w:gridSpan w:val="4"/>
            <w:tcBorders>
              <w:top w:val="single" w:sz="4" w:space="0" w:color="auto"/>
              <w:left w:val="nil"/>
              <w:bottom w:val="single" w:sz="4" w:space="0" w:color="auto"/>
              <w:right w:val="single" w:sz="4" w:space="0" w:color="000000"/>
            </w:tcBorders>
            <w:shd w:val="clear" w:color="auto" w:fill="auto"/>
            <w:vAlign w:val="center"/>
          </w:tcPr>
          <w:p w14:paraId="3742E2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2021.05.10</w:t>
            </w:r>
          </w:p>
        </w:tc>
        <w:tc>
          <w:tcPr>
            <w:tcW w:w="2139" w:type="pct"/>
            <w:gridSpan w:val="4"/>
            <w:tcBorders>
              <w:top w:val="single" w:sz="4" w:space="0" w:color="auto"/>
              <w:left w:val="nil"/>
              <w:bottom w:val="single" w:sz="4" w:space="0" w:color="auto"/>
              <w:right w:val="single" w:sz="4" w:space="0" w:color="000000"/>
            </w:tcBorders>
            <w:shd w:val="clear" w:color="auto" w:fill="auto"/>
            <w:vAlign w:val="center"/>
          </w:tcPr>
          <w:p w14:paraId="1C09CD6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2021.05.11</w:t>
            </w:r>
          </w:p>
        </w:tc>
      </w:tr>
      <w:tr w:rsidR="002133E3" w14:paraId="59A5A1C9" w14:textId="77777777">
        <w:trPr>
          <w:trHeight w:val="285"/>
        </w:trPr>
        <w:tc>
          <w:tcPr>
            <w:tcW w:w="344" w:type="pct"/>
            <w:vMerge/>
            <w:tcBorders>
              <w:top w:val="single" w:sz="4" w:space="0" w:color="auto"/>
              <w:left w:val="single" w:sz="4" w:space="0" w:color="auto"/>
              <w:bottom w:val="single" w:sz="4" w:space="0" w:color="auto"/>
              <w:right w:val="single" w:sz="4" w:space="0" w:color="auto"/>
            </w:tcBorders>
            <w:vAlign w:val="center"/>
          </w:tcPr>
          <w:p w14:paraId="4081D810" w14:textId="77777777" w:rsidR="002133E3" w:rsidRDefault="002133E3">
            <w:pPr>
              <w:widowControl/>
              <w:jc w:val="left"/>
              <w:rPr>
                <w:rFonts w:ascii="Times New Roman" w:eastAsia="宋体" w:hAnsi="Times New Roman" w:cs="Times New Roman"/>
                <w:color w:val="000000"/>
                <w:kern w:val="0"/>
                <w:szCs w:val="21"/>
              </w:rPr>
            </w:pPr>
          </w:p>
        </w:tc>
        <w:tc>
          <w:tcPr>
            <w:tcW w:w="504" w:type="pct"/>
            <w:vMerge/>
            <w:tcBorders>
              <w:top w:val="single" w:sz="4" w:space="0" w:color="auto"/>
              <w:left w:val="single" w:sz="4" w:space="0" w:color="auto"/>
              <w:bottom w:val="single" w:sz="4" w:space="0" w:color="auto"/>
              <w:right w:val="single" w:sz="4" w:space="0" w:color="auto"/>
            </w:tcBorders>
            <w:vAlign w:val="center"/>
          </w:tcPr>
          <w:p w14:paraId="504ABF4B" w14:textId="77777777" w:rsidR="002133E3" w:rsidRDefault="002133E3">
            <w:pPr>
              <w:widowControl/>
              <w:jc w:val="left"/>
              <w:rPr>
                <w:rFonts w:ascii="Times New Roman" w:eastAsia="宋体" w:hAnsi="Times New Roman" w:cs="Times New Roman"/>
                <w:color w:val="000000"/>
                <w:kern w:val="0"/>
                <w:szCs w:val="21"/>
              </w:rPr>
            </w:pPr>
          </w:p>
        </w:tc>
        <w:tc>
          <w:tcPr>
            <w:tcW w:w="431" w:type="pct"/>
            <w:tcBorders>
              <w:top w:val="nil"/>
              <w:left w:val="nil"/>
              <w:bottom w:val="single" w:sz="4" w:space="0" w:color="auto"/>
              <w:right w:val="single" w:sz="4" w:space="0" w:color="auto"/>
            </w:tcBorders>
            <w:shd w:val="clear" w:color="auto" w:fill="auto"/>
            <w:vAlign w:val="center"/>
          </w:tcPr>
          <w:p w14:paraId="5E99862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昼间</w:t>
            </w:r>
          </w:p>
        </w:tc>
        <w:tc>
          <w:tcPr>
            <w:tcW w:w="575" w:type="pct"/>
            <w:tcBorders>
              <w:top w:val="nil"/>
              <w:left w:val="nil"/>
              <w:bottom w:val="single" w:sz="4" w:space="0" w:color="auto"/>
              <w:right w:val="single" w:sz="4" w:space="0" w:color="auto"/>
            </w:tcBorders>
            <w:shd w:val="clear" w:color="auto" w:fill="auto"/>
            <w:vAlign w:val="center"/>
          </w:tcPr>
          <w:p w14:paraId="42BC3AD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评价结果</w:t>
            </w:r>
          </w:p>
        </w:tc>
        <w:tc>
          <w:tcPr>
            <w:tcW w:w="432" w:type="pct"/>
            <w:tcBorders>
              <w:top w:val="nil"/>
              <w:left w:val="nil"/>
              <w:bottom w:val="single" w:sz="4" w:space="0" w:color="auto"/>
              <w:right w:val="single" w:sz="4" w:space="0" w:color="auto"/>
            </w:tcBorders>
            <w:shd w:val="clear" w:color="auto" w:fill="auto"/>
            <w:vAlign w:val="center"/>
          </w:tcPr>
          <w:p w14:paraId="4A2A3E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夜间</w:t>
            </w:r>
          </w:p>
        </w:tc>
        <w:tc>
          <w:tcPr>
            <w:tcW w:w="576" w:type="pct"/>
            <w:tcBorders>
              <w:top w:val="nil"/>
              <w:left w:val="nil"/>
              <w:bottom w:val="single" w:sz="4" w:space="0" w:color="auto"/>
              <w:right w:val="single" w:sz="4" w:space="0" w:color="auto"/>
            </w:tcBorders>
            <w:shd w:val="clear" w:color="auto" w:fill="auto"/>
            <w:vAlign w:val="center"/>
          </w:tcPr>
          <w:p w14:paraId="51AE3EA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评价结果</w:t>
            </w:r>
          </w:p>
        </w:tc>
        <w:tc>
          <w:tcPr>
            <w:tcW w:w="431" w:type="pct"/>
            <w:tcBorders>
              <w:top w:val="nil"/>
              <w:left w:val="nil"/>
              <w:bottom w:val="single" w:sz="4" w:space="0" w:color="auto"/>
              <w:right w:val="single" w:sz="4" w:space="0" w:color="auto"/>
            </w:tcBorders>
            <w:shd w:val="clear" w:color="auto" w:fill="auto"/>
            <w:vAlign w:val="center"/>
          </w:tcPr>
          <w:p w14:paraId="24A7471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昼间</w:t>
            </w:r>
          </w:p>
        </w:tc>
        <w:tc>
          <w:tcPr>
            <w:tcW w:w="676" w:type="pct"/>
            <w:tcBorders>
              <w:top w:val="nil"/>
              <w:left w:val="nil"/>
              <w:bottom w:val="single" w:sz="4" w:space="0" w:color="auto"/>
              <w:right w:val="single" w:sz="4" w:space="0" w:color="auto"/>
            </w:tcBorders>
            <w:shd w:val="clear" w:color="auto" w:fill="auto"/>
            <w:vAlign w:val="center"/>
          </w:tcPr>
          <w:p w14:paraId="405E37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评价结果</w:t>
            </w:r>
          </w:p>
        </w:tc>
        <w:tc>
          <w:tcPr>
            <w:tcW w:w="496" w:type="pct"/>
            <w:tcBorders>
              <w:top w:val="nil"/>
              <w:left w:val="nil"/>
              <w:bottom w:val="single" w:sz="4" w:space="0" w:color="auto"/>
              <w:right w:val="single" w:sz="4" w:space="0" w:color="auto"/>
            </w:tcBorders>
            <w:shd w:val="clear" w:color="auto" w:fill="auto"/>
            <w:vAlign w:val="center"/>
          </w:tcPr>
          <w:p w14:paraId="797CAD4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夜间</w:t>
            </w:r>
          </w:p>
        </w:tc>
        <w:tc>
          <w:tcPr>
            <w:tcW w:w="536" w:type="pct"/>
            <w:tcBorders>
              <w:top w:val="nil"/>
              <w:left w:val="nil"/>
              <w:bottom w:val="single" w:sz="4" w:space="0" w:color="auto"/>
              <w:right w:val="single" w:sz="4" w:space="0" w:color="auto"/>
            </w:tcBorders>
            <w:shd w:val="clear" w:color="auto" w:fill="auto"/>
            <w:noWrap/>
            <w:vAlign w:val="center"/>
          </w:tcPr>
          <w:p w14:paraId="3F0FBBD5" w14:textId="77777777" w:rsidR="002133E3" w:rsidRDefault="00C22CFA">
            <w:pPr>
              <w:widowControl/>
              <w:jc w:val="left"/>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评价结果</w:t>
            </w:r>
          </w:p>
        </w:tc>
      </w:tr>
      <w:tr w:rsidR="002133E3" w14:paraId="78253B7B" w14:textId="77777777">
        <w:trPr>
          <w:trHeight w:val="285"/>
        </w:trPr>
        <w:tc>
          <w:tcPr>
            <w:tcW w:w="344" w:type="pct"/>
            <w:tcBorders>
              <w:top w:val="nil"/>
              <w:left w:val="single" w:sz="4" w:space="0" w:color="auto"/>
              <w:bottom w:val="single" w:sz="4" w:space="0" w:color="auto"/>
              <w:right w:val="single" w:sz="4" w:space="0" w:color="auto"/>
            </w:tcBorders>
            <w:shd w:val="clear" w:color="auto" w:fill="auto"/>
            <w:vAlign w:val="center"/>
          </w:tcPr>
          <w:p w14:paraId="423C79D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N1</w:t>
            </w:r>
          </w:p>
        </w:tc>
        <w:tc>
          <w:tcPr>
            <w:tcW w:w="504" w:type="pct"/>
            <w:tcBorders>
              <w:top w:val="nil"/>
              <w:left w:val="nil"/>
              <w:bottom w:val="single" w:sz="4" w:space="0" w:color="auto"/>
              <w:right w:val="single" w:sz="4" w:space="0" w:color="auto"/>
            </w:tcBorders>
            <w:shd w:val="clear" w:color="auto" w:fill="auto"/>
            <w:vAlign w:val="center"/>
          </w:tcPr>
          <w:p w14:paraId="251AA3B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西厂界</w:t>
            </w:r>
          </w:p>
        </w:tc>
        <w:tc>
          <w:tcPr>
            <w:tcW w:w="431" w:type="pct"/>
            <w:tcBorders>
              <w:top w:val="nil"/>
              <w:left w:val="nil"/>
              <w:bottom w:val="single" w:sz="4" w:space="0" w:color="auto"/>
              <w:right w:val="single" w:sz="4" w:space="0" w:color="auto"/>
            </w:tcBorders>
            <w:shd w:val="clear" w:color="auto" w:fill="auto"/>
            <w:vAlign w:val="center"/>
          </w:tcPr>
          <w:p w14:paraId="0A086ED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60</w:t>
            </w:r>
          </w:p>
        </w:tc>
        <w:tc>
          <w:tcPr>
            <w:tcW w:w="575" w:type="pct"/>
            <w:tcBorders>
              <w:top w:val="nil"/>
              <w:left w:val="nil"/>
              <w:bottom w:val="single" w:sz="4" w:space="0" w:color="auto"/>
              <w:right w:val="single" w:sz="4" w:space="0" w:color="auto"/>
            </w:tcBorders>
            <w:shd w:val="clear" w:color="auto" w:fill="auto"/>
            <w:vAlign w:val="center"/>
          </w:tcPr>
          <w:p w14:paraId="009003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2" w:type="pct"/>
            <w:tcBorders>
              <w:top w:val="nil"/>
              <w:left w:val="nil"/>
              <w:bottom w:val="single" w:sz="4" w:space="0" w:color="auto"/>
              <w:right w:val="single" w:sz="4" w:space="0" w:color="auto"/>
            </w:tcBorders>
            <w:shd w:val="clear" w:color="auto" w:fill="auto"/>
            <w:vAlign w:val="center"/>
          </w:tcPr>
          <w:p w14:paraId="2FE8A1D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52</w:t>
            </w:r>
          </w:p>
        </w:tc>
        <w:tc>
          <w:tcPr>
            <w:tcW w:w="576" w:type="pct"/>
            <w:tcBorders>
              <w:top w:val="nil"/>
              <w:left w:val="nil"/>
              <w:bottom w:val="single" w:sz="4" w:space="0" w:color="auto"/>
              <w:right w:val="single" w:sz="4" w:space="0" w:color="auto"/>
            </w:tcBorders>
            <w:shd w:val="clear" w:color="auto" w:fill="auto"/>
            <w:vAlign w:val="center"/>
          </w:tcPr>
          <w:p w14:paraId="0A967B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1" w:type="pct"/>
            <w:tcBorders>
              <w:top w:val="nil"/>
              <w:left w:val="nil"/>
              <w:bottom w:val="single" w:sz="4" w:space="0" w:color="auto"/>
              <w:right w:val="single" w:sz="4" w:space="0" w:color="auto"/>
            </w:tcBorders>
            <w:shd w:val="clear" w:color="auto" w:fill="auto"/>
            <w:vAlign w:val="center"/>
          </w:tcPr>
          <w:p w14:paraId="4A151E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60</w:t>
            </w:r>
          </w:p>
        </w:tc>
        <w:tc>
          <w:tcPr>
            <w:tcW w:w="676" w:type="pct"/>
            <w:tcBorders>
              <w:top w:val="nil"/>
              <w:left w:val="nil"/>
              <w:bottom w:val="single" w:sz="4" w:space="0" w:color="auto"/>
              <w:right w:val="single" w:sz="4" w:space="0" w:color="auto"/>
            </w:tcBorders>
            <w:shd w:val="clear" w:color="auto" w:fill="auto"/>
            <w:vAlign w:val="center"/>
          </w:tcPr>
          <w:p w14:paraId="273CC58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96" w:type="pct"/>
            <w:tcBorders>
              <w:top w:val="nil"/>
              <w:left w:val="nil"/>
              <w:bottom w:val="single" w:sz="4" w:space="0" w:color="auto"/>
              <w:right w:val="single" w:sz="4" w:space="0" w:color="auto"/>
            </w:tcBorders>
            <w:shd w:val="clear" w:color="auto" w:fill="auto"/>
            <w:vAlign w:val="center"/>
          </w:tcPr>
          <w:p w14:paraId="6172955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49</w:t>
            </w:r>
          </w:p>
        </w:tc>
        <w:tc>
          <w:tcPr>
            <w:tcW w:w="536" w:type="pct"/>
            <w:tcBorders>
              <w:top w:val="nil"/>
              <w:left w:val="nil"/>
              <w:bottom w:val="single" w:sz="4" w:space="0" w:color="auto"/>
              <w:right w:val="single" w:sz="4" w:space="0" w:color="auto"/>
            </w:tcBorders>
            <w:shd w:val="clear" w:color="auto" w:fill="auto"/>
            <w:vAlign w:val="center"/>
          </w:tcPr>
          <w:p w14:paraId="03D75D5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r>
      <w:tr w:rsidR="002133E3" w14:paraId="5848DED0" w14:textId="77777777">
        <w:trPr>
          <w:trHeight w:val="285"/>
        </w:trPr>
        <w:tc>
          <w:tcPr>
            <w:tcW w:w="344" w:type="pct"/>
            <w:tcBorders>
              <w:top w:val="nil"/>
              <w:left w:val="single" w:sz="4" w:space="0" w:color="auto"/>
              <w:bottom w:val="single" w:sz="4" w:space="0" w:color="auto"/>
              <w:right w:val="single" w:sz="4" w:space="0" w:color="auto"/>
            </w:tcBorders>
            <w:shd w:val="clear" w:color="auto" w:fill="auto"/>
            <w:vAlign w:val="center"/>
          </w:tcPr>
          <w:p w14:paraId="4767CC3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N2</w:t>
            </w:r>
          </w:p>
        </w:tc>
        <w:tc>
          <w:tcPr>
            <w:tcW w:w="504" w:type="pct"/>
            <w:tcBorders>
              <w:top w:val="nil"/>
              <w:left w:val="nil"/>
              <w:bottom w:val="single" w:sz="4" w:space="0" w:color="auto"/>
              <w:right w:val="single" w:sz="4" w:space="0" w:color="auto"/>
            </w:tcBorders>
            <w:shd w:val="clear" w:color="auto" w:fill="auto"/>
            <w:vAlign w:val="center"/>
          </w:tcPr>
          <w:p w14:paraId="7411BDB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东厂界</w:t>
            </w:r>
          </w:p>
        </w:tc>
        <w:tc>
          <w:tcPr>
            <w:tcW w:w="431" w:type="pct"/>
            <w:tcBorders>
              <w:top w:val="nil"/>
              <w:left w:val="nil"/>
              <w:bottom w:val="single" w:sz="4" w:space="0" w:color="auto"/>
              <w:right w:val="single" w:sz="4" w:space="0" w:color="auto"/>
            </w:tcBorders>
            <w:shd w:val="clear" w:color="auto" w:fill="auto"/>
            <w:vAlign w:val="center"/>
          </w:tcPr>
          <w:p w14:paraId="67A89C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63</w:t>
            </w:r>
          </w:p>
        </w:tc>
        <w:tc>
          <w:tcPr>
            <w:tcW w:w="575" w:type="pct"/>
            <w:tcBorders>
              <w:top w:val="nil"/>
              <w:left w:val="nil"/>
              <w:bottom w:val="single" w:sz="4" w:space="0" w:color="auto"/>
              <w:right w:val="single" w:sz="4" w:space="0" w:color="auto"/>
            </w:tcBorders>
            <w:shd w:val="clear" w:color="auto" w:fill="auto"/>
            <w:vAlign w:val="center"/>
          </w:tcPr>
          <w:p w14:paraId="4A93633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2" w:type="pct"/>
            <w:tcBorders>
              <w:top w:val="nil"/>
              <w:left w:val="nil"/>
              <w:bottom w:val="single" w:sz="4" w:space="0" w:color="auto"/>
              <w:right w:val="single" w:sz="4" w:space="0" w:color="auto"/>
            </w:tcBorders>
            <w:shd w:val="clear" w:color="auto" w:fill="auto"/>
            <w:vAlign w:val="center"/>
          </w:tcPr>
          <w:p w14:paraId="13524EE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53</w:t>
            </w:r>
          </w:p>
        </w:tc>
        <w:tc>
          <w:tcPr>
            <w:tcW w:w="576" w:type="pct"/>
            <w:tcBorders>
              <w:top w:val="nil"/>
              <w:left w:val="nil"/>
              <w:bottom w:val="single" w:sz="4" w:space="0" w:color="auto"/>
              <w:right w:val="single" w:sz="4" w:space="0" w:color="auto"/>
            </w:tcBorders>
            <w:shd w:val="clear" w:color="auto" w:fill="auto"/>
            <w:vAlign w:val="center"/>
          </w:tcPr>
          <w:p w14:paraId="57A9116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1" w:type="pct"/>
            <w:tcBorders>
              <w:top w:val="nil"/>
              <w:left w:val="nil"/>
              <w:bottom w:val="single" w:sz="4" w:space="0" w:color="auto"/>
              <w:right w:val="single" w:sz="4" w:space="0" w:color="auto"/>
            </w:tcBorders>
            <w:shd w:val="clear" w:color="auto" w:fill="auto"/>
            <w:vAlign w:val="center"/>
          </w:tcPr>
          <w:p w14:paraId="0C0CE2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62</w:t>
            </w:r>
          </w:p>
        </w:tc>
        <w:tc>
          <w:tcPr>
            <w:tcW w:w="676" w:type="pct"/>
            <w:tcBorders>
              <w:top w:val="nil"/>
              <w:left w:val="nil"/>
              <w:bottom w:val="single" w:sz="4" w:space="0" w:color="auto"/>
              <w:right w:val="single" w:sz="4" w:space="0" w:color="auto"/>
            </w:tcBorders>
            <w:shd w:val="clear" w:color="auto" w:fill="auto"/>
            <w:vAlign w:val="center"/>
          </w:tcPr>
          <w:p w14:paraId="6551731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96" w:type="pct"/>
            <w:tcBorders>
              <w:top w:val="nil"/>
              <w:left w:val="nil"/>
              <w:bottom w:val="single" w:sz="4" w:space="0" w:color="auto"/>
              <w:right w:val="single" w:sz="4" w:space="0" w:color="auto"/>
            </w:tcBorders>
            <w:shd w:val="clear" w:color="auto" w:fill="auto"/>
            <w:vAlign w:val="center"/>
          </w:tcPr>
          <w:p w14:paraId="00B832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54</w:t>
            </w:r>
          </w:p>
        </w:tc>
        <w:tc>
          <w:tcPr>
            <w:tcW w:w="536" w:type="pct"/>
            <w:tcBorders>
              <w:top w:val="nil"/>
              <w:left w:val="nil"/>
              <w:bottom w:val="single" w:sz="4" w:space="0" w:color="auto"/>
              <w:right w:val="single" w:sz="4" w:space="0" w:color="auto"/>
            </w:tcBorders>
            <w:shd w:val="clear" w:color="auto" w:fill="auto"/>
            <w:vAlign w:val="center"/>
          </w:tcPr>
          <w:p w14:paraId="357B5A6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r>
      <w:tr w:rsidR="002133E3" w14:paraId="18B03515" w14:textId="77777777">
        <w:trPr>
          <w:trHeight w:val="285"/>
        </w:trPr>
        <w:tc>
          <w:tcPr>
            <w:tcW w:w="344" w:type="pct"/>
            <w:tcBorders>
              <w:top w:val="nil"/>
              <w:left w:val="single" w:sz="4" w:space="0" w:color="auto"/>
              <w:bottom w:val="single" w:sz="4" w:space="0" w:color="auto"/>
              <w:right w:val="single" w:sz="4" w:space="0" w:color="auto"/>
            </w:tcBorders>
            <w:shd w:val="clear" w:color="auto" w:fill="auto"/>
            <w:vAlign w:val="center"/>
          </w:tcPr>
          <w:p w14:paraId="7E98C7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N3</w:t>
            </w:r>
          </w:p>
        </w:tc>
        <w:tc>
          <w:tcPr>
            <w:tcW w:w="504" w:type="pct"/>
            <w:tcBorders>
              <w:top w:val="nil"/>
              <w:left w:val="nil"/>
              <w:bottom w:val="single" w:sz="4" w:space="0" w:color="auto"/>
              <w:right w:val="single" w:sz="4" w:space="0" w:color="auto"/>
            </w:tcBorders>
            <w:shd w:val="clear" w:color="auto" w:fill="auto"/>
            <w:vAlign w:val="center"/>
          </w:tcPr>
          <w:p w14:paraId="46248FD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北厂界</w:t>
            </w:r>
          </w:p>
        </w:tc>
        <w:tc>
          <w:tcPr>
            <w:tcW w:w="431" w:type="pct"/>
            <w:tcBorders>
              <w:top w:val="nil"/>
              <w:left w:val="nil"/>
              <w:bottom w:val="single" w:sz="4" w:space="0" w:color="auto"/>
              <w:right w:val="single" w:sz="4" w:space="0" w:color="auto"/>
            </w:tcBorders>
            <w:shd w:val="clear" w:color="auto" w:fill="auto"/>
            <w:vAlign w:val="center"/>
          </w:tcPr>
          <w:p w14:paraId="03AF750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61</w:t>
            </w:r>
          </w:p>
        </w:tc>
        <w:tc>
          <w:tcPr>
            <w:tcW w:w="575" w:type="pct"/>
            <w:tcBorders>
              <w:top w:val="nil"/>
              <w:left w:val="nil"/>
              <w:bottom w:val="single" w:sz="4" w:space="0" w:color="auto"/>
              <w:right w:val="single" w:sz="4" w:space="0" w:color="auto"/>
            </w:tcBorders>
            <w:shd w:val="clear" w:color="auto" w:fill="auto"/>
            <w:vAlign w:val="center"/>
          </w:tcPr>
          <w:p w14:paraId="7D29C81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2" w:type="pct"/>
            <w:tcBorders>
              <w:top w:val="nil"/>
              <w:left w:val="nil"/>
              <w:bottom w:val="single" w:sz="4" w:space="0" w:color="auto"/>
              <w:right w:val="single" w:sz="4" w:space="0" w:color="auto"/>
            </w:tcBorders>
            <w:shd w:val="clear" w:color="auto" w:fill="auto"/>
            <w:vAlign w:val="center"/>
          </w:tcPr>
          <w:p w14:paraId="46EEE55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w:t>
            </w:r>
          </w:p>
        </w:tc>
        <w:tc>
          <w:tcPr>
            <w:tcW w:w="576" w:type="pct"/>
            <w:tcBorders>
              <w:top w:val="nil"/>
              <w:left w:val="nil"/>
              <w:bottom w:val="single" w:sz="4" w:space="0" w:color="auto"/>
              <w:right w:val="single" w:sz="4" w:space="0" w:color="auto"/>
            </w:tcBorders>
            <w:shd w:val="clear" w:color="auto" w:fill="auto"/>
            <w:vAlign w:val="center"/>
          </w:tcPr>
          <w:p w14:paraId="55E013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1" w:type="pct"/>
            <w:tcBorders>
              <w:top w:val="nil"/>
              <w:left w:val="nil"/>
              <w:bottom w:val="single" w:sz="4" w:space="0" w:color="auto"/>
              <w:right w:val="single" w:sz="4" w:space="0" w:color="auto"/>
            </w:tcBorders>
            <w:shd w:val="clear" w:color="auto" w:fill="auto"/>
            <w:vAlign w:val="center"/>
          </w:tcPr>
          <w:p w14:paraId="1062262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62</w:t>
            </w:r>
          </w:p>
        </w:tc>
        <w:tc>
          <w:tcPr>
            <w:tcW w:w="676" w:type="pct"/>
            <w:tcBorders>
              <w:top w:val="nil"/>
              <w:left w:val="nil"/>
              <w:bottom w:val="single" w:sz="4" w:space="0" w:color="auto"/>
              <w:right w:val="single" w:sz="4" w:space="0" w:color="auto"/>
            </w:tcBorders>
            <w:shd w:val="clear" w:color="auto" w:fill="auto"/>
            <w:vAlign w:val="center"/>
          </w:tcPr>
          <w:p w14:paraId="205EA6F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96" w:type="pct"/>
            <w:tcBorders>
              <w:top w:val="nil"/>
              <w:left w:val="nil"/>
              <w:bottom w:val="single" w:sz="4" w:space="0" w:color="auto"/>
              <w:right w:val="single" w:sz="4" w:space="0" w:color="auto"/>
            </w:tcBorders>
            <w:shd w:val="clear" w:color="auto" w:fill="auto"/>
            <w:vAlign w:val="center"/>
          </w:tcPr>
          <w:p w14:paraId="6A385B2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52</w:t>
            </w:r>
          </w:p>
        </w:tc>
        <w:tc>
          <w:tcPr>
            <w:tcW w:w="536" w:type="pct"/>
            <w:tcBorders>
              <w:top w:val="nil"/>
              <w:left w:val="nil"/>
              <w:bottom w:val="single" w:sz="4" w:space="0" w:color="auto"/>
              <w:right w:val="single" w:sz="4" w:space="0" w:color="auto"/>
            </w:tcBorders>
            <w:shd w:val="clear" w:color="auto" w:fill="auto"/>
            <w:vAlign w:val="center"/>
          </w:tcPr>
          <w:p w14:paraId="0F0D9F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r>
      <w:tr w:rsidR="002133E3" w14:paraId="044ECF80" w14:textId="77777777">
        <w:trPr>
          <w:trHeight w:val="285"/>
        </w:trPr>
        <w:tc>
          <w:tcPr>
            <w:tcW w:w="344" w:type="pct"/>
            <w:tcBorders>
              <w:top w:val="nil"/>
              <w:left w:val="single" w:sz="4" w:space="0" w:color="auto"/>
              <w:bottom w:val="single" w:sz="4" w:space="0" w:color="auto"/>
              <w:right w:val="single" w:sz="4" w:space="0" w:color="auto"/>
            </w:tcBorders>
            <w:shd w:val="clear" w:color="auto" w:fill="auto"/>
            <w:vAlign w:val="center"/>
          </w:tcPr>
          <w:p w14:paraId="3AF1163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N4</w:t>
            </w:r>
          </w:p>
        </w:tc>
        <w:tc>
          <w:tcPr>
            <w:tcW w:w="504" w:type="pct"/>
            <w:tcBorders>
              <w:top w:val="nil"/>
              <w:left w:val="nil"/>
              <w:bottom w:val="single" w:sz="4" w:space="0" w:color="auto"/>
              <w:right w:val="single" w:sz="4" w:space="0" w:color="auto"/>
            </w:tcBorders>
            <w:shd w:val="clear" w:color="auto" w:fill="auto"/>
            <w:vAlign w:val="center"/>
          </w:tcPr>
          <w:p w14:paraId="4DEDD63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南厂界</w:t>
            </w:r>
          </w:p>
        </w:tc>
        <w:tc>
          <w:tcPr>
            <w:tcW w:w="431" w:type="pct"/>
            <w:tcBorders>
              <w:top w:val="nil"/>
              <w:left w:val="nil"/>
              <w:bottom w:val="single" w:sz="4" w:space="0" w:color="auto"/>
              <w:right w:val="single" w:sz="4" w:space="0" w:color="auto"/>
            </w:tcBorders>
            <w:shd w:val="clear" w:color="auto" w:fill="auto"/>
            <w:vAlign w:val="center"/>
          </w:tcPr>
          <w:p w14:paraId="383F78C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63</w:t>
            </w:r>
          </w:p>
        </w:tc>
        <w:tc>
          <w:tcPr>
            <w:tcW w:w="575" w:type="pct"/>
            <w:tcBorders>
              <w:top w:val="nil"/>
              <w:left w:val="nil"/>
              <w:bottom w:val="single" w:sz="4" w:space="0" w:color="auto"/>
              <w:right w:val="single" w:sz="4" w:space="0" w:color="auto"/>
            </w:tcBorders>
            <w:shd w:val="clear" w:color="auto" w:fill="auto"/>
            <w:vAlign w:val="center"/>
          </w:tcPr>
          <w:p w14:paraId="76088B9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2" w:type="pct"/>
            <w:tcBorders>
              <w:top w:val="nil"/>
              <w:left w:val="nil"/>
              <w:bottom w:val="single" w:sz="4" w:space="0" w:color="auto"/>
              <w:right w:val="single" w:sz="4" w:space="0" w:color="auto"/>
            </w:tcBorders>
            <w:shd w:val="clear" w:color="auto" w:fill="auto"/>
            <w:vAlign w:val="center"/>
          </w:tcPr>
          <w:p w14:paraId="40DFBC8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51</w:t>
            </w:r>
          </w:p>
        </w:tc>
        <w:tc>
          <w:tcPr>
            <w:tcW w:w="576" w:type="pct"/>
            <w:tcBorders>
              <w:top w:val="nil"/>
              <w:left w:val="nil"/>
              <w:bottom w:val="single" w:sz="4" w:space="0" w:color="auto"/>
              <w:right w:val="single" w:sz="4" w:space="0" w:color="auto"/>
            </w:tcBorders>
            <w:shd w:val="clear" w:color="auto" w:fill="auto"/>
            <w:vAlign w:val="center"/>
          </w:tcPr>
          <w:p w14:paraId="62515CF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31" w:type="pct"/>
            <w:tcBorders>
              <w:top w:val="nil"/>
              <w:left w:val="nil"/>
              <w:bottom w:val="single" w:sz="4" w:space="0" w:color="auto"/>
              <w:right w:val="single" w:sz="4" w:space="0" w:color="auto"/>
            </w:tcBorders>
            <w:shd w:val="clear" w:color="auto" w:fill="auto"/>
            <w:vAlign w:val="center"/>
          </w:tcPr>
          <w:p w14:paraId="66675CB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62</w:t>
            </w:r>
          </w:p>
        </w:tc>
        <w:tc>
          <w:tcPr>
            <w:tcW w:w="676" w:type="pct"/>
            <w:tcBorders>
              <w:top w:val="nil"/>
              <w:left w:val="nil"/>
              <w:bottom w:val="single" w:sz="4" w:space="0" w:color="auto"/>
              <w:right w:val="single" w:sz="4" w:space="0" w:color="auto"/>
            </w:tcBorders>
            <w:shd w:val="clear" w:color="auto" w:fill="auto"/>
            <w:vAlign w:val="center"/>
          </w:tcPr>
          <w:p w14:paraId="265CF0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c>
          <w:tcPr>
            <w:tcW w:w="496" w:type="pct"/>
            <w:tcBorders>
              <w:top w:val="nil"/>
              <w:left w:val="nil"/>
              <w:bottom w:val="single" w:sz="4" w:space="0" w:color="auto"/>
              <w:right w:val="single" w:sz="4" w:space="0" w:color="auto"/>
            </w:tcBorders>
            <w:shd w:val="clear" w:color="auto" w:fill="auto"/>
            <w:vAlign w:val="center"/>
          </w:tcPr>
          <w:p w14:paraId="56839A1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52</w:t>
            </w:r>
          </w:p>
        </w:tc>
        <w:tc>
          <w:tcPr>
            <w:tcW w:w="536" w:type="pct"/>
            <w:tcBorders>
              <w:top w:val="nil"/>
              <w:left w:val="nil"/>
              <w:bottom w:val="single" w:sz="4" w:space="0" w:color="auto"/>
              <w:right w:val="single" w:sz="4" w:space="0" w:color="auto"/>
            </w:tcBorders>
            <w:shd w:val="clear" w:color="auto" w:fill="auto"/>
            <w:vAlign w:val="center"/>
          </w:tcPr>
          <w:p w14:paraId="11BC6A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达标</w:t>
            </w:r>
          </w:p>
        </w:tc>
      </w:tr>
      <w:tr w:rsidR="002133E3" w14:paraId="58F48630" w14:textId="77777777">
        <w:trPr>
          <w:trHeight w:val="285"/>
        </w:trPr>
        <w:tc>
          <w:tcPr>
            <w:tcW w:w="8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7B25E8" w14:textId="77777777" w:rsidR="002133E3" w:rsidRDefault="00C22CFA">
            <w:pPr>
              <w:widowControl/>
              <w:jc w:val="center"/>
              <w:rPr>
                <w:rFonts w:ascii="Times New Roman" w:eastAsia="宋体" w:hAnsi="Times New Roman" w:cs="Times New Roman"/>
                <w:color w:val="0D0D0D"/>
                <w:kern w:val="0"/>
                <w:szCs w:val="21"/>
              </w:rPr>
            </w:pPr>
            <w:r>
              <w:rPr>
                <w:rFonts w:ascii="Times New Roman" w:eastAsia="宋体" w:hAnsi="Times New Roman" w:cs="Times New Roman"/>
                <w:color w:val="0D0D0D"/>
                <w:kern w:val="0"/>
                <w:szCs w:val="21"/>
              </w:rPr>
              <w:t>评价标准</w:t>
            </w:r>
          </w:p>
        </w:tc>
        <w:tc>
          <w:tcPr>
            <w:tcW w:w="431" w:type="pct"/>
            <w:tcBorders>
              <w:top w:val="nil"/>
              <w:left w:val="nil"/>
              <w:bottom w:val="single" w:sz="4" w:space="0" w:color="auto"/>
              <w:right w:val="single" w:sz="4" w:space="0" w:color="auto"/>
            </w:tcBorders>
            <w:shd w:val="clear" w:color="auto" w:fill="auto"/>
            <w:vAlign w:val="center"/>
          </w:tcPr>
          <w:p w14:paraId="356A2F4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65</w:t>
            </w:r>
          </w:p>
        </w:tc>
        <w:tc>
          <w:tcPr>
            <w:tcW w:w="575" w:type="pct"/>
            <w:tcBorders>
              <w:top w:val="nil"/>
              <w:left w:val="nil"/>
              <w:bottom w:val="single" w:sz="4" w:space="0" w:color="auto"/>
              <w:right w:val="single" w:sz="4" w:space="0" w:color="auto"/>
            </w:tcBorders>
            <w:shd w:val="clear" w:color="auto" w:fill="auto"/>
            <w:vAlign w:val="center"/>
          </w:tcPr>
          <w:p w14:paraId="45A4127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32" w:type="pct"/>
            <w:tcBorders>
              <w:top w:val="nil"/>
              <w:left w:val="nil"/>
              <w:bottom w:val="single" w:sz="4" w:space="0" w:color="auto"/>
              <w:right w:val="single" w:sz="4" w:space="0" w:color="auto"/>
            </w:tcBorders>
            <w:shd w:val="clear" w:color="auto" w:fill="auto"/>
            <w:vAlign w:val="center"/>
          </w:tcPr>
          <w:p w14:paraId="4264C2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55</w:t>
            </w:r>
          </w:p>
        </w:tc>
        <w:tc>
          <w:tcPr>
            <w:tcW w:w="576" w:type="pct"/>
            <w:tcBorders>
              <w:top w:val="nil"/>
              <w:left w:val="nil"/>
              <w:bottom w:val="single" w:sz="4" w:space="0" w:color="auto"/>
              <w:right w:val="single" w:sz="4" w:space="0" w:color="auto"/>
            </w:tcBorders>
            <w:shd w:val="clear" w:color="auto" w:fill="auto"/>
            <w:vAlign w:val="center"/>
          </w:tcPr>
          <w:p w14:paraId="2E7F263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31" w:type="pct"/>
            <w:tcBorders>
              <w:top w:val="nil"/>
              <w:left w:val="nil"/>
              <w:bottom w:val="single" w:sz="4" w:space="0" w:color="auto"/>
              <w:right w:val="single" w:sz="4" w:space="0" w:color="auto"/>
            </w:tcBorders>
            <w:shd w:val="clear" w:color="auto" w:fill="auto"/>
            <w:vAlign w:val="center"/>
          </w:tcPr>
          <w:p w14:paraId="5EE9094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65</w:t>
            </w:r>
          </w:p>
        </w:tc>
        <w:tc>
          <w:tcPr>
            <w:tcW w:w="676" w:type="pct"/>
            <w:tcBorders>
              <w:top w:val="nil"/>
              <w:left w:val="nil"/>
              <w:bottom w:val="single" w:sz="4" w:space="0" w:color="auto"/>
              <w:right w:val="single" w:sz="4" w:space="0" w:color="auto"/>
            </w:tcBorders>
            <w:shd w:val="clear" w:color="auto" w:fill="auto"/>
            <w:vAlign w:val="center"/>
          </w:tcPr>
          <w:p w14:paraId="2D16D79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496" w:type="pct"/>
            <w:tcBorders>
              <w:top w:val="nil"/>
              <w:left w:val="nil"/>
              <w:bottom w:val="single" w:sz="4" w:space="0" w:color="auto"/>
              <w:right w:val="single" w:sz="4" w:space="0" w:color="auto"/>
            </w:tcBorders>
            <w:shd w:val="clear" w:color="auto" w:fill="auto"/>
            <w:vAlign w:val="center"/>
          </w:tcPr>
          <w:p w14:paraId="6058B4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55</w:t>
            </w:r>
          </w:p>
        </w:tc>
        <w:tc>
          <w:tcPr>
            <w:tcW w:w="536" w:type="pct"/>
            <w:tcBorders>
              <w:top w:val="nil"/>
              <w:left w:val="nil"/>
              <w:bottom w:val="single" w:sz="4" w:space="0" w:color="auto"/>
              <w:right w:val="single" w:sz="4" w:space="0" w:color="auto"/>
            </w:tcBorders>
            <w:shd w:val="clear" w:color="auto" w:fill="auto"/>
            <w:vAlign w:val="center"/>
          </w:tcPr>
          <w:p w14:paraId="4612C3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bl>
    <w:p w14:paraId="37CCC6C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现状评价</w:t>
      </w:r>
    </w:p>
    <w:p w14:paraId="45F21330" w14:textId="77777777" w:rsidR="002133E3" w:rsidRDefault="00C22CFA">
      <w:pPr>
        <w:spacing w:line="500" w:lineRule="exact"/>
        <w:ind w:firstLine="561"/>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用监测结果与评价标准对比，对区域声环境质量进行评价。项目所在地属于工业园区，评价标准执行《声环境质量标准》（</w:t>
      </w:r>
      <w:r>
        <w:rPr>
          <w:rFonts w:ascii="Times New Roman" w:eastAsia="宋体" w:hAnsi="Times New Roman" w:cs="Times New Roman"/>
          <w:color w:val="0D0D0D"/>
          <w:sz w:val="28"/>
          <w:szCs w:val="28"/>
        </w:rPr>
        <w:t>GB3096-2008</w:t>
      </w:r>
      <w:r>
        <w:rPr>
          <w:rFonts w:ascii="Times New Roman" w:eastAsia="宋体" w:hAnsi="Times New Roman" w:cs="Times New Roman"/>
          <w:color w:val="0D0D0D"/>
          <w:sz w:val="28"/>
          <w:szCs w:val="28"/>
        </w:rPr>
        <w:t>）中的</w:t>
      </w:r>
      <w:r>
        <w:rPr>
          <w:rFonts w:ascii="Times New Roman" w:eastAsia="宋体" w:hAnsi="Times New Roman" w:cs="Times New Roman"/>
          <w:color w:val="0D0D0D"/>
          <w:sz w:val="28"/>
          <w:szCs w:val="28"/>
        </w:rPr>
        <w:t>3</w:t>
      </w:r>
      <w:r>
        <w:rPr>
          <w:rFonts w:ascii="Times New Roman" w:eastAsia="宋体" w:hAnsi="Times New Roman" w:cs="Times New Roman"/>
          <w:color w:val="0D0D0D"/>
          <w:sz w:val="28"/>
          <w:szCs w:val="28"/>
        </w:rPr>
        <w:t>类区标准。</w:t>
      </w:r>
    </w:p>
    <w:p w14:paraId="72D6E4F0" w14:textId="77777777" w:rsidR="002133E3" w:rsidRDefault="00C22CFA">
      <w:pPr>
        <w:spacing w:line="500" w:lineRule="exact"/>
        <w:ind w:firstLine="561"/>
        <w:rPr>
          <w:rFonts w:ascii="Times New Roman" w:eastAsia="宋体" w:hAnsi="Times New Roman" w:cs="Times New Roman"/>
          <w:b/>
          <w:kern w:val="0"/>
          <w:sz w:val="24"/>
          <w:szCs w:val="24"/>
        </w:rPr>
      </w:pPr>
      <w:r>
        <w:rPr>
          <w:rFonts w:ascii="Times New Roman" w:eastAsia="宋体" w:hAnsi="Times New Roman" w:cs="Times New Roman"/>
          <w:color w:val="0D0D0D"/>
          <w:sz w:val="28"/>
          <w:szCs w:val="28"/>
        </w:rPr>
        <w:t>由表</w:t>
      </w:r>
      <w:r>
        <w:rPr>
          <w:rFonts w:ascii="Times New Roman" w:eastAsia="宋体" w:hAnsi="Times New Roman" w:cs="Times New Roman"/>
          <w:color w:val="0D0D0D"/>
          <w:sz w:val="28"/>
          <w:szCs w:val="28"/>
        </w:rPr>
        <w:t>5.2-13</w:t>
      </w:r>
      <w:r>
        <w:rPr>
          <w:rFonts w:ascii="Times New Roman" w:eastAsia="宋体" w:hAnsi="Times New Roman" w:cs="Times New Roman"/>
          <w:color w:val="0D0D0D"/>
          <w:sz w:val="28"/>
          <w:szCs w:val="28"/>
        </w:rPr>
        <w:t>可以看出，</w:t>
      </w:r>
      <w:r>
        <w:rPr>
          <w:rFonts w:ascii="Times New Roman" w:eastAsia="宋体" w:hAnsi="Times New Roman" w:cs="Times New Roman"/>
          <w:color w:val="0D0D0D"/>
          <w:sz w:val="28"/>
          <w:szCs w:val="28"/>
        </w:rPr>
        <w:t>4</w:t>
      </w:r>
      <w:r>
        <w:rPr>
          <w:rFonts w:ascii="Times New Roman" w:eastAsia="宋体" w:hAnsi="Times New Roman" w:cs="Times New Roman"/>
          <w:color w:val="0D0D0D"/>
          <w:sz w:val="28"/>
          <w:szCs w:val="28"/>
        </w:rPr>
        <w:t>个测点的昼、夜噪声值均满足《声环境质量标准》中的</w:t>
      </w:r>
      <w:r>
        <w:rPr>
          <w:rFonts w:ascii="Times New Roman" w:eastAsia="宋体" w:hAnsi="Times New Roman" w:cs="Times New Roman"/>
          <w:color w:val="0D0D0D"/>
          <w:sz w:val="28"/>
          <w:szCs w:val="28"/>
        </w:rPr>
        <w:t>3</w:t>
      </w:r>
      <w:r>
        <w:rPr>
          <w:rFonts w:ascii="Times New Roman" w:eastAsia="宋体" w:hAnsi="Times New Roman" w:cs="Times New Roman"/>
          <w:color w:val="0D0D0D"/>
          <w:sz w:val="28"/>
          <w:szCs w:val="28"/>
        </w:rPr>
        <w:t>类区标准要求。</w:t>
      </w:r>
    </w:p>
    <w:p w14:paraId="3919B67C" w14:textId="77777777" w:rsidR="002133E3" w:rsidRDefault="002133E3">
      <w:pPr>
        <w:spacing w:line="500" w:lineRule="exact"/>
        <w:ind w:firstLine="560"/>
        <w:rPr>
          <w:rFonts w:ascii="Times New Roman" w:eastAsia="宋体" w:hAnsi="Times New Roman" w:cs="Times New Roman"/>
          <w:kern w:val="0"/>
          <w:sz w:val="28"/>
          <w:szCs w:val="28"/>
        </w:rPr>
      </w:pPr>
    </w:p>
    <w:p w14:paraId="2A7A9115" w14:textId="77777777" w:rsidR="002133E3" w:rsidRDefault="002133E3">
      <w:pPr>
        <w:adjustRightInd w:val="0"/>
        <w:snapToGrid w:val="0"/>
        <w:jc w:val="center"/>
        <w:rPr>
          <w:rFonts w:ascii="Times New Roman" w:eastAsia="宋体" w:hAnsi="Times New Roman" w:cs="Times New Roman"/>
          <w:sz w:val="28"/>
          <w:szCs w:val="28"/>
        </w:rPr>
      </w:pPr>
    </w:p>
    <w:p w14:paraId="3B1CAAE5" w14:textId="77777777" w:rsidR="002133E3" w:rsidRDefault="002133E3">
      <w:pPr>
        <w:ind w:firstLineChars="210" w:firstLine="550"/>
        <w:rPr>
          <w:rFonts w:ascii="Times New Roman" w:eastAsia="宋体" w:hAnsi="Times New Roman" w:cs="Times New Roman"/>
          <w:spacing w:val="-9"/>
          <w:sz w:val="28"/>
          <w:szCs w:val="28"/>
        </w:rPr>
        <w:sectPr w:rsidR="002133E3">
          <w:pgSz w:w="11906" w:h="16838"/>
          <w:pgMar w:top="1134" w:right="1134" w:bottom="1134" w:left="1134" w:header="851" w:footer="992" w:gutter="0"/>
          <w:cols w:space="425"/>
          <w:docGrid w:type="lines" w:linePitch="312"/>
        </w:sectPr>
      </w:pPr>
    </w:p>
    <w:p w14:paraId="55D4EBFB" w14:textId="77777777" w:rsidR="002133E3" w:rsidRDefault="00C22CFA">
      <w:pPr>
        <w:pStyle w:val="affff3"/>
        <w:numPr>
          <w:ilvl w:val="0"/>
          <w:numId w:val="2"/>
        </w:numPr>
        <w:snapToGrid w:val="0"/>
        <w:spacing w:line="500" w:lineRule="atLeast"/>
        <w:ind w:left="0" w:firstLineChars="0" w:firstLine="0"/>
        <w:outlineLvl w:val="0"/>
        <w:rPr>
          <w:rFonts w:ascii="Times New Roman" w:eastAsia="宋体" w:hAnsi="Times New Roman" w:cs="Times New Roman"/>
          <w:b/>
          <w:sz w:val="30"/>
          <w:szCs w:val="30"/>
        </w:rPr>
      </w:pPr>
      <w:bookmarkStart w:id="50" w:name="_Toc47604340"/>
      <w:r>
        <w:rPr>
          <w:rFonts w:ascii="Times New Roman" w:eastAsia="宋体" w:hAnsi="Times New Roman" w:cs="Times New Roman"/>
          <w:b/>
          <w:sz w:val="30"/>
          <w:szCs w:val="30"/>
        </w:rPr>
        <w:lastRenderedPageBreak/>
        <w:t>环境影响预测及评价</w:t>
      </w:r>
      <w:bookmarkEnd w:id="50"/>
    </w:p>
    <w:p w14:paraId="646DDF63"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施工期环境影响预测与评价</w:t>
      </w:r>
    </w:p>
    <w:p w14:paraId="661FC5AF"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本项目</w:t>
      </w:r>
      <w:r>
        <w:rPr>
          <w:rFonts w:ascii="Times New Roman" w:eastAsia="宋体" w:hAnsi="Times New Roman" w:cs="Times New Roman" w:hint="eastAsia"/>
          <w:sz w:val="28"/>
          <w:szCs w:val="28"/>
        </w:rPr>
        <w:t>新增装置区主要为框架结构</w:t>
      </w:r>
      <w:r>
        <w:rPr>
          <w:rFonts w:ascii="Times New Roman" w:eastAsia="宋体" w:hAnsi="Times New Roman" w:cs="Times New Roman"/>
          <w:sz w:val="28"/>
          <w:szCs w:val="28"/>
        </w:rPr>
        <w:t>，进行设备安装，</w:t>
      </w:r>
      <w:r>
        <w:rPr>
          <w:rFonts w:ascii="Times New Roman" w:eastAsia="宋体" w:hAnsi="Times New Roman" w:cs="Times New Roman" w:hint="eastAsia"/>
          <w:sz w:val="28"/>
          <w:szCs w:val="28"/>
        </w:rPr>
        <w:t>无大型土建活动，</w:t>
      </w:r>
      <w:r>
        <w:rPr>
          <w:rFonts w:ascii="Times New Roman" w:eastAsia="宋体" w:hAnsi="Times New Roman" w:cs="Times New Roman"/>
          <w:sz w:val="28"/>
          <w:szCs w:val="28"/>
        </w:rPr>
        <w:t>施工期污染物主要为设备安装时期施工人员产生的少量厕所污水和生活垃圾、设备安装过程产生的噪声和固废（废包装、金属或塑料废零件等），厕所污水依托现有生活污水处理措施，生活垃圾委托环卫部门清运，设备安装过程产生的废包装、金属或塑料废零件外售，设备安装尽量避免夜间工作，尽量避免高噪声机械的使用。本项目施工期时间较短，不会对环境造成持续的影响，随着施工期结束，施工期对环境的负面影响消失。</w:t>
      </w:r>
    </w:p>
    <w:p w14:paraId="6BEFB9EA"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大气环境影响预测及评价</w:t>
      </w:r>
    </w:p>
    <w:p w14:paraId="66BC431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评价等级的确定</w:t>
      </w:r>
    </w:p>
    <w:p w14:paraId="5F659CC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评级因子和评价标准</w:t>
      </w:r>
    </w:p>
    <w:p w14:paraId="583D0BBC" w14:textId="77777777" w:rsidR="002133E3" w:rsidRDefault="00C22CFA">
      <w:pPr>
        <w:tabs>
          <w:tab w:val="left" w:pos="3600"/>
        </w:tabs>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评价因子和评价标准详见表</w:t>
      </w:r>
      <w:r>
        <w:rPr>
          <w:rFonts w:ascii="Times New Roman" w:eastAsia="宋体" w:hAnsi="Times New Roman" w:cs="Times New Roman"/>
          <w:sz w:val="28"/>
          <w:szCs w:val="28"/>
        </w:rPr>
        <w:t>6.2-1</w:t>
      </w:r>
      <w:r>
        <w:rPr>
          <w:rFonts w:ascii="Times New Roman" w:eastAsia="宋体" w:hAnsi="Times New Roman" w:cs="Times New Roman"/>
          <w:sz w:val="28"/>
          <w:szCs w:val="28"/>
        </w:rPr>
        <w:t>。评价因子选择项目排放的</w:t>
      </w:r>
      <w:r>
        <w:rPr>
          <w:rFonts w:ascii="Times New Roman" w:eastAsia="宋体" w:hAnsi="Times New Roman" w:cs="Times New Roman"/>
          <w:color w:val="000000"/>
          <w:kern w:val="0"/>
          <w:sz w:val="28"/>
          <w:szCs w:val="28"/>
        </w:rPr>
        <w:t>PM</w:t>
      </w:r>
      <w:r>
        <w:rPr>
          <w:rFonts w:ascii="Times New Roman" w:eastAsia="宋体" w:hAnsi="Times New Roman" w:cs="Times New Roman"/>
          <w:color w:val="000000"/>
          <w:kern w:val="0"/>
          <w:sz w:val="28"/>
          <w:szCs w:val="28"/>
          <w:vertAlign w:val="subscript"/>
        </w:rPr>
        <w:t>10</w:t>
      </w:r>
      <w:r>
        <w:rPr>
          <w:rFonts w:ascii="Times New Roman" w:eastAsia="宋体" w:hAnsi="Times New Roman" w:cs="Times New Roman"/>
          <w:color w:val="000000"/>
          <w:kern w:val="0"/>
          <w:sz w:val="28"/>
          <w:szCs w:val="28"/>
        </w:rPr>
        <w:t>、挥发性有机物</w:t>
      </w:r>
      <w:r>
        <w:rPr>
          <w:rFonts w:ascii="Times New Roman" w:eastAsia="宋体" w:hAnsi="Times New Roman" w:cs="Times New Roman"/>
          <w:sz w:val="28"/>
          <w:szCs w:val="28"/>
        </w:rPr>
        <w:t>、</w:t>
      </w:r>
      <w:r>
        <w:rPr>
          <w:rFonts w:ascii="Times New Roman" w:eastAsia="宋体" w:hAnsi="Times New Roman" w:cs="Times New Roman"/>
          <w:color w:val="000000"/>
          <w:kern w:val="0"/>
          <w:sz w:val="28"/>
          <w:szCs w:val="28"/>
        </w:rPr>
        <w:t>甲醇</w:t>
      </w:r>
      <w:r>
        <w:rPr>
          <w:rFonts w:ascii="Times New Roman" w:eastAsia="宋体" w:hAnsi="Times New Roman" w:cs="Times New Roman"/>
          <w:sz w:val="28"/>
          <w:szCs w:val="28"/>
        </w:rPr>
        <w:t>、乙醇。</w:t>
      </w:r>
    </w:p>
    <w:p w14:paraId="38F80C08" w14:textId="77777777" w:rsidR="002133E3" w:rsidRDefault="00C22CFA">
      <w:pPr>
        <w:adjustRightInd w:val="0"/>
        <w:snapToGrid w:val="0"/>
        <w:spacing w:line="500" w:lineRule="atLeas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 </w:t>
      </w:r>
      <w:r>
        <w:rPr>
          <w:rFonts w:ascii="Times New Roman" w:eastAsia="宋体" w:hAnsi="Times New Roman" w:cs="Times New Roman"/>
          <w:b/>
          <w:sz w:val="24"/>
          <w:szCs w:val="24"/>
        </w:rPr>
        <w:t>评价因子和评价标准表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869"/>
        <w:gridCol w:w="1451"/>
        <w:gridCol w:w="1305"/>
        <w:gridCol w:w="4637"/>
      </w:tblGrid>
      <w:tr w:rsidR="002133E3" w14:paraId="4C8EFB38" w14:textId="77777777">
        <w:trPr>
          <w:trHeight w:val="315"/>
          <w:jc w:val="center"/>
        </w:trPr>
        <w:tc>
          <w:tcPr>
            <w:tcW w:w="808" w:type="pct"/>
            <w:vMerge w:val="restart"/>
            <w:shd w:val="clear" w:color="auto" w:fill="auto"/>
            <w:vAlign w:val="center"/>
          </w:tcPr>
          <w:p w14:paraId="1EF2557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评价因子</w:t>
            </w:r>
          </w:p>
        </w:tc>
        <w:tc>
          <w:tcPr>
            <w:tcW w:w="1839" w:type="pct"/>
            <w:gridSpan w:val="3"/>
            <w:shd w:val="clear" w:color="auto" w:fill="auto"/>
            <w:vAlign w:val="center"/>
          </w:tcPr>
          <w:p w14:paraId="51C67A4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浓度值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2353" w:type="pct"/>
            <w:vMerge w:val="restart"/>
            <w:shd w:val="clear" w:color="auto" w:fill="auto"/>
            <w:vAlign w:val="center"/>
          </w:tcPr>
          <w:p w14:paraId="464E7FF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标准来源</w:t>
            </w:r>
          </w:p>
        </w:tc>
      </w:tr>
      <w:tr w:rsidR="002133E3" w14:paraId="4F799BC2" w14:textId="77777777">
        <w:trPr>
          <w:trHeight w:val="285"/>
          <w:jc w:val="center"/>
        </w:trPr>
        <w:tc>
          <w:tcPr>
            <w:tcW w:w="808" w:type="pct"/>
            <w:vMerge/>
            <w:vAlign w:val="center"/>
          </w:tcPr>
          <w:p w14:paraId="244875CD" w14:textId="77777777" w:rsidR="002133E3" w:rsidRDefault="002133E3">
            <w:pPr>
              <w:widowControl/>
              <w:jc w:val="left"/>
              <w:rPr>
                <w:rFonts w:ascii="Times New Roman" w:eastAsia="宋体" w:hAnsi="Times New Roman" w:cs="Times New Roman"/>
                <w:b/>
                <w:bCs/>
                <w:kern w:val="0"/>
                <w:szCs w:val="21"/>
              </w:rPr>
            </w:pPr>
          </w:p>
        </w:tc>
        <w:tc>
          <w:tcPr>
            <w:tcW w:w="441" w:type="pct"/>
            <w:shd w:val="clear" w:color="auto" w:fill="auto"/>
            <w:vAlign w:val="center"/>
          </w:tcPr>
          <w:p w14:paraId="0ADC06E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年平均</w:t>
            </w:r>
          </w:p>
        </w:tc>
        <w:tc>
          <w:tcPr>
            <w:tcW w:w="736" w:type="pct"/>
            <w:shd w:val="clear" w:color="auto" w:fill="auto"/>
            <w:vAlign w:val="center"/>
          </w:tcPr>
          <w:p w14:paraId="36008B3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24</w:t>
            </w:r>
            <w:r>
              <w:rPr>
                <w:rFonts w:ascii="Times New Roman" w:eastAsia="宋体" w:hAnsi="Times New Roman" w:cs="Times New Roman"/>
                <w:b/>
                <w:bCs/>
                <w:kern w:val="0"/>
                <w:szCs w:val="21"/>
              </w:rPr>
              <w:t>小时平均</w:t>
            </w:r>
          </w:p>
        </w:tc>
        <w:tc>
          <w:tcPr>
            <w:tcW w:w="662" w:type="pct"/>
            <w:shd w:val="clear" w:color="auto" w:fill="auto"/>
            <w:vAlign w:val="center"/>
          </w:tcPr>
          <w:p w14:paraId="4DE91CD6"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w:t>
            </w:r>
            <w:r>
              <w:rPr>
                <w:rFonts w:ascii="Times New Roman" w:eastAsia="宋体" w:hAnsi="Times New Roman" w:cs="Times New Roman"/>
                <w:b/>
                <w:bCs/>
                <w:kern w:val="0"/>
                <w:szCs w:val="21"/>
              </w:rPr>
              <w:t>小时平均</w:t>
            </w:r>
          </w:p>
        </w:tc>
        <w:tc>
          <w:tcPr>
            <w:tcW w:w="2353" w:type="pct"/>
            <w:vMerge/>
            <w:vAlign w:val="center"/>
          </w:tcPr>
          <w:p w14:paraId="03041A82" w14:textId="77777777" w:rsidR="002133E3" w:rsidRDefault="002133E3">
            <w:pPr>
              <w:widowControl/>
              <w:jc w:val="center"/>
              <w:rPr>
                <w:rFonts w:ascii="Times New Roman" w:eastAsia="宋体" w:hAnsi="Times New Roman" w:cs="Times New Roman"/>
                <w:b/>
                <w:bCs/>
                <w:kern w:val="0"/>
                <w:szCs w:val="21"/>
              </w:rPr>
            </w:pPr>
          </w:p>
        </w:tc>
      </w:tr>
      <w:tr w:rsidR="002133E3" w14:paraId="6652B5E9" w14:textId="77777777">
        <w:trPr>
          <w:trHeight w:val="285"/>
          <w:jc w:val="center"/>
        </w:trPr>
        <w:tc>
          <w:tcPr>
            <w:tcW w:w="808" w:type="pct"/>
            <w:vAlign w:val="center"/>
          </w:tcPr>
          <w:p w14:paraId="0759339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color w:val="000000"/>
                <w:kern w:val="0"/>
                <w:szCs w:val="21"/>
              </w:rPr>
              <w:t>PM</w:t>
            </w:r>
            <w:r>
              <w:rPr>
                <w:rFonts w:ascii="Times New Roman" w:eastAsia="宋体" w:hAnsi="Times New Roman" w:cs="Times New Roman"/>
                <w:color w:val="000000"/>
                <w:kern w:val="0"/>
                <w:szCs w:val="21"/>
                <w:vertAlign w:val="subscript"/>
              </w:rPr>
              <w:t>10</w:t>
            </w:r>
          </w:p>
        </w:tc>
        <w:tc>
          <w:tcPr>
            <w:tcW w:w="441" w:type="pct"/>
            <w:shd w:val="clear" w:color="auto" w:fill="auto"/>
            <w:vAlign w:val="center"/>
          </w:tcPr>
          <w:p w14:paraId="041D686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kern w:val="0"/>
                <w:szCs w:val="21"/>
              </w:rPr>
              <w:t>0.07</w:t>
            </w:r>
          </w:p>
        </w:tc>
        <w:tc>
          <w:tcPr>
            <w:tcW w:w="736" w:type="pct"/>
            <w:shd w:val="clear" w:color="auto" w:fill="auto"/>
            <w:vAlign w:val="center"/>
          </w:tcPr>
          <w:p w14:paraId="773BCA07"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kern w:val="0"/>
                <w:szCs w:val="21"/>
              </w:rPr>
              <w:t>0.15</w:t>
            </w:r>
          </w:p>
        </w:tc>
        <w:tc>
          <w:tcPr>
            <w:tcW w:w="662" w:type="pct"/>
            <w:shd w:val="clear" w:color="auto" w:fill="auto"/>
            <w:vAlign w:val="center"/>
          </w:tcPr>
          <w:p w14:paraId="4BC263B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kern w:val="0"/>
                <w:szCs w:val="21"/>
              </w:rPr>
              <w:t>0.45</w:t>
            </w:r>
            <w:r>
              <w:rPr>
                <w:rFonts w:ascii="宋体" w:eastAsia="宋体" w:hAnsi="宋体" w:cs="宋体" w:hint="eastAsia"/>
                <w:szCs w:val="21"/>
                <w:vertAlign w:val="superscript"/>
              </w:rPr>
              <w:t>①</w:t>
            </w:r>
          </w:p>
        </w:tc>
        <w:tc>
          <w:tcPr>
            <w:tcW w:w="2353" w:type="pct"/>
            <w:vAlign w:val="center"/>
          </w:tcPr>
          <w:p w14:paraId="7B78DA1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kern w:val="0"/>
                <w:szCs w:val="21"/>
              </w:rPr>
              <w:t>《环境空气质量标准》</w:t>
            </w:r>
            <w:r>
              <w:rPr>
                <w:rFonts w:ascii="Times New Roman" w:eastAsia="宋体" w:hAnsi="Times New Roman" w:cs="Times New Roman"/>
                <w:kern w:val="0"/>
                <w:szCs w:val="21"/>
              </w:rPr>
              <w:t>(GB3095-2012)</w:t>
            </w:r>
            <w:r>
              <w:rPr>
                <w:rFonts w:ascii="Times New Roman" w:eastAsia="宋体" w:hAnsi="Times New Roman" w:cs="Times New Roman"/>
                <w:kern w:val="0"/>
                <w:szCs w:val="21"/>
              </w:rPr>
              <w:t>二级标准</w:t>
            </w:r>
          </w:p>
        </w:tc>
      </w:tr>
      <w:tr w:rsidR="002133E3" w14:paraId="559F2414" w14:textId="77777777">
        <w:trPr>
          <w:trHeight w:val="285"/>
          <w:jc w:val="center"/>
        </w:trPr>
        <w:tc>
          <w:tcPr>
            <w:tcW w:w="808" w:type="pct"/>
            <w:vAlign w:val="center"/>
          </w:tcPr>
          <w:p w14:paraId="0E198FA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挥发性有机物</w:t>
            </w:r>
          </w:p>
        </w:tc>
        <w:tc>
          <w:tcPr>
            <w:tcW w:w="441" w:type="pct"/>
            <w:shd w:val="clear" w:color="auto" w:fill="auto"/>
            <w:vAlign w:val="center"/>
          </w:tcPr>
          <w:p w14:paraId="05A9A6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36" w:type="pct"/>
            <w:shd w:val="clear" w:color="auto" w:fill="auto"/>
            <w:vAlign w:val="center"/>
          </w:tcPr>
          <w:p w14:paraId="585728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662" w:type="pct"/>
            <w:shd w:val="clear" w:color="auto" w:fill="auto"/>
            <w:vAlign w:val="center"/>
          </w:tcPr>
          <w:p w14:paraId="22B452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2353" w:type="pct"/>
            <w:vMerge w:val="restart"/>
            <w:vAlign w:val="center"/>
          </w:tcPr>
          <w:p w14:paraId="7AD1971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《环境影响评价技术导则</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大气环境》</w:t>
            </w:r>
            <w:r>
              <w:rPr>
                <w:rFonts w:ascii="Times New Roman" w:eastAsia="宋体" w:hAnsi="Times New Roman" w:cs="Times New Roman"/>
                <w:kern w:val="0"/>
                <w:szCs w:val="21"/>
              </w:rPr>
              <w:t>(HJ2.2-2018)</w:t>
            </w:r>
            <w:r>
              <w:rPr>
                <w:rFonts w:ascii="Times New Roman" w:eastAsia="宋体" w:hAnsi="Times New Roman" w:cs="Times New Roman"/>
                <w:kern w:val="0"/>
                <w:szCs w:val="21"/>
              </w:rPr>
              <w:t>附录</w:t>
            </w:r>
            <w:r>
              <w:rPr>
                <w:rFonts w:ascii="Times New Roman" w:eastAsia="宋体" w:hAnsi="Times New Roman" w:cs="Times New Roman"/>
                <w:kern w:val="0"/>
                <w:szCs w:val="21"/>
              </w:rPr>
              <w:t>D</w:t>
            </w:r>
          </w:p>
        </w:tc>
      </w:tr>
      <w:tr w:rsidR="002133E3" w14:paraId="74754B3B" w14:textId="77777777">
        <w:trPr>
          <w:trHeight w:val="285"/>
          <w:jc w:val="center"/>
        </w:trPr>
        <w:tc>
          <w:tcPr>
            <w:tcW w:w="808" w:type="pct"/>
            <w:vAlign w:val="center"/>
          </w:tcPr>
          <w:p w14:paraId="5537E68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甲醇</w:t>
            </w:r>
          </w:p>
        </w:tc>
        <w:tc>
          <w:tcPr>
            <w:tcW w:w="441" w:type="pct"/>
            <w:shd w:val="clear" w:color="auto" w:fill="auto"/>
            <w:vAlign w:val="center"/>
          </w:tcPr>
          <w:p w14:paraId="5C9301D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w:t>
            </w:r>
          </w:p>
        </w:tc>
        <w:tc>
          <w:tcPr>
            <w:tcW w:w="736" w:type="pct"/>
            <w:shd w:val="clear" w:color="auto" w:fill="auto"/>
            <w:vAlign w:val="center"/>
          </w:tcPr>
          <w:p w14:paraId="0EBB3F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1.00</w:t>
            </w:r>
          </w:p>
        </w:tc>
        <w:tc>
          <w:tcPr>
            <w:tcW w:w="662" w:type="pct"/>
            <w:shd w:val="clear" w:color="auto" w:fill="auto"/>
            <w:vAlign w:val="center"/>
          </w:tcPr>
          <w:p w14:paraId="4087634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3.00</w:t>
            </w:r>
          </w:p>
        </w:tc>
        <w:tc>
          <w:tcPr>
            <w:tcW w:w="2353" w:type="pct"/>
            <w:vMerge/>
            <w:vAlign w:val="center"/>
          </w:tcPr>
          <w:p w14:paraId="24F8B645" w14:textId="77777777" w:rsidR="002133E3" w:rsidRDefault="002133E3">
            <w:pPr>
              <w:widowControl/>
              <w:jc w:val="center"/>
              <w:rPr>
                <w:rFonts w:ascii="Times New Roman" w:eastAsia="宋体" w:hAnsi="Times New Roman" w:cs="Times New Roman"/>
                <w:kern w:val="0"/>
                <w:szCs w:val="21"/>
              </w:rPr>
            </w:pPr>
          </w:p>
        </w:tc>
      </w:tr>
      <w:tr w:rsidR="002133E3" w14:paraId="31944CB4" w14:textId="77777777">
        <w:trPr>
          <w:trHeight w:val="285"/>
          <w:jc w:val="center"/>
        </w:trPr>
        <w:tc>
          <w:tcPr>
            <w:tcW w:w="808" w:type="pct"/>
            <w:vAlign w:val="center"/>
          </w:tcPr>
          <w:p w14:paraId="52D4124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乙醇</w:t>
            </w:r>
          </w:p>
        </w:tc>
        <w:tc>
          <w:tcPr>
            <w:tcW w:w="441" w:type="pct"/>
            <w:shd w:val="clear" w:color="auto" w:fill="auto"/>
            <w:vAlign w:val="center"/>
          </w:tcPr>
          <w:p w14:paraId="2CCE847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w:t>
            </w:r>
          </w:p>
        </w:tc>
        <w:tc>
          <w:tcPr>
            <w:tcW w:w="736" w:type="pct"/>
            <w:shd w:val="clear" w:color="auto" w:fill="auto"/>
            <w:vAlign w:val="center"/>
          </w:tcPr>
          <w:p w14:paraId="09BC8C1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5</w:t>
            </w:r>
            <w:r>
              <w:rPr>
                <w:rFonts w:ascii="宋体" w:eastAsia="宋体" w:hAnsi="宋体" w:cs="宋体" w:hint="eastAsia"/>
                <w:szCs w:val="21"/>
                <w:vertAlign w:val="superscript"/>
              </w:rPr>
              <w:t>③</w:t>
            </w:r>
          </w:p>
        </w:tc>
        <w:tc>
          <w:tcPr>
            <w:tcW w:w="662" w:type="pct"/>
            <w:shd w:val="clear" w:color="auto" w:fill="auto"/>
            <w:vAlign w:val="center"/>
          </w:tcPr>
          <w:p w14:paraId="215642E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5</w:t>
            </w:r>
            <w:r>
              <w:rPr>
                <w:rFonts w:ascii="宋体" w:eastAsia="宋体" w:hAnsi="宋体" w:cs="宋体" w:hint="eastAsia"/>
                <w:szCs w:val="21"/>
                <w:vertAlign w:val="superscript"/>
              </w:rPr>
              <w:t>②</w:t>
            </w:r>
          </w:p>
        </w:tc>
        <w:tc>
          <w:tcPr>
            <w:tcW w:w="2353" w:type="pct"/>
            <w:vAlign w:val="center"/>
          </w:tcPr>
          <w:p w14:paraId="0551E39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前苏联大气环境质量标准</w:t>
            </w:r>
            <w:r>
              <w:rPr>
                <w:rFonts w:ascii="Times New Roman" w:eastAsia="宋体" w:hAnsi="Times New Roman" w:cs="Times New Roman"/>
                <w:szCs w:val="21"/>
              </w:rPr>
              <w:t>(CH245-71)</w:t>
            </w:r>
          </w:p>
        </w:tc>
      </w:tr>
    </w:tbl>
    <w:p w14:paraId="214F681D" w14:textId="77777777" w:rsidR="002133E3" w:rsidRDefault="00C22CFA">
      <w:pPr>
        <w:adjustRightInd w:val="0"/>
        <w:snapToGrid w:val="0"/>
        <w:rPr>
          <w:rFonts w:ascii="Times New Roman" w:eastAsia="宋体" w:hAnsi="Times New Roman" w:cs="Times New Roman"/>
          <w:b/>
          <w:szCs w:val="21"/>
        </w:rPr>
      </w:pPr>
      <w:r>
        <w:rPr>
          <w:rFonts w:ascii="Times New Roman" w:eastAsia="宋体" w:hAnsi="Times New Roman" w:cs="Times New Roman"/>
          <w:szCs w:val="21"/>
        </w:rPr>
        <w:t>注：</w:t>
      </w:r>
      <w:r>
        <w:rPr>
          <w:rFonts w:ascii="宋体" w:eastAsia="宋体" w:hAnsi="宋体" w:cs="宋体" w:hint="eastAsia"/>
          <w:szCs w:val="21"/>
        </w:rPr>
        <w:t>①</w:t>
      </w:r>
      <w:r>
        <w:rPr>
          <w:rFonts w:ascii="Times New Roman" w:eastAsia="宋体" w:hAnsi="Times New Roman" w:cs="Times New Roman"/>
          <w:szCs w:val="21"/>
        </w:rPr>
        <w:t>按</w:t>
      </w:r>
      <w:r>
        <w:rPr>
          <w:rFonts w:ascii="Times New Roman" w:eastAsia="宋体" w:hAnsi="Times New Roman" w:cs="Times New Roman"/>
          <w:szCs w:val="21"/>
        </w:rPr>
        <w:t>24</w:t>
      </w:r>
      <w:r>
        <w:rPr>
          <w:rFonts w:ascii="Times New Roman" w:eastAsia="宋体" w:hAnsi="Times New Roman" w:cs="Times New Roman"/>
          <w:szCs w:val="21"/>
        </w:rPr>
        <w:t>小时平均浓度值</w:t>
      </w:r>
      <w:r>
        <w:rPr>
          <w:rFonts w:ascii="Times New Roman" w:eastAsia="宋体" w:hAnsi="Times New Roman" w:cs="Times New Roman"/>
          <w:szCs w:val="21"/>
        </w:rPr>
        <w:t>3</w:t>
      </w:r>
      <w:r>
        <w:rPr>
          <w:rFonts w:ascii="Times New Roman" w:eastAsia="宋体" w:hAnsi="Times New Roman" w:cs="Times New Roman"/>
          <w:szCs w:val="21"/>
        </w:rPr>
        <w:t>倍计；</w:t>
      </w:r>
      <w:r>
        <w:rPr>
          <w:rFonts w:ascii="宋体" w:eastAsia="宋体" w:hAnsi="宋体" w:cs="宋体" w:hint="eastAsia"/>
          <w:szCs w:val="21"/>
        </w:rPr>
        <w:t>②</w:t>
      </w:r>
      <w:r>
        <w:rPr>
          <w:rFonts w:ascii="Times New Roman" w:eastAsia="宋体" w:hAnsi="Times New Roman" w:cs="Times New Roman"/>
          <w:szCs w:val="21"/>
        </w:rPr>
        <w:t>一次最高容许浓度；</w:t>
      </w:r>
      <w:r>
        <w:rPr>
          <w:rFonts w:ascii="宋体" w:eastAsia="宋体" w:hAnsi="宋体" w:cs="宋体" w:hint="eastAsia"/>
          <w:szCs w:val="21"/>
        </w:rPr>
        <w:t>③</w:t>
      </w:r>
      <w:r>
        <w:rPr>
          <w:rFonts w:ascii="Times New Roman" w:eastAsia="宋体" w:hAnsi="Times New Roman" w:cs="Times New Roman"/>
          <w:szCs w:val="21"/>
        </w:rPr>
        <w:t>昼夜平均浓度。</w:t>
      </w:r>
    </w:p>
    <w:p w14:paraId="7E59E863"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选择《环境影响评价技术导则大气环境》</w:t>
      </w:r>
      <w:r>
        <w:rPr>
          <w:rFonts w:ascii="Times New Roman" w:eastAsia="宋体" w:hAnsi="Times New Roman" w:cs="Times New Roman"/>
          <w:sz w:val="28"/>
          <w:szCs w:val="28"/>
        </w:rPr>
        <w:t>(HJ/T 2.2–2018)</w:t>
      </w:r>
      <w:r>
        <w:rPr>
          <w:rFonts w:ascii="Times New Roman" w:eastAsia="宋体" w:hAnsi="Times New Roman" w:cs="Times New Roman"/>
          <w:sz w:val="28"/>
          <w:szCs w:val="28"/>
        </w:rPr>
        <w:t>中推荐的估算模式对本项目的大气环境评价工作进行分级，分级判据见表</w:t>
      </w:r>
      <w:r>
        <w:rPr>
          <w:rFonts w:ascii="Times New Roman" w:eastAsia="宋体" w:hAnsi="Times New Roman" w:cs="Times New Roman"/>
          <w:sz w:val="28"/>
          <w:szCs w:val="28"/>
        </w:rPr>
        <w:t>6.2-2</w:t>
      </w:r>
      <w:r>
        <w:rPr>
          <w:rFonts w:ascii="Times New Roman" w:eastAsia="宋体" w:hAnsi="Times New Roman" w:cs="Times New Roman"/>
          <w:sz w:val="28"/>
          <w:szCs w:val="28"/>
        </w:rPr>
        <w:t>。</w:t>
      </w:r>
    </w:p>
    <w:p w14:paraId="5A352595"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6.2-2 </w:t>
      </w:r>
      <w:r>
        <w:rPr>
          <w:rFonts w:ascii="Times New Roman" w:eastAsia="宋体" w:hAnsi="Times New Roman" w:cs="Times New Roman"/>
          <w:b/>
          <w:sz w:val="24"/>
          <w:szCs w:val="24"/>
        </w:rPr>
        <w:t>大气环境影响评价工作等级判据表</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7"/>
        <w:gridCol w:w="7204"/>
      </w:tblGrid>
      <w:tr w:rsidR="002133E3" w14:paraId="1D49424C" w14:textId="77777777">
        <w:trPr>
          <w:trHeight w:hRule="exact" w:val="284"/>
          <w:jc w:val="center"/>
        </w:trPr>
        <w:tc>
          <w:tcPr>
            <w:tcW w:w="2537" w:type="dxa"/>
            <w:tcBorders>
              <w:top w:val="single" w:sz="4" w:space="0" w:color="auto"/>
              <w:left w:val="single" w:sz="4" w:space="0" w:color="auto"/>
              <w:bottom w:val="single" w:sz="4" w:space="0" w:color="auto"/>
              <w:right w:val="single" w:sz="4" w:space="0" w:color="auto"/>
            </w:tcBorders>
            <w:vAlign w:val="center"/>
          </w:tcPr>
          <w:p w14:paraId="43EFBCA4" w14:textId="77777777" w:rsidR="002133E3" w:rsidRDefault="00C22CFA">
            <w:pPr>
              <w:spacing w:line="0" w:lineRule="atLeast"/>
              <w:ind w:leftChars="50" w:left="105"/>
              <w:jc w:val="center"/>
              <w:rPr>
                <w:rFonts w:ascii="Times New Roman" w:eastAsia="宋体" w:hAnsi="Times New Roman" w:cs="Times New Roman"/>
                <w:b/>
                <w:szCs w:val="24"/>
              </w:rPr>
            </w:pPr>
            <w:r>
              <w:rPr>
                <w:rFonts w:ascii="Times New Roman" w:eastAsia="宋体" w:hAnsi="Times New Roman" w:cs="Times New Roman"/>
                <w:b/>
                <w:szCs w:val="24"/>
              </w:rPr>
              <w:t>评价工作等级</w:t>
            </w:r>
          </w:p>
        </w:tc>
        <w:tc>
          <w:tcPr>
            <w:tcW w:w="7204" w:type="dxa"/>
            <w:tcBorders>
              <w:top w:val="single" w:sz="4" w:space="0" w:color="auto"/>
              <w:left w:val="single" w:sz="4" w:space="0" w:color="auto"/>
              <w:bottom w:val="single" w:sz="4" w:space="0" w:color="auto"/>
              <w:right w:val="single" w:sz="4" w:space="0" w:color="auto"/>
            </w:tcBorders>
            <w:vAlign w:val="center"/>
          </w:tcPr>
          <w:p w14:paraId="5F24AE8D" w14:textId="77777777" w:rsidR="002133E3" w:rsidRDefault="00C22CFA">
            <w:pPr>
              <w:spacing w:line="0" w:lineRule="atLeast"/>
              <w:ind w:leftChars="50" w:left="105"/>
              <w:jc w:val="center"/>
              <w:rPr>
                <w:rFonts w:ascii="Times New Roman" w:eastAsia="宋体" w:hAnsi="Times New Roman" w:cs="Times New Roman"/>
                <w:b/>
                <w:szCs w:val="24"/>
              </w:rPr>
            </w:pPr>
            <w:r>
              <w:rPr>
                <w:rFonts w:ascii="Times New Roman" w:eastAsia="宋体" w:hAnsi="Times New Roman" w:cs="Times New Roman"/>
                <w:b/>
                <w:szCs w:val="24"/>
              </w:rPr>
              <w:t>评价工作分级判据</w:t>
            </w:r>
          </w:p>
        </w:tc>
      </w:tr>
      <w:tr w:rsidR="002133E3" w14:paraId="3DAFBF8D" w14:textId="77777777">
        <w:trPr>
          <w:trHeight w:hRule="exact" w:val="284"/>
          <w:jc w:val="center"/>
        </w:trPr>
        <w:tc>
          <w:tcPr>
            <w:tcW w:w="2537" w:type="dxa"/>
            <w:tcBorders>
              <w:top w:val="single" w:sz="4" w:space="0" w:color="auto"/>
              <w:left w:val="single" w:sz="4" w:space="0" w:color="auto"/>
              <w:bottom w:val="single" w:sz="4" w:space="0" w:color="auto"/>
              <w:right w:val="single" w:sz="4" w:space="0" w:color="auto"/>
            </w:tcBorders>
            <w:vAlign w:val="center"/>
          </w:tcPr>
          <w:p w14:paraId="1E8126BE" w14:textId="77777777" w:rsidR="002133E3" w:rsidRDefault="00C22CFA">
            <w:pPr>
              <w:spacing w:line="0" w:lineRule="atLeast"/>
              <w:ind w:leftChars="50" w:left="105"/>
              <w:jc w:val="center"/>
              <w:rPr>
                <w:rFonts w:ascii="Times New Roman" w:eastAsia="宋体" w:hAnsi="Times New Roman" w:cs="Times New Roman"/>
                <w:szCs w:val="24"/>
              </w:rPr>
            </w:pPr>
            <w:r>
              <w:rPr>
                <w:rFonts w:ascii="Times New Roman" w:eastAsia="宋体" w:hAnsi="Times New Roman" w:cs="Times New Roman"/>
                <w:szCs w:val="24"/>
              </w:rPr>
              <w:t>一级</w:t>
            </w:r>
          </w:p>
        </w:tc>
        <w:tc>
          <w:tcPr>
            <w:tcW w:w="7204" w:type="dxa"/>
            <w:tcBorders>
              <w:top w:val="single" w:sz="4" w:space="0" w:color="auto"/>
              <w:left w:val="single" w:sz="4" w:space="0" w:color="auto"/>
              <w:bottom w:val="single" w:sz="4" w:space="0" w:color="auto"/>
              <w:right w:val="single" w:sz="4" w:space="0" w:color="auto"/>
            </w:tcBorders>
            <w:vAlign w:val="center"/>
          </w:tcPr>
          <w:p w14:paraId="5BB8054A" w14:textId="77777777" w:rsidR="002133E3" w:rsidRDefault="00C22CFA">
            <w:pPr>
              <w:spacing w:line="0" w:lineRule="atLeast"/>
              <w:ind w:leftChars="50" w:left="105"/>
              <w:jc w:val="center"/>
              <w:rPr>
                <w:rFonts w:ascii="Times New Roman" w:eastAsia="宋体" w:hAnsi="Times New Roman" w:cs="Times New Roman"/>
                <w:szCs w:val="24"/>
              </w:rPr>
            </w:pPr>
            <w:r>
              <w:rPr>
                <w:rFonts w:ascii="Times New Roman" w:eastAsia="宋体" w:hAnsi="Times New Roman" w:cs="Times New Roman"/>
                <w:szCs w:val="24"/>
              </w:rPr>
              <w:t>Pmax≥10%</w:t>
            </w:r>
          </w:p>
        </w:tc>
      </w:tr>
      <w:tr w:rsidR="002133E3" w14:paraId="51CA7655" w14:textId="77777777">
        <w:trPr>
          <w:trHeight w:hRule="exact" w:val="284"/>
          <w:jc w:val="center"/>
        </w:trPr>
        <w:tc>
          <w:tcPr>
            <w:tcW w:w="2537" w:type="dxa"/>
            <w:tcBorders>
              <w:top w:val="single" w:sz="4" w:space="0" w:color="auto"/>
              <w:left w:val="single" w:sz="4" w:space="0" w:color="auto"/>
              <w:bottom w:val="single" w:sz="4" w:space="0" w:color="auto"/>
              <w:right w:val="single" w:sz="4" w:space="0" w:color="auto"/>
            </w:tcBorders>
            <w:vAlign w:val="center"/>
          </w:tcPr>
          <w:p w14:paraId="1A544BA2" w14:textId="77777777" w:rsidR="002133E3" w:rsidRDefault="00C22CFA">
            <w:pPr>
              <w:spacing w:line="0" w:lineRule="atLeast"/>
              <w:ind w:leftChars="50" w:left="105"/>
              <w:jc w:val="center"/>
              <w:rPr>
                <w:rFonts w:ascii="Times New Roman" w:eastAsia="宋体" w:hAnsi="Times New Roman" w:cs="Times New Roman"/>
                <w:szCs w:val="24"/>
              </w:rPr>
            </w:pPr>
            <w:r>
              <w:rPr>
                <w:rFonts w:ascii="Times New Roman" w:eastAsia="宋体" w:hAnsi="Times New Roman" w:cs="Times New Roman"/>
                <w:szCs w:val="24"/>
              </w:rPr>
              <w:t>二级</w:t>
            </w:r>
          </w:p>
        </w:tc>
        <w:tc>
          <w:tcPr>
            <w:tcW w:w="7204" w:type="dxa"/>
            <w:tcBorders>
              <w:top w:val="single" w:sz="4" w:space="0" w:color="auto"/>
              <w:left w:val="single" w:sz="4" w:space="0" w:color="auto"/>
              <w:bottom w:val="single" w:sz="4" w:space="0" w:color="auto"/>
              <w:right w:val="single" w:sz="4" w:space="0" w:color="auto"/>
            </w:tcBorders>
            <w:vAlign w:val="center"/>
          </w:tcPr>
          <w:p w14:paraId="2EE63D4D" w14:textId="77777777" w:rsidR="002133E3" w:rsidRDefault="00C22CFA">
            <w:pPr>
              <w:spacing w:line="0" w:lineRule="atLeast"/>
              <w:ind w:leftChars="50" w:left="105"/>
              <w:jc w:val="center"/>
              <w:rPr>
                <w:rFonts w:ascii="Times New Roman" w:eastAsia="宋体" w:hAnsi="Times New Roman" w:cs="Times New Roman"/>
                <w:szCs w:val="24"/>
              </w:rPr>
            </w:pPr>
            <w:r>
              <w:rPr>
                <w:rFonts w:ascii="Times New Roman" w:eastAsia="宋体" w:hAnsi="Times New Roman" w:cs="Times New Roman"/>
                <w:szCs w:val="24"/>
              </w:rPr>
              <w:t>1%≤</w:t>
            </w:r>
            <w:proofErr w:type="spellStart"/>
            <w:r>
              <w:rPr>
                <w:rFonts w:ascii="Times New Roman" w:eastAsia="宋体" w:hAnsi="Times New Roman" w:cs="Times New Roman"/>
                <w:szCs w:val="24"/>
              </w:rPr>
              <w:t>Pmax</w:t>
            </w:r>
            <w:proofErr w:type="spellEnd"/>
            <w:r>
              <w:rPr>
                <w:rFonts w:ascii="Times New Roman" w:eastAsia="宋体" w:hAnsi="Times New Roman" w:cs="Times New Roman"/>
                <w:szCs w:val="24"/>
              </w:rPr>
              <w:t>＜</w:t>
            </w:r>
            <w:r>
              <w:rPr>
                <w:rFonts w:ascii="Times New Roman" w:eastAsia="宋体" w:hAnsi="Times New Roman" w:cs="Times New Roman"/>
                <w:szCs w:val="24"/>
              </w:rPr>
              <w:t>10%</w:t>
            </w:r>
          </w:p>
        </w:tc>
      </w:tr>
      <w:tr w:rsidR="002133E3" w14:paraId="1F267ED6" w14:textId="77777777">
        <w:trPr>
          <w:trHeight w:hRule="exact" w:val="284"/>
          <w:jc w:val="center"/>
        </w:trPr>
        <w:tc>
          <w:tcPr>
            <w:tcW w:w="2537" w:type="dxa"/>
            <w:tcBorders>
              <w:top w:val="single" w:sz="4" w:space="0" w:color="auto"/>
              <w:left w:val="single" w:sz="4" w:space="0" w:color="auto"/>
              <w:bottom w:val="single" w:sz="4" w:space="0" w:color="auto"/>
              <w:right w:val="single" w:sz="4" w:space="0" w:color="auto"/>
            </w:tcBorders>
            <w:vAlign w:val="center"/>
          </w:tcPr>
          <w:p w14:paraId="5F2A8008" w14:textId="77777777" w:rsidR="002133E3" w:rsidRDefault="00C22CFA">
            <w:pPr>
              <w:spacing w:line="0" w:lineRule="atLeast"/>
              <w:ind w:leftChars="50" w:left="105"/>
              <w:jc w:val="center"/>
              <w:rPr>
                <w:rFonts w:ascii="Times New Roman" w:eastAsia="宋体" w:hAnsi="Times New Roman" w:cs="Times New Roman"/>
                <w:szCs w:val="24"/>
              </w:rPr>
            </w:pPr>
            <w:r>
              <w:rPr>
                <w:rFonts w:ascii="Times New Roman" w:eastAsia="宋体" w:hAnsi="Times New Roman" w:cs="Times New Roman"/>
                <w:szCs w:val="24"/>
              </w:rPr>
              <w:t>三级</w:t>
            </w:r>
          </w:p>
        </w:tc>
        <w:tc>
          <w:tcPr>
            <w:tcW w:w="7204" w:type="dxa"/>
            <w:tcBorders>
              <w:top w:val="single" w:sz="4" w:space="0" w:color="auto"/>
              <w:left w:val="single" w:sz="4" w:space="0" w:color="auto"/>
              <w:bottom w:val="single" w:sz="4" w:space="0" w:color="auto"/>
              <w:right w:val="single" w:sz="4" w:space="0" w:color="auto"/>
            </w:tcBorders>
            <w:vAlign w:val="center"/>
          </w:tcPr>
          <w:p w14:paraId="7C7E94FC" w14:textId="77777777" w:rsidR="002133E3" w:rsidRDefault="00C22CFA">
            <w:pPr>
              <w:spacing w:line="0" w:lineRule="atLeast"/>
              <w:ind w:leftChars="50" w:left="105"/>
              <w:jc w:val="center"/>
              <w:rPr>
                <w:rFonts w:ascii="Times New Roman" w:eastAsia="宋体" w:hAnsi="Times New Roman" w:cs="Times New Roman"/>
                <w:szCs w:val="24"/>
              </w:rPr>
            </w:pPr>
            <w:proofErr w:type="spellStart"/>
            <w:r>
              <w:rPr>
                <w:rFonts w:ascii="Times New Roman" w:eastAsia="宋体" w:hAnsi="Times New Roman" w:cs="Times New Roman"/>
                <w:szCs w:val="24"/>
              </w:rPr>
              <w:t>Pmax</w:t>
            </w:r>
            <w:proofErr w:type="spellEnd"/>
            <w:r>
              <w:rPr>
                <w:rFonts w:ascii="Times New Roman" w:eastAsia="宋体" w:hAnsi="Times New Roman" w:cs="Times New Roman"/>
                <w:szCs w:val="24"/>
              </w:rPr>
              <w:t>＜</w:t>
            </w:r>
            <w:r>
              <w:rPr>
                <w:rFonts w:ascii="Times New Roman" w:eastAsia="宋体" w:hAnsi="Times New Roman" w:cs="Times New Roman"/>
                <w:szCs w:val="24"/>
              </w:rPr>
              <w:t>1</w:t>
            </w:r>
          </w:p>
        </w:tc>
      </w:tr>
    </w:tbl>
    <w:p w14:paraId="22DC91D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地形图及估算模型参数</w:t>
      </w:r>
    </w:p>
    <w:p w14:paraId="02D2A9A4"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估算模型参数情况见表</w:t>
      </w:r>
      <w:r>
        <w:rPr>
          <w:rFonts w:ascii="Times New Roman" w:eastAsia="宋体" w:hAnsi="Times New Roman" w:cs="Times New Roman"/>
          <w:sz w:val="28"/>
          <w:szCs w:val="28"/>
        </w:rPr>
        <w:t>6.2-3</w:t>
      </w:r>
      <w:r>
        <w:rPr>
          <w:rFonts w:ascii="Times New Roman" w:eastAsia="宋体" w:hAnsi="Times New Roman" w:cs="Times New Roman"/>
          <w:sz w:val="28"/>
          <w:szCs w:val="28"/>
        </w:rPr>
        <w:t>。</w:t>
      </w:r>
    </w:p>
    <w:p w14:paraId="66C29A38" w14:textId="77777777" w:rsidR="002133E3" w:rsidRDefault="00C22CFA">
      <w:pPr>
        <w:adjustRightInd w:val="0"/>
        <w:snapToGrid w:val="0"/>
        <w:spacing w:line="500" w:lineRule="atLeas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6.2-3 </w:t>
      </w:r>
      <w:r>
        <w:rPr>
          <w:rFonts w:ascii="Times New Roman" w:eastAsia="宋体" w:hAnsi="Times New Roman" w:cs="Times New Roman"/>
          <w:b/>
          <w:sz w:val="24"/>
          <w:szCs w:val="24"/>
        </w:rPr>
        <w:t>估算模型参数表</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3"/>
        <w:gridCol w:w="2696"/>
        <w:gridCol w:w="1508"/>
        <w:gridCol w:w="4044"/>
      </w:tblGrid>
      <w:tr w:rsidR="002133E3" w14:paraId="46252ABD" w14:textId="77777777">
        <w:trPr>
          <w:trHeight w:val="284"/>
          <w:jc w:val="center"/>
        </w:trPr>
        <w:tc>
          <w:tcPr>
            <w:tcW w:w="4189" w:type="dxa"/>
            <w:gridSpan w:val="2"/>
            <w:tcBorders>
              <w:top w:val="single" w:sz="4" w:space="0" w:color="auto"/>
              <w:left w:val="single" w:sz="4" w:space="0" w:color="auto"/>
              <w:bottom w:val="single" w:sz="4" w:space="0" w:color="auto"/>
              <w:right w:val="single" w:sz="4" w:space="0" w:color="auto"/>
            </w:tcBorders>
            <w:vAlign w:val="center"/>
          </w:tcPr>
          <w:p w14:paraId="52A3458A" w14:textId="77777777" w:rsidR="002133E3" w:rsidRDefault="00C22CFA">
            <w:pPr>
              <w:spacing w:line="300" w:lineRule="exact"/>
              <w:jc w:val="center"/>
              <w:rPr>
                <w:rFonts w:ascii="Times New Roman" w:eastAsia="宋体" w:hAnsi="Times New Roman" w:cs="Times New Roman"/>
                <w:b/>
                <w:bCs/>
                <w:szCs w:val="21"/>
              </w:rPr>
            </w:pPr>
            <w:r>
              <w:rPr>
                <w:rFonts w:ascii="Times New Roman" w:eastAsia="宋体" w:hAnsi="Times New Roman" w:cs="Times New Roman"/>
                <w:b/>
                <w:bCs/>
                <w:szCs w:val="21"/>
              </w:rPr>
              <w:t>参数</w:t>
            </w:r>
          </w:p>
        </w:tc>
        <w:tc>
          <w:tcPr>
            <w:tcW w:w="1508" w:type="dxa"/>
            <w:tcBorders>
              <w:top w:val="single" w:sz="4" w:space="0" w:color="auto"/>
              <w:left w:val="single" w:sz="4" w:space="0" w:color="auto"/>
              <w:bottom w:val="single" w:sz="4" w:space="0" w:color="auto"/>
              <w:right w:val="single" w:sz="4" w:space="0" w:color="auto"/>
            </w:tcBorders>
            <w:vAlign w:val="center"/>
          </w:tcPr>
          <w:p w14:paraId="5CAF9EE4" w14:textId="77777777" w:rsidR="002133E3" w:rsidRDefault="00C22CFA">
            <w:pPr>
              <w:spacing w:line="300" w:lineRule="exact"/>
              <w:jc w:val="center"/>
              <w:rPr>
                <w:rFonts w:ascii="Times New Roman" w:eastAsia="宋体" w:hAnsi="Times New Roman" w:cs="Times New Roman"/>
                <w:b/>
                <w:bCs/>
                <w:szCs w:val="21"/>
              </w:rPr>
            </w:pPr>
            <w:r>
              <w:rPr>
                <w:rFonts w:ascii="Times New Roman" w:eastAsia="宋体" w:hAnsi="Times New Roman" w:cs="Times New Roman"/>
                <w:b/>
                <w:bCs/>
                <w:szCs w:val="21"/>
              </w:rPr>
              <w:t>取值</w:t>
            </w:r>
          </w:p>
        </w:tc>
        <w:tc>
          <w:tcPr>
            <w:tcW w:w="4044" w:type="dxa"/>
            <w:tcBorders>
              <w:top w:val="single" w:sz="4" w:space="0" w:color="auto"/>
              <w:left w:val="single" w:sz="4" w:space="0" w:color="auto"/>
              <w:bottom w:val="single" w:sz="4" w:space="0" w:color="auto"/>
              <w:right w:val="single" w:sz="4" w:space="0" w:color="auto"/>
            </w:tcBorders>
            <w:vAlign w:val="center"/>
          </w:tcPr>
          <w:p w14:paraId="586F6FE9" w14:textId="77777777" w:rsidR="002133E3" w:rsidRDefault="00C22CFA">
            <w:pPr>
              <w:spacing w:line="300" w:lineRule="exact"/>
              <w:jc w:val="center"/>
              <w:rPr>
                <w:rFonts w:ascii="Times New Roman" w:eastAsia="宋体" w:hAnsi="Times New Roman" w:cs="Times New Roman"/>
                <w:b/>
                <w:bCs/>
                <w:szCs w:val="21"/>
              </w:rPr>
            </w:pPr>
            <w:r>
              <w:rPr>
                <w:rFonts w:ascii="Times New Roman" w:eastAsia="宋体" w:hAnsi="Times New Roman" w:cs="Times New Roman"/>
                <w:b/>
                <w:bCs/>
                <w:szCs w:val="21"/>
              </w:rPr>
              <w:t>取值依据</w:t>
            </w:r>
          </w:p>
        </w:tc>
      </w:tr>
      <w:tr w:rsidR="002133E3" w14:paraId="2BE5CDA1" w14:textId="77777777">
        <w:trPr>
          <w:trHeight w:val="284"/>
          <w:jc w:val="center"/>
        </w:trPr>
        <w:tc>
          <w:tcPr>
            <w:tcW w:w="1493" w:type="dxa"/>
            <w:vMerge w:val="restart"/>
            <w:tcBorders>
              <w:top w:val="single" w:sz="4" w:space="0" w:color="auto"/>
              <w:left w:val="single" w:sz="4" w:space="0" w:color="auto"/>
              <w:bottom w:val="single" w:sz="4" w:space="0" w:color="auto"/>
              <w:right w:val="single" w:sz="4" w:space="0" w:color="auto"/>
            </w:tcBorders>
            <w:vAlign w:val="center"/>
          </w:tcPr>
          <w:p w14:paraId="1AE5807C"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lastRenderedPageBreak/>
              <w:t>城市</w:t>
            </w:r>
            <w:r>
              <w:rPr>
                <w:rFonts w:ascii="Times New Roman" w:eastAsia="宋体" w:hAnsi="Times New Roman" w:cs="Times New Roman"/>
                <w:szCs w:val="21"/>
              </w:rPr>
              <w:t>/</w:t>
            </w:r>
            <w:r>
              <w:rPr>
                <w:rFonts w:ascii="Times New Roman" w:eastAsia="宋体" w:hAnsi="Times New Roman" w:cs="Times New Roman"/>
                <w:szCs w:val="21"/>
              </w:rPr>
              <w:t>农村选项</w:t>
            </w:r>
          </w:p>
        </w:tc>
        <w:tc>
          <w:tcPr>
            <w:tcW w:w="2696" w:type="dxa"/>
            <w:tcBorders>
              <w:top w:val="single" w:sz="4" w:space="0" w:color="auto"/>
              <w:left w:val="single" w:sz="4" w:space="0" w:color="auto"/>
              <w:bottom w:val="single" w:sz="4" w:space="0" w:color="auto"/>
              <w:right w:val="single" w:sz="4" w:space="0" w:color="auto"/>
            </w:tcBorders>
            <w:vAlign w:val="center"/>
          </w:tcPr>
          <w:p w14:paraId="717ED722"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城市</w:t>
            </w:r>
            <w:r>
              <w:rPr>
                <w:rFonts w:ascii="Times New Roman" w:eastAsia="宋体" w:hAnsi="Times New Roman" w:cs="Times New Roman"/>
                <w:szCs w:val="21"/>
              </w:rPr>
              <w:t>/</w:t>
            </w:r>
            <w:r>
              <w:rPr>
                <w:rFonts w:ascii="Times New Roman" w:eastAsia="宋体" w:hAnsi="Times New Roman" w:cs="Times New Roman"/>
                <w:szCs w:val="21"/>
              </w:rPr>
              <w:t>农村</w:t>
            </w:r>
          </w:p>
        </w:tc>
        <w:tc>
          <w:tcPr>
            <w:tcW w:w="1508" w:type="dxa"/>
            <w:tcBorders>
              <w:top w:val="single" w:sz="4" w:space="0" w:color="auto"/>
              <w:left w:val="single" w:sz="4" w:space="0" w:color="auto"/>
              <w:bottom w:val="single" w:sz="4" w:space="0" w:color="auto"/>
              <w:right w:val="single" w:sz="4" w:space="0" w:color="auto"/>
            </w:tcBorders>
            <w:vAlign w:val="center"/>
          </w:tcPr>
          <w:p w14:paraId="2A101522"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农村</w:t>
            </w:r>
          </w:p>
        </w:tc>
        <w:tc>
          <w:tcPr>
            <w:tcW w:w="4044" w:type="dxa"/>
            <w:tcBorders>
              <w:top w:val="single" w:sz="4" w:space="0" w:color="auto"/>
              <w:left w:val="single" w:sz="4" w:space="0" w:color="auto"/>
              <w:bottom w:val="single" w:sz="4" w:space="0" w:color="auto"/>
              <w:right w:val="single" w:sz="4" w:space="0" w:color="auto"/>
            </w:tcBorders>
            <w:vAlign w:val="center"/>
          </w:tcPr>
          <w:p w14:paraId="460794D7"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周边</w:t>
            </w:r>
            <w:r>
              <w:rPr>
                <w:rFonts w:ascii="Times New Roman" w:eastAsia="宋体" w:hAnsi="Times New Roman" w:cs="Times New Roman"/>
                <w:szCs w:val="21"/>
              </w:rPr>
              <w:t>3km</w:t>
            </w:r>
            <w:r>
              <w:rPr>
                <w:rFonts w:ascii="Times New Roman" w:eastAsia="宋体" w:hAnsi="Times New Roman" w:cs="Times New Roman"/>
                <w:szCs w:val="21"/>
              </w:rPr>
              <w:t>半径范围一半以上面积不属于城市建成区或规划区</w:t>
            </w:r>
          </w:p>
        </w:tc>
      </w:tr>
      <w:tr w:rsidR="002133E3" w14:paraId="4265BB6E" w14:textId="77777777">
        <w:trPr>
          <w:trHeight w:val="284"/>
          <w:jc w:val="center"/>
        </w:trPr>
        <w:tc>
          <w:tcPr>
            <w:tcW w:w="1493" w:type="dxa"/>
            <w:vMerge/>
            <w:tcBorders>
              <w:top w:val="single" w:sz="4" w:space="0" w:color="auto"/>
              <w:left w:val="single" w:sz="4" w:space="0" w:color="auto"/>
              <w:bottom w:val="single" w:sz="4" w:space="0" w:color="auto"/>
              <w:right w:val="single" w:sz="4" w:space="0" w:color="auto"/>
            </w:tcBorders>
            <w:vAlign w:val="center"/>
          </w:tcPr>
          <w:p w14:paraId="2A0E64F1" w14:textId="77777777" w:rsidR="002133E3" w:rsidRDefault="002133E3">
            <w:pPr>
              <w:widowControl/>
              <w:jc w:val="left"/>
              <w:rPr>
                <w:rFonts w:ascii="Times New Roman" w:eastAsia="宋体" w:hAnsi="Times New Roman" w:cs="Times New Roman"/>
                <w:szCs w:val="21"/>
              </w:rPr>
            </w:pPr>
          </w:p>
        </w:tc>
        <w:tc>
          <w:tcPr>
            <w:tcW w:w="2696" w:type="dxa"/>
            <w:tcBorders>
              <w:top w:val="single" w:sz="4" w:space="0" w:color="auto"/>
              <w:left w:val="single" w:sz="4" w:space="0" w:color="auto"/>
              <w:bottom w:val="single" w:sz="4" w:space="0" w:color="auto"/>
              <w:right w:val="single" w:sz="4" w:space="0" w:color="auto"/>
            </w:tcBorders>
            <w:vAlign w:val="center"/>
          </w:tcPr>
          <w:p w14:paraId="05434806"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人口数</w:t>
            </w:r>
            <w:r>
              <w:rPr>
                <w:rFonts w:ascii="Times New Roman" w:eastAsia="宋体" w:hAnsi="Times New Roman" w:cs="Times New Roman"/>
                <w:szCs w:val="21"/>
              </w:rPr>
              <w:t>(</w:t>
            </w:r>
            <w:r>
              <w:rPr>
                <w:rFonts w:ascii="Times New Roman" w:eastAsia="宋体" w:hAnsi="Times New Roman" w:cs="Times New Roman"/>
                <w:szCs w:val="21"/>
              </w:rPr>
              <w:t>城市选项时</w:t>
            </w:r>
            <w:r>
              <w:rPr>
                <w:rFonts w:ascii="Times New Roman" w:eastAsia="宋体" w:hAnsi="Times New Roman" w:cs="Times New Roman"/>
                <w:szCs w:val="21"/>
              </w:rPr>
              <w:t>)</w:t>
            </w:r>
          </w:p>
        </w:tc>
        <w:tc>
          <w:tcPr>
            <w:tcW w:w="1508" w:type="dxa"/>
            <w:tcBorders>
              <w:top w:val="single" w:sz="4" w:space="0" w:color="auto"/>
              <w:left w:val="single" w:sz="4" w:space="0" w:color="auto"/>
              <w:bottom w:val="single" w:sz="4" w:space="0" w:color="auto"/>
              <w:right w:val="single" w:sz="4" w:space="0" w:color="auto"/>
            </w:tcBorders>
            <w:vAlign w:val="center"/>
          </w:tcPr>
          <w:p w14:paraId="012EB2D3"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w:t>
            </w:r>
          </w:p>
        </w:tc>
        <w:tc>
          <w:tcPr>
            <w:tcW w:w="4044" w:type="dxa"/>
            <w:tcBorders>
              <w:top w:val="single" w:sz="4" w:space="0" w:color="auto"/>
              <w:left w:val="single" w:sz="4" w:space="0" w:color="auto"/>
              <w:bottom w:val="single" w:sz="4" w:space="0" w:color="auto"/>
              <w:right w:val="single" w:sz="4" w:space="0" w:color="auto"/>
            </w:tcBorders>
            <w:vAlign w:val="center"/>
          </w:tcPr>
          <w:p w14:paraId="778EF54E"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102C6280" w14:textId="77777777">
        <w:trPr>
          <w:trHeight w:val="284"/>
          <w:jc w:val="center"/>
        </w:trPr>
        <w:tc>
          <w:tcPr>
            <w:tcW w:w="4189" w:type="dxa"/>
            <w:gridSpan w:val="2"/>
            <w:tcBorders>
              <w:top w:val="single" w:sz="4" w:space="0" w:color="auto"/>
              <w:left w:val="single" w:sz="4" w:space="0" w:color="auto"/>
              <w:bottom w:val="single" w:sz="4" w:space="0" w:color="auto"/>
              <w:right w:val="single" w:sz="4" w:space="0" w:color="auto"/>
            </w:tcBorders>
            <w:vAlign w:val="center"/>
          </w:tcPr>
          <w:p w14:paraId="53D44759"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最高环境温度</w:t>
            </w:r>
            <w:r>
              <w:rPr>
                <w:rFonts w:ascii="Times New Roman" w:eastAsia="宋体" w:hAnsi="Times New Roman" w:cs="Times New Roman"/>
                <w:szCs w:val="21"/>
              </w:rPr>
              <w:t>/</w:t>
            </w:r>
            <w:r>
              <w:rPr>
                <w:rFonts w:ascii="宋体" w:eastAsia="宋体" w:hAnsi="宋体" w:cs="宋体" w:hint="eastAsia"/>
                <w:szCs w:val="21"/>
              </w:rPr>
              <w:t>℃</w:t>
            </w:r>
          </w:p>
        </w:tc>
        <w:tc>
          <w:tcPr>
            <w:tcW w:w="1508" w:type="dxa"/>
            <w:tcBorders>
              <w:top w:val="single" w:sz="4" w:space="0" w:color="auto"/>
              <w:left w:val="single" w:sz="4" w:space="0" w:color="auto"/>
              <w:bottom w:val="single" w:sz="4" w:space="0" w:color="auto"/>
              <w:right w:val="single" w:sz="4" w:space="0" w:color="auto"/>
            </w:tcBorders>
            <w:vAlign w:val="center"/>
          </w:tcPr>
          <w:p w14:paraId="11C1F9C0"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37</w:t>
            </w:r>
          </w:p>
        </w:tc>
        <w:tc>
          <w:tcPr>
            <w:tcW w:w="4044" w:type="dxa"/>
            <w:vMerge w:val="restart"/>
            <w:tcBorders>
              <w:top w:val="single" w:sz="4" w:space="0" w:color="auto"/>
              <w:left w:val="single" w:sz="4" w:space="0" w:color="auto"/>
              <w:bottom w:val="single" w:sz="4" w:space="0" w:color="auto"/>
              <w:right w:val="single" w:sz="4" w:space="0" w:color="auto"/>
            </w:tcBorders>
            <w:vAlign w:val="center"/>
          </w:tcPr>
          <w:p w14:paraId="5996FB1D"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近</w:t>
            </w:r>
            <w:r>
              <w:rPr>
                <w:rFonts w:ascii="Times New Roman" w:eastAsia="宋体" w:hAnsi="Times New Roman" w:cs="Times New Roman"/>
                <w:szCs w:val="21"/>
              </w:rPr>
              <w:t>20</w:t>
            </w:r>
            <w:r>
              <w:rPr>
                <w:rFonts w:ascii="Times New Roman" w:eastAsia="宋体" w:hAnsi="Times New Roman" w:cs="Times New Roman"/>
                <w:szCs w:val="21"/>
              </w:rPr>
              <w:t>年气象统计数据</w:t>
            </w:r>
          </w:p>
        </w:tc>
      </w:tr>
      <w:tr w:rsidR="002133E3" w14:paraId="6F2A0C9B" w14:textId="77777777">
        <w:trPr>
          <w:trHeight w:val="284"/>
          <w:jc w:val="center"/>
        </w:trPr>
        <w:tc>
          <w:tcPr>
            <w:tcW w:w="4189" w:type="dxa"/>
            <w:gridSpan w:val="2"/>
            <w:tcBorders>
              <w:top w:val="single" w:sz="4" w:space="0" w:color="auto"/>
              <w:left w:val="single" w:sz="4" w:space="0" w:color="auto"/>
              <w:bottom w:val="single" w:sz="4" w:space="0" w:color="auto"/>
              <w:right w:val="single" w:sz="4" w:space="0" w:color="auto"/>
            </w:tcBorders>
            <w:vAlign w:val="center"/>
          </w:tcPr>
          <w:p w14:paraId="11CB8F9C"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最低环境温度</w:t>
            </w:r>
            <w:r>
              <w:rPr>
                <w:rFonts w:ascii="Times New Roman" w:eastAsia="宋体" w:hAnsi="Times New Roman" w:cs="Times New Roman"/>
                <w:szCs w:val="21"/>
              </w:rPr>
              <w:t>/</w:t>
            </w:r>
            <w:r>
              <w:rPr>
                <w:rFonts w:ascii="宋体" w:eastAsia="宋体" w:hAnsi="宋体" w:cs="宋体" w:hint="eastAsia"/>
                <w:szCs w:val="21"/>
              </w:rPr>
              <w:t>℃</w:t>
            </w:r>
          </w:p>
        </w:tc>
        <w:tc>
          <w:tcPr>
            <w:tcW w:w="1508" w:type="dxa"/>
            <w:tcBorders>
              <w:top w:val="single" w:sz="4" w:space="0" w:color="auto"/>
              <w:left w:val="single" w:sz="4" w:space="0" w:color="auto"/>
              <w:bottom w:val="single" w:sz="4" w:space="0" w:color="auto"/>
              <w:right w:val="single" w:sz="4" w:space="0" w:color="auto"/>
            </w:tcBorders>
            <w:vAlign w:val="center"/>
          </w:tcPr>
          <w:p w14:paraId="4951159C"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-9.3</w:t>
            </w:r>
          </w:p>
        </w:tc>
        <w:tc>
          <w:tcPr>
            <w:tcW w:w="4044" w:type="dxa"/>
            <w:vMerge/>
            <w:tcBorders>
              <w:top w:val="single" w:sz="4" w:space="0" w:color="auto"/>
              <w:left w:val="single" w:sz="4" w:space="0" w:color="auto"/>
              <w:bottom w:val="single" w:sz="4" w:space="0" w:color="auto"/>
              <w:right w:val="single" w:sz="4" w:space="0" w:color="auto"/>
            </w:tcBorders>
            <w:vAlign w:val="center"/>
          </w:tcPr>
          <w:p w14:paraId="46B6D584" w14:textId="77777777" w:rsidR="002133E3" w:rsidRDefault="002133E3">
            <w:pPr>
              <w:widowControl/>
              <w:jc w:val="left"/>
              <w:rPr>
                <w:rFonts w:ascii="Times New Roman" w:eastAsia="宋体" w:hAnsi="Times New Roman" w:cs="Times New Roman"/>
                <w:szCs w:val="21"/>
              </w:rPr>
            </w:pPr>
          </w:p>
        </w:tc>
      </w:tr>
      <w:tr w:rsidR="002133E3" w14:paraId="6234E2A8" w14:textId="77777777">
        <w:trPr>
          <w:trHeight w:val="284"/>
          <w:jc w:val="center"/>
        </w:trPr>
        <w:tc>
          <w:tcPr>
            <w:tcW w:w="4189" w:type="dxa"/>
            <w:gridSpan w:val="2"/>
            <w:tcBorders>
              <w:top w:val="single" w:sz="4" w:space="0" w:color="auto"/>
              <w:left w:val="single" w:sz="4" w:space="0" w:color="auto"/>
              <w:bottom w:val="single" w:sz="4" w:space="0" w:color="auto"/>
              <w:right w:val="single" w:sz="4" w:space="0" w:color="auto"/>
            </w:tcBorders>
            <w:vAlign w:val="center"/>
          </w:tcPr>
          <w:p w14:paraId="3B32867A"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土地利用类型</w:t>
            </w:r>
          </w:p>
        </w:tc>
        <w:tc>
          <w:tcPr>
            <w:tcW w:w="1508" w:type="dxa"/>
            <w:tcBorders>
              <w:top w:val="single" w:sz="4" w:space="0" w:color="auto"/>
              <w:left w:val="single" w:sz="4" w:space="0" w:color="auto"/>
              <w:bottom w:val="single" w:sz="4" w:space="0" w:color="auto"/>
              <w:right w:val="single" w:sz="4" w:space="0" w:color="auto"/>
            </w:tcBorders>
            <w:vAlign w:val="center"/>
          </w:tcPr>
          <w:p w14:paraId="1C5DCD04"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农用地</w:t>
            </w:r>
          </w:p>
        </w:tc>
        <w:tc>
          <w:tcPr>
            <w:tcW w:w="4044" w:type="dxa"/>
            <w:tcBorders>
              <w:top w:val="single" w:sz="4" w:space="0" w:color="auto"/>
              <w:left w:val="single" w:sz="4" w:space="0" w:color="auto"/>
              <w:bottom w:val="single" w:sz="4" w:space="0" w:color="auto"/>
              <w:right w:val="single" w:sz="4" w:space="0" w:color="auto"/>
            </w:tcBorders>
            <w:vAlign w:val="center"/>
          </w:tcPr>
          <w:p w14:paraId="558ECBFF"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周围</w:t>
            </w:r>
            <w:r>
              <w:rPr>
                <w:rFonts w:ascii="Times New Roman" w:eastAsia="宋体" w:hAnsi="Times New Roman" w:cs="Times New Roman"/>
                <w:szCs w:val="21"/>
              </w:rPr>
              <w:t>3km</w:t>
            </w:r>
            <w:r>
              <w:rPr>
                <w:rFonts w:ascii="Times New Roman" w:eastAsia="宋体" w:hAnsi="Times New Roman" w:cs="Times New Roman"/>
                <w:szCs w:val="21"/>
              </w:rPr>
              <w:t>范围内占地面积最大的土地为待开发利用地和农用地，以农用地计</w:t>
            </w:r>
          </w:p>
        </w:tc>
      </w:tr>
      <w:tr w:rsidR="002133E3" w14:paraId="4A0325C3" w14:textId="77777777">
        <w:trPr>
          <w:trHeight w:val="284"/>
          <w:jc w:val="center"/>
        </w:trPr>
        <w:tc>
          <w:tcPr>
            <w:tcW w:w="4189" w:type="dxa"/>
            <w:gridSpan w:val="2"/>
            <w:tcBorders>
              <w:top w:val="single" w:sz="4" w:space="0" w:color="auto"/>
              <w:left w:val="single" w:sz="4" w:space="0" w:color="auto"/>
              <w:bottom w:val="single" w:sz="4" w:space="0" w:color="auto"/>
              <w:right w:val="single" w:sz="4" w:space="0" w:color="auto"/>
            </w:tcBorders>
            <w:vAlign w:val="center"/>
          </w:tcPr>
          <w:p w14:paraId="21E82BE3"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区域湿度条件</w:t>
            </w:r>
          </w:p>
        </w:tc>
        <w:tc>
          <w:tcPr>
            <w:tcW w:w="1508" w:type="dxa"/>
            <w:tcBorders>
              <w:top w:val="single" w:sz="4" w:space="0" w:color="auto"/>
              <w:left w:val="single" w:sz="4" w:space="0" w:color="auto"/>
              <w:bottom w:val="single" w:sz="4" w:space="0" w:color="auto"/>
              <w:right w:val="single" w:sz="4" w:space="0" w:color="auto"/>
            </w:tcBorders>
            <w:vAlign w:val="center"/>
          </w:tcPr>
          <w:p w14:paraId="62E869AC"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半湿润区</w:t>
            </w:r>
          </w:p>
        </w:tc>
        <w:tc>
          <w:tcPr>
            <w:tcW w:w="4044" w:type="dxa"/>
            <w:tcBorders>
              <w:top w:val="single" w:sz="4" w:space="0" w:color="auto"/>
              <w:left w:val="single" w:sz="4" w:space="0" w:color="auto"/>
              <w:bottom w:val="single" w:sz="4" w:space="0" w:color="auto"/>
              <w:right w:val="single" w:sz="4" w:space="0" w:color="auto"/>
            </w:tcBorders>
            <w:vAlign w:val="center"/>
          </w:tcPr>
          <w:p w14:paraId="092ACCE5"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中国干湿分区图</w:t>
            </w:r>
          </w:p>
        </w:tc>
      </w:tr>
      <w:tr w:rsidR="002133E3" w14:paraId="76E8F6D7" w14:textId="77777777">
        <w:trPr>
          <w:trHeight w:val="284"/>
          <w:jc w:val="center"/>
        </w:trPr>
        <w:tc>
          <w:tcPr>
            <w:tcW w:w="1493" w:type="dxa"/>
            <w:vMerge w:val="restart"/>
            <w:tcBorders>
              <w:top w:val="single" w:sz="4" w:space="0" w:color="auto"/>
              <w:left w:val="single" w:sz="4" w:space="0" w:color="auto"/>
              <w:bottom w:val="single" w:sz="4" w:space="0" w:color="auto"/>
              <w:right w:val="single" w:sz="4" w:space="0" w:color="auto"/>
            </w:tcBorders>
            <w:vAlign w:val="center"/>
          </w:tcPr>
          <w:p w14:paraId="75CC88FF"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是否考虑地形</w:t>
            </w:r>
          </w:p>
        </w:tc>
        <w:tc>
          <w:tcPr>
            <w:tcW w:w="2696" w:type="dxa"/>
            <w:tcBorders>
              <w:top w:val="single" w:sz="4" w:space="0" w:color="auto"/>
              <w:left w:val="single" w:sz="4" w:space="0" w:color="auto"/>
              <w:bottom w:val="single" w:sz="4" w:space="0" w:color="auto"/>
              <w:right w:val="single" w:sz="4" w:space="0" w:color="auto"/>
            </w:tcBorders>
            <w:vAlign w:val="center"/>
          </w:tcPr>
          <w:p w14:paraId="42B092B3"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考虑地形</w:t>
            </w:r>
          </w:p>
        </w:tc>
        <w:tc>
          <w:tcPr>
            <w:tcW w:w="1508" w:type="dxa"/>
            <w:tcBorders>
              <w:top w:val="single" w:sz="4" w:space="0" w:color="auto"/>
              <w:left w:val="single" w:sz="4" w:space="0" w:color="auto"/>
              <w:bottom w:val="single" w:sz="4" w:space="0" w:color="auto"/>
              <w:right w:val="single" w:sz="4" w:space="0" w:color="auto"/>
            </w:tcBorders>
            <w:vAlign w:val="center"/>
          </w:tcPr>
          <w:p w14:paraId="0AF8C4CE"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是</w:t>
            </w:r>
          </w:p>
        </w:tc>
        <w:tc>
          <w:tcPr>
            <w:tcW w:w="4044" w:type="dxa"/>
            <w:tcBorders>
              <w:top w:val="single" w:sz="4" w:space="0" w:color="auto"/>
              <w:left w:val="single" w:sz="4" w:space="0" w:color="auto"/>
              <w:bottom w:val="single" w:sz="4" w:space="0" w:color="auto"/>
              <w:right w:val="single" w:sz="4" w:space="0" w:color="auto"/>
            </w:tcBorders>
            <w:vAlign w:val="center"/>
          </w:tcPr>
          <w:p w14:paraId="04A2DC45" w14:textId="77777777" w:rsidR="002133E3" w:rsidRDefault="002133E3">
            <w:pPr>
              <w:spacing w:line="300" w:lineRule="exact"/>
              <w:jc w:val="center"/>
              <w:rPr>
                <w:rFonts w:ascii="Times New Roman" w:eastAsia="宋体" w:hAnsi="Times New Roman" w:cs="Times New Roman"/>
                <w:szCs w:val="21"/>
              </w:rPr>
            </w:pPr>
          </w:p>
        </w:tc>
      </w:tr>
      <w:tr w:rsidR="002133E3" w14:paraId="0DC1F3CC" w14:textId="77777777">
        <w:trPr>
          <w:trHeight w:val="284"/>
          <w:jc w:val="center"/>
        </w:trPr>
        <w:tc>
          <w:tcPr>
            <w:tcW w:w="1493" w:type="dxa"/>
            <w:vMerge/>
            <w:tcBorders>
              <w:top w:val="single" w:sz="4" w:space="0" w:color="auto"/>
              <w:left w:val="single" w:sz="4" w:space="0" w:color="auto"/>
              <w:bottom w:val="single" w:sz="4" w:space="0" w:color="auto"/>
              <w:right w:val="single" w:sz="4" w:space="0" w:color="auto"/>
            </w:tcBorders>
            <w:vAlign w:val="center"/>
          </w:tcPr>
          <w:p w14:paraId="625283A6" w14:textId="77777777" w:rsidR="002133E3" w:rsidRDefault="002133E3">
            <w:pPr>
              <w:widowControl/>
              <w:jc w:val="left"/>
              <w:rPr>
                <w:rFonts w:ascii="Times New Roman" w:eastAsia="宋体" w:hAnsi="Times New Roman" w:cs="Times New Roman"/>
                <w:szCs w:val="21"/>
              </w:rPr>
            </w:pPr>
          </w:p>
        </w:tc>
        <w:tc>
          <w:tcPr>
            <w:tcW w:w="2696" w:type="dxa"/>
            <w:tcBorders>
              <w:top w:val="single" w:sz="4" w:space="0" w:color="auto"/>
              <w:left w:val="single" w:sz="4" w:space="0" w:color="auto"/>
              <w:bottom w:val="single" w:sz="4" w:space="0" w:color="auto"/>
              <w:right w:val="single" w:sz="4" w:space="0" w:color="auto"/>
            </w:tcBorders>
            <w:vAlign w:val="center"/>
          </w:tcPr>
          <w:p w14:paraId="129166BA"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地形数据分辨率</w:t>
            </w:r>
            <w:r>
              <w:rPr>
                <w:rFonts w:ascii="Times New Roman" w:eastAsia="宋体" w:hAnsi="Times New Roman" w:cs="Times New Roman"/>
                <w:szCs w:val="21"/>
              </w:rPr>
              <w:t>/m</w:t>
            </w:r>
          </w:p>
        </w:tc>
        <w:tc>
          <w:tcPr>
            <w:tcW w:w="1508" w:type="dxa"/>
            <w:tcBorders>
              <w:top w:val="single" w:sz="4" w:space="0" w:color="auto"/>
              <w:left w:val="single" w:sz="4" w:space="0" w:color="auto"/>
              <w:bottom w:val="single" w:sz="4" w:space="0" w:color="auto"/>
              <w:right w:val="single" w:sz="4" w:space="0" w:color="auto"/>
            </w:tcBorders>
            <w:vAlign w:val="center"/>
          </w:tcPr>
          <w:p w14:paraId="6F1EA4DD"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90m</w:t>
            </w:r>
          </w:p>
        </w:tc>
        <w:tc>
          <w:tcPr>
            <w:tcW w:w="4044" w:type="dxa"/>
            <w:tcBorders>
              <w:top w:val="single" w:sz="4" w:space="0" w:color="auto"/>
              <w:left w:val="single" w:sz="4" w:space="0" w:color="auto"/>
              <w:bottom w:val="single" w:sz="4" w:space="0" w:color="auto"/>
              <w:right w:val="single" w:sz="4" w:space="0" w:color="auto"/>
            </w:tcBorders>
            <w:vAlign w:val="center"/>
          </w:tcPr>
          <w:p w14:paraId="05A7B471"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源自</w:t>
            </w:r>
            <w:r>
              <w:rPr>
                <w:rFonts w:ascii="Times New Roman" w:eastAsia="宋体" w:hAnsi="Times New Roman" w:cs="Times New Roman"/>
                <w:szCs w:val="21"/>
              </w:rPr>
              <w:t>GIS</w:t>
            </w:r>
            <w:r>
              <w:rPr>
                <w:rFonts w:ascii="Times New Roman" w:eastAsia="宋体" w:hAnsi="Times New Roman" w:cs="Times New Roman"/>
                <w:szCs w:val="21"/>
              </w:rPr>
              <w:t>服务平台</w:t>
            </w:r>
          </w:p>
        </w:tc>
      </w:tr>
      <w:tr w:rsidR="002133E3" w14:paraId="19ABCD61" w14:textId="77777777">
        <w:trPr>
          <w:trHeight w:val="284"/>
          <w:jc w:val="center"/>
        </w:trPr>
        <w:tc>
          <w:tcPr>
            <w:tcW w:w="1493" w:type="dxa"/>
            <w:vMerge w:val="restart"/>
            <w:tcBorders>
              <w:top w:val="single" w:sz="4" w:space="0" w:color="auto"/>
              <w:left w:val="single" w:sz="4" w:space="0" w:color="auto"/>
              <w:bottom w:val="single" w:sz="4" w:space="0" w:color="auto"/>
              <w:right w:val="single" w:sz="4" w:space="0" w:color="auto"/>
            </w:tcBorders>
            <w:vAlign w:val="center"/>
          </w:tcPr>
          <w:p w14:paraId="64B29B0B"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是否考虑岸线熏烟</w:t>
            </w:r>
          </w:p>
        </w:tc>
        <w:tc>
          <w:tcPr>
            <w:tcW w:w="2696" w:type="dxa"/>
            <w:tcBorders>
              <w:top w:val="single" w:sz="4" w:space="0" w:color="auto"/>
              <w:left w:val="single" w:sz="4" w:space="0" w:color="auto"/>
              <w:bottom w:val="single" w:sz="4" w:space="0" w:color="auto"/>
              <w:right w:val="single" w:sz="4" w:space="0" w:color="auto"/>
            </w:tcBorders>
            <w:vAlign w:val="center"/>
          </w:tcPr>
          <w:p w14:paraId="32F2EF35"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考虑岸线熏烟</w:t>
            </w:r>
          </w:p>
        </w:tc>
        <w:tc>
          <w:tcPr>
            <w:tcW w:w="1508" w:type="dxa"/>
            <w:tcBorders>
              <w:top w:val="single" w:sz="4" w:space="0" w:color="auto"/>
              <w:left w:val="single" w:sz="4" w:space="0" w:color="auto"/>
              <w:bottom w:val="single" w:sz="4" w:space="0" w:color="auto"/>
              <w:right w:val="single" w:sz="4" w:space="0" w:color="auto"/>
            </w:tcBorders>
            <w:vAlign w:val="center"/>
          </w:tcPr>
          <w:p w14:paraId="2CCF818C"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是</w:t>
            </w:r>
            <w:r>
              <w:rPr>
                <w:rFonts w:ascii="Times New Roman" w:eastAsia="宋体" w:hAnsi="Times New Roman" w:cs="Times New Roman"/>
                <w:szCs w:val="21"/>
              </w:rPr>
              <w:t xml:space="preserve">   √</w:t>
            </w:r>
            <w:r>
              <w:rPr>
                <w:rFonts w:ascii="Times New Roman" w:eastAsia="宋体" w:hAnsi="Times New Roman" w:cs="Times New Roman"/>
                <w:szCs w:val="21"/>
              </w:rPr>
              <w:t>否</w:t>
            </w:r>
          </w:p>
        </w:tc>
        <w:tc>
          <w:tcPr>
            <w:tcW w:w="4044" w:type="dxa"/>
            <w:tcBorders>
              <w:top w:val="single" w:sz="4" w:space="0" w:color="auto"/>
              <w:left w:val="single" w:sz="4" w:space="0" w:color="auto"/>
              <w:bottom w:val="single" w:sz="4" w:space="0" w:color="auto"/>
              <w:right w:val="single" w:sz="4" w:space="0" w:color="auto"/>
            </w:tcBorders>
            <w:vAlign w:val="center"/>
          </w:tcPr>
          <w:p w14:paraId="2FA9A1AA"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22FCE554" w14:textId="77777777">
        <w:trPr>
          <w:trHeight w:val="284"/>
          <w:jc w:val="center"/>
        </w:trPr>
        <w:tc>
          <w:tcPr>
            <w:tcW w:w="1493" w:type="dxa"/>
            <w:vMerge/>
            <w:tcBorders>
              <w:top w:val="single" w:sz="4" w:space="0" w:color="auto"/>
              <w:left w:val="single" w:sz="4" w:space="0" w:color="auto"/>
              <w:bottom w:val="single" w:sz="4" w:space="0" w:color="auto"/>
              <w:right w:val="single" w:sz="4" w:space="0" w:color="auto"/>
            </w:tcBorders>
            <w:vAlign w:val="center"/>
          </w:tcPr>
          <w:p w14:paraId="6EF2B4D0" w14:textId="77777777" w:rsidR="002133E3" w:rsidRDefault="002133E3">
            <w:pPr>
              <w:widowControl/>
              <w:jc w:val="left"/>
              <w:rPr>
                <w:rFonts w:ascii="Times New Roman" w:eastAsia="宋体" w:hAnsi="Times New Roman" w:cs="Times New Roman"/>
                <w:szCs w:val="21"/>
              </w:rPr>
            </w:pPr>
          </w:p>
        </w:tc>
        <w:tc>
          <w:tcPr>
            <w:tcW w:w="2696" w:type="dxa"/>
            <w:tcBorders>
              <w:top w:val="single" w:sz="4" w:space="0" w:color="auto"/>
              <w:left w:val="single" w:sz="4" w:space="0" w:color="auto"/>
              <w:bottom w:val="single" w:sz="4" w:space="0" w:color="auto"/>
              <w:right w:val="single" w:sz="4" w:space="0" w:color="auto"/>
            </w:tcBorders>
            <w:vAlign w:val="center"/>
          </w:tcPr>
          <w:p w14:paraId="700F80B4"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岸线距离</w:t>
            </w:r>
            <w:r>
              <w:rPr>
                <w:rFonts w:ascii="Times New Roman" w:eastAsia="宋体" w:hAnsi="Times New Roman" w:cs="Times New Roman"/>
                <w:szCs w:val="21"/>
              </w:rPr>
              <w:t>/km</w:t>
            </w:r>
          </w:p>
        </w:tc>
        <w:tc>
          <w:tcPr>
            <w:tcW w:w="1508" w:type="dxa"/>
            <w:tcBorders>
              <w:top w:val="single" w:sz="4" w:space="0" w:color="auto"/>
              <w:left w:val="single" w:sz="4" w:space="0" w:color="auto"/>
              <w:bottom w:val="single" w:sz="4" w:space="0" w:color="auto"/>
              <w:right w:val="single" w:sz="4" w:space="0" w:color="auto"/>
            </w:tcBorders>
            <w:vAlign w:val="center"/>
          </w:tcPr>
          <w:p w14:paraId="1DC95E06"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10</w:t>
            </w:r>
          </w:p>
        </w:tc>
        <w:tc>
          <w:tcPr>
            <w:tcW w:w="4044" w:type="dxa"/>
            <w:tcBorders>
              <w:top w:val="single" w:sz="4" w:space="0" w:color="auto"/>
              <w:left w:val="single" w:sz="4" w:space="0" w:color="auto"/>
              <w:bottom w:val="single" w:sz="4" w:space="0" w:color="auto"/>
              <w:right w:val="single" w:sz="4" w:space="0" w:color="auto"/>
            </w:tcBorders>
            <w:vAlign w:val="center"/>
          </w:tcPr>
          <w:p w14:paraId="5128BD8F"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30893B54" w14:textId="77777777">
        <w:trPr>
          <w:trHeight w:val="284"/>
          <w:jc w:val="center"/>
        </w:trPr>
        <w:tc>
          <w:tcPr>
            <w:tcW w:w="1493" w:type="dxa"/>
            <w:vMerge/>
            <w:tcBorders>
              <w:top w:val="single" w:sz="4" w:space="0" w:color="auto"/>
              <w:left w:val="single" w:sz="4" w:space="0" w:color="auto"/>
              <w:bottom w:val="single" w:sz="4" w:space="0" w:color="auto"/>
              <w:right w:val="single" w:sz="4" w:space="0" w:color="auto"/>
            </w:tcBorders>
            <w:vAlign w:val="center"/>
          </w:tcPr>
          <w:p w14:paraId="5AF67AD7" w14:textId="77777777" w:rsidR="002133E3" w:rsidRDefault="002133E3">
            <w:pPr>
              <w:widowControl/>
              <w:jc w:val="left"/>
              <w:rPr>
                <w:rFonts w:ascii="Times New Roman" w:eastAsia="宋体" w:hAnsi="Times New Roman" w:cs="Times New Roman"/>
                <w:szCs w:val="21"/>
              </w:rPr>
            </w:pPr>
          </w:p>
        </w:tc>
        <w:tc>
          <w:tcPr>
            <w:tcW w:w="2696" w:type="dxa"/>
            <w:tcBorders>
              <w:top w:val="single" w:sz="4" w:space="0" w:color="auto"/>
              <w:left w:val="single" w:sz="4" w:space="0" w:color="auto"/>
              <w:bottom w:val="single" w:sz="4" w:space="0" w:color="auto"/>
              <w:right w:val="single" w:sz="4" w:space="0" w:color="auto"/>
            </w:tcBorders>
            <w:vAlign w:val="center"/>
          </w:tcPr>
          <w:p w14:paraId="3CD37434"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岸线方向</w:t>
            </w:r>
            <w:r>
              <w:rPr>
                <w:rFonts w:ascii="Times New Roman" w:eastAsia="宋体" w:hAnsi="Times New Roman" w:cs="Times New Roman"/>
                <w:szCs w:val="21"/>
              </w:rPr>
              <w:t>/°</w:t>
            </w:r>
          </w:p>
        </w:tc>
        <w:tc>
          <w:tcPr>
            <w:tcW w:w="1508" w:type="dxa"/>
            <w:tcBorders>
              <w:top w:val="single" w:sz="4" w:space="0" w:color="auto"/>
              <w:left w:val="single" w:sz="4" w:space="0" w:color="auto"/>
              <w:bottom w:val="single" w:sz="4" w:space="0" w:color="auto"/>
              <w:right w:val="single" w:sz="4" w:space="0" w:color="auto"/>
            </w:tcBorders>
            <w:vAlign w:val="center"/>
          </w:tcPr>
          <w:p w14:paraId="171DD086"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40</w:t>
            </w:r>
          </w:p>
        </w:tc>
        <w:tc>
          <w:tcPr>
            <w:tcW w:w="4044" w:type="dxa"/>
            <w:tcBorders>
              <w:top w:val="single" w:sz="4" w:space="0" w:color="auto"/>
              <w:left w:val="single" w:sz="4" w:space="0" w:color="auto"/>
              <w:bottom w:val="single" w:sz="4" w:space="0" w:color="auto"/>
              <w:right w:val="single" w:sz="4" w:space="0" w:color="auto"/>
            </w:tcBorders>
            <w:vAlign w:val="center"/>
          </w:tcPr>
          <w:p w14:paraId="6DD57227" w14:textId="77777777" w:rsidR="002133E3" w:rsidRDefault="00C22CFA">
            <w:pPr>
              <w:spacing w:line="30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bl>
    <w:p w14:paraId="1BB5D46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主要污染源估算模型计算结果</w:t>
      </w:r>
    </w:p>
    <w:p w14:paraId="29A2CA9D"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选择《环境影响评价技术导则</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大气环境》</w:t>
      </w:r>
      <w:r>
        <w:rPr>
          <w:rFonts w:ascii="Times New Roman" w:eastAsia="宋体" w:hAnsi="Times New Roman" w:cs="Times New Roman"/>
          <w:sz w:val="28"/>
          <w:szCs w:val="28"/>
        </w:rPr>
        <w:t>(HJ 2.2-2018)</w:t>
      </w:r>
      <w:r>
        <w:rPr>
          <w:rFonts w:ascii="Times New Roman" w:eastAsia="宋体" w:hAnsi="Times New Roman" w:cs="Times New Roman"/>
          <w:sz w:val="28"/>
          <w:szCs w:val="28"/>
        </w:rPr>
        <w:t>中推荐的估算模式。利用估算模式分别计算每一种判定因子在所有气象条件下，下风向轴线浓度和相应的占标率</w:t>
      </w:r>
      <w:r>
        <w:rPr>
          <w:rFonts w:ascii="Times New Roman" w:eastAsia="宋体" w:hAnsi="Times New Roman" w:cs="Times New Roman"/>
          <w:sz w:val="28"/>
          <w:szCs w:val="28"/>
        </w:rPr>
        <w:t>Pi(</w:t>
      </w:r>
      <w:r>
        <w:rPr>
          <w:rFonts w:ascii="Times New Roman" w:eastAsia="宋体" w:hAnsi="Times New Roman" w:cs="Times New Roman"/>
          <w:sz w:val="28"/>
          <w:szCs w:val="28"/>
        </w:rPr>
        <w:t>第</w:t>
      </w:r>
      <w:proofErr w:type="spellStart"/>
      <w:r>
        <w:rPr>
          <w:rFonts w:ascii="Times New Roman" w:eastAsia="宋体" w:hAnsi="Times New Roman" w:cs="Times New Roman"/>
          <w:sz w:val="28"/>
          <w:szCs w:val="28"/>
        </w:rPr>
        <w:t>i</w:t>
      </w:r>
      <w:proofErr w:type="spellEnd"/>
      <w:r>
        <w:rPr>
          <w:rFonts w:ascii="Times New Roman" w:eastAsia="宋体" w:hAnsi="Times New Roman" w:cs="Times New Roman"/>
          <w:sz w:val="28"/>
          <w:szCs w:val="28"/>
        </w:rPr>
        <w:t>种污染物</w:t>
      </w:r>
      <w:r>
        <w:rPr>
          <w:rFonts w:ascii="Times New Roman" w:eastAsia="宋体" w:hAnsi="Times New Roman" w:cs="Times New Roman"/>
          <w:sz w:val="28"/>
          <w:szCs w:val="28"/>
        </w:rPr>
        <w:t>)</w:t>
      </w:r>
      <w:r>
        <w:rPr>
          <w:rFonts w:ascii="Times New Roman" w:eastAsia="宋体" w:hAnsi="Times New Roman" w:cs="Times New Roman"/>
          <w:sz w:val="28"/>
          <w:szCs w:val="28"/>
        </w:rPr>
        <w:t>，计算公式如下：</w:t>
      </w:r>
    </w:p>
    <w:p w14:paraId="6543B649"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noProof/>
          <w:szCs w:val="24"/>
        </w:rPr>
        <w:drawing>
          <wp:inline distT="0" distB="0" distL="0" distR="0" wp14:anchorId="272286C5" wp14:editId="7298FF51">
            <wp:extent cx="1152525" cy="43815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152525" cy="438150"/>
                    </a:xfrm>
                    <a:prstGeom prst="rect">
                      <a:avLst/>
                    </a:prstGeom>
                    <a:noFill/>
                    <a:ln>
                      <a:noFill/>
                    </a:ln>
                  </pic:spPr>
                </pic:pic>
              </a:graphicData>
            </a:graphic>
          </wp:inline>
        </w:drawing>
      </w:r>
    </w:p>
    <w:p w14:paraId="71B4F2C5" w14:textId="77777777" w:rsidR="002133E3" w:rsidRDefault="00C22CFA">
      <w:pPr>
        <w:spacing w:line="500" w:lineRule="exact"/>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式中：</w:t>
      </w:r>
      <w:r>
        <w:rPr>
          <w:rFonts w:ascii="Times New Roman" w:eastAsia="宋体" w:hAnsi="Times New Roman" w:cs="Times New Roman"/>
          <w:sz w:val="28"/>
          <w:szCs w:val="28"/>
        </w:rPr>
        <w:t>Pi—</w:t>
      </w:r>
      <w:r>
        <w:rPr>
          <w:rFonts w:ascii="Times New Roman" w:eastAsia="宋体" w:hAnsi="Times New Roman" w:cs="Times New Roman"/>
          <w:sz w:val="28"/>
          <w:szCs w:val="28"/>
        </w:rPr>
        <w:t>第</w:t>
      </w:r>
      <w:proofErr w:type="spellStart"/>
      <w:r>
        <w:rPr>
          <w:rFonts w:ascii="Times New Roman" w:eastAsia="宋体" w:hAnsi="Times New Roman" w:cs="Times New Roman"/>
          <w:sz w:val="28"/>
          <w:szCs w:val="28"/>
        </w:rPr>
        <w:t>i</w:t>
      </w:r>
      <w:proofErr w:type="spellEnd"/>
      <w:r>
        <w:rPr>
          <w:rFonts w:ascii="Times New Roman" w:eastAsia="宋体" w:hAnsi="Times New Roman" w:cs="Times New Roman"/>
          <w:sz w:val="28"/>
          <w:szCs w:val="28"/>
        </w:rPr>
        <w:t>个污染物的最大地面浓度占标率，</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45D2711E"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Ci—</w:t>
      </w:r>
      <w:r>
        <w:rPr>
          <w:rFonts w:ascii="Times New Roman" w:eastAsia="宋体" w:hAnsi="Times New Roman" w:cs="Times New Roman"/>
          <w:sz w:val="28"/>
          <w:szCs w:val="28"/>
        </w:rPr>
        <w:t>采用估算模式计算出的第</w:t>
      </w:r>
      <w:proofErr w:type="spellStart"/>
      <w:r>
        <w:rPr>
          <w:rFonts w:ascii="Times New Roman" w:eastAsia="宋体" w:hAnsi="Times New Roman" w:cs="Times New Roman"/>
          <w:sz w:val="28"/>
          <w:szCs w:val="28"/>
        </w:rPr>
        <w:t>i</w:t>
      </w:r>
      <w:proofErr w:type="spellEnd"/>
      <w:r>
        <w:rPr>
          <w:rFonts w:ascii="Times New Roman" w:eastAsia="宋体" w:hAnsi="Times New Roman" w:cs="Times New Roman"/>
          <w:sz w:val="28"/>
          <w:szCs w:val="28"/>
        </w:rPr>
        <w:t>个污染物的最大地面浓度，</w:t>
      </w:r>
      <w:r>
        <w:rPr>
          <w:rFonts w:ascii="Times New Roman" w:eastAsia="宋体" w:hAnsi="Times New Roman" w:cs="Times New Roman"/>
          <w:sz w:val="28"/>
          <w:szCs w:val="28"/>
        </w:rPr>
        <w:t>mg/m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w:t>
      </w:r>
    </w:p>
    <w:p w14:paraId="354A67FC" w14:textId="77777777" w:rsidR="002133E3" w:rsidRDefault="00C22CFA">
      <w:pPr>
        <w:spacing w:line="500" w:lineRule="exact"/>
        <w:ind w:firstLineChars="200" w:firstLine="560"/>
        <w:rPr>
          <w:rFonts w:ascii="Times New Roman" w:eastAsia="宋体" w:hAnsi="Times New Roman" w:cs="Times New Roman"/>
          <w:sz w:val="28"/>
          <w:szCs w:val="28"/>
        </w:rPr>
      </w:pPr>
      <w:proofErr w:type="spellStart"/>
      <w:r>
        <w:rPr>
          <w:rFonts w:ascii="Times New Roman" w:eastAsia="宋体" w:hAnsi="Times New Roman" w:cs="Times New Roman"/>
          <w:sz w:val="28"/>
          <w:szCs w:val="28"/>
        </w:rPr>
        <w:t>Coi</w:t>
      </w:r>
      <w:proofErr w:type="spellEnd"/>
      <w:r>
        <w:rPr>
          <w:rFonts w:ascii="Times New Roman" w:eastAsia="宋体" w:hAnsi="Times New Roman" w:cs="Times New Roman"/>
          <w:sz w:val="28"/>
          <w:szCs w:val="28"/>
        </w:rPr>
        <w:t>—</w:t>
      </w:r>
      <w:r>
        <w:rPr>
          <w:rFonts w:ascii="Times New Roman" w:eastAsia="宋体" w:hAnsi="Times New Roman" w:cs="Times New Roman"/>
          <w:sz w:val="28"/>
          <w:szCs w:val="28"/>
        </w:rPr>
        <w:t>第</w:t>
      </w:r>
      <w:proofErr w:type="spellStart"/>
      <w:r>
        <w:rPr>
          <w:rFonts w:ascii="Times New Roman" w:eastAsia="宋体" w:hAnsi="Times New Roman" w:cs="Times New Roman"/>
          <w:sz w:val="28"/>
          <w:szCs w:val="28"/>
        </w:rPr>
        <w:t>i</w:t>
      </w:r>
      <w:proofErr w:type="spellEnd"/>
      <w:r>
        <w:rPr>
          <w:rFonts w:ascii="Times New Roman" w:eastAsia="宋体" w:hAnsi="Times New Roman" w:cs="Times New Roman"/>
          <w:sz w:val="28"/>
          <w:szCs w:val="28"/>
        </w:rPr>
        <w:t>个污染物的环境空气质量标准，</w:t>
      </w:r>
      <w:r>
        <w:rPr>
          <w:rFonts w:ascii="Times New Roman" w:eastAsia="宋体" w:hAnsi="Times New Roman" w:cs="Times New Roman"/>
          <w:sz w:val="28"/>
          <w:szCs w:val="28"/>
        </w:rPr>
        <w:t>mg/m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w:t>
      </w:r>
    </w:p>
    <w:p w14:paraId="02841175"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估算模式有组织废气排放参数情况见表</w:t>
      </w:r>
      <w:r>
        <w:rPr>
          <w:rFonts w:ascii="Times New Roman" w:eastAsia="宋体" w:hAnsi="Times New Roman" w:cs="Times New Roman"/>
          <w:sz w:val="28"/>
          <w:szCs w:val="28"/>
        </w:rPr>
        <w:t>6.2-4</w:t>
      </w:r>
      <w:r>
        <w:rPr>
          <w:rFonts w:ascii="Times New Roman" w:eastAsia="宋体" w:hAnsi="Times New Roman" w:cs="Times New Roman"/>
          <w:sz w:val="28"/>
          <w:szCs w:val="28"/>
        </w:rPr>
        <w:t>，无组织废气面源参数情况见表</w:t>
      </w:r>
      <w:r>
        <w:rPr>
          <w:rFonts w:ascii="Times New Roman" w:eastAsia="宋体" w:hAnsi="Times New Roman" w:cs="Times New Roman"/>
          <w:sz w:val="28"/>
          <w:szCs w:val="28"/>
        </w:rPr>
        <w:t>6.2-5</w:t>
      </w:r>
      <w:r>
        <w:rPr>
          <w:rFonts w:ascii="Times New Roman" w:eastAsia="宋体" w:hAnsi="Times New Roman" w:cs="Times New Roman"/>
          <w:sz w:val="28"/>
          <w:szCs w:val="28"/>
        </w:rPr>
        <w:t>。</w:t>
      </w:r>
    </w:p>
    <w:p w14:paraId="1F9E5FFE"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6.2-4  </w:t>
      </w:r>
      <w:r>
        <w:rPr>
          <w:rFonts w:ascii="Times New Roman" w:eastAsia="宋体" w:hAnsi="Times New Roman" w:cs="Times New Roman"/>
          <w:b/>
          <w:sz w:val="24"/>
          <w:szCs w:val="24"/>
        </w:rPr>
        <w:t>大气污染物预测源强（点源）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1516"/>
        <w:gridCol w:w="1133"/>
        <w:gridCol w:w="991"/>
        <w:gridCol w:w="1417"/>
        <w:gridCol w:w="1271"/>
        <w:gridCol w:w="1423"/>
        <w:gridCol w:w="1382"/>
      </w:tblGrid>
      <w:tr w:rsidR="002133E3" w14:paraId="00B75442" w14:textId="77777777">
        <w:trPr>
          <w:cantSplit/>
          <w:trHeight w:val="268"/>
          <w:jc w:val="center"/>
        </w:trPr>
        <w:tc>
          <w:tcPr>
            <w:tcW w:w="366" w:type="pct"/>
            <w:vMerge w:val="restart"/>
            <w:vAlign w:val="center"/>
          </w:tcPr>
          <w:p w14:paraId="19D546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点源编号</w:t>
            </w:r>
          </w:p>
        </w:tc>
        <w:tc>
          <w:tcPr>
            <w:tcW w:w="769" w:type="pct"/>
            <w:vMerge w:val="restart"/>
            <w:vAlign w:val="center"/>
          </w:tcPr>
          <w:p w14:paraId="25F9BD1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污染物</w:t>
            </w:r>
          </w:p>
        </w:tc>
        <w:tc>
          <w:tcPr>
            <w:tcW w:w="575" w:type="pct"/>
            <w:vMerge w:val="restart"/>
            <w:vAlign w:val="center"/>
          </w:tcPr>
          <w:p w14:paraId="78D7407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排放源强</w:t>
            </w:r>
          </w:p>
          <w:p w14:paraId="74D108C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kg/h</w:t>
            </w:r>
            <w:r>
              <w:rPr>
                <w:rFonts w:ascii="Times New Roman" w:eastAsia="宋体" w:hAnsi="Times New Roman" w:cs="Times New Roman"/>
                <w:szCs w:val="21"/>
              </w:rPr>
              <w:t>）</w:t>
            </w:r>
          </w:p>
        </w:tc>
        <w:tc>
          <w:tcPr>
            <w:tcW w:w="503" w:type="pct"/>
            <w:vMerge w:val="restart"/>
            <w:vAlign w:val="center"/>
          </w:tcPr>
          <w:p w14:paraId="124A4B0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烟气流量</w:t>
            </w:r>
            <w:r>
              <w:rPr>
                <w:rFonts w:ascii="Times New Roman" w:eastAsia="宋体" w:hAnsi="Times New Roman" w:cs="Times New Roman"/>
                <w:szCs w:val="21"/>
              </w:rPr>
              <w:t>(m</w:t>
            </w:r>
            <w:r>
              <w:rPr>
                <w:rFonts w:ascii="Times New Roman" w:eastAsia="宋体" w:hAnsi="Times New Roman" w:cs="Times New Roman"/>
                <w:szCs w:val="21"/>
                <w:vertAlign w:val="superscript"/>
              </w:rPr>
              <w:t>3</w:t>
            </w:r>
            <w:r>
              <w:rPr>
                <w:rFonts w:ascii="Times New Roman" w:eastAsia="宋体" w:hAnsi="Times New Roman" w:cs="Times New Roman"/>
                <w:szCs w:val="21"/>
              </w:rPr>
              <w:t>/h)</w:t>
            </w:r>
          </w:p>
        </w:tc>
        <w:tc>
          <w:tcPr>
            <w:tcW w:w="2086" w:type="pct"/>
            <w:gridSpan w:val="3"/>
            <w:vAlign w:val="center"/>
          </w:tcPr>
          <w:p w14:paraId="472C2C5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烟囱参数</w:t>
            </w:r>
          </w:p>
        </w:tc>
        <w:tc>
          <w:tcPr>
            <w:tcW w:w="701" w:type="pct"/>
            <w:vMerge w:val="restart"/>
            <w:vAlign w:val="center"/>
          </w:tcPr>
          <w:p w14:paraId="04AD202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排放工况</w:t>
            </w:r>
          </w:p>
        </w:tc>
      </w:tr>
      <w:tr w:rsidR="002133E3" w14:paraId="39DB1478" w14:textId="77777777">
        <w:trPr>
          <w:cantSplit/>
          <w:trHeight w:val="462"/>
          <w:jc w:val="center"/>
        </w:trPr>
        <w:tc>
          <w:tcPr>
            <w:tcW w:w="366" w:type="pct"/>
            <w:vMerge/>
            <w:vAlign w:val="center"/>
          </w:tcPr>
          <w:p w14:paraId="14282486" w14:textId="77777777" w:rsidR="002133E3" w:rsidRDefault="002133E3">
            <w:pPr>
              <w:widowControl/>
              <w:jc w:val="left"/>
              <w:rPr>
                <w:rFonts w:ascii="Times New Roman" w:eastAsia="宋体" w:hAnsi="Times New Roman" w:cs="Times New Roman"/>
                <w:szCs w:val="21"/>
              </w:rPr>
            </w:pPr>
          </w:p>
        </w:tc>
        <w:tc>
          <w:tcPr>
            <w:tcW w:w="769" w:type="pct"/>
            <w:vMerge/>
            <w:vAlign w:val="center"/>
          </w:tcPr>
          <w:p w14:paraId="630DD32A" w14:textId="77777777" w:rsidR="002133E3" w:rsidRDefault="002133E3">
            <w:pPr>
              <w:widowControl/>
              <w:jc w:val="left"/>
              <w:rPr>
                <w:rFonts w:ascii="Times New Roman" w:eastAsia="宋体" w:hAnsi="Times New Roman" w:cs="Times New Roman"/>
                <w:szCs w:val="21"/>
              </w:rPr>
            </w:pPr>
          </w:p>
        </w:tc>
        <w:tc>
          <w:tcPr>
            <w:tcW w:w="575" w:type="pct"/>
            <w:vMerge/>
            <w:vAlign w:val="center"/>
          </w:tcPr>
          <w:p w14:paraId="246AD73A" w14:textId="77777777" w:rsidR="002133E3" w:rsidRDefault="002133E3">
            <w:pPr>
              <w:widowControl/>
              <w:jc w:val="left"/>
              <w:rPr>
                <w:rFonts w:ascii="Times New Roman" w:eastAsia="宋体" w:hAnsi="Times New Roman" w:cs="Times New Roman"/>
                <w:szCs w:val="21"/>
              </w:rPr>
            </w:pPr>
          </w:p>
        </w:tc>
        <w:tc>
          <w:tcPr>
            <w:tcW w:w="503" w:type="pct"/>
            <w:vMerge/>
            <w:vAlign w:val="center"/>
          </w:tcPr>
          <w:p w14:paraId="31CF8983" w14:textId="77777777" w:rsidR="002133E3" w:rsidRDefault="002133E3">
            <w:pPr>
              <w:widowControl/>
              <w:jc w:val="left"/>
              <w:rPr>
                <w:rFonts w:ascii="Times New Roman" w:eastAsia="宋体" w:hAnsi="Times New Roman" w:cs="Times New Roman"/>
                <w:szCs w:val="21"/>
              </w:rPr>
            </w:pPr>
          </w:p>
        </w:tc>
        <w:tc>
          <w:tcPr>
            <w:tcW w:w="719" w:type="pct"/>
            <w:vAlign w:val="center"/>
          </w:tcPr>
          <w:p w14:paraId="01DB3E5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pacing w:val="-16"/>
                <w:szCs w:val="21"/>
              </w:rPr>
              <w:t>排气筒高度</w:t>
            </w:r>
            <w:r>
              <w:rPr>
                <w:rFonts w:ascii="Times New Roman" w:eastAsia="宋体" w:hAnsi="Times New Roman" w:cs="Times New Roman"/>
                <w:szCs w:val="21"/>
              </w:rPr>
              <w:t>(m)</w:t>
            </w:r>
          </w:p>
        </w:tc>
        <w:tc>
          <w:tcPr>
            <w:tcW w:w="645" w:type="pct"/>
            <w:vAlign w:val="center"/>
          </w:tcPr>
          <w:p w14:paraId="52F3114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pacing w:val="-16"/>
                <w:szCs w:val="21"/>
              </w:rPr>
              <w:t>出口内径</w:t>
            </w:r>
            <w:r>
              <w:rPr>
                <w:rFonts w:ascii="Times New Roman" w:eastAsia="宋体" w:hAnsi="Times New Roman" w:cs="Times New Roman"/>
                <w:szCs w:val="21"/>
              </w:rPr>
              <w:t>(m)</w:t>
            </w:r>
          </w:p>
        </w:tc>
        <w:tc>
          <w:tcPr>
            <w:tcW w:w="722" w:type="pct"/>
            <w:vAlign w:val="center"/>
          </w:tcPr>
          <w:p w14:paraId="51E9C44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出口温度</w:t>
            </w:r>
            <w:r>
              <w:rPr>
                <w:rFonts w:ascii="Times New Roman" w:eastAsia="宋体" w:hAnsi="Times New Roman" w:cs="Times New Roman"/>
                <w:szCs w:val="21"/>
              </w:rPr>
              <w:t>(</w:t>
            </w:r>
            <w:r>
              <w:rPr>
                <w:rFonts w:ascii="宋体" w:eastAsia="宋体" w:hAnsi="宋体" w:cs="宋体" w:hint="eastAsia"/>
                <w:szCs w:val="21"/>
              </w:rPr>
              <w:t>℃</w:t>
            </w:r>
            <w:r>
              <w:rPr>
                <w:rFonts w:ascii="Times New Roman" w:eastAsia="宋体" w:hAnsi="Times New Roman" w:cs="Times New Roman"/>
                <w:szCs w:val="21"/>
              </w:rPr>
              <w:t>)</w:t>
            </w:r>
          </w:p>
        </w:tc>
        <w:tc>
          <w:tcPr>
            <w:tcW w:w="701" w:type="pct"/>
            <w:vMerge/>
            <w:vAlign w:val="center"/>
          </w:tcPr>
          <w:p w14:paraId="101CBF14" w14:textId="77777777" w:rsidR="002133E3" w:rsidRDefault="002133E3">
            <w:pPr>
              <w:widowControl/>
              <w:jc w:val="left"/>
              <w:rPr>
                <w:rFonts w:ascii="Times New Roman" w:eastAsia="宋体" w:hAnsi="Times New Roman" w:cs="Times New Roman"/>
                <w:szCs w:val="21"/>
              </w:rPr>
            </w:pPr>
          </w:p>
        </w:tc>
      </w:tr>
      <w:tr w:rsidR="002133E3" w14:paraId="305E7E92" w14:textId="77777777">
        <w:trPr>
          <w:cantSplit/>
          <w:trHeight w:val="268"/>
          <w:jc w:val="center"/>
        </w:trPr>
        <w:tc>
          <w:tcPr>
            <w:tcW w:w="366" w:type="pct"/>
            <w:vAlign w:val="center"/>
          </w:tcPr>
          <w:p w14:paraId="24AD0DE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w:t>
            </w:r>
          </w:p>
        </w:tc>
        <w:tc>
          <w:tcPr>
            <w:tcW w:w="769" w:type="pct"/>
            <w:vAlign w:val="center"/>
          </w:tcPr>
          <w:p w14:paraId="1DFADCE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粉尘</w:t>
            </w:r>
          </w:p>
        </w:tc>
        <w:tc>
          <w:tcPr>
            <w:tcW w:w="575" w:type="pct"/>
            <w:vAlign w:val="center"/>
          </w:tcPr>
          <w:p w14:paraId="3BF9C4DD"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 xml:space="preserve">0.74 </w:t>
            </w:r>
          </w:p>
        </w:tc>
        <w:tc>
          <w:tcPr>
            <w:tcW w:w="503" w:type="pct"/>
            <w:vAlign w:val="center"/>
          </w:tcPr>
          <w:p w14:paraId="7802338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60000</w:t>
            </w:r>
          </w:p>
        </w:tc>
        <w:tc>
          <w:tcPr>
            <w:tcW w:w="719" w:type="pct"/>
            <w:vAlign w:val="center"/>
          </w:tcPr>
          <w:p w14:paraId="07802C7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Align w:val="center"/>
          </w:tcPr>
          <w:p w14:paraId="5B37C54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w:t>
            </w:r>
          </w:p>
        </w:tc>
        <w:tc>
          <w:tcPr>
            <w:tcW w:w="722" w:type="pct"/>
            <w:vAlign w:val="center"/>
          </w:tcPr>
          <w:p w14:paraId="0596FC2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Align w:val="center"/>
          </w:tcPr>
          <w:p w14:paraId="0C54E83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正常排放</w:t>
            </w:r>
          </w:p>
        </w:tc>
      </w:tr>
      <w:tr w:rsidR="002133E3" w14:paraId="08F28D9D" w14:textId="77777777">
        <w:trPr>
          <w:cantSplit/>
          <w:trHeight w:val="268"/>
          <w:jc w:val="center"/>
        </w:trPr>
        <w:tc>
          <w:tcPr>
            <w:tcW w:w="366" w:type="pct"/>
            <w:vAlign w:val="center"/>
          </w:tcPr>
          <w:p w14:paraId="342A7E0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4#</w:t>
            </w:r>
          </w:p>
        </w:tc>
        <w:tc>
          <w:tcPr>
            <w:tcW w:w="769" w:type="pct"/>
          </w:tcPr>
          <w:p w14:paraId="5D31CE5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粉尘</w:t>
            </w:r>
          </w:p>
        </w:tc>
        <w:tc>
          <w:tcPr>
            <w:tcW w:w="575" w:type="pct"/>
            <w:vAlign w:val="center"/>
          </w:tcPr>
          <w:p w14:paraId="5AC522B0"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 xml:space="preserve">0.74 </w:t>
            </w:r>
          </w:p>
        </w:tc>
        <w:tc>
          <w:tcPr>
            <w:tcW w:w="503" w:type="pct"/>
            <w:vAlign w:val="center"/>
          </w:tcPr>
          <w:p w14:paraId="57D0A04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60000</w:t>
            </w:r>
          </w:p>
        </w:tc>
        <w:tc>
          <w:tcPr>
            <w:tcW w:w="719" w:type="pct"/>
            <w:vAlign w:val="center"/>
          </w:tcPr>
          <w:p w14:paraId="79A2155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Align w:val="center"/>
          </w:tcPr>
          <w:p w14:paraId="5A1A92D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w:t>
            </w:r>
          </w:p>
        </w:tc>
        <w:tc>
          <w:tcPr>
            <w:tcW w:w="722" w:type="pct"/>
            <w:vAlign w:val="center"/>
          </w:tcPr>
          <w:p w14:paraId="4880E85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Align w:val="center"/>
          </w:tcPr>
          <w:p w14:paraId="145E83C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正常排放</w:t>
            </w:r>
          </w:p>
        </w:tc>
      </w:tr>
      <w:tr w:rsidR="002133E3" w14:paraId="3EBC3EDE" w14:textId="77777777">
        <w:trPr>
          <w:cantSplit/>
          <w:trHeight w:val="268"/>
          <w:jc w:val="center"/>
        </w:trPr>
        <w:tc>
          <w:tcPr>
            <w:tcW w:w="366" w:type="pct"/>
            <w:vAlign w:val="center"/>
          </w:tcPr>
          <w:p w14:paraId="5C2F807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5#</w:t>
            </w:r>
          </w:p>
        </w:tc>
        <w:tc>
          <w:tcPr>
            <w:tcW w:w="769" w:type="pct"/>
          </w:tcPr>
          <w:p w14:paraId="256083E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粉尘</w:t>
            </w:r>
          </w:p>
        </w:tc>
        <w:tc>
          <w:tcPr>
            <w:tcW w:w="575" w:type="pct"/>
            <w:vAlign w:val="center"/>
          </w:tcPr>
          <w:p w14:paraId="02B084D1"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 xml:space="preserve">0.74 </w:t>
            </w:r>
          </w:p>
        </w:tc>
        <w:tc>
          <w:tcPr>
            <w:tcW w:w="503" w:type="pct"/>
            <w:vAlign w:val="center"/>
          </w:tcPr>
          <w:p w14:paraId="48E4083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60000</w:t>
            </w:r>
          </w:p>
        </w:tc>
        <w:tc>
          <w:tcPr>
            <w:tcW w:w="719" w:type="pct"/>
            <w:vAlign w:val="center"/>
          </w:tcPr>
          <w:p w14:paraId="6F1CDC7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Align w:val="center"/>
          </w:tcPr>
          <w:p w14:paraId="4143671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w:t>
            </w:r>
          </w:p>
        </w:tc>
        <w:tc>
          <w:tcPr>
            <w:tcW w:w="722" w:type="pct"/>
            <w:vAlign w:val="center"/>
          </w:tcPr>
          <w:p w14:paraId="51D7133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Align w:val="center"/>
          </w:tcPr>
          <w:p w14:paraId="4308AC0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正常排放</w:t>
            </w:r>
          </w:p>
        </w:tc>
      </w:tr>
      <w:tr w:rsidR="002133E3" w14:paraId="09885F14" w14:textId="77777777">
        <w:trPr>
          <w:cantSplit/>
          <w:trHeight w:val="268"/>
          <w:jc w:val="center"/>
        </w:trPr>
        <w:tc>
          <w:tcPr>
            <w:tcW w:w="366" w:type="pct"/>
            <w:vMerge w:val="restart"/>
            <w:vAlign w:val="center"/>
          </w:tcPr>
          <w:p w14:paraId="56C4989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w:t>
            </w:r>
          </w:p>
        </w:tc>
        <w:tc>
          <w:tcPr>
            <w:tcW w:w="769" w:type="pct"/>
          </w:tcPr>
          <w:p w14:paraId="4F1E15A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乙醇</w:t>
            </w:r>
          </w:p>
        </w:tc>
        <w:tc>
          <w:tcPr>
            <w:tcW w:w="575" w:type="pct"/>
            <w:vAlign w:val="center"/>
          </w:tcPr>
          <w:p w14:paraId="50313767"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0.24</w:t>
            </w:r>
          </w:p>
        </w:tc>
        <w:tc>
          <w:tcPr>
            <w:tcW w:w="503" w:type="pct"/>
            <w:vMerge w:val="restart"/>
            <w:vAlign w:val="center"/>
          </w:tcPr>
          <w:p w14:paraId="0B2749C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13802</w:t>
            </w:r>
          </w:p>
        </w:tc>
        <w:tc>
          <w:tcPr>
            <w:tcW w:w="719" w:type="pct"/>
            <w:vMerge w:val="restart"/>
            <w:vAlign w:val="center"/>
          </w:tcPr>
          <w:p w14:paraId="7D47201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Merge w:val="restart"/>
            <w:vAlign w:val="center"/>
          </w:tcPr>
          <w:p w14:paraId="2CA67A9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0.5</w:t>
            </w:r>
          </w:p>
        </w:tc>
        <w:tc>
          <w:tcPr>
            <w:tcW w:w="722" w:type="pct"/>
            <w:vMerge w:val="restart"/>
            <w:vAlign w:val="center"/>
          </w:tcPr>
          <w:p w14:paraId="09BA4FF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Merge w:val="restart"/>
            <w:vAlign w:val="center"/>
          </w:tcPr>
          <w:p w14:paraId="4B9AB7C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正常排放</w:t>
            </w:r>
          </w:p>
        </w:tc>
      </w:tr>
      <w:tr w:rsidR="002133E3" w14:paraId="60DA02EE" w14:textId="77777777">
        <w:trPr>
          <w:cantSplit/>
          <w:trHeight w:val="268"/>
          <w:jc w:val="center"/>
        </w:trPr>
        <w:tc>
          <w:tcPr>
            <w:tcW w:w="366" w:type="pct"/>
            <w:vMerge/>
            <w:vAlign w:val="center"/>
          </w:tcPr>
          <w:p w14:paraId="4FB42E53" w14:textId="77777777" w:rsidR="002133E3" w:rsidRDefault="002133E3">
            <w:pPr>
              <w:widowControl/>
              <w:jc w:val="center"/>
              <w:rPr>
                <w:rFonts w:ascii="Times New Roman" w:eastAsia="宋体" w:hAnsi="Times New Roman" w:cs="Times New Roman"/>
                <w:szCs w:val="21"/>
              </w:rPr>
            </w:pPr>
          </w:p>
        </w:tc>
        <w:tc>
          <w:tcPr>
            <w:tcW w:w="769" w:type="pct"/>
          </w:tcPr>
          <w:p w14:paraId="4E61F87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575" w:type="pct"/>
            <w:vAlign w:val="center"/>
          </w:tcPr>
          <w:p w14:paraId="1F8711E1"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0.0077</w:t>
            </w:r>
          </w:p>
        </w:tc>
        <w:tc>
          <w:tcPr>
            <w:tcW w:w="503" w:type="pct"/>
            <w:vMerge/>
            <w:vAlign w:val="center"/>
          </w:tcPr>
          <w:p w14:paraId="1BC5B43D" w14:textId="77777777" w:rsidR="002133E3" w:rsidRDefault="002133E3">
            <w:pPr>
              <w:widowControl/>
              <w:jc w:val="center"/>
              <w:rPr>
                <w:rFonts w:ascii="Times New Roman" w:eastAsia="宋体" w:hAnsi="Times New Roman" w:cs="Times New Roman"/>
                <w:szCs w:val="21"/>
              </w:rPr>
            </w:pPr>
          </w:p>
        </w:tc>
        <w:tc>
          <w:tcPr>
            <w:tcW w:w="719" w:type="pct"/>
            <w:vMerge/>
            <w:vAlign w:val="center"/>
          </w:tcPr>
          <w:p w14:paraId="0AA0574A" w14:textId="77777777" w:rsidR="002133E3" w:rsidRDefault="002133E3">
            <w:pPr>
              <w:widowControl/>
              <w:jc w:val="center"/>
              <w:rPr>
                <w:rFonts w:ascii="Times New Roman" w:eastAsia="宋体" w:hAnsi="Times New Roman" w:cs="Times New Roman"/>
                <w:szCs w:val="21"/>
              </w:rPr>
            </w:pPr>
          </w:p>
        </w:tc>
        <w:tc>
          <w:tcPr>
            <w:tcW w:w="645" w:type="pct"/>
            <w:vMerge/>
            <w:vAlign w:val="center"/>
          </w:tcPr>
          <w:p w14:paraId="44415E2A" w14:textId="77777777" w:rsidR="002133E3" w:rsidRDefault="002133E3">
            <w:pPr>
              <w:widowControl/>
              <w:jc w:val="center"/>
              <w:rPr>
                <w:rFonts w:ascii="Times New Roman" w:eastAsia="宋体" w:hAnsi="Times New Roman" w:cs="Times New Roman"/>
                <w:szCs w:val="21"/>
              </w:rPr>
            </w:pPr>
          </w:p>
        </w:tc>
        <w:tc>
          <w:tcPr>
            <w:tcW w:w="722" w:type="pct"/>
            <w:vMerge/>
            <w:vAlign w:val="center"/>
          </w:tcPr>
          <w:p w14:paraId="1AC65883" w14:textId="77777777" w:rsidR="002133E3" w:rsidRDefault="002133E3">
            <w:pPr>
              <w:widowControl/>
              <w:jc w:val="center"/>
              <w:rPr>
                <w:rFonts w:ascii="Times New Roman" w:eastAsia="宋体" w:hAnsi="Times New Roman" w:cs="Times New Roman"/>
                <w:szCs w:val="21"/>
              </w:rPr>
            </w:pPr>
          </w:p>
        </w:tc>
        <w:tc>
          <w:tcPr>
            <w:tcW w:w="701" w:type="pct"/>
            <w:vMerge/>
            <w:vAlign w:val="center"/>
          </w:tcPr>
          <w:p w14:paraId="463E589B" w14:textId="77777777" w:rsidR="002133E3" w:rsidRDefault="002133E3">
            <w:pPr>
              <w:widowControl/>
              <w:jc w:val="center"/>
              <w:rPr>
                <w:rFonts w:ascii="Times New Roman" w:eastAsia="宋体" w:hAnsi="Times New Roman" w:cs="Times New Roman"/>
                <w:szCs w:val="21"/>
              </w:rPr>
            </w:pPr>
          </w:p>
        </w:tc>
      </w:tr>
      <w:tr w:rsidR="002133E3" w14:paraId="4D5394C1" w14:textId="77777777">
        <w:trPr>
          <w:cantSplit/>
          <w:trHeight w:val="268"/>
          <w:jc w:val="center"/>
        </w:trPr>
        <w:tc>
          <w:tcPr>
            <w:tcW w:w="366" w:type="pct"/>
            <w:vMerge/>
            <w:vAlign w:val="center"/>
          </w:tcPr>
          <w:p w14:paraId="26AF4F63" w14:textId="77777777" w:rsidR="002133E3" w:rsidRDefault="002133E3">
            <w:pPr>
              <w:widowControl/>
              <w:jc w:val="center"/>
              <w:rPr>
                <w:rFonts w:ascii="Times New Roman" w:eastAsia="宋体" w:hAnsi="Times New Roman" w:cs="Times New Roman"/>
                <w:szCs w:val="21"/>
              </w:rPr>
            </w:pPr>
          </w:p>
        </w:tc>
        <w:tc>
          <w:tcPr>
            <w:tcW w:w="769" w:type="pct"/>
          </w:tcPr>
          <w:p w14:paraId="2E85442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挥发性有机物</w:t>
            </w:r>
          </w:p>
        </w:tc>
        <w:tc>
          <w:tcPr>
            <w:tcW w:w="575" w:type="pct"/>
            <w:vAlign w:val="center"/>
          </w:tcPr>
          <w:p w14:paraId="49949F67"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0.25</w:t>
            </w:r>
          </w:p>
        </w:tc>
        <w:tc>
          <w:tcPr>
            <w:tcW w:w="503" w:type="pct"/>
            <w:vMerge/>
            <w:vAlign w:val="center"/>
          </w:tcPr>
          <w:p w14:paraId="65B40955" w14:textId="77777777" w:rsidR="002133E3" w:rsidRDefault="002133E3">
            <w:pPr>
              <w:widowControl/>
              <w:jc w:val="center"/>
              <w:rPr>
                <w:rFonts w:ascii="Times New Roman" w:eastAsia="宋体" w:hAnsi="Times New Roman" w:cs="Times New Roman"/>
                <w:szCs w:val="21"/>
              </w:rPr>
            </w:pPr>
          </w:p>
        </w:tc>
        <w:tc>
          <w:tcPr>
            <w:tcW w:w="719" w:type="pct"/>
            <w:vMerge/>
            <w:vAlign w:val="center"/>
          </w:tcPr>
          <w:p w14:paraId="46D6F6B1" w14:textId="77777777" w:rsidR="002133E3" w:rsidRDefault="002133E3">
            <w:pPr>
              <w:widowControl/>
              <w:jc w:val="center"/>
              <w:rPr>
                <w:rFonts w:ascii="Times New Roman" w:eastAsia="宋体" w:hAnsi="Times New Roman" w:cs="Times New Roman"/>
                <w:szCs w:val="21"/>
              </w:rPr>
            </w:pPr>
          </w:p>
        </w:tc>
        <w:tc>
          <w:tcPr>
            <w:tcW w:w="645" w:type="pct"/>
            <w:vMerge/>
            <w:vAlign w:val="center"/>
          </w:tcPr>
          <w:p w14:paraId="3FC2C4F5" w14:textId="77777777" w:rsidR="002133E3" w:rsidRDefault="002133E3">
            <w:pPr>
              <w:widowControl/>
              <w:jc w:val="center"/>
              <w:rPr>
                <w:rFonts w:ascii="Times New Roman" w:eastAsia="宋体" w:hAnsi="Times New Roman" w:cs="Times New Roman"/>
                <w:szCs w:val="21"/>
              </w:rPr>
            </w:pPr>
          </w:p>
        </w:tc>
        <w:tc>
          <w:tcPr>
            <w:tcW w:w="722" w:type="pct"/>
            <w:vMerge/>
            <w:vAlign w:val="center"/>
          </w:tcPr>
          <w:p w14:paraId="2E0AD0FC" w14:textId="77777777" w:rsidR="002133E3" w:rsidRDefault="002133E3">
            <w:pPr>
              <w:widowControl/>
              <w:jc w:val="center"/>
              <w:rPr>
                <w:rFonts w:ascii="Times New Roman" w:eastAsia="宋体" w:hAnsi="Times New Roman" w:cs="Times New Roman"/>
                <w:szCs w:val="21"/>
              </w:rPr>
            </w:pPr>
          </w:p>
        </w:tc>
        <w:tc>
          <w:tcPr>
            <w:tcW w:w="701" w:type="pct"/>
            <w:vMerge/>
            <w:vAlign w:val="center"/>
          </w:tcPr>
          <w:p w14:paraId="70000F30" w14:textId="77777777" w:rsidR="002133E3" w:rsidRDefault="002133E3">
            <w:pPr>
              <w:widowControl/>
              <w:jc w:val="center"/>
              <w:rPr>
                <w:rFonts w:ascii="Times New Roman" w:eastAsia="宋体" w:hAnsi="Times New Roman" w:cs="Times New Roman"/>
                <w:szCs w:val="21"/>
              </w:rPr>
            </w:pPr>
          </w:p>
        </w:tc>
      </w:tr>
      <w:tr w:rsidR="002133E3" w14:paraId="6EA77D8B" w14:textId="77777777">
        <w:trPr>
          <w:cantSplit/>
          <w:trHeight w:val="268"/>
          <w:jc w:val="center"/>
        </w:trPr>
        <w:tc>
          <w:tcPr>
            <w:tcW w:w="366" w:type="pct"/>
            <w:vAlign w:val="center"/>
          </w:tcPr>
          <w:p w14:paraId="1A7E94B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3#</w:t>
            </w:r>
          </w:p>
        </w:tc>
        <w:tc>
          <w:tcPr>
            <w:tcW w:w="769" w:type="pct"/>
            <w:vAlign w:val="center"/>
          </w:tcPr>
          <w:p w14:paraId="051D14B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粉尘</w:t>
            </w:r>
          </w:p>
        </w:tc>
        <w:tc>
          <w:tcPr>
            <w:tcW w:w="575" w:type="pct"/>
            <w:vAlign w:val="center"/>
          </w:tcPr>
          <w:p w14:paraId="47AF91B5"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74.07</w:t>
            </w:r>
          </w:p>
        </w:tc>
        <w:tc>
          <w:tcPr>
            <w:tcW w:w="503" w:type="pct"/>
            <w:vAlign w:val="center"/>
          </w:tcPr>
          <w:p w14:paraId="3575AA9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60000</w:t>
            </w:r>
          </w:p>
        </w:tc>
        <w:tc>
          <w:tcPr>
            <w:tcW w:w="719" w:type="pct"/>
            <w:vAlign w:val="center"/>
          </w:tcPr>
          <w:p w14:paraId="7E1D400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Align w:val="center"/>
          </w:tcPr>
          <w:p w14:paraId="432E7E6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w:t>
            </w:r>
          </w:p>
        </w:tc>
        <w:tc>
          <w:tcPr>
            <w:tcW w:w="722" w:type="pct"/>
            <w:vAlign w:val="center"/>
          </w:tcPr>
          <w:p w14:paraId="69B4D77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Align w:val="center"/>
          </w:tcPr>
          <w:p w14:paraId="59BACF1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非正常排放</w:t>
            </w:r>
          </w:p>
        </w:tc>
      </w:tr>
      <w:tr w:rsidR="002133E3" w14:paraId="132F8DA2" w14:textId="77777777">
        <w:trPr>
          <w:cantSplit/>
          <w:trHeight w:val="268"/>
          <w:jc w:val="center"/>
        </w:trPr>
        <w:tc>
          <w:tcPr>
            <w:tcW w:w="366" w:type="pct"/>
            <w:vAlign w:val="center"/>
          </w:tcPr>
          <w:p w14:paraId="2A8835A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4#</w:t>
            </w:r>
          </w:p>
        </w:tc>
        <w:tc>
          <w:tcPr>
            <w:tcW w:w="769" w:type="pct"/>
          </w:tcPr>
          <w:p w14:paraId="46803B8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粉尘</w:t>
            </w:r>
          </w:p>
        </w:tc>
        <w:tc>
          <w:tcPr>
            <w:tcW w:w="575" w:type="pct"/>
            <w:vAlign w:val="center"/>
          </w:tcPr>
          <w:p w14:paraId="4078E31E"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74.07</w:t>
            </w:r>
          </w:p>
        </w:tc>
        <w:tc>
          <w:tcPr>
            <w:tcW w:w="503" w:type="pct"/>
            <w:vAlign w:val="center"/>
          </w:tcPr>
          <w:p w14:paraId="78ADC26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60000</w:t>
            </w:r>
          </w:p>
        </w:tc>
        <w:tc>
          <w:tcPr>
            <w:tcW w:w="719" w:type="pct"/>
            <w:vAlign w:val="center"/>
          </w:tcPr>
          <w:p w14:paraId="3D07AE5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Align w:val="center"/>
          </w:tcPr>
          <w:p w14:paraId="6AB890B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w:t>
            </w:r>
          </w:p>
        </w:tc>
        <w:tc>
          <w:tcPr>
            <w:tcW w:w="722" w:type="pct"/>
            <w:vAlign w:val="center"/>
          </w:tcPr>
          <w:p w14:paraId="45952E3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Align w:val="center"/>
          </w:tcPr>
          <w:p w14:paraId="071A335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非正常排放</w:t>
            </w:r>
          </w:p>
        </w:tc>
      </w:tr>
      <w:tr w:rsidR="002133E3" w14:paraId="4B19214E" w14:textId="77777777">
        <w:trPr>
          <w:cantSplit/>
          <w:trHeight w:val="268"/>
          <w:jc w:val="center"/>
        </w:trPr>
        <w:tc>
          <w:tcPr>
            <w:tcW w:w="366" w:type="pct"/>
            <w:vAlign w:val="center"/>
          </w:tcPr>
          <w:p w14:paraId="2259463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5#</w:t>
            </w:r>
          </w:p>
        </w:tc>
        <w:tc>
          <w:tcPr>
            <w:tcW w:w="769" w:type="pct"/>
          </w:tcPr>
          <w:p w14:paraId="55E74E9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粉尘</w:t>
            </w:r>
          </w:p>
        </w:tc>
        <w:tc>
          <w:tcPr>
            <w:tcW w:w="575" w:type="pct"/>
            <w:vAlign w:val="center"/>
          </w:tcPr>
          <w:p w14:paraId="25BF1A47"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74.07</w:t>
            </w:r>
          </w:p>
        </w:tc>
        <w:tc>
          <w:tcPr>
            <w:tcW w:w="503" w:type="pct"/>
            <w:vAlign w:val="center"/>
          </w:tcPr>
          <w:p w14:paraId="2F5FCF5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60000</w:t>
            </w:r>
          </w:p>
        </w:tc>
        <w:tc>
          <w:tcPr>
            <w:tcW w:w="719" w:type="pct"/>
            <w:vAlign w:val="center"/>
          </w:tcPr>
          <w:p w14:paraId="09A2034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Align w:val="center"/>
          </w:tcPr>
          <w:p w14:paraId="2764063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0.7</w:t>
            </w:r>
          </w:p>
        </w:tc>
        <w:tc>
          <w:tcPr>
            <w:tcW w:w="722" w:type="pct"/>
            <w:vAlign w:val="center"/>
          </w:tcPr>
          <w:p w14:paraId="434E725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Align w:val="center"/>
          </w:tcPr>
          <w:p w14:paraId="338687E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非正常排放</w:t>
            </w:r>
          </w:p>
        </w:tc>
      </w:tr>
      <w:tr w:rsidR="002133E3" w14:paraId="223485D2" w14:textId="77777777">
        <w:trPr>
          <w:cantSplit/>
          <w:trHeight w:val="268"/>
          <w:jc w:val="center"/>
        </w:trPr>
        <w:tc>
          <w:tcPr>
            <w:tcW w:w="366" w:type="pct"/>
            <w:vMerge w:val="restart"/>
            <w:vAlign w:val="center"/>
          </w:tcPr>
          <w:p w14:paraId="1E1F8C7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6#</w:t>
            </w:r>
          </w:p>
        </w:tc>
        <w:tc>
          <w:tcPr>
            <w:tcW w:w="769" w:type="pct"/>
          </w:tcPr>
          <w:p w14:paraId="3B5DB1D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乙醇</w:t>
            </w:r>
          </w:p>
        </w:tc>
        <w:tc>
          <w:tcPr>
            <w:tcW w:w="575" w:type="pct"/>
            <w:vAlign w:val="center"/>
          </w:tcPr>
          <w:p w14:paraId="147C4672"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24.39</w:t>
            </w:r>
          </w:p>
        </w:tc>
        <w:tc>
          <w:tcPr>
            <w:tcW w:w="503" w:type="pct"/>
            <w:vMerge w:val="restart"/>
            <w:vAlign w:val="center"/>
          </w:tcPr>
          <w:p w14:paraId="7EA745D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13802</w:t>
            </w:r>
          </w:p>
        </w:tc>
        <w:tc>
          <w:tcPr>
            <w:tcW w:w="719" w:type="pct"/>
            <w:vMerge w:val="restart"/>
            <w:vAlign w:val="center"/>
          </w:tcPr>
          <w:p w14:paraId="723080A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20</w:t>
            </w:r>
          </w:p>
        </w:tc>
        <w:tc>
          <w:tcPr>
            <w:tcW w:w="645" w:type="pct"/>
            <w:vMerge w:val="restart"/>
            <w:vAlign w:val="center"/>
          </w:tcPr>
          <w:p w14:paraId="49C3B42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0.5</w:t>
            </w:r>
          </w:p>
        </w:tc>
        <w:tc>
          <w:tcPr>
            <w:tcW w:w="722" w:type="pct"/>
            <w:vMerge w:val="restart"/>
            <w:vAlign w:val="center"/>
          </w:tcPr>
          <w:p w14:paraId="73E3D66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25</w:t>
            </w:r>
          </w:p>
        </w:tc>
        <w:tc>
          <w:tcPr>
            <w:tcW w:w="701" w:type="pct"/>
            <w:vMerge w:val="restart"/>
            <w:vAlign w:val="center"/>
          </w:tcPr>
          <w:p w14:paraId="06A5D04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非正常排放</w:t>
            </w:r>
          </w:p>
        </w:tc>
      </w:tr>
      <w:tr w:rsidR="002133E3" w14:paraId="58445756" w14:textId="77777777">
        <w:trPr>
          <w:cantSplit/>
          <w:trHeight w:val="268"/>
          <w:jc w:val="center"/>
        </w:trPr>
        <w:tc>
          <w:tcPr>
            <w:tcW w:w="366" w:type="pct"/>
            <w:vMerge/>
            <w:vAlign w:val="center"/>
          </w:tcPr>
          <w:p w14:paraId="53FE8215" w14:textId="77777777" w:rsidR="002133E3" w:rsidRDefault="002133E3">
            <w:pPr>
              <w:widowControl/>
              <w:jc w:val="center"/>
              <w:rPr>
                <w:rFonts w:ascii="Times New Roman" w:eastAsia="宋体" w:hAnsi="Times New Roman" w:cs="Times New Roman"/>
                <w:szCs w:val="21"/>
              </w:rPr>
            </w:pPr>
          </w:p>
        </w:tc>
        <w:tc>
          <w:tcPr>
            <w:tcW w:w="769" w:type="pct"/>
          </w:tcPr>
          <w:p w14:paraId="65D153B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575" w:type="pct"/>
            <w:vAlign w:val="center"/>
          </w:tcPr>
          <w:p w14:paraId="2A849501"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0.77</w:t>
            </w:r>
          </w:p>
        </w:tc>
        <w:tc>
          <w:tcPr>
            <w:tcW w:w="503" w:type="pct"/>
            <w:vMerge/>
            <w:vAlign w:val="center"/>
          </w:tcPr>
          <w:p w14:paraId="3B5509D3" w14:textId="77777777" w:rsidR="002133E3" w:rsidRDefault="002133E3">
            <w:pPr>
              <w:widowControl/>
              <w:jc w:val="center"/>
              <w:rPr>
                <w:rFonts w:ascii="Times New Roman" w:eastAsia="宋体" w:hAnsi="Times New Roman" w:cs="Times New Roman"/>
                <w:szCs w:val="21"/>
              </w:rPr>
            </w:pPr>
          </w:p>
        </w:tc>
        <w:tc>
          <w:tcPr>
            <w:tcW w:w="719" w:type="pct"/>
            <w:vMerge/>
            <w:vAlign w:val="center"/>
          </w:tcPr>
          <w:p w14:paraId="4866C1E9" w14:textId="77777777" w:rsidR="002133E3" w:rsidRDefault="002133E3">
            <w:pPr>
              <w:widowControl/>
              <w:jc w:val="center"/>
              <w:rPr>
                <w:rFonts w:ascii="Times New Roman" w:eastAsia="宋体" w:hAnsi="Times New Roman" w:cs="Times New Roman"/>
                <w:szCs w:val="21"/>
              </w:rPr>
            </w:pPr>
          </w:p>
        </w:tc>
        <w:tc>
          <w:tcPr>
            <w:tcW w:w="645" w:type="pct"/>
            <w:vMerge/>
            <w:vAlign w:val="center"/>
          </w:tcPr>
          <w:p w14:paraId="2929F4D1" w14:textId="77777777" w:rsidR="002133E3" w:rsidRDefault="002133E3">
            <w:pPr>
              <w:widowControl/>
              <w:jc w:val="center"/>
              <w:rPr>
                <w:rFonts w:ascii="Times New Roman" w:eastAsia="宋体" w:hAnsi="Times New Roman" w:cs="Times New Roman"/>
                <w:szCs w:val="21"/>
              </w:rPr>
            </w:pPr>
          </w:p>
        </w:tc>
        <w:tc>
          <w:tcPr>
            <w:tcW w:w="722" w:type="pct"/>
            <w:vMerge/>
            <w:vAlign w:val="center"/>
          </w:tcPr>
          <w:p w14:paraId="49A1C25A" w14:textId="77777777" w:rsidR="002133E3" w:rsidRDefault="002133E3">
            <w:pPr>
              <w:widowControl/>
              <w:jc w:val="center"/>
              <w:rPr>
                <w:rFonts w:ascii="Times New Roman" w:eastAsia="宋体" w:hAnsi="Times New Roman" w:cs="Times New Roman"/>
                <w:szCs w:val="21"/>
              </w:rPr>
            </w:pPr>
          </w:p>
        </w:tc>
        <w:tc>
          <w:tcPr>
            <w:tcW w:w="701" w:type="pct"/>
            <w:vMerge/>
            <w:vAlign w:val="center"/>
          </w:tcPr>
          <w:p w14:paraId="5DA9DB06" w14:textId="77777777" w:rsidR="002133E3" w:rsidRDefault="002133E3">
            <w:pPr>
              <w:widowControl/>
              <w:jc w:val="center"/>
              <w:rPr>
                <w:rFonts w:ascii="Times New Roman" w:eastAsia="宋体" w:hAnsi="Times New Roman" w:cs="Times New Roman"/>
                <w:szCs w:val="21"/>
              </w:rPr>
            </w:pPr>
          </w:p>
        </w:tc>
      </w:tr>
      <w:tr w:rsidR="002133E3" w14:paraId="710ECDCB" w14:textId="77777777">
        <w:trPr>
          <w:cantSplit/>
          <w:trHeight w:val="268"/>
          <w:jc w:val="center"/>
        </w:trPr>
        <w:tc>
          <w:tcPr>
            <w:tcW w:w="366" w:type="pct"/>
            <w:vMerge/>
            <w:vAlign w:val="center"/>
          </w:tcPr>
          <w:p w14:paraId="50D75622" w14:textId="77777777" w:rsidR="002133E3" w:rsidRDefault="002133E3">
            <w:pPr>
              <w:widowControl/>
              <w:jc w:val="center"/>
              <w:rPr>
                <w:rFonts w:ascii="Times New Roman" w:eastAsia="宋体" w:hAnsi="Times New Roman" w:cs="Times New Roman"/>
                <w:szCs w:val="21"/>
              </w:rPr>
            </w:pPr>
          </w:p>
        </w:tc>
        <w:tc>
          <w:tcPr>
            <w:tcW w:w="769" w:type="pct"/>
          </w:tcPr>
          <w:p w14:paraId="701032A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挥发性有机物</w:t>
            </w:r>
          </w:p>
        </w:tc>
        <w:tc>
          <w:tcPr>
            <w:tcW w:w="575" w:type="pct"/>
            <w:vAlign w:val="center"/>
          </w:tcPr>
          <w:p w14:paraId="38747535"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szCs w:val="21"/>
              </w:rPr>
              <w:t>25.16</w:t>
            </w:r>
          </w:p>
        </w:tc>
        <w:tc>
          <w:tcPr>
            <w:tcW w:w="503" w:type="pct"/>
            <w:vMerge/>
            <w:vAlign w:val="center"/>
          </w:tcPr>
          <w:p w14:paraId="66C136D0" w14:textId="77777777" w:rsidR="002133E3" w:rsidRDefault="002133E3">
            <w:pPr>
              <w:widowControl/>
              <w:jc w:val="center"/>
              <w:rPr>
                <w:rFonts w:ascii="Times New Roman" w:eastAsia="宋体" w:hAnsi="Times New Roman" w:cs="Times New Roman"/>
                <w:szCs w:val="21"/>
              </w:rPr>
            </w:pPr>
          </w:p>
        </w:tc>
        <w:tc>
          <w:tcPr>
            <w:tcW w:w="719" w:type="pct"/>
            <w:vMerge/>
            <w:vAlign w:val="center"/>
          </w:tcPr>
          <w:p w14:paraId="1D60AB1F" w14:textId="77777777" w:rsidR="002133E3" w:rsidRDefault="002133E3">
            <w:pPr>
              <w:widowControl/>
              <w:jc w:val="center"/>
              <w:rPr>
                <w:rFonts w:ascii="Times New Roman" w:eastAsia="宋体" w:hAnsi="Times New Roman" w:cs="Times New Roman"/>
                <w:szCs w:val="21"/>
              </w:rPr>
            </w:pPr>
          </w:p>
        </w:tc>
        <w:tc>
          <w:tcPr>
            <w:tcW w:w="645" w:type="pct"/>
            <w:vMerge/>
            <w:vAlign w:val="center"/>
          </w:tcPr>
          <w:p w14:paraId="20918AC6" w14:textId="77777777" w:rsidR="002133E3" w:rsidRDefault="002133E3">
            <w:pPr>
              <w:widowControl/>
              <w:jc w:val="center"/>
              <w:rPr>
                <w:rFonts w:ascii="Times New Roman" w:eastAsia="宋体" w:hAnsi="Times New Roman" w:cs="Times New Roman"/>
                <w:szCs w:val="21"/>
              </w:rPr>
            </w:pPr>
          </w:p>
        </w:tc>
        <w:tc>
          <w:tcPr>
            <w:tcW w:w="722" w:type="pct"/>
            <w:vMerge/>
            <w:vAlign w:val="center"/>
          </w:tcPr>
          <w:p w14:paraId="0A857E7D" w14:textId="77777777" w:rsidR="002133E3" w:rsidRDefault="002133E3">
            <w:pPr>
              <w:widowControl/>
              <w:jc w:val="center"/>
              <w:rPr>
                <w:rFonts w:ascii="Times New Roman" w:eastAsia="宋体" w:hAnsi="Times New Roman" w:cs="Times New Roman"/>
                <w:szCs w:val="21"/>
              </w:rPr>
            </w:pPr>
          </w:p>
        </w:tc>
        <w:tc>
          <w:tcPr>
            <w:tcW w:w="701" w:type="pct"/>
            <w:vMerge/>
            <w:vAlign w:val="center"/>
          </w:tcPr>
          <w:p w14:paraId="3E52297F" w14:textId="77777777" w:rsidR="002133E3" w:rsidRDefault="002133E3">
            <w:pPr>
              <w:widowControl/>
              <w:jc w:val="center"/>
              <w:rPr>
                <w:rFonts w:ascii="Times New Roman" w:eastAsia="宋体" w:hAnsi="Times New Roman" w:cs="Times New Roman"/>
                <w:szCs w:val="21"/>
              </w:rPr>
            </w:pPr>
          </w:p>
        </w:tc>
      </w:tr>
    </w:tbl>
    <w:p w14:paraId="5FF9CAB9"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6.2-5  </w:t>
      </w:r>
      <w:r>
        <w:rPr>
          <w:rFonts w:ascii="Times New Roman" w:eastAsia="宋体" w:hAnsi="Times New Roman" w:cs="Times New Roman"/>
          <w:b/>
          <w:sz w:val="24"/>
          <w:szCs w:val="24"/>
        </w:rPr>
        <w:t>大气污染物预测源强（面源）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4"/>
        <w:gridCol w:w="1561"/>
        <w:gridCol w:w="1701"/>
        <w:gridCol w:w="2408"/>
        <w:gridCol w:w="1559"/>
        <w:gridCol w:w="1521"/>
      </w:tblGrid>
      <w:tr w:rsidR="002133E3" w14:paraId="08D00181" w14:textId="77777777">
        <w:trPr>
          <w:cantSplit/>
          <w:trHeight w:val="284"/>
          <w:jc w:val="center"/>
        </w:trPr>
        <w:tc>
          <w:tcPr>
            <w:tcW w:w="560" w:type="pct"/>
            <w:vAlign w:val="center"/>
          </w:tcPr>
          <w:p w14:paraId="0CE2FD4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面源名称</w:t>
            </w:r>
          </w:p>
        </w:tc>
        <w:tc>
          <w:tcPr>
            <w:tcW w:w="792" w:type="pct"/>
            <w:vAlign w:val="center"/>
          </w:tcPr>
          <w:p w14:paraId="7B1BD0C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污染物名称</w:t>
            </w:r>
          </w:p>
        </w:tc>
        <w:tc>
          <w:tcPr>
            <w:tcW w:w="863" w:type="pct"/>
            <w:vAlign w:val="center"/>
          </w:tcPr>
          <w:p w14:paraId="75264F4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排放速率（</w:t>
            </w:r>
            <w:r>
              <w:rPr>
                <w:rFonts w:ascii="Times New Roman" w:eastAsia="宋体" w:hAnsi="Times New Roman" w:cs="Times New Roman"/>
                <w:szCs w:val="21"/>
              </w:rPr>
              <w:t>kg/h</w:t>
            </w:r>
            <w:r>
              <w:rPr>
                <w:rFonts w:ascii="Times New Roman" w:eastAsia="宋体" w:hAnsi="Times New Roman" w:cs="Times New Roman"/>
                <w:szCs w:val="21"/>
              </w:rPr>
              <w:t>）</w:t>
            </w:r>
          </w:p>
        </w:tc>
        <w:tc>
          <w:tcPr>
            <w:tcW w:w="1222" w:type="pct"/>
            <w:vAlign w:val="center"/>
          </w:tcPr>
          <w:p w14:paraId="59BBDB3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面源初始排放高度（</w:t>
            </w:r>
            <w:r>
              <w:rPr>
                <w:rFonts w:ascii="Times New Roman" w:eastAsia="宋体" w:hAnsi="Times New Roman" w:cs="Times New Roman"/>
                <w:szCs w:val="21"/>
              </w:rPr>
              <w:t>m</w:t>
            </w:r>
            <w:r>
              <w:rPr>
                <w:rFonts w:ascii="Times New Roman" w:eastAsia="宋体" w:hAnsi="Times New Roman" w:cs="Times New Roman"/>
                <w:szCs w:val="21"/>
              </w:rPr>
              <w:t>）</w:t>
            </w:r>
          </w:p>
        </w:tc>
        <w:tc>
          <w:tcPr>
            <w:tcW w:w="791" w:type="pct"/>
            <w:vAlign w:val="center"/>
          </w:tcPr>
          <w:p w14:paraId="16D59C0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面源长度（</w:t>
            </w:r>
            <w:r>
              <w:rPr>
                <w:rFonts w:ascii="Times New Roman" w:eastAsia="宋体" w:hAnsi="Times New Roman" w:cs="Times New Roman"/>
                <w:szCs w:val="21"/>
              </w:rPr>
              <w:t>m</w:t>
            </w:r>
            <w:r>
              <w:rPr>
                <w:rFonts w:ascii="Times New Roman" w:eastAsia="宋体" w:hAnsi="Times New Roman" w:cs="Times New Roman"/>
                <w:szCs w:val="21"/>
              </w:rPr>
              <w:t>）</w:t>
            </w:r>
          </w:p>
        </w:tc>
        <w:tc>
          <w:tcPr>
            <w:tcW w:w="773" w:type="pct"/>
            <w:vAlign w:val="center"/>
          </w:tcPr>
          <w:p w14:paraId="1BCFAA9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面源宽度（</w:t>
            </w:r>
            <w:r>
              <w:rPr>
                <w:rFonts w:ascii="Times New Roman" w:eastAsia="宋体" w:hAnsi="Times New Roman" w:cs="Times New Roman"/>
                <w:szCs w:val="21"/>
              </w:rPr>
              <w:t>m</w:t>
            </w:r>
            <w:r>
              <w:rPr>
                <w:rFonts w:ascii="Times New Roman" w:eastAsia="宋体" w:hAnsi="Times New Roman" w:cs="Times New Roman"/>
                <w:szCs w:val="21"/>
              </w:rPr>
              <w:t>）</w:t>
            </w:r>
          </w:p>
        </w:tc>
      </w:tr>
      <w:tr w:rsidR="002133E3" w14:paraId="14F9153D" w14:textId="77777777">
        <w:trPr>
          <w:cantSplit/>
          <w:trHeight w:val="284"/>
          <w:jc w:val="center"/>
        </w:trPr>
        <w:tc>
          <w:tcPr>
            <w:tcW w:w="560" w:type="pct"/>
            <w:vMerge w:val="restart"/>
            <w:vAlign w:val="center"/>
          </w:tcPr>
          <w:p w14:paraId="2ED6708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bCs/>
                <w:szCs w:val="21"/>
              </w:rPr>
              <w:t>无水乙醇储罐</w:t>
            </w:r>
          </w:p>
        </w:tc>
        <w:tc>
          <w:tcPr>
            <w:tcW w:w="792" w:type="pct"/>
            <w:vAlign w:val="center"/>
          </w:tcPr>
          <w:p w14:paraId="73A6D901"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szCs w:val="24"/>
              </w:rPr>
              <w:t>乙醇</w:t>
            </w:r>
          </w:p>
        </w:tc>
        <w:tc>
          <w:tcPr>
            <w:tcW w:w="863" w:type="pct"/>
            <w:vAlign w:val="center"/>
          </w:tcPr>
          <w:p w14:paraId="62DFFAE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0.14</w:t>
            </w:r>
          </w:p>
        </w:tc>
        <w:tc>
          <w:tcPr>
            <w:tcW w:w="1222" w:type="pct"/>
            <w:vMerge w:val="restart"/>
            <w:vAlign w:val="center"/>
          </w:tcPr>
          <w:p w14:paraId="45A8DCA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791" w:type="pct"/>
            <w:vMerge w:val="restart"/>
            <w:vAlign w:val="center"/>
          </w:tcPr>
          <w:p w14:paraId="7A2625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108.13</w:t>
            </w:r>
          </w:p>
        </w:tc>
        <w:tc>
          <w:tcPr>
            <w:tcW w:w="773" w:type="pct"/>
            <w:vMerge w:val="restart"/>
            <w:vAlign w:val="center"/>
          </w:tcPr>
          <w:p w14:paraId="24776F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43.66</w:t>
            </w:r>
          </w:p>
        </w:tc>
      </w:tr>
      <w:tr w:rsidR="002133E3" w14:paraId="5E918F47" w14:textId="77777777">
        <w:trPr>
          <w:cantSplit/>
          <w:trHeight w:val="284"/>
          <w:jc w:val="center"/>
        </w:trPr>
        <w:tc>
          <w:tcPr>
            <w:tcW w:w="560" w:type="pct"/>
            <w:vMerge/>
            <w:vAlign w:val="center"/>
          </w:tcPr>
          <w:p w14:paraId="32B08AB2" w14:textId="77777777" w:rsidR="002133E3" w:rsidRDefault="002133E3">
            <w:pPr>
              <w:widowControl/>
              <w:jc w:val="center"/>
              <w:rPr>
                <w:rFonts w:ascii="Times New Roman" w:eastAsia="宋体" w:hAnsi="Times New Roman" w:cs="Times New Roman"/>
                <w:bCs/>
                <w:szCs w:val="21"/>
              </w:rPr>
            </w:pPr>
          </w:p>
        </w:tc>
        <w:tc>
          <w:tcPr>
            <w:tcW w:w="792" w:type="pct"/>
            <w:vAlign w:val="center"/>
          </w:tcPr>
          <w:p w14:paraId="39C597B8"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szCs w:val="24"/>
              </w:rPr>
              <w:t>挥发性有机物</w:t>
            </w:r>
          </w:p>
        </w:tc>
        <w:tc>
          <w:tcPr>
            <w:tcW w:w="863" w:type="pct"/>
            <w:vAlign w:val="center"/>
          </w:tcPr>
          <w:p w14:paraId="6C5A4B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0.14</w:t>
            </w:r>
          </w:p>
        </w:tc>
        <w:tc>
          <w:tcPr>
            <w:tcW w:w="1222" w:type="pct"/>
            <w:vMerge/>
            <w:vAlign w:val="center"/>
          </w:tcPr>
          <w:p w14:paraId="5F0F6FA6" w14:textId="77777777" w:rsidR="002133E3" w:rsidRDefault="002133E3">
            <w:pPr>
              <w:widowControl/>
              <w:jc w:val="center"/>
              <w:rPr>
                <w:rFonts w:ascii="Times New Roman" w:eastAsia="宋体" w:hAnsi="Times New Roman" w:cs="Times New Roman"/>
                <w:kern w:val="0"/>
                <w:szCs w:val="21"/>
              </w:rPr>
            </w:pPr>
          </w:p>
        </w:tc>
        <w:tc>
          <w:tcPr>
            <w:tcW w:w="791" w:type="pct"/>
            <w:vMerge/>
            <w:vAlign w:val="center"/>
          </w:tcPr>
          <w:p w14:paraId="6E3B20C6" w14:textId="77777777" w:rsidR="002133E3" w:rsidRDefault="002133E3">
            <w:pPr>
              <w:widowControl/>
              <w:jc w:val="center"/>
              <w:rPr>
                <w:rFonts w:ascii="Times New Roman" w:eastAsia="宋体" w:hAnsi="Times New Roman" w:cs="Times New Roman"/>
                <w:kern w:val="0"/>
                <w:szCs w:val="21"/>
              </w:rPr>
            </w:pPr>
          </w:p>
        </w:tc>
        <w:tc>
          <w:tcPr>
            <w:tcW w:w="773" w:type="pct"/>
            <w:vMerge/>
            <w:vAlign w:val="center"/>
          </w:tcPr>
          <w:p w14:paraId="6D65343A" w14:textId="77777777" w:rsidR="002133E3" w:rsidRDefault="002133E3">
            <w:pPr>
              <w:widowControl/>
              <w:jc w:val="center"/>
              <w:rPr>
                <w:rFonts w:ascii="Times New Roman" w:eastAsia="宋体" w:hAnsi="Times New Roman" w:cs="Times New Roman"/>
                <w:kern w:val="0"/>
                <w:szCs w:val="21"/>
              </w:rPr>
            </w:pPr>
          </w:p>
        </w:tc>
      </w:tr>
    </w:tbl>
    <w:p w14:paraId="11327A87"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根据大气污染物下风向最大落地浓度估算分析，项目选取的大气污染物中，最大地面浓度占标率</w:t>
      </w:r>
      <w:r>
        <w:rPr>
          <w:rFonts w:ascii="Times New Roman" w:eastAsia="宋体" w:hAnsi="Times New Roman" w:cs="Times New Roman"/>
          <w:sz w:val="28"/>
          <w:szCs w:val="28"/>
        </w:rPr>
        <w:t>1%≤</w:t>
      </w:r>
      <w:proofErr w:type="spellStart"/>
      <w:r>
        <w:rPr>
          <w:rFonts w:ascii="Times New Roman" w:eastAsia="宋体" w:hAnsi="Times New Roman" w:cs="Times New Roman"/>
          <w:sz w:val="28"/>
          <w:szCs w:val="28"/>
        </w:rPr>
        <w:t>P</w:t>
      </w:r>
      <w:r>
        <w:rPr>
          <w:rFonts w:ascii="Times New Roman" w:eastAsia="宋体" w:hAnsi="Times New Roman" w:cs="Times New Roman"/>
          <w:sz w:val="28"/>
          <w:szCs w:val="28"/>
          <w:vertAlign w:val="subscript"/>
        </w:rPr>
        <w:t>max</w:t>
      </w:r>
      <w:proofErr w:type="spellEnd"/>
      <w:r>
        <w:rPr>
          <w:rFonts w:ascii="Times New Roman" w:eastAsia="宋体" w:hAnsi="Times New Roman" w:cs="Times New Roman"/>
          <w:sz w:val="28"/>
          <w:szCs w:val="28"/>
        </w:rPr>
        <w:t>=</w:t>
      </w:r>
      <w:r>
        <w:rPr>
          <w:rFonts w:ascii="Times New Roman" w:eastAsia="宋体" w:hAnsi="Times New Roman" w:cs="Times New Roman"/>
          <w:bCs/>
          <w:kern w:val="0"/>
          <w:sz w:val="28"/>
          <w:szCs w:val="28"/>
        </w:rPr>
        <w:t>8.65</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10%</w:t>
      </w:r>
      <w:r>
        <w:rPr>
          <w:rFonts w:ascii="Times New Roman" w:eastAsia="宋体" w:hAnsi="Times New Roman" w:cs="Times New Roman"/>
          <w:sz w:val="28"/>
          <w:szCs w:val="28"/>
        </w:rPr>
        <w:t>，根据《环境影响评价技术导则》</w:t>
      </w:r>
      <w:r>
        <w:rPr>
          <w:rFonts w:ascii="Times New Roman" w:eastAsia="宋体" w:hAnsi="Times New Roman" w:cs="Times New Roman"/>
          <w:sz w:val="28"/>
          <w:szCs w:val="28"/>
        </w:rPr>
        <w:t>(HJ2.2-2018)</w:t>
      </w:r>
      <w:r>
        <w:rPr>
          <w:rFonts w:ascii="Times New Roman" w:eastAsia="宋体" w:hAnsi="Times New Roman" w:cs="Times New Roman"/>
          <w:sz w:val="28"/>
          <w:szCs w:val="28"/>
        </w:rPr>
        <w:t>，最终确定本项目环境影响评价工作等级为二级。</w:t>
      </w:r>
    </w:p>
    <w:p w14:paraId="58933774" w14:textId="77777777" w:rsidR="002133E3" w:rsidRDefault="00C22CFA">
      <w:pPr>
        <w:widowControl/>
        <w:spacing w:line="500" w:lineRule="exact"/>
        <w:jc w:val="center"/>
        <w:rPr>
          <w:rFonts w:ascii="Times New Roman" w:eastAsia="宋体" w:hAnsi="Times New Roman" w:cs="Times New Roman"/>
          <w:b/>
          <w:sz w:val="24"/>
          <w:szCs w:val="32"/>
        </w:rPr>
      </w:pPr>
      <w:r>
        <w:rPr>
          <w:rFonts w:ascii="Times New Roman" w:eastAsia="宋体" w:hAnsi="Times New Roman" w:cs="Times New Roman"/>
          <w:b/>
          <w:sz w:val="24"/>
          <w:szCs w:val="32"/>
        </w:rPr>
        <w:t>表</w:t>
      </w:r>
      <w:r>
        <w:rPr>
          <w:rFonts w:ascii="Times New Roman" w:eastAsia="宋体" w:hAnsi="Times New Roman" w:cs="Times New Roman"/>
          <w:b/>
          <w:sz w:val="24"/>
          <w:szCs w:val="24"/>
        </w:rPr>
        <w:t xml:space="preserve">6.2-6 </w:t>
      </w:r>
      <w:r>
        <w:rPr>
          <w:rFonts w:ascii="Times New Roman" w:eastAsia="宋体" w:hAnsi="Times New Roman" w:cs="Times New Roman"/>
          <w:b/>
          <w:sz w:val="24"/>
          <w:szCs w:val="32"/>
        </w:rPr>
        <w:t xml:space="preserve"> </w:t>
      </w:r>
      <w:r>
        <w:rPr>
          <w:rFonts w:ascii="Times New Roman" w:eastAsia="宋体" w:hAnsi="Times New Roman" w:cs="Times New Roman"/>
          <w:b/>
          <w:sz w:val="24"/>
          <w:szCs w:val="32"/>
        </w:rPr>
        <w:t>正常排放情况下有组织大气污染物估算模式计算结果表</w:t>
      </w:r>
    </w:p>
    <w:p w14:paraId="35075988"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预测点环境空气保护目标</w:t>
      </w:r>
    </w:p>
    <w:p w14:paraId="76027DA9"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预测点环境空气保护目标见表</w:t>
      </w:r>
      <w:r>
        <w:rPr>
          <w:rFonts w:ascii="Times New Roman" w:eastAsia="宋体" w:hAnsi="Times New Roman" w:cs="Times New Roman"/>
          <w:sz w:val="28"/>
          <w:szCs w:val="28"/>
        </w:rPr>
        <w:t>6.2-7</w:t>
      </w:r>
      <w:r>
        <w:rPr>
          <w:rFonts w:ascii="Times New Roman" w:eastAsia="宋体" w:hAnsi="Times New Roman" w:cs="Times New Roman"/>
          <w:sz w:val="28"/>
          <w:szCs w:val="28"/>
        </w:rPr>
        <w:t>。</w:t>
      </w:r>
    </w:p>
    <w:p w14:paraId="589BB2A1"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6.2-7 </w:t>
      </w:r>
      <w:r>
        <w:rPr>
          <w:rFonts w:ascii="Times New Roman" w:eastAsia="宋体" w:hAnsi="Times New Roman" w:cs="Times New Roman"/>
          <w:b/>
          <w:sz w:val="24"/>
          <w:szCs w:val="24"/>
        </w:rPr>
        <w:t>预测点环境空气保护目标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083"/>
        <w:gridCol w:w="1321"/>
        <w:gridCol w:w="1134"/>
        <w:gridCol w:w="709"/>
        <w:gridCol w:w="1134"/>
        <w:gridCol w:w="1701"/>
        <w:gridCol w:w="964"/>
        <w:gridCol w:w="1064"/>
      </w:tblGrid>
      <w:tr w:rsidR="002133E3" w14:paraId="17346341" w14:textId="77777777">
        <w:trPr>
          <w:trHeight w:val="284"/>
          <w:jc w:val="center"/>
        </w:trPr>
        <w:tc>
          <w:tcPr>
            <w:tcW w:w="426" w:type="dxa"/>
            <w:vMerge w:val="restart"/>
            <w:tcBorders>
              <w:top w:val="single" w:sz="4" w:space="0" w:color="auto"/>
              <w:left w:val="single" w:sz="4" w:space="0" w:color="auto"/>
              <w:bottom w:val="single" w:sz="4" w:space="0" w:color="auto"/>
              <w:right w:val="single" w:sz="4" w:space="0" w:color="auto"/>
            </w:tcBorders>
            <w:vAlign w:val="center"/>
          </w:tcPr>
          <w:p w14:paraId="6820BC9A"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序号</w:t>
            </w:r>
          </w:p>
        </w:tc>
        <w:tc>
          <w:tcPr>
            <w:tcW w:w="1083" w:type="dxa"/>
            <w:vMerge w:val="restart"/>
            <w:tcBorders>
              <w:top w:val="single" w:sz="4" w:space="0" w:color="auto"/>
              <w:left w:val="single" w:sz="4" w:space="0" w:color="auto"/>
              <w:bottom w:val="single" w:sz="4" w:space="0" w:color="auto"/>
              <w:right w:val="single" w:sz="4" w:space="0" w:color="auto"/>
            </w:tcBorders>
            <w:vAlign w:val="center"/>
          </w:tcPr>
          <w:p w14:paraId="4AF05249"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名称</w:t>
            </w:r>
          </w:p>
        </w:tc>
        <w:tc>
          <w:tcPr>
            <w:tcW w:w="2455" w:type="dxa"/>
            <w:gridSpan w:val="2"/>
            <w:tcBorders>
              <w:top w:val="single" w:sz="4" w:space="0" w:color="auto"/>
              <w:left w:val="single" w:sz="4" w:space="0" w:color="auto"/>
              <w:bottom w:val="single" w:sz="4" w:space="0" w:color="auto"/>
              <w:right w:val="single" w:sz="4" w:space="0" w:color="auto"/>
            </w:tcBorders>
            <w:vAlign w:val="center"/>
          </w:tcPr>
          <w:p w14:paraId="00919B68"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坐标</w:t>
            </w:r>
            <w:r>
              <w:rPr>
                <w:rFonts w:ascii="Times New Roman" w:eastAsia="宋体" w:hAnsi="Times New Roman" w:cs="Times New Roman"/>
                <w:b/>
                <w:bCs/>
                <w:szCs w:val="21"/>
              </w:rPr>
              <w:t>(m)</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14:paraId="6D0392EF"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保护对象</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3D28D6D5"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保护内容</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14:paraId="62C68012"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环境功能区</w:t>
            </w:r>
          </w:p>
        </w:tc>
        <w:tc>
          <w:tcPr>
            <w:tcW w:w="964" w:type="dxa"/>
            <w:vMerge w:val="restart"/>
            <w:tcBorders>
              <w:top w:val="single" w:sz="4" w:space="0" w:color="auto"/>
              <w:left w:val="single" w:sz="4" w:space="0" w:color="auto"/>
              <w:bottom w:val="single" w:sz="4" w:space="0" w:color="auto"/>
              <w:right w:val="single" w:sz="4" w:space="0" w:color="auto"/>
            </w:tcBorders>
            <w:vAlign w:val="center"/>
          </w:tcPr>
          <w:p w14:paraId="742C1272"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相对厂址方位</w:t>
            </w:r>
          </w:p>
        </w:tc>
        <w:tc>
          <w:tcPr>
            <w:tcW w:w="1064" w:type="dxa"/>
            <w:vMerge w:val="restart"/>
            <w:tcBorders>
              <w:top w:val="single" w:sz="4" w:space="0" w:color="auto"/>
              <w:left w:val="single" w:sz="4" w:space="0" w:color="auto"/>
              <w:bottom w:val="single" w:sz="4" w:space="0" w:color="auto"/>
              <w:right w:val="single" w:sz="4" w:space="0" w:color="auto"/>
            </w:tcBorders>
            <w:vAlign w:val="center"/>
          </w:tcPr>
          <w:p w14:paraId="59CC8C6F"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相对厂界距离</w:t>
            </w:r>
            <w:r>
              <w:rPr>
                <w:rFonts w:ascii="Times New Roman" w:eastAsia="宋体" w:hAnsi="Times New Roman" w:cs="Times New Roman"/>
                <w:b/>
                <w:bCs/>
                <w:szCs w:val="21"/>
              </w:rPr>
              <w:t>/m</w:t>
            </w:r>
          </w:p>
        </w:tc>
      </w:tr>
      <w:tr w:rsidR="002133E3" w14:paraId="1206B600" w14:textId="77777777">
        <w:trPr>
          <w:trHeight w:val="284"/>
          <w:jc w:val="center"/>
        </w:trPr>
        <w:tc>
          <w:tcPr>
            <w:tcW w:w="426" w:type="dxa"/>
            <w:vMerge/>
            <w:tcBorders>
              <w:top w:val="single" w:sz="4" w:space="0" w:color="auto"/>
              <w:left w:val="single" w:sz="4" w:space="0" w:color="auto"/>
              <w:bottom w:val="single" w:sz="4" w:space="0" w:color="auto"/>
              <w:right w:val="single" w:sz="4" w:space="0" w:color="auto"/>
            </w:tcBorders>
            <w:vAlign w:val="center"/>
          </w:tcPr>
          <w:p w14:paraId="4FD081CA" w14:textId="77777777" w:rsidR="002133E3" w:rsidRDefault="002133E3">
            <w:pPr>
              <w:widowControl/>
              <w:jc w:val="left"/>
              <w:rPr>
                <w:rFonts w:ascii="Times New Roman" w:eastAsia="宋体" w:hAnsi="Times New Roman" w:cs="Times New Roman"/>
                <w:b/>
                <w:bCs/>
                <w:szCs w:val="21"/>
              </w:rPr>
            </w:pPr>
          </w:p>
        </w:tc>
        <w:tc>
          <w:tcPr>
            <w:tcW w:w="1083" w:type="dxa"/>
            <w:vMerge/>
            <w:tcBorders>
              <w:top w:val="single" w:sz="4" w:space="0" w:color="auto"/>
              <w:left w:val="single" w:sz="4" w:space="0" w:color="auto"/>
              <w:bottom w:val="single" w:sz="4" w:space="0" w:color="auto"/>
              <w:right w:val="single" w:sz="4" w:space="0" w:color="auto"/>
            </w:tcBorders>
            <w:vAlign w:val="center"/>
          </w:tcPr>
          <w:p w14:paraId="0D0FFFAC" w14:textId="77777777" w:rsidR="002133E3" w:rsidRDefault="002133E3">
            <w:pPr>
              <w:widowControl/>
              <w:jc w:val="left"/>
              <w:rPr>
                <w:rFonts w:ascii="Times New Roman" w:eastAsia="宋体" w:hAnsi="Times New Roman" w:cs="Times New Roman"/>
                <w:b/>
                <w:bCs/>
                <w:szCs w:val="21"/>
              </w:rPr>
            </w:pPr>
          </w:p>
        </w:tc>
        <w:tc>
          <w:tcPr>
            <w:tcW w:w="1321" w:type="dxa"/>
            <w:tcBorders>
              <w:top w:val="single" w:sz="4" w:space="0" w:color="auto"/>
              <w:left w:val="single" w:sz="4" w:space="0" w:color="auto"/>
              <w:bottom w:val="single" w:sz="4" w:space="0" w:color="auto"/>
              <w:right w:val="single" w:sz="4" w:space="0" w:color="auto"/>
            </w:tcBorders>
            <w:vAlign w:val="center"/>
          </w:tcPr>
          <w:p w14:paraId="39D0226E"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X</w:t>
            </w:r>
          </w:p>
        </w:tc>
        <w:tc>
          <w:tcPr>
            <w:tcW w:w="1134" w:type="dxa"/>
            <w:tcBorders>
              <w:top w:val="single" w:sz="4" w:space="0" w:color="auto"/>
              <w:left w:val="single" w:sz="4" w:space="0" w:color="auto"/>
              <w:bottom w:val="single" w:sz="4" w:space="0" w:color="auto"/>
              <w:right w:val="single" w:sz="4" w:space="0" w:color="auto"/>
            </w:tcBorders>
            <w:vAlign w:val="center"/>
          </w:tcPr>
          <w:p w14:paraId="00C5B19A" w14:textId="77777777" w:rsidR="002133E3" w:rsidRDefault="00C22CFA">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Y</w:t>
            </w:r>
          </w:p>
        </w:tc>
        <w:tc>
          <w:tcPr>
            <w:tcW w:w="709" w:type="dxa"/>
            <w:vMerge/>
            <w:tcBorders>
              <w:top w:val="single" w:sz="4" w:space="0" w:color="auto"/>
              <w:left w:val="single" w:sz="4" w:space="0" w:color="auto"/>
              <w:bottom w:val="single" w:sz="4" w:space="0" w:color="auto"/>
              <w:right w:val="single" w:sz="4" w:space="0" w:color="auto"/>
            </w:tcBorders>
            <w:vAlign w:val="center"/>
          </w:tcPr>
          <w:p w14:paraId="3B3B1A0B" w14:textId="77777777" w:rsidR="002133E3" w:rsidRDefault="002133E3">
            <w:pPr>
              <w:widowControl/>
              <w:jc w:val="left"/>
              <w:rPr>
                <w:rFonts w:ascii="Times New Roman" w:eastAsia="宋体" w:hAnsi="Times New Roman" w:cs="Times New Roman"/>
                <w:b/>
                <w:bCs/>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6562DB35" w14:textId="77777777" w:rsidR="002133E3" w:rsidRDefault="002133E3">
            <w:pPr>
              <w:widowControl/>
              <w:jc w:val="left"/>
              <w:rPr>
                <w:rFonts w:ascii="Times New Roman" w:eastAsia="宋体" w:hAnsi="Times New Roman" w:cs="Times New Roman"/>
                <w:b/>
                <w:bCs/>
                <w:szCs w:val="21"/>
              </w:rPr>
            </w:pPr>
          </w:p>
        </w:tc>
        <w:tc>
          <w:tcPr>
            <w:tcW w:w="1701" w:type="dxa"/>
            <w:vMerge/>
            <w:tcBorders>
              <w:top w:val="single" w:sz="4" w:space="0" w:color="auto"/>
              <w:left w:val="single" w:sz="4" w:space="0" w:color="auto"/>
              <w:bottom w:val="single" w:sz="4" w:space="0" w:color="auto"/>
              <w:right w:val="single" w:sz="4" w:space="0" w:color="auto"/>
            </w:tcBorders>
            <w:vAlign w:val="center"/>
          </w:tcPr>
          <w:p w14:paraId="1C8062F0" w14:textId="77777777" w:rsidR="002133E3" w:rsidRDefault="002133E3">
            <w:pPr>
              <w:widowControl/>
              <w:jc w:val="left"/>
              <w:rPr>
                <w:rFonts w:ascii="Times New Roman" w:eastAsia="宋体" w:hAnsi="Times New Roman" w:cs="Times New Roman"/>
                <w:b/>
                <w:bCs/>
                <w:szCs w:val="21"/>
              </w:rPr>
            </w:pPr>
          </w:p>
        </w:tc>
        <w:tc>
          <w:tcPr>
            <w:tcW w:w="964" w:type="dxa"/>
            <w:vMerge/>
            <w:tcBorders>
              <w:top w:val="single" w:sz="4" w:space="0" w:color="auto"/>
              <w:left w:val="single" w:sz="4" w:space="0" w:color="auto"/>
              <w:bottom w:val="single" w:sz="4" w:space="0" w:color="auto"/>
              <w:right w:val="single" w:sz="4" w:space="0" w:color="auto"/>
            </w:tcBorders>
            <w:vAlign w:val="center"/>
          </w:tcPr>
          <w:p w14:paraId="04604D22" w14:textId="77777777" w:rsidR="002133E3" w:rsidRDefault="002133E3">
            <w:pPr>
              <w:widowControl/>
              <w:jc w:val="left"/>
              <w:rPr>
                <w:rFonts w:ascii="Times New Roman" w:eastAsia="宋体" w:hAnsi="Times New Roman" w:cs="Times New Roman"/>
                <w:b/>
                <w:bCs/>
                <w:szCs w:val="21"/>
              </w:rPr>
            </w:pPr>
          </w:p>
        </w:tc>
        <w:tc>
          <w:tcPr>
            <w:tcW w:w="1064" w:type="dxa"/>
            <w:vMerge/>
            <w:tcBorders>
              <w:top w:val="single" w:sz="4" w:space="0" w:color="auto"/>
              <w:left w:val="single" w:sz="4" w:space="0" w:color="auto"/>
              <w:bottom w:val="single" w:sz="4" w:space="0" w:color="auto"/>
              <w:right w:val="single" w:sz="4" w:space="0" w:color="auto"/>
            </w:tcBorders>
            <w:vAlign w:val="center"/>
          </w:tcPr>
          <w:p w14:paraId="7D7BD0D0" w14:textId="77777777" w:rsidR="002133E3" w:rsidRDefault="002133E3">
            <w:pPr>
              <w:widowControl/>
              <w:jc w:val="left"/>
              <w:rPr>
                <w:rFonts w:ascii="Times New Roman" w:eastAsia="宋体" w:hAnsi="Times New Roman" w:cs="Times New Roman"/>
                <w:b/>
                <w:bCs/>
                <w:szCs w:val="21"/>
              </w:rPr>
            </w:pPr>
          </w:p>
        </w:tc>
      </w:tr>
      <w:tr w:rsidR="002133E3" w14:paraId="3B472DB5" w14:textId="77777777">
        <w:trPr>
          <w:trHeight w:val="284"/>
          <w:jc w:val="center"/>
        </w:trPr>
        <w:tc>
          <w:tcPr>
            <w:tcW w:w="426" w:type="dxa"/>
            <w:tcBorders>
              <w:top w:val="single" w:sz="4" w:space="0" w:color="auto"/>
              <w:left w:val="single" w:sz="4" w:space="0" w:color="auto"/>
              <w:right w:val="single" w:sz="4" w:space="0" w:color="auto"/>
            </w:tcBorders>
            <w:vAlign w:val="center"/>
          </w:tcPr>
          <w:p w14:paraId="2680C9FC"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1083" w:type="dxa"/>
            <w:tcBorders>
              <w:top w:val="single" w:sz="4" w:space="0" w:color="auto"/>
              <w:left w:val="single" w:sz="4" w:space="0" w:color="auto"/>
              <w:right w:val="single" w:sz="4" w:space="0" w:color="auto"/>
            </w:tcBorders>
            <w:vAlign w:val="center"/>
          </w:tcPr>
          <w:p w14:paraId="35D193E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兴庄村</w:t>
            </w:r>
          </w:p>
        </w:tc>
        <w:tc>
          <w:tcPr>
            <w:tcW w:w="1321" w:type="dxa"/>
            <w:tcBorders>
              <w:top w:val="single" w:sz="4" w:space="0" w:color="auto"/>
              <w:left w:val="single" w:sz="4" w:space="0" w:color="auto"/>
              <w:right w:val="single" w:sz="4" w:space="0" w:color="auto"/>
            </w:tcBorders>
            <w:vAlign w:val="center"/>
          </w:tcPr>
          <w:p w14:paraId="4424BA9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119.165375</w:t>
            </w:r>
          </w:p>
        </w:tc>
        <w:tc>
          <w:tcPr>
            <w:tcW w:w="1134" w:type="dxa"/>
            <w:tcBorders>
              <w:top w:val="single" w:sz="4" w:space="0" w:color="auto"/>
              <w:left w:val="single" w:sz="4" w:space="0" w:color="auto"/>
              <w:right w:val="single" w:sz="4" w:space="0" w:color="auto"/>
            </w:tcBorders>
            <w:vAlign w:val="center"/>
          </w:tcPr>
          <w:p w14:paraId="50174EB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34.907736</w:t>
            </w:r>
          </w:p>
        </w:tc>
        <w:tc>
          <w:tcPr>
            <w:tcW w:w="709" w:type="dxa"/>
            <w:tcBorders>
              <w:top w:val="single" w:sz="4" w:space="0" w:color="auto"/>
              <w:left w:val="single" w:sz="4" w:space="0" w:color="auto"/>
              <w:right w:val="single" w:sz="4" w:space="0" w:color="auto"/>
            </w:tcBorders>
            <w:vAlign w:val="center"/>
          </w:tcPr>
          <w:p w14:paraId="29334867"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居民</w:t>
            </w:r>
          </w:p>
        </w:tc>
        <w:tc>
          <w:tcPr>
            <w:tcW w:w="1134" w:type="dxa"/>
            <w:tcBorders>
              <w:top w:val="single" w:sz="4" w:space="0" w:color="auto"/>
              <w:left w:val="single" w:sz="4" w:space="0" w:color="auto"/>
              <w:right w:val="single" w:sz="4" w:space="0" w:color="auto"/>
            </w:tcBorders>
            <w:vAlign w:val="center"/>
          </w:tcPr>
          <w:p w14:paraId="2F6D584F"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人体健康</w:t>
            </w:r>
          </w:p>
        </w:tc>
        <w:tc>
          <w:tcPr>
            <w:tcW w:w="1701" w:type="dxa"/>
            <w:tcBorders>
              <w:top w:val="single" w:sz="4" w:space="0" w:color="auto"/>
              <w:left w:val="single" w:sz="4" w:space="0" w:color="auto"/>
              <w:right w:val="single" w:sz="4" w:space="0" w:color="auto"/>
            </w:tcBorders>
            <w:vAlign w:val="center"/>
          </w:tcPr>
          <w:p w14:paraId="10E18DB8" w14:textId="77777777" w:rsidR="002133E3" w:rsidRDefault="00C22CFA">
            <w:pPr>
              <w:adjustRightInd w:val="0"/>
              <w:snapToGrid w:val="0"/>
              <w:jc w:val="center"/>
              <w:rPr>
                <w:rFonts w:ascii="Times New Roman" w:eastAsia="宋体" w:hAnsi="Times New Roman" w:cs="Times New Roman"/>
                <w:bCs/>
                <w:szCs w:val="21"/>
              </w:rPr>
            </w:pPr>
            <w:r>
              <w:rPr>
                <w:rFonts w:ascii="Times New Roman" w:eastAsia="宋体" w:hAnsi="Times New Roman" w:cs="Times New Roman"/>
                <w:szCs w:val="21"/>
              </w:rPr>
              <w:t>商业、居住混合</w:t>
            </w:r>
          </w:p>
        </w:tc>
        <w:tc>
          <w:tcPr>
            <w:tcW w:w="964" w:type="dxa"/>
            <w:tcBorders>
              <w:top w:val="single" w:sz="4" w:space="0" w:color="auto"/>
              <w:left w:val="single" w:sz="4" w:space="0" w:color="auto"/>
              <w:bottom w:val="single" w:sz="4" w:space="0" w:color="auto"/>
              <w:right w:val="single" w:sz="4" w:space="0" w:color="auto"/>
            </w:tcBorders>
            <w:vAlign w:val="center"/>
          </w:tcPr>
          <w:p w14:paraId="3806761B"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S</w:t>
            </w:r>
          </w:p>
        </w:tc>
        <w:tc>
          <w:tcPr>
            <w:tcW w:w="1064" w:type="dxa"/>
            <w:tcBorders>
              <w:top w:val="single" w:sz="4" w:space="0" w:color="auto"/>
              <w:left w:val="single" w:sz="4" w:space="0" w:color="auto"/>
              <w:right w:val="single" w:sz="4" w:space="0" w:color="auto"/>
            </w:tcBorders>
            <w:vAlign w:val="center"/>
          </w:tcPr>
          <w:p w14:paraId="6AEDAE5E"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110</w:t>
            </w:r>
          </w:p>
        </w:tc>
      </w:tr>
      <w:tr w:rsidR="002133E3" w14:paraId="2C796F44" w14:textId="77777777">
        <w:trPr>
          <w:trHeight w:val="284"/>
          <w:jc w:val="center"/>
        </w:trPr>
        <w:tc>
          <w:tcPr>
            <w:tcW w:w="426" w:type="dxa"/>
            <w:tcBorders>
              <w:top w:val="single" w:sz="4" w:space="0" w:color="auto"/>
              <w:left w:val="single" w:sz="4" w:space="0" w:color="auto"/>
              <w:bottom w:val="single" w:sz="4" w:space="0" w:color="auto"/>
              <w:right w:val="single" w:sz="4" w:space="0" w:color="auto"/>
            </w:tcBorders>
            <w:vAlign w:val="center"/>
          </w:tcPr>
          <w:p w14:paraId="34B13F6A"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1083" w:type="dxa"/>
            <w:tcBorders>
              <w:top w:val="single" w:sz="4" w:space="0" w:color="auto"/>
              <w:left w:val="single" w:sz="4" w:space="0" w:color="auto"/>
              <w:bottom w:val="single" w:sz="4" w:space="0" w:color="auto"/>
              <w:right w:val="single" w:sz="4" w:space="0" w:color="auto"/>
            </w:tcBorders>
            <w:vAlign w:val="center"/>
          </w:tcPr>
          <w:p w14:paraId="0EDA840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李巷村</w:t>
            </w:r>
          </w:p>
        </w:tc>
        <w:tc>
          <w:tcPr>
            <w:tcW w:w="1321" w:type="dxa"/>
            <w:tcBorders>
              <w:top w:val="single" w:sz="4" w:space="0" w:color="auto"/>
              <w:left w:val="single" w:sz="4" w:space="0" w:color="auto"/>
              <w:bottom w:val="single" w:sz="4" w:space="0" w:color="auto"/>
              <w:right w:val="single" w:sz="4" w:space="0" w:color="auto"/>
            </w:tcBorders>
            <w:vAlign w:val="center"/>
          </w:tcPr>
          <w:p w14:paraId="7006BA3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119.166424</w:t>
            </w:r>
          </w:p>
        </w:tc>
        <w:tc>
          <w:tcPr>
            <w:tcW w:w="1134" w:type="dxa"/>
            <w:tcBorders>
              <w:top w:val="single" w:sz="4" w:space="0" w:color="auto"/>
              <w:left w:val="single" w:sz="4" w:space="0" w:color="auto"/>
              <w:bottom w:val="single" w:sz="4" w:space="0" w:color="auto"/>
              <w:right w:val="single" w:sz="4" w:space="0" w:color="auto"/>
            </w:tcBorders>
            <w:vAlign w:val="center"/>
          </w:tcPr>
          <w:p w14:paraId="4D2264A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34.908865</w:t>
            </w:r>
          </w:p>
        </w:tc>
        <w:tc>
          <w:tcPr>
            <w:tcW w:w="709" w:type="dxa"/>
            <w:tcBorders>
              <w:top w:val="single" w:sz="4" w:space="0" w:color="auto"/>
              <w:left w:val="single" w:sz="4" w:space="0" w:color="auto"/>
              <w:bottom w:val="single" w:sz="4" w:space="0" w:color="auto"/>
              <w:right w:val="single" w:sz="4" w:space="0" w:color="auto"/>
            </w:tcBorders>
            <w:vAlign w:val="center"/>
          </w:tcPr>
          <w:p w14:paraId="3B7C8654"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居民</w:t>
            </w:r>
          </w:p>
        </w:tc>
        <w:tc>
          <w:tcPr>
            <w:tcW w:w="1134" w:type="dxa"/>
            <w:tcBorders>
              <w:top w:val="single" w:sz="4" w:space="0" w:color="auto"/>
              <w:left w:val="single" w:sz="4" w:space="0" w:color="auto"/>
              <w:bottom w:val="single" w:sz="4" w:space="0" w:color="auto"/>
              <w:right w:val="single" w:sz="4" w:space="0" w:color="auto"/>
            </w:tcBorders>
            <w:vAlign w:val="center"/>
          </w:tcPr>
          <w:p w14:paraId="333A23AD"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人体健康</w:t>
            </w:r>
          </w:p>
        </w:tc>
        <w:tc>
          <w:tcPr>
            <w:tcW w:w="1701" w:type="dxa"/>
            <w:tcBorders>
              <w:top w:val="single" w:sz="4" w:space="0" w:color="auto"/>
              <w:left w:val="single" w:sz="4" w:space="0" w:color="auto"/>
              <w:bottom w:val="single" w:sz="4" w:space="0" w:color="auto"/>
              <w:right w:val="single" w:sz="4" w:space="0" w:color="auto"/>
            </w:tcBorders>
            <w:vAlign w:val="center"/>
          </w:tcPr>
          <w:p w14:paraId="5877718C" w14:textId="77777777" w:rsidR="002133E3" w:rsidRDefault="00C22CFA">
            <w:pPr>
              <w:adjustRightInd w:val="0"/>
              <w:snapToGrid w:val="0"/>
              <w:jc w:val="center"/>
              <w:rPr>
                <w:rFonts w:ascii="Times New Roman" w:eastAsia="宋体" w:hAnsi="Times New Roman" w:cs="Times New Roman"/>
                <w:bCs/>
                <w:szCs w:val="21"/>
              </w:rPr>
            </w:pPr>
            <w:r>
              <w:rPr>
                <w:rFonts w:ascii="Times New Roman" w:eastAsia="宋体" w:hAnsi="Times New Roman" w:cs="Times New Roman"/>
                <w:szCs w:val="21"/>
              </w:rPr>
              <w:t>商业、居住混合</w:t>
            </w:r>
          </w:p>
        </w:tc>
        <w:tc>
          <w:tcPr>
            <w:tcW w:w="964" w:type="dxa"/>
            <w:tcBorders>
              <w:top w:val="single" w:sz="4" w:space="0" w:color="auto"/>
              <w:left w:val="single" w:sz="4" w:space="0" w:color="auto"/>
              <w:bottom w:val="single" w:sz="4" w:space="0" w:color="auto"/>
              <w:right w:val="single" w:sz="4" w:space="0" w:color="auto"/>
            </w:tcBorders>
            <w:vAlign w:val="center"/>
          </w:tcPr>
          <w:p w14:paraId="794BEF8F"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w:t>
            </w:r>
          </w:p>
        </w:tc>
        <w:tc>
          <w:tcPr>
            <w:tcW w:w="1064" w:type="dxa"/>
            <w:tcBorders>
              <w:top w:val="single" w:sz="4" w:space="0" w:color="auto"/>
              <w:left w:val="single" w:sz="4" w:space="0" w:color="auto"/>
              <w:bottom w:val="single" w:sz="4" w:space="0" w:color="auto"/>
              <w:right w:val="single" w:sz="4" w:space="0" w:color="auto"/>
            </w:tcBorders>
            <w:vAlign w:val="center"/>
          </w:tcPr>
          <w:p w14:paraId="713229C5"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20</w:t>
            </w:r>
          </w:p>
        </w:tc>
      </w:tr>
    </w:tbl>
    <w:p w14:paraId="49AE518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区域环境空气质量达标情况及连云港市空气质量达标规划</w:t>
      </w:r>
    </w:p>
    <w:p w14:paraId="3F7B83D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区域环境空气质量达标情况</w:t>
      </w:r>
    </w:p>
    <w:p w14:paraId="007E6F82" w14:textId="77777777" w:rsidR="002133E3" w:rsidRDefault="00C22CFA">
      <w:pPr>
        <w:spacing w:line="500" w:lineRule="exact"/>
        <w:ind w:firstLineChars="200" w:firstLine="560"/>
        <w:rPr>
          <w:rFonts w:ascii="Times New Roman" w:eastAsia="宋体" w:hAnsi="Times New Roman" w:cs="Times New Roman"/>
          <w:b/>
          <w:sz w:val="28"/>
          <w:szCs w:val="28"/>
        </w:rPr>
      </w:pPr>
      <w:r>
        <w:rPr>
          <w:rFonts w:ascii="Times New Roman" w:eastAsia="宋体" w:hAnsi="Times New Roman" w:cs="Times New Roman"/>
          <w:color w:val="0D0D0D"/>
          <w:sz w:val="28"/>
          <w:szCs w:val="28"/>
        </w:rPr>
        <w:t>经调查，</w:t>
      </w:r>
      <w:r>
        <w:rPr>
          <w:rFonts w:ascii="Times New Roman" w:eastAsia="宋体" w:hAnsi="Times New Roman" w:cs="Times New Roman"/>
          <w:color w:val="0D0D0D"/>
          <w:sz w:val="28"/>
          <w:szCs w:val="28"/>
        </w:rPr>
        <w:t>2019</w:t>
      </w:r>
      <w:r>
        <w:rPr>
          <w:rFonts w:ascii="Times New Roman" w:eastAsia="宋体" w:hAnsi="Times New Roman" w:cs="Times New Roman"/>
          <w:color w:val="0D0D0D"/>
          <w:sz w:val="28"/>
          <w:szCs w:val="28"/>
        </w:rPr>
        <w:t>年连云港市环境空气中，</w:t>
      </w:r>
      <w:r>
        <w:rPr>
          <w:rFonts w:ascii="Times New Roman" w:eastAsia="宋体" w:hAnsi="Times New Roman" w:cs="Times New Roman"/>
          <w:color w:val="0D0D0D"/>
          <w:sz w:val="28"/>
          <w:szCs w:val="28"/>
        </w:rPr>
        <w:t>SO</w:t>
      </w:r>
      <w:r>
        <w:rPr>
          <w:rFonts w:ascii="Times New Roman" w:eastAsia="宋体" w:hAnsi="Times New Roman" w:cs="Times New Roman"/>
          <w:color w:val="0D0D0D"/>
          <w:sz w:val="28"/>
          <w:szCs w:val="28"/>
          <w:vertAlign w:val="subscript"/>
        </w:rPr>
        <w:t>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NO</w:t>
      </w:r>
      <w:r>
        <w:rPr>
          <w:rFonts w:ascii="Times New Roman" w:eastAsia="宋体" w:hAnsi="Times New Roman" w:cs="Times New Roman"/>
          <w:color w:val="0D0D0D"/>
          <w:sz w:val="28"/>
          <w:szCs w:val="28"/>
          <w:vertAlign w:val="subscript"/>
        </w:rPr>
        <w:t>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PM</w:t>
      </w:r>
      <w:r>
        <w:rPr>
          <w:rFonts w:ascii="Times New Roman" w:eastAsia="宋体" w:hAnsi="Times New Roman" w:cs="Times New Roman"/>
          <w:color w:val="0D0D0D"/>
          <w:sz w:val="28"/>
          <w:szCs w:val="28"/>
          <w:vertAlign w:val="subscript"/>
        </w:rPr>
        <w:t>10</w:t>
      </w:r>
      <w:r>
        <w:rPr>
          <w:rFonts w:ascii="Times New Roman" w:eastAsia="宋体" w:hAnsi="Times New Roman" w:cs="Times New Roman"/>
          <w:color w:val="0D0D0D"/>
          <w:sz w:val="28"/>
          <w:szCs w:val="28"/>
        </w:rPr>
        <w:t>年平均浓度、</w:t>
      </w:r>
      <w:r>
        <w:rPr>
          <w:rFonts w:ascii="Times New Roman" w:eastAsia="宋体" w:hAnsi="Times New Roman" w:cs="Times New Roman"/>
          <w:color w:val="0D0D0D"/>
          <w:sz w:val="28"/>
          <w:szCs w:val="28"/>
        </w:rPr>
        <w:t>CO</w:t>
      </w:r>
      <w:r>
        <w:rPr>
          <w:rFonts w:ascii="Times New Roman" w:eastAsia="宋体" w:hAnsi="Times New Roman" w:cs="Times New Roman"/>
          <w:color w:val="0D0D0D"/>
          <w:sz w:val="28"/>
          <w:szCs w:val="28"/>
        </w:rPr>
        <w:t>日均值的第</w:t>
      </w:r>
      <w:r>
        <w:rPr>
          <w:rFonts w:ascii="Times New Roman" w:eastAsia="宋体" w:hAnsi="Times New Roman" w:cs="Times New Roman"/>
          <w:color w:val="0D0D0D"/>
          <w:sz w:val="28"/>
          <w:szCs w:val="28"/>
        </w:rPr>
        <w:t>95</w:t>
      </w:r>
      <w:r>
        <w:rPr>
          <w:rFonts w:ascii="Times New Roman" w:eastAsia="宋体" w:hAnsi="Times New Roman" w:cs="Times New Roman"/>
          <w:color w:val="0D0D0D"/>
          <w:sz w:val="28"/>
          <w:szCs w:val="28"/>
        </w:rPr>
        <w:t>百分位浓度符合国家二级标准要求；臭氧</w:t>
      </w:r>
      <w:r>
        <w:rPr>
          <w:rFonts w:ascii="Times New Roman" w:eastAsia="宋体" w:hAnsi="Times New Roman" w:cs="Times New Roman"/>
          <w:color w:val="0D0D0D"/>
          <w:sz w:val="28"/>
          <w:szCs w:val="28"/>
        </w:rPr>
        <w:t>8</w:t>
      </w:r>
      <w:r>
        <w:rPr>
          <w:rFonts w:ascii="Times New Roman" w:eastAsia="宋体" w:hAnsi="Times New Roman" w:cs="Times New Roman"/>
          <w:color w:val="0D0D0D"/>
          <w:sz w:val="28"/>
          <w:szCs w:val="28"/>
        </w:rPr>
        <w:t>小时第</w:t>
      </w:r>
      <w:r>
        <w:rPr>
          <w:rFonts w:ascii="Times New Roman" w:eastAsia="宋体" w:hAnsi="Times New Roman" w:cs="Times New Roman"/>
          <w:color w:val="0D0D0D"/>
          <w:sz w:val="28"/>
          <w:szCs w:val="28"/>
        </w:rPr>
        <w:t>90</w:t>
      </w:r>
      <w:r>
        <w:rPr>
          <w:rFonts w:ascii="Times New Roman" w:eastAsia="宋体" w:hAnsi="Times New Roman" w:cs="Times New Roman"/>
          <w:color w:val="0D0D0D"/>
          <w:sz w:val="28"/>
          <w:szCs w:val="28"/>
        </w:rPr>
        <w:t>位百分位浓度、</w:t>
      </w:r>
      <w:r>
        <w:rPr>
          <w:rFonts w:ascii="Times New Roman" w:eastAsia="宋体" w:hAnsi="Times New Roman" w:cs="Times New Roman"/>
          <w:color w:val="0D0D0D"/>
          <w:sz w:val="28"/>
          <w:szCs w:val="28"/>
        </w:rPr>
        <w:t>PM</w:t>
      </w:r>
      <w:r>
        <w:rPr>
          <w:rFonts w:ascii="Times New Roman" w:eastAsia="宋体" w:hAnsi="Times New Roman" w:cs="Times New Roman"/>
          <w:color w:val="0D0D0D"/>
          <w:sz w:val="28"/>
          <w:szCs w:val="28"/>
          <w:vertAlign w:val="subscript"/>
        </w:rPr>
        <w:t>2.5</w:t>
      </w:r>
      <w:r>
        <w:rPr>
          <w:rFonts w:ascii="Times New Roman" w:eastAsia="宋体" w:hAnsi="Times New Roman" w:cs="Times New Roman"/>
          <w:color w:val="0D0D0D"/>
          <w:sz w:val="28"/>
          <w:szCs w:val="28"/>
        </w:rPr>
        <w:t>年平均浓度均超过《环境空气质量标准》（</w:t>
      </w:r>
      <w:r>
        <w:rPr>
          <w:rFonts w:ascii="Times New Roman" w:eastAsia="宋体" w:hAnsi="Times New Roman" w:cs="Times New Roman"/>
          <w:color w:val="0D0D0D"/>
          <w:sz w:val="28"/>
          <w:szCs w:val="28"/>
        </w:rPr>
        <w:t>GB3095-2012</w:t>
      </w:r>
      <w:r>
        <w:rPr>
          <w:rFonts w:ascii="Times New Roman" w:eastAsia="宋体" w:hAnsi="Times New Roman" w:cs="Times New Roman"/>
          <w:color w:val="0D0D0D"/>
          <w:sz w:val="28"/>
          <w:szCs w:val="28"/>
        </w:rPr>
        <w:t>）二级标准值。根据《环境影响评价技术导则大气环境》（</w:t>
      </w:r>
      <w:r>
        <w:rPr>
          <w:rFonts w:ascii="Times New Roman" w:eastAsia="宋体" w:hAnsi="Times New Roman" w:cs="Times New Roman"/>
          <w:color w:val="0D0D0D"/>
          <w:sz w:val="28"/>
          <w:szCs w:val="28"/>
        </w:rPr>
        <w:t>HJ2.2-2018</w:t>
      </w:r>
      <w:r>
        <w:rPr>
          <w:rFonts w:ascii="Times New Roman" w:eastAsia="宋体" w:hAnsi="Times New Roman" w:cs="Times New Roman"/>
          <w:color w:val="0D0D0D"/>
          <w:sz w:val="28"/>
          <w:szCs w:val="28"/>
        </w:rPr>
        <w:t>），连云港市环境控制属于不达标区。</w:t>
      </w:r>
    </w:p>
    <w:p w14:paraId="0D8886E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连云港市环境空气质量达标规划</w:t>
      </w:r>
    </w:p>
    <w:p w14:paraId="49AAFF24"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连云港市环境空气质量达标规划由环境保护部华南环境科学研究所编制，</w:t>
      </w:r>
      <w:r>
        <w:rPr>
          <w:rFonts w:ascii="Times New Roman" w:eastAsia="宋体" w:hAnsi="Times New Roman" w:cs="Times New Roman"/>
          <w:sz w:val="28"/>
          <w:szCs w:val="28"/>
        </w:rPr>
        <w:t>2016</w:t>
      </w:r>
      <w:r>
        <w:rPr>
          <w:rFonts w:ascii="Times New Roman" w:eastAsia="宋体" w:hAnsi="Times New Roman" w:cs="Times New Roman"/>
          <w:sz w:val="28"/>
          <w:szCs w:val="28"/>
        </w:rPr>
        <w:t>年</w:t>
      </w:r>
      <w:r>
        <w:rPr>
          <w:rFonts w:ascii="Times New Roman" w:eastAsia="宋体" w:hAnsi="Times New Roman" w:cs="Times New Roman"/>
          <w:sz w:val="28"/>
          <w:szCs w:val="28"/>
        </w:rPr>
        <w:t>9</w:t>
      </w:r>
      <w:r>
        <w:rPr>
          <w:rFonts w:ascii="Times New Roman" w:eastAsia="宋体" w:hAnsi="Times New Roman" w:cs="Times New Roman"/>
          <w:sz w:val="28"/>
          <w:szCs w:val="28"/>
        </w:rPr>
        <w:t>月获得连云港市人民政府批复</w:t>
      </w:r>
      <w:r>
        <w:rPr>
          <w:rFonts w:ascii="Times New Roman" w:eastAsia="宋体" w:hAnsi="Times New Roman" w:cs="Times New Roman"/>
          <w:sz w:val="28"/>
          <w:szCs w:val="28"/>
        </w:rPr>
        <w:t>(</w:t>
      </w:r>
      <w:r>
        <w:rPr>
          <w:rFonts w:ascii="Times New Roman" w:eastAsia="宋体" w:hAnsi="Times New Roman" w:cs="Times New Roman"/>
          <w:sz w:val="28"/>
          <w:szCs w:val="28"/>
        </w:rPr>
        <w:t>批复文号：连政复</w:t>
      </w:r>
      <w:r>
        <w:rPr>
          <w:rFonts w:ascii="Times New Roman" w:eastAsia="宋体" w:hAnsi="Times New Roman" w:cs="Times New Roman"/>
          <w:sz w:val="28"/>
          <w:szCs w:val="28"/>
        </w:rPr>
        <w:t>[2016]38</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400ADD29"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根据达标规划，连云港市</w:t>
      </w:r>
      <w:r>
        <w:rPr>
          <w:rFonts w:ascii="Times New Roman" w:eastAsia="宋体" w:hAnsi="Times New Roman" w:cs="Times New Roman"/>
          <w:sz w:val="28"/>
          <w:szCs w:val="28"/>
        </w:rPr>
        <w:t>SO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w:t>
      </w:r>
      <w:r>
        <w:rPr>
          <w:rFonts w:ascii="Times New Roman" w:eastAsia="宋体" w:hAnsi="Times New Roman" w:cs="Times New Roman"/>
          <w:sz w:val="28"/>
          <w:szCs w:val="28"/>
        </w:rPr>
        <w:t>NO</w:t>
      </w:r>
      <w:r>
        <w:rPr>
          <w:rFonts w:ascii="Times New Roman" w:eastAsia="宋体" w:hAnsi="Times New Roman" w:cs="Times New Roman"/>
          <w:sz w:val="28"/>
          <w:szCs w:val="28"/>
          <w:vertAlign w:val="subscript"/>
        </w:rPr>
        <w:t>x</w:t>
      </w:r>
      <w:r>
        <w:rPr>
          <w:rFonts w:ascii="Times New Roman" w:eastAsia="宋体" w:hAnsi="Times New Roman" w:cs="Times New Roman"/>
          <w:sz w:val="28"/>
          <w:szCs w:val="28"/>
        </w:rPr>
        <w:t>、烟尘、</w:t>
      </w:r>
      <w:r>
        <w:rPr>
          <w:rFonts w:ascii="Times New Roman" w:eastAsia="宋体" w:hAnsi="Times New Roman" w:cs="Times New Roman"/>
          <w:sz w:val="28"/>
          <w:szCs w:val="28"/>
        </w:rPr>
        <w:t>VOC</w:t>
      </w:r>
      <w:r>
        <w:rPr>
          <w:rFonts w:ascii="Times New Roman" w:eastAsia="宋体" w:hAnsi="Times New Roman" w:cs="Times New Roman"/>
          <w:sz w:val="28"/>
          <w:szCs w:val="28"/>
        </w:rPr>
        <w:t>减排潜力分别为</w:t>
      </w:r>
      <w:r>
        <w:rPr>
          <w:rFonts w:ascii="Times New Roman" w:eastAsia="宋体" w:hAnsi="Times New Roman" w:cs="Times New Roman"/>
          <w:sz w:val="28"/>
          <w:szCs w:val="28"/>
        </w:rPr>
        <w:t>4.82</w:t>
      </w:r>
      <w:r>
        <w:rPr>
          <w:rFonts w:ascii="Times New Roman" w:eastAsia="宋体" w:hAnsi="Times New Roman" w:cs="Times New Roman"/>
          <w:sz w:val="28"/>
          <w:szCs w:val="28"/>
        </w:rPr>
        <w:t>万吨、</w:t>
      </w:r>
      <w:r>
        <w:rPr>
          <w:rFonts w:ascii="Times New Roman" w:eastAsia="宋体" w:hAnsi="Times New Roman" w:cs="Times New Roman"/>
          <w:sz w:val="28"/>
          <w:szCs w:val="28"/>
        </w:rPr>
        <w:t>3.00</w:t>
      </w:r>
      <w:r>
        <w:rPr>
          <w:rFonts w:ascii="Times New Roman" w:eastAsia="宋体" w:hAnsi="Times New Roman" w:cs="Times New Roman"/>
          <w:sz w:val="28"/>
          <w:szCs w:val="28"/>
        </w:rPr>
        <w:t>万吨、</w:t>
      </w:r>
      <w:r>
        <w:rPr>
          <w:rFonts w:ascii="Times New Roman" w:eastAsia="宋体" w:hAnsi="Times New Roman" w:cs="Times New Roman"/>
          <w:sz w:val="28"/>
          <w:szCs w:val="28"/>
        </w:rPr>
        <w:t>2.28</w:t>
      </w:r>
      <w:r>
        <w:rPr>
          <w:rFonts w:ascii="Times New Roman" w:eastAsia="宋体" w:hAnsi="Times New Roman" w:cs="Times New Roman"/>
          <w:sz w:val="28"/>
          <w:szCs w:val="28"/>
        </w:rPr>
        <w:t>万吨、</w:t>
      </w:r>
      <w:r>
        <w:rPr>
          <w:rFonts w:ascii="Times New Roman" w:eastAsia="宋体" w:hAnsi="Times New Roman" w:cs="Times New Roman"/>
          <w:sz w:val="28"/>
          <w:szCs w:val="28"/>
        </w:rPr>
        <w:t>3.92</w:t>
      </w:r>
      <w:r>
        <w:rPr>
          <w:rFonts w:ascii="Times New Roman" w:eastAsia="宋体" w:hAnsi="Times New Roman" w:cs="Times New Roman"/>
          <w:sz w:val="28"/>
          <w:szCs w:val="28"/>
        </w:rPr>
        <w:t>万吨。在基础上，连云港市政府印发了《连云港市</w:t>
      </w:r>
      <w:r>
        <w:rPr>
          <w:rFonts w:ascii="Times New Roman" w:eastAsia="宋体" w:hAnsi="Times New Roman" w:cs="Times New Roman"/>
          <w:sz w:val="28"/>
          <w:szCs w:val="28"/>
        </w:rPr>
        <w:t>“</w:t>
      </w:r>
      <w:r>
        <w:rPr>
          <w:rFonts w:ascii="Times New Roman" w:eastAsia="宋体" w:hAnsi="Times New Roman" w:cs="Times New Roman"/>
          <w:sz w:val="28"/>
          <w:szCs w:val="28"/>
        </w:rPr>
        <w:t>十三五</w:t>
      </w:r>
      <w:r>
        <w:rPr>
          <w:rFonts w:ascii="Times New Roman" w:eastAsia="宋体" w:hAnsi="Times New Roman" w:cs="Times New Roman"/>
          <w:sz w:val="28"/>
          <w:szCs w:val="28"/>
        </w:rPr>
        <w:t>”</w:t>
      </w:r>
      <w:r>
        <w:rPr>
          <w:rFonts w:ascii="Times New Roman" w:eastAsia="宋体" w:hAnsi="Times New Roman" w:cs="Times New Roman"/>
          <w:sz w:val="28"/>
          <w:szCs w:val="28"/>
        </w:rPr>
        <w:t>大气污染防治工作计划》，将区域减排工作分解到年度。到</w:t>
      </w:r>
      <w:r>
        <w:rPr>
          <w:rFonts w:ascii="Times New Roman" w:eastAsia="宋体" w:hAnsi="Times New Roman" w:cs="Times New Roman"/>
          <w:sz w:val="28"/>
          <w:szCs w:val="28"/>
        </w:rPr>
        <w:t>2020</w:t>
      </w:r>
      <w:r>
        <w:rPr>
          <w:rFonts w:ascii="Times New Roman" w:eastAsia="宋体" w:hAnsi="Times New Roman" w:cs="Times New Roman"/>
          <w:sz w:val="28"/>
          <w:szCs w:val="28"/>
        </w:rPr>
        <w:t>年，连云港市二氧化硫排放量与</w:t>
      </w:r>
      <w:r>
        <w:rPr>
          <w:rFonts w:ascii="Times New Roman" w:eastAsia="宋体" w:hAnsi="Times New Roman" w:cs="Times New Roman"/>
          <w:sz w:val="28"/>
          <w:szCs w:val="28"/>
        </w:rPr>
        <w:t>2015</w:t>
      </w:r>
      <w:r>
        <w:rPr>
          <w:rFonts w:ascii="Times New Roman" w:eastAsia="宋体" w:hAnsi="Times New Roman" w:cs="Times New Roman"/>
          <w:sz w:val="28"/>
          <w:szCs w:val="28"/>
        </w:rPr>
        <w:t>年相比削减</w:t>
      </w:r>
      <w:r>
        <w:rPr>
          <w:rFonts w:ascii="Times New Roman" w:eastAsia="宋体" w:hAnsi="Times New Roman" w:cs="Times New Roman"/>
          <w:sz w:val="28"/>
          <w:szCs w:val="28"/>
        </w:rPr>
        <w:t>35%</w:t>
      </w:r>
      <w:r>
        <w:rPr>
          <w:rFonts w:ascii="Times New Roman" w:eastAsia="宋体" w:hAnsi="Times New Roman" w:cs="Times New Roman"/>
          <w:sz w:val="28"/>
          <w:szCs w:val="28"/>
        </w:rPr>
        <w:t>，控制在</w:t>
      </w:r>
      <w:r>
        <w:rPr>
          <w:rFonts w:ascii="Times New Roman" w:eastAsia="宋体" w:hAnsi="Times New Roman" w:cs="Times New Roman"/>
          <w:sz w:val="28"/>
          <w:szCs w:val="28"/>
        </w:rPr>
        <w:t>3.40</w:t>
      </w:r>
      <w:r>
        <w:rPr>
          <w:rFonts w:ascii="Times New Roman" w:eastAsia="宋体" w:hAnsi="Times New Roman" w:cs="Times New Roman"/>
          <w:sz w:val="28"/>
          <w:szCs w:val="28"/>
        </w:rPr>
        <w:t>万吨以内；氮氧化物排放量与</w:t>
      </w:r>
      <w:r>
        <w:rPr>
          <w:rFonts w:ascii="Times New Roman" w:eastAsia="宋体" w:hAnsi="Times New Roman" w:cs="Times New Roman"/>
          <w:sz w:val="28"/>
          <w:szCs w:val="28"/>
        </w:rPr>
        <w:t>2015</w:t>
      </w:r>
      <w:r>
        <w:rPr>
          <w:rFonts w:ascii="Times New Roman" w:eastAsia="宋体" w:hAnsi="Times New Roman" w:cs="Times New Roman"/>
          <w:sz w:val="28"/>
          <w:szCs w:val="28"/>
        </w:rPr>
        <w:t>年相比削减</w:t>
      </w:r>
      <w:r>
        <w:rPr>
          <w:rFonts w:ascii="Times New Roman" w:eastAsia="宋体" w:hAnsi="Times New Roman" w:cs="Times New Roman"/>
          <w:sz w:val="28"/>
          <w:szCs w:val="28"/>
        </w:rPr>
        <w:t>30%</w:t>
      </w:r>
      <w:r>
        <w:rPr>
          <w:rFonts w:ascii="Times New Roman" w:eastAsia="宋体" w:hAnsi="Times New Roman" w:cs="Times New Roman"/>
          <w:sz w:val="28"/>
          <w:szCs w:val="28"/>
        </w:rPr>
        <w:t>，控制在</w:t>
      </w:r>
      <w:r>
        <w:rPr>
          <w:rFonts w:ascii="Times New Roman" w:eastAsia="宋体" w:hAnsi="Times New Roman" w:cs="Times New Roman"/>
          <w:sz w:val="28"/>
          <w:szCs w:val="28"/>
        </w:rPr>
        <w:t>4.67</w:t>
      </w:r>
      <w:r>
        <w:rPr>
          <w:rFonts w:ascii="Times New Roman" w:eastAsia="宋体" w:hAnsi="Times New Roman" w:cs="Times New Roman"/>
          <w:sz w:val="28"/>
          <w:szCs w:val="28"/>
        </w:rPr>
        <w:t>万吨以内；颗粒物与</w:t>
      </w:r>
      <w:r>
        <w:rPr>
          <w:rFonts w:ascii="Times New Roman" w:eastAsia="宋体" w:hAnsi="Times New Roman" w:cs="Times New Roman"/>
          <w:sz w:val="28"/>
          <w:szCs w:val="28"/>
        </w:rPr>
        <w:t>2015</w:t>
      </w:r>
      <w:r>
        <w:rPr>
          <w:rFonts w:ascii="Times New Roman" w:eastAsia="宋体" w:hAnsi="Times New Roman" w:cs="Times New Roman"/>
          <w:sz w:val="28"/>
          <w:szCs w:val="28"/>
        </w:rPr>
        <w:lastRenderedPageBreak/>
        <w:t>年相比削减</w:t>
      </w:r>
      <w:r>
        <w:rPr>
          <w:rFonts w:ascii="Times New Roman" w:eastAsia="宋体" w:hAnsi="Times New Roman" w:cs="Times New Roman"/>
          <w:sz w:val="28"/>
          <w:szCs w:val="28"/>
        </w:rPr>
        <w:t>36%</w:t>
      </w:r>
      <w:r>
        <w:rPr>
          <w:rFonts w:ascii="Times New Roman" w:eastAsia="宋体" w:hAnsi="Times New Roman" w:cs="Times New Roman"/>
          <w:sz w:val="28"/>
          <w:szCs w:val="28"/>
        </w:rPr>
        <w:t>，控制在</w:t>
      </w:r>
      <w:r>
        <w:rPr>
          <w:rFonts w:ascii="Times New Roman" w:eastAsia="宋体" w:hAnsi="Times New Roman" w:cs="Times New Roman"/>
          <w:sz w:val="28"/>
          <w:szCs w:val="28"/>
        </w:rPr>
        <w:t>2.18</w:t>
      </w:r>
      <w:r>
        <w:rPr>
          <w:rFonts w:ascii="Times New Roman" w:eastAsia="宋体" w:hAnsi="Times New Roman" w:cs="Times New Roman"/>
          <w:sz w:val="28"/>
          <w:szCs w:val="28"/>
        </w:rPr>
        <w:t>万吨以内；挥发性有机物排放口与</w:t>
      </w:r>
      <w:r>
        <w:rPr>
          <w:rFonts w:ascii="Times New Roman" w:eastAsia="宋体" w:hAnsi="Times New Roman" w:cs="Times New Roman"/>
          <w:sz w:val="28"/>
          <w:szCs w:val="28"/>
        </w:rPr>
        <w:t>2015</w:t>
      </w:r>
      <w:r>
        <w:rPr>
          <w:rFonts w:ascii="Times New Roman" w:eastAsia="宋体" w:hAnsi="Times New Roman" w:cs="Times New Roman"/>
          <w:sz w:val="28"/>
          <w:szCs w:val="28"/>
        </w:rPr>
        <w:t>年相比削减</w:t>
      </w:r>
      <w:r>
        <w:rPr>
          <w:rFonts w:ascii="Times New Roman" w:eastAsia="宋体" w:hAnsi="Times New Roman" w:cs="Times New Roman"/>
          <w:sz w:val="28"/>
          <w:szCs w:val="28"/>
        </w:rPr>
        <w:t>18%</w:t>
      </w:r>
      <w:r>
        <w:rPr>
          <w:rFonts w:ascii="Times New Roman" w:eastAsia="宋体" w:hAnsi="Times New Roman" w:cs="Times New Roman"/>
          <w:sz w:val="28"/>
          <w:szCs w:val="28"/>
        </w:rPr>
        <w:t>，控制在</w:t>
      </w:r>
      <w:r>
        <w:rPr>
          <w:rFonts w:ascii="Times New Roman" w:eastAsia="宋体" w:hAnsi="Times New Roman" w:cs="Times New Roman"/>
          <w:sz w:val="28"/>
          <w:szCs w:val="28"/>
        </w:rPr>
        <w:t>6.95</w:t>
      </w:r>
      <w:r>
        <w:rPr>
          <w:rFonts w:ascii="Times New Roman" w:eastAsia="宋体" w:hAnsi="Times New Roman" w:cs="Times New Roman"/>
          <w:sz w:val="28"/>
          <w:szCs w:val="28"/>
        </w:rPr>
        <w:t>万吨以内。</w:t>
      </w:r>
    </w:p>
    <w:p w14:paraId="7BD33E37"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在落实了《连云港市空气质量达标规划》中的减排方案后，</w:t>
      </w:r>
      <w:r>
        <w:rPr>
          <w:rFonts w:ascii="Times New Roman" w:eastAsia="宋体" w:hAnsi="Times New Roman" w:cs="Times New Roman"/>
          <w:sz w:val="28"/>
          <w:szCs w:val="28"/>
        </w:rPr>
        <w:t>2020</w:t>
      </w:r>
      <w:r>
        <w:rPr>
          <w:rFonts w:ascii="Times New Roman" w:eastAsia="宋体" w:hAnsi="Times New Roman" w:cs="Times New Roman"/>
          <w:sz w:val="28"/>
          <w:szCs w:val="28"/>
        </w:rPr>
        <w:t>年</w:t>
      </w:r>
      <w:r>
        <w:rPr>
          <w:rFonts w:ascii="Times New Roman" w:eastAsia="宋体" w:hAnsi="Times New Roman" w:cs="Times New Roman"/>
          <w:sz w:val="28"/>
          <w:szCs w:val="28"/>
        </w:rPr>
        <w:t>PM</w:t>
      </w:r>
      <w:r>
        <w:rPr>
          <w:rFonts w:ascii="Times New Roman" w:eastAsia="宋体" w:hAnsi="Times New Roman" w:cs="Times New Roman"/>
          <w:sz w:val="28"/>
          <w:szCs w:val="28"/>
          <w:vertAlign w:val="subscript"/>
        </w:rPr>
        <w:t>2.5</w:t>
      </w:r>
      <w:r>
        <w:rPr>
          <w:rFonts w:ascii="Times New Roman" w:eastAsia="宋体" w:hAnsi="Times New Roman" w:cs="Times New Roman"/>
          <w:sz w:val="28"/>
          <w:szCs w:val="28"/>
        </w:rPr>
        <w:t>浓度相比</w:t>
      </w:r>
      <w:r>
        <w:rPr>
          <w:rFonts w:ascii="Times New Roman" w:eastAsia="宋体" w:hAnsi="Times New Roman" w:cs="Times New Roman"/>
          <w:sz w:val="28"/>
          <w:szCs w:val="28"/>
        </w:rPr>
        <w:t>2014</w:t>
      </w:r>
      <w:r>
        <w:rPr>
          <w:rFonts w:ascii="Times New Roman" w:eastAsia="宋体" w:hAnsi="Times New Roman" w:cs="Times New Roman"/>
          <w:sz w:val="28"/>
          <w:szCs w:val="28"/>
        </w:rPr>
        <w:t>年下降</w:t>
      </w:r>
      <w:r>
        <w:rPr>
          <w:rFonts w:ascii="Times New Roman" w:eastAsia="宋体" w:hAnsi="Times New Roman" w:cs="Times New Roman"/>
          <w:sz w:val="28"/>
          <w:szCs w:val="28"/>
        </w:rPr>
        <w:t>31.7%</w:t>
      </w:r>
      <w:r>
        <w:rPr>
          <w:rFonts w:ascii="Times New Roman" w:eastAsia="宋体" w:hAnsi="Times New Roman" w:cs="Times New Roman"/>
          <w:sz w:val="28"/>
          <w:szCs w:val="28"/>
        </w:rPr>
        <w:t>，年均浓度</w:t>
      </w:r>
      <w:r>
        <w:rPr>
          <w:rFonts w:ascii="Times New Roman" w:eastAsia="宋体" w:hAnsi="Times New Roman" w:cs="Times New Roman"/>
          <w:sz w:val="28"/>
          <w:szCs w:val="28"/>
        </w:rPr>
        <w:t xml:space="preserve"> 43.9 </w:t>
      </w:r>
      <w:r>
        <w:rPr>
          <w:rFonts w:ascii="Times New Roman" w:eastAsia="宋体" w:hAnsi="Times New Roman" w:cs="Times New Roman"/>
          <w:sz w:val="28"/>
          <w:szCs w:val="28"/>
        </w:rPr>
        <w:t>微克</w:t>
      </w:r>
      <w:r>
        <w:rPr>
          <w:rFonts w:ascii="Times New Roman" w:eastAsia="宋体" w:hAnsi="Times New Roman" w:cs="Times New Roman"/>
          <w:sz w:val="28"/>
          <w:szCs w:val="28"/>
        </w:rPr>
        <w:t>/</w:t>
      </w:r>
      <w:r>
        <w:rPr>
          <w:rFonts w:ascii="Times New Roman" w:eastAsia="宋体" w:hAnsi="Times New Roman" w:cs="Times New Roman"/>
          <w:sz w:val="28"/>
          <w:szCs w:val="28"/>
        </w:rPr>
        <w:t>立方米，基本达到污染控制目标</w:t>
      </w:r>
      <w:r>
        <w:rPr>
          <w:rFonts w:ascii="Times New Roman" w:eastAsia="宋体" w:hAnsi="Times New Roman" w:cs="Times New Roman"/>
          <w:sz w:val="28"/>
          <w:szCs w:val="28"/>
        </w:rPr>
        <w:t>(</w:t>
      </w:r>
      <w:r>
        <w:rPr>
          <w:rFonts w:ascii="Times New Roman" w:eastAsia="宋体" w:hAnsi="Times New Roman" w:cs="Times New Roman"/>
          <w:sz w:val="28"/>
          <w:szCs w:val="28"/>
        </w:rPr>
        <w:t>下降</w:t>
      </w:r>
      <w:r>
        <w:rPr>
          <w:rFonts w:ascii="Times New Roman" w:eastAsia="宋体" w:hAnsi="Times New Roman" w:cs="Times New Roman"/>
          <w:sz w:val="28"/>
          <w:szCs w:val="28"/>
        </w:rPr>
        <w:t xml:space="preserve"> 28%)</w:t>
      </w:r>
      <w:r>
        <w:rPr>
          <w:rFonts w:ascii="Times New Roman" w:eastAsia="宋体" w:hAnsi="Times New Roman" w:cs="Times New Roman"/>
          <w:sz w:val="28"/>
          <w:szCs w:val="28"/>
        </w:rPr>
        <w:t>，</w:t>
      </w:r>
      <w:r>
        <w:rPr>
          <w:rFonts w:ascii="Times New Roman" w:eastAsia="宋体" w:hAnsi="Times New Roman" w:cs="Times New Roman"/>
          <w:sz w:val="28"/>
          <w:szCs w:val="28"/>
        </w:rPr>
        <w:t xml:space="preserve">2030 </w:t>
      </w:r>
      <w:r>
        <w:rPr>
          <w:rFonts w:ascii="Times New Roman" w:eastAsia="宋体" w:hAnsi="Times New Roman" w:cs="Times New Roman"/>
          <w:sz w:val="28"/>
          <w:szCs w:val="28"/>
        </w:rPr>
        <w:t>年</w:t>
      </w:r>
      <w:r>
        <w:rPr>
          <w:rFonts w:ascii="Times New Roman" w:eastAsia="宋体" w:hAnsi="Times New Roman" w:cs="Times New Roman"/>
          <w:sz w:val="28"/>
          <w:szCs w:val="28"/>
        </w:rPr>
        <w:t xml:space="preserve"> PM</w:t>
      </w:r>
      <w:r>
        <w:rPr>
          <w:rFonts w:ascii="Times New Roman" w:eastAsia="宋体" w:hAnsi="Times New Roman" w:cs="Times New Roman"/>
          <w:sz w:val="28"/>
          <w:szCs w:val="28"/>
          <w:vertAlign w:val="subscript"/>
        </w:rPr>
        <w:t>2.5</w:t>
      </w:r>
      <w:r>
        <w:rPr>
          <w:rFonts w:ascii="Times New Roman" w:eastAsia="宋体" w:hAnsi="Times New Roman" w:cs="Times New Roman"/>
          <w:sz w:val="28"/>
          <w:szCs w:val="28"/>
        </w:rPr>
        <w:t>浓度相比</w:t>
      </w:r>
      <w:r>
        <w:rPr>
          <w:rFonts w:ascii="Times New Roman" w:eastAsia="宋体" w:hAnsi="Times New Roman" w:cs="Times New Roman"/>
          <w:sz w:val="28"/>
          <w:szCs w:val="28"/>
        </w:rPr>
        <w:t xml:space="preserve"> 2014 </w:t>
      </w:r>
      <w:r>
        <w:rPr>
          <w:rFonts w:ascii="Times New Roman" w:eastAsia="宋体" w:hAnsi="Times New Roman" w:cs="Times New Roman"/>
          <w:sz w:val="28"/>
          <w:szCs w:val="28"/>
        </w:rPr>
        <w:t>年下降</w:t>
      </w:r>
      <w:r>
        <w:rPr>
          <w:rFonts w:ascii="Times New Roman" w:eastAsia="宋体" w:hAnsi="Times New Roman" w:cs="Times New Roman"/>
          <w:sz w:val="28"/>
          <w:szCs w:val="28"/>
        </w:rPr>
        <w:t xml:space="preserve"> 46%</w:t>
      </w:r>
      <w:r>
        <w:rPr>
          <w:rFonts w:ascii="Times New Roman" w:eastAsia="宋体" w:hAnsi="Times New Roman" w:cs="Times New Roman"/>
          <w:sz w:val="28"/>
          <w:szCs w:val="28"/>
        </w:rPr>
        <w:t>，年均浓度</w:t>
      </w:r>
      <w:r>
        <w:rPr>
          <w:rFonts w:ascii="Times New Roman" w:eastAsia="宋体" w:hAnsi="Times New Roman" w:cs="Times New Roman"/>
          <w:sz w:val="28"/>
          <w:szCs w:val="28"/>
        </w:rPr>
        <w:t xml:space="preserve"> 33.05 </w:t>
      </w:r>
      <w:r>
        <w:rPr>
          <w:rFonts w:ascii="Times New Roman" w:eastAsia="宋体" w:hAnsi="Times New Roman" w:cs="Times New Roman"/>
          <w:sz w:val="28"/>
          <w:szCs w:val="28"/>
        </w:rPr>
        <w:t>微克</w:t>
      </w:r>
      <w:r>
        <w:rPr>
          <w:rFonts w:ascii="Times New Roman" w:eastAsia="宋体" w:hAnsi="Times New Roman" w:cs="Times New Roman"/>
          <w:sz w:val="28"/>
          <w:szCs w:val="28"/>
        </w:rPr>
        <w:t>/</w:t>
      </w:r>
      <w:r>
        <w:rPr>
          <w:rFonts w:ascii="Times New Roman" w:eastAsia="宋体" w:hAnsi="Times New Roman" w:cs="Times New Roman"/>
          <w:sz w:val="28"/>
          <w:szCs w:val="28"/>
        </w:rPr>
        <w:t>立方米，占标率</w:t>
      </w:r>
      <w:r>
        <w:rPr>
          <w:rFonts w:ascii="Times New Roman" w:eastAsia="宋体" w:hAnsi="Times New Roman" w:cs="Times New Roman"/>
          <w:sz w:val="28"/>
          <w:szCs w:val="28"/>
        </w:rPr>
        <w:t>94.42%</w:t>
      </w:r>
      <w:r>
        <w:rPr>
          <w:rFonts w:ascii="Times New Roman" w:eastAsia="宋体" w:hAnsi="Times New Roman" w:cs="Times New Roman"/>
          <w:sz w:val="28"/>
          <w:szCs w:val="28"/>
        </w:rPr>
        <w:t>，优于二级标准要求。预测结果显示，预计</w:t>
      </w:r>
      <w:r>
        <w:rPr>
          <w:rFonts w:ascii="Times New Roman" w:eastAsia="宋体" w:hAnsi="Times New Roman" w:cs="Times New Roman"/>
          <w:sz w:val="28"/>
          <w:szCs w:val="28"/>
        </w:rPr>
        <w:t xml:space="preserve"> 2020 </w:t>
      </w:r>
      <w:r>
        <w:rPr>
          <w:rFonts w:ascii="Times New Roman" w:eastAsia="宋体" w:hAnsi="Times New Roman" w:cs="Times New Roman"/>
          <w:sz w:val="28"/>
          <w:szCs w:val="28"/>
        </w:rPr>
        <w:t>年超标天数为</w:t>
      </w:r>
      <w:r>
        <w:rPr>
          <w:rFonts w:ascii="Times New Roman" w:eastAsia="宋体" w:hAnsi="Times New Roman" w:cs="Times New Roman"/>
          <w:sz w:val="28"/>
          <w:szCs w:val="28"/>
        </w:rPr>
        <w:t xml:space="preserve"> 54 </w:t>
      </w:r>
      <w:r>
        <w:rPr>
          <w:rFonts w:ascii="Times New Roman" w:eastAsia="宋体" w:hAnsi="Times New Roman" w:cs="Times New Roman"/>
          <w:sz w:val="28"/>
          <w:szCs w:val="28"/>
        </w:rPr>
        <w:t>天，主要集中在冬季，全年优良率</w:t>
      </w:r>
      <w:r>
        <w:rPr>
          <w:rFonts w:ascii="Times New Roman" w:eastAsia="宋体" w:hAnsi="Times New Roman" w:cs="Times New Roman"/>
          <w:sz w:val="28"/>
          <w:szCs w:val="28"/>
        </w:rPr>
        <w:t xml:space="preserve"> 85%</w:t>
      </w:r>
      <w:r>
        <w:rPr>
          <w:rFonts w:ascii="Times New Roman" w:eastAsia="宋体" w:hAnsi="Times New Roman" w:cs="Times New Roman"/>
          <w:sz w:val="28"/>
          <w:szCs w:val="28"/>
        </w:rPr>
        <w:t>以上，</w:t>
      </w:r>
      <w:r>
        <w:rPr>
          <w:rFonts w:ascii="Times New Roman" w:eastAsia="宋体" w:hAnsi="Times New Roman" w:cs="Times New Roman"/>
          <w:sz w:val="28"/>
          <w:szCs w:val="28"/>
        </w:rPr>
        <w:t xml:space="preserve">2030 </w:t>
      </w:r>
      <w:r>
        <w:rPr>
          <w:rFonts w:ascii="Times New Roman" w:eastAsia="宋体" w:hAnsi="Times New Roman" w:cs="Times New Roman"/>
          <w:sz w:val="28"/>
          <w:szCs w:val="28"/>
        </w:rPr>
        <w:t>年超标天数约</w:t>
      </w:r>
      <w:r>
        <w:rPr>
          <w:rFonts w:ascii="Times New Roman" w:eastAsia="宋体" w:hAnsi="Times New Roman" w:cs="Times New Roman"/>
          <w:sz w:val="28"/>
          <w:szCs w:val="28"/>
        </w:rPr>
        <w:t xml:space="preserve"> 18 </w:t>
      </w:r>
      <w:r>
        <w:rPr>
          <w:rFonts w:ascii="Times New Roman" w:eastAsia="宋体" w:hAnsi="Times New Roman" w:cs="Times New Roman"/>
          <w:sz w:val="28"/>
          <w:szCs w:val="28"/>
        </w:rPr>
        <w:t>天，全年优良率达到</w:t>
      </w:r>
      <w:r>
        <w:rPr>
          <w:rFonts w:ascii="Times New Roman" w:eastAsia="宋体" w:hAnsi="Times New Roman" w:cs="Times New Roman"/>
          <w:sz w:val="28"/>
          <w:szCs w:val="28"/>
        </w:rPr>
        <w:t xml:space="preserve"> 95%</w:t>
      </w:r>
      <w:r>
        <w:rPr>
          <w:rFonts w:ascii="Times New Roman" w:eastAsia="宋体" w:hAnsi="Times New Roman" w:cs="Times New Roman"/>
          <w:sz w:val="28"/>
          <w:szCs w:val="28"/>
        </w:rPr>
        <w:t>以上。类比</w:t>
      </w:r>
      <w:r>
        <w:rPr>
          <w:rFonts w:ascii="Times New Roman" w:eastAsia="宋体" w:hAnsi="Times New Roman" w:cs="Times New Roman"/>
          <w:sz w:val="28"/>
          <w:szCs w:val="28"/>
        </w:rPr>
        <w:t>2030</w:t>
      </w:r>
      <w:r>
        <w:rPr>
          <w:rFonts w:ascii="Times New Roman" w:eastAsia="宋体" w:hAnsi="Times New Roman" w:cs="Times New Roman"/>
          <w:sz w:val="28"/>
          <w:szCs w:val="28"/>
        </w:rPr>
        <w:t>年</w:t>
      </w:r>
      <w:r>
        <w:rPr>
          <w:rFonts w:ascii="Times New Roman" w:eastAsia="宋体" w:hAnsi="Times New Roman" w:cs="Times New Roman"/>
          <w:sz w:val="28"/>
          <w:szCs w:val="28"/>
        </w:rPr>
        <w:t>PM</w:t>
      </w:r>
      <w:r>
        <w:rPr>
          <w:rFonts w:ascii="Times New Roman" w:eastAsia="宋体" w:hAnsi="Times New Roman" w:cs="Times New Roman"/>
          <w:sz w:val="28"/>
          <w:szCs w:val="28"/>
          <w:vertAlign w:val="subscript"/>
        </w:rPr>
        <w:t>2.5</w:t>
      </w:r>
      <w:r>
        <w:rPr>
          <w:rFonts w:ascii="Times New Roman" w:eastAsia="宋体" w:hAnsi="Times New Roman" w:cs="Times New Roman"/>
          <w:sz w:val="28"/>
          <w:szCs w:val="28"/>
        </w:rPr>
        <w:t>年平均质量浓度占标率，</w:t>
      </w:r>
      <w:r>
        <w:rPr>
          <w:rFonts w:ascii="Times New Roman" w:eastAsia="宋体" w:hAnsi="Times New Roman" w:cs="Times New Roman"/>
          <w:sz w:val="28"/>
          <w:szCs w:val="28"/>
        </w:rPr>
        <w:t>PM</w:t>
      </w:r>
      <w:r>
        <w:rPr>
          <w:rFonts w:ascii="Times New Roman" w:eastAsia="宋体" w:hAnsi="Times New Roman" w:cs="Times New Roman"/>
          <w:sz w:val="28"/>
          <w:szCs w:val="28"/>
          <w:vertAlign w:val="subscript"/>
        </w:rPr>
        <w:t>10</w:t>
      </w:r>
      <w:r>
        <w:rPr>
          <w:rFonts w:ascii="Times New Roman" w:eastAsia="宋体" w:hAnsi="Times New Roman" w:cs="Times New Roman"/>
          <w:sz w:val="28"/>
          <w:szCs w:val="28"/>
        </w:rPr>
        <w:t>95%</w:t>
      </w:r>
      <w:r>
        <w:rPr>
          <w:rFonts w:ascii="Times New Roman" w:eastAsia="宋体" w:hAnsi="Times New Roman" w:cs="Times New Roman"/>
          <w:sz w:val="28"/>
          <w:szCs w:val="28"/>
        </w:rPr>
        <w:t>保证率日平均和年平均质量浓度浓度占标率取</w:t>
      </w:r>
      <w:r>
        <w:rPr>
          <w:rFonts w:ascii="Times New Roman" w:eastAsia="宋体" w:hAnsi="Times New Roman" w:cs="Times New Roman"/>
          <w:sz w:val="28"/>
          <w:szCs w:val="28"/>
        </w:rPr>
        <w:t>94.42%</w:t>
      </w:r>
      <w:r>
        <w:rPr>
          <w:rFonts w:ascii="Times New Roman" w:eastAsia="宋体" w:hAnsi="Times New Roman" w:cs="Times New Roman"/>
          <w:sz w:val="28"/>
          <w:szCs w:val="28"/>
        </w:rPr>
        <w:t>，达标规划日平均和年平均目标浓度分别为</w:t>
      </w:r>
      <w:r>
        <w:rPr>
          <w:rFonts w:ascii="Times New Roman" w:eastAsia="宋体" w:hAnsi="Times New Roman" w:cs="Times New Roman"/>
          <w:sz w:val="28"/>
          <w:szCs w:val="28"/>
        </w:rPr>
        <w:t>0.1416mg/m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w:t>
      </w:r>
      <w:r>
        <w:rPr>
          <w:rFonts w:ascii="Times New Roman" w:eastAsia="宋体" w:hAnsi="Times New Roman" w:cs="Times New Roman"/>
          <w:sz w:val="28"/>
          <w:szCs w:val="28"/>
        </w:rPr>
        <w:t>0.066mg/m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w:t>
      </w:r>
    </w:p>
    <w:p w14:paraId="7206B96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大气环境影响方案</w:t>
      </w:r>
    </w:p>
    <w:p w14:paraId="07032373"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预测模型选取</w:t>
      </w:r>
    </w:p>
    <w:p w14:paraId="1E739878"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本项目大气评价等级为二级，保守起见，本次环评采用导则推荐的</w:t>
      </w:r>
      <w:r>
        <w:rPr>
          <w:rFonts w:ascii="Times New Roman" w:eastAsia="宋体" w:hAnsi="Times New Roman" w:cs="Times New Roman"/>
          <w:kern w:val="0"/>
          <w:sz w:val="28"/>
          <w:szCs w:val="28"/>
        </w:rPr>
        <w:t>AERMOD</w:t>
      </w:r>
      <w:r>
        <w:rPr>
          <w:rFonts w:ascii="Times New Roman" w:eastAsia="宋体" w:hAnsi="Times New Roman" w:cs="Times New Roman"/>
          <w:kern w:val="0"/>
          <w:sz w:val="28"/>
          <w:szCs w:val="28"/>
        </w:rPr>
        <w:t>模式系统进行预测。</w:t>
      </w:r>
    </w:p>
    <w:p w14:paraId="53ACF515"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AERMOD</w:t>
      </w:r>
      <w:r>
        <w:rPr>
          <w:rFonts w:ascii="Times New Roman" w:eastAsia="宋体" w:hAnsi="Times New Roman" w:cs="Times New Roman"/>
          <w:kern w:val="0"/>
          <w:sz w:val="28"/>
          <w:szCs w:val="28"/>
        </w:rPr>
        <w:t>由美国国家环保局联合美国气象学会组建法规模式改善委员会</w:t>
      </w:r>
      <w:r>
        <w:rPr>
          <w:rFonts w:ascii="Times New Roman" w:eastAsia="宋体" w:hAnsi="Times New Roman" w:cs="Times New Roman"/>
          <w:kern w:val="0"/>
          <w:sz w:val="28"/>
          <w:szCs w:val="28"/>
        </w:rPr>
        <w:t>(AERMIC)</w:t>
      </w:r>
      <w:r>
        <w:rPr>
          <w:rFonts w:ascii="Times New Roman" w:eastAsia="宋体" w:hAnsi="Times New Roman" w:cs="Times New Roman"/>
          <w:kern w:val="0"/>
          <w:sz w:val="28"/>
          <w:szCs w:val="28"/>
        </w:rPr>
        <w:t>开发。该系统以扩散统计理论为出发点，假设污染物的浓度分布在一定程度上服从高斯分布。模式系统可用于多种排放源</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包括点源、面源和体源</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的排放，也适用于乡村环境和城市环境、平坦地形和复杂地形、地面源和高架源等多种排放扩散情形的模拟和预测。</w:t>
      </w:r>
    </w:p>
    <w:p w14:paraId="2D42F707" w14:textId="77777777" w:rsidR="002133E3" w:rsidRDefault="00C22CFA">
      <w:pPr>
        <w:spacing w:line="500" w:lineRule="exact"/>
        <w:ind w:firstLineChars="200" w:firstLine="560"/>
        <w:rPr>
          <w:rFonts w:ascii="Times New Roman" w:eastAsia="宋体" w:hAnsi="Times New Roman" w:cs="Times New Roman"/>
          <w:b/>
          <w:sz w:val="28"/>
          <w:szCs w:val="28"/>
        </w:rPr>
      </w:pPr>
      <w:r>
        <w:rPr>
          <w:rFonts w:ascii="Times New Roman" w:eastAsia="宋体" w:hAnsi="Times New Roman" w:cs="Times New Roman"/>
          <w:kern w:val="0"/>
          <w:sz w:val="28"/>
          <w:szCs w:val="28"/>
        </w:rPr>
        <w:t>AERMOD</w:t>
      </w:r>
      <w:r>
        <w:rPr>
          <w:rFonts w:ascii="Times New Roman" w:eastAsia="宋体" w:hAnsi="Times New Roman" w:cs="Times New Roman"/>
          <w:kern w:val="0"/>
          <w:sz w:val="28"/>
          <w:szCs w:val="28"/>
        </w:rPr>
        <w:t>模式系统包括</w:t>
      </w:r>
      <w:r>
        <w:rPr>
          <w:rFonts w:ascii="Times New Roman" w:eastAsia="宋体" w:hAnsi="Times New Roman" w:cs="Times New Roman"/>
          <w:kern w:val="0"/>
          <w:sz w:val="28"/>
          <w:szCs w:val="28"/>
        </w:rPr>
        <w:t>AERMOD</w:t>
      </w:r>
      <w:r>
        <w:rPr>
          <w:rFonts w:ascii="Times New Roman" w:eastAsia="宋体" w:hAnsi="Times New Roman" w:cs="Times New Roman"/>
          <w:kern w:val="0"/>
          <w:sz w:val="28"/>
          <w:szCs w:val="28"/>
        </w:rPr>
        <w:t>扩散模式、</w:t>
      </w:r>
      <w:r>
        <w:rPr>
          <w:rFonts w:ascii="Times New Roman" w:eastAsia="宋体" w:hAnsi="Times New Roman" w:cs="Times New Roman"/>
          <w:kern w:val="0"/>
          <w:sz w:val="28"/>
          <w:szCs w:val="28"/>
        </w:rPr>
        <w:t>AERMET</w:t>
      </w:r>
      <w:r>
        <w:rPr>
          <w:rFonts w:ascii="Times New Roman" w:eastAsia="宋体" w:hAnsi="Times New Roman" w:cs="Times New Roman"/>
          <w:kern w:val="0"/>
          <w:sz w:val="28"/>
          <w:szCs w:val="28"/>
        </w:rPr>
        <w:t>气象预处理和</w:t>
      </w:r>
      <w:r>
        <w:rPr>
          <w:rFonts w:ascii="Times New Roman" w:eastAsia="宋体" w:hAnsi="Times New Roman" w:cs="Times New Roman"/>
          <w:kern w:val="0"/>
          <w:sz w:val="28"/>
          <w:szCs w:val="28"/>
        </w:rPr>
        <w:t>AERMAP</w:t>
      </w:r>
      <w:r>
        <w:rPr>
          <w:rFonts w:ascii="Times New Roman" w:eastAsia="宋体" w:hAnsi="Times New Roman" w:cs="Times New Roman"/>
          <w:kern w:val="0"/>
          <w:sz w:val="28"/>
          <w:szCs w:val="28"/>
        </w:rPr>
        <w:t>地形预处理模块。</w:t>
      </w:r>
    </w:p>
    <w:p w14:paraId="7D0B9D8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气象数据</w:t>
      </w:r>
    </w:p>
    <w:p w14:paraId="41A864DF"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本项目气象数据情况详见表</w:t>
      </w:r>
      <w:r>
        <w:rPr>
          <w:rFonts w:ascii="Times New Roman" w:eastAsia="宋体" w:hAnsi="Times New Roman" w:cs="Times New Roman"/>
          <w:sz w:val="28"/>
          <w:szCs w:val="28"/>
        </w:rPr>
        <w:t>6.2-8</w:t>
      </w:r>
      <w:r>
        <w:rPr>
          <w:rFonts w:ascii="Times New Roman" w:eastAsia="宋体" w:hAnsi="Times New Roman" w:cs="Times New Roman"/>
          <w:sz w:val="28"/>
          <w:szCs w:val="28"/>
        </w:rPr>
        <w:t>及表</w:t>
      </w:r>
      <w:r>
        <w:rPr>
          <w:rFonts w:ascii="Times New Roman" w:eastAsia="宋体" w:hAnsi="Times New Roman" w:cs="Times New Roman"/>
          <w:sz w:val="28"/>
          <w:szCs w:val="28"/>
        </w:rPr>
        <w:t>6.2-9</w:t>
      </w:r>
      <w:r>
        <w:rPr>
          <w:rFonts w:ascii="Times New Roman" w:eastAsia="宋体" w:hAnsi="Times New Roman" w:cs="Times New Roman"/>
          <w:sz w:val="28"/>
          <w:szCs w:val="28"/>
        </w:rPr>
        <w:t>。</w:t>
      </w:r>
    </w:p>
    <w:p w14:paraId="74328478"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6.2-8 </w:t>
      </w:r>
      <w:r>
        <w:rPr>
          <w:rFonts w:ascii="Times New Roman" w:eastAsia="宋体" w:hAnsi="Times New Roman" w:cs="Times New Roman"/>
          <w:b/>
          <w:sz w:val="24"/>
          <w:szCs w:val="24"/>
        </w:rPr>
        <w:t>观测气象数据信息</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
        <w:gridCol w:w="682"/>
        <w:gridCol w:w="970"/>
        <w:gridCol w:w="807"/>
        <w:gridCol w:w="872"/>
        <w:gridCol w:w="918"/>
        <w:gridCol w:w="985"/>
        <w:gridCol w:w="768"/>
        <w:gridCol w:w="3057"/>
      </w:tblGrid>
      <w:tr w:rsidR="002133E3" w14:paraId="11F4F3A4" w14:textId="77777777">
        <w:trPr>
          <w:jc w:val="center"/>
        </w:trPr>
        <w:tc>
          <w:tcPr>
            <w:tcW w:w="682" w:type="dxa"/>
            <w:vMerge w:val="restart"/>
            <w:vAlign w:val="center"/>
          </w:tcPr>
          <w:p w14:paraId="5110D80B"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气象站</w:t>
            </w:r>
          </w:p>
          <w:p w14:paraId="0E3CFFEE"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名称</w:t>
            </w:r>
          </w:p>
        </w:tc>
        <w:tc>
          <w:tcPr>
            <w:tcW w:w="682" w:type="dxa"/>
            <w:vMerge w:val="restart"/>
            <w:vAlign w:val="center"/>
          </w:tcPr>
          <w:p w14:paraId="55331072"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气象站</w:t>
            </w:r>
          </w:p>
          <w:p w14:paraId="230ACE17"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编号</w:t>
            </w:r>
          </w:p>
        </w:tc>
        <w:tc>
          <w:tcPr>
            <w:tcW w:w="970" w:type="dxa"/>
            <w:vMerge w:val="restart"/>
            <w:vAlign w:val="center"/>
          </w:tcPr>
          <w:p w14:paraId="709118AD"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气象站</w:t>
            </w:r>
          </w:p>
          <w:p w14:paraId="096C9A44"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等级</w:t>
            </w:r>
          </w:p>
        </w:tc>
        <w:tc>
          <w:tcPr>
            <w:tcW w:w="1679" w:type="dxa"/>
            <w:gridSpan w:val="2"/>
            <w:vAlign w:val="center"/>
          </w:tcPr>
          <w:p w14:paraId="2666C818"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气象坐标</w:t>
            </w:r>
          </w:p>
        </w:tc>
        <w:tc>
          <w:tcPr>
            <w:tcW w:w="918" w:type="dxa"/>
            <w:vMerge w:val="restart"/>
            <w:vAlign w:val="center"/>
          </w:tcPr>
          <w:p w14:paraId="50170CB2"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相对距离</w:t>
            </w:r>
            <w:r>
              <w:rPr>
                <w:rFonts w:ascii="Times New Roman" w:eastAsia="宋体" w:hAnsi="Times New Roman" w:cs="Times New Roman"/>
                <w:b/>
                <w:bCs/>
                <w:szCs w:val="28"/>
              </w:rPr>
              <w:t>/m</w:t>
            </w:r>
          </w:p>
        </w:tc>
        <w:tc>
          <w:tcPr>
            <w:tcW w:w="985" w:type="dxa"/>
            <w:vMerge w:val="restart"/>
            <w:vAlign w:val="center"/>
          </w:tcPr>
          <w:p w14:paraId="1F4EE98C"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海拔高度</w:t>
            </w:r>
          </w:p>
          <w:p w14:paraId="31627461"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/m</w:t>
            </w:r>
          </w:p>
        </w:tc>
        <w:tc>
          <w:tcPr>
            <w:tcW w:w="768" w:type="dxa"/>
            <w:vMerge w:val="restart"/>
            <w:vAlign w:val="center"/>
          </w:tcPr>
          <w:p w14:paraId="291782E2"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数据</w:t>
            </w:r>
          </w:p>
          <w:p w14:paraId="0604E32F"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年份</w:t>
            </w:r>
          </w:p>
        </w:tc>
        <w:tc>
          <w:tcPr>
            <w:tcW w:w="3057" w:type="dxa"/>
            <w:vMerge w:val="restart"/>
            <w:vAlign w:val="center"/>
          </w:tcPr>
          <w:p w14:paraId="048C35B4" w14:textId="77777777" w:rsidR="002133E3" w:rsidRDefault="00C22CFA">
            <w:pPr>
              <w:jc w:val="center"/>
              <w:rPr>
                <w:rFonts w:ascii="Times New Roman" w:eastAsia="宋体" w:hAnsi="Times New Roman" w:cs="Times New Roman"/>
                <w:b/>
                <w:bCs/>
                <w:szCs w:val="28"/>
              </w:rPr>
            </w:pPr>
            <w:r>
              <w:rPr>
                <w:rFonts w:ascii="Times New Roman" w:eastAsia="宋体" w:hAnsi="Times New Roman" w:cs="Times New Roman"/>
                <w:b/>
                <w:bCs/>
                <w:szCs w:val="28"/>
              </w:rPr>
              <w:t>气象要素</w:t>
            </w:r>
          </w:p>
        </w:tc>
      </w:tr>
      <w:tr w:rsidR="002133E3" w14:paraId="0556A3EB" w14:textId="77777777">
        <w:trPr>
          <w:jc w:val="center"/>
        </w:trPr>
        <w:tc>
          <w:tcPr>
            <w:tcW w:w="682" w:type="dxa"/>
            <w:vMerge/>
            <w:vAlign w:val="center"/>
          </w:tcPr>
          <w:p w14:paraId="7D33855C" w14:textId="77777777" w:rsidR="002133E3" w:rsidRDefault="002133E3">
            <w:pPr>
              <w:widowControl/>
              <w:jc w:val="left"/>
              <w:rPr>
                <w:rFonts w:ascii="Times New Roman" w:eastAsia="宋体" w:hAnsi="Times New Roman" w:cs="Times New Roman"/>
                <w:b/>
                <w:bCs/>
                <w:szCs w:val="28"/>
              </w:rPr>
            </w:pPr>
          </w:p>
        </w:tc>
        <w:tc>
          <w:tcPr>
            <w:tcW w:w="682" w:type="dxa"/>
            <w:vMerge/>
            <w:vAlign w:val="center"/>
          </w:tcPr>
          <w:p w14:paraId="3C900FC3" w14:textId="77777777" w:rsidR="002133E3" w:rsidRDefault="002133E3">
            <w:pPr>
              <w:widowControl/>
              <w:jc w:val="left"/>
              <w:rPr>
                <w:rFonts w:ascii="Times New Roman" w:eastAsia="宋体" w:hAnsi="Times New Roman" w:cs="Times New Roman"/>
                <w:b/>
                <w:bCs/>
                <w:szCs w:val="28"/>
              </w:rPr>
            </w:pPr>
          </w:p>
        </w:tc>
        <w:tc>
          <w:tcPr>
            <w:tcW w:w="970" w:type="dxa"/>
            <w:vMerge/>
            <w:vAlign w:val="center"/>
          </w:tcPr>
          <w:p w14:paraId="7DB970B2" w14:textId="77777777" w:rsidR="002133E3" w:rsidRDefault="002133E3">
            <w:pPr>
              <w:widowControl/>
              <w:jc w:val="left"/>
              <w:rPr>
                <w:rFonts w:ascii="Times New Roman" w:eastAsia="宋体" w:hAnsi="Times New Roman" w:cs="Times New Roman"/>
                <w:b/>
                <w:bCs/>
                <w:szCs w:val="28"/>
              </w:rPr>
            </w:pPr>
          </w:p>
        </w:tc>
        <w:tc>
          <w:tcPr>
            <w:tcW w:w="807" w:type="dxa"/>
            <w:vAlign w:val="center"/>
          </w:tcPr>
          <w:p w14:paraId="4E255A18"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经度</w:t>
            </w:r>
          </w:p>
        </w:tc>
        <w:tc>
          <w:tcPr>
            <w:tcW w:w="872" w:type="dxa"/>
            <w:vAlign w:val="center"/>
          </w:tcPr>
          <w:p w14:paraId="09FE2742"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纬度</w:t>
            </w:r>
          </w:p>
        </w:tc>
        <w:tc>
          <w:tcPr>
            <w:tcW w:w="918" w:type="dxa"/>
            <w:vMerge/>
            <w:vAlign w:val="center"/>
          </w:tcPr>
          <w:p w14:paraId="7634CEF6" w14:textId="77777777" w:rsidR="002133E3" w:rsidRDefault="002133E3">
            <w:pPr>
              <w:widowControl/>
              <w:jc w:val="left"/>
              <w:rPr>
                <w:rFonts w:ascii="Times New Roman" w:eastAsia="宋体" w:hAnsi="Times New Roman" w:cs="Times New Roman"/>
                <w:b/>
                <w:bCs/>
                <w:szCs w:val="28"/>
              </w:rPr>
            </w:pPr>
          </w:p>
        </w:tc>
        <w:tc>
          <w:tcPr>
            <w:tcW w:w="985" w:type="dxa"/>
            <w:vMerge/>
            <w:vAlign w:val="center"/>
          </w:tcPr>
          <w:p w14:paraId="62F4B837" w14:textId="77777777" w:rsidR="002133E3" w:rsidRDefault="002133E3">
            <w:pPr>
              <w:widowControl/>
              <w:jc w:val="left"/>
              <w:rPr>
                <w:rFonts w:ascii="Times New Roman" w:eastAsia="宋体" w:hAnsi="Times New Roman" w:cs="Times New Roman"/>
                <w:b/>
                <w:bCs/>
                <w:szCs w:val="28"/>
              </w:rPr>
            </w:pPr>
          </w:p>
        </w:tc>
        <w:tc>
          <w:tcPr>
            <w:tcW w:w="768" w:type="dxa"/>
            <w:vMerge/>
            <w:vAlign w:val="center"/>
          </w:tcPr>
          <w:p w14:paraId="614BF1C4" w14:textId="77777777" w:rsidR="002133E3" w:rsidRDefault="002133E3">
            <w:pPr>
              <w:widowControl/>
              <w:jc w:val="left"/>
              <w:rPr>
                <w:rFonts w:ascii="Times New Roman" w:eastAsia="宋体" w:hAnsi="Times New Roman" w:cs="Times New Roman"/>
                <w:b/>
                <w:bCs/>
                <w:szCs w:val="28"/>
              </w:rPr>
            </w:pPr>
          </w:p>
        </w:tc>
        <w:tc>
          <w:tcPr>
            <w:tcW w:w="3057" w:type="dxa"/>
            <w:vMerge/>
            <w:vAlign w:val="center"/>
          </w:tcPr>
          <w:p w14:paraId="3986D999" w14:textId="77777777" w:rsidR="002133E3" w:rsidRDefault="002133E3">
            <w:pPr>
              <w:widowControl/>
              <w:jc w:val="left"/>
              <w:rPr>
                <w:rFonts w:ascii="Times New Roman" w:eastAsia="宋体" w:hAnsi="Times New Roman" w:cs="Times New Roman"/>
                <w:b/>
                <w:bCs/>
                <w:szCs w:val="28"/>
              </w:rPr>
            </w:pPr>
          </w:p>
        </w:tc>
      </w:tr>
      <w:tr w:rsidR="002133E3" w14:paraId="196575D8" w14:textId="77777777">
        <w:trPr>
          <w:jc w:val="center"/>
        </w:trPr>
        <w:tc>
          <w:tcPr>
            <w:tcW w:w="682" w:type="dxa"/>
            <w:vAlign w:val="center"/>
          </w:tcPr>
          <w:p w14:paraId="67DB1FF9"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西连岛</w:t>
            </w:r>
          </w:p>
        </w:tc>
        <w:tc>
          <w:tcPr>
            <w:tcW w:w="682" w:type="dxa"/>
            <w:vAlign w:val="center"/>
          </w:tcPr>
          <w:p w14:paraId="5C6676BC"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58041</w:t>
            </w:r>
          </w:p>
        </w:tc>
        <w:tc>
          <w:tcPr>
            <w:tcW w:w="970" w:type="dxa"/>
            <w:vAlign w:val="center"/>
          </w:tcPr>
          <w:p w14:paraId="61E5FDFC"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一般站</w:t>
            </w:r>
          </w:p>
        </w:tc>
        <w:tc>
          <w:tcPr>
            <w:tcW w:w="807" w:type="dxa"/>
            <w:vAlign w:val="center"/>
          </w:tcPr>
          <w:p w14:paraId="4F4D97C5"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119.4485</w:t>
            </w:r>
          </w:p>
        </w:tc>
        <w:tc>
          <w:tcPr>
            <w:tcW w:w="872" w:type="dxa"/>
            <w:vAlign w:val="center"/>
          </w:tcPr>
          <w:p w14:paraId="6EC437A1"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34.7824</w:t>
            </w:r>
          </w:p>
        </w:tc>
        <w:tc>
          <w:tcPr>
            <w:tcW w:w="918" w:type="dxa"/>
            <w:vAlign w:val="center"/>
          </w:tcPr>
          <w:p w14:paraId="78971E3C"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27810</w:t>
            </w:r>
          </w:p>
        </w:tc>
        <w:tc>
          <w:tcPr>
            <w:tcW w:w="985" w:type="dxa"/>
            <w:vAlign w:val="center"/>
          </w:tcPr>
          <w:p w14:paraId="586FE2A6"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5</w:t>
            </w:r>
          </w:p>
        </w:tc>
        <w:tc>
          <w:tcPr>
            <w:tcW w:w="768" w:type="dxa"/>
            <w:vAlign w:val="center"/>
          </w:tcPr>
          <w:p w14:paraId="5756E813" w14:textId="77777777" w:rsidR="002133E3" w:rsidRDefault="00C22CFA">
            <w:pPr>
              <w:ind w:leftChars="-50" w:left="-105" w:rightChars="-50" w:right="-105"/>
              <w:jc w:val="center"/>
              <w:rPr>
                <w:rFonts w:ascii="Times New Roman" w:eastAsia="宋体" w:hAnsi="Times New Roman" w:cs="Times New Roman"/>
                <w:szCs w:val="28"/>
              </w:rPr>
            </w:pPr>
            <w:r>
              <w:rPr>
                <w:rFonts w:ascii="Times New Roman" w:eastAsia="宋体" w:hAnsi="Times New Roman" w:cs="Times New Roman"/>
                <w:szCs w:val="28"/>
              </w:rPr>
              <w:t>2020</w:t>
            </w:r>
          </w:p>
        </w:tc>
        <w:tc>
          <w:tcPr>
            <w:tcW w:w="3057" w:type="dxa"/>
            <w:vAlign w:val="center"/>
          </w:tcPr>
          <w:p w14:paraId="3C11FEB7" w14:textId="77777777" w:rsidR="002133E3" w:rsidRDefault="00C22CFA">
            <w:pPr>
              <w:ind w:leftChars="-50" w:left="-105" w:rightChars="-50" w:right="-105"/>
              <w:rPr>
                <w:rFonts w:ascii="Times New Roman" w:eastAsia="宋体" w:hAnsi="Times New Roman" w:cs="Times New Roman"/>
                <w:szCs w:val="28"/>
              </w:rPr>
            </w:pPr>
            <w:r>
              <w:rPr>
                <w:rFonts w:ascii="Times New Roman" w:eastAsia="宋体" w:hAnsi="Times New Roman" w:cs="Times New Roman"/>
                <w:szCs w:val="28"/>
              </w:rPr>
              <w:t>逐时地面想想数据，包括</w:t>
            </w:r>
            <w:r>
              <w:rPr>
                <w:rFonts w:ascii="宋体" w:eastAsia="宋体" w:hAnsi="宋体" w:cs="宋体" w:hint="eastAsia"/>
                <w:szCs w:val="28"/>
              </w:rPr>
              <w:t>①</w:t>
            </w:r>
            <w:r>
              <w:rPr>
                <w:rFonts w:ascii="Times New Roman" w:eastAsia="宋体" w:hAnsi="Times New Roman" w:cs="Times New Roman"/>
                <w:szCs w:val="28"/>
              </w:rPr>
              <w:t>风向</w:t>
            </w:r>
            <w:r>
              <w:rPr>
                <w:rFonts w:ascii="宋体" w:eastAsia="宋体" w:hAnsi="宋体" w:cs="宋体" w:hint="eastAsia"/>
                <w:szCs w:val="28"/>
              </w:rPr>
              <w:t>②</w:t>
            </w:r>
            <w:r>
              <w:rPr>
                <w:rFonts w:ascii="Times New Roman" w:eastAsia="宋体" w:hAnsi="Times New Roman" w:cs="Times New Roman"/>
                <w:szCs w:val="28"/>
              </w:rPr>
              <w:t>风速</w:t>
            </w:r>
            <w:r>
              <w:rPr>
                <w:rFonts w:ascii="宋体" w:eastAsia="宋体" w:hAnsi="宋体" w:cs="宋体" w:hint="eastAsia"/>
                <w:szCs w:val="28"/>
              </w:rPr>
              <w:t>③</w:t>
            </w:r>
            <w:r>
              <w:rPr>
                <w:rFonts w:ascii="Times New Roman" w:eastAsia="宋体" w:hAnsi="Times New Roman" w:cs="Times New Roman"/>
                <w:szCs w:val="28"/>
              </w:rPr>
              <w:t>总云量</w:t>
            </w:r>
            <w:r>
              <w:rPr>
                <w:rFonts w:ascii="宋体" w:eastAsia="宋体" w:hAnsi="宋体" w:cs="宋体" w:hint="eastAsia"/>
                <w:szCs w:val="28"/>
              </w:rPr>
              <w:t>④</w:t>
            </w:r>
            <w:r>
              <w:rPr>
                <w:rFonts w:ascii="Times New Roman" w:eastAsia="宋体" w:hAnsi="Times New Roman" w:cs="Times New Roman"/>
                <w:szCs w:val="28"/>
              </w:rPr>
              <w:t>干球温度</w:t>
            </w:r>
          </w:p>
        </w:tc>
      </w:tr>
    </w:tbl>
    <w:p w14:paraId="64669E42"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6.2-9 </w:t>
      </w:r>
      <w:r>
        <w:rPr>
          <w:rFonts w:ascii="Times New Roman" w:eastAsia="宋体" w:hAnsi="Times New Roman" w:cs="Times New Roman"/>
          <w:b/>
          <w:sz w:val="24"/>
          <w:szCs w:val="24"/>
        </w:rPr>
        <w:t>模拟气象数据信息</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
        <w:gridCol w:w="899"/>
        <w:gridCol w:w="1156"/>
        <w:gridCol w:w="721"/>
        <w:gridCol w:w="5959"/>
      </w:tblGrid>
      <w:tr w:rsidR="002133E3" w14:paraId="2B092DEB" w14:textId="77777777">
        <w:trPr>
          <w:jc w:val="center"/>
        </w:trPr>
        <w:tc>
          <w:tcPr>
            <w:tcW w:w="1905" w:type="dxa"/>
            <w:gridSpan w:val="2"/>
            <w:tcBorders>
              <w:top w:val="single" w:sz="4" w:space="0" w:color="auto"/>
              <w:left w:val="single" w:sz="4" w:space="0" w:color="auto"/>
              <w:bottom w:val="single" w:sz="4" w:space="0" w:color="auto"/>
              <w:right w:val="single" w:sz="4" w:space="0" w:color="auto"/>
            </w:tcBorders>
            <w:vAlign w:val="center"/>
          </w:tcPr>
          <w:p w14:paraId="4FD22C0F" w14:textId="77777777" w:rsidR="002133E3" w:rsidRDefault="00C22CFA">
            <w:pPr>
              <w:adjustRightInd w:val="0"/>
              <w:snapToGrid w:val="0"/>
              <w:jc w:val="center"/>
              <w:rPr>
                <w:rFonts w:ascii="Times New Roman" w:eastAsia="宋体" w:hAnsi="Times New Roman" w:cs="Times New Roman"/>
                <w:b/>
                <w:bCs/>
                <w:szCs w:val="28"/>
              </w:rPr>
            </w:pPr>
            <w:r>
              <w:rPr>
                <w:rFonts w:ascii="Times New Roman" w:eastAsia="宋体" w:hAnsi="Times New Roman" w:cs="Times New Roman"/>
                <w:b/>
                <w:bCs/>
                <w:szCs w:val="28"/>
              </w:rPr>
              <w:t>模拟点坐标</w:t>
            </w:r>
            <w:r>
              <w:rPr>
                <w:rFonts w:ascii="Times New Roman" w:eastAsia="宋体" w:hAnsi="Times New Roman" w:cs="Times New Roman"/>
                <w:b/>
                <w:bCs/>
                <w:szCs w:val="28"/>
              </w:rPr>
              <w:t>/m</w:t>
            </w:r>
          </w:p>
        </w:tc>
        <w:tc>
          <w:tcPr>
            <w:tcW w:w="1156" w:type="dxa"/>
            <w:vMerge w:val="restart"/>
            <w:tcBorders>
              <w:top w:val="single" w:sz="4" w:space="0" w:color="auto"/>
              <w:left w:val="single" w:sz="4" w:space="0" w:color="auto"/>
              <w:bottom w:val="single" w:sz="4" w:space="0" w:color="auto"/>
              <w:right w:val="single" w:sz="4" w:space="0" w:color="auto"/>
            </w:tcBorders>
            <w:vAlign w:val="center"/>
          </w:tcPr>
          <w:p w14:paraId="4CF10C5F" w14:textId="77777777" w:rsidR="002133E3" w:rsidRDefault="00C22CFA">
            <w:pPr>
              <w:adjustRightInd w:val="0"/>
              <w:snapToGrid w:val="0"/>
              <w:jc w:val="center"/>
              <w:rPr>
                <w:rFonts w:ascii="Times New Roman" w:eastAsia="宋体" w:hAnsi="Times New Roman" w:cs="Times New Roman"/>
                <w:b/>
                <w:bCs/>
                <w:szCs w:val="28"/>
              </w:rPr>
            </w:pPr>
            <w:r>
              <w:rPr>
                <w:rFonts w:ascii="Times New Roman" w:eastAsia="宋体" w:hAnsi="Times New Roman" w:cs="Times New Roman"/>
                <w:b/>
                <w:bCs/>
                <w:szCs w:val="28"/>
              </w:rPr>
              <w:t>平均海拔</w:t>
            </w:r>
            <w:r>
              <w:rPr>
                <w:rFonts w:ascii="Times New Roman" w:eastAsia="宋体" w:hAnsi="Times New Roman" w:cs="Times New Roman"/>
                <w:b/>
                <w:bCs/>
                <w:szCs w:val="28"/>
              </w:rPr>
              <w:lastRenderedPageBreak/>
              <w:t>高度</w:t>
            </w:r>
            <w:r>
              <w:rPr>
                <w:rFonts w:ascii="Times New Roman" w:eastAsia="宋体" w:hAnsi="Times New Roman" w:cs="Times New Roman"/>
                <w:b/>
                <w:bCs/>
                <w:szCs w:val="28"/>
              </w:rPr>
              <w:t>/m</w:t>
            </w:r>
          </w:p>
        </w:tc>
        <w:tc>
          <w:tcPr>
            <w:tcW w:w="721" w:type="dxa"/>
            <w:vMerge w:val="restart"/>
            <w:tcBorders>
              <w:top w:val="single" w:sz="4" w:space="0" w:color="auto"/>
              <w:left w:val="single" w:sz="4" w:space="0" w:color="auto"/>
              <w:bottom w:val="single" w:sz="4" w:space="0" w:color="auto"/>
              <w:right w:val="single" w:sz="4" w:space="0" w:color="auto"/>
            </w:tcBorders>
            <w:vAlign w:val="center"/>
          </w:tcPr>
          <w:p w14:paraId="567478F2" w14:textId="77777777" w:rsidR="002133E3" w:rsidRDefault="00C22CFA">
            <w:pPr>
              <w:adjustRightInd w:val="0"/>
              <w:snapToGrid w:val="0"/>
              <w:jc w:val="center"/>
              <w:rPr>
                <w:rFonts w:ascii="Times New Roman" w:eastAsia="宋体" w:hAnsi="Times New Roman" w:cs="Times New Roman"/>
                <w:b/>
                <w:bCs/>
                <w:szCs w:val="28"/>
              </w:rPr>
            </w:pPr>
            <w:r>
              <w:rPr>
                <w:rFonts w:ascii="Times New Roman" w:eastAsia="宋体" w:hAnsi="Times New Roman" w:cs="Times New Roman"/>
                <w:b/>
                <w:bCs/>
                <w:szCs w:val="28"/>
              </w:rPr>
              <w:lastRenderedPageBreak/>
              <w:t>数据</w:t>
            </w:r>
            <w:r>
              <w:rPr>
                <w:rFonts w:ascii="Times New Roman" w:eastAsia="宋体" w:hAnsi="Times New Roman" w:cs="Times New Roman"/>
                <w:b/>
                <w:bCs/>
                <w:szCs w:val="28"/>
              </w:rPr>
              <w:lastRenderedPageBreak/>
              <w:t>年份</w:t>
            </w:r>
          </w:p>
        </w:tc>
        <w:tc>
          <w:tcPr>
            <w:tcW w:w="5959" w:type="dxa"/>
            <w:vMerge w:val="restart"/>
            <w:tcBorders>
              <w:top w:val="single" w:sz="4" w:space="0" w:color="auto"/>
              <w:left w:val="single" w:sz="4" w:space="0" w:color="auto"/>
              <w:bottom w:val="single" w:sz="4" w:space="0" w:color="auto"/>
              <w:right w:val="single" w:sz="4" w:space="0" w:color="auto"/>
            </w:tcBorders>
            <w:vAlign w:val="center"/>
          </w:tcPr>
          <w:p w14:paraId="4D50ACFC" w14:textId="77777777" w:rsidR="002133E3" w:rsidRDefault="00C22CFA">
            <w:pPr>
              <w:adjustRightInd w:val="0"/>
              <w:snapToGrid w:val="0"/>
              <w:jc w:val="center"/>
              <w:rPr>
                <w:rFonts w:ascii="Times New Roman" w:eastAsia="宋体" w:hAnsi="Times New Roman" w:cs="Times New Roman"/>
                <w:b/>
                <w:bCs/>
                <w:szCs w:val="28"/>
              </w:rPr>
            </w:pPr>
            <w:r>
              <w:rPr>
                <w:rFonts w:ascii="Times New Roman" w:eastAsia="宋体" w:hAnsi="Times New Roman" w:cs="Times New Roman"/>
                <w:b/>
                <w:bCs/>
                <w:szCs w:val="28"/>
              </w:rPr>
              <w:lastRenderedPageBreak/>
              <w:t>模拟气象要素</w:t>
            </w:r>
          </w:p>
        </w:tc>
      </w:tr>
      <w:tr w:rsidR="002133E3" w14:paraId="14FB9D3D" w14:textId="77777777">
        <w:trPr>
          <w:jc w:val="center"/>
        </w:trPr>
        <w:tc>
          <w:tcPr>
            <w:tcW w:w="1006" w:type="dxa"/>
            <w:tcBorders>
              <w:top w:val="single" w:sz="4" w:space="0" w:color="auto"/>
              <w:left w:val="single" w:sz="4" w:space="0" w:color="auto"/>
              <w:bottom w:val="single" w:sz="4" w:space="0" w:color="auto"/>
              <w:right w:val="single" w:sz="4" w:space="0" w:color="auto"/>
            </w:tcBorders>
            <w:vAlign w:val="center"/>
          </w:tcPr>
          <w:p w14:paraId="1A335934"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lastRenderedPageBreak/>
              <w:t>经度</w:t>
            </w:r>
          </w:p>
        </w:tc>
        <w:tc>
          <w:tcPr>
            <w:tcW w:w="899" w:type="dxa"/>
            <w:tcBorders>
              <w:top w:val="single" w:sz="4" w:space="0" w:color="auto"/>
              <w:left w:val="single" w:sz="4" w:space="0" w:color="auto"/>
              <w:bottom w:val="single" w:sz="4" w:space="0" w:color="auto"/>
              <w:right w:val="single" w:sz="4" w:space="0" w:color="auto"/>
            </w:tcBorders>
            <w:vAlign w:val="center"/>
          </w:tcPr>
          <w:p w14:paraId="3EF1E8A5" w14:textId="77777777" w:rsidR="002133E3" w:rsidRDefault="00C22CFA">
            <w:pPr>
              <w:ind w:leftChars="-50" w:left="-105" w:rightChars="-50" w:right="-105"/>
              <w:jc w:val="center"/>
              <w:rPr>
                <w:rFonts w:ascii="Times New Roman" w:eastAsia="宋体" w:hAnsi="Times New Roman" w:cs="Times New Roman"/>
                <w:b/>
                <w:bCs/>
                <w:szCs w:val="28"/>
              </w:rPr>
            </w:pPr>
            <w:r>
              <w:rPr>
                <w:rFonts w:ascii="Times New Roman" w:eastAsia="宋体" w:hAnsi="Times New Roman" w:cs="Times New Roman"/>
                <w:b/>
                <w:bCs/>
                <w:szCs w:val="28"/>
              </w:rPr>
              <w:t>纬度</w:t>
            </w:r>
          </w:p>
        </w:tc>
        <w:tc>
          <w:tcPr>
            <w:tcW w:w="1156" w:type="dxa"/>
            <w:vMerge/>
            <w:tcBorders>
              <w:top w:val="single" w:sz="4" w:space="0" w:color="auto"/>
              <w:left w:val="single" w:sz="4" w:space="0" w:color="auto"/>
              <w:bottom w:val="single" w:sz="4" w:space="0" w:color="auto"/>
              <w:right w:val="single" w:sz="4" w:space="0" w:color="auto"/>
            </w:tcBorders>
            <w:vAlign w:val="center"/>
          </w:tcPr>
          <w:p w14:paraId="6176EA17" w14:textId="77777777" w:rsidR="002133E3" w:rsidRDefault="002133E3">
            <w:pPr>
              <w:widowControl/>
              <w:jc w:val="left"/>
              <w:rPr>
                <w:rFonts w:ascii="Times New Roman" w:eastAsia="宋体" w:hAnsi="Times New Roman" w:cs="Times New Roman"/>
                <w:b/>
                <w:bCs/>
                <w:szCs w:val="28"/>
              </w:rPr>
            </w:pPr>
          </w:p>
        </w:tc>
        <w:tc>
          <w:tcPr>
            <w:tcW w:w="721" w:type="dxa"/>
            <w:vMerge/>
            <w:tcBorders>
              <w:top w:val="single" w:sz="4" w:space="0" w:color="auto"/>
              <w:left w:val="single" w:sz="4" w:space="0" w:color="auto"/>
              <w:bottom w:val="single" w:sz="4" w:space="0" w:color="auto"/>
              <w:right w:val="single" w:sz="4" w:space="0" w:color="auto"/>
            </w:tcBorders>
            <w:vAlign w:val="center"/>
          </w:tcPr>
          <w:p w14:paraId="29FF60A1" w14:textId="77777777" w:rsidR="002133E3" w:rsidRDefault="002133E3">
            <w:pPr>
              <w:widowControl/>
              <w:jc w:val="left"/>
              <w:rPr>
                <w:rFonts w:ascii="Times New Roman" w:eastAsia="宋体" w:hAnsi="Times New Roman" w:cs="Times New Roman"/>
                <w:b/>
                <w:bCs/>
                <w:szCs w:val="28"/>
              </w:rPr>
            </w:pPr>
          </w:p>
        </w:tc>
        <w:tc>
          <w:tcPr>
            <w:tcW w:w="5959" w:type="dxa"/>
            <w:vMerge/>
            <w:tcBorders>
              <w:top w:val="single" w:sz="4" w:space="0" w:color="auto"/>
              <w:left w:val="single" w:sz="4" w:space="0" w:color="auto"/>
              <w:bottom w:val="single" w:sz="4" w:space="0" w:color="auto"/>
              <w:right w:val="single" w:sz="4" w:space="0" w:color="auto"/>
            </w:tcBorders>
            <w:vAlign w:val="center"/>
          </w:tcPr>
          <w:p w14:paraId="452AC606" w14:textId="77777777" w:rsidR="002133E3" w:rsidRDefault="002133E3">
            <w:pPr>
              <w:widowControl/>
              <w:jc w:val="left"/>
              <w:rPr>
                <w:rFonts w:ascii="Times New Roman" w:eastAsia="宋体" w:hAnsi="Times New Roman" w:cs="Times New Roman"/>
                <w:b/>
                <w:bCs/>
                <w:szCs w:val="28"/>
              </w:rPr>
            </w:pPr>
          </w:p>
        </w:tc>
      </w:tr>
      <w:tr w:rsidR="002133E3" w14:paraId="683BF448" w14:textId="77777777">
        <w:trPr>
          <w:jc w:val="center"/>
        </w:trPr>
        <w:tc>
          <w:tcPr>
            <w:tcW w:w="1006" w:type="dxa"/>
            <w:tcBorders>
              <w:top w:val="single" w:sz="4" w:space="0" w:color="auto"/>
              <w:left w:val="single" w:sz="4" w:space="0" w:color="auto"/>
              <w:bottom w:val="single" w:sz="4" w:space="0" w:color="auto"/>
              <w:right w:val="single" w:sz="4" w:space="0" w:color="auto"/>
            </w:tcBorders>
            <w:vAlign w:val="center"/>
          </w:tcPr>
          <w:p w14:paraId="13CBE476" w14:textId="77777777" w:rsidR="002133E3" w:rsidRDefault="00C22CFA">
            <w:pPr>
              <w:adjustRightInd w:val="0"/>
              <w:snapToGrid w:val="0"/>
              <w:jc w:val="center"/>
              <w:rPr>
                <w:rFonts w:ascii="Times New Roman" w:eastAsia="宋体" w:hAnsi="Times New Roman" w:cs="Times New Roman"/>
                <w:szCs w:val="28"/>
              </w:rPr>
            </w:pPr>
            <w:r>
              <w:rPr>
                <w:rFonts w:ascii="Times New Roman" w:eastAsia="宋体" w:hAnsi="Times New Roman" w:cs="Times New Roman"/>
                <w:szCs w:val="28"/>
              </w:rPr>
              <w:t>119.5</w:t>
            </w:r>
          </w:p>
        </w:tc>
        <w:tc>
          <w:tcPr>
            <w:tcW w:w="899" w:type="dxa"/>
            <w:tcBorders>
              <w:top w:val="single" w:sz="4" w:space="0" w:color="auto"/>
              <w:left w:val="single" w:sz="4" w:space="0" w:color="auto"/>
              <w:bottom w:val="single" w:sz="4" w:space="0" w:color="auto"/>
              <w:right w:val="single" w:sz="4" w:space="0" w:color="auto"/>
            </w:tcBorders>
            <w:vAlign w:val="center"/>
          </w:tcPr>
          <w:p w14:paraId="1008384B" w14:textId="77777777" w:rsidR="002133E3" w:rsidRDefault="00C22CFA">
            <w:pPr>
              <w:adjustRightInd w:val="0"/>
              <w:snapToGrid w:val="0"/>
              <w:jc w:val="center"/>
              <w:rPr>
                <w:rFonts w:ascii="Times New Roman" w:eastAsia="宋体" w:hAnsi="Times New Roman" w:cs="Times New Roman"/>
                <w:szCs w:val="28"/>
              </w:rPr>
            </w:pPr>
            <w:r>
              <w:rPr>
                <w:rFonts w:ascii="Times New Roman" w:eastAsia="宋体" w:hAnsi="Times New Roman" w:cs="Times New Roman"/>
                <w:szCs w:val="28"/>
              </w:rPr>
              <w:t>34.75</w:t>
            </w:r>
          </w:p>
        </w:tc>
        <w:tc>
          <w:tcPr>
            <w:tcW w:w="1156" w:type="dxa"/>
            <w:tcBorders>
              <w:top w:val="single" w:sz="4" w:space="0" w:color="auto"/>
              <w:left w:val="single" w:sz="4" w:space="0" w:color="auto"/>
              <w:bottom w:val="single" w:sz="4" w:space="0" w:color="auto"/>
              <w:right w:val="single" w:sz="4" w:space="0" w:color="auto"/>
            </w:tcBorders>
            <w:vAlign w:val="center"/>
          </w:tcPr>
          <w:p w14:paraId="26645C48" w14:textId="77777777" w:rsidR="002133E3" w:rsidRDefault="00C22CFA">
            <w:pPr>
              <w:widowControl/>
              <w:jc w:val="center"/>
              <w:rPr>
                <w:rFonts w:ascii="Times New Roman" w:eastAsia="等线" w:hAnsi="Times New Roman" w:cs="Times New Roman"/>
                <w:color w:val="000000"/>
                <w:sz w:val="22"/>
              </w:rPr>
            </w:pPr>
            <w:r>
              <w:rPr>
                <w:rFonts w:ascii="Times New Roman" w:eastAsia="等线" w:hAnsi="Times New Roman" w:cs="Times New Roman"/>
                <w:color w:val="000000"/>
                <w:sz w:val="22"/>
              </w:rPr>
              <w:t>1530</w:t>
            </w:r>
          </w:p>
        </w:tc>
        <w:tc>
          <w:tcPr>
            <w:tcW w:w="721" w:type="dxa"/>
            <w:tcBorders>
              <w:top w:val="single" w:sz="4" w:space="0" w:color="auto"/>
              <w:left w:val="single" w:sz="4" w:space="0" w:color="auto"/>
              <w:bottom w:val="single" w:sz="4" w:space="0" w:color="auto"/>
              <w:right w:val="single" w:sz="4" w:space="0" w:color="auto"/>
            </w:tcBorders>
            <w:vAlign w:val="center"/>
          </w:tcPr>
          <w:p w14:paraId="7334F11F" w14:textId="77777777" w:rsidR="002133E3" w:rsidRDefault="00C22CFA">
            <w:pPr>
              <w:adjustRightInd w:val="0"/>
              <w:snapToGrid w:val="0"/>
              <w:jc w:val="center"/>
              <w:rPr>
                <w:rFonts w:ascii="Times New Roman" w:eastAsia="宋体" w:hAnsi="Times New Roman" w:cs="Times New Roman"/>
                <w:szCs w:val="28"/>
              </w:rPr>
            </w:pPr>
            <w:r>
              <w:rPr>
                <w:rFonts w:ascii="Times New Roman" w:eastAsia="宋体" w:hAnsi="Times New Roman" w:cs="Times New Roman"/>
                <w:szCs w:val="28"/>
              </w:rPr>
              <w:t>2020</w:t>
            </w:r>
          </w:p>
        </w:tc>
        <w:tc>
          <w:tcPr>
            <w:tcW w:w="5959" w:type="dxa"/>
            <w:tcBorders>
              <w:top w:val="single" w:sz="4" w:space="0" w:color="auto"/>
              <w:left w:val="single" w:sz="4" w:space="0" w:color="auto"/>
              <w:bottom w:val="single" w:sz="4" w:space="0" w:color="auto"/>
              <w:right w:val="single" w:sz="4" w:space="0" w:color="auto"/>
            </w:tcBorders>
            <w:vAlign w:val="center"/>
          </w:tcPr>
          <w:p w14:paraId="51133097" w14:textId="77777777" w:rsidR="002133E3" w:rsidRDefault="00C22CFA">
            <w:pPr>
              <w:adjustRightInd w:val="0"/>
              <w:snapToGrid w:val="0"/>
              <w:jc w:val="center"/>
              <w:rPr>
                <w:rFonts w:ascii="Times New Roman" w:eastAsia="宋体" w:hAnsi="Times New Roman" w:cs="Times New Roman"/>
                <w:szCs w:val="28"/>
              </w:rPr>
            </w:pPr>
            <w:r>
              <w:rPr>
                <w:rFonts w:ascii="Times New Roman" w:eastAsia="宋体" w:hAnsi="Times New Roman" w:cs="Times New Roman"/>
                <w:szCs w:val="28"/>
              </w:rPr>
              <w:t>一天早晚两次不同等压面上的气压、离地高度、干球温度，其中离地高度</w:t>
            </w:r>
            <w:r>
              <w:rPr>
                <w:rFonts w:ascii="Times New Roman" w:eastAsia="宋体" w:hAnsi="Times New Roman" w:cs="Times New Roman"/>
                <w:szCs w:val="28"/>
              </w:rPr>
              <w:t>3000m</w:t>
            </w:r>
            <w:r>
              <w:rPr>
                <w:rFonts w:ascii="Times New Roman" w:eastAsia="宋体" w:hAnsi="Times New Roman" w:cs="Times New Roman"/>
                <w:szCs w:val="28"/>
              </w:rPr>
              <w:t>以内的有效数据层数不少于</w:t>
            </w:r>
            <w:r>
              <w:rPr>
                <w:rFonts w:ascii="Times New Roman" w:eastAsia="宋体" w:hAnsi="Times New Roman" w:cs="Times New Roman"/>
                <w:szCs w:val="28"/>
              </w:rPr>
              <w:t>10</w:t>
            </w:r>
            <w:r>
              <w:rPr>
                <w:rFonts w:ascii="Times New Roman" w:eastAsia="宋体" w:hAnsi="Times New Roman" w:cs="Times New Roman"/>
                <w:szCs w:val="28"/>
              </w:rPr>
              <w:t>层。</w:t>
            </w:r>
          </w:p>
        </w:tc>
      </w:tr>
    </w:tbl>
    <w:p w14:paraId="5F176FC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地形数据</w:t>
      </w:r>
    </w:p>
    <w:p w14:paraId="21282EA4"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地形数据来源：环境影响评价</w:t>
      </w:r>
      <w:r>
        <w:rPr>
          <w:rFonts w:ascii="Times New Roman" w:eastAsia="宋体" w:hAnsi="Times New Roman" w:cs="Times New Roman"/>
          <w:sz w:val="28"/>
          <w:szCs w:val="28"/>
        </w:rPr>
        <w:t>GIS</w:t>
      </w:r>
      <w:r>
        <w:rPr>
          <w:rFonts w:ascii="Times New Roman" w:eastAsia="宋体" w:hAnsi="Times New Roman" w:cs="Times New Roman"/>
          <w:sz w:val="28"/>
          <w:szCs w:val="28"/>
        </w:rPr>
        <w:t>服务平台</w:t>
      </w:r>
    </w:p>
    <w:p w14:paraId="1D91FB09"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数据时间：</w:t>
      </w:r>
      <w:r>
        <w:rPr>
          <w:rFonts w:ascii="Times New Roman" w:eastAsia="宋体" w:hAnsi="Times New Roman" w:cs="Times New Roman"/>
          <w:sz w:val="28"/>
          <w:szCs w:val="28"/>
        </w:rPr>
        <w:t>2018</w:t>
      </w:r>
      <w:r>
        <w:rPr>
          <w:rFonts w:ascii="Times New Roman" w:eastAsia="宋体" w:hAnsi="Times New Roman" w:cs="Times New Roman"/>
          <w:sz w:val="28"/>
          <w:szCs w:val="28"/>
        </w:rPr>
        <w:t>年</w:t>
      </w:r>
      <w:r>
        <w:rPr>
          <w:rFonts w:ascii="Times New Roman" w:eastAsia="宋体" w:hAnsi="Times New Roman" w:cs="Times New Roman"/>
          <w:sz w:val="28"/>
          <w:szCs w:val="28"/>
        </w:rPr>
        <w:t>10</w:t>
      </w:r>
      <w:r>
        <w:rPr>
          <w:rFonts w:ascii="Times New Roman" w:eastAsia="宋体" w:hAnsi="Times New Roman" w:cs="Times New Roman"/>
          <w:sz w:val="28"/>
          <w:szCs w:val="28"/>
        </w:rPr>
        <w:t>月</w:t>
      </w:r>
      <w:r>
        <w:rPr>
          <w:rFonts w:ascii="Times New Roman" w:eastAsia="宋体" w:hAnsi="Times New Roman" w:cs="Times New Roman"/>
          <w:sz w:val="28"/>
          <w:szCs w:val="28"/>
        </w:rPr>
        <w:t>22</w:t>
      </w:r>
      <w:r>
        <w:rPr>
          <w:rFonts w:ascii="Times New Roman" w:eastAsia="宋体" w:hAnsi="Times New Roman" w:cs="Times New Roman"/>
          <w:sz w:val="28"/>
          <w:szCs w:val="28"/>
        </w:rPr>
        <w:t>日</w:t>
      </w:r>
    </w:p>
    <w:p w14:paraId="04583741"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格式：</w:t>
      </w:r>
      <w:r>
        <w:rPr>
          <w:rFonts w:ascii="Times New Roman" w:eastAsia="宋体" w:hAnsi="Times New Roman" w:cs="Times New Roman"/>
          <w:sz w:val="28"/>
          <w:szCs w:val="28"/>
        </w:rPr>
        <w:t>SRTM</w:t>
      </w:r>
    </w:p>
    <w:p w14:paraId="474C67D1"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范围：</w:t>
      </w:r>
      <w:r>
        <w:rPr>
          <w:rFonts w:ascii="Times New Roman" w:eastAsia="宋体" w:hAnsi="Times New Roman" w:cs="Times New Roman"/>
          <w:sz w:val="28"/>
          <w:szCs w:val="28"/>
        </w:rPr>
        <w:t>50Km×50Km</w:t>
      </w:r>
    </w:p>
    <w:p w14:paraId="5937A766" w14:textId="77777777" w:rsidR="002133E3" w:rsidRDefault="00C22CFA">
      <w:pPr>
        <w:spacing w:line="500" w:lineRule="exact"/>
        <w:ind w:firstLineChars="200" w:firstLine="560"/>
        <w:rPr>
          <w:rFonts w:ascii="Times New Roman" w:eastAsia="宋体" w:hAnsi="Times New Roman" w:cs="Times New Roman"/>
          <w:b/>
          <w:sz w:val="28"/>
          <w:szCs w:val="28"/>
        </w:rPr>
      </w:pPr>
      <w:r>
        <w:rPr>
          <w:rFonts w:ascii="Times New Roman" w:eastAsia="宋体" w:hAnsi="Times New Roman" w:cs="Times New Roman"/>
          <w:sz w:val="28"/>
          <w:szCs w:val="28"/>
        </w:rPr>
        <w:t>分辨率：</w:t>
      </w:r>
      <w:r>
        <w:rPr>
          <w:rFonts w:ascii="Times New Roman" w:eastAsia="宋体" w:hAnsi="Times New Roman" w:cs="Times New Roman"/>
          <w:sz w:val="28"/>
          <w:szCs w:val="28"/>
        </w:rPr>
        <w:t>90m</w:t>
      </w:r>
    </w:p>
    <w:p w14:paraId="471DD22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土地利用</w:t>
      </w:r>
    </w:p>
    <w:p w14:paraId="5E14747D" w14:textId="77777777" w:rsidR="002133E3" w:rsidRDefault="00C22CFA">
      <w:pPr>
        <w:spacing w:line="500" w:lineRule="exact"/>
        <w:ind w:firstLineChars="200" w:firstLine="560"/>
        <w:rPr>
          <w:rFonts w:ascii="Times New Roman" w:eastAsia="宋体" w:hAnsi="Times New Roman" w:cs="Times New Roman"/>
          <w:b/>
          <w:sz w:val="28"/>
          <w:szCs w:val="28"/>
        </w:rPr>
      </w:pPr>
      <w:r>
        <w:rPr>
          <w:rFonts w:ascii="Times New Roman" w:eastAsia="宋体" w:hAnsi="Times New Roman" w:cs="Times New Roman"/>
          <w:sz w:val="28"/>
          <w:szCs w:val="28"/>
        </w:rPr>
        <w:t>本项目位于江苏金茂源生物化工有限责任公司厂区内，评价范围内土地利用类型为工业用地。</w:t>
      </w:r>
    </w:p>
    <w:p w14:paraId="51C5DA7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bCs/>
          <w:sz w:val="28"/>
          <w:szCs w:val="28"/>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预测内容及评价要求</w:t>
      </w:r>
    </w:p>
    <w:p w14:paraId="2E5A04A2"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本项目排放</w:t>
      </w:r>
      <w:r>
        <w:rPr>
          <w:rFonts w:ascii="Times New Roman" w:eastAsia="宋体" w:hAnsi="Times New Roman" w:cs="Times New Roman"/>
          <w:sz w:val="28"/>
          <w:szCs w:val="28"/>
        </w:rPr>
        <w:t>SO</w:t>
      </w:r>
      <w:r>
        <w:rPr>
          <w:rFonts w:ascii="Times New Roman" w:eastAsia="宋体" w:hAnsi="Times New Roman" w:cs="Times New Roman"/>
          <w:sz w:val="28"/>
          <w:szCs w:val="28"/>
          <w:vertAlign w:val="subscript"/>
        </w:rPr>
        <w:t>2</w:t>
      </w:r>
      <w:r>
        <w:rPr>
          <w:rFonts w:ascii="Times New Roman" w:eastAsia="宋体" w:hAnsi="Times New Roman" w:cs="Times New Roman"/>
          <w:sz w:val="28"/>
          <w:szCs w:val="28"/>
        </w:rPr>
        <w:t>+NO</w:t>
      </w:r>
      <w:r>
        <w:rPr>
          <w:rFonts w:ascii="Times New Roman" w:eastAsia="宋体" w:hAnsi="Times New Roman" w:cs="Times New Roman"/>
          <w:sz w:val="28"/>
          <w:szCs w:val="28"/>
          <w:vertAlign w:val="subscript"/>
        </w:rPr>
        <w:t>X</w:t>
      </w:r>
      <w:r>
        <w:rPr>
          <w:rFonts w:ascii="Times New Roman" w:eastAsia="宋体" w:hAnsi="Times New Roman" w:cs="Times New Roman"/>
          <w:sz w:val="28"/>
          <w:szCs w:val="28"/>
        </w:rPr>
        <w:t>=2.79</w:t>
      </w:r>
      <w:r>
        <w:rPr>
          <w:rFonts w:ascii="Times New Roman" w:eastAsia="宋体" w:hAnsi="Times New Roman" w:cs="Times New Roman"/>
          <w:kern w:val="0"/>
          <w:sz w:val="28"/>
          <w:szCs w:val="28"/>
        </w:rPr>
        <w:t>t/a&lt;500t/a</w:t>
      </w:r>
      <w:r>
        <w:rPr>
          <w:rFonts w:ascii="Times New Roman" w:eastAsia="宋体" w:hAnsi="Times New Roman" w:cs="Times New Roman"/>
          <w:sz w:val="28"/>
          <w:szCs w:val="28"/>
        </w:rPr>
        <w:t>，不需要进行</w:t>
      </w:r>
      <w:r>
        <w:rPr>
          <w:rFonts w:ascii="Times New Roman" w:eastAsia="宋体" w:hAnsi="Times New Roman" w:cs="Times New Roman"/>
          <w:sz w:val="28"/>
          <w:szCs w:val="28"/>
        </w:rPr>
        <w:t>PM</w:t>
      </w:r>
      <w:r>
        <w:rPr>
          <w:rFonts w:ascii="Times New Roman" w:eastAsia="宋体" w:hAnsi="Times New Roman" w:cs="Times New Roman"/>
          <w:sz w:val="28"/>
          <w:szCs w:val="28"/>
          <w:vertAlign w:val="subscript"/>
        </w:rPr>
        <w:t>2.5</w:t>
      </w:r>
      <w:r>
        <w:rPr>
          <w:rFonts w:ascii="Times New Roman" w:eastAsia="宋体" w:hAnsi="Times New Roman" w:cs="Times New Roman"/>
          <w:sz w:val="28"/>
          <w:szCs w:val="28"/>
        </w:rPr>
        <w:t>的预测，本项目对主要污染物</w:t>
      </w:r>
      <w:r>
        <w:rPr>
          <w:rFonts w:ascii="Times New Roman" w:eastAsia="宋体" w:hAnsi="Times New Roman" w:cs="Times New Roman"/>
          <w:sz w:val="28"/>
          <w:szCs w:val="28"/>
        </w:rPr>
        <w:t>(</w:t>
      </w:r>
      <w:r>
        <w:rPr>
          <w:rFonts w:ascii="Times New Roman" w:eastAsia="宋体" w:hAnsi="Times New Roman" w:cs="Times New Roman"/>
          <w:color w:val="000000"/>
          <w:kern w:val="0"/>
          <w:sz w:val="28"/>
          <w:szCs w:val="28"/>
        </w:rPr>
        <w:t>SO</w:t>
      </w:r>
      <w:r>
        <w:rPr>
          <w:rFonts w:ascii="Times New Roman" w:eastAsia="宋体" w:hAnsi="Times New Roman" w:cs="Times New Roman"/>
          <w:color w:val="000000"/>
          <w:kern w:val="0"/>
          <w:sz w:val="28"/>
          <w:szCs w:val="28"/>
          <w:vertAlign w:val="subscript"/>
        </w:rPr>
        <w:t>2</w:t>
      </w:r>
      <w:r>
        <w:rPr>
          <w:rFonts w:ascii="Times New Roman" w:eastAsia="宋体" w:hAnsi="Times New Roman" w:cs="Times New Roman"/>
          <w:color w:val="000000"/>
          <w:kern w:val="0"/>
          <w:sz w:val="28"/>
          <w:szCs w:val="28"/>
        </w:rPr>
        <w:t>、</w:t>
      </w:r>
      <w:r>
        <w:rPr>
          <w:rFonts w:ascii="Times New Roman" w:eastAsia="宋体" w:hAnsi="Times New Roman" w:cs="Times New Roman"/>
          <w:color w:val="000000"/>
          <w:kern w:val="0"/>
          <w:sz w:val="28"/>
          <w:szCs w:val="28"/>
        </w:rPr>
        <w:t>CO</w:t>
      </w:r>
      <w:r>
        <w:rPr>
          <w:rFonts w:ascii="Times New Roman" w:eastAsia="宋体" w:hAnsi="Times New Roman" w:cs="Times New Roman"/>
          <w:sz w:val="28"/>
          <w:szCs w:val="28"/>
        </w:rPr>
        <w:t>、</w:t>
      </w:r>
      <w:r>
        <w:rPr>
          <w:rFonts w:ascii="Times New Roman" w:eastAsia="宋体" w:hAnsi="Times New Roman" w:cs="Times New Roman"/>
          <w:color w:val="000000"/>
          <w:kern w:val="0"/>
          <w:sz w:val="28"/>
          <w:szCs w:val="28"/>
        </w:rPr>
        <w:t>NOx</w:t>
      </w:r>
      <w:r>
        <w:rPr>
          <w:rFonts w:ascii="Times New Roman" w:eastAsia="宋体" w:hAnsi="Times New Roman" w:cs="Times New Roman"/>
          <w:sz w:val="28"/>
          <w:szCs w:val="28"/>
        </w:rPr>
        <w:t>及非甲烷总烃</w:t>
      </w:r>
      <w:r>
        <w:rPr>
          <w:rFonts w:ascii="Times New Roman" w:eastAsia="宋体" w:hAnsi="Times New Roman" w:cs="Times New Roman"/>
          <w:sz w:val="28"/>
          <w:szCs w:val="28"/>
        </w:rPr>
        <w:t>)</w:t>
      </w:r>
      <w:r>
        <w:rPr>
          <w:rFonts w:ascii="Times New Roman" w:eastAsia="宋体" w:hAnsi="Times New Roman" w:cs="Times New Roman"/>
          <w:sz w:val="28"/>
          <w:szCs w:val="28"/>
        </w:rPr>
        <w:t>进行预测分析。</w:t>
      </w:r>
    </w:p>
    <w:p w14:paraId="4E707DB0"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lang w:eastAsia="ja-JP"/>
        </w:rPr>
        <w:t>①</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项目正常排放条件下，预测环境空气保护目标和网格点主要污染物的短期浓度和长期浓度贡献值，评价其最大浓度占标率。</w:t>
      </w:r>
    </w:p>
    <w:p w14:paraId="4C92A3AD"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lang w:eastAsia="ja-JP"/>
        </w:rPr>
        <w:t>②</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项目正常排放条件下，叠加区域排放同类型污染物的拟建、在建项目，同步减去区域削减污染源的环境影响，预测评价叠加大气环境质量限期达标规划的目标浓度后，环境空气保护目标和网格点主要污染物保证率日平均质量浓度和年平均质量浓度的达标情况；对于项目排放的主要污染物仅有短期浓度限值的，评价其短期浓度叠加后的达标情况。</w:t>
      </w:r>
    </w:p>
    <w:p w14:paraId="309DFC6A" w14:textId="77777777" w:rsidR="002133E3" w:rsidRDefault="00C22CFA">
      <w:pPr>
        <w:adjustRightInd w:val="0"/>
        <w:snapToGrid w:val="0"/>
        <w:spacing w:line="500" w:lineRule="exact"/>
        <w:ind w:firstLineChars="200" w:firstLine="560"/>
        <w:rPr>
          <w:rFonts w:ascii="Times New Roman" w:eastAsia="宋体" w:hAnsi="Times New Roman" w:cs="Times New Roman"/>
          <w:b/>
          <w:szCs w:val="21"/>
        </w:rPr>
      </w:pPr>
      <w:r>
        <w:rPr>
          <w:rFonts w:ascii="宋体" w:eastAsia="宋体" w:hAnsi="宋体" w:cs="宋体" w:hint="eastAsia"/>
          <w:sz w:val="28"/>
          <w:szCs w:val="28"/>
          <w:lang w:eastAsia="ja-JP"/>
        </w:rPr>
        <w:t>③</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项目仓储物流项目，生产经营过程无工艺废水产生，因此生产过中不考虑非正常工况污染物排放。</w:t>
      </w:r>
    </w:p>
    <w:p w14:paraId="37E93CCF"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lang w:eastAsia="ja-JP"/>
        </w:rPr>
        <w:t>④</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计算项目大气环境防护距离。</w:t>
      </w:r>
    </w:p>
    <w:p w14:paraId="09CEA3EC"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预测情景详见表</w:t>
      </w:r>
      <w:r>
        <w:rPr>
          <w:rFonts w:ascii="Times New Roman" w:eastAsia="宋体" w:hAnsi="Times New Roman" w:cs="Times New Roman"/>
          <w:sz w:val="28"/>
          <w:szCs w:val="28"/>
        </w:rPr>
        <w:t>6.2-10</w:t>
      </w:r>
      <w:r>
        <w:rPr>
          <w:rFonts w:ascii="Times New Roman" w:eastAsia="宋体" w:hAnsi="Times New Roman" w:cs="Times New Roman"/>
          <w:sz w:val="28"/>
          <w:szCs w:val="28"/>
        </w:rPr>
        <w:t>。</w:t>
      </w:r>
    </w:p>
    <w:p w14:paraId="57735C97"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6.2-10 </w:t>
      </w:r>
      <w:r>
        <w:rPr>
          <w:rFonts w:ascii="Times New Roman" w:eastAsia="宋体" w:hAnsi="Times New Roman" w:cs="Times New Roman"/>
          <w:b/>
          <w:sz w:val="24"/>
          <w:szCs w:val="24"/>
        </w:rPr>
        <w:t>预测内容和评价要求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1963"/>
        <w:gridCol w:w="1145"/>
        <w:gridCol w:w="2406"/>
        <w:gridCol w:w="3210"/>
      </w:tblGrid>
      <w:tr w:rsidR="002133E3" w14:paraId="36276FBC" w14:textId="77777777">
        <w:trPr>
          <w:jc w:val="center"/>
        </w:trPr>
        <w:tc>
          <w:tcPr>
            <w:tcW w:w="573" w:type="pct"/>
            <w:tcBorders>
              <w:top w:val="single" w:sz="4" w:space="0" w:color="auto"/>
              <w:left w:val="single" w:sz="4" w:space="0" w:color="auto"/>
              <w:bottom w:val="single" w:sz="4" w:space="0" w:color="auto"/>
              <w:right w:val="single" w:sz="4" w:space="0" w:color="auto"/>
            </w:tcBorders>
            <w:vAlign w:val="center"/>
          </w:tcPr>
          <w:p w14:paraId="7FB3EE1C" w14:textId="77777777" w:rsidR="002133E3" w:rsidRDefault="00C22CFA">
            <w:pPr>
              <w:adjustRightInd w:val="0"/>
              <w:snapToGrid w:val="0"/>
              <w:jc w:val="center"/>
              <w:rPr>
                <w:rFonts w:ascii="Times New Roman" w:eastAsia="宋体" w:hAnsi="Times New Roman" w:cs="Times New Roman"/>
                <w:b/>
                <w:bCs/>
                <w:szCs w:val="24"/>
              </w:rPr>
            </w:pPr>
            <w:r>
              <w:rPr>
                <w:rFonts w:ascii="Times New Roman" w:eastAsia="宋体" w:hAnsi="Times New Roman" w:cs="Times New Roman"/>
                <w:b/>
                <w:bCs/>
                <w:szCs w:val="24"/>
              </w:rPr>
              <w:t>评价对象</w:t>
            </w:r>
          </w:p>
        </w:tc>
        <w:tc>
          <w:tcPr>
            <w:tcW w:w="996" w:type="pct"/>
            <w:tcBorders>
              <w:top w:val="single" w:sz="4" w:space="0" w:color="auto"/>
              <w:left w:val="single" w:sz="4" w:space="0" w:color="auto"/>
              <w:bottom w:val="single" w:sz="4" w:space="0" w:color="auto"/>
              <w:right w:val="single" w:sz="4" w:space="0" w:color="auto"/>
            </w:tcBorders>
            <w:vAlign w:val="center"/>
          </w:tcPr>
          <w:p w14:paraId="34C29F89" w14:textId="77777777" w:rsidR="002133E3" w:rsidRDefault="00C22CFA">
            <w:pPr>
              <w:adjustRightInd w:val="0"/>
              <w:snapToGrid w:val="0"/>
              <w:jc w:val="center"/>
              <w:rPr>
                <w:rFonts w:ascii="Times New Roman" w:eastAsia="宋体" w:hAnsi="Times New Roman" w:cs="Times New Roman"/>
                <w:b/>
                <w:bCs/>
                <w:szCs w:val="24"/>
              </w:rPr>
            </w:pPr>
            <w:r>
              <w:rPr>
                <w:rFonts w:ascii="Times New Roman" w:eastAsia="宋体" w:hAnsi="Times New Roman" w:cs="Times New Roman"/>
                <w:b/>
                <w:bCs/>
                <w:szCs w:val="24"/>
              </w:rPr>
              <w:t>污染源</w:t>
            </w:r>
          </w:p>
        </w:tc>
        <w:tc>
          <w:tcPr>
            <w:tcW w:w="581" w:type="pct"/>
            <w:tcBorders>
              <w:top w:val="single" w:sz="4" w:space="0" w:color="auto"/>
              <w:left w:val="single" w:sz="4" w:space="0" w:color="auto"/>
              <w:bottom w:val="single" w:sz="4" w:space="0" w:color="auto"/>
              <w:right w:val="single" w:sz="4" w:space="0" w:color="auto"/>
            </w:tcBorders>
            <w:vAlign w:val="center"/>
          </w:tcPr>
          <w:p w14:paraId="296F0BE2" w14:textId="77777777" w:rsidR="002133E3" w:rsidRDefault="00C22CFA">
            <w:pPr>
              <w:adjustRightInd w:val="0"/>
              <w:snapToGrid w:val="0"/>
              <w:jc w:val="center"/>
              <w:rPr>
                <w:rFonts w:ascii="Times New Roman" w:eastAsia="宋体" w:hAnsi="Times New Roman" w:cs="Times New Roman"/>
                <w:b/>
                <w:bCs/>
                <w:szCs w:val="24"/>
              </w:rPr>
            </w:pPr>
            <w:r>
              <w:rPr>
                <w:rFonts w:ascii="Times New Roman" w:eastAsia="宋体" w:hAnsi="Times New Roman" w:cs="Times New Roman"/>
                <w:b/>
                <w:bCs/>
                <w:szCs w:val="24"/>
              </w:rPr>
              <w:t>污染源排放形式</w:t>
            </w:r>
          </w:p>
        </w:tc>
        <w:tc>
          <w:tcPr>
            <w:tcW w:w="1221" w:type="pct"/>
            <w:tcBorders>
              <w:top w:val="single" w:sz="4" w:space="0" w:color="auto"/>
              <w:left w:val="single" w:sz="4" w:space="0" w:color="auto"/>
              <w:bottom w:val="single" w:sz="4" w:space="0" w:color="auto"/>
              <w:right w:val="single" w:sz="4" w:space="0" w:color="auto"/>
            </w:tcBorders>
            <w:vAlign w:val="center"/>
          </w:tcPr>
          <w:p w14:paraId="2427B106" w14:textId="77777777" w:rsidR="002133E3" w:rsidRDefault="00C22CFA">
            <w:pPr>
              <w:adjustRightInd w:val="0"/>
              <w:snapToGrid w:val="0"/>
              <w:jc w:val="center"/>
              <w:rPr>
                <w:rFonts w:ascii="Times New Roman" w:eastAsia="宋体" w:hAnsi="Times New Roman" w:cs="Times New Roman"/>
                <w:b/>
                <w:bCs/>
                <w:szCs w:val="24"/>
              </w:rPr>
            </w:pPr>
            <w:r>
              <w:rPr>
                <w:rFonts w:ascii="Times New Roman" w:eastAsia="宋体" w:hAnsi="Times New Roman" w:cs="Times New Roman"/>
                <w:b/>
                <w:bCs/>
                <w:szCs w:val="24"/>
              </w:rPr>
              <w:t>预测内容</w:t>
            </w:r>
          </w:p>
        </w:tc>
        <w:tc>
          <w:tcPr>
            <w:tcW w:w="1629" w:type="pct"/>
            <w:tcBorders>
              <w:top w:val="single" w:sz="4" w:space="0" w:color="auto"/>
              <w:left w:val="single" w:sz="4" w:space="0" w:color="auto"/>
              <w:bottom w:val="single" w:sz="4" w:space="0" w:color="auto"/>
              <w:right w:val="single" w:sz="4" w:space="0" w:color="auto"/>
            </w:tcBorders>
            <w:vAlign w:val="center"/>
          </w:tcPr>
          <w:p w14:paraId="21BEF771" w14:textId="77777777" w:rsidR="002133E3" w:rsidRDefault="00C22CFA">
            <w:pPr>
              <w:adjustRightInd w:val="0"/>
              <w:snapToGrid w:val="0"/>
              <w:jc w:val="center"/>
              <w:rPr>
                <w:rFonts w:ascii="Times New Roman" w:eastAsia="宋体" w:hAnsi="Times New Roman" w:cs="Times New Roman"/>
                <w:b/>
                <w:bCs/>
                <w:szCs w:val="24"/>
              </w:rPr>
            </w:pPr>
            <w:r>
              <w:rPr>
                <w:rFonts w:ascii="Times New Roman" w:eastAsia="宋体" w:hAnsi="Times New Roman" w:cs="Times New Roman"/>
                <w:b/>
                <w:bCs/>
                <w:szCs w:val="24"/>
              </w:rPr>
              <w:t>评价内容</w:t>
            </w:r>
          </w:p>
        </w:tc>
      </w:tr>
      <w:tr w:rsidR="002133E3" w14:paraId="74F0B842" w14:textId="77777777">
        <w:trPr>
          <w:jc w:val="center"/>
        </w:trPr>
        <w:tc>
          <w:tcPr>
            <w:tcW w:w="573" w:type="pct"/>
            <w:vMerge w:val="restart"/>
            <w:tcBorders>
              <w:top w:val="single" w:sz="4" w:space="0" w:color="auto"/>
              <w:left w:val="single" w:sz="4" w:space="0" w:color="auto"/>
              <w:bottom w:val="single" w:sz="4" w:space="0" w:color="auto"/>
              <w:right w:val="single" w:sz="4" w:space="0" w:color="auto"/>
            </w:tcBorders>
            <w:vAlign w:val="center"/>
          </w:tcPr>
          <w:p w14:paraId="21F6564A"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不达标区项目</w:t>
            </w:r>
          </w:p>
        </w:tc>
        <w:tc>
          <w:tcPr>
            <w:tcW w:w="996" w:type="pct"/>
            <w:tcBorders>
              <w:top w:val="single" w:sz="4" w:space="0" w:color="auto"/>
              <w:left w:val="single" w:sz="4" w:space="0" w:color="auto"/>
              <w:bottom w:val="single" w:sz="4" w:space="0" w:color="auto"/>
              <w:right w:val="single" w:sz="4" w:space="0" w:color="auto"/>
            </w:tcBorders>
            <w:vAlign w:val="center"/>
          </w:tcPr>
          <w:p w14:paraId="02592A4E"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新增污染源</w:t>
            </w:r>
          </w:p>
        </w:tc>
        <w:tc>
          <w:tcPr>
            <w:tcW w:w="581" w:type="pct"/>
            <w:tcBorders>
              <w:top w:val="single" w:sz="4" w:space="0" w:color="auto"/>
              <w:left w:val="single" w:sz="4" w:space="0" w:color="auto"/>
              <w:bottom w:val="single" w:sz="4" w:space="0" w:color="auto"/>
              <w:right w:val="single" w:sz="4" w:space="0" w:color="auto"/>
            </w:tcBorders>
            <w:vAlign w:val="center"/>
          </w:tcPr>
          <w:p w14:paraId="31B8A883"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正常排放</w:t>
            </w:r>
          </w:p>
        </w:tc>
        <w:tc>
          <w:tcPr>
            <w:tcW w:w="1221" w:type="pct"/>
            <w:tcBorders>
              <w:top w:val="single" w:sz="4" w:space="0" w:color="auto"/>
              <w:left w:val="single" w:sz="4" w:space="0" w:color="auto"/>
              <w:bottom w:val="single" w:sz="4" w:space="0" w:color="auto"/>
              <w:right w:val="single" w:sz="4" w:space="0" w:color="auto"/>
            </w:tcBorders>
            <w:vAlign w:val="center"/>
          </w:tcPr>
          <w:p w14:paraId="14256995"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短期浓度</w:t>
            </w:r>
            <w:r>
              <w:rPr>
                <w:rFonts w:ascii="Times New Roman" w:eastAsia="宋体" w:hAnsi="Times New Roman" w:cs="Times New Roman"/>
                <w:szCs w:val="24"/>
              </w:rPr>
              <w:t>(</w:t>
            </w:r>
            <w:r>
              <w:rPr>
                <w:rFonts w:ascii="Times New Roman" w:eastAsia="宋体" w:hAnsi="Times New Roman" w:cs="Times New Roman"/>
                <w:szCs w:val="24"/>
              </w:rPr>
              <w:t>小时平均浓度、</w:t>
            </w:r>
            <w:r>
              <w:rPr>
                <w:rFonts w:ascii="Times New Roman" w:eastAsia="宋体" w:hAnsi="Times New Roman" w:cs="Times New Roman"/>
                <w:szCs w:val="24"/>
              </w:rPr>
              <w:t>24</w:t>
            </w:r>
            <w:r>
              <w:rPr>
                <w:rFonts w:ascii="Times New Roman" w:eastAsia="宋体" w:hAnsi="Times New Roman" w:cs="Times New Roman"/>
                <w:szCs w:val="24"/>
              </w:rPr>
              <w:t>小时平均浓度</w:t>
            </w:r>
            <w:r>
              <w:rPr>
                <w:rFonts w:ascii="Times New Roman" w:eastAsia="宋体" w:hAnsi="Times New Roman" w:cs="Times New Roman"/>
                <w:szCs w:val="24"/>
              </w:rPr>
              <w:t>)</w:t>
            </w:r>
            <w:r>
              <w:rPr>
                <w:rFonts w:ascii="Times New Roman" w:eastAsia="宋体" w:hAnsi="Times New Roman" w:cs="Times New Roman"/>
                <w:szCs w:val="24"/>
              </w:rPr>
              <w:t>长期浓度</w:t>
            </w:r>
            <w:r>
              <w:rPr>
                <w:rFonts w:ascii="Times New Roman" w:eastAsia="宋体" w:hAnsi="Times New Roman" w:cs="Times New Roman"/>
                <w:szCs w:val="24"/>
              </w:rPr>
              <w:t>(</w:t>
            </w:r>
            <w:r>
              <w:rPr>
                <w:rFonts w:ascii="Times New Roman" w:eastAsia="宋体" w:hAnsi="Times New Roman" w:cs="Times New Roman"/>
                <w:szCs w:val="24"/>
              </w:rPr>
              <w:t>年平均浓度</w:t>
            </w:r>
            <w:r>
              <w:rPr>
                <w:rFonts w:ascii="Times New Roman" w:eastAsia="宋体" w:hAnsi="Times New Roman" w:cs="Times New Roman"/>
                <w:szCs w:val="24"/>
              </w:rPr>
              <w:t>)</w:t>
            </w:r>
          </w:p>
        </w:tc>
        <w:tc>
          <w:tcPr>
            <w:tcW w:w="1629" w:type="pct"/>
            <w:tcBorders>
              <w:top w:val="single" w:sz="4" w:space="0" w:color="auto"/>
              <w:left w:val="single" w:sz="4" w:space="0" w:color="auto"/>
              <w:bottom w:val="single" w:sz="4" w:space="0" w:color="auto"/>
              <w:right w:val="single" w:sz="4" w:space="0" w:color="auto"/>
            </w:tcBorders>
            <w:vAlign w:val="center"/>
          </w:tcPr>
          <w:p w14:paraId="7A504840"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最大浓度占标率</w:t>
            </w:r>
          </w:p>
        </w:tc>
      </w:tr>
      <w:tr w:rsidR="002133E3" w14:paraId="41670605" w14:textId="77777777">
        <w:trPr>
          <w:jc w:val="center"/>
        </w:trPr>
        <w:tc>
          <w:tcPr>
            <w:tcW w:w="573" w:type="pct"/>
            <w:vMerge/>
            <w:tcBorders>
              <w:top w:val="single" w:sz="4" w:space="0" w:color="auto"/>
              <w:left w:val="single" w:sz="4" w:space="0" w:color="auto"/>
              <w:bottom w:val="single" w:sz="4" w:space="0" w:color="auto"/>
              <w:right w:val="single" w:sz="4" w:space="0" w:color="auto"/>
            </w:tcBorders>
            <w:vAlign w:val="center"/>
          </w:tcPr>
          <w:p w14:paraId="51D9A34D" w14:textId="77777777" w:rsidR="002133E3" w:rsidRDefault="002133E3">
            <w:pPr>
              <w:widowControl/>
              <w:jc w:val="center"/>
              <w:rPr>
                <w:rFonts w:ascii="Times New Roman" w:eastAsia="宋体" w:hAnsi="Times New Roman" w:cs="Times New Roman"/>
                <w:szCs w:val="24"/>
              </w:rPr>
            </w:pPr>
          </w:p>
        </w:tc>
        <w:tc>
          <w:tcPr>
            <w:tcW w:w="996" w:type="pct"/>
            <w:tcBorders>
              <w:top w:val="single" w:sz="4" w:space="0" w:color="auto"/>
              <w:left w:val="single" w:sz="4" w:space="0" w:color="auto"/>
              <w:bottom w:val="single" w:sz="4" w:space="0" w:color="auto"/>
              <w:right w:val="single" w:sz="4" w:space="0" w:color="auto"/>
            </w:tcBorders>
            <w:vAlign w:val="center"/>
          </w:tcPr>
          <w:p w14:paraId="255AAD65"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新增污染源</w:t>
            </w:r>
            <w:r>
              <w:rPr>
                <w:rFonts w:ascii="Times New Roman" w:eastAsia="宋体" w:hAnsi="Times New Roman" w:cs="Times New Roman"/>
                <w:szCs w:val="24"/>
              </w:rPr>
              <w:t>-</w:t>
            </w:r>
            <w:r>
              <w:rPr>
                <w:rFonts w:ascii="Times New Roman" w:eastAsia="宋体" w:hAnsi="Times New Roman" w:cs="Times New Roman"/>
                <w:szCs w:val="24"/>
              </w:rPr>
              <w:t>区域削减污染源</w:t>
            </w:r>
          </w:p>
        </w:tc>
        <w:tc>
          <w:tcPr>
            <w:tcW w:w="581" w:type="pct"/>
            <w:tcBorders>
              <w:top w:val="single" w:sz="4" w:space="0" w:color="auto"/>
              <w:left w:val="single" w:sz="4" w:space="0" w:color="auto"/>
              <w:bottom w:val="single" w:sz="4" w:space="0" w:color="auto"/>
              <w:right w:val="single" w:sz="4" w:space="0" w:color="auto"/>
            </w:tcBorders>
            <w:vAlign w:val="center"/>
          </w:tcPr>
          <w:p w14:paraId="22BACF2A"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正常排放</w:t>
            </w:r>
          </w:p>
        </w:tc>
        <w:tc>
          <w:tcPr>
            <w:tcW w:w="1221" w:type="pct"/>
            <w:tcBorders>
              <w:top w:val="single" w:sz="4" w:space="0" w:color="auto"/>
              <w:left w:val="single" w:sz="4" w:space="0" w:color="auto"/>
              <w:bottom w:val="single" w:sz="4" w:space="0" w:color="auto"/>
              <w:right w:val="single" w:sz="4" w:space="0" w:color="auto"/>
            </w:tcBorders>
            <w:vAlign w:val="center"/>
          </w:tcPr>
          <w:p w14:paraId="73AA3F11"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短期浓度</w:t>
            </w:r>
            <w:r>
              <w:rPr>
                <w:rFonts w:ascii="Times New Roman" w:eastAsia="宋体" w:hAnsi="Times New Roman" w:cs="Times New Roman"/>
                <w:szCs w:val="24"/>
              </w:rPr>
              <w:t>(24</w:t>
            </w:r>
            <w:r>
              <w:rPr>
                <w:rFonts w:ascii="Times New Roman" w:eastAsia="宋体" w:hAnsi="Times New Roman" w:cs="Times New Roman"/>
                <w:szCs w:val="24"/>
              </w:rPr>
              <w:t>小时平均浓度</w:t>
            </w:r>
            <w:r>
              <w:rPr>
                <w:rFonts w:ascii="Times New Roman" w:eastAsia="宋体" w:hAnsi="Times New Roman" w:cs="Times New Roman"/>
                <w:szCs w:val="24"/>
              </w:rPr>
              <w:t>)</w:t>
            </w:r>
            <w:r>
              <w:rPr>
                <w:rFonts w:ascii="Times New Roman" w:eastAsia="宋体" w:hAnsi="Times New Roman" w:cs="Times New Roman"/>
                <w:szCs w:val="24"/>
              </w:rPr>
              <w:t>、长期浓度</w:t>
            </w:r>
            <w:r>
              <w:rPr>
                <w:rFonts w:ascii="Times New Roman" w:eastAsia="宋体" w:hAnsi="Times New Roman" w:cs="Times New Roman"/>
                <w:szCs w:val="24"/>
              </w:rPr>
              <w:t>(</w:t>
            </w:r>
            <w:r>
              <w:rPr>
                <w:rFonts w:ascii="Times New Roman" w:eastAsia="宋体" w:hAnsi="Times New Roman" w:cs="Times New Roman"/>
                <w:szCs w:val="24"/>
              </w:rPr>
              <w:t>年平均浓度</w:t>
            </w:r>
            <w:r>
              <w:rPr>
                <w:rFonts w:ascii="Times New Roman" w:eastAsia="宋体" w:hAnsi="Times New Roman" w:cs="Times New Roman"/>
                <w:szCs w:val="24"/>
              </w:rPr>
              <w:t>)</w:t>
            </w:r>
          </w:p>
        </w:tc>
        <w:tc>
          <w:tcPr>
            <w:tcW w:w="1629" w:type="pct"/>
            <w:tcBorders>
              <w:top w:val="single" w:sz="4" w:space="0" w:color="auto"/>
              <w:left w:val="single" w:sz="4" w:space="0" w:color="auto"/>
              <w:bottom w:val="single" w:sz="4" w:space="0" w:color="auto"/>
              <w:right w:val="single" w:sz="4" w:space="0" w:color="auto"/>
            </w:tcBorders>
            <w:vAlign w:val="center"/>
          </w:tcPr>
          <w:p w14:paraId="654273F2"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叠加达标规划目标浓度后保证率日平均质量浓度和年平均质量浓度的占标率，特征因子短期浓度达标情况评价年平均质量浓度变化率</w:t>
            </w:r>
          </w:p>
        </w:tc>
      </w:tr>
      <w:tr w:rsidR="002133E3" w14:paraId="44FE73D2" w14:textId="77777777">
        <w:trPr>
          <w:jc w:val="center"/>
        </w:trPr>
        <w:tc>
          <w:tcPr>
            <w:tcW w:w="573" w:type="pct"/>
            <w:tcBorders>
              <w:top w:val="single" w:sz="4" w:space="0" w:color="auto"/>
              <w:left w:val="single" w:sz="4" w:space="0" w:color="auto"/>
              <w:bottom w:val="single" w:sz="4" w:space="0" w:color="auto"/>
              <w:right w:val="single" w:sz="4" w:space="0" w:color="auto"/>
            </w:tcBorders>
            <w:vAlign w:val="center"/>
          </w:tcPr>
          <w:p w14:paraId="285ED85E"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大气环境防护距离</w:t>
            </w:r>
          </w:p>
        </w:tc>
        <w:tc>
          <w:tcPr>
            <w:tcW w:w="996" w:type="pct"/>
            <w:tcBorders>
              <w:top w:val="single" w:sz="4" w:space="0" w:color="auto"/>
              <w:left w:val="single" w:sz="4" w:space="0" w:color="auto"/>
              <w:bottom w:val="single" w:sz="4" w:space="0" w:color="auto"/>
              <w:right w:val="single" w:sz="4" w:space="0" w:color="auto"/>
            </w:tcBorders>
            <w:vAlign w:val="center"/>
          </w:tcPr>
          <w:p w14:paraId="599F4CDD"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新增污染源</w:t>
            </w:r>
            <w:r>
              <w:rPr>
                <w:rFonts w:ascii="Times New Roman" w:eastAsia="宋体" w:hAnsi="Times New Roman" w:cs="Times New Roman"/>
                <w:szCs w:val="24"/>
              </w:rPr>
              <w:t>+</w:t>
            </w:r>
            <w:r>
              <w:rPr>
                <w:rFonts w:ascii="Times New Roman" w:eastAsia="宋体" w:hAnsi="Times New Roman" w:cs="Times New Roman"/>
                <w:szCs w:val="24"/>
              </w:rPr>
              <w:t>项目全厂现有污染源</w:t>
            </w:r>
          </w:p>
        </w:tc>
        <w:tc>
          <w:tcPr>
            <w:tcW w:w="581" w:type="pct"/>
            <w:tcBorders>
              <w:top w:val="single" w:sz="4" w:space="0" w:color="auto"/>
              <w:left w:val="single" w:sz="4" w:space="0" w:color="auto"/>
              <w:bottom w:val="single" w:sz="4" w:space="0" w:color="auto"/>
              <w:right w:val="single" w:sz="4" w:space="0" w:color="auto"/>
            </w:tcBorders>
            <w:vAlign w:val="center"/>
          </w:tcPr>
          <w:p w14:paraId="4F549566"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正常排放</w:t>
            </w:r>
          </w:p>
        </w:tc>
        <w:tc>
          <w:tcPr>
            <w:tcW w:w="1221" w:type="pct"/>
            <w:tcBorders>
              <w:top w:val="single" w:sz="4" w:space="0" w:color="auto"/>
              <w:left w:val="single" w:sz="4" w:space="0" w:color="auto"/>
              <w:bottom w:val="single" w:sz="4" w:space="0" w:color="auto"/>
              <w:right w:val="single" w:sz="4" w:space="0" w:color="auto"/>
            </w:tcBorders>
            <w:vAlign w:val="center"/>
          </w:tcPr>
          <w:p w14:paraId="7AF43F18"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1</w:t>
            </w:r>
            <w:r>
              <w:rPr>
                <w:rFonts w:ascii="Times New Roman" w:eastAsia="宋体" w:hAnsi="Times New Roman" w:cs="Times New Roman"/>
                <w:szCs w:val="24"/>
              </w:rPr>
              <w:t>小时平均质量浓度</w:t>
            </w:r>
          </w:p>
        </w:tc>
        <w:tc>
          <w:tcPr>
            <w:tcW w:w="1629" w:type="pct"/>
            <w:tcBorders>
              <w:top w:val="single" w:sz="4" w:space="0" w:color="auto"/>
              <w:left w:val="single" w:sz="4" w:space="0" w:color="auto"/>
              <w:bottom w:val="single" w:sz="4" w:space="0" w:color="auto"/>
              <w:right w:val="single" w:sz="4" w:space="0" w:color="auto"/>
            </w:tcBorders>
            <w:vAlign w:val="center"/>
          </w:tcPr>
          <w:p w14:paraId="07258225" w14:textId="77777777" w:rsidR="002133E3" w:rsidRDefault="00C22CFA">
            <w:pPr>
              <w:adjustRightInd w:val="0"/>
              <w:snapToGrid w:val="0"/>
              <w:jc w:val="center"/>
              <w:rPr>
                <w:rFonts w:ascii="Times New Roman" w:eastAsia="宋体" w:hAnsi="Times New Roman" w:cs="Times New Roman"/>
                <w:szCs w:val="24"/>
              </w:rPr>
            </w:pPr>
            <w:r>
              <w:rPr>
                <w:rFonts w:ascii="Times New Roman" w:eastAsia="宋体" w:hAnsi="Times New Roman" w:cs="Times New Roman"/>
                <w:szCs w:val="24"/>
              </w:rPr>
              <w:t>大气环境防护距离</w:t>
            </w:r>
          </w:p>
        </w:tc>
      </w:tr>
    </w:tbl>
    <w:p w14:paraId="70AE29D6"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预测结果及评价</w:t>
      </w:r>
    </w:p>
    <w:p w14:paraId="6487DBD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正常排放情况下项目贡献值分析</w:t>
      </w:r>
    </w:p>
    <w:p w14:paraId="4B08E27A"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在</w:t>
      </w:r>
      <w:r>
        <w:rPr>
          <w:rFonts w:ascii="Times New Roman" w:eastAsia="宋体" w:hAnsi="Times New Roman" w:cs="Times New Roman"/>
          <w:kern w:val="0"/>
          <w:sz w:val="28"/>
          <w:szCs w:val="28"/>
        </w:rPr>
        <w:t>2020</w:t>
      </w:r>
      <w:r>
        <w:rPr>
          <w:rFonts w:ascii="Times New Roman" w:eastAsia="宋体" w:hAnsi="Times New Roman" w:cs="Times New Roman"/>
          <w:kern w:val="0"/>
          <w:sz w:val="28"/>
          <w:szCs w:val="28"/>
        </w:rPr>
        <w:t>年逐日逐时气象条件下，计算本项目正常排放的废气污染物对环境空气保护目标和网格点的贡献值，并计算其占标率情况。具体结果详见表</w:t>
      </w:r>
      <w:r>
        <w:rPr>
          <w:rFonts w:ascii="Times New Roman" w:eastAsia="宋体" w:hAnsi="Times New Roman" w:cs="Times New Roman"/>
          <w:kern w:val="0"/>
          <w:sz w:val="28"/>
          <w:szCs w:val="28"/>
        </w:rPr>
        <w:t>6.2-11</w:t>
      </w:r>
      <w:r>
        <w:rPr>
          <w:rFonts w:ascii="Times New Roman" w:eastAsia="宋体" w:hAnsi="Times New Roman" w:cs="Times New Roman"/>
          <w:kern w:val="0"/>
          <w:sz w:val="28"/>
          <w:szCs w:val="28"/>
        </w:rPr>
        <w:t>。</w:t>
      </w:r>
    </w:p>
    <w:p w14:paraId="2EE53E55"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6.2-11 </w:t>
      </w:r>
      <w:r>
        <w:rPr>
          <w:rFonts w:ascii="Times New Roman" w:eastAsia="宋体" w:hAnsi="Times New Roman" w:cs="Times New Roman"/>
          <w:b/>
          <w:sz w:val="24"/>
          <w:szCs w:val="24"/>
        </w:rPr>
        <w:t>本项目贡献质量浓度预测结果表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340"/>
        <w:gridCol w:w="1559"/>
        <w:gridCol w:w="1985"/>
        <w:gridCol w:w="1409"/>
        <w:gridCol w:w="1050"/>
        <w:gridCol w:w="1050"/>
      </w:tblGrid>
      <w:tr w:rsidR="002133E3" w14:paraId="7ABF3A58" w14:textId="77777777">
        <w:trPr>
          <w:trHeight w:val="315"/>
          <w:jc w:val="center"/>
        </w:trPr>
        <w:tc>
          <w:tcPr>
            <w:tcW w:w="741" w:type="pct"/>
            <w:shd w:val="clear" w:color="auto" w:fill="auto"/>
            <w:noWrap/>
            <w:vAlign w:val="center"/>
          </w:tcPr>
          <w:p w14:paraId="2B951ED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680" w:type="pct"/>
            <w:shd w:val="clear" w:color="auto" w:fill="auto"/>
            <w:noWrap/>
            <w:vAlign w:val="center"/>
          </w:tcPr>
          <w:p w14:paraId="12CC0CE6"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预测点</w:t>
            </w:r>
          </w:p>
        </w:tc>
        <w:tc>
          <w:tcPr>
            <w:tcW w:w="791" w:type="pct"/>
            <w:shd w:val="clear" w:color="auto" w:fill="auto"/>
            <w:noWrap/>
            <w:vAlign w:val="center"/>
          </w:tcPr>
          <w:p w14:paraId="3917864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平均时段</w:t>
            </w:r>
          </w:p>
        </w:tc>
        <w:tc>
          <w:tcPr>
            <w:tcW w:w="1007" w:type="pct"/>
            <w:shd w:val="clear" w:color="auto" w:fill="auto"/>
            <w:noWrap/>
            <w:vAlign w:val="center"/>
          </w:tcPr>
          <w:p w14:paraId="568750DF"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最大贡献值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715" w:type="pct"/>
            <w:shd w:val="clear" w:color="auto" w:fill="auto"/>
            <w:noWrap/>
            <w:vAlign w:val="center"/>
          </w:tcPr>
          <w:p w14:paraId="2036574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出现时间</w:t>
            </w:r>
          </w:p>
        </w:tc>
        <w:tc>
          <w:tcPr>
            <w:tcW w:w="533" w:type="pct"/>
            <w:shd w:val="clear" w:color="auto" w:fill="auto"/>
            <w:noWrap/>
            <w:vAlign w:val="center"/>
          </w:tcPr>
          <w:p w14:paraId="5FBDFCB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占标率</w:t>
            </w:r>
            <w:r>
              <w:rPr>
                <w:rFonts w:ascii="Times New Roman" w:eastAsia="宋体" w:hAnsi="Times New Roman" w:cs="Times New Roman"/>
                <w:b/>
                <w:bCs/>
                <w:kern w:val="0"/>
                <w:szCs w:val="21"/>
              </w:rPr>
              <w:t>%</w:t>
            </w:r>
          </w:p>
        </w:tc>
        <w:tc>
          <w:tcPr>
            <w:tcW w:w="533" w:type="pct"/>
            <w:shd w:val="clear" w:color="auto" w:fill="auto"/>
            <w:noWrap/>
            <w:vAlign w:val="center"/>
          </w:tcPr>
          <w:p w14:paraId="16955A8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达标情况</w:t>
            </w:r>
          </w:p>
        </w:tc>
      </w:tr>
      <w:tr w:rsidR="002133E3" w14:paraId="3CB16F1D" w14:textId="77777777">
        <w:trPr>
          <w:trHeight w:val="285"/>
          <w:jc w:val="center"/>
        </w:trPr>
        <w:tc>
          <w:tcPr>
            <w:tcW w:w="741" w:type="pct"/>
            <w:vMerge w:val="restart"/>
            <w:shd w:val="clear" w:color="auto" w:fill="auto"/>
            <w:noWrap/>
            <w:vAlign w:val="center"/>
          </w:tcPr>
          <w:p w14:paraId="152E367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color w:val="000000"/>
                <w:kern w:val="0"/>
                <w:szCs w:val="21"/>
              </w:rPr>
              <w:t>PM</w:t>
            </w:r>
            <w:r>
              <w:rPr>
                <w:rFonts w:ascii="Times New Roman" w:eastAsia="宋体" w:hAnsi="Times New Roman" w:cs="Times New Roman"/>
                <w:color w:val="000000"/>
                <w:kern w:val="0"/>
                <w:szCs w:val="21"/>
                <w:vertAlign w:val="subscript"/>
              </w:rPr>
              <w:t>10</w:t>
            </w:r>
          </w:p>
        </w:tc>
        <w:tc>
          <w:tcPr>
            <w:tcW w:w="680" w:type="pct"/>
            <w:vMerge w:val="restart"/>
            <w:shd w:val="clear" w:color="auto" w:fill="auto"/>
            <w:noWrap/>
            <w:vAlign w:val="center"/>
          </w:tcPr>
          <w:p w14:paraId="28ECF7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791" w:type="pct"/>
            <w:shd w:val="clear" w:color="auto" w:fill="auto"/>
            <w:noWrap/>
          </w:tcPr>
          <w:p w14:paraId="25EF56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69D070B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0.0107</w:t>
            </w:r>
          </w:p>
        </w:tc>
        <w:tc>
          <w:tcPr>
            <w:tcW w:w="715" w:type="pct"/>
            <w:shd w:val="clear" w:color="auto" w:fill="auto"/>
            <w:noWrap/>
            <w:vAlign w:val="bottom"/>
          </w:tcPr>
          <w:p w14:paraId="7C811B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20090204</w:t>
            </w:r>
          </w:p>
        </w:tc>
        <w:tc>
          <w:tcPr>
            <w:tcW w:w="533" w:type="pct"/>
            <w:shd w:val="clear" w:color="auto" w:fill="auto"/>
            <w:noWrap/>
            <w:vAlign w:val="bottom"/>
          </w:tcPr>
          <w:p w14:paraId="7FFF99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0.45</w:t>
            </w:r>
          </w:p>
        </w:tc>
        <w:tc>
          <w:tcPr>
            <w:tcW w:w="533" w:type="pct"/>
            <w:shd w:val="clear" w:color="auto" w:fill="auto"/>
            <w:noWrap/>
            <w:vAlign w:val="center"/>
          </w:tcPr>
          <w:p w14:paraId="0BB8696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5742595E" w14:textId="77777777">
        <w:trPr>
          <w:trHeight w:val="285"/>
          <w:jc w:val="center"/>
        </w:trPr>
        <w:tc>
          <w:tcPr>
            <w:tcW w:w="741" w:type="pct"/>
            <w:vMerge/>
            <w:shd w:val="clear" w:color="auto" w:fill="auto"/>
            <w:noWrap/>
            <w:vAlign w:val="center"/>
          </w:tcPr>
          <w:p w14:paraId="7E007051" w14:textId="77777777" w:rsidR="002133E3" w:rsidRDefault="002133E3">
            <w:pPr>
              <w:widowControl/>
              <w:jc w:val="center"/>
              <w:rPr>
                <w:rFonts w:ascii="Times New Roman" w:eastAsia="宋体" w:hAnsi="Times New Roman" w:cs="Times New Roman"/>
                <w:kern w:val="0"/>
                <w:szCs w:val="21"/>
              </w:rPr>
            </w:pPr>
          </w:p>
        </w:tc>
        <w:tc>
          <w:tcPr>
            <w:tcW w:w="680" w:type="pct"/>
            <w:vMerge/>
            <w:shd w:val="clear" w:color="auto" w:fill="auto"/>
            <w:noWrap/>
            <w:vAlign w:val="center"/>
          </w:tcPr>
          <w:p w14:paraId="71E1C9E2"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7E0AEA0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03C1AD7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0.0008</w:t>
            </w:r>
          </w:p>
        </w:tc>
        <w:tc>
          <w:tcPr>
            <w:tcW w:w="715" w:type="pct"/>
            <w:shd w:val="clear" w:color="auto" w:fill="auto"/>
            <w:noWrap/>
            <w:vAlign w:val="bottom"/>
          </w:tcPr>
          <w:p w14:paraId="3827B53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200902</w:t>
            </w:r>
          </w:p>
        </w:tc>
        <w:tc>
          <w:tcPr>
            <w:tcW w:w="533" w:type="pct"/>
            <w:shd w:val="clear" w:color="auto" w:fill="auto"/>
            <w:noWrap/>
            <w:vAlign w:val="bottom"/>
          </w:tcPr>
          <w:p w14:paraId="6660182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0.15</w:t>
            </w:r>
          </w:p>
        </w:tc>
        <w:tc>
          <w:tcPr>
            <w:tcW w:w="533" w:type="pct"/>
            <w:shd w:val="clear" w:color="auto" w:fill="auto"/>
            <w:noWrap/>
            <w:vAlign w:val="center"/>
          </w:tcPr>
          <w:p w14:paraId="0F8AB4A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13EF5929" w14:textId="77777777">
        <w:trPr>
          <w:trHeight w:val="285"/>
          <w:jc w:val="center"/>
        </w:trPr>
        <w:tc>
          <w:tcPr>
            <w:tcW w:w="741" w:type="pct"/>
            <w:vMerge/>
            <w:vAlign w:val="center"/>
          </w:tcPr>
          <w:p w14:paraId="276B430B"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58F7B2F1" w14:textId="77777777" w:rsidR="002133E3" w:rsidRDefault="002133E3">
            <w:pPr>
              <w:widowControl/>
              <w:jc w:val="left"/>
              <w:rPr>
                <w:rFonts w:ascii="Times New Roman" w:eastAsia="宋体" w:hAnsi="Times New Roman" w:cs="Times New Roman"/>
                <w:kern w:val="0"/>
                <w:szCs w:val="21"/>
              </w:rPr>
            </w:pPr>
          </w:p>
        </w:tc>
        <w:tc>
          <w:tcPr>
            <w:tcW w:w="791" w:type="pct"/>
            <w:shd w:val="clear" w:color="auto" w:fill="auto"/>
            <w:noWrap/>
          </w:tcPr>
          <w:p w14:paraId="3198BF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1007" w:type="pct"/>
            <w:shd w:val="clear" w:color="auto" w:fill="auto"/>
            <w:noWrap/>
            <w:vAlign w:val="bottom"/>
          </w:tcPr>
          <w:p w14:paraId="4BF2174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0.0000649</w:t>
            </w:r>
          </w:p>
        </w:tc>
        <w:tc>
          <w:tcPr>
            <w:tcW w:w="715" w:type="pct"/>
            <w:shd w:val="clear" w:color="auto" w:fill="auto"/>
            <w:noWrap/>
            <w:vAlign w:val="bottom"/>
          </w:tcPr>
          <w:p w14:paraId="21738CA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68E7D3A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0.07</w:t>
            </w:r>
          </w:p>
        </w:tc>
        <w:tc>
          <w:tcPr>
            <w:tcW w:w="533" w:type="pct"/>
            <w:shd w:val="clear" w:color="auto" w:fill="auto"/>
            <w:noWrap/>
            <w:vAlign w:val="center"/>
          </w:tcPr>
          <w:p w14:paraId="20AFD0F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07C9710F" w14:textId="77777777">
        <w:trPr>
          <w:trHeight w:val="285"/>
          <w:jc w:val="center"/>
        </w:trPr>
        <w:tc>
          <w:tcPr>
            <w:tcW w:w="741" w:type="pct"/>
            <w:vMerge/>
            <w:vAlign w:val="center"/>
          </w:tcPr>
          <w:p w14:paraId="603C48CB"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vAlign w:val="center"/>
          </w:tcPr>
          <w:p w14:paraId="03C177D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791" w:type="pct"/>
            <w:shd w:val="clear" w:color="auto" w:fill="auto"/>
            <w:noWrap/>
          </w:tcPr>
          <w:p w14:paraId="301FB37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4B3400A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0.0219</w:t>
            </w:r>
          </w:p>
        </w:tc>
        <w:tc>
          <w:tcPr>
            <w:tcW w:w="715" w:type="pct"/>
            <w:shd w:val="clear" w:color="auto" w:fill="auto"/>
            <w:noWrap/>
            <w:vAlign w:val="bottom"/>
          </w:tcPr>
          <w:p w14:paraId="250A7B5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20090807</w:t>
            </w:r>
          </w:p>
        </w:tc>
        <w:tc>
          <w:tcPr>
            <w:tcW w:w="533" w:type="pct"/>
            <w:shd w:val="clear" w:color="auto" w:fill="auto"/>
            <w:noWrap/>
            <w:vAlign w:val="bottom"/>
          </w:tcPr>
          <w:p w14:paraId="1E2961B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0.45</w:t>
            </w:r>
          </w:p>
        </w:tc>
        <w:tc>
          <w:tcPr>
            <w:tcW w:w="533" w:type="pct"/>
            <w:shd w:val="clear" w:color="auto" w:fill="auto"/>
            <w:noWrap/>
            <w:vAlign w:val="center"/>
          </w:tcPr>
          <w:p w14:paraId="34965F0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520C8DB1" w14:textId="77777777">
        <w:trPr>
          <w:trHeight w:val="285"/>
          <w:jc w:val="center"/>
        </w:trPr>
        <w:tc>
          <w:tcPr>
            <w:tcW w:w="741" w:type="pct"/>
            <w:vMerge/>
            <w:vAlign w:val="center"/>
          </w:tcPr>
          <w:p w14:paraId="5602FF2D"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4C043A10"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5934540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4789413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0.00199</w:t>
            </w:r>
          </w:p>
        </w:tc>
        <w:tc>
          <w:tcPr>
            <w:tcW w:w="715" w:type="pct"/>
            <w:shd w:val="clear" w:color="auto" w:fill="auto"/>
            <w:noWrap/>
            <w:vAlign w:val="bottom"/>
          </w:tcPr>
          <w:p w14:paraId="7797307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200506</w:t>
            </w:r>
          </w:p>
        </w:tc>
        <w:tc>
          <w:tcPr>
            <w:tcW w:w="533" w:type="pct"/>
            <w:shd w:val="clear" w:color="auto" w:fill="auto"/>
            <w:noWrap/>
            <w:vAlign w:val="bottom"/>
          </w:tcPr>
          <w:p w14:paraId="7E2C525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0.15</w:t>
            </w:r>
          </w:p>
        </w:tc>
        <w:tc>
          <w:tcPr>
            <w:tcW w:w="533" w:type="pct"/>
            <w:shd w:val="clear" w:color="auto" w:fill="auto"/>
            <w:noWrap/>
            <w:vAlign w:val="center"/>
          </w:tcPr>
          <w:p w14:paraId="056014D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6D6EDB34" w14:textId="77777777">
        <w:trPr>
          <w:trHeight w:val="285"/>
          <w:jc w:val="center"/>
        </w:trPr>
        <w:tc>
          <w:tcPr>
            <w:tcW w:w="741" w:type="pct"/>
            <w:vMerge/>
            <w:vAlign w:val="center"/>
          </w:tcPr>
          <w:p w14:paraId="46A4965E"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33297089" w14:textId="77777777" w:rsidR="002133E3" w:rsidRDefault="002133E3">
            <w:pPr>
              <w:widowControl/>
              <w:jc w:val="left"/>
              <w:rPr>
                <w:rFonts w:ascii="Times New Roman" w:eastAsia="宋体" w:hAnsi="Times New Roman" w:cs="Times New Roman"/>
                <w:kern w:val="0"/>
                <w:szCs w:val="21"/>
              </w:rPr>
            </w:pPr>
          </w:p>
        </w:tc>
        <w:tc>
          <w:tcPr>
            <w:tcW w:w="791" w:type="pct"/>
            <w:shd w:val="clear" w:color="auto" w:fill="auto"/>
            <w:noWrap/>
          </w:tcPr>
          <w:p w14:paraId="57CF102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1007" w:type="pct"/>
            <w:shd w:val="clear" w:color="auto" w:fill="auto"/>
            <w:noWrap/>
            <w:vAlign w:val="bottom"/>
          </w:tcPr>
          <w:p w14:paraId="3DACC1C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0.000239</w:t>
            </w:r>
          </w:p>
        </w:tc>
        <w:tc>
          <w:tcPr>
            <w:tcW w:w="715" w:type="pct"/>
            <w:shd w:val="clear" w:color="auto" w:fill="auto"/>
            <w:noWrap/>
            <w:vAlign w:val="bottom"/>
          </w:tcPr>
          <w:p w14:paraId="2793B07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67E47FC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0.07</w:t>
            </w:r>
          </w:p>
        </w:tc>
        <w:tc>
          <w:tcPr>
            <w:tcW w:w="533" w:type="pct"/>
            <w:shd w:val="clear" w:color="auto" w:fill="auto"/>
            <w:noWrap/>
            <w:vAlign w:val="center"/>
          </w:tcPr>
          <w:p w14:paraId="4407770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1FA61DFC" w14:textId="77777777">
        <w:trPr>
          <w:trHeight w:val="285"/>
          <w:jc w:val="center"/>
        </w:trPr>
        <w:tc>
          <w:tcPr>
            <w:tcW w:w="741" w:type="pct"/>
            <w:vMerge/>
            <w:vAlign w:val="center"/>
          </w:tcPr>
          <w:p w14:paraId="50DC3D8B"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shd w:val="clear" w:color="auto" w:fill="auto"/>
            <w:noWrap/>
            <w:vAlign w:val="center"/>
          </w:tcPr>
          <w:p w14:paraId="2C31ED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791" w:type="pct"/>
            <w:shd w:val="clear" w:color="auto" w:fill="auto"/>
            <w:noWrap/>
          </w:tcPr>
          <w:p w14:paraId="127D29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669F349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0.0438</w:t>
            </w:r>
          </w:p>
        </w:tc>
        <w:tc>
          <w:tcPr>
            <w:tcW w:w="715" w:type="pct"/>
            <w:shd w:val="clear" w:color="auto" w:fill="auto"/>
            <w:noWrap/>
            <w:vAlign w:val="bottom"/>
          </w:tcPr>
          <w:p w14:paraId="04B19D1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20052307</w:t>
            </w:r>
          </w:p>
        </w:tc>
        <w:tc>
          <w:tcPr>
            <w:tcW w:w="533" w:type="pct"/>
            <w:shd w:val="clear" w:color="auto" w:fill="auto"/>
            <w:noWrap/>
            <w:vAlign w:val="bottom"/>
          </w:tcPr>
          <w:p w14:paraId="2CE518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0.45</w:t>
            </w:r>
          </w:p>
        </w:tc>
        <w:tc>
          <w:tcPr>
            <w:tcW w:w="533" w:type="pct"/>
            <w:shd w:val="clear" w:color="auto" w:fill="auto"/>
            <w:noWrap/>
            <w:vAlign w:val="center"/>
          </w:tcPr>
          <w:p w14:paraId="6BEDDF8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7D031F5B" w14:textId="77777777">
        <w:trPr>
          <w:trHeight w:val="285"/>
          <w:jc w:val="center"/>
        </w:trPr>
        <w:tc>
          <w:tcPr>
            <w:tcW w:w="741" w:type="pct"/>
            <w:vMerge/>
            <w:vAlign w:val="center"/>
          </w:tcPr>
          <w:p w14:paraId="42D90677" w14:textId="77777777" w:rsidR="002133E3" w:rsidRDefault="002133E3">
            <w:pPr>
              <w:widowControl/>
              <w:jc w:val="left"/>
              <w:rPr>
                <w:rFonts w:ascii="Times New Roman" w:eastAsia="宋体" w:hAnsi="Times New Roman" w:cs="Times New Roman"/>
                <w:b/>
                <w:bCs/>
                <w:kern w:val="0"/>
                <w:szCs w:val="21"/>
              </w:rPr>
            </w:pPr>
          </w:p>
        </w:tc>
        <w:tc>
          <w:tcPr>
            <w:tcW w:w="680" w:type="pct"/>
            <w:vMerge/>
            <w:shd w:val="clear" w:color="auto" w:fill="auto"/>
            <w:noWrap/>
            <w:vAlign w:val="center"/>
          </w:tcPr>
          <w:p w14:paraId="1AD9ECBB"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355B922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1503DD2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0.00669</w:t>
            </w:r>
          </w:p>
        </w:tc>
        <w:tc>
          <w:tcPr>
            <w:tcW w:w="715" w:type="pct"/>
            <w:shd w:val="clear" w:color="auto" w:fill="auto"/>
            <w:noWrap/>
            <w:vAlign w:val="bottom"/>
          </w:tcPr>
          <w:p w14:paraId="5048175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201126</w:t>
            </w:r>
          </w:p>
        </w:tc>
        <w:tc>
          <w:tcPr>
            <w:tcW w:w="533" w:type="pct"/>
            <w:shd w:val="clear" w:color="auto" w:fill="auto"/>
            <w:noWrap/>
            <w:vAlign w:val="bottom"/>
          </w:tcPr>
          <w:p w14:paraId="78B3DC8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0.15</w:t>
            </w:r>
          </w:p>
        </w:tc>
        <w:tc>
          <w:tcPr>
            <w:tcW w:w="533" w:type="pct"/>
            <w:shd w:val="clear" w:color="auto" w:fill="auto"/>
            <w:noWrap/>
            <w:vAlign w:val="center"/>
          </w:tcPr>
          <w:p w14:paraId="271F761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41ED32F3" w14:textId="77777777">
        <w:trPr>
          <w:trHeight w:val="285"/>
          <w:jc w:val="center"/>
        </w:trPr>
        <w:tc>
          <w:tcPr>
            <w:tcW w:w="741" w:type="pct"/>
            <w:vMerge/>
            <w:vAlign w:val="center"/>
          </w:tcPr>
          <w:p w14:paraId="7BD6EAAE"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7EF60287" w14:textId="77777777" w:rsidR="002133E3" w:rsidRDefault="002133E3">
            <w:pPr>
              <w:widowControl/>
              <w:jc w:val="left"/>
              <w:rPr>
                <w:rFonts w:ascii="Times New Roman" w:eastAsia="宋体" w:hAnsi="Times New Roman" w:cs="Times New Roman"/>
                <w:kern w:val="0"/>
                <w:szCs w:val="21"/>
              </w:rPr>
            </w:pPr>
          </w:p>
        </w:tc>
        <w:tc>
          <w:tcPr>
            <w:tcW w:w="791" w:type="pct"/>
            <w:shd w:val="clear" w:color="auto" w:fill="auto"/>
            <w:noWrap/>
          </w:tcPr>
          <w:p w14:paraId="3ECBF5D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1007" w:type="pct"/>
            <w:shd w:val="clear" w:color="auto" w:fill="auto"/>
            <w:noWrap/>
            <w:vAlign w:val="bottom"/>
          </w:tcPr>
          <w:p w14:paraId="31A342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0.000771</w:t>
            </w:r>
          </w:p>
        </w:tc>
        <w:tc>
          <w:tcPr>
            <w:tcW w:w="715" w:type="pct"/>
            <w:shd w:val="clear" w:color="auto" w:fill="auto"/>
            <w:noWrap/>
            <w:vAlign w:val="bottom"/>
          </w:tcPr>
          <w:p w14:paraId="5F3ECD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075829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0.07</w:t>
            </w:r>
          </w:p>
        </w:tc>
        <w:tc>
          <w:tcPr>
            <w:tcW w:w="533" w:type="pct"/>
            <w:shd w:val="clear" w:color="auto" w:fill="auto"/>
            <w:noWrap/>
            <w:vAlign w:val="center"/>
          </w:tcPr>
          <w:p w14:paraId="5C36EB4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35D29D9C" w14:textId="77777777">
        <w:trPr>
          <w:trHeight w:val="285"/>
          <w:jc w:val="center"/>
        </w:trPr>
        <w:tc>
          <w:tcPr>
            <w:tcW w:w="741" w:type="pct"/>
            <w:vMerge w:val="restart"/>
            <w:shd w:val="clear" w:color="auto" w:fill="auto"/>
            <w:noWrap/>
            <w:vAlign w:val="center"/>
          </w:tcPr>
          <w:p w14:paraId="43C86F8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kern w:val="0"/>
                <w:szCs w:val="21"/>
              </w:rPr>
              <w:t>挥发性有机物</w:t>
            </w:r>
          </w:p>
        </w:tc>
        <w:tc>
          <w:tcPr>
            <w:tcW w:w="680" w:type="pct"/>
            <w:vMerge w:val="restart"/>
            <w:shd w:val="clear" w:color="auto" w:fill="auto"/>
            <w:noWrap/>
            <w:vAlign w:val="center"/>
          </w:tcPr>
          <w:p w14:paraId="7B6BE4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791" w:type="pct"/>
            <w:shd w:val="clear" w:color="auto" w:fill="auto"/>
            <w:noWrap/>
          </w:tcPr>
          <w:p w14:paraId="751B04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2882C60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0.00125</w:t>
            </w:r>
          </w:p>
        </w:tc>
        <w:tc>
          <w:tcPr>
            <w:tcW w:w="715" w:type="pct"/>
            <w:shd w:val="clear" w:color="auto" w:fill="auto"/>
            <w:noWrap/>
            <w:vAlign w:val="bottom"/>
          </w:tcPr>
          <w:p w14:paraId="3BF4434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20090204</w:t>
            </w:r>
          </w:p>
        </w:tc>
        <w:tc>
          <w:tcPr>
            <w:tcW w:w="533" w:type="pct"/>
            <w:shd w:val="clear" w:color="auto" w:fill="auto"/>
            <w:noWrap/>
            <w:vAlign w:val="bottom"/>
          </w:tcPr>
          <w:p w14:paraId="24C5C5E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0.1</w:t>
            </w:r>
          </w:p>
        </w:tc>
        <w:tc>
          <w:tcPr>
            <w:tcW w:w="533" w:type="pct"/>
            <w:shd w:val="clear" w:color="auto" w:fill="auto"/>
            <w:noWrap/>
            <w:vAlign w:val="bottom"/>
          </w:tcPr>
          <w:p w14:paraId="5244D6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2F164EE3" w14:textId="77777777">
        <w:trPr>
          <w:trHeight w:val="285"/>
          <w:jc w:val="center"/>
        </w:trPr>
        <w:tc>
          <w:tcPr>
            <w:tcW w:w="741" w:type="pct"/>
            <w:vMerge/>
            <w:shd w:val="clear" w:color="auto" w:fill="auto"/>
            <w:noWrap/>
            <w:vAlign w:val="center"/>
          </w:tcPr>
          <w:p w14:paraId="6BF53AD1" w14:textId="77777777" w:rsidR="002133E3" w:rsidRDefault="002133E3">
            <w:pPr>
              <w:widowControl/>
              <w:jc w:val="center"/>
              <w:rPr>
                <w:rFonts w:ascii="Times New Roman" w:eastAsia="宋体" w:hAnsi="Times New Roman" w:cs="Times New Roman"/>
                <w:kern w:val="0"/>
                <w:szCs w:val="21"/>
              </w:rPr>
            </w:pPr>
          </w:p>
        </w:tc>
        <w:tc>
          <w:tcPr>
            <w:tcW w:w="680" w:type="pct"/>
            <w:vMerge/>
            <w:shd w:val="clear" w:color="auto" w:fill="auto"/>
            <w:noWrap/>
            <w:vAlign w:val="center"/>
          </w:tcPr>
          <w:p w14:paraId="39DE5944"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22134A9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59204D6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0.0000932</w:t>
            </w:r>
          </w:p>
        </w:tc>
        <w:tc>
          <w:tcPr>
            <w:tcW w:w="715" w:type="pct"/>
            <w:shd w:val="clear" w:color="auto" w:fill="auto"/>
            <w:noWrap/>
            <w:vAlign w:val="bottom"/>
          </w:tcPr>
          <w:p w14:paraId="47455EA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200902</w:t>
            </w:r>
          </w:p>
        </w:tc>
        <w:tc>
          <w:tcPr>
            <w:tcW w:w="533" w:type="pct"/>
            <w:shd w:val="clear" w:color="auto" w:fill="auto"/>
            <w:noWrap/>
            <w:vAlign w:val="bottom"/>
          </w:tcPr>
          <w:p w14:paraId="4B4BF88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3C8AACD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6FEAAB07" w14:textId="77777777">
        <w:trPr>
          <w:trHeight w:val="285"/>
          <w:jc w:val="center"/>
        </w:trPr>
        <w:tc>
          <w:tcPr>
            <w:tcW w:w="741" w:type="pct"/>
            <w:vMerge/>
            <w:vAlign w:val="center"/>
          </w:tcPr>
          <w:p w14:paraId="05DD2193"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0F5DC658"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1B8ECB7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1007" w:type="pct"/>
            <w:shd w:val="clear" w:color="auto" w:fill="auto"/>
            <w:noWrap/>
            <w:vAlign w:val="bottom"/>
          </w:tcPr>
          <w:p w14:paraId="501FDE6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0.00000708</w:t>
            </w:r>
          </w:p>
        </w:tc>
        <w:tc>
          <w:tcPr>
            <w:tcW w:w="715" w:type="pct"/>
            <w:shd w:val="clear" w:color="auto" w:fill="auto"/>
            <w:noWrap/>
            <w:vAlign w:val="bottom"/>
          </w:tcPr>
          <w:p w14:paraId="71A5122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64B552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1B2EDD4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未知</w:t>
            </w:r>
          </w:p>
        </w:tc>
      </w:tr>
      <w:tr w:rsidR="002133E3" w14:paraId="32D087AE" w14:textId="77777777">
        <w:trPr>
          <w:trHeight w:val="285"/>
          <w:jc w:val="center"/>
        </w:trPr>
        <w:tc>
          <w:tcPr>
            <w:tcW w:w="741" w:type="pct"/>
            <w:vMerge/>
            <w:vAlign w:val="center"/>
          </w:tcPr>
          <w:p w14:paraId="18B01006"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vAlign w:val="center"/>
          </w:tcPr>
          <w:p w14:paraId="35637FF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791" w:type="pct"/>
            <w:shd w:val="clear" w:color="auto" w:fill="auto"/>
            <w:noWrap/>
          </w:tcPr>
          <w:p w14:paraId="4531BD2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2032CD3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0.0016</w:t>
            </w:r>
          </w:p>
        </w:tc>
        <w:tc>
          <w:tcPr>
            <w:tcW w:w="715" w:type="pct"/>
            <w:shd w:val="clear" w:color="auto" w:fill="auto"/>
            <w:noWrap/>
            <w:vAlign w:val="bottom"/>
          </w:tcPr>
          <w:p w14:paraId="57F6E84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20080901</w:t>
            </w:r>
          </w:p>
        </w:tc>
        <w:tc>
          <w:tcPr>
            <w:tcW w:w="533" w:type="pct"/>
            <w:shd w:val="clear" w:color="auto" w:fill="auto"/>
            <w:noWrap/>
            <w:vAlign w:val="bottom"/>
          </w:tcPr>
          <w:p w14:paraId="363ADCD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0.13</w:t>
            </w:r>
          </w:p>
        </w:tc>
        <w:tc>
          <w:tcPr>
            <w:tcW w:w="533" w:type="pct"/>
            <w:shd w:val="clear" w:color="auto" w:fill="auto"/>
            <w:noWrap/>
            <w:vAlign w:val="bottom"/>
          </w:tcPr>
          <w:p w14:paraId="0B3607A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2477952B" w14:textId="77777777">
        <w:trPr>
          <w:trHeight w:val="285"/>
          <w:jc w:val="center"/>
        </w:trPr>
        <w:tc>
          <w:tcPr>
            <w:tcW w:w="741" w:type="pct"/>
            <w:vMerge/>
            <w:vAlign w:val="center"/>
          </w:tcPr>
          <w:p w14:paraId="04F1FB47"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524176D5"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3478B16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1539B49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0.000257</w:t>
            </w:r>
          </w:p>
        </w:tc>
        <w:tc>
          <w:tcPr>
            <w:tcW w:w="715" w:type="pct"/>
            <w:shd w:val="clear" w:color="auto" w:fill="auto"/>
            <w:noWrap/>
            <w:vAlign w:val="bottom"/>
          </w:tcPr>
          <w:p w14:paraId="61D1392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200708</w:t>
            </w:r>
          </w:p>
        </w:tc>
        <w:tc>
          <w:tcPr>
            <w:tcW w:w="533" w:type="pct"/>
            <w:shd w:val="clear" w:color="auto" w:fill="auto"/>
            <w:noWrap/>
            <w:vAlign w:val="bottom"/>
          </w:tcPr>
          <w:p w14:paraId="328B620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283C182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084D2B3C" w14:textId="77777777">
        <w:trPr>
          <w:trHeight w:val="285"/>
          <w:jc w:val="center"/>
        </w:trPr>
        <w:tc>
          <w:tcPr>
            <w:tcW w:w="741" w:type="pct"/>
            <w:vMerge/>
            <w:vAlign w:val="center"/>
          </w:tcPr>
          <w:p w14:paraId="1AA255E9"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60C68377"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3AAE526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1007" w:type="pct"/>
            <w:shd w:val="clear" w:color="auto" w:fill="auto"/>
            <w:noWrap/>
            <w:vAlign w:val="bottom"/>
          </w:tcPr>
          <w:p w14:paraId="4C9D3CD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0.000029</w:t>
            </w:r>
          </w:p>
        </w:tc>
        <w:tc>
          <w:tcPr>
            <w:tcW w:w="715" w:type="pct"/>
            <w:shd w:val="clear" w:color="auto" w:fill="auto"/>
            <w:noWrap/>
            <w:vAlign w:val="bottom"/>
          </w:tcPr>
          <w:p w14:paraId="47351AF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5B585B6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67B7914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52514678" w14:textId="77777777">
        <w:trPr>
          <w:trHeight w:val="285"/>
          <w:jc w:val="center"/>
        </w:trPr>
        <w:tc>
          <w:tcPr>
            <w:tcW w:w="741" w:type="pct"/>
            <w:vMerge/>
            <w:vAlign w:val="center"/>
          </w:tcPr>
          <w:p w14:paraId="1380597E"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shd w:val="clear" w:color="auto" w:fill="auto"/>
            <w:noWrap/>
            <w:vAlign w:val="center"/>
          </w:tcPr>
          <w:p w14:paraId="3DF5EF3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791" w:type="pct"/>
            <w:shd w:val="clear" w:color="auto" w:fill="auto"/>
            <w:noWrap/>
          </w:tcPr>
          <w:p w14:paraId="1EE622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7DC205E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0.00337</w:t>
            </w:r>
          </w:p>
        </w:tc>
        <w:tc>
          <w:tcPr>
            <w:tcW w:w="715" w:type="pct"/>
            <w:shd w:val="clear" w:color="auto" w:fill="auto"/>
            <w:noWrap/>
            <w:vAlign w:val="bottom"/>
          </w:tcPr>
          <w:p w14:paraId="17697C3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20081607</w:t>
            </w:r>
          </w:p>
        </w:tc>
        <w:tc>
          <w:tcPr>
            <w:tcW w:w="533" w:type="pct"/>
            <w:shd w:val="clear" w:color="auto" w:fill="auto"/>
            <w:noWrap/>
            <w:vAlign w:val="bottom"/>
          </w:tcPr>
          <w:p w14:paraId="44CFD37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0.28</w:t>
            </w:r>
          </w:p>
        </w:tc>
        <w:tc>
          <w:tcPr>
            <w:tcW w:w="533" w:type="pct"/>
            <w:shd w:val="clear" w:color="auto" w:fill="auto"/>
            <w:noWrap/>
            <w:vAlign w:val="bottom"/>
          </w:tcPr>
          <w:p w14:paraId="73EFD1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507FF54A" w14:textId="77777777">
        <w:trPr>
          <w:trHeight w:val="285"/>
          <w:jc w:val="center"/>
        </w:trPr>
        <w:tc>
          <w:tcPr>
            <w:tcW w:w="741" w:type="pct"/>
            <w:vMerge/>
            <w:vAlign w:val="center"/>
          </w:tcPr>
          <w:p w14:paraId="13095A10" w14:textId="77777777" w:rsidR="002133E3" w:rsidRDefault="002133E3">
            <w:pPr>
              <w:widowControl/>
              <w:jc w:val="left"/>
              <w:rPr>
                <w:rFonts w:ascii="Times New Roman" w:eastAsia="宋体" w:hAnsi="Times New Roman" w:cs="Times New Roman"/>
                <w:b/>
                <w:bCs/>
                <w:kern w:val="0"/>
                <w:szCs w:val="21"/>
              </w:rPr>
            </w:pPr>
          </w:p>
        </w:tc>
        <w:tc>
          <w:tcPr>
            <w:tcW w:w="680" w:type="pct"/>
            <w:vMerge/>
            <w:shd w:val="clear" w:color="auto" w:fill="auto"/>
            <w:noWrap/>
            <w:vAlign w:val="center"/>
          </w:tcPr>
          <w:p w14:paraId="68D0E3F0"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30C55D0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1E8DE20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0.000656</w:t>
            </w:r>
          </w:p>
        </w:tc>
        <w:tc>
          <w:tcPr>
            <w:tcW w:w="715" w:type="pct"/>
            <w:shd w:val="clear" w:color="auto" w:fill="auto"/>
            <w:noWrap/>
            <w:vAlign w:val="bottom"/>
          </w:tcPr>
          <w:p w14:paraId="442416C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201202</w:t>
            </w:r>
          </w:p>
        </w:tc>
        <w:tc>
          <w:tcPr>
            <w:tcW w:w="533" w:type="pct"/>
            <w:shd w:val="clear" w:color="auto" w:fill="auto"/>
            <w:noWrap/>
            <w:vAlign w:val="bottom"/>
          </w:tcPr>
          <w:p w14:paraId="3789D48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3DAA7CB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0BF9F3A5" w14:textId="77777777">
        <w:trPr>
          <w:trHeight w:val="285"/>
          <w:jc w:val="center"/>
        </w:trPr>
        <w:tc>
          <w:tcPr>
            <w:tcW w:w="741" w:type="pct"/>
            <w:vMerge/>
            <w:vAlign w:val="center"/>
          </w:tcPr>
          <w:p w14:paraId="57F1EC2D"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76FE6172" w14:textId="77777777" w:rsidR="002133E3" w:rsidRDefault="002133E3">
            <w:pPr>
              <w:widowControl/>
              <w:jc w:val="left"/>
              <w:rPr>
                <w:rFonts w:ascii="Times New Roman" w:eastAsia="宋体" w:hAnsi="Times New Roman" w:cs="Times New Roman"/>
                <w:kern w:val="0"/>
                <w:szCs w:val="21"/>
              </w:rPr>
            </w:pPr>
          </w:p>
        </w:tc>
        <w:tc>
          <w:tcPr>
            <w:tcW w:w="791" w:type="pct"/>
            <w:shd w:val="clear" w:color="auto" w:fill="auto"/>
            <w:noWrap/>
          </w:tcPr>
          <w:p w14:paraId="17ED50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1007" w:type="pct"/>
            <w:shd w:val="clear" w:color="auto" w:fill="auto"/>
            <w:noWrap/>
            <w:vAlign w:val="bottom"/>
          </w:tcPr>
          <w:p w14:paraId="062B4D4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0.0000737</w:t>
            </w:r>
          </w:p>
        </w:tc>
        <w:tc>
          <w:tcPr>
            <w:tcW w:w="715" w:type="pct"/>
            <w:shd w:val="clear" w:color="auto" w:fill="auto"/>
            <w:noWrap/>
            <w:vAlign w:val="bottom"/>
          </w:tcPr>
          <w:p w14:paraId="4640B44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3B51AC1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4743B8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未知</w:t>
            </w:r>
          </w:p>
        </w:tc>
      </w:tr>
      <w:tr w:rsidR="002133E3" w14:paraId="7D220AE0" w14:textId="77777777">
        <w:trPr>
          <w:trHeight w:val="285"/>
          <w:jc w:val="center"/>
        </w:trPr>
        <w:tc>
          <w:tcPr>
            <w:tcW w:w="741" w:type="pct"/>
            <w:vMerge w:val="restart"/>
            <w:shd w:val="clear" w:color="auto" w:fill="auto"/>
            <w:noWrap/>
            <w:vAlign w:val="center"/>
          </w:tcPr>
          <w:p w14:paraId="0F04B7A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rPr>
              <w:t>甲醇</w:t>
            </w:r>
          </w:p>
        </w:tc>
        <w:tc>
          <w:tcPr>
            <w:tcW w:w="680" w:type="pct"/>
            <w:vMerge w:val="restart"/>
            <w:shd w:val="clear" w:color="auto" w:fill="auto"/>
            <w:noWrap/>
            <w:vAlign w:val="center"/>
          </w:tcPr>
          <w:p w14:paraId="4305D8F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791" w:type="pct"/>
            <w:shd w:val="clear" w:color="auto" w:fill="auto"/>
            <w:noWrap/>
          </w:tcPr>
          <w:p w14:paraId="5261FD2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143AD26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0.0000505</w:t>
            </w:r>
          </w:p>
        </w:tc>
        <w:tc>
          <w:tcPr>
            <w:tcW w:w="715" w:type="pct"/>
            <w:shd w:val="clear" w:color="auto" w:fill="auto"/>
            <w:noWrap/>
            <w:vAlign w:val="bottom"/>
          </w:tcPr>
          <w:p w14:paraId="2FA6D3E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20090204</w:t>
            </w:r>
          </w:p>
        </w:tc>
        <w:tc>
          <w:tcPr>
            <w:tcW w:w="533" w:type="pct"/>
            <w:shd w:val="clear" w:color="auto" w:fill="auto"/>
            <w:noWrap/>
            <w:vAlign w:val="bottom"/>
          </w:tcPr>
          <w:p w14:paraId="2E1CCD0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w:t>
            </w:r>
          </w:p>
        </w:tc>
        <w:tc>
          <w:tcPr>
            <w:tcW w:w="533" w:type="pct"/>
            <w:shd w:val="clear" w:color="auto" w:fill="auto"/>
            <w:noWrap/>
            <w:vAlign w:val="bottom"/>
          </w:tcPr>
          <w:p w14:paraId="21F2DD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0B424301" w14:textId="77777777">
        <w:trPr>
          <w:trHeight w:val="285"/>
          <w:jc w:val="center"/>
        </w:trPr>
        <w:tc>
          <w:tcPr>
            <w:tcW w:w="741" w:type="pct"/>
            <w:vMerge/>
            <w:shd w:val="clear" w:color="auto" w:fill="auto"/>
            <w:noWrap/>
            <w:vAlign w:val="center"/>
          </w:tcPr>
          <w:p w14:paraId="1E081D07" w14:textId="77777777" w:rsidR="002133E3" w:rsidRDefault="002133E3">
            <w:pPr>
              <w:widowControl/>
              <w:jc w:val="center"/>
              <w:rPr>
                <w:rFonts w:ascii="Times New Roman" w:eastAsia="宋体" w:hAnsi="Times New Roman" w:cs="Times New Roman"/>
                <w:kern w:val="0"/>
                <w:szCs w:val="21"/>
              </w:rPr>
            </w:pPr>
          </w:p>
        </w:tc>
        <w:tc>
          <w:tcPr>
            <w:tcW w:w="680" w:type="pct"/>
            <w:vMerge/>
            <w:shd w:val="clear" w:color="auto" w:fill="auto"/>
            <w:noWrap/>
            <w:vAlign w:val="center"/>
          </w:tcPr>
          <w:p w14:paraId="384E4D84"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2F008EB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4370643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0.00000378</w:t>
            </w:r>
          </w:p>
        </w:tc>
        <w:tc>
          <w:tcPr>
            <w:tcW w:w="715" w:type="pct"/>
            <w:shd w:val="clear" w:color="auto" w:fill="auto"/>
            <w:noWrap/>
            <w:vAlign w:val="bottom"/>
          </w:tcPr>
          <w:p w14:paraId="49C25CD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200902</w:t>
            </w:r>
          </w:p>
        </w:tc>
        <w:tc>
          <w:tcPr>
            <w:tcW w:w="533" w:type="pct"/>
            <w:shd w:val="clear" w:color="auto" w:fill="auto"/>
            <w:noWrap/>
            <w:vAlign w:val="bottom"/>
          </w:tcPr>
          <w:p w14:paraId="407168E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w:t>
            </w:r>
          </w:p>
        </w:tc>
        <w:tc>
          <w:tcPr>
            <w:tcW w:w="533" w:type="pct"/>
            <w:shd w:val="clear" w:color="auto" w:fill="auto"/>
            <w:noWrap/>
            <w:vAlign w:val="bottom"/>
          </w:tcPr>
          <w:p w14:paraId="59D2E90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0D05FC5C" w14:textId="77777777">
        <w:trPr>
          <w:trHeight w:val="285"/>
          <w:jc w:val="center"/>
        </w:trPr>
        <w:tc>
          <w:tcPr>
            <w:tcW w:w="741" w:type="pct"/>
            <w:vMerge/>
            <w:vAlign w:val="center"/>
          </w:tcPr>
          <w:p w14:paraId="08113D35"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1865C471"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132DE0A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1007" w:type="pct"/>
            <w:shd w:val="clear" w:color="auto" w:fill="auto"/>
            <w:noWrap/>
            <w:vAlign w:val="bottom"/>
          </w:tcPr>
          <w:p w14:paraId="620FD9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0.00000029</w:t>
            </w:r>
          </w:p>
        </w:tc>
        <w:tc>
          <w:tcPr>
            <w:tcW w:w="715" w:type="pct"/>
            <w:shd w:val="clear" w:color="auto" w:fill="auto"/>
            <w:noWrap/>
            <w:vAlign w:val="bottom"/>
          </w:tcPr>
          <w:p w14:paraId="150E7F1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682F2F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754256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未知</w:t>
            </w:r>
          </w:p>
        </w:tc>
      </w:tr>
      <w:tr w:rsidR="002133E3" w14:paraId="750FE109" w14:textId="77777777">
        <w:trPr>
          <w:trHeight w:val="285"/>
          <w:jc w:val="center"/>
        </w:trPr>
        <w:tc>
          <w:tcPr>
            <w:tcW w:w="741" w:type="pct"/>
            <w:vMerge/>
            <w:vAlign w:val="center"/>
          </w:tcPr>
          <w:p w14:paraId="39AF005B"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vAlign w:val="center"/>
          </w:tcPr>
          <w:p w14:paraId="09AD7F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791" w:type="pct"/>
            <w:shd w:val="clear" w:color="auto" w:fill="auto"/>
            <w:noWrap/>
          </w:tcPr>
          <w:p w14:paraId="60132FE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5B2260F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0.0000649</w:t>
            </w:r>
          </w:p>
        </w:tc>
        <w:tc>
          <w:tcPr>
            <w:tcW w:w="715" w:type="pct"/>
            <w:shd w:val="clear" w:color="auto" w:fill="auto"/>
            <w:noWrap/>
            <w:vAlign w:val="bottom"/>
          </w:tcPr>
          <w:p w14:paraId="50EF346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20080901</w:t>
            </w:r>
          </w:p>
        </w:tc>
        <w:tc>
          <w:tcPr>
            <w:tcW w:w="533" w:type="pct"/>
            <w:shd w:val="clear" w:color="auto" w:fill="auto"/>
            <w:noWrap/>
            <w:vAlign w:val="bottom"/>
          </w:tcPr>
          <w:p w14:paraId="03BA4E9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w:t>
            </w:r>
          </w:p>
        </w:tc>
        <w:tc>
          <w:tcPr>
            <w:tcW w:w="533" w:type="pct"/>
            <w:shd w:val="clear" w:color="auto" w:fill="auto"/>
            <w:noWrap/>
            <w:vAlign w:val="bottom"/>
          </w:tcPr>
          <w:p w14:paraId="1D66351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11E23BC7" w14:textId="77777777">
        <w:trPr>
          <w:trHeight w:val="285"/>
          <w:jc w:val="center"/>
        </w:trPr>
        <w:tc>
          <w:tcPr>
            <w:tcW w:w="741" w:type="pct"/>
            <w:vMerge/>
            <w:vAlign w:val="center"/>
          </w:tcPr>
          <w:p w14:paraId="7D39181E"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125F2EDD"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6895806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4A6C622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0.0000104</w:t>
            </w:r>
          </w:p>
        </w:tc>
        <w:tc>
          <w:tcPr>
            <w:tcW w:w="715" w:type="pct"/>
            <w:shd w:val="clear" w:color="auto" w:fill="auto"/>
            <w:noWrap/>
            <w:vAlign w:val="bottom"/>
          </w:tcPr>
          <w:p w14:paraId="3AFF92B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200708</w:t>
            </w:r>
          </w:p>
        </w:tc>
        <w:tc>
          <w:tcPr>
            <w:tcW w:w="533" w:type="pct"/>
            <w:shd w:val="clear" w:color="auto" w:fill="auto"/>
            <w:noWrap/>
            <w:vAlign w:val="bottom"/>
          </w:tcPr>
          <w:p w14:paraId="79AB868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w:t>
            </w:r>
          </w:p>
        </w:tc>
        <w:tc>
          <w:tcPr>
            <w:tcW w:w="533" w:type="pct"/>
            <w:shd w:val="clear" w:color="auto" w:fill="auto"/>
            <w:noWrap/>
            <w:vAlign w:val="bottom"/>
          </w:tcPr>
          <w:p w14:paraId="445527B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5C768A99" w14:textId="77777777">
        <w:trPr>
          <w:trHeight w:val="285"/>
          <w:jc w:val="center"/>
        </w:trPr>
        <w:tc>
          <w:tcPr>
            <w:tcW w:w="741" w:type="pct"/>
            <w:vMerge/>
            <w:vAlign w:val="center"/>
          </w:tcPr>
          <w:p w14:paraId="2F1C0B06"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61DFB4D4"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5E29061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1007" w:type="pct"/>
            <w:shd w:val="clear" w:color="auto" w:fill="auto"/>
            <w:noWrap/>
            <w:vAlign w:val="bottom"/>
          </w:tcPr>
          <w:p w14:paraId="66DAF7A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0.00000118</w:t>
            </w:r>
          </w:p>
        </w:tc>
        <w:tc>
          <w:tcPr>
            <w:tcW w:w="715" w:type="pct"/>
            <w:shd w:val="clear" w:color="auto" w:fill="auto"/>
            <w:noWrap/>
            <w:vAlign w:val="bottom"/>
          </w:tcPr>
          <w:p w14:paraId="795C431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6387DA9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6DD9ED6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3F08CC31" w14:textId="77777777">
        <w:trPr>
          <w:trHeight w:val="285"/>
          <w:jc w:val="center"/>
        </w:trPr>
        <w:tc>
          <w:tcPr>
            <w:tcW w:w="741" w:type="pct"/>
            <w:vMerge/>
            <w:vAlign w:val="center"/>
          </w:tcPr>
          <w:p w14:paraId="4AAFF050"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shd w:val="clear" w:color="auto" w:fill="auto"/>
            <w:noWrap/>
            <w:vAlign w:val="center"/>
          </w:tcPr>
          <w:p w14:paraId="5AA31A0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791" w:type="pct"/>
            <w:shd w:val="clear" w:color="auto" w:fill="auto"/>
            <w:noWrap/>
          </w:tcPr>
          <w:p w14:paraId="3E299C9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5D69FD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0.000137</w:t>
            </w:r>
          </w:p>
        </w:tc>
        <w:tc>
          <w:tcPr>
            <w:tcW w:w="715" w:type="pct"/>
            <w:shd w:val="clear" w:color="auto" w:fill="auto"/>
            <w:noWrap/>
            <w:vAlign w:val="bottom"/>
          </w:tcPr>
          <w:p w14:paraId="4629B9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20081607</w:t>
            </w:r>
          </w:p>
        </w:tc>
        <w:tc>
          <w:tcPr>
            <w:tcW w:w="533" w:type="pct"/>
            <w:shd w:val="clear" w:color="auto" w:fill="auto"/>
            <w:noWrap/>
            <w:vAlign w:val="bottom"/>
          </w:tcPr>
          <w:p w14:paraId="49CA696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w:t>
            </w:r>
          </w:p>
        </w:tc>
        <w:tc>
          <w:tcPr>
            <w:tcW w:w="533" w:type="pct"/>
            <w:shd w:val="clear" w:color="auto" w:fill="auto"/>
            <w:noWrap/>
            <w:vAlign w:val="bottom"/>
          </w:tcPr>
          <w:p w14:paraId="7539A2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66F002EE" w14:textId="77777777">
        <w:trPr>
          <w:trHeight w:val="285"/>
          <w:jc w:val="center"/>
        </w:trPr>
        <w:tc>
          <w:tcPr>
            <w:tcW w:w="741" w:type="pct"/>
            <w:vMerge/>
            <w:vAlign w:val="center"/>
          </w:tcPr>
          <w:p w14:paraId="4F8E46BF" w14:textId="77777777" w:rsidR="002133E3" w:rsidRDefault="002133E3">
            <w:pPr>
              <w:widowControl/>
              <w:jc w:val="left"/>
              <w:rPr>
                <w:rFonts w:ascii="Times New Roman" w:eastAsia="宋体" w:hAnsi="Times New Roman" w:cs="Times New Roman"/>
                <w:b/>
                <w:bCs/>
                <w:kern w:val="0"/>
                <w:szCs w:val="21"/>
              </w:rPr>
            </w:pPr>
          </w:p>
        </w:tc>
        <w:tc>
          <w:tcPr>
            <w:tcW w:w="680" w:type="pct"/>
            <w:vMerge/>
            <w:shd w:val="clear" w:color="auto" w:fill="auto"/>
            <w:noWrap/>
            <w:vAlign w:val="center"/>
          </w:tcPr>
          <w:p w14:paraId="203CEA26"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5BEF88B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0F5C0D2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0.0000266</w:t>
            </w:r>
          </w:p>
        </w:tc>
        <w:tc>
          <w:tcPr>
            <w:tcW w:w="715" w:type="pct"/>
            <w:shd w:val="clear" w:color="auto" w:fill="auto"/>
            <w:noWrap/>
            <w:vAlign w:val="bottom"/>
          </w:tcPr>
          <w:p w14:paraId="597147A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201202</w:t>
            </w:r>
          </w:p>
        </w:tc>
        <w:tc>
          <w:tcPr>
            <w:tcW w:w="533" w:type="pct"/>
            <w:shd w:val="clear" w:color="auto" w:fill="auto"/>
            <w:noWrap/>
            <w:vAlign w:val="bottom"/>
          </w:tcPr>
          <w:p w14:paraId="69D63A7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w:t>
            </w:r>
          </w:p>
        </w:tc>
        <w:tc>
          <w:tcPr>
            <w:tcW w:w="533" w:type="pct"/>
            <w:shd w:val="clear" w:color="auto" w:fill="auto"/>
            <w:noWrap/>
            <w:vAlign w:val="bottom"/>
          </w:tcPr>
          <w:p w14:paraId="5A8CCF0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3C0062E4" w14:textId="77777777">
        <w:trPr>
          <w:trHeight w:val="285"/>
          <w:jc w:val="center"/>
        </w:trPr>
        <w:tc>
          <w:tcPr>
            <w:tcW w:w="741" w:type="pct"/>
            <w:vMerge/>
            <w:vAlign w:val="center"/>
          </w:tcPr>
          <w:p w14:paraId="20AD632B"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36C22204" w14:textId="77777777" w:rsidR="002133E3" w:rsidRDefault="002133E3">
            <w:pPr>
              <w:widowControl/>
              <w:jc w:val="left"/>
              <w:rPr>
                <w:rFonts w:ascii="Times New Roman" w:eastAsia="宋体" w:hAnsi="Times New Roman" w:cs="Times New Roman"/>
                <w:kern w:val="0"/>
                <w:szCs w:val="21"/>
              </w:rPr>
            </w:pPr>
          </w:p>
        </w:tc>
        <w:tc>
          <w:tcPr>
            <w:tcW w:w="791" w:type="pct"/>
            <w:shd w:val="clear" w:color="auto" w:fill="auto"/>
            <w:noWrap/>
          </w:tcPr>
          <w:p w14:paraId="509FD28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1007" w:type="pct"/>
            <w:shd w:val="clear" w:color="auto" w:fill="auto"/>
            <w:noWrap/>
            <w:vAlign w:val="bottom"/>
          </w:tcPr>
          <w:p w14:paraId="1E5CBE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0.00000299</w:t>
            </w:r>
          </w:p>
        </w:tc>
        <w:tc>
          <w:tcPr>
            <w:tcW w:w="715" w:type="pct"/>
            <w:shd w:val="clear" w:color="auto" w:fill="auto"/>
            <w:noWrap/>
            <w:vAlign w:val="bottom"/>
          </w:tcPr>
          <w:p w14:paraId="671310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615DC4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653EF9C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未知</w:t>
            </w:r>
          </w:p>
        </w:tc>
      </w:tr>
      <w:tr w:rsidR="002133E3" w14:paraId="3799874E" w14:textId="77777777">
        <w:trPr>
          <w:trHeight w:val="285"/>
          <w:jc w:val="center"/>
        </w:trPr>
        <w:tc>
          <w:tcPr>
            <w:tcW w:w="741" w:type="pct"/>
            <w:vMerge w:val="restart"/>
            <w:vAlign w:val="center"/>
          </w:tcPr>
          <w:p w14:paraId="75DE8F6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rPr>
              <w:t>乙醇</w:t>
            </w:r>
          </w:p>
        </w:tc>
        <w:tc>
          <w:tcPr>
            <w:tcW w:w="680" w:type="pct"/>
            <w:vMerge w:val="restart"/>
            <w:vAlign w:val="center"/>
          </w:tcPr>
          <w:p w14:paraId="762F72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791" w:type="pct"/>
            <w:shd w:val="clear" w:color="auto" w:fill="auto"/>
            <w:noWrap/>
          </w:tcPr>
          <w:p w14:paraId="153BFE9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39A2C36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0.0026</w:t>
            </w:r>
          </w:p>
        </w:tc>
        <w:tc>
          <w:tcPr>
            <w:tcW w:w="715" w:type="pct"/>
            <w:shd w:val="clear" w:color="auto" w:fill="auto"/>
            <w:noWrap/>
            <w:vAlign w:val="bottom"/>
          </w:tcPr>
          <w:p w14:paraId="342EB9A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20102917</w:t>
            </w:r>
          </w:p>
        </w:tc>
        <w:tc>
          <w:tcPr>
            <w:tcW w:w="533" w:type="pct"/>
            <w:shd w:val="clear" w:color="auto" w:fill="auto"/>
            <w:noWrap/>
            <w:vAlign w:val="bottom"/>
          </w:tcPr>
          <w:p w14:paraId="7F9626B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3E57566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1140DB34" w14:textId="77777777">
        <w:trPr>
          <w:trHeight w:val="285"/>
          <w:jc w:val="center"/>
        </w:trPr>
        <w:tc>
          <w:tcPr>
            <w:tcW w:w="741" w:type="pct"/>
            <w:vMerge/>
            <w:vAlign w:val="center"/>
          </w:tcPr>
          <w:p w14:paraId="17E87A6E" w14:textId="77777777" w:rsidR="002133E3" w:rsidRDefault="002133E3">
            <w:pPr>
              <w:widowControl/>
              <w:jc w:val="center"/>
              <w:rPr>
                <w:rFonts w:ascii="Times New Roman" w:eastAsia="宋体" w:hAnsi="Times New Roman" w:cs="Times New Roman"/>
                <w:kern w:val="0"/>
                <w:szCs w:val="21"/>
              </w:rPr>
            </w:pPr>
          </w:p>
        </w:tc>
        <w:tc>
          <w:tcPr>
            <w:tcW w:w="680" w:type="pct"/>
            <w:vMerge/>
            <w:vAlign w:val="center"/>
          </w:tcPr>
          <w:p w14:paraId="4CAD7F30"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36F53B3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78EE751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0.000217</w:t>
            </w:r>
          </w:p>
        </w:tc>
        <w:tc>
          <w:tcPr>
            <w:tcW w:w="715" w:type="pct"/>
            <w:shd w:val="clear" w:color="auto" w:fill="auto"/>
            <w:noWrap/>
            <w:vAlign w:val="bottom"/>
          </w:tcPr>
          <w:p w14:paraId="6F0EDCB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201029</w:t>
            </w:r>
          </w:p>
        </w:tc>
        <w:tc>
          <w:tcPr>
            <w:tcW w:w="533" w:type="pct"/>
            <w:shd w:val="clear" w:color="auto" w:fill="auto"/>
            <w:noWrap/>
            <w:vAlign w:val="bottom"/>
          </w:tcPr>
          <w:p w14:paraId="2835CE3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0.05</w:t>
            </w:r>
          </w:p>
        </w:tc>
        <w:tc>
          <w:tcPr>
            <w:tcW w:w="533" w:type="pct"/>
            <w:shd w:val="clear" w:color="auto" w:fill="auto"/>
            <w:noWrap/>
            <w:vAlign w:val="bottom"/>
          </w:tcPr>
          <w:p w14:paraId="3334F25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53D69796" w14:textId="77777777">
        <w:trPr>
          <w:trHeight w:val="285"/>
          <w:jc w:val="center"/>
        </w:trPr>
        <w:tc>
          <w:tcPr>
            <w:tcW w:w="741" w:type="pct"/>
            <w:vMerge/>
            <w:vAlign w:val="center"/>
          </w:tcPr>
          <w:p w14:paraId="00262233"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51FABCDE"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1B2C6F4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1007" w:type="pct"/>
            <w:shd w:val="clear" w:color="auto" w:fill="auto"/>
            <w:noWrap/>
            <w:vAlign w:val="bottom"/>
          </w:tcPr>
          <w:p w14:paraId="12B6153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0.0000247</w:t>
            </w:r>
          </w:p>
        </w:tc>
        <w:tc>
          <w:tcPr>
            <w:tcW w:w="715" w:type="pct"/>
            <w:shd w:val="clear" w:color="auto" w:fill="auto"/>
            <w:noWrap/>
            <w:vAlign w:val="bottom"/>
          </w:tcPr>
          <w:p w14:paraId="6E57D23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3A27700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w:t>
            </w:r>
          </w:p>
        </w:tc>
        <w:tc>
          <w:tcPr>
            <w:tcW w:w="533" w:type="pct"/>
            <w:shd w:val="clear" w:color="auto" w:fill="auto"/>
            <w:noWrap/>
            <w:vAlign w:val="bottom"/>
          </w:tcPr>
          <w:p w14:paraId="1601884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1A7AC927" w14:textId="77777777">
        <w:trPr>
          <w:trHeight w:val="285"/>
          <w:jc w:val="center"/>
        </w:trPr>
        <w:tc>
          <w:tcPr>
            <w:tcW w:w="741" w:type="pct"/>
            <w:vMerge/>
            <w:vAlign w:val="center"/>
          </w:tcPr>
          <w:p w14:paraId="6A82365F"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vAlign w:val="center"/>
          </w:tcPr>
          <w:p w14:paraId="206CD56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791" w:type="pct"/>
            <w:shd w:val="clear" w:color="auto" w:fill="auto"/>
            <w:noWrap/>
          </w:tcPr>
          <w:p w14:paraId="0A43595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54C7035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0.00314</w:t>
            </w:r>
          </w:p>
        </w:tc>
        <w:tc>
          <w:tcPr>
            <w:tcW w:w="715" w:type="pct"/>
            <w:shd w:val="clear" w:color="auto" w:fill="auto"/>
            <w:noWrap/>
            <w:vAlign w:val="bottom"/>
          </w:tcPr>
          <w:p w14:paraId="71D73AC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20091418</w:t>
            </w:r>
          </w:p>
        </w:tc>
        <w:tc>
          <w:tcPr>
            <w:tcW w:w="533" w:type="pct"/>
            <w:shd w:val="clear" w:color="auto" w:fill="auto"/>
            <w:noWrap/>
            <w:vAlign w:val="bottom"/>
          </w:tcPr>
          <w:p w14:paraId="68F6C3E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5DC6461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1CF35242" w14:textId="77777777">
        <w:trPr>
          <w:trHeight w:val="285"/>
          <w:jc w:val="center"/>
        </w:trPr>
        <w:tc>
          <w:tcPr>
            <w:tcW w:w="741" w:type="pct"/>
            <w:vMerge/>
            <w:vAlign w:val="center"/>
          </w:tcPr>
          <w:p w14:paraId="7383A1E0"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1BE5FDDF"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6149124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4B4F057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0.000352</w:t>
            </w:r>
          </w:p>
        </w:tc>
        <w:tc>
          <w:tcPr>
            <w:tcW w:w="715" w:type="pct"/>
            <w:shd w:val="clear" w:color="auto" w:fill="auto"/>
            <w:noWrap/>
            <w:vAlign w:val="bottom"/>
          </w:tcPr>
          <w:p w14:paraId="3191474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201110</w:t>
            </w:r>
          </w:p>
        </w:tc>
        <w:tc>
          <w:tcPr>
            <w:tcW w:w="533" w:type="pct"/>
            <w:shd w:val="clear" w:color="auto" w:fill="auto"/>
            <w:noWrap/>
            <w:vAlign w:val="bottom"/>
          </w:tcPr>
          <w:p w14:paraId="2D68263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0.06</w:t>
            </w:r>
          </w:p>
        </w:tc>
        <w:tc>
          <w:tcPr>
            <w:tcW w:w="533" w:type="pct"/>
            <w:shd w:val="clear" w:color="auto" w:fill="auto"/>
            <w:noWrap/>
            <w:vAlign w:val="bottom"/>
          </w:tcPr>
          <w:p w14:paraId="0F8FDBE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0CC38F3A" w14:textId="77777777">
        <w:trPr>
          <w:trHeight w:val="285"/>
          <w:jc w:val="center"/>
        </w:trPr>
        <w:tc>
          <w:tcPr>
            <w:tcW w:w="741" w:type="pct"/>
            <w:vMerge/>
            <w:vAlign w:val="center"/>
          </w:tcPr>
          <w:p w14:paraId="3DA769B2"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5A8EA296"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2D0034E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1007" w:type="pct"/>
            <w:shd w:val="clear" w:color="auto" w:fill="auto"/>
            <w:noWrap/>
            <w:vAlign w:val="bottom"/>
          </w:tcPr>
          <w:p w14:paraId="7BFB392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0.0000717</w:t>
            </w:r>
          </w:p>
        </w:tc>
        <w:tc>
          <w:tcPr>
            <w:tcW w:w="715" w:type="pct"/>
            <w:shd w:val="clear" w:color="auto" w:fill="auto"/>
            <w:noWrap/>
            <w:vAlign w:val="bottom"/>
          </w:tcPr>
          <w:p w14:paraId="6FCD14F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29AB1D2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0.01</w:t>
            </w:r>
          </w:p>
        </w:tc>
        <w:tc>
          <w:tcPr>
            <w:tcW w:w="533" w:type="pct"/>
            <w:shd w:val="clear" w:color="auto" w:fill="auto"/>
            <w:noWrap/>
            <w:vAlign w:val="bottom"/>
          </w:tcPr>
          <w:p w14:paraId="248B3D8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155E0BD3" w14:textId="77777777">
        <w:trPr>
          <w:trHeight w:val="285"/>
          <w:jc w:val="center"/>
        </w:trPr>
        <w:tc>
          <w:tcPr>
            <w:tcW w:w="741" w:type="pct"/>
            <w:vMerge/>
            <w:vAlign w:val="center"/>
          </w:tcPr>
          <w:p w14:paraId="455A663B" w14:textId="77777777" w:rsidR="002133E3" w:rsidRDefault="002133E3">
            <w:pPr>
              <w:widowControl/>
              <w:jc w:val="left"/>
              <w:rPr>
                <w:rFonts w:ascii="Times New Roman" w:eastAsia="宋体" w:hAnsi="Times New Roman" w:cs="Times New Roman"/>
                <w:b/>
                <w:bCs/>
                <w:kern w:val="0"/>
                <w:szCs w:val="21"/>
              </w:rPr>
            </w:pPr>
          </w:p>
        </w:tc>
        <w:tc>
          <w:tcPr>
            <w:tcW w:w="680" w:type="pct"/>
            <w:vMerge w:val="restart"/>
            <w:vAlign w:val="center"/>
          </w:tcPr>
          <w:p w14:paraId="3810CE2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791" w:type="pct"/>
            <w:shd w:val="clear" w:color="auto" w:fill="auto"/>
            <w:noWrap/>
          </w:tcPr>
          <w:p w14:paraId="77C2B85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1007" w:type="pct"/>
            <w:shd w:val="clear" w:color="auto" w:fill="auto"/>
            <w:noWrap/>
            <w:vAlign w:val="bottom"/>
          </w:tcPr>
          <w:p w14:paraId="0427B91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0.0142</w:t>
            </w:r>
          </w:p>
        </w:tc>
        <w:tc>
          <w:tcPr>
            <w:tcW w:w="715" w:type="pct"/>
            <w:shd w:val="clear" w:color="auto" w:fill="auto"/>
            <w:noWrap/>
            <w:vAlign w:val="bottom"/>
          </w:tcPr>
          <w:p w14:paraId="02F4005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20020817</w:t>
            </w:r>
          </w:p>
        </w:tc>
        <w:tc>
          <w:tcPr>
            <w:tcW w:w="533" w:type="pct"/>
            <w:shd w:val="clear" w:color="auto" w:fill="auto"/>
            <w:noWrap/>
            <w:vAlign w:val="bottom"/>
          </w:tcPr>
          <w:p w14:paraId="65BD0B4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533" w:type="pct"/>
            <w:shd w:val="clear" w:color="auto" w:fill="auto"/>
            <w:noWrap/>
            <w:vAlign w:val="bottom"/>
          </w:tcPr>
          <w:p w14:paraId="2066733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51D84FCF" w14:textId="77777777">
        <w:trPr>
          <w:trHeight w:val="285"/>
          <w:jc w:val="center"/>
        </w:trPr>
        <w:tc>
          <w:tcPr>
            <w:tcW w:w="741" w:type="pct"/>
            <w:vMerge/>
            <w:vAlign w:val="center"/>
          </w:tcPr>
          <w:p w14:paraId="53F85C24"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79F3BDA5" w14:textId="77777777" w:rsidR="002133E3" w:rsidRDefault="002133E3">
            <w:pPr>
              <w:widowControl/>
              <w:jc w:val="center"/>
              <w:rPr>
                <w:rFonts w:ascii="Times New Roman" w:eastAsia="宋体" w:hAnsi="Times New Roman" w:cs="Times New Roman"/>
                <w:kern w:val="0"/>
                <w:szCs w:val="21"/>
              </w:rPr>
            </w:pPr>
          </w:p>
        </w:tc>
        <w:tc>
          <w:tcPr>
            <w:tcW w:w="791" w:type="pct"/>
            <w:shd w:val="clear" w:color="auto" w:fill="auto"/>
            <w:noWrap/>
          </w:tcPr>
          <w:p w14:paraId="16BF6AB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1007" w:type="pct"/>
            <w:shd w:val="clear" w:color="auto" w:fill="auto"/>
            <w:noWrap/>
            <w:vAlign w:val="bottom"/>
          </w:tcPr>
          <w:p w14:paraId="486DA70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0.00144</w:t>
            </w:r>
          </w:p>
        </w:tc>
        <w:tc>
          <w:tcPr>
            <w:tcW w:w="715" w:type="pct"/>
            <w:shd w:val="clear" w:color="auto" w:fill="auto"/>
            <w:noWrap/>
            <w:vAlign w:val="bottom"/>
          </w:tcPr>
          <w:p w14:paraId="31AE7CE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200817</w:t>
            </w:r>
          </w:p>
        </w:tc>
        <w:tc>
          <w:tcPr>
            <w:tcW w:w="533" w:type="pct"/>
            <w:shd w:val="clear" w:color="auto" w:fill="auto"/>
            <w:noWrap/>
            <w:vAlign w:val="bottom"/>
          </w:tcPr>
          <w:p w14:paraId="0DF9B7C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0.28</w:t>
            </w:r>
          </w:p>
        </w:tc>
        <w:tc>
          <w:tcPr>
            <w:tcW w:w="533" w:type="pct"/>
            <w:shd w:val="clear" w:color="auto" w:fill="auto"/>
            <w:noWrap/>
            <w:vAlign w:val="bottom"/>
          </w:tcPr>
          <w:p w14:paraId="400D1B2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3358C57D" w14:textId="77777777">
        <w:trPr>
          <w:trHeight w:val="285"/>
          <w:jc w:val="center"/>
        </w:trPr>
        <w:tc>
          <w:tcPr>
            <w:tcW w:w="741" w:type="pct"/>
            <w:vMerge/>
            <w:vAlign w:val="center"/>
          </w:tcPr>
          <w:p w14:paraId="727A9675" w14:textId="77777777" w:rsidR="002133E3" w:rsidRDefault="002133E3">
            <w:pPr>
              <w:widowControl/>
              <w:jc w:val="left"/>
              <w:rPr>
                <w:rFonts w:ascii="Times New Roman" w:eastAsia="宋体" w:hAnsi="Times New Roman" w:cs="Times New Roman"/>
                <w:b/>
                <w:bCs/>
                <w:kern w:val="0"/>
                <w:szCs w:val="21"/>
              </w:rPr>
            </w:pPr>
          </w:p>
        </w:tc>
        <w:tc>
          <w:tcPr>
            <w:tcW w:w="680" w:type="pct"/>
            <w:vMerge/>
            <w:vAlign w:val="center"/>
          </w:tcPr>
          <w:p w14:paraId="63EAF3AC" w14:textId="77777777" w:rsidR="002133E3" w:rsidRDefault="002133E3">
            <w:pPr>
              <w:widowControl/>
              <w:jc w:val="left"/>
              <w:rPr>
                <w:rFonts w:ascii="Times New Roman" w:eastAsia="宋体" w:hAnsi="Times New Roman" w:cs="Times New Roman"/>
                <w:kern w:val="0"/>
                <w:szCs w:val="21"/>
              </w:rPr>
            </w:pPr>
          </w:p>
        </w:tc>
        <w:tc>
          <w:tcPr>
            <w:tcW w:w="791" w:type="pct"/>
            <w:shd w:val="clear" w:color="auto" w:fill="auto"/>
            <w:noWrap/>
          </w:tcPr>
          <w:p w14:paraId="4793005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1007" w:type="pct"/>
            <w:shd w:val="clear" w:color="auto" w:fill="auto"/>
            <w:noWrap/>
            <w:vAlign w:val="bottom"/>
          </w:tcPr>
          <w:p w14:paraId="6D8141A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0.000351</w:t>
            </w:r>
          </w:p>
        </w:tc>
        <w:tc>
          <w:tcPr>
            <w:tcW w:w="715" w:type="pct"/>
            <w:shd w:val="clear" w:color="auto" w:fill="auto"/>
            <w:noWrap/>
            <w:vAlign w:val="bottom"/>
          </w:tcPr>
          <w:p w14:paraId="12BF9B8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平均值</w:t>
            </w:r>
          </w:p>
        </w:tc>
        <w:tc>
          <w:tcPr>
            <w:tcW w:w="533" w:type="pct"/>
            <w:shd w:val="clear" w:color="auto" w:fill="auto"/>
            <w:noWrap/>
            <w:vAlign w:val="bottom"/>
          </w:tcPr>
          <w:p w14:paraId="5BBE3C0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0.03</w:t>
            </w:r>
          </w:p>
        </w:tc>
        <w:tc>
          <w:tcPr>
            <w:tcW w:w="533" w:type="pct"/>
            <w:shd w:val="clear" w:color="auto" w:fill="auto"/>
            <w:noWrap/>
            <w:vAlign w:val="bottom"/>
          </w:tcPr>
          <w:p w14:paraId="2C116B9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bl>
    <w:p w14:paraId="6F9D1324"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各污染物浓度分布图如下：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1"/>
        <w:gridCol w:w="4943"/>
      </w:tblGrid>
      <w:tr w:rsidR="002133E3" w14:paraId="2D285314" w14:textId="77777777">
        <w:trPr>
          <w:jc w:val="center"/>
        </w:trPr>
        <w:tc>
          <w:tcPr>
            <w:tcW w:w="4870" w:type="dxa"/>
            <w:vAlign w:val="center"/>
          </w:tcPr>
          <w:p w14:paraId="77F437E6" w14:textId="77777777" w:rsidR="002133E3" w:rsidRDefault="00C22CFA">
            <w:pPr>
              <w:snapToGrid w:val="0"/>
              <w:jc w:val="center"/>
              <w:rPr>
                <w:rFonts w:ascii="Times New Roman" w:eastAsia="宋体" w:hAnsi="Times New Roman" w:cs="Times New Roman"/>
                <w:b/>
                <w:bCs/>
                <w:color w:val="000000"/>
                <w:kern w:val="0"/>
                <w:szCs w:val="21"/>
              </w:rPr>
            </w:pPr>
            <w:r>
              <w:rPr>
                <w:rFonts w:ascii="Times New Roman" w:hAnsi="Times New Roman" w:cs="Times New Roman"/>
                <w:noProof/>
              </w:rPr>
              <w:drawing>
                <wp:inline distT="0" distB="0" distL="0" distR="0" wp14:anchorId="7287B8C3" wp14:editId="5BC8183C">
                  <wp:extent cx="2860675" cy="283972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88"/>
                          <a:stretch>
                            <a:fillRect/>
                          </a:stretch>
                        </pic:blipFill>
                        <pic:spPr>
                          <a:xfrm>
                            <a:off x="0" y="0"/>
                            <a:ext cx="2871014" cy="2849864"/>
                          </a:xfrm>
                          <a:prstGeom prst="rect">
                            <a:avLst/>
                          </a:prstGeom>
                        </pic:spPr>
                      </pic:pic>
                    </a:graphicData>
                  </a:graphic>
                </wp:inline>
              </w:drawing>
            </w:r>
          </w:p>
          <w:p w14:paraId="6F115B14"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color w:val="000000"/>
                <w:kern w:val="0"/>
                <w:szCs w:val="21"/>
              </w:rPr>
              <w:t>PM</w:t>
            </w:r>
            <w:r>
              <w:rPr>
                <w:rFonts w:ascii="Times New Roman" w:eastAsia="宋体" w:hAnsi="Times New Roman" w:cs="Times New Roman"/>
                <w:b/>
                <w:bCs/>
                <w:color w:val="000000"/>
                <w:kern w:val="0"/>
                <w:szCs w:val="21"/>
                <w:vertAlign w:val="subscript"/>
              </w:rPr>
              <w:t>10</w:t>
            </w:r>
            <w:r>
              <w:rPr>
                <w:rFonts w:ascii="Times New Roman" w:eastAsia="宋体" w:hAnsi="Times New Roman" w:cs="Times New Roman"/>
                <w:b/>
                <w:bCs/>
                <w:szCs w:val="21"/>
              </w:rPr>
              <w:t>小时浓度分布图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 xml:space="preserve">) </w:t>
            </w:r>
          </w:p>
        </w:tc>
        <w:tc>
          <w:tcPr>
            <w:tcW w:w="4871" w:type="dxa"/>
            <w:vAlign w:val="center"/>
          </w:tcPr>
          <w:p w14:paraId="07DFF718" w14:textId="77777777" w:rsidR="002133E3" w:rsidRDefault="00C22CFA">
            <w:pPr>
              <w:snapToGrid w:val="0"/>
              <w:jc w:val="center"/>
              <w:rPr>
                <w:rFonts w:ascii="Times New Roman" w:eastAsia="宋体" w:hAnsi="Times New Roman" w:cs="Times New Roman"/>
                <w:b/>
                <w:bCs/>
                <w:color w:val="000000"/>
                <w:kern w:val="0"/>
                <w:szCs w:val="21"/>
              </w:rPr>
            </w:pPr>
            <w:r>
              <w:rPr>
                <w:rFonts w:ascii="Times New Roman" w:hAnsi="Times New Roman" w:cs="Times New Roman"/>
                <w:noProof/>
              </w:rPr>
              <w:drawing>
                <wp:inline distT="0" distB="0" distL="0" distR="0" wp14:anchorId="26569854" wp14:editId="631EA2E2">
                  <wp:extent cx="2928620" cy="2907030"/>
                  <wp:effectExtent l="0" t="0" r="5080"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9"/>
                          <a:stretch>
                            <a:fillRect/>
                          </a:stretch>
                        </pic:blipFill>
                        <pic:spPr>
                          <a:xfrm>
                            <a:off x="0" y="0"/>
                            <a:ext cx="2934832" cy="2913212"/>
                          </a:xfrm>
                          <a:prstGeom prst="rect">
                            <a:avLst/>
                          </a:prstGeom>
                        </pic:spPr>
                      </pic:pic>
                    </a:graphicData>
                  </a:graphic>
                </wp:inline>
              </w:drawing>
            </w:r>
          </w:p>
          <w:p w14:paraId="36170BB1"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color w:val="000000"/>
                <w:kern w:val="0"/>
                <w:szCs w:val="21"/>
              </w:rPr>
              <w:t>挥发性有机物</w:t>
            </w:r>
            <w:r>
              <w:rPr>
                <w:rFonts w:ascii="Times New Roman" w:eastAsia="宋体" w:hAnsi="Times New Roman" w:cs="Times New Roman"/>
                <w:b/>
                <w:bCs/>
                <w:szCs w:val="21"/>
              </w:rPr>
              <w:t>小时浓度分布图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r>
      <w:tr w:rsidR="002133E3" w14:paraId="17C54545" w14:textId="77777777">
        <w:trPr>
          <w:jc w:val="center"/>
        </w:trPr>
        <w:tc>
          <w:tcPr>
            <w:tcW w:w="4870" w:type="dxa"/>
            <w:vAlign w:val="center"/>
          </w:tcPr>
          <w:p w14:paraId="7F07EE91" w14:textId="77777777" w:rsidR="002133E3" w:rsidRDefault="00C22CFA">
            <w:pPr>
              <w:snapToGrid w:val="0"/>
              <w:jc w:val="center"/>
              <w:rPr>
                <w:rFonts w:ascii="Times New Roman" w:eastAsia="宋体" w:hAnsi="Times New Roman" w:cs="Times New Roman"/>
                <w:b/>
                <w:bCs/>
                <w:color w:val="000000"/>
                <w:kern w:val="0"/>
                <w:szCs w:val="21"/>
              </w:rPr>
            </w:pPr>
            <w:r>
              <w:rPr>
                <w:rFonts w:ascii="Times New Roman" w:hAnsi="Times New Roman" w:cs="Times New Roman"/>
                <w:noProof/>
              </w:rPr>
              <w:drawing>
                <wp:inline distT="0" distB="0" distL="0" distR="0" wp14:anchorId="295BA62C" wp14:editId="3C02B94E">
                  <wp:extent cx="3031490" cy="3009265"/>
                  <wp:effectExtent l="0" t="0" r="0" b="63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90"/>
                          <a:stretch>
                            <a:fillRect/>
                          </a:stretch>
                        </pic:blipFill>
                        <pic:spPr>
                          <a:xfrm>
                            <a:off x="0" y="0"/>
                            <a:ext cx="3042227" cy="3019816"/>
                          </a:xfrm>
                          <a:prstGeom prst="rect">
                            <a:avLst/>
                          </a:prstGeom>
                        </pic:spPr>
                      </pic:pic>
                    </a:graphicData>
                  </a:graphic>
                </wp:inline>
              </w:drawing>
            </w:r>
          </w:p>
          <w:p w14:paraId="6E583BBD"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甲醇小时浓度分布图</w:t>
            </w:r>
            <w:r>
              <w:rPr>
                <w:rFonts w:ascii="Times New Roman" w:eastAsia="宋体" w:hAnsi="Times New Roman" w:cs="Times New Roman"/>
                <w:b/>
                <w:bCs/>
                <w:szCs w:val="21"/>
              </w:rPr>
              <w:t>(</w:t>
            </w:r>
            <w:r>
              <w:rPr>
                <w:rFonts w:ascii="Times New Roman" w:eastAsia="宋体" w:hAnsi="Times New Roman" w:cs="Times New Roman"/>
                <w:b/>
                <w:bCs/>
                <w:szCs w:val="21"/>
              </w:rPr>
              <w:t>卸船</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c>
          <w:tcPr>
            <w:tcW w:w="4871" w:type="dxa"/>
            <w:vAlign w:val="center"/>
          </w:tcPr>
          <w:p w14:paraId="49F8C6A8" w14:textId="77777777" w:rsidR="002133E3" w:rsidRDefault="00C22CFA">
            <w:pPr>
              <w:snapToGrid w:val="0"/>
              <w:jc w:val="center"/>
              <w:rPr>
                <w:rFonts w:ascii="Times New Roman" w:eastAsia="宋体" w:hAnsi="Times New Roman" w:cs="Times New Roman"/>
                <w:b/>
                <w:bCs/>
                <w:color w:val="000000"/>
                <w:kern w:val="0"/>
                <w:szCs w:val="21"/>
              </w:rPr>
            </w:pPr>
            <w:r>
              <w:rPr>
                <w:rFonts w:ascii="Times New Roman" w:hAnsi="Times New Roman" w:cs="Times New Roman"/>
                <w:noProof/>
              </w:rPr>
              <w:drawing>
                <wp:inline distT="0" distB="0" distL="0" distR="0" wp14:anchorId="4F8BBE93" wp14:editId="3F1AF40E">
                  <wp:extent cx="3129915" cy="310705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91"/>
                          <a:stretch>
                            <a:fillRect/>
                          </a:stretch>
                        </pic:blipFill>
                        <pic:spPr>
                          <a:xfrm>
                            <a:off x="0" y="0"/>
                            <a:ext cx="3136534" cy="3113428"/>
                          </a:xfrm>
                          <a:prstGeom prst="rect">
                            <a:avLst/>
                          </a:prstGeom>
                        </pic:spPr>
                      </pic:pic>
                    </a:graphicData>
                  </a:graphic>
                </wp:inline>
              </w:drawing>
            </w:r>
          </w:p>
          <w:p w14:paraId="67EA04C1"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乙醇小时浓度分布图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r>
      <w:tr w:rsidR="002133E3" w14:paraId="41AB42C5" w14:textId="77777777">
        <w:trPr>
          <w:jc w:val="center"/>
        </w:trPr>
        <w:tc>
          <w:tcPr>
            <w:tcW w:w="4870" w:type="dxa"/>
            <w:vAlign w:val="center"/>
          </w:tcPr>
          <w:p w14:paraId="05FF23CA" w14:textId="77777777" w:rsidR="002133E3" w:rsidRDefault="00C22CFA">
            <w:pPr>
              <w:snapToGrid w:val="0"/>
              <w:jc w:val="center"/>
              <w:rPr>
                <w:rFonts w:ascii="Times New Roman" w:eastAsia="宋体" w:hAnsi="Times New Roman" w:cs="Times New Roman"/>
                <w:b/>
                <w:bCs/>
                <w:color w:val="000000"/>
                <w:kern w:val="0"/>
                <w:szCs w:val="21"/>
              </w:rPr>
            </w:pPr>
            <w:r>
              <w:rPr>
                <w:rFonts w:ascii="Times New Roman" w:hAnsi="Times New Roman" w:cs="Times New Roman"/>
                <w:noProof/>
              </w:rPr>
              <w:lastRenderedPageBreak/>
              <w:drawing>
                <wp:inline distT="0" distB="0" distL="0" distR="0" wp14:anchorId="08119116" wp14:editId="24F79DDC">
                  <wp:extent cx="3108960" cy="3085465"/>
                  <wp:effectExtent l="0" t="0" r="0" b="63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92"/>
                          <a:stretch>
                            <a:fillRect/>
                          </a:stretch>
                        </pic:blipFill>
                        <pic:spPr>
                          <a:xfrm>
                            <a:off x="0" y="0"/>
                            <a:ext cx="3114700" cy="3091755"/>
                          </a:xfrm>
                          <a:prstGeom prst="rect">
                            <a:avLst/>
                          </a:prstGeom>
                        </pic:spPr>
                      </pic:pic>
                    </a:graphicData>
                  </a:graphic>
                </wp:inline>
              </w:drawing>
            </w:r>
          </w:p>
          <w:p w14:paraId="280CA6F2"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color w:val="000000"/>
                <w:kern w:val="0"/>
                <w:szCs w:val="21"/>
              </w:rPr>
              <w:t>PM</w:t>
            </w:r>
            <w:r>
              <w:rPr>
                <w:rFonts w:ascii="Times New Roman" w:eastAsia="宋体" w:hAnsi="Times New Roman" w:cs="Times New Roman"/>
                <w:b/>
                <w:bCs/>
                <w:color w:val="000000"/>
                <w:kern w:val="0"/>
                <w:szCs w:val="21"/>
                <w:vertAlign w:val="subscript"/>
              </w:rPr>
              <w:t>10</w:t>
            </w:r>
            <w:r>
              <w:rPr>
                <w:rFonts w:ascii="Times New Roman" w:eastAsia="宋体" w:hAnsi="Times New Roman" w:cs="Times New Roman"/>
                <w:b/>
                <w:bCs/>
                <w:szCs w:val="21"/>
              </w:rPr>
              <w:t>日均值分布图</w:t>
            </w:r>
            <w:r>
              <w:rPr>
                <w:rFonts w:ascii="Times New Roman" w:eastAsia="宋体" w:hAnsi="Times New Roman" w:cs="Times New Roman"/>
                <w:b/>
                <w:bCs/>
                <w:szCs w:val="21"/>
              </w:rPr>
              <w:t xml:space="preserve"> (mg/m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 xml:space="preserve">) </w:t>
            </w:r>
          </w:p>
        </w:tc>
        <w:tc>
          <w:tcPr>
            <w:tcW w:w="4871" w:type="dxa"/>
            <w:vAlign w:val="center"/>
          </w:tcPr>
          <w:p w14:paraId="086D4BFD" w14:textId="77777777" w:rsidR="002133E3" w:rsidRDefault="00C22CFA">
            <w:pPr>
              <w:snapToGrid w:val="0"/>
              <w:jc w:val="center"/>
              <w:rPr>
                <w:rFonts w:ascii="Times New Roman" w:eastAsia="宋体" w:hAnsi="Times New Roman" w:cs="Times New Roman"/>
                <w:b/>
                <w:bCs/>
                <w:color w:val="000000"/>
                <w:kern w:val="0"/>
                <w:szCs w:val="21"/>
              </w:rPr>
            </w:pPr>
            <w:r>
              <w:rPr>
                <w:rFonts w:ascii="Times New Roman" w:hAnsi="Times New Roman" w:cs="Times New Roman"/>
                <w:noProof/>
              </w:rPr>
              <w:drawing>
                <wp:inline distT="0" distB="0" distL="0" distR="0" wp14:anchorId="4A6FC27C" wp14:editId="3C84E66A">
                  <wp:extent cx="3058795" cy="3035935"/>
                  <wp:effectExtent l="0" t="0" r="825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93"/>
                          <a:stretch>
                            <a:fillRect/>
                          </a:stretch>
                        </pic:blipFill>
                        <pic:spPr>
                          <a:xfrm>
                            <a:off x="0" y="0"/>
                            <a:ext cx="3069547" cy="3046934"/>
                          </a:xfrm>
                          <a:prstGeom prst="rect">
                            <a:avLst/>
                          </a:prstGeom>
                        </pic:spPr>
                      </pic:pic>
                    </a:graphicData>
                  </a:graphic>
                </wp:inline>
              </w:drawing>
            </w:r>
          </w:p>
          <w:p w14:paraId="6408D39E"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color w:val="000000"/>
                <w:kern w:val="0"/>
                <w:szCs w:val="21"/>
              </w:rPr>
              <w:t>挥发性有机物</w:t>
            </w:r>
            <w:r>
              <w:rPr>
                <w:rFonts w:ascii="Times New Roman" w:eastAsia="宋体" w:hAnsi="Times New Roman" w:cs="Times New Roman"/>
                <w:b/>
                <w:bCs/>
                <w:szCs w:val="21"/>
              </w:rPr>
              <w:t>日均值分布图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r>
      <w:tr w:rsidR="002133E3" w14:paraId="46B9EB95" w14:textId="77777777">
        <w:trPr>
          <w:jc w:val="center"/>
        </w:trPr>
        <w:tc>
          <w:tcPr>
            <w:tcW w:w="4870" w:type="dxa"/>
            <w:vAlign w:val="center"/>
          </w:tcPr>
          <w:p w14:paraId="622D4865" w14:textId="77777777" w:rsidR="002133E3" w:rsidRDefault="00C22CFA">
            <w:pPr>
              <w:snapToGrid w:val="0"/>
              <w:jc w:val="center"/>
              <w:rPr>
                <w:rFonts w:ascii="Times New Roman" w:eastAsia="宋体" w:hAnsi="Times New Roman" w:cs="Times New Roman"/>
                <w:b/>
                <w:bCs/>
                <w:szCs w:val="21"/>
              </w:rPr>
            </w:pPr>
            <w:r>
              <w:rPr>
                <w:rFonts w:ascii="Times New Roman" w:hAnsi="Times New Roman" w:cs="Times New Roman"/>
                <w:noProof/>
              </w:rPr>
              <w:drawing>
                <wp:inline distT="0" distB="0" distL="0" distR="0" wp14:anchorId="51884267" wp14:editId="736857B6">
                  <wp:extent cx="3081655" cy="3058795"/>
                  <wp:effectExtent l="0" t="0" r="4445" b="825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94"/>
                          <a:stretch>
                            <a:fillRect/>
                          </a:stretch>
                        </pic:blipFill>
                        <pic:spPr>
                          <a:xfrm>
                            <a:off x="0" y="0"/>
                            <a:ext cx="3105034" cy="3082160"/>
                          </a:xfrm>
                          <a:prstGeom prst="rect">
                            <a:avLst/>
                          </a:prstGeom>
                        </pic:spPr>
                      </pic:pic>
                    </a:graphicData>
                  </a:graphic>
                </wp:inline>
              </w:drawing>
            </w:r>
          </w:p>
          <w:p w14:paraId="7E3F39CE"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甲醇日均值分布图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 xml:space="preserve">) </w:t>
            </w:r>
          </w:p>
        </w:tc>
        <w:tc>
          <w:tcPr>
            <w:tcW w:w="4871" w:type="dxa"/>
            <w:vAlign w:val="center"/>
          </w:tcPr>
          <w:p w14:paraId="5A99A259" w14:textId="77777777" w:rsidR="002133E3" w:rsidRDefault="00C22CFA">
            <w:pPr>
              <w:snapToGrid w:val="0"/>
              <w:jc w:val="center"/>
              <w:rPr>
                <w:rFonts w:ascii="Times New Roman" w:eastAsia="宋体" w:hAnsi="Times New Roman" w:cs="Times New Roman"/>
                <w:b/>
                <w:bCs/>
                <w:szCs w:val="21"/>
              </w:rPr>
            </w:pPr>
            <w:r>
              <w:rPr>
                <w:rFonts w:ascii="Times New Roman" w:hAnsi="Times New Roman" w:cs="Times New Roman"/>
                <w:noProof/>
              </w:rPr>
              <w:drawing>
                <wp:inline distT="0" distB="0" distL="0" distR="0" wp14:anchorId="04F9C959" wp14:editId="7DAE01EB">
                  <wp:extent cx="3031490" cy="3009265"/>
                  <wp:effectExtent l="0" t="0" r="0" b="63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5"/>
                          <a:stretch>
                            <a:fillRect/>
                          </a:stretch>
                        </pic:blipFill>
                        <pic:spPr>
                          <a:xfrm>
                            <a:off x="0" y="0"/>
                            <a:ext cx="3037310" cy="3014935"/>
                          </a:xfrm>
                          <a:prstGeom prst="rect">
                            <a:avLst/>
                          </a:prstGeom>
                        </pic:spPr>
                      </pic:pic>
                    </a:graphicData>
                  </a:graphic>
                </wp:inline>
              </w:drawing>
            </w:r>
          </w:p>
          <w:p w14:paraId="52F61CC1"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乙醇日均值分布图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r>
      <w:tr w:rsidR="002133E3" w14:paraId="4313ECD9" w14:textId="77777777">
        <w:trPr>
          <w:jc w:val="center"/>
        </w:trPr>
        <w:tc>
          <w:tcPr>
            <w:tcW w:w="4870" w:type="dxa"/>
            <w:vAlign w:val="center"/>
          </w:tcPr>
          <w:p w14:paraId="658F9A4E" w14:textId="77777777" w:rsidR="002133E3" w:rsidRDefault="00C22CFA">
            <w:pPr>
              <w:snapToGrid w:val="0"/>
              <w:jc w:val="center"/>
              <w:rPr>
                <w:rFonts w:ascii="Times New Roman" w:eastAsia="宋体" w:hAnsi="Times New Roman" w:cs="Times New Roman"/>
                <w:b/>
                <w:bCs/>
                <w:color w:val="000000"/>
                <w:kern w:val="0"/>
                <w:szCs w:val="21"/>
              </w:rPr>
            </w:pPr>
            <w:r>
              <w:rPr>
                <w:rFonts w:ascii="Times New Roman" w:hAnsi="Times New Roman" w:cs="Times New Roman"/>
                <w:noProof/>
              </w:rPr>
              <w:lastRenderedPageBreak/>
              <w:drawing>
                <wp:inline distT="0" distB="0" distL="0" distR="0" wp14:anchorId="178C831E" wp14:editId="048EDB5C">
                  <wp:extent cx="3074670" cy="305181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96"/>
                          <a:stretch>
                            <a:fillRect/>
                          </a:stretch>
                        </pic:blipFill>
                        <pic:spPr>
                          <a:xfrm>
                            <a:off x="0" y="0"/>
                            <a:ext cx="3082084" cy="3059379"/>
                          </a:xfrm>
                          <a:prstGeom prst="rect">
                            <a:avLst/>
                          </a:prstGeom>
                        </pic:spPr>
                      </pic:pic>
                    </a:graphicData>
                  </a:graphic>
                </wp:inline>
              </w:drawing>
            </w:r>
          </w:p>
          <w:p w14:paraId="511F80BF"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color w:val="000000"/>
                <w:kern w:val="0"/>
                <w:szCs w:val="21"/>
              </w:rPr>
              <w:t>PM</w:t>
            </w:r>
            <w:r>
              <w:rPr>
                <w:rFonts w:ascii="Times New Roman" w:eastAsia="宋体" w:hAnsi="Times New Roman" w:cs="Times New Roman"/>
                <w:b/>
                <w:bCs/>
                <w:color w:val="000000"/>
                <w:kern w:val="0"/>
                <w:szCs w:val="21"/>
                <w:vertAlign w:val="subscript"/>
              </w:rPr>
              <w:t>10</w:t>
            </w:r>
            <w:r>
              <w:rPr>
                <w:rFonts w:ascii="Times New Roman" w:eastAsia="宋体" w:hAnsi="Times New Roman" w:cs="Times New Roman"/>
                <w:b/>
                <w:bCs/>
                <w:szCs w:val="21"/>
              </w:rPr>
              <w:t>全时段分布图</w:t>
            </w:r>
            <w:r>
              <w:rPr>
                <w:rFonts w:ascii="Times New Roman" w:eastAsia="宋体" w:hAnsi="Times New Roman" w:cs="Times New Roman"/>
                <w:b/>
                <w:bCs/>
                <w:szCs w:val="21"/>
              </w:rPr>
              <w:t xml:space="preserve"> (mg/m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 xml:space="preserve">) </w:t>
            </w:r>
          </w:p>
        </w:tc>
        <w:tc>
          <w:tcPr>
            <w:tcW w:w="4871" w:type="dxa"/>
            <w:vAlign w:val="center"/>
          </w:tcPr>
          <w:p w14:paraId="409AF422" w14:textId="77777777" w:rsidR="002133E3" w:rsidRDefault="00C22CFA">
            <w:pPr>
              <w:snapToGrid w:val="0"/>
              <w:jc w:val="center"/>
              <w:rPr>
                <w:rFonts w:ascii="Times New Roman" w:eastAsia="宋体" w:hAnsi="Times New Roman" w:cs="Times New Roman"/>
                <w:color w:val="000000"/>
                <w:kern w:val="0"/>
                <w:szCs w:val="21"/>
              </w:rPr>
            </w:pPr>
            <w:r>
              <w:rPr>
                <w:rFonts w:ascii="Times New Roman" w:hAnsi="Times New Roman" w:cs="Times New Roman"/>
                <w:noProof/>
              </w:rPr>
              <w:drawing>
                <wp:inline distT="0" distB="0" distL="0" distR="0" wp14:anchorId="77821A81" wp14:editId="553FCF02">
                  <wp:extent cx="3021330" cy="2999105"/>
                  <wp:effectExtent l="0" t="0" r="762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97"/>
                          <a:stretch>
                            <a:fillRect/>
                          </a:stretch>
                        </pic:blipFill>
                        <pic:spPr>
                          <a:xfrm>
                            <a:off x="0" y="0"/>
                            <a:ext cx="3027812" cy="3005508"/>
                          </a:xfrm>
                          <a:prstGeom prst="rect">
                            <a:avLst/>
                          </a:prstGeom>
                        </pic:spPr>
                      </pic:pic>
                    </a:graphicData>
                  </a:graphic>
                </wp:inline>
              </w:drawing>
            </w:r>
          </w:p>
          <w:p w14:paraId="1394808A"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color w:val="000000"/>
                <w:kern w:val="0"/>
                <w:szCs w:val="21"/>
              </w:rPr>
              <w:t>挥发性有机物</w:t>
            </w:r>
            <w:r>
              <w:rPr>
                <w:rFonts w:ascii="Times New Roman" w:eastAsia="宋体" w:hAnsi="Times New Roman" w:cs="Times New Roman"/>
                <w:b/>
                <w:bCs/>
                <w:szCs w:val="21"/>
              </w:rPr>
              <w:t>全时段分布图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r>
      <w:tr w:rsidR="002133E3" w14:paraId="5EAC0048" w14:textId="77777777">
        <w:trPr>
          <w:jc w:val="center"/>
        </w:trPr>
        <w:tc>
          <w:tcPr>
            <w:tcW w:w="4870" w:type="dxa"/>
            <w:vAlign w:val="center"/>
          </w:tcPr>
          <w:p w14:paraId="6E721BF1" w14:textId="77777777" w:rsidR="002133E3" w:rsidRDefault="00C22CFA">
            <w:pPr>
              <w:snapToGrid w:val="0"/>
              <w:jc w:val="center"/>
              <w:rPr>
                <w:rFonts w:ascii="Times New Roman" w:eastAsia="宋体" w:hAnsi="Times New Roman" w:cs="Times New Roman"/>
                <w:b/>
                <w:bCs/>
                <w:szCs w:val="21"/>
              </w:rPr>
            </w:pPr>
            <w:r>
              <w:rPr>
                <w:rFonts w:ascii="Times New Roman" w:hAnsi="Times New Roman" w:cs="Times New Roman"/>
                <w:noProof/>
              </w:rPr>
              <w:drawing>
                <wp:inline distT="0" distB="0" distL="0" distR="0" wp14:anchorId="0BF55B38" wp14:editId="5EB91E80">
                  <wp:extent cx="3083560" cy="3060700"/>
                  <wp:effectExtent l="0" t="0" r="2540" b="635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8"/>
                          <a:stretch>
                            <a:fillRect/>
                          </a:stretch>
                        </pic:blipFill>
                        <pic:spPr>
                          <a:xfrm>
                            <a:off x="0" y="0"/>
                            <a:ext cx="3093793" cy="3071002"/>
                          </a:xfrm>
                          <a:prstGeom prst="rect">
                            <a:avLst/>
                          </a:prstGeom>
                        </pic:spPr>
                      </pic:pic>
                    </a:graphicData>
                  </a:graphic>
                </wp:inline>
              </w:drawing>
            </w:r>
          </w:p>
          <w:p w14:paraId="2AA6E7F6"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甲醇全时段分布图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 xml:space="preserve">) </w:t>
            </w:r>
          </w:p>
        </w:tc>
        <w:tc>
          <w:tcPr>
            <w:tcW w:w="4871" w:type="dxa"/>
            <w:vAlign w:val="center"/>
          </w:tcPr>
          <w:p w14:paraId="601D8223" w14:textId="77777777" w:rsidR="002133E3" w:rsidRDefault="00C22CFA">
            <w:pPr>
              <w:snapToGrid w:val="0"/>
              <w:jc w:val="center"/>
              <w:rPr>
                <w:rFonts w:ascii="Times New Roman" w:eastAsia="宋体" w:hAnsi="Times New Roman" w:cs="Times New Roman"/>
                <w:b/>
                <w:bCs/>
                <w:szCs w:val="21"/>
              </w:rPr>
            </w:pPr>
            <w:r>
              <w:rPr>
                <w:rFonts w:ascii="Times New Roman" w:hAnsi="Times New Roman" w:cs="Times New Roman"/>
                <w:noProof/>
              </w:rPr>
              <w:drawing>
                <wp:inline distT="0" distB="0" distL="0" distR="0" wp14:anchorId="7ED40650" wp14:editId="270327E5">
                  <wp:extent cx="3040380" cy="3017520"/>
                  <wp:effectExtent l="0" t="0" r="762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99"/>
                          <a:stretch>
                            <a:fillRect/>
                          </a:stretch>
                        </pic:blipFill>
                        <pic:spPr>
                          <a:xfrm>
                            <a:off x="0" y="0"/>
                            <a:ext cx="3047993" cy="3025539"/>
                          </a:xfrm>
                          <a:prstGeom prst="rect">
                            <a:avLst/>
                          </a:prstGeom>
                        </pic:spPr>
                      </pic:pic>
                    </a:graphicData>
                  </a:graphic>
                </wp:inline>
              </w:drawing>
            </w:r>
          </w:p>
          <w:p w14:paraId="67165446"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乙醇全时段分布图</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r>
    </w:tbl>
    <w:p w14:paraId="0793B7D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叠加后环境质量浓度预测及其分析</w:t>
      </w:r>
    </w:p>
    <w:p w14:paraId="4900FD09"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各因子叠加环境质量浓度预测结果见表</w:t>
      </w:r>
      <w:r>
        <w:rPr>
          <w:rFonts w:ascii="Times New Roman" w:eastAsia="宋体" w:hAnsi="Times New Roman" w:cs="Times New Roman"/>
          <w:sz w:val="28"/>
          <w:szCs w:val="28"/>
        </w:rPr>
        <w:t>6.2-12</w:t>
      </w:r>
      <w:r>
        <w:rPr>
          <w:rFonts w:ascii="Times New Roman" w:eastAsia="宋体" w:hAnsi="Times New Roman" w:cs="Times New Roman"/>
          <w:sz w:val="28"/>
          <w:szCs w:val="28"/>
        </w:rPr>
        <w:t>。</w:t>
      </w:r>
    </w:p>
    <w:p w14:paraId="45F8301D"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6.2-12 </w:t>
      </w:r>
      <w:r>
        <w:rPr>
          <w:rFonts w:ascii="Times New Roman" w:eastAsia="宋体" w:hAnsi="Times New Roman" w:cs="Times New Roman"/>
          <w:b/>
          <w:sz w:val="24"/>
          <w:szCs w:val="24"/>
        </w:rPr>
        <w:t>叠加后环境质量浓度预测结果表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9"/>
        <w:gridCol w:w="1175"/>
        <w:gridCol w:w="1364"/>
        <w:gridCol w:w="1736"/>
        <w:gridCol w:w="1232"/>
        <w:gridCol w:w="1232"/>
        <w:gridCol w:w="918"/>
        <w:gridCol w:w="918"/>
      </w:tblGrid>
      <w:tr w:rsidR="002133E3" w14:paraId="646E0B8E" w14:textId="77777777">
        <w:trPr>
          <w:trHeight w:val="315"/>
          <w:jc w:val="center"/>
        </w:trPr>
        <w:tc>
          <w:tcPr>
            <w:tcW w:w="649" w:type="pct"/>
            <w:shd w:val="clear" w:color="auto" w:fill="auto"/>
            <w:noWrap/>
            <w:vAlign w:val="center"/>
          </w:tcPr>
          <w:p w14:paraId="5D5AAD5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596" w:type="pct"/>
            <w:shd w:val="clear" w:color="auto" w:fill="auto"/>
            <w:noWrap/>
            <w:vAlign w:val="center"/>
          </w:tcPr>
          <w:p w14:paraId="7AB7BBA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预测点</w:t>
            </w:r>
          </w:p>
        </w:tc>
        <w:tc>
          <w:tcPr>
            <w:tcW w:w="692" w:type="pct"/>
            <w:shd w:val="clear" w:color="auto" w:fill="auto"/>
            <w:noWrap/>
            <w:vAlign w:val="center"/>
          </w:tcPr>
          <w:p w14:paraId="75A74E4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平均时段</w:t>
            </w:r>
          </w:p>
        </w:tc>
        <w:tc>
          <w:tcPr>
            <w:tcW w:w="881" w:type="pct"/>
            <w:shd w:val="clear" w:color="auto" w:fill="auto"/>
            <w:noWrap/>
            <w:vAlign w:val="center"/>
          </w:tcPr>
          <w:p w14:paraId="2E73252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本项目贡献值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625" w:type="pct"/>
            <w:vAlign w:val="center"/>
          </w:tcPr>
          <w:p w14:paraId="126532E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背景现状</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625" w:type="pct"/>
            <w:shd w:val="clear" w:color="auto" w:fill="auto"/>
            <w:noWrap/>
            <w:vAlign w:val="center"/>
          </w:tcPr>
          <w:p w14:paraId="4F5E39F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叠加值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466" w:type="pct"/>
            <w:shd w:val="clear" w:color="auto" w:fill="auto"/>
            <w:noWrap/>
            <w:vAlign w:val="center"/>
          </w:tcPr>
          <w:p w14:paraId="6CE3344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占标率</w:t>
            </w:r>
            <w:r>
              <w:rPr>
                <w:rFonts w:ascii="Times New Roman" w:eastAsia="宋体" w:hAnsi="Times New Roman" w:cs="Times New Roman"/>
                <w:b/>
                <w:bCs/>
                <w:kern w:val="0"/>
                <w:szCs w:val="21"/>
              </w:rPr>
              <w:t>%</w:t>
            </w:r>
          </w:p>
        </w:tc>
        <w:tc>
          <w:tcPr>
            <w:tcW w:w="466" w:type="pct"/>
            <w:shd w:val="clear" w:color="auto" w:fill="auto"/>
            <w:noWrap/>
            <w:vAlign w:val="center"/>
          </w:tcPr>
          <w:p w14:paraId="6358E5A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达标情况</w:t>
            </w:r>
          </w:p>
        </w:tc>
      </w:tr>
      <w:tr w:rsidR="002133E3" w14:paraId="4B95C379" w14:textId="77777777">
        <w:trPr>
          <w:trHeight w:val="285"/>
          <w:jc w:val="center"/>
        </w:trPr>
        <w:tc>
          <w:tcPr>
            <w:tcW w:w="649" w:type="pct"/>
            <w:vMerge w:val="restart"/>
            <w:shd w:val="clear" w:color="auto" w:fill="auto"/>
            <w:noWrap/>
            <w:vAlign w:val="center"/>
          </w:tcPr>
          <w:p w14:paraId="6CBE3E0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color w:val="000000"/>
                <w:kern w:val="0"/>
                <w:szCs w:val="21"/>
              </w:rPr>
              <w:t>PM</w:t>
            </w:r>
            <w:r>
              <w:rPr>
                <w:rFonts w:ascii="Times New Roman" w:eastAsia="宋体" w:hAnsi="Times New Roman" w:cs="Times New Roman"/>
                <w:color w:val="000000"/>
                <w:kern w:val="0"/>
                <w:szCs w:val="21"/>
                <w:vertAlign w:val="subscript"/>
              </w:rPr>
              <w:t>10</w:t>
            </w:r>
          </w:p>
        </w:tc>
        <w:tc>
          <w:tcPr>
            <w:tcW w:w="596" w:type="pct"/>
            <w:vMerge w:val="restart"/>
            <w:shd w:val="clear" w:color="auto" w:fill="auto"/>
            <w:noWrap/>
            <w:vAlign w:val="center"/>
          </w:tcPr>
          <w:p w14:paraId="595E342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692" w:type="pct"/>
            <w:shd w:val="clear" w:color="auto" w:fill="auto"/>
            <w:noWrap/>
          </w:tcPr>
          <w:p w14:paraId="0E04DE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6BD2A5B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0.0107</w:t>
            </w:r>
          </w:p>
        </w:tc>
        <w:tc>
          <w:tcPr>
            <w:tcW w:w="625" w:type="pct"/>
            <w:vAlign w:val="bottom"/>
          </w:tcPr>
          <w:p w14:paraId="0B2B5B55"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w:t>
            </w:r>
          </w:p>
        </w:tc>
        <w:tc>
          <w:tcPr>
            <w:tcW w:w="625" w:type="pct"/>
            <w:shd w:val="clear" w:color="auto" w:fill="auto"/>
            <w:noWrap/>
            <w:vAlign w:val="bottom"/>
          </w:tcPr>
          <w:p w14:paraId="195B92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0.0107</w:t>
            </w:r>
          </w:p>
        </w:tc>
        <w:tc>
          <w:tcPr>
            <w:tcW w:w="466" w:type="pct"/>
            <w:shd w:val="clear" w:color="auto" w:fill="auto"/>
            <w:noWrap/>
            <w:vAlign w:val="bottom"/>
          </w:tcPr>
          <w:p w14:paraId="6905F72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2.37</w:t>
            </w:r>
          </w:p>
        </w:tc>
        <w:tc>
          <w:tcPr>
            <w:tcW w:w="466" w:type="pct"/>
            <w:shd w:val="clear" w:color="auto" w:fill="auto"/>
            <w:noWrap/>
            <w:vAlign w:val="bottom"/>
          </w:tcPr>
          <w:p w14:paraId="24E6F6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791B85DE" w14:textId="77777777">
        <w:trPr>
          <w:trHeight w:val="285"/>
          <w:jc w:val="center"/>
        </w:trPr>
        <w:tc>
          <w:tcPr>
            <w:tcW w:w="649" w:type="pct"/>
            <w:vMerge/>
            <w:shd w:val="clear" w:color="auto" w:fill="auto"/>
            <w:noWrap/>
            <w:vAlign w:val="center"/>
          </w:tcPr>
          <w:p w14:paraId="4B78E5FA" w14:textId="77777777" w:rsidR="002133E3" w:rsidRDefault="002133E3">
            <w:pPr>
              <w:widowControl/>
              <w:jc w:val="center"/>
              <w:rPr>
                <w:rFonts w:ascii="Times New Roman" w:eastAsia="宋体" w:hAnsi="Times New Roman" w:cs="Times New Roman"/>
                <w:kern w:val="0"/>
                <w:szCs w:val="21"/>
              </w:rPr>
            </w:pPr>
          </w:p>
        </w:tc>
        <w:tc>
          <w:tcPr>
            <w:tcW w:w="596" w:type="pct"/>
            <w:vMerge/>
            <w:shd w:val="clear" w:color="auto" w:fill="auto"/>
            <w:noWrap/>
            <w:vAlign w:val="center"/>
          </w:tcPr>
          <w:p w14:paraId="781B8CAC"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53F08F0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4EACED9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0.0008</w:t>
            </w:r>
          </w:p>
        </w:tc>
        <w:tc>
          <w:tcPr>
            <w:tcW w:w="625" w:type="pct"/>
            <w:vAlign w:val="bottom"/>
          </w:tcPr>
          <w:p w14:paraId="5B22B994"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5E363DC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0.0698</w:t>
            </w:r>
          </w:p>
        </w:tc>
        <w:tc>
          <w:tcPr>
            <w:tcW w:w="466" w:type="pct"/>
            <w:shd w:val="clear" w:color="auto" w:fill="auto"/>
            <w:noWrap/>
            <w:vAlign w:val="bottom"/>
          </w:tcPr>
          <w:p w14:paraId="61EDD5E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46.53</w:t>
            </w:r>
          </w:p>
        </w:tc>
        <w:tc>
          <w:tcPr>
            <w:tcW w:w="466" w:type="pct"/>
            <w:shd w:val="clear" w:color="auto" w:fill="auto"/>
            <w:noWrap/>
            <w:vAlign w:val="bottom"/>
          </w:tcPr>
          <w:p w14:paraId="7C342FD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30C58C48" w14:textId="77777777">
        <w:trPr>
          <w:trHeight w:val="285"/>
          <w:jc w:val="center"/>
        </w:trPr>
        <w:tc>
          <w:tcPr>
            <w:tcW w:w="649" w:type="pct"/>
            <w:vMerge/>
            <w:vAlign w:val="center"/>
          </w:tcPr>
          <w:p w14:paraId="2FEB9C25"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7CD21313" w14:textId="77777777" w:rsidR="002133E3" w:rsidRDefault="002133E3">
            <w:pPr>
              <w:widowControl/>
              <w:jc w:val="left"/>
              <w:rPr>
                <w:rFonts w:ascii="Times New Roman" w:eastAsia="宋体" w:hAnsi="Times New Roman" w:cs="Times New Roman"/>
                <w:kern w:val="0"/>
                <w:szCs w:val="21"/>
              </w:rPr>
            </w:pPr>
          </w:p>
        </w:tc>
        <w:tc>
          <w:tcPr>
            <w:tcW w:w="692" w:type="pct"/>
            <w:shd w:val="clear" w:color="auto" w:fill="auto"/>
            <w:noWrap/>
          </w:tcPr>
          <w:p w14:paraId="2232C5B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881" w:type="pct"/>
            <w:shd w:val="clear" w:color="auto" w:fill="auto"/>
            <w:noWrap/>
            <w:vAlign w:val="bottom"/>
          </w:tcPr>
          <w:p w14:paraId="10D833E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0.0000649</w:t>
            </w:r>
          </w:p>
        </w:tc>
        <w:tc>
          <w:tcPr>
            <w:tcW w:w="625" w:type="pct"/>
            <w:vAlign w:val="bottom"/>
          </w:tcPr>
          <w:p w14:paraId="514D169D"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156967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0.0691</w:t>
            </w:r>
          </w:p>
        </w:tc>
        <w:tc>
          <w:tcPr>
            <w:tcW w:w="466" w:type="pct"/>
            <w:shd w:val="clear" w:color="auto" w:fill="auto"/>
            <w:noWrap/>
            <w:vAlign w:val="bottom"/>
          </w:tcPr>
          <w:p w14:paraId="07A5BAD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98.66</w:t>
            </w:r>
          </w:p>
        </w:tc>
        <w:tc>
          <w:tcPr>
            <w:tcW w:w="466" w:type="pct"/>
            <w:shd w:val="clear" w:color="auto" w:fill="auto"/>
            <w:noWrap/>
            <w:vAlign w:val="bottom"/>
          </w:tcPr>
          <w:p w14:paraId="7BFCEAB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556D6770" w14:textId="77777777">
        <w:trPr>
          <w:trHeight w:val="285"/>
          <w:jc w:val="center"/>
        </w:trPr>
        <w:tc>
          <w:tcPr>
            <w:tcW w:w="649" w:type="pct"/>
            <w:vMerge/>
            <w:vAlign w:val="center"/>
          </w:tcPr>
          <w:p w14:paraId="25A36E50"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vAlign w:val="center"/>
          </w:tcPr>
          <w:p w14:paraId="09CBC9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692" w:type="pct"/>
            <w:shd w:val="clear" w:color="auto" w:fill="auto"/>
            <w:noWrap/>
          </w:tcPr>
          <w:p w14:paraId="6A0AB0E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373103B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0.0219</w:t>
            </w:r>
          </w:p>
        </w:tc>
        <w:tc>
          <w:tcPr>
            <w:tcW w:w="625" w:type="pct"/>
            <w:vAlign w:val="bottom"/>
          </w:tcPr>
          <w:p w14:paraId="6E68DBCC"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w:t>
            </w:r>
          </w:p>
        </w:tc>
        <w:tc>
          <w:tcPr>
            <w:tcW w:w="625" w:type="pct"/>
            <w:shd w:val="clear" w:color="auto" w:fill="auto"/>
            <w:noWrap/>
            <w:vAlign w:val="bottom"/>
          </w:tcPr>
          <w:p w14:paraId="47C50A2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0.0219</w:t>
            </w:r>
          </w:p>
        </w:tc>
        <w:tc>
          <w:tcPr>
            <w:tcW w:w="466" w:type="pct"/>
            <w:shd w:val="clear" w:color="auto" w:fill="auto"/>
            <w:noWrap/>
            <w:vAlign w:val="bottom"/>
          </w:tcPr>
          <w:p w14:paraId="6D2393D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4.87</w:t>
            </w:r>
          </w:p>
        </w:tc>
        <w:tc>
          <w:tcPr>
            <w:tcW w:w="466" w:type="pct"/>
            <w:shd w:val="clear" w:color="auto" w:fill="auto"/>
            <w:noWrap/>
            <w:vAlign w:val="bottom"/>
          </w:tcPr>
          <w:p w14:paraId="08EBB43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4802607A" w14:textId="77777777">
        <w:trPr>
          <w:trHeight w:val="285"/>
          <w:jc w:val="center"/>
        </w:trPr>
        <w:tc>
          <w:tcPr>
            <w:tcW w:w="649" w:type="pct"/>
            <w:vMerge/>
            <w:vAlign w:val="center"/>
          </w:tcPr>
          <w:p w14:paraId="61261C23"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0E124C80"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6F0D7F8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73E30EC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0.00199</w:t>
            </w:r>
          </w:p>
        </w:tc>
        <w:tc>
          <w:tcPr>
            <w:tcW w:w="625" w:type="pct"/>
            <w:vAlign w:val="bottom"/>
          </w:tcPr>
          <w:p w14:paraId="68BAB7F1"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5E2F75A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0.071</w:t>
            </w:r>
          </w:p>
        </w:tc>
        <w:tc>
          <w:tcPr>
            <w:tcW w:w="466" w:type="pct"/>
            <w:shd w:val="clear" w:color="auto" w:fill="auto"/>
            <w:noWrap/>
            <w:vAlign w:val="bottom"/>
          </w:tcPr>
          <w:p w14:paraId="5DC2B24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47.33</w:t>
            </w:r>
          </w:p>
        </w:tc>
        <w:tc>
          <w:tcPr>
            <w:tcW w:w="466" w:type="pct"/>
            <w:shd w:val="clear" w:color="auto" w:fill="auto"/>
            <w:noWrap/>
            <w:vAlign w:val="bottom"/>
          </w:tcPr>
          <w:p w14:paraId="113F649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47C7452B" w14:textId="77777777">
        <w:trPr>
          <w:trHeight w:val="285"/>
          <w:jc w:val="center"/>
        </w:trPr>
        <w:tc>
          <w:tcPr>
            <w:tcW w:w="649" w:type="pct"/>
            <w:vMerge/>
            <w:vAlign w:val="center"/>
          </w:tcPr>
          <w:p w14:paraId="1E3BF294"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7CD5CB76" w14:textId="77777777" w:rsidR="002133E3" w:rsidRDefault="002133E3">
            <w:pPr>
              <w:widowControl/>
              <w:jc w:val="left"/>
              <w:rPr>
                <w:rFonts w:ascii="Times New Roman" w:eastAsia="宋体" w:hAnsi="Times New Roman" w:cs="Times New Roman"/>
                <w:kern w:val="0"/>
                <w:szCs w:val="21"/>
              </w:rPr>
            </w:pPr>
          </w:p>
        </w:tc>
        <w:tc>
          <w:tcPr>
            <w:tcW w:w="692" w:type="pct"/>
            <w:shd w:val="clear" w:color="auto" w:fill="auto"/>
            <w:noWrap/>
          </w:tcPr>
          <w:p w14:paraId="30EB7AC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881" w:type="pct"/>
            <w:shd w:val="clear" w:color="auto" w:fill="auto"/>
            <w:noWrap/>
            <w:vAlign w:val="bottom"/>
          </w:tcPr>
          <w:p w14:paraId="54D3244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0.000239</w:t>
            </w:r>
          </w:p>
        </w:tc>
        <w:tc>
          <w:tcPr>
            <w:tcW w:w="625" w:type="pct"/>
            <w:vAlign w:val="bottom"/>
          </w:tcPr>
          <w:p w14:paraId="4324744A"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688E1E4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0.0692</w:t>
            </w:r>
          </w:p>
        </w:tc>
        <w:tc>
          <w:tcPr>
            <w:tcW w:w="466" w:type="pct"/>
            <w:shd w:val="clear" w:color="auto" w:fill="auto"/>
            <w:noWrap/>
            <w:vAlign w:val="bottom"/>
          </w:tcPr>
          <w:p w14:paraId="2F2DBE5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98.91</w:t>
            </w:r>
          </w:p>
        </w:tc>
        <w:tc>
          <w:tcPr>
            <w:tcW w:w="466" w:type="pct"/>
            <w:shd w:val="clear" w:color="auto" w:fill="auto"/>
            <w:noWrap/>
            <w:vAlign w:val="bottom"/>
          </w:tcPr>
          <w:p w14:paraId="08EB592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215D9EC5" w14:textId="77777777">
        <w:trPr>
          <w:trHeight w:val="285"/>
          <w:jc w:val="center"/>
        </w:trPr>
        <w:tc>
          <w:tcPr>
            <w:tcW w:w="649" w:type="pct"/>
            <w:vMerge/>
            <w:vAlign w:val="center"/>
          </w:tcPr>
          <w:p w14:paraId="42B557F7"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shd w:val="clear" w:color="auto" w:fill="auto"/>
            <w:noWrap/>
            <w:vAlign w:val="center"/>
          </w:tcPr>
          <w:p w14:paraId="41FC744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692" w:type="pct"/>
            <w:shd w:val="clear" w:color="auto" w:fill="auto"/>
            <w:noWrap/>
          </w:tcPr>
          <w:p w14:paraId="0D0672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4B536DB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0.0438</w:t>
            </w:r>
          </w:p>
        </w:tc>
        <w:tc>
          <w:tcPr>
            <w:tcW w:w="625" w:type="pct"/>
            <w:vAlign w:val="bottom"/>
          </w:tcPr>
          <w:p w14:paraId="5AA5CAE5"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w:t>
            </w:r>
          </w:p>
        </w:tc>
        <w:tc>
          <w:tcPr>
            <w:tcW w:w="625" w:type="pct"/>
            <w:shd w:val="clear" w:color="auto" w:fill="auto"/>
            <w:noWrap/>
            <w:vAlign w:val="bottom"/>
          </w:tcPr>
          <w:p w14:paraId="256587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0.0107</w:t>
            </w:r>
          </w:p>
        </w:tc>
        <w:tc>
          <w:tcPr>
            <w:tcW w:w="466" w:type="pct"/>
            <w:shd w:val="clear" w:color="auto" w:fill="auto"/>
            <w:noWrap/>
            <w:vAlign w:val="bottom"/>
          </w:tcPr>
          <w:p w14:paraId="4319E6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2.37</w:t>
            </w:r>
          </w:p>
        </w:tc>
        <w:tc>
          <w:tcPr>
            <w:tcW w:w="466" w:type="pct"/>
            <w:shd w:val="clear" w:color="auto" w:fill="auto"/>
            <w:noWrap/>
            <w:vAlign w:val="bottom"/>
          </w:tcPr>
          <w:p w14:paraId="53ACA5B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59E7CFDA" w14:textId="77777777">
        <w:trPr>
          <w:trHeight w:val="285"/>
          <w:jc w:val="center"/>
        </w:trPr>
        <w:tc>
          <w:tcPr>
            <w:tcW w:w="649" w:type="pct"/>
            <w:vMerge/>
            <w:vAlign w:val="center"/>
          </w:tcPr>
          <w:p w14:paraId="1FA09DC5" w14:textId="77777777" w:rsidR="002133E3" w:rsidRDefault="002133E3">
            <w:pPr>
              <w:widowControl/>
              <w:jc w:val="left"/>
              <w:rPr>
                <w:rFonts w:ascii="Times New Roman" w:eastAsia="宋体" w:hAnsi="Times New Roman" w:cs="Times New Roman"/>
                <w:b/>
                <w:bCs/>
                <w:kern w:val="0"/>
                <w:szCs w:val="21"/>
              </w:rPr>
            </w:pPr>
          </w:p>
        </w:tc>
        <w:tc>
          <w:tcPr>
            <w:tcW w:w="596" w:type="pct"/>
            <w:vMerge/>
            <w:shd w:val="clear" w:color="auto" w:fill="auto"/>
            <w:noWrap/>
            <w:vAlign w:val="center"/>
          </w:tcPr>
          <w:p w14:paraId="6FD15CDD"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4DE4835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52909B5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0.00669</w:t>
            </w:r>
          </w:p>
        </w:tc>
        <w:tc>
          <w:tcPr>
            <w:tcW w:w="625" w:type="pct"/>
            <w:vAlign w:val="bottom"/>
          </w:tcPr>
          <w:p w14:paraId="10A54669"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2F8AD4C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0.0698</w:t>
            </w:r>
          </w:p>
        </w:tc>
        <w:tc>
          <w:tcPr>
            <w:tcW w:w="466" w:type="pct"/>
            <w:shd w:val="clear" w:color="auto" w:fill="auto"/>
            <w:noWrap/>
            <w:vAlign w:val="bottom"/>
          </w:tcPr>
          <w:p w14:paraId="7C11BDB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46.53</w:t>
            </w:r>
          </w:p>
        </w:tc>
        <w:tc>
          <w:tcPr>
            <w:tcW w:w="466" w:type="pct"/>
            <w:shd w:val="clear" w:color="auto" w:fill="auto"/>
            <w:noWrap/>
            <w:vAlign w:val="bottom"/>
          </w:tcPr>
          <w:p w14:paraId="4FA7229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7341392A" w14:textId="77777777">
        <w:trPr>
          <w:trHeight w:val="285"/>
          <w:jc w:val="center"/>
        </w:trPr>
        <w:tc>
          <w:tcPr>
            <w:tcW w:w="649" w:type="pct"/>
            <w:vMerge/>
            <w:vAlign w:val="center"/>
          </w:tcPr>
          <w:p w14:paraId="2D1DD0D6"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6BE17822" w14:textId="77777777" w:rsidR="002133E3" w:rsidRDefault="002133E3">
            <w:pPr>
              <w:widowControl/>
              <w:jc w:val="left"/>
              <w:rPr>
                <w:rFonts w:ascii="Times New Roman" w:eastAsia="宋体" w:hAnsi="Times New Roman" w:cs="Times New Roman"/>
                <w:kern w:val="0"/>
                <w:szCs w:val="21"/>
              </w:rPr>
            </w:pPr>
          </w:p>
        </w:tc>
        <w:tc>
          <w:tcPr>
            <w:tcW w:w="692" w:type="pct"/>
            <w:shd w:val="clear" w:color="auto" w:fill="auto"/>
            <w:noWrap/>
          </w:tcPr>
          <w:p w14:paraId="43CA9AC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881" w:type="pct"/>
            <w:shd w:val="clear" w:color="auto" w:fill="auto"/>
            <w:noWrap/>
            <w:vAlign w:val="bottom"/>
          </w:tcPr>
          <w:p w14:paraId="4E9F8E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0.000771</w:t>
            </w:r>
          </w:p>
        </w:tc>
        <w:tc>
          <w:tcPr>
            <w:tcW w:w="625" w:type="pct"/>
            <w:vAlign w:val="bottom"/>
          </w:tcPr>
          <w:p w14:paraId="5A39A42F"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705C73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0.0691</w:t>
            </w:r>
          </w:p>
        </w:tc>
        <w:tc>
          <w:tcPr>
            <w:tcW w:w="466" w:type="pct"/>
            <w:shd w:val="clear" w:color="auto" w:fill="auto"/>
            <w:noWrap/>
            <w:vAlign w:val="bottom"/>
          </w:tcPr>
          <w:p w14:paraId="25C2C44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98.66</w:t>
            </w:r>
          </w:p>
        </w:tc>
        <w:tc>
          <w:tcPr>
            <w:tcW w:w="466" w:type="pct"/>
            <w:shd w:val="clear" w:color="auto" w:fill="auto"/>
            <w:noWrap/>
            <w:vAlign w:val="bottom"/>
          </w:tcPr>
          <w:p w14:paraId="3BEFA2B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2A1D0E26" w14:textId="77777777">
        <w:trPr>
          <w:trHeight w:val="285"/>
          <w:jc w:val="center"/>
        </w:trPr>
        <w:tc>
          <w:tcPr>
            <w:tcW w:w="649" w:type="pct"/>
            <w:vMerge w:val="restart"/>
            <w:shd w:val="clear" w:color="auto" w:fill="auto"/>
            <w:noWrap/>
            <w:vAlign w:val="center"/>
          </w:tcPr>
          <w:p w14:paraId="283AEA6F"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kern w:val="0"/>
                <w:szCs w:val="21"/>
              </w:rPr>
              <w:t>挥发性有机物</w:t>
            </w:r>
          </w:p>
        </w:tc>
        <w:tc>
          <w:tcPr>
            <w:tcW w:w="596" w:type="pct"/>
            <w:vMerge w:val="restart"/>
            <w:shd w:val="clear" w:color="auto" w:fill="auto"/>
            <w:noWrap/>
            <w:vAlign w:val="center"/>
          </w:tcPr>
          <w:p w14:paraId="774066A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692" w:type="pct"/>
            <w:shd w:val="clear" w:color="auto" w:fill="auto"/>
            <w:noWrap/>
          </w:tcPr>
          <w:p w14:paraId="7CAE4B8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4594BC2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0.00125</w:t>
            </w:r>
          </w:p>
        </w:tc>
        <w:tc>
          <w:tcPr>
            <w:tcW w:w="625" w:type="pct"/>
            <w:vAlign w:val="bottom"/>
          </w:tcPr>
          <w:p w14:paraId="760422D3"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w:t>
            </w:r>
          </w:p>
        </w:tc>
        <w:tc>
          <w:tcPr>
            <w:tcW w:w="625" w:type="pct"/>
            <w:shd w:val="clear" w:color="auto" w:fill="auto"/>
            <w:noWrap/>
            <w:vAlign w:val="bottom"/>
          </w:tcPr>
          <w:p w14:paraId="17B8EAF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0.0219</w:t>
            </w:r>
          </w:p>
        </w:tc>
        <w:tc>
          <w:tcPr>
            <w:tcW w:w="466" w:type="pct"/>
            <w:shd w:val="clear" w:color="auto" w:fill="auto"/>
            <w:noWrap/>
            <w:vAlign w:val="bottom"/>
          </w:tcPr>
          <w:p w14:paraId="2C1BF34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4.87</w:t>
            </w:r>
          </w:p>
        </w:tc>
        <w:tc>
          <w:tcPr>
            <w:tcW w:w="466" w:type="pct"/>
            <w:shd w:val="clear" w:color="auto" w:fill="auto"/>
            <w:noWrap/>
            <w:vAlign w:val="bottom"/>
          </w:tcPr>
          <w:p w14:paraId="4751D9C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2ED212D6" w14:textId="77777777">
        <w:trPr>
          <w:trHeight w:val="285"/>
          <w:jc w:val="center"/>
        </w:trPr>
        <w:tc>
          <w:tcPr>
            <w:tcW w:w="649" w:type="pct"/>
            <w:vMerge/>
            <w:shd w:val="clear" w:color="auto" w:fill="auto"/>
            <w:noWrap/>
            <w:vAlign w:val="center"/>
          </w:tcPr>
          <w:p w14:paraId="37B493A2" w14:textId="77777777" w:rsidR="002133E3" w:rsidRDefault="002133E3">
            <w:pPr>
              <w:widowControl/>
              <w:jc w:val="center"/>
              <w:rPr>
                <w:rFonts w:ascii="Times New Roman" w:eastAsia="宋体" w:hAnsi="Times New Roman" w:cs="Times New Roman"/>
                <w:kern w:val="0"/>
                <w:szCs w:val="21"/>
              </w:rPr>
            </w:pPr>
          </w:p>
        </w:tc>
        <w:tc>
          <w:tcPr>
            <w:tcW w:w="596" w:type="pct"/>
            <w:vMerge/>
            <w:shd w:val="clear" w:color="auto" w:fill="auto"/>
            <w:noWrap/>
            <w:vAlign w:val="center"/>
          </w:tcPr>
          <w:p w14:paraId="259080CD"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33A9EED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193DB5E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0.0000932</w:t>
            </w:r>
          </w:p>
        </w:tc>
        <w:tc>
          <w:tcPr>
            <w:tcW w:w="625" w:type="pct"/>
            <w:vAlign w:val="bottom"/>
          </w:tcPr>
          <w:p w14:paraId="6F785766"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76BDE74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0.071</w:t>
            </w:r>
          </w:p>
        </w:tc>
        <w:tc>
          <w:tcPr>
            <w:tcW w:w="466" w:type="pct"/>
            <w:shd w:val="clear" w:color="auto" w:fill="auto"/>
            <w:noWrap/>
            <w:vAlign w:val="bottom"/>
          </w:tcPr>
          <w:p w14:paraId="6E5D848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47.33</w:t>
            </w:r>
          </w:p>
        </w:tc>
        <w:tc>
          <w:tcPr>
            <w:tcW w:w="466" w:type="pct"/>
            <w:shd w:val="clear" w:color="auto" w:fill="auto"/>
            <w:noWrap/>
            <w:vAlign w:val="bottom"/>
          </w:tcPr>
          <w:p w14:paraId="14B2EA4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6B79147B" w14:textId="77777777">
        <w:trPr>
          <w:trHeight w:val="285"/>
          <w:jc w:val="center"/>
        </w:trPr>
        <w:tc>
          <w:tcPr>
            <w:tcW w:w="649" w:type="pct"/>
            <w:vMerge/>
            <w:vAlign w:val="center"/>
          </w:tcPr>
          <w:p w14:paraId="4C29774E"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6DD2C3D3"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49AF63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881" w:type="pct"/>
            <w:shd w:val="clear" w:color="auto" w:fill="auto"/>
            <w:noWrap/>
            <w:vAlign w:val="bottom"/>
          </w:tcPr>
          <w:p w14:paraId="688324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0.00000708</w:t>
            </w:r>
          </w:p>
        </w:tc>
        <w:tc>
          <w:tcPr>
            <w:tcW w:w="625" w:type="pct"/>
            <w:vAlign w:val="bottom"/>
          </w:tcPr>
          <w:p w14:paraId="0A0F99D5"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138D3E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0.0692</w:t>
            </w:r>
          </w:p>
        </w:tc>
        <w:tc>
          <w:tcPr>
            <w:tcW w:w="466" w:type="pct"/>
            <w:shd w:val="clear" w:color="auto" w:fill="auto"/>
            <w:noWrap/>
            <w:vAlign w:val="bottom"/>
          </w:tcPr>
          <w:p w14:paraId="2CAED7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98.91</w:t>
            </w:r>
          </w:p>
        </w:tc>
        <w:tc>
          <w:tcPr>
            <w:tcW w:w="466" w:type="pct"/>
            <w:shd w:val="clear" w:color="auto" w:fill="auto"/>
            <w:noWrap/>
            <w:vAlign w:val="bottom"/>
          </w:tcPr>
          <w:p w14:paraId="4A8856D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19028502" w14:textId="77777777">
        <w:trPr>
          <w:trHeight w:val="285"/>
          <w:jc w:val="center"/>
        </w:trPr>
        <w:tc>
          <w:tcPr>
            <w:tcW w:w="649" w:type="pct"/>
            <w:vMerge/>
            <w:vAlign w:val="center"/>
          </w:tcPr>
          <w:p w14:paraId="1F13955E"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vAlign w:val="center"/>
          </w:tcPr>
          <w:p w14:paraId="4D55F3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692" w:type="pct"/>
            <w:shd w:val="clear" w:color="auto" w:fill="auto"/>
            <w:noWrap/>
          </w:tcPr>
          <w:p w14:paraId="755E7F0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453D0C0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0.0016</w:t>
            </w:r>
          </w:p>
        </w:tc>
        <w:tc>
          <w:tcPr>
            <w:tcW w:w="625" w:type="pct"/>
            <w:vAlign w:val="bottom"/>
          </w:tcPr>
          <w:p w14:paraId="520387EA"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w:t>
            </w:r>
          </w:p>
        </w:tc>
        <w:tc>
          <w:tcPr>
            <w:tcW w:w="625" w:type="pct"/>
            <w:shd w:val="clear" w:color="auto" w:fill="auto"/>
            <w:noWrap/>
            <w:vAlign w:val="bottom"/>
          </w:tcPr>
          <w:p w14:paraId="6C82034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0.0438</w:t>
            </w:r>
          </w:p>
        </w:tc>
        <w:tc>
          <w:tcPr>
            <w:tcW w:w="466" w:type="pct"/>
            <w:shd w:val="clear" w:color="auto" w:fill="auto"/>
            <w:noWrap/>
            <w:vAlign w:val="bottom"/>
          </w:tcPr>
          <w:p w14:paraId="52C3E05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9.73</w:t>
            </w:r>
          </w:p>
        </w:tc>
        <w:tc>
          <w:tcPr>
            <w:tcW w:w="466" w:type="pct"/>
            <w:shd w:val="clear" w:color="auto" w:fill="auto"/>
            <w:noWrap/>
            <w:vAlign w:val="bottom"/>
          </w:tcPr>
          <w:p w14:paraId="3F82D3C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0518AC4C" w14:textId="77777777">
        <w:trPr>
          <w:trHeight w:val="285"/>
          <w:jc w:val="center"/>
        </w:trPr>
        <w:tc>
          <w:tcPr>
            <w:tcW w:w="649" w:type="pct"/>
            <w:vMerge/>
            <w:vAlign w:val="center"/>
          </w:tcPr>
          <w:p w14:paraId="10B554CD"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1783035C"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18248D7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4D537B5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0.000257</w:t>
            </w:r>
          </w:p>
        </w:tc>
        <w:tc>
          <w:tcPr>
            <w:tcW w:w="625" w:type="pct"/>
            <w:vAlign w:val="bottom"/>
          </w:tcPr>
          <w:p w14:paraId="16AFE7DE"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755EDDA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0.0757</w:t>
            </w:r>
          </w:p>
        </w:tc>
        <w:tc>
          <w:tcPr>
            <w:tcW w:w="466" w:type="pct"/>
            <w:shd w:val="clear" w:color="auto" w:fill="auto"/>
            <w:noWrap/>
            <w:vAlign w:val="bottom"/>
          </w:tcPr>
          <w:p w14:paraId="536A3DB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50.46</w:t>
            </w:r>
          </w:p>
        </w:tc>
        <w:tc>
          <w:tcPr>
            <w:tcW w:w="466" w:type="pct"/>
            <w:shd w:val="clear" w:color="auto" w:fill="auto"/>
            <w:noWrap/>
            <w:vAlign w:val="bottom"/>
          </w:tcPr>
          <w:p w14:paraId="2DCF4F0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0D95F5D0" w14:textId="77777777">
        <w:trPr>
          <w:trHeight w:val="285"/>
          <w:jc w:val="center"/>
        </w:trPr>
        <w:tc>
          <w:tcPr>
            <w:tcW w:w="649" w:type="pct"/>
            <w:vMerge/>
            <w:vAlign w:val="center"/>
          </w:tcPr>
          <w:p w14:paraId="1E969BC7"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12E2F5AA"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27F7427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881" w:type="pct"/>
            <w:shd w:val="clear" w:color="auto" w:fill="auto"/>
            <w:noWrap/>
            <w:vAlign w:val="bottom"/>
          </w:tcPr>
          <w:p w14:paraId="53BDA28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0.000029</w:t>
            </w:r>
          </w:p>
        </w:tc>
        <w:tc>
          <w:tcPr>
            <w:tcW w:w="625" w:type="pct"/>
            <w:vAlign w:val="bottom"/>
          </w:tcPr>
          <w:p w14:paraId="2D11D477"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0.069</w:t>
            </w:r>
          </w:p>
        </w:tc>
        <w:tc>
          <w:tcPr>
            <w:tcW w:w="625" w:type="pct"/>
            <w:shd w:val="clear" w:color="auto" w:fill="auto"/>
            <w:noWrap/>
            <w:vAlign w:val="bottom"/>
          </w:tcPr>
          <w:p w14:paraId="2010998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0.0698</w:t>
            </w:r>
          </w:p>
        </w:tc>
        <w:tc>
          <w:tcPr>
            <w:tcW w:w="466" w:type="pct"/>
            <w:shd w:val="clear" w:color="auto" w:fill="auto"/>
            <w:noWrap/>
            <w:vAlign w:val="bottom"/>
          </w:tcPr>
          <w:p w14:paraId="37DE575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99.67</w:t>
            </w:r>
          </w:p>
        </w:tc>
        <w:tc>
          <w:tcPr>
            <w:tcW w:w="466" w:type="pct"/>
            <w:shd w:val="clear" w:color="auto" w:fill="auto"/>
            <w:noWrap/>
            <w:vAlign w:val="bottom"/>
          </w:tcPr>
          <w:p w14:paraId="67C8634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18037B63" w14:textId="77777777">
        <w:trPr>
          <w:trHeight w:val="285"/>
          <w:jc w:val="center"/>
        </w:trPr>
        <w:tc>
          <w:tcPr>
            <w:tcW w:w="649" w:type="pct"/>
            <w:vMerge/>
            <w:vAlign w:val="center"/>
          </w:tcPr>
          <w:p w14:paraId="4D03DD91"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shd w:val="clear" w:color="auto" w:fill="auto"/>
            <w:noWrap/>
            <w:vAlign w:val="center"/>
          </w:tcPr>
          <w:p w14:paraId="2857D59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692" w:type="pct"/>
            <w:shd w:val="clear" w:color="auto" w:fill="auto"/>
            <w:noWrap/>
          </w:tcPr>
          <w:p w14:paraId="4CA930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11B015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0.00337</w:t>
            </w:r>
          </w:p>
        </w:tc>
        <w:tc>
          <w:tcPr>
            <w:tcW w:w="625" w:type="pct"/>
            <w:vAlign w:val="bottom"/>
          </w:tcPr>
          <w:p w14:paraId="2B2679B0"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7E1716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0.681</w:t>
            </w:r>
          </w:p>
        </w:tc>
        <w:tc>
          <w:tcPr>
            <w:tcW w:w="466" w:type="pct"/>
            <w:shd w:val="clear" w:color="auto" w:fill="auto"/>
            <w:noWrap/>
            <w:vAlign w:val="bottom"/>
          </w:tcPr>
          <w:p w14:paraId="56C1442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56.77</w:t>
            </w:r>
          </w:p>
        </w:tc>
        <w:tc>
          <w:tcPr>
            <w:tcW w:w="466" w:type="pct"/>
            <w:shd w:val="clear" w:color="auto" w:fill="auto"/>
            <w:noWrap/>
            <w:vAlign w:val="bottom"/>
          </w:tcPr>
          <w:p w14:paraId="4F5F59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46620468" w14:textId="77777777">
        <w:trPr>
          <w:trHeight w:val="285"/>
          <w:jc w:val="center"/>
        </w:trPr>
        <w:tc>
          <w:tcPr>
            <w:tcW w:w="649" w:type="pct"/>
            <w:vMerge/>
            <w:vAlign w:val="center"/>
          </w:tcPr>
          <w:p w14:paraId="58A14DDE" w14:textId="77777777" w:rsidR="002133E3" w:rsidRDefault="002133E3">
            <w:pPr>
              <w:widowControl/>
              <w:jc w:val="left"/>
              <w:rPr>
                <w:rFonts w:ascii="Times New Roman" w:eastAsia="宋体" w:hAnsi="Times New Roman" w:cs="Times New Roman"/>
                <w:b/>
                <w:bCs/>
                <w:kern w:val="0"/>
                <w:szCs w:val="21"/>
              </w:rPr>
            </w:pPr>
          </w:p>
        </w:tc>
        <w:tc>
          <w:tcPr>
            <w:tcW w:w="596" w:type="pct"/>
            <w:vMerge/>
            <w:shd w:val="clear" w:color="auto" w:fill="auto"/>
            <w:noWrap/>
            <w:vAlign w:val="center"/>
          </w:tcPr>
          <w:p w14:paraId="3F3533BC"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770E975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05D037C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0.000656</w:t>
            </w:r>
          </w:p>
        </w:tc>
        <w:tc>
          <w:tcPr>
            <w:tcW w:w="625" w:type="pct"/>
            <w:vAlign w:val="bottom"/>
          </w:tcPr>
          <w:p w14:paraId="1FF975A3"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4022B09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0.68</w:t>
            </w:r>
          </w:p>
        </w:tc>
        <w:tc>
          <w:tcPr>
            <w:tcW w:w="466" w:type="pct"/>
            <w:shd w:val="clear" w:color="auto" w:fill="auto"/>
            <w:noWrap/>
            <w:vAlign w:val="bottom"/>
          </w:tcPr>
          <w:p w14:paraId="0DDDDB3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13307E1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1079EF9E" w14:textId="77777777">
        <w:trPr>
          <w:trHeight w:val="285"/>
          <w:jc w:val="center"/>
        </w:trPr>
        <w:tc>
          <w:tcPr>
            <w:tcW w:w="649" w:type="pct"/>
            <w:vMerge/>
            <w:vAlign w:val="center"/>
          </w:tcPr>
          <w:p w14:paraId="394FF1A2"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4AF5A440" w14:textId="77777777" w:rsidR="002133E3" w:rsidRDefault="002133E3">
            <w:pPr>
              <w:widowControl/>
              <w:jc w:val="left"/>
              <w:rPr>
                <w:rFonts w:ascii="Times New Roman" w:eastAsia="宋体" w:hAnsi="Times New Roman" w:cs="Times New Roman"/>
                <w:kern w:val="0"/>
                <w:szCs w:val="21"/>
              </w:rPr>
            </w:pPr>
          </w:p>
        </w:tc>
        <w:tc>
          <w:tcPr>
            <w:tcW w:w="692" w:type="pct"/>
            <w:shd w:val="clear" w:color="auto" w:fill="auto"/>
            <w:noWrap/>
          </w:tcPr>
          <w:p w14:paraId="4CAB014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881" w:type="pct"/>
            <w:shd w:val="clear" w:color="auto" w:fill="auto"/>
            <w:noWrap/>
            <w:vAlign w:val="bottom"/>
          </w:tcPr>
          <w:p w14:paraId="575C7B9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0.0000737</w:t>
            </w:r>
          </w:p>
        </w:tc>
        <w:tc>
          <w:tcPr>
            <w:tcW w:w="625" w:type="pct"/>
            <w:vAlign w:val="bottom"/>
          </w:tcPr>
          <w:p w14:paraId="11FF6E83"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0.508</w:t>
            </w:r>
          </w:p>
        </w:tc>
        <w:tc>
          <w:tcPr>
            <w:tcW w:w="625" w:type="pct"/>
            <w:shd w:val="clear" w:color="auto" w:fill="auto"/>
            <w:noWrap/>
            <w:vAlign w:val="bottom"/>
          </w:tcPr>
          <w:p w14:paraId="0F3F52B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0.508</w:t>
            </w:r>
          </w:p>
        </w:tc>
        <w:tc>
          <w:tcPr>
            <w:tcW w:w="466" w:type="pct"/>
            <w:shd w:val="clear" w:color="auto" w:fill="auto"/>
            <w:noWrap/>
            <w:vAlign w:val="bottom"/>
          </w:tcPr>
          <w:p w14:paraId="0B54CFA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4FAF3B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未知</w:t>
            </w:r>
          </w:p>
        </w:tc>
      </w:tr>
      <w:tr w:rsidR="002133E3" w14:paraId="180E4467" w14:textId="77777777">
        <w:trPr>
          <w:trHeight w:val="285"/>
          <w:jc w:val="center"/>
        </w:trPr>
        <w:tc>
          <w:tcPr>
            <w:tcW w:w="649" w:type="pct"/>
            <w:vMerge w:val="restart"/>
            <w:shd w:val="clear" w:color="auto" w:fill="auto"/>
            <w:noWrap/>
            <w:vAlign w:val="center"/>
          </w:tcPr>
          <w:p w14:paraId="30EA3E37"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rPr>
              <w:t>甲醇</w:t>
            </w:r>
          </w:p>
        </w:tc>
        <w:tc>
          <w:tcPr>
            <w:tcW w:w="596" w:type="pct"/>
            <w:vMerge w:val="restart"/>
            <w:shd w:val="clear" w:color="auto" w:fill="auto"/>
            <w:noWrap/>
            <w:vAlign w:val="center"/>
          </w:tcPr>
          <w:p w14:paraId="2561983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692" w:type="pct"/>
            <w:shd w:val="clear" w:color="auto" w:fill="auto"/>
            <w:noWrap/>
          </w:tcPr>
          <w:p w14:paraId="2C18BCA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4C0A7AF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0.0000505</w:t>
            </w:r>
          </w:p>
        </w:tc>
        <w:tc>
          <w:tcPr>
            <w:tcW w:w="625" w:type="pct"/>
            <w:vAlign w:val="bottom"/>
          </w:tcPr>
          <w:p w14:paraId="491BE17E"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4DA68C7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0.682</w:t>
            </w:r>
          </w:p>
        </w:tc>
        <w:tc>
          <w:tcPr>
            <w:tcW w:w="466" w:type="pct"/>
            <w:shd w:val="clear" w:color="auto" w:fill="auto"/>
            <w:noWrap/>
            <w:vAlign w:val="bottom"/>
          </w:tcPr>
          <w:p w14:paraId="0967AE7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56.8</w:t>
            </w:r>
          </w:p>
        </w:tc>
        <w:tc>
          <w:tcPr>
            <w:tcW w:w="466" w:type="pct"/>
            <w:shd w:val="clear" w:color="auto" w:fill="auto"/>
            <w:noWrap/>
            <w:vAlign w:val="bottom"/>
          </w:tcPr>
          <w:p w14:paraId="699BC62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242FD0DC" w14:textId="77777777">
        <w:trPr>
          <w:trHeight w:val="285"/>
          <w:jc w:val="center"/>
        </w:trPr>
        <w:tc>
          <w:tcPr>
            <w:tcW w:w="649" w:type="pct"/>
            <w:vMerge/>
            <w:shd w:val="clear" w:color="auto" w:fill="auto"/>
            <w:noWrap/>
            <w:vAlign w:val="center"/>
          </w:tcPr>
          <w:p w14:paraId="7662E2A8" w14:textId="77777777" w:rsidR="002133E3" w:rsidRDefault="002133E3">
            <w:pPr>
              <w:widowControl/>
              <w:jc w:val="center"/>
              <w:rPr>
                <w:rFonts w:ascii="Times New Roman" w:eastAsia="宋体" w:hAnsi="Times New Roman" w:cs="Times New Roman"/>
                <w:kern w:val="0"/>
                <w:szCs w:val="21"/>
              </w:rPr>
            </w:pPr>
          </w:p>
        </w:tc>
        <w:tc>
          <w:tcPr>
            <w:tcW w:w="596" w:type="pct"/>
            <w:vMerge/>
            <w:shd w:val="clear" w:color="auto" w:fill="auto"/>
            <w:noWrap/>
            <w:vAlign w:val="center"/>
          </w:tcPr>
          <w:p w14:paraId="4A9E2C8F"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3120489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3E8D65C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0.00000378</w:t>
            </w:r>
          </w:p>
        </w:tc>
        <w:tc>
          <w:tcPr>
            <w:tcW w:w="625" w:type="pct"/>
            <w:vAlign w:val="bottom"/>
          </w:tcPr>
          <w:p w14:paraId="5186617A"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2B566B8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0.68</w:t>
            </w:r>
          </w:p>
        </w:tc>
        <w:tc>
          <w:tcPr>
            <w:tcW w:w="466" w:type="pct"/>
            <w:shd w:val="clear" w:color="auto" w:fill="auto"/>
            <w:noWrap/>
            <w:vAlign w:val="bottom"/>
          </w:tcPr>
          <w:p w14:paraId="2D67C43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00DFC90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2F7C4302" w14:textId="77777777">
        <w:trPr>
          <w:trHeight w:val="285"/>
          <w:jc w:val="center"/>
        </w:trPr>
        <w:tc>
          <w:tcPr>
            <w:tcW w:w="649" w:type="pct"/>
            <w:vMerge/>
            <w:vAlign w:val="center"/>
          </w:tcPr>
          <w:p w14:paraId="596C4E0E"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2AFB5507"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06F9B8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881" w:type="pct"/>
            <w:shd w:val="clear" w:color="auto" w:fill="auto"/>
            <w:noWrap/>
            <w:vAlign w:val="bottom"/>
          </w:tcPr>
          <w:p w14:paraId="3538053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0.00000029</w:t>
            </w:r>
          </w:p>
        </w:tc>
        <w:tc>
          <w:tcPr>
            <w:tcW w:w="625" w:type="pct"/>
            <w:vAlign w:val="bottom"/>
          </w:tcPr>
          <w:p w14:paraId="412D9DEC"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0.508</w:t>
            </w:r>
          </w:p>
        </w:tc>
        <w:tc>
          <w:tcPr>
            <w:tcW w:w="625" w:type="pct"/>
            <w:shd w:val="clear" w:color="auto" w:fill="auto"/>
            <w:noWrap/>
            <w:vAlign w:val="bottom"/>
          </w:tcPr>
          <w:p w14:paraId="0E10396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0.508</w:t>
            </w:r>
          </w:p>
        </w:tc>
        <w:tc>
          <w:tcPr>
            <w:tcW w:w="466" w:type="pct"/>
            <w:shd w:val="clear" w:color="auto" w:fill="auto"/>
            <w:noWrap/>
            <w:vAlign w:val="bottom"/>
          </w:tcPr>
          <w:p w14:paraId="1F76257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128911C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未知</w:t>
            </w:r>
          </w:p>
        </w:tc>
      </w:tr>
      <w:tr w:rsidR="002133E3" w14:paraId="12A92609" w14:textId="77777777">
        <w:trPr>
          <w:trHeight w:val="285"/>
          <w:jc w:val="center"/>
        </w:trPr>
        <w:tc>
          <w:tcPr>
            <w:tcW w:w="649" w:type="pct"/>
            <w:vMerge/>
            <w:vAlign w:val="center"/>
          </w:tcPr>
          <w:p w14:paraId="4D236849"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vAlign w:val="center"/>
          </w:tcPr>
          <w:p w14:paraId="62649A1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692" w:type="pct"/>
            <w:shd w:val="clear" w:color="auto" w:fill="auto"/>
            <w:noWrap/>
          </w:tcPr>
          <w:p w14:paraId="4877B7C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33D1FDD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0.0000649</w:t>
            </w:r>
          </w:p>
        </w:tc>
        <w:tc>
          <w:tcPr>
            <w:tcW w:w="625" w:type="pct"/>
            <w:vAlign w:val="bottom"/>
          </w:tcPr>
          <w:p w14:paraId="1A043C49"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2F8976D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0.681</w:t>
            </w:r>
          </w:p>
        </w:tc>
        <w:tc>
          <w:tcPr>
            <w:tcW w:w="466" w:type="pct"/>
            <w:shd w:val="clear" w:color="auto" w:fill="auto"/>
            <w:noWrap/>
            <w:vAlign w:val="bottom"/>
          </w:tcPr>
          <w:p w14:paraId="479FEF8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56.77</w:t>
            </w:r>
          </w:p>
        </w:tc>
        <w:tc>
          <w:tcPr>
            <w:tcW w:w="466" w:type="pct"/>
            <w:shd w:val="clear" w:color="auto" w:fill="auto"/>
            <w:noWrap/>
            <w:vAlign w:val="bottom"/>
          </w:tcPr>
          <w:p w14:paraId="5DB5632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20299BCB" w14:textId="77777777">
        <w:trPr>
          <w:trHeight w:val="285"/>
          <w:jc w:val="center"/>
        </w:trPr>
        <w:tc>
          <w:tcPr>
            <w:tcW w:w="649" w:type="pct"/>
            <w:vMerge/>
            <w:vAlign w:val="center"/>
          </w:tcPr>
          <w:p w14:paraId="7E24E575"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6883B090"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1F19764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2EDB663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0.0000104</w:t>
            </w:r>
          </w:p>
        </w:tc>
        <w:tc>
          <w:tcPr>
            <w:tcW w:w="625" w:type="pct"/>
            <w:vAlign w:val="bottom"/>
          </w:tcPr>
          <w:p w14:paraId="31EC754A"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575C6BA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0.68</w:t>
            </w:r>
          </w:p>
        </w:tc>
        <w:tc>
          <w:tcPr>
            <w:tcW w:w="466" w:type="pct"/>
            <w:shd w:val="clear" w:color="auto" w:fill="auto"/>
            <w:noWrap/>
            <w:vAlign w:val="bottom"/>
          </w:tcPr>
          <w:p w14:paraId="0F9AC25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3F1EEAF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11D99C43" w14:textId="77777777">
        <w:trPr>
          <w:trHeight w:val="285"/>
          <w:jc w:val="center"/>
        </w:trPr>
        <w:tc>
          <w:tcPr>
            <w:tcW w:w="649" w:type="pct"/>
            <w:vMerge/>
            <w:vAlign w:val="center"/>
          </w:tcPr>
          <w:p w14:paraId="774A70D7"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7DD7EDD9"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5FCCA6E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881" w:type="pct"/>
            <w:shd w:val="clear" w:color="auto" w:fill="auto"/>
            <w:noWrap/>
            <w:vAlign w:val="bottom"/>
          </w:tcPr>
          <w:p w14:paraId="492AC1C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0.00000118</w:t>
            </w:r>
          </w:p>
        </w:tc>
        <w:tc>
          <w:tcPr>
            <w:tcW w:w="625" w:type="pct"/>
            <w:vAlign w:val="bottom"/>
          </w:tcPr>
          <w:p w14:paraId="0857F5EA"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0.508</w:t>
            </w:r>
          </w:p>
        </w:tc>
        <w:tc>
          <w:tcPr>
            <w:tcW w:w="625" w:type="pct"/>
            <w:shd w:val="clear" w:color="auto" w:fill="auto"/>
            <w:noWrap/>
            <w:vAlign w:val="bottom"/>
          </w:tcPr>
          <w:p w14:paraId="3181BB9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0.508</w:t>
            </w:r>
          </w:p>
        </w:tc>
        <w:tc>
          <w:tcPr>
            <w:tcW w:w="466" w:type="pct"/>
            <w:shd w:val="clear" w:color="auto" w:fill="auto"/>
            <w:noWrap/>
            <w:vAlign w:val="bottom"/>
          </w:tcPr>
          <w:p w14:paraId="590688C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6ABA8DAA"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6597C2BE" w14:textId="77777777">
        <w:trPr>
          <w:trHeight w:val="285"/>
          <w:jc w:val="center"/>
        </w:trPr>
        <w:tc>
          <w:tcPr>
            <w:tcW w:w="649" w:type="pct"/>
            <w:vMerge/>
            <w:vAlign w:val="center"/>
          </w:tcPr>
          <w:p w14:paraId="644C6039"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shd w:val="clear" w:color="auto" w:fill="auto"/>
            <w:noWrap/>
            <w:vAlign w:val="center"/>
          </w:tcPr>
          <w:p w14:paraId="6114592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692" w:type="pct"/>
            <w:shd w:val="clear" w:color="auto" w:fill="auto"/>
            <w:noWrap/>
          </w:tcPr>
          <w:p w14:paraId="64ACFCF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5B717AB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0.000137</w:t>
            </w:r>
          </w:p>
        </w:tc>
        <w:tc>
          <w:tcPr>
            <w:tcW w:w="625" w:type="pct"/>
            <w:vAlign w:val="bottom"/>
          </w:tcPr>
          <w:p w14:paraId="2B7E1A19"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1FBBF37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0.682</w:t>
            </w:r>
          </w:p>
        </w:tc>
        <w:tc>
          <w:tcPr>
            <w:tcW w:w="466" w:type="pct"/>
            <w:shd w:val="clear" w:color="auto" w:fill="auto"/>
            <w:noWrap/>
            <w:vAlign w:val="bottom"/>
          </w:tcPr>
          <w:p w14:paraId="087819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56.8</w:t>
            </w:r>
          </w:p>
        </w:tc>
        <w:tc>
          <w:tcPr>
            <w:tcW w:w="466" w:type="pct"/>
            <w:shd w:val="clear" w:color="auto" w:fill="auto"/>
            <w:noWrap/>
            <w:vAlign w:val="bottom"/>
          </w:tcPr>
          <w:p w14:paraId="0285E4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达标</w:t>
            </w:r>
          </w:p>
        </w:tc>
      </w:tr>
      <w:tr w:rsidR="002133E3" w14:paraId="4EB94F26" w14:textId="77777777">
        <w:trPr>
          <w:trHeight w:val="285"/>
          <w:jc w:val="center"/>
        </w:trPr>
        <w:tc>
          <w:tcPr>
            <w:tcW w:w="649" w:type="pct"/>
            <w:vMerge/>
            <w:vAlign w:val="center"/>
          </w:tcPr>
          <w:p w14:paraId="0A16DAE1" w14:textId="77777777" w:rsidR="002133E3" w:rsidRDefault="002133E3">
            <w:pPr>
              <w:widowControl/>
              <w:jc w:val="left"/>
              <w:rPr>
                <w:rFonts w:ascii="Times New Roman" w:eastAsia="宋体" w:hAnsi="Times New Roman" w:cs="Times New Roman"/>
                <w:b/>
                <w:bCs/>
                <w:kern w:val="0"/>
                <w:szCs w:val="21"/>
              </w:rPr>
            </w:pPr>
          </w:p>
        </w:tc>
        <w:tc>
          <w:tcPr>
            <w:tcW w:w="596" w:type="pct"/>
            <w:vMerge/>
            <w:shd w:val="clear" w:color="auto" w:fill="auto"/>
            <w:noWrap/>
            <w:vAlign w:val="center"/>
          </w:tcPr>
          <w:p w14:paraId="29D7AAC7"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51BF613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3602764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0.0000266</w:t>
            </w:r>
          </w:p>
        </w:tc>
        <w:tc>
          <w:tcPr>
            <w:tcW w:w="625" w:type="pct"/>
            <w:vAlign w:val="bottom"/>
          </w:tcPr>
          <w:p w14:paraId="177FFA61"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23B50F6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0.68</w:t>
            </w:r>
          </w:p>
        </w:tc>
        <w:tc>
          <w:tcPr>
            <w:tcW w:w="466" w:type="pct"/>
            <w:shd w:val="clear" w:color="auto" w:fill="auto"/>
            <w:noWrap/>
            <w:vAlign w:val="bottom"/>
          </w:tcPr>
          <w:p w14:paraId="741C32F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78DCEE9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1E376068" w14:textId="77777777">
        <w:trPr>
          <w:trHeight w:val="285"/>
          <w:jc w:val="center"/>
        </w:trPr>
        <w:tc>
          <w:tcPr>
            <w:tcW w:w="649" w:type="pct"/>
            <w:vMerge/>
            <w:vAlign w:val="center"/>
          </w:tcPr>
          <w:p w14:paraId="361E453D"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4253063C" w14:textId="77777777" w:rsidR="002133E3" w:rsidRDefault="002133E3">
            <w:pPr>
              <w:widowControl/>
              <w:jc w:val="left"/>
              <w:rPr>
                <w:rFonts w:ascii="Times New Roman" w:eastAsia="宋体" w:hAnsi="Times New Roman" w:cs="Times New Roman"/>
                <w:kern w:val="0"/>
                <w:szCs w:val="21"/>
              </w:rPr>
            </w:pPr>
          </w:p>
        </w:tc>
        <w:tc>
          <w:tcPr>
            <w:tcW w:w="692" w:type="pct"/>
            <w:shd w:val="clear" w:color="auto" w:fill="auto"/>
            <w:noWrap/>
          </w:tcPr>
          <w:p w14:paraId="0622F3C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年平均</w:t>
            </w:r>
          </w:p>
        </w:tc>
        <w:tc>
          <w:tcPr>
            <w:tcW w:w="881" w:type="pct"/>
            <w:shd w:val="clear" w:color="auto" w:fill="auto"/>
            <w:noWrap/>
            <w:vAlign w:val="bottom"/>
          </w:tcPr>
          <w:p w14:paraId="05EFEEA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0.00000299</w:t>
            </w:r>
          </w:p>
        </w:tc>
        <w:tc>
          <w:tcPr>
            <w:tcW w:w="625" w:type="pct"/>
            <w:vAlign w:val="bottom"/>
          </w:tcPr>
          <w:p w14:paraId="60A3DEE0"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0.508</w:t>
            </w:r>
          </w:p>
        </w:tc>
        <w:tc>
          <w:tcPr>
            <w:tcW w:w="625" w:type="pct"/>
            <w:shd w:val="clear" w:color="auto" w:fill="auto"/>
            <w:noWrap/>
            <w:vAlign w:val="bottom"/>
          </w:tcPr>
          <w:p w14:paraId="09AA1F8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0.508</w:t>
            </w:r>
          </w:p>
        </w:tc>
        <w:tc>
          <w:tcPr>
            <w:tcW w:w="466" w:type="pct"/>
            <w:shd w:val="clear" w:color="auto" w:fill="auto"/>
            <w:noWrap/>
            <w:vAlign w:val="bottom"/>
          </w:tcPr>
          <w:p w14:paraId="5E8843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2CA3AD2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未知</w:t>
            </w:r>
          </w:p>
        </w:tc>
      </w:tr>
      <w:tr w:rsidR="002133E3" w14:paraId="6B222E9E" w14:textId="77777777">
        <w:trPr>
          <w:trHeight w:val="285"/>
          <w:jc w:val="center"/>
        </w:trPr>
        <w:tc>
          <w:tcPr>
            <w:tcW w:w="649" w:type="pct"/>
            <w:vMerge w:val="restart"/>
            <w:vAlign w:val="center"/>
          </w:tcPr>
          <w:p w14:paraId="4D7A2D1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rPr>
              <w:t>乙醇</w:t>
            </w:r>
          </w:p>
        </w:tc>
        <w:tc>
          <w:tcPr>
            <w:tcW w:w="596" w:type="pct"/>
            <w:vMerge w:val="restart"/>
            <w:vAlign w:val="center"/>
          </w:tcPr>
          <w:p w14:paraId="632034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兴庄村</w:t>
            </w:r>
          </w:p>
        </w:tc>
        <w:tc>
          <w:tcPr>
            <w:tcW w:w="692" w:type="pct"/>
            <w:shd w:val="clear" w:color="auto" w:fill="auto"/>
            <w:noWrap/>
          </w:tcPr>
          <w:p w14:paraId="6579C41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0B65943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0.0026</w:t>
            </w:r>
          </w:p>
        </w:tc>
        <w:tc>
          <w:tcPr>
            <w:tcW w:w="625" w:type="pct"/>
            <w:vAlign w:val="bottom"/>
          </w:tcPr>
          <w:p w14:paraId="52F47366"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06FBF35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0.683</w:t>
            </w:r>
          </w:p>
        </w:tc>
        <w:tc>
          <w:tcPr>
            <w:tcW w:w="466" w:type="pct"/>
            <w:shd w:val="clear" w:color="auto" w:fill="auto"/>
            <w:noWrap/>
            <w:vAlign w:val="bottom"/>
          </w:tcPr>
          <w:p w14:paraId="0AB2F79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56.95</w:t>
            </w:r>
          </w:p>
        </w:tc>
        <w:tc>
          <w:tcPr>
            <w:tcW w:w="466" w:type="pct"/>
            <w:shd w:val="clear" w:color="auto" w:fill="auto"/>
            <w:noWrap/>
            <w:vAlign w:val="bottom"/>
          </w:tcPr>
          <w:p w14:paraId="0ED060E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7DCCF436" w14:textId="77777777">
        <w:trPr>
          <w:trHeight w:val="285"/>
          <w:jc w:val="center"/>
        </w:trPr>
        <w:tc>
          <w:tcPr>
            <w:tcW w:w="649" w:type="pct"/>
            <w:vMerge/>
            <w:vAlign w:val="center"/>
          </w:tcPr>
          <w:p w14:paraId="19636627" w14:textId="77777777" w:rsidR="002133E3" w:rsidRDefault="002133E3">
            <w:pPr>
              <w:widowControl/>
              <w:jc w:val="center"/>
              <w:rPr>
                <w:rFonts w:ascii="Times New Roman" w:eastAsia="宋体" w:hAnsi="Times New Roman" w:cs="Times New Roman"/>
                <w:kern w:val="0"/>
                <w:szCs w:val="21"/>
              </w:rPr>
            </w:pPr>
          </w:p>
        </w:tc>
        <w:tc>
          <w:tcPr>
            <w:tcW w:w="596" w:type="pct"/>
            <w:vMerge/>
            <w:vAlign w:val="center"/>
          </w:tcPr>
          <w:p w14:paraId="1552984C"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1CA962F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29458E6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0.000217</w:t>
            </w:r>
          </w:p>
        </w:tc>
        <w:tc>
          <w:tcPr>
            <w:tcW w:w="625" w:type="pct"/>
            <w:vAlign w:val="bottom"/>
          </w:tcPr>
          <w:p w14:paraId="6C74802C"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0.68</w:t>
            </w:r>
          </w:p>
        </w:tc>
        <w:tc>
          <w:tcPr>
            <w:tcW w:w="625" w:type="pct"/>
            <w:shd w:val="clear" w:color="auto" w:fill="auto"/>
            <w:noWrap/>
            <w:vAlign w:val="bottom"/>
          </w:tcPr>
          <w:p w14:paraId="4C65FCC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0.681</w:t>
            </w:r>
          </w:p>
        </w:tc>
        <w:tc>
          <w:tcPr>
            <w:tcW w:w="466" w:type="pct"/>
            <w:shd w:val="clear" w:color="auto" w:fill="auto"/>
            <w:noWrap/>
            <w:vAlign w:val="bottom"/>
          </w:tcPr>
          <w:p w14:paraId="7F9EAA8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0500767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5D1ED68C" w14:textId="77777777">
        <w:trPr>
          <w:trHeight w:val="285"/>
          <w:jc w:val="center"/>
        </w:trPr>
        <w:tc>
          <w:tcPr>
            <w:tcW w:w="649" w:type="pct"/>
            <w:vMerge/>
            <w:vAlign w:val="center"/>
          </w:tcPr>
          <w:p w14:paraId="3AC1C509"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36B0C934"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3723AF0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881" w:type="pct"/>
            <w:shd w:val="clear" w:color="auto" w:fill="auto"/>
            <w:noWrap/>
            <w:vAlign w:val="bottom"/>
          </w:tcPr>
          <w:p w14:paraId="6EFF536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0.0000247</w:t>
            </w:r>
          </w:p>
        </w:tc>
        <w:tc>
          <w:tcPr>
            <w:tcW w:w="625" w:type="pct"/>
            <w:vAlign w:val="bottom"/>
          </w:tcPr>
          <w:p w14:paraId="54303DEF"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0.508</w:t>
            </w:r>
          </w:p>
        </w:tc>
        <w:tc>
          <w:tcPr>
            <w:tcW w:w="625" w:type="pct"/>
            <w:shd w:val="clear" w:color="auto" w:fill="auto"/>
            <w:noWrap/>
            <w:vAlign w:val="bottom"/>
          </w:tcPr>
          <w:p w14:paraId="59C4E2A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0.508</w:t>
            </w:r>
          </w:p>
        </w:tc>
        <w:tc>
          <w:tcPr>
            <w:tcW w:w="466" w:type="pct"/>
            <w:shd w:val="clear" w:color="auto" w:fill="auto"/>
            <w:noWrap/>
            <w:vAlign w:val="bottom"/>
          </w:tcPr>
          <w:p w14:paraId="7137D890"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067BF97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630A07EE" w14:textId="77777777">
        <w:trPr>
          <w:trHeight w:val="285"/>
          <w:jc w:val="center"/>
        </w:trPr>
        <w:tc>
          <w:tcPr>
            <w:tcW w:w="649" w:type="pct"/>
            <w:vMerge/>
            <w:vAlign w:val="center"/>
          </w:tcPr>
          <w:p w14:paraId="0319A429"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vAlign w:val="center"/>
          </w:tcPr>
          <w:p w14:paraId="09BB70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李巷村</w:t>
            </w:r>
          </w:p>
        </w:tc>
        <w:tc>
          <w:tcPr>
            <w:tcW w:w="692" w:type="pct"/>
            <w:shd w:val="clear" w:color="auto" w:fill="auto"/>
            <w:noWrap/>
          </w:tcPr>
          <w:p w14:paraId="76DA42F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2E47075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0.00314</w:t>
            </w:r>
          </w:p>
        </w:tc>
        <w:tc>
          <w:tcPr>
            <w:tcW w:w="625" w:type="pct"/>
            <w:vAlign w:val="bottom"/>
          </w:tcPr>
          <w:p w14:paraId="75F1393E"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0.1</w:t>
            </w:r>
          </w:p>
        </w:tc>
        <w:tc>
          <w:tcPr>
            <w:tcW w:w="625" w:type="pct"/>
            <w:shd w:val="clear" w:color="auto" w:fill="auto"/>
            <w:noWrap/>
            <w:vAlign w:val="bottom"/>
          </w:tcPr>
          <w:p w14:paraId="422DF8E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w:t>
            </w:r>
          </w:p>
        </w:tc>
        <w:tc>
          <w:tcPr>
            <w:tcW w:w="466" w:type="pct"/>
            <w:shd w:val="clear" w:color="auto" w:fill="auto"/>
            <w:noWrap/>
            <w:vAlign w:val="bottom"/>
          </w:tcPr>
          <w:p w14:paraId="78B2C00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3.34</w:t>
            </w:r>
          </w:p>
        </w:tc>
        <w:tc>
          <w:tcPr>
            <w:tcW w:w="466" w:type="pct"/>
            <w:shd w:val="clear" w:color="auto" w:fill="auto"/>
            <w:noWrap/>
            <w:vAlign w:val="bottom"/>
          </w:tcPr>
          <w:p w14:paraId="7C7D03D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05C3FA44" w14:textId="77777777">
        <w:trPr>
          <w:trHeight w:val="285"/>
          <w:jc w:val="center"/>
        </w:trPr>
        <w:tc>
          <w:tcPr>
            <w:tcW w:w="649" w:type="pct"/>
            <w:vMerge/>
            <w:vAlign w:val="center"/>
          </w:tcPr>
          <w:p w14:paraId="12DF1CCA"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1460375E"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4A38DDA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029C149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0.000352</w:t>
            </w:r>
          </w:p>
        </w:tc>
        <w:tc>
          <w:tcPr>
            <w:tcW w:w="625" w:type="pct"/>
            <w:vAlign w:val="bottom"/>
          </w:tcPr>
          <w:p w14:paraId="38CF35FB"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0.1</w:t>
            </w:r>
          </w:p>
        </w:tc>
        <w:tc>
          <w:tcPr>
            <w:tcW w:w="625" w:type="pct"/>
            <w:shd w:val="clear" w:color="auto" w:fill="auto"/>
            <w:noWrap/>
            <w:vAlign w:val="bottom"/>
          </w:tcPr>
          <w:p w14:paraId="0056B67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w:t>
            </w:r>
          </w:p>
        </w:tc>
        <w:tc>
          <w:tcPr>
            <w:tcW w:w="466" w:type="pct"/>
            <w:shd w:val="clear" w:color="auto" w:fill="auto"/>
            <w:noWrap/>
            <w:vAlign w:val="bottom"/>
          </w:tcPr>
          <w:p w14:paraId="19A2499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10</w:t>
            </w:r>
          </w:p>
        </w:tc>
        <w:tc>
          <w:tcPr>
            <w:tcW w:w="466" w:type="pct"/>
            <w:shd w:val="clear" w:color="auto" w:fill="auto"/>
            <w:noWrap/>
            <w:vAlign w:val="bottom"/>
          </w:tcPr>
          <w:p w14:paraId="01ED402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7630FF44" w14:textId="77777777">
        <w:trPr>
          <w:trHeight w:val="285"/>
          <w:jc w:val="center"/>
        </w:trPr>
        <w:tc>
          <w:tcPr>
            <w:tcW w:w="649" w:type="pct"/>
            <w:vMerge/>
            <w:vAlign w:val="center"/>
          </w:tcPr>
          <w:p w14:paraId="4A64A84D"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12996B56"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22B7890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881" w:type="pct"/>
            <w:shd w:val="clear" w:color="auto" w:fill="auto"/>
            <w:noWrap/>
            <w:vAlign w:val="bottom"/>
          </w:tcPr>
          <w:p w14:paraId="7611842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0.0000717</w:t>
            </w:r>
          </w:p>
        </w:tc>
        <w:tc>
          <w:tcPr>
            <w:tcW w:w="625" w:type="pct"/>
            <w:vAlign w:val="bottom"/>
          </w:tcPr>
          <w:p w14:paraId="19078A23"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0.1</w:t>
            </w:r>
          </w:p>
        </w:tc>
        <w:tc>
          <w:tcPr>
            <w:tcW w:w="625" w:type="pct"/>
            <w:shd w:val="clear" w:color="auto" w:fill="auto"/>
            <w:noWrap/>
            <w:vAlign w:val="bottom"/>
          </w:tcPr>
          <w:p w14:paraId="514B1C95"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w:t>
            </w:r>
          </w:p>
        </w:tc>
        <w:tc>
          <w:tcPr>
            <w:tcW w:w="466" w:type="pct"/>
            <w:shd w:val="clear" w:color="auto" w:fill="auto"/>
            <w:noWrap/>
            <w:vAlign w:val="bottom"/>
          </w:tcPr>
          <w:p w14:paraId="49945EF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5C0CE819"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r w:rsidR="002133E3" w14:paraId="5D1748BE" w14:textId="77777777">
        <w:trPr>
          <w:trHeight w:val="285"/>
          <w:jc w:val="center"/>
        </w:trPr>
        <w:tc>
          <w:tcPr>
            <w:tcW w:w="649" w:type="pct"/>
            <w:vMerge/>
            <w:vAlign w:val="center"/>
          </w:tcPr>
          <w:p w14:paraId="50BDBB07" w14:textId="77777777" w:rsidR="002133E3" w:rsidRDefault="002133E3">
            <w:pPr>
              <w:widowControl/>
              <w:jc w:val="left"/>
              <w:rPr>
                <w:rFonts w:ascii="Times New Roman" w:eastAsia="宋体" w:hAnsi="Times New Roman" w:cs="Times New Roman"/>
                <w:b/>
                <w:bCs/>
                <w:kern w:val="0"/>
                <w:szCs w:val="21"/>
              </w:rPr>
            </w:pPr>
          </w:p>
        </w:tc>
        <w:tc>
          <w:tcPr>
            <w:tcW w:w="596" w:type="pct"/>
            <w:vMerge w:val="restart"/>
            <w:vAlign w:val="center"/>
          </w:tcPr>
          <w:p w14:paraId="19BCE7F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区域最大落地浓度</w:t>
            </w:r>
          </w:p>
        </w:tc>
        <w:tc>
          <w:tcPr>
            <w:tcW w:w="692" w:type="pct"/>
            <w:shd w:val="clear" w:color="auto" w:fill="auto"/>
            <w:noWrap/>
          </w:tcPr>
          <w:p w14:paraId="7F1BC232"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小时</w:t>
            </w:r>
          </w:p>
        </w:tc>
        <w:tc>
          <w:tcPr>
            <w:tcW w:w="881" w:type="pct"/>
            <w:shd w:val="clear" w:color="auto" w:fill="auto"/>
            <w:noWrap/>
            <w:vAlign w:val="bottom"/>
          </w:tcPr>
          <w:p w14:paraId="66F605B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0.0142</w:t>
            </w:r>
          </w:p>
        </w:tc>
        <w:tc>
          <w:tcPr>
            <w:tcW w:w="625" w:type="pct"/>
            <w:vAlign w:val="bottom"/>
          </w:tcPr>
          <w:p w14:paraId="0745A8E1"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0.1</w:t>
            </w:r>
          </w:p>
        </w:tc>
        <w:tc>
          <w:tcPr>
            <w:tcW w:w="625" w:type="pct"/>
            <w:shd w:val="clear" w:color="auto" w:fill="auto"/>
            <w:noWrap/>
            <w:vAlign w:val="bottom"/>
          </w:tcPr>
          <w:p w14:paraId="166C7517"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w:t>
            </w:r>
          </w:p>
        </w:tc>
        <w:tc>
          <w:tcPr>
            <w:tcW w:w="466" w:type="pct"/>
            <w:shd w:val="clear" w:color="auto" w:fill="auto"/>
            <w:noWrap/>
            <w:vAlign w:val="bottom"/>
          </w:tcPr>
          <w:p w14:paraId="59D4B36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3.34</w:t>
            </w:r>
          </w:p>
        </w:tc>
        <w:tc>
          <w:tcPr>
            <w:tcW w:w="466" w:type="pct"/>
            <w:shd w:val="clear" w:color="auto" w:fill="auto"/>
            <w:noWrap/>
            <w:vAlign w:val="bottom"/>
          </w:tcPr>
          <w:p w14:paraId="4FF3F553"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48ACCC70" w14:textId="77777777">
        <w:trPr>
          <w:trHeight w:val="285"/>
          <w:jc w:val="center"/>
        </w:trPr>
        <w:tc>
          <w:tcPr>
            <w:tcW w:w="649" w:type="pct"/>
            <w:vMerge/>
            <w:vAlign w:val="center"/>
          </w:tcPr>
          <w:p w14:paraId="614E87D3"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1CBD8B96" w14:textId="77777777" w:rsidR="002133E3" w:rsidRDefault="002133E3">
            <w:pPr>
              <w:widowControl/>
              <w:jc w:val="center"/>
              <w:rPr>
                <w:rFonts w:ascii="Times New Roman" w:eastAsia="宋体" w:hAnsi="Times New Roman" w:cs="Times New Roman"/>
                <w:kern w:val="0"/>
                <w:szCs w:val="21"/>
              </w:rPr>
            </w:pPr>
          </w:p>
        </w:tc>
        <w:tc>
          <w:tcPr>
            <w:tcW w:w="692" w:type="pct"/>
            <w:shd w:val="clear" w:color="auto" w:fill="auto"/>
            <w:noWrap/>
          </w:tcPr>
          <w:p w14:paraId="2EA0BC7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小时平均</w:t>
            </w:r>
          </w:p>
        </w:tc>
        <w:tc>
          <w:tcPr>
            <w:tcW w:w="881" w:type="pct"/>
            <w:shd w:val="clear" w:color="auto" w:fill="auto"/>
            <w:noWrap/>
            <w:vAlign w:val="bottom"/>
          </w:tcPr>
          <w:p w14:paraId="676B7CF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0.00144</w:t>
            </w:r>
          </w:p>
        </w:tc>
        <w:tc>
          <w:tcPr>
            <w:tcW w:w="625" w:type="pct"/>
            <w:vAlign w:val="bottom"/>
          </w:tcPr>
          <w:p w14:paraId="21A712F6"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0.1</w:t>
            </w:r>
          </w:p>
        </w:tc>
        <w:tc>
          <w:tcPr>
            <w:tcW w:w="625" w:type="pct"/>
            <w:shd w:val="clear" w:color="auto" w:fill="auto"/>
            <w:noWrap/>
            <w:vAlign w:val="bottom"/>
          </w:tcPr>
          <w:p w14:paraId="218F366B"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w:t>
            </w:r>
          </w:p>
        </w:tc>
        <w:tc>
          <w:tcPr>
            <w:tcW w:w="466" w:type="pct"/>
            <w:shd w:val="clear" w:color="auto" w:fill="auto"/>
            <w:noWrap/>
            <w:vAlign w:val="bottom"/>
          </w:tcPr>
          <w:p w14:paraId="0E27728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10</w:t>
            </w:r>
          </w:p>
        </w:tc>
        <w:tc>
          <w:tcPr>
            <w:tcW w:w="466" w:type="pct"/>
            <w:shd w:val="clear" w:color="auto" w:fill="auto"/>
            <w:noWrap/>
            <w:vAlign w:val="bottom"/>
          </w:tcPr>
          <w:p w14:paraId="1A62503C"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达标</w:t>
            </w:r>
          </w:p>
        </w:tc>
      </w:tr>
      <w:tr w:rsidR="002133E3" w14:paraId="74AD268F" w14:textId="77777777">
        <w:trPr>
          <w:trHeight w:val="285"/>
          <w:jc w:val="center"/>
        </w:trPr>
        <w:tc>
          <w:tcPr>
            <w:tcW w:w="649" w:type="pct"/>
            <w:vMerge/>
            <w:vAlign w:val="center"/>
          </w:tcPr>
          <w:p w14:paraId="282BB8D5" w14:textId="77777777" w:rsidR="002133E3" w:rsidRDefault="002133E3">
            <w:pPr>
              <w:widowControl/>
              <w:jc w:val="left"/>
              <w:rPr>
                <w:rFonts w:ascii="Times New Roman" w:eastAsia="宋体" w:hAnsi="Times New Roman" w:cs="Times New Roman"/>
                <w:b/>
                <w:bCs/>
                <w:kern w:val="0"/>
                <w:szCs w:val="21"/>
              </w:rPr>
            </w:pPr>
          </w:p>
        </w:tc>
        <w:tc>
          <w:tcPr>
            <w:tcW w:w="596" w:type="pct"/>
            <w:vMerge/>
            <w:vAlign w:val="center"/>
          </w:tcPr>
          <w:p w14:paraId="305E9C8B" w14:textId="77777777" w:rsidR="002133E3" w:rsidRDefault="002133E3">
            <w:pPr>
              <w:widowControl/>
              <w:jc w:val="left"/>
              <w:rPr>
                <w:rFonts w:ascii="Times New Roman" w:eastAsia="宋体" w:hAnsi="Times New Roman" w:cs="Times New Roman"/>
                <w:kern w:val="0"/>
                <w:szCs w:val="21"/>
              </w:rPr>
            </w:pPr>
          </w:p>
        </w:tc>
        <w:tc>
          <w:tcPr>
            <w:tcW w:w="692" w:type="pct"/>
            <w:shd w:val="clear" w:color="auto" w:fill="auto"/>
            <w:noWrap/>
          </w:tcPr>
          <w:p w14:paraId="38A8602E"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szCs w:val="21"/>
              </w:rPr>
              <w:t>年平均</w:t>
            </w:r>
          </w:p>
        </w:tc>
        <w:tc>
          <w:tcPr>
            <w:tcW w:w="881" w:type="pct"/>
            <w:shd w:val="clear" w:color="auto" w:fill="auto"/>
            <w:noWrap/>
            <w:vAlign w:val="bottom"/>
          </w:tcPr>
          <w:p w14:paraId="2E7E9CD4"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0.000351</w:t>
            </w:r>
          </w:p>
        </w:tc>
        <w:tc>
          <w:tcPr>
            <w:tcW w:w="625" w:type="pct"/>
            <w:vAlign w:val="bottom"/>
          </w:tcPr>
          <w:p w14:paraId="4A533BDE"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0.1</w:t>
            </w:r>
          </w:p>
        </w:tc>
        <w:tc>
          <w:tcPr>
            <w:tcW w:w="625" w:type="pct"/>
            <w:shd w:val="clear" w:color="auto" w:fill="auto"/>
            <w:noWrap/>
            <w:vAlign w:val="bottom"/>
          </w:tcPr>
          <w:p w14:paraId="762C9F18"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0.1</w:t>
            </w:r>
          </w:p>
        </w:tc>
        <w:tc>
          <w:tcPr>
            <w:tcW w:w="466" w:type="pct"/>
            <w:shd w:val="clear" w:color="auto" w:fill="auto"/>
            <w:noWrap/>
            <w:vAlign w:val="bottom"/>
          </w:tcPr>
          <w:p w14:paraId="28E047B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无标准</w:t>
            </w:r>
          </w:p>
        </w:tc>
        <w:tc>
          <w:tcPr>
            <w:tcW w:w="466" w:type="pct"/>
            <w:shd w:val="clear" w:color="auto" w:fill="auto"/>
            <w:noWrap/>
            <w:vAlign w:val="bottom"/>
          </w:tcPr>
          <w:p w14:paraId="3F2B216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color w:val="000000"/>
                <w:szCs w:val="21"/>
              </w:rPr>
              <w:t>未知</w:t>
            </w:r>
          </w:p>
        </w:tc>
      </w:tr>
    </w:tbl>
    <w:p w14:paraId="31AD3A5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无组织废气污染物对厂界的影响情况</w:t>
      </w:r>
    </w:p>
    <w:p w14:paraId="5DA47904" w14:textId="77777777" w:rsidR="002133E3" w:rsidRDefault="00C22CFA">
      <w:pPr>
        <w:spacing w:line="500" w:lineRule="exact"/>
        <w:ind w:firstLineChars="200" w:firstLine="560"/>
        <w:rPr>
          <w:rFonts w:ascii="Times New Roman" w:eastAsia="宋体" w:hAnsi="Times New Roman" w:cs="Times New Roman"/>
          <w:b/>
          <w:szCs w:val="21"/>
        </w:rPr>
      </w:pPr>
      <w:r>
        <w:rPr>
          <w:rFonts w:ascii="Times New Roman" w:eastAsia="宋体" w:hAnsi="Times New Roman" w:cs="Times New Roman"/>
          <w:kern w:val="0"/>
          <w:sz w:val="28"/>
          <w:szCs w:val="28"/>
        </w:rPr>
        <w:t>本项目将整个厂区作为车辆及装卸机械废气无组织排放面源，根据无组织排放源强情况，预测对最近厂界的影响情况，见表</w:t>
      </w:r>
      <w:r>
        <w:rPr>
          <w:rFonts w:ascii="Times New Roman" w:eastAsia="宋体" w:hAnsi="Times New Roman" w:cs="Times New Roman"/>
          <w:kern w:val="0"/>
          <w:sz w:val="28"/>
          <w:szCs w:val="28"/>
        </w:rPr>
        <w:t>6.2-13</w:t>
      </w:r>
      <w:r>
        <w:rPr>
          <w:rFonts w:ascii="Times New Roman" w:eastAsia="宋体" w:hAnsi="Times New Roman" w:cs="Times New Roman"/>
          <w:kern w:val="0"/>
          <w:sz w:val="28"/>
          <w:szCs w:val="28"/>
        </w:rPr>
        <w:t>。</w:t>
      </w:r>
    </w:p>
    <w:p w14:paraId="09C384FE"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6.2-13 </w:t>
      </w:r>
      <w:r>
        <w:rPr>
          <w:rFonts w:ascii="Times New Roman" w:eastAsia="宋体" w:hAnsi="Times New Roman" w:cs="Times New Roman"/>
          <w:b/>
          <w:sz w:val="24"/>
          <w:szCs w:val="24"/>
        </w:rPr>
        <w:t>无组织废气污染物对厂界影响情况表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1328"/>
        <w:gridCol w:w="2126"/>
        <w:gridCol w:w="3934"/>
      </w:tblGrid>
      <w:tr w:rsidR="002133E3" w14:paraId="26D2AF9B" w14:textId="77777777">
        <w:trPr>
          <w:trHeight w:val="330"/>
        </w:trPr>
        <w:tc>
          <w:tcPr>
            <w:tcW w:w="1251" w:type="pct"/>
            <w:shd w:val="clear" w:color="auto" w:fill="auto"/>
            <w:vAlign w:val="center"/>
          </w:tcPr>
          <w:p w14:paraId="2CD1C56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污染源</w:t>
            </w:r>
          </w:p>
        </w:tc>
        <w:tc>
          <w:tcPr>
            <w:tcW w:w="674" w:type="pct"/>
            <w:shd w:val="clear" w:color="auto" w:fill="auto"/>
            <w:vAlign w:val="center"/>
          </w:tcPr>
          <w:p w14:paraId="068E3AE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厂界</w:t>
            </w:r>
          </w:p>
        </w:tc>
        <w:tc>
          <w:tcPr>
            <w:tcW w:w="1079" w:type="pct"/>
            <w:shd w:val="clear" w:color="auto" w:fill="auto"/>
            <w:vAlign w:val="center"/>
          </w:tcPr>
          <w:p w14:paraId="1975DAB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距厂界距离</w:t>
            </w:r>
            <w:r>
              <w:rPr>
                <w:rFonts w:ascii="Times New Roman" w:eastAsia="宋体" w:hAnsi="Times New Roman" w:cs="Times New Roman"/>
                <w:b/>
                <w:bCs/>
                <w:kern w:val="0"/>
                <w:szCs w:val="21"/>
              </w:rPr>
              <w:t>m</w:t>
            </w:r>
          </w:p>
        </w:tc>
        <w:tc>
          <w:tcPr>
            <w:tcW w:w="1996" w:type="pct"/>
            <w:shd w:val="clear" w:color="auto" w:fill="auto"/>
            <w:vAlign w:val="center"/>
          </w:tcPr>
          <w:p w14:paraId="5954D74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szCs w:val="24"/>
              </w:rPr>
              <w:t>乙醇</w:t>
            </w:r>
            <w:r>
              <w:rPr>
                <w:rFonts w:ascii="Times New Roman" w:eastAsia="宋体" w:hAnsi="Times New Roman" w:cs="Times New Roman"/>
                <w:b/>
                <w:bCs/>
                <w:kern w:val="0"/>
                <w:szCs w:val="21"/>
              </w:rPr>
              <w:t>对厂界的贡献值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p>
        </w:tc>
      </w:tr>
      <w:tr w:rsidR="002133E3" w14:paraId="7768D5D7" w14:textId="77777777">
        <w:trPr>
          <w:trHeight w:val="285"/>
        </w:trPr>
        <w:tc>
          <w:tcPr>
            <w:tcW w:w="1251" w:type="pct"/>
            <w:vMerge w:val="restart"/>
            <w:shd w:val="clear" w:color="auto" w:fill="auto"/>
            <w:vAlign w:val="center"/>
          </w:tcPr>
          <w:p w14:paraId="7BA7A2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bCs/>
                <w:szCs w:val="21"/>
              </w:rPr>
              <w:t>无水乙醇储罐</w:t>
            </w:r>
          </w:p>
        </w:tc>
        <w:tc>
          <w:tcPr>
            <w:tcW w:w="674" w:type="pct"/>
            <w:shd w:val="clear" w:color="auto" w:fill="auto"/>
            <w:vAlign w:val="center"/>
          </w:tcPr>
          <w:p w14:paraId="691A961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东</w:t>
            </w:r>
          </w:p>
        </w:tc>
        <w:tc>
          <w:tcPr>
            <w:tcW w:w="1079" w:type="pct"/>
            <w:shd w:val="clear" w:color="auto" w:fill="auto"/>
            <w:vAlign w:val="center"/>
          </w:tcPr>
          <w:p w14:paraId="3BFD703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623.75</w:t>
            </w:r>
          </w:p>
        </w:tc>
        <w:tc>
          <w:tcPr>
            <w:tcW w:w="1996" w:type="pct"/>
            <w:shd w:val="clear" w:color="auto" w:fill="auto"/>
            <w:vAlign w:val="center"/>
          </w:tcPr>
          <w:p w14:paraId="04C7934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Cs w:val="21"/>
              </w:rPr>
              <w:t>0.0000184</w:t>
            </w:r>
          </w:p>
        </w:tc>
      </w:tr>
      <w:tr w:rsidR="002133E3" w14:paraId="22C30F1B" w14:textId="77777777">
        <w:trPr>
          <w:trHeight w:val="285"/>
        </w:trPr>
        <w:tc>
          <w:tcPr>
            <w:tcW w:w="1251" w:type="pct"/>
            <w:vMerge/>
            <w:vAlign w:val="center"/>
          </w:tcPr>
          <w:p w14:paraId="0BE07FE9" w14:textId="77777777" w:rsidR="002133E3" w:rsidRDefault="002133E3">
            <w:pPr>
              <w:widowControl/>
              <w:jc w:val="left"/>
              <w:rPr>
                <w:rFonts w:ascii="Times New Roman" w:eastAsia="宋体" w:hAnsi="Times New Roman" w:cs="Times New Roman"/>
                <w:kern w:val="0"/>
                <w:szCs w:val="21"/>
              </w:rPr>
            </w:pPr>
          </w:p>
        </w:tc>
        <w:tc>
          <w:tcPr>
            <w:tcW w:w="674" w:type="pct"/>
            <w:shd w:val="clear" w:color="auto" w:fill="auto"/>
            <w:vAlign w:val="center"/>
          </w:tcPr>
          <w:p w14:paraId="3E97C93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w:t>
            </w:r>
          </w:p>
        </w:tc>
        <w:tc>
          <w:tcPr>
            <w:tcW w:w="1079" w:type="pct"/>
            <w:shd w:val="clear" w:color="auto" w:fill="auto"/>
            <w:vAlign w:val="center"/>
          </w:tcPr>
          <w:p w14:paraId="600F05F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258.15</w:t>
            </w:r>
          </w:p>
        </w:tc>
        <w:tc>
          <w:tcPr>
            <w:tcW w:w="1996" w:type="pct"/>
            <w:shd w:val="clear" w:color="auto" w:fill="auto"/>
            <w:vAlign w:val="center"/>
          </w:tcPr>
          <w:p w14:paraId="3B64BD68"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Cs w:val="21"/>
              </w:rPr>
              <w:t>0.0000774</w:t>
            </w:r>
          </w:p>
        </w:tc>
      </w:tr>
      <w:tr w:rsidR="002133E3" w14:paraId="026832F6" w14:textId="77777777">
        <w:trPr>
          <w:trHeight w:val="285"/>
        </w:trPr>
        <w:tc>
          <w:tcPr>
            <w:tcW w:w="1251" w:type="pct"/>
            <w:vMerge/>
            <w:vAlign w:val="center"/>
          </w:tcPr>
          <w:p w14:paraId="30274DDC" w14:textId="77777777" w:rsidR="002133E3" w:rsidRDefault="002133E3">
            <w:pPr>
              <w:widowControl/>
              <w:jc w:val="left"/>
              <w:rPr>
                <w:rFonts w:ascii="Times New Roman" w:eastAsia="宋体" w:hAnsi="Times New Roman" w:cs="Times New Roman"/>
                <w:kern w:val="0"/>
                <w:szCs w:val="21"/>
              </w:rPr>
            </w:pPr>
          </w:p>
        </w:tc>
        <w:tc>
          <w:tcPr>
            <w:tcW w:w="674" w:type="pct"/>
            <w:shd w:val="clear" w:color="auto" w:fill="auto"/>
            <w:vAlign w:val="center"/>
          </w:tcPr>
          <w:p w14:paraId="6EE2BC9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南</w:t>
            </w:r>
          </w:p>
        </w:tc>
        <w:tc>
          <w:tcPr>
            <w:tcW w:w="1079" w:type="pct"/>
            <w:shd w:val="clear" w:color="auto" w:fill="auto"/>
            <w:vAlign w:val="center"/>
          </w:tcPr>
          <w:p w14:paraId="0B6A24F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117.28</w:t>
            </w:r>
          </w:p>
        </w:tc>
        <w:tc>
          <w:tcPr>
            <w:tcW w:w="1996" w:type="pct"/>
            <w:shd w:val="clear" w:color="auto" w:fill="auto"/>
            <w:vAlign w:val="center"/>
          </w:tcPr>
          <w:p w14:paraId="021889B9"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Cs w:val="21"/>
              </w:rPr>
              <w:t>0.000327</w:t>
            </w:r>
          </w:p>
        </w:tc>
      </w:tr>
      <w:tr w:rsidR="002133E3" w14:paraId="04F66893" w14:textId="77777777">
        <w:trPr>
          <w:trHeight w:val="285"/>
        </w:trPr>
        <w:tc>
          <w:tcPr>
            <w:tcW w:w="1251" w:type="pct"/>
            <w:vMerge/>
            <w:vAlign w:val="center"/>
          </w:tcPr>
          <w:p w14:paraId="7277B60C" w14:textId="77777777" w:rsidR="002133E3" w:rsidRDefault="002133E3">
            <w:pPr>
              <w:widowControl/>
              <w:jc w:val="left"/>
              <w:rPr>
                <w:rFonts w:ascii="Times New Roman" w:eastAsia="宋体" w:hAnsi="Times New Roman" w:cs="Times New Roman"/>
                <w:kern w:val="0"/>
                <w:szCs w:val="21"/>
              </w:rPr>
            </w:pPr>
          </w:p>
        </w:tc>
        <w:tc>
          <w:tcPr>
            <w:tcW w:w="674" w:type="pct"/>
            <w:shd w:val="clear" w:color="auto" w:fill="auto"/>
            <w:vAlign w:val="center"/>
          </w:tcPr>
          <w:p w14:paraId="758FE1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北</w:t>
            </w:r>
          </w:p>
        </w:tc>
        <w:tc>
          <w:tcPr>
            <w:tcW w:w="1079" w:type="pct"/>
            <w:shd w:val="clear" w:color="auto" w:fill="auto"/>
            <w:vAlign w:val="center"/>
          </w:tcPr>
          <w:p w14:paraId="2BC789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c>
          <w:tcPr>
            <w:tcW w:w="1996" w:type="pct"/>
            <w:shd w:val="clear" w:color="auto" w:fill="auto"/>
            <w:vAlign w:val="center"/>
          </w:tcPr>
          <w:p w14:paraId="20FF80A1"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color w:val="000000"/>
                <w:szCs w:val="21"/>
              </w:rPr>
              <w:t>0.0000109</w:t>
            </w:r>
          </w:p>
        </w:tc>
      </w:tr>
      <w:tr w:rsidR="002133E3" w14:paraId="3424FF30" w14:textId="77777777">
        <w:trPr>
          <w:trHeight w:val="285"/>
        </w:trPr>
        <w:tc>
          <w:tcPr>
            <w:tcW w:w="3004" w:type="pct"/>
            <w:gridSpan w:val="3"/>
            <w:vAlign w:val="center"/>
          </w:tcPr>
          <w:p w14:paraId="7C1678D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厂界浓度限值</w:t>
            </w:r>
            <w:r>
              <w:rPr>
                <w:rFonts w:ascii="Times New Roman" w:eastAsia="宋体" w:hAnsi="Times New Roman" w:cs="Times New Roman"/>
                <w:kern w:val="0"/>
                <w:szCs w:val="21"/>
              </w:rPr>
              <w:t>mg/m</w:t>
            </w:r>
            <w:r>
              <w:rPr>
                <w:rFonts w:ascii="Times New Roman" w:eastAsia="宋体" w:hAnsi="Times New Roman" w:cs="Times New Roman"/>
                <w:kern w:val="0"/>
                <w:szCs w:val="21"/>
                <w:vertAlign w:val="superscript"/>
              </w:rPr>
              <w:t>3</w:t>
            </w:r>
          </w:p>
        </w:tc>
        <w:tc>
          <w:tcPr>
            <w:tcW w:w="1996" w:type="pct"/>
            <w:shd w:val="clear" w:color="auto" w:fill="auto"/>
            <w:vAlign w:val="center"/>
          </w:tcPr>
          <w:p w14:paraId="052694BE" w14:textId="77777777" w:rsidR="002133E3" w:rsidRDefault="00C22CFA">
            <w:pPr>
              <w:widowControl/>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4</w:t>
            </w:r>
          </w:p>
        </w:tc>
      </w:tr>
    </w:tbl>
    <w:p w14:paraId="0A5E96D4"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由上表可见，本项目各无组织废气污染物对厂界的浓度贡献值较小，低于</w:t>
      </w:r>
      <w:r>
        <w:rPr>
          <w:rFonts w:ascii="Times New Roman" w:eastAsia="宋体" w:hAnsi="Times New Roman" w:cs="Times New Roman"/>
          <w:kern w:val="0"/>
          <w:sz w:val="28"/>
          <w:szCs w:val="28"/>
        </w:rPr>
        <w:lastRenderedPageBreak/>
        <w:t>厂界浓度排放标准限值和环境小时标准值，对厂界影响较小。</w:t>
      </w:r>
    </w:p>
    <w:p w14:paraId="69CCF3F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大气环境防护距离</w:t>
      </w:r>
    </w:p>
    <w:p w14:paraId="76B755D7" w14:textId="77777777" w:rsidR="002133E3" w:rsidRDefault="00C22CFA">
      <w:pPr>
        <w:spacing w:line="50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根据《环境影响评价技术导则大气环境》</w:t>
      </w:r>
      <w:r>
        <w:rPr>
          <w:rFonts w:ascii="Times New Roman" w:eastAsia="宋体" w:hAnsi="Times New Roman" w:cs="Times New Roman"/>
          <w:sz w:val="28"/>
          <w:szCs w:val="28"/>
        </w:rPr>
        <w:t>(HJ2.2-2018)</w:t>
      </w:r>
      <w:r>
        <w:rPr>
          <w:rFonts w:ascii="Times New Roman" w:eastAsia="宋体" w:hAnsi="Times New Roman" w:cs="Times New Roman"/>
          <w:sz w:val="28"/>
          <w:szCs w:val="28"/>
        </w:rPr>
        <w:t>，由表</w:t>
      </w:r>
      <w:r>
        <w:rPr>
          <w:rFonts w:ascii="Times New Roman" w:eastAsia="宋体" w:hAnsi="Times New Roman" w:cs="Times New Roman"/>
          <w:sz w:val="28"/>
          <w:szCs w:val="28"/>
        </w:rPr>
        <w:t>6.2-13</w:t>
      </w:r>
      <w:r>
        <w:rPr>
          <w:rFonts w:ascii="Times New Roman" w:eastAsia="宋体" w:hAnsi="Times New Roman" w:cs="Times New Roman"/>
          <w:sz w:val="28"/>
          <w:szCs w:val="28"/>
        </w:rPr>
        <w:t>可知，本项目厂界浓度满足大气污染物厂界浓度限值，且厂界外大气污染物短期贡献浓度未超过环境质量浓度限值，因此本次评价不设置大气环境防护距离。</w:t>
      </w:r>
    </w:p>
    <w:p w14:paraId="72650B8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卫生防护距离</w:t>
      </w:r>
    </w:p>
    <w:p w14:paraId="2977D53E"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根据《制定地方大气污染物排放标准的技术方法》</w:t>
      </w:r>
      <w:r>
        <w:rPr>
          <w:rFonts w:ascii="Times New Roman" w:eastAsia="宋体" w:hAnsi="Times New Roman" w:cs="Times New Roman"/>
          <w:sz w:val="28"/>
          <w:szCs w:val="28"/>
        </w:rPr>
        <w:t>(GB/T13201-91)</w:t>
      </w:r>
      <w:r>
        <w:rPr>
          <w:rFonts w:ascii="Times New Roman" w:eastAsia="宋体" w:hAnsi="Times New Roman" w:cs="Times New Roman"/>
          <w:sz w:val="28"/>
          <w:szCs w:val="28"/>
        </w:rPr>
        <w:t>规定，无组织排入有害气体的生产单元</w:t>
      </w:r>
      <w:r>
        <w:rPr>
          <w:rFonts w:ascii="Times New Roman" w:eastAsia="宋体" w:hAnsi="Times New Roman" w:cs="Times New Roman"/>
          <w:sz w:val="28"/>
          <w:szCs w:val="28"/>
        </w:rPr>
        <w:t>(</w:t>
      </w:r>
      <w:r>
        <w:rPr>
          <w:rFonts w:ascii="Times New Roman" w:eastAsia="宋体" w:hAnsi="Times New Roman" w:cs="Times New Roman"/>
          <w:sz w:val="28"/>
          <w:szCs w:val="28"/>
        </w:rPr>
        <w:t>生产区、车间、工段</w:t>
      </w:r>
      <w:r>
        <w:rPr>
          <w:rFonts w:ascii="Times New Roman" w:eastAsia="宋体" w:hAnsi="Times New Roman" w:cs="Times New Roman"/>
          <w:sz w:val="28"/>
          <w:szCs w:val="28"/>
        </w:rPr>
        <w:t>)</w:t>
      </w:r>
      <w:r>
        <w:rPr>
          <w:rFonts w:ascii="Times New Roman" w:eastAsia="宋体" w:hAnsi="Times New Roman" w:cs="Times New Roman"/>
          <w:sz w:val="28"/>
          <w:szCs w:val="28"/>
        </w:rPr>
        <w:t>与居民区之间应设置卫生防护距离，计算公式如下：</w:t>
      </w:r>
    </w:p>
    <w:p w14:paraId="753C82F6" w14:textId="77777777" w:rsidR="002133E3" w:rsidRDefault="00C22CFA">
      <w:pPr>
        <w:tabs>
          <w:tab w:val="left" w:pos="3600"/>
        </w:tabs>
        <w:jc w:val="center"/>
        <w:rPr>
          <w:rFonts w:ascii="Times New Roman" w:eastAsia="宋体" w:hAnsi="Times New Roman" w:cs="Times New Roman"/>
          <w:sz w:val="28"/>
          <w:szCs w:val="28"/>
        </w:rPr>
      </w:pPr>
      <w:r>
        <w:rPr>
          <w:rFonts w:ascii="Times New Roman" w:eastAsia="宋体" w:hAnsi="Times New Roman" w:cs="Times New Roman"/>
          <w:position w:val="-30"/>
          <w:szCs w:val="28"/>
        </w:rPr>
        <w:object w:dxaOrig="2985" w:dyaOrig="825" w14:anchorId="1459FB81">
          <v:shape id="_x0000_i1059" type="#_x0000_t75" style="width:149.25pt;height:41.25pt" o:ole="" fillcolor="#6d6d6d">
            <v:imagedata r:id="rId100" o:title="" cropbottom="-9557f"/>
          </v:shape>
          <o:OLEObject Type="Embed" ProgID="Equation.3" ShapeID="_x0000_i1059" DrawAspect="Content" ObjectID="_1687345262" r:id="rId101"/>
        </w:object>
      </w:r>
    </w:p>
    <w:p w14:paraId="6765B94E"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式中：</w:t>
      </w:r>
    </w:p>
    <w:p w14:paraId="4482E2B1"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C</w:t>
      </w:r>
      <w:r>
        <w:rPr>
          <w:rFonts w:ascii="Times New Roman" w:eastAsia="宋体" w:hAnsi="Times New Roman" w:cs="Times New Roman"/>
          <w:sz w:val="28"/>
          <w:szCs w:val="28"/>
          <w:vertAlign w:val="subscript"/>
        </w:rPr>
        <w:t>m</w:t>
      </w:r>
      <w:r>
        <w:rPr>
          <w:rFonts w:ascii="Times New Roman" w:eastAsia="宋体" w:hAnsi="Times New Roman" w:cs="Times New Roman"/>
          <w:sz w:val="28"/>
          <w:szCs w:val="28"/>
        </w:rPr>
        <w:t>为环境一次浓度标准值</w:t>
      </w:r>
      <w:r>
        <w:rPr>
          <w:rFonts w:ascii="Times New Roman" w:eastAsia="宋体" w:hAnsi="Times New Roman" w:cs="Times New Roman"/>
          <w:sz w:val="28"/>
          <w:szCs w:val="28"/>
        </w:rPr>
        <w:t>(</w:t>
      </w:r>
      <w:r>
        <w:rPr>
          <w:rFonts w:ascii="Times New Roman" w:eastAsia="宋体" w:hAnsi="Times New Roman" w:cs="Times New Roman"/>
          <w:sz w:val="28"/>
          <w:szCs w:val="28"/>
        </w:rPr>
        <w:t>毫克</w:t>
      </w:r>
      <w:r>
        <w:rPr>
          <w:rFonts w:ascii="Times New Roman" w:eastAsia="宋体" w:hAnsi="Times New Roman" w:cs="Times New Roman"/>
          <w:sz w:val="28"/>
          <w:szCs w:val="28"/>
        </w:rPr>
        <w:t>/</w:t>
      </w:r>
      <w:r>
        <w:rPr>
          <w:rFonts w:ascii="Times New Roman" w:eastAsia="宋体" w:hAnsi="Times New Roman" w:cs="Times New Roman"/>
          <w:sz w:val="28"/>
          <w:szCs w:val="28"/>
        </w:rPr>
        <w:t>米</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6C3F75B7"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Q</w:t>
      </w:r>
      <w:r>
        <w:rPr>
          <w:rFonts w:ascii="Times New Roman" w:eastAsia="宋体" w:hAnsi="Times New Roman" w:cs="Times New Roman"/>
          <w:sz w:val="28"/>
          <w:szCs w:val="28"/>
          <w:vertAlign w:val="subscript"/>
        </w:rPr>
        <w:t>c</w:t>
      </w:r>
      <w:r>
        <w:rPr>
          <w:rFonts w:ascii="Times New Roman" w:eastAsia="宋体" w:hAnsi="Times New Roman" w:cs="Times New Roman"/>
          <w:sz w:val="28"/>
          <w:szCs w:val="28"/>
        </w:rPr>
        <w:t>为有害气体无组织排放量可以达到的控制水平</w:t>
      </w:r>
      <w:r>
        <w:rPr>
          <w:rFonts w:ascii="Times New Roman" w:eastAsia="宋体" w:hAnsi="Times New Roman" w:cs="Times New Roman"/>
          <w:sz w:val="28"/>
          <w:szCs w:val="28"/>
        </w:rPr>
        <w:t>(</w:t>
      </w:r>
      <w:r>
        <w:rPr>
          <w:rFonts w:ascii="Times New Roman" w:eastAsia="宋体" w:hAnsi="Times New Roman" w:cs="Times New Roman"/>
          <w:sz w:val="28"/>
          <w:szCs w:val="28"/>
        </w:rPr>
        <w:t>公斤</w:t>
      </w:r>
      <w:r>
        <w:rPr>
          <w:rFonts w:ascii="Times New Roman" w:eastAsia="宋体" w:hAnsi="Times New Roman" w:cs="Times New Roman"/>
          <w:sz w:val="28"/>
          <w:szCs w:val="28"/>
        </w:rPr>
        <w:t>/</w:t>
      </w:r>
      <w:r>
        <w:rPr>
          <w:rFonts w:ascii="Times New Roman" w:eastAsia="宋体" w:hAnsi="Times New Roman" w:cs="Times New Roman"/>
          <w:sz w:val="28"/>
          <w:szCs w:val="28"/>
        </w:rPr>
        <w:t>小时</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r</w:t>
      </w:r>
      <w:r>
        <w:rPr>
          <w:rFonts w:ascii="Times New Roman" w:eastAsia="宋体" w:hAnsi="Times New Roman" w:cs="Times New Roman"/>
          <w:sz w:val="28"/>
          <w:szCs w:val="28"/>
        </w:rPr>
        <w:t>为有害气体无组织排放源所在生产单元的等效半径</w:t>
      </w:r>
      <w:r>
        <w:rPr>
          <w:rFonts w:ascii="Times New Roman" w:eastAsia="宋体" w:hAnsi="Times New Roman" w:cs="Times New Roman"/>
          <w:sz w:val="28"/>
          <w:szCs w:val="28"/>
        </w:rPr>
        <w:t>(</w:t>
      </w:r>
      <w:r>
        <w:rPr>
          <w:rFonts w:ascii="Times New Roman" w:eastAsia="宋体" w:hAnsi="Times New Roman" w:cs="Times New Roman"/>
          <w:sz w:val="28"/>
          <w:szCs w:val="28"/>
        </w:rPr>
        <w:t>米</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5993F061"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L</w:t>
      </w:r>
      <w:r>
        <w:rPr>
          <w:rFonts w:ascii="Times New Roman" w:eastAsia="宋体" w:hAnsi="Times New Roman" w:cs="Times New Roman"/>
          <w:sz w:val="28"/>
          <w:szCs w:val="28"/>
        </w:rPr>
        <w:t>为工业企业所需的卫生防护距离</w:t>
      </w:r>
      <w:r>
        <w:rPr>
          <w:rFonts w:ascii="Times New Roman" w:eastAsia="宋体" w:hAnsi="Times New Roman" w:cs="Times New Roman"/>
          <w:sz w:val="28"/>
          <w:szCs w:val="28"/>
        </w:rPr>
        <w:t>(</w:t>
      </w:r>
      <w:r>
        <w:rPr>
          <w:rFonts w:ascii="Times New Roman" w:eastAsia="宋体" w:hAnsi="Times New Roman" w:cs="Times New Roman"/>
          <w:sz w:val="28"/>
          <w:szCs w:val="28"/>
        </w:rPr>
        <w:t>米</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1B799FAB"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A</w:t>
      </w:r>
      <w:r>
        <w:rPr>
          <w:rFonts w:ascii="Times New Roman" w:eastAsia="宋体" w:hAnsi="Times New Roman" w:cs="Times New Roman"/>
          <w:sz w:val="28"/>
          <w:szCs w:val="28"/>
        </w:rPr>
        <w:t>、</w:t>
      </w:r>
      <w:r>
        <w:rPr>
          <w:rFonts w:ascii="Times New Roman" w:eastAsia="宋体" w:hAnsi="Times New Roman" w:cs="Times New Roman"/>
          <w:sz w:val="28"/>
          <w:szCs w:val="28"/>
        </w:rPr>
        <w:t>B</w:t>
      </w:r>
      <w:r>
        <w:rPr>
          <w:rFonts w:ascii="Times New Roman" w:eastAsia="宋体" w:hAnsi="Times New Roman" w:cs="Times New Roman"/>
          <w:sz w:val="28"/>
          <w:szCs w:val="28"/>
        </w:rPr>
        <w:t>、</w:t>
      </w:r>
      <w:r>
        <w:rPr>
          <w:rFonts w:ascii="Times New Roman" w:eastAsia="宋体" w:hAnsi="Times New Roman" w:cs="Times New Roman"/>
          <w:sz w:val="28"/>
          <w:szCs w:val="28"/>
        </w:rPr>
        <w:t>C</w:t>
      </w:r>
      <w:r>
        <w:rPr>
          <w:rFonts w:ascii="Times New Roman" w:eastAsia="宋体" w:hAnsi="Times New Roman" w:cs="Times New Roman"/>
          <w:sz w:val="28"/>
          <w:szCs w:val="28"/>
        </w:rPr>
        <w:t>、</w:t>
      </w:r>
      <w:r>
        <w:rPr>
          <w:rFonts w:ascii="Times New Roman" w:eastAsia="宋体" w:hAnsi="Times New Roman" w:cs="Times New Roman"/>
          <w:sz w:val="28"/>
          <w:szCs w:val="28"/>
        </w:rPr>
        <w:t>D</w:t>
      </w:r>
      <w:r>
        <w:rPr>
          <w:rFonts w:ascii="Times New Roman" w:eastAsia="宋体" w:hAnsi="Times New Roman" w:cs="Times New Roman"/>
          <w:sz w:val="28"/>
          <w:szCs w:val="28"/>
        </w:rPr>
        <w:t>为计算系数。</w:t>
      </w:r>
    </w:p>
    <w:p w14:paraId="23EF2236"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无组织排放多种有害气体时，按</w:t>
      </w:r>
      <w:r>
        <w:rPr>
          <w:rFonts w:ascii="Times New Roman" w:eastAsia="宋体" w:hAnsi="Times New Roman" w:cs="Times New Roman"/>
          <w:sz w:val="28"/>
          <w:szCs w:val="28"/>
        </w:rPr>
        <w:t>Q</w:t>
      </w:r>
      <w:r>
        <w:rPr>
          <w:rFonts w:ascii="Times New Roman" w:eastAsia="宋体" w:hAnsi="Times New Roman" w:cs="Times New Roman"/>
          <w:sz w:val="28"/>
          <w:szCs w:val="28"/>
          <w:vertAlign w:val="subscript"/>
        </w:rPr>
        <w:t>c</w:t>
      </w:r>
      <w:r>
        <w:rPr>
          <w:rFonts w:ascii="Times New Roman" w:eastAsia="宋体" w:hAnsi="Times New Roman" w:cs="Times New Roman"/>
          <w:sz w:val="28"/>
          <w:szCs w:val="28"/>
        </w:rPr>
        <w:t>/C</w:t>
      </w:r>
      <w:r>
        <w:rPr>
          <w:rFonts w:ascii="Times New Roman" w:eastAsia="宋体" w:hAnsi="Times New Roman" w:cs="Times New Roman"/>
          <w:sz w:val="28"/>
          <w:szCs w:val="28"/>
          <w:vertAlign w:val="subscript"/>
        </w:rPr>
        <w:t>m</w:t>
      </w:r>
      <w:r>
        <w:rPr>
          <w:rFonts w:ascii="Times New Roman" w:eastAsia="宋体" w:hAnsi="Times New Roman" w:cs="Times New Roman"/>
          <w:sz w:val="28"/>
          <w:szCs w:val="28"/>
        </w:rPr>
        <w:t>的最大值计算其所需的卫生防护距离。卫生防护距离在</w:t>
      </w:r>
      <w:r>
        <w:rPr>
          <w:rFonts w:ascii="Times New Roman" w:eastAsia="宋体" w:hAnsi="Times New Roman" w:cs="Times New Roman"/>
          <w:sz w:val="28"/>
          <w:szCs w:val="28"/>
        </w:rPr>
        <w:t>100m</w:t>
      </w:r>
      <w:r>
        <w:rPr>
          <w:rFonts w:ascii="Times New Roman" w:eastAsia="宋体" w:hAnsi="Times New Roman" w:cs="Times New Roman"/>
          <w:sz w:val="28"/>
          <w:szCs w:val="28"/>
        </w:rPr>
        <w:t>内时，级差为</w:t>
      </w:r>
      <w:r>
        <w:rPr>
          <w:rFonts w:ascii="Times New Roman" w:eastAsia="宋体" w:hAnsi="Times New Roman" w:cs="Times New Roman"/>
          <w:sz w:val="28"/>
          <w:szCs w:val="28"/>
        </w:rPr>
        <w:t>50m</w:t>
      </w:r>
      <w:r>
        <w:rPr>
          <w:rFonts w:ascii="Times New Roman" w:eastAsia="宋体" w:hAnsi="Times New Roman" w:cs="Times New Roman"/>
          <w:sz w:val="28"/>
          <w:szCs w:val="28"/>
        </w:rPr>
        <w:t>；超过</w:t>
      </w:r>
      <w:r>
        <w:rPr>
          <w:rFonts w:ascii="Times New Roman" w:eastAsia="宋体" w:hAnsi="Times New Roman" w:cs="Times New Roman"/>
          <w:sz w:val="28"/>
          <w:szCs w:val="28"/>
        </w:rPr>
        <w:t>100m</w:t>
      </w:r>
      <w:r>
        <w:rPr>
          <w:rFonts w:ascii="Times New Roman" w:eastAsia="宋体" w:hAnsi="Times New Roman" w:cs="Times New Roman"/>
          <w:sz w:val="28"/>
          <w:szCs w:val="28"/>
        </w:rPr>
        <w:t>，但小于</w:t>
      </w:r>
      <w:r>
        <w:rPr>
          <w:rFonts w:ascii="Times New Roman" w:eastAsia="宋体" w:hAnsi="Times New Roman" w:cs="Times New Roman"/>
          <w:sz w:val="28"/>
          <w:szCs w:val="28"/>
        </w:rPr>
        <w:t>1000m</w:t>
      </w:r>
      <w:r>
        <w:rPr>
          <w:rFonts w:ascii="Times New Roman" w:eastAsia="宋体" w:hAnsi="Times New Roman" w:cs="Times New Roman"/>
          <w:sz w:val="28"/>
          <w:szCs w:val="28"/>
        </w:rPr>
        <w:t>时，级差为</w:t>
      </w:r>
      <w:r>
        <w:rPr>
          <w:rFonts w:ascii="Times New Roman" w:eastAsia="宋体" w:hAnsi="Times New Roman" w:cs="Times New Roman"/>
          <w:sz w:val="28"/>
          <w:szCs w:val="28"/>
        </w:rPr>
        <w:t>100m</w:t>
      </w:r>
      <w:r>
        <w:rPr>
          <w:rFonts w:ascii="Times New Roman" w:eastAsia="宋体" w:hAnsi="Times New Roman" w:cs="Times New Roman"/>
          <w:sz w:val="28"/>
          <w:szCs w:val="28"/>
        </w:rPr>
        <w:t>。当按两种或两种以上有害气体的</w:t>
      </w:r>
      <w:r>
        <w:rPr>
          <w:rFonts w:ascii="Times New Roman" w:eastAsia="宋体" w:hAnsi="Times New Roman" w:cs="Times New Roman"/>
          <w:sz w:val="28"/>
          <w:szCs w:val="28"/>
        </w:rPr>
        <w:t>Q</w:t>
      </w:r>
      <w:r>
        <w:rPr>
          <w:rFonts w:ascii="Times New Roman" w:eastAsia="宋体" w:hAnsi="Times New Roman" w:cs="Times New Roman"/>
          <w:sz w:val="28"/>
          <w:szCs w:val="28"/>
          <w:vertAlign w:val="subscript"/>
        </w:rPr>
        <w:t>c</w:t>
      </w:r>
      <w:r>
        <w:rPr>
          <w:rFonts w:ascii="Times New Roman" w:eastAsia="宋体" w:hAnsi="Times New Roman" w:cs="Times New Roman"/>
          <w:sz w:val="28"/>
          <w:szCs w:val="28"/>
        </w:rPr>
        <w:t>/C</w:t>
      </w:r>
      <w:r>
        <w:rPr>
          <w:rFonts w:ascii="Times New Roman" w:eastAsia="宋体" w:hAnsi="Times New Roman" w:cs="Times New Roman"/>
          <w:sz w:val="28"/>
          <w:szCs w:val="28"/>
          <w:vertAlign w:val="subscript"/>
        </w:rPr>
        <w:t>m</w:t>
      </w:r>
      <w:r>
        <w:rPr>
          <w:rFonts w:ascii="Times New Roman" w:eastAsia="宋体" w:hAnsi="Times New Roman" w:cs="Times New Roman"/>
          <w:sz w:val="28"/>
          <w:szCs w:val="28"/>
        </w:rPr>
        <w:t>计算卫生防护距离在同一级别时，该类工业企业的卫生防护距离提高一级。</w:t>
      </w:r>
    </w:p>
    <w:p w14:paraId="28004936"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该地区的平均风速为</w:t>
      </w:r>
      <w:r>
        <w:rPr>
          <w:rFonts w:ascii="Times New Roman" w:eastAsia="宋体" w:hAnsi="Times New Roman" w:cs="Times New Roman"/>
          <w:sz w:val="28"/>
          <w:szCs w:val="28"/>
        </w:rPr>
        <w:t>3.1m/s</w:t>
      </w:r>
      <w:r>
        <w:rPr>
          <w:rFonts w:ascii="Times New Roman" w:eastAsia="宋体" w:hAnsi="Times New Roman" w:cs="Times New Roman"/>
          <w:sz w:val="28"/>
          <w:szCs w:val="28"/>
        </w:rPr>
        <w:t>，</w:t>
      </w:r>
      <w:r>
        <w:rPr>
          <w:rFonts w:ascii="Times New Roman" w:eastAsia="宋体" w:hAnsi="Times New Roman" w:cs="Times New Roman"/>
          <w:sz w:val="28"/>
          <w:szCs w:val="28"/>
        </w:rPr>
        <w:t>A</w:t>
      </w:r>
      <w:r>
        <w:rPr>
          <w:rFonts w:ascii="Times New Roman" w:eastAsia="宋体" w:hAnsi="Times New Roman" w:cs="Times New Roman"/>
          <w:sz w:val="28"/>
          <w:szCs w:val="28"/>
        </w:rPr>
        <w:t>、</w:t>
      </w:r>
      <w:r>
        <w:rPr>
          <w:rFonts w:ascii="Times New Roman" w:eastAsia="宋体" w:hAnsi="Times New Roman" w:cs="Times New Roman"/>
          <w:sz w:val="28"/>
          <w:szCs w:val="28"/>
        </w:rPr>
        <w:t>B</w:t>
      </w:r>
      <w:r>
        <w:rPr>
          <w:rFonts w:ascii="Times New Roman" w:eastAsia="宋体" w:hAnsi="Times New Roman" w:cs="Times New Roman"/>
          <w:sz w:val="28"/>
          <w:szCs w:val="28"/>
        </w:rPr>
        <w:t>、</w:t>
      </w:r>
      <w:r>
        <w:rPr>
          <w:rFonts w:ascii="Times New Roman" w:eastAsia="宋体" w:hAnsi="Times New Roman" w:cs="Times New Roman"/>
          <w:sz w:val="28"/>
          <w:szCs w:val="28"/>
        </w:rPr>
        <w:t>C</w:t>
      </w:r>
      <w:r>
        <w:rPr>
          <w:rFonts w:ascii="Times New Roman" w:eastAsia="宋体" w:hAnsi="Times New Roman" w:cs="Times New Roman"/>
          <w:sz w:val="28"/>
          <w:szCs w:val="28"/>
        </w:rPr>
        <w:t>、</w:t>
      </w:r>
      <w:r>
        <w:rPr>
          <w:rFonts w:ascii="Times New Roman" w:eastAsia="宋体" w:hAnsi="Times New Roman" w:cs="Times New Roman"/>
          <w:sz w:val="28"/>
          <w:szCs w:val="28"/>
        </w:rPr>
        <w:t>D</w:t>
      </w:r>
      <w:r>
        <w:rPr>
          <w:rFonts w:ascii="Times New Roman" w:eastAsia="宋体" w:hAnsi="Times New Roman" w:cs="Times New Roman"/>
          <w:sz w:val="28"/>
          <w:szCs w:val="28"/>
        </w:rPr>
        <w:t>值的选取见表</w:t>
      </w:r>
      <w:r>
        <w:rPr>
          <w:rFonts w:ascii="Times New Roman" w:eastAsia="宋体" w:hAnsi="Times New Roman" w:cs="Times New Roman"/>
          <w:sz w:val="28"/>
          <w:szCs w:val="28"/>
        </w:rPr>
        <w:t>6.2-14</w:t>
      </w:r>
      <w:r>
        <w:rPr>
          <w:rFonts w:ascii="Times New Roman" w:eastAsia="宋体" w:hAnsi="Times New Roman" w:cs="Times New Roman"/>
          <w:sz w:val="28"/>
          <w:szCs w:val="28"/>
        </w:rPr>
        <w:t>。</w:t>
      </w:r>
    </w:p>
    <w:p w14:paraId="2E055D0F"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6.2-14  </w:t>
      </w:r>
      <w:r>
        <w:rPr>
          <w:rFonts w:ascii="Times New Roman" w:eastAsia="宋体" w:hAnsi="Times New Roman" w:cs="Times New Roman"/>
          <w:b/>
          <w:sz w:val="24"/>
          <w:szCs w:val="24"/>
        </w:rPr>
        <w:t>卫生防护距离计算系数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1030"/>
        <w:gridCol w:w="915"/>
        <w:gridCol w:w="915"/>
        <w:gridCol w:w="918"/>
        <w:gridCol w:w="914"/>
        <w:gridCol w:w="914"/>
        <w:gridCol w:w="918"/>
        <w:gridCol w:w="914"/>
        <w:gridCol w:w="914"/>
        <w:gridCol w:w="914"/>
        <w:gridCol w:w="8"/>
      </w:tblGrid>
      <w:tr w:rsidR="002133E3" w14:paraId="5483F209" w14:textId="77777777">
        <w:trPr>
          <w:cantSplit/>
          <w:trHeight w:val="227"/>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14:paraId="1ECFC40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计算系数</w:t>
            </w:r>
          </w:p>
        </w:tc>
        <w:tc>
          <w:tcPr>
            <w:tcW w:w="522" w:type="pct"/>
            <w:vMerge w:val="restart"/>
            <w:tcBorders>
              <w:top w:val="single" w:sz="4" w:space="0" w:color="auto"/>
              <w:left w:val="single" w:sz="4" w:space="0" w:color="auto"/>
              <w:bottom w:val="single" w:sz="4" w:space="0" w:color="auto"/>
              <w:right w:val="single" w:sz="4" w:space="0" w:color="auto"/>
            </w:tcBorders>
            <w:vAlign w:val="center"/>
          </w:tcPr>
          <w:p w14:paraId="239FB6C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年平均风速</w:t>
            </w:r>
          </w:p>
          <w:p w14:paraId="4134BF2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m/s</w:t>
            </w:r>
          </w:p>
        </w:tc>
        <w:tc>
          <w:tcPr>
            <w:tcW w:w="4184" w:type="pct"/>
            <w:gridSpan w:val="10"/>
            <w:tcBorders>
              <w:top w:val="single" w:sz="4" w:space="0" w:color="auto"/>
              <w:left w:val="single" w:sz="4" w:space="0" w:color="auto"/>
              <w:bottom w:val="single" w:sz="4" w:space="0" w:color="auto"/>
              <w:right w:val="single" w:sz="4" w:space="0" w:color="auto"/>
            </w:tcBorders>
            <w:vAlign w:val="center"/>
          </w:tcPr>
          <w:p w14:paraId="1F95E52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卫生防护距离</w:t>
            </w:r>
            <w:r>
              <w:rPr>
                <w:rFonts w:ascii="Times New Roman" w:eastAsia="宋体" w:hAnsi="Times New Roman" w:cs="Times New Roman"/>
                <w:szCs w:val="21"/>
              </w:rPr>
              <w:t>L</w:t>
            </w:r>
            <w:r>
              <w:rPr>
                <w:rFonts w:ascii="Times New Roman" w:eastAsia="宋体" w:hAnsi="Times New Roman" w:cs="Times New Roman"/>
                <w:szCs w:val="21"/>
              </w:rPr>
              <w:t>，</w:t>
            </w:r>
            <w:r>
              <w:rPr>
                <w:rFonts w:ascii="Times New Roman" w:eastAsia="宋体" w:hAnsi="Times New Roman" w:cs="Times New Roman"/>
                <w:szCs w:val="21"/>
              </w:rPr>
              <w:t>m</w:t>
            </w:r>
          </w:p>
        </w:tc>
      </w:tr>
      <w:tr w:rsidR="002133E3" w14:paraId="389AE2B5" w14:textId="77777777">
        <w:trPr>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64E9354F" w14:textId="77777777" w:rsidR="002133E3" w:rsidRDefault="002133E3">
            <w:pPr>
              <w:widowControl/>
              <w:jc w:val="left"/>
              <w:rPr>
                <w:rFonts w:ascii="Times New Roman" w:eastAsia="宋体" w:hAnsi="Times New Roman" w:cs="Times New Roman"/>
                <w:szCs w:val="21"/>
              </w:rPr>
            </w:pPr>
          </w:p>
        </w:tc>
        <w:tc>
          <w:tcPr>
            <w:tcW w:w="522" w:type="pct"/>
            <w:vMerge/>
            <w:tcBorders>
              <w:top w:val="single" w:sz="4" w:space="0" w:color="auto"/>
              <w:left w:val="single" w:sz="4" w:space="0" w:color="auto"/>
              <w:bottom w:val="single" w:sz="4" w:space="0" w:color="auto"/>
              <w:right w:val="single" w:sz="4" w:space="0" w:color="auto"/>
            </w:tcBorders>
            <w:vAlign w:val="center"/>
          </w:tcPr>
          <w:p w14:paraId="61AF0312" w14:textId="77777777" w:rsidR="002133E3" w:rsidRDefault="002133E3">
            <w:pPr>
              <w:widowControl/>
              <w:jc w:val="left"/>
              <w:rPr>
                <w:rFonts w:ascii="Times New Roman" w:eastAsia="宋体" w:hAnsi="Times New Roman" w:cs="Times New Roman"/>
                <w:szCs w:val="21"/>
              </w:rPr>
            </w:pP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1215AE8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L≤1000</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64D5DEA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1000</w:t>
            </w:r>
            <w:r>
              <w:rPr>
                <w:rFonts w:ascii="Times New Roman" w:eastAsia="宋体" w:hAnsi="Times New Roman" w:cs="Times New Roman"/>
                <w:szCs w:val="21"/>
              </w:rPr>
              <w:t>＜</w:t>
            </w:r>
            <w:r>
              <w:rPr>
                <w:rFonts w:ascii="Times New Roman" w:eastAsia="宋体" w:hAnsi="Times New Roman" w:cs="Times New Roman"/>
                <w:szCs w:val="21"/>
              </w:rPr>
              <w:t>L≤2000</w:t>
            </w:r>
          </w:p>
        </w:tc>
        <w:tc>
          <w:tcPr>
            <w:tcW w:w="1396" w:type="pct"/>
            <w:gridSpan w:val="4"/>
            <w:tcBorders>
              <w:top w:val="single" w:sz="4" w:space="0" w:color="auto"/>
              <w:left w:val="single" w:sz="4" w:space="0" w:color="auto"/>
              <w:bottom w:val="single" w:sz="4" w:space="0" w:color="auto"/>
              <w:right w:val="single" w:sz="4" w:space="0" w:color="auto"/>
            </w:tcBorders>
            <w:vAlign w:val="center"/>
          </w:tcPr>
          <w:p w14:paraId="7BCB12B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L</w:t>
            </w:r>
            <w:r>
              <w:rPr>
                <w:rFonts w:ascii="Times New Roman" w:eastAsia="宋体" w:hAnsi="Times New Roman" w:cs="Times New Roman"/>
                <w:szCs w:val="21"/>
              </w:rPr>
              <w:t>＞</w:t>
            </w:r>
            <w:r>
              <w:rPr>
                <w:rFonts w:ascii="Times New Roman" w:eastAsia="宋体" w:hAnsi="Times New Roman" w:cs="Times New Roman"/>
                <w:szCs w:val="21"/>
              </w:rPr>
              <w:t>2000</w:t>
            </w:r>
          </w:p>
        </w:tc>
      </w:tr>
      <w:tr w:rsidR="002133E3" w14:paraId="700D791B" w14:textId="77777777">
        <w:trPr>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28F811F2" w14:textId="77777777" w:rsidR="002133E3" w:rsidRDefault="002133E3">
            <w:pPr>
              <w:widowControl/>
              <w:jc w:val="left"/>
              <w:rPr>
                <w:rFonts w:ascii="Times New Roman" w:eastAsia="宋体" w:hAnsi="Times New Roman" w:cs="Times New Roman"/>
                <w:szCs w:val="21"/>
              </w:rPr>
            </w:pPr>
          </w:p>
        </w:tc>
        <w:tc>
          <w:tcPr>
            <w:tcW w:w="522" w:type="pct"/>
            <w:vMerge/>
            <w:tcBorders>
              <w:top w:val="single" w:sz="4" w:space="0" w:color="auto"/>
              <w:left w:val="single" w:sz="4" w:space="0" w:color="auto"/>
              <w:bottom w:val="single" w:sz="4" w:space="0" w:color="auto"/>
              <w:right w:val="single" w:sz="4" w:space="0" w:color="auto"/>
            </w:tcBorders>
            <w:vAlign w:val="center"/>
          </w:tcPr>
          <w:p w14:paraId="4FD542BC" w14:textId="77777777" w:rsidR="002133E3" w:rsidRDefault="002133E3">
            <w:pPr>
              <w:widowControl/>
              <w:jc w:val="left"/>
              <w:rPr>
                <w:rFonts w:ascii="Times New Roman" w:eastAsia="宋体" w:hAnsi="Times New Roman" w:cs="Times New Roman"/>
                <w:szCs w:val="21"/>
              </w:rPr>
            </w:pPr>
          </w:p>
        </w:tc>
        <w:tc>
          <w:tcPr>
            <w:tcW w:w="4184" w:type="pct"/>
            <w:gridSpan w:val="10"/>
            <w:tcBorders>
              <w:top w:val="single" w:sz="4" w:space="0" w:color="auto"/>
              <w:left w:val="single" w:sz="4" w:space="0" w:color="auto"/>
              <w:bottom w:val="single" w:sz="4" w:space="0" w:color="auto"/>
              <w:right w:val="single" w:sz="4" w:space="0" w:color="auto"/>
            </w:tcBorders>
            <w:vAlign w:val="center"/>
          </w:tcPr>
          <w:p w14:paraId="436E0DA0" w14:textId="77777777" w:rsidR="002133E3" w:rsidRDefault="00C22CFA">
            <w:pPr>
              <w:jc w:val="center"/>
              <w:rPr>
                <w:rFonts w:ascii="Times New Roman" w:eastAsia="宋体" w:hAnsi="Times New Roman" w:cs="Times New Roman"/>
                <w:szCs w:val="24"/>
              </w:rPr>
            </w:pPr>
            <w:r>
              <w:rPr>
                <w:rFonts w:ascii="Times New Roman" w:eastAsia="宋体" w:hAnsi="Times New Roman" w:cs="Times New Roman"/>
                <w:szCs w:val="24"/>
              </w:rPr>
              <w:t>工业大气污染源构成类别</w:t>
            </w:r>
          </w:p>
        </w:tc>
      </w:tr>
      <w:tr w:rsidR="002133E3" w14:paraId="16E3FD3E" w14:textId="77777777">
        <w:trPr>
          <w:gridAfter w:val="1"/>
          <w:wAfter w:w="3" w:type="pct"/>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4FEBF3AC" w14:textId="77777777" w:rsidR="002133E3" w:rsidRDefault="002133E3">
            <w:pPr>
              <w:widowControl/>
              <w:jc w:val="left"/>
              <w:rPr>
                <w:rFonts w:ascii="Times New Roman" w:eastAsia="宋体" w:hAnsi="Times New Roman" w:cs="Times New Roman"/>
                <w:szCs w:val="21"/>
              </w:rPr>
            </w:pPr>
          </w:p>
        </w:tc>
        <w:tc>
          <w:tcPr>
            <w:tcW w:w="522" w:type="pct"/>
            <w:vMerge/>
            <w:tcBorders>
              <w:top w:val="single" w:sz="4" w:space="0" w:color="auto"/>
              <w:left w:val="single" w:sz="4" w:space="0" w:color="auto"/>
              <w:bottom w:val="single" w:sz="4" w:space="0" w:color="auto"/>
              <w:right w:val="single" w:sz="4" w:space="0" w:color="auto"/>
            </w:tcBorders>
            <w:vAlign w:val="center"/>
          </w:tcPr>
          <w:p w14:paraId="29EFF8DC" w14:textId="77777777" w:rsidR="002133E3" w:rsidRDefault="002133E3">
            <w:pPr>
              <w:widowControl/>
              <w:jc w:val="left"/>
              <w:rPr>
                <w:rFonts w:ascii="Times New Roman" w:eastAsia="宋体" w:hAnsi="Times New Roman" w:cs="Times New Roman"/>
                <w:szCs w:val="21"/>
              </w:rPr>
            </w:pPr>
          </w:p>
        </w:tc>
        <w:tc>
          <w:tcPr>
            <w:tcW w:w="464" w:type="pct"/>
            <w:tcBorders>
              <w:top w:val="single" w:sz="4" w:space="0" w:color="auto"/>
              <w:left w:val="single" w:sz="4" w:space="0" w:color="auto"/>
              <w:bottom w:val="single" w:sz="4" w:space="0" w:color="auto"/>
              <w:right w:val="single" w:sz="4" w:space="0" w:color="auto"/>
            </w:tcBorders>
            <w:vAlign w:val="center"/>
          </w:tcPr>
          <w:p w14:paraId="762ACE8F"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Ⅰ</w:t>
            </w:r>
          </w:p>
        </w:tc>
        <w:tc>
          <w:tcPr>
            <w:tcW w:w="464" w:type="pct"/>
            <w:tcBorders>
              <w:top w:val="single" w:sz="4" w:space="0" w:color="auto"/>
              <w:left w:val="single" w:sz="4" w:space="0" w:color="auto"/>
              <w:bottom w:val="single" w:sz="4" w:space="0" w:color="auto"/>
              <w:right w:val="single" w:sz="4" w:space="0" w:color="auto"/>
            </w:tcBorders>
            <w:vAlign w:val="center"/>
          </w:tcPr>
          <w:p w14:paraId="63433E75"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Ⅱ</w:t>
            </w:r>
          </w:p>
        </w:tc>
        <w:tc>
          <w:tcPr>
            <w:tcW w:w="465" w:type="pct"/>
            <w:tcBorders>
              <w:top w:val="single" w:sz="4" w:space="0" w:color="auto"/>
              <w:left w:val="single" w:sz="4" w:space="0" w:color="auto"/>
              <w:bottom w:val="single" w:sz="4" w:space="0" w:color="auto"/>
              <w:right w:val="single" w:sz="4" w:space="0" w:color="auto"/>
            </w:tcBorders>
            <w:vAlign w:val="center"/>
          </w:tcPr>
          <w:p w14:paraId="25BFE7BF"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Ⅲ</w:t>
            </w:r>
          </w:p>
        </w:tc>
        <w:tc>
          <w:tcPr>
            <w:tcW w:w="464" w:type="pct"/>
            <w:tcBorders>
              <w:top w:val="single" w:sz="4" w:space="0" w:color="auto"/>
              <w:left w:val="single" w:sz="4" w:space="0" w:color="auto"/>
              <w:bottom w:val="single" w:sz="4" w:space="0" w:color="auto"/>
              <w:right w:val="single" w:sz="4" w:space="0" w:color="auto"/>
            </w:tcBorders>
            <w:vAlign w:val="center"/>
          </w:tcPr>
          <w:p w14:paraId="4E2A4AAD"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Ⅰ</w:t>
            </w:r>
          </w:p>
        </w:tc>
        <w:tc>
          <w:tcPr>
            <w:tcW w:w="464" w:type="pct"/>
            <w:tcBorders>
              <w:top w:val="single" w:sz="4" w:space="0" w:color="auto"/>
              <w:left w:val="single" w:sz="4" w:space="0" w:color="auto"/>
              <w:bottom w:val="single" w:sz="4" w:space="0" w:color="auto"/>
              <w:right w:val="single" w:sz="4" w:space="0" w:color="auto"/>
            </w:tcBorders>
            <w:vAlign w:val="center"/>
          </w:tcPr>
          <w:p w14:paraId="477FA2D8"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Ⅱ</w:t>
            </w:r>
          </w:p>
        </w:tc>
        <w:tc>
          <w:tcPr>
            <w:tcW w:w="465" w:type="pct"/>
            <w:tcBorders>
              <w:top w:val="single" w:sz="4" w:space="0" w:color="auto"/>
              <w:left w:val="single" w:sz="4" w:space="0" w:color="auto"/>
              <w:bottom w:val="single" w:sz="4" w:space="0" w:color="auto"/>
              <w:right w:val="single" w:sz="4" w:space="0" w:color="auto"/>
            </w:tcBorders>
            <w:vAlign w:val="center"/>
          </w:tcPr>
          <w:p w14:paraId="069703B3"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Ⅲ</w:t>
            </w:r>
          </w:p>
        </w:tc>
        <w:tc>
          <w:tcPr>
            <w:tcW w:w="464" w:type="pct"/>
            <w:tcBorders>
              <w:top w:val="single" w:sz="4" w:space="0" w:color="auto"/>
              <w:left w:val="single" w:sz="4" w:space="0" w:color="auto"/>
              <w:bottom w:val="single" w:sz="4" w:space="0" w:color="auto"/>
              <w:right w:val="single" w:sz="4" w:space="0" w:color="auto"/>
            </w:tcBorders>
            <w:vAlign w:val="center"/>
          </w:tcPr>
          <w:p w14:paraId="6A75AB96"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Ⅰ</w:t>
            </w:r>
          </w:p>
        </w:tc>
        <w:tc>
          <w:tcPr>
            <w:tcW w:w="464" w:type="pct"/>
            <w:tcBorders>
              <w:top w:val="single" w:sz="4" w:space="0" w:color="auto"/>
              <w:left w:val="single" w:sz="4" w:space="0" w:color="auto"/>
              <w:bottom w:val="single" w:sz="4" w:space="0" w:color="auto"/>
              <w:right w:val="single" w:sz="4" w:space="0" w:color="auto"/>
            </w:tcBorders>
            <w:vAlign w:val="center"/>
          </w:tcPr>
          <w:p w14:paraId="3F449739"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Ⅱ</w:t>
            </w:r>
          </w:p>
        </w:tc>
        <w:tc>
          <w:tcPr>
            <w:tcW w:w="464" w:type="pct"/>
            <w:tcBorders>
              <w:top w:val="single" w:sz="4" w:space="0" w:color="auto"/>
              <w:left w:val="single" w:sz="4" w:space="0" w:color="auto"/>
              <w:bottom w:val="single" w:sz="4" w:space="0" w:color="auto"/>
              <w:right w:val="single" w:sz="4" w:space="0" w:color="auto"/>
            </w:tcBorders>
            <w:vAlign w:val="center"/>
          </w:tcPr>
          <w:p w14:paraId="456A379B" w14:textId="77777777" w:rsidR="002133E3" w:rsidRDefault="00C22CFA">
            <w:pPr>
              <w:jc w:val="center"/>
              <w:rPr>
                <w:rFonts w:ascii="Times New Roman" w:eastAsia="宋体" w:hAnsi="Times New Roman" w:cs="Times New Roman"/>
                <w:szCs w:val="21"/>
              </w:rPr>
            </w:pPr>
            <w:r>
              <w:rPr>
                <w:rFonts w:ascii="宋体" w:eastAsia="宋体" w:hAnsi="宋体" w:cs="宋体" w:hint="eastAsia"/>
                <w:szCs w:val="21"/>
              </w:rPr>
              <w:t>Ⅲ</w:t>
            </w:r>
          </w:p>
        </w:tc>
      </w:tr>
      <w:tr w:rsidR="002133E3" w14:paraId="6F2D0AA2" w14:textId="77777777">
        <w:trPr>
          <w:gridAfter w:val="1"/>
          <w:wAfter w:w="3" w:type="pct"/>
          <w:cantSplit/>
          <w:trHeight w:val="227"/>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14:paraId="4376F56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A</w:t>
            </w:r>
          </w:p>
        </w:tc>
        <w:tc>
          <w:tcPr>
            <w:tcW w:w="522" w:type="pct"/>
            <w:tcBorders>
              <w:top w:val="single" w:sz="4" w:space="0" w:color="auto"/>
              <w:left w:val="single" w:sz="4" w:space="0" w:color="auto"/>
              <w:bottom w:val="single" w:sz="4" w:space="0" w:color="auto"/>
              <w:right w:val="single" w:sz="4" w:space="0" w:color="auto"/>
            </w:tcBorders>
            <w:vAlign w:val="center"/>
          </w:tcPr>
          <w:p w14:paraId="45B0A3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p>
        </w:tc>
        <w:tc>
          <w:tcPr>
            <w:tcW w:w="464" w:type="pct"/>
            <w:tcBorders>
              <w:top w:val="single" w:sz="4" w:space="0" w:color="auto"/>
              <w:left w:val="single" w:sz="4" w:space="0" w:color="auto"/>
              <w:bottom w:val="single" w:sz="4" w:space="0" w:color="auto"/>
              <w:right w:val="single" w:sz="4" w:space="0" w:color="auto"/>
            </w:tcBorders>
            <w:vAlign w:val="center"/>
          </w:tcPr>
          <w:p w14:paraId="248A56E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464" w:type="pct"/>
            <w:tcBorders>
              <w:top w:val="single" w:sz="4" w:space="0" w:color="auto"/>
              <w:left w:val="single" w:sz="4" w:space="0" w:color="auto"/>
              <w:bottom w:val="single" w:sz="4" w:space="0" w:color="auto"/>
              <w:right w:val="single" w:sz="4" w:space="0" w:color="auto"/>
            </w:tcBorders>
            <w:vAlign w:val="center"/>
          </w:tcPr>
          <w:p w14:paraId="6A33E58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465" w:type="pct"/>
            <w:tcBorders>
              <w:top w:val="single" w:sz="4" w:space="0" w:color="auto"/>
              <w:left w:val="single" w:sz="4" w:space="0" w:color="auto"/>
              <w:bottom w:val="single" w:sz="4" w:space="0" w:color="auto"/>
              <w:right w:val="single" w:sz="4" w:space="0" w:color="auto"/>
            </w:tcBorders>
            <w:vAlign w:val="center"/>
          </w:tcPr>
          <w:p w14:paraId="63F96C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464" w:type="pct"/>
            <w:tcBorders>
              <w:top w:val="single" w:sz="4" w:space="0" w:color="auto"/>
              <w:left w:val="single" w:sz="4" w:space="0" w:color="auto"/>
              <w:bottom w:val="single" w:sz="4" w:space="0" w:color="auto"/>
              <w:right w:val="single" w:sz="4" w:space="0" w:color="auto"/>
            </w:tcBorders>
            <w:vAlign w:val="center"/>
          </w:tcPr>
          <w:p w14:paraId="72C5FE0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464" w:type="pct"/>
            <w:tcBorders>
              <w:top w:val="single" w:sz="4" w:space="0" w:color="auto"/>
              <w:left w:val="single" w:sz="4" w:space="0" w:color="auto"/>
              <w:bottom w:val="single" w:sz="4" w:space="0" w:color="auto"/>
              <w:right w:val="single" w:sz="4" w:space="0" w:color="auto"/>
            </w:tcBorders>
            <w:vAlign w:val="center"/>
          </w:tcPr>
          <w:p w14:paraId="30AFB4E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465" w:type="pct"/>
            <w:tcBorders>
              <w:top w:val="single" w:sz="4" w:space="0" w:color="auto"/>
              <w:left w:val="single" w:sz="4" w:space="0" w:color="auto"/>
              <w:bottom w:val="single" w:sz="4" w:space="0" w:color="auto"/>
              <w:right w:val="single" w:sz="4" w:space="0" w:color="auto"/>
            </w:tcBorders>
            <w:vAlign w:val="center"/>
          </w:tcPr>
          <w:p w14:paraId="5FBBD1B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464" w:type="pct"/>
            <w:tcBorders>
              <w:top w:val="single" w:sz="4" w:space="0" w:color="auto"/>
              <w:left w:val="single" w:sz="4" w:space="0" w:color="auto"/>
              <w:bottom w:val="single" w:sz="4" w:space="0" w:color="auto"/>
              <w:right w:val="single" w:sz="4" w:space="0" w:color="auto"/>
            </w:tcBorders>
            <w:vAlign w:val="center"/>
          </w:tcPr>
          <w:p w14:paraId="4369447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80</w:t>
            </w:r>
          </w:p>
        </w:tc>
        <w:tc>
          <w:tcPr>
            <w:tcW w:w="464" w:type="pct"/>
            <w:tcBorders>
              <w:top w:val="single" w:sz="4" w:space="0" w:color="auto"/>
              <w:left w:val="single" w:sz="4" w:space="0" w:color="auto"/>
              <w:bottom w:val="single" w:sz="4" w:space="0" w:color="auto"/>
              <w:right w:val="single" w:sz="4" w:space="0" w:color="auto"/>
            </w:tcBorders>
            <w:vAlign w:val="center"/>
          </w:tcPr>
          <w:p w14:paraId="3874E4D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80</w:t>
            </w:r>
          </w:p>
        </w:tc>
        <w:tc>
          <w:tcPr>
            <w:tcW w:w="464" w:type="pct"/>
            <w:tcBorders>
              <w:top w:val="single" w:sz="4" w:space="0" w:color="auto"/>
              <w:left w:val="single" w:sz="4" w:space="0" w:color="auto"/>
              <w:bottom w:val="single" w:sz="4" w:space="0" w:color="auto"/>
              <w:right w:val="single" w:sz="4" w:space="0" w:color="auto"/>
            </w:tcBorders>
            <w:vAlign w:val="center"/>
          </w:tcPr>
          <w:p w14:paraId="777C1B3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80</w:t>
            </w:r>
          </w:p>
        </w:tc>
      </w:tr>
      <w:tr w:rsidR="002133E3" w14:paraId="1279A090" w14:textId="77777777">
        <w:trPr>
          <w:gridAfter w:val="1"/>
          <w:wAfter w:w="3" w:type="pct"/>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2DFDDA38" w14:textId="77777777" w:rsidR="002133E3" w:rsidRDefault="002133E3">
            <w:pPr>
              <w:widowControl/>
              <w:jc w:val="left"/>
              <w:rPr>
                <w:rFonts w:ascii="Times New Roman" w:eastAsia="宋体" w:hAnsi="Times New Roman" w:cs="Times New Roman"/>
                <w:szCs w:val="21"/>
              </w:rPr>
            </w:pPr>
          </w:p>
        </w:tc>
        <w:tc>
          <w:tcPr>
            <w:tcW w:w="522" w:type="pct"/>
            <w:tcBorders>
              <w:top w:val="single" w:sz="4" w:space="0" w:color="auto"/>
              <w:left w:val="single" w:sz="4" w:space="0" w:color="auto"/>
              <w:bottom w:val="single" w:sz="4" w:space="0" w:color="auto"/>
              <w:right w:val="single" w:sz="4" w:space="0" w:color="auto"/>
            </w:tcBorders>
            <w:vAlign w:val="center"/>
          </w:tcPr>
          <w:p w14:paraId="7EA9697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t>4</w:t>
            </w:r>
          </w:p>
        </w:tc>
        <w:tc>
          <w:tcPr>
            <w:tcW w:w="464" w:type="pct"/>
            <w:tcBorders>
              <w:top w:val="single" w:sz="4" w:space="0" w:color="auto"/>
              <w:left w:val="single" w:sz="4" w:space="0" w:color="auto"/>
              <w:bottom w:val="single" w:sz="4" w:space="0" w:color="auto"/>
              <w:right w:val="single" w:sz="4" w:space="0" w:color="auto"/>
            </w:tcBorders>
            <w:vAlign w:val="center"/>
          </w:tcPr>
          <w:p w14:paraId="443ED86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700</w:t>
            </w:r>
          </w:p>
        </w:tc>
        <w:tc>
          <w:tcPr>
            <w:tcW w:w="464" w:type="pct"/>
            <w:tcBorders>
              <w:top w:val="single" w:sz="4" w:space="0" w:color="auto"/>
              <w:left w:val="single" w:sz="4" w:space="0" w:color="auto"/>
              <w:bottom w:val="single" w:sz="4" w:space="0" w:color="auto"/>
              <w:right w:val="single" w:sz="4" w:space="0" w:color="auto"/>
            </w:tcBorders>
            <w:vAlign w:val="center"/>
          </w:tcPr>
          <w:p w14:paraId="3A001A9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470</w:t>
            </w:r>
          </w:p>
        </w:tc>
        <w:tc>
          <w:tcPr>
            <w:tcW w:w="465" w:type="pct"/>
            <w:tcBorders>
              <w:top w:val="single" w:sz="4" w:space="0" w:color="auto"/>
              <w:left w:val="single" w:sz="4" w:space="0" w:color="auto"/>
              <w:bottom w:val="single" w:sz="4" w:space="0" w:color="auto"/>
              <w:right w:val="single" w:sz="4" w:space="0" w:color="auto"/>
            </w:tcBorders>
            <w:vAlign w:val="center"/>
          </w:tcPr>
          <w:p w14:paraId="3109F245"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350</w:t>
            </w:r>
          </w:p>
        </w:tc>
        <w:tc>
          <w:tcPr>
            <w:tcW w:w="464" w:type="pct"/>
            <w:tcBorders>
              <w:top w:val="single" w:sz="4" w:space="0" w:color="auto"/>
              <w:left w:val="single" w:sz="4" w:space="0" w:color="auto"/>
              <w:bottom w:val="single" w:sz="4" w:space="0" w:color="auto"/>
              <w:right w:val="single" w:sz="4" w:space="0" w:color="auto"/>
            </w:tcBorders>
            <w:vAlign w:val="center"/>
          </w:tcPr>
          <w:p w14:paraId="65A016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700</w:t>
            </w:r>
          </w:p>
        </w:tc>
        <w:tc>
          <w:tcPr>
            <w:tcW w:w="464" w:type="pct"/>
            <w:tcBorders>
              <w:top w:val="single" w:sz="4" w:space="0" w:color="auto"/>
              <w:left w:val="single" w:sz="4" w:space="0" w:color="auto"/>
              <w:bottom w:val="single" w:sz="4" w:space="0" w:color="auto"/>
              <w:right w:val="single" w:sz="4" w:space="0" w:color="auto"/>
            </w:tcBorders>
            <w:vAlign w:val="center"/>
          </w:tcPr>
          <w:p w14:paraId="4999CEF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470</w:t>
            </w:r>
          </w:p>
        </w:tc>
        <w:tc>
          <w:tcPr>
            <w:tcW w:w="465" w:type="pct"/>
            <w:tcBorders>
              <w:top w:val="single" w:sz="4" w:space="0" w:color="auto"/>
              <w:left w:val="single" w:sz="4" w:space="0" w:color="auto"/>
              <w:bottom w:val="single" w:sz="4" w:space="0" w:color="auto"/>
              <w:right w:val="single" w:sz="4" w:space="0" w:color="auto"/>
            </w:tcBorders>
            <w:vAlign w:val="center"/>
          </w:tcPr>
          <w:p w14:paraId="2CA49EF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350</w:t>
            </w:r>
          </w:p>
        </w:tc>
        <w:tc>
          <w:tcPr>
            <w:tcW w:w="464" w:type="pct"/>
            <w:tcBorders>
              <w:top w:val="single" w:sz="4" w:space="0" w:color="auto"/>
              <w:left w:val="single" w:sz="4" w:space="0" w:color="auto"/>
              <w:bottom w:val="single" w:sz="4" w:space="0" w:color="auto"/>
              <w:right w:val="single" w:sz="4" w:space="0" w:color="auto"/>
            </w:tcBorders>
            <w:vAlign w:val="center"/>
          </w:tcPr>
          <w:p w14:paraId="4272172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380</w:t>
            </w:r>
          </w:p>
        </w:tc>
        <w:tc>
          <w:tcPr>
            <w:tcW w:w="464" w:type="pct"/>
            <w:tcBorders>
              <w:top w:val="single" w:sz="4" w:space="0" w:color="auto"/>
              <w:left w:val="single" w:sz="4" w:space="0" w:color="auto"/>
              <w:bottom w:val="single" w:sz="4" w:space="0" w:color="auto"/>
              <w:right w:val="single" w:sz="4" w:space="0" w:color="auto"/>
            </w:tcBorders>
            <w:vAlign w:val="center"/>
          </w:tcPr>
          <w:p w14:paraId="2DF0302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250</w:t>
            </w:r>
          </w:p>
        </w:tc>
        <w:tc>
          <w:tcPr>
            <w:tcW w:w="464" w:type="pct"/>
            <w:tcBorders>
              <w:top w:val="single" w:sz="4" w:space="0" w:color="auto"/>
              <w:left w:val="single" w:sz="4" w:space="0" w:color="auto"/>
              <w:bottom w:val="single" w:sz="4" w:space="0" w:color="auto"/>
              <w:right w:val="single" w:sz="4" w:space="0" w:color="auto"/>
            </w:tcBorders>
            <w:vAlign w:val="center"/>
          </w:tcPr>
          <w:p w14:paraId="727520D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190</w:t>
            </w:r>
          </w:p>
        </w:tc>
      </w:tr>
      <w:tr w:rsidR="002133E3" w14:paraId="0702A6E2" w14:textId="77777777">
        <w:trPr>
          <w:gridAfter w:val="1"/>
          <w:wAfter w:w="3" w:type="pct"/>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5F1180AA" w14:textId="77777777" w:rsidR="002133E3" w:rsidRDefault="002133E3">
            <w:pPr>
              <w:widowControl/>
              <w:jc w:val="left"/>
              <w:rPr>
                <w:rFonts w:ascii="Times New Roman" w:eastAsia="宋体" w:hAnsi="Times New Roman" w:cs="Times New Roman"/>
                <w:szCs w:val="21"/>
              </w:rPr>
            </w:pPr>
          </w:p>
        </w:tc>
        <w:tc>
          <w:tcPr>
            <w:tcW w:w="522" w:type="pct"/>
            <w:tcBorders>
              <w:top w:val="single" w:sz="4" w:space="0" w:color="auto"/>
              <w:left w:val="single" w:sz="4" w:space="0" w:color="auto"/>
              <w:bottom w:val="single" w:sz="4" w:space="0" w:color="auto"/>
              <w:right w:val="single" w:sz="4" w:space="0" w:color="auto"/>
            </w:tcBorders>
            <w:vAlign w:val="center"/>
          </w:tcPr>
          <w:p w14:paraId="3D81D71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lang w:val="en-JM"/>
              </w:rPr>
              <w:t>＞</w:t>
            </w:r>
            <w:r>
              <w:rPr>
                <w:rFonts w:ascii="Times New Roman" w:eastAsia="宋体" w:hAnsi="Times New Roman" w:cs="Times New Roman"/>
                <w:szCs w:val="21"/>
              </w:rPr>
              <w:t>4</w:t>
            </w:r>
          </w:p>
        </w:tc>
        <w:tc>
          <w:tcPr>
            <w:tcW w:w="464" w:type="pct"/>
            <w:tcBorders>
              <w:top w:val="single" w:sz="4" w:space="0" w:color="auto"/>
              <w:left w:val="single" w:sz="4" w:space="0" w:color="auto"/>
              <w:bottom w:val="single" w:sz="4" w:space="0" w:color="auto"/>
              <w:right w:val="single" w:sz="4" w:space="0" w:color="auto"/>
            </w:tcBorders>
            <w:vAlign w:val="center"/>
          </w:tcPr>
          <w:p w14:paraId="3926802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530</w:t>
            </w:r>
          </w:p>
        </w:tc>
        <w:tc>
          <w:tcPr>
            <w:tcW w:w="464" w:type="pct"/>
            <w:tcBorders>
              <w:top w:val="single" w:sz="4" w:space="0" w:color="auto"/>
              <w:left w:val="single" w:sz="4" w:space="0" w:color="auto"/>
              <w:bottom w:val="single" w:sz="4" w:space="0" w:color="auto"/>
              <w:right w:val="single" w:sz="4" w:space="0" w:color="auto"/>
            </w:tcBorders>
            <w:vAlign w:val="center"/>
          </w:tcPr>
          <w:p w14:paraId="151015D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350</w:t>
            </w:r>
          </w:p>
        </w:tc>
        <w:tc>
          <w:tcPr>
            <w:tcW w:w="465" w:type="pct"/>
            <w:tcBorders>
              <w:top w:val="single" w:sz="4" w:space="0" w:color="auto"/>
              <w:left w:val="single" w:sz="4" w:space="0" w:color="auto"/>
              <w:bottom w:val="single" w:sz="4" w:space="0" w:color="auto"/>
              <w:right w:val="single" w:sz="4" w:space="0" w:color="auto"/>
            </w:tcBorders>
            <w:vAlign w:val="center"/>
          </w:tcPr>
          <w:p w14:paraId="25239F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260</w:t>
            </w:r>
          </w:p>
        </w:tc>
        <w:tc>
          <w:tcPr>
            <w:tcW w:w="464" w:type="pct"/>
            <w:tcBorders>
              <w:top w:val="single" w:sz="4" w:space="0" w:color="auto"/>
              <w:left w:val="single" w:sz="4" w:space="0" w:color="auto"/>
              <w:bottom w:val="single" w:sz="4" w:space="0" w:color="auto"/>
              <w:right w:val="single" w:sz="4" w:space="0" w:color="auto"/>
            </w:tcBorders>
            <w:vAlign w:val="center"/>
          </w:tcPr>
          <w:p w14:paraId="629C27F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530</w:t>
            </w:r>
          </w:p>
        </w:tc>
        <w:tc>
          <w:tcPr>
            <w:tcW w:w="464" w:type="pct"/>
            <w:tcBorders>
              <w:top w:val="single" w:sz="4" w:space="0" w:color="auto"/>
              <w:left w:val="single" w:sz="4" w:space="0" w:color="auto"/>
              <w:bottom w:val="single" w:sz="4" w:space="0" w:color="auto"/>
              <w:right w:val="single" w:sz="4" w:space="0" w:color="auto"/>
            </w:tcBorders>
            <w:vAlign w:val="center"/>
          </w:tcPr>
          <w:p w14:paraId="1BB57E4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350</w:t>
            </w:r>
          </w:p>
        </w:tc>
        <w:tc>
          <w:tcPr>
            <w:tcW w:w="465" w:type="pct"/>
            <w:tcBorders>
              <w:top w:val="single" w:sz="4" w:space="0" w:color="auto"/>
              <w:left w:val="single" w:sz="4" w:space="0" w:color="auto"/>
              <w:bottom w:val="single" w:sz="4" w:space="0" w:color="auto"/>
              <w:right w:val="single" w:sz="4" w:space="0" w:color="auto"/>
            </w:tcBorders>
            <w:vAlign w:val="center"/>
          </w:tcPr>
          <w:p w14:paraId="1CB949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260</w:t>
            </w:r>
          </w:p>
        </w:tc>
        <w:tc>
          <w:tcPr>
            <w:tcW w:w="464" w:type="pct"/>
            <w:tcBorders>
              <w:top w:val="single" w:sz="4" w:space="0" w:color="auto"/>
              <w:left w:val="single" w:sz="4" w:space="0" w:color="auto"/>
              <w:bottom w:val="single" w:sz="4" w:space="0" w:color="auto"/>
              <w:right w:val="single" w:sz="4" w:space="0" w:color="auto"/>
            </w:tcBorders>
            <w:vAlign w:val="center"/>
          </w:tcPr>
          <w:p w14:paraId="0B437F5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290</w:t>
            </w:r>
          </w:p>
        </w:tc>
        <w:tc>
          <w:tcPr>
            <w:tcW w:w="464" w:type="pct"/>
            <w:tcBorders>
              <w:top w:val="single" w:sz="4" w:space="0" w:color="auto"/>
              <w:left w:val="single" w:sz="4" w:space="0" w:color="auto"/>
              <w:bottom w:val="single" w:sz="4" w:space="0" w:color="auto"/>
              <w:right w:val="single" w:sz="4" w:space="0" w:color="auto"/>
            </w:tcBorders>
            <w:vAlign w:val="center"/>
          </w:tcPr>
          <w:p w14:paraId="377920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190</w:t>
            </w:r>
          </w:p>
        </w:tc>
        <w:tc>
          <w:tcPr>
            <w:tcW w:w="464" w:type="pct"/>
            <w:tcBorders>
              <w:top w:val="single" w:sz="4" w:space="0" w:color="auto"/>
              <w:left w:val="single" w:sz="4" w:space="0" w:color="auto"/>
              <w:bottom w:val="single" w:sz="4" w:space="0" w:color="auto"/>
              <w:right w:val="single" w:sz="4" w:space="0" w:color="auto"/>
            </w:tcBorders>
            <w:vAlign w:val="center"/>
          </w:tcPr>
          <w:p w14:paraId="3CD308B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140</w:t>
            </w:r>
          </w:p>
        </w:tc>
      </w:tr>
      <w:tr w:rsidR="002133E3" w14:paraId="1EB1E6C7" w14:textId="77777777">
        <w:trPr>
          <w:cantSplit/>
          <w:trHeight w:val="227"/>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14:paraId="0BC8E1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B</w:t>
            </w:r>
          </w:p>
        </w:tc>
        <w:tc>
          <w:tcPr>
            <w:tcW w:w="522" w:type="pct"/>
            <w:tcBorders>
              <w:top w:val="single" w:sz="4" w:space="0" w:color="auto"/>
              <w:left w:val="single" w:sz="4" w:space="0" w:color="auto"/>
              <w:bottom w:val="single" w:sz="4" w:space="0" w:color="auto"/>
              <w:right w:val="single" w:sz="4" w:space="0" w:color="auto"/>
            </w:tcBorders>
            <w:vAlign w:val="center"/>
          </w:tcPr>
          <w:p w14:paraId="347AFF5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lang w:val="en-JM"/>
              </w:rPr>
              <w:t>＜</w:t>
            </w:r>
            <w:r>
              <w:rPr>
                <w:rFonts w:ascii="Times New Roman" w:eastAsia="宋体" w:hAnsi="Times New Roman" w:cs="Times New Roman"/>
                <w:szCs w:val="21"/>
              </w:rPr>
              <w:t>2</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6DA249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05E8BE5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0.015</w:t>
            </w:r>
          </w:p>
        </w:tc>
        <w:tc>
          <w:tcPr>
            <w:tcW w:w="1396" w:type="pct"/>
            <w:gridSpan w:val="4"/>
            <w:tcBorders>
              <w:top w:val="single" w:sz="4" w:space="0" w:color="auto"/>
              <w:left w:val="single" w:sz="4" w:space="0" w:color="auto"/>
              <w:bottom w:val="single" w:sz="4" w:space="0" w:color="auto"/>
              <w:right w:val="single" w:sz="4" w:space="0" w:color="auto"/>
            </w:tcBorders>
            <w:vAlign w:val="center"/>
          </w:tcPr>
          <w:p w14:paraId="4CDB936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0.015</w:t>
            </w:r>
          </w:p>
        </w:tc>
      </w:tr>
      <w:tr w:rsidR="002133E3" w14:paraId="2FCF7F5B" w14:textId="77777777">
        <w:trPr>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29EF2168" w14:textId="77777777" w:rsidR="002133E3" w:rsidRDefault="002133E3">
            <w:pPr>
              <w:widowControl/>
              <w:jc w:val="left"/>
              <w:rPr>
                <w:rFonts w:ascii="Times New Roman" w:eastAsia="宋体" w:hAnsi="Times New Roman" w:cs="Times New Roman"/>
                <w:szCs w:val="21"/>
              </w:rPr>
            </w:pPr>
          </w:p>
        </w:tc>
        <w:tc>
          <w:tcPr>
            <w:tcW w:w="522" w:type="pct"/>
            <w:tcBorders>
              <w:top w:val="single" w:sz="4" w:space="0" w:color="auto"/>
              <w:left w:val="single" w:sz="4" w:space="0" w:color="auto"/>
              <w:bottom w:val="single" w:sz="4" w:space="0" w:color="auto"/>
              <w:right w:val="single" w:sz="4" w:space="0" w:color="auto"/>
            </w:tcBorders>
            <w:vAlign w:val="center"/>
          </w:tcPr>
          <w:p w14:paraId="55E166B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432DCBA7"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0.021</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4EEA8B5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0.036</w:t>
            </w:r>
          </w:p>
        </w:tc>
        <w:tc>
          <w:tcPr>
            <w:tcW w:w="1396" w:type="pct"/>
            <w:gridSpan w:val="4"/>
            <w:tcBorders>
              <w:top w:val="single" w:sz="4" w:space="0" w:color="auto"/>
              <w:left w:val="single" w:sz="4" w:space="0" w:color="auto"/>
              <w:bottom w:val="single" w:sz="4" w:space="0" w:color="auto"/>
              <w:right w:val="single" w:sz="4" w:space="0" w:color="auto"/>
            </w:tcBorders>
            <w:vAlign w:val="center"/>
          </w:tcPr>
          <w:p w14:paraId="16F0D2B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0.036</w:t>
            </w:r>
          </w:p>
        </w:tc>
      </w:tr>
      <w:tr w:rsidR="002133E3" w14:paraId="1EC34D92" w14:textId="77777777">
        <w:trPr>
          <w:cantSplit/>
          <w:trHeight w:val="227"/>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14:paraId="4655A29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C</w:t>
            </w:r>
          </w:p>
        </w:tc>
        <w:tc>
          <w:tcPr>
            <w:tcW w:w="522" w:type="pct"/>
            <w:tcBorders>
              <w:top w:val="single" w:sz="4" w:space="0" w:color="auto"/>
              <w:left w:val="single" w:sz="4" w:space="0" w:color="auto"/>
              <w:bottom w:val="single" w:sz="4" w:space="0" w:color="auto"/>
              <w:right w:val="single" w:sz="4" w:space="0" w:color="auto"/>
            </w:tcBorders>
            <w:vAlign w:val="center"/>
          </w:tcPr>
          <w:p w14:paraId="5E4B879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129CCA8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1.85</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2412526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1.79</w:t>
            </w:r>
          </w:p>
        </w:tc>
        <w:tc>
          <w:tcPr>
            <w:tcW w:w="1396" w:type="pct"/>
            <w:gridSpan w:val="4"/>
            <w:tcBorders>
              <w:top w:val="single" w:sz="4" w:space="0" w:color="auto"/>
              <w:left w:val="single" w:sz="4" w:space="0" w:color="auto"/>
              <w:bottom w:val="single" w:sz="4" w:space="0" w:color="auto"/>
              <w:right w:val="single" w:sz="4" w:space="0" w:color="auto"/>
            </w:tcBorders>
            <w:vAlign w:val="center"/>
          </w:tcPr>
          <w:p w14:paraId="6DEFACC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1.79</w:t>
            </w:r>
          </w:p>
        </w:tc>
      </w:tr>
      <w:tr w:rsidR="002133E3" w14:paraId="1C9B96E8" w14:textId="77777777">
        <w:trPr>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45838B6B" w14:textId="77777777" w:rsidR="002133E3" w:rsidRDefault="002133E3">
            <w:pPr>
              <w:widowControl/>
              <w:jc w:val="left"/>
              <w:rPr>
                <w:rFonts w:ascii="Times New Roman" w:eastAsia="宋体" w:hAnsi="Times New Roman" w:cs="Times New Roman"/>
                <w:szCs w:val="21"/>
              </w:rPr>
            </w:pPr>
          </w:p>
        </w:tc>
        <w:tc>
          <w:tcPr>
            <w:tcW w:w="522" w:type="pct"/>
            <w:tcBorders>
              <w:top w:val="single" w:sz="4" w:space="0" w:color="auto"/>
              <w:left w:val="single" w:sz="4" w:space="0" w:color="auto"/>
              <w:bottom w:val="single" w:sz="4" w:space="0" w:color="auto"/>
              <w:right w:val="single" w:sz="4" w:space="0" w:color="auto"/>
            </w:tcBorders>
            <w:vAlign w:val="center"/>
          </w:tcPr>
          <w:p w14:paraId="6288563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23618894"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1.85</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6FC1598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1.77</w:t>
            </w:r>
          </w:p>
        </w:tc>
        <w:tc>
          <w:tcPr>
            <w:tcW w:w="1396" w:type="pct"/>
            <w:gridSpan w:val="4"/>
            <w:tcBorders>
              <w:top w:val="single" w:sz="4" w:space="0" w:color="auto"/>
              <w:left w:val="single" w:sz="4" w:space="0" w:color="auto"/>
              <w:bottom w:val="single" w:sz="4" w:space="0" w:color="auto"/>
              <w:right w:val="single" w:sz="4" w:space="0" w:color="auto"/>
            </w:tcBorders>
            <w:vAlign w:val="center"/>
          </w:tcPr>
          <w:p w14:paraId="6793652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1.77</w:t>
            </w:r>
          </w:p>
        </w:tc>
      </w:tr>
      <w:tr w:rsidR="002133E3" w14:paraId="66C7AED9" w14:textId="77777777">
        <w:trPr>
          <w:cantSplit/>
          <w:trHeight w:val="227"/>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14:paraId="17F8F5A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D</w:t>
            </w:r>
          </w:p>
        </w:tc>
        <w:tc>
          <w:tcPr>
            <w:tcW w:w="522" w:type="pct"/>
            <w:tcBorders>
              <w:top w:val="single" w:sz="4" w:space="0" w:color="auto"/>
              <w:left w:val="single" w:sz="4" w:space="0" w:color="auto"/>
              <w:bottom w:val="single" w:sz="4" w:space="0" w:color="auto"/>
              <w:right w:val="single" w:sz="4" w:space="0" w:color="auto"/>
            </w:tcBorders>
            <w:vAlign w:val="center"/>
          </w:tcPr>
          <w:p w14:paraId="44F6054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2D35524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0.78</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71A3482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0.78</w:t>
            </w:r>
          </w:p>
        </w:tc>
        <w:tc>
          <w:tcPr>
            <w:tcW w:w="1396" w:type="pct"/>
            <w:gridSpan w:val="4"/>
            <w:tcBorders>
              <w:top w:val="single" w:sz="4" w:space="0" w:color="auto"/>
              <w:left w:val="single" w:sz="4" w:space="0" w:color="auto"/>
              <w:bottom w:val="single" w:sz="4" w:space="0" w:color="auto"/>
              <w:right w:val="single" w:sz="4" w:space="0" w:color="auto"/>
            </w:tcBorders>
            <w:vAlign w:val="center"/>
          </w:tcPr>
          <w:p w14:paraId="201528B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0.57</w:t>
            </w:r>
          </w:p>
        </w:tc>
      </w:tr>
      <w:tr w:rsidR="002133E3" w14:paraId="278A6D41" w14:textId="77777777">
        <w:trPr>
          <w:cantSplit/>
          <w:trHeight w:val="227"/>
          <w:jc w:val="center"/>
        </w:trPr>
        <w:tc>
          <w:tcPr>
            <w:tcW w:w="294" w:type="pct"/>
            <w:vMerge/>
            <w:tcBorders>
              <w:top w:val="single" w:sz="4" w:space="0" w:color="auto"/>
              <w:left w:val="single" w:sz="4" w:space="0" w:color="auto"/>
              <w:bottom w:val="single" w:sz="4" w:space="0" w:color="auto"/>
              <w:right w:val="single" w:sz="4" w:space="0" w:color="auto"/>
            </w:tcBorders>
            <w:vAlign w:val="center"/>
          </w:tcPr>
          <w:p w14:paraId="158BA7C8" w14:textId="77777777" w:rsidR="002133E3" w:rsidRDefault="002133E3">
            <w:pPr>
              <w:widowControl/>
              <w:jc w:val="left"/>
              <w:rPr>
                <w:rFonts w:ascii="Times New Roman" w:eastAsia="宋体" w:hAnsi="Times New Roman" w:cs="Times New Roman"/>
                <w:szCs w:val="21"/>
              </w:rPr>
            </w:pPr>
          </w:p>
        </w:tc>
        <w:tc>
          <w:tcPr>
            <w:tcW w:w="522" w:type="pct"/>
            <w:tcBorders>
              <w:top w:val="single" w:sz="4" w:space="0" w:color="auto"/>
              <w:left w:val="single" w:sz="4" w:space="0" w:color="auto"/>
              <w:bottom w:val="single" w:sz="4" w:space="0" w:color="auto"/>
              <w:right w:val="single" w:sz="4" w:space="0" w:color="auto"/>
            </w:tcBorders>
            <w:vAlign w:val="center"/>
          </w:tcPr>
          <w:p w14:paraId="29B05B2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6DA6BE0A" w14:textId="77777777" w:rsidR="002133E3" w:rsidRDefault="00C22CFA">
            <w:pPr>
              <w:jc w:val="center"/>
              <w:rPr>
                <w:rFonts w:ascii="Times New Roman" w:eastAsia="宋体" w:hAnsi="Times New Roman" w:cs="Times New Roman"/>
                <w:bCs/>
                <w:szCs w:val="21"/>
              </w:rPr>
            </w:pPr>
            <w:r>
              <w:rPr>
                <w:rFonts w:ascii="Times New Roman" w:eastAsia="宋体" w:hAnsi="Times New Roman" w:cs="Times New Roman"/>
                <w:bCs/>
                <w:szCs w:val="21"/>
              </w:rPr>
              <w:t>0.84</w:t>
            </w:r>
          </w:p>
        </w:tc>
        <w:tc>
          <w:tcPr>
            <w:tcW w:w="1394" w:type="pct"/>
            <w:gridSpan w:val="3"/>
            <w:tcBorders>
              <w:top w:val="single" w:sz="4" w:space="0" w:color="auto"/>
              <w:left w:val="single" w:sz="4" w:space="0" w:color="auto"/>
              <w:bottom w:val="single" w:sz="4" w:space="0" w:color="auto"/>
              <w:right w:val="single" w:sz="4" w:space="0" w:color="auto"/>
            </w:tcBorders>
            <w:vAlign w:val="center"/>
          </w:tcPr>
          <w:p w14:paraId="30D566A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0.84</w:t>
            </w:r>
          </w:p>
        </w:tc>
        <w:tc>
          <w:tcPr>
            <w:tcW w:w="1396" w:type="pct"/>
            <w:gridSpan w:val="4"/>
            <w:tcBorders>
              <w:top w:val="single" w:sz="4" w:space="0" w:color="auto"/>
              <w:left w:val="single" w:sz="4" w:space="0" w:color="auto"/>
              <w:bottom w:val="single" w:sz="4" w:space="0" w:color="auto"/>
              <w:right w:val="single" w:sz="4" w:space="0" w:color="auto"/>
            </w:tcBorders>
            <w:vAlign w:val="center"/>
          </w:tcPr>
          <w:p w14:paraId="05D06A4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0.76</w:t>
            </w:r>
          </w:p>
        </w:tc>
      </w:tr>
    </w:tbl>
    <w:p w14:paraId="048E1E53"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各卫生防护距离情况详见表</w:t>
      </w:r>
      <w:r>
        <w:rPr>
          <w:rFonts w:ascii="Times New Roman" w:eastAsia="宋体" w:hAnsi="Times New Roman" w:cs="Times New Roman"/>
          <w:sz w:val="28"/>
          <w:szCs w:val="28"/>
        </w:rPr>
        <w:t>6.2-15</w:t>
      </w:r>
      <w:r>
        <w:rPr>
          <w:rFonts w:ascii="Times New Roman" w:eastAsia="宋体" w:hAnsi="Times New Roman" w:cs="Times New Roman"/>
          <w:sz w:val="28"/>
          <w:szCs w:val="28"/>
        </w:rPr>
        <w:t>。</w:t>
      </w:r>
    </w:p>
    <w:p w14:paraId="5B2E031C"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6.2-15  </w:t>
      </w:r>
      <w:r>
        <w:rPr>
          <w:rFonts w:ascii="Times New Roman" w:eastAsia="宋体" w:hAnsi="Times New Roman" w:cs="Times New Roman"/>
          <w:b/>
          <w:sz w:val="24"/>
          <w:szCs w:val="24"/>
        </w:rPr>
        <w:t>卫生防护距离计算结果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21"/>
        <w:gridCol w:w="2032"/>
        <w:gridCol w:w="1161"/>
        <w:gridCol w:w="1306"/>
        <w:gridCol w:w="1299"/>
      </w:tblGrid>
      <w:tr w:rsidR="002133E3" w14:paraId="1CCBFC4F" w14:textId="77777777">
        <w:trPr>
          <w:trHeight w:val="567"/>
          <w:jc w:val="center"/>
        </w:trPr>
        <w:tc>
          <w:tcPr>
            <w:tcW w:w="959" w:type="dxa"/>
            <w:vAlign w:val="center"/>
          </w:tcPr>
          <w:p w14:paraId="0F3A226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污染源</w:t>
            </w:r>
          </w:p>
        </w:tc>
        <w:tc>
          <w:tcPr>
            <w:tcW w:w="1276" w:type="dxa"/>
            <w:shd w:val="clear" w:color="auto" w:fill="auto"/>
            <w:noWrap/>
            <w:vAlign w:val="center"/>
          </w:tcPr>
          <w:p w14:paraId="4446FCC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无组织排放面积</w:t>
            </w:r>
            <w:r>
              <w:rPr>
                <w:rFonts w:ascii="Times New Roman" w:eastAsia="宋体" w:hAnsi="Times New Roman" w:cs="Times New Roman"/>
                <w:b/>
                <w:bCs/>
                <w:kern w:val="0"/>
                <w:szCs w:val="21"/>
              </w:rPr>
              <w:t>(m</w:t>
            </w:r>
            <w:r>
              <w:rPr>
                <w:rFonts w:ascii="Times New Roman" w:eastAsia="宋体" w:hAnsi="Times New Roman" w:cs="Times New Roman"/>
                <w:b/>
                <w:bCs/>
                <w:kern w:val="0"/>
                <w:szCs w:val="21"/>
                <w:vertAlign w:val="superscript"/>
              </w:rPr>
              <w:t>2</w:t>
            </w:r>
            <w:r>
              <w:rPr>
                <w:rFonts w:ascii="Times New Roman" w:eastAsia="宋体" w:hAnsi="Times New Roman" w:cs="Times New Roman"/>
                <w:b/>
                <w:bCs/>
                <w:kern w:val="0"/>
                <w:szCs w:val="21"/>
              </w:rPr>
              <w:t>)</w:t>
            </w:r>
          </w:p>
        </w:tc>
        <w:tc>
          <w:tcPr>
            <w:tcW w:w="1821" w:type="dxa"/>
            <w:shd w:val="clear" w:color="auto" w:fill="auto"/>
            <w:noWrap/>
            <w:vAlign w:val="center"/>
          </w:tcPr>
          <w:p w14:paraId="725CF21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2032" w:type="dxa"/>
            <w:shd w:val="clear" w:color="auto" w:fill="auto"/>
            <w:vAlign w:val="center"/>
          </w:tcPr>
          <w:p w14:paraId="72C0C10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环境标准值</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小时平均，</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1161" w:type="dxa"/>
            <w:shd w:val="clear" w:color="auto" w:fill="auto"/>
            <w:vAlign w:val="center"/>
          </w:tcPr>
          <w:p w14:paraId="67BA5E3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排放速率</w:t>
            </w:r>
            <w:r>
              <w:rPr>
                <w:rFonts w:ascii="Times New Roman" w:eastAsia="宋体" w:hAnsi="Times New Roman" w:cs="Times New Roman"/>
                <w:b/>
                <w:bCs/>
                <w:kern w:val="0"/>
                <w:szCs w:val="21"/>
              </w:rPr>
              <w:t>kg/h</w:t>
            </w:r>
          </w:p>
        </w:tc>
        <w:tc>
          <w:tcPr>
            <w:tcW w:w="1306" w:type="dxa"/>
            <w:shd w:val="clear" w:color="auto" w:fill="auto"/>
            <w:vAlign w:val="center"/>
          </w:tcPr>
          <w:p w14:paraId="73BC7B9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计算结果</w:t>
            </w:r>
            <w:r>
              <w:rPr>
                <w:rFonts w:ascii="Times New Roman" w:eastAsia="宋体" w:hAnsi="Times New Roman" w:cs="Times New Roman"/>
                <w:b/>
                <w:bCs/>
                <w:kern w:val="0"/>
                <w:szCs w:val="21"/>
              </w:rPr>
              <w:t>m</w:t>
            </w:r>
          </w:p>
        </w:tc>
        <w:tc>
          <w:tcPr>
            <w:tcW w:w="1299" w:type="dxa"/>
            <w:shd w:val="clear" w:color="auto" w:fill="auto"/>
            <w:vAlign w:val="center"/>
          </w:tcPr>
          <w:p w14:paraId="20DEC22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卫生防护距离</w:t>
            </w:r>
            <w:r>
              <w:rPr>
                <w:rFonts w:ascii="Times New Roman" w:eastAsia="宋体" w:hAnsi="Times New Roman" w:cs="Times New Roman"/>
                <w:b/>
                <w:bCs/>
                <w:kern w:val="0"/>
                <w:szCs w:val="21"/>
              </w:rPr>
              <w:t>m</w:t>
            </w:r>
          </w:p>
        </w:tc>
      </w:tr>
      <w:tr w:rsidR="002133E3" w14:paraId="127497A6" w14:textId="77777777">
        <w:trPr>
          <w:trHeight w:val="567"/>
          <w:jc w:val="center"/>
        </w:trPr>
        <w:tc>
          <w:tcPr>
            <w:tcW w:w="959" w:type="dxa"/>
            <w:vAlign w:val="center"/>
          </w:tcPr>
          <w:p w14:paraId="589B32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bCs/>
                <w:szCs w:val="21"/>
              </w:rPr>
              <w:t>无水乙醇储罐</w:t>
            </w:r>
          </w:p>
        </w:tc>
        <w:tc>
          <w:tcPr>
            <w:tcW w:w="1276" w:type="dxa"/>
            <w:shd w:val="clear" w:color="auto" w:fill="auto"/>
            <w:noWrap/>
            <w:vAlign w:val="center"/>
          </w:tcPr>
          <w:p w14:paraId="54FB7C7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4721</w:t>
            </w:r>
          </w:p>
        </w:tc>
        <w:tc>
          <w:tcPr>
            <w:tcW w:w="1821" w:type="dxa"/>
            <w:shd w:val="clear" w:color="auto" w:fill="auto"/>
            <w:noWrap/>
            <w:vAlign w:val="center"/>
          </w:tcPr>
          <w:p w14:paraId="4EE39B5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4"/>
              </w:rPr>
              <w:t>挥发性有机物</w:t>
            </w:r>
          </w:p>
        </w:tc>
        <w:tc>
          <w:tcPr>
            <w:tcW w:w="2032" w:type="dxa"/>
            <w:shd w:val="clear" w:color="auto" w:fill="auto"/>
            <w:noWrap/>
            <w:vAlign w:val="center"/>
          </w:tcPr>
          <w:p w14:paraId="0CCAD02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1161" w:type="dxa"/>
            <w:shd w:val="clear" w:color="auto" w:fill="auto"/>
            <w:noWrap/>
            <w:vAlign w:val="center"/>
          </w:tcPr>
          <w:p w14:paraId="5B9FBA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0.14</w:t>
            </w:r>
          </w:p>
        </w:tc>
        <w:tc>
          <w:tcPr>
            <w:tcW w:w="1306" w:type="dxa"/>
            <w:shd w:val="clear" w:color="auto" w:fill="auto"/>
            <w:noWrap/>
            <w:vAlign w:val="center"/>
          </w:tcPr>
          <w:p w14:paraId="19CCA1D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2.482</w:t>
            </w:r>
          </w:p>
        </w:tc>
        <w:tc>
          <w:tcPr>
            <w:tcW w:w="1299" w:type="dxa"/>
            <w:shd w:val="clear" w:color="auto" w:fill="auto"/>
            <w:noWrap/>
            <w:vAlign w:val="center"/>
          </w:tcPr>
          <w:p w14:paraId="5A693D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r>
    </w:tbl>
    <w:p w14:paraId="1DEA7B4C"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根据上表计算结果及卫生防护距离的制定原则，确定本项目的卫生防护距离为项目所在区域外扩</w:t>
      </w:r>
      <w:r>
        <w:rPr>
          <w:rFonts w:ascii="Times New Roman" w:eastAsia="宋体" w:hAnsi="Times New Roman" w:cs="Times New Roman"/>
          <w:sz w:val="28"/>
          <w:szCs w:val="28"/>
        </w:rPr>
        <w:t>50m</w:t>
      </w:r>
      <w:r>
        <w:rPr>
          <w:rFonts w:ascii="Times New Roman" w:eastAsia="宋体" w:hAnsi="Times New Roman" w:cs="Times New Roman"/>
          <w:sz w:val="28"/>
          <w:szCs w:val="28"/>
        </w:rPr>
        <w:t>范围。因此本项目实施后，卫生防护距离为无水乙醇储罐区外扩</w:t>
      </w:r>
      <w:r>
        <w:rPr>
          <w:rFonts w:ascii="Times New Roman" w:eastAsia="宋体" w:hAnsi="Times New Roman" w:cs="Times New Roman"/>
          <w:sz w:val="28"/>
          <w:szCs w:val="28"/>
        </w:rPr>
        <w:t>50m</w:t>
      </w:r>
      <w:r>
        <w:rPr>
          <w:rFonts w:ascii="Times New Roman" w:eastAsia="宋体" w:hAnsi="Times New Roman" w:cs="Times New Roman"/>
          <w:sz w:val="28"/>
          <w:szCs w:val="28"/>
        </w:rPr>
        <w:t>范围。卫生防护距离范围内无居民，周围状况满足卫生防护距离的要求。项目卫生防护距离包络情况见图</w:t>
      </w:r>
      <w:r>
        <w:rPr>
          <w:rFonts w:ascii="Times New Roman" w:eastAsia="宋体" w:hAnsi="Times New Roman" w:cs="Times New Roman"/>
          <w:sz w:val="28"/>
          <w:szCs w:val="28"/>
        </w:rPr>
        <w:t>4.1-4</w:t>
      </w:r>
      <w:r>
        <w:rPr>
          <w:rFonts w:ascii="Times New Roman" w:eastAsia="宋体" w:hAnsi="Times New Roman" w:cs="Times New Roman"/>
          <w:sz w:val="28"/>
          <w:szCs w:val="28"/>
        </w:rPr>
        <w:t>。</w:t>
      </w:r>
    </w:p>
    <w:p w14:paraId="4788CAB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污染物排放核算结果</w:t>
      </w:r>
    </w:p>
    <w:p w14:paraId="65D643A5" w14:textId="77777777" w:rsidR="002133E3" w:rsidRDefault="00C22CFA">
      <w:pPr>
        <w:spacing w:line="520" w:lineRule="exact"/>
        <w:ind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有组织排放量核算</w:t>
      </w:r>
    </w:p>
    <w:p w14:paraId="67EDF75E"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6.2-16  </w:t>
      </w:r>
      <w:r>
        <w:rPr>
          <w:rFonts w:ascii="Times New Roman" w:eastAsia="宋体" w:hAnsi="Times New Roman" w:cs="Times New Roman"/>
          <w:b/>
          <w:sz w:val="24"/>
          <w:szCs w:val="24"/>
        </w:rPr>
        <w:t>大气污染物有组织排放量核算表</w:t>
      </w:r>
    </w:p>
    <w:tbl>
      <w:tblPr>
        <w:tblW w:w="0" w:type="auto"/>
        <w:jc w:val="center"/>
        <w:tblLayout w:type="fixed"/>
        <w:tblLook w:val="04A0" w:firstRow="1" w:lastRow="0" w:firstColumn="1" w:lastColumn="0" w:noHBand="0" w:noVBand="1"/>
      </w:tblPr>
      <w:tblGrid>
        <w:gridCol w:w="1186"/>
        <w:gridCol w:w="1276"/>
        <w:gridCol w:w="1650"/>
        <w:gridCol w:w="1929"/>
        <w:gridCol w:w="1843"/>
        <w:gridCol w:w="1857"/>
      </w:tblGrid>
      <w:tr w:rsidR="002133E3" w14:paraId="7A31A2E4" w14:textId="77777777">
        <w:trPr>
          <w:trHeight w:val="227"/>
          <w:jc w:val="center"/>
        </w:trPr>
        <w:tc>
          <w:tcPr>
            <w:tcW w:w="1186" w:type="dxa"/>
            <w:tcBorders>
              <w:top w:val="single" w:sz="4" w:space="0" w:color="auto"/>
              <w:left w:val="single" w:sz="4" w:space="0" w:color="auto"/>
              <w:bottom w:val="single" w:sz="4" w:space="0" w:color="auto"/>
              <w:right w:val="single" w:sz="4" w:space="0" w:color="auto"/>
            </w:tcBorders>
            <w:noWrap/>
            <w:vAlign w:val="center"/>
          </w:tcPr>
          <w:p w14:paraId="2F37B69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1276" w:type="dxa"/>
            <w:tcBorders>
              <w:top w:val="single" w:sz="4" w:space="0" w:color="auto"/>
              <w:left w:val="nil"/>
              <w:bottom w:val="single" w:sz="4" w:space="0" w:color="auto"/>
              <w:right w:val="single" w:sz="4" w:space="0" w:color="auto"/>
            </w:tcBorders>
            <w:noWrap/>
            <w:vAlign w:val="center"/>
          </w:tcPr>
          <w:p w14:paraId="0765098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排放口编号</w:t>
            </w:r>
          </w:p>
        </w:tc>
        <w:tc>
          <w:tcPr>
            <w:tcW w:w="1650" w:type="dxa"/>
            <w:tcBorders>
              <w:top w:val="single" w:sz="4" w:space="0" w:color="auto"/>
              <w:left w:val="nil"/>
              <w:bottom w:val="single" w:sz="4" w:space="0" w:color="auto"/>
              <w:right w:val="single" w:sz="4" w:space="0" w:color="auto"/>
            </w:tcBorders>
            <w:noWrap/>
            <w:vAlign w:val="center"/>
          </w:tcPr>
          <w:p w14:paraId="4A2BB39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w:t>
            </w:r>
          </w:p>
        </w:tc>
        <w:tc>
          <w:tcPr>
            <w:tcW w:w="1929" w:type="dxa"/>
            <w:tcBorders>
              <w:top w:val="single" w:sz="4" w:space="0" w:color="auto"/>
              <w:left w:val="nil"/>
              <w:bottom w:val="single" w:sz="4" w:space="0" w:color="auto"/>
              <w:right w:val="single" w:sz="4" w:space="0" w:color="auto"/>
            </w:tcBorders>
            <w:noWrap/>
            <w:vAlign w:val="center"/>
          </w:tcPr>
          <w:p w14:paraId="0994C9F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核算排放浓度</w:t>
            </w:r>
            <w:r>
              <w:rPr>
                <w:rFonts w:ascii="Times New Roman" w:eastAsia="宋体" w:hAnsi="Times New Roman" w:cs="Times New Roman"/>
                <w:b/>
                <w:bCs/>
                <w:color w:val="000000"/>
                <w:kern w:val="0"/>
                <w:szCs w:val="21"/>
              </w:rPr>
              <w:t>(mg/m</w:t>
            </w:r>
            <w:r>
              <w:rPr>
                <w:rFonts w:ascii="Times New Roman" w:eastAsia="宋体" w:hAnsi="Times New Roman" w:cs="Times New Roman"/>
                <w:b/>
                <w:bCs/>
                <w:color w:val="000000"/>
                <w:kern w:val="0"/>
                <w:szCs w:val="21"/>
                <w:vertAlign w:val="superscript"/>
              </w:rPr>
              <w:t>3</w:t>
            </w:r>
            <w:r>
              <w:rPr>
                <w:rFonts w:ascii="Times New Roman" w:eastAsia="宋体" w:hAnsi="Times New Roman" w:cs="Times New Roman"/>
                <w:b/>
                <w:bCs/>
                <w:color w:val="000000"/>
                <w:kern w:val="0"/>
                <w:szCs w:val="21"/>
              </w:rPr>
              <w:t>)</w:t>
            </w:r>
          </w:p>
        </w:tc>
        <w:tc>
          <w:tcPr>
            <w:tcW w:w="1843" w:type="dxa"/>
            <w:tcBorders>
              <w:top w:val="single" w:sz="4" w:space="0" w:color="auto"/>
              <w:left w:val="nil"/>
              <w:bottom w:val="single" w:sz="4" w:space="0" w:color="auto"/>
              <w:right w:val="single" w:sz="4" w:space="0" w:color="auto"/>
            </w:tcBorders>
            <w:noWrap/>
            <w:vAlign w:val="center"/>
          </w:tcPr>
          <w:p w14:paraId="2C15187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核算排放速率</w:t>
            </w:r>
            <w:r>
              <w:rPr>
                <w:rFonts w:ascii="Times New Roman" w:eastAsia="宋体" w:hAnsi="Times New Roman" w:cs="Times New Roman"/>
                <w:b/>
                <w:bCs/>
                <w:color w:val="000000"/>
                <w:kern w:val="0"/>
                <w:szCs w:val="21"/>
              </w:rPr>
              <w:t>(kg/h)</w:t>
            </w:r>
          </w:p>
        </w:tc>
        <w:tc>
          <w:tcPr>
            <w:tcW w:w="1857" w:type="dxa"/>
            <w:tcBorders>
              <w:top w:val="single" w:sz="4" w:space="0" w:color="auto"/>
              <w:left w:val="nil"/>
              <w:bottom w:val="single" w:sz="4" w:space="0" w:color="auto"/>
              <w:right w:val="single" w:sz="4" w:space="0" w:color="auto"/>
            </w:tcBorders>
            <w:noWrap/>
            <w:vAlign w:val="center"/>
          </w:tcPr>
          <w:p w14:paraId="40578FB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核算年排放量</w:t>
            </w:r>
            <w:r>
              <w:rPr>
                <w:rFonts w:ascii="Times New Roman" w:eastAsia="宋体" w:hAnsi="Times New Roman" w:cs="Times New Roman"/>
                <w:b/>
                <w:bCs/>
                <w:color w:val="000000"/>
                <w:kern w:val="0"/>
                <w:szCs w:val="21"/>
              </w:rPr>
              <w:t>(t/a)</w:t>
            </w:r>
          </w:p>
        </w:tc>
      </w:tr>
      <w:tr w:rsidR="002133E3" w14:paraId="6D86E846" w14:textId="77777777">
        <w:trPr>
          <w:trHeight w:val="227"/>
          <w:jc w:val="center"/>
        </w:trPr>
        <w:tc>
          <w:tcPr>
            <w:tcW w:w="9741" w:type="dxa"/>
            <w:gridSpan w:val="6"/>
            <w:tcBorders>
              <w:top w:val="single" w:sz="4" w:space="0" w:color="auto"/>
              <w:left w:val="single" w:sz="4" w:space="0" w:color="auto"/>
              <w:bottom w:val="single" w:sz="4" w:space="0" w:color="auto"/>
              <w:right w:val="single" w:sz="4" w:space="0" w:color="auto"/>
            </w:tcBorders>
            <w:noWrap/>
            <w:vAlign w:val="center"/>
          </w:tcPr>
          <w:p w14:paraId="5D42FA3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主要排放口</w:t>
            </w:r>
          </w:p>
        </w:tc>
      </w:tr>
      <w:tr w:rsidR="002133E3" w14:paraId="077375AD" w14:textId="77777777">
        <w:trPr>
          <w:trHeight w:val="227"/>
          <w:jc w:val="center"/>
        </w:trPr>
        <w:tc>
          <w:tcPr>
            <w:tcW w:w="1186" w:type="dxa"/>
            <w:tcBorders>
              <w:top w:val="nil"/>
              <w:left w:val="single" w:sz="4" w:space="0" w:color="auto"/>
              <w:bottom w:val="single" w:sz="4" w:space="0" w:color="auto"/>
              <w:right w:val="single" w:sz="4" w:space="0" w:color="auto"/>
            </w:tcBorders>
            <w:noWrap/>
            <w:vAlign w:val="center"/>
          </w:tcPr>
          <w:p w14:paraId="6B89B7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276" w:type="dxa"/>
            <w:tcBorders>
              <w:top w:val="nil"/>
              <w:left w:val="single" w:sz="4" w:space="0" w:color="auto"/>
              <w:bottom w:val="single" w:sz="4" w:space="0" w:color="auto"/>
              <w:right w:val="single" w:sz="4" w:space="0" w:color="auto"/>
            </w:tcBorders>
            <w:noWrap/>
            <w:vAlign w:val="center"/>
          </w:tcPr>
          <w:p w14:paraId="1D5BE19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1650" w:type="dxa"/>
            <w:tcBorders>
              <w:top w:val="nil"/>
              <w:left w:val="nil"/>
              <w:bottom w:val="single" w:sz="4" w:space="0" w:color="auto"/>
              <w:right w:val="single" w:sz="4" w:space="0" w:color="auto"/>
            </w:tcBorders>
            <w:vAlign w:val="center"/>
          </w:tcPr>
          <w:p w14:paraId="68EA8D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929" w:type="dxa"/>
            <w:tcBorders>
              <w:top w:val="nil"/>
              <w:left w:val="nil"/>
              <w:bottom w:val="single" w:sz="4" w:space="0" w:color="auto"/>
              <w:right w:val="single" w:sz="4" w:space="0" w:color="auto"/>
            </w:tcBorders>
            <w:noWrap/>
            <w:vAlign w:val="center"/>
          </w:tcPr>
          <w:p w14:paraId="093465E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szCs w:val="21"/>
              </w:rPr>
              <w:t>12.35</w:t>
            </w:r>
          </w:p>
        </w:tc>
        <w:tc>
          <w:tcPr>
            <w:tcW w:w="1843" w:type="dxa"/>
            <w:tcBorders>
              <w:top w:val="nil"/>
              <w:left w:val="nil"/>
              <w:bottom w:val="single" w:sz="4" w:space="0" w:color="auto"/>
              <w:right w:val="single" w:sz="4" w:space="0" w:color="auto"/>
            </w:tcBorders>
            <w:noWrap/>
            <w:vAlign w:val="center"/>
          </w:tcPr>
          <w:p w14:paraId="3A363CF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0.74 </w:t>
            </w:r>
          </w:p>
        </w:tc>
        <w:tc>
          <w:tcPr>
            <w:tcW w:w="1857" w:type="dxa"/>
            <w:tcBorders>
              <w:top w:val="nil"/>
              <w:left w:val="nil"/>
              <w:bottom w:val="single" w:sz="4" w:space="0" w:color="auto"/>
              <w:right w:val="single" w:sz="4" w:space="0" w:color="auto"/>
            </w:tcBorders>
            <w:noWrap/>
            <w:vAlign w:val="center"/>
          </w:tcPr>
          <w:p w14:paraId="4DCE893B" w14:textId="77777777" w:rsidR="002133E3" w:rsidRDefault="00C22CFA">
            <w:pPr>
              <w:widowControl/>
              <w:jc w:val="center"/>
              <w:textAlignment w:val="bottom"/>
              <w:rPr>
                <w:rFonts w:ascii="Times New Roman" w:eastAsia="宋体" w:hAnsi="Times New Roman" w:cs="Times New Roman"/>
                <w:color w:val="000000"/>
                <w:kern w:val="0"/>
                <w:szCs w:val="21"/>
              </w:rPr>
            </w:pPr>
            <w:r>
              <w:rPr>
                <w:rFonts w:ascii="Times New Roman" w:eastAsia="等线" w:hAnsi="Times New Roman" w:cs="Times New Roman"/>
                <w:szCs w:val="21"/>
              </w:rPr>
              <w:t xml:space="preserve">5.33 </w:t>
            </w:r>
          </w:p>
        </w:tc>
      </w:tr>
      <w:tr w:rsidR="002133E3" w14:paraId="1F0ECB01" w14:textId="77777777">
        <w:trPr>
          <w:trHeight w:val="227"/>
          <w:jc w:val="center"/>
        </w:trPr>
        <w:tc>
          <w:tcPr>
            <w:tcW w:w="1186" w:type="dxa"/>
            <w:tcBorders>
              <w:top w:val="nil"/>
              <w:left w:val="single" w:sz="4" w:space="0" w:color="auto"/>
              <w:bottom w:val="single" w:sz="4" w:space="0" w:color="auto"/>
              <w:right w:val="single" w:sz="4" w:space="0" w:color="auto"/>
            </w:tcBorders>
            <w:noWrap/>
            <w:vAlign w:val="center"/>
          </w:tcPr>
          <w:p w14:paraId="73762E2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1276" w:type="dxa"/>
            <w:tcBorders>
              <w:top w:val="nil"/>
              <w:left w:val="nil"/>
              <w:bottom w:val="single" w:sz="4" w:space="0" w:color="auto"/>
              <w:right w:val="single" w:sz="4" w:space="0" w:color="auto"/>
            </w:tcBorders>
            <w:noWrap/>
            <w:vAlign w:val="center"/>
          </w:tcPr>
          <w:p w14:paraId="17D4C8B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1650" w:type="dxa"/>
            <w:tcBorders>
              <w:top w:val="nil"/>
              <w:left w:val="nil"/>
              <w:bottom w:val="single" w:sz="4" w:space="0" w:color="auto"/>
              <w:right w:val="single" w:sz="4" w:space="0" w:color="auto"/>
            </w:tcBorders>
            <w:noWrap/>
            <w:vAlign w:val="center"/>
          </w:tcPr>
          <w:p w14:paraId="5924B9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粉尘</w:t>
            </w:r>
          </w:p>
        </w:tc>
        <w:tc>
          <w:tcPr>
            <w:tcW w:w="1929" w:type="dxa"/>
            <w:tcBorders>
              <w:top w:val="nil"/>
              <w:left w:val="nil"/>
              <w:bottom w:val="single" w:sz="4" w:space="0" w:color="auto"/>
              <w:right w:val="single" w:sz="4" w:space="0" w:color="auto"/>
            </w:tcBorders>
            <w:noWrap/>
            <w:vAlign w:val="center"/>
          </w:tcPr>
          <w:p w14:paraId="70EA2CC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szCs w:val="21"/>
              </w:rPr>
              <w:t>12.35</w:t>
            </w:r>
          </w:p>
        </w:tc>
        <w:tc>
          <w:tcPr>
            <w:tcW w:w="1843" w:type="dxa"/>
            <w:tcBorders>
              <w:top w:val="nil"/>
              <w:left w:val="nil"/>
              <w:bottom w:val="single" w:sz="4" w:space="0" w:color="auto"/>
              <w:right w:val="single" w:sz="4" w:space="0" w:color="auto"/>
            </w:tcBorders>
            <w:noWrap/>
            <w:vAlign w:val="center"/>
          </w:tcPr>
          <w:p w14:paraId="62C42E7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0.74 </w:t>
            </w:r>
          </w:p>
        </w:tc>
        <w:tc>
          <w:tcPr>
            <w:tcW w:w="1857" w:type="dxa"/>
            <w:tcBorders>
              <w:top w:val="nil"/>
              <w:left w:val="nil"/>
              <w:bottom w:val="single" w:sz="4" w:space="0" w:color="auto"/>
              <w:right w:val="single" w:sz="4" w:space="0" w:color="auto"/>
            </w:tcBorders>
            <w:noWrap/>
            <w:vAlign w:val="center"/>
          </w:tcPr>
          <w:p w14:paraId="1B36C420"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5.33 </w:t>
            </w:r>
          </w:p>
        </w:tc>
      </w:tr>
      <w:tr w:rsidR="002133E3" w14:paraId="2EF25F03" w14:textId="77777777">
        <w:trPr>
          <w:trHeight w:val="227"/>
          <w:jc w:val="center"/>
        </w:trPr>
        <w:tc>
          <w:tcPr>
            <w:tcW w:w="1186" w:type="dxa"/>
            <w:tcBorders>
              <w:top w:val="nil"/>
              <w:left w:val="single" w:sz="4" w:space="0" w:color="auto"/>
              <w:bottom w:val="single" w:sz="4" w:space="0" w:color="auto"/>
              <w:right w:val="single" w:sz="4" w:space="0" w:color="auto"/>
            </w:tcBorders>
            <w:noWrap/>
            <w:vAlign w:val="center"/>
          </w:tcPr>
          <w:p w14:paraId="158EB4D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1276" w:type="dxa"/>
            <w:tcBorders>
              <w:top w:val="nil"/>
              <w:left w:val="nil"/>
              <w:bottom w:val="single" w:sz="4" w:space="0" w:color="auto"/>
              <w:right w:val="single" w:sz="4" w:space="0" w:color="auto"/>
            </w:tcBorders>
            <w:noWrap/>
            <w:vAlign w:val="center"/>
          </w:tcPr>
          <w:p w14:paraId="1EBD51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1650" w:type="dxa"/>
            <w:tcBorders>
              <w:top w:val="nil"/>
              <w:left w:val="nil"/>
              <w:bottom w:val="single" w:sz="4" w:space="0" w:color="auto"/>
              <w:right w:val="single" w:sz="4" w:space="0" w:color="auto"/>
            </w:tcBorders>
            <w:noWrap/>
            <w:vAlign w:val="center"/>
          </w:tcPr>
          <w:p w14:paraId="5FE8FBC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粉尘</w:t>
            </w:r>
          </w:p>
        </w:tc>
        <w:tc>
          <w:tcPr>
            <w:tcW w:w="1929" w:type="dxa"/>
            <w:tcBorders>
              <w:top w:val="nil"/>
              <w:left w:val="nil"/>
              <w:bottom w:val="single" w:sz="4" w:space="0" w:color="auto"/>
              <w:right w:val="single" w:sz="4" w:space="0" w:color="auto"/>
            </w:tcBorders>
            <w:noWrap/>
            <w:vAlign w:val="center"/>
          </w:tcPr>
          <w:p w14:paraId="08105B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szCs w:val="21"/>
              </w:rPr>
              <w:t>12.35</w:t>
            </w:r>
          </w:p>
        </w:tc>
        <w:tc>
          <w:tcPr>
            <w:tcW w:w="1843" w:type="dxa"/>
            <w:tcBorders>
              <w:top w:val="nil"/>
              <w:left w:val="nil"/>
              <w:bottom w:val="single" w:sz="4" w:space="0" w:color="auto"/>
              <w:right w:val="single" w:sz="4" w:space="0" w:color="auto"/>
            </w:tcBorders>
            <w:noWrap/>
            <w:vAlign w:val="center"/>
          </w:tcPr>
          <w:p w14:paraId="76983B3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0.74 </w:t>
            </w:r>
          </w:p>
        </w:tc>
        <w:tc>
          <w:tcPr>
            <w:tcW w:w="1857" w:type="dxa"/>
            <w:tcBorders>
              <w:top w:val="nil"/>
              <w:left w:val="nil"/>
              <w:bottom w:val="single" w:sz="4" w:space="0" w:color="auto"/>
              <w:right w:val="single" w:sz="4" w:space="0" w:color="auto"/>
            </w:tcBorders>
            <w:noWrap/>
            <w:vAlign w:val="center"/>
          </w:tcPr>
          <w:p w14:paraId="4925170E" w14:textId="77777777" w:rsidR="002133E3" w:rsidRDefault="00C22CFA">
            <w:pPr>
              <w:widowControl/>
              <w:jc w:val="center"/>
              <w:textAlignment w:val="center"/>
              <w:rPr>
                <w:rFonts w:ascii="Times New Roman" w:eastAsia="宋体" w:hAnsi="Times New Roman" w:cs="Times New Roman"/>
                <w:color w:val="000000"/>
                <w:kern w:val="0"/>
                <w:szCs w:val="21"/>
                <w:lang w:bidi="ar"/>
              </w:rPr>
            </w:pPr>
            <w:r>
              <w:rPr>
                <w:rFonts w:ascii="Times New Roman" w:eastAsia="等线" w:hAnsi="Times New Roman" w:cs="Times New Roman"/>
                <w:szCs w:val="21"/>
              </w:rPr>
              <w:t xml:space="preserve">5.33 </w:t>
            </w:r>
          </w:p>
        </w:tc>
      </w:tr>
      <w:tr w:rsidR="002133E3" w14:paraId="3F52B751" w14:textId="77777777">
        <w:trPr>
          <w:trHeight w:val="227"/>
          <w:jc w:val="center"/>
        </w:trPr>
        <w:tc>
          <w:tcPr>
            <w:tcW w:w="1186" w:type="dxa"/>
            <w:vMerge w:val="restart"/>
            <w:tcBorders>
              <w:top w:val="nil"/>
              <w:left w:val="single" w:sz="4" w:space="0" w:color="auto"/>
              <w:right w:val="single" w:sz="4" w:space="0" w:color="auto"/>
            </w:tcBorders>
            <w:noWrap/>
            <w:vAlign w:val="center"/>
          </w:tcPr>
          <w:p w14:paraId="2333B14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1276" w:type="dxa"/>
            <w:vMerge w:val="restart"/>
            <w:tcBorders>
              <w:top w:val="nil"/>
              <w:left w:val="nil"/>
              <w:right w:val="single" w:sz="4" w:space="0" w:color="auto"/>
            </w:tcBorders>
            <w:noWrap/>
            <w:vAlign w:val="center"/>
          </w:tcPr>
          <w:p w14:paraId="1125040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p>
        </w:tc>
        <w:tc>
          <w:tcPr>
            <w:tcW w:w="1650" w:type="dxa"/>
            <w:tcBorders>
              <w:top w:val="nil"/>
              <w:left w:val="nil"/>
              <w:bottom w:val="single" w:sz="4" w:space="0" w:color="auto"/>
              <w:right w:val="single" w:sz="4" w:space="0" w:color="auto"/>
            </w:tcBorders>
            <w:noWrap/>
            <w:vAlign w:val="center"/>
          </w:tcPr>
          <w:p w14:paraId="54185775"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1929" w:type="dxa"/>
            <w:tcBorders>
              <w:top w:val="nil"/>
              <w:left w:val="nil"/>
              <w:bottom w:val="single" w:sz="4" w:space="0" w:color="auto"/>
              <w:right w:val="single" w:sz="4" w:space="0" w:color="auto"/>
            </w:tcBorders>
            <w:noWrap/>
            <w:vAlign w:val="center"/>
          </w:tcPr>
          <w:p w14:paraId="44E01851"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925389.40 </w:t>
            </w:r>
          </w:p>
        </w:tc>
        <w:tc>
          <w:tcPr>
            <w:tcW w:w="1843" w:type="dxa"/>
            <w:tcBorders>
              <w:top w:val="nil"/>
              <w:left w:val="nil"/>
              <w:bottom w:val="single" w:sz="4" w:space="0" w:color="auto"/>
              <w:right w:val="single" w:sz="4" w:space="0" w:color="auto"/>
            </w:tcBorders>
            <w:noWrap/>
            <w:vAlign w:val="center"/>
          </w:tcPr>
          <w:p w14:paraId="6411BC1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12772.62 </w:t>
            </w:r>
          </w:p>
        </w:tc>
        <w:tc>
          <w:tcPr>
            <w:tcW w:w="1857" w:type="dxa"/>
            <w:tcBorders>
              <w:top w:val="nil"/>
              <w:left w:val="nil"/>
              <w:bottom w:val="single" w:sz="4" w:space="0" w:color="auto"/>
              <w:right w:val="single" w:sz="4" w:space="0" w:color="auto"/>
            </w:tcBorders>
            <w:noWrap/>
            <w:vAlign w:val="center"/>
          </w:tcPr>
          <w:p w14:paraId="1769579C" w14:textId="77777777" w:rsidR="002133E3" w:rsidRDefault="00C22CFA">
            <w:pPr>
              <w:widowControl/>
              <w:jc w:val="center"/>
              <w:textAlignment w:val="center"/>
              <w:rPr>
                <w:rFonts w:ascii="Times New Roman" w:eastAsia="等线" w:hAnsi="Times New Roman" w:cs="Times New Roman"/>
                <w:kern w:val="0"/>
                <w:szCs w:val="21"/>
              </w:rPr>
            </w:pPr>
            <w:r>
              <w:rPr>
                <w:rFonts w:ascii="Times New Roman" w:eastAsia="等线" w:hAnsi="Times New Roman" w:cs="Times New Roman"/>
                <w:szCs w:val="21"/>
              </w:rPr>
              <w:t xml:space="preserve">91962.83 </w:t>
            </w:r>
          </w:p>
        </w:tc>
      </w:tr>
      <w:tr w:rsidR="002133E3" w14:paraId="31BE3658" w14:textId="77777777">
        <w:trPr>
          <w:trHeight w:val="227"/>
          <w:jc w:val="center"/>
        </w:trPr>
        <w:tc>
          <w:tcPr>
            <w:tcW w:w="1186" w:type="dxa"/>
            <w:vMerge/>
            <w:tcBorders>
              <w:left w:val="single" w:sz="4" w:space="0" w:color="auto"/>
              <w:right w:val="single" w:sz="4" w:space="0" w:color="auto"/>
            </w:tcBorders>
            <w:noWrap/>
            <w:vAlign w:val="center"/>
          </w:tcPr>
          <w:p w14:paraId="634F6861" w14:textId="77777777" w:rsidR="002133E3" w:rsidRDefault="002133E3">
            <w:pPr>
              <w:widowControl/>
              <w:jc w:val="center"/>
              <w:rPr>
                <w:rFonts w:ascii="Times New Roman" w:eastAsia="宋体" w:hAnsi="Times New Roman" w:cs="Times New Roman"/>
                <w:color w:val="000000"/>
                <w:kern w:val="0"/>
                <w:szCs w:val="21"/>
              </w:rPr>
            </w:pPr>
          </w:p>
        </w:tc>
        <w:tc>
          <w:tcPr>
            <w:tcW w:w="1276" w:type="dxa"/>
            <w:vMerge/>
            <w:tcBorders>
              <w:left w:val="nil"/>
              <w:right w:val="single" w:sz="4" w:space="0" w:color="auto"/>
            </w:tcBorders>
            <w:noWrap/>
            <w:vAlign w:val="center"/>
          </w:tcPr>
          <w:p w14:paraId="786435CA" w14:textId="77777777" w:rsidR="002133E3" w:rsidRDefault="002133E3">
            <w:pPr>
              <w:widowControl/>
              <w:jc w:val="center"/>
              <w:rPr>
                <w:rFonts w:ascii="Times New Roman" w:eastAsia="宋体" w:hAnsi="Times New Roman" w:cs="Times New Roman"/>
                <w:color w:val="000000"/>
                <w:kern w:val="0"/>
                <w:szCs w:val="21"/>
              </w:rPr>
            </w:pPr>
          </w:p>
        </w:tc>
        <w:tc>
          <w:tcPr>
            <w:tcW w:w="1650" w:type="dxa"/>
            <w:tcBorders>
              <w:top w:val="nil"/>
              <w:left w:val="nil"/>
              <w:bottom w:val="single" w:sz="4" w:space="0" w:color="auto"/>
              <w:right w:val="single" w:sz="4" w:space="0" w:color="auto"/>
            </w:tcBorders>
            <w:noWrap/>
            <w:vAlign w:val="center"/>
          </w:tcPr>
          <w:p w14:paraId="37707D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929" w:type="dxa"/>
            <w:tcBorders>
              <w:top w:val="nil"/>
              <w:left w:val="nil"/>
              <w:bottom w:val="single" w:sz="4" w:space="0" w:color="auto"/>
              <w:right w:val="single" w:sz="4" w:space="0" w:color="auto"/>
            </w:tcBorders>
            <w:noWrap/>
            <w:vAlign w:val="center"/>
          </w:tcPr>
          <w:p w14:paraId="71894A04"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17.67</w:t>
            </w:r>
          </w:p>
        </w:tc>
        <w:tc>
          <w:tcPr>
            <w:tcW w:w="1843" w:type="dxa"/>
            <w:tcBorders>
              <w:top w:val="nil"/>
              <w:left w:val="nil"/>
              <w:bottom w:val="single" w:sz="4" w:space="0" w:color="auto"/>
              <w:right w:val="single" w:sz="4" w:space="0" w:color="auto"/>
            </w:tcBorders>
            <w:noWrap/>
            <w:vAlign w:val="center"/>
          </w:tcPr>
          <w:p w14:paraId="3AE95FD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0.24</w:t>
            </w:r>
          </w:p>
        </w:tc>
        <w:tc>
          <w:tcPr>
            <w:tcW w:w="1857" w:type="dxa"/>
            <w:tcBorders>
              <w:top w:val="nil"/>
              <w:left w:val="nil"/>
              <w:bottom w:val="single" w:sz="4" w:space="0" w:color="auto"/>
              <w:right w:val="single" w:sz="4" w:space="0" w:color="auto"/>
            </w:tcBorders>
            <w:noWrap/>
            <w:vAlign w:val="center"/>
          </w:tcPr>
          <w:p w14:paraId="260F3DAF" w14:textId="77777777" w:rsidR="002133E3" w:rsidRDefault="00C22CFA">
            <w:pPr>
              <w:widowControl/>
              <w:jc w:val="center"/>
              <w:textAlignment w:val="center"/>
              <w:rPr>
                <w:rFonts w:ascii="Times New Roman" w:eastAsia="等线" w:hAnsi="Times New Roman" w:cs="Times New Roman"/>
                <w:kern w:val="0"/>
                <w:szCs w:val="21"/>
              </w:rPr>
            </w:pPr>
            <w:r>
              <w:rPr>
                <w:rFonts w:ascii="Times New Roman" w:eastAsia="等线" w:hAnsi="Times New Roman" w:cs="Times New Roman"/>
                <w:szCs w:val="21"/>
              </w:rPr>
              <w:t>1.76</w:t>
            </w:r>
          </w:p>
        </w:tc>
      </w:tr>
      <w:tr w:rsidR="002133E3" w14:paraId="123A2155" w14:textId="77777777">
        <w:trPr>
          <w:trHeight w:val="227"/>
          <w:jc w:val="center"/>
        </w:trPr>
        <w:tc>
          <w:tcPr>
            <w:tcW w:w="1186" w:type="dxa"/>
            <w:vMerge/>
            <w:tcBorders>
              <w:left w:val="single" w:sz="4" w:space="0" w:color="auto"/>
              <w:right w:val="single" w:sz="4" w:space="0" w:color="auto"/>
            </w:tcBorders>
            <w:noWrap/>
            <w:vAlign w:val="center"/>
          </w:tcPr>
          <w:p w14:paraId="6937AAA7" w14:textId="77777777" w:rsidR="002133E3" w:rsidRDefault="002133E3">
            <w:pPr>
              <w:widowControl/>
              <w:jc w:val="center"/>
              <w:rPr>
                <w:rFonts w:ascii="Times New Roman" w:eastAsia="宋体" w:hAnsi="Times New Roman" w:cs="Times New Roman"/>
                <w:color w:val="000000"/>
                <w:kern w:val="0"/>
                <w:szCs w:val="21"/>
              </w:rPr>
            </w:pPr>
          </w:p>
        </w:tc>
        <w:tc>
          <w:tcPr>
            <w:tcW w:w="1276" w:type="dxa"/>
            <w:vMerge/>
            <w:tcBorders>
              <w:left w:val="nil"/>
              <w:right w:val="single" w:sz="4" w:space="0" w:color="auto"/>
            </w:tcBorders>
            <w:noWrap/>
            <w:vAlign w:val="center"/>
          </w:tcPr>
          <w:p w14:paraId="179ABCF6" w14:textId="77777777" w:rsidR="002133E3" w:rsidRDefault="002133E3">
            <w:pPr>
              <w:widowControl/>
              <w:jc w:val="center"/>
              <w:rPr>
                <w:rFonts w:ascii="Times New Roman" w:eastAsia="宋体" w:hAnsi="Times New Roman" w:cs="Times New Roman"/>
                <w:color w:val="000000"/>
                <w:kern w:val="0"/>
                <w:szCs w:val="21"/>
              </w:rPr>
            </w:pPr>
          </w:p>
        </w:tc>
        <w:tc>
          <w:tcPr>
            <w:tcW w:w="1650" w:type="dxa"/>
            <w:tcBorders>
              <w:top w:val="nil"/>
              <w:left w:val="nil"/>
              <w:bottom w:val="single" w:sz="4" w:space="0" w:color="auto"/>
              <w:right w:val="single" w:sz="4" w:space="0" w:color="auto"/>
            </w:tcBorders>
            <w:noWrap/>
            <w:vAlign w:val="center"/>
          </w:tcPr>
          <w:p w14:paraId="264FD94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1929" w:type="dxa"/>
            <w:tcBorders>
              <w:top w:val="nil"/>
              <w:left w:val="nil"/>
              <w:bottom w:val="single" w:sz="4" w:space="0" w:color="auto"/>
              <w:right w:val="single" w:sz="4" w:space="0" w:color="auto"/>
            </w:tcBorders>
            <w:noWrap/>
            <w:vAlign w:val="center"/>
          </w:tcPr>
          <w:p w14:paraId="604E225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0.56</w:t>
            </w:r>
          </w:p>
        </w:tc>
        <w:tc>
          <w:tcPr>
            <w:tcW w:w="1843" w:type="dxa"/>
            <w:tcBorders>
              <w:top w:val="nil"/>
              <w:left w:val="nil"/>
              <w:bottom w:val="single" w:sz="4" w:space="0" w:color="auto"/>
              <w:right w:val="single" w:sz="4" w:space="0" w:color="auto"/>
            </w:tcBorders>
            <w:noWrap/>
            <w:vAlign w:val="center"/>
          </w:tcPr>
          <w:p w14:paraId="30888FB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0.0077</w:t>
            </w:r>
          </w:p>
        </w:tc>
        <w:tc>
          <w:tcPr>
            <w:tcW w:w="1857" w:type="dxa"/>
            <w:tcBorders>
              <w:top w:val="nil"/>
              <w:left w:val="nil"/>
              <w:bottom w:val="single" w:sz="4" w:space="0" w:color="auto"/>
              <w:right w:val="single" w:sz="4" w:space="0" w:color="auto"/>
            </w:tcBorders>
            <w:noWrap/>
            <w:vAlign w:val="center"/>
          </w:tcPr>
          <w:p w14:paraId="01FE4217" w14:textId="77777777" w:rsidR="002133E3" w:rsidRDefault="00C22CFA">
            <w:pPr>
              <w:widowControl/>
              <w:jc w:val="center"/>
              <w:textAlignment w:val="center"/>
              <w:rPr>
                <w:rFonts w:ascii="Times New Roman" w:eastAsia="等线" w:hAnsi="Times New Roman" w:cs="Times New Roman"/>
                <w:kern w:val="0"/>
                <w:szCs w:val="21"/>
              </w:rPr>
            </w:pPr>
            <w:r>
              <w:rPr>
                <w:rFonts w:ascii="Times New Roman" w:eastAsia="等线" w:hAnsi="Times New Roman" w:cs="Times New Roman"/>
                <w:szCs w:val="21"/>
              </w:rPr>
              <w:t>0.06</w:t>
            </w:r>
          </w:p>
        </w:tc>
      </w:tr>
      <w:tr w:rsidR="002133E3" w14:paraId="7FE3439D" w14:textId="77777777">
        <w:trPr>
          <w:trHeight w:val="227"/>
          <w:jc w:val="center"/>
        </w:trPr>
        <w:tc>
          <w:tcPr>
            <w:tcW w:w="1186" w:type="dxa"/>
            <w:vMerge/>
            <w:tcBorders>
              <w:left w:val="single" w:sz="4" w:space="0" w:color="auto"/>
              <w:bottom w:val="single" w:sz="4" w:space="0" w:color="auto"/>
              <w:right w:val="single" w:sz="4" w:space="0" w:color="auto"/>
            </w:tcBorders>
            <w:noWrap/>
            <w:vAlign w:val="center"/>
          </w:tcPr>
          <w:p w14:paraId="5B1D7D77" w14:textId="77777777" w:rsidR="002133E3" w:rsidRDefault="002133E3">
            <w:pPr>
              <w:widowControl/>
              <w:jc w:val="center"/>
              <w:rPr>
                <w:rFonts w:ascii="Times New Roman" w:eastAsia="宋体" w:hAnsi="Times New Roman" w:cs="Times New Roman"/>
                <w:color w:val="000000"/>
                <w:kern w:val="0"/>
                <w:szCs w:val="21"/>
              </w:rPr>
            </w:pPr>
          </w:p>
        </w:tc>
        <w:tc>
          <w:tcPr>
            <w:tcW w:w="1276" w:type="dxa"/>
            <w:vMerge/>
            <w:tcBorders>
              <w:left w:val="nil"/>
              <w:bottom w:val="single" w:sz="4" w:space="0" w:color="auto"/>
              <w:right w:val="single" w:sz="4" w:space="0" w:color="auto"/>
            </w:tcBorders>
            <w:noWrap/>
            <w:vAlign w:val="center"/>
          </w:tcPr>
          <w:p w14:paraId="156328EE" w14:textId="77777777" w:rsidR="002133E3" w:rsidRDefault="002133E3">
            <w:pPr>
              <w:widowControl/>
              <w:jc w:val="center"/>
              <w:rPr>
                <w:rFonts w:ascii="Times New Roman" w:eastAsia="宋体" w:hAnsi="Times New Roman" w:cs="Times New Roman"/>
                <w:color w:val="000000"/>
                <w:kern w:val="0"/>
                <w:szCs w:val="21"/>
              </w:rPr>
            </w:pPr>
          </w:p>
        </w:tc>
        <w:tc>
          <w:tcPr>
            <w:tcW w:w="1650" w:type="dxa"/>
            <w:tcBorders>
              <w:top w:val="nil"/>
              <w:left w:val="nil"/>
              <w:bottom w:val="single" w:sz="4" w:space="0" w:color="auto"/>
              <w:right w:val="single" w:sz="4" w:space="0" w:color="auto"/>
            </w:tcBorders>
            <w:noWrap/>
            <w:vAlign w:val="center"/>
          </w:tcPr>
          <w:p w14:paraId="1825FF1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挥发性有机物</w:t>
            </w:r>
          </w:p>
        </w:tc>
        <w:tc>
          <w:tcPr>
            <w:tcW w:w="1929" w:type="dxa"/>
            <w:tcBorders>
              <w:top w:val="nil"/>
              <w:left w:val="nil"/>
              <w:bottom w:val="single" w:sz="4" w:space="0" w:color="auto"/>
              <w:right w:val="single" w:sz="4" w:space="0" w:color="auto"/>
            </w:tcBorders>
            <w:noWrap/>
            <w:vAlign w:val="center"/>
          </w:tcPr>
          <w:p w14:paraId="04B8CE69"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18.23</w:t>
            </w:r>
          </w:p>
        </w:tc>
        <w:tc>
          <w:tcPr>
            <w:tcW w:w="1843" w:type="dxa"/>
            <w:tcBorders>
              <w:top w:val="nil"/>
              <w:left w:val="nil"/>
              <w:bottom w:val="single" w:sz="4" w:space="0" w:color="auto"/>
              <w:right w:val="single" w:sz="4" w:space="0" w:color="auto"/>
            </w:tcBorders>
            <w:noWrap/>
            <w:vAlign w:val="center"/>
          </w:tcPr>
          <w:p w14:paraId="40D34193"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0.25</w:t>
            </w:r>
          </w:p>
        </w:tc>
        <w:tc>
          <w:tcPr>
            <w:tcW w:w="1857" w:type="dxa"/>
            <w:tcBorders>
              <w:top w:val="nil"/>
              <w:left w:val="nil"/>
              <w:bottom w:val="single" w:sz="4" w:space="0" w:color="auto"/>
              <w:right w:val="single" w:sz="4" w:space="0" w:color="auto"/>
            </w:tcBorders>
            <w:noWrap/>
            <w:vAlign w:val="center"/>
          </w:tcPr>
          <w:p w14:paraId="03877D6C" w14:textId="77777777" w:rsidR="002133E3" w:rsidRDefault="00C22CFA">
            <w:pPr>
              <w:widowControl/>
              <w:jc w:val="center"/>
              <w:textAlignment w:val="center"/>
              <w:rPr>
                <w:rFonts w:ascii="Times New Roman" w:eastAsia="等线" w:hAnsi="Times New Roman" w:cs="Times New Roman"/>
                <w:kern w:val="0"/>
                <w:szCs w:val="21"/>
              </w:rPr>
            </w:pPr>
            <w:r>
              <w:rPr>
                <w:rFonts w:ascii="Times New Roman" w:eastAsia="等线" w:hAnsi="Times New Roman" w:cs="Times New Roman"/>
                <w:szCs w:val="21"/>
              </w:rPr>
              <w:t>1.81</w:t>
            </w:r>
          </w:p>
        </w:tc>
      </w:tr>
      <w:tr w:rsidR="002133E3" w14:paraId="516B6937" w14:textId="77777777">
        <w:trPr>
          <w:trHeight w:val="227"/>
          <w:jc w:val="center"/>
        </w:trPr>
        <w:tc>
          <w:tcPr>
            <w:tcW w:w="1186" w:type="dxa"/>
            <w:tcBorders>
              <w:top w:val="nil"/>
              <w:left w:val="single" w:sz="4" w:space="0" w:color="auto"/>
              <w:bottom w:val="single" w:sz="4" w:space="0" w:color="auto"/>
              <w:right w:val="single" w:sz="4" w:space="0" w:color="auto"/>
            </w:tcBorders>
            <w:noWrap/>
            <w:vAlign w:val="center"/>
          </w:tcPr>
          <w:p w14:paraId="4CA5E4C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1276" w:type="dxa"/>
            <w:tcBorders>
              <w:top w:val="nil"/>
              <w:left w:val="nil"/>
              <w:bottom w:val="single" w:sz="4" w:space="0" w:color="auto"/>
              <w:right w:val="single" w:sz="4" w:space="0" w:color="auto"/>
            </w:tcBorders>
            <w:noWrap/>
            <w:vAlign w:val="center"/>
          </w:tcPr>
          <w:p w14:paraId="1345B0B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w:t>
            </w:r>
          </w:p>
        </w:tc>
        <w:tc>
          <w:tcPr>
            <w:tcW w:w="1650" w:type="dxa"/>
            <w:tcBorders>
              <w:top w:val="nil"/>
              <w:left w:val="nil"/>
              <w:bottom w:val="single" w:sz="4" w:space="0" w:color="auto"/>
              <w:right w:val="single" w:sz="4" w:space="0" w:color="auto"/>
            </w:tcBorders>
            <w:noWrap/>
            <w:vAlign w:val="center"/>
          </w:tcPr>
          <w:p w14:paraId="7399CFF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929" w:type="dxa"/>
            <w:tcBorders>
              <w:top w:val="nil"/>
              <w:left w:val="nil"/>
              <w:bottom w:val="single" w:sz="4" w:space="0" w:color="auto"/>
              <w:right w:val="single" w:sz="4" w:space="0" w:color="auto"/>
            </w:tcBorders>
            <w:noWrap/>
            <w:vAlign w:val="center"/>
          </w:tcPr>
          <w:p w14:paraId="6ECD5036"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1843" w:type="dxa"/>
            <w:tcBorders>
              <w:top w:val="nil"/>
              <w:left w:val="nil"/>
              <w:bottom w:val="single" w:sz="4" w:space="0" w:color="auto"/>
              <w:right w:val="single" w:sz="4" w:space="0" w:color="auto"/>
            </w:tcBorders>
            <w:noWrap/>
            <w:vAlign w:val="center"/>
          </w:tcPr>
          <w:p w14:paraId="558B1B15"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0.37 </w:t>
            </w:r>
          </w:p>
        </w:tc>
        <w:tc>
          <w:tcPr>
            <w:tcW w:w="1857" w:type="dxa"/>
            <w:tcBorders>
              <w:top w:val="nil"/>
              <w:left w:val="nil"/>
              <w:bottom w:val="single" w:sz="4" w:space="0" w:color="auto"/>
              <w:right w:val="single" w:sz="4" w:space="0" w:color="auto"/>
            </w:tcBorders>
            <w:noWrap/>
            <w:vAlign w:val="center"/>
          </w:tcPr>
          <w:p w14:paraId="549ACB05" w14:textId="77777777" w:rsidR="002133E3" w:rsidRDefault="00C22CFA">
            <w:pPr>
              <w:widowControl/>
              <w:jc w:val="center"/>
              <w:textAlignment w:val="center"/>
              <w:rPr>
                <w:rFonts w:ascii="Times New Roman" w:eastAsia="等线" w:hAnsi="Times New Roman" w:cs="Times New Roman"/>
                <w:kern w:val="0"/>
                <w:szCs w:val="21"/>
              </w:rPr>
            </w:pPr>
            <w:r>
              <w:rPr>
                <w:rFonts w:ascii="Times New Roman" w:eastAsia="等线" w:hAnsi="Times New Roman" w:cs="Times New Roman"/>
                <w:szCs w:val="21"/>
              </w:rPr>
              <w:t xml:space="preserve">2.67 </w:t>
            </w:r>
          </w:p>
        </w:tc>
      </w:tr>
      <w:tr w:rsidR="002133E3" w14:paraId="30A29358" w14:textId="77777777">
        <w:trPr>
          <w:trHeight w:val="227"/>
          <w:jc w:val="center"/>
        </w:trPr>
        <w:tc>
          <w:tcPr>
            <w:tcW w:w="1186" w:type="dxa"/>
            <w:tcBorders>
              <w:top w:val="nil"/>
              <w:left w:val="single" w:sz="4" w:space="0" w:color="auto"/>
              <w:bottom w:val="single" w:sz="4" w:space="0" w:color="auto"/>
              <w:right w:val="single" w:sz="4" w:space="0" w:color="auto"/>
            </w:tcBorders>
            <w:noWrap/>
            <w:vAlign w:val="center"/>
          </w:tcPr>
          <w:p w14:paraId="20B03A2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p>
        </w:tc>
        <w:tc>
          <w:tcPr>
            <w:tcW w:w="1276" w:type="dxa"/>
            <w:tcBorders>
              <w:top w:val="nil"/>
              <w:left w:val="nil"/>
              <w:bottom w:val="single" w:sz="4" w:space="0" w:color="auto"/>
              <w:right w:val="single" w:sz="4" w:space="0" w:color="auto"/>
            </w:tcBorders>
            <w:noWrap/>
            <w:vAlign w:val="center"/>
          </w:tcPr>
          <w:p w14:paraId="23B29A9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1650" w:type="dxa"/>
            <w:tcBorders>
              <w:top w:val="nil"/>
              <w:left w:val="nil"/>
              <w:bottom w:val="single" w:sz="4" w:space="0" w:color="auto"/>
              <w:right w:val="single" w:sz="4" w:space="0" w:color="auto"/>
            </w:tcBorders>
            <w:noWrap/>
            <w:vAlign w:val="center"/>
          </w:tcPr>
          <w:p w14:paraId="15E273B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929" w:type="dxa"/>
            <w:tcBorders>
              <w:top w:val="nil"/>
              <w:left w:val="nil"/>
              <w:bottom w:val="single" w:sz="4" w:space="0" w:color="auto"/>
              <w:right w:val="single" w:sz="4" w:space="0" w:color="auto"/>
            </w:tcBorders>
            <w:noWrap/>
            <w:vAlign w:val="center"/>
          </w:tcPr>
          <w:p w14:paraId="2B7D3467"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1843" w:type="dxa"/>
            <w:tcBorders>
              <w:top w:val="nil"/>
              <w:left w:val="nil"/>
              <w:bottom w:val="single" w:sz="4" w:space="0" w:color="auto"/>
              <w:right w:val="single" w:sz="4" w:space="0" w:color="auto"/>
            </w:tcBorders>
            <w:noWrap/>
            <w:vAlign w:val="center"/>
          </w:tcPr>
          <w:p w14:paraId="7D502ADB"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0.37 </w:t>
            </w:r>
          </w:p>
        </w:tc>
        <w:tc>
          <w:tcPr>
            <w:tcW w:w="1857" w:type="dxa"/>
            <w:tcBorders>
              <w:top w:val="nil"/>
              <w:left w:val="nil"/>
              <w:bottom w:val="single" w:sz="4" w:space="0" w:color="auto"/>
              <w:right w:val="single" w:sz="4" w:space="0" w:color="auto"/>
            </w:tcBorders>
            <w:noWrap/>
            <w:vAlign w:val="center"/>
          </w:tcPr>
          <w:p w14:paraId="078912CA" w14:textId="77777777" w:rsidR="002133E3" w:rsidRDefault="00C22CFA">
            <w:pPr>
              <w:widowControl/>
              <w:jc w:val="center"/>
              <w:textAlignment w:val="center"/>
              <w:rPr>
                <w:rFonts w:ascii="Times New Roman" w:eastAsia="等线" w:hAnsi="Times New Roman" w:cs="Times New Roman"/>
                <w:kern w:val="0"/>
                <w:szCs w:val="21"/>
              </w:rPr>
            </w:pPr>
            <w:r>
              <w:rPr>
                <w:rFonts w:ascii="Times New Roman" w:eastAsia="等线" w:hAnsi="Times New Roman" w:cs="Times New Roman"/>
                <w:szCs w:val="21"/>
              </w:rPr>
              <w:t xml:space="preserve">2.67 </w:t>
            </w:r>
          </w:p>
        </w:tc>
      </w:tr>
      <w:tr w:rsidR="002133E3" w14:paraId="291F688A" w14:textId="77777777">
        <w:trPr>
          <w:trHeight w:val="227"/>
          <w:jc w:val="center"/>
        </w:trPr>
        <w:tc>
          <w:tcPr>
            <w:tcW w:w="1186" w:type="dxa"/>
            <w:tcBorders>
              <w:top w:val="nil"/>
              <w:left w:val="single" w:sz="4" w:space="0" w:color="auto"/>
              <w:bottom w:val="single" w:sz="4" w:space="0" w:color="auto"/>
              <w:right w:val="single" w:sz="4" w:space="0" w:color="auto"/>
            </w:tcBorders>
            <w:noWrap/>
            <w:vAlign w:val="center"/>
          </w:tcPr>
          <w:p w14:paraId="67FB672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w:t>
            </w:r>
          </w:p>
        </w:tc>
        <w:tc>
          <w:tcPr>
            <w:tcW w:w="1276" w:type="dxa"/>
            <w:tcBorders>
              <w:top w:val="nil"/>
              <w:left w:val="nil"/>
              <w:bottom w:val="single" w:sz="4" w:space="0" w:color="auto"/>
              <w:right w:val="single" w:sz="4" w:space="0" w:color="auto"/>
            </w:tcBorders>
            <w:noWrap/>
            <w:vAlign w:val="center"/>
          </w:tcPr>
          <w:p w14:paraId="32B0B78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w:t>
            </w:r>
          </w:p>
        </w:tc>
        <w:tc>
          <w:tcPr>
            <w:tcW w:w="1650" w:type="dxa"/>
            <w:tcBorders>
              <w:top w:val="nil"/>
              <w:left w:val="nil"/>
              <w:bottom w:val="single" w:sz="4" w:space="0" w:color="auto"/>
              <w:right w:val="single" w:sz="4" w:space="0" w:color="auto"/>
            </w:tcBorders>
            <w:noWrap/>
            <w:vAlign w:val="center"/>
          </w:tcPr>
          <w:p w14:paraId="407E968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929" w:type="dxa"/>
            <w:tcBorders>
              <w:top w:val="nil"/>
              <w:left w:val="nil"/>
              <w:bottom w:val="single" w:sz="4" w:space="0" w:color="auto"/>
              <w:right w:val="single" w:sz="4" w:space="0" w:color="auto"/>
            </w:tcBorders>
            <w:noWrap/>
            <w:vAlign w:val="center"/>
          </w:tcPr>
          <w:p w14:paraId="5360BD7C"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37.04</w:t>
            </w:r>
          </w:p>
        </w:tc>
        <w:tc>
          <w:tcPr>
            <w:tcW w:w="1843" w:type="dxa"/>
            <w:tcBorders>
              <w:top w:val="nil"/>
              <w:left w:val="nil"/>
              <w:bottom w:val="single" w:sz="4" w:space="0" w:color="auto"/>
              <w:right w:val="single" w:sz="4" w:space="0" w:color="auto"/>
            </w:tcBorders>
            <w:noWrap/>
            <w:vAlign w:val="center"/>
          </w:tcPr>
          <w:p w14:paraId="41522A18" w14:textId="77777777" w:rsidR="002133E3" w:rsidRDefault="00C22CFA">
            <w:pPr>
              <w:widowControl/>
              <w:jc w:val="center"/>
              <w:rPr>
                <w:rFonts w:ascii="Times New Roman" w:eastAsia="等线" w:hAnsi="Times New Roman" w:cs="Times New Roman"/>
                <w:kern w:val="0"/>
                <w:szCs w:val="21"/>
              </w:rPr>
            </w:pPr>
            <w:r>
              <w:rPr>
                <w:rFonts w:ascii="Times New Roman" w:eastAsia="等线" w:hAnsi="Times New Roman" w:cs="Times New Roman"/>
                <w:szCs w:val="21"/>
              </w:rPr>
              <w:t xml:space="preserve">0.37 </w:t>
            </w:r>
          </w:p>
        </w:tc>
        <w:tc>
          <w:tcPr>
            <w:tcW w:w="1857" w:type="dxa"/>
            <w:tcBorders>
              <w:top w:val="nil"/>
              <w:left w:val="nil"/>
              <w:bottom w:val="single" w:sz="4" w:space="0" w:color="auto"/>
              <w:right w:val="single" w:sz="4" w:space="0" w:color="auto"/>
            </w:tcBorders>
            <w:noWrap/>
            <w:vAlign w:val="center"/>
          </w:tcPr>
          <w:p w14:paraId="0825B1B7" w14:textId="77777777" w:rsidR="002133E3" w:rsidRDefault="00C22CFA">
            <w:pPr>
              <w:widowControl/>
              <w:jc w:val="center"/>
              <w:textAlignment w:val="center"/>
              <w:rPr>
                <w:rFonts w:ascii="Times New Roman" w:eastAsia="等线" w:hAnsi="Times New Roman" w:cs="Times New Roman"/>
                <w:kern w:val="0"/>
                <w:szCs w:val="21"/>
              </w:rPr>
            </w:pPr>
            <w:r>
              <w:rPr>
                <w:rFonts w:ascii="Times New Roman" w:eastAsia="等线" w:hAnsi="Times New Roman" w:cs="Times New Roman"/>
                <w:szCs w:val="21"/>
              </w:rPr>
              <w:t xml:space="preserve">2.67 </w:t>
            </w:r>
          </w:p>
        </w:tc>
      </w:tr>
      <w:tr w:rsidR="002133E3" w14:paraId="61E13305" w14:textId="77777777">
        <w:trPr>
          <w:trHeight w:val="227"/>
          <w:jc w:val="center"/>
        </w:trPr>
        <w:tc>
          <w:tcPr>
            <w:tcW w:w="1186" w:type="dxa"/>
            <w:vMerge w:val="restart"/>
            <w:tcBorders>
              <w:top w:val="nil"/>
              <w:left w:val="single" w:sz="4" w:space="0" w:color="auto"/>
              <w:bottom w:val="single" w:sz="4" w:space="0" w:color="auto"/>
              <w:right w:val="single" w:sz="4" w:space="0" w:color="auto"/>
            </w:tcBorders>
            <w:noWrap/>
            <w:vAlign w:val="center"/>
          </w:tcPr>
          <w:p w14:paraId="34FA2C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主要排放口合计</w:t>
            </w:r>
            <w:r>
              <w:rPr>
                <w:rFonts w:ascii="Times New Roman" w:eastAsia="宋体" w:hAnsi="Times New Roman" w:cs="Times New Roman"/>
                <w:color w:val="000000"/>
                <w:kern w:val="0"/>
                <w:szCs w:val="21"/>
              </w:rPr>
              <w:t>*</w:t>
            </w:r>
          </w:p>
        </w:tc>
        <w:tc>
          <w:tcPr>
            <w:tcW w:w="6698" w:type="dxa"/>
            <w:gridSpan w:val="4"/>
            <w:tcBorders>
              <w:top w:val="single" w:sz="4" w:space="0" w:color="auto"/>
              <w:left w:val="nil"/>
              <w:bottom w:val="single" w:sz="4" w:space="0" w:color="auto"/>
              <w:right w:val="single" w:sz="4" w:space="0" w:color="000000"/>
            </w:tcBorders>
            <w:vAlign w:val="center"/>
          </w:tcPr>
          <w:p w14:paraId="7C8292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857" w:type="dxa"/>
            <w:tcBorders>
              <w:top w:val="nil"/>
              <w:left w:val="nil"/>
              <w:bottom w:val="single" w:sz="4" w:space="0" w:color="auto"/>
              <w:right w:val="single" w:sz="4" w:space="0" w:color="auto"/>
            </w:tcBorders>
            <w:noWrap/>
            <w:vAlign w:val="bottom"/>
          </w:tcPr>
          <w:p w14:paraId="3842486C"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15.99</w:t>
            </w:r>
          </w:p>
        </w:tc>
      </w:tr>
      <w:tr w:rsidR="002133E3" w14:paraId="4421E3CE"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176F3437"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000000"/>
            </w:tcBorders>
            <w:vAlign w:val="center"/>
          </w:tcPr>
          <w:p w14:paraId="2032DCF4" w14:textId="77777777" w:rsidR="002133E3" w:rsidRDefault="00C22CFA">
            <w:pPr>
              <w:widowControl/>
              <w:jc w:val="center"/>
              <w:rPr>
                <w:rFonts w:ascii="Times New Roman" w:eastAsia="宋体"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1857" w:type="dxa"/>
            <w:tcBorders>
              <w:top w:val="nil"/>
              <w:left w:val="nil"/>
              <w:bottom w:val="single" w:sz="4" w:space="0" w:color="auto"/>
              <w:right w:val="single" w:sz="4" w:space="0" w:color="auto"/>
            </w:tcBorders>
            <w:noWrap/>
            <w:vAlign w:val="center"/>
          </w:tcPr>
          <w:p w14:paraId="5A532E3E"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91962.83 </w:t>
            </w:r>
          </w:p>
        </w:tc>
      </w:tr>
      <w:tr w:rsidR="002133E3" w14:paraId="541D001E"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632D2329"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000000"/>
            </w:tcBorders>
            <w:noWrap/>
            <w:vAlign w:val="center"/>
          </w:tcPr>
          <w:p w14:paraId="55AAC71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857" w:type="dxa"/>
            <w:tcBorders>
              <w:top w:val="nil"/>
              <w:left w:val="nil"/>
              <w:bottom w:val="single" w:sz="4" w:space="0" w:color="auto"/>
              <w:right w:val="single" w:sz="4" w:space="0" w:color="auto"/>
            </w:tcBorders>
            <w:noWrap/>
            <w:vAlign w:val="center"/>
          </w:tcPr>
          <w:p w14:paraId="13A5A0F8"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1.76</w:t>
            </w:r>
          </w:p>
        </w:tc>
      </w:tr>
      <w:tr w:rsidR="002133E3" w14:paraId="02A48B63"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779A5750"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000000"/>
            </w:tcBorders>
            <w:noWrap/>
            <w:vAlign w:val="center"/>
          </w:tcPr>
          <w:p w14:paraId="77147EC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1857" w:type="dxa"/>
            <w:tcBorders>
              <w:top w:val="nil"/>
              <w:left w:val="nil"/>
              <w:bottom w:val="single" w:sz="4" w:space="0" w:color="auto"/>
              <w:right w:val="single" w:sz="4" w:space="0" w:color="auto"/>
            </w:tcBorders>
            <w:noWrap/>
            <w:vAlign w:val="center"/>
          </w:tcPr>
          <w:p w14:paraId="6850E66B"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0.06</w:t>
            </w:r>
          </w:p>
        </w:tc>
      </w:tr>
      <w:tr w:rsidR="002133E3" w14:paraId="2ECB84F2"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7D8419BF"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000000"/>
            </w:tcBorders>
            <w:noWrap/>
            <w:vAlign w:val="center"/>
          </w:tcPr>
          <w:p w14:paraId="4FDCAAD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挥发性有机物</w:t>
            </w:r>
          </w:p>
        </w:tc>
        <w:tc>
          <w:tcPr>
            <w:tcW w:w="1857" w:type="dxa"/>
            <w:tcBorders>
              <w:top w:val="nil"/>
              <w:left w:val="nil"/>
              <w:bottom w:val="single" w:sz="4" w:space="0" w:color="auto"/>
              <w:right w:val="single" w:sz="4" w:space="0" w:color="auto"/>
            </w:tcBorders>
            <w:noWrap/>
            <w:vAlign w:val="center"/>
          </w:tcPr>
          <w:p w14:paraId="5F933E57"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1.81</w:t>
            </w:r>
          </w:p>
        </w:tc>
      </w:tr>
      <w:tr w:rsidR="002133E3" w14:paraId="3D634F41" w14:textId="77777777">
        <w:trPr>
          <w:trHeight w:val="227"/>
          <w:jc w:val="center"/>
        </w:trPr>
        <w:tc>
          <w:tcPr>
            <w:tcW w:w="9741" w:type="dxa"/>
            <w:gridSpan w:val="6"/>
            <w:tcBorders>
              <w:top w:val="single" w:sz="4" w:space="0" w:color="auto"/>
              <w:left w:val="single" w:sz="4" w:space="0" w:color="auto"/>
              <w:bottom w:val="single" w:sz="4" w:space="0" w:color="auto"/>
              <w:right w:val="single" w:sz="4" w:space="0" w:color="auto"/>
            </w:tcBorders>
            <w:noWrap/>
            <w:vAlign w:val="center"/>
          </w:tcPr>
          <w:p w14:paraId="50B7FC9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一般排放口</w:t>
            </w:r>
          </w:p>
        </w:tc>
      </w:tr>
      <w:tr w:rsidR="002133E3" w14:paraId="358CA3D1" w14:textId="77777777">
        <w:trPr>
          <w:trHeight w:val="227"/>
          <w:jc w:val="center"/>
        </w:trPr>
        <w:tc>
          <w:tcPr>
            <w:tcW w:w="1186" w:type="dxa"/>
            <w:tcBorders>
              <w:top w:val="nil"/>
              <w:left w:val="single" w:sz="4" w:space="0" w:color="auto"/>
              <w:bottom w:val="single" w:sz="4" w:space="0" w:color="auto"/>
              <w:right w:val="single" w:sz="4" w:space="0" w:color="auto"/>
            </w:tcBorders>
            <w:noWrap/>
            <w:vAlign w:val="center"/>
          </w:tcPr>
          <w:p w14:paraId="25E4553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276" w:type="dxa"/>
            <w:tcBorders>
              <w:top w:val="nil"/>
              <w:left w:val="single" w:sz="4" w:space="0" w:color="auto"/>
              <w:bottom w:val="single" w:sz="4" w:space="0" w:color="auto"/>
              <w:right w:val="single" w:sz="4" w:space="0" w:color="auto"/>
            </w:tcBorders>
            <w:noWrap/>
            <w:vAlign w:val="center"/>
          </w:tcPr>
          <w:p w14:paraId="43A70331"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650" w:type="dxa"/>
            <w:tcBorders>
              <w:top w:val="nil"/>
              <w:left w:val="nil"/>
              <w:bottom w:val="single" w:sz="4" w:space="0" w:color="auto"/>
              <w:right w:val="single" w:sz="4" w:space="0" w:color="auto"/>
            </w:tcBorders>
            <w:noWrap/>
            <w:vAlign w:val="center"/>
          </w:tcPr>
          <w:p w14:paraId="79323634"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929" w:type="dxa"/>
            <w:tcBorders>
              <w:top w:val="nil"/>
              <w:left w:val="nil"/>
              <w:bottom w:val="single" w:sz="4" w:space="0" w:color="auto"/>
              <w:right w:val="single" w:sz="4" w:space="0" w:color="auto"/>
            </w:tcBorders>
            <w:vAlign w:val="center"/>
          </w:tcPr>
          <w:p w14:paraId="16566D11"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843" w:type="dxa"/>
            <w:tcBorders>
              <w:top w:val="nil"/>
              <w:left w:val="nil"/>
              <w:bottom w:val="single" w:sz="4" w:space="0" w:color="auto"/>
              <w:right w:val="single" w:sz="4" w:space="0" w:color="auto"/>
            </w:tcBorders>
            <w:vAlign w:val="center"/>
          </w:tcPr>
          <w:p w14:paraId="0CA2E88A"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857" w:type="dxa"/>
            <w:tcBorders>
              <w:top w:val="nil"/>
              <w:left w:val="nil"/>
              <w:bottom w:val="single" w:sz="4" w:space="0" w:color="auto"/>
              <w:right w:val="single" w:sz="4" w:space="0" w:color="auto"/>
            </w:tcBorders>
            <w:vAlign w:val="center"/>
          </w:tcPr>
          <w:p w14:paraId="60BFB4EC"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47B6E12B" w14:textId="77777777">
        <w:trPr>
          <w:trHeight w:val="227"/>
          <w:jc w:val="center"/>
        </w:trPr>
        <w:tc>
          <w:tcPr>
            <w:tcW w:w="1186" w:type="dxa"/>
            <w:tcBorders>
              <w:top w:val="nil"/>
              <w:left w:val="single" w:sz="4" w:space="0" w:color="auto"/>
              <w:right w:val="single" w:sz="4" w:space="0" w:color="auto"/>
            </w:tcBorders>
            <w:noWrap/>
            <w:vAlign w:val="center"/>
          </w:tcPr>
          <w:p w14:paraId="6F7559D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一般排放口合计</w:t>
            </w:r>
          </w:p>
        </w:tc>
        <w:tc>
          <w:tcPr>
            <w:tcW w:w="6698" w:type="dxa"/>
            <w:gridSpan w:val="4"/>
            <w:tcBorders>
              <w:top w:val="single" w:sz="4" w:space="0" w:color="auto"/>
              <w:left w:val="nil"/>
              <w:bottom w:val="single" w:sz="4" w:space="0" w:color="auto"/>
              <w:right w:val="single" w:sz="4" w:space="0" w:color="auto"/>
            </w:tcBorders>
            <w:noWrap/>
            <w:vAlign w:val="center"/>
          </w:tcPr>
          <w:p w14:paraId="0404BA45"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857" w:type="dxa"/>
            <w:tcBorders>
              <w:top w:val="nil"/>
              <w:left w:val="nil"/>
              <w:bottom w:val="single" w:sz="4" w:space="0" w:color="auto"/>
              <w:right w:val="single" w:sz="4" w:space="0" w:color="auto"/>
            </w:tcBorders>
            <w:noWrap/>
            <w:vAlign w:val="center"/>
          </w:tcPr>
          <w:p w14:paraId="446A93DA"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028B8ACC" w14:textId="77777777">
        <w:trPr>
          <w:trHeight w:val="227"/>
          <w:jc w:val="center"/>
        </w:trPr>
        <w:tc>
          <w:tcPr>
            <w:tcW w:w="9741" w:type="dxa"/>
            <w:gridSpan w:val="6"/>
            <w:tcBorders>
              <w:top w:val="single" w:sz="4" w:space="0" w:color="auto"/>
              <w:left w:val="single" w:sz="4" w:space="0" w:color="auto"/>
              <w:bottom w:val="single" w:sz="4" w:space="0" w:color="auto"/>
              <w:right w:val="single" w:sz="4" w:space="0" w:color="auto"/>
            </w:tcBorders>
            <w:noWrap/>
            <w:vAlign w:val="center"/>
          </w:tcPr>
          <w:p w14:paraId="4DE919B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lastRenderedPageBreak/>
              <w:t>有组织排放合计</w:t>
            </w:r>
          </w:p>
        </w:tc>
      </w:tr>
      <w:tr w:rsidR="002133E3" w14:paraId="65D60706" w14:textId="77777777">
        <w:trPr>
          <w:trHeight w:val="227"/>
          <w:jc w:val="center"/>
        </w:trPr>
        <w:tc>
          <w:tcPr>
            <w:tcW w:w="1186" w:type="dxa"/>
            <w:vMerge w:val="restart"/>
            <w:tcBorders>
              <w:top w:val="nil"/>
              <w:left w:val="single" w:sz="4" w:space="0" w:color="auto"/>
              <w:bottom w:val="single" w:sz="4" w:space="0" w:color="auto"/>
              <w:right w:val="single" w:sz="4" w:space="0" w:color="auto"/>
            </w:tcBorders>
            <w:noWrap/>
            <w:vAlign w:val="center"/>
          </w:tcPr>
          <w:p w14:paraId="3E58726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有组织排放总计</w:t>
            </w:r>
          </w:p>
        </w:tc>
        <w:tc>
          <w:tcPr>
            <w:tcW w:w="6698" w:type="dxa"/>
            <w:gridSpan w:val="4"/>
            <w:tcBorders>
              <w:top w:val="single" w:sz="4" w:space="0" w:color="auto"/>
              <w:left w:val="nil"/>
              <w:bottom w:val="single" w:sz="4" w:space="0" w:color="auto"/>
              <w:right w:val="single" w:sz="4" w:space="0" w:color="000000"/>
            </w:tcBorders>
            <w:vAlign w:val="center"/>
          </w:tcPr>
          <w:p w14:paraId="6228A48B"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857" w:type="dxa"/>
            <w:tcBorders>
              <w:top w:val="nil"/>
              <w:left w:val="nil"/>
              <w:bottom w:val="single" w:sz="4" w:space="0" w:color="auto"/>
              <w:right w:val="single" w:sz="4" w:space="0" w:color="auto"/>
            </w:tcBorders>
            <w:noWrap/>
            <w:vAlign w:val="bottom"/>
          </w:tcPr>
          <w:p w14:paraId="4C3D46E8"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15.99</w:t>
            </w:r>
          </w:p>
        </w:tc>
      </w:tr>
      <w:tr w:rsidR="002133E3" w14:paraId="1B9B77EB"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5ED85BBA"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000000"/>
            </w:tcBorders>
            <w:vAlign w:val="center"/>
          </w:tcPr>
          <w:p w14:paraId="2D43D3A6"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1857" w:type="dxa"/>
            <w:tcBorders>
              <w:top w:val="nil"/>
              <w:left w:val="nil"/>
              <w:bottom w:val="single" w:sz="4" w:space="0" w:color="auto"/>
              <w:right w:val="single" w:sz="4" w:space="0" w:color="auto"/>
            </w:tcBorders>
            <w:noWrap/>
            <w:vAlign w:val="center"/>
          </w:tcPr>
          <w:p w14:paraId="1E1B626B"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91962.83 </w:t>
            </w:r>
          </w:p>
        </w:tc>
      </w:tr>
      <w:tr w:rsidR="002133E3" w14:paraId="12FC81AC"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36542C11"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000000"/>
            </w:tcBorders>
            <w:noWrap/>
            <w:vAlign w:val="center"/>
          </w:tcPr>
          <w:p w14:paraId="562B5CC5"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857" w:type="dxa"/>
            <w:tcBorders>
              <w:top w:val="nil"/>
              <w:left w:val="nil"/>
              <w:bottom w:val="single" w:sz="4" w:space="0" w:color="auto"/>
              <w:right w:val="single" w:sz="4" w:space="0" w:color="auto"/>
            </w:tcBorders>
            <w:noWrap/>
            <w:vAlign w:val="center"/>
          </w:tcPr>
          <w:p w14:paraId="5892CE2D"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1.76</w:t>
            </w:r>
          </w:p>
        </w:tc>
      </w:tr>
      <w:tr w:rsidR="002133E3" w14:paraId="4A1D2FB2"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7C07577B"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000000"/>
            </w:tcBorders>
            <w:noWrap/>
            <w:vAlign w:val="center"/>
          </w:tcPr>
          <w:p w14:paraId="40B40C22"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1857" w:type="dxa"/>
            <w:tcBorders>
              <w:top w:val="nil"/>
              <w:left w:val="nil"/>
              <w:bottom w:val="single" w:sz="4" w:space="0" w:color="auto"/>
              <w:right w:val="single" w:sz="4" w:space="0" w:color="auto"/>
            </w:tcBorders>
            <w:noWrap/>
            <w:vAlign w:val="center"/>
          </w:tcPr>
          <w:p w14:paraId="56425755"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0.06</w:t>
            </w:r>
          </w:p>
        </w:tc>
      </w:tr>
      <w:tr w:rsidR="002133E3" w14:paraId="013436F5" w14:textId="77777777">
        <w:trPr>
          <w:trHeight w:val="227"/>
          <w:jc w:val="center"/>
        </w:trPr>
        <w:tc>
          <w:tcPr>
            <w:tcW w:w="1186" w:type="dxa"/>
            <w:vMerge/>
            <w:tcBorders>
              <w:top w:val="nil"/>
              <w:left w:val="single" w:sz="4" w:space="0" w:color="auto"/>
              <w:bottom w:val="single" w:sz="4" w:space="0" w:color="auto"/>
              <w:right w:val="single" w:sz="4" w:space="0" w:color="auto"/>
            </w:tcBorders>
            <w:vAlign w:val="center"/>
          </w:tcPr>
          <w:p w14:paraId="5CBB9502" w14:textId="77777777" w:rsidR="002133E3" w:rsidRDefault="002133E3">
            <w:pPr>
              <w:widowControl/>
              <w:jc w:val="left"/>
              <w:rPr>
                <w:rFonts w:ascii="Times New Roman" w:eastAsia="宋体" w:hAnsi="Times New Roman" w:cs="Times New Roman"/>
                <w:color w:val="000000"/>
                <w:kern w:val="0"/>
                <w:szCs w:val="21"/>
              </w:rPr>
            </w:pPr>
          </w:p>
        </w:tc>
        <w:tc>
          <w:tcPr>
            <w:tcW w:w="6698" w:type="dxa"/>
            <w:gridSpan w:val="4"/>
            <w:tcBorders>
              <w:top w:val="single" w:sz="4" w:space="0" w:color="auto"/>
              <w:left w:val="nil"/>
              <w:bottom w:val="single" w:sz="4" w:space="0" w:color="auto"/>
              <w:right w:val="single" w:sz="4" w:space="0" w:color="auto"/>
            </w:tcBorders>
            <w:noWrap/>
            <w:vAlign w:val="center"/>
          </w:tcPr>
          <w:p w14:paraId="2350434C"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挥发性有机物</w:t>
            </w:r>
          </w:p>
        </w:tc>
        <w:tc>
          <w:tcPr>
            <w:tcW w:w="1857" w:type="dxa"/>
            <w:tcBorders>
              <w:top w:val="nil"/>
              <w:left w:val="nil"/>
              <w:bottom w:val="single" w:sz="4" w:space="0" w:color="auto"/>
              <w:right w:val="single" w:sz="4" w:space="0" w:color="auto"/>
            </w:tcBorders>
            <w:noWrap/>
            <w:vAlign w:val="center"/>
          </w:tcPr>
          <w:p w14:paraId="59327EB8"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1.81</w:t>
            </w:r>
          </w:p>
        </w:tc>
      </w:tr>
    </w:tbl>
    <w:p w14:paraId="4B2D0DE0" w14:textId="77777777" w:rsidR="002133E3" w:rsidRDefault="00C22CFA">
      <w:pPr>
        <w:adjustRightInd w:val="0"/>
        <w:snapToGrid w:val="0"/>
        <w:spacing w:line="500" w:lineRule="exact"/>
        <w:jc w:val="left"/>
        <w:rPr>
          <w:rFonts w:ascii="Times New Roman" w:eastAsia="宋体" w:hAnsi="Times New Roman" w:cs="Times New Roman"/>
          <w:b/>
          <w:szCs w:val="21"/>
        </w:rPr>
      </w:pPr>
      <w:r>
        <w:rPr>
          <w:rFonts w:ascii="Times New Roman" w:eastAsia="宋体" w:hAnsi="Times New Roman" w:cs="Times New Roman"/>
          <w:b/>
          <w:szCs w:val="21"/>
        </w:rPr>
        <w:t>注：</w:t>
      </w:r>
      <w:r>
        <w:rPr>
          <w:rFonts w:ascii="Times New Roman" w:eastAsia="宋体" w:hAnsi="Times New Roman" w:cs="Times New Roman"/>
          <w:color w:val="000000"/>
          <w:kern w:val="0"/>
          <w:szCs w:val="21"/>
        </w:rPr>
        <w:t>*3#</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4#</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5#</w:t>
      </w:r>
      <w:r>
        <w:rPr>
          <w:rFonts w:ascii="Times New Roman" w:eastAsia="宋体" w:hAnsi="Times New Roman" w:cs="Times New Roman"/>
          <w:color w:val="000000"/>
          <w:kern w:val="0"/>
          <w:szCs w:val="21"/>
        </w:rPr>
        <w:t>排气筒与</w:t>
      </w:r>
      <w:r>
        <w:rPr>
          <w:rFonts w:ascii="Times New Roman" w:eastAsia="宋体" w:hAnsi="Times New Roman" w:cs="Times New Roman"/>
          <w:color w:val="000000"/>
          <w:kern w:val="0"/>
          <w:szCs w:val="21"/>
        </w:rPr>
        <w:t>14#</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15#</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16#</w:t>
      </w:r>
      <w:r>
        <w:rPr>
          <w:rFonts w:ascii="Times New Roman" w:eastAsia="宋体" w:hAnsi="Times New Roman" w:cs="Times New Roman"/>
          <w:color w:val="000000"/>
          <w:kern w:val="0"/>
          <w:szCs w:val="21"/>
        </w:rPr>
        <w:t>排气筒不同时排放，选取大值合计。</w:t>
      </w:r>
    </w:p>
    <w:p w14:paraId="1A7A1F0C" w14:textId="77777777" w:rsidR="002133E3" w:rsidRDefault="00C22CFA">
      <w:pPr>
        <w:spacing w:line="520" w:lineRule="exact"/>
        <w:ind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无组织排放量核算</w:t>
      </w:r>
    </w:p>
    <w:p w14:paraId="5A05D80A"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6.2-17  </w:t>
      </w:r>
      <w:r>
        <w:rPr>
          <w:rFonts w:ascii="Times New Roman" w:eastAsia="宋体" w:hAnsi="Times New Roman" w:cs="Times New Roman"/>
          <w:b/>
          <w:sz w:val="24"/>
          <w:szCs w:val="24"/>
        </w:rPr>
        <w:t>大气污染物无组织排放量核算表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
        <w:gridCol w:w="933"/>
        <w:gridCol w:w="1559"/>
        <w:gridCol w:w="993"/>
        <w:gridCol w:w="1417"/>
        <w:gridCol w:w="1701"/>
        <w:gridCol w:w="1701"/>
        <w:gridCol w:w="1042"/>
      </w:tblGrid>
      <w:tr w:rsidR="002133E3" w14:paraId="7D26E5DE" w14:textId="77777777">
        <w:trPr>
          <w:trHeight w:val="227"/>
          <w:jc w:val="center"/>
        </w:trPr>
        <w:tc>
          <w:tcPr>
            <w:tcW w:w="395" w:type="dxa"/>
            <w:vMerge w:val="restart"/>
            <w:noWrap/>
            <w:vAlign w:val="center"/>
          </w:tcPr>
          <w:p w14:paraId="2D3DD8D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933" w:type="dxa"/>
            <w:vMerge w:val="restart"/>
            <w:noWrap/>
            <w:vAlign w:val="center"/>
          </w:tcPr>
          <w:p w14:paraId="38B393F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排放口编号</w:t>
            </w:r>
          </w:p>
        </w:tc>
        <w:tc>
          <w:tcPr>
            <w:tcW w:w="1559" w:type="dxa"/>
            <w:vMerge w:val="restart"/>
            <w:noWrap/>
            <w:vAlign w:val="center"/>
          </w:tcPr>
          <w:p w14:paraId="5C3FE32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产物环节</w:t>
            </w:r>
          </w:p>
        </w:tc>
        <w:tc>
          <w:tcPr>
            <w:tcW w:w="993" w:type="dxa"/>
            <w:vMerge w:val="restart"/>
            <w:noWrap/>
            <w:vAlign w:val="center"/>
          </w:tcPr>
          <w:p w14:paraId="19FA8ED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w:t>
            </w:r>
          </w:p>
        </w:tc>
        <w:tc>
          <w:tcPr>
            <w:tcW w:w="1417" w:type="dxa"/>
            <w:vMerge w:val="restart"/>
            <w:noWrap/>
            <w:vAlign w:val="center"/>
          </w:tcPr>
          <w:p w14:paraId="3C4673A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主要污染防治措施</w:t>
            </w:r>
          </w:p>
        </w:tc>
        <w:tc>
          <w:tcPr>
            <w:tcW w:w="3402" w:type="dxa"/>
            <w:gridSpan w:val="2"/>
            <w:noWrap/>
            <w:vAlign w:val="center"/>
          </w:tcPr>
          <w:p w14:paraId="75CF5AD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污染物排放标准</w:t>
            </w:r>
            <w:r>
              <w:rPr>
                <w:rFonts w:ascii="Times New Roman" w:eastAsia="宋体" w:hAnsi="Times New Roman" w:cs="Times New Roman"/>
                <w:color w:val="000000"/>
                <w:kern w:val="0"/>
                <w:szCs w:val="21"/>
              </w:rPr>
              <w:t>*</w:t>
            </w:r>
          </w:p>
        </w:tc>
        <w:tc>
          <w:tcPr>
            <w:tcW w:w="1042" w:type="dxa"/>
            <w:vMerge w:val="restart"/>
            <w:noWrap/>
            <w:vAlign w:val="center"/>
          </w:tcPr>
          <w:p w14:paraId="2EDD5C3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年排放量</w:t>
            </w:r>
            <w:r>
              <w:rPr>
                <w:rFonts w:ascii="Times New Roman" w:eastAsia="宋体" w:hAnsi="Times New Roman" w:cs="Times New Roman"/>
                <w:b/>
                <w:bCs/>
                <w:color w:val="000000"/>
                <w:kern w:val="0"/>
                <w:szCs w:val="21"/>
              </w:rPr>
              <w:t>t/a</w:t>
            </w:r>
          </w:p>
        </w:tc>
      </w:tr>
      <w:tr w:rsidR="002133E3" w14:paraId="610CD943" w14:textId="77777777">
        <w:trPr>
          <w:trHeight w:val="227"/>
          <w:jc w:val="center"/>
        </w:trPr>
        <w:tc>
          <w:tcPr>
            <w:tcW w:w="395" w:type="dxa"/>
            <w:vMerge/>
            <w:vAlign w:val="center"/>
          </w:tcPr>
          <w:p w14:paraId="584D7194" w14:textId="77777777" w:rsidR="002133E3" w:rsidRDefault="002133E3">
            <w:pPr>
              <w:widowControl/>
              <w:jc w:val="left"/>
              <w:rPr>
                <w:rFonts w:ascii="Times New Roman" w:eastAsia="宋体" w:hAnsi="Times New Roman" w:cs="Times New Roman"/>
                <w:b/>
                <w:bCs/>
                <w:color w:val="000000"/>
                <w:kern w:val="0"/>
                <w:szCs w:val="21"/>
              </w:rPr>
            </w:pPr>
          </w:p>
        </w:tc>
        <w:tc>
          <w:tcPr>
            <w:tcW w:w="933" w:type="dxa"/>
            <w:vMerge/>
            <w:vAlign w:val="center"/>
          </w:tcPr>
          <w:p w14:paraId="2E0B2564" w14:textId="77777777" w:rsidR="002133E3" w:rsidRDefault="002133E3">
            <w:pPr>
              <w:widowControl/>
              <w:jc w:val="left"/>
              <w:rPr>
                <w:rFonts w:ascii="Times New Roman" w:eastAsia="宋体" w:hAnsi="Times New Roman" w:cs="Times New Roman"/>
                <w:b/>
                <w:bCs/>
                <w:color w:val="000000"/>
                <w:kern w:val="0"/>
                <w:szCs w:val="21"/>
              </w:rPr>
            </w:pPr>
          </w:p>
        </w:tc>
        <w:tc>
          <w:tcPr>
            <w:tcW w:w="1559" w:type="dxa"/>
            <w:vMerge/>
            <w:vAlign w:val="center"/>
          </w:tcPr>
          <w:p w14:paraId="7CA63302" w14:textId="77777777" w:rsidR="002133E3" w:rsidRDefault="002133E3">
            <w:pPr>
              <w:widowControl/>
              <w:jc w:val="left"/>
              <w:rPr>
                <w:rFonts w:ascii="Times New Roman" w:eastAsia="宋体" w:hAnsi="Times New Roman" w:cs="Times New Roman"/>
                <w:b/>
                <w:bCs/>
                <w:color w:val="000000"/>
                <w:kern w:val="0"/>
                <w:szCs w:val="21"/>
              </w:rPr>
            </w:pPr>
          </w:p>
        </w:tc>
        <w:tc>
          <w:tcPr>
            <w:tcW w:w="993" w:type="dxa"/>
            <w:vMerge/>
            <w:vAlign w:val="center"/>
          </w:tcPr>
          <w:p w14:paraId="0EFFD116" w14:textId="77777777" w:rsidR="002133E3" w:rsidRDefault="002133E3">
            <w:pPr>
              <w:widowControl/>
              <w:jc w:val="left"/>
              <w:rPr>
                <w:rFonts w:ascii="Times New Roman" w:eastAsia="宋体" w:hAnsi="Times New Roman" w:cs="Times New Roman"/>
                <w:b/>
                <w:bCs/>
                <w:color w:val="000000"/>
                <w:kern w:val="0"/>
                <w:szCs w:val="21"/>
              </w:rPr>
            </w:pPr>
          </w:p>
        </w:tc>
        <w:tc>
          <w:tcPr>
            <w:tcW w:w="1417" w:type="dxa"/>
            <w:vMerge/>
            <w:vAlign w:val="center"/>
          </w:tcPr>
          <w:p w14:paraId="0704E820" w14:textId="77777777" w:rsidR="002133E3" w:rsidRDefault="002133E3">
            <w:pPr>
              <w:widowControl/>
              <w:jc w:val="left"/>
              <w:rPr>
                <w:rFonts w:ascii="Times New Roman" w:eastAsia="宋体" w:hAnsi="Times New Roman" w:cs="Times New Roman"/>
                <w:b/>
                <w:bCs/>
                <w:color w:val="000000"/>
                <w:kern w:val="0"/>
                <w:szCs w:val="21"/>
              </w:rPr>
            </w:pPr>
          </w:p>
        </w:tc>
        <w:tc>
          <w:tcPr>
            <w:tcW w:w="1701" w:type="dxa"/>
            <w:noWrap/>
            <w:vAlign w:val="center"/>
          </w:tcPr>
          <w:p w14:paraId="6249D0C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标准名称</w:t>
            </w:r>
          </w:p>
        </w:tc>
        <w:tc>
          <w:tcPr>
            <w:tcW w:w="1701" w:type="dxa"/>
            <w:noWrap/>
            <w:vAlign w:val="center"/>
          </w:tcPr>
          <w:p w14:paraId="44DAD16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浓度限值</w:t>
            </w:r>
            <w:r>
              <w:rPr>
                <w:rFonts w:ascii="Times New Roman" w:eastAsia="宋体" w:hAnsi="Times New Roman" w:cs="Times New Roman"/>
                <w:b/>
                <w:bCs/>
                <w:color w:val="000000"/>
                <w:kern w:val="0"/>
                <w:szCs w:val="21"/>
              </w:rPr>
              <w:t>mg/m</w:t>
            </w:r>
            <w:r>
              <w:rPr>
                <w:rFonts w:ascii="Times New Roman" w:eastAsia="宋体" w:hAnsi="Times New Roman" w:cs="Times New Roman"/>
                <w:b/>
                <w:bCs/>
                <w:color w:val="000000"/>
                <w:kern w:val="0"/>
                <w:szCs w:val="21"/>
                <w:vertAlign w:val="superscript"/>
              </w:rPr>
              <w:t>3</w:t>
            </w:r>
          </w:p>
        </w:tc>
        <w:tc>
          <w:tcPr>
            <w:tcW w:w="1042" w:type="dxa"/>
            <w:vMerge/>
            <w:vAlign w:val="center"/>
          </w:tcPr>
          <w:p w14:paraId="19A16E30" w14:textId="77777777" w:rsidR="002133E3" w:rsidRDefault="002133E3">
            <w:pPr>
              <w:widowControl/>
              <w:jc w:val="left"/>
              <w:rPr>
                <w:rFonts w:ascii="Times New Roman" w:eastAsia="宋体" w:hAnsi="Times New Roman" w:cs="Times New Roman"/>
                <w:b/>
                <w:bCs/>
                <w:color w:val="000000"/>
                <w:kern w:val="0"/>
                <w:szCs w:val="21"/>
              </w:rPr>
            </w:pPr>
          </w:p>
        </w:tc>
      </w:tr>
      <w:tr w:rsidR="002133E3" w14:paraId="60D71C49" w14:textId="77777777">
        <w:trPr>
          <w:trHeight w:val="227"/>
          <w:jc w:val="center"/>
        </w:trPr>
        <w:tc>
          <w:tcPr>
            <w:tcW w:w="395" w:type="dxa"/>
            <w:vMerge w:val="restart"/>
            <w:noWrap/>
            <w:vAlign w:val="center"/>
          </w:tcPr>
          <w:p w14:paraId="44F7D78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933" w:type="dxa"/>
            <w:vMerge w:val="restart"/>
            <w:noWrap/>
            <w:vAlign w:val="center"/>
          </w:tcPr>
          <w:p w14:paraId="7314170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559" w:type="dxa"/>
            <w:vMerge w:val="restart"/>
            <w:vAlign w:val="center"/>
          </w:tcPr>
          <w:p w14:paraId="64C36DB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bCs/>
                <w:szCs w:val="21"/>
              </w:rPr>
              <w:t>无水乙醇储罐</w:t>
            </w:r>
          </w:p>
        </w:tc>
        <w:tc>
          <w:tcPr>
            <w:tcW w:w="993" w:type="dxa"/>
            <w:vMerge w:val="restart"/>
            <w:noWrap/>
            <w:vAlign w:val="center"/>
          </w:tcPr>
          <w:p w14:paraId="3854AB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乙醇</w:t>
            </w:r>
          </w:p>
        </w:tc>
        <w:tc>
          <w:tcPr>
            <w:tcW w:w="1417" w:type="dxa"/>
            <w:vMerge w:val="restart"/>
            <w:noWrap/>
            <w:vAlign w:val="center"/>
          </w:tcPr>
          <w:p w14:paraId="234E777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701" w:type="dxa"/>
            <w:noWrap/>
            <w:vAlign w:val="center"/>
          </w:tcPr>
          <w:p w14:paraId="1448D97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DB32/3151-2016</w:t>
            </w:r>
          </w:p>
        </w:tc>
        <w:tc>
          <w:tcPr>
            <w:tcW w:w="1701" w:type="dxa"/>
            <w:noWrap/>
            <w:vAlign w:val="center"/>
          </w:tcPr>
          <w:p w14:paraId="49CC1CB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r>
              <w:rPr>
                <w:rFonts w:ascii="Times New Roman" w:eastAsia="宋体" w:hAnsi="Times New Roman" w:cs="Times New Roman"/>
                <w:kern w:val="0"/>
                <w:szCs w:val="21"/>
              </w:rPr>
              <w:t>(</w:t>
            </w:r>
            <w:r>
              <w:rPr>
                <w:rFonts w:ascii="Times New Roman" w:eastAsia="宋体" w:hAnsi="Times New Roman" w:cs="Times New Roman"/>
                <w:kern w:val="0"/>
                <w:szCs w:val="21"/>
              </w:rPr>
              <w:t>厂界</w:t>
            </w:r>
            <w:r>
              <w:rPr>
                <w:rFonts w:ascii="Times New Roman" w:eastAsia="宋体" w:hAnsi="Times New Roman" w:cs="Times New Roman"/>
                <w:kern w:val="0"/>
                <w:szCs w:val="21"/>
              </w:rPr>
              <w:t>)</w:t>
            </w:r>
          </w:p>
        </w:tc>
        <w:tc>
          <w:tcPr>
            <w:tcW w:w="1042" w:type="dxa"/>
            <w:vMerge w:val="restart"/>
            <w:noWrap/>
            <w:vAlign w:val="center"/>
          </w:tcPr>
          <w:p w14:paraId="3675D0C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0.0514</w:t>
            </w:r>
          </w:p>
        </w:tc>
      </w:tr>
      <w:tr w:rsidR="002133E3" w14:paraId="7BFA823A" w14:textId="77777777">
        <w:trPr>
          <w:trHeight w:val="227"/>
          <w:jc w:val="center"/>
        </w:trPr>
        <w:tc>
          <w:tcPr>
            <w:tcW w:w="395" w:type="dxa"/>
            <w:vMerge/>
            <w:noWrap/>
            <w:vAlign w:val="center"/>
          </w:tcPr>
          <w:p w14:paraId="37650CFD" w14:textId="77777777" w:rsidR="002133E3" w:rsidRDefault="002133E3">
            <w:pPr>
              <w:widowControl/>
              <w:jc w:val="center"/>
              <w:rPr>
                <w:rFonts w:ascii="Times New Roman" w:eastAsia="宋体" w:hAnsi="Times New Roman" w:cs="Times New Roman"/>
                <w:color w:val="000000"/>
                <w:kern w:val="0"/>
                <w:szCs w:val="21"/>
              </w:rPr>
            </w:pPr>
          </w:p>
        </w:tc>
        <w:tc>
          <w:tcPr>
            <w:tcW w:w="933" w:type="dxa"/>
            <w:vMerge/>
            <w:noWrap/>
            <w:vAlign w:val="center"/>
          </w:tcPr>
          <w:p w14:paraId="3AB0120A" w14:textId="77777777" w:rsidR="002133E3" w:rsidRDefault="002133E3">
            <w:pPr>
              <w:widowControl/>
              <w:jc w:val="center"/>
              <w:rPr>
                <w:rFonts w:ascii="Times New Roman" w:eastAsia="宋体" w:hAnsi="Times New Roman" w:cs="Times New Roman"/>
                <w:color w:val="000000"/>
                <w:kern w:val="0"/>
                <w:szCs w:val="21"/>
              </w:rPr>
            </w:pPr>
          </w:p>
        </w:tc>
        <w:tc>
          <w:tcPr>
            <w:tcW w:w="1559" w:type="dxa"/>
            <w:vMerge/>
            <w:vAlign w:val="center"/>
          </w:tcPr>
          <w:p w14:paraId="0FB0D217" w14:textId="77777777" w:rsidR="002133E3" w:rsidRDefault="002133E3">
            <w:pPr>
              <w:widowControl/>
              <w:jc w:val="center"/>
              <w:rPr>
                <w:rFonts w:ascii="Times New Roman" w:eastAsia="宋体" w:hAnsi="Times New Roman" w:cs="Times New Roman"/>
                <w:bCs/>
                <w:szCs w:val="21"/>
              </w:rPr>
            </w:pPr>
          </w:p>
        </w:tc>
        <w:tc>
          <w:tcPr>
            <w:tcW w:w="993" w:type="dxa"/>
            <w:vMerge/>
            <w:noWrap/>
            <w:vAlign w:val="center"/>
          </w:tcPr>
          <w:p w14:paraId="0D7888A3" w14:textId="77777777" w:rsidR="002133E3" w:rsidRDefault="002133E3">
            <w:pPr>
              <w:widowControl/>
              <w:jc w:val="center"/>
              <w:rPr>
                <w:rFonts w:ascii="Times New Roman" w:eastAsia="宋体" w:hAnsi="Times New Roman" w:cs="Times New Roman"/>
                <w:color w:val="000000"/>
                <w:kern w:val="0"/>
                <w:szCs w:val="21"/>
              </w:rPr>
            </w:pPr>
          </w:p>
        </w:tc>
        <w:tc>
          <w:tcPr>
            <w:tcW w:w="1417" w:type="dxa"/>
            <w:vMerge/>
            <w:noWrap/>
            <w:vAlign w:val="center"/>
          </w:tcPr>
          <w:p w14:paraId="641E853E" w14:textId="77777777" w:rsidR="002133E3" w:rsidRDefault="002133E3">
            <w:pPr>
              <w:widowControl/>
              <w:jc w:val="center"/>
              <w:rPr>
                <w:rFonts w:ascii="Times New Roman" w:eastAsia="宋体" w:hAnsi="Times New Roman" w:cs="Times New Roman"/>
                <w:color w:val="000000"/>
                <w:kern w:val="0"/>
                <w:szCs w:val="21"/>
              </w:rPr>
            </w:pPr>
          </w:p>
        </w:tc>
        <w:tc>
          <w:tcPr>
            <w:tcW w:w="1701" w:type="dxa"/>
            <w:noWrap/>
            <w:vAlign w:val="center"/>
          </w:tcPr>
          <w:p w14:paraId="01EA85E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GB 37822-2019</w:t>
            </w:r>
          </w:p>
        </w:tc>
        <w:tc>
          <w:tcPr>
            <w:tcW w:w="1701" w:type="dxa"/>
            <w:noWrap/>
            <w:vAlign w:val="center"/>
          </w:tcPr>
          <w:p w14:paraId="1D2085E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装置区四周</w:t>
            </w:r>
            <w:r>
              <w:rPr>
                <w:rFonts w:ascii="Times New Roman" w:eastAsia="宋体" w:hAnsi="Times New Roman" w:cs="Times New Roman"/>
                <w:kern w:val="0"/>
                <w:szCs w:val="21"/>
              </w:rPr>
              <w:t>)</w:t>
            </w:r>
          </w:p>
        </w:tc>
        <w:tc>
          <w:tcPr>
            <w:tcW w:w="1042" w:type="dxa"/>
            <w:vMerge/>
            <w:noWrap/>
            <w:vAlign w:val="center"/>
          </w:tcPr>
          <w:p w14:paraId="03BCC5BC" w14:textId="77777777" w:rsidR="002133E3" w:rsidRDefault="002133E3">
            <w:pPr>
              <w:widowControl/>
              <w:jc w:val="center"/>
              <w:rPr>
                <w:rFonts w:ascii="Times New Roman" w:eastAsia="宋体" w:hAnsi="Times New Roman" w:cs="Times New Roman"/>
                <w:color w:val="000000"/>
                <w:kern w:val="0"/>
                <w:szCs w:val="21"/>
              </w:rPr>
            </w:pPr>
          </w:p>
        </w:tc>
      </w:tr>
      <w:tr w:rsidR="002133E3" w14:paraId="6C4842DC" w14:textId="77777777">
        <w:trPr>
          <w:trHeight w:val="227"/>
          <w:jc w:val="center"/>
        </w:trPr>
        <w:tc>
          <w:tcPr>
            <w:tcW w:w="395" w:type="dxa"/>
            <w:vMerge w:val="restart"/>
            <w:noWrap/>
            <w:vAlign w:val="center"/>
          </w:tcPr>
          <w:p w14:paraId="5462EF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933" w:type="dxa"/>
            <w:vMerge/>
            <w:noWrap/>
            <w:vAlign w:val="center"/>
          </w:tcPr>
          <w:p w14:paraId="7289A6EE" w14:textId="77777777" w:rsidR="002133E3" w:rsidRDefault="002133E3">
            <w:pPr>
              <w:widowControl/>
              <w:jc w:val="center"/>
              <w:rPr>
                <w:rFonts w:ascii="Times New Roman" w:eastAsia="宋体" w:hAnsi="Times New Roman" w:cs="Times New Roman"/>
                <w:color w:val="000000"/>
                <w:kern w:val="0"/>
                <w:szCs w:val="21"/>
              </w:rPr>
            </w:pPr>
          </w:p>
        </w:tc>
        <w:tc>
          <w:tcPr>
            <w:tcW w:w="1559" w:type="dxa"/>
            <w:vMerge/>
            <w:vAlign w:val="center"/>
          </w:tcPr>
          <w:p w14:paraId="25D5FE96" w14:textId="77777777" w:rsidR="002133E3" w:rsidRDefault="002133E3">
            <w:pPr>
              <w:widowControl/>
              <w:jc w:val="center"/>
              <w:rPr>
                <w:rFonts w:ascii="Times New Roman" w:eastAsia="宋体" w:hAnsi="Times New Roman" w:cs="Times New Roman"/>
                <w:bCs/>
                <w:szCs w:val="21"/>
              </w:rPr>
            </w:pPr>
          </w:p>
        </w:tc>
        <w:tc>
          <w:tcPr>
            <w:tcW w:w="993" w:type="dxa"/>
            <w:vMerge w:val="restart"/>
            <w:noWrap/>
            <w:vAlign w:val="center"/>
          </w:tcPr>
          <w:p w14:paraId="1D94795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挥发性有机物</w:t>
            </w:r>
          </w:p>
        </w:tc>
        <w:tc>
          <w:tcPr>
            <w:tcW w:w="1417" w:type="dxa"/>
            <w:vMerge w:val="restart"/>
            <w:noWrap/>
            <w:vAlign w:val="center"/>
          </w:tcPr>
          <w:p w14:paraId="6400B97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c>
          <w:tcPr>
            <w:tcW w:w="1701" w:type="dxa"/>
            <w:noWrap/>
            <w:vAlign w:val="center"/>
          </w:tcPr>
          <w:p w14:paraId="0AD77A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DB32/3151-2016</w:t>
            </w:r>
          </w:p>
        </w:tc>
        <w:tc>
          <w:tcPr>
            <w:tcW w:w="1701" w:type="dxa"/>
            <w:noWrap/>
            <w:vAlign w:val="center"/>
          </w:tcPr>
          <w:p w14:paraId="078BCE0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4</w:t>
            </w:r>
            <w:r>
              <w:rPr>
                <w:rFonts w:ascii="Times New Roman" w:eastAsia="宋体" w:hAnsi="Times New Roman" w:cs="Times New Roman"/>
                <w:kern w:val="0"/>
                <w:szCs w:val="21"/>
              </w:rPr>
              <w:t>(</w:t>
            </w:r>
            <w:r>
              <w:rPr>
                <w:rFonts w:ascii="Times New Roman" w:eastAsia="宋体" w:hAnsi="Times New Roman" w:cs="Times New Roman"/>
                <w:kern w:val="0"/>
                <w:szCs w:val="21"/>
              </w:rPr>
              <w:t>厂界</w:t>
            </w:r>
            <w:r>
              <w:rPr>
                <w:rFonts w:ascii="Times New Roman" w:eastAsia="宋体" w:hAnsi="Times New Roman" w:cs="Times New Roman"/>
                <w:kern w:val="0"/>
                <w:szCs w:val="21"/>
              </w:rPr>
              <w:t>)</w:t>
            </w:r>
          </w:p>
        </w:tc>
        <w:tc>
          <w:tcPr>
            <w:tcW w:w="1042" w:type="dxa"/>
            <w:vMerge w:val="restart"/>
            <w:noWrap/>
            <w:vAlign w:val="center"/>
          </w:tcPr>
          <w:p w14:paraId="196C56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0.0514</w:t>
            </w:r>
          </w:p>
        </w:tc>
      </w:tr>
      <w:tr w:rsidR="002133E3" w14:paraId="3C01A241" w14:textId="77777777">
        <w:trPr>
          <w:trHeight w:val="227"/>
          <w:jc w:val="center"/>
        </w:trPr>
        <w:tc>
          <w:tcPr>
            <w:tcW w:w="395" w:type="dxa"/>
            <w:vMerge/>
            <w:noWrap/>
            <w:vAlign w:val="center"/>
          </w:tcPr>
          <w:p w14:paraId="2B39E696" w14:textId="77777777" w:rsidR="002133E3" w:rsidRDefault="002133E3">
            <w:pPr>
              <w:widowControl/>
              <w:jc w:val="center"/>
              <w:rPr>
                <w:rFonts w:ascii="Times New Roman" w:eastAsia="宋体" w:hAnsi="Times New Roman" w:cs="Times New Roman"/>
                <w:color w:val="000000"/>
                <w:kern w:val="0"/>
                <w:szCs w:val="21"/>
              </w:rPr>
            </w:pPr>
          </w:p>
        </w:tc>
        <w:tc>
          <w:tcPr>
            <w:tcW w:w="933" w:type="dxa"/>
            <w:vMerge/>
            <w:noWrap/>
            <w:vAlign w:val="center"/>
          </w:tcPr>
          <w:p w14:paraId="674FDB49" w14:textId="77777777" w:rsidR="002133E3" w:rsidRDefault="002133E3">
            <w:pPr>
              <w:widowControl/>
              <w:jc w:val="center"/>
              <w:rPr>
                <w:rFonts w:ascii="Times New Roman" w:eastAsia="宋体" w:hAnsi="Times New Roman" w:cs="Times New Roman"/>
                <w:color w:val="000000"/>
                <w:kern w:val="0"/>
                <w:szCs w:val="21"/>
              </w:rPr>
            </w:pPr>
          </w:p>
        </w:tc>
        <w:tc>
          <w:tcPr>
            <w:tcW w:w="1559" w:type="dxa"/>
            <w:vMerge/>
            <w:vAlign w:val="center"/>
          </w:tcPr>
          <w:p w14:paraId="7D9C74B4" w14:textId="77777777" w:rsidR="002133E3" w:rsidRDefault="002133E3">
            <w:pPr>
              <w:widowControl/>
              <w:jc w:val="center"/>
              <w:rPr>
                <w:rFonts w:ascii="Times New Roman" w:eastAsia="宋体" w:hAnsi="Times New Roman" w:cs="Times New Roman"/>
                <w:bCs/>
                <w:szCs w:val="21"/>
              </w:rPr>
            </w:pPr>
          </w:p>
        </w:tc>
        <w:tc>
          <w:tcPr>
            <w:tcW w:w="993" w:type="dxa"/>
            <w:vMerge/>
            <w:noWrap/>
            <w:vAlign w:val="center"/>
          </w:tcPr>
          <w:p w14:paraId="763620E3" w14:textId="77777777" w:rsidR="002133E3" w:rsidRDefault="002133E3">
            <w:pPr>
              <w:widowControl/>
              <w:jc w:val="center"/>
              <w:rPr>
                <w:rFonts w:ascii="Times New Roman" w:eastAsia="宋体" w:hAnsi="Times New Roman" w:cs="Times New Roman"/>
                <w:color w:val="000000"/>
                <w:kern w:val="0"/>
                <w:szCs w:val="21"/>
              </w:rPr>
            </w:pPr>
          </w:p>
        </w:tc>
        <w:tc>
          <w:tcPr>
            <w:tcW w:w="1417" w:type="dxa"/>
            <w:vMerge/>
            <w:noWrap/>
            <w:vAlign w:val="center"/>
          </w:tcPr>
          <w:p w14:paraId="15989C47" w14:textId="77777777" w:rsidR="002133E3" w:rsidRDefault="002133E3">
            <w:pPr>
              <w:widowControl/>
              <w:jc w:val="center"/>
              <w:rPr>
                <w:rFonts w:ascii="Times New Roman" w:eastAsia="宋体" w:hAnsi="Times New Roman" w:cs="Times New Roman"/>
                <w:color w:val="000000"/>
                <w:kern w:val="0"/>
                <w:szCs w:val="21"/>
              </w:rPr>
            </w:pPr>
          </w:p>
        </w:tc>
        <w:tc>
          <w:tcPr>
            <w:tcW w:w="1701" w:type="dxa"/>
            <w:noWrap/>
            <w:vAlign w:val="center"/>
          </w:tcPr>
          <w:p w14:paraId="1AB0145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GB 37822-2019</w:t>
            </w:r>
          </w:p>
        </w:tc>
        <w:tc>
          <w:tcPr>
            <w:tcW w:w="1701" w:type="dxa"/>
            <w:noWrap/>
            <w:vAlign w:val="center"/>
          </w:tcPr>
          <w:p w14:paraId="7009A24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装置区四周</w:t>
            </w:r>
            <w:r>
              <w:rPr>
                <w:rFonts w:ascii="Times New Roman" w:eastAsia="宋体" w:hAnsi="Times New Roman" w:cs="Times New Roman"/>
                <w:kern w:val="0"/>
                <w:szCs w:val="21"/>
              </w:rPr>
              <w:t>)</w:t>
            </w:r>
          </w:p>
        </w:tc>
        <w:tc>
          <w:tcPr>
            <w:tcW w:w="1042" w:type="dxa"/>
            <w:vMerge/>
            <w:noWrap/>
            <w:vAlign w:val="center"/>
          </w:tcPr>
          <w:p w14:paraId="3CA25E1F" w14:textId="77777777" w:rsidR="002133E3" w:rsidRDefault="002133E3">
            <w:pPr>
              <w:widowControl/>
              <w:jc w:val="center"/>
              <w:rPr>
                <w:rFonts w:ascii="Times New Roman" w:eastAsia="宋体" w:hAnsi="Times New Roman" w:cs="Times New Roman"/>
                <w:color w:val="000000"/>
                <w:kern w:val="0"/>
                <w:szCs w:val="21"/>
              </w:rPr>
            </w:pPr>
          </w:p>
        </w:tc>
      </w:tr>
      <w:tr w:rsidR="002133E3" w14:paraId="6B79970D" w14:textId="77777777">
        <w:trPr>
          <w:trHeight w:val="227"/>
          <w:jc w:val="center"/>
        </w:trPr>
        <w:tc>
          <w:tcPr>
            <w:tcW w:w="3880" w:type="dxa"/>
            <w:gridSpan w:val="4"/>
            <w:vMerge w:val="restart"/>
            <w:noWrap/>
            <w:vAlign w:val="center"/>
          </w:tcPr>
          <w:p w14:paraId="25BA6D0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无组织排放合计</w:t>
            </w:r>
          </w:p>
        </w:tc>
        <w:tc>
          <w:tcPr>
            <w:tcW w:w="3118" w:type="dxa"/>
            <w:gridSpan w:val="2"/>
            <w:vAlign w:val="center"/>
          </w:tcPr>
          <w:p w14:paraId="7BF5A870"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乙醇</w:t>
            </w:r>
          </w:p>
        </w:tc>
        <w:tc>
          <w:tcPr>
            <w:tcW w:w="2743" w:type="dxa"/>
            <w:gridSpan w:val="2"/>
            <w:noWrap/>
            <w:vAlign w:val="center"/>
          </w:tcPr>
          <w:p w14:paraId="1A4BDD68"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0.0514</w:t>
            </w:r>
          </w:p>
        </w:tc>
      </w:tr>
      <w:tr w:rsidR="002133E3" w14:paraId="666FF020" w14:textId="77777777">
        <w:trPr>
          <w:trHeight w:val="227"/>
          <w:jc w:val="center"/>
        </w:trPr>
        <w:tc>
          <w:tcPr>
            <w:tcW w:w="3880" w:type="dxa"/>
            <w:gridSpan w:val="4"/>
            <w:vMerge/>
            <w:noWrap/>
            <w:vAlign w:val="center"/>
          </w:tcPr>
          <w:p w14:paraId="32A4B75F" w14:textId="77777777" w:rsidR="002133E3" w:rsidRDefault="002133E3">
            <w:pPr>
              <w:widowControl/>
              <w:jc w:val="center"/>
              <w:rPr>
                <w:rFonts w:ascii="Times New Roman" w:eastAsia="宋体" w:hAnsi="Times New Roman" w:cs="Times New Roman"/>
                <w:color w:val="000000"/>
                <w:kern w:val="0"/>
                <w:szCs w:val="21"/>
              </w:rPr>
            </w:pPr>
          </w:p>
        </w:tc>
        <w:tc>
          <w:tcPr>
            <w:tcW w:w="3118" w:type="dxa"/>
            <w:gridSpan w:val="2"/>
            <w:vAlign w:val="center"/>
          </w:tcPr>
          <w:p w14:paraId="741B95D8"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挥发性有机物</w:t>
            </w:r>
          </w:p>
        </w:tc>
        <w:tc>
          <w:tcPr>
            <w:tcW w:w="2743" w:type="dxa"/>
            <w:gridSpan w:val="2"/>
            <w:noWrap/>
            <w:vAlign w:val="center"/>
          </w:tcPr>
          <w:p w14:paraId="6150739B"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0.0514</w:t>
            </w:r>
          </w:p>
        </w:tc>
      </w:tr>
    </w:tbl>
    <w:p w14:paraId="6F5BEE43" w14:textId="77777777" w:rsidR="002133E3" w:rsidRDefault="00C22CFA">
      <w:pPr>
        <w:adjustRightInd w:val="0"/>
        <w:snapToGrid w:val="0"/>
        <w:spacing w:line="500" w:lineRule="exact"/>
        <w:jc w:val="left"/>
        <w:rPr>
          <w:rFonts w:ascii="Times New Roman" w:eastAsia="宋体" w:hAnsi="Times New Roman" w:cs="Times New Roman"/>
          <w:color w:val="000000"/>
          <w:kern w:val="0"/>
          <w:szCs w:val="21"/>
        </w:rPr>
      </w:pPr>
      <w:r>
        <w:rPr>
          <w:rFonts w:ascii="Times New Roman" w:eastAsia="宋体" w:hAnsi="Times New Roman" w:cs="Times New Roman"/>
          <w:b/>
          <w:szCs w:val="21"/>
        </w:rPr>
        <w:t>注：</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参照执行挥发性有机物标准。</w:t>
      </w:r>
    </w:p>
    <w:p w14:paraId="34D07D19" w14:textId="77777777" w:rsidR="002133E3" w:rsidRDefault="00C22CFA">
      <w:pPr>
        <w:spacing w:line="520" w:lineRule="exact"/>
        <w:ind w:firstLine="560"/>
        <w:rPr>
          <w:rFonts w:ascii="Times New Roman" w:eastAsia="宋体" w:hAnsi="Times New Roman" w:cs="Times New Roman"/>
          <w:sz w:val="28"/>
          <w:szCs w:val="28"/>
        </w:rPr>
      </w:pPr>
      <w:r>
        <w:rPr>
          <w:rFonts w:ascii="Times New Roman" w:eastAsia="宋体" w:hAnsi="Times New Roman" w:cs="Times New Roman"/>
          <w:sz w:val="28"/>
          <w:szCs w:val="28"/>
        </w:rPr>
        <w:t>(3)</w:t>
      </w:r>
      <w:r>
        <w:rPr>
          <w:rFonts w:ascii="Times New Roman" w:eastAsia="宋体" w:hAnsi="Times New Roman" w:cs="Times New Roman"/>
          <w:sz w:val="28"/>
          <w:szCs w:val="28"/>
        </w:rPr>
        <w:t>年排放量核算</w:t>
      </w:r>
    </w:p>
    <w:p w14:paraId="3D5BEC31"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6.2-18  </w:t>
      </w:r>
      <w:r>
        <w:rPr>
          <w:rFonts w:ascii="Times New Roman" w:eastAsia="宋体" w:hAnsi="Times New Roman" w:cs="Times New Roman"/>
          <w:b/>
          <w:sz w:val="24"/>
          <w:szCs w:val="24"/>
        </w:rPr>
        <w:t>大气污染物年排放量核算表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5"/>
        <w:gridCol w:w="2140"/>
        <w:gridCol w:w="2357"/>
        <w:gridCol w:w="1786"/>
        <w:gridCol w:w="1786"/>
      </w:tblGrid>
      <w:tr w:rsidR="002133E3" w14:paraId="0D794B81" w14:textId="77777777">
        <w:trPr>
          <w:trHeight w:val="227"/>
          <w:jc w:val="center"/>
        </w:trPr>
        <w:tc>
          <w:tcPr>
            <w:tcW w:w="906" w:type="pct"/>
            <w:vAlign w:val="center"/>
          </w:tcPr>
          <w:p w14:paraId="0A80F1E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1086" w:type="pct"/>
            <w:vAlign w:val="center"/>
          </w:tcPr>
          <w:p w14:paraId="0FCD56E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w:t>
            </w:r>
          </w:p>
        </w:tc>
        <w:tc>
          <w:tcPr>
            <w:tcW w:w="1196" w:type="pct"/>
            <w:vAlign w:val="center"/>
          </w:tcPr>
          <w:p w14:paraId="538ACA6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有组织</w:t>
            </w:r>
            <w:r>
              <w:rPr>
                <w:rFonts w:ascii="Times New Roman" w:eastAsia="宋体" w:hAnsi="Times New Roman" w:cs="Times New Roman"/>
                <w:b/>
                <w:bCs/>
                <w:color w:val="000000"/>
                <w:kern w:val="0"/>
                <w:szCs w:val="21"/>
              </w:rPr>
              <w:t>(t/a)</w:t>
            </w:r>
          </w:p>
        </w:tc>
        <w:tc>
          <w:tcPr>
            <w:tcW w:w="906" w:type="pct"/>
            <w:vAlign w:val="center"/>
          </w:tcPr>
          <w:p w14:paraId="0E83DB5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无组织</w:t>
            </w:r>
            <w:r>
              <w:rPr>
                <w:rFonts w:ascii="Times New Roman" w:eastAsia="宋体" w:hAnsi="Times New Roman" w:cs="Times New Roman"/>
                <w:b/>
                <w:bCs/>
                <w:color w:val="000000"/>
                <w:kern w:val="0"/>
                <w:szCs w:val="21"/>
              </w:rPr>
              <w:t>(t/a)</w:t>
            </w:r>
          </w:p>
        </w:tc>
        <w:tc>
          <w:tcPr>
            <w:tcW w:w="906" w:type="pct"/>
            <w:vAlign w:val="center"/>
          </w:tcPr>
          <w:p w14:paraId="7383419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年排放量</w:t>
            </w:r>
            <w:r>
              <w:rPr>
                <w:rFonts w:ascii="Times New Roman" w:eastAsia="宋体" w:hAnsi="Times New Roman" w:cs="Times New Roman"/>
                <w:b/>
                <w:bCs/>
                <w:color w:val="000000"/>
                <w:kern w:val="0"/>
                <w:szCs w:val="21"/>
              </w:rPr>
              <w:t>(t/a)</w:t>
            </w:r>
          </w:p>
        </w:tc>
      </w:tr>
      <w:tr w:rsidR="002133E3" w14:paraId="78BEFF50" w14:textId="77777777">
        <w:trPr>
          <w:trHeight w:val="227"/>
          <w:jc w:val="center"/>
        </w:trPr>
        <w:tc>
          <w:tcPr>
            <w:tcW w:w="906" w:type="pct"/>
            <w:vAlign w:val="center"/>
          </w:tcPr>
          <w:p w14:paraId="0152462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086" w:type="pct"/>
            <w:vAlign w:val="center"/>
          </w:tcPr>
          <w:p w14:paraId="4C59A859"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196" w:type="pct"/>
            <w:noWrap/>
            <w:vAlign w:val="bottom"/>
          </w:tcPr>
          <w:p w14:paraId="269C2CEF"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15.99</w:t>
            </w:r>
          </w:p>
        </w:tc>
        <w:tc>
          <w:tcPr>
            <w:tcW w:w="906" w:type="pct"/>
            <w:noWrap/>
            <w:vAlign w:val="center"/>
          </w:tcPr>
          <w:p w14:paraId="5074A085" w14:textId="77777777" w:rsidR="002133E3" w:rsidRDefault="002133E3">
            <w:pPr>
              <w:widowControl/>
              <w:jc w:val="center"/>
              <w:textAlignment w:val="center"/>
              <w:rPr>
                <w:rFonts w:ascii="Times New Roman" w:eastAsia="宋体" w:hAnsi="Times New Roman" w:cs="Times New Roman"/>
                <w:color w:val="000000"/>
                <w:kern w:val="0"/>
                <w:szCs w:val="21"/>
              </w:rPr>
            </w:pPr>
          </w:p>
        </w:tc>
        <w:tc>
          <w:tcPr>
            <w:tcW w:w="906" w:type="pct"/>
            <w:vAlign w:val="bottom"/>
          </w:tcPr>
          <w:p w14:paraId="253EE409"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15.99</w:t>
            </w:r>
          </w:p>
        </w:tc>
      </w:tr>
      <w:tr w:rsidR="002133E3" w14:paraId="3AA118A8" w14:textId="77777777">
        <w:trPr>
          <w:trHeight w:val="227"/>
          <w:jc w:val="center"/>
        </w:trPr>
        <w:tc>
          <w:tcPr>
            <w:tcW w:w="906" w:type="pct"/>
            <w:vAlign w:val="center"/>
          </w:tcPr>
          <w:p w14:paraId="52559C4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1086" w:type="pct"/>
            <w:vAlign w:val="center"/>
          </w:tcPr>
          <w:p w14:paraId="3959C961"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等线" w:hAnsi="Times New Roman" w:cs="Times New Roman"/>
                <w:kern w:val="0"/>
                <w:szCs w:val="21"/>
              </w:rPr>
              <w:t>CO</w:t>
            </w:r>
            <w:r>
              <w:rPr>
                <w:rFonts w:ascii="Times New Roman" w:eastAsia="等线" w:hAnsi="Times New Roman" w:cs="Times New Roman"/>
                <w:kern w:val="0"/>
                <w:szCs w:val="21"/>
                <w:vertAlign w:val="subscript"/>
              </w:rPr>
              <w:t>2</w:t>
            </w:r>
          </w:p>
        </w:tc>
        <w:tc>
          <w:tcPr>
            <w:tcW w:w="1196" w:type="pct"/>
            <w:noWrap/>
            <w:vAlign w:val="center"/>
          </w:tcPr>
          <w:p w14:paraId="448F69CD"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91962.83 </w:t>
            </w:r>
          </w:p>
        </w:tc>
        <w:tc>
          <w:tcPr>
            <w:tcW w:w="906" w:type="pct"/>
            <w:noWrap/>
            <w:vAlign w:val="center"/>
          </w:tcPr>
          <w:p w14:paraId="4CDAB5F6" w14:textId="77777777" w:rsidR="002133E3" w:rsidRDefault="002133E3">
            <w:pPr>
              <w:widowControl/>
              <w:jc w:val="center"/>
              <w:textAlignment w:val="center"/>
              <w:rPr>
                <w:rFonts w:ascii="Times New Roman" w:eastAsia="宋体" w:hAnsi="Times New Roman" w:cs="Times New Roman"/>
                <w:color w:val="000000"/>
                <w:kern w:val="0"/>
                <w:szCs w:val="21"/>
              </w:rPr>
            </w:pPr>
          </w:p>
        </w:tc>
        <w:tc>
          <w:tcPr>
            <w:tcW w:w="906" w:type="pct"/>
            <w:vAlign w:val="center"/>
          </w:tcPr>
          <w:p w14:paraId="7D838C0F"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 xml:space="preserve">91962.83 </w:t>
            </w:r>
          </w:p>
        </w:tc>
      </w:tr>
      <w:tr w:rsidR="002133E3" w14:paraId="3938122C" w14:textId="77777777">
        <w:trPr>
          <w:trHeight w:val="227"/>
          <w:jc w:val="center"/>
        </w:trPr>
        <w:tc>
          <w:tcPr>
            <w:tcW w:w="906" w:type="pct"/>
            <w:vAlign w:val="center"/>
          </w:tcPr>
          <w:p w14:paraId="513BAC9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1086" w:type="pct"/>
            <w:noWrap/>
            <w:vAlign w:val="center"/>
          </w:tcPr>
          <w:p w14:paraId="7958E23C"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1196" w:type="pct"/>
            <w:noWrap/>
            <w:vAlign w:val="center"/>
          </w:tcPr>
          <w:p w14:paraId="61EC1FA4"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1.76</w:t>
            </w:r>
          </w:p>
        </w:tc>
        <w:tc>
          <w:tcPr>
            <w:tcW w:w="906" w:type="pct"/>
            <w:noWrap/>
            <w:vAlign w:val="center"/>
          </w:tcPr>
          <w:p w14:paraId="3A86BC8E"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0.0514</w:t>
            </w:r>
          </w:p>
        </w:tc>
        <w:tc>
          <w:tcPr>
            <w:tcW w:w="906" w:type="pct"/>
            <w:vAlign w:val="center"/>
          </w:tcPr>
          <w:p w14:paraId="5DFC7597"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1.8114</w:t>
            </w:r>
          </w:p>
        </w:tc>
      </w:tr>
      <w:tr w:rsidR="002133E3" w14:paraId="16966AF8" w14:textId="77777777">
        <w:trPr>
          <w:trHeight w:val="227"/>
          <w:jc w:val="center"/>
        </w:trPr>
        <w:tc>
          <w:tcPr>
            <w:tcW w:w="906" w:type="pct"/>
            <w:vAlign w:val="center"/>
          </w:tcPr>
          <w:p w14:paraId="371E068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1086" w:type="pct"/>
            <w:noWrap/>
            <w:vAlign w:val="center"/>
          </w:tcPr>
          <w:p w14:paraId="15EDACD5"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甲醇</w:t>
            </w:r>
            <w:r>
              <w:rPr>
                <w:rFonts w:ascii="Times New Roman" w:eastAsia="等线" w:hAnsi="Times New Roman" w:cs="Times New Roman"/>
                <w:kern w:val="0"/>
                <w:szCs w:val="21"/>
              </w:rPr>
              <w:t>/</w:t>
            </w:r>
            <w:r>
              <w:rPr>
                <w:rFonts w:ascii="Times New Roman" w:eastAsia="宋体" w:hAnsi="Times New Roman" w:cs="Times New Roman"/>
                <w:kern w:val="0"/>
                <w:szCs w:val="21"/>
              </w:rPr>
              <w:t>醛等</w:t>
            </w:r>
          </w:p>
        </w:tc>
        <w:tc>
          <w:tcPr>
            <w:tcW w:w="1196" w:type="pct"/>
            <w:noWrap/>
            <w:vAlign w:val="center"/>
          </w:tcPr>
          <w:p w14:paraId="5A0C32E8"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0.06</w:t>
            </w:r>
          </w:p>
        </w:tc>
        <w:tc>
          <w:tcPr>
            <w:tcW w:w="906" w:type="pct"/>
            <w:noWrap/>
            <w:vAlign w:val="center"/>
          </w:tcPr>
          <w:p w14:paraId="2109CBB8" w14:textId="77777777" w:rsidR="002133E3" w:rsidRDefault="002133E3">
            <w:pPr>
              <w:widowControl/>
              <w:jc w:val="center"/>
              <w:textAlignment w:val="center"/>
              <w:rPr>
                <w:rFonts w:ascii="Times New Roman" w:eastAsia="宋体" w:hAnsi="Times New Roman" w:cs="Times New Roman"/>
                <w:color w:val="000000"/>
                <w:kern w:val="0"/>
                <w:szCs w:val="21"/>
              </w:rPr>
            </w:pPr>
          </w:p>
        </w:tc>
        <w:tc>
          <w:tcPr>
            <w:tcW w:w="906" w:type="pct"/>
            <w:vAlign w:val="center"/>
          </w:tcPr>
          <w:p w14:paraId="0FD918BB"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0.06</w:t>
            </w:r>
          </w:p>
        </w:tc>
      </w:tr>
      <w:tr w:rsidR="002133E3" w14:paraId="5B3DDE37" w14:textId="77777777">
        <w:trPr>
          <w:trHeight w:val="227"/>
          <w:jc w:val="center"/>
        </w:trPr>
        <w:tc>
          <w:tcPr>
            <w:tcW w:w="906" w:type="pct"/>
            <w:vAlign w:val="center"/>
          </w:tcPr>
          <w:p w14:paraId="239265F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1086" w:type="pct"/>
            <w:vAlign w:val="center"/>
          </w:tcPr>
          <w:p w14:paraId="425D8AB8"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挥发性有机物</w:t>
            </w:r>
          </w:p>
        </w:tc>
        <w:tc>
          <w:tcPr>
            <w:tcW w:w="1196" w:type="pct"/>
            <w:noWrap/>
            <w:vAlign w:val="center"/>
          </w:tcPr>
          <w:p w14:paraId="199F8937"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1.81</w:t>
            </w:r>
          </w:p>
        </w:tc>
        <w:tc>
          <w:tcPr>
            <w:tcW w:w="906" w:type="pct"/>
            <w:noWrap/>
            <w:vAlign w:val="center"/>
          </w:tcPr>
          <w:p w14:paraId="185FCAB1"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0.0514</w:t>
            </w:r>
          </w:p>
        </w:tc>
        <w:tc>
          <w:tcPr>
            <w:tcW w:w="906" w:type="pct"/>
            <w:vAlign w:val="center"/>
          </w:tcPr>
          <w:p w14:paraId="2DEF9542" w14:textId="77777777" w:rsidR="002133E3" w:rsidRDefault="00C22CFA">
            <w:pPr>
              <w:widowControl/>
              <w:jc w:val="center"/>
              <w:textAlignment w:val="center"/>
              <w:rPr>
                <w:rFonts w:ascii="Times New Roman" w:eastAsia="宋体" w:hAnsi="Times New Roman" w:cs="Times New Roman"/>
                <w:color w:val="000000"/>
                <w:kern w:val="0"/>
                <w:szCs w:val="21"/>
              </w:rPr>
            </w:pPr>
            <w:r>
              <w:rPr>
                <w:rFonts w:ascii="Times New Roman" w:eastAsia="等线" w:hAnsi="Times New Roman" w:cs="Times New Roman"/>
                <w:szCs w:val="21"/>
              </w:rPr>
              <w:t>1.8614</w:t>
            </w:r>
          </w:p>
        </w:tc>
      </w:tr>
    </w:tbl>
    <w:p w14:paraId="6F82CAA1" w14:textId="77777777" w:rsidR="002133E3" w:rsidRDefault="00C22CFA">
      <w:pPr>
        <w:spacing w:line="520" w:lineRule="exact"/>
        <w:ind w:firstLine="560"/>
        <w:rPr>
          <w:rFonts w:ascii="Times New Roman" w:eastAsia="宋体" w:hAnsi="Times New Roman" w:cs="Times New Roman"/>
          <w:sz w:val="28"/>
          <w:szCs w:val="28"/>
        </w:rPr>
      </w:pPr>
      <w:r>
        <w:rPr>
          <w:rFonts w:ascii="Times New Roman" w:eastAsia="宋体" w:hAnsi="Times New Roman" w:cs="Times New Roman"/>
          <w:sz w:val="28"/>
          <w:szCs w:val="28"/>
        </w:rPr>
        <w:t>(4)</w:t>
      </w:r>
      <w:r>
        <w:rPr>
          <w:rFonts w:ascii="Times New Roman" w:eastAsia="宋体" w:hAnsi="Times New Roman" w:cs="Times New Roman"/>
          <w:sz w:val="28"/>
          <w:szCs w:val="28"/>
        </w:rPr>
        <w:t>非正常排放核算</w:t>
      </w:r>
    </w:p>
    <w:p w14:paraId="07A47CDA"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6.2-19  </w:t>
      </w:r>
      <w:r>
        <w:rPr>
          <w:rFonts w:ascii="Times New Roman" w:eastAsia="宋体" w:hAnsi="Times New Roman" w:cs="Times New Roman"/>
          <w:b/>
          <w:sz w:val="24"/>
          <w:szCs w:val="24"/>
        </w:rPr>
        <w:t>污染源非正常排放量核算表</w:t>
      </w:r>
    </w:p>
    <w:tbl>
      <w:tblPr>
        <w:tblW w:w="5000" w:type="pct"/>
        <w:jc w:val="center"/>
        <w:tblLook w:val="04A0" w:firstRow="1" w:lastRow="0" w:firstColumn="1" w:lastColumn="0" w:noHBand="0" w:noVBand="1"/>
      </w:tblPr>
      <w:tblGrid>
        <w:gridCol w:w="432"/>
        <w:gridCol w:w="814"/>
        <w:gridCol w:w="1133"/>
        <w:gridCol w:w="1557"/>
        <w:gridCol w:w="1559"/>
        <w:gridCol w:w="1417"/>
        <w:gridCol w:w="1135"/>
        <w:gridCol w:w="993"/>
        <w:gridCol w:w="814"/>
      </w:tblGrid>
      <w:tr w:rsidR="002133E3" w14:paraId="10DEBCA7" w14:textId="77777777">
        <w:trPr>
          <w:trHeight w:val="567"/>
          <w:jc w:val="center"/>
        </w:trPr>
        <w:tc>
          <w:tcPr>
            <w:tcW w:w="219" w:type="pct"/>
            <w:tcBorders>
              <w:top w:val="single" w:sz="4" w:space="0" w:color="auto"/>
              <w:left w:val="single" w:sz="4" w:space="0" w:color="auto"/>
              <w:bottom w:val="single" w:sz="4" w:space="0" w:color="auto"/>
              <w:right w:val="single" w:sz="4" w:space="0" w:color="auto"/>
            </w:tcBorders>
            <w:vAlign w:val="center"/>
          </w:tcPr>
          <w:p w14:paraId="4C565C2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413" w:type="pct"/>
            <w:tcBorders>
              <w:top w:val="single" w:sz="4" w:space="0" w:color="auto"/>
              <w:left w:val="nil"/>
              <w:bottom w:val="single" w:sz="4" w:space="0" w:color="auto"/>
              <w:right w:val="single" w:sz="4" w:space="0" w:color="auto"/>
            </w:tcBorders>
            <w:vAlign w:val="center"/>
          </w:tcPr>
          <w:p w14:paraId="2819733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污染源</w:t>
            </w:r>
          </w:p>
        </w:tc>
        <w:tc>
          <w:tcPr>
            <w:tcW w:w="575" w:type="pct"/>
            <w:tcBorders>
              <w:top w:val="single" w:sz="4" w:space="0" w:color="auto"/>
              <w:left w:val="nil"/>
              <w:bottom w:val="single" w:sz="4" w:space="0" w:color="auto"/>
              <w:right w:val="single" w:sz="4" w:space="0" w:color="auto"/>
            </w:tcBorders>
            <w:vAlign w:val="center"/>
          </w:tcPr>
          <w:p w14:paraId="73670B2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非正常排放原因</w:t>
            </w:r>
          </w:p>
        </w:tc>
        <w:tc>
          <w:tcPr>
            <w:tcW w:w="790" w:type="pct"/>
            <w:tcBorders>
              <w:top w:val="single" w:sz="4" w:space="0" w:color="auto"/>
              <w:left w:val="nil"/>
              <w:bottom w:val="single" w:sz="4" w:space="0" w:color="auto"/>
              <w:right w:val="single" w:sz="4" w:space="0" w:color="auto"/>
            </w:tcBorders>
            <w:vAlign w:val="center"/>
          </w:tcPr>
          <w:p w14:paraId="5322E99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w:t>
            </w:r>
          </w:p>
        </w:tc>
        <w:tc>
          <w:tcPr>
            <w:tcW w:w="791" w:type="pct"/>
            <w:tcBorders>
              <w:top w:val="single" w:sz="4" w:space="0" w:color="auto"/>
              <w:left w:val="nil"/>
              <w:bottom w:val="single" w:sz="4" w:space="0" w:color="auto"/>
              <w:right w:val="single" w:sz="4" w:space="0" w:color="auto"/>
            </w:tcBorders>
            <w:vAlign w:val="center"/>
          </w:tcPr>
          <w:p w14:paraId="7D6963A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非正常排放浓度</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 xml:space="preserve">) </w:t>
            </w:r>
          </w:p>
        </w:tc>
        <w:tc>
          <w:tcPr>
            <w:tcW w:w="719" w:type="pct"/>
            <w:tcBorders>
              <w:top w:val="single" w:sz="4" w:space="0" w:color="auto"/>
              <w:left w:val="nil"/>
              <w:bottom w:val="single" w:sz="4" w:space="0" w:color="auto"/>
              <w:right w:val="single" w:sz="4" w:space="0" w:color="auto"/>
            </w:tcBorders>
            <w:vAlign w:val="center"/>
          </w:tcPr>
          <w:p w14:paraId="4F22122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非正常排放速率</w:t>
            </w:r>
            <w:r>
              <w:rPr>
                <w:rFonts w:ascii="Times New Roman" w:eastAsia="宋体" w:hAnsi="Times New Roman" w:cs="Times New Roman"/>
                <w:b/>
                <w:bCs/>
                <w:kern w:val="0"/>
                <w:szCs w:val="21"/>
              </w:rPr>
              <w:t>/(kg/h)</w:t>
            </w:r>
          </w:p>
        </w:tc>
        <w:tc>
          <w:tcPr>
            <w:tcW w:w="576" w:type="pct"/>
            <w:tcBorders>
              <w:top w:val="single" w:sz="4" w:space="0" w:color="auto"/>
              <w:left w:val="nil"/>
              <w:bottom w:val="single" w:sz="4" w:space="0" w:color="auto"/>
              <w:right w:val="single" w:sz="4" w:space="0" w:color="auto"/>
            </w:tcBorders>
            <w:vAlign w:val="center"/>
          </w:tcPr>
          <w:p w14:paraId="691E690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单次持续时间</w:t>
            </w:r>
            <w:r>
              <w:rPr>
                <w:rFonts w:ascii="Times New Roman" w:eastAsia="宋体" w:hAnsi="Times New Roman" w:cs="Times New Roman"/>
                <w:b/>
                <w:bCs/>
                <w:kern w:val="0"/>
                <w:szCs w:val="21"/>
              </w:rPr>
              <w:t xml:space="preserve">/h </w:t>
            </w:r>
          </w:p>
        </w:tc>
        <w:tc>
          <w:tcPr>
            <w:tcW w:w="504" w:type="pct"/>
            <w:tcBorders>
              <w:top w:val="single" w:sz="4" w:space="0" w:color="auto"/>
              <w:left w:val="nil"/>
              <w:bottom w:val="single" w:sz="4" w:space="0" w:color="auto"/>
              <w:right w:val="single" w:sz="4" w:space="0" w:color="auto"/>
            </w:tcBorders>
            <w:vAlign w:val="center"/>
          </w:tcPr>
          <w:p w14:paraId="4EAF569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年发生频次</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次</w:t>
            </w:r>
          </w:p>
        </w:tc>
        <w:tc>
          <w:tcPr>
            <w:tcW w:w="413" w:type="pct"/>
            <w:tcBorders>
              <w:top w:val="single" w:sz="4" w:space="0" w:color="auto"/>
              <w:left w:val="nil"/>
              <w:bottom w:val="single" w:sz="4" w:space="0" w:color="auto"/>
              <w:right w:val="single" w:sz="4" w:space="0" w:color="auto"/>
            </w:tcBorders>
            <w:vAlign w:val="center"/>
          </w:tcPr>
          <w:p w14:paraId="3799585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应对措施</w:t>
            </w:r>
          </w:p>
        </w:tc>
      </w:tr>
      <w:tr w:rsidR="002133E3" w14:paraId="6B0C795F" w14:textId="77777777">
        <w:trPr>
          <w:trHeight w:val="567"/>
          <w:jc w:val="center"/>
        </w:trPr>
        <w:tc>
          <w:tcPr>
            <w:tcW w:w="219" w:type="pct"/>
            <w:tcBorders>
              <w:top w:val="single" w:sz="4" w:space="0" w:color="auto"/>
              <w:left w:val="single" w:sz="4" w:space="0" w:color="auto"/>
              <w:bottom w:val="single" w:sz="4" w:space="0" w:color="auto"/>
              <w:right w:val="single" w:sz="4" w:space="0" w:color="auto"/>
            </w:tcBorders>
            <w:vAlign w:val="center"/>
          </w:tcPr>
          <w:p w14:paraId="4BF80B3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1</w:t>
            </w:r>
          </w:p>
        </w:tc>
        <w:tc>
          <w:tcPr>
            <w:tcW w:w="413" w:type="pct"/>
            <w:tcBorders>
              <w:top w:val="single" w:sz="4" w:space="0" w:color="auto"/>
              <w:left w:val="nil"/>
              <w:bottom w:val="single" w:sz="4" w:space="0" w:color="auto"/>
              <w:right w:val="single" w:sz="4" w:space="0" w:color="auto"/>
            </w:tcBorders>
            <w:vAlign w:val="center"/>
          </w:tcPr>
          <w:p w14:paraId="05D4025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color w:val="000000"/>
                <w:kern w:val="0"/>
                <w:szCs w:val="21"/>
              </w:rPr>
              <w:t>3#</w:t>
            </w:r>
          </w:p>
        </w:tc>
        <w:tc>
          <w:tcPr>
            <w:tcW w:w="575" w:type="pct"/>
            <w:tcBorders>
              <w:top w:val="single" w:sz="4" w:space="0" w:color="auto"/>
              <w:left w:val="nil"/>
              <w:bottom w:val="single" w:sz="4" w:space="0" w:color="auto"/>
              <w:right w:val="single" w:sz="4" w:space="0" w:color="auto"/>
            </w:tcBorders>
            <w:vAlign w:val="center"/>
          </w:tcPr>
          <w:p w14:paraId="3169D17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szCs w:val="21"/>
                <w:shd w:val="clear" w:color="auto" w:fill="FFFFFF"/>
              </w:rPr>
              <w:t>废气处理装置故障</w:t>
            </w:r>
          </w:p>
        </w:tc>
        <w:tc>
          <w:tcPr>
            <w:tcW w:w="790" w:type="pct"/>
            <w:tcBorders>
              <w:top w:val="single" w:sz="4" w:space="0" w:color="auto"/>
              <w:left w:val="nil"/>
              <w:bottom w:val="single" w:sz="4" w:space="0" w:color="auto"/>
              <w:right w:val="single" w:sz="4" w:space="0" w:color="auto"/>
            </w:tcBorders>
            <w:vAlign w:val="center"/>
          </w:tcPr>
          <w:p w14:paraId="4396901C"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粉尘</w:t>
            </w:r>
          </w:p>
        </w:tc>
        <w:tc>
          <w:tcPr>
            <w:tcW w:w="791" w:type="pct"/>
            <w:tcBorders>
              <w:top w:val="single" w:sz="4" w:space="0" w:color="auto"/>
              <w:left w:val="nil"/>
              <w:bottom w:val="single" w:sz="4" w:space="0" w:color="auto"/>
              <w:right w:val="single" w:sz="4" w:space="0" w:color="auto"/>
            </w:tcBorders>
            <w:vAlign w:val="center"/>
          </w:tcPr>
          <w:p w14:paraId="02236B00"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1234.6</w:t>
            </w:r>
          </w:p>
        </w:tc>
        <w:tc>
          <w:tcPr>
            <w:tcW w:w="719" w:type="pct"/>
            <w:tcBorders>
              <w:top w:val="single" w:sz="4" w:space="0" w:color="auto"/>
              <w:left w:val="nil"/>
              <w:bottom w:val="single" w:sz="4" w:space="0" w:color="auto"/>
              <w:right w:val="single" w:sz="4" w:space="0" w:color="auto"/>
            </w:tcBorders>
            <w:vAlign w:val="center"/>
          </w:tcPr>
          <w:p w14:paraId="23CC96E6"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74.07</w:t>
            </w:r>
          </w:p>
        </w:tc>
        <w:tc>
          <w:tcPr>
            <w:tcW w:w="576" w:type="pct"/>
            <w:tcBorders>
              <w:top w:val="single" w:sz="4" w:space="0" w:color="auto"/>
              <w:left w:val="nil"/>
              <w:bottom w:val="single" w:sz="4" w:space="0" w:color="auto"/>
              <w:right w:val="single" w:sz="4" w:space="0" w:color="auto"/>
            </w:tcBorders>
            <w:vAlign w:val="center"/>
          </w:tcPr>
          <w:p w14:paraId="7AC5BC5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0.5</w:t>
            </w:r>
          </w:p>
        </w:tc>
        <w:tc>
          <w:tcPr>
            <w:tcW w:w="504" w:type="pct"/>
            <w:tcBorders>
              <w:top w:val="single" w:sz="4" w:space="0" w:color="auto"/>
              <w:left w:val="nil"/>
              <w:bottom w:val="single" w:sz="4" w:space="0" w:color="auto"/>
              <w:right w:val="single" w:sz="4" w:space="0" w:color="auto"/>
            </w:tcBorders>
            <w:vAlign w:val="center"/>
          </w:tcPr>
          <w:p w14:paraId="0ED81F3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shd w:val="clear" w:color="auto" w:fill="FFFFFF"/>
              </w:rPr>
              <w:t>1</w:t>
            </w:r>
          </w:p>
        </w:tc>
        <w:tc>
          <w:tcPr>
            <w:tcW w:w="413" w:type="pct"/>
            <w:tcBorders>
              <w:top w:val="single" w:sz="4" w:space="0" w:color="auto"/>
              <w:left w:val="nil"/>
              <w:bottom w:val="single" w:sz="4" w:space="0" w:color="auto"/>
              <w:right w:val="single" w:sz="4" w:space="0" w:color="auto"/>
            </w:tcBorders>
            <w:vAlign w:val="center"/>
          </w:tcPr>
          <w:p w14:paraId="14325C5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Cs/>
                <w:szCs w:val="21"/>
              </w:rPr>
              <w:t>停工整修</w:t>
            </w:r>
          </w:p>
        </w:tc>
      </w:tr>
      <w:tr w:rsidR="002133E3" w14:paraId="2D82A9FF" w14:textId="77777777">
        <w:trPr>
          <w:trHeight w:val="567"/>
          <w:jc w:val="center"/>
        </w:trPr>
        <w:tc>
          <w:tcPr>
            <w:tcW w:w="219" w:type="pct"/>
            <w:tcBorders>
              <w:top w:val="single" w:sz="4" w:space="0" w:color="auto"/>
              <w:left w:val="single" w:sz="4" w:space="0" w:color="auto"/>
              <w:bottom w:val="single" w:sz="4" w:space="0" w:color="auto"/>
              <w:right w:val="single" w:sz="4" w:space="0" w:color="auto"/>
            </w:tcBorders>
            <w:vAlign w:val="center"/>
          </w:tcPr>
          <w:p w14:paraId="58992B9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2</w:t>
            </w:r>
          </w:p>
        </w:tc>
        <w:tc>
          <w:tcPr>
            <w:tcW w:w="413" w:type="pct"/>
            <w:tcBorders>
              <w:top w:val="single" w:sz="4" w:space="0" w:color="auto"/>
              <w:left w:val="nil"/>
              <w:bottom w:val="single" w:sz="4" w:space="0" w:color="auto"/>
              <w:right w:val="single" w:sz="4" w:space="0" w:color="auto"/>
            </w:tcBorders>
            <w:vAlign w:val="center"/>
          </w:tcPr>
          <w:p w14:paraId="072955D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color w:val="000000"/>
                <w:kern w:val="0"/>
                <w:szCs w:val="21"/>
              </w:rPr>
              <w:t>4#</w:t>
            </w:r>
          </w:p>
        </w:tc>
        <w:tc>
          <w:tcPr>
            <w:tcW w:w="575" w:type="pct"/>
            <w:tcBorders>
              <w:top w:val="single" w:sz="4" w:space="0" w:color="auto"/>
              <w:left w:val="nil"/>
              <w:bottom w:val="single" w:sz="4" w:space="0" w:color="auto"/>
              <w:right w:val="single" w:sz="4" w:space="0" w:color="auto"/>
            </w:tcBorders>
            <w:vAlign w:val="center"/>
          </w:tcPr>
          <w:p w14:paraId="57CEA56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szCs w:val="21"/>
                <w:shd w:val="clear" w:color="auto" w:fill="FFFFFF"/>
              </w:rPr>
              <w:t>废气处理装置故障</w:t>
            </w:r>
          </w:p>
        </w:tc>
        <w:tc>
          <w:tcPr>
            <w:tcW w:w="790" w:type="pct"/>
            <w:tcBorders>
              <w:top w:val="single" w:sz="4" w:space="0" w:color="auto"/>
              <w:left w:val="nil"/>
              <w:bottom w:val="single" w:sz="4" w:space="0" w:color="auto"/>
              <w:right w:val="single" w:sz="4" w:space="0" w:color="auto"/>
            </w:tcBorders>
            <w:vAlign w:val="center"/>
          </w:tcPr>
          <w:p w14:paraId="2DABE57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粉尘</w:t>
            </w:r>
          </w:p>
        </w:tc>
        <w:tc>
          <w:tcPr>
            <w:tcW w:w="791" w:type="pct"/>
            <w:tcBorders>
              <w:top w:val="single" w:sz="4" w:space="0" w:color="auto"/>
              <w:left w:val="nil"/>
              <w:bottom w:val="single" w:sz="4" w:space="0" w:color="auto"/>
              <w:right w:val="single" w:sz="4" w:space="0" w:color="auto"/>
            </w:tcBorders>
            <w:vAlign w:val="center"/>
          </w:tcPr>
          <w:p w14:paraId="368DDA0C"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1234.6</w:t>
            </w:r>
          </w:p>
        </w:tc>
        <w:tc>
          <w:tcPr>
            <w:tcW w:w="719" w:type="pct"/>
            <w:tcBorders>
              <w:top w:val="single" w:sz="4" w:space="0" w:color="auto"/>
              <w:left w:val="nil"/>
              <w:bottom w:val="single" w:sz="4" w:space="0" w:color="auto"/>
              <w:right w:val="single" w:sz="4" w:space="0" w:color="auto"/>
            </w:tcBorders>
            <w:vAlign w:val="center"/>
          </w:tcPr>
          <w:p w14:paraId="7AF2C876"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74.07</w:t>
            </w:r>
          </w:p>
        </w:tc>
        <w:tc>
          <w:tcPr>
            <w:tcW w:w="576" w:type="pct"/>
            <w:tcBorders>
              <w:top w:val="single" w:sz="4" w:space="0" w:color="auto"/>
              <w:left w:val="nil"/>
              <w:bottom w:val="single" w:sz="4" w:space="0" w:color="auto"/>
              <w:right w:val="single" w:sz="4" w:space="0" w:color="auto"/>
            </w:tcBorders>
            <w:vAlign w:val="center"/>
          </w:tcPr>
          <w:p w14:paraId="4F01495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0.5</w:t>
            </w:r>
          </w:p>
        </w:tc>
        <w:tc>
          <w:tcPr>
            <w:tcW w:w="504" w:type="pct"/>
            <w:tcBorders>
              <w:top w:val="single" w:sz="4" w:space="0" w:color="auto"/>
              <w:left w:val="nil"/>
              <w:bottom w:val="single" w:sz="4" w:space="0" w:color="auto"/>
              <w:right w:val="single" w:sz="4" w:space="0" w:color="auto"/>
            </w:tcBorders>
            <w:vAlign w:val="center"/>
          </w:tcPr>
          <w:p w14:paraId="7F6816E0"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shd w:val="clear" w:color="auto" w:fill="FFFFFF"/>
              </w:rPr>
              <w:t>1</w:t>
            </w:r>
          </w:p>
        </w:tc>
        <w:tc>
          <w:tcPr>
            <w:tcW w:w="413" w:type="pct"/>
            <w:tcBorders>
              <w:top w:val="single" w:sz="4" w:space="0" w:color="auto"/>
              <w:left w:val="nil"/>
              <w:bottom w:val="single" w:sz="4" w:space="0" w:color="auto"/>
              <w:right w:val="single" w:sz="4" w:space="0" w:color="auto"/>
            </w:tcBorders>
            <w:vAlign w:val="center"/>
          </w:tcPr>
          <w:p w14:paraId="5742820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Cs/>
                <w:szCs w:val="21"/>
              </w:rPr>
              <w:t>停工整修</w:t>
            </w:r>
          </w:p>
        </w:tc>
      </w:tr>
      <w:tr w:rsidR="002133E3" w14:paraId="566F437A" w14:textId="77777777">
        <w:trPr>
          <w:trHeight w:val="567"/>
          <w:jc w:val="center"/>
        </w:trPr>
        <w:tc>
          <w:tcPr>
            <w:tcW w:w="219" w:type="pct"/>
            <w:tcBorders>
              <w:top w:val="single" w:sz="4" w:space="0" w:color="auto"/>
              <w:left w:val="single" w:sz="4" w:space="0" w:color="auto"/>
              <w:bottom w:val="single" w:sz="4" w:space="0" w:color="auto"/>
              <w:right w:val="single" w:sz="4" w:space="0" w:color="auto"/>
            </w:tcBorders>
            <w:vAlign w:val="center"/>
          </w:tcPr>
          <w:p w14:paraId="08C06D9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3</w:t>
            </w:r>
          </w:p>
        </w:tc>
        <w:tc>
          <w:tcPr>
            <w:tcW w:w="413" w:type="pct"/>
            <w:tcBorders>
              <w:top w:val="single" w:sz="4" w:space="0" w:color="auto"/>
              <w:left w:val="nil"/>
              <w:bottom w:val="single" w:sz="4" w:space="0" w:color="auto"/>
              <w:right w:val="single" w:sz="4" w:space="0" w:color="auto"/>
            </w:tcBorders>
            <w:vAlign w:val="center"/>
          </w:tcPr>
          <w:p w14:paraId="5939C89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color w:val="000000"/>
                <w:kern w:val="0"/>
                <w:szCs w:val="21"/>
              </w:rPr>
              <w:t>5#</w:t>
            </w:r>
          </w:p>
        </w:tc>
        <w:tc>
          <w:tcPr>
            <w:tcW w:w="575" w:type="pct"/>
            <w:tcBorders>
              <w:top w:val="single" w:sz="4" w:space="0" w:color="auto"/>
              <w:left w:val="nil"/>
              <w:bottom w:val="single" w:sz="4" w:space="0" w:color="auto"/>
              <w:right w:val="single" w:sz="4" w:space="0" w:color="auto"/>
            </w:tcBorders>
            <w:vAlign w:val="center"/>
          </w:tcPr>
          <w:p w14:paraId="18D06D2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szCs w:val="21"/>
                <w:shd w:val="clear" w:color="auto" w:fill="FFFFFF"/>
              </w:rPr>
              <w:t>废气处理装置故障</w:t>
            </w:r>
          </w:p>
        </w:tc>
        <w:tc>
          <w:tcPr>
            <w:tcW w:w="790" w:type="pct"/>
            <w:tcBorders>
              <w:top w:val="single" w:sz="4" w:space="0" w:color="auto"/>
              <w:left w:val="nil"/>
              <w:bottom w:val="single" w:sz="4" w:space="0" w:color="auto"/>
              <w:right w:val="single" w:sz="4" w:space="0" w:color="auto"/>
            </w:tcBorders>
            <w:vAlign w:val="center"/>
          </w:tcPr>
          <w:p w14:paraId="0EF7F1B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粉尘</w:t>
            </w:r>
          </w:p>
        </w:tc>
        <w:tc>
          <w:tcPr>
            <w:tcW w:w="791" w:type="pct"/>
            <w:tcBorders>
              <w:top w:val="single" w:sz="4" w:space="0" w:color="auto"/>
              <w:left w:val="nil"/>
              <w:bottom w:val="single" w:sz="4" w:space="0" w:color="auto"/>
              <w:right w:val="single" w:sz="4" w:space="0" w:color="auto"/>
            </w:tcBorders>
            <w:vAlign w:val="center"/>
          </w:tcPr>
          <w:p w14:paraId="58FFF78E"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1234.6</w:t>
            </w:r>
          </w:p>
        </w:tc>
        <w:tc>
          <w:tcPr>
            <w:tcW w:w="719" w:type="pct"/>
            <w:tcBorders>
              <w:top w:val="single" w:sz="4" w:space="0" w:color="auto"/>
              <w:left w:val="nil"/>
              <w:bottom w:val="single" w:sz="4" w:space="0" w:color="auto"/>
              <w:right w:val="single" w:sz="4" w:space="0" w:color="auto"/>
            </w:tcBorders>
            <w:vAlign w:val="center"/>
          </w:tcPr>
          <w:p w14:paraId="6EC8DDC5"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74.07</w:t>
            </w:r>
          </w:p>
        </w:tc>
        <w:tc>
          <w:tcPr>
            <w:tcW w:w="576" w:type="pct"/>
            <w:tcBorders>
              <w:top w:val="single" w:sz="4" w:space="0" w:color="auto"/>
              <w:left w:val="nil"/>
              <w:bottom w:val="single" w:sz="4" w:space="0" w:color="auto"/>
              <w:right w:val="single" w:sz="4" w:space="0" w:color="auto"/>
            </w:tcBorders>
            <w:vAlign w:val="center"/>
          </w:tcPr>
          <w:p w14:paraId="2AF0D0F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0.5</w:t>
            </w:r>
          </w:p>
        </w:tc>
        <w:tc>
          <w:tcPr>
            <w:tcW w:w="504" w:type="pct"/>
            <w:tcBorders>
              <w:top w:val="single" w:sz="4" w:space="0" w:color="auto"/>
              <w:left w:val="nil"/>
              <w:bottom w:val="single" w:sz="4" w:space="0" w:color="auto"/>
              <w:right w:val="single" w:sz="4" w:space="0" w:color="auto"/>
            </w:tcBorders>
            <w:vAlign w:val="center"/>
          </w:tcPr>
          <w:p w14:paraId="738C897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shd w:val="clear" w:color="auto" w:fill="FFFFFF"/>
              </w:rPr>
              <w:t>1</w:t>
            </w:r>
          </w:p>
        </w:tc>
        <w:tc>
          <w:tcPr>
            <w:tcW w:w="413" w:type="pct"/>
            <w:tcBorders>
              <w:top w:val="single" w:sz="4" w:space="0" w:color="auto"/>
              <w:left w:val="nil"/>
              <w:bottom w:val="single" w:sz="4" w:space="0" w:color="auto"/>
              <w:right w:val="single" w:sz="4" w:space="0" w:color="auto"/>
            </w:tcBorders>
            <w:vAlign w:val="center"/>
          </w:tcPr>
          <w:p w14:paraId="7183556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Cs/>
                <w:szCs w:val="21"/>
              </w:rPr>
              <w:t>停工整修</w:t>
            </w:r>
          </w:p>
        </w:tc>
      </w:tr>
      <w:tr w:rsidR="002133E3" w14:paraId="10063778" w14:textId="77777777">
        <w:trPr>
          <w:trHeight w:val="567"/>
          <w:jc w:val="center"/>
        </w:trPr>
        <w:tc>
          <w:tcPr>
            <w:tcW w:w="219" w:type="pct"/>
            <w:vMerge w:val="restart"/>
            <w:tcBorders>
              <w:top w:val="single" w:sz="4" w:space="0" w:color="auto"/>
              <w:left w:val="single" w:sz="4" w:space="0" w:color="auto"/>
              <w:right w:val="single" w:sz="4" w:space="0" w:color="auto"/>
            </w:tcBorders>
            <w:vAlign w:val="center"/>
          </w:tcPr>
          <w:p w14:paraId="057C860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4</w:t>
            </w:r>
          </w:p>
        </w:tc>
        <w:tc>
          <w:tcPr>
            <w:tcW w:w="413" w:type="pct"/>
            <w:vMerge w:val="restart"/>
            <w:tcBorders>
              <w:top w:val="single" w:sz="4" w:space="0" w:color="auto"/>
              <w:left w:val="nil"/>
              <w:right w:val="single" w:sz="4" w:space="0" w:color="auto"/>
            </w:tcBorders>
            <w:vAlign w:val="center"/>
          </w:tcPr>
          <w:p w14:paraId="152F555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6#</w:t>
            </w:r>
          </w:p>
        </w:tc>
        <w:tc>
          <w:tcPr>
            <w:tcW w:w="575" w:type="pct"/>
            <w:vMerge w:val="restart"/>
            <w:tcBorders>
              <w:top w:val="single" w:sz="4" w:space="0" w:color="auto"/>
              <w:left w:val="nil"/>
              <w:right w:val="single" w:sz="4" w:space="0" w:color="auto"/>
            </w:tcBorders>
            <w:vAlign w:val="center"/>
          </w:tcPr>
          <w:p w14:paraId="53E9184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szCs w:val="21"/>
                <w:shd w:val="clear" w:color="auto" w:fill="FFFFFF"/>
              </w:rPr>
              <w:t>废气处理装置故障</w:t>
            </w:r>
          </w:p>
        </w:tc>
        <w:tc>
          <w:tcPr>
            <w:tcW w:w="790" w:type="pct"/>
            <w:tcBorders>
              <w:top w:val="single" w:sz="4" w:space="0" w:color="auto"/>
              <w:left w:val="nil"/>
              <w:bottom w:val="single" w:sz="4" w:space="0" w:color="auto"/>
              <w:right w:val="single" w:sz="4" w:space="0" w:color="auto"/>
            </w:tcBorders>
            <w:vAlign w:val="center"/>
          </w:tcPr>
          <w:p w14:paraId="3054844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CO</w:t>
            </w:r>
            <w:r>
              <w:rPr>
                <w:rFonts w:ascii="Times New Roman" w:eastAsia="宋体" w:hAnsi="Times New Roman" w:cs="Times New Roman"/>
                <w:kern w:val="0"/>
                <w:szCs w:val="21"/>
                <w:vertAlign w:val="subscript"/>
              </w:rPr>
              <w:t>2</w:t>
            </w:r>
          </w:p>
        </w:tc>
        <w:tc>
          <w:tcPr>
            <w:tcW w:w="791" w:type="pct"/>
            <w:tcBorders>
              <w:top w:val="single" w:sz="4" w:space="0" w:color="auto"/>
              <w:left w:val="nil"/>
              <w:bottom w:val="single" w:sz="4" w:space="0" w:color="auto"/>
              <w:right w:val="single" w:sz="4" w:space="0" w:color="auto"/>
            </w:tcBorders>
            <w:vAlign w:val="center"/>
          </w:tcPr>
          <w:p w14:paraId="35636BA4"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color w:val="000000"/>
                <w:szCs w:val="21"/>
              </w:rPr>
              <w:t>925389.40</w:t>
            </w:r>
          </w:p>
        </w:tc>
        <w:tc>
          <w:tcPr>
            <w:tcW w:w="719" w:type="pct"/>
            <w:tcBorders>
              <w:top w:val="single" w:sz="4" w:space="0" w:color="auto"/>
              <w:left w:val="nil"/>
              <w:bottom w:val="single" w:sz="4" w:space="0" w:color="auto"/>
              <w:right w:val="single" w:sz="4" w:space="0" w:color="auto"/>
            </w:tcBorders>
            <w:vAlign w:val="center"/>
          </w:tcPr>
          <w:p w14:paraId="42252FDF"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 xml:space="preserve">12772.62 </w:t>
            </w:r>
          </w:p>
        </w:tc>
        <w:tc>
          <w:tcPr>
            <w:tcW w:w="576" w:type="pct"/>
            <w:vMerge w:val="restart"/>
            <w:tcBorders>
              <w:top w:val="single" w:sz="4" w:space="0" w:color="auto"/>
              <w:left w:val="nil"/>
              <w:right w:val="single" w:sz="4" w:space="0" w:color="auto"/>
            </w:tcBorders>
            <w:vAlign w:val="center"/>
          </w:tcPr>
          <w:p w14:paraId="27AA47D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0.5</w:t>
            </w:r>
          </w:p>
        </w:tc>
        <w:tc>
          <w:tcPr>
            <w:tcW w:w="504" w:type="pct"/>
            <w:vMerge w:val="restart"/>
            <w:tcBorders>
              <w:top w:val="single" w:sz="4" w:space="0" w:color="auto"/>
              <w:left w:val="nil"/>
              <w:right w:val="single" w:sz="4" w:space="0" w:color="auto"/>
            </w:tcBorders>
            <w:vAlign w:val="center"/>
          </w:tcPr>
          <w:p w14:paraId="4A91F38B"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szCs w:val="21"/>
                <w:shd w:val="clear" w:color="auto" w:fill="FFFFFF"/>
              </w:rPr>
              <w:t>1</w:t>
            </w:r>
          </w:p>
        </w:tc>
        <w:tc>
          <w:tcPr>
            <w:tcW w:w="413" w:type="pct"/>
            <w:vMerge w:val="restart"/>
            <w:tcBorders>
              <w:top w:val="single" w:sz="4" w:space="0" w:color="auto"/>
              <w:left w:val="nil"/>
              <w:right w:val="single" w:sz="4" w:space="0" w:color="auto"/>
            </w:tcBorders>
            <w:vAlign w:val="center"/>
          </w:tcPr>
          <w:p w14:paraId="5C38F46F" w14:textId="77777777" w:rsidR="002133E3" w:rsidRDefault="00C22CFA">
            <w:pPr>
              <w:jc w:val="center"/>
              <w:rPr>
                <w:rFonts w:ascii="Times New Roman" w:eastAsia="宋体" w:hAnsi="Times New Roman" w:cs="Times New Roman"/>
                <w:b/>
                <w:bCs/>
                <w:color w:val="000000"/>
                <w:kern w:val="0"/>
                <w:szCs w:val="21"/>
              </w:rPr>
            </w:pPr>
            <w:r>
              <w:rPr>
                <w:rFonts w:ascii="Times New Roman" w:eastAsia="宋体" w:hAnsi="Times New Roman" w:cs="Times New Roman"/>
                <w:bCs/>
                <w:szCs w:val="21"/>
              </w:rPr>
              <w:t>停工整修</w:t>
            </w:r>
          </w:p>
        </w:tc>
      </w:tr>
      <w:tr w:rsidR="002133E3" w14:paraId="0ECC00CA" w14:textId="77777777">
        <w:trPr>
          <w:trHeight w:val="567"/>
          <w:jc w:val="center"/>
        </w:trPr>
        <w:tc>
          <w:tcPr>
            <w:tcW w:w="219" w:type="pct"/>
            <w:vMerge/>
            <w:tcBorders>
              <w:left w:val="single" w:sz="4" w:space="0" w:color="auto"/>
              <w:right w:val="single" w:sz="4" w:space="0" w:color="auto"/>
            </w:tcBorders>
            <w:vAlign w:val="center"/>
          </w:tcPr>
          <w:p w14:paraId="598AB4B5" w14:textId="77777777" w:rsidR="002133E3" w:rsidRDefault="002133E3">
            <w:pPr>
              <w:widowControl/>
              <w:jc w:val="center"/>
              <w:rPr>
                <w:rFonts w:ascii="Times New Roman" w:eastAsia="宋体" w:hAnsi="Times New Roman" w:cs="Times New Roman"/>
                <w:b/>
                <w:bCs/>
                <w:color w:val="000000"/>
                <w:kern w:val="0"/>
                <w:szCs w:val="21"/>
              </w:rPr>
            </w:pPr>
          </w:p>
        </w:tc>
        <w:tc>
          <w:tcPr>
            <w:tcW w:w="413" w:type="pct"/>
            <w:vMerge/>
            <w:tcBorders>
              <w:left w:val="nil"/>
              <w:right w:val="single" w:sz="4" w:space="0" w:color="auto"/>
            </w:tcBorders>
            <w:vAlign w:val="center"/>
          </w:tcPr>
          <w:p w14:paraId="394373D9" w14:textId="77777777" w:rsidR="002133E3" w:rsidRDefault="002133E3">
            <w:pPr>
              <w:widowControl/>
              <w:jc w:val="center"/>
              <w:rPr>
                <w:rFonts w:ascii="Times New Roman" w:eastAsia="宋体" w:hAnsi="Times New Roman" w:cs="Times New Roman"/>
                <w:b/>
                <w:bCs/>
                <w:color w:val="000000"/>
                <w:kern w:val="0"/>
                <w:szCs w:val="21"/>
              </w:rPr>
            </w:pPr>
          </w:p>
        </w:tc>
        <w:tc>
          <w:tcPr>
            <w:tcW w:w="575" w:type="pct"/>
            <w:vMerge/>
            <w:tcBorders>
              <w:left w:val="nil"/>
              <w:right w:val="single" w:sz="4" w:space="0" w:color="auto"/>
            </w:tcBorders>
            <w:vAlign w:val="center"/>
          </w:tcPr>
          <w:p w14:paraId="6BC01B7A" w14:textId="77777777" w:rsidR="002133E3" w:rsidRDefault="002133E3">
            <w:pPr>
              <w:widowControl/>
              <w:jc w:val="center"/>
              <w:rPr>
                <w:rFonts w:ascii="Times New Roman" w:eastAsia="宋体" w:hAnsi="Times New Roman" w:cs="Times New Roman"/>
                <w:b/>
                <w:bCs/>
                <w:color w:val="000000"/>
                <w:kern w:val="0"/>
                <w:szCs w:val="21"/>
              </w:rPr>
            </w:pPr>
          </w:p>
        </w:tc>
        <w:tc>
          <w:tcPr>
            <w:tcW w:w="790" w:type="pct"/>
            <w:tcBorders>
              <w:top w:val="single" w:sz="4" w:space="0" w:color="auto"/>
              <w:left w:val="nil"/>
              <w:bottom w:val="single" w:sz="4" w:space="0" w:color="auto"/>
              <w:right w:val="single" w:sz="4" w:space="0" w:color="auto"/>
            </w:tcBorders>
            <w:vAlign w:val="center"/>
          </w:tcPr>
          <w:p w14:paraId="43EB1AB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乙醇</w:t>
            </w:r>
          </w:p>
        </w:tc>
        <w:tc>
          <w:tcPr>
            <w:tcW w:w="791" w:type="pct"/>
            <w:tcBorders>
              <w:top w:val="single" w:sz="4" w:space="0" w:color="auto"/>
              <w:left w:val="nil"/>
              <w:bottom w:val="single" w:sz="4" w:space="0" w:color="auto"/>
              <w:right w:val="single" w:sz="4" w:space="0" w:color="auto"/>
            </w:tcBorders>
            <w:vAlign w:val="center"/>
          </w:tcPr>
          <w:p w14:paraId="2D6DDBF1"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color w:val="000000"/>
                <w:szCs w:val="21"/>
              </w:rPr>
              <w:t>17.67</w:t>
            </w:r>
          </w:p>
        </w:tc>
        <w:tc>
          <w:tcPr>
            <w:tcW w:w="719" w:type="pct"/>
            <w:tcBorders>
              <w:top w:val="single" w:sz="4" w:space="0" w:color="auto"/>
              <w:left w:val="nil"/>
              <w:bottom w:val="single" w:sz="4" w:space="0" w:color="auto"/>
              <w:right w:val="single" w:sz="4" w:space="0" w:color="auto"/>
            </w:tcBorders>
            <w:vAlign w:val="center"/>
          </w:tcPr>
          <w:p w14:paraId="6A9B7C1F"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24.39</w:t>
            </w:r>
          </w:p>
        </w:tc>
        <w:tc>
          <w:tcPr>
            <w:tcW w:w="576" w:type="pct"/>
            <w:vMerge/>
            <w:tcBorders>
              <w:left w:val="nil"/>
              <w:right w:val="single" w:sz="4" w:space="0" w:color="auto"/>
            </w:tcBorders>
            <w:vAlign w:val="center"/>
          </w:tcPr>
          <w:p w14:paraId="69F5ADB7" w14:textId="77777777" w:rsidR="002133E3" w:rsidRDefault="002133E3">
            <w:pPr>
              <w:widowControl/>
              <w:jc w:val="center"/>
              <w:rPr>
                <w:rFonts w:ascii="Times New Roman" w:eastAsia="宋体" w:hAnsi="Times New Roman" w:cs="Times New Roman"/>
                <w:b/>
                <w:bCs/>
                <w:kern w:val="0"/>
                <w:szCs w:val="21"/>
              </w:rPr>
            </w:pPr>
          </w:p>
        </w:tc>
        <w:tc>
          <w:tcPr>
            <w:tcW w:w="504" w:type="pct"/>
            <w:vMerge/>
            <w:tcBorders>
              <w:left w:val="nil"/>
              <w:right w:val="single" w:sz="4" w:space="0" w:color="auto"/>
            </w:tcBorders>
            <w:vAlign w:val="center"/>
          </w:tcPr>
          <w:p w14:paraId="11163A5F" w14:textId="77777777" w:rsidR="002133E3" w:rsidRDefault="002133E3">
            <w:pPr>
              <w:jc w:val="center"/>
              <w:rPr>
                <w:rFonts w:ascii="Times New Roman" w:eastAsia="宋体" w:hAnsi="Times New Roman" w:cs="Times New Roman"/>
                <w:b/>
                <w:bCs/>
                <w:kern w:val="0"/>
                <w:szCs w:val="21"/>
              </w:rPr>
            </w:pPr>
          </w:p>
        </w:tc>
        <w:tc>
          <w:tcPr>
            <w:tcW w:w="413" w:type="pct"/>
            <w:vMerge/>
            <w:tcBorders>
              <w:left w:val="nil"/>
              <w:right w:val="single" w:sz="4" w:space="0" w:color="auto"/>
            </w:tcBorders>
            <w:vAlign w:val="center"/>
          </w:tcPr>
          <w:p w14:paraId="1CCA0FC7" w14:textId="77777777" w:rsidR="002133E3" w:rsidRDefault="002133E3">
            <w:pPr>
              <w:jc w:val="center"/>
              <w:rPr>
                <w:rFonts w:ascii="Times New Roman" w:eastAsia="宋体" w:hAnsi="Times New Roman" w:cs="Times New Roman"/>
                <w:b/>
                <w:bCs/>
                <w:color w:val="000000"/>
                <w:kern w:val="0"/>
                <w:szCs w:val="21"/>
              </w:rPr>
            </w:pPr>
          </w:p>
        </w:tc>
      </w:tr>
      <w:tr w:rsidR="002133E3" w14:paraId="7C7E5DA9" w14:textId="77777777">
        <w:trPr>
          <w:trHeight w:val="567"/>
          <w:jc w:val="center"/>
        </w:trPr>
        <w:tc>
          <w:tcPr>
            <w:tcW w:w="219" w:type="pct"/>
            <w:vMerge/>
            <w:tcBorders>
              <w:left w:val="single" w:sz="4" w:space="0" w:color="auto"/>
              <w:right w:val="single" w:sz="4" w:space="0" w:color="auto"/>
            </w:tcBorders>
            <w:vAlign w:val="center"/>
          </w:tcPr>
          <w:p w14:paraId="43470167" w14:textId="77777777" w:rsidR="002133E3" w:rsidRDefault="002133E3">
            <w:pPr>
              <w:widowControl/>
              <w:jc w:val="center"/>
              <w:rPr>
                <w:rFonts w:ascii="Times New Roman" w:eastAsia="宋体" w:hAnsi="Times New Roman" w:cs="Times New Roman"/>
                <w:b/>
                <w:bCs/>
                <w:color w:val="000000"/>
                <w:kern w:val="0"/>
                <w:szCs w:val="21"/>
              </w:rPr>
            </w:pPr>
          </w:p>
        </w:tc>
        <w:tc>
          <w:tcPr>
            <w:tcW w:w="413" w:type="pct"/>
            <w:vMerge/>
            <w:tcBorders>
              <w:left w:val="nil"/>
              <w:right w:val="single" w:sz="4" w:space="0" w:color="auto"/>
            </w:tcBorders>
            <w:vAlign w:val="center"/>
          </w:tcPr>
          <w:p w14:paraId="160D92DA" w14:textId="77777777" w:rsidR="002133E3" w:rsidRDefault="002133E3">
            <w:pPr>
              <w:widowControl/>
              <w:jc w:val="center"/>
              <w:rPr>
                <w:rFonts w:ascii="Times New Roman" w:eastAsia="宋体" w:hAnsi="Times New Roman" w:cs="Times New Roman"/>
                <w:b/>
                <w:bCs/>
                <w:color w:val="000000"/>
                <w:kern w:val="0"/>
                <w:szCs w:val="21"/>
              </w:rPr>
            </w:pPr>
          </w:p>
        </w:tc>
        <w:tc>
          <w:tcPr>
            <w:tcW w:w="575" w:type="pct"/>
            <w:vMerge/>
            <w:tcBorders>
              <w:left w:val="nil"/>
              <w:right w:val="single" w:sz="4" w:space="0" w:color="auto"/>
            </w:tcBorders>
            <w:vAlign w:val="center"/>
          </w:tcPr>
          <w:p w14:paraId="21C78525" w14:textId="77777777" w:rsidR="002133E3" w:rsidRDefault="002133E3">
            <w:pPr>
              <w:widowControl/>
              <w:jc w:val="center"/>
              <w:rPr>
                <w:rFonts w:ascii="Times New Roman" w:eastAsia="宋体" w:hAnsi="Times New Roman" w:cs="Times New Roman"/>
                <w:b/>
                <w:bCs/>
                <w:color w:val="000000"/>
                <w:kern w:val="0"/>
                <w:szCs w:val="21"/>
              </w:rPr>
            </w:pPr>
          </w:p>
        </w:tc>
        <w:tc>
          <w:tcPr>
            <w:tcW w:w="790" w:type="pct"/>
            <w:tcBorders>
              <w:top w:val="single" w:sz="4" w:space="0" w:color="auto"/>
              <w:left w:val="nil"/>
              <w:bottom w:val="single" w:sz="4" w:space="0" w:color="auto"/>
              <w:right w:val="single" w:sz="4" w:space="0" w:color="auto"/>
            </w:tcBorders>
            <w:vAlign w:val="center"/>
          </w:tcPr>
          <w:p w14:paraId="7E4BAF0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甲醇</w:t>
            </w:r>
            <w:r>
              <w:rPr>
                <w:rFonts w:ascii="Times New Roman" w:eastAsia="宋体" w:hAnsi="Times New Roman" w:cs="Times New Roman"/>
                <w:kern w:val="0"/>
                <w:szCs w:val="21"/>
              </w:rPr>
              <w:t>/</w:t>
            </w:r>
            <w:r>
              <w:rPr>
                <w:rFonts w:ascii="Times New Roman" w:eastAsia="宋体" w:hAnsi="Times New Roman" w:cs="Times New Roman"/>
                <w:kern w:val="0"/>
                <w:szCs w:val="21"/>
              </w:rPr>
              <w:t>醛等</w:t>
            </w:r>
          </w:p>
        </w:tc>
        <w:tc>
          <w:tcPr>
            <w:tcW w:w="791" w:type="pct"/>
            <w:tcBorders>
              <w:top w:val="single" w:sz="4" w:space="0" w:color="auto"/>
              <w:left w:val="nil"/>
              <w:bottom w:val="single" w:sz="4" w:space="0" w:color="auto"/>
              <w:right w:val="single" w:sz="4" w:space="0" w:color="auto"/>
            </w:tcBorders>
            <w:vAlign w:val="center"/>
          </w:tcPr>
          <w:p w14:paraId="3885E660"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color w:val="000000"/>
                <w:szCs w:val="21"/>
              </w:rPr>
              <w:t>0.56</w:t>
            </w:r>
          </w:p>
        </w:tc>
        <w:tc>
          <w:tcPr>
            <w:tcW w:w="719" w:type="pct"/>
            <w:tcBorders>
              <w:top w:val="single" w:sz="4" w:space="0" w:color="auto"/>
              <w:left w:val="nil"/>
              <w:bottom w:val="single" w:sz="4" w:space="0" w:color="auto"/>
              <w:right w:val="single" w:sz="4" w:space="0" w:color="auto"/>
            </w:tcBorders>
            <w:vAlign w:val="center"/>
          </w:tcPr>
          <w:p w14:paraId="03E3B417"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0.77</w:t>
            </w:r>
          </w:p>
        </w:tc>
        <w:tc>
          <w:tcPr>
            <w:tcW w:w="576" w:type="pct"/>
            <w:vMerge/>
            <w:tcBorders>
              <w:left w:val="nil"/>
              <w:right w:val="single" w:sz="4" w:space="0" w:color="auto"/>
            </w:tcBorders>
            <w:vAlign w:val="center"/>
          </w:tcPr>
          <w:p w14:paraId="51808735" w14:textId="77777777" w:rsidR="002133E3" w:rsidRDefault="002133E3">
            <w:pPr>
              <w:widowControl/>
              <w:jc w:val="center"/>
              <w:rPr>
                <w:rFonts w:ascii="Times New Roman" w:eastAsia="宋体" w:hAnsi="Times New Roman" w:cs="Times New Roman"/>
                <w:b/>
                <w:bCs/>
                <w:kern w:val="0"/>
                <w:szCs w:val="21"/>
              </w:rPr>
            </w:pPr>
          </w:p>
        </w:tc>
        <w:tc>
          <w:tcPr>
            <w:tcW w:w="504" w:type="pct"/>
            <w:vMerge/>
            <w:tcBorders>
              <w:left w:val="nil"/>
              <w:right w:val="single" w:sz="4" w:space="0" w:color="auto"/>
            </w:tcBorders>
            <w:vAlign w:val="center"/>
          </w:tcPr>
          <w:p w14:paraId="4ACFE694" w14:textId="77777777" w:rsidR="002133E3" w:rsidRDefault="002133E3">
            <w:pPr>
              <w:jc w:val="center"/>
              <w:rPr>
                <w:rFonts w:ascii="Times New Roman" w:eastAsia="宋体" w:hAnsi="Times New Roman" w:cs="Times New Roman"/>
                <w:b/>
                <w:bCs/>
                <w:kern w:val="0"/>
                <w:szCs w:val="21"/>
              </w:rPr>
            </w:pPr>
          </w:p>
        </w:tc>
        <w:tc>
          <w:tcPr>
            <w:tcW w:w="413" w:type="pct"/>
            <w:vMerge/>
            <w:tcBorders>
              <w:left w:val="nil"/>
              <w:right w:val="single" w:sz="4" w:space="0" w:color="auto"/>
            </w:tcBorders>
            <w:vAlign w:val="center"/>
          </w:tcPr>
          <w:p w14:paraId="24CD8BF1" w14:textId="77777777" w:rsidR="002133E3" w:rsidRDefault="002133E3">
            <w:pPr>
              <w:jc w:val="center"/>
              <w:rPr>
                <w:rFonts w:ascii="Times New Roman" w:eastAsia="宋体" w:hAnsi="Times New Roman" w:cs="Times New Roman"/>
                <w:b/>
                <w:bCs/>
                <w:color w:val="000000"/>
                <w:kern w:val="0"/>
                <w:szCs w:val="21"/>
              </w:rPr>
            </w:pPr>
          </w:p>
        </w:tc>
      </w:tr>
      <w:tr w:rsidR="002133E3" w14:paraId="361209D4" w14:textId="77777777">
        <w:trPr>
          <w:trHeight w:val="567"/>
          <w:jc w:val="center"/>
        </w:trPr>
        <w:tc>
          <w:tcPr>
            <w:tcW w:w="219" w:type="pct"/>
            <w:vMerge/>
            <w:tcBorders>
              <w:left w:val="single" w:sz="4" w:space="0" w:color="auto"/>
              <w:bottom w:val="single" w:sz="4" w:space="0" w:color="auto"/>
              <w:right w:val="single" w:sz="4" w:space="0" w:color="auto"/>
            </w:tcBorders>
            <w:vAlign w:val="center"/>
          </w:tcPr>
          <w:p w14:paraId="16DC16AE" w14:textId="77777777" w:rsidR="002133E3" w:rsidRDefault="002133E3">
            <w:pPr>
              <w:widowControl/>
              <w:jc w:val="center"/>
              <w:rPr>
                <w:rFonts w:ascii="Times New Roman" w:eastAsia="宋体" w:hAnsi="Times New Roman" w:cs="Times New Roman"/>
                <w:b/>
                <w:bCs/>
                <w:color w:val="000000"/>
                <w:kern w:val="0"/>
                <w:szCs w:val="21"/>
              </w:rPr>
            </w:pPr>
          </w:p>
        </w:tc>
        <w:tc>
          <w:tcPr>
            <w:tcW w:w="413" w:type="pct"/>
            <w:vMerge/>
            <w:tcBorders>
              <w:left w:val="nil"/>
              <w:bottom w:val="single" w:sz="4" w:space="0" w:color="auto"/>
              <w:right w:val="single" w:sz="4" w:space="0" w:color="auto"/>
            </w:tcBorders>
            <w:vAlign w:val="center"/>
          </w:tcPr>
          <w:p w14:paraId="145ED579" w14:textId="77777777" w:rsidR="002133E3" w:rsidRDefault="002133E3">
            <w:pPr>
              <w:widowControl/>
              <w:jc w:val="center"/>
              <w:rPr>
                <w:rFonts w:ascii="Times New Roman" w:eastAsia="宋体" w:hAnsi="Times New Roman" w:cs="Times New Roman"/>
                <w:b/>
                <w:bCs/>
                <w:color w:val="000000"/>
                <w:kern w:val="0"/>
                <w:szCs w:val="21"/>
              </w:rPr>
            </w:pPr>
          </w:p>
        </w:tc>
        <w:tc>
          <w:tcPr>
            <w:tcW w:w="575" w:type="pct"/>
            <w:vMerge/>
            <w:tcBorders>
              <w:left w:val="nil"/>
              <w:bottom w:val="single" w:sz="4" w:space="0" w:color="auto"/>
              <w:right w:val="single" w:sz="4" w:space="0" w:color="auto"/>
            </w:tcBorders>
            <w:vAlign w:val="center"/>
          </w:tcPr>
          <w:p w14:paraId="153048A5" w14:textId="77777777" w:rsidR="002133E3" w:rsidRDefault="002133E3">
            <w:pPr>
              <w:widowControl/>
              <w:jc w:val="center"/>
              <w:rPr>
                <w:rFonts w:ascii="Times New Roman" w:eastAsia="宋体" w:hAnsi="Times New Roman" w:cs="Times New Roman"/>
                <w:b/>
                <w:bCs/>
                <w:color w:val="000000"/>
                <w:kern w:val="0"/>
                <w:szCs w:val="21"/>
              </w:rPr>
            </w:pPr>
          </w:p>
        </w:tc>
        <w:tc>
          <w:tcPr>
            <w:tcW w:w="790" w:type="pct"/>
            <w:tcBorders>
              <w:top w:val="single" w:sz="4" w:space="0" w:color="auto"/>
              <w:left w:val="nil"/>
              <w:bottom w:val="single" w:sz="4" w:space="0" w:color="auto"/>
              <w:right w:val="single" w:sz="4" w:space="0" w:color="auto"/>
            </w:tcBorders>
            <w:vAlign w:val="center"/>
          </w:tcPr>
          <w:p w14:paraId="785F929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挥发性有机物</w:t>
            </w:r>
          </w:p>
        </w:tc>
        <w:tc>
          <w:tcPr>
            <w:tcW w:w="791" w:type="pct"/>
            <w:tcBorders>
              <w:top w:val="single" w:sz="4" w:space="0" w:color="auto"/>
              <w:left w:val="nil"/>
              <w:bottom w:val="single" w:sz="4" w:space="0" w:color="auto"/>
              <w:right w:val="single" w:sz="4" w:space="0" w:color="auto"/>
            </w:tcBorders>
            <w:vAlign w:val="center"/>
          </w:tcPr>
          <w:p w14:paraId="0586C076"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color w:val="000000"/>
                <w:szCs w:val="21"/>
              </w:rPr>
              <w:t>18.23</w:t>
            </w:r>
          </w:p>
        </w:tc>
        <w:tc>
          <w:tcPr>
            <w:tcW w:w="719" w:type="pct"/>
            <w:tcBorders>
              <w:top w:val="single" w:sz="4" w:space="0" w:color="auto"/>
              <w:left w:val="nil"/>
              <w:bottom w:val="single" w:sz="4" w:space="0" w:color="auto"/>
              <w:right w:val="single" w:sz="4" w:space="0" w:color="auto"/>
            </w:tcBorders>
            <w:vAlign w:val="center"/>
          </w:tcPr>
          <w:p w14:paraId="1D92250B"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25.16</w:t>
            </w:r>
          </w:p>
        </w:tc>
        <w:tc>
          <w:tcPr>
            <w:tcW w:w="576" w:type="pct"/>
            <w:vMerge/>
            <w:tcBorders>
              <w:left w:val="nil"/>
              <w:bottom w:val="single" w:sz="4" w:space="0" w:color="auto"/>
              <w:right w:val="single" w:sz="4" w:space="0" w:color="auto"/>
            </w:tcBorders>
            <w:vAlign w:val="center"/>
          </w:tcPr>
          <w:p w14:paraId="0AA3D6FD" w14:textId="77777777" w:rsidR="002133E3" w:rsidRDefault="002133E3">
            <w:pPr>
              <w:widowControl/>
              <w:jc w:val="center"/>
              <w:rPr>
                <w:rFonts w:ascii="Times New Roman" w:eastAsia="宋体" w:hAnsi="Times New Roman" w:cs="Times New Roman"/>
                <w:b/>
                <w:bCs/>
                <w:kern w:val="0"/>
                <w:szCs w:val="21"/>
              </w:rPr>
            </w:pPr>
          </w:p>
        </w:tc>
        <w:tc>
          <w:tcPr>
            <w:tcW w:w="504" w:type="pct"/>
            <w:vMerge/>
            <w:tcBorders>
              <w:left w:val="nil"/>
              <w:bottom w:val="single" w:sz="4" w:space="0" w:color="auto"/>
              <w:right w:val="single" w:sz="4" w:space="0" w:color="auto"/>
            </w:tcBorders>
            <w:vAlign w:val="center"/>
          </w:tcPr>
          <w:p w14:paraId="4A7B6008" w14:textId="77777777" w:rsidR="002133E3" w:rsidRDefault="002133E3">
            <w:pPr>
              <w:widowControl/>
              <w:jc w:val="center"/>
              <w:rPr>
                <w:rFonts w:ascii="Times New Roman" w:eastAsia="宋体" w:hAnsi="Times New Roman" w:cs="Times New Roman"/>
                <w:b/>
                <w:bCs/>
                <w:kern w:val="0"/>
                <w:szCs w:val="21"/>
              </w:rPr>
            </w:pPr>
          </w:p>
        </w:tc>
        <w:tc>
          <w:tcPr>
            <w:tcW w:w="413" w:type="pct"/>
            <w:vMerge/>
            <w:tcBorders>
              <w:left w:val="nil"/>
              <w:bottom w:val="single" w:sz="4" w:space="0" w:color="auto"/>
              <w:right w:val="single" w:sz="4" w:space="0" w:color="auto"/>
            </w:tcBorders>
            <w:vAlign w:val="center"/>
          </w:tcPr>
          <w:p w14:paraId="7A1FEE9E" w14:textId="77777777" w:rsidR="002133E3" w:rsidRDefault="002133E3">
            <w:pPr>
              <w:widowControl/>
              <w:jc w:val="center"/>
              <w:rPr>
                <w:rFonts w:ascii="Times New Roman" w:eastAsia="宋体" w:hAnsi="Times New Roman" w:cs="Times New Roman"/>
                <w:b/>
                <w:bCs/>
                <w:color w:val="000000"/>
                <w:kern w:val="0"/>
                <w:szCs w:val="21"/>
              </w:rPr>
            </w:pPr>
          </w:p>
        </w:tc>
      </w:tr>
      <w:tr w:rsidR="002133E3" w14:paraId="084A9F37" w14:textId="77777777">
        <w:trPr>
          <w:trHeight w:val="567"/>
          <w:jc w:val="center"/>
        </w:trPr>
        <w:tc>
          <w:tcPr>
            <w:tcW w:w="219" w:type="pct"/>
            <w:tcBorders>
              <w:top w:val="single" w:sz="4" w:space="0" w:color="auto"/>
              <w:left w:val="single" w:sz="4" w:space="0" w:color="auto"/>
              <w:bottom w:val="single" w:sz="4" w:space="0" w:color="auto"/>
              <w:right w:val="single" w:sz="4" w:space="0" w:color="auto"/>
            </w:tcBorders>
            <w:vAlign w:val="center"/>
          </w:tcPr>
          <w:p w14:paraId="6D0FC92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5</w:t>
            </w:r>
          </w:p>
        </w:tc>
        <w:tc>
          <w:tcPr>
            <w:tcW w:w="413" w:type="pct"/>
            <w:tcBorders>
              <w:top w:val="single" w:sz="4" w:space="0" w:color="auto"/>
              <w:left w:val="nil"/>
              <w:bottom w:val="single" w:sz="4" w:space="0" w:color="auto"/>
              <w:right w:val="single" w:sz="4" w:space="0" w:color="auto"/>
            </w:tcBorders>
            <w:vAlign w:val="center"/>
          </w:tcPr>
          <w:p w14:paraId="11A5C84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color w:val="000000"/>
                <w:kern w:val="0"/>
                <w:szCs w:val="21"/>
              </w:rPr>
              <w:t>14#</w:t>
            </w:r>
          </w:p>
        </w:tc>
        <w:tc>
          <w:tcPr>
            <w:tcW w:w="575" w:type="pct"/>
            <w:tcBorders>
              <w:top w:val="single" w:sz="4" w:space="0" w:color="auto"/>
              <w:left w:val="nil"/>
              <w:bottom w:val="single" w:sz="4" w:space="0" w:color="auto"/>
              <w:right w:val="single" w:sz="4" w:space="0" w:color="auto"/>
            </w:tcBorders>
            <w:vAlign w:val="center"/>
          </w:tcPr>
          <w:p w14:paraId="2000E1E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szCs w:val="21"/>
                <w:shd w:val="clear" w:color="auto" w:fill="FFFFFF"/>
              </w:rPr>
              <w:t>废气处理装置故障</w:t>
            </w:r>
          </w:p>
        </w:tc>
        <w:tc>
          <w:tcPr>
            <w:tcW w:w="790" w:type="pct"/>
            <w:tcBorders>
              <w:top w:val="single" w:sz="4" w:space="0" w:color="auto"/>
              <w:left w:val="nil"/>
              <w:bottom w:val="single" w:sz="4" w:space="0" w:color="auto"/>
              <w:right w:val="single" w:sz="4" w:space="0" w:color="auto"/>
            </w:tcBorders>
            <w:vAlign w:val="center"/>
          </w:tcPr>
          <w:p w14:paraId="5CE6FE6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粉尘</w:t>
            </w:r>
          </w:p>
        </w:tc>
        <w:tc>
          <w:tcPr>
            <w:tcW w:w="791" w:type="pct"/>
            <w:tcBorders>
              <w:top w:val="single" w:sz="4" w:space="0" w:color="auto"/>
              <w:left w:val="nil"/>
              <w:bottom w:val="single" w:sz="4" w:space="0" w:color="auto"/>
              <w:right w:val="single" w:sz="4" w:space="0" w:color="auto"/>
            </w:tcBorders>
            <w:vAlign w:val="center"/>
          </w:tcPr>
          <w:p w14:paraId="24BBC5E9"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3703.7</w:t>
            </w:r>
          </w:p>
        </w:tc>
        <w:tc>
          <w:tcPr>
            <w:tcW w:w="719" w:type="pct"/>
            <w:tcBorders>
              <w:top w:val="single" w:sz="4" w:space="0" w:color="auto"/>
              <w:left w:val="nil"/>
              <w:bottom w:val="single" w:sz="4" w:space="0" w:color="auto"/>
              <w:right w:val="single" w:sz="4" w:space="0" w:color="auto"/>
            </w:tcBorders>
            <w:vAlign w:val="center"/>
          </w:tcPr>
          <w:p w14:paraId="52A45076"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37.04</w:t>
            </w:r>
          </w:p>
        </w:tc>
        <w:tc>
          <w:tcPr>
            <w:tcW w:w="576" w:type="pct"/>
            <w:tcBorders>
              <w:top w:val="single" w:sz="4" w:space="0" w:color="auto"/>
              <w:left w:val="nil"/>
              <w:bottom w:val="single" w:sz="4" w:space="0" w:color="auto"/>
              <w:right w:val="single" w:sz="4" w:space="0" w:color="auto"/>
            </w:tcBorders>
            <w:vAlign w:val="center"/>
          </w:tcPr>
          <w:p w14:paraId="04AFB06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0.5</w:t>
            </w:r>
          </w:p>
        </w:tc>
        <w:tc>
          <w:tcPr>
            <w:tcW w:w="504" w:type="pct"/>
            <w:tcBorders>
              <w:top w:val="single" w:sz="4" w:space="0" w:color="auto"/>
              <w:left w:val="nil"/>
              <w:bottom w:val="single" w:sz="4" w:space="0" w:color="auto"/>
              <w:right w:val="single" w:sz="4" w:space="0" w:color="auto"/>
            </w:tcBorders>
            <w:vAlign w:val="center"/>
          </w:tcPr>
          <w:p w14:paraId="630E808F"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shd w:val="clear" w:color="auto" w:fill="FFFFFF"/>
              </w:rPr>
              <w:t>1</w:t>
            </w:r>
          </w:p>
        </w:tc>
        <w:tc>
          <w:tcPr>
            <w:tcW w:w="413" w:type="pct"/>
            <w:tcBorders>
              <w:top w:val="single" w:sz="4" w:space="0" w:color="auto"/>
              <w:left w:val="nil"/>
              <w:bottom w:val="single" w:sz="4" w:space="0" w:color="auto"/>
              <w:right w:val="single" w:sz="4" w:space="0" w:color="auto"/>
            </w:tcBorders>
            <w:vAlign w:val="center"/>
          </w:tcPr>
          <w:p w14:paraId="3E66C97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Cs/>
                <w:szCs w:val="21"/>
              </w:rPr>
              <w:t>停工整修</w:t>
            </w:r>
          </w:p>
        </w:tc>
      </w:tr>
      <w:tr w:rsidR="002133E3" w14:paraId="20CC65E6" w14:textId="77777777">
        <w:trPr>
          <w:trHeight w:val="567"/>
          <w:jc w:val="center"/>
        </w:trPr>
        <w:tc>
          <w:tcPr>
            <w:tcW w:w="219" w:type="pct"/>
            <w:tcBorders>
              <w:top w:val="single" w:sz="4" w:space="0" w:color="auto"/>
              <w:left w:val="single" w:sz="4" w:space="0" w:color="auto"/>
              <w:bottom w:val="single" w:sz="4" w:space="0" w:color="auto"/>
              <w:right w:val="single" w:sz="4" w:space="0" w:color="auto"/>
            </w:tcBorders>
            <w:vAlign w:val="center"/>
          </w:tcPr>
          <w:p w14:paraId="31CAA61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6</w:t>
            </w:r>
          </w:p>
        </w:tc>
        <w:tc>
          <w:tcPr>
            <w:tcW w:w="413" w:type="pct"/>
            <w:tcBorders>
              <w:top w:val="single" w:sz="4" w:space="0" w:color="auto"/>
              <w:left w:val="nil"/>
              <w:bottom w:val="single" w:sz="4" w:space="0" w:color="auto"/>
              <w:right w:val="single" w:sz="4" w:space="0" w:color="auto"/>
            </w:tcBorders>
            <w:vAlign w:val="center"/>
          </w:tcPr>
          <w:p w14:paraId="4651D70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color w:val="000000"/>
                <w:kern w:val="0"/>
                <w:szCs w:val="21"/>
              </w:rPr>
              <w:t>15#</w:t>
            </w:r>
          </w:p>
        </w:tc>
        <w:tc>
          <w:tcPr>
            <w:tcW w:w="575" w:type="pct"/>
            <w:tcBorders>
              <w:top w:val="single" w:sz="4" w:space="0" w:color="auto"/>
              <w:left w:val="nil"/>
              <w:bottom w:val="single" w:sz="4" w:space="0" w:color="auto"/>
              <w:right w:val="single" w:sz="4" w:space="0" w:color="auto"/>
            </w:tcBorders>
            <w:vAlign w:val="center"/>
          </w:tcPr>
          <w:p w14:paraId="4CB232B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szCs w:val="21"/>
                <w:shd w:val="clear" w:color="auto" w:fill="FFFFFF"/>
              </w:rPr>
              <w:t>废气处理装置故障</w:t>
            </w:r>
          </w:p>
        </w:tc>
        <w:tc>
          <w:tcPr>
            <w:tcW w:w="790" w:type="pct"/>
            <w:tcBorders>
              <w:top w:val="single" w:sz="4" w:space="0" w:color="auto"/>
              <w:left w:val="nil"/>
              <w:bottom w:val="single" w:sz="4" w:space="0" w:color="auto"/>
              <w:right w:val="single" w:sz="4" w:space="0" w:color="auto"/>
            </w:tcBorders>
            <w:vAlign w:val="center"/>
          </w:tcPr>
          <w:p w14:paraId="6B5102F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粉尘</w:t>
            </w:r>
          </w:p>
        </w:tc>
        <w:tc>
          <w:tcPr>
            <w:tcW w:w="791" w:type="pct"/>
            <w:tcBorders>
              <w:top w:val="single" w:sz="4" w:space="0" w:color="auto"/>
              <w:left w:val="nil"/>
              <w:bottom w:val="single" w:sz="4" w:space="0" w:color="auto"/>
              <w:right w:val="single" w:sz="4" w:space="0" w:color="auto"/>
            </w:tcBorders>
            <w:vAlign w:val="center"/>
          </w:tcPr>
          <w:p w14:paraId="1DEB2E5F"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3703.7</w:t>
            </w:r>
          </w:p>
        </w:tc>
        <w:tc>
          <w:tcPr>
            <w:tcW w:w="719" w:type="pct"/>
            <w:tcBorders>
              <w:top w:val="single" w:sz="4" w:space="0" w:color="auto"/>
              <w:left w:val="nil"/>
              <w:bottom w:val="single" w:sz="4" w:space="0" w:color="auto"/>
              <w:right w:val="single" w:sz="4" w:space="0" w:color="auto"/>
            </w:tcBorders>
            <w:vAlign w:val="center"/>
          </w:tcPr>
          <w:p w14:paraId="625EC35C"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37.04</w:t>
            </w:r>
          </w:p>
        </w:tc>
        <w:tc>
          <w:tcPr>
            <w:tcW w:w="576" w:type="pct"/>
            <w:tcBorders>
              <w:top w:val="single" w:sz="4" w:space="0" w:color="auto"/>
              <w:left w:val="nil"/>
              <w:bottom w:val="single" w:sz="4" w:space="0" w:color="auto"/>
              <w:right w:val="single" w:sz="4" w:space="0" w:color="auto"/>
            </w:tcBorders>
            <w:vAlign w:val="center"/>
          </w:tcPr>
          <w:p w14:paraId="687979E2"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0.5</w:t>
            </w:r>
          </w:p>
        </w:tc>
        <w:tc>
          <w:tcPr>
            <w:tcW w:w="504" w:type="pct"/>
            <w:tcBorders>
              <w:top w:val="single" w:sz="4" w:space="0" w:color="auto"/>
              <w:left w:val="nil"/>
              <w:bottom w:val="single" w:sz="4" w:space="0" w:color="auto"/>
              <w:right w:val="single" w:sz="4" w:space="0" w:color="auto"/>
            </w:tcBorders>
            <w:vAlign w:val="center"/>
          </w:tcPr>
          <w:p w14:paraId="1745CEA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shd w:val="clear" w:color="auto" w:fill="FFFFFF"/>
              </w:rPr>
              <w:t>1</w:t>
            </w:r>
          </w:p>
        </w:tc>
        <w:tc>
          <w:tcPr>
            <w:tcW w:w="413" w:type="pct"/>
            <w:tcBorders>
              <w:top w:val="single" w:sz="4" w:space="0" w:color="auto"/>
              <w:left w:val="nil"/>
              <w:bottom w:val="single" w:sz="4" w:space="0" w:color="auto"/>
              <w:right w:val="single" w:sz="4" w:space="0" w:color="auto"/>
            </w:tcBorders>
            <w:vAlign w:val="center"/>
          </w:tcPr>
          <w:p w14:paraId="6C15F10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Cs/>
                <w:szCs w:val="21"/>
              </w:rPr>
              <w:t>停工整修</w:t>
            </w:r>
          </w:p>
        </w:tc>
      </w:tr>
      <w:tr w:rsidR="002133E3" w14:paraId="73ECE1E9" w14:textId="77777777">
        <w:trPr>
          <w:trHeight w:val="567"/>
          <w:jc w:val="center"/>
        </w:trPr>
        <w:tc>
          <w:tcPr>
            <w:tcW w:w="219" w:type="pct"/>
            <w:tcBorders>
              <w:top w:val="single" w:sz="4" w:space="0" w:color="auto"/>
              <w:left w:val="single" w:sz="4" w:space="0" w:color="auto"/>
              <w:bottom w:val="single" w:sz="4" w:space="0" w:color="auto"/>
              <w:right w:val="single" w:sz="4" w:space="0" w:color="auto"/>
            </w:tcBorders>
            <w:vAlign w:val="center"/>
          </w:tcPr>
          <w:p w14:paraId="5C6DDFA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7</w:t>
            </w:r>
          </w:p>
        </w:tc>
        <w:tc>
          <w:tcPr>
            <w:tcW w:w="413" w:type="pct"/>
            <w:tcBorders>
              <w:top w:val="single" w:sz="4" w:space="0" w:color="auto"/>
              <w:left w:val="nil"/>
              <w:bottom w:val="single" w:sz="4" w:space="0" w:color="auto"/>
              <w:right w:val="single" w:sz="4" w:space="0" w:color="auto"/>
            </w:tcBorders>
            <w:vAlign w:val="center"/>
          </w:tcPr>
          <w:p w14:paraId="7E28EA5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color w:val="000000"/>
                <w:kern w:val="0"/>
                <w:szCs w:val="21"/>
              </w:rPr>
              <w:t>16#</w:t>
            </w:r>
          </w:p>
        </w:tc>
        <w:tc>
          <w:tcPr>
            <w:tcW w:w="575" w:type="pct"/>
            <w:tcBorders>
              <w:top w:val="single" w:sz="4" w:space="0" w:color="auto"/>
              <w:left w:val="nil"/>
              <w:bottom w:val="single" w:sz="4" w:space="0" w:color="auto"/>
              <w:right w:val="single" w:sz="4" w:space="0" w:color="auto"/>
            </w:tcBorders>
            <w:vAlign w:val="center"/>
          </w:tcPr>
          <w:p w14:paraId="02B411E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szCs w:val="21"/>
                <w:shd w:val="clear" w:color="auto" w:fill="FFFFFF"/>
              </w:rPr>
              <w:t>废气处理装置故障</w:t>
            </w:r>
          </w:p>
        </w:tc>
        <w:tc>
          <w:tcPr>
            <w:tcW w:w="790" w:type="pct"/>
            <w:tcBorders>
              <w:top w:val="single" w:sz="4" w:space="0" w:color="auto"/>
              <w:left w:val="nil"/>
              <w:bottom w:val="single" w:sz="4" w:space="0" w:color="auto"/>
              <w:right w:val="single" w:sz="4" w:space="0" w:color="auto"/>
            </w:tcBorders>
            <w:vAlign w:val="center"/>
          </w:tcPr>
          <w:p w14:paraId="511FD19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kern w:val="0"/>
                <w:szCs w:val="21"/>
              </w:rPr>
              <w:t>粉尘</w:t>
            </w:r>
          </w:p>
        </w:tc>
        <w:tc>
          <w:tcPr>
            <w:tcW w:w="791" w:type="pct"/>
            <w:tcBorders>
              <w:top w:val="single" w:sz="4" w:space="0" w:color="auto"/>
              <w:left w:val="nil"/>
              <w:bottom w:val="single" w:sz="4" w:space="0" w:color="auto"/>
              <w:right w:val="single" w:sz="4" w:space="0" w:color="auto"/>
            </w:tcBorders>
            <w:vAlign w:val="center"/>
          </w:tcPr>
          <w:p w14:paraId="4CB76AD0"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3703.7</w:t>
            </w:r>
          </w:p>
        </w:tc>
        <w:tc>
          <w:tcPr>
            <w:tcW w:w="719" w:type="pct"/>
            <w:tcBorders>
              <w:top w:val="single" w:sz="4" w:space="0" w:color="auto"/>
              <w:left w:val="nil"/>
              <w:bottom w:val="single" w:sz="4" w:space="0" w:color="auto"/>
              <w:right w:val="single" w:sz="4" w:space="0" w:color="auto"/>
            </w:tcBorders>
            <w:vAlign w:val="center"/>
          </w:tcPr>
          <w:p w14:paraId="338994D1" w14:textId="77777777" w:rsidR="002133E3" w:rsidRDefault="00C22CFA">
            <w:pPr>
              <w:widowControl/>
              <w:jc w:val="center"/>
              <w:rPr>
                <w:rFonts w:ascii="Times New Roman" w:eastAsia="宋体" w:hAnsi="Times New Roman" w:cs="Times New Roman"/>
                <w:b/>
                <w:bCs/>
                <w:kern w:val="0"/>
                <w:szCs w:val="21"/>
              </w:rPr>
            </w:pPr>
            <w:r>
              <w:rPr>
                <w:rFonts w:ascii="Times New Roman" w:eastAsia="等线" w:hAnsi="Times New Roman" w:cs="Times New Roman"/>
                <w:szCs w:val="21"/>
              </w:rPr>
              <w:t>37.04</w:t>
            </w:r>
          </w:p>
        </w:tc>
        <w:tc>
          <w:tcPr>
            <w:tcW w:w="576" w:type="pct"/>
            <w:tcBorders>
              <w:top w:val="single" w:sz="4" w:space="0" w:color="auto"/>
              <w:left w:val="nil"/>
              <w:bottom w:val="single" w:sz="4" w:space="0" w:color="auto"/>
              <w:right w:val="single" w:sz="4" w:space="0" w:color="auto"/>
            </w:tcBorders>
            <w:vAlign w:val="center"/>
          </w:tcPr>
          <w:p w14:paraId="401ED4F1"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0.5</w:t>
            </w:r>
          </w:p>
        </w:tc>
        <w:tc>
          <w:tcPr>
            <w:tcW w:w="504" w:type="pct"/>
            <w:tcBorders>
              <w:top w:val="single" w:sz="4" w:space="0" w:color="auto"/>
              <w:left w:val="nil"/>
              <w:bottom w:val="single" w:sz="4" w:space="0" w:color="auto"/>
              <w:right w:val="single" w:sz="4" w:space="0" w:color="auto"/>
            </w:tcBorders>
            <w:vAlign w:val="center"/>
          </w:tcPr>
          <w:p w14:paraId="79DBF22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szCs w:val="21"/>
                <w:shd w:val="clear" w:color="auto" w:fill="FFFFFF"/>
              </w:rPr>
              <w:t>1</w:t>
            </w:r>
          </w:p>
        </w:tc>
        <w:tc>
          <w:tcPr>
            <w:tcW w:w="413" w:type="pct"/>
            <w:tcBorders>
              <w:top w:val="single" w:sz="4" w:space="0" w:color="auto"/>
              <w:left w:val="nil"/>
              <w:bottom w:val="single" w:sz="4" w:space="0" w:color="auto"/>
              <w:right w:val="single" w:sz="4" w:space="0" w:color="auto"/>
            </w:tcBorders>
            <w:vAlign w:val="center"/>
          </w:tcPr>
          <w:p w14:paraId="05E66CE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Cs/>
                <w:szCs w:val="21"/>
              </w:rPr>
              <w:t>停工整修</w:t>
            </w:r>
          </w:p>
        </w:tc>
      </w:tr>
    </w:tbl>
    <w:p w14:paraId="61A39B7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28"/>
          <w:szCs w:val="28"/>
        </w:rPr>
      </w:pPr>
      <w:r>
        <w:rPr>
          <w:rFonts w:ascii="Times New Roman" w:eastAsia="宋体" w:hAnsi="Times New Roman" w:cs="Times New Roman"/>
          <w:b/>
          <w:sz w:val="30"/>
          <w:szCs w:val="30"/>
        </w:rPr>
        <w:t>大气影响评价自查</w:t>
      </w:r>
    </w:p>
    <w:p w14:paraId="5C90B6FE" w14:textId="77777777" w:rsidR="002133E3" w:rsidRDefault="00C22CFA">
      <w:pPr>
        <w:spacing w:line="520" w:lineRule="exact"/>
        <w:ind w:firstLine="560"/>
        <w:rPr>
          <w:rFonts w:ascii="Times New Roman" w:eastAsia="宋体" w:hAnsi="Times New Roman" w:cs="Times New Roman"/>
          <w:sz w:val="28"/>
          <w:szCs w:val="28"/>
        </w:rPr>
      </w:pPr>
      <w:r>
        <w:rPr>
          <w:rFonts w:ascii="Times New Roman" w:eastAsia="宋体" w:hAnsi="Times New Roman" w:cs="Times New Roman"/>
          <w:sz w:val="28"/>
          <w:szCs w:val="28"/>
        </w:rPr>
        <w:t>大气影响评价自查表见表</w:t>
      </w:r>
      <w:r>
        <w:rPr>
          <w:rFonts w:ascii="Times New Roman" w:eastAsia="宋体" w:hAnsi="Times New Roman" w:cs="Times New Roman"/>
          <w:sz w:val="28"/>
          <w:szCs w:val="28"/>
        </w:rPr>
        <w:t>6.2-20.</w:t>
      </w:r>
    </w:p>
    <w:p w14:paraId="36C90B09"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6.2-20  </w:t>
      </w:r>
      <w:r>
        <w:rPr>
          <w:rFonts w:ascii="Times New Roman" w:eastAsia="宋体" w:hAnsi="Times New Roman" w:cs="Times New Roman"/>
          <w:b/>
          <w:sz w:val="24"/>
          <w:szCs w:val="24"/>
        </w:rPr>
        <w:t>建设项目大气环境影响评价自查表</w:t>
      </w: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1029"/>
        <w:gridCol w:w="1770"/>
        <w:gridCol w:w="1024"/>
        <w:gridCol w:w="394"/>
        <w:gridCol w:w="27"/>
        <w:gridCol w:w="93"/>
        <w:gridCol w:w="407"/>
        <w:gridCol w:w="123"/>
        <w:gridCol w:w="591"/>
        <w:gridCol w:w="402"/>
        <w:gridCol w:w="85"/>
        <w:gridCol w:w="26"/>
        <w:gridCol w:w="979"/>
        <w:gridCol w:w="191"/>
        <w:gridCol w:w="651"/>
        <w:gridCol w:w="447"/>
        <w:gridCol w:w="512"/>
        <w:gridCol w:w="763"/>
      </w:tblGrid>
      <w:tr w:rsidR="002133E3" w14:paraId="02F84414" w14:textId="77777777">
        <w:trPr>
          <w:trHeight w:val="260"/>
          <w:jc w:val="center"/>
        </w:trPr>
        <w:tc>
          <w:tcPr>
            <w:tcW w:w="2799" w:type="dxa"/>
            <w:gridSpan w:val="2"/>
            <w:tcBorders>
              <w:bottom w:val="single" w:sz="6" w:space="0" w:color="000000"/>
              <w:right w:val="single" w:sz="6" w:space="0" w:color="000000"/>
            </w:tcBorders>
            <w:vAlign w:val="center"/>
          </w:tcPr>
          <w:p w14:paraId="59B92D2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工作内容</w:t>
            </w:r>
          </w:p>
        </w:tc>
        <w:tc>
          <w:tcPr>
            <w:tcW w:w="6715" w:type="dxa"/>
            <w:gridSpan w:val="16"/>
            <w:tcBorders>
              <w:left w:val="single" w:sz="6" w:space="0" w:color="000000"/>
              <w:bottom w:val="single" w:sz="6" w:space="0" w:color="000000"/>
            </w:tcBorders>
            <w:vAlign w:val="center"/>
          </w:tcPr>
          <w:p w14:paraId="3006766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自查项目</w:t>
            </w:r>
          </w:p>
        </w:tc>
      </w:tr>
      <w:tr w:rsidR="002133E3" w14:paraId="577B6AA4" w14:textId="77777777">
        <w:trPr>
          <w:trHeight w:val="260"/>
          <w:jc w:val="center"/>
        </w:trPr>
        <w:tc>
          <w:tcPr>
            <w:tcW w:w="1029" w:type="dxa"/>
            <w:vMerge w:val="restart"/>
            <w:tcBorders>
              <w:top w:val="single" w:sz="6" w:space="0" w:color="000000"/>
              <w:bottom w:val="single" w:sz="6" w:space="0" w:color="000000"/>
              <w:right w:val="single" w:sz="6" w:space="0" w:color="000000"/>
            </w:tcBorders>
            <w:vAlign w:val="center"/>
          </w:tcPr>
          <w:p w14:paraId="095868C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评价等级与范围</w:t>
            </w:r>
          </w:p>
        </w:tc>
        <w:tc>
          <w:tcPr>
            <w:tcW w:w="1770" w:type="dxa"/>
            <w:tcBorders>
              <w:top w:val="single" w:sz="6" w:space="0" w:color="000000"/>
              <w:left w:val="single" w:sz="6" w:space="0" w:color="000000"/>
              <w:bottom w:val="single" w:sz="6" w:space="0" w:color="000000"/>
              <w:right w:val="single" w:sz="6" w:space="0" w:color="000000"/>
            </w:tcBorders>
            <w:vAlign w:val="center"/>
          </w:tcPr>
          <w:p w14:paraId="1FB7F53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评价等级</w:t>
            </w:r>
          </w:p>
        </w:tc>
        <w:tc>
          <w:tcPr>
            <w:tcW w:w="2659" w:type="dxa"/>
            <w:gridSpan w:val="7"/>
            <w:tcBorders>
              <w:top w:val="single" w:sz="6" w:space="0" w:color="000000"/>
              <w:left w:val="single" w:sz="6" w:space="0" w:color="000000"/>
              <w:bottom w:val="single" w:sz="6" w:space="0" w:color="000000"/>
              <w:right w:val="single" w:sz="6" w:space="0" w:color="000000"/>
            </w:tcBorders>
            <w:vAlign w:val="center"/>
          </w:tcPr>
          <w:p w14:paraId="6F46C01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一级</w:t>
            </w:r>
            <w:r>
              <w:rPr>
                <w:rFonts w:ascii="Times New Roman" w:eastAsia="宋体" w:hAnsi="Times New Roman" w:cs="Times New Roman"/>
                <w:szCs w:val="21"/>
              </w:rPr>
              <w:t>□</w:t>
            </w:r>
          </w:p>
        </w:tc>
        <w:tc>
          <w:tcPr>
            <w:tcW w:w="2334" w:type="dxa"/>
            <w:gridSpan w:val="6"/>
            <w:tcBorders>
              <w:top w:val="single" w:sz="6" w:space="0" w:color="000000"/>
              <w:left w:val="single" w:sz="6" w:space="0" w:color="000000"/>
              <w:bottom w:val="single" w:sz="6" w:space="0" w:color="000000"/>
              <w:right w:val="single" w:sz="6" w:space="0" w:color="000000"/>
            </w:tcBorders>
            <w:vAlign w:val="center"/>
          </w:tcPr>
          <w:p w14:paraId="08443F1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二级</w:t>
            </w:r>
            <w:r>
              <w:rPr>
                <w:rFonts w:ascii="Times New Roman" w:eastAsia="宋体" w:hAnsi="Times New Roman" w:cs="Times New Roman"/>
                <w:szCs w:val="21"/>
              </w:rPr>
              <w:sym w:font="Wingdings 2" w:char="0052"/>
            </w:r>
          </w:p>
        </w:tc>
        <w:tc>
          <w:tcPr>
            <w:tcW w:w="1722" w:type="dxa"/>
            <w:gridSpan w:val="3"/>
            <w:tcBorders>
              <w:top w:val="single" w:sz="6" w:space="0" w:color="000000"/>
              <w:left w:val="single" w:sz="6" w:space="0" w:color="000000"/>
              <w:bottom w:val="single" w:sz="6" w:space="0" w:color="000000"/>
            </w:tcBorders>
            <w:vAlign w:val="center"/>
          </w:tcPr>
          <w:p w14:paraId="3D35E41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三级</w:t>
            </w:r>
            <w:r>
              <w:rPr>
                <w:rFonts w:ascii="Times New Roman" w:eastAsia="宋体" w:hAnsi="Times New Roman" w:cs="Times New Roman"/>
                <w:szCs w:val="21"/>
              </w:rPr>
              <w:t>□</w:t>
            </w:r>
          </w:p>
        </w:tc>
      </w:tr>
      <w:tr w:rsidR="002133E3" w14:paraId="1FF480C6" w14:textId="77777777">
        <w:trPr>
          <w:trHeight w:val="258"/>
          <w:jc w:val="center"/>
        </w:trPr>
        <w:tc>
          <w:tcPr>
            <w:tcW w:w="1029" w:type="dxa"/>
            <w:vMerge/>
            <w:tcBorders>
              <w:top w:val="nil"/>
              <w:bottom w:val="single" w:sz="6" w:space="0" w:color="000000"/>
              <w:right w:val="single" w:sz="6" w:space="0" w:color="000000"/>
            </w:tcBorders>
            <w:vAlign w:val="center"/>
          </w:tcPr>
          <w:p w14:paraId="34B70932"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6CE8810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评价范围</w:t>
            </w:r>
          </w:p>
        </w:tc>
        <w:tc>
          <w:tcPr>
            <w:tcW w:w="2659" w:type="dxa"/>
            <w:gridSpan w:val="7"/>
            <w:tcBorders>
              <w:top w:val="single" w:sz="6" w:space="0" w:color="000000"/>
              <w:left w:val="single" w:sz="6" w:space="0" w:color="000000"/>
              <w:bottom w:val="single" w:sz="6" w:space="0" w:color="000000"/>
              <w:right w:val="single" w:sz="6" w:space="0" w:color="000000"/>
            </w:tcBorders>
            <w:vAlign w:val="center"/>
          </w:tcPr>
          <w:p w14:paraId="2EABD14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=50km□</w:t>
            </w:r>
          </w:p>
        </w:tc>
        <w:tc>
          <w:tcPr>
            <w:tcW w:w="2334" w:type="dxa"/>
            <w:gridSpan w:val="6"/>
            <w:tcBorders>
              <w:top w:val="single" w:sz="6" w:space="0" w:color="000000"/>
              <w:left w:val="single" w:sz="6" w:space="0" w:color="000000"/>
              <w:bottom w:val="single" w:sz="6" w:space="0" w:color="000000"/>
              <w:right w:val="single" w:sz="6" w:space="0" w:color="000000"/>
            </w:tcBorders>
            <w:vAlign w:val="center"/>
          </w:tcPr>
          <w:p w14:paraId="1088468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w:t>
            </w:r>
            <w:r>
              <w:rPr>
                <w:rFonts w:ascii="Times New Roman" w:eastAsia="宋体" w:hAnsi="Times New Roman" w:cs="Times New Roman"/>
                <w:szCs w:val="21"/>
              </w:rPr>
              <w:t>～</w:t>
            </w:r>
            <w:r>
              <w:rPr>
                <w:rFonts w:ascii="Times New Roman" w:eastAsia="宋体" w:hAnsi="Times New Roman" w:cs="Times New Roman"/>
                <w:szCs w:val="21"/>
              </w:rPr>
              <w:t>50km</w:t>
            </w:r>
            <w:r>
              <w:rPr>
                <w:rFonts w:ascii="Times New Roman" w:eastAsia="宋体" w:hAnsi="Times New Roman" w:cs="Times New Roman"/>
                <w:szCs w:val="21"/>
              </w:rPr>
              <w:sym w:font="Wingdings 2" w:char="00A3"/>
            </w:r>
          </w:p>
        </w:tc>
        <w:tc>
          <w:tcPr>
            <w:tcW w:w="1722" w:type="dxa"/>
            <w:gridSpan w:val="3"/>
            <w:tcBorders>
              <w:top w:val="single" w:sz="6" w:space="0" w:color="000000"/>
              <w:left w:val="single" w:sz="6" w:space="0" w:color="000000"/>
              <w:bottom w:val="single" w:sz="6" w:space="0" w:color="000000"/>
            </w:tcBorders>
            <w:vAlign w:val="center"/>
          </w:tcPr>
          <w:p w14:paraId="570618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=5km</w:t>
            </w:r>
            <w:r>
              <w:rPr>
                <w:rFonts w:ascii="Times New Roman" w:eastAsia="宋体" w:hAnsi="Times New Roman" w:cs="Times New Roman"/>
                <w:szCs w:val="21"/>
              </w:rPr>
              <w:sym w:font="Wingdings 2" w:char="0052"/>
            </w:r>
          </w:p>
        </w:tc>
      </w:tr>
      <w:tr w:rsidR="002133E3" w14:paraId="7DA8D62F" w14:textId="77777777">
        <w:trPr>
          <w:trHeight w:val="261"/>
          <w:jc w:val="center"/>
        </w:trPr>
        <w:tc>
          <w:tcPr>
            <w:tcW w:w="1029" w:type="dxa"/>
            <w:vMerge w:val="restart"/>
            <w:tcBorders>
              <w:top w:val="single" w:sz="6" w:space="0" w:color="000000"/>
              <w:bottom w:val="single" w:sz="6" w:space="0" w:color="000000"/>
              <w:right w:val="single" w:sz="6" w:space="0" w:color="000000"/>
            </w:tcBorders>
            <w:vAlign w:val="center"/>
          </w:tcPr>
          <w:p w14:paraId="01FCDF0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评价因子</w:t>
            </w:r>
          </w:p>
        </w:tc>
        <w:tc>
          <w:tcPr>
            <w:tcW w:w="1770" w:type="dxa"/>
            <w:tcBorders>
              <w:top w:val="single" w:sz="6" w:space="0" w:color="000000"/>
              <w:left w:val="single" w:sz="6" w:space="0" w:color="000000"/>
              <w:bottom w:val="single" w:sz="6" w:space="0" w:color="000000"/>
              <w:right w:val="single" w:sz="6" w:space="0" w:color="000000"/>
            </w:tcBorders>
            <w:vAlign w:val="center"/>
          </w:tcPr>
          <w:p w14:paraId="5D050B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position w:val="1"/>
                <w:szCs w:val="21"/>
              </w:rPr>
              <w:t>SO</w:t>
            </w:r>
            <w:r>
              <w:rPr>
                <w:rFonts w:ascii="Times New Roman" w:eastAsia="宋体" w:hAnsi="Times New Roman" w:cs="Times New Roman"/>
                <w:position w:val="1"/>
                <w:szCs w:val="21"/>
                <w:vertAlign w:val="subscript"/>
              </w:rPr>
              <w:t>2</w:t>
            </w:r>
            <w:r>
              <w:rPr>
                <w:rFonts w:ascii="Times New Roman" w:eastAsia="宋体" w:hAnsi="Times New Roman" w:cs="Times New Roman"/>
                <w:position w:val="1"/>
                <w:szCs w:val="21"/>
              </w:rPr>
              <w:t>+NO</w:t>
            </w:r>
            <w:r>
              <w:rPr>
                <w:rFonts w:ascii="Times New Roman" w:eastAsia="宋体" w:hAnsi="Times New Roman" w:cs="Times New Roman"/>
                <w:i/>
                <w:szCs w:val="21"/>
              </w:rPr>
              <w:t>x</w:t>
            </w:r>
            <w:r>
              <w:rPr>
                <w:rFonts w:ascii="Times New Roman" w:eastAsia="宋体" w:hAnsi="Times New Roman" w:cs="Times New Roman"/>
                <w:position w:val="1"/>
                <w:szCs w:val="21"/>
              </w:rPr>
              <w:t>排放量</w:t>
            </w:r>
          </w:p>
        </w:tc>
        <w:tc>
          <w:tcPr>
            <w:tcW w:w="1418" w:type="dxa"/>
            <w:gridSpan w:val="2"/>
            <w:tcBorders>
              <w:top w:val="single" w:sz="6" w:space="0" w:color="000000"/>
              <w:left w:val="single" w:sz="6" w:space="0" w:color="000000"/>
              <w:bottom w:val="single" w:sz="6" w:space="0" w:color="000000"/>
              <w:right w:val="single" w:sz="6" w:space="0" w:color="000000"/>
            </w:tcBorders>
            <w:vAlign w:val="center"/>
          </w:tcPr>
          <w:p w14:paraId="2587AC1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≥2000t/a□</w:t>
            </w:r>
          </w:p>
        </w:tc>
        <w:tc>
          <w:tcPr>
            <w:tcW w:w="3575" w:type="dxa"/>
            <w:gridSpan w:val="11"/>
            <w:tcBorders>
              <w:top w:val="single" w:sz="6" w:space="0" w:color="000000"/>
              <w:left w:val="single" w:sz="6" w:space="0" w:color="000000"/>
              <w:bottom w:val="single" w:sz="6" w:space="0" w:color="000000"/>
              <w:right w:val="single" w:sz="6" w:space="0" w:color="000000"/>
            </w:tcBorders>
            <w:vAlign w:val="center"/>
          </w:tcPr>
          <w:p w14:paraId="60E15E9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500~2000t/a□</w:t>
            </w:r>
          </w:p>
        </w:tc>
        <w:tc>
          <w:tcPr>
            <w:tcW w:w="1722" w:type="dxa"/>
            <w:gridSpan w:val="3"/>
            <w:tcBorders>
              <w:top w:val="single" w:sz="6" w:space="0" w:color="000000"/>
              <w:left w:val="single" w:sz="6" w:space="0" w:color="000000"/>
              <w:bottom w:val="single" w:sz="6" w:space="0" w:color="000000"/>
            </w:tcBorders>
            <w:vAlign w:val="center"/>
          </w:tcPr>
          <w:p w14:paraId="40F7CE0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500t/a</w:t>
            </w:r>
            <w:r>
              <w:rPr>
                <w:rFonts w:ascii="Times New Roman" w:eastAsia="宋体" w:hAnsi="Times New Roman" w:cs="Times New Roman"/>
                <w:szCs w:val="21"/>
              </w:rPr>
              <w:sym w:font="Wingdings 2" w:char="0052"/>
            </w:r>
          </w:p>
        </w:tc>
      </w:tr>
      <w:tr w:rsidR="002133E3" w14:paraId="73A9EA18" w14:textId="77777777">
        <w:trPr>
          <w:trHeight w:val="645"/>
          <w:jc w:val="center"/>
        </w:trPr>
        <w:tc>
          <w:tcPr>
            <w:tcW w:w="1029" w:type="dxa"/>
            <w:vMerge/>
            <w:tcBorders>
              <w:top w:val="nil"/>
              <w:bottom w:val="single" w:sz="6" w:space="0" w:color="000000"/>
              <w:right w:val="single" w:sz="6" w:space="0" w:color="000000"/>
            </w:tcBorders>
            <w:vAlign w:val="center"/>
          </w:tcPr>
          <w:p w14:paraId="512DC6E1"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64337EA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评价因子</w:t>
            </w:r>
          </w:p>
        </w:tc>
        <w:tc>
          <w:tcPr>
            <w:tcW w:w="3146" w:type="dxa"/>
            <w:gridSpan w:val="9"/>
            <w:tcBorders>
              <w:top w:val="single" w:sz="6" w:space="0" w:color="000000"/>
              <w:left w:val="single" w:sz="6" w:space="0" w:color="000000"/>
              <w:bottom w:val="single" w:sz="6" w:space="0" w:color="000000"/>
              <w:right w:val="single" w:sz="6" w:space="0" w:color="000000"/>
            </w:tcBorders>
            <w:vAlign w:val="center"/>
          </w:tcPr>
          <w:p w14:paraId="268FA3FE" w14:textId="77777777" w:rsidR="002133E3" w:rsidRDefault="00C22CFA">
            <w:pPr>
              <w:tabs>
                <w:tab w:val="left" w:pos="3078"/>
              </w:tabs>
              <w:jc w:val="center"/>
              <w:rPr>
                <w:rFonts w:ascii="Times New Roman" w:eastAsia="宋体" w:hAnsi="Times New Roman" w:cs="Times New Roman"/>
                <w:szCs w:val="21"/>
              </w:rPr>
            </w:pPr>
            <w:r>
              <w:rPr>
                <w:rFonts w:ascii="Times New Roman" w:eastAsia="宋体" w:hAnsi="Times New Roman" w:cs="Times New Roman"/>
                <w:szCs w:val="21"/>
              </w:rPr>
              <w:t>其他污染物</w:t>
            </w:r>
            <w:r>
              <w:rPr>
                <w:rFonts w:ascii="Times New Roman" w:eastAsia="宋体" w:hAnsi="Times New Roman" w:cs="Times New Roman"/>
                <w:szCs w:val="21"/>
              </w:rPr>
              <w:t>(</w:t>
            </w:r>
            <w:r>
              <w:rPr>
                <w:rFonts w:ascii="Times New Roman" w:eastAsia="宋体" w:hAnsi="Times New Roman" w:cs="Times New Roman"/>
                <w:kern w:val="0"/>
                <w:szCs w:val="21"/>
              </w:rPr>
              <w:t>甲醇</w:t>
            </w:r>
            <w:r>
              <w:rPr>
                <w:rFonts w:ascii="Times New Roman" w:eastAsia="宋体" w:hAnsi="Times New Roman" w:cs="Times New Roman"/>
                <w:szCs w:val="21"/>
              </w:rPr>
              <w:t>、</w:t>
            </w:r>
            <w:r>
              <w:rPr>
                <w:rFonts w:ascii="Times New Roman" w:eastAsia="宋体" w:hAnsi="Times New Roman" w:cs="Times New Roman"/>
                <w:kern w:val="0"/>
                <w:szCs w:val="21"/>
              </w:rPr>
              <w:t>乙醇</w:t>
            </w:r>
            <w:r>
              <w:rPr>
                <w:rFonts w:ascii="Times New Roman" w:eastAsia="宋体" w:hAnsi="Times New Roman" w:cs="Times New Roman"/>
                <w:szCs w:val="21"/>
              </w:rPr>
              <w:t>、挥发性有机物</w:t>
            </w:r>
            <w:r>
              <w:rPr>
                <w:rFonts w:ascii="Times New Roman" w:eastAsia="宋体" w:hAnsi="Times New Roman" w:cs="Times New Roman"/>
                <w:szCs w:val="21"/>
              </w:rPr>
              <w:t xml:space="preserve"> )</w:t>
            </w:r>
          </w:p>
        </w:tc>
        <w:tc>
          <w:tcPr>
            <w:tcW w:w="3569" w:type="dxa"/>
            <w:gridSpan w:val="7"/>
            <w:tcBorders>
              <w:top w:val="single" w:sz="6" w:space="0" w:color="000000"/>
              <w:left w:val="single" w:sz="6" w:space="0" w:color="000000"/>
              <w:bottom w:val="single" w:sz="6" w:space="0" w:color="000000"/>
            </w:tcBorders>
            <w:vAlign w:val="center"/>
          </w:tcPr>
          <w:p w14:paraId="6F93056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position w:val="1"/>
                <w:szCs w:val="21"/>
              </w:rPr>
              <w:t>包括二次</w:t>
            </w:r>
            <w:r>
              <w:rPr>
                <w:rFonts w:ascii="Times New Roman" w:eastAsia="宋体" w:hAnsi="Times New Roman" w:cs="Times New Roman"/>
                <w:position w:val="1"/>
                <w:szCs w:val="21"/>
              </w:rPr>
              <w:t>PM</w:t>
            </w:r>
            <w:r>
              <w:rPr>
                <w:rFonts w:ascii="Times New Roman" w:eastAsia="宋体" w:hAnsi="Times New Roman" w:cs="Times New Roman"/>
                <w:position w:val="1"/>
                <w:szCs w:val="21"/>
                <w:vertAlign w:val="subscript"/>
              </w:rPr>
              <w:t>2.5</w:t>
            </w:r>
            <w:r>
              <w:rPr>
                <w:rFonts w:ascii="Times New Roman" w:eastAsia="宋体" w:hAnsi="Times New Roman" w:cs="Times New Roman"/>
                <w:position w:val="1"/>
                <w:szCs w:val="21"/>
              </w:rPr>
              <w:t>□</w:t>
            </w:r>
          </w:p>
          <w:p w14:paraId="7642970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position w:val="1"/>
                <w:szCs w:val="21"/>
              </w:rPr>
              <w:t>不包括二次</w:t>
            </w:r>
            <w:r>
              <w:rPr>
                <w:rFonts w:ascii="Times New Roman" w:eastAsia="宋体" w:hAnsi="Times New Roman" w:cs="Times New Roman"/>
                <w:position w:val="1"/>
                <w:szCs w:val="21"/>
              </w:rPr>
              <w:t>PM</w:t>
            </w:r>
            <w:r>
              <w:rPr>
                <w:rFonts w:ascii="Times New Roman" w:eastAsia="宋体" w:hAnsi="Times New Roman" w:cs="Times New Roman"/>
                <w:position w:val="1"/>
                <w:szCs w:val="21"/>
                <w:vertAlign w:val="subscript"/>
              </w:rPr>
              <w:t>2.5</w:t>
            </w:r>
            <w:r>
              <w:rPr>
                <w:rFonts w:ascii="Times New Roman" w:eastAsia="宋体" w:hAnsi="Times New Roman" w:cs="Times New Roman"/>
                <w:position w:val="1"/>
                <w:szCs w:val="21"/>
              </w:rPr>
              <w:sym w:font="Wingdings 2" w:char="0052"/>
            </w:r>
          </w:p>
        </w:tc>
      </w:tr>
      <w:tr w:rsidR="002133E3" w14:paraId="2B6B32FF" w14:textId="77777777">
        <w:trPr>
          <w:trHeight w:val="261"/>
          <w:jc w:val="center"/>
        </w:trPr>
        <w:tc>
          <w:tcPr>
            <w:tcW w:w="1029" w:type="dxa"/>
            <w:tcBorders>
              <w:top w:val="single" w:sz="6" w:space="0" w:color="000000"/>
              <w:bottom w:val="single" w:sz="6" w:space="0" w:color="000000"/>
              <w:right w:val="single" w:sz="6" w:space="0" w:color="000000"/>
            </w:tcBorders>
            <w:vAlign w:val="center"/>
          </w:tcPr>
          <w:p w14:paraId="58869E3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评价标准</w:t>
            </w:r>
          </w:p>
        </w:tc>
        <w:tc>
          <w:tcPr>
            <w:tcW w:w="1770" w:type="dxa"/>
            <w:tcBorders>
              <w:top w:val="single" w:sz="6" w:space="0" w:color="000000"/>
              <w:left w:val="single" w:sz="6" w:space="0" w:color="000000"/>
              <w:bottom w:val="single" w:sz="6" w:space="0" w:color="000000"/>
              <w:right w:val="single" w:sz="6" w:space="0" w:color="000000"/>
            </w:tcBorders>
            <w:vAlign w:val="center"/>
          </w:tcPr>
          <w:p w14:paraId="3F709BC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评价标准</w:t>
            </w:r>
          </w:p>
        </w:tc>
        <w:tc>
          <w:tcPr>
            <w:tcW w:w="2068" w:type="dxa"/>
            <w:gridSpan w:val="6"/>
            <w:tcBorders>
              <w:top w:val="single" w:sz="6" w:space="0" w:color="000000"/>
              <w:left w:val="single" w:sz="6" w:space="0" w:color="000000"/>
              <w:bottom w:val="single" w:sz="6" w:space="0" w:color="000000"/>
              <w:right w:val="single" w:sz="6" w:space="0" w:color="000000"/>
            </w:tcBorders>
            <w:vAlign w:val="center"/>
          </w:tcPr>
          <w:p w14:paraId="5E157F3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国家标准</w:t>
            </w:r>
            <w:r>
              <w:rPr>
                <w:rFonts w:ascii="Times New Roman" w:eastAsia="宋体" w:hAnsi="Times New Roman" w:cs="Times New Roman"/>
                <w:szCs w:val="21"/>
              </w:rPr>
              <w:sym w:font="Wingdings 2" w:char="0052"/>
            </w:r>
          </w:p>
        </w:tc>
        <w:tc>
          <w:tcPr>
            <w:tcW w:w="1078" w:type="dxa"/>
            <w:gridSpan w:val="3"/>
            <w:tcBorders>
              <w:top w:val="single" w:sz="6" w:space="0" w:color="000000"/>
              <w:left w:val="single" w:sz="6" w:space="0" w:color="000000"/>
              <w:bottom w:val="single" w:sz="6" w:space="0" w:color="000000"/>
              <w:right w:val="single" w:sz="6" w:space="0" w:color="000000"/>
            </w:tcBorders>
            <w:vAlign w:val="center"/>
          </w:tcPr>
          <w:p w14:paraId="79BED50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地方标准</w:t>
            </w:r>
            <w:r>
              <w:rPr>
                <w:rFonts w:ascii="Times New Roman" w:eastAsia="宋体" w:hAnsi="Times New Roman" w:cs="Times New Roman"/>
                <w:szCs w:val="21"/>
              </w:rPr>
              <w:sym w:font="Wingdings 2" w:char="00A3"/>
            </w:r>
          </w:p>
        </w:tc>
        <w:tc>
          <w:tcPr>
            <w:tcW w:w="2294" w:type="dxa"/>
            <w:gridSpan w:val="5"/>
            <w:tcBorders>
              <w:top w:val="single" w:sz="6" w:space="0" w:color="000000"/>
              <w:left w:val="single" w:sz="6" w:space="0" w:color="000000"/>
              <w:bottom w:val="single" w:sz="6" w:space="0" w:color="000000"/>
              <w:right w:val="single" w:sz="6" w:space="0" w:color="000000"/>
            </w:tcBorders>
            <w:vAlign w:val="center"/>
          </w:tcPr>
          <w:p w14:paraId="28FF11C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附录</w:t>
            </w:r>
            <w:r>
              <w:rPr>
                <w:rFonts w:ascii="Times New Roman" w:eastAsia="宋体" w:hAnsi="Times New Roman" w:cs="Times New Roman"/>
                <w:szCs w:val="21"/>
              </w:rPr>
              <w:t>D</w:t>
            </w:r>
            <w:r>
              <w:rPr>
                <w:rFonts w:ascii="Times New Roman" w:eastAsia="宋体" w:hAnsi="Times New Roman" w:cs="Times New Roman"/>
                <w:szCs w:val="21"/>
              </w:rPr>
              <w:sym w:font="Wingdings 2" w:char="0052"/>
            </w:r>
          </w:p>
        </w:tc>
        <w:tc>
          <w:tcPr>
            <w:tcW w:w="1275" w:type="dxa"/>
            <w:gridSpan w:val="2"/>
            <w:tcBorders>
              <w:top w:val="single" w:sz="6" w:space="0" w:color="000000"/>
              <w:left w:val="single" w:sz="6" w:space="0" w:color="000000"/>
              <w:bottom w:val="single" w:sz="6" w:space="0" w:color="000000"/>
            </w:tcBorders>
            <w:vAlign w:val="center"/>
          </w:tcPr>
          <w:p w14:paraId="5C5B08B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其他标准</w:t>
            </w:r>
            <w:r>
              <w:rPr>
                <w:rFonts w:ascii="Times New Roman" w:eastAsia="宋体" w:hAnsi="Times New Roman" w:cs="Times New Roman"/>
                <w:szCs w:val="21"/>
              </w:rPr>
              <w:sym w:font="Wingdings 2" w:char="0052"/>
            </w:r>
          </w:p>
        </w:tc>
      </w:tr>
      <w:tr w:rsidR="002133E3" w14:paraId="3E73475B" w14:textId="77777777">
        <w:trPr>
          <w:trHeight w:val="260"/>
          <w:jc w:val="center"/>
        </w:trPr>
        <w:tc>
          <w:tcPr>
            <w:tcW w:w="1029" w:type="dxa"/>
            <w:vMerge w:val="restart"/>
            <w:tcBorders>
              <w:top w:val="single" w:sz="6" w:space="0" w:color="000000"/>
              <w:bottom w:val="single" w:sz="6" w:space="0" w:color="000000"/>
              <w:right w:val="single" w:sz="6" w:space="0" w:color="000000"/>
            </w:tcBorders>
            <w:vAlign w:val="center"/>
          </w:tcPr>
          <w:p w14:paraId="4A902F8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现状评价</w:t>
            </w:r>
          </w:p>
        </w:tc>
        <w:tc>
          <w:tcPr>
            <w:tcW w:w="1770" w:type="dxa"/>
            <w:tcBorders>
              <w:top w:val="single" w:sz="6" w:space="0" w:color="000000"/>
              <w:left w:val="single" w:sz="6" w:space="0" w:color="000000"/>
              <w:bottom w:val="single" w:sz="6" w:space="0" w:color="000000"/>
              <w:right w:val="single" w:sz="6" w:space="0" w:color="000000"/>
            </w:tcBorders>
            <w:vAlign w:val="center"/>
          </w:tcPr>
          <w:p w14:paraId="187C7EE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环境功能区</w:t>
            </w:r>
          </w:p>
        </w:tc>
        <w:tc>
          <w:tcPr>
            <w:tcW w:w="2659" w:type="dxa"/>
            <w:gridSpan w:val="7"/>
            <w:tcBorders>
              <w:top w:val="single" w:sz="6" w:space="0" w:color="000000"/>
              <w:left w:val="single" w:sz="6" w:space="0" w:color="000000"/>
              <w:bottom w:val="single" w:sz="6" w:space="0" w:color="000000"/>
              <w:right w:val="single" w:sz="6" w:space="0" w:color="000000"/>
            </w:tcBorders>
            <w:vAlign w:val="center"/>
          </w:tcPr>
          <w:p w14:paraId="7B1C249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一类区</w:t>
            </w:r>
            <w:r>
              <w:rPr>
                <w:rFonts w:ascii="Times New Roman" w:eastAsia="宋体" w:hAnsi="Times New Roman" w:cs="Times New Roman"/>
                <w:szCs w:val="21"/>
              </w:rPr>
              <w:t>□</w:t>
            </w:r>
          </w:p>
        </w:tc>
        <w:tc>
          <w:tcPr>
            <w:tcW w:w="2334" w:type="dxa"/>
            <w:gridSpan w:val="6"/>
            <w:tcBorders>
              <w:top w:val="single" w:sz="6" w:space="0" w:color="000000"/>
              <w:left w:val="single" w:sz="6" w:space="0" w:color="000000"/>
              <w:bottom w:val="single" w:sz="6" w:space="0" w:color="000000"/>
              <w:right w:val="single" w:sz="6" w:space="0" w:color="000000"/>
            </w:tcBorders>
            <w:vAlign w:val="center"/>
          </w:tcPr>
          <w:p w14:paraId="01B5F26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二类区</w:t>
            </w:r>
            <w:r>
              <w:rPr>
                <w:rFonts w:ascii="Times New Roman" w:eastAsia="宋体" w:hAnsi="Times New Roman" w:cs="Times New Roman"/>
                <w:szCs w:val="21"/>
              </w:rPr>
              <w:sym w:font="Wingdings 2" w:char="0052"/>
            </w:r>
          </w:p>
        </w:tc>
        <w:tc>
          <w:tcPr>
            <w:tcW w:w="1722" w:type="dxa"/>
            <w:gridSpan w:val="3"/>
            <w:tcBorders>
              <w:top w:val="single" w:sz="6" w:space="0" w:color="000000"/>
              <w:left w:val="single" w:sz="6" w:space="0" w:color="000000"/>
              <w:bottom w:val="single" w:sz="6" w:space="0" w:color="000000"/>
            </w:tcBorders>
            <w:vAlign w:val="center"/>
          </w:tcPr>
          <w:p w14:paraId="3C204E9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一类区和二类区</w:t>
            </w:r>
            <w:r>
              <w:rPr>
                <w:rFonts w:ascii="Times New Roman" w:eastAsia="宋体" w:hAnsi="Times New Roman" w:cs="Times New Roman"/>
                <w:szCs w:val="21"/>
              </w:rPr>
              <w:t>□</w:t>
            </w:r>
          </w:p>
        </w:tc>
      </w:tr>
      <w:tr w:rsidR="002133E3" w14:paraId="53F7690C" w14:textId="77777777">
        <w:trPr>
          <w:trHeight w:val="258"/>
          <w:jc w:val="center"/>
        </w:trPr>
        <w:tc>
          <w:tcPr>
            <w:tcW w:w="1029" w:type="dxa"/>
            <w:vMerge/>
            <w:tcBorders>
              <w:top w:val="nil"/>
              <w:bottom w:val="single" w:sz="6" w:space="0" w:color="000000"/>
              <w:right w:val="single" w:sz="6" w:space="0" w:color="000000"/>
            </w:tcBorders>
            <w:vAlign w:val="center"/>
          </w:tcPr>
          <w:p w14:paraId="67853264"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7BEB195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评价基准年</w:t>
            </w:r>
          </w:p>
        </w:tc>
        <w:tc>
          <w:tcPr>
            <w:tcW w:w="6715" w:type="dxa"/>
            <w:gridSpan w:val="16"/>
            <w:tcBorders>
              <w:top w:val="single" w:sz="6" w:space="0" w:color="000000"/>
              <w:left w:val="single" w:sz="6" w:space="0" w:color="000000"/>
              <w:bottom w:val="single" w:sz="6" w:space="0" w:color="000000"/>
            </w:tcBorders>
            <w:vAlign w:val="center"/>
          </w:tcPr>
          <w:p w14:paraId="053817D8" w14:textId="77777777" w:rsidR="002133E3" w:rsidRDefault="00C22CFA">
            <w:pPr>
              <w:tabs>
                <w:tab w:val="left" w:pos="658"/>
              </w:tabs>
              <w:jc w:val="center"/>
              <w:rPr>
                <w:rFonts w:ascii="Times New Roman" w:eastAsia="宋体" w:hAnsi="Times New Roman" w:cs="Times New Roman"/>
                <w:szCs w:val="21"/>
              </w:rPr>
            </w:pPr>
            <w:r>
              <w:rPr>
                <w:rFonts w:ascii="Times New Roman" w:eastAsia="宋体" w:hAnsi="Times New Roman" w:cs="Times New Roman"/>
                <w:szCs w:val="21"/>
              </w:rPr>
              <w:t>(2019</w:t>
            </w:r>
            <w:r>
              <w:rPr>
                <w:rFonts w:ascii="Times New Roman" w:eastAsia="宋体" w:hAnsi="Times New Roman" w:cs="Times New Roman"/>
                <w:szCs w:val="21"/>
              </w:rPr>
              <w:t>、</w:t>
            </w:r>
            <w:r>
              <w:rPr>
                <w:rFonts w:ascii="Times New Roman" w:eastAsia="宋体" w:hAnsi="Times New Roman" w:cs="Times New Roman"/>
                <w:szCs w:val="21"/>
              </w:rPr>
              <w:t>2020)</w:t>
            </w:r>
            <w:r>
              <w:rPr>
                <w:rFonts w:ascii="Times New Roman" w:eastAsia="宋体" w:hAnsi="Times New Roman" w:cs="Times New Roman"/>
                <w:szCs w:val="21"/>
              </w:rPr>
              <w:t>年</w:t>
            </w:r>
          </w:p>
        </w:tc>
      </w:tr>
      <w:tr w:rsidR="002133E3" w14:paraId="13ABAB42" w14:textId="77777777">
        <w:trPr>
          <w:trHeight w:val="520"/>
          <w:jc w:val="center"/>
        </w:trPr>
        <w:tc>
          <w:tcPr>
            <w:tcW w:w="1029" w:type="dxa"/>
            <w:vMerge/>
            <w:tcBorders>
              <w:top w:val="nil"/>
              <w:bottom w:val="single" w:sz="6" w:space="0" w:color="000000"/>
              <w:right w:val="single" w:sz="6" w:space="0" w:color="000000"/>
            </w:tcBorders>
            <w:vAlign w:val="center"/>
          </w:tcPr>
          <w:p w14:paraId="5585D84F"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0AC83E9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环境空气质量</w:t>
            </w:r>
          </w:p>
          <w:p w14:paraId="3F1521C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现状调查数据来源</w:t>
            </w:r>
          </w:p>
        </w:tc>
        <w:tc>
          <w:tcPr>
            <w:tcW w:w="2659" w:type="dxa"/>
            <w:gridSpan w:val="7"/>
            <w:tcBorders>
              <w:top w:val="single" w:sz="6" w:space="0" w:color="000000"/>
              <w:left w:val="single" w:sz="6" w:space="0" w:color="000000"/>
              <w:bottom w:val="single" w:sz="6" w:space="0" w:color="000000"/>
              <w:right w:val="single" w:sz="6" w:space="0" w:color="000000"/>
            </w:tcBorders>
            <w:vAlign w:val="center"/>
          </w:tcPr>
          <w:p w14:paraId="28BDDF1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长期例行监测数据</w:t>
            </w:r>
            <w:r>
              <w:rPr>
                <w:rFonts w:ascii="Times New Roman" w:eastAsia="宋体" w:hAnsi="Times New Roman" w:cs="Times New Roman"/>
                <w:szCs w:val="21"/>
              </w:rPr>
              <w:t>□</w:t>
            </w:r>
          </w:p>
        </w:tc>
        <w:tc>
          <w:tcPr>
            <w:tcW w:w="2334" w:type="dxa"/>
            <w:gridSpan w:val="6"/>
            <w:tcBorders>
              <w:top w:val="single" w:sz="6" w:space="0" w:color="000000"/>
              <w:left w:val="single" w:sz="6" w:space="0" w:color="000000"/>
              <w:bottom w:val="single" w:sz="6" w:space="0" w:color="000000"/>
              <w:right w:val="single" w:sz="6" w:space="0" w:color="000000"/>
            </w:tcBorders>
            <w:vAlign w:val="center"/>
          </w:tcPr>
          <w:p w14:paraId="1723F1E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主管部门发布的数据</w:t>
            </w:r>
            <w:r>
              <w:rPr>
                <w:rFonts w:ascii="Times New Roman" w:eastAsia="宋体" w:hAnsi="Times New Roman" w:cs="Times New Roman"/>
                <w:szCs w:val="21"/>
              </w:rPr>
              <w:sym w:font="Wingdings 2" w:char="0052"/>
            </w:r>
          </w:p>
        </w:tc>
        <w:tc>
          <w:tcPr>
            <w:tcW w:w="1722" w:type="dxa"/>
            <w:gridSpan w:val="3"/>
            <w:tcBorders>
              <w:top w:val="single" w:sz="6" w:space="0" w:color="000000"/>
              <w:left w:val="single" w:sz="6" w:space="0" w:color="000000"/>
              <w:bottom w:val="single" w:sz="6" w:space="0" w:color="000000"/>
            </w:tcBorders>
            <w:vAlign w:val="center"/>
          </w:tcPr>
          <w:p w14:paraId="590443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现状补充监测</w:t>
            </w:r>
            <w:r>
              <w:rPr>
                <w:rFonts w:ascii="Times New Roman" w:eastAsia="宋体" w:hAnsi="Times New Roman" w:cs="Times New Roman"/>
                <w:szCs w:val="21"/>
              </w:rPr>
              <w:sym w:font="Wingdings 2" w:char="0052"/>
            </w:r>
          </w:p>
        </w:tc>
      </w:tr>
      <w:tr w:rsidR="002133E3" w14:paraId="041F213F" w14:textId="77777777">
        <w:trPr>
          <w:trHeight w:val="260"/>
          <w:jc w:val="center"/>
        </w:trPr>
        <w:tc>
          <w:tcPr>
            <w:tcW w:w="1029" w:type="dxa"/>
            <w:vMerge/>
            <w:tcBorders>
              <w:top w:val="nil"/>
              <w:bottom w:val="single" w:sz="6" w:space="0" w:color="000000"/>
              <w:right w:val="single" w:sz="6" w:space="0" w:color="000000"/>
            </w:tcBorders>
            <w:vAlign w:val="center"/>
          </w:tcPr>
          <w:p w14:paraId="3BD5CB22"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13DEAE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现状评价</w:t>
            </w:r>
          </w:p>
        </w:tc>
        <w:tc>
          <w:tcPr>
            <w:tcW w:w="3146" w:type="dxa"/>
            <w:gridSpan w:val="9"/>
            <w:tcBorders>
              <w:top w:val="single" w:sz="6" w:space="0" w:color="000000"/>
              <w:left w:val="single" w:sz="6" w:space="0" w:color="000000"/>
              <w:bottom w:val="single" w:sz="6" w:space="0" w:color="000000"/>
              <w:right w:val="single" w:sz="6" w:space="0" w:color="000000"/>
            </w:tcBorders>
            <w:vAlign w:val="center"/>
          </w:tcPr>
          <w:p w14:paraId="60CA9BC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达标区</w:t>
            </w:r>
            <w:r>
              <w:rPr>
                <w:rFonts w:ascii="Times New Roman" w:eastAsia="宋体" w:hAnsi="Times New Roman" w:cs="Times New Roman"/>
                <w:szCs w:val="21"/>
              </w:rPr>
              <w:t>□</w:t>
            </w:r>
          </w:p>
        </w:tc>
        <w:tc>
          <w:tcPr>
            <w:tcW w:w="3569" w:type="dxa"/>
            <w:gridSpan w:val="7"/>
            <w:tcBorders>
              <w:top w:val="single" w:sz="6" w:space="0" w:color="000000"/>
              <w:left w:val="single" w:sz="6" w:space="0" w:color="000000"/>
              <w:bottom w:val="single" w:sz="6" w:space="0" w:color="000000"/>
            </w:tcBorders>
            <w:vAlign w:val="center"/>
          </w:tcPr>
          <w:p w14:paraId="57C6E3D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不达标区</w:t>
            </w:r>
            <w:r>
              <w:rPr>
                <w:rFonts w:ascii="Times New Roman" w:eastAsia="宋体" w:hAnsi="Times New Roman" w:cs="Times New Roman"/>
                <w:szCs w:val="21"/>
              </w:rPr>
              <w:sym w:font="Wingdings 2" w:char="0052"/>
            </w:r>
          </w:p>
        </w:tc>
      </w:tr>
      <w:tr w:rsidR="002133E3" w14:paraId="6B9E1C05" w14:textId="77777777">
        <w:trPr>
          <w:trHeight w:val="779"/>
          <w:jc w:val="center"/>
        </w:trPr>
        <w:tc>
          <w:tcPr>
            <w:tcW w:w="1029" w:type="dxa"/>
            <w:tcBorders>
              <w:top w:val="single" w:sz="6" w:space="0" w:color="000000"/>
              <w:bottom w:val="single" w:sz="6" w:space="0" w:color="000000"/>
              <w:right w:val="single" w:sz="6" w:space="0" w:color="000000"/>
            </w:tcBorders>
            <w:vAlign w:val="center"/>
          </w:tcPr>
          <w:p w14:paraId="394B309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污染源调查</w:t>
            </w:r>
          </w:p>
        </w:tc>
        <w:tc>
          <w:tcPr>
            <w:tcW w:w="1770" w:type="dxa"/>
            <w:tcBorders>
              <w:top w:val="single" w:sz="6" w:space="0" w:color="000000"/>
              <w:left w:val="single" w:sz="6" w:space="0" w:color="000000"/>
              <w:bottom w:val="single" w:sz="6" w:space="0" w:color="000000"/>
              <w:right w:val="single" w:sz="6" w:space="0" w:color="000000"/>
            </w:tcBorders>
            <w:vAlign w:val="center"/>
          </w:tcPr>
          <w:p w14:paraId="1493443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调查内容</w:t>
            </w:r>
          </w:p>
        </w:tc>
        <w:tc>
          <w:tcPr>
            <w:tcW w:w="2068" w:type="dxa"/>
            <w:gridSpan w:val="6"/>
            <w:tcBorders>
              <w:top w:val="single" w:sz="6" w:space="0" w:color="000000"/>
              <w:left w:val="single" w:sz="6" w:space="0" w:color="000000"/>
              <w:bottom w:val="single" w:sz="6" w:space="0" w:color="000000"/>
              <w:right w:val="single" w:sz="6" w:space="0" w:color="000000"/>
            </w:tcBorders>
            <w:vAlign w:val="center"/>
          </w:tcPr>
          <w:p w14:paraId="70AC5FB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本项目正常排放源</w:t>
            </w:r>
            <w:r>
              <w:rPr>
                <w:rFonts w:ascii="Times New Roman" w:eastAsia="宋体" w:hAnsi="Times New Roman" w:cs="Times New Roman"/>
                <w:szCs w:val="21"/>
              </w:rPr>
              <w:sym w:font="Wingdings 2" w:char="0052"/>
            </w:r>
          </w:p>
          <w:p w14:paraId="1FE023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本项目非正常排放源</w:t>
            </w:r>
            <w:r>
              <w:rPr>
                <w:rFonts w:ascii="Times New Roman" w:eastAsia="宋体" w:hAnsi="Times New Roman" w:cs="Times New Roman"/>
                <w:szCs w:val="21"/>
              </w:rPr>
              <w:sym w:font="Wingdings 2" w:char="0052"/>
            </w:r>
          </w:p>
          <w:p w14:paraId="74C1BE9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现有污染源</w:t>
            </w:r>
            <w:r>
              <w:rPr>
                <w:rFonts w:ascii="Times New Roman" w:eastAsia="宋体" w:hAnsi="Times New Roman" w:cs="Times New Roman"/>
                <w:szCs w:val="21"/>
              </w:rPr>
              <w:sym w:font="Wingdings 2" w:char="0052"/>
            </w:r>
          </w:p>
        </w:tc>
        <w:tc>
          <w:tcPr>
            <w:tcW w:w="1078" w:type="dxa"/>
            <w:gridSpan w:val="3"/>
            <w:tcBorders>
              <w:top w:val="single" w:sz="6" w:space="0" w:color="000000"/>
              <w:left w:val="single" w:sz="6" w:space="0" w:color="000000"/>
              <w:bottom w:val="single" w:sz="6" w:space="0" w:color="000000"/>
              <w:right w:val="single" w:sz="6" w:space="0" w:color="000000"/>
            </w:tcBorders>
            <w:vAlign w:val="center"/>
          </w:tcPr>
          <w:p w14:paraId="47BA11F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拟替代的污染源</w:t>
            </w:r>
            <w:r>
              <w:rPr>
                <w:rFonts w:ascii="Times New Roman" w:eastAsia="宋体" w:hAnsi="Times New Roman" w:cs="Times New Roman"/>
                <w:szCs w:val="21"/>
              </w:rPr>
              <w:t>□</w:t>
            </w:r>
          </w:p>
        </w:tc>
        <w:tc>
          <w:tcPr>
            <w:tcW w:w="2294" w:type="dxa"/>
            <w:gridSpan w:val="5"/>
            <w:tcBorders>
              <w:top w:val="single" w:sz="6" w:space="0" w:color="000000"/>
              <w:left w:val="single" w:sz="6" w:space="0" w:color="000000"/>
              <w:bottom w:val="single" w:sz="6" w:space="0" w:color="000000"/>
              <w:right w:val="single" w:sz="6" w:space="0" w:color="000000"/>
            </w:tcBorders>
            <w:vAlign w:val="center"/>
          </w:tcPr>
          <w:p w14:paraId="4850A3B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其他在建、拟建项目污染源</w:t>
            </w:r>
            <w:r>
              <w:rPr>
                <w:rFonts w:ascii="Times New Roman" w:eastAsia="宋体" w:hAnsi="Times New Roman" w:cs="Times New Roman"/>
                <w:szCs w:val="21"/>
              </w:rPr>
              <w:t>□</w:t>
            </w:r>
          </w:p>
        </w:tc>
        <w:tc>
          <w:tcPr>
            <w:tcW w:w="1275" w:type="dxa"/>
            <w:gridSpan w:val="2"/>
            <w:tcBorders>
              <w:top w:val="single" w:sz="6" w:space="0" w:color="000000"/>
              <w:left w:val="single" w:sz="6" w:space="0" w:color="000000"/>
              <w:bottom w:val="single" w:sz="6" w:space="0" w:color="000000"/>
            </w:tcBorders>
            <w:vAlign w:val="center"/>
          </w:tcPr>
          <w:p w14:paraId="58A5CC5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区域污染源</w:t>
            </w:r>
            <w:r>
              <w:rPr>
                <w:rFonts w:ascii="Times New Roman" w:eastAsia="宋体" w:hAnsi="Times New Roman" w:cs="Times New Roman"/>
                <w:szCs w:val="21"/>
              </w:rPr>
              <w:t>□</w:t>
            </w:r>
          </w:p>
        </w:tc>
      </w:tr>
      <w:tr w:rsidR="002133E3" w14:paraId="5D363C01" w14:textId="77777777">
        <w:trPr>
          <w:trHeight w:val="520"/>
          <w:jc w:val="center"/>
        </w:trPr>
        <w:tc>
          <w:tcPr>
            <w:tcW w:w="1029" w:type="dxa"/>
            <w:vMerge w:val="restart"/>
            <w:tcBorders>
              <w:top w:val="single" w:sz="6" w:space="0" w:color="000000"/>
              <w:bottom w:val="single" w:sz="6" w:space="0" w:color="000000"/>
              <w:right w:val="single" w:sz="6" w:space="0" w:color="000000"/>
            </w:tcBorders>
            <w:vAlign w:val="center"/>
          </w:tcPr>
          <w:p w14:paraId="2BA5DEE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大气环境影响预测与</w:t>
            </w:r>
          </w:p>
          <w:p w14:paraId="1565442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w:t>
            </w:r>
          </w:p>
        </w:tc>
        <w:tc>
          <w:tcPr>
            <w:tcW w:w="1770" w:type="dxa"/>
            <w:tcBorders>
              <w:top w:val="single" w:sz="6" w:space="0" w:color="000000"/>
              <w:left w:val="single" w:sz="6" w:space="0" w:color="000000"/>
              <w:bottom w:val="single" w:sz="6" w:space="0" w:color="000000"/>
              <w:right w:val="single" w:sz="6" w:space="0" w:color="000000"/>
            </w:tcBorders>
            <w:vAlign w:val="center"/>
          </w:tcPr>
          <w:p w14:paraId="68F32AE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预测模型</w:t>
            </w:r>
          </w:p>
        </w:tc>
        <w:tc>
          <w:tcPr>
            <w:tcW w:w="1024" w:type="dxa"/>
            <w:tcBorders>
              <w:top w:val="single" w:sz="6" w:space="0" w:color="000000"/>
              <w:left w:val="single" w:sz="6" w:space="0" w:color="000000"/>
              <w:bottom w:val="single" w:sz="6" w:space="0" w:color="000000"/>
              <w:right w:val="single" w:sz="6" w:space="0" w:color="000000"/>
            </w:tcBorders>
            <w:vAlign w:val="center"/>
          </w:tcPr>
          <w:p w14:paraId="53C2EC3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AERMOD</w:t>
            </w:r>
          </w:p>
          <w:p w14:paraId="77ECC83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sym w:font="Wingdings 2" w:char="0052"/>
            </w:r>
          </w:p>
        </w:tc>
        <w:tc>
          <w:tcPr>
            <w:tcW w:w="921" w:type="dxa"/>
            <w:gridSpan w:val="4"/>
            <w:tcBorders>
              <w:top w:val="single" w:sz="6" w:space="0" w:color="000000"/>
              <w:left w:val="single" w:sz="6" w:space="0" w:color="000000"/>
              <w:bottom w:val="single" w:sz="6" w:space="0" w:color="000000"/>
              <w:right w:val="single" w:sz="6" w:space="0" w:color="000000"/>
            </w:tcBorders>
            <w:vAlign w:val="center"/>
          </w:tcPr>
          <w:p w14:paraId="51C9650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ADMS</w:t>
            </w:r>
          </w:p>
          <w:p w14:paraId="3634C9C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116" w:type="dxa"/>
            <w:gridSpan w:val="3"/>
            <w:tcBorders>
              <w:top w:val="single" w:sz="6" w:space="0" w:color="000000"/>
              <w:left w:val="single" w:sz="6" w:space="0" w:color="000000"/>
              <w:bottom w:val="single" w:sz="6" w:space="0" w:color="000000"/>
              <w:right w:val="single" w:sz="6" w:space="0" w:color="000000"/>
            </w:tcBorders>
            <w:vAlign w:val="center"/>
          </w:tcPr>
          <w:p w14:paraId="222DBF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AUSTAL2000</w:t>
            </w:r>
          </w:p>
          <w:p w14:paraId="500ABE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090" w:type="dxa"/>
            <w:gridSpan w:val="3"/>
            <w:tcBorders>
              <w:top w:val="single" w:sz="6" w:space="0" w:color="000000"/>
              <w:left w:val="single" w:sz="6" w:space="0" w:color="000000"/>
              <w:bottom w:val="single" w:sz="6" w:space="0" w:color="000000"/>
              <w:right w:val="single" w:sz="6" w:space="0" w:color="000000"/>
            </w:tcBorders>
            <w:vAlign w:val="center"/>
          </w:tcPr>
          <w:p w14:paraId="474814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EDMS/AEDT</w:t>
            </w:r>
          </w:p>
          <w:p w14:paraId="3338D72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842" w:type="dxa"/>
            <w:gridSpan w:val="2"/>
            <w:tcBorders>
              <w:top w:val="single" w:sz="6" w:space="0" w:color="000000"/>
              <w:left w:val="single" w:sz="6" w:space="0" w:color="000000"/>
              <w:bottom w:val="single" w:sz="6" w:space="0" w:color="000000"/>
              <w:right w:val="single" w:sz="6" w:space="0" w:color="000000"/>
            </w:tcBorders>
            <w:vAlign w:val="center"/>
          </w:tcPr>
          <w:p w14:paraId="26A3EB7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CALPUFF</w:t>
            </w:r>
          </w:p>
          <w:p w14:paraId="798CC8F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959" w:type="dxa"/>
            <w:gridSpan w:val="2"/>
            <w:tcBorders>
              <w:top w:val="single" w:sz="6" w:space="0" w:color="000000"/>
              <w:left w:val="single" w:sz="6" w:space="0" w:color="000000"/>
              <w:bottom w:val="single" w:sz="6" w:space="0" w:color="000000"/>
              <w:right w:val="single" w:sz="6" w:space="0" w:color="000000"/>
            </w:tcBorders>
            <w:vAlign w:val="center"/>
          </w:tcPr>
          <w:p w14:paraId="290751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网格模型</w:t>
            </w:r>
          </w:p>
          <w:p w14:paraId="18CC83D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63" w:type="dxa"/>
            <w:tcBorders>
              <w:top w:val="single" w:sz="6" w:space="0" w:color="000000"/>
              <w:left w:val="single" w:sz="6" w:space="0" w:color="000000"/>
              <w:bottom w:val="single" w:sz="6" w:space="0" w:color="000000"/>
            </w:tcBorders>
            <w:vAlign w:val="center"/>
          </w:tcPr>
          <w:p w14:paraId="78E9B6F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其他</w:t>
            </w:r>
          </w:p>
          <w:p w14:paraId="391E5F2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31A37396" w14:textId="77777777">
        <w:trPr>
          <w:trHeight w:val="270"/>
          <w:jc w:val="center"/>
        </w:trPr>
        <w:tc>
          <w:tcPr>
            <w:tcW w:w="1029" w:type="dxa"/>
            <w:vMerge/>
            <w:tcBorders>
              <w:top w:val="nil"/>
              <w:bottom w:val="single" w:sz="6" w:space="0" w:color="000000"/>
              <w:right w:val="single" w:sz="6" w:space="0" w:color="000000"/>
            </w:tcBorders>
            <w:vAlign w:val="center"/>
          </w:tcPr>
          <w:p w14:paraId="04A8D978"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5CAB81A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预测范围</w:t>
            </w:r>
          </w:p>
        </w:tc>
        <w:tc>
          <w:tcPr>
            <w:tcW w:w="1945" w:type="dxa"/>
            <w:gridSpan w:val="5"/>
            <w:tcBorders>
              <w:top w:val="single" w:sz="6" w:space="0" w:color="000000"/>
              <w:left w:val="single" w:sz="6" w:space="0" w:color="000000"/>
              <w:bottom w:val="single" w:sz="6" w:space="0" w:color="000000"/>
              <w:right w:val="single" w:sz="6" w:space="0" w:color="000000"/>
            </w:tcBorders>
            <w:vAlign w:val="center"/>
          </w:tcPr>
          <w:p w14:paraId="3A9A7C5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≥50km□</w:t>
            </w:r>
          </w:p>
        </w:tc>
        <w:tc>
          <w:tcPr>
            <w:tcW w:w="3048" w:type="dxa"/>
            <w:gridSpan w:val="8"/>
            <w:tcBorders>
              <w:top w:val="single" w:sz="6" w:space="0" w:color="000000"/>
              <w:left w:val="single" w:sz="6" w:space="0" w:color="000000"/>
              <w:bottom w:val="single" w:sz="6" w:space="0" w:color="000000"/>
              <w:right w:val="single" w:sz="6" w:space="0" w:color="000000"/>
            </w:tcBorders>
            <w:vAlign w:val="center"/>
          </w:tcPr>
          <w:p w14:paraId="53A14C8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w:t>
            </w:r>
            <w:r>
              <w:rPr>
                <w:rFonts w:ascii="Times New Roman" w:eastAsia="宋体" w:hAnsi="Times New Roman" w:cs="Times New Roman"/>
                <w:szCs w:val="21"/>
              </w:rPr>
              <w:t>～</w:t>
            </w:r>
            <w:r>
              <w:rPr>
                <w:rFonts w:ascii="Times New Roman" w:eastAsia="宋体" w:hAnsi="Times New Roman" w:cs="Times New Roman"/>
                <w:szCs w:val="21"/>
              </w:rPr>
              <w:t>50km □</w:t>
            </w:r>
          </w:p>
        </w:tc>
        <w:tc>
          <w:tcPr>
            <w:tcW w:w="1722" w:type="dxa"/>
            <w:gridSpan w:val="3"/>
            <w:tcBorders>
              <w:top w:val="single" w:sz="6" w:space="0" w:color="000000"/>
              <w:left w:val="single" w:sz="6" w:space="0" w:color="000000"/>
              <w:bottom w:val="single" w:sz="6" w:space="0" w:color="000000"/>
            </w:tcBorders>
            <w:vAlign w:val="center"/>
          </w:tcPr>
          <w:p w14:paraId="6E00D97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=5km</w:t>
            </w:r>
            <w:r>
              <w:rPr>
                <w:rFonts w:ascii="Times New Roman" w:eastAsia="宋体" w:hAnsi="Times New Roman" w:cs="Times New Roman"/>
                <w:szCs w:val="21"/>
              </w:rPr>
              <w:sym w:font="Wingdings 2" w:char="0052"/>
            </w:r>
          </w:p>
        </w:tc>
      </w:tr>
      <w:tr w:rsidR="002133E3" w14:paraId="5804AF01" w14:textId="77777777">
        <w:trPr>
          <w:trHeight w:val="520"/>
          <w:jc w:val="center"/>
        </w:trPr>
        <w:tc>
          <w:tcPr>
            <w:tcW w:w="1029" w:type="dxa"/>
            <w:vMerge/>
            <w:tcBorders>
              <w:top w:val="nil"/>
              <w:bottom w:val="single" w:sz="6" w:space="0" w:color="000000"/>
              <w:right w:val="single" w:sz="6" w:space="0" w:color="000000"/>
            </w:tcBorders>
            <w:vAlign w:val="center"/>
          </w:tcPr>
          <w:p w14:paraId="669614BC"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26A668E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预测因子</w:t>
            </w:r>
          </w:p>
        </w:tc>
        <w:tc>
          <w:tcPr>
            <w:tcW w:w="3146" w:type="dxa"/>
            <w:gridSpan w:val="9"/>
            <w:tcBorders>
              <w:top w:val="single" w:sz="6" w:space="0" w:color="000000"/>
              <w:left w:val="single" w:sz="6" w:space="0" w:color="000000"/>
              <w:bottom w:val="single" w:sz="6" w:space="0" w:color="000000"/>
              <w:right w:val="single" w:sz="6" w:space="0" w:color="000000"/>
            </w:tcBorders>
            <w:vAlign w:val="center"/>
          </w:tcPr>
          <w:p w14:paraId="59145D3C" w14:textId="77777777" w:rsidR="002133E3" w:rsidRDefault="00C22CFA">
            <w:pPr>
              <w:tabs>
                <w:tab w:val="left" w:pos="2989"/>
              </w:tabs>
              <w:jc w:val="center"/>
              <w:rPr>
                <w:rFonts w:ascii="Times New Roman" w:eastAsia="宋体" w:hAnsi="Times New Roman" w:cs="Times New Roman"/>
                <w:szCs w:val="21"/>
              </w:rPr>
            </w:pPr>
            <w:r>
              <w:rPr>
                <w:rFonts w:ascii="Times New Roman" w:eastAsia="宋体" w:hAnsi="Times New Roman" w:cs="Times New Roman"/>
                <w:szCs w:val="21"/>
              </w:rPr>
              <w:t>预测因子</w:t>
            </w:r>
            <w:r>
              <w:rPr>
                <w:rFonts w:ascii="Times New Roman" w:eastAsia="宋体" w:hAnsi="Times New Roman" w:cs="Times New Roman"/>
                <w:szCs w:val="21"/>
              </w:rPr>
              <w:t>(</w:t>
            </w: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10</w:t>
            </w:r>
            <w:r>
              <w:rPr>
                <w:rFonts w:ascii="Times New Roman" w:eastAsia="宋体" w:hAnsi="Times New Roman" w:cs="Times New Roman"/>
                <w:szCs w:val="21"/>
              </w:rPr>
              <w:t>、甲醇、乙醇、挥发性有机物</w:t>
            </w:r>
            <w:r>
              <w:rPr>
                <w:rFonts w:ascii="Times New Roman" w:eastAsia="宋体" w:hAnsi="Times New Roman" w:cs="Times New Roman"/>
                <w:szCs w:val="21"/>
              </w:rPr>
              <w:t xml:space="preserve"> )</w:t>
            </w:r>
          </w:p>
        </w:tc>
        <w:tc>
          <w:tcPr>
            <w:tcW w:w="3569" w:type="dxa"/>
            <w:gridSpan w:val="7"/>
            <w:tcBorders>
              <w:top w:val="single" w:sz="6" w:space="0" w:color="000000"/>
              <w:left w:val="single" w:sz="6" w:space="0" w:color="000000"/>
              <w:bottom w:val="single" w:sz="6" w:space="0" w:color="000000"/>
            </w:tcBorders>
            <w:vAlign w:val="center"/>
          </w:tcPr>
          <w:p w14:paraId="7D499A6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position w:val="1"/>
                <w:szCs w:val="21"/>
              </w:rPr>
              <w:t>包括二次</w:t>
            </w:r>
            <w:r>
              <w:rPr>
                <w:rFonts w:ascii="Times New Roman" w:eastAsia="宋体" w:hAnsi="Times New Roman" w:cs="Times New Roman"/>
                <w:position w:val="1"/>
                <w:szCs w:val="21"/>
              </w:rPr>
              <w:t>PM</w:t>
            </w:r>
            <w:r>
              <w:rPr>
                <w:rFonts w:ascii="Times New Roman" w:eastAsia="宋体" w:hAnsi="Times New Roman" w:cs="Times New Roman"/>
                <w:position w:val="1"/>
                <w:szCs w:val="21"/>
                <w:vertAlign w:val="subscript"/>
              </w:rPr>
              <w:t>2.5</w:t>
            </w:r>
            <w:r>
              <w:rPr>
                <w:rFonts w:ascii="Times New Roman" w:eastAsia="宋体" w:hAnsi="Times New Roman" w:cs="Times New Roman"/>
                <w:position w:val="1"/>
                <w:szCs w:val="21"/>
              </w:rPr>
              <w:t>□</w:t>
            </w:r>
          </w:p>
          <w:p w14:paraId="0BB5C9A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position w:val="1"/>
                <w:szCs w:val="21"/>
              </w:rPr>
              <w:t>不包括二次</w:t>
            </w:r>
            <w:r>
              <w:rPr>
                <w:rFonts w:ascii="Times New Roman" w:eastAsia="宋体" w:hAnsi="Times New Roman" w:cs="Times New Roman"/>
                <w:position w:val="1"/>
                <w:szCs w:val="21"/>
              </w:rPr>
              <w:t>PM</w:t>
            </w:r>
            <w:r>
              <w:rPr>
                <w:rFonts w:ascii="Times New Roman" w:eastAsia="宋体" w:hAnsi="Times New Roman" w:cs="Times New Roman"/>
                <w:position w:val="1"/>
                <w:szCs w:val="21"/>
                <w:vertAlign w:val="subscript"/>
              </w:rPr>
              <w:t>2.5</w:t>
            </w:r>
            <w:r>
              <w:rPr>
                <w:rFonts w:ascii="Times New Roman" w:eastAsia="宋体" w:hAnsi="Times New Roman" w:cs="Times New Roman"/>
                <w:szCs w:val="21"/>
              </w:rPr>
              <w:sym w:font="Wingdings 2" w:char="0052"/>
            </w:r>
          </w:p>
        </w:tc>
      </w:tr>
      <w:tr w:rsidR="002133E3" w14:paraId="385DDA11" w14:textId="77777777">
        <w:trPr>
          <w:trHeight w:val="520"/>
          <w:jc w:val="center"/>
        </w:trPr>
        <w:tc>
          <w:tcPr>
            <w:tcW w:w="1029" w:type="dxa"/>
            <w:vMerge/>
            <w:tcBorders>
              <w:top w:val="nil"/>
              <w:bottom w:val="single" w:sz="6" w:space="0" w:color="000000"/>
              <w:right w:val="single" w:sz="6" w:space="0" w:color="000000"/>
            </w:tcBorders>
            <w:vAlign w:val="center"/>
          </w:tcPr>
          <w:p w14:paraId="46BA95D3"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7F129F0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正常排放短期浓度贡献值</w:t>
            </w:r>
          </w:p>
        </w:tc>
        <w:tc>
          <w:tcPr>
            <w:tcW w:w="3146" w:type="dxa"/>
            <w:gridSpan w:val="9"/>
            <w:tcBorders>
              <w:top w:val="single" w:sz="6" w:space="0" w:color="000000"/>
              <w:left w:val="single" w:sz="6" w:space="0" w:color="000000"/>
              <w:bottom w:val="single" w:sz="6" w:space="0" w:color="000000"/>
              <w:right w:val="single" w:sz="6" w:space="0" w:color="000000"/>
            </w:tcBorders>
            <w:vAlign w:val="center"/>
          </w:tcPr>
          <w:p w14:paraId="086BFEE1"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本项目</w:t>
            </w:r>
            <w:r>
              <w:rPr>
                <w:rFonts w:ascii="Times New Roman" w:eastAsia="宋体" w:hAnsi="Times New Roman" w:cs="Times New Roman"/>
                <w:szCs w:val="21"/>
              </w:rPr>
              <w:t>最大占标率</w:t>
            </w:r>
            <w:r>
              <w:rPr>
                <w:rFonts w:ascii="Times New Roman" w:eastAsia="宋体" w:hAnsi="Times New Roman" w:cs="Times New Roman"/>
                <w:szCs w:val="21"/>
              </w:rPr>
              <w:t>≤100%</w:t>
            </w:r>
            <w:r>
              <w:rPr>
                <w:rFonts w:ascii="Times New Roman" w:eastAsia="宋体" w:hAnsi="Times New Roman" w:cs="Times New Roman"/>
                <w:szCs w:val="21"/>
              </w:rPr>
              <w:sym w:font="Wingdings 2" w:char="0052"/>
            </w:r>
          </w:p>
        </w:tc>
        <w:tc>
          <w:tcPr>
            <w:tcW w:w="3569" w:type="dxa"/>
            <w:gridSpan w:val="7"/>
            <w:tcBorders>
              <w:top w:val="single" w:sz="6" w:space="0" w:color="000000"/>
              <w:left w:val="single" w:sz="6" w:space="0" w:color="000000"/>
              <w:bottom w:val="single" w:sz="6" w:space="0" w:color="000000"/>
            </w:tcBorders>
            <w:vAlign w:val="center"/>
          </w:tcPr>
          <w:p w14:paraId="321DB2B7"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本项目</w:t>
            </w:r>
            <w:r>
              <w:rPr>
                <w:rFonts w:ascii="Times New Roman" w:eastAsia="宋体" w:hAnsi="Times New Roman" w:cs="Times New Roman"/>
                <w:szCs w:val="21"/>
              </w:rPr>
              <w:t>最大占标率＞</w:t>
            </w:r>
            <w:r>
              <w:rPr>
                <w:rFonts w:ascii="Times New Roman" w:eastAsia="宋体" w:hAnsi="Times New Roman" w:cs="Times New Roman"/>
                <w:szCs w:val="21"/>
              </w:rPr>
              <w:t>100%</w:t>
            </w:r>
            <w:r>
              <w:rPr>
                <w:rFonts w:ascii="Times New Roman" w:eastAsia="宋体" w:hAnsi="Times New Roman" w:cs="Times New Roman"/>
                <w:szCs w:val="21"/>
              </w:rPr>
              <w:sym w:font="Wingdings 2" w:char="00A3"/>
            </w:r>
          </w:p>
        </w:tc>
      </w:tr>
      <w:tr w:rsidR="002133E3" w14:paraId="67CEF21E" w14:textId="77777777">
        <w:trPr>
          <w:trHeight w:val="488"/>
          <w:jc w:val="center"/>
        </w:trPr>
        <w:tc>
          <w:tcPr>
            <w:tcW w:w="1029" w:type="dxa"/>
            <w:vMerge/>
            <w:tcBorders>
              <w:top w:val="nil"/>
              <w:bottom w:val="single" w:sz="6" w:space="0" w:color="000000"/>
              <w:right w:val="single" w:sz="6" w:space="0" w:color="000000"/>
            </w:tcBorders>
            <w:vAlign w:val="center"/>
          </w:tcPr>
          <w:p w14:paraId="038391E0" w14:textId="77777777" w:rsidR="002133E3" w:rsidRDefault="002133E3">
            <w:pPr>
              <w:jc w:val="center"/>
              <w:rPr>
                <w:rFonts w:ascii="Times New Roman" w:eastAsia="宋体" w:hAnsi="Times New Roman" w:cs="Times New Roman"/>
                <w:szCs w:val="21"/>
              </w:rPr>
            </w:pPr>
          </w:p>
        </w:tc>
        <w:tc>
          <w:tcPr>
            <w:tcW w:w="1770" w:type="dxa"/>
            <w:vMerge w:val="restart"/>
            <w:tcBorders>
              <w:top w:val="single" w:sz="6" w:space="0" w:color="000000"/>
              <w:left w:val="single" w:sz="6" w:space="0" w:color="000000"/>
              <w:bottom w:val="single" w:sz="6" w:space="0" w:color="000000"/>
              <w:right w:val="single" w:sz="6" w:space="0" w:color="000000"/>
            </w:tcBorders>
            <w:vAlign w:val="center"/>
          </w:tcPr>
          <w:p w14:paraId="697FEDB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正常排放年均浓度贡献值</w:t>
            </w:r>
          </w:p>
        </w:tc>
        <w:tc>
          <w:tcPr>
            <w:tcW w:w="1024" w:type="dxa"/>
            <w:tcBorders>
              <w:top w:val="single" w:sz="6" w:space="0" w:color="000000"/>
              <w:left w:val="single" w:sz="6" w:space="0" w:color="000000"/>
              <w:bottom w:val="single" w:sz="6" w:space="0" w:color="000000"/>
              <w:right w:val="single" w:sz="4" w:space="0" w:color="000000"/>
            </w:tcBorders>
            <w:vAlign w:val="center"/>
          </w:tcPr>
          <w:p w14:paraId="6BCFF0F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一类区</w:t>
            </w:r>
          </w:p>
        </w:tc>
        <w:tc>
          <w:tcPr>
            <w:tcW w:w="2122" w:type="dxa"/>
            <w:gridSpan w:val="8"/>
            <w:tcBorders>
              <w:top w:val="single" w:sz="6" w:space="0" w:color="000000"/>
              <w:left w:val="single" w:sz="4" w:space="0" w:color="000000"/>
              <w:bottom w:val="single" w:sz="6" w:space="0" w:color="000000"/>
              <w:right w:val="single" w:sz="6" w:space="0" w:color="000000"/>
            </w:tcBorders>
            <w:vAlign w:val="center"/>
          </w:tcPr>
          <w:p w14:paraId="235CA30E"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本项目</w:t>
            </w:r>
            <w:r>
              <w:rPr>
                <w:rFonts w:ascii="Times New Roman" w:eastAsia="宋体" w:hAnsi="Times New Roman" w:cs="Times New Roman"/>
                <w:szCs w:val="21"/>
              </w:rPr>
              <w:t>最大占标率</w:t>
            </w:r>
            <w:r>
              <w:rPr>
                <w:rFonts w:ascii="Times New Roman" w:eastAsia="宋体" w:hAnsi="Times New Roman" w:cs="Times New Roman"/>
                <w:szCs w:val="21"/>
              </w:rPr>
              <w:t>≤10%□</w:t>
            </w:r>
          </w:p>
        </w:tc>
        <w:tc>
          <w:tcPr>
            <w:tcW w:w="3569" w:type="dxa"/>
            <w:gridSpan w:val="7"/>
            <w:tcBorders>
              <w:top w:val="single" w:sz="6" w:space="0" w:color="000000"/>
              <w:left w:val="single" w:sz="6" w:space="0" w:color="000000"/>
              <w:bottom w:val="single" w:sz="6" w:space="0" w:color="000000"/>
            </w:tcBorders>
            <w:vAlign w:val="center"/>
          </w:tcPr>
          <w:p w14:paraId="33E809DB"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本项目</w:t>
            </w:r>
            <w:r>
              <w:rPr>
                <w:rFonts w:ascii="Times New Roman" w:eastAsia="宋体" w:hAnsi="Times New Roman" w:cs="Times New Roman"/>
                <w:szCs w:val="21"/>
              </w:rPr>
              <w:t>最大标率＞</w:t>
            </w:r>
            <w:r>
              <w:rPr>
                <w:rFonts w:ascii="Times New Roman" w:eastAsia="宋体" w:hAnsi="Times New Roman" w:cs="Times New Roman"/>
                <w:szCs w:val="21"/>
              </w:rPr>
              <w:t>10%□</w:t>
            </w:r>
          </w:p>
        </w:tc>
      </w:tr>
      <w:tr w:rsidR="002133E3" w14:paraId="2E36A5C3" w14:textId="77777777">
        <w:trPr>
          <w:trHeight w:val="412"/>
          <w:jc w:val="center"/>
        </w:trPr>
        <w:tc>
          <w:tcPr>
            <w:tcW w:w="1029" w:type="dxa"/>
            <w:vMerge/>
            <w:tcBorders>
              <w:top w:val="nil"/>
              <w:bottom w:val="single" w:sz="6" w:space="0" w:color="000000"/>
              <w:right w:val="single" w:sz="6" w:space="0" w:color="000000"/>
            </w:tcBorders>
            <w:vAlign w:val="center"/>
          </w:tcPr>
          <w:p w14:paraId="092B67C1" w14:textId="77777777" w:rsidR="002133E3" w:rsidRDefault="002133E3">
            <w:pPr>
              <w:jc w:val="center"/>
              <w:rPr>
                <w:rFonts w:ascii="Times New Roman" w:eastAsia="宋体" w:hAnsi="Times New Roman" w:cs="Times New Roman"/>
                <w:szCs w:val="21"/>
              </w:rPr>
            </w:pPr>
          </w:p>
        </w:tc>
        <w:tc>
          <w:tcPr>
            <w:tcW w:w="1770" w:type="dxa"/>
            <w:vMerge/>
            <w:tcBorders>
              <w:top w:val="nil"/>
              <w:left w:val="single" w:sz="6" w:space="0" w:color="000000"/>
              <w:bottom w:val="single" w:sz="6" w:space="0" w:color="000000"/>
              <w:right w:val="single" w:sz="6" w:space="0" w:color="000000"/>
            </w:tcBorders>
            <w:vAlign w:val="center"/>
          </w:tcPr>
          <w:p w14:paraId="61381E71" w14:textId="77777777" w:rsidR="002133E3" w:rsidRDefault="002133E3">
            <w:pPr>
              <w:jc w:val="center"/>
              <w:rPr>
                <w:rFonts w:ascii="Times New Roman" w:eastAsia="宋体" w:hAnsi="Times New Roman" w:cs="Times New Roman"/>
                <w:szCs w:val="21"/>
              </w:rPr>
            </w:pPr>
          </w:p>
        </w:tc>
        <w:tc>
          <w:tcPr>
            <w:tcW w:w="1024" w:type="dxa"/>
            <w:tcBorders>
              <w:top w:val="single" w:sz="6" w:space="0" w:color="000000"/>
              <w:left w:val="single" w:sz="6" w:space="0" w:color="000000"/>
              <w:bottom w:val="single" w:sz="6" w:space="0" w:color="000000"/>
              <w:right w:val="single" w:sz="4" w:space="0" w:color="000000"/>
            </w:tcBorders>
            <w:vAlign w:val="center"/>
          </w:tcPr>
          <w:p w14:paraId="40F4D2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二类区</w:t>
            </w:r>
          </w:p>
        </w:tc>
        <w:tc>
          <w:tcPr>
            <w:tcW w:w="2122" w:type="dxa"/>
            <w:gridSpan w:val="8"/>
            <w:tcBorders>
              <w:top w:val="single" w:sz="6" w:space="0" w:color="000000"/>
              <w:left w:val="single" w:sz="4" w:space="0" w:color="000000"/>
              <w:bottom w:val="single" w:sz="6" w:space="0" w:color="000000"/>
              <w:right w:val="single" w:sz="6" w:space="0" w:color="000000"/>
            </w:tcBorders>
            <w:vAlign w:val="center"/>
          </w:tcPr>
          <w:p w14:paraId="0B32F576"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本项目</w:t>
            </w:r>
            <w:r>
              <w:rPr>
                <w:rFonts w:ascii="Times New Roman" w:eastAsia="宋体" w:hAnsi="Times New Roman" w:cs="Times New Roman"/>
                <w:szCs w:val="21"/>
              </w:rPr>
              <w:t>最大占标率</w:t>
            </w:r>
            <w:r>
              <w:rPr>
                <w:rFonts w:ascii="Times New Roman" w:eastAsia="宋体" w:hAnsi="Times New Roman" w:cs="Times New Roman"/>
                <w:szCs w:val="21"/>
              </w:rPr>
              <w:t>≤30%</w:t>
            </w:r>
            <w:r>
              <w:rPr>
                <w:rFonts w:ascii="Times New Roman" w:eastAsia="宋体" w:hAnsi="Times New Roman" w:cs="Times New Roman"/>
                <w:szCs w:val="21"/>
              </w:rPr>
              <w:sym w:font="Wingdings 2" w:char="0052"/>
            </w:r>
          </w:p>
        </w:tc>
        <w:tc>
          <w:tcPr>
            <w:tcW w:w="3569" w:type="dxa"/>
            <w:gridSpan w:val="7"/>
            <w:tcBorders>
              <w:top w:val="single" w:sz="6" w:space="0" w:color="000000"/>
              <w:left w:val="single" w:sz="6" w:space="0" w:color="000000"/>
              <w:bottom w:val="single" w:sz="6" w:space="0" w:color="000000"/>
            </w:tcBorders>
            <w:vAlign w:val="center"/>
          </w:tcPr>
          <w:p w14:paraId="3CFF6E48"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本项目</w:t>
            </w:r>
            <w:r>
              <w:rPr>
                <w:rFonts w:ascii="Times New Roman" w:eastAsia="宋体" w:hAnsi="Times New Roman" w:cs="Times New Roman"/>
                <w:szCs w:val="21"/>
              </w:rPr>
              <w:t>最大标率＞</w:t>
            </w:r>
            <w:r>
              <w:rPr>
                <w:rFonts w:ascii="Times New Roman" w:eastAsia="宋体" w:hAnsi="Times New Roman" w:cs="Times New Roman"/>
                <w:szCs w:val="21"/>
              </w:rPr>
              <w:t>30%□</w:t>
            </w:r>
          </w:p>
        </w:tc>
      </w:tr>
      <w:tr w:rsidR="002133E3" w14:paraId="6F531A40" w14:textId="77777777">
        <w:trPr>
          <w:trHeight w:val="520"/>
          <w:jc w:val="center"/>
        </w:trPr>
        <w:tc>
          <w:tcPr>
            <w:tcW w:w="1029" w:type="dxa"/>
            <w:vMerge/>
            <w:tcBorders>
              <w:top w:val="nil"/>
              <w:bottom w:val="single" w:sz="6" w:space="0" w:color="000000"/>
              <w:right w:val="single" w:sz="6" w:space="0" w:color="000000"/>
            </w:tcBorders>
            <w:vAlign w:val="center"/>
          </w:tcPr>
          <w:p w14:paraId="0181E902"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6FD4A9E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非正常排放</w:t>
            </w:r>
            <w:r>
              <w:rPr>
                <w:rFonts w:ascii="Times New Roman" w:eastAsia="宋体" w:hAnsi="Times New Roman" w:cs="Times New Roman"/>
                <w:szCs w:val="21"/>
              </w:rPr>
              <w:t>1h</w:t>
            </w:r>
            <w:r>
              <w:rPr>
                <w:rFonts w:ascii="Times New Roman" w:eastAsia="宋体" w:hAnsi="Times New Roman" w:cs="Times New Roman"/>
                <w:szCs w:val="21"/>
              </w:rPr>
              <w:t>浓度</w:t>
            </w:r>
          </w:p>
          <w:p w14:paraId="4C87A56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贡献值</w:t>
            </w:r>
          </w:p>
        </w:tc>
        <w:tc>
          <w:tcPr>
            <w:tcW w:w="1538" w:type="dxa"/>
            <w:gridSpan w:val="4"/>
            <w:tcBorders>
              <w:top w:val="single" w:sz="6" w:space="0" w:color="000000"/>
              <w:left w:val="single" w:sz="6" w:space="0" w:color="000000"/>
              <w:bottom w:val="single" w:sz="6" w:space="0" w:color="000000"/>
              <w:right w:val="single" w:sz="4" w:space="0" w:color="000000"/>
            </w:tcBorders>
            <w:vAlign w:val="center"/>
          </w:tcPr>
          <w:p w14:paraId="0AE1C16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非正常持续时长</w:t>
            </w:r>
          </w:p>
          <w:p w14:paraId="11C65E5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(0.5)h</w:t>
            </w:r>
          </w:p>
        </w:tc>
        <w:tc>
          <w:tcPr>
            <w:tcW w:w="2804" w:type="dxa"/>
            <w:gridSpan w:val="8"/>
            <w:tcBorders>
              <w:top w:val="single" w:sz="6" w:space="0" w:color="000000"/>
              <w:left w:val="single" w:sz="4" w:space="0" w:color="000000"/>
              <w:bottom w:val="single" w:sz="6" w:space="0" w:color="000000"/>
              <w:right w:val="single" w:sz="6" w:space="0" w:color="000000"/>
            </w:tcBorders>
            <w:vAlign w:val="center"/>
          </w:tcPr>
          <w:p w14:paraId="021E3774"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非正常</w:t>
            </w:r>
            <w:r>
              <w:rPr>
                <w:rFonts w:ascii="Times New Roman" w:eastAsia="宋体" w:hAnsi="Times New Roman" w:cs="Times New Roman"/>
                <w:szCs w:val="21"/>
              </w:rPr>
              <w:t>占标率</w:t>
            </w:r>
            <w:r>
              <w:rPr>
                <w:rFonts w:ascii="Times New Roman" w:eastAsia="宋体" w:hAnsi="Times New Roman" w:cs="Times New Roman"/>
                <w:szCs w:val="21"/>
              </w:rPr>
              <w:t>≤100%</w:t>
            </w:r>
            <w:r>
              <w:rPr>
                <w:rFonts w:ascii="Times New Roman" w:eastAsia="宋体" w:hAnsi="Times New Roman" w:cs="Times New Roman"/>
                <w:szCs w:val="21"/>
              </w:rPr>
              <w:sym w:font="Wingdings 2" w:char="0052"/>
            </w:r>
          </w:p>
        </w:tc>
        <w:tc>
          <w:tcPr>
            <w:tcW w:w="2373" w:type="dxa"/>
            <w:gridSpan w:val="4"/>
            <w:tcBorders>
              <w:top w:val="single" w:sz="6" w:space="0" w:color="000000"/>
              <w:left w:val="single" w:sz="6" w:space="0" w:color="000000"/>
              <w:bottom w:val="single" w:sz="6" w:space="0" w:color="000000"/>
            </w:tcBorders>
            <w:vAlign w:val="center"/>
          </w:tcPr>
          <w:p w14:paraId="5C421CAE"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非正常</w:t>
            </w:r>
            <w:r>
              <w:rPr>
                <w:rFonts w:ascii="Times New Roman" w:eastAsia="宋体" w:hAnsi="Times New Roman" w:cs="Times New Roman"/>
                <w:szCs w:val="21"/>
              </w:rPr>
              <w:t>占标率＞</w:t>
            </w:r>
            <w:r>
              <w:rPr>
                <w:rFonts w:ascii="Times New Roman" w:eastAsia="宋体" w:hAnsi="Times New Roman" w:cs="Times New Roman"/>
                <w:szCs w:val="21"/>
              </w:rPr>
              <w:t>100%□</w:t>
            </w:r>
          </w:p>
        </w:tc>
      </w:tr>
      <w:tr w:rsidR="002133E3" w14:paraId="44187707" w14:textId="77777777">
        <w:trPr>
          <w:trHeight w:val="623"/>
          <w:jc w:val="center"/>
        </w:trPr>
        <w:tc>
          <w:tcPr>
            <w:tcW w:w="1029" w:type="dxa"/>
            <w:vMerge/>
            <w:tcBorders>
              <w:top w:val="nil"/>
              <w:bottom w:val="single" w:sz="6" w:space="0" w:color="000000"/>
              <w:right w:val="single" w:sz="6" w:space="0" w:color="000000"/>
            </w:tcBorders>
            <w:vAlign w:val="center"/>
          </w:tcPr>
          <w:p w14:paraId="6222EE54"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711DE7B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保证率日平均浓度和年平均浓度叠加值</w:t>
            </w:r>
          </w:p>
        </w:tc>
        <w:tc>
          <w:tcPr>
            <w:tcW w:w="3172" w:type="dxa"/>
            <w:gridSpan w:val="10"/>
            <w:tcBorders>
              <w:top w:val="single" w:sz="6" w:space="0" w:color="000000"/>
              <w:left w:val="single" w:sz="6" w:space="0" w:color="000000"/>
              <w:bottom w:val="single" w:sz="6" w:space="0" w:color="000000"/>
              <w:right w:val="single" w:sz="6" w:space="0" w:color="000000"/>
            </w:tcBorders>
            <w:vAlign w:val="center"/>
          </w:tcPr>
          <w:p w14:paraId="234EC068"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叠加</w:t>
            </w:r>
            <w:r>
              <w:rPr>
                <w:rFonts w:ascii="Times New Roman" w:eastAsia="宋体" w:hAnsi="Times New Roman" w:cs="Times New Roman"/>
                <w:szCs w:val="21"/>
              </w:rPr>
              <w:t>达标</w:t>
            </w:r>
            <w:r>
              <w:rPr>
                <w:rFonts w:ascii="Times New Roman" w:eastAsia="宋体" w:hAnsi="Times New Roman" w:cs="Times New Roman"/>
                <w:szCs w:val="21"/>
              </w:rPr>
              <w:sym w:font="Wingdings 2" w:char="0052"/>
            </w:r>
          </w:p>
        </w:tc>
        <w:tc>
          <w:tcPr>
            <w:tcW w:w="3543" w:type="dxa"/>
            <w:gridSpan w:val="6"/>
            <w:tcBorders>
              <w:top w:val="single" w:sz="6" w:space="0" w:color="000000"/>
              <w:left w:val="single" w:sz="6" w:space="0" w:color="000000"/>
              <w:bottom w:val="single" w:sz="6" w:space="0" w:color="000000"/>
            </w:tcBorders>
            <w:vAlign w:val="center"/>
          </w:tcPr>
          <w:p w14:paraId="1F380B5B" w14:textId="77777777" w:rsidR="002133E3" w:rsidRDefault="00C22CFA">
            <w:pPr>
              <w:jc w:val="center"/>
              <w:rPr>
                <w:rFonts w:ascii="Times New Roman" w:eastAsia="宋体" w:hAnsi="Times New Roman" w:cs="Times New Roman"/>
                <w:szCs w:val="21"/>
              </w:rPr>
            </w:pPr>
            <w:r>
              <w:rPr>
                <w:rFonts w:ascii="Cambria Math" w:eastAsia="宋体" w:hAnsi="Cambria Math" w:cs="Cambria Math"/>
                <w:szCs w:val="21"/>
              </w:rPr>
              <w:t>𝐶</w:t>
            </w:r>
            <w:r>
              <w:rPr>
                <w:rFonts w:ascii="Times New Roman" w:eastAsia="宋体" w:hAnsi="Times New Roman" w:cs="Times New Roman"/>
                <w:position w:val="-5"/>
                <w:szCs w:val="21"/>
              </w:rPr>
              <w:t>叠加</w:t>
            </w:r>
            <w:r>
              <w:rPr>
                <w:rFonts w:ascii="Times New Roman" w:eastAsia="宋体" w:hAnsi="Times New Roman" w:cs="Times New Roman"/>
                <w:szCs w:val="21"/>
              </w:rPr>
              <w:t>不达标</w:t>
            </w:r>
            <w:r>
              <w:rPr>
                <w:rFonts w:ascii="Times New Roman" w:eastAsia="宋体" w:hAnsi="Times New Roman" w:cs="Times New Roman"/>
                <w:szCs w:val="21"/>
              </w:rPr>
              <w:t>□</w:t>
            </w:r>
          </w:p>
        </w:tc>
      </w:tr>
      <w:tr w:rsidR="002133E3" w14:paraId="1D609405" w14:textId="77777777">
        <w:trPr>
          <w:trHeight w:val="520"/>
          <w:jc w:val="center"/>
        </w:trPr>
        <w:tc>
          <w:tcPr>
            <w:tcW w:w="1029" w:type="dxa"/>
            <w:vMerge/>
            <w:tcBorders>
              <w:top w:val="nil"/>
              <w:bottom w:val="single" w:sz="6" w:space="0" w:color="000000"/>
              <w:right w:val="single" w:sz="6" w:space="0" w:color="000000"/>
            </w:tcBorders>
            <w:vAlign w:val="center"/>
          </w:tcPr>
          <w:p w14:paraId="799B20A1"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4F3FBF9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区域环境质量的整体变化情况</w:t>
            </w:r>
          </w:p>
        </w:tc>
        <w:tc>
          <w:tcPr>
            <w:tcW w:w="3172" w:type="dxa"/>
            <w:gridSpan w:val="10"/>
            <w:tcBorders>
              <w:top w:val="single" w:sz="6" w:space="0" w:color="000000"/>
              <w:left w:val="single" w:sz="6" w:space="0" w:color="000000"/>
              <w:bottom w:val="single" w:sz="6" w:space="0" w:color="000000"/>
              <w:right w:val="single" w:sz="6" w:space="0" w:color="000000"/>
            </w:tcBorders>
            <w:vAlign w:val="center"/>
          </w:tcPr>
          <w:p w14:paraId="5BA4F9E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i/>
                <w:szCs w:val="21"/>
              </w:rPr>
              <w:t>k</w:t>
            </w:r>
            <w:r>
              <w:rPr>
                <w:rFonts w:ascii="Times New Roman" w:eastAsia="宋体" w:hAnsi="Times New Roman" w:cs="Times New Roman"/>
                <w:szCs w:val="21"/>
              </w:rPr>
              <w:t>≤-20%</w:t>
            </w:r>
            <w:r>
              <w:rPr>
                <w:rFonts w:ascii="Times New Roman" w:eastAsia="宋体" w:hAnsi="Times New Roman" w:cs="Times New Roman"/>
                <w:szCs w:val="21"/>
              </w:rPr>
              <w:sym w:font="Wingdings 2" w:char="0052"/>
            </w:r>
          </w:p>
        </w:tc>
        <w:tc>
          <w:tcPr>
            <w:tcW w:w="3543" w:type="dxa"/>
            <w:gridSpan w:val="6"/>
            <w:tcBorders>
              <w:top w:val="single" w:sz="6" w:space="0" w:color="000000"/>
              <w:left w:val="single" w:sz="6" w:space="0" w:color="000000"/>
              <w:bottom w:val="single" w:sz="6" w:space="0" w:color="000000"/>
            </w:tcBorders>
            <w:vAlign w:val="center"/>
          </w:tcPr>
          <w:p w14:paraId="631450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i/>
                <w:szCs w:val="21"/>
              </w:rPr>
              <w:t>k</w:t>
            </w:r>
            <w:r>
              <w:rPr>
                <w:rFonts w:ascii="Times New Roman" w:eastAsia="宋体" w:hAnsi="Times New Roman" w:cs="Times New Roman"/>
                <w:szCs w:val="21"/>
              </w:rPr>
              <w:t>＞</w:t>
            </w:r>
            <w:r>
              <w:rPr>
                <w:rFonts w:ascii="Times New Roman" w:eastAsia="宋体" w:hAnsi="Times New Roman" w:cs="Times New Roman"/>
                <w:szCs w:val="21"/>
              </w:rPr>
              <w:t>-20%□</w:t>
            </w:r>
          </w:p>
        </w:tc>
      </w:tr>
      <w:tr w:rsidR="002133E3" w14:paraId="05C71F59" w14:textId="77777777">
        <w:trPr>
          <w:trHeight w:val="520"/>
          <w:jc w:val="center"/>
        </w:trPr>
        <w:tc>
          <w:tcPr>
            <w:tcW w:w="1029" w:type="dxa"/>
            <w:vMerge w:val="restart"/>
            <w:tcBorders>
              <w:top w:val="single" w:sz="6" w:space="0" w:color="000000"/>
              <w:bottom w:val="single" w:sz="6" w:space="0" w:color="000000"/>
              <w:right w:val="single" w:sz="6" w:space="0" w:color="000000"/>
            </w:tcBorders>
            <w:vAlign w:val="center"/>
          </w:tcPr>
          <w:p w14:paraId="1D1B37A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环境监测计划</w:t>
            </w:r>
          </w:p>
        </w:tc>
        <w:tc>
          <w:tcPr>
            <w:tcW w:w="1770" w:type="dxa"/>
            <w:tcBorders>
              <w:top w:val="single" w:sz="6" w:space="0" w:color="000000"/>
              <w:left w:val="single" w:sz="6" w:space="0" w:color="000000"/>
              <w:bottom w:val="single" w:sz="6" w:space="0" w:color="000000"/>
              <w:right w:val="single" w:sz="6" w:space="0" w:color="000000"/>
            </w:tcBorders>
            <w:vAlign w:val="center"/>
          </w:tcPr>
          <w:p w14:paraId="3833694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污染源监测</w:t>
            </w:r>
          </w:p>
        </w:tc>
        <w:tc>
          <w:tcPr>
            <w:tcW w:w="3172" w:type="dxa"/>
            <w:gridSpan w:val="10"/>
            <w:tcBorders>
              <w:top w:val="single" w:sz="6" w:space="0" w:color="000000"/>
              <w:left w:val="single" w:sz="6" w:space="0" w:color="000000"/>
              <w:bottom w:val="single" w:sz="6" w:space="0" w:color="000000"/>
              <w:right w:val="single" w:sz="6" w:space="0" w:color="000000"/>
            </w:tcBorders>
            <w:vAlign w:val="center"/>
          </w:tcPr>
          <w:p w14:paraId="275A6737" w14:textId="77777777" w:rsidR="002133E3" w:rsidRDefault="00C22CFA">
            <w:pPr>
              <w:tabs>
                <w:tab w:val="left" w:pos="2466"/>
              </w:tabs>
              <w:rPr>
                <w:rFonts w:ascii="Times New Roman" w:eastAsia="宋体" w:hAnsi="Times New Roman" w:cs="Times New Roman"/>
                <w:szCs w:val="21"/>
              </w:rPr>
            </w:pPr>
            <w:r>
              <w:rPr>
                <w:rFonts w:ascii="Times New Roman" w:eastAsia="宋体" w:hAnsi="Times New Roman" w:cs="Times New Roman"/>
                <w:szCs w:val="21"/>
              </w:rPr>
              <w:t>监测因子</w:t>
            </w:r>
            <w:r>
              <w:rPr>
                <w:rFonts w:ascii="Times New Roman" w:eastAsia="宋体" w:hAnsi="Times New Roman" w:cs="Times New Roman"/>
                <w:spacing w:val="-92"/>
                <w:szCs w:val="21"/>
              </w:rPr>
              <w:t>：</w:t>
            </w:r>
            <w:r>
              <w:rPr>
                <w:rFonts w:ascii="Times New Roman" w:eastAsia="宋体" w:hAnsi="Times New Roman" w:cs="Times New Roman"/>
                <w:szCs w:val="21"/>
              </w:rPr>
              <w:t>(</w:t>
            </w:r>
            <w:r>
              <w:rPr>
                <w:rFonts w:ascii="Times New Roman" w:eastAsia="宋体" w:hAnsi="Times New Roman" w:cs="Times New Roman"/>
                <w:szCs w:val="21"/>
              </w:rPr>
              <w:t>甲醇、乙醇、挥发性有机物</w:t>
            </w:r>
            <w:r>
              <w:rPr>
                <w:rFonts w:ascii="Times New Roman" w:eastAsia="宋体" w:hAnsi="Times New Roman" w:cs="Times New Roman"/>
                <w:szCs w:val="21"/>
              </w:rPr>
              <w:t>)</w:t>
            </w:r>
          </w:p>
        </w:tc>
        <w:tc>
          <w:tcPr>
            <w:tcW w:w="2268" w:type="dxa"/>
            <w:gridSpan w:val="4"/>
            <w:tcBorders>
              <w:top w:val="single" w:sz="6" w:space="0" w:color="000000"/>
              <w:left w:val="single" w:sz="6" w:space="0" w:color="000000"/>
              <w:bottom w:val="single" w:sz="6" w:space="0" w:color="000000"/>
              <w:right w:val="single" w:sz="6" w:space="0" w:color="000000"/>
            </w:tcBorders>
            <w:vAlign w:val="center"/>
          </w:tcPr>
          <w:p w14:paraId="5236791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有组织废气监测</w:t>
            </w:r>
            <w:r>
              <w:rPr>
                <w:rFonts w:ascii="Times New Roman" w:eastAsia="宋体" w:hAnsi="Times New Roman" w:cs="Times New Roman"/>
                <w:szCs w:val="21"/>
              </w:rPr>
              <w:sym w:font="Wingdings 2" w:char="0052"/>
            </w:r>
          </w:p>
          <w:p w14:paraId="0ECFD4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无组织废气监测</w:t>
            </w:r>
            <w:r>
              <w:rPr>
                <w:rFonts w:ascii="Times New Roman" w:eastAsia="宋体" w:hAnsi="Times New Roman" w:cs="Times New Roman"/>
                <w:szCs w:val="21"/>
              </w:rPr>
              <w:sym w:font="Wingdings 2" w:char="0052"/>
            </w:r>
          </w:p>
        </w:tc>
        <w:tc>
          <w:tcPr>
            <w:tcW w:w="1275" w:type="dxa"/>
            <w:gridSpan w:val="2"/>
            <w:tcBorders>
              <w:top w:val="single" w:sz="6" w:space="0" w:color="000000"/>
              <w:left w:val="single" w:sz="6" w:space="0" w:color="000000"/>
              <w:bottom w:val="single" w:sz="6" w:space="0" w:color="000000"/>
            </w:tcBorders>
            <w:vAlign w:val="center"/>
          </w:tcPr>
          <w:p w14:paraId="562287F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无监测</w:t>
            </w:r>
            <w:r>
              <w:rPr>
                <w:rFonts w:ascii="Times New Roman" w:eastAsia="宋体" w:hAnsi="Times New Roman" w:cs="Times New Roman"/>
                <w:szCs w:val="21"/>
              </w:rPr>
              <w:t>□</w:t>
            </w:r>
          </w:p>
        </w:tc>
      </w:tr>
      <w:tr w:rsidR="002133E3" w14:paraId="6797794D" w14:textId="77777777">
        <w:trPr>
          <w:trHeight w:val="322"/>
          <w:jc w:val="center"/>
        </w:trPr>
        <w:tc>
          <w:tcPr>
            <w:tcW w:w="1029" w:type="dxa"/>
            <w:vMerge/>
            <w:tcBorders>
              <w:top w:val="nil"/>
              <w:bottom w:val="single" w:sz="6" w:space="0" w:color="000000"/>
              <w:right w:val="single" w:sz="6" w:space="0" w:color="000000"/>
            </w:tcBorders>
            <w:vAlign w:val="center"/>
          </w:tcPr>
          <w:p w14:paraId="430A3C2D"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7AB34F9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环境质量监测</w:t>
            </w:r>
          </w:p>
        </w:tc>
        <w:tc>
          <w:tcPr>
            <w:tcW w:w="3172" w:type="dxa"/>
            <w:gridSpan w:val="10"/>
            <w:tcBorders>
              <w:top w:val="single" w:sz="6" w:space="0" w:color="000000"/>
              <w:left w:val="single" w:sz="6" w:space="0" w:color="000000"/>
              <w:bottom w:val="single" w:sz="6" w:space="0" w:color="000000"/>
              <w:right w:val="single" w:sz="6" w:space="0" w:color="000000"/>
            </w:tcBorders>
            <w:vAlign w:val="center"/>
          </w:tcPr>
          <w:p w14:paraId="4C00DAAC" w14:textId="77777777" w:rsidR="002133E3" w:rsidRDefault="00C22CFA">
            <w:pPr>
              <w:tabs>
                <w:tab w:val="left" w:pos="2466"/>
              </w:tabs>
              <w:rPr>
                <w:rFonts w:ascii="Times New Roman" w:eastAsia="宋体" w:hAnsi="Times New Roman" w:cs="Times New Roman"/>
                <w:szCs w:val="21"/>
              </w:rPr>
            </w:pPr>
            <w:r>
              <w:rPr>
                <w:rFonts w:ascii="Times New Roman" w:eastAsia="宋体" w:hAnsi="Times New Roman" w:cs="Times New Roman"/>
                <w:szCs w:val="21"/>
              </w:rPr>
              <w:t>监测因子</w:t>
            </w:r>
            <w:r>
              <w:rPr>
                <w:rFonts w:ascii="Times New Roman" w:eastAsia="宋体" w:hAnsi="Times New Roman" w:cs="Times New Roman"/>
                <w:spacing w:val="-92"/>
                <w:szCs w:val="21"/>
              </w:rPr>
              <w:t>：</w:t>
            </w:r>
            <w:r>
              <w:rPr>
                <w:rFonts w:ascii="Times New Roman" w:eastAsia="宋体" w:hAnsi="Times New Roman" w:cs="Times New Roman"/>
                <w:szCs w:val="21"/>
              </w:rPr>
              <w:t>(</w:t>
            </w:r>
            <w:r>
              <w:rPr>
                <w:rFonts w:ascii="Times New Roman" w:eastAsia="宋体" w:hAnsi="Times New Roman" w:cs="Times New Roman"/>
                <w:szCs w:val="21"/>
              </w:rPr>
              <w:t>甲醇、乙醇、挥发性有机物</w:t>
            </w:r>
            <w:r>
              <w:rPr>
                <w:rFonts w:ascii="Times New Roman" w:eastAsia="宋体" w:hAnsi="Times New Roman" w:cs="Times New Roman"/>
                <w:szCs w:val="21"/>
              </w:rPr>
              <w:t>)</w:t>
            </w:r>
          </w:p>
        </w:tc>
        <w:tc>
          <w:tcPr>
            <w:tcW w:w="2268" w:type="dxa"/>
            <w:gridSpan w:val="4"/>
            <w:tcBorders>
              <w:top w:val="single" w:sz="6" w:space="0" w:color="000000"/>
              <w:left w:val="single" w:sz="6" w:space="0" w:color="000000"/>
              <w:bottom w:val="single" w:sz="6" w:space="0" w:color="000000"/>
              <w:right w:val="single" w:sz="6" w:space="0" w:color="000000"/>
            </w:tcBorders>
            <w:vAlign w:val="center"/>
          </w:tcPr>
          <w:p w14:paraId="57D1E6B4" w14:textId="77777777" w:rsidR="002133E3" w:rsidRDefault="00C22CFA">
            <w:pPr>
              <w:tabs>
                <w:tab w:val="left" w:pos="1928"/>
              </w:tabs>
              <w:jc w:val="center"/>
              <w:rPr>
                <w:rFonts w:ascii="Times New Roman" w:eastAsia="宋体" w:hAnsi="Times New Roman" w:cs="Times New Roman"/>
                <w:szCs w:val="21"/>
              </w:rPr>
            </w:pPr>
            <w:r>
              <w:rPr>
                <w:rFonts w:ascii="Times New Roman" w:eastAsia="宋体" w:hAnsi="Times New Roman" w:cs="Times New Roman"/>
                <w:szCs w:val="21"/>
              </w:rPr>
              <w:t>监测点位数</w:t>
            </w:r>
            <w:r>
              <w:rPr>
                <w:rFonts w:ascii="Times New Roman" w:eastAsia="宋体" w:hAnsi="Times New Roman" w:cs="Times New Roman"/>
                <w:szCs w:val="21"/>
              </w:rPr>
              <w:t>(4)</w:t>
            </w:r>
          </w:p>
        </w:tc>
        <w:tc>
          <w:tcPr>
            <w:tcW w:w="1275" w:type="dxa"/>
            <w:gridSpan w:val="2"/>
            <w:tcBorders>
              <w:top w:val="single" w:sz="6" w:space="0" w:color="000000"/>
              <w:left w:val="single" w:sz="6" w:space="0" w:color="000000"/>
              <w:bottom w:val="single" w:sz="6" w:space="0" w:color="000000"/>
            </w:tcBorders>
            <w:vAlign w:val="center"/>
          </w:tcPr>
          <w:p w14:paraId="2A8C68A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无监测</w:t>
            </w:r>
            <w:r>
              <w:rPr>
                <w:rFonts w:ascii="Times New Roman" w:eastAsia="宋体" w:hAnsi="Times New Roman" w:cs="Times New Roman"/>
                <w:szCs w:val="21"/>
              </w:rPr>
              <w:sym w:font="Wingdings 2" w:char="00A3"/>
            </w:r>
          </w:p>
        </w:tc>
      </w:tr>
      <w:tr w:rsidR="002133E3" w14:paraId="695F2C5C" w14:textId="77777777">
        <w:trPr>
          <w:trHeight w:val="230"/>
          <w:jc w:val="center"/>
        </w:trPr>
        <w:tc>
          <w:tcPr>
            <w:tcW w:w="1029" w:type="dxa"/>
            <w:vMerge w:val="restart"/>
            <w:tcBorders>
              <w:top w:val="single" w:sz="6" w:space="0" w:color="000000"/>
              <w:bottom w:val="single" w:sz="6" w:space="0" w:color="000000"/>
              <w:right w:val="single" w:sz="6" w:space="0" w:color="000000"/>
            </w:tcBorders>
            <w:vAlign w:val="center"/>
          </w:tcPr>
          <w:p w14:paraId="3915666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评价结论</w:t>
            </w:r>
          </w:p>
        </w:tc>
        <w:tc>
          <w:tcPr>
            <w:tcW w:w="1770" w:type="dxa"/>
            <w:tcBorders>
              <w:top w:val="single" w:sz="6" w:space="0" w:color="000000"/>
              <w:left w:val="single" w:sz="6" w:space="0" w:color="000000"/>
              <w:bottom w:val="single" w:sz="6" w:space="0" w:color="000000"/>
              <w:right w:val="single" w:sz="6" w:space="0" w:color="000000"/>
            </w:tcBorders>
            <w:vAlign w:val="center"/>
          </w:tcPr>
          <w:p w14:paraId="05053DD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环境影响</w:t>
            </w:r>
          </w:p>
        </w:tc>
        <w:tc>
          <w:tcPr>
            <w:tcW w:w="6715" w:type="dxa"/>
            <w:gridSpan w:val="16"/>
            <w:tcBorders>
              <w:top w:val="single" w:sz="6" w:space="0" w:color="000000"/>
              <w:left w:val="single" w:sz="6" w:space="0" w:color="000000"/>
              <w:bottom w:val="single" w:sz="6" w:space="0" w:color="000000"/>
            </w:tcBorders>
            <w:vAlign w:val="center"/>
          </w:tcPr>
          <w:p w14:paraId="3521B666" w14:textId="77777777" w:rsidR="002133E3" w:rsidRDefault="00C22CFA">
            <w:pPr>
              <w:tabs>
                <w:tab w:val="left" w:pos="3582"/>
              </w:tabs>
              <w:jc w:val="center"/>
              <w:rPr>
                <w:rFonts w:ascii="Times New Roman" w:eastAsia="宋体" w:hAnsi="Times New Roman" w:cs="Times New Roman"/>
                <w:szCs w:val="21"/>
              </w:rPr>
            </w:pPr>
            <w:r>
              <w:rPr>
                <w:rFonts w:ascii="Times New Roman" w:eastAsia="宋体" w:hAnsi="Times New Roman" w:cs="Times New Roman"/>
                <w:szCs w:val="21"/>
              </w:rPr>
              <w:t>可以接受</w:t>
            </w:r>
            <w:r>
              <w:rPr>
                <w:rFonts w:ascii="Times New Roman" w:eastAsia="宋体" w:hAnsi="Times New Roman" w:cs="Times New Roman"/>
                <w:szCs w:val="21"/>
              </w:rPr>
              <w:sym w:font="Wingdings 2" w:char="0052"/>
            </w:r>
            <w:r>
              <w:rPr>
                <w:rFonts w:ascii="Times New Roman" w:eastAsia="宋体" w:hAnsi="Times New Roman" w:cs="Times New Roman"/>
                <w:szCs w:val="21"/>
              </w:rPr>
              <w:tab/>
            </w:r>
            <w:r>
              <w:rPr>
                <w:rFonts w:ascii="Times New Roman" w:eastAsia="宋体" w:hAnsi="Times New Roman" w:cs="Times New Roman"/>
                <w:szCs w:val="21"/>
              </w:rPr>
              <w:t>不可以</w:t>
            </w:r>
            <w:r>
              <w:rPr>
                <w:rFonts w:ascii="Times New Roman" w:eastAsia="宋体" w:hAnsi="Times New Roman" w:cs="Times New Roman"/>
                <w:spacing w:val="-3"/>
                <w:szCs w:val="21"/>
              </w:rPr>
              <w:t>接</w:t>
            </w:r>
            <w:r>
              <w:rPr>
                <w:rFonts w:ascii="Times New Roman" w:eastAsia="宋体" w:hAnsi="Times New Roman" w:cs="Times New Roman"/>
                <w:szCs w:val="21"/>
              </w:rPr>
              <w:t>受</w:t>
            </w:r>
            <w:r>
              <w:rPr>
                <w:rFonts w:ascii="Times New Roman" w:eastAsia="宋体" w:hAnsi="Times New Roman" w:cs="Times New Roman"/>
                <w:szCs w:val="21"/>
              </w:rPr>
              <w:sym w:font="Wingdings 2" w:char="00A3"/>
            </w:r>
          </w:p>
        </w:tc>
      </w:tr>
      <w:tr w:rsidR="002133E3" w14:paraId="692E008D" w14:textId="77777777">
        <w:trPr>
          <w:trHeight w:val="397"/>
          <w:jc w:val="center"/>
        </w:trPr>
        <w:tc>
          <w:tcPr>
            <w:tcW w:w="1029" w:type="dxa"/>
            <w:vMerge/>
            <w:tcBorders>
              <w:top w:val="nil"/>
              <w:bottom w:val="single" w:sz="6" w:space="0" w:color="000000"/>
              <w:right w:val="single" w:sz="6" w:space="0" w:color="000000"/>
            </w:tcBorders>
            <w:vAlign w:val="center"/>
          </w:tcPr>
          <w:p w14:paraId="0335C64D"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41053BA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大气环境防护距离</w:t>
            </w:r>
          </w:p>
        </w:tc>
        <w:tc>
          <w:tcPr>
            <w:tcW w:w="6715" w:type="dxa"/>
            <w:gridSpan w:val="16"/>
            <w:tcBorders>
              <w:top w:val="single" w:sz="6" w:space="0" w:color="000000"/>
              <w:left w:val="single" w:sz="6" w:space="0" w:color="000000"/>
              <w:bottom w:val="single" w:sz="6" w:space="0" w:color="000000"/>
            </w:tcBorders>
            <w:vAlign w:val="center"/>
          </w:tcPr>
          <w:p w14:paraId="00CD9085" w14:textId="77777777" w:rsidR="002133E3" w:rsidRDefault="00C22CFA">
            <w:pPr>
              <w:tabs>
                <w:tab w:val="left" w:pos="2840"/>
                <w:tab w:val="left" w:pos="4367"/>
              </w:tabs>
              <w:jc w:val="center"/>
              <w:rPr>
                <w:rFonts w:ascii="Times New Roman" w:eastAsia="宋体" w:hAnsi="Times New Roman" w:cs="Times New Roman"/>
                <w:szCs w:val="21"/>
              </w:rPr>
            </w:pPr>
            <w:r>
              <w:rPr>
                <w:rFonts w:ascii="Times New Roman" w:eastAsia="宋体" w:hAnsi="Times New Roman" w:cs="Times New Roman"/>
                <w:szCs w:val="21"/>
              </w:rPr>
              <w:t>距</w:t>
            </w:r>
            <w:r>
              <w:rPr>
                <w:rFonts w:ascii="Times New Roman" w:eastAsia="宋体" w:hAnsi="Times New Roman" w:cs="Times New Roman"/>
                <w:szCs w:val="21"/>
              </w:rPr>
              <w:t xml:space="preserve">( </w:t>
            </w:r>
            <w:r>
              <w:rPr>
                <w:rFonts w:ascii="Times New Roman" w:eastAsia="宋体" w:hAnsi="Times New Roman" w:cs="Times New Roman"/>
                <w:szCs w:val="21"/>
              </w:rPr>
              <w:t>西</w:t>
            </w:r>
            <w:r>
              <w:rPr>
                <w:rFonts w:ascii="Times New Roman" w:eastAsia="宋体" w:hAnsi="Times New Roman" w:cs="Times New Roman"/>
                <w:szCs w:val="21"/>
              </w:rPr>
              <w:t>)</w:t>
            </w:r>
            <w:r>
              <w:rPr>
                <w:rFonts w:ascii="Times New Roman" w:eastAsia="宋体" w:hAnsi="Times New Roman" w:cs="Times New Roman"/>
                <w:szCs w:val="21"/>
              </w:rPr>
              <w:t>厂界最远</w:t>
            </w:r>
            <w:r>
              <w:rPr>
                <w:rFonts w:ascii="Times New Roman" w:eastAsia="宋体" w:hAnsi="Times New Roman" w:cs="Times New Roman"/>
                <w:szCs w:val="21"/>
              </w:rPr>
              <w:t>(0)m</w:t>
            </w:r>
          </w:p>
        </w:tc>
      </w:tr>
      <w:tr w:rsidR="002133E3" w14:paraId="1900B699" w14:textId="77777777">
        <w:trPr>
          <w:trHeight w:val="369"/>
          <w:jc w:val="center"/>
        </w:trPr>
        <w:tc>
          <w:tcPr>
            <w:tcW w:w="1029" w:type="dxa"/>
            <w:vMerge/>
            <w:tcBorders>
              <w:top w:val="nil"/>
              <w:bottom w:val="single" w:sz="6" w:space="0" w:color="000000"/>
              <w:right w:val="single" w:sz="6" w:space="0" w:color="000000"/>
            </w:tcBorders>
            <w:vAlign w:val="center"/>
          </w:tcPr>
          <w:p w14:paraId="24D810F2" w14:textId="77777777" w:rsidR="002133E3" w:rsidRDefault="002133E3">
            <w:pPr>
              <w:jc w:val="center"/>
              <w:rPr>
                <w:rFonts w:ascii="Times New Roman" w:eastAsia="宋体" w:hAnsi="Times New Roman" w:cs="Times New Roman"/>
                <w:szCs w:val="21"/>
              </w:rPr>
            </w:pPr>
          </w:p>
        </w:tc>
        <w:tc>
          <w:tcPr>
            <w:tcW w:w="1770" w:type="dxa"/>
            <w:tcBorders>
              <w:top w:val="single" w:sz="6" w:space="0" w:color="000000"/>
              <w:left w:val="single" w:sz="6" w:space="0" w:color="000000"/>
              <w:bottom w:val="single" w:sz="6" w:space="0" w:color="000000"/>
              <w:right w:val="single" w:sz="6" w:space="0" w:color="000000"/>
            </w:tcBorders>
            <w:vAlign w:val="center"/>
          </w:tcPr>
          <w:p w14:paraId="100ECC3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污染源年排放量</w:t>
            </w:r>
          </w:p>
        </w:tc>
        <w:tc>
          <w:tcPr>
            <w:tcW w:w="1445" w:type="dxa"/>
            <w:gridSpan w:val="3"/>
            <w:tcBorders>
              <w:top w:val="single" w:sz="6" w:space="0" w:color="000000"/>
              <w:left w:val="single" w:sz="6" w:space="0" w:color="000000"/>
              <w:bottom w:val="single" w:sz="6" w:space="0" w:color="000000"/>
              <w:right w:val="single" w:sz="6" w:space="0" w:color="000000"/>
            </w:tcBorders>
            <w:vAlign w:val="center"/>
          </w:tcPr>
          <w:p w14:paraId="22BC10BA" w14:textId="77777777" w:rsidR="002133E3" w:rsidRDefault="00C22CFA">
            <w:pPr>
              <w:tabs>
                <w:tab w:val="left" w:pos="1129"/>
              </w:tabs>
              <w:jc w:val="center"/>
              <w:rPr>
                <w:rFonts w:ascii="Times New Roman" w:eastAsia="宋体" w:hAnsi="Times New Roman" w:cs="Times New Roman"/>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r>
              <w:rPr>
                <w:rFonts w:ascii="Times New Roman" w:eastAsia="宋体" w:hAnsi="Times New Roman" w:cs="Times New Roman"/>
                <w:szCs w:val="21"/>
              </w:rPr>
              <w:t>(   )t/a</w:t>
            </w:r>
          </w:p>
        </w:tc>
        <w:tc>
          <w:tcPr>
            <w:tcW w:w="1701" w:type="dxa"/>
            <w:gridSpan w:val="6"/>
            <w:tcBorders>
              <w:top w:val="single" w:sz="6" w:space="0" w:color="000000"/>
              <w:left w:val="single" w:sz="6" w:space="0" w:color="000000"/>
              <w:bottom w:val="single" w:sz="6" w:space="0" w:color="000000"/>
              <w:right w:val="single" w:sz="6" w:space="0" w:color="000000"/>
            </w:tcBorders>
            <w:vAlign w:val="center"/>
          </w:tcPr>
          <w:p w14:paraId="23DA6765" w14:textId="77777777" w:rsidR="002133E3" w:rsidRDefault="00C22CFA">
            <w:pPr>
              <w:tabs>
                <w:tab w:val="left" w:pos="1129"/>
              </w:tabs>
              <w:jc w:val="center"/>
              <w:rPr>
                <w:rFonts w:ascii="Times New Roman" w:eastAsia="宋体" w:hAnsi="Times New Roman" w:cs="Times New Roman"/>
                <w:szCs w:val="21"/>
              </w:rPr>
            </w:pPr>
            <w:r>
              <w:rPr>
                <w:rFonts w:ascii="Times New Roman" w:eastAsia="宋体" w:hAnsi="Times New Roman" w:cs="Times New Roman"/>
                <w:szCs w:val="21"/>
              </w:rPr>
              <w:t>NO</w:t>
            </w:r>
            <w:r>
              <w:rPr>
                <w:rFonts w:ascii="Times New Roman" w:eastAsia="宋体" w:hAnsi="Times New Roman" w:cs="Times New Roman"/>
                <w:szCs w:val="21"/>
                <w:vertAlign w:val="subscript"/>
              </w:rPr>
              <w:t>X</w:t>
            </w:r>
            <w:r>
              <w:rPr>
                <w:rFonts w:ascii="Times New Roman" w:eastAsia="宋体" w:hAnsi="Times New Roman" w:cs="Times New Roman"/>
                <w:szCs w:val="21"/>
              </w:rPr>
              <w:t>(     )t/a</w:t>
            </w:r>
          </w:p>
        </w:tc>
        <w:tc>
          <w:tcPr>
            <w:tcW w:w="1847" w:type="dxa"/>
            <w:gridSpan w:val="4"/>
            <w:tcBorders>
              <w:top w:val="single" w:sz="6" w:space="0" w:color="000000"/>
              <w:left w:val="single" w:sz="6" w:space="0" w:color="000000"/>
              <w:bottom w:val="single" w:sz="6" w:space="0" w:color="000000"/>
            </w:tcBorders>
            <w:vAlign w:val="center"/>
          </w:tcPr>
          <w:p w14:paraId="0CBD4D89" w14:textId="77777777" w:rsidR="002133E3" w:rsidRDefault="00C22CFA">
            <w:pPr>
              <w:tabs>
                <w:tab w:val="left" w:pos="1039"/>
                <w:tab w:val="left" w:pos="1129"/>
              </w:tabs>
              <w:jc w:val="center"/>
              <w:rPr>
                <w:rFonts w:ascii="Times New Roman" w:eastAsia="宋体" w:hAnsi="Times New Roman" w:cs="Times New Roman"/>
                <w:szCs w:val="21"/>
              </w:rPr>
            </w:pPr>
            <w:r>
              <w:rPr>
                <w:rFonts w:ascii="Times New Roman" w:eastAsia="宋体" w:hAnsi="Times New Roman" w:cs="Times New Roman"/>
                <w:szCs w:val="21"/>
              </w:rPr>
              <w:t>颗粒物</w:t>
            </w:r>
            <w:r>
              <w:rPr>
                <w:rFonts w:ascii="Times New Roman" w:eastAsia="宋体" w:hAnsi="Times New Roman" w:cs="Times New Roman"/>
                <w:szCs w:val="21"/>
              </w:rPr>
              <w:t>(   )t/a</w:t>
            </w:r>
          </w:p>
        </w:tc>
        <w:tc>
          <w:tcPr>
            <w:tcW w:w="1722" w:type="dxa"/>
            <w:gridSpan w:val="3"/>
            <w:tcBorders>
              <w:top w:val="single" w:sz="6" w:space="0" w:color="000000"/>
              <w:left w:val="single" w:sz="6" w:space="0" w:color="000000"/>
              <w:bottom w:val="single" w:sz="6" w:space="0" w:color="000000"/>
            </w:tcBorders>
            <w:vAlign w:val="center"/>
          </w:tcPr>
          <w:p w14:paraId="55542AF4" w14:textId="77777777" w:rsidR="002133E3" w:rsidRDefault="00C22CFA">
            <w:pPr>
              <w:tabs>
                <w:tab w:val="left" w:pos="1039"/>
                <w:tab w:val="left" w:pos="1129"/>
              </w:tabs>
              <w:jc w:val="center"/>
              <w:rPr>
                <w:rFonts w:ascii="Times New Roman" w:eastAsia="宋体" w:hAnsi="Times New Roman" w:cs="Times New Roman"/>
                <w:szCs w:val="21"/>
              </w:rPr>
            </w:pPr>
            <w:r>
              <w:rPr>
                <w:rFonts w:ascii="Times New Roman" w:eastAsia="宋体" w:hAnsi="Times New Roman" w:cs="Times New Roman"/>
                <w:szCs w:val="21"/>
              </w:rPr>
              <w:t>VOCs(</w:t>
            </w:r>
            <w:r>
              <w:rPr>
                <w:rFonts w:ascii="Times New Roman" w:eastAsia="等线" w:hAnsi="Times New Roman" w:cs="Times New Roman"/>
                <w:szCs w:val="21"/>
              </w:rPr>
              <w:t>1.8614</w:t>
            </w:r>
            <w:r>
              <w:rPr>
                <w:rFonts w:ascii="Times New Roman" w:eastAsia="宋体" w:hAnsi="Times New Roman" w:cs="Times New Roman"/>
                <w:szCs w:val="21"/>
              </w:rPr>
              <w:t>)t/a</w:t>
            </w:r>
          </w:p>
        </w:tc>
      </w:tr>
      <w:tr w:rsidR="002133E3" w14:paraId="34999FB0" w14:textId="77777777">
        <w:trPr>
          <w:trHeight w:val="411"/>
          <w:jc w:val="center"/>
        </w:trPr>
        <w:tc>
          <w:tcPr>
            <w:tcW w:w="9514" w:type="dxa"/>
            <w:gridSpan w:val="18"/>
            <w:tcBorders>
              <w:top w:val="single" w:sz="6" w:space="0" w:color="000000"/>
            </w:tcBorders>
            <w:vAlign w:val="center"/>
          </w:tcPr>
          <w:p w14:paraId="4B69CAE5" w14:textId="77777777" w:rsidR="002133E3" w:rsidRDefault="00C22CFA">
            <w:pPr>
              <w:tabs>
                <w:tab w:val="left" w:pos="3439"/>
              </w:tabs>
              <w:jc w:val="center"/>
              <w:rPr>
                <w:rFonts w:ascii="Times New Roman" w:eastAsia="宋体" w:hAnsi="Times New Roman" w:cs="Times New Roman"/>
                <w:szCs w:val="21"/>
              </w:rPr>
            </w:pPr>
            <w:r>
              <w:rPr>
                <w:rFonts w:ascii="Times New Roman" w:eastAsia="宋体" w:hAnsi="Times New Roman" w:cs="Times New Roman"/>
                <w:szCs w:val="21"/>
              </w:rPr>
              <w:t>注</w:t>
            </w:r>
            <w:r>
              <w:rPr>
                <w:rFonts w:ascii="Times New Roman" w:eastAsia="宋体" w:hAnsi="Times New Roman" w:cs="Times New Roman"/>
                <w:spacing w:val="-92"/>
                <w:szCs w:val="21"/>
              </w:rPr>
              <w:t>：</w:t>
            </w:r>
            <w:r>
              <w:rPr>
                <w:rFonts w:ascii="Times New Roman" w:eastAsia="宋体" w:hAnsi="Times New Roman" w:cs="Times New Roman"/>
                <w:szCs w:val="21"/>
              </w:rPr>
              <w:t>“</w:t>
            </w:r>
            <w:r>
              <w:rPr>
                <w:rFonts w:ascii="Times New Roman" w:eastAsia="宋体" w:hAnsi="Times New Roman" w:cs="Times New Roman"/>
                <w:spacing w:val="1"/>
                <w:szCs w:val="21"/>
              </w:rPr>
              <w:t>□</w:t>
            </w:r>
            <w:r>
              <w:rPr>
                <w:rFonts w:ascii="Times New Roman" w:eastAsia="宋体" w:hAnsi="Times New Roman" w:cs="Times New Roman"/>
                <w:szCs w:val="21"/>
              </w:rPr>
              <w:t>”</w:t>
            </w:r>
            <w:r>
              <w:rPr>
                <w:rFonts w:ascii="Times New Roman" w:eastAsia="宋体" w:hAnsi="Times New Roman" w:cs="Times New Roman"/>
                <w:szCs w:val="21"/>
              </w:rPr>
              <w:t>为勾选项</w:t>
            </w:r>
            <w:r>
              <w:rPr>
                <w:rFonts w:ascii="Times New Roman" w:eastAsia="宋体" w:hAnsi="Times New Roman" w:cs="Times New Roman"/>
                <w:szCs w:val="21"/>
              </w:rPr>
              <w:t xml:space="preserve"> </w:t>
            </w:r>
            <w:r>
              <w:rPr>
                <w:rFonts w:ascii="Times New Roman" w:eastAsia="宋体" w:hAnsi="Times New Roman" w:cs="Times New Roman"/>
                <w:szCs w:val="21"/>
              </w:rPr>
              <w:t>，填</w:t>
            </w:r>
            <w:r>
              <w:rPr>
                <w:rFonts w:ascii="Times New Roman" w:eastAsia="宋体" w:hAnsi="Times New Roman" w:cs="Times New Roman"/>
                <w:szCs w:val="21"/>
              </w:rPr>
              <w:t>“</w:t>
            </w:r>
            <w:r>
              <w:rPr>
                <w:rFonts w:ascii="Times New Roman" w:eastAsia="宋体" w:hAnsi="Times New Roman" w:cs="Times New Roman"/>
                <w:spacing w:val="-3"/>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pacing w:val="-1"/>
                <w:szCs w:val="21"/>
              </w:rPr>
              <w:t>“</w:t>
            </w:r>
            <w:r>
              <w:rPr>
                <w:rFonts w:ascii="Times New Roman" w:eastAsia="宋体" w:hAnsi="Times New Roman" w:cs="Times New Roman"/>
                <w:szCs w:val="21"/>
              </w:rPr>
              <w:t>(</w:t>
            </w:r>
            <w:r>
              <w:rPr>
                <w:rFonts w:ascii="Times New Roman" w:eastAsia="宋体" w:hAnsi="Times New Roman" w:cs="Times New Roman"/>
                <w:szCs w:val="21"/>
              </w:rPr>
              <w:tab/>
              <w:t>)”</w:t>
            </w:r>
            <w:r>
              <w:rPr>
                <w:rFonts w:ascii="Times New Roman" w:eastAsia="宋体" w:hAnsi="Times New Roman" w:cs="Times New Roman"/>
                <w:szCs w:val="21"/>
              </w:rPr>
              <w:t>为内容填写项</w:t>
            </w:r>
          </w:p>
        </w:tc>
      </w:tr>
    </w:tbl>
    <w:p w14:paraId="048FFD61"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51" w:name="_Toc53175842"/>
      <w:r>
        <w:rPr>
          <w:rFonts w:ascii="Times New Roman" w:eastAsia="宋体" w:hAnsi="Times New Roman" w:cs="Times New Roman"/>
          <w:b/>
          <w:sz w:val="30"/>
          <w:szCs w:val="30"/>
        </w:rPr>
        <w:t>水环境影响评价</w:t>
      </w:r>
      <w:bookmarkEnd w:id="51"/>
    </w:p>
    <w:p w14:paraId="22F82EE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评价等级判定</w:t>
      </w:r>
    </w:p>
    <w:p w14:paraId="262D3F3F"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本项目位于赣榆海州湾生物科技园内，</w:t>
      </w:r>
      <w:r>
        <w:rPr>
          <w:rFonts w:ascii="Times New Roman" w:eastAsia="宋体" w:hAnsi="Times New Roman" w:cs="Times New Roman" w:hint="eastAsia"/>
          <w:sz w:val="28"/>
          <w:szCs w:val="28"/>
        </w:rPr>
        <w:t>技改</w:t>
      </w:r>
      <w:r>
        <w:rPr>
          <w:rFonts w:ascii="Times New Roman" w:eastAsia="宋体" w:hAnsi="Times New Roman" w:cs="Times New Roman"/>
          <w:sz w:val="28"/>
          <w:szCs w:val="28"/>
        </w:rPr>
        <w:t>项目总排放废水量约</w:t>
      </w:r>
      <w:r>
        <w:rPr>
          <w:rFonts w:ascii="Times New Roman" w:eastAsia="宋体" w:hAnsi="Times New Roman" w:cs="Times New Roman"/>
          <w:sz w:val="28"/>
          <w:szCs w:val="28"/>
        </w:rPr>
        <w:t>1175440.28m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sz w:val="28"/>
          <w:szCs w:val="28"/>
        </w:rPr>
        <w:t>，其中，项目</w:t>
      </w:r>
      <w:r>
        <w:rPr>
          <w:rFonts w:ascii="Times New Roman" w:eastAsia="宋体" w:hAnsi="Times New Roman" w:cs="Times New Roman"/>
          <w:color w:val="000000"/>
          <w:kern w:val="0"/>
          <w:sz w:val="28"/>
          <w:szCs w:val="28"/>
        </w:rPr>
        <w:t>工艺废水、设备及地面冲洗、初期雨水、废气吸收废水等</w:t>
      </w:r>
      <w:r>
        <w:rPr>
          <w:rFonts w:ascii="Times New Roman" w:eastAsia="宋体" w:hAnsi="Times New Roman" w:cs="Times New Roman"/>
          <w:sz w:val="28"/>
          <w:szCs w:val="28"/>
        </w:rPr>
        <w:t>废水经预处理达接管要求后进入</w:t>
      </w:r>
      <w:r>
        <w:rPr>
          <w:rFonts w:ascii="Times New Roman" w:eastAsia="宋体" w:hAnsi="Times New Roman" w:cs="Times New Roman"/>
          <w:color w:val="000000"/>
          <w:kern w:val="0"/>
          <w:sz w:val="28"/>
          <w:szCs w:val="28"/>
        </w:rPr>
        <w:t>通海污水处理厂</w:t>
      </w:r>
      <w:r>
        <w:rPr>
          <w:rFonts w:ascii="Times New Roman" w:eastAsia="宋体" w:hAnsi="Times New Roman" w:cs="Times New Roman"/>
          <w:sz w:val="28"/>
          <w:szCs w:val="28"/>
        </w:rPr>
        <w:t>集中处理。本项目属于水污染型建设项目，项目废水排放属于间接排放，根据《环境影响评价技术导则</w:t>
      </w:r>
      <w:r>
        <w:rPr>
          <w:rFonts w:ascii="Times New Roman" w:eastAsia="宋体" w:hAnsi="Times New Roman" w:cs="Times New Roman"/>
          <w:sz w:val="28"/>
          <w:szCs w:val="28"/>
        </w:rPr>
        <w:t>-</w:t>
      </w:r>
      <w:r>
        <w:rPr>
          <w:rFonts w:ascii="Times New Roman" w:eastAsia="宋体" w:hAnsi="Times New Roman" w:cs="Times New Roman"/>
          <w:sz w:val="28"/>
          <w:szCs w:val="28"/>
        </w:rPr>
        <w:t>地表水环境》</w:t>
      </w:r>
      <w:r>
        <w:rPr>
          <w:rFonts w:ascii="Times New Roman" w:eastAsia="宋体" w:hAnsi="Times New Roman" w:cs="Times New Roman"/>
          <w:sz w:val="28"/>
          <w:szCs w:val="28"/>
        </w:rPr>
        <w:t>(HJ2.3-2018)</w:t>
      </w:r>
      <w:r>
        <w:rPr>
          <w:rFonts w:ascii="Times New Roman" w:eastAsia="宋体" w:hAnsi="Times New Roman" w:cs="Times New Roman"/>
          <w:sz w:val="28"/>
          <w:szCs w:val="28"/>
        </w:rPr>
        <w:t>，水环境影响评价等级为三级</w:t>
      </w:r>
      <w:r>
        <w:rPr>
          <w:rFonts w:ascii="Times New Roman" w:eastAsia="宋体" w:hAnsi="Times New Roman" w:cs="Times New Roman"/>
          <w:sz w:val="28"/>
          <w:szCs w:val="28"/>
        </w:rPr>
        <w:t>B</w:t>
      </w:r>
      <w:r>
        <w:rPr>
          <w:rFonts w:ascii="Times New Roman" w:eastAsia="宋体" w:hAnsi="Times New Roman" w:cs="Times New Roman"/>
          <w:sz w:val="28"/>
          <w:szCs w:val="28"/>
        </w:rPr>
        <w:t>。</w:t>
      </w:r>
    </w:p>
    <w:p w14:paraId="30E0251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水环境影响评价</w:t>
      </w:r>
    </w:p>
    <w:p w14:paraId="21FC791E"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根据《环境影响评价技术导则</w:t>
      </w:r>
      <w:r>
        <w:rPr>
          <w:rFonts w:ascii="Times New Roman" w:eastAsia="宋体" w:hAnsi="Times New Roman" w:cs="Times New Roman"/>
          <w:sz w:val="28"/>
          <w:szCs w:val="28"/>
        </w:rPr>
        <w:t>-</w:t>
      </w:r>
      <w:r>
        <w:rPr>
          <w:rFonts w:ascii="Times New Roman" w:eastAsia="宋体" w:hAnsi="Times New Roman" w:cs="Times New Roman"/>
          <w:sz w:val="28"/>
          <w:szCs w:val="28"/>
        </w:rPr>
        <w:t>地表水环境》</w:t>
      </w:r>
      <w:r>
        <w:rPr>
          <w:rFonts w:ascii="Times New Roman" w:eastAsia="宋体" w:hAnsi="Times New Roman" w:cs="Times New Roman"/>
          <w:sz w:val="28"/>
          <w:szCs w:val="28"/>
        </w:rPr>
        <w:t>(HJ2.3-2018)</w:t>
      </w:r>
      <w:r>
        <w:rPr>
          <w:rFonts w:ascii="Times New Roman" w:eastAsia="宋体" w:hAnsi="Times New Roman" w:cs="Times New Roman"/>
          <w:sz w:val="28"/>
          <w:szCs w:val="28"/>
        </w:rPr>
        <w:t>，水环境影响评价等级为三级</w:t>
      </w:r>
      <w:r>
        <w:rPr>
          <w:rFonts w:ascii="Times New Roman" w:eastAsia="宋体" w:hAnsi="Times New Roman" w:cs="Times New Roman"/>
          <w:sz w:val="28"/>
          <w:szCs w:val="28"/>
        </w:rPr>
        <w:t>B</w:t>
      </w:r>
      <w:r>
        <w:rPr>
          <w:rFonts w:ascii="Times New Roman" w:eastAsia="宋体" w:hAnsi="Times New Roman" w:cs="Times New Roman"/>
          <w:sz w:val="28"/>
          <w:szCs w:val="28"/>
        </w:rPr>
        <w:t>，本项目不进行水环境影响预测，仅对水污染控制和水环境影响减缓措施有效性评价、依托污水处理设施的环境可行性评价。</w:t>
      </w:r>
    </w:p>
    <w:p w14:paraId="6DBF347C"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水污染控制和水环境影响减缓措施有效性评价</w:t>
      </w:r>
    </w:p>
    <w:p w14:paraId="5B4D68EA"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本项目产生的废水经厂区内污水站处理后各污染因子能够达到《污水排入城镇下水道水质标准》（</w:t>
      </w:r>
      <w:r>
        <w:rPr>
          <w:rFonts w:ascii="Times New Roman" w:eastAsia="宋体" w:hAnsi="Times New Roman" w:cs="Times New Roman"/>
          <w:sz w:val="28"/>
          <w:szCs w:val="28"/>
        </w:rPr>
        <w:t>GB/T31962-2015</w:t>
      </w:r>
      <w:r>
        <w:rPr>
          <w:rFonts w:ascii="Times New Roman" w:eastAsia="宋体" w:hAnsi="Times New Roman" w:cs="Times New Roman"/>
          <w:sz w:val="28"/>
          <w:szCs w:val="28"/>
        </w:rPr>
        <w:t>）</w:t>
      </w:r>
      <w:r>
        <w:rPr>
          <w:rFonts w:ascii="Times New Roman" w:eastAsia="宋体" w:hAnsi="Times New Roman" w:cs="Times New Roman"/>
          <w:sz w:val="28"/>
          <w:szCs w:val="28"/>
        </w:rPr>
        <w:t>B</w:t>
      </w:r>
      <w:r>
        <w:rPr>
          <w:rFonts w:ascii="Times New Roman" w:eastAsia="宋体" w:hAnsi="Times New Roman" w:cs="Times New Roman"/>
          <w:sz w:val="28"/>
          <w:szCs w:val="28"/>
        </w:rPr>
        <w:t>等级排放浓度限值，</w:t>
      </w:r>
      <w:r>
        <w:rPr>
          <w:rFonts w:ascii="Times New Roman" w:eastAsia="宋体" w:hAnsi="Times New Roman" w:cs="Times New Roman"/>
          <w:kern w:val="0"/>
          <w:sz w:val="28"/>
          <w:szCs w:val="28"/>
        </w:rPr>
        <w:t>《污水排入城镇下水道水质标准》</w:t>
      </w:r>
      <w:r>
        <w:rPr>
          <w:rFonts w:ascii="Times New Roman" w:eastAsia="宋体" w:hAnsi="Times New Roman" w:cs="Times New Roman"/>
          <w:kern w:val="0"/>
          <w:sz w:val="28"/>
          <w:szCs w:val="28"/>
        </w:rPr>
        <w:t>(CJ343-2010)</w:t>
      </w:r>
      <w:r>
        <w:rPr>
          <w:rFonts w:ascii="Times New Roman" w:eastAsia="宋体" w:hAnsi="Times New Roman" w:cs="Times New Roman"/>
          <w:kern w:val="0"/>
          <w:sz w:val="28"/>
          <w:szCs w:val="28"/>
        </w:rPr>
        <w:t>中的</w:t>
      </w:r>
      <w:r>
        <w:rPr>
          <w:rFonts w:ascii="Times New Roman" w:eastAsia="宋体" w:hAnsi="Times New Roman" w:cs="Times New Roman"/>
          <w:kern w:val="0"/>
          <w:sz w:val="28"/>
          <w:szCs w:val="28"/>
        </w:rPr>
        <w:t>B</w:t>
      </w:r>
      <w:r>
        <w:rPr>
          <w:rFonts w:ascii="Times New Roman" w:eastAsia="宋体" w:hAnsi="Times New Roman" w:cs="Times New Roman"/>
          <w:kern w:val="0"/>
          <w:sz w:val="28"/>
          <w:szCs w:val="28"/>
        </w:rPr>
        <w:t>等级标准限值，《发酵酒精和白酒工业水污染物排放标准》</w:t>
      </w:r>
      <w:r>
        <w:rPr>
          <w:rFonts w:ascii="Times New Roman" w:eastAsia="宋体" w:hAnsi="Times New Roman" w:cs="Times New Roman"/>
          <w:kern w:val="0"/>
          <w:sz w:val="28"/>
          <w:szCs w:val="28"/>
        </w:rPr>
        <w:t>(GB27631-2011)</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中的间接排放标准，乙醇</w:t>
      </w:r>
      <w:r>
        <w:rPr>
          <w:rFonts w:ascii="Times New Roman" w:eastAsia="宋体" w:hAnsi="Times New Roman" w:cs="Times New Roman"/>
          <w:sz w:val="28"/>
          <w:szCs w:val="28"/>
        </w:rPr>
        <w:t>达到</w:t>
      </w:r>
      <w:r>
        <w:rPr>
          <w:rFonts w:ascii="Times New Roman" w:eastAsia="宋体" w:hAnsi="Times New Roman" w:cs="Times New Roman"/>
          <w:kern w:val="0"/>
          <w:sz w:val="28"/>
          <w:szCs w:val="28"/>
        </w:rPr>
        <w:t>《石油化学工业污染物排放标准》</w:t>
      </w:r>
      <w:r>
        <w:rPr>
          <w:rFonts w:ascii="Times New Roman" w:eastAsia="宋体" w:hAnsi="Times New Roman" w:cs="Times New Roman"/>
          <w:kern w:val="0"/>
          <w:sz w:val="28"/>
          <w:szCs w:val="28"/>
        </w:rPr>
        <w:t>(GB31571-2015)</w:t>
      </w:r>
      <w:r>
        <w:rPr>
          <w:rFonts w:ascii="Times New Roman" w:eastAsia="宋体" w:hAnsi="Times New Roman" w:cs="Times New Roman"/>
          <w:kern w:val="0"/>
          <w:sz w:val="28"/>
          <w:szCs w:val="28"/>
        </w:rPr>
        <w:t>，</w:t>
      </w:r>
      <w:r>
        <w:rPr>
          <w:rFonts w:ascii="Times New Roman" w:eastAsia="宋体" w:hAnsi="Times New Roman" w:cs="Times New Roman"/>
          <w:sz w:val="28"/>
          <w:szCs w:val="28"/>
        </w:rPr>
        <w:t>符合</w:t>
      </w:r>
      <w:r>
        <w:rPr>
          <w:rFonts w:ascii="Times New Roman" w:eastAsia="宋体" w:hAnsi="Times New Roman" w:cs="Times New Roman"/>
          <w:color w:val="000000"/>
          <w:kern w:val="0"/>
          <w:sz w:val="28"/>
          <w:szCs w:val="28"/>
        </w:rPr>
        <w:t>通海污水处理厂</w:t>
      </w:r>
      <w:r>
        <w:rPr>
          <w:rFonts w:ascii="Times New Roman" w:eastAsia="宋体" w:hAnsi="Times New Roman" w:cs="Times New Roman"/>
          <w:sz w:val="28"/>
          <w:szCs w:val="28"/>
        </w:rPr>
        <w:t>的接管水质浓度要求。</w:t>
      </w:r>
    </w:p>
    <w:p w14:paraId="43BEBA31"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 xml:space="preserve">(2) </w:t>
      </w:r>
      <w:r>
        <w:rPr>
          <w:rFonts w:ascii="Times New Roman" w:eastAsia="宋体" w:hAnsi="Times New Roman" w:cs="Times New Roman"/>
          <w:sz w:val="28"/>
          <w:szCs w:val="28"/>
        </w:rPr>
        <w:t>本项目为水污染型项目，项目排放的废水不会改变区域水环境水温，不会造成生态流量的变化，满足区域水环境保护目标的要求。</w:t>
      </w:r>
    </w:p>
    <w:p w14:paraId="06F9B3D5"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本项目产生的废水经收集处理后接入园区污水处理厂处理后排放，无面源污染，满足国家和地方有关面源污染控制治理要求。</w:t>
      </w:r>
    </w:p>
    <w:p w14:paraId="3474B78A"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(4) </w:t>
      </w:r>
      <w:r>
        <w:rPr>
          <w:rFonts w:ascii="Times New Roman" w:eastAsia="宋体" w:hAnsi="Times New Roman" w:cs="Times New Roman"/>
          <w:sz w:val="28"/>
          <w:szCs w:val="28"/>
        </w:rPr>
        <w:t>区域受纳水体</w:t>
      </w:r>
      <w:r>
        <w:rPr>
          <w:rFonts w:ascii="Times New Roman" w:eastAsia="宋体" w:hAnsi="Times New Roman" w:cs="Times New Roman"/>
          <w:kern w:val="0"/>
          <w:sz w:val="28"/>
          <w:szCs w:val="28"/>
        </w:rPr>
        <w:t>兴庄河</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w:t>
      </w:r>
      <w:r>
        <w:rPr>
          <w:rFonts w:ascii="Times New Roman" w:eastAsia="宋体" w:hAnsi="Times New Roman" w:cs="Times New Roman"/>
          <w:sz w:val="28"/>
          <w:szCs w:val="28"/>
        </w:rPr>
        <w:t>氨氮和总磷超标，属于不达标区。本项目污水处理措施满足区域环境质量改善目标要求和行业污染防治可行技术指南中最佳可行技术要求。本项目废水经厂区处理后满足园区污水处理的接管要求，不会对污水处理厂造成冲击。本报告引用污水处理厂的环评结论：在污水处理厂正常排放的情况下，废水经处理达《城镇污水处理厂污染物排放标准》（</w:t>
      </w:r>
      <w:r>
        <w:rPr>
          <w:rFonts w:ascii="Times New Roman" w:eastAsia="宋体" w:hAnsi="Times New Roman" w:cs="Times New Roman"/>
          <w:sz w:val="28"/>
          <w:szCs w:val="28"/>
        </w:rPr>
        <w:t>GB18918-2002</w:t>
      </w:r>
      <w:r>
        <w:rPr>
          <w:rFonts w:ascii="Times New Roman" w:eastAsia="宋体" w:hAnsi="Times New Roman" w:cs="Times New Roman"/>
          <w:sz w:val="28"/>
          <w:szCs w:val="28"/>
        </w:rPr>
        <w:t>）表</w:t>
      </w:r>
      <w:r>
        <w:rPr>
          <w:rFonts w:ascii="Times New Roman" w:eastAsia="宋体" w:hAnsi="Times New Roman" w:cs="Times New Roman"/>
          <w:sz w:val="28"/>
          <w:szCs w:val="28"/>
        </w:rPr>
        <w:t xml:space="preserve">1 </w:t>
      </w:r>
      <w:r>
        <w:rPr>
          <w:rFonts w:ascii="Times New Roman" w:eastAsia="宋体" w:hAnsi="Times New Roman" w:cs="Times New Roman"/>
          <w:sz w:val="28"/>
          <w:szCs w:val="28"/>
        </w:rPr>
        <w:t>中一级</w:t>
      </w:r>
      <w:r>
        <w:rPr>
          <w:rFonts w:ascii="Times New Roman" w:eastAsia="宋体" w:hAnsi="Times New Roman" w:cs="Times New Roman"/>
          <w:sz w:val="28"/>
          <w:szCs w:val="28"/>
        </w:rPr>
        <w:t xml:space="preserve">A </w:t>
      </w:r>
      <w:r>
        <w:rPr>
          <w:rFonts w:ascii="Times New Roman" w:eastAsia="宋体" w:hAnsi="Times New Roman" w:cs="Times New Roman"/>
          <w:sz w:val="28"/>
          <w:szCs w:val="28"/>
        </w:rPr>
        <w:t>标准后排放，对纳污河流影响较小。</w:t>
      </w:r>
    </w:p>
    <w:p w14:paraId="7CB1F5B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依托污水处理设施的环境影响评价</w:t>
      </w:r>
    </w:p>
    <w:p w14:paraId="522C1305" w14:textId="77777777" w:rsidR="002133E3" w:rsidRDefault="00C22CFA">
      <w:pPr>
        <w:tabs>
          <w:tab w:val="left" w:pos="3600"/>
        </w:tabs>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fldChar w:fldCharType="begin"/>
      </w:r>
      <w:r>
        <w:rPr>
          <w:rFonts w:ascii="Times New Roman" w:eastAsia="宋体" w:hAnsi="Times New Roman" w:cs="Times New Roman"/>
          <w:b/>
          <w:bCs/>
          <w:sz w:val="28"/>
          <w:szCs w:val="28"/>
        </w:rPr>
        <w:instrText xml:space="preserve"> = 1 \* GB2 </w:instrText>
      </w:r>
      <w:r>
        <w:rPr>
          <w:rFonts w:ascii="Times New Roman" w:eastAsia="宋体" w:hAnsi="Times New Roman" w:cs="Times New Roman"/>
          <w:b/>
          <w:bCs/>
          <w:sz w:val="28"/>
          <w:szCs w:val="28"/>
        </w:rPr>
        <w:fldChar w:fldCharType="separate"/>
      </w:r>
      <w:r>
        <w:rPr>
          <w:rFonts w:ascii="宋体" w:eastAsia="宋体" w:hAnsi="宋体" w:cs="宋体" w:hint="eastAsia"/>
          <w:b/>
          <w:bCs/>
          <w:sz w:val="28"/>
          <w:szCs w:val="28"/>
        </w:rPr>
        <w:t>⑴</w:t>
      </w:r>
      <w:r>
        <w:rPr>
          <w:rFonts w:ascii="Times New Roman" w:eastAsia="宋体" w:hAnsi="Times New Roman" w:cs="Times New Roman"/>
          <w:b/>
          <w:bCs/>
          <w:sz w:val="28"/>
          <w:szCs w:val="28"/>
        </w:rPr>
        <w:fldChar w:fldCharType="end"/>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依托厂区污水处理站的环境可行性评价</w:t>
      </w:r>
    </w:p>
    <w:p w14:paraId="7FE280CD"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厂区污水站废水处理能力</w:t>
      </w:r>
      <w:r>
        <w:rPr>
          <w:rFonts w:ascii="Times New Roman" w:eastAsia="宋体" w:hAnsi="Times New Roman" w:cs="Times New Roman"/>
          <w:sz w:val="28"/>
          <w:szCs w:val="28"/>
        </w:rPr>
        <w:t>2</w:t>
      </w:r>
      <w:r>
        <w:rPr>
          <w:rFonts w:ascii="Times New Roman" w:eastAsia="宋体" w:hAnsi="Times New Roman" w:cs="Times New Roman"/>
          <w:sz w:val="28"/>
          <w:szCs w:val="28"/>
        </w:rPr>
        <w:t>万</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，本项目产生的</w:t>
      </w:r>
      <w:r>
        <w:rPr>
          <w:rFonts w:ascii="Times New Roman" w:eastAsia="宋体" w:hAnsi="Times New Roman" w:cs="Times New Roman"/>
          <w:color w:val="000000"/>
          <w:kern w:val="0"/>
          <w:sz w:val="28"/>
          <w:szCs w:val="28"/>
        </w:rPr>
        <w:t>工艺废水、设备及地面冲洗、初期雨水、废气吸收废水</w:t>
      </w:r>
      <w:r>
        <w:rPr>
          <w:rFonts w:ascii="Times New Roman" w:eastAsia="宋体" w:hAnsi="Times New Roman" w:cs="Times New Roman"/>
          <w:sz w:val="28"/>
          <w:szCs w:val="28"/>
        </w:rPr>
        <w:t>经收集后排入厂区污水处理站处理，该部分废水产生量约为</w:t>
      </w:r>
      <w:r>
        <w:rPr>
          <w:rFonts w:ascii="Times New Roman" w:eastAsia="宋体" w:hAnsi="Times New Roman" w:cs="Times New Roman"/>
          <w:sz w:val="28"/>
          <w:szCs w:val="28"/>
        </w:rPr>
        <w:t>3918.1m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hint="eastAsia"/>
          <w:sz w:val="28"/>
          <w:szCs w:val="28"/>
        </w:rPr>
        <w:t>（</w:t>
      </w:r>
      <w:r>
        <w:rPr>
          <w:rFonts w:ascii="Times New Roman" w:hAnsi="Times New Roman" w:cs="Times New Roman"/>
          <w:color w:val="000000"/>
          <w:kern w:val="0"/>
          <w:sz w:val="28"/>
          <w:szCs w:val="28"/>
        </w:rPr>
        <w:t>1175</w:t>
      </w:r>
      <w:r>
        <w:rPr>
          <w:rFonts w:ascii="Times New Roman" w:hAnsi="Times New Roman" w:cs="Times New Roman"/>
          <w:color w:val="000000"/>
          <w:kern w:val="0"/>
          <w:sz w:val="28"/>
          <w:szCs w:val="28"/>
          <w:lang w:val="zh-CN"/>
        </w:rPr>
        <w:t>440.28</w:t>
      </w:r>
      <w:r>
        <w:rPr>
          <w:rFonts w:ascii="Times New Roman" w:eastAsia="宋体" w:hAnsi="Times New Roman" w:cs="Times New Roman"/>
          <w:sz w:val="28"/>
          <w:szCs w:val="28"/>
        </w:rPr>
        <w:t xml:space="preserve"> 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hint="eastAsia"/>
          <w:sz w:val="28"/>
          <w:szCs w:val="28"/>
        </w:rPr>
        <w:t>）</w:t>
      </w:r>
      <w:r>
        <w:rPr>
          <w:rFonts w:ascii="Times New Roman" w:eastAsia="宋体" w:hAnsi="Times New Roman" w:cs="Times New Roman"/>
          <w:sz w:val="28"/>
          <w:szCs w:val="28"/>
        </w:rPr>
        <w:t>，本项目</w:t>
      </w:r>
      <w:r>
        <w:rPr>
          <w:rFonts w:ascii="Times New Roman" w:eastAsia="宋体" w:hAnsi="Times New Roman" w:cs="Times New Roman"/>
          <w:sz w:val="28"/>
          <w:szCs w:val="28"/>
        </w:rPr>
        <w:t>“</w:t>
      </w:r>
      <w:r>
        <w:rPr>
          <w:rFonts w:ascii="Times New Roman" w:eastAsia="宋体" w:hAnsi="Times New Roman" w:cs="Times New Roman"/>
          <w:sz w:val="28"/>
          <w:szCs w:val="28"/>
        </w:rPr>
        <w:t>以新带老</w:t>
      </w:r>
      <w:r>
        <w:rPr>
          <w:rFonts w:ascii="Times New Roman" w:eastAsia="宋体" w:hAnsi="Times New Roman" w:cs="Times New Roman"/>
          <w:sz w:val="28"/>
          <w:szCs w:val="28"/>
        </w:rPr>
        <w:t>”</w:t>
      </w:r>
      <w:r>
        <w:rPr>
          <w:rFonts w:ascii="Times New Roman" w:eastAsia="宋体" w:hAnsi="Times New Roman" w:cs="Times New Roman"/>
          <w:sz w:val="28"/>
          <w:szCs w:val="28"/>
        </w:rPr>
        <w:t>削减排入废水量约</w:t>
      </w:r>
      <w:r>
        <w:rPr>
          <w:rFonts w:ascii="Times New Roman" w:eastAsia="宋体" w:hAnsi="Times New Roman" w:cs="Times New Roman"/>
          <w:sz w:val="28"/>
          <w:szCs w:val="28"/>
        </w:rPr>
        <w:t>4473m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hint="eastAsia"/>
          <w:sz w:val="28"/>
          <w:szCs w:val="28"/>
        </w:rPr>
        <w:t>（</w:t>
      </w:r>
      <w:r>
        <w:rPr>
          <w:rFonts w:ascii="Times New Roman" w:eastAsia="宋体" w:hAnsi="Times New Roman" w:cs="Times New Roman"/>
          <w:sz w:val="28"/>
          <w:szCs w:val="28"/>
        </w:rPr>
        <w:t>1341900m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hint="eastAsia"/>
          <w:sz w:val="28"/>
          <w:szCs w:val="28"/>
        </w:rPr>
        <w:t>）</w:t>
      </w:r>
      <w:r>
        <w:rPr>
          <w:rFonts w:ascii="Times New Roman" w:eastAsia="宋体" w:hAnsi="Times New Roman" w:cs="Times New Roman"/>
          <w:sz w:val="28"/>
          <w:szCs w:val="28"/>
        </w:rPr>
        <w:t>，厂区已批项目排入厂区污水处理站约</w:t>
      </w:r>
      <w:r>
        <w:rPr>
          <w:rFonts w:ascii="Times New Roman" w:eastAsia="宋体" w:hAnsi="Times New Roman" w:cs="Times New Roman"/>
          <w:sz w:val="28"/>
          <w:szCs w:val="28"/>
        </w:rPr>
        <w:t>11674.6 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hint="eastAsia"/>
          <w:sz w:val="28"/>
          <w:szCs w:val="28"/>
        </w:rPr>
        <w:t>（</w:t>
      </w:r>
      <w:r>
        <w:rPr>
          <w:rFonts w:ascii="Times New Roman" w:eastAsia="宋体" w:hAnsi="Times New Roman" w:cs="Times New Roman"/>
          <w:sz w:val="28"/>
          <w:szCs w:val="28"/>
        </w:rPr>
        <w:t>3502376.82 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hint="eastAsia"/>
          <w:sz w:val="28"/>
          <w:szCs w:val="28"/>
        </w:rPr>
        <w:t>）</w:t>
      </w:r>
      <w:r>
        <w:rPr>
          <w:rFonts w:ascii="Times New Roman" w:eastAsia="宋体" w:hAnsi="Times New Roman" w:cs="Times New Roman"/>
          <w:sz w:val="28"/>
          <w:szCs w:val="28"/>
        </w:rPr>
        <w:t>，本项目建成后全厂排入污水站废水量约</w:t>
      </w:r>
      <w:r>
        <w:rPr>
          <w:rFonts w:ascii="Times New Roman" w:eastAsia="宋体" w:hAnsi="Times New Roman" w:cs="Times New Roman"/>
          <w:sz w:val="28"/>
          <w:szCs w:val="28"/>
        </w:rPr>
        <w:t>11099.7m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hint="eastAsia"/>
          <w:sz w:val="28"/>
          <w:szCs w:val="28"/>
        </w:rPr>
        <w:t>（</w:t>
      </w:r>
      <w:r>
        <w:rPr>
          <w:rFonts w:ascii="Times New Roman" w:eastAsia="宋体" w:hAnsi="Times New Roman" w:cs="Times New Roman"/>
          <w:sz w:val="28"/>
          <w:szCs w:val="28"/>
        </w:rPr>
        <w:t>3329917.1m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hint="eastAsia"/>
          <w:sz w:val="28"/>
          <w:szCs w:val="28"/>
        </w:rPr>
        <w:t>）</w:t>
      </w:r>
      <w:r>
        <w:rPr>
          <w:rFonts w:ascii="Times New Roman" w:eastAsia="宋体" w:hAnsi="Times New Roman" w:cs="Times New Roman"/>
          <w:sz w:val="28"/>
          <w:szCs w:val="28"/>
        </w:rPr>
        <w:t>，现有污水处理站处理能力满足本项目要求。</w:t>
      </w:r>
    </w:p>
    <w:p w14:paraId="2F743E72" w14:textId="77777777" w:rsidR="002133E3" w:rsidRDefault="00C22CFA">
      <w:pPr>
        <w:adjustRightInd w:val="0"/>
        <w:snapToGrid w:val="0"/>
        <w:spacing w:line="500" w:lineRule="exact"/>
        <w:ind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项目废水经厂区污水处理设施预处理后，各污染物均能做到达标排放，综合水质能够达到通海污水处理厂的接管要求，且废水中无超出处理厂设计的特征污染因子。</w:t>
      </w:r>
    </w:p>
    <w:p w14:paraId="198C6C90" w14:textId="77777777" w:rsidR="002133E3" w:rsidRDefault="00C22CFA">
      <w:pPr>
        <w:adjustRightInd w:val="0"/>
        <w:snapToGrid w:val="0"/>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fldChar w:fldCharType="begin"/>
      </w:r>
      <w:r>
        <w:rPr>
          <w:rFonts w:ascii="Times New Roman" w:eastAsia="宋体" w:hAnsi="Times New Roman" w:cs="Times New Roman"/>
          <w:b/>
          <w:bCs/>
          <w:sz w:val="28"/>
          <w:szCs w:val="28"/>
        </w:rPr>
        <w:instrText xml:space="preserve"> = 2 \* GB2 </w:instrText>
      </w:r>
      <w:r>
        <w:rPr>
          <w:rFonts w:ascii="Times New Roman" w:eastAsia="宋体" w:hAnsi="Times New Roman" w:cs="Times New Roman"/>
          <w:b/>
          <w:bCs/>
          <w:sz w:val="28"/>
          <w:szCs w:val="28"/>
        </w:rPr>
        <w:fldChar w:fldCharType="separate"/>
      </w:r>
      <w:r>
        <w:rPr>
          <w:rFonts w:ascii="宋体" w:eastAsia="宋体" w:hAnsi="宋体" w:cs="宋体" w:hint="eastAsia"/>
          <w:b/>
          <w:bCs/>
          <w:sz w:val="28"/>
          <w:szCs w:val="28"/>
        </w:rPr>
        <w:t>⑵</w:t>
      </w:r>
      <w:r>
        <w:rPr>
          <w:rFonts w:ascii="Times New Roman" w:eastAsia="宋体" w:hAnsi="Times New Roman" w:cs="Times New Roman"/>
          <w:b/>
          <w:bCs/>
          <w:sz w:val="28"/>
          <w:szCs w:val="28"/>
        </w:rPr>
        <w:fldChar w:fldCharType="end"/>
      </w:r>
      <w:r>
        <w:rPr>
          <w:rFonts w:ascii="Times New Roman" w:eastAsia="宋体" w:hAnsi="Times New Roman" w:cs="Times New Roman"/>
          <w:b/>
          <w:bCs/>
          <w:sz w:val="28"/>
          <w:szCs w:val="28"/>
        </w:rPr>
        <w:t xml:space="preserve"> </w:t>
      </w:r>
      <w:r>
        <w:rPr>
          <w:rFonts w:ascii="Times New Roman" w:eastAsia="宋体" w:hAnsi="Times New Roman" w:cs="Times New Roman"/>
          <w:b/>
          <w:bCs/>
          <w:sz w:val="28"/>
          <w:szCs w:val="28"/>
        </w:rPr>
        <w:t>依托区域污水处理厂的环境可行性评价</w:t>
      </w:r>
    </w:p>
    <w:p w14:paraId="3B2D9F4A"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项目废水经厂区污水处理设施预处理后，各污染物均能做到达标排放，综合水质能够达到园区污水处理厂的接管要求，且废水中无超出园区污水处理厂设计的特征污染因子。</w:t>
      </w:r>
      <w:r>
        <w:rPr>
          <w:rFonts w:ascii="Times New Roman" w:eastAsia="宋体" w:hAnsi="Times New Roman" w:cs="Times New Roman"/>
          <w:kern w:val="0"/>
          <w:sz w:val="28"/>
          <w:szCs w:val="28"/>
        </w:rPr>
        <w:t>通海污水处理厂位于园区东南角，目前已建成</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条</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的污水处理线，于</w:t>
      </w:r>
      <w:r>
        <w:rPr>
          <w:rFonts w:ascii="Times New Roman" w:eastAsia="宋体" w:hAnsi="Times New Roman" w:cs="Times New Roman"/>
          <w:kern w:val="0"/>
          <w:sz w:val="28"/>
          <w:szCs w:val="28"/>
        </w:rPr>
        <w:t>2012</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7</w:t>
      </w:r>
      <w:r>
        <w:rPr>
          <w:rFonts w:ascii="Times New Roman" w:eastAsia="宋体" w:hAnsi="Times New Roman" w:cs="Times New Roman"/>
          <w:kern w:val="0"/>
          <w:sz w:val="28"/>
          <w:szCs w:val="28"/>
        </w:rPr>
        <w:t>月通过验收，采用一体化奥贝尔氧化沟处理工艺。但由于污水处理厂设计工艺以接纳生活污水为主，与实际以工业废水为主不相符，污水处理系统无法稳定达标运转。环保部于</w:t>
      </w:r>
      <w:r>
        <w:rPr>
          <w:rFonts w:ascii="Times New Roman" w:eastAsia="宋体" w:hAnsi="Times New Roman" w:cs="Times New Roman"/>
          <w:kern w:val="0"/>
          <w:sz w:val="28"/>
          <w:szCs w:val="28"/>
        </w:rPr>
        <w:t>2013</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9</w:t>
      </w:r>
      <w:r>
        <w:rPr>
          <w:rFonts w:ascii="Times New Roman" w:eastAsia="宋体" w:hAnsi="Times New Roman" w:cs="Times New Roman"/>
          <w:kern w:val="0"/>
          <w:sz w:val="28"/>
          <w:szCs w:val="28"/>
        </w:rPr>
        <w:t>月挂牌督查责令</w:t>
      </w:r>
      <w:r>
        <w:rPr>
          <w:rFonts w:ascii="Times New Roman" w:eastAsia="宋体" w:hAnsi="Times New Roman" w:cs="Times New Roman"/>
          <w:kern w:val="0"/>
          <w:sz w:val="28"/>
          <w:szCs w:val="28"/>
        </w:rPr>
        <w:lastRenderedPageBreak/>
        <w:t>整改，通海污水处理厂于</w:t>
      </w:r>
      <w:r>
        <w:rPr>
          <w:rFonts w:ascii="Times New Roman" w:eastAsia="宋体" w:hAnsi="Times New Roman" w:cs="Times New Roman"/>
          <w:kern w:val="0"/>
          <w:sz w:val="28"/>
          <w:szCs w:val="28"/>
        </w:rPr>
        <w:t>2014</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月完成改造，于</w:t>
      </w:r>
      <w:r>
        <w:rPr>
          <w:rFonts w:ascii="Times New Roman" w:eastAsia="宋体" w:hAnsi="Times New Roman" w:cs="Times New Roman"/>
          <w:kern w:val="0"/>
          <w:sz w:val="28"/>
          <w:szCs w:val="28"/>
        </w:rPr>
        <w:t>2014</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7</w:t>
      </w:r>
      <w:r>
        <w:rPr>
          <w:rFonts w:ascii="Times New Roman" w:eastAsia="宋体" w:hAnsi="Times New Roman" w:cs="Times New Roman"/>
          <w:kern w:val="0"/>
          <w:sz w:val="28"/>
          <w:szCs w:val="28"/>
        </w:rPr>
        <w:t>月通过了验收监测达标，于</w:t>
      </w:r>
      <w:r>
        <w:rPr>
          <w:rFonts w:ascii="Times New Roman" w:eastAsia="宋体" w:hAnsi="Times New Roman" w:cs="Times New Roman"/>
          <w:kern w:val="0"/>
          <w:sz w:val="28"/>
          <w:szCs w:val="28"/>
        </w:rPr>
        <w:t>2014</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9</w:t>
      </w:r>
      <w:r>
        <w:rPr>
          <w:rFonts w:ascii="Times New Roman" w:eastAsia="宋体" w:hAnsi="Times New Roman" w:cs="Times New Roman"/>
          <w:kern w:val="0"/>
          <w:sz w:val="28"/>
          <w:szCs w:val="28"/>
        </w:rPr>
        <w:t>月摘牌正式投入运行。根据对园区污染源的调查，园区废水污染因子主要为</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SS</w:t>
      </w:r>
      <w:r>
        <w:rPr>
          <w:rFonts w:ascii="Times New Roman" w:eastAsia="宋体" w:hAnsi="Times New Roman" w:cs="Times New Roman"/>
          <w:kern w:val="0"/>
          <w:sz w:val="28"/>
          <w:szCs w:val="28"/>
        </w:rPr>
        <w:t>、氨氮，通海污水处理厂经整改后，采用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格栅</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初沉池</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水解酸化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氧化沟</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化学氧化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气浮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过滤</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消毒</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处理工艺。技改项目</w:t>
      </w:r>
      <w:r>
        <w:rPr>
          <w:rFonts w:ascii="Times New Roman" w:eastAsia="宋体" w:hAnsi="Times New Roman" w:cs="Times New Roman"/>
          <w:sz w:val="28"/>
          <w:szCs w:val="28"/>
        </w:rPr>
        <w:t>废水排放量为</w:t>
      </w:r>
      <w:r>
        <w:rPr>
          <w:rFonts w:ascii="Times New Roman" w:eastAsia="宋体" w:hAnsi="Times New Roman" w:cs="Times New Roman"/>
          <w:sz w:val="28"/>
          <w:szCs w:val="28"/>
        </w:rPr>
        <w:t>3918.1m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以新带老</w:t>
      </w:r>
      <w:r>
        <w:rPr>
          <w:rFonts w:ascii="Times New Roman" w:eastAsia="宋体" w:hAnsi="Times New Roman" w:cs="Times New Roman"/>
          <w:sz w:val="28"/>
          <w:szCs w:val="28"/>
        </w:rPr>
        <w:t>”</w:t>
      </w:r>
      <w:r>
        <w:rPr>
          <w:rFonts w:ascii="Times New Roman" w:eastAsia="宋体" w:hAnsi="Times New Roman" w:cs="Times New Roman"/>
          <w:sz w:val="28"/>
          <w:szCs w:val="28"/>
        </w:rPr>
        <w:t>削减约</w:t>
      </w:r>
      <w:r>
        <w:rPr>
          <w:rFonts w:ascii="Times New Roman" w:eastAsia="宋体" w:hAnsi="Times New Roman" w:cs="Times New Roman"/>
          <w:sz w:val="28"/>
          <w:szCs w:val="28"/>
        </w:rPr>
        <w:t>4473m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，因此</w:t>
      </w:r>
      <w:r>
        <w:rPr>
          <w:rFonts w:ascii="Times New Roman" w:eastAsia="宋体" w:hAnsi="Times New Roman" w:cs="Times New Roman"/>
          <w:kern w:val="0"/>
          <w:sz w:val="28"/>
          <w:szCs w:val="28"/>
        </w:rPr>
        <w:t>建成前后排入通海污水处理厂废水量减少了</w:t>
      </w:r>
      <w:r>
        <w:rPr>
          <w:rFonts w:ascii="Times New Roman" w:eastAsia="宋体" w:hAnsi="Times New Roman" w:cs="Times New Roman"/>
          <w:kern w:val="0"/>
          <w:sz w:val="28"/>
          <w:szCs w:val="28"/>
        </w:rPr>
        <w:t>574.9</w:t>
      </w:r>
      <w:r>
        <w:rPr>
          <w:rFonts w:ascii="Times New Roman" w:eastAsia="宋体" w:hAnsi="Times New Roman" w:cs="Times New Roman"/>
          <w:sz w:val="28"/>
          <w:szCs w:val="28"/>
        </w:rPr>
        <w:t xml:space="preserve"> 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，不会增加园区污水处理厂的负荷，因此从水质、水量上来说，技改项目废水可以全部进</w:t>
      </w:r>
      <w:r>
        <w:rPr>
          <w:rFonts w:ascii="Times New Roman" w:eastAsia="宋体" w:hAnsi="Times New Roman" w:cs="Times New Roman"/>
          <w:kern w:val="0"/>
          <w:sz w:val="28"/>
          <w:szCs w:val="28"/>
        </w:rPr>
        <w:t>通海污水处理厂</w:t>
      </w:r>
      <w:r>
        <w:rPr>
          <w:rFonts w:ascii="Times New Roman" w:eastAsia="宋体" w:hAnsi="Times New Roman" w:cs="Times New Roman"/>
          <w:sz w:val="28"/>
          <w:szCs w:val="28"/>
        </w:rPr>
        <w:t>集中处理。</w:t>
      </w:r>
    </w:p>
    <w:p w14:paraId="60449E97"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赣榆海州湾生物科技园污水管网已基本覆盖整个工业区，其管网建设与园区污水厂配套同时实施，园区污水收集管网已铺到项目所在地，因此，从园区污水处理厂的服务范围和管网建设上来说，厂区废水接管到园区污水处理厂是可行的。</w:t>
      </w:r>
    </w:p>
    <w:p w14:paraId="4384F659"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评价结论</w:t>
      </w:r>
    </w:p>
    <w:p w14:paraId="5EEB98F6"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废水处理后接入园区污水处理处理后排放，水污染控制和水环境影响减缓措施具有有效性，依托污水处理设施具有可行性，因此本项目废水经厂区处理后接入园区污水处理处理后排放对地表水的环境影响是可接受的。</w:t>
      </w:r>
    </w:p>
    <w:p w14:paraId="0F57ED09"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污染源排放量核算</w:t>
      </w:r>
    </w:p>
    <w:p w14:paraId="3B2D39AD" w14:textId="77777777" w:rsidR="002133E3" w:rsidRDefault="00C22CFA">
      <w:pPr>
        <w:adjustRightInd w:val="0"/>
        <w:snapToGrid w:val="0"/>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t xml:space="preserve">(1) </w:t>
      </w:r>
      <w:r>
        <w:rPr>
          <w:rFonts w:ascii="Times New Roman" w:eastAsia="宋体" w:hAnsi="Times New Roman" w:cs="Times New Roman"/>
          <w:b/>
          <w:bCs/>
          <w:sz w:val="28"/>
          <w:szCs w:val="28"/>
        </w:rPr>
        <w:t>废水类别、污染物及污染治理设施信息</w:t>
      </w:r>
    </w:p>
    <w:p w14:paraId="510A7FA8"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本项目废水类别、污染物及污染治理设施信息详见表</w:t>
      </w:r>
      <w:r>
        <w:rPr>
          <w:rFonts w:ascii="Times New Roman" w:eastAsia="宋体" w:hAnsi="Times New Roman" w:cs="Times New Roman"/>
          <w:sz w:val="28"/>
          <w:szCs w:val="28"/>
        </w:rPr>
        <w:t>6.3-1</w:t>
      </w:r>
      <w:r>
        <w:rPr>
          <w:rFonts w:ascii="Times New Roman" w:eastAsia="宋体" w:hAnsi="Times New Roman" w:cs="Times New Roman"/>
          <w:sz w:val="28"/>
          <w:szCs w:val="28"/>
        </w:rPr>
        <w:t>。</w:t>
      </w:r>
    </w:p>
    <w:p w14:paraId="1AD039C2" w14:textId="77777777" w:rsidR="002133E3" w:rsidRDefault="00C22CFA">
      <w:pPr>
        <w:adjustRightInd w:val="0"/>
        <w:snapToGrid w:val="0"/>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t xml:space="preserve">(2) </w:t>
      </w:r>
      <w:r>
        <w:rPr>
          <w:rFonts w:ascii="Times New Roman" w:eastAsia="宋体" w:hAnsi="Times New Roman" w:cs="Times New Roman"/>
          <w:b/>
          <w:bCs/>
          <w:sz w:val="28"/>
          <w:szCs w:val="28"/>
        </w:rPr>
        <w:t>废水排放口基本信息</w:t>
      </w:r>
    </w:p>
    <w:p w14:paraId="41448644"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本项目废水排放口基本信息详见表</w:t>
      </w:r>
      <w:r>
        <w:rPr>
          <w:rFonts w:ascii="Times New Roman" w:eastAsia="宋体" w:hAnsi="Times New Roman" w:cs="Times New Roman"/>
          <w:sz w:val="28"/>
          <w:szCs w:val="28"/>
        </w:rPr>
        <w:t>6.3-2</w:t>
      </w:r>
      <w:r>
        <w:rPr>
          <w:rFonts w:ascii="Times New Roman" w:eastAsia="宋体" w:hAnsi="Times New Roman" w:cs="Times New Roman"/>
          <w:sz w:val="28"/>
          <w:szCs w:val="28"/>
        </w:rPr>
        <w:t>～</w:t>
      </w:r>
      <w:r>
        <w:rPr>
          <w:rFonts w:ascii="Times New Roman" w:eastAsia="宋体" w:hAnsi="Times New Roman" w:cs="Times New Roman"/>
          <w:sz w:val="28"/>
          <w:szCs w:val="28"/>
        </w:rPr>
        <w:t>3</w:t>
      </w:r>
      <w:r>
        <w:rPr>
          <w:rFonts w:ascii="Times New Roman" w:eastAsia="宋体" w:hAnsi="Times New Roman" w:cs="Times New Roman"/>
          <w:sz w:val="28"/>
          <w:szCs w:val="28"/>
        </w:rPr>
        <w:t>。</w:t>
      </w:r>
    </w:p>
    <w:p w14:paraId="7CDFC0C8" w14:textId="77777777" w:rsidR="002133E3" w:rsidRDefault="002133E3">
      <w:pPr>
        <w:adjustRightInd w:val="0"/>
        <w:snapToGrid w:val="0"/>
        <w:spacing w:line="500" w:lineRule="exact"/>
        <w:ind w:firstLineChars="200" w:firstLine="562"/>
        <w:rPr>
          <w:rFonts w:ascii="Times New Roman" w:eastAsia="宋体" w:hAnsi="Times New Roman" w:cs="Times New Roman"/>
          <w:b/>
          <w:bCs/>
          <w:sz w:val="28"/>
          <w:szCs w:val="28"/>
        </w:rPr>
      </w:pPr>
    </w:p>
    <w:p w14:paraId="2EF3AFF2" w14:textId="77777777" w:rsidR="002133E3" w:rsidRDefault="002133E3">
      <w:pPr>
        <w:adjustRightInd w:val="0"/>
        <w:snapToGrid w:val="0"/>
        <w:spacing w:line="500" w:lineRule="exact"/>
        <w:ind w:firstLineChars="200" w:firstLine="562"/>
        <w:rPr>
          <w:rFonts w:ascii="Times New Roman" w:eastAsia="宋体" w:hAnsi="Times New Roman" w:cs="Times New Roman"/>
          <w:b/>
          <w:bCs/>
          <w:sz w:val="28"/>
          <w:szCs w:val="28"/>
        </w:rPr>
      </w:pPr>
    </w:p>
    <w:p w14:paraId="55B190FC" w14:textId="77777777" w:rsidR="002133E3" w:rsidRDefault="002133E3">
      <w:pPr>
        <w:adjustRightInd w:val="0"/>
        <w:snapToGrid w:val="0"/>
        <w:spacing w:line="500" w:lineRule="exact"/>
        <w:ind w:firstLineChars="200" w:firstLine="560"/>
        <w:rPr>
          <w:rFonts w:ascii="Times New Roman" w:eastAsia="宋体" w:hAnsi="Times New Roman" w:cs="Times New Roman"/>
          <w:sz w:val="28"/>
          <w:szCs w:val="28"/>
        </w:rPr>
      </w:pPr>
    </w:p>
    <w:p w14:paraId="1813E49F" w14:textId="77777777" w:rsidR="002133E3" w:rsidRDefault="002133E3">
      <w:pPr>
        <w:adjustRightInd w:val="0"/>
        <w:snapToGrid w:val="0"/>
        <w:spacing w:line="500" w:lineRule="exact"/>
        <w:jc w:val="center"/>
        <w:rPr>
          <w:rFonts w:ascii="Times New Roman" w:eastAsia="宋体" w:hAnsi="Times New Roman" w:cs="Times New Roman"/>
          <w:b/>
          <w:szCs w:val="21"/>
        </w:rPr>
        <w:sectPr w:rsidR="002133E3">
          <w:pgSz w:w="11906" w:h="16838"/>
          <w:pgMar w:top="1134" w:right="1134" w:bottom="1134" w:left="1134" w:header="851" w:footer="992" w:gutter="0"/>
          <w:cols w:space="425"/>
          <w:docGrid w:type="lines" w:linePitch="312"/>
        </w:sectPr>
      </w:pPr>
    </w:p>
    <w:p w14:paraId="4E366FC4"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lastRenderedPageBreak/>
        <w:t>表</w:t>
      </w:r>
      <w:r>
        <w:rPr>
          <w:rFonts w:ascii="Times New Roman" w:eastAsia="宋体" w:hAnsi="Times New Roman" w:cs="Times New Roman"/>
          <w:b/>
          <w:sz w:val="24"/>
          <w:szCs w:val="24"/>
        </w:rPr>
        <w:t xml:space="preserve">6.3-1 </w:t>
      </w:r>
      <w:r>
        <w:rPr>
          <w:rFonts w:ascii="Times New Roman" w:eastAsia="宋体" w:hAnsi="Times New Roman" w:cs="Times New Roman"/>
          <w:b/>
          <w:sz w:val="24"/>
          <w:szCs w:val="24"/>
        </w:rPr>
        <w:t>废水类别、污染物及污染治理设施信息表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
        <w:gridCol w:w="2020"/>
        <w:gridCol w:w="3685"/>
        <w:gridCol w:w="1150"/>
        <w:gridCol w:w="807"/>
        <w:gridCol w:w="736"/>
        <w:gridCol w:w="852"/>
        <w:gridCol w:w="1558"/>
        <w:gridCol w:w="852"/>
        <w:gridCol w:w="1416"/>
        <w:gridCol w:w="1071"/>
      </w:tblGrid>
      <w:tr w:rsidR="002133E3" w14:paraId="0E1D2473" w14:textId="77777777">
        <w:trPr>
          <w:trHeight w:val="284"/>
          <w:jc w:val="center"/>
        </w:trPr>
        <w:tc>
          <w:tcPr>
            <w:tcW w:w="216" w:type="pct"/>
            <w:vMerge w:val="restart"/>
            <w:tcBorders>
              <w:top w:val="single" w:sz="4" w:space="0" w:color="auto"/>
              <w:left w:val="single" w:sz="4" w:space="0" w:color="auto"/>
              <w:bottom w:val="single" w:sz="4" w:space="0" w:color="auto"/>
              <w:right w:val="single" w:sz="4" w:space="0" w:color="auto"/>
            </w:tcBorders>
            <w:vAlign w:val="center"/>
          </w:tcPr>
          <w:p w14:paraId="196AA166"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序号</w:t>
            </w:r>
          </w:p>
        </w:tc>
        <w:tc>
          <w:tcPr>
            <w:tcW w:w="683" w:type="pct"/>
            <w:vMerge w:val="restart"/>
            <w:tcBorders>
              <w:top w:val="single" w:sz="4" w:space="0" w:color="auto"/>
              <w:left w:val="nil"/>
              <w:bottom w:val="single" w:sz="4" w:space="0" w:color="auto"/>
              <w:right w:val="single" w:sz="4" w:space="0" w:color="auto"/>
            </w:tcBorders>
            <w:vAlign w:val="center"/>
          </w:tcPr>
          <w:p w14:paraId="2ABE8ED0"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废水类别</w:t>
            </w:r>
          </w:p>
        </w:tc>
        <w:tc>
          <w:tcPr>
            <w:tcW w:w="1246" w:type="pct"/>
            <w:vMerge w:val="restart"/>
            <w:tcBorders>
              <w:top w:val="single" w:sz="4" w:space="0" w:color="auto"/>
              <w:left w:val="nil"/>
              <w:bottom w:val="single" w:sz="4" w:space="0" w:color="auto"/>
              <w:right w:val="single" w:sz="4" w:space="0" w:color="auto"/>
            </w:tcBorders>
            <w:vAlign w:val="center"/>
          </w:tcPr>
          <w:p w14:paraId="6B798359"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污染物种类</w:t>
            </w:r>
          </w:p>
        </w:tc>
        <w:tc>
          <w:tcPr>
            <w:tcW w:w="389" w:type="pct"/>
            <w:vMerge w:val="restart"/>
            <w:tcBorders>
              <w:top w:val="single" w:sz="4" w:space="0" w:color="auto"/>
              <w:left w:val="nil"/>
              <w:bottom w:val="single" w:sz="4" w:space="0" w:color="auto"/>
              <w:right w:val="single" w:sz="4" w:space="0" w:color="auto"/>
            </w:tcBorders>
            <w:vAlign w:val="center"/>
          </w:tcPr>
          <w:p w14:paraId="2FB0D99B"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排放去向</w:t>
            </w:r>
          </w:p>
        </w:tc>
        <w:tc>
          <w:tcPr>
            <w:tcW w:w="273" w:type="pct"/>
            <w:vMerge w:val="restart"/>
            <w:tcBorders>
              <w:top w:val="single" w:sz="4" w:space="0" w:color="auto"/>
              <w:left w:val="nil"/>
              <w:bottom w:val="single" w:sz="4" w:space="0" w:color="auto"/>
              <w:right w:val="single" w:sz="4" w:space="0" w:color="auto"/>
            </w:tcBorders>
            <w:vAlign w:val="center"/>
          </w:tcPr>
          <w:p w14:paraId="2E98D4EB"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排放规律</w:t>
            </w:r>
          </w:p>
        </w:tc>
        <w:tc>
          <w:tcPr>
            <w:tcW w:w="1064" w:type="pct"/>
            <w:gridSpan w:val="3"/>
            <w:tcBorders>
              <w:top w:val="single" w:sz="4" w:space="0" w:color="auto"/>
              <w:left w:val="nil"/>
              <w:bottom w:val="single" w:sz="4" w:space="0" w:color="auto"/>
              <w:right w:val="single" w:sz="4" w:space="0" w:color="auto"/>
            </w:tcBorders>
            <w:vAlign w:val="center"/>
          </w:tcPr>
          <w:p w14:paraId="382D0B65"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污染治理设施</w:t>
            </w:r>
          </w:p>
        </w:tc>
        <w:tc>
          <w:tcPr>
            <w:tcW w:w="288" w:type="pct"/>
            <w:vMerge w:val="restart"/>
            <w:tcBorders>
              <w:top w:val="single" w:sz="4" w:space="0" w:color="auto"/>
              <w:left w:val="nil"/>
              <w:bottom w:val="single" w:sz="4" w:space="0" w:color="auto"/>
              <w:right w:val="single" w:sz="4" w:space="0" w:color="auto"/>
            </w:tcBorders>
            <w:vAlign w:val="center"/>
          </w:tcPr>
          <w:p w14:paraId="331AFB3B"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排放口编号</w:t>
            </w:r>
          </w:p>
        </w:tc>
        <w:tc>
          <w:tcPr>
            <w:tcW w:w="479" w:type="pct"/>
            <w:vMerge w:val="restart"/>
            <w:tcBorders>
              <w:top w:val="single" w:sz="4" w:space="0" w:color="auto"/>
              <w:left w:val="nil"/>
              <w:bottom w:val="single" w:sz="4" w:space="0" w:color="auto"/>
              <w:right w:val="single" w:sz="4" w:space="0" w:color="auto"/>
            </w:tcBorders>
            <w:vAlign w:val="center"/>
          </w:tcPr>
          <w:p w14:paraId="2D24E299"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排放口是否符合要求</w:t>
            </w:r>
          </w:p>
        </w:tc>
        <w:tc>
          <w:tcPr>
            <w:tcW w:w="362" w:type="pct"/>
            <w:vMerge w:val="restart"/>
            <w:tcBorders>
              <w:top w:val="single" w:sz="4" w:space="0" w:color="auto"/>
              <w:left w:val="nil"/>
              <w:bottom w:val="single" w:sz="4" w:space="0" w:color="auto"/>
              <w:right w:val="single" w:sz="4" w:space="0" w:color="auto"/>
            </w:tcBorders>
            <w:vAlign w:val="center"/>
          </w:tcPr>
          <w:p w14:paraId="7B15CB17"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排放口类型</w:t>
            </w:r>
          </w:p>
        </w:tc>
      </w:tr>
      <w:tr w:rsidR="002133E3" w14:paraId="79730EBE" w14:textId="77777777">
        <w:trPr>
          <w:trHeight w:val="284"/>
          <w:jc w:val="center"/>
        </w:trPr>
        <w:tc>
          <w:tcPr>
            <w:tcW w:w="216" w:type="pct"/>
            <w:vMerge/>
            <w:tcBorders>
              <w:top w:val="single" w:sz="4" w:space="0" w:color="auto"/>
              <w:left w:val="single" w:sz="4" w:space="0" w:color="auto"/>
              <w:bottom w:val="single" w:sz="4" w:space="0" w:color="auto"/>
              <w:right w:val="single" w:sz="4" w:space="0" w:color="auto"/>
            </w:tcBorders>
            <w:vAlign w:val="center"/>
          </w:tcPr>
          <w:p w14:paraId="0F0C0342" w14:textId="77777777" w:rsidR="002133E3" w:rsidRDefault="002133E3">
            <w:pPr>
              <w:snapToGrid w:val="0"/>
              <w:rPr>
                <w:rFonts w:ascii="Times New Roman" w:eastAsia="宋体" w:hAnsi="Times New Roman" w:cs="Times New Roman"/>
                <w:b/>
                <w:bCs/>
                <w:szCs w:val="21"/>
              </w:rPr>
            </w:pPr>
          </w:p>
        </w:tc>
        <w:tc>
          <w:tcPr>
            <w:tcW w:w="683" w:type="pct"/>
            <w:vMerge/>
            <w:tcBorders>
              <w:top w:val="single" w:sz="4" w:space="0" w:color="auto"/>
              <w:left w:val="nil"/>
              <w:bottom w:val="single" w:sz="4" w:space="0" w:color="auto"/>
              <w:right w:val="single" w:sz="4" w:space="0" w:color="auto"/>
            </w:tcBorders>
            <w:vAlign w:val="center"/>
          </w:tcPr>
          <w:p w14:paraId="5AE5A649" w14:textId="77777777" w:rsidR="002133E3" w:rsidRDefault="002133E3">
            <w:pPr>
              <w:snapToGrid w:val="0"/>
              <w:rPr>
                <w:rFonts w:ascii="Times New Roman" w:eastAsia="宋体" w:hAnsi="Times New Roman" w:cs="Times New Roman"/>
                <w:b/>
                <w:bCs/>
                <w:szCs w:val="21"/>
              </w:rPr>
            </w:pPr>
          </w:p>
        </w:tc>
        <w:tc>
          <w:tcPr>
            <w:tcW w:w="1246" w:type="pct"/>
            <w:vMerge/>
            <w:tcBorders>
              <w:top w:val="single" w:sz="4" w:space="0" w:color="auto"/>
              <w:left w:val="nil"/>
              <w:bottom w:val="single" w:sz="4" w:space="0" w:color="auto"/>
              <w:right w:val="single" w:sz="4" w:space="0" w:color="auto"/>
            </w:tcBorders>
            <w:vAlign w:val="center"/>
          </w:tcPr>
          <w:p w14:paraId="372917E9" w14:textId="77777777" w:rsidR="002133E3" w:rsidRDefault="002133E3">
            <w:pPr>
              <w:snapToGrid w:val="0"/>
              <w:rPr>
                <w:rFonts w:ascii="Times New Roman" w:eastAsia="宋体" w:hAnsi="Times New Roman" w:cs="Times New Roman"/>
                <w:b/>
                <w:bCs/>
                <w:szCs w:val="21"/>
              </w:rPr>
            </w:pPr>
          </w:p>
        </w:tc>
        <w:tc>
          <w:tcPr>
            <w:tcW w:w="389" w:type="pct"/>
            <w:vMerge/>
            <w:tcBorders>
              <w:top w:val="single" w:sz="4" w:space="0" w:color="auto"/>
              <w:left w:val="nil"/>
              <w:bottom w:val="single" w:sz="4" w:space="0" w:color="auto"/>
              <w:right w:val="single" w:sz="4" w:space="0" w:color="auto"/>
            </w:tcBorders>
            <w:vAlign w:val="center"/>
          </w:tcPr>
          <w:p w14:paraId="3E8713DF" w14:textId="77777777" w:rsidR="002133E3" w:rsidRDefault="002133E3">
            <w:pPr>
              <w:snapToGrid w:val="0"/>
              <w:rPr>
                <w:rFonts w:ascii="Times New Roman" w:eastAsia="宋体" w:hAnsi="Times New Roman" w:cs="Times New Roman"/>
                <w:b/>
                <w:bCs/>
                <w:szCs w:val="21"/>
              </w:rPr>
            </w:pPr>
          </w:p>
        </w:tc>
        <w:tc>
          <w:tcPr>
            <w:tcW w:w="273" w:type="pct"/>
            <w:vMerge/>
            <w:tcBorders>
              <w:top w:val="single" w:sz="4" w:space="0" w:color="auto"/>
              <w:left w:val="nil"/>
              <w:bottom w:val="single" w:sz="4" w:space="0" w:color="auto"/>
              <w:right w:val="single" w:sz="4" w:space="0" w:color="auto"/>
            </w:tcBorders>
            <w:vAlign w:val="center"/>
          </w:tcPr>
          <w:p w14:paraId="5F121DC3" w14:textId="77777777" w:rsidR="002133E3" w:rsidRDefault="002133E3">
            <w:pPr>
              <w:snapToGrid w:val="0"/>
              <w:rPr>
                <w:rFonts w:ascii="Times New Roman" w:eastAsia="宋体" w:hAnsi="Times New Roman" w:cs="Times New Roman"/>
                <w:b/>
                <w:bCs/>
                <w:szCs w:val="21"/>
              </w:rPr>
            </w:pPr>
          </w:p>
        </w:tc>
        <w:tc>
          <w:tcPr>
            <w:tcW w:w="249" w:type="pct"/>
            <w:tcBorders>
              <w:top w:val="single" w:sz="4" w:space="0" w:color="auto"/>
              <w:left w:val="nil"/>
              <w:bottom w:val="single" w:sz="4" w:space="0" w:color="auto"/>
              <w:right w:val="single" w:sz="4" w:space="0" w:color="auto"/>
            </w:tcBorders>
            <w:vAlign w:val="center"/>
          </w:tcPr>
          <w:p w14:paraId="550CB42E"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编号</w:t>
            </w:r>
          </w:p>
        </w:tc>
        <w:tc>
          <w:tcPr>
            <w:tcW w:w="288" w:type="pct"/>
            <w:tcBorders>
              <w:top w:val="single" w:sz="4" w:space="0" w:color="auto"/>
              <w:left w:val="nil"/>
              <w:bottom w:val="single" w:sz="4" w:space="0" w:color="auto"/>
              <w:right w:val="single" w:sz="4" w:space="0" w:color="auto"/>
            </w:tcBorders>
            <w:vAlign w:val="center"/>
          </w:tcPr>
          <w:p w14:paraId="63692997"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名称</w:t>
            </w:r>
          </w:p>
        </w:tc>
        <w:tc>
          <w:tcPr>
            <w:tcW w:w="527" w:type="pct"/>
            <w:tcBorders>
              <w:top w:val="single" w:sz="4" w:space="0" w:color="auto"/>
              <w:left w:val="nil"/>
              <w:bottom w:val="single" w:sz="4" w:space="0" w:color="auto"/>
              <w:right w:val="single" w:sz="4" w:space="0" w:color="auto"/>
            </w:tcBorders>
            <w:vAlign w:val="center"/>
          </w:tcPr>
          <w:p w14:paraId="546D80BD"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工艺</w:t>
            </w:r>
          </w:p>
        </w:tc>
        <w:tc>
          <w:tcPr>
            <w:tcW w:w="288" w:type="pct"/>
            <w:vMerge/>
            <w:tcBorders>
              <w:top w:val="single" w:sz="4" w:space="0" w:color="auto"/>
              <w:left w:val="nil"/>
              <w:bottom w:val="single" w:sz="4" w:space="0" w:color="auto"/>
              <w:right w:val="single" w:sz="4" w:space="0" w:color="auto"/>
            </w:tcBorders>
            <w:vAlign w:val="center"/>
          </w:tcPr>
          <w:p w14:paraId="07F0A84F" w14:textId="77777777" w:rsidR="002133E3" w:rsidRDefault="002133E3">
            <w:pPr>
              <w:snapToGrid w:val="0"/>
              <w:rPr>
                <w:rFonts w:ascii="Times New Roman" w:eastAsia="宋体" w:hAnsi="Times New Roman" w:cs="Times New Roman"/>
                <w:b/>
                <w:bCs/>
                <w:szCs w:val="21"/>
              </w:rPr>
            </w:pPr>
          </w:p>
        </w:tc>
        <w:tc>
          <w:tcPr>
            <w:tcW w:w="479" w:type="pct"/>
            <w:vMerge/>
            <w:tcBorders>
              <w:top w:val="single" w:sz="4" w:space="0" w:color="auto"/>
              <w:left w:val="nil"/>
              <w:bottom w:val="single" w:sz="4" w:space="0" w:color="auto"/>
              <w:right w:val="single" w:sz="4" w:space="0" w:color="auto"/>
            </w:tcBorders>
            <w:vAlign w:val="center"/>
          </w:tcPr>
          <w:p w14:paraId="3675836A" w14:textId="77777777" w:rsidR="002133E3" w:rsidRDefault="002133E3">
            <w:pPr>
              <w:snapToGrid w:val="0"/>
              <w:rPr>
                <w:rFonts w:ascii="Times New Roman" w:eastAsia="宋体" w:hAnsi="Times New Roman" w:cs="Times New Roman"/>
                <w:b/>
                <w:bCs/>
                <w:szCs w:val="21"/>
              </w:rPr>
            </w:pPr>
          </w:p>
        </w:tc>
        <w:tc>
          <w:tcPr>
            <w:tcW w:w="362" w:type="pct"/>
            <w:vMerge/>
            <w:tcBorders>
              <w:top w:val="single" w:sz="4" w:space="0" w:color="auto"/>
              <w:left w:val="nil"/>
              <w:bottom w:val="single" w:sz="4" w:space="0" w:color="auto"/>
              <w:right w:val="single" w:sz="4" w:space="0" w:color="auto"/>
            </w:tcBorders>
            <w:vAlign w:val="center"/>
          </w:tcPr>
          <w:p w14:paraId="553F537F" w14:textId="77777777" w:rsidR="002133E3" w:rsidRDefault="002133E3">
            <w:pPr>
              <w:snapToGrid w:val="0"/>
              <w:rPr>
                <w:rFonts w:ascii="Times New Roman" w:eastAsia="宋体" w:hAnsi="Times New Roman" w:cs="Times New Roman"/>
                <w:b/>
                <w:bCs/>
                <w:szCs w:val="21"/>
              </w:rPr>
            </w:pPr>
          </w:p>
        </w:tc>
      </w:tr>
      <w:tr w:rsidR="002133E3" w14:paraId="35ED63AD" w14:textId="77777777">
        <w:trPr>
          <w:trHeight w:val="284"/>
          <w:jc w:val="center"/>
        </w:trPr>
        <w:tc>
          <w:tcPr>
            <w:tcW w:w="216" w:type="pct"/>
            <w:tcBorders>
              <w:left w:val="single" w:sz="4" w:space="0" w:color="auto"/>
              <w:bottom w:val="single" w:sz="4" w:space="0" w:color="auto"/>
              <w:right w:val="single" w:sz="4" w:space="0" w:color="auto"/>
            </w:tcBorders>
            <w:shd w:val="clear" w:color="auto" w:fill="auto"/>
            <w:vAlign w:val="center"/>
          </w:tcPr>
          <w:p w14:paraId="4E098689"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683" w:type="pct"/>
            <w:tcBorders>
              <w:left w:val="single" w:sz="4" w:space="0" w:color="auto"/>
              <w:bottom w:val="single" w:sz="4" w:space="0" w:color="auto"/>
              <w:right w:val="single" w:sz="4" w:space="0" w:color="auto"/>
            </w:tcBorders>
            <w:shd w:val="clear" w:color="auto" w:fill="auto"/>
            <w:vAlign w:val="center"/>
          </w:tcPr>
          <w:p w14:paraId="5E7B04D1"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工艺废水</w:t>
            </w:r>
          </w:p>
        </w:tc>
        <w:tc>
          <w:tcPr>
            <w:tcW w:w="1246" w:type="pct"/>
            <w:tcBorders>
              <w:left w:val="single" w:sz="4" w:space="0" w:color="auto"/>
              <w:bottom w:val="single" w:sz="4" w:space="0" w:color="auto"/>
              <w:right w:val="single" w:sz="4" w:space="0" w:color="auto"/>
            </w:tcBorders>
            <w:shd w:val="clear" w:color="auto" w:fill="auto"/>
            <w:vAlign w:val="center"/>
          </w:tcPr>
          <w:p w14:paraId="3074B7F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rPr>
              <w:t>、</w:t>
            </w:r>
            <w:r>
              <w:rPr>
                <w:rFonts w:ascii="Times New Roman" w:eastAsia="宋体" w:hAnsi="Times New Roman" w:cs="Times New Roman"/>
                <w:szCs w:val="21"/>
              </w:rPr>
              <w:t>SS</w:t>
            </w:r>
            <w:r>
              <w:rPr>
                <w:rFonts w:ascii="Times New Roman" w:eastAsia="宋体" w:hAnsi="Times New Roman" w:cs="Times New Roman"/>
                <w:szCs w:val="21"/>
              </w:rPr>
              <w:t>、总氮、氨氮、总磷、盐分</w:t>
            </w:r>
          </w:p>
        </w:tc>
        <w:tc>
          <w:tcPr>
            <w:tcW w:w="389" w:type="pct"/>
            <w:vMerge w:val="restart"/>
            <w:tcBorders>
              <w:left w:val="single" w:sz="4" w:space="0" w:color="auto"/>
              <w:right w:val="single" w:sz="4" w:space="0" w:color="auto"/>
            </w:tcBorders>
            <w:shd w:val="clear" w:color="auto" w:fill="auto"/>
            <w:vAlign w:val="center"/>
          </w:tcPr>
          <w:p w14:paraId="08C26A1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入厂区污水处理站</w:t>
            </w:r>
          </w:p>
        </w:tc>
        <w:tc>
          <w:tcPr>
            <w:tcW w:w="273" w:type="pct"/>
            <w:tcBorders>
              <w:left w:val="nil"/>
              <w:right w:val="single" w:sz="4" w:space="0" w:color="auto"/>
            </w:tcBorders>
            <w:vAlign w:val="center"/>
          </w:tcPr>
          <w:p w14:paraId="256D4C7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连续</w:t>
            </w:r>
          </w:p>
        </w:tc>
        <w:tc>
          <w:tcPr>
            <w:tcW w:w="249" w:type="pct"/>
            <w:vMerge w:val="restart"/>
            <w:tcBorders>
              <w:top w:val="single" w:sz="4" w:space="0" w:color="auto"/>
              <w:left w:val="nil"/>
              <w:right w:val="single" w:sz="4" w:space="0" w:color="auto"/>
            </w:tcBorders>
            <w:vAlign w:val="center"/>
          </w:tcPr>
          <w:p w14:paraId="6D1AABE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288" w:type="pct"/>
            <w:vMerge w:val="restart"/>
            <w:tcBorders>
              <w:top w:val="nil"/>
              <w:left w:val="nil"/>
              <w:bottom w:val="single" w:sz="4" w:space="0" w:color="auto"/>
              <w:right w:val="single" w:sz="4" w:space="0" w:color="auto"/>
            </w:tcBorders>
            <w:vAlign w:val="center"/>
          </w:tcPr>
          <w:p w14:paraId="334255E6"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污水处理站</w:t>
            </w:r>
          </w:p>
        </w:tc>
        <w:tc>
          <w:tcPr>
            <w:tcW w:w="527" w:type="pct"/>
            <w:vMerge w:val="restart"/>
            <w:tcBorders>
              <w:top w:val="nil"/>
              <w:left w:val="nil"/>
              <w:bottom w:val="single" w:sz="4" w:space="0" w:color="auto"/>
              <w:right w:val="single" w:sz="4" w:space="0" w:color="auto"/>
            </w:tcBorders>
            <w:vAlign w:val="center"/>
          </w:tcPr>
          <w:p w14:paraId="12E63864"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厌氧</w:t>
            </w:r>
            <w:r>
              <w:rPr>
                <w:rFonts w:ascii="Times New Roman" w:eastAsia="宋体" w:hAnsi="Times New Roman" w:cs="Times New Roman"/>
                <w:szCs w:val="21"/>
              </w:rPr>
              <w:t>+</w:t>
            </w:r>
            <w:r>
              <w:rPr>
                <w:rFonts w:ascii="Times New Roman" w:eastAsia="宋体" w:hAnsi="Times New Roman" w:cs="Times New Roman"/>
                <w:szCs w:val="21"/>
              </w:rPr>
              <w:t>气浮</w:t>
            </w:r>
            <w:r>
              <w:rPr>
                <w:rFonts w:ascii="Times New Roman" w:eastAsia="宋体" w:hAnsi="Times New Roman" w:cs="Times New Roman"/>
                <w:szCs w:val="21"/>
              </w:rPr>
              <w:t>+</w:t>
            </w:r>
            <w:r>
              <w:rPr>
                <w:rFonts w:ascii="Times New Roman" w:eastAsia="宋体" w:hAnsi="Times New Roman" w:cs="Times New Roman"/>
                <w:szCs w:val="21"/>
              </w:rPr>
              <w:t>三级厌氧</w:t>
            </w:r>
            <w:r>
              <w:rPr>
                <w:rFonts w:ascii="Times New Roman" w:eastAsia="宋体" w:hAnsi="Times New Roman" w:cs="Times New Roman"/>
                <w:szCs w:val="21"/>
              </w:rPr>
              <w:t>+</w:t>
            </w:r>
            <w:r>
              <w:rPr>
                <w:rFonts w:ascii="Times New Roman" w:eastAsia="宋体" w:hAnsi="Times New Roman" w:cs="Times New Roman"/>
                <w:szCs w:val="21"/>
              </w:rPr>
              <w:t>好氧</w:t>
            </w:r>
          </w:p>
        </w:tc>
        <w:tc>
          <w:tcPr>
            <w:tcW w:w="288" w:type="pct"/>
            <w:vMerge w:val="restart"/>
            <w:tcBorders>
              <w:top w:val="nil"/>
              <w:left w:val="nil"/>
              <w:right w:val="single" w:sz="4" w:space="0" w:color="auto"/>
            </w:tcBorders>
            <w:vAlign w:val="center"/>
          </w:tcPr>
          <w:p w14:paraId="250E1405" w14:textId="77777777" w:rsidR="002133E3" w:rsidRDefault="00C22CFA">
            <w:pPr>
              <w:snapToGrid w:val="0"/>
              <w:jc w:val="center"/>
              <w:rPr>
                <w:rFonts w:ascii="Times New Roman" w:eastAsia="宋体" w:hAnsi="Times New Roman" w:cs="Times New Roman"/>
                <w:szCs w:val="21"/>
              </w:rPr>
            </w:pPr>
            <w:r>
              <w:rPr>
                <w:rFonts w:ascii="宋体" w:eastAsia="宋体" w:hAnsi="宋体" w:cs="宋体" w:hint="eastAsia"/>
                <w:szCs w:val="21"/>
              </w:rPr>
              <w:t>①</w:t>
            </w:r>
          </w:p>
        </w:tc>
        <w:tc>
          <w:tcPr>
            <w:tcW w:w="479" w:type="pct"/>
            <w:vMerge w:val="restart"/>
            <w:tcBorders>
              <w:top w:val="nil"/>
              <w:left w:val="nil"/>
              <w:right w:val="single" w:sz="4" w:space="0" w:color="auto"/>
            </w:tcBorders>
            <w:vAlign w:val="center"/>
          </w:tcPr>
          <w:p w14:paraId="2822C66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是</w:t>
            </w:r>
          </w:p>
        </w:tc>
        <w:tc>
          <w:tcPr>
            <w:tcW w:w="362" w:type="pct"/>
            <w:vMerge w:val="restart"/>
            <w:tcBorders>
              <w:top w:val="nil"/>
              <w:left w:val="nil"/>
              <w:right w:val="single" w:sz="4" w:space="0" w:color="auto"/>
            </w:tcBorders>
            <w:vAlign w:val="center"/>
          </w:tcPr>
          <w:p w14:paraId="59232FC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企业总排口</w:t>
            </w:r>
          </w:p>
        </w:tc>
      </w:tr>
      <w:tr w:rsidR="002133E3" w14:paraId="216B1AAC" w14:textId="77777777">
        <w:trPr>
          <w:trHeight w:val="284"/>
          <w:jc w:val="center"/>
        </w:trPr>
        <w:tc>
          <w:tcPr>
            <w:tcW w:w="216" w:type="pct"/>
            <w:tcBorders>
              <w:top w:val="single" w:sz="4" w:space="0" w:color="auto"/>
              <w:left w:val="single" w:sz="4" w:space="0" w:color="auto"/>
              <w:bottom w:val="single" w:sz="4" w:space="0" w:color="auto"/>
              <w:right w:val="single" w:sz="4" w:space="0" w:color="auto"/>
            </w:tcBorders>
            <w:vAlign w:val="center"/>
          </w:tcPr>
          <w:p w14:paraId="6F15B10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683" w:type="pct"/>
            <w:tcBorders>
              <w:top w:val="single" w:sz="4" w:space="0" w:color="auto"/>
              <w:left w:val="nil"/>
              <w:bottom w:val="single" w:sz="4" w:space="0" w:color="auto"/>
              <w:right w:val="single" w:sz="4" w:space="0" w:color="auto"/>
            </w:tcBorders>
            <w:vAlign w:val="center"/>
          </w:tcPr>
          <w:p w14:paraId="2E35107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废气吸收废水</w:t>
            </w:r>
          </w:p>
        </w:tc>
        <w:tc>
          <w:tcPr>
            <w:tcW w:w="1246" w:type="pct"/>
            <w:tcBorders>
              <w:top w:val="single" w:sz="4" w:space="0" w:color="auto"/>
              <w:left w:val="nil"/>
              <w:bottom w:val="single" w:sz="4" w:space="0" w:color="auto"/>
              <w:right w:val="single" w:sz="4" w:space="0" w:color="auto"/>
            </w:tcBorders>
            <w:vAlign w:val="center"/>
          </w:tcPr>
          <w:p w14:paraId="44C5849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rPr>
              <w:t>、</w:t>
            </w:r>
            <w:r>
              <w:rPr>
                <w:rFonts w:ascii="Times New Roman" w:eastAsia="宋体" w:hAnsi="Times New Roman" w:cs="Times New Roman"/>
                <w:szCs w:val="21"/>
              </w:rPr>
              <w:t>SS</w:t>
            </w:r>
          </w:p>
        </w:tc>
        <w:tc>
          <w:tcPr>
            <w:tcW w:w="389" w:type="pct"/>
            <w:vMerge/>
            <w:tcBorders>
              <w:left w:val="single" w:sz="4" w:space="0" w:color="auto"/>
              <w:right w:val="single" w:sz="4" w:space="0" w:color="auto"/>
            </w:tcBorders>
            <w:vAlign w:val="center"/>
          </w:tcPr>
          <w:p w14:paraId="687D5DA3" w14:textId="77777777" w:rsidR="002133E3" w:rsidRDefault="002133E3">
            <w:pPr>
              <w:snapToGrid w:val="0"/>
              <w:jc w:val="center"/>
              <w:rPr>
                <w:rFonts w:ascii="Times New Roman" w:eastAsia="宋体" w:hAnsi="Times New Roman" w:cs="Times New Roman"/>
                <w:szCs w:val="21"/>
              </w:rPr>
            </w:pPr>
          </w:p>
        </w:tc>
        <w:tc>
          <w:tcPr>
            <w:tcW w:w="273" w:type="pct"/>
            <w:tcBorders>
              <w:left w:val="nil"/>
              <w:right w:val="single" w:sz="4" w:space="0" w:color="auto"/>
            </w:tcBorders>
            <w:vAlign w:val="center"/>
          </w:tcPr>
          <w:p w14:paraId="2C7E37E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249" w:type="pct"/>
            <w:vMerge/>
            <w:tcBorders>
              <w:left w:val="nil"/>
              <w:right w:val="single" w:sz="4" w:space="0" w:color="auto"/>
            </w:tcBorders>
            <w:vAlign w:val="center"/>
          </w:tcPr>
          <w:p w14:paraId="0133F5F6" w14:textId="77777777" w:rsidR="002133E3" w:rsidRDefault="002133E3">
            <w:pPr>
              <w:snapToGrid w:val="0"/>
              <w:rPr>
                <w:rFonts w:ascii="Times New Roman" w:eastAsia="宋体" w:hAnsi="Times New Roman" w:cs="Times New Roman"/>
                <w:szCs w:val="21"/>
              </w:rPr>
            </w:pPr>
          </w:p>
        </w:tc>
        <w:tc>
          <w:tcPr>
            <w:tcW w:w="288" w:type="pct"/>
            <w:vMerge/>
            <w:tcBorders>
              <w:top w:val="nil"/>
              <w:left w:val="nil"/>
              <w:bottom w:val="single" w:sz="4" w:space="0" w:color="auto"/>
              <w:right w:val="single" w:sz="4" w:space="0" w:color="auto"/>
            </w:tcBorders>
            <w:vAlign w:val="center"/>
          </w:tcPr>
          <w:p w14:paraId="416F8BB3" w14:textId="77777777" w:rsidR="002133E3" w:rsidRDefault="002133E3">
            <w:pPr>
              <w:snapToGrid w:val="0"/>
              <w:rPr>
                <w:rFonts w:ascii="Times New Roman" w:eastAsia="宋体" w:hAnsi="Times New Roman" w:cs="Times New Roman"/>
                <w:szCs w:val="21"/>
              </w:rPr>
            </w:pPr>
          </w:p>
        </w:tc>
        <w:tc>
          <w:tcPr>
            <w:tcW w:w="527" w:type="pct"/>
            <w:vMerge/>
            <w:tcBorders>
              <w:top w:val="nil"/>
              <w:left w:val="nil"/>
              <w:bottom w:val="single" w:sz="4" w:space="0" w:color="auto"/>
              <w:right w:val="single" w:sz="4" w:space="0" w:color="auto"/>
            </w:tcBorders>
            <w:vAlign w:val="center"/>
          </w:tcPr>
          <w:p w14:paraId="6F4F27BE" w14:textId="77777777" w:rsidR="002133E3" w:rsidRDefault="002133E3">
            <w:pPr>
              <w:snapToGrid w:val="0"/>
              <w:jc w:val="center"/>
              <w:rPr>
                <w:rFonts w:ascii="Times New Roman" w:eastAsia="宋体" w:hAnsi="Times New Roman" w:cs="Times New Roman"/>
                <w:szCs w:val="21"/>
              </w:rPr>
            </w:pPr>
          </w:p>
        </w:tc>
        <w:tc>
          <w:tcPr>
            <w:tcW w:w="288" w:type="pct"/>
            <w:vMerge/>
            <w:tcBorders>
              <w:left w:val="nil"/>
              <w:right w:val="single" w:sz="4" w:space="0" w:color="auto"/>
            </w:tcBorders>
            <w:vAlign w:val="center"/>
          </w:tcPr>
          <w:p w14:paraId="4AB4A7E6" w14:textId="77777777" w:rsidR="002133E3" w:rsidRDefault="002133E3">
            <w:pPr>
              <w:snapToGrid w:val="0"/>
              <w:rPr>
                <w:rFonts w:ascii="Times New Roman" w:eastAsia="宋体" w:hAnsi="Times New Roman" w:cs="Times New Roman"/>
                <w:szCs w:val="21"/>
              </w:rPr>
            </w:pPr>
          </w:p>
        </w:tc>
        <w:tc>
          <w:tcPr>
            <w:tcW w:w="479" w:type="pct"/>
            <w:vMerge/>
            <w:tcBorders>
              <w:left w:val="nil"/>
              <w:right w:val="single" w:sz="4" w:space="0" w:color="auto"/>
            </w:tcBorders>
            <w:vAlign w:val="center"/>
          </w:tcPr>
          <w:p w14:paraId="0F99F069" w14:textId="77777777" w:rsidR="002133E3" w:rsidRDefault="002133E3">
            <w:pPr>
              <w:snapToGrid w:val="0"/>
              <w:rPr>
                <w:rFonts w:ascii="Times New Roman" w:eastAsia="宋体" w:hAnsi="Times New Roman" w:cs="Times New Roman"/>
                <w:szCs w:val="21"/>
              </w:rPr>
            </w:pPr>
          </w:p>
        </w:tc>
        <w:tc>
          <w:tcPr>
            <w:tcW w:w="362" w:type="pct"/>
            <w:vMerge/>
            <w:tcBorders>
              <w:left w:val="nil"/>
              <w:right w:val="single" w:sz="4" w:space="0" w:color="auto"/>
            </w:tcBorders>
            <w:vAlign w:val="center"/>
          </w:tcPr>
          <w:p w14:paraId="1FA8950F" w14:textId="77777777" w:rsidR="002133E3" w:rsidRDefault="002133E3">
            <w:pPr>
              <w:snapToGrid w:val="0"/>
              <w:rPr>
                <w:rFonts w:ascii="Times New Roman" w:eastAsia="宋体" w:hAnsi="Times New Roman" w:cs="Times New Roman"/>
                <w:szCs w:val="21"/>
              </w:rPr>
            </w:pPr>
          </w:p>
        </w:tc>
      </w:tr>
      <w:tr w:rsidR="002133E3" w14:paraId="31CB63A1" w14:textId="77777777">
        <w:trPr>
          <w:trHeight w:val="284"/>
          <w:jc w:val="center"/>
        </w:trPr>
        <w:tc>
          <w:tcPr>
            <w:tcW w:w="216" w:type="pct"/>
            <w:tcBorders>
              <w:top w:val="single" w:sz="4" w:space="0" w:color="auto"/>
              <w:left w:val="single" w:sz="4" w:space="0" w:color="auto"/>
              <w:bottom w:val="single" w:sz="4" w:space="0" w:color="auto"/>
              <w:right w:val="single" w:sz="4" w:space="0" w:color="auto"/>
            </w:tcBorders>
            <w:vAlign w:val="center"/>
          </w:tcPr>
          <w:p w14:paraId="24EAF12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683" w:type="pct"/>
            <w:tcBorders>
              <w:top w:val="single" w:sz="4" w:space="0" w:color="auto"/>
              <w:left w:val="nil"/>
              <w:bottom w:val="single" w:sz="4" w:space="0" w:color="auto"/>
              <w:right w:val="single" w:sz="4" w:space="0" w:color="auto"/>
            </w:tcBorders>
            <w:vAlign w:val="center"/>
          </w:tcPr>
          <w:p w14:paraId="6431651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设备及地面冲洗</w:t>
            </w:r>
          </w:p>
        </w:tc>
        <w:tc>
          <w:tcPr>
            <w:tcW w:w="1246" w:type="pct"/>
            <w:tcBorders>
              <w:top w:val="single" w:sz="4" w:space="0" w:color="auto"/>
              <w:left w:val="nil"/>
              <w:bottom w:val="single" w:sz="4" w:space="0" w:color="auto"/>
              <w:right w:val="single" w:sz="4" w:space="0" w:color="auto"/>
            </w:tcBorders>
            <w:vAlign w:val="center"/>
          </w:tcPr>
          <w:p w14:paraId="5600F97A"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rPr>
              <w:t>、</w:t>
            </w:r>
            <w:r>
              <w:rPr>
                <w:rFonts w:ascii="Times New Roman" w:eastAsia="宋体" w:hAnsi="Times New Roman" w:cs="Times New Roman"/>
                <w:szCs w:val="21"/>
              </w:rPr>
              <w:t xml:space="preserve">SS </w:t>
            </w:r>
          </w:p>
        </w:tc>
        <w:tc>
          <w:tcPr>
            <w:tcW w:w="389" w:type="pct"/>
            <w:vMerge/>
            <w:tcBorders>
              <w:left w:val="single" w:sz="4" w:space="0" w:color="auto"/>
              <w:right w:val="single" w:sz="4" w:space="0" w:color="auto"/>
            </w:tcBorders>
            <w:vAlign w:val="center"/>
          </w:tcPr>
          <w:p w14:paraId="7E6FA564" w14:textId="77777777" w:rsidR="002133E3" w:rsidRDefault="002133E3">
            <w:pPr>
              <w:snapToGrid w:val="0"/>
              <w:jc w:val="center"/>
              <w:rPr>
                <w:rFonts w:ascii="Times New Roman" w:eastAsia="宋体" w:hAnsi="Times New Roman" w:cs="Times New Roman"/>
                <w:szCs w:val="21"/>
              </w:rPr>
            </w:pPr>
          </w:p>
        </w:tc>
        <w:tc>
          <w:tcPr>
            <w:tcW w:w="273" w:type="pct"/>
            <w:tcBorders>
              <w:left w:val="nil"/>
              <w:right w:val="single" w:sz="4" w:space="0" w:color="auto"/>
            </w:tcBorders>
            <w:vAlign w:val="center"/>
          </w:tcPr>
          <w:p w14:paraId="1C28F8F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249" w:type="pct"/>
            <w:vMerge/>
            <w:tcBorders>
              <w:left w:val="nil"/>
              <w:right w:val="single" w:sz="4" w:space="0" w:color="auto"/>
            </w:tcBorders>
            <w:vAlign w:val="center"/>
          </w:tcPr>
          <w:p w14:paraId="6AE5184A" w14:textId="77777777" w:rsidR="002133E3" w:rsidRDefault="002133E3">
            <w:pPr>
              <w:snapToGrid w:val="0"/>
              <w:rPr>
                <w:rFonts w:ascii="Times New Roman" w:eastAsia="宋体" w:hAnsi="Times New Roman" w:cs="Times New Roman"/>
                <w:szCs w:val="21"/>
              </w:rPr>
            </w:pPr>
          </w:p>
        </w:tc>
        <w:tc>
          <w:tcPr>
            <w:tcW w:w="288" w:type="pct"/>
            <w:vMerge/>
            <w:tcBorders>
              <w:top w:val="nil"/>
              <w:left w:val="nil"/>
              <w:bottom w:val="single" w:sz="4" w:space="0" w:color="auto"/>
              <w:right w:val="single" w:sz="4" w:space="0" w:color="auto"/>
            </w:tcBorders>
            <w:vAlign w:val="center"/>
          </w:tcPr>
          <w:p w14:paraId="71E1BDED" w14:textId="77777777" w:rsidR="002133E3" w:rsidRDefault="002133E3">
            <w:pPr>
              <w:snapToGrid w:val="0"/>
              <w:rPr>
                <w:rFonts w:ascii="Times New Roman" w:eastAsia="宋体" w:hAnsi="Times New Roman" w:cs="Times New Roman"/>
                <w:szCs w:val="21"/>
              </w:rPr>
            </w:pPr>
          </w:p>
        </w:tc>
        <w:tc>
          <w:tcPr>
            <w:tcW w:w="527" w:type="pct"/>
            <w:vMerge w:val="restart"/>
            <w:tcBorders>
              <w:top w:val="nil"/>
              <w:left w:val="nil"/>
              <w:bottom w:val="single" w:sz="4" w:space="0" w:color="auto"/>
              <w:right w:val="single" w:sz="4" w:space="0" w:color="auto"/>
            </w:tcBorders>
            <w:vAlign w:val="center"/>
          </w:tcPr>
          <w:p w14:paraId="7C400E6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三级厌氧</w:t>
            </w:r>
            <w:r>
              <w:rPr>
                <w:rFonts w:ascii="Times New Roman" w:eastAsia="宋体" w:hAnsi="Times New Roman" w:cs="Times New Roman"/>
                <w:szCs w:val="21"/>
              </w:rPr>
              <w:t>+</w:t>
            </w:r>
            <w:r>
              <w:rPr>
                <w:rFonts w:ascii="Times New Roman" w:eastAsia="宋体" w:hAnsi="Times New Roman" w:cs="Times New Roman"/>
                <w:szCs w:val="21"/>
              </w:rPr>
              <w:t>好氧</w:t>
            </w:r>
          </w:p>
        </w:tc>
        <w:tc>
          <w:tcPr>
            <w:tcW w:w="288" w:type="pct"/>
            <w:vMerge/>
            <w:tcBorders>
              <w:left w:val="nil"/>
              <w:right w:val="single" w:sz="4" w:space="0" w:color="auto"/>
            </w:tcBorders>
            <w:vAlign w:val="center"/>
          </w:tcPr>
          <w:p w14:paraId="40766A01" w14:textId="77777777" w:rsidR="002133E3" w:rsidRDefault="002133E3">
            <w:pPr>
              <w:snapToGrid w:val="0"/>
              <w:rPr>
                <w:rFonts w:ascii="Times New Roman" w:eastAsia="宋体" w:hAnsi="Times New Roman" w:cs="Times New Roman"/>
                <w:szCs w:val="21"/>
              </w:rPr>
            </w:pPr>
          </w:p>
        </w:tc>
        <w:tc>
          <w:tcPr>
            <w:tcW w:w="479" w:type="pct"/>
            <w:vMerge/>
            <w:tcBorders>
              <w:left w:val="nil"/>
              <w:right w:val="single" w:sz="4" w:space="0" w:color="auto"/>
            </w:tcBorders>
            <w:vAlign w:val="center"/>
          </w:tcPr>
          <w:p w14:paraId="19CD6C53" w14:textId="77777777" w:rsidR="002133E3" w:rsidRDefault="002133E3">
            <w:pPr>
              <w:snapToGrid w:val="0"/>
              <w:rPr>
                <w:rFonts w:ascii="Times New Roman" w:eastAsia="宋体" w:hAnsi="Times New Roman" w:cs="Times New Roman"/>
                <w:szCs w:val="21"/>
              </w:rPr>
            </w:pPr>
          </w:p>
        </w:tc>
        <w:tc>
          <w:tcPr>
            <w:tcW w:w="362" w:type="pct"/>
            <w:vMerge/>
            <w:tcBorders>
              <w:left w:val="nil"/>
              <w:right w:val="single" w:sz="4" w:space="0" w:color="auto"/>
            </w:tcBorders>
            <w:vAlign w:val="center"/>
          </w:tcPr>
          <w:p w14:paraId="78C17C53" w14:textId="77777777" w:rsidR="002133E3" w:rsidRDefault="002133E3">
            <w:pPr>
              <w:snapToGrid w:val="0"/>
              <w:rPr>
                <w:rFonts w:ascii="Times New Roman" w:eastAsia="宋体" w:hAnsi="Times New Roman" w:cs="Times New Roman"/>
                <w:szCs w:val="21"/>
              </w:rPr>
            </w:pPr>
          </w:p>
        </w:tc>
      </w:tr>
      <w:tr w:rsidR="002133E3" w14:paraId="6B1469D1" w14:textId="77777777">
        <w:trPr>
          <w:trHeight w:val="284"/>
          <w:jc w:val="center"/>
        </w:trPr>
        <w:tc>
          <w:tcPr>
            <w:tcW w:w="216" w:type="pct"/>
            <w:tcBorders>
              <w:top w:val="single" w:sz="4" w:space="0" w:color="auto"/>
              <w:left w:val="single" w:sz="4" w:space="0" w:color="auto"/>
              <w:bottom w:val="single" w:sz="4" w:space="0" w:color="auto"/>
              <w:right w:val="single" w:sz="4" w:space="0" w:color="auto"/>
            </w:tcBorders>
            <w:vAlign w:val="center"/>
          </w:tcPr>
          <w:p w14:paraId="62B9EB7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4</w:t>
            </w:r>
          </w:p>
        </w:tc>
        <w:tc>
          <w:tcPr>
            <w:tcW w:w="683" w:type="pct"/>
            <w:tcBorders>
              <w:top w:val="single" w:sz="4" w:space="0" w:color="auto"/>
              <w:left w:val="nil"/>
              <w:bottom w:val="single" w:sz="4" w:space="0" w:color="auto"/>
              <w:right w:val="single" w:sz="4" w:space="0" w:color="auto"/>
            </w:tcBorders>
            <w:vAlign w:val="center"/>
          </w:tcPr>
          <w:p w14:paraId="118BBF4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初期雨水</w:t>
            </w:r>
          </w:p>
        </w:tc>
        <w:tc>
          <w:tcPr>
            <w:tcW w:w="1246" w:type="pct"/>
            <w:tcBorders>
              <w:top w:val="single" w:sz="4" w:space="0" w:color="auto"/>
              <w:left w:val="nil"/>
              <w:bottom w:val="single" w:sz="4" w:space="0" w:color="auto"/>
              <w:right w:val="single" w:sz="4" w:space="0" w:color="auto"/>
            </w:tcBorders>
            <w:vAlign w:val="center"/>
          </w:tcPr>
          <w:p w14:paraId="3935C85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rPr>
              <w:t>、</w:t>
            </w:r>
            <w:r>
              <w:rPr>
                <w:rFonts w:ascii="Times New Roman" w:eastAsia="宋体" w:hAnsi="Times New Roman" w:cs="Times New Roman"/>
                <w:szCs w:val="21"/>
              </w:rPr>
              <w:t>SS</w:t>
            </w:r>
          </w:p>
        </w:tc>
        <w:tc>
          <w:tcPr>
            <w:tcW w:w="389" w:type="pct"/>
            <w:vMerge/>
            <w:tcBorders>
              <w:left w:val="single" w:sz="4" w:space="0" w:color="auto"/>
              <w:right w:val="single" w:sz="4" w:space="0" w:color="auto"/>
            </w:tcBorders>
            <w:vAlign w:val="center"/>
          </w:tcPr>
          <w:p w14:paraId="5F54226C" w14:textId="77777777" w:rsidR="002133E3" w:rsidRDefault="002133E3">
            <w:pPr>
              <w:snapToGrid w:val="0"/>
              <w:rPr>
                <w:rFonts w:ascii="Times New Roman" w:eastAsia="宋体" w:hAnsi="Times New Roman" w:cs="Times New Roman"/>
                <w:szCs w:val="21"/>
              </w:rPr>
            </w:pPr>
          </w:p>
        </w:tc>
        <w:tc>
          <w:tcPr>
            <w:tcW w:w="273" w:type="pct"/>
            <w:tcBorders>
              <w:left w:val="nil"/>
              <w:right w:val="single" w:sz="4" w:space="0" w:color="auto"/>
            </w:tcBorders>
            <w:vAlign w:val="center"/>
          </w:tcPr>
          <w:p w14:paraId="39B9817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249" w:type="pct"/>
            <w:vMerge/>
            <w:tcBorders>
              <w:left w:val="nil"/>
              <w:right w:val="single" w:sz="4" w:space="0" w:color="auto"/>
            </w:tcBorders>
            <w:vAlign w:val="center"/>
          </w:tcPr>
          <w:p w14:paraId="1CA9AD12" w14:textId="77777777" w:rsidR="002133E3" w:rsidRDefault="002133E3">
            <w:pPr>
              <w:snapToGrid w:val="0"/>
              <w:rPr>
                <w:rFonts w:ascii="Times New Roman" w:eastAsia="宋体" w:hAnsi="Times New Roman" w:cs="Times New Roman"/>
                <w:szCs w:val="21"/>
              </w:rPr>
            </w:pPr>
          </w:p>
        </w:tc>
        <w:tc>
          <w:tcPr>
            <w:tcW w:w="288" w:type="pct"/>
            <w:vMerge/>
            <w:tcBorders>
              <w:top w:val="nil"/>
              <w:left w:val="nil"/>
              <w:bottom w:val="single" w:sz="4" w:space="0" w:color="auto"/>
              <w:right w:val="single" w:sz="4" w:space="0" w:color="auto"/>
            </w:tcBorders>
            <w:vAlign w:val="center"/>
          </w:tcPr>
          <w:p w14:paraId="34614D67" w14:textId="77777777" w:rsidR="002133E3" w:rsidRDefault="002133E3">
            <w:pPr>
              <w:snapToGrid w:val="0"/>
              <w:rPr>
                <w:rFonts w:ascii="Times New Roman" w:eastAsia="宋体" w:hAnsi="Times New Roman" w:cs="Times New Roman"/>
                <w:szCs w:val="21"/>
              </w:rPr>
            </w:pPr>
          </w:p>
        </w:tc>
        <w:tc>
          <w:tcPr>
            <w:tcW w:w="527" w:type="pct"/>
            <w:vMerge/>
            <w:tcBorders>
              <w:top w:val="nil"/>
              <w:left w:val="nil"/>
              <w:bottom w:val="single" w:sz="4" w:space="0" w:color="auto"/>
              <w:right w:val="single" w:sz="4" w:space="0" w:color="auto"/>
            </w:tcBorders>
            <w:vAlign w:val="center"/>
          </w:tcPr>
          <w:p w14:paraId="13E3354C" w14:textId="77777777" w:rsidR="002133E3" w:rsidRDefault="002133E3">
            <w:pPr>
              <w:snapToGrid w:val="0"/>
              <w:rPr>
                <w:rFonts w:ascii="Times New Roman" w:eastAsia="宋体" w:hAnsi="Times New Roman" w:cs="Times New Roman"/>
                <w:szCs w:val="21"/>
              </w:rPr>
            </w:pPr>
          </w:p>
        </w:tc>
        <w:tc>
          <w:tcPr>
            <w:tcW w:w="288" w:type="pct"/>
            <w:vMerge/>
            <w:tcBorders>
              <w:left w:val="nil"/>
              <w:right w:val="single" w:sz="4" w:space="0" w:color="auto"/>
            </w:tcBorders>
            <w:vAlign w:val="center"/>
          </w:tcPr>
          <w:p w14:paraId="0E806606" w14:textId="77777777" w:rsidR="002133E3" w:rsidRDefault="002133E3">
            <w:pPr>
              <w:snapToGrid w:val="0"/>
              <w:rPr>
                <w:rFonts w:ascii="Times New Roman" w:eastAsia="宋体" w:hAnsi="Times New Roman" w:cs="Times New Roman"/>
                <w:szCs w:val="21"/>
              </w:rPr>
            </w:pPr>
          </w:p>
        </w:tc>
        <w:tc>
          <w:tcPr>
            <w:tcW w:w="479" w:type="pct"/>
            <w:vMerge/>
            <w:tcBorders>
              <w:left w:val="nil"/>
              <w:right w:val="single" w:sz="4" w:space="0" w:color="auto"/>
            </w:tcBorders>
            <w:vAlign w:val="center"/>
          </w:tcPr>
          <w:p w14:paraId="6ED6BD9B" w14:textId="77777777" w:rsidR="002133E3" w:rsidRDefault="002133E3">
            <w:pPr>
              <w:snapToGrid w:val="0"/>
              <w:rPr>
                <w:rFonts w:ascii="Times New Roman" w:eastAsia="宋体" w:hAnsi="Times New Roman" w:cs="Times New Roman"/>
                <w:szCs w:val="21"/>
              </w:rPr>
            </w:pPr>
          </w:p>
        </w:tc>
        <w:tc>
          <w:tcPr>
            <w:tcW w:w="362" w:type="pct"/>
            <w:vMerge/>
            <w:tcBorders>
              <w:left w:val="nil"/>
              <w:right w:val="single" w:sz="4" w:space="0" w:color="auto"/>
            </w:tcBorders>
            <w:vAlign w:val="center"/>
          </w:tcPr>
          <w:p w14:paraId="3F34E3D0" w14:textId="77777777" w:rsidR="002133E3" w:rsidRDefault="002133E3">
            <w:pPr>
              <w:snapToGrid w:val="0"/>
              <w:rPr>
                <w:rFonts w:ascii="Times New Roman" w:eastAsia="宋体" w:hAnsi="Times New Roman" w:cs="Times New Roman"/>
                <w:szCs w:val="21"/>
              </w:rPr>
            </w:pPr>
          </w:p>
        </w:tc>
      </w:tr>
      <w:tr w:rsidR="002133E3" w14:paraId="01C21F32" w14:textId="77777777">
        <w:trPr>
          <w:trHeight w:val="284"/>
          <w:jc w:val="center"/>
        </w:trPr>
        <w:tc>
          <w:tcPr>
            <w:tcW w:w="216" w:type="pct"/>
            <w:tcBorders>
              <w:top w:val="single" w:sz="4" w:space="0" w:color="auto"/>
              <w:left w:val="single" w:sz="4" w:space="0" w:color="auto"/>
              <w:bottom w:val="single" w:sz="4" w:space="0" w:color="auto"/>
              <w:right w:val="single" w:sz="4" w:space="0" w:color="auto"/>
            </w:tcBorders>
            <w:vAlign w:val="center"/>
          </w:tcPr>
          <w:p w14:paraId="092C6D2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5</w:t>
            </w:r>
          </w:p>
        </w:tc>
        <w:tc>
          <w:tcPr>
            <w:tcW w:w="683" w:type="pct"/>
            <w:tcBorders>
              <w:top w:val="single" w:sz="4" w:space="0" w:color="auto"/>
              <w:left w:val="nil"/>
              <w:bottom w:val="single" w:sz="4" w:space="0" w:color="auto"/>
              <w:right w:val="single" w:sz="4" w:space="0" w:color="auto"/>
            </w:tcBorders>
            <w:vAlign w:val="center"/>
          </w:tcPr>
          <w:p w14:paraId="0864B004"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蒸汽冷凝水</w:t>
            </w:r>
          </w:p>
        </w:tc>
        <w:tc>
          <w:tcPr>
            <w:tcW w:w="1246" w:type="pct"/>
            <w:tcBorders>
              <w:top w:val="single" w:sz="4" w:space="0" w:color="auto"/>
              <w:left w:val="nil"/>
              <w:bottom w:val="single" w:sz="4" w:space="0" w:color="auto"/>
              <w:right w:val="single" w:sz="4" w:space="0" w:color="auto"/>
            </w:tcBorders>
            <w:vAlign w:val="center"/>
          </w:tcPr>
          <w:p w14:paraId="19C12F1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rPr>
              <w:t>、</w:t>
            </w:r>
            <w:r>
              <w:rPr>
                <w:rFonts w:ascii="Times New Roman" w:eastAsia="宋体" w:hAnsi="Times New Roman" w:cs="Times New Roman"/>
                <w:szCs w:val="21"/>
              </w:rPr>
              <w:t>SS</w:t>
            </w:r>
          </w:p>
        </w:tc>
        <w:tc>
          <w:tcPr>
            <w:tcW w:w="389" w:type="pct"/>
            <w:vMerge w:val="restart"/>
            <w:tcBorders>
              <w:top w:val="single" w:sz="4" w:space="0" w:color="auto"/>
              <w:left w:val="nil"/>
              <w:right w:val="single" w:sz="4" w:space="0" w:color="auto"/>
            </w:tcBorders>
            <w:vAlign w:val="center"/>
          </w:tcPr>
          <w:p w14:paraId="2337800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入企业废水总排口</w:t>
            </w:r>
          </w:p>
        </w:tc>
        <w:tc>
          <w:tcPr>
            <w:tcW w:w="273" w:type="pct"/>
            <w:tcBorders>
              <w:left w:val="nil"/>
              <w:right w:val="single" w:sz="4" w:space="0" w:color="auto"/>
            </w:tcBorders>
            <w:vAlign w:val="center"/>
          </w:tcPr>
          <w:p w14:paraId="233893F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249" w:type="pct"/>
            <w:vMerge w:val="restart"/>
            <w:tcBorders>
              <w:left w:val="nil"/>
              <w:right w:val="single" w:sz="4" w:space="0" w:color="auto"/>
            </w:tcBorders>
            <w:vAlign w:val="center"/>
          </w:tcPr>
          <w:p w14:paraId="4C9166BD" w14:textId="77777777" w:rsidR="002133E3" w:rsidRDefault="002133E3">
            <w:pPr>
              <w:snapToGrid w:val="0"/>
              <w:jc w:val="center"/>
              <w:rPr>
                <w:rFonts w:ascii="Times New Roman" w:eastAsia="宋体" w:hAnsi="Times New Roman" w:cs="Times New Roman"/>
                <w:szCs w:val="21"/>
              </w:rPr>
            </w:pPr>
          </w:p>
        </w:tc>
        <w:tc>
          <w:tcPr>
            <w:tcW w:w="288" w:type="pct"/>
            <w:vMerge w:val="restart"/>
            <w:tcBorders>
              <w:top w:val="single" w:sz="4" w:space="0" w:color="auto"/>
              <w:left w:val="nil"/>
              <w:right w:val="single" w:sz="4" w:space="0" w:color="auto"/>
            </w:tcBorders>
            <w:vAlign w:val="center"/>
          </w:tcPr>
          <w:p w14:paraId="011F2BBE"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527" w:type="pct"/>
            <w:vMerge w:val="restart"/>
            <w:tcBorders>
              <w:top w:val="single" w:sz="4" w:space="0" w:color="auto"/>
              <w:left w:val="nil"/>
              <w:right w:val="single" w:sz="4" w:space="0" w:color="auto"/>
            </w:tcBorders>
            <w:vAlign w:val="center"/>
          </w:tcPr>
          <w:p w14:paraId="23DDCBA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288" w:type="pct"/>
            <w:vMerge w:val="restart"/>
            <w:tcBorders>
              <w:left w:val="nil"/>
              <w:right w:val="single" w:sz="4" w:space="0" w:color="auto"/>
            </w:tcBorders>
            <w:vAlign w:val="center"/>
          </w:tcPr>
          <w:p w14:paraId="0EDA7EEB" w14:textId="77777777" w:rsidR="002133E3" w:rsidRDefault="00C22CFA">
            <w:pPr>
              <w:snapToGrid w:val="0"/>
              <w:jc w:val="center"/>
              <w:rPr>
                <w:rFonts w:ascii="Times New Roman" w:eastAsia="宋体" w:hAnsi="Times New Roman" w:cs="Times New Roman"/>
                <w:szCs w:val="21"/>
              </w:rPr>
            </w:pPr>
            <w:r>
              <w:rPr>
                <w:rFonts w:ascii="宋体" w:eastAsia="宋体" w:hAnsi="宋体" w:cs="宋体" w:hint="eastAsia"/>
                <w:szCs w:val="21"/>
              </w:rPr>
              <w:t>②</w:t>
            </w:r>
          </w:p>
        </w:tc>
        <w:tc>
          <w:tcPr>
            <w:tcW w:w="479" w:type="pct"/>
            <w:vMerge w:val="restart"/>
            <w:tcBorders>
              <w:left w:val="nil"/>
              <w:right w:val="single" w:sz="4" w:space="0" w:color="auto"/>
            </w:tcBorders>
            <w:vAlign w:val="center"/>
          </w:tcPr>
          <w:p w14:paraId="6F43B3A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是</w:t>
            </w:r>
          </w:p>
        </w:tc>
        <w:tc>
          <w:tcPr>
            <w:tcW w:w="362" w:type="pct"/>
            <w:vMerge w:val="restart"/>
            <w:tcBorders>
              <w:left w:val="nil"/>
              <w:right w:val="single" w:sz="4" w:space="0" w:color="auto"/>
            </w:tcBorders>
            <w:vAlign w:val="center"/>
          </w:tcPr>
          <w:p w14:paraId="135011A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雨水排放</w:t>
            </w:r>
          </w:p>
        </w:tc>
      </w:tr>
      <w:tr w:rsidR="002133E3" w14:paraId="77FBC1BC" w14:textId="77777777">
        <w:trPr>
          <w:trHeight w:val="284"/>
          <w:jc w:val="center"/>
        </w:trPr>
        <w:tc>
          <w:tcPr>
            <w:tcW w:w="216" w:type="pct"/>
            <w:tcBorders>
              <w:top w:val="single" w:sz="4" w:space="0" w:color="auto"/>
              <w:left w:val="single" w:sz="4" w:space="0" w:color="auto"/>
              <w:bottom w:val="single" w:sz="4" w:space="0" w:color="auto"/>
              <w:right w:val="single" w:sz="4" w:space="0" w:color="auto"/>
            </w:tcBorders>
            <w:vAlign w:val="center"/>
          </w:tcPr>
          <w:p w14:paraId="0F336761"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6</w:t>
            </w:r>
          </w:p>
        </w:tc>
        <w:tc>
          <w:tcPr>
            <w:tcW w:w="683" w:type="pct"/>
            <w:tcBorders>
              <w:top w:val="single" w:sz="4" w:space="0" w:color="auto"/>
              <w:left w:val="nil"/>
              <w:bottom w:val="single" w:sz="4" w:space="0" w:color="auto"/>
              <w:right w:val="single" w:sz="4" w:space="0" w:color="auto"/>
            </w:tcBorders>
            <w:vAlign w:val="center"/>
          </w:tcPr>
          <w:p w14:paraId="4211C02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循环冷却系统排水</w:t>
            </w:r>
          </w:p>
        </w:tc>
        <w:tc>
          <w:tcPr>
            <w:tcW w:w="1246" w:type="pct"/>
            <w:tcBorders>
              <w:top w:val="single" w:sz="4" w:space="0" w:color="auto"/>
              <w:left w:val="nil"/>
              <w:bottom w:val="single" w:sz="4" w:space="0" w:color="auto"/>
              <w:right w:val="single" w:sz="4" w:space="0" w:color="auto"/>
            </w:tcBorders>
            <w:vAlign w:val="center"/>
          </w:tcPr>
          <w:p w14:paraId="3E0515F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rPr>
              <w:t>、</w:t>
            </w:r>
            <w:r>
              <w:rPr>
                <w:rFonts w:ascii="Times New Roman" w:eastAsia="宋体" w:hAnsi="Times New Roman" w:cs="Times New Roman"/>
                <w:szCs w:val="21"/>
              </w:rPr>
              <w:t>SS</w:t>
            </w:r>
          </w:p>
        </w:tc>
        <w:tc>
          <w:tcPr>
            <w:tcW w:w="389" w:type="pct"/>
            <w:vMerge/>
            <w:tcBorders>
              <w:left w:val="nil"/>
              <w:right w:val="single" w:sz="4" w:space="0" w:color="auto"/>
            </w:tcBorders>
            <w:vAlign w:val="center"/>
          </w:tcPr>
          <w:p w14:paraId="6429A735" w14:textId="77777777" w:rsidR="002133E3" w:rsidRDefault="002133E3">
            <w:pPr>
              <w:snapToGrid w:val="0"/>
              <w:jc w:val="center"/>
              <w:rPr>
                <w:rFonts w:ascii="Times New Roman" w:eastAsia="宋体" w:hAnsi="Times New Roman" w:cs="Times New Roman"/>
                <w:szCs w:val="21"/>
              </w:rPr>
            </w:pPr>
          </w:p>
        </w:tc>
        <w:tc>
          <w:tcPr>
            <w:tcW w:w="273" w:type="pct"/>
            <w:tcBorders>
              <w:left w:val="nil"/>
              <w:right w:val="single" w:sz="4" w:space="0" w:color="auto"/>
            </w:tcBorders>
            <w:vAlign w:val="center"/>
          </w:tcPr>
          <w:p w14:paraId="2D0098B6"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249" w:type="pct"/>
            <w:vMerge/>
            <w:tcBorders>
              <w:left w:val="nil"/>
              <w:right w:val="single" w:sz="4" w:space="0" w:color="auto"/>
            </w:tcBorders>
            <w:vAlign w:val="center"/>
          </w:tcPr>
          <w:p w14:paraId="0AEF4CA5" w14:textId="77777777" w:rsidR="002133E3" w:rsidRDefault="002133E3">
            <w:pPr>
              <w:snapToGrid w:val="0"/>
              <w:jc w:val="center"/>
              <w:rPr>
                <w:rFonts w:ascii="Times New Roman" w:eastAsia="宋体" w:hAnsi="Times New Roman" w:cs="Times New Roman"/>
                <w:szCs w:val="21"/>
              </w:rPr>
            </w:pPr>
          </w:p>
        </w:tc>
        <w:tc>
          <w:tcPr>
            <w:tcW w:w="288" w:type="pct"/>
            <w:vMerge/>
            <w:tcBorders>
              <w:left w:val="nil"/>
              <w:right w:val="single" w:sz="4" w:space="0" w:color="auto"/>
            </w:tcBorders>
            <w:vAlign w:val="center"/>
          </w:tcPr>
          <w:p w14:paraId="195C1735" w14:textId="77777777" w:rsidR="002133E3" w:rsidRDefault="002133E3">
            <w:pPr>
              <w:snapToGrid w:val="0"/>
              <w:jc w:val="center"/>
              <w:rPr>
                <w:rFonts w:ascii="Times New Roman" w:eastAsia="宋体" w:hAnsi="Times New Roman" w:cs="Times New Roman"/>
                <w:szCs w:val="21"/>
              </w:rPr>
            </w:pPr>
          </w:p>
        </w:tc>
        <w:tc>
          <w:tcPr>
            <w:tcW w:w="527" w:type="pct"/>
            <w:vMerge/>
            <w:tcBorders>
              <w:left w:val="nil"/>
              <w:right w:val="single" w:sz="4" w:space="0" w:color="auto"/>
            </w:tcBorders>
            <w:vAlign w:val="center"/>
          </w:tcPr>
          <w:p w14:paraId="7CF307BE" w14:textId="77777777" w:rsidR="002133E3" w:rsidRDefault="002133E3">
            <w:pPr>
              <w:snapToGrid w:val="0"/>
              <w:jc w:val="center"/>
              <w:rPr>
                <w:rFonts w:ascii="Times New Roman" w:eastAsia="宋体" w:hAnsi="Times New Roman" w:cs="Times New Roman"/>
                <w:szCs w:val="21"/>
              </w:rPr>
            </w:pPr>
          </w:p>
        </w:tc>
        <w:tc>
          <w:tcPr>
            <w:tcW w:w="288" w:type="pct"/>
            <w:vMerge/>
            <w:tcBorders>
              <w:left w:val="nil"/>
              <w:right w:val="single" w:sz="4" w:space="0" w:color="auto"/>
            </w:tcBorders>
            <w:vAlign w:val="center"/>
          </w:tcPr>
          <w:p w14:paraId="127D0CC5" w14:textId="77777777" w:rsidR="002133E3" w:rsidRDefault="002133E3">
            <w:pPr>
              <w:snapToGrid w:val="0"/>
              <w:jc w:val="center"/>
              <w:rPr>
                <w:rFonts w:ascii="Times New Roman" w:eastAsia="宋体" w:hAnsi="Times New Roman" w:cs="Times New Roman"/>
                <w:szCs w:val="21"/>
              </w:rPr>
            </w:pPr>
          </w:p>
        </w:tc>
        <w:tc>
          <w:tcPr>
            <w:tcW w:w="479" w:type="pct"/>
            <w:vMerge/>
            <w:tcBorders>
              <w:left w:val="nil"/>
              <w:right w:val="single" w:sz="4" w:space="0" w:color="auto"/>
            </w:tcBorders>
            <w:vAlign w:val="center"/>
          </w:tcPr>
          <w:p w14:paraId="625FA812" w14:textId="77777777" w:rsidR="002133E3" w:rsidRDefault="002133E3">
            <w:pPr>
              <w:snapToGrid w:val="0"/>
              <w:jc w:val="center"/>
              <w:rPr>
                <w:rFonts w:ascii="Times New Roman" w:eastAsia="宋体" w:hAnsi="Times New Roman" w:cs="Times New Roman"/>
                <w:szCs w:val="21"/>
              </w:rPr>
            </w:pPr>
          </w:p>
        </w:tc>
        <w:tc>
          <w:tcPr>
            <w:tcW w:w="362" w:type="pct"/>
            <w:vMerge/>
            <w:tcBorders>
              <w:left w:val="nil"/>
              <w:right w:val="single" w:sz="4" w:space="0" w:color="auto"/>
            </w:tcBorders>
            <w:vAlign w:val="center"/>
          </w:tcPr>
          <w:p w14:paraId="0ABFB7D3" w14:textId="77777777" w:rsidR="002133E3" w:rsidRDefault="002133E3">
            <w:pPr>
              <w:snapToGrid w:val="0"/>
              <w:jc w:val="center"/>
              <w:rPr>
                <w:rFonts w:ascii="Times New Roman" w:eastAsia="宋体" w:hAnsi="Times New Roman" w:cs="Times New Roman"/>
                <w:szCs w:val="21"/>
              </w:rPr>
            </w:pPr>
          </w:p>
        </w:tc>
      </w:tr>
    </w:tbl>
    <w:p w14:paraId="10445052"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6.3-2  </w:t>
      </w:r>
      <w:r>
        <w:rPr>
          <w:rFonts w:ascii="Times New Roman" w:eastAsia="宋体" w:hAnsi="Times New Roman" w:cs="Times New Roman"/>
          <w:b/>
          <w:sz w:val="24"/>
          <w:szCs w:val="24"/>
        </w:rPr>
        <w:t>废水排放口信息表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871"/>
        <w:gridCol w:w="1282"/>
        <w:gridCol w:w="1220"/>
        <w:gridCol w:w="1206"/>
        <w:gridCol w:w="1064"/>
        <w:gridCol w:w="993"/>
        <w:gridCol w:w="991"/>
        <w:gridCol w:w="1278"/>
        <w:gridCol w:w="1558"/>
        <w:gridCol w:w="3762"/>
      </w:tblGrid>
      <w:tr w:rsidR="002133E3" w14:paraId="6375B308" w14:textId="77777777">
        <w:trPr>
          <w:trHeight w:val="284"/>
          <w:jc w:val="center"/>
        </w:trPr>
        <w:tc>
          <w:tcPr>
            <w:tcW w:w="190" w:type="pct"/>
            <w:vMerge w:val="restart"/>
            <w:tcBorders>
              <w:top w:val="single" w:sz="4" w:space="0" w:color="auto"/>
              <w:left w:val="single" w:sz="4" w:space="0" w:color="auto"/>
              <w:bottom w:val="single" w:sz="4" w:space="0" w:color="auto"/>
              <w:right w:val="single" w:sz="4" w:space="0" w:color="auto"/>
            </w:tcBorders>
            <w:vAlign w:val="center"/>
          </w:tcPr>
          <w:p w14:paraId="27CA198E"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序号</w:t>
            </w:r>
          </w:p>
        </w:tc>
        <w:tc>
          <w:tcPr>
            <w:tcW w:w="295" w:type="pct"/>
            <w:vMerge w:val="restart"/>
            <w:tcBorders>
              <w:top w:val="single" w:sz="4" w:space="0" w:color="auto"/>
              <w:left w:val="nil"/>
              <w:bottom w:val="single" w:sz="4" w:space="0" w:color="auto"/>
              <w:right w:val="single" w:sz="4" w:space="0" w:color="auto"/>
            </w:tcBorders>
            <w:vAlign w:val="center"/>
          </w:tcPr>
          <w:p w14:paraId="0F43262B"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排放口编号</w:t>
            </w:r>
          </w:p>
        </w:tc>
        <w:tc>
          <w:tcPr>
            <w:tcW w:w="847" w:type="pct"/>
            <w:gridSpan w:val="2"/>
            <w:tcBorders>
              <w:top w:val="single" w:sz="4" w:space="0" w:color="auto"/>
              <w:left w:val="nil"/>
              <w:bottom w:val="single" w:sz="4" w:space="0" w:color="auto"/>
              <w:right w:val="single" w:sz="4" w:space="0" w:color="auto"/>
            </w:tcBorders>
            <w:vAlign w:val="center"/>
          </w:tcPr>
          <w:p w14:paraId="1E1C0156"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排放口地理坐标</w:t>
            </w:r>
          </w:p>
        </w:tc>
        <w:tc>
          <w:tcPr>
            <w:tcW w:w="405" w:type="pct"/>
            <w:vMerge w:val="restart"/>
            <w:tcBorders>
              <w:top w:val="single" w:sz="4" w:space="0" w:color="auto"/>
              <w:left w:val="nil"/>
              <w:bottom w:val="single" w:sz="4" w:space="0" w:color="auto"/>
              <w:right w:val="single" w:sz="4" w:space="0" w:color="auto"/>
            </w:tcBorders>
            <w:vAlign w:val="center"/>
          </w:tcPr>
          <w:p w14:paraId="336BFF2F"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废水排放量</w:t>
            </w:r>
            <w:r>
              <w:rPr>
                <w:rFonts w:ascii="Times New Roman" w:eastAsia="宋体" w:hAnsi="Times New Roman" w:cs="Times New Roman"/>
                <w:b/>
                <w:bCs/>
                <w:szCs w:val="21"/>
              </w:rPr>
              <w:t>t/a</w:t>
            </w:r>
          </w:p>
        </w:tc>
        <w:tc>
          <w:tcPr>
            <w:tcW w:w="360" w:type="pct"/>
            <w:vMerge w:val="restart"/>
            <w:tcBorders>
              <w:top w:val="single" w:sz="4" w:space="0" w:color="auto"/>
              <w:left w:val="nil"/>
              <w:bottom w:val="single" w:sz="4" w:space="0" w:color="auto"/>
              <w:right w:val="single" w:sz="4" w:space="0" w:color="auto"/>
            </w:tcBorders>
            <w:vAlign w:val="center"/>
          </w:tcPr>
          <w:p w14:paraId="512977BA"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排放去向</w:t>
            </w:r>
          </w:p>
        </w:tc>
        <w:tc>
          <w:tcPr>
            <w:tcW w:w="336" w:type="pct"/>
            <w:vMerge w:val="restart"/>
            <w:tcBorders>
              <w:top w:val="single" w:sz="4" w:space="0" w:color="auto"/>
              <w:left w:val="nil"/>
              <w:bottom w:val="single" w:sz="4" w:space="0" w:color="auto"/>
              <w:right w:val="single" w:sz="4" w:space="0" w:color="auto"/>
            </w:tcBorders>
            <w:vAlign w:val="center"/>
          </w:tcPr>
          <w:p w14:paraId="3EE3099D"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排放规律</w:t>
            </w:r>
          </w:p>
        </w:tc>
        <w:tc>
          <w:tcPr>
            <w:tcW w:w="335" w:type="pct"/>
            <w:vMerge w:val="restart"/>
            <w:tcBorders>
              <w:top w:val="single" w:sz="4" w:space="0" w:color="auto"/>
              <w:left w:val="nil"/>
              <w:bottom w:val="single" w:sz="4" w:space="0" w:color="auto"/>
              <w:right w:val="single" w:sz="4" w:space="0" w:color="auto"/>
            </w:tcBorders>
            <w:vAlign w:val="center"/>
          </w:tcPr>
          <w:p w14:paraId="26F4AD38"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间歇排放时段</w:t>
            </w:r>
          </w:p>
        </w:tc>
        <w:tc>
          <w:tcPr>
            <w:tcW w:w="2231" w:type="pct"/>
            <w:gridSpan w:val="3"/>
            <w:tcBorders>
              <w:top w:val="single" w:sz="4" w:space="0" w:color="auto"/>
              <w:left w:val="nil"/>
              <w:bottom w:val="nil"/>
              <w:right w:val="single" w:sz="4" w:space="0" w:color="auto"/>
            </w:tcBorders>
            <w:vAlign w:val="center"/>
          </w:tcPr>
          <w:p w14:paraId="13A60760"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受纳污水处理厂信息</w:t>
            </w:r>
          </w:p>
        </w:tc>
      </w:tr>
      <w:tr w:rsidR="002133E3" w14:paraId="09529889" w14:textId="77777777">
        <w:trPr>
          <w:trHeight w:val="284"/>
          <w:jc w:val="center"/>
        </w:trPr>
        <w:tc>
          <w:tcPr>
            <w:tcW w:w="190" w:type="pct"/>
            <w:vMerge/>
            <w:tcBorders>
              <w:top w:val="single" w:sz="4" w:space="0" w:color="auto"/>
              <w:left w:val="single" w:sz="4" w:space="0" w:color="auto"/>
              <w:bottom w:val="single" w:sz="4" w:space="0" w:color="auto"/>
              <w:right w:val="single" w:sz="4" w:space="0" w:color="auto"/>
            </w:tcBorders>
            <w:vAlign w:val="center"/>
          </w:tcPr>
          <w:p w14:paraId="35622CD9" w14:textId="77777777" w:rsidR="002133E3" w:rsidRDefault="002133E3">
            <w:pPr>
              <w:snapToGrid w:val="0"/>
              <w:spacing w:line="240" w:lineRule="atLeast"/>
              <w:jc w:val="center"/>
              <w:rPr>
                <w:rFonts w:ascii="Times New Roman" w:eastAsia="宋体" w:hAnsi="Times New Roman" w:cs="Times New Roman"/>
                <w:b/>
                <w:bCs/>
                <w:szCs w:val="21"/>
              </w:rPr>
            </w:pPr>
          </w:p>
        </w:tc>
        <w:tc>
          <w:tcPr>
            <w:tcW w:w="295" w:type="pct"/>
            <w:vMerge/>
            <w:tcBorders>
              <w:top w:val="single" w:sz="4" w:space="0" w:color="auto"/>
              <w:left w:val="nil"/>
              <w:bottom w:val="single" w:sz="4" w:space="0" w:color="auto"/>
              <w:right w:val="single" w:sz="4" w:space="0" w:color="auto"/>
            </w:tcBorders>
            <w:vAlign w:val="center"/>
          </w:tcPr>
          <w:p w14:paraId="125F4CBD" w14:textId="77777777" w:rsidR="002133E3" w:rsidRDefault="002133E3">
            <w:pPr>
              <w:snapToGrid w:val="0"/>
              <w:spacing w:line="240" w:lineRule="atLeast"/>
              <w:jc w:val="center"/>
              <w:rPr>
                <w:rFonts w:ascii="Times New Roman" w:eastAsia="宋体" w:hAnsi="Times New Roman" w:cs="Times New Roman"/>
                <w:b/>
                <w:bCs/>
                <w:szCs w:val="21"/>
              </w:rPr>
            </w:pPr>
          </w:p>
        </w:tc>
        <w:tc>
          <w:tcPr>
            <w:tcW w:w="434" w:type="pct"/>
            <w:tcBorders>
              <w:top w:val="single" w:sz="4" w:space="0" w:color="auto"/>
              <w:left w:val="nil"/>
              <w:bottom w:val="single" w:sz="4" w:space="0" w:color="auto"/>
              <w:right w:val="single" w:sz="4" w:space="0" w:color="auto"/>
            </w:tcBorders>
            <w:vAlign w:val="center"/>
          </w:tcPr>
          <w:p w14:paraId="6D0FA235"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经度</w:t>
            </w:r>
          </w:p>
        </w:tc>
        <w:tc>
          <w:tcPr>
            <w:tcW w:w="413" w:type="pct"/>
            <w:tcBorders>
              <w:top w:val="single" w:sz="4" w:space="0" w:color="auto"/>
              <w:left w:val="nil"/>
              <w:bottom w:val="single" w:sz="4" w:space="0" w:color="auto"/>
              <w:right w:val="single" w:sz="4" w:space="0" w:color="auto"/>
            </w:tcBorders>
            <w:vAlign w:val="center"/>
          </w:tcPr>
          <w:p w14:paraId="0BCECA43"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纬度</w:t>
            </w:r>
          </w:p>
        </w:tc>
        <w:tc>
          <w:tcPr>
            <w:tcW w:w="405" w:type="pct"/>
            <w:vMerge/>
            <w:tcBorders>
              <w:top w:val="single" w:sz="4" w:space="0" w:color="auto"/>
              <w:left w:val="nil"/>
              <w:bottom w:val="single" w:sz="4" w:space="0" w:color="auto"/>
              <w:right w:val="single" w:sz="4" w:space="0" w:color="auto"/>
            </w:tcBorders>
            <w:vAlign w:val="center"/>
          </w:tcPr>
          <w:p w14:paraId="17321B53" w14:textId="77777777" w:rsidR="002133E3" w:rsidRDefault="002133E3">
            <w:pPr>
              <w:snapToGrid w:val="0"/>
              <w:spacing w:line="240" w:lineRule="atLeast"/>
              <w:jc w:val="center"/>
              <w:rPr>
                <w:rFonts w:ascii="Times New Roman" w:eastAsia="宋体" w:hAnsi="Times New Roman" w:cs="Times New Roman"/>
                <w:b/>
                <w:bCs/>
                <w:szCs w:val="21"/>
              </w:rPr>
            </w:pPr>
          </w:p>
        </w:tc>
        <w:tc>
          <w:tcPr>
            <w:tcW w:w="360" w:type="pct"/>
            <w:vMerge/>
            <w:tcBorders>
              <w:top w:val="single" w:sz="4" w:space="0" w:color="auto"/>
              <w:left w:val="nil"/>
              <w:bottom w:val="single" w:sz="4" w:space="0" w:color="auto"/>
              <w:right w:val="single" w:sz="4" w:space="0" w:color="auto"/>
            </w:tcBorders>
            <w:vAlign w:val="center"/>
          </w:tcPr>
          <w:p w14:paraId="784EEE5B" w14:textId="77777777" w:rsidR="002133E3" w:rsidRDefault="002133E3">
            <w:pPr>
              <w:snapToGrid w:val="0"/>
              <w:spacing w:line="240" w:lineRule="atLeast"/>
              <w:jc w:val="center"/>
              <w:rPr>
                <w:rFonts w:ascii="Times New Roman" w:eastAsia="宋体" w:hAnsi="Times New Roman" w:cs="Times New Roman"/>
                <w:b/>
                <w:bCs/>
                <w:szCs w:val="21"/>
              </w:rPr>
            </w:pPr>
          </w:p>
        </w:tc>
        <w:tc>
          <w:tcPr>
            <w:tcW w:w="336" w:type="pct"/>
            <w:vMerge/>
            <w:tcBorders>
              <w:top w:val="single" w:sz="4" w:space="0" w:color="auto"/>
              <w:left w:val="nil"/>
              <w:bottom w:val="single" w:sz="4" w:space="0" w:color="auto"/>
              <w:right w:val="single" w:sz="4" w:space="0" w:color="auto"/>
            </w:tcBorders>
            <w:vAlign w:val="center"/>
          </w:tcPr>
          <w:p w14:paraId="071B0389" w14:textId="77777777" w:rsidR="002133E3" w:rsidRDefault="002133E3">
            <w:pPr>
              <w:snapToGrid w:val="0"/>
              <w:spacing w:line="240" w:lineRule="atLeast"/>
              <w:jc w:val="center"/>
              <w:rPr>
                <w:rFonts w:ascii="Times New Roman" w:eastAsia="宋体" w:hAnsi="Times New Roman" w:cs="Times New Roman"/>
                <w:b/>
                <w:bCs/>
                <w:szCs w:val="21"/>
              </w:rPr>
            </w:pPr>
          </w:p>
        </w:tc>
        <w:tc>
          <w:tcPr>
            <w:tcW w:w="335" w:type="pct"/>
            <w:vMerge/>
            <w:tcBorders>
              <w:top w:val="single" w:sz="4" w:space="0" w:color="auto"/>
              <w:left w:val="nil"/>
              <w:bottom w:val="single" w:sz="4" w:space="0" w:color="auto"/>
              <w:right w:val="single" w:sz="4" w:space="0" w:color="auto"/>
            </w:tcBorders>
            <w:vAlign w:val="center"/>
          </w:tcPr>
          <w:p w14:paraId="32635698" w14:textId="77777777" w:rsidR="002133E3" w:rsidRDefault="002133E3">
            <w:pPr>
              <w:snapToGrid w:val="0"/>
              <w:spacing w:line="240" w:lineRule="atLeast"/>
              <w:jc w:val="center"/>
              <w:rPr>
                <w:rFonts w:ascii="Times New Roman" w:eastAsia="宋体" w:hAnsi="Times New Roman" w:cs="Times New Roman"/>
                <w:b/>
                <w:bCs/>
                <w:szCs w:val="21"/>
              </w:rPr>
            </w:pPr>
          </w:p>
        </w:tc>
        <w:tc>
          <w:tcPr>
            <w:tcW w:w="432" w:type="pct"/>
            <w:tcBorders>
              <w:top w:val="single" w:sz="4" w:space="0" w:color="auto"/>
              <w:left w:val="nil"/>
              <w:bottom w:val="single" w:sz="4" w:space="0" w:color="auto"/>
              <w:right w:val="single" w:sz="4" w:space="0" w:color="auto"/>
            </w:tcBorders>
            <w:vAlign w:val="center"/>
          </w:tcPr>
          <w:p w14:paraId="27FDC50F"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名称</w:t>
            </w:r>
          </w:p>
        </w:tc>
        <w:tc>
          <w:tcPr>
            <w:tcW w:w="527" w:type="pct"/>
            <w:tcBorders>
              <w:top w:val="single" w:sz="4" w:space="0" w:color="auto"/>
              <w:left w:val="nil"/>
              <w:bottom w:val="single" w:sz="4" w:space="0" w:color="auto"/>
              <w:right w:val="single" w:sz="4" w:space="0" w:color="auto"/>
            </w:tcBorders>
            <w:vAlign w:val="center"/>
          </w:tcPr>
          <w:p w14:paraId="4D7DA0FF"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污染物种类</w:t>
            </w:r>
          </w:p>
        </w:tc>
        <w:tc>
          <w:tcPr>
            <w:tcW w:w="1272" w:type="pct"/>
            <w:tcBorders>
              <w:top w:val="single" w:sz="4" w:space="0" w:color="auto"/>
              <w:left w:val="nil"/>
              <w:bottom w:val="single" w:sz="4" w:space="0" w:color="auto"/>
              <w:right w:val="single" w:sz="4" w:space="0" w:color="auto"/>
            </w:tcBorders>
            <w:vAlign w:val="center"/>
          </w:tcPr>
          <w:p w14:paraId="67963A97" w14:textId="77777777" w:rsidR="002133E3" w:rsidRDefault="00C22CFA">
            <w:pPr>
              <w:snapToGrid w:val="0"/>
              <w:spacing w:line="240" w:lineRule="atLeast"/>
              <w:jc w:val="center"/>
              <w:rPr>
                <w:rFonts w:ascii="Times New Roman" w:eastAsia="宋体" w:hAnsi="Times New Roman" w:cs="Times New Roman"/>
                <w:b/>
                <w:bCs/>
                <w:szCs w:val="21"/>
              </w:rPr>
            </w:pPr>
            <w:r>
              <w:rPr>
                <w:rFonts w:ascii="Times New Roman" w:eastAsia="宋体" w:hAnsi="Times New Roman" w:cs="Times New Roman"/>
                <w:b/>
                <w:bCs/>
                <w:szCs w:val="21"/>
              </w:rPr>
              <w:t>国家或地方污染物排放浓度限值</w:t>
            </w:r>
            <w:r>
              <w:rPr>
                <w:rFonts w:ascii="Times New Roman" w:eastAsia="宋体" w:hAnsi="Times New Roman" w:cs="Times New Roman"/>
                <w:b/>
                <w:bCs/>
                <w:szCs w:val="21"/>
              </w:rPr>
              <w:t>mg/l</w:t>
            </w:r>
          </w:p>
        </w:tc>
      </w:tr>
      <w:tr w:rsidR="002133E3" w14:paraId="7FEF9074" w14:textId="77777777">
        <w:trPr>
          <w:trHeight w:val="284"/>
          <w:jc w:val="center"/>
        </w:trPr>
        <w:tc>
          <w:tcPr>
            <w:tcW w:w="190" w:type="pct"/>
            <w:vMerge w:val="restart"/>
            <w:tcBorders>
              <w:top w:val="nil"/>
              <w:left w:val="single" w:sz="4" w:space="0" w:color="auto"/>
              <w:bottom w:val="single" w:sz="4" w:space="0" w:color="auto"/>
              <w:right w:val="single" w:sz="4" w:space="0" w:color="auto"/>
            </w:tcBorders>
            <w:vAlign w:val="center"/>
          </w:tcPr>
          <w:p w14:paraId="40B285E7"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w:t>
            </w:r>
          </w:p>
        </w:tc>
        <w:tc>
          <w:tcPr>
            <w:tcW w:w="295" w:type="pct"/>
            <w:vMerge w:val="restart"/>
            <w:tcBorders>
              <w:top w:val="nil"/>
              <w:left w:val="nil"/>
              <w:bottom w:val="single" w:sz="4" w:space="0" w:color="auto"/>
              <w:right w:val="single" w:sz="4" w:space="0" w:color="auto"/>
            </w:tcBorders>
            <w:vAlign w:val="center"/>
          </w:tcPr>
          <w:p w14:paraId="1BC7C95C" w14:textId="77777777" w:rsidR="002133E3" w:rsidRDefault="00C22CFA">
            <w:pPr>
              <w:snapToGrid w:val="0"/>
              <w:spacing w:line="240" w:lineRule="atLeast"/>
              <w:jc w:val="center"/>
              <w:rPr>
                <w:rFonts w:ascii="Times New Roman" w:eastAsia="宋体" w:hAnsi="Times New Roman" w:cs="Times New Roman"/>
                <w:szCs w:val="21"/>
              </w:rPr>
            </w:pPr>
            <w:r>
              <w:rPr>
                <w:rFonts w:ascii="宋体" w:eastAsia="宋体" w:hAnsi="宋体" w:cs="宋体" w:hint="eastAsia"/>
                <w:szCs w:val="21"/>
              </w:rPr>
              <w:t>①</w:t>
            </w:r>
          </w:p>
        </w:tc>
        <w:tc>
          <w:tcPr>
            <w:tcW w:w="434" w:type="pct"/>
            <w:vMerge w:val="restart"/>
            <w:tcBorders>
              <w:top w:val="nil"/>
              <w:left w:val="nil"/>
              <w:bottom w:val="single" w:sz="4" w:space="0" w:color="auto"/>
              <w:right w:val="single" w:sz="4" w:space="0" w:color="auto"/>
            </w:tcBorders>
            <w:vAlign w:val="center"/>
          </w:tcPr>
          <w:p w14:paraId="5A848B1D"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119.110619°</w:t>
            </w:r>
            <w:r>
              <w:rPr>
                <w:rFonts w:ascii="Times New Roman" w:eastAsia="宋体" w:hAnsi="Times New Roman" w:cs="Times New Roman"/>
                <w:szCs w:val="21"/>
              </w:rPr>
              <w:t>东</w:t>
            </w:r>
          </w:p>
        </w:tc>
        <w:tc>
          <w:tcPr>
            <w:tcW w:w="413" w:type="pct"/>
            <w:vMerge w:val="restart"/>
            <w:tcBorders>
              <w:top w:val="nil"/>
              <w:left w:val="nil"/>
              <w:bottom w:val="single" w:sz="4" w:space="0" w:color="auto"/>
              <w:right w:val="single" w:sz="4" w:space="0" w:color="auto"/>
            </w:tcBorders>
            <w:vAlign w:val="center"/>
          </w:tcPr>
          <w:p w14:paraId="29D9B652"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34.799272°</w:t>
            </w:r>
            <w:r>
              <w:rPr>
                <w:rFonts w:ascii="Times New Roman" w:eastAsia="宋体" w:hAnsi="Times New Roman" w:cs="Times New Roman"/>
                <w:szCs w:val="21"/>
              </w:rPr>
              <w:t>北</w:t>
            </w:r>
          </w:p>
        </w:tc>
        <w:tc>
          <w:tcPr>
            <w:tcW w:w="405" w:type="pct"/>
            <w:vMerge w:val="restart"/>
            <w:tcBorders>
              <w:top w:val="nil"/>
              <w:left w:val="nil"/>
              <w:bottom w:val="single" w:sz="4" w:space="0" w:color="auto"/>
              <w:right w:val="single" w:sz="4" w:space="0" w:color="auto"/>
            </w:tcBorders>
            <w:vAlign w:val="center"/>
          </w:tcPr>
          <w:p w14:paraId="20343903"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1175440.28</w:t>
            </w:r>
          </w:p>
        </w:tc>
        <w:tc>
          <w:tcPr>
            <w:tcW w:w="360" w:type="pct"/>
            <w:vMerge w:val="restart"/>
            <w:tcBorders>
              <w:top w:val="nil"/>
              <w:left w:val="nil"/>
              <w:bottom w:val="single" w:sz="4" w:space="0" w:color="auto"/>
              <w:right w:val="single" w:sz="4" w:space="0" w:color="auto"/>
            </w:tcBorders>
            <w:vAlign w:val="center"/>
          </w:tcPr>
          <w:p w14:paraId="0E7BFE09"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园区污水处理厂</w:t>
            </w:r>
          </w:p>
        </w:tc>
        <w:tc>
          <w:tcPr>
            <w:tcW w:w="336" w:type="pct"/>
            <w:vMerge w:val="restart"/>
            <w:tcBorders>
              <w:top w:val="nil"/>
              <w:left w:val="nil"/>
              <w:bottom w:val="single" w:sz="4" w:space="0" w:color="auto"/>
              <w:right w:val="single" w:sz="4" w:space="0" w:color="auto"/>
            </w:tcBorders>
            <w:vAlign w:val="center"/>
          </w:tcPr>
          <w:p w14:paraId="45CD5FDC"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连续排放</w:t>
            </w:r>
          </w:p>
        </w:tc>
        <w:tc>
          <w:tcPr>
            <w:tcW w:w="335" w:type="pct"/>
            <w:vMerge w:val="restart"/>
            <w:tcBorders>
              <w:top w:val="nil"/>
              <w:left w:val="nil"/>
              <w:bottom w:val="single" w:sz="4" w:space="0" w:color="auto"/>
              <w:right w:val="single" w:sz="4" w:space="0" w:color="auto"/>
            </w:tcBorders>
            <w:vAlign w:val="center"/>
          </w:tcPr>
          <w:p w14:paraId="72E3446C"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w:t>
            </w:r>
          </w:p>
        </w:tc>
        <w:tc>
          <w:tcPr>
            <w:tcW w:w="432" w:type="pct"/>
            <w:vMerge w:val="restart"/>
            <w:tcBorders>
              <w:top w:val="nil"/>
              <w:left w:val="nil"/>
              <w:bottom w:val="single" w:sz="4" w:space="0" w:color="auto"/>
              <w:right w:val="single" w:sz="4" w:space="0" w:color="auto"/>
            </w:tcBorders>
            <w:vAlign w:val="center"/>
          </w:tcPr>
          <w:p w14:paraId="13C4EAB5"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通海污水处理厂</w:t>
            </w:r>
          </w:p>
        </w:tc>
        <w:tc>
          <w:tcPr>
            <w:tcW w:w="527" w:type="pct"/>
            <w:tcBorders>
              <w:top w:val="single" w:sz="4" w:space="0" w:color="auto"/>
              <w:left w:val="nil"/>
              <w:bottom w:val="single" w:sz="4" w:space="0" w:color="auto"/>
              <w:right w:val="single" w:sz="4" w:space="0" w:color="auto"/>
            </w:tcBorders>
            <w:vAlign w:val="center"/>
          </w:tcPr>
          <w:p w14:paraId="046CE4D2"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pH</w:t>
            </w:r>
          </w:p>
        </w:tc>
        <w:tc>
          <w:tcPr>
            <w:tcW w:w="1272" w:type="pct"/>
            <w:tcBorders>
              <w:top w:val="single" w:sz="4" w:space="0" w:color="auto"/>
              <w:left w:val="nil"/>
              <w:bottom w:val="single" w:sz="4" w:space="0" w:color="auto"/>
              <w:right w:val="single" w:sz="4" w:space="0" w:color="auto"/>
            </w:tcBorders>
            <w:vAlign w:val="center"/>
          </w:tcPr>
          <w:p w14:paraId="6092EF34"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6</w:t>
            </w:r>
            <w:r>
              <w:rPr>
                <w:rFonts w:ascii="Times New Roman" w:eastAsia="宋体" w:hAnsi="Times New Roman" w:cs="Times New Roman"/>
                <w:szCs w:val="21"/>
              </w:rPr>
              <w:t>～</w:t>
            </w:r>
            <w:r>
              <w:rPr>
                <w:rFonts w:ascii="Times New Roman" w:eastAsia="宋体" w:hAnsi="Times New Roman" w:cs="Times New Roman"/>
                <w:szCs w:val="21"/>
              </w:rPr>
              <w:t>9</w:t>
            </w:r>
          </w:p>
        </w:tc>
      </w:tr>
      <w:tr w:rsidR="002133E3" w14:paraId="7CC6BB1E" w14:textId="77777777">
        <w:trPr>
          <w:trHeight w:val="284"/>
          <w:jc w:val="center"/>
        </w:trPr>
        <w:tc>
          <w:tcPr>
            <w:tcW w:w="190" w:type="pct"/>
            <w:vMerge/>
            <w:tcBorders>
              <w:top w:val="nil"/>
              <w:left w:val="single" w:sz="4" w:space="0" w:color="auto"/>
              <w:bottom w:val="single" w:sz="4" w:space="0" w:color="auto"/>
              <w:right w:val="single" w:sz="4" w:space="0" w:color="auto"/>
            </w:tcBorders>
            <w:vAlign w:val="center"/>
          </w:tcPr>
          <w:p w14:paraId="2485A7EE" w14:textId="77777777" w:rsidR="002133E3" w:rsidRDefault="002133E3">
            <w:pPr>
              <w:snapToGrid w:val="0"/>
              <w:spacing w:line="240" w:lineRule="atLeast"/>
              <w:jc w:val="center"/>
              <w:rPr>
                <w:rFonts w:ascii="Times New Roman" w:eastAsia="宋体" w:hAnsi="Times New Roman" w:cs="Times New Roman"/>
                <w:szCs w:val="21"/>
              </w:rPr>
            </w:pPr>
          </w:p>
        </w:tc>
        <w:tc>
          <w:tcPr>
            <w:tcW w:w="295" w:type="pct"/>
            <w:vMerge/>
            <w:tcBorders>
              <w:top w:val="nil"/>
              <w:left w:val="nil"/>
              <w:bottom w:val="single" w:sz="4" w:space="0" w:color="auto"/>
              <w:right w:val="single" w:sz="4" w:space="0" w:color="auto"/>
            </w:tcBorders>
            <w:vAlign w:val="center"/>
          </w:tcPr>
          <w:p w14:paraId="36881D9E" w14:textId="77777777" w:rsidR="002133E3" w:rsidRDefault="002133E3">
            <w:pPr>
              <w:snapToGrid w:val="0"/>
              <w:spacing w:line="240" w:lineRule="atLeast"/>
              <w:jc w:val="center"/>
              <w:rPr>
                <w:rFonts w:ascii="Times New Roman" w:eastAsia="宋体" w:hAnsi="Times New Roman" w:cs="Times New Roman"/>
                <w:szCs w:val="21"/>
              </w:rPr>
            </w:pPr>
          </w:p>
        </w:tc>
        <w:tc>
          <w:tcPr>
            <w:tcW w:w="434" w:type="pct"/>
            <w:vMerge/>
            <w:tcBorders>
              <w:top w:val="nil"/>
              <w:left w:val="nil"/>
              <w:bottom w:val="single" w:sz="4" w:space="0" w:color="auto"/>
              <w:right w:val="single" w:sz="4" w:space="0" w:color="auto"/>
            </w:tcBorders>
            <w:vAlign w:val="center"/>
          </w:tcPr>
          <w:p w14:paraId="1EE50D2B" w14:textId="77777777" w:rsidR="002133E3" w:rsidRDefault="002133E3">
            <w:pPr>
              <w:snapToGrid w:val="0"/>
              <w:spacing w:line="240" w:lineRule="atLeast"/>
              <w:jc w:val="center"/>
              <w:rPr>
                <w:rFonts w:ascii="Times New Roman" w:eastAsia="宋体" w:hAnsi="Times New Roman" w:cs="Times New Roman"/>
                <w:szCs w:val="21"/>
              </w:rPr>
            </w:pPr>
          </w:p>
        </w:tc>
        <w:tc>
          <w:tcPr>
            <w:tcW w:w="413" w:type="pct"/>
            <w:vMerge/>
            <w:tcBorders>
              <w:top w:val="nil"/>
              <w:left w:val="nil"/>
              <w:bottom w:val="single" w:sz="4" w:space="0" w:color="auto"/>
              <w:right w:val="single" w:sz="4" w:space="0" w:color="auto"/>
            </w:tcBorders>
            <w:vAlign w:val="center"/>
          </w:tcPr>
          <w:p w14:paraId="5436EB22" w14:textId="77777777" w:rsidR="002133E3" w:rsidRDefault="002133E3">
            <w:pPr>
              <w:snapToGrid w:val="0"/>
              <w:spacing w:line="240" w:lineRule="atLeast"/>
              <w:jc w:val="center"/>
              <w:rPr>
                <w:rFonts w:ascii="Times New Roman" w:eastAsia="宋体" w:hAnsi="Times New Roman" w:cs="Times New Roman"/>
                <w:szCs w:val="21"/>
              </w:rPr>
            </w:pPr>
          </w:p>
        </w:tc>
        <w:tc>
          <w:tcPr>
            <w:tcW w:w="405" w:type="pct"/>
            <w:vMerge/>
            <w:tcBorders>
              <w:top w:val="nil"/>
              <w:left w:val="nil"/>
              <w:bottom w:val="single" w:sz="4" w:space="0" w:color="auto"/>
              <w:right w:val="single" w:sz="4" w:space="0" w:color="auto"/>
            </w:tcBorders>
            <w:vAlign w:val="center"/>
          </w:tcPr>
          <w:p w14:paraId="59E76040" w14:textId="77777777" w:rsidR="002133E3" w:rsidRDefault="002133E3">
            <w:pPr>
              <w:snapToGrid w:val="0"/>
              <w:spacing w:line="240" w:lineRule="atLeast"/>
              <w:jc w:val="center"/>
              <w:rPr>
                <w:rFonts w:ascii="Times New Roman" w:eastAsia="宋体" w:hAnsi="Times New Roman" w:cs="Times New Roman"/>
                <w:szCs w:val="21"/>
              </w:rPr>
            </w:pPr>
          </w:p>
        </w:tc>
        <w:tc>
          <w:tcPr>
            <w:tcW w:w="360" w:type="pct"/>
            <w:vMerge/>
            <w:tcBorders>
              <w:top w:val="nil"/>
              <w:left w:val="nil"/>
              <w:bottom w:val="single" w:sz="4" w:space="0" w:color="auto"/>
              <w:right w:val="single" w:sz="4" w:space="0" w:color="auto"/>
            </w:tcBorders>
            <w:vAlign w:val="center"/>
          </w:tcPr>
          <w:p w14:paraId="1C645C7B" w14:textId="77777777" w:rsidR="002133E3" w:rsidRDefault="002133E3">
            <w:pPr>
              <w:snapToGrid w:val="0"/>
              <w:spacing w:line="240" w:lineRule="atLeast"/>
              <w:jc w:val="center"/>
              <w:rPr>
                <w:rFonts w:ascii="Times New Roman" w:eastAsia="宋体" w:hAnsi="Times New Roman" w:cs="Times New Roman"/>
                <w:szCs w:val="21"/>
              </w:rPr>
            </w:pPr>
          </w:p>
        </w:tc>
        <w:tc>
          <w:tcPr>
            <w:tcW w:w="336" w:type="pct"/>
            <w:vMerge/>
            <w:tcBorders>
              <w:top w:val="nil"/>
              <w:left w:val="nil"/>
              <w:bottom w:val="single" w:sz="4" w:space="0" w:color="auto"/>
              <w:right w:val="single" w:sz="4" w:space="0" w:color="auto"/>
            </w:tcBorders>
            <w:vAlign w:val="center"/>
          </w:tcPr>
          <w:p w14:paraId="513C9D5E" w14:textId="77777777" w:rsidR="002133E3" w:rsidRDefault="002133E3">
            <w:pPr>
              <w:snapToGrid w:val="0"/>
              <w:spacing w:line="240" w:lineRule="atLeast"/>
              <w:jc w:val="center"/>
              <w:rPr>
                <w:rFonts w:ascii="Times New Roman" w:eastAsia="宋体" w:hAnsi="Times New Roman" w:cs="Times New Roman"/>
                <w:szCs w:val="21"/>
              </w:rPr>
            </w:pPr>
          </w:p>
        </w:tc>
        <w:tc>
          <w:tcPr>
            <w:tcW w:w="335" w:type="pct"/>
            <w:vMerge/>
            <w:tcBorders>
              <w:top w:val="nil"/>
              <w:left w:val="nil"/>
              <w:bottom w:val="single" w:sz="4" w:space="0" w:color="auto"/>
              <w:right w:val="single" w:sz="4" w:space="0" w:color="auto"/>
            </w:tcBorders>
            <w:vAlign w:val="center"/>
          </w:tcPr>
          <w:p w14:paraId="1D6E1251" w14:textId="77777777" w:rsidR="002133E3" w:rsidRDefault="002133E3">
            <w:pPr>
              <w:snapToGrid w:val="0"/>
              <w:spacing w:line="240" w:lineRule="atLeast"/>
              <w:jc w:val="center"/>
              <w:rPr>
                <w:rFonts w:ascii="Times New Roman" w:eastAsia="宋体" w:hAnsi="Times New Roman" w:cs="Times New Roman"/>
                <w:szCs w:val="21"/>
              </w:rPr>
            </w:pPr>
          </w:p>
        </w:tc>
        <w:tc>
          <w:tcPr>
            <w:tcW w:w="432" w:type="pct"/>
            <w:vMerge/>
            <w:tcBorders>
              <w:top w:val="nil"/>
              <w:left w:val="nil"/>
              <w:bottom w:val="single" w:sz="4" w:space="0" w:color="auto"/>
              <w:right w:val="single" w:sz="4" w:space="0" w:color="auto"/>
            </w:tcBorders>
            <w:vAlign w:val="center"/>
          </w:tcPr>
          <w:p w14:paraId="22C167DF" w14:textId="77777777" w:rsidR="002133E3" w:rsidRDefault="002133E3">
            <w:pPr>
              <w:snapToGrid w:val="0"/>
              <w:spacing w:line="240" w:lineRule="atLeast"/>
              <w:jc w:val="center"/>
              <w:rPr>
                <w:rFonts w:ascii="Times New Roman" w:eastAsia="宋体" w:hAnsi="Times New Roman" w:cs="Times New Roman"/>
                <w:szCs w:val="21"/>
              </w:rPr>
            </w:pPr>
          </w:p>
        </w:tc>
        <w:tc>
          <w:tcPr>
            <w:tcW w:w="527" w:type="pct"/>
            <w:tcBorders>
              <w:top w:val="single" w:sz="4" w:space="0" w:color="auto"/>
              <w:left w:val="nil"/>
              <w:bottom w:val="single" w:sz="4" w:space="0" w:color="auto"/>
              <w:right w:val="single" w:sz="4" w:space="0" w:color="auto"/>
            </w:tcBorders>
            <w:vAlign w:val="center"/>
          </w:tcPr>
          <w:p w14:paraId="70BAA38F"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COD</w:t>
            </w:r>
          </w:p>
        </w:tc>
        <w:tc>
          <w:tcPr>
            <w:tcW w:w="1272" w:type="pct"/>
            <w:tcBorders>
              <w:top w:val="single" w:sz="4" w:space="0" w:color="auto"/>
              <w:left w:val="nil"/>
              <w:bottom w:val="single" w:sz="4" w:space="0" w:color="auto"/>
              <w:right w:val="single" w:sz="4" w:space="0" w:color="auto"/>
            </w:tcBorders>
            <w:vAlign w:val="center"/>
          </w:tcPr>
          <w:p w14:paraId="4321A514"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50</w:t>
            </w:r>
          </w:p>
        </w:tc>
      </w:tr>
      <w:tr w:rsidR="002133E3" w14:paraId="172ECBE6" w14:textId="77777777">
        <w:trPr>
          <w:trHeight w:val="284"/>
          <w:jc w:val="center"/>
        </w:trPr>
        <w:tc>
          <w:tcPr>
            <w:tcW w:w="190" w:type="pct"/>
            <w:vMerge/>
            <w:tcBorders>
              <w:top w:val="nil"/>
              <w:left w:val="single" w:sz="4" w:space="0" w:color="auto"/>
              <w:bottom w:val="single" w:sz="4" w:space="0" w:color="auto"/>
              <w:right w:val="single" w:sz="4" w:space="0" w:color="auto"/>
            </w:tcBorders>
            <w:vAlign w:val="center"/>
          </w:tcPr>
          <w:p w14:paraId="6F055958" w14:textId="77777777" w:rsidR="002133E3" w:rsidRDefault="002133E3">
            <w:pPr>
              <w:snapToGrid w:val="0"/>
              <w:spacing w:line="240" w:lineRule="atLeast"/>
              <w:jc w:val="center"/>
              <w:rPr>
                <w:rFonts w:ascii="Times New Roman" w:eastAsia="宋体" w:hAnsi="Times New Roman" w:cs="Times New Roman"/>
                <w:szCs w:val="21"/>
              </w:rPr>
            </w:pPr>
          </w:p>
        </w:tc>
        <w:tc>
          <w:tcPr>
            <w:tcW w:w="295" w:type="pct"/>
            <w:vMerge/>
            <w:tcBorders>
              <w:top w:val="nil"/>
              <w:left w:val="nil"/>
              <w:bottom w:val="single" w:sz="4" w:space="0" w:color="auto"/>
              <w:right w:val="single" w:sz="4" w:space="0" w:color="auto"/>
            </w:tcBorders>
            <w:vAlign w:val="center"/>
          </w:tcPr>
          <w:p w14:paraId="3B417117" w14:textId="77777777" w:rsidR="002133E3" w:rsidRDefault="002133E3">
            <w:pPr>
              <w:snapToGrid w:val="0"/>
              <w:spacing w:line="240" w:lineRule="atLeast"/>
              <w:jc w:val="center"/>
              <w:rPr>
                <w:rFonts w:ascii="Times New Roman" w:eastAsia="宋体" w:hAnsi="Times New Roman" w:cs="Times New Roman"/>
                <w:szCs w:val="21"/>
              </w:rPr>
            </w:pPr>
          </w:p>
        </w:tc>
        <w:tc>
          <w:tcPr>
            <w:tcW w:w="434" w:type="pct"/>
            <w:vMerge/>
            <w:tcBorders>
              <w:top w:val="nil"/>
              <w:left w:val="nil"/>
              <w:bottom w:val="single" w:sz="4" w:space="0" w:color="auto"/>
              <w:right w:val="single" w:sz="4" w:space="0" w:color="auto"/>
            </w:tcBorders>
            <w:vAlign w:val="center"/>
          </w:tcPr>
          <w:p w14:paraId="589C5D64" w14:textId="77777777" w:rsidR="002133E3" w:rsidRDefault="002133E3">
            <w:pPr>
              <w:snapToGrid w:val="0"/>
              <w:spacing w:line="240" w:lineRule="atLeast"/>
              <w:jc w:val="center"/>
              <w:rPr>
                <w:rFonts w:ascii="Times New Roman" w:eastAsia="宋体" w:hAnsi="Times New Roman" w:cs="Times New Roman"/>
                <w:szCs w:val="21"/>
              </w:rPr>
            </w:pPr>
          </w:p>
        </w:tc>
        <w:tc>
          <w:tcPr>
            <w:tcW w:w="413" w:type="pct"/>
            <w:vMerge/>
            <w:tcBorders>
              <w:top w:val="nil"/>
              <w:left w:val="nil"/>
              <w:bottom w:val="single" w:sz="4" w:space="0" w:color="auto"/>
              <w:right w:val="single" w:sz="4" w:space="0" w:color="auto"/>
            </w:tcBorders>
            <w:vAlign w:val="center"/>
          </w:tcPr>
          <w:p w14:paraId="01B79D99" w14:textId="77777777" w:rsidR="002133E3" w:rsidRDefault="002133E3">
            <w:pPr>
              <w:snapToGrid w:val="0"/>
              <w:spacing w:line="240" w:lineRule="atLeast"/>
              <w:jc w:val="center"/>
              <w:rPr>
                <w:rFonts w:ascii="Times New Roman" w:eastAsia="宋体" w:hAnsi="Times New Roman" w:cs="Times New Roman"/>
                <w:szCs w:val="21"/>
              </w:rPr>
            </w:pPr>
          </w:p>
        </w:tc>
        <w:tc>
          <w:tcPr>
            <w:tcW w:w="405" w:type="pct"/>
            <w:vMerge/>
            <w:tcBorders>
              <w:top w:val="nil"/>
              <w:left w:val="nil"/>
              <w:bottom w:val="single" w:sz="4" w:space="0" w:color="auto"/>
              <w:right w:val="single" w:sz="4" w:space="0" w:color="auto"/>
            </w:tcBorders>
            <w:vAlign w:val="center"/>
          </w:tcPr>
          <w:p w14:paraId="7C25A901" w14:textId="77777777" w:rsidR="002133E3" w:rsidRDefault="002133E3">
            <w:pPr>
              <w:snapToGrid w:val="0"/>
              <w:spacing w:line="240" w:lineRule="atLeast"/>
              <w:jc w:val="center"/>
              <w:rPr>
                <w:rFonts w:ascii="Times New Roman" w:eastAsia="宋体" w:hAnsi="Times New Roman" w:cs="Times New Roman"/>
                <w:szCs w:val="21"/>
              </w:rPr>
            </w:pPr>
          </w:p>
        </w:tc>
        <w:tc>
          <w:tcPr>
            <w:tcW w:w="360" w:type="pct"/>
            <w:vMerge/>
            <w:tcBorders>
              <w:top w:val="nil"/>
              <w:left w:val="nil"/>
              <w:bottom w:val="single" w:sz="4" w:space="0" w:color="auto"/>
              <w:right w:val="single" w:sz="4" w:space="0" w:color="auto"/>
            </w:tcBorders>
            <w:vAlign w:val="center"/>
          </w:tcPr>
          <w:p w14:paraId="4BD194EF" w14:textId="77777777" w:rsidR="002133E3" w:rsidRDefault="002133E3">
            <w:pPr>
              <w:snapToGrid w:val="0"/>
              <w:spacing w:line="240" w:lineRule="atLeast"/>
              <w:jc w:val="center"/>
              <w:rPr>
                <w:rFonts w:ascii="Times New Roman" w:eastAsia="宋体" w:hAnsi="Times New Roman" w:cs="Times New Roman"/>
                <w:szCs w:val="21"/>
              </w:rPr>
            </w:pPr>
          </w:p>
        </w:tc>
        <w:tc>
          <w:tcPr>
            <w:tcW w:w="336" w:type="pct"/>
            <w:vMerge/>
            <w:tcBorders>
              <w:top w:val="nil"/>
              <w:left w:val="nil"/>
              <w:bottom w:val="single" w:sz="4" w:space="0" w:color="auto"/>
              <w:right w:val="single" w:sz="4" w:space="0" w:color="auto"/>
            </w:tcBorders>
            <w:vAlign w:val="center"/>
          </w:tcPr>
          <w:p w14:paraId="424B7243" w14:textId="77777777" w:rsidR="002133E3" w:rsidRDefault="002133E3">
            <w:pPr>
              <w:snapToGrid w:val="0"/>
              <w:spacing w:line="240" w:lineRule="atLeast"/>
              <w:jc w:val="center"/>
              <w:rPr>
                <w:rFonts w:ascii="Times New Roman" w:eastAsia="宋体" w:hAnsi="Times New Roman" w:cs="Times New Roman"/>
                <w:szCs w:val="21"/>
              </w:rPr>
            </w:pPr>
          </w:p>
        </w:tc>
        <w:tc>
          <w:tcPr>
            <w:tcW w:w="335" w:type="pct"/>
            <w:vMerge/>
            <w:tcBorders>
              <w:top w:val="nil"/>
              <w:left w:val="nil"/>
              <w:bottom w:val="single" w:sz="4" w:space="0" w:color="auto"/>
              <w:right w:val="single" w:sz="4" w:space="0" w:color="auto"/>
            </w:tcBorders>
            <w:vAlign w:val="center"/>
          </w:tcPr>
          <w:p w14:paraId="636B3B38" w14:textId="77777777" w:rsidR="002133E3" w:rsidRDefault="002133E3">
            <w:pPr>
              <w:snapToGrid w:val="0"/>
              <w:spacing w:line="240" w:lineRule="atLeast"/>
              <w:jc w:val="center"/>
              <w:rPr>
                <w:rFonts w:ascii="Times New Roman" w:eastAsia="宋体" w:hAnsi="Times New Roman" w:cs="Times New Roman"/>
                <w:szCs w:val="21"/>
              </w:rPr>
            </w:pPr>
          </w:p>
        </w:tc>
        <w:tc>
          <w:tcPr>
            <w:tcW w:w="432" w:type="pct"/>
            <w:vMerge/>
            <w:tcBorders>
              <w:top w:val="nil"/>
              <w:left w:val="nil"/>
              <w:bottom w:val="single" w:sz="4" w:space="0" w:color="auto"/>
              <w:right w:val="single" w:sz="4" w:space="0" w:color="auto"/>
            </w:tcBorders>
            <w:vAlign w:val="center"/>
          </w:tcPr>
          <w:p w14:paraId="23CBCD1B" w14:textId="77777777" w:rsidR="002133E3" w:rsidRDefault="002133E3">
            <w:pPr>
              <w:snapToGrid w:val="0"/>
              <w:spacing w:line="240" w:lineRule="atLeast"/>
              <w:jc w:val="center"/>
              <w:rPr>
                <w:rFonts w:ascii="Times New Roman" w:eastAsia="宋体" w:hAnsi="Times New Roman" w:cs="Times New Roman"/>
                <w:szCs w:val="21"/>
              </w:rPr>
            </w:pPr>
          </w:p>
        </w:tc>
        <w:tc>
          <w:tcPr>
            <w:tcW w:w="527" w:type="pct"/>
            <w:tcBorders>
              <w:top w:val="single" w:sz="4" w:space="0" w:color="auto"/>
              <w:left w:val="nil"/>
              <w:bottom w:val="single" w:sz="4" w:space="0" w:color="auto"/>
              <w:right w:val="single" w:sz="4" w:space="0" w:color="auto"/>
            </w:tcBorders>
            <w:vAlign w:val="center"/>
          </w:tcPr>
          <w:p w14:paraId="5C883EA7" w14:textId="77777777" w:rsidR="002133E3" w:rsidRDefault="00C22CFA">
            <w:pPr>
              <w:snapToGrid w:val="0"/>
              <w:spacing w:line="240" w:lineRule="atLeast"/>
              <w:jc w:val="center"/>
              <w:rPr>
                <w:rFonts w:ascii="Times New Roman" w:eastAsia="宋体" w:hAnsi="Times New Roman" w:cs="Times New Roman"/>
                <w:bCs/>
                <w:szCs w:val="21"/>
              </w:rPr>
            </w:pPr>
            <w:r>
              <w:rPr>
                <w:rFonts w:ascii="Times New Roman" w:eastAsia="宋体" w:hAnsi="Times New Roman" w:cs="Times New Roman"/>
                <w:szCs w:val="21"/>
              </w:rPr>
              <w:t>SS</w:t>
            </w:r>
          </w:p>
        </w:tc>
        <w:tc>
          <w:tcPr>
            <w:tcW w:w="1272" w:type="pct"/>
            <w:tcBorders>
              <w:top w:val="single" w:sz="4" w:space="0" w:color="auto"/>
              <w:left w:val="nil"/>
              <w:bottom w:val="single" w:sz="4" w:space="0" w:color="auto"/>
              <w:right w:val="single" w:sz="4" w:space="0" w:color="auto"/>
            </w:tcBorders>
            <w:vAlign w:val="center"/>
          </w:tcPr>
          <w:p w14:paraId="71D86F32"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10</w:t>
            </w:r>
          </w:p>
        </w:tc>
      </w:tr>
      <w:tr w:rsidR="002133E3" w14:paraId="579CBDC1" w14:textId="77777777">
        <w:trPr>
          <w:trHeight w:val="284"/>
          <w:jc w:val="center"/>
        </w:trPr>
        <w:tc>
          <w:tcPr>
            <w:tcW w:w="190" w:type="pct"/>
            <w:vMerge/>
            <w:tcBorders>
              <w:top w:val="nil"/>
              <w:left w:val="single" w:sz="4" w:space="0" w:color="auto"/>
              <w:bottom w:val="single" w:sz="4" w:space="0" w:color="auto"/>
              <w:right w:val="single" w:sz="4" w:space="0" w:color="auto"/>
            </w:tcBorders>
            <w:vAlign w:val="center"/>
          </w:tcPr>
          <w:p w14:paraId="7950FE68" w14:textId="77777777" w:rsidR="002133E3" w:rsidRDefault="002133E3">
            <w:pPr>
              <w:snapToGrid w:val="0"/>
              <w:spacing w:line="240" w:lineRule="atLeast"/>
              <w:jc w:val="center"/>
              <w:rPr>
                <w:rFonts w:ascii="Times New Roman" w:eastAsia="宋体" w:hAnsi="Times New Roman" w:cs="Times New Roman"/>
                <w:szCs w:val="21"/>
              </w:rPr>
            </w:pPr>
          </w:p>
        </w:tc>
        <w:tc>
          <w:tcPr>
            <w:tcW w:w="295" w:type="pct"/>
            <w:vMerge/>
            <w:tcBorders>
              <w:top w:val="nil"/>
              <w:left w:val="nil"/>
              <w:bottom w:val="single" w:sz="4" w:space="0" w:color="auto"/>
              <w:right w:val="single" w:sz="4" w:space="0" w:color="auto"/>
            </w:tcBorders>
            <w:vAlign w:val="center"/>
          </w:tcPr>
          <w:p w14:paraId="333CE367" w14:textId="77777777" w:rsidR="002133E3" w:rsidRDefault="002133E3">
            <w:pPr>
              <w:snapToGrid w:val="0"/>
              <w:spacing w:line="240" w:lineRule="atLeast"/>
              <w:jc w:val="center"/>
              <w:rPr>
                <w:rFonts w:ascii="Times New Roman" w:eastAsia="宋体" w:hAnsi="Times New Roman" w:cs="Times New Roman"/>
                <w:szCs w:val="21"/>
              </w:rPr>
            </w:pPr>
          </w:p>
        </w:tc>
        <w:tc>
          <w:tcPr>
            <w:tcW w:w="434" w:type="pct"/>
            <w:vMerge/>
            <w:tcBorders>
              <w:top w:val="nil"/>
              <w:left w:val="nil"/>
              <w:bottom w:val="single" w:sz="4" w:space="0" w:color="auto"/>
              <w:right w:val="single" w:sz="4" w:space="0" w:color="auto"/>
            </w:tcBorders>
            <w:vAlign w:val="center"/>
          </w:tcPr>
          <w:p w14:paraId="41ECB791" w14:textId="77777777" w:rsidR="002133E3" w:rsidRDefault="002133E3">
            <w:pPr>
              <w:snapToGrid w:val="0"/>
              <w:spacing w:line="240" w:lineRule="atLeast"/>
              <w:jc w:val="center"/>
              <w:rPr>
                <w:rFonts w:ascii="Times New Roman" w:eastAsia="宋体" w:hAnsi="Times New Roman" w:cs="Times New Roman"/>
                <w:szCs w:val="21"/>
              </w:rPr>
            </w:pPr>
          </w:p>
        </w:tc>
        <w:tc>
          <w:tcPr>
            <w:tcW w:w="413" w:type="pct"/>
            <w:vMerge/>
            <w:tcBorders>
              <w:top w:val="nil"/>
              <w:left w:val="nil"/>
              <w:bottom w:val="single" w:sz="4" w:space="0" w:color="auto"/>
              <w:right w:val="single" w:sz="4" w:space="0" w:color="auto"/>
            </w:tcBorders>
            <w:vAlign w:val="center"/>
          </w:tcPr>
          <w:p w14:paraId="314B04A7" w14:textId="77777777" w:rsidR="002133E3" w:rsidRDefault="002133E3">
            <w:pPr>
              <w:snapToGrid w:val="0"/>
              <w:spacing w:line="240" w:lineRule="atLeast"/>
              <w:jc w:val="center"/>
              <w:rPr>
                <w:rFonts w:ascii="Times New Roman" w:eastAsia="宋体" w:hAnsi="Times New Roman" w:cs="Times New Roman"/>
                <w:szCs w:val="21"/>
              </w:rPr>
            </w:pPr>
          </w:p>
        </w:tc>
        <w:tc>
          <w:tcPr>
            <w:tcW w:w="405" w:type="pct"/>
            <w:vMerge/>
            <w:tcBorders>
              <w:top w:val="nil"/>
              <w:left w:val="nil"/>
              <w:bottom w:val="single" w:sz="4" w:space="0" w:color="auto"/>
              <w:right w:val="single" w:sz="4" w:space="0" w:color="auto"/>
            </w:tcBorders>
            <w:vAlign w:val="center"/>
          </w:tcPr>
          <w:p w14:paraId="25FE3F61" w14:textId="77777777" w:rsidR="002133E3" w:rsidRDefault="002133E3">
            <w:pPr>
              <w:snapToGrid w:val="0"/>
              <w:spacing w:line="240" w:lineRule="atLeast"/>
              <w:jc w:val="center"/>
              <w:rPr>
                <w:rFonts w:ascii="Times New Roman" w:eastAsia="宋体" w:hAnsi="Times New Roman" w:cs="Times New Roman"/>
                <w:szCs w:val="21"/>
              </w:rPr>
            </w:pPr>
          </w:p>
        </w:tc>
        <w:tc>
          <w:tcPr>
            <w:tcW w:w="360" w:type="pct"/>
            <w:vMerge/>
            <w:tcBorders>
              <w:top w:val="nil"/>
              <w:left w:val="nil"/>
              <w:bottom w:val="single" w:sz="4" w:space="0" w:color="auto"/>
              <w:right w:val="single" w:sz="4" w:space="0" w:color="auto"/>
            </w:tcBorders>
            <w:vAlign w:val="center"/>
          </w:tcPr>
          <w:p w14:paraId="25D2355F" w14:textId="77777777" w:rsidR="002133E3" w:rsidRDefault="002133E3">
            <w:pPr>
              <w:snapToGrid w:val="0"/>
              <w:spacing w:line="240" w:lineRule="atLeast"/>
              <w:jc w:val="center"/>
              <w:rPr>
                <w:rFonts w:ascii="Times New Roman" w:eastAsia="宋体" w:hAnsi="Times New Roman" w:cs="Times New Roman"/>
                <w:szCs w:val="21"/>
              </w:rPr>
            </w:pPr>
          </w:p>
        </w:tc>
        <w:tc>
          <w:tcPr>
            <w:tcW w:w="336" w:type="pct"/>
            <w:vMerge/>
            <w:tcBorders>
              <w:top w:val="nil"/>
              <w:left w:val="nil"/>
              <w:bottom w:val="single" w:sz="4" w:space="0" w:color="auto"/>
              <w:right w:val="single" w:sz="4" w:space="0" w:color="auto"/>
            </w:tcBorders>
            <w:vAlign w:val="center"/>
          </w:tcPr>
          <w:p w14:paraId="0C563BC8" w14:textId="77777777" w:rsidR="002133E3" w:rsidRDefault="002133E3">
            <w:pPr>
              <w:snapToGrid w:val="0"/>
              <w:spacing w:line="240" w:lineRule="atLeast"/>
              <w:jc w:val="center"/>
              <w:rPr>
                <w:rFonts w:ascii="Times New Roman" w:eastAsia="宋体" w:hAnsi="Times New Roman" w:cs="Times New Roman"/>
                <w:szCs w:val="21"/>
              </w:rPr>
            </w:pPr>
          </w:p>
        </w:tc>
        <w:tc>
          <w:tcPr>
            <w:tcW w:w="335" w:type="pct"/>
            <w:vMerge/>
            <w:tcBorders>
              <w:top w:val="nil"/>
              <w:left w:val="nil"/>
              <w:bottom w:val="single" w:sz="4" w:space="0" w:color="auto"/>
              <w:right w:val="single" w:sz="4" w:space="0" w:color="auto"/>
            </w:tcBorders>
            <w:vAlign w:val="center"/>
          </w:tcPr>
          <w:p w14:paraId="634018F5" w14:textId="77777777" w:rsidR="002133E3" w:rsidRDefault="002133E3">
            <w:pPr>
              <w:snapToGrid w:val="0"/>
              <w:spacing w:line="240" w:lineRule="atLeast"/>
              <w:jc w:val="center"/>
              <w:rPr>
                <w:rFonts w:ascii="Times New Roman" w:eastAsia="宋体" w:hAnsi="Times New Roman" w:cs="Times New Roman"/>
                <w:szCs w:val="21"/>
              </w:rPr>
            </w:pPr>
          </w:p>
        </w:tc>
        <w:tc>
          <w:tcPr>
            <w:tcW w:w="432" w:type="pct"/>
            <w:vMerge/>
            <w:tcBorders>
              <w:top w:val="nil"/>
              <w:left w:val="nil"/>
              <w:bottom w:val="single" w:sz="4" w:space="0" w:color="auto"/>
              <w:right w:val="single" w:sz="4" w:space="0" w:color="auto"/>
            </w:tcBorders>
            <w:vAlign w:val="center"/>
          </w:tcPr>
          <w:p w14:paraId="2D0A5CC6" w14:textId="77777777" w:rsidR="002133E3" w:rsidRDefault="002133E3">
            <w:pPr>
              <w:snapToGrid w:val="0"/>
              <w:spacing w:line="240" w:lineRule="atLeast"/>
              <w:jc w:val="center"/>
              <w:rPr>
                <w:rFonts w:ascii="Times New Roman" w:eastAsia="宋体" w:hAnsi="Times New Roman" w:cs="Times New Roman"/>
                <w:szCs w:val="21"/>
              </w:rPr>
            </w:pPr>
          </w:p>
        </w:tc>
        <w:tc>
          <w:tcPr>
            <w:tcW w:w="527" w:type="pct"/>
            <w:tcBorders>
              <w:top w:val="single" w:sz="4" w:space="0" w:color="auto"/>
              <w:left w:val="nil"/>
              <w:bottom w:val="single" w:sz="4" w:space="0" w:color="auto"/>
              <w:right w:val="single" w:sz="4" w:space="0" w:color="auto"/>
            </w:tcBorders>
            <w:vAlign w:val="center"/>
          </w:tcPr>
          <w:p w14:paraId="0195F5BE"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氨氮</w:t>
            </w:r>
          </w:p>
        </w:tc>
        <w:tc>
          <w:tcPr>
            <w:tcW w:w="1272" w:type="pct"/>
            <w:tcBorders>
              <w:top w:val="single" w:sz="4" w:space="0" w:color="auto"/>
              <w:left w:val="nil"/>
              <w:bottom w:val="single" w:sz="4" w:space="0" w:color="auto"/>
              <w:right w:val="single" w:sz="4" w:space="0" w:color="auto"/>
            </w:tcBorders>
            <w:vAlign w:val="center"/>
          </w:tcPr>
          <w:p w14:paraId="71013D62"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5</w:t>
            </w:r>
          </w:p>
        </w:tc>
      </w:tr>
      <w:tr w:rsidR="002133E3" w14:paraId="06694B9E" w14:textId="77777777">
        <w:trPr>
          <w:trHeight w:val="284"/>
          <w:jc w:val="center"/>
        </w:trPr>
        <w:tc>
          <w:tcPr>
            <w:tcW w:w="190" w:type="pct"/>
            <w:vMerge/>
            <w:tcBorders>
              <w:top w:val="nil"/>
              <w:left w:val="single" w:sz="4" w:space="0" w:color="auto"/>
              <w:bottom w:val="single" w:sz="4" w:space="0" w:color="auto"/>
              <w:right w:val="single" w:sz="4" w:space="0" w:color="auto"/>
            </w:tcBorders>
            <w:vAlign w:val="center"/>
          </w:tcPr>
          <w:p w14:paraId="332882BC" w14:textId="77777777" w:rsidR="002133E3" w:rsidRDefault="002133E3">
            <w:pPr>
              <w:snapToGrid w:val="0"/>
              <w:spacing w:line="240" w:lineRule="atLeast"/>
              <w:jc w:val="center"/>
              <w:rPr>
                <w:rFonts w:ascii="Times New Roman" w:eastAsia="宋体" w:hAnsi="Times New Roman" w:cs="Times New Roman"/>
                <w:szCs w:val="21"/>
              </w:rPr>
            </w:pPr>
          </w:p>
        </w:tc>
        <w:tc>
          <w:tcPr>
            <w:tcW w:w="295" w:type="pct"/>
            <w:vMerge/>
            <w:tcBorders>
              <w:top w:val="nil"/>
              <w:left w:val="nil"/>
              <w:bottom w:val="single" w:sz="4" w:space="0" w:color="auto"/>
              <w:right w:val="single" w:sz="4" w:space="0" w:color="auto"/>
            </w:tcBorders>
            <w:vAlign w:val="center"/>
          </w:tcPr>
          <w:p w14:paraId="342C362C" w14:textId="77777777" w:rsidR="002133E3" w:rsidRDefault="002133E3">
            <w:pPr>
              <w:snapToGrid w:val="0"/>
              <w:spacing w:line="240" w:lineRule="atLeast"/>
              <w:jc w:val="center"/>
              <w:rPr>
                <w:rFonts w:ascii="Times New Roman" w:eastAsia="宋体" w:hAnsi="Times New Roman" w:cs="Times New Roman"/>
                <w:szCs w:val="21"/>
              </w:rPr>
            </w:pPr>
          </w:p>
        </w:tc>
        <w:tc>
          <w:tcPr>
            <w:tcW w:w="434" w:type="pct"/>
            <w:vMerge/>
            <w:tcBorders>
              <w:top w:val="nil"/>
              <w:left w:val="nil"/>
              <w:bottom w:val="single" w:sz="4" w:space="0" w:color="auto"/>
              <w:right w:val="single" w:sz="4" w:space="0" w:color="auto"/>
            </w:tcBorders>
            <w:vAlign w:val="center"/>
          </w:tcPr>
          <w:p w14:paraId="1F270197" w14:textId="77777777" w:rsidR="002133E3" w:rsidRDefault="002133E3">
            <w:pPr>
              <w:snapToGrid w:val="0"/>
              <w:spacing w:line="240" w:lineRule="atLeast"/>
              <w:jc w:val="center"/>
              <w:rPr>
                <w:rFonts w:ascii="Times New Roman" w:eastAsia="宋体" w:hAnsi="Times New Roman" w:cs="Times New Roman"/>
                <w:szCs w:val="21"/>
              </w:rPr>
            </w:pPr>
          </w:p>
        </w:tc>
        <w:tc>
          <w:tcPr>
            <w:tcW w:w="413" w:type="pct"/>
            <w:vMerge/>
            <w:tcBorders>
              <w:top w:val="nil"/>
              <w:left w:val="nil"/>
              <w:bottom w:val="single" w:sz="4" w:space="0" w:color="auto"/>
              <w:right w:val="single" w:sz="4" w:space="0" w:color="auto"/>
            </w:tcBorders>
            <w:vAlign w:val="center"/>
          </w:tcPr>
          <w:p w14:paraId="3674BBE6" w14:textId="77777777" w:rsidR="002133E3" w:rsidRDefault="002133E3">
            <w:pPr>
              <w:snapToGrid w:val="0"/>
              <w:spacing w:line="240" w:lineRule="atLeast"/>
              <w:jc w:val="center"/>
              <w:rPr>
                <w:rFonts w:ascii="Times New Roman" w:eastAsia="宋体" w:hAnsi="Times New Roman" w:cs="Times New Roman"/>
                <w:szCs w:val="21"/>
              </w:rPr>
            </w:pPr>
          </w:p>
        </w:tc>
        <w:tc>
          <w:tcPr>
            <w:tcW w:w="405" w:type="pct"/>
            <w:vMerge/>
            <w:tcBorders>
              <w:top w:val="nil"/>
              <w:left w:val="nil"/>
              <w:bottom w:val="single" w:sz="4" w:space="0" w:color="auto"/>
              <w:right w:val="single" w:sz="4" w:space="0" w:color="auto"/>
            </w:tcBorders>
            <w:vAlign w:val="center"/>
          </w:tcPr>
          <w:p w14:paraId="37592951" w14:textId="77777777" w:rsidR="002133E3" w:rsidRDefault="002133E3">
            <w:pPr>
              <w:snapToGrid w:val="0"/>
              <w:spacing w:line="240" w:lineRule="atLeast"/>
              <w:jc w:val="center"/>
              <w:rPr>
                <w:rFonts w:ascii="Times New Roman" w:eastAsia="宋体" w:hAnsi="Times New Roman" w:cs="Times New Roman"/>
                <w:szCs w:val="21"/>
              </w:rPr>
            </w:pPr>
          </w:p>
        </w:tc>
        <w:tc>
          <w:tcPr>
            <w:tcW w:w="360" w:type="pct"/>
            <w:vMerge/>
            <w:tcBorders>
              <w:top w:val="nil"/>
              <w:left w:val="nil"/>
              <w:bottom w:val="single" w:sz="4" w:space="0" w:color="auto"/>
              <w:right w:val="single" w:sz="4" w:space="0" w:color="auto"/>
            </w:tcBorders>
            <w:vAlign w:val="center"/>
          </w:tcPr>
          <w:p w14:paraId="7292DC31" w14:textId="77777777" w:rsidR="002133E3" w:rsidRDefault="002133E3">
            <w:pPr>
              <w:snapToGrid w:val="0"/>
              <w:spacing w:line="240" w:lineRule="atLeast"/>
              <w:jc w:val="center"/>
              <w:rPr>
                <w:rFonts w:ascii="Times New Roman" w:eastAsia="宋体" w:hAnsi="Times New Roman" w:cs="Times New Roman"/>
                <w:szCs w:val="21"/>
              </w:rPr>
            </w:pPr>
          </w:p>
        </w:tc>
        <w:tc>
          <w:tcPr>
            <w:tcW w:w="336" w:type="pct"/>
            <w:vMerge/>
            <w:tcBorders>
              <w:top w:val="nil"/>
              <w:left w:val="nil"/>
              <w:bottom w:val="single" w:sz="4" w:space="0" w:color="auto"/>
              <w:right w:val="single" w:sz="4" w:space="0" w:color="auto"/>
            </w:tcBorders>
            <w:vAlign w:val="center"/>
          </w:tcPr>
          <w:p w14:paraId="071646DB" w14:textId="77777777" w:rsidR="002133E3" w:rsidRDefault="002133E3">
            <w:pPr>
              <w:snapToGrid w:val="0"/>
              <w:spacing w:line="240" w:lineRule="atLeast"/>
              <w:jc w:val="center"/>
              <w:rPr>
                <w:rFonts w:ascii="Times New Roman" w:eastAsia="宋体" w:hAnsi="Times New Roman" w:cs="Times New Roman"/>
                <w:szCs w:val="21"/>
              </w:rPr>
            </w:pPr>
          </w:p>
        </w:tc>
        <w:tc>
          <w:tcPr>
            <w:tcW w:w="335" w:type="pct"/>
            <w:vMerge/>
            <w:tcBorders>
              <w:top w:val="nil"/>
              <w:left w:val="nil"/>
              <w:bottom w:val="single" w:sz="4" w:space="0" w:color="auto"/>
              <w:right w:val="single" w:sz="4" w:space="0" w:color="auto"/>
            </w:tcBorders>
            <w:vAlign w:val="center"/>
          </w:tcPr>
          <w:p w14:paraId="7CA8E731" w14:textId="77777777" w:rsidR="002133E3" w:rsidRDefault="002133E3">
            <w:pPr>
              <w:snapToGrid w:val="0"/>
              <w:spacing w:line="240" w:lineRule="atLeast"/>
              <w:jc w:val="center"/>
              <w:rPr>
                <w:rFonts w:ascii="Times New Roman" w:eastAsia="宋体" w:hAnsi="Times New Roman" w:cs="Times New Roman"/>
                <w:szCs w:val="21"/>
              </w:rPr>
            </w:pPr>
          </w:p>
        </w:tc>
        <w:tc>
          <w:tcPr>
            <w:tcW w:w="432" w:type="pct"/>
            <w:vMerge/>
            <w:tcBorders>
              <w:top w:val="nil"/>
              <w:left w:val="nil"/>
              <w:bottom w:val="single" w:sz="4" w:space="0" w:color="auto"/>
              <w:right w:val="single" w:sz="4" w:space="0" w:color="auto"/>
            </w:tcBorders>
            <w:vAlign w:val="center"/>
          </w:tcPr>
          <w:p w14:paraId="76BA465F" w14:textId="77777777" w:rsidR="002133E3" w:rsidRDefault="002133E3">
            <w:pPr>
              <w:snapToGrid w:val="0"/>
              <w:spacing w:line="240" w:lineRule="atLeast"/>
              <w:jc w:val="center"/>
              <w:rPr>
                <w:rFonts w:ascii="Times New Roman" w:eastAsia="宋体" w:hAnsi="Times New Roman" w:cs="Times New Roman"/>
                <w:szCs w:val="21"/>
              </w:rPr>
            </w:pPr>
          </w:p>
        </w:tc>
        <w:tc>
          <w:tcPr>
            <w:tcW w:w="527" w:type="pct"/>
            <w:tcBorders>
              <w:top w:val="single" w:sz="4" w:space="0" w:color="auto"/>
              <w:left w:val="nil"/>
              <w:bottom w:val="single" w:sz="4" w:space="0" w:color="auto"/>
              <w:right w:val="single" w:sz="4" w:space="0" w:color="auto"/>
            </w:tcBorders>
            <w:vAlign w:val="center"/>
          </w:tcPr>
          <w:p w14:paraId="632AA937"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总磷</w:t>
            </w:r>
          </w:p>
        </w:tc>
        <w:tc>
          <w:tcPr>
            <w:tcW w:w="1272" w:type="pct"/>
            <w:tcBorders>
              <w:top w:val="single" w:sz="4" w:space="0" w:color="auto"/>
              <w:left w:val="nil"/>
              <w:bottom w:val="single" w:sz="4" w:space="0" w:color="auto"/>
              <w:right w:val="single" w:sz="4" w:space="0" w:color="auto"/>
            </w:tcBorders>
            <w:vAlign w:val="center"/>
          </w:tcPr>
          <w:p w14:paraId="76AA82D0"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0.5</w:t>
            </w:r>
          </w:p>
        </w:tc>
      </w:tr>
      <w:tr w:rsidR="002133E3" w14:paraId="71EBE155" w14:textId="77777777">
        <w:trPr>
          <w:trHeight w:val="284"/>
          <w:jc w:val="center"/>
        </w:trPr>
        <w:tc>
          <w:tcPr>
            <w:tcW w:w="190" w:type="pct"/>
            <w:vMerge/>
            <w:tcBorders>
              <w:top w:val="nil"/>
              <w:left w:val="single" w:sz="4" w:space="0" w:color="auto"/>
              <w:bottom w:val="single" w:sz="4" w:space="0" w:color="auto"/>
              <w:right w:val="single" w:sz="4" w:space="0" w:color="auto"/>
            </w:tcBorders>
            <w:vAlign w:val="center"/>
          </w:tcPr>
          <w:p w14:paraId="1086AF2A" w14:textId="77777777" w:rsidR="002133E3" w:rsidRDefault="002133E3">
            <w:pPr>
              <w:snapToGrid w:val="0"/>
              <w:spacing w:line="240" w:lineRule="atLeast"/>
              <w:jc w:val="center"/>
              <w:rPr>
                <w:rFonts w:ascii="Times New Roman" w:eastAsia="宋体" w:hAnsi="Times New Roman" w:cs="Times New Roman"/>
                <w:szCs w:val="21"/>
              </w:rPr>
            </w:pPr>
          </w:p>
        </w:tc>
        <w:tc>
          <w:tcPr>
            <w:tcW w:w="295" w:type="pct"/>
            <w:vMerge/>
            <w:tcBorders>
              <w:top w:val="nil"/>
              <w:left w:val="nil"/>
              <w:bottom w:val="single" w:sz="4" w:space="0" w:color="auto"/>
              <w:right w:val="single" w:sz="4" w:space="0" w:color="auto"/>
            </w:tcBorders>
            <w:vAlign w:val="center"/>
          </w:tcPr>
          <w:p w14:paraId="19FA8BAB" w14:textId="77777777" w:rsidR="002133E3" w:rsidRDefault="002133E3">
            <w:pPr>
              <w:snapToGrid w:val="0"/>
              <w:spacing w:line="240" w:lineRule="atLeast"/>
              <w:jc w:val="center"/>
              <w:rPr>
                <w:rFonts w:ascii="Times New Roman" w:eastAsia="宋体" w:hAnsi="Times New Roman" w:cs="Times New Roman"/>
                <w:szCs w:val="21"/>
              </w:rPr>
            </w:pPr>
          </w:p>
        </w:tc>
        <w:tc>
          <w:tcPr>
            <w:tcW w:w="434" w:type="pct"/>
            <w:vMerge/>
            <w:tcBorders>
              <w:top w:val="nil"/>
              <w:left w:val="nil"/>
              <w:bottom w:val="single" w:sz="4" w:space="0" w:color="auto"/>
              <w:right w:val="single" w:sz="4" w:space="0" w:color="auto"/>
            </w:tcBorders>
            <w:vAlign w:val="center"/>
          </w:tcPr>
          <w:p w14:paraId="3BCCD572" w14:textId="77777777" w:rsidR="002133E3" w:rsidRDefault="002133E3">
            <w:pPr>
              <w:snapToGrid w:val="0"/>
              <w:spacing w:line="240" w:lineRule="atLeast"/>
              <w:jc w:val="center"/>
              <w:rPr>
                <w:rFonts w:ascii="Times New Roman" w:eastAsia="宋体" w:hAnsi="Times New Roman" w:cs="Times New Roman"/>
                <w:szCs w:val="21"/>
              </w:rPr>
            </w:pPr>
          </w:p>
        </w:tc>
        <w:tc>
          <w:tcPr>
            <w:tcW w:w="413" w:type="pct"/>
            <w:vMerge/>
            <w:tcBorders>
              <w:top w:val="nil"/>
              <w:left w:val="nil"/>
              <w:bottom w:val="single" w:sz="4" w:space="0" w:color="auto"/>
              <w:right w:val="single" w:sz="4" w:space="0" w:color="auto"/>
            </w:tcBorders>
            <w:vAlign w:val="center"/>
          </w:tcPr>
          <w:p w14:paraId="3C254457" w14:textId="77777777" w:rsidR="002133E3" w:rsidRDefault="002133E3">
            <w:pPr>
              <w:snapToGrid w:val="0"/>
              <w:spacing w:line="240" w:lineRule="atLeast"/>
              <w:jc w:val="center"/>
              <w:rPr>
                <w:rFonts w:ascii="Times New Roman" w:eastAsia="宋体" w:hAnsi="Times New Roman" w:cs="Times New Roman"/>
                <w:szCs w:val="21"/>
              </w:rPr>
            </w:pPr>
          </w:p>
        </w:tc>
        <w:tc>
          <w:tcPr>
            <w:tcW w:w="405" w:type="pct"/>
            <w:vMerge/>
            <w:tcBorders>
              <w:top w:val="nil"/>
              <w:left w:val="nil"/>
              <w:bottom w:val="single" w:sz="4" w:space="0" w:color="auto"/>
              <w:right w:val="single" w:sz="4" w:space="0" w:color="auto"/>
            </w:tcBorders>
            <w:vAlign w:val="center"/>
          </w:tcPr>
          <w:p w14:paraId="7CBB93D8" w14:textId="77777777" w:rsidR="002133E3" w:rsidRDefault="002133E3">
            <w:pPr>
              <w:snapToGrid w:val="0"/>
              <w:spacing w:line="240" w:lineRule="atLeast"/>
              <w:jc w:val="center"/>
              <w:rPr>
                <w:rFonts w:ascii="Times New Roman" w:eastAsia="宋体" w:hAnsi="Times New Roman" w:cs="Times New Roman"/>
                <w:szCs w:val="21"/>
              </w:rPr>
            </w:pPr>
          </w:p>
        </w:tc>
        <w:tc>
          <w:tcPr>
            <w:tcW w:w="360" w:type="pct"/>
            <w:vMerge/>
            <w:tcBorders>
              <w:top w:val="nil"/>
              <w:left w:val="nil"/>
              <w:bottom w:val="single" w:sz="4" w:space="0" w:color="auto"/>
              <w:right w:val="single" w:sz="4" w:space="0" w:color="auto"/>
            </w:tcBorders>
            <w:vAlign w:val="center"/>
          </w:tcPr>
          <w:p w14:paraId="4323C84B" w14:textId="77777777" w:rsidR="002133E3" w:rsidRDefault="002133E3">
            <w:pPr>
              <w:snapToGrid w:val="0"/>
              <w:spacing w:line="240" w:lineRule="atLeast"/>
              <w:jc w:val="center"/>
              <w:rPr>
                <w:rFonts w:ascii="Times New Roman" w:eastAsia="宋体" w:hAnsi="Times New Roman" w:cs="Times New Roman"/>
                <w:szCs w:val="21"/>
              </w:rPr>
            </w:pPr>
          </w:p>
        </w:tc>
        <w:tc>
          <w:tcPr>
            <w:tcW w:w="336" w:type="pct"/>
            <w:vMerge/>
            <w:tcBorders>
              <w:top w:val="nil"/>
              <w:left w:val="nil"/>
              <w:bottom w:val="single" w:sz="4" w:space="0" w:color="auto"/>
              <w:right w:val="single" w:sz="4" w:space="0" w:color="auto"/>
            </w:tcBorders>
            <w:vAlign w:val="center"/>
          </w:tcPr>
          <w:p w14:paraId="4EC7C4C7" w14:textId="77777777" w:rsidR="002133E3" w:rsidRDefault="002133E3">
            <w:pPr>
              <w:snapToGrid w:val="0"/>
              <w:spacing w:line="240" w:lineRule="atLeast"/>
              <w:jc w:val="center"/>
              <w:rPr>
                <w:rFonts w:ascii="Times New Roman" w:eastAsia="宋体" w:hAnsi="Times New Roman" w:cs="Times New Roman"/>
                <w:szCs w:val="21"/>
              </w:rPr>
            </w:pPr>
          </w:p>
        </w:tc>
        <w:tc>
          <w:tcPr>
            <w:tcW w:w="335" w:type="pct"/>
            <w:vMerge/>
            <w:tcBorders>
              <w:top w:val="nil"/>
              <w:left w:val="nil"/>
              <w:bottom w:val="single" w:sz="4" w:space="0" w:color="auto"/>
              <w:right w:val="single" w:sz="4" w:space="0" w:color="auto"/>
            </w:tcBorders>
            <w:vAlign w:val="center"/>
          </w:tcPr>
          <w:p w14:paraId="60D4F6D5" w14:textId="77777777" w:rsidR="002133E3" w:rsidRDefault="002133E3">
            <w:pPr>
              <w:snapToGrid w:val="0"/>
              <w:spacing w:line="240" w:lineRule="atLeast"/>
              <w:jc w:val="center"/>
              <w:rPr>
                <w:rFonts w:ascii="Times New Roman" w:eastAsia="宋体" w:hAnsi="Times New Roman" w:cs="Times New Roman"/>
                <w:szCs w:val="21"/>
              </w:rPr>
            </w:pPr>
          </w:p>
        </w:tc>
        <w:tc>
          <w:tcPr>
            <w:tcW w:w="432" w:type="pct"/>
            <w:vMerge/>
            <w:tcBorders>
              <w:top w:val="nil"/>
              <w:left w:val="nil"/>
              <w:bottom w:val="single" w:sz="4" w:space="0" w:color="auto"/>
              <w:right w:val="single" w:sz="4" w:space="0" w:color="auto"/>
            </w:tcBorders>
            <w:vAlign w:val="center"/>
          </w:tcPr>
          <w:p w14:paraId="650E42D6" w14:textId="77777777" w:rsidR="002133E3" w:rsidRDefault="002133E3">
            <w:pPr>
              <w:snapToGrid w:val="0"/>
              <w:spacing w:line="240" w:lineRule="atLeast"/>
              <w:jc w:val="center"/>
              <w:rPr>
                <w:rFonts w:ascii="Times New Roman" w:eastAsia="宋体" w:hAnsi="Times New Roman" w:cs="Times New Roman"/>
                <w:szCs w:val="21"/>
              </w:rPr>
            </w:pPr>
          </w:p>
        </w:tc>
        <w:tc>
          <w:tcPr>
            <w:tcW w:w="527" w:type="pct"/>
            <w:tcBorders>
              <w:top w:val="single" w:sz="4" w:space="0" w:color="auto"/>
              <w:left w:val="nil"/>
              <w:bottom w:val="single" w:sz="4" w:space="0" w:color="auto"/>
              <w:right w:val="single" w:sz="4" w:space="0" w:color="auto"/>
            </w:tcBorders>
            <w:vAlign w:val="center"/>
          </w:tcPr>
          <w:p w14:paraId="6F26F670"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总氮</w:t>
            </w:r>
          </w:p>
        </w:tc>
        <w:tc>
          <w:tcPr>
            <w:tcW w:w="1272" w:type="pct"/>
            <w:tcBorders>
              <w:top w:val="single" w:sz="4" w:space="0" w:color="auto"/>
              <w:left w:val="nil"/>
              <w:bottom w:val="single" w:sz="4" w:space="0" w:color="auto"/>
              <w:right w:val="single" w:sz="4" w:space="0" w:color="auto"/>
            </w:tcBorders>
            <w:vAlign w:val="center"/>
          </w:tcPr>
          <w:p w14:paraId="44C919B4" w14:textId="77777777" w:rsidR="002133E3" w:rsidRDefault="00C22CFA">
            <w:pPr>
              <w:snapToGrid w:val="0"/>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15</w:t>
            </w:r>
          </w:p>
        </w:tc>
      </w:tr>
    </w:tbl>
    <w:p w14:paraId="01307D02"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6.3-3  </w:t>
      </w:r>
      <w:r>
        <w:rPr>
          <w:rFonts w:ascii="Times New Roman" w:eastAsia="宋体" w:hAnsi="Times New Roman" w:cs="Times New Roman"/>
          <w:b/>
          <w:sz w:val="24"/>
          <w:szCs w:val="24"/>
        </w:rPr>
        <w:t>废水污染物排放执行标准表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2416"/>
        <w:gridCol w:w="3587"/>
        <w:gridCol w:w="2783"/>
        <w:gridCol w:w="3146"/>
      </w:tblGrid>
      <w:tr w:rsidR="002133E3" w14:paraId="5D158FCE" w14:textId="77777777">
        <w:trPr>
          <w:trHeight w:val="284"/>
          <w:jc w:val="center"/>
        </w:trPr>
        <w:tc>
          <w:tcPr>
            <w:tcW w:w="965" w:type="pct"/>
            <w:vMerge w:val="restart"/>
            <w:shd w:val="clear" w:color="auto" w:fill="auto"/>
            <w:vAlign w:val="center"/>
          </w:tcPr>
          <w:p w14:paraId="3C386468" w14:textId="77777777" w:rsidR="002133E3" w:rsidRDefault="00C22CFA">
            <w:pPr>
              <w:snapToGrid w:val="0"/>
              <w:jc w:val="center"/>
              <w:rPr>
                <w:rFonts w:ascii="Times New Roman" w:eastAsia="宋体" w:hAnsi="Times New Roman" w:cs="Times New Roman"/>
                <w:b/>
                <w:bCs/>
              </w:rPr>
            </w:pPr>
            <w:r>
              <w:rPr>
                <w:rFonts w:ascii="Times New Roman" w:eastAsia="宋体" w:hAnsi="Times New Roman" w:cs="Times New Roman"/>
                <w:b/>
                <w:bCs/>
              </w:rPr>
              <w:t>序号</w:t>
            </w:r>
          </w:p>
        </w:tc>
        <w:tc>
          <w:tcPr>
            <w:tcW w:w="817" w:type="pct"/>
            <w:vMerge w:val="restart"/>
            <w:shd w:val="clear" w:color="auto" w:fill="auto"/>
            <w:vAlign w:val="center"/>
          </w:tcPr>
          <w:p w14:paraId="5A70C9D7" w14:textId="77777777" w:rsidR="002133E3" w:rsidRDefault="00C22CFA">
            <w:pPr>
              <w:snapToGrid w:val="0"/>
              <w:jc w:val="center"/>
              <w:rPr>
                <w:rFonts w:ascii="Times New Roman" w:eastAsia="宋体" w:hAnsi="Times New Roman" w:cs="Times New Roman"/>
                <w:b/>
                <w:bCs/>
              </w:rPr>
            </w:pPr>
            <w:r>
              <w:rPr>
                <w:rFonts w:ascii="Times New Roman" w:eastAsia="宋体" w:hAnsi="Times New Roman" w:cs="Times New Roman"/>
                <w:b/>
                <w:bCs/>
              </w:rPr>
              <w:t>排放口编号</w:t>
            </w:r>
          </w:p>
        </w:tc>
        <w:tc>
          <w:tcPr>
            <w:tcW w:w="1213" w:type="pct"/>
            <w:vMerge w:val="restart"/>
            <w:shd w:val="clear" w:color="auto" w:fill="auto"/>
            <w:vAlign w:val="center"/>
          </w:tcPr>
          <w:p w14:paraId="33FC1D2A" w14:textId="77777777" w:rsidR="002133E3" w:rsidRDefault="00C22CFA">
            <w:pPr>
              <w:snapToGrid w:val="0"/>
              <w:jc w:val="center"/>
              <w:rPr>
                <w:rFonts w:ascii="Times New Roman" w:eastAsia="宋体" w:hAnsi="Times New Roman" w:cs="Times New Roman"/>
                <w:b/>
                <w:bCs/>
              </w:rPr>
            </w:pPr>
            <w:r>
              <w:rPr>
                <w:rFonts w:ascii="Times New Roman" w:eastAsia="宋体" w:hAnsi="Times New Roman" w:cs="Times New Roman"/>
                <w:b/>
                <w:bCs/>
              </w:rPr>
              <w:t>污染物种类</w:t>
            </w:r>
          </w:p>
        </w:tc>
        <w:tc>
          <w:tcPr>
            <w:tcW w:w="2005" w:type="pct"/>
            <w:gridSpan w:val="2"/>
            <w:shd w:val="clear" w:color="auto" w:fill="auto"/>
            <w:vAlign w:val="center"/>
          </w:tcPr>
          <w:p w14:paraId="69F7A8DA" w14:textId="77777777" w:rsidR="002133E3" w:rsidRDefault="00C22CFA">
            <w:pPr>
              <w:snapToGrid w:val="0"/>
              <w:jc w:val="center"/>
              <w:rPr>
                <w:rFonts w:ascii="Times New Roman" w:eastAsia="宋体" w:hAnsi="Times New Roman" w:cs="Times New Roman"/>
                <w:b/>
                <w:bCs/>
              </w:rPr>
            </w:pPr>
            <w:r>
              <w:rPr>
                <w:rFonts w:ascii="Times New Roman" w:eastAsia="宋体" w:hAnsi="Times New Roman" w:cs="Times New Roman"/>
                <w:b/>
                <w:bCs/>
              </w:rPr>
              <w:t>国家或地方污染物排放标准及其他按规定商定的排放协议</w:t>
            </w:r>
          </w:p>
        </w:tc>
      </w:tr>
      <w:tr w:rsidR="002133E3" w14:paraId="0131E3D8" w14:textId="77777777">
        <w:trPr>
          <w:trHeight w:val="284"/>
          <w:jc w:val="center"/>
        </w:trPr>
        <w:tc>
          <w:tcPr>
            <w:tcW w:w="965" w:type="pct"/>
            <w:vMerge/>
            <w:shd w:val="clear" w:color="auto" w:fill="auto"/>
            <w:vAlign w:val="center"/>
          </w:tcPr>
          <w:p w14:paraId="1F3ABF29" w14:textId="77777777" w:rsidR="002133E3" w:rsidRDefault="002133E3">
            <w:pPr>
              <w:snapToGrid w:val="0"/>
              <w:jc w:val="center"/>
              <w:rPr>
                <w:rFonts w:ascii="Times New Roman" w:eastAsia="宋体" w:hAnsi="Times New Roman" w:cs="Times New Roman"/>
                <w:b/>
                <w:bCs/>
              </w:rPr>
            </w:pPr>
          </w:p>
        </w:tc>
        <w:tc>
          <w:tcPr>
            <w:tcW w:w="817" w:type="pct"/>
            <w:vMerge/>
            <w:shd w:val="clear" w:color="auto" w:fill="auto"/>
            <w:vAlign w:val="center"/>
          </w:tcPr>
          <w:p w14:paraId="2BC43BE5" w14:textId="77777777" w:rsidR="002133E3" w:rsidRDefault="002133E3">
            <w:pPr>
              <w:snapToGrid w:val="0"/>
              <w:jc w:val="center"/>
              <w:rPr>
                <w:rFonts w:ascii="Times New Roman" w:eastAsia="宋体" w:hAnsi="Times New Roman" w:cs="Times New Roman"/>
                <w:b/>
                <w:bCs/>
              </w:rPr>
            </w:pPr>
          </w:p>
        </w:tc>
        <w:tc>
          <w:tcPr>
            <w:tcW w:w="1213" w:type="pct"/>
            <w:vMerge/>
            <w:shd w:val="clear" w:color="auto" w:fill="auto"/>
            <w:vAlign w:val="center"/>
          </w:tcPr>
          <w:p w14:paraId="223A9C48" w14:textId="77777777" w:rsidR="002133E3" w:rsidRDefault="002133E3">
            <w:pPr>
              <w:snapToGrid w:val="0"/>
              <w:jc w:val="center"/>
              <w:rPr>
                <w:rFonts w:ascii="Times New Roman" w:eastAsia="宋体" w:hAnsi="Times New Roman" w:cs="Times New Roman"/>
                <w:b/>
                <w:bCs/>
              </w:rPr>
            </w:pPr>
          </w:p>
        </w:tc>
        <w:tc>
          <w:tcPr>
            <w:tcW w:w="941" w:type="pct"/>
            <w:shd w:val="clear" w:color="auto" w:fill="auto"/>
            <w:vAlign w:val="center"/>
          </w:tcPr>
          <w:p w14:paraId="3D8A32B3" w14:textId="77777777" w:rsidR="002133E3" w:rsidRDefault="00C22CFA">
            <w:pPr>
              <w:snapToGrid w:val="0"/>
              <w:jc w:val="center"/>
              <w:rPr>
                <w:rFonts w:ascii="Times New Roman" w:eastAsia="宋体" w:hAnsi="Times New Roman" w:cs="Times New Roman"/>
                <w:b/>
                <w:bCs/>
              </w:rPr>
            </w:pPr>
            <w:r>
              <w:rPr>
                <w:rFonts w:ascii="Times New Roman" w:eastAsia="宋体" w:hAnsi="Times New Roman" w:cs="Times New Roman"/>
                <w:b/>
                <w:bCs/>
              </w:rPr>
              <w:t>名称</w:t>
            </w:r>
          </w:p>
        </w:tc>
        <w:tc>
          <w:tcPr>
            <w:tcW w:w="1064" w:type="pct"/>
            <w:shd w:val="clear" w:color="auto" w:fill="auto"/>
            <w:vAlign w:val="center"/>
          </w:tcPr>
          <w:p w14:paraId="79C7CDDF" w14:textId="77777777" w:rsidR="002133E3" w:rsidRDefault="00C22CFA">
            <w:pPr>
              <w:snapToGrid w:val="0"/>
              <w:jc w:val="center"/>
              <w:rPr>
                <w:rFonts w:ascii="Times New Roman" w:eastAsia="宋体" w:hAnsi="Times New Roman" w:cs="Times New Roman"/>
                <w:b/>
                <w:bCs/>
              </w:rPr>
            </w:pPr>
            <w:r>
              <w:rPr>
                <w:rFonts w:ascii="Times New Roman" w:eastAsia="宋体" w:hAnsi="Times New Roman" w:cs="Times New Roman"/>
                <w:b/>
                <w:bCs/>
              </w:rPr>
              <w:t>浓度限值</w:t>
            </w:r>
            <w:r>
              <w:rPr>
                <w:rFonts w:ascii="Times New Roman" w:eastAsia="宋体" w:hAnsi="Times New Roman" w:cs="Times New Roman"/>
                <w:b/>
                <w:bCs/>
              </w:rPr>
              <w:t>mg/l</w:t>
            </w:r>
          </w:p>
        </w:tc>
      </w:tr>
      <w:tr w:rsidR="002133E3" w14:paraId="5CFF05E2" w14:textId="77777777">
        <w:trPr>
          <w:trHeight w:val="284"/>
          <w:jc w:val="center"/>
        </w:trPr>
        <w:tc>
          <w:tcPr>
            <w:tcW w:w="965" w:type="pct"/>
            <w:vMerge w:val="restart"/>
            <w:shd w:val="clear" w:color="auto" w:fill="auto"/>
            <w:vAlign w:val="center"/>
          </w:tcPr>
          <w:p w14:paraId="71FE8472"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1</w:t>
            </w:r>
          </w:p>
        </w:tc>
        <w:tc>
          <w:tcPr>
            <w:tcW w:w="817" w:type="pct"/>
            <w:vMerge w:val="restart"/>
            <w:shd w:val="clear" w:color="auto" w:fill="auto"/>
            <w:vAlign w:val="center"/>
          </w:tcPr>
          <w:p w14:paraId="4C2C0559"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fldChar w:fldCharType="begin"/>
            </w:r>
            <w:r>
              <w:rPr>
                <w:rFonts w:ascii="Times New Roman" w:eastAsia="宋体" w:hAnsi="Times New Roman" w:cs="Times New Roman"/>
              </w:rPr>
              <w:instrText xml:space="preserve"> = 1 \* GB3 </w:instrText>
            </w:r>
            <w:r>
              <w:rPr>
                <w:rFonts w:ascii="Times New Roman" w:eastAsia="宋体" w:hAnsi="Times New Roman" w:cs="Times New Roman"/>
              </w:rPr>
              <w:fldChar w:fldCharType="separate"/>
            </w:r>
            <w:r>
              <w:rPr>
                <w:rFonts w:ascii="宋体" w:eastAsia="宋体" w:hAnsi="宋体" w:cs="宋体" w:hint="eastAsia"/>
              </w:rPr>
              <w:t>①</w:t>
            </w:r>
            <w:r>
              <w:rPr>
                <w:rFonts w:ascii="Times New Roman" w:eastAsia="宋体" w:hAnsi="Times New Roman" w:cs="Times New Roman"/>
              </w:rPr>
              <w:fldChar w:fldCharType="end"/>
            </w:r>
          </w:p>
        </w:tc>
        <w:tc>
          <w:tcPr>
            <w:tcW w:w="1213" w:type="pct"/>
            <w:shd w:val="clear" w:color="auto" w:fill="auto"/>
            <w:vAlign w:val="center"/>
          </w:tcPr>
          <w:p w14:paraId="4FD5F6FB"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pH</w:t>
            </w:r>
            <w:r>
              <w:rPr>
                <w:rFonts w:ascii="Times New Roman" w:eastAsia="宋体" w:hAnsi="Times New Roman" w:cs="Times New Roman"/>
              </w:rPr>
              <w:t>值</w:t>
            </w:r>
          </w:p>
        </w:tc>
        <w:tc>
          <w:tcPr>
            <w:tcW w:w="941" w:type="pct"/>
            <w:vMerge w:val="restart"/>
            <w:shd w:val="clear" w:color="auto" w:fill="auto"/>
            <w:vAlign w:val="center"/>
          </w:tcPr>
          <w:p w14:paraId="5E70D83E"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kern w:val="0"/>
                <w:szCs w:val="21"/>
              </w:rPr>
              <w:t>《发酵酒精和白酒工业水污染物排放标准》</w:t>
            </w:r>
            <w:r>
              <w:rPr>
                <w:rFonts w:ascii="Times New Roman" w:eastAsia="宋体" w:hAnsi="Times New Roman" w:cs="Times New Roman"/>
                <w:kern w:val="0"/>
                <w:szCs w:val="21"/>
              </w:rPr>
              <w:t>(GB27631-2011)</w:t>
            </w:r>
          </w:p>
        </w:tc>
        <w:tc>
          <w:tcPr>
            <w:tcW w:w="1064" w:type="pct"/>
            <w:shd w:val="clear" w:color="auto" w:fill="auto"/>
            <w:vAlign w:val="center"/>
          </w:tcPr>
          <w:p w14:paraId="2A24B34B"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6</w:t>
            </w:r>
            <w:r>
              <w:rPr>
                <w:rFonts w:ascii="Times New Roman" w:eastAsia="宋体" w:hAnsi="Times New Roman" w:cs="Times New Roman"/>
              </w:rPr>
              <w:t>～</w:t>
            </w:r>
            <w:r>
              <w:rPr>
                <w:rFonts w:ascii="Times New Roman" w:eastAsia="宋体" w:hAnsi="Times New Roman" w:cs="Times New Roman"/>
              </w:rPr>
              <w:t>9</w:t>
            </w:r>
          </w:p>
        </w:tc>
      </w:tr>
      <w:tr w:rsidR="002133E3" w14:paraId="55B4D065" w14:textId="77777777">
        <w:trPr>
          <w:trHeight w:val="284"/>
          <w:jc w:val="center"/>
        </w:trPr>
        <w:tc>
          <w:tcPr>
            <w:tcW w:w="965" w:type="pct"/>
            <w:vMerge/>
            <w:shd w:val="clear" w:color="auto" w:fill="auto"/>
            <w:vAlign w:val="center"/>
          </w:tcPr>
          <w:p w14:paraId="3E918D70" w14:textId="77777777" w:rsidR="002133E3" w:rsidRDefault="002133E3">
            <w:pPr>
              <w:snapToGrid w:val="0"/>
              <w:jc w:val="center"/>
              <w:rPr>
                <w:rFonts w:ascii="Times New Roman" w:eastAsia="宋体" w:hAnsi="Times New Roman" w:cs="Times New Roman"/>
              </w:rPr>
            </w:pPr>
          </w:p>
        </w:tc>
        <w:tc>
          <w:tcPr>
            <w:tcW w:w="817" w:type="pct"/>
            <w:vMerge/>
            <w:shd w:val="clear" w:color="auto" w:fill="auto"/>
            <w:vAlign w:val="center"/>
          </w:tcPr>
          <w:p w14:paraId="70EBCF76" w14:textId="77777777" w:rsidR="002133E3" w:rsidRDefault="002133E3">
            <w:pPr>
              <w:snapToGrid w:val="0"/>
              <w:jc w:val="center"/>
              <w:rPr>
                <w:rFonts w:ascii="Times New Roman" w:eastAsia="宋体" w:hAnsi="Times New Roman" w:cs="Times New Roman"/>
              </w:rPr>
            </w:pPr>
          </w:p>
        </w:tc>
        <w:tc>
          <w:tcPr>
            <w:tcW w:w="1213" w:type="pct"/>
            <w:shd w:val="clear" w:color="auto" w:fill="auto"/>
            <w:vAlign w:val="center"/>
          </w:tcPr>
          <w:p w14:paraId="2182D08A" w14:textId="77777777" w:rsidR="002133E3" w:rsidRDefault="00C22CFA">
            <w:pPr>
              <w:snapToGrid w:val="0"/>
              <w:jc w:val="center"/>
              <w:rPr>
                <w:rFonts w:ascii="Times New Roman" w:eastAsia="宋体" w:hAnsi="Times New Roman" w:cs="Times New Roman"/>
              </w:rPr>
            </w:pPr>
            <w:proofErr w:type="spellStart"/>
            <w:r>
              <w:rPr>
                <w:rFonts w:ascii="Times New Roman" w:eastAsia="宋体" w:hAnsi="Times New Roman" w:cs="Times New Roman"/>
              </w:rPr>
              <w:t>CODcr</w:t>
            </w:r>
            <w:proofErr w:type="spellEnd"/>
            <w:r>
              <w:rPr>
                <w:rFonts w:ascii="Times New Roman" w:eastAsia="宋体" w:hAnsi="Times New Roman" w:cs="Times New Roman"/>
              </w:rPr>
              <w:t>≤</w:t>
            </w:r>
          </w:p>
        </w:tc>
        <w:tc>
          <w:tcPr>
            <w:tcW w:w="941" w:type="pct"/>
            <w:vMerge/>
            <w:shd w:val="clear" w:color="auto" w:fill="auto"/>
            <w:vAlign w:val="center"/>
          </w:tcPr>
          <w:p w14:paraId="3286FC8D" w14:textId="77777777" w:rsidR="002133E3" w:rsidRDefault="002133E3">
            <w:pPr>
              <w:snapToGrid w:val="0"/>
              <w:jc w:val="center"/>
              <w:rPr>
                <w:rFonts w:ascii="Times New Roman" w:eastAsia="宋体" w:hAnsi="Times New Roman" w:cs="Times New Roman"/>
              </w:rPr>
            </w:pPr>
          </w:p>
        </w:tc>
        <w:tc>
          <w:tcPr>
            <w:tcW w:w="1064" w:type="pct"/>
            <w:shd w:val="clear" w:color="auto" w:fill="auto"/>
            <w:vAlign w:val="center"/>
          </w:tcPr>
          <w:p w14:paraId="7F936C75"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400</w:t>
            </w:r>
          </w:p>
        </w:tc>
      </w:tr>
      <w:tr w:rsidR="002133E3" w14:paraId="2161A8ED" w14:textId="77777777">
        <w:trPr>
          <w:trHeight w:val="284"/>
          <w:jc w:val="center"/>
        </w:trPr>
        <w:tc>
          <w:tcPr>
            <w:tcW w:w="965" w:type="pct"/>
            <w:vMerge/>
            <w:shd w:val="clear" w:color="auto" w:fill="auto"/>
            <w:vAlign w:val="center"/>
          </w:tcPr>
          <w:p w14:paraId="14AB9154" w14:textId="77777777" w:rsidR="002133E3" w:rsidRDefault="002133E3">
            <w:pPr>
              <w:snapToGrid w:val="0"/>
              <w:jc w:val="center"/>
              <w:rPr>
                <w:rFonts w:ascii="Times New Roman" w:eastAsia="宋体" w:hAnsi="Times New Roman" w:cs="Times New Roman"/>
              </w:rPr>
            </w:pPr>
          </w:p>
        </w:tc>
        <w:tc>
          <w:tcPr>
            <w:tcW w:w="817" w:type="pct"/>
            <w:vMerge/>
            <w:shd w:val="clear" w:color="auto" w:fill="auto"/>
            <w:vAlign w:val="center"/>
          </w:tcPr>
          <w:p w14:paraId="14F306CE" w14:textId="77777777" w:rsidR="002133E3" w:rsidRDefault="002133E3">
            <w:pPr>
              <w:snapToGrid w:val="0"/>
              <w:jc w:val="center"/>
              <w:rPr>
                <w:rFonts w:ascii="Times New Roman" w:eastAsia="宋体" w:hAnsi="Times New Roman" w:cs="Times New Roman"/>
              </w:rPr>
            </w:pPr>
          </w:p>
        </w:tc>
        <w:tc>
          <w:tcPr>
            <w:tcW w:w="1213" w:type="pct"/>
            <w:shd w:val="clear" w:color="auto" w:fill="auto"/>
            <w:vAlign w:val="center"/>
          </w:tcPr>
          <w:p w14:paraId="4A58C4A8"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悬浮物</w:t>
            </w:r>
            <w:r>
              <w:rPr>
                <w:rFonts w:ascii="Times New Roman" w:eastAsia="宋体" w:hAnsi="Times New Roman" w:cs="Times New Roman"/>
              </w:rPr>
              <w:t>≤</w:t>
            </w:r>
          </w:p>
        </w:tc>
        <w:tc>
          <w:tcPr>
            <w:tcW w:w="941" w:type="pct"/>
            <w:vMerge/>
            <w:shd w:val="clear" w:color="auto" w:fill="auto"/>
            <w:vAlign w:val="center"/>
          </w:tcPr>
          <w:p w14:paraId="4A7D473C" w14:textId="77777777" w:rsidR="002133E3" w:rsidRDefault="002133E3">
            <w:pPr>
              <w:snapToGrid w:val="0"/>
              <w:jc w:val="center"/>
              <w:rPr>
                <w:rFonts w:ascii="Times New Roman" w:eastAsia="宋体" w:hAnsi="Times New Roman" w:cs="Times New Roman"/>
              </w:rPr>
            </w:pPr>
          </w:p>
        </w:tc>
        <w:tc>
          <w:tcPr>
            <w:tcW w:w="1064" w:type="pct"/>
            <w:shd w:val="clear" w:color="auto" w:fill="auto"/>
            <w:vAlign w:val="center"/>
          </w:tcPr>
          <w:p w14:paraId="43229958"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140</w:t>
            </w:r>
          </w:p>
        </w:tc>
      </w:tr>
      <w:tr w:rsidR="002133E3" w14:paraId="1CE00F51" w14:textId="77777777">
        <w:trPr>
          <w:trHeight w:val="284"/>
          <w:jc w:val="center"/>
        </w:trPr>
        <w:tc>
          <w:tcPr>
            <w:tcW w:w="965" w:type="pct"/>
            <w:vMerge/>
            <w:shd w:val="clear" w:color="auto" w:fill="auto"/>
            <w:vAlign w:val="center"/>
          </w:tcPr>
          <w:p w14:paraId="3A9A4B6A" w14:textId="77777777" w:rsidR="002133E3" w:rsidRDefault="002133E3">
            <w:pPr>
              <w:snapToGrid w:val="0"/>
              <w:jc w:val="center"/>
              <w:rPr>
                <w:rFonts w:ascii="Times New Roman" w:eastAsia="宋体" w:hAnsi="Times New Roman" w:cs="Times New Roman"/>
              </w:rPr>
            </w:pPr>
          </w:p>
        </w:tc>
        <w:tc>
          <w:tcPr>
            <w:tcW w:w="817" w:type="pct"/>
            <w:vMerge/>
            <w:shd w:val="clear" w:color="auto" w:fill="auto"/>
            <w:vAlign w:val="center"/>
          </w:tcPr>
          <w:p w14:paraId="4C4BE7A4" w14:textId="77777777" w:rsidR="002133E3" w:rsidRDefault="002133E3">
            <w:pPr>
              <w:snapToGrid w:val="0"/>
              <w:jc w:val="center"/>
              <w:rPr>
                <w:rFonts w:ascii="Times New Roman" w:eastAsia="宋体" w:hAnsi="Times New Roman" w:cs="Times New Roman"/>
              </w:rPr>
            </w:pPr>
          </w:p>
        </w:tc>
        <w:tc>
          <w:tcPr>
            <w:tcW w:w="1213" w:type="pct"/>
            <w:shd w:val="clear" w:color="auto" w:fill="auto"/>
            <w:vAlign w:val="center"/>
          </w:tcPr>
          <w:p w14:paraId="17025905"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氨氮</w:t>
            </w:r>
            <w:r>
              <w:rPr>
                <w:rFonts w:ascii="Times New Roman" w:eastAsia="宋体" w:hAnsi="Times New Roman" w:cs="Times New Roman"/>
              </w:rPr>
              <w:t>≤</w:t>
            </w:r>
          </w:p>
        </w:tc>
        <w:tc>
          <w:tcPr>
            <w:tcW w:w="941" w:type="pct"/>
            <w:vMerge/>
            <w:shd w:val="clear" w:color="auto" w:fill="auto"/>
            <w:vAlign w:val="center"/>
          </w:tcPr>
          <w:p w14:paraId="501DD182" w14:textId="77777777" w:rsidR="002133E3" w:rsidRDefault="002133E3">
            <w:pPr>
              <w:snapToGrid w:val="0"/>
              <w:jc w:val="center"/>
              <w:rPr>
                <w:rFonts w:ascii="Times New Roman" w:eastAsia="宋体" w:hAnsi="Times New Roman" w:cs="Times New Roman"/>
              </w:rPr>
            </w:pPr>
          </w:p>
        </w:tc>
        <w:tc>
          <w:tcPr>
            <w:tcW w:w="1064" w:type="pct"/>
            <w:shd w:val="clear" w:color="auto" w:fill="auto"/>
            <w:vAlign w:val="center"/>
          </w:tcPr>
          <w:p w14:paraId="22FB4703"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30</w:t>
            </w:r>
          </w:p>
        </w:tc>
      </w:tr>
      <w:tr w:rsidR="002133E3" w14:paraId="5D7A6CB9" w14:textId="77777777">
        <w:trPr>
          <w:trHeight w:val="284"/>
          <w:jc w:val="center"/>
        </w:trPr>
        <w:tc>
          <w:tcPr>
            <w:tcW w:w="965" w:type="pct"/>
            <w:vMerge/>
            <w:shd w:val="clear" w:color="auto" w:fill="auto"/>
            <w:vAlign w:val="center"/>
          </w:tcPr>
          <w:p w14:paraId="5AB84601" w14:textId="77777777" w:rsidR="002133E3" w:rsidRDefault="002133E3">
            <w:pPr>
              <w:snapToGrid w:val="0"/>
              <w:jc w:val="center"/>
              <w:rPr>
                <w:rFonts w:ascii="Times New Roman" w:eastAsia="宋体" w:hAnsi="Times New Roman" w:cs="Times New Roman"/>
              </w:rPr>
            </w:pPr>
          </w:p>
        </w:tc>
        <w:tc>
          <w:tcPr>
            <w:tcW w:w="817" w:type="pct"/>
            <w:vMerge/>
            <w:shd w:val="clear" w:color="auto" w:fill="auto"/>
            <w:vAlign w:val="center"/>
          </w:tcPr>
          <w:p w14:paraId="6A627B50" w14:textId="77777777" w:rsidR="002133E3" w:rsidRDefault="002133E3">
            <w:pPr>
              <w:snapToGrid w:val="0"/>
              <w:jc w:val="center"/>
              <w:rPr>
                <w:rFonts w:ascii="Times New Roman" w:eastAsia="宋体" w:hAnsi="Times New Roman" w:cs="Times New Roman"/>
              </w:rPr>
            </w:pPr>
          </w:p>
        </w:tc>
        <w:tc>
          <w:tcPr>
            <w:tcW w:w="1213" w:type="pct"/>
            <w:shd w:val="clear" w:color="auto" w:fill="auto"/>
            <w:vAlign w:val="center"/>
          </w:tcPr>
          <w:p w14:paraId="5F219BEE"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总磷</w:t>
            </w:r>
            <w:r>
              <w:rPr>
                <w:rFonts w:ascii="Times New Roman" w:eastAsia="宋体" w:hAnsi="Times New Roman" w:cs="Times New Roman"/>
              </w:rPr>
              <w:t>≤</w:t>
            </w:r>
          </w:p>
        </w:tc>
        <w:tc>
          <w:tcPr>
            <w:tcW w:w="941" w:type="pct"/>
            <w:vMerge/>
            <w:shd w:val="clear" w:color="auto" w:fill="auto"/>
            <w:vAlign w:val="center"/>
          </w:tcPr>
          <w:p w14:paraId="2767DA92" w14:textId="77777777" w:rsidR="002133E3" w:rsidRDefault="002133E3">
            <w:pPr>
              <w:snapToGrid w:val="0"/>
              <w:jc w:val="center"/>
              <w:rPr>
                <w:rFonts w:ascii="Times New Roman" w:eastAsia="宋体" w:hAnsi="Times New Roman" w:cs="Times New Roman"/>
              </w:rPr>
            </w:pPr>
          </w:p>
        </w:tc>
        <w:tc>
          <w:tcPr>
            <w:tcW w:w="1064" w:type="pct"/>
            <w:shd w:val="clear" w:color="auto" w:fill="auto"/>
            <w:vAlign w:val="center"/>
          </w:tcPr>
          <w:p w14:paraId="5638D619"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3.0</w:t>
            </w:r>
          </w:p>
        </w:tc>
      </w:tr>
      <w:tr w:rsidR="002133E3" w14:paraId="5497B23D" w14:textId="77777777">
        <w:trPr>
          <w:trHeight w:val="284"/>
          <w:jc w:val="center"/>
        </w:trPr>
        <w:tc>
          <w:tcPr>
            <w:tcW w:w="965" w:type="pct"/>
            <w:vMerge/>
            <w:shd w:val="clear" w:color="auto" w:fill="auto"/>
            <w:vAlign w:val="center"/>
          </w:tcPr>
          <w:p w14:paraId="3CA9E7C6" w14:textId="77777777" w:rsidR="002133E3" w:rsidRDefault="002133E3">
            <w:pPr>
              <w:snapToGrid w:val="0"/>
              <w:jc w:val="center"/>
              <w:rPr>
                <w:rFonts w:ascii="Times New Roman" w:eastAsia="宋体" w:hAnsi="Times New Roman" w:cs="Times New Roman"/>
              </w:rPr>
            </w:pPr>
          </w:p>
        </w:tc>
        <w:tc>
          <w:tcPr>
            <w:tcW w:w="817" w:type="pct"/>
            <w:vMerge/>
            <w:shd w:val="clear" w:color="auto" w:fill="auto"/>
            <w:vAlign w:val="center"/>
          </w:tcPr>
          <w:p w14:paraId="5D2D665A" w14:textId="77777777" w:rsidR="002133E3" w:rsidRDefault="002133E3">
            <w:pPr>
              <w:snapToGrid w:val="0"/>
              <w:jc w:val="center"/>
              <w:rPr>
                <w:rFonts w:ascii="Times New Roman" w:eastAsia="宋体" w:hAnsi="Times New Roman" w:cs="Times New Roman"/>
              </w:rPr>
            </w:pPr>
          </w:p>
        </w:tc>
        <w:tc>
          <w:tcPr>
            <w:tcW w:w="1213" w:type="pct"/>
            <w:shd w:val="clear" w:color="auto" w:fill="auto"/>
            <w:vAlign w:val="center"/>
          </w:tcPr>
          <w:p w14:paraId="31BC7937"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总氮</w:t>
            </w:r>
            <w:r>
              <w:rPr>
                <w:rFonts w:ascii="Times New Roman" w:eastAsia="宋体" w:hAnsi="Times New Roman" w:cs="Times New Roman"/>
              </w:rPr>
              <w:t>≤</w:t>
            </w:r>
          </w:p>
        </w:tc>
        <w:tc>
          <w:tcPr>
            <w:tcW w:w="941" w:type="pct"/>
            <w:vMerge/>
            <w:shd w:val="clear" w:color="auto" w:fill="auto"/>
            <w:vAlign w:val="center"/>
          </w:tcPr>
          <w:p w14:paraId="268309C0" w14:textId="77777777" w:rsidR="002133E3" w:rsidRDefault="002133E3">
            <w:pPr>
              <w:snapToGrid w:val="0"/>
              <w:jc w:val="center"/>
              <w:rPr>
                <w:rFonts w:ascii="Times New Roman" w:eastAsia="宋体" w:hAnsi="Times New Roman" w:cs="Times New Roman"/>
              </w:rPr>
            </w:pPr>
          </w:p>
        </w:tc>
        <w:tc>
          <w:tcPr>
            <w:tcW w:w="1064" w:type="pct"/>
            <w:shd w:val="clear" w:color="auto" w:fill="auto"/>
            <w:vAlign w:val="center"/>
          </w:tcPr>
          <w:p w14:paraId="0C19CB44"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50</w:t>
            </w:r>
          </w:p>
        </w:tc>
      </w:tr>
      <w:tr w:rsidR="002133E3" w14:paraId="23AEA0AD" w14:textId="77777777">
        <w:trPr>
          <w:trHeight w:val="284"/>
          <w:jc w:val="center"/>
        </w:trPr>
        <w:tc>
          <w:tcPr>
            <w:tcW w:w="965" w:type="pct"/>
            <w:vMerge/>
            <w:shd w:val="clear" w:color="auto" w:fill="auto"/>
            <w:vAlign w:val="center"/>
          </w:tcPr>
          <w:p w14:paraId="5A9DB363" w14:textId="77777777" w:rsidR="002133E3" w:rsidRDefault="002133E3">
            <w:pPr>
              <w:snapToGrid w:val="0"/>
              <w:jc w:val="center"/>
              <w:rPr>
                <w:rFonts w:ascii="Times New Roman" w:eastAsia="宋体" w:hAnsi="Times New Roman" w:cs="Times New Roman"/>
              </w:rPr>
            </w:pPr>
          </w:p>
        </w:tc>
        <w:tc>
          <w:tcPr>
            <w:tcW w:w="817" w:type="pct"/>
            <w:vMerge/>
            <w:shd w:val="clear" w:color="auto" w:fill="auto"/>
            <w:vAlign w:val="center"/>
          </w:tcPr>
          <w:p w14:paraId="6EF7C603" w14:textId="77777777" w:rsidR="002133E3" w:rsidRDefault="002133E3">
            <w:pPr>
              <w:snapToGrid w:val="0"/>
              <w:jc w:val="center"/>
              <w:rPr>
                <w:rFonts w:ascii="Times New Roman" w:eastAsia="宋体" w:hAnsi="Times New Roman" w:cs="Times New Roman"/>
              </w:rPr>
            </w:pPr>
          </w:p>
        </w:tc>
        <w:tc>
          <w:tcPr>
            <w:tcW w:w="1213" w:type="pct"/>
            <w:shd w:val="clear" w:color="auto" w:fill="auto"/>
            <w:vAlign w:val="center"/>
          </w:tcPr>
          <w:p w14:paraId="32745441" w14:textId="77777777" w:rsidR="002133E3" w:rsidRDefault="00C22CFA">
            <w:pPr>
              <w:snapToGrid w:val="0"/>
              <w:jc w:val="center"/>
              <w:rPr>
                <w:rFonts w:ascii="Times New Roman" w:eastAsia="宋体" w:hAnsi="Times New Roman" w:cs="Times New Roman"/>
                <w:bCs/>
              </w:rPr>
            </w:pPr>
            <w:r>
              <w:rPr>
                <w:rFonts w:ascii="Times New Roman" w:eastAsia="宋体" w:hAnsi="Times New Roman" w:cs="Times New Roman"/>
                <w:bCs/>
                <w:kern w:val="0"/>
                <w:szCs w:val="21"/>
              </w:rPr>
              <w:t>乙醇</w:t>
            </w:r>
            <w:r>
              <w:rPr>
                <w:rFonts w:ascii="Times New Roman" w:eastAsia="宋体" w:hAnsi="Times New Roman" w:cs="Times New Roman"/>
                <w:bCs/>
                <w:kern w:val="0"/>
                <w:szCs w:val="21"/>
              </w:rPr>
              <w:t>*</w:t>
            </w:r>
          </w:p>
        </w:tc>
        <w:tc>
          <w:tcPr>
            <w:tcW w:w="941" w:type="pct"/>
            <w:vMerge/>
            <w:shd w:val="clear" w:color="auto" w:fill="auto"/>
            <w:vAlign w:val="center"/>
          </w:tcPr>
          <w:p w14:paraId="33D1227F" w14:textId="77777777" w:rsidR="002133E3" w:rsidRDefault="002133E3">
            <w:pPr>
              <w:snapToGrid w:val="0"/>
              <w:jc w:val="center"/>
              <w:rPr>
                <w:rFonts w:ascii="Times New Roman" w:eastAsia="宋体" w:hAnsi="Times New Roman" w:cs="Times New Roman"/>
              </w:rPr>
            </w:pPr>
          </w:p>
        </w:tc>
        <w:tc>
          <w:tcPr>
            <w:tcW w:w="1064" w:type="pct"/>
            <w:shd w:val="clear" w:color="auto" w:fill="auto"/>
            <w:vAlign w:val="center"/>
          </w:tcPr>
          <w:p w14:paraId="792536A7" w14:textId="77777777" w:rsidR="002133E3" w:rsidRDefault="00C22CFA">
            <w:pPr>
              <w:snapToGrid w:val="0"/>
              <w:jc w:val="center"/>
              <w:rPr>
                <w:rFonts w:ascii="Times New Roman" w:eastAsia="宋体" w:hAnsi="Times New Roman" w:cs="Times New Roman"/>
              </w:rPr>
            </w:pPr>
            <w:r>
              <w:rPr>
                <w:rFonts w:ascii="Times New Roman" w:eastAsia="宋体" w:hAnsi="Times New Roman" w:cs="Times New Roman"/>
              </w:rPr>
              <w:t>0.5</w:t>
            </w:r>
          </w:p>
        </w:tc>
      </w:tr>
    </w:tbl>
    <w:p w14:paraId="7D56D7FF" w14:textId="77777777" w:rsidR="002133E3" w:rsidRDefault="00C22CFA">
      <w:pPr>
        <w:adjustRightInd w:val="0"/>
        <w:snapToGrid w:val="0"/>
        <w:jc w:val="left"/>
        <w:rPr>
          <w:rFonts w:ascii="Times New Roman" w:eastAsia="宋体" w:hAnsi="Times New Roman" w:cs="Times New Roman"/>
          <w:b/>
          <w:szCs w:val="21"/>
        </w:rPr>
      </w:pPr>
      <w:r>
        <w:rPr>
          <w:rFonts w:ascii="Times New Roman" w:eastAsia="宋体" w:hAnsi="Times New Roman" w:cs="Times New Roman"/>
          <w:szCs w:val="21"/>
        </w:rPr>
        <w:t>注：</w:t>
      </w:r>
      <w:r>
        <w:rPr>
          <w:rFonts w:ascii="Times New Roman" w:eastAsia="宋体" w:hAnsi="Times New Roman" w:cs="Times New Roman"/>
          <w:bCs/>
          <w:kern w:val="0"/>
          <w:szCs w:val="21"/>
        </w:rPr>
        <w:t>*</w:t>
      </w:r>
      <w:r>
        <w:rPr>
          <w:rFonts w:ascii="Times New Roman" w:eastAsia="宋体" w:hAnsi="Times New Roman" w:cs="Times New Roman"/>
          <w:kern w:val="0"/>
          <w:szCs w:val="21"/>
        </w:rPr>
        <w:t>乙醇参照执行《石油化学工业污染物排放标准》</w:t>
      </w:r>
      <w:r>
        <w:rPr>
          <w:rFonts w:ascii="Times New Roman" w:eastAsia="宋体" w:hAnsi="Times New Roman" w:cs="Times New Roman"/>
          <w:kern w:val="0"/>
          <w:szCs w:val="21"/>
        </w:rPr>
        <w:t>(GB31571-2015)</w:t>
      </w:r>
    </w:p>
    <w:p w14:paraId="07A958F6" w14:textId="77777777" w:rsidR="002133E3" w:rsidRDefault="002133E3">
      <w:pPr>
        <w:tabs>
          <w:tab w:val="left" w:pos="3600"/>
        </w:tabs>
        <w:spacing w:line="500" w:lineRule="exact"/>
        <w:ind w:firstLineChars="200" w:firstLine="560"/>
        <w:rPr>
          <w:rFonts w:ascii="Times New Roman" w:eastAsia="宋体" w:hAnsi="Times New Roman" w:cs="Times New Roman"/>
          <w:sz w:val="28"/>
          <w:szCs w:val="28"/>
        </w:rPr>
        <w:sectPr w:rsidR="002133E3">
          <w:pgSz w:w="16838" w:h="11906" w:orient="landscape"/>
          <w:pgMar w:top="1134" w:right="1134" w:bottom="1134" w:left="1134" w:header="851" w:footer="992" w:gutter="0"/>
          <w:cols w:space="425"/>
          <w:docGrid w:type="linesAndChars" w:linePitch="312"/>
        </w:sectPr>
      </w:pPr>
    </w:p>
    <w:p w14:paraId="06C68AA5" w14:textId="77777777" w:rsidR="002133E3" w:rsidRDefault="00C22CFA">
      <w:pPr>
        <w:snapToGrid w:val="0"/>
        <w:spacing w:line="500" w:lineRule="atLeast"/>
        <w:ind w:firstLineChars="200" w:firstLine="562"/>
        <w:rPr>
          <w:rFonts w:ascii="Times New Roman" w:eastAsia="宋体" w:hAnsi="Times New Roman" w:cs="Times New Roman"/>
          <w:b/>
          <w:bCs/>
          <w:color w:val="0D0D0D"/>
          <w:sz w:val="28"/>
          <w:szCs w:val="28"/>
        </w:rPr>
      </w:pPr>
      <w:r>
        <w:rPr>
          <w:rFonts w:ascii="Times New Roman" w:eastAsia="宋体" w:hAnsi="Times New Roman" w:cs="Times New Roman"/>
          <w:b/>
          <w:bCs/>
          <w:color w:val="0D0D0D"/>
          <w:sz w:val="28"/>
          <w:szCs w:val="28"/>
        </w:rPr>
        <w:lastRenderedPageBreak/>
        <w:t xml:space="preserve">(3) </w:t>
      </w:r>
      <w:r>
        <w:rPr>
          <w:rFonts w:ascii="Times New Roman" w:eastAsia="宋体" w:hAnsi="Times New Roman" w:cs="Times New Roman"/>
          <w:b/>
          <w:bCs/>
          <w:color w:val="0D0D0D"/>
          <w:sz w:val="28"/>
          <w:szCs w:val="28"/>
        </w:rPr>
        <w:t>废水污染物排放信息</w:t>
      </w:r>
    </w:p>
    <w:p w14:paraId="09C1950A" w14:textId="77777777" w:rsidR="002133E3" w:rsidRDefault="00C22CFA">
      <w:pPr>
        <w:snapToGrid w:val="0"/>
        <w:spacing w:line="500" w:lineRule="atLeast"/>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6.3-4  </w:t>
      </w:r>
      <w:r>
        <w:rPr>
          <w:rFonts w:ascii="Times New Roman" w:eastAsia="宋体" w:hAnsi="Times New Roman" w:cs="Times New Roman"/>
          <w:b/>
          <w:bCs/>
          <w:sz w:val="24"/>
          <w:szCs w:val="24"/>
        </w:rPr>
        <w:t>废水污染物排放信息表</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4"/>
        <w:gridCol w:w="1471"/>
        <w:gridCol w:w="1599"/>
        <w:gridCol w:w="1733"/>
        <w:gridCol w:w="2144"/>
        <w:gridCol w:w="1733"/>
      </w:tblGrid>
      <w:tr w:rsidR="002133E3" w14:paraId="14B77333" w14:textId="77777777">
        <w:trPr>
          <w:jc w:val="center"/>
        </w:trPr>
        <w:tc>
          <w:tcPr>
            <w:tcW w:w="591" w:type="pct"/>
            <w:shd w:val="clear" w:color="auto" w:fill="auto"/>
            <w:vAlign w:val="center"/>
          </w:tcPr>
          <w:p w14:paraId="627F63D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747" w:type="pct"/>
            <w:shd w:val="clear" w:color="auto" w:fill="auto"/>
            <w:vAlign w:val="center"/>
          </w:tcPr>
          <w:p w14:paraId="4C262CA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排放口编号</w:t>
            </w:r>
          </w:p>
        </w:tc>
        <w:tc>
          <w:tcPr>
            <w:tcW w:w="812" w:type="pct"/>
            <w:shd w:val="clear" w:color="auto" w:fill="auto"/>
            <w:vAlign w:val="center"/>
          </w:tcPr>
          <w:p w14:paraId="6F8D1FE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污染物种类</w:t>
            </w:r>
          </w:p>
        </w:tc>
        <w:tc>
          <w:tcPr>
            <w:tcW w:w="880" w:type="pct"/>
            <w:shd w:val="clear" w:color="auto" w:fill="auto"/>
            <w:vAlign w:val="center"/>
          </w:tcPr>
          <w:p w14:paraId="140D8AB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排放浓度</w:t>
            </w:r>
            <w:r>
              <w:rPr>
                <w:rFonts w:ascii="Times New Roman" w:eastAsia="宋体" w:hAnsi="Times New Roman" w:cs="Times New Roman"/>
                <w:szCs w:val="21"/>
              </w:rPr>
              <w:t>mg/l</w:t>
            </w:r>
          </w:p>
        </w:tc>
        <w:tc>
          <w:tcPr>
            <w:tcW w:w="1089" w:type="pct"/>
            <w:shd w:val="clear" w:color="auto" w:fill="auto"/>
            <w:vAlign w:val="center"/>
          </w:tcPr>
          <w:p w14:paraId="668FE93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日排放量</w:t>
            </w:r>
            <w:r>
              <w:rPr>
                <w:rFonts w:ascii="Times New Roman" w:eastAsia="宋体" w:hAnsi="Times New Roman" w:cs="Times New Roman"/>
                <w:szCs w:val="21"/>
              </w:rPr>
              <w:t>kg/d</w:t>
            </w:r>
          </w:p>
        </w:tc>
        <w:tc>
          <w:tcPr>
            <w:tcW w:w="880" w:type="pct"/>
            <w:shd w:val="clear" w:color="auto" w:fill="auto"/>
            <w:vAlign w:val="center"/>
          </w:tcPr>
          <w:p w14:paraId="39F2050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年排放量</w:t>
            </w:r>
            <w:r>
              <w:rPr>
                <w:rFonts w:ascii="Times New Roman" w:eastAsia="宋体" w:hAnsi="Times New Roman" w:cs="Times New Roman"/>
                <w:szCs w:val="21"/>
              </w:rPr>
              <w:t>t/a</w:t>
            </w:r>
          </w:p>
        </w:tc>
      </w:tr>
      <w:tr w:rsidR="002133E3" w14:paraId="567966D3" w14:textId="77777777">
        <w:trPr>
          <w:trHeight w:val="90"/>
          <w:jc w:val="center"/>
        </w:trPr>
        <w:tc>
          <w:tcPr>
            <w:tcW w:w="591" w:type="pct"/>
            <w:vMerge w:val="restart"/>
            <w:shd w:val="clear" w:color="auto" w:fill="auto"/>
            <w:vAlign w:val="center"/>
          </w:tcPr>
          <w:p w14:paraId="5CCB31F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747" w:type="pct"/>
            <w:vMerge w:val="restart"/>
            <w:shd w:val="clear" w:color="auto" w:fill="auto"/>
            <w:vAlign w:val="center"/>
          </w:tcPr>
          <w:p w14:paraId="7A487A5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1 \* GB3 </w:instrText>
            </w:r>
            <w:r>
              <w:rPr>
                <w:rFonts w:ascii="Times New Roman" w:eastAsia="宋体" w:hAnsi="Times New Roman" w:cs="Times New Roman"/>
                <w:szCs w:val="21"/>
              </w:rPr>
              <w:fldChar w:fldCharType="separate"/>
            </w:r>
            <w:r>
              <w:rPr>
                <w:rFonts w:ascii="宋体" w:eastAsia="宋体" w:hAnsi="宋体" w:cs="宋体" w:hint="eastAsia"/>
                <w:szCs w:val="21"/>
              </w:rPr>
              <w:t>①</w:t>
            </w:r>
            <w:r>
              <w:rPr>
                <w:rFonts w:ascii="Times New Roman" w:eastAsia="宋体" w:hAnsi="Times New Roman" w:cs="Times New Roman"/>
                <w:szCs w:val="21"/>
              </w:rPr>
              <w:fldChar w:fldCharType="end"/>
            </w:r>
          </w:p>
        </w:tc>
        <w:tc>
          <w:tcPr>
            <w:tcW w:w="812" w:type="pct"/>
            <w:shd w:val="clear" w:color="auto" w:fill="auto"/>
            <w:vAlign w:val="center"/>
          </w:tcPr>
          <w:p w14:paraId="498947F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COD</w:t>
            </w:r>
          </w:p>
        </w:tc>
        <w:tc>
          <w:tcPr>
            <w:tcW w:w="880" w:type="pct"/>
            <w:shd w:val="clear" w:color="auto" w:fill="auto"/>
            <w:vAlign w:val="center"/>
          </w:tcPr>
          <w:p w14:paraId="329BE21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1089" w:type="pct"/>
            <w:shd w:val="clear" w:color="auto" w:fill="auto"/>
            <w:vAlign w:val="center"/>
          </w:tcPr>
          <w:p w14:paraId="213C9D9D"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1567.25</w:t>
            </w:r>
          </w:p>
        </w:tc>
        <w:tc>
          <w:tcPr>
            <w:tcW w:w="880" w:type="pct"/>
            <w:shd w:val="clear" w:color="auto" w:fill="auto"/>
            <w:vAlign w:val="center"/>
          </w:tcPr>
          <w:p w14:paraId="2D77580B"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470.18</w:t>
            </w:r>
          </w:p>
        </w:tc>
      </w:tr>
      <w:tr w:rsidR="002133E3" w14:paraId="0FFBB66B" w14:textId="77777777">
        <w:trPr>
          <w:jc w:val="center"/>
        </w:trPr>
        <w:tc>
          <w:tcPr>
            <w:tcW w:w="591" w:type="pct"/>
            <w:vMerge/>
            <w:shd w:val="clear" w:color="auto" w:fill="auto"/>
            <w:vAlign w:val="center"/>
          </w:tcPr>
          <w:p w14:paraId="0A6A9BC6" w14:textId="77777777" w:rsidR="002133E3" w:rsidRDefault="002133E3">
            <w:pPr>
              <w:jc w:val="center"/>
              <w:rPr>
                <w:rFonts w:ascii="Times New Roman" w:eastAsia="宋体" w:hAnsi="Times New Roman" w:cs="Times New Roman"/>
                <w:szCs w:val="21"/>
              </w:rPr>
            </w:pPr>
          </w:p>
        </w:tc>
        <w:tc>
          <w:tcPr>
            <w:tcW w:w="747" w:type="pct"/>
            <w:vMerge/>
            <w:shd w:val="clear" w:color="auto" w:fill="auto"/>
            <w:vAlign w:val="center"/>
          </w:tcPr>
          <w:p w14:paraId="36E6BCB8" w14:textId="77777777" w:rsidR="002133E3" w:rsidRDefault="002133E3">
            <w:pPr>
              <w:jc w:val="center"/>
              <w:rPr>
                <w:rFonts w:ascii="Times New Roman" w:eastAsia="宋体" w:hAnsi="Times New Roman" w:cs="Times New Roman"/>
                <w:szCs w:val="21"/>
              </w:rPr>
            </w:pPr>
          </w:p>
        </w:tc>
        <w:tc>
          <w:tcPr>
            <w:tcW w:w="812" w:type="pct"/>
            <w:shd w:val="clear" w:color="auto" w:fill="auto"/>
            <w:vAlign w:val="center"/>
          </w:tcPr>
          <w:p w14:paraId="4CE2A4C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SS</w:t>
            </w:r>
          </w:p>
        </w:tc>
        <w:tc>
          <w:tcPr>
            <w:tcW w:w="880" w:type="pct"/>
            <w:shd w:val="clear" w:color="auto" w:fill="auto"/>
            <w:vAlign w:val="center"/>
          </w:tcPr>
          <w:p w14:paraId="2DD745A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140</w:t>
            </w:r>
          </w:p>
        </w:tc>
        <w:tc>
          <w:tcPr>
            <w:tcW w:w="1089" w:type="pct"/>
            <w:shd w:val="clear" w:color="auto" w:fill="auto"/>
            <w:vAlign w:val="center"/>
          </w:tcPr>
          <w:p w14:paraId="3697BA5C"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548.54</w:t>
            </w:r>
          </w:p>
        </w:tc>
        <w:tc>
          <w:tcPr>
            <w:tcW w:w="880" w:type="pct"/>
            <w:shd w:val="clear" w:color="auto" w:fill="auto"/>
            <w:vAlign w:val="center"/>
          </w:tcPr>
          <w:p w14:paraId="75D53914"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164.56</w:t>
            </w:r>
          </w:p>
        </w:tc>
      </w:tr>
      <w:tr w:rsidR="002133E3" w14:paraId="41802730" w14:textId="77777777">
        <w:trPr>
          <w:jc w:val="center"/>
        </w:trPr>
        <w:tc>
          <w:tcPr>
            <w:tcW w:w="591" w:type="pct"/>
            <w:vMerge/>
            <w:shd w:val="clear" w:color="auto" w:fill="auto"/>
            <w:vAlign w:val="center"/>
          </w:tcPr>
          <w:p w14:paraId="4691EDFA" w14:textId="77777777" w:rsidR="002133E3" w:rsidRDefault="002133E3">
            <w:pPr>
              <w:jc w:val="center"/>
              <w:rPr>
                <w:rFonts w:ascii="Times New Roman" w:eastAsia="宋体" w:hAnsi="Times New Roman" w:cs="Times New Roman"/>
                <w:szCs w:val="21"/>
              </w:rPr>
            </w:pPr>
          </w:p>
        </w:tc>
        <w:tc>
          <w:tcPr>
            <w:tcW w:w="747" w:type="pct"/>
            <w:vMerge/>
            <w:shd w:val="clear" w:color="auto" w:fill="auto"/>
            <w:vAlign w:val="center"/>
          </w:tcPr>
          <w:p w14:paraId="6763781E" w14:textId="77777777" w:rsidR="002133E3" w:rsidRDefault="002133E3">
            <w:pPr>
              <w:jc w:val="center"/>
              <w:rPr>
                <w:rFonts w:ascii="Times New Roman" w:eastAsia="宋体" w:hAnsi="Times New Roman" w:cs="Times New Roman"/>
                <w:szCs w:val="21"/>
              </w:rPr>
            </w:pPr>
          </w:p>
        </w:tc>
        <w:tc>
          <w:tcPr>
            <w:tcW w:w="812" w:type="pct"/>
            <w:shd w:val="clear" w:color="auto" w:fill="auto"/>
            <w:vAlign w:val="center"/>
          </w:tcPr>
          <w:p w14:paraId="6E04111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总氮</w:t>
            </w:r>
          </w:p>
        </w:tc>
        <w:tc>
          <w:tcPr>
            <w:tcW w:w="880" w:type="pct"/>
            <w:shd w:val="clear" w:color="auto" w:fill="auto"/>
            <w:vAlign w:val="center"/>
          </w:tcPr>
          <w:p w14:paraId="2D111C7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50</w:t>
            </w:r>
          </w:p>
        </w:tc>
        <w:tc>
          <w:tcPr>
            <w:tcW w:w="1089" w:type="pct"/>
            <w:shd w:val="clear" w:color="auto" w:fill="auto"/>
            <w:vAlign w:val="center"/>
          </w:tcPr>
          <w:p w14:paraId="047DCB30"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195.91</w:t>
            </w:r>
          </w:p>
        </w:tc>
        <w:tc>
          <w:tcPr>
            <w:tcW w:w="880" w:type="pct"/>
            <w:shd w:val="clear" w:color="auto" w:fill="auto"/>
            <w:vAlign w:val="center"/>
          </w:tcPr>
          <w:p w14:paraId="68E8AEA0"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58.77</w:t>
            </w:r>
          </w:p>
        </w:tc>
      </w:tr>
      <w:tr w:rsidR="002133E3" w14:paraId="041352D5" w14:textId="77777777">
        <w:trPr>
          <w:jc w:val="center"/>
        </w:trPr>
        <w:tc>
          <w:tcPr>
            <w:tcW w:w="591" w:type="pct"/>
            <w:vMerge/>
            <w:shd w:val="clear" w:color="auto" w:fill="auto"/>
            <w:vAlign w:val="center"/>
          </w:tcPr>
          <w:p w14:paraId="6C6C27F6" w14:textId="77777777" w:rsidR="002133E3" w:rsidRDefault="002133E3">
            <w:pPr>
              <w:jc w:val="center"/>
              <w:rPr>
                <w:rFonts w:ascii="Times New Roman" w:eastAsia="宋体" w:hAnsi="Times New Roman" w:cs="Times New Roman"/>
                <w:szCs w:val="21"/>
              </w:rPr>
            </w:pPr>
          </w:p>
        </w:tc>
        <w:tc>
          <w:tcPr>
            <w:tcW w:w="747" w:type="pct"/>
            <w:vMerge/>
            <w:shd w:val="clear" w:color="auto" w:fill="auto"/>
            <w:vAlign w:val="center"/>
          </w:tcPr>
          <w:p w14:paraId="0C460C2B" w14:textId="77777777" w:rsidR="002133E3" w:rsidRDefault="002133E3">
            <w:pPr>
              <w:jc w:val="center"/>
              <w:rPr>
                <w:rFonts w:ascii="Times New Roman" w:eastAsia="宋体" w:hAnsi="Times New Roman" w:cs="Times New Roman"/>
                <w:szCs w:val="21"/>
              </w:rPr>
            </w:pPr>
          </w:p>
        </w:tc>
        <w:tc>
          <w:tcPr>
            <w:tcW w:w="812" w:type="pct"/>
            <w:shd w:val="clear" w:color="auto" w:fill="auto"/>
            <w:vAlign w:val="center"/>
          </w:tcPr>
          <w:p w14:paraId="764D949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氨氮</w:t>
            </w:r>
          </w:p>
        </w:tc>
        <w:tc>
          <w:tcPr>
            <w:tcW w:w="880" w:type="pct"/>
            <w:shd w:val="clear" w:color="auto" w:fill="auto"/>
            <w:vAlign w:val="center"/>
          </w:tcPr>
          <w:p w14:paraId="1949CC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30</w:t>
            </w:r>
          </w:p>
        </w:tc>
        <w:tc>
          <w:tcPr>
            <w:tcW w:w="1089" w:type="pct"/>
            <w:shd w:val="clear" w:color="auto" w:fill="auto"/>
            <w:vAlign w:val="center"/>
          </w:tcPr>
          <w:p w14:paraId="3F28EA3A"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117.54</w:t>
            </w:r>
          </w:p>
        </w:tc>
        <w:tc>
          <w:tcPr>
            <w:tcW w:w="880" w:type="pct"/>
            <w:shd w:val="clear" w:color="auto" w:fill="auto"/>
            <w:vAlign w:val="center"/>
          </w:tcPr>
          <w:p w14:paraId="1FAE7D8D"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35.26</w:t>
            </w:r>
          </w:p>
        </w:tc>
      </w:tr>
      <w:tr w:rsidR="002133E3" w14:paraId="59F3CDC6" w14:textId="77777777">
        <w:trPr>
          <w:jc w:val="center"/>
        </w:trPr>
        <w:tc>
          <w:tcPr>
            <w:tcW w:w="591" w:type="pct"/>
            <w:vMerge/>
            <w:shd w:val="clear" w:color="auto" w:fill="auto"/>
            <w:vAlign w:val="center"/>
          </w:tcPr>
          <w:p w14:paraId="745D693A" w14:textId="77777777" w:rsidR="002133E3" w:rsidRDefault="002133E3">
            <w:pPr>
              <w:jc w:val="center"/>
              <w:rPr>
                <w:rFonts w:ascii="Times New Roman" w:eastAsia="宋体" w:hAnsi="Times New Roman" w:cs="Times New Roman"/>
                <w:szCs w:val="21"/>
              </w:rPr>
            </w:pPr>
          </w:p>
        </w:tc>
        <w:tc>
          <w:tcPr>
            <w:tcW w:w="747" w:type="pct"/>
            <w:vMerge/>
            <w:shd w:val="clear" w:color="auto" w:fill="auto"/>
            <w:vAlign w:val="center"/>
          </w:tcPr>
          <w:p w14:paraId="3E9ACA96" w14:textId="77777777" w:rsidR="002133E3" w:rsidRDefault="002133E3">
            <w:pPr>
              <w:jc w:val="center"/>
              <w:rPr>
                <w:rFonts w:ascii="Times New Roman" w:eastAsia="宋体" w:hAnsi="Times New Roman" w:cs="Times New Roman"/>
                <w:szCs w:val="21"/>
              </w:rPr>
            </w:pPr>
          </w:p>
        </w:tc>
        <w:tc>
          <w:tcPr>
            <w:tcW w:w="812" w:type="pct"/>
            <w:shd w:val="clear" w:color="auto" w:fill="auto"/>
            <w:vAlign w:val="center"/>
          </w:tcPr>
          <w:p w14:paraId="535AA15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总磷</w:t>
            </w:r>
          </w:p>
        </w:tc>
        <w:tc>
          <w:tcPr>
            <w:tcW w:w="880" w:type="pct"/>
            <w:shd w:val="clear" w:color="auto" w:fill="auto"/>
            <w:vAlign w:val="center"/>
          </w:tcPr>
          <w:p w14:paraId="56ECD0C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3</w:t>
            </w:r>
          </w:p>
        </w:tc>
        <w:tc>
          <w:tcPr>
            <w:tcW w:w="1089" w:type="pct"/>
            <w:shd w:val="clear" w:color="auto" w:fill="auto"/>
            <w:vAlign w:val="center"/>
          </w:tcPr>
          <w:p w14:paraId="5611A53A"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11.75</w:t>
            </w:r>
          </w:p>
        </w:tc>
        <w:tc>
          <w:tcPr>
            <w:tcW w:w="880" w:type="pct"/>
            <w:shd w:val="clear" w:color="auto" w:fill="auto"/>
            <w:vAlign w:val="center"/>
          </w:tcPr>
          <w:p w14:paraId="7DFC7A7B" w14:textId="77777777" w:rsidR="002133E3" w:rsidRDefault="00C22CFA">
            <w:pPr>
              <w:jc w:val="center"/>
              <w:rPr>
                <w:rFonts w:ascii="Times New Roman" w:eastAsia="宋体" w:hAnsi="Times New Roman" w:cs="Times New Roman"/>
                <w:szCs w:val="21"/>
              </w:rPr>
            </w:pPr>
            <w:r>
              <w:rPr>
                <w:rFonts w:ascii="Times New Roman" w:eastAsia="等线" w:hAnsi="Times New Roman" w:cs="Times New Roman"/>
                <w:color w:val="000000"/>
                <w:szCs w:val="21"/>
              </w:rPr>
              <w:t>3.53</w:t>
            </w:r>
          </w:p>
        </w:tc>
      </w:tr>
      <w:tr w:rsidR="002133E3" w14:paraId="36D68AA4" w14:textId="77777777">
        <w:trPr>
          <w:jc w:val="center"/>
        </w:trPr>
        <w:tc>
          <w:tcPr>
            <w:tcW w:w="591" w:type="pct"/>
            <w:vMerge/>
            <w:shd w:val="clear" w:color="auto" w:fill="auto"/>
            <w:vAlign w:val="center"/>
          </w:tcPr>
          <w:p w14:paraId="7929FFF7" w14:textId="77777777" w:rsidR="002133E3" w:rsidRDefault="002133E3">
            <w:pPr>
              <w:jc w:val="center"/>
              <w:rPr>
                <w:rFonts w:ascii="Times New Roman" w:eastAsia="宋体" w:hAnsi="Times New Roman" w:cs="Times New Roman"/>
                <w:szCs w:val="21"/>
              </w:rPr>
            </w:pPr>
          </w:p>
        </w:tc>
        <w:tc>
          <w:tcPr>
            <w:tcW w:w="747" w:type="pct"/>
            <w:vMerge/>
            <w:shd w:val="clear" w:color="auto" w:fill="auto"/>
            <w:vAlign w:val="center"/>
          </w:tcPr>
          <w:p w14:paraId="5B4D9B2B" w14:textId="77777777" w:rsidR="002133E3" w:rsidRDefault="002133E3">
            <w:pPr>
              <w:jc w:val="center"/>
              <w:rPr>
                <w:rFonts w:ascii="Times New Roman" w:eastAsia="宋体" w:hAnsi="Times New Roman" w:cs="Times New Roman"/>
                <w:szCs w:val="21"/>
              </w:rPr>
            </w:pPr>
          </w:p>
        </w:tc>
        <w:tc>
          <w:tcPr>
            <w:tcW w:w="812" w:type="pct"/>
            <w:shd w:val="clear" w:color="auto" w:fill="auto"/>
            <w:vAlign w:val="center"/>
          </w:tcPr>
          <w:p w14:paraId="4B46A4F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盐分</w:t>
            </w:r>
          </w:p>
        </w:tc>
        <w:tc>
          <w:tcPr>
            <w:tcW w:w="880" w:type="pct"/>
            <w:shd w:val="clear" w:color="auto" w:fill="auto"/>
            <w:vAlign w:val="center"/>
          </w:tcPr>
          <w:p w14:paraId="7032E06E" w14:textId="77777777" w:rsidR="002133E3" w:rsidRDefault="00C22CFA">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42</w:t>
            </w:r>
          </w:p>
        </w:tc>
        <w:tc>
          <w:tcPr>
            <w:tcW w:w="1089" w:type="pct"/>
            <w:shd w:val="clear" w:color="auto" w:fill="auto"/>
            <w:vAlign w:val="center"/>
          </w:tcPr>
          <w:p w14:paraId="6AD8DA36" w14:textId="77777777" w:rsidR="002133E3" w:rsidRDefault="00C22CFA">
            <w:pPr>
              <w:jc w:val="center"/>
              <w:rPr>
                <w:rFonts w:ascii="Times New Roman" w:eastAsia="宋体" w:hAnsi="Times New Roman" w:cs="Times New Roman"/>
                <w:color w:val="000000"/>
                <w:szCs w:val="21"/>
              </w:rPr>
            </w:pPr>
            <w:r>
              <w:rPr>
                <w:rFonts w:ascii="Times New Roman" w:eastAsia="等线" w:hAnsi="Times New Roman" w:cs="Times New Roman"/>
                <w:color w:val="000000"/>
                <w:szCs w:val="21"/>
              </w:rPr>
              <w:t>162.92</w:t>
            </w:r>
          </w:p>
        </w:tc>
        <w:tc>
          <w:tcPr>
            <w:tcW w:w="880" w:type="pct"/>
            <w:shd w:val="clear" w:color="auto" w:fill="auto"/>
            <w:vAlign w:val="center"/>
          </w:tcPr>
          <w:p w14:paraId="1C384C5F" w14:textId="77777777" w:rsidR="002133E3" w:rsidRDefault="00C22CFA">
            <w:pPr>
              <w:jc w:val="center"/>
              <w:rPr>
                <w:rFonts w:ascii="Times New Roman" w:eastAsia="宋体" w:hAnsi="Times New Roman" w:cs="Times New Roman"/>
                <w:color w:val="000000"/>
                <w:szCs w:val="21"/>
              </w:rPr>
            </w:pPr>
            <w:r>
              <w:rPr>
                <w:rFonts w:ascii="Times New Roman" w:eastAsia="等线" w:hAnsi="Times New Roman" w:cs="Times New Roman"/>
                <w:color w:val="000000"/>
                <w:szCs w:val="21"/>
              </w:rPr>
              <w:t>48.87</w:t>
            </w:r>
          </w:p>
        </w:tc>
      </w:tr>
      <w:tr w:rsidR="002133E3" w14:paraId="76A03EC1" w14:textId="77777777">
        <w:trPr>
          <w:jc w:val="center"/>
        </w:trPr>
        <w:tc>
          <w:tcPr>
            <w:tcW w:w="1338" w:type="pct"/>
            <w:gridSpan w:val="2"/>
            <w:vMerge w:val="restart"/>
            <w:shd w:val="clear" w:color="auto" w:fill="auto"/>
            <w:vAlign w:val="center"/>
          </w:tcPr>
          <w:p w14:paraId="5F917CE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全厂排放口合计</w:t>
            </w:r>
          </w:p>
        </w:tc>
        <w:tc>
          <w:tcPr>
            <w:tcW w:w="2781" w:type="pct"/>
            <w:gridSpan w:val="3"/>
            <w:shd w:val="clear" w:color="auto" w:fill="auto"/>
            <w:vAlign w:val="center"/>
          </w:tcPr>
          <w:p w14:paraId="6B71CD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COD</w:t>
            </w:r>
          </w:p>
        </w:tc>
        <w:tc>
          <w:tcPr>
            <w:tcW w:w="880" w:type="pct"/>
            <w:shd w:val="clear" w:color="auto" w:fill="auto"/>
            <w:vAlign w:val="center"/>
          </w:tcPr>
          <w:p w14:paraId="07E4FBE5"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470.18</w:t>
            </w:r>
          </w:p>
        </w:tc>
      </w:tr>
      <w:tr w:rsidR="002133E3" w14:paraId="72548090" w14:textId="77777777">
        <w:trPr>
          <w:jc w:val="center"/>
        </w:trPr>
        <w:tc>
          <w:tcPr>
            <w:tcW w:w="1338" w:type="pct"/>
            <w:gridSpan w:val="2"/>
            <w:vMerge/>
            <w:shd w:val="clear" w:color="auto" w:fill="auto"/>
            <w:vAlign w:val="center"/>
          </w:tcPr>
          <w:p w14:paraId="7C9465A6" w14:textId="77777777" w:rsidR="002133E3" w:rsidRDefault="002133E3">
            <w:pPr>
              <w:jc w:val="center"/>
              <w:rPr>
                <w:rFonts w:ascii="Times New Roman" w:eastAsia="宋体" w:hAnsi="Times New Roman" w:cs="Times New Roman"/>
                <w:szCs w:val="21"/>
              </w:rPr>
            </w:pPr>
          </w:p>
        </w:tc>
        <w:tc>
          <w:tcPr>
            <w:tcW w:w="2781" w:type="pct"/>
            <w:gridSpan w:val="3"/>
            <w:shd w:val="clear" w:color="auto" w:fill="auto"/>
            <w:vAlign w:val="center"/>
          </w:tcPr>
          <w:p w14:paraId="640C951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SS</w:t>
            </w:r>
          </w:p>
        </w:tc>
        <w:tc>
          <w:tcPr>
            <w:tcW w:w="880" w:type="pct"/>
            <w:shd w:val="clear" w:color="auto" w:fill="auto"/>
            <w:vAlign w:val="center"/>
          </w:tcPr>
          <w:p w14:paraId="51C0F3C4"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164.56</w:t>
            </w:r>
          </w:p>
        </w:tc>
      </w:tr>
      <w:tr w:rsidR="002133E3" w14:paraId="22619227" w14:textId="77777777">
        <w:trPr>
          <w:jc w:val="center"/>
        </w:trPr>
        <w:tc>
          <w:tcPr>
            <w:tcW w:w="1338" w:type="pct"/>
            <w:gridSpan w:val="2"/>
            <w:vMerge/>
            <w:shd w:val="clear" w:color="auto" w:fill="auto"/>
            <w:vAlign w:val="center"/>
          </w:tcPr>
          <w:p w14:paraId="2ED516C4" w14:textId="77777777" w:rsidR="002133E3" w:rsidRDefault="002133E3">
            <w:pPr>
              <w:jc w:val="center"/>
              <w:rPr>
                <w:rFonts w:ascii="Times New Roman" w:eastAsia="宋体" w:hAnsi="Times New Roman" w:cs="Times New Roman"/>
                <w:szCs w:val="21"/>
              </w:rPr>
            </w:pPr>
          </w:p>
        </w:tc>
        <w:tc>
          <w:tcPr>
            <w:tcW w:w="2781" w:type="pct"/>
            <w:gridSpan w:val="3"/>
            <w:shd w:val="clear" w:color="auto" w:fill="auto"/>
            <w:vAlign w:val="center"/>
          </w:tcPr>
          <w:p w14:paraId="3FD719D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总氮</w:t>
            </w:r>
          </w:p>
        </w:tc>
        <w:tc>
          <w:tcPr>
            <w:tcW w:w="880" w:type="pct"/>
            <w:shd w:val="clear" w:color="auto" w:fill="auto"/>
            <w:vAlign w:val="center"/>
          </w:tcPr>
          <w:p w14:paraId="3A06651B"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宋体" w:hAnsi="Times New Roman" w:cs="Times New Roman"/>
                <w:color w:val="000000"/>
                <w:szCs w:val="21"/>
              </w:rPr>
              <w:t>58.77</w:t>
            </w:r>
          </w:p>
        </w:tc>
      </w:tr>
      <w:tr w:rsidR="002133E3" w14:paraId="1FAA9C15" w14:textId="77777777">
        <w:trPr>
          <w:jc w:val="center"/>
        </w:trPr>
        <w:tc>
          <w:tcPr>
            <w:tcW w:w="1338" w:type="pct"/>
            <w:gridSpan w:val="2"/>
            <w:vMerge/>
            <w:shd w:val="clear" w:color="auto" w:fill="auto"/>
            <w:vAlign w:val="center"/>
          </w:tcPr>
          <w:p w14:paraId="1430B7BD" w14:textId="77777777" w:rsidR="002133E3" w:rsidRDefault="002133E3">
            <w:pPr>
              <w:jc w:val="center"/>
              <w:rPr>
                <w:rFonts w:ascii="Times New Roman" w:eastAsia="宋体" w:hAnsi="Times New Roman" w:cs="Times New Roman"/>
                <w:szCs w:val="21"/>
              </w:rPr>
            </w:pPr>
          </w:p>
        </w:tc>
        <w:tc>
          <w:tcPr>
            <w:tcW w:w="2781" w:type="pct"/>
            <w:gridSpan w:val="3"/>
            <w:shd w:val="clear" w:color="auto" w:fill="auto"/>
            <w:vAlign w:val="center"/>
          </w:tcPr>
          <w:p w14:paraId="2C0591C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氨氮</w:t>
            </w:r>
          </w:p>
        </w:tc>
        <w:tc>
          <w:tcPr>
            <w:tcW w:w="880" w:type="pct"/>
            <w:shd w:val="clear" w:color="auto" w:fill="auto"/>
            <w:vAlign w:val="center"/>
          </w:tcPr>
          <w:p w14:paraId="6CB610AD"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宋体" w:hAnsi="Times New Roman" w:cs="Times New Roman"/>
                <w:color w:val="000000"/>
                <w:szCs w:val="21"/>
              </w:rPr>
              <w:t>35.26</w:t>
            </w:r>
          </w:p>
        </w:tc>
      </w:tr>
      <w:tr w:rsidR="002133E3" w14:paraId="2BC8C6E6" w14:textId="77777777">
        <w:trPr>
          <w:jc w:val="center"/>
        </w:trPr>
        <w:tc>
          <w:tcPr>
            <w:tcW w:w="1338" w:type="pct"/>
            <w:gridSpan w:val="2"/>
            <w:vMerge/>
            <w:shd w:val="clear" w:color="auto" w:fill="auto"/>
            <w:vAlign w:val="center"/>
          </w:tcPr>
          <w:p w14:paraId="6F32A65F" w14:textId="77777777" w:rsidR="002133E3" w:rsidRDefault="002133E3">
            <w:pPr>
              <w:jc w:val="center"/>
              <w:rPr>
                <w:rFonts w:ascii="Times New Roman" w:eastAsia="宋体" w:hAnsi="Times New Roman" w:cs="Times New Roman"/>
                <w:szCs w:val="21"/>
              </w:rPr>
            </w:pPr>
          </w:p>
        </w:tc>
        <w:tc>
          <w:tcPr>
            <w:tcW w:w="2781" w:type="pct"/>
            <w:gridSpan w:val="3"/>
            <w:shd w:val="clear" w:color="auto" w:fill="auto"/>
            <w:vAlign w:val="center"/>
          </w:tcPr>
          <w:p w14:paraId="0525751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总磷</w:t>
            </w:r>
          </w:p>
        </w:tc>
        <w:tc>
          <w:tcPr>
            <w:tcW w:w="880" w:type="pct"/>
            <w:shd w:val="clear" w:color="auto" w:fill="auto"/>
            <w:vAlign w:val="center"/>
          </w:tcPr>
          <w:p w14:paraId="0908A5AE"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宋体" w:hAnsi="Times New Roman" w:cs="Times New Roman"/>
                <w:color w:val="000000"/>
                <w:szCs w:val="21"/>
              </w:rPr>
              <w:t>3.53</w:t>
            </w:r>
          </w:p>
        </w:tc>
      </w:tr>
      <w:tr w:rsidR="002133E3" w14:paraId="30A4DD4B" w14:textId="77777777">
        <w:trPr>
          <w:jc w:val="center"/>
        </w:trPr>
        <w:tc>
          <w:tcPr>
            <w:tcW w:w="1338" w:type="pct"/>
            <w:gridSpan w:val="2"/>
            <w:vMerge/>
            <w:shd w:val="clear" w:color="auto" w:fill="auto"/>
            <w:vAlign w:val="center"/>
          </w:tcPr>
          <w:p w14:paraId="5083325B" w14:textId="77777777" w:rsidR="002133E3" w:rsidRDefault="002133E3">
            <w:pPr>
              <w:jc w:val="center"/>
              <w:rPr>
                <w:rFonts w:ascii="Times New Roman" w:eastAsia="宋体" w:hAnsi="Times New Roman" w:cs="Times New Roman"/>
                <w:szCs w:val="21"/>
              </w:rPr>
            </w:pPr>
          </w:p>
        </w:tc>
        <w:tc>
          <w:tcPr>
            <w:tcW w:w="2781" w:type="pct"/>
            <w:gridSpan w:val="3"/>
            <w:shd w:val="clear" w:color="auto" w:fill="auto"/>
            <w:vAlign w:val="center"/>
          </w:tcPr>
          <w:p w14:paraId="542FADD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盐分</w:t>
            </w:r>
          </w:p>
        </w:tc>
        <w:tc>
          <w:tcPr>
            <w:tcW w:w="880" w:type="pct"/>
            <w:shd w:val="clear" w:color="auto" w:fill="auto"/>
            <w:vAlign w:val="center"/>
          </w:tcPr>
          <w:p w14:paraId="442DEB33"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宋体" w:hAnsi="Times New Roman" w:cs="Times New Roman"/>
                <w:color w:val="000000"/>
                <w:szCs w:val="21"/>
              </w:rPr>
              <w:t>48.87</w:t>
            </w:r>
          </w:p>
        </w:tc>
      </w:tr>
    </w:tbl>
    <w:p w14:paraId="3FCA50F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地表水环境影响评价自查</w:t>
      </w:r>
    </w:p>
    <w:p w14:paraId="4F9057CA" w14:textId="77777777" w:rsidR="002133E3" w:rsidRDefault="00C22CFA">
      <w:pPr>
        <w:snapToGrid w:val="0"/>
        <w:spacing w:line="500" w:lineRule="atLeast"/>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6.3-5  </w:t>
      </w:r>
      <w:r>
        <w:rPr>
          <w:rFonts w:ascii="Times New Roman" w:eastAsia="宋体" w:hAnsi="Times New Roman" w:cs="Times New Roman"/>
          <w:b/>
          <w:bCs/>
          <w:sz w:val="24"/>
          <w:szCs w:val="24"/>
        </w:rPr>
        <w:t>建设项目地表水环境影响评价自查表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48"/>
        <w:gridCol w:w="1586"/>
        <w:gridCol w:w="1695"/>
        <w:gridCol w:w="680"/>
        <w:gridCol w:w="12"/>
        <w:gridCol w:w="79"/>
        <w:gridCol w:w="613"/>
        <w:gridCol w:w="855"/>
        <w:gridCol w:w="668"/>
        <w:gridCol w:w="1362"/>
        <w:gridCol w:w="238"/>
        <w:gridCol w:w="41"/>
        <w:gridCol w:w="1577"/>
      </w:tblGrid>
      <w:tr w:rsidR="002133E3" w14:paraId="040BAA47" w14:textId="77777777">
        <w:tc>
          <w:tcPr>
            <w:tcW w:w="1032" w:type="pct"/>
            <w:gridSpan w:val="2"/>
            <w:tcBorders>
              <w:top w:val="single" w:sz="4" w:space="0" w:color="auto"/>
              <w:left w:val="single" w:sz="4" w:space="0" w:color="auto"/>
              <w:bottom w:val="single" w:sz="4" w:space="0" w:color="auto"/>
              <w:right w:val="single" w:sz="4" w:space="0" w:color="auto"/>
            </w:tcBorders>
            <w:vAlign w:val="center"/>
          </w:tcPr>
          <w:p w14:paraId="6F84AE3B" w14:textId="77777777" w:rsidR="002133E3" w:rsidRDefault="00C22CFA">
            <w:pPr>
              <w:rPr>
                <w:rFonts w:ascii="Times New Roman" w:eastAsia="宋体" w:hAnsi="Times New Roman" w:cs="Times New Roman"/>
              </w:rPr>
            </w:pPr>
            <w:r>
              <w:rPr>
                <w:rFonts w:ascii="Times New Roman" w:eastAsia="宋体" w:hAnsi="Times New Roman" w:cs="Times New Roman"/>
              </w:rPr>
              <w:t>工作内容</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501D0312" w14:textId="77777777" w:rsidR="002133E3" w:rsidRDefault="00C22CFA">
            <w:pPr>
              <w:rPr>
                <w:rFonts w:ascii="Times New Roman" w:eastAsia="宋体" w:hAnsi="Times New Roman" w:cs="Times New Roman"/>
              </w:rPr>
            </w:pPr>
            <w:r>
              <w:rPr>
                <w:rFonts w:ascii="Times New Roman" w:eastAsia="宋体" w:hAnsi="Times New Roman" w:cs="Times New Roman"/>
              </w:rPr>
              <w:t>自查项目</w:t>
            </w:r>
          </w:p>
        </w:tc>
      </w:tr>
      <w:tr w:rsidR="002133E3" w14:paraId="32FE1DD7" w14:textId="77777777">
        <w:tc>
          <w:tcPr>
            <w:tcW w:w="227" w:type="pct"/>
            <w:vMerge w:val="restart"/>
            <w:tcBorders>
              <w:top w:val="single" w:sz="4" w:space="0" w:color="auto"/>
              <w:left w:val="single" w:sz="4" w:space="0" w:color="auto"/>
              <w:bottom w:val="single" w:sz="4" w:space="0" w:color="auto"/>
              <w:right w:val="single" w:sz="4" w:space="0" w:color="auto"/>
            </w:tcBorders>
            <w:vAlign w:val="center"/>
          </w:tcPr>
          <w:p w14:paraId="4E900603" w14:textId="77777777" w:rsidR="002133E3" w:rsidRDefault="00C22CFA">
            <w:pPr>
              <w:rPr>
                <w:rFonts w:ascii="Times New Roman" w:eastAsia="宋体" w:hAnsi="Times New Roman" w:cs="Times New Roman"/>
              </w:rPr>
            </w:pPr>
            <w:r>
              <w:rPr>
                <w:rFonts w:ascii="Times New Roman" w:eastAsia="宋体" w:hAnsi="Times New Roman" w:cs="Times New Roman"/>
              </w:rPr>
              <w:t>影响识别</w:t>
            </w:r>
          </w:p>
        </w:tc>
        <w:tc>
          <w:tcPr>
            <w:tcW w:w="805" w:type="pct"/>
            <w:tcBorders>
              <w:top w:val="single" w:sz="4" w:space="0" w:color="auto"/>
              <w:left w:val="single" w:sz="4" w:space="0" w:color="auto"/>
              <w:bottom w:val="single" w:sz="4" w:space="0" w:color="auto"/>
              <w:right w:val="single" w:sz="4" w:space="0" w:color="auto"/>
            </w:tcBorders>
            <w:vAlign w:val="center"/>
          </w:tcPr>
          <w:p w14:paraId="06437EFB" w14:textId="77777777" w:rsidR="002133E3" w:rsidRDefault="00C22CFA">
            <w:pPr>
              <w:rPr>
                <w:rFonts w:ascii="Times New Roman" w:eastAsia="宋体" w:hAnsi="Times New Roman" w:cs="Times New Roman"/>
              </w:rPr>
            </w:pPr>
            <w:r>
              <w:rPr>
                <w:rFonts w:ascii="Times New Roman" w:eastAsia="宋体" w:hAnsi="Times New Roman" w:cs="Times New Roman"/>
              </w:rPr>
              <w:t>影响类型</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666B0726" w14:textId="77777777" w:rsidR="002133E3" w:rsidRDefault="00C22CFA">
            <w:pPr>
              <w:rPr>
                <w:rFonts w:ascii="Times New Roman" w:eastAsia="宋体" w:hAnsi="Times New Roman" w:cs="Times New Roman"/>
              </w:rPr>
            </w:pPr>
            <w:r>
              <w:rPr>
                <w:rFonts w:ascii="Times New Roman" w:eastAsia="宋体" w:hAnsi="Times New Roman" w:cs="Times New Roman"/>
              </w:rPr>
              <w:t>水污染影响型</w:t>
            </w:r>
            <w:r>
              <w:rPr>
                <w:rFonts w:ascii="Times New Roman" w:eastAsia="宋体" w:hAnsi="Times New Roman" w:cs="Times New Roman"/>
              </w:rPr>
              <w:sym w:font="Wingdings 2" w:char="F052"/>
            </w:r>
            <w:r>
              <w:rPr>
                <w:rFonts w:ascii="Times New Roman" w:eastAsia="宋体" w:hAnsi="Times New Roman" w:cs="Times New Roman"/>
              </w:rPr>
              <w:t>；水文要素影响型</w:t>
            </w:r>
            <w:r>
              <w:rPr>
                <w:rFonts w:ascii="Times New Roman" w:eastAsia="宋体" w:hAnsi="Times New Roman" w:cs="Times New Roman"/>
              </w:rPr>
              <w:sym w:font="Wingdings 2" w:char="F0A3"/>
            </w:r>
          </w:p>
        </w:tc>
      </w:tr>
      <w:tr w:rsidR="002133E3" w14:paraId="1851F1D5"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59CB7D32"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6E8EDAED" w14:textId="77777777" w:rsidR="002133E3" w:rsidRDefault="00C22CFA">
            <w:pPr>
              <w:rPr>
                <w:rFonts w:ascii="Times New Roman" w:eastAsia="宋体" w:hAnsi="Times New Roman" w:cs="Times New Roman"/>
              </w:rPr>
            </w:pPr>
            <w:r>
              <w:rPr>
                <w:rFonts w:ascii="Times New Roman" w:eastAsia="宋体" w:hAnsi="Times New Roman" w:cs="Times New Roman"/>
              </w:rPr>
              <w:t>水环境保护目标</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7971A849" w14:textId="77777777" w:rsidR="002133E3" w:rsidRDefault="00C22CFA">
            <w:pPr>
              <w:rPr>
                <w:rFonts w:ascii="Times New Roman" w:eastAsia="宋体" w:hAnsi="Times New Roman" w:cs="Times New Roman"/>
              </w:rPr>
            </w:pPr>
            <w:r>
              <w:rPr>
                <w:rFonts w:ascii="Times New Roman" w:eastAsia="宋体" w:hAnsi="Times New Roman" w:cs="Times New Roman"/>
              </w:rPr>
              <w:t>饮用水水源保护区</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；饮用水取水口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；涉水的自然保护区</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；重要湿地</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；重点保护与珍稀水生生物的栖息地</w:t>
            </w:r>
            <w:r>
              <w:rPr>
                <w:rFonts w:ascii="Times New Roman" w:eastAsia="宋体" w:hAnsi="Times New Roman" w:cs="Times New Roman"/>
              </w:rPr>
              <w:sym w:font="Wingdings 2" w:char="F0A3"/>
            </w:r>
            <w:r>
              <w:rPr>
                <w:rFonts w:ascii="Times New Roman" w:eastAsia="宋体" w:hAnsi="Times New Roman" w:cs="Times New Roman"/>
              </w:rPr>
              <w:t>；重要水生生物的自然产卵场及索饵场、越冬场和洄游通道、天然渔场等渔业水体</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；涉水的风景名胜区</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1C85EBB8"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1AB72EDB" w14:textId="77777777" w:rsidR="002133E3" w:rsidRDefault="002133E3">
            <w:pPr>
              <w:rPr>
                <w:rFonts w:ascii="Times New Roman" w:eastAsia="宋体" w:hAnsi="Times New Roman" w:cs="Times New Roman"/>
              </w:rPr>
            </w:pP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008D3D10" w14:textId="77777777" w:rsidR="002133E3" w:rsidRDefault="00C22CFA">
            <w:pPr>
              <w:rPr>
                <w:rFonts w:ascii="Times New Roman" w:eastAsia="宋体" w:hAnsi="Times New Roman" w:cs="Times New Roman"/>
              </w:rPr>
            </w:pPr>
            <w:r>
              <w:rPr>
                <w:rFonts w:ascii="Times New Roman" w:eastAsia="宋体" w:hAnsi="Times New Roman" w:cs="Times New Roman"/>
              </w:rPr>
              <w:t>影响途径</w:t>
            </w: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456C3673" w14:textId="77777777" w:rsidR="002133E3" w:rsidRDefault="00C22CFA">
            <w:pPr>
              <w:rPr>
                <w:rFonts w:ascii="Times New Roman" w:eastAsia="宋体" w:hAnsi="Times New Roman" w:cs="Times New Roman"/>
              </w:rPr>
            </w:pPr>
            <w:r>
              <w:rPr>
                <w:rFonts w:ascii="Times New Roman" w:eastAsia="宋体" w:hAnsi="Times New Roman" w:cs="Times New Roman"/>
              </w:rPr>
              <w:t>水污染影响型</w:t>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6371B6FD" w14:textId="77777777" w:rsidR="002133E3" w:rsidRDefault="00C22CFA">
            <w:pPr>
              <w:rPr>
                <w:rFonts w:ascii="Times New Roman" w:eastAsia="宋体" w:hAnsi="Times New Roman" w:cs="Times New Roman"/>
              </w:rPr>
            </w:pPr>
            <w:r>
              <w:rPr>
                <w:rFonts w:ascii="Times New Roman" w:eastAsia="宋体" w:hAnsi="Times New Roman" w:cs="Times New Roman"/>
              </w:rPr>
              <w:t>水文要素影响型</w:t>
            </w:r>
          </w:p>
        </w:tc>
      </w:tr>
      <w:tr w:rsidR="002133E3" w14:paraId="64B7B64F"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58B0A338"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0B729016" w14:textId="77777777" w:rsidR="002133E3" w:rsidRDefault="002133E3">
            <w:pPr>
              <w:rPr>
                <w:rFonts w:ascii="Times New Roman" w:eastAsia="宋体" w:hAnsi="Times New Roman" w:cs="Times New Roman"/>
              </w:rPr>
            </w:pP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450E4F51" w14:textId="77777777" w:rsidR="002133E3" w:rsidRDefault="00C22CFA">
            <w:pPr>
              <w:rPr>
                <w:rFonts w:ascii="Times New Roman" w:eastAsia="宋体" w:hAnsi="Times New Roman" w:cs="Times New Roman"/>
              </w:rPr>
            </w:pPr>
            <w:r>
              <w:rPr>
                <w:rFonts w:ascii="Times New Roman" w:eastAsia="宋体" w:hAnsi="Times New Roman" w:cs="Times New Roman"/>
              </w:rPr>
              <w:t>直接排放</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；间接排放</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5105C086" w14:textId="77777777" w:rsidR="002133E3" w:rsidRDefault="00C22CFA">
            <w:pPr>
              <w:rPr>
                <w:rFonts w:ascii="Times New Roman" w:eastAsia="宋体" w:hAnsi="Times New Roman" w:cs="Times New Roman"/>
              </w:rPr>
            </w:pPr>
            <w:r>
              <w:rPr>
                <w:rFonts w:ascii="Times New Roman" w:eastAsia="宋体" w:hAnsi="Times New Roman" w:cs="Times New Roman"/>
              </w:rPr>
              <w:t>水温</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；径流</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；水域面积</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3AC9CA4B"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76D9E889"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20BAC8EE" w14:textId="77777777" w:rsidR="002133E3" w:rsidRDefault="00C22CFA">
            <w:pPr>
              <w:rPr>
                <w:rFonts w:ascii="Times New Roman" w:eastAsia="宋体" w:hAnsi="Times New Roman" w:cs="Times New Roman"/>
              </w:rPr>
            </w:pPr>
            <w:r>
              <w:rPr>
                <w:rFonts w:ascii="Times New Roman" w:eastAsia="宋体" w:hAnsi="Times New Roman" w:cs="Times New Roman"/>
              </w:rPr>
              <w:t>影响因子</w:t>
            </w: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38BB215C" w14:textId="77777777" w:rsidR="002133E3" w:rsidRDefault="00C22CFA">
            <w:pPr>
              <w:rPr>
                <w:rFonts w:ascii="Times New Roman" w:eastAsia="宋体" w:hAnsi="Times New Roman" w:cs="Times New Roman"/>
              </w:rPr>
            </w:pPr>
            <w:r>
              <w:rPr>
                <w:rFonts w:ascii="Times New Roman" w:eastAsia="宋体" w:hAnsi="Times New Roman" w:cs="Times New Roman"/>
              </w:rPr>
              <w:t>持久性污染物</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；有毒有害污染物</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；非持久性污染物</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w:t>
            </w:r>
            <w:r>
              <w:rPr>
                <w:rFonts w:ascii="Times New Roman" w:eastAsia="宋体" w:hAnsi="Times New Roman" w:cs="Times New Roman"/>
              </w:rPr>
              <w:t>pH</w:t>
            </w:r>
            <w:r>
              <w:rPr>
                <w:rFonts w:ascii="Times New Roman" w:eastAsia="宋体" w:hAnsi="Times New Roman" w:cs="Times New Roman"/>
              </w:rPr>
              <w:t>值</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；热污染</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；富营养化</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7DFBAA86" w14:textId="77777777" w:rsidR="002133E3" w:rsidRDefault="00C22CFA">
            <w:pPr>
              <w:rPr>
                <w:rFonts w:ascii="Times New Roman" w:eastAsia="宋体" w:hAnsi="Times New Roman" w:cs="Times New Roman"/>
              </w:rPr>
            </w:pPr>
            <w:r>
              <w:rPr>
                <w:rFonts w:ascii="Times New Roman" w:eastAsia="宋体" w:hAnsi="Times New Roman" w:cs="Times New Roman"/>
              </w:rPr>
              <w:t>水温</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；水位（水深）</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；流速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；流量</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7B90A56A" w14:textId="77777777">
        <w:tc>
          <w:tcPr>
            <w:tcW w:w="1032" w:type="pct"/>
            <w:gridSpan w:val="2"/>
            <w:vMerge w:val="restart"/>
            <w:tcBorders>
              <w:top w:val="single" w:sz="4" w:space="0" w:color="auto"/>
              <w:left w:val="single" w:sz="4" w:space="0" w:color="auto"/>
              <w:bottom w:val="single" w:sz="4" w:space="0" w:color="auto"/>
              <w:right w:val="single" w:sz="4" w:space="0" w:color="auto"/>
            </w:tcBorders>
            <w:vAlign w:val="center"/>
          </w:tcPr>
          <w:p w14:paraId="6A628393" w14:textId="77777777" w:rsidR="002133E3" w:rsidRDefault="00C22CFA">
            <w:pPr>
              <w:rPr>
                <w:rFonts w:ascii="Times New Roman" w:eastAsia="宋体" w:hAnsi="Times New Roman" w:cs="Times New Roman"/>
              </w:rPr>
            </w:pPr>
            <w:r>
              <w:rPr>
                <w:rFonts w:ascii="Times New Roman" w:eastAsia="宋体" w:hAnsi="Times New Roman" w:cs="Times New Roman"/>
              </w:rPr>
              <w:t>评价等级</w:t>
            </w: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605E808F" w14:textId="77777777" w:rsidR="002133E3" w:rsidRDefault="00C22CFA">
            <w:pPr>
              <w:rPr>
                <w:rFonts w:ascii="Times New Roman" w:eastAsia="宋体" w:hAnsi="Times New Roman" w:cs="Times New Roman"/>
              </w:rPr>
            </w:pPr>
            <w:r>
              <w:rPr>
                <w:rFonts w:ascii="Times New Roman" w:eastAsia="宋体" w:hAnsi="Times New Roman" w:cs="Times New Roman"/>
              </w:rPr>
              <w:t>水污染影响型</w:t>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2476C5D8" w14:textId="77777777" w:rsidR="002133E3" w:rsidRDefault="00C22CFA">
            <w:pPr>
              <w:rPr>
                <w:rFonts w:ascii="Times New Roman" w:eastAsia="宋体" w:hAnsi="Times New Roman" w:cs="Times New Roman"/>
              </w:rPr>
            </w:pPr>
            <w:r>
              <w:rPr>
                <w:rFonts w:ascii="Times New Roman" w:eastAsia="宋体" w:hAnsi="Times New Roman" w:cs="Times New Roman"/>
              </w:rPr>
              <w:t>水文要素影响型</w:t>
            </w:r>
          </w:p>
        </w:tc>
      </w:tr>
      <w:tr w:rsidR="002133E3" w14:paraId="033DC136" w14:textId="77777777">
        <w:tc>
          <w:tcPr>
            <w:tcW w:w="1032" w:type="pct"/>
            <w:gridSpan w:val="2"/>
            <w:vMerge/>
            <w:tcBorders>
              <w:top w:val="single" w:sz="4" w:space="0" w:color="auto"/>
              <w:left w:val="single" w:sz="4" w:space="0" w:color="auto"/>
              <w:bottom w:val="single" w:sz="4" w:space="0" w:color="auto"/>
              <w:right w:val="single" w:sz="4" w:space="0" w:color="auto"/>
            </w:tcBorders>
            <w:vAlign w:val="center"/>
          </w:tcPr>
          <w:p w14:paraId="7726CB51" w14:textId="77777777" w:rsidR="002133E3" w:rsidRDefault="002133E3">
            <w:pPr>
              <w:rPr>
                <w:rFonts w:ascii="Times New Roman" w:eastAsia="宋体" w:hAnsi="Times New Roman" w:cs="Times New Roman"/>
              </w:rPr>
            </w:pP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2652CD5A" w14:textId="77777777" w:rsidR="002133E3" w:rsidRDefault="00C22CFA">
            <w:pPr>
              <w:rPr>
                <w:rFonts w:ascii="Times New Roman" w:eastAsia="宋体" w:hAnsi="Times New Roman" w:cs="Times New Roman"/>
              </w:rPr>
            </w:pPr>
            <w:r>
              <w:rPr>
                <w:rFonts w:ascii="Times New Roman" w:eastAsia="宋体" w:hAnsi="Times New Roman" w:cs="Times New Roman"/>
              </w:rPr>
              <w:t>一级</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；二级</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；三级</w:t>
            </w:r>
            <w:r>
              <w:rPr>
                <w:rFonts w:ascii="Times New Roman" w:eastAsia="宋体" w:hAnsi="Times New Roman" w:cs="Times New Roman"/>
              </w:rPr>
              <w:t xml:space="preserve">A </w:t>
            </w:r>
            <w:r>
              <w:rPr>
                <w:rFonts w:ascii="Times New Roman" w:eastAsia="宋体" w:hAnsi="Times New Roman" w:cs="Times New Roman"/>
              </w:rPr>
              <w:sym w:font="Wingdings 2" w:char="F0A3"/>
            </w:r>
            <w:r>
              <w:rPr>
                <w:rFonts w:ascii="Times New Roman" w:eastAsia="宋体" w:hAnsi="Times New Roman" w:cs="Times New Roman"/>
              </w:rPr>
              <w:t>；三级</w:t>
            </w:r>
            <w:r>
              <w:rPr>
                <w:rFonts w:ascii="Times New Roman" w:eastAsia="宋体" w:hAnsi="Times New Roman" w:cs="Times New Roman"/>
              </w:rPr>
              <w:t xml:space="preserve">B </w:t>
            </w:r>
            <w:r>
              <w:rPr>
                <w:rFonts w:ascii="Times New Roman" w:eastAsia="宋体" w:hAnsi="Times New Roman" w:cs="Times New Roman"/>
              </w:rPr>
              <w:sym w:font="Wingdings 2" w:char="F052"/>
            </w:r>
            <w:r>
              <w:rPr>
                <w:rFonts w:ascii="Times New Roman" w:eastAsia="宋体" w:hAnsi="Times New Roman" w:cs="Times New Roman"/>
              </w:rPr>
              <w:t>；</w:t>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519CB0F6" w14:textId="77777777" w:rsidR="002133E3" w:rsidRDefault="00C22CFA">
            <w:pPr>
              <w:rPr>
                <w:rFonts w:ascii="Times New Roman" w:eastAsia="宋体" w:hAnsi="Times New Roman" w:cs="Times New Roman"/>
              </w:rPr>
            </w:pPr>
            <w:r>
              <w:rPr>
                <w:rFonts w:ascii="Times New Roman" w:eastAsia="宋体" w:hAnsi="Times New Roman" w:cs="Times New Roman"/>
              </w:rPr>
              <w:t>一级</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；二级</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；三级</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0E94C3EF" w14:textId="77777777">
        <w:tc>
          <w:tcPr>
            <w:tcW w:w="227" w:type="pct"/>
            <w:vMerge w:val="restart"/>
            <w:tcBorders>
              <w:top w:val="single" w:sz="4" w:space="0" w:color="auto"/>
              <w:left w:val="single" w:sz="4" w:space="0" w:color="auto"/>
              <w:bottom w:val="single" w:sz="4" w:space="0" w:color="auto"/>
              <w:right w:val="single" w:sz="4" w:space="0" w:color="auto"/>
            </w:tcBorders>
            <w:vAlign w:val="center"/>
          </w:tcPr>
          <w:p w14:paraId="7329E10C" w14:textId="77777777" w:rsidR="002133E3" w:rsidRDefault="00C22CFA">
            <w:pPr>
              <w:rPr>
                <w:rFonts w:ascii="Times New Roman" w:eastAsia="宋体" w:hAnsi="Times New Roman" w:cs="Times New Roman"/>
              </w:rPr>
            </w:pPr>
            <w:r>
              <w:rPr>
                <w:rFonts w:ascii="Times New Roman" w:eastAsia="宋体" w:hAnsi="Times New Roman" w:cs="Times New Roman"/>
              </w:rPr>
              <w:t>现状调查</w:t>
            </w: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28AB7E8D" w14:textId="77777777" w:rsidR="002133E3" w:rsidRDefault="00C22CFA">
            <w:pPr>
              <w:rPr>
                <w:rFonts w:ascii="Times New Roman" w:eastAsia="宋体" w:hAnsi="Times New Roman" w:cs="Times New Roman"/>
              </w:rPr>
            </w:pPr>
            <w:r>
              <w:rPr>
                <w:rFonts w:ascii="Times New Roman" w:eastAsia="宋体" w:hAnsi="Times New Roman" w:cs="Times New Roman"/>
              </w:rPr>
              <w:t>区域污染源</w:t>
            </w: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5622B512" w14:textId="77777777" w:rsidR="002133E3" w:rsidRDefault="00C22CFA">
            <w:pPr>
              <w:rPr>
                <w:rFonts w:ascii="Times New Roman" w:eastAsia="宋体" w:hAnsi="Times New Roman" w:cs="Times New Roman"/>
              </w:rPr>
            </w:pPr>
            <w:r>
              <w:rPr>
                <w:rFonts w:ascii="Times New Roman" w:eastAsia="宋体" w:hAnsi="Times New Roman" w:cs="Times New Roman"/>
              </w:rPr>
              <w:t>调查项目</w:t>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0C89692E" w14:textId="77777777" w:rsidR="002133E3" w:rsidRDefault="00C22CFA">
            <w:pPr>
              <w:rPr>
                <w:rFonts w:ascii="Times New Roman" w:eastAsia="宋体" w:hAnsi="Times New Roman" w:cs="Times New Roman"/>
              </w:rPr>
            </w:pPr>
            <w:r>
              <w:rPr>
                <w:rFonts w:ascii="Times New Roman" w:eastAsia="宋体" w:hAnsi="Times New Roman" w:cs="Times New Roman"/>
              </w:rPr>
              <w:t>数据来源</w:t>
            </w:r>
          </w:p>
        </w:tc>
      </w:tr>
      <w:tr w:rsidR="002133E3" w14:paraId="27FB34BD"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7C2D6077"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73DAC1B8" w14:textId="77777777" w:rsidR="002133E3" w:rsidRDefault="002133E3">
            <w:pPr>
              <w:rPr>
                <w:rFonts w:ascii="Times New Roman" w:eastAsia="宋体" w:hAnsi="Times New Roman" w:cs="Times New Roman"/>
              </w:rPr>
            </w:pPr>
          </w:p>
        </w:tc>
        <w:tc>
          <w:tcPr>
            <w:tcW w:w="1251" w:type="pct"/>
            <w:gridSpan w:val="4"/>
            <w:tcBorders>
              <w:top w:val="single" w:sz="4" w:space="0" w:color="auto"/>
              <w:left w:val="single" w:sz="4" w:space="0" w:color="auto"/>
              <w:bottom w:val="single" w:sz="4" w:space="0" w:color="auto"/>
              <w:right w:val="single" w:sz="4" w:space="0" w:color="auto"/>
            </w:tcBorders>
            <w:vAlign w:val="center"/>
          </w:tcPr>
          <w:p w14:paraId="2A469FDD" w14:textId="77777777" w:rsidR="002133E3" w:rsidRDefault="00C22CFA">
            <w:pPr>
              <w:rPr>
                <w:rFonts w:ascii="Times New Roman" w:eastAsia="宋体" w:hAnsi="Times New Roman" w:cs="Times New Roman"/>
              </w:rPr>
            </w:pPr>
            <w:r>
              <w:rPr>
                <w:rFonts w:ascii="Times New Roman" w:eastAsia="宋体" w:hAnsi="Times New Roman" w:cs="Times New Roman"/>
              </w:rPr>
              <w:t>已建</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；在建</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；拟建</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w:t>
            </w:r>
          </w:p>
          <w:p w14:paraId="726FAA0A" w14:textId="77777777" w:rsidR="002133E3" w:rsidRDefault="00C22CFA">
            <w:pPr>
              <w:rPr>
                <w:rFonts w:ascii="Times New Roman" w:eastAsia="宋体" w:hAnsi="Times New Roman" w:cs="Times New Roman"/>
              </w:rPr>
            </w:pP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745" w:type="pct"/>
            <w:gridSpan w:val="2"/>
            <w:tcBorders>
              <w:top w:val="single" w:sz="4" w:space="0" w:color="auto"/>
              <w:left w:val="single" w:sz="4" w:space="0" w:color="auto"/>
              <w:bottom w:val="single" w:sz="4" w:space="0" w:color="auto"/>
              <w:right w:val="single" w:sz="4" w:space="0" w:color="auto"/>
            </w:tcBorders>
            <w:vAlign w:val="center"/>
          </w:tcPr>
          <w:p w14:paraId="40DB29C9" w14:textId="77777777" w:rsidR="002133E3" w:rsidRDefault="00C22CFA">
            <w:pPr>
              <w:rPr>
                <w:rFonts w:ascii="Times New Roman" w:eastAsia="宋体" w:hAnsi="Times New Roman" w:cs="Times New Roman"/>
              </w:rPr>
            </w:pPr>
            <w:r>
              <w:rPr>
                <w:rFonts w:ascii="Times New Roman" w:eastAsia="宋体" w:hAnsi="Times New Roman" w:cs="Times New Roman"/>
              </w:rPr>
              <w:t>拟替代的污染物</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32DECA14" w14:textId="77777777" w:rsidR="002133E3" w:rsidRDefault="00C22CFA">
            <w:pPr>
              <w:rPr>
                <w:rFonts w:ascii="Times New Roman" w:eastAsia="宋体" w:hAnsi="Times New Roman" w:cs="Times New Roman"/>
              </w:rPr>
            </w:pPr>
            <w:r>
              <w:rPr>
                <w:rFonts w:ascii="Times New Roman" w:eastAsia="宋体" w:hAnsi="Times New Roman" w:cs="Times New Roman"/>
              </w:rPr>
              <w:t>排污许可证</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；环评</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；环保验收</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；既有实测</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；现场监测</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；入河排放口数据</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5DBF49F4"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B22F779" w14:textId="77777777" w:rsidR="002133E3" w:rsidRDefault="002133E3">
            <w:pPr>
              <w:rPr>
                <w:rFonts w:ascii="Times New Roman" w:eastAsia="宋体" w:hAnsi="Times New Roman" w:cs="Times New Roman"/>
              </w:rPr>
            </w:pP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377CBB5E" w14:textId="77777777" w:rsidR="002133E3" w:rsidRDefault="00C22CFA">
            <w:pPr>
              <w:rPr>
                <w:rFonts w:ascii="Times New Roman" w:eastAsia="宋体" w:hAnsi="Times New Roman" w:cs="Times New Roman"/>
              </w:rPr>
            </w:pPr>
            <w:r>
              <w:rPr>
                <w:rFonts w:ascii="Times New Roman" w:eastAsia="宋体" w:hAnsi="Times New Roman" w:cs="Times New Roman"/>
              </w:rPr>
              <w:t>受影响水体水环境质量</w:t>
            </w: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472CD9E4" w14:textId="77777777" w:rsidR="002133E3" w:rsidRDefault="00C22CFA">
            <w:pPr>
              <w:rPr>
                <w:rFonts w:ascii="Times New Roman" w:eastAsia="宋体" w:hAnsi="Times New Roman" w:cs="Times New Roman"/>
              </w:rPr>
            </w:pPr>
            <w:r>
              <w:rPr>
                <w:rFonts w:ascii="Times New Roman" w:eastAsia="宋体" w:hAnsi="Times New Roman" w:cs="Times New Roman"/>
              </w:rPr>
              <w:t>调查时期</w:t>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1EAFEA61" w14:textId="77777777" w:rsidR="002133E3" w:rsidRDefault="00C22CFA">
            <w:pPr>
              <w:rPr>
                <w:rFonts w:ascii="Times New Roman" w:eastAsia="宋体" w:hAnsi="Times New Roman" w:cs="Times New Roman"/>
              </w:rPr>
            </w:pPr>
            <w:r>
              <w:rPr>
                <w:rFonts w:ascii="Times New Roman" w:eastAsia="宋体" w:hAnsi="Times New Roman" w:cs="Times New Roman"/>
              </w:rPr>
              <w:t>数据来源</w:t>
            </w:r>
          </w:p>
        </w:tc>
      </w:tr>
      <w:tr w:rsidR="002133E3" w14:paraId="3DB06F49"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0E84F0C2"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1D14F129" w14:textId="77777777" w:rsidR="002133E3" w:rsidRDefault="002133E3">
            <w:pPr>
              <w:rPr>
                <w:rFonts w:ascii="Times New Roman" w:eastAsia="宋体" w:hAnsi="Times New Roman" w:cs="Times New Roman"/>
              </w:rPr>
            </w:pP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47746B97" w14:textId="77777777" w:rsidR="002133E3" w:rsidRDefault="00C22CFA">
            <w:pPr>
              <w:rPr>
                <w:rFonts w:ascii="Times New Roman" w:eastAsia="宋体" w:hAnsi="Times New Roman" w:cs="Times New Roman"/>
              </w:rPr>
            </w:pPr>
            <w:r>
              <w:rPr>
                <w:rFonts w:ascii="Times New Roman" w:eastAsia="宋体" w:hAnsi="Times New Roman" w:cs="Times New Roman"/>
              </w:rPr>
              <w:t>丰水期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；平水期</w:t>
            </w:r>
            <w:r>
              <w:rPr>
                <w:rFonts w:ascii="Times New Roman" w:eastAsia="宋体" w:hAnsi="Times New Roman" w:cs="Times New Roman"/>
              </w:rPr>
              <w:sym w:font="Wingdings 2" w:char="F0A3"/>
            </w:r>
            <w:r>
              <w:rPr>
                <w:rFonts w:ascii="Times New Roman" w:eastAsia="宋体" w:hAnsi="Times New Roman" w:cs="Times New Roman"/>
              </w:rPr>
              <w:t>；枯水期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；冰封期</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58505473" w14:textId="77777777" w:rsidR="002133E3" w:rsidRDefault="00C22CFA">
            <w:pPr>
              <w:rPr>
                <w:rFonts w:ascii="Times New Roman" w:eastAsia="宋体" w:hAnsi="Times New Roman" w:cs="Times New Roman"/>
              </w:rPr>
            </w:pPr>
            <w:r>
              <w:rPr>
                <w:rFonts w:ascii="Times New Roman" w:eastAsia="宋体" w:hAnsi="Times New Roman" w:cs="Times New Roman"/>
              </w:rPr>
              <w:t>春季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；夏季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；秋季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；冬季</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1CC49C64" w14:textId="77777777" w:rsidR="002133E3" w:rsidRDefault="00C22CFA">
            <w:pPr>
              <w:rPr>
                <w:rFonts w:ascii="Times New Roman" w:eastAsia="宋体" w:hAnsi="Times New Roman" w:cs="Times New Roman"/>
              </w:rPr>
            </w:pPr>
            <w:r>
              <w:rPr>
                <w:rFonts w:ascii="Times New Roman" w:eastAsia="宋体" w:hAnsi="Times New Roman" w:cs="Times New Roman"/>
              </w:rPr>
              <w:t>生态环境保护主管部门</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；补充监测</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5E59DFD1"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34AA1DE2"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7D49432F" w14:textId="77777777" w:rsidR="002133E3" w:rsidRDefault="00C22CFA">
            <w:pPr>
              <w:rPr>
                <w:rFonts w:ascii="Times New Roman" w:eastAsia="宋体" w:hAnsi="Times New Roman" w:cs="Times New Roman"/>
              </w:rPr>
            </w:pPr>
            <w:r>
              <w:rPr>
                <w:rFonts w:ascii="Times New Roman" w:eastAsia="宋体" w:hAnsi="Times New Roman" w:cs="Times New Roman"/>
              </w:rPr>
              <w:t>区域水资源开发利用状况</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7EA36B57" w14:textId="77777777" w:rsidR="002133E3" w:rsidRDefault="00C22CFA">
            <w:pPr>
              <w:rPr>
                <w:rFonts w:ascii="Times New Roman" w:eastAsia="宋体" w:hAnsi="Times New Roman" w:cs="Times New Roman"/>
              </w:rPr>
            </w:pPr>
            <w:r>
              <w:rPr>
                <w:rFonts w:ascii="Times New Roman" w:eastAsia="宋体" w:hAnsi="Times New Roman" w:cs="Times New Roman"/>
              </w:rPr>
              <w:t>未开发</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；开发量</w:t>
            </w:r>
            <w:r>
              <w:rPr>
                <w:rFonts w:ascii="Times New Roman" w:eastAsia="宋体" w:hAnsi="Times New Roman" w:cs="Times New Roman"/>
              </w:rPr>
              <w:t>40%</w:t>
            </w:r>
            <w:r>
              <w:rPr>
                <w:rFonts w:ascii="Times New Roman" w:eastAsia="宋体" w:hAnsi="Times New Roman" w:cs="Times New Roman"/>
              </w:rPr>
              <w:t>以下</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；开发量</w:t>
            </w:r>
            <w:r>
              <w:rPr>
                <w:rFonts w:ascii="Times New Roman" w:eastAsia="宋体" w:hAnsi="Times New Roman" w:cs="Times New Roman"/>
              </w:rPr>
              <w:t>40%</w:t>
            </w:r>
            <w:r>
              <w:rPr>
                <w:rFonts w:ascii="Times New Roman" w:eastAsia="宋体" w:hAnsi="Times New Roman" w:cs="Times New Roman"/>
              </w:rPr>
              <w:t>以上</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1FF3FB3D"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38EC2E77" w14:textId="77777777" w:rsidR="002133E3" w:rsidRDefault="002133E3">
            <w:pPr>
              <w:rPr>
                <w:rFonts w:ascii="Times New Roman" w:eastAsia="宋体" w:hAnsi="Times New Roman" w:cs="Times New Roman"/>
              </w:rPr>
            </w:pP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57BF6764" w14:textId="77777777" w:rsidR="002133E3" w:rsidRDefault="00C22CFA">
            <w:pPr>
              <w:rPr>
                <w:rFonts w:ascii="Times New Roman" w:eastAsia="宋体" w:hAnsi="Times New Roman" w:cs="Times New Roman"/>
              </w:rPr>
            </w:pPr>
            <w:r>
              <w:rPr>
                <w:rFonts w:ascii="Times New Roman" w:eastAsia="宋体" w:hAnsi="Times New Roman" w:cs="Times New Roman"/>
              </w:rPr>
              <w:t>水文情势调查</w:t>
            </w: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64EE5133" w14:textId="77777777" w:rsidR="002133E3" w:rsidRDefault="00C22CFA">
            <w:pPr>
              <w:rPr>
                <w:rFonts w:ascii="Times New Roman" w:eastAsia="宋体" w:hAnsi="Times New Roman" w:cs="Times New Roman"/>
              </w:rPr>
            </w:pPr>
            <w:r>
              <w:rPr>
                <w:rFonts w:ascii="Times New Roman" w:eastAsia="宋体" w:hAnsi="Times New Roman" w:cs="Times New Roman"/>
              </w:rPr>
              <w:t>调查时期</w:t>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25AE049E" w14:textId="77777777" w:rsidR="002133E3" w:rsidRDefault="00C22CFA">
            <w:pPr>
              <w:rPr>
                <w:rFonts w:ascii="Times New Roman" w:eastAsia="宋体" w:hAnsi="Times New Roman" w:cs="Times New Roman"/>
              </w:rPr>
            </w:pPr>
            <w:r>
              <w:rPr>
                <w:rFonts w:ascii="Times New Roman" w:eastAsia="宋体" w:hAnsi="Times New Roman" w:cs="Times New Roman"/>
              </w:rPr>
              <w:t>数据来源</w:t>
            </w:r>
          </w:p>
        </w:tc>
      </w:tr>
      <w:tr w:rsidR="002133E3" w14:paraId="2CC57CE9"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DFA24D4"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3063D8C5" w14:textId="77777777" w:rsidR="002133E3" w:rsidRDefault="002133E3">
            <w:pPr>
              <w:rPr>
                <w:rFonts w:ascii="Times New Roman" w:eastAsia="宋体" w:hAnsi="Times New Roman" w:cs="Times New Roman"/>
              </w:rPr>
            </w:pP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017FCBDF" w14:textId="77777777" w:rsidR="002133E3" w:rsidRDefault="00C22CFA">
            <w:pPr>
              <w:rPr>
                <w:rFonts w:ascii="Times New Roman" w:eastAsia="宋体" w:hAnsi="Times New Roman" w:cs="Times New Roman"/>
              </w:rPr>
            </w:pPr>
            <w:r>
              <w:rPr>
                <w:rFonts w:ascii="Times New Roman" w:eastAsia="宋体" w:hAnsi="Times New Roman" w:cs="Times New Roman"/>
              </w:rPr>
              <w:t>丰水期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；平水期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；枯水期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；冰封期</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1EBCD65F" w14:textId="77777777" w:rsidR="002133E3" w:rsidRDefault="00C22CFA">
            <w:pPr>
              <w:rPr>
                <w:rFonts w:ascii="Times New Roman" w:eastAsia="宋体" w:hAnsi="Times New Roman" w:cs="Times New Roman"/>
              </w:rPr>
            </w:pPr>
            <w:r>
              <w:rPr>
                <w:rFonts w:ascii="Times New Roman" w:eastAsia="宋体" w:hAnsi="Times New Roman" w:cs="Times New Roman"/>
              </w:rPr>
              <w:lastRenderedPageBreak/>
              <w:t>春季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；夏季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；秋季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；冬季</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1972" w:type="pct"/>
            <w:gridSpan w:val="5"/>
            <w:tcBorders>
              <w:top w:val="single" w:sz="4" w:space="0" w:color="auto"/>
              <w:left w:val="single" w:sz="4" w:space="0" w:color="auto"/>
              <w:bottom w:val="single" w:sz="4" w:space="0" w:color="auto"/>
              <w:right w:val="single" w:sz="4" w:space="0" w:color="auto"/>
            </w:tcBorders>
            <w:vAlign w:val="center"/>
          </w:tcPr>
          <w:p w14:paraId="4D78C25E" w14:textId="77777777" w:rsidR="002133E3" w:rsidRDefault="00C22CFA">
            <w:pPr>
              <w:rPr>
                <w:rFonts w:ascii="Times New Roman" w:eastAsia="宋体" w:hAnsi="Times New Roman" w:cs="Times New Roman"/>
              </w:rPr>
            </w:pPr>
            <w:r>
              <w:rPr>
                <w:rFonts w:ascii="Times New Roman" w:eastAsia="宋体" w:hAnsi="Times New Roman" w:cs="Times New Roman"/>
              </w:rPr>
              <w:lastRenderedPageBreak/>
              <w:t>水行政主管部门</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；补充监测</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5F70375E"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2F55AFE4" w14:textId="77777777" w:rsidR="002133E3" w:rsidRDefault="002133E3">
            <w:pPr>
              <w:rPr>
                <w:rFonts w:ascii="Times New Roman" w:eastAsia="宋体" w:hAnsi="Times New Roman" w:cs="Times New Roman"/>
              </w:rPr>
            </w:pP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05498EFB" w14:textId="77777777" w:rsidR="002133E3" w:rsidRDefault="00C22CFA">
            <w:pPr>
              <w:rPr>
                <w:rFonts w:ascii="Times New Roman" w:eastAsia="宋体" w:hAnsi="Times New Roman" w:cs="Times New Roman"/>
              </w:rPr>
            </w:pPr>
            <w:r>
              <w:rPr>
                <w:rFonts w:ascii="Times New Roman" w:eastAsia="宋体" w:hAnsi="Times New Roman" w:cs="Times New Roman"/>
              </w:rPr>
              <w:t>补充监测</w:t>
            </w: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71FEDBCB" w14:textId="77777777" w:rsidR="002133E3" w:rsidRDefault="00C22CFA">
            <w:pPr>
              <w:rPr>
                <w:rFonts w:ascii="Times New Roman" w:eastAsia="宋体" w:hAnsi="Times New Roman" w:cs="Times New Roman"/>
              </w:rPr>
            </w:pPr>
            <w:r>
              <w:rPr>
                <w:rFonts w:ascii="Times New Roman" w:eastAsia="宋体" w:hAnsi="Times New Roman" w:cs="Times New Roman"/>
              </w:rPr>
              <w:t>监测时期</w:t>
            </w:r>
          </w:p>
        </w:tc>
        <w:tc>
          <w:tcPr>
            <w:tcW w:w="1030" w:type="pct"/>
            <w:gridSpan w:val="2"/>
            <w:tcBorders>
              <w:top w:val="single" w:sz="4" w:space="0" w:color="auto"/>
              <w:left w:val="single" w:sz="4" w:space="0" w:color="auto"/>
              <w:bottom w:val="single" w:sz="4" w:space="0" w:color="auto"/>
              <w:right w:val="single" w:sz="4" w:space="0" w:color="auto"/>
            </w:tcBorders>
            <w:vAlign w:val="center"/>
          </w:tcPr>
          <w:p w14:paraId="5942E5D1" w14:textId="77777777" w:rsidR="002133E3" w:rsidRDefault="00C22CFA">
            <w:pPr>
              <w:rPr>
                <w:rFonts w:ascii="Times New Roman" w:eastAsia="宋体" w:hAnsi="Times New Roman" w:cs="Times New Roman"/>
              </w:rPr>
            </w:pPr>
            <w:r>
              <w:rPr>
                <w:rFonts w:ascii="Times New Roman" w:eastAsia="宋体" w:hAnsi="Times New Roman" w:cs="Times New Roman"/>
              </w:rPr>
              <w:t>监测因子</w:t>
            </w:r>
          </w:p>
        </w:tc>
        <w:tc>
          <w:tcPr>
            <w:tcW w:w="942" w:type="pct"/>
            <w:gridSpan w:val="3"/>
            <w:tcBorders>
              <w:top w:val="single" w:sz="4" w:space="0" w:color="auto"/>
              <w:left w:val="single" w:sz="4" w:space="0" w:color="auto"/>
              <w:bottom w:val="single" w:sz="4" w:space="0" w:color="auto"/>
              <w:right w:val="single" w:sz="4" w:space="0" w:color="auto"/>
            </w:tcBorders>
            <w:vAlign w:val="center"/>
          </w:tcPr>
          <w:p w14:paraId="7677727E" w14:textId="77777777" w:rsidR="002133E3" w:rsidRDefault="00C22CFA">
            <w:pPr>
              <w:rPr>
                <w:rFonts w:ascii="Times New Roman" w:eastAsia="宋体" w:hAnsi="Times New Roman" w:cs="Times New Roman"/>
              </w:rPr>
            </w:pPr>
            <w:r>
              <w:rPr>
                <w:rFonts w:ascii="Times New Roman" w:eastAsia="宋体" w:hAnsi="Times New Roman" w:cs="Times New Roman"/>
              </w:rPr>
              <w:t>监测段面或点位</w:t>
            </w:r>
          </w:p>
        </w:tc>
      </w:tr>
      <w:tr w:rsidR="002133E3" w14:paraId="48037BCC"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F090B0E"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48FA063B" w14:textId="77777777" w:rsidR="002133E3" w:rsidRDefault="002133E3">
            <w:pPr>
              <w:rPr>
                <w:rFonts w:ascii="Times New Roman" w:eastAsia="宋体" w:hAnsi="Times New Roman" w:cs="Times New Roman"/>
              </w:rPr>
            </w:pPr>
          </w:p>
        </w:tc>
        <w:tc>
          <w:tcPr>
            <w:tcW w:w="1996" w:type="pct"/>
            <w:gridSpan w:val="6"/>
            <w:tcBorders>
              <w:top w:val="single" w:sz="4" w:space="0" w:color="auto"/>
              <w:left w:val="single" w:sz="4" w:space="0" w:color="auto"/>
              <w:bottom w:val="single" w:sz="4" w:space="0" w:color="auto"/>
              <w:right w:val="single" w:sz="4" w:space="0" w:color="auto"/>
            </w:tcBorders>
            <w:vAlign w:val="center"/>
          </w:tcPr>
          <w:p w14:paraId="3ACDDFDF" w14:textId="77777777" w:rsidR="002133E3" w:rsidRDefault="00C22CFA">
            <w:pPr>
              <w:rPr>
                <w:rFonts w:ascii="Times New Roman" w:eastAsia="宋体" w:hAnsi="Times New Roman" w:cs="Times New Roman"/>
              </w:rPr>
            </w:pPr>
            <w:r>
              <w:rPr>
                <w:rFonts w:ascii="Times New Roman" w:eastAsia="宋体" w:hAnsi="Times New Roman" w:cs="Times New Roman"/>
              </w:rPr>
              <w:t>丰水期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；平水期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；枯水期</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；冰封期</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07125112" w14:textId="77777777" w:rsidR="002133E3" w:rsidRDefault="00C22CFA">
            <w:pPr>
              <w:rPr>
                <w:rFonts w:ascii="Times New Roman" w:eastAsia="宋体" w:hAnsi="Times New Roman" w:cs="Times New Roman"/>
              </w:rPr>
            </w:pPr>
            <w:r>
              <w:rPr>
                <w:rFonts w:ascii="Times New Roman" w:eastAsia="宋体" w:hAnsi="Times New Roman" w:cs="Times New Roman"/>
              </w:rPr>
              <w:t>春季</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；夏季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；秋季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；冬季</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1030" w:type="pct"/>
            <w:gridSpan w:val="2"/>
            <w:tcBorders>
              <w:top w:val="single" w:sz="4" w:space="0" w:color="auto"/>
              <w:left w:val="single" w:sz="4" w:space="0" w:color="auto"/>
              <w:bottom w:val="single" w:sz="4" w:space="0" w:color="auto"/>
              <w:right w:val="single" w:sz="4" w:space="0" w:color="auto"/>
            </w:tcBorders>
            <w:vAlign w:val="center"/>
          </w:tcPr>
          <w:p w14:paraId="64BCD7F5" w14:textId="77777777" w:rsidR="002133E3" w:rsidRDefault="00C22CFA">
            <w:pPr>
              <w:rPr>
                <w:rFonts w:ascii="Times New Roman" w:eastAsia="宋体" w:hAnsi="Times New Roman" w:cs="Times New Roman"/>
                <w:highlight w:val="yellow"/>
              </w:rPr>
            </w:pPr>
            <w:r>
              <w:rPr>
                <w:rFonts w:ascii="Times New Roman" w:eastAsia="宋体" w:hAnsi="Times New Roman" w:cs="Times New Roman"/>
              </w:rPr>
              <w:t>（</w:t>
            </w:r>
            <w:r>
              <w:rPr>
                <w:rFonts w:ascii="Times New Roman" w:eastAsia="宋体" w:hAnsi="Times New Roman" w:cs="Times New Roman"/>
              </w:rPr>
              <w:t>COD</w:t>
            </w:r>
            <w:r>
              <w:rPr>
                <w:rFonts w:ascii="Times New Roman" w:eastAsia="宋体" w:hAnsi="Times New Roman" w:cs="Times New Roman"/>
              </w:rPr>
              <w:t>、氨氮、总磷、高锰酸盐指数、</w:t>
            </w:r>
            <w:r>
              <w:rPr>
                <w:rFonts w:ascii="Times New Roman" w:eastAsia="宋体" w:hAnsi="Times New Roman" w:cs="Times New Roman"/>
                <w:caps/>
                <w:szCs w:val="21"/>
              </w:rPr>
              <w:t>无机氮、活性磷酸盐</w:t>
            </w:r>
            <w:r>
              <w:rPr>
                <w:rFonts w:ascii="Times New Roman" w:eastAsia="宋体" w:hAnsi="Times New Roman" w:cs="Times New Roman"/>
              </w:rPr>
              <w:t>）</w:t>
            </w:r>
          </w:p>
        </w:tc>
        <w:tc>
          <w:tcPr>
            <w:tcW w:w="942" w:type="pct"/>
            <w:gridSpan w:val="3"/>
            <w:tcBorders>
              <w:top w:val="single" w:sz="4" w:space="0" w:color="auto"/>
              <w:left w:val="single" w:sz="4" w:space="0" w:color="auto"/>
              <w:bottom w:val="single" w:sz="4" w:space="0" w:color="auto"/>
              <w:right w:val="single" w:sz="4" w:space="0" w:color="auto"/>
            </w:tcBorders>
            <w:vAlign w:val="center"/>
          </w:tcPr>
          <w:p w14:paraId="3BB5C997" w14:textId="77777777" w:rsidR="002133E3" w:rsidRDefault="00C22CFA">
            <w:pPr>
              <w:rPr>
                <w:rFonts w:ascii="Times New Roman" w:eastAsia="宋体" w:hAnsi="Times New Roman" w:cs="Times New Roman"/>
                <w:highlight w:val="yellow"/>
              </w:rPr>
            </w:pPr>
            <w:r>
              <w:rPr>
                <w:rFonts w:ascii="Times New Roman" w:eastAsia="宋体" w:hAnsi="Times New Roman" w:cs="Times New Roman"/>
              </w:rPr>
              <w:t>监测断面或点位个数（</w:t>
            </w:r>
            <w:r>
              <w:rPr>
                <w:rFonts w:ascii="Times New Roman" w:eastAsia="宋体" w:hAnsi="Times New Roman" w:cs="Times New Roman"/>
              </w:rPr>
              <w:t>5</w:t>
            </w:r>
            <w:r>
              <w:rPr>
                <w:rFonts w:ascii="Times New Roman" w:eastAsia="宋体" w:hAnsi="Times New Roman" w:cs="Times New Roman"/>
              </w:rPr>
              <w:t>）个</w:t>
            </w:r>
          </w:p>
        </w:tc>
      </w:tr>
      <w:tr w:rsidR="002133E3" w14:paraId="7A246DD4" w14:textId="77777777">
        <w:tc>
          <w:tcPr>
            <w:tcW w:w="227" w:type="pct"/>
            <w:vMerge w:val="restart"/>
            <w:tcBorders>
              <w:top w:val="single" w:sz="4" w:space="0" w:color="auto"/>
              <w:left w:val="single" w:sz="4" w:space="0" w:color="auto"/>
              <w:bottom w:val="single" w:sz="4" w:space="0" w:color="auto"/>
              <w:right w:val="single" w:sz="4" w:space="0" w:color="auto"/>
            </w:tcBorders>
            <w:vAlign w:val="center"/>
          </w:tcPr>
          <w:p w14:paraId="48B12810" w14:textId="77777777" w:rsidR="002133E3" w:rsidRDefault="00C22CFA">
            <w:pPr>
              <w:rPr>
                <w:rFonts w:ascii="Times New Roman" w:eastAsia="宋体" w:hAnsi="Times New Roman" w:cs="Times New Roman"/>
              </w:rPr>
            </w:pPr>
            <w:r>
              <w:rPr>
                <w:rFonts w:ascii="Times New Roman" w:eastAsia="宋体" w:hAnsi="Times New Roman" w:cs="Times New Roman"/>
              </w:rPr>
              <w:t>现状评价</w:t>
            </w:r>
          </w:p>
        </w:tc>
        <w:tc>
          <w:tcPr>
            <w:tcW w:w="805" w:type="pct"/>
            <w:tcBorders>
              <w:top w:val="single" w:sz="4" w:space="0" w:color="auto"/>
              <w:left w:val="single" w:sz="4" w:space="0" w:color="auto"/>
              <w:bottom w:val="single" w:sz="4" w:space="0" w:color="auto"/>
              <w:right w:val="single" w:sz="4" w:space="0" w:color="auto"/>
            </w:tcBorders>
            <w:vAlign w:val="center"/>
          </w:tcPr>
          <w:p w14:paraId="4F5AB751" w14:textId="77777777" w:rsidR="002133E3" w:rsidRDefault="00C22CFA">
            <w:pPr>
              <w:rPr>
                <w:rFonts w:ascii="Times New Roman" w:eastAsia="宋体" w:hAnsi="Times New Roman" w:cs="Times New Roman"/>
              </w:rPr>
            </w:pPr>
            <w:r>
              <w:rPr>
                <w:rFonts w:ascii="Times New Roman" w:eastAsia="宋体" w:hAnsi="Times New Roman" w:cs="Times New Roman"/>
              </w:rPr>
              <w:t>评价范围</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66377F88" w14:textId="77777777" w:rsidR="002133E3" w:rsidRDefault="00C22CFA">
            <w:pPr>
              <w:rPr>
                <w:rFonts w:ascii="Times New Roman" w:eastAsia="宋体" w:hAnsi="Times New Roman" w:cs="Times New Roman"/>
              </w:rPr>
            </w:pPr>
            <w:r>
              <w:rPr>
                <w:rFonts w:ascii="Times New Roman" w:eastAsia="宋体" w:hAnsi="Times New Roman" w:cs="Times New Roman"/>
              </w:rPr>
              <w:t>河流：长度（</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km</w:t>
            </w:r>
            <w:r>
              <w:rPr>
                <w:rFonts w:ascii="Times New Roman" w:eastAsia="宋体" w:hAnsi="Times New Roman" w:cs="Times New Roman"/>
              </w:rPr>
              <w:t>；湖库、河口及近岸海域：面积（</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km2</w:t>
            </w:r>
          </w:p>
        </w:tc>
      </w:tr>
      <w:tr w:rsidR="002133E3" w14:paraId="088C69AB"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2964DA8"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3B2E18BF" w14:textId="77777777" w:rsidR="002133E3" w:rsidRDefault="00C22CFA">
            <w:pPr>
              <w:rPr>
                <w:rFonts w:ascii="Times New Roman" w:eastAsia="宋体" w:hAnsi="Times New Roman" w:cs="Times New Roman"/>
              </w:rPr>
            </w:pPr>
            <w:r>
              <w:rPr>
                <w:rFonts w:ascii="Times New Roman" w:eastAsia="宋体" w:hAnsi="Times New Roman" w:cs="Times New Roman"/>
              </w:rPr>
              <w:t>评价因子</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727834BF"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COD</w:t>
            </w:r>
            <w:r>
              <w:rPr>
                <w:rFonts w:ascii="Times New Roman" w:eastAsia="宋体" w:hAnsi="Times New Roman" w:cs="Times New Roman"/>
              </w:rPr>
              <w:t>、氨氮、总磷、高锰酸盐指数、</w:t>
            </w:r>
            <w:r>
              <w:rPr>
                <w:rFonts w:ascii="Times New Roman" w:eastAsia="宋体" w:hAnsi="Times New Roman" w:cs="Times New Roman"/>
                <w:caps/>
                <w:szCs w:val="21"/>
              </w:rPr>
              <w:t>无机氮、活性磷酸盐</w:t>
            </w:r>
            <w:r>
              <w:rPr>
                <w:rFonts w:ascii="Times New Roman" w:eastAsia="宋体" w:hAnsi="Times New Roman" w:cs="Times New Roman"/>
              </w:rPr>
              <w:t>）</w:t>
            </w:r>
          </w:p>
        </w:tc>
      </w:tr>
      <w:tr w:rsidR="002133E3" w14:paraId="4C441F75"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0DBE765A"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5ECF1B22" w14:textId="77777777" w:rsidR="002133E3" w:rsidRDefault="00C22CFA">
            <w:pPr>
              <w:rPr>
                <w:rFonts w:ascii="Times New Roman" w:eastAsia="宋体" w:hAnsi="Times New Roman" w:cs="Times New Roman"/>
              </w:rPr>
            </w:pPr>
            <w:r>
              <w:rPr>
                <w:rFonts w:ascii="Times New Roman" w:eastAsia="宋体" w:hAnsi="Times New Roman" w:cs="Times New Roman"/>
              </w:rPr>
              <w:t>评价标准</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4A50C948" w14:textId="77777777" w:rsidR="002133E3" w:rsidRDefault="00C22CFA">
            <w:pPr>
              <w:rPr>
                <w:rFonts w:ascii="Times New Roman" w:eastAsia="宋体" w:hAnsi="Times New Roman" w:cs="Times New Roman"/>
              </w:rPr>
            </w:pPr>
            <w:r>
              <w:rPr>
                <w:rFonts w:ascii="Times New Roman" w:eastAsia="宋体" w:hAnsi="Times New Roman" w:cs="Times New Roman"/>
              </w:rPr>
              <w:t>河流、湖库、河口：</w:t>
            </w:r>
            <w:r>
              <w:rPr>
                <w:rFonts w:ascii="Times New Roman" w:eastAsia="宋体" w:hAnsi="Times New Roman" w:cs="Times New Roman"/>
              </w:rPr>
              <w:t>I</w:t>
            </w:r>
            <w:r>
              <w:rPr>
                <w:rFonts w:ascii="Times New Roman" w:eastAsia="宋体" w:hAnsi="Times New Roman" w:cs="Times New Roman"/>
              </w:rPr>
              <w:t>类</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w:t>
            </w:r>
            <w:r>
              <w:rPr>
                <w:rFonts w:ascii="Times New Roman" w:eastAsia="宋体" w:hAnsi="Times New Roman" w:cs="Times New Roman"/>
              </w:rPr>
              <w:t>II</w:t>
            </w:r>
            <w:r>
              <w:rPr>
                <w:rFonts w:ascii="Times New Roman" w:eastAsia="宋体" w:hAnsi="Times New Roman" w:cs="Times New Roman"/>
              </w:rPr>
              <w:t>类</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w:t>
            </w:r>
            <w:r>
              <w:rPr>
                <w:rFonts w:ascii="Times New Roman" w:eastAsia="宋体" w:hAnsi="Times New Roman" w:cs="Times New Roman"/>
              </w:rPr>
              <w:t>III</w:t>
            </w:r>
            <w:r>
              <w:rPr>
                <w:rFonts w:ascii="Times New Roman" w:eastAsia="宋体" w:hAnsi="Times New Roman" w:cs="Times New Roman"/>
              </w:rPr>
              <w:t>类</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w:t>
            </w:r>
            <w:r>
              <w:rPr>
                <w:rFonts w:ascii="Times New Roman" w:eastAsia="宋体" w:hAnsi="Times New Roman" w:cs="Times New Roman"/>
              </w:rPr>
              <w:t>IV</w:t>
            </w:r>
            <w:r>
              <w:rPr>
                <w:rFonts w:ascii="Times New Roman" w:eastAsia="宋体" w:hAnsi="Times New Roman" w:cs="Times New Roman"/>
              </w:rPr>
              <w:t>类</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w:t>
            </w:r>
            <w:r>
              <w:rPr>
                <w:rFonts w:ascii="Times New Roman" w:eastAsia="宋体" w:hAnsi="Times New Roman" w:cs="Times New Roman"/>
              </w:rPr>
              <w:t>V</w:t>
            </w:r>
            <w:r>
              <w:rPr>
                <w:rFonts w:ascii="Times New Roman" w:eastAsia="宋体" w:hAnsi="Times New Roman" w:cs="Times New Roman"/>
              </w:rPr>
              <w:t>类</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1846B882" w14:textId="77777777" w:rsidR="002133E3" w:rsidRDefault="00C22CFA">
            <w:pPr>
              <w:rPr>
                <w:rFonts w:ascii="Times New Roman" w:eastAsia="宋体" w:hAnsi="Times New Roman" w:cs="Times New Roman"/>
              </w:rPr>
            </w:pPr>
            <w:r>
              <w:rPr>
                <w:rFonts w:ascii="Times New Roman" w:eastAsia="宋体" w:hAnsi="Times New Roman" w:cs="Times New Roman"/>
              </w:rPr>
              <w:t>近岸海域：第一类</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；第二类</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；第三类</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；第四类</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6C211589" w14:textId="77777777" w:rsidR="002133E3" w:rsidRDefault="00C22CFA">
            <w:pPr>
              <w:rPr>
                <w:rFonts w:ascii="Times New Roman" w:eastAsia="宋体" w:hAnsi="Times New Roman" w:cs="Times New Roman"/>
              </w:rPr>
            </w:pPr>
            <w:r>
              <w:rPr>
                <w:rFonts w:ascii="Times New Roman" w:eastAsia="宋体" w:hAnsi="Times New Roman" w:cs="Times New Roman"/>
              </w:rPr>
              <w:t>规划年评价标准（</w:t>
            </w:r>
            <w:r>
              <w:rPr>
                <w:rFonts w:ascii="Times New Roman" w:eastAsia="宋体" w:hAnsi="Times New Roman" w:cs="Times New Roman"/>
              </w:rPr>
              <w:t xml:space="preserve">GB3838-2002 </w:t>
            </w:r>
            <w:r>
              <w:rPr>
                <w:rFonts w:ascii="Times New Roman" w:eastAsia="宋体" w:hAnsi="Times New Roman" w:cs="Times New Roman"/>
              </w:rPr>
              <w:t>中</w:t>
            </w:r>
            <w:r>
              <w:rPr>
                <w:rFonts w:ascii="Times New Roman" w:eastAsia="宋体" w:hAnsi="Times New Roman" w:cs="Times New Roman"/>
              </w:rPr>
              <w:t>V</w:t>
            </w:r>
            <w:r>
              <w:rPr>
                <w:rFonts w:ascii="Times New Roman" w:eastAsia="宋体" w:hAnsi="Times New Roman" w:cs="Times New Roman"/>
              </w:rPr>
              <w:t>类水体）</w:t>
            </w:r>
          </w:p>
        </w:tc>
      </w:tr>
      <w:tr w:rsidR="002133E3" w14:paraId="0A9C6231"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C779A8D"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43710543" w14:textId="77777777" w:rsidR="002133E3" w:rsidRDefault="00C22CFA">
            <w:pPr>
              <w:rPr>
                <w:rFonts w:ascii="Times New Roman" w:eastAsia="宋体" w:hAnsi="Times New Roman" w:cs="Times New Roman"/>
              </w:rPr>
            </w:pPr>
            <w:r>
              <w:rPr>
                <w:rFonts w:ascii="Times New Roman" w:eastAsia="宋体" w:hAnsi="Times New Roman" w:cs="Times New Roman"/>
              </w:rPr>
              <w:t>评价时期</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61E3C6DC" w14:textId="77777777" w:rsidR="002133E3" w:rsidRDefault="00C22CFA">
            <w:pPr>
              <w:rPr>
                <w:rFonts w:ascii="Times New Roman" w:eastAsia="宋体" w:hAnsi="Times New Roman" w:cs="Times New Roman"/>
              </w:rPr>
            </w:pPr>
            <w:r>
              <w:rPr>
                <w:rFonts w:ascii="Times New Roman" w:eastAsia="宋体" w:hAnsi="Times New Roman" w:cs="Times New Roman"/>
              </w:rPr>
              <w:t>丰水期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；平水期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；枯水期</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；冰封期</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7A50D8DC" w14:textId="77777777" w:rsidR="002133E3" w:rsidRDefault="00C22CFA">
            <w:pPr>
              <w:rPr>
                <w:rFonts w:ascii="Times New Roman" w:eastAsia="宋体" w:hAnsi="Times New Roman" w:cs="Times New Roman"/>
              </w:rPr>
            </w:pPr>
            <w:r>
              <w:rPr>
                <w:rFonts w:ascii="Times New Roman" w:eastAsia="宋体" w:hAnsi="Times New Roman" w:cs="Times New Roman"/>
              </w:rPr>
              <w:t>春季</w:t>
            </w:r>
            <w:r>
              <w:rPr>
                <w:rFonts w:ascii="Times New Roman" w:eastAsia="宋体" w:hAnsi="Times New Roman" w:cs="Times New Roman"/>
              </w:rPr>
              <w:t xml:space="preserve"> </w:t>
            </w:r>
            <w:r>
              <w:rPr>
                <w:rFonts w:ascii="Times New Roman" w:eastAsia="宋体" w:hAnsi="Times New Roman" w:cs="Times New Roman"/>
              </w:rPr>
              <w:sym w:font="Wingdings 2" w:char="0052"/>
            </w:r>
            <w:r>
              <w:rPr>
                <w:rFonts w:ascii="Times New Roman" w:eastAsia="宋体" w:hAnsi="Times New Roman" w:cs="Times New Roman"/>
              </w:rPr>
              <w:t>；夏季</w:t>
            </w:r>
            <w:r>
              <w:rPr>
                <w:rFonts w:ascii="Times New Roman" w:eastAsia="宋体" w:hAnsi="Times New Roman" w:cs="Times New Roman"/>
              </w:rPr>
              <w:t xml:space="preserve"> </w:t>
            </w:r>
            <w:r>
              <w:rPr>
                <w:rFonts w:ascii="Times New Roman" w:eastAsia="宋体" w:hAnsi="Times New Roman" w:cs="Times New Roman"/>
              </w:rPr>
              <w:sym w:font="Wingdings 2" w:char="00A3"/>
            </w:r>
            <w:r>
              <w:rPr>
                <w:rFonts w:ascii="Times New Roman" w:eastAsia="宋体" w:hAnsi="Times New Roman" w:cs="Times New Roman"/>
              </w:rPr>
              <w:t>；秋季</w:t>
            </w:r>
            <w:r>
              <w:rPr>
                <w:rFonts w:ascii="Times New Roman" w:eastAsia="宋体" w:hAnsi="Times New Roman" w:cs="Times New Roman"/>
              </w:rPr>
              <w:t xml:space="preserve"> </w:t>
            </w:r>
            <w:r>
              <w:rPr>
                <w:rFonts w:ascii="Times New Roman" w:eastAsia="宋体" w:hAnsi="Times New Roman" w:cs="Times New Roman"/>
              </w:rPr>
              <w:sym w:font="Wingdings 2" w:char="00A3"/>
            </w:r>
            <w:r>
              <w:rPr>
                <w:rFonts w:ascii="Times New Roman" w:eastAsia="宋体" w:hAnsi="Times New Roman" w:cs="Times New Roman"/>
              </w:rPr>
              <w:t>；冬季</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09DE609A"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2C6FA56E"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522A2635" w14:textId="77777777" w:rsidR="002133E3" w:rsidRDefault="00C22CFA">
            <w:pPr>
              <w:rPr>
                <w:rFonts w:ascii="Times New Roman" w:eastAsia="宋体" w:hAnsi="Times New Roman" w:cs="Times New Roman"/>
              </w:rPr>
            </w:pPr>
            <w:r>
              <w:rPr>
                <w:rFonts w:ascii="Times New Roman" w:eastAsia="宋体" w:hAnsi="Times New Roman" w:cs="Times New Roman"/>
              </w:rPr>
              <w:t>评价结论</w:t>
            </w:r>
          </w:p>
        </w:tc>
        <w:tc>
          <w:tcPr>
            <w:tcW w:w="3168" w:type="pct"/>
            <w:gridSpan w:val="10"/>
            <w:tcBorders>
              <w:top w:val="single" w:sz="4" w:space="0" w:color="auto"/>
              <w:left w:val="single" w:sz="4" w:space="0" w:color="auto"/>
              <w:bottom w:val="single" w:sz="4" w:space="0" w:color="auto"/>
              <w:right w:val="single" w:sz="4" w:space="0" w:color="auto"/>
            </w:tcBorders>
            <w:vAlign w:val="center"/>
          </w:tcPr>
          <w:p w14:paraId="36089067" w14:textId="77777777" w:rsidR="002133E3" w:rsidRDefault="00C22CFA">
            <w:pPr>
              <w:rPr>
                <w:rFonts w:ascii="Times New Roman" w:eastAsia="宋体" w:hAnsi="Times New Roman" w:cs="Times New Roman"/>
              </w:rPr>
            </w:pPr>
            <w:r>
              <w:rPr>
                <w:rFonts w:ascii="Times New Roman" w:eastAsia="宋体" w:hAnsi="Times New Roman" w:cs="Times New Roman"/>
              </w:rPr>
              <w:t>水环境功能区或水功能区、近岸海域环境功能区水质达标情况</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：达标</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；不达标</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01988E66" w14:textId="77777777" w:rsidR="002133E3" w:rsidRDefault="00C22CFA">
            <w:pPr>
              <w:rPr>
                <w:rFonts w:ascii="Times New Roman" w:eastAsia="宋体" w:hAnsi="Times New Roman" w:cs="Times New Roman"/>
              </w:rPr>
            </w:pPr>
            <w:r>
              <w:rPr>
                <w:rFonts w:ascii="Times New Roman" w:eastAsia="宋体" w:hAnsi="Times New Roman" w:cs="Times New Roman"/>
              </w:rPr>
              <w:t>水环境控制单元或断面水质达标状况</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：达标</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；不达标</w:t>
            </w:r>
            <w:r>
              <w:rPr>
                <w:rFonts w:ascii="Times New Roman" w:eastAsia="宋体" w:hAnsi="Times New Roman" w:cs="Times New Roman"/>
              </w:rPr>
              <w:t xml:space="preserve"> </w:t>
            </w:r>
            <w:r>
              <w:rPr>
                <w:rFonts w:ascii="Times New Roman" w:eastAsia="宋体" w:hAnsi="Times New Roman" w:cs="Times New Roman"/>
              </w:rPr>
              <w:sym w:font="Wingdings 2" w:char="F052"/>
            </w:r>
          </w:p>
          <w:p w14:paraId="549B7D66" w14:textId="77777777" w:rsidR="002133E3" w:rsidRDefault="00C22CFA">
            <w:pPr>
              <w:rPr>
                <w:rFonts w:ascii="Times New Roman" w:eastAsia="宋体" w:hAnsi="Times New Roman" w:cs="Times New Roman"/>
              </w:rPr>
            </w:pPr>
            <w:r>
              <w:rPr>
                <w:rFonts w:ascii="Times New Roman" w:eastAsia="宋体" w:hAnsi="Times New Roman" w:cs="Times New Roman"/>
              </w:rPr>
              <w:t>水环境保护目标质量状况</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：达标</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；不达标</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6C26A18C" w14:textId="77777777" w:rsidR="002133E3" w:rsidRDefault="00C22CFA">
            <w:pPr>
              <w:rPr>
                <w:rFonts w:ascii="Times New Roman" w:eastAsia="宋体" w:hAnsi="Times New Roman" w:cs="Times New Roman"/>
              </w:rPr>
            </w:pPr>
            <w:r>
              <w:rPr>
                <w:rFonts w:ascii="Times New Roman" w:eastAsia="宋体" w:hAnsi="Times New Roman" w:cs="Times New Roman"/>
              </w:rPr>
              <w:t>对照断面、控制断面等代表性断面的水质状况</w:t>
            </w:r>
            <w:r>
              <w:rPr>
                <w:rFonts w:ascii="Times New Roman" w:eastAsia="宋体" w:hAnsi="Times New Roman" w:cs="Times New Roman"/>
              </w:rPr>
              <w:sym w:font="Wingdings 2" w:char="F0A3"/>
            </w:r>
            <w:r>
              <w:rPr>
                <w:rFonts w:ascii="Times New Roman" w:eastAsia="宋体" w:hAnsi="Times New Roman" w:cs="Times New Roman"/>
              </w:rPr>
              <w:t>：达标</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；不达标</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211067F4" w14:textId="77777777" w:rsidR="002133E3" w:rsidRDefault="00C22CFA">
            <w:pPr>
              <w:rPr>
                <w:rFonts w:ascii="Times New Roman" w:eastAsia="宋体" w:hAnsi="Times New Roman" w:cs="Times New Roman"/>
              </w:rPr>
            </w:pPr>
            <w:r>
              <w:rPr>
                <w:rFonts w:ascii="Times New Roman" w:eastAsia="宋体" w:hAnsi="Times New Roman" w:cs="Times New Roman"/>
              </w:rPr>
              <w:t>底泥污染评价</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0D70CB4B" w14:textId="77777777" w:rsidR="002133E3" w:rsidRDefault="00C22CFA">
            <w:pPr>
              <w:rPr>
                <w:rFonts w:ascii="Times New Roman" w:eastAsia="宋体" w:hAnsi="Times New Roman" w:cs="Times New Roman"/>
              </w:rPr>
            </w:pPr>
            <w:r>
              <w:rPr>
                <w:rFonts w:ascii="Times New Roman" w:eastAsia="宋体" w:hAnsi="Times New Roman" w:cs="Times New Roman"/>
              </w:rPr>
              <w:t>水资源与开发利用程度及其水文情势评价</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3B33B2F2" w14:textId="77777777" w:rsidR="002133E3" w:rsidRDefault="00C22CFA">
            <w:pPr>
              <w:rPr>
                <w:rFonts w:ascii="Times New Roman" w:eastAsia="宋体" w:hAnsi="Times New Roman" w:cs="Times New Roman"/>
              </w:rPr>
            </w:pPr>
            <w:r>
              <w:rPr>
                <w:rFonts w:ascii="Times New Roman" w:eastAsia="宋体" w:hAnsi="Times New Roman" w:cs="Times New Roman"/>
              </w:rPr>
              <w:t>水环境质量回顾评价</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4964B851" w14:textId="77777777" w:rsidR="002133E3" w:rsidRDefault="00C22CFA">
            <w:pPr>
              <w:rPr>
                <w:rFonts w:ascii="Times New Roman" w:eastAsia="宋体" w:hAnsi="Times New Roman" w:cs="Times New Roman"/>
              </w:rPr>
            </w:pPr>
            <w:r>
              <w:rPr>
                <w:rFonts w:ascii="Times New Roman" w:eastAsia="宋体" w:hAnsi="Times New Roman" w:cs="Times New Roman"/>
              </w:rPr>
              <w:t>流域（区域）水资源（包括水能资源）与开发利用总体状况、生态流量管理要求与现状满足程度、建设项目占用水域空间的水流状况与河湖演变状况</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800" w:type="pct"/>
            <w:tcBorders>
              <w:top w:val="single" w:sz="4" w:space="0" w:color="auto"/>
              <w:left w:val="single" w:sz="4" w:space="0" w:color="auto"/>
              <w:bottom w:val="single" w:sz="4" w:space="0" w:color="auto"/>
              <w:right w:val="single" w:sz="4" w:space="0" w:color="auto"/>
            </w:tcBorders>
            <w:vAlign w:val="center"/>
          </w:tcPr>
          <w:p w14:paraId="37FFE36D" w14:textId="77777777" w:rsidR="002133E3" w:rsidRDefault="00C22CFA">
            <w:pPr>
              <w:rPr>
                <w:rFonts w:ascii="Times New Roman" w:eastAsia="宋体" w:hAnsi="Times New Roman" w:cs="Times New Roman"/>
              </w:rPr>
            </w:pPr>
            <w:r>
              <w:rPr>
                <w:rFonts w:ascii="Times New Roman" w:eastAsia="宋体" w:hAnsi="Times New Roman" w:cs="Times New Roman"/>
              </w:rPr>
              <w:t>达标区</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6EC4AAEE" w14:textId="77777777" w:rsidR="002133E3" w:rsidRDefault="00C22CFA">
            <w:pPr>
              <w:rPr>
                <w:rFonts w:ascii="Times New Roman" w:eastAsia="宋体" w:hAnsi="Times New Roman" w:cs="Times New Roman"/>
              </w:rPr>
            </w:pPr>
            <w:r>
              <w:rPr>
                <w:rFonts w:ascii="Times New Roman" w:eastAsia="宋体" w:hAnsi="Times New Roman" w:cs="Times New Roman"/>
              </w:rPr>
              <w:t>不达标区</w:t>
            </w:r>
            <w:r>
              <w:rPr>
                <w:rFonts w:ascii="Times New Roman" w:eastAsia="宋体" w:hAnsi="Times New Roman" w:cs="Times New Roman"/>
              </w:rPr>
              <w:t xml:space="preserve"> </w:t>
            </w:r>
            <w:r>
              <w:rPr>
                <w:rFonts w:ascii="Times New Roman" w:eastAsia="宋体" w:hAnsi="Times New Roman" w:cs="Times New Roman"/>
              </w:rPr>
              <w:sym w:font="Wingdings 2" w:char="F052"/>
            </w:r>
          </w:p>
        </w:tc>
      </w:tr>
      <w:tr w:rsidR="002133E3" w14:paraId="6254997B" w14:textId="77777777">
        <w:tc>
          <w:tcPr>
            <w:tcW w:w="227" w:type="pct"/>
            <w:vMerge w:val="restart"/>
            <w:tcBorders>
              <w:top w:val="single" w:sz="4" w:space="0" w:color="auto"/>
              <w:left w:val="single" w:sz="4" w:space="0" w:color="auto"/>
              <w:bottom w:val="single" w:sz="4" w:space="0" w:color="auto"/>
              <w:right w:val="single" w:sz="4" w:space="0" w:color="auto"/>
            </w:tcBorders>
            <w:vAlign w:val="center"/>
          </w:tcPr>
          <w:p w14:paraId="332CBC67" w14:textId="77777777" w:rsidR="002133E3" w:rsidRDefault="00C22CFA">
            <w:pPr>
              <w:rPr>
                <w:rFonts w:ascii="Times New Roman" w:eastAsia="宋体" w:hAnsi="Times New Roman" w:cs="Times New Roman"/>
              </w:rPr>
            </w:pPr>
            <w:r>
              <w:rPr>
                <w:rFonts w:ascii="Times New Roman" w:eastAsia="宋体" w:hAnsi="Times New Roman" w:cs="Times New Roman"/>
              </w:rPr>
              <w:t>影响预测</w:t>
            </w:r>
          </w:p>
        </w:tc>
        <w:tc>
          <w:tcPr>
            <w:tcW w:w="805" w:type="pct"/>
            <w:tcBorders>
              <w:top w:val="single" w:sz="4" w:space="0" w:color="auto"/>
              <w:left w:val="single" w:sz="4" w:space="0" w:color="auto"/>
              <w:bottom w:val="single" w:sz="4" w:space="0" w:color="auto"/>
              <w:right w:val="single" w:sz="4" w:space="0" w:color="auto"/>
            </w:tcBorders>
            <w:vAlign w:val="center"/>
          </w:tcPr>
          <w:p w14:paraId="564487B2" w14:textId="77777777" w:rsidR="002133E3" w:rsidRDefault="00C22CFA">
            <w:pPr>
              <w:rPr>
                <w:rFonts w:ascii="Times New Roman" w:eastAsia="宋体" w:hAnsi="Times New Roman" w:cs="Times New Roman"/>
              </w:rPr>
            </w:pPr>
            <w:r>
              <w:rPr>
                <w:rFonts w:ascii="Times New Roman" w:eastAsia="宋体" w:hAnsi="Times New Roman" w:cs="Times New Roman"/>
              </w:rPr>
              <w:t>预测范围</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1E168E0F" w14:textId="77777777" w:rsidR="002133E3" w:rsidRDefault="00C22CFA">
            <w:pPr>
              <w:rPr>
                <w:rFonts w:ascii="Times New Roman" w:eastAsia="宋体" w:hAnsi="Times New Roman" w:cs="Times New Roman"/>
              </w:rPr>
            </w:pPr>
            <w:r>
              <w:rPr>
                <w:rFonts w:ascii="Times New Roman" w:eastAsia="宋体" w:hAnsi="Times New Roman" w:cs="Times New Roman"/>
              </w:rPr>
              <w:t>河流：长度（</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km</w:t>
            </w:r>
            <w:r>
              <w:rPr>
                <w:rFonts w:ascii="Times New Roman" w:eastAsia="宋体" w:hAnsi="Times New Roman" w:cs="Times New Roman"/>
              </w:rPr>
              <w:t>；湖库、河口及近岸海域：面积（</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km2</w:t>
            </w:r>
          </w:p>
        </w:tc>
      </w:tr>
      <w:tr w:rsidR="002133E3" w14:paraId="6F695FCE"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2910130"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6FE771CA" w14:textId="77777777" w:rsidR="002133E3" w:rsidRDefault="00C22CFA">
            <w:pPr>
              <w:rPr>
                <w:rFonts w:ascii="Times New Roman" w:eastAsia="宋体" w:hAnsi="Times New Roman" w:cs="Times New Roman"/>
              </w:rPr>
            </w:pPr>
            <w:r>
              <w:rPr>
                <w:rFonts w:ascii="Times New Roman" w:eastAsia="宋体" w:hAnsi="Times New Roman" w:cs="Times New Roman"/>
              </w:rPr>
              <w:t>预测因子</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1D054D0B"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w:t>
            </w:r>
          </w:p>
        </w:tc>
      </w:tr>
      <w:tr w:rsidR="002133E3" w14:paraId="7969018D"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388D669C"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23A6436B" w14:textId="77777777" w:rsidR="002133E3" w:rsidRDefault="00C22CFA">
            <w:pPr>
              <w:rPr>
                <w:rFonts w:ascii="Times New Roman" w:eastAsia="宋体" w:hAnsi="Times New Roman" w:cs="Times New Roman"/>
              </w:rPr>
            </w:pPr>
            <w:r>
              <w:rPr>
                <w:rFonts w:ascii="Times New Roman" w:eastAsia="宋体" w:hAnsi="Times New Roman" w:cs="Times New Roman"/>
              </w:rPr>
              <w:t>预测时期</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3C75240E" w14:textId="77777777" w:rsidR="002133E3" w:rsidRDefault="00C22CFA">
            <w:pPr>
              <w:rPr>
                <w:rFonts w:ascii="Times New Roman" w:eastAsia="宋体" w:hAnsi="Times New Roman" w:cs="Times New Roman"/>
              </w:rPr>
            </w:pPr>
            <w:r>
              <w:rPr>
                <w:rFonts w:ascii="Times New Roman" w:eastAsia="宋体" w:hAnsi="Times New Roman" w:cs="Times New Roman"/>
              </w:rPr>
              <w:t>丰水期</w:t>
            </w:r>
            <w:r>
              <w:rPr>
                <w:rFonts w:ascii="Times New Roman" w:eastAsia="宋体" w:hAnsi="Times New Roman" w:cs="Times New Roman"/>
              </w:rPr>
              <w:sym w:font="Wingdings 2" w:char="F0A3"/>
            </w:r>
            <w:r>
              <w:rPr>
                <w:rFonts w:ascii="Times New Roman" w:eastAsia="宋体" w:hAnsi="Times New Roman" w:cs="Times New Roman"/>
              </w:rPr>
              <w:t>；平水期</w:t>
            </w:r>
            <w:r>
              <w:rPr>
                <w:rFonts w:ascii="Times New Roman" w:eastAsia="宋体" w:hAnsi="Times New Roman" w:cs="Times New Roman"/>
              </w:rPr>
              <w:sym w:font="Wingdings 2" w:char="F0A3"/>
            </w:r>
            <w:r>
              <w:rPr>
                <w:rFonts w:ascii="Times New Roman" w:eastAsia="宋体" w:hAnsi="Times New Roman" w:cs="Times New Roman"/>
              </w:rPr>
              <w:t>；枯水期</w:t>
            </w:r>
            <w:r>
              <w:rPr>
                <w:rFonts w:ascii="Times New Roman" w:eastAsia="宋体" w:hAnsi="Times New Roman" w:cs="Times New Roman"/>
              </w:rPr>
              <w:sym w:font="Wingdings 2" w:char="F0A3"/>
            </w:r>
            <w:r>
              <w:rPr>
                <w:rFonts w:ascii="Times New Roman" w:eastAsia="宋体" w:hAnsi="Times New Roman" w:cs="Times New Roman"/>
              </w:rPr>
              <w:t>；冰封期</w:t>
            </w:r>
            <w:r>
              <w:rPr>
                <w:rFonts w:ascii="Times New Roman" w:eastAsia="宋体" w:hAnsi="Times New Roman" w:cs="Times New Roman"/>
              </w:rPr>
              <w:sym w:font="Wingdings 2" w:char="F0A3"/>
            </w:r>
          </w:p>
          <w:p w14:paraId="74F51229" w14:textId="77777777" w:rsidR="002133E3" w:rsidRDefault="00C22CFA">
            <w:pPr>
              <w:rPr>
                <w:rFonts w:ascii="Times New Roman" w:eastAsia="宋体" w:hAnsi="Times New Roman" w:cs="Times New Roman"/>
              </w:rPr>
            </w:pPr>
            <w:r>
              <w:rPr>
                <w:rFonts w:ascii="Times New Roman" w:eastAsia="宋体" w:hAnsi="Times New Roman" w:cs="Times New Roman"/>
              </w:rPr>
              <w:t>春季</w:t>
            </w:r>
            <w:r>
              <w:rPr>
                <w:rFonts w:ascii="Times New Roman" w:eastAsia="宋体" w:hAnsi="Times New Roman" w:cs="Times New Roman"/>
              </w:rPr>
              <w:sym w:font="Wingdings 2" w:char="F0A3"/>
            </w:r>
            <w:r>
              <w:rPr>
                <w:rFonts w:ascii="Times New Roman" w:eastAsia="宋体" w:hAnsi="Times New Roman" w:cs="Times New Roman"/>
              </w:rPr>
              <w:t>；夏季</w:t>
            </w:r>
            <w:r>
              <w:rPr>
                <w:rFonts w:ascii="Times New Roman" w:eastAsia="宋体" w:hAnsi="Times New Roman" w:cs="Times New Roman"/>
              </w:rPr>
              <w:sym w:font="Wingdings 2" w:char="F0A3"/>
            </w:r>
            <w:r>
              <w:rPr>
                <w:rFonts w:ascii="Times New Roman" w:eastAsia="宋体" w:hAnsi="Times New Roman" w:cs="Times New Roman"/>
              </w:rPr>
              <w:t>；秋季</w:t>
            </w:r>
            <w:r>
              <w:rPr>
                <w:rFonts w:ascii="Times New Roman" w:eastAsia="宋体" w:hAnsi="Times New Roman" w:cs="Times New Roman"/>
              </w:rPr>
              <w:sym w:font="Wingdings 2" w:char="F0A3"/>
            </w:r>
            <w:r>
              <w:rPr>
                <w:rFonts w:ascii="Times New Roman" w:eastAsia="宋体" w:hAnsi="Times New Roman" w:cs="Times New Roman"/>
              </w:rPr>
              <w:t>；冬季</w:t>
            </w:r>
            <w:r>
              <w:rPr>
                <w:rFonts w:ascii="Times New Roman" w:eastAsia="宋体" w:hAnsi="Times New Roman" w:cs="Times New Roman"/>
              </w:rPr>
              <w:sym w:font="Wingdings 2" w:char="F0A3"/>
            </w:r>
          </w:p>
          <w:p w14:paraId="78C6B05E" w14:textId="77777777" w:rsidR="002133E3" w:rsidRDefault="00C22CFA">
            <w:pPr>
              <w:rPr>
                <w:rFonts w:ascii="Times New Roman" w:eastAsia="宋体" w:hAnsi="Times New Roman" w:cs="Times New Roman"/>
              </w:rPr>
            </w:pPr>
            <w:r>
              <w:rPr>
                <w:rFonts w:ascii="Times New Roman" w:eastAsia="宋体" w:hAnsi="Times New Roman" w:cs="Times New Roman"/>
              </w:rPr>
              <w:t>设计水文条件</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4F1340D8"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4C6D84B8"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2089627C" w14:textId="77777777" w:rsidR="002133E3" w:rsidRDefault="00C22CFA">
            <w:pPr>
              <w:rPr>
                <w:rFonts w:ascii="Times New Roman" w:eastAsia="宋体" w:hAnsi="Times New Roman" w:cs="Times New Roman"/>
              </w:rPr>
            </w:pPr>
            <w:r>
              <w:rPr>
                <w:rFonts w:ascii="Times New Roman" w:eastAsia="宋体" w:hAnsi="Times New Roman" w:cs="Times New Roman"/>
              </w:rPr>
              <w:t>预测情景</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5193E824" w14:textId="77777777" w:rsidR="002133E3" w:rsidRDefault="00C22CFA">
            <w:pPr>
              <w:rPr>
                <w:rFonts w:ascii="Times New Roman" w:eastAsia="宋体" w:hAnsi="Times New Roman" w:cs="Times New Roman"/>
              </w:rPr>
            </w:pPr>
            <w:r>
              <w:rPr>
                <w:rFonts w:ascii="Times New Roman" w:eastAsia="宋体" w:hAnsi="Times New Roman" w:cs="Times New Roman"/>
              </w:rPr>
              <w:t>建设期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；生产运行期</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；服务期满后</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323D96A7" w14:textId="77777777" w:rsidR="002133E3" w:rsidRDefault="00C22CFA">
            <w:pPr>
              <w:rPr>
                <w:rFonts w:ascii="Times New Roman" w:eastAsia="宋体" w:hAnsi="Times New Roman" w:cs="Times New Roman"/>
              </w:rPr>
            </w:pPr>
            <w:r>
              <w:rPr>
                <w:rFonts w:ascii="Times New Roman" w:eastAsia="宋体" w:hAnsi="Times New Roman" w:cs="Times New Roman"/>
              </w:rPr>
              <w:t>正常工况</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；非正常工况</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7FC95BE2" w14:textId="77777777" w:rsidR="002133E3" w:rsidRDefault="00C22CFA">
            <w:pPr>
              <w:rPr>
                <w:rFonts w:ascii="Times New Roman" w:eastAsia="宋体" w:hAnsi="Times New Roman" w:cs="Times New Roman"/>
              </w:rPr>
            </w:pPr>
            <w:r>
              <w:rPr>
                <w:rFonts w:ascii="Times New Roman" w:eastAsia="宋体" w:hAnsi="Times New Roman" w:cs="Times New Roman"/>
              </w:rPr>
              <w:t>污染控制和减缓措施方案</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6AD6D76C" w14:textId="77777777" w:rsidR="002133E3" w:rsidRDefault="00C22CFA">
            <w:pPr>
              <w:rPr>
                <w:rFonts w:ascii="Times New Roman" w:eastAsia="宋体" w:hAnsi="Times New Roman" w:cs="Times New Roman"/>
              </w:rPr>
            </w:pPr>
            <w:r>
              <w:rPr>
                <w:rFonts w:ascii="Times New Roman" w:eastAsia="宋体" w:hAnsi="Times New Roman" w:cs="Times New Roman"/>
              </w:rPr>
              <w:t>区（流）域环境指廊改善目标要求情景</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1881820A"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30AB8CFD"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404C9CAD" w14:textId="77777777" w:rsidR="002133E3" w:rsidRDefault="00C22CFA">
            <w:pPr>
              <w:rPr>
                <w:rFonts w:ascii="Times New Roman" w:eastAsia="宋体" w:hAnsi="Times New Roman" w:cs="Times New Roman"/>
              </w:rPr>
            </w:pPr>
            <w:r>
              <w:rPr>
                <w:rFonts w:ascii="Times New Roman" w:eastAsia="宋体" w:hAnsi="Times New Roman" w:cs="Times New Roman"/>
              </w:rPr>
              <w:t>预测方法</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56237FB9" w14:textId="77777777" w:rsidR="002133E3" w:rsidRDefault="00C22CFA">
            <w:pPr>
              <w:rPr>
                <w:rFonts w:ascii="Times New Roman" w:eastAsia="宋体" w:hAnsi="Times New Roman" w:cs="Times New Roman"/>
              </w:rPr>
            </w:pPr>
            <w:r>
              <w:rPr>
                <w:rFonts w:ascii="Times New Roman" w:eastAsia="宋体" w:hAnsi="Times New Roman" w:cs="Times New Roman"/>
              </w:rPr>
              <w:t>数值解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；解析解</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2AE7C51C" w14:textId="77777777" w:rsidR="002133E3" w:rsidRDefault="00C22CFA">
            <w:pPr>
              <w:rPr>
                <w:rFonts w:ascii="Times New Roman" w:eastAsia="宋体" w:hAnsi="Times New Roman" w:cs="Times New Roman"/>
              </w:rPr>
            </w:pPr>
            <w:r>
              <w:rPr>
                <w:rFonts w:ascii="Times New Roman" w:eastAsia="宋体" w:hAnsi="Times New Roman" w:cs="Times New Roman"/>
              </w:rPr>
              <w:t>导则推荐模式</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6002D64F" w14:textId="77777777">
        <w:tc>
          <w:tcPr>
            <w:tcW w:w="227" w:type="pct"/>
            <w:vMerge w:val="restart"/>
            <w:tcBorders>
              <w:top w:val="single" w:sz="4" w:space="0" w:color="auto"/>
              <w:left w:val="single" w:sz="4" w:space="0" w:color="auto"/>
              <w:bottom w:val="single" w:sz="4" w:space="0" w:color="auto"/>
              <w:right w:val="single" w:sz="4" w:space="0" w:color="auto"/>
            </w:tcBorders>
            <w:vAlign w:val="center"/>
          </w:tcPr>
          <w:p w14:paraId="3B667C52" w14:textId="77777777" w:rsidR="002133E3" w:rsidRDefault="00C22CFA">
            <w:pPr>
              <w:rPr>
                <w:rFonts w:ascii="Times New Roman" w:eastAsia="宋体" w:hAnsi="Times New Roman" w:cs="Times New Roman"/>
              </w:rPr>
            </w:pPr>
            <w:r>
              <w:rPr>
                <w:rFonts w:ascii="Times New Roman" w:eastAsia="宋体" w:hAnsi="Times New Roman" w:cs="Times New Roman"/>
              </w:rPr>
              <w:t>影响评价</w:t>
            </w:r>
          </w:p>
        </w:tc>
        <w:tc>
          <w:tcPr>
            <w:tcW w:w="805" w:type="pct"/>
            <w:tcBorders>
              <w:top w:val="single" w:sz="4" w:space="0" w:color="auto"/>
              <w:left w:val="single" w:sz="4" w:space="0" w:color="auto"/>
              <w:bottom w:val="single" w:sz="4" w:space="0" w:color="auto"/>
              <w:right w:val="single" w:sz="4" w:space="0" w:color="auto"/>
            </w:tcBorders>
            <w:vAlign w:val="center"/>
          </w:tcPr>
          <w:p w14:paraId="65BC2297" w14:textId="77777777" w:rsidR="002133E3" w:rsidRDefault="00C22CFA">
            <w:pPr>
              <w:rPr>
                <w:rFonts w:ascii="Times New Roman" w:eastAsia="宋体" w:hAnsi="Times New Roman" w:cs="Times New Roman"/>
              </w:rPr>
            </w:pPr>
            <w:r>
              <w:rPr>
                <w:rFonts w:ascii="Times New Roman" w:eastAsia="宋体" w:hAnsi="Times New Roman" w:cs="Times New Roman"/>
              </w:rPr>
              <w:t>水污染控制和水环境影响减缓措施有效性评价</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7D87DBA9" w14:textId="77777777" w:rsidR="002133E3" w:rsidRDefault="00C22CFA">
            <w:pPr>
              <w:rPr>
                <w:rFonts w:ascii="Times New Roman" w:eastAsia="宋体" w:hAnsi="Times New Roman" w:cs="Times New Roman"/>
              </w:rPr>
            </w:pPr>
            <w:r>
              <w:rPr>
                <w:rFonts w:ascii="Times New Roman" w:eastAsia="宋体" w:hAnsi="Times New Roman" w:cs="Times New Roman"/>
              </w:rPr>
              <w:t>区（流）域水环境质量改善目标</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；替代削减源</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0F5F42AB"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7E46E89"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417175CE" w14:textId="77777777" w:rsidR="002133E3" w:rsidRDefault="00C22CFA">
            <w:pPr>
              <w:rPr>
                <w:rFonts w:ascii="Times New Roman" w:eastAsia="宋体" w:hAnsi="Times New Roman" w:cs="Times New Roman"/>
              </w:rPr>
            </w:pPr>
            <w:r>
              <w:rPr>
                <w:rFonts w:ascii="Times New Roman" w:eastAsia="宋体" w:hAnsi="Times New Roman" w:cs="Times New Roman"/>
              </w:rPr>
              <w:t>水环境影响评价</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38C1393A" w14:textId="77777777" w:rsidR="002133E3" w:rsidRDefault="00C22CFA">
            <w:pPr>
              <w:rPr>
                <w:rFonts w:ascii="Times New Roman" w:eastAsia="宋体" w:hAnsi="Times New Roman" w:cs="Times New Roman"/>
              </w:rPr>
            </w:pPr>
            <w:r>
              <w:rPr>
                <w:rFonts w:ascii="Times New Roman" w:eastAsia="宋体" w:hAnsi="Times New Roman" w:cs="Times New Roman"/>
              </w:rPr>
              <w:t>排放口混合区外满足水环境管理要求</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67BD344B" w14:textId="77777777" w:rsidR="002133E3" w:rsidRDefault="00C22CFA">
            <w:pPr>
              <w:rPr>
                <w:rFonts w:ascii="Times New Roman" w:eastAsia="宋体" w:hAnsi="Times New Roman" w:cs="Times New Roman"/>
              </w:rPr>
            </w:pPr>
            <w:r>
              <w:rPr>
                <w:rFonts w:ascii="Times New Roman" w:eastAsia="宋体" w:hAnsi="Times New Roman" w:cs="Times New Roman"/>
              </w:rPr>
              <w:t>水环境功能区或水功能区、近岸海域环境功能区水质达标</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608C135C" w14:textId="77777777" w:rsidR="002133E3" w:rsidRDefault="00C22CFA">
            <w:pPr>
              <w:rPr>
                <w:rFonts w:ascii="Times New Roman" w:eastAsia="宋体" w:hAnsi="Times New Roman" w:cs="Times New Roman"/>
              </w:rPr>
            </w:pPr>
            <w:r>
              <w:rPr>
                <w:rFonts w:ascii="Times New Roman" w:eastAsia="宋体" w:hAnsi="Times New Roman" w:cs="Times New Roman"/>
              </w:rPr>
              <w:t>满足水环境保护目标水域水环境质量要求</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78CFA2C2" w14:textId="77777777" w:rsidR="002133E3" w:rsidRDefault="00C22CFA">
            <w:pPr>
              <w:rPr>
                <w:rFonts w:ascii="Times New Roman" w:eastAsia="宋体" w:hAnsi="Times New Roman" w:cs="Times New Roman"/>
              </w:rPr>
            </w:pPr>
            <w:r>
              <w:rPr>
                <w:rFonts w:ascii="Times New Roman" w:eastAsia="宋体" w:hAnsi="Times New Roman" w:cs="Times New Roman"/>
              </w:rPr>
              <w:t>水环境控制单元或断面水质达标</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50A3F3B9" w14:textId="77777777" w:rsidR="002133E3" w:rsidRDefault="00C22CFA">
            <w:pPr>
              <w:rPr>
                <w:rFonts w:ascii="Times New Roman" w:eastAsia="宋体" w:hAnsi="Times New Roman" w:cs="Times New Roman"/>
              </w:rPr>
            </w:pPr>
            <w:r>
              <w:rPr>
                <w:rFonts w:ascii="Times New Roman" w:eastAsia="宋体" w:hAnsi="Times New Roman" w:cs="Times New Roman"/>
              </w:rPr>
              <w:t>满足重点水污染物排放总量控制指标要求，重点行业建设项目，主要污染物排放满足等量或减量替代要求</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3CC9D4CD" w14:textId="77777777" w:rsidR="002133E3" w:rsidRDefault="00C22CFA">
            <w:pPr>
              <w:rPr>
                <w:rFonts w:ascii="Times New Roman" w:eastAsia="宋体" w:hAnsi="Times New Roman" w:cs="Times New Roman"/>
              </w:rPr>
            </w:pPr>
            <w:r>
              <w:rPr>
                <w:rFonts w:ascii="Times New Roman" w:eastAsia="宋体" w:hAnsi="Times New Roman" w:cs="Times New Roman"/>
              </w:rPr>
              <w:lastRenderedPageBreak/>
              <w:t>满足区（流）域水环境质量改善目标要求</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25F59916" w14:textId="77777777" w:rsidR="002133E3" w:rsidRDefault="00C22CFA">
            <w:pPr>
              <w:rPr>
                <w:rFonts w:ascii="Times New Roman" w:eastAsia="宋体" w:hAnsi="Times New Roman" w:cs="Times New Roman"/>
              </w:rPr>
            </w:pPr>
            <w:r>
              <w:rPr>
                <w:rFonts w:ascii="Times New Roman" w:eastAsia="宋体" w:hAnsi="Times New Roman" w:cs="Times New Roman"/>
              </w:rPr>
              <w:t>水文要素影响型建设项目同时应包括水文情势变化评价、主要水文特征值影响评价、生态流量符合性评价</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59FEA7F3" w14:textId="77777777" w:rsidR="002133E3" w:rsidRDefault="00C22CFA">
            <w:pPr>
              <w:rPr>
                <w:rFonts w:ascii="Times New Roman" w:eastAsia="宋体" w:hAnsi="Times New Roman" w:cs="Times New Roman"/>
              </w:rPr>
            </w:pPr>
            <w:r>
              <w:rPr>
                <w:rFonts w:ascii="Times New Roman" w:eastAsia="宋体" w:hAnsi="Times New Roman" w:cs="Times New Roman"/>
              </w:rPr>
              <w:t>对于新设或调整入河（湖库、近岸海域）排放口的建设项目，应包括排放口设置的环境合理性评价</w:t>
            </w:r>
            <w:r>
              <w:rPr>
                <w:rFonts w:ascii="Times New Roman" w:eastAsia="宋体" w:hAnsi="Times New Roman" w:cs="Times New Roman"/>
              </w:rPr>
              <w:t xml:space="preserve"> </w:t>
            </w:r>
            <w:r>
              <w:rPr>
                <w:rFonts w:ascii="Times New Roman" w:eastAsia="宋体" w:hAnsi="Times New Roman" w:cs="Times New Roman"/>
              </w:rPr>
              <w:sym w:font="Wingdings 2" w:char="F0A3"/>
            </w:r>
          </w:p>
          <w:p w14:paraId="197DEFA5" w14:textId="77777777" w:rsidR="002133E3" w:rsidRDefault="00C22CFA">
            <w:pPr>
              <w:rPr>
                <w:rFonts w:ascii="Times New Roman" w:eastAsia="宋体" w:hAnsi="Times New Roman" w:cs="Times New Roman"/>
              </w:rPr>
            </w:pPr>
            <w:r>
              <w:rPr>
                <w:rFonts w:ascii="Times New Roman" w:eastAsia="宋体" w:hAnsi="Times New Roman" w:cs="Times New Roman"/>
              </w:rPr>
              <w:t>满足生态保护红线、水环境质量底线、资源利用上线和环境准入清单管理要求</w:t>
            </w:r>
            <w:r>
              <w:rPr>
                <w:rFonts w:ascii="Times New Roman" w:eastAsia="宋体" w:hAnsi="Times New Roman" w:cs="Times New Roman"/>
              </w:rPr>
              <w:t xml:space="preserve"> </w:t>
            </w:r>
            <w:r>
              <w:rPr>
                <w:rFonts w:ascii="Times New Roman" w:eastAsia="宋体" w:hAnsi="Times New Roman" w:cs="Times New Roman"/>
              </w:rPr>
              <w:sym w:font="Wingdings 2" w:char="0052"/>
            </w:r>
          </w:p>
        </w:tc>
      </w:tr>
      <w:tr w:rsidR="002133E3" w14:paraId="387CC754"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548D56AA" w14:textId="77777777" w:rsidR="002133E3" w:rsidRDefault="002133E3">
            <w:pPr>
              <w:rPr>
                <w:rFonts w:ascii="Times New Roman" w:eastAsia="宋体" w:hAnsi="Times New Roman" w:cs="Times New Roman"/>
              </w:rPr>
            </w:pP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4D42889B" w14:textId="77777777" w:rsidR="002133E3" w:rsidRDefault="00C22CFA">
            <w:pPr>
              <w:rPr>
                <w:rFonts w:ascii="Times New Roman" w:eastAsia="宋体" w:hAnsi="Times New Roman" w:cs="Times New Roman"/>
              </w:rPr>
            </w:pPr>
            <w:r>
              <w:rPr>
                <w:rFonts w:ascii="Times New Roman" w:eastAsia="宋体" w:hAnsi="Times New Roman" w:cs="Times New Roman"/>
              </w:rPr>
              <w:t>污染源排放量核算</w:t>
            </w:r>
          </w:p>
        </w:tc>
        <w:tc>
          <w:tcPr>
            <w:tcW w:w="1211" w:type="pct"/>
            <w:gridSpan w:val="3"/>
            <w:tcBorders>
              <w:top w:val="single" w:sz="4" w:space="0" w:color="auto"/>
              <w:left w:val="single" w:sz="4" w:space="0" w:color="auto"/>
              <w:bottom w:val="single" w:sz="4" w:space="0" w:color="auto"/>
              <w:right w:val="single" w:sz="4" w:space="0" w:color="auto"/>
            </w:tcBorders>
            <w:vAlign w:val="center"/>
          </w:tcPr>
          <w:p w14:paraId="0C7F7BC7" w14:textId="77777777" w:rsidR="002133E3" w:rsidRDefault="00C22CFA">
            <w:pPr>
              <w:jc w:val="center"/>
              <w:rPr>
                <w:rFonts w:ascii="Times New Roman" w:eastAsia="宋体" w:hAnsi="Times New Roman" w:cs="Times New Roman"/>
              </w:rPr>
            </w:pPr>
            <w:r>
              <w:rPr>
                <w:rFonts w:ascii="Times New Roman" w:eastAsia="宋体" w:hAnsi="Times New Roman" w:cs="Times New Roman"/>
              </w:rPr>
              <w:t>污染物名称</w:t>
            </w:r>
          </w:p>
        </w:tc>
        <w:tc>
          <w:tcPr>
            <w:tcW w:w="1124" w:type="pct"/>
            <w:gridSpan w:val="4"/>
            <w:tcBorders>
              <w:top w:val="single" w:sz="4" w:space="0" w:color="auto"/>
              <w:left w:val="single" w:sz="4" w:space="0" w:color="auto"/>
              <w:bottom w:val="single" w:sz="4" w:space="0" w:color="auto"/>
              <w:right w:val="single" w:sz="4" w:space="0" w:color="auto"/>
            </w:tcBorders>
            <w:vAlign w:val="center"/>
          </w:tcPr>
          <w:p w14:paraId="11BC3020" w14:textId="77777777" w:rsidR="002133E3" w:rsidRDefault="00C22CFA">
            <w:pPr>
              <w:jc w:val="center"/>
              <w:rPr>
                <w:rFonts w:ascii="Times New Roman" w:eastAsia="宋体" w:hAnsi="Times New Roman" w:cs="Times New Roman"/>
              </w:rPr>
            </w:pPr>
            <w:r>
              <w:rPr>
                <w:rFonts w:ascii="Times New Roman" w:eastAsia="宋体" w:hAnsi="Times New Roman" w:cs="Times New Roman"/>
              </w:rPr>
              <w:t>排放量</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t/a</w:t>
            </w:r>
            <w:r>
              <w:rPr>
                <w:rFonts w:ascii="Times New Roman" w:eastAsia="宋体" w:hAnsi="Times New Roman" w:cs="Times New Roman"/>
              </w:rPr>
              <w:t>）</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7B8F0341" w14:textId="77777777" w:rsidR="002133E3" w:rsidRDefault="00C22CFA">
            <w:pPr>
              <w:jc w:val="center"/>
              <w:rPr>
                <w:rFonts w:ascii="Times New Roman" w:eastAsia="宋体" w:hAnsi="Times New Roman" w:cs="Times New Roman"/>
              </w:rPr>
            </w:pPr>
            <w:r>
              <w:rPr>
                <w:rFonts w:ascii="Times New Roman" w:eastAsia="宋体" w:hAnsi="Times New Roman" w:cs="Times New Roman"/>
              </w:rPr>
              <w:t>排放浓度</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mg/L</w:t>
            </w:r>
            <w:r>
              <w:rPr>
                <w:rFonts w:ascii="Times New Roman" w:eastAsia="宋体" w:hAnsi="Times New Roman" w:cs="Times New Roman"/>
              </w:rPr>
              <w:t>）</w:t>
            </w:r>
          </w:p>
        </w:tc>
      </w:tr>
      <w:tr w:rsidR="002133E3" w14:paraId="7751C7D5"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25F7BEF4"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2C655D86" w14:textId="77777777" w:rsidR="002133E3" w:rsidRDefault="002133E3">
            <w:pPr>
              <w:rPr>
                <w:rFonts w:ascii="Times New Roman" w:eastAsia="宋体" w:hAnsi="Times New Roman" w:cs="Times New Roman"/>
              </w:rPr>
            </w:pPr>
          </w:p>
        </w:tc>
        <w:tc>
          <w:tcPr>
            <w:tcW w:w="1211" w:type="pct"/>
            <w:gridSpan w:val="3"/>
            <w:tcBorders>
              <w:top w:val="single" w:sz="4" w:space="0" w:color="auto"/>
              <w:left w:val="single" w:sz="4" w:space="0" w:color="auto"/>
              <w:bottom w:val="single" w:sz="4" w:space="0" w:color="auto"/>
              <w:right w:val="single" w:sz="4" w:space="0" w:color="auto"/>
            </w:tcBorders>
            <w:vAlign w:val="center"/>
          </w:tcPr>
          <w:p w14:paraId="47C1B113" w14:textId="77777777" w:rsidR="002133E3" w:rsidRDefault="00C22CFA">
            <w:pPr>
              <w:jc w:val="center"/>
              <w:rPr>
                <w:rFonts w:ascii="Times New Roman" w:eastAsia="宋体" w:hAnsi="Times New Roman" w:cs="Times New Roman"/>
                <w:szCs w:val="21"/>
              </w:rPr>
            </w:pPr>
            <w:proofErr w:type="spellStart"/>
            <w:r>
              <w:rPr>
                <w:rFonts w:ascii="Times New Roman" w:eastAsia="宋体" w:hAnsi="Times New Roman" w:cs="Times New Roman"/>
                <w:color w:val="000000"/>
                <w:szCs w:val="21"/>
              </w:rPr>
              <w:t>CODcr</w:t>
            </w:r>
            <w:proofErr w:type="spellEnd"/>
            <w:r>
              <w:rPr>
                <w:rFonts w:ascii="Times New Roman" w:eastAsia="宋体" w:hAnsi="Times New Roman" w:cs="Times New Roman"/>
                <w:color w:val="000000"/>
                <w:szCs w:val="21"/>
              </w:rPr>
              <w:t>≤</w:t>
            </w:r>
          </w:p>
        </w:tc>
        <w:tc>
          <w:tcPr>
            <w:tcW w:w="1124" w:type="pct"/>
            <w:gridSpan w:val="4"/>
            <w:tcBorders>
              <w:top w:val="single" w:sz="4" w:space="0" w:color="auto"/>
              <w:left w:val="single" w:sz="4" w:space="0" w:color="auto"/>
              <w:bottom w:val="single" w:sz="4" w:space="0" w:color="auto"/>
              <w:right w:val="single" w:sz="4" w:space="0" w:color="auto"/>
            </w:tcBorders>
            <w:vAlign w:val="center"/>
          </w:tcPr>
          <w:p w14:paraId="6CB3061C"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470.18</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2AFE42B4" w14:textId="77777777" w:rsidR="002133E3" w:rsidRDefault="00C22CFA">
            <w:pPr>
              <w:widowControl/>
              <w:jc w:val="center"/>
              <w:textAlignment w:val="center"/>
              <w:rPr>
                <w:rFonts w:ascii="Times New Roman" w:eastAsia="宋体" w:hAnsi="Times New Roman" w:cs="Times New Roman"/>
                <w:color w:val="0C0C0C"/>
                <w:kern w:val="0"/>
                <w:szCs w:val="21"/>
                <w:lang w:bidi="ar"/>
              </w:rPr>
            </w:pPr>
            <w:r>
              <w:rPr>
                <w:rFonts w:ascii="Times New Roman" w:eastAsia="宋体" w:hAnsi="Times New Roman" w:cs="Times New Roman"/>
                <w:szCs w:val="21"/>
              </w:rPr>
              <w:t>400</w:t>
            </w:r>
          </w:p>
        </w:tc>
      </w:tr>
      <w:tr w:rsidR="002133E3" w14:paraId="5CA2A69F"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176C2B6B"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2BCA7739" w14:textId="77777777" w:rsidR="002133E3" w:rsidRDefault="002133E3">
            <w:pPr>
              <w:rPr>
                <w:rFonts w:ascii="Times New Roman" w:eastAsia="宋体" w:hAnsi="Times New Roman" w:cs="Times New Roman"/>
              </w:rPr>
            </w:pPr>
          </w:p>
        </w:tc>
        <w:tc>
          <w:tcPr>
            <w:tcW w:w="1211" w:type="pct"/>
            <w:gridSpan w:val="3"/>
            <w:tcBorders>
              <w:top w:val="single" w:sz="4" w:space="0" w:color="auto"/>
              <w:left w:val="single" w:sz="4" w:space="0" w:color="auto"/>
              <w:bottom w:val="single" w:sz="4" w:space="0" w:color="auto"/>
              <w:right w:val="single" w:sz="4" w:space="0" w:color="auto"/>
            </w:tcBorders>
            <w:vAlign w:val="center"/>
          </w:tcPr>
          <w:p w14:paraId="114C86E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悬浮物</w:t>
            </w:r>
            <w:r>
              <w:rPr>
                <w:rFonts w:ascii="Times New Roman" w:eastAsia="宋体" w:hAnsi="Times New Roman" w:cs="Times New Roman"/>
                <w:color w:val="000000"/>
                <w:szCs w:val="21"/>
              </w:rPr>
              <w:t>≤</w:t>
            </w:r>
          </w:p>
        </w:tc>
        <w:tc>
          <w:tcPr>
            <w:tcW w:w="1124" w:type="pct"/>
            <w:gridSpan w:val="4"/>
            <w:tcBorders>
              <w:top w:val="single" w:sz="4" w:space="0" w:color="auto"/>
              <w:left w:val="single" w:sz="4" w:space="0" w:color="auto"/>
              <w:bottom w:val="single" w:sz="4" w:space="0" w:color="auto"/>
              <w:right w:val="single" w:sz="4" w:space="0" w:color="auto"/>
            </w:tcBorders>
            <w:vAlign w:val="center"/>
          </w:tcPr>
          <w:p w14:paraId="3FDFDA14"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164.56</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09BE17C5" w14:textId="77777777" w:rsidR="002133E3" w:rsidRDefault="00C22CFA">
            <w:pPr>
              <w:widowControl/>
              <w:jc w:val="center"/>
              <w:textAlignment w:val="center"/>
              <w:rPr>
                <w:rFonts w:ascii="Times New Roman" w:eastAsia="宋体" w:hAnsi="Times New Roman" w:cs="Times New Roman"/>
                <w:color w:val="0C0C0C"/>
                <w:kern w:val="0"/>
                <w:szCs w:val="21"/>
                <w:lang w:bidi="ar"/>
              </w:rPr>
            </w:pPr>
            <w:r>
              <w:rPr>
                <w:rFonts w:ascii="Times New Roman" w:eastAsia="宋体" w:hAnsi="Times New Roman" w:cs="Times New Roman"/>
                <w:color w:val="000000"/>
                <w:szCs w:val="21"/>
              </w:rPr>
              <w:t>140</w:t>
            </w:r>
          </w:p>
        </w:tc>
      </w:tr>
      <w:tr w:rsidR="002133E3" w14:paraId="39CD93A0"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6DF1B98"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18327D66" w14:textId="77777777" w:rsidR="002133E3" w:rsidRDefault="002133E3">
            <w:pPr>
              <w:rPr>
                <w:rFonts w:ascii="Times New Roman" w:eastAsia="宋体" w:hAnsi="Times New Roman" w:cs="Times New Roman"/>
              </w:rPr>
            </w:pPr>
          </w:p>
        </w:tc>
        <w:tc>
          <w:tcPr>
            <w:tcW w:w="1211" w:type="pct"/>
            <w:gridSpan w:val="3"/>
            <w:tcBorders>
              <w:top w:val="single" w:sz="4" w:space="0" w:color="auto"/>
              <w:left w:val="single" w:sz="4" w:space="0" w:color="auto"/>
              <w:bottom w:val="single" w:sz="4" w:space="0" w:color="auto"/>
              <w:right w:val="single" w:sz="4" w:space="0" w:color="auto"/>
            </w:tcBorders>
            <w:vAlign w:val="center"/>
          </w:tcPr>
          <w:p w14:paraId="64016A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总氮</w:t>
            </w:r>
            <w:r>
              <w:rPr>
                <w:rFonts w:ascii="Times New Roman" w:eastAsia="宋体" w:hAnsi="Times New Roman" w:cs="Times New Roman"/>
                <w:color w:val="000000"/>
                <w:szCs w:val="21"/>
              </w:rPr>
              <w:t>≤</w:t>
            </w:r>
          </w:p>
        </w:tc>
        <w:tc>
          <w:tcPr>
            <w:tcW w:w="1124" w:type="pct"/>
            <w:gridSpan w:val="4"/>
            <w:tcBorders>
              <w:top w:val="single" w:sz="4" w:space="0" w:color="auto"/>
              <w:left w:val="single" w:sz="4" w:space="0" w:color="auto"/>
              <w:bottom w:val="single" w:sz="4" w:space="0" w:color="auto"/>
              <w:right w:val="single" w:sz="4" w:space="0" w:color="auto"/>
            </w:tcBorders>
            <w:vAlign w:val="center"/>
          </w:tcPr>
          <w:p w14:paraId="25503C31"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58.77</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1221E7FD" w14:textId="77777777" w:rsidR="002133E3" w:rsidRDefault="00C22CFA">
            <w:pPr>
              <w:widowControl/>
              <w:jc w:val="center"/>
              <w:textAlignment w:val="center"/>
              <w:rPr>
                <w:rFonts w:ascii="Times New Roman" w:eastAsia="宋体" w:hAnsi="Times New Roman" w:cs="Times New Roman"/>
                <w:color w:val="0C0C0C"/>
                <w:kern w:val="0"/>
                <w:szCs w:val="21"/>
                <w:lang w:bidi="ar"/>
              </w:rPr>
            </w:pPr>
            <w:r>
              <w:rPr>
                <w:rFonts w:ascii="Times New Roman" w:eastAsia="宋体" w:hAnsi="Times New Roman" w:cs="Times New Roman"/>
                <w:color w:val="000000"/>
                <w:szCs w:val="21"/>
              </w:rPr>
              <w:t>50</w:t>
            </w:r>
          </w:p>
        </w:tc>
      </w:tr>
      <w:tr w:rsidR="002133E3" w14:paraId="2D4D6115"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1EA53C3D"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4404C534" w14:textId="77777777" w:rsidR="002133E3" w:rsidRDefault="002133E3">
            <w:pPr>
              <w:rPr>
                <w:rFonts w:ascii="Times New Roman" w:eastAsia="宋体" w:hAnsi="Times New Roman" w:cs="Times New Roman"/>
              </w:rPr>
            </w:pPr>
          </w:p>
        </w:tc>
        <w:tc>
          <w:tcPr>
            <w:tcW w:w="1211" w:type="pct"/>
            <w:gridSpan w:val="3"/>
            <w:tcBorders>
              <w:top w:val="single" w:sz="4" w:space="0" w:color="auto"/>
              <w:left w:val="single" w:sz="4" w:space="0" w:color="auto"/>
              <w:bottom w:val="single" w:sz="4" w:space="0" w:color="auto"/>
              <w:right w:val="single" w:sz="4" w:space="0" w:color="auto"/>
            </w:tcBorders>
            <w:vAlign w:val="center"/>
          </w:tcPr>
          <w:p w14:paraId="060E3BF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氨氮</w:t>
            </w:r>
            <w:r>
              <w:rPr>
                <w:rFonts w:ascii="Times New Roman" w:eastAsia="宋体" w:hAnsi="Times New Roman" w:cs="Times New Roman"/>
                <w:color w:val="000000"/>
                <w:szCs w:val="21"/>
              </w:rPr>
              <w:t>≤</w:t>
            </w:r>
          </w:p>
        </w:tc>
        <w:tc>
          <w:tcPr>
            <w:tcW w:w="1124" w:type="pct"/>
            <w:gridSpan w:val="4"/>
            <w:tcBorders>
              <w:top w:val="single" w:sz="4" w:space="0" w:color="auto"/>
              <w:left w:val="single" w:sz="4" w:space="0" w:color="auto"/>
              <w:bottom w:val="single" w:sz="4" w:space="0" w:color="auto"/>
              <w:right w:val="single" w:sz="4" w:space="0" w:color="auto"/>
            </w:tcBorders>
            <w:vAlign w:val="center"/>
          </w:tcPr>
          <w:p w14:paraId="6B1EADDE"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35.26</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130120A0" w14:textId="77777777" w:rsidR="002133E3" w:rsidRDefault="00C22CFA">
            <w:pPr>
              <w:widowControl/>
              <w:jc w:val="center"/>
              <w:textAlignment w:val="center"/>
              <w:rPr>
                <w:rFonts w:ascii="Times New Roman" w:eastAsia="宋体" w:hAnsi="Times New Roman" w:cs="Times New Roman"/>
                <w:color w:val="0C0C0C"/>
                <w:kern w:val="0"/>
                <w:szCs w:val="21"/>
                <w:lang w:bidi="ar"/>
              </w:rPr>
            </w:pPr>
            <w:r>
              <w:rPr>
                <w:rFonts w:ascii="Times New Roman" w:eastAsia="宋体" w:hAnsi="Times New Roman" w:cs="Times New Roman"/>
                <w:color w:val="000000"/>
                <w:szCs w:val="21"/>
              </w:rPr>
              <w:t>30</w:t>
            </w:r>
          </w:p>
        </w:tc>
      </w:tr>
      <w:tr w:rsidR="002133E3" w14:paraId="7181E471"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0C923CFF"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613AB85C" w14:textId="77777777" w:rsidR="002133E3" w:rsidRDefault="002133E3">
            <w:pPr>
              <w:rPr>
                <w:rFonts w:ascii="Times New Roman" w:eastAsia="宋体" w:hAnsi="Times New Roman" w:cs="Times New Roman"/>
              </w:rPr>
            </w:pPr>
          </w:p>
        </w:tc>
        <w:tc>
          <w:tcPr>
            <w:tcW w:w="1211" w:type="pct"/>
            <w:gridSpan w:val="3"/>
            <w:tcBorders>
              <w:top w:val="single" w:sz="4" w:space="0" w:color="auto"/>
              <w:left w:val="single" w:sz="4" w:space="0" w:color="auto"/>
              <w:bottom w:val="single" w:sz="4" w:space="0" w:color="auto"/>
              <w:right w:val="single" w:sz="4" w:space="0" w:color="auto"/>
            </w:tcBorders>
            <w:vAlign w:val="center"/>
          </w:tcPr>
          <w:p w14:paraId="24BF845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color w:val="000000"/>
                <w:szCs w:val="21"/>
              </w:rPr>
              <w:t>总磷</w:t>
            </w:r>
            <w:r>
              <w:rPr>
                <w:rFonts w:ascii="Times New Roman" w:eastAsia="宋体" w:hAnsi="Times New Roman" w:cs="Times New Roman"/>
                <w:color w:val="000000"/>
                <w:szCs w:val="21"/>
              </w:rPr>
              <w:t>≤</w:t>
            </w:r>
          </w:p>
        </w:tc>
        <w:tc>
          <w:tcPr>
            <w:tcW w:w="1124" w:type="pct"/>
            <w:gridSpan w:val="4"/>
            <w:tcBorders>
              <w:top w:val="single" w:sz="4" w:space="0" w:color="auto"/>
              <w:left w:val="single" w:sz="4" w:space="0" w:color="auto"/>
              <w:bottom w:val="single" w:sz="4" w:space="0" w:color="auto"/>
              <w:right w:val="single" w:sz="4" w:space="0" w:color="auto"/>
            </w:tcBorders>
            <w:vAlign w:val="center"/>
          </w:tcPr>
          <w:p w14:paraId="62445B5D"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3.53</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7371D83F" w14:textId="77777777" w:rsidR="002133E3" w:rsidRDefault="00C22CFA">
            <w:pPr>
              <w:widowControl/>
              <w:jc w:val="center"/>
              <w:textAlignment w:val="center"/>
              <w:rPr>
                <w:rFonts w:ascii="Times New Roman" w:eastAsia="宋体" w:hAnsi="Times New Roman" w:cs="Times New Roman"/>
                <w:color w:val="0C0C0C"/>
                <w:kern w:val="0"/>
                <w:szCs w:val="21"/>
                <w:lang w:bidi="ar"/>
              </w:rPr>
            </w:pPr>
            <w:r>
              <w:rPr>
                <w:rFonts w:ascii="Times New Roman" w:eastAsia="宋体" w:hAnsi="Times New Roman" w:cs="Times New Roman"/>
                <w:color w:val="000000"/>
                <w:szCs w:val="21"/>
              </w:rPr>
              <w:t>3</w:t>
            </w:r>
          </w:p>
        </w:tc>
      </w:tr>
      <w:tr w:rsidR="002133E3" w14:paraId="3BD90C31"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1F25B11F"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0408C5A9" w14:textId="77777777" w:rsidR="002133E3" w:rsidRDefault="002133E3">
            <w:pPr>
              <w:rPr>
                <w:rFonts w:ascii="Times New Roman" w:eastAsia="宋体" w:hAnsi="Times New Roman" w:cs="Times New Roman"/>
              </w:rPr>
            </w:pPr>
          </w:p>
        </w:tc>
        <w:tc>
          <w:tcPr>
            <w:tcW w:w="1211" w:type="pct"/>
            <w:gridSpan w:val="3"/>
            <w:tcBorders>
              <w:top w:val="single" w:sz="4" w:space="0" w:color="auto"/>
              <w:left w:val="single" w:sz="4" w:space="0" w:color="auto"/>
              <w:bottom w:val="single" w:sz="4" w:space="0" w:color="auto"/>
              <w:right w:val="single" w:sz="4" w:space="0" w:color="auto"/>
            </w:tcBorders>
            <w:vAlign w:val="center"/>
          </w:tcPr>
          <w:p w14:paraId="5F939E3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盐分</w:t>
            </w:r>
          </w:p>
        </w:tc>
        <w:tc>
          <w:tcPr>
            <w:tcW w:w="1124" w:type="pct"/>
            <w:gridSpan w:val="4"/>
            <w:tcBorders>
              <w:top w:val="single" w:sz="4" w:space="0" w:color="auto"/>
              <w:left w:val="single" w:sz="4" w:space="0" w:color="auto"/>
              <w:bottom w:val="single" w:sz="4" w:space="0" w:color="auto"/>
              <w:right w:val="single" w:sz="4" w:space="0" w:color="auto"/>
            </w:tcBorders>
            <w:vAlign w:val="center"/>
          </w:tcPr>
          <w:p w14:paraId="3D2A6CB1" w14:textId="77777777" w:rsidR="002133E3" w:rsidRDefault="00C22CFA">
            <w:pPr>
              <w:widowControl/>
              <w:jc w:val="center"/>
              <w:textAlignment w:val="center"/>
              <w:rPr>
                <w:rFonts w:ascii="Times New Roman" w:eastAsia="宋体" w:hAnsi="Times New Roman" w:cs="Times New Roman"/>
                <w:color w:val="0D0D0D"/>
                <w:szCs w:val="21"/>
              </w:rPr>
            </w:pPr>
            <w:r>
              <w:rPr>
                <w:rFonts w:ascii="Times New Roman" w:eastAsia="等线" w:hAnsi="Times New Roman" w:cs="Times New Roman"/>
                <w:color w:val="000000"/>
                <w:szCs w:val="21"/>
              </w:rPr>
              <w:t>48.87</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1F9896AC" w14:textId="77777777" w:rsidR="002133E3" w:rsidRDefault="00C22CFA">
            <w:pPr>
              <w:widowControl/>
              <w:jc w:val="center"/>
              <w:textAlignment w:val="center"/>
              <w:rPr>
                <w:rFonts w:ascii="Times New Roman" w:eastAsia="宋体" w:hAnsi="Times New Roman" w:cs="Times New Roman"/>
                <w:color w:val="0C0C0C"/>
                <w:kern w:val="0"/>
                <w:szCs w:val="21"/>
                <w:lang w:bidi="ar"/>
              </w:rPr>
            </w:pPr>
            <w:r>
              <w:rPr>
                <w:rFonts w:ascii="Times New Roman" w:eastAsia="宋体" w:hAnsi="Times New Roman" w:cs="Times New Roman"/>
                <w:color w:val="000000"/>
                <w:szCs w:val="21"/>
              </w:rPr>
              <w:t>42</w:t>
            </w:r>
          </w:p>
        </w:tc>
      </w:tr>
      <w:tr w:rsidR="002133E3" w14:paraId="5339837E"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10B58720" w14:textId="77777777" w:rsidR="002133E3" w:rsidRDefault="002133E3">
            <w:pPr>
              <w:rPr>
                <w:rFonts w:ascii="Times New Roman" w:eastAsia="宋体" w:hAnsi="Times New Roman" w:cs="Times New Roman"/>
              </w:rPr>
            </w:pP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1F0D8981" w14:textId="77777777" w:rsidR="002133E3" w:rsidRDefault="00C22CFA">
            <w:pPr>
              <w:rPr>
                <w:rFonts w:ascii="Times New Roman" w:eastAsia="宋体" w:hAnsi="Times New Roman" w:cs="Times New Roman"/>
              </w:rPr>
            </w:pPr>
            <w:r>
              <w:rPr>
                <w:rFonts w:ascii="Times New Roman" w:eastAsia="宋体" w:hAnsi="Times New Roman" w:cs="Times New Roman"/>
              </w:rPr>
              <w:t>替代源排放情况</w:t>
            </w:r>
          </w:p>
        </w:tc>
        <w:tc>
          <w:tcPr>
            <w:tcW w:w="860" w:type="pct"/>
            <w:tcBorders>
              <w:top w:val="single" w:sz="4" w:space="0" w:color="auto"/>
              <w:left w:val="single" w:sz="4" w:space="0" w:color="auto"/>
              <w:bottom w:val="single" w:sz="4" w:space="0" w:color="auto"/>
              <w:right w:val="single" w:sz="4" w:space="0" w:color="auto"/>
            </w:tcBorders>
            <w:vAlign w:val="center"/>
          </w:tcPr>
          <w:p w14:paraId="6560DA26" w14:textId="77777777" w:rsidR="002133E3" w:rsidRDefault="00C22CFA">
            <w:pPr>
              <w:rPr>
                <w:rFonts w:ascii="Times New Roman" w:eastAsia="宋体" w:hAnsi="Times New Roman" w:cs="Times New Roman"/>
              </w:rPr>
            </w:pPr>
            <w:r>
              <w:rPr>
                <w:rFonts w:ascii="Times New Roman" w:eastAsia="宋体" w:hAnsi="Times New Roman" w:cs="Times New Roman"/>
              </w:rPr>
              <w:t>污染源名称</w:t>
            </w:r>
          </w:p>
        </w:tc>
        <w:tc>
          <w:tcPr>
            <w:tcW w:w="702" w:type="pct"/>
            <w:gridSpan w:val="4"/>
            <w:tcBorders>
              <w:top w:val="single" w:sz="4" w:space="0" w:color="auto"/>
              <w:left w:val="single" w:sz="4" w:space="0" w:color="auto"/>
              <w:bottom w:val="single" w:sz="4" w:space="0" w:color="auto"/>
              <w:right w:val="single" w:sz="4" w:space="0" w:color="auto"/>
            </w:tcBorders>
            <w:vAlign w:val="center"/>
          </w:tcPr>
          <w:p w14:paraId="4F9DDE29" w14:textId="77777777" w:rsidR="002133E3" w:rsidRDefault="00C22CFA">
            <w:pPr>
              <w:rPr>
                <w:rFonts w:ascii="Times New Roman" w:eastAsia="宋体" w:hAnsi="Times New Roman" w:cs="Times New Roman"/>
              </w:rPr>
            </w:pPr>
            <w:r>
              <w:rPr>
                <w:rFonts w:ascii="Times New Roman" w:eastAsia="宋体" w:hAnsi="Times New Roman" w:cs="Times New Roman"/>
              </w:rPr>
              <w:t>排污许可证编号</w:t>
            </w:r>
          </w:p>
        </w:tc>
        <w:tc>
          <w:tcPr>
            <w:tcW w:w="773" w:type="pct"/>
            <w:gridSpan w:val="2"/>
            <w:tcBorders>
              <w:top w:val="single" w:sz="4" w:space="0" w:color="auto"/>
              <w:left w:val="single" w:sz="4" w:space="0" w:color="auto"/>
              <w:bottom w:val="single" w:sz="4" w:space="0" w:color="auto"/>
              <w:right w:val="single" w:sz="4" w:space="0" w:color="auto"/>
            </w:tcBorders>
            <w:vAlign w:val="center"/>
          </w:tcPr>
          <w:p w14:paraId="7660BC7C" w14:textId="77777777" w:rsidR="002133E3" w:rsidRDefault="00C22CFA">
            <w:pPr>
              <w:rPr>
                <w:rFonts w:ascii="Times New Roman" w:eastAsia="宋体" w:hAnsi="Times New Roman" w:cs="Times New Roman"/>
              </w:rPr>
            </w:pPr>
            <w:r>
              <w:rPr>
                <w:rFonts w:ascii="Times New Roman" w:eastAsia="宋体" w:hAnsi="Times New Roman" w:cs="Times New Roman"/>
              </w:rPr>
              <w:t>污染物名称</w:t>
            </w:r>
          </w:p>
        </w:tc>
        <w:tc>
          <w:tcPr>
            <w:tcW w:w="812" w:type="pct"/>
            <w:gridSpan w:val="2"/>
            <w:tcBorders>
              <w:top w:val="single" w:sz="4" w:space="0" w:color="auto"/>
              <w:left w:val="single" w:sz="4" w:space="0" w:color="auto"/>
              <w:bottom w:val="single" w:sz="4" w:space="0" w:color="auto"/>
              <w:right w:val="single" w:sz="4" w:space="0" w:color="auto"/>
            </w:tcBorders>
            <w:vAlign w:val="center"/>
          </w:tcPr>
          <w:p w14:paraId="782BC8F8" w14:textId="77777777" w:rsidR="002133E3" w:rsidRDefault="00C22CFA">
            <w:pPr>
              <w:rPr>
                <w:rFonts w:ascii="Times New Roman" w:eastAsia="宋体" w:hAnsi="Times New Roman" w:cs="Times New Roman"/>
              </w:rPr>
            </w:pPr>
            <w:r>
              <w:rPr>
                <w:rFonts w:ascii="Times New Roman" w:eastAsia="宋体" w:hAnsi="Times New Roman" w:cs="Times New Roman"/>
              </w:rPr>
              <w:t>排放量</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t/a</w:t>
            </w:r>
            <w:r>
              <w:rPr>
                <w:rFonts w:ascii="Times New Roman" w:eastAsia="宋体" w:hAnsi="Times New Roman" w:cs="Times New Roman"/>
              </w:rPr>
              <w:t>）</w:t>
            </w:r>
          </w:p>
        </w:tc>
        <w:tc>
          <w:tcPr>
            <w:tcW w:w="821" w:type="pct"/>
            <w:gridSpan w:val="2"/>
            <w:tcBorders>
              <w:top w:val="single" w:sz="4" w:space="0" w:color="auto"/>
              <w:left w:val="single" w:sz="4" w:space="0" w:color="auto"/>
              <w:bottom w:val="single" w:sz="4" w:space="0" w:color="auto"/>
              <w:right w:val="single" w:sz="4" w:space="0" w:color="auto"/>
            </w:tcBorders>
            <w:vAlign w:val="center"/>
          </w:tcPr>
          <w:p w14:paraId="42C9CFE6" w14:textId="77777777" w:rsidR="002133E3" w:rsidRDefault="00C22CFA">
            <w:pPr>
              <w:rPr>
                <w:rFonts w:ascii="Times New Roman" w:eastAsia="宋体" w:hAnsi="Times New Roman" w:cs="Times New Roman"/>
              </w:rPr>
            </w:pPr>
            <w:r>
              <w:rPr>
                <w:rFonts w:ascii="Times New Roman" w:eastAsia="宋体" w:hAnsi="Times New Roman" w:cs="Times New Roman"/>
              </w:rPr>
              <w:t>排放浓度</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mg/L</w:t>
            </w:r>
            <w:r>
              <w:rPr>
                <w:rFonts w:ascii="Times New Roman" w:eastAsia="宋体" w:hAnsi="Times New Roman" w:cs="Times New Roman"/>
              </w:rPr>
              <w:t>）</w:t>
            </w:r>
          </w:p>
        </w:tc>
      </w:tr>
      <w:tr w:rsidR="002133E3" w14:paraId="6AAE7A5E"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607669EA"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39CA1A7D" w14:textId="77777777" w:rsidR="002133E3" w:rsidRDefault="002133E3">
            <w:pPr>
              <w:rPr>
                <w:rFonts w:ascii="Times New Roman" w:eastAsia="宋体" w:hAnsi="Times New Roman" w:cs="Times New Roman"/>
              </w:rPr>
            </w:pPr>
          </w:p>
        </w:tc>
        <w:tc>
          <w:tcPr>
            <w:tcW w:w="860" w:type="pct"/>
            <w:tcBorders>
              <w:top w:val="single" w:sz="4" w:space="0" w:color="auto"/>
              <w:left w:val="single" w:sz="4" w:space="0" w:color="auto"/>
              <w:bottom w:val="single" w:sz="4" w:space="0" w:color="auto"/>
              <w:right w:val="single" w:sz="4" w:space="0" w:color="auto"/>
            </w:tcBorders>
            <w:vAlign w:val="center"/>
          </w:tcPr>
          <w:p w14:paraId="1966F724"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w:t>
            </w:r>
          </w:p>
        </w:tc>
        <w:tc>
          <w:tcPr>
            <w:tcW w:w="702" w:type="pct"/>
            <w:gridSpan w:val="4"/>
            <w:tcBorders>
              <w:top w:val="single" w:sz="4" w:space="0" w:color="auto"/>
              <w:left w:val="single" w:sz="4" w:space="0" w:color="auto"/>
              <w:bottom w:val="single" w:sz="4" w:space="0" w:color="auto"/>
              <w:right w:val="single" w:sz="4" w:space="0" w:color="auto"/>
            </w:tcBorders>
            <w:vAlign w:val="center"/>
          </w:tcPr>
          <w:p w14:paraId="1E23EFBB"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w:t>
            </w:r>
          </w:p>
        </w:tc>
        <w:tc>
          <w:tcPr>
            <w:tcW w:w="773" w:type="pct"/>
            <w:gridSpan w:val="2"/>
            <w:tcBorders>
              <w:top w:val="single" w:sz="4" w:space="0" w:color="auto"/>
              <w:left w:val="single" w:sz="4" w:space="0" w:color="auto"/>
              <w:bottom w:val="single" w:sz="4" w:space="0" w:color="auto"/>
              <w:right w:val="single" w:sz="4" w:space="0" w:color="auto"/>
            </w:tcBorders>
            <w:vAlign w:val="center"/>
          </w:tcPr>
          <w:p w14:paraId="63B08FA1"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w:t>
            </w:r>
          </w:p>
        </w:tc>
        <w:tc>
          <w:tcPr>
            <w:tcW w:w="812" w:type="pct"/>
            <w:gridSpan w:val="2"/>
            <w:tcBorders>
              <w:top w:val="single" w:sz="4" w:space="0" w:color="auto"/>
              <w:left w:val="single" w:sz="4" w:space="0" w:color="auto"/>
              <w:bottom w:val="single" w:sz="4" w:space="0" w:color="auto"/>
              <w:right w:val="single" w:sz="4" w:space="0" w:color="auto"/>
            </w:tcBorders>
            <w:vAlign w:val="center"/>
          </w:tcPr>
          <w:p w14:paraId="07830442"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w:t>
            </w:r>
          </w:p>
        </w:tc>
        <w:tc>
          <w:tcPr>
            <w:tcW w:w="821" w:type="pct"/>
            <w:gridSpan w:val="2"/>
            <w:tcBorders>
              <w:top w:val="single" w:sz="4" w:space="0" w:color="auto"/>
              <w:left w:val="single" w:sz="4" w:space="0" w:color="auto"/>
              <w:bottom w:val="single" w:sz="4" w:space="0" w:color="auto"/>
              <w:right w:val="single" w:sz="4" w:space="0" w:color="auto"/>
            </w:tcBorders>
            <w:vAlign w:val="center"/>
          </w:tcPr>
          <w:p w14:paraId="4847199D"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w:t>
            </w:r>
          </w:p>
        </w:tc>
      </w:tr>
      <w:tr w:rsidR="002133E3" w14:paraId="35A743C4"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42995C4A"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10764B31" w14:textId="77777777" w:rsidR="002133E3" w:rsidRDefault="00C22CFA">
            <w:pPr>
              <w:rPr>
                <w:rFonts w:ascii="Times New Roman" w:eastAsia="宋体" w:hAnsi="Times New Roman" w:cs="Times New Roman"/>
              </w:rPr>
            </w:pPr>
            <w:r>
              <w:rPr>
                <w:rFonts w:ascii="Times New Roman" w:eastAsia="宋体" w:hAnsi="Times New Roman" w:cs="Times New Roman"/>
              </w:rPr>
              <w:t>生态流量确定</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252F5525" w14:textId="77777777" w:rsidR="002133E3" w:rsidRDefault="00C22CFA">
            <w:pPr>
              <w:rPr>
                <w:rFonts w:ascii="Times New Roman" w:eastAsia="宋体" w:hAnsi="Times New Roman" w:cs="Times New Roman"/>
              </w:rPr>
            </w:pPr>
            <w:r>
              <w:rPr>
                <w:rFonts w:ascii="Times New Roman" w:eastAsia="宋体" w:hAnsi="Times New Roman" w:cs="Times New Roman"/>
              </w:rPr>
              <w:t>生态流量：一般水期（</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/s</w:t>
            </w:r>
            <w:r>
              <w:rPr>
                <w:rFonts w:ascii="Times New Roman" w:eastAsia="宋体" w:hAnsi="Times New Roman" w:cs="Times New Roman"/>
              </w:rPr>
              <w:t>；鱼类繁殖期（</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/s</w:t>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/s</w:t>
            </w:r>
          </w:p>
          <w:p w14:paraId="23E224B7" w14:textId="77777777" w:rsidR="002133E3" w:rsidRDefault="00C22CFA">
            <w:pPr>
              <w:rPr>
                <w:rFonts w:ascii="Times New Roman" w:eastAsia="宋体" w:hAnsi="Times New Roman" w:cs="Times New Roman"/>
              </w:rPr>
            </w:pPr>
            <w:r>
              <w:rPr>
                <w:rFonts w:ascii="Times New Roman" w:eastAsia="宋体" w:hAnsi="Times New Roman" w:cs="Times New Roman"/>
              </w:rPr>
              <w:t>生态水位：一般水期（</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m</w:t>
            </w:r>
            <w:r>
              <w:rPr>
                <w:rFonts w:ascii="Times New Roman" w:eastAsia="宋体" w:hAnsi="Times New Roman" w:cs="Times New Roman"/>
              </w:rPr>
              <w:t>；鱼类繁殖期（</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m</w:t>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m</w:t>
            </w:r>
          </w:p>
        </w:tc>
      </w:tr>
      <w:tr w:rsidR="002133E3" w14:paraId="1B6ECF94" w14:textId="77777777">
        <w:tc>
          <w:tcPr>
            <w:tcW w:w="227" w:type="pct"/>
            <w:vMerge w:val="restart"/>
            <w:tcBorders>
              <w:top w:val="single" w:sz="4" w:space="0" w:color="auto"/>
              <w:left w:val="single" w:sz="4" w:space="0" w:color="auto"/>
              <w:bottom w:val="single" w:sz="4" w:space="0" w:color="auto"/>
              <w:right w:val="single" w:sz="4" w:space="0" w:color="auto"/>
            </w:tcBorders>
            <w:vAlign w:val="center"/>
          </w:tcPr>
          <w:p w14:paraId="6CDF9463" w14:textId="77777777" w:rsidR="002133E3" w:rsidRDefault="00C22CFA">
            <w:pPr>
              <w:rPr>
                <w:rFonts w:ascii="Times New Roman" w:eastAsia="宋体" w:hAnsi="Times New Roman" w:cs="Times New Roman"/>
              </w:rPr>
            </w:pPr>
            <w:r>
              <w:rPr>
                <w:rFonts w:ascii="Times New Roman" w:eastAsia="宋体" w:hAnsi="Times New Roman" w:cs="Times New Roman"/>
              </w:rPr>
              <w:t>防治措施</w:t>
            </w:r>
          </w:p>
        </w:tc>
        <w:tc>
          <w:tcPr>
            <w:tcW w:w="805" w:type="pct"/>
            <w:tcBorders>
              <w:top w:val="single" w:sz="4" w:space="0" w:color="auto"/>
              <w:left w:val="single" w:sz="4" w:space="0" w:color="auto"/>
              <w:bottom w:val="single" w:sz="4" w:space="0" w:color="auto"/>
              <w:right w:val="single" w:sz="4" w:space="0" w:color="auto"/>
            </w:tcBorders>
            <w:vAlign w:val="center"/>
          </w:tcPr>
          <w:p w14:paraId="584C802A" w14:textId="77777777" w:rsidR="002133E3" w:rsidRDefault="00C22CFA">
            <w:pPr>
              <w:rPr>
                <w:rFonts w:ascii="Times New Roman" w:eastAsia="宋体" w:hAnsi="Times New Roman" w:cs="Times New Roman"/>
              </w:rPr>
            </w:pPr>
            <w:r>
              <w:rPr>
                <w:rFonts w:ascii="Times New Roman" w:eastAsia="宋体" w:hAnsi="Times New Roman" w:cs="Times New Roman"/>
              </w:rPr>
              <w:t>环保措施</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09DDC22C" w14:textId="77777777" w:rsidR="002133E3" w:rsidRDefault="00C22CFA">
            <w:pPr>
              <w:rPr>
                <w:rFonts w:ascii="Times New Roman" w:eastAsia="宋体" w:hAnsi="Times New Roman" w:cs="Times New Roman"/>
              </w:rPr>
            </w:pPr>
            <w:r>
              <w:rPr>
                <w:rFonts w:ascii="Times New Roman" w:eastAsia="宋体" w:hAnsi="Times New Roman" w:cs="Times New Roman"/>
              </w:rPr>
              <w:t>污水处理措施</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；水文减缓措施</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；生态流量保障措施</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；区域削减</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；依托其他工程措施</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；其他</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4E9CCF62"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051E2015" w14:textId="77777777" w:rsidR="002133E3" w:rsidRDefault="002133E3">
            <w:pPr>
              <w:rPr>
                <w:rFonts w:ascii="Times New Roman" w:eastAsia="宋体" w:hAnsi="Times New Roman" w:cs="Times New Roman"/>
              </w:rPr>
            </w:pPr>
          </w:p>
        </w:tc>
        <w:tc>
          <w:tcPr>
            <w:tcW w:w="805" w:type="pct"/>
            <w:vMerge w:val="restart"/>
            <w:tcBorders>
              <w:top w:val="single" w:sz="4" w:space="0" w:color="auto"/>
              <w:left w:val="single" w:sz="4" w:space="0" w:color="auto"/>
              <w:bottom w:val="single" w:sz="4" w:space="0" w:color="auto"/>
              <w:right w:val="single" w:sz="4" w:space="0" w:color="auto"/>
            </w:tcBorders>
            <w:vAlign w:val="center"/>
          </w:tcPr>
          <w:p w14:paraId="6FC18BC2" w14:textId="77777777" w:rsidR="002133E3" w:rsidRDefault="00C22CFA">
            <w:pPr>
              <w:rPr>
                <w:rFonts w:ascii="Times New Roman" w:eastAsia="宋体" w:hAnsi="Times New Roman" w:cs="Times New Roman"/>
              </w:rPr>
            </w:pPr>
            <w:r>
              <w:rPr>
                <w:rFonts w:ascii="Times New Roman" w:eastAsia="宋体" w:hAnsi="Times New Roman" w:cs="Times New Roman"/>
              </w:rPr>
              <w:t>监测计划</w:t>
            </w:r>
          </w:p>
        </w:tc>
        <w:tc>
          <w:tcPr>
            <w:tcW w:w="1205" w:type="pct"/>
            <w:gridSpan w:val="2"/>
            <w:tcBorders>
              <w:top w:val="single" w:sz="4" w:space="0" w:color="auto"/>
              <w:left w:val="single" w:sz="4" w:space="0" w:color="auto"/>
              <w:bottom w:val="single" w:sz="4" w:space="0" w:color="auto"/>
              <w:right w:val="single" w:sz="4" w:space="0" w:color="auto"/>
            </w:tcBorders>
            <w:vAlign w:val="center"/>
          </w:tcPr>
          <w:p w14:paraId="6F1B9247" w14:textId="77777777" w:rsidR="002133E3" w:rsidRDefault="002133E3">
            <w:pPr>
              <w:rPr>
                <w:rFonts w:ascii="Times New Roman" w:eastAsia="宋体" w:hAnsi="Times New Roman" w:cs="Times New Roman"/>
              </w:rPr>
            </w:pPr>
          </w:p>
        </w:tc>
        <w:tc>
          <w:tcPr>
            <w:tcW w:w="1130" w:type="pct"/>
            <w:gridSpan w:val="5"/>
            <w:tcBorders>
              <w:top w:val="single" w:sz="4" w:space="0" w:color="auto"/>
              <w:left w:val="single" w:sz="4" w:space="0" w:color="auto"/>
              <w:bottom w:val="single" w:sz="4" w:space="0" w:color="auto"/>
              <w:right w:val="single" w:sz="4" w:space="0" w:color="auto"/>
            </w:tcBorders>
            <w:vAlign w:val="center"/>
          </w:tcPr>
          <w:p w14:paraId="0FC790ED" w14:textId="77777777" w:rsidR="002133E3" w:rsidRDefault="00C22CFA">
            <w:pPr>
              <w:rPr>
                <w:rFonts w:ascii="Times New Roman" w:eastAsia="宋体" w:hAnsi="Times New Roman" w:cs="Times New Roman"/>
              </w:rPr>
            </w:pPr>
            <w:r>
              <w:rPr>
                <w:rFonts w:ascii="Times New Roman" w:eastAsia="宋体" w:hAnsi="Times New Roman" w:cs="Times New Roman"/>
              </w:rPr>
              <w:t>环境质量</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760F938F" w14:textId="77777777" w:rsidR="002133E3" w:rsidRDefault="00C22CFA">
            <w:pPr>
              <w:rPr>
                <w:rFonts w:ascii="Times New Roman" w:eastAsia="宋体" w:hAnsi="Times New Roman" w:cs="Times New Roman"/>
              </w:rPr>
            </w:pPr>
            <w:r>
              <w:rPr>
                <w:rFonts w:ascii="Times New Roman" w:eastAsia="宋体" w:hAnsi="Times New Roman" w:cs="Times New Roman"/>
              </w:rPr>
              <w:t>污染源</w:t>
            </w:r>
          </w:p>
        </w:tc>
      </w:tr>
      <w:tr w:rsidR="002133E3" w14:paraId="18044D46"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70CCB4F2"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784699A7" w14:textId="77777777" w:rsidR="002133E3" w:rsidRDefault="002133E3">
            <w:pPr>
              <w:rPr>
                <w:rFonts w:ascii="Times New Roman" w:eastAsia="宋体" w:hAnsi="Times New Roman" w:cs="Times New Roman"/>
              </w:rPr>
            </w:pPr>
          </w:p>
        </w:tc>
        <w:tc>
          <w:tcPr>
            <w:tcW w:w="1205" w:type="pct"/>
            <w:gridSpan w:val="2"/>
            <w:tcBorders>
              <w:top w:val="single" w:sz="4" w:space="0" w:color="auto"/>
              <w:left w:val="single" w:sz="4" w:space="0" w:color="auto"/>
              <w:bottom w:val="single" w:sz="4" w:space="0" w:color="auto"/>
              <w:right w:val="single" w:sz="4" w:space="0" w:color="auto"/>
            </w:tcBorders>
            <w:vAlign w:val="center"/>
          </w:tcPr>
          <w:p w14:paraId="478191AE" w14:textId="77777777" w:rsidR="002133E3" w:rsidRDefault="00C22CFA">
            <w:pPr>
              <w:rPr>
                <w:rFonts w:ascii="Times New Roman" w:eastAsia="宋体" w:hAnsi="Times New Roman" w:cs="Times New Roman"/>
              </w:rPr>
            </w:pPr>
            <w:r>
              <w:rPr>
                <w:rFonts w:ascii="Times New Roman" w:eastAsia="宋体" w:hAnsi="Times New Roman" w:cs="Times New Roman"/>
              </w:rPr>
              <w:t>监测方式</w:t>
            </w:r>
          </w:p>
        </w:tc>
        <w:tc>
          <w:tcPr>
            <w:tcW w:w="1130" w:type="pct"/>
            <w:gridSpan w:val="5"/>
            <w:tcBorders>
              <w:top w:val="single" w:sz="4" w:space="0" w:color="auto"/>
              <w:left w:val="single" w:sz="4" w:space="0" w:color="auto"/>
              <w:bottom w:val="single" w:sz="4" w:space="0" w:color="auto"/>
              <w:right w:val="single" w:sz="4" w:space="0" w:color="auto"/>
            </w:tcBorders>
            <w:vAlign w:val="center"/>
          </w:tcPr>
          <w:p w14:paraId="50BE9D59" w14:textId="77777777" w:rsidR="002133E3" w:rsidRDefault="00C22CFA">
            <w:pPr>
              <w:rPr>
                <w:rFonts w:ascii="Times New Roman" w:eastAsia="宋体" w:hAnsi="Times New Roman" w:cs="Times New Roman"/>
              </w:rPr>
            </w:pPr>
            <w:r>
              <w:rPr>
                <w:rFonts w:ascii="Times New Roman" w:eastAsia="宋体" w:hAnsi="Times New Roman" w:cs="Times New Roman"/>
              </w:rPr>
              <w:t>手动</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；自动</w:t>
            </w:r>
            <w:r>
              <w:rPr>
                <w:rFonts w:ascii="Times New Roman" w:eastAsia="宋体" w:hAnsi="Times New Roman" w:cs="Times New Roman"/>
              </w:rPr>
              <w:t xml:space="preserve"> </w:t>
            </w:r>
            <w:r>
              <w:rPr>
                <w:rFonts w:ascii="Times New Roman" w:eastAsia="宋体" w:hAnsi="Times New Roman" w:cs="Times New Roman"/>
              </w:rPr>
              <w:sym w:font="Wingdings 2" w:char="F0A3"/>
            </w:r>
            <w:r>
              <w:rPr>
                <w:rFonts w:ascii="Times New Roman" w:eastAsia="宋体" w:hAnsi="Times New Roman" w:cs="Times New Roman"/>
              </w:rPr>
              <w:t>；无监测</w:t>
            </w:r>
            <w:r>
              <w:rPr>
                <w:rFonts w:ascii="Times New Roman" w:eastAsia="宋体" w:hAnsi="Times New Roman" w:cs="Times New Roman"/>
              </w:rPr>
              <w:t xml:space="preserve"> </w:t>
            </w:r>
            <w:r>
              <w:rPr>
                <w:rFonts w:ascii="Times New Roman" w:eastAsia="宋体" w:hAnsi="Times New Roman" w:cs="Times New Roman"/>
              </w:rPr>
              <w:sym w:font="Wingdings 2" w:char="F0A3"/>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3BA730B4" w14:textId="77777777" w:rsidR="002133E3" w:rsidRDefault="00C22CFA">
            <w:pPr>
              <w:rPr>
                <w:rFonts w:ascii="Times New Roman" w:eastAsia="宋体" w:hAnsi="Times New Roman" w:cs="Times New Roman"/>
              </w:rPr>
            </w:pPr>
            <w:r>
              <w:rPr>
                <w:rFonts w:ascii="Times New Roman" w:eastAsia="宋体" w:hAnsi="Times New Roman" w:cs="Times New Roman"/>
              </w:rPr>
              <w:t>手动</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；自动</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；无监测</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5CAD6DFB"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78152EC6"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5FB0528C" w14:textId="77777777" w:rsidR="002133E3" w:rsidRDefault="002133E3">
            <w:pPr>
              <w:rPr>
                <w:rFonts w:ascii="Times New Roman" w:eastAsia="宋体" w:hAnsi="Times New Roman" w:cs="Times New Roman"/>
              </w:rPr>
            </w:pPr>
          </w:p>
        </w:tc>
        <w:tc>
          <w:tcPr>
            <w:tcW w:w="1205" w:type="pct"/>
            <w:gridSpan w:val="2"/>
            <w:tcBorders>
              <w:top w:val="single" w:sz="4" w:space="0" w:color="auto"/>
              <w:left w:val="single" w:sz="4" w:space="0" w:color="auto"/>
              <w:bottom w:val="single" w:sz="4" w:space="0" w:color="auto"/>
              <w:right w:val="single" w:sz="4" w:space="0" w:color="auto"/>
            </w:tcBorders>
            <w:vAlign w:val="center"/>
          </w:tcPr>
          <w:p w14:paraId="0A5B9F00" w14:textId="77777777" w:rsidR="002133E3" w:rsidRDefault="00C22CFA">
            <w:pPr>
              <w:rPr>
                <w:rFonts w:ascii="Times New Roman" w:eastAsia="宋体" w:hAnsi="Times New Roman" w:cs="Times New Roman"/>
              </w:rPr>
            </w:pPr>
            <w:r>
              <w:rPr>
                <w:rFonts w:ascii="Times New Roman" w:eastAsia="宋体" w:hAnsi="Times New Roman" w:cs="Times New Roman"/>
              </w:rPr>
              <w:t>监测点位</w:t>
            </w:r>
          </w:p>
        </w:tc>
        <w:tc>
          <w:tcPr>
            <w:tcW w:w="1130" w:type="pct"/>
            <w:gridSpan w:val="5"/>
            <w:vMerge w:val="restart"/>
            <w:tcBorders>
              <w:top w:val="single" w:sz="4" w:space="0" w:color="auto"/>
              <w:left w:val="single" w:sz="4" w:space="0" w:color="auto"/>
              <w:bottom w:val="single" w:sz="4" w:space="0" w:color="auto"/>
              <w:right w:val="single" w:sz="4" w:space="0" w:color="auto"/>
            </w:tcBorders>
            <w:vAlign w:val="center"/>
          </w:tcPr>
          <w:p w14:paraId="77EF8A2E" w14:textId="77777777" w:rsidR="002133E3" w:rsidRDefault="00C22CFA">
            <w:pPr>
              <w:rPr>
                <w:rFonts w:ascii="Times New Roman" w:eastAsia="宋体" w:hAnsi="Times New Roman" w:cs="Times New Roman"/>
              </w:rPr>
            </w:pPr>
            <w:r>
              <w:rPr>
                <w:rFonts w:ascii="Times New Roman" w:eastAsia="宋体" w:hAnsi="Times New Roman" w:cs="Times New Roman"/>
              </w:rPr>
              <w:t>（将本项目地表水环境监测计划纳入园区污水处理厂监测计划中）</w:t>
            </w: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3B94F5FB" w14:textId="77777777" w:rsidR="002133E3" w:rsidRDefault="00C22CFA">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企业废水排口</w:t>
            </w:r>
            <w:r>
              <w:rPr>
                <w:rFonts w:ascii="Times New Roman" w:eastAsia="宋体" w:hAnsi="Times New Roman" w:cs="Times New Roman"/>
              </w:rPr>
              <w:t xml:space="preserve"> </w:t>
            </w:r>
            <w:r>
              <w:rPr>
                <w:rFonts w:ascii="Times New Roman" w:eastAsia="宋体" w:hAnsi="Times New Roman" w:cs="Times New Roman"/>
              </w:rPr>
              <w:t>）</w:t>
            </w:r>
          </w:p>
        </w:tc>
      </w:tr>
      <w:tr w:rsidR="002133E3" w14:paraId="2B005C34"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0461212F" w14:textId="77777777" w:rsidR="002133E3" w:rsidRDefault="002133E3">
            <w:pPr>
              <w:rPr>
                <w:rFonts w:ascii="Times New Roman" w:eastAsia="宋体" w:hAnsi="Times New Roman" w:cs="Times New Roman"/>
              </w:rPr>
            </w:pPr>
          </w:p>
        </w:tc>
        <w:tc>
          <w:tcPr>
            <w:tcW w:w="805" w:type="pct"/>
            <w:vMerge/>
            <w:tcBorders>
              <w:top w:val="single" w:sz="4" w:space="0" w:color="auto"/>
              <w:left w:val="single" w:sz="4" w:space="0" w:color="auto"/>
              <w:bottom w:val="single" w:sz="4" w:space="0" w:color="auto"/>
              <w:right w:val="single" w:sz="4" w:space="0" w:color="auto"/>
            </w:tcBorders>
            <w:vAlign w:val="center"/>
          </w:tcPr>
          <w:p w14:paraId="1D42CA3D" w14:textId="77777777" w:rsidR="002133E3" w:rsidRDefault="002133E3">
            <w:pPr>
              <w:rPr>
                <w:rFonts w:ascii="Times New Roman" w:eastAsia="宋体" w:hAnsi="Times New Roman" w:cs="Times New Roman"/>
              </w:rPr>
            </w:pPr>
          </w:p>
        </w:tc>
        <w:tc>
          <w:tcPr>
            <w:tcW w:w="1205" w:type="pct"/>
            <w:gridSpan w:val="2"/>
            <w:tcBorders>
              <w:top w:val="single" w:sz="4" w:space="0" w:color="auto"/>
              <w:left w:val="single" w:sz="4" w:space="0" w:color="auto"/>
              <w:bottom w:val="single" w:sz="4" w:space="0" w:color="auto"/>
              <w:right w:val="single" w:sz="4" w:space="0" w:color="auto"/>
            </w:tcBorders>
            <w:vAlign w:val="center"/>
          </w:tcPr>
          <w:p w14:paraId="2655488C" w14:textId="77777777" w:rsidR="002133E3" w:rsidRDefault="00C22CFA">
            <w:pPr>
              <w:rPr>
                <w:rFonts w:ascii="Times New Roman" w:eastAsia="宋体" w:hAnsi="Times New Roman" w:cs="Times New Roman"/>
              </w:rPr>
            </w:pPr>
            <w:r>
              <w:rPr>
                <w:rFonts w:ascii="Times New Roman" w:eastAsia="宋体" w:hAnsi="Times New Roman" w:cs="Times New Roman"/>
              </w:rPr>
              <w:t>监测因子</w:t>
            </w:r>
          </w:p>
        </w:tc>
        <w:tc>
          <w:tcPr>
            <w:tcW w:w="1130" w:type="pct"/>
            <w:gridSpan w:val="5"/>
            <w:vMerge/>
            <w:tcBorders>
              <w:top w:val="single" w:sz="4" w:space="0" w:color="auto"/>
              <w:left w:val="single" w:sz="4" w:space="0" w:color="auto"/>
              <w:bottom w:val="single" w:sz="4" w:space="0" w:color="auto"/>
              <w:right w:val="single" w:sz="4" w:space="0" w:color="auto"/>
            </w:tcBorders>
            <w:vAlign w:val="center"/>
          </w:tcPr>
          <w:p w14:paraId="30CCFA27" w14:textId="77777777" w:rsidR="002133E3" w:rsidRDefault="002133E3">
            <w:pPr>
              <w:rPr>
                <w:rFonts w:ascii="Times New Roman" w:eastAsia="宋体" w:hAnsi="Times New Roman" w:cs="Times New Roman"/>
              </w:rPr>
            </w:pPr>
          </w:p>
        </w:tc>
        <w:tc>
          <w:tcPr>
            <w:tcW w:w="1633" w:type="pct"/>
            <w:gridSpan w:val="4"/>
            <w:tcBorders>
              <w:top w:val="single" w:sz="4" w:space="0" w:color="auto"/>
              <w:left w:val="single" w:sz="4" w:space="0" w:color="auto"/>
              <w:bottom w:val="single" w:sz="4" w:space="0" w:color="auto"/>
              <w:right w:val="single" w:sz="4" w:space="0" w:color="auto"/>
            </w:tcBorders>
            <w:vAlign w:val="center"/>
          </w:tcPr>
          <w:p w14:paraId="42A57519"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自动：流量、</w:t>
            </w:r>
            <w:r>
              <w:rPr>
                <w:rFonts w:ascii="Times New Roman" w:eastAsia="宋体" w:hAnsi="Times New Roman" w:cs="Times New Roman"/>
                <w:kern w:val="0"/>
                <w:szCs w:val="21"/>
              </w:rPr>
              <w:t>pH</w:t>
            </w:r>
            <w:r>
              <w:rPr>
                <w:rFonts w:ascii="Times New Roman" w:eastAsia="宋体" w:hAnsi="Times New Roman" w:cs="Times New Roman"/>
                <w:kern w:val="0"/>
                <w:szCs w:val="21"/>
              </w:rPr>
              <w:t>、</w:t>
            </w:r>
            <w:r>
              <w:rPr>
                <w:rFonts w:ascii="Times New Roman" w:eastAsia="宋体" w:hAnsi="Times New Roman" w:cs="Times New Roman"/>
                <w:kern w:val="0"/>
                <w:szCs w:val="21"/>
              </w:rPr>
              <w:t>COD</w:t>
            </w:r>
            <w:r>
              <w:rPr>
                <w:rFonts w:ascii="Times New Roman" w:eastAsia="宋体" w:hAnsi="Times New Roman" w:cs="Times New Roman"/>
                <w:kern w:val="0"/>
                <w:szCs w:val="21"/>
              </w:rPr>
              <w:t>、氨氮</w:t>
            </w:r>
          </w:p>
          <w:p w14:paraId="608A0C22" w14:textId="77777777" w:rsidR="002133E3" w:rsidRDefault="00C22CFA">
            <w:pPr>
              <w:rPr>
                <w:rFonts w:ascii="Times New Roman" w:eastAsia="宋体" w:hAnsi="Times New Roman" w:cs="Times New Roman"/>
              </w:rPr>
            </w:pPr>
            <w:r>
              <w:rPr>
                <w:rFonts w:ascii="Times New Roman" w:eastAsia="宋体" w:hAnsi="Times New Roman" w:cs="Times New Roman"/>
                <w:kern w:val="0"/>
                <w:szCs w:val="21"/>
              </w:rPr>
              <w:t>手动：</w:t>
            </w:r>
            <w:r>
              <w:rPr>
                <w:rFonts w:ascii="Times New Roman" w:eastAsia="宋体" w:hAnsi="Times New Roman" w:cs="Times New Roman"/>
                <w:kern w:val="0"/>
                <w:szCs w:val="21"/>
              </w:rPr>
              <w:t>SS</w:t>
            </w:r>
            <w:r>
              <w:rPr>
                <w:rFonts w:ascii="Times New Roman" w:eastAsia="宋体" w:hAnsi="Times New Roman" w:cs="Times New Roman"/>
                <w:kern w:val="0"/>
                <w:szCs w:val="21"/>
              </w:rPr>
              <w:t>、总氮、总磷</w:t>
            </w:r>
          </w:p>
        </w:tc>
      </w:tr>
      <w:tr w:rsidR="002133E3" w14:paraId="29272DB5" w14:textId="77777777">
        <w:tc>
          <w:tcPr>
            <w:tcW w:w="227" w:type="pct"/>
            <w:vMerge/>
            <w:tcBorders>
              <w:top w:val="single" w:sz="4" w:space="0" w:color="auto"/>
              <w:left w:val="single" w:sz="4" w:space="0" w:color="auto"/>
              <w:bottom w:val="single" w:sz="4" w:space="0" w:color="auto"/>
              <w:right w:val="single" w:sz="4" w:space="0" w:color="auto"/>
            </w:tcBorders>
            <w:vAlign w:val="center"/>
          </w:tcPr>
          <w:p w14:paraId="47DE074A" w14:textId="77777777" w:rsidR="002133E3" w:rsidRDefault="002133E3">
            <w:pPr>
              <w:rPr>
                <w:rFonts w:ascii="Times New Roman" w:eastAsia="宋体" w:hAnsi="Times New Roman" w:cs="Times New Roman"/>
              </w:rPr>
            </w:pPr>
          </w:p>
        </w:tc>
        <w:tc>
          <w:tcPr>
            <w:tcW w:w="805" w:type="pct"/>
            <w:tcBorders>
              <w:top w:val="single" w:sz="4" w:space="0" w:color="auto"/>
              <w:left w:val="single" w:sz="4" w:space="0" w:color="auto"/>
              <w:bottom w:val="single" w:sz="4" w:space="0" w:color="auto"/>
              <w:right w:val="single" w:sz="4" w:space="0" w:color="auto"/>
            </w:tcBorders>
            <w:vAlign w:val="center"/>
          </w:tcPr>
          <w:p w14:paraId="2BCA77E7" w14:textId="77777777" w:rsidR="002133E3" w:rsidRDefault="00C22CFA">
            <w:pPr>
              <w:rPr>
                <w:rFonts w:ascii="Times New Roman" w:eastAsia="宋体" w:hAnsi="Times New Roman" w:cs="Times New Roman"/>
              </w:rPr>
            </w:pPr>
            <w:r>
              <w:rPr>
                <w:rFonts w:ascii="Times New Roman" w:eastAsia="宋体" w:hAnsi="Times New Roman" w:cs="Times New Roman"/>
              </w:rPr>
              <w:t>污染物排放清单</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1166A07A" w14:textId="77777777" w:rsidR="002133E3" w:rsidRDefault="00C22CFA">
            <w:pPr>
              <w:rPr>
                <w:rFonts w:ascii="Times New Roman" w:eastAsia="宋体" w:hAnsi="Times New Roman" w:cs="Times New Roman"/>
              </w:rPr>
            </w:pPr>
            <w:r>
              <w:rPr>
                <w:rFonts w:ascii="Times New Roman" w:eastAsia="宋体" w:hAnsi="Times New Roman" w:cs="Times New Roman"/>
              </w:rPr>
              <w:sym w:font="Wingdings 2" w:char="F052"/>
            </w:r>
          </w:p>
        </w:tc>
      </w:tr>
      <w:tr w:rsidR="002133E3" w14:paraId="3F0B070C" w14:textId="77777777">
        <w:tc>
          <w:tcPr>
            <w:tcW w:w="1032" w:type="pct"/>
            <w:gridSpan w:val="2"/>
            <w:tcBorders>
              <w:top w:val="single" w:sz="4" w:space="0" w:color="auto"/>
              <w:left w:val="single" w:sz="4" w:space="0" w:color="auto"/>
              <w:bottom w:val="single" w:sz="4" w:space="0" w:color="auto"/>
              <w:right w:val="single" w:sz="4" w:space="0" w:color="auto"/>
            </w:tcBorders>
            <w:vAlign w:val="center"/>
          </w:tcPr>
          <w:p w14:paraId="5F1133DF" w14:textId="77777777" w:rsidR="002133E3" w:rsidRDefault="00C22CFA">
            <w:pPr>
              <w:rPr>
                <w:rFonts w:ascii="Times New Roman" w:eastAsia="宋体" w:hAnsi="Times New Roman" w:cs="Times New Roman"/>
              </w:rPr>
            </w:pPr>
            <w:r>
              <w:rPr>
                <w:rFonts w:ascii="Times New Roman" w:eastAsia="宋体" w:hAnsi="Times New Roman" w:cs="Times New Roman"/>
              </w:rPr>
              <w:t>评价结论</w:t>
            </w:r>
          </w:p>
        </w:tc>
        <w:tc>
          <w:tcPr>
            <w:tcW w:w="3968" w:type="pct"/>
            <w:gridSpan w:val="11"/>
            <w:tcBorders>
              <w:top w:val="single" w:sz="4" w:space="0" w:color="auto"/>
              <w:left w:val="single" w:sz="4" w:space="0" w:color="auto"/>
              <w:bottom w:val="single" w:sz="4" w:space="0" w:color="auto"/>
              <w:right w:val="single" w:sz="4" w:space="0" w:color="auto"/>
            </w:tcBorders>
            <w:vAlign w:val="center"/>
          </w:tcPr>
          <w:p w14:paraId="31FFD7EA" w14:textId="77777777" w:rsidR="002133E3" w:rsidRDefault="00C22CFA">
            <w:pPr>
              <w:rPr>
                <w:rFonts w:ascii="Times New Roman" w:eastAsia="宋体" w:hAnsi="Times New Roman" w:cs="Times New Roman"/>
              </w:rPr>
            </w:pPr>
            <w:r>
              <w:rPr>
                <w:rFonts w:ascii="Times New Roman" w:eastAsia="宋体" w:hAnsi="Times New Roman" w:cs="Times New Roman"/>
              </w:rPr>
              <w:t>可以接受</w:t>
            </w:r>
            <w:r>
              <w:rPr>
                <w:rFonts w:ascii="Times New Roman" w:eastAsia="宋体" w:hAnsi="Times New Roman" w:cs="Times New Roman"/>
              </w:rPr>
              <w:t xml:space="preserve"> </w:t>
            </w:r>
            <w:r>
              <w:rPr>
                <w:rFonts w:ascii="Times New Roman" w:eastAsia="宋体" w:hAnsi="Times New Roman" w:cs="Times New Roman"/>
              </w:rPr>
              <w:sym w:font="Wingdings 2" w:char="F052"/>
            </w:r>
            <w:r>
              <w:rPr>
                <w:rFonts w:ascii="Times New Roman" w:eastAsia="宋体" w:hAnsi="Times New Roman" w:cs="Times New Roman"/>
              </w:rPr>
              <w:t>；不可接受</w:t>
            </w:r>
            <w:r>
              <w:rPr>
                <w:rFonts w:ascii="Times New Roman" w:eastAsia="宋体" w:hAnsi="Times New Roman" w:cs="Times New Roman"/>
              </w:rPr>
              <w:t xml:space="preserve"> </w:t>
            </w:r>
            <w:r>
              <w:rPr>
                <w:rFonts w:ascii="Times New Roman" w:eastAsia="宋体" w:hAnsi="Times New Roman" w:cs="Times New Roman"/>
              </w:rPr>
              <w:sym w:font="Wingdings 2" w:char="F0A3"/>
            </w:r>
          </w:p>
        </w:tc>
      </w:tr>
      <w:tr w:rsidR="002133E3" w14:paraId="771AF780" w14:textId="77777777">
        <w:tc>
          <w:tcPr>
            <w:tcW w:w="5000" w:type="pct"/>
            <w:gridSpan w:val="13"/>
            <w:tcBorders>
              <w:top w:val="single" w:sz="4" w:space="0" w:color="auto"/>
              <w:left w:val="single" w:sz="4" w:space="0" w:color="auto"/>
              <w:bottom w:val="single" w:sz="4" w:space="0" w:color="auto"/>
              <w:right w:val="single" w:sz="4" w:space="0" w:color="auto"/>
            </w:tcBorders>
            <w:vAlign w:val="center"/>
          </w:tcPr>
          <w:p w14:paraId="251A2570" w14:textId="77777777" w:rsidR="002133E3" w:rsidRDefault="00C22CFA">
            <w:pPr>
              <w:rPr>
                <w:rFonts w:ascii="Times New Roman" w:eastAsia="宋体" w:hAnsi="Times New Roman" w:cs="Times New Roman"/>
              </w:rPr>
            </w:pPr>
            <w:r>
              <w:rPr>
                <w:rFonts w:ascii="Times New Roman" w:eastAsia="宋体" w:hAnsi="Times New Roman" w:cs="Times New Roman"/>
              </w:rPr>
              <w:t>注：</w:t>
            </w:r>
            <w:r>
              <w:rPr>
                <w:rFonts w:ascii="Times New Roman" w:eastAsia="宋体" w:hAnsi="Times New Roman" w:cs="Times New Roman"/>
              </w:rPr>
              <w:t>“</w:t>
            </w:r>
            <w:r>
              <w:rPr>
                <w:rFonts w:ascii="Times New Roman" w:eastAsia="宋体" w:hAnsi="Times New Roman" w:cs="Times New Roman"/>
              </w:rPr>
              <w:sym w:font="Wingdings 2" w:char="F0A3"/>
            </w:r>
            <w:r>
              <w:rPr>
                <w:rFonts w:ascii="Times New Roman" w:eastAsia="宋体" w:hAnsi="Times New Roman" w:cs="Times New Roman"/>
              </w:rPr>
              <w:t>”</w:t>
            </w:r>
            <w:r>
              <w:rPr>
                <w:rFonts w:ascii="Times New Roman" w:eastAsia="宋体" w:hAnsi="Times New Roman" w:cs="Times New Roman"/>
              </w:rPr>
              <w:t>为勾选项，可</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为内容填写项；</w:t>
            </w:r>
            <w:r>
              <w:rPr>
                <w:rFonts w:ascii="Times New Roman" w:eastAsia="宋体" w:hAnsi="Times New Roman" w:cs="Times New Roman"/>
              </w:rPr>
              <w:t>“</w:t>
            </w:r>
            <w:r>
              <w:rPr>
                <w:rFonts w:ascii="Times New Roman" w:eastAsia="宋体" w:hAnsi="Times New Roman" w:cs="Times New Roman"/>
              </w:rPr>
              <w:t>备注</w:t>
            </w:r>
            <w:r>
              <w:rPr>
                <w:rFonts w:ascii="Times New Roman" w:eastAsia="宋体" w:hAnsi="Times New Roman" w:cs="Times New Roman"/>
              </w:rPr>
              <w:t>”</w:t>
            </w:r>
            <w:r>
              <w:rPr>
                <w:rFonts w:ascii="Times New Roman" w:eastAsia="宋体" w:hAnsi="Times New Roman" w:cs="Times New Roman"/>
              </w:rPr>
              <w:t>为其他补充内容</w:t>
            </w:r>
          </w:p>
        </w:tc>
      </w:tr>
    </w:tbl>
    <w:p w14:paraId="6095E415"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52" w:name="_Toc362938477"/>
      <w:bookmarkStart w:id="53" w:name="_Toc57993016"/>
      <w:bookmarkStart w:id="54" w:name="_Toc519497246"/>
      <w:bookmarkStart w:id="55" w:name="_Toc409595298"/>
      <w:r>
        <w:rPr>
          <w:rFonts w:ascii="Times New Roman" w:eastAsia="宋体" w:hAnsi="Times New Roman" w:cs="Times New Roman"/>
          <w:b/>
          <w:sz w:val="30"/>
          <w:szCs w:val="30"/>
        </w:rPr>
        <w:t>噪声影响评价</w:t>
      </w:r>
      <w:bookmarkEnd w:id="52"/>
      <w:bookmarkEnd w:id="53"/>
      <w:bookmarkEnd w:id="54"/>
      <w:bookmarkEnd w:id="55"/>
    </w:p>
    <w:p w14:paraId="715BD9C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噪声源情况</w:t>
      </w:r>
    </w:p>
    <w:p w14:paraId="6BBDE966"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项目主要噪声源有风机、粉碎机、减速机、空压机、泵、冷却塔等，源强约</w:t>
      </w:r>
      <w:r>
        <w:rPr>
          <w:rFonts w:ascii="Times New Roman" w:eastAsia="宋体" w:hAnsi="Times New Roman" w:cs="Times New Roman"/>
          <w:kern w:val="0"/>
          <w:sz w:val="28"/>
          <w:szCs w:val="28"/>
        </w:rPr>
        <w:t>80</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90dB(A)</w:t>
      </w:r>
      <w:r>
        <w:rPr>
          <w:rFonts w:ascii="Times New Roman" w:eastAsia="宋体" w:hAnsi="Times New Roman" w:cs="Times New Roman"/>
          <w:kern w:val="0"/>
          <w:sz w:val="28"/>
          <w:szCs w:val="28"/>
        </w:rPr>
        <w:t>，其噪声设备声压级及拟采取措施情况见表</w:t>
      </w:r>
      <w:r>
        <w:rPr>
          <w:rFonts w:ascii="Times New Roman" w:eastAsia="宋体" w:hAnsi="Times New Roman" w:cs="Times New Roman"/>
          <w:kern w:val="0"/>
          <w:sz w:val="28"/>
          <w:szCs w:val="28"/>
        </w:rPr>
        <w:t>4.5-9</w:t>
      </w:r>
      <w:r>
        <w:rPr>
          <w:rFonts w:ascii="Times New Roman" w:eastAsia="宋体" w:hAnsi="Times New Roman" w:cs="Times New Roman"/>
          <w:kern w:val="0"/>
          <w:sz w:val="28"/>
          <w:szCs w:val="28"/>
        </w:rPr>
        <w:t>。</w:t>
      </w:r>
    </w:p>
    <w:p w14:paraId="6FAFED0E"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由于同类设备相距较近，因此评价中将同类设备视作一个点源考虑，以便于简化计算。</w:t>
      </w:r>
    </w:p>
    <w:p w14:paraId="4B262DC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声环境质量预测及评价</w:t>
      </w:r>
    </w:p>
    <w:p w14:paraId="12B79A64"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⑴</w:t>
      </w:r>
      <w:r>
        <w:rPr>
          <w:rFonts w:ascii="Times New Roman" w:eastAsia="宋体" w:hAnsi="Times New Roman" w:cs="Times New Roman"/>
          <w:color w:val="0D0D0D"/>
          <w:sz w:val="28"/>
          <w:szCs w:val="28"/>
        </w:rPr>
        <w:t xml:space="preserve"> </w:t>
      </w:r>
      <w:r>
        <w:rPr>
          <w:rFonts w:ascii="Times New Roman" w:eastAsia="宋体" w:hAnsi="Times New Roman" w:cs="Times New Roman"/>
          <w:color w:val="0D0D0D"/>
          <w:sz w:val="28"/>
          <w:szCs w:val="28"/>
        </w:rPr>
        <w:t>预测模式</w:t>
      </w:r>
    </w:p>
    <w:p w14:paraId="28AAB968" w14:textId="77777777" w:rsidR="002133E3" w:rsidRDefault="00C22CFA">
      <w:pPr>
        <w:spacing w:line="500" w:lineRule="exact"/>
        <w:ind w:firstLine="555"/>
        <w:rPr>
          <w:rFonts w:ascii="Times New Roman" w:eastAsia="宋体" w:hAnsi="Times New Roman" w:cs="Times New Roman"/>
          <w:color w:val="0D0D0D"/>
          <w:sz w:val="28"/>
          <w:szCs w:val="28"/>
        </w:rPr>
      </w:pPr>
      <w:r>
        <w:rPr>
          <w:rFonts w:ascii="宋体" w:eastAsia="宋体" w:hAnsi="宋体" w:cs="宋体" w:hint="eastAsia"/>
          <w:color w:val="0D0D0D"/>
          <w:sz w:val="28"/>
          <w:szCs w:val="28"/>
        </w:rPr>
        <w:lastRenderedPageBreak/>
        <w:t>①</w:t>
      </w:r>
      <w:r>
        <w:rPr>
          <w:rFonts w:ascii="Times New Roman" w:eastAsia="宋体" w:hAnsi="Times New Roman" w:cs="Times New Roman"/>
          <w:color w:val="0D0D0D"/>
          <w:sz w:val="28"/>
          <w:szCs w:val="28"/>
        </w:rPr>
        <w:t xml:space="preserve"> </w:t>
      </w:r>
      <w:r>
        <w:rPr>
          <w:rFonts w:ascii="Times New Roman" w:eastAsia="宋体" w:hAnsi="Times New Roman" w:cs="Times New Roman"/>
          <w:color w:val="0D0D0D"/>
          <w:sz w:val="28"/>
          <w:szCs w:val="28"/>
        </w:rPr>
        <w:t>室外声源</w:t>
      </w:r>
    </w:p>
    <w:p w14:paraId="3897A4C5" w14:textId="77777777" w:rsidR="002133E3" w:rsidRDefault="00C22CFA">
      <w:pPr>
        <w:spacing w:line="500" w:lineRule="exact"/>
        <w:ind w:firstLine="555"/>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某个声源在预测点的声压级：</w:t>
      </w:r>
    </w:p>
    <w:p w14:paraId="2C98F92D" w14:textId="77777777" w:rsidR="002133E3" w:rsidRDefault="00C22CFA">
      <w:pPr>
        <w:ind w:firstLine="556"/>
        <w:rPr>
          <w:rFonts w:ascii="Times New Roman" w:eastAsia="宋体" w:hAnsi="Times New Roman" w:cs="Times New Roman"/>
          <w:color w:val="0D0D0D"/>
          <w:sz w:val="28"/>
          <w:szCs w:val="28"/>
        </w:rPr>
      </w:pPr>
      <w:r>
        <w:rPr>
          <w:rFonts w:ascii="Times New Roman" w:eastAsia="宋体" w:hAnsi="Times New Roman" w:cs="Times New Roman"/>
          <w:noProof/>
          <w:color w:val="0D0D0D"/>
        </w:rPr>
        <w:drawing>
          <wp:inline distT="0" distB="0" distL="0" distR="0" wp14:anchorId="3F1E4758" wp14:editId="07A3DBEE">
            <wp:extent cx="2265045" cy="595630"/>
            <wp:effectExtent l="19050" t="0" r="1905" b="0"/>
            <wp:docPr id="2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9"/>
                    <pic:cNvPicPr>
                      <a:picLocks noChangeAspect="1" noChangeArrowheads="1"/>
                    </pic:cNvPicPr>
                  </pic:nvPicPr>
                  <pic:blipFill>
                    <a:blip r:embed="rId102" cstate="print"/>
                    <a:srcRect l="20532" t="51129" r="60098" b="39861"/>
                    <a:stretch>
                      <a:fillRect/>
                    </a:stretch>
                  </pic:blipFill>
                  <pic:spPr>
                    <a:xfrm>
                      <a:off x="0" y="0"/>
                      <a:ext cx="2265045" cy="595630"/>
                    </a:xfrm>
                    <a:prstGeom prst="rect">
                      <a:avLst/>
                    </a:prstGeom>
                    <a:noFill/>
                    <a:ln w="9525">
                      <a:noFill/>
                      <a:miter lim="800000"/>
                      <a:headEnd/>
                      <a:tailEnd/>
                    </a:ln>
                  </pic:spPr>
                </pic:pic>
              </a:graphicData>
            </a:graphic>
          </wp:inline>
        </w:drawing>
      </w:r>
      <w:r>
        <w:rPr>
          <w:rFonts w:ascii="Times New Roman" w:eastAsia="宋体" w:hAnsi="Times New Roman" w:cs="Times New Roman"/>
          <w:color w:val="0D0D0D"/>
          <w:sz w:val="28"/>
          <w:szCs w:val="28"/>
        </w:rPr>
        <w:t>……………(6.4-1)</w:t>
      </w:r>
    </w:p>
    <w:p w14:paraId="039C0480" w14:textId="77777777" w:rsidR="002133E3" w:rsidRDefault="00C22CFA">
      <w:pPr>
        <w:autoSpaceDE w:val="0"/>
        <w:autoSpaceDN w:val="0"/>
        <w:adjustRightInd w:val="0"/>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式中：</w:t>
      </w:r>
      <w:proofErr w:type="spellStart"/>
      <w:r>
        <w:rPr>
          <w:rFonts w:ascii="Times New Roman" w:eastAsia="宋体" w:hAnsi="Times New Roman" w:cs="Times New Roman"/>
          <w:color w:val="0D0D0D"/>
          <w:sz w:val="28"/>
          <w:szCs w:val="28"/>
        </w:rPr>
        <w:t>L</w:t>
      </w:r>
      <w:r>
        <w:rPr>
          <w:rFonts w:ascii="Times New Roman" w:eastAsia="宋体" w:hAnsi="Times New Roman" w:cs="Times New Roman"/>
          <w:i/>
          <w:iCs/>
          <w:color w:val="0D0D0D"/>
          <w:sz w:val="28"/>
          <w:szCs w:val="28"/>
        </w:rPr>
        <w:t>Pi</w:t>
      </w:r>
      <w:proofErr w:type="spellEnd"/>
      <w:r>
        <w:rPr>
          <w:rFonts w:ascii="Times New Roman" w:eastAsia="宋体" w:hAnsi="Times New Roman" w:cs="Times New Roman"/>
          <w:color w:val="0D0D0D"/>
          <w:sz w:val="28"/>
          <w:szCs w:val="28"/>
        </w:rPr>
        <w:t>(</w:t>
      </w:r>
      <w:proofErr w:type="spellStart"/>
      <w:r>
        <w:rPr>
          <w:rFonts w:ascii="Times New Roman" w:eastAsia="宋体" w:hAnsi="Times New Roman" w:cs="Times New Roman"/>
          <w:i/>
          <w:iCs/>
          <w:color w:val="0D0D0D"/>
          <w:sz w:val="28"/>
          <w:szCs w:val="28"/>
        </w:rPr>
        <w:t>Lr</w:t>
      </w:r>
      <w:proofErr w:type="spellEnd"/>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预测点（</w:t>
      </w:r>
      <w:r>
        <w:rPr>
          <w:rFonts w:ascii="Times New Roman" w:eastAsia="宋体" w:hAnsi="Times New Roman" w:cs="Times New Roman"/>
          <w:color w:val="0D0D0D"/>
          <w:sz w:val="28"/>
          <w:szCs w:val="28"/>
        </w:rPr>
        <w:t>r</w:t>
      </w:r>
      <w:r>
        <w:rPr>
          <w:rFonts w:ascii="Times New Roman" w:eastAsia="宋体" w:hAnsi="Times New Roman" w:cs="Times New Roman"/>
          <w:color w:val="0D0D0D"/>
          <w:sz w:val="28"/>
          <w:szCs w:val="28"/>
        </w:rPr>
        <w:t>）处，第</w:t>
      </w:r>
      <w:proofErr w:type="spellStart"/>
      <w:r>
        <w:rPr>
          <w:rFonts w:ascii="Times New Roman" w:eastAsia="宋体" w:hAnsi="Times New Roman" w:cs="Times New Roman"/>
          <w:color w:val="0D0D0D"/>
          <w:sz w:val="28"/>
          <w:szCs w:val="28"/>
        </w:rPr>
        <w:t>i</w:t>
      </w:r>
      <w:proofErr w:type="spellEnd"/>
      <w:r>
        <w:rPr>
          <w:rFonts w:ascii="Times New Roman" w:eastAsia="宋体" w:hAnsi="Times New Roman" w:cs="Times New Roman"/>
          <w:color w:val="0D0D0D"/>
          <w:sz w:val="28"/>
          <w:szCs w:val="28"/>
        </w:rPr>
        <w:t>倍频带声压级，</w:t>
      </w:r>
      <w:r>
        <w:rPr>
          <w:rFonts w:ascii="Times New Roman" w:eastAsia="宋体" w:hAnsi="Times New Roman" w:cs="Times New Roman"/>
          <w:color w:val="0D0D0D"/>
          <w:sz w:val="28"/>
          <w:szCs w:val="28"/>
        </w:rPr>
        <w:t>dB</w:t>
      </w:r>
      <w:r>
        <w:rPr>
          <w:rFonts w:ascii="Times New Roman" w:eastAsia="宋体" w:hAnsi="Times New Roman" w:cs="Times New Roman"/>
          <w:color w:val="0D0D0D"/>
          <w:sz w:val="28"/>
          <w:szCs w:val="28"/>
        </w:rPr>
        <w:t>；</w:t>
      </w:r>
    </w:p>
    <w:p w14:paraId="13654B1D" w14:textId="77777777" w:rsidR="002133E3" w:rsidRDefault="00C22CFA">
      <w:pPr>
        <w:spacing w:line="500" w:lineRule="exact"/>
        <w:ind w:firstLineChars="200" w:firstLine="560"/>
        <w:rPr>
          <w:rFonts w:ascii="Times New Roman" w:eastAsia="宋体" w:hAnsi="Times New Roman" w:cs="Times New Roman"/>
          <w:color w:val="0D0D0D"/>
          <w:sz w:val="28"/>
          <w:szCs w:val="28"/>
        </w:rPr>
      </w:pPr>
      <w:proofErr w:type="spellStart"/>
      <w:r>
        <w:rPr>
          <w:rFonts w:ascii="Times New Roman" w:eastAsia="宋体" w:hAnsi="Times New Roman" w:cs="Times New Roman"/>
          <w:color w:val="0D0D0D"/>
          <w:sz w:val="28"/>
          <w:szCs w:val="28"/>
        </w:rPr>
        <w:t>Δ</w:t>
      </w:r>
      <w:r>
        <w:rPr>
          <w:rFonts w:ascii="Times New Roman" w:eastAsia="宋体" w:hAnsi="Times New Roman" w:cs="Times New Roman"/>
          <w:i/>
          <w:iCs/>
          <w:color w:val="0D0D0D"/>
          <w:sz w:val="28"/>
          <w:szCs w:val="28"/>
        </w:rPr>
        <w:t>Li</w:t>
      </w:r>
      <w:proofErr w:type="spellEnd"/>
      <w:r>
        <w:rPr>
          <w:rFonts w:ascii="Times New Roman" w:eastAsia="宋体" w:hAnsi="Times New Roman" w:cs="Times New Roman"/>
          <w:color w:val="0D0D0D"/>
          <w:sz w:val="28"/>
          <w:szCs w:val="28"/>
        </w:rPr>
        <w:t xml:space="preserve"> —</w:t>
      </w:r>
      <w:proofErr w:type="spellStart"/>
      <w:r>
        <w:rPr>
          <w:rFonts w:ascii="Times New Roman" w:eastAsia="宋体" w:hAnsi="Times New Roman" w:cs="Times New Roman"/>
          <w:color w:val="0D0D0D"/>
          <w:sz w:val="28"/>
          <w:szCs w:val="28"/>
        </w:rPr>
        <w:t>i</w:t>
      </w:r>
      <w:proofErr w:type="spellEnd"/>
      <w:r>
        <w:rPr>
          <w:rFonts w:ascii="Times New Roman" w:eastAsia="宋体" w:hAnsi="Times New Roman" w:cs="Times New Roman"/>
          <w:color w:val="0D0D0D"/>
          <w:sz w:val="28"/>
          <w:szCs w:val="28"/>
        </w:rPr>
        <w:t>倍频带</w:t>
      </w:r>
      <w:r>
        <w:rPr>
          <w:rFonts w:ascii="Times New Roman" w:eastAsia="宋体" w:hAnsi="Times New Roman" w:cs="Times New Roman"/>
          <w:color w:val="0D0D0D"/>
          <w:sz w:val="28"/>
          <w:szCs w:val="28"/>
        </w:rPr>
        <w:t>A</w:t>
      </w:r>
      <w:r>
        <w:rPr>
          <w:rFonts w:ascii="Times New Roman" w:eastAsia="宋体" w:hAnsi="Times New Roman" w:cs="Times New Roman"/>
          <w:color w:val="0D0D0D"/>
          <w:sz w:val="28"/>
          <w:szCs w:val="28"/>
        </w:rPr>
        <w:t>计权网络修正值，</w:t>
      </w:r>
      <w:r>
        <w:rPr>
          <w:rFonts w:ascii="Times New Roman" w:eastAsia="宋体" w:hAnsi="Times New Roman" w:cs="Times New Roman"/>
          <w:color w:val="0D0D0D"/>
          <w:sz w:val="28"/>
          <w:szCs w:val="28"/>
        </w:rPr>
        <w:t>dB</w:t>
      </w:r>
      <w:r>
        <w:rPr>
          <w:rFonts w:ascii="Times New Roman" w:eastAsia="宋体" w:hAnsi="Times New Roman" w:cs="Times New Roman"/>
          <w:color w:val="0D0D0D"/>
          <w:sz w:val="28"/>
          <w:szCs w:val="28"/>
        </w:rPr>
        <w:t>；</w:t>
      </w:r>
    </w:p>
    <w:p w14:paraId="2FFF5C3F" w14:textId="77777777" w:rsidR="002133E3" w:rsidRDefault="00C22CFA">
      <w:pPr>
        <w:spacing w:line="500" w:lineRule="exact"/>
        <w:ind w:firstLine="555"/>
        <w:rPr>
          <w:rFonts w:ascii="Times New Roman" w:eastAsia="宋体" w:hAnsi="Times New Roman" w:cs="Times New Roman"/>
          <w:color w:val="0D0D0D"/>
          <w:sz w:val="28"/>
          <w:szCs w:val="28"/>
        </w:rPr>
      </w:pPr>
      <w:r>
        <w:rPr>
          <w:rFonts w:ascii="宋体" w:eastAsia="宋体" w:hAnsi="宋体" w:cs="宋体" w:hint="eastAsia"/>
          <w:color w:val="0D0D0D"/>
          <w:sz w:val="28"/>
          <w:szCs w:val="28"/>
        </w:rPr>
        <w:t>②</w:t>
      </w:r>
      <w:r>
        <w:rPr>
          <w:rFonts w:ascii="Times New Roman" w:eastAsia="宋体" w:hAnsi="Times New Roman" w:cs="Times New Roman"/>
          <w:color w:val="0D0D0D"/>
          <w:sz w:val="28"/>
          <w:szCs w:val="28"/>
        </w:rPr>
        <w:t xml:space="preserve"> </w:t>
      </w:r>
      <w:r>
        <w:rPr>
          <w:rFonts w:ascii="Times New Roman" w:eastAsia="宋体" w:hAnsi="Times New Roman" w:cs="Times New Roman"/>
          <w:color w:val="0D0D0D"/>
          <w:sz w:val="28"/>
          <w:szCs w:val="28"/>
        </w:rPr>
        <w:t>室内声源</w:t>
      </w:r>
    </w:p>
    <w:p w14:paraId="7282A604" w14:textId="77777777" w:rsidR="002133E3" w:rsidRDefault="00C22CFA">
      <w:pPr>
        <w:spacing w:line="500" w:lineRule="exact"/>
        <w:ind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室内靠近围护结构处的声压级：</w:t>
      </w:r>
    </w:p>
    <w:p w14:paraId="1927CC16" w14:textId="77777777" w:rsidR="002133E3" w:rsidRDefault="00C22CFA">
      <w:pPr>
        <w:spacing w:line="500" w:lineRule="exact"/>
        <w:ind w:firstLineChars="500" w:firstLine="140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L</w:t>
      </w:r>
      <w:r>
        <w:rPr>
          <w:rFonts w:ascii="Times New Roman" w:eastAsia="宋体" w:hAnsi="Times New Roman" w:cs="Times New Roman"/>
          <w:color w:val="0D0D0D"/>
          <w:sz w:val="28"/>
          <w:szCs w:val="28"/>
          <w:vertAlign w:val="subscript"/>
        </w:rPr>
        <w:t>p1</w:t>
      </w:r>
      <w:r>
        <w:rPr>
          <w:rFonts w:ascii="Times New Roman" w:eastAsia="宋体" w:hAnsi="Times New Roman" w:cs="Times New Roman"/>
          <w:color w:val="0D0D0D"/>
          <w:sz w:val="28"/>
          <w:szCs w:val="28"/>
        </w:rPr>
        <w:t>=L</w:t>
      </w:r>
      <w:r>
        <w:rPr>
          <w:rFonts w:ascii="Times New Roman" w:eastAsia="宋体" w:hAnsi="Times New Roman" w:cs="Times New Roman"/>
          <w:color w:val="0D0D0D"/>
          <w:sz w:val="28"/>
          <w:szCs w:val="28"/>
          <w:vertAlign w:val="subscript"/>
        </w:rPr>
        <w:t>w</w:t>
      </w:r>
      <w:r>
        <w:rPr>
          <w:rFonts w:ascii="Times New Roman" w:eastAsia="宋体" w:hAnsi="Times New Roman" w:cs="Times New Roman"/>
          <w:color w:val="0D0D0D"/>
          <w:sz w:val="28"/>
          <w:szCs w:val="28"/>
        </w:rPr>
        <w:t>+10Lg</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Q/4πr</w:t>
      </w:r>
      <w:r>
        <w:rPr>
          <w:rFonts w:ascii="Times New Roman" w:eastAsia="宋体" w:hAnsi="Times New Roman" w:cs="Times New Roman"/>
          <w:color w:val="0D0D0D"/>
          <w:sz w:val="28"/>
          <w:szCs w:val="28"/>
          <w:vertAlign w:val="subscript"/>
        </w:rPr>
        <w:t>1</w:t>
      </w:r>
      <w:r>
        <w:rPr>
          <w:rFonts w:ascii="Times New Roman" w:eastAsia="宋体" w:hAnsi="Times New Roman" w:cs="Times New Roman"/>
          <w:color w:val="0D0D0D"/>
          <w:sz w:val="28"/>
          <w:szCs w:val="28"/>
          <w:vertAlign w:val="superscript"/>
        </w:rPr>
        <w:t>2</w:t>
      </w:r>
      <w:r>
        <w:rPr>
          <w:rFonts w:ascii="Times New Roman" w:eastAsia="宋体" w:hAnsi="Times New Roman" w:cs="Times New Roman"/>
          <w:color w:val="0D0D0D"/>
          <w:sz w:val="28"/>
          <w:szCs w:val="28"/>
        </w:rPr>
        <w:t>+4/R</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 (6.4-2)</w:t>
      </w:r>
    </w:p>
    <w:p w14:paraId="26CD195F" w14:textId="77777777" w:rsidR="002133E3" w:rsidRDefault="00C22CFA">
      <w:pPr>
        <w:spacing w:line="500" w:lineRule="exact"/>
        <w:ind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式中：</w:t>
      </w:r>
      <w:r>
        <w:rPr>
          <w:rFonts w:ascii="Times New Roman" w:eastAsia="宋体" w:hAnsi="Times New Roman" w:cs="Times New Roman"/>
          <w:color w:val="0D0D0D"/>
          <w:sz w:val="28"/>
          <w:szCs w:val="28"/>
        </w:rPr>
        <w:t>Q—</w:t>
      </w:r>
      <w:r>
        <w:rPr>
          <w:rFonts w:ascii="Times New Roman" w:eastAsia="宋体" w:hAnsi="Times New Roman" w:cs="Times New Roman"/>
          <w:color w:val="0D0D0D"/>
          <w:sz w:val="28"/>
          <w:szCs w:val="28"/>
        </w:rPr>
        <w:t>指向性因数；通常对无指向性声源，当声源放在房间中心时，</w:t>
      </w:r>
      <w:r>
        <w:rPr>
          <w:rFonts w:ascii="Times New Roman" w:eastAsia="宋体" w:hAnsi="Times New Roman" w:cs="Times New Roman"/>
          <w:color w:val="0D0D0D"/>
          <w:sz w:val="28"/>
          <w:szCs w:val="28"/>
        </w:rPr>
        <w:t>Q=1</w:t>
      </w:r>
      <w:r>
        <w:rPr>
          <w:rFonts w:ascii="Times New Roman" w:eastAsia="宋体" w:hAnsi="Times New Roman" w:cs="Times New Roman"/>
          <w:color w:val="0D0D0D"/>
          <w:sz w:val="28"/>
          <w:szCs w:val="28"/>
        </w:rPr>
        <w:t>；当放在一面墙的中心时，</w:t>
      </w:r>
      <w:r>
        <w:rPr>
          <w:rFonts w:ascii="Times New Roman" w:eastAsia="宋体" w:hAnsi="Times New Roman" w:cs="Times New Roman"/>
          <w:color w:val="0D0D0D"/>
          <w:sz w:val="28"/>
          <w:szCs w:val="28"/>
        </w:rPr>
        <w:t>Q=2</w:t>
      </w:r>
      <w:r>
        <w:rPr>
          <w:rFonts w:ascii="Times New Roman" w:eastAsia="宋体" w:hAnsi="Times New Roman" w:cs="Times New Roman"/>
          <w:color w:val="0D0D0D"/>
          <w:sz w:val="28"/>
          <w:szCs w:val="28"/>
        </w:rPr>
        <w:t>；当放在两面墙夹角处时，</w:t>
      </w:r>
      <w:r>
        <w:rPr>
          <w:rFonts w:ascii="Times New Roman" w:eastAsia="宋体" w:hAnsi="Times New Roman" w:cs="Times New Roman"/>
          <w:color w:val="0D0D0D"/>
          <w:sz w:val="28"/>
          <w:szCs w:val="28"/>
        </w:rPr>
        <w:t>Q=4</w:t>
      </w:r>
      <w:r>
        <w:rPr>
          <w:rFonts w:ascii="Times New Roman" w:eastAsia="宋体" w:hAnsi="Times New Roman" w:cs="Times New Roman"/>
          <w:color w:val="0D0D0D"/>
          <w:sz w:val="28"/>
          <w:szCs w:val="28"/>
        </w:rPr>
        <w:t>；当放在三面墙夹角处时，</w:t>
      </w:r>
      <w:r>
        <w:rPr>
          <w:rFonts w:ascii="Times New Roman" w:eastAsia="宋体" w:hAnsi="Times New Roman" w:cs="Times New Roman"/>
          <w:color w:val="0D0D0D"/>
          <w:sz w:val="28"/>
          <w:szCs w:val="28"/>
        </w:rPr>
        <w:t>Q=8</w:t>
      </w:r>
      <w:r>
        <w:rPr>
          <w:rFonts w:ascii="Times New Roman" w:eastAsia="宋体" w:hAnsi="Times New Roman" w:cs="Times New Roman"/>
          <w:color w:val="0D0D0D"/>
          <w:sz w:val="28"/>
          <w:szCs w:val="28"/>
        </w:rPr>
        <w:t>。</w:t>
      </w:r>
    </w:p>
    <w:p w14:paraId="25531FE3" w14:textId="77777777" w:rsidR="002133E3" w:rsidRDefault="00C22CFA">
      <w:pPr>
        <w:spacing w:line="500" w:lineRule="exact"/>
        <w:ind w:firstLineChars="550" w:firstLine="154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R—</w:t>
      </w:r>
      <w:r>
        <w:rPr>
          <w:rFonts w:ascii="Times New Roman" w:eastAsia="宋体" w:hAnsi="Times New Roman" w:cs="Times New Roman"/>
          <w:color w:val="0D0D0D"/>
          <w:sz w:val="28"/>
          <w:szCs w:val="28"/>
        </w:rPr>
        <w:t>房间常数；</w:t>
      </w:r>
      <w:r>
        <w:rPr>
          <w:rFonts w:ascii="Times New Roman" w:eastAsia="宋体" w:hAnsi="Times New Roman" w:cs="Times New Roman"/>
          <w:color w:val="0D0D0D"/>
          <w:sz w:val="28"/>
          <w:szCs w:val="28"/>
        </w:rPr>
        <w:t>)1/(αα</w:t>
      </w:r>
      <w:r>
        <w:rPr>
          <w:rFonts w:ascii="Times New Roman" w:eastAsia="MS Mincho" w:hAnsi="Times New Roman" w:cs="Times New Roman"/>
          <w:color w:val="0D0D0D"/>
          <w:sz w:val="28"/>
          <w:szCs w:val="28"/>
        </w:rPr>
        <w:t>−</w:t>
      </w:r>
      <w:r>
        <w:rPr>
          <w:rFonts w:ascii="Times New Roman" w:eastAsia="宋体" w:hAnsi="Times New Roman" w:cs="Times New Roman"/>
          <w:color w:val="0D0D0D"/>
          <w:sz w:val="28"/>
          <w:szCs w:val="28"/>
        </w:rPr>
        <w:t>=SR</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S</w:t>
      </w:r>
      <w:r>
        <w:rPr>
          <w:rFonts w:ascii="Times New Roman" w:eastAsia="宋体" w:hAnsi="Times New Roman" w:cs="Times New Roman"/>
          <w:color w:val="0D0D0D"/>
          <w:sz w:val="28"/>
          <w:szCs w:val="28"/>
        </w:rPr>
        <w:t>为房间内表面面积，</w:t>
      </w:r>
      <w:r>
        <w:rPr>
          <w:rFonts w:ascii="Times New Roman" w:eastAsia="宋体" w:hAnsi="Times New Roman" w:cs="Times New Roman"/>
          <w:color w:val="0D0D0D"/>
          <w:sz w:val="28"/>
          <w:szCs w:val="28"/>
        </w:rPr>
        <w:t>m</w:t>
      </w:r>
      <w:r>
        <w:rPr>
          <w:rFonts w:ascii="Times New Roman" w:eastAsia="宋体" w:hAnsi="Times New Roman" w:cs="Times New Roman"/>
          <w:color w:val="0D0D0D"/>
          <w:sz w:val="28"/>
          <w:szCs w:val="28"/>
          <w:vertAlign w:val="superscript"/>
        </w:rPr>
        <w:t>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α</w:t>
      </w:r>
      <w:r>
        <w:rPr>
          <w:rFonts w:ascii="Times New Roman" w:eastAsia="宋体" w:hAnsi="Times New Roman" w:cs="Times New Roman"/>
          <w:color w:val="0D0D0D"/>
          <w:sz w:val="28"/>
          <w:szCs w:val="28"/>
        </w:rPr>
        <w:t>为平均吸声系数。</w:t>
      </w:r>
    </w:p>
    <w:p w14:paraId="00FB2128" w14:textId="77777777" w:rsidR="002133E3" w:rsidRDefault="00C22CFA">
      <w:pPr>
        <w:spacing w:line="500" w:lineRule="exact"/>
        <w:ind w:firstLineChars="550" w:firstLine="154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r—</w:t>
      </w:r>
      <w:r>
        <w:rPr>
          <w:rFonts w:ascii="Times New Roman" w:eastAsia="宋体" w:hAnsi="Times New Roman" w:cs="Times New Roman"/>
          <w:color w:val="0D0D0D"/>
          <w:sz w:val="28"/>
          <w:szCs w:val="28"/>
        </w:rPr>
        <w:t>声源到靠近围护结构某点处的距离，</w:t>
      </w:r>
      <w:r>
        <w:rPr>
          <w:rFonts w:ascii="Times New Roman" w:eastAsia="宋体" w:hAnsi="Times New Roman" w:cs="Times New Roman"/>
          <w:color w:val="0D0D0D"/>
          <w:sz w:val="28"/>
          <w:szCs w:val="28"/>
        </w:rPr>
        <w:t>m</w:t>
      </w:r>
      <w:r>
        <w:rPr>
          <w:rFonts w:ascii="Times New Roman" w:eastAsia="宋体" w:hAnsi="Times New Roman" w:cs="Times New Roman"/>
          <w:color w:val="0D0D0D"/>
          <w:sz w:val="28"/>
          <w:szCs w:val="28"/>
        </w:rPr>
        <w:t>。</w:t>
      </w:r>
    </w:p>
    <w:p w14:paraId="3D33BF44" w14:textId="77777777" w:rsidR="002133E3" w:rsidRDefault="00C22CFA">
      <w:pPr>
        <w:spacing w:line="500" w:lineRule="exact"/>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叠加公式：</w:t>
      </w:r>
    </w:p>
    <w:p w14:paraId="053D7557" w14:textId="77777777" w:rsidR="002133E3" w:rsidRDefault="002133E3">
      <w:pPr>
        <w:rPr>
          <w:rFonts w:ascii="Times New Roman" w:eastAsia="宋体" w:hAnsi="Times New Roman" w:cs="Times New Roman"/>
          <w:color w:val="0D0D0D"/>
        </w:rPr>
      </w:pPr>
    </w:p>
    <w:p w14:paraId="21CB3D2F" w14:textId="77777777" w:rsidR="002133E3" w:rsidRDefault="00C22CFA">
      <w:pPr>
        <w:ind w:firstLineChars="600" w:firstLine="1260"/>
        <w:rPr>
          <w:rFonts w:ascii="Times New Roman" w:eastAsia="宋体" w:hAnsi="Times New Roman" w:cs="Times New Roman"/>
          <w:color w:val="0D0D0D"/>
          <w:sz w:val="28"/>
          <w:szCs w:val="28"/>
        </w:rPr>
      </w:pPr>
      <w:r>
        <w:rPr>
          <w:rFonts w:ascii="Times New Roman" w:eastAsia="宋体" w:hAnsi="Times New Roman" w:cs="Times New Roman"/>
          <w:noProof/>
          <w:color w:val="0D0D0D"/>
        </w:rPr>
        <w:drawing>
          <wp:inline distT="0" distB="0" distL="0" distR="0" wp14:anchorId="3438EE96" wp14:editId="0725C205">
            <wp:extent cx="2275205" cy="520700"/>
            <wp:effectExtent l="19050" t="0" r="0" b="0"/>
            <wp:docPr id="2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9"/>
                    <pic:cNvPicPr>
                      <a:picLocks noChangeAspect="1" noChangeArrowheads="1"/>
                    </pic:cNvPicPr>
                  </pic:nvPicPr>
                  <pic:blipFill>
                    <a:blip r:embed="rId103" cstate="print"/>
                    <a:srcRect/>
                    <a:stretch>
                      <a:fillRect/>
                    </a:stretch>
                  </pic:blipFill>
                  <pic:spPr>
                    <a:xfrm>
                      <a:off x="0" y="0"/>
                      <a:ext cx="2275205" cy="520700"/>
                    </a:xfrm>
                    <a:prstGeom prst="rect">
                      <a:avLst/>
                    </a:prstGeom>
                    <a:noFill/>
                    <a:ln w="9525">
                      <a:noFill/>
                      <a:miter lim="800000"/>
                      <a:headEnd/>
                      <a:tailEnd/>
                    </a:ln>
                  </pic:spPr>
                </pic:pic>
              </a:graphicData>
            </a:graphic>
          </wp:inline>
        </w:drawing>
      </w:r>
      <w:r>
        <w:rPr>
          <w:rFonts w:ascii="Times New Roman" w:eastAsia="宋体" w:hAnsi="Times New Roman" w:cs="Times New Roman"/>
          <w:color w:val="0D0D0D"/>
          <w:sz w:val="28"/>
          <w:szCs w:val="28"/>
        </w:rPr>
        <w:t>……………… (5.4-3)</w:t>
      </w:r>
    </w:p>
    <w:p w14:paraId="0CF6FEDB" w14:textId="77777777" w:rsidR="002133E3" w:rsidRDefault="00C22CFA">
      <w:pPr>
        <w:spacing w:line="500" w:lineRule="exact"/>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式中：</w:t>
      </w:r>
    </w:p>
    <w:p w14:paraId="7A9BD5AC" w14:textId="77777777" w:rsidR="002133E3" w:rsidRDefault="00C22CFA">
      <w:pPr>
        <w:spacing w:line="500" w:lineRule="exact"/>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 xml:space="preserve">         L</w:t>
      </w:r>
      <w:r>
        <w:rPr>
          <w:rFonts w:ascii="Times New Roman" w:eastAsia="宋体" w:hAnsi="Times New Roman" w:cs="Times New Roman"/>
          <w:color w:val="0D0D0D"/>
          <w:sz w:val="28"/>
          <w:szCs w:val="28"/>
          <w:vertAlign w:val="subscript"/>
        </w:rPr>
        <w:t>P1i</w:t>
      </w:r>
      <w:r>
        <w:rPr>
          <w:rFonts w:ascii="Times New Roman" w:eastAsia="宋体" w:hAnsi="Times New Roman" w:cs="Times New Roman"/>
          <w:color w:val="0D0D0D"/>
          <w:sz w:val="28"/>
          <w:szCs w:val="28"/>
        </w:rPr>
        <w:t>(T)—</w:t>
      </w:r>
      <w:r>
        <w:rPr>
          <w:rFonts w:ascii="Times New Roman" w:eastAsia="宋体" w:hAnsi="Times New Roman" w:cs="Times New Roman"/>
          <w:color w:val="0D0D0D"/>
          <w:sz w:val="28"/>
          <w:szCs w:val="28"/>
        </w:rPr>
        <w:t>靠近围护结构处室内</w:t>
      </w:r>
      <w:r>
        <w:rPr>
          <w:rFonts w:ascii="Times New Roman" w:eastAsia="宋体" w:hAnsi="Times New Roman" w:cs="Times New Roman"/>
          <w:color w:val="0D0D0D"/>
          <w:sz w:val="28"/>
          <w:szCs w:val="28"/>
        </w:rPr>
        <w:t>N</w:t>
      </w:r>
      <w:r>
        <w:rPr>
          <w:rFonts w:ascii="Times New Roman" w:eastAsia="宋体" w:hAnsi="Times New Roman" w:cs="Times New Roman"/>
          <w:color w:val="0D0D0D"/>
          <w:sz w:val="28"/>
          <w:szCs w:val="28"/>
        </w:rPr>
        <w:t>个声源</w:t>
      </w:r>
      <w:proofErr w:type="spellStart"/>
      <w:r>
        <w:rPr>
          <w:rFonts w:ascii="Times New Roman" w:eastAsia="宋体" w:hAnsi="Times New Roman" w:cs="Times New Roman"/>
          <w:color w:val="0D0D0D"/>
          <w:sz w:val="28"/>
          <w:szCs w:val="28"/>
        </w:rPr>
        <w:t>i</w:t>
      </w:r>
      <w:proofErr w:type="spellEnd"/>
      <w:r>
        <w:rPr>
          <w:rFonts w:ascii="Times New Roman" w:eastAsia="宋体" w:hAnsi="Times New Roman" w:cs="Times New Roman"/>
          <w:color w:val="0D0D0D"/>
          <w:sz w:val="28"/>
          <w:szCs w:val="28"/>
        </w:rPr>
        <w:t>倍频带的叠加声压级，</w:t>
      </w:r>
      <w:r>
        <w:rPr>
          <w:rFonts w:ascii="Times New Roman" w:eastAsia="宋体" w:hAnsi="Times New Roman" w:cs="Times New Roman"/>
          <w:color w:val="0D0D0D"/>
          <w:sz w:val="28"/>
          <w:szCs w:val="28"/>
        </w:rPr>
        <w:t>dB</w:t>
      </w:r>
      <w:r>
        <w:rPr>
          <w:rFonts w:ascii="Times New Roman" w:eastAsia="宋体" w:hAnsi="Times New Roman" w:cs="Times New Roman"/>
          <w:color w:val="0D0D0D"/>
          <w:sz w:val="28"/>
          <w:szCs w:val="28"/>
        </w:rPr>
        <w:t>；</w:t>
      </w:r>
    </w:p>
    <w:p w14:paraId="47611794" w14:textId="77777777" w:rsidR="002133E3" w:rsidRDefault="00C22CFA">
      <w:pPr>
        <w:spacing w:line="500" w:lineRule="exact"/>
        <w:ind w:firstLineChars="450" w:firstLine="12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L</w:t>
      </w:r>
      <w:r>
        <w:rPr>
          <w:rFonts w:ascii="Times New Roman" w:eastAsia="宋体" w:hAnsi="Times New Roman" w:cs="Times New Roman"/>
          <w:color w:val="0D0D0D"/>
          <w:sz w:val="28"/>
          <w:szCs w:val="28"/>
          <w:vertAlign w:val="subscript"/>
        </w:rPr>
        <w:t>P1ij</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室内</w:t>
      </w:r>
      <w:r>
        <w:rPr>
          <w:rFonts w:ascii="Times New Roman" w:eastAsia="宋体" w:hAnsi="Times New Roman" w:cs="Times New Roman"/>
          <w:color w:val="0D0D0D"/>
          <w:sz w:val="28"/>
          <w:szCs w:val="28"/>
        </w:rPr>
        <w:t>j</w:t>
      </w:r>
      <w:r>
        <w:rPr>
          <w:rFonts w:ascii="Times New Roman" w:eastAsia="宋体" w:hAnsi="Times New Roman" w:cs="Times New Roman"/>
          <w:color w:val="0D0D0D"/>
          <w:sz w:val="28"/>
          <w:szCs w:val="28"/>
        </w:rPr>
        <w:t>声源</w:t>
      </w:r>
      <w:proofErr w:type="spellStart"/>
      <w:r>
        <w:rPr>
          <w:rFonts w:ascii="Times New Roman" w:eastAsia="宋体" w:hAnsi="Times New Roman" w:cs="Times New Roman"/>
          <w:color w:val="0D0D0D"/>
          <w:sz w:val="28"/>
          <w:szCs w:val="28"/>
        </w:rPr>
        <w:t>i</w:t>
      </w:r>
      <w:proofErr w:type="spellEnd"/>
      <w:r>
        <w:rPr>
          <w:rFonts w:ascii="Times New Roman" w:eastAsia="宋体" w:hAnsi="Times New Roman" w:cs="Times New Roman"/>
          <w:color w:val="0D0D0D"/>
          <w:sz w:val="28"/>
          <w:szCs w:val="28"/>
        </w:rPr>
        <w:t>倍频带的声压级，</w:t>
      </w:r>
      <w:r>
        <w:rPr>
          <w:rFonts w:ascii="Times New Roman" w:eastAsia="宋体" w:hAnsi="Times New Roman" w:cs="Times New Roman"/>
          <w:color w:val="0D0D0D"/>
          <w:sz w:val="28"/>
          <w:szCs w:val="28"/>
        </w:rPr>
        <w:t>dB</w:t>
      </w:r>
      <w:r>
        <w:rPr>
          <w:rFonts w:ascii="Times New Roman" w:eastAsia="宋体" w:hAnsi="Times New Roman" w:cs="Times New Roman"/>
          <w:color w:val="0D0D0D"/>
          <w:sz w:val="28"/>
          <w:szCs w:val="28"/>
        </w:rPr>
        <w:t>；</w:t>
      </w:r>
    </w:p>
    <w:p w14:paraId="72D25869" w14:textId="77777777" w:rsidR="002133E3" w:rsidRDefault="00C22CFA">
      <w:pPr>
        <w:spacing w:line="500" w:lineRule="exact"/>
        <w:ind w:firstLineChars="500" w:firstLine="140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N—</w:t>
      </w:r>
      <w:r>
        <w:rPr>
          <w:rFonts w:ascii="Times New Roman" w:eastAsia="宋体" w:hAnsi="Times New Roman" w:cs="Times New Roman"/>
          <w:color w:val="0D0D0D"/>
          <w:sz w:val="28"/>
          <w:szCs w:val="28"/>
        </w:rPr>
        <w:t>室内声源总数。</w:t>
      </w:r>
    </w:p>
    <w:p w14:paraId="0A96B793"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⑵</w:t>
      </w:r>
      <w:r>
        <w:rPr>
          <w:rFonts w:ascii="Times New Roman" w:eastAsia="宋体" w:hAnsi="Times New Roman" w:cs="Times New Roman"/>
          <w:color w:val="0D0D0D"/>
          <w:sz w:val="28"/>
          <w:szCs w:val="28"/>
        </w:rPr>
        <w:t xml:space="preserve"> </w:t>
      </w:r>
      <w:r>
        <w:rPr>
          <w:rFonts w:ascii="Times New Roman" w:eastAsia="宋体" w:hAnsi="Times New Roman" w:cs="Times New Roman"/>
          <w:color w:val="0D0D0D"/>
          <w:sz w:val="28"/>
          <w:szCs w:val="28"/>
        </w:rPr>
        <w:t>预测结果及评价</w:t>
      </w:r>
    </w:p>
    <w:p w14:paraId="530D2698" w14:textId="77777777" w:rsidR="002133E3" w:rsidRDefault="00C22CFA">
      <w:pPr>
        <w:spacing w:line="50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color w:val="0D0D0D"/>
          <w:sz w:val="28"/>
          <w:szCs w:val="28"/>
        </w:rPr>
        <w:t>噪声在室外空间的传播，由于受到遮挡物的隔断，各种介质的吸收与反射，以及空气介质的吸收等物理作用而逐渐减弱。为了简化计算条件并能考虑到最不利因素，计算时只考虑噪声控制措施及噪声随距离的衰减时噪声源对外环境影响情况。项目主要噪声源、经采取治理措施后的源强及其距厂界距离情况详</w:t>
      </w:r>
      <w:r>
        <w:rPr>
          <w:rFonts w:ascii="Times New Roman" w:eastAsia="宋体" w:hAnsi="Times New Roman" w:cs="Times New Roman"/>
          <w:color w:val="0D0D0D"/>
          <w:sz w:val="28"/>
          <w:szCs w:val="28"/>
        </w:rPr>
        <w:lastRenderedPageBreak/>
        <w:t>见表</w:t>
      </w:r>
      <w:r>
        <w:rPr>
          <w:rFonts w:ascii="Times New Roman" w:eastAsia="宋体" w:hAnsi="Times New Roman" w:cs="Times New Roman"/>
          <w:color w:val="0D0D0D"/>
          <w:sz w:val="28"/>
          <w:szCs w:val="28"/>
        </w:rPr>
        <w:t>4.5-9</w:t>
      </w:r>
      <w:r>
        <w:rPr>
          <w:rFonts w:ascii="Times New Roman" w:eastAsia="宋体" w:hAnsi="Times New Roman" w:cs="Times New Roman"/>
          <w:color w:val="0D0D0D"/>
          <w:sz w:val="28"/>
          <w:szCs w:val="28"/>
        </w:rPr>
        <w:t>。</w:t>
      </w:r>
      <w:bookmarkStart w:id="56" w:name="_Toc299137356"/>
      <w:bookmarkStart w:id="57" w:name="_Toc57993017"/>
      <w:bookmarkStart w:id="58" w:name="_Toc409595299"/>
      <w:bookmarkStart w:id="59" w:name="_Toc519497247"/>
      <w:bookmarkStart w:id="60" w:name="_Toc362938478"/>
      <w:r>
        <w:rPr>
          <w:rFonts w:ascii="Times New Roman" w:eastAsia="宋体" w:hAnsi="Times New Roman" w:cs="Times New Roman"/>
          <w:kern w:val="0"/>
          <w:sz w:val="28"/>
          <w:szCs w:val="28"/>
        </w:rPr>
        <w:t>各噪声源对厂界噪声贡献值见表</w:t>
      </w:r>
      <w:r>
        <w:rPr>
          <w:rFonts w:ascii="Times New Roman" w:eastAsia="宋体" w:hAnsi="Times New Roman" w:cs="Times New Roman"/>
          <w:kern w:val="0"/>
          <w:sz w:val="28"/>
          <w:szCs w:val="28"/>
        </w:rPr>
        <w:t>6.4-1</w:t>
      </w:r>
      <w:r>
        <w:rPr>
          <w:rFonts w:ascii="Times New Roman" w:eastAsia="宋体" w:hAnsi="Times New Roman" w:cs="Times New Roman"/>
          <w:kern w:val="0"/>
          <w:sz w:val="28"/>
          <w:szCs w:val="28"/>
        </w:rPr>
        <w:t>。</w:t>
      </w:r>
    </w:p>
    <w:p w14:paraId="3A8E64CB" w14:textId="77777777" w:rsidR="002133E3" w:rsidRDefault="00C22CFA">
      <w:pPr>
        <w:widowControl/>
        <w:tabs>
          <w:tab w:val="left" w:pos="600"/>
        </w:tabs>
        <w:spacing w:line="500" w:lineRule="exact"/>
        <w:ind w:firstLineChars="200" w:firstLine="482"/>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表</w:t>
      </w:r>
      <w:r>
        <w:rPr>
          <w:rFonts w:ascii="Times New Roman" w:eastAsia="宋体" w:hAnsi="Times New Roman" w:cs="Times New Roman"/>
          <w:b/>
          <w:kern w:val="0"/>
          <w:sz w:val="24"/>
          <w:szCs w:val="20"/>
        </w:rPr>
        <w:t xml:space="preserve">6.4-1   </w:t>
      </w:r>
      <w:r>
        <w:rPr>
          <w:rFonts w:ascii="Times New Roman" w:eastAsia="宋体" w:hAnsi="Times New Roman" w:cs="Times New Roman"/>
          <w:b/>
          <w:kern w:val="0"/>
          <w:sz w:val="24"/>
          <w:szCs w:val="20"/>
        </w:rPr>
        <w:t>声环境影响预测结果</w:t>
      </w:r>
      <w:r>
        <w:rPr>
          <w:rFonts w:ascii="Times New Roman" w:eastAsia="宋体" w:hAnsi="Times New Roman" w:cs="Times New Roman"/>
          <w:b/>
          <w:kern w:val="0"/>
          <w:sz w:val="24"/>
          <w:szCs w:val="20"/>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1277"/>
        <w:gridCol w:w="1843"/>
        <w:gridCol w:w="1843"/>
        <w:gridCol w:w="1843"/>
        <w:gridCol w:w="1805"/>
      </w:tblGrid>
      <w:tr w:rsidR="002133E3" w14:paraId="5F01772C" w14:textId="77777777">
        <w:trPr>
          <w:trHeight w:val="20"/>
          <w:jc w:val="center"/>
        </w:trPr>
        <w:tc>
          <w:tcPr>
            <w:tcW w:w="1278" w:type="pct"/>
            <w:gridSpan w:val="2"/>
            <w:tcBorders>
              <w:tl2br w:val="single" w:sz="4" w:space="0" w:color="auto"/>
            </w:tcBorders>
            <w:vAlign w:val="center"/>
          </w:tcPr>
          <w:p w14:paraId="03BD95D8" w14:textId="77777777" w:rsidR="002133E3" w:rsidRDefault="00C22CFA">
            <w:pPr>
              <w:tabs>
                <w:tab w:val="left" w:pos="2910"/>
              </w:tabs>
              <w:jc w:val="right"/>
              <w:rPr>
                <w:rFonts w:ascii="Times New Roman" w:eastAsia="宋体" w:hAnsi="Times New Roman" w:cs="Times New Roman"/>
                <w:b/>
                <w:kern w:val="0"/>
                <w:szCs w:val="21"/>
              </w:rPr>
            </w:pPr>
            <w:r>
              <w:rPr>
                <w:rFonts w:ascii="Times New Roman" w:eastAsia="宋体" w:hAnsi="Times New Roman" w:cs="Times New Roman"/>
                <w:b/>
                <w:kern w:val="0"/>
                <w:szCs w:val="21"/>
              </w:rPr>
              <w:t>影响值</w:t>
            </w:r>
          </w:p>
          <w:p w14:paraId="1B2A27A2" w14:textId="77777777" w:rsidR="002133E3" w:rsidRDefault="00C22CFA">
            <w:pPr>
              <w:tabs>
                <w:tab w:val="left" w:pos="2910"/>
              </w:tabs>
              <w:rPr>
                <w:rFonts w:ascii="Times New Roman" w:eastAsia="宋体" w:hAnsi="Times New Roman" w:cs="Times New Roman"/>
                <w:b/>
                <w:kern w:val="0"/>
                <w:szCs w:val="21"/>
              </w:rPr>
            </w:pPr>
            <w:r>
              <w:rPr>
                <w:rFonts w:ascii="Times New Roman" w:eastAsia="宋体" w:hAnsi="Times New Roman" w:cs="Times New Roman"/>
                <w:b/>
                <w:kern w:val="0"/>
                <w:szCs w:val="21"/>
              </w:rPr>
              <w:t>声源</w:t>
            </w:r>
          </w:p>
        </w:tc>
        <w:tc>
          <w:tcPr>
            <w:tcW w:w="935" w:type="pct"/>
            <w:vAlign w:val="center"/>
          </w:tcPr>
          <w:p w14:paraId="3B3F331D"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1</w:t>
            </w:r>
            <w:r>
              <w:rPr>
                <w:rFonts w:ascii="Times New Roman" w:eastAsia="宋体" w:hAnsi="Times New Roman" w:cs="Times New Roman"/>
                <w:b/>
                <w:kern w:val="0"/>
                <w:szCs w:val="21"/>
              </w:rPr>
              <w:t>（东）</w:t>
            </w:r>
          </w:p>
        </w:tc>
        <w:tc>
          <w:tcPr>
            <w:tcW w:w="935" w:type="pct"/>
            <w:vAlign w:val="center"/>
          </w:tcPr>
          <w:p w14:paraId="0298C165"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2</w:t>
            </w:r>
            <w:r>
              <w:rPr>
                <w:rFonts w:ascii="Times New Roman" w:eastAsia="宋体" w:hAnsi="Times New Roman" w:cs="Times New Roman"/>
                <w:b/>
                <w:kern w:val="0"/>
                <w:szCs w:val="21"/>
              </w:rPr>
              <w:t>（南）</w:t>
            </w:r>
          </w:p>
        </w:tc>
        <w:tc>
          <w:tcPr>
            <w:tcW w:w="935" w:type="pct"/>
            <w:vAlign w:val="center"/>
          </w:tcPr>
          <w:p w14:paraId="393FFBB6"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3</w:t>
            </w:r>
            <w:r>
              <w:rPr>
                <w:rFonts w:ascii="Times New Roman" w:eastAsia="宋体" w:hAnsi="Times New Roman" w:cs="Times New Roman"/>
                <w:b/>
                <w:kern w:val="0"/>
                <w:szCs w:val="21"/>
              </w:rPr>
              <w:t>（西）</w:t>
            </w:r>
          </w:p>
        </w:tc>
        <w:tc>
          <w:tcPr>
            <w:tcW w:w="916" w:type="pct"/>
            <w:vAlign w:val="center"/>
          </w:tcPr>
          <w:p w14:paraId="66A83B8D"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4</w:t>
            </w:r>
            <w:r>
              <w:rPr>
                <w:rFonts w:ascii="Times New Roman" w:eastAsia="宋体" w:hAnsi="Times New Roman" w:cs="Times New Roman"/>
                <w:b/>
                <w:kern w:val="0"/>
                <w:szCs w:val="21"/>
              </w:rPr>
              <w:t>（北）</w:t>
            </w:r>
          </w:p>
        </w:tc>
      </w:tr>
      <w:tr w:rsidR="002133E3" w14:paraId="16A2BED7" w14:textId="77777777">
        <w:trPr>
          <w:trHeight w:val="20"/>
          <w:jc w:val="center"/>
        </w:trPr>
        <w:tc>
          <w:tcPr>
            <w:tcW w:w="1278" w:type="pct"/>
            <w:gridSpan w:val="2"/>
            <w:vAlign w:val="center"/>
          </w:tcPr>
          <w:p w14:paraId="5645C2D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泵类</w:t>
            </w:r>
          </w:p>
        </w:tc>
        <w:tc>
          <w:tcPr>
            <w:tcW w:w="935" w:type="pct"/>
            <w:vAlign w:val="center"/>
          </w:tcPr>
          <w:p w14:paraId="4D51064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26.47</w:t>
            </w:r>
          </w:p>
        </w:tc>
        <w:tc>
          <w:tcPr>
            <w:tcW w:w="935" w:type="pct"/>
            <w:vAlign w:val="center"/>
          </w:tcPr>
          <w:p w14:paraId="386BA16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16.49</w:t>
            </w:r>
          </w:p>
        </w:tc>
        <w:tc>
          <w:tcPr>
            <w:tcW w:w="935" w:type="pct"/>
            <w:vAlign w:val="center"/>
          </w:tcPr>
          <w:p w14:paraId="141B8F5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36.01</w:t>
            </w:r>
          </w:p>
        </w:tc>
        <w:tc>
          <w:tcPr>
            <w:tcW w:w="916" w:type="pct"/>
            <w:vAlign w:val="center"/>
          </w:tcPr>
          <w:p w14:paraId="0056A27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12.20</w:t>
            </w:r>
          </w:p>
        </w:tc>
      </w:tr>
      <w:tr w:rsidR="002133E3" w14:paraId="06D6DF76" w14:textId="77777777">
        <w:trPr>
          <w:trHeight w:val="20"/>
          <w:jc w:val="center"/>
        </w:trPr>
        <w:tc>
          <w:tcPr>
            <w:tcW w:w="1278" w:type="pct"/>
            <w:gridSpan w:val="2"/>
            <w:vAlign w:val="center"/>
          </w:tcPr>
          <w:p w14:paraId="7C8006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离心机</w:t>
            </w:r>
          </w:p>
        </w:tc>
        <w:tc>
          <w:tcPr>
            <w:tcW w:w="935" w:type="pct"/>
            <w:vAlign w:val="center"/>
          </w:tcPr>
          <w:p w14:paraId="567D1D7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20.39</w:t>
            </w:r>
          </w:p>
        </w:tc>
        <w:tc>
          <w:tcPr>
            <w:tcW w:w="935" w:type="pct"/>
            <w:vAlign w:val="center"/>
          </w:tcPr>
          <w:p w14:paraId="18E094F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10.41</w:t>
            </w:r>
          </w:p>
        </w:tc>
        <w:tc>
          <w:tcPr>
            <w:tcW w:w="935" w:type="pct"/>
            <w:vAlign w:val="center"/>
          </w:tcPr>
          <w:p w14:paraId="7AC03BD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5.48</w:t>
            </w:r>
          </w:p>
        </w:tc>
        <w:tc>
          <w:tcPr>
            <w:tcW w:w="916" w:type="pct"/>
            <w:vAlign w:val="center"/>
          </w:tcPr>
          <w:p w14:paraId="3BC4C56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2.97</w:t>
            </w:r>
          </w:p>
        </w:tc>
      </w:tr>
      <w:tr w:rsidR="002133E3" w14:paraId="1C37A313" w14:textId="77777777">
        <w:trPr>
          <w:trHeight w:val="20"/>
          <w:jc w:val="center"/>
        </w:trPr>
        <w:tc>
          <w:tcPr>
            <w:tcW w:w="1278" w:type="pct"/>
            <w:gridSpan w:val="2"/>
            <w:vAlign w:val="center"/>
          </w:tcPr>
          <w:p w14:paraId="7C4764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风机</w:t>
            </w:r>
          </w:p>
        </w:tc>
        <w:tc>
          <w:tcPr>
            <w:tcW w:w="935" w:type="pct"/>
            <w:vAlign w:val="center"/>
          </w:tcPr>
          <w:p w14:paraId="59F3938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27.39</w:t>
            </w:r>
          </w:p>
        </w:tc>
        <w:tc>
          <w:tcPr>
            <w:tcW w:w="935" w:type="pct"/>
            <w:vAlign w:val="center"/>
          </w:tcPr>
          <w:p w14:paraId="707031C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17.41</w:t>
            </w:r>
          </w:p>
        </w:tc>
        <w:tc>
          <w:tcPr>
            <w:tcW w:w="935" w:type="pct"/>
            <w:vAlign w:val="center"/>
          </w:tcPr>
          <w:p w14:paraId="1B33A4C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39.63</w:t>
            </w:r>
          </w:p>
        </w:tc>
        <w:tc>
          <w:tcPr>
            <w:tcW w:w="916" w:type="pct"/>
            <w:vAlign w:val="center"/>
          </w:tcPr>
          <w:p w14:paraId="2744FA0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13.12</w:t>
            </w:r>
          </w:p>
        </w:tc>
      </w:tr>
      <w:tr w:rsidR="002133E3" w14:paraId="0318AE2D" w14:textId="77777777">
        <w:trPr>
          <w:trHeight w:val="20"/>
          <w:jc w:val="center"/>
        </w:trPr>
        <w:tc>
          <w:tcPr>
            <w:tcW w:w="1278" w:type="pct"/>
            <w:gridSpan w:val="2"/>
            <w:vAlign w:val="center"/>
          </w:tcPr>
          <w:p w14:paraId="1D77D7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粉碎机</w:t>
            </w:r>
          </w:p>
        </w:tc>
        <w:tc>
          <w:tcPr>
            <w:tcW w:w="935" w:type="pct"/>
            <w:vAlign w:val="center"/>
          </w:tcPr>
          <w:p w14:paraId="19A2CE7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7.94</w:t>
            </w:r>
          </w:p>
        </w:tc>
        <w:tc>
          <w:tcPr>
            <w:tcW w:w="935" w:type="pct"/>
            <w:vAlign w:val="center"/>
          </w:tcPr>
          <w:p w14:paraId="15D7E71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2.56</w:t>
            </w:r>
          </w:p>
        </w:tc>
        <w:tc>
          <w:tcPr>
            <w:tcW w:w="935" w:type="pct"/>
            <w:vAlign w:val="center"/>
          </w:tcPr>
          <w:p w14:paraId="16C8AC0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4.72</w:t>
            </w:r>
          </w:p>
        </w:tc>
        <w:tc>
          <w:tcPr>
            <w:tcW w:w="916" w:type="pct"/>
            <w:vAlign w:val="center"/>
          </w:tcPr>
          <w:p w14:paraId="2B7D5AF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2.84</w:t>
            </w:r>
          </w:p>
        </w:tc>
      </w:tr>
      <w:tr w:rsidR="002133E3" w14:paraId="022FEA8E" w14:textId="77777777">
        <w:trPr>
          <w:trHeight w:val="20"/>
          <w:jc w:val="center"/>
        </w:trPr>
        <w:tc>
          <w:tcPr>
            <w:tcW w:w="1278" w:type="pct"/>
            <w:gridSpan w:val="2"/>
            <w:vAlign w:val="center"/>
          </w:tcPr>
          <w:p w14:paraId="64DE970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空压机</w:t>
            </w:r>
          </w:p>
        </w:tc>
        <w:tc>
          <w:tcPr>
            <w:tcW w:w="935" w:type="pct"/>
            <w:vAlign w:val="center"/>
          </w:tcPr>
          <w:p w14:paraId="4A5538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25.84</w:t>
            </w:r>
          </w:p>
        </w:tc>
        <w:tc>
          <w:tcPr>
            <w:tcW w:w="935" w:type="pct"/>
            <w:vAlign w:val="center"/>
          </w:tcPr>
          <w:p w14:paraId="425D880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15.86</w:t>
            </w:r>
          </w:p>
        </w:tc>
        <w:tc>
          <w:tcPr>
            <w:tcW w:w="935" w:type="pct"/>
            <w:vAlign w:val="center"/>
          </w:tcPr>
          <w:p w14:paraId="1938A59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23.73</w:t>
            </w:r>
          </w:p>
        </w:tc>
        <w:tc>
          <w:tcPr>
            <w:tcW w:w="916" w:type="pct"/>
            <w:vAlign w:val="center"/>
          </w:tcPr>
          <w:p w14:paraId="2D35C0B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10.78</w:t>
            </w:r>
          </w:p>
        </w:tc>
      </w:tr>
      <w:tr w:rsidR="002133E3" w14:paraId="28AFD21D" w14:textId="77777777">
        <w:trPr>
          <w:trHeight w:val="20"/>
          <w:jc w:val="center"/>
        </w:trPr>
        <w:tc>
          <w:tcPr>
            <w:tcW w:w="1278" w:type="pct"/>
            <w:gridSpan w:val="2"/>
            <w:vAlign w:val="center"/>
          </w:tcPr>
          <w:p w14:paraId="0345FF8A" w14:textId="77777777" w:rsidR="002133E3" w:rsidRDefault="00C22CFA">
            <w:pPr>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本项目叠加值</w:t>
            </w:r>
          </w:p>
        </w:tc>
        <w:tc>
          <w:tcPr>
            <w:tcW w:w="935" w:type="pct"/>
            <w:vAlign w:val="center"/>
          </w:tcPr>
          <w:p w14:paraId="2F68FC38"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33.06</w:t>
            </w:r>
          </w:p>
        </w:tc>
        <w:tc>
          <w:tcPr>
            <w:tcW w:w="935" w:type="pct"/>
            <w:vAlign w:val="center"/>
          </w:tcPr>
          <w:p w14:paraId="69A0CBD3"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24.71</w:t>
            </w:r>
          </w:p>
        </w:tc>
        <w:tc>
          <w:tcPr>
            <w:tcW w:w="935" w:type="pct"/>
            <w:vAlign w:val="center"/>
          </w:tcPr>
          <w:p w14:paraId="58B84DE5"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41.84</w:t>
            </w:r>
          </w:p>
        </w:tc>
        <w:tc>
          <w:tcPr>
            <w:tcW w:w="916" w:type="pct"/>
            <w:vAlign w:val="center"/>
          </w:tcPr>
          <w:p w14:paraId="319127C7"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21.69</w:t>
            </w:r>
          </w:p>
        </w:tc>
      </w:tr>
      <w:tr w:rsidR="002133E3" w14:paraId="5EE7C99F" w14:textId="77777777">
        <w:trPr>
          <w:trHeight w:val="20"/>
          <w:jc w:val="center"/>
        </w:trPr>
        <w:tc>
          <w:tcPr>
            <w:tcW w:w="631" w:type="pct"/>
            <w:vMerge w:val="restart"/>
            <w:vAlign w:val="center"/>
          </w:tcPr>
          <w:p w14:paraId="7C1C6DAF" w14:textId="77777777" w:rsidR="002133E3" w:rsidRDefault="00C22CFA">
            <w:pPr>
              <w:tabs>
                <w:tab w:val="left" w:pos="2910"/>
              </w:tabs>
              <w:jc w:val="center"/>
              <w:rPr>
                <w:rFonts w:ascii="Times New Roman" w:eastAsia="宋体" w:hAnsi="Times New Roman" w:cs="Times New Roman"/>
                <w:kern w:val="0"/>
                <w:szCs w:val="21"/>
              </w:rPr>
            </w:pPr>
            <w:r>
              <w:rPr>
                <w:rFonts w:ascii="Times New Roman" w:eastAsia="宋体" w:hAnsi="Times New Roman" w:cs="Times New Roman"/>
                <w:kern w:val="0"/>
                <w:szCs w:val="21"/>
              </w:rPr>
              <w:t>背景值</w:t>
            </w:r>
          </w:p>
        </w:tc>
        <w:tc>
          <w:tcPr>
            <w:tcW w:w="648" w:type="pct"/>
            <w:vAlign w:val="center"/>
          </w:tcPr>
          <w:p w14:paraId="69A8D9E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昼间</w:t>
            </w:r>
          </w:p>
        </w:tc>
        <w:tc>
          <w:tcPr>
            <w:tcW w:w="935" w:type="pct"/>
            <w:vAlign w:val="center"/>
          </w:tcPr>
          <w:p w14:paraId="0DBC01D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62.5</w:t>
            </w:r>
          </w:p>
        </w:tc>
        <w:tc>
          <w:tcPr>
            <w:tcW w:w="935" w:type="pct"/>
            <w:vAlign w:val="center"/>
          </w:tcPr>
          <w:p w14:paraId="009F017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62.5</w:t>
            </w:r>
          </w:p>
        </w:tc>
        <w:tc>
          <w:tcPr>
            <w:tcW w:w="935" w:type="pct"/>
            <w:vAlign w:val="center"/>
          </w:tcPr>
          <w:p w14:paraId="6F08688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916" w:type="pct"/>
            <w:vAlign w:val="center"/>
          </w:tcPr>
          <w:p w14:paraId="309F00A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61.5</w:t>
            </w:r>
          </w:p>
        </w:tc>
      </w:tr>
      <w:tr w:rsidR="002133E3" w14:paraId="480E4985" w14:textId="77777777">
        <w:trPr>
          <w:trHeight w:val="20"/>
          <w:jc w:val="center"/>
        </w:trPr>
        <w:tc>
          <w:tcPr>
            <w:tcW w:w="631" w:type="pct"/>
            <w:vMerge/>
            <w:vAlign w:val="center"/>
          </w:tcPr>
          <w:p w14:paraId="7D2ECE3F" w14:textId="77777777" w:rsidR="002133E3" w:rsidRDefault="002133E3">
            <w:pPr>
              <w:tabs>
                <w:tab w:val="left" w:pos="2910"/>
              </w:tabs>
              <w:jc w:val="center"/>
              <w:rPr>
                <w:rFonts w:ascii="Times New Roman" w:eastAsia="宋体" w:hAnsi="Times New Roman" w:cs="Times New Roman"/>
                <w:kern w:val="0"/>
                <w:szCs w:val="21"/>
              </w:rPr>
            </w:pPr>
          </w:p>
        </w:tc>
        <w:tc>
          <w:tcPr>
            <w:tcW w:w="648" w:type="pct"/>
            <w:vAlign w:val="center"/>
          </w:tcPr>
          <w:p w14:paraId="07AB3FE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夜间</w:t>
            </w:r>
          </w:p>
        </w:tc>
        <w:tc>
          <w:tcPr>
            <w:tcW w:w="935" w:type="pct"/>
            <w:vAlign w:val="center"/>
          </w:tcPr>
          <w:p w14:paraId="4FBF1B8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53.5</w:t>
            </w:r>
          </w:p>
        </w:tc>
        <w:tc>
          <w:tcPr>
            <w:tcW w:w="935" w:type="pct"/>
            <w:vAlign w:val="center"/>
          </w:tcPr>
          <w:p w14:paraId="718F83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51.5</w:t>
            </w:r>
          </w:p>
        </w:tc>
        <w:tc>
          <w:tcPr>
            <w:tcW w:w="935" w:type="pct"/>
            <w:vAlign w:val="center"/>
          </w:tcPr>
          <w:p w14:paraId="29ACED7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50.5</w:t>
            </w:r>
          </w:p>
        </w:tc>
        <w:tc>
          <w:tcPr>
            <w:tcW w:w="916" w:type="pct"/>
            <w:vAlign w:val="center"/>
          </w:tcPr>
          <w:p w14:paraId="6A1F265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51</w:t>
            </w:r>
          </w:p>
        </w:tc>
      </w:tr>
      <w:tr w:rsidR="002133E3" w14:paraId="18F9056A" w14:textId="77777777">
        <w:trPr>
          <w:trHeight w:val="20"/>
          <w:jc w:val="center"/>
        </w:trPr>
        <w:tc>
          <w:tcPr>
            <w:tcW w:w="631" w:type="pct"/>
            <w:vMerge w:val="restart"/>
            <w:vAlign w:val="center"/>
          </w:tcPr>
          <w:p w14:paraId="67274775"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叠加值</w:t>
            </w:r>
          </w:p>
        </w:tc>
        <w:tc>
          <w:tcPr>
            <w:tcW w:w="648" w:type="pct"/>
            <w:vAlign w:val="center"/>
          </w:tcPr>
          <w:p w14:paraId="68ED5308"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昼间</w:t>
            </w:r>
          </w:p>
        </w:tc>
        <w:tc>
          <w:tcPr>
            <w:tcW w:w="935" w:type="pct"/>
            <w:vAlign w:val="center"/>
          </w:tcPr>
          <w:p w14:paraId="73973996"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53.26</w:t>
            </w:r>
          </w:p>
        </w:tc>
        <w:tc>
          <w:tcPr>
            <w:tcW w:w="935" w:type="pct"/>
            <w:vAlign w:val="center"/>
          </w:tcPr>
          <w:p w14:paraId="0B892DFA"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48.12</w:t>
            </w:r>
          </w:p>
        </w:tc>
        <w:tc>
          <w:tcPr>
            <w:tcW w:w="935" w:type="pct"/>
            <w:vAlign w:val="center"/>
          </w:tcPr>
          <w:p w14:paraId="28B57450"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50.36</w:t>
            </w:r>
          </w:p>
        </w:tc>
        <w:tc>
          <w:tcPr>
            <w:tcW w:w="916" w:type="pct"/>
            <w:vAlign w:val="center"/>
          </w:tcPr>
          <w:p w14:paraId="543BE625"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51.42</w:t>
            </w:r>
          </w:p>
        </w:tc>
      </w:tr>
      <w:tr w:rsidR="002133E3" w14:paraId="5A40D1B4" w14:textId="77777777">
        <w:trPr>
          <w:trHeight w:val="20"/>
          <w:jc w:val="center"/>
        </w:trPr>
        <w:tc>
          <w:tcPr>
            <w:tcW w:w="631" w:type="pct"/>
            <w:vMerge/>
            <w:vAlign w:val="center"/>
          </w:tcPr>
          <w:p w14:paraId="24518389" w14:textId="77777777" w:rsidR="002133E3" w:rsidRDefault="002133E3">
            <w:pPr>
              <w:tabs>
                <w:tab w:val="left" w:pos="2910"/>
              </w:tabs>
              <w:jc w:val="center"/>
              <w:rPr>
                <w:rFonts w:ascii="Times New Roman" w:eastAsia="宋体" w:hAnsi="Times New Roman" w:cs="Times New Roman"/>
                <w:b/>
                <w:kern w:val="0"/>
                <w:szCs w:val="21"/>
              </w:rPr>
            </w:pPr>
          </w:p>
        </w:tc>
        <w:tc>
          <w:tcPr>
            <w:tcW w:w="648" w:type="pct"/>
            <w:vAlign w:val="center"/>
          </w:tcPr>
          <w:p w14:paraId="662FD1F2"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夜间</w:t>
            </w:r>
          </w:p>
        </w:tc>
        <w:tc>
          <w:tcPr>
            <w:tcW w:w="935" w:type="pct"/>
            <w:vAlign w:val="center"/>
          </w:tcPr>
          <w:p w14:paraId="53960D13"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47.87</w:t>
            </w:r>
          </w:p>
        </w:tc>
        <w:tc>
          <w:tcPr>
            <w:tcW w:w="935" w:type="pct"/>
            <w:vAlign w:val="center"/>
          </w:tcPr>
          <w:p w14:paraId="3E807BC7"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43.18</w:t>
            </w:r>
          </w:p>
        </w:tc>
        <w:tc>
          <w:tcPr>
            <w:tcW w:w="935" w:type="pct"/>
            <w:vAlign w:val="center"/>
          </w:tcPr>
          <w:p w14:paraId="62194E05"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46.35</w:t>
            </w:r>
          </w:p>
        </w:tc>
        <w:tc>
          <w:tcPr>
            <w:tcW w:w="916" w:type="pct"/>
            <w:vAlign w:val="center"/>
          </w:tcPr>
          <w:p w14:paraId="7FD2EFA7" w14:textId="77777777" w:rsidR="002133E3" w:rsidRDefault="00C22CFA">
            <w:pPr>
              <w:tabs>
                <w:tab w:val="left" w:pos="2910"/>
              </w:tabs>
              <w:jc w:val="center"/>
              <w:rPr>
                <w:rFonts w:ascii="Times New Roman" w:eastAsia="宋体" w:hAnsi="Times New Roman" w:cs="Times New Roman"/>
                <w:b/>
                <w:kern w:val="0"/>
                <w:szCs w:val="21"/>
              </w:rPr>
            </w:pPr>
            <w:r>
              <w:rPr>
                <w:rFonts w:ascii="Times New Roman" w:eastAsia="宋体" w:hAnsi="Times New Roman" w:cs="Times New Roman"/>
                <w:b/>
                <w:kern w:val="0"/>
                <w:szCs w:val="21"/>
              </w:rPr>
              <w:t>46.24</w:t>
            </w:r>
          </w:p>
        </w:tc>
      </w:tr>
    </w:tbl>
    <w:p w14:paraId="03B9BFEF"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注：背景值为各厂界噪声现状监测值的平均值。</w:t>
      </w:r>
    </w:p>
    <w:p w14:paraId="0804E9A0" w14:textId="77777777" w:rsidR="002133E3" w:rsidRDefault="00C22CFA">
      <w:pPr>
        <w:widowControl/>
        <w:snapToGrid w:val="0"/>
        <w:spacing w:line="520" w:lineRule="exact"/>
        <w:ind w:firstLineChars="200" w:firstLine="560"/>
        <w:jc w:val="left"/>
        <w:rPr>
          <w:rFonts w:ascii="Times New Roman" w:eastAsia="宋体" w:hAnsi="Times New Roman" w:cs="Times New Roman"/>
          <w:spacing w:val="-4"/>
          <w:kern w:val="0"/>
          <w:sz w:val="28"/>
          <w:szCs w:val="28"/>
        </w:rPr>
      </w:pPr>
      <w:r>
        <w:rPr>
          <w:rFonts w:ascii="Times New Roman" w:eastAsia="宋体" w:hAnsi="Times New Roman" w:cs="Times New Roman"/>
          <w:kern w:val="0"/>
          <w:sz w:val="28"/>
          <w:szCs w:val="28"/>
        </w:rPr>
        <w:t>另外，根据</w:t>
      </w:r>
      <w:r>
        <w:rPr>
          <w:rFonts w:ascii="Times New Roman" w:eastAsia="宋体" w:hAnsi="Times New Roman" w:cs="Times New Roman"/>
          <w:spacing w:val="-4"/>
          <w:kern w:val="0"/>
          <w:sz w:val="28"/>
          <w:szCs w:val="28"/>
        </w:rPr>
        <w:t>《江苏金茂源生物化工有限责任公司年产</w:t>
      </w:r>
      <w:r>
        <w:rPr>
          <w:rFonts w:ascii="Times New Roman" w:eastAsia="宋体" w:hAnsi="Times New Roman" w:cs="Times New Roman"/>
          <w:spacing w:val="-4"/>
          <w:kern w:val="0"/>
          <w:sz w:val="28"/>
          <w:szCs w:val="28"/>
        </w:rPr>
        <w:t>30000</w:t>
      </w:r>
      <w:r>
        <w:rPr>
          <w:rFonts w:ascii="Times New Roman" w:eastAsia="宋体" w:hAnsi="Times New Roman" w:cs="Times New Roman"/>
          <w:spacing w:val="-4"/>
          <w:kern w:val="0"/>
          <w:sz w:val="28"/>
          <w:szCs w:val="28"/>
        </w:rPr>
        <w:t>吨丁二酸项目环境影响报告书》中的预测结果，公司已批未建的丁二酸项目对厂界的影响情况见表</w:t>
      </w:r>
      <w:r>
        <w:rPr>
          <w:rFonts w:ascii="Times New Roman" w:eastAsia="宋体" w:hAnsi="Times New Roman" w:cs="Times New Roman"/>
          <w:spacing w:val="-4"/>
          <w:kern w:val="0"/>
          <w:sz w:val="28"/>
          <w:szCs w:val="28"/>
        </w:rPr>
        <w:t>6.4-2</w:t>
      </w:r>
      <w:r>
        <w:rPr>
          <w:rFonts w:ascii="Times New Roman" w:eastAsia="宋体" w:hAnsi="Times New Roman" w:cs="Times New Roman"/>
          <w:spacing w:val="-4"/>
          <w:kern w:val="0"/>
          <w:sz w:val="28"/>
          <w:szCs w:val="28"/>
        </w:rPr>
        <w:t>。</w:t>
      </w:r>
    </w:p>
    <w:p w14:paraId="3F8362A3" w14:textId="77777777" w:rsidR="002133E3" w:rsidRDefault="00C22CFA">
      <w:pPr>
        <w:widowControl/>
        <w:tabs>
          <w:tab w:val="left" w:pos="600"/>
        </w:tabs>
        <w:spacing w:line="500" w:lineRule="exact"/>
        <w:ind w:firstLineChars="200" w:firstLine="482"/>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表</w:t>
      </w:r>
      <w:r>
        <w:rPr>
          <w:rFonts w:ascii="Times New Roman" w:eastAsia="宋体" w:hAnsi="Times New Roman" w:cs="Times New Roman"/>
          <w:b/>
          <w:kern w:val="0"/>
          <w:sz w:val="24"/>
          <w:szCs w:val="20"/>
        </w:rPr>
        <w:t xml:space="preserve">6.4-2   </w:t>
      </w:r>
      <w:r>
        <w:rPr>
          <w:rFonts w:ascii="Times New Roman" w:eastAsia="宋体" w:hAnsi="Times New Roman" w:cs="Times New Roman"/>
          <w:b/>
          <w:kern w:val="0"/>
          <w:sz w:val="24"/>
          <w:szCs w:val="20"/>
        </w:rPr>
        <w:t>丁二酸项目主要设备距离衰减对各预测点的影响值表（单位：</w:t>
      </w:r>
      <w:r>
        <w:rPr>
          <w:rFonts w:ascii="Times New Roman" w:eastAsia="宋体" w:hAnsi="Times New Roman" w:cs="Times New Roman"/>
          <w:b/>
          <w:kern w:val="0"/>
          <w:sz w:val="24"/>
          <w:szCs w:val="20"/>
        </w:rPr>
        <w:t>dB(A)</w:t>
      </w:r>
      <w:r>
        <w:rPr>
          <w:rFonts w:ascii="Times New Roman" w:eastAsia="宋体" w:hAnsi="Times New Roman" w:cs="Times New Roman"/>
          <w:b/>
          <w:kern w:val="0"/>
          <w:sz w:val="24"/>
          <w:szCs w:val="20"/>
        </w:rPr>
        <w:t>）</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051"/>
        <w:gridCol w:w="1896"/>
        <w:gridCol w:w="2141"/>
        <w:gridCol w:w="1171"/>
        <w:gridCol w:w="1171"/>
        <w:gridCol w:w="1171"/>
        <w:gridCol w:w="1173"/>
      </w:tblGrid>
      <w:tr w:rsidR="002133E3" w14:paraId="74AAAE44" w14:textId="77777777">
        <w:trPr>
          <w:trHeight w:val="254"/>
          <w:jc w:val="center"/>
        </w:trPr>
        <w:tc>
          <w:tcPr>
            <w:tcW w:w="538" w:type="pct"/>
            <w:vMerge w:val="restart"/>
            <w:tcMar>
              <w:left w:w="28" w:type="dxa"/>
              <w:right w:w="28" w:type="dxa"/>
            </w:tcMar>
            <w:vAlign w:val="center"/>
          </w:tcPr>
          <w:p w14:paraId="2E6BD3F1"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969" w:type="pct"/>
            <w:vMerge w:val="restart"/>
            <w:vAlign w:val="center"/>
          </w:tcPr>
          <w:p w14:paraId="79AE9E63"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噪声源</w:t>
            </w:r>
          </w:p>
        </w:tc>
        <w:tc>
          <w:tcPr>
            <w:tcW w:w="1095" w:type="pct"/>
            <w:vMerge w:val="restart"/>
            <w:vAlign w:val="center"/>
          </w:tcPr>
          <w:p w14:paraId="3AFF3400"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数量</w:t>
            </w:r>
          </w:p>
          <w:p w14:paraId="6B7ABD89"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（台</w:t>
            </w:r>
            <w:r>
              <w:rPr>
                <w:rFonts w:ascii="Times New Roman" w:eastAsia="宋体" w:hAnsi="Times New Roman" w:cs="Times New Roman"/>
                <w:b/>
                <w:kern w:val="0"/>
                <w:szCs w:val="21"/>
              </w:rPr>
              <w:t>/</w:t>
            </w:r>
            <w:r>
              <w:rPr>
                <w:rFonts w:ascii="Times New Roman" w:eastAsia="宋体" w:hAnsi="Times New Roman" w:cs="Times New Roman"/>
                <w:b/>
                <w:kern w:val="0"/>
                <w:szCs w:val="21"/>
              </w:rPr>
              <w:t>套）</w:t>
            </w:r>
          </w:p>
        </w:tc>
        <w:tc>
          <w:tcPr>
            <w:tcW w:w="2397" w:type="pct"/>
            <w:gridSpan w:val="4"/>
            <w:vAlign w:val="center"/>
          </w:tcPr>
          <w:p w14:paraId="5EC6334B"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影响预测结果</w:t>
            </w:r>
          </w:p>
        </w:tc>
      </w:tr>
      <w:tr w:rsidR="002133E3" w14:paraId="66EC24E6" w14:textId="77777777">
        <w:trPr>
          <w:trHeight w:val="20"/>
          <w:jc w:val="center"/>
        </w:trPr>
        <w:tc>
          <w:tcPr>
            <w:tcW w:w="538" w:type="pct"/>
            <w:vMerge/>
            <w:tcMar>
              <w:left w:w="28" w:type="dxa"/>
              <w:right w:w="28" w:type="dxa"/>
            </w:tcMar>
            <w:vAlign w:val="center"/>
          </w:tcPr>
          <w:p w14:paraId="52EC67BB" w14:textId="77777777" w:rsidR="002133E3" w:rsidRDefault="002133E3">
            <w:pPr>
              <w:widowControl/>
              <w:snapToGrid w:val="0"/>
              <w:jc w:val="center"/>
              <w:rPr>
                <w:rFonts w:ascii="Times New Roman" w:eastAsia="宋体" w:hAnsi="Times New Roman" w:cs="Times New Roman"/>
                <w:b/>
                <w:kern w:val="0"/>
                <w:szCs w:val="21"/>
              </w:rPr>
            </w:pPr>
          </w:p>
        </w:tc>
        <w:tc>
          <w:tcPr>
            <w:tcW w:w="969" w:type="pct"/>
            <w:vMerge/>
            <w:vAlign w:val="center"/>
          </w:tcPr>
          <w:p w14:paraId="525442AE" w14:textId="77777777" w:rsidR="002133E3" w:rsidRDefault="002133E3">
            <w:pPr>
              <w:widowControl/>
              <w:snapToGrid w:val="0"/>
              <w:jc w:val="center"/>
              <w:rPr>
                <w:rFonts w:ascii="Times New Roman" w:eastAsia="宋体" w:hAnsi="Times New Roman" w:cs="Times New Roman"/>
                <w:b/>
                <w:kern w:val="0"/>
                <w:szCs w:val="21"/>
              </w:rPr>
            </w:pPr>
          </w:p>
        </w:tc>
        <w:tc>
          <w:tcPr>
            <w:tcW w:w="1095" w:type="pct"/>
            <w:vMerge/>
            <w:vAlign w:val="center"/>
          </w:tcPr>
          <w:p w14:paraId="058EED93" w14:textId="77777777" w:rsidR="002133E3" w:rsidRDefault="002133E3">
            <w:pPr>
              <w:widowControl/>
              <w:snapToGrid w:val="0"/>
              <w:jc w:val="center"/>
              <w:rPr>
                <w:rFonts w:ascii="Times New Roman" w:eastAsia="宋体" w:hAnsi="Times New Roman" w:cs="Times New Roman"/>
                <w:b/>
                <w:kern w:val="0"/>
                <w:szCs w:val="21"/>
              </w:rPr>
            </w:pPr>
          </w:p>
        </w:tc>
        <w:tc>
          <w:tcPr>
            <w:tcW w:w="599" w:type="pct"/>
            <w:vAlign w:val="center"/>
          </w:tcPr>
          <w:p w14:paraId="573CC424"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东</w:t>
            </w:r>
          </w:p>
        </w:tc>
        <w:tc>
          <w:tcPr>
            <w:tcW w:w="599" w:type="pct"/>
            <w:vAlign w:val="center"/>
          </w:tcPr>
          <w:p w14:paraId="513D8B91"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南</w:t>
            </w:r>
          </w:p>
        </w:tc>
        <w:tc>
          <w:tcPr>
            <w:tcW w:w="599" w:type="pct"/>
            <w:vAlign w:val="center"/>
          </w:tcPr>
          <w:p w14:paraId="4120287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西</w:t>
            </w:r>
          </w:p>
        </w:tc>
        <w:tc>
          <w:tcPr>
            <w:tcW w:w="601" w:type="pct"/>
            <w:vAlign w:val="center"/>
          </w:tcPr>
          <w:p w14:paraId="09BE5C6B"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北</w:t>
            </w:r>
          </w:p>
        </w:tc>
      </w:tr>
      <w:tr w:rsidR="002133E3" w14:paraId="57DAF1B2" w14:textId="77777777">
        <w:trPr>
          <w:trHeight w:val="20"/>
          <w:jc w:val="center"/>
        </w:trPr>
        <w:tc>
          <w:tcPr>
            <w:tcW w:w="538" w:type="pct"/>
            <w:tcMar>
              <w:left w:w="28" w:type="dxa"/>
              <w:right w:w="28" w:type="dxa"/>
            </w:tcMar>
            <w:vAlign w:val="center"/>
          </w:tcPr>
          <w:p w14:paraId="0C5075F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969" w:type="pct"/>
            <w:vAlign w:val="center"/>
          </w:tcPr>
          <w:p w14:paraId="05C9E8C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粉碎机</w:t>
            </w:r>
          </w:p>
        </w:tc>
        <w:tc>
          <w:tcPr>
            <w:tcW w:w="1095" w:type="pct"/>
            <w:vAlign w:val="center"/>
          </w:tcPr>
          <w:p w14:paraId="2DF42403"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599" w:type="pct"/>
            <w:vAlign w:val="bottom"/>
          </w:tcPr>
          <w:p w14:paraId="0A165B63"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41.0</w:t>
            </w:r>
          </w:p>
        </w:tc>
        <w:tc>
          <w:tcPr>
            <w:tcW w:w="599" w:type="pct"/>
            <w:vAlign w:val="bottom"/>
          </w:tcPr>
          <w:p w14:paraId="16BCA5B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39.9</w:t>
            </w:r>
          </w:p>
        </w:tc>
        <w:tc>
          <w:tcPr>
            <w:tcW w:w="599" w:type="pct"/>
            <w:vAlign w:val="bottom"/>
          </w:tcPr>
          <w:p w14:paraId="5E2DC1D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34.4</w:t>
            </w:r>
          </w:p>
        </w:tc>
        <w:tc>
          <w:tcPr>
            <w:tcW w:w="601" w:type="pct"/>
            <w:vAlign w:val="bottom"/>
          </w:tcPr>
          <w:p w14:paraId="1C71E13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32.6</w:t>
            </w:r>
          </w:p>
        </w:tc>
      </w:tr>
      <w:tr w:rsidR="002133E3" w14:paraId="3B95F80B" w14:textId="77777777">
        <w:trPr>
          <w:trHeight w:val="20"/>
          <w:jc w:val="center"/>
        </w:trPr>
        <w:tc>
          <w:tcPr>
            <w:tcW w:w="538" w:type="pct"/>
            <w:tcMar>
              <w:left w:w="28" w:type="dxa"/>
              <w:right w:w="28" w:type="dxa"/>
            </w:tcMar>
            <w:vAlign w:val="center"/>
          </w:tcPr>
          <w:p w14:paraId="0577224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969" w:type="pct"/>
            <w:vAlign w:val="center"/>
          </w:tcPr>
          <w:p w14:paraId="466A540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离心机</w:t>
            </w:r>
          </w:p>
        </w:tc>
        <w:tc>
          <w:tcPr>
            <w:tcW w:w="1095" w:type="pct"/>
            <w:vAlign w:val="center"/>
          </w:tcPr>
          <w:p w14:paraId="7827969E"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599" w:type="pct"/>
            <w:vAlign w:val="bottom"/>
          </w:tcPr>
          <w:p w14:paraId="21CA1D11"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31.7</w:t>
            </w:r>
          </w:p>
        </w:tc>
        <w:tc>
          <w:tcPr>
            <w:tcW w:w="599" w:type="pct"/>
            <w:vAlign w:val="bottom"/>
          </w:tcPr>
          <w:p w14:paraId="61C9DDC8"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 xml:space="preserve">30.1 </w:t>
            </w:r>
          </w:p>
        </w:tc>
        <w:tc>
          <w:tcPr>
            <w:tcW w:w="599" w:type="pct"/>
            <w:vAlign w:val="bottom"/>
          </w:tcPr>
          <w:p w14:paraId="184E1BDF"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24.2</w:t>
            </w:r>
          </w:p>
        </w:tc>
        <w:tc>
          <w:tcPr>
            <w:tcW w:w="601" w:type="pct"/>
            <w:vAlign w:val="bottom"/>
          </w:tcPr>
          <w:p w14:paraId="0790082A"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22.8</w:t>
            </w:r>
          </w:p>
        </w:tc>
      </w:tr>
      <w:tr w:rsidR="002133E3" w14:paraId="592EE775" w14:textId="77777777">
        <w:trPr>
          <w:trHeight w:val="20"/>
          <w:jc w:val="center"/>
        </w:trPr>
        <w:tc>
          <w:tcPr>
            <w:tcW w:w="538" w:type="pct"/>
            <w:tcMar>
              <w:left w:w="28" w:type="dxa"/>
              <w:right w:w="28" w:type="dxa"/>
            </w:tcMar>
            <w:vAlign w:val="center"/>
          </w:tcPr>
          <w:p w14:paraId="03598E1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969" w:type="pct"/>
            <w:vAlign w:val="center"/>
          </w:tcPr>
          <w:p w14:paraId="1DAD0F3B"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泵类</w:t>
            </w:r>
          </w:p>
        </w:tc>
        <w:tc>
          <w:tcPr>
            <w:tcW w:w="1095" w:type="pct"/>
            <w:vAlign w:val="center"/>
          </w:tcPr>
          <w:p w14:paraId="132DFC1D"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30</w:t>
            </w:r>
          </w:p>
        </w:tc>
        <w:tc>
          <w:tcPr>
            <w:tcW w:w="599" w:type="pct"/>
            <w:vAlign w:val="bottom"/>
          </w:tcPr>
          <w:p w14:paraId="662DA86B"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36.2</w:t>
            </w:r>
          </w:p>
        </w:tc>
        <w:tc>
          <w:tcPr>
            <w:tcW w:w="599" w:type="pct"/>
            <w:vAlign w:val="bottom"/>
          </w:tcPr>
          <w:p w14:paraId="00A30072"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35.3</w:t>
            </w:r>
          </w:p>
        </w:tc>
        <w:tc>
          <w:tcPr>
            <w:tcW w:w="599" w:type="pct"/>
            <w:vAlign w:val="bottom"/>
          </w:tcPr>
          <w:p w14:paraId="0854B44A"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 xml:space="preserve">29.4 </w:t>
            </w:r>
          </w:p>
        </w:tc>
        <w:tc>
          <w:tcPr>
            <w:tcW w:w="601" w:type="pct"/>
            <w:vAlign w:val="bottom"/>
          </w:tcPr>
          <w:p w14:paraId="34952811"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27.8</w:t>
            </w:r>
          </w:p>
        </w:tc>
      </w:tr>
      <w:tr w:rsidR="002133E3" w14:paraId="59FD06E3" w14:textId="77777777">
        <w:trPr>
          <w:trHeight w:val="20"/>
          <w:jc w:val="center"/>
        </w:trPr>
        <w:tc>
          <w:tcPr>
            <w:tcW w:w="538" w:type="pct"/>
            <w:tcMar>
              <w:left w:w="28" w:type="dxa"/>
              <w:right w:w="28" w:type="dxa"/>
            </w:tcMar>
            <w:vAlign w:val="center"/>
          </w:tcPr>
          <w:p w14:paraId="77725C7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969" w:type="pct"/>
            <w:vAlign w:val="center"/>
          </w:tcPr>
          <w:p w14:paraId="7951309E"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真空蒸发器</w:t>
            </w:r>
          </w:p>
        </w:tc>
        <w:tc>
          <w:tcPr>
            <w:tcW w:w="1095" w:type="pct"/>
            <w:vAlign w:val="center"/>
          </w:tcPr>
          <w:p w14:paraId="3AC30806"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599" w:type="pct"/>
            <w:vAlign w:val="bottom"/>
          </w:tcPr>
          <w:p w14:paraId="671793F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22.0</w:t>
            </w:r>
          </w:p>
        </w:tc>
        <w:tc>
          <w:tcPr>
            <w:tcW w:w="599" w:type="pct"/>
            <w:vAlign w:val="bottom"/>
          </w:tcPr>
          <w:p w14:paraId="0E933C27"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21.0</w:t>
            </w:r>
          </w:p>
        </w:tc>
        <w:tc>
          <w:tcPr>
            <w:tcW w:w="599" w:type="pct"/>
            <w:vAlign w:val="bottom"/>
          </w:tcPr>
          <w:p w14:paraId="41774F1A"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14.6</w:t>
            </w:r>
          </w:p>
        </w:tc>
        <w:tc>
          <w:tcPr>
            <w:tcW w:w="601" w:type="pct"/>
            <w:vAlign w:val="bottom"/>
          </w:tcPr>
          <w:p w14:paraId="1922755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13.0</w:t>
            </w:r>
          </w:p>
        </w:tc>
      </w:tr>
      <w:tr w:rsidR="002133E3" w14:paraId="06E239D1" w14:textId="77777777">
        <w:trPr>
          <w:trHeight w:val="20"/>
          <w:jc w:val="center"/>
        </w:trPr>
        <w:tc>
          <w:tcPr>
            <w:tcW w:w="538" w:type="pct"/>
            <w:tcMar>
              <w:left w:w="28" w:type="dxa"/>
              <w:right w:w="28" w:type="dxa"/>
            </w:tcMar>
            <w:vAlign w:val="center"/>
          </w:tcPr>
          <w:p w14:paraId="5AFE22B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969" w:type="pct"/>
            <w:vAlign w:val="center"/>
          </w:tcPr>
          <w:p w14:paraId="6286575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真空干燥器</w:t>
            </w:r>
          </w:p>
        </w:tc>
        <w:tc>
          <w:tcPr>
            <w:tcW w:w="1095" w:type="pct"/>
            <w:vAlign w:val="center"/>
          </w:tcPr>
          <w:p w14:paraId="56D1796C" w14:textId="77777777" w:rsidR="002133E3" w:rsidRDefault="00C22CFA">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10</w:t>
            </w:r>
          </w:p>
        </w:tc>
        <w:tc>
          <w:tcPr>
            <w:tcW w:w="599" w:type="pct"/>
            <w:vAlign w:val="bottom"/>
          </w:tcPr>
          <w:p w14:paraId="3D2C15C0"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26.8</w:t>
            </w:r>
          </w:p>
        </w:tc>
        <w:tc>
          <w:tcPr>
            <w:tcW w:w="599" w:type="pct"/>
            <w:vAlign w:val="bottom"/>
          </w:tcPr>
          <w:p w14:paraId="5F4B47B5"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25.9</w:t>
            </w:r>
          </w:p>
        </w:tc>
        <w:tc>
          <w:tcPr>
            <w:tcW w:w="599" w:type="pct"/>
            <w:vAlign w:val="bottom"/>
          </w:tcPr>
          <w:p w14:paraId="660AC63D"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19.5</w:t>
            </w:r>
          </w:p>
        </w:tc>
        <w:tc>
          <w:tcPr>
            <w:tcW w:w="601" w:type="pct"/>
            <w:vAlign w:val="bottom"/>
          </w:tcPr>
          <w:p w14:paraId="46640A0C" w14:textId="77777777" w:rsidR="002133E3" w:rsidRDefault="00C22CFA">
            <w:pPr>
              <w:snapToGrid w:val="0"/>
              <w:jc w:val="center"/>
              <w:rPr>
                <w:rFonts w:ascii="Times New Roman" w:eastAsia="宋体" w:hAnsi="Times New Roman" w:cs="Times New Roman"/>
                <w:szCs w:val="21"/>
              </w:rPr>
            </w:pPr>
            <w:r>
              <w:rPr>
                <w:rFonts w:ascii="Times New Roman" w:eastAsia="宋体" w:hAnsi="Times New Roman" w:cs="Times New Roman"/>
                <w:szCs w:val="21"/>
              </w:rPr>
              <w:t xml:space="preserve">17.9 </w:t>
            </w:r>
          </w:p>
        </w:tc>
      </w:tr>
      <w:tr w:rsidR="002133E3" w14:paraId="3786255B" w14:textId="77777777">
        <w:trPr>
          <w:trHeight w:val="20"/>
          <w:jc w:val="center"/>
        </w:trPr>
        <w:tc>
          <w:tcPr>
            <w:tcW w:w="1508" w:type="pct"/>
            <w:gridSpan w:val="2"/>
            <w:tcMar>
              <w:left w:w="28" w:type="dxa"/>
              <w:right w:w="28" w:type="dxa"/>
            </w:tcMar>
            <w:vAlign w:val="center"/>
          </w:tcPr>
          <w:p w14:paraId="2FD0B708" w14:textId="77777777" w:rsidR="002133E3" w:rsidRDefault="00C22CFA">
            <w:pPr>
              <w:snapToGrid w:val="0"/>
              <w:jc w:val="center"/>
              <w:rPr>
                <w:rFonts w:ascii="Times New Roman" w:eastAsia="宋体" w:hAnsi="Times New Roman" w:cs="Times New Roman"/>
                <w:b/>
                <w:szCs w:val="21"/>
              </w:rPr>
            </w:pPr>
            <w:r>
              <w:rPr>
                <w:rFonts w:ascii="Times New Roman" w:eastAsia="宋体" w:hAnsi="Times New Roman" w:cs="Times New Roman"/>
                <w:b/>
                <w:szCs w:val="21"/>
              </w:rPr>
              <w:t>叠加值</w:t>
            </w:r>
          </w:p>
        </w:tc>
        <w:tc>
          <w:tcPr>
            <w:tcW w:w="1095" w:type="pct"/>
            <w:vAlign w:val="center"/>
          </w:tcPr>
          <w:p w14:paraId="750A78E8" w14:textId="77777777" w:rsidR="002133E3" w:rsidRDefault="00C22CFA">
            <w:pPr>
              <w:snapToGrid w:val="0"/>
              <w:jc w:val="center"/>
              <w:rPr>
                <w:rFonts w:ascii="Times New Roman" w:eastAsia="宋体" w:hAnsi="Times New Roman" w:cs="Times New Roman"/>
                <w:b/>
                <w:szCs w:val="21"/>
              </w:rPr>
            </w:pPr>
            <w:r>
              <w:rPr>
                <w:rFonts w:ascii="Times New Roman" w:eastAsia="宋体" w:hAnsi="Times New Roman" w:cs="Times New Roman"/>
                <w:b/>
                <w:szCs w:val="21"/>
              </w:rPr>
              <w:t>/</w:t>
            </w:r>
          </w:p>
        </w:tc>
        <w:tc>
          <w:tcPr>
            <w:tcW w:w="599" w:type="pct"/>
            <w:vAlign w:val="center"/>
          </w:tcPr>
          <w:p w14:paraId="2DCD55AB" w14:textId="77777777" w:rsidR="002133E3" w:rsidRDefault="00C22CFA">
            <w:pPr>
              <w:snapToGrid w:val="0"/>
              <w:jc w:val="center"/>
              <w:rPr>
                <w:rFonts w:ascii="Times New Roman" w:eastAsia="宋体" w:hAnsi="Times New Roman" w:cs="Times New Roman"/>
                <w:b/>
                <w:szCs w:val="21"/>
              </w:rPr>
            </w:pPr>
            <w:r>
              <w:rPr>
                <w:rFonts w:ascii="Times New Roman" w:eastAsia="宋体" w:hAnsi="Times New Roman" w:cs="Times New Roman"/>
                <w:b/>
                <w:szCs w:val="21"/>
              </w:rPr>
              <w:t>42.7</w:t>
            </w:r>
          </w:p>
        </w:tc>
        <w:tc>
          <w:tcPr>
            <w:tcW w:w="599" w:type="pct"/>
            <w:vAlign w:val="center"/>
          </w:tcPr>
          <w:p w14:paraId="395C3E7D" w14:textId="77777777" w:rsidR="002133E3" w:rsidRDefault="00C22CFA">
            <w:pPr>
              <w:snapToGrid w:val="0"/>
              <w:jc w:val="center"/>
              <w:rPr>
                <w:rFonts w:ascii="Times New Roman" w:eastAsia="宋体" w:hAnsi="Times New Roman" w:cs="Times New Roman"/>
                <w:b/>
                <w:szCs w:val="21"/>
              </w:rPr>
            </w:pPr>
            <w:r>
              <w:rPr>
                <w:rFonts w:ascii="Times New Roman" w:eastAsia="宋体" w:hAnsi="Times New Roman" w:cs="Times New Roman"/>
                <w:b/>
                <w:szCs w:val="21"/>
              </w:rPr>
              <w:t>41.6</w:t>
            </w:r>
          </w:p>
        </w:tc>
        <w:tc>
          <w:tcPr>
            <w:tcW w:w="599" w:type="pct"/>
            <w:vAlign w:val="center"/>
          </w:tcPr>
          <w:p w14:paraId="22D6122F" w14:textId="77777777" w:rsidR="002133E3" w:rsidRDefault="00C22CFA">
            <w:pPr>
              <w:snapToGrid w:val="0"/>
              <w:jc w:val="center"/>
              <w:rPr>
                <w:rFonts w:ascii="Times New Roman" w:eastAsia="宋体" w:hAnsi="Times New Roman" w:cs="Times New Roman"/>
                <w:b/>
                <w:szCs w:val="21"/>
              </w:rPr>
            </w:pPr>
            <w:r>
              <w:rPr>
                <w:rFonts w:ascii="Times New Roman" w:eastAsia="宋体" w:hAnsi="Times New Roman" w:cs="Times New Roman"/>
                <w:b/>
                <w:szCs w:val="21"/>
              </w:rPr>
              <w:t>36.0</w:t>
            </w:r>
          </w:p>
        </w:tc>
        <w:tc>
          <w:tcPr>
            <w:tcW w:w="601" w:type="pct"/>
            <w:vAlign w:val="center"/>
          </w:tcPr>
          <w:p w14:paraId="09846793" w14:textId="77777777" w:rsidR="002133E3" w:rsidRDefault="00C22CFA">
            <w:pPr>
              <w:snapToGrid w:val="0"/>
              <w:jc w:val="center"/>
              <w:rPr>
                <w:rFonts w:ascii="Times New Roman" w:eastAsia="宋体" w:hAnsi="Times New Roman" w:cs="Times New Roman"/>
                <w:b/>
                <w:szCs w:val="21"/>
              </w:rPr>
            </w:pPr>
            <w:r>
              <w:rPr>
                <w:rFonts w:ascii="Times New Roman" w:eastAsia="宋体" w:hAnsi="Times New Roman" w:cs="Times New Roman"/>
                <w:b/>
                <w:szCs w:val="21"/>
              </w:rPr>
              <w:t>34.3</w:t>
            </w:r>
          </w:p>
        </w:tc>
      </w:tr>
    </w:tbl>
    <w:p w14:paraId="3053DB51"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注：上表中的数据利用《江苏金茂源生物化工有限责任公司年产</w:t>
      </w:r>
      <w:r>
        <w:rPr>
          <w:rFonts w:ascii="Times New Roman" w:eastAsia="宋体" w:hAnsi="Times New Roman" w:cs="Times New Roman"/>
          <w:kern w:val="0"/>
          <w:szCs w:val="21"/>
        </w:rPr>
        <w:t>30000</w:t>
      </w:r>
      <w:r>
        <w:rPr>
          <w:rFonts w:ascii="Times New Roman" w:eastAsia="宋体" w:hAnsi="Times New Roman" w:cs="Times New Roman"/>
          <w:kern w:val="0"/>
          <w:szCs w:val="21"/>
        </w:rPr>
        <w:t>吨丁二酸项目环境影响报告书》中的预测结果，且未叠加背景值。</w:t>
      </w:r>
    </w:p>
    <w:p w14:paraId="1C11824D" w14:textId="77777777" w:rsidR="002133E3" w:rsidRDefault="00C22CFA">
      <w:pPr>
        <w:widowControl/>
        <w:snapToGrid w:val="0"/>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将已批拟建项目厂界噪声预测值与本项目厂界噪声预测值进行叠加，详见表</w:t>
      </w:r>
      <w:r>
        <w:rPr>
          <w:rFonts w:ascii="Times New Roman" w:eastAsia="宋体" w:hAnsi="Times New Roman" w:cs="Times New Roman"/>
          <w:kern w:val="0"/>
          <w:sz w:val="28"/>
          <w:szCs w:val="28"/>
        </w:rPr>
        <w:t>6.4-3</w:t>
      </w:r>
      <w:r>
        <w:rPr>
          <w:rFonts w:ascii="Times New Roman" w:eastAsia="宋体" w:hAnsi="Times New Roman" w:cs="Times New Roman"/>
          <w:kern w:val="0"/>
          <w:sz w:val="28"/>
          <w:szCs w:val="28"/>
        </w:rPr>
        <w:t>。</w:t>
      </w:r>
    </w:p>
    <w:p w14:paraId="66C08F93" w14:textId="77777777" w:rsidR="002133E3" w:rsidRDefault="00C22CFA">
      <w:pPr>
        <w:widowControl/>
        <w:tabs>
          <w:tab w:val="left" w:pos="600"/>
        </w:tabs>
        <w:spacing w:line="500" w:lineRule="exact"/>
        <w:ind w:firstLineChars="200" w:firstLine="482"/>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表</w:t>
      </w:r>
      <w:r>
        <w:rPr>
          <w:rFonts w:ascii="Times New Roman" w:eastAsia="宋体" w:hAnsi="Times New Roman" w:cs="Times New Roman"/>
          <w:b/>
          <w:kern w:val="0"/>
          <w:sz w:val="24"/>
          <w:szCs w:val="20"/>
        </w:rPr>
        <w:t xml:space="preserve">6.4-3   </w:t>
      </w:r>
      <w:r>
        <w:rPr>
          <w:rFonts w:ascii="Times New Roman" w:eastAsia="宋体" w:hAnsi="Times New Roman" w:cs="Times New Roman"/>
          <w:b/>
          <w:kern w:val="0"/>
          <w:sz w:val="24"/>
          <w:szCs w:val="20"/>
        </w:rPr>
        <w:t>叠加后厂界噪声达标情况分析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4"/>
        <w:gridCol w:w="3286"/>
      </w:tblGrid>
      <w:tr w:rsidR="002133E3" w14:paraId="39B3FD67" w14:textId="77777777">
        <w:trPr>
          <w:jc w:val="center"/>
        </w:trPr>
        <w:tc>
          <w:tcPr>
            <w:tcW w:w="1666" w:type="pct"/>
            <w:vAlign w:val="center"/>
          </w:tcPr>
          <w:p w14:paraId="0450DECF"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厂界</w:t>
            </w:r>
          </w:p>
        </w:tc>
        <w:tc>
          <w:tcPr>
            <w:tcW w:w="1666" w:type="pct"/>
            <w:vAlign w:val="center"/>
          </w:tcPr>
          <w:p w14:paraId="2D806DF6"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叠加值</w:t>
            </w:r>
          </w:p>
        </w:tc>
        <w:tc>
          <w:tcPr>
            <w:tcW w:w="1667" w:type="pct"/>
            <w:vAlign w:val="center"/>
          </w:tcPr>
          <w:p w14:paraId="33074A23"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达标判定</w:t>
            </w:r>
          </w:p>
        </w:tc>
      </w:tr>
      <w:tr w:rsidR="002133E3" w14:paraId="0AB2F6A7" w14:textId="77777777">
        <w:trPr>
          <w:jc w:val="center"/>
        </w:trPr>
        <w:tc>
          <w:tcPr>
            <w:tcW w:w="1666" w:type="pct"/>
            <w:vAlign w:val="center"/>
          </w:tcPr>
          <w:p w14:paraId="490D265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东厂界</w:t>
            </w:r>
          </w:p>
        </w:tc>
        <w:tc>
          <w:tcPr>
            <w:tcW w:w="1666" w:type="pct"/>
            <w:vAlign w:val="center"/>
          </w:tcPr>
          <w:p w14:paraId="1884D43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49.02</w:t>
            </w:r>
          </w:p>
        </w:tc>
        <w:tc>
          <w:tcPr>
            <w:tcW w:w="1667" w:type="pct"/>
            <w:vAlign w:val="center"/>
          </w:tcPr>
          <w:p w14:paraId="3ACDF81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达标</w:t>
            </w:r>
          </w:p>
        </w:tc>
      </w:tr>
      <w:tr w:rsidR="002133E3" w14:paraId="7ECB440B" w14:textId="77777777">
        <w:trPr>
          <w:jc w:val="center"/>
        </w:trPr>
        <w:tc>
          <w:tcPr>
            <w:tcW w:w="1666" w:type="pct"/>
            <w:vAlign w:val="center"/>
          </w:tcPr>
          <w:p w14:paraId="0EAD20E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南厂界</w:t>
            </w:r>
          </w:p>
        </w:tc>
        <w:tc>
          <w:tcPr>
            <w:tcW w:w="1666" w:type="pct"/>
            <w:vAlign w:val="center"/>
          </w:tcPr>
          <w:p w14:paraId="22D465F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45.47</w:t>
            </w:r>
          </w:p>
        </w:tc>
        <w:tc>
          <w:tcPr>
            <w:tcW w:w="1667" w:type="pct"/>
            <w:vAlign w:val="center"/>
          </w:tcPr>
          <w:p w14:paraId="4959382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达标</w:t>
            </w:r>
          </w:p>
        </w:tc>
      </w:tr>
      <w:tr w:rsidR="002133E3" w14:paraId="46409B98" w14:textId="77777777">
        <w:trPr>
          <w:jc w:val="center"/>
        </w:trPr>
        <w:tc>
          <w:tcPr>
            <w:tcW w:w="1666" w:type="pct"/>
            <w:vAlign w:val="center"/>
          </w:tcPr>
          <w:p w14:paraId="56FE561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西厂界</w:t>
            </w:r>
          </w:p>
        </w:tc>
        <w:tc>
          <w:tcPr>
            <w:tcW w:w="1666" w:type="pct"/>
            <w:vAlign w:val="center"/>
          </w:tcPr>
          <w:p w14:paraId="76390F4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46.73</w:t>
            </w:r>
          </w:p>
        </w:tc>
        <w:tc>
          <w:tcPr>
            <w:tcW w:w="1667" w:type="pct"/>
            <w:vAlign w:val="center"/>
          </w:tcPr>
          <w:p w14:paraId="060D45EF"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达标</w:t>
            </w:r>
          </w:p>
        </w:tc>
      </w:tr>
      <w:tr w:rsidR="002133E3" w14:paraId="2C06D88F" w14:textId="77777777">
        <w:trPr>
          <w:jc w:val="center"/>
        </w:trPr>
        <w:tc>
          <w:tcPr>
            <w:tcW w:w="1666" w:type="pct"/>
            <w:vAlign w:val="center"/>
          </w:tcPr>
          <w:p w14:paraId="379DF1C8"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北厂界</w:t>
            </w:r>
          </w:p>
        </w:tc>
        <w:tc>
          <w:tcPr>
            <w:tcW w:w="1666" w:type="pct"/>
            <w:vAlign w:val="center"/>
          </w:tcPr>
          <w:p w14:paraId="41515E2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46.51</w:t>
            </w:r>
          </w:p>
        </w:tc>
        <w:tc>
          <w:tcPr>
            <w:tcW w:w="1667" w:type="pct"/>
            <w:vAlign w:val="center"/>
          </w:tcPr>
          <w:p w14:paraId="69959F2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达标</w:t>
            </w:r>
          </w:p>
        </w:tc>
      </w:tr>
    </w:tbl>
    <w:p w14:paraId="1DAEAD6F" w14:textId="77777777" w:rsidR="002133E3" w:rsidRDefault="00C22CFA">
      <w:pPr>
        <w:widowControl/>
        <w:snapToGrid w:val="0"/>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由表</w:t>
      </w:r>
      <w:r>
        <w:rPr>
          <w:rFonts w:ascii="Times New Roman" w:eastAsia="宋体" w:hAnsi="Times New Roman" w:cs="Times New Roman"/>
          <w:kern w:val="0"/>
          <w:sz w:val="28"/>
          <w:szCs w:val="28"/>
        </w:rPr>
        <w:t>6.4-3</w:t>
      </w:r>
      <w:r>
        <w:rPr>
          <w:rFonts w:ascii="Times New Roman" w:eastAsia="宋体" w:hAnsi="Times New Roman" w:cs="Times New Roman"/>
          <w:kern w:val="0"/>
          <w:sz w:val="28"/>
          <w:szCs w:val="28"/>
        </w:rPr>
        <w:t>可以看出，项目各噪声源经治理后排放，对厂界噪声影响值经叠加本底最大值后，没有出现超标现象，对外环境影响较小。</w:t>
      </w:r>
    </w:p>
    <w:p w14:paraId="514039BD" w14:textId="77777777" w:rsidR="002133E3" w:rsidRDefault="00C22CFA">
      <w:pPr>
        <w:pStyle w:val="affff3"/>
        <w:numPr>
          <w:ilvl w:val="1"/>
          <w:numId w:val="2"/>
        </w:numPr>
        <w:ind w:firstLineChars="0" w:hanging="567"/>
        <w:outlineLvl w:val="1"/>
        <w:rPr>
          <w:rFonts w:ascii="Times New Roman" w:eastAsia="宋体" w:hAnsi="Times New Roman" w:cs="Times New Roman"/>
          <w:b/>
          <w:bCs/>
          <w:color w:val="0D0D0D"/>
          <w:sz w:val="28"/>
          <w:szCs w:val="32"/>
        </w:rPr>
      </w:pPr>
      <w:r>
        <w:rPr>
          <w:rFonts w:ascii="Times New Roman" w:eastAsia="宋体" w:hAnsi="Times New Roman" w:cs="Times New Roman"/>
          <w:b/>
          <w:sz w:val="30"/>
          <w:szCs w:val="30"/>
        </w:rPr>
        <w:lastRenderedPageBreak/>
        <w:t>固体废物环境影响分析</w:t>
      </w:r>
      <w:bookmarkEnd w:id="56"/>
      <w:bookmarkEnd w:id="57"/>
      <w:bookmarkEnd w:id="58"/>
      <w:bookmarkEnd w:id="59"/>
      <w:bookmarkEnd w:id="60"/>
    </w:p>
    <w:p w14:paraId="27F3ED44" w14:textId="77777777" w:rsidR="002133E3" w:rsidRDefault="00C22CFA">
      <w:pPr>
        <w:widowControl/>
        <w:snapToGrid w:val="0"/>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项目营运期各固废产生及利用处置方式详见表</w:t>
      </w:r>
      <w:r>
        <w:rPr>
          <w:rFonts w:ascii="Times New Roman" w:eastAsia="宋体" w:hAnsi="Times New Roman" w:cs="Times New Roman"/>
          <w:kern w:val="0"/>
          <w:sz w:val="28"/>
          <w:szCs w:val="28"/>
        </w:rPr>
        <w:t>4.5-8</w:t>
      </w:r>
      <w:r>
        <w:rPr>
          <w:rFonts w:ascii="Times New Roman" w:eastAsia="宋体" w:hAnsi="Times New Roman" w:cs="Times New Roman"/>
          <w:kern w:val="0"/>
          <w:sz w:val="28"/>
          <w:szCs w:val="28"/>
        </w:rPr>
        <w:t>。</w:t>
      </w:r>
    </w:p>
    <w:p w14:paraId="53E208D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一般固废环境影响分析</w:t>
      </w:r>
    </w:p>
    <w:p w14:paraId="217B0B36"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本项目根据一般固废种类进行分类收集，分类贮存，各贮存场所均按照</w:t>
      </w:r>
      <w:r>
        <w:rPr>
          <w:rFonts w:ascii="Times New Roman" w:eastAsia="宋体" w:hAnsi="Times New Roman" w:cs="Times New Roman"/>
          <w:color w:val="0D0D0D"/>
          <w:spacing w:val="-6"/>
          <w:kern w:val="0"/>
          <w:sz w:val="28"/>
          <w:szCs w:val="28"/>
        </w:rPr>
        <w:t>《一般工业固体废物贮存、处置场污染控制标准》（</w:t>
      </w:r>
      <w:r>
        <w:rPr>
          <w:rFonts w:ascii="Times New Roman" w:eastAsia="宋体" w:hAnsi="Times New Roman" w:cs="Times New Roman"/>
          <w:color w:val="0D0D0D"/>
          <w:spacing w:val="-6"/>
          <w:kern w:val="0"/>
          <w:sz w:val="28"/>
          <w:szCs w:val="28"/>
        </w:rPr>
        <w:t>GB18599-2001</w:t>
      </w:r>
      <w:r>
        <w:rPr>
          <w:rFonts w:ascii="Times New Roman" w:eastAsia="宋体" w:hAnsi="Times New Roman" w:cs="Times New Roman"/>
          <w:color w:val="0D0D0D"/>
          <w:spacing w:val="-6"/>
          <w:kern w:val="0"/>
          <w:sz w:val="28"/>
          <w:szCs w:val="28"/>
        </w:rPr>
        <w:t>）要求</w:t>
      </w:r>
      <w:r>
        <w:rPr>
          <w:rFonts w:ascii="Times New Roman" w:eastAsia="宋体" w:hAnsi="Times New Roman" w:cs="Times New Roman"/>
          <w:color w:val="0D0D0D"/>
          <w:sz w:val="28"/>
          <w:szCs w:val="28"/>
        </w:rPr>
        <w:t>设置挡风、挡雨和防渗措施，</w:t>
      </w:r>
      <w:r>
        <w:rPr>
          <w:rFonts w:ascii="Times New Roman" w:eastAsia="宋体" w:hAnsi="Times New Roman" w:cs="Times New Roman"/>
          <w:color w:val="0D0D0D"/>
          <w:spacing w:val="-6"/>
          <w:kern w:val="0"/>
          <w:sz w:val="28"/>
          <w:szCs w:val="28"/>
        </w:rPr>
        <w:t>建立一般工业固废收集、暂存、转移记录，加强对一般固废的环境管理，</w:t>
      </w:r>
      <w:r>
        <w:rPr>
          <w:rFonts w:ascii="Times New Roman" w:eastAsia="宋体" w:hAnsi="Times New Roman" w:cs="Times New Roman"/>
          <w:color w:val="0D0D0D"/>
          <w:sz w:val="28"/>
          <w:szCs w:val="28"/>
        </w:rPr>
        <w:t>可有效防止扬尘、渗滤液对周围环境造成影响。</w:t>
      </w:r>
    </w:p>
    <w:p w14:paraId="0869D2F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危险废物贮存场所（设施）环境影响分析</w:t>
      </w:r>
    </w:p>
    <w:p w14:paraId="5ECDFD21"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(1)</w:t>
      </w:r>
      <w:r>
        <w:rPr>
          <w:rFonts w:ascii="Times New Roman" w:eastAsia="宋体" w:hAnsi="Times New Roman" w:cs="Times New Roman"/>
          <w:color w:val="0D0D0D"/>
          <w:sz w:val="28"/>
          <w:szCs w:val="28"/>
        </w:rPr>
        <w:t>危险废物贮存场所选址可行性分析</w:t>
      </w:r>
    </w:p>
    <w:p w14:paraId="1F74C0D1"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本项目危险废物暂存库面积</w:t>
      </w:r>
      <w:r>
        <w:rPr>
          <w:rFonts w:ascii="Times New Roman" w:eastAsia="宋体" w:hAnsi="Times New Roman" w:cs="Times New Roman"/>
          <w:color w:val="0D0D0D"/>
          <w:sz w:val="28"/>
          <w:szCs w:val="28"/>
        </w:rPr>
        <w:t>43.95m</w:t>
      </w:r>
      <w:r>
        <w:rPr>
          <w:rFonts w:ascii="Times New Roman" w:eastAsia="宋体" w:hAnsi="Times New Roman" w:cs="Times New Roman"/>
          <w:color w:val="0D0D0D"/>
          <w:sz w:val="28"/>
          <w:szCs w:val="28"/>
          <w:vertAlign w:val="superscript"/>
        </w:rPr>
        <w:t>2</w:t>
      </w:r>
      <w:r>
        <w:rPr>
          <w:rFonts w:ascii="Times New Roman" w:eastAsia="宋体" w:hAnsi="Times New Roman" w:cs="Times New Roman"/>
          <w:color w:val="0D0D0D"/>
          <w:sz w:val="28"/>
          <w:szCs w:val="28"/>
        </w:rPr>
        <w:t>。</w:t>
      </w:r>
    </w:p>
    <w:p w14:paraId="5D15E5FE"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公司所在地为</w:t>
      </w:r>
      <w:r>
        <w:rPr>
          <w:rFonts w:ascii="Times New Roman" w:eastAsia="宋体" w:hAnsi="Times New Roman" w:cs="Times New Roman" w:hint="eastAsia"/>
          <w:color w:val="0D0D0D"/>
          <w:sz w:val="28"/>
          <w:szCs w:val="28"/>
        </w:rPr>
        <w:t>赣榆海州湾生物科技园</w:t>
      </w:r>
      <w:r>
        <w:rPr>
          <w:rFonts w:ascii="Times New Roman" w:eastAsia="宋体" w:hAnsi="Times New Roman" w:cs="Times New Roman"/>
          <w:color w:val="0D0D0D"/>
          <w:sz w:val="28"/>
          <w:szCs w:val="28"/>
        </w:rPr>
        <w:t>区，为工业企业集中区，不在溶洞区和易遭受洪水等自然灾害影响的地区，不在高压输电线路防护区域内。项目所在区域地质结构稳定，地震烈度小于</w:t>
      </w:r>
      <w:r>
        <w:rPr>
          <w:rFonts w:ascii="Times New Roman" w:eastAsia="宋体" w:hAnsi="Times New Roman" w:cs="Times New Roman"/>
          <w:color w:val="0D0D0D"/>
          <w:sz w:val="28"/>
          <w:szCs w:val="28"/>
        </w:rPr>
        <w:t>7</w:t>
      </w:r>
      <w:r>
        <w:rPr>
          <w:rFonts w:ascii="Times New Roman" w:eastAsia="宋体" w:hAnsi="Times New Roman" w:cs="Times New Roman"/>
          <w:color w:val="0D0D0D"/>
          <w:sz w:val="28"/>
          <w:szCs w:val="28"/>
        </w:rPr>
        <w:t>；暂存库底部高于地下水最高水位；区域地下水水位较低，厂界离周边最近的环境敏感目标较远，且项目厂址不在周边居民点的常年最大风频的上风向。因此本项目危险废物暂存库的建设，符合《危险废物贮存污染控制标准》及其修改单中选址的相关要求。</w:t>
      </w:r>
    </w:p>
    <w:p w14:paraId="2C2539D6"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(2)</w:t>
      </w:r>
      <w:r>
        <w:rPr>
          <w:rFonts w:ascii="Times New Roman" w:eastAsia="宋体" w:hAnsi="Times New Roman" w:cs="Times New Roman"/>
          <w:color w:val="0D0D0D"/>
          <w:sz w:val="28"/>
          <w:szCs w:val="28"/>
        </w:rPr>
        <w:t>危险废物贮存场所贮存能力分析</w:t>
      </w:r>
    </w:p>
    <w:p w14:paraId="2B28842F"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技改项目新增废包装材料</w:t>
      </w:r>
      <w:r>
        <w:rPr>
          <w:rFonts w:ascii="Times New Roman" w:eastAsia="宋体" w:hAnsi="Times New Roman" w:cs="Times New Roman" w:hint="eastAsia"/>
          <w:sz w:val="28"/>
          <w:szCs w:val="28"/>
        </w:rPr>
        <w:t>0</w:t>
      </w:r>
      <w:r>
        <w:rPr>
          <w:rFonts w:ascii="Times New Roman" w:eastAsia="宋体" w:hAnsi="Times New Roman" w:cs="Times New Roman"/>
          <w:sz w:val="28"/>
          <w:szCs w:val="28"/>
        </w:rPr>
        <w:t>.63 t/a</w:t>
      </w:r>
      <w:r>
        <w:rPr>
          <w:rFonts w:ascii="Times New Roman" w:eastAsia="宋体" w:hAnsi="Times New Roman" w:cs="Times New Roman"/>
          <w:sz w:val="28"/>
          <w:szCs w:val="28"/>
        </w:rPr>
        <w:t>，包装方式为袋装，堆放方式为单层堆放，</w:t>
      </w:r>
      <w:r>
        <w:rPr>
          <w:rFonts w:ascii="Times New Roman" w:eastAsia="宋体" w:hAnsi="Times New Roman" w:cs="Times New Roman"/>
          <w:sz w:val="28"/>
          <w:szCs w:val="28"/>
        </w:rPr>
        <w:t>1m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约贮存</w:t>
      </w:r>
      <w:r>
        <w:rPr>
          <w:rFonts w:ascii="Times New Roman" w:eastAsia="宋体" w:hAnsi="Times New Roman" w:cs="Times New Roman"/>
          <w:sz w:val="28"/>
          <w:szCs w:val="28"/>
        </w:rPr>
        <w:t>1-2t</w:t>
      </w:r>
      <w:r>
        <w:rPr>
          <w:rFonts w:ascii="Times New Roman" w:eastAsia="宋体" w:hAnsi="Times New Roman" w:cs="Times New Roman"/>
          <w:sz w:val="28"/>
          <w:szCs w:val="28"/>
        </w:rPr>
        <w:t>左右的袋装</w:t>
      </w:r>
      <w:r>
        <w:rPr>
          <w:rFonts w:ascii="Times New Roman" w:eastAsia="宋体" w:hAnsi="Times New Roman" w:cs="Times New Roman" w:hint="eastAsia"/>
          <w:sz w:val="28"/>
          <w:szCs w:val="28"/>
        </w:rPr>
        <w:t>废包装材料</w:t>
      </w:r>
      <w:r>
        <w:rPr>
          <w:rFonts w:ascii="Times New Roman" w:eastAsia="宋体" w:hAnsi="Times New Roman" w:cs="Times New Roman"/>
          <w:sz w:val="28"/>
          <w:szCs w:val="28"/>
        </w:rPr>
        <w:t>，本项目按</w:t>
      </w:r>
      <w:r>
        <w:rPr>
          <w:rFonts w:ascii="Times New Roman" w:eastAsia="宋体" w:hAnsi="Times New Roman" w:cs="Times New Roman"/>
          <w:sz w:val="28"/>
          <w:szCs w:val="28"/>
        </w:rPr>
        <w:t>1.5t/m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计，</w:t>
      </w:r>
      <w:r>
        <w:rPr>
          <w:rFonts w:ascii="Times New Roman" w:eastAsia="宋体" w:hAnsi="Times New Roman" w:cs="Times New Roman" w:hint="eastAsia"/>
          <w:sz w:val="28"/>
          <w:szCs w:val="28"/>
        </w:rPr>
        <w:t>需要堆放面积为</w:t>
      </w:r>
      <w:r>
        <w:rPr>
          <w:rFonts w:ascii="Times New Roman" w:eastAsia="宋体" w:hAnsi="Times New Roman" w:cs="Times New Roman"/>
          <w:sz w:val="28"/>
          <w:szCs w:val="28"/>
        </w:rPr>
        <w:t>0.42m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w:t>
      </w:r>
    </w:p>
    <w:p w14:paraId="4C63D6D1" w14:textId="77777777" w:rsidR="002133E3" w:rsidRDefault="00C22CFA">
      <w:pPr>
        <w:tabs>
          <w:tab w:val="left" w:pos="3600"/>
        </w:tabs>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已建项目危废产生量约</w:t>
      </w:r>
      <w:r>
        <w:rPr>
          <w:rFonts w:ascii="Times New Roman" w:eastAsia="宋体" w:hAnsi="Times New Roman" w:cs="Times New Roman"/>
          <w:sz w:val="28"/>
          <w:szCs w:val="28"/>
        </w:rPr>
        <w:t>63.38t/a</w:t>
      </w:r>
      <w:r>
        <w:rPr>
          <w:rFonts w:ascii="Times New Roman" w:eastAsia="宋体" w:hAnsi="Times New Roman" w:cs="Times New Roman"/>
          <w:sz w:val="28"/>
          <w:szCs w:val="28"/>
        </w:rPr>
        <w:t>，</w:t>
      </w:r>
      <w:r>
        <w:rPr>
          <w:rFonts w:ascii="Times New Roman" w:eastAsia="宋体" w:hAnsi="Times New Roman" w:cs="Times New Roman" w:hint="eastAsia"/>
          <w:sz w:val="28"/>
          <w:szCs w:val="28"/>
        </w:rPr>
        <w:t>主要为废电解银、废活性炭及废树脂，</w:t>
      </w:r>
      <w:r>
        <w:rPr>
          <w:rFonts w:ascii="Times New Roman" w:eastAsia="宋体" w:hAnsi="Times New Roman" w:cs="Times New Roman"/>
          <w:sz w:val="28"/>
          <w:szCs w:val="28"/>
        </w:rPr>
        <w:t>包装方式为袋装</w:t>
      </w:r>
      <w:r>
        <w:rPr>
          <w:rFonts w:ascii="Times New Roman" w:eastAsia="宋体" w:hAnsi="Times New Roman" w:cs="Times New Roman" w:hint="eastAsia"/>
          <w:sz w:val="28"/>
          <w:szCs w:val="28"/>
        </w:rPr>
        <w:t>或桶装</w:t>
      </w:r>
      <w:r>
        <w:rPr>
          <w:rFonts w:ascii="Times New Roman" w:eastAsia="宋体" w:hAnsi="Times New Roman" w:cs="Times New Roman"/>
          <w:sz w:val="28"/>
          <w:szCs w:val="28"/>
        </w:rPr>
        <w:t>，堆放方式为单层堆放，</w:t>
      </w:r>
      <w:r>
        <w:rPr>
          <w:rFonts w:ascii="Times New Roman" w:eastAsia="宋体" w:hAnsi="Times New Roman" w:cs="Times New Roman"/>
          <w:sz w:val="28"/>
          <w:szCs w:val="28"/>
        </w:rPr>
        <w:t>1m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约贮存</w:t>
      </w:r>
      <w:r>
        <w:rPr>
          <w:rFonts w:ascii="Times New Roman" w:eastAsia="宋体" w:hAnsi="Times New Roman" w:cs="Times New Roman"/>
          <w:sz w:val="28"/>
          <w:szCs w:val="28"/>
        </w:rPr>
        <w:t>2-3t</w:t>
      </w:r>
      <w:r>
        <w:rPr>
          <w:rFonts w:ascii="Times New Roman" w:eastAsia="宋体" w:hAnsi="Times New Roman" w:cs="Times New Roman"/>
          <w:sz w:val="28"/>
          <w:szCs w:val="28"/>
        </w:rPr>
        <w:t>左右的袋装物质，按</w:t>
      </w:r>
      <w:r>
        <w:rPr>
          <w:rFonts w:ascii="Times New Roman" w:eastAsia="宋体" w:hAnsi="Times New Roman" w:cs="Times New Roman"/>
          <w:sz w:val="28"/>
          <w:szCs w:val="28"/>
        </w:rPr>
        <w:t>2.5t/m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计，</w:t>
      </w:r>
      <w:r>
        <w:rPr>
          <w:rFonts w:ascii="Times New Roman" w:eastAsia="宋体" w:hAnsi="Times New Roman" w:cs="Times New Roman" w:hint="eastAsia"/>
          <w:sz w:val="28"/>
          <w:szCs w:val="28"/>
        </w:rPr>
        <w:t>需要堆放面积为</w:t>
      </w:r>
      <w:r>
        <w:rPr>
          <w:rFonts w:ascii="Times New Roman" w:eastAsia="宋体" w:hAnsi="Times New Roman" w:cs="Times New Roman" w:hint="eastAsia"/>
          <w:sz w:val="28"/>
          <w:szCs w:val="28"/>
        </w:rPr>
        <w:t>2</w:t>
      </w:r>
      <w:r>
        <w:rPr>
          <w:rFonts w:ascii="Times New Roman" w:eastAsia="宋体" w:hAnsi="Times New Roman" w:cs="Times New Roman"/>
          <w:sz w:val="28"/>
          <w:szCs w:val="28"/>
        </w:rPr>
        <w:t>5.35 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w:t>
      </w:r>
    </w:p>
    <w:p w14:paraId="2D34DE4D" w14:textId="77777777" w:rsidR="002133E3" w:rsidRDefault="00C22CFA">
      <w:pPr>
        <w:tabs>
          <w:tab w:val="left" w:pos="3600"/>
        </w:tabs>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sz w:val="28"/>
          <w:szCs w:val="28"/>
        </w:rPr>
        <w:t>厂区</w:t>
      </w:r>
      <w:r>
        <w:rPr>
          <w:rFonts w:ascii="Times New Roman" w:eastAsia="宋体" w:hAnsi="Times New Roman" w:cs="Times New Roman" w:hint="eastAsia"/>
          <w:sz w:val="28"/>
          <w:szCs w:val="28"/>
        </w:rPr>
        <w:t>已建</w:t>
      </w:r>
      <w:r>
        <w:rPr>
          <w:rFonts w:ascii="Times New Roman" w:eastAsia="宋体" w:hAnsi="Times New Roman" w:cs="Times New Roman"/>
          <w:sz w:val="28"/>
          <w:szCs w:val="28"/>
        </w:rPr>
        <w:t>约</w:t>
      </w:r>
      <w:r>
        <w:rPr>
          <w:rFonts w:ascii="Times New Roman" w:eastAsia="宋体" w:hAnsi="Times New Roman" w:cs="Times New Roman"/>
          <w:sz w:val="28"/>
          <w:szCs w:val="28"/>
        </w:rPr>
        <w:t>43.95m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危废仓库，用于暂存厂区内危险废物。实际可堆放区域面积约占危废库总面积的</w:t>
      </w:r>
      <w:r>
        <w:rPr>
          <w:rFonts w:ascii="Times New Roman" w:eastAsia="宋体" w:hAnsi="Times New Roman" w:cs="Times New Roman"/>
          <w:sz w:val="28"/>
          <w:szCs w:val="28"/>
        </w:rPr>
        <w:t>60%</w:t>
      </w:r>
      <w:r>
        <w:rPr>
          <w:rFonts w:ascii="Times New Roman" w:eastAsia="宋体" w:hAnsi="Times New Roman" w:cs="Times New Roman"/>
          <w:sz w:val="28"/>
          <w:szCs w:val="28"/>
        </w:rPr>
        <w:t>，</w:t>
      </w:r>
      <w:r>
        <w:rPr>
          <w:rFonts w:ascii="Times New Roman" w:eastAsia="宋体" w:hAnsi="Times New Roman" w:cs="Times New Roman" w:hint="eastAsia"/>
          <w:sz w:val="28"/>
          <w:szCs w:val="28"/>
        </w:rPr>
        <w:t>即</w:t>
      </w:r>
      <w:r>
        <w:rPr>
          <w:rFonts w:ascii="Times New Roman" w:eastAsia="宋体" w:hAnsi="Times New Roman" w:cs="Times New Roman" w:hint="eastAsia"/>
          <w:sz w:val="28"/>
          <w:szCs w:val="28"/>
        </w:rPr>
        <w:t>2</w:t>
      </w:r>
      <w:r>
        <w:rPr>
          <w:rFonts w:ascii="Times New Roman" w:eastAsia="宋体" w:hAnsi="Times New Roman" w:cs="Times New Roman"/>
          <w:sz w:val="28"/>
          <w:szCs w:val="28"/>
        </w:rPr>
        <w:t>6.37m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，本项目建成后危废堆存所需面积约</w:t>
      </w:r>
      <w:r>
        <w:rPr>
          <w:rFonts w:ascii="Times New Roman" w:eastAsia="宋体" w:hAnsi="Times New Roman" w:cs="Times New Roman" w:hint="eastAsia"/>
          <w:sz w:val="28"/>
          <w:szCs w:val="28"/>
        </w:rPr>
        <w:t>2</w:t>
      </w:r>
      <w:r>
        <w:rPr>
          <w:rFonts w:ascii="Times New Roman" w:eastAsia="宋体" w:hAnsi="Times New Roman" w:cs="Times New Roman"/>
          <w:sz w:val="28"/>
          <w:szCs w:val="28"/>
        </w:rPr>
        <w:t>5.77 m</w:t>
      </w:r>
      <w:r>
        <w:rPr>
          <w:rFonts w:ascii="Times New Roman" w:eastAsia="宋体" w:hAnsi="Times New Roman" w:cs="Times New Roman"/>
          <w:sz w:val="28"/>
          <w:szCs w:val="28"/>
          <w:vertAlign w:val="superscript"/>
        </w:rPr>
        <w:t>2</w:t>
      </w:r>
      <w:r>
        <w:rPr>
          <w:rFonts w:ascii="Times New Roman" w:eastAsia="宋体" w:hAnsi="Times New Roman" w:cs="Times New Roman" w:hint="eastAsia"/>
          <w:sz w:val="28"/>
          <w:szCs w:val="28"/>
        </w:rPr>
        <w:t>，现有危废仓库可满足最长</w:t>
      </w:r>
      <w:r>
        <w:rPr>
          <w:rFonts w:ascii="Times New Roman" w:eastAsia="宋体" w:hAnsi="Times New Roman" w:cs="Times New Roman" w:hint="eastAsia"/>
          <w:sz w:val="28"/>
          <w:szCs w:val="28"/>
        </w:rPr>
        <w:t>1</w:t>
      </w:r>
      <w:r>
        <w:rPr>
          <w:rFonts w:ascii="Times New Roman" w:eastAsia="宋体" w:hAnsi="Times New Roman" w:cs="Times New Roman" w:hint="eastAsia"/>
          <w:sz w:val="28"/>
          <w:szCs w:val="28"/>
        </w:rPr>
        <w:t>年的堆存需求。</w:t>
      </w:r>
    </w:p>
    <w:p w14:paraId="604109A9"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(3)</w:t>
      </w:r>
      <w:r>
        <w:rPr>
          <w:rFonts w:ascii="Times New Roman" w:eastAsia="宋体" w:hAnsi="Times New Roman" w:cs="Times New Roman"/>
          <w:color w:val="0D0D0D"/>
          <w:sz w:val="28"/>
          <w:szCs w:val="28"/>
        </w:rPr>
        <w:t>贮存设施产生的环境影响</w:t>
      </w:r>
    </w:p>
    <w:p w14:paraId="3A1C827E"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hint="eastAsia"/>
          <w:sz w:val="28"/>
          <w:szCs w:val="28"/>
        </w:rPr>
        <w:t>技改项目新增为废固体包装材料，极少挥发及泄漏。</w:t>
      </w:r>
      <w:r>
        <w:rPr>
          <w:rFonts w:ascii="Times New Roman" w:eastAsia="宋体" w:hAnsi="Times New Roman" w:cs="Times New Roman"/>
          <w:color w:val="0D0D0D"/>
          <w:sz w:val="28"/>
          <w:szCs w:val="28"/>
        </w:rPr>
        <w:t>公司危险废物贮存堆</w:t>
      </w:r>
      <w:r>
        <w:rPr>
          <w:rFonts w:ascii="Times New Roman" w:eastAsia="宋体" w:hAnsi="Times New Roman" w:cs="Times New Roman"/>
          <w:color w:val="0D0D0D"/>
          <w:sz w:val="28"/>
          <w:szCs w:val="28"/>
        </w:rPr>
        <w:lastRenderedPageBreak/>
        <w:t>场严格按照《危险废物贮存污染控制标准》（</w:t>
      </w:r>
      <w:r>
        <w:rPr>
          <w:rFonts w:ascii="Times New Roman" w:eastAsia="宋体" w:hAnsi="Times New Roman" w:cs="Times New Roman"/>
          <w:color w:val="0D0D0D"/>
          <w:sz w:val="28"/>
          <w:szCs w:val="28"/>
        </w:rPr>
        <w:t>GB18597-2001</w:t>
      </w:r>
      <w:r>
        <w:rPr>
          <w:rFonts w:ascii="Times New Roman" w:eastAsia="宋体" w:hAnsi="Times New Roman" w:cs="Times New Roman"/>
          <w:color w:val="0D0D0D"/>
          <w:sz w:val="28"/>
          <w:szCs w:val="28"/>
        </w:rPr>
        <w:t>）要求设置，危废暂存库设有通风系统</w:t>
      </w:r>
      <w:r>
        <w:rPr>
          <w:rFonts w:ascii="Times New Roman" w:eastAsia="宋体" w:hAnsi="Times New Roman" w:cs="Times New Roman" w:hint="eastAsia"/>
          <w:color w:val="0D0D0D"/>
          <w:sz w:val="28"/>
          <w:szCs w:val="28"/>
        </w:rPr>
        <w:t>，</w:t>
      </w:r>
      <w:r>
        <w:rPr>
          <w:rFonts w:ascii="Times New Roman" w:eastAsia="宋体" w:hAnsi="Times New Roman" w:cs="Times New Roman"/>
          <w:color w:val="0D0D0D"/>
          <w:sz w:val="28"/>
          <w:szCs w:val="28"/>
        </w:rPr>
        <w:t>设置防腐防渗、渗滤液收集等措施，定期转运处置等。</w:t>
      </w:r>
    </w:p>
    <w:p w14:paraId="72C6FD67"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采取上述措施后，危险废物贮存时对大气、水、土壤的影响很小。</w:t>
      </w:r>
    </w:p>
    <w:p w14:paraId="56F44C4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运输过程的环境影响分析</w:t>
      </w:r>
    </w:p>
    <w:p w14:paraId="751E52EB"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危险废物从厂区内产生工艺环节运输到贮存场所或处置设施可能产生散落、泄漏，可能对环境空气产生一定的影响，可能污染土壤和地下水。</w:t>
      </w:r>
    </w:p>
    <w:p w14:paraId="2760047F"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本项目危险废物产生环节主要位于生产辅助用房和厂区污水站化验室内。产生点距离暂存库较近，且运输量很小，厂内运输过程泄漏风险较小。</w:t>
      </w:r>
    </w:p>
    <w:p w14:paraId="2999512F"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危险废物厂外运输过程中，采用专门的收集容器及运输车辆，运输的行程路线避开交通要道、敏感点，运输时间应错开上下班，固定行程路线，以减少交通事故风险值。在公路上行驶时应持有运输许可证，由经过培训并持证上岗的专业收运人员押运。在途经桥梁时，应该注意交通情况，减速慢行。禁止在夜间及恶劣天气条件下进行废物运输。运输过程中出现泄露时，及时收集。采取上述措施后，危险废物运输过程中对大气、水、土壤的影响很小。</w:t>
      </w:r>
    </w:p>
    <w:p w14:paraId="79CC31C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委托处置的环境影响分析</w:t>
      </w:r>
    </w:p>
    <w:p w14:paraId="299E272A"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无水乙醇制备产生的废分子筛外售综合利用</w:t>
      </w:r>
      <w:r>
        <w:rPr>
          <w:rFonts w:ascii="Times New Roman" w:eastAsia="宋体" w:hAnsi="Times New Roman" w:cs="Times New Roman" w:hint="eastAsia"/>
          <w:kern w:val="0"/>
          <w:sz w:val="28"/>
          <w:szCs w:val="28"/>
        </w:rPr>
        <w:t>；废包装材料</w:t>
      </w:r>
      <w:r>
        <w:rPr>
          <w:rFonts w:ascii="Times New Roman" w:eastAsia="宋体" w:hAnsi="Times New Roman" w:cs="Times New Roman"/>
          <w:color w:val="0D0D0D"/>
          <w:sz w:val="28"/>
          <w:szCs w:val="28"/>
        </w:rPr>
        <w:t xml:space="preserve">HW49(900-041-49) </w:t>
      </w:r>
      <w:r>
        <w:rPr>
          <w:rFonts w:ascii="Times New Roman" w:eastAsia="宋体" w:hAnsi="Times New Roman" w:cs="Times New Roman"/>
          <w:color w:val="0D0D0D"/>
          <w:sz w:val="28"/>
          <w:szCs w:val="28"/>
        </w:rPr>
        <w:t>委托有资质单位进行处置，不外排，</w:t>
      </w:r>
      <w:r>
        <w:rPr>
          <w:rFonts w:ascii="Times New Roman" w:eastAsia="宋体" w:hAnsi="Times New Roman" w:cs="Times New Roman"/>
          <w:kern w:val="0"/>
          <w:sz w:val="28"/>
          <w:szCs w:val="28"/>
        </w:rPr>
        <w:t>对周围环境影响较小。</w:t>
      </w:r>
    </w:p>
    <w:p w14:paraId="33512C95"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61" w:name="_Toc57993018"/>
      <w:bookmarkStart w:id="62" w:name="_Toc519497248"/>
      <w:bookmarkStart w:id="63" w:name="_Toc409595301"/>
      <w:bookmarkStart w:id="64" w:name="_Toc362938480"/>
      <w:r>
        <w:rPr>
          <w:rFonts w:ascii="Times New Roman" w:eastAsia="宋体" w:hAnsi="Times New Roman" w:cs="Times New Roman"/>
          <w:b/>
          <w:sz w:val="30"/>
          <w:szCs w:val="30"/>
        </w:rPr>
        <w:t>地下水环境预测及评价</w:t>
      </w:r>
      <w:bookmarkEnd w:id="61"/>
      <w:bookmarkEnd w:id="62"/>
    </w:p>
    <w:p w14:paraId="4C281E0E"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本项目运行期对地下水环境可能造成的影响主要是有污染物质渗漏进入地下水造成的影响。</w:t>
      </w:r>
      <w:r>
        <w:rPr>
          <w:rFonts w:ascii="Times New Roman" w:eastAsia="宋体" w:hAnsi="Times New Roman" w:cs="Times New Roman"/>
          <w:color w:val="0D0D0D"/>
          <w:sz w:val="28"/>
        </w:rPr>
        <w:t>潜水含水层较承压含水层易于污染，是建设项目需要考虑的最敏感含水层，因此作为本次影响预测的目的层。</w:t>
      </w:r>
    </w:p>
    <w:p w14:paraId="3A15D554"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本项目所在地为地下水不敏感地区，本项目属于</w:t>
      </w:r>
      <w:r>
        <w:rPr>
          <w:rFonts w:ascii="宋体" w:eastAsia="宋体" w:hAnsi="宋体" w:cs="宋体" w:hint="eastAsia"/>
          <w:color w:val="0D0D0D"/>
          <w:sz w:val="28"/>
          <w:szCs w:val="28"/>
        </w:rPr>
        <w:t>Ⅱ</w:t>
      </w:r>
      <w:r>
        <w:rPr>
          <w:rFonts w:ascii="Times New Roman" w:eastAsia="宋体" w:hAnsi="Times New Roman" w:cs="Times New Roman"/>
          <w:color w:val="0D0D0D"/>
          <w:sz w:val="28"/>
          <w:szCs w:val="28"/>
        </w:rPr>
        <w:t>类项目，评价等级为二级，根据《环境影响评价技术导则</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地下水环境》（</w:t>
      </w:r>
      <w:r>
        <w:rPr>
          <w:rFonts w:ascii="Times New Roman" w:eastAsia="宋体" w:hAnsi="Times New Roman" w:cs="Times New Roman"/>
          <w:color w:val="0D0D0D"/>
          <w:sz w:val="28"/>
          <w:szCs w:val="28"/>
        </w:rPr>
        <w:t>HJ610-2016</w:t>
      </w:r>
      <w:r>
        <w:rPr>
          <w:rFonts w:ascii="Times New Roman" w:eastAsia="宋体" w:hAnsi="Times New Roman" w:cs="Times New Roman"/>
          <w:color w:val="0D0D0D"/>
          <w:sz w:val="28"/>
          <w:szCs w:val="28"/>
        </w:rPr>
        <w:t>）的要求，本项目废水的排放对地下水流场没有明显的影响，评价区内含水层的基本参数（如渗透系数、有效孔隙度等）不变或变化很小，故采取解析法进行地下水环境预测与评价。</w:t>
      </w:r>
    </w:p>
    <w:p w14:paraId="72A5D3F9"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⑴</w:t>
      </w:r>
      <w:r>
        <w:rPr>
          <w:rFonts w:ascii="Times New Roman" w:eastAsia="宋体" w:hAnsi="Times New Roman" w:cs="Times New Roman"/>
          <w:color w:val="0D0D0D"/>
          <w:sz w:val="28"/>
          <w:szCs w:val="28"/>
        </w:rPr>
        <w:t xml:space="preserve"> </w:t>
      </w:r>
      <w:r>
        <w:rPr>
          <w:rFonts w:ascii="Times New Roman" w:eastAsia="宋体" w:hAnsi="Times New Roman" w:cs="Times New Roman"/>
          <w:color w:val="0D0D0D"/>
          <w:sz w:val="28"/>
          <w:szCs w:val="28"/>
        </w:rPr>
        <w:t>预测范围</w:t>
      </w:r>
    </w:p>
    <w:p w14:paraId="5EC1FD34"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地下水预测范围与地下水评价范围一致。预测层位为潜水含水层。</w:t>
      </w:r>
    </w:p>
    <w:p w14:paraId="531B9692" w14:textId="77777777" w:rsidR="002133E3" w:rsidRDefault="00C22CFA">
      <w:pPr>
        <w:spacing w:line="500" w:lineRule="exact"/>
        <w:ind w:firstLineChars="200" w:firstLine="560"/>
        <w:rPr>
          <w:rFonts w:ascii="Times New Roman" w:eastAsia="宋体" w:hAnsi="Times New Roman" w:cs="Times New Roman"/>
          <w:color w:val="000000"/>
          <w:sz w:val="28"/>
        </w:rPr>
      </w:pPr>
      <w:r>
        <w:rPr>
          <w:rFonts w:ascii="宋体" w:eastAsia="宋体" w:hAnsi="宋体" w:cs="宋体" w:hint="eastAsia"/>
          <w:color w:val="000000"/>
          <w:sz w:val="28"/>
        </w:rPr>
        <w:lastRenderedPageBreak/>
        <w:t>⑵</w:t>
      </w:r>
      <w:r>
        <w:rPr>
          <w:rFonts w:ascii="Times New Roman" w:eastAsia="宋体" w:hAnsi="Times New Roman" w:cs="Times New Roman"/>
          <w:color w:val="000000"/>
          <w:sz w:val="28"/>
        </w:rPr>
        <w:t xml:space="preserve"> </w:t>
      </w:r>
      <w:r>
        <w:rPr>
          <w:rFonts w:ascii="Times New Roman" w:eastAsia="宋体" w:hAnsi="Times New Roman" w:cs="Times New Roman"/>
          <w:color w:val="000000"/>
          <w:sz w:val="28"/>
        </w:rPr>
        <w:t>预测时段</w:t>
      </w:r>
    </w:p>
    <w:p w14:paraId="646C4158" w14:textId="77777777" w:rsidR="002133E3" w:rsidRDefault="00C22CFA">
      <w:pPr>
        <w:spacing w:line="500" w:lineRule="exact"/>
        <w:ind w:firstLineChars="200" w:firstLine="560"/>
        <w:rPr>
          <w:rFonts w:ascii="Times New Roman" w:eastAsia="宋体" w:hAnsi="Times New Roman" w:cs="Times New Roman"/>
          <w:color w:val="000000"/>
          <w:sz w:val="28"/>
        </w:rPr>
      </w:pPr>
      <w:r>
        <w:rPr>
          <w:rFonts w:ascii="Times New Roman" w:eastAsia="宋体" w:hAnsi="Times New Roman" w:cs="Times New Roman"/>
          <w:color w:val="000000"/>
          <w:sz w:val="28"/>
        </w:rPr>
        <w:t>预测时段考虑污染发生后</w:t>
      </w:r>
      <w:r>
        <w:rPr>
          <w:rFonts w:ascii="Times New Roman" w:eastAsia="宋体" w:hAnsi="Times New Roman" w:cs="Times New Roman"/>
          <w:color w:val="000000"/>
          <w:sz w:val="28"/>
        </w:rPr>
        <w:t>100d</w:t>
      </w:r>
      <w:r>
        <w:rPr>
          <w:rFonts w:ascii="Times New Roman" w:eastAsia="宋体" w:hAnsi="Times New Roman" w:cs="Times New Roman"/>
          <w:color w:val="000000"/>
          <w:sz w:val="28"/>
        </w:rPr>
        <w:t>、</w:t>
      </w:r>
      <w:r>
        <w:rPr>
          <w:rFonts w:ascii="Times New Roman" w:eastAsia="宋体" w:hAnsi="Times New Roman" w:cs="Times New Roman"/>
          <w:color w:val="000000"/>
          <w:sz w:val="28"/>
        </w:rPr>
        <w:t>1000d</w:t>
      </w:r>
      <w:r>
        <w:rPr>
          <w:rFonts w:ascii="Times New Roman" w:eastAsia="宋体" w:hAnsi="Times New Roman" w:cs="Times New Roman"/>
          <w:color w:val="000000"/>
          <w:sz w:val="28"/>
        </w:rPr>
        <w:t>、</w:t>
      </w:r>
      <w:r>
        <w:rPr>
          <w:rFonts w:ascii="Times New Roman" w:eastAsia="宋体" w:hAnsi="Times New Roman" w:cs="Times New Roman"/>
          <w:color w:val="000000"/>
          <w:sz w:val="28"/>
        </w:rPr>
        <w:t>3650d</w:t>
      </w:r>
      <w:r>
        <w:rPr>
          <w:rFonts w:ascii="Times New Roman" w:eastAsia="宋体" w:hAnsi="Times New Roman" w:cs="Times New Roman"/>
          <w:color w:val="000000"/>
          <w:sz w:val="28"/>
        </w:rPr>
        <w:t>。</w:t>
      </w:r>
    </w:p>
    <w:p w14:paraId="2813B2CC" w14:textId="77777777" w:rsidR="002133E3" w:rsidRDefault="00C22CFA">
      <w:pPr>
        <w:spacing w:line="500" w:lineRule="exact"/>
        <w:ind w:firstLineChars="200" w:firstLine="560"/>
        <w:rPr>
          <w:rFonts w:ascii="Times New Roman" w:eastAsia="宋体" w:hAnsi="Times New Roman" w:cs="Times New Roman"/>
          <w:color w:val="000000"/>
          <w:sz w:val="28"/>
        </w:rPr>
      </w:pPr>
      <w:r>
        <w:rPr>
          <w:rFonts w:ascii="宋体" w:eastAsia="宋体" w:hAnsi="宋体" w:cs="宋体" w:hint="eastAsia"/>
          <w:color w:val="000000"/>
          <w:sz w:val="28"/>
        </w:rPr>
        <w:t>⑶</w:t>
      </w:r>
      <w:r>
        <w:rPr>
          <w:rFonts w:ascii="Times New Roman" w:eastAsia="宋体" w:hAnsi="Times New Roman" w:cs="Times New Roman"/>
          <w:color w:val="000000"/>
          <w:sz w:val="28"/>
        </w:rPr>
        <w:t xml:space="preserve"> </w:t>
      </w:r>
      <w:r>
        <w:rPr>
          <w:rFonts w:ascii="Times New Roman" w:eastAsia="宋体" w:hAnsi="Times New Roman" w:cs="Times New Roman"/>
          <w:color w:val="000000"/>
          <w:sz w:val="28"/>
        </w:rPr>
        <w:t>预测情景</w:t>
      </w:r>
    </w:p>
    <w:p w14:paraId="16BF102F" w14:textId="77777777" w:rsidR="002133E3" w:rsidRDefault="00C22CFA">
      <w:pPr>
        <w:spacing w:line="500" w:lineRule="exact"/>
        <w:ind w:firstLineChars="200" w:firstLine="560"/>
        <w:rPr>
          <w:rFonts w:ascii="Times New Roman" w:eastAsia="宋体" w:hAnsi="Times New Roman" w:cs="Times New Roman"/>
          <w:color w:val="000000"/>
          <w:sz w:val="28"/>
        </w:rPr>
      </w:pPr>
      <w:r>
        <w:rPr>
          <w:rFonts w:ascii="Times New Roman" w:eastAsia="宋体" w:hAnsi="Times New Roman" w:cs="Times New Roman"/>
          <w:color w:val="000000"/>
          <w:sz w:val="28"/>
        </w:rPr>
        <w:t>正常工况下，各废水处理单元均设有防腐防渗措施，污水管道运输正常的情况下，对地下水无渗漏，基本无污染，根据《环境影响评价技术导则</w:t>
      </w:r>
      <w:r>
        <w:rPr>
          <w:rFonts w:ascii="Times New Roman" w:eastAsia="宋体" w:hAnsi="Times New Roman" w:cs="Times New Roman"/>
          <w:color w:val="000000"/>
          <w:sz w:val="28"/>
        </w:rPr>
        <w:t>-</w:t>
      </w:r>
      <w:r>
        <w:rPr>
          <w:rFonts w:ascii="Times New Roman" w:eastAsia="宋体" w:hAnsi="Times New Roman" w:cs="Times New Roman"/>
          <w:color w:val="000000"/>
          <w:sz w:val="28"/>
        </w:rPr>
        <w:t>地下水环境》（</w:t>
      </w:r>
      <w:r>
        <w:rPr>
          <w:rFonts w:ascii="Times New Roman" w:eastAsia="宋体" w:hAnsi="Times New Roman" w:cs="Times New Roman"/>
          <w:color w:val="000000"/>
          <w:sz w:val="28"/>
        </w:rPr>
        <w:t>HJ610- 2016</w:t>
      </w:r>
      <w:r>
        <w:rPr>
          <w:rFonts w:ascii="Times New Roman" w:eastAsia="宋体" w:hAnsi="Times New Roman" w:cs="Times New Roman"/>
          <w:color w:val="000000"/>
          <w:sz w:val="28"/>
        </w:rPr>
        <w:t>）的要求，不做预测分析。</w:t>
      </w:r>
    </w:p>
    <w:p w14:paraId="3ADC86E8" w14:textId="77777777" w:rsidR="002133E3" w:rsidRDefault="00C22CFA">
      <w:pPr>
        <w:spacing w:line="500" w:lineRule="exact"/>
        <w:ind w:firstLineChars="200" w:firstLine="560"/>
        <w:rPr>
          <w:rFonts w:ascii="Times New Roman" w:eastAsia="宋体" w:hAnsi="Times New Roman" w:cs="Times New Roman"/>
          <w:color w:val="000000"/>
          <w:sz w:val="28"/>
        </w:rPr>
      </w:pPr>
      <w:r>
        <w:rPr>
          <w:rFonts w:ascii="Times New Roman" w:eastAsia="宋体" w:hAnsi="Times New Roman" w:cs="Times New Roman"/>
          <w:color w:val="000000"/>
          <w:sz w:val="28"/>
        </w:rPr>
        <w:t>非正常工况下，废水处理单元发生防渗层破损、池体破裂现象，污水将对地下水造成点源污染，污染物可能下渗至潜水层中，从而污染地下水。本项目考虑废水调节池防渗层、池体破裂，导致废水下渗，污染地下水。</w:t>
      </w:r>
    </w:p>
    <w:p w14:paraId="39305616" w14:textId="77777777" w:rsidR="002133E3" w:rsidRDefault="00C22CFA">
      <w:pPr>
        <w:spacing w:line="500" w:lineRule="exact"/>
        <w:ind w:firstLineChars="200" w:firstLine="560"/>
        <w:rPr>
          <w:rFonts w:ascii="Times New Roman" w:eastAsia="宋体" w:hAnsi="Times New Roman" w:cs="Times New Roman"/>
          <w:color w:val="000000"/>
          <w:sz w:val="28"/>
        </w:rPr>
      </w:pPr>
      <w:r>
        <w:rPr>
          <w:rFonts w:ascii="宋体" w:eastAsia="宋体" w:hAnsi="宋体" w:cs="宋体" w:hint="eastAsia"/>
          <w:color w:val="000000"/>
          <w:sz w:val="28"/>
        </w:rPr>
        <w:t>⑷</w:t>
      </w:r>
      <w:r>
        <w:rPr>
          <w:rFonts w:ascii="Times New Roman" w:eastAsia="宋体" w:hAnsi="Times New Roman" w:cs="Times New Roman"/>
          <w:color w:val="000000"/>
          <w:sz w:val="28"/>
        </w:rPr>
        <w:t xml:space="preserve"> </w:t>
      </w:r>
      <w:r>
        <w:rPr>
          <w:rFonts w:ascii="Times New Roman" w:eastAsia="宋体" w:hAnsi="Times New Roman" w:cs="Times New Roman"/>
          <w:color w:val="000000"/>
          <w:sz w:val="28"/>
        </w:rPr>
        <w:t>预测因子及源强</w:t>
      </w:r>
    </w:p>
    <w:p w14:paraId="0E6361BD" w14:textId="77777777" w:rsidR="002133E3" w:rsidRDefault="00C22CFA">
      <w:pPr>
        <w:spacing w:line="500" w:lineRule="exact"/>
        <w:ind w:firstLineChars="200" w:firstLine="560"/>
        <w:rPr>
          <w:rFonts w:ascii="Times New Roman" w:eastAsia="宋体" w:hAnsi="Times New Roman" w:cs="Times New Roman"/>
          <w:color w:val="0D0D0D"/>
          <w:sz w:val="28"/>
          <w:highlight w:val="yellow"/>
        </w:rPr>
      </w:pPr>
      <w:r>
        <w:rPr>
          <w:rFonts w:ascii="Times New Roman" w:eastAsia="宋体" w:hAnsi="Times New Roman" w:cs="Times New Roman"/>
          <w:color w:val="0D0D0D"/>
          <w:sz w:val="28"/>
          <w:szCs w:val="28"/>
        </w:rPr>
        <w:t>根据等标污染负荷，综合考虑特征污染因子，本次预测因子选</w:t>
      </w:r>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rPr>
        <w:t>。预测分析时一般选取污染源初始浓度最大值进行分析，所选预测因子的最大浓度为：</w:t>
      </w:r>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Cr</w:t>
      </w:r>
      <w:r>
        <w:rPr>
          <w:rFonts w:ascii="Times New Roman" w:eastAsia="宋体" w:hAnsi="Times New Roman" w:cs="Times New Roman"/>
          <w:color w:val="0D0D0D"/>
          <w:sz w:val="28"/>
          <w:szCs w:val="28"/>
        </w:rPr>
        <w:t>60233mg/L</w:t>
      </w:r>
      <w:r>
        <w:rPr>
          <w:rFonts w:ascii="Times New Roman" w:eastAsia="宋体" w:hAnsi="Times New Roman" w:cs="Times New Roman"/>
          <w:color w:val="0D0D0D"/>
          <w:sz w:val="28"/>
          <w:szCs w:val="28"/>
        </w:rPr>
        <w:t>。由于地下水质量标准中无</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Cr</w:t>
      </w:r>
      <w:proofErr w:type="spellEnd"/>
      <w:r>
        <w:rPr>
          <w:rFonts w:ascii="Times New Roman" w:eastAsia="宋体" w:hAnsi="Times New Roman" w:cs="Times New Roman"/>
          <w:color w:val="0D0D0D"/>
          <w:sz w:val="28"/>
          <w:szCs w:val="28"/>
        </w:rPr>
        <w:t>指标，将</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Cr</w:t>
      </w:r>
      <w:proofErr w:type="spellEnd"/>
      <w:r>
        <w:rPr>
          <w:rFonts w:ascii="Times New Roman" w:eastAsia="宋体" w:hAnsi="Times New Roman" w:cs="Times New Roman"/>
          <w:color w:val="0D0D0D"/>
          <w:sz w:val="28"/>
          <w:szCs w:val="28"/>
        </w:rPr>
        <w:t>换算成</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Mn</w:t>
      </w:r>
      <w:proofErr w:type="spellEnd"/>
      <w:r>
        <w:rPr>
          <w:rFonts w:ascii="Times New Roman" w:eastAsia="宋体" w:hAnsi="Times New Roman" w:cs="Times New Roman"/>
          <w:color w:val="0D0D0D"/>
          <w:sz w:val="28"/>
          <w:szCs w:val="28"/>
        </w:rPr>
        <w:t>进行预测。</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Mn</w:t>
      </w:r>
      <w:proofErr w:type="spellEnd"/>
      <w:r>
        <w:rPr>
          <w:rFonts w:ascii="Times New Roman" w:eastAsia="宋体" w:hAnsi="Times New Roman" w:cs="Times New Roman"/>
          <w:color w:val="0D0D0D"/>
          <w:sz w:val="28"/>
          <w:szCs w:val="28"/>
        </w:rPr>
        <w:t>一般来说是</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Cr</w:t>
      </w:r>
      <w:proofErr w:type="spellEnd"/>
      <w:r>
        <w:rPr>
          <w:rFonts w:ascii="Times New Roman" w:eastAsia="宋体" w:hAnsi="Times New Roman" w:cs="Times New Roman"/>
          <w:color w:val="0D0D0D"/>
          <w:sz w:val="28"/>
          <w:szCs w:val="28"/>
        </w:rPr>
        <w:t>的</w:t>
      </w:r>
      <w:r>
        <w:rPr>
          <w:rFonts w:ascii="Times New Roman" w:eastAsia="宋体" w:hAnsi="Times New Roman" w:cs="Times New Roman"/>
          <w:color w:val="0D0D0D"/>
          <w:sz w:val="28"/>
          <w:szCs w:val="28"/>
        </w:rPr>
        <w:t>40%~50%</w:t>
      </w:r>
      <w:r>
        <w:rPr>
          <w:rFonts w:ascii="Times New Roman" w:eastAsia="宋体" w:hAnsi="Times New Roman" w:cs="Times New Roman"/>
          <w:color w:val="0D0D0D"/>
          <w:sz w:val="28"/>
          <w:szCs w:val="28"/>
        </w:rPr>
        <w:t>，换算后耗氧量浓度为</w:t>
      </w:r>
      <w:r>
        <w:rPr>
          <w:rFonts w:ascii="Times New Roman" w:eastAsia="宋体" w:hAnsi="Times New Roman" w:cs="Times New Roman"/>
          <w:color w:val="0D0D0D"/>
          <w:sz w:val="28"/>
          <w:szCs w:val="28"/>
        </w:rPr>
        <w:t>30116.5mg/L</w:t>
      </w:r>
      <w:r>
        <w:rPr>
          <w:rFonts w:ascii="Times New Roman" w:eastAsia="宋体" w:hAnsi="Times New Roman" w:cs="Times New Roman"/>
          <w:color w:val="0D0D0D"/>
          <w:sz w:val="28"/>
          <w:szCs w:val="28"/>
        </w:rPr>
        <w:t>。</w:t>
      </w:r>
    </w:p>
    <w:p w14:paraId="15A937AD"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非正常工况下，主要的考虑因素是沉砂池的渗漏对地下水造成的影响。综合上述，</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Mn</w:t>
      </w:r>
      <w:proofErr w:type="spellEnd"/>
      <w:r>
        <w:rPr>
          <w:rFonts w:ascii="Times New Roman" w:eastAsia="宋体" w:hAnsi="Times New Roman" w:cs="Times New Roman"/>
          <w:color w:val="0D0D0D"/>
          <w:sz w:val="28"/>
        </w:rPr>
        <w:t>的源强取</w:t>
      </w:r>
      <w:r>
        <w:rPr>
          <w:rFonts w:ascii="Times New Roman" w:eastAsia="宋体" w:hAnsi="Times New Roman" w:cs="Times New Roman"/>
          <w:color w:val="0D0D0D"/>
          <w:sz w:val="28"/>
          <w:szCs w:val="28"/>
        </w:rPr>
        <w:t>30116.5</w:t>
      </w:r>
      <w:r>
        <w:rPr>
          <w:rFonts w:ascii="Times New Roman" w:eastAsia="宋体" w:hAnsi="Times New Roman" w:cs="Times New Roman"/>
          <w:color w:val="0D0D0D"/>
          <w:sz w:val="28"/>
        </w:rPr>
        <w:t>mg/L</w:t>
      </w:r>
      <w:r>
        <w:rPr>
          <w:rFonts w:ascii="Times New Roman" w:eastAsia="宋体" w:hAnsi="Times New Roman" w:cs="Times New Roman"/>
          <w:color w:val="0D0D0D"/>
          <w:sz w:val="28"/>
        </w:rPr>
        <w:t>。</w:t>
      </w:r>
    </w:p>
    <w:p w14:paraId="17C99B2D"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宋体" w:eastAsia="宋体" w:hAnsi="宋体" w:cs="宋体" w:hint="eastAsia"/>
          <w:color w:val="000000"/>
          <w:sz w:val="28"/>
        </w:rPr>
        <w:t>⑸</w:t>
      </w:r>
      <w:r>
        <w:rPr>
          <w:rFonts w:ascii="Times New Roman" w:eastAsia="宋体" w:hAnsi="Times New Roman" w:cs="Times New Roman"/>
          <w:color w:val="0D0D0D"/>
          <w:sz w:val="28"/>
        </w:rPr>
        <w:t>预测模型</w:t>
      </w:r>
    </w:p>
    <w:p w14:paraId="2C52D116"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本次地下水污染预测采用数学模型中的解析法，通过解析法进行地下水环境影响预测。</w:t>
      </w:r>
    </w:p>
    <w:p w14:paraId="002BF444"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非正常工况下，主要的考虑因素是废水调节池的渗漏对地下水可能造成的影响，渗漏发生后可能一直不可被发现。因此将污染源视为连续稳定释放的点源，通过对污染物源强的分析，筛选出具有代表性的污染因子进行正向推算。分别计算</w:t>
      </w:r>
      <w:r>
        <w:rPr>
          <w:rFonts w:ascii="Times New Roman" w:eastAsia="宋体" w:hAnsi="Times New Roman" w:cs="Times New Roman"/>
          <w:color w:val="0D0D0D"/>
          <w:sz w:val="28"/>
        </w:rPr>
        <w:t>100</w:t>
      </w:r>
      <w:r>
        <w:rPr>
          <w:rFonts w:ascii="Times New Roman" w:eastAsia="宋体" w:hAnsi="Times New Roman" w:cs="Times New Roman"/>
          <w:color w:val="0D0D0D"/>
          <w:sz w:val="28"/>
        </w:rPr>
        <w:t>天，</w:t>
      </w:r>
      <w:r>
        <w:rPr>
          <w:rFonts w:ascii="Times New Roman" w:eastAsia="宋体" w:hAnsi="Times New Roman" w:cs="Times New Roman"/>
          <w:color w:val="0D0D0D"/>
          <w:sz w:val="28"/>
        </w:rPr>
        <w:t>1000</w:t>
      </w:r>
      <w:r>
        <w:rPr>
          <w:rFonts w:ascii="Times New Roman" w:eastAsia="宋体" w:hAnsi="Times New Roman" w:cs="Times New Roman"/>
          <w:color w:val="0D0D0D"/>
          <w:sz w:val="28"/>
        </w:rPr>
        <w:t>天，</w:t>
      </w:r>
      <w:r>
        <w:rPr>
          <w:rFonts w:ascii="Times New Roman" w:eastAsia="宋体" w:hAnsi="Times New Roman" w:cs="Times New Roman"/>
          <w:color w:val="0D0D0D"/>
          <w:sz w:val="28"/>
        </w:rPr>
        <w:t>10</w:t>
      </w:r>
      <w:r>
        <w:rPr>
          <w:rFonts w:ascii="Times New Roman" w:eastAsia="宋体" w:hAnsi="Times New Roman" w:cs="Times New Roman"/>
          <w:color w:val="0D0D0D"/>
          <w:sz w:val="28"/>
        </w:rPr>
        <w:t>年后的污染物的超标距离。</w:t>
      </w:r>
    </w:p>
    <w:p w14:paraId="31467BD1" w14:textId="77777777" w:rsidR="002133E3" w:rsidRDefault="00C22CFA">
      <w:pPr>
        <w:spacing w:afterLines="20" w:after="62"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对污染物的厂区潜水环境影响预测采用《环境影响评价技术导则</w:t>
      </w:r>
      <w:r>
        <w:rPr>
          <w:rFonts w:ascii="Times New Roman" w:eastAsia="宋体" w:hAnsi="Times New Roman" w:cs="Times New Roman"/>
          <w:color w:val="0D0D0D"/>
          <w:sz w:val="28"/>
        </w:rPr>
        <w:t>-</w:t>
      </w:r>
      <w:r>
        <w:rPr>
          <w:rFonts w:ascii="Times New Roman" w:eastAsia="宋体" w:hAnsi="Times New Roman" w:cs="Times New Roman"/>
          <w:color w:val="0D0D0D"/>
          <w:sz w:val="28"/>
        </w:rPr>
        <w:t>地下水环境》（</w:t>
      </w:r>
      <w:r>
        <w:rPr>
          <w:rFonts w:ascii="Times New Roman" w:eastAsia="宋体" w:hAnsi="Times New Roman" w:cs="Times New Roman"/>
          <w:color w:val="0D0D0D"/>
          <w:sz w:val="28"/>
        </w:rPr>
        <w:t>HJ610-2016</w:t>
      </w:r>
      <w:r>
        <w:rPr>
          <w:rFonts w:ascii="Times New Roman" w:eastAsia="宋体" w:hAnsi="Times New Roman" w:cs="Times New Roman"/>
          <w:color w:val="0D0D0D"/>
          <w:sz w:val="28"/>
        </w:rPr>
        <w:t>）推荐的一维稳定流动一维水动力弥散问题，概化条件为一维半无限长多孔介质柱体，一端为定浓度边界。其解析解为：</w:t>
      </w:r>
    </w:p>
    <w:p w14:paraId="7808D3B8" w14:textId="77777777" w:rsidR="002133E3" w:rsidRDefault="00C22CFA">
      <w:pPr>
        <w:jc w:val="center"/>
        <w:rPr>
          <w:rFonts w:ascii="Times New Roman" w:eastAsia="宋体" w:hAnsi="Times New Roman" w:cs="Times New Roman"/>
          <w:color w:val="0D0D0D"/>
          <w:sz w:val="28"/>
        </w:rPr>
      </w:pPr>
      <w:r>
        <w:rPr>
          <w:rFonts w:ascii="Times New Roman" w:eastAsia="宋体" w:hAnsi="Times New Roman" w:cs="Times New Roman"/>
          <w:noProof/>
          <w:color w:val="0D0D0D"/>
          <w:sz w:val="28"/>
        </w:rPr>
        <w:lastRenderedPageBreak/>
        <w:drawing>
          <wp:inline distT="0" distB="0" distL="0" distR="0" wp14:anchorId="4E90DEE8" wp14:editId="26C440C0">
            <wp:extent cx="2571750" cy="5334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571750" cy="533400"/>
                    </a:xfrm>
                    <a:prstGeom prst="rect">
                      <a:avLst/>
                    </a:prstGeom>
                    <a:noFill/>
                    <a:ln>
                      <a:noFill/>
                    </a:ln>
                  </pic:spPr>
                </pic:pic>
              </a:graphicData>
            </a:graphic>
          </wp:inline>
        </w:drawing>
      </w:r>
    </w:p>
    <w:p w14:paraId="05AF3D6C"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式中：</w:t>
      </w:r>
      <w:r>
        <w:rPr>
          <w:rFonts w:ascii="Times New Roman" w:eastAsia="宋体" w:hAnsi="Times New Roman" w:cs="Times New Roman"/>
          <w:color w:val="0D0D0D"/>
          <w:sz w:val="28"/>
        </w:rPr>
        <w:t>x—</w:t>
      </w:r>
      <w:r>
        <w:rPr>
          <w:rFonts w:ascii="Times New Roman" w:eastAsia="宋体" w:hAnsi="Times New Roman" w:cs="Times New Roman"/>
          <w:color w:val="0D0D0D"/>
          <w:sz w:val="28"/>
        </w:rPr>
        <w:t>预测点距污染源强的距离，</w:t>
      </w:r>
      <w:r>
        <w:rPr>
          <w:rFonts w:ascii="Times New Roman" w:eastAsia="宋体" w:hAnsi="Times New Roman" w:cs="Times New Roman"/>
          <w:color w:val="0D0D0D"/>
          <w:sz w:val="28"/>
        </w:rPr>
        <w:t>m</w:t>
      </w:r>
      <w:r>
        <w:rPr>
          <w:rFonts w:ascii="Times New Roman" w:eastAsia="宋体" w:hAnsi="Times New Roman" w:cs="Times New Roman"/>
          <w:color w:val="0D0D0D"/>
          <w:sz w:val="28"/>
        </w:rPr>
        <w:t>；</w:t>
      </w:r>
    </w:p>
    <w:p w14:paraId="2ED40A37"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 xml:space="preserve">      t—</w:t>
      </w:r>
      <w:r>
        <w:rPr>
          <w:rFonts w:ascii="Times New Roman" w:eastAsia="宋体" w:hAnsi="Times New Roman" w:cs="Times New Roman"/>
          <w:color w:val="0D0D0D"/>
          <w:sz w:val="28"/>
        </w:rPr>
        <w:t>预测时间，</w:t>
      </w:r>
      <w:r>
        <w:rPr>
          <w:rFonts w:ascii="Times New Roman" w:eastAsia="宋体" w:hAnsi="Times New Roman" w:cs="Times New Roman"/>
          <w:color w:val="0D0D0D"/>
          <w:sz w:val="28"/>
        </w:rPr>
        <w:t>d</w:t>
      </w:r>
      <w:r>
        <w:rPr>
          <w:rFonts w:ascii="Times New Roman" w:eastAsia="宋体" w:hAnsi="Times New Roman" w:cs="Times New Roman"/>
          <w:color w:val="0D0D0D"/>
          <w:sz w:val="28"/>
        </w:rPr>
        <w:t>；</w:t>
      </w:r>
    </w:p>
    <w:p w14:paraId="17989961"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 xml:space="preserve">      C—t</w:t>
      </w:r>
      <w:r>
        <w:rPr>
          <w:rFonts w:ascii="Times New Roman" w:eastAsia="宋体" w:hAnsi="Times New Roman" w:cs="Times New Roman"/>
          <w:color w:val="0D0D0D"/>
          <w:sz w:val="28"/>
        </w:rPr>
        <w:t>时刻</w:t>
      </w:r>
      <w:r>
        <w:rPr>
          <w:rFonts w:ascii="Times New Roman" w:eastAsia="宋体" w:hAnsi="Times New Roman" w:cs="Times New Roman"/>
          <w:color w:val="0D0D0D"/>
          <w:sz w:val="28"/>
        </w:rPr>
        <w:t>x</w:t>
      </w:r>
      <w:r>
        <w:rPr>
          <w:rFonts w:ascii="Times New Roman" w:eastAsia="宋体" w:hAnsi="Times New Roman" w:cs="Times New Roman"/>
          <w:color w:val="0D0D0D"/>
          <w:sz w:val="28"/>
        </w:rPr>
        <w:t>处的污染物浓度，</w:t>
      </w:r>
      <w:r>
        <w:rPr>
          <w:rFonts w:ascii="Times New Roman" w:eastAsia="宋体" w:hAnsi="Times New Roman" w:cs="Times New Roman"/>
          <w:color w:val="0D0D0D"/>
          <w:sz w:val="28"/>
        </w:rPr>
        <w:t>mg/L</w:t>
      </w:r>
      <w:r>
        <w:rPr>
          <w:rFonts w:ascii="Times New Roman" w:eastAsia="宋体" w:hAnsi="Times New Roman" w:cs="Times New Roman"/>
          <w:color w:val="0D0D0D"/>
          <w:sz w:val="28"/>
        </w:rPr>
        <w:t>；</w:t>
      </w:r>
    </w:p>
    <w:p w14:paraId="5440D6F5"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 xml:space="preserve">      C</w:t>
      </w:r>
      <w:r>
        <w:rPr>
          <w:rFonts w:ascii="Times New Roman" w:eastAsia="宋体" w:hAnsi="Times New Roman" w:cs="Times New Roman"/>
          <w:color w:val="0D0D0D"/>
          <w:sz w:val="28"/>
          <w:vertAlign w:val="subscript"/>
        </w:rPr>
        <w:t>0</w:t>
      </w:r>
      <w:r>
        <w:rPr>
          <w:rFonts w:ascii="Times New Roman" w:eastAsia="宋体" w:hAnsi="Times New Roman" w:cs="Times New Roman"/>
          <w:color w:val="0D0D0D"/>
          <w:sz w:val="28"/>
        </w:rPr>
        <w:t>—</w:t>
      </w:r>
      <w:r>
        <w:rPr>
          <w:rFonts w:ascii="Times New Roman" w:eastAsia="宋体" w:hAnsi="Times New Roman" w:cs="Times New Roman"/>
          <w:color w:val="0D0D0D"/>
          <w:sz w:val="28"/>
        </w:rPr>
        <w:t>地下水污染源强浓度，</w:t>
      </w:r>
      <w:r>
        <w:rPr>
          <w:rFonts w:ascii="Times New Roman" w:eastAsia="宋体" w:hAnsi="Times New Roman" w:cs="Times New Roman"/>
          <w:color w:val="0D0D0D"/>
          <w:sz w:val="28"/>
        </w:rPr>
        <w:t>mg/L</w:t>
      </w:r>
      <w:r>
        <w:rPr>
          <w:rFonts w:ascii="Times New Roman" w:eastAsia="宋体" w:hAnsi="Times New Roman" w:cs="Times New Roman"/>
          <w:color w:val="0D0D0D"/>
          <w:sz w:val="28"/>
        </w:rPr>
        <w:t>；</w:t>
      </w:r>
    </w:p>
    <w:p w14:paraId="56836219"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 xml:space="preserve">      u—</w:t>
      </w:r>
      <w:r>
        <w:rPr>
          <w:rFonts w:ascii="Times New Roman" w:eastAsia="宋体" w:hAnsi="Times New Roman" w:cs="Times New Roman"/>
          <w:color w:val="0D0D0D"/>
          <w:sz w:val="28"/>
        </w:rPr>
        <w:t>水流速度，</w:t>
      </w:r>
      <w:r>
        <w:rPr>
          <w:rFonts w:ascii="Times New Roman" w:eastAsia="宋体" w:hAnsi="Times New Roman" w:cs="Times New Roman"/>
          <w:color w:val="0D0D0D"/>
          <w:sz w:val="28"/>
        </w:rPr>
        <w:t>m/d</w:t>
      </w:r>
      <w:r>
        <w:rPr>
          <w:rFonts w:ascii="Times New Roman" w:eastAsia="宋体" w:hAnsi="Times New Roman" w:cs="Times New Roman"/>
          <w:color w:val="0D0D0D"/>
          <w:sz w:val="28"/>
        </w:rPr>
        <w:t>；</w:t>
      </w:r>
    </w:p>
    <w:p w14:paraId="095744E8"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 xml:space="preserve">      D</w:t>
      </w:r>
      <w:r>
        <w:rPr>
          <w:rFonts w:ascii="Times New Roman" w:eastAsia="宋体" w:hAnsi="Times New Roman" w:cs="Times New Roman"/>
          <w:color w:val="0D0D0D"/>
          <w:sz w:val="28"/>
          <w:vertAlign w:val="subscript"/>
        </w:rPr>
        <w:t>L</w:t>
      </w:r>
      <w:r>
        <w:rPr>
          <w:rFonts w:ascii="Times New Roman" w:eastAsia="宋体" w:hAnsi="Times New Roman" w:cs="Times New Roman"/>
          <w:color w:val="0D0D0D"/>
          <w:sz w:val="28"/>
        </w:rPr>
        <w:t>—</w:t>
      </w:r>
      <w:r>
        <w:rPr>
          <w:rFonts w:ascii="Times New Roman" w:eastAsia="宋体" w:hAnsi="Times New Roman" w:cs="Times New Roman"/>
          <w:color w:val="0D0D0D"/>
          <w:sz w:val="28"/>
        </w:rPr>
        <w:t>纵向弥散系数，</w:t>
      </w:r>
      <w:r>
        <w:rPr>
          <w:rFonts w:ascii="Times New Roman" w:eastAsia="宋体" w:hAnsi="Times New Roman" w:cs="Times New Roman"/>
          <w:color w:val="0D0D0D"/>
          <w:sz w:val="28"/>
        </w:rPr>
        <w:t>m</w:t>
      </w:r>
      <w:r>
        <w:rPr>
          <w:rFonts w:ascii="Times New Roman" w:eastAsia="宋体" w:hAnsi="Times New Roman" w:cs="Times New Roman"/>
          <w:color w:val="0D0D0D"/>
          <w:sz w:val="28"/>
          <w:vertAlign w:val="superscript"/>
        </w:rPr>
        <w:t>2</w:t>
      </w:r>
      <w:r>
        <w:rPr>
          <w:rFonts w:ascii="Times New Roman" w:eastAsia="宋体" w:hAnsi="Times New Roman" w:cs="Times New Roman"/>
          <w:color w:val="0D0D0D"/>
          <w:sz w:val="28"/>
        </w:rPr>
        <w:t>/d</w:t>
      </w:r>
      <w:r>
        <w:rPr>
          <w:rFonts w:ascii="Times New Roman" w:eastAsia="宋体" w:hAnsi="Times New Roman" w:cs="Times New Roman"/>
          <w:color w:val="0D0D0D"/>
          <w:sz w:val="28"/>
        </w:rPr>
        <w:t>；</w:t>
      </w:r>
    </w:p>
    <w:p w14:paraId="73FB3A5D" w14:textId="77777777" w:rsidR="002133E3" w:rsidRDefault="00C22CFA">
      <w:pPr>
        <w:spacing w:line="500" w:lineRule="exact"/>
        <w:ind w:firstLineChars="200" w:firstLine="560"/>
        <w:rPr>
          <w:rFonts w:ascii="Times New Roman" w:eastAsia="宋体" w:hAnsi="Times New Roman" w:cs="Times New Roman"/>
          <w:color w:val="0D0D0D"/>
          <w:sz w:val="28"/>
        </w:rPr>
      </w:pPr>
      <w:r>
        <w:rPr>
          <w:rFonts w:ascii="Times New Roman" w:eastAsia="宋体" w:hAnsi="Times New Roman" w:cs="Times New Roman"/>
          <w:color w:val="0D0D0D"/>
          <w:sz w:val="28"/>
        </w:rPr>
        <w:t xml:space="preserve">      </w:t>
      </w:r>
      <w:proofErr w:type="spellStart"/>
      <w:r>
        <w:rPr>
          <w:rFonts w:ascii="Times New Roman" w:eastAsia="宋体" w:hAnsi="Times New Roman" w:cs="Times New Roman"/>
          <w:color w:val="0D0D0D"/>
          <w:sz w:val="28"/>
        </w:rPr>
        <w:t>erfc</w:t>
      </w:r>
      <w:proofErr w:type="spellEnd"/>
      <w:r>
        <w:rPr>
          <w:rFonts w:ascii="Times New Roman" w:eastAsia="宋体" w:hAnsi="Times New Roman" w:cs="Times New Roman"/>
          <w:color w:val="0D0D0D"/>
          <w:sz w:val="28"/>
        </w:rPr>
        <w:t xml:space="preserve"> (  )—</w:t>
      </w:r>
      <w:r>
        <w:rPr>
          <w:rFonts w:ascii="Times New Roman" w:eastAsia="宋体" w:hAnsi="Times New Roman" w:cs="Times New Roman"/>
          <w:color w:val="0D0D0D"/>
          <w:sz w:val="28"/>
        </w:rPr>
        <w:t>余误差函数。</w:t>
      </w:r>
    </w:p>
    <w:p w14:paraId="07FB09EF" w14:textId="77777777" w:rsidR="002133E3" w:rsidRDefault="00C22CFA">
      <w:pPr>
        <w:spacing w:line="500" w:lineRule="exact"/>
        <w:ind w:firstLineChars="200" w:firstLine="560"/>
        <w:rPr>
          <w:rFonts w:ascii="Times New Roman" w:eastAsia="宋体" w:hAnsi="Times New Roman" w:cs="Times New Roman"/>
          <w:color w:val="000000"/>
          <w:sz w:val="28"/>
        </w:rPr>
      </w:pPr>
      <w:r>
        <w:rPr>
          <w:rFonts w:ascii="宋体" w:eastAsia="宋体" w:hAnsi="宋体" w:cs="宋体" w:hint="eastAsia"/>
          <w:color w:val="000000"/>
          <w:sz w:val="28"/>
        </w:rPr>
        <w:t>⑹</w:t>
      </w:r>
      <w:r>
        <w:rPr>
          <w:rFonts w:ascii="Times New Roman" w:eastAsia="宋体" w:hAnsi="Times New Roman" w:cs="Times New Roman"/>
          <w:color w:val="000000"/>
          <w:sz w:val="28"/>
        </w:rPr>
        <w:t>模型参数</w:t>
      </w:r>
    </w:p>
    <w:p w14:paraId="44B8CAF3"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根据周边区域地下水文地质勘查资料，潜水层总体流向近西</w:t>
      </w:r>
      <w:r>
        <w:rPr>
          <w:rFonts w:ascii="Times New Roman" w:eastAsia="宋体" w:hAnsi="Times New Roman" w:cs="Times New Roman"/>
          <w:sz w:val="28"/>
          <w:szCs w:val="28"/>
        </w:rPr>
        <w:t>-</w:t>
      </w:r>
      <w:r>
        <w:rPr>
          <w:rFonts w:ascii="Times New Roman" w:eastAsia="宋体" w:hAnsi="Times New Roman" w:cs="Times New Roman"/>
          <w:sz w:val="28"/>
          <w:szCs w:val="28"/>
        </w:rPr>
        <w:t>东，水力坡度</w:t>
      </w:r>
      <w:r>
        <w:rPr>
          <w:rFonts w:ascii="Times New Roman" w:eastAsia="宋体" w:hAnsi="Times New Roman" w:cs="Times New Roman"/>
          <w:sz w:val="28"/>
          <w:szCs w:val="28"/>
        </w:rPr>
        <w:t>(I)1‰</w:t>
      </w:r>
      <w:r>
        <w:rPr>
          <w:rFonts w:ascii="Times New Roman" w:eastAsia="宋体" w:hAnsi="Times New Roman" w:cs="Times New Roman"/>
          <w:sz w:val="28"/>
          <w:szCs w:val="28"/>
        </w:rPr>
        <w:t>，水流速度</w:t>
      </w:r>
      <w:r>
        <w:rPr>
          <w:rFonts w:ascii="Times New Roman" w:eastAsia="宋体" w:hAnsi="Times New Roman" w:cs="Times New Roman"/>
          <w:sz w:val="28"/>
          <w:szCs w:val="28"/>
        </w:rPr>
        <w:t>(u)0.01375m/d</w:t>
      </w:r>
      <w:r>
        <w:rPr>
          <w:rFonts w:ascii="Times New Roman" w:eastAsia="宋体" w:hAnsi="Times New Roman" w:cs="Times New Roman"/>
          <w:sz w:val="28"/>
          <w:szCs w:val="28"/>
        </w:rPr>
        <w:t>，有效孔隙度</w:t>
      </w:r>
      <w:r>
        <w:rPr>
          <w:rFonts w:ascii="Times New Roman" w:eastAsia="宋体" w:hAnsi="Times New Roman" w:cs="Times New Roman"/>
          <w:sz w:val="28"/>
          <w:szCs w:val="28"/>
        </w:rPr>
        <w:t>(ne)0.505</w:t>
      </w:r>
      <w:r>
        <w:rPr>
          <w:rFonts w:ascii="Times New Roman" w:eastAsia="宋体" w:hAnsi="Times New Roman" w:cs="Times New Roman"/>
          <w:sz w:val="28"/>
          <w:szCs w:val="28"/>
        </w:rPr>
        <w:t>，纵向弥散系数</w:t>
      </w:r>
      <w:r>
        <w:rPr>
          <w:rFonts w:ascii="Times New Roman" w:eastAsia="宋体" w:hAnsi="Times New Roman" w:cs="Times New Roman"/>
          <w:sz w:val="28"/>
          <w:szCs w:val="28"/>
        </w:rPr>
        <w:t>(DL)0.00294m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/d</w:t>
      </w:r>
      <w:r>
        <w:rPr>
          <w:rFonts w:ascii="Times New Roman" w:eastAsia="宋体" w:hAnsi="Times New Roman" w:cs="Times New Roman"/>
          <w:sz w:val="28"/>
          <w:szCs w:val="28"/>
        </w:rPr>
        <w:t>，横向</w:t>
      </w:r>
      <w:r>
        <w:rPr>
          <w:rFonts w:ascii="Times New Roman" w:eastAsia="宋体" w:hAnsi="Times New Roman" w:cs="Times New Roman"/>
          <w:sz w:val="28"/>
          <w:szCs w:val="28"/>
        </w:rPr>
        <w:t>y</w:t>
      </w:r>
      <w:r>
        <w:rPr>
          <w:rFonts w:ascii="Times New Roman" w:eastAsia="宋体" w:hAnsi="Times New Roman" w:cs="Times New Roman"/>
          <w:sz w:val="28"/>
          <w:szCs w:val="28"/>
        </w:rPr>
        <w:t>方向弥散系数</w:t>
      </w:r>
      <w:r>
        <w:rPr>
          <w:rFonts w:ascii="Times New Roman" w:eastAsia="宋体" w:hAnsi="Times New Roman" w:cs="Times New Roman"/>
          <w:sz w:val="28"/>
          <w:szCs w:val="28"/>
        </w:rPr>
        <w:t>(DT)0.00067m</w:t>
      </w:r>
      <w:r>
        <w:rPr>
          <w:rFonts w:ascii="Times New Roman" w:eastAsia="宋体" w:hAnsi="Times New Roman" w:cs="Times New Roman"/>
          <w:sz w:val="28"/>
          <w:szCs w:val="28"/>
          <w:vertAlign w:val="superscript"/>
        </w:rPr>
        <w:t>2</w:t>
      </w:r>
      <w:r>
        <w:rPr>
          <w:rFonts w:ascii="Times New Roman" w:eastAsia="宋体" w:hAnsi="Times New Roman" w:cs="Times New Roman"/>
          <w:sz w:val="28"/>
          <w:szCs w:val="28"/>
        </w:rPr>
        <w:t>/d</w:t>
      </w:r>
      <w:r>
        <w:rPr>
          <w:rFonts w:ascii="Times New Roman" w:eastAsia="宋体" w:hAnsi="Times New Roman" w:cs="Times New Roman"/>
          <w:sz w:val="28"/>
          <w:szCs w:val="28"/>
        </w:rPr>
        <w:t>。</w:t>
      </w:r>
    </w:p>
    <w:p w14:paraId="004E9DCE"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⑺</w:t>
      </w:r>
      <w:r>
        <w:rPr>
          <w:rFonts w:ascii="Times New Roman" w:eastAsia="宋体" w:hAnsi="Times New Roman" w:cs="Times New Roman"/>
          <w:color w:val="0D0D0D"/>
          <w:sz w:val="28"/>
          <w:szCs w:val="28"/>
        </w:rPr>
        <w:t>预测结果</w:t>
      </w:r>
    </w:p>
    <w:p w14:paraId="63088CEC"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本次地下水环境影响预测考虑非正常工况下的地下水环境影响，模拟污染因子为</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Mn</w:t>
      </w:r>
      <w:proofErr w:type="spellEnd"/>
      <w:r>
        <w:rPr>
          <w:rFonts w:ascii="Times New Roman" w:eastAsia="宋体" w:hAnsi="Times New Roman" w:cs="Times New Roman"/>
          <w:color w:val="0D0D0D"/>
          <w:sz w:val="28"/>
          <w:szCs w:val="28"/>
        </w:rPr>
        <w:t>，进一步分析污染物影响范围、超标范围和浓度变化。其中，</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Mn</w:t>
      </w:r>
      <w:proofErr w:type="spellEnd"/>
      <w:r>
        <w:rPr>
          <w:rFonts w:ascii="Times New Roman" w:eastAsia="宋体" w:hAnsi="Times New Roman" w:cs="Times New Roman"/>
          <w:color w:val="0D0D0D"/>
          <w:sz w:val="28"/>
          <w:szCs w:val="28"/>
        </w:rPr>
        <w:t>超标范围参照《地下水质量标准》</w:t>
      </w:r>
      <w:r>
        <w:rPr>
          <w:rFonts w:ascii="Times New Roman" w:eastAsia="宋体" w:hAnsi="Times New Roman" w:cs="Times New Roman"/>
          <w:color w:val="0D0D0D"/>
          <w:sz w:val="28"/>
          <w:szCs w:val="28"/>
        </w:rPr>
        <w:t>(GB/T14848- 2017)</w:t>
      </w:r>
      <w:r>
        <w:rPr>
          <w:rFonts w:ascii="宋体" w:eastAsia="宋体" w:hAnsi="宋体" w:cs="宋体" w:hint="eastAsia"/>
          <w:color w:val="0D0D0D"/>
          <w:sz w:val="28"/>
          <w:szCs w:val="28"/>
        </w:rPr>
        <w:t>Ⅲ</w:t>
      </w:r>
      <w:r>
        <w:rPr>
          <w:rFonts w:ascii="Times New Roman" w:eastAsia="宋体" w:hAnsi="Times New Roman" w:cs="Times New Roman"/>
          <w:color w:val="0D0D0D"/>
          <w:sz w:val="28"/>
          <w:szCs w:val="28"/>
        </w:rPr>
        <w:t>类标准限值，为</w:t>
      </w:r>
      <w:r>
        <w:rPr>
          <w:rFonts w:ascii="Times New Roman" w:eastAsia="宋体" w:hAnsi="Times New Roman" w:cs="Times New Roman"/>
          <w:color w:val="0D0D0D"/>
          <w:sz w:val="28"/>
          <w:szCs w:val="28"/>
        </w:rPr>
        <w:t>3mg/L</w:t>
      </w:r>
      <w:r>
        <w:rPr>
          <w:rFonts w:ascii="Times New Roman" w:eastAsia="宋体" w:hAnsi="Times New Roman" w:cs="Times New Roman"/>
          <w:color w:val="0D0D0D"/>
          <w:sz w:val="28"/>
          <w:szCs w:val="28"/>
        </w:rPr>
        <w:t>，污染物浓度超过上述</w:t>
      </w:r>
      <w:r>
        <w:rPr>
          <w:rFonts w:ascii="宋体" w:eastAsia="宋体" w:hAnsi="宋体" w:cs="宋体" w:hint="eastAsia"/>
          <w:color w:val="0D0D0D"/>
          <w:sz w:val="28"/>
          <w:szCs w:val="28"/>
        </w:rPr>
        <w:t>Ⅲ</w:t>
      </w:r>
      <w:r>
        <w:rPr>
          <w:rFonts w:ascii="Times New Roman" w:eastAsia="宋体" w:hAnsi="Times New Roman" w:cs="Times New Roman"/>
          <w:color w:val="0D0D0D"/>
          <w:sz w:val="28"/>
          <w:szCs w:val="28"/>
        </w:rPr>
        <w:t>类标准限值的范围即为浓度超标范围。</w:t>
      </w:r>
    </w:p>
    <w:p w14:paraId="5A133691"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非正常工况下，污染物运移范围计算分别见表</w:t>
      </w:r>
      <w:r>
        <w:rPr>
          <w:rFonts w:ascii="Times New Roman" w:eastAsia="宋体" w:hAnsi="Times New Roman" w:cs="Times New Roman"/>
          <w:color w:val="0D0D0D"/>
          <w:sz w:val="28"/>
          <w:szCs w:val="28"/>
        </w:rPr>
        <w:t>6.6-1</w:t>
      </w:r>
      <w:r>
        <w:rPr>
          <w:rFonts w:ascii="Times New Roman" w:eastAsia="宋体" w:hAnsi="Times New Roman" w:cs="Times New Roman"/>
          <w:color w:val="0D0D0D"/>
          <w:sz w:val="28"/>
          <w:szCs w:val="28"/>
        </w:rPr>
        <w:t>。</w:t>
      </w:r>
    </w:p>
    <w:p w14:paraId="2E213211" w14:textId="77777777" w:rsidR="002133E3" w:rsidRDefault="00C22CFA">
      <w:pPr>
        <w:spacing w:line="480" w:lineRule="exact"/>
        <w:jc w:val="center"/>
        <w:rPr>
          <w:rFonts w:ascii="Times New Roman" w:eastAsia="宋体" w:hAnsi="Times New Roman" w:cs="Times New Roman"/>
          <w:b/>
          <w:bCs/>
          <w:color w:val="0D0D0D"/>
          <w:sz w:val="24"/>
          <w:szCs w:val="24"/>
        </w:rPr>
      </w:pPr>
      <w:r>
        <w:rPr>
          <w:rFonts w:ascii="Times New Roman" w:eastAsia="宋体" w:hAnsi="Times New Roman" w:cs="Times New Roman"/>
          <w:b/>
          <w:bCs/>
          <w:color w:val="0D0D0D"/>
          <w:sz w:val="24"/>
        </w:rPr>
        <w:t>表</w:t>
      </w:r>
      <w:r>
        <w:rPr>
          <w:rFonts w:ascii="Times New Roman" w:eastAsia="宋体" w:hAnsi="Times New Roman" w:cs="Times New Roman"/>
          <w:b/>
          <w:bCs/>
          <w:color w:val="0D0D0D"/>
          <w:sz w:val="24"/>
        </w:rPr>
        <w:t xml:space="preserve">6.6-1 </w:t>
      </w:r>
      <w:r>
        <w:rPr>
          <w:rFonts w:ascii="Times New Roman" w:eastAsia="宋体" w:hAnsi="Times New Roman" w:cs="Times New Roman"/>
          <w:b/>
          <w:bCs/>
          <w:color w:val="0D0D0D"/>
          <w:sz w:val="24"/>
          <w:szCs w:val="24"/>
        </w:rPr>
        <w:t>污染物浓度预测结果统计表</w:t>
      </w:r>
      <w:r>
        <w:rPr>
          <w:rFonts w:ascii="Times New Roman" w:eastAsia="宋体" w:hAnsi="Times New Roman" w:cs="Times New Roman"/>
          <w:b/>
          <w:bCs/>
          <w:color w:val="0D0D0D"/>
          <w:sz w:val="24"/>
          <w:szCs w:val="24"/>
        </w:rPr>
        <w:t>(</w:t>
      </w:r>
      <w:r>
        <w:rPr>
          <w:rFonts w:ascii="Times New Roman" w:eastAsia="宋体" w:hAnsi="Times New Roman" w:cs="Times New Roman"/>
          <w:b/>
          <w:bCs/>
          <w:color w:val="0D0D0D"/>
          <w:sz w:val="24"/>
          <w:szCs w:val="24"/>
        </w:rPr>
        <w:t>单位</w:t>
      </w:r>
      <w:r>
        <w:rPr>
          <w:rFonts w:ascii="Times New Roman" w:eastAsia="宋体" w:hAnsi="Times New Roman" w:cs="Times New Roman"/>
          <w:b/>
          <w:bCs/>
          <w:color w:val="0D0D0D"/>
          <w:sz w:val="24"/>
          <w:szCs w:val="24"/>
        </w:rPr>
        <w:t xml:space="preserve"> 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2133E3" w14:paraId="32369628" w14:textId="77777777">
        <w:trPr>
          <w:trHeight w:val="285"/>
          <w:jc w:val="center"/>
        </w:trPr>
        <w:tc>
          <w:tcPr>
            <w:tcW w:w="1000" w:type="pct"/>
            <w:shd w:val="clear" w:color="auto" w:fill="auto"/>
            <w:noWrap/>
            <w:vAlign w:val="center"/>
          </w:tcPr>
          <w:p w14:paraId="4A8A846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下游距离（</w:t>
            </w:r>
            <w:r>
              <w:rPr>
                <w:rFonts w:ascii="Times New Roman" w:eastAsia="宋体" w:hAnsi="Times New Roman" w:cs="Times New Roman"/>
                <w:szCs w:val="21"/>
              </w:rPr>
              <w:t>m</w:t>
            </w:r>
            <w:r>
              <w:rPr>
                <w:rFonts w:ascii="Times New Roman" w:eastAsia="宋体" w:hAnsi="Times New Roman" w:cs="Times New Roman"/>
                <w:szCs w:val="21"/>
              </w:rPr>
              <w:t>）</w:t>
            </w:r>
            <w:r>
              <w:rPr>
                <w:rFonts w:ascii="Times New Roman" w:eastAsia="宋体" w:hAnsi="Times New Roman" w:cs="Times New Roman"/>
                <w:kern w:val="0"/>
                <w:szCs w:val="21"/>
              </w:rPr>
              <w:t xml:space="preserve">　</w:t>
            </w:r>
          </w:p>
        </w:tc>
        <w:tc>
          <w:tcPr>
            <w:tcW w:w="1000" w:type="pct"/>
            <w:shd w:val="clear" w:color="auto" w:fill="auto"/>
            <w:noWrap/>
            <w:vAlign w:val="center"/>
          </w:tcPr>
          <w:p w14:paraId="3F062F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t=</w:t>
            </w:r>
            <w:r>
              <w:rPr>
                <w:rFonts w:ascii="Times New Roman" w:eastAsia="宋体" w:hAnsi="Times New Roman" w:cs="Times New Roman"/>
                <w:kern w:val="0"/>
                <w:szCs w:val="21"/>
              </w:rPr>
              <w:t>100</w:t>
            </w:r>
          </w:p>
        </w:tc>
        <w:tc>
          <w:tcPr>
            <w:tcW w:w="1000" w:type="pct"/>
            <w:shd w:val="clear" w:color="auto" w:fill="auto"/>
            <w:noWrap/>
            <w:vAlign w:val="center"/>
          </w:tcPr>
          <w:p w14:paraId="6B4C76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t=</w:t>
            </w:r>
            <w:r>
              <w:rPr>
                <w:rFonts w:ascii="Times New Roman" w:eastAsia="宋体" w:hAnsi="Times New Roman" w:cs="Times New Roman"/>
                <w:kern w:val="0"/>
                <w:szCs w:val="21"/>
              </w:rPr>
              <w:t>365</w:t>
            </w:r>
          </w:p>
        </w:tc>
        <w:tc>
          <w:tcPr>
            <w:tcW w:w="1000" w:type="pct"/>
            <w:shd w:val="clear" w:color="auto" w:fill="auto"/>
            <w:noWrap/>
            <w:vAlign w:val="center"/>
          </w:tcPr>
          <w:p w14:paraId="6F7C9C3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t=</w:t>
            </w:r>
            <w:r>
              <w:rPr>
                <w:rFonts w:ascii="Times New Roman" w:eastAsia="宋体" w:hAnsi="Times New Roman" w:cs="Times New Roman"/>
                <w:kern w:val="0"/>
                <w:szCs w:val="21"/>
              </w:rPr>
              <w:t>1000</w:t>
            </w:r>
          </w:p>
        </w:tc>
        <w:tc>
          <w:tcPr>
            <w:tcW w:w="1000" w:type="pct"/>
            <w:shd w:val="clear" w:color="auto" w:fill="auto"/>
            <w:noWrap/>
            <w:vAlign w:val="center"/>
          </w:tcPr>
          <w:p w14:paraId="1A8317D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t=</w:t>
            </w:r>
            <w:r>
              <w:rPr>
                <w:rFonts w:ascii="Times New Roman" w:eastAsia="宋体" w:hAnsi="Times New Roman" w:cs="Times New Roman"/>
                <w:kern w:val="0"/>
                <w:szCs w:val="21"/>
              </w:rPr>
              <w:t>3650</w:t>
            </w:r>
          </w:p>
        </w:tc>
      </w:tr>
      <w:tr w:rsidR="002133E3" w14:paraId="2F437109" w14:textId="77777777">
        <w:trPr>
          <w:trHeight w:val="315"/>
          <w:jc w:val="center"/>
        </w:trPr>
        <w:tc>
          <w:tcPr>
            <w:tcW w:w="1000" w:type="pct"/>
            <w:shd w:val="clear" w:color="auto" w:fill="auto"/>
            <w:vAlign w:val="bottom"/>
          </w:tcPr>
          <w:p w14:paraId="732B4A7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000" w:type="pct"/>
            <w:shd w:val="clear" w:color="auto" w:fill="auto"/>
            <w:noWrap/>
            <w:vAlign w:val="center"/>
          </w:tcPr>
          <w:p w14:paraId="5ED440B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7.9157 </w:t>
            </w:r>
          </w:p>
        </w:tc>
        <w:tc>
          <w:tcPr>
            <w:tcW w:w="1000" w:type="pct"/>
            <w:shd w:val="clear" w:color="auto" w:fill="auto"/>
            <w:noWrap/>
            <w:vAlign w:val="center"/>
          </w:tcPr>
          <w:p w14:paraId="0FC4BB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9.9790 </w:t>
            </w:r>
          </w:p>
        </w:tc>
        <w:tc>
          <w:tcPr>
            <w:tcW w:w="1000" w:type="pct"/>
            <w:shd w:val="clear" w:color="auto" w:fill="auto"/>
            <w:noWrap/>
            <w:vAlign w:val="center"/>
          </w:tcPr>
          <w:p w14:paraId="096A331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c>
          <w:tcPr>
            <w:tcW w:w="1000" w:type="pct"/>
            <w:shd w:val="clear" w:color="auto" w:fill="auto"/>
            <w:noWrap/>
            <w:vAlign w:val="center"/>
          </w:tcPr>
          <w:p w14:paraId="4A36B1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050DF71D" w14:textId="77777777">
        <w:trPr>
          <w:trHeight w:val="315"/>
          <w:jc w:val="center"/>
        </w:trPr>
        <w:tc>
          <w:tcPr>
            <w:tcW w:w="1000" w:type="pct"/>
            <w:shd w:val="clear" w:color="auto" w:fill="auto"/>
          </w:tcPr>
          <w:p w14:paraId="495426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rPr>
              <w:t>1.935</w:t>
            </w:r>
          </w:p>
        </w:tc>
        <w:tc>
          <w:tcPr>
            <w:tcW w:w="1000" w:type="pct"/>
            <w:shd w:val="clear" w:color="auto" w:fill="auto"/>
            <w:noWrap/>
          </w:tcPr>
          <w:p w14:paraId="3C4F70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rPr>
              <w:t xml:space="preserve">2.9972 </w:t>
            </w:r>
          </w:p>
        </w:tc>
        <w:tc>
          <w:tcPr>
            <w:tcW w:w="1000" w:type="pct"/>
            <w:shd w:val="clear" w:color="auto" w:fill="auto"/>
            <w:noWrap/>
          </w:tcPr>
          <w:p w14:paraId="4E95447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rPr>
              <w:t xml:space="preserve">9.8997 </w:t>
            </w:r>
          </w:p>
        </w:tc>
        <w:tc>
          <w:tcPr>
            <w:tcW w:w="1000" w:type="pct"/>
            <w:shd w:val="clear" w:color="auto" w:fill="auto"/>
            <w:noWrap/>
          </w:tcPr>
          <w:p w14:paraId="4F70966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rPr>
              <w:t xml:space="preserve">9.9880 </w:t>
            </w:r>
          </w:p>
        </w:tc>
        <w:tc>
          <w:tcPr>
            <w:tcW w:w="1000" w:type="pct"/>
            <w:shd w:val="clear" w:color="auto" w:fill="auto"/>
            <w:noWrap/>
          </w:tcPr>
          <w:p w14:paraId="2D4682A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rPr>
              <w:t xml:space="preserve">9.9880 </w:t>
            </w:r>
          </w:p>
        </w:tc>
      </w:tr>
      <w:tr w:rsidR="002133E3" w14:paraId="07252643" w14:textId="77777777">
        <w:trPr>
          <w:trHeight w:val="315"/>
          <w:jc w:val="center"/>
        </w:trPr>
        <w:tc>
          <w:tcPr>
            <w:tcW w:w="1000" w:type="pct"/>
            <w:shd w:val="clear" w:color="auto" w:fill="auto"/>
            <w:vAlign w:val="bottom"/>
          </w:tcPr>
          <w:p w14:paraId="03CDD5D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000" w:type="pct"/>
            <w:shd w:val="clear" w:color="auto" w:fill="auto"/>
            <w:noWrap/>
            <w:vAlign w:val="center"/>
          </w:tcPr>
          <w:p w14:paraId="0A91B6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2.6928 </w:t>
            </w:r>
          </w:p>
        </w:tc>
        <w:tc>
          <w:tcPr>
            <w:tcW w:w="1000" w:type="pct"/>
            <w:shd w:val="clear" w:color="auto" w:fill="auto"/>
            <w:noWrap/>
            <w:vAlign w:val="center"/>
          </w:tcPr>
          <w:p w14:paraId="1305EB9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9.8872 </w:t>
            </w:r>
          </w:p>
        </w:tc>
        <w:tc>
          <w:tcPr>
            <w:tcW w:w="1000" w:type="pct"/>
            <w:shd w:val="clear" w:color="auto" w:fill="auto"/>
            <w:noWrap/>
            <w:vAlign w:val="center"/>
          </w:tcPr>
          <w:p w14:paraId="652B7EC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c>
          <w:tcPr>
            <w:tcW w:w="1000" w:type="pct"/>
            <w:shd w:val="clear" w:color="auto" w:fill="auto"/>
            <w:noWrap/>
            <w:vAlign w:val="center"/>
          </w:tcPr>
          <w:p w14:paraId="50AC903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5B0204AD" w14:textId="77777777">
        <w:trPr>
          <w:trHeight w:val="315"/>
          <w:jc w:val="center"/>
        </w:trPr>
        <w:tc>
          <w:tcPr>
            <w:tcW w:w="1000" w:type="pct"/>
            <w:shd w:val="clear" w:color="auto" w:fill="auto"/>
            <w:vAlign w:val="bottom"/>
          </w:tcPr>
          <w:p w14:paraId="3739861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000" w:type="pct"/>
            <w:shd w:val="clear" w:color="auto" w:fill="auto"/>
            <w:noWrap/>
            <w:vAlign w:val="center"/>
          </w:tcPr>
          <w:p w14:paraId="34DB2C6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0.2420 </w:t>
            </w:r>
          </w:p>
        </w:tc>
        <w:tc>
          <w:tcPr>
            <w:tcW w:w="1000" w:type="pct"/>
            <w:shd w:val="clear" w:color="auto" w:fill="auto"/>
            <w:noWrap/>
            <w:vAlign w:val="center"/>
          </w:tcPr>
          <w:p w14:paraId="574431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9.4211 </w:t>
            </w:r>
          </w:p>
        </w:tc>
        <w:tc>
          <w:tcPr>
            <w:tcW w:w="1000" w:type="pct"/>
            <w:shd w:val="clear" w:color="auto" w:fill="auto"/>
            <w:noWrap/>
            <w:vAlign w:val="center"/>
          </w:tcPr>
          <w:p w14:paraId="6E236F4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c>
          <w:tcPr>
            <w:tcW w:w="1000" w:type="pct"/>
            <w:shd w:val="clear" w:color="auto" w:fill="auto"/>
            <w:noWrap/>
            <w:vAlign w:val="center"/>
          </w:tcPr>
          <w:p w14:paraId="60709B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115B67CE" w14:textId="77777777">
        <w:trPr>
          <w:trHeight w:val="315"/>
          <w:jc w:val="center"/>
        </w:trPr>
        <w:tc>
          <w:tcPr>
            <w:tcW w:w="1000" w:type="pct"/>
            <w:shd w:val="clear" w:color="auto" w:fill="auto"/>
            <w:vAlign w:val="bottom"/>
          </w:tcPr>
          <w:p w14:paraId="777A53C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000" w:type="pct"/>
            <w:shd w:val="clear" w:color="auto" w:fill="auto"/>
            <w:noWrap/>
            <w:vAlign w:val="center"/>
          </w:tcPr>
          <w:p w14:paraId="2AED384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0.0047 </w:t>
            </w:r>
          </w:p>
        </w:tc>
        <w:tc>
          <w:tcPr>
            <w:tcW w:w="1000" w:type="pct"/>
            <w:shd w:val="clear" w:color="auto" w:fill="auto"/>
            <w:noWrap/>
            <w:vAlign w:val="center"/>
          </w:tcPr>
          <w:p w14:paraId="6995228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8.0527 </w:t>
            </w:r>
          </w:p>
        </w:tc>
        <w:tc>
          <w:tcPr>
            <w:tcW w:w="1000" w:type="pct"/>
            <w:shd w:val="clear" w:color="auto" w:fill="auto"/>
            <w:noWrap/>
            <w:vAlign w:val="center"/>
          </w:tcPr>
          <w:p w14:paraId="1959B4D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9.9879 </w:t>
            </w:r>
          </w:p>
        </w:tc>
        <w:tc>
          <w:tcPr>
            <w:tcW w:w="1000" w:type="pct"/>
            <w:shd w:val="clear" w:color="auto" w:fill="auto"/>
            <w:noWrap/>
            <w:vAlign w:val="center"/>
          </w:tcPr>
          <w:p w14:paraId="217B46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4B02548C" w14:textId="77777777">
        <w:trPr>
          <w:trHeight w:val="315"/>
          <w:jc w:val="center"/>
        </w:trPr>
        <w:tc>
          <w:tcPr>
            <w:tcW w:w="1000" w:type="pct"/>
            <w:shd w:val="clear" w:color="auto" w:fill="auto"/>
            <w:vAlign w:val="bottom"/>
          </w:tcPr>
          <w:p w14:paraId="7AAA0E8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000" w:type="pct"/>
            <w:shd w:val="clear" w:color="auto" w:fill="auto"/>
            <w:noWrap/>
            <w:vAlign w:val="center"/>
          </w:tcPr>
          <w:p w14:paraId="68FCD9F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743A38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5.6159 </w:t>
            </w:r>
          </w:p>
        </w:tc>
        <w:tc>
          <w:tcPr>
            <w:tcW w:w="1000" w:type="pct"/>
            <w:shd w:val="clear" w:color="auto" w:fill="auto"/>
            <w:noWrap/>
            <w:vAlign w:val="center"/>
          </w:tcPr>
          <w:p w14:paraId="08E5BCC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9.9872 </w:t>
            </w:r>
          </w:p>
        </w:tc>
        <w:tc>
          <w:tcPr>
            <w:tcW w:w="1000" w:type="pct"/>
            <w:shd w:val="clear" w:color="auto" w:fill="auto"/>
            <w:noWrap/>
            <w:vAlign w:val="center"/>
          </w:tcPr>
          <w:p w14:paraId="7088CBE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28B4EEE3" w14:textId="77777777">
        <w:trPr>
          <w:trHeight w:val="315"/>
          <w:jc w:val="center"/>
        </w:trPr>
        <w:tc>
          <w:tcPr>
            <w:tcW w:w="1000" w:type="pct"/>
            <w:shd w:val="clear" w:color="auto" w:fill="auto"/>
            <w:vAlign w:val="bottom"/>
          </w:tcPr>
          <w:p w14:paraId="3372689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5.98</w:t>
            </w:r>
          </w:p>
        </w:tc>
        <w:tc>
          <w:tcPr>
            <w:tcW w:w="1000" w:type="pct"/>
            <w:shd w:val="clear" w:color="auto" w:fill="auto"/>
            <w:noWrap/>
            <w:vAlign w:val="center"/>
          </w:tcPr>
          <w:p w14:paraId="472301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0.0000 </w:t>
            </w:r>
          </w:p>
        </w:tc>
        <w:tc>
          <w:tcPr>
            <w:tcW w:w="1000" w:type="pct"/>
            <w:shd w:val="clear" w:color="auto" w:fill="auto"/>
            <w:noWrap/>
            <w:vAlign w:val="center"/>
          </w:tcPr>
          <w:p w14:paraId="24F509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2.9764 </w:t>
            </w:r>
          </w:p>
        </w:tc>
        <w:tc>
          <w:tcPr>
            <w:tcW w:w="1000" w:type="pct"/>
            <w:shd w:val="clear" w:color="auto" w:fill="auto"/>
            <w:noWrap/>
            <w:vAlign w:val="center"/>
          </w:tcPr>
          <w:p w14:paraId="67703A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9.9843 </w:t>
            </w:r>
          </w:p>
        </w:tc>
        <w:tc>
          <w:tcPr>
            <w:tcW w:w="1000" w:type="pct"/>
            <w:shd w:val="clear" w:color="auto" w:fill="auto"/>
            <w:noWrap/>
            <w:vAlign w:val="center"/>
          </w:tcPr>
          <w:p w14:paraId="5771180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9.9880 </w:t>
            </w:r>
          </w:p>
        </w:tc>
      </w:tr>
      <w:tr w:rsidR="002133E3" w14:paraId="2C03D53A" w14:textId="77777777">
        <w:trPr>
          <w:trHeight w:val="315"/>
          <w:jc w:val="center"/>
        </w:trPr>
        <w:tc>
          <w:tcPr>
            <w:tcW w:w="1000" w:type="pct"/>
            <w:shd w:val="clear" w:color="auto" w:fill="auto"/>
            <w:vAlign w:val="bottom"/>
          </w:tcPr>
          <w:p w14:paraId="403D427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000" w:type="pct"/>
            <w:shd w:val="clear" w:color="auto" w:fill="auto"/>
            <w:noWrap/>
            <w:vAlign w:val="center"/>
          </w:tcPr>
          <w:p w14:paraId="092BE4C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3F4E22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2.9279 </w:t>
            </w:r>
          </w:p>
        </w:tc>
        <w:tc>
          <w:tcPr>
            <w:tcW w:w="1000" w:type="pct"/>
            <w:shd w:val="clear" w:color="auto" w:fill="auto"/>
            <w:noWrap/>
            <w:vAlign w:val="center"/>
          </w:tcPr>
          <w:p w14:paraId="149440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9.9836 </w:t>
            </w:r>
          </w:p>
        </w:tc>
        <w:tc>
          <w:tcPr>
            <w:tcW w:w="1000" w:type="pct"/>
            <w:shd w:val="clear" w:color="auto" w:fill="auto"/>
            <w:noWrap/>
            <w:vAlign w:val="center"/>
          </w:tcPr>
          <w:p w14:paraId="16894AB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60F996D9" w14:textId="77777777">
        <w:trPr>
          <w:trHeight w:val="315"/>
          <w:jc w:val="center"/>
        </w:trPr>
        <w:tc>
          <w:tcPr>
            <w:tcW w:w="1000" w:type="pct"/>
            <w:shd w:val="clear" w:color="auto" w:fill="auto"/>
            <w:vAlign w:val="bottom"/>
          </w:tcPr>
          <w:p w14:paraId="2A17D2E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000" w:type="pct"/>
            <w:shd w:val="clear" w:color="auto" w:fill="auto"/>
            <w:noWrap/>
            <w:vAlign w:val="center"/>
          </w:tcPr>
          <w:p w14:paraId="6F02068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BC0A45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1.0634 </w:t>
            </w:r>
          </w:p>
        </w:tc>
        <w:tc>
          <w:tcPr>
            <w:tcW w:w="1000" w:type="pct"/>
            <w:shd w:val="clear" w:color="auto" w:fill="auto"/>
            <w:noWrap/>
            <w:vAlign w:val="center"/>
          </w:tcPr>
          <w:p w14:paraId="686D3B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9.9612 </w:t>
            </w:r>
          </w:p>
        </w:tc>
        <w:tc>
          <w:tcPr>
            <w:tcW w:w="1000" w:type="pct"/>
            <w:shd w:val="clear" w:color="auto" w:fill="auto"/>
            <w:noWrap/>
            <w:vAlign w:val="center"/>
          </w:tcPr>
          <w:p w14:paraId="4190898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29FEF4DC" w14:textId="77777777">
        <w:trPr>
          <w:trHeight w:val="315"/>
          <w:jc w:val="center"/>
        </w:trPr>
        <w:tc>
          <w:tcPr>
            <w:tcW w:w="1000" w:type="pct"/>
            <w:shd w:val="clear" w:color="auto" w:fill="auto"/>
            <w:vAlign w:val="bottom"/>
          </w:tcPr>
          <w:p w14:paraId="621CFE9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1000" w:type="pct"/>
            <w:shd w:val="clear" w:color="auto" w:fill="auto"/>
            <w:noWrap/>
            <w:vAlign w:val="center"/>
          </w:tcPr>
          <w:p w14:paraId="0D60A99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0562C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0.2090 </w:t>
            </w:r>
          </w:p>
        </w:tc>
        <w:tc>
          <w:tcPr>
            <w:tcW w:w="1000" w:type="pct"/>
            <w:shd w:val="clear" w:color="auto" w:fill="auto"/>
            <w:noWrap/>
            <w:vAlign w:val="center"/>
          </w:tcPr>
          <w:p w14:paraId="14F1D6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9.8995 </w:t>
            </w:r>
          </w:p>
        </w:tc>
        <w:tc>
          <w:tcPr>
            <w:tcW w:w="1000" w:type="pct"/>
            <w:shd w:val="clear" w:color="auto" w:fill="auto"/>
            <w:noWrap/>
            <w:vAlign w:val="center"/>
          </w:tcPr>
          <w:p w14:paraId="1CCAC54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5359594E" w14:textId="77777777">
        <w:trPr>
          <w:trHeight w:val="315"/>
          <w:jc w:val="center"/>
        </w:trPr>
        <w:tc>
          <w:tcPr>
            <w:tcW w:w="1000" w:type="pct"/>
            <w:shd w:val="clear" w:color="auto" w:fill="auto"/>
            <w:vAlign w:val="bottom"/>
          </w:tcPr>
          <w:p w14:paraId="35045B0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1000" w:type="pct"/>
            <w:shd w:val="clear" w:color="auto" w:fill="auto"/>
            <w:noWrap/>
            <w:vAlign w:val="center"/>
          </w:tcPr>
          <w:p w14:paraId="032459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4914F0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0.0328 </w:t>
            </w:r>
          </w:p>
        </w:tc>
        <w:tc>
          <w:tcPr>
            <w:tcW w:w="1000" w:type="pct"/>
            <w:shd w:val="clear" w:color="auto" w:fill="auto"/>
            <w:noWrap/>
            <w:vAlign w:val="center"/>
          </w:tcPr>
          <w:p w14:paraId="759108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9.7377 </w:t>
            </w:r>
          </w:p>
        </w:tc>
        <w:tc>
          <w:tcPr>
            <w:tcW w:w="1000" w:type="pct"/>
            <w:shd w:val="clear" w:color="auto" w:fill="auto"/>
            <w:noWrap/>
            <w:vAlign w:val="center"/>
          </w:tcPr>
          <w:p w14:paraId="57EDA82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47FC9AD1" w14:textId="77777777">
        <w:trPr>
          <w:trHeight w:val="315"/>
          <w:jc w:val="center"/>
        </w:trPr>
        <w:tc>
          <w:tcPr>
            <w:tcW w:w="1000" w:type="pct"/>
            <w:shd w:val="clear" w:color="auto" w:fill="auto"/>
            <w:vAlign w:val="bottom"/>
          </w:tcPr>
          <w:p w14:paraId="25C3DD7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000" w:type="pct"/>
            <w:shd w:val="clear" w:color="auto" w:fill="auto"/>
            <w:noWrap/>
            <w:vAlign w:val="center"/>
          </w:tcPr>
          <w:p w14:paraId="661375F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3A27C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0.0034 </w:t>
            </w:r>
          </w:p>
        </w:tc>
        <w:tc>
          <w:tcPr>
            <w:tcW w:w="1000" w:type="pct"/>
            <w:shd w:val="clear" w:color="auto" w:fill="auto"/>
            <w:noWrap/>
            <w:vAlign w:val="center"/>
          </w:tcPr>
          <w:p w14:paraId="5B978AD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9.3788 </w:t>
            </w:r>
          </w:p>
        </w:tc>
        <w:tc>
          <w:tcPr>
            <w:tcW w:w="1000" w:type="pct"/>
            <w:shd w:val="clear" w:color="auto" w:fill="auto"/>
            <w:noWrap/>
            <w:vAlign w:val="center"/>
          </w:tcPr>
          <w:p w14:paraId="5FB543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03C98D90" w14:textId="77777777">
        <w:trPr>
          <w:trHeight w:val="315"/>
          <w:jc w:val="center"/>
        </w:trPr>
        <w:tc>
          <w:tcPr>
            <w:tcW w:w="1000" w:type="pct"/>
            <w:shd w:val="clear" w:color="auto" w:fill="auto"/>
            <w:vAlign w:val="bottom"/>
          </w:tcPr>
          <w:p w14:paraId="40CC20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12</w:t>
            </w:r>
          </w:p>
        </w:tc>
        <w:tc>
          <w:tcPr>
            <w:tcW w:w="1000" w:type="pct"/>
            <w:shd w:val="clear" w:color="auto" w:fill="auto"/>
            <w:noWrap/>
            <w:vAlign w:val="center"/>
          </w:tcPr>
          <w:p w14:paraId="71F7D5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BD4726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034A6B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7.6384 </w:t>
            </w:r>
          </w:p>
        </w:tc>
        <w:tc>
          <w:tcPr>
            <w:tcW w:w="1000" w:type="pct"/>
            <w:shd w:val="clear" w:color="auto" w:fill="auto"/>
            <w:noWrap/>
            <w:vAlign w:val="center"/>
          </w:tcPr>
          <w:p w14:paraId="6EEC8C2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12D7486C" w14:textId="77777777">
        <w:trPr>
          <w:trHeight w:val="315"/>
          <w:jc w:val="center"/>
        </w:trPr>
        <w:tc>
          <w:tcPr>
            <w:tcW w:w="1000" w:type="pct"/>
            <w:shd w:val="clear" w:color="auto" w:fill="auto"/>
            <w:vAlign w:val="bottom"/>
          </w:tcPr>
          <w:p w14:paraId="6648753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1000" w:type="pct"/>
            <w:shd w:val="clear" w:color="auto" w:fill="auto"/>
            <w:noWrap/>
            <w:vAlign w:val="center"/>
          </w:tcPr>
          <w:p w14:paraId="04C6EAF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E311A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CCB50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6.2071 </w:t>
            </w:r>
          </w:p>
        </w:tc>
        <w:tc>
          <w:tcPr>
            <w:tcW w:w="1000" w:type="pct"/>
            <w:shd w:val="clear" w:color="auto" w:fill="auto"/>
            <w:noWrap/>
            <w:vAlign w:val="center"/>
          </w:tcPr>
          <w:p w14:paraId="3ED52AC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4CA27AB0" w14:textId="77777777">
        <w:trPr>
          <w:trHeight w:val="315"/>
          <w:jc w:val="center"/>
        </w:trPr>
        <w:tc>
          <w:tcPr>
            <w:tcW w:w="1000" w:type="pct"/>
            <w:shd w:val="clear" w:color="auto" w:fill="auto"/>
            <w:vAlign w:val="bottom"/>
          </w:tcPr>
          <w:p w14:paraId="6802242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1000" w:type="pct"/>
            <w:shd w:val="clear" w:color="auto" w:fill="auto"/>
            <w:noWrap/>
            <w:vAlign w:val="center"/>
          </w:tcPr>
          <w:p w14:paraId="35330DD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2A5F6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3F2261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4.5839 </w:t>
            </w:r>
          </w:p>
        </w:tc>
        <w:tc>
          <w:tcPr>
            <w:tcW w:w="1000" w:type="pct"/>
            <w:shd w:val="clear" w:color="auto" w:fill="auto"/>
            <w:noWrap/>
            <w:vAlign w:val="center"/>
          </w:tcPr>
          <w:p w14:paraId="6BAC50B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2B469DBE" w14:textId="77777777">
        <w:trPr>
          <w:trHeight w:val="315"/>
          <w:jc w:val="center"/>
        </w:trPr>
        <w:tc>
          <w:tcPr>
            <w:tcW w:w="1000" w:type="pct"/>
            <w:shd w:val="clear" w:color="auto" w:fill="auto"/>
            <w:vAlign w:val="bottom"/>
          </w:tcPr>
          <w:p w14:paraId="1049A0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15.02</w:t>
            </w:r>
          </w:p>
        </w:tc>
        <w:tc>
          <w:tcPr>
            <w:tcW w:w="1000" w:type="pct"/>
            <w:shd w:val="clear" w:color="auto" w:fill="auto"/>
            <w:noWrap/>
            <w:vAlign w:val="center"/>
          </w:tcPr>
          <w:p w14:paraId="73AEBE7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0.0000 </w:t>
            </w:r>
          </w:p>
        </w:tc>
        <w:tc>
          <w:tcPr>
            <w:tcW w:w="1000" w:type="pct"/>
            <w:shd w:val="clear" w:color="auto" w:fill="auto"/>
            <w:noWrap/>
            <w:vAlign w:val="center"/>
          </w:tcPr>
          <w:p w14:paraId="11CEDC4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0.0000 </w:t>
            </w:r>
          </w:p>
        </w:tc>
        <w:tc>
          <w:tcPr>
            <w:tcW w:w="1000" w:type="pct"/>
            <w:shd w:val="clear" w:color="auto" w:fill="auto"/>
            <w:noWrap/>
            <w:vAlign w:val="center"/>
          </w:tcPr>
          <w:p w14:paraId="47E5C7B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2.9987 </w:t>
            </w:r>
          </w:p>
        </w:tc>
        <w:tc>
          <w:tcPr>
            <w:tcW w:w="1000" w:type="pct"/>
            <w:shd w:val="clear" w:color="auto" w:fill="auto"/>
            <w:noWrap/>
            <w:vAlign w:val="center"/>
          </w:tcPr>
          <w:p w14:paraId="552C9B1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 w:val="22"/>
              </w:rPr>
              <w:t xml:space="preserve">9.9880 </w:t>
            </w:r>
          </w:p>
        </w:tc>
      </w:tr>
      <w:tr w:rsidR="002133E3" w14:paraId="158C5562" w14:textId="77777777">
        <w:trPr>
          <w:trHeight w:val="315"/>
          <w:jc w:val="center"/>
        </w:trPr>
        <w:tc>
          <w:tcPr>
            <w:tcW w:w="1000" w:type="pct"/>
            <w:shd w:val="clear" w:color="auto" w:fill="auto"/>
            <w:vAlign w:val="bottom"/>
          </w:tcPr>
          <w:p w14:paraId="4F1E5A7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16</w:t>
            </w:r>
          </w:p>
        </w:tc>
        <w:tc>
          <w:tcPr>
            <w:tcW w:w="1000" w:type="pct"/>
            <w:shd w:val="clear" w:color="auto" w:fill="auto"/>
            <w:noWrap/>
            <w:vAlign w:val="center"/>
          </w:tcPr>
          <w:p w14:paraId="5A8061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A25FA7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E06BB1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1.7652 </w:t>
            </w:r>
          </w:p>
        </w:tc>
        <w:tc>
          <w:tcPr>
            <w:tcW w:w="1000" w:type="pct"/>
            <w:shd w:val="clear" w:color="auto" w:fill="auto"/>
            <w:noWrap/>
            <w:vAlign w:val="center"/>
          </w:tcPr>
          <w:p w14:paraId="13433D1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5329E843" w14:textId="77777777">
        <w:trPr>
          <w:trHeight w:val="315"/>
          <w:jc w:val="center"/>
        </w:trPr>
        <w:tc>
          <w:tcPr>
            <w:tcW w:w="1000" w:type="pct"/>
            <w:shd w:val="clear" w:color="auto" w:fill="auto"/>
            <w:vAlign w:val="bottom"/>
          </w:tcPr>
          <w:p w14:paraId="43B44DE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17</w:t>
            </w:r>
          </w:p>
        </w:tc>
        <w:tc>
          <w:tcPr>
            <w:tcW w:w="1000" w:type="pct"/>
            <w:shd w:val="clear" w:color="auto" w:fill="auto"/>
            <w:noWrap/>
            <w:vAlign w:val="center"/>
          </w:tcPr>
          <w:p w14:paraId="771D13F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194F4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A6B3A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0.8997 </w:t>
            </w:r>
          </w:p>
        </w:tc>
        <w:tc>
          <w:tcPr>
            <w:tcW w:w="1000" w:type="pct"/>
            <w:shd w:val="clear" w:color="auto" w:fill="auto"/>
            <w:noWrap/>
            <w:vAlign w:val="center"/>
          </w:tcPr>
          <w:p w14:paraId="3EB224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389E42CE" w14:textId="77777777">
        <w:trPr>
          <w:trHeight w:val="315"/>
          <w:jc w:val="center"/>
        </w:trPr>
        <w:tc>
          <w:tcPr>
            <w:tcW w:w="1000" w:type="pct"/>
            <w:shd w:val="clear" w:color="auto" w:fill="auto"/>
            <w:vAlign w:val="bottom"/>
          </w:tcPr>
          <w:p w14:paraId="09C0427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1000" w:type="pct"/>
            <w:shd w:val="clear" w:color="auto" w:fill="auto"/>
            <w:noWrap/>
            <w:vAlign w:val="center"/>
          </w:tcPr>
          <w:p w14:paraId="2FC16B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A580C8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EE514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0.3978 </w:t>
            </w:r>
          </w:p>
        </w:tc>
        <w:tc>
          <w:tcPr>
            <w:tcW w:w="1000" w:type="pct"/>
            <w:shd w:val="clear" w:color="auto" w:fill="auto"/>
            <w:noWrap/>
            <w:vAlign w:val="center"/>
          </w:tcPr>
          <w:p w14:paraId="0558BED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71CF5760" w14:textId="77777777">
        <w:trPr>
          <w:trHeight w:val="315"/>
          <w:jc w:val="center"/>
        </w:trPr>
        <w:tc>
          <w:tcPr>
            <w:tcW w:w="1000" w:type="pct"/>
            <w:shd w:val="clear" w:color="auto" w:fill="auto"/>
            <w:vAlign w:val="bottom"/>
          </w:tcPr>
          <w:p w14:paraId="2A75A69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19</w:t>
            </w:r>
          </w:p>
        </w:tc>
        <w:tc>
          <w:tcPr>
            <w:tcW w:w="1000" w:type="pct"/>
            <w:shd w:val="clear" w:color="auto" w:fill="auto"/>
            <w:noWrap/>
            <w:vAlign w:val="center"/>
          </w:tcPr>
          <w:p w14:paraId="7E859D5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6F1F74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BA970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0.1517 </w:t>
            </w:r>
          </w:p>
        </w:tc>
        <w:tc>
          <w:tcPr>
            <w:tcW w:w="1000" w:type="pct"/>
            <w:shd w:val="clear" w:color="auto" w:fill="auto"/>
            <w:noWrap/>
            <w:vAlign w:val="center"/>
          </w:tcPr>
          <w:p w14:paraId="5E47568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49F27852" w14:textId="77777777">
        <w:trPr>
          <w:trHeight w:val="315"/>
          <w:jc w:val="center"/>
        </w:trPr>
        <w:tc>
          <w:tcPr>
            <w:tcW w:w="1000" w:type="pct"/>
            <w:shd w:val="clear" w:color="auto" w:fill="auto"/>
            <w:vAlign w:val="bottom"/>
          </w:tcPr>
          <w:p w14:paraId="3A57F20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1000" w:type="pct"/>
            <w:shd w:val="clear" w:color="auto" w:fill="auto"/>
            <w:noWrap/>
            <w:vAlign w:val="center"/>
          </w:tcPr>
          <w:p w14:paraId="5AEC4B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628F5E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C6F352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0.0497 </w:t>
            </w:r>
          </w:p>
        </w:tc>
        <w:tc>
          <w:tcPr>
            <w:tcW w:w="1000" w:type="pct"/>
            <w:shd w:val="clear" w:color="auto" w:fill="auto"/>
            <w:noWrap/>
            <w:vAlign w:val="center"/>
          </w:tcPr>
          <w:p w14:paraId="3155F70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026F6675" w14:textId="77777777">
        <w:trPr>
          <w:trHeight w:val="315"/>
          <w:jc w:val="center"/>
        </w:trPr>
        <w:tc>
          <w:tcPr>
            <w:tcW w:w="1000" w:type="pct"/>
            <w:shd w:val="clear" w:color="auto" w:fill="auto"/>
            <w:vAlign w:val="bottom"/>
          </w:tcPr>
          <w:p w14:paraId="75FEC52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w:t>
            </w:r>
          </w:p>
        </w:tc>
        <w:tc>
          <w:tcPr>
            <w:tcW w:w="1000" w:type="pct"/>
            <w:shd w:val="clear" w:color="auto" w:fill="auto"/>
            <w:noWrap/>
            <w:vAlign w:val="center"/>
          </w:tcPr>
          <w:p w14:paraId="49DDF0B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269437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B4E57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0.0139 </w:t>
            </w:r>
          </w:p>
        </w:tc>
        <w:tc>
          <w:tcPr>
            <w:tcW w:w="1000" w:type="pct"/>
            <w:shd w:val="clear" w:color="auto" w:fill="auto"/>
            <w:noWrap/>
            <w:vAlign w:val="center"/>
          </w:tcPr>
          <w:p w14:paraId="077A85E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083159F1" w14:textId="77777777">
        <w:trPr>
          <w:trHeight w:val="315"/>
          <w:jc w:val="center"/>
        </w:trPr>
        <w:tc>
          <w:tcPr>
            <w:tcW w:w="1000" w:type="pct"/>
            <w:shd w:val="clear" w:color="auto" w:fill="auto"/>
            <w:vAlign w:val="bottom"/>
          </w:tcPr>
          <w:p w14:paraId="06BA35D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22</w:t>
            </w:r>
          </w:p>
        </w:tc>
        <w:tc>
          <w:tcPr>
            <w:tcW w:w="1000" w:type="pct"/>
            <w:shd w:val="clear" w:color="auto" w:fill="auto"/>
            <w:noWrap/>
            <w:vAlign w:val="center"/>
          </w:tcPr>
          <w:p w14:paraId="30AFB6A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FFEC4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BBF9B4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0.0033 </w:t>
            </w:r>
          </w:p>
        </w:tc>
        <w:tc>
          <w:tcPr>
            <w:tcW w:w="1000" w:type="pct"/>
            <w:shd w:val="clear" w:color="auto" w:fill="auto"/>
            <w:noWrap/>
            <w:vAlign w:val="center"/>
          </w:tcPr>
          <w:p w14:paraId="10B4EE9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1B5FBF27" w14:textId="77777777">
        <w:trPr>
          <w:trHeight w:val="315"/>
          <w:jc w:val="center"/>
        </w:trPr>
        <w:tc>
          <w:tcPr>
            <w:tcW w:w="1000" w:type="pct"/>
            <w:shd w:val="clear" w:color="auto" w:fill="auto"/>
            <w:vAlign w:val="bottom"/>
          </w:tcPr>
          <w:p w14:paraId="6854328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23</w:t>
            </w:r>
          </w:p>
        </w:tc>
        <w:tc>
          <w:tcPr>
            <w:tcW w:w="1000" w:type="pct"/>
            <w:shd w:val="clear" w:color="auto" w:fill="auto"/>
            <w:noWrap/>
            <w:vAlign w:val="center"/>
          </w:tcPr>
          <w:p w14:paraId="0123B69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221A7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014C39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0.0007 </w:t>
            </w:r>
          </w:p>
        </w:tc>
        <w:tc>
          <w:tcPr>
            <w:tcW w:w="1000" w:type="pct"/>
            <w:shd w:val="clear" w:color="auto" w:fill="auto"/>
            <w:noWrap/>
            <w:vAlign w:val="center"/>
          </w:tcPr>
          <w:p w14:paraId="67A0B57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36F42CAF" w14:textId="77777777">
        <w:trPr>
          <w:trHeight w:val="315"/>
          <w:jc w:val="center"/>
        </w:trPr>
        <w:tc>
          <w:tcPr>
            <w:tcW w:w="1000" w:type="pct"/>
            <w:shd w:val="clear" w:color="auto" w:fill="auto"/>
            <w:vAlign w:val="bottom"/>
          </w:tcPr>
          <w:p w14:paraId="4334F1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w:t>
            </w:r>
          </w:p>
        </w:tc>
        <w:tc>
          <w:tcPr>
            <w:tcW w:w="1000" w:type="pct"/>
            <w:shd w:val="clear" w:color="auto" w:fill="auto"/>
            <w:noWrap/>
            <w:vAlign w:val="center"/>
          </w:tcPr>
          <w:p w14:paraId="612F9C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A8286B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C77458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0.0001 </w:t>
            </w:r>
          </w:p>
        </w:tc>
        <w:tc>
          <w:tcPr>
            <w:tcW w:w="1000" w:type="pct"/>
            <w:shd w:val="clear" w:color="auto" w:fill="auto"/>
            <w:noWrap/>
            <w:vAlign w:val="center"/>
          </w:tcPr>
          <w:p w14:paraId="06B3B35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6105F5CA" w14:textId="77777777">
        <w:trPr>
          <w:trHeight w:val="315"/>
          <w:jc w:val="center"/>
        </w:trPr>
        <w:tc>
          <w:tcPr>
            <w:tcW w:w="1000" w:type="pct"/>
            <w:shd w:val="clear" w:color="auto" w:fill="auto"/>
            <w:vAlign w:val="bottom"/>
          </w:tcPr>
          <w:p w14:paraId="5062F6C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1000" w:type="pct"/>
            <w:shd w:val="clear" w:color="auto" w:fill="auto"/>
            <w:noWrap/>
            <w:vAlign w:val="center"/>
          </w:tcPr>
          <w:p w14:paraId="7FA171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F94D31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B7245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9F2C1E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2D03F6F5" w14:textId="77777777">
        <w:trPr>
          <w:trHeight w:val="315"/>
          <w:jc w:val="center"/>
        </w:trPr>
        <w:tc>
          <w:tcPr>
            <w:tcW w:w="1000" w:type="pct"/>
            <w:shd w:val="clear" w:color="auto" w:fill="auto"/>
            <w:vAlign w:val="bottom"/>
          </w:tcPr>
          <w:p w14:paraId="3CB320A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26</w:t>
            </w:r>
          </w:p>
        </w:tc>
        <w:tc>
          <w:tcPr>
            <w:tcW w:w="1000" w:type="pct"/>
            <w:shd w:val="clear" w:color="auto" w:fill="auto"/>
            <w:noWrap/>
            <w:vAlign w:val="center"/>
          </w:tcPr>
          <w:p w14:paraId="3EF93B9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A7069F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59E45E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3ED989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3FB7A815" w14:textId="77777777">
        <w:trPr>
          <w:trHeight w:val="315"/>
          <w:jc w:val="center"/>
        </w:trPr>
        <w:tc>
          <w:tcPr>
            <w:tcW w:w="1000" w:type="pct"/>
            <w:shd w:val="clear" w:color="auto" w:fill="auto"/>
            <w:vAlign w:val="bottom"/>
          </w:tcPr>
          <w:p w14:paraId="0C25D28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27</w:t>
            </w:r>
          </w:p>
        </w:tc>
        <w:tc>
          <w:tcPr>
            <w:tcW w:w="1000" w:type="pct"/>
            <w:shd w:val="clear" w:color="auto" w:fill="auto"/>
            <w:noWrap/>
            <w:vAlign w:val="center"/>
          </w:tcPr>
          <w:p w14:paraId="220A170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82231C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2DD39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BE733B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4BE9A87D" w14:textId="77777777">
        <w:trPr>
          <w:trHeight w:val="315"/>
          <w:jc w:val="center"/>
        </w:trPr>
        <w:tc>
          <w:tcPr>
            <w:tcW w:w="1000" w:type="pct"/>
            <w:shd w:val="clear" w:color="auto" w:fill="auto"/>
            <w:vAlign w:val="bottom"/>
          </w:tcPr>
          <w:p w14:paraId="03B7F4B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28</w:t>
            </w:r>
          </w:p>
        </w:tc>
        <w:tc>
          <w:tcPr>
            <w:tcW w:w="1000" w:type="pct"/>
            <w:shd w:val="clear" w:color="auto" w:fill="auto"/>
            <w:noWrap/>
            <w:vAlign w:val="center"/>
          </w:tcPr>
          <w:p w14:paraId="4334B89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89A996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DFCCE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6815D6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023A6662" w14:textId="77777777">
        <w:trPr>
          <w:trHeight w:val="315"/>
          <w:jc w:val="center"/>
        </w:trPr>
        <w:tc>
          <w:tcPr>
            <w:tcW w:w="1000" w:type="pct"/>
            <w:shd w:val="clear" w:color="auto" w:fill="auto"/>
            <w:vAlign w:val="bottom"/>
          </w:tcPr>
          <w:p w14:paraId="5DF19C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29</w:t>
            </w:r>
          </w:p>
        </w:tc>
        <w:tc>
          <w:tcPr>
            <w:tcW w:w="1000" w:type="pct"/>
            <w:shd w:val="clear" w:color="auto" w:fill="auto"/>
            <w:noWrap/>
            <w:vAlign w:val="center"/>
          </w:tcPr>
          <w:p w14:paraId="1907F3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1144D6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2EB8B6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150578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9.9880 </w:t>
            </w:r>
          </w:p>
        </w:tc>
      </w:tr>
      <w:tr w:rsidR="002133E3" w14:paraId="206BA7A2" w14:textId="77777777">
        <w:trPr>
          <w:trHeight w:val="315"/>
          <w:jc w:val="center"/>
        </w:trPr>
        <w:tc>
          <w:tcPr>
            <w:tcW w:w="1000" w:type="pct"/>
            <w:shd w:val="clear" w:color="auto" w:fill="auto"/>
            <w:vAlign w:val="bottom"/>
          </w:tcPr>
          <w:p w14:paraId="157661A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30</w:t>
            </w:r>
          </w:p>
        </w:tc>
        <w:tc>
          <w:tcPr>
            <w:tcW w:w="1000" w:type="pct"/>
            <w:shd w:val="clear" w:color="auto" w:fill="auto"/>
            <w:noWrap/>
            <w:vAlign w:val="center"/>
          </w:tcPr>
          <w:p w14:paraId="798CC41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84B093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1AE8D2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06AE8A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9.9879 </w:t>
            </w:r>
          </w:p>
        </w:tc>
      </w:tr>
      <w:tr w:rsidR="002133E3" w14:paraId="2282DE85" w14:textId="77777777">
        <w:trPr>
          <w:trHeight w:val="315"/>
          <w:jc w:val="center"/>
        </w:trPr>
        <w:tc>
          <w:tcPr>
            <w:tcW w:w="1000" w:type="pct"/>
            <w:shd w:val="clear" w:color="auto" w:fill="auto"/>
            <w:vAlign w:val="bottom"/>
          </w:tcPr>
          <w:p w14:paraId="5D0AB3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31</w:t>
            </w:r>
          </w:p>
        </w:tc>
        <w:tc>
          <w:tcPr>
            <w:tcW w:w="1000" w:type="pct"/>
            <w:shd w:val="clear" w:color="auto" w:fill="auto"/>
            <w:noWrap/>
            <w:vAlign w:val="center"/>
          </w:tcPr>
          <w:p w14:paraId="7E8EEC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C13F59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4C09A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BECB2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9.9878 </w:t>
            </w:r>
          </w:p>
        </w:tc>
      </w:tr>
      <w:tr w:rsidR="002133E3" w14:paraId="276D9F81" w14:textId="77777777">
        <w:trPr>
          <w:trHeight w:val="315"/>
          <w:jc w:val="center"/>
        </w:trPr>
        <w:tc>
          <w:tcPr>
            <w:tcW w:w="1000" w:type="pct"/>
            <w:shd w:val="clear" w:color="auto" w:fill="auto"/>
            <w:vAlign w:val="bottom"/>
          </w:tcPr>
          <w:p w14:paraId="119F542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w:t>
            </w:r>
          </w:p>
        </w:tc>
        <w:tc>
          <w:tcPr>
            <w:tcW w:w="1000" w:type="pct"/>
            <w:shd w:val="clear" w:color="auto" w:fill="auto"/>
            <w:noWrap/>
            <w:vAlign w:val="center"/>
          </w:tcPr>
          <w:p w14:paraId="286C53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EBC0A3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EE0EC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5CB685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9.9876 </w:t>
            </w:r>
          </w:p>
        </w:tc>
      </w:tr>
      <w:tr w:rsidR="002133E3" w14:paraId="114C3E0B" w14:textId="77777777">
        <w:trPr>
          <w:trHeight w:val="315"/>
          <w:jc w:val="center"/>
        </w:trPr>
        <w:tc>
          <w:tcPr>
            <w:tcW w:w="1000" w:type="pct"/>
            <w:shd w:val="clear" w:color="auto" w:fill="auto"/>
            <w:vAlign w:val="bottom"/>
          </w:tcPr>
          <w:p w14:paraId="338CD4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33</w:t>
            </w:r>
          </w:p>
        </w:tc>
        <w:tc>
          <w:tcPr>
            <w:tcW w:w="1000" w:type="pct"/>
            <w:shd w:val="clear" w:color="auto" w:fill="auto"/>
            <w:noWrap/>
            <w:vAlign w:val="center"/>
          </w:tcPr>
          <w:p w14:paraId="3CC32A5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63D4FB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928B53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9BDCC1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9.9870 </w:t>
            </w:r>
          </w:p>
        </w:tc>
      </w:tr>
      <w:tr w:rsidR="002133E3" w14:paraId="44290DF3" w14:textId="77777777">
        <w:trPr>
          <w:trHeight w:val="315"/>
          <w:jc w:val="center"/>
        </w:trPr>
        <w:tc>
          <w:tcPr>
            <w:tcW w:w="1000" w:type="pct"/>
            <w:shd w:val="clear" w:color="auto" w:fill="auto"/>
            <w:vAlign w:val="bottom"/>
          </w:tcPr>
          <w:p w14:paraId="34F4E6B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34</w:t>
            </w:r>
          </w:p>
        </w:tc>
        <w:tc>
          <w:tcPr>
            <w:tcW w:w="1000" w:type="pct"/>
            <w:shd w:val="clear" w:color="auto" w:fill="auto"/>
            <w:noWrap/>
            <w:vAlign w:val="center"/>
          </w:tcPr>
          <w:p w14:paraId="3244CA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409774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A3184A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8BA0A4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9.9856 </w:t>
            </w:r>
          </w:p>
        </w:tc>
      </w:tr>
      <w:tr w:rsidR="002133E3" w14:paraId="50DFEAD1" w14:textId="77777777">
        <w:trPr>
          <w:trHeight w:val="315"/>
          <w:jc w:val="center"/>
        </w:trPr>
        <w:tc>
          <w:tcPr>
            <w:tcW w:w="1000" w:type="pct"/>
            <w:shd w:val="clear" w:color="auto" w:fill="auto"/>
            <w:vAlign w:val="bottom"/>
          </w:tcPr>
          <w:p w14:paraId="7608FA0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35</w:t>
            </w:r>
          </w:p>
        </w:tc>
        <w:tc>
          <w:tcPr>
            <w:tcW w:w="1000" w:type="pct"/>
            <w:shd w:val="clear" w:color="auto" w:fill="auto"/>
            <w:noWrap/>
            <w:vAlign w:val="center"/>
          </w:tcPr>
          <w:p w14:paraId="516D5E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BDD79F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A9DA4B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CC5F1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9.9828 </w:t>
            </w:r>
          </w:p>
        </w:tc>
      </w:tr>
      <w:tr w:rsidR="002133E3" w14:paraId="600D38DB" w14:textId="77777777">
        <w:trPr>
          <w:trHeight w:val="315"/>
          <w:jc w:val="center"/>
        </w:trPr>
        <w:tc>
          <w:tcPr>
            <w:tcW w:w="1000" w:type="pct"/>
            <w:shd w:val="clear" w:color="auto" w:fill="auto"/>
            <w:vAlign w:val="bottom"/>
          </w:tcPr>
          <w:p w14:paraId="394031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36</w:t>
            </w:r>
          </w:p>
        </w:tc>
        <w:tc>
          <w:tcPr>
            <w:tcW w:w="1000" w:type="pct"/>
            <w:shd w:val="clear" w:color="auto" w:fill="auto"/>
            <w:noWrap/>
            <w:vAlign w:val="center"/>
          </w:tcPr>
          <w:p w14:paraId="6EB283A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1720A8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F0A4A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8CEC94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9.9770 </w:t>
            </w:r>
          </w:p>
        </w:tc>
      </w:tr>
      <w:tr w:rsidR="002133E3" w14:paraId="75C731E8" w14:textId="77777777">
        <w:trPr>
          <w:trHeight w:val="315"/>
          <w:jc w:val="center"/>
        </w:trPr>
        <w:tc>
          <w:tcPr>
            <w:tcW w:w="1000" w:type="pct"/>
            <w:shd w:val="clear" w:color="auto" w:fill="auto"/>
            <w:vAlign w:val="bottom"/>
          </w:tcPr>
          <w:p w14:paraId="764B18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37</w:t>
            </w:r>
          </w:p>
        </w:tc>
        <w:tc>
          <w:tcPr>
            <w:tcW w:w="1000" w:type="pct"/>
            <w:shd w:val="clear" w:color="auto" w:fill="auto"/>
            <w:noWrap/>
            <w:vAlign w:val="center"/>
          </w:tcPr>
          <w:p w14:paraId="39E4AE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4FA45F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05B04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EBDE3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9.9659 </w:t>
            </w:r>
          </w:p>
        </w:tc>
      </w:tr>
      <w:tr w:rsidR="002133E3" w14:paraId="6A149163" w14:textId="77777777">
        <w:trPr>
          <w:trHeight w:val="315"/>
          <w:jc w:val="center"/>
        </w:trPr>
        <w:tc>
          <w:tcPr>
            <w:tcW w:w="1000" w:type="pct"/>
            <w:shd w:val="clear" w:color="auto" w:fill="auto"/>
            <w:vAlign w:val="bottom"/>
          </w:tcPr>
          <w:p w14:paraId="75D27F0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38</w:t>
            </w:r>
          </w:p>
        </w:tc>
        <w:tc>
          <w:tcPr>
            <w:tcW w:w="1000" w:type="pct"/>
            <w:shd w:val="clear" w:color="auto" w:fill="auto"/>
            <w:noWrap/>
            <w:vAlign w:val="center"/>
          </w:tcPr>
          <w:p w14:paraId="2760F3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D6E721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11B2AE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A49BE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9.9455 </w:t>
            </w:r>
          </w:p>
        </w:tc>
      </w:tr>
      <w:tr w:rsidR="002133E3" w14:paraId="1CFBCFB5" w14:textId="77777777">
        <w:trPr>
          <w:trHeight w:val="315"/>
          <w:jc w:val="center"/>
        </w:trPr>
        <w:tc>
          <w:tcPr>
            <w:tcW w:w="1000" w:type="pct"/>
            <w:shd w:val="clear" w:color="auto" w:fill="auto"/>
            <w:vAlign w:val="bottom"/>
          </w:tcPr>
          <w:p w14:paraId="321A71A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39</w:t>
            </w:r>
          </w:p>
        </w:tc>
        <w:tc>
          <w:tcPr>
            <w:tcW w:w="1000" w:type="pct"/>
            <w:shd w:val="clear" w:color="auto" w:fill="auto"/>
            <w:noWrap/>
            <w:vAlign w:val="center"/>
          </w:tcPr>
          <w:p w14:paraId="3B8638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7347E3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3DB13F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69AD57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9.9094 </w:t>
            </w:r>
          </w:p>
        </w:tc>
      </w:tr>
      <w:tr w:rsidR="002133E3" w14:paraId="01F0418B" w14:textId="77777777">
        <w:trPr>
          <w:trHeight w:val="315"/>
          <w:jc w:val="center"/>
        </w:trPr>
        <w:tc>
          <w:tcPr>
            <w:tcW w:w="1000" w:type="pct"/>
            <w:shd w:val="clear" w:color="auto" w:fill="auto"/>
            <w:vAlign w:val="bottom"/>
          </w:tcPr>
          <w:p w14:paraId="035C234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40</w:t>
            </w:r>
          </w:p>
        </w:tc>
        <w:tc>
          <w:tcPr>
            <w:tcW w:w="1000" w:type="pct"/>
            <w:shd w:val="clear" w:color="auto" w:fill="auto"/>
            <w:noWrap/>
            <w:vAlign w:val="center"/>
          </w:tcPr>
          <w:p w14:paraId="00C324E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96C7DC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222016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D9D98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9.8488 </w:t>
            </w:r>
          </w:p>
        </w:tc>
      </w:tr>
      <w:tr w:rsidR="002133E3" w14:paraId="77933176" w14:textId="77777777">
        <w:trPr>
          <w:trHeight w:val="315"/>
          <w:jc w:val="center"/>
        </w:trPr>
        <w:tc>
          <w:tcPr>
            <w:tcW w:w="1000" w:type="pct"/>
            <w:shd w:val="clear" w:color="auto" w:fill="auto"/>
            <w:vAlign w:val="bottom"/>
          </w:tcPr>
          <w:p w14:paraId="790F193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41</w:t>
            </w:r>
          </w:p>
        </w:tc>
        <w:tc>
          <w:tcPr>
            <w:tcW w:w="1000" w:type="pct"/>
            <w:shd w:val="clear" w:color="auto" w:fill="auto"/>
            <w:noWrap/>
            <w:vAlign w:val="center"/>
          </w:tcPr>
          <w:p w14:paraId="5346EA6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29C8F8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B3BC4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EFE947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9.7515 </w:t>
            </w:r>
          </w:p>
        </w:tc>
      </w:tr>
      <w:tr w:rsidR="002133E3" w14:paraId="2A911BED" w14:textId="77777777">
        <w:trPr>
          <w:trHeight w:val="315"/>
          <w:jc w:val="center"/>
        </w:trPr>
        <w:tc>
          <w:tcPr>
            <w:tcW w:w="1000" w:type="pct"/>
            <w:shd w:val="clear" w:color="auto" w:fill="auto"/>
            <w:vAlign w:val="bottom"/>
          </w:tcPr>
          <w:p w14:paraId="64DD629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42</w:t>
            </w:r>
          </w:p>
        </w:tc>
        <w:tc>
          <w:tcPr>
            <w:tcW w:w="1000" w:type="pct"/>
            <w:shd w:val="clear" w:color="auto" w:fill="auto"/>
            <w:noWrap/>
            <w:vAlign w:val="center"/>
          </w:tcPr>
          <w:p w14:paraId="1C1C3C4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2407E0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F309CE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7001E2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9.6026 </w:t>
            </w:r>
          </w:p>
        </w:tc>
      </w:tr>
      <w:tr w:rsidR="002133E3" w14:paraId="025E6089" w14:textId="77777777">
        <w:trPr>
          <w:trHeight w:val="315"/>
          <w:jc w:val="center"/>
        </w:trPr>
        <w:tc>
          <w:tcPr>
            <w:tcW w:w="1000" w:type="pct"/>
            <w:shd w:val="clear" w:color="auto" w:fill="auto"/>
            <w:vAlign w:val="bottom"/>
          </w:tcPr>
          <w:p w14:paraId="1BE92C9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43</w:t>
            </w:r>
          </w:p>
        </w:tc>
        <w:tc>
          <w:tcPr>
            <w:tcW w:w="1000" w:type="pct"/>
            <w:shd w:val="clear" w:color="auto" w:fill="auto"/>
            <w:noWrap/>
            <w:vAlign w:val="center"/>
          </w:tcPr>
          <w:p w14:paraId="5B5F658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5C5F3D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6290B4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FA259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9.3848 </w:t>
            </w:r>
          </w:p>
        </w:tc>
      </w:tr>
      <w:tr w:rsidR="002133E3" w14:paraId="152736A5" w14:textId="77777777">
        <w:trPr>
          <w:trHeight w:val="315"/>
          <w:jc w:val="center"/>
        </w:trPr>
        <w:tc>
          <w:tcPr>
            <w:tcW w:w="1000" w:type="pct"/>
            <w:shd w:val="clear" w:color="auto" w:fill="auto"/>
            <w:vAlign w:val="bottom"/>
          </w:tcPr>
          <w:p w14:paraId="79AA14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44</w:t>
            </w:r>
          </w:p>
        </w:tc>
        <w:tc>
          <w:tcPr>
            <w:tcW w:w="1000" w:type="pct"/>
            <w:shd w:val="clear" w:color="auto" w:fill="auto"/>
            <w:noWrap/>
            <w:vAlign w:val="center"/>
          </w:tcPr>
          <w:p w14:paraId="0CECDCB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5DAF8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C88628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739F2D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9.0807 </w:t>
            </w:r>
          </w:p>
        </w:tc>
      </w:tr>
      <w:tr w:rsidR="002133E3" w14:paraId="2267CB9A" w14:textId="77777777">
        <w:trPr>
          <w:trHeight w:val="315"/>
          <w:jc w:val="center"/>
        </w:trPr>
        <w:tc>
          <w:tcPr>
            <w:tcW w:w="1000" w:type="pct"/>
            <w:shd w:val="clear" w:color="auto" w:fill="auto"/>
            <w:vAlign w:val="bottom"/>
          </w:tcPr>
          <w:p w14:paraId="1C68256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45</w:t>
            </w:r>
          </w:p>
        </w:tc>
        <w:tc>
          <w:tcPr>
            <w:tcW w:w="1000" w:type="pct"/>
            <w:shd w:val="clear" w:color="auto" w:fill="auto"/>
            <w:noWrap/>
            <w:vAlign w:val="center"/>
          </w:tcPr>
          <w:p w14:paraId="62704CA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93A0AF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2C2C30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4C19B1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8.6755 </w:t>
            </w:r>
          </w:p>
        </w:tc>
      </w:tr>
      <w:tr w:rsidR="002133E3" w14:paraId="03D1B058" w14:textId="77777777">
        <w:trPr>
          <w:trHeight w:val="315"/>
          <w:jc w:val="center"/>
        </w:trPr>
        <w:tc>
          <w:tcPr>
            <w:tcW w:w="1000" w:type="pct"/>
            <w:shd w:val="clear" w:color="auto" w:fill="auto"/>
            <w:vAlign w:val="bottom"/>
          </w:tcPr>
          <w:p w14:paraId="02FA8B4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46</w:t>
            </w:r>
          </w:p>
        </w:tc>
        <w:tc>
          <w:tcPr>
            <w:tcW w:w="1000" w:type="pct"/>
            <w:shd w:val="clear" w:color="auto" w:fill="auto"/>
            <w:noWrap/>
            <w:vAlign w:val="center"/>
          </w:tcPr>
          <w:p w14:paraId="60BE86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83AB6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4F7AAFE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0BAA82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8.1600 </w:t>
            </w:r>
          </w:p>
        </w:tc>
      </w:tr>
      <w:tr w:rsidR="002133E3" w14:paraId="164B73E0" w14:textId="77777777">
        <w:trPr>
          <w:trHeight w:val="315"/>
          <w:jc w:val="center"/>
        </w:trPr>
        <w:tc>
          <w:tcPr>
            <w:tcW w:w="1000" w:type="pct"/>
            <w:shd w:val="clear" w:color="auto" w:fill="auto"/>
            <w:vAlign w:val="bottom"/>
          </w:tcPr>
          <w:p w14:paraId="1E66E11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47</w:t>
            </w:r>
          </w:p>
        </w:tc>
        <w:tc>
          <w:tcPr>
            <w:tcW w:w="1000" w:type="pct"/>
            <w:shd w:val="clear" w:color="auto" w:fill="auto"/>
            <w:noWrap/>
            <w:vAlign w:val="center"/>
          </w:tcPr>
          <w:p w14:paraId="6BD5B68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0C9037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A9771C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EF5C9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7.5338 </w:t>
            </w:r>
          </w:p>
        </w:tc>
      </w:tr>
      <w:tr w:rsidR="002133E3" w14:paraId="375EC600" w14:textId="77777777">
        <w:trPr>
          <w:trHeight w:val="315"/>
          <w:jc w:val="center"/>
        </w:trPr>
        <w:tc>
          <w:tcPr>
            <w:tcW w:w="1000" w:type="pct"/>
            <w:shd w:val="clear" w:color="auto" w:fill="auto"/>
            <w:vAlign w:val="bottom"/>
          </w:tcPr>
          <w:p w14:paraId="67A906E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48</w:t>
            </w:r>
          </w:p>
        </w:tc>
        <w:tc>
          <w:tcPr>
            <w:tcW w:w="1000" w:type="pct"/>
            <w:shd w:val="clear" w:color="auto" w:fill="auto"/>
            <w:noWrap/>
            <w:vAlign w:val="center"/>
          </w:tcPr>
          <w:p w14:paraId="5A7AC46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32CD80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0BE197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7E42B5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6.8079 </w:t>
            </w:r>
          </w:p>
        </w:tc>
      </w:tr>
      <w:tr w:rsidR="002133E3" w14:paraId="21F6F917" w14:textId="77777777">
        <w:trPr>
          <w:trHeight w:val="315"/>
          <w:jc w:val="center"/>
        </w:trPr>
        <w:tc>
          <w:tcPr>
            <w:tcW w:w="1000" w:type="pct"/>
            <w:shd w:val="clear" w:color="auto" w:fill="auto"/>
            <w:vAlign w:val="bottom"/>
          </w:tcPr>
          <w:p w14:paraId="49DEC65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49</w:t>
            </w:r>
          </w:p>
        </w:tc>
        <w:tc>
          <w:tcPr>
            <w:tcW w:w="1000" w:type="pct"/>
            <w:shd w:val="clear" w:color="auto" w:fill="auto"/>
            <w:noWrap/>
            <w:vAlign w:val="center"/>
          </w:tcPr>
          <w:p w14:paraId="026BD7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E31E9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BE5D6B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B6C39E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6.0043 </w:t>
            </w:r>
          </w:p>
        </w:tc>
      </w:tr>
      <w:tr w:rsidR="002133E3" w14:paraId="7415AC22" w14:textId="77777777">
        <w:trPr>
          <w:trHeight w:val="315"/>
          <w:jc w:val="center"/>
        </w:trPr>
        <w:tc>
          <w:tcPr>
            <w:tcW w:w="1000" w:type="pct"/>
            <w:shd w:val="clear" w:color="auto" w:fill="auto"/>
            <w:vAlign w:val="bottom"/>
          </w:tcPr>
          <w:p w14:paraId="1ABE9F7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1000" w:type="pct"/>
            <w:shd w:val="clear" w:color="auto" w:fill="auto"/>
            <w:noWrap/>
            <w:vAlign w:val="center"/>
          </w:tcPr>
          <w:p w14:paraId="1DF8E70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0C404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2AE7165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7E50929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5.1552 </w:t>
            </w:r>
          </w:p>
        </w:tc>
      </w:tr>
      <w:tr w:rsidR="002133E3" w14:paraId="4D74030A" w14:textId="77777777">
        <w:trPr>
          <w:trHeight w:val="315"/>
          <w:jc w:val="center"/>
        </w:trPr>
        <w:tc>
          <w:tcPr>
            <w:tcW w:w="1000" w:type="pct"/>
            <w:shd w:val="clear" w:color="auto" w:fill="auto"/>
            <w:vAlign w:val="bottom"/>
          </w:tcPr>
          <w:p w14:paraId="7E79948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51</w:t>
            </w:r>
          </w:p>
        </w:tc>
        <w:tc>
          <w:tcPr>
            <w:tcW w:w="1000" w:type="pct"/>
            <w:shd w:val="clear" w:color="auto" w:fill="auto"/>
            <w:noWrap/>
            <w:vAlign w:val="center"/>
          </w:tcPr>
          <w:p w14:paraId="1944DD5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01EBE65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1EF5C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6AE72B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4.2987 </w:t>
            </w:r>
          </w:p>
        </w:tc>
      </w:tr>
      <w:tr w:rsidR="002133E3" w14:paraId="7AC4DAF9" w14:textId="77777777">
        <w:trPr>
          <w:trHeight w:val="315"/>
          <w:jc w:val="center"/>
        </w:trPr>
        <w:tc>
          <w:tcPr>
            <w:tcW w:w="1000" w:type="pct"/>
            <w:shd w:val="clear" w:color="auto" w:fill="auto"/>
            <w:vAlign w:val="bottom"/>
          </w:tcPr>
          <w:p w14:paraId="76A57C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52</w:t>
            </w:r>
          </w:p>
        </w:tc>
        <w:tc>
          <w:tcPr>
            <w:tcW w:w="1000" w:type="pct"/>
            <w:shd w:val="clear" w:color="auto" w:fill="auto"/>
            <w:noWrap/>
            <w:vAlign w:val="center"/>
          </w:tcPr>
          <w:p w14:paraId="45AD2E8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1FDF9D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609BE6E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0.0000 </w:t>
            </w:r>
          </w:p>
        </w:tc>
        <w:tc>
          <w:tcPr>
            <w:tcW w:w="1000" w:type="pct"/>
            <w:shd w:val="clear" w:color="auto" w:fill="auto"/>
            <w:noWrap/>
            <w:vAlign w:val="center"/>
          </w:tcPr>
          <w:p w14:paraId="57F55B8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3.4739 </w:t>
            </w:r>
          </w:p>
        </w:tc>
      </w:tr>
      <w:tr w:rsidR="002133E3" w14:paraId="4EB3FA9A" w14:textId="77777777">
        <w:trPr>
          <w:trHeight w:val="315"/>
          <w:jc w:val="center"/>
        </w:trPr>
        <w:tc>
          <w:tcPr>
            <w:tcW w:w="1000" w:type="pct"/>
            <w:shd w:val="clear" w:color="auto" w:fill="auto"/>
            <w:vAlign w:val="bottom"/>
          </w:tcPr>
          <w:p w14:paraId="6D11849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52.62</w:t>
            </w:r>
          </w:p>
        </w:tc>
        <w:tc>
          <w:tcPr>
            <w:tcW w:w="1000" w:type="pct"/>
            <w:shd w:val="clear" w:color="auto" w:fill="auto"/>
            <w:noWrap/>
            <w:vAlign w:val="center"/>
          </w:tcPr>
          <w:p w14:paraId="54191BC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 xml:space="preserve">0.0000 </w:t>
            </w:r>
          </w:p>
        </w:tc>
        <w:tc>
          <w:tcPr>
            <w:tcW w:w="1000" w:type="pct"/>
            <w:shd w:val="clear" w:color="auto" w:fill="auto"/>
            <w:noWrap/>
            <w:vAlign w:val="center"/>
          </w:tcPr>
          <w:p w14:paraId="624B89A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 xml:space="preserve">0.0000 </w:t>
            </w:r>
          </w:p>
        </w:tc>
        <w:tc>
          <w:tcPr>
            <w:tcW w:w="1000" w:type="pct"/>
            <w:shd w:val="clear" w:color="auto" w:fill="auto"/>
            <w:noWrap/>
            <w:vAlign w:val="center"/>
          </w:tcPr>
          <w:p w14:paraId="06ED3FF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 xml:space="preserve">0.0000 </w:t>
            </w:r>
          </w:p>
        </w:tc>
        <w:tc>
          <w:tcPr>
            <w:tcW w:w="1000" w:type="pct"/>
            <w:shd w:val="clear" w:color="auto" w:fill="auto"/>
            <w:noWrap/>
            <w:vAlign w:val="center"/>
          </w:tcPr>
          <w:p w14:paraId="56BA935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 xml:space="preserve">2.9941 </w:t>
            </w:r>
          </w:p>
        </w:tc>
      </w:tr>
    </w:tbl>
    <w:p w14:paraId="69A1B90A" w14:textId="77777777" w:rsidR="002133E3" w:rsidRDefault="00C22CFA">
      <w:pPr>
        <w:snapToGrid w:val="0"/>
        <w:spacing w:line="500" w:lineRule="atLeast"/>
        <w:ind w:firstLineChars="200" w:firstLine="560"/>
        <w:rPr>
          <w:rFonts w:ascii="Times New Roman" w:eastAsia="宋体" w:hAnsi="Times New Roman" w:cs="Times New Roman"/>
          <w:color w:val="000000"/>
          <w:sz w:val="28"/>
          <w:szCs w:val="24"/>
        </w:rPr>
      </w:pPr>
      <w:r>
        <w:rPr>
          <w:rFonts w:ascii="Times New Roman" w:eastAsia="宋体" w:hAnsi="Times New Roman" w:cs="Times New Roman"/>
          <w:color w:val="000000"/>
          <w:sz w:val="28"/>
          <w:szCs w:val="24"/>
        </w:rPr>
        <w:t>根据模型预测，耗氧量在地下水中污染扩散超标范围为：</w:t>
      </w:r>
      <w:r>
        <w:rPr>
          <w:rFonts w:ascii="Times New Roman" w:eastAsia="宋体" w:hAnsi="Times New Roman" w:cs="Times New Roman"/>
          <w:color w:val="000000"/>
          <w:sz w:val="28"/>
          <w:szCs w:val="24"/>
        </w:rPr>
        <w:t>100</w:t>
      </w:r>
      <w:r>
        <w:rPr>
          <w:rFonts w:ascii="Times New Roman" w:eastAsia="宋体" w:hAnsi="Times New Roman" w:cs="Times New Roman"/>
          <w:color w:val="000000"/>
          <w:sz w:val="28"/>
          <w:szCs w:val="24"/>
        </w:rPr>
        <w:t>天超标范围为</w:t>
      </w:r>
      <w:r>
        <w:rPr>
          <w:rFonts w:ascii="Times New Roman" w:eastAsia="宋体" w:hAnsi="Times New Roman" w:cs="Times New Roman"/>
          <w:color w:val="000000"/>
          <w:sz w:val="28"/>
          <w:szCs w:val="24"/>
        </w:rPr>
        <w:lastRenderedPageBreak/>
        <w:t>泄漏点周围</w:t>
      </w:r>
      <w:r>
        <w:rPr>
          <w:rFonts w:ascii="Times New Roman" w:eastAsia="宋体" w:hAnsi="Times New Roman" w:cs="Times New Roman"/>
          <w:color w:val="000000"/>
          <w:sz w:val="28"/>
          <w:szCs w:val="24"/>
        </w:rPr>
        <w:t>1.935m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365</w:t>
      </w:r>
      <w:r>
        <w:rPr>
          <w:rFonts w:ascii="Times New Roman" w:eastAsia="宋体" w:hAnsi="Times New Roman" w:cs="Times New Roman"/>
          <w:color w:val="000000"/>
          <w:sz w:val="28"/>
          <w:szCs w:val="24"/>
        </w:rPr>
        <w:t>天超标范围为泄漏点周围</w:t>
      </w:r>
      <w:r>
        <w:rPr>
          <w:rFonts w:ascii="Times New Roman" w:eastAsia="宋体" w:hAnsi="Times New Roman" w:cs="Times New Roman"/>
          <w:color w:val="000000"/>
          <w:sz w:val="28"/>
          <w:szCs w:val="24"/>
        </w:rPr>
        <w:t>5.98m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1000</w:t>
      </w:r>
      <w:r>
        <w:rPr>
          <w:rFonts w:ascii="Times New Roman" w:eastAsia="宋体" w:hAnsi="Times New Roman" w:cs="Times New Roman"/>
          <w:color w:val="000000"/>
          <w:sz w:val="28"/>
          <w:szCs w:val="24"/>
        </w:rPr>
        <w:t>天超标范围为泄漏点周围</w:t>
      </w:r>
      <w:r>
        <w:rPr>
          <w:rFonts w:ascii="Times New Roman" w:eastAsia="宋体" w:hAnsi="Times New Roman" w:cs="Times New Roman"/>
          <w:color w:val="000000"/>
          <w:sz w:val="28"/>
          <w:szCs w:val="24"/>
        </w:rPr>
        <w:t>15.02m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10</w:t>
      </w:r>
      <w:r>
        <w:rPr>
          <w:rFonts w:ascii="Times New Roman" w:eastAsia="宋体" w:hAnsi="Times New Roman" w:cs="Times New Roman"/>
          <w:color w:val="000000"/>
          <w:sz w:val="28"/>
          <w:szCs w:val="24"/>
        </w:rPr>
        <w:t>年超标范围为泄漏点周围</w:t>
      </w:r>
      <w:r>
        <w:rPr>
          <w:rFonts w:ascii="Times New Roman" w:eastAsia="宋体" w:hAnsi="Times New Roman" w:cs="Times New Roman"/>
          <w:color w:val="000000"/>
          <w:sz w:val="28"/>
          <w:szCs w:val="24"/>
        </w:rPr>
        <w:t>52.62m</w:t>
      </w:r>
      <w:r>
        <w:rPr>
          <w:rFonts w:ascii="Times New Roman" w:eastAsia="宋体" w:hAnsi="Times New Roman" w:cs="Times New Roman"/>
          <w:color w:val="000000"/>
          <w:sz w:val="28"/>
          <w:szCs w:val="24"/>
        </w:rPr>
        <w:t>，均未超出厂界，影响范围较小。</w:t>
      </w:r>
    </w:p>
    <w:p w14:paraId="7C449F54" w14:textId="77777777" w:rsidR="002133E3" w:rsidRDefault="00C22CFA">
      <w:pPr>
        <w:snapToGrid w:val="0"/>
        <w:spacing w:line="500" w:lineRule="atLeas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非正常情况下，预测结果显示沉砂池发生防渗层破裂的情况下，对地下水环境将产生一定的影响。因此，公司在生产过程中须加强管理，定期对各废水处理单元池体状况进行检查，发现有渗漏情况，须及时对池体进行维修，防治地下水污染。</w:t>
      </w:r>
    </w:p>
    <w:p w14:paraId="6FA14C87" w14:textId="77777777" w:rsidR="002133E3" w:rsidRDefault="00C22CFA">
      <w:pPr>
        <w:snapToGrid w:val="0"/>
        <w:spacing w:line="500" w:lineRule="atLeas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判断深层地下水是否会受到污染影响，通常分析深层地下水含水组上覆地层的防污性能和有无与浅层地下水的水利联系。通过水文地质条件分析，区内第</w:t>
      </w:r>
      <w:r>
        <w:rPr>
          <w:rFonts w:ascii="宋体" w:eastAsia="宋体" w:hAnsi="宋体" w:cs="宋体" w:hint="eastAsia"/>
          <w:color w:val="0D0D0D"/>
          <w:sz w:val="28"/>
          <w:szCs w:val="28"/>
        </w:rPr>
        <w:t>Ⅱ</w:t>
      </w:r>
      <w:r>
        <w:rPr>
          <w:rFonts w:ascii="Times New Roman" w:eastAsia="宋体" w:hAnsi="Times New Roman" w:cs="Times New Roman"/>
          <w:color w:val="0D0D0D"/>
          <w:sz w:val="28"/>
          <w:szCs w:val="28"/>
        </w:rPr>
        <w:t>含水组顶板为分布比较稳定且厚度较大的粘土隔水层，所以垂直渗入补给条件较差，与浅层地下水水利联系不密切。因此，深层地下水不会受到项目下渗污水的污染影响。</w:t>
      </w:r>
    </w:p>
    <w:p w14:paraId="1A01D05B"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bookmarkStart w:id="65" w:name="_Toc57993019"/>
      <w:bookmarkStart w:id="66" w:name="_Toc18501262"/>
      <w:bookmarkStart w:id="67" w:name="_Toc519497249"/>
      <w:r>
        <w:rPr>
          <w:rFonts w:ascii="Times New Roman" w:eastAsia="宋体" w:hAnsi="Times New Roman" w:cs="Times New Roman"/>
          <w:b/>
          <w:sz w:val="30"/>
          <w:szCs w:val="30"/>
        </w:rPr>
        <w:t>土壤环境影响评价</w:t>
      </w:r>
      <w:bookmarkEnd w:id="65"/>
      <w:bookmarkEnd w:id="66"/>
    </w:p>
    <w:p w14:paraId="52A2E988"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土壤环境影响识别</w:t>
      </w:r>
    </w:p>
    <w:p w14:paraId="4EE5E24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土壤环境影响类型及途径</w:t>
      </w:r>
    </w:p>
    <w:p w14:paraId="64263F11" w14:textId="77777777" w:rsidR="002133E3" w:rsidRDefault="00C22CFA">
      <w:pPr>
        <w:snapToGrid w:val="0"/>
        <w:spacing w:line="500" w:lineRule="atLeast"/>
        <w:ind w:firstLineChars="200" w:firstLine="560"/>
        <w:rPr>
          <w:rFonts w:ascii="Times New Roman" w:eastAsia="宋体" w:hAnsi="Times New Roman" w:cs="Times New Roman"/>
          <w:color w:val="0D0D0D"/>
          <w:kern w:val="0"/>
          <w:sz w:val="28"/>
          <w:szCs w:val="28"/>
        </w:rPr>
      </w:pPr>
      <w:r>
        <w:rPr>
          <w:rFonts w:ascii="Times New Roman" w:eastAsia="宋体" w:hAnsi="Times New Roman" w:cs="Times New Roman"/>
          <w:color w:val="0D0D0D"/>
          <w:kern w:val="0"/>
          <w:sz w:val="28"/>
          <w:szCs w:val="28"/>
        </w:rPr>
        <w:t>本项目属于土壤污染影响型项目，对土壤的环境影响主要是垂直入渗影响。土壤环境影响类型与影响途径见表</w:t>
      </w:r>
      <w:r>
        <w:rPr>
          <w:rFonts w:ascii="Times New Roman" w:eastAsia="宋体" w:hAnsi="Times New Roman" w:cs="Times New Roman"/>
          <w:color w:val="0D0D0D"/>
          <w:kern w:val="0"/>
          <w:sz w:val="28"/>
          <w:szCs w:val="28"/>
        </w:rPr>
        <w:t>6.7-1</w:t>
      </w:r>
      <w:r>
        <w:rPr>
          <w:rFonts w:ascii="Times New Roman" w:eastAsia="宋体" w:hAnsi="Times New Roman" w:cs="Times New Roman"/>
          <w:color w:val="0D0D0D"/>
          <w:kern w:val="0"/>
          <w:sz w:val="28"/>
          <w:szCs w:val="28"/>
        </w:rPr>
        <w:t>。</w:t>
      </w:r>
    </w:p>
    <w:p w14:paraId="2A4E4C63" w14:textId="77777777" w:rsidR="002133E3" w:rsidRDefault="00C22CFA">
      <w:pPr>
        <w:snapToGrid w:val="0"/>
        <w:spacing w:line="500" w:lineRule="atLeast"/>
        <w:ind w:firstLineChars="200" w:firstLine="482"/>
        <w:jc w:val="center"/>
        <w:rPr>
          <w:rFonts w:ascii="Times New Roman" w:eastAsia="宋体" w:hAnsi="Times New Roman" w:cs="Times New Roman"/>
          <w:b/>
          <w:color w:val="0D0D0D"/>
          <w:kern w:val="0"/>
          <w:sz w:val="24"/>
          <w:szCs w:val="24"/>
        </w:rPr>
      </w:pPr>
      <w:r>
        <w:rPr>
          <w:rFonts w:ascii="Times New Roman" w:eastAsia="宋体" w:hAnsi="Times New Roman" w:cs="Times New Roman"/>
          <w:b/>
          <w:color w:val="0D0D0D"/>
          <w:kern w:val="0"/>
          <w:sz w:val="24"/>
          <w:szCs w:val="24"/>
        </w:rPr>
        <w:t>表</w:t>
      </w:r>
      <w:r>
        <w:rPr>
          <w:rFonts w:ascii="Times New Roman" w:eastAsia="宋体" w:hAnsi="Times New Roman" w:cs="Times New Roman"/>
          <w:b/>
          <w:color w:val="0D0D0D"/>
          <w:kern w:val="0"/>
          <w:sz w:val="24"/>
          <w:szCs w:val="24"/>
        </w:rPr>
        <w:t xml:space="preserve">6.7-1 </w:t>
      </w:r>
      <w:r>
        <w:rPr>
          <w:rFonts w:ascii="Times New Roman" w:eastAsia="宋体" w:hAnsi="Times New Roman" w:cs="Times New Roman"/>
          <w:b/>
          <w:color w:val="0D0D0D"/>
          <w:kern w:val="0"/>
          <w:sz w:val="24"/>
          <w:szCs w:val="24"/>
        </w:rPr>
        <w:t>土壤影响类型与影响途径表</w:t>
      </w:r>
    </w:p>
    <w:tbl>
      <w:tblPr>
        <w:tblStyle w:val="afff5"/>
        <w:tblW w:w="9458" w:type="dxa"/>
        <w:jc w:val="center"/>
        <w:tblLayout w:type="fixed"/>
        <w:tblLook w:val="04A0" w:firstRow="1" w:lastRow="0" w:firstColumn="1" w:lastColumn="0" w:noHBand="0" w:noVBand="1"/>
      </w:tblPr>
      <w:tblGrid>
        <w:gridCol w:w="1891"/>
        <w:gridCol w:w="1891"/>
        <w:gridCol w:w="1892"/>
        <w:gridCol w:w="1892"/>
        <w:gridCol w:w="1892"/>
      </w:tblGrid>
      <w:tr w:rsidR="002133E3" w14:paraId="4575E1CE" w14:textId="77777777">
        <w:trPr>
          <w:jc w:val="center"/>
        </w:trPr>
        <w:tc>
          <w:tcPr>
            <w:tcW w:w="1891" w:type="dxa"/>
            <w:vMerge w:val="restart"/>
            <w:vAlign w:val="center"/>
          </w:tcPr>
          <w:p w14:paraId="18D54A4F" w14:textId="77777777" w:rsidR="002133E3" w:rsidRDefault="00C22CFA">
            <w:pPr>
              <w:jc w:val="center"/>
              <w:rPr>
                <w:color w:val="0D0D0D"/>
                <w:kern w:val="0"/>
                <w:szCs w:val="21"/>
              </w:rPr>
            </w:pPr>
            <w:r>
              <w:rPr>
                <w:color w:val="0D0D0D"/>
                <w:kern w:val="0"/>
                <w:szCs w:val="21"/>
              </w:rPr>
              <w:t>不同时段</w:t>
            </w:r>
          </w:p>
        </w:tc>
        <w:tc>
          <w:tcPr>
            <w:tcW w:w="7567" w:type="dxa"/>
            <w:gridSpan w:val="4"/>
            <w:vAlign w:val="center"/>
          </w:tcPr>
          <w:p w14:paraId="49907218" w14:textId="77777777" w:rsidR="002133E3" w:rsidRDefault="00C22CFA">
            <w:pPr>
              <w:jc w:val="center"/>
              <w:rPr>
                <w:color w:val="0D0D0D"/>
                <w:kern w:val="0"/>
                <w:szCs w:val="21"/>
              </w:rPr>
            </w:pPr>
            <w:r>
              <w:rPr>
                <w:color w:val="0D0D0D"/>
                <w:kern w:val="0"/>
                <w:szCs w:val="21"/>
              </w:rPr>
              <w:t>污染影响型</w:t>
            </w:r>
          </w:p>
        </w:tc>
      </w:tr>
      <w:tr w:rsidR="002133E3" w14:paraId="69814D05" w14:textId="77777777">
        <w:trPr>
          <w:jc w:val="center"/>
        </w:trPr>
        <w:tc>
          <w:tcPr>
            <w:tcW w:w="1891" w:type="dxa"/>
            <w:vMerge/>
            <w:vAlign w:val="center"/>
          </w:tcPr>
          <w:p w14:paraId="56646291" w14:textId="77777777" w:rsidR="002133E3" w:rsidRDefault="002133E3">
            <w:pPr>
              <w:jc w:val="center"/>
              <w:rPr>
                <w:color w:val="0D0D0D"/>
                <w:kern w:val="0"/>
                <w:szCs w:val="21"/>
              </w:rPr>
            </w:pPr>
          </w:p>
        </w:tc>
        <w:tc>
          <w:tcPr>
            <w:tcW w:w="1891" w:type="dxa"/>
            <w:vAlign w:val="center"/>
          </w:tcPr>
          <w:p w14:paraId="6426407F" w14:textId="77777777" w:rsidR="002133E3" w:rsidRDefault="00C22CFA">
            <w:pPr>
              <w:jc w:val="center"/>
              <w:rPr>
                <w:color w:val="0D0D0D"/>
                <w:kern w:val="0"/>
                <w:szCs w:val="21"/>
              </w:rPr>
            </w:pPr>
            <w:r>
              <w:rPr>
                <w:color w:val="0D0D0D"/>
                <w:kern w:val="0"/>
                <w:szCs w:val="21"/>
              </w:rPr>
              <w:t>大气沉降</w:t>
            </w:r>
          </w:p>
        </w:tc>
        <w:tc>
          <w:tcPr>
            <w:tcW w:w="1892" w:type="dxa"/>
            <w:vAlign w:val="center"/>
          </w:tcPr>
          <w:p w14:paraId="2A853097" w14:textId="77777777" w:rsidR="002133E3" w:rsidRDefault="00C22CFA">
            <w:pPr>
              <w:jc w:val="center"/>
              <w:rPr>
                <w:color w:val="0D0D0D"/>
                <w:kern w:val="0"/>
                <w:szCs w:val="21"/>
              </w:rPr>
            </w:pPr>
            <w:r>
              <w:rPr>
                <w:color w:val="0D0D0D"/>
                <w:kern w:val="0"/>
                <w:szCs w:val="21"/>
              </w:rPr>
              <w:t>地面漫流</w:t>
            </w:r>
          </w:p>
        </w:tc>
        <w:tc>
          <w:tcPr>
            <w:tcW w:w="1892" w:type="dxa"/>
            <w:vAlign w:val="center"/>
          </w:tcPr>
          <w:p w14:paraId="52A5CC46" w14:textId="77777777" w:rsidR="002133E3" w:rsidRDefault="00C22CFA">
            <w:pPr>
              <w:jc w:val="center"/>
              <w:rPr>
                <w:color w:val="0D0D0D"/>
                <w:kern w:val="0"/>
                <w:szCs w:val="21"/>
              </w:rPr>
            </w:pPr>
            <w:r>
              <w:rPr>
                <w:color w:val="0D0D0D"/>
                <w:kern w:val="0"/>
                <w:szCs w:val="21"/>
              </w:rPr>
              <w:t>垂直入渗</w:t>
            </w:r>
          </w:p>
        </w:tc>
        <w:tc>
          <w:tcPr>
            <w:tcW w:w="1892" w:type="dxa"/>
            <w:vAlign w:val="center"/>
          </w:tcPr>
          <w:p w14:paraId="3D9A74D8" w14:textId="77777777" w:rsidR="002133E3" w:rsidRDefault="00C22CFA">
            <w:pPr>
              <w:jc w:val="center"/>
              <w:rPr>
                <w:color w:val="0D0D0D"/>
                <w:kern w:val="0"/>
                <w:szCs w:val="21"/>
              </w:rPr>
            </w:pPr>
            <w:r>
              <w:rPr>
                <w:color w:val="0D0D0D"/>
                <w:kern w:val="0"/>
                <w:szCs w:val="21"/>
              </w:rPr>
              <w:t>其他</w:t>
            </w:r>
          </w:p>
        </w:tc>
      </w:tr>
      <w:tr w:rsidR="002133E3" w14:paraId="68F71C73" w14:textId="77777777">
        <w:trPr>
          <w:jc w:val="center"/>
        </w:trPr>
        <w:tc>
          <w:tcPr>
            <w:tcW w:w="1891" w:type="dxa"/>
            <w:vAlign w:val="center"/>
          </w:tcPr>
          <w:p w14:paraId="2074AEC1" w14:textId="77777777" w:rsidR="002133E3" w:rsidRDefault="00C22CFA">
            <w:pPr>
              <w:jc w:val="center"/>
              <w:rPr>
                <w:color w:val="0D0D0D"/>
                <w:kern w:val="0"/>
                <w:szCs w:val="21"/>
              </w:rPr>
            </w:pPr>
            <w:r>
              <w:rPr>
                <w:color w:val="0D0D0D"/>
                <w:kern w:val="0"/>
                <w:szCs w:val="21"/>
              </w:rPr>
              <w:t>建设期</w:t>
            </w:r>
          </w:p>
        </w:tc>
        <w:tc>
          <w:tcPr>
            <w:tcW w:w="1891" w:type="dxa"/>
            <w:vAlign w:val="center"/>
          </w:tcPr>
          <w:p w14:paraId="3760F835" w14:textId="77777777" w:rsidR="002133E3" w:rsidRDefault="00C22CFA">
            <w:pPr>
              <w:jc w:val="center"/>
              <w:rPr>
                <w:color w:val="0D0D0D"/>
                <w:kern w:val="0"/>
                <w:szCs w:val="21"/>
              </w:rPr>
            </w:pPr>
            <w:r>
              <w:rPr>
                <w:color w:val="0D0D0D"/>
                <w:kern w:val="0"/>
                <w:szCs w:val="21"/>
              </w:rPr>
              <w:t>/</w:t>
            </w:r>
          </w:p>
        </w:tc>
        <w:tc>
          <w:tcPr>
            <w:tcW w:w="1892" w:type="dxa"/>
            <w:vAlign w:val="center"/>
          </w:tcPr>
          <w:p w14:paraId="1E1ED7C8" w14:textId="77777777" w:rsidR="002133E3" w:rsidRDefault="00C22CFA">
            <w:pPr>
              <w:jc w:val="center"/>
              <w:rPr>
                <w:color w:val="0D0D0D"/>
                <w:kern w:val="0"/>
                <w:szCs w:val="21"/>
              </w:rPr>
            </w:pPr>
            <w:r>
              <w:rPr>
                <w:color w:val="0D0D0D"/>
                <w:kern w:val="0"/>
                <w:szCs w:val="21"/>
              </w:rPr>
              <w:t>/</w:t>
            </w:r>
          </w:p>
        </w:tc>
        <w:tc>
          <w:tcPr>
            <w:tcW w:w="1892" w:type="dxa"/>
            <w:vAlign w:val="center"/>
          </w:tcPr>
          <w:p w14:paraId="2048D4EC" w14:textId="77777777" w:rsidR="002133E3" w:rsidRDefault="00C22CFA">
            <w:pPr>
              <w:jc w:val="center"/>
              <w:rPr>
                <w:color w:val="0D0D0D"/>
                <w:kern w:val="0"/>
                <w:szCs w:val="21"/>
              </w:rPr>
            </w:pPr>
            <w:r>
              <w:rPr>
                <w:color w:val="0D0D0D"/>
                <w:kern w:val="0"/>
                <w:szCs w:val="21"/>
              </w:rPr>
              <w:t>/</w:t>
            </w:r>
          </w:p>
        </w:tc>
        <w:tc>
          <w:tcPr>
            <w:tcW w:w="1892" w:type="dxa"/>
            <w:vAlign w:val="center"/>
          </w:tcPr>
          <w:p w14:paraId="251D1D3B" w14:textId="77777777" w:rsidR="002133E3" w:rsidRDefault="00C22CFA">
            <w:pPr>
              <w:jc w:val="center"/>
              <w:rPr>
                <w:color w:val="0D0D0D"/>
                <w:kern w:val="0"/>
                <w:szCs w:val="21"/>
              </w:rPr>
            </w:pPr>
            <w:r>
              <w:rPr>
                <w:color w:val="0D0D0D"/>
                <w:kern w:val="0"/>
                <w:szCs w:val="21"/>
              </w:rPr>
              <w:t>/</w:t>
            </w:r>
          </w:p>
        </w:tc>
      </w:tr>
      <w:tr w:rsidR="002133E3" w14:paraId="02B82BE4" w14:textId="77777777">
        <w:trPr>
          <w:jc w:val="center"/>
        </w:trPr>
        <w:tc>
          <w:tcPr>
            <w:tcW w:w="1891" w:type="dxa"/>
            <w:vAlign w:val="center"/>
          </w:tcPr>
          <w:p w14:paraId="6B0B5492" w14:textId="77777777" w:rsidR="002133E3" w:rsidRDefault="00C22CFA">
            <w:pPr>
              <w:jc w:val="center"/>
              <w:rPr>
                <w:color w:val="0D0D0D"/>
                <w:kern w:val="0"/>
                <w:szCs w:val="21"/>
              </w:rPr>
            </w:pPr>
            <w:r>
              <w:rPr>
                <w:color w:val="0D0D0D"/>
                <w:kern w:val="0"/>
                <w:szCs w:val="21"/>
              </w:rPr>
              <w:t>运营期</w:t>
            </w:r>
          </w:p>
        </w:tc>
        <w:tc>
          <w:tcPr>
            <w:tcW w:w="1891" w:type="dxa"/>
            <w:vAlign w:val="center"/>
          </w:tcPr>
          <w:p w14:paraId="2CB85B5A" w14:textId="77777777" w:rsidR="002133E3" w:rsidRDefault="00C22CFA">
            <w:pPr>
              <w:jc w:val="center"/>
              <w:rPr>
                <w:color w:val="0D0D0D"/>
                <w:kern w:val="0"/>
                <w:szCs w:val="21"/>
              </w:rPr>
            </w:pPr>
            <w:r>
              <w:rPr>
                <w:color w:val="0D0D0D"/>
                <w:kern w:val="0"/>
                <w:szCs w:val="21"/>
              </w:rPr>
              <w:t>/</w:t>
            </w:r>
          </w:p>
        </w:tc>
        <w:tc>
          <w:tcPr>
            <w:tcW w:w="1892" w:type="dxa"/>
            <w:vAlign w:val="center"/>
          </w:tcPr>
          <w:p w14:paraId="37955E58" w14:textId="77777777" w:rsidR="002133E3" w:rsidRDefault="00C22CFA">
            <w:pPr>
              <w:jc w:val="center"/>
              <w:rPr>
                <w:color w:val="0D0D0D"/>
                <w:kern w:val="0"/>
                <w:szCs w:val="21"/>
              </w:rPr>
            </w:pPr>
            <w:r>
              <w:rPr>
                <w:color w:val="0D0D0D"/>
                <w:kern w:val="0"/>
                <w:szCs w:val="21"/>
              </w:rPr>
              <w:t>/</w:t>
            </w:r>
          </w:p>
        </w:tc>
        <w:tc>
          <w:tcPr>
            <w:tcW w:w="1892" w:type="dxa"/>
            <w:vAlign w:val="center"/>
          </w:tcPr>
          <w:p w14:paraId="785116DB" w14:textId="77777777" w:rsidR="002133E3" w:rsidRDefault="00C22CFA">
            <w:pPr>
              <w:jc w:val="center"/>
              <w:rPr>
                <w:color w:val="0D0D0D"/>
                <w:kern w:val="0"/>
                <w:szCs w:val="21"/>
              </w:rPr>
            </w:pPr>
            <w:r>
              <w:rPr>
                <w:color w:val="0D0D0D"/>
                <w:kern w:val="0"/>
                <w:szCs w:val="21"/>
              </w:rPr>
              <w:t>√</w:t>
            </w:r>
          </w:p>
        </w:tc>
        <w:tc>
          <w:tcPr>
            <w:tcW w:w="1892" w:type="dxa"/>
            <w:vAlign w:val="center"/>
          </w:tcPr>
          <w:p w14:paraId="59E6B4EF" w14:textId="77777777" w:rsidR="002133E3" w:rsidRDefault="00C22CFA">
            <w:pPr>
              <w:jc w:val="center"/>
              <w:rPr>
                <w:color w:val="0D0D0D"/>
                <w:kern w:val="0"/>
                <w:szCs w:val="21"/>
              </w:rPr>
            </w:pPr>
            <w:r>
              <w:rPr>
                <w:color w:val="0D0D0D"/>
                <w:kern w:val="0"/>
                <w:szCs w:val="21"/>
              </w:rPr>
              <w:t>/</w:t>
            </w:r>
          </w:p>
        </w:tc>
      </w:tr>
    </w:tbl>
    <w:p w14:paraId="6E786EF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调查评价范围</w:t>
      </w:r>
    </w:p>
    <w:p w14:paraId="1D46E3B7" w14:textId="77777777" w:rsidR="002133E3" w:rsidRDefault="00C22CFA">
      <w:pPr>
        <w:spacing w:line="500" w:lineRule="exact"/>
        <w:ind w:firstLineChars="200" w:firstLine="560"/>
        <w:rPr>
          <w:rFonts w:ascii="Times New Roman" w:eastAsia="宋体" w:hAnsi="Times New Roman" w:cs="Times New Roman"/>
          <w:color w:val="0D0D0D"/>
          <w:kern w:val="0"/>
          <w:sz w:val="28"/>
          <w:szCs w:val="28"/>
        </w:rPr>
      </w:pPr>
      <w:r>
        <w:rPr>
          <w:rFonts w:ascii="Times New Roman" w:eastAsia="宋体" w:hAnsi="Times New Roman" w:cs="Times New Roman"/>
          <w:color w:val="0D0D0D"/>
          <w:kern w:val="0"/>
          <w:sz w:val="28"/>
          <w:szCs w:val="28"/>
        </w:rPr>
        <w:t>根据《环境影响评价技术导则土壤环境（试行）》（</w:t>
      </w:r>
      <w:r>
        <w:rPr>
          <w:rFonts w:ascii="Times New Roman" w:eastAsia="宋体" w:hAnsi="Times New Roman" w:cs="Times New Roman"/>
          <w:color w:val="0D0D0D"/>
          <w:kern w:val="0"/>
          <w:sz w:val="28"/>
          <w:szCs w:val="28"/>
        </w:rPr>
        <w:t>HJ964-2018</w:t>
      </w:r>
      <w:r>
        <w:rPr>
          <w:rFonts w:ascii="Times New Roman" w:eastAsia="宋体" w:hAnsi="Times New Roman" w:cs="Times New Roman"/>
          <w:color w:val="0D0D0D"/>
          <w:kern w:val="0"/>
          <w:sz w:val="28"/>
          <w:szCs w:val="28"/>
        </w:rPr>
        <w:t>），本项目影响范围确定为</w:t>
      </w:r>
      <w:r>
        <w:rPr>
          <w:rFonts w:ascii="Times New Roman" w:eastAsia="宋体" w:hAnsi="Times New Roman" w:cs="Times New Roman"/>
          <w:color w:val="0D0D0D"/>
          <w:kern w:val="0"/>
          <w:sz w:val="28"/>
          <w:szCs w:val="28"/>
        </w:rPr>
        <w:t>0.2km</w:t>
      </w:r>
      <w:r>
        <w:rPr>
          <w:rFonts w:ascii="Times New Roman" w:eastAsia="宋体" w:hAnsi="Times New Roman" w:cs="Times New Roman"/>
          <w:color w:val="0D0D0D"/>
          <w:kern w:val="0"/>
          <w:sz w:val="28"/>
          <w:szCs w:val="28"/>
        </w:rPr>
        <w:t>。</w:t>
      </w:r>
    </w:p>
    <w:p w14:paraId="439A9B0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敏感目标</w:t>
      </w:r>
    </w:p>
    <w:p w14:paraId="1D393FB2" w14:textId="77777777" w:rsidR="002133E3" w:rsidRDefault="00C22CFA">
      <w:pPr>
        <w:spacing w:line="500" w:lineRule="exact"/>
        <w:ind w:firstLineChars="200" w:firstLine="560"/>
        <w:rPr>
          <w:rFonts w:ascii="Times New Roman" w:eastAsia="宋体" w:hAnsi="Times New Roman" w:cs="Times New Roman"/>
          <w:color w:val="0D0D0D"/>
          <w:kern w:val="0"/>
          <w:sz w:val="28"/>
          <w:szCs w:val="28"/>
        </w:rPr>
      </w:pPr>
      <w:r>
        <w:rPr>
          <w:rFonts w:ascii="Times New Roman" w:eastAsia="宋体" w:hAnsi="Times New Roman" w:cs="Times New Roman"/>
          <w:color w:val="0D0D0D"/>
          <w:kern w:val="0"/>
          <w:sz w:val="28"/>
          <w:szCs w:val="28"/>
        </w:rPr>
        <w:t>项目位于赣榆海州湾生物科技园内，本项目所在地周边存在居民，因此本项目的土壤环境敏感程度为敏感。</w:t>
      </w:r>
    </w:p>
    <w:p w14:paraId="384D4A5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土壤环境评价等级</w:t>
      </w:r>
    </w:p>
    <w:p w14:paraId="08298157" w14:textId="77777777" w:rsidR="002133E3" w:rsidRDefault="00C22CFA">
      <w:pPr>
        <w:spacing w:line="500" w:lineRule="exact"/>
        <w:ind w:firstLineChars="200" w:firstLine="560"/>
        <w:rPr>
          <w:rFonts w:ascii="Times New Roman" w:eastAsia="宋体" w:hAnsi="Times New Roman" w:cs="Times New Roman"/>
          <w:color w:val="0D0D0D"/>
          <w:kern w:val="0"/>
          <w:sz w:val="28"/>
          <w:szCs w:val="28"/>
        </w:rPr>
      </w:pPr>
      <w:r>
        <w:rPr>
          <w:rFonts w:ascii="Times New Roman" w:eastAsia="宋体" w:hAnsi="Times New Roman" w:cs="Times New Roman"/>
          <w:color w:val="0D0D0D"/>
          <w:kern w:val="0"/>
          <w:sz w:val="28"/>
          <w:szCs w:val="28"/>
        </w:rPr>
        <w:t>本项目属于污染影响型建设项目，属于附录</w:t>
      </w:r>
      <w:r>
        <w:rPr>
          <w:rFonts w:ascii="Times New Roman" w:eastAsia="宋体" w:hAnsi="Times New Roman" w:cs="Times New Roman"/>
          <w:color w:val="0D0D0D"/>
          <w:kern w:val="0"/>
          <w:sz w:val="28"/>
          <w:szCs w:val="28"/>
        </w:rPr>
        <w:t>A</w:t>
      </w:r>
      <w:r>
        <w:rPr>
          <w:rFonts w:ascii="Times New Roman" w:eastAsia="宋体" w:hAnsi="Times New Roman" w:cs="Times New Roman"/>
          <w:color w:val="0D0D0D"/>
          <w:kern w:val="0"/>
          <w:sz w:val="28"/>
          <w:szCs w:val="28"/>
        </w:rPr>
        <w:t>确定的</w:t>
      </w:r>
      <w:r>
        <w:rPr>
          <w:rFonts w:ascii="宋体" w:eastAsia="宋体" w:hAnsi="宋体" w:cs="宋体" w:hint="eastAsia"/>
          <w:color w:val="0D0D0D"/>
          <w:kern w:val="0"/>
          <w:sz w:val="28"/>
          <w:szCs w:val="28"/>
        </w:rPr>
        <w:t>Ⅱ</w:t>
      </w:r>
      <w:r>
        <w:rPr>
          <w:rFonts w:ascii="Times New Roman" w:eastAsia="宋体" w:hAnsi="Times New Roman" w:cs="Times New Roman"/>
          <w:color w:val="0D0D0D"/>
          <w:kern w:val="0"/>
          <w:sz w:val="28"/>
          <w:szCs w:val="28"/>
        </w:rPr>
        <w:t>类项目。根据项目</w:t>
      </w:r>
      <w:r>
        <w:rPr>
          <w:rFonts w:ascii="Times New Roman" w:eastAsia="宋体" w:hAnsi="Times New Roman" w:cs="Times New Roman"/>
          <w:color w:val="0D0D0D"/>
          <w:kern w:val="0"/>
          <w:sz w:val="28"/>
          <w:szCs w:val="28"/>
        </w:rPr>
        <w:lastRenderedPageBreak/>
        <w:t>占地规模属于中型项目（本项目占地面积</w:t>
      </w:r>
      <w:r>
        <w:rPr>
          <w:rFonts w:ascii="Times New Roman" w:eastAsia="宋体" w:hAnsi="Times New Roman" w:cs="Times New Roman"/>
          <w:color w:val="0D0D0D"/>
          <w:kern w:val="0"/>
          <w:sz w:val="28"/>
          <w:szCs w:val="28"/>
        </w:rPr>
        <w:t>5.76hm</w:t>
      </w:r>
      <w:r>
        <w:rPr>
          <w:rFonts w:ascii="Times New Roman" w:eastAsia="宋体" w:hAnsi="Times New Roman" w:cs="Times New Roman"/>
          <w:color w:val="0D0D0D"/>
          <w:kern w:val="0"/>
          <w:sz w:val="28"/>
          <w:szCs w:val="28"/>
          <w:vertAlign w:val="superscript"/>
        </w:rPr>
        <w:t>2</w:t>
      </w:r>
      <w:r>
        <w:rPr>
          <w:rFonts w:ascii="Times New Roman" w:eastAsia="宋体" w:hAnsi="Times New Roman" w:cs="Times New Roman"/>
          <w:color w:val="0D0D0D"/>
          <w:kern w:val="0"/>
          <w:sz w:val="28"/>
          <w:szCs w:val="28"/>
        </w:rPr>
        <w:t>），项目为永久占地。根据《环境影响评价技术导则土壤环境（试行）》（</w:t>
      </w:r>
      <w:r>
        <w:rPr>
          <w:rFonts w:ascii="Times New Roman" w:eastAsia="宋体" w:hAnsi="Times New Roman" w:cs="Times New Roman"/>
          <w:color w:val="0D0D0D"/>
          <w:kern w:val="0"/>
          <w:sz w:val="28"/>
          <w:szCs w:val="28"/>
        </w:rPr>
        <w:t>HJ964-2018</w:t>
      </w:r>
      <w:r>
        <w:rPr>
          <w:rFonts w:ascii="Times New Roman" w:eastAsia="宋体" w:hAnsi="Times New Roman" w:cs="Times New Roman"/>
          <w:color w:val="0D0D0D"/>
          <w:kern w:val="0"/>
          <w:sz w:val="28"/>
          <w:szCs w:val="28"/>
        </w:rPr>
        <w:t>）表</w:t>
      </w:r>
      <w:r>
        <w:rPr>
          <w:rFonts w:ascii="Times New Roman" w:eastAsia="宋体" w:hAnsi="Times New Roman" w:cs="Times New Roman"/>
          <w:color w:val="0D0D0D"/>
          <w:kern w:val="0"/>
          <w:sz w:val="28"/>
          <w:szCs w:val="28"/>
        </w:rPr>
        <w:t>4</w:t>
      </w:r>
      <w:r>
        <w:rPr>
          <w:rFonts w:ascii="Times New Roman" w:eastAsia="宋体" w:hAnsi="Times New Roman" w:cs="Times New Roman"/>
          <w:color w:val="0D0D0D"/>
          <w:kern w:val="0"/>
          <w:sz w:val="28"/>
          <w:szCs w:val="28"/>
        </w:rPr>
        <w:t>，本项目土壤环境评价工作等级为二级。</w:t>
      </w:r>
    </w:p>
    <w:p w14:paraId="3B538DA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土壤环境影响预测</w:t>
      </w:r>
    </w:p>
    <w:p w14:paraId="0F6DBEC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污染预测方法</w:t>
      </w:r>
    </w:p>
    <w:p w14:paraId="003C5E84"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项目土壤环境影响类型为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污染影响型</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，影响途径主要为运营期项目场地污染物以垂直入渗方式进入土壤环境，因此采用一维非饱和溶质运移模型进行土壤污染预测。</w:t>
      </w:r>
    </w:p>
    <w:p w14:paraId="2702A45A"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）一维非饱和溶质垂向运移控制方程：</w:t>
      </w:r>
    </w:p>
    <w:p w14:paraId="2B67E598" w14:textId="77777777" w:rsidR="002133E3" w:rsidRDefault="00C22CFA">
      <w:pPr>
        <w:adjustRightInd w:val="0"/>
        <w:snapToGrid w:val="0"/>
        <w:spacing w:line="500" w:lineRule="atLeast"/>
        <w:ind w:firstLineChars="200" w:firstLine="480"/>
        <w:jc w:val="center"/>
        <w:rPr>
          <w:rFonts w:ascii="Times New Roman" w:eastAsia="宋体" w:hAnsi="Times New Roman" w:cs="Times New Roman"/>
          <w:kern w:val="0"/>
          <w:sz w:val="28"/>
          <w:szCs w:val="28"/>
        </w:rPr>
      </w:pPr>
      <w:r>
        <w:rPr>
          <w:rFonts w:ascii="Times New Roman" w:eastAsia="宋体" w:hAnsi="Times New Roman" w:cs="Times New Roman"/>
          <w:noProof/>
          <w:kern w:val="0"/>
          <w:sz w:val="24"/>
          <w:szCs w:val="20"/>
        </w:rPr>
        <w:drawing>
          <wp:inline distT="0" distB="0" distL="0" distR="0" wp14:anchorId="51F4D0C1" wp14:editId="37F94F22">
            <wp:extent cx="2616835" cy="506095"/>
            <wp:effectExtent l="0" t="0" r="0"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05"/>
                    <a:stretch>
                      <a:fillRect/>
                    </a:stretch>
                  </pic:blipFill>
                  <pic:spPr>
                    <a:xfrm>
                      <a:off x="0" y="0"/>
                      <a:ext cx="2617742" cy="506278"/>
                    </a:xfrm>
                    <a:prstGeom prst="rect">
                      <a:avLst/>
                    </a:prstGeom>
                  </pic:spPr>
                </pic:pic>
              </a:graphicData>
            </a:graphic>
          </wp:inline>
        </w:drawing>
      </w:r>
    </w:p>
    <w:p w14:paraId="4BDFB25D"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式中：</w:t>
      </w:r>
      <w:r>
        <w:rPr>
          <w:rFonts w:ascii="Times New Roman" w:eastAsia="宋体" w:hAnsi="Times New Roman" w:cs="Times New Roman"/>
          <w:kern w:val="0"/>
          <w:sz w:val="28"/>
          <w:szCs w:val="21"/>
        </w:rPr>
        <w:t>c——</w:t>
      </w:r>
      <w:r>
        <w:rPr>
          <w:rFonts w:ascii="Times New Roman" w:eastAsia="宋体" w:hAnsi="Times New Roman" w:cs="Times New Roman"/>
          <w:kern w:val="0"/>
          <w:sz w:val="28"/>
          <w:szCs w:val="21"/>
        </w:rPr>
        <w:t>污染物介质中的浓度，</w:t>
      </w:r>
      <w:r>
        <w:rPr>
          <w:rFonts w:ascii="Times New Roman" w:eastAsia="宋体" w:hAnsi="Times New Roman" w:cs="Times New Roman"/>
          <w:kern w:val="0"/>
          <w:sz w:val="28"/>
          <w:szCs w:val="21"/>
        </w:rPr>
        <w:t>mg/L</w:t>
      </w:r>
      <w:r>
        <w:rPr>
          <w:rFonts w:ascii="Times New Roman" w:eastAsia="宋体" w:hAnsi="Times New Roman" w:cs="Times New Roman"/>
          <w:kern w:val="0"/>
          <w:sz w:val="28"/>
          <w:szCs w:val="21"/>
        </w:rPr>
        <w:t>；</w:t>
      </w:r>
    </w:p>
    <w:p w14:paraId="5FCA71D3" w14:textId="77777777" w:rsidR="002133E3" w:rsidRDefault="00C22CFA">
      <w:pPr>
        <w:adjustRightInd w:val="0"/>
        <w:snapToGrid w:val="0"/>
        <w:spacing w:line="500" w:lineRule="atLeast"/>
        <w:ind w:firstLineChars="500" w:firstLine="140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D——</w:t>
      </w:r>
      <w:r>
        <w:rPr>
          <w:rFonts w:ascii="Times New Roman" w:eastAsia="宋体" w:hAnsi="Times New Roman" w:cs="Times New Roman"/>
          <w:kern w:val="0"/>
          <w:sz w:val="28"/>
          <w:szCs w:val="21"/>
        </w:rPr>
        <w:t>弥散系数，</w:t>
      </w:r>
      <w:r>
        <w:rPr>
          <w:rFonts w:ascii="Times New Roman" w:eastAsia="宋体" w:hAnsi="Times New Roman" w:cs="Times New Roman"/>
          <w:kern w:val="0"/>
          <w:sz w:val="28"/>
          <w:szCs w:val="21"/>
        </w:rPr>
        <w:t>m</w:t>
      </w:r>
      <w:r>
        <w:rPr>
          <w:rFonts w:ascii="Times New Roman" w:eastAsia="宋体" w:hAnsi="Times New Roman" w:cs="Times New Roman"/>
          <w:kern w:val="0"/>
          <w:sz w:val="28"/>
          <w:szCs w:val="21"/>
          <w:vertAlign w:val="superscript"/>
        </w:rPr>
        <w:t>2</w:t>
      </w:r>
      <w:r>
        <w:rPr>
          <w:rFonts w:ascii="Times New Roman" w:eastAsia="宋体" w:hAnsi="Times New Roman" w:cs="Times New Roman"/>
          <w:kern w:val="0"/>
          <w:sz w:val="28"/>
          <w:szCs w:val="21"/>
        </w:rPr>
        <w:t xml:space="preserve"> /d</w:t>
      </w:r>
      <w:r>
        <w:rPr>
          <w:rFonts w:ascii="Times New Roman" w:eastAsia="宋体" w:hAnsi="Times New Roman" w:cs="Times New Roman"/>
          <w:kern w:val="0"/>
          <w:sz w:val="28"/>
          <w:szCs w:val="21"/>
        </w:rPr>
        <w:t>；</w:t>
      </w:r>
    </w:p>
    <w:p w14:paraId="747D95E6" w14:textId="77777777" w:rsidR="002133E3" w:rsidRDefault="00C22CFA">
      <w:pPr>
        <w:adjustRightInd w:val="0"/>
        <w:snapToGrid w:val="0"/>
        <w:spacing w:line="500" w:lineRule="atLeast"/>
        <w:ind w:firstLineChars="500" w:firstLine="140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q——</w:t>
      </w:r>
      <w:r>
        <w:rPr>
          <w:rFonts w:ascii="Times New Roman" w:eastAsia="宋体" w:hAnsi="Times New Roman" w:cs="Times New Roman"/>
          <w:kern w:val="0"/>
          <w:sz w:val="28"/>
          <w:szCs w:val="21"/>
        </w:rPr>
        <w:t>渗流速率，</w:t>
      </w:r>
      <w:r>
        <w:rPr>
          <w:rFonts w:ascii="Times New Roman" w:eastAsia="宋体" w:hAnsi="Times New Roman" w:cs="Times New Roman"/>
          <w:kern w:val="0"/>
          <w:sz w:val="28"/>
          <w:szCs w:val="21"/>
        </w:rPr>
        <w:t>m/d</w:t>
      </w:r>
      <w:r>
        <w:rPr>
          <w:rFonts w:ascii="Times New Roman" w:eastAsia="宋体" w:hAnsi="Times New Roman" w:cs="Times New Roman"/>
          <w:kern w:val="0"/>
          <w:sz w:val="28"/>
          <w:szCs w:val="21"/>
        </w:rPr>
        <w:t>；</w:t>
      </w:r>
    </w:p>
    <w:p w14:paraId="10EC8820" w14:textId="77777777" w:rsidR="002133E3" w:rsidRDefault="00C22CFA">
      <w:pPr>
        <w:adjustRightInd w:val="0"/>
        <w:snapToGrid w:val="0"/>
        <w:spacing w:line="500" w:lineRule="atLeast"/>
        <w:ind w:firstLineChars="500" w:firstLine="140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z——</w:t>
      </w:r>
      <w:r>
        <w:rPr>
          <w:rFonts w:ascii="Times New Roman" w:eastAsia="宋体" w:hAnsi="Times New Roman" w:cs="Times New Roman"/>
          <w:kern w:val="0"/>
          <w:sz w:val="28"/>
          <w:szCs w:val="21"/>
        </w:rPr>
        <w:t>沿</w:t>
      </w:r>
      <w:r>
        <w:rPr>
          <w:rFonts w:ascii="Times New Roman" w:eastAsia="宋体" w:hAnsi="Times New Roman" w:cs="Times New Roman"/>
          <w:kern w:val="0"/>
          <w:sz w:val="28"/>
          <w:szCs w:val="21"/>
        </w:rPr>
        <w:t xml:space="preserve">z </w:t>
      </w:r>
      <w:r>
        <w:rPr>
          <w:rFonts w:ascii="Times New Roman" w:eastAsia="宋体" w:hAnsi="Times New Roman" w:cs="Times New Roman"/>
          <w:kern w:val="0"/>
          <w:sz w:val="28"/>
          <w:szCs w:val="21"/>
        </w:rPr>
        <w:t>轴的距离，</w:t>
      </w:r>
      <w:r>
        <w:rPr>
          <w:rFonts w:ascii="Times New Roman" w:eastAsia="宋体" w:hAnsi="Times New Roman" w:cs="Times New Roman"/>
          <w:kern w:val="0"/>
          <w:sz w:val="28"/>
          <w:szCs w:val="21"/>
        </w:rPr>
        <w:t>m</w:t>
      </w:r>
      <w:r>
        <w:rPr>
          <w:rFonts w:ascii="Times New Roman" w:eastAsia="宋体" w:hAnsi="Times New Roman" w:cs="Times New Roman"/>
          <w:kern w:val="0"/>
          <w:sz w:val="28"/>
          <w:szCs w:val="21"/>
        </w:rPr>
        <w:t>；</w:t>
      </w:r>
    </w:p>
    <w:p w14:paraId="5D2EF8EF" w14:textId="77777777" w:rsidR="002133E3" w:rsidRDefault="00C22CFA">
      <w:pPr>
        <w:adjustRightInd w:val="0"/>
        <w:snapToGrid w:val="0"/>
        <w:spacing w:line="500" w:lineRule="atLeast"/>
        <w:ind w:firstLineChars="500" w:firstLine="140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t——</w:t>
      </w:r>
      <w:r>
        <w:rPr>
          <w:rFonts w:ascii="Times New Roman" w:eastAsia="宋体" w:hAnsi="Times New Roman" w:cs="Times New Roman"/>
          <w:kern w:val="0"/>
          <w:sz w:val="28"/>
          <w:szCs w:val="21"/>
        </w:rPr>
        <w:t>时间变量，</w:t>
      </w:r>
      <w:r>
        <w:rPr>
          <w:rFonts w:ascii="Times New Roman" w:eastAsia="宋体" w:hAnsi="Times New Roman" w:cs="Times New Roman"/>
          <w:kern w:val="0"/>
          <w:sz w:val="28"/>
          <w:szCs w:val="21"/>
        </w:rPr>
        <w:t>d</w:t>
      </w:r>
      <w:r>
        <w:rPr>
          <w:rFonts w:ascii="Times New Roman" w:eastAsia="宋体" w:hAnsi="Times New Roman" w:cs="Times New Roman"/>
          <w:kern w:val="0"/>
          <w:sz w:val="28"/>
          <w:szCs w:val="21"/>
        </w:rPr>
        <w:t>；</w:t>
      </w:r>
    </w:p>
    <w:p w14:paraId="6E10C356" w14:textId="77777777" w:rsidR="002133E3" w:rsidRDefault="00C22CFA">
      <w:pPr>
        <w:adjustRightInd w:val="0"/>
        <w:snapToGrid w:val="0"/>
        <w:spacing w:line="500" w:lineRule="atLeast"/>
        <w:ind w:firstLineChars="500" w:firstLine="140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θ——</w:t>
      </w:r>
      <w:r>
        <w:rPr>
          <w:rFonts w:ascii="Times New Roman" w:eastAsia="宋体" w:hAnsi="Times New Roman" w:cs="Times New Roman"/>
          <w:kern w:val="0"/>
          <w:sz w:val="28"/>
          <w:szCs w:val="21"/>
        </w:rPr>
        <w:t>土壤含水率，</w:t>
      </w:r>
      <w:r>
        <w:rPr>
          <w:rFonts w:ascii="Times New Roman" w:eastAsia="宋体" w:hAnsi="Times New Roman" w:cs="Times New Roman"/>
          <w:kern w:val="0"/>
          <w:sz w:val="28"/>
          <w:szCs w:val="21"/>
        </w:rPr>
        <w:t>%</w:t>
      </w:r>
      <w:r>
        <w:rPr>
          <w:rFonts w:ascii="Times New Roman" w:eastAsia="宋体" w:hAnsi="Times New Roman" w:cs="Times New Roman"/>
          <w:kern w:val="0"/>
          <w:sz w:val="28"/>
          <w:szCs w:val="21"/>
        </w:rPr>
        <w:t>。</w:t>
      </w:r>
    </w:p>
    <w:p w14:paraId="1422A445"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）初始条件</w:t>
      </w:r>
    </w:p>
    <w:p w14:paraId="10049F72" w14:textId="77777777" w:rsidR="002133E3" w:rsidRDefault="00C22CFA">
      <w:pPr>
        <w:adjustRightInd w:val="0"/>
        <w:snapToGrid w:val="0"/>
        <w:spacing w:line="500" w:lineRule="atLeast"/>
        <w:ind w:firstLineChars="200" w:firstLine="480"/>
        <w:jc w:val="center"/>
        <w:rPr>
          <w:rFonts w:ascii="Times New Roman" w:eastAsia="宋体" w:hAnsi="Times New Roman" w:cs="Times New Roman"/>
          <w:kern w:val="0"/>
          <w:sz w:val="28"/>
          <w:szCs w:val="28"/>
        </w:rPr>
      </w:pPr>
      <w:r>
        <w:rPr>
          <w:rFonts w:ascii="Times New Roman" w:eastAsia="宋体" w:hAnsi="Times New Roman" w:cs="Times New Roman"/>
          <w:noProof/>
          <w:kern w:val="0"/>
          <w:sz w:val="24"/>
          <w:szCs w:val="20"/>
        </w:rPr>
        <w:drawing>
          <wp:inline distT="0" distB="0" distL="0" distR="0" wp14:anchorId="725DAF14" wp14:editId="0F128968">
            <wp:extent cx="2312035" cy="21082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6"/>
                    <a:stretch>
                      <a:fillRect/>
                    </a:stretch>
                  </pic:blipFill>
                  <pic:spPr>
                    <a:xfrm>
                      <a:off x="0" y="0"/>
                      <a:ext cx="2312277" cy="211156"/>
                    </a:xfrm>
                    <a:prstGeom prst="rect">
                      <a:avLst/>
                    </a:prstGeom>
                  </pic:spPr>
                </pic:pic>
              </a:graphicData>
            </a:graphic>
          </wp:inline>
        </w:drawing>
      </w:r>
    </w:p>
    <w:p w14:paraId="1C658A9E"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）边界条件</w:t>
      </w:r>
    </w:p>
    <w:p w14:paraId="7E839DB2"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第一类</w:t>
      </w:r>
      <w:r>
        <w:rPr>
          <w:rFonts w:ascii="Times New Roman" w:eastAsia="宋体" w:hAnsi="Times New Roman" w:cs="Times New Roman"/>
          <w:kern w:val="0"/>
          <w:sz w:val="28"/>
          <w:szCs w:val="28"/>
        </w:rPr>
        <w:t xml:space="preserve">Dirichlet </w:t>
      </w:r>
      <w:r>
        <w:rPr>
          <w:rFonts w:ascii="Times New Roman" w:eastAsia="宋体" w:hAnsi="Times New Roman" w:cs="Times New Roman"/>
          <w:kern w:val="0"/>
          <w:sz w:val="28"/>
          <w:szCs w:val="28"/>
        </w:rPr>
        <w:t>边界条件：</w:t>
      </w:r>
    </w:p>
    <w:p w14:paraId="1A45AEC0"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①</w:t>
      </w:r>
      <w:r>
        <w:rPr>
          <w:rFonts w:ascii="Times New Roman" w:eastAsia="宋体" w:hAnsi="Times New Roman" w:cs="Times New Roman"/>
          <w:kern w:val="0"/>
          <w:sz w:val="28"/>
          <w:szCs w:val="28"/>
        </w:rPr>
        <w:t>连续点源情景：</w:t>
      </w:r>
    </w:p>
    <w:p w14:paraId="7E4DC39A" w14:textId="77777777" w:rsidR="002133E3" w:rsidRDefault="00C22CFA">
      <w:pPr>
        <w:adjustRightInd w:val="0"/>
        <w:snapToGrid w:val="0"/>
        <w:spacing w:line="500" w:lineRule="atLeast"/>
        <w:ind w:firstLineChars="200" w:firstLine="480"/>
        <w:jc w:val="center"/>
        <w:rPr>
          <w:rFonts w:ascii="Times New Roman" w:eastAsia="宋体" w:hAnsi="Times New Roman" w:cs="Times New Roman"/>
          <w:kern w:val="0"/>
          <w:sz w:val="28"/>
          <w:szCs w:val="28"/>
        </w:rPr>
      </w:pPr>
      <w:r>
        <w:rPr>
          <w:rFonts w:ascii="Times New Roman" w:eastAsia="宋体" w:hAnsi="Times New Roman" w:cs="Times New Roman"/>
          <w:noProof/>
          <w:kern w:val="0"/>
          <w:sz w:val="24"/>
          <w:szCs w:val="20"/>
        </w:rPr>
        <w:drawing>
          <wp:inline distT="0" distB="0" distL="0" distR="0" wp14:anchorId="552E0710" wp14:editId="61D1D810">
            <wp:extent cx="2175510" cy="201930"/>
            <wp:effectExtent l="0" t="0" r="0" b="762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7"/>
                    <a:stretch>
                      <a:fillRect/>
                    </a:stretch>
                  </pic:blipFill>
                  <pic:spPr>
                    <a:xfrm>
                      <a:off x="0" y="0"/>
                      <a:ext cx="2239740" cy="208421"/>
                    </a:xfrm>
                    <a:prstGeom prst="rect">
                      <a:avLst/>
                    </a:prstGeom>
                  </pic:spPr>
                </pic:pic>
              </a:graphicData>
            </a:graphic>
          </wp:inline>
        </w:drawing>
      </w:r>
    </w:p>
    <w:p w14:paraId="0855F292"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②</w:t>
      </w:r>
      <w:r>
        <w:rPr>
          <w:rFonts w:ascii="Times New Roman" w:eastAsia="宋体" w:hAnsi="Times New Roman" w:cs="Times New Roman"/>
          <w:kern w:val="0"/>
          <w:sz w:val="28"/>
          <w:szCs w:val="28"/>
        </w:rPr>
        <w:t>非连续点源情景。</w:t>
      </w:r>
    </w:p>
    <w:p w14:paraId="644775D2" w14:textId="77777777" w:rsidR="002133E3" w:rsidRDefault="00C22CFA">
      <w:pPr>
        <w:adjustRightInd w:val="0"/>
        <w:snapToGrid w:val="0"/>
        <w:spacing w:line="500" w:lineRule="atLeast"/>
        <w:ind w:firstLineChars="200" w:firstLine="480"/>
        <w:jc w:val="center"/>
        <w:rPr>
          <w:rFonts w:ascii="Times New Roman" w:eastAsia="宋体" w:hAnsi="Times New Roman" w:cs="Times New Roman"/>
          <w:kern w:val="0"/>
          <w:sz w:val="28"/>
          <w:szCs w:val="28"/>
        </w:rPr>
      </w:pPr>
      <w:r>
        <w:rPr>
          <w:rFonts w:ascii="Times New Roman" w:eastAsia="宋体" w:hAnsi="Times New Roman" w:cs="Times New Roman"/>
          <w:noProof/>
          <w:kern w:val="0"/>
          <w:sz w:val="24"/>
          <w:szCs w:val="20"/>
        </w:rPr>
        <w:drawing>
          <wp:inline distT="0" distB="0" distL="0" distR="0" wp14:anchorId="4A5AC331" wp14:editId="16FEFF6D">
            <wp:extent cx="2112010" cy="529590"/>
            <wp:effectExtent l="0" t="0" r="254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08"/>
                    <a:stretch>
                      <a:fillRect/>
                    </a:stretch>
                  </pic:blipFill>
                  <pic:spPr>
                    <a:xfrm>
                      <a:off x="0" y="0"/>
                      <a:ext cx="2112583" cy="529613"/>
                    </a:xfrm>
                    <a:prstGeom prst="rect">
                      <a:avLst/>
                    </a:prstGeom>
                  </pic:spPr>
                </pic:pic>
              </a:graphicData>
            </a:graphic>
          </wp:inline>
        </w:drawing>
      </w:r>
    </w:p>
    <w:p w14:paraId="247FEEA1" w14:textId="77777777" w:rsidR="002133E3" w:rsidRDefault="00C22CFA">
      <w:pPr>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第二类</w:t>
      </w:r>
      <w:r>
        <w:rPr>
          <w:rFonts w:ascii="Times New Roman" w:eastAsia="宋体" w:hAnsi="Times New Roman" w:cs="Times New Roman"/>
          <w:kern w:val="0"/>
          <w:sz w:val="28"/>
          <w:szCs w:val="28"/>
        </w:rPr>
        <w:t xml:space="preserve">Neumann </w:t>
      </w:r>
      <w:r>
        <w:rPr>
          <w:rFonts w:ascii="Times New Roman" w:eastAsia="宋体" w:hAnsi="Times New Roman" w:cs="Times New Roman"/>
          <w:kern w:val="0"/>
          <w:sz w:val="28"/>
          <w:szCs w:val="28"/>
        </w:rPr>
        <w:t>零梯度边界。</w:t>
      </w:r>
    </w:p>
    <w:p w14:paraId="5AF25B32" w14:textId="77777777" w:rsidR="002133E3" w:rsidRDefault="00C22CFA">
      <w:pPr>
        <w:adjustRightInd w:val="0"/>
        <w:snapToGrid w:val="0"/>
        <w:spacing w:line="500" w:lineRule="atLeast"/>
        <w:ind w:firstLineChars="200" w:firstLine="480"/>
        <w:jc w:val="center"/>
        <w:rPr>
          <w:rFonts w:ascii="Times New Roman" w:eastAsia="宋体" w:hAnsi="Times New Roman" w:cs="Times New Roman"/>
          <w:kern w:val="0"/>
          <w:sz w:val="20"/>
          <w:szCs w:val="20"/>
          <w:lang w:val="zh-CN"/>
        </w:rPr>
      </w:pPr>
      <w:r>
        <w:rPr>
          <w:rFonts w:ascii="Times New Roman" w:eastAsia="宋体" w:hAnsi="Times New Roman" w:cs="Times New Roman"/>
          <w:noProof/>
          <w:kern w:val="0"/>
          <w:sz w:val="24"/>
          <w:szCs w:val="20"/>
        </w:rPr>
        <w:drawing>
          <wp:inline distT="0" distB="0" distL="0" distR="0" wp14:anchorId="4F99BD28" wp14:editId="57FA8916">
            <wp:extent cx="2259330" cy="30797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9"/>
                    <a:stretch>
                      <a:fillRect/>
                    </a:stretch>
                  </pic:blipFill>
                  <pic:spPr>
                    <a:xfrm>
                      <a:off x="0" y="0"/>
                      <a:ext cx="2296871" cy="313428"/>
                    </a:xfrm>
                    <a:prstGeom prst="rect">
                      <a:avLst/>
                    </a:prstGeom>
                  </pic:spPr>
                </pic:pic>
              </a:graphicData>
            </a:graphic>
          </wp:inline>
        </w:drawing>
      </w:r>
    </w:p>
    <w:p w14:paraId="1EA17CA9"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模型概化</w:t>
      </w:r>
    </w:p>
    <w:p w14:paraId="34381DA9"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 xml:space="preserve">(1) </w:t>
      </w:r>
      <w:r>
        <w:rPr>
          <w:rFonts w:ascii="Times New Roman" w:eastAsia="宋体" w:hAnsi="Times New Roman" w:cs="Times New Roman"/>
          <w:sz w:val="28"/>
          <w:szCs w:val="28"/>
        </w:rPr>
        <w:t>边界条件</w:t>
      </w:r>
    </w:p>
    <w:p w14:paraId="67D6B40F"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模型上边界概化为稳定的污染物定水头补给边界，下边界为自由排泄边界。</w:t>
      </w:r>
    </w:p>
    <w:p w14:paraId="32C69138"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土壤概化</w:t>
      </w:r>
    </w:p>
    <w:p w14:paraId="06BDEF28" w14:textId="77777777" w:rsidR="002133E3" w:rsidRDefault="00C22CFA">
      <w:pPr>
        <w:spacing w:line="500" w:lineRule="exact"/>
        <w:ind w:firstLineChars="200" w:firstLine="560"/>
        <w:jc w:val="left"/>
        <w:rPr>
          <w:rFonts w:ascii="Times New Roman" w:eastAsia="宋体" w:hAnsi="Times New Roman" w:cs="Times New Roman"/>
          <w:spacing w:val="16"/>
          <w:sz w:val="28"/>
          <w:szCs w:val="28"/>
        </w:rPr>
      </w:pPr>
      <w:r>
        <w:rPr>
          <w:rFonts w:ascii="Times New Roman" w:eastAsia="宋体" w:hAnsi="Times New Roman" w:cs="Times New Roman"/>
          <w:sz w:val="28"/>
          <w:szCs w:val="28"/>
        </w:rPr>
        <w:t>结合项目工程勘察及水文地质勘察成果，</w:t>
      </w:r>
      <w:r>
        <w:rPr>
          <w:rFonts w:ascii="Times New Roman" w:eastAsia="宋体" w:hAnsi="Times New Roman" w:cs="Times New Roman"/>
          <w:spacing w:val="16"/>
          <w:sz w:val="28"/>
          <w:szCs w:val="28"/>
        </w:rPr>
        <w:t>评价区内包气带岩性主要为素填土和粘土，评价区内包气带厚度</w:t>
      </w:r>
      <w:r>
        <w:rPr>
          <w:rFonts w:ascii="Times New Roman" w:eastAsia="宋体" w:hAnsi="Times New Roman" w:cs="Times New Roman"/>
          <w:spacing w:val="16"/>
          <w:sz w:val="28"/>
          <w:szCs w:val="28"/>
        </w:rPr>
        <w:t>0.70</w:t>
      </w:r>
      <w:r>
        <w:rPr>
          <w:rFonts w:ascii="Times New Roman" w:eastAsia="宋体" w:hAnsi="Times New Roman" w:cs="Times New Roman"/>
          <w:spacing w:val="16"/>
          <w:sz w:val="28"/>
          <w:szCs w:val="28"/>
        </w:rPr>
        <w:t>～</w:t>
      </w:r>
      <w:r>
        <w:rPr>
          <w:rFonts w:ascii="Times New Roman" w:eastAsia="宋体" w:hAnsi="Times New Roman" w:cs="Times New Roman"/>
          <w:spacing w:val="16"/>
          <w:sz w:val="28"/>
          <w:szCs w:val="28"/>
        </w:rPr>
        <w:t>2.80m</w:t>
      </w:r>
      <w:r>
        <w:rPr>
          <w:rFonts w:ascii="Times New Roman" w:eastAsia="宋体" w:hAnsi="Times New Roman" w:cs="Times New Roman"/>
          <w:spacing w:val="16"/>
          <w:sz w:val="28"/>
          <w:szCs w:val="28"/>
        </w:rPr>
        <w:t>，区内包气带岩性主要为填土和粘土。根据渗水试验数据资料，包气带土层渗透系数</w:t>
      </w:r>
      <w:r>
        <w:rPr>
          <w:rFonts w:ascii="Times New Roman" w:eastAsia="宋体" w:hAnsi="Times New Roman" w:cs="Times New Roman"/>
          <w:spacing w:val="16"/>
          <w:sz w:val="28"/>
          <w:szCs w:val="28"/>
        </w:rPr>
        <w:t>1.28E-04</w:t>
      </w:r>
      <w:r>
        <w:rPr>
          <w:rFonts w:ascii="Times New Roman" w:eastAsia="宋体" w:hAnsi="Times New Roman" w:cs="Times New Roman"/>
          <w:spacing w:val="16"/>
          <w:sz w:val="28"/>
          <w:szCs w:val="28"/>
        </w:rPr>
        <w:t>～</w:t>
      </w:r>
      <w:r>
        <w:rPr>
          <w:rFonts w:ascii="Times New Roman" w:eastAsia="宋体" w:hAnsi="Times New Roman" w:cs="Times New Roman"/>
          <w:spacing w:val="16"/>
          <w:sz w:val="28"/>
          <w:szCs w:val="28"/>
        </w:rPr>
        <w:t>1.06E-03cm/s</w:t>
      </w:r>
      <w:r>
        <w:rPr>
          <w:rFonts w:ascii="Times New Roman" w:eastAsia="宋体" w:hAnsi="Times New Roman" w:cs="Times New Roman"/>
          <w:spacing w:val="16"/>
          <w:sz w:val="28"/>
          <w:szCs w:val="28"/>
        </w:rPr>
        <w:t>，平均值</w:t>
      </w:r>
      <w:r>
        <w:rPr>
          <w:rFonts w:ascii="Times New Roman" w:eastAsia="宋体" w:hAnsi="Times New Roman" w:cs="Times New Roman"/>
          <w:spacing w:val="16"/>
          <w:sz w:val="28"/>
          <w:szCs w:val="28"/>
        </w:rPr>
        <w:t>6.08E-04cm/s</w:t>
      </w:r>
      <w:r>
        <w:rPr>
          <w:rFonts w:ascii="Times New Roman" w:eastAsia="宋体" w:hAnsi="Times New Roman" w:cs="Times New Roman"/>
          <w:spacing w:val="16"/>
          <w:sz w:val="28"/>
          <w:szCs w:val="28"/>
        </w:rPr>
        <w:t>。</w:t>
      </w:r>
    </w:p>
    <w:p w14:paraId="3F8C94E4" w14:textId="77777777" w:rsidR="002133E3" w:rsidRDefault="00C22CFA">
      <w:pPr>
        <w:spacing w:line="500" w:lineRule="exact"/>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对于项目厂区而言，包气带为</w:t>
      </w:r>
      <w:r>
        <w:rPr>
          <w:rFonts w:ascii="Times New Roman" w:eastAsia="宋体" w:hAnsi="Times New Roman" w:cs="Times New Roman"/>
          <w:spacing w:val="16"/>
          <w:sz w:val="28"/>
          <w:szCs w:val="28"/>
        </w:rPr>
        <w:t>填土和粘土</w:t>
      </w:r>
      <w:r>
        <w:rPr>
          <w:rFonts w:ascii="Times New Roman" w:eastAsia="宋体" w:hAnsi="Times New Roman" w:cs="Times New Roman"/>
          <w:sz w:val="28"/>
          <w:szCs w:val="28"/>
        </w:rPr>
        <w:t>，包气带平均厚度</w:t>
      </w:r>
      <w:r>
        <w:rPr>
          <w:rFonts w:ascii="Times New Roman" w:eastAsia="宋体" w:hAnsi="Times New Roman" w:cs="Times New Roman"/>
          <w:sz w:val="28"/>
          <w:szCs w:val="28"/>
        </w:rPr>
        <w:t>2.65m</w:t>
      </w:r>
      <w:r>
        <w:rPr>
          <w:rFonts w:ascii="Times New Roman" w:eastAsia="宋体" w:hAnsi="Times New Roman" w:cs="Times New Roman"/>
          <w:sz w:val="28"/>
          <w:szCs w:val="28"/>
        </w:rPr>
        <w:t>，因此将土壤概化为两层，土壤相关参数见表</w:t>
      </w:r>
      <w:r>
        <w:rPr>
          <w:rFonts w:ascii="Times New Roman" w:eastAsia="宋体" w:hAnsi="Times New Roman" w:cs="Times New Roman"/>
          <w:sz w:val="28"/>
          <w:szCs w:val="28"/>
        </w:rPr>
        <w:t>6.7-2</w:t>
      </w:r>
      <w:r>
        <w:rPr>
          <w:rFonts w:ascii="Times New Roman" w:eastAsia="宋体" w:hAnsi="Times New Roman" w:cs="Times New Roman"/>
          <w:sz w:val="28"/>
          <w:szCs w:val="28"/>
        </w:rPr>
        <w:t>。</w:t>
      </w:r>
    </w:p>
    <w:p w14:paraId="0F38D3FC" w14:textId="77777777" w:rsidR="002133E3" w:rsidRDefault="00C22CFA">
      <w:pPr>
        <w:adjustRightInd w:val="0"/>
        <w:snapToGrid w:val="0"/>
        <w:spacing w:line="50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6.7-2 </w:t>
      </w:r>
      <w:r>
        <w:rPr>
          <w:rFonts w:ascii="Times New Roman" w:eastAsia="宋体" w:hAnsi="Times New Roman" w:cs="Times New Roman"/>
          <w:b/>
          <w:kern w:val="0"/>
          <w:sz w:val="24"/>
          <w:szCs w:val="21"/>
        </w:rPr>
        <w:t>厂址区土壤参数表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1033"/>
        <w:gridCol w:w="1851"/>
        <w:gridCol w:w="1283"/>
        <w:gridCol w:w="1862"/>
        <w:gridCol w:w="1086"/>
        <w:gridCol w:w="1977"/>
      </w:tblGrid>
      <w:tr w:rsidR="002133E3" w14:paraId="414FCB71" w14:textId="77777777">
        <w:trPr>
          <w:trHeight w:val="239"/>
          <w:jc w:val="center"/>
        </w:trPr>
        <w:tc>
          <w:tcPr>
            <w:tcW w:w="387" w:type="pct"/>
            <w:tcBorders>
              <w:top w:val="single" w:sz="4" w:space="0" w:color="auto"/>
              <w:left w:val="single" w:sz="4" w:space="0" w:color="auto"/>
              <w:bottom w:val="single" w:sz="4" w:space="0" w:color="auto"/>
              <w:right w:val="single" w:sz="4" w:space="0" w:color="auto"/>
            </w:tcBorders>
            <w:noWrap/>
            <w:vAlign w:val="center"/>
          </w:tcPr>
          <w:p w14:paraId="12292645"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名称</w:t>
            </w:r>
          </w:p>
        </w:tc>
        <w:tc>
          <w:tcPr>
            <w:tcW w:w="524" w:type="pct"/>
            <w:tcBorders>
              <w:top w:val="single" w:sz="4" w:space="0" w:color="auto"/>
              <w:left w:val="single" w:sz="4" w:space="0" w:color="auto"/>
              <w:bottom w:val="single" w:sz="4" w:space="0" w:color="auto"/>
              <w:right w:val="single" w:sz="4" w:space="0" w:color="auto"/>
            </w:tcBorders>
            <w:noWrap/>
            <w:vAlign w:val="center"/>
          </w:tcPr>
          <w:p w14:paraId="4FADCFA0"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厚度</w:t>
            </w:r>
            <w:r>
              <w:rPr>
                <w:rFonts w:ascii="Times New Roman" w:eastAsia="宋体" w:hAnsi="Times New Roman" w:cs="Times New Roman"/>
                <w:kern w:val="0"/>
                <w:sz w:val="24"/>
                <w:szCs w:val="21"/>
              </w:rPr>
              <w:t>m</w:t>
            </w:r>
          </w:p>
        </w:tc>
        <w:tc>
          <w:tcPr>
            <w:tcW w:w="939" w:type="pct"/>
            <w:tcBorders>
              <w:top w:val="single" w:sz="4" w:space="0" w:color="auto"/>
              <w:left w:val="single" w:sz="4" w:space="0" w:color="auto"/>
              <w:bottom w:val="single" w:sz="4" w:space="0" w:color="auto"/>
              <w:right w:val="single" w:sz="4" w:space="0" w:color="auto"/>
            </w:tcBorders>
            <w:noWrap/>
            <w:vAlign w:val="center"/>
          </w:tcPr>
          <w:p w14:paraId="5A030D8E"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渗透系数</w:t>
            </w:r>
            <w:r>
              <w:rPr>
                <w:rFonts w:ascii="Times New Roman" w:eastAsia="宋体" w:hAnsi="Times New Roman" w:cs="Times New Roman"/>
                <w:kern w:val="0"/>
                <w:sz w:val="24"/>
                <w:szCs w:val="21"/>
              </w:rPr>
              <w:t>cm/s</w:t>
            </w:r>
          </w:p>
        </w:tc>
        <w:tc>
          <w:tcPr>
            <w:tcW w:w="651" w:type="pct"/>
            <w:tcBorders>
              <w:top w:val="single" w:sz="4" w:space="0" w:color="auto"/>
              <w:left w:val="single" w:sz="4" w:space="0" w:color="auto"/>
              <w:bottom w:val="single" w:sz="4" w:space="0" w:color="auto"/>
              <w:right w:val="single" w:sz="4" w:space="0" w:color="auto"/>
            </w:tcBorders>
            <w:vAlign w:val="center"/>
          </w:tcPr>
          <w:p w14:paraId="422BF806"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孔隙度</w:t>
            </w:r>
          </w:p>
        </w:tc>
        <w:tc>
          <w:tcPr>
            <w:tcW w:w="945" w:type="pct"/>
            <w:tcBorders>
              <w:top w:val="single" w:sz="4" w:space="0" w:color="auto"/>
              <w:left w:val="single" w:sz="4" w:space="0" w:color="auto"/>
              <w:bottom w:val="single" w:sz="4" w:space="0" w:color="auto"/>
              <w:right w:val="single" w:sz="4" w:space="0" w:color="auto"/>
            </w:tcBorders>
            <w:vAlign w:val="center"/>
          </w:tcPr>
          <w:p w14:paraId="2BD6C630"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土壤含水量</w:t>
            </w:r>
            <w:r>
              <w:rPr>
                <w:rFonts w:ascii="Times New Roman" w:eastAsia="宋体" w:hAnsi="Times New Roman" w:cs="Times New Roman"/>
                <w:kern w:val="0"/>
                <w:sz w:val="24"/>
                <w:szCs w:val="21"/>
              </w:rPr>
              <w:t>%</w:t>
            </w:r>
          </w:p>
        </w:tc>
        <w:tc>
          <w:tcPr>
            <w:tcW w:w="551" w:type="pct"/>
            <w:tcBorders>
              <w:top w:val="single" w:sz="4" w:space="0" w:color="auto"/>
              <w:left w:val="single" w:sz="4" w:space="0" w:color="auto"/>
              <w:bottom w:val="single" w:sz="4" w:space="0" w:color="auto"/>
              <w:right w:val="single" w:sz="4" w:space="0" w:color="auto"/>
            </w:tcBorders>
            <w:vAlign w:val="center"/>
          </w:tcPr>
          <w:p w14:paraId="697DE844"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弥散度</w:t>
            </w:r>
          </w:p>
        </w:tc>
        <w:tc>
          <w:tcPr>
            <w:tcW w:w="1004" w:type="pct"/>
            <w:tcBorders>
              <w:top w:val="single" w:sz="4" w:space="0" w:color="auto"/>
              <w:left w:val="single" w:sz="4" w:space="0" w:color="auto"/>
              <w:bottom w:val="single" w:sz="4" w:space="0" w:color="auto"/>
              <w:right w:val="single" w:sz="4" w:space="0" w:color="auto"/>
            </w:tcBorders>
            <w:vAlign w:val="center"/>
          </w:tcPr>
          <w:p w14:paraId="1E4467D3"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土壤容重</w:t>
            </w:r>
            <w:r>
              <w:rPr>
                <w:rFonts w:ascii="Times New Roman" w:eastAsia="宋体" w:hAnsi="Times New Roman" w:cs="Times New Roman"/>
                <w:kern w:val="0"/>
                <w:sz w:val="24"/>
                <w:szCs w:val="21"/>
              </w:rPr>
              <w:t>kg/m</w:t>
            </w:r>
            <w:r>
              <w:rPr>
                <w:rFonts w:ascii="Times New Roman" w:eastAsia="宋体" w:hAnsi="Times New Roman" w:cs="Times New Roman"/>
                <w:kern w:val="0"/>
                <w:sz w:val="24"/>
                <w:szCs w:val="21"/>
                <w:vertAlign w:val="superscript"/>
              </w:rPr>
              <w:t>3</w:t>
            </w:r>
          </w:p>
        </w:tc>
      </w:tr>
      <w:tr w:rsidR="002133E3" w14:paraId="2A112FD0" w14:textId="77777777">
        <w:trPr>
          <w:trHeight w:val="239"/>
          <w:jc w:val="center"/>
        </w:trPr>
        <w:tc>
          <w:tcPr>
            <w:tcW w:w="387" w:type="pct"/>
            <w:tcBorders>
              <w:top w:val="single" w:sz="4" w:space="0" w:color="auto"/>
              <w:left w:val="single" w:sz="4" w:space="0" w:color="auto"/>
              <w:bottom w:val="single" w:sz="4" w:space="0" w:color="auto"/>
              <w:right w:val="single" w:sz="4" w:space="0" w:color="auto"/>
            </w:tcBorders>
            <w:noWrap/>
            <w:vAlign w:val="center"/>
          </w:tcPr>
          <w:p w14:paraId="2D3C73F6"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填土</w:t>
            </w:r>
          </w:p>
        </w:tc>
        <w:tc>
          <w:tcPr>
            <w:tcW w:w="524" w:type="pct"/>
            <w:tcBorders>
              <w:top w:val="single" w:sz="4" w:space="0" w:color="auto"/>
              <w:left w:val="single" w:sz="4" w:space="0" w:color="auto"/>
              <w:bottom w:val="single" w:sz="4" w:space="0" w:color="auto"/>
              <w:right w:val="single" w:sz="4" w:space="0" w:color="auto"/>
            </w:tcBorders>
            <w:noWrap/>
            <w:vAlign w:val="center"/>
          </w:tcPr>
          <w:p w14:paraId="033969E8"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1.33</w:t>
            </w:r>
          </w:p>
        </w:tc>
        <w:tc>
          <w:tcPr>
            <w:tcW w:w="939" w:type="pct"/>
            <w:tcBorders>
              <w:top w:val="single" w:sz="4" w:space="0" w:color="auto"/>
              <w:left w:val="single" w:sz="4" w:space="0" w:color="auto"/>
              <w:bottom w:val="single" w:sz="4" w:space="0" w:color="auto"/>
              <w:right w:val="single" w:sz="4" w:space="0" w:color="auto"/>
            </w:tcBorders>
            <w:noWrap/>
            <w:vAlign w:val="center"/>
          </w:tcPr>
          <w:p w14:paraId="4CA08BF9"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6.08E-04</w:t>
            </w:r>
          </w:p>
        </w:tc>
        <w:tc>
          <w:tcPr>
            <w:tcW w:w="651" w:type="pct"/>
            <w:tcBorders>
              <w:top w:val="single" w:sz="4" w:space="0" w:color="auto"/>
              <w:left w:val="single" w:sz="4" w:space="0" w:color="auto"/>
              <w:bottom w:val="single" w:sz="4" w:space="0" w:color="auto"/>
              <w:right w:val="single" w:sz="4" w:space="0" w:color="auto"/>
            </w:tcBorders>
            <w:vAlign w:val="center"/>
          </w:tcPr>
          <w:p w14:paraId="4626AD1F"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0.505</w:t>
            </w:r>
          </w:p>
        </w:tc>
        <w:tc>
          <w:tcPr>
            <w:tcW w:w="945" w:type="pct"/>
            <w:tcBorders>
              <w:top w:val="single" w:sz="4" w:space="0" w:color="auto"/>
              <w:left w:val="single" w:sz="4" w:space="0" w:color="auto"/>
              <w:bottom w:val="single" w:sz="4" w:space="0" w:color="auto"/>
              <w:right w:val="single" w:sz="4" w:space="0" w:color="auto"/>
            </w:tcBorders>
            <w:vAlign w:val="center"/>
          </w:tcPr>
          <w:p w14:paraId="54CC4AB0"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30</w:t>
            </w:r>
          </w:p>
        </w:tc>
        <w:tc>
          <w:tcPr>
            <w:tcW w:w="551" w:type="pct"/>
            <w:tcBorders>
              <w:top w:val="single" w:sz="4" w:space="0" w:color="auto"/>
              <w:left w:val="single" w:sz="4" w:space="0" w:color="auto"/>
              <w:bottom w:val="single" w:sz="4" w:space="0" w:color="auto"/>
              <w:right w:val="single" w:sz="4" w:space="0" w:color="auto"/>
            </w:tcBorders>
            <w:vAlign w:val="center"/>
          </w:tcPr>
          <w:p w14:paraId="3C5A2644"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0.35m</w:t>
            </w:r>
          </w:p>
        </w:tc>
        <w:tc>
          <w:tcPr>
            <w:tcW w:w="1004" w:type="pct"/>
            <w:tcBorders>
              <w:top w:val="single" w:sz="4" w:space="0" w:color="auto"/>
              <w:left w:val="single" w:sz="4" w:space="0" w:color="auto"/>
              <w:bottom w:val="single" w:sz="4" w:space="0" w:color="auto"/>
              <w:right w:val="single" w:sz="4" w:space="0" w:color="auto"/>
            </w:tcBorders>
            <w:vAlign w:val="center"/>
          </w:tcPr>
          <w:p w14:paraId="697AE0DB"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1.4</w:t>
            </w:r>
          </w:p>
        </w:tc>
      </w:tr>
      <w:tr w:rsidR="002133E3" w14:paraId="1D99843A" w14:textId="77777777">
        <w:trPr>
          <w:trHeight w:val="239"/>
          <w:jc w:val="center"/>
        </w:trPr>
        <w:tc>
          <w:tcPr>
            <w:tcW w:w="387" w:type="pct"/>
            <w:tcBorders>
              <w:top w:val="single" w:sz="4" w:space="0" w:color="auto"/>
              <w:left w:val="single" w:sz="4" w:space="0" w:color="auto"/>
              <w:bottom w:val="single" w:sz="4" w:space="0" w:color="auto"/>
              <w:right w:val="single" w:sz="4" w:space="0" w:color="auto"/>
            </w:tcBorders>
            <w:noWrap/>
            <w:vAlign w:val="center"/>
          </w:tcPr>
          <w:p w14:paraId="70641ADF"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粘土</w:t>
            </w:r>
          </w:p>
        </w:tc>
        <w:tc>
          <w:tcPr>
            <w:tcW w:w="524" w:type="pct"/>
            <w:tcBorders>
              <w:top w:val="single" w:sz="4" w:space="0" w:color="auto"/>
              <w:left w:val="single" w:sz="4" w:space="0" w:color="auto"/>
              <w:bottom w:val="single" w:sz="4" w:space="0" w:color="auto"/>
              <w:right w:val="single" w:sz="4" w:space="0" w:color="auto"/>
            </w:tcBorders>
            <w:noWrap/>
            <w:vAlign w:val="center"/>
          </w:tcPr>
          <w:p w14:paraId="4B67D4D2"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1.32</w:t>
            </w:r>
          </w:p>
        </w:tc>
        <w:tc>
          <w:tcPr>
            <w:tcW w:w="939" w:type="pct"/>
            <w:tcBorders>
              <w:top w:val="single" w:sz="4" w:space="0" w:color="auto"/>
              <w:left w:val="single" w:sz="4" w:space="0" w:color="auto"/>
              <w:bottom w:val="single" w:sz="4" w:space="0" w:color="auto"/>
              <w:right w:val="single" w:sz="4" w:space="0" w:color="auto"/>
            </w:tcBorders>
            <w:noWrap/>
            <w:vAlign w:val="center"/>
          </w:tcPr>
          <w:p w14:paraId="695C6736"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6.08E-04</w:t>
            </w:r>
          </w:p>
        </w:tc>
        <w:tc>
          <w:tcPr>
            <w:tcW w:w="651" w:type="pct"/>
            <w:tcBorders>
              <w:top w:val="single" w:sz="4" w:space="0" w:color="auto"/>
              <w:left w:val="single" w:sz="4" w:space="0" w:color="auto"/>
              <w:bottom w:val="single" w:sz="4" w:space="0" w:color="auto"/>
              <w:right w:val="single" w:sz="4" w:space="0" w:color="auto"/>
            </w:tcBorders>
            <w:vAlign w:val="center"/>
          </w:tcPr>
          <w:p w14:paraId="18F0642D"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0.505</w:t>
            </w:r>
          </w:p>
        </w:tc>
        <w:tc>
          <w:tcPr>
            <w:tcW w:w="945" w:type="pct"/>
            <w:tcBorders>
              <w:top w:val="single" w:sz="4" w:space="0" w:color="auto"/>
              <w:left w:val="single" w:sz="4" w:space="0" w:color="auto"/>
              <w:bottom w:val="single" w:sz="4" w:space="0" w:color="auto"/>
              <w:right w:val="single" w:sz="4" w:space="0" w:color="auto"/>
            </w:tcBorders>
            <w:vAlign w:val="center"/>
          </w:tcPr>
          <w:p w14:paraId="593FD8DB"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30</w:t>
            </w:r>
          </w:p>
        </w:tc>
        <w:tc>
          <w:tcPr>
            <w:tcW w:w="551" w:type="pct"/>
            <w:tcBorders>
              <w:top w:val="single" w:sz="4" w:space="0" w:color="auto"/>
              <w:left w:val="single" w:sz="4" w:space="0" w:color="auto"/>
              <w:bottom w:val="single" w:sz="4" w:space="0" w:color="auto"/>
              <w:right w:val="single" w:sz="4" w:space="0" w:color="auto"/>
            </w:tcBorders>
            <w:vAlign w:val="center"/>
          </w:tcPr>
          <w:p w14:paraId="016F207B"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0.35m</w:t>
            </w:r>
          </w:p>
        </w:tc>
        <w:tc>
          <w:tcPr>
            <w:tcW w:w="1004" w:type="pct"/>
            <w:tcBorders>
              <w:top w:val="single" w:sz="4" w:space="0" w:color="auto"/>
              <w:left w:val="single" w:sz="4" w:space="0" w:color="auto"/>
              <w:bottom w:val="single" w:sz="4" w:space="0" w:color="auto"/>
              <w:right w:val="single" w:sz="4" w:space="0" w:color="auto"/>
            </w:tcBorders>
            <w:vAlign w:val="center"/>
          </w:tcPr>
          <w:p w14:paraId="1F3DB6C6" w14:textId="77777777" w:rsidR="002133E3" w:rsidRDefault="00C22CFA">
            <w:pPr>
              <w:spacing w:line="300" w:lineRule="exact"/>
              <w:jc w:val="center"/>
              <w:rPr>
                <w:rFonts w:ascii="Times New Roman" w:eastAsia="宋体" w:hAnsi="Times New Roman" w:cs="Times New Roman"/>
                <w:kern w:val="0"/>
                <w:sz w:val="24"/>
                <w:szCs w:val="21"/>
              </w:rPr>
            </w:pPr>
            <w:r>
              <w:rPr>
                <w:rFonts w:ascii="Times New Roman" w:eastAsia="宋体" w:hAnsi="Times New Roman" w:cs="Times New Roman"/>
                <w:kern w:val="0"/>
                <w:sz w:val="24"/>
                <w:szCs w:val="21"/>
              </w:rPr>
              <w:t>1.4</w:t>
            </w:r>
          </w:p>
        </w:tc>
      </w:tr>
    </w:tbl>
    <w:p w14:paraId="2572703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污染情景设定</w:t>
      </w:r>
    </w:p>
    <w:p w14:paraId="3246ABBB"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正常状况</w:t>
      </w:r>
    </w:p>
    <w:p w14:paraId="5C36EF4C"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正常状况下，项目表面处理区、污水处理等区域也必须是钢筋混凝土进行表面硬化处理，原料、物料及污水输送管线也是必须经过防腐防渗处理，在采取源头和分区防控措施的基础上，正常状况下不应有物料暴露而发生渗漏至地下的情景发生。因此，本次土壤污染预测情景主要针对非正常状况及风险事故状况进行设定。</w:t>
      </w:r>
    </w:p>
    <w:p w14:paraId="42872E4F"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非正常状况</w:t>
      </w:r>
    </w:p>
    <w:p w14:paraId="570859E0"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假设本项目厂区污水站废水收集的缓冲桶发生泄漏，根据企业的实际情况分析，如果缓冲桶破损有污水等泄漏，建设单位必须及时采取措施，不可能任由污水漫流渗漏，任其渗入土壤。</w:t>
      </w:r>
    </w:p>
    <w:p w14:paraId="766CC3A8" w14:textId="77777777" w:rsidR="002133E3" w:rsidRDefault="00C22CFA">
      <w:pPr>
        <w:spacing w:line="500" w:lineRule="exact"/>
        <w:ind w:firstLineChars="200" w:firstLine="560"/>
        <w:rPr>
          <w:rFonts w:ascii="Times New Roman" w:eastAsia="宋体" w:hAnsi="Times New Roman" w:cs="Times New Roman"/>
          <w:spacing w:val="16"/>
          <w:sz w:val="28"/>
          <w:szCs w:val="28"/>
        </w:rPr>
      </w:pPr>
      <w:r>
        <w:rPr>
          <w:rFonts w:ascii="Times New Roman" w:eastAsia="宋体" w:hAnsi="Times New Roman" w:cs="Times New Roman"/>
          <w:sz w:val="28"/>
          <w:szCs w:val="28"/>
        </w:rPr>
        <w:t>因此，考虑预测污水站非可视部位发生小面积渗漏时，有少量物料通过漏点，逐渐渗入进入土壤，设定持续泄漏，渗漏时间设定为</w:t>
      </w:r>
      <w:r>
        <w:rPr>
          <w:rFonts w:ascii="Times New Roman" w:eastAsia="宋体" w:hAnsi="Times New Roman" w:cs="Times New Roman"/>
          <w:sz w:val="28"/>
          <w:szCs w:val="28"/>
        </w:rPr>
        <w:t>365</w:t>
      </w:r>
      <w:r>
        <w:rPr>
          <w:rFonts w:ascii="Times New Roman" w:eastAsia="宋体" w:hAnsi="Times New Roman" w:cs="Times New Roman"/>
          <w:sz w:val="28"/>
          <w:szCs w:val="28"/>
        </w:rPr>
        <w:t>天。</w:t>
      </w:r>
    </w:p>
    <w:p w14:paraId="459B09B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土壤污染预测</w:t>
      </w:r>
    </w:p>
    <w:p w14:paraId="67D01A07"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污水站废水泄漏污染因子主要为</w:t>
      </w:r>
      <w:r>
        <w:rPr>
          <w:rFonts w:ascii="Times New Roman" w:eastAsia="宋体" w:hAnsi="Times New Roman" w:cs="Times New Roman"/>
          <w:sz w:val="28"/>
          <w:szCs w:val="28"/>
        </w:rPr>
        <w:t>COD</w:t>
      </w:r>
      <w:r>
        <w:rPr>
          <w:rFonts w:ascii="Times New Roman" w:eastAsia="宋体" w:hAnsi="Times New Roman" w:cs="Times New Roman"/>
          <w:sz w:val="28"/>
          <w:szCs w:val="28"/>
        </w:rPr>
        <w:t>，考虑高浓废水收集池部分泄漏，</w:t>
      </w:r>
      <w:r>
        <w:rPr>
          <w:rFonts w:ascii="Times New Roman" w:eastAsia="宋体" w:hAnsi="Times New Roman" w:cs="Times New Roman"/>
          <w:sz w:val="28"/>
          <w:szCs w:val="28"/>
        </w:rPr>
        <w:t>COD</w:t>
      </w:r>
      <w:r>
        <w:rPr>
          <w:rFonts w:ascii="Times New Roman" w:eastAsia="宋体" w:hAnsi="Times New Roman" w:cs="Times New Roman"/>
          <w:sz w:val="28"/>
          <w:szCs w:val="28"/>
        </w:rPr>
        <w:t>浓度取</w:t>
      </w:r>
      <w:r>
        <w:rPr>
          <w:rFonts w:ascii="Times New Roman" w:eastAsia="宋体" w:hAnsi="Times New Roman" w:cs="Times New Roman"/>
          <w:color w:val="0D0D0D"/>
          <w:sz w:val="28"/>
          <w:szCs w:val="28"/>
        </w:rPr>
        <w:t>19977</w:t>
      </w:r>
      <w:r>
        <w:rPr>
          <w:rFonts w:ascii="Times New Roman" w:eastAsia="宋体" w:hAnsi="Times New Roman" w:cs="Times New Roman"/>
          <w:sz w:val="28"/>
          <w:szCs w:val="28"/>
        </w:rPr>
        <w:t>mg/l</w:t>
      </w:r>
      <w:r>
        <w:rPr>
          <w:rFonts w:ascii="Times New Roman" w:eastAsia="宋体" w:hAnsi="Times New Roman" w:cs="Times New Roman"/>
          <w:sz w:val="28"/>
          <w:szCs w:val="28"/>
        </w:rPr>
        <w:t>，持续渗入土壤并逐渐向下运移，模拟结果如图</w:t>
      </w:r>
      <w:r>
        <w:rPr>
          <w:rFonts w:ascii="Times New Roman" w:eastAsia="宋体" w:hAnsi="Times New Roman" w:cs="Times New Roman"/>
          <w:sz w:val="28"/>
          <w:szCs w:val="28"/>
        </w:rPr>
        <w:t>6.7-1</w:t>
      </w:r>
      <w:r>
        <w:rPr>
          <w:rFonts w:ascii="Times New Roman" w:eastAsia="宋体" w:hAnsi="Times New Roman" w:cs="Times New Roman"/>
          <w:sz w:val="28"/>
          <w:szCs w:val="28"/>
        </w:rPr>
        <w:t>、图</w:t>
      </w:r>
      <w:r>
        <w:rPr>
          <w:rFonts w:ascii="Times New Roman" w:eastAsia="宋体" w:hAnsi="Times New Roman" w:cs="Times New Roman"/>
          <w:sz w:val="28"/>
          <w:szCs w:val="28"/>
        </w:rPr>
        <w:t>6.7-2</w:t>
      </w:r>
      <w:r>
        <w:rPr>
          <w:rFonts w:ascii="Times New Roman" w:eastAsia="宋体" w:hAnsi="Times New Roman" w:cs="Times New Roman"/>
          <w:sz w:val="28"/>
          <w:szCs w:val="28"/>
        </w:rPr>
        <w:lastRenderedPageBreak/>
        <w:t>所示（</w:t>
      </w:r>
      <w:r>
        <w:rPr>
          <w:rFonts w:ascii="Times New Roman" w:eastAsia="宋体" w:hAnsi="Times New Roman" w:cs="Times New Roman"/>
          <w:sz w:val="28"/>
          <w:szCs w:val="28"/>
        </w:rPr>
        <w:t>N1~N4</w:t>
      </w:r>
      <w:r>
        <w:rPr>
          <w:rFonts w:ascii="Times New Roman" w:eastAsia="宋体" w:hAnsi="Times New Roman" w:cs="Times New Roman"/>
          <w:sz w:val="28"/>
          <w:szCs w:val="28"/>
        </w:rPr>
        <w:t>分别代表土壤埋深</w:t>
      </w:r>
      <w:r>
        <w:rPr>
          <w:rFonts w:ascii="Times New Roman" w:eastAsia="宋体" w:hAnsi="Times New Roman" w:cs="Times New Roman"/>
          <w:sz w:val="28"/>
          <w:szCs w:val="28"/>
        </w:rPr>
        <w:t>0.3m</w:t>
      </w:r>
      <w:r>
        <w:rPr>
          <w:rFonts w:ascii="Times New Roman" w:eastAsia="宋体" w:hAnsi="Times New Roman" w:cs="Times New Roman"/>
          <w:sz w:val="28"/>
          <w:szCs w:val="28"/>
        </w:rPr>
        <w:t>、</w:t>
      </w:r>
      <w:r>
        <w:rPr>
          <w:rFonts w:ascii="Times New Roman" w:eastAsia="宋体" w:hAnsi="Times New Roman" w:cs="Times New Roman"/>
          <w:sz w:val="28"/>
          <w:szCs w:val="28"/>
        </w:rPr>
        <w:t>0.6m</w:t>
      </w:r>
      <w:r>
        <w:rPr>
          <w:rFonts w:ascii="Times New Roman" w:eastAsia="宋体" w:hAnsi="Times New Roman" w:cs="Times New Roman"/>
          <w:sz w:val="28"/>
          <w:szCs w:val="28"/>
        </w:rPr>
        <w:t>、</w:t>
      </w:r>
      <w:r>
        <w:rPr>
          <w:rFonts w:ascii="Times New Roman" w:eastAsia="宋体" w:hAnsi="Times New Roman" w:cs="Times New Roman"/>
          <w:sz w:val="28"/>
          <w:szCs w:val="28"/>
        </w:rPr>
        <w:t>0.9m</w:t>
      </w:r>
      <w:r>
        <w:rPr>
          <w:rFonts w:ascii="Times New Roman" w:eastAsia="宋体" w:hAnsi="Times New Roman" w:cs="Times New Roman"/>
          <w:sz w:val="28"/>
          <w:szCs w:val="28"/>
        </w:rPr>
        <w:t>、</w:t>
      </w:r>
      <w:r>
        <w:rPr>
          <w:rFonts w:ascii="Times New Roman" w:eastAsia="宋体" w:hAnsi="Times New Roman" w:cs="Times New Roman"/>
          <w:sz w:val="28"/>
          <w:szCs w:val="28"/>
        </w:rPr>
        <w:t>1.2m; T1~ T4</w:t>
      </w:r>
      <w:r>
        <w:rPr>
          <w:rFonts w:ascii="Times New Roman" w:eastAsia="宋体" w:hAnsi="Times New Roman" w:cs="Times New Roman"/>
          <w:sz w:val="28"/>
          <w:szCs w:val="28"/>
        </w:rPr>
        <w:t>分别代表泄漏</w:t>
      </w:r>
      <w:r>
        <w:rPr>
          <w:rFonts w:ascii="Times New Roman" w:eastAsia="宋体" w:hAnsi="Times New Roman" w:cs="Times New Roman"/>
          <w:sz w:val="28"/>
          <w:szCs w:val="28"/>
        </w:rPr>
        <w:t>50d</w:t>
      </w:r>
      <w:r>
        <w:rPr>
          <w:rFonts w:ascii="Times New Roman" w:eastAsia="宋体" w:hAnsi="Times New Roman" w:cs="Times New Roman"/>
          <w:sz w:val="28"/>
          <w:szCs w:val="28"/>
        </w:rPr>
        <w:t>、</w:t>
      </w:r>
      <w:r>
        <w:rPr>
          <w:rFonts w:ascii="Times New Roman" w:eastAsia="宋体" w:hAnsi="Times New Roman" w:cs="Times New Roman"/>
          <w:sz w:val="28"/>
          <w:szCs w:val="28"/>
        </w:rPr>
        <w:t>100d</w:t>
      </w:r>
      <w:r>
        <w:rPr>
          <w:rFonts w:ascii="Times New Roman" w:eastAsia="宋体" w:hAnsi="Times New Roman" w:cs="Times New Roman"/>
          <w:sz w:val="28"/>
          <w:szCs w:val="28"/>
        </w:rPr>
        <w:t>、</w:t>
      </w:r>
      <w:r>
        <w:rPr>
          <w:rFonts w:ascii="Times New Roman" w:eastAsia="宋体" w:hAnsi="Times New Roman" w:cs="Times New Roman"/>
          <w:sz w:val="28"/>
          <w:szCs w:val="28"/>
        </w:rPr>
        <w:t>150d</w:t>
      </w:r>
      <w:r>
        <w:rPr>
          <w:rFonts w:ascii="Times New Roman" w:eastAsia="宋体" w:hAnsi="Times New Roman" w:cs="Times New Roman"/>
          <w:sz w:val="28"/>
          <w:szCs w:val="28"/>
        </w:rPr>
        <w:t>、</w:t>
      </w:r>
      <w:r>
        <w:rPr>
          <w:rFonts w:ascii="Times New Roman" w:eastAsia="宋体" w:hAnsi="Times New Roman" w:cs="Times New Roman"/>
          <w:sz w:val="28"/>
          <w:szCs w:val="28"/>
        </w:rPr>
        <w:t>365d</w:t>
      </w:r>
      <w:r>
        <w:rPr>
          <w:rFonts w:ascii="Times New Roman" w:eastAsia="宋体" w:hAnsi="Times New Roman" w:cs="Times New Roman"/>
          <w:sz w:val="28"/>
          <w:szCs w:val="28"/>
        </w:rPr>
        <w:t>）。</w:t>
      </w:r>
    </w:p>
    <w:p w14:paraId="35835E01" w14:textId="77777777" w:rsidR="002133E3" w:rsidRDefault="00C22CFA">
      <w:pPr>
        <w:adjustRightInd w:val="0"/>
        <w:snapToGrid w:val="0"/>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 xml:space="preserve">     </w:t>
      </w:r>
      <w:r>
        <w:rPr>
          <w:rFonts w:ascii="Times New Roman" w:eastAsia="宋体" w:hAnsi="Times New Roman" w:cs="Times New Roman"/>
          <w:noProof/>
          <w:sz w:val="28"/>
          <w:szCs w:val="28"/>
        </w:rPr>
        <w:drawing>
          <wp:inline distT="0" distB="0" distL="0" distR="0" wp14:anchorId="4169FDDD" wp14:editId="1A3CDE34">
            <wp:extent cx="3557905" cy="2578735"/>
            <wp:effectExtent l="0" t="0" r="444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10">
                      <a:extLst>
                        <a:ext uri="{28A0092B-C50C-407E-A947-70E740481C1C}">
                          <a14:useLocalDpi xmlns:a14="http://schemas.microsoft.com/office/drawing/2010/main" val="0"/>
                        </a:ext>
                      </a:extLst>
                    </a:blip>
                    <a:srcRect l="4117" t="7506" r="30733" b="33929"/>
                    <a:stretch>
                      <a:fillRect/>
                    </a:stretch>
                  </pic:blipFill>
                  <pic:spPr>
                    <a:xfrm>
                      <a:off x="0" y="0"/>
                      <a:ext cx="3584242" cy="2598240"/>
                    </a:xfrm>
                    <a:prstGeom prst="rect">
                      <a:avLst/>
                    </a:prstGeom>
                    <a:noFill/>
                    <a:ln>
                      <a:noFill/>
                    </a:ln>
                  </pic:spPr>
                </pic:pic>
              </a:graphicData>
            </a:graphic>
          </wp:inline>
        </w:drawing>
      </w:r>
    </w:p>
    <w:p w14:paraId="0BBA0F94" w14:textId="77777777" w:rsidR="002133E3" w:rsidRDefault="00C22CFA">
      <w:pPr>
        <w:adjustRightInd w:val="0"/>
        <w:snapToGrid w:val="0"/>
        <w:spacing w:line="50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 xml:space="preserve">  </w:t>
      </w:r>
      <w:r>
        <w:rPr>
          <w:rFonts w:ascii="Times New Roman" w:eastAsia="宋体" w:hAnsi="Times New Roman" w:cs="Times New Roman"/>
          <w:b/>
          <w:kern w:val="0"/>
          <w:sz w:val="24"/>
          <w:szCs w:val="21"/>
        </w:rPr>
        <w:t>图</w:t>
      </w:r>
      <w:r>
        <w:rPr>
          <w:rFonts w:ascii="Times New Roman" w:eastAsia="宋体" w:hAnsi="Times New Roman" w:cs="Times New Roman"/>
          <w:b/>
          <w:kern w:val="0"/>
          <w:sz w:val="24"/>
          <w:szCs w:val="21"/>
        </w:rPr>
        <w:t xml:space="preserve">6.7-1 </w:t>
      </w:r>
      <w:r>
        <w:rPr>
          <w:rFonts w:ascii="Times New Roman" w:eastAsia="宋体" w:hAnsi="Times New Roman" w:cs="Times New Roman"/>
          <w:b/>
          <w:kern w:val="0"/>
          <w:sz w:val="24"/>
          <w:szCs w:val="21"/>
        </w:rPr>
        <w:t>土壤不同深度</w:t>
      </w:r>
      <w:r>
        <w:rPr>
          <w:rFonts w:ascii="Times New Roman" w:eastAsia="宋体" w:hAnsi="Times New Roman" w:cs="Times New Roman"/>
          <w:b/>
          <w:kern w:val="0"/>
          <w:sz w:val="24"/>
          <w:szCs w:val="21"/>
        </w:rPr>
        <w:t>COD</w:t>
      </w:r>
      <w:r>
        <w:rPr>
          <w:rFonts w:ascii="Times New Roman" w:eastAsia="宋体" w:hAnsi="Times New Roman" w:cs="Times New Roman"/>
          <w:b/>
          <w:kern w:val="0"/>
          <w:sz w:val="24"/>
          <w:szCs w:val="21"/>
        </w:rPr>
        <w:t>浓度变化曲线</w:t>
      </w:r>
    </w:p>
    <w:p w14:paraId="7BF4519E" w14:textId="77777777" w:rsidR="002133E3" w:rsidRDefault="00C22CFA">
      <w:pPr>
        <w:ind w:firstLineChars="226" w:firstLine="633"/>
        <w:jc w:val="center"/>
        <w:rPr>
          <w:rFonts w:ascii="Times New Roman" w:eastAsia="宋体" w:hAnsi="Times New Roman" w:cs="Times New Roman"/>
          <w:sz w:val="28"/>
          <w:szCs w:val="28"/>
        </w:rPr>
      </w:pPr>
      <w:r>
        <w:rPr>
          <w:rFonts w:ascii="Times New Roman" w:eastAsia="宋体" w:hAnsi="Times New Roman" w:cs="Times New Roman"/>
          <w:noProof/>
          <w:sz w:val="28"/>
          <w:szCs w:val="28"/>
        </w:rPr>
        <w:drawing>
          <wp:inline distT="0" distB="0" distL="0" distR="0" wp14:anchorId="2C253F58" wp14:editId="2BFBCD44">
            <wp:extent cx="3559175" cy="2406650"/>
            <wp:effectExtent l="0" t="0" r="317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11">
                      <a:extLst>
                        <a:ext uri="{28A0092B-C50C-407E-A947-70E740481C1C}">
                          <a14:useLocalDpi xmlns:a14="http://schemas.microsoft.com/office/drawing/2010/main" val="0"/>
                        </a:ext>
                      </a:extLst>
                    </a:blip>
                    <a:srcRect l="3445" t="9838" r="31083" b="35389"/>
                    <a:stretch>
                      <a:fillRect/>
                    </a:stretch>
                  </pic:blipFill>
                  <pic:spPr>
                    <a:xfrm>
                      <a:off x="0" y="0"/>
                      <a:ext cx="3604628" cy="2437138"/>
                    </a:xfrm>
                    <a:prstGeom prst="rect">
                      <a:avLst/>
                    </a:prstGeom>
                    <a:noFill/>
                    <a:ln>
                      <a:noFill/>
                    </a:ln>
                  </pic:spPr>
                </pic:pic>
              </a:graphicData>
            </a:graphic>
          </wp:inline>
        </w:drawing>
      </w:r>
    </w:p>
    <w:p w14:paraId="66EC04B8" w14:textId="77777777" w:rsidR="002133E3" w:rsidRDefault="00C22CFA">
      <w:pPr>
        <w:adjustRightInd w:val="0"/>
        <w:snapToGrid w:val="0"/>
        <w:spacing w:line="50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 xml:space="preserve">  </w:t>
      </w:r>
      <w:r>
        <w:rPr>
          <w:rFonts w:ascii="Times New Roman" w:eastAsia="宋体" w:hAnsi="Times New Roman" w:cs="Times New Roman"/>
          <w:b/>
          <w:kern w:val="0"/>
          <w:sz w:val="24"/>
          <w:szCs w:val="21"/>
        </w:rPr>
        <w:t>图</w:t>
      </w:r>
      <w:r>
        <w:rPr>
          <w:rFonts w:ascii="Times New Roman" w:eastAsia="宋体" w:hAnsi="Times New Roman" w:cs="Times New Roman"/>
          <w:b/>
          <w:kern w:val="0"/>
          <w:sz w:val="24"/>
          <w:szCs w:val="21"/>
        </w:rPr>
        <w:t xml:space="preserve">6.7-2 </w:t>
      </w:r>
      <w:r>
        <w:rPr>
          <w:rFonts w:ascii="Times New Roman" w:eastAsia="宋体" w:hAnsi="Times New Roman" w:cs="Times New Roman"/>
          <w:b/>
          <w:kern w:val="0"/>
          <w:sz w:val="24"/>
          <w:szCs w:val="21"/>
        </w:rPr>
        <w:t>不同时间</w:t>
      </w:r>
      <w:r>
        <w:rPr>
          <w:rFonts w:ascii="Times New Roman" w:eastAsia="宋体" w:hAnsi="Times New Roman" w:cs="Times New Roman"/>
          <w:b/>
          <w:kern w:val="0"/>
          <w:sz w:val="24"/>
          <w:szCs w:val="21"/>
        </w:rPr>
        <w:t>COD</w:t>
      </w:r>
      <w:r>
        <w:rPr>
          <w:rFonts w:ascii="Times New Roman" w:eastAsia="宋体" w:hAnsi="Times New Roman" w:cs="Times New Roman"/>
          <w:b/>
          <w:kern w:val="0"/>
          <w:sz w:val="24"/>
          <w:szCs w:val="21"/>
        </w:rPr>
        <w:t>浓度变化曲线</w:t>
      </w:r>
    </w:p>
    <w:p w14:paraId="077DFD7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影响评价</w:t>
      </w:r>
    </w:p>
    <w:p w14:paraId="07713997"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由上图</w:t>
      </w:r>
      <w:r>
        <w:rPr>
          <w:rFonts w:ascii="Times New Roman" w:eastAsia="宋体" w:hAnsi="Times New Roman" w:cs="Times New Roman"/>
          <w:sz w:val="28"/>
          <w:szCs w:val="28"/>
        </w:rPr>
        <w:t>6.7-1</w:t>
      </w:r>
      <w:r>
        <w:rPr>
          <w:rFonts w:ascii="Times New Roman" w:eastAsia="宋体" w:hAnsi="Times New Roman" w:cs="Times New Roman"/>
          <w:sz w:val="28"/>
          <w:szCs w:val="28"/>
        </w:rPr>
        <w:t>在非正常工况下，土壤</w:t>
      </w:r>
      <w:r>
        <w:rPr>
          <w:rFonts w:ascii="Times New Roman" w:eastAsia="宋体" w:hAnsi="Times New Roman" w:cs="Times New Roman"/>
          <w:sz w:val="28"/>
          <w:szCs w:val="28"/>
        </w:rPr>
        <w:t>N1(0.3m)</w:t>
      </w:r>
      <w:r>
        <w:rPr>
          <w:rFonts w:ascii="Times New Roman" w:eastAsia="宋体" w:hAnsi="Times New Roman" w:cs="Times New Roman"/>
          <w:sz w:val="28"/>
          <w:szCs w:val="28"/>
        </w:rPr>
        <w:t>、</w:t>
      </w:r>
      <w:r>
        <w:rPr>
          <w:rFonts w:ascii="Times New Roman" w:eastAsia="宋体" w:hAnsi="Times New Roman" w:cs="Times New Roman"/>
          <w:sz w:val="28"/>
          <w:szCs w:val="28"/>
        </w:rPr>
        <w:t>N2(0.6m)</w:t>
      </w:r>
      <w:r>
        <w:rPr>
          <w:rFonts w:ascii="Times New Roman" w:eastAsia="宋体" w:hAnsi="Times New Roman" w:cs="Times New Roman"/>
          <w:sz w:val="28"/>
          <w:szCs w:val="28"/>
        </w:rPr>
        <w:t>、</w:t>
      </w:r>
      <w:r>
        <w:rPr>
          <w:rFonts w:ascii="Times New Roman" w:eastAsia="宋体" w:hAnsi="Times New Roman" w:cs="Times New Roman"/>
          <w:sz w:val="28"/>
          <w:szCs w:val="28"/>
        </w:rPr>
        <w:t>N1(0.9m)</w:t>
      </w:r>
      <w:r>
        <w:rPr>
          <w:rFonts w:ascii="Times New Roman" w:eastAsia="宋体" w:hAnsi="Times New Roman" w:cs="Times New Roman"/>
          <w:sz w:val="28"/>
          <w:szCs w:val="28"/>
        </w:rPr>
        <w:t>、</w:t>
      </w:r>
      <w:r>
        <w:rPr>
          <w:rFonts w:ascii="Times New Roman" w:eastAsia="宋体" w:hAnsi="Times New Roman" w:cs="Times New Roman"/>
          <w:sz w:val="28"/>
          <w:szCs w:val="28"/>
        </w:rPr>
        <w:t>N1(1.2m)</w:t>
      </w:r>
      <w:r>
        <w:rPr>
          <w:rFonts w:ascii="Times New Roman" w:eastAsia="宋体" w:hAnsi="Times New Roman" w:cs="Times New Roman"/>
          <w:sz w:val="28"/>
          <w:szCs w:val="28"/>
        </w:rPr>
        <w:t>深度</w:t>
      </w:r>
      <w:r>
        <w:rPr>
          <w:rFonts w:ascii="Times New Roman" w:eastAsia="宋体" w:hAnsi="Times New Roman" w:cs="Times New Roman"/>
          <w:sz w:val="28"/>
          <w:szCs w:val="28"/>
        </w:rPr>
        <w:t>COD</w:t>
      </w:r>
      <w:r>
        <w:rPr>
          <w:rFonts w:ascii="Times New Roman" w:eastAsia="宋体" w:hAnsi="Times New Roman" w:cs="Times New Roman"/>
          <w:sz w:val="28"/>
          <w:szCs w:val="28"/>
        </w:rPr>
        <w:t>浓度随着时间推移不断增高，</w:t>
      </w:r>
      <w:r>
        <w:rPr>
          <w:rFonts w:ascii="Times New Roman" w:eastAsia="宋体" w:hAnsi="Times New Roman" w:cs="Times New Roman"/>
          <w:sz w:val="28"/>
          <w:szCs w:val="28"/>
        </w:rPr>
        <w:t xml:space="preserve"> N1</w:t>
      </w:r>
      <w:r>
        <w:rPr>
          <w:rFonts w:ascii="Times New Roman" w:eastAsia="宋体" w:hAnsi="Times New Roman" w:cs="Times New Roman"/>
          <w:sz w:val="28"/>
          <w:szCs w:val="28"/>
        </w:rPr>
        <w:t>层在</w:t>
      </w:r>
      <w:r>
        <w:rPr>
          <w:rFonts w:ascii="Times New Roman" w:eastAsia="宋体" w:hAnsi="Times New Roman" w:cs="Times New Roman"/>
          <w:sz w:val="28"/>
          <w:szCs w:val="28"/>
        </w:rPr>
        <w:t>365d</w:t>
      </w:r>
      <w:r>
        <w:rPr>
          <w:rFonts w:ascii="Times New Roman" w:eastAsia="宋体" w:hAnsi="Times New Roman" w:cs="Times New Roman"/>
          <w:sz w:val="28"/>
          <w:szCs w:val="28"/>
        </w:rPr>
        <w:t>时最大值为趋近</w:t>
      </w:r>
      <w:r>
        <w:rPr>
          <w:rFonts w:ascii="Times New Roman" w:eastAsia="宋体" w:hAnsi="Times New Roman" w:cs="Times New Roman"/>
          <w:sz w:val="28"/>
          <w:szCs w:val="28"/>
        </w:rPr>
        <w:t>71920mg/cm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；由图</w:t>
      </w:r>
      <w:r>
        <w:rPr>
          <w:rFonts w:ascii="Times New Roman" w:eastAsia="宋体" w:hAnsi="Times New Roman" w:cs="Times New Roman"/>
          <w:sz w:val="28"/>
          <w:szCs w:val="28"/>
        </w:rPr>
        <w:t>6.7-2</w:t>
      </w:r>
      <w:r>
        <w:rPr>
          <w:rFonts w:ascii="Times New Roman" w:eastAsia="宋体" w:hAnsi="Times New Roman" w:cs="Times New Roman"/>
          <w:sz w:val="28"/>
          <w:szCs w:val="28"/>
        </w:rPr>
        <w:t>可知，泄漏</w:t>
      </w:r>
      <w:r>
        <w:rPr>
          <w:rFonts w:ascii="Times New Roman" w:eastAsia="宋体" w:hAnsi="Times New Roman" w:cs="Times New Roman"/>
          <w:sz w:val="28"/>
          <w:szCs w:val="28"/>
        </w:rPr>
        <w:t>50</w:t>
      </w:r>
      <w:r>
        <w:rPr>
          <w:rFonts w:ascii="Times New Roman" w:eastAsia="宋体" w:hAnsi="Times New Roman" w:cs="Times New Roman"/>
          <w:sz w:val="28"/>
          <w:szCs w:val="28"/>
        </w:rPr>
        <w:t>天后渗透影响至表层下</w:t>
      </w:r>
      <w:r>
        <w:rPr>
          <w:rFonts w:ascii="Times New Roman" w:eastAsia="宋体" w:hAnsi="Times New Roman" w:cs="Times New Roman"/>
          <w:sz w:val="28"/>
          <w:szCs w:val="28"/>
        </w:rPr>
        <w:t>0.96m</w:t>
      </w:r>
      <w:r>
        <w:rPr>
          <w:rFonts w:ascii="Times New Roman" w:eastAsia="宋体" w:hAnsi="Times New Roman" w:cs="Times New Roman"/>
          <w:sz w:val="28"/>
          <w:szCs w:val="28"/>
        </w:rPr>
        <w:t>，泄漏</w:t>
      </w:r>
      <w:r>
        <w:rPr>
          <w:rFonts w:ascii="Times New Roman" w:eastAsia="宋体" w:hAnsi="Times New Roman" w:cs="Times New Roman"/>
          <w:sz w:val="28"/>
          <w:szCs w:val="28"/>
        </w:rPr>
        <w:t>100</w:t>
      </w:r>
      <w:r>
        <w:rPr>
          <w:rFonts w:ascii="Times New Roman" w:eastAsia="宋体" w:hAnsi="Times New Roman" w:cs="Times New Roman"/>
          <w:sz w:val="28"/>
          <w:szCs w:val="28"/>
        </w:rPr>
        <w:t>天后渗透至</w:t>
      </w:r>
      <w:r>
        <w:rPr>
          <w:rFonts w:ascii="Times New Roman" w:eastAsia="宋体" w:hAnsi="Times New Roman" w:cs="Times New Roman"/>
          <w:sz w:val="28"/>
          <w:szCs w:val="28"/>
        </w:rPr>
        <w:t>1.2m</w:t>
      </w:r>
      <w:r>
        <w:rPr>
          <w:rFonts w:ascii="Times New Roman" w:eastAsia="宋体" w:hAnsi="Times New Roman" w:cs="Times New Roman"/>
          <w:sz w:val="28"/>
          <w:szCs w:val="28"/>
        </w:rPr>
        <w:t>，</w:t>
      </w:r>
      <w:r>
        <w:rPr>
          <w:rFonts w:ascii="Times New Roman" w:eastAsia="宋体" w:hAnsi="Times New Roman" w:cs="Times New Roman"/>
          <w:sz w:val="28"/>
          <w:szCs w:val="28"/>
        </w:rPr>
        <w:t>150</w:t>
      </w:r>
      <w:r>
        <w:rPr>
          <w:rFonts w:ascii="Times New Roman" w:eastAsia="宋体" w:hAnsi="Times New Roman" w:cs="Times New Roman"/>
          <w:sz w:val="28"/>
          <w:szCs w:val="28"/>
        </w:rPr>
        <w:t>天后渗透至</w:t>
      </w:r>
      <w:r>
        <w:rPr>
          <w:rFonts w:ascii="Times New Roman" w:eastAsia="宋体" w:hAnsi="Times New Roman" w:cs="Times New Roman"/>
          <w:sz w:val="28"/>
          <w:szCs w:val="28"/>
        </w:rPr>
        <w:t>1.42m</w:t>
      </w:r>
      <w:r>
        <w:rPr>
          <w:rFonts w:ascii="Times New Roman" w:eastAsia="宋体" w:hAnsi="Times New Roman" w:cs="Times New Roman"/>
          <w:sz w:val="28"/>
          <w:szCs w:val="28"/>
        </w:rPr>
        <w:t>，之后进入潜水层，同时浓度随着时间推移不断增高，对土壤环境影响较重。污染物随着时间延长进入地下水中的浓度逐渐升高，最终也会对地下水产生较重影响。</w:t>
      </w:r>
    </w:p>
    <w:p w14:paraId="1DBAFF4B"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污水站废水泄漏，污染物</w:t>
      </w:r>
      <w:r>
        <w:rPr>
          <w:rFonts w:ascii="Times New Roman" w:eastAsia="宋体" w:hAnsi="Times New Roman" w:cs="Times New Roman"/>
          <w:sz w:val="28"/>
          <w:szCs w:val="28"/>
        </w:rPr>
        <w:t>COD</w:t>
      </w:r>
      <w:r>
        <w:rPr>
          <w:rFonts w:ascii="Times New Roman" w:eastAsia="宋体" w:hAnsi="Times New Roman" w:cs="Times New Roman"/>
          <w:sz w:val="28"/>
          <w:szCs w:val="28"/>
        </w:rPr>
        <w:t>在土壤中随时间不断向下迁移，且峰值数据</w:t>
      </w:r>
      <w:r>
        <w:rPr>
          <w:rFonts w:ascii="Times New Roman" w:eastAsia="宋体" w:hAnsi="Times New Roman" w:cs="Times New Roman"/>
          <w:sz w:val="28"/>
          <w:szCs w:val="28"/>
        </w:rPr>
        <w:lastRenderedPageBreak/>
        <w:t>不断降低，但由于污染物持续泄漏，穿透包气带进入含水层，污染物随着时间延长进入地下水中的浓度逐渐升高，最终会对地下水产生影响。</w:t>
      </w:r>
    </w:p>
    <w:p w14:paraId="29E0A4E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保护措施与对策</w:t>
      </w:r>
    </w:p>
    <w:p w14:paraId="2A223444"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⑴</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源头控制</w:t>
      </w:r>
    </w:p>
    <w:p w14:paraId="7D3BD716"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从污染物源头控制排放，主要包括在工艺、管道、设备、污水储存及处理构筑物采取相应措施，防止和降低污染物跑、冒、滴、漏，将污染物泄漏的环境风险事故降到最低程度，出现故障立刻停工整修。</w:t>
      </w:r>
    </w:p>
    <w:p w14:paraId="7BB764A5"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⑵</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分区防控</w:t>
      </w:r>
    </w:p>
    <w:p w14:paraId="459CFF4F"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控制采取分区防渗原则，表面处理车间等重点区域设置地面的防渗措施和泄漏、渗漏污染物收集措施，即在污染区地面进行防渗处理，防止洒落地面的污染物渗入地下，并把滞留在地面的污染物收集起来，集中送至污水处理场处理；项目产生的固体废物均在室内堆放，满足</w:t>
      </w:r>
      <w:r>
        <w:rPr>
          <w:rFonts w:ascii="Times New Roman" w:eastAsia="宋体" w:hAnsi="Times New Roman" w:cs="Times New Roman"/>
          <w:sz w:val="28"/>
          <w:szCs w:val="28"/>
        </w:rPr>
        <w:t>“</w:t>
      </w:r>
      <w:r>
        <w:rPr>
          <w:rFonts w:ascii="Times New Roman" w:eastAsia="宋体" w:hAnsi="Times New Roman" w:cs="Times New Roman"/>
          <w:sz w:val="28"/>
          <w:szCs w:val="28"/>
        </w:rPr>
        <w:t>防风、防雨、防晒</w:t>
      </w:r>
      <w:r>
        <w:rPr>
          <w:rFonts w:ascii="Times New Roman" w:eastAsia="宋体" w:hAnsi="Times New Roman" w:cs="Times New Roman"/>
          <w:sz w:val="28"/>
          <w:szCs w:val="28"/>
        </w:rPr>
        <w:t>”</w:t>
      </w:r>
      <w:r>
        <w:rPr>
          <w:rFonts w:ascii="Times New Roman" w:eastAsia="宋体" w:hAnsi="Times New Roman" w:cs="Times New Roman"/>
          <w:sz w:val="28"/>
          <w:szCs w:val="28"/>
        </w:rPr>
        <w:t>的要求，经收集后均进行妥善处理，不直接排入土壤环境。本项目危险废物暂存于危险废物暂存区，暂存区按《危险废物贮存污染控制标准》</w:t>
      </w:r>
      <w:r>
        <w:rPr>
          <w:rFonts w:ascii="Times New Roman" w:eastAsia="宋体" w:hAnsi="Times New Roman" w:cs="Times New Roman"/>
          <w:sz w:val="28"/>
          <w:szCs w:val="28"/>
        </w:rPr>
        <w:t>(GB18597-2001)</w:t>
      </w:r>
      <w:r>
        <w:rPr>
          <w:rFonts w:ascii="Times New Roman" w:eastAsia="宋体" w:hAnsi="Times New Roman" w:cs="Times New Roman"/>
          <w:sz w:val="28"/>
          <w:szCs w:val="28"/>
        </w:rPr>
        <w:t>要求进行设计建造。危险废物分类收集后，委托有资质的危险废物处置单位处置。整个过程基本上可以杜绝危险废物接触土壤，且建设项目场地地面会做硬化处理，对土壤环境不会造成影响。</w:t>
      </w:r>
    </w:p>
    <w:p w14:paraId="32FB4CCC"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⑶</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跟踪监测</w:t>
      </w:r>
    </w:p>
    <w:p w14:paraId="6DBDF271"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建立土壤环境监测管理体系，包括制定土壤环境影响跟踪监测计划、建立土壤环境影响跟踪监测制度，及时发现问题，采取措施。</w:t>
      </w:r>
    </w:p>
    <w:p w14:paraId="2B0ACC11"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土壤环境跟踪监测遵循重点污染防治区加密监测、以重点影响区和土壤环境敏感目标监测为主、兼顾厂区边界的原则。土壤监测项目参照《土壤环境质量标准</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建设用地土壤污染风险管控标准（试行）》（</w:t>
      </w:r>
      <w:r>
        <w:rPr>
          <w:rFonts w:ascii="Times New Roman" w:eastAsia="宋体" w:hAnsi="Times New Roman" w:cs="Times New Roman"/>
          <w:sz w:val="28"/>
          <w:szCs w:val="28"/>
        </w:rPr>
        <w:t>GB36600-2018</w:t>
      </w:r>
      <w:r>
        <w:rPr>
          <w:rFonts w:ascii="Times New Roman" w:eastAsia="宋体" w:hAnsi="Times New Roman" w:cs="Times New Roman"/>
          <w:sz w:val="28"/>
          <w:szCs w:val="28"/>
        </w:rPr>
        <w:t>）的相关要求和潜在污染源特征污染因子确定，由专人负责监测或委托专业的机构监测分析。建设单位监测计划应向社会公开。</w:t>
      </w:r>
    </w:p>
    <w:p w14:paraId="58437B1F" w14:textId="77777777" w:rsidR="002133E3" w:rsidRDefault="00C22CFA">
      <w:pPr>
        <w:adjustRightInd w:val="0"/>
        <w:snapToGrid w:val="0"/>
        <w:spacing w:line="50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6.7-3 </w:t>
      </w:r>
      <w:r>
        <w:rPr>
          <w:rFonts w:ascii="Times New Roman" w:eastAsia="宋体" w:hAnsi="Times New Roman" w:cs="Times New Roman"/>
          <w:b/>
          <w:kern w:val="0"/>
          <w:sz w:val="24"/>
          <w:szCs w:val="21"/>
        </w:rPr>
        <w:t>土壤跟踪监测计划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9"/>
        <w:gridCol w:w="1146"/>
        <w:gridCol w:w="2483"/>
        <w:gridCol w:w="4586"/>
      </w:tblGrid>
      <w:tr w:rsidR="002133E3" w14:paraId="054E3765" w14:textId="77777777">
        <w:trPr>
          <w:trHeight w:val="340"/>
          <w:jc w:val="center"/>
        </w:trPr>
        <w:tc>
          <w:tcPr>
            <w:tcW w:w="831" w:type="pct"/>
            <w:vAlign w:val="center"/>
          </w:tcPr>
          <w:p w14:paraId="2FD73106"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监测点位</w:t>
            </w:r>
          </w:p>
        </w:tc>
        <w:tc>
          <w:tcPr>
            <w:tcW w:w="581" w:type="pct"/>
            <w:vAlign w:val="center"/>
          </w:tcPr>
          <w:p w14:paraId="6D808812"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监测层位</w:t>
            </w:r>
          </w:p>
        </w:tc>
        <w:tc>
          <w:tcPr>
            <w:tcW w:w="1260" w:type="pct"/>
            <w:vAlign w:val="center"/>
          </w:tcPr>
          <w:p w14:paraId="76F11305"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监测项目</w:t>
            </w:r>
          </w:p>
        </w:tc>
        <w:tc>
          <w:tcPr>
            <w:tcW w:w="2327" w:type="pct"/>
            <w:vAlign w:val="center"/>
          </w:tcPr>
          <w:p w14:paraId="1973AA05"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监测频次</w:t>
            </w:r>
          </w:p>
        </w:tc>
      </w:tr>
      <w:tr w:rsidR="002133E3" w14:paraId="650FB0D1" w14:textId="77777777">
        <w:trPr>
          <w:trHeight w:val="340"/>
          <w:jc w:val="center"/>
        </w:trPr>
        <w:tc>
          <w:tcPr>
            <w:tcW w:w="831" w:type="pct"/>
            <w:vAlign w:val="center"/>
          </w:tcPr>
          <w:p w14:paraId="24AFCC4C"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车间附近</w:t>
            </w:r>
          </w:p>
        </w:tc>
        <w:tc>
          <w:tcPr>
            <w:tcW w:w="581" w:type="pct"/>
            <w:vAlign w:val="center"/>
          </w:tcPr>
          <w:p w14:paraId="073D58B4"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柱状样</w:t>
            </w:r>
          </w:p>
        </w:tc>
        <w:tc>
          <w:tcPr>
            <w:tcW w:w="1260" w:type="pct"/>
            <w:vMerge w:val="restart"/>
            <w:vAlign w:val="center"/>
          </w:tcPr>
          <w:p w14:paraId="5780A3BE"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 xml:space="preserve">GB 36600-2018 </w:t>
            </w:r>
            <w:r>
              <w:rPr>
                <w:rFonts w:ascii="Times New Roman" w:eastAsia="宋体" w:hAnsi="Times New Roman" w:cs="Times New Roman"/>
                <w:szCs w:val="21"/>
              </w:rPr>
              <w:t>表</w:t>
            </w:r>
            <w:r>
              <w:rPr>
                <w:rFonts w:ascii="Times New Roman" w:eastAsia="宋体" w:hAnsi="Times New Roman" w:cs="Times New Roman"/>
                <w:szCs w:val="21"/>
              </w:rPr>
              <w:t>1 45</w:t>
            </w:r>
            <w:r>
              <w:rPr>
                <w:rFonts w:ascii="Times New Roman" w:eastAsia="宋体" w:hAnsi="Times New Roman" w:cs="Times New Roman"/>
                <w:szCs w:val="21"/>
              </w:rPr>
              <w:t>项基本因子</w:t>
            </w:r>
          </w:p>
        </w:tc>
        <w:tc>
          <w:tcPr>
            <w:tcW w:w="2327" w:type="pct"/>
            <w:vMerge w:val="restart"/>
            <w:vAlign w:val="center"/>
          </w:tcPr>
          <w:p w14:paraId="7D168C42"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次</w:t>
            </w:r>
            <w:r>
              <w:rPr>
                <w:rFonts w:ascii="Times New Roman" w:eastAsia="宋体" w:hAnsi="Times New Roman" w:cs="Times New Roman"/>
                <w:szCs w:val="21"/>
              </w:rPr>
              <w:t>/5</w:t>
            </w:r>
            <w:r>
              <w:rPr>
                <w:rFonts w:ascii="Times New Roman" w:eastAsia="宋体" w:hAnsi="Times New Roman" w:cs="Times New Roman"/>
                <w:szCs w:val="21"/>
              </w:rPr>
              <w:t>年，由建设单位自行委托专业监测单位进行监测，并做好记录</w:t>
            </w:r>
          </w:p>
        </w:tc>
      </w:tr>
      <w:tr w:rsidR="002133E3" w14:paraId="5EB4C282" w14:textId="77777777">
        <w:trPr>
          <w:trHeight w:val="340"/>
          <w:jc w:val="center"/>
        </w:trPr>
        <w:tc>
          <w:tcPr>
            <w:tcW w:w="831" w:type="pct"/>
            <w:vAlign w:val="center"/>
          </w:tcPr>
          <w:p w14:paraId="25FF310C"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厂区内绿化带</w:t>
            </w:r>
          </w:p>
        </w:tc>
        <w:tc>
          <w:tcPr>
            <w:tcW w:w="581" w:type="pct"/>
            <w:vAlign w:val="center"/>
          </w:tcPr>
          <w:p w14:paraId="4A095B25" w14:textId="77777777" w:rsidR="002133E3" w:rsidRDefault="00C22CFA">
            <w:pPr>
              <w:spacing w:beforeLines="20" w:before="62"/>
              <w:jc w:val="center"/>
              <w:rPr>
                <w:rFonts w:ascii="Times New Roman" w:eastAsia="宋体" w:hAnsi="Times New Roman" w:cs="Times New Roman"/>
                <w:szCs w:val="21"/>
              </w:rPr>
            </w:pPr>
            <w:r>
              <w:rPr>
                <w:rFonts w:ascii="Times New Roman" w:eastAsia="宋体" w:hAnsi="Times New Roman" w:cs="Times New Roman"/>
                <w:szCs w:val="21"/>
              </w:rPr>
              <w:t>表层样</w:t>
            </w:r>
          </w:p>
        </w:tc>
        <w:tc>
          <w:tcPr>
            <w:tcW w:w="1260" w:type="pct"/>
            <w:vMerge/>
            <w:vAlign w:val="center"/>
          </w:tcPr>
          <w:p w14:paraId="63FA86B6" w14:textId="77777777" w:rsidR="002133E3" w:rsidRDefault="002133E3">
            <w:pPr>
              <w:jc w:val="center"/>
              <w:rPr>
                <w:rFonts w:ascii="Times New Roman" w:eastAsia="宋体" w:hAnsi="Times New Roman" w:cs="Times New Roman"/>
                <w:b/>
                <w:szCs w:val="21"/>
              </w:rPr>
            </w:pPr>
          </w:p>
        </w:tc>
        <w:tc>
          <w:tcPr>
            <w:tcW w:w="2327" w:type="pct"/>
            <w:vMerge/>
            <w:vAlign w:val="center"/>
          </w:tcPr>
          <w:p w14:paraId="1D0EE004" w14:textId="77777777" w:rsidR="002133E3" w:rsidRDefault="002133E3">
            <w:pPr>
              <w:jc w:val="center"/>
              <w:rPr>
                <w:rFonts w:ascii="Times New Roman" w:eastAsia="宋体" w:hAnsi="Times New Roman" w:cs="Times New Roman"/>
                <w:b/>
                <w:szCs w:val="21"/>
              </w:rPr>
            </w:pPr>
          </w:p>
        </w:tc>
      </w:tr>
    </w:tbl>
    <w:p w14:paraId="5796D2E3" w14:textId="77777777" w:rsidR="002133E3" w:rsidRDefault="00C22CFA">
      <w:pPr>
        <w:snapToGrid w:val="0"/>
        <w:spacing w:line="500" w:lineRule="atLeast"/>
        <w:ind w:firstLineChars="192" w:firstLine="538"/>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根据监测结果表明，各监测点各项指标均能达到《土壤环境质量</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建设用地土壤污染风险管控标准（试行）》（</w:t>
      </w:r>
      <w:r>
        <w:rPr>
          <w:rFonts w:ascii="Times New Roman" w:eastAsia="宋体" w:hAnsi="Times New Roman" w:cs="Times New Roman"/>
          <w:kern w:val="0"/>
          <w:sz w:val="28"/>
          <w:szCs w:val="28"/>
        </w:rPr>
        <w:t>GB/36600-2018</w:t>
      </w:r>
      <w:r>
        <w:rPr>
          <w:rFonts w:ascii="Times New Roman" w:eastAsia="宋体" w:hAnsi="Times New Roman" w:cs="Times New Roman"/>
          <w:kern w:val="0"/>
          <w:sz w:val="28"/>
          <w:szCs w:val="28"/>
        </w:rPr>
        <w:t>）》的风险筛选值标准，土壤环境质量良好。</w:t>
      </w:r>
    </w:p>
    <w:p w14:paraId="50252A4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土壤环境影响评价自查</w:t>
      </w:r>
    </w:p>
    <w:p w14:paraId="3CD2C6A5" w14:textId="77777777" w:rsidR="002133E3" w:rsidRDefault="00C22CFA">
      <w:pPr>
        <w:adjustRightInd w:val="0"/>
        <w:snapToGrid w:val="0"/>
        <w:spacing w:line="500" w:lineRule="atLeas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6.7-4  </w:t>
      </w:r>
      <w:r>
        <w:rPr>
          <w:rFonts w:ascii="Times New Roman" w:eastAsia="宋体" w:hAnsi="Times New Roman" w:cs="Times New Roman"/>
          <w:b/>
          <w:kern w:val="0"/>
          <w:sz w:val="24"/>
          <w:szCs w:val="21"/>
        </w:rPr>
        <w:t>建设项目土壤环境影响评价自查表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910"/>
        <w:gridCol w:w="1259"/>
        <w:gridCol w:w="134"/>
        <w:gridCol w:w="1575"/>
        <w:gridCol w:w="968"/>
        <w:gridCol w:w="650"/>
        <w:gridCol w:w="2095"/>
        <w:gridCol w:w="767"/>
      </w:tblGrid>
      <w:tr w:rsidR="002133E3" w14:paraId="66C81886" w14:textId="77777777">
        <w:trPr>
          <w:jc w:val="center"/>
        </w:trPr>
        <w:tc>
          <w:tcPr>
            <w:tcW w:w="1221" w:type="pct"/>
            <w:gridSpan w:val="2"/>
            <w:vAlign w:val="center"/>
          </w:tcPr>
          <w:p w14:paraId="7D1B894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工作内容</w:t>
            </w:r>
          </w:p>
        </w:tc>
        <w:tc>
          <w:tcPr>
            <w:tcW w:w="3390" w:type="pct"/>
            <w:gridSpan w:val="6"/>
            <w:vAlign w:val="center"/>
          </w:tcPr>
          <w:p w14:paraId="246E1A6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完成情况</w:t>
            </w:r>
          </w:p>
        </w:tc>
        <w:tc>
          <w:tcPr>
            <w:tcW w:w="389" w:type="pct"/>
            <w:vAlign w:val="center"/>
          </w:tcPr>
          <w:p w14:paraId="2EF7781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备注</w:t>
            </w:r>
          </w:p>
        </w:tc>
      </w:tr>
      <w:tr w:rsidR="002133E3" w14:paraId="624E49EF" w14:textId="77777777">
        <w:trPr>
          <w:jc w:val="center"/>
        </w:trPr>
        <w:tc>
          <w:tcPr>
            <w:tcW w:w="252" w:type="pct"/>
            <w:vMerge w:val="restart"/>
            <w:vAlign w:val="center"/>
          </w:tcPr>
          <w:p w14:paraId="2561AFA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影</w:t>
            </w:r>
          </w:p>
          <w:p w14:paraId="2F9CBE3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响</w:t>
            </w:r>
          </w:p>
          <w:p w14:paraId="2B39F2F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识</w:t>
            </w:r>
          </w:p>
          <w:p w14:paraId="692A9CE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别</w:t>
            </w:r>
          </w:p>
        </w:tc>
        <w:tc>
          <w:tcPr>
            <w:tcW w:w="969" w:type="pct"/>
            <w:vAlign w:val="center"/>
          </w:tcPr>
          <w:p w14:paraId="22D3674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影响类型</w:t>
            </w:r>
          </w:p>
        </w:tc>
        <w:tc>
          <w:tcPr>
            <w:tcW w:w="3390" w:type="pct"/>
            <w:gridSpan w:val="6"/>
            <w:vAlign w:val="center"/>
          </w:tcPr>
          <w:p w14:paraId="232EACB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污染影响型</w:t>
            </w:r>
            <w:r>
              <w:rPr>
                <w:rFonts w:ascii="Times New Roman" w:eastAsia="宋体" w:hAnsi="Times New Roman" w:cs="Times New Roman"/>
                <w:kern w:val="0"/>
                <w:szCs w:val="21"/>
              </w:rPr>
              <w:t>√</w:t>
            </w:r>
            <w:r>
              <w:rPr>
                <w:rFonts w:ascii="Times New Roman" w:eastAsia="宋体" w:hAnsi="Times New Roman" w:cs="Times New Roman"/>
                <w:kern w:val="0"/>
                <w:szCs w:val="21"/>
              </w:rPr>
              <w:t>；生态影响型</w:t>
            </w:r>
            <w:r>
              <w:rPr>
                <w:rFonts w:ascii="Times New Roman" w:eastAsia="宋体" w:hAnsi="Times New Roman" w:cs="Times New Roman"/>
                <w:kern w:val="0"/>
                <w:szCs w:val="21"/>
              </w:rPr>
              <w:t>□</w:t>
            </w:r>
            <w:r>
              <w:rPr>
                <w:rFonts w:ascii="Times New Roman" w:eastAsia="宋体" w:hAnsi="Times New Roman" w:cs="Times New Roman"/>
                <w:kern w:val="0"/>
                <w:szCs w:val="21"/>
              </w:rPr>
              <w:t>；两种兼有</w:t>
            </w:r>
            <w:r>
              <w:rPr>
                <w:rFonts w:ascii="Times New Roman" w:eastAsia="宋体" w:hAnsi="Times New Roman" w:cs="Times New Roman"/>
                <w:kern w:val="0"/>
                <w:szCs w:val="21"/>
              </w:rPr>
              <w:t>□</w:t>
            </w:r>
          </w:p>
        </w:tc>
        <w:tc>
          <w:tcPr>
            <w:tcW w:w="389" w:type="pct"/>
            <w:vAlign w:val="center"/>
          </w:tcPr>
          <w:p w14:paraId="50A4EE14" w14:textId="77777777" w:rsidR="002133E3" w:rsidRDefault="002133E3">
            <w:pPr>
              <w:jc w:val="center"/>
              <w:rPr>
                <w:rFonts w:ascii="Times New Roman" w:eastAsia="宋体" w:hAnsi="Times New Roman" w:cs="Times New Roman"/>
                <w:kern w:val="0"/>
                <w:szCs w:val="21"/>
              </w:rPr>
            </w:pPr>
          </w:p>
        </w:tc>
      </w:tr>
      <w:tr w:rsidR="002133E3" w14:paraId="7DBCFC75" w14:textId="77777777">
        <w:trPr>
          <w:jc w:val="center"/>
        </w:trPr>
        <w:tc>
          <w:tcPr>
            <w:tcW w:w="252" w:type="pct"/>
            <w:vMerge/>
            <w:vAlign w:val="center"/>
          </w:tcPr>
          <w:p w14:paraId="70773967" w14:textId="77777777" w:rsidR="002133E3" w:rsidRDefault="002133E3">
            <w:pPr>
              <w:jc w:val="center"/>
              <w:rPr>
                <w:rFonts w:ascii="Times New Roman" w:eastAsia="宋体" w:hAnsi="Times New Roman" w:cs="Times New Roman"/>
                <w:kern w:val="0"/>
                <w:szCs w:val="21"/>
              </w:rPr>
            </w:pPr>
          </w:p>
        </w:tc>
        <w:tc>
          <w:tcPr>
            <w:tcW w:w="969" w:type="pct"/>
            <w:vAlign w:val="center"/>
          </w:tcPr>
          <w:p w14:paraId="28E20D9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土地利用类型</w:t>
            </w:r>
          </w:p>
        </w:tc>
        <w:tc>
          <w:tcPr>
            <w:tcW w:w="3390" w:type="pct"/>
            <w:gridSpan w:val="6"/>
            <w:vAlign w:val="center"/>
          </w:tcPr>
          <w:p w14:paraId="0331412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建设用地</w:t>
            </w:r>
            <w:r>
              <w:rPr>
                <w:rFonts w:ascii="Times New Roman" w:eastAsia="宋体" w:hAnsi="Times New Roman" w:cs="Times New Roman"/>
                <w:kern w:val="0"/>
                <w:szCs w:val="21"/>
              </w:rPr>
              <w:t>√</w:t>
            </w:r>
            <w:r>
              <w:rPr>
                <w:rFonts w:ascii="Times New Roman" w:eastAsia="宋体" w:hAnsi="Times New Roman" w:cs="Times New Roman"/>
                <w:kern w:val="0"/>
                <w:szCs w:val="21"/>
              </w:rPr>
              <w:t>；农用地</w:t>
            </w:r>
            <w:r>
              <w:rPr>
                <w:rFonts w:ascii="Times New Roman" w:eastAsia="宋体" w:hAnsi="Times New Roman" w:cs="Times New Roman"/>
                <w:kern w:val="0"/>
                <w:szCs w:val="21"/>
              </w:rPr>
              <w:t>□</w:t>
            </w:r>
            <w:r>
              <w:rPr>
                <w:rFonts w:ascii="Times New Roman" w:eastAsia="宋体" w:hAnsi="Times New Roman" w:cs="Times New Roman"/>
                <w:kern w:val="0"/>
                <w:szCs w:val="21"/>
              </w:rPr>
              <w:t>；未利用地</w:t>
            </w:r>
            <w:r>
              <w:rPr>
                <w:rFonts w:ascii="Times New Roman" w:eastAsia="宋体" w:hAnsi="Times New Roman" w:cs="Times New Roman"/>
                <w:kern w:val="0"/>
                <w:szCs w:val="21"/>
              </w:rPr>
              <w:t>□</w:t>
            </w:r>
          </w:p>
        </w:tc>
        <w:tc>
          <w:tcPr>
            <w:tcW w:w="389" w:type="pct"/>
            <w:vAlign w:val="center"/>
          </w:tcPr>
          <w:p w14:paraId="139CB448" w14:textId="77777777" w:rsidR="002133E3" w:rsidRDefault="002133E3">
            <w:pPr>
              <w:jc w:val="left"/>
              <w:rPr>
                <w:rFonts w:ascii="Times New Roman" w:eastAsia="宋体" w:hAnsi="Times New Roman" w:cs="Times New Roman"/>
                <w:kern w:val="0"/>
                <w:szCs w:val="21"/>
              </w:rPr>
            </w:pPr>
          </w:p>
        </w:tc>
      </w:tr>
      <w:tr w:rsidR="002133E3" w14:paraId="2E37F6F9" w14:textId="77777777">
        <w:trPr>
          <w:jc w:val="center"/>
        </w:trPr>
        <w:tc>
          <w:tcPr>
            <w:tcW w:w="252" w:type="pct"/>
            <w:vMerge/>
            <w:vAlign w:val="center"/>
          </w:tcPr>
          <w:p w14:paraId="562DFE3A" w14:textId="77777777" w:rsidR="002133E3" w:rsidRDefault="002133E3">
            <w:pPr>
              <w:jc w:val="center"/>
              <w:rPr>
                <w:rFonts w:ascii="Times New Roman" w:eastAsia="宋体" w:hAnsi="Times New Roman" w:cs="Times New Roman"/>
                <w:kern w:val="0"/>
                <w:szCs w:val="21"/>
              </w:rPr>
            </w:pPr>
          </w:p>
        </w:tc>
        <w:tc>
          <w:tcPr>
            <w:tcW w:w="969" w:type="pct"/>
            <w:vAlign w:val="center"/>
          </w:tcPr>
          <w:p w14:paraId="3D7EDC4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占地规模</w:t>
            </w:r>
          </w:p>
        </w:tc>
        <w:tc>
          <w:tcPr>
            <w:tcW w:w="3390" w:type="pct"/>
            <w:gridSpan w:val="6"/>
            <w:vAlign w:val="center"/>
          </w:tcPr>
          <w:p w14:paraId="46D638A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r>
              <w:rPr>
                <w:rFonts w:ascii="Times New Roman" w:eastAsia="宋体" w:hAnsi="Times New Roman" w:cs="Times New Roman"/>
                <w:kern w:val="0"/>
                <w:szCs w:val="21"/>
              </w:rPr>
              <w:t>5.76</w:t>
            </w:r>
            <w:r>
              <w:rPr>
                <w:rFonts w:ascii="Times New Roman" w:eastAsia="宋体" w:hAnsi="Times New Roman" w:cs="Times New Roman"/>
                <w:kern w:val="0"/>
                <w:szCs w:val="21"/>
              </w:rPr>
              <w:t>）</w:t>
            </w:r>
            <w:r>
              <w:rPr>
                <w:rFonts w:ascii="Times New Roman" w:eastAsia="宋体" w:hAnsi="Times New Roman" w:cs="Times New Roman"/>
                <w:kern w:val="0"/>
                <w:szCs w:val="21"/>
              </w:rPr>
              <w:t>hm</w:t>
            </w:r>
            <w:r>
              <w:rPr>
                <w:rFonts w:ascii="Times New Roman" w:eastAsia="宋体" w:hAnsi="Times New Roman" w:cs="Times New Roman"/>
                <w:kern w:val="0"/>
                <w:szCs w:val="21"/>
                <w:vertAlign w:val="superscript"/>
              </w:rPr>
              <w:t>2</w:t>
            </w:r>
          </w:p>
        </w:tc>
        <w:tc>
          <w:tcPr>
            <w:tcW w:w="389" w:type="pct"/>
            <w:vAlign w:val="center"/>
          </w:tcPr>
          <w:p w14:paraId="23487833" w14:textId="77777777" w:rsidR="002133E3" w:rsidRDefault="002133E3">
            <w:pPr>
              <w:jc w:val="center"/>
              <w:rPr>
                <w:rFonts w:ascii="Times New Roman" w:eastAsia="宋体" w:hAnsi="Times New Roman" w:cs="Times New Roman"/>
                <w:kern w:val="0"/>
                <w:szCs w:val="21"/>
              </w:rPr>
            </w:pPr>
          </w:p>
        </w:tc>
      </w:tr>
      <w:tr w:rsidR="002133E3" w14:paraId="6A3A303B" w14:textId="77777777">
        <w:trPr>
          <w:jc w:val="center"/>
        </w:trPr>
        <w:tc>
          <w:tcPr>
            <w:tcW w:w="252" w:type="pct"/>
            <w:vMerge/>
            <w:vAlign w:val="center"/>
          </w:tcPr>
          <w:p w14:paraId="340A7C02" w14:textId="77777777" w:rsidR="002133E3" w:rsidRDefault="002133E3">
            <w:pPr>
              <w:jc w:val="center"/>
              <w:rPr>
                <w:rFonts w:ascii="Times New Roman" w:eastAsia="宋体" w:hAnsi="Times New Roman" w:cs="Times New Roman"/>
                <w:kern w:val="0"/>
                <w:szCs w:val="21"/>
              </w:rPr>
            </w:pPr>
          </w:p>
        </w:tc>
        <w:tc>
          <w:tcPr>
            <w:tcW w:w="969" w:type="pct"/>
            <w:vAlign w:val="center"/>
          </w:tcPr>
          <w:p w14:paraId="1144327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敏感目标信息</w:t>
            </w:r>
          </w:p>
        </w:tc>
        <w:tc>
          <w:tcPr>
            <w:tcW w:w="3390" w:type="pct"/>
            <w:gridSpan w:val="6"/>
            <w:vAlign w:val="center"/>
          </w:tcPr>
          <w:p w14:paraId="0051D67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敏感目标（</w:t>
            </w:r>
            <w:r>
              <w:rPr>
                <w:rFonts w:ascii="Times New Roman" w:eastAsia="宋体" w:hAnsi="Times New Roman" w:cs="Times New Roman"/>
                <w:kern w:val="0"/>
                <w:szCs w:val="21"/>
              </w:rPr>
              <w:t xml:space="preserve"> /  </w:t>
            </w:r>
            <w:r>
              <w:rPr>
                <w:rFonts w:ascii="Times New Roman" w:eastAsia="宋体" w:hAnsi="Times New Roman" w:cs="Times New Roman"/>
                <w:kern w:val="0"/>
                <w:szCs w:val="21"/>
              </w:rPr>
              <w:t>）、方位（</w:t>
            </w:r>
            <w:r>
              <w:rPr>
                <w:rFonts w:ascii="Times New Roman" w:eastAsia="宋体" w:hAnsi="Times New Roman" w:cs="Times New Roman"/>
                <w:kern w:val="0"/>
                <w:szCs w:val="21"/>
              </w:rPr>
              <w:t xml:space="preserve">  / </w:t>
            </w:r>
            <w:r>
              <w:rPr>
                <w:rFonts w:ascii="Times New Roman" w:eastAsia="宋体" w:hAnsi="Times New Roman" w:cs="Times New Roman"/>
                <w:kern w:val="0"/>
                <w:szCs w:val="21"/>
              </w:rPr>
              <w:t>）、距离（</w:t>
            </w:r>
            <w:r>
              <w:rPr>
                <w:rFonts w:ascii="Times New Roman" w:eastAsia="宋体" w:hAnsi="Times New Roman" w:cs="Times New Roman"/>
                <w:kern w:val="0"/>
                <w:szCs w:val="21"/>
              </w:rPr>
              <w:t xml:space="preserve">  /  </w:t>
            </w:r>
            <w:r>
              <w:rPr>
                <w:rFonts w:ascii="Times New Roman" w:eastAsia="宋体" w:hAnsi="Times New Roman" w:cs="Times New Roman"/>
                <w:kern w:val="0"/>
                <w:szCs w:val="21"/>
              </w:rPr>
              <w:t>）</w:t>
            </w:r>
          </w:p>
        </w:tc>
        <w:tc>
          <w:tcPr>
            <w:tcW w:w="389" w:type="pct"/>
            <w:vAlign w:val="center"/>
          </w:tcPr>
          <w:p w14:paraId="5E9DE3D4" w14:textId="77777777" w:rsidR="002133E3" w:rsidRDefault="002133E3">
            <w:pPr>
              <w:jc w:val="center"/>
              <w:rPr>
                <w:rFonts w:ascii="Times New Roman" w:eastAsia="宋体" w:hAnsi="Times New Roman" w:cs="Times New Roman"/>
                <w:kern w:val="0"/>
                <w:szCs w:val="21"/>
              </w:rPr>
            </w:pPr>
          </w:p>
        </w:tc>
      </w:tr>
      <w:tr w:rsidR="002133E3" w14:paraId="58468AAA" w14:textId="77777777">
        <w:trPr>
          <w:jc w:val="center"/>
        </w:trPr>
        <w:tc>
          <w:tcPr>
            <w:tcW w:w="252" w:type="pct"/>
            <w:vMerge/>
            <w:vAlign w:val="center"/>
          </w:tcPr>
          <w:p w14:paraId="55592518" w14:textId="77777777" w:rsidR="002133E3" w:rsidRDefault="002133E3">
            <w:pPr>
              <w:jc w:val="center"/>
              <w:rPr>
                <w:rFonts w:ascii="Times New Roman" w:eastAsia="宋体" w:hAnsi="Times New Roman" w:cs="Times New Roman"/>
                <w:kern w:val="0"/>
                <w:szCs w:val="21"/>
              </w:rPr>
            </w:pPr>
          </w:p>
        </w:tc>
        <w:tc>
          <w:tcPr>
            <w:tcW w:w="969" w:type="pct"/>
            <w:vAlign w:val="center"/>
          </w:tcPr>
          <w:p w14:paraId="57F0E58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影响途径</w:t>
            </w:r>
          </w:p>
        </w:tc>
        <w:tc>
          <w:tcPr>
            <w:tcW w:w="3390" w:type="pct"/>
            <w:gridSpan w:val="6"/>
            <w:vAlign w:val="center"/>
          </w:tcPr>
          <w:p w14:paraId="4FA1734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大气沉降</w:t>
            </w:r>
            <w:r>
              <w:rPr>
                <w:rFonts w:ascii="Times New Roman" w:eastAsia="宋体" w:hAnsi="Times New Roman" w:cs="Times New Roman"/>
                <w:kern w:val="0"/>
                <w:szCs w:val="21"/>
              </w:rPr>
              <w:t>□</w:t>
            </w:r>
            <w:r>
              <w:rPr>
                <w:rFonts w:ascii="Times New Roman" w:eastAsia="宋体" w:hAnsi="Times New Roman" w:cs="Times New Roman"/>
                <w:kern w:val="0"/>
                <w:szCs w:val="21"/>
              </w:rPr>
              <w:t>；地面漫流</w:t>
            </w:r>
            <w:r>
              <w:rPr>
                <w:rFonts w:ascii="Times New Roman" w:eastAsia="宋体" w:hAnsi="Times New Roman" w:cs="Times New Roman"/>
                <w:kern w:val="0"/>
                <w:szCs w:val="21"/>
              </w:rPr>
              <w:t>√</w:t>
            </w:r>
            <w:r>
              <w:rPr>
                <w:rFonts w:ascii="Times New Roman" w:eastAsia="宋体" w:hAnsi="Times New Roman" w:cs="Times New Roman"/>
                <w:kern w:val="0"/>
                <w:szCs w:val="21"/>
              </w:rPr>
              <w:t>；垂直入渗</w:t>
            </w:r>
            <w:r>
              <w:rPr>
                <w:rFonts w:ascii="Times New Roman" w:eastAsia="宋体" w:hAnsi="Times New Roman" w:cs="Times New Roman"/>
                <w:kern w:val="0"/>
                <w:szCs w:val="21"/>
              </w:rPr>
              <w:t>√</w:t>
            </w:r>
            <w:r>
              <w:rPr>
                <w:rFonts w:ascii="Times New Roman" w:eastAsia="宋体" w:hAnsi="Times New Roman" w:cs="Times New Roman"/>
                <w:kern w:val="0"/>
                <w:szCs w:val="21"/>
              </w:rPr>
              <w:t>；地下水位</w:t>
            </w:r>
            <w:r>
              <w:rPr>
                <w:rFonts w:ascii="Times New Roman" w:eastAsia="宋体" w:hAnsi="Times New Roman" w:cs="Times New Roman"/>
                <w:kern w:val="0"/>
                <w:szCs w:val="21"/>
              </w:rPr>
              <w:t>□</w:t>
            </w:r>
            <w:r>
              <w:rPr>
                <w:rFonts w:ascii="Times New Roman" w:eastAsia="宋体" w:hAnsi="Times New Roman" w:cs="Times New Roman"/>
                <w:kern w:val="0"/>
                <w:szCs w:val="21"/>
              </w:rPr>
              <w:t>；其他（</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w:t>
            </w:r>
          </w:p>
        </w:tc>
        <w:tc>
          <w:tcPr>
            <w:tcW w:w="389" w:type="pct"/>
            <w:vAlign w:val="center"/>
          </w:tcPr>
          <w:p w14:paraId="7FCF8C4E" w14:textId="77777777" w:rsidR="002133E3" w:rsidRDefault="002133E3">
            <w:pPr>
              <w:jc w:val="center"/>
              <w:rPr>
                <w:rFonts w:ascii="Times New Roman" w:eastAsia="宋体" w:hAnsi="Times New Roman" w:cs="Times New Roman"/>
                <w:kern w:val="0"/>
                <w:szCs w:val="21"/>
              </w:rPr>
            </w:pPr>
          </w:p>
        </w:tc>
      </w:tr>
      <w:tr w:rsidR="002133E3" w14:paraId="70F2A5D5" w14:textId="77777777">
        <w:trPr>
          <w:trHeight w:val="72"/>
          <w:jc w:val="center"/>
        </w:trPr>
        <w:tc>
          <w:tcPr>
            <w:tcW w:w="252" w:type="pct"/>
            <w:vMerge/>
            <w:vAlign w:val="center"/>
          </w:tcPr>
          <w:p w14:paraId="25427F31" w14:textId="77777777" w:rsidR="002133E3" w:rsidRDefault="002133E3">
            <w:pPr>
              <w:jc w:val="center"/>
              <w:rPr>
                <w:rFonts w:ascii="Times New Roman" w:eastAsia="宋体" w:hAnsi="Times New Roman" w:cs="Times New Roman"/>
                <w:kern w:val="0"/>
                <w:szCs w:val="21"/>
              </w:rPr>
            </w:pPr>
          </w:p>
        </w:tc>
        <w:tc>
          <w:tcPr>
            <w:tcW w:w="969" w:type="pct"/>
            <w:vAlign w:val="center"/>
          </w:tcPr>
          <w:p w14:paraId="03162FB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全部污染物</w:t>
            </w:r>
          </w:p>
        </w:tc>
        <w:tc>
          <w:tcPr>
            <w:tcW w:w="3390" w:type="pct"/>
            <w:gridSpan w:val="6"/>
            <w:vAlign w:val="center"/>
          </w:tcPr>
          <w:p w14:paraId="0530C90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w:t>
            </w:r>
            <w:r>
              <w:rPr>
                <w:rFonts w:ascii="Times New Roman" w:eastAsia="宋体" w:hAnsi="Times New Roman" w:cs="Times New Roman"/>
                <w:kern w:val="0"/>
                <w:szCs w:val="21"/>
              </w:rPr>
              <w:t>COD</w:t>
            </w:r>
            <w:r>
              <w:rPr>
                <w:rFonts w:ascii="Times New Roman" w:eastAsia="宋体" w:hAnsi="Times New Roman" w:cs="Times New Roman"/>
                <w:kern w:val="0"/>
                <w:szCs w:val="21"/>
              </w:rPr>
              <w:t>、氨氮、总磷、总氮、盐分</w:t>
            </w:r>
          </w:p>
        </w:tc>
        <w:tc>
          <w:tcPr>
            <w:tcW w:w="389" w:type="pct"/>
            <w:vAlign w:val="center"/>
          </w:tcPr>
          <w:p w14:paraId="3B9C298C" w14:textId="77777777" w:rsidR="002133E3" w:rsidRDefault="002133E3">
            <w:pPr>
              <w:jc w:val="center"/>
              <w:rPr>
                <w:rFonts w:ascii="Times New Roman" w:eastAsia="宋体" w:hAnsi="Times New Roman" w:cs="Times New Roman"/>
                <w:kern w:val="0"/>
                <w:szCs w:val="21"/>
              </w:rPr>
            </w:pPr>
          </w:p>
        </w:tc>
      </w:tr>
      <w:tr w:rsidR="002133E3" w14:paraId="1F034897" w14:textId="77777777">
        <w:trPr>
          <w:jc w:val="center"/>
        </w:trPr>
        <w:tc>
          <w:tcPr>
            <w:tcW w:w="252" w:type="pct"/>
            <w:vMerge/>
            <w:vAlign w:val="center"/>
          </w:tcPr>
          <w:p w14:paraId="27D0BFF6" w14:textId="77777777" w:rsidR="002133E3" w:rsidRDefault="002133E3">
            <w:pPr>
              <w:jc w:val="center"/>
              <w:rPr>
                <w:rFonts w:ascii="Times New Roman" w:eastAsia="宋体" w:hAnsi="Times New Roman" w:cs="Times New Roman"/>
                <w:kern w:val="0"/>
                <w:szCs w:val="21"/>
              </w:rPr>
            </w:pPr>
          </w:p>
        </w:tc>
        <w:tc>
          <w:tcPr>
            <w:tcW w:w="969" w:type="pct"/>
            <w:vAlign w:val="center"/>
          </w:tcPr>
          <w:p w14:paraId="0E61034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特征因子</w:t>
            </w:r>
          </w:p>
        </w:tc>
        <w:tc>
          <w:tcPr>
            <w:tcW w:w="3390" w:type="pct"/>
            <w:gridSpan w:val="6"/>
          </w:tcPr>
          <w:p w14:paraId="3AC79C80" w14:textId="77777777" w:rsidR="002133E3" w:rsidRDefault="002133E3">
            <w:pPr>
              <w:jc w:val="center"/>
              <w:rPr>
                <w:rFonts w:ascii="Times New Roman" w:eastAsia="宋体" w:hAnsi="Times New Roman" w:cs="Times New Roman"/>
                <w:kern w:val="0"/>
                <w:szCs w:val="21"/>
              </w:rPr>
            </w:pPr>
          </w:p>
        </w:tc>
        <w:tc>
          <w:tcPr>
            <w:tcW w:w="389" w:type="pct"/>
          </w:tcPr>
          <w:p w14:paraId="16CBAEF2" w14:textId="77777777" w:rsidR="002133E3" w:rsidRDefault="002133E3">
            <w:pPr>
              <w:jc w:val="center"/>
              <w:rPr>
                <w:rFonts w:ascii="Times New Roman" w:eastAsia="宋体" w:hAnsi="Times New Roman" w:cs="Times New Roman"/>
                <w:b/>
                <w:kern w:val="0"/>
                <w:szCs w:val="21"/>
              </w:rPr>
            </w:pPr>
          </w:p>
        </w:tc>
      </w:tr>
      <w:tr w:rsidR="002133E3" w14:paraId="4F9B499F" w14:textId="77777777">
        <w:trPr>
          <w:jc w:val="center"/>
        </w:trPr>
        <w:tc>
          <w:tcPr>
            <w:tcW w:w="252" w:type="pct"/>
            <w:vMerge/>
            <w:vAlign w:val="center"/>
          </w:tcPr>
          <w:p w14:paraId="5C04980E" w14:textId="77777777" w:rsidR="002133E3" w:rsidRDefault="002133E3">
            <w:pPr>
              <w:jc w:val="center"/>
              <w:rPr>
                <w:rFonts w:ascii="Times New Roman" w:eastAsia="宋体" w:hAnsi="Times New Roman" w:cs="Times New Roman"/>
                <w:kern w:val="0"/>
                <w:szCs w:val="21"/>
              </w:rPr>
            </w:pPr>
          </w:p>
        </w:tc>
        <w:tc>
          <w:tcPr>
            <w:tcW w:w="969" w:type="pct"/>
            <w:vAlign w:val="center"/>
          </w:tcPr>
          <w:p w14:paraId="374A2AB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所属土壤环境影响评价项目类别</w:t>
            </w:r>
          </w:p>
        </w:tc>
        <w:tc>
          <w:tcPr>
            <w:tcW w:w="3390" w:type="pct"/>
            <w:gridSpan w:val="6"/>
            <w:vAlign w:val="center"/>
          </w:tcPr>
          <w:p w14:paraId="3354F829" w14:textId="77777777" w:rsidR="002133E3" w:rsidRDefault="00C22CFA">
            <w:pPr>
              <w:jc w:val="center"/>
              <w:rPr>
                <w:rFonts w:ascii="Times New Roman" w:eastAsia="宋体" w:hAnsi="Times New Roman" w:cs="Times New Roman"/>
                <w:kern w:val="0"/>
                <w:szCs w:val="21"/>
              </w:rPr>
            </w:pPr>
            <w:r>
              <w:rPr>
                <w:rFonts w:ascii="宋体" w:eastAsia="宋体" w:hAnsi="宋体" w:cs="宋体" w:hint="eastAsia"/>
                <w:kern w:val="0"/>
                <w:szCs w:val="21"/>
              </w:rPr>
              <w:t>Ⅰ</w:t>
            </w:r>
            <w:r>
              <w:rPr>
                <w:rFonts w:ascii="Times New Roman" w:eastAsia="宋体" w:hAnsi="Times New Roman" w:cs="Times New Roman"/>
                <w:kern w:val="0"/>
                <w:szCs w:val="21"/>
              </w:rPr>
              <w:t>类</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宋体" w:eastAsia="宋体" w:hAnsi="宋体" w:cs="宋体" w:hint="eastAsia"/>
                <w:kern w:val="0"/>
                <w:szCs w:val="21"/>
              </w:rPr>
              <w:t>Ⅱ</w:t>
            </w:r>
            <w:r>
              <w:rPr>
                <w:rFonts w:ascii="Times New Roman" w:eastAsia="宋体" w:hAnsi="Times New Roman" w:cs="Times New Roman"/>
                <w:kern w:val="0"/>
                <w:szCs w:val="21"/>
              </w:rPr>
              <w:t>类</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宋体" w:eastAsia="宋体" w:hAnsi="宋体" w:cs="宋体" w:hint="eastAsia"/>
                <w:kern w:val="0"/>
                <w:szCs w:val="21"/>
              </w:rPr>
              <w:t>Ⅲ</w:t>
            </w:r>
            <w:r>
              <w:rPr>
                <w:rFonts w:ascii="Times New Roman" w:eastAsia="宋体" w:hAnsi="Times New Roman" w:cs="Times New Roman"/>
                <w:kern w:val="0"/>
                <w:szCs w:val="21"/>
              </w:rPr>
              <w:t>类</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宋体" w:eastAsia="宋体" w:hAnsi="宋体" w:cs="宋体" w:hint="eastAsia"/>
                <w:kern w:val="0"/>
                <w:szCs w:val="21"/>
              </w:rPr>
              <w:t>Ⅳ</w:t>
            </w:r>
            <w:r>
              <w:rPr>
                <w:rFonts w:ascii="Times New Roman" w:eastAsia="宋体" w:hAnsi="Times New Roman" w:cs="Times New Roman"/>
                <w:kern w:val="0"/>
                <w:szCs w:val="21"/>
              </w:rPr>
              <w:t>类</w:t>
            </w:r>
            <w:r>
              <w:rPr>
                <w:rFonts w:ascii="Times New Roman" w:eastAsia="宋体" w:hAnsi="Times New Roman" w:cs="Times New Roman"/>
                <w:kern w:val="0"/>
                <w:szCs w:val="21"/>
              </w:rPr>
              <w:t>□</w:t>
            </w:r>
          </w:p>
        </w:tc>
        <w:tc>
          <w:tcPr>
            <w:tcW w:w="389" w:type="pct"/>
          </w:tcPr>
          <w:p w14:paraId="5DC0FC48" w14:textId="77777777" w:rsidR="002133E3" w:rsidRDefault="002133E3">
            <w:pPr>
              <w:jc w:val="center"/>
              <w:rPr>
                <w:rFonts w:ascii="Times New Roman" w:eastAsia="宋体" w:hAnsi="Times New Roman" w:cs="Times New Roman"/>
                <w:b/>
                <w:kern w:val="0"/>
                <w:szCs w:val="21"/>
              </w:rPr>
            </w:pPr>
          </w:p>
        </w:tc>
      </w:tr>
      <w:tr w:rsidR="002133E3" w14:paraId="1E360A15" w14:textId="77777777">
        <w:trPr>
          <w:jc w:val="center"/>
        </w:trPr>
        <w:tc>
          <w:tcPr>
            <w:tcW w:w="252" w:type="pct"/>
            <w:vMerge/>
            <w:vAlign w:val="center"/>
          </w:tcPr>
          <w:p w14:paraId="13642F15" w14:textId="77777777" w:rsidR="002133E3" w:rsidRDefault="002133E3">
            <w:pPr>
              <w:jc w:val="center"/>
              <w:rPr>
                <w:rFonts w:ascii="Times New Roman" w:eastAsia="宋体" w:hAnsi="Times New Roman" w:cs="Times New Roman"/>
                <w:kern w:val="0"/>
                <w:szCs w:val="21"/>
              </w:rPr>
            </w:pPr>
          </w:p>
        </w:tc>
        <w:tc>
          <w:tcPr>
            <w:tcW w:w="969" w:type="pct"/>
            <w:vAlign w:val="center"/>
          </w:tcPr>
          <w:p w14:paraId="056EF5B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敏感程度</w:t>
            </w:r>
          </w:p>
        </w:tc>
        <w:tc>
          <w:tcPr>
            <w:tcW w:w="3390" w:type="pct"/>
            <w:gridSpan w:val="6"/>
            <w:vAlign w:val="center"/>
          </w:tcPr>
          <w:p w14:paraId="0CD488E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敏感</w:t>
            </w:r>
            <w:r>
              <w:rPr>
                <w:rFonts w:ascii="Times New Roman" w:eastAsia="宋体" w:hAnsi="Times New Roman" w:cs="Times New Roman"/>
                <w:kern w:val="0"/>
                <w:szCs w:val="21"/>
              </w:rPr>
              <w:t>√</w:t>
            </w:r>
            <w:r>
              <w:rPr>
                <w:rFonts w:ascii="Times New Roman" w:eastAsia="宋体" w:hAnsi="Times New Roman" w:cs="Times New Roman"/>
                <w:kern w:val="0"/>
                <w:szCs w:val="21"/>
              </w:rPr>
              <w:t>；较敏感</w:t>
            </w:r>
            <w:r>
              <w:rPr>
                <w:rFonts w:ascii="Times New Roman" w:eastAsia="宋体" w:hAnsi="Times New Roman" w:cs="Times New Roman"/>
                <w:kern w:val="0"/>
                <w:szCs w:val="21"/>
              </w:rPr>
              <w:t>□</w:t>
            </w:r>
            <w:r>
              <w:rPr>
                <w:rFonts w:ascii="Times New Roman" w:eastAsia="宋体" w:hAnsi="Times New Roman" w:cs="Times New Roman"/>
                <w:kern w:val="0"/>
                <w:szCs w:val="21"/>
              </w:rPr>
              <w:t>；不敏感</w:t>
            </w:r>
            <w:r>
              <w:rPr>
                <w:rFonts w:ascii="Times New Roman" w:eastAsia="宋体" w:hAnsi="Times New Roman" w:cs="Times New Roman"/>
                <w:kern w:val="0"/>
                <w:szCs w:val="21"/>
              </w:rPr>
              <w:t>□</w:t>
            </w:r>
          </w:p>
        </w:tc>
        <w:tc>
          <w:tcPr>
            <w:tcW w:w="389" w:type="pct"/>
            <w:vAlign w:val="center"/>
          </w:tcPr>
          <w:p w14:paraId="5095CF14" w14:textId="77777777" w:rsidR="002133E3" w:rsidRDefault="002133E3">
            <w:pPr>
              <w:jc w:val="center"/>
              <w:rPr>
                <w:rFonts w:ascii="Times New Roman" w:eastAsia="宋体" w:hAnsi="Times New Roman" w:cs="Times New Roman"/>
                <w:kern w:val="0"/>
                <w:szCs w:val="21"/>
              </w:rPr>
            </w:pPr>
          </w:p>
        </w:tc>
      </w:tr>
      <w:tr w:rsidR="002133E3" w14:paraId="6F3C56C6" w14:textId="77777777">
        <w:trPr>
          <w:jc w:val="center"/>
        </w:trPr>
        <w:tc>
          <w:tcPr>
            <w:tcW w:w="1221" w:type="pct"/>
            <w:gridSpan w:val="2"/>
            <w:vAlign w:val="center"/>
          </w:tcPr>
          <w:p w14:paraId="1A2D9CF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评价工作等级</w:t>
            </w:r>
          </w:p>
        </w:tc>
        <w:tc>
          <w:tcPr>
            <w:tcW w:w="3390" w:type="pct"/>
            <w:gridSpan w:val="6"/>
            <w:vAlign w:val="center"/>
          </w:tcPr>
          <w:p w14:paraId="62EBD20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r>
              <w:rPr>
                <w:rFonts w:ascii="Times New Roman" w:eastAsia="宋体" w:hAnsi="Times New Roman" w:cs="Times New Roman"/>
                <w:kern w:val="0"/>
                <w:szCs w:val="21"/>
              </w:rPr>
              <w:t>□</w:t>
            </w:r>
            <w:r>
              <w:rPr>
                <w:rFonts w:ascii="Times New Roman" w:eastAsia="宋体" w:hAnsi="Times New Roman" w:cs="Times New Roman"/>
                <w:kern w:val="0"/>
                <w:szCs w:val="21"/>
              </w:rPr>
              <w:t>；二级</w:t>
            </w:r>
            <w:r>
              <w:rPr>
                <w:rFonts w:ascii="Times New Roman" w:eastAsia="宋体" w:hAnsi="Times New Roman" w:cs="Times New Roman"/>
                <w:kern w:val="0"/>
                <w:szCs w:val="21"/>
              </w:rPr>
              <w:t>√</w:t>
            </w:r>
            <w:r>
              <w:rPr>
                <w:rFonts w:ascii="Times New Roman" w:eastAsia="宋体" w:hAnsi="Times New Roman" w:cs="Times New Roman"/>
                <w:kern w:val="0"/>
                <w:szCs w:val="21"/>
              </w:rPr>
              <w:t>；三级</w:t>
            </w:r>
            <w:r>
              <w:rPr>
                <w:rFonts w:ascii="Times New Roman" w:eastAsia="宋体" w:hAnsi="Times New Roman" w:cs="Times New Roman"/>
                <w:kern w:val="0"/>
                <w:szCs w:val="21"/>
              </w:rPr>
              <w:t>□</w:t>
            </w:r>
          </w:p>
        </w:tc>
        <w:tc>
          <w:tcPr>
            <w:tcW w:w="389" w:type="pct"/>
            <w:vAlign w:val="center"/>
          </w:tcPr>
          <w:p w14:paraId="0BE51AA8" w14:textId="77777777" w:rsidR="002133E3" w:rsidRDefault="002133E3">
            <w:pPr>
              <w:jc w:val="center"/>
              <w:rPr>
                <w:rFonts w:ascii="Times New Roman" w:eastAsia="宋体" w:hAnsi="Times New Roman" w:cs="Times New Roman"/>
                <w:kern w:val="0"/>
                <w:szCs w:val="21"/>
              </w:rPr>
            </w:pPr>
          </w:p>
        </w:tc>
      </w:tr>
      <w:tr w:rsidR="002133E3" w14:paraId="46D0DBEE" w14:textId="77777777">
        <w:trPr>
          <w:jc w:val="center"/>
        </w:trPr>
        <w:tc>
          <w:tcPr>
            <w:tcW w:w="252" w:type="pct"/>
            <w:vMerge w:val="restart"/>
            <w:vAlign w:val="center"/>
          </w:tcPr>
          <w:p w14:paraId="78D9EF8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现</w:t>
            </w:r>
          </w:p>
          <w:p w14:paraId="5BC6E2C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状</w:t>
            </w:r>
          </w:p>
          <w:p w14:paraId="77F723A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调</w:t>
            </w:r>
          </w:p>
          <w:p w14:paraId="5F1F36A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查</w:t>
            </w:r>
          </w:p>
          <w:p w14:paraId="4B7F6F4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内</w:t>
            </w:r>
          </w:p>
          <w:p w14:paraId="72DC670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容</w:t>
            </w:r>
          </w:p>
        </w:tc>
        <w:tc>
          <w:tcPr>
            <w:tcW w:w="969" w:type="pct"/>
            <w:vAlign w:val="center"/>
          </w:tcPr>
          <w:p w14:paraId="0C6A7EB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资料收集</w:t>
            </w:r>
          </w:p>
        </w:tc>
        <w:tc>
          <w:tcPr>
            <w:tcW w:w="3390" w:type="pct"/>
            <w:gridSpan w:val="6"/>
            <w:vAlign w:val="center"/>
          </w:tcPr>
          <w:p w14:paraId="6C8D263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a</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b</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c</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d</w:t>
            </w:r>
            <w:r>
              <w:rPr>
                <w:rFonts w:ascii="Times New Roman" w:eastAsia="宋体" w:hAnsi="Times New Roman" w:cs="Times New Roman"/>
                <w:kern w:val="0"/>
                <w:szCs w:val="21"/>
              </w:rPr>
              <w:t>）</w:t>
            </w:r>
            <w:r>
              <w:rPr>
                <w:rFonts w:ascii="Times New Roman" w:eastAsia="宋体" w:hAnsi="Times New Roman" w:cs="Times New Roman"/>
                <w:kern w:val="0"/>
                <w:szCs w:val="21"/>
              </w:rPr>
              <w:t>□</w:t>
            </w:r>
          </w:p>
        </w:tc>
        <w:tc>
          <w:tcPr>
            <w:tcW w:w="389" w:type="pct"/>
            <w:vAlign w:val="center"/>
          </w:tcPr>
          <w:p w14:paraId="7DFF50EF" w14:textId="77777777" w:rsidR="002133E3" w:rsidRDefault="002133E3">
            <w:pPr>
              <w:jc w:val="center"/>
              <w:rPr>
                <w:rFonts w:ascii="Times New Roman" w:eastAsia="宋体" w:hAnsi="Times New Roman" w:cs="Times New Roman"/>
                <w:kern w:val="0"/>
                <w:szCs w:val="21"/>
              </w:rPr>
            </w:pPr>
          </w:p>
        </w:tc>
      </w:tr>
      <w:tr w:rsidR="002133E3" w14:paraId="57367E37" w14:textId="77777777">
        <w:trPr>
          <w:jc w:val="center"/>
        </w:trPr>
        <w:tc>
          <w:tcPr>
            <w:tcW w:w="252" w:type="pct"/>
            <w:vMerge/>
            <w:vAlign w:val="center"/>
          </w:tcPr>
          <w:p w14:paraId="55922415" w14:textId="77777777" w:rsidR="002133E3" w:rsidRDefault="002133E3">
            <w:pPr>
              <w:jc w:val="center"/>
              <w:rPr>
                <w:rFonts w:ascii="Times New Roman" w:eastAsia="宋体" w:hAnsi="Times New Roman" w:cs="Times New Roman"/>
                <w:kern w:val="0"/>
                <w:szCs w:val="21"/>
              </w:rPr>
            </w:pPr>
          </w:p>
        </w:tc>
        <w:tc>
          <w:tcPr>
            <w:tcW w:w="969" w:type="pct"/>
            <w:vAlign w:val="center"/>
          </w:tcPr>
          <w:p w14:paraId="627F25A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理化特性</w:t>
            </w:r>
          </w:p>
        </w:tc>
        <w:tc>
          <w:tcPr>
            <w:tcW w:w="3390" w:type="pct"/>
            <w:gridSpan w:val="6"/>
            <w:vAlign w:val="center"/>
          </w:tcPr>
          <w:p w14:paraId="42D534D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经度、纬度、颜色、结构、质地等</w:t>
            </w:r>
          </w:p>
        </w:tc>
        <w:tc>
          <w:tcPr>
            <w:tcW w:w="389" w:type="pct"/>
            <w:vAlign w:val="center"/>
          </w:tcPr>
          <w:p w14:paraId="0858F187" w14:textId="77777777" w:rsidR="002133E3" w:rsidRDefault="002133E3">
            <w:pPr>
              <w:jc w:val="center"/>
              <w:rPr>
                <w:rFonts w:ascii="Times New Roman" w:eastAsia="宋体" w:hAnsi="Times New Roman" w:cs="Times New Roman"/>
                <w:kern w:val="0"/>
                <w:szCs w:val="21"/>
              </w:rPr>
            </w:pPr>
          </w:p>
        </w:tc>
      </w:tr>
      <w:tr w:rsidR="002133E3" w14:paraId="38D3FBCB" w14:textId="77777777">
        <w:trPr>
          <w:jc w:val="center"/>
        </w:trPr>
        <w:tc>
          <w:tcPr>
            <w:tcW w:w="252" w:type="pct"/>
            <w:vMerge/>
            <w:vAlign w:val="center"/>
          </w:tcPr>
          <w:p w14:paraId="6094EA55" w14:textId="77777777" w:rsidR="002133E3" w:rsidRDefault="002133E3">
            <w:pPr>
              <w:jc w:val="center"/>
              <w:rPr>
                <w:rFonts w:ascii="Times New Roman" w:eastAsia="宋体" w:hAnsi="Times New Roman" w:cs="Times New Roman"/>
                <w:kern w:val="0"/>
                <w:szCs w:val="21"/>
              </w:rPr>
            </w:pPr>
          </w:p>
        </w:tc>
        <w:tc>
          <w:tcPr>
            <w:tcW w:w="969" w:type="pct"/>
            <w:vMerge w:val="restart"/>
            <w:vAlign w:val="center"/>
          </w:tcPr>
          <w:p w14:paraId="4BEE9D5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现状监测点位</w:t>
            </w:r>
          </w:p>
        </w:tc>
        <w:tc>
          <w:tcPr>
            <w:tcW w:w="707" w:type="pct"/>
            <w:gridSpan w:val="2"/>
            <w:vAlign w:val="center"/>
          </w:tcPr>
          <w:p w14:paraId="1C17D480" w14:textId="77777777" w:rsidR="002133E3" w:rsidRDefault="002133E3">
            <w:pPr>
              <w:jc w:val="center"/>
              <w:rPr>
                <w:rFonts w:ascii="Times New Roman" w:eastAsia="宋体" w:hAnsi="Times New Roman" w:cs="Times New Roman"/>
                <w:kern w:val="0"/>
                <w:szCs w:val="21"/>
              </w:rPr>
            </w:pPr>
          </w:p>
        </w:tc>
        <w:tc>
          <w:tcPr>
            <w:tcW w:w="799" w:type="pct"/>
            <w:vAlign w:val="center"/>
          </w:tcPr>
          <w:p w14:paraId="593FF29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占地范围内</w:t>
            </w:r>
          </w:p>
        </w:tc>
        <w:tc>
          <w:tcPr>
            <w:tcW w:w="821" w:type="pct"/>
            <w:gridSpan w:val="2"/>
            <w:vAlign w:val="center"/>
          </w:tcPr>
          <w:p w14:paraId="054963C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占地范围外</w:t>
            </w:r>
          </w:p>
        </w:tc>
        <w:tc>
          <w:tcPr>
            <w:tcW w:w="1063" w:type="pct"/>
            <w:vAlign w:val="center"/>
          </w:tcPr>
          <w:p w14:paraId="6B852DC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深度</w:t>
            </w:r>
          </w:p>
        </w:tc>
        <w:tc>
          <w:tcPr>
            <w:tcW w:w="389" w:type="pct"/>
            <w:vMerge w:val="restart"/>
            <w:vAlign w:val="center"/>
          </w:tcPr>
          <w:p w14:paraId="6F3AAB8C" w14:textId="77777777" w:rsidR="002133E3" w:rsidRDefault="002133E3">
            <w:pPr>
              <w:jc w:val="center"/>
              <w:rPr>
                <w:rFonts w:ascii="Times New Roman" w:eastAsia="宋体" w:hAnsi="Times New Roman" w:cs="Times New Roman"/>
                <w:kern w:val="0"/>
                <w:szCs w:val="21"/>
              </w:rPr>
            </w:pPr>
          </w:p>
        </w:tc>
      </w:tr>
      <w:tr w:rsidR="002133E3" w14:paraId="7971AF15" w14:textId="77777777">
        <w:trPr>
          <w:jc w:val="center"/>
        </w:trPr>
        <w:tc>
          <w:tcPr>
            <w:tcW w:w="252" w:type="pct"/>
            <w:vMerge/>
            <w:vAlign w:val="center"/>
          </w:tcPr>
          <w:p w14:paraId="376F5DCF" w14:textId="77777777" w:rsidR="002133E3" w:rsidRDefault="002133E3">
            <w:pPr>
              <w:jc w:val="center"/>
              <w:rPr>
                <w:rFonts w:ascii="Times New Roman" w:eastAsia="宋体" w:hAnsi="Times New Roman" w:cs="Times New Roman"/>
                <w:kern w:val="0"/>
                <w:szCs w:val="21"/>
              </w:rPr>
            </w:pPr>
          </w:p>
        </w:tc>
        <w:tc>
          <w:tcPr>
            <w:tcW w:w="969" w:type="pct"/>
            <w:vMerge/>
            <w:vAlign w:val="center"/>
          </w:tcPr>
          <w:p w14:paraId="466E977B" w14:textId="77777777" w:rsidR="002133E3" w:rsidRDefault="002133E3">
            <w:pPr>
              <w:jc w:val="center"/>
              <w:rPr>
                <w:rFonts w:ascii="Times New Roman" w:eastAsia="宋体" w:hAnsi="Times New Roman" w:cs="Times New Roman"/>
                <w:kern w:val="0"/>
                <w:szCs w:val="21"/>
              </w:rPr>
            </w:pPr>
          </w:p>
        </w:tc>
        <w:tc>
          <w:tcPr>
            <w:tcW w:w="707" w:type="pct"/>
            <w:gridSpan w:val="2"/>
            <w:vAlign w:val="center"/>
          </w:tcPr>
          <w:p w14:paraId="1BB615E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表层样点数</w:t>
            </w:r>
          </w:p>
        </w:tc>
        <w:tc>
          <w:tcPr>
            <w:tcW w:w="799" w:type="pct"/>
            <w:vAlign w:val="center"/>
          </w:tcPr>
          <w:p w14:paraId="337274E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w:t>
            </w:r>
          </w:p>
        </w:tc>
        <w:tc>
          <w:tcPr>
            <w:tcW w:w="821" w:type="pct"/>
            <w:gridSpan w:val="2"/>
            <w:vAlign w:val="center"/>
          </w:tcPr>
          <w:p w14:paraId="48FB16F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2</w:t>
            </w:r>
          </w:p>
        </w:tc>
        <w:tc>
          <w:tcPr>
            <w:tcW w:w="1063" w:type="pct"/>
            <w:vAlign w:val="center"/>
          </w:tcPr>
          <w:p w14:paraId="63AD985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0.20m</w:t>
            </w:r>
          </w:p>
        </w:tc>
        <w:tc>
          <w:tcPr>
            <w:tcW w:w="389" w:type="pct"/>
            <w:vMerge/>
            <w:vAlign w:val="center"/>
          </w:tcPr>
          <w:p w14:paraId="15B91BF1" w14:textId="77777777" w:rsidR="002133E3" w:rsidRDefault="002133E3">
            <w:pPr>
              <w:jc w:val="center"/>
              <w:rPr>
                <w:rFonts w:ascii="Times New Roman" w:eastAsia="宋体" w:hAnsi="Times New Roman" w:cs="Times New Roman"/>
                <w:kern w:val="0"/>
                <w:szCs w:val="21"/>
              </w:rPr>
            </w:pPr>
          </w:p>
        </w:tc>
      </w:tr>
      <w:tr w:rsidR="002133E3" w14:paraId="44FA7E58" w14:textId="77777777">
        <w:trPr>
          <w:jc w:val="center"/>
        </w:trPr>
        <w:tc>
          <w:tcPr>
            <w:tcW w:w="252" w:type="pct"/>
            <w:vMerge/>
            <w:vAlign w:val="center"/>
          </w:tcPr>
          <w:p w14:paraId="1956C439" w14:textId="77777777" w:rsidR="002133E3" w:rsidRDefault="002133E3">
            <w:pPr>
              <w:jc w:val="center"/>
              <w:rPr>
                <w:rFonts w:ascii="Times New Roman" w:eastAsia="宋体" w:hAnsi="Times New Roman" w:cs="Times New Roman"/>
                <w:kern w:val="0"/>
                <w:szCs w:val="21"/>
              </w:rPr>
            </w:pPr>
          </w:p>
        </w:tc>
        <w:tc>
          <w:tcPr>
            <w:tcW w:w="969" w:type="pct"/>
            <w:vMerge/>
            <w:vAlign w:val="center"/>
          </w:tcPr>
          <w:p w14:paraId="30B28178" w14:textId="77777777" w:rsidR="002133E3" w:rsidRDefault="002133E3">
            <w:pPr>
              <w:jc w:val="center"/>
              <w:rPr>
                <w:rFonts w:ascii="Times New Roman" w:eastAsia="宋体" w:hAnsi="Times New Roman" w:cs="Times New Roman"/>
                <w:kern w:val="0"/>
                <w:szCs w:val="21"/>
              </w:rPr>
            </w:pPr>
          </w:p>
        </w:tc>
        <w:tc>
          <w:tcPr>
            <w:tcW w:w="707" w:type="pct"/>
            <w:gridSpan w:val="2"/>
            <w:vAlign w:val="center"/>
          </w:tcPr>
          <w:p w14:paraId="4B1DAC5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柱状样点数</w:t>
            </w:r>
          </w:p>
        </w:tc>
        <w:tc>
          <w:tcPr>
            <w:tcW w:w="799" w:type="pct"/>
            <w:vAlign w:val="center"/>
          </w:tcPr>
          <w:p w14:paraId="4C6A487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3</w:t>
            </w:r>
          </w:p>
        </w:tc>
        <w:tc>
          <w:tcPr>
            <w:tcW w:w="821" w:type="pct"/>
            <w:gridSpan w:val="2"/>
            <w:vAlign w:val="center"/>
          </w:tcPr>
          <w:p w14:paraId="246B17E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0</w:t>
            </w:r>
          </w:p>
        </w:tc>
        <w:tc>
          <w:tcPr>
            <w:tcW w:w="1063" w:type="pct"/>
            <w:vAlign w:val="center"/>
          </w:tcPr>
          <w:p w14:paraId="3B800F5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0.2m</w:t>
            </w:r>
            <w:r>
              <w:rPr>
                <w:rFonts w:ascii="Times New Roman" w:eastAsia="宋体" w:hAnsi="Times New Roman" w:cs="Times New Roman"/>
                <w:szCs w:val="21"/>
              </w:rPr>
              <w:t>，</w:t>
            </w:r>
            <w:r>
              <w:rPr>
                <w:rFonts w:ascii="Times New Roman" w:eastAsia="宋体" w:hAnsi="Times New Roman" w:cs="Times New Roman"/>
                <w:szCs w:val="21"/>
              </w:rPr>
              <w:t>1.5m</w:t>
            </w:r>
            <w:r>
              <w:rPr>
                <w:rFonts w:ascii="Times New Roman" w:eastAsia="宋体" w:hAnsi="Times New Roman" w:cs="Times New Roman"/>
                <w:szCs w:val="21"/>
              </w:rPr>
              <w:t>，</w:t>
            </w:r>
            <w:r>
              <w:rPr>
                <w:rFonts w:ascii="Times New Roman" w:eastAsia="宋体" w:hAnsi="Times New Roman" w:cs="Times New Roman"/>
                <w:szCs w:val="21"/>
              </w:rPr>
              <w:t>3.0m</w:t>
            </w:r>
            <w:r>
              <w:rPr>
                <w:rFonts w:ascii="Times New Roman" w:eastAsia="宋体" w:hAnsi="Times New Roman" w:cs="Times New Roman"/>
                <w:szCs w:val="21"/>
              </w:rPr>
              <w:t>，</w:t>
            </w:r>
            <w:r>
              <w:rPr>
                <w:rFonts w:ascii="Times New Roman" w:eastAsia="宋体" w:hAnsi="Times New Roman" w:cs="Times New Roman"/>
                <w:szCs w:val="21"/>
              </w:rPr>
              <w:t>6.0m</w:t>
            </w:r>
            <w:r>
              <w:rPr>
                <w:rFonts w:ascii="Times New Roman" w:eastAsia="宋体" w:hAnsi="Times New Roman" w:cs="Times New Roman"/>
                <w:szCs w:val="21"/>
              </w:rPr>
              <w:t>分别取样</w:t>
            </w:r>
          </w:p>
        </w:tc>
        <w:tc>
          <w:tcPr>
            <w:tcW w:w="389" w:type="pct"/>
            <w:vMerge/>
            <w:vAlign w:val="center"/>
          </w:tcPr>
          <w:p w14:paraId="3AD97F6E" w14:textId="77777777" w:rsidR="002133E3" w:rsidRDefault="002133E3">
            <w:pPr>
              <w:jc w:val="center"/>
              <w:rPr>
                <w:rFonts w:ascii="Times New Roman" w:eastAsia="宋体" w:hAnsi="Times New Roman" w:cs="Times New Roman"/>
                <w:kern w:val="0"/>
                <w:szCs w:val="21"/>
              </w:rPr>
            </w:pPr>
          </w:p>
        </w:tc>
      </w:tr>
      <w:tr w:rsidR="002133E3" w14:paraId="3FDF6DAF" w14:textId="77777777">
        <w:trPr>
          <w:jc w:val="center"/>
        </w:trPr>
        <w:tc>
          <w:tcPr>
            <w:tcW w:w="252" w:type="pct"/>
            <w:vMerge/>
            <w:vAlign w:val="center"/>
          </w:tcPr>
          <w:p w14:paraId="58CDD893" w14:textId="77777777" w:rsidR="002133E3" w:rsidRDefault="002133E3">
            <w:pPr>
              <w:jc w:val="center"/>
              <w:rPr>
                <w:rFonts w:ascii="Times New Roman" w:eastAsia="宋体" w:hAnsi="Times New Roman" w:cs="Times New Roman"/>
                <w:kern w:val="0"/>
                <w:szCs w:val="21"/>
              </w:rPr>
            </w:pPr>
          </w:p>
        </w:tc>
        <w:tc>
          <w:tcPr>
            <w:tcW w:w="969" w:type="pct"/>
            <w:vAlign w:val="center"/>
          </w:tcPr>
          <w:p w14:paraId="6BFA5AB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现状监测因子</w:t>
            </w:r>
          </w:p>
        </w:tc>
        <w:tc>
          <w:tcPr>
            <w:tcW w:w="3390" w:type="pct"/>
            <w:gridSpan w:val="6"/>
            <w:vAlign w:val="center"/>
          </w:tcPr>
          <w:p w14:paraId="7E77EE9B" w14:textId="77777777" w:rsidR="002133E3" w:rsidRDefault="00C22CFA">
            <w:pPr>
              <w:spacing w:beforeLines="20" w:before="62"/>
              <w:jc w:val="center"/>
              <w:rPr>
                <w:rFonts w:ascii="Times New Roman" w:eastAsia="宋体" w:hAnsi="Times New Roman" w:cs="Times New Roman"/>
                <w:kern w:val="0"/>
                <w:szCs w:val="21"/>
              </w:rPr>
            </w:pPr>
            <w:r>
              <w:rPr>
                <w:rFonts w:ascii="Times New Roman" w:eastAsia="宋体" w:hAnsi="Times New Roman" w:cs="Times New Roman"/>
                <w:kern w:val="0"/>
                <w:szCs w:val="21"/>
              </w:rPr>
              <w:t>45</w:t>
            </w:r>
            <w:r>
              <w:rPr>
                <w:rFonts w:ascii="Times New Roman" w:eastAsia="宋体" w:hAnsi="Times New Roman" w:cs="Times New Roman"/>
                <w:kern w:val="0"/>
                <w:szCs w:val="21"/>
              </w:rPr>
              <w:t>项土壤基本因子</w:t>
            </w:r>
          </w:p>
        </w:tc>
        <w:tc>
          <w:tcPr>
            <w:tcW w:w="389" w:type="pct"/>
            <w:vAlign w:val="center"/>
          </w:tcPr>
          <w:p w14:paraId="5A09AA84" w14:textId="77777777" w:rsidR="002133E3" w:rsidRDefault="002133E3">
            <w:pPr>
              <w:jc w:val="center"/>
              <w:rPr>
                <w:rFonts w:ascii="Times New Roman" w:eastAsia="宋体" w:hAnsi="Times New Roman" w:cs="Times New Roman"/>
                <w:kern w:val="0"/>
                <w:szCs w:val="21"/>
              </w:rPr>
            </w:pPr>
          </w:p>
        </w:tc>
      </w:tr>
      <w:tr w:rsidR="002133E3" w14:paraId="22E1F935" w14:textId="77777777">
        <w:trPr>
          <w:jc w:val="center"/>
        </w:trPr>
        <w:tc>
          <w:tcPr>
            <w:tcW w:w="252" w:type="pct"/>
            <w:vMerge w:val="restart"/>
            <w:vAlign w:val="center"/>
          </w:tcPr>
          <w:p w14:paraId="797FA35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现</w:t>
            </w:r>
          </w:p>
          <w:p w14:paraId="30AA5FD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状</w:t>
            </w:r>
          </w:p>
          <w:p w14:paraId="132B216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评</w:t>
            </w:r>
          </w:p>
          <w:p w14:paraId="78AD610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价</w:t>
            </w:r>
          </w:p>
        </w:tc>
        <w:tc>
          <w:tcPr>
            <w:tcW w:w="969" w:type="pct"/>
            <w:vAlign w:val="center"/>
          </w:tcPr>
          <w:p w14:paraId="2E6F557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评价因子</w:t>
            </w:r>
          </w:p>
        </w:tc>
        <w:tc>
          <w:tcPr>
            <w:tcW w:w="3390" w:type="pct"/>
            <w:gridSpan w:val="6"/>
            <w:vAlign w:val="center"/>
          </w:tcPr>
          <w:p w14:paraId="002F1BB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同监测因子</w:t>
            </w:r>
          </w:p>
        </w:tc>
        <w:tc>
          <w:tcPr>
            <w:tcW w:w="389" w:type="pct"/>
            <w:vAlign w:val="center"/>
          </w:tcPr>
          <w:p w14:paraId="2A47E326" w14:textId="77777777" w:rsidR="002133E3" w:rsidRDefault="002133E3">
            <w:pPr>
              <w:jc w:val="center"/>
              <w:rPr>
                <w:rFonts w:ascii="Times New Roman" w:eastAsia="宋体" w:hAnsi="Times New Roman" w:cs="Times New Roman"/>
                <w:kern w:val="0"/>
                <w:szCs w:val="21"/>
              </w:rPr>
            </w:pPr>
          </w:p>
        </w:tc>
      </w:tr>
      <w:tr w:rsidR="002133E3" w14:paraId="29FC4366" w14:textId="77777777">
        <w:trPr>
          <w:jc w:val="center"/>
        </w:trPr>
        <w:tc>
          <w:tcPr>
            <w:tcW w:w="252" w:type="pct"/>
            <w:vMerge/>
            <w:vAlign w:val="center"/>
          </w:tcPr>
          <w:p w14:paraId="5222244B" w14:textId="77777777" w:rsidR="002133E3" w:rsidRDefault="002133E3">
            <w:pPr>
              <w:jc w:val="center"/>
              <w:rPr>
                <w:rFonts w:ascii="Times New Roman" w:eastAsia="宋体" w:hAnsi="Times New Roman" w:cs="Times New Roman"/>
                <w:kern w:val="0"/>
                <w:szCs w:val="21"/>
              </w:rPr>
            </w:pPr>
          </w:p>
        </w:tc>
        <w:tc>
          <w:tcPr>
            <w:tcW w:w="969" w:type="pct"/>
            <w:vAlign w:val="center"/>
          </w:tcPr>
          <w:p w14:paraId="02D73A6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评价标准</w:t>
            </w:r>
          </w:p>
        </w:tc>
        <w:tc>
          <w:tcPr>
            <w:tcW w:w="3390" w:type="pct"/>
            <w:gridSpan w:val="6"/>
            <w:vAlign w:val="center"/>
          </w:tcPr>
          <w:p w14:paraId="15E7224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GB 15618□</w:t>
            </w:r>
            <w:r>
              <w:rPr>
                <w:rFonts w:ascii="Times New Roman" w:eastAsia="宋体" w:hAnsi="Times New Roman" w:cs="Times New Roman"/>
                <w:kern w:val="0"/>
                <w:szCs w:val="21"/>
              </w:rPr>
              <w:t>；</w:t>
            </w:r>
            <w:r>
              <w:rPr>
                <w:rFonts w:ascii="Times New Roman" w:eastAsia="宋体" w:hAnsi="Times New Roman" w:cs="Times New Roman"/>
                <w:kern w:val="0"/>
                <w:szCs w:val="21"/>
              </w:rPr>
              <w:t>GB 36600√</w:t>
            </w:r>
            <w:r>
              <w:rPr>
                <w:rFonts w:ascii="Times New Roman" w:eastAsia="宋体" w:hAnsi="Times New Roman" w:cs="Times New Roman"/>
                <w:kern w:val="0"/>
                <w:szCs w:val="21"/>
              </w:rPr>
              <w:t>；表</w:t>
            </w:r>
            <w:r>
              <w:rPr>
                <w:rFonts w:ascii="Times New Roman" w:eastAsia="宋体" w:hAnsi="Times New Roman" w:cs="Times New Roman"/>
                <w:kern w:val="0"/>
                <w:szCs w:val="21"/>
              </w:rPr>
              <w:t xml:space="preserve"> D.1□</w:t>
            </w:r>
            <w:r>
              <w:rPr>
                <w:rFonts w:ascii="Times New Roman" w:eastAsia="宋体" w:hAnsi="Times New Roman" w:cs="Times New Roman"/>
                <w:kern w:val="0"/>
                <w:szCs w:val="21"/>
              </w:rPr>
              <w:t>；表</w:t>
            </w:r>
            <w:r>
              <w:rPr>
                <w:rFonts w:ascii="Times New Roman" w:eastAsia="宋体" w:hAnsi="Times New Roman" w:cs="Times New Roman"/>
                <w:kern w:val="0"/>
                <w:szCs w:val="21"/>
              </w:rPr>
              <w:t xml:space="preserve"> D.2□</w:t>
            </w:r>
            <w:r>
              <w:rPr>
                <w:rFonts w:ascii="Times New Roman" w:eastAsia="宋体" w:hAnsi="Times New Roman" w:cs="Times New Roman"/>
                <w:kern w:val="0"/>
                <w:szCs w:val="21"/>
              </w:rPr>
              <w:t>；其他（</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w:t>
            </w:r>
          </w:p>
        </w:tc>
        <w:tc>
          <w:tcPr>
            <w:tcW w:w="389" w:type="pct"/>
            <w:vAlign w:val="center"/>
          </w:tcPr>
          <w:p w14:paraId="5F1B00D8" w14:textId="77777777" w:rsidR="002133E3" w:rsidRDefault="002133E3">
            <w:pPr>
              <w:jc w:val="center"/>
              <w:rPr>
                <w:rFonts w:ascii="Times New Roman" w:eastAsia="宋体" w:hAnsi="Times New Roman" w:cs="Times New Roman"/>
                <w:kern w:val="0"/>
                <w:szCs w:val="21"/>
              </w:rPr>
            </w:pPr>
          </w:p>
        </w:tc>
      </w:tr>
      <w:tr w:rsidR="002133E3" w14:paraId="2506C84C" w14:textId="77777777">
        <w:trPr>
          <w:jc w:val="center"/>
        </w:trPr>
        <w:tc>
          <w:tcPr>
            <w:tcW w:w="252" w:type="pct"/>
            <w:vMerge/>
            <w:vAlign w:val="center"/>
          </w:tcPr>
          <w:p w14:paraId="4DB26D3B" w14:textId="77777777" w:rsidR="002133E3" w:rsidRDefault="002133E3">
            <w:pPr>
              <w:jc w:val="center"/>
              <w:rPr>
                <w:rFonts w:ascii="Times New Roman" w:eastAsia="宋体" w:hAnsi="Times New Roman" w:cs="Times New Roman"/>
                <w:kern w:val="0"/>
                <w:szCs w:val="21"/>
              </w:rPr>
            </w:pPr>
          </w:p>
        </w:tc>
        <w:tc>
          <w:tcPr>
            <w:tcW w:w="969" w:type="pct"/>
            <w:vAlign w:val="center"/>
          </w:tcPr>
          <w:p w14:paraId="51154DB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现状评价结论</w:t>
            </w:r>
          </w:p>
        </w:tc>
        <w:tc>
          <w:tcPr>
            <w:tcW w:w="3390" w:type="pct"/>
            <w:gridSpan w:val="6"/>
            <w:vAlign w:val="center"/>
          </w:tcPr>
          <w:p w14:paraId="39536B2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各监测点监测因子均满足</w:t>
            </w:r>
            <w:r>
              <w:rPr>
                <w:rFonts w:ascii="Times New Roman" w:eastAsia="宋体" w:hAnsi="Times New Roman" w:cs="Times New Roman"/>
                <w:kern w:val="0"/>
                <w:szCs w:val="21"/>
              </w:rPr>
              <w:t>GB36600-2018</w:t>
            </w:r>
            <w:r>
              <w:rPr>
                <w:rFonts w:ascii="Times New Roman" w:eastAsia="宋体" w:hAnsi="Times New Roman" w:cs="Times New Roman"/>
                <w:kern w:val="0"/>
                <w:szCs w:val="21"/>
              </w:rPr>
              <w:t>中风险筛选值</w:t>
            </w:r>
          </w:p>
        </w:tc>
        <w:tc>
          <w:tcPr>
            <w:tcW w:w="389" w:type="pct"/>
            <w:vAlign w:val="center"/>
          </w:tcPr>
          <w:p w14:paraId="504292CE" w14:textId="77777777" w:rsidR="002133E3" w:rsidRDefault="002133E3">
            <w:pPr>
              <w:jc w:val="center"/>
              <w:rPr>
                <w:rFonts w:ascii="Times New Roman" w:eastAsia="宋体" w:hAnsi="Times New Roman" w:cs="Times New Roman"/>
                <w:kern w:val="0"/>
                <w:szCs w:val="21"/>
              </w:rPr>
            </w:pPr>
          </w:p>
        </w:tc>
      </w:tr>
      <w:tr w:rsidR="002133E3" w14:paraId="2FE97E10" w14:textId="77777777">
        <w:trPr>
          <w:jc w:val="center"/>
        </w:trPr>
        <w:tc>
          <w:tcPr>
            <w:tcW w:w="252" w:type="pct"/>
            <w:vMerge w:val="restart"/>
            <w:vAlign w:val="center"/>
          </w:tcPr>
          <w:p w14:paraId="103ECED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影</w:t>
            </w:r>
          </w:p>
          <w:p w14:paraId="5491258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响</w:t>
            </w:r>
          </w:p>
          <w:p w14:paraId="5F58B02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预</w:t>
            </w:r>
          </w:p>
          <w:p w14:paraId="686BF19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测</w:t>
            </w:r>
          </w:p>
        </w:tc>
        <w:tc>
          <w:tcPr>
            <w:tcW w:w="969" w:type="pct"/>
            <w:vAlign w:val="center"/>
          </w:tcPr>
          <w:p w14:paraId="1020D52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预测因子</w:t>
            </w:r>
          </w:p>
        </w:tc>
        <w:tc>
          <w:tcPr>
            <w:tcW w:w="3390" w:type="pct"/>
            <w:gridSpan w:val="6"/>
            <w:vAlign w:val="center"/>
          </w:tcPr>
          <w:p w14:paraId="569DE6B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389" w:type="pct"/>
            <w:vAlign w:val="center"/>
          </w:tcPr>
          <w:p w14:paraId="02A931D6" w14:textId="77777777" w:rsidR="002133E3" w:rsidRDefault="002133E3">
            <w:pPr>
              <w:jc w:val="center"/>
              <w:rPr>
                <w:rFonts w:ascii="Times New Roman" w:eastAsia="宋体" w:hAnsi="Times New Roman" w:cs="Times New Roman"/>
                <w:kern w:val="0"/>
                <w:szCs w:val="21"/>
              </w:rPr>
            </w:pPr>
          </w:p>
        </w:tc>
      </w:tr>
      <w:tr w:rsidR="002133E3" w14:paraId="3B195357" w14:textId="77777777">
        <w:trPr>
          <w:jc w:val="center"/>
        </w:trPr>
        <w:tc>
          <w:tcPr>
            <w:tcW w:w="252" w:type="pct"/>
            <w:vMerge/>
            <w:vAlign w:val="center"/>
          </w:tcPr>
          <w:p w14:paraId="2B9602CF" w14:textId="77777777" w:rsidR="002133E3" w:rsidRDefault="002133E3">
            <w:pPr>
              <w:jc w:val="center"/>
              <w:rPr>
                <w:rFonts w:ascii="Times New Roman" w:eastAsia="宋体" w:hAnsi="Times New Roman" w:cs="Times New Roman"/>
                <w:kern w:val="0"/>
                <w:szCs w:val="21"/>
              </w:rPr>
            </w:pPr>
          </w:p>
        </w:tc>
        <w:tc>
          <w:tcPr>
            <w:tcW w:w="969" w:type="pct"/>
            <w:vAlign w:val="center"/>
          </w:tcPr>
          <w:p w14:paraId="34F6854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预测方法</w:t>
            </w:r>
          </w:p>
        </w:tc>
        <w:tc>
          <w:tcPr>
            <w:tcW w:w="3390" w:type="pct"/>
            <w:gridSpan w:val="6"/>
            <w:vAlign w:val="center"/>
          </w:tcPr>
          <w:p w14:paraId="7063087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附录</w:t>
            </w:r>
            <w:r>
              <w:rPr>
                <w:rFonts w:ascii="Times New Roman" w:eastAsia="宋体" w:hAnsi="Times New Roman" w:cs="Times New Roman"/>
                <w:kern w:val="0"/>
                <w:szCs w:val="21"/>
              </w:rPr>
              <w:t xml:space="preserve"> E √</w:t>
            </w:r>
            <w:r>
              <w:rPr>
                <w:rFonts w:ascii="Times New Roman" w:eastAsia="宋体" w:hAnsi="Times New Roman" w:cs="Times New Roman"/>
                <w:kern w:val="0"/>
                <w:szCs w:val="21"/>
              </w:rPr>
              <w:t>；附录</w:t>
            </w:r>
            <w:r>
              <w:rPr>
                <w:rFonts w:ascii="Times New Roman" w:eastAsia="宋体" w:hAnsi="Times New Roman" w:cs="Times New Roman"/>
                <w:kern w:val="0"/>
                <w:szCs w:val="21"/>
              </w:rPr>
              <w:t xml:space="preserve"> F□</w:t>
            </w:r>
            <w:r>
              <w:rPr>
                <w:rFonts w:ascii="Times New Roman" w:eastAsia="宋体" w:hAnsi="Times New Roman" w:cs="Times New Roman"/>
                <w:kern w:val="0"/>
                <w:szCs w:val="21"/>
              </w:rPr>
              <w:t>；其他（</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w:t>
            </w:r>
          </w:p>
        </w:tc>
        <w:tc>
          <w:tcPr>
            <w:tcW w:w="389" w:type="pct"/>
            <w:vAlign w:val="center"/>
          </w:tcPr>
          <w:p w14:paraId="2247E498" w14:textId="77777777" w:rsidR="002133E3" w:rsidRDefault="002133E3">
            <w:pPr>
              <w:jc w:val="center"/>
              <w:rPr>
                <w:rFonts w:ascii="Times New Roman" w:eastAsia="宋体" w:hAnsi="Times New Roman" w:cs="Times New Roman"/>
                <w:kern w:val="0"/>
                <w:szCs w:val="21"/>
              </w:rPr>
            </w:pPr>
          </w:p>
        </w:tc>
      </w:tr>
      <w:tr w:rsidR="002133E3" w14:paraId="0ABCE135" w14:textId="77777777">
        <w:trPr>
          <w:jc w:val="center"/>
        </w:trPr>
        <w:tc>
          <w:tcPr>
            <w:tcW w:w="252" w:type="pct"/>
            <w:vMerge/>
            <w:vAlign w:val="center"/>
          </w:tcPr>
          <w:p w14:paraId="559F0C51" w14:textId="77777777" w:rsidR="002133E3" w:rsidRDefault="002133E3">
            <w:pPr>
              <w:jc w:val="center"/>
              <w:rPr>
                <w:rFonts w:ascii="Times New Roman" w:eastAsia="宋体" w:hAnsi="Times New Roman" w:cs="Times New Roman"/>
                <w:kern w:val="0"/>
                <w:szCs w:val="21"/>
              </w:rPr>
            </w:pPr>
          </w:p>
        </w:tc>
        <w:tc>
          <w:tcPr>
            <w:tcW w:w="969" w:type="pct"/>
            <w:vAlign w:val="center"/>
          </w:tcPr>
          <w:p w14:paraId="51A865D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预测分析内容</w:t>
            </w:r>
          </w:p>
        </w:tc>
        <w:tc>
          <w:tcPr>
            <w:tcW w:w="3390" w:type="pct"/>
            <w:gridSpan w:val="6"/>
            <w:vAlign w:val="center"/>
          </w:tcPr>
          <w:p w14:paraId="445841A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影响范围（</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评价范围内）</w:t>
            </w:r>
            <w:r>
              <w:rPr>
                <w:rFonts w:ascii="Times New Roman" w:eastAsia="宋体" w:hAnsi="Times New Roman" w:cs="Times New Roman"/>
                <w:kern w:val="0"/>
                <w:szCs w:val="21"/>
              </w:rPr>
              <w:t xml:space="preserve"> </w:t>
            </w:r>
          </w:p>
          <w:p w14:paraId="08DB54E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影响程度（可接受）</w:t>
            </w:r>
          </w:p>
        </w:tc>
        <w:tc>
          <w:tcPr>
            <w:tcW w:w="389" w:type="pct"/>
            <w:vAlign w:val="center"/>
          </w:tcPr>
          <w:p w14:paraId="6154BBFE" w14:textId="77777777" w:rsidR="002133E3" w:rsidRDefault="002133E3">
            <w:pPr>
              <w:jc w:val="center"/>
              <w:rPr>
                <w:rFonts w:ascii="Times New Roman" w:eastAsia="宋体" w:hAnsi="Times New Roman" w:cs="Times New Roman"/>
                <w:kern w:val="0"/>
                <w:szCs w:val="21"/>
              </w:rPr>
            </w:pPr>
          </w:p>
        </w:tc>
      </w:tr>
      <w:tr w:rsidR="002133E3" w14:paraId="7D7DDCC1" w14:textId="77777777">
        <w:trPr>
          <w:jc w:val="center"/>
        </w:trPr>
        <w:tc>
          <w:tcPr>
            <w:tcW w:w="252" w:type="pct"/>
            <w:vMerge/>
            <w:vAlign w:val="center"/>
          </w:tcPr>
          <w:p w14:paraId="0B18713E" w14:textId="77777777" w:rsidR="002133E3" w:rsidRDefault="002133E3">
            <w:pPr>
              <w:jc w:val="center"/>
              <w:rPr>
                <w:rFonts w:ascii="Times New Roman" w:eastAsia="宋体" w:hAnsi="Times New Roman" w:cs="Times New Roman"/>
                <w:kern w:val="0"/>
                <w:szCs w:val="21"/>
              </w:rPr>
            </w:pPr>
          </w:p>
        </w:tc>
        <w:tc>
          <w:tcPr>
            <w:tcW w:w="969" w:type="pct"/>
            <w:vAlign w:val="center"/>
          </w:tcPr>
          <w:p w14:paraId="43BD19D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预测结论</w:t>
            </w:r>
          </w:p>
        </w:tc>
        <w:tc>
          <w:tcPr>
            <w:tcW w:w="3390" w:type="pct"/>
            <w:gridSpan w:val="6"/>
            <w:vAlign w:val="center"/>
          </w:tcPr>
          <w:p w14:paraId="4894F71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达标结论：</w:t>
            </w:r>
            <w:r>
              <w:rPr>
                <w:rFonts w:ascii="Times New Roman" w:eastAsia="宋体" w:hAnsi="Times New Roman" w:cs="Times New Roman"/>
                <w:kern w:val="0"/>
                <w:szCs w:val="21"/>
              </w:rPr>
              <w:t>a</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b</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c</w:t>
            </w:r>
            <w:r>
              <w:rPr>
                <w:rFonts w:ascii="Times New Roman" w:eastAsia="宋体" w:hAnsi="Times New Roman" w:cs="Times New Roman"/>
                <w:kern w:val="0"/>
                <w:szCs w:val="21"/>
              </w:rPr>
              <w:t>）</w:t>
            </w:r>
            <w:r>
              <w:rPr>
                <w:rFonts w:ascii="Times New Roman" w:eastAsia="宋体" w:hAnsi="Times New Roman" w:cs="Times New Roman"/>
                <w:kern w:val="0"/>
                <w:szCs w:val="21"/>
              </w:rPr>
              <w:t>□</w:t>
            </w:r>
          </w:p>
          <w:p w14:paraId="15D7163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不达标结论：</w:t>
            </w:r>
            <w:r>
              <w:rPr>
                <w:rFonts w:ascii="Times New Roman" w:eastAsia="宋体" w:hAnsi="Times New Roman" w:cs="Times New Roman"/>
                <w:kern w:val="0"/>
                <w:szCs w:val="21"/>
              </w:rPr>
              <w:t>a</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b</w:t>
            </w:r>
            <w:r>
              <w:rPr>
                <w:rFonts w:ascii="Times New Roman" w:eastAsia="宋体" w:hAnsi="Times New Roman" w:cs="Times New Roman"/>
                <w:kern w:val="0"/>
                <w:szCs w:val="21"/>
              </w:rPr>
              <w:t>）</w:t>
            </w:r>
            <w:r>
              <w:rPr>
                <w:rFonts w:ascii="Times New Roman" w:eastAsia="宋体" w:hAnsi="Times New Roman" w:cs="Times New Roman"/>
                <w:kern w:val="0"/>
                <w:szCs w:val="21"/>
              </w:rPr>
              <w:t>□</w:t>
            </w:r>
          </w:p>
        </w:tc>
        <w:tc>
          <w:tcPr>
            <w:tcW w:w="389" w:type="pct"/>
            <w:vAlign w:val="center"/>
          </w:tcPr>
          <w:p w14:paraId="777C7ABF" w14:textId="77777777" w:rsidR="002133E3" w:rsidRDefault="002133E3">
            <w:pPr>
              <w:jc w:val="center"/>
              <w:rPr>
                <w:rFonts w:ascii="Times New Roman" w:eastAsia="宋体" w:hAnsi="Times New Roman" w:cs="Times New Roman"/>
                <w:kern w:val="0"/>
                <w:szCs w:val="21"/>
              </w:rPr>
            </w:pPr>
          </w:p>
        </w:tc>
      </w:tr>
      <w:tr w:rsidR="002133E3" w14:paraId="35DBDD8B" w14:textId="77777777">
        <w:trPr>
          <w:jc w:val="center"/>
        </w:trPr>
        <w:tc>
          <w:tcPr>
            <w:tcW w:w="252" w:type="pct"/>
            <w:vMerge w:val="restart"/>
            <w:vAlign w:val="center"/>
          </w:tcPr>
          <w:p w14:paraId="608AE38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防</w:t>
            </w:r>
          </w:p>
          <w:p w14:paraId="4B4899C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治</w:t>
            </w:r>
          </w:p>
          <w:p w14:paraId="3B401CF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措</w:t>
            </w:r>
          </w:p>
          <w:p w14:paraId="25A3257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施</w:t>
            </w:r>
          </w:p>
        </w:tc>
        <w:tc>
          <w:tcPr>
            <w:tcW w:w="969" w:type="pct"/>
            <w:vAlign w:val="center"/>
          </w:tcPr>
          <w:p w14:paraId="7EE2016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防控措施</w:t>
            </w:r>
          </w:p>
        </w:tc>
        <w:tc>
          <w:tcPr>
            <w:tcW w:w="3390" w:type="pct"/>
            <w:gridSpan w:val="6"/>
            <w:vAlign w:val="center"/>
          </w:tcPr>
          <w:p w14:paraId="3F5BBF5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土壤环境质量现状保障</w:t>
            </w:r>
            <w:r>
              <w:rPr>
                <w:rFonts w:ascii="Times New Roman" w:eastAsia="宋体" w:hAnsi="Times New Roman" w:cs="Times New Roman"/>
                <w:kern w:val="0"/>
                <w:szCs w:val="21"/>
              </w:rPr>
              <w:t>√</w:t>
            </w:r>
            <w:r>
              <w:rPr>
                <w:rFonts w:ascii="Times New Roman" w:eastAsia="宋体" w:hAnsi="Times New Roman" w:cs="Times New Roman"/>
                <w:kern w:val="0"/>
                <w:szCs w:val="21"/>
              </w:rPr>
              <w:t>；源头控制</w:t>
            </w:r>
            <w:r>
              <w:rPr>
                <w:rFonts w:ascii="Times New Roman" w:eastAsia="宋体" w:hAnsi="Times New Roman" w:cs="Times New Roman"/>
                <w:kern w:val="0"/>
                <w:szCs w:val="21"/>
              </w:rPr>
              <w:t>√</w:t>
            </w:r>
            <w:r>
              <w:rPr>
                <w:rFonts w:ascii="Times New Roman" w:eastAsia="宋体" w:hAnsi="Times New Roman" w:cs="Times New Roman"/>
                <w:kern w:val="0"/>
                <w:szCs w:val="21"/>
              </w:rPr>
              <w:t>；过程防控</w:t>
            </w:r>
            <w:r>
              <w:rPr>
                <w:rFonts w:ascii="Times New Roman" w:eastAsia="宋体" w:hAnsi="Times New Roman" w:cs="Times New Roman"/>
                <w:kern w:val="0"/>
                <w:szCs w:val="21"/>
              </w:rPr>
              <w:t>√</w:t>
            </w:r>
            <w:r>
              <w:rPr>
                <w:rFonts w:ascii="Times New Roman" w:eastAsia="宋体" w:hAnsi="Times New Roman" w:cs="Times New Roman"/>
                <w:kern w:val="0"/>
                <w:szCs w:val="21"/>
              </w:rPr>
              <w:t>；其他（</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w:t>
            </w:r>
          </w:p>
        </w:tc>
        <w:tc>
          <w:tcPr>
            <w:tcW w:w="389" w:type="pct"/>
            <w:vAlign w:val="center"/>
          </w:tcPr>
          <w:p w14:paraId="3DC7D24E" w14:textId="77777777" w:rsidR="002133E3" w:rsidRDefault="002133E3">
            <w:pPr>
              <w:jc w:val="center"/>
              <w:rPr>
                <w:rFonts w:ascii="Times New Roman" w:eastAsia="宋体" w:hAnsi="Times New Roman" w:cs="Times New Roman"/>
                <w:kern w:val="0"/>
                <w:szCs w:val="21"/>
              </w:rPr>
            </w:pPr>
          </w:p>
        </w:tc>
      </w:tr>
      <w:tr w:rsidR="002133E3" w14:paraId="10E637B1" w14:textId="77777777">
        <w:trPr>
          <w:jc w:val="center"/>
        </w:trPr>
        <w:tc>
          <w:tcPr>
            <w:tcW w:w="252" w:type="pct"/>
            <w:vMerge/>
            <w:vAlign w:val="center"/>
          </w:tcPr>
          <w:p w14:paraId="4ECEE3DA" w14:textId="77777777" w:rsidR="002133E3" w:rsidRDefault="002133E3">
            <w:pPr>
              <w:jc w:val="center"/>
              <w:rPr>
                <w:rFonts w:ascii="Times New Roman" w:eastAsia="宋体" w:hAnsi="Times New Roman" w:cs="Times New Roman"/>
                <w:kern w:val="0"/>
                <w:szCs w:val="21"/>
              </w:rPr>
            </w:pPr>
          </w:p>
        </w:tc>
        <w:tc>
          <w:tcPr>
            <w:tcW w:w="969" w:type="pct"/>
            <w:vMerge w:val="restart"/>
            <w:vAlign w:val="center"/>
          </w:tcPr>
          <w:p w14:paraId="7208118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跟踪监测</w:t>
            </w:r>
          </w:p>
        </w:tc>
        <w:tc>
          <w:tcPr>
            <w:tcW w:w="639" w:type="pct"/>
            <w:vAlign w:val="center"/>
          </w:tcPr>
          <w:p w14:paraId="3A95B1D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监测点数</w:t>
            </w:r>
          </w:p>
        </w:tc>
        <w:tc>
          <w:tcPr>
            <w:tcW w:w="1358" w:type="pct"/>
            <w:gridSpan w:val="3"/>
            <w:vAlign w:val="center"/>
          </w:tcPr>
          <w:p w14:paraId="1BD3CBA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监测指标</w:t>
            </w:r>
          </w:p>
        </w:tc>
        <w:tc>
          <w:tcPr>
            <w:tcW w:w="1393" w:type="pct"/>
            <w:gridSpan w:val="2"/>
            <w:vAlign w:val="center"/>
          </w:tcPr>
          <w:p w14:paraId="2737F9D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监测频次</w:t>
            </w:r>
          </w:p>
        </w:tc>
        <w:tc>
          <w:tcPr>
            <w:tcW w:w="389" w:type="pct"/>
            <w:vAlign w:val="center"/>
          </w:tcPr>
          <w:p w14:paraId="29788DD7" w14:textId="77777777" w:rsidR="002133E3" w:rsidRDefault="002133E3">
            <w:pPr>
              <w:jc w:val="center"/>
              <w:rPr>
                <w:rFonts w:ascii="Times New Roman" w:eastAsia="宋体" w:hAnsi="Times New Roman" w:cs="Times New Roman"/>
                <w:kern w:val="0"/>
                <w:szCs w:val="21"/>
              </w:rPr>
            </w:pPr>
          </w:p>
        </w:tc>
      </w:tr>
      <w:tr w:rsidR="002133E3" w14:paraId="2E3B47E4" w14:textId="77777777">
        <w:trPr>
          <w:jc w:val="center"/>
        </w:trPr>
        <w:tc>
          <w:tcPr>
            <w:tcW w:w="252" w:type="pct"/>
            <w:vMerge/>
            <w:vAlign w:val="center"/>
          </w:tcPr>
          <w:p w14:paraId="6AF338D2" w14:textId="77777777" w:rsidR="002133E3" w:rsidRDefault="002133E3">
            <w:pPr>
              <w:jc w:val="center"/>
              <w:rPr>
                <w:rFonts w:ascii="Times New Roman" w:eastAsia="宋体" w:hAnsi="Times New Roman" w:cs="Times New Roman"/>
                <w:kern w:val="0"/>
                <w:szCs w:val="21"/>
              </w:rPr>
            </w:pPr>
          </w:p>
        </w:tc>
        <w:tc>
          <w:tcPr>
            <w:tcW w:w="969" w:type="pct"/>
            <w:vMerge/>
            <w:vAlign w:val="center"/>
          </w:tcPr>
          <w:p w14:paraId="0FD7C0FC" w14:textId="77777777" w:rsidR="002133E3" w:rsidRDefault="002133E3">
            <w:pPr>
              <w:jc w:val="center"/>
              <w:rPr>
                <w:rFonts w:ascii="Times New Roman" w:eastAsia="宋体" w:hAnsi="Times New Roman" w:cs="Times New Roman"/>
                <w:kern w:val="0"/>
                <w:szCs w:val="21"/>
              </w:rPr>
            </w:pPr>
          </w:p>
        </w:tc>
        <w:tc>
          <w:tcPr>
            <w:tcW w:w="639" w:type="pct"/>
            <w:vAlign w:val="center"/>
          </w:tcPr>
          <w:p w14:paraId="63133E3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358" w:type="pct"/>
            <w:gridSpan w:val="3"/>
            <w:vAlign w:val="center"/>
          </w:tcPr>
          <w:p w14:paraId="7446A66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 xml:space="preserve">GB 36600-2018 </w:t>
            </w:r>
            <w:r>
              <w:rPr>
                <w:rFonts w:ascii="Times New Roman" w:eastAsia="宋体" w:hAnsi="Times New Roman" w:cs="Times New Roman"/>
                <w:szCs w:val="21"/>
              </w:rPr>
              <w:t>表</w:t>
            </w:r>
            <w:r>
              <w:rPr>
                <w:rFonts w:ascii="Times New Roman" w:eastAsia="宋体" w:hAnsi="Times New Roman" w:cs="Times New Roman"/>
                <w:szCs w:val="21"/>
              </w:rPr>
              <w:t>1 45</w:t>
            </w:r>
            <w:r>
              <w:rPr>
                <w:rFonts w:ascii="Times New Roman" w:eastAsia="宋体" w:hAnsi="Times New Roman" w:cs="Times New Roman"/>
                <w:szCs w:val="21"/>
              </w:rPr>
              <w:t>项基本因子</w:t>
            </w:r>
          </w:p>
        </w:tc>
        <w:tc>
          <w:tcPr>
            <w:tcW w:w="1393" w:type="pct"/>
            <w:gridSpan w:val="2"/>
            <w:vAlign w:val="center"/>
          </w:tcPr>
          <w:p w14:paraId="556BE41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1</w:t>
            </w:r>
            <w:r>
              <w:rPr>
                <w:rFonts w:ascii="Times New Roman" w:eastAsia="宋体" w:hAnsi="Times New Roman" w:cs="Times New Roman"/>
                <w:szCs w:val="21"/>
              </w:rPr>
              <w:t>次</w:t>
            </w:r>
            <w:r>
              <w:rPr>
                <w:rFonts w:ascii="Times New Roman" w:eastAsia="宋体" w:hAnsi="Times New Roman" w:cs="Times New Roman"/>
                <w:szCs w:val="21"/>
              </w:rPr>
              <w:t>/5</w:t>
            </w:r>
            <w:r>
              <w:rPr>
                <w:rFonts w:ascii="Times New Roman" w:eastAsia="宋体" w:hAnsi="Times New Roman" w:cs="Times New Roman"/>
                <w:szCs w:val="21"/>
              </w:rPr>
              <w:t>年</w:t>
            </w:r>
          </w:p>
        </w:tc>
        <w:tc>
          <w:tcPr>
            <w:tcW w:w="389" w:type="pct"/>
            <w:vAlign w:val="center"/>
          </w:tcPr>
          <w:p w14:paraId="271A1242" w14:textId="77777777" w:rsidR="002133E3" w:rsidRDefault="002133E3">
            <w:pPr>
              <w:jc w:val="center"/>
              <w:rPr>
                <w:rFonts w:ascii="Times New Roman" w:eastAsia="宋体" w:hAnsi="Times New Roman" w:cs="Times New Roman"/>
                <w:kern w:val="0"/>
                <w:szCs w:val="21"/>
              </w:rPr>
            </w:pPr>
          </w:p>
        </w:tc>
      </w:tr>
      <w:tr w:rsidR="002133E3" w14:paraId="5C721045" w14:textId="77777777">
        <w:trPr>
          <w:jc w:val="center"/>
        </w:trPr>
        <w:tc>
          <w:tcPr>
            <w:tcW w:w="252" w:type="pct"/>
            <w:vMerge/>
            <w:vAlign w:val="center"/>
          </w:tcPr>
          <w:p w14:paraId="3341CE78" w14:textId="77777777" w:rsidR="002133E3" w:rsidRDefault="002133E3">
            <w:pPr>
              <w:jc w:val="center"/>
              <w:rPr>
                <w:rFonts w:ascii="Times New Roman" w:eastAsia="宋体" w:hAnsi="Times New Roman" w:cs="Times New Roman"/>
                <w:kern w:val="0"/>
                <w:szCs w:val="21"/>
              </w:rPr>
            </w:pPr>
          </w:p>
        </w:tc>
        <w:tc>
          <w:tcPr>
            <w:tcW w:w="969" w:type="pct"/>
            <w:vAlign w:val="center"/>
          </w:tcPr>
          <w:p w14:paraId="7E9AA6D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信息公开指标</w:t>
            </w:r>
          </w:p>
        </w:tc>
        <w:tc>
          <w:tcPr>
            <w:tcW w:w="3390" w:type="pct"/>
            <w:gridSpan w:val="6"/>
            <w:vAlign w:val="center"/>
          </w:tcPr>
          <w:p w14:paraId="0E003AE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建设单位基本信息、产排污环节、污染防治设施、监测计划等信息</w:t>
            </w:r>
          </w:p>
        </w:tc>
        <w:tc>
          <w:tcPr>
            <w:tcW w:w="389" w:type="pct"/>
            <w:vAlign w:val="center"/>
          </w:tcPr>
          <w:p w14:paraId="39DFDEC5" w14:textId="77777777" w:rsidR="002133E3" w:rsidRDefault="002133E3">
            <w:pPr>
              <w:jc w:val="center"/>
              <w:rPr>
                <w:rFonts w:ascii="Times New Roman" w:eastAsia="宋体" w:hAnsi="Times New Roman" w:cs="Times New Roman"/>
                <w:kern w:val="0"/>
                <w:szCs w:val="21"/>
              </w:rPr>
            </w:pPr>
          </w:p>
        </w:tc>
      </w:tr>
      <w:tr w:rsidR="002133E3" w14:paraId="5BB18D1B" w14:textId="77777777">
        <w:trPr>
          <w:jc w:val="center"/>
        </w:trPr>
        <w:tc>
          <w:tcPr>
            <w:tcW w:w="1221" w:type="pct"/>
            <w:gridSpan w:val="2"/>
            <w:vAlign w:val="center"/>
          </w:tcPr>
          <w:p w14:paraId="1EE705B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评价结论</w:t>
            </w:r>
          </w:p>
        </w:tc>
        <w:tc>
          <w:tcPr>
            <w:tcW w:w="3390" w:type="pct"/>
            <w:gridSpan w:val="6"/>
            <w:vAlign w:val="center"/>
          </w:tcPr>
          <w:p w14:paraId="1FD28DAE" w14:textId="77777777" w:rsidR="002133E3" w:rsidRDefault="00C22CFA">
            <w:pPr>
              <w:jc w:val="left"/>
              <w:rPr>
                <w:rFonts w:ascii="Times New Roman" w:eastAsia="宋体" w:hAnsi="Times New Roman" w:cs="Times New Roman"/>
                <w:kern w:val="0"/>
                <w:szCs w:val="21"/>
              </w:rPr>
            </w:pPr>
            <w:r>
              <w:rPr>
                <w:rFonts w:ascii="Times New Roman" w:eastAsia="宋体" w:hAnsi="Times New Roman" w:cs="Times New Roman"/>
                <w:kern w:val="0"/>
                <w:szCs w:val="21"/>
              </w:rPr>
              <w:t>本项目各功能区均采取</w:t>
            </w:r>
            <w:r>
              <w:rPr>
                <w:rFonts w:ascii="Times New Roman" w:eastAsia="宋体" w:hAnsi="Times New Roman" w:cs="Times New Roman"/>
                <w:kern w:val="0"/>
                <w:szCs w:val="21"/>
              </w:rPr>
              <w:t>“</w:t>
            </w:r>
            <w:r>
              <w:rPr>
                <w:rFonts w:ascii="Times New Roman" w:eastAsia="宋体" w:hAnsi="Times New Roman" w:cs="Times New Roman"/>
                <w:kern w:val="0"/>
                <w:szCs w:val="21"/>
              </w:rPr>
              <w:t>源头控制</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分区防控</w:t>
            </w:r>
            <w:r>
              <w:rPr>
                <w:rFonts w:ascii="Times New Roman" w:eastAsia="宋体" w:hAnsi="Times New Roman" w:cs="Times New Roman"/>
                <w:kern w:val="0"/>
                <w:szCs w:val="21"/>
              </w:rPr>
              <w:t>”</w:t>
            </w:r>
            <w:r>
              <w:rPr>
                <w:rFonts w:ascii="Times New Roman" w:eastAsia="宋体" w:hAnsi="Times New Roman" w:cs="Times New Roman"/>
                <w:kern w:val="0"/>
                <w:szCs w:val="21"/>
              </w:rPr>
              <w:t>的防渗措施，可以有效保证污染物不会进入土壤环境，防止污染土壤。项目产生的固体废物均</w:t>
            </w:r>
            <w:r>
              <w:rPr>
                <w:rFonts w:ascii="Times New Roman" w:eastAsia="宋体" w:hAnsi="Times New Roman" w:cs="Times New Roman"/>
                <w:kern w:val="0"/>
                <w:szCs w:val="21"/>
              </w:rPr>
              <w:lastRenderedPageBreak/>
              <w:t>在室内堆放，满足</w:t>
            </w:r>
            <w:r>
              <w:rPr>
                <w:rFonts w:ascii="Times New Roman" w:eastAsia="宋体" w:hAnsi="Times New Roman" w:cs="Times New Roman"/>
                <w:kern w:val="0"/>
                <w:szCs w:val="21"/>
              </w:rPr>
              <w:t>“</w:t>
            </w:r>
            <w:r>
              <w:rPr>
                <w:rFonts w:ascii="Times New Roman" w:eastAsia="宋体" w:hAnsi="Times New Roman" w:cs="Times New Roman"/>
                <w:kern w:val="0"/>
                <w:szCs w:val="21"/>
              </w:rPr>
              <w:t>防风、防雨、防晒</w:t>
            </w:r>
            <w:r>
              <w:rPr>
                <w:rFonts w:ascii="Times New Roman" w:eastAsia="宋体" w:hAnsi="Times New Roman" w:cs="Times New Roman"/>
                <w:kern w:val="0"/>
                <w:szCs w:val="21"/>
              </w:rPr>
              <w:t>”</w:t>
            </w:r>
            <w:r>
              <w:rPr>
                <w:rFonts w:ascii="Times New Roman" w:eastAsia="宋体" w:hAnsi="Times New Roman" w:cs="Times New Roman"/>
                <w:kern w:val="0"/>
                <w:szCs w:val="21"/>
              </w:rPr>
              <w:t>的要求，经收集后均进行妥善处理，不直接排入土壤环境。本项目危险废物暂存于危险废物暂存区，暂存区按《危险废物贮存污染控制标准》</w:t>
            </w:r>
            <w:r>
              <w:rPr>
                <w:rFonts w:ascii="Times New Roman" w:eastAsia="宋体" w:hAnsi="Times New Roman" w:cs="Times New Roman"/>
                <w:kern w:val="0"/>
                <w:szCs w:val="21"/>
              </w:rPr>
              <w:t>(GB18597-2001)</w:t>
            </w:r>
            <w:r>
              <w:rPr>
                <w:rFonts w:ascii="Times New Roman" w:eastAsia="宋体" w:hAnsi="Times New Roman" w:cs="Times New Roman"/>
                <w:kern w:val="0"/>
                <w:szCs w:val="21"/>
              </w:rPr>
              <w:t>要求进行设计建造。危险废物分类收集后，委托有资质的危险废物处置单位处置。整个过程基本上可以杜绝危险废物接触土壤，且建设项目场地地面会做硬化处理，对土壤环境不会造成影响；新建发酵车间在满足防腐防渗的条件下，产生的废水、废气、危险废物等污染物得到妥善的处置后，对评价区域的土壤环境造成的影响极小。</w:t>
            </w:r>
          </w:p>
        </w:tc>
        <w:tc>
          <w:tcPr>
            <w:tcW w:w="389" w:type="pct"/>
            <w:vAlign w:val="center"/>
          </w:tcPr>
          <w:p w14:paraId="6B920408" w14:textId="77777777" w:rsidR="002133E3" w:rsidRDefault="002133E3">
            <w:pPr>
              <w:jc w:val="center"/>
              <w:rPr>
                <w:rFonts w:ascii="Times New Roman" w:eastAsia="宋体" w:hAnsi="Times New Roman" w:cs="Times New Roman"/>
                <w:kern w:val="0"/>
                <w:szCs w:val="21"/>
              </w:rPr>
            </w:pPr>
          </w:p>
        </w:tc>
      </w:tr>
      <w:tr w:rsidR="002133E3" w14:paraId="7ED6A8C9" w14:textId="77777777">
        <w:trPr>
          <w:jc w:val="center"/>
        </w:trPr>
        <w:tc>
          <w:tcPr>
            <w:tcW w:w="5000" w:type="pct"/>
            <w:gridSpan w:val="9"/>
            <w:vAlign w:val="center"/>
          </w:tcPr>
          <w:p w14:paraId="457F3BB8" w14:textId="77777777" w:rsidR="002133E3" w:rsidRDefault="00C22CFA">
            <w:pPr>
              <w:jc w:val="left"/>
              <w:rPr>
                <w:rFonts w:ascii="Times New Roman" w:eastAsia="宋体" w:hAnsi="Times New Roman" w:cs="Times New Roman"/>
                <w:kern w:val="0"/>
                <w:szCs w:val="21"/>
              </w:rPr>
            </w:pPr>
            <w:r>
              <w:rPr>
                <w:rFonts w:ascii="Times New Roman" w:eastAsia="宋体" w:hAnsi="Times New Roman" w:cs="Times New Roman"/>
                <w:kern w:val="0"/>
                <w:szCs w:val="21"/>
              </w:rPr>
              <w:t>注</w:t>
            </w:r>
            <w:r>
              <w:rPr>
                <w:rFonts w:ascii="Times New Roman" w:eastAsia="宋体" w:hAnsi="Times New Roman" w:cs="Times New Roman"/>
                <w:kern w:val="0"/>
                <w:szCs w:val="21"/>
              </w:rPr>
              <w:t xml:space="preserve"> 1</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为勾选项，可</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w:t>
            </w:r>
            <w:r>
              <w:rPr>
                <w:rFonts w:ascii="Times New Roman" w:eastAsia="宋体" w:hAnsi="Times New Roman" w:cs="Times New Roman"/>
                <w:kern w:val="0"/>
                <w:szCs w:val="21"/>
              </w:rPr>
              <w:t>”</w:t>
            </w:r>
            <w:r>
              <w:rPr>
                <w:rFonts w:ascii="Times New Roman" w:eastAsia="宋体" w:hAnsi="Times New Roman" w:cs="Times New Roman"/>
                <w:kern w:val="0"/>
                <w:szCs w:val="21"/>
              </w:rPr>
              <w:t>为内容填写项；</w:t>
            </w:r>
            <w:r>
              <w:rPr>
                <w:rFonts w:ascii="Times New Roman" w:eastAsia="宋体" w:hAnsi="Times New Roman" w:cs="Times New Roman"/>
                <w:kern w:val="0"/>
                <w:szCs w:val="21"/>
              </w:rPr>
              <w:t>“</w:t>
            </w:r>
            <w:r>
              <w:rPr>
                <w:rFonts w:ascii="Times New Roman" w:eastAsia="宋体" w:hAnsi="Times New Roman" w:cs="Times New Roman"/>
                <w:kern w:val="0"/>
                <w:szCs w:val="21"/>
              </w:rPr>
              <w:t>备注</w:t>
            </w:r>
            <w:r>
              <w:rPr>
                <w:rFonts w:ascii="Times New Roman" w:eastAsia="宋体" w:hAnsi="Times New Roman" w:cs="Times New Roman"/>
                <w:kern w:val="0"/>
                <w:szCs w:val="21"/>
              </w:rPr>
              <w:t>”</w:t>
            </w:r>
            <w:r>
              <w:rPr>
                <w:rFonts w:ascii="Times New Roman" w:eastAsia="宋体" w:hAnsi="Times New Roman" w:cs="Times New Roman"/>
                <w:kern w:val="0"/>
                <w:szCs w:val="21"/>
              </w:rPr>
              <w:t>为其他补充内容。</w:t>
            </w:r>
          </w:p>
          <w:p w14:paraId="3D22E5CC" w14:textId="77777777" w:rsidR="002133E3" w:rsidRDefault="00C22CFA">
            <w:pPr>
              <w:jc w:val="left"/>
              <w:rPr>
                <w:rFonts w:ascii="Times New Roman" w:eastAsia="宋体" w:hAnsi="Times New Roman" w:cs="Times New Roman"/>
                <w:kern w:val="0"/>
                <w:szCs w:val="21"/>
              </w:rPr>
            </w:pPr>
            <w:r>
              <w:rPr>
                <w:rFonts w:ascii="Times New Roman" w:eastAsia="宋体" w:hAnsi="Times New Roman" w:cs="Times New Roman"/>
                <w:kern w:val="0"/>
                <w:szCs w:val="21"/>
              </w:rPr>
              <w:t>注</w:t>
            </w:r>
            <w:r>
              <w:rPr>
                <w:rFonts w:ascii="Times New Roman" w:eastAsia="宋体" w:hAnsi="Times New Roman" w:cs="Times New Roman"/>
                <w:kern w:val="0"/>
                <w:szCs w:val="21"/>
              </w:rPr>
              <w:t xml:space="preserve"> 2</w:t>
            </w:r>
            <w:r>
              <w:rPr>
                <w:rFonts w:ascii="Times New Roman" w:eastAsia="宋体" w:hAnsi="Times New Roman" w:cs="Times New Roman"/>
                <w:kern w:val="0"/>
                <w:szCs w:val="21"/>
              </w:rPr>
              <w:t>：需要分别开展土壤环境影响评级工作的，分别填写自查表</w:t>
            </w:r>
          </w:p>
        </w:tc>
      </w:tr>
    </w:tbl>
    <w:p w14:paraId="0C161385"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68" w:name="_Toc57993020"/>
      <w:r>
        <w:rPr>
          <w:rFonts w:ascii="Times New Roman" w:eastAsia="宋体" w:hAnsi="Times New Roman" w:cs="Times New Roman"/>
          <w:b/>
          <w:sz w:val="30"/>
          <w:szCs w:val="30"/>
        </w:rPr>
        <w:t>生态影响分析</w:t>
      </w:r>
      <w:bookmarkEnd w:id="63"/>
      <w:bookmarkEnd w:id="67"/>
      <w:bookmarkEnd w:id="68"/>
    </w:p>
    <w:bookmarkEnd w:id="64"/>
    <w:p w14:paraId="45F78964"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位于赣榆海州湾生物科技园区，周边为工业生产企业，项目利用厂区原有土地，无需特殊保护的动植物，施工中加强施工管理，尽量缩小施工范围，各种施工活动应严格控制在施工区域内，同时进行绿化工程。施工完毕，尽快整理施工现场，做好厂区硬化。</w:t>
      </w:r>
    </w:p>
    <w:p w14:paraId="445EA462"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另外项目产品为发酵类项目，正常工况和非正常工况下对环境影响较小。项目生产中粉尘经水膜除尘装置处理，对植物影响较小。废水中特征污水物主要为</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SS</w:t>
      </w:r>
      <w:r>
        <w:rPr>
          <w:rFonts w:ascii="Times New Roman" w:eastAsia="宋体" w:hAnsi="Times New Roman" w:cs="Times New Roman"/>
          <w:kern w:val="0"/>
          <w:sz w:val="28"/>
          <w:szCs w:val="28"/>
        </w:rPr>
        <w:t>及氨氮等，项目废水经厂区污水站处理后排入园区污水处理厂，进一步处理后排入兴庄河，对鱼类等影响较小。项目卫生防护距离为</w:t>
      </w:r>
      <w:r>
        <w:rPr>
          <w:rFonts w:ascii="Times New Roman" w:eastAsia="宋体" w:hAnsi="Times New Roman" w:cs="Times New Roman"/>
          <w:kern w:val="0"/>
          <w:sz w:val="28"/>
          <w:szCs w:val="28"/>
        </w:rPr>
        <w:t>50</w:t>
      </w:r>
      <w:r>
        <w:rPr>
          <w:rFonts w:ascii="Times New Roman" w:eastAsia="宋体" w:hAnsi="Times New Roman" w:cs="Times New Roman"/>
          <w:kern w:val="0"/>
          <w:sz w:val="28"/>
          <w:szCs w:val="28"/>
        </w:rPr>
        <w:t>米，防护距离范围内无敏感点，本项目在建设过程中绿化无新增，但厂区原有绿化达到</w:t>
      </w:r>
      <w:r>
        <w:rPr>
          <w:rFonts w:ascii="Times New Roman" w:eastAsia="宋体" w:hAnsi="Times New Roman" w:cs="Times New Roman"/>
          <w:kern w:val="0"/>
          <w:sz w:val="28"/>
          <w:szCs w:val="28"/>
        </w:rPr>
        <w:t>120779m</w:t>
      </w:r>
      <w:r>
        <w:rPr>
          <w:rFonts w:ascii="Times New Roman" w:eastAsia="宋体" w:hAnsi="Times New Roman" w:cs="Times New Roman"/>
          <w:kern w:val="0"/>
          <w:sz w:val="28"/>
          <w:szCs w:val="28"/>
          <w:vertAlign w:val="superscript"/>
        </w:rPr>
        <w:t>2</w:t>
      </w:r>
      <w:r>
        <w:rPr>
          <w:rFonts w:ascii="Times New Roman" w:eastAsia="宋体" w:hAnsi="Times New Roman" w:cs="Times New Roman"/>
          <w:kern w:val="0"/>
          <w:sz w:val="28"/>
          <w:szCs w:val="28"/>
        </w:rPr>
        <w:t>，对生态环境影响较小。</w:t>
      </w:r>
    </w:p>
    <w:p w14:paraId="7DD52262"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因此，本项目的建设不会对区域的生态环境产生明显的不良影响。</w:t>
      </w:r>
    </w:p>
    <w:p w14:paraId="7495012F"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bookmarkStart w:id="69" w:name="_Toc53175851"/>
      <w:r>
        <w:rPr>
          <w:rFonts w:ascii="Times New Roman" w:eastAsia="宋体" w:hAnsi="Times New Roman" w:cs="Times New Roman"/>
          <w:b/>
          <w:sz w:val="30"/>
          <w:szCs w:val="30"/>
        </w:rPr>
        <w:t>环境风险预测及评价</w:t>
      </w:r>
      <w:bookmarkEnd w:id="69"/>
    </w:p>
    <w:p w14:paraId="135B646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风险预测</w:t>
      </w:r>
    </w:p>
    <w:p w14:paraId="3426C44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有毒有害物质在大气中的扩散</w:t>
      </w:r>
    </w:p>
    <w:p w14:paraId="4E44352D" w14:textId="77777777" w:rsidR="002133E3" w:rsidRDefault="00C22CFA">
      <w:pPr>
        <w:tabs>
          <w:tab w:val="left" w:pos="4500"/>
        </w:tabs>
        <w:snapToGrid w:val="0"/>
        <w:spacing w:line="500" w:lineRule="atLeast"/>
        <w:ind w:firstLineChars="200" w:firstLine="562"/>
        <w:rPr>
          <w:rFonts w:ascii="Times New Roman" w:eastAsia="宋体" w:hAnsi="Times New Roman" w:cs="Times New Roman"/>
          <w:b/>
          <w:bCs/>
          <w:sz w:val="28"/>
          <w:szCs w:val="24"/>
        </w:rPr>
      </w:pPr>
      <w:r>
        <w:rPr>
          <w:rFonts w:ascii="宋体" w:eastAsia="宋体" w:hAnsi="宋体" w:cs="宋体" w:hint="eastAsia"/>
          <w:b/>
          <w:bCs/>
          <w:sz w:val="28"/>
          <w:szCs w:val="24"/>
        </w:rPr>
        <w:t>⑴</w:t>
      </w:r>
      <w:r>
        <w:rPr>
          <w:rFonts w:ascii="Times New Roman" w:eastAsia="宋体" w:hAnsi="Times New Roman" w:cs="Times New Roman"/>
          <w:b/>
          <w:bCs/>
          <w:sz w:val="28"/>
          <w:szCs w:val="24"/>
        </w:rPr>
        <w:t xml:space="preserve"> </w:t>
      </w:r>
      <w:r>
        <w:rPr>
          <w:rFonts w:ascii="Times New Roman" w:eastAsia="宋体" w:hAnsi="Times New Roman" w:cs="Times New Roman"/>
          <w:b/>
          <w:bCs/>
          <w:sz w:val="28"/>
          <w:szCs w:val="24"/>
        </w:rPr>
        <w:t>预测模型筛选</w:t>
      </w:r>
    </w:p>
    <w:p w14:paraId="29B8DC56" w14:textId="77777777" w:rsidR="002133E3" w:rsidRDefault="00C22CFA">
      <w:pPr>
        <w:tabs>
          <w:tab w:val="left" w:pos="4500"/>
        </w:tabs>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采用《建设项目环境风险评价技术导则》</w:t>
      </w:r>
      <w:r>
        <w:rPr>
          <w:rFonts w:ascii="Times New Roman" w:eastAsia="宋体" w:hAnsi="Times New Roman" w:cs="Times New Roman"/>
          <w:sz w:val="28"/>
          <w:szCs w:val="24"/>
        </w:rPr>
        <w:t>(HJ169-2018)</w:t>
      </w:r>
      <w:r>
        <w:rPr>
          <w:rFonts w:ascii="Times New Roman" w:eastAsia="宋体" w:hAnsi="Times New Roman" w:cs="Times New Roman"/>
          <w:sz w:val="28"/>
          <w:szCs w:val="24"/>
        </w:rPr>
        <w:t>推荐的</w:t>
      </w:r>
      <w:r>
        <w:rPr>
          <w:rFonts w:ascii="Times New Roman" w:eastAsia="宋体" w:hAnsi="Times New Roman" w:cs="Times New Roman"/>
          <w:sz w:val="28"/>
          <w:szCs w:val="24"/>
        </w:rPr>
        <w:t>AFTOX</w:t>
      </w:r>
      <w:r>
        <w:rPr>
          <w:rFonts w:ascii="Times New Roman" w:eastAsia="宋体" w:hAnsi="Times New Roman" w:cs="Times New Roman"/>
          <w:sz w:val="28"/>
          <w:szCs w:val="24"/>
        </w:rPr>
        <w:t>模型进行预测计算。</w:t>
      </w:r>
    </w:p>
    <w:p w14:paraId="33E992AE" w14:textId="77777777" w:rsidR="002133E3" w:rsidRDefault="00C22CFA">
      <w:pPr>
        <w:tabs>
          <w:tab w:val="left" w:pos="4500"/>
        </w:tabs>
        <w:snapToGrid w:val="0"/>
        <w:spacing w:line="500" w:lineRule="atLeast"/>
        <w:ind w:firstLineChars="200" w:firstLine="562"/>
        <w:rPr>
          <w:rFonts w:ascii="Times New Roman" w:eastAsia="宋体" w:hAnsi="Times New Roman" w:cs="Times New Roman"/>
          <w:b/>
          <w:bCs/>
          <w:sz w:val="28"/>
          <w:szCs w:val="24"/>
        </w:rPr>
      </w:pPr>
      <w:r>
        <w:rPr>
          <w:rFonts w:ascii="宋体" w:eastAsia="宋体" w:hAnsi="宋体" w:cs="宋体" w:hint="eastAsia"/>
          <w:b/>
          <w:bCs/>
          <w:sz w:val="28"/>
          <w:szCs w:val="24"/>
        </w:rPr>
        <w:t>⑵</w:t>
      </w:r>
      <w:r>
        <w:rPr>
          <w:rFonts w:ascii="Times New Roman" w:eastAsia="宋体" w:hAnsi="Times New Roman" w:cs="Times New Roman"/>
          <w:b/>
          <w:bCs/>
          <w:sz w:val="28"/>
          <w:szCs w:val="24"/>
        </w:rPr>
        <w:t xml:space="preserve"> </w:t>
      </w:r>
      <w:r>
        <w:rPr>
          <w:rFonts w:ascii="Times New Roman" w:eastAsia="宋体" w:hAnsi="Times New Roman" w:cs="Times New Roman"/>
          <w:b/>
          <w:bCs/>
          <w:sz w:val="28"/>
          <w:szCs w:val="24"/>
        </w:rPr>
        <w:t>预测范围和计算点</w:t>
      </w:r>
    </w:p>
    <w:p w14:paraId="22ACE2F9" w14:textId="77777777" w:rsidR="002133E3" w:rsidRDefault="00C22CFA">
      <w:pPr>
        <w:tabs>
          <w:tab w:val="left" w:pos="4500"/>
        </w:tabs>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预测范围：以泄漏点位重点，半径</w:t>
      </w:r>
      <w:r>
        <w:rPr>
          <w:rFonts w:ascii="Times New Roman" w:eastAsia="宋体" w:hAnsi="Times New Roman" w:cs="Times New Roman"/>
          <w:sz w:val="28"/>
          <w:szCs w:val="24"/>
        </w:rPr>
        <w:t>5km</w:t>
      </w:r>
      <w:r>
        <w:rPr>
          <w:rFonts w:ascii="Times New Roman" w:eastAsia="宋体" w:hAnsi="Times New Roman" w:cs="Times New Roman"/>
          <w:sz w:val="28"/>
          <w:szCs w:val="24"/>
        </w:rPr>
        <w:t>的圆形区域。</w:t>
      </w:r>
    </w:p>
    <w:p w14:paraId="5D8C220D" w14:textId="77777777" w:rsidR="002133E3" w:rsidRDefault="00C22CFA">
      <w:pPr>
        <w:tabs>
          <w:tab w:val="left" w:pos="4500"/>
        </w:tabs>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计算点：</w:t>
      </w:r>
    </w:p>
    <w:p w14:paraId="64034462" w14:textId="77777777" w:rsidR="002133E3" w:rsidRDefault="00C22CFA">
      <w:pPr>
        <w:tabs>
          <w:tab w:val="left" w:pos="4500"/>
        </w:tabs>
        <w:snapToGrid w:val="0"/>
        <w:spacing w:line="500" w:lineRule="atLeast"/>
        <w:ind w:firstLineChars="200" w:firstLine="560"/>
        <w:rPr>
          <w:rFonts w:ascii="Times New Roman" w:eastAsia="宋体" w:hAnsi="Times New Roman" w:cs="Times New Roman"/>
          <w:sz w:val="28"/>
          <w:szCs w:val="24"/>
        </w:rPr>
      </w:pPr>
      <w:r>
        <w:rPr>
          <w:rFonts w:ascii="宋体" w:eastAsia="宋体" w:hAnsi="宋体" w:cs="宋体" w:hint="eastAsia"/>
          <w:sz w:val="28"/>
          <w:szCs w:val="24"/>
        </w:rPr>
        <w:lastRenderedPageBreak/>
        <w:t>①</w:t>
      </w:r>
      <w:r>
        <w:rPr>
          <w:rFonts w:ascii="Times New Roman" w:eastAsia="宋体" w:hAnsi="Times New Roman" w:cs="Times New Roman"/>
          <w:sz w:val="28"/>
          <w:szCs w:val="24"/>
        </w:rPr>
        <w:t>一般计算点：下风向不同距离的计算点。</w:t>
      </w:r>
    </w:p>
    <w:p w14:paraId="6C634083" w14:textId="77777777" w:rsidR="002133E3" w:rsidRDefault="00C22CFA">
      <w:pPr>
        <w:tabs>
          <w:tab w:val="left" w:pos="4500"/>
        </w:tabs>
        <w:snapToGrid w:val="0"/>
        <w:spacing w:line="500" w:lineRule="atLeast"/>
        <w:ind w:firstLineChars="200" w:firstLine="560"/>
        <w:rPr>
          <w:rFonts w:ascii="Times New Roman" w:eastAsia="宋体" w:hAnsi="Times New Roman" w:cs="Times New Roman"/>
          <w:sz w:val="28"/>
          <w:szCs w:val="24"/>
        </w:rPr>
      </w:pPr>
      <w:r>
        <w:rPr>
          <w:rFonts w:ascii="宋体" w:eastAsia="宋体" w:hAnsi="宋体" w:cs="宋体" w:hint="eastAsia"/>
          <w:sz w:val="28"/>
          <w:szCs w:val="24"/>
        </w:rPr>
        <w:t>②</w:t>
      </w:r>
      <w:r>
        <w:rPr>
          <w:rFonts w:ascii="Times New Roman" w:eastAsia="宋体" w:hAnsi="Times New Roman" w:cs="Times New Roman"/>
          <w:sz w:val="28"/>
          <w:szCs w:val="24"/>
        </w:rPr>
        <w:t>特殊计算点：以距离项目最近的李巷村、兴庄村作为代表，计算各关心点有毒有害物质浓度随时间的变化情况。</w:t>
      </w:r>
    </w:p>
    <w:p w14:paraId="36AEC46C" w14:textId="77777777" w:rsidR="002133E3" w:rsidRDefault="00C22CFA">
      <w:pPr>
        <w:tabs>
          <w:tab w:val="left" w:pos="4500"/>
        </w:tabs>
        <w:snapToGrid w:val="0"/>
        <w:spacing w:line="500" w:lineRule="atLeast"/>
        <w:ind w:firstLine="560"/>
        <w:rPr>
          <w:rFonts w:ascii="Times New Roman" w:eastAsia="宋体" w:hAnsi="Times New Roman" w:cs="Times New Roman"/>
          <w:b/>
          <w:bCs/>
          <w:sz w:val="28"/>
          <w:szCs w:val="24"/>
        </w:rPr>
      </w:pPr>
      <w:r>
        <w:rPr>
          <w:rFonts w:ascii="宋体" w:eastAsia="宋体" w:hAnsi="宋体" w:cs="宋体" w:hint="eastAsia"/>
          <w:b/>
          <w:bCs/>
          <w:sz w:val="28"/>
          <w:szCs w:val="24"/>
        </w:rPr>
        <w:t>⑶</w:t>
      </w:r>
      <w:r>
        <w:rPr>
          <w:rFonts w:ascii="Times New Roman" w:eastAsia="宋体" w:hAnsi="Times New Roman" w:cs="Times New Roman"/>
          <w:b/>
          <w:bCs/>
          <w:sz w:val="28"/>
          <w:szCs w:val="24"/>
        </w:rPr>
        <w:t xml:space="preserve"> </w:t>
      </w:r>
      <w:r>
        <w:rPr>
          <w:rFonts w:ascii="Times New Roman" w:eastAsia="宋体" w:hAnsi="Times New Roman" w:cs="Times New Roman"/>
          <w:b/>
          <w:bCs/>
          <w:sz w:val="28"/>
          <w:szCs w:val="24"/>
        </w:rPr>
        <w:t>预测气象参数、事故源参数、大气毒性重点浓度</w:t>
      </w:r>
    </w:p>
    <w:p w14:paraId="69B22D30" w14:textId="77777777" w:rsidR="002133E3" w:rsidRDefault="00C22CFA">
      <w:pPr>
        <w:tabs>
          <w:tab w:val="left" w:pos="4500"/>
        </w:tabs>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预测气象参数和事故源参数见表</w:t>
      </w:r>
      <w:r>
        <w:rPr>
          <w:rFonts w:ascii="Times New Roman" w:eastAsia="宋体" w:hAnsi="Times New Roman" w:cs="Times New Roman"/>
          <w:sz w:val="28"/>
          <w:szCs w:val="24"/>
        </w:rPr>
        <w:t>6.9-1</w:t>
      </w:r>
      <w:r>
        <w:rPr>
          <w:rFonts w:ascii="Times New Roman" w:eastAsia="宋体" w:hAnsi="Times New Roman" w:cs="Times New Roman"/>
          <w:sz w:val="28"/>
          <w:szCs w:val="24"/>
        </w:rPr>
        <w:t>。</w:t>
      </w:r>
    </w:p>
    <w:p w14:paraId="737C6EFD" w14:textId="77777777" w:rsidR="002133E3" w:rsidRDefault="00C22CFA">
      <w:pPr>
        <w:adjustRightInd w:val="0"/>
        <w:snapToGrid w:val="0"/>
        <w:spacing w:line="500" w:lineRule="atLeas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6.9-1 </w:t>
      </w:r>
      <w:r>
        <w:rPr>
          <w:rFonts w:ascii="Times New Roman" w:eastAsia="宋体" w:hAnsi="Times New Roman" w:cs="Times New Roman"/>
          <w:b/>
          <w:sz w:val="24"/>
          <w:szCs w:val="24"/>
        </w:rPr>
        <w:t>不同情形泄漏参数表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2712"/>
        <w:gridCol w:w="1500"/>
        <w:gridCol w:w="2391"/>
      </w:tblGrid>
      <w:tr w:rsidR="002133E3" w14:paraId="181B55DB" w14:textId="77777777">
        <w:trPr>
          <w:trHeight w:val="300"/>
          <w:jc w:val="center"/>
        </w:trPr>
        <w:tc>
          <w:tcPr>
            <w:tcW w:w="1650" w:type="pct"/>
            <w:shd w:val="clear" w:color="auto" w:fill="auto"/>
            <w:noWrap/>
            <w:vAlign w:val="center"/>
          </w:tcPr>
          <w:p w14:paraId="07BAD6F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环境风险源</w:t>
            </w:r>
          </w:p>
        </w:tc>
        <w:tc>
          <w:tcPr>
            <w:tcW w:w="3350" w:type="pct"/>
            <w:gridSpan w:val="3"/>
            <w:shd w:val="clear" w:color="auto" w:fill="auto"/>
            <w:noWrap/>
            <w:vAlign w:val="center"/>
          </w:tcPr>
          <w:p w14:paraId="25D5DA1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最不利气象条件</w:t>
            </w:r>
          </w:p>
        </w:tc>
      </w:tr>
      <w:tr w:rsidR="002133E3" w14:paraId="6D16AE40" w14:textId="77777777">
        <w:trPr>
          <w:trHeight w:val="315"/>
          <w:jc w:val="center"/>
        </w:trPr>
        <w:tc>
          <w:tcPr>
            <w:tcW w:w="1650" w:type="pct"/>
            <w:shd w:val="clear" w:color="auto" w:fill="auto"/>
            <w:noWrap/>
            <w:vAlign w:val="center"/>
          </w:tcPr>
          <w:p w14:paraId="6BB9755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危险物质</w:t>
            </w:r>
          </w:p>
        </w:tc>
        <w:tc>
          <w:tcPr>
            <w:tcW w:w="1376" w:type="pct"/>
            <w:shd w:val="clear" w:color="auto" w:fill="auto"/>
            <w:noWrap/>
            <w:vAlign w:val="center"/>
          </w:tcPr>
          <w:p w14:paraId="44D69E8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硫酸</w:t>
            </w:r>
          </w:p>
        </w:tc>
        <w:tc>
          <w:tcPr>
            <w:tcW w:w="761" w:type="pct"/>
            <w:shd w:val="clear" w:color="auto" w:fill="auto"/>
            <w:noWrap/>
            <w:vAlign w:val="center"/>
          </w:tcPr>
          <w:p w14:paraId="788DB0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SO</w:t>
            </w:r>
            <w:r>
              <w:rPr>
                <w:rFonts w:ascii="Times New Roman" w:eastAsia="宋体" w:hAnsi="Times New Roman" w:cs="Times New Roman"/>
                <w:color w:val="000000"/>
                <w:kern w:val="0"/>
                <w:szCs w:val="21"/>
                <w:vertAlign w:val="subscript"/>
              </w:rPr>
              <w:t>2</w:t>
            </w:r>
          </w:p>
        </w:tc>
        <w:tc>
          <w:tcPr>
            <w:tcW w:w="1214" w:type="pct"/>
            <w:shd w:val="clear" w:color="auto" w:fill="auto"/>
            <w:vAlign w:val="center"/>
          </w:tcPr>
          <w:p w14:paraId="6EC3EAE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w:t>
            </w:r>
          </w:p>
        </w:tc>
      </w:tr>
      <w:tr w:rsidR="002133E3" w14:paraId="324E8F70" w14:textId="77777777">
        <w:trPr>
          <w:trHeight w:val="300"/>
          <w:jc w:val="center"/>
        </w:trPr>
        <w:tc>
          <w:tcPr>
            <w:tcW w:w="1650" w:type="pct"/>
            <w:shd w:val="clear" w:color="auto" w:fill="auto"/>
            <w:noWrap/>
            <w:vAlign w:val="center"/>
          </w:tcPr>
          <w:p w14:paraId="1A27B87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大气稳定度</w:t>
            </w:r>
          </w:p>
        </w:tc>
        <w:tc>
          <w:tcPr>
            <w:tcW w:w="3350" w:type="pct"/>
            <w:gridSpan w:val="3"/>
            <w:shd w:val="clear" w:color="auto" w:fill="auto"/>
            <w:vAlign w:val="center"/>
          </w:tcPr>
          <w:p w14:paraId="00DCD1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F</w:t>
            </w:r>
          </w:p>
        </w:tc>
      </w:tr>
      <w:tr w:rsidR="002133E3" w14:paraId="406F3F1C" w14:textId="77777777">
        <w:trPr>
          <w:trHeight w:val="300"/>
          <w:jc w:val="center"/>
        </w:trPr>
        <w:tc>
          <w:tcPr>
            <w:tcW w:w="1650" w:type="pct"/>
            <w:shd w:val="clear" w:color="auto" w:fill="auto"/>
            <w:noWrap/>
            <w:vAlign w:val="center"/>
          </w:tcPr>
          <w:p w14:paraId="0AE18FF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风速</w:t>
            </w:r>
            <w:r>
              <w:rPr>
                <w:rFonts w:ascii="Times New Roman" w:eastAsia="宋体" w:hAnsi="Times New Roman" w:cs="Times New Roman"/>
                <w:color w:val="000000"/>
                <w:kern w:val="0"/>
                <w:szCs w:val="21"/>
              </w:rPr>
              <w:t>m/s</w:t>
            </w:r>
          </w:p>
        </w:tc>
        <w:tc>
          <w:tcPr>
            <w:tcW w:w="3350" w:type="pct"/>
            <w:gridSpan w:val="3"/>
            <w:shd w:val="clear" w:color="auto" w:fill="auto"/>
            <w:vAlign w:val="center"/>
          </w:tcPr>
          <w:p w14:paraId="0A5D82C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r>
      <w:tr w:rsidR="002133E3" w14:paraId="0EA4E31E" w14:textId="77777777">
        <w:trPr>
          <w:trHeight w:val="300"/>
          <w:jc w:val="center"/>
        </w:trPr>
        <w:tc>
          <w:tcPr>
            <w:tcW w:w="1650" w:type="pct"/>
            <w:shd w:val="clear" w:color="auto" w:fill="auto"/>
            <w:noWrap/>
            <w:vAlign w:val="center"/>
          </w:tcPr>
          <w:p w14:paraId="06D4EE7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温度</w:t>
            </w:r>
            <w:r>
              <w:rPr>
                <w:rFonts w:ascii="宋体" w:eastAsia="宋体" w:hAnsi="宋体" w:cs="宋体" w:hint="eastAsia"/>
                <w:color w:val="000000"/>
                <w:kern w:val="0"/>
                <w:szCs w:val="21"/>
              </w:rPr>
              <w:t>℃</w:t>
            </w:r>
          </w:p>
        </w:tc>
        <w:tc>
          <w:tcPr>
            <w:tcW w:w="3350" w:type="pct"/>
            <w:gridSpan w:val="3"/>
            <w:shd w:val="clear" w:color="auto" w:fill="auto"/>
            <w:vAlign w:val="center"/>
          </w:tcPr>
          <w:p w14:paraId="31CC88B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w:t>
            </w:r>
          </w:p>
        </w:tc>
      </w:tr>
      <w:tr w:rsidR="002133E3" w14:paraId="24BE0D4D" w14:textId="77777777">
        <w:trPr>
          <w:trHeight w:val="300"/>
          <w:jc w:val="center"/>
        </w:trPr>
        <w:tc>
          <w:tcPr>
            <w:tcW w:w="1650" w:type="pct"/>
            <w:shd w:val="clear" w:color="auto" w:fill="auto"/>
            <w:noWrap/>
            <w:vAlign w:val="center"/>
          </w:tcPr>
          <w:p w14:paraId="66A9B03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相对湿度</w:t>
            </w:r>
            <w:r>
              <w:rPr>
                <w:rFonts w:ascii="Times New Roman" w:eastAsia="宋体" w:hAnsi="Times New Roman" w:cs="Times New Roman"/>
                <w:color w:val="000000"/>
                <w:kern w:val="0"/>
                <w:szCs w:val="21"/>
              </w:rPr>
              <w:t>%</w:t>
            </w:r>
          </w:p>
        </w:tc>
        <w:tc>
          <w:tcPr>
            <w:tcW w:w="3350" w:type="pct"/>
            <w:gridSpan w:val="3"/>
            <w:shd w:val="clear" w:color="auto" w:fill="auto"/>
            <w:vAlign w:val="center"/>
          </w:tcPr>
          <w:p w14:paraId="16D92D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w:t>
            </w:r>
          </w:p>
        </w:tc>
      </w:tr>
      <w:tr w:rsidR="002133E3" w14:paraId="4B42E0C0" w14:textId="77777777">
        <w:trPr>
          <w:trHeight w:val="300"/>
          <w:jc w:val="center"/>
        </w:trPr>
        <w:tc>
          <w:tcPr>
            <w:tcW w:w="1650" w:type="pct"/>
            <w:shd w:val="clear" w:color="auto" w:fill="auto"/>
            <w:noWrap/>
            <w:vAlign w:val="center"/>
          </w:tcPr>
          <w:p w14:paraId="2A110CE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泄露量</w:t>
            </w:r>
            <w:r>
              <w:rPr>
                <w:rFonts w:ascii="Times New Roman" w:eastAsia="宋体" w:hAnsi="Times New Roman" w:cs="Times New Roman"/>
                <w:color w:val="000000"/>
                <w:kern w:val="0"/>
                <w:szCs w:val="21"/>
              </w:rPr>
              <w:t>(kg)</w:t>
            </w:r>
          </w:p>
        </w:tc>
        <w:tc>
          <w:tcPr>
            <w:tcW w:w="1376" w:type="pct"/>
            <w:shd w:val="clear" w:color="auto" w:fill="auto"/>
            <w:vAlign w:val="center"/>
          </w:tcPr>
          <w:p w14:paraId="6B29C4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258.972</w:t>
            </w:r>
          </w:p>
        </w:tc>
        <w:tc>
          <w:tcPr>
            <w:tcW w:w="1974" w:type="pct"/>
            <w:gridSpan w:val="2"/>
            <w:shd w:val="clear" w:color="auto" w:fill="auto"/>
            <w:noWrap/>
            <w:vAlign w:val="center"/>
          </w:tcPr>
          <w:p w14:paraId="3C6A0B5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22E55915" w14:textId="77777777">
        <w:trPr>
          <w:trHeight w:val="300"/>
          <w:jc w:val="center"/>
        </w:trPr>
        <w:tc>
          <w:tcPr>
            <w:tcW w:w="1650" w:type="pct"/>
            <w:shd w:val="clear" w:color="auto" w:fill="auto"/>
            <w:noWrap/>
            <w:vAlign w:val="center"/>
          </w:tcPr>
          <w:p w14:paraId="5FB50A2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最大蒸发速率</w:t>
            </w:r>
            <w:r>
              <w:rPr>
                <w:rFonts w:ascii="Times New Roman" w:eastAsia="宋体" w:hAnsi="Times New Roman" w:cs="Times New Roman"/>
                <w:color w:val="000000"/>
                <w:kern w:val="0"/>
                <w:szCs w:val="21"/>
              </w:rPr>
              <w:t>(kg/s)</w:t>
            </w:r>
          </w:p>
        </w:tc>
        <w:tc>
          <w:tcPr>
            <w:tcW w:w="1376" w:type="pct"/>
            <w:shd w:val="clear" w:color="auto" w:fill="auto"/>
            <w:noWrap/>
            <w:vAlign w:val="center"/>
          </w:tcPr>
          <w:p w14:paraId="3F53634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4.0133E-07</w:t>
            </w:r>
          </w:p>
        </w:tc>
        <w:tc>
          <w:tcPr>
            <w:tcW w:w="761" w:type="pct"/>
            <w:shd w:val="clear" w:color="auto" w:fill="auto"/>
            <w:noWrap/>
            <w:vAlign w:val="center"/>
          </w:tcPr>
          <w:p w14:paraId="7D15080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0.00033</w:t>
            </w:r>
          </w:p>
        </w:tc>
        <w:tc>
          <w:tcPr>
            <w:tcW w:w="1214" w:type="pct"/>
            <w:shd w:val="clear" w:color="auto" w:fill="auto"/>
            <w:vAlign w:val="center"/>
          </w:tcPr>
          <w:p w14:paraId="2AE15E2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0.13</w:t>
            </w:r>
          </w:p>
        </w:tc>
      </w:tr>
      <w:tr w:rsidR="002133E3" w14:paraId="6CD15340" w14:textId="77777777">
        <w:trPr>
          <w:trHeight w:val="345"/>
          <w:jc w:val="center"/>
        </w:trPr>
        <w:tc>
          <w:tcPr>
            <w:tcW w:w="1650" w:type="pct"/>
            <w:shd w:val="clear" w:color="auto" w:fill="auto"/>
            <w:noWrap/>
            <w:vAlign w:val="center"/>
          </w:tcPr>
          <w:p w14:paraId="5397317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液池面积</w:t>
            </w:r>
            <w:r>
              <w:rPr>
                <w:rFonts w:ascii="Times New Roman" w:eastAsia="宋体" w:hAnsi="Times New Roman" w:cs="Times New Roman"/>
                <w:color w:val="000000"/>
                <w:kern w:val="0"/>
                <w:szCs w:val="21"/>
              </w:rPr>
              <w:t>(m</w:t>
            </w:r>
            <w:r>
              <w:rPr>
                <w:rFonts w:ascii="Times New Roman" w:eastAsia="宋体" w:hAnsi="Times New Roman" w:cs="Times New Roman"/>
                <w:color w:val="000000"/>
                <w:kern w:val="0"/>
                <w:szCs w:val="21"/>
                <w:vertAlign w:val="superscript"/>
              </w:rPr>
              <w:t>2</w:t>
            </w:r>
            <w:r>
              <w:rPr>
                <w:rFonts w:ascii="Times New Roman" w:eastAsia="宋体" w:hAnsi="Times New Roman" w:cs="Times New Roman"/>
                <w:color w:val="000000"/>
                <w:kern w:val="0"/>
                <w:szCs w:val="21"/>
              </w:rPr>
              <w:t>)</w:t>
            </w:r>
          </w:p>
        </w:tc>
        <w:tc>
          <w:tcPr>
            <w:tcW w:w="1376" w:type="pct"/>
            <w:shd w:val="clear" w:color="auto" w:fill="auto"/>
            <w:vAlign w:val="center"/>
          </w:tcPr>
          <w:p w14:paraId="6A51EDA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65.45</w:t>
            </w:r>
          </w:p>
        </w:tc>
        <w:tc>
          <w:tcPr>
            <w:tcW w:w="1974" w:type="pct"/>
            <w:gridSpan w:val="2"/>
            <w:shd w:val="clear" w:color="auto" w:fill="auto"/>
            <w:noWrap/>
            <w:vAlign w:val="center"/>
          </w:tcPr>
          <w:p w14:paraId="64174C2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w:t>
            </w:r>
          </w:p>
        </w:tc>
      </w:tr>
      <w:tr w:rsidR="002133E3" w14:paraId="6ED2B028" w14:textId="77777777">
        <w:trPr>
          <w:trHeight w:val="300"/>
          <w:jc w:val="center"/>
        </w:trPr>
        <w:tc>
          <w:tcPr>
            <w:tcW w:w="1650" w:type="pct"/>
            <w:shd w:val="clear" w:color="auto" w:fill="auto"/>
            <w:noWrap/>
            <w:vAlign w:val="center"/>
          </w:tcPr>
          <w:p w14:paraId="3573AB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泄露时间</w:t>
            </w:r>
            <w:r>
              <w:rPr>
                <w:rFonts w:ascii="Times New Roman" w:eastAsia="宋体" w:hAnsi="Times New Roman" w:cs="Times New Roman"/>
                <w:color w:val="000000"/>
                <w:kern w:val="0"/>
                <w:szCs w:val="21"/>
              </w:rPr>
              <w:t>min</w:t>
            </w:r>
          </w:p>
        </w:tc>
        <w:tc>
          <w:tcPr>
            <w:tcW w:w="1376" w:type="pct"/>
            <w:shd w:val="clear" w:color="auto" w:fill="auto"/>
            <w:noWrap/>
            <w:vAlign w:val="center"/>
          </w:tcPr>
          <w:p w14:paraId="31813AC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1974" w:type="pct"/>
            <w:gridSpan w:val="2"/>
            <w:shd w:val="clear" w:color="auto" w:fill="auto"/>
            <w:noWrap/>
            <w:vAlign w:val="center"/>
          </w:tcPr>
          <w:p w14:paraId="45B93F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360</w:t>
            </w:r>
          </w:p>
        </w:tc>
      </w:tr>
      <w:tr w:rsidR="002133E3" w14:paraId="325284EF" w14:textId="77777777">
        <w:trPr>
          <w:trHeight w:val="345"/>
          <w:jc w:val="center"/>
        </w:trPr>
        <w:tc>
          <w:tcPr>
            <w:tcW w:w="1650" w:type="pct"/>
            <w:shd w:val="clear" w:color="auto" w:fill="auto"/>
            <w:noWrap/>
            <w:vAlign w:val="center"/>
          </w:tcPr>
          <w:p w14:paraId="23BCF0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大气毒性重点浓度</w:t>
            </w:r>
            <w:r>
              <w:rPr>
                <w:rFonts w:ascii="Times New Roman" w:eastAsia="宋体" w:hAnsi="Times New Roman" w:cs="Times New Roman"/>
                <w:color w:val="000000"/>
                <w:kern w:val="0"/>
                <w:szCs w:val="21"/>
              </w:rPr>
              <w:t>-1(mg/m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w:t>
            </w:r>
          </w:p>
        </w:tc>
        <w:tc>
          <w:tcPr>
            <w:tcW w:w="1376" w:type="pct"/>
            <w:shd w:val="clear" w:color="auto" w:fill="auto"/>
            <w:noWrap/>
            <w:vAlign w:val="center"/>
          </w:tcPr>
          <w:p w14:paraId="225BD14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160</w:t>
            </w:r>
          </w:p>
        </w:tc>
        <w:tc>
          <w:tcPr>
            <w:tcW w:w="761" w:type="pct"/>
            <w:shd w:val="clear" w:color="auto" w:fill="auto"/>
            <w:noWrap/>
            <w:vAlign w:val="center"/>
          </w:tcPr>
          <w:p w14:paraId="37777A3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79</w:t>
            </w:r>
          </w:p>
        </w:tc>
        <w:tc>
          <w:tcPr>
            <w:tcW w:w="1214" w:type="pct"/>
            <w:shd w:val="clear" w:color="auto" w:fill="auto"/>
            <w:vAlign w:val="center"/>
          </w:tcPr>
          <w:p w14:paraId="7D97598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szCs w:val="21"/>
              </w:rPr>
              <w:t>380</w:t>
            </w:r>
          </w:p>
        </w:tc>
      </w:tr>
      <w:tr w:rsidR="002133E3" w14:paraId="6B3A4C74" w14:textId="77777777">
        <w:trPr>
          <w:trHeight w:val="345"/>
          <w:jc w:val="center"/>
        </w:trPr>
        <w:tc>
          <w:tcPr>
            <w:tcW w:w="1650" w:type="pct"/>
            <w:shd w:val="clear" w:color="auto" w:fill="auto"/>
            <w:noWrap/>
            <w:vAlign w:val="center"/>
          </w:tcPr>
          <w:p w14:paraId="22C2861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大气毒性重点浓度</w:t>
            </w:r>
            <w:r>
              <w:rPr>
                <w:rFonts w:ascii="Times New Roman" w:eastAsia="宋体" w:hAnsi="Times New Roman" w:cs="Times New Roman"/>
                <w:color w:val="000000"/>
                <w:kern w:val="0"/>
                <w:szCs w:val="21"/>
              </w:rPr>
              <w:t>-2(mg/m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w:t>
            </w:r>
          </w:p>
        </w:tc>
        <w:tc>
          <w:tcPr>
            <w:tcW w:w="1376" w:type="pct"/>
            <w:shd w:val="clear" w:color="auto" w:fill="auto"/>
            <w:noWrap/>
            <w:vAlign w:val="center"/>
          </w:tcPr>
          <w:p w14:paraId="1B9EDBD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8.7</w:t>
            </w:r>
          </w:p>
        </w:tc>
        <w:tc>
          <w:tcPr>
            <w:tcW w:w="761" w:type="pct"/>
            <w:shd w:val="clear" w:color="auto" w:fill="auto"/>
            <w:noWrap/>
            <w:vAlign w:val="center"/>
          </w:tcPr>
          <w:p w14:paraId="3864F63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kern w:val="0"/>
                <w:szCs w:val="21"/>
              </w:rPr>
              <w:t>2</w:t>
            </w:r>
          </w:p>
        </w:tc>
        <w:tc>
          <w:tcPr>
            <w:tcW w:w="1214" w:type="pct"/>
            <w:shd w:val="clear" w:color="auto" w:fill="auto"/>
            <w:vAlign w:val="center"/>
          </w:tcPr>
          <w:p w14:paraId="144662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szCs w:val="21"/>
              </w:rPr>
              <w:t>95</w:t>
            </w:r>
          </w:p>
        </w:tc>
      </w:tr>
    </w:tbl>
    <w:p w14:paraId="3693F713" w14:textId="77777777" w:rsidR="002133E3" w:rsidRDefault="00C22CFA">
      <w:pPr>
        <w:tabs>
          <w:tab w:val="left" w:pos="4500"/>
        </w:tabs>
        <w:spacing w:line="500" w:lineRule="exact"/>
        <w:ind w:firstLineChars="200" w:firstLine="562"/>
        <w:rPr>
          <w:rFonts w:ascii="Times New Roman" w:eastAsia="宋体" w:hAnsi="Times New Roman" w:cs="Times New Roman"/>
          <w:b/>
          <w:bCs/>
          <w:sz w:val="28"/>
          <w:szCs w:val="24"/>
        </w:rPr>
      </w:pPr>
      <w:r>
        <w:rPr>
          <w:rFonts w:ascii="Times New Roman" w:eastAsia="宋体" w:hAnsi="Times New Roman" w:cs="Times New Roman"/>
          <w:b/>
          <w:bCs/>
          <w:sz w:val="28"/>
          <w:szCs w:val="24"/>
        </w:rPr>
        <w:t xml:space="preserve">(4) </w:t>
      </w:r>
      <w:r>
        <w:rPr>
          <w:rFonts w:ascii="Times New Roman" w:eastAsia="宋体" w:hAnsi="Times New Roman" w:cs="Times New Roman"/>
          <w:b/>
          <w:bCs/>
          <w:sz w:val="28"/>
          <w:szCs w:val="24"/>
        </w:rPr>
        <w:t>预测结果表述</w:t>
      </w:r>
    </w:p>
    <w:p w14:paraId="657A7455"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事故状态下，下风向不同距离有毒有害物质最大浓度，以及预测浓度下不同毒性终点浓度的影响范围情况见表</w:t>
      </w:r>
      <w:r>
        <w:rPr>
          <w:rFonts w:ascii="Times New Roman" w:eastAsia="宋体" w:hAnsi="Times New Roman" w:cs="Times New Roman"/>
          <w:sz w:val="28"/>
          <w:szCs w:val="24"/>
        </w:rPr>
        <w:t>6.9-2</w:t>
      </w:r>
      <w:r>
        <w:rPr>
          <w:rFonts w:ascii="Times New Roman" w:eastAsia="宋体" w:hAnsi="Times New Roman" w:cs="Times New Roman"/>
          <w:sz w:val="28"/>
          <w:szCs w:val="24"/>
        </w:rPr>
        <w:t>和图</w:t>
      </w:r>
      <w:r>
        <w:rPr>
          <w:rFonts w:ascii="Times New Roman" w:eastAsia="宋体" w:hAnsi="Times New Roman" w:cs="Times New Roman"/>
          <w:sz w:val="28"/>
          <w:szCs w:val="24"/>
        </w:rPr>
        <w:t>6.9-1~4</w:t>
      </w:r>
      <w:r>
        <w:rPr>
          <w:rFonts w:ascii="Times New Roman" w:eastAsia="宋体" w:hAnsi="Times New Roman" w:cs="Times New Roman"/>
          <w:sz w:val="28"/>
          <w:szCs w:val="24"/>
        </w:rPr>
        <w:t>。关心点有毒有害物质浓度随时间变化情况见表</w:t>
      </w:r>
      <w:r>
        <w:rPr>
          <w:rFonts w:ascii="Times New Roman" w:eastAsia="宋体" w:hAnsi="Times New Roman" w:cs="Times New Roman"/>
          <w:sz w:val="28"/>
          <w:szCs w:val="24"/>
        </w:rPr>
        <w:t>6.9-3</w:t>
      </w:r>
      <w:r>
        <w:rPr>
          <w:rFonts w:ascii="Times New Roman" w:eastAsia="宋体" w:hAnsi="Times New Roman" w:cs="Times New Roman"/>
          <w:sz w:val="28"/>
          <w:szCs w:val="24"/>
        </w:rPr>
        <w:t>。</w:t>
      </w:r>
    </w:p>
    <w:p w14:paraId="25CDD851"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6.9-2 </w:t>
      </w:r>
      <w:r>
        <w:rPr>
          <w:rFonts w:ascii="Times New Roman" w:eastAsia="宋体" w:hAnsi="Times New Roman" w:cs="Times New Roman"/>
          <w:b/>
          <w:sz w:val="24"/>
          <w:szCs w:val="24"/>
        </w:rPr>
        <w:t>事故状态下下风向有毒有害物质影响情况表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2"/>
        <w:gridCol w:w="1173"/>
        <w:gridCol w:w="1173"/>
        <w:gridCol w:w="1275"/>
        <w:gridCol w:w="1574"/>
        <w:gridCol w:w="2068"/>
        <w:gridCol w:w="1419"/>
      </w:tblGrid>
      <w:tr w:rsidR="002133E3" w14:paraId="7674AF95" w14:textId="77777777">
        <w:trPr>
          <w:trHeight w:val="540"/>
        </w:trPr>
        <w:tc>
          <w:tcPr>
            <w:tcW w:w="1172" w:type="dxa"/>
            <w:shd w:val="clear" w:color="auto" w:fill="auto"/>
            <w:vAlign w:val="center"/>
          </w:tcPr>
          <w:p w14:paraId="64F0636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事故情景</w:t>
            </w:r>
          </w:p>
        </w:tc>
        <w:tc>
          <w:tcPr>
            <w:tcW w:w="1173" w:type="dxa"/>
            <w:shd w:val="clear" w:color="auto" w:fill="auto"/>
            <w:vAlign w:val="center"/>
          </w:tcPr>
          <w:p w14:paraId="7523622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污染因子</w:t>
            </w:r>
          </w:p>
        </w:tc>
        <w:tc>
          <w:tcPr>
            <w:tcW w:w="1173" w:type="dxa"/>
            <w:shd w:val="clear" w:color="auto" w:fill="auto"/>
            <w:vAlign w:val="center"/>
          </w:tcPr>
          <w:p w14:paraId="6979614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1275" w:type="dxa"/>
            <w:shd w:val="clear" w:color="auto" w:fill="auto"/>
            <w:vAlign w:val="center"/>
          </w:tcPr>
          <w:p w14:paraId="709615B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一般计算点（</w:t>
            </w:r>
            <w:r>
              <w:rPr>
                <w:rFonts w:ascii="Times New Roman" w:eastAsia="宋体" w:hAnsi="Times New Roman" w:cs="Times New Roman"/>
                <w:b/>
                <w:bCs/>
                <w:color w:val="000000"/>
                <w:kern w:val="0"/>
                <w:szCs w:val="21"/>
              </w:rPr>
              <w:t>m</w:t>
            </w:r>
            <w:r>
              <w:rPr>
                <w:rFonts w:ascii="Times New Roman" w:eastAsia="宋体" w:hAnsi="Times New Roman" w:cs="Times New Roman"/>
                <w:b/>
                <w:bCs/>
                <w:color w:val="000000"/>
                <w:kern w:val="0"/>
                <w:szCs w:val="21"/>
              </w:rPr>
              <w:t>）</w:t>
            </w:r>
          </w:p>
        </w:tc>
        <w:tc>
          <w:tcPr>
            <w:tcW w:w="1574" w:type="dxa"/>
            <w:shd w:val="clear" w:color="auto" w:fill="auto"/>
            <w:vAlign w:val="center"/>
          </w:tcPr>
          <w:p w14:paraId="48CD0D4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出现时间（</w:t>
            </w:r>
            <w:r>
              <w:rPr>
                <w:rFonts w:ascii="Times New Roman" w:eastAsia="宋体" w:hAnsi="Times New Roman" w:cs="Times New Roman"/>
                <w:b/>
                <w:bCs/>
                <w:color w:val="000000"/>
                <w:kern w:val="0"/>
                <w:szCs w:val="21"/>
              </w:rPr>
              <w:t>min)</w:t>
            </w:r>
          </w:p>
        </w:tc>
        <w:tc>
          <w:tcPr>
            <w:tcW w:w="2068" w:type="dxa"/>
            <w:shd w:val="clear" w:color="auto" w:fill="auto"/>
            <w:vAlign w:val="center"/>
          </w:tcPr>
          <w:p w14:paraId="7D82AB4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最大浓度</w:t>
            </w:r>
            <w:r>
              <w:rPr>
                <w:rFonts w:ascii="Times New Roman" w:eastAsia="宋体" w:hAnsi="Times New Roman" w:cs="Times New Roman"/>
                <w:b/>
                <w:bCs/>
                <w:color w:val="000000"/>
                <w:kern w:val="0"/>
                <w:szCs w:val="21"/>
              </w:rPr>
              <w:t>(mg/m</w:t>
            </w:r>
            <w:r>
              <w:rPr>
                <w:rFonts w:ascii="Times New Roman" w:eastAsia="宋体" w:hAnsi="Times New Roman" w:cs="Times New Roman"/>
                <w:b/>
                <w:bCs/>
                <w:color w:val="000000"/>
                <w:kern w:val="0"/>
                <w:szCs w:val="21"/>
                <w:vertAlign w:val="superscript"/>
              </w:rPr>
              <w:t>3</w:t>
            </w:r>
            <w:r>
              <w:rPr>
                <w:rFonts w:ascii="Times New Roman" w:eastAsia="宋体" w:hAnsi="Times New Roman" w:cs="Times New Roman"/>
                <w:b/>
                <w:bCs/>
                <w:color w:val="000000"/>
                <w:kern w:val="0"/>
                <w:szCs w:val="21"/>
              </w:rPr>
              <w:t>)</w:t>
            </w:r>
          </w:p>
        </w:tc>
        <w:tc>
          <w:tcPr>
            <w:tcW w:w="1419" w:type="dxa"/>
            <w:shd w:val="clear" w:color="auto" w:fill="auto"/>
            <w:vAlign w:val="center"/>
          </w:tcPr>
          <w:p w14:paraId="18F1271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终点浓度范围</w:t>
            </w:r>
          </w:p>
        </w:tc>
      </w:tr>
      <w:tr w:rsidR="002133E3" w14:paraId="4758300A" w14:textId="77777777">
        <w:trPr>
          <w:trHeight w:val="300"/>
        </w:trPr>
        <w:tc>
          <w:tcPr>
            <w:tcW w:w="1172" w:type="dxa"/>
            <w:vMerge w:val="restart"/>
            <w:shd w:val="clear" w:color="auto" w:fill="auto"/>
            <w:vAlign w:val="center"/>
          </w:tcPr>
          <w:p w14:paraId="7580E35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最不利条件下硫酸装卸过程中发生泄漏</w:t>
            </w:r>
          </w:p>
        </w:tc>
        <w:tc>
          <w:tcPr>
            <w:tcW w:w="1173" w:type="dxa"/>
            <w:vMerge w:val="restart"/>
            <w:shd w:val="clear" w:color="auto" w:fill="auto"/>
            <w:vAlign w:val="center"/>
          </w:tcPr>
          <w:p w14:paraId="6C9F20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硫酸</w:t>
            </w:r>
          </w:p>
        </w:tc>
        <w:tc>
          <w:tcPr>
            <w:tcW w:w="1173" w:type="dxa"/>
            <w:shd w:val="clear" w:color="auto" w:fill="auto"/>
            <w:vAlign w:val="center"/>
          </w:tcPr>
          <w:p w14:paraId="2FB0C33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275" w:type="dxa"/>
            <w:shd w:val="clear" w:color="auto" w:fill="auto"/>
            <w:noWrap/>
            <w:vAlign w:val="center"/>
          </w:tcPr>
          <w:p w14:paraId="2B3E413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1574" w:type="dxa"/>
            <w:shd w:val="clear" w:color="auto" w:fill="auto"/>
            <w:noWrap/>
            <w:vAlign w:val="center"/>
          </w:tcPr>
          <w:p w14:paraId="0E59B1B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0.083333</w:t>
            </w:r>
          </w:p>
        </w:tc>
        <w:tc>
          <w:tcPr>
            <w:tcW w:w="2068" w:type="dxa"/>
            <w:shd w:val="clear" w:color="auto" w:fill="auto"/>
            <w:noWrap/>
            <w:vAlign w:val="center"/>
          </w:tcPr>
          <w:p w14:paraId="220319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1.62E-15</w:t>
            </w:r>
          </w:p>
        </w:tc>
        <w:tc>
          <w:tcPr>
            <w:tcW w:w="1419" w:type="dxa"/>
            <w:vMerge w:val="restart"/>
            <w:shd w:val="clear" w:color="auto" w:fill="auto"/>
            <w:vAlign w:val="center"/>
          </w:tcPr>
          <w:p w14:paraId="6BF594B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未达到硫酸大气毒性终点浓度</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2</w:t>
            </w:r>
            <w:r>
              <w:rPr>
                <w:rFonts w:ascii="Times New Roman" w:eastAsia="宋体" w:hAnsi="Times New Roman" w:cs="Times New Roman"/>
                <w:color w:val="000000"/>
                <w:kern w:val="0"/>
                <w:szCs w:val="21"/>
              </w:rPr>
              <w:t>限值。</w:t>
            </w:r>
          </w:p>
        </w:tc>
      </w:tr>
      <w:tr w:rsidR="002133E3" w14:paraId="212EBDED" w14:textId="77777777">
        <w:trPr>
          <w:trHeight w:val="300"/>
        </w:trPr>
        <w:tc>
          <w:tcPr>
            <w:tcW w:w="1172" w:type="dxa"/>
            <w:vMerge/>
            <w:vAlign w:val="center"/>
          </w:tcPr>
          <w:p w14:paraId="1D37C295"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F308486"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035903F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1275" w:type="dxa"/>
            <w:shd w:val="clear" w:color="auto" w:fill="auto"/>
            <w:noWrap/>
            <w:vAlign w:val="center"/>
          </w:tcPr>
          <w:p w14:paraId="08F8E06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60</w:t>
            </w:r>
          </w:p>
        </w:tc>
        <w:tc>
          <w:tcPr>
            <w:tcW w:w="1574" w:type="dxa"/>
            <w:shd w:val="clear" w:color="auto" w:fill="auto"/>
            <w:noWrap/>
            <w:vAlign w:val="center"/>
          </w:tcPr>
          <w:p w14:paraId="4EC4F36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w:t>
            </w:r>
          </w:p>
        </w:tc>
        <w:tc>
          <w:tcPr>
            <w:tcW w:w="2068" w:type="dxa"/>
            <w:shd w:val="clear" w:color="auto" w:fill="auto"/>
            <w:noWrap/>
            <w:vAlign w:val="center"/>
          </w:tcPr>
          <w:p w14:paraId="74BAB48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0.00055239</w:t>
            </w:r>
          </w:p>
        </w:tc>
        <w:tc>
          <w:tcPr>
            <w:tcW w:w="1419" w:type="dxa"/>
            <w:vMerge/>
            <w:vAlign w:val="center"/>
          </w:tcPr>
          <w:p w14:paraId="39AC470E" w14:textId="77777777" w:rsidR="002133E3" w:rsidRDefault="002133E3">
            <w:pPr>
              <w:widowControl/>
              <w:jc w:val="center"/>
              <w:rPr>
                <w:rFonts w:ascii="Times New Roman" w:eastAsia="宋体" w:hAnsi="Times New Roman" w:cs="Times New Roman"/>
                <w:color w:val="000000"/>
                <w:kern w:val="0"/>
                <w:szCs w:val="21"/>
              </w:rPr>
            </w:pPr>
          </w:p>
        </w:tc>
      </w:tr>
      <w:tr w:rsidR="002133E3" w14:paraId="53A20268" w14:textId="77777777">
        <w:trPr>
          <w:trHeight w:val="300"/>
        </w:trPr>
        <w:tc>
          <w:tcPr>
            <w:tcW w:w="1172" w:type="dxa"/>
            <w:vMerge/>
            <w:vAlign w:val="center"/>
          </w:tcPr>
          <w:p w14:paraId="1938FEC6"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3A92A4F5"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6CF193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1275" w:type="dxa"/>
            <w:shd w:val="clear" w:color="auto" w:fill="auto"/>
            <w:noWrap/>
            <w:vAlign w:val="center"/>
          </w:tcPr>
          <w:p w14:paraId="7207B82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110</w:t>
            </w:r>
          </w:p>
        </w:tc>
        <w:tc>
          <w:tcPr>
            <w:tcW w:w="1574" w:type="dxa"/>
            <w:shd w:val="clear" w:color="auto" w:fill="auto"/>
            <w:noWrap/>
            <w:vAlign w:val="center"/>
          </w:tcPr>
          <w:p w14:paraId="2D31D5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0.91667</w:t>
            </w:r>
          </w:p>
        </w:tc>
        <w:tc>
          <w:tcPr>
            <w:tcW w:w="2068" w:type="dxa"/>
            <w:shd w:val="clear" w:color="auto" w:fill="auto"/>
            <w:noWrap/>
            <w:vAlign w:val="center"/>
          </w:tcPr>
          <w:p w14:paraId="6BD5248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0.00065601</w:t>
            </w:r>
          </w:p>
        </w:tc>
        <w:tc>
          <w:tcPr>
            <w:tcW w:w="1419" w:type="dxa"/>
            <w:vMerge/>
            <w:vAlign w:val="center"/>
          </w:tcPr>
          <w:p w14:paraId="6AE7A496" w14:textId="77777777" w:rsidR="002133E3" w:rsidRDefault="002133E3">
            <w:pPr>
              <w:widowControl/>
              <w:jc w:val="center"/>
              <w:rPr>
                <w:rFonts w:ascii="Times New Roman" w:eastAsia="宋体" w:hAnsi="Times New Roman" w:cs="Times New Roman"/>
                <w:color w:val="000000"/>
                <w:kern w:val="0"/>
                <w:szCs w:val="21"/>
              </w:rPr>
            </w:pPr>
          </w:p>
        </w:tc>
      </w:tr>
      <w:tr w:rsidR="002133E3" w14:paraId="236B7FD2" w14:textId="77777777">
        <w:trPr>
          <w:trHeight w:val="300"/>
        </w:trPr>
        <w:tc>
          <w:tcPr>
            <w:tcW w:w="1172" w:type="dxa"/>
            <w:vMerge/>
            <w:vAlign w:val="center"/>
          </w:tcPr>
          <w:p w14:paraId="094329A0"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0A08A6E"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59EB9DB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1275" w:type="dxa"/>
            <w:shd w:val="clear" w:color="auto" w:fill="auto"/>
            <w:noWrap/>
            <w:vAlign w:val="center"/>
          </w:tcPr>
          <w:p w14:paraId="3F0E43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210</w:t>
            </w:r>
          </w:p>
        </w:tc>
        <w:tc>
          <w:tcPr>
            <w:tcW w:w="1574" w:type="dxa"/>
            <w:shd w:val="clear" w:color="auto" w:fill="auto"/>
            <w:noWrap/>
            <w:vAlign w:val="center"/>
          </w:tcPr>
          <w:p w14:paraId="214B22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1.75</w:t>
            </w:r>
          </w:p>
        </w:tc>
        <w:tc>
          <w:tcPr>
            <w:tcW w:w="2068" w:type="dxa"/>
            <w:shd w:val="clear" w:color="auto" w:fill="auto"/>
            <w:noWrap/>
            <w:vAlign w:val="center"/>
          </w:tcPr>
          <w:p w14:paraId="5A72AB1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0.0004427</w:t>
            </w:r>
          </w:p>
        </w:tc>
        <w:tc>
          <w:tcPr>
            <w:tcW w:w="1419" w:type="dxa"/>
            <w:vMerge/>
            <w:vAlign w:val="center"/>
          </w:tcPr>
          <w:p w14:paraId="7C1A98F9" w14:textId="77777777" w:rsidR="002133E3" w:rsidRDefault="002133E3">
            <w:pPr>
              <w:widowControl/>
              <w:jc w:val="center"/>
              <w:rPr>
                <w:rFonts w:ascii="Times New Roman" w:eastAsia="宋体" w:hAnsi="Times New Roman" w:cs="Times New Roman"/>
                <w:color w:val="000000"/>
                <w:kern w:val="0"/>
                <w:szCs w:val="21"/>
              </w:rPr>
            </w:pPr>
          </w:p>
        </w:tc>
      </w:tr>
      <w:tr w:rsidR="002133E3" w14:paraId="3142720A" w14:textId="77777777">
        <w:trPr>
          <w:trHeight w:val="300"/>
        </w:trPr>
        <w:tc>
          <w:tcPr>
            <w:tcW w:w="1172" w:type="dxa"/>
            <w:vMerge/>
            <w:vAlign w:val="center"/>
          </w:tcPr>
          <w:p w14:paraId="6E135C66"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7CCAF56"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026F60D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1275" w:type="dxa"/>
            <w:shd w:val="clear" w:color="auto" w:fill="auto"/>
            <w:noWrap/>
            <w:vAlign w:val="center"/>
          </w:tcPr>
          <w:p w14:paraId="05E3EA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310</w:t>
            </w:r>
          </w:p>
        </w:tc>
        <w:tc>
          <w:tcPr>
            <w:tcW w:w="1574" w:type="dxa"/>
            <w:shd w:val="clear" w:color="auto" w:fill="auto"/>
            <w:noWrap/>
            <w:vAlign w:val="center"/>
          </w:tcPr>
          <w:p w14:paraId="13A475B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2.5833</w:t>
            </w:r>
          </w:p>
        </w:tc>
        <w:tc>
          <w:tcPr>
            <w:tcW w:w="2068" w:type="dxa"/>
            <w:shd w:val="clear" w:color="auto" w:fill="auto"/>
            <w:noWrap/>
            <w:vAlign w:val="center"/>
          </w:tcPr>
          <w:p w14:paraId="2745E25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0.00030194</w:t>
            </w:r>
          </w:p>
        </w:tc>
        <w:tc>
          <w:tcPr>
            <w:tcW w:w="1419" w:type="dxa"/>
            <w:vMerge/>
            <w:vAlign w:val="center"/>
          </w:tcPr>
          <w:p w14:paraId="3F080206" w14:textId="77777777" w:rsidR="002133E3" w:rsidRDefault="002133E3">
            <w:pPr>
              <w:widowControl/>
              <w:jc w:val="center"/>
              <w:rPr>
                <w:rFonts w:ascii="Times New Roman" w:eastAsia="宋体" w:hAnsi="Times New Roman" w:cs="Times New Roman"/>
                <w:color w:val="000000"/>
                <w:kern w:val="0"/>
                <w:szCs w:val="21"/>
              </w:rPr>
            </w:pPr>
          </w:p>
        </w:tc>
      </w:tr>
      <w:tr w:rsidR="002133E3" w14:paraId="496CF690" w14:textId="77777777">
        <w:trPr>
          <w:trHeight w:val="300"/>
        </w:trPr>
        <w:tc>
          <w:tcPr>
            <w:tcW w:w="1172" w:type="dxa"/>
            <w:vMerge/>
            <w:vAlign w:val="center"/>
          </w:tcPr>
          <w:p w14:paraId="5D1DC14C"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598D6E61"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1D05D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p>
        </w:tc>
        <w:tc>
          <w:tcPr>
            <w:tcW w:w="1275" w:type="dxa"/>
            <w:shd w:val="clear" w:color="auto" w:fill="auto"/>
            <w:noWrap/>
            <w:vAlign w:val="center"/>
          </w:tcPr>
          <w:p w14:paraId="518E7F1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410</w:t>
            </w:r>
          </w:p>
        </w:tc>
        <w:tc>
          <w:tcPr>
            <w:tcW w:w="1574" w:type="dxa"/>
            <w:shd w:val="clear" w:color="auto" w:fill="auto"/>
            <w:noWrap/>
            <w:vAlign w:val="center"/>
          </w:tcPr>
          <w:p w14:paraId="62AE2D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3.4167</w:t>
            </w:r>
          </w:p>
        </w:tc>
        <w:tc>
          <w:tcPr>
            <w:tcW w:w="2068" w:type="dxa"/>
            <w:shd w:val="clear" w:color="auto" w:fill="auto"/>
            <w:noWrap/>
            <w:vAlign w:val="center"/>
          </w:tcPr>
          <w:p w14:paraId="4F1F33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0.0002153</w:t>
            </w:r>
          </w:p>
        </w:tc>
        <w:tc>
          <w:tcPr>
            <w:tcW w:w="1419" w:type="dxa"/>
            <w:vMerge/>
            <w:vAlign w:val="center"/>
          </w:tcPr>
          <w:p w14:paraId="7B10AA94" w14:textId="77777777" w:rsidR="002133E3" w:rsidRDefault="002133E3">
            <w:pPr>
              <w:widowControl/>
              <w:jc w:val="center"/>
              <w:rPr>
                <w:rFonts w:ascii="Times New Roman" w:eastAsia="宋体" w:hAnsi="Times New Roman" w:cs="Times New Roman"/>
                <w:color w:val="000000"/>
                <w:kern w:val="0"/>
                <w:szCs w:val="21"/>
              </w:rPr>
            </w:pPr>
          </w:p>
        </w:tc>
      </w:tr>
      <w:tr w:rsidR="002133E3" w14:paraId="25508A3B" w14:textId="77777777">
        <w:trPr>
          <w:trHeight w:val="300"/>
        </w:trPr>
        <w:tc>
          <w:tcPr>
            <w:tcW w:w="1172" w:type="dxa"/>
            <w:vMerge/>
            <w:vAlign w:val="center"/>
          </w:tcPr>
          <w:p w14:paraId="743BC375"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33C654D8"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5AB1A75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w:t>
            </w:r>
          </w:p>
        </w:tc>
        <w:tc>
          <w:tcPr>
            <w:tcW w:w="1275" w:type="dxa"/>
            <w:shd w:val="clear" w:color="auto" w:fill="auto"/>
            <w:noWrap/>
            <w:vAlign w:val="center"/>
          </w:tcPr>
          <w:p w14:paraId="6C6D189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510</w:t>
            </w:r>
          </w:p>
        </w:tc>
        <w:tc>
          <w:tcPr>
            <w:tcW w:w="1574" w:type="dxa"/>
            <w:shd w:val="clear" w:color="auto" w:fill="auto"/>
            <w:noWrap/>
            <w:vAlign w:val="center"/>
          </w:tcPr>
          <w:p w14:paraId="3054E88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4.25</w:t>
            </w:r>
          </w:p>
        </w:tc>
        <w:tc>
          <w:tcPr>
            <w:tcW w:w="2068" w:type="dxa"/>
            <w:shd w:val="clear" w:color="auto" w:fill="auto"/>
            <w:noWrap/>
            <w:vAlign w:val="center"/>
          </w:tcPr>
          <w:p w14:paraId="4468E87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0.00016056</w:t>
            </w:r>
          </w:p>
        </w:tc>
        <w:tc>
          <w:tcPr>
            <w:tcW w:w="1419" w:type="dxa"/>
            <w:vMerge/>
            <w:vAlign w:val="center"/>
          </w:tcPr>
          <w:p w14:paraId="07AA24C0" w14:textId="77777777" w:rsidR="002133E3" w:rsidRDefault="002133E3">
            <w:pPr>
              <w:widowControl/>
              <w:jc w:val="center"/>
              <w:rPr>
                <w:rFonts w:ascii="Times New Roman" w:eastAsia="宋体" w:hAnsi="Times New Roman" w:cs="Times New Roman"/>
                <w:color w:val="000000"/>
                <w:kern w:val="0"/>
                <w:szCs w:val="21"/>
              </w:rPr>
            </w:pPr>
          </w:p>
        </w:tc>
      </w:tr>
      <w:tr w:rsidR="002133E3" w14:paraId="2D857DDC" w14:textId="77777777">
        <w:trPr>
          <w:trHeight w:val="300"/>
        </w:trPr>
        <w:tc>
          <w:tcPr>
            <w:tcW w:w="1172" w:type="dxa"/>
            <w:vMerge/>
            <w:vAlign w:val="center"/>
          </w:tcPr>
          <w:p w14:paraId="1DD3C0EB"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5F9CB5C9"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9F6C5A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w:t>
            </w:r>
          </w:p>
        </w:tc>
        <w:tc>
          <w:tcPr>
            <w:tcW w:w="1275" w:type="dxa"/>
            <w:shd w:val="clear" w:color="auto" w:fill="auto"/>
            <w:noWrap/>
            <w:vAlign w:val="center"/>
          </w:tcPr>
          <w:p w14:paraId="2B084A4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610</w:t>
            </w:r>
          </w:p>
        </w:tc>
        <w:tc>
          <w:tcPr>
            <w:tcW w:w="1574" w:type="dxa"/>
            <w:shd w:val="clear" w:color="auto" w:fill="auto"/>
            <w:noWrap/>
            <w:vAlign w:val="center"/>
          </w:tcPr>
          <w:p w14:paraId="7816D77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5.0833</w:t>
            </w:r>
          </w:p>
        </w:tc>
        <w:tc>
          <w:tcPr>
            <w:tcW w:w="2068" w:type="dxa"/>
            <w:shd w:val="clear" w:color="auto" w:fill="auto"/>
            <w:noWrap/>
            <w:vAlign w:val="center"/>
          </w:tcPr>
          <w:p w14:paraId="1F53ECB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0.00012433</w:t>
            </w:r>
          </w:p>
        </w:tc>
        <w:tc>
          <w:tcPr>
            <w:tcW w:w="1419" w:type="dxa"/>
            <w:vMerge/>
            <w:vAlign w:val="center"/>
          </w:tcPr>
          <w:p w14:paraId="71ADA450" w14:textId="77777777" w:rsidR="002133E3" w:rsidRDefault="002133E3">
            <w:pPr>
              <w:widowControl/>
              <w:jc w:val="center"/>
              <w:rPr>
                <w:rFonts w:ascii="Times New Roman" w:eastAsia="宋体" w:hAnsi="Times New Roman" w:cs="Times New Roman"/>
                <w:color w:val="000000"/>
                <w:kern w:val="0"/>
                <w:szCs w:val="21"/>
              </w:rPr>
            </w:pPr>
          </w:p>
        </w:tc>
      </w:tr>
      <w:tr w:rsidR="002133E3" w14:paraId="5756F241" w14:textId="77777777">
        <w:trPr>
          <w:trHeight w:val="300"/>
        </w:trPr>
        <w:tc>
          <w:tcPr>
            <w:tcW w:w="1172" w:type="dxa"/>
            <w:vMerge/>
            <w:vAlign w:val="center"/>
          </w:tcPr>
          <w:p w14:paraId="753A30DE"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5471AD95"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81D0D9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w:t>
            </w:r>
          </w:p>
        </w:tc>
        <w:tc>
          <w:tcPr>
            <w:tcW w:w="1275" w:type="dxa"/>
            <w:shd w:val="clear" w:color="auto" w:fill="auto"/>
            <w:noWrap/>
            <w:vAlign w:val="center"/>
          </w:tcPr>
          <w:p w14:paraId="7D9E1E6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710</w:t>
            </w:r>
          </w:p>
        </w:tc>
        <w:tc>
          <w:tcPr>
            <w:tcW w:w="1574" w:type="dxa"/>
            <w:shd w:val="clear" w:color="auto" w:fill="auto"/>
            <w:noWrap/>
            <w:vAlign w:val="center"/>
          </w:tcPr>
          <w:p w14:paraId="360083F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5.9167</w:t>
            </w:r>
          </w:p>
        </w:tc>
        <w:tc>
          <w:tcPr>
            <w:tcW w:w="2068" w:type="dxa"/>
            <w:shd w:val="clear" w:color="auto" w:fill="auto"/>
            <w:noWrap/>
            <w:vAlign w:val="center"/>
          </w:tcPr>
          <w:p w14:paraId="4CD3B05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0.000099259</w:t>
            </w:r>
          </w:p>
        </w:tc>
        <w:tc>
          <w:tcPr>
            <w:tcW w:w="1419" w:type="dxa"/>
            <w:vMerge/>
            <w:vAlign w:val="center"/>
          </w:tcPr>
          <w:p w14:paraId="7021AF82" w14:textId="77777777" w:rsidR="002133E3" w:rsidRDefault="002133E3">
            <w:pPr>
              <w:widowControl/>
              <w:jc w:val="center"/>
              <w:rPr>
                <w:rFonts w:ascii="Times New Roman" w:eastAsia="宋体" w:hAnsi="Times New Roman" w:cs="Times New Roman"/>
                <w:color w:val="000000"/>
                <w:kern w:val="0"/>
                <w:szCs w:val="21"/>
              </w:rPr>
            </w:pPr>
          </w:p>
        </w:tc>
      </w:tr>
      <w:tr w:rsidR="002133E3" w14:paraId="28D3D08C" w14:textId="77777777">
        <w:trPr>
          <w:trHeight w:val="300"/>
        </w:trPr>
        <w:tc>
          <w:tcPr>
            <w:tcW w:w="1172" w:type="dxa"/>
            <w:vMerge/>
            <w:vAlign w:val="center"/>
          </w:tcPr>
          <w:p w14:paraId="3D989456"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217F7039"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3101116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1275" w:type="dxa"/>
            <w:shd w:val="clear" w:color="auto" w:fill="auto"/>
            <w:noWrap/>
            <w:vAlign w:val="center"/>
          </w:tcPr>
          <w:p w14:paraId="110555F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810</w:t>
            </w:r>
          </w:p>
        </w:tc>
        <w:tc>
          <w:tcPr>
            <w:tcW w:w="1574" w:type="dxa"/>
            <w:shd w:val="clear" w:color="auto" w:fill="auto"/>
            <w:noWrap/>
            <w:vAlign w:val="center"/>
          </w:tcPr>
          <w:p w14:paraId="14BFAB6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6.75</w:t>
            </w:r>
          </w:p>
        </w:tc>
        <w:tc>
          <w:tcPr>
            <w:tcW w:w="2068" w:type="dxa"/>
            <w:shd w:val="clear" w:color="auto" w:fill="auto"/>
            <w:noWrap/>
            <w:vAlign w:val="center"/>
          </w:tcPr>
          <w:p w14:paraId="181ED9D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0.000081219</w:t>
            </w:r>
          </w:p>
        </w:tc>
        <w:tc>
          <w:tcPr>
            <w:tcW w:w="1419" w:type="dxa"/>
            <w:vMerge/>
            <w:vAlign w:val="center"/>
          </w:tcPr>
          <w:p w14:paraId="7297137E" w14:textId="77777777" w:rsidR="002133E3" w:rsidRDefault="002133E3">
            <w:pPr>
              <w:widowControl/>
              <w:jc w:val="center"/>
              <w:rPr>
                <w:rFonts w:ascii="Times New Roman" w:eastAsia="宋体" w:hAnsi="Times New Roman" w:cs="Times New Roman"/>
                <w:color w:val="000000"/>
                <w:kern w:val="0"/>
                <w:szCs w:val="21"/>
              </w:rPr>
            </w:pPr>
          </w:p>
        </w:tc>
      </w:tr>
      <w:tr w:rsidR="002133E3" w14:paraId="0E5FC34F" w14:textId="77777777">
        <w:trPr>
          <w:trHeight w:val="300"/>
        </w:trPr>
        <w:tc>
          <w:tcPr>
            <w:tcW w:w="1172" w:type="dxa"/>
            <w:vMerge/>
            <w:vAlign w:val="center"/>
          </w:tcPr>
          <w:p w14:paraId="60F4436E"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15CBB21F"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427D1C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w:t>
            </w:r>
          </w:p>
        </w:tc>
        <w:tc>
          <w:tcPr>
            <w:tcW w:w="1275" w:type="dxa"/>
            <w:shd w:val="clear" w:color="auto" w:fill="auto"/>
            <w:noWrap/>
            <w:vAlign w:val="center"/>
          </w:tcPr>
          <w:p w14:paraId="54CCF11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910</w:t>
            </w:r>
          </w:p>
        </w:tc>
        <w:tc>
          <w:tcPr>
            <w:tcW w:w="1574" w:type="dxa"/>
            <w:shd w:val="clear" w:color="auto" w:fill="auto"/>
            <w:noWrap/>
            <w:vAlign w:val="center"/>
          </w:tcPr>
          <w:p w14:paraId="5549020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7.5833</w:t>
            </w:r>
          </w:p>
        </w:tc>
        <w:tc>
          <w:tcPr>
            <w:tcW w:w="2068" w:type="dxa"/>
            <w:shd w:val="clear" w:color="auto" w:fill="auto"/>
            <w:noWrap/>
            <w:vAlign w:val="center"/>
          </w:tcPr>
          <w:p w14:paraId="6CDE984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0.000067807</w:t>
            </w:r>
          </w:p>
        </w:tc>
        <w:tc>
          <w:tcPr>
            <w:tcW w:w="1419" w:type="dxa"/>
            <w:vMerge/>
            <w:vAlign w:val="center"/>
          </w:tcPr>
          <w:p w14:paraId="32840926" w14:textId="77777777" w:rsidR="002133E3" w:rsidRDefault="002133E3">
            <w:pPr>
              <w:widowControl/>
              <w:jc w:val="center"/>
              <w:rPr>
                <w:rFonts w:ascii="Times New Roman" w:eastAsia="宋体" w:hAnsi="Times New Roman" w:cs="Times New Roman"/>
                <w:color w:val="000000"/>
                <w:kern w:val="0"/>
                <w:szCs w:val="21"/>
              </w:rPr>
            </w:pPr>
          </w:p>
        </w:tc>
      </w:tr>
      <w:tr w:rsidR="002133E3" w14:paraId="641D6C2E" w14:textId="77777777">
        <w:trPr>
          <w:trHeight w:val="300"/>
        </w:trPr>
        <w:tc>
          <w:tcPr>
            <w:tcW w:w="1172" w:type="dxa"/>
            <w:vMerge/>
            <w:vAlign w:val="center"/>
          </w:tcPr>
          <w:p w14:paraId="0AD472A3"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133E8EE4"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61FC72B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w:t>
            </w:r>
          </w:p>
        </w:tc>
        <w:tc>
          <w:tcPr>
            <w:tcW w:w="1275" w:type="dxa"/>
            <w:shd w:val="clear" w:color="auto" w:fill="auto"/>
            <w:noWrap/>
            <w:vAlign w:val="center"/>
          </w:tcPr>
          <w:p w14:paraId="2CCA48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1010</w:t>
            </w:r>
          </w:p>
        </w:tc>
        <w:tc>
          <w:tcPr>
            <w:tcW w:w="1574" w:type="dxa"/>
            <w:shd w:val="clear" w:color="auto" w:fill="auto"/>
            <w:noWrap/>
            <w:vAlign w:val="center"/>
          </w:tcPr>
          <w:p w14:paraId="6754C4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8.4167</w:t>
            </w:r>
          </w:p>
        </w:tc>
        <w:tc>
          <w:tcPr>
            <w:tcW w:w="2068" w:type="dxa"/>
            <w:shd w:val="clear" w:color="auto" w:fill="auto"/>
            <w:noWrap/>
            <w:vAlign w:val="center"/>
          </w:tcPr>
          <w:p w14:paraId="39FFDCD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0.000057559</w:t>
            </w:r>
          </w:p>
        </w:tc>
        <w:tc>
          <w:tcPr>
            <w:tcW w:w="1419" w:type="dxa"/>
            <w:vMerge/>
            <w:vAlign w:val="center"/>
          </w:tcPr>
          <w:p w14:paraId="27C8F9A1" w14:textId="77777777" w:rsidR="002133E3" w:rsidRDefault="002133E3">
            <w:pPr>
              <w:widowControl/>
              <w:jc w:val="center"/>
              <w:rPr>
                <w:rFonts w:ascii="Times New Roman" w:eastAsia="宋体" w:hAnsi="Times New Roman" w:cs="Times New Roman"/>
                <w:color w:val="000000"/>
                <w:kern w:val="0"/>
                <w:szCs w:val="21"/>
              </w:rPr>
            </w:pPr>
          </w:p>
        </w:tc>
      </w:tr>
      <w:tr w:rsidR="002133E3" w14:paraId="1EBF4506" w14:textId="77777777">
        <w:trPr>
          <w:trHeight w:val="300"/>
        </w:trPr>
        <w:tc>
          <w:tcPr>
            <w:tcW w:w="1172" w:type="dxa"/>
            <w:vMerge/>
            <w:vAlign w:val="center"/>
          </w:tcPr>
          <w:p w14:paraId="57CC009E"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8409A6B"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7170DF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13</w:t>
            </w:r>
          </w:p>
        </w:tc>
        <w:tc>
          <w:tcPr>
            <w:tcW w:w="1275" w:type="dxa"/>
            <w:shd w:val="clear" w:color="auto" w:fill="auto"/>
            <w:noWrap/>
            <w:vAlign w:val="center"/>
          </w:tcPr>
          <w:p w14:paraId="1243A8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1510</w:t>
            </w:r>
          </w:p>
        </w:tc>
        <w:tc>
          <w:tcPr>
            <w:tcW w:w="1574" w:type="dxa"/>
            <w:shd w:val="clear" w:color="auto" w:fill="auto"/>
            <w:noWrap/>
            <w:vAlign w:val="center"/>
          </w:tcPr>
          <w:p w14:paraId="48AEBBC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12.583</w:t>
            </w:r>
          </w:p>
        </w:tc>
        <w:tc>
          <w:tcPr>
            <w:tcW w:w="2068" w:type="dxa"/>
            <w:shd w:val="clear" w:color="auto" w:fill="auto"/>
            <w:noWrap/>
            <w:vAlign w:val="center"/>
          </w:tcPr>
          <w:p w14:paraId="726680D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0.00003073</w:t>
            </w:r>
          </w:p>
        </w:tc>
        <w:tc>
          <w:tcPr>
            <w:tcW w:w="1419" w:type="dxa"/>
            <w:vMerge/>
            <w:vAlign w:val="center"/>
          </w:tcPr>
          <w:p w14:paraId="6169466A" w14:textId="77777777" w:rsidR="002133E3" w:rsidRDefault="002133E3">
            <w:pPr>
              <w:widowControl/>
              <w:jc w:val="center"/>
              <w:rPr>
                <w:rFonts w:ascii="Times New Roman" w:eastAsia="宋体" w:hAnsi="Times New Roman" w:cs="Times New Roman"/>
                <w:color w:val="000000"/>
                <w:kern w:val="0"/>
                <w:szCs w:val="21"/>
              </w:rPr>
            </w:pPr>
          </w:p>
        </w:tc>
      </w:tr>
      <w:tr w:rsidR="002133E3" w14:paraId="746C5EA0" w14:textId="77777777">
        <w:trPr>
          <w:trHeight w:val="300"/>
        </w:trPr>
        <w:tc>
          <w:tcPr>
            <w:tcW w:w="1172" w:type="dxa"/>
            <w:vMerge/>
            <w:vAlign w:val="center"/>
          </w:tcPr>
          <w:p w14:paraId="2AC7BBF7"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B82C2D4"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72791F8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w:t>
            </w:r>
          </w:p>
        </w:tc>
        <w:tc>
          <w:tcPr>
            <w:tcW w:w="1275" w:type="dxa"/>
            <w:shd w:val="clear" w:color="auto" w:fill="auto"/>
            <w:noWrap/>
            <w:vAlign w:val="center"/>
          </w:tcPr>
          <w:p w14:paraId="2BBB2F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2010</w:t>
            </w:r>
          </w:p>
        </w:tc>
        <w:tc>
          <w:tcPr>
            <w:tcW w:w="1574" w:type="dxa"/>
            <w:shd w:val="clear" w:color="auto" w:fill="auto"/>
            <w:noWrap/>
            <w:vAlign w:val="center"/>
          </w:tcPr>
          <w:p w14:paraId="4722902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21.75</w:t>
            </w:r>
          </w:p>
        </w:tc>
        <w:tc>
          <w:tcPr>
            <w:tcW w:w="2068" w:type="dxa"/>
            <w:shd w:val="clear" w:color="auto" w:fill="auto"/>
            <w:noWrap/>
            <w:vAlign w:val="center"/>
          </w:tcPr>
          <w:p w14:paraId="140191C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0.000021326</w:t>
            </w:r>
          </w:p>
        </w:tc>
        <w:tc>
          <w:tcPr>
            <w:tcW w:w="1419" w:type="dxa"/>
            <w:vMerge/>
            <w:vAlign w:val="center"/>
          </w:tcPr>
          <w:p w14:paraId="1B43003A" w14:textId="77777777" w:rsidR="002133E3" w:rsidRDefault="002133E3">
            <w:pPr>
              <w:widowControl/>
              <w:jc w:val="center"/>
              <w:rPr>
                <w:rFonts w:ascii="Times New Roman" w:eastAsia="宋体" w:hAnsi="Times New Roman" w:cs="Times New Roman"/>
                <w:color w:val="000000"/>
                <w:kern w:val="0"/>
                <w:szCs w:val="21"/>
              </w:rPr>
            </w:pPr>
          </w:p>
        </w:tc>
      </w:tr>
      <w:tr w:rsidR="002133E3" w14:paraId="492910DF" w14:textId="77777777">
        <w:trPr>
          <w:trHeight w:val="300"/>
        </w:trPr>
        <w:tc>
          <w:tcPr>
            <w:tcW w:w="1172" w:type="dxa"/>
            <w:vMerge/>
            <w:vAlign w:val="center"/>
          </w:tcPr>
          <w:p w14:paraId="7C770ABF"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DE42D81"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35B2B24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1275" w:type="dxa"/>
            <w:shd w:val="clear" w:color="auto" w:fill="auto"/>
            <w:noWrap/>
            <w:vAlign w:val="center"/>
          </w:tcPr>
          <w:p w14:paraId="236D8C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2510</w:t>
            </w:r>
          </w:p>
        </w:tc>
        <w:tc>
          <w:tcPr>
            <w:tcW w:w="1574" w:type="dxa"/>
            <w:shd w:val="clear" w:color="auto" w:fill="auto"/>
            <w:noWrap/>
            <w:vAlign w:val="center"/>
          </w:tcPr>
          <w:p w14:paraId="3CBACEF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26.917</w:t>
            </w:r>
          </w:p>
        </w:tc>
        <w:tc>
          <w:tcPr>
            <w:tcW w:w="2068" w:type="dxa"/>
            <w:shd w:val="clear" w:color="auto" w:fill="auto"/>
            <w:noWrap/>
            <w:vAlign w:val="center"/>
          </w:tcPr>
          <w:p w14:paraId="65A2DF2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0.000016041</w:t>
            </w:r>
          </w:p>
        </w:tc>
        <w:tc>
          <w:tcPr>
            <w:tcW w:w="1419" w:type="dxa"/>
            <w:vMerge/>
            <w:vAlign w:val="center"/>
          </w:tcPr>
          <w:p w14:paraId="3458AE72" w14:textId="77777777" w:rsidR="002133E3" w:rsidRDefault="002133E3">
            <w:pPr>
              <w:widowControl/>
              <w:jc w:val="center"/>
              <w:rPr>
                <w:rFonts w:ascii="Times New Roman" w:eastAsia="宋体" w:hAnsi="Times New Roman" w:cs="Times New Roman"/>
                <w:color w:val="000000"/>
                <w:kern w:val="0"/>
                <w:szCs w:val="21"/>
              </w:rPr>
            </w:pPr>
          </w:p>
        </w:tc>
      </w:tr>
      <w:tr w:rsidR="002133E3" w14:paraId="183EE14C" w14:textId="77777777">
        <w:trPr>
          <w:trHeight w:val="300"/>
        </w:trPr>
        <w:tc>
          <w:tcPr>
            <w:tcW w:w="1172" w:type="dxa"/>
            <w:vMerge/>
            <w:vAlign w:val="center"/>
          </w:tcPr>
          <w:p w14:paraId="47792376"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D5247A7"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89386B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w:t>
            </w:r>
          </w:p>
        </w:tc>
        <w:tc>
          <w:tcPr>
            <w:tcW w:w="1275" w:type="dxa"/>
            <w:shd w:val="clear" w:color="auto" w:fill="auto"/>
            <w:noWrap/>
            <w:vAlign w:val="center"/>
          </w:tcPr>
          <w:p w14:paraId="3EA40B6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3010</w:t>
            </w:r>
          </w:p>
        </w:tc>
        <w:tc>
          <w:tcPr>
            <w:tcW w:w="1574" w:type="dxa"/>
            <w:shd w:val="clear" w:color="auto" w:fill="auto"/>
            <w:noWrap/>
            <w:vAlign w:val="center"/>
          </w:tcPr>
          <w:p w14:paraId="365617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32.083</w:t>
            </w:r>
          </w:p>
        </w:tc>
        <w:tc>
          <w:tcPr>
            <w:tcW w:w="2068" w:type="dxa"/>
            <w:shd w:val="clear" w:color="auto" w:fill="auto"/>
            <w:noWrap/>
            <w:vAlign w:val="center"/>
          </w:tcPr>
          <w:p w14:paraId="1FD5519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0.0000127</w:t>
            </w:r>
          </w:p>
        </w:tc>
        <w:tc>
          <w:tcPr>
            <w:tcW w:w="1419" w:type="dxa"/>
            <w:vMerge/>
            <w:vAlign w:val="center"/>
          </w:tcPr>
          <w:p w14:paraId="55A78FA7" w14:textId="77777777" w:rsidR="002133E3" w:rsidRDefault="002133E3">
            <w:pPr>
              <w:widowControl/>
              <w:jc w:val="center"/>
              <w:rPr>
                <w:rFonts w:ascii="Times New Roman" w:eastAsia="宋体" w:hAnsi="Times New Roman" w:cs="Times New Roman"/>
                <w:color w:val="000000"/>
                <w:kern w:val="0"/>
                <w:szCs w:val="21"/>
              </w:rPr>
            </w:pPr>
          </w:p>
        </w:tc>
      </w:tr>
      <w:tr w:rsidR="002133E3" w14:paraId="78FAA3FB" w14:textId="77777777">
        <w:trPr>
          <w:trHeight w:val="300"/>
        </w:trPr>
        <w:tc>
          <w:tcPr>
            <w:tcW w:w="1172" w:type="dxa"/>
            <w:vMerge/>
            <w:vAlign w:val="center"/>
          </w:tcPr>
          <w:p w14:paraId="3F55DC1A"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5BE9B3D3"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FA4927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w:t>
            </w:r>
          </w:p>
        </w:tc>
        <w:tc>
          <w:tcPr>
            <w:tcW w:w="1275" w:type="dxa"/>
            <w:shd w:val="clear" w:color="auto" w:fill="auto"/>
            <w:noWrap/>
            <w:vAlign w:val="center"/>
          </w:tcPr>
          <w:p w14:paraId="579315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3510</w:t>
            </w:r>
          </w:p>
        </w:tc>
        <w:tc>
          <w:tcPr>
            <w:tcW w:w="1574" w:type="dxa"/>
            <w:shd w:val="clear" w:color="auto" w:fill="auto"/>
            <w:noWrap/>
            <w:vAlign w:val="center"/>
          </w:tcPr>
          <w:p w14:paraId="40B5532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37.25</w:t>
            </w:r>
          </w:p>
        </w:tc>
        <w:tc>
          <w:tcPr>
            <w:tcW w:w="2068" w:type="dxa"/>
            <w:shd w:val="clear" w:color="auto" w:fill="auto"/>
            <w:noWrap/>
            <w:vAlign w:val="center"/>
          </w:tcPr>
          <w:p w14:paraId="07436C5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0.000010419</w:t>
            </w:r>
          </w:p>
        </w:tc>
        <w:tc>
          <w:tcPr>
            <w:tcW w:w="1419" w:type="dxa"/>
            <w:vMerge/>
            <w:vAlign w:val="center"/>
          </w:tcPr>
          <w:p w14:paraId="40A0EEEC" w14:textId="77777777" w:rsidR="002133E3" w:rsidRDefault="002133E3">
            <w:pPr>
              <w:widowControl/>
              <w:jc w:val="center"/>
              <w:rPr>
                <w:rFonts w:ascii="Times New Roman" w:eastAsia="宋体" w:hAnsi="Times New Roman" w:cs="Times New Roman"/>
                <w:color w:val="000000"/>
                <w:kern w:val="0"/>
                <w:szCs w:val="21"/>
              </w:rPr>
            </w:pPr>
          </w:p>
        </w:tc>
      </w:tr>
      <w:tr w:rsidR="002133E3" w14:paraId="72F79035" w14:textId="77777777">
        <w:trPr>
          <w:trHeight w:val="300"/>
        </w:trPr>
        <w:tc>
          <w:tcPr>
            <w:tcW w:w="1172" w:type="dxa"/>
            <w:vMerge/>
            <w:vAlign w:val="center"/>
          </w:tcPr>
          <w:p w14:paraId="4271C2A1"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21446A70"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58B41D4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18</w:t>
            </w:r>
          </w:p>
        </w:tc>
        <w:tc>
          <w:tcPr>
            <w:tcW w:w="1275" w:type="dxa"/>
            <w:shd w:val="clear" w:color="auto" w:fill="auto"/>
            <w:noWrap/>
            <w:vAlign w:val="center"/>
          </w:tcPr>
          <w:p w14:paraId="10D34D4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4010</w:t>
            </w:r>
          </w:p>
        </w:tc>
        <w:tc>
          <w:tcPr>
            <w:tcW w:w="1574" w:type="dxa"/>
            <w:shd w:val="clear" w:color="auto" w:fill="auto"/>
            <w:noWrap/>
            <w:vAlign w:val="center"/>
          </w:tcPr>
          <w:p w14:paraId="1547C6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40.417</w:t>
            </w:r>
          </w:p>
        </w:tc>
        <w:tc>
          <w:tcPr>
            <w:tcW w:w="2068" w:type="dxa"/>
            <w:shd w:val="clear" w:color="auto" w:fill="auto"/>
            <w:noWrap/>
            <w:vAlign w:val="center"/>
          </w:tcPr>
          <w:p w14:paraId="7D96069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8.77E-06</w:t>
            </w:r>
          </w:p>
        </w:tc>
        <w:tc>
          <w:tcPr>
            <w:tcW w:w="1419" w:type="dxa"/>
            <w:vMerge/>
            <w:vAlign w:val="center"/>
          </w:tcPr>
          <w:p w14:paraId="7F86D71E" w14:textId="77777777" w:rsidR="002133E3" w:rsidRDefault="002133E3">
            <w:pPr>
              <w:widowControl/>
              <w:jc w:val="center"/>
              <w:rPr>
                <w:rFonts w:ascii="Times New Roman" w:eastAsia="宋体" w:hAnsi="Times New Roman" w:cs="Times New Roman"/>
                <w:color w:val="000000"/>
                <w:kern w:val="0"/>
                <w:szCs w:val="21"/>
              </w:rPr>
            </w:pPr>
          </w:p>
        </w:tc>
      </w:tr>
      <w:tr w:rsidR="002133E3" w14:paraId="185CDEBF" w14:textId="77777777">
        <w:trPr>
          <w:trHeight w:val="300"/>
        </w:trPr>
        <w:tc>
          <w:tcPr>
            <w:tcW w:w="1172" w:type="dxa"/>
            <w:vMerge/>
            <w:vAlign w:val="center"/>
          </w:tcPr>
          <w:p w14:paraId="1E643A44"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61C03AB"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7BC57D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w:t>
            </w:r>
          </w:p>
        </w:tc>
        <w:tc>
          <w:tcPr>
            <w:tcW w:w="1275" w:type="dxa"/>
            <w:shd w:val="clear" w:color="auto" w:fill="auto"/>
            <w:noWrap/>
            <w:vAlign w:val="center"/>
          </w:tcPr>
          <w:p w14:paraId="625D41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4510</w:t>
            </w:r>
          </w:p>
        </w:tc>
        <w:tc>
          <w:tcPr>
            <w:tcW w:w="1574" w:type="dxa"/>
            <w:shd w:val="clear" w:color="auto" w:fill="auto"/>
            <w:noWrap/>
            <w:vAlign w:val="center"/>
          </w:tcPr>
          <w:p w14:paraId="2E9F5F1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44.583</w:t>
            </w:r>
          </w:p>
        </w:tc>
        <w:tc>
          <w:tcPr>
            <w:tcW w:w="2068" w:type="dxa"/>
            <w:shd w:val="clear" w:color="auto" w:fill="auto"/>
            <w:noWrap/>
            <w:vAlign w:val="center"/>
          </w:tcPr>
          <w:p w14:paraId="330F1A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0.000007529</w:t>
            </w:r>
          </w:p>
        </w:tc>
        <w:tc>
          <w:tcPr>
            <w:tcW w:w="1419" w:type="dxa"/>
            <w:vMerge/>
            <w:vAlign w:val="center"/>
          </w:tcPr>
          <w:p w14:paraId="657A1AA3" w14:textId="77777777" w:rsidR="002133E3" w:rsidRDefault="002133E3">
            <w:pPr>
              <w:widowControl/>
              <w:jc w:val="center"/>
              <w:rPr>
                <w:rFonts w:ascii="Times New Roman" w:eastAsia="宋体" w:hAnsi="Times New Roman" w:cs="Times New Roman"/>
                <w:color w:val="000000"/>
                <w:kern w:val="0"/>
                <w:szCs w:val="21"/>
              </w:rPr>
            </w:pPr>
          </w:p>
        </w:tc>
      </w:tr>
      <w:tr w:rsidR="002133E3" w14:paraId="698551E7" w14:textId="77777777">
        <w:trPr>
          <w:trHeight w:val="540"/>
        </w:trPr>
        <w:tc>
          <w:tcPr>
            <w:tcW w:w="1172" w:type="dxa"/>
            <w:shd w:val="clear" w:color="auto" w:fill="auto"/>
            <w:vAlign w:val="center"/>
          </w:tcPr>
          <w:p w14:paraId="3DD9FEB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事故情景</w:t>
            </w:r>
          </w:p>
        </w:tc>
        <w:tc>
          <w:tcPr>
            <w:tcW w:w="1173" w:type="dxa"/>
            <w:shd w:val="clear" w:color="auto" w:fill="auto"/>
            <w:vAlign w:val="center"/>
          </w:tcPr>
          <w:p w14:paraId="6F0D3DD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污染因子</w:t>
            </w:r>
          </w:p>
        </w:tc>
        <w:tc>
          <w:tcPr>
            <w:tcW w:w="1173" w:type="dxa"/>
            <w:shd w:val="clear" w:color="auto" w:fill="auto"/>
            <w:vAlign w:val="center"/>
          </w:tcPr>
          <w:p w14:paraId="6A0B5ED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1275" w:type="dxa"/>
            <w:shd w:val="clear" w:color="auto" w:fill="auto"/>
            <w:vAlign w:val="center"/>
          </w:tcPr>
          <w:p w14:paraId="51432FC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一般计算点（</w:t>
            </w:r>
            <w:r>
              <w:rPr>
                <w:rFonts w:ascii="Times New Roman" w:eastAsia="宋体" w:hAnsi="Times New Roman" w:cs="Times New Roman"/>
                <w:b/>
                <w:bCs/>
                <w:color w:val="000000"/>
                <w:kern w:val="0"/>
                <w:szCs w:val="21"/>
              </w:rPr>
              <w:t>m</w:t>
            </w:r>
            <w:r>
              <w:rPr>
                <w:rFonts w:ascii="Times New Roman" w:eastAsia="宋体" w:hAnsi="Times New Roman" w:cs="Times New Roman"/>
                <w:b/>
                <w:bCs/>
                <w:color w:val="000000"/>
                <w:kern w:val="0"/>
                <w:szCs w:val="21"/>
              </w:rPr>
              <w:t>）</w:t>
            </w:r>
          </w:p>
        </w:tc>
        <w:tc>
          <w:tcPr>
            <w:tcW w:w="1574" w:type="dxa"/>
            <w:shd w:val="clear" w:color="auto" w:fill="auto"/>
            <w:vAlign w:val="center"/>
          </w:tcPr>
          <w:p w14:paraId="198DE4C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出现时间（</w:t>
            </w:r>
            <w:r>
              <w:rPr>
                <w:rFonts w:ascii="Times New Roman" w:eastAsia="宋体" w:hAnsi="Times New Roman" w:cs="Times New Roman"/>
                <w:b/>
                <w:bCs/>
                <w:color w:val="000000"/>
                <w:kern w:val="0"/>
                <w:szCs w:val="21"/>
              </w:rPr>
              <w:t>min)</w:t>
            </w:r>
          </w:p>
        </w:tc>
        <w:tc>
          <w:tcPr>
            <w:tcW w:w="2068" w:type="dxa"/>
            <w:shd w:val="clear" w:color="auto" w:fill="auto"/>
            <w:vAlign w:val="center"/>
          </w:tcPr>
          <w:p w14:paraId="738E723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最大浓度</w:t>
            </w:r>
            <w:r>
              <w:rPr>
                <w:rFonts w:ascii="Times New Roman" w:eastAsia="宋体" w:hAnsi="Times New Roman" w:cs="Times New Roman"/>
                <w:b/>
                <w:bCs/>
                <w:color w:val="000000"/>
                <w:kern w:val="0"/>
                <w:szCs w:val="21"/>
              </w:rPr>
              <w:t>(mg/m</w:t>
            </w:r>
            <w:r>
              <w:rPr>
                <w:rFonts w:ascii="Times New Roman" w:eastAsia="宋体" w:hAnsi="Times New Roman" w:cs="Times New Roman"/>
                <w:b/>
                <w:bCs/>
                <w:color w:val="000000"/>
                <w:kern w:val="0"/>
                <w:szCs w:val="21"/>
                <w:vertAlign w:val="superscript"/>
              </w:rPr>
              <w:t>3</w:t>
            </w:r>
            <w:r>
              <w:rPr>
                <w:rFonts w:ascii="Times New Roman" w:eastAsia="宋体" w:hAnsi="Times New Roman" w:cs="Times New Roman"/>
                <w:b/>
                <w:bCs/>
                <w:color w:val="000000"/>
                <w:kern w:val="0"/>
                <w:szCs w:val="21"/>
              </w:rPr>
              <w:t>)</w:t>
            </w:r>
          </w:p>
        </w:tc>
        <w:tc>
          <w:tcPr>
            <w:tcW w:w="1419" w:type="dxa"/>
            <w:shd w:val="clear" w:color="auto" w:fill="auto"/>
            <w:vAlign w:val="center"/>
          </w:tcPr>
          <w:p w14:paraId="3ABFC21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终点浓度范围</w:t>
            </w:r>
          </w:p>
        </w:tc>
      </w:tr>
      <w:tr w:rsidR="002133E3" w14:paraId="4924476C" w14:textId="77777777">
        <w:trPr>
          <w:trHeight w:val="300"/>
        </w:trPr>
        <w:tc>
          <w:tcPr>
            <w:tcW w:w="1172" w:type="dxa"/>
            <w:vMerge w:val="restart"/>
            <w:shd w:val="clear" w:color="auto" w:fill="auto"/>
            <w:vAlign w:val="center"/>
          </w:tcPr>
          <w:p w14:paraId="3AA406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最不利条件下沼气发生火灾</w:t>
            </w:r>
          </w:p>
        </w:tc>
        <w:tc>
          <w:tcPr>
            <w:tcW w:w="1173" w:type="dxa"/>
            <w:vMerge w:val="restart"/>
            <w:shd w:val="clear" w:color="auto" w:fill="auto"/>
            <w:vAlign w:val="center"/>
          </w:tcPr>
          <w:p w14:paraId="419C1DD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二氧化硫</w:t>
            </w:r>
          </w:p>
        </w:tc>
        <w:tc>
          <w:tcPr>
            <w:tcW w:w="1173" w:type="dxa"/>
            <w:shd w:val="clear" w:color="auto" w:fill="auto"/>
            <w:vAlign w:val="center"/>
          </w:tcPr>
          <w:p w14:paraId="1D30EFE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275" w:type="dxa"/>
            <w:shd w:val="clear" w:color="auto" w:fill="auto"/>
            <w:noWrap/>
            <w:vAlign w:val="center"/>
          </w:tcPr>
          <w:p w14:paraId="796F8E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1574" w:type="dxa"/>
            <w:shd w:val="clear" w:color="auto" w:fill="auto"/>
            <w:noWrap/>
            <w:vAlign w:val="center"/>
          </w:tcPr>
          <w:p w14:paraId="47C78A7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0.11111</w:t>
            </w:r>
          </w:p>
        </w:tc>
        <w:tc>
          <w:tcPr>
            <w:tcW w:w="2068" w:type="dxa"/>
            <w:shd w:val="clear" w:color="auto" w:fill="auto"/>
            <w:noWrap/>
            <w:vAlign w:val="center"/>
          </w:tcPr>
          <w:p w14:paraId="4D19138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61.773</w:t>
            </w:r>
          </w:p>
        </w:tc>
        <w:tc>
          <w:tcPr>
            <w:tcW w:w="1419" w:type="dxa"/>
            <w:vMerge w:val="restart"/>
            <w:shd w:val="clear" w:color="auto" w:fill="auto"/>
            <w:vAlign w:val="center"/>
          </w:tcPr>
          <w:p w14:paraId="5610449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事故状态下下风向二氧化硫大气毒性终点浓度</w:t>
            </w:r>
            <w:r>
              <w:rPr>
                <w:rFonts w:ascii="Times New Roman" w:eastAsia="宋体" w:hAnsi="Times New Roman" w:cs="Times New Roman"/>
                <w:color w:val="000000"/>
                <w:kern w:val="0"/>
                <w:szCs w:val="21"/>
              </w:rPr>
              <w:t>2</w:t>
            </w:r>
            <w:r>
              <w:rPr>
                <w:rFonts w:ascii="Times New Roman" w:eastAsia="宋体" w:hAnsi="Times New Roman" w:cs="Times New Roman"/>
                <w:color w:val="000000"/>
                <w:kern w:val="0"/>
                <w:szCs w:val="21"/>
              </w:rPr>
              <w:t>影响范围为</w:t>
            </w:r>
            <w:r>
              <w:rPr>
                <w:rFonts w:ascii="Times New Roman" w:eastAsia="宋体" w:hAnsi="Times New Roman" w:cs="Times New Roman"/>
                <w:color w:val="000000"/>
                <w:kern w:val="0"/>
                <w:szCs w:val="21"/>
              </w:rPr>
              <w:t>92m</w:t>
            </w:r>
            <w:r>
              <w:rPr>
                <w:rFonts w:ascii="Times New Roman" w:eastAsia="宋体" w:hAnsi="Times New Roman" w:cs="Times New Roman"/>
                <w:color w:val="000000"/>
                <w:kern w:val="0"/>
                <w:szCs w:val="21"/>
              </w:rPr>
              <w:t>；未达到二氧化硫大气毒性终点浓度</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限值。</w:t>
            </w:r>
          </w:p>
        </w:tc>
      </w:tr>
      <w:tr w:rsidR="002133E3" w14:paraId="34163A64" w14:textId="77777777">
        <w:trPr>
          <w:trHeight w:val="300"/>
        </w:trPr>
        <w:tc>
          <w:tcPr>
            <w:tcW w:w="1172" w:type="dxa"/>
            <w:vMerge/>
            <w:vAlign w:val="center"/>
          </w:tcPr>
          <w:p w14:paraId="0FD4C9A9"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149208C"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D7297F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1275" w:type="dxa"/>
            <w:shd w:val="clear" w:color="auto" w:fill="auto"/>
            <w:noWrap/>
            <w:vAlign w:val="center"/>
          </w:tcPr>
          <w:p w14:paraId="503DABF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60</w:t>
            </w:r>
          </w:p>
        </w:tc>
        <w:tc>
          <w:tcPr>
            <w:tcW w:w="1574" w:type="dxa"/>
            <w:shd w:val="clear" w:color="auto" w:fill="auto"/>
            <w:noWrap/>
            <w:vAlign w:val="center"/>
          </w:tcPr>
          <w:p w14:paraId="68F9E6A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0.66667</w:t>
            </w:r>
          </w:p>
        </w:tc>
        <w:tc>
          <w:tcPr>
            <w:tcW w:w="2068" w:type="dxa"/>
            <w:shd w:val="clear" w:color="auto" w:fill="auto"/>
            <w:noWrap/>
            <w:vAlign w:val="center"/>
          </w:tcPr>
          <w:p w14:paraId="5612BE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3.5796</w:t>
            </w:r>
          </w:p>
        </w:tc>
        <w:tc>
          <w:tcPr>
            <w:tcW w:w="1419" w:type="dxa"/>
            <w:vMerge/>
            <w:vAlign w:val="center"/>
          </w:tcPr>
          <w:p w14:paraId="281E790A" w14:textId="77777777" w:rsidR="002133E3" w:rsidRDefault="002133E3">
            <w:pPr>
              <w:widowControl/>
              <w:jc w:val="center"/>
              <w:rPr>
                <w:rFonts w:ascii="Times New Roman" w:eastAsia="宋体" w:hAnsi="Times New Roman" w:cs="Times New Roman"/>
                <w:color w:val="000000"/>
                <w:kern w:val="0"/>
                <w:szCs w:val="21"/>
              </w:rPr>
            </w:pPr>
          </w:p>
        </w:tc>
      </w:tr>
      <w:tr w:rsidR="002133E3" w14:paraId="7018A4B4" w14:textId="77777777">
        <w:trPr>
          <w:trHeight w:val="300"/>
        </w:trPr>
        <w:tc>
          <w:tcPr>
            <w:tcW w:w="1172" w:type="dxa"/>
            <w:vMerge/>
            <w:vAlign w:val="center"/>
          </w:tcPr>
          <w:p w14:paraId="53CAEC4A"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2AD7A42E"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DC255A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1275" w:type="dxa"/>
            <w:shd w:val="clear" w:color="auto" w:fill="auto"/>
            <w:noWrap/>
            <w:vAlign w:val="center"/>
          </w:tcPr>
          <w:p w14:paraId="135B97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110</w:t>
            </w:r>
          </w:p>
        </w:tc>
        <w:tc>
          <w:tcPr>
            <w:tcW w:w="1574" w:type="dxa"/>
            <w:shd w:val="clear" w:color="auto" w:fill="auto"/>
            <w:noWrap/>
            <w:vAlign w:val="center"/>
          </w:tcPr>
          <w:p w14:paraId="3BD36C1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1.2222</w:t>
            </w:r>
          </w:p>
        </w:tc>
        <w:tc>
          <w:tcPr>
            <w:tcW w:w="2068" w:type="dxa"/>
            <w:shd w:val="clear" w:color="auto" w:fill="auto"/>
            <w:noWrap/>
            <w:vAlign w:val="center"/>
          </w:tcPr>
          <w:p w14:paraId="38E6D8A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1.6126</w:t>
            </w:r>
          </w:p>
        </w:tc>
        <w:tc>
          <w:tcPr>
            <w:tcW w:w="1419" w:type="dxa"/>
            <w:vMerge/>
            <w:vAlign w:val="center"/>
          </w:tcPr>
          <w:p w14:paraId="0B12ECF2" w14:textId="77777777" w:rsidR="002133E3" w:rsidRDefault="002133E3">
            <w:pPr>
              <w:widowControl/>
              <w:jc w:val="center"/>
              <w:rPr>
                <w:rFonts w:ascii="Times New Roman" w:eastAsia="宋体" w:hAnsi="Times New Roman" w:cs="Times New Roman"/>
                <w:color w:val="000000"/>
                <w:kern w:val="0"/>
                <w:szCs w:val="21"/>
              </w:rPr>
            </w:pPr>
          </w:p>
        </w:tc>
      </w:tr>
      <w:tr w:rsidR="002133E3" w14:paraId="5CC4A086" w14:textId="77777777">
        <w:trPr>
          <w:trHeight w:val="300"/>
        </w:trPr>
        <w:tc>
          <w:tcPr>
            <w:tcW w:w="1172" w:type="dxa"/>
            <w:vMerge/>
            <w:vAlign w:val="center"/>
          </w:tcPr>
          <w:p w14:paraId="7C736E58"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35D27F7"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57D334A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1275" w:type="dxa"/>
            <w:shd w:val="clear" w:color="auto" w:fill="auto"/>
            <w:noWrap/>
            <w:vAlign w:val="center"/>
          </w:tcPr>
          <w:p w14:paraId="5C96CEB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210</w:t>
            </w:r>
          </w:p>
        </w:tc>
        <w:tc>
          <w:tcPr>
            <w:tcW w:w="1574" w:type="dxa"/>
            <w:shd w:val="clear" w:color="auto" w:fill="auto"/>
            <w:noWrap/>
            <w:vAlign w:val="center"/>
          </w:tcPr>
          <w:p w14:paraId="2086291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2.3333</w:t>
            </w:r>
          </w:p>
        </w:tc>
        <w:tc>
          <w:tcPr>
            <w:tcW w:w="2068" w:type="dxa"/>
            <w:shd w:val="clear" w:color="auto" w:fill="auto"/>
            <w:noWrap/>
            <w:vAlign w:val="center"/>
          </w:tcPr>
          <w:p w14:paraId="55E3179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0.69786</w:t>
            </w:r>
          </w:p>
        </w:tc>
        <w:tc>
          <w:tcPr>
            <w:tcW w:w="1419" w:type="dxa"/>
            <w:vMerge/>
            <w:vAlign w:val="center"/>
          </w:tcPr>
          <w:p w14:paraId="040C0912" w14:textId="77777777" w:rsidR="002133E3" w:rsidRDefault="002133E3">
            <w:pPr>
              <w:widowControl/>
              <w:jc w:val="center"/>
              <w:rPr>
                <w:rFonts w:ascii="Times New Roman" w:eastAsia="宋体" w:hAnsi="Times New Roman" w:cs="Times New Roman"/>
                <w:color w:val="000000"/>
                <w:kern w:val="0"/>
                <w:szCs w:val="21"/>
              </w:rPr>
            </w:pPr>
          </w:p>
        </w:tc>
      </w:tr>
      <w:tr w:rsidR="002133E3" w14:paraId="1C024927" w14:textId="77777777">
        <w:trPr>
          <w:trHeight w:val="300"/>
        </w:trPr>
        <w:tc>
          <w:tcPr>
            <w:tcW w:w="1172" w:type="dxa"/>
            <w:vMerge/>
            <w:vAlign w:val="center"/>
          </w:tcPr>
          <w:p w14:paraId="7E4F1C3A"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3BFADE52"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22FD65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1275" w:type="dxa"/>
            <w:shd w:val="clear" w:color="auto" w:fill="auto"/>
            <w:noWrap/>
            <w:vAlign w:val="center"/>
          </w:tcPr>
          <w:p w14:paraId="203FA12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310</w:t>
            </w:r>
          </w:p>
        </w:tc>
        <w:tc>
          <w:tcPr>
            <w:tcW w:w="1574" w:type="dxa"/>
            <w:shd w:val="clear" w:color="auto" w:fill="auto"/>
            <w:noWrap/>
            <w:vAlign w:val="center"/>
          </w:tcPr>
          <w:p w14:paraId="44170AB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3.4444</w:t>
            </w:r>
          </w:p>
        </w:tc>
        <w:tc>
          <w:tcPr>
            <w:tcW w:w="2068" w:type="dxa"/>
            <w:shd w:val="clear" w:color="auto" w:fill="auto"/>
            <w:noWrap/>
            <w:vAlign w:val="center"/>
          </w:tcPr>
          <w:p w14:paraId="4302363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0.39692</w:t>
            </w:r>
          </w:p>
        </w:tc>
        <w:tc>
          <w:tcPr>
            <w:tcW w:w="1419" w:type="dxa"/>
            <w:vMerge/>
            <w:vAlign w:val="center"/>
          </w:tcPr>
          <w:p w14:paraId="46E6B6DE" w14:textId="77777777" w:rsidR="002133E3" w:rsidRDefault="002133E3">
            <w:pPr>
              <w:widowControl/>
              <w:jc w:val="center"/>
              <w:rPr>
                <w:rFonts w:ascii="Times New Roman" w:eastAsia="宋体" w:hAnsi="Times New Roman" w:cs="Times New Roman"/>
                <w:color w:val="000000"/>
                <w:kern w:val="0"/>
                <w:szCs w:val="21"/>
              </w:rPr>
            </w:pPr>
          </w:p>
        </w:tc>
      </w:tr>
      <w:tr w:rsidR="002133E3" w14:paraId="2E44FAE0" w14:textId="77777777">
        <w:trPr>
          <w:trHeight w:val="300"/>
        </w:trPr>
        <w:tc>
          <w:tcPr>
            <w:tcW w:w="1172" w:type="dxa"/>
            <w:vMerge/>
            <w:vAlign w:val="center"/>
          </w:tcPr>
          <w:p w14:paraId="1EBD233A"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58FD3B8A"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05E2045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p>
        </w:tc>
        <w:tc>
          <w:tcPr>
            <w:tcW w:w="1275" w:type="dxa"/>
            <w:shd w:val="clear" w:color="auto" w:fill="auto"/>
            <w:noWrap/>
            <w:vAlign w:val="center"/>
          </w:tcPr>
          <w:p w14:paraId="4ACC291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410</w:t>
            </w:r>
          </w:p>
        </w:tc>
        <w:tc>
          <w:tcPr>
            <w:tcW w:w="1574" w:type="dxa"/>
            <w:shd w:val="clear" w:color="auto" w:fill="auto"/>
            <w:noWrap/>
            <w:vAlign w:val="center"/>
          </w:tcPr>
          <w:p w14:paraId="1551EBE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4.5556</w:t>
            </w:r>
          </w:p>
        </w:tc>
        <w:tc>
          <w:tcPr>
            <w:tcW w:w="2068" w:type="dxa"/>
            <w:shd w:val="clear" w:color="auto" w:fill="auto"/>
            <w:noWrap/>
            <w:vAlign w:val="center"/>
          </w:tcPr>
          <w:p w14:paraId="02D45A8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0.25869</w:t>
            </w:r>
          </w:p>
        </w:tc>
        <w:tc>
          <w:tcPr>
            <w:tcW w:w="1419" w:type="dxa"/>
            <w:vMerge/>
            <w:vAlign w:val="center"/>
          </w:tcPr>
          <w:p w14:paraId="27A2DEAA" w14:textId="77777777" w:rsidR="002133E3" w:rsidRDefault="002133E3">
            <w:pPr>
              <w:widowControl/>
              <w:jc w:val="center"/>
              <w:rPr>
                <w:rFonts w:ascii="Times New Roman" w:eastAsia="宋体" w:hAnsi="Times New Roman" w:cs="Times New Roman"/>
                <w:color w:val="000000"/>
                <w:kern w:val="0"/>
                <w:szCs w:val="21"/>
              </w:rPr>
            </w:pPr>
          </w:p>
        </w:tc>
      </w:tr>
      <w:tr w:rsidR="002133E3" w14:paraId="2C79C7CF" w14:textId="77777777">
        <w:trPr>
          <w:trHeight w:val="300"/>
        </w:trPr>
        <w:tc>
          <w:tcPr>
            <w:tcW w:w="1172" w:type="dxa"/>
            <w:vMerge/>
            <w:vAlign w:val="center"/>
          </w:tcPr>
          <w:p w14:paraId="2759290F"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2288FB71"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7C22F37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w:t>
            </w:r>
          </w:p>
        </w:tc>
        <w:tc>
          <w:tcPr>
            <w:tcW w:w="1275" w:type="dxa"/>
            <w:shd w:val="clear" w:color="auto" w:fill="auto"/>
            <w:noWrap/>
            <w:vAlign w:val="center"/>
          </w:tcPr>
          <w:p w14:paraId="63E31F2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510</w:t>
            </w:r>
          </w:p>
        </w:tc>
        <w:tc>
          <w:tcPr>
            <w:tcW w:w="1574" w:type="dxa"/>
            <w:shd w:val="clear" w:color="auto" w:fill="auto"/>
            <w:noWrap/>
            <w:vAlign w:val="center"/>
          </w:tcPr>
          <w:p w14:paraId="1B2E1B6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5.6667</w:t>
            </w:r>
          </w:p>
        </w:tc>
        <w:tc>
          <w:tcPr>
            <w:tcW w:w="2068" w:type="dxa"/>
            <w:shd w:val="clear" w:color="auto" w:fill="auto"/>
            <w:noWrap/>
            <w:vAlign w:val="center"/>
          </w:tcPr>
          <w:p w14:paraId="52DE96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0.18343</w:t>
            </w:r>
          </w:p>
        </w:tc>
        <w:tc>
          <w:tcPr>
            <w:tcW w:w="1419" w:type="dxa"/>
            <w:vMerge/>
            <w:vAlign w:val="center"/>
          </w:tcPr>
          <w:p w14:paraId="405232F5" w14:textId="77777777" w:rsidR="002133E3" w:rsidRDefault="002133E3">
            <w:pPr>
              <w:widowControl/>
              <w:jc w:val="center"/>
              <w:rPr>
                <w:rFonts w:ascii="Times New Roman" w:eastAsia="宋体" w:hAnsi="Times New Roman" w:cs="Times New Roman"/>
                <w:color w:val="000000"/>
                <w:kern w:val="0"/>
                <w:szCs w:val="21"/>
              </w:rPr>
            </w:pPr>
          </w:p>
        </w:tc>
      </w:tr>
      <w:tr w:rsidR="002133E3" w14:paraId="1E653B2F" w14:textId="77777777">
        <w:trPr>
          <w:trHeight w:val="300"/>
        </w:trPr>
        <w:tc>
          <w:tcPr>
            <w:tcW w:w="1172" w:type="dxa"/>
            <w:vMerge/>
            <w:vAlign w:val="center"/>
          </w:tcPr>
          <w:p w14:paraId="56F30BC4"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517478D"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920D4E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w:t>
            </w:r>
          </w:p>
        </w:tc>
        <w:tc>
          <w:tcPr>
            <w:tcW w:w="1275" w:type="dxa"/>
            <w:shd w:val="clear" w:color="auto" w:fill="auto"/>
            <w:noWrap/>
            <w:vAlign w:val="center"/>
          </w:tcPr>
          <w:p w14:paraId="6B944BE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610</w:t>
            </w:r>
          </w:p>
        </w:tc>
        <w:tc>
          <w:tcPr>
            <w:tcW w:w="1574" w:type="dxa"/>
            <w:shd w:val="clear" w:color="auto" w:fill="auto"/>
            <w:noWrap/>
            <w:vAlign w:val="center"/>
          </w:tcPr>
          <w:p w14:paraId="332FC5C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6.7778</w:t>
            </w:r>
          </w:p>
        </w:tc>
        <w:tc>
          <w:tcPr>
            <w:tcW w:w="2068" w:type="dxa"/>
            <w:shd w:val="clear" w:color="auto" w:fill="auto"/>
            <w:noWrap/>
            <w:vAlign w:val="center"/>
          </w:tcPr>
          <w:p w14:paraId="4AC3A2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0.1377</w:t>
            </w:r>
          </w:p>
        </w:tc>
        <w:tc>
          <w:tcPr>
            <w:tcW w:w="1419" w:type="dxa"/>
            <w:vMerge/>
            <w:vAlign w:val="center"/>
          </w:tcPr>
          <w:p w14:paraId="4E2FE4B1" w14:textId="77777777" w:rsidR="002133E3" w:rsidRDefault="002133E3">
            <w:pPr>
              <w:widowControl/>
              <w:jc w:val="center"/>
              <w:rPr>
                <w:rFonts w:ascii="Times New Roman" w:eastAsia="宋体" w:hAnsi="Times New Roman" w:cs="Times New Roman"/>
                <w:color w:val="000000"/>
                <w:kern w:val="0"/>
                <w:szCs w:val="21"/>
              </w:rPr>
            </w:pPr>
          </w:p>
        </w:tc>
      </w:tr>
      <w:tr w:rsidR="002133E3" w14:paraId="5E522FEE" w14:textId="77777777">
        <w:trPr>
          <w:trHeight w:val="300"/>
        </w:trPr>
        <w:tc>
          <w:tcPr>
            <w:tcW w:w="1172" w:type="dxa"/>
            <w:vMerge/>
            <w:vAlign w:val="center"/>
          </w:tcPr>
          <w:p w14:paraId="2C9C4E98"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37FF2DE"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5E94D35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w:t>
            </w:r>
          </w:p>
        </w:tc>
        <w:tc>
          <w:tcPr>
            <w:tcW w:w="1275" w:type="dxa"/>
            <w:shd w:val="clear" w:color="auto" w:fill="auto"/>
            <w:noWrap/>
            <w:vAlign w:val="center"/>
          </w:tcPr>
          <w:p w14:paraId="0E7D70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710</w:t>
            </w:r>
          </w:p>
        </w:tc>
        <w:tc>
          <w:tcPr>
            <w:tcW w:w="1574" w:type="dxa"/>
            <w:shd w:val="clear" w:color="auto" w:fill="auto"/>
            <w:noWrap/>
            <w:vAlign w:val="center"/>
          </w:tcPr>
          <w:p w14:paraId="7D5C3B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7.8889</w:t>
            </w:r>
          </w:p>
        </w:tc>
        <w:tc>
          <w:tcPr>
            <w:tcW w:w="2068" w:type="dxa"/>
            <w:shd w:val="clear" w:color="auto" w:fill="auto"/>
            <w:noWrap/>
            <w:vAlign w:val="center"/>
          </w:tcPr>
          <w:p w14:paraId="5664EE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0.1077</w:t>
            </w:r>
          </w:p>
        </w:tc>
        <w:tc>
          <w:tcPr>
            <w:tcW w:w="1419" w:type="dxa"/>
            <w:vMerge/>
            <w:vAlign w:val="center"/>
          </w:tcPr>
          <w:p w14:paraId="79160F34" w14:textId="77777777" w:rsidR="002133E3" w:rsidRDefault="002133E3">
            <w:pPr>
              <w:widowControl/>
              <w:jc w:val="center"/>
              <w:rPr>
                <w:rFonts w:ascii="Times New Roman" w:eastAsia="宋体" w:hAnsi="Times New Roman" w:cs="Times New Roman"/>
                <w:color w:val="000000"/>
                <w:kern w:val="0"/>
                <w:szCs w:val="21"/>
              </w:rPr>
            </w:pPr>
          </w:p>
        </w:tc>
      </w:tr>
      <w:tr w:rsidR="002133E3" w14:paraId="42AD7AD1" w14:textId="77777777">
        <w:trPr>
          <w:trHeight w:val="300"/>
        </w:trPr>
        <w:tc>
          <w:tcPr>
            <w:tcW w:w="1172" w:type="dxa"/>
            <w:vMerge/>
            <w:vAlign w:val="center"/>
          </w:tcPr>
          <w:p w14:paraId="1205A8FC"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E30981F"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948CF8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1275" w:type="dxa"/>
            <w:shd w:val="clear" w:color="auto" w:fill="auto"/>
            <w:noWrap/>
            <w:vAlign w:val="center"/>
          </w:tcPr>
          <w:p w14:paraId="694E480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810</w:t>
            </w:r>
          </w:p>
        </w:tc>
        <w:tc>
          <w:tcPr>
            <w:tcW w:w="1574" w:type="dxa"/>
            <w:shd w:val="clear" w:color="auto" w:fill="auto"/>
            <w:noWrap/>
            <w:vAlign w:val="center"/>
          </w:tcPr>
          <w:p w14:paraId="7B2E3A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w:t>
            </w:r>
          </w:p>
        </w:tc>
        <w:tc>
          <w:tcPr>
            <w:tcW w:w="2068" w:type="dxa"/>
            <w:shd w:val="clear" w:color="auto" w:fill="auto"/>
            <w:noWrap/>
            <w:vAlign w:val="center"/>
          </w:tcPr>
          <w:p w14:paraId="3787AB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0.086884</w:t>
            </w:r>
          </w:p>
        </w:tc>
        <w:tc>
          <w:tcPr>
            <w:tcW w:w="1419" w:type="dxa"/>
            <w:vMerge/>
            <w:vAlign w:val="center"/>
          </w:tcPr>
          <w:p w14:paraId="6ABBD37E" w14:textId="77777777" w:rsidR="002133E3" w:rsidRDefault="002133E3">
            <w:pPr>
              <w:widowControl/>
              <w:jc w:val="center"/>
              <w:rPr>
                <w:rFonts w:ascii="Times New Roman" w:eastAsia="宋体" w:hAnsi="Times New Roman" w:cs="Times New Roman"/>
                <w:color w:val="000000"/>
                <w:kern w:val="0"/>
                <w:szCs w:val="21"/>
              </w:rPr>
            </w:pPr>
          </w:p>
        </w:tc>
      </w:tr>
      <w:tr w:rsidR="002133E3" w14:paraId="37B6093B" w14:textId="77777777">
        <w:trPr>
          <w:trHeight w:val="300"/>
        </w:trPr>
        <w:tc>
          <w:tcPr>
            <w:tcW w:w="1172" w:type="dxa"/>
            <w:vMerge/>
            <w:vAlign w:val="center"/>
          </w:tcPr>
          <w:p w14:paraId="144D68F0"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8BF7DD3"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654B022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w:t>
            </w:r>
          </w:p>
        </w:tc>
        <w:tc>
          <w:tcPr>
            <w:tcW w:w="1275" w:type="dxa"/>
            <w:shd w:val="clear" w:color="auto" w:fill="auto"/>
            <w:noWrap/>
            <w:vAlign w:val="center"/>
          </w:tcPr>
          <w:p w14:paraId="099EB8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910</w:t>
            </w:r>
          </w:p>
        </w:tc>
        <w:tc>
          <w:tcPr>
            <w:tcW w:w="1574" w:type="dxa"/>
            <w:shd w:val="clear" w:color="auto" w:fill="auto"/>
            <w:noWrap/>
            <w:vAlign w:val="center"/>
          </w:tcPr>
          <w:p w14:paraId="290AD70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10.111</w:t>
            </w:r>
          </w:p>
        </w:tc>
        <w:tc>
          <w:tcPr>
            <w:tcW w:w="2068" w:type="dxa"/>
            <w:shd w:val="clear" w:color="auto" w:fill="auto"/>
            <w:noWrap/>
            <w:vAlign w:val="center"/>
          </w:tcPr>
          <w:p w14:paraId="1FE7155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0.071795</w:t>
            </w:r>
          </w:p>
        </w:tc>
        <w:tc>
          <w:tcPr>
            <w:tcW w:w="1419" w:type="dxa"/>
            <w:vMerge/>
            <w:vAlign w:val="center"/>
          </w:tcPr>
          <w:p w14:paraId="7F2B35A5" w14:textId="77777777" w:rsidR="002133E3" w:rsidRDefault="002133E3">
            <w:pPr>
              <w:widowControl/>
              <w:jc w:val="center"/>
              <w:rPr>
                <w:rFonts w:ascii="Times New Roman" w:eastAsia="宋体" w:hAnsi="Times New Roman" w:cs="Times New Roman"/>
                <w:color w:val="000000"/>
                <w:kern w:val="0"/>
                <w:szCs w:val="21"/>
              </w:rPr>
            </w:pPr>
          </w:p>
        </w:tc>
      </w:tr>
      <w:tr w:rsidR="002133E3" w14:paraId="7D8A5D9B" w14:textId="77777777">
        <w:trPr>
          <w:trHeight w:val="300"/>
        </w:trPr>
        <w:tc>
          <w:tcPr>
            <w:tcW w:w="1172" w:type="dxa"/>
            <w:vMerge/>
            <w:vAlign w:val="center"/>
          </w:tcPr>
          <w:p w14:paraId="5D8CF3E0"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374B13E"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EC05B5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w:t>
            </w:r>
          </w:p>
        </w:tc>
        <w:tc>
          <w:tcPr>
            <w:tcW w:w="1275" w:type="dxa"/>
            <w:shd w:val="clear" w:color="auto" w:fill="auto"/>
            <w:noWrap/>
            <w:vAlign w:val="center"/>
          </w:tcPr>
          <w:p w14:paraId="247CB4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1010</w:t>
            </w:r>
          </w:p>
        </w:tc>
        <w:tc>
          <w:tcPr>
            <w:tcW w:w="1574" w:type="dxa"/>
            <w:shd w:val="clear" w:color="auto" w:fill="auto"/>
            <w:noWrap/>
            <w:vAlign w:val="center"/>
          </w:tcPr>
          <w:p w14:paraId="5F249C0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11.222</w:t>
            </w:r>
          </w:p>
        </w:tc>
        <w:tc>
          <w:tcPr>
            <w:tcW w:w="2068" w:type="dxa"/>
            <w:shd w:val="clear" w:color="auto" w:fill="auto"/>
            <w:noWrap/>
            <w:vAlign w:val="center"/>
          </w:tcPr>
          <w:p w14:paraId="1A82FEC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0.060479</w:t>
            </w:r>
          </w:p>
        </w:tc>
        <w:tc>
          <w:tcPr>
            <w:tcW w:w="1419" w:type="dxa"/>
            <w:vMerge/>
            <w:vAlign w:val="center"/>
          </w:tcPr>
          <w:p w14:paraId="2E75F024" w14:textId="77777777" w:rsidR="002133E3" w:rsidRDefault="002133E3">
            <w:pPr>
              <w:widowControl/>
              <w:jc w:val="center"/>
              <w:rPr>
                <w:rFonts w:ascii="Times New Roman" w:eastAsia="宋体" w:hAnsi="Times New Roman" w:cs="Times New Roman"/>
                <w:color w:val="000000"/>
                <w:kern w:val="0"/>
                <w:szCs w:val="21"/>
              </w:rPr>
            </w:pPr>
          </w:p>
        </w:tc>
      </w:tr>
      <w:tr w:rsidR="002133E3" w14:paraId="40E9C1AF" w14:textId="77777777">
        <w:trPr>
          <w:trHeight w:val="300"/>
        </w:trPr>
        <w:tc>
          <w:tcPr>
            <w:tcW w:w="1172" w:type="dxa"/>
            <w:vMerge/>
            <w:vAlign w:val="center"/>
          </w:tcPr>
          <w:p w14:paraId="4035FCEB"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23495B7"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66607F3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13</w:t>
            </w:r>
          </w:p>
        </w:tc>
        <w:tc>
          <w:tcPr>
            <w:tcW w:w="1275" w:type="dxa"/>
            <w:shd w:val="clear" w:color="auto" w:fill="auto"/>
            <w:noWrap/>
            <w:vAlign w:val="center"/>
          </w:tcPr>
          <w:p w14:paraId="1EFD7D5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1510</w:t>
            </w:r>
          </w:p>
        </w:tc>
        <w:tc>
          <w:tcPr>
            <w:tcW w:w="1574" w:type="dxa"/>
            <w:shd w:val="clear" w:color="auto" w:fill="auto"/>
            <w:noWrap/>
            <w:vAlign w:val="center"/>
          </w:tcPr>
          <w:p w14:paraId="7DBEE91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16.778</w:t>
            </w:r>
          </w:p>
        </w:tc>
        <w:tc>
          <w:tcPr>
            <w:tcW w:w="2068" w:type="dxa"/>
            <w:shd w:val="clear" w:color="auto" w:fill="auto"/>
            <w:noWrap/>
            <w:vAlign w:val="center"/>
          </w:tcPr>
          <w:p w14:paraId="200214A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0.031612</w:t>
            </w:r>
          </w:p>
        </w:tc>
        <w:tc>
          <w:tcPr>
            <w:tcW w:w="1419" w:type="dxa"/>
            <w:vMerge/>
            <w:vAlign w:val="center"/>
          </w:tcPr>
          <w:p w14:paraId="0ADFA5D6" w14:textId="77777777" w:rsidR="002133E3" w:rsidRDefault="002133E3">
            <w:pPr>
              <w:widowControl/>
              <w:jc w:val="center"/>
              <w:rPr>
                <w:rFonts w:ascii="Times New Roman" w:eastAsia="宋体" w:hAnsi="Times New Roman" w:cs="Times New Roman"/>
                <w:color w:val="000000"/>
                <w:kern w:val="0"/>
                <w:szCs w:val="21"/>
              </w:rPr>
            </w:pPr>
          </w:p>
        </w:tc>
      </w:tr>
      <w:tr w:rsidR="002133E3" w14:paraId="23C8B474" w14:textId="77777777">
        <w:trPr>
          <w:trHeight w:val="300"/>
        </w:trPr>
        <w:tc>
          <w:tcPr>
            <w:tcW w:w="1172" w:type="dxa"/>
            <w:vMerge/>
            <w:vAlign w:val="center"/>
          </w:tcPr>
          <w:p w14:paraId="62B8203A"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CB9401D"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79DD79B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w:t>
            </w:r>
          </w:p>
        </w:tc>
        <w:tc>
          <w:tcPr>
            <w:tcW w:w="1275" w:type="dxa"/>
            <w:shd w:val="clear" w:color="auto" w:fill="auto"/>
            <w:noWrap/>
            <w:vAlign w:val="center"/>
          </w:tcPr>
          <w:p w14:paraId="409351E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2010</w:t>
            </w:r>
          </w:p>
        </w:tc>
        <w:tc>
          <w:tcPr>
            <w:tcW w:w="1574" w:type="dxa"/>
            <w:shd w:val="clear" w:color="auto" w:fill="auto"/>
            <w:noWrap/>
            <w:vAlign w:val="center"/>
          </w:tcPr>
          <w:p w14:paraId="6EB8C38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22.333</w:t>
            </w:r>
          </w:p>
        </w:tc>
        <w:tc>
          <w:tcPr>
            <w:tcW w:w="2068" w:type="dxa"/>
            <w:shd w:val="clear" w:color="auto" w:fill="auto"/>
            <w:noWrap/>
            <w:vAlign w:val="center"/>
          </w:tcPr>
          <w:p w14:paraId="41322B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0.021631</w:t>
            </w:r>
          </w:p>
        </w:tc>
        <w:tc>
          <w:tcPr>
            <w:tcW w:w="1419" w:type="dxa"/>
            <w:vMerge/>
            <w:vAlign w:val="center"/>
          </w:tcPr>
          <w:p w14:paraId="3CB5C163" w14:textId="77777777" w:rsidR="002133E3" w:rsidRDefault="002133E3">
            <w:pPr>
              <w:widowControl/>
              <w:jc w:val="center"/>
              <w:rPr>
                <w:rFonts w:ascii="Times New Roman" w:eastAsia="宋体" w:hAnsi="Times New Roman" w:cs="Times New Roman"/>
                <w:color w:val="000000"/>
                <w:kern w:val="0"/>
                <w:szCs w:val="21"/>
              </w:rPr>
            </w:pPr>
          </w:p>
        </w:tc>
      </w:tr>
      <w:tr w:rsidR="002133E3" w14:paraId="0853D3F0" w14:textId="77777777">
        <w:trPr>
          <w:trHeight w:val="300"/>
        </w:trPr>
        <w:tc>
          <w:tcPr>
            <w:tcW w:w="1172" w:type="dxa"/>
            <w:vMerge/>
            <w:vAlign w:val="center"/>
          </w:tcPr>
          <w:p w14:paraId="65BF9689"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1FF0228"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F0259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1275" w:type="dxa"/>
            <w:shd w:val="clear" w:color="auto" w:fill="auto"/>
            <w:noWrap/>
            <w:vAlign w:val="center"/>
          </w:tcPr>
          <w:p w14:paraId="0838F9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2510</w:t>
            </w:r>
          </w:p>
        </w:tc>
        <w:tc>
          <w:tcPr>
            <w:tcW w:w="1574" w:type="dxa"/>
            <w:shd w:val="clear" w:color="auto" w:fill="auto"/>
            <w:noWrap/>
            <w:vAlign w:val="center"/>
          </w:tcPr>
          <w:p w14:paraId="0CD9FE2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27.889</w:t>
            </w:r>
          </w:p>
        </w:tc>
        <w:tc>
          <w:tcPr>
            <w:tcW w:w="2068" w:type="dxa"/>
            <w:shd w:val="clear" w:color="auto" w:fill="auto"/>
            <w:noWrap/>
            <w:vAlign w:val="center"/>
          </w:tcPr>
          <w:p w14:paraId="21F6EE7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0.016102</w:t>
            </w:r>
          </w:p>
        </w:tc>
        <w:tc>
          <w:tcPr>
            <w:tcW w:w="1419" w:type="dxa"/>
            <w:vMerge/>
            <w:vAlign w:val="center"/>
          </w:tcPr>
          <w:p w14:paraId="192700BB" w14:textId="77777777" w:rsidR="002133E3" w:rsidRDefault="002133E3">
            <w:pPr>
              <w:widowControl/>
              <w:jc w:val="center"/>
              <w:rPr>
                <w:rFonts w:ascii="Times New Roman" w:eastAsia="宋体" w:hAnsi="Times New Roman" w:cs="Times New Roman"/>
                <w:color w:val="000000"/>
                <w:kern w:val="0"/>
                <w:szCs w:val="21"/>
              </w:rPr>
            </w:pPr>
          </w:p>
        </w:tc>
      </w:tr>
      <w:tr w:rsidR="002133E3" w14:paraId="2E41A310" w14:textId="77777777">
        <w:trPr>
          <w:trHeight w:val="300"/>
        </w:trPr>
        <w:tc>
          <w:tcPr>
            <w:tcW w:w="1172" w:type="dxa"/>
            <w:vMerge/>
            <w:vAlign w:val="center"/>
          </w:tcPr>
          <w:p w14:paraId="12F6550A"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F29129D"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35BBCA6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w:t>
            </w:r>
          </w:p>
        </w:tc>
        <w:tc>
          <w:tcPr>
            <w:tcW w:w="1275" w:type="dxa"/>
            <w:shd w:val="clear" w:color="auto" w:fill="auto"/>
            <w:noWrap/>
            <w:vAlign w:val="center"/>
          </w:tcPr>
          <w:p w14:paraId="0051BD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3010</w:t>
            </w:r>
          </w:p>
        </w:tc>
        <w:tc>
          <w:tcPr>
            <w:tcW w:w="1574" w:type="dxa"/>
            <w:shd w:val="clear" w:color="auto" w:fill="auto"/>
            <w:noWrap/>
            <w:vAlign w:val="center"/>
          </w:tcPr>
          <w:p w14:paraId="5ACE3C1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33.444</w:t>
            </w:r>
          </w:p>
        </w:tc>
        <w:tc>
          <w:tcPr>
            <w:tcW w:w="2068" w:type="dxa"/>
            <w:shd w:val="clear" w:color="auto" w:fill="auto"/>
            <w:noWrap/>
            <w:vAlign w:val="center"/>
          </w:tcPr>
          <w:p w14:paraId="34E42A2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0.012645</w:t>
            </w:r>
          </w:p>
        </w:tc>
        <w:tc>
          <w:tcPr>
            <w:tcW w:w="1419" w:type="dxa"/>
            <w:vMerge/>
            <w:vAlign w:val="center"/>
          </w:tcPr>
          <w:p w14:paraId="3032F72F" w14:textId="77777777" w:rsidR="002133E3" w:rsidRDefault="002133E3">
            <w:pPr>
              <w:widowControl/>
              <w:jc w:val="center"/>
              <w:rPr>
                <w:rFonts w:ascii="Times New Roman" w:eastAsia="宋体" w:hAnsi="Times New Roman" w:cs="Times New Roman"/>
                <w:color w:val="000000"/>
                <w:kern w:val="0"/>
                <w:szCs w:val="21"/>
              </w:rPr>
            </w:pPr>
          </w:p>
        </w:tc>
      </w:tr>
      <w:tr w:rsidR="002133E3" w14:paraId="51D57A19" w14:textId="77777777">
        <w:trPr>
          <w:trHeight w:val="300"/>
        </w:trPr>
        <w:tc>
          <w:tcPr>
            <w:tcW w:w="1172" w:type="dxa"/>
            <w:vMerge/>
            <w:vAlign w:val="center"/>
          </w:tcPr>
          <w:p w14:paraId="27196040"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138E3D03"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52C753B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w:t>
            </w:r>
          </w:p>
        </w:tc>
        <w:tc>
          <w:tcPr>
            <w:tcW w:w="1275" w:type="dxa"/>
            <w:shd w:val="clear" w:color="auto" w:fill="auto"/>
            <w:noWrap/>
            <w:vAlign w:val="center"/>
          </w:tcPr>
          <w:p w14:paraId="43E2583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3510</w:t>
            </w:r>
          </w:p>
        </w:tc>
        <w:tc>
          <w:tcPr>
            <w:tcW w:w="1574" w:type="dxa"/>
            <w:shd w:val="clear" w:color="auto" w:fill="auto"/>
            <w:noWrap/>
            <w:vAlign w:val="center"/>
          </w:tcPr>
          <w:p w14:paraId="5D5FD2B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39</w:t>
            </w:r>
          </w:p>
        </w:tc>
        <w:tc>
          <w:tcPr>
            <w:tcW w:w="2068" w:type="dxa"/>
            <w:shd w:val="clear" w:color="auto" w:fill="auto"/>
            <w:noWrap/>
            <w:vAlign w:val="center"/>
          </w:tcPr>
          <w:p w14:paraId="40234C9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0.010305</w:t>
            </w:r>
          </w:p>
        </w:tc>
        <w:tc>
          <w:tcPr>
            <w:tcW w:w="1419" w:type="dxa"/>
            <w:vMerge/>
            <w:vAlign w:val="center"/>
          </w:tcPr>
          <w:p w14:paraId="253DE060" w14:textId="77777777" w:rsidR="002133E3" w:rsidRDefault="002133E3">
            <w:pPr>
              <w:widowControl/>
              <w:jc w:val="center"/>
              <w:rPr>
                <w:rFonts w:ascii="Times New Roman" w:eastAsia="宋体" w:hAnsi="Times New Roman" w:cs="Times New Roman"/>
                <w:color w:val="000000"/>
                <w:kern w:val="0"/>
                <w:szCs w:val="21"/>
              </w:rPr>
            </w:pPr>
          </w:p>
        </w:tc>
      </w:tr>
      <w:tr w:rsidR="002133E3" w14:paraId="4E9504EB" w14:textId="77777777">
        <w:trPr>
          <w:trHeight w:val="300"/>
        </w:trPr>
        <w:tc>
          <w:tcPr>
            <w:tcW w:w="1172" w:type="dxa"/>
            <w:vMerge/>
            <w:vAlign w:val="center"/>
          </w:tcPr>
          <w:p w14:paraId="05B9E5E8"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7B59A12"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CE485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18</w:t>
            </w:r>
          </w:p>
        </w:tc>
        <w:tc>
          <w:tcPr>
            <w:tcW w:w="1275" w:type="dxa"/>
            <w:shd w:val="clear" w:color="auto" w:fill="auto"/>
            <w:noWrap/>
            <w:vAlign w:val="center"/>
          </w:tcPr>
          <w:p w14:paraId="05E234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4010</w:t>
            </w:r>
          </w:p>
        </w:tc>
        <w:tc>
          <w:tcPr>
            <w:tcW w:w="1574" w:type="dxa"/>
            <w:shd w:val="clear" w:color="auto" w:fill="auto"/>
            <w:noWrap/>
            <w:vAlign w:val="center"/>
          </w:tcPr>
          <w:p w14:paraId="5209AF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44.555</w:t>
            </w:r>
          </w:p>
        </w:tc>
        <w:tc>
          <w:tcPr>
            <w:tcW w:w="2068" w:type="dxa"/>
            <w:shd w:val="clear" w:color="auto" w:fill="auto"/>
            <w:noWrap/>
            <w:vAlign w:val="center"/>
          </w:tcPr>
          <w:p w14:paraId="58A43EC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0.00863</w:t>
            </w:r>
          </w:p>
        </w:tc>
        <w:tc>
          <w:tcPr>
            <w:tcW w:w="1419" w:type="dxa"/>
            <w:vMerge/>
            <w:vAlign w:val="center"/>
          </w:tcPr>
          <w:p w14:paraId="30086EF2" w14:textId="77777777" w:rsidR="002133E3" w:rsidRDefault="002133E3">
            <w:pPr>
              <w:widowControl/>
              <w:jc w:val="center"/>
              <w:rPr>
                <w:rFonts w:ascii="Times New Roman" w:eastAsia="宋体" w:hAnsi="Times New Roman" w:cs="Times New Roman"/>
                <w:color w:val="000000"/>
                <w:kern w:val="0"/>
                <w:szCs w:val="21"/>
              </w:rPr>
            </w:pPr>
          </w:p>
        </w:tc>
      </w:tr>
      <w:tr w:rsidR="002133E3" w14:paraId="07B64CD6" w14:textId="77777777">
        <w:trPr>
          <w:trHeight w:val="300"/>
        </w:trPr>
        <w:tc>
          <w:tcPr>
            <w:tcW w:w="1172" w:type="dxa"/>
            <w:vMerge/>
            <w:vAlign w:val="center"/>
          </w:tcPr>
          <w:p w14:paraId="45EA7E64"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FFFA60F"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D925E3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w:t>
            </w:r>
          </w:p>
        </w:tc>
        <w:tc>
          <w:tcPr>
            <w:tcW w:w="1275" w:type="dxa"/>
            <w:shd w:val="clear" w:color="auto" w:fill="auto"/>
            <w:noWrap/>
            <w:vAlign w:val="center"/>
          </w:tcPr>
          <w:p w14:paraId="1335833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4510</w:t>
            </w:r>
          </w:p>
        </w:tc>
        <w:tc>
          <w:tcPr>
            <w:tcW w:w="1574" w:type="dxa"/>
            <w:shd w:val="clear" w:color="auto" w:fill="auto"/>
            <w:noWrap/>
            <w:vAlign w:val="center"/>
          </w:tcPr>
          <w:p w14:paraId="06F73B3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50.111</w:t>
            </w:r>
          </w:p>
        </w:tc>
        <w:tc>
          <w:tcPr>
            <w:tcW w:w="2068" w:type="dxa"/>
            <w:shd w:val="clear" w:color="auto" w:fill="auto"/>
            <w:noWrap/>
            <w:vAlign w:val="center"/>
          </w:tcPr>
          <w:p w14:paraId="55A7278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0.007379</w:t>
            </w:r>
          </w:p>
        </w:tc>
        <w:tc>
          <w:tcPr>
            <w:tcW w:w="1419" w:type="dxa"/>
            <w:vMerge/>
            <w:vAlign w:val="center"/>
          </w:tcPr>
          <w:p w14:paraId="08A39C78" w14:textId="77777777" w:rsidR="002133E3" w:rsidRDefault="002133E3">
            <w:pPr>
              <w:widowControl/>
              <w:jc w:val="center"/>
              <w:rPr>
                <w:rFonts w:ascii="Times New Roman" w:eastAsia="宋体" w:hAnsi="Times New Roman" w:cs="Times New Roman"/>
                <w:color w:val="000000"/>
                <w:kern w:val="0"/>
                <w:szCs w:val="21"/>
              </w:rPr>
            </w:pPr>
          </w:p>
        </w:tc>
      </w:tr>
      <w:tr w:rsidR="002133E3" w14:paraId="12749B38" w14:textId="77777777">
        <w:trPr>
          <w:trHeight w:val="540"/>
        </w:trPr>
        <w:tc>
          <w:tcPr>
            <w:tcW w:w="1172" w:type="dxa"/>
            <w:shd w:val="clear" w:color="auto" w:fill="auto"/>
            <w:vAlign w:val="center"/>
          </w:tcPr>
          <w:p w14:paraId="77AE6BC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事故情景</w:t>
            </w:r>
          </w:p>
        </w:tc>
        <w:tc>
          <w:tcPr>
            <w:tcW w:w="1173" w:type="dxa"/>
            <w:shd w:val="clear" w:color="auto" w:fill="auto"/>
            <w:vAlign w:val="center"/>
          </w:tcPr>
          <w:p w14:paraId="7969C0C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污染因子</w:t>
            </w:r>
          </w:p>
        </w:tc>
        <w:tc>
          <w:tcPr>
            <w:tcW w:w="1173" w:type="dxa"/>
            <w:shd w:val="clear" w:color="auto" w:fill="auto"/>
            <w:vAlign w:val="center"/>
          </w:tcPr>
          <w:p w14:paraId="69158C8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1275" w:type="dxa"/>
            <w:shd w:val="clear" w:color="auto" w:fill="auto"/>
            <w:vAlign w:val="center"/>
          </w:tcPr>
          <w:p w14:paraId="7ABBEE3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一般计算点（</w:t>
            </w:r>
            <w:r>
              <w:rPr>
                <w:rFonts w:ascii="Times New Roman" w:eastAsia="宋体" w:hAnsi="Times New Roman" w:cs="Times New Roman"/>
                <w:b/>
                <w:bCs/>
                <w:color w:val="000000"/>
                <w:kern w:val="0"/>
                <w:szCs w:val="21"/>
              </w:rPr>
              <w:t>m</w:t>
            </w:r>
            <w:r>
              <w:rPr>
                <w:rFonts w:ascii="Times New Roman" w:eastAsia="宋体" w:hAnsi="Times New Roman" w:cs="Times New Roman"/>
                <w:b/>
                <w:bCs/>
                <w:color w:val="000000"/>
                <w:kern w:val="0"/>
                <w:szCs w:val="21"/>
              </w:rPr>
              <w:t>）</w:t>
            </w:r>
          </w:p>
        </w:tc>
        <w:tc>
          <w:tcPr>
            <w:tcW w:w="1574" w:type="dxa"/>
            <w:shd w:val="clear" w:color="auto" w:fill="auto"/>
            <w:vAlign w:val="center"/>
          </w:tcPr>
          <w:p w14:paraId="16AF1E3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出现时间（</w:t>
            </w:r>
            <w:r>
              <w:rPr>
                <w:rFonts w:ascii="Times New Roman" w:eastAsia="宋体" w:hAnsi="Times New Roman" w:cs="Times New Roman"/>
                <w:b/>
                <w:bCs/>
                <w:color w:val="000000"/>
                <w:kern w:val="0"/>
                <w:szCs w:val="21"/>
              </w:rPr>
              <w:t>min)</w:t>
            </w:r>
          </w:p>
        </w:tc>
        <w:tc>
          <w:tcPr>
            <w:tcW w:w="2068" w:type="dxa"/>
            <w:shd w:val="clear" w:color="auto" w:fill="auto"/>
            <w:vAlign w:val="center"/>
          </w:tcPr>
          <w:p w14:paraId="5726A9E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最大浓度</w:t>
            </w:r>
            <w:r>
              <w:rPr>
                <w:rFonts w:ascii="Times New Roman" w:eastAsia="宋体" w:hAnsi="Times New Roman" w:cs="Times New Roman"/>
                <w:b/>
                <w:bCs/>
                <w:color w:val="000000"/>
                <w:kern w:val="0"/>
                <w:szCs w:val="21"/>
              </w:rPr>
              <w:t>(mg/m</w:t>
            </w:r>
            <w:r>
              <w:rPr>
                <w:rFonts w:ascii="Times New Roman" w:eastAsia="宋体" w:hAnsi="Times New Roman" w:cs="Times New Roman"/>
                <w:b/>
                <w:bCs/>
                <w:color w:val="000000"/>
                <w:kern w:val="0"/>
                <w:szCs w:val="21"/>
                <w:vertAlign w:val="superscript"/>
              </w:rPr>
              <w:t>3</w:t>
            </w:r>
            <w:r>
              <w:rPr>
                <w:rFonts w:ascii="Times New Roman" w:eastAsia="宋体" w:hAnsi="Times New Roman" w:cs="Times New Roman"/>
                <w:b/>
                <w:bCs/>
                <w:color w:val="000000"/>
                <w:kern w:val="0"/>
                <w:szCs w:val="21"/>
              </w:rPr>
              <w:t>)</w:t>
            </w:r>
          </w:p>
        </w:tc>
        <w:tc>
          <w:tcPr>
            <w:tcW w:w="1419" w:type="dxa"/>
            <w:shd w:val="clear" w:color="auto" w:fill="auto"/>
            <w:vAlign w:val="center"/>
          </w:tcPr>
          <w:p w14:paraId="0150C3C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终点浓度范围</w:t>
            </w:r>
          </w:p>
        </w:tc>
      </w:tr>
      <w:tr w:rsidR="002133E3" w14:paraId="3A3B2131" w14:textId="77777777">
        <w:trPr>
          <w:trHeight w:val="300"/>
        </w:trPr>
        <w:tc>
          <w:tcPr>
            <w:tcW w:w="1172" w:type="dxa"/>
            <w:vMerge w:val="restart"/>
            <w:shd w:val="clear" w:color="auto" w:fill="auto"/>
            <w:vAlign w:val="center"/>
          </w:tcPr>
          <w:p w14:paraId="1E735D9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最不利条件下沼气发生火灾</w:t>
            </w:r>
          </w:p>
        </w:tc>
        <w:tc>
          <w:tcPr>
            <w:tcW w:w="1173" w:type="dxa"/>
            <w:vMerge w:val="restart"/>
            <w:shd w:val="clear" w:color="auto" w:fill="auto"/>
            <w:vAlign w:val="center"/>
          </w:tcPr>
          <w:p w14:paraId="4ADAD35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一氧化碳</w:t>
            </w:r>
          </w:p>
        </w:tc>
        <w:tc>
          <w:tcPr>
            <w:tcW w:w="1173" w:type="dxa"/>
            <w:shd w:val="clear" w:color="auto" w:fill="auto"/>
            <w:vAlign w:val="center"/>
          </w:tcPr>
          <w:p w14:paraId="47EBAD5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275" w:type="dxa"/>
            <w:shd w:val="clear" w:color="auto" w:fill="auto"/>
            <w:noWrap/>
            <w:vAlign w:val="center"/>
          </w:tcPr>
          <w:p w14:paraId="376642F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1574" w:type="dxa"/>
            <w:shd w:val="clear" w:color="auto" w:fill="auto"/>
            <w:noWrap/>
            <w:vAlign w:val="center"/>
          </w:tcPr>
          <w:p w14:paraId="6922EAF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0.11111</w:t>
            </w:r>
          </w:p>
        </w:tc>
        <w:tc>
          <w:tcPr>
            <w:tcW w:w="2068" w:type="dxa"/>
            <w:shd w:val="clear" w:color="auto" w:fill="auto"/>
            <w:noWrap/>
            <w:vAlign w:val="center"/>
          </w:tcPr>
          <w:p w14:paraId="7B9C261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24335</w:t>
            </w:r>
          </w:p>
        </w:tc>
        <w:tc>
          <w:tcPr>
            <w:tcW w:w="1419" w:type="dxa"/>
            <w:vMerge w:val="restart"/>
            <w:shd w:val="clear" w:color="auto" w:fill="auto"/>
            <w:vAlign w:val="center"/>
          </w:tcPr>
          <w:p w14:paraId="306F55CB" w14:textId="77777777" w:rsidR="002133E3" w:rsidRDefault="00C22CFA">
            <w:pPr>
              <w:widowControl/>
              <w:jc w:val="center"/>
              <w:rPr>
                <w:rFonts w:ascii="Times New Roman" w:eastAsia="宋体" w:hAnsi="Times New Roman" w:cs="Times New Roman"/>
                <w:color w:val="000000"/>
                <w:kern w:val="0"/>
                <w:szCs w:val="21"/>
              </w:rPr>
            </w:pPr>
            <w:bookmarkStart w:id="70" w:name="_Hlk73949114"/>
            <w:r>
              <w:rPr>
                <w:rFonts w:ascii="Times New Roman" w:eastAsia="宋体" w:hAnsi="Times New Roman" w:cs="Times New Roman"/>
                <w:color w:val="000000"/>
                <w:kern w:val="0"/>
                <w:szCs w:val="21"/>
              </w:rPr>
              <w:t>事故状态下下风向一氧化碳大气毒性终点浓度</w:t>
            </w:r>
            <w:r>
              <w:rPr>
                <w:rFonts w:ascii="Times New Roman" w:eastAsia="宋体" w:hAnsi="Times New Roman" w:cs="Times New Roman"/>
                <w:color w:val="000000"/>
                <w:kern w:val="0"/>
                <w:szCs w:val="21"/>
              </w:rPr>
              <w:t>2</w:t>
            </w:r>
            <w:r>
              <w:rPr>
                <w:rFonts w:ascii="Times New Roman" w:eastAsia="宋体" w:hAnsi="Times New Roman" w:cs="Times New Roman"/>
                <w:color w:val="000000"/>
                <w:kern w:val="0"/>
                <w:szCs w:val="21"/>
              </w:rPr>
              <w:t>影响范围为</w:t>
            </w:r>
            <w:r>
              <w:rPr>
                <w:rFonts w:ascii="Times New Roman" w:eastAsia="宋体" w:hAnsi="Times New Roman" w:cs="Times New Roman"/>
                <w:color w:val="000000"/>
                <w:kern w:val="0"/>
                <w:szCs w:val="21"/>
              </w:rPr>
              <w:t>425m</w:t>
            </w:r>
            <w:r>
              <w:rPr>
                <w:rFonts w:ascii="Times New Roman" w:eastAsia="宋体" w:hAnsi="Times New Roman" w:cs="Times New Roman"/>
                <w:color w:val="000000"/>
                <w:kern w:val="0"/>
                <w:szCs w:val="21"/>
              </w:rPr>
              <w:t>；大气毒性终点浓度</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影响范围为</w:t>
            </w:r>
            <w:r>
              <w:rPr>
                <w:rFonts w:ascii="Times New Roman" w:eastAsia="宋体" w:hAnsi="Times New Roman" w:cs="Times New Roman"/>
                <w:color w:val="000000"/>
                <w:kern w:val="0"/>
                <w:szCs w:val="21"/>
              </w:rPr>
              <w:t>163m</w:t>
            </w:r>
            <w:r>
              <w:rPr>
                <w:rFonts w:ascii="Times New Roman" w:eastAsia="宋体" w:hAnsi="Times New Roman" w:cs="Times New Roman"/>
                <w:color w:val="000000"/>
                <w:kern w:val="0"/>
                <w:szCs w:val="21"/>
              </w:rPr>
              <w:t>。</w:t>
            </w:r>
            <w:bookmarkEnd w:id="70"/>
          </w:p>
        </w:tc>
      </w:tr>
      <w:tr w:rsidR="002133E3" w14:paraId="2FD1F751" w14:textId="77777777">
        <w:trPr>
          <w:trHeight w:val="300"/>
        </w:trPr>
        <w:tc>
          <w:tcPr>
            <w:tcW w:w="1172" w:type="dxa"/>
            <w:vMerge/>
            <w:vAlign w:val="center"/>
          </w:tcPr>
          <w:p w14:paraId="0975237B"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6DDECE84"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7A59DE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1275" w:type="dxa"/>
            <w:shd w:val="clear" w:color="auto" w:fill="auto"/>
            <w:noWrap/>
            <w:vAlign w:val="center"/>
          </w:tcPr>
          <w:p w14:paraId="47A8969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60</w:t>
            </w:r>
          </w:p>
        </w:tc>
        <w:tc>
          <w:tcPr>
            <w:tcW w:w="1574" w:type="dxa"/>
            <w:shd w:val="clear" w:color="auto" w:fill="auto"/>
            <w:noWrap/>
            <w:vAlign w:val="center"/>
          </w:tcPr>
          <w:p w14:paraId="29A6049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0.66667</w:t>
            </w:r>
          </w:p>
        </w:tc>
        <w:tc>
          <w:tcPr>
            <w:tcW w:w="2068" w:type="dxa"/>
            <w:shd w:val="clear" w:color="auto" w:fill="auto"/>
            <w:noWrap/>
            <w:vAlign w:val="center"/>
          </w:tcPr>
          <w:p w14:paraId="610BA1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1410.1</w:t>
            </w:r>
          </w:p>
        </w:tc>
        <w:tc>
          <w:tcPr>
            <w:tcW w:w="1419" w:type="dxa"/>
            <w:vMerge/>
            <w:vAlign w:val="center"/>
          </w:tcPr>
          <w:p w14:paraId="1649FF40" w14:textId="77777777" w:rsidR="002133E3" w:rsidRDefault="002133E3">
            <w:pPr>
              <w:widowControl/>
              <w:jc w:val="center"/>
              <w:rPr>
                <w:rFonts w:ascii="Times New Roman" w:eastAsia="宋体" w:hAnsi="Times New Roman" w:cs="Times New Roman"/>
                <w:color w:val="000000"/>
                <w:kern w:val="0"/>
                <w:szCs w:val="21"/>
              </w:rPr>
            </w:pPr>
          </w:p>
        </w:tc>
      </w:tr>
      <w:tr w:rsidR="002133E3" w14:paraId="6D286897" w14:textId="77777777">
        <w:trPr>
          <w:trHeight w:val="300"/>
        </w:trPr>
        <w:tc>
          <w:tcPr>
            <w:tcW w:w="1172" w:type="dxa"/>
            <w:vMerge/>
            <w:vAlign w:val="center"/>
          </w:tcPr>
          <w:p w14:paraId="2509B9B1"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12577EC"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5764A3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c>
          <w:tcPr>
            <w:tcW w:w="1275" w:type="dxa"/>
            <w:shd w:val="clear" w:color="auto" w:fill="auto"/>
            <w:noWrap/>
            <w:vAlign w:val="center"/>
          </w:tcPr>
          <w:p w14:paraId="7608E8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110</w:t>
            </w:r>
          </w:p>
        </w:tc>
        <w:tc>
          <w:tcPr>
            <w:tcW w:w="1574" w:type="dxa"/>
            <w:shd w:val="clear" w:color="auto" w:fill="auto"/>
            <w:noWrap/>
            <w:vAlign w:val="center"/>
          </w:tcPr>
          <w:p w14:paraId="4ED721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1.2222</w:t>
            </w:r>
          </w:p>
        </w:tc>
        <w:tc>
          <w:tcPr>
            <w:tcW w:w="2068" w:type="dxa"/>
            <w:shd w:val="clear" w:color="auto" w:fill="auto"/>
            <w:noWrap/>
            <w:vAlign w:val="center"/>
          </w:tcPr>
          <w:p w14:paraId="2E35AF5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635.26</w:t>
            </w:r>
          </w:p>
        </w:tc>
        <w:tc>
          <w:tcPr>
            <w:tcW w:w="1419" w:type="dxa"/>
            <w:vMerge/>
            <w:vAlign w:val="center"/>
          </w:tcPr>
          <w:p w14:paraId="5C9577F9" w14:textId="77777777" w:rsidR="002133E3" w:rsidRDefault="002133E3">
            <w:pPr>
              <w:widowControl/>
              <w:jc w:val="center"/>
              <w:rPr>
                <w:rFonts w:ascii="Times New Roman" w:eastAsia="宋体" w:hAnsi="Times New Roman" w:cs="Times New Roman"/>
                <w:color w:val="000000"/>
                <w:kern w:val="0"/>
                <w:szCs w:val="21"/>
              </w:rPr>
            </w:pPr>
          </w:p>
        </w:tc>
      </w:tr>
      <w:tr w:rsidR="002133E3" w14:paraId="3B7798A3" w14:textId="77777777">
        <w:trPr>
          <w:trHeight w:val="300"/>
        </w:trPr>
        <w:tc>
          <w:tcPr>
            <w:tcW w:w="1172" w:type="dxa"/>
            <w:vMerge/>
            <w:vAlign w:val="center"/>
          </w:tcPr>
          <w:p w14:paraId="42416097"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612364E2"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5E21EC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1275" w:type="dxa"/>
            <w:shd w:val="clear" w:color="auto" w:fill="auto"/>
            <w:noWrap/>
            <w:vAlign w:val="center"/>
          </w:tcPr>
          <w:p w14:paraId="6EC26DC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210</w:t>
            </w:r>
          </w:p>
        </w:tc>
        <w:tc>
          <w:tcPr>
            <w:tcW w:w="1574" w:type="dxa"/>
            <w:shd w:val="clear" w:color="auto" w:fill="auto"/>
            <w:noWrap/>
            <w:vAlign w:val="center"/>
          </w:tcPr>
          <w:p w14:paraId="33F9ACA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2.3333</w:t>
            </w:r>
          </w:p>
        </w:tc>
        <w:tc>
          <w:tcPr>
            <w:tcW w:w="2068" w:type="dxa"/>
            <w:shd w:val="clear" w:color="auto" w:fill="auto"/>
            <w:noWrap/>
            <w:vAlign w:val="center"/>
          </w:tcPr>
          <w:p w14:paraId="0C61623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274.91</w:t>
            </w:r>
          </w:p>
        </w:tc>
        <w:tc>
          <w:tcPr>
            <w:tcW w:w="1419" w:type="dxa"/>
            <w:vMerge/>
            <w:vAlign w:val="center"/>
          </w:tcPr>
          <w:p w14:paraId="0F012F13" w14:textId="77777777" w:rsidR="002133E3" w:rsidRDefault="002133E3">
            <w:pPr>
              <w:widowControl/>
              <w:jc w:val="center"/>
              <w:rPr>
                <w:rFonts w:ascii="Times New Roman" w:eastAsia="宋体" w:hAnsi="Times New Roman" w:cs="Times New Roman"/>
                <w:color w:val="000000"/>
                <w:kern w:val="0"/>
                <w:szCs w:val="21"/>
              </w:rPr>
            </w:pPr>
          </w:p>
        </w:tc>
      </w:tr>
      <w:tr w:rsidR="002133E3" w14:paraId="22365188" w14:textId="77777777">
        <w:trPr>
          <w:trHeight w:val="300"/>
        </w:trPr>
        <w:tc>
          <w:tcPr>
            <w:tcW w:w="1172" w:type="dxa"/>
            <w:vMerge/>
            <w:vAlign w:val="center"/>
          </w:tcPr>
          <w:p w14:paraId="7627698C"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610912DF"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3425EE5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1275" w:type="dxa"/>
            <w:shd w:val="clear" w:color="auto" w:fill="auto"/>
            <w:noWrap/>
            <w:vAlign w:val="center"/>
          </w:tcPr>
          <w:p w14:paraId="2E349C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310</w:t>
            </w:r>
          </w:p>
        </w:tc>
        <w:tc>
          <w:tcPr>
            <w:tcW w:w="1574" w:type="dxa"/>
            <w:shd w:val="clear" w:color="auto" w:fill="auto"/>
            <w:noWrap/>
            <w:vAlign w:val="center"/>
          </w:tcPr>
          <w:p w14:paraId="3366A21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3.4444</w:t>
            </w:r>
          </w:p>
        </w:tc>
        <w:tc>
          <w:tcPr>
            <w:tcW w:w="2068" w:type="dxa"/>
            <w:shd w:val="clear" w:color="auto" w:fill="auto"/>
            <w:noWrap/>
            <w:vAlign w:val="center"/>
          </w:tcPr>
          <w:p w14:paraId="03662B0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156.36</w:t>
            </w:r>
          </w:p>
        </w:tc>
        <w:tc>
          <w:tcPr>
            <w:tcW w:w="1419" w:type="dxa"/>
            <w:vMerge/>
            <w:vAlign w:val="center"/>
          </w:tcPr>
          <w:p w14:paraId="018D3BA8" w14:textId="77777777" w:rsidR="002133E3" w:rsidRDefault="002133E3">
            <w:pPr>
              <w:widowControl/>
              <w:jc w:val="center"/>
              <w:rPr>
                <w:rFonts w:ascii="Times New Roman" w:eastAsia="宋体" w:hAnsi="Times New Roman" w:cs="Times New Roman"/>
                <w:color w:val="000000"/>
                <w:kern w:val="0"/>
                <w:szCs w:val="21"/>
              </w:rPr>
            </w:pPr>
          </w:p>
        </w:tc>
      </w:tr>
      <w:tr w:rsidR="002133E3" w14:paraId="0988551F" w14:textId="77777777">
        <w:trPr>
          <w:trHeight w:val="300"/>
        </w:trPr>
        <w:tc>
          <w:tcPr>
            <w:tcW w:w="1172" w:type="dxa"/>
            <w:vMerge/>
            <w:vAlign w:val="center"/>
          </w:tcPr>
          <w:p w14:paraId="18E29C69"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8972A7E"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6A460AC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p>
        </w:tc>
        <w:tc>
          <w:tcPr>
            <w:tcW w:w="1275" w:type="dxa"/>
            <w:shd w:val="clear" w:color="auto" w:fill="auto"/>
            <w:noWrap/>
            <w:vAlign w:val="center"/>
          </w:tcPr>
          <w:p w14:paraId="1C17BB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410</w:t>
            </w:r>
          </w:p>
        </w:tc>
        <w:tc>
          <w:tcPr>
            <w:tcW w:w="1574" w:type="dxa"/>
            <w:shd w:val="clear" w:color="auto" w:fill="auto"/>
            <w:noWrap/>
            <w:vAlign w:val="center"/>
          </w:tcPr>
          <w:p w14:paraId="556F9D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4.5556</w:t>
            </w:r>
          </w:p>
        </w:tc>
        <w:tc>
          <w:tcPr>
            <w:tcW w:w="2068" w:type="dxa"/>
            <w:shd w:val="clear" w:color="auto" w:fill="auto"/>
            <w:noWrap/>
            <w:vAlign w:val="center"/>
          </w:tcPr>
          <w:p w14:paraId="3609083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101.91</w:t>
            </w:r>
          </w:p>
        </w:tc>
        <w:tc>
          <w:tcPr>
            <w:tcW w:w="1419" w:type="dxa"/>
            <w:vMerge/>
            <w:vAlign w:val="center"/>
          </w:tcPr>
          <w:p w14:paraId="138C543D" w14:textId="77777777" w:rsidR="002133E3" w:rsidRDefault="002133E3">
            <w:pPr>
              <w:widowControl/>
              <w:jc w:val="center"/>
              <w:rPr>
                <w:rFonts w:ascii="Times New Roman" w:eastAsia="宋体" w:hAnsi="Times New Roman" w:cs="Times New Roman"/>
                <w:color w:val="000000"/>
                <w:kern w:val="0"/>
                <w:szCs w:val="21"/>
              </w:rPr>
            </w:pPr>
          </w:p>
        </w:tc>
      </w:tr>
      <w:tr w:rsidR="002133E3" w14:paraId="4B36D586" w14:textId="77777777">
        <w:trPr>
          <w:trHeight w:val="300"/>
        </w:trPr>
        <w:tc>
          <w:tcPr>
            <w:tcW w:w="1172" w:type="dxa"/>
            <w:vMerge/>
            <w:vAlign w:val="center"/>
          </w:tcPr>
          <w:p w14:paraId="4E363923"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113ADA5F"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9D81C2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w:t>
            </w:r>
          </w:p>
        </w:tc>
        <w:tc>
          <w:tcPr>
            <w:tcW w:w="1275" w:type="dxa"/>
            <w:shd w:val="clear" w:color="auto" w:fill="auto"/>
            <w:noWrap/>
            <w:vAlign w:val="center"/>
          </w:tcPr>
          <w:p w14:paraId="12BC82A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510</w:t>
            </w:r>
          </w:p>
        </w:tc>
        <w:tc>
          <w:tcPr>
            <w:tcW w:w="1574" w:type="dxa"/>
            <w:shd w:val="clear" w:color="auto" w:fill="auto"/>
            <w:noWrap/>
            <w:vAlign w:val="center"/>
          </w:tcPr>
          <w:p w14:paraId="64EDC20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5.6667</w:t>
            </w:r>
          </w:p>
        </w:tc>
        <w:tc>
          <w:tcPr>
            <w:tcW w:w="2068" w:type="dxa"/>
            <w:shd w:val="clear" w:color="auto" w:fill="auto"/>
            <w:noWrap/>
            <w:vAlign w:val="center"/>
          </w:tcPr>
          <w:p w14:paraId="103A1DB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72.26</w:t>
            </w:r>
          </w:p>
        </w:tc>
        <w:tc>
          <w:tcPr>
            <w:tcW w:w="1419" w:type="dxa"/>
            <w:vMerge/>
            <w:vAlign w:val="center"/>
          </w:tcPr>
          <w:p w14:paraId="20933A78" w14:textId="77777777" w:rsidR="002133E3" w:rsidRDefault="002133E3">
            <w:pPr>
              <w:widowControl/>
              <w:jc w:val="center"/>
              <w:rPr>
                <w:rFonts w:ascii="Times New Roman" w:eastAsia="宋体" w:hAnsi="Times New Roman" w:cs="Times New Roman"/>
                <w:color w:val="000000"/>
                <w:kern w:val="0"/>
                <w:szCs w:val="21"/>
              </w:rPr>
            </w:pPr>
          </w:p>
        </w:tc>
      </w:tr>
      <w:tr w:rsidR="002133E3" w14:paraId="24FAD972" w14:textId="77777777">
        <w:trPr>
          <w:trHeight w:val="300"/>
        </w:trPr>
        <w:tc>
          <w:tcPr>
            <w:tcW w:w="1172" w:type="dxa"/>
            <w:vMerge/>
            <w:vAlign w:val="center"/>
          </w:tcPr>
          <w:p w14:paraId="11AA5DE8"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FE15A28"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34C98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w:t>
            </w:r>
          </w:p>
        </w:tc>
        <w:tc>
          <w:tcPr>
            <w:tcW w:w="1275" w:type="dxa"/>
            <w:shd w:val="clear" w:color="auto" w:fill="auto"/>
            <w:noWrap/>
            <w:vAlign w:val="center"/>
          </w:tcPr>
          <w:p w14:paraId="7C7BD82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610</w:t>
            </w:r>
          </w:p>
        </w:tc>
        <w:tc>
          <w:tcPr>
            <w:tcW w:w="1574" w:type="dxa"/>
            <w:shd w:val="clear" w:color="auto" w:fill="auto"/>
            <w:noWrap/>
            <w:vAlign w:val="center"/>
          </w:tcPr>
          <w:p w14:paraId="361F442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6.7778</w:t>
            </w:r>
          </w:p>
        </w:tc>
        <w:tc>
          <w:tcPr>
            <w:tcW w:w="2068" w:type="dxa"/>
            <w:shd w:val="clear" w:color="auto" w:fill="auto"/>
            <w:noWrap/>
            <w:vAlign w:val="center"/>
          </w:tcPr>
          <w:p w14:paraId="68856D3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54.246</w:t>
            </w:r>
          </w:p>
        </w:tc>
        <w:tc>
          <w:tcPr>
            <w:tcW w:w="1419" w:type="dxa"/>
            <w:vMerge/>
            <w:vAlign w:val="center"/>
          </w:tcPr>
          <w:p w14:paraId="61BCD9C2" w14:textId="77777777" w:rsidR="002133E3" w:rsidRDefault="002133E3">
            <w:pPr>
              <w:widowControl/>
              <w:jc w:val="center"/>
              <w:rPr>
                <w:rFonts w:ascii="Times New Roman" w:eastAsia="宋体" w:hAnsi="Times New Roman" w:cs="Times New Roman"/>
                <w:color w:val="000000"/>
                <w:kern w:val="0"/>
                <w:szCs w:val="21"/>
              </w:rPr>
            </w:pPr>
          </w:p>
        </w:tc>
      </w:tr>
      <w:tr w:rsidR="002133E3" w14:paraId="6BDCBB44" w14:textId="77777777">
        <w:trPr>
          <w:trHeight w:val="300"/>
        </w:trPr>
        <w:tc>
          <w:tcPr>
            <w:tcW w:w="1172" w:type="dxa"/>
            <w:vMerge/>
            <w:vAlign w:val="center"/>
          </w:tcPr>
          <w:p w14:paraId="4674A874"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46F5345"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3DDA2B7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w:t>
            </w:r>
          </w:p>
        </w:tc>
        <w:tc>
          <w:tcPr>
            <w:tcW w:w="1275" w:type="dxa"/>
            <w:shd w:val="clear" w:color="auto" w:fill="auto"/>
            <w:noWrap/>
            <w:vAlign w:val="center"/>
          </w:tcPr>
          <w:p w14:paraId="75C29DA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710</w:t>
            </w:r>
          </w:p>
        </w:tc>
        <w:tc>
          <w:tcPr>
            <w:tcW w:w="1574" w:type="dxa"/>
            <w:shd w:val="clear" w:color="auto" w:fill="auto"/>
            <w:noWrap/>
            <w:vAlign w:val="center"/>
          </w:tcPr>
          <w:p w14:paraId="462690D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7.8889</w:t>
            </w:r>
          </w:p>
        </w:tc>
        <w:tc>
          <w:tcPr>
            <w:tcW w:w="2068" w:type="dxa"/>
            <w:shd w:val="clear" w:color="auto" w:fill="auto"/>
            <w:noWrap/>
            <w:vAlign w:val="center"/>
          </w:tcPr>
          <w:p w14:paraId="50906A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42.429</w:t>
            </w:r>
          </w:p>
        </w:tc>
        <w:tc>
          <w:tcPr>
            <w:tcW w:w="1419" w:type="dxa"/>
            <w:vMerge/>
            <w:vAlign w:val="center"/>
          </w:tcPr>
          <w:p w14:paraId="4F61894A" w14:textId="77777777" w:rsidR="002133E3" w:rsidRDefault="002133E3">
            <w:pPr>
              <w:widowControl/>
              <w:jc w:val="center"/>
              <w:rPr>
                <w:rFonts w:ascii="Times New Roman" w:eastAsia="宋体" w:hAnsi="Times New Roman" w:cs="Times New Roman"/>
                <w:color w:val="000000"/>
                <w:kern w:val="0"/>
                <w:szCs w:val="21"/>
              </w:rPr>
            </w:pPr>
          </w:p>
        </w:tc>
      </w:tr>
      <w:tr w:rsidR="002133E3" w14:paraId="1C5892F7" w14:textId="77777777">
        <w:trPr>
          <w:trHeight w:val="300"/>
        </w:trPr>
        <w:tc>
          <w:tcPr>
            <w:tcW w:w="1172" w:type="dxa"/>
            <w:vMerge/>
            <w:vAlign w:val="center"/>
          </w:tcPr>
          <w:p w14:paraId="0E090250"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AAA6C0A"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46FF7F3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1275" w:type="dxa"/>
            <w:shd w:val="clear" w:color="auto" w:fill="auto"/>
            <w:noWrap/>
            <w:vAlign w:val="center"/>
          </w:tcPr>
          <w:p w14:paraId="52C05B0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810</w:t>
            </w:r>
          </w:p>
        </w:tc>
        <w:tc>
          <w:tcPr>
            <w:tcW w:w="1574" w:type="dxa"/>
            <w:shd w:val="clear" w:color="auto" w:fill="auto"/>
            <w:noWrap/>
            <w:vAlign w:val="center"/>
          </w:tcPr>
          <w:p w14:paraId="3871645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w:t>
            </w:r>
          </w:p>
        </w:tc>
        <w:tc>
          <w:tcPr>
            <w:tcW w:w="2068" w:type="dxa"/>
            <w:shd w:val="clear" w:color="auto" w:fill="auto"/>
            <w:noWrap/>
            <w:vAlign w:val="center"/>
          </w:tcPr>
          <w:p w14:paraId="7123A2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34.227</w:t>
            </w:r>
          </w:p>
        </w:tc>
        <w:tc>
          <w:tcPr>
            <w:tcW w:w="1419" w:type="dxa"/>
            <w:vMerge/>
            <w:vAlign w:val="center"/>
          </w:tcPr>
          <w:p w14:paraId="7F2728E3" w14:textId="77777777" w:rsidR="002133E3" w:rsidRDefault="002133E3">
            <w:pPr>
              <w:widowControl/>
              <w:jc w:val="center"/>
              <w:rPr>
                <w:rFonts w:ascii="Times New Roman" w:eastAsia="宋体" w:hAnsi="Times New Roman" w:cs="Times New Roman"/>
                <w:color w:val="000000"/>
                <w:kern w:val="0"/>
                <w:szCs w:val="21"/>
              </w:rPr>
            </w:pPr>
          </w:p>
        </w:tc>
      </w:tr>
      <w:tr w:rsidR="002133E3" w14:paraId="650D4F25" w14:textId="77777777">
        <w:trPr>
          <w:trHeight w:val="300"/>
        </w:trPr>
        <w:tc>
          <w:tcPr>
            <w:tcW w:w="1172" w:type="dxa"/>
            <w:vMerge/>
            <w:vAlign w:val="center"/>
          </w:tcPr>
          <w:p w14:paraId="0D0AC302"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0E7DCD2"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0A0F4DD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w:t>
            </w:r>
          </w:p>
        </w:tc>
        <w:tc>
          <w:tcPr>
            <w:tcW w:w="1275" w:type="dxa"/>
            <w:shd w:val="clear" w:color="auto" w:fill="auto"/>
            <w:noWrap/>
            <w:vAlign w:val="center"/>
          </w:tcPr>
          <w:p w14:paraId="082AEE9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910</w:t>
            </w:r>
          </w:p>
        </w:tc>
        <w:tc>
          <w:tcPr>
            <w:tcW w:w="1574" w:type="dxa"/>
            <w:shd w:val="clear" w:color="auto" w:fill="auto"/>
            <w:noWrap/>
            <w:vAlign w:val="center"/>
          </w:tcPr>
          <w:p w14:paraId="720F6EB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10.111</w:t>
            </w:r>
          </w:p>
        </w:tc>
        <w:tc>
          <w:tcPr>
            <w:tcW w:w="2068" w:type="dxa"/>
            <w:shd w:val="clear" w:color="auto" w:fill="auto"/>
            <w:noWrap/>
            <w:vAlign w:val="center"/>
          </w:tcPr>
          <w:p w14:paraId="55166EB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28.283</w:t>
            </w:r>
          </w:p>
        </w:tc>
        <w:tc>
          <w:tcPr>
            <w:tcW w:w="1419" w:type="dxa"/>
            <w:vMerge/>
            <w:vAlign w:val="center"/>
          </w:tcPr>
          <w:p w14:paraId="58A24A68" w14:textId="77777777" w:rsidR="002133E3" w:rsidRDefault="002133E3">
            <w:pPr>
              <w:widowControl/>
              <w:jc w:val="center"/>
              <w:rPr>
                <w:rFonts w:ascii="Times New Roman" w:eastAsia="宋体" w:hAnsi="Times New Roman" w:cs="Times New Roman"/>
                <w:color w:val="000000"/>
                <w:kern w:val="0"/>
                <w:szCs w:val="21"/>
              </w:rPr>
            </w:pPr>
          </w:p>
        </w:tc>
      </w:tr>
      <w:tr w:rsidR="002133E3" w14:paraId="3596A218" w14:textId="77777777">
        <w:trPr>
          <w:trHeight w:val="300"/>
        </w:trPr>
        <w:tc>
          <w:tcPr>
            <w:tcW w:w="1172" w:type="dxa"/>
            <w:vMerge/>
            <w:vAlign w:val="center"/>
          </w:tcPr>
          <w:p w14:paraId="4AA236B3"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C195F52"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046AB50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w:t>
            </w:r>
          </w:p>
        </w:tc>
        <w:tc>
          <w:tcPr>
            <w:tcW w:w="1275" w:type="dxa"/>
            <w:shd w:val="clear" w:color="auto" w:fill="auto"/>
            <w:noWrap/>
            <w:vAlign w:val="center"/>
          </w:tcPr>
          <w:p w14:paraId="0CAF275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1010</w:t>
            </w:r>
          </w:p>
        </w:tc>
        <w:tc>
          <w:tcPr>
            <w:tcW w:w="1574" w:type="dxa"/>
            <w:shd w:val="clear" w:color="auto" w:fill="auto"/>
            <w:noWrap/>
            <w:vAlign w:val="center"/>
          </w:tcPr>
          <w:p w14:paraId="3684A94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11.222</w:t>
            </w:r>
          </w:p>
        </w:tc>
        <w:tc>
          <w:tcPr>
            <w:tcW w:w="2068" w:type="dxa"/>
            <w:shd w:val="clear" w:color="auto" w:fill="auto"/>
            <w:noWrap/>
            <w:vAlign w:val="center"/>
          </w:tcPr>
          <w:p w14:paraId="1A5F6BA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23.825</w:t>
            </w:r>
          </w:p>
        </w:tc>
        <w:tc>
          <w:tcPr>
            <w:tcW w:w="1419" w:type="dxa"/>
            <w:vMerge/>
            <w:vAlign w:val="center"/>
          </w:tcPr>
          <w:p w14:paraId="59B2A5FC" w14:textId="77777777" w:rsidR="002133E3" w:rsidRDefault="002133E3">
            <w:pPr>
              <w:widowControl/>
              <w:jc w:val="center"/>
              <w:rPr>
                <w:rFonts w:ascii="Times New Roman" w:eastAsia="宋体" w:hAnsi="Times New Roman" w:cs="Times New Roman"/>
                <w:color w:val="000000"/>
                <w:kern w:val="0"/>
                <w:szCs w:val="21"/>
              </w:rPr>
            </w:pPr>
          </w:p>
        </w:tc>
      </w:tr>
      <w:tr w:rsidR="002133E3" w14:paraId="2EB8ED84" w14:textId="77777777">
        <w:trPr>
          <w:trHeight w:val="300"/>
        </w:trPr>
        <w:tc>
          <w:tcPr>
            <w:tcW w:w="1172" w:type="dxa"/>
            <w:vMerge/>
            <w:vAlign w:val="center"/>
          </w:tcPr>
          <w:p w14:paraId="6ED53B9F"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55D38DA"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645AC0D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13</w:t>
            </w:r>
          </w:p>
        </w:tc>
        <w:tc>
          <w:tcPr>
            <w:tcW w:w="1275" w:type="dxa"/>
            <w:shd w:val="clear" w:color="auto" w:fill="auto"/>
            <w:noWrap/>
            <w:vAlign w:val="center"/>
          </w:tcPr>
          <w:p w14:paraId="08A5A49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1510</w:t>
            </w:r>
          </w:p>
        </w:tc>
        <w:tc>
          <w:tcPr>
            <w:tcW w:w="1574" w:type="dxa"/>
            <w:shd w:val="clear" w:color="auto" w:fill="auto"/>
            <w:noWrap/>
            <w:vAlign w:val="center"/>
          </w:tcPr>
          <w:p w14:paraId="55A737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16.778</w:t>
            </w:r>
          </w:p>
        </w:tc>
        <w:tc>
          <w:tcPr>
            <w:tcW w:w="2068" w:type="dxa"/>
            <w:shd w:val="clear" w:color="auto" w:fill="auto"/>
            <w:noWrap/>
            <w:vAlign w:val="center"/>
          </w:tcPr>
          <w:p w14:paraId="0AF7C88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12.453</w:t>
            </w:r>
          </w:p>
        </w:tc>
        <w:tc>
          <w:tcPr>
            <w:tcW w:w="1419" w:type="dxa"/>
            <w:vMerge/>
            <w:vAlign w:val="center"/>
          </w:tcPr>
          <w:p w14:paraId="5ED50F4D" w14:textId="77777777" w:rsidR="002133E3" w:rsidRDefault="002133E3">
            <w:pPr>
              <w:widowControl/>
              <w:jc w:val="center"/>
              <w:rPr>
                <w:rFonts w:ascii="Times New Roman" w:eastAsia="宋体" w:hAnsi="Times New Roman" w:cs="Times New Roman"/>
                <w:color w:val="000000"/>
                <w:kern w:val="0"/>
                <w:szCs w:val="21"/>
              </w:rPr>
            </w:pPr>
          </w:p>
        </w:tc>
      </w:tr>
      <w:tr w:rsidR="002133E3" w14:paraId="79CD5A0D" w14:textId="77777777">
        <w:trPr>
          <w:trHeight w:val="300"/>
        </w:trPr>
        <w:tc>
          <w:tcPr>
            <w:tcW w:w="1172" w:type="dxa"/>
            <w:vMerge/>
            <w:vAlign w:val="center"/>
          </w:tcPr>
          <w:p w14:paraId="077CB40D"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56141B0E"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5C5EDB1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w:t>
            </w:r>
          </w:p>
        </w:tc>
        <w:tc>
          <w:tcPr>
            <w:tcW w:w="1275" w:type="dxa"/>
            <w:shd w:val="clear" w:color="auto" w:fill="auto"/>
            <w:noWrap/>
            <w:vAlign w:val="center"/>
          </w:tcPr>
          <w:p w14:paraId="3E08475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2010</w:t>
            </w:r>
          </w:p>
        </w:tc>
        <w:tc>
          <w:tcPr>
            <w:tcW w:w="1574" w:type="dxa"/>
            <w:shd w:val="clear" w:color="auto" w:fill="auto"/>
            <w:noWrap/>
            <w:vAlign w:val="center"/>
          </w:tcPr>
          <w:p w14:paraId="5EA4C43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22.333</w:t>
            </w:r>
          </w:p>
        </w:tc>
        <w:tc>
          <w:tcPr>
            <w:tcW w:w="2068" w:type="dxa"/>
            <w:shd w:val="clear" w:color="auto" w:fill="auto"/>
            <w:noWrap/>
            <w:vAlign w:val="center"/>
          </w:tcPr>
          <w:p w14:paraId="7208715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8.5212</w:t>
            </w:r>
          </w:p>
        </w:tc>
        <w:tc>
          <w:tcPr>
            <w:tcW w:w="1419" w:type="dxa"/>
            <w:vMerge/>
            <w:vAlign w:val="center"/>
          </w:tcPr>
          <w:p w14:paraId="48F1A82B" w14:textId="77777777" w:rsidR="002133E3" w:rsidRDefault="002133E3">
            <w:pPr>
              <w:widowControl/>
              <w:jc w:val="center"/>
              <w:rPr>
                <w:rFonts w:ascii="Times New Roman" w:eastAsia="宋体" w:hAnsi="Times New Roman" w:cs="Times New Roman"/>
                <w:color w:val="000000"/>
                <w:kern w:val="0"/>
                <w:szCs w:val="21"/>
              </w:rPr>
            </w:pPr>
          </w:p>
        </w:tc>
      </w:tr>
      <w:tr w:rsidR="002133E3" w14:paraId="6AB65027" w14:textId="77777777">
        <w:trPr>
          <w:trHeight w:val="300"/>
        </w:trPr>
        <w:tc>
          <w:tcPr>
            <w:tcW w:w="1172" w:type="dxa"/>
            <w:vMerge/>
            <w:vAlign w:val="center"/>
          </w:tcPr>
          <w:p w14:paraId="56049C28"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09E7990E"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14E75E7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1275" w:type="dxa"/>
            <w:shd w:val="clear" w:color="auto" w:fill="auto"/>
            <w:noWrap/>
            <w:vAlign w:val="center"/>
          </w:tcPr>
          <w:p w14:paraId="0B20C84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2510</w:t>
            </w:r>
          </w:p>
        </w:tc>
        <w:tc>
          <w:tcPr>
            <w:tcW w:w="1574" w:type="dxa"/>
            <w:shd w:val="clear" w:color="auto" w:fill="auto"/>
            <w:noWrap/>
            <w:vAlign w:val="center"/>
          </w:tcPr>
          <w:p w14:paraId="03B081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27.889</w:t>
            </w:r>
          </w:p>
        </w:tc>
        <w:tc>
          <w:tcPr>
            <w:tcW w:w="2068" w:type="dxa"/>
            <w:shd w:val="clear" w:color="auto" w:fill="auto"/>
            <w:noWrap/>
            <w:vAlign w:val="center"/>
          </w:tcPr>
          <w:p w14:paraId="2561CB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6.3431</w:t>
            </w:r>
          </w:p>
        </w:tc>
        <w:tc>
          <w:tcPr>
            <w:tcW w:w="1419" w:type="dxa"/>
            <w:vMerge/>
            <w:vAlign w:val="center"/>
          </w:tcPr>
          <w:p w14:paraId="33B96722" w14:textId="77777777" w:rsidR="002133E3" w:rsidRDefault="002133E3">
            <w:pPr>
              <w:widowControl/>
              <w:jc w:val="center"/>
              <w:rPr>
                <w:rFonts w:ascii="Times New Roman" w:eastAsia="宋体" w:hAnsi="Times New Roman" w:cs="Times New Roman"/>
                <w:color w:val="000000"/>
                <w:kern w:val="0"/>
                <w:szCs w:val="21"/>
              </w:rPr>
            </w:pPr>
          </w:p>
        </w:tc>
      </w:tr>
      <w:tr w:rsidR="002133E3" w14:paraId="65EE3437" w14:textId="77777777">
        <w:trPr>
          <w:trHeight w:val="300"/>
        </w:trPr>
        <w:tc>
          <w:tcPr>
            <w:tcW w:w="1172" w:type="dxa"/>
            <w:vMerge/>
            <w:vAlign w:val="center"/>
          </w:tcPr>
          <w:p w14:paraId="6F2DC8F9"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A83EC5F"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420FD25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16</w:t>
            </w:r>
          </w:p>
        </w:tc>
        <w:tc>
          <w:tcPr>
            <w:tcW w:w="1275" w:type="dxa"/>
            <w:shd w:val="clear" w:color="auto" w:fill="auto"/>
            <w:noWrap/>
            <w:vAlign w:val="center"/>
          </w:tcPr>
          <w:p w14:paraId="7405985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3010</w:t>
            </w:r>
          </w:p>
        </w:tc>
        <w:tc>
          <w:tcPr>
            <w:tcW w:w="1574" w:type="dxa"/>
            <w:shd w:val="clear" w:color="auto" w:fill="auto"/>
            <w:noWrap/>
            <w:vAlign w:val="center"/>
          </w:tcPr>
          <w:p w14:paraId="15B3278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33.444</w:t>
            </w:r>
          </w:p>
        </w:tc>
        <w:tc>
          <w:tcPr>
            <w:tcW w:w="2068" w:type="dxa"/>
            <w:shd w:val="clear" w:color="auto" w:fill="auto"/>
            <w:noWrap/>
            <w:vAlign w:val="center"/>
          </w:tcPr>
          <w:p w14:paraId="1500A77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4.9814</w:t>
            </w:r>
          </w:p>
        </w:tc>
        <w:tc>
          <w:tcPr>
            <w:tcW w:w="1419" w:type="dxa"/>
            <w:vMerge/>
            <w:vAlign w:val="center"/>
          </w:tcPr>
          <w:p w14:paraId="5524200B" w14:textId="77777777" w:rsidR="002133E3" w:rsidRDefault="002133E3">
            <w:pPr>
              <w:widowControl/>
              <w:jc w:val="center"/>
              <w:rPr>
                <w:rFonts w:ascii="Times New Roman" w:eastAsia="宋体" w:hAnsi="Times New Roman" w:cs="Times New Roman"/>
                <w:color w:val="000000"/>
                <w:kern w:val="0"/>
                <w:szCs w:val="21"/>
              </w:rPr>
            </w:pPr>
          </w:p>
        </w:tc>
      </w:tr>
      <w:tr w:rsidR="002133E3" w14:paraId="1A2F85BF" w14:textId="77777777">
        <w:trPr>
          <w:trHeight w:val="300"/>
        </w:trPr>
        <w:tc>
          <w:tcPr>
            <w:tcW w:w="1172" w:type="dxa"/>
            <w:vMerge/>
            <w:vAlign w:val="center"/>
          </w:tcPr>
          <w:p w14:paraId="7E56033C"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44C70C28"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32A420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17</w:t>
            </w:r>
          </w:p>
        </w:tc>
        <w:tc>
          <w:tcPr>
            <w:tcW w:w="1275" w:type="dxa"/>
            <w:shd w:val="clear" w:color="auto" w:fill="auto"/>
            <w:noWrap/>
            <w:vAlign w:val="center"/>
          </w:tcPr>
          <w:p w14:paraId="27331A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3510</w:t>
            </w:r>
          </w:p>
        </w:tc>
        <w:tc>
          <w:tcPr>
            <w:tcW w:w="1574" w:type="dxa"/>
            <w:shd w:val="clear" w:color="auto" w:fill="auto"/>
            <w:noWrap/>
            <w:vAlign w:val="center"/>
          </w:tcPr>
          <w:p w14:paraId="6E92169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39</w:t>
            </w:r>
          </w:p>
        </w:tc>
        <w:tc>
          <w:tcPr>
            <w:tcW w:w="2068" w:type="dxa"/>
            <w:shd w:val="clear" w:color="auto" w:fill="auto"/>
            <w:noWrap/>
            <w:vAlign w:val="center"/>
          </w:tcPr>
          <w:p w14:paraId="75787E5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4.0597</w:t>
            </w:r>
          </w:p>
        </w:tc>
        <w:tc>
          <w:tcPr>
            <w:tcW w:w="1419" w:type="dxa"/>
            <w:vMerge/>
            <w:vAlign w:val="center"/>
          </w:tcPr>
          <w:p w14:paraId="2A946691" w14:textId="77777777" w:rsidR="002133E3" w:rsidRDefault="002133E3">
            <w:pPr>
              <w:widowControl/>
              <w:jc w:val="center"/>
              <w:rPr>
                <w:rFonts w:ascii="Times New Roman" w:eastAsia="宋体" w:hAnsi="Times New Roman" w:cs="Times New Roman"/>
                <w:color w:val="000000"/>
                <w:kern w:val="0"/>
                <w:szCs w:val="21"/>
              </w:rPr>
            </w:pPr>
          </w:p>
        </w:tc>
      </w:tr>
      <w:tr w:rsidR="002133E3" w14:paraId="07AD8706" w14:textId="77777777">
        <w:trPr>
          <w:trHeight w:val="300"/>
        </w:trPr>
        <w:tc>
          <w:tcPr>
            <w:tcW w:w="1172" w:type="dxa"/>
            <w:vMerge/>
            <w:vAlign w:val="center"/>
          </w:tcPr>
          <w:p w14:paraId="2C2AA54A"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7B13C47F"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40663A5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18</w:t>
            </w:r>
          </w:p>
        </w:tc>
        <w:tc>
          <w:tcPr>
            <w:tcW w:w="1275" w:type="dxa"/>
            <w:shd w:val="clear" w:color="auto" w:fill="auto"/>
            <w:noWrap/>
            <w:vAlign w:val="center"/>
          </w:tcPr>
          <w:p w14:paraId="2CD80A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4010</w:t>
            </w:r>
          </w:p>
        </w:tc>
        <w:tc>
          <w:tcPr>
            <w:tcW w:w="1574" w:type="dxa"/>
            <w:shd w:val="clear" w:color="auto" w:fill="auto"/>
            <w:noWrap/>
            <w:vAlign w:val="center"/>
          </w:tcPr>
          <w:p w14:paraId="7721FD2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44.555</w:t>
            </w:r>
          </w:p>
        </w:tc>
        <w:tc>
          <w:tcPr>
            <w:tcW w:w="2068" w:type="dxa"/>
            <w:shd w:val="clear" w:color="auto" w:fill="auto"/>
            <w:noWrap/>
            <w:vAlign w:val="center"/>
          </w:tcPr>
          <w:p w14:paraId="6DF8EBD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3.3997</w:t>
            </w:r>
          </w:p>
        </w:tc>
        <w:tc>
          <w:tcPr>
            <w:tcW w:w="1419" w:type="dxa"/>
            <w:vMerge/>
            <w:vAlign w:val="center"/>
          </w:tcPr>
          <w:p w14:paraId="017BDBD7" w14:textId="77777777" w:rsidR="002133E3" w:rsidRDefault="002133E3">
            <w:pPr>
              <w:widowControl/>
              <w:jc w:val="center"/>
              <w:rPr>
                <w:rFonts w:ascii="Times New Roman" w:eastAsia="宋体" w:hAnsi="Times New Roman" w:cs="Times New Roman"/>
                <w:color w:val="000000"/>
                <w:kern w:val="0"/>
                <w:szCs w:val="21"/>
              </w:rPr>
            </w:pPr>
          </w:p>
        </w:tc>
      </w:tr>
      <w:tr w:rsidR="002133E3" w14:paraId="603D6298" w14:textId="77777777">
        <w:trPr>
          <w:trHeight w:val="300"/>
        </w:trPr>
        <w:tc>
          <w:tcPr>
            <w:tcW w:w="1172" w:type="dxa"/>
            <w:vMerge/>
            <w:vAlign w:val="center"/>
          </w:tcPr>
          <w:p w14:paraId="2721A256" w14:textId="77777777" w:rsidR="002133E3" w:rsidRDefault="002133E3">
            <w:pPr>
              <w:widowControl/>
              <w:jc w:val="center"/>
              <w:rPr>
                <w:rFonts w:ascii="Times New Roman" w:eastAsia="宋体" w:hAnsi="Times New Roman" w:cs="Times New Roman"/>
                <w:color w:val="000000"/>
                <w:kern w:val="0"/>
                <w:szCs w:val="21"/>
              </w:rPr>
            </w:pPr>
          </w:p>
        </w:tc>
        <w:tc>
          <w:tcPr>
            <w:tcW w:w="1173" w:type="dxa"/>
            <w:vMerge/>
            <w:vAlign w:val="center"/>
          </w:tcPr>
          <w:p w14:paraId="505D8237" w14:textId="77777777" w:rsidR="002133E3" w:rsidRDefault="002133E3">
            <w:pPr>
              <w:widowControl/>
              <w:jc w:val="center"/>
              <w:rPr>
                <w:rFonts w:ascii="Times New Roman" w:eastAsia="宋体" w:hAnsi="Times New Roman" w:cs="Times New Roman"/>
                <w:color w:val="000000"/>
                <w:kern w:val="0"/>
                <w:szCs w:val="21"/>
              </w:rPr>
            </w:pPr>
          </w:p>
        </w:tc>
        <w:tc>
          <w:tcPr>
            <w:tcW w:w="1173" w:type="dxa"/>
            <w:shd w:val="clear" w:color="auto" w:fill="auto"/>
            <w:vAlign w:val="center"/>
          </w:tcPr>
          <w:p w14:paraId="2E59465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19</w:t>
            </w:r>
          </w:p>
        </w:tc>
        <w:tc>
          <w:tcPr>
            <w:tcW w:w="1275" w:type="dxa"/>
            <w:shd w:val="clear" w:color="auto" w:fill="auto"/>
            <w:noWrap/>
            <w:vAlign w:val="center"/>
          </w:tcPr>
          <w:p w14:paraId="31EB7A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4510</w:t>
            </w:r>
          </w:p>
        </w:tc>
        <w:tc>
          <w:tcPr>
            <w:tcW w:w="1574" w:type="dxa"/>
            <w:shd w:val="clear" w:color="auto" w:fill="auto"/>
            <w:noWrap/>
            <w:vAlign w:val="center"/>
          </w:tcPr>
          <w:p w14:paraId="31D1E69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50.111</w:t>
            </w:r>
          </w:p>
        </w:tc>
        <w:tc>
          <w:tcPr>
            <w:tcW w:w="2068" w:type="dxa"/>
            <w:shd w:val="clear" w:color="auto" w:fill="auto"/>
            <w:noWrap/>
            <w:vAlign w:val="center"/>
          </w:tcPr>
          <w:p w14:paraId="5C8898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2.9068</w:t>
            </w:r>
          </w:p>
        </w:tc>
        <w:tc>
          <w:tcPr>
            <w:tcW w:w="1419" w:type="dxa"/>
            <w:vMerge/>
            <w:vAlign w:val="center"/>
          </w:tcPr>
          <w:p w14:paraId="7F544DE6" w14:textId="77777777" w:rsidR="002133E3" w:rsidRDefault="002133E3">
            <w:pPr>
              <w:widowControl/>
              <w:jc w:val="center"/>
              <w:rPr>
                <w:rFonts w:ascii="Times New Roman" w:eastAsia="宋体" w:hAnsi="Times New Roman" w:cs="Times New Roman"/>
                <w:color w:val="000000"/>
                <w:kern w:val="0"/>
                <w:szCs w:val="21"/>
              </w:rPr>
            </w:pPr>
          </w:p>
        </w:tc>
      </w:tr>
    </w:tbl>
    <w:p w14:paraId="2DFC4CBE" w14:textId="77777777" w:rsidR="002133E3" w:rsidRDefault="00C22CFA">
      <w:pPr>
        <w:adjustRightInd w:val="0"/>
        <w:snapToGrid w:val="0"/>
        <w:jc w:val="center"/>
        <w:rPr>
          <w:rFonts w:ascii="Times New Roman" w:eastAsia="宋体" w:hAnsi="Times New Roman" w:cs="Times New Roman"/>
          <w:b/>
          <w:sz w:val="24"/>
          <w:szCs w:val="24"/>
        </w:rPr>
      </w:pPr>
      <w:r>
        <w:rPr>
          <w:rFonts w:ascii="Times New Roman" w:hAnsi="Times New Roman" w:cs="Times New Roman"/>
          <w:noProof/>
        </w:rPr>
        <w:drawing>
          <wp:inline distT="0" distB="0" distL="0" distR="0" wp14:anchorId="75FE6950" wp14:editId="3C1B2A6F">
            <wp:extent cx="4152900" cy="4124960"/>
            <wp:effectExtent l="0" t="0" r="0" b="889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12"/>
                    <a:stretch>
                      <a:fillRect/>
                    </a:stretch>
                  </pic:blipFill>
                  <pic:spPr>
                    <a:xfrm>
                      <a:off x="0" y="0"/>
                      <a:ext cx="4166995" cy="4139324"/>
                    </a:xfrm>
                    <a:prstGeom prst="rect">
                      <a:avLst/>
                    </a:prstGeom>
                  </pic:spPr>
                </pic:pic>
              </a:graphicData>
            </a:graphic>
          </wp:inline>
        </w:drawing>
      </w:r>
    </w:p>
    <w:p w14:paraId="4318E19A"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图</w:t>
      </w:r>
      <w:r>
        <w:rPr>
          <w:rFonts w:ascii="Times New Roman" w:eastAsia="宋体" w:hAnsi="Times New Roman" w:cs="Times New Roman"/>
          <w:b/>
          <w:sz w:val="24"/>
          <w:szCs w:val="24"/>
        </w:rPr>
        <w:t xml:space="preserve">6.9-1   </w:t>
      </w:r>
      <w:r>
        <w:rPr>
          <w:rFonts w:ascii="Times New Roman" w:eastAsia="宋体" w:hAnsi="Times New Roman" w:cs="Times New Roman"/>
          <w:b/>
          <w:sz w:val="24"/>
          <w:szCs w:val="24"/>
        </w:rPr>
        <w:t>不利气象条件下硫酸储罐泄漏浓度图</w:t>
      </w:r>
      <w:r>
        <w:rPr>
          <w:rFonts w:ascii="Times New Roman" w:eastAsia="宋体" w:hAnsi="Times New Roman" w:cs="Times New Roman"/>
          <w:b/>
          <w:sz w:val="24"/>
          <w:szCs w:val="24"/>
        </w:rPr>
        <w:t xml:space="preserve"> </w:t>
      </w:r>
    </w:p>
    <w:p w14:paraId="2C939CD9" w14:textId="77777777" w:rsidR="002133E3" w:rsidRDefault="00C22CFA">
      <w:pPr>
        <w:adjustRightInd w:val="0"/>
        <w:snapToGrid w:val="0"/>
        <w:jc w:val="center"/>
        <w:rPr>
          <w:rFonts w:ascii="Times New Roman" w:eastAsia="宋体" w:hAnsi="Times New Roman" w:cs="Times New Roman"/>
          <w:b/>
          <w:sz w:val="24"/>
          <w:szCs w:val="24"/>
        </w:rPr>
      </w:pPr>
      <w:r>
        <w:rPr>
          <w:rFonts w:ascii="Times New Roman" w:eastAsia="宋体" w:hAnsi="Times New Roman" w:cs="Times New Roman"/>
          <w:b/>
          <w:sz w:val="24"/>
          <w:szCs w:val="24"/>
        </w:rPr>
        <w:lastRenderedPageBreak/>
        <w:t xml:space="preserve"> </w:t>
      </w:r>
      <w:r>
        <w:rPr>
          <w:rFonts w:ascii="Times New Roman" w:hAnsi="Times New Roman" w:cs="Times New Roman"/>
          <w:noProof/>
        </w:rPr>
        <w:drawing>
          <wp:inline distT="0" distB="0" distL="0" distR="0" wp14:anchorId="7937AE46" wp14:editId="6825BE58">
            <wp:extent cx="4162425" cy="413448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13"/>
                    <a:stretch>
                      <a:fillRect/>
                    </a:stretch>
                  </pic:blipFill>
                  <pic:spPr>
                    <a:xfrm>
                      <a:off x="0" y="0"/>
                      <a:ext cx="4176699" cy="4148965"/>
                    </a:xfrm>
                    <a:prstGeom prst="rect">
                      <a:avLst/>
                    </a:prstGeom>
                  </pic:spPr>
                </pic:pic>
              </a:graphicData>
            </a:graphic>
          </wp:inline>
        </w:drawing>
      </w:r>
    </w:p>
    <w:p w14:paraId="35F50ABF"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图</w:t>
      </w:r>
      <w:r>
        <w:rPr>
          <w:rFonts w:ascii="Times New Roman" w:eastAsia="宋体" w:hAnsi="Times New Roman" w:cs="Times New Roman"/>
          <w:b/>
          <w:sz w:val="24"/>
          <w:szCs w:val="24"/>
        </w:rPr>
        <w:t xml:space="preserve">6.9-2   </w:t>
      </w:r>
      <w:r>
        <w:rPr>
          <w:rFonts w:ascii="Times New Roman" w:eastAsia="宋体" w:hAnsi="Times New Roman" w:cs="Times New Roman"/>
          <w:b/>
          <w:sz w:val="24"/>
          <w:szCs w:val="24"/>
        </w:rPr>
        <w:t>不利气象条件下沼气火灾爆炸二氧化硫泄漏浓度图</w:t>
      </w:r>
      <w:r>
        <w:rPr>
          <w:rFonts w:ascii="Times New Roman" w:eastAsia="宋体" w:hAnsi="Times New Roman" w:cs="Times New Roman"/>
          <w:b/>
          <w:sz w:val="24"/>
          <w:szCs w:val="24"/>
        </w:rPr>
        <w:t xml:space="preserve"> </w:t>
      </w:r>
    </w:p>
    <w:p w14:paraId="14AA1A08" w14:textId="77777777" w:rsidR="002133E3" w:rsidRDefault="00C22CFA">
      <w:pPr>
        <w:adjustRightInd w:val="0"/>
        <w:snapToGrid w:val="0"/>
        <w:jc w:val="center"/>
        <w:rPr>
          <w:rFonts w:ascii="Times New Roman" w:eastAsia="宋体" w:hAnsi="Times New Roman" w:cs="Times New Roman"/>
          <w:b/>
          <w:sz w:val="24"/>
          <w:szCs w:val="24"/>
        </w:rPr>
      </w:pPr>
      <w:r>
        <w:rPr>
          <w:rFonts w:ascii="Times New Roman" w:eastAsia="宋体" w:hAnsi="Times New Roman" w:cs="Times New Roman"/>
          <w:b/>
          <w:sz w:val="24"/>
          <w:szCs w:val="24"/>
        </w:rPr>
        <w:t xml:space="preserve"> </w:t>
      </w:r>
      <w:r>
        <w:rPr>
          <w:rFonts w:ascii="Times New Roman" w:hAnsi="Times New Roman" w:cs="Times New Roman"/>
          <w:noProof/>
        </w:rPr>
        <w:drawing>
          <wp:inline distT="0" distB="0" distL="0" distR="0" wp14:anchorId="0B042D2F" wp14:editId="3A46172D">
            <wp:extent cx="4152900" cy="4124960"/>
            <wp:effectExtent l="0" t="0" r="0" b="889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14"/>
                    <a:stretch>
                      <a:fillRect/>
                    </a:stretch>
                  </pic:blipFill>
                  <pic:spPr>
                    <a:xfrm>
                      <a:off x="0" y="0"/>
                      <a:ext cx="4159871" cy="4132248"/>
                    </a:xfrm>
                    <a:prstGeom prst="rect">
                      <a:avLst/>
                    </a:prstGeom>
                  </pic:spPr>
                </pic:pic>
              </a:graphicData>
            </a:graphic>
          </wp:inline>
        </w:drawing>
      </w:r>
    </w:p>
    <w:p w14:paraId="5CB553CF"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图</w:t>
      </w:r>
      <w:r>
        <w:rPr>
          <w:rFonts w:ascii="Times New Roman" w:eastAsia="宋体" w:hAnsi="Times New Roman" w:cs="Times New Roman"/>
          <w:b/>
          <w:sz w:val="24"/>
          <w:szCs w:val="24"/>
        </w:rPr>
        <w:t xml:space="preserve">6.9-3   </w:t>
      </w:r>
      <w:r>
        <w:rPr>
          <w:rFonts w:ascii="Times New Roman" w:eastAsia="宋体" w:hAnsi="Times New Roman" w:cs="Times New Roman"/>
          <w:b/>
          <w:sz w:val="24"/>
          <w:szCs w:val="24"/>
        </w:rPr>
        <w:t>不利气象条件下沼气火灾爆炸一氧化碳泄漏浓度图</w:t>
      </w:r>
      <w:r>
        <w:rPr>
          <w:rFonts w:ascii="Times New Roman" w:eastAsia="宋体" w:hAnsi="Times New Roman" w:cs="Times New Roman"/>
          <w:b/>
          <w:sz w:val="24"/>
          <w:szCs w:val="24"/>
        </w:rPr>
        <w:t xml:space="preserve">  </w:t>
      </w:r>
    </w:p>
    <w:p w14:paraId="335D212A" w14:textId="77777777" w:rsidR="002133E3" w:rsidRDefault="00C22CFA">
      <w:pPr>
        <w:adjustRightInd w:val="0"/>
        <w:snapToGrid w:val="0"/>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lastRenderedPageBreak/>
        <w:t>表</w:t>
      </w:r>
      <w:r>
        <w:rPr>
          <w:rFonts w:ascii="Times New Roman" w:eastAsia="宋体" w:hAnsi="Times New Roman" w:cs="Times New Roman"/>
          <w:b/>
          <w:sz w:val="24"/>
          <w:szCs w:val="24"/>
        </w:rPr>
        <w:t xml:space="preserve">6.9-3 </w:t>
      </w:r>
      <w:r>
        <w:rPr>
          <w:rFonts w:ascii="Times New Roman" w:eastAsia="宋体" w:hAnsi="Times New Roman" w:cs="Times New Roman"/>
          <w:b/>
          <w:sz w:val="24"/>
          <w:szCs w:val="24"/>
        </w:rPr>
        <w:t>关心点有毒有害物质浓度变化情况表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992"/>
        <w:gridCol w:w="1276"/>
        <w:gridCol w:w="709"/>
        <w:gridCol w:w="709"/>
        <w:gridCol w:w="844"/>
        <w:gridCol w:w="985"/>
        <w:gridCol w:w="985"/>
        <w:gridCol w:w="985"/>
        <w:gridCol w:w="985"/>
      </w:tblGrid>
      <w:tr w:rsidR="002133E3" w14:paraId="1961A77F" w14:textId="77777777">
        <w:trPr>
          <w:trHeight w:val="567"/>
          <w:jc w:val="center"/>
        </w:trPr>
        <w:tc>
          <w:tcPr>
            <w:tcW w:w="1384" w:type="dxa"/>
            <w:vAlign w:val="center"/>
          </w:tcPr>
          <w:p w14:paraId="16CE107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事故情景</w:t>
            </w:r>
          </w:p>
        </w:tc>
        <w:tc>
          <w:tcPr>
            <w:tcW w:w="992" w:type="dxa"/>
            <w:noWrap/>
            <w:vAlign w:val="center"/>
          </w:tcPr>
          <w:p w14:paraId="7A5B6924"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特殊计算点</w:t>
            </w:r>
            <w:r>
              <w:rPr>
                <w:rFonts w:ascii="Times New Roman" w:eastAsia="宋体" w:hAnsi="Times New Roman" w:cs="Times New Roman"/>
                <w:b/>
                <w:bCs/>
                <w:kern w:val="0"/>
                <w:szCs w:val="21"/>
              </w:rPr>
              <w:t>(m)</w:t>
            </w:r>
          </w:p>
        </w:tc>
        <w:tc>
          <w:tcPr>
            <w:tcW w:w="1276" w:type="dxa"/>
            <w:noWrap/>
            <w:vAlign w:val="center"/>
          </w:tcPr>
          <w:p w14:paraId="1FDD933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最大浓度</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时间</w:t>
            </w:r>
            <w:r>
              <w:rPr>
                <w:rFonts w:ascii="Times New Roman" w:eastAsia="宋体" w:hAnsi="Times New Roman" w:cs="Times New Roman"/>
                <w:b/>
                <w:bCs/>
                <w:kern w:val="0"/>
                <w:szCs w:val="21"/>
              </w:rPr>
              <w:t>(min)</w:t>
            </w:r>
          </w:p>
        </w:tc>
        <w:tc>
          <w:tcPr>
            <w:tcW w:w="709" w:type="dxa"/>
            <w:noWrap/>
            <w:vAlign w:val="center"/>
          </w:tcPr>
          <w:p w14:paraId="1264CE97"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1min</w:t>
            </w:r>
          </w:p>
        </w:tc>
        <w:tc>
          <w:tcPr>
            <w:tcW w:w="709" w:type="dxa"/>
            <w:noWrap/>
            <w:vAlign w:val="center"/>
          </w:tcPr>
          <w:p w14:paraId="4056402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6min</w:t>
            </w:r>
          </w:p>
        </w:tc>
        <w:tc>
          <w:tcPr>
            <w:tcW w:w="844" w:type="dxa"/>
            <w:noWrap/>
            <w:vAlign w:val="center"/>
          </w:tcPr>
          <w:p w14:paraId="47E74AEB"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11min</w:t>
            </w:r>
          </w:p>
        </w:tc>
        <w:tc>
          <w:tcPr>
            <w:tcW w:w="985" w:type="dxa"/>
            <w:noWrap/>
            <w:vAlign w:val="center"/>
          </w:tcPr>
          <w:p w14:paraId="0F31E8CC"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16min</w:t>
            </w:r>
          </w:p>
        </w:tc>
        <w:tc>
          <w:tcPr>
            <w:tcW w:w="985" w:type="dxa"/>
            <w:noWrap/>
            <w:vAlign w:val="center"/>
          </w:tcPr>
          <w:p w14:paraId="08BCA24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21min</w:t>
            </w:r>
          </w:p>
        </w:tc>
        <w:tc>
          <w:tcPr>
            <w:tcW w:w="985" w:type="dxa"/>
            <w:noWrap/>
            <w:vAlign w:val="center"/>
          </w:tcPr>
          <w:p w14:paraId="47A9E17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26min</w:t>
            </w:r>
          </w:p>
        </w:tc>
        <w:tc>
          <w:tcPr>
            <w:tcW w:w="985" w:type="dxa"/>
            <w:noWrap/>
            <w:vAlign w:val="center"/>
          </w:tcPr>
          <w:p w14:paraId="5B3B9F78"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3min</w:t>
            </w:r>
          </w:p>
        </w:tc>
      </w:tr>
      <w:tr w:rsidR="002133E3" w14:paraId="316CE755" w14:textId="77777777">
        <w:trPr>
          <w:trHeight w:val="567"/>
          <w:jc w:val="center"/>
        </w:trPr>
        <w:tc>
          <w:tcPr>
            <w:tcW w:w="1384" w:type="dxa"/>
            <w:vMerge w:val="restart"/>
            <w:vAlign w:val="center"/>
          </w:tcPr>
          <w:p w14:paraId="5263720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最不利条件下硫酸泄漏</w:t>
            </w:r>
          </w:p>
        </w:tc>
        <w:tc>
          <w:tcPr>
            <w:tcW w:w="992" w:type="dxa"/>
            <w:noWrap/>
            <w:vAlign w:val="center"/>
          </w:tcPr>
          <w:p w14:paraId="4C19530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兴庄村</w:t>
            </w:r>
          </w:p>
        </w:tc>
        <w:tc>
          <w:tcPr>
            <w:tcW w:w="1276" w:type="dxa"/>
            <w:noWrap/>
            <w:vAlign w:val="center"/>
          </w:tcPr>
          <w:p w14:paraId="0293E68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1.70E-14</w:t>
            </w:r>
            <w:r>
              <w:rPr>
                <w:rFonts w:ascii="Times New Roman" w:eastAsia="宋体" w:hAnsi="Times New Roman" w:cs="Times New Roman"/>
                <w:kern w:val="0"/>
                <w:szCs w:val="21"/>
              </w:rPr>
              <w:t>|21</w:t>
            </w:r>
          </w:p>
        </w:tc>
        <w:tc>
          <w:tcPr>
            <w:tcW w:w="709" w:type="dxa"/>
            <w:noWrap/>
            <w:vAlign w:val="center"/>
          </w:tcPr>
          <w:p w14:paraId="7EFF837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709" w:type="dxa"/>
            <w:noWrap/>
            <w:vAlign w:val="center"/>
          </w:tcPr>
          <w:p w14:paraId="2B641FF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844" w:type="dxa"/>
            <w:noWrap/>
            <w:vAlign w:val="center"/>
          </w:tcPr>
          <w:p w14:paraId="3B2B112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7E3D2D5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1.69E-14</w:t>
            </w:r>
          </w:p>
        </w:tc>
        <w:tc>
          <w:tcPr>
            <w:tcW w:w="985" w:type="dxa"/>
            <w:noWrap/>
            <w:vAlign w:val="center"/>
          </w:tcPr>
          <w:p w14:paraId="0C01B40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1.70E-14</w:t>
            </w:r>
          </w:p>
        </w:tc>
        <w:tc>
          <w:tcPr>
            <w:tcW w:w="985" w:type="dxa"/>
            <w:noWrap/>
            <w:vAlign w:val="center"/>
          </w:tcPr>
          <w:p w14:paraId="386464C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1.69E-14</w:t>
            </w:r>
          </w:p>
        </w:tc>
        <w:tc>
          <w:tcPr>
            <w:tcW w:w="985" w:type="dxa"/>
            <w:noWrap/>
            <w:vAlign w:val="center"/>
          </w:tcPr>
          <w:p w14:paraId="7E7A35B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szCs w:val="21"/>
              </w:rPr>
              <w:t>8.98E-16</w:t>
            </w:r>
          </w:p>
        </w:tc>
      </w:tr>
      <w:tr w:rsidR="002133E3" w14:paraId="0AEF7DBD" w14:textId="77777777">
        <w:trPr>
          <w:trHeight w:val="567"/>
          <w:jc w:val="center"/>
        </w:trPr>
        <w:tc>
          <w:tcPr>
            <w:tcW w:w="1384" w:type="dxa"/>
            <w:vMerge/>
            <w:vAlign w:val="center"/>
          </w:tcPr>
          <w:p w14:paraId="39F386F7" w14:textId="77777777" w:rsidR="002133E3" w:rsidRDefault="002133E3">
            <w:pPr>
              <w:widowControl/>
              <w:jc w:val="center"/>
              <w:rPr>
                <w:rFonts w:ascii="Times New Roman" w:eastAsia="宋体" w:hAnsi="Times New Roman" w:cs="Times New Roman"/>
                <w:kern w:val="0"/>
                <w:szCs w:val="21"/>
              </w:rPr>
            </w:pPr>
          </w:p>
        </w:tc>
        <w:tc>
          <w:tcPr>
            <w:tcW w:w="992" w:type="dxa"/>
            <w:noWrap/>
            <w:vAlign w:val="center"/>
          </w:tcPr>
          <w:p w14:paraId="4E8D7876" w14:textId="77777777" w:rsidR="002133E3" w:rsidRDefault="00C22CFA">
            <w:pPr>
              <w:jc w:val="center"/>
              <w:rPr>
                <w:rFonts w:ascii="Times New Roman" w:eastAsia="宋体" w:hAnsi="Times New Roman" w:cs="Times New Roman"/>
                <w:kern w:val="0"/>
                <w:szCs w:val="21"/>
              </w:rPr>
            </w:pPr>
            <w:bookmarkStart w:id="71" w:name="_Hlk73949195"/>
            <w:r>
              <w:rPr>
                <w:rFonts w:ascii="Times New Roman" w:eastAsia="宋体" w:hAnsi="Times New Roman" w:cs="Times New Roman"/>
                <w:kern w:val="0"/>
                <w:szCs w:val="21"/>
              </w:rPr>
              <w:t>李巷村</w:t>
            </w:r>
            <w:bookmarkEnd w:id="71"/>
          </w:p>
        </w:tc>
        <w:tc>
          <w:tcPr>
            <w:tcW w:w="1276" w:type="dxa"/>
            <w:noWrap/>
            <w:vAlign w:val="center"/>
          </w:tcPr>
          <w:p w14:paraId="245332B1"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kern w:val="0"/>
                <w:szCs w:val="21"/>
              </w:rPr>
              <w:t>0|1</w:t>
            </w:r>
          </w:p>
        </w:tc>
        <w:tc>
          <w:tcPr>
            <w:tcW w:w="709" w:type="dxa"/>
            <w:noWrap/>
            <w:vAlign w:val="center"/>
          </w:tcPr>
          <w:p w14:paraId="26CC72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709" w:type="dxa"/>
            <w:noWrap/>
            <w:vAlign w:val="center"/>
          </w:tcPr>
          <w:p w14:paraId="0C4D21C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844" w:type="dxa"/>
            <w:noWrap/>
            <w:vAlign w:val="center"/>
          </w:tcPr>
          <w:p w14:paraId="061477C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5A44BE06"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kern w:val="0"/>
                <w:szCs w:val="21"/>
              </w:rPr>
              <w:t>0</w:t>
            </w:r>
          </w:p>
        </w:tc>
        <w:tc>
          <w:tcPr>
            <w:tcW w:w="985" w:type="dxa"/>
            <w:noWrap/>
            <w:vAlign w:val="center"/>
          </w:tcPr>
          <w:p w14:paraId="1A3AE21F"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kern w:val="0"/>
                <w:szCs w:val="21"/>
              </w:rPr>
              <w:t>0</w:t>
            </w:r>
          </w:p>
        </w:tc>
        <w:tc>
          <w:tcPr>
            <w:tcW w:w="985" w:type="dxa"/>
            <w:noWrap/>
            <w:vAlign w:val="center"/>
          </w:tcPr>
          <w:p w14:paraId="60016EF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kern w:val="0"/>
                <w:szCs w:val="21"/>
              </w:rPr>
              <w:t>0</w:t>
            </w:r>
          </w:p>
        </w:tc>
        <w:tc>
          <w:tcPr>
            <w:tcW w:w="985" w:type="dxa"/>
            <w:noWrap/>
            <w:vAlign w:val="center"/>
          </w:tcPr>
          <w:p w14:paraId="320BD4CD" w14:textId="77777777" w:rsidR="002133E3" w:rsidRDefault="00C22CFA">
            <w:pPr>
              <w:widowControl/>
              <w:jc w:val="center"/>
              <w:rPr>
                <w:rFonts w:ascii="Times New Roman" w:eastAsia="宋体" w:hAnsi="Times New Roman" w:cs="Times New Roman"/>
                <w:szCs w:val="21"/>
              </w:rPr>
            </w:pPr>
            <w:r>
              <w:rPr>
                <w:rFonts w:ascii="Times New Roman" w:eastAsia="宋体" w:hAnsi="Times New Roman" w:cs="Times New Roman"/>
                <w:kern w:val="0"/>
                <w:szCs w:val="21"/>
              </w:rPr>
              <w:t>0</w:t>
            </w:r>
          </w:p>
        </w:tc>
      </w:tr>
      <w:tr w:rsidR="002133E3" w14:paraId="38E2B6BE" w14:textId="77777777">
        <w:trPr>
          <w:trHeight w:val="567"/>
          <w:jc w:val="center"/>
        </w:trPr>
        <w:tc>
          <w:tcPr>
            <w:tcW w:w="1384" w:type="dxa"/>
            <w:vMerge w:val="restart"/>
            <w:vAlign w:val="center"/>
          </w:tcPr>
          <w:p w14:paraId="20B7772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最不利条件下沼气火灾爆炸伴生</w:t>
            </w:r>
            <w:r>
              <w:rPr>
                <w:rFonts w:ascii="Times New Roman" w:eastAsia="宋体" w:hAnsi="Times New Roman" w:cs="Times New Roman"/>
                <w:kern w:val="0"/>
                <w:szCs w:val="21"/>
              </w:rPr>
              <w:t>/</w:t>
            </w:r>
            <w:r>
              <w:rPr>
                <w:rFonts w:ascii="Times New Roman" w:eastAsia="宋体" w:hAnsi="Times New Roman" w:cs="Times New Roman"/>
                <w:kern w:val="0"/>
                <w:szCs w:val="21"/>
              </w:rPr>
              <w:t>次生一氧化碳</w:t>
            </w:r>
          </w:p>
        </w:tc>
        <w:tc>
          <w:tcPr>
            <w:tcW w:w="992" w:type="dxa"/>
            <w:vAlign w:val="center"/>
          </w:tcPr>
          <w:p w14:paraId="3962F58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兴庄村</w:t>
            </w:r>
          </w:p>
        </w:tc>
        <w:tc>
          <w:tcPr>
            <w:tcW w:w="1276" w:type="dxa"/>
            <w:noWrap/>
            <w:vAlign w:val="center"/>
          </w:tcPr>
          <w:p w14:paraId="2472E8A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w:t>
            </w:r>
          </w:p>
        </w:tc>
        <w:tc>
          <w:tcPr>
            <w:tcW w:w="709" w:type="dxa"/>
            <w:noWrap/>
            <w:vAlign w:val="center"/>
          </w:tcPr>
          <w:p w14:paraId="675444F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709" w:type="dxa"/>
            <w:noWrap/>
            <w:vAlign w:val="center"/>
          </w:tcPr>
          <w:p w14:paraId="26E723C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844" w:type="dxa"/>
            <w:noWrap/>
            <w:vAlign w:val="center"/>
          </w:tcPr>
          <w:p w14:paraId="0C5383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7AE4A3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30555F0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562C3DE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7A4EB78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7AE07DC6" w14:textId="77777777">
        <w:trPr>
          <w:trHeight w:val="567"/>
          <w:jc w:val="center"/>
        </w:trPr>
        <w:tc>
          <w:tcPr>
            <w:tcW w:w="1384" w:type="dxa"/>
            <w:vMerge/>
            <w:vAlign w:val="center"/>
          </w:tcPr>
          <w:p w14:paraId="6C8959A2" w14:textId="77777777" w:rsidR="002133E3" w:rsidRDefault="002133E3">
            <w:pPr>
              <w:widowControl/>
              <w:jc w:val="center"/>
              <w:rPr>
                <w:rFonts w:ascii="Times New Roman" w:eastAsia="宋体" w:hAnsi="Times New Roman" w:cs="Times New Roman"/>
                <w:kern w:val="0"/>
                <w:szCs w:val="21"/>
              </w:rPr>
            </w:pPr>
          </w:p>
        </w:tc>
        <w:tc>
          <w:tcPr>
            <w:tcW w:w="992" w:type="dxa"/>
            <w:vAlign w:val="center"/>
          </w:tcPr>
          <w:p w14:paraId="6C40880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李巷村</w:t>
            </w:r>
          </w:p>
        </w:tc>
        <w:tc>
          <w:tcPr>
            <w:tcW w:w="1276" w:type="dxa"/>
            <w:noWrap/>
            <w:vAlign w:val="center"/>
          </w:tcPr>
          <w:p w14:paraId="02B0194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w:t>
            </w:r>
          </w:p>
        </w:tc>
        <w:tc>
          <w:tcPr>
            <w:tcW w:w="709" w:type="dxa"/>
            <w:noWrap/>
            <w:vAlign w:val="center"/>
          </w:tcPr>
          <w:p w14:paraId="38C6F9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709" w:type="dxa"/>
            <w:noWrap/>
            <w:vAlign w:val="center"/>
          </w:tcPr>
          <w:p w14:paraId="445071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844" w:type="dxa"/>
            <w:noWrap/>
            <w:vAlign w:val="center"/>
          </w:tcPr>
          <w:p w14:paraId="5D23397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2B61B67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5EA1102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63F663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7E4A13A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401AC46E" w14:textId="77777777">
        <w:trPr>
          <w:trHeight w:val="567"/>
          <w:jc w:val="center"/>
        </w:trPr>
        <w:tc>
          <w:tcPr>
            <w:tcW w:w="1384" w:type="dxa"/>
            <w:vMerge w:val="restart"/>
            <w:vAlign w:val="center"/>
          </w:tcPr>
          <w:p w14:paraId="1146173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最不利条件下沼气火灾爆炸伴生</w:t>
            </w:r>
            <w:r>
              <w:rPr>
                <w:rFonts w:ascii="Times New Roman" w:eastAsia="宋体" w:hAnsi="Times New Roman" w:cs="Times New Roman"/>
                <w:kern w:val="0"/>
                <w:szCs w:val="21"/>
              </w:rPr>
              <w:t>/</w:t>
            </w:r>
            <w:r>
              <w:rPr>
                <w:rFonts w:ascii="Times New Roman" w:eastAsia="宋体" w:hAnsi="Times New Roman" w:cs="Times New Roman"/>
                <w:kern w:val="0"/>
                <w:szCs w:val="21"/>
              </w:rPr>
              <w:t>次生二氧化硫</w:t>
            </w:r>
          </w:p>
        </w:tc>
        <w:tc>
          <w:tcPr>
            <w:tcW w:w="992" w:type="dxa"/>
            <w:vAlign w:val="center"/>
          </w:tcPr>
          <w:p w14:paraId="48F6077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兴庄村</w:t>
            </w:r>
          </w:p>
        </w:tc>
        <w:tc>
          <w:tcPr>
            <w:tcW w:w="1276" w:type="dxa"/>
            <w:noWrap/>
            <w:vAlign w:val="center"/>
          </w:tcPr>
          <w:p w14:paraId="2189B36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w:t>
            </w:r>
          </w:p>
        </w:tc>
        <w:tc>
          <w:tcPr>
            <w:tcW w:w="709" w:type="dxa"/>
            <w:noWrap/>
            <w:vAlign w:val="center"/>
          </w:tcPr>
          <w:p w14:paraId="3AB364D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709" w:type="dxa"/>
            <w:noWrap/>
            <w:vAlign w:val="center"/>
          </w:tcPr>
          <w:p w14:paraId="0F301BF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844" w:type="dxa"/>
            <w:noWrap/>
            <w:vAlign w:val="center"/>
          </w:tcPr>
          <w:p w14:paraId="43AEA63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1E2BFFC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1901113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58FD8E1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124019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r w:rsidR="002133E3" w14:paraId="76F61B71" w14:textId="77777777">
        <w:trPr>
          <w:trHeight w:val="567"/>
          <w:jc w:val="center"/>
        </w:trPr>
        <w:tc>
          <w:tcPr>
            <w:tcW w:w="1384" w:type="dxa"/>
            <w:vMerge/>
            <w:vAlign w:val="center"/>
          </w:tcPr>
          <w:p w14:paraId="5DEE8527" w14:textId="77777777" w:rsidR="002133E3" w:rsidRDefault="002133E3">
            <w:pPr>
              <w:widowControl/>
              <w:jc w:val="center"/>
              <w:rPr>
                <w:rFonts w:ascii="Times New Roman" w:eastAsia="宋体" w:hAnsi="Times New Roman" w:cs="Times New Roman"/>
                <w:kern w:val="0"/>
                <w:szCs w:val="21"/>
              </w:rPr>
            </w:pPr>
          </w:p>
        </w:tc>
        <w:tc>
          <w:tcPr>
            <w:tcW w:w="992" w:type="dxa"/>
            <w:vAlign w:val="center"/>
          </w:tcPr>
          <w:p w14:paraId="227717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李巷村</w:t>
            </w:r>
          </w:p>
        </w:tc>
        <w:tc>
          <w:tcPr>
            <w:tcW w:w="1276" w:type="dxa"/>
            <w:noWrap/>
            <w:vAlign w:val="center"/>
          </w:tcPr>
          <w:p w14:paraId="4DC0729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w:t>
            </w:r>
          </w:p>
        </w:tc>
        <w:tc>
          <w:tcPr>
            <w:tcW w:w="709" w:type="dxa"/>
            <w:noWrap/>
            <w:vAlign w:val="center"/>
          </w:tcPr>
          <w:p w14:paraId="6AF9A80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709" w:type="dxa"/>
            <w:noWrap/>
            <w:vAlign w:val="center"/>
          </w:tcPr>
          <w:p w14:paraId="06B0213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844" w:type="dxa"/>
            <w:noWrap/>
            <w:vAlign w:val="center"/>
          </w:tcPr>
          <w:p w14:paraId="2DF5DFA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4C92638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270246E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1D660F17"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c>
          <w:tcPr>
            <w:tcW w:w="985" w:type="dxa"/>
            <w:noWrap/>
            <w:vAlign w:val="center"/>
          </w:tcPr>
          <w:p w14:paraId="6F5DA7A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w:t>
            </w:r>
          </w:p>
        </w:tc>
      </w:tr>
    </w:tbl>
    <w:p w14:paraId="5A87B376" w14:textId="77777777" w:rsidR="002133E3" w:rsidRDefault="00C22CFA">
      <w:pPr>
        <w:tabs>
          <w:tab w:val="left" w:pos="4500"/>
        </w:tabs>
        <w:spacing w:line="500" w:lineRule="exact"/>
        <w:ind w:firstLine="570"/>
        <w:rPr>
          <w:rFonts w:ascii="Times New Roman" w:eastAsia="宋体" w:hAnsi="Times New Roman" w:cs="Times New Roman"/>
          <w:spacing w:val="10"/>
          <w:sz w:val="28"/>
          <w:szCs w:val="28"/>
        </w:rPr>
      </w:pPr>
      <w:r>
        <w:rPr>
          <w:rFonts w:ascii="Times New Roman" w:eastAsia="宋体" w:hAnsi="Times New Roman" w:cs="Times New Roman"/>
          <w:spacing w:val="10"/>
          <w:sz w:val="28"/>
          <w:szCs w:val="28"/>
        </w:rPr>
        <w:t>根据预测结果：</w:t>
      </w:r>
    </w:p>
    <w:p w14:paraId="22FCA7FC" w14:textId="77777777" w:rsidR="002133E3" w:rsidRDefault="00C22CFA">
      <w:pPr>
        <w:tabs>
          <w:tab w:val="left" w:pos="4500"/>
        </w:tabs>
        <w:spacing w:line="500" w:lineRule="exact"/>
        <w:ind w:firstLine="570"/>
        <w:rPr>
          <w:rFonts w:ascii="Times New Roman" w:eastAsia="宋体" w:hAnsi="Times New Roman" w:cs="Times New Roman"/>
          <w:spacing w:val="10"/>
          <w:sz w:val="28"/>
          <w:szCs w:val="28"/>
        </w:rPr>
      </w:pPr>
      <w:r>
        <w:rPr>
          <w:rFonts w:ascii="Times New Roman" w:eastAsia="宋体" w:hAnsi="Times New Roman" w:cs="Times New Roman"/>
          <w:spacing w:val="10"/>
          <w:sz w:val="28"/>
          <w:szCs w:val="28"/>
        </w:rPr>
        <w:t>硫酸储罐发生泄漏时：</w:t>
      </w:r>
    </w:p>
    <w:p w14:paraId="51C53A86" w14:textId="77777777" w:rsidR="002133E3" w:rsidRDefault="00C22CFA">
      <w:pPr>
        <w:tabs>
          <w:tab w:val="left" w:pos="4500"/>
        </w:tabs>
        <w:spacing w:line="500" w:lineRule="exact"/>
        <w:ind w:firstLine="570"/>
        <w:rPr>
          <w:rFonts w:ascii="Times New Roman" w:eastAsia="宋体" w:hAnsi="Times New Roman" w:cs="Times New Roman"/>
          <w:spacing w:val="10"/>
          <w:sz w:val="28"/>
          <w:szCs w:val="28"/>
        </w:rPr>
      </w:pPr>
      <w:r>
        <w:rPr>
          <w:rFonts w:ascii="Times New Roman" w:eastAsia="宋体" w:hAnsi="Times New Roman" w:cs="Times New Roman"/>
          <w:spacing w:val="10"/>
          <w:sz w:val="28"/>
          <w:szCs w:val="28"/>
        </w:rPr>
        <w:t>在最不利气象条件下，未达到间硫酸大气毒性终点浓度</w:t>
      </w:r>
      <w:r>
        <w:rPr>
          <w:rFonts w:ascii="Times New Roman" w:eastAsia="宋体" w:hAnsi="Times New Roman" w:cs="Times New Roman"/>
          <w:spacing w:val="10"/>
          <w:sz w:val="28"/>
          <w:szCs w:val="28"/>
        </w:rPr>
        <w:t>1</w:t>
      </w:r>
      <w:r>
        <w:rPr>
          <w:rFonts w:ascii="Times New Roman" w:eastAsia="宋体" w:hAnsi="Times New Roman" w:cs="Times New Roman"/>
          <w:spacing w:val="10"/>
          <w:sz w:val="28"/>
          <w:szCs w:val="28"/>
        </w:rPr>
        <w:t>、</w:t>
      </w:r>
      <w:r>
        <w:rPr>
          <w:rFonts w:ascii="Times New Roman" w:eastAsia="宋体" w:hAnsi="Times New Roman" w:cs="Times New Roman"/>
          <w:spacing w:val="10"/>
          <w:sz w:val="28"/>
          <w:szCs w:val="28"/>
        </w:rPr>
        <w:t>2</w:t>
      </w:r>
      <w:r>
        <w:rPr>
          <w:rFonts w:ascii="Times New Roman" w:eastAsia="宋体" w:hAnsi="Times New Roman" w:cs="Times New Roman"/>
          <w:spacing w:val="10"/>
          <w:sz w:val="28"/>
          <w:szCs w:val="28"/>
        </w:rPr>
        <w:t>限值。</w:t>
      </w:r>
    </w:p>
    <w:p w14:paraId="16630791" w14:textId="77777777" w:rsidR="002133E3" w:rsidRDefault="00C22CFA">
      <w:pPr>
        <w:tabs>
          <w:tab w:val="left" w:pos="4500"/>
        </w:tabs>
        <w:spacing w:line="500" w:lineRule="exact"/>
        <w:ind w:firstLine="570"/>
        <w:rPr>
          <w:rFonts w:ascii="Times New Roman" w:eastAsia="宋体" w:hAnsi="Times New Roman" w:cs="Times New Roman"/>
          <w:spacing w:val="10"/>
          <w:sz w:val="28"/>
          <w:szCs w:val="28"/>
        </w:rPr>
      </w:pPr>
      <w:r>
        <w:rPr>
          <w:rFonts w:ascii="Times New Roman" w:eastAsia="宋体" w:hAnsi="Times New Roman" w:cs="Times New Roman"/>
          <w:spacing w:val="10"/>
          <w:sz w:val="28"/>
          <w:szCs w:val="28"/>
        </w:rPr>
        <w:t>沼气发生火灾爆炸时：</w:t>
      </w:r>
    </w:p>
    <w:p w14:paraId="7025F3D4" w14:textId="77777777" w:rsidR="002133E3" w:rsidRDefault="00C22CFA">
      <w:pPr>
        <w:tabs>
          <w:tab w:val="left" w:pos="4500"/>
        </w:tabs>
        <w:spacing w:line="500" w:lineRule="exact"/>
        <w:ind w:firstLine="570"/>
        <w:rPr>
          <w:rFonts w:ascii="Times New Roman" w:eastAsia="宋体" w:hAnsi="Times New Roman" w:cs="Times New Roman"/>
          <w:kern w:val="0"/>
          <w:sz w:val="28"/>
          <w:szCs w:val="28"/>
        </w:rPr>
      </w:pPr>
      <w:r>
        <w:rPr>
          <w:rFonts w:ascii="Times New Roman" w:eastAsia="宋体" w:hAnsi="Times New Roman" w:cs="Times New Roman"/>
          <w:spacing w:val="10"/>
          <w:sz w:val="28"/>
          <w:szCs w:val="28"/>
        </w:rPr>
        <w:t>在最不利气象条件下伴生</w:t>
      </w:r>
      <w:r>
        <w:rPr>
          <w:rFonts w:ascii="Times New Roman" w:eastAsia="宋体" w:hAnsi="Times New Roman" w:cs="Times New Roman"/>
          <w:spacing w:val="10"/>
          <w:sz w:val="28"/>
          <w:szCs w:val="28"/>
        </w:rPr>
        <w:t>/</w:t>
      </w:r>
      <w:r>
        <w:rPr>
          <w:rFonts w:ascii="Times New Roman" w:eastAsia="宋体" w:hAnsi="Times New Roman" w:cs="Times New Roman"/>
          <w:spacing w:val="10"/>
          <w:sz w:val="28"/>
          <w:szCs w:val="28"/>
        </w:rPr>
        <w:t>次生污染物</w:t>
      </w:r>
      <w:r>
        <w:rPr>
          <w:rFonts w:ascii="Times New Roman" w:eastAsia="宋体" w:hAnsi="Times New Roman" w:cs="Times New Roman"/>
          <w:kern w:val="0"/>
          <w:sz w:val="28"/>
          <w:szCs w:val="28"/>
        </w:rPr>
        <w:t>二氧化硫大气毒性终点浓度</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影响范围为</w:t>
      </w:r>
      <w:r>
        <w:rPr>
          <w:rFonts w:ascii="Times New Roman" w:eastAsia="宋体" w:hAnsi="Times New Roman" w:cs="Times New Roman"/>
          <w:kern w:val="0"/>
          <w:sz w:val="28"/>
          <w:szCs w:val="28"/>
        </w:rPr>
        <w:t>92m</w:t>
      </w:r>
      <w:r>
        <w:rPr>
          <w:rFonts w:ascii="Times New Roman" w:eastAsia="宋体" w:hAnsi="Times New Roman" w:cs="Times New Roman"/>
          <w:kern w:val="0"/>
          <w:sz w:val="28"/>
          <w:szCs w:val="28"/>
        </w:rPr>
        <w:t>；未达到二氧化硫大气毒性终点浓度</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限值；一氧化碳大气毒性终点浓度</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影响范围为</w:t>
      </w:r>
      <w:r>
        <w:rPr>
          <w:rFonts w:ascii="Times New Roman" w:eastAsia="宋体" w:hAnsi="Times New Roman" w:cs="Times New Roman"/>
          <w:kern w:val="0"/>
          <w:sz w:val="28"/>
          <w:szCs w:val="28"/>
        </w:rPr>
        <w:t>425m</w:t>
      </w:r>
      <w:r>
        <w:rPr>
          <w:rFonts w:ascii="Times New Roman" w:eastAsia="宋体" w:hAnsi="Times New Roman" w:cs="Times New Roman"/>
          <w:kern w:val="0"/>
          <w:sz w:val="28"/>
          <w:szCs w:val="28"/>
        </w:rPr>
        <w:t>；大气毒性终点浓度</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影响范围为</w:t>
      </w:r>
      <w:r>
        <w:rPr>
          <w:rFonts w:ascii="Times New Roman" w:eastAsia="宋体" w:hAnsi="Times New Roman" w:cs="Times New Roman"/>
          <w:kern w:val="0"/>
          <w:sz w:val="28"/>
          <w:szCs w:val="28"/>
        </w:rPr>
        <w:t>163m</w:t>
      </w:r>
      <w:r>
        <w:rPr>
          <w:rFonts w:ascii="Times New Roman" w:eastAsia="宋体" w:hAnsi="Times New Roman" w:cs="Times New Roman"/>
          <w:kern w:val="0"/>
          <w:sz w:val="28"/>
          <w:szCs w:val="28"/>
        </w:rPr>
        <w:t>。</w:t>
      </w:r>
    </w:p>
    <w:p w14:paraId="7B080805" w14:textId="77777777" w:rsidR="002133E3" w:rsidRDefault="00C22CFA">
      <w:pPr>
        <w:tabs>
          <w:tab w:val="left" w:pos="4500"/>
        </w:tabs>
        <w:spacing w:line="500" w:lineRule="exact"/>
        <w:ind w:firstLine="570"/>
        <w:rPr>
          <w:rFonts w:ascii="Times New Roman" w:eastAsia="宋体" w:hAnsi="Times New Roman" w:cs="Times New Roman"/>
          <w:spacing w:val="10"/>
          <w:kern w:val="0"/>
          <w:sz w:val="28"/>
          <w:szCs w:val="28"/>
        </w:rPr>
      </w:pPr>
      <w:r>
        <w:rPr>
          <w:rFonts w:ascii="Times New Roman" w:eastAsia="宋体" w:hAnsi="Times New Roman" w:cs="Times New Roman"/>
          <w:spacing w:val="10"/>
          <w:kern w:val="0"/>
          <w:sz w:val="28"/>
          <w:szCs w:val="28"/>
        </w:rPr>
        <w:t>本项目下风向最近的敏感目标为兴庄村</w:t>
      </w:r>
      <w:r>
        <w:rPr>
          <w:rFonts w:ascii="Times New Roman" w:eastAsia="宋体" w:hAnsi="Times New Roman" w:cs="Times New Roman"/>
          <w:spacing w:val="10"/>
          <w:kern w:val="0"/>
          <w:sz w:val="28"/>
          <w:szCs w:val="28"/>
        </w:rPr>
        <w:t>(S 110m)</w:t>
      </w:r>
      <w:r>
        <w:rPr>
          <w:rFonts w:ascii="Times New Roman" w:eastAsia="宋体" w:hAnsi="Times New Roman" w:cs="Times New Roman"/>
          <w:spacing w:val="10"/>
          <w:kern w:val="0"/>
          <w:sz w:val="28"/>
          <w:szCs w:val="28"/>
        </w:rPr>
        <w:t>、李巷村</w:t>
      </w:r>
      <w:r>
        <w:rPr>
          <w:rFonts w:ascii="Times New Roman" w:eastAsia="宋体" w:hAnsi="Times New Roman" w:cs="Times New Roman"/>
          <w:spacing w:val="10"/>
          <w:kern w:val="0"/>
          <w:sz w:val="28"/>
          <w:szCs w:val="28"/>
        </w:rPr>
        <w:t>(W 20m)</w:t>
      </w:r>
      <w:r>
        <w:rPr>
          <w:rFonts w:ascii="Times New Roman" w:eastAsia="宋体" w:hAnsi="Times New Roman" w:cs="Times New Roman"/>
          <w:spacing w:val="10"/>
          <w:kern w:val="0"/>
          <w:sz w:val="28"/>
          <w:szCs w:val="28"/>
        </w:rPr>
        <w:t>，根据表</w:t>
      </w:r>
      <w:r>
        <w:rPr>
          <w:rFonts w:ascii="Times New Roman" w:eastAsia="宋体" w:hAnsi="Times New Roman" w:cs="Times New Roman"/>
          <w:spacing w:val="10"/>
          <w:kern w:val="0"/>
          <w:sz w:val="28"/>
          <w:szCs w:val="28"/>
        </w:rPr>
        <w:t>6.9-3</w:t>
      </w:r>
      <w:r>
        <w:rPr>
          <w:rFonts w:ascii="Times New Roman" w:eastAsia="宋体" w:hAnsi="Times New Roman" w:cs="Times New Roman"/>
          <w:spacing w:val="10"/>
          <w:kern w:val="0"/>
          <w:sz w:val="28"/>
          <w:szCs w:val="28"/>
        </w:rPr>
        <w:t>可知，</w:t>
      </w:r>
      <w:r>
        <w:rPr>
          <w:rFonts w:ascii="Times New Roman" w:eastAsia="宋体" w:hAnsi="Times New Roman" w:cs="Times New Roman"/>
          <w:spacing w:val="10"/>
          <w:sz w:val="28"/>
          <w:szCs w:val="28"/>
        </w:rPr>
        <w:t>硫酸储罐发生泄漏、沼气发生火灾爆炸时</w:t>
      </w:r>
      <w:r>
        <w:rPr>
          <w:rFonts w:ascii="Times New Roman" w:eastAsia="宋体" w:hAnsi="Times New Roman" w:cs="Times New Roman"/>
          <w:spacing w:val="10"/>
          <w:kern w:val="0"/>
          <w:sz w:val="28"/>
          <w:szCs w:val="28"/>
        </w:rPr>
        <w:t>对最近的敏感目标环境影响较小。</w:t>
      </w:r>
    </w:p>
    <w:p w14:paraId="7E289954" w14:textId="77777777" w:rsidR="002133E3" w:rsidRDefault="00C22CFA">
      <w:pPr>
        <w:spacing w:line="520" w:lineRule="exact"/>
        <w:ind w:firstLineChars="200" w:firstLine="560"/>
        <w:rPr>
          <w:rFonts w:ascii="Times New Roman" w:eastAsia="宋体" w:hAnsi="Times New Roman" w:cs="Times New Roman"/>
          <w:spacing w:val="10"/>
          <w:sz w:val="28"/>
          <w:szCs w:val="28"/>
        </w:rPr>
      </w:pPr>
      <w:r>
        <w:rPr>
          <w:rFonts w:ascii="Times New Roman" w:eastAsia="宋体" w:hAnsi="Times New Roman" w:cs="Times New Roman"/>
          <w:kern w:val="0"/>
          <w:sz w:val="28"/>
          <w:szCs w:val="28"/>
        </w:rPr>
        <w:t>项目设有报警系统，发生泄漏事故时，立即启动突发环境事件应急预案，对泄漏物进行收集和控制，对下风向影响范围内人口进行疏散，事故影响会在短时间内消除。通过估算，在采取积极的风险防范措施和应急预案后，项目大气环境影响处于可接受水平。</w:t>
      </w:r>
    </w:p>
    <w:p w14:paraId="768F32E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地下水环境风险预测</w:t>
      </w:r>
    </w:p>
    <w:p w14:paraId="6EA0F72C"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color w:val="0D0D0D"/>
          <w:sz w:val="28"/>
        </w:rPr>
        <w:t>非正常工况下，主要的考虑因素是废水调节池的渗漏对地下水可能造成的影响，</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Mn</w:t>
      </w:r>
      <w:proofErr w:type="spellEnd"/>
      <w:r>
        <w:rPr>
          <w:rFonts w:ascii="Times New Roman" w:eastAsia="宋体" w:hAnsi="Times New Roman" w:cs="Times New Roman"/>
          <w:color w:val="0D0D0D"/>
          <w:sz w:val="28"/>
          <w:szCs w:val="28"/>
        </w:rPr>
        <w:t>超标范围参照《地下水质量标准》</w:t>
      </w:r>
      <w:r>
        <w:rPr>
          <w:rFonts w:ascii="Times New Roman" w:eastAsia="宋体" w:hAnsi="Times New Roman" w:cs="Times New Roman"/>
          <w:color w:val="0D0D0D"/>
          <w:sz w:val="28"/>
          <w:szCs w:val="28"/>
        </w:rPr>
        <w:t>(GB/T14848- 2017)</w:t>
      </w:r>
      <w:r>
        <w:rPr>
          <w:rFonts w:ascii="宋体" w:eastAsia="宋体" w:hAnsi="宋体" w:cs="宋体" w:hint="eastAsia"/>
          <w:color w:val="0D0D0D"/>
          <w:sz w:val="28"/>
          <w:szCs w:val="28"/>
        </w:rPr>
        <w:t>Ⅲ</w:t>
      </w:r>
      <w:r>
        <w:rPr>
          <w:rFonts w:ascii="Times New Roman" w:eastAsia="宋体" w:hAnsi="Times New Roman" w:cs="Times New Roman"/>
          <w:color w:val="0D0D0D"/>
          <w:sz w:val="28"/>
          <w:szCs w:val="28"/>
        </w:rPr>
        <w:t>类标准限值，为</w:t>
      </w:r>
      <w:r>
        <w:rPr>
          <w:rFonts w:ascii="Times New Roman" w:eastAsia="宋体" w:hAnsi="Times New Roman" w:cs="Times New Roman"/>
          <w:color w:val="0D0D0D"/>
          <w:sz w:val="28"/>
          <w:szCs w:val="28"/>
        </w:rPr>
        <w:t>3mg/L</w:t>
      </w:r>
      <w:r>
        <w:rPr>
          <w:rFonts w:ascii="Times New Roman" w:eastAsia="宋体" w:hAnsi="Times New Roman" w:cs="Times New Roman"/>
          <w:color w:val="0D0D0D"/>
          <w:sz w:val="28"/>
          <w:szCs w:val="28"/>
        </w:rPr>
        <w:t>，</w:t>
      </w:r>
      <w:r>
        <w:rPr>
          <w:rFonts w:ascii="Times New Roman" w:eastAsia="宋体" w:hAnsi="Times New Roman" w:cs="Times New Roman"/>
          <w:color w:val="000000"/>
          <w:sz w:val="28"/>
          <w:szCs w:val="24"/>
        </w:rPr>
        <w:t>根据模型预测，耗氧量在地下水中污染扩散超标范围为：</w:t>
      </w:r>
      <w:r>
        <w:rPr>
          <w:rFonts w:ascii="Times New Roman" w:eastAsia="宋体" w:hAnsi="Times New Roman" w:cs="Times New Roman"/>
          <w:color w:val="000000"/>
          <w:sz w:val="28"/>
          <w:szCs w:val="24"/>
        </w:rPr>
        <w:t>100</w:t>
      </w:r>
      <w:r>
        <w:rPr>
          <w:rFonts w:ascii="Times New Roman" w:eastAsia="宋体" w:hAnsi="Times New Roman" w:cs="Times New Roman"/>
          <w:color w:val="000000"/>
          <w:sz w:val="28"/>
          <w:szCs w:val="24"/>
        </w:rPr>
        <w:t>天</w:t>
      </w:r>
      <w:r>
        <w:rPr>
          <w:rFonts w:ascii="Times New Roman" w:eastAsia="宋体" w:hAnsi="Times New Roman" w:cs="Times New Roman"/>
          <w:color w:val="000000"/>
          <w:sz w:val="28"/>
          <w:szCs w:val="24"/>
        </w:rPr>
        <w:lastRenderedPageBreak/>
        <w:t>超标范围为泄漏点周围</w:t>
      </w:r>
      <w:r>
        <w:rPr>
          <w:rFonts w:ascii="Times New Roman" w:eastAsia="宋体" w:hAnsi="Times New Roman" w:cs="Times New Roman"/>
          <w:color w:val="000000"/>
          <w:sz w:val="28"/>
          <w:szCs w:val="24"/>
        </w:rPr>
        <w:t>1.935m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365</w:t>
      </w:r>
      <w:r>
        <w:rPr>
          <w:rFonts w:ascii="Times New Roman" w:eastAsia="宋体" w:hAnsi="Times New Roman" w:cs="Times New Roman"/>
          <w:color w:val="000000"/>
          <w:sz w:val="28"/>
          <w:szCs w:val="24"/>
        </w:rPr>
        <w:t>天超标范围为泄漏点周围</w:t>
      </w:r>
      <w:r>
        <w:rPr>
          <w:rFonts w:ascii="Times New Roman" w:eastAsia="宋体" w:hAnsi="Times New Roman" w:cs="Times New Roman"/>
          <w:color w:val="000000"/>
          <w:sz w:val="28"/>
          <w:szCs w:val="24"/>
        </w:rPr>
        <w:t>5.98m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1000</w:t>
      </w:r>
      <w:r>
        <w:rPr>
          <w:rFonts w:ascii="Times New Roman" w:eastAsia="宋体" w:hAnsi="Times New Roman" w:cs="Times New Roman"/>
          <w:color w:val="000000"/>
          <w:sz w:val="28"/>
          <w:szCs w:val="24"/>
        </w:rPr>
        <w:t>天超标范围为泄漏点周围</w:t>
      </w:r>
      <w:r>
        <w:rPr>
          <w:rFonts w:ascii="Times New Roman" w:eastAsia="宋体" w:hAnsi="Times New Roman" w:cs="Times New Roman"/>
          <w:color w:val="000000"/>
          <w:sz w:val="28"/>
          <w:szCs w:val="24"/>
        </w:rPr>
        <w:t>15.02m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10</w:t>
      </w:r>
      <w:r>
        <w:rPr>
          <w:rFonts w:ascii="Times New Roman" w:eastAsia="宋体" w:hAnsi="Times New Roman" w:cs="Times New Roman"/>
          <w:color w:val="000000"/>
          <w:sz w:val="28"/>
          <w:szCs w:val="24"/>
        </w:rPr>
        <w:t>年超标范围为泄漏点周围</w:t>
      </w:r>
      <w:r>
        <w:rPr>
          <w:rFonts w:ascii="Times New Roman" w:eastAsia="宋体" w:hAnsi="Times New Roman" w:cs="Times New Roman"/>
          <w:color w:val="000000"/>
          <w:sz w:val="28"/>
          <w:szCs w:val="24"/>
        </w:rPr>
        <w:t>52.62m</w:t>
      </w:r>
      <w:r>
        <w:rPr>
          <w:rFonts w:ascii="Times New Roman" w:eastAsia="宋体" w:hAnsi="Times New Roman" w:cs="Times New Roman"/>
          <w:color w:val="000000"/>
          <w:sz w:val="28"/>
          <w:szCs w:val="24"/>
        </w:rPr>
        <w:t>，均未超出厂界，影响范围较小。</w:t>
      </w:r>
    </w:p>
    <w:p w14:paraId="30374DC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地表水环境风险评价</w:t>
      </w:r>
    </w:p>
    <w:p w14:paraId="54B0337F"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针对企业污染来源及其特性，以实现达标排放和满足应急处置的要求，公司及园区层面已建立污染源头、过程处理和最终排放的</w:t>
      </w:r>
      <w:r>
        <w:rPr>
          <w:rFonts w:ascii="Times New Roman" w:eastAsia="宋体" w:hAnsi="Times New Roman" w:cs="Times New Roman"/>
          <w:sz w:val="28"/>
          <w:szCs w:val="28"/>
        </w:rPr>
        <w:t>“</w:t>
      </w:r>
      <w:r>
        <w:rPr>
          <w:rFonts w:ascii="Times New Roman" w:eastAsia="宋体" w:hAnsi="Times New Roman" w:cs="Times New Roman"/>
          <w:sz w:val="28"/>
          <w:szCs w:val="28"/>
        </w:rPr>
        <w:t>三级防控</w:t>
      </w:r>
      <w:r>
        <w:rPr>
          <w:rFonts w:ascii="Times New Roman" w:eastAsia="宋体" w:hAnsi="Times New Roman" w:cs="Times New Roman"/>
          <w:sz w:val="28"/>
          <w:szCs w:val="28"/>
        </w:rPr>
        <w:t>”</w:t>
      </w:r>
      <w:r>
        <w:rPr>
          <w:rFonts w:ascii="Times New Roman" w:eastAsia="宋体" w:hAnsi="Times New Roman" w:cs="Times New Roman"/>
          <w:sz w:val="28"/>
          <w:szCs w:val="28"/>
        </w:rPr>
        <w:t>机制。公司已配套设施</w:t>
      </w:r>
      <w:r>
        <w:rPr>
          <w:rFonts w:ascii="Times New Roman" w:eastAsia="宋体" w:hAnsi="Times New Roman" w:cs="Times New Roman"/>
          <w:sz w:val="28"/>
          <w:szCs w:val="28"/>
        </w:rPr>
        <w:t>(</w:t>
      </w:r>
      <w:r>
        <w:rPr>
          <w:rFonts w:ascii="Times New Roman" w:eastAsia="宋体" w:hAnsi="Times New Roman" w:cs="Times New Roman"/>
          <w:sz w:val="28"/>
          <w:szCs w:val="28"/>
        </w:rPr>
        <w:t>导流设施、清污水切换设施</w:t>
      </w:r>
      <w:r>
        <w:rPr>
          <w:rFonts w:ascii="Times New Roman" w:eastAsia="宋体" w:hAnsi="Times New Roman" w:cs="Times New Roman"/>
          <w:sz w:val="28"/>
          <w:szCs w:val="28"/>
        </w:rPr>
        <w:t>)</w:t>
      </w:r>
      <w:r>
        <w:rPr>
          <w:rFonts w:ascii="Times New Roman" w:eastAsia="宋体" w:hAnsi="Times New Roman" w:cs="Times New Roman"/>
          <w:sz w:val="28"/>
          <w:szCs w:val="28"/>
        </w:rPr>
        <w:t>，作为轻微事故泄漏及污染雨水的一级防控设施，已设置</w:t>
      </w:r>
      <w:r>
        <w:rPr>
          <w:rFonts w:ascii="Times New Roman" w:eastAsia="宋体" w:hAnsi="Times New Roman" w:cs="Times New Roman"/>
          <w:sz w:val="28"/>
          <w:szCs w:val="28"/>
        </w:rPr>
        <w:t>40000m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事故池一座、</w:t>
      </w:r>
      <w:r>
        <w:rPr>
          <w:rFonts w:ascii="Times New Roman" w:eastAsia="宋体" w:hAnsi="Times New Roman" w:cs="Times New Roman"/>
          <w:sz w:val="28"/>
          <w:szCs w:val="28"/>
        </w:rPr>
        <w:t>3000m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消防尾水收集池一座及其配套设置</w:t>
      </w:r>
      <w:r>
        <w:rPr>
          <w:rFonts w:ascii="Times New Roman" w:eastAsia="宋体" w:hAnsi="Times New Roman" w:cs="Times New Roman"/>
          <w:sz w:val="28"/>
          <w:szCs w:val="28"/>
        </w:rPr>
        <w:t>(</w:t>
      </w:r>
      <w:r>
        <w:rPr>
          <w:rFonts w:ascii="Times New Roman" w:eastAsia="宋体" w:hAnsi="Times New Roman" w:cs="Times New Roman"/>
          <w:sz w:val="28"/>
          <w:szCs w:val="28"/>
        </w:rPr>
        <w:t>事故导排系统</w:t>
      </w:r>
      <w:r>
        <w:rPr>
          <w:rFonts w:ascii="Times New Roman" w:eastAsia="宋体" w:hAnsi="Times New Roman" w:cs="Times New Roman"/>
          <w:sz w:val="28"/>
          <w:szCs w:val="28"/>
        </w:rPr>
        <w:t>)</w:t>
      </w:r>
      <w:r>
        <w:rPr>
          <w:rFonts w:ascii="Times New Roman" w:eastAsia="宋体" w:hAnsi="Times New Roman" w:cs="Times New Roman"/>
          <w:sz w:val="28"/>
          <w:szCs w:val="28"/>
        </w:rPr>
        <w:t>，作为较大事故泄漏物料和消防废水的二级防控设置。因此，事故状态下，消防尾水不会直接进入企业外地表水体。</w:t>
      </w:r>
    </w:p>
    <w:p w14:paraId="06B4654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次生伴生危害</w:t>
      </w:r>
    </w:p>
    <w:p w14:paraId="519F36D4" w14:textId="77777777" w:rsidR="002133E3" w:rsidRDefault="00C22CFA">
      <w:pPr>
        <w:tabs>
          <w:tab w:val="left" w:pos="4500"/>
        </w:tabs>
        <w:spacing w:line="480" w:lineRule="exact"/>
        <w:ind w:firstLineChars="200" w:firstLine="560"/>
        <w:rPr>
          <w:rFonts w:ascii="Times New Roman" w:eastAsia="宋体" w:hAnsi="Times New Roman" w:cs="Times New Roman"/>
          <w:bCs/>
          <w:sz w:val="28"/>
          <w:szCs w:val="24"/>
        </w:rPr>
      </w:pPr>
      <w:r>
        <w:rPr>
          <w:rFonts w:ascii="Times New Roman" w:eastAsia="宋体" w:hAnsi="Times New Roman" w:cs="Times New Roman"/>
          <w:bCs/>
          <w:sz w:val="28"/>
          <w:szCs w:val="24"/>
        </w:rPr>
        <w:t>本项目使用的原辅料次生伴生危害详见表</w:t>
      </w:r>
      <w:r>
        <w:rPr>
          <w:rFonts w:ascii="Times New Roman" w:eastAsia="宋体" w:hAnsi="Times New Roman" w:cs="Times New Roman"/>
          <w:sz w:val="28"/>
          <w:szCs w:val="24"/>
        </w:rPr>
        <w:t>6.</w:t>
      </w:r>
      <w:r>
        <w:rPr>
          <w:rFonts w:ascii="Times New Roman" w:eastAsia="宋体" w:hAnsi="Times New Roman" w:cs="Times New Roman"/>
          <w:bCs/>
          <w:sz w:val="28"/>
          <w:szCs w:val="24"/>
        </w:rPr>
        <w:t>9-4</w:t>
      </w:r>
      <w:r>
        <w:rPr>
          <w:rFonts w:ascii="Times New Roman" w:eastAsia="宋体" w:hAnsi="Times New Roman" w:cs="Times New Roman"/>
          <w:bCs/>
          <w:sz w:val="28"/>
          <w:szCs w:val="24"/>
        </w:rPr>
        <w:t>。</w:t>
      </w:r>
    </w:p>
    <w:p w14:paraId="64074685" w14:textId="77777777" w:rsidR="002133E3" w:rsidRDefault="00C22CFA">
      <w:pPr>
        <w:spacing w:line="48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bCs/>
          <w:snapToGrid w:val="0"/>
          <w:szCs w:val="24"/>
        </w:rPr>
        <w:t>6.9-4</w:t>
      </w:r>
      <w:r>
        <w:rPr>
          <w:rFonts w:ascii="Times New Roman" w:eastAsia="宋体" w:hAnsi="Times New Roman" w:cs="Times New Roman"/>
          <w:b/>
          <w:szCs w:val="24"/>
        </w:rPr>
        <w:t xml:space="preserve">  </w:t>
      </w:r>
      <w:r>
        <w:rPr>
          <w:rFonts w:ascii="Times New Roman" w:eastAsia="宋体" w:hAnsi="Times New Roman" w:cs="Times New Roman"/>
          <w:b/>
          <w:szCs w:val="24"/>
        </w:rPr>
        <w:t>项目主要风险物质伴生、次生危害一览表</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8297"/>
      </w:tblGrid>
      <w:tr w:rsidR="002133E3" w14:paraId="07D1EE0A" w14:textId="77777777">
        <w:trPr>
          <w:trHeight w:val="284"/>
          <w:jc w:val="center"/>
        </w:trPr>
        <w:tc>
          <w:tcPr>
            <w:tcW w:w="1444" w:type="dxa"/>
            <w:vAlign w:val="center"/>
          </w:tcPr>
          <w:p w14:paraId="06293E8D" w14:textId="77777777" w:rsidR="002133E3" w:rsidRDefault="00C22CFA">
            <w:pPr>
              <w:spacing w:line="320" w:lineRule="exact"/>
              <w:jc w:val="center"/>
              <w:rPr>
                <w:rFonts w:ascii="Times New Roman" w:eastAsia="宋体" w:hAnsi="Times New Roman" w:cs="Times New Roman"/>
                <w:b/>
                <w:szCs w:val="21"/>
                <w:highlight w:val="yellow"/>
              </w:rPr>
            </w:pPr>
            <w:r>
              <w:rPr>
                <w:rFonts w:ascii="Times New Roman" w:eastAsia="宋体" w:hAnsi="Times New Roman" w:cs="Times New Roman"/>
                <w:b/>
                <w:szCs w:val="21"/>
                <w:highlight w:val="yellow"/>
              </w:rPr>
              <w:t>名称</w:t>
            </w:r>
          </w:p>
        </w:tc>
        <w:tc>
          <w:tcPr>
            <w:tcW w:w="8297" w:type="dxa"/>
            <w:vAlign w:val="center"/>
          </w:tcPr>
          <w:p w14:paraId="77515FB7" w14:textId="77777777" w:rsidR="002133E3" w:rsidRDefault="00C22CFA">
            <w:pPr>
              <w:spacing w:line="320" w:lineRule="exact"/>
              <w:jc w:val="center"/>
              <w:rPr>
                <w:rFonts w:ascii="Times New Roman" w:eastAsia="宋体" w:hAnsi="Times New Roman" w:cs="Times New Roman"/>
                <w:b/>
                <w:szCs w:val="21"/>
                <w:highlight w:val="yellow"/>
              </w:rPr>
            </w:pPr>
            <w:r>
              <w:rPr>
                <w:rFonts w:ascii="Times New Roman" w:eastAsia="宋体" w:hAnsi="Times New Roman" w:cs="Times New Roman"/>
                <w:b/>
                <w:szCs w:val="21"/>
                <w:highlight w:val="yellow"/>
              </w:rPr>
              <w:t>伴生、次生危害</w:t>
            </w:r>
          </w:p>
        </w:tc>
      </w:tr>
      <w:tr w:rsidR="002133E3" w14:paraId="677C2772" w14:textId="77777777">
        <w:trPr>
          <w:trHeight w:val="284"/>
          <w:jc w:val="center"/>
        </w:trPr>
        <w:tc>
          <w:tcPr>
            <w:tcW w:w="1444" w:type="dxa"/>
            <w:vAlign w:val="center"/>
          </w:tcPr>
          <w:p w14:paraId="1BA5A12B" w14:textId="77777777" w:rsidR="002133E3" w:rsidRDefault="00C22CFA">
            <w:pPr>
              <w:jc w:val="center"/>
              <w:rPr>
                <w:rFonts w:ascii="Times New Roman" w:eastAsia="宋体" w:hAnsi="Times New Roman" w:cs="Times New Roman"/>
                <w:szCs w:val="21"/>
                <w:highlight w:val="yellow"/>
              </w:rPr>
            </w:pPr>
            <w:r>
              <w:rPr>
                <w:rFonts w:ascii="Times New Roman" w:eastAsia="宋体" w:hAnsi="Times New Roman" w:cs="Times New Roman"/>
                <w:szCs w:val="21"/>
                <w:highlight w:val="yellow"/>
              </w:rPr>
              <w:t>沥青</w:t>
            </w:r>
          </w:p>
        </w:tc>
        <w:tc>
          <w:tcPr>
            <w:tcW w:w="8297" w:type="dxa"/>
            <w:vAlign w:val="center"/>
          </w:tcPr>
          <w:p w14:paraId="3C24B68E" w14:textId="77777777" w:rsidR="002133E3" w:rsidRDefault="00C22CFA">
            <w:pPr>
              <w:rPr>
                <w:rFonts w:ascii="Times New Roman" w:eastAsia="宋体" w:hAnsi="Times New Roman" w:cs="Times New Roman"/>
                <w:szCs w:val="21"/>
                <w:highlight w:val="yellow"/>
              </w:rPr>
            </w:pPr>
            <w:r>
              <w:rPr>
                <w:rFonts w:ascii="Times New Roman" w:eastAsia="宋体" w:hAnsi="Times New Roman" w:cs="Times New Roman"/>
                <w:szCs w:val="21"/>
                <w:highlight w:val="yellow"/>
              </w:rPr>
              <w:t>遇明火、高热可燃。燃烧时放出有毒的刺激性烟雾。有害燃烧产物：一氧化碳、二氧化碳、成分未知的黑色烟雾。</w:t>
            </w:r>
          </w:p>
        </w:tc>
      </w:tr>
      <w:tr w:rsidR="002133E3" w14:paraId="309A5FD8" w14:textId="77777777">
        <w:trPr>
          <w:trHeight w:val="284"/>
          <w:jc w:val="center"/>
        </w:trPr>
        <w:tc>
          <w:tcPr>
            <w:tcW w:w="1444" w:type="dxa"/>
            <w:vAlign w:val="center"/>
          </w:tcPr>
          <w:p w14:paraId="210233A8" w14:textId="77777777" w:rsidR="002133E3" w:rsidRDefault="00C22CFA">
            <w:pPr>
              <w:jc w:val="center"/>
              <w:rPr>
                <w:rFonts w:ascii="Times New Roman" w:eastAsia="宋体" w:hAnsi="Times New Roman" w:cs="Times New Roman"/>
                <w:sz w:val="20"/>
                <w:szCs w:val="20"/>
                <w:highlight w:val="yellow"/>
              </w:rPr>
            </w:pPr>
            <w:r>
              <w:rPr>
                <w:rFonts w:ascii="Times New Roman" w:eastAsia="宋体" w:hAnsi="Times New Roman" w:cs="Times New Roman"/>
                <w:szCs w:val="21"/>
                <w:highlight w:val="yellow"/>
              </w:rPr>
              <w:t>渣油</w:t>
            </w:r>
          </w:p>
        </w:tc>
        <w:tc>
          <w:tcPr>
            <w:tcW w:w="8297" w:type="dxa"/>
            <w:vAlign w:val="center"/>
          </w:tcPr>
          <w:p w14:paraId="6C847571" w14:textId="77777777" w:rsidR="002133E3" w:rsidRDefault="00C22CFA">
            <w:pPr>
              <w:rPr>
                <w:rFonts w:ascii="Times New Roman" w:eastAsia="宋体" w:hAnsi="Times New Roman" w:cs="Times New Roman"/>
                <w:szCs w:val="21"/>
                <w:highlight w:val="yellow"/>
              </w:rPr>
            </w:pPr>
            <w:r>
              <w:rPr>
                <w:rFonts w:ascii="Times New Roman" w:eastAsia="宋体" w:hAnsi="Times New Roman" w:cs="Times New Roman"/>
                <w:szCs w:val="21"/>
                <w:highlight w:val="yellow"/>
              </w:rPr>
              <w:t>受高热分解，放出腐蚀性、刺激性的烟雾。有害燃烧产物：一氧化碳、二氧化碳、成分未知的黑色烟雾。</w:t>
            </w:r>
          </w:p>
        </w:tc>
      </w:tr>
      <w:tr w:rsidR="002133E3" w14:paraId="302E9877" w14:textId="77777777">
        <w:trPr>
          <w:trHeight w:val="284"/>
          <w:jc w:val="center"/>
        </w:trPr>
        <w:tc>
          <w:tcPr>
            <w:tcW w:w="1444" w:type="dxa"/>
            <w:vAlign w:val="center"/>
          </w:tcPr>
          <w:p w14:paraId="2D5BBB9C" w14:textId="77777777" w:rsidR="002133E3" w:rsidRDefault="00C22CFA">
            <w:pPr>
              <w:jc w:val="center"/>
              <w:rPr>
                <w:rFonts w:ascii="Times New Roman" w:eastAsia="宋体" w:hAnsi="Times New Roman" w:cs="Times New Roman"/>
                <w:sz w:val="20"/>
                <w:szCs w:val="20"/>
                <w:highlight w:val="yellow"/>
              </w:rPr>
            </w:pPr>
            <w:r>
              <w:rPr>
                <w:rFonts w:ascii="Times New Roman" w:eastAsia="宋体" w:hAnsi="Times New Roman" w:cs="Times New Roman"/>
                <w:szCs w:val="21"/>
                <w:highlight w:val="yellow"/>
              </w:rPr>
              <w:t>重油</w:t>
            </w:r>
            <w:r>
              <w:rPr>
                <w:rFonts w:ascii="Times New Roman" w:eastAsia="宋体" w:hAnsi="Times New Roman" w:cs="Times New Roman"/>
                <w:szCs w:val="21"/>
                <w:highlight w:val="yellow"/>
                <w:vertAlign w:val="superscript"/>
              </w:rPr>
              <w:t>*</w:t>
            </w:r>
          </w:p>
        </w:tc>
        <w:tc>
          <w:tcPr>
            <w:tcW w:w="8297" w:type="dxa"/>
            <w:vAlign w:val="center"/>
          </w:tcPr>
          <w:p w14:paraId="333916D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highlight w:val="yellow"/>
              </w:rPr>
              <w:t>受高热分解，放出腐蚀性、刺激性的烟雾。有害燃烧产物：一氧化碳、二氧化碳、成分未知的黑色烟雾。</w:t>
            </w:r>
          </w:p>
        </w:tc>
      </w:tr>
    </w:tbl>
    <w:p w14:paraId="069BDCF5" w14:textId="77777777" w:rsidR="002133E3" w:rsidRDefault="00C22CFA">
      <w:pPr>
        <w:snapToGrid w:val="0"/>
        <w:spacing w:line="500" w:lineRule="atLeast"/>
        <w:rPr>
          <w:rFonts w:ascii="Times New Roman" w:eastAsia="宋体" w:hAnsi="Times New Roman" w:cs="Times New Roman"/>
          <w:b/>
          <w:spacing w:val="-6"/>
          <w:kern w:val="0"/>
          <w:szCs w:val="21"/>
        </w:rPr>
      </w:pPr>
      <w:r>
        <w:rPr>
          <w:rFonts w:ascii="Times New Roman" w:eastAsia="宋体" w:hAnsi="Times New Roman" w:cs="Times New Roman"/>
          <w:kern w:val="0"/>
          <w:szCs w:val="21"/>
        </w:rPr>
        <w:t>注：</w:t>
      </w:r>
      <w:r>
        <w:rPr>
          <w:rFonts w:ascii="Times New Roman" w:eastAsia="宋体" w:hAnsi="Times New Roman" w:cs="Times New Roman"/>
          <w:kern w:val="0"/>
          <w:szCs w:val="21"/>
          <w:vertAlign w:val="superscript"/>
        </w:rPr>
        <w:t>*</w:t>
      </w:r>
      <w:r>
        <w:rPr>
          <w:rFonts w:ascii="Times New Roman" w:eastAsia="宋体" w:hAnsi="Times New Roman" w:cs="Times New Roman"/>
          <w:kern w:val="0"/>
          <w:szCs w:val="21"/>
        </w:rPr>
        <w:t>闪点大于</w:t>
      </w:r>
      <w:r>
        <w:rPr>
          <w:rFonts w:ascii="Times New Roman" w:eastAsia="宋体" w:hAnsi="Times New Roman" w:cs="Times New Roman"/>
          <w:kern w:val="0"/>
          <w:szCs w:val="21"/>
        </w:rPr>
        <w:t>120</w:t>
      </w:r>
      <w:r>
        <w:rPr>
          <w:rFonts w:ascii="宋体" w:eastAsia="宋体" w:hAnsi="宋体" w:cs="宋体" w:hint="eastAsia"/>
          <w:kern w:val="0"/>
          <w:szCs w:val="21"/>
        </w:rPr>
        <w:t>℃</w:t>
      </w:r>
      <w:r>
        <w:rPr>
          <w:rFonts w:ascii="Times New Roman" w:eastAsia="宋体" w:hAnsi="Times New Roman" w:cs="Times New Roman"/>
          <w:kern w:val="0"/>
          <w:szCs w:val="21"/>
        </w:rPr>
        <w:t>的燃料油。</w:t>
      </w:r>
    </w:p>
    <w:p w14:paraId="247860AC"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4"/>
        </w:rPr>
        <w:t>伴生、次生危险性分析：以上物质在火灾爆炸事故中，经燃烧均可以转化为二氧化碳、一氧化碳，各污染物浓度范围在几十至几百之间，短时间内对下风向的环境空气质量有一定的影响，长期影响较小</w:t>
      </w:r>
      <w:r>
        <w:rPr>
          <w:rFonts w:ascii="Times New Roman" w:eastAsia="宋体" w:hAnsi="Times New Roman" w:cs="Times New Roman"/>
          <w:sz w:val="28"/>
          <w:szCs w:val="28"/>
        </w:rPr>
        <w:t>，因此要根据不同物质的特性采取适宜的灭火方式，防止并减轻伴生次生危害的产生，尽量消除因火灾等而引起的环境污染事故。</w:t>
      </w:r>
    </w:p>
    <w:p w14:paraId="39216CC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生产废水、消防污水事故排放影响分析</w:t>
      </w:r>
    </w:p>
    <w:p w14:paraId="52568394"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对泄漏物料首先采取回收的方式将液态物料回收处理。回收不完全的可用水冲洗，冲洗废水应进入消防尾水收集池，厂区各生产区和存贮区设置消防尾水收集管线、设置消防尾水收集池，企业需建设足够容积的消防尾水收集池。</w:t>
      </w:r>
    </w:p>
    <w:p w14:paraId="5C029F94" w14:textId="77777777" w:rsidR="002133E3" w:rsidRDefault="00C22CFA">
      <w:pPr>
        <w:adjustRightInd w:val="0"/>
        <w:snapToGrid w:val="0"/>
        <w:spacing w:line="500" w:lineRule="atLeast"/>
        <w:ind w:firstLineChars="200" w:firstLine="560"/>
        <w:rPr>
          <w:rFonts w:ascii="Times New Roman" w:eastAsia="宋体" w:hAnsi="Times New Roman" w:cs="Times New Roman"/>
          <w:color w:val="000000"/>
          <w:sz w:val="28"/>
        </w:rPr>
      </w:pPr>
      <w:r>
        <w:rPr>
          <w:rFonts w:ascii="Times New Roman" w:eastAsia="宋体" w:hAnsi="Times New Roman" w:cs="Times New Roman"/>
          <w:kern w:val="0"/>
          <w:sz w:val="28"/>
          <w:szCs w:val="28"/>
        </w:rPr>
        <w:lastRenderedPageBreak/>
        <w:t>已建项目</w:t>
      </w:r>
      <w:r>
        <w:rPr>
          <w:rFonts w:ascii="Times New Roman" w:eastAsia="宋体" w:hAnsi="Times New Roman" w:cs="Times New Roman"/>
          <w:sz w:val="28"/>
        </w:rPr>
        <w:t>发生火灾时消防用水量约为</w:t>
      </w:r>
      <w:r>
        <w:rPr>
          <w:rFonts w:ascii="Times New Roman" w:eastAsia="宋体" w:hAnsi="Times New Roman" w:cs="Times New Roman"/>
          <w:sz w:val="28"/>
        </w:rPr>
        <w:t>2400m</w:t>
      </w:r>
      <w:r>
        <w:rPr>
          <w:rFonts w:ascii="Times New Roman" w:eastAsia="宋体" w:hAnsi="Times New Roman" w:cs="Times New Roman"/>
          <w:sz w:val="28"/>
          <w:vertAlign w:val="superscript"/>
        </w:rPr>
        <w:t>3</w:t>
      </w:r>
      <w:r>
        <w:rPr>
          <w:rFonts w:ascii="Times New Roman" w:eastAsia="宋体" w:hAnsi="Times New Roman" w:cs="Times New Roman"/>
          <w:sz w:val="28"/>
        </w:rPr>
        <w:t>，类比调查，消防废水产生量约为用水量的</w:t>
      </w:r>
      <w:r>
        <w:rPr>
          <w:rFonts w:ascii="Times New Roman" w:eastAsia="宋体" w:hAnsi="Times New Roman" w:cs="Times New Roman"/>
          <w:sz w:val="28"/>
        </w:rPr>
        <w:t>90%</w:t>
      </w:r>
      <w:r>
        <w:rPr>
          <w:rFonts w:ascii="Times New Roman" w:eastAsia="宋体" w:hAnsi="Times New Roman" w:cs="Times New Roman"/>
          <w:sz w:val="28"/>
        </w:rPr>
        <w:t>，消防废水量为</w:t>
      </w:r>
      <w:r>
        <w:rPr>
          <w:rFonts w:ascii="Times New Roman" w:eastAsia="宋体" w:hAnsi="Times New Roman" w:cs="Times New Roman"/>
          <w:sz w:val="28"/>
        </w:rPr>
        <w:t>2160m</w:t>
      </w:r>
      <w:r>
        <w:rPr>
          <w:rFonts w:ascii="Times New Roman" w:eastAsia="宋体" w:hAnsi="Times New Roman" w:cs="Times New Roman"/>
          <w:sz w:val="28"/>
          <w:vertAlign w:val="superscript"/>
        </w:rPr>
        <w:t>3</w:t>
      </w:r>
      <w:r>
        <w:rPr>
          <w:rFonts w:ascii="Times New Roman" w:eastAsia="宋体" w:hAnsi="Times New Roman" w:cs="Times New Roman"/>
          <w:sz w:val="28"/>
        </w:rPr>
        <w:t>，</w:t>
      </w:r>
      <w:r>
        <w:rPr>
          <w:rFonts w:ascii="Times New Roman" w:eastAsia="宋体" w:hAnsi="Times New Roman" w:cs="Times New Roman"/>
          <w:kern w:val="0"/>
          <w:sz w:val="28"/>
          <w:szCs w:val="28"/>
        </w:rPr>
        <w:t>江苏金茂源生物化工有限责任公司占地面积为</w:t>
      </w:r>
      <w:r>
        <w:rPr>
          <w:rFonts w:ascii="Times New Roman" w:eastAsia="宋体" w:hAnsi="Times New Roman" w:cs="Times New Roman"/>
          <w:sz w:val="28"/>
          <w:szCs w:val="28"/>
        </w:rPr>
        <w:t>1371976</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2</w:t>
      </w:r>
      <w:r>
        <w:rPr>
          <w:rFonts w:ascii="Times New Roman" w:eastAsia="宋体" w:hAnsi="Times New Roman" w:cs="Times New Roman"/>
          <w:kern w:val="0"/>
          <w:sz w:val="28"/>
          <w:szCs w:val="28"/>
        </w:rPr>
        <w:t>，总面积不超过</w:t>
      </w:r>
      <w:r>
        <w:rPr>
          <w:rFonts w:ascii="Times New Roman" w:eastAsia="宋体" w:hAnsi="Times New Roman" w:cs="Times New Roman"/>
          <w:kern w:val="0"/>
          <w:sz w:val="28"/>
          <w:szCs w:val="28"/>
        </w:rPr>
        <w:t>100</w:t>
      </w:r>
      <w:r>
        <w:rPr>
          <w:rFonts w:ascii="Times New Roman" w:eastAsia="宋体" w:hAnsi="Times New Roman" w:cs="Times New Roman"/>
          <w:kern w:val="0"/>
          <w:sz w:val="28"/>
          <w:szCs w:val="28"/>
        </w:rPr>
        <w:t>公顷，同一时间火灾次数为</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次。技改项目涉及生产车间类别不超现有生产车间，相应一次消防水用量不超现有项目；新增无水乙醇储罐规格不超现有储罐，相应一次消防水用量不超现有储罐。因此技改项目建成后消防尾水量维持不变。</w:t>
      </w:r>
      <w:r>
        <w:rPr>
          <w:rFonts w:ascii="Times New Roman" w:eastAsia="宋体" w:hAnsi="Times New Roman" w:cs="Times New Roman"/>
          <w:color w:val="000000"/>
          <w:sz w:val="28"/>
        </w:rPr>
        <w:t>厂区建有一座</w:t>
      </w:r>
      <w:r>
        <w:rPr>
          <w:rFonts w:ascii="Times New Roman" w:eastAsia="宋体" w:hAnsi="Times New Roman" w:cs="Times New Roman"/>
          <w:color w:val="000000"/>
          <w:sz w:val="28"/>
        </w:rPr>
        <w:t>3000m³</w:t>
      </w:r>
      <w:r>
        <w:rPr>
          <w:rFonts w:ascii="Times New Roman" w:eastAsia="宋体" w:hAnsi="Times New Roman" w:cs="Times New Roman"/>
          <w:color w:val="000000"/>
          <w:sz w:val="28"/>
        </w:rPr>
        <w:t>消防尾水池，能够满足发生事故时所产生最大废水量的排放需求。</w:t>
      </w:r>
    </w:p>
    <w:p w14:paraId="6BB0D04C"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一旦事故发生后，立即关闭雨水（消防水）管道阀门，切断雨水排口，打开消防尾水收集阀进消防尾水池，再送入污水站处理，处理达园区污水厂接管标准后再排入园区污水管网，经通海污水处理厂处理达到《城镇污水处理厂污染物排放标准》（</w:t>
      </w:r>
      <w:r>
        <w:rPr>
          <w:rFonts w:ascii="Times New Roman" w:eastAsia="宋体" w:hAnsi="Times New Roman" w:cs="Times New Roman"/>
          <w:kern w:val="0"/>
          <w:sz w:val="28"/>
          <w:szCs w:val="28"/>
        </w:rPr>
        <w:t>GB18918-2002</w:t>
      </w:r>
      <w:r>
        <w:rPr>
          <w:rFonts w:ascii="Times New Roman" w:eastAsia="宋体" w:hAnsi="Times New Roman" w:cs="Times New Roman"/>
          <w:kern w:val="0"/>
          <w:sz w:val="28"/>
          <w:szCs w:val="28"/>
        </w:rPr>
        <w:t>）一级</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标准后，对水体环境造成的污染影响增加很小。</w:t>
      </w:r>
    </w:p>
    <w:p w14:paraId="7933E426"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公司应严格、认真落实上述各项预防应急措施，杜绝由于消防水或事公司应严格、认真落实上述各项预防应急措施，杜绝由于消防水或事故废水排放而发生的周围地表水污染事件发生。</w:t>
      </w:r>
    </w:p>
    <w:p w14:paraId="56C47F6A"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）当污水处理装置出现故障、排水监测超过接管标准时，将立即停止排放，把超标废水切换至消防尾水收集池。如处理设施在一天内无法修复、处理出水不能达到接管标准时，将立即通知生产部门停车。</w:t>
      </w:r>
    </w:p>
    <w:p w14:paraId="4B58D7DB"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若废水在意外情况下进入园区雨水管网、排入外环境，会造成鱼类和水生生物的死亡。可迅速封堵排污口，切断受污染水体的流动。酸碱性废水可采用酸碱中和将污染物转化为盐，含有机物料废水可采用活性炭吸附的方式来处理，进而减小对水体的影响。</w:t>
      </w:r>
    </w:p>
    <w:p w14:paraId="2A5DB7F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bookmarkStart w:id="72" w:name="_Toc364846412"/>
      <w:bookmarkStart w:id="73" w:name="_Toc354244796"/>
      <w:bookmarkStart w:id="74" w:name="_Toc282589067"/>
      <w:bookmarkStart w:id="75" w:name="_Toc406957954"/>
      <w:r>
        <w:rPr>
          <w:rFonts w:ascii="Times New Roman" w:eastAsia="宋体" w:hAnsi="Times New Roman" w:cs="Times New Roman"/>
          <w:b/>
          <w:sz w:val="30"/>
          <w:szCs w:val="30"/>
        </w:rPr>
        <w:t>环境风险评价</w:t>
      </w:r>
      <w:bookmarkEnd w:id="72"/>
      <w:bookmarkEnd w:id="73"/>
      <w:bookmarkEnd w:id="74"/>
      <w:bookmarkEnd w:id="75"/>
      <w:r>
        <w:rPr>
          <w:rFonts w:ascii="Times New Roman" w:eastAsia="宋体" w:hAnsi="Times New Roman" w:cs="Times New Roman"/>
          <w:b/>
          <w:sz w:val="30"/>
          <w:szCs w:val="30"/>
        </w:rPr>
        <w:t>小结</w:t>
      </w:r>
    </w:p>
    <w:p w14:paraId="686641AF" w14:textId="77777777" w:rsidR="002133E3" w:rsidRDefault="00C22CFA">
      <w:pPr>
        <w:tabs>
          <w:tab w:val="left" w:pos="4500"/>
        </w:tabs>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事故源项及事故后果基本信息详见表</w:t>
      </w:r>
      <w:r>
        <w:rPr>
          <w:rFonts w:ascii="Times New Roman" w:eastAsia="宋体" w:hAnsi="Times New Roman" w:cs="Times New Roman"/>
          <w:kern w:val="0"/>
          <w:sz w:val="28"/>
          <w:szCs w:val="28"/>
        </w:rPr>
        <w:t>6.9-5</w:t>
      </w:r>
      <w:r>
        <w:rPr>
          <w:rFonts w:ascii="Times New Roman" w:eastAsia="宋体" w:hAnsi="Times New Roman" w:cs="Times New Roman"/>
          <w:kern w:val="0"/>
          <w:sz w:val="28"/>
          <w:szCs w:val="28"/>
        </w:rPr>
        <w:t>。</w:t>
      </w:r>
    </w:p>
    <w:p w14:paraId="35F2CC10" w14:textId="77777777" w:rsidR="002133E3" w:rsidRDefault="00C22CFA">
      <w:pPr>
        <w:adjustRightInd w:val="0"/>
        <w:snapToGrid w:val="0"/>
        <w:spacing w:line="50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6.9-5  </w:t>
      </w:r>
      <w:r>
        <w:rPr>
          <w:rFonts w:ascii="Times New Roman" w:eastAsia="宋体" w:hAnsi="Times New Roman" w:cs="Times New Roman"/>
          <w:b/>
          <w:kern w:val="0"/>
          <w:sz w:val="24"/>
          <w:szCs w:val="21"/>
        </w:rPr>
        <w:t>事故源项及事故后果基本信息表</w:t>
      </w:r>
    </w:p>
    <w:tbl>
      <w:tblPr>
        <w:tblW w:w="49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603"/>
        <w:gridCol w:w="341"/>
        <w:gridCol w:w="270"/>
        <w:gridCol w:w="1140"/>
        <w:gridCol w:w="284"/>
        <w:gridCol w:w="681"/>
        <w:gridCol w:w="707"/>
        <w:gridCol w:w="466"/>
        <w:gridCol w:w="527"/>
        <w:gridCol w:w="568"/>
        <w:gridCol w:w="135"/>
        <w:gridCol w:w="1283"/>
        <w:gridCol w:w="378"/>
        <w:gridCol w:w="190"/>
        <w:gridCol w:w="1349"/>
      </w:tblGrid>
      <w:tr w:rsidR="002133E3" w14:paraId="0233F3C2" w14:textId="77777777">
        <w:trPr>
          <w:trHeight w:val="20"/>
          <w:jc w:val="center"/>
        </w:trPr>
        <w:tc>
          <w:tcPr>
            <w:tcW w:w="5000" w:type="pct"/>
            <w:gridSpan w:val="16"/>
            <w:vAlign w:val="center"/>
          </w:tcPr>
          <w:p w14:paraId="3E8B547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风险事故情形分析</w:t>
            </w:r>
          </w:p>
        </w:tc>
      </w:tr>
      <w:tr w:rsidR="002133E3" w14:paraId="3609A69E" w14:textId="77777777">
        <w:trPr>
          <w:trHeight w:val="20"/>
          <w:jc w:val="center"/>
        </w:trPr>
        <w:tc>
          <w:tcPr>
            <w:tcW w:w="926" w:type="pct"/>
            <w:gridSpan w:val="3"/>
            <w:vAlign w:val="center"/>
          </w:tcPr>
          <w:p w14:paraId="1E1B187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代表性风险事故情形描述</w:t>
            </w:r>
          </w:p>
        </w:tc>
        <w:tc>
          <w:tcPr>
            <w:tcW w:w="4074" w:type="pct"/>
            <w:gridSpan w:val="13"/>
            <w:vAlign w:val="center"/>
          </w:tcPr>
          <w:p w14:paraId="10876A67"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硫酸储罐发生泄漏和沼气发生火灾爆炸</w:t>
            </w:r>
          </w:p>
        </w:tc>
      </w:tr>
      <w:tr w:rsidR="002133E3" w14:paraId="5DCA90BC" w14:textId="77777777">
        <w:trPr>
          <w:trHeight w:val="20"/>
          <w:jc w:val="center"/>
        </w:trPr>
        <w:tc>
          <w:tcPr>
            <w:tcW w:w="926" w:type="pct"/>
            <w:gridSpan w:val="3"/>
            <w:vAlign w:val="center"/>
          </w:tcPr>
          <w:p w14:paraId="2B49D3E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环境风险类型</w:t>
            </w:r>
          </w:p>
        </w:tc>
        <w:tc>
          <w:tcPr>
            <w:tcW w:w="4074" w:type="pct"/>
            <w:gridSpan w:val="13"/>
            <w:vAlign w:val="center"/>
          </w:tcPr>
          <w:p w14:paraId="4A529929"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硫酸储罐泄漏</w:t>
            </w:r>
          </w:p>
        </w:tc>
      </w:tr>
      <w:tr w:rsidR="002133E3" w14:paraId="3CF8B4CB" w14:textId="77777777">
        <w:trPr>
          <w:trHeight w:val="20"/>
          <w:jc w:val="center"/>
        </w:trPr>
        <w:tc>
          <w:tcPr>
            <w:tcW w:w="926" w:type="pct"/>
            <w:gridSpan w:val="3"/>
            <w:vAlign w:val="center"/>
          </w:tcPr>
          <w:p w14:paraId="3F1F6A2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设备类型</w:t>
            </w:r>
          </w:p>
        </w:tc>
        <w:tc>
          <w:tcPr>
            <w:tcW w:w="865" w:type="pct"/>
            <w:gridSpan w:val="3"/>
            <w:vAlign w:val="center"/>
          </w:tcPr>
          <w:p w14:paraId="3337CBD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硫酸储罐</w:t>
            </w:r>
          </w:p>
        </w:tc>
        <w:tc>
          <w:tcPr>
            <w:tcW w:w="947" w:type="pct"/>
            <w:gridSpan w:val="3"/>
            <w:vAlign w:val="center"/>
          </w:tcPr>
          <w:p w14:paraId="7E947628"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操作温度</w:t>
            </w:r>
            <w:r>
              <w:rPr>
                <w:rFonts w:ascii="Times New Roman" w:eastAsia="宋体" w:hAnsi="Times New Roman" w:cs="Times New Roman"/>
                <w:kern w:val="0"/>
                <w:szCs w:val="21"/>
              </w:rPr>
              <w:t>/</w:t>
            </w:r>
            <w:r>
              <w:rPr>
                <w:rFonts w:ascii="宋体" w:eastAsia="宋体" w:hAnsi="宋体" w:cs="宋体" w:hint="eastAsia"/>
                <w:kern w:val="0"/>
                <w:szCs w:val="21"/>
              </w:rPr>
              <w:t>℃</w:t>
            </w:r>
          </w:p>
        </w:tc>
        <w:tc>
          <w:tcPr>
            <w:tcW w:w="628" w:type="pct"/>
            <w:gridSpan w:val="3"/>
            <w:vAlign w:val="center"/>
          </w:tcPr>
          <w:p w14:paraId="2085E86D"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945" w:type="pct"/>
            <w:gridSpan w:val="3"/>
            <w:vAlign w:val="center"/>
          </w:tcPr>
          <w:p w14:paraId="4C3255D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操作压力</w:t>
            </w:r>
            <w:r>
              <w:rPr>
                <w:rFonts w:ascii="Times New Roman" w:eastAsia="宋体" w:hAnsi="Times New Roman" w:cs="Times New Roman"/>
                <w:kern w:val="0"/>
                <w:szCs w:val="21"/>
              </w:rPr>
              <w:t>/MPa</w:t>
            </w:r>
          </w:p>
        </w:tc>
        <w:tc>
          <w:tcPr>
            <w:tcW w:w="689" w:type="pct"/>
            <w:vAlign w:val="center"/>
          </w:tcPr>
          <w:p w14:paraId="42150F4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3ED75174" w14:textId="77777777">
        <w:trPr>
          <w:trHeight w:val="20"/>
          <w:jc w:val="center"/>
        </w:trPr>
        <w:tc>
          <w:tcPr>
            <w:tcW w:w="926" w:type="pct"/>
            <w:gridSpan w:val="3"/>
            <w:vAlign w:val="center"/>
          </w:tcPr>
          <w:p w14:paraId="2C3CB5F3"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危险物质</w:t>
            </w:r>
          </w:p>
        </w:tc>
        <w:tc>
          <w:tcPr>
            <w:tcW w:w="865" w:type="pct"/>
            <w:gridSpan w:val="3"/>
            <w:vAlign w:val="center"/>
          </w:tcPr>
          <w:p w14:paraId="301CFBD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947" w:type="pct"/>
            <w:gridSpan w:val="3"/>
            <w:vAlign w:val="center"/>
          </w:tcPr>
          <w:p w14:paraId="62F5B19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最大存在量</w:t>
            </w:r>
            <w:r>
              <w:rPr>
                <w:rFonts w:ascii="Times New Roman" w:eastAsia="宋体" w:hAnsi="Times New Roman" w:cs="Times New Roman"/>
                <w:kern w:val="0"/>
                <w:szCs w:val="21"/>
              </w:rPr>
              <w:t>t</w:t>
            </w:r>
          </w:p>
        </w:tc>
        <w:tc>
          <w:tcPr>
            <w:tcW w:w="628" w:type="pct"/>
            <w:gridSpan w:val="3"/>
            <w:vAlign w:val="center"/>
          </w:tcPr>
          <w:p w14:paraId="06AB6CFD"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945" w:type="pct"/>
            <w:gridSpan w:val="3"/>
            <w:vAlign w:val="center"/>
          </w:tcPr>
          <w:p w14:paraId="7980EC0A"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泄漏孔径</w:t>
            </w:r>
            <w:r>
              <w:rPr>
                <w:rFonts w:ascii="Times New Roman" w:eastAsia="宋体" w:hAnsi="Times New Roman" w:cs="Times New Roman"/>
                <w:kern w:val="0"/>
                <w:szCs w:val="21"/>
              </w:rPr>
              <w:t>mm</w:t>
            </w:r>
          </w:p>
        </w:tc>
        <w:tc>
          <w:tcPr>
            <w:tcW w:w="689" w:type="pct"/>
            <w:vAlign w:val="center"/>
          </w:tcPr>
          <w:p w14:paraId="61EC3C6F"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1B75D165" w14:textId="77777777">
        <w:trPr>
          <w:trHeight w:val="20"/>
          <w:jc w:val="center"/>
        </w:trPr>
        <w:tc>
          <w:tcPr>
            <w:tcW w:w="926" w:type="pct"/>
            <w:gridSpan w:val="3"/>
            <w:vAlign w:val="center"/>
          </w:tcPr>
          <w:p w14:paraId="655CB4E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泄漏速率</w:t>
            </w:r>
            <w:r>
              <w:rPr>
                <w:rFonts w:ascii="Times New Roman" w:eastAsia="宋体" w:hAnsi="Times New Roman" w:cs="Times New Roman"/>
                <w:kern w:val="0"/>
                <w:szCs w:val="21"/>
              </w:rPr>
              <w:t>(kg/s)</w:t>
            </w:r>
          </w:p>
        </w:tc>
        <w:tc>
          <w:tcPr>
            <w:tcW w:w="865" w:type="pct"/>
            <w:gridSpan w:val="3"/>
            <w:vAlign w:val="center"/>
          </w:tcPr>
          <w:p w14:paraId="3094824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0.43162</w:t>
            </w:r>
          </w:p>
        </w:tc>
        <w:tc>
          <w:tcPr>
            <w:tcW w:w="947" w:type="pct"/>
            <w:gridSpan w:val="3"/>
            <w:vAlign w:val="center"/>
          </w:tcPr>
          <w:p w14:paraId="4C574D9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泄漏时间</w:t>
            </w:r>
            <w:r>
              <w:rPr>
                <w:rFonts w:ascii="Times New Roman" w:eastAsia="宋体" w:hAnsi="Times New Roman" w:cs="Times New Roman"/>
                <w:kern w:val="0"/>
                <w:szCs w:val="21"/>
              </w:rPr>
              <w:t>(min)</w:t>
            </w:r>
          </w:p>
        </w:tc>
        <w:tc>
          <w:tcPr>
            <w:tcW w:w="628" w:type="pct"/>
            <w:gridSpan w:val="3"/>
            <w:vAlign w:val="center"/>
          </w:tcPr>
          <w:p w14:paraId="4C4770B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945" w:type="pct"/>
            <w:gridSpan w:val="3"/>
            <w:vAlign w:val="center"/>
          </w:tcPr>
          <w:p w14:paraId="6BBD0449"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泄漏量</w:t>
            </w:r>
            <w:r>
              <w:rPr>
                <w:rFonts w:ascii="Times New Roman" w:eastAsia="宋体" w:hAnsi="Times New Roman" w:cs="Times New Roman"/>
                <w:kern w:val="0"/>
                <w:szCs w:val="21"/>
              </w:rPr>
              <w:t>kg</w:t>
            </w:r>
          </w:p>
        </w:tc>
        <w:tc>
          <w:tcPr>
            <w:tcW w:w="689" w:type="pct"/>
            <w:vAlign w:val="center"/>
          </w:tcPr>
          <w:p w14:paraId="4D5A478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258.972</w:t>
            </w:r>
          </w:p>
        </w:tc>
      </w:tr>
      <w:tr w:rsidR="002133E3" w14:paraId="71BACC8A" w14:textId="77777777">
        <w:trPr>
          <w:trHeight w:val="20"/>
          <w:jc w:val="center"/>
        </w:trPr>
        <w:tc>
          <w:tcPr>
            <w:tcW w:w="926" w:type="pct"/>
            <w:gridSpan w:val="3"/>
            <w:vAlign w:val="center"/>
          </w:tcPr>
          <w:p w14:paraId="11EEC5A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泄漏高度</w:t>
            </w:r>
            <w:r>
              <w:rPr>
                <w:rFonts w:ascii="Times New Roman" w:eastAsia="宋体" w:hAnsi="Times New Roman" w:cs="Times New Roman"/>
                <w:kern w:val="0"/>
                <w:szCs w:val="21"/>
              </w:rPr>
              <w:t>/m</w:t>
            </w:r>
          </w:p>
        </w:tc>
        <w:tc>
          <w:tcPr>
            <w:tcW w:w="865" w:type="pct"/>
            <w:gridSpan w:val="3"/>
            <w:vAlign w:val="center"/>
          </w:tcPr>
          <w:p w14:paraId="1020F607"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0.05</w:t>
            </w:r>
          </w:p>
        </w:tc>
        <w:tc>
          <w:tcPr>
            <w:tcW w:w="947" w:type="pct"/>
            <w:gridSpan w:val="3"/>
            <w:vAlign w:val="center"/>
          </w:tcPr>
          <w:p w14:paraId="5B8B2F07"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泄漏液体蒸发量</w:t>
            </w:r>
            <w:r>
              <w:rPr>
                <w:rFonts w:ascii="Times New Roman" w:eastAsia="宋体" w:hAnsi="Times New Roman" w:cs="Times New Roman"/>
                <w:kern w:val="0"/>
                <w:szCs w:val="21"/>
              </w:rPr>
              <w:t>/kg</w:t>
            </w:r>
          </w:p>
        </w:tc>
        <w:tc>
          <w:tcPr>
            <w:tcW w:w="628" w:type="pct"/>
            <w:gridSpan w:val="3"/>
            <w:vAlign w:val="center"/>
          </w:tcPr>
          <w:p w14:paraId="0597FA23"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不利气象</w:t>
            </w:r>
            <w:r>
              <w:rPr>
                <w:rFonts w:ascii="Times New Roman" w:eastAsia="宋体" w:hAnsi="Times New Roman" w:cs="Times New Roman"/>
                <w:color w:val="000000"/>
                <w:kern w:val="0"/>
                <w:szCs w:val="21"/>
              </w:rPr>
              <w:t>4.0133E-07</w:t>
            </w:r>
          </w:p>
        </w:tc>
        <w:tc>
          <w:tcPr>
            <w:tcW w:w="945" w:type="pct"/>
            <w:gridSpan w:val="3"/>
            <w:vAlign w:val="center"/>
          </w:tcPr>
          <w:p w14:paraId="3263B4F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泄漏频率</w:t>
            </w:r>
          </w:p>
        </w:tc>
        <w:tc>
          <w:tcPr>
            <w:tcW w:w="689" w:type="pct"/>
            <w:vAlign w:val="center"/>
          </w:tcPr>
          <w:p w14:paraId="3622D7BA"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1×10</w:t>
            </w:r>
            <w:r>
              <w:rPr>
                <w:rFonts w:ascii="Times New Roman" w:eastAsia="宋体" w:hAnsi="Times New Roman" w:cs="Times New Roman"/>
                <w:kern w:val="0"/>
                <w:szCs w:val="21"/>
                <w:vertAlign w:val="superscript"/>
              </w:rPr>
              <w:t>-4</w:t>
            </w:r>
            <w:r>
              <w:rPr>
                <w:rFonts w:ascii="Times New Roman" w:eastAsia="宋体" w:hAnsi="Times New Roman" w:cs="Times New Roman"/>
                <w:kern w:val="0"/>
                <w:szCs w:val="21"/>
              </w:rPr>
              <w:t>次</w:t>
            </w:r>
            <w:r>
              <w:rPr>
                <w:rFonts w:ascii="Times New Roman" w:eastAsia="宋体" w:hAnsi="Times New Roman" w:cs="Times New Roman"/>
                <w:kern w:val="0"/>
                <w:szCs w:val="21"/>
              </w:rPr>
              <w:t>/</w:t>
            </w:r>
            <w:r>
              <w:rPr>
                <w:rFonts w:ascii="Times New Roman" w:eastAsia="宋体" w:hAnsi="Times New Roman" w:cs="Times New Roman"/>
                <w:kern w:val="0"/>
                <w:szCs w:val="21"/>
              </w:rPr>
              <w:t>年</w:t>
            </w:r>
            <w:r>
              <w:rPr>
                <w:rFonts w:ascii="Times New Roman" w:eastAsia="宋体" w:hAnsi="Times New Roman" w:cs="Times New Roman"/>
                <w:kern w:val="0"/>
                <w:szCs w:val="21"/>
              </w:rPr>
              <w:t>(</w:t>
            </w:r>
            <w:r>
              <w:rPr>
                <w:rFonts w:ascii="Times New Roman" w:eastAsia="宋体" w:hAnsi="Times New Roman" w:cs="Times New Roman"/>
                <w:kern w:val="0"/>
                <w:szCs w:val="21"/>
              </w:rPr>
              <w:t>类比</w:t>
            </w:r>
            <w:r>
              <w:rPr>
                <w:rFonts w:ascii="Times New Roman" w:eastAsia="宋体" w:hAnsi="Times New Roman" w:cs="Times New Roman"/>
                <w:kern w:val="0"/>
                <w:szCs w:val="21"/>
              </w:rPr>
              <w:t>)</w:t>
            </w:r>
          </w:p>
        </w:tc>
      </w:tr>
      <w:tr w:rsidR="002133E3" w14:paraId="2906643C" w14:textId="77777777">
        <w:trPr>
          <w:trHeight w:val="20"/>
          <w:jc w:val="center"/>
        </w:trPr>
        <w:tc>
          <w:tcPr>
            <w:tcW w:w="926" w:type="pct"/>
            <w:gridSpan w:val="3"/>
            <w:vAlign w:val="center"/>
          </w:tcPr>
          <w:p w14:paraId="2645BF66"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环境风险类型</w:t>
            </w:r>
          </w:p>
        </w:tc>
        <w:tc>
          <w:tcPr>
            <w:tcW w:w="4074" w:type="pct"/>
            <w:gridSpan w:val="13"/>
            <w:vAlign w:val="center"/>
          </w:tcPr>
          <w:p w14:paraId="5CCC69D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沼气</w:t>
            </w:r>
            <w:r>
              <w:rPr>
                <w:rFonts w:ascii="Times New Roman" w:eastAsia="宋体" w:hAnsi="Times New Roman" w:cs="Times New Roman"/>
                <w:szCs w:val="21"/>
              </w:rPr>
              <w:t>发生火灾事故</w:t>
            </w:r>
          </w:p>
        </w:tc>
      </w:tr>
      <w:tr w:rsidR="002133E3" w14:paraId="18CB27CC" w14:textId="77777777">
        <w:trPr>
          <w:trHeight w:val="20"/>
          <w:jc w:val="center"/>
        </w:trPr>
        <w:tc>
          <w:tcPr>
            <w:tcW w:w="926" w:type="pct"/>
            <w:gridSpan w:val="3"/>
            <w:vAlign w:val="center"/>
          </w:tcPr>
          <w:p w14:paraId="75400B9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设备类型</w:t>
            </w:r>
          </w:p>
        </w:tc>
        <w:tc>
          <w:tcPr>
            <w:tcW w:w="865" w:type="pct"/>
            <w:gridSpan w:val="3"/>
            <w:vAlign w:val="center"/>
          </w:tcPr>
          <w:p w14:paraId="3508953D"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沼气气柜</w:t>
            </w:r>
          </w:p>
        </w:tc>
        <w:tc>
          <w:tcPr>
            <w:tcW w:w="947" w:type="pct"/>
            <w:gridSpan w:val="3"/>
            <w:vAlign w:val="center"/>
          </w:tcPr>
          <w:p w14:paraId="25521DCD"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参与燃烧速率</w:t>
            </w:r>
            <w:r>
              <w:rPr>
                <w:rFonts w:ascii="Times New Roman" w:eastAsia="宋体" w:hAnsi="Times New Roman" w:cs="Times New Roman"/>
                <w:szCs w:val="21"/>
              </w:rPr>
              <w:t>kg/s</w:t>
            </w:r>
          </w:p>
        </w:tc>
        <w:tc>
          <w:tcPr>
            <w:tcW w:w="628" w:type="pct"/>
            <w:gridSpan w:val="3"/>
            <w:vAlign w:val="center"/>
          </w:tcPr>
          <w:p w14:paraId="5A4E16BD"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0.46</w:t>
            </w:r>
          </w:p>
        </w:tc>
        <w:tc>
          <w:tcPr>
            <w:tcW w:w="945" w:type="pct"/>
            <w:gridSpan w:val="3"/>
            <w:vAlign w:val="center"/>
          </w:tcPr>
          <w:p w14:paraId="00CB45A1"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火灾持续时间</w:t>
            </w:r>
            <w:r>
              <w:rPr>
                <w:rFonts w:ascii="Times New Roman" w:eastAsia="宋体" w:hAnsi="Times New Roman" w:cs="Times New Roman"/>
                <w:szCs w:val="21"/>
              </w:rPr>
              <w:t>h</w:t>
            </w:r>
          </w:p>
        </w:tc>
        <w:tc>
          <w:tcPr>
            <w:tcW w:w="689" w:type="pct"/>
            <w:vAlign w:val="center"/>
          </w:tcPr>
          <w:p w14:paraId="113AD35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6</w:t>
            </w:r>
          </w:p>
        </w:tc>
      </w:tr>
      <w:tr w:rsidR="002133E3" w14:paraId="71B77D12" w14:textId="77777777">
        <w:trPr>
          <w:trHeight w:val="20"/>
          <w:jc w:val="center"/>
        </w:trPr>
        <w:tc>
          <w:tcPr>
            <w:tcW w:w="926" w:type="pct"/>
            <w:gridSpan w:val="3"/>
            <w:vAlign w:val="center"/>
          </w:tcPr>
          <w:p w14:paraId="44C28501"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r>
              <w:rPr>
                <w:rFonts w:ascii="Times New Roman" w:eastAsia="宋体" w:hAnsi="Times New Roman" w:cs="Times New Roman"/>
                <w:szCs w:val="21"/>
              </w:rPr>
              <w:t>产生速率</w:t>
            </w:r>
            <w:r>
              <w:rPr>
                <w:rFonts w:ascii="Times New Roman" w:eastAsia="宋体" w:hAnsi="Times New Roman" w:cs="Times New Roman"/>
                <w:szCs w:val="21"/>
              </w:rPr>
              <w:t>kg/s</w:t>
            </w:r>
          </w:p>
        </w:tc>
        <w:tc>
          <w:tcPr>
            <w:tcW w:w="865" w:type="pct"/>
            <w:gridSpan w:val="3"/>
            <w:vAlign w:val="center"/>
          </w:tcPr>
          <w:p w14:paraId="757548E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0.00033</w:t>
            </w:r>
          </w:p>
        </w:tc>
        <w:tc>
          <w:tcPr>
            <w:tcW w:w="947" w:type="pct"/>
            <w:gridSpan w:val="3"/>
            <w:vAlign w:val="center"/>
          </w:tcPr>
          <w:p w14:paraId="2F7B67E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r>
              <w:rPr>
                <w:rFonts w:ascii="Times New Roman" w:eastAsia="宋体" w:hAnsi="Times New Roman" w:cs="Times New Roman"/>
                <w:szCs w:val="21"/>
              </w:rPr>
              <w:t>产生量</w:t>
            </w:r>
            <w:r>
              <w:rPr>
                <w:rFonts w:ascii="Times New Roman" w:eastAsia="宋体" w:hAnsi="Times New Roman" w:cs="Times New Roman"/>
                <w:szCs w:val="21"/>
              </w:rPr>
              <w:t>kg</w:t>
            </w:r>
          </w:p>
        </w:tc>
        <w:tc>
          <w:tcPr>
            <w:tcW w:w="628" w:type="pct"/>
            <w:gridSpan w:val="3"/>
            <w:vAlign w:val="center"/>
          </w:tcPr>
          <w:p w14:paraId="2C4D6DDF"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71.28</w:t>
            </w:r>
          </w:p>
        </w:tc>
        <w:tc>
          <w:tcPr>
            <w:tcW w:w="945" w:type="pct"/>
            <w:gridSpan w:val="3"/>
            <w:vAlign w:val="center"/>
          </w:tcPr>
          <w:p w14:paraId="317CC7E6" w14:textId="77777777" w:rsidR="002133E3" w:rsidRDefault="002133E3">
            <w:pPr>
              <w:spacing w:line="300" w:lineRule="exact"/>
              <w:jc w:val="center"/>
              <w:rPr>
                <w:rFonts w:ascii="Times New Roman" w:eastAsia="宋体" w:hAnsi="Times New Roman" w:cs="Times New Roman"/>
                <w:kern w:val="0"/>
                <w:szCs w:val="21"/>
              </w:rPr>
            </w:pPr>
          </w:p>
        </w:tc>
        <w:tc>
          <w:tcPr>
            <w:tcW w:w="689" w:type="pct"/>
            <w:vAlign w:val="center"/>
          </w:tcPr>
          <w:p w14:paraId="1B0D8BC3" w14:textId="77777777" w:rsidR="002133E3" w:rsidRDefault="002133E3">
            <w:pPr>
              <w:spacing w:line="300" w:lineRule="exact"/>
              <w:jc w:val="center"/>
              <w:rPr>
                <w:rFonts w:ascii="Times New Roman" w:eastAsia="宋体" w:hAnsi="Times New Roman" w:cs="Times New Roman"/>
                <w:kern w:val="0"/>
                <w:szCs w:val="21"/>
              </w:rPr>
            </w:pPr>
          </w:p>
        </w:tc>
      </w:tr>
      <w:tr w:rsidR="002133E3" w14:paraId="2F8353BC" w14:textId="77777777">
        <w:trPr>
          <w:trHeight w:val="20"/>
          <w:jc w:val="center"/>
        </w:trPr>
        <w:tc>
          <w:tcPr>
            <w:tcW w:w="926" w:type="pct"/>
            <w:gridSpan w:val="3"/>
            <w:vAlign w:val="center"/>
          </w:tcPr>
          <w:p w14:paraId="27461573"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CO</w:t>
            </w:r>
            <w:r>
              <w:rPr>
                <w:rFonts w:ascii="Times New Roman" w:eastAsia="宋体" w:hAnsi="Times New Roman" w:cs="Times New Roman"/>
                <w:szCs w:val="21"/>
              </w:rPr>
              <w:t>产生速率</w:t>
            </w:r>
            <w:r>
              <w:rPr>
                <w:rFonts w:ascii="Times New Roman" w:eastAsia="宋体" w:hAnsi="Times New Roman" w:cs="Times New Roman"/>
                <w:szCs w:val="21"/>
              </w:rPr>
              <w:t>kg/s</w:t>
            </w:r>
          </w:p>
        </w:tc>
        <w:tc>
          <w:tcPr>
            <w:tcW w:w="865" w:type="pct"/>
            <w:gridSpan w:val="3"/>
            <w:vAlign w:val="center"/>
          </w:tcPr>
          <w:p w14:paraId="46B1A4A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0.13</w:t>
            </w:r>
          </w:p>
        </w:tc>
        <w:tc>
          <w:tcPr>
            <w:tcW w:w="947" w:type="pct"/>
            <w:gridSpan w:val="3"/>
            <w:vAlign w:val="center"/>
          </w:tcPr>
          <w:p w14:paraId="2805BC1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CO</w:t>
            </w:r>
            <w:r>
              <w:rPr>
                <w:rFonts w:ascii="Times New Roman" w:eastAsia="宋体" w:hAnsi="Times New Roman" w:cs="Times New Roman"/>
                <w:szCs w:val="21"/>
              </w:rPr>
              <w:t>产生量</w:t>
            </w:r>
            <w:r>
              <w:rPr>
                <w:rFonts w:ascii="Times New Roman" w:eastAsia="宋体" w:hAnsi="Times New Roman" w:cs="Times New Roman"/>
                <w:szCs w:val="21"/>
              </w:rPr>
              <w:t>kg</w:t>
            </w:r>
          </w:p>
        </w:tc>
        <w:tc>
          <w:tcPr>
            <w:tcW w:w="628" w:type="pct"/>
            <w:gridSpan w:val="3"/>
            <w:vAlign w:val="center"/>
          </w:tcPr>
          <w:p w14:paraId="7F0E4F2A"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2808</w:t>
            </w:r>
          </w:p>
        </w:tc>
        <w:tc>
          <w:tcPr>
            <w:tcW w:w="945" w:type="pct"/>
            <w:gridSpan w:val="3"/>
            <w:vAlign w:val="center"/>
          </w:tcPr>
          <w:p w14:paraId="63000C05" w14:textId="77777777" w:rsidR="002133E3" w:rsidRDefault="002133E3">
            <w:pPr>
              <w:spacing w:line="300" w:lineRule="exact"/>
              <w:jc w:val="center"/>
              <w:rPr>
                <w:rFonts w:ascii="Times New Roman" w:eastAsia="宋体" w:hAnsi="Times New Roman" w:cs="Times New Roman"/>
                <w:kern w:val="0"/>
                <w:szCs w:val="21"/>
              </w:rPr>
            </w:pPr>
          </w:p>
        </w:tc>
        <w:tc>
          <w:tcPr>
            <w:tcW w:w="689" w:type="pct"/>
            <w:vAlign w:val="center"/>
          </w:tcPr>
          <w:p w14:paraId="13DA0F22" w14:textId="77777777" w:rsidR="002133E3" w:rsidRDefault="002133E3">
            <w:pPr>
              <w:spacing w:line="300" w:lineRule="exact"/>
              <w:jc w:val="center"/>
              <w:rPr>
                <w:rFonts w:ascii="Times New Roman" w:eastAsia="宋体" w:hAnsi="Times New Roman" w:cs="Times New Roman"/>
                <w:kern w:val="0"/>
                <w:szCs w:val="21"/>
              </w:rPr>
            </w:pPr>
          </w:p>
        </w:tc>
      </w:tr>
      <w:tr w:rsidR="002133E3" w14:paraId="3C2CCCD3" w14:textId="77777777">
        <w:trPr>
          <w:trHeight w:val="20"/>
          <w:jc w:val="center"/>
        </w:trPr>
        <w:tc>
          <w:tcPr>
            <w:tcW w:w="5000" w:type="pct"/>
            <w:gridSpan w:val="16"/>
            <w:vAlign w:val="center"/>
          </w:tcPr>
          <w:p w14:paraId="5C30189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事故后果预测</w:t>
            </w:r>
          </w:p>
        </w:tc>
      </w:tr>
      <w:tr w:rsidR="002133E3" w14:paraId="2A71D60B" w14:textId="77777777">
        <w:trPr>
          <w:trHeight w:val="20"/>
          <w:jc w:val="center"/>
        </w:trPr>
        <w:tc>
          <w:tcPr>
            <w:tcW w:w="444" w:type="pct"/>
            <w:vMerge w:val="restart"/>
            <w:vAlign w:val="center"/>
          </w:tcPr>
          <w:p w14:paraId="1DBA7E51"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620" w:type="pct"/>
            <w:gridSpan w:val="3"/>
            <w:vAlign w:val="center"/>
          </w:tcPr>
          <w:p w14:paraId="168C9DB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危险物质</w:t>
            </w:r>
          </w:p>
        </w:tc>
        <w:tc>
          <w:tcPr>
            <w:tcW w:w="3936" w:type="pct"/>
            <w:gridSpan w:val="12"/>
            <w:vAlign w:val="center"/>
          </w:tcPr>
          <w:p w14:paraId="2B8BBA2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大气环境影响</w:t>
            </w:r>
          </w:p>
        </w:tc>
      </w:tr>
      <w:tr w:rsidR="002133E3" w14:paraId="21217FA7" w14:textId="77777777">
        <w:trPr>
          <w:trHeight w:val="20"/>
          <w:jc w:val="center"/>
        </w:trPr>
        <w:tc>
          <w:tcPr>
            <w:tcW w:w="444" w:type="pct"/>
            <w:vMerge/>
            <w:vAlign w:val="center"/>
          </w:tcPr>
          <w:p w14:paraId="6C2D3657"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restart"/>
            <w:vAlign w:val="center"/>
          </w:tcPr>
          <w:p w14:paraId="1D8A9959"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312" w:type="pct"/>
            <w:gridSpan w:val="2"/>
            <w:vMerge w:val="restart"/>
            <w:vAlign w:val="center"/>
          </w:tcPr>
          <w:p w14:paraId="6929BAF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最不利气象</w:t>
            </w:r>
          </w:p>
        </w:tc>
        <w:tc>
          <w:tcPr>
            <w:tcW w:w="1075" w:type="pct"/>
            <w:gridSpan w:val="3"/>
            <w:vAlign w:val="center"/>
          </w:tcPr>
          <w:p w14:paraId="00F70C4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指标</w:t>
            </w:r>
          </w:p>
        </w:tc>
        <w:tc>
          <w:tcPr>
            <w:tcW w:w="868" w:type="pct"/>
            <w:gridSpan w:val="3"/>
            <w:vAlign w:val="center"/>
          </w:tcPr>
          <w:p w14:paraId="209D974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浓度值</w:t>
            </w:r>
            <w:r>
              <w:rPr>
                <w:rFonts w:ascii="Times New Roman" w:eastAsia="宋体" w:hAnsi="Times New Roman" w:cs="Times New Roman"/>
                <w:kern w:val="0"/>
                <w:szCs w:val="21"/>
              </w:rPr>
              <w:t>/(mg/m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c>
          <w:tcPr>
            <w:tcW w:w="1014" w:type="pct"/>
            <w:gridSpan w:val="3"/>
            <w:vAlign w:val="center"/>
          </w:tcPr>
          <w:p w14:paraId="58C1D9E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最远影响范围</w:t>
            </w:r>
            <w:r>
              <w:rPr>
                <w:rFonts w:ascii="Times New Roman" w:eastAsia="宋体" w:hAnsi="Times New Roman" w:cs="Times New Roman"/>
                <w:kern w:val="0"/>
                <w:szCs w:val="21"/>
              </w:rPr>
              <w:t>/m</w:t>
            </w:r>
          </w:p>
        </w:tc>
        <w:tc>
          <w:tcPr>
            <w:tcW w:w="979" w:type="pct"/>
            <w:gridSpan w:val="3"/>
            <w:vAlign w:val="center"/>
          </w:tcPr>
          <w:p w14:paraId="1FD09CF1"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到达时间</w:t>
            </w:r>
            <w:r>
              <w:rPr>
                <w:rFonts w:ascii="Times New Roman" w:eastAsia="宋体" w:hAnsi="Times New Roman" w:cs="Times New Roman"/>
                <w:kern w:val="0"/>
                <w:szCs w:val="21"/>
              </w:rPr>
              <w:t>/min</w:t>
            </w:r>
          </w:p>
        </w:tc>
      </w:tr>
      <w:tr w:rsidR="002133E3" w14:paraId="3153593B" w14:textId="77777777">
        <w:trPr>
          <w:trHeight w:val="20"/>
          <w:jc w:val="center"/>
        </w:trPr>
        <w:tc>
          <w:tcPr>
            <w:tcW w:w="444" w:type="pct"/>
            <w:vMerge/>
            <w:vAlign w:val="center"/>
          </w:tcPr>
          <w:p w14:paraId="1D2AE2B1"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11475C8C"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79B61BD5"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5A56A45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-1</w:t>
            </w:r>
          </w:p>
        </w:tc>
        <w:tc>
          <w:tcPr>
            <w:tcW w:w="868" w:type="pct"/>
            <w:gridSpan w:val="3"/>
            <w:vAlign w:val="center"/>
          </w:tcPr>
          <w:p w14:paraId="48EAFE5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160</w:t>
            </w:r>
          </w:p>
        </w:tc>
        <w:tc>
          <w:tcPr>
            <w:tcW w:w="1014" w:type="pct"/>
            <w:gridSpan w:val="3"/>
            <w:vAlign w:val="center"/>
          </w:tcPr>
          <w:p w14:paraId="7A2CF313"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79" w:type="pct"/>
            <w:gridSpan w:val="3"/>
            <w:vAlign w:val="center"/>
          </w:tcPr>
          <w:p w14:paraId="2976101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无</w:t>
            </w:r>
          </w:p>
        </w:tc>
      </w:tr>
      <w:tr w:rsidR="002133E3" w14:paraId="26E501EC" w14:textId="77777777">
        <w:trPr>
          <w:trHeight w:val="20"/>
          <w:jc w:val="center"/>
        </w:trPr>
        <w:tc>
          <w:tcPr>
            <w:tcW w:w="444" w:type="pct"/>
            <w:vMerge/>
            <w:vAlign w:val="center"/>
          </w:tcPr>
          <w:p w14:paraId="65930C57"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554D52A0"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1267A8FB"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2DCA6B6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-2</w:t>
            </w:r>
          </w:p>
        </w:tc>
        <w:tc>
          <w:tcPr>
            <w:tcW w:w="868" w:type="pct"/>
            <w:gridSpan w:val="3"/>
            <w:vAlign w:val="center"/>
          </w:tcPr>
          <w:p w14:paraId="4986BCB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8.7</w:t>
            </w:r>
          </w:p>
        </w:tc>
        <w:tc>
          <w:tcPr>
            <w:tcW w:w="1014" w:type="pct"/>
            <w:gridSpan w:val="3"/>
            <w:vAlign w:val="center"/>
          </w:tcPr>
          <w:p w14:paraId="5103573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79" w:type="pct"/>
            <w:gridSpan w:val="3"/>
            <w:vAlign w:val="center"/>
          </w:tcPr>
          <w:p w14:paraId="08365199"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无</w:t>
            </w:r>
          </w:p>
        </w:tc>
      </w:tr>
      <w:tr w:rsidR="002133E3" w14:paraId="7EA48758" w14:textId="77777777">
        <w:trPr>
          <w:trHeight w:val="20"/>
          <w:jc w:val="center"/>
        </w:trPr>
        <w:tc>
          <w:tcPr>
            <w:tcW w:w="444" w:type="pct"/>
            <w:vMerge/>
            <w:vAlign w:val="center"/>
          </w:tcPr>
          <w:p w14:paraId="3A877C13"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7AAFA75C"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3FB4790C"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0994885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敏感目标名称</w:t>
            </w:r>
          </w:p>
        </w:tc>
        <w:tc>
          <w:tcPr>
            <w:tcW w:w="868" w:type="pct"/>
            <w:gridSpan w:val="3"/>
            <w:vAlign w:val="center"/>
          </w:tcPr>
          <w:p w14:paraId="223E65C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超标时间</w:t>
            </w:r>
            <w:r>
              <w:rPr>
                <w:rFonts w:ascii="Times New Roman" w:eastAsia="宋体" w:hAnsi="Times New Roman" w:cs="Times New Roman"/>
                <w:kern w:val="0"/>
                <w:szCs w:val="21"/>
              </w:rPr>
              <w:t>/min</w:t>
            </w:r>
          </w:p>
        </w:tc>
        <w:tc>
          <w:tcPr>
            <w:tcW w:w="1014" w:type="pct"/>
            <w:gridSpan w:val="3"/>
            <w:vAlign w:val="center"/>
          </w:tcPr>
          <w:p w14:paraId="4ED3D278"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超标持续时间</w:t>
            </w:r>
            <w:r>
              <w:rPr>
                <w:rFonts w:ascii="Times New Roman" w:eastAsia="宋体" w:hAnsi="Times New Roman" w:cs="Times New Roman"/>
                <w:kern w:val="0"/>
                <w:szCs w:val="21"/>
              </w:rPr>
              <w:t>/min</w:t>
            </w:r>
          </w:p>
        </w:tc>
        <w:tc>
          <w:tcPr>
            <w:tcW w:w="979" w:type="pct"/>
            <w:gridSpan w:val="3"/>
            <w:vAlign w:val="center"/>
          </w:tcPr>
          <w:p w14:paraId="2F3E288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最大浓度</w:t>
            </w:r>
            <w:r>
              <w:rPr>
                <w:rFonts w:ascii="Times New Roman" w:eastAsia="宋体" w:hAnsi="Times New Roman" w:cs="Times New Roman"/>
                <w:kern w:val="0"/>
                <w:szCs w:val="21"/>
              </w:rPr>
              <w:t>(mg/m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r>
      <w:tr w:rsidR="002133E3" w14:paraId="3C716A72" w14:textId="77777777">
        <w:trPr>
          <w:trHeight w:val="20"/>
          <w:jc w:val="center"/>
        </w:trPr>
        <w:tc>
          <w:tcPr>
            <w:tcW w:w="444" w:type="pct"/>
            <w:vMerge/>
            <w:vAlign w:val="center"/>
          </w:tcPr>
          <w:p w14:paraId="08E93ACD"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76817973"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601D2CB5"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5A49066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兴庄村</w:t>
            </w:r>
          </w:p>
        </w:tc>
        <w:tc>
          <w:tcPr>
            <w:tcW w:w="868" w:type="pct"/>
            <w:gridSpan w:val="3"/>
            <w:vAlign w:val="center"/>
          </w:tcPr>
          <w:p w14:paraId="3E867CE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14" w:type="pct"/>
            <w:gridSpan w:val="3"/>
            <w:vAlign w:val="center"/>
          </w:tcPr>
          <w:p w14:paraId="487340BA"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79" w:type="pct"/>
            <w:gridSpan w:val="3"/>
            <w:vAlign w:val="center"/>
          </w:tcPr>
          <w:p w14:paraId="0886F4F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1.70E-14</w:t>
            </w:r>
          </w:p>
        </w:tc>
      </w:tr>
      <w:tr w:rsidR="002133E3" w14:paraId="5FB754E5" w14:textId="77777777">
        <w:trPr>
          <w:trHeight w:val="20"/>
          <w:jc w:val="center"/>
        </w:trPr>
        <w:tc>
          <w:tcPr>
            <w:tcW w:w="444" w:type="pct"/>
            <w:vMerge/>
            <w:vAlign w:val="center"/>
          </w:tcPr>
          <w:p w14:paraId="660D7DC4"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2E9EA6B0"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176D89A7"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60468BBB"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李巷村</w:t>
            </w:r>
          </w:p>
        </w:tc>
        <w:tc>
          <w:tcPr>
            <w:tcW w:w="868" w:type="pct"/>
            <w:gridSpan w:val="3"/>
            <w:vAlign w:val="center"/>
          </w:tcPr>
          <w:p w14:paraId="0D6B6A6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14" w:type="pct"/>
            <w:gridSpan w:val="3"/>
            <w:vAlign w:val="center"/>
          </w:tcPr>
          <w:p w14:paraId="6CDD2F8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79" w:type="pct"/>
            <w:gridSpan w:val="3"/>
            <w:vAlign w:val="center"/>
          </w:tcPr>
          <w:p w14:paraId="7C76416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00FE8112" w14:textId="77777777">
        <w:trPr>
          <w:trHeight w:val="20"/>
          <w:jc w:val="center"/>
        </w:trPr>
        <w:tc>
          <w:tcPr>
            <w:tcW w:w="444" w:type="pct"/>
            <w:vMerge/>
            <w:vAlign w:val="center"/>
          </w:tcPr>
          <w:p w14:paraId="1740BE9E"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restart"/>
            <w:vAlign w:val="center"/>
          </w:tcPr>
          <w:p w14:paraId="29DD7CA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p>
        </w:tc>
        <w:tc>
          <w:tcPr>
            <w:tcW w:w="312" w:type="pct"/>
            <w:gridSpan w:val="2"/>
            <w:vMerge w:val="restart"/>
            <w:vAlign w:val="center"/>
          </w:tcPr>
          <w:p w14:paraId="3104EB6A"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24C810EF"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指标</w:t>
            </w:r>
          </w:p>
        </w:tc>
        <w:tc>
          <w:tcPr>
            <w:tcW w:w="868" w:type="pct"/>
            <w:gridSpan w:val="3"/>
            <w:vAlign w:val="center"/>
          </w:tcPr>
          <w:p w14:paraId="2A3E68FB"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浓度值</w:t>
            </w:r>
            <w:r>
              <w:rPr>
                <w:rFonts w:ascii="Times New Roman" w:eastAsia="宋体" w:hAnsi="Times New Roman" w:cs="Times New Roman"/>
                <w:kern w:val="0"/>
                <w:szCs w:val="21"/>
              </w:rPr>
              <w:t>/(mg/m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c>
          <w:tcPr>
            <w:tcW w:w="1014" w:type="pct"/>
            <w:gridSpan w:val="3"/>
            <w:vAlign w:val="center"/>
          </w:tcPr>
          <w:p w14:paraId="374E3BF4"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最远影响范围</w:t>
            </w:r>
            <w:r>
              <w:rPr>
                <w:rFonts w:ascii="Times New Roman" w:eastAsia="宋体" w:hAnsi="Times New Roman" w:cs="Times New Roman"/>
                <w:kern w:val="0"/>
                <w:szCs w:val="21"/>
              </w:rPr>
              <w:t>/m</w:t>
            </w:r>
          </w:p>
        </w:tc>
        <w:tc>
          <w:tcPr>
            <w:tcW w:w="979" w:type="pct"/>
            <w:gridSpan w:val="3"/>
            <w:vAlign w:val="center"/>
          </w:tcPr>
          <w:p w14:paraId="4F5EC027"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到达时间</w:t>
            </w:r>
            <w:r>
              <w:rPr>
                <w:rFonts w:ascii="Times New Roman" w:eastAsia="宋体" w:hAnsi="Times New Roman" w:cs="Times New Roman"/>
                <w:kern w:val="0"/>
                <w:szCs w:val="21"/>
              </w:rPr>
              <w:t>/min</w:t>
            </w:r>
          </w:p>
        </w:tc>
      </w:tr>
      <w:tr w:rsidR="002133E3" w14:paraId="050291E3" w14:textId="77777777">
        <w:trPr>
          <w:trHeight w:val="20"/>
          <w:jc w:val="center"/>
        </w:trPr>
        <w:tc>
          <w:tcPr>
            <w:tcW w:w="444" w:type="pct"/>
            <w:vMerge/>
            <w:vAlign w:val="center"/>
          </w:tcPr>
          <w:p w14:paraId="3EAA4E68"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268EAE78"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4AC809DC"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772F15B5"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-1</w:t>
            </w:r>
          </w:p>
        </w:tc>
        <w:tc>
          <w:tcPr>
            <w:tcW w:w="868" w:type="pct"/>
            <w:gridSpan w:val="3"/>
            <w:vAlign w:val="center"/>
          </w:tcPr>
          <w:p w14:paraId="6460CA52"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79</w:t>
            </w:r>
          </w:p>
        </w:tc>
        <w:tc>
          <w:tcPr>
            <w:tcW w:w="1014" w:type="pct"/>
            <w:gridSpan w:val="3"/>
            <w:vAlign w:val="center"/>
          </w:tcPr>
          <w:p w14:paraId="703E9882"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w:t>
            </w:r>
          </w:p>
        </w:tc>
        <w:tc>
          <w:tcPr>
            <w:tcW w:w="979" w:type="pct"/>
            <w:gridSpan w:val="3"/>
            <w:vAlign w:val="center"/>
          </w:tcPr>
          <w:p w14:paraId="2C6DA292"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无</w:t>
            </w:r>
          </w:p>
        </w:tc>
      </w:tr>
      <w:tr w:rsidR="002133E3" w14:paraId="74FD5603" w14:textId="77777777">
        <w:trPr>
          <w:trHeight w:val="20"/>
          <w:jc w:val="center"/>
        </w:trPr>
        <w:tc>
          <w:tcPr>
            <w:tcW w:w="444" w:type="pct"/>
            <w:vMerge/>
            <w:vAlign w:val="center"/>
          </w:tcPr>
          <w:p w14:paraId="4EA35295"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6AA402E8"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311063E3"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5CD4BAA1"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-2</w:t>
            </w:r>
          </w:p>
        </w:tc>
        <w:tc>
          <w:tcPr>
            <w:tcW w:w="868" w:type="pct"/>
            <w:gridSpan w:val="3"/>
            <w:vAlign w:val="center"/>
          </w:tcPr>
          <w:p w14:paraId="6808910C"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2</w:t>
            </w:r>
          </w:p>
        </w:tc>
        <w:tc>
          <w:tcPr>
            <w:tcW w:w="1014" w:type="pct"/>
            <w:gridSpan w:val="3"/>
            <w:vAlign w:val="center"/>
          </w:tcPr>
          <w:p w14:paraId="2BB15C0B"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92</w:t>
            </w:r>
          </w:p>
        </w:tc>
        <w:tc>
          <w:tcPr>
            <w:tcW w:w="979" w:type="pct"/>
            <w:gridSpan w:val="3"/>
            <w:vAlign w:val="center"/>
          </w:tcPr>
          <w:p w14:paraId="4E24CDF0"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1.05</w:t>
            </w:r>
          </w:p>
        </w:tc>
      </w:tr>
      <w:tr w:rsidR="002133E3" w14:paraId="6742DD4E" w14:textId="77777777">
        <w:trPr>
          <w:trHeight w:val="20"/>
          <w:jc w:val="center"/>
        </w:trPr>
        <w:tc>
          <w:tcPr>
            <w:tcW w:w="444" w:type="pct"/>
            <w:vMerge/>
            <w:vAlign w:val="center"/>
          </w:tcPr>
          <w:p w14:paraId="35D9AB86"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7A960606"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687205EB"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7959FE61"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敏感目标名称</w:t>
            </w:r>
          </w:p>
        </w:tc>
        <w:tc>
          <w:tcPr>
            <w:tcW w:w="868" w:type="pct"/>
            <w:gridSpan w:val="3"/>
            <w:vAlign w:val="center"/>
          </w:tcPr>
          <w:p w14:paraId="0C80D2AA"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超标时间</w:t>
            </w:r>
            <w:r>
              <w:rPr>
                <w:rFonts w:ascii="Times New Roman" w:eastAsia="宋体" w:hAnsi="Times New Roman" w:cs="Times New Roman"/>
                <w:kern w:val="0"/>
                <w:szCs w:val="21"/>
              </w:rPr>
              <w:t>/min</w:t>
            </w:r>
          </w:p>
        </w:tc>
        <w:tc>
          <w:tcPr>
            <w:tcW w:w="1014" w:type="pct"/>
            <w:gridSpan w:val="3"/>
            <w:vAlign w:val="center"/>
          </w:tcPr>
          <w:p w14:paraId="451E8E50"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超标持续时间</w:t>
            </w:r>
            <w:r>
              <w:rPr>
                <w:rFonts w:ascii="Times New Roman" w:eastAsia="宋体" w:hAnsi="Times New Roman" w:cs="Times New Roman"/>
                <w:kern w:val="0"/>
                <w:szCs w:val="21"/>
              </w:rPr>
              <w:t>/min</w:t>
            </w:r>
          </w:p>
        </w:tc>
        <w:tc>
          <w:tcPr>
            <w:tcW w:w="979" w:type="pct"/>
            <w:gridSpan w:val="3"/>
            <w:vAlign w:val="center"/>
          </w:tcPr>
          <w:p w14:paraId="404662A3"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最大浓度</w:t>
            </w:r>
            <w:r>
              <w:rPr>
                <w:rFonts w:ascii="Times New Roman" w:eastAsia="宋体" w:hAnsi="Times New Roman" w:cs="Times New Roman"/>
                <w:kern w:val="0"/>
                <w:szCs w:val="21"/>
              </w:rPr>
              <w:t>(mg/m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r>
      <w:tr w:rsidR="002133E3" w14:paraId="07FBCB06" w14:textId="77777777">
        <w:trPr>
          <w:trHeight w:val="20"/>
          <w:jc w:val="center"/>
        </w:trPr>
        <w:tc>
          <w:tcPr>
            <w:tcW w:w="444" w:type="pct"/>
            <w:vMerge/>
            <w:vAlign w:val="center"/>
          </w:tcPr>
          <w:p w14:paraId="0B30EE3A"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6F2FE855"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1BF0E6BD"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03D09CD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兴庄村</w:t>
            </w:r>
          </w:p>
        </w:tc>
        <w:tc>
          <w:tcPr>
            <w:tcW w:w="868" w:type="pct"/>
            <w:gridSpan w:val="3"/>
            <w:vAlign w:val="center"/>
          </w:tcPr>
          <w:p w14:paraId="751D456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14" w:type="pct"/>
            <w:gridSpan w:val="3"/>
            <w:vAlign w:val="center"/>
          </w:tcPr>
          <w:p w14:paraId="7EFBAEA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79" w:type="pct"/>
            <w:gridSpan w:val="3"/>
            <w:vAlign w:val="center"/>
          </w:tcPr>
          <w:p w14:paraId="1868CFE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53E77844" w14:textId="77777777">
        <w:trPr>
          <w:trHeight w:val="20"/>
          <w:jc w:val="center"/>
        </w:trPr>
        <w:tc>
          <w:tcPr>
            <w:tcW w:w="444" w:type="pct"/>
            <w:vMerge/>
            <w:vAlign w:val="center"/>
          </w:tcPr>
          <w:p w14:paraId="61A86850"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14B6BBAD"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414AA3EE"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677FB142"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李巷村</w:t>
            </w:r>
          </w:p>
        </w:tc>
        <w:tc>
          <w:tcPr>
            <w:tcW w:w="868" w:type="pct"/>
            <w:gridSpan w:val="3"/>
            <w:vAlign w:val="center"/>
          </w:tcPr>
          <w:p w14:paraId="28C01BFA"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w:t>
            </w:r>
          </w:p>
        </w:tc>
        <w:tc>
          <w:tcPr>
            <w:tcW w:w="1014" w:type="pct"/>
            <w:gridSpan w:val="3"/>
            <w:vAlign w:val="center"/>
          </w:tcPr>
          <w:p w14:paraId="6CFE07FB"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w:t>
            </w:r>
          </w:p>
        </w:tc>
        <w:tc>
          <w:tcPr>
            <w:tcW w:w="979" w:type="pct"/>
            <w:gridSpan w:val="3"/>
            <w:vAlign w:val="center"/>
          </w:tcPr>
          <w:p w14:paraId="688510EE" w14:textId="77777777" w:rsidR="002133E3" w:rsidRDefault="00C22CFA">
            <w:pPr>
              <w:spacing w:line="300" w:lineRule="exact"/>
              <w:jc w:val="center"/>
              <w:rPr>
                <w:rFonts w:ascii="Times New Roman" w:eastAsia="宋体" w:hAnsi="Times New Roman" w:cs="Times New Roman"/>
                <w:kern w:val="0"/>
                <w:szCs w:val="21"/>
                <w:highlight w:val="yellow"/>
              </w:rPr>
            </w:pPr>
            <w:r>
              <w:rPr>
                <w:rFonts w:ascii="Times New Roman" w:eastAsia="宋体" w:hAnsi="Times New Roman" w:cs="Times New Roman"/>
                <w:kern w:val="0"/>
                <w:szCs w:val="21"/>
              </w:rPr>
              <w:t>/</w:t>
            </w:r>
          </w:p>
        </w:tc>
      </w:tr>
      <w:tr w:rsidR="002133E3" w14:paraId="7A07A274" w14:textId="77777777">
        <w:trPr>
          <w:trHeight w:val="20"/>
          <w:jc w:val="center"/>
        </w:trPr>
        <w:tc>
          <w:tcPr>
            <w:tcW w:w="444" w:type="pct"/>
            <w:vMerge/>
            <w:vAlign w:val="center"/>
          </w:tcPr>
          <w:p w14:paraId="71FDA191"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restart"/>
            <w:vAlign w:val="center"/>
          </w:tcPr>
          <w:p w14:paraId="2A2C21DA" w14:textId="77777777" w:rsidR="002133E3" w:rsidRDefault="00C22CFA">
            <w:pPr>
              <w:spacing w:line="300" w:lineRule="exact"/>
              <w:jc w:val="left"/>
              <w:rPr>
                <w:rFonts w:ascii="Times New Roman" w:eastAsia="宋体" w:hAnsi="Times New Roman" w:cs="Times New Roman"/>
                <w:kern w:val="0"/>
                <w:szCs w:val="21"/>
              </w:rPr>
            </w:pPr>
            <w:r>
              <w:rPr>
                <w:rFonts w:ascii="Times New Roman" w:eastAsia="宋体" w:hAnsi="Times New Roman" w:cs="Times New Roman"/>
                <w:color w:val="000000"/>
                <w:kern w:val="0"/>
                <w:szCs w:val="21"/>
              </w:rPr>
              <w:t>CO</w:t>
            </w:r>
          </w:p>
        </w:tc>
        <w:tc>
          <w:tcPr>
            <w:tcW w:w="312" w:type="pct"/>
            <w:gridSpan w:val="2"/>
            <w:vMerge w:val="restart"/>
            <w:vAlign w:val="center"/>
          </w:tcPr>
          <w:p w14:paraId="7A1B6A81"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最不利气象</w:t>
            </w:r>
          </w:p>
        </w:tc>
        <w:tc>
          <w:tcPr>
            <w:tcW w:w="1075" w:type="pct"/>
            <w:gridSpan w:val="3"/>
            <w:vAlign w:val="center"/>
          </w:tcPr>
          <w:p w14:paraId="08D1CD8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指标</w:t>
            </w:r>
          </w:p>
        </w:tc>
        <w:tc>
          <w:tcPr>
            <w:tcW w:w="868" w:type="pct"/>
            <w:gridSpan w:val="3"/>
            <w:vAlign w:val="center"/>
          </w:tcPr>
          <w:p w14:paraId="73C7694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浓度值</w:t>
            </w:r>
            <w:r>
              <w:rPr>
                <w:rFonts w:ascii="Times New Roman" w:eastAsia="宋体" w:hAnsi="Times New Roman" w:cs="Times New Roman"/>
                <w:kern w:val="0"/>
                <w:szCs w:val="21"/>
              </w:rPr>
              <w:t>/(mg/m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c>
          <w:tcPr>
            <w:tcW w:w="1014" w:type="pct"/>
            <w:gridSpan w:val="3"/>
            <w:vAlign w:val="center"/>
          </w:tcPr>
          <w:p w14:paraId="441E6E1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最远影响范围</w:t>
            </w:r>
            <w:r>
              <w:rPr>
                <w:rFonts w:ascii="Times New Roman" w:eastAsia="宋体" w:hAnsi="Times New Roman" w:cs="Times New Roman"/>
                <w:kern w:val="0"/>
                <w:szCs w:val="21"/>
              </w:rPr>
              <w:t>/m</w:t>
            </w:r>
          </w:p>
        </w:tc>
        <w:tc>
          <w:tcPr>
            <w:tcW w:w="979" w:type="pct"/>
            <w:gridSpan w:val="3"/>
            <w:vAlign w:val="center"/>
          </w:tcPr>
          <w:p w14:paraId="5E72ED5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到达时间</w:t>
            </w:r>
            <w:r>
              <w:rPr>
                <w:rFonts w:ascii="Times New Roman" w:eastAsia="宋体" w:hAnsi="Times New Roman" w:cs="Times New Roman"/>
                <w:kern w:val="0"/>
                <w:szCs w:val="21"/>
              </w:rPr>
              <w:t>/min</w:t>
            </w:r>
          </w:p>
        </w:tc>
      </w:tr>
      <w:tr w:rsidR="002133E3" w14:paraId="2AF56515" w14:textId="77777777">
        <w:trPr>
          <w:trHeight w:val="20"/>
          <w:jc w:val="center"/>
        </w:trPr>
        <w:tc>
          <w:tcPr>
            <w:tcW w:w="444" w:type="pct"/>
            <w:vMerge/>
            <w:vAlign w:val="center"/>
          </w:tcPr>
          <w:p w14:paraId="11F02E69"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463125C5"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6682D62C"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445F4D7F"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-1</w:t>
            </w:r>
          </w:p>
        </w:tc>
        <w:tc>
          <w:tcPr>
            <w:tcW w:w="868" w:type="pct"/>
            <w:gridSpan w:val="3"/>
            <w:vAlign w:val="center"/>
          </w:tcPr>
          <w:p w14:paraId="172CD01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380</w:t>
            </w:r>
          </w:p>
        </w:tc>
        <w:tc>
          <w:tcPr>
            <w:tcW w:w="1014" w:type="pct"/>
            <w:gridSpan w:val="3"/>
            <w:vAlign w:val="center"/>
          </w:tcPr>
          <w:p w14:paraId="2D38AD3F"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163</w:t>
            </w:r>
          </w:p>
        </w:tc>
        <w:tc>
          <w:tcPr>
            <w:tcW w:w="979" w:type="pct"/>
            <w:gridSpan w:val="3"/>
            <w:vAlign w:val="center"/>
          </w:tcPr>
          <w:p w14:paraId="725B130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r>
      <w:tr w:rsidR="002133E3" w14:paraId="6EF18524" w14:textId="77777777">
        <w:trPr>
          <w:trHeight w:val="20"/>
          <w:jc w:val="center"/>
        </w:trPr>
        <w:tc>
          <w:tcPr>
            <w:tcW w:w="444" w:type="pct"/>
            <w:vMerge/>
            <w:vAlign w:val="center"/>
          </w:tcPr>
          <w:p w14:paraId="2333AE5F"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10B540E4"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14871E28"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1E9CA84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-2</w:t>
            </w:r>
          </w:p>
        </w:tc>
        <w:tc>
          <w:tcPr>
            <w:tcW w:w="868" w:type="pct"/>
            <w:gridSpan w:val="3"/>
            <w:vAlign w:val="center"/>
          </w:tcPr>
          <w:p w14:paraId="7AF01A5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95</w:t>
            </w:r>
          </w:p>
        </w:tc>
        <w:tc>
          <w:tcPr>
            <w:tcW w:w="1014" w:type="pct"/>
            <w:gridSpan w:val="3"/>
            <w:vAlign w:val="center"/>
          </w:tcPr>
          <w:p w14:paraId="682F22B7"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425</w:t>
            </w:r>
          </w:p>
        </w:tc>
        <w:tc>
          <w:tcPr>
            <w:tcW w:w="979" w:type="pct"/>
            <w:gridSpan w:val="3"/>
            <w:vAlign w:val="center"/>
          </w:tcPr>
          <w:p w14:paraId="7353BFC9"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4.6</w:t>
            </w:r>
          </w:p>
        </w:tc>
      </w:tr>
      <w:tr w:rsidR="002133E3" w14:paraId="6DF9F563" w14:textId="77777777">
        <w:trPr>
          <w:trHeight w:val="20"/>
          <w:jc w:val="center"/>
        </w:trPr>
        <w:tc>
          <w:tcPr>
            <w:tcW w:w="444" w:type="pct"/>
            <w:vMerge/>
            <w:vAlign w:val="center"/>
          </w:tcPr>
          <w:p w14:paraId="428DB17C"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50DEC22E"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0CCC3A47"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11E467E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敏感目标名称</w:t>
            </w:r>
          </w:p>
        </w:tc>
        <w:tc>
          <w:tcPr>
            <w:tcW w:w="868" w:type="pct"/>
            <w:gridSpan w:val="3"/>
            <w:vAlign w:val="center"/>
          </w:tcPr>
          <w:p w14:paraId="0273901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超标时间</w:t>
            </w:r>
            <w:r>
              <w:rPr>
                <w:rFonts w:ascii="Times New Roman" w:eastAsia="宋体" w:hAnsi="Times New Roman" w:cs="Times New Roman"/>
                <w:kern w:val="0"/>
                <w:szCs w:val="21"/>
              </w:rPr>
              <w:t>/min</w:t>
            </w:r>
          </w:p>
        </w:tc>
        <w:tc>
          <w:tcPr>
            <w:tcW w:w="1014" w:type="pct"/>
            <w:gridSpan w:val="3"/>
            <w:vAlign w:val="center"/>
          </w:tcPr>
          <w:p w14:paraId="266AB30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超标持续时间</w:t>
            </w:r>
            <w:r>
              <w:rPr>
                <w:rFonts w:ascii="Times New Roman" w:eastAsia="宋体" w:hAnsi="Times New Roman" w:cs="Times New Roman"/>
                <w:kern w:val="0"/>
                <w:szCs w:val="21"/>
              </w:rPr>
              <w:t>/min</w:t>
            </w:r>
          </w:p>
        </w:tc>
        <w:tc>
          <w:tcPr>
            <w:tcW w:w="979" w:type="pct"/>
            <w:gridSpan w:val="3"/>
            <w:vAlign w:val="center"/>
          </w:tcPr>
          <w:p w14:paraId="66628E4C"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最大浓度</w:t>
            </w:r>
            <w:r>
              <w:rPr>
                <w:rFonts w:ascii="Times New Roman" w:eastAsia="宋体" w:hAnsi="Times New Roman" w:cs="Times New Roman"/>
                <w:kern w:val="0"/>
                <w:szCs w:val="21"/>
              </w:rPr>
              <w:t>(mg/m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r>
      <w:tr w:rsidR="002133E3" w14:paraId="6A042A51" w14:textId="77777777">
        <w:trPr>
          <w:trHeight w:val="20"/>
          <w:jc w:val="center"/>
        </w:trPr>
        <w:tc>
          <w:tcPr>
            <w:tcW w:w="444" w:type="pct"/>
            <w:vMerge/>
            <w:vAlign w:val="center"/>
          </w:tcPr>
          <w:p w14:paraId="2947D9DE"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447DD9B6"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2B160092"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0620B8A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兴庄村</w:t>
            </w:r>
          </w:p>
        </w:tc>
        <w:tc>
          <w:tcPr>
            <w:tcW w:w="868" w:type="pct"/>
            <w:gridSpan w:val="3"/>
            <w:vAlign w:val="center"/>
          </w:tcPr>
          <w:p w14:paraId="3057DF4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14" w:type="pct"/>
            <w:gridSpan w:val="3"/>
            <w:vAlign w:val="center"/>
          </w:tcPr>
          <w:p w14:paraId="361DFBD1"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79" w:type="pct"/>
            <w:gridSpan w:val="3"/>
            <w:vAlign w:val="center"/>
          </w:tcPr>
          <w:p w14:paraId="375243EA"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BC66960" w14:textId="77777777">
        <w:trPr>
          <w:trHeight w:val="20"/>
          <w:jc w:val="center"/>
        </w:trPr>
        <w:tc>
          <w:tcPr>
            <w:tcW w:w="444" w:type="pct"/>
            <w:vMerge/>
            <w:vAlign w:val="center"/>
          </w:tcPr>
          <w:p w14:paraId="3CD85C1D" w14:textId="77777777" w:rsidR="002133E3" w:rsidRDefault="002133E3">
            <w:pPr>
              <w:spacing w:line="300" w:lineRule="exact"/>
              <w:jc w:val="center"/>
              <w:rPr>
                <w:rFonts w:ascii="Times New Roman" w:eastAsia="宋体" w:hAnsi="Times New Roman" w:cs="Times New Roman"/>
                <w:kern w:val="0"/>
                <w:szCs w:val="21"/>
              </w:rPr>
            </w:pPr>
          </w:p>
        </w:tc>
        <w:tc>
          <w:tcPr>
            <w:tcW w:w="308" w:type="pct"/>
            <w:vMerge/>
            <w:vAlign w:val="center"/>
          </w:tcPr>
          <w:p w14:paraId="53529395" w14:textId="77777777" w:rsidR="002133E3" w:rsidRDefault="002133E3">
            <w:pPr>
              <w:spacing w:line="300" w:lineRule="exact"/>
              <w:jc w:val="center"/>
              <w:rPr>
                <w:rFonts w:ascii="Times New Roman" w:eastAsia="宋体" w:hAnsi="Times New Roman" w:cs="Times New Roman"/>
                <w:kern w:val="0"/>
                <w:szCs w:val="21"/>
              </w:rPr>
            </w:pPr>
          </w:p>
        </w:tc>
        <w:tc>
          <w:tcPr>
            <w:tcW w:w="312" w:type="pct"/>
            <w:gridSpan w:val="2"/>
            <w:vMerge/>
            <w:vAlign w:val="center"/>
          </w:tcPr>
          <w:p w14:paraId="21F4AD2C" w14:textId="77777777" w:rsidR="002133E3" w:rsidRDefault="002133E3">
            <w:pPr>
              <w:spacing w:line="300" w:lineRule="exact"/>
              <w:jc w:val="center"/>
              <w:rPr>
                <w:rFonts w:ascii="Times New Roman" w:eastAsia="宋体" w:hAnsi="Times New Roman" w:cs="Times New Roman"/>
                <w:kern w:val="0"/>
                <w:szCs w:val="21"/>
              </w:rPr>
            </w:pPr>
          </w:p>
        </w:tc>
        <w:tc>
          <w:tcPr>
            <w:tcW w:w="1075" w:type="pct"/>
            <w:gridSpan w:val="3"/>
            <w:vAlign w:val="center"/>
          </w:tcPr>
          <w:p w14:paraId="42A435FE"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李巷村</w:t>
            </w:r>
          </w:p>
        </w:tc>
        <w:tc>
          <w:tcPr>
            <w:tcW w:w="868" w:type="pct"/>
            <w:gridSpan w:val="3"/>
            <w:vAlign w:val="center"/>
          </w:tcPr>
          <w:p w14:paraId="30B83647"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014" w:type="pct"/>
            <w:gridSpan w:val="3"/>
            <w:vAlign w:val="center"/>
          </w:tcPr>
          <w:p w14:paraId="260715F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79" w:type="pct"/>
            <w:gridSpan w:val="3"/>
            <w:vAlign w:val="center"/>
          </w:tcPr>
          <w:p w14:paraId="78E1715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038C096D" w14:textId="77777777">
        <w:trPr>
          <w:trHeight w:val="20"/>
          <w:jc w:val="center"/>
        </w:trPr>
        <w:tc>
          <w:tcPr>
            <w:tcW w:w="444" w:type="pct"/>
            <w:vMerge w:val="restart"/>
            <w:vAlign w:val="center"/>
          </w:tcPr>
          <w:p w14:paraId="05C5866F"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地下水</w:t>
            </w:r>
          </w:p>
        </w:tc>
        <w:tc>
          <w:tcPr>
            <w:tcW w:w="620" w:type="pct"/>
            <w:gridSpan w:val="3"/>
            <w:vMerge w:val="restart"/>
            <w:vAlign w:val="center"/>
          </w:tcPr>
          <w:p w14:paraId="05C2FBDD"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危险物质</w:t>
            </w:r>
          </w:p>
        </w:tc>
        <w:tc>
          <w:tcPr>
            <w:tcW w:w="3936" w:type="pct"/>
            <w:gridSpan w:val="12"/>
            <w:vAlign w:val="center"/>
          </w:tcPr>
          <w:p w14:paraId="2444EEDB"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地下水环境影响</w:t>
            </w:r>
          </w:p>
        </w:tc>
      </w:tr>
      <w:tr w:rsidR="002133E3" w14:paraId="67B09644" w14:textId="77777777">
        <w:trPr>
          <w:trHeight w:val="20"/>
          <w:jc w:val="center"/>
        </w:trPr>
        <w:tc>
          <w:tcPr>
            <w:tcW w:w="444" w:type="pct"/>
            <w:vMerge/>
            <w:vAlign w:val="center"/>
          </w:tcPr>
          <w:p w14:paraId="2E52411D" w14:textId="77777777" w:rsidR="002133E3" w:rsidRDefault="002133E3">
            <w:pPr>
              <w:spacing w:line="300" w:lineRule="exact"/>
              <w:jc w:val="center"/>
              <w:rPr>
                <w:rFonts w:ascii="Times New Roman" w:eastAsia="宋体" w:hAnsi="Times New Roman" w:cs="Times New Roman"/>
                <w:kern w:val="0"/>
                <w:szCs w:val="21"/>
              </w:rPr>
            </w:pPr>
          </w:p>
        </w:tc>
        <w:tc>
          <w:tcPr>
            <w:tcW w:w="620" w:type="pct"/>
            <w:gridSpan w:val="3"/>
            <w:vMerge/>
            <w:vAlign w:val="center"/>
          </w:tcPr>
          <w:p w14:paraId="2498B6F3" w14:textId="77777777" w:rsidR="002133E3" w:rsidRDefault="002133E3">
            <w:pPr>
              <w:spacing w:line="300" w:lineRule="exact"/>
              <w:jc w:val="center"/>
              <w:rPr>
                <w:rFonts w:ascii="Times New Roman" w:eastAsia="宋体" w:hAnsi="Times New Roman" w:cs="Times New Roman"/>
                <w:kern w:val="0"/>
                <w:szCs w:val="21"/>
              </w:rPr>
            </w:pPr>
          </w:p>
        </w:tc>
        <w:tc>
          <w:tcPr>
            <w:tcW w:w="582" w:type="pct"/>
            <w:vAlign w:val="center"/>
          </w:tcPr>
          <w:p w14:paraId="11AF51B6"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厂区边界</w:t>
            </w:r>
          </w:p>
        </w:tc>
        <w:tc>
          <w:tcPr>
            <w:tcW w:w="854" w:type="pct"/>
            <w:gridSpan w:val="3"/>
            <w:vAlign w:val="center"/>
          </w:tcPr>
          <w:p w14:paraId="0DDE66E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达到时间</w:t>
            </w:r>
            <w:r>
              <w:rPr>
                <w:rFonts w:ascii="Times New Roman" w:eastAsia="宋体" w:hAnsi="Times New Roman" w:cs="Times New Roman"/>
                <w:kern w:val="0"/>
                <w:szCs w:val="21"/>
              </w:rPr>
              <w:t>/d</w:t>
            </w:r>
          </w:p>
        </w:tc>
        <w:tc>
          <w:tcPr>
            <w:tcW w:w="797" w:type="pct"/>
            <w:gridSpan w:val="3"/>
            <w:vAlign w:val="center"/>
          </w:tcPr>
          <w:p w14:paraId="281E266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超标时间</w:t>
            </w:r>
            <w:r>
              <w:rPr>
                <w:rFonts w:ascii="Times New Roman" w:eastAsia="宋体" w:hAnsi="Times New Roman" w:cs="Times New Roman"/>
                <w:kern w:val="0"/>
                <w:szCs w:val="21"/>
              </w:rPr>
              <w:t>/d</w:t>
            </w:r>
          </w:p>
        </w:tc>
        <w:tc>
          <w:tcPr>
            <w:tcW w:w="917" w:type="pct"/>
            <w:gridSpan w:val="3"/>
            <w:vAlign w:val="center"/>
          </w:tcPr>
          <w:p w14:paraId="27B2F9C8"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超标持续时间</w:t>
            </w:r>
            <w:r>
              <w:rPr>
                <w:rFonts w:ascii="Times New Roman" w:eastAsia="宋体" w:hAnsi="Times New Roman" w:cs="Times New Roman"/>
                <w:kern w:val="0"/>
                <w:szCs w:val="21"/>
              </w:rPr>
              <w:t>/d</w:t>
            </w:r>
          </w:p>
        </w:tc>
        <w:tc>
          <w:tcPr>
            <w:tcW w:w="786" w:type="pct"/>
            <w:gridSpan w:val="2"/>
            <w:vAlign w:val="center"/>
          </w:tcPr>
          <w:p w14:paraId="18253D6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最大浓度</w:t>
            </w:r>
            <w:r>
              <w:rPr>
                <w:rFonts w:ascii="Times New Roman" w:eastAsia="宋体" w:hAnsi="Times New Roman" w:cs="Times New Roman"/>
                <w:kern w:val="0"/>
                <w:szCs w:val="21"/>
              </w:rPr>
              <w:t>mg/L</w:t>
            </w:r>
          </w:p>
        </w:tc>
      </w:tr>
      <w:tr w:rsidR="002133E3" w14:paraId="72F81469" w14:textId="77777777">
        <w:trPr>
          <w:trHeight w:val="20"/>
          <w:jc w:val="center"/>
        </w:trPr>
        <w:tc>
          <w:tcPr>
            <w:tcW w:w="444" w:type="pct"/>
            <w:vMerge/>
            <w:vAlign w:val="center"/>
          </w:tcPr>
          <w:p w14:paraId="7C819B59" w14:textId="77777777" w:rsidR="002133E3" w:rsidRDefault="002133E3">
            <w:pPr>
              <w:spacing w:line="300" w:lineRule="exact"/>
              <w:jc w:val="center"/>
              <w:rPr>
                <w:rFonts w:ascii="Times New Roman" w:eastAsia="宋体" w:hAnsi="Times New Roman" w:cs="Times New Roman"/>
                <w:kern w:val="0"/>
                <w:szCs w:val="21"/>
              </w:rPr>
            </w:pPr>
          </w:p>
        </w:tc>
        <w:tc>
          <w:tcPr>
            <w:tcW w:w="620" w:type="pct"/>
            <w:gridSpan w:val="3"/>
            <w:vAlign w:val="center"/>
          </w:tcPr>
          <w:p w14:paraId="13318DB6"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耗氧量</w:t>
            </w:r>
          </w:p>
        </w:tc>
        <w:tc>
          <w:tcPr>
            <w:tcW w:w="582" w:type="pct"/>
            <w:vAlign w:val="center"/>
          </w:tcPr>
          <w:p w14:paraId="6F1633A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东</w:t>
            </w:r>
          </w:p>
        </w:tc>
        <w:tc>
          <w:tcPr>
            <w:tcW w:w="854" w:type="pct"/>
            <w:gridSpan w:val="3"/>
            <w:vAlign w:val="center"/>
          </w:tcPr>
          <w:p w14:paraId="41C8011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97" w:type="pct"/>
            <w:gridSpan w:val="3"/>
            <w:vAlign w:val="center"/>
          </w:tcPr>
          <w:p w14:paraId="30DE48B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17" w:type="pct"/>
            <w:gridSpan w:val="3"/>
            <w:vAlign w:val="center"/>
          </w:tcPr>
          <w:p w14:paraId="5A975B68"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86" w:type="pct"/>
            <w:gridSpan w:val="2"/>
            <w:vAlign w:val="center"/>
          </w:tcPr>
          <w:p w14:paraId="7B9A8BF4"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CBA7D16" w14:textId="77777777">
        <w:trPr>
          <w:trHeight w:val="20"/>
          <w:jc w:val="center"/>
        </w:trPr>
        <w:tc>
          <w:tcPr>
            <w:tcW w:w="444" w:type="pct"/>
            <w:vMerge/>
            <w:vAlign w:val="center"/>
          </w:tcPr>
          <w:p w14:paraId="3233FB41" w14:textId="77777777" w:rsidR="002133E3" w:rsidRDefault="002133E3">
            <w:pPr>
              <w:spacing w:line="300" w:lineRule="exact"/>
              <w:jc w:val="center"/>
              <w:rPr>
                <w:rFonts w:ascii="Times New Roman" w:eastAsia="宋体" w:hAnsi="Times New Roman" w:cs="Times New Roman"/>
                <w:kern w:val="0"/>
                <w:szCs w:val="21"/>
              </w:rPr>
            </w:pPr>
          </w:p>
        </w:tc>
        <w:tc>
          <w:tcPr>
            <w:tcW w:w="620" w:type="pct"/>
            <w:gridSpan w:val="3"/>
            <w:vAlign w:val="center"/>
          </w:tcPr>
          <w:p w14:paraId="0F3AB0E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2" w:type="pct"/>
            <w:vAlign w:val="center"/>
          </w:tcPr>
          <w:p w14:paraId="59A0470F"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敏感目标</w:t>
            </w:r>
          </w:p>
        </w:tc>
        <w:tc>
          <w:tcPr>
            <w:tcW w:w="854" w:type="pct"/>
            <w:gridSpan w:val="3"/>
            <w:vAlign w:val="center"/>
          </w:tcPr>
          <w:p w14:paraId="74D2E170"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达到时间</w:t>
            </w:r>
            <w:r>
              <w:rPr>
                <w:rFonts w:ascii="Times New Roman" w:eastAsia="宋体" w:hAnsi="Times New Roman" w:cs="Times New Roman"/>
                <w:kern w:val="0"/>
                <w:szCs w:val="21"/>
              </w:rPr>
              <w:t>/d</w:t>
            </w:r>
          </w:p>
        </w:tc>
        <w:tc>
          <w:tcPr>
            <w:tcW w:w="797" w:type="pct"/>
            <w:gridSpan w:val="3"/>
            <w:vAlign w:val="center"/>
          </w:tcPr>
          <w:p w14:paraId="591F8178"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超标时间</w:t>
            </w:r>
            <w:r>
              <w:rPr>
                <w:rFonts w:ascii="Times New Roman" w:eastAsia="宋体" w:hAnsi="Times New Roman" w:cs="Times New Roman"/>
                <w:kern w:val="0"/>
                <w:szCs w:val="21"/>
              </w:rPr>
              <w:t>/d</w:t>
            </w:r>
          </w:p>
        </w:tc>
        <w:tc>
          <w:tcPr>
            <w:tcW w:w="917" w:type="pct"/>
            <w:gridSpan w:val="3"/>
            <w:vAlign w:val="center"/>
          </w:tcPr>
          <w:p w14:paraId="28B6B522"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超标持续时间</w:t>
            </w:r>
            <w:r>
              <w:rPr>
                <w:rFonts w:ascii="Times New Roman" w:eastAsia="宋体" w:hAnsi="Times New Roman" w:cs="Times New Roman"/>
                <w:kern w:val="0"/>
                <w:szCs w:val="21"/>
              </w:rPr>
              <w:t>/d</w:t>
            </w:r>
          </w:p>
        </w:tc>
        <w:tc>
          <w:tcPr>
            <w:tcW w:w="786" w:type="pct"/>
            <w:gridSpan w:val="2"/>
            <w:vAlign w:val="center"/>
          </w:tcPr>
          <w:p w14:paraId="044F9958"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最大浓度</w:t>
            </w:r>
            <w:r>
              <w:rPr>
                <w:rFonts w:ascii="Times New Roman" w:eastAsia="宋体" w:hAnsi="Times New Roman" w:cs="Times New Roman"/>
                <w:kern w:val="0"/>
                <w:szCs w:val="21"/>
              </w:rPr>
              <w:t>mg/l</w:t>
            </w:r>
          </w:p>
        </w:tc>
      </w:tr>
      <w:tr w:rsidR="002133E3" w14:paraId="49125B96" w14:textId="77777777">
        <w:trPr>
          <w:trHeight w:val="20"/>
          <w:jc w:val="center"/>
        </w:trPr>
        <w:tc>
          <w:tcPr>
            <w:tcW w:w="444" w:type="pct"/>
            <w:vMerge/>
            <w:vAlign w:val="center"/>
          </w:tcPr>
          <w:p w14:paraId="195DB712" w14:textId="77777777" w:rsidR="002133E3" w:rsidRDefault="002133E3">
            <w:pPr>
              <w:spacing w:line="300" w:lineRule="exact"/>
              <w:jc w:val="center"/>
              <w:rPr>
                <w:rFonts w:ascii="Times New Roman" w:eastAsia="宋体" w:hAnsi="Times New Roman" w:cs="Times New Roman"/>
                <w:kern w:val="0"/>
                <w:szCs w:val="21"/>
              </w:rPr>
            </w:pPr>
          </w:p>
        </w:tc>
        <w:tc>
          <w:tcPr>
            <w:tcW w:w="620" w:type="pct"/>
            <w:gridSpan w:val="3"/>
            <w:vAlign w:val="center"/>
          </w:tcPr>
          <w:p w14:paraId="3B44ED9A"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582" w:type="pct"/>
            <w:vAlign w:val="center"/>
          </w:tcPr>
          <w:p w14:paraId="5E5C1266"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854" w:type="pct"/>
            <w:gridSpan w:val="3"/>
            <w:vAlign w:val="center"/>
          </w:tcPr>
          <w:p w14:paraId="0D3AAAA6"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97" w:type="pct"/>
            <w:gridSpan w:val="3"/>
            <w:vAlign w:val="center"/>
          </w:tcPr>
          <w:p w14:paraId="1EB162BF"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17" w:type="pct"/>
            <w:gridSpan w:val="3"/>
            <w:vAlign w:val="center"/>
          </w:tcPr>
          <w:p w14:paraId="1625F4F5"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786" w:type="pct"/>
            <w:gridSpan w:val="2"/>
            <w:vAlign w:val="center"/>
          </w:tcPr>
          <w:p w14:paraId="49331DFD" w14:textId="77777777" w:rsidR="002133E3" w:rsidRDefault="00C22CFA">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bl>
    <w:p w14:paraId="605059D0" w14:textId="77777777" w:rsidR="002133E3" w:rsidRDefault="00C22CFA">
      <w:pPr>
        <w:tabs>
          <w:tab w:val="left" w:pos="4500"/>
        </w:tabs>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环境风险评价自查表见表</w:t>
      </w:r>
      <w:r>
        <w:rPr>
          <w:rFonts w:ascii="Times New Roman" w:eastAsia="宋体" w:hAnsi="Times New Roman" w:cs="Times New Roman"/>
          <w:kern w:val="0"/>
          <w:sz w:val="28"/>
          <w:szCs w:val="28"/>
        </w:rPr>
        <w:t>6.9-6</w:t>
      </w:r>
      <w:r>
        <w:rPr>
          <w:rFonts w:ascii="Times New Roman" w:eastAsia="宋体" w:hAnsi="Times New Roman" w:cs="Times New Roman"/>
          <w:kern w:val="0"/>
          <w:sz w:val="28"/>
          <w:szCs w:val="28"/>
        </w:rPr>
        <w:t>。</w:t>
      </w:r>
    </w:p>
    <w:p w14:paraId="059275FB" w14:textId="77777777" w:rsidR="002133E3" w:rsidRDefault="00C22CFA">
      <w:pPr>
        <w:adjustRightInd w:val="0"/>
        <w:snapToGrid w:val="0"/>
        <w:spacing w:line="500" w:lineRule="exact"/>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6.9-6  </w:t>
      </w:r>
      <w:r>
        <w:rPr>
          <w:rFonts w:ascii="Times New Roman" w:eastAsia="宋体" w:hAnsi="Times New Roman" w:cs="Times New Roman"/>
          <w:b/>
          <w:kern w:val="0"/>
          <w:sz w:val="24"/>
          <w:szCs w:val="21"/>
        </w:rPr>
        <w:t>环境风险评价自查表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
        <w:gridCol w:w="995"/>
        <w:gridCol w:w="1265"/>
        <w:gridCol w:w="1987"/>
        <w:gridCol w:w="1007"/>
        <w:gridCol w:w="410"/>
        <w:gridCol w:w="30"/>
        <w:gridCol w:w="747"/>
        <w:gridCol w:w="912"/>
        <w:gridCol w:w="1819"/>
      </w:tblGrid>
      <w:tr w:rsidR="002133E3" w14:paraId="5D41C23A" w14:textId="77777777" w:rsidTr="009C2E4E">
        <w:trPr>
          <w:trHeight w:val="20"/>
          <w:jc w:val="center"/>
        </w:trPr>
        <w:tc>
          <w:tcPr>
            <w:tcW w:w="851" w:type="pct"/>
            <w:gridSpan w:val="2"/>
            <w:vAlign w:val="center"/>
          </w:tcPr>
          <w:p w14:paraId="5EC4C37F"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工作内容</w:t>
            </w:r>
          </w:p>
        </w:tc>
        <w:tc>
          <w:tcPr>
            <w:tcW w:w="4149" w:type="pct"/>
            <w:gridSpan w:val="8"/>
            <w:vAlign w:val="center"/>
          </w:tcPr>
          <w:p w14:paraId="3D8CCA82" w14:textId="77777777" w:rsidR="002133E3" w:rsidRDefault="00C22CFA">
            <w:pPr>
              <w:jc w:val="center"/>
              <w:rPr>
                <w:rFonts w:ascii="Times New Roman" w:eastAsia="宋体" w:hAnsi="Times New Roman" w:cs="Times New Roman"/>
                <w:b/>
                <w:kern w:val="0"/>
                <w:szCs w:val="21"/>
              </w:rPr>
            </w:pPr>
            <w:r>
              <w:rPr>
                <w:rFonts w:ascii="Times New Roman" w:eastAsia="宋体" w:hAnsi="Times New Roman" w:cs="Times New Roman"/>
                <w:b/>
                <w:kern w:val="0"/>
                <w:szCs w:val="21"/>
              </w:rPr>
              <w:t>完成情况</w:t>
            </w:r>
          </w:p>
        </w:tc>
      </w:tr>
      <w:tr w:rsidR="009C2E4E" w14:paraId="39721658" w14:textId="77777777" w:rsidTr="009C2E4E">
        <w:trPr>
          <w:trHeight w:val="20"/>
          <w:jc w:val="center"/>
        </w:trPr>
        <w:tc>
          <w:tcPr>
            <w:tcW w:w="346" w:type="pct"/>
            <w:vMerge w:val="restart"/>
            <w:vAlign w:val="center"/>
          </w:tcPr>
          <w:p w14:paraId="3EC52594"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风险调查</w:t>
            </w:r>
          </w:p>
        </w:tc>
        <w:tc>
          <w:tcPr>
            <w:tcW w:w="505" w:type="pct"/>
            <w:vMerge w:val="restart"/>
            <w:vAlign w:val="center"/>
          </w:tcPr>
          <w:p w14:paraId="2C3F77EF"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危险物质</w:t>
            </w:r>
          </w:p>
        </w:tc>
        <w:tc>
          <w:tcPr>
            <w:tcW w:w="642" w:type="pct"/>
            <w:vAlign w:val="center"/>
          </w:tcPr>
          <w:p w14:paraId="19E8C526"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名称</w:t>
            </w:r>
          </w:p>
        </w:tc>
        <w:tc>
          <w:tcPr>
            <w:tcW w:w="1727" w:type="pct"/>
            <w:gridSpan w:val="3"/>
            <w:vAlign w:val="center"/>
          </w:tcPr>
          <w:p w14:paraId="11DFF48F"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硫酸</w:t>
            </w:r>
          </w:p>
        </w:tc>
        <w:tc>
          <w:tcPr>
            <w:tcW w:w="1780" w:type="pct"/>
            <w:gridSpan w:val="4"/>
            <w:vAlign w:val="center"/>
          </w:tcPr>
          <w:p w14:paraId="76E48FEB"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沼气</w:t>
            </w:r>
          </w:p>
        </w:tc>
      </w:tr>
      <w:tr w:rsidR="009C2E4E" w14:paraId="707D6761" w14:textId="77777777" w:rsidTr="009C2E4E">
        <w:trPr>
          <w:trHeight w:val="20"/>
          <w:jc w:val="center"/>
        </w:trPr>
        <w:tc>
          <w:tcPr>
            <w:tcW w:w="346" w:type="pct"/>
            <w:vMerge/>
            <w:vAlign w:val="center"/>
          </w:tcPr>
          <w:p w14:paraId="68CFFE11" w14:textId="77777777" w:rsidR="009C2E4E" w:rsidRDefault="009C2E4E">
            <w:pPr>
              <w:jc w:val="center"/>
              <w:rPr>
                <w:rFonts w:ascii="Times New Roman" w:eastAsia="宋体" w:hAnsi="Times New Roman" w:cs="Times New Roman"/>
                <w:kern w:val="0"/>
                <w:szCs w:val="21"/>
              </w:rPr>
            </w:pPr>
          </w:p>
        </w:tc>
        <w:tc>
          <w:tcPr>
            <w:tcW w:w="505" w:type="pct"/>
            <w:vMerge/>
            <w:vAlign w:val="center"/>
          </w:tcPr>
          <w:p w14:paraId="0E52B2B0" w14:textId="77777777" w:rsidR="009C2E4E" w:rsidRDefault="009C2E4E">
            <w:pPr>
              <w:jc w:val="center"/>
              <w:rPr>
                <w:rFonts w:ascii="Times New Roman" w:eastAsia="宋体" w:hAnsi="Times New Roman" w:cs="Times New Roman"/>
                <w:kern w:val="0"/>
                <w:szCs w:val="21"/>
              </w:rPr>
            </w:pPr>
          </w:p>
        </w:tc>
        <w:tc>
          <w:tcPr>
            <w:tcW w:w="642" w:type="pct"/>
            <w:vAlign w:val="center"/>
          </w:tcPr>
          <w:p w14:paraId="159DBB9E"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存在总量</w:t>
            </w:r>
            <w:r>
              <w:rPr>
                <w:rFonts w:ascii="Times New Roman" w:eastAsia="宋体" w:hAnsi="Times New Roman" w:cs="Times New Roman"/>
                <w:kern w:val="0"/>
                <w:szCs w:val="21"/>
              </w:rPr>
              <w:t>/t</w:t>
            </w:r>
          </w:p>
        </w:tc>
        <w:tc>
          <w:tcPr>
            <w:tcW w:w="1727" w:type="pct"/>
            <w:gridSpan w:val="3"/>
            <w:vAlign w:val="center"/>
          </w:tcPr>
          <w:p w14:paraId="5F336048"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1780" w:type="pct"/>
            <w:gridSpan w:val="4"/>
            <w:vAlign w:val="center"/>
          </w:tcPr>
          <w:p w14:paraId="457339CE" w14:textId="77777777" w:rsidR="009C2E4E" w:rsidRDefault="009C2E4E">
            <w:pPr>
              <w:jc w:val="center"/>
              <w:rPr>
                <w:rFonts w:ascii="Times New Roman" w:eastAsia="宋体" w:hAnsi="Times New Roman" w:cs="Times New Roman"/>
                <w:kern w:val="0"/>
                <w:szCs w:val="21"/>
              </w:rPr>
            </w:pPr>
            <w:r>
              <w:rPr>
                <w:rFonts w:ascii="Times New Roman" w:eastAsia="宋体" w:hAnsi="Times New Roman" w:cs="Times New Roman"/>
                <w:kern w:val="0"/>
                <w:szCs w:val="21"/>
              </w:rPr>
              <w:t>0.568</w:t>
            </w:r>
          </w:p>
        </w:tc>
      </w:tr>
      <w:tr w:rsidR="002133E3" w14:paraId="1285CFC7" w14:textId="77777777" w:rsidTr="009C2E4E">
        <w:trPr>
          <w:trHeight w:val="20"/>
          <w:jc w:val="center"/>
        </w:trPr>
        <w:tc>
          <w:tcPr>
            <w:tcW w:w="346" w:type="pct"/>
            <w:vMerge/>
            <w:vAlign w:val="center"/>
          </w:tcPr>
          <w:p w14:paraId="15F3E263" w14:textId="77777777" w:rsidR="002133E3" w:rsidRDefault="002133E3">
            <w:pPr>
              <w:jc w:val="center"/>
              <w:rPr>
                <w:rFonts w:ascii="Times New Roman" w:eastAsia="宋体" w:hAnsi="Times New Roman" w:cs="Times New Roman"/>
                <w:kern w:val="0"/>
                <w:szCs w:val="21"/>
              </w:rPr>
            </w:pPr>
          </w:p>
        </w:tc>
        <w:tc>
          <w:tcPr>
            <w:tcW w:w="505" w:type="pct"/>
            <w:vMerge w:val="restart"/>
            <w:vAlign w:val="center"/>
          </w:tcPr>
          <w:p w14:paraId="4840A40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环境敏感性</w:t>
            </w:r>
          </w:p>
        </w:tc>
        <w:tc>
          <w:tcPr>
            <w:tcW w:w="642" w:type="pct"/>
            <w:vMerge w:val="restart"/>
            <w:vAlign w:val="center"/>
          </w:tcPr>
          <w:p w14:paraId="72E1F6A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1727" w:type="pct"/>
            <w:gridSpan w:val="3"/>
            <w:vAlign w:val="center"/>
          </w:tcPr>
          <w:p w14:paraId="61C19CB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500m</w:t>
            </w:r>
            <w:r>
              <w:rPr>
                <w:rFonts w:ascii="Times New Roman" w:eastAsia="宋体" w:hAnsi="Times New Roman" w:cs="Times New Roman"/>
                <w:kern w:val="0"/>
                <w:szCs w:val="21"/>
              </w:rPr>
              <w:t>范围内人口数</w:t>
            </w:r>
            <w:r>
              <w:rPr>
                <w:rFonts w:ascii="Times New Roman" w:eastAsia="宋体" w:hAnsi="Times New Roman" w:cs="Times New Roman"/>
                <w:kern w:val="0"/>
                <w:szCs w:val="21"/>
                <w:u w:val="single"/>
              </w:rPr>
              <w:t xml:space="preserve"> </w:t>
            </w:r>
            <w:r>
              <w:rPr>
                <w:rFonts w:ascii="Times New Roman" w:eastAsia="宋体" w:hAnsi="Times New Roman" w:cs="Times New Roman"/>
                <w:kern w:val="0"/>
                <w:szCs w:val="21"/>
              </w:rPr>
              <w:t>人</w:t>
            </w:r>
          </w:p>
        </w:tc>
        <w:tc>
          <w:tcPr>
            <w:tcW w:w="1780" w:type="pct"/>
            <w:gridSpan w:val="4"/>
            <w:vAlign w:val="center"/>
          </w:tcPr>
          <w:p w14:paraId="5BA6368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5km</w:t>
            </w:r>
            <w:r>
              <w:rPr>
                <w:rFonts w:ascii="Times New Roman" w:eastAsia="宋体" w:hAnsi="Times New Roman" w:cs="Times New Roman"/>
                <w:kern w:val="0"/>
                <w:szCs w:val="21"/>
              </w:rPr>
              <w:t>范围内人口数</w:t>
            </w:r>
            <w:r>
              <w:rPr>
                <w:rFonts w:ascii="Times New Roman" w:eastAsia="宋体" w:hAnsi="Times New Roman" w:cs="Times New Roman"/>
                <w:kern w:val="0"/>
                <w:szCs w:val="21"/>
                <w:u w:val="single"/>
              </w:rPr>
              <w:t>大于</w:t>
            </w:r>
            <w:r>
              <w:rPr>
                <w:rFonts w:ascii="Times New Roman" w:eastAsia="宋体" w:hAnsi="Times New Roman" w:cs="Times New Roman"/>
                <w:kern w:val="0"/>
                <w:szCs w:val="21"/>
                <w:u w:val="single"/>
              </w:rPr>
              <w:t>5</w:t>
            </w:r>
            <w:r>
              <w:rPr>
                <w:rFonts w:ascii="Times New Roman" w:eastAsia="宋体" w:hAnsi="Times New Roman" w:cs="Times New Roman"/>
                <w:kern w:val="0"/>
                <w:szCs w:val="21"/>
                <w:u w:val="single"/>
              </w:rPr>
              <w:t>万</w:t>
            </w:r>
            <w:r>
              <w:rPr>
                <w:rFonts w:ascii="Times New Roman" w:eastAsia="宋体" w:hAnsi="Times New Roman" w:cs="Times New Roman"/>
                <w:kern w:val="0"/>
                <w:szCs w:val="21"/>
              </w:rPr>
              <w:t>人</w:t>
            </w:r>
          </w:p>
        </w:tc>
      </w:tr>
      <w:tr w:rsidR="002133E3" w14:paraId="310D0C3C" w14:textId="77777777" w:rsidTr="009C2E4E">
        <w:trPr>
          <w:trHeight w:val="20"/>
          <w:jc w:val="center"/>
        </w:trPr>
        <w:tc>
          <w:tcPr>
            <w:tcW w:w="346" w:type="pct"/>
            <w:vMerge/>
            <w:vAlign w:val="center"/>
          </w:tcPr>
          <w:p w14:paraId="3280C1C3"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10961FB9" w14:textId="77777777" w:rsidR="002133E3" w:rsidRDefault="002133E3">
            <w:pPr>
              <w:jc w:val="center"/>
              <w:rPr>
                <w:rFonts w:ascii="Times New Roman" w:eastAsia="宋体" w:hAnsi="Times New Roman" w:cs="Times New Roman"/>
                <w:kern w:val="0"/>
                <w:szCs w:val="21"/>
              </w:rPr>
            </w:pPr>
          </w:p>
        </w:tc>
        <w:tc>
          <w:tcPr>
            <w:tcW w:w="642" w:type="pct"/>
            <w:vMerge/>
            <w:vAlign w:val="center"/>
          </w:tcPr>
          <w:p w14:paraId="6A4BB36D" w14:textId="77777777" w:rsidR="002133E3" w:rsidRDefault="002133E3">
            <w:pPr>
              <w:jc w:val="center"/>
              <w:rPr>
                <w:rFonts w:ascii="Times New Roman" w:eastAsia="宋体" w:hAnsi="Times New Roman" w:cs="Times New Roman"/>
                <w:kern w:val="0"/>
                <w:szCs w:val="21"/>
              </w:rPr>
            </w:pPr>
          </w:p>
        </w:tc>
        <w:tc>
          <w:tcPr>
            <w:tcW w:w="2583" w:type="pct"/>
            <w:gridSpan w:val="6"/>
            <w:vAlign w:val="center"/>
          </w:tcPr>
          <w:p w14:paraId="752F57C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每公里管段周边</w:t>
            </w:r>
            <w:r>
              <w:rPr>
                <w:rFonts w:ascii="Times New Roman" w:eastAsia="宋体" w:hAnsi="Times New Roman" w:cs="Times New Roman"/>
                <w:kern w:val="0"/>
                <w:szCs w:val="21"/>
              </w:rPr>
              <w:t>200m</w:t>
            </w:r>
            <w:r>
              <w:rPr>
                <w:rFonts w:ascii="Times New Roman" w:eastAsia="宋体" w:hAnsi="Times New Roman" w:cs="Times New Roman"/>
                <w:kern w:val="0"/>
                <w:szCs w:val="21"/>
              </w:rPr>
              <w:t>范围内人口数（最大）</w:t>
            </w:r>
          </w:p>
        </w:tc>
        <w:tc>
          <w:tcPr>
            <w:tcW w:w="924" w:type="pct"/>
            <w:vAlign w:val="center"/>
          </w:tcPr>
          <w:p w14:paraId="34475EC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人</w:t>
            </w:r>
          </w:p>
        </w:tc>
      </w:tr>
      <w:tr w:rsidR="002133E3" w14:paraId="395B3FF5" w14:textId="77777777" w:rsidTr="009C2E4E">
        <w:trPr>
          <w:trHeight w:val="20"/>
          <w:jc w:val="center"/>
        </w:trPr>
        <w:tc>
          <w:tcPr>
            <w:tcW w:w="346" w:type="pct"/>
            <w:vMerge/>
            <w:vAlign w:val="center"/>
          </w:tcPr>
          <w:p w14:paraId="5C9B15E3"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44A3993B" w14:textId="77777777" w:rsidR="002133E3" w:rsidRDefault="002133E3">
            <w:pPr>
              <w:jc w:val="center"/>
              <w:rPr>
                <w:rFonts w:ascii="Times New Roman" w:eastAsia="宋体" w:hAnsi="Times New Roman" w:cs="Times New Roman"/>
                <w:kern w:val="0"/>
                <w:szCs w:val="21"/>
              </w:rPr>
            </w:pPr>
          </w:p>
        </w:tc>
        <w:tc>
          <w:tcPr>
            <w:tcW w:w="642" w:type="pct"/>
            <w:vMerge w:val="restart"/>
            <w:vAlign w:val="center"/>
          </w:tcPr>
          <w:p w14:paraId="533A384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地表水</w:t>
            </w:r>
          </w:p>
        </w:tc>
        <w:tc>
          <w:tcPr>
            <w:tcW w:w="1008" w:type="pct"/>
            <w:vAlign w:val="center"/>
          </w:tcPr>
          <w:p w14:paraId="7B8D354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地表水功能敏感性</w:t>
            </w:r>
          </w:p>
        </w:tc>
        <w:tc>
          <w:tcPr>
            <w:tcW w:w="734" w:type="pct"/>
            <w:gridSpan w:val="3"/>
            <w:vAlign w:val="center"/>
          </w:tcPr>
          <w:p w14:paraId="73420E4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F1 </w:t>
            </w:r>
            <w:r>
              <w:rPr>
                <w:rFonts w:ascii="Times New Roman" w:eastAsia="宋体" w:hAnsi="Times New Roman" w:cs="Times New Roman"/>
                <w:kern w:val="0"/>
                <w:szCs w:val="21"/>
              </w:rPr>
              <w:sym w:font="Wingdings 2" w:char="00A3"/>
            </w:r>
          </w:p>
        </w:tc>
        <w:tc>
          <w:tcPr>
            <w:tcW w:w="842" w:type="pct"/>
            <w:gridSpan w:val="2"/>
            <w:vAlign w:val="center"/>
          </w:tcPr>
          <w:p w14:paraId="482AB53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F2 </w:t>
            </w:r>
            <w:r>
              <w:rPr>
                <w:rFonts w:ascii="Times New Roman" w:eastAsia="宋体" w:hAnsi="Times New Roman" w:cs="Times New Roman"/>
                <w:kern w:val="0"/>
                <w:szCs w:val="21"/>
              </w:rPr>
              <w:sym w:font="Wingdings 2" w:char="0052"/>
            </w:r>
          </w:p>
        </w:tc>
        <w:tc>
          <w:tcPr>
            <w:tcW w:w="924" w:type="pct"/>
            <w:vAlign w:val="center"/>
          </w:tcPr>
          <w:p w14:paraId="297645A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F3 </w:t>
            </w:r>
            <w:r>
              <w:rPr>
                <w:rFonts w:ascii="Times New Roman" w:eastAsia="宋体" w:hAnsi="Times New Roman" w:cs="Times New Roman"/>
                <w:kern w:val="0"/>
                <w:szCs w:val="21"/>
              </w:rPr>
              <w:sym w:font="Wingdings 2" w:char="00A3"/>
            </w:r>
          </w:p>
        </w:tc>
      </w:tr>
      <w:tr w:rsidR="002133E3" w14:paraId="14244484" w14:textId="77777777" w:rsidTr="009C2E4E">
        <w:trPr>
          <w:trHeight w:val="20"/>
          <w:jc w:val="center"/>
        </w:trPr>
        <w:tc>
          <w:tcPr>
            <w:tcW w:w="346" w:type="pct"/>
            <w:vMerge/>
            <w:vAlign w:val="center"/>
          </w:tcPr>
          <w:p w14:paraId="7CB1727E"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3E823978" w14:textId="77777777" w:rsidR="002133E3" w:rsidRDefault="002133E3">
            <w:pPr>
              <w:jc w:val="center"/>
              <w:rPr>
                <w:rFonts w:ascii="Times New Roman" w:eastAsia="宋体" w:hAnsi="Times New Roman" w:cs="Times New Roman"/>
                <w:kern w:val="0"/>
                <w:szCs w:val="21"/>
              </w:rPr>
            </w:pPr>
          </w:p>
        </w:tc>
        <w:tc>
          <w:tcPr>
            <w:tcW w:w="642" w:type="pct"/>
            <w:vMerge/>
            <w:vAlign w:val="center"/>
          </w:tcPr>
          <w:p w14:paraId="24E38770" w14:textId="77777777" w:rsidR="002133E3" w:rsidRDefault="002133E3">
            <w:pPr>
              <w:jc w:val="center"/>
              <w:rPr>
                <w:rFonts w:ascii="Times New Roman" w:eastAsia="宋体" w:hAnsi="Times New Roman" w:cs="Times New Roman"/>
                <w:kern w:val="0"/>
                <w:szCs w:val="21"/>
              </w:rPr>
            </w:pPr>
          </w:p>
        </w:tc>
        <w:tc>
          <w:tcPr>
            <w:tcW w:w="1008" w:type="pct"/>
            <w:vAlign w:val="center"/>
          </w:tcPr>
          <w:p w14:paraId="47CF9B2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环境敏感目标分级</w:t>
            </w:r>
          </w:p>
        </w:tc>
        <w:tc>
          <w:tcPr>
            <w:tcW w:w="734" w:type="pct"/>
            <w:gridSpan w:val="3"/>
            <w:vAlign w:val="center"/>
          </w:tcPr>
          <w:p w14:paraId="0280A56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S1 </w:t>
            </w:r>
            <w:r>
              <w:rPr>
                <w:rFonts w:ascii="Times New Roman" w:eastAsia="宋体" w:hAnsi="Times New Roman" w:cs="Times New Roman"/>
                <w:kern w:val="0"/>
                <w:szCs w:val="21"/>
              </w:rPr>
              <w:sym w:font="Wingdings 2" w:char="00A3"/>
            </w:r>
          </w:p>
        </w:tc>
        <w:tc>
          <w:tcPr>
            <w:tcW w:w="842" w:type="pct"/>
            <w:gridSpan w:val="2"/>
            <w:vAlign w:val="center"/>
          </w:tcPr>
          <w:p w14:paraId="1C561FA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S2 </w:t>
            </w:r>
            <w:r>
              <w:rPr>
                <w:rFonts w:ascii="Times New Roman" w:eastAsia="宋体" w:hAnsi="Times New Roman" w:cs="Times New Roman"/>
                <w:kern w:val="0"/>
                <w:szCs w:val="21"/>
              </w:rPr>
              <w:sym w:font="Wingdings 2" w:char="00A3"/>
            </w:r>
          </w:p>
        </w:tc>
        <w:tc>
          <w:tcPr>
            <w:tcW w:w="924" w:type="pct"/>
            <w:vAlign w:val="center"/>
          </w:tcPr>
          <w:p w14:paraId="2F09559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S3 </w:t>
            </w:r>
            <w:r>
              <w:rPr>
                <w:rFonts w:ascii="Times New Roman" w:eastAsia="宋体" w:hAnsi="Times New Roman" w:cs="Times New Roman"/>
                <w:kern w:val="0"/>
                <w:szCs w:val="21"/>
              </w:rPr>
              <w:sym w:font="Wingdings 2" w:char="0052"/>
            </w:r>
          </w:p>
        </w:tc>
      </w:tr>
      <w:tr w:rsidR="002133E3" w14:paraId="75B0FCA8" w14:textId="77777777" w:rsidTr="009C2E4E">
        <w:trPr>
          <w:trHeight w:val="20"/>
          <w:jc w:val="center"/>
        </w:trPr>
        <w:tc>
          <w:tcPr>
            <w:tcW w:w="346" w:type="pct"/>
            <w:vMerge/>
            <w:vAlign w:val="center"/>
          </w:tcPr>
          <w:p w14:paraId="4E652F34"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1AD0C106" w14:textId="77777777" w:rsidR="002133E3" w:rsidRDefault="002133E3">
            <w:pPr>
              <w:jc w:val="center"/>
              <w:rPr>
                <w:rFonts w:ascii="Times New Roman" w:eastAsia="宋体" w:hAnsi="Times New Roman" w:cs="Times New Roman"/>
                <w:kern w:val="0"/>
                <w:szCs w:val="21"/>
              </w:rPr>
            </w:pPr>
          </w:p>
        </w:tc>
        <w:tc>
          <w:tcPr>
            <w:tcW w:w="642" w:type="pct"/>
            <w:vMerge w:val="restart"/>
            <w:vAlign w:val="center"/>
          </w:tcPr>
          <w:p w14:paraId="5589C29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地下水</w:t>
            </w:r>
          </w:p>
        </w:tc>
        <w:tc>
          <w:tcPr>
            <w:tcW w:w="1008" w:type="pct"/>
            <w:vAlign w:val="center"/>
          </w:tcPr>
          <w:p w14:paraId="20FA282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地下水功能敏感性</w:t>
            </w:r>
          </w:p>
        </w:tc>
        <w:tc>
          <w:tcPr>
            <w:tcW w:w="734" w:type="pct"/>
            <w:gridSpan w:val="3"/>
            <w:vAlign w:val="center"/>
          </w:tcPr>
          <w:p w14:paraId="37E2C36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G1 </w:t>
            </w:r>
            <w:r>
              <w:rPr>
                <w:rFonts w:ascii="Times New Roman" w:eastAsia="宋体" w:hAnsi="Times New Roman" w:cs="Times New Roman"/>
                <w:kern w:val="0"/>
                <w:szCs w:val="21"/>
              </w:rPr>
              <w:sym w:font="Wingdings 2" w:char="00A3"/>
            </w:r>
          </w:p>
        </w:tc>
        <w:tc>
          <w:tcPr>
            <w:tcW w:w="842" w:type="pct"/>
            <w:gridSpan w:val="2"/>
            <w:vAlign w:val="center"/>
          </w:tcPr>
          <w:p w14:paraId="116EDD2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G2 </w:t>
            </w:r>
            <w:r>
              <w:rPr>
                <w:rFonts w:ascii="Times New Roman" w:eastAsia="宋体" w:hAnsi="Times New Roman" w:cs="Times New Roman"/>
                <w:kern w:val="0"/>
                <w:szCs w:val="21"/>
              </w:rPr>
              <w:sym w:font="Wingdings 2" w:char="00A3"/>
            </w:r>
          </w:p>
        </w:tc>
        <w:tc>
          <w:tcPr>
            <w:tcW w:w="924" w:type="pct"/>
            <w:vAlign w:val="center"/>
          </w:tcPr>
          <w:p w14:paraId="6525C98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G3 </w:t>
            </w:r>
            <w:r>
              <w:rPr>
                <w:rFonts w:ascii="Times New Roman" w:eastAsia="宋体" w:hAnsi="Times New Roman" w:cs="Times New Roman"/>
                <w:kern w:val="0"/>
                <w:szCs w:val="21"/>
              </w:rPr>
              <w:sym w:font="Wingdings 2" w:char="0052"/>
            </w:r>
          </w:p>
        </w:tc>
      </w:tr>
      <w:tr w:rsidR="002133E3" w14:paraId="204EA668" w14:textId="77777777" w:rsidTr="009C2E4E">
        <w:trPr>
          <w:trHeight w:val="20"/>
          <w:jc w:val="center"/>
        </w:trPr>
        <w:tc>
          <w:tcPr>
            <w:tcW w:w="346" w:type="pct"/>
            <w:vMerge/>
            <w:vAlign w:val="center"/>
          </w:tcPr>
          <w:p w14:paraId="21D9B736"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385667F6" w14:textId="77777777" w:rsidR="002133E3" w:rsidRDefault="002133E3">
            <w:pPr>
              <w:jc w:val="center"/>
              <w:rPr>
                <w:rFonts w:ascii="Times New Roman" w:eastAsia="宋体" w:hAnsi="Times New Roman" w:cs="Times New Roman"/>
                <w:kern w:val="0"/>
                <w:szCs w:val="21"/>
              </w:rPr>
            </w:pPr>
          </w:p>
        </w:tc>
        <w:tc>
          <w:tcPr>
            <w:tcW w:w="642" w:type="pct"/>
            <w:vMerge/>
            <w:vAlign w:val="center"/>
          </w:tcPr>
          <w:p w14:paraId="65DF1DEF" w14:textId="77777777" w:rsidR="002133E3" w:rsidRDefault="002133E3">
            <w:pPr>
              <w:jc w:val="center"/>
              <w:rPr>
                <w:rFonts w:ascii="Times New Roman" w:eastAsia="宋体" w:hAnsi="Times New Roman" w:cs="Times New Roman"/>
                <w:kern w:val="0"/>
                <w:szCs w:val="21"/>
              </w:rPr>
            </w:pPr>
          </w:p>
        </w:tc>
        <w:tc>
          <w:tcPr>
            <w:tcW w:w="1008" w:type="pct"/>
            <w:vAlign w:val="center"/>
          </w:tcPr>
          <w:p w14:paraId="3B8C44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包气带防污性能</w:t>
            </w:r>
          </w:p>
        </w:tc>
        <w:tc>
          <w:tcPr>
            <w:tcW w:w="734" w:type="pct"/>
            <w:gridSpan w:val="3"/>
            <w:vAlign w:val="center"/>
          </w:tcPr>
          <w:p w14:paraId="0F24F5B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D1 </w:t>
            </w:r>
            <w:r>
              <w:rPr>
                <w:rFonts w:ascii="Times New Roman" w:eastAsia="宋体" w:hAnsi="Times New Roman" w:cs="Times New Roman"/>
                <w:kern w:val="0"/>
                <w:szCs w:val="21"/>
              </w:rPr>
              <w:sym w:font="Wingdings 2" w:char="00A3"/>
            </w:r>
          </w:p>
        </w:tc>
        <w:tc>
          <w:tcPr>
            <w:tcW w:w="842" w:type="pct"/>
            <w:gridSpan w:val="2"/>
            <w:vAlign w:val="center"/>
          </w:tcPr>
          <w:p w14:paraId="17F3731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D2 </w:t>
            </w:r>
            <w:r>
              <w:rPr>
                <w:rFonts w:ascii="Times New Roman" w:eastAsia="宋体" w:hAnsi="Times New Roman" w:cs="Times New Roman"/>
                <w:kern w:val="0"/>
                <w:szCs w:val="21"/>
              </w:rPr>
              <w:sym w:font="Wingdings 2" w:char="0052"/>
            </w:r>
          </w:p>
        </w:tc>
        <w:tc>
          <w:tcPr>
            <w:tcW w:w="924" w:type="pct"/>
            <w:vAlign w:val="center"/>
          </w:tcPr>
          <w:p w14:paraId="71929AE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D3 </w:t>
            </w:r>
            <w:r>
              <w:rPr>
                <w:rFonts w:ascii="Times New Roman" w:eastAsia="宋体" w:hAnsi="Times New Roman" w:cs="Times New Roman"/>
                <w:kern w:val="0"/>
                <w:szCs w:val="21"/>
              </w:rPr>
              <w:sym w:font="Wingdings 2" w:char="00A3"/>
            </w:r>
          </w:p>
        </w:tc>
      </w:tr>
      <w:tr w:rsidR="002133E3" w14:paraId="6E125DC9" w14:textId="77777777" w:rsidTr="009C2E4E">
        <w:trPr>
          <w:trHeight w:val="20"/>
          <w:jc w:val="center"/>
        </w:trPr>
        <w:tc>
          <w:tcPr>
            <w:tcW w:w="851" w:type="pct"/>
            <w:gridSpan w:val="2"/>
            <w:vMerge w:val="restart"/>
            <w:vAlign w:val="center"/>
          </w:tcPr>
          <w:p w14:paraId="0452A6B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物质及工艺系</w:t>
            </w:r>
            <w:r>
              <w:rPr>
                <w:rFonts w:ascii="Times New Roman" w:eastAsia="宋体" w:hAnsi="Times New Roman" w:cs="Times New Roman"/>
                <w:kern w:val="0"/>
                <w:szCs w:val="21"/>
              </w:rPr>
              <w:lastRenderedPageBreak/>
              <w:t>统危险性</w:t>
            </w:r>
          </w:p>
        </w:tc>
        <w:tc>
          <w:tcPr>
            <w:tcW w:w="642" w:type="pct"/>
            <w:vAlign w:val="center"/>
          </w:tcPr>
          <w:p w14:paraId="71D1B60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Q</w:t>
            </w:r>
            <w:r>
              <w:rPr>
                <w:rFonts w:ascii="Times New Roman" w:eastAsia="宋体" w:hAnsi="Times New Roman" w:cs="Times New Roman"/>
                <w:kern w:val="0"/>
                <w:szCs w:val="21"/>
              </w:rPr>
              <w:t>值</w:t>
            </w:r>
          </w:p>
        </w:tc>
        <w:tc>
          <w:tcPr>
            <w:tcW w:w="1008" w:type="pct"/>
            <w:vAlign w:val="center"/>
          </w:tcPr>
          <w:p w14:paraId="15403F2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Q</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sym w:font="Wingdings 2" w:char="00A3"/>
            </w:r>
          </w:p>
        </w:tc>
        <w:tc>
          <w:tcPr>
            <w:tcW w:w="734" w:type="pct"/>
            <w:gridSpan w:val="3"/>
            <w:vAlign w:val="center"/>
          </w:tcPr>
          <w:p w14:paraId="5CC449B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1≤Q</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10 </w:t>
            </w:r>
            <w:r>
              <w:rPr>
                <w:rFonts w:ascii="Times New Roman" w:eastAsia="宋体" w:hAnsi="Times New Roman" w:cs="Times New Roman"/>
                <w:kern w:val="0"/>
                <w:szCs w:val="21"/>
              </w:rPr>
              <w:sym w:font="Wingdings 2" w:char="0052"/>
            </w:r>
          </w:p>
        </w:tc>
        <w:tc>
          <w:tcPr>
            <w:tcW w:w="842" w:type="pct"/>
            <w:gridSpan w:val="2"/>
            <w:vAlign w:val="center"/>
          </w:tcPr>
          <w:p w14:paraId="714D877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10≤Q</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100 </w:t>
            </w:r>
            <w:r>
              <w:rPr>
                <w:rFonts w:ascii="Times New Roman" w:eastAsia="宋体" w:hAnsi="Times New Roman" w:cs="Times New Roman"/>
                <w:kern w:val="0"/>
                <w:szCs w:val="21"/>
              </w:rPr>
              <w:sym w:font="Wingdings 2" w:char="00A3"/>
            </w:r>
          </w:p>
        </w:tc>
        <w:tc>
          <w:tcPr>
            <w:tcW w:w="924" w:type="pct"/>
            <w:vAlign w:val="center"/>
          </w:tcPr>
          <w:p w14:paraId="4652B5B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Q</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100 </w:t>
            </w:r>
            <w:r>
              <w:rPr>
                <w:rFonts w:ascii="Times New Roman" w:eastAsia="宋体" w:hAnsi="Times New Roman" w:cs="Times New Roman"/>
                <w:kern w:val="0"/>
                <w:szCs w:val="21"/>
              </w:rPr>
              <w:sym w:font="Wingdings 2" w:char="00A3"/>
            </w:r>
            <w:r>
              <w:rPr>
                <w:rFonts w:ascii="Times New Roman" w:eastAsia="宋体" w:hAnsi="Times New Roman" w:cs="Times New Roman"/>
                <w:kern w:val="0"/>
                <w:szCs w:val="21"/>
              </w:rPr>
              <w:t xml:space="preserve"> </w:t>
            </w:r>
          </w:p>
        </w:tc>
      </w:tr>
      <w:tr w:rsidR="002133E3" w14:paraId="19569665" w14:textId="77777777" w:rsidTr="009C2E4E">
        <w:trPr>
          <w:trHeight w:val="20"/>
          <w:jc w:val="center"/>
        </w:trPr>
        <w:tc>
          <w:tcPr>
            <w:tcW w:w="851" w:type="pct"/>
            <w:gridSpan w:val="2"/>
            <w:vMerge/>
            <w:vAlign w:val="center"/>
          </w:tcPr>
          <w:p w14:paraId="51A4D138" w14:textId="77777777" w:rsidR="002133E3" w:rsidRDefault="002133E3">
            <w:pPr>
              <w:jc w:val="center"/>
              <w:rPr>
                <w:rFonts w:ascii="Times New Roman" w:eastAsia="宋体" w:hAnsi="Times New Roman" w:cs="Times New Roman"/>
                <w:kern w:val="0"/>
                <w:szCs w:val="21"/>
              </w:rPr>
            </w:pPr>
          </w:p>
        </w:tc>
        <w:tc>
          <w:tcPr>
            <w:tcW w:w="642" w:type="pct"/>
            <w:vAlign w:val="center"/>
          </w:tcPr>
          <w:p w14:paraId="3AFB2C1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M</w:t>
            </w:r>
            <w:r>
              <w:rPr>
                <w:rFonts w:ascii="Times New Roman" w:eastAsia="宋体" w:hAnsi="Times New Roman" w:cs="Times New Roman"/>
                <w:kern w:val="0"/>
                <w:szCs w:val="21"/>
              </w:rPr>
              <w:t>值</w:t>
            </w:r>
          </w:p>
        </w:tc>
        <w:tc>
          <w:tcPr>
            <w:tcW w:w="1008" w:type="pct"/>
            <w:vAlign w:val="center"/>
          </w:tcPr>
          <w:p w14:paraId="50D6FA32"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M1 </w:t>
            </w:r>
            <w:r>
              <w:rPr>
                <w:rFonts w:ascii="Times New Roman" w:eastAsia="宋体" w:hAnsi="Times New Roman" w:cs="Times New Roman"/>
                <w:kern w:val="0"/>
                <w:szCs w:val="21"/>
              </w:rPr>
              <w:sym w:font="Wingdings 2" w:char="00A3"/>
            </w:r>
          </w:p>
        </w:tc>
        <w:tc>
          <w:tcPr>
            <w:tcW w:w="734" w:type="pct"/>
            <w:gridSpan w:val="3"/>
            <w:vAlign w:val="center"/>
          </w:tcPr>
          <w:p w14:paraId="62491E7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M2 </w:t>
            </w:r>
            <w:r>
              <w:rPr>
                <w:rFonts w:ascii="Times New Roman" w:eastAsia="宋体" w:hAnsi="Times New Roman" w:cs="Times New Roman"/>
                <w:kern w:val="0"/>
                <w:szCs w:val="21"/>
              </w:rPr>
              <w:sym w:font="Wingdings 2" w:char="00A3"/>
            </w:r>
          </w:p>
        </w:tc>
        <w:tc>
          <w:tcPr>
            <w:tcW w:w="842" w:type="pct"/>
            <w:gridSpan w:val="2"/>
            <w:vAlign w:val="center"/>
          </w:tcPr>
          <w:p w14:paraId="2A228DF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M3 </w:t>
            </w:r>
            <w:r>
              <w:rPr>
                <w:rFonts w:ascii="Times New Roman" w:eastAsia="宋体" w:hAnsi="Times New Roman" w:cs="Times New Roman"/>
                <w:kern w:val="0"/>
                <w:szCs w:val="21"/>
              </w:rPr>
              <w:sym w:font="Wingdings 2" w:char="00A3"/>
            </w:r>
          </w:p>
        </w:tc>
        <w:tc>
          <w:tcPr>
            <w:tcW w:w="924" w:type="pct"/>
            <w:vAlign w:val="center"/>
          </w:tcPr>
          <w:p w14:paraId="0AAC918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M4 </w:t>
            </w:r>
            <w:r>
              <w:rPr>
                <w:rFonts w:ascii="Times New Roman" w:eastAsia="宋体" w:hAnsi="Times New Roman" w:cs="Times New Roman"/>
                <w:kern w:val="0"/>
                <w:szCs w:val="21"/>
              </w:rPr>
              <w:sym w:font="Wingdings 2" w:char="0052"/>
            </w:r>
          </w:p>
        </w:tc>
      </w:tr>
      <w:tr w:rsidR="002133E3" w14:paraId="323BCD2C" w14:textId="77777777" w:rsidTr="009C2E4E">
        <w:trPr>
          <w:trHeight w:val="20"/>
          <w:jc w:val="center"/>
        </w:trPr>
        <w:tc>
          <w:tcPr>
            <w:tcW w:w="851" w:type="pct"/>
            <w:gridSpan w:val="2"/>
            <w:vMerge/>
            <w:vAlign w:val="center"/>
          </w:tcPr>
          <w:p w14:paraId="29D471B1" w14:textId="77777777" w:rsidR="002133E3" w:rsidRDefault="002133E3">
            <w:pPr>
              <w:jc w:val="center"/>
              <w:rPr>
                <w:rFonts w:ascii="Times New Roman" w:eastAsia="宋体" w:hAnsi="Times New Roman" w:cs="Times New Roman"/>
                <w:kern w:val="0"/>
                <w:szCs w:val="21"/>
              </w:rPr>
            </w:pPr>
          </w:p>
        </w:tc>
        <w:tc>
          <w:tcPr>
            <w:tcW w:w="642" w:type="pct"/>
            <w:vAlign w:val="center"/>
          </w:tcPr>
          <w:p w14:paraId="561A545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P</w:t>
            </w:r>
            <w:r>
              <w:rPr>
                <w:rFonts w:ascii="Times New Roman" w:eastAsia="宋体" w:hAnsi="Times New Roman" w:cs="Times New Roman"/>
                <w:kern w:val="0"/>
                <w:szCs w:val="21"/>
              </w:rPr>
              <w:t>值</w:t>
            </w:r>
          </w:p>
        </w:tc>
        <w:tc>
          <w:tcPr>
            <w:tcW w:w="1008" w:type="pct"/>
            <w:vAlign w:val="center"/>
          </w:tcPr>
          <w:p w14:paraId="4B225A8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P1 </w:t>
            </w:r>
            <w:r>
              <w:rPr>
                <w:rFonts w:ascii="Times New Roman" w:eastAsia="宋体" w:hAnsi="Times New Roman" w:cs="Times New Roman"/>
                <w:kern w:val="0"/>
                <w:szCs w:val="21"/>
              </w:rPr>
              <w:sym w:font="Wingdings 2" w:char="00A3"/>
            </w:r>
          </w:p>
        </w:tc>
        <w:tc>
          <w:tcPr>
            <w:tcW w:w="734" w:type="pct"/>
            <w:gridSpan w:val="3"/>
            <w:vAlign w:val="center"/>
          </w:tcPr>
          <w:p w14:paraId="7FF8E85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P2 </w:t>
            </w:r>
            <w:r>
              <w:rPr>
                <w:rFonts w:ascii="Times New Roman" w:eastAsia="宋体" w:hAnsi="Times New Roman" w:cs="Times New Roman"/>
                <w:kern w:val="0"/>
                <w:szCs w:val="21"/>
              </w:rPr>
              <w:sym w:font="Wingdings 2" w:char="00A3"/>
            </w:r>
          </w:p>
        </w:tc>
        <w:tc>
          <w:tcPr>
            <w:tcW w:w="842" w:type="pct"/>
            <w:gridSpan w:val="2"/>
            <w:vAlign w:val="center"/>
          </w:tcPr>
          <w:p w14:paraId="0AF5CA3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P3 </w:t>
            </w:r>
            <w:r>
              <w:rPr>
                <w:rFonts w:ascii="Times New Roman" w:eastAsia="宋体" w:hAnsi="Times New Roman" w:cs="Times New Roman"/>
                <w:kern w:val="0"/>
                <w:szCs w:val="21"/>
              </w:rPr>
              <w:sym w:font="Wingdings 2" w:char="00A3"/>
            </w:r>
          </w:p>
        </w:tc>
        <w:tc>
          <w:tcPr>
            <w:tcW w:w="924" w:type="pct"/>
            <w:vAlign w:val="center"/>
          </w:tcPr>
          <w:p w14:paraId="125A6E0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P4 </w:t>
            </w:r>
            <w:r>
              <w:rPr>
                <w:rFonts w:ascii="Times New Roman" w:eastAsia="宋体" w:hAnsi="Times New Roman" w:cs="Times New Roman"/>
                <w:kern w:val="0"/>
                <w:szCs w:val="21"/>
              </w:rPr>
              <w:sym w:font="Wingdings 2" w:char="0052"/>
            </w:r>
          </w:p>
        </w:tc>
      </w:tr>
      <w:tr w:rsidR="002133E3" w14:paraId="3430CE76" w14:textId="77777777" w:rsidTr="009C2E4E">
        <w:trPr>
          <w:trHeight w:val="20"/>
          <w:jc w:val="center"/>
        </w:trPr>
        <w:tc>
          <w:tcPr>
            <w:tcW w:w="851" w:type="pct"/>
            <w:gridSpan w:val="2"/>
            <w:vMerge w:val="restart"/>
            <w:vAlign w:val="center"/>
          </w:tcPr>
          <w:p w14:paraId="3B3AE78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环境敏感程度</w:t>
            </w:r>
          </w:p>
        </w:tc>
        <w:tc>
          <w:tcPr>
            <w:tcW w:w="642" w:type="pct"/>
            <w:vAlign w:val="center"/>
          </w:tcPr>
          <w:p w14:paraId="5DD0F80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1008" w:type="pct"/>
            <w:vAlign w:val="center"/>
          </w:tcPr>
          <w:p w14:paraId="34C7805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E1 </w:t>
            </w:r>
            <w:r>
              <w:rPr>
                <w:rFonts w:ascii="Times New Roman" w:eastAsia="宋体" w:hAnsi="Times New Roman" w:cs="Times New Roman"/>
                <w:kern w:val="0"/>
                <w:szCs w:val="21"/>
              </w:rPr>
              <w:sym w:font="Wingdings 2" w:char="0052"/>
            </w:r>
          </w:p>
        </w:tc>
        <w:tc>
          <w:tcPr>
            <w:tcW w:w="1113" w:type="pct"/>
            <w:gridSpan w:val="4"/>
            <w:vAlign w:val="center"/>
          </w:tcPr>
          <w:p w14:paraId="6493E0C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E2 </w:t>
            </w:r>
            <w:r>
              <w:rPr>
                <w:rFonts w:ascii="Times New Roman" w:eastAsia="宋体" w:hAnsi="Times New Roman" w:cs="Times New Roman"/>
                <w:kern w:val="0"/>
                <w:szCs w:val="21"/>
              </w:rPr>
              <w:sym w:font="Wingdings 2" w:char="00A3"/>
            </w:r>
          </w:p>
        </w:tc>
        <w:tc>
          <w:tcPr>
            <w:tcW w:w="1387" w:type="pct"/>
            <w:gridSpan w:val="2"/>
            <w:vAlign w:val="center"/>
          </w:tcPr>
          <w:p w14:paraId="1823E5B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E3 </w:t>
            </w:r>
            <w:r>
              <w:rPr>
                <w:rFonts w:ascii="Times New Roman" w:eastAsia="宋体" w:hAnsi="Times New Roman" w:cs="Times New Roman"/>
                <w:kern w:val="0"/>
                <w:szCs w:val="21"/>
              </w:rPr>
              <w:sym w:font="Wingdings 2" w:char="00A3"/>
            </w:r>
          </w:p>
        </w:tc>
      </w:tr>
      <w:tr w:rsidR="002133E3" w14:paraId="226042E4" w14:textId="77777777" w:rsidTr="009C2E4E">
        <w:trPr>
          <w:trHeight w:val="20"/>
          <w:jc w:val="center"/>
        </w:trPr>
        <w:tc>
          <w:tcPr>
            <w:tcW w:w="851" w:type="pct"/>
            <w:gridSpan w:val="2"/>
            <w:vMerge/>
            <w:vAlign w:val="center"/>
          </w:tcPr>
          <w:p w14:paraId="4F6D600E" w14:textId="77777777" w:rsidR="002133E3" w:rsidRDefault="002133E3">
            <w:pPr>
              <w:jc w:val="center"/>
              <w:rPr>
                <w:rFonts w:ascii="Times New Roman" w:eastAsia="宋体" w:hAnsi="Times New Roman" w:cs="Times New Roman"/>
                <w:kern w:val="0"/>
                <w:szCs w:val="21"/>
              </w:rPr>
            </w:pPr>
          </w:p>
        </w:tc>
        <w:tc>
          <w:tcPr>
            <w:tcW w:w="642" w:type="pct"/>
            <w:vAlign w:val="center"/>
          </w:tcPr>
          <w:p w14:paraId="320AD51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地表水</w:t>
            </w:r>
          </w:p>
        </w:tc>
        <w:tc>
          <w:tcPr>
            <w:tcW w:w="1008" w:type="pct"/>
            <w:vAlign w:val="center"/>
          </w:tcPr>
          <w:p w14:paraId="649DFC0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E1 </w:t>
            </w:r>
            <w:r>
              <w:rPr>
                <w:rFonts w:ascii="Times New Roman" w:eastAsia="宋体" w:hAnsi="Times New Roman" w:cs="Times New Roman"/>
                <w:kern w:val="0"/>
                <w:szCs w:val="21"/>
              </w:rPr>
              <w:sym w:font="Wingdings 2" w:char="00A3"/>
            </w:r>
          </w:p>
        </w:tc>
        <w:tc>
          <w:tcPr>
            <w:tcW w:w="1113" w:type="pct"/>
            <w:gridSpan w:val="4"/>
            <w:vAlign w:val="center"/>
          </w:tcPr>
          <w:p w14:paraId="1BDA20C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E2 </w:t>
            </w:r>
            <w:r>
              <w:rPr>
                <w:rFonts w:ascii="Times New Roman" w:eastAsia="宋体" w:hAnsi="Times New Roman" w:cs="Times New Roman"/>
                <w:kern w:val="0"/>
                <w:szCs w:val="21"/>
              </w:rPr>
              <w:sym w:font="Wingdings 2" w:char="0052"/>
            </w:r>
          </w:p>
        </w:tc>
        <w:tc>
          <w:tcPr>
            <w:tcW w:w="1387" w:type="pct"/>
            <w:gridSpan w:val="2"/>
            <w:vAlign w:val="center"/>
          </w:tcPr>
          <w:p w14:paraId="1A28981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E3 </w:t>
            </w:r>
            <w:r>
              <w:rPr>
                <w:rFonts w:ascii="Times New Roman" w:eastAsia="宋体" w:hAnsi="Times New Roman" w:cs="Times New Roman"/>
                <w:kern w:val="0"/>
                <w:szCs w:val="21"/>
              </w:rPr>
              <w:sym w:font="Wingdings 2" w:char="00A3"/>
            </w:r>
          </w:p>
        </w:tc>
      </w:tr>
      <w:tr w:rsidR="002133E3" w14:paraId="41D3DA39" w14:textId="77777777" w:rsidTr="009C2E4E">
        <w:trPr>
          <w:trHeight w:val="20"/>
          <w:jc w:val="center"/>
        </w:trPr>
        <w:tc>
          <w:tcPr>
            <w:tcW w:w="851" w:type="pct"/>
            <w:gridSpan w:val="2"/>
            <w:vMerge/>
            <w:vAlign w:val="center"/>
          </w:tcPr>
          <w:p w14:paraId="61F2DAB3" w14:textId="77777777" w:rsidR="002133E3" w:rsidRDefault="002133E3">
            <w:pPr>
              <w:jc w:val="center"/>
              <w:rPr>
                <w:rFonts w:ascii="Times New Roman" w:eastAsia="宋体" w:hAnsi="Times New Roman" w:cs="Times New Roman"/>
                <w:kern w:val="0"/>
                <w:szCs w:val="21"/>
              </w:rPr>
            </w:pPr>
          </w:p>
        </w:tc>
        <w:tc>
          <w:tcPr>
            <w:tcW w:w="642" w:type="pct"/>
            <w:vAlign w:val="center"/>
          </w:tcPr>
          <w:p w14:paraId="3CBCF5D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地下水</w:t>
            </w:r>
          </w:p>
        </w:tc>
        <w:tc>
          <w:tcPr>
            <w:tcW w:w="1008" w:type="pct"/>
            <w:vAlign w:val="center"/>
          </w:tcPr>
          <w:p w14:paraId="3831349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E1 </w:t>
            </w:r>
            <w:r>
              <w:rPr>
                <w:rFonts w:ascii="Times New Roman" w:eastAsia="宋体" w:hAnsi="Times New Roman" w:cs="Times New Roman"/>
                <w:kern w:val="0"/>
                <w:szCs w:val="21"/>
              </w:rPr>
              <w:sym w:font="Wingdings 2" w:char="00A3"/>
            </w:r>
          </w:p>
        </w:tc>
        <w:tc>
          <w:tcPr>
            <w:tcW w:w="1113" w:type="pct"/>
            <w:gridSpan w:val="4"/>
            <w:vAlign w:val="center"/>
          </w:tcPr>
          <w:p w14:paraId="52BC6B9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E2 </w:t>
            </w:r>
            <w:r>
              <w:rPr>
                <w:rFonts w:ascii="Times New Roman" w:eastAsia="宋体" w:hAnsi="Times New Roman" w:cs="Times New Roman"/>
                <w:kern w:val="0"/>
                <w:szCs w:val="21"/>
              </w:rPr>
              <w:sym w:font="Wingdings 2" w:char="00A3"/>
            </w:r>
          </w:p>
        </w:tc>
        <w:tc>
          <w:tcPr>
            <w:tcW w:w="1387" w:type="pct"/>
            <w:gridSpan w:val="2"/>
            <w:vAlign w:val="center"/>
          </w:tcPr>
          <w:p w14:paraId="2179343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E3 </w:t>
            </w:r>
            <w:r>
              <w:rPr>
                <w:rFonts w:ascii="Times New Roman" w:eastAsia="宋体" w:hAnsi="Times New Roman" w:cs="Times New Roman"/>
                <w:kern w:val="0"/>
                <w:szCs w:val="21"/>
              </w:rPr>
              <w:sym w:font="Wingdings 2" w:char="0052"/>
            </w:r>
          </w:p>
        </w:tc>
      </w:tr>
      <w:tr w:rsidR="002133E3" w14:paraId="4574E7D7" w14:textId="77777777" w:rsidTr="009C2E4E">
        <w:trPr>
          <w:trHeight w:val="20"/>
          <w:jc w:val="center"/>
        </w:trPr>
        <w:tc>
          <w:tcPr>
            <w:tcW w:w="851" w:type="pct"/>
            <w:gridSpan w:val="2"/>
            <w:vAlign w:val="center"/>
          </w:tcPr>
          <w:p w14:paraId="77678CC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环境风险潜势</w:t>
            </w:r>
          </w:p>
        </w:tc>
        <w:tc>
          <w:tcPr>
            <w:tcW w:w="642" w:type="pct"/>
            <w:vAlign w:val="center"/>
          </w:tcPr>
          <w:p w14:paraId="5A919B5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IV</w:t>
            </w:r>
            <w:r>
              <w:rPr>
                <w:rFonts w:ascii="Times New Roman" w:eastAsia="宋体" w:hAnsi="Times New Roman" w:cs="Times New Roman"/>
                <w:kern w:val="0"/>
                <w:szCs w:val="21"/>
                <w:vertAlign w:val="superscript"/>
              </w:rPr>
              <w:t>+</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A3"/>
            </w:r>
          </w:p>
        </w:tc>
        <w:tc>
          <w:tcPr>
            <w:tcW w:w="1008" w:type="pct"/>
            <w:vAlign w:val="center"/>
          </w:tcPr>
          <w:p w14:paraId="1F01570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IV </w:t>
            </w:r>
            <w:r>
              <w:rPr>
                <w:rFonts w:ascii="Times New Roman" w:eastAsia="宋体" w:hAnsi="Times New Roman" w:cs="Times New Roman"/>
                <w:kern w:val="0"/>
                <w:szCs w:val="21"/>
              </w:rPr>
              <w:sym w:font="Wingdings 2" w:char="00A3"/>
            </w:r>
          </w:p>
        </w:tc>
        <w:tc>
          <w:tcPr>
            <w:tcW w:w="734" w:type="pct"/>
            <w:gridSpan w:val="3"/>
            <w:vAlign w:val="center"/>
          </w:tcPr>
          <w:p w14:paraId="1173D1F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III</w:t>
            </w:r>
            <w:r>
              <w:rPr>
                <w:rFonts w:ascii="Times New Roman" w:eastAsia="宋体" w:hAnsi="Times New Roman" w:cs="Times New Roman"/>
                <w:kern w:val="0"/>
                <w:szCs w:val="21"/>
              </w:rPr>
              <w:sym w:font="Wingdings 2" w:char="0052"/>
            </w:r>
          </w:p>
        </w:tc>
        <w:tc>
          <w:tcPr>
            <w:tcW w:w="842" w:type="pct"/>
            <w:gridSpan w:val="2"/>
            <w:vAlign w:val="center"/>
          </w:tcPr>
          <w:p w14:paraId="234B2D0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II </w:t>
            </w:r>
            <w:r>
              <w:rPr>
                <w:rFonts w:ascii="Times New Roman" w:eastAsia="宋体" w:hAnsi="Times New Roman" w:cs="Times New Roman"/>
                <w:kern w:val="0"/>
                <w:szCs w:val="21"/>
              </w:rPr>
              <w:sym w:font="Wingdings 2" w:char="0052"/>
            </w:r>
          </w:p>
        </w:tc>
        <w:tc>
          <w:tcPr>
            <w:tcW w:w="924" w:type="pct"/>
            <w:vAlign w:val="center"/>
          </w:tcPr>
          <w:p w14:paraId="160B2AC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I </w:t>
            </w:r>
            <w:r>
              <w:rPr>
                <w:rFonts w:ascii="Times New Roman" w:eastAsia="宋体" w:hAnsi="Times New Roman" w:cs="Times New Roman"/>
                <w:kern w:val="0"/>
                <w:szCs w:val="21"/>
              </w:rPr>
              <w:sym w:font="Wingdings 2" w:char="0052"/>
            </w:r>
          </w:p>
        </w:tc>
      </w:tr>
      <w:tr w:rsidR="002133E3" w14:paraId="6294DC97" w14:textId="77777777" w:rsidTr="009C2E4E">
        <w:trPr>
          <w:trHeight w:val="20"/>
          <w:jc w:val="center"/>
        </w:trPr>
        <w:tc>
          <w:tcPr>
            <w:tcW w:w="851" w:type="pct"/>
            <w:gridSpan w:val="2"/>
            <w:vAlign w:val="center"/>
          </w:tcPr>
          <w:p w14:paraId="30EEEAE3"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评价等级</w:t>
            </w:r>
          </w:p>
        </w:tc>
        <w:tc>
          <w:tcPr>
            <w:tcW w:w="1650" w:type="pct"/>
            <w:gridSpan w:val="2"/>
            <w:vAlign w:val="center"/>
          </w:tcPr>
          <w:p w14:paraId="58B5E0C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r>
              <w:rPr>
                <w:rFonts w:ascii="Times New Roman" w:eastAsia="宋体" w:hAnsi="Times New Roman" w:cs="Times New Roman"/>
                <w:kern w:val="0"/>
                <w:szCs w:val="21"/>
              </w:rPr>
              <w:sym w:font="Wingdings 2" w:char="00A3"/>
            </w:r>
          </w:p>
        </w:tc>
        <w:tc>
          <w:tcPr>
            <w:tcW w:w="734" w:type="pct"/>
            <w:gridSpan w:val="3"/>
            <w:vAlign w:val="center"/>
          </w:tcPr>
          <w:p w14:paraId="547C213B"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r>
              <w:rPr>
                <w:rFonts w:ascii="Times New Roman" w:eastAsia="宋体" w:hAnsi="Times New Roman" w:cs="Times New Roman"/>
                <w:kern w:val="0"/>
                <w:szCs w:val="21"/>
              </w:rPr>
              <w:sym w:font="Wingdings 2" w:char="0052"/>
            </w:r>
          </w:p>
        </w:tc>
        <w:tc>
          <w:tcPr>
            <w:tcW w:w="842" w:type="pct"/>
            <w:gridSpan w:val="2"/>
            <w:vAlign w:val="center"/>
          </w:tcPr>
          <w:p w14:paraId="3913BB7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r>
              <w:rPr>
                <w:rFonts w:ascii="Times New Roman" w:eastAsia="宋体" w:hAnsi="Times New Roman" w:cs="Times New Roman"/>
                <w:kern w:val="0"/>
                <w:szCs w:val="21"/>
              </w:rPr>
              <w:sym w:font="Wingdings 2" w:char="0052"/>
            </w:r>
          </w:p>
        </w:tc>
        <w:tc>
          <w:tcPr>
            <w:tcW w:w="924" w:type="pct"/>
            <w:vAlign w:val="center"/>
          </w:tcPr>
          <w:p w14:paraId="450B6E5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简单分析</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r>
      <w:tr w:rsidR="002133E3" w14:paraId="0F1BF59E" w14:textId="77777777" w:rsidTr="009C2E4E">
        <w:trPr>
          <w:trHeight w:val="20"/>
          <w:jc w:val="center"/>
        </w:trPr>
        <w:tc>
          <w:tcPr>
            <w:tcW w:w="346" w:type="pct"/>
            <w:vMerge w:val="restart"/>
            <w:vAlign w:val="center"/>
          </w:tcPr>
          <w:p w14:paraId="03DF76A9"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风</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险</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识</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别</w:t>
            </w:r>
          </w:p>
        </w:tc>
        <w:tc>
          <w:tcPr>
            <w:tcW w:w="505" w:type="pct"/>
            <w:vAlign w:val="center"/>
          </w:tcPr>
          <w:p w14:paraId="2ED7D0C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物质危险性</w:t>
            </w:r>
          </w:p>
        </w:tc>
        <w:tc>
          <w:tcPr>
            <w:tcW w:w="2161" w:type="pct"/>
            <w:gridSpan w:val="3"/>
            <w:vAlign w:val="center"/>
          </w:tcPr>
          <w:p w14:paraId="2871B35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有毒有害</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c>
          <w:tcPr>
            <w:tcW w:w="1988" w:type="pct"/>
            <w:gridSpan w:val="5"/>
            <w:vAlign w:val="center"/>
          </w:tcPr>
          <w:p w14:paraId="2CFA084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易燃易爆</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r>
      <w:tr w:rsidR="002133E3" w14:paraId="1E344ADB" w14:textId="77777777" w:rsidTr="009C2E4E">
        <w:trPr>
          <w:trHeight w:val="20"/>
          <w:jc w:val="center"/>
        </w:trPr>
        <w:tc>
          <w:tcPr>
            <w:tcW w:w="346" w:type="pct"/>
            <w:vMerge/>
            <w:vAlign w:val="center"/>
          </w:tcPr>
          <w:p w14:paraId="3EAA6ADE" w14:textId="77777777" w:rsidR="002133E3" w:rsidRDefault="002133E3">
            <w:pPr>
              <w:jc w:val="center"/>
              <w:rPr>
                <w:rFonts w:ascii="Times New Roman" w:eastAsia="宋体" w:hAnsi="Times New Roman" w:cs="Times New Roman"/>
                <w:kern w:val="0"/>
                <w:szCs w:val="21"/>
              </w:rPr>
            </w:pPr>
          </w:p>
        </w:tc>
        <w:tc>
          <w:tcPr>
            <w:tcW w:w="505" w:type="pct"/>
            <w:vAlign w:val="center"/>
          </w:tcPr>
          <w:p w14:paraId="2AD2908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环境风险类型</w:t>
            </w:r>
          </w:p>
        </w:tc>
        <w:tc>
          <w:tcPr>
            <w:tcW w:w="1650" w:type="pct"/>
            <w:gridSpan w:val="2"/>
            <w:vAlign w:val="center"/>
          </w:tcPr>
          <w:p w14:paraId="6AFF68A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泄漏</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c>
          <w:tcPr>
            <w:tcW w:w="2499" w:type="pct"/>
            <w:gridSpan w:val="6"/>
            <w:vAlign w:val="center"/>
          </w:tcPr>
          <w:p w14:paraId="635DBD4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火灾、爆炸引发伴生</w:t>
            </w:r>
            <w:r>
              <w:rPr>
                <w:rFonts w:ascii="Times New Roman" w:eastAsia="宋体" w:hAnsi="Times New Roman" w:cs="Times New Roman"/>
                <w:kern w:val="0"/>
                <w:szCs w:val="21"/>
              </w:rPr>
              <w:t>/</w:t>
            </w:r>
            <w:r>
              <w:rPr>
                <w:rFonts w:ascii="Times New Roman" w:eastAsia="宋体" w:hAnsi="Times New Roman" w:cs="Times New Roman"/>
                <w:kern w:val="0"/>
                <w:szCs w:val="21"/>
              </w:rPr>
              <w:t>次生污染物排放</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r>
      <w:tr w:rsidR="002133E3" w14:paraId="687EC872" w14:textId="77777777" w:rsidTr="009C2E4E">
        <w:trPr>
          <w:trHeight w:val="20"/>
          <w:jc w:val="center"/>
        </w:trPr>
        <w:tc>
          <w:tcPr>
            <w:tcW w:w="346" w:type="pct"/>
            <w:vMerge/>
            <w:vAlign w:val="center"/>
          </w:tcPr>
          <w:p w14:paraId="57286E27" w14:textId="77777777" w:rsidR="002133E3" w:rsidRDefault="002133E3">
            <w:pPr>
              <w:jc w:val="center"/>
              <w:rPr>
                <w:rFonts w:ascii="Times New Roman" w:eastAsia="宋体" w:hAnsi="Times New Roman" w:cs="Times New Roman"/>
                <w:kern w:val="0"/>
                <w:szCs w:val="21"/>
              </w:rPr>
            </w:pPr>
          </w:p>
        </w:tc>
        <w:tc>
          <w:tcPr>
            <w:tcW w:w="505" w:type="pct"/>
            <w:vAlign w:val="center"/>
          </w:tcPr>
          <w:p w14:paraId="4516A9A8"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影响途径</w:t>
            </w:r>
          </w:p>
        </w:tc>
        <w:tc>
          <w:tcPr>
            <w:tcW w:w="1650" w:type="pct"/>
            <w:gridSpan w:val="2"/>
            <w:vAlign w:val="center"/>
          </w:tcPr>
          <w:p w14:paraId="1177638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c>
          <w:tcPr>
            <w:tcW w:w="1113" w:type="pct"/>
            <w:gridSpan w:val="4"/>
            <w:vAlign w:val="center"/>
          </w:tcPr>
          <w:p w14:paraId="2C330A0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地表水</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c>
          <w:tcPr>
            <w:tcW w:w="1387" w:type="pct"/>
            <w:gridSpan w:val="2"/>
            <w:vAlign w:val="center"/>
          </w:tcPr>
          <w:p w14:paraId="3D14F81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地下水</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r>
      <w:tr w:rsidR="002133E3" w14:paraId="4201BFCB" w14:textId="77777777" w:rsidTr="009C2E4E">
        <w:trPr>
          <w:trHeight w:val="20"/>
          <w:jc w:val="center"/>
        </w:trPr>
        <w:tc>
          <w:tcPr>
            <w:tcW w:w="851" w:type="pct"/>
            <w:gridSpan w:val="2"/>
            <w:vAlign w:val="center"/>
          </w:tcPr>
          <w:p w14:paraId="62DCB6C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事故情形分析</w:t>
            </w:r>
          </w:p>
        </w:tc>
        <w:tc>
          <w:tcPr>
            <w:tcW w:w="642" w:type="pct"/>
            <w:vAlign w:val="center"/>
          </w:tcPr>
          <w:p w14:paraId="485D93D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源强设定方法</w:t>
            </w:r>
          </w:p>
        </w:tc>
        <w:tc>
          <w:tcPr>
            <w:tcW w:w="1008" w:type="pct"/>
            <w:vAlign w:val="center"/>
          </w:tcPr>
          <w:p w14:paraId="48FD6FE1"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计算法</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c>
          <w:tcPr>
            <w:tcW w:w="1113" w:type="pct"/>
            <w:gridSpan w:val="4"/>
            <w:vAlign w:val="center"/>
          </w:tcPr>
          <w:p w14:paraId="3DB9DD3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经验估算法</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A3"/>
            </w:r>
          </w:p>
        </w:tc>
        <w:tc>
          <w:tcPr>
            <w:tcW w:w="1387" w:type="pct"/>
            <w:gridSpan w:val="2"/>
            <w:vAlign w:val="center"/>
          </w:tcPr>
          <w:p w14:paraId="1E69201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其他估算法</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52"/>
            </w:r>
          </w:p>
        </w:tc>
      </w:tr>
      <w:tr w:rsidR="002133E3" w14:paraId="6B4386C8" w14:textId="77777777" w:rsidTr="009C2E4E">
        <w:trPr>
          <w:trHeight w:val="20"/>
          <w:jc w:val="center"/>
        </w:trPr>
        <w:tc>
          <w:tcPr>
            <w:tcW w:w="346" w:type="pct"/>
            <w:vMerge w:val="restart"/>
            <w:vAlign w:val="center"/>
          </w:tcPr>
          <w:p w14:paraId="58279E9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风</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险</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预</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测</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与</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评</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价</w:t>
            </w:r>
          </w:p>
        </w:tc>
        <w:tc>
          <w:tcPr>
            <w:tcW w:w="505" w:type="pct"/>
            <w:vMerge w:val="restart"/>
            <w:vAlign w:val="center"/>
          </w:tcPr>
          <w:p w14:paraId="02FD055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大气</w:t>
            </w:r>
          </w:p>
        </w:tc>
        <w:tc>
          <w:tcPr>
            <w:tcW w:w="642" w:type="pct"/>
            <w:vAlign w:val="center"/>
          </w:tcPr>
          <w:p w14:paraId="3FC3A53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预测模型</w:t>
            </w:r>
          </w:p>
        </w:tc>
        <w:tc>
          <w:tcPr>
            <w:tcW w:w="1008" w:type="pct"/>
            <w:vAlign w:val="center"/>
          </w:tcPr>
          <w:p w14:paraId="4FA50B9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SLAB </w:t>
            </w:r>
            <w:r>
              <w:rPr>
                <w:rFonts w:ascii="Times New Roman" w:eastAsia="宋体" w:hAnsi="Times New Roman" w:cs="Times New Roman"/>
                <w:kern w:val="0"/>
                <w:szCs w:val="21"/>
              </w:rPr>
              <w:sym w:font="Wingdings 2" w:char="00A3"/>
            </w:r>
          </w:p>
        </w:tc>
        <w:tc>
          <w:tcPr>
            <w:tcW w:w="1113" w:type="pct"/>
            <w:gridSpan w:val="4"/>
            <w:vAlign w:val="center"/>
          </w:tcPr>
          <w:p w14:paraId="09B97E17"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AFTOX </w:t>
            </w:r>
            <w:r>
              <w:rPr>
                <w:rFonts w:ascii="Times New Roman" w:eastAsia="宋体" w:hAnsi="Times New Roman" w:cs="Times New Roman"/>
                <w:kern w:val="0"/>
                <w:szCs w:val="21"/>
              </w:rPr>
              <w:sym w:font="Wingdings 2" w:char="0052"/>
            </w:r>
          </w:p>
        </w:tc>
        <w:tc>
          <w:tcPr>
            <w:tcW w:w="1387" w:type="pct"/>
            <w:gridSpan w:val="2"/>
            <w:vAlign w:val="center"/>
          </w:tcPr>
          <w:p w14:paraId="2C26E59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其他</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sym w:font="Wingdings 2" w:char="00A3"/>
            </w:r>
          </w:p>
        </w:tc>
      </w:tr>
      <w:tr w:rsidR="002133E3" w14:paraId="7BC473A1" w14:textId="77777777" w:rsidTr="009C2E4E">
        <w:trPr>
          <w:trHeight w:val="20"/>
          <w:jc w:val="center"/>
        </w:trPr>
        <w:tc>
          <w:tcPr>
            <w:tcW w:w="346" w:type="pct"/>
            <w:vMerge/>
            <w:vAlign w:val="center"/>
          </w:tcPr>
          <w:p w14:paraId="1896A331"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65FF3E14" w14:textId="77777777" w:rsidR="002133E3" w:rsidRDefault="002133E3">
            <w:pPr>
              <w:jc w:val="center"/>
              <w:rPr>
                <w:rFonts w:ascii="Times New Roman" w:eastAsia="宋体" w:hAnsi="Times New Roman" w:cs="Times New Roman"/>
                <w:kern w:val="0"/>
                <w:szCs w:val="21"/>
              </w:rPr>
            </w:pPr>
          </w:p>
        </w:tc>
        <w:tc>
          <w:tcPr>
            <w:tcW w:w="642" w:type="pct"/>
            <w:vMerge w:val="restart"/>
            <w:vAlign w:val="center"/>
          </w:tcPr>
          <w:p w14:paraId="0BFD76B6"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预测结果</w:t>
            </w:r>
          </w:p>
        </w:tc>
        <w:tc>
          <w:tcPr>
            <w:tcW w:w="3507" w:type="pct"/>
            <w:gridSpan w:val="7"/>
            <w:vAlign w:val="center"/>
          </w:tcPr>
          <w:p w14:paraId="15BFD7B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二氧化硫大气毒性终点浓度</w:t>
            </w:r>
            <w:r>
              <w:rPr>
                <w:rFonts w:ascii="Times New Roman" w:eastAsia="宋体" w:hAnsi="Times New Roman" w:cs="Times New Roman"/>
                <w:kern w:val="0"/>
                <w:szCs w:val="21"/>
              </w:rPr>
              <w:t xml:space="preserve">-2 </w:t>
            </w:r>
            <w:r>
              <w:rPr>
                <w:rFonts w:ascii="Times New Roman" w:eastAsia="宋体" w:hAnsi="Times New Roman" w:cs="Times New Roman"/>
                <w:kern w:val="0"/>
                <w:szCs w:val="21"/>
              </w:rPr>
              <w:t>最大影响范围</w:t>
            </w:r>
            <w:r>
              <w:rPr>
                <w:rFonts w:ascii="Times New Roman" w:eastAsia="宋体" w:hAnsi="Times New Roman" w:cs="Times New Roman"/>
                <w:kern w:val="0"/>
                <w:szCs w:val="21"/>
                <w:u w:val="single"/>
              </w:rPr>
              <w:t>92</w:t>
            </w:r>
            <w:r>
              <w:rPr>
                <w:rFonts w:ascii="Times New Roman" w:eastAsia="宋体" w:hAnsi="Times New Roman" w:cs="Times New Roman"/>
                <w:kern w:val="0"/>
                <w:szCs w:val="21"/>
              </w:rPr>
              <w:t>m</w:t>
            </w:r>
            <w:r>
              <w:rPr>
                <w:rFonts w:ascii="Times New Roman" w:eastAsia="宋体" w:hAnsi="Times New Roman" w:cs="Times New Roman"/>
                <w:kern w:val="0"/>
                <w:szCs w:val="21"/>
              </w:rPr>
              <w:t>；</w:t>
            </w:r>
            <w:r>
              <w:rPr>
                <w:rFonts w:ascii="Times New Roman" w:eastAsia="宋体" w:hAnsi="Times New Roman" w:cs="Times New Roman"/>
                <w:kern w:val="0"/>
                <w:szCs w:val="21"/>
              </w:rPr>
              <w:t xml:space="preserve"> </w:t>
            </w:r>
          </w:p>
        </w:tc>
      </w:tr>
      <w:tr w:rsidR="002133E3" w14:paraId="462E2658" w14:textId="77777777" w:rsidTr="009C2E4E">
        <w:trPr>
          <w:trHeight w:val="20"/>
          <w:jc w:val="center"/>
        </w:trPr>
        <w:tc>
          <w:tcPr>
            <w:tcW w:w="346" w:type="pct"/>
            <w:vMerge/>
            <w:vAlign w:val="center"/>
          </w:tcPr>
          <w:p w14:paraId="3A94DF00"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7C3BD20C" w14:textId="77777777" w:rsidR="002133E3" w:rsidRDefault="002133E3">
            <w:pPr>
              <w:jc w:val="center"/>
              <w:rPr>
                <w:rFonts w:ascii="Times New Roman" w:eastAsia="宋体" w:hAnsi="Times New Roman" w:cs="Times New Roman"/>
                <w:kern w:val="0"/>
                <w:szCs w:val="21"/>
              </w:rPr>
            </w:pPr>
          </w:p>
        </w:tc>
        <w:tc>
          <w:tcPr>
            <w:tcW w:w="642" w:type="pct"/>
            <w:vMerge/>
            <w:vAlign w:val="center"/>
          </w:tcPr>
          <w:p w14:paraId="1DF60867" w14:textId="77777777" w:rsidR="002133E3" w:rsidRDefault="002133E3">
            <w:pPr>
              <w:jc w:val="center"/>
              <w:rPr>
                <w:rFonts w:ascii="Times New Roman" w:eastAsia="宋体" w:hAnsi="Times New Roman" w:cs="Times New Roman"/>
                <w:kern w:val="0"/>
                <w:szCs w:val="21"/>
              </w:rPr>
            </w:pPr>
          </w:p>
        </w:tc>
        <w:tc>
          <w:tcPr>
            <w:tcW w:w="3507" w:type="pct"/>
            <w:gridSpan w:val="7"/>
            <w:vAlign w:val="center"/>
          </w:tcPr>
          <w:p w14:paraId="02AD1C9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一氧化碳大气毒性终点浓度</w:t>
            </w:r>
            <w:r>
              <w:rPr>
                <w:rFonts w:ascii="Times New Roman" w:eastAsia="宋体" w:hAnsi="Times New Roman" w:cs="Times New Roman"/>
                <w:kern w:val="0"/>
                <w:szCs w:val="21"/>
              </w:rPr>
              <w:t xml:space="preserve">-2 </w:t>
            </w:r>
            <w:r>
              <w:rPr>
                <w:rFonts w:ascii="Times New Roman" w:eastAsia="宋体" w:hAnsi="Times New Roman" w:cs="Times New Roman"/>
                <w:kern w:val="0"/>
                <w:szCs w:val="21"/>
              </w:rPr>
              <w:t>最大影响范围</w:t>
            </w:r>
            <w:r>
              <w:rPr>
                <w:rFonts w:ascii="Times New Roman" w:eastAsia="宋体" w:hAnsi="Times New Roman" w:cs="Times New Roman"/>
                <w:kern w:val="0"/>
                <w:szCs w:val="21"/>
                <w:u w:val="single"/>
              </w:rPr>
              <w:t>425</w:t>
            </w:r>
            <w:r>
              <w:rPr>
                <w:rFonts w:ascii="Times New Roman" w:eastAsia="宋体" w:hAnsi="Times New Roman" w:cs="Times New Roman"/>
                <w:kern w:val="0"/>
                <w:szCs w:val="21"/>
              </w:rPr>
              <w:t>m</w:t>
            </w: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 xml:space="preserve">-2 </w:t>
            </w:r>
            <w:r>
              <w:rPr>
                <w:rFonts w:ascii="Times New Roman" w:eastAsia="宋体" w:hAnsi="Times New Roman" w:cs="Times New Roman"/>
                <w:kern w:val="0"/>
                <w:szCs w:val="21"/>
              </w:rPr>
              <w:t>最大影响范围</w:t>
            </w:r>
            <w:r>
              <w:rPr>
                <w:rFonts w:ascii="Times New Roman" w:eastAsia="宋体" w:hAnsi="Times New Roman" w:cs="Times New Roman"/>
                <w:kern w:val="0"/>
                <w:szCs w:val="21"/>
                <w:u w:val="single"/>
              </w:rPr>
              <w:t>163</w:t>
            </w:r>
            <w:r>
              <w:rPr>
                <w:rFonts w:ascii="Times New Roman" w:eastAsia="宋体" w:hAnsi="Times New Roman" w:cs="Times New Roman"/>
                <w:kern w:val="0"/>
                <w:szCs w:val="21"/>
              </w:rPr>
              <w:t>m</w:t>
            </w:r>
            <w:r>
              <w:rPr>
                <w:rFonts w:ascii="Times New Roman" w:eastAsia="宋体" w:hAnsi="Times New Roman" w:cs="Times New Roman"/>
                <w:kern w:val="0"/>
                <w:szCs w:val="21"/>
              </w:rPr>
              <w:t>；</w:t>
            </w:r>
          </w:p>
        </w:tc>
      </w:tr>
      <w:tr w:rsidR="002133E3" w14:paraId="74EEC13B" w14:textId="77777777" w:rsidTr="009C2E4E">
        <w:trPr>
          <w:trHeight w:val="20"/>
          <w:jc w:val="center"/>
        </w:trPr>
        <w:tc>
          <w:tcPr>
            <w:tcW w:w="346" w:type="pct"/>
            <w:vMerge/>
            <w:vAlign w:val="center"/>
          </w:tcPr>
          <w:p w14:paraId="7381C9DF" w14:textId="77777777" w:rsidR="002133E3" w:rsidRDefault="002133E3">
            <w:pPr>
              <w:jc w:val="center"/>
              <w:rPr>
                <w:rFonts w:ascii="Times New Roman" w:eastAsia="宋体" w:hAnsi="Times New Roman" w:cs="Times New Roman"/>
                <w:kern w:val="0"/>
                <w:szCs w:val="21"/>
              </w:rPr>
            </w:pPr>
          </w:p>
        </w:tc>
        <w:tc>
          <w:tcPr>
            <w:tcW w:w="505" w:type="pct"/>
            <w:vAlign w:val="center"/>
          </w:tcPr>
          <w:p w14:paraId="552A60ED"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地表水</w:t>
            </w:r>
          </w:p>
        </w:tc>
        <w:tc>
          <w:tcPr>
            <w:tcW w:w="4149" w:type="pct"/>
            <w:gridSpan w:val="8"/>
            <w:vAlign w:val="center"/>
          </w:tcPr>
          <w:p w14:paraId="55D55A1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最近环境敏感目标</w:t>
            </w:r>
            <w:r>
              <w:rPr>
                <w:rFonts w:ascii="Times New Roman" w:eastAsia="宋体" w:hAnsi="Times New Roman" w:cs="Times New Roman"/>
                <w:kern w:val="0"/>
                <w:szCs w:val="21"/>
                <w:u w:val="single"/>
              </w:rPr>
              <w:t xml:space="preserve">        </w:t>
            </w:r>
            <w:r>
              <w:rPr>
                <w:rFonts w:ascii="Times New Roman" w:eastAsia="宋体" w:hAnsi="Times New Roman" w:cs="Times New Roman"/>
                <w:kern w:val="0"/>
                <w:szCs w:val="21"/>
              </w:rPr>
              <w:t>，到达时间</w:t>
            </w:r>
            <w:r>
              <w:rPr>
                <w:rFonts w:ascii="Times New Roman" w:eastAsia="宋体" w:hAnsi="Times New Roman" w:cs="Times New Roman"/>
                <w:kern w:val="0"/>
                <w:szCs w:val="21"/>
                <w:u w:val="single"/>
              </w:rPr>
              <w:t xml:space="preserve">     </w:t>
            </w:r>
            <w:r>
              <w:rPr>
                <w:rFonts w:ascii="Times New Roman" w:eastAsia="宋体" w:hAnsi="Times New Roman" w:cs="Times New Roman"/>
                <w:kern w:val="0"/>
                <w:szCs w:val="21"/>
              </w:rPr>
              <w:t>h</w:t>
            </w:r>
          </w:p>
        </w:tc>
      </w:tr>
      <w:tr w:rsidR="002133E3" w14:paraId="3ADB3AE8" w14:textId="77777777" w:rsidTr="009C2E4E">
        <w:trPr>
          <w:trHeight w:val="20"/>
          <w:jc w:val="center"/>
        </w:trPr>
        <w:tc>
          <w:tcPr>
            <w:tcW w:w="346" w:type="pct"/>
            <w:vMerge/>
            <w:vAlign w:val="center"/>
          </w:tcPr>
          <w:p w14:paraId="0677E534" w14:textId="77777777" w:rsidR="002133E3" w:rsidRDefault="002133E3">
            <w:pPr>
              <w:jc w:val="center"/>
              <w:rPr>
                <w:rFonts w:ascii="Times New Roman" w:eastAsia="宋体" w:hAnsi="Times New Roman" w:cs="Times New Roman"/>
                <w:kern w:val="0"/>
                <w:szCs w:val="21"/>
              </w:rPr>
            </w:pPr>
          </w:p>
        </w:tc>
        <w:tc>
          <w:tcPr>
            <w:tcW w:w="505" w:type="pct"/>
            <w:vMerge w:val="restart"/>
            <w:vAlign w:val="center"/>
          </w:tcPr>
          <w:p w14:paraId="40A0BD9A"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地下水</w:t>
            </w:r>
          </w:p>
        </w:tc>
        <w:tc>
          <w:tcPr>
            <w:tcW w:w="4149" w:type="pct"/>
            <w:gridSpan w:val="8"/>
            <w:vAlign w:val="center"/>
          </w:tcPr>
          <w:p w14:paraId="7196A23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下游厂区边界到达时间</w:t>
            </w:r>
            <w:r>
              <w:rPr>
                <w:rFonts w:ascii="Times New Roman" w:eastAsia="宋体" w:hAnsi="Times New Roman" w:cs="Times New Roman"/>
                <w:kern w:val="0"/>
                <w:szCs w:val="21"/>
                <w:u w:val="single"/>
              </w:rPr>
              <w:t xml:space="preserve">       </w:t>
            </w:r>
            <w:r>
              <w:rPr>
                <w:rFonts w:ascii="Times New Roman" w:eastAsia="宋体" w:hAnsi="Times New Roman" w:cs="Times New Roman"/>
                <w:kern w:val="0"/>
                <w:szCs w:val="21"/>
              </w:rPr>
              <w:t>d</w:t>
            </w:r>
          </w:p>
        </w:tc>
      </w:tr>
      <w:tr w:rsidR="002133E3" w14:paraId="6A8975F9" w14:textId="77777777" w:rsidTr="009C2E4E">
        <w:trPr>
          <w:trHeight w:val="20"/>
          <w:jc w:val="center"/>
        </w:trPr>
        <w:tc>
          <w:tcPr>
            <w:tcW w:w="346" w:type="pct"/>
            <w:vMerge/>
            <w:vAlign w:val="center"/>
          </w:tcPr>
          <w:p w14:paraId="076F9F0A" w14:textId="77777777" w:rsidR="002133E3" w:rsidRDefault="002133E3">
            <w:pPr>
              <w:jc w:val="center"/>
              <w:rPr>
                <w:rFonts w:ascii="Times New Roman" w:eastAsia="宋体" w:hAnsi="Times New Roman" w:cs="Times New Roman"/>
                <w:kern w:val="0"/>
                <w:szCs w:val="21"/>
              </w:rPr>
            </w:pPr>
          </w:p>
        </w:tc>
        <w:tc>
          <w:tcPr>
            <w:tcW w:w="505" w:type="pct"/>
            <w:vMerge/>
            <w:vAlign w:val="center"/>
          </w:tcPr>
          <w:p w14:paraId="6035046B" w14:textId="77777777" w:rsidR="002133E3" w:rsidRDefault="002133E3">
            <w:pPr>
              <w:jc w:val="center"/>
              <w:rPr>
                <w:rFonts w:ascii="Times New Roman" w:eastAsia="宋体" w:hAnsi="Times New Roman" w:cs="Times New Roman"/>
                <w:kern w:val="0"/>
                <w:szCs w:val="21"/>
              </w:rPr>
            </w:pPr>
          </w:p>
        </w:tc>
        <w:tc>
          <w:tcPr>
            <w:tcW w:w="4149" w:type="pct"/>
            <w:gridSpan w:val="8"/>
            <w:vAlign w:val="center"/>
          </w:tcPr>
          <w:p w14:paraId="6CF7692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最近环境敏感目标</w:t>
            </w:r>
            <w:r>
              <w:rPr>
                <w:rFonts w:ascii="Times New Roman" w:eastAsia="宋体" w:hAnsi="Times New Roman" w:cs="Times New Roman"/>
                <w:kern w:val="0"/>
                <w:szCs w:val="21"/>
                <w:u w:val="single"/>
              </w:rPr>
              <w:t xml:space="preserve">        </w:t>
            </w:r>
            <w:r>
              <w:rPr>
                <w:rFonts w:ascii="Times New Roman" w:eastAsia="宋体" w:hAnsi="Times New Roman" w:cs="Times New Roman"/>
                <w:kern w:val="0"/>
                <w:szCs w:val="21"/>
              </w:rPr>
              <w:t>，到达时间</w:t>
            </w:r>
            <w:r>
              <w:rPr>
                <w:rFonts w:ascii="Times New Roman" w:eastAsia="宋体" w:hAnsi="Times New Roman" w:cs="Times New Roman"/>
                <w:kern w:val="0"/>
                <w:szCs w:val="21"/>
                <w:u w:val="single"/>
              </w:rPr>
              <w:t xml:space="preserve">     </w:t>
            </w:r>
            <w:r>
              <w:rPr>
                <w:rFonts w:ascii="Times New Roman" w:eastAsia="宋体" w:hAnsi="Times New Roman" w:cs="Times New Roman"/>
                <w:kern w:val="0"/>
                <w:szCs w:val="21"/>
              </w:rPr>
              <w:t>h</w:t>
            </w:r>
          </w:p>
        </w:tc>
      </w:tr>
      <w:tr w:rsidR="002133E3" w14:paraId="3F4CAF27" w14:textId="77777777" w:rsidTr="009C2E4E">
        <w:trPr>
          <w:trHeight w:val="20"/>
          <w:jc w:val="center"/>
        </w:trPr>
        <w:tc>
          <w:tcPr>
            <w:tcW w:w="851" w:type="pct"/>
            <w:gridSpan w:val="2"/>
            <w:vAlign w:val="center"/>
          </w:tcPr>
          <w:p w14:paraId="367FC0E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重点风险防范措施</w:t>
            </w:r>
          </w:p>
        </w:tc>
        <w:tc>
          <w:tcPr>
            <w:tcW w:w="4149" w:type="pct"/>
            <w:gridSpan w:val="8"/>
            <w:vAlign w:val="center"/>
          </w:tcPr>
          <w:p w14:paraId="5E172F09"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1</w:t>
            </w:r>
            <w:r>
              <w:rPr>
                <w:rFonts w:ascii="Times New Roman" w:eastAsia="宋体" w:hAnsi="Times New Roman" w:cs="Times New Roman"/>
                <w:kern w:val="0"/>
                <w:szCs w:val="21"/>
              </w:rPr>
              <w:t>、大气环境风险防范措施；加强废气处理设施及设备的定期检修和维护工作，定期检查废气吸收液含量和活性炭吸附装置的有效性，确保吸收液和活性炭及时更换、及时处理。发生大气环境风险事故时，及时对下风向人员进行疏散，设置疏散通道警示标志，在事故点上风向设置应急安置点。</w:t>
            </w:r>
          </w:p>
          <w:p w14:paraId="3A74480F"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2</w:t>
            </w:r>
            <w:r>
              <w:rPr>
                <w:rFonts w:ascii="Times New Roman" w:eastAsia="宋体" w:hAnsi="Times New Roman" w:cs="Times New Roman"/>
                <w:kern w:val="0"/>
                <w:szCs w:val="21"/>
              </w:rPr>
              <w:t>、事故废水环境风险防范措施：公司设置</w:t>
            </w:r>
            <w:r>
              <w:rPr>
                <w:rFonts w:ascii="Times New Roman" w:eastAsia="宋体" w:hAnsi="Times New Roman" w:cs="Times New Roman"/>
                <w:kern w:val="0"/>
                <w:szCs w:val="21"/>
              </w:rPr>
              <w:t>“</w:t>
            </w:r>
            <w:r>
              <w:rPr>
                <w:rFonts w:ascii="Times New Roman" w:eastAsia="宋体" w:hAnsi="Times New Roman" w:cs="Times New Roman"/>
                <w:kern w:val="0"/>
                <w:szCs w:val="21"/>
              </w:rPr>
              <w:t>单元</w:t>
            </w:r>
            <w:r>
              <w:rPr>
                <w:rFonts w:ascii="Times New Roman" w:eastAsia="宋体" w:hAnsi="Times New Roman" w:cs="Times New Roman"/>
                <w:kern w:val="0"/>
                <w:szCs w:val="21"/>
              </w:rPr>
              <w:t>-</w:t>
            </w:r>
            <w:r>
              <w:rPr>
                <w:rFonts w:ascii="Times New Roman" w:eastAsia="宋体" w:hAnsi="Times New Roman" w:cs="Times New Roman"/>
                <w:kern w:val="0"/>
                <w:szCs w:val="21"/>
              </w:rPr>
              <w:t>厂区</w:t>
            </w:r>
            <w:r>
              <w:rPr>
                <w:rFonts w:ascii="Times New Roman" w:eastAsia="宋体" w:hAnsi="Times New Roman" w:cs="Times New Roman"/>
                <w:kern w:val="0"/>
                <w:szCs w:val="21"/>
              </w:rPr>
              <w:t>”</w:t>
            </w:r>
            <w:r>
              <w:rPr>
                <w:rFonts w:ascii="Times New Roman" w:eastAsia="宋体" w:hAnsi="Times New Roman" w:cs="Times New Roman"/>
                <w:kern w:val="0"/>
                <w:szCs w:val="21"/>
              </w:rPr>
              <w:t>的事故废水环境风险防控体系。当污水处理装置出现故障、排水监测超过接管标准时，将立即切断污水总排口，停止排放，把超标废水打入</w:t>
            </w:r>
            <w:r>
              <w:rPr>
                <w:rFonts w:ascii="Times New Roman" w:eastAsia="宋体" w:hAnsi="Times New Roman" w:cs="Times New Roman"/>
                <w:kern w:val="0"/>
                <w:szCs w:val="21"/>
              </w:rPr>
              <w:t>4000m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事故应急池中，同时通知生产部门停车。若发生泄漏或火灾爆炸事故，将会大大增加事故废水量，项目应将泄露的冲洗水、火灾的消防水全部收集排入消防尾水收集池中，同时切断污水总排口和雨水放口，通知生产车间停车，以免加大污水处理系统的运行负荷。进入消防尾水收集池的废水经泵分批次打入污水处理系统（保证事故废水的进入污水处理站的废水水质不超过污水处理厂的上限）进行处理。公司与园区层面建立</w:t>
            </w:r>
            <w:r>
              <w:rPr>
                <w:rFonts w:ascii="Times New Roman" w:eastAsia="宋体" w:hAnsi="Times New Roman" w:cs="Times New Roman"/>
                <w:kern w:val="0"/>
                <w:szCs w:val="21"/>
              </w:rPr>
              <w:t>“</w:t>
            </w:r>
            <w:r>
              <w:rPr>
                <w:rFonts w:ascii="Times New Roman" w:eastAsia="宋体" w:hAnsi="Times New Roman" w:cs="Times New Roman"/>
                <w:kern w:val="0"/>
                <w:szCs w:val="21"/>
              </w:rPr>
              <w:t>厂区</w:t>
            </w:r>
            <w:r>
              <w:rPr>
                <w:rFonts w:ascii="Times New Roman" w:eastAsia="宋体" w:hAnsi="Times New Roman" w:cs="Times New Roman"/>
                <w:kern w:val="0"/>
                <w:szCs w:val="21"/>
              </w:rPr>
              <w:t>-</w:t>
            </w:r>
            <w:r>
              <w:rPr>
                <w:rFonts w:ascii="Times New Roman" w:eastAsia="宋体" w:hAnsi="Times New Roman" w:cs="Times New Roman"/>
                <w:kern w:val="0"/>
                <w:szCs w:val="21"/>
              </w:rPr>
              <w:t>园区</w:t>
            </w:r>
            <w:r>
              <w:rPr>
                <w:rFonts w:ascii="Times New Roman" w:eastAsia="宋体" w:hAnsi="Times New Roman" w:cs="Times New Roman"/>
                <w:kern w:val="0"/>
                <w:szCs w:val="21"/>
              </w:rPr>
              <w:t>”</w:t>
            </w:r>
            <w:r>
              <w:rPr>
                <w:rFonts w:ascii="Times New Roman" w:eastAsia="宋体" w:hAnsi="Times New Roman" w:cs="Times New Roman"/>
                <w:kern w:val="0"/>
                <w:szCs w:val="21"/>
              </w:rPr>
              <w:t>环境风险防控体系，公司厂区内事故废水处理达标后接入污水管网入园区污水处理厂处理，将事故废水控制在园区内，防止事故废水进入园区外地表水体。为了最大程度减低建设项目事故发生时对水环境的影响，对建设项目的事故废水将采取三级拦截措施。</w:t>
            </w:r>
          </w:p>
          <w:p w14:paraId="19FD2E7C"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地下水环境风险防范措施：在运行过程中，从源头上对各设备、管道、贮运装置及处理构筑物均采取适当有效的防护措施，防止污染物跑、冒、滴、漏，将污染物泄漏的环境风险降到最低。厂区采用分区防渗设计，表面处理车间、废水处理间、固废库、污水管线等区域为重点防渗区，采取严格的防渗措施防渗措施，其他区域为一般防渗区域，采用水泥硬化，防止渗透物污染地下水。</w:t>
            </w:r>
          </w:p>
          <w:p w14:paraId="20ED0605"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风险源监控措施：公司要保持作业人员相对稳定，在作业过程中严禁化学品及污染物泄露，安环人员、车间负责人和公司领导进行现场监护。同时进行每天安排专职消防人员对消防器材和设施等应急物资进行检查并作好相关记录确保设施的器材有效，保持</w:t>
            </w:r>
            <w:r>
              <w:rPr>
                <w:rFonts w:ascii="Times New Roman" w:eastAsia="宋体" w:hAnsi="Times New Roman" w:cs="Times New Roman"/>
                <w:kern w:val="0"/>
                <w:szCs w:val="21"/>
              </w:rPr>
              <w:lastRenderedPageBreak/>
              <w:t>消防通道畅通，安环人员对排水装置进行定期点检，保证其能正常使用。车间、仓库等存在环境风险的关键地点，应设置明显警示标记，并设置专人监管。在厂区原料储存仓库、车间安装视频监控系统。工程设计充分考虑安全因素，关键岗位应通过设备安全控制连锁措施减低风险。</w:t>
            </w:r>
          </w:p>
          <w:p w14:paraId="400C9F6B"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5</w:t>
            </w:r>
            <w:r>
              <w:rPr>
                <w:rFonts w:ascii="Times New Roman" w:eastAsia="宋体" w:hAnsi="Times New Roman" w:cs="Times New Roman"/>
                <w:kern w:val="0"/>
                <w:szCs w:val="21"/>
              </w:rPr>
              <w:t>、建立与周边区域相衔接的管理体系</w:t>
            </w:r>
          </w:p>
        </w:tc>
      </w:tr>
      <w:tr w:rsidR="002133E3" w14:paraId="5803FAAF" w14:textId="77777777" w:rsidTr="009C2E4E">
        <w:trPr>
          <w:trHeight w:val="20"/>
          <w:jc w:val="center"/>
        </w:trPr>
        <w:tc>
          <w:tcPr>
            <w:tcW w:w="851" w:type="pct"/>
            <w:gridSpan w:val="2"/>
            <w:vAlign w:val="center"/>
          </w:tcPr>
          <w:p w14:paraId="7BE8387E"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评价结论与建议</w:t>
            </w:r>
          </w:p>
        </w:tc>
        <w:tc>
          <w:tcPr>
            <w:tcW w:w="4149" w:type="pct"/>
            <w:gridSpan w:val="8"/>
            <w:vAlign w:val="center"/>
          </w:tcPr>
          <w:p w14:paraId="16CC2500" w14:textId="1D1E8B4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1.</w:t>
            </w:r>
            <w:r>
              <w:rPr>
                <w:rFonts w:ascii="Times New Roman" w:eastAsia="宋体" w:hAnsi="Times New Roman" w:cs="Times New Roman"/>
                <w:kern w:val="0"/>
                <w:szCs w:val="21"/>
              </w:rPr>
              <w:t>项目危险因素：本项目使用的部分原料等为突发环境事件风险物质，其中沼气为可燃气体，硫酸为腐蚀类物质。本项目危险单元包括硫酸储罐，沼气气柜等。</w:t>
            </w:r>
          </w:p>
          <w:p w14:paraId="30B421C8"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2.</w:t>
            </w:r>
            <w:r>
              <w:rPr>
                <w:rFonts w:ascii="Times New Roman" w:eastAsia="宋体" w:hAnsi="Times New Roman" w:cs="Times New Roman"/>
                <w:kern w:val="0"/>
                <w:szCs w:val="21"/>
              </w:rPr>
              <w:t>环境敏感性及事故环境影响。本项目周边</w:t>
            </w:r>
            <w:r>
              <w:rPr>
                <w:rFonts w:ascii="Times New Roman" w:eastAsia="宋体" w:hAnsi="Times New Roman" w:cs="Times New Roman"/>
                <w:kern w:val="0"/>
                <w:szCs w:val="21"/>
              </w:rPr>
              <w:t>5k</w:t>
            </w:r>
            <w:r>
              <w:rPr>
                <w:rFonts w:ascii="Times New Roman" w:eastAsia="宋体" w:hAnsi="Times New Roman" w:cs="Times New Roman"/>
                <w:kern w:val="0"/>
                <w:szCs w:val="21"/>
              </w:rPr>
              <w:t>范围内人口大于</w:t>
            </w:r>
            <w:r>
              <w:rPr>
                <w:rFonts w:ascii="Times New Roman" w:eastAsia="宋体" w:hAnsi="Times New Roman" w:cs="Times New Roman"/>
                <w:kern w:val="0"/>
                <w:szCs w:val="21"/>
              </w:rPr>
              <w:t>5</w:t>
            </w:r>
            <w:r>
              <w:rPr>
                <w:rFonts w:ascii="Times New Roman" w:eastAsia="宋体" w:hAnsi="Times New Roman" w:cs="Times New Roman"/>
                <w:kern w:val="0"/>
                <w:szCs w:val="21"/>
              </w:rPr>
              <w:t>万人，大气环境敏感程度为</w:t>
            </w:r>
            <w:r>
              <w:rPr>
                <w:rFonts w:ascii="Times New Roman" w:eastAsia="宋体" w:hAnsi="Times New Roman" w:cs="Times New Roman"/>
                <w:kern w:val="0"/>
                <w:szCs w:val="21"/>
              </w:rPr>
              <w:t>E1</w:t>
            </w:r>
            <w:r>
              <w:rPr>
                <w:rFonts w:ascii="Times New Roman" w:eastAsia="宋体" w:hAnsi="Times New Roman" w:cs="Times New Roman"/>
                <w:kern w:val="0"/>
                <w:szCs w:val="21"/>
              </w:rPr>
              <w:t>。项目地表水环境敏感程度分级为</w:t>
            </w:r>
            <w:r>
              <w:rPr>
                <w:rFonts w:ascii="Times New Roman" w:eastAsia="宋体" w:hAnsi="Times New Roman" w:cs="Times New Roman"/>
                <w:kern w:val="0"/>
                <w:szCs w:val="21"/>
              </w:rPr>
              <w:t>E2</w:t>
            </w:r>
            <w:r>
              <w:rPr>
                <w:rFonts w:ascii="Times New Roman" w:eastAsia="宋体" w:hAnsi="Times New Roman" w:cs="Times New Roman"/>
                <w:kern w:val="0"/>
                <w:szCs w:val="21"/>
              </w:rPr>
              <w:t>，为环境中度敏感区。项目所在地地下水功能敏感性为不敏感</w:t>
            </w:r>
            <w:r>
              <w:rPr>
                <w:rFonts w:ascii="Times New Roman" w:eastAsia="宋体" w:hAnsi="Times New Roman" w:cs="Times New Roman"/>
                <w:kern w:val="0"/>
                <w:szCs w:val="21"/>
              </w:rPr>
              <w:t>G3</w:t>
            </w:r>
            <w:r>
              <w:rPr>
                <w:rFonts w:ascii="Times New Roman" w:eastAsia="宋体" w:hAnsi="Times New Roman" w:cs="Times New Roman"/>
                <w:kern w:val="0"/>
                <w:szCs w:val="21"/>
              </w:rPr>
              <w:t>，包气带防污性能为</w:t>
            </w:r>
            <w:r>
              <w:rPr>
                <w:rFonts w:ascii="Times New Roman" w:eastAsia="宋体" w:hAnsi="Times New Roman" w:cs="Times New Roman"/>
                <w:kern w:val="0"/>
                <w:szCs w:val="21"/>
              </w:rPr>
              <w:t>D2</w:t>
            </w:r>
            <w:r>
              <w:rPr>
                <w:rFonts w:ascii="Times New Roman" w:eastAsia="宋体" w:hAnsi="Times New Roman" w:cs="Times New Roman"/>
                <w:kern w:val="0"/>
                <w:szCs w:val="21"/>
              </w:rPr>
              <w:t>，确定区域地下水环境敏感程度为</w:t>
            </w:r>
            <w:r>
              <w:rPr>
                <w:rFonts w:ascii="Times New Roman" w:eastAsia="宋体" w:hAnsi="Times New Roman" w:cs="Times New Roman"/>
                <w:kern w:val="0"/>
                <w:szCs w:val="21"/>
              </w:rPr>
              <w:t>E3</w:t>
            </w:r>
            <w:r>
              <w:rPr>
                <w:rFonts w:ascii="Times New Roman" w:eastAsia="宋体" w:hAnsi="Times New Roman" w:cs="Times New Roman"/>
                <w:kern w:val="0"/>
                <w:szCs w:val="21"/>
              </w:rPr>
              <w:t>。根据本项目大气风险预测结果，在最不利气象条件下，硫酸储罐发生泄露时，事故状态下下风向未达到二氯化氢大气毒性终点浓度</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2</w:t>
            </w:r>
            <w:r>
              <w:rPr>
                <w:rFonts w:ascii="Times New Roman" w:eastAsia="宋体" w:hAnsi="Times New Roman" w:cs="Times New Roman"/>
                <w:kern w:val="0"/>
                <w:szCs w:val="21"/>
              </w:rPr>
              <w:t>限值；在最不利气象条件沼气发生火灾爆炸时，事故状态下下风向伴生</w:t>
            </w:r>
            <w:r>
              <w:rPr>
                <w:rFonts w:ascii="Times New Roman" w:eastAsia="宋体" w:hAnsi="Times New Roman" w:cs="Times New Roman"/>
                <w:kern w:val="0"/>
                <w:szCs w:val="21"/>
              </w:rPr>
              <w:t>/</w:t>
            </w:r>
            <w:r>
              <w:rPr>
                <w:rFonts w:ascii="Times New Roman" w:eastAsia="宋体" w:hAnsi="Times New Roman" w:cs="Times New Roman"/>
                <w:kern w:val="0"/>
                <w:szCs w:val="21"/>
              </w:rPr>
              <w:t>次生污染物</w:t>
            </w: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2</w:t>
            </w:r>
            <w:r>
              <w:rPr>
                <w:rFonts w:ascii="Times New Roman" w:eastAsia="宋体" w:hAnsi="Times New Roman" w:cs="Times New Roman"/>
                <w:kern w:val="0"/>
                <w:szCs w:val="21"/>
              </w:rPr>
              <w:t>影响范围为</w:t>
            </w:r>
            <w:r>
              <w:rPr>
                <w:rFonts w:ascii="Times New Roman" w:eastAsia="宋体" w:hAnsi="Times New Roman" w:cs="Times New Roman"/>
                <w:kern w:val="0"/>
                <w:szCs w:val="21"/>
              </w:rPr>
              <w:t>92m</w:t>
            </w:r>
            <w:r>
              <w:rPr>
                <w:rFonts w:ascii="Times New Roman" w:eastAsia="宋体" w:hAnsi="Times New Roman" w:cs="Times New Roman"/>
                <w:kern w:val="0"/>
                <w:szCs w:val="21"/>
              </w:rPr>
              <w:t>，未达到大气毒性终点浓度</w:t>
            </w:r>
            <w:r>
              <w:rPr>
                <w:rFonts w:ascii="Times New Roman" w:eastAsia="宋体" w:hAnsi="Times New Roman" w:cs="Times New Roman"/>
                <w:kern w:val="0"/>
                <w:szCs w:val="21"/>
              </w:rPr>
              <w:t>1</w:t>
            </w:r>
            <w:r>
              <w:rPr>
                <w:rFonts w:ascii="Times New Roman" w:eastAsia="宋体" w:hAnsi="Times New Roman" w:cs="Times New Roman"/>
                <w:kern w:val="0"/>
                <w:szCs w:val="21"/>
              </w:rPr>
              <w:t>。一氧化碳大气毒性终点浓度</w:t>
            </w:r>
            <w:r>
              <w:rPr>
                <w:rFonts w:ascii="Times New Roman" w:eastAsia="宋体" w:hAnsi="Times New Roman" w:cs="Times New Roman"/>
                <w:kern w:val="0"/>
                <w:szCs w:val="21"/>
              </w:rPr>
              <w:t>2</w:t>
            </w:r>
            <w:r>
              <w:rPr>
                <w:rFonts w:ascii="Times New Roman" w:eastAsia="宋体" w:hAnsi="Times New Roman" w:cs="Times New Roman"/>
                <w:kern w:val="0"/>
                <w:szCs w:val="21"/>
              </w:rPr>
              <w:t>影响范围为</w:t>
            </w:r>
            <w:r>
              <w:rPr>
                <w:rFonts w:ascii="Times New Roman" w:eastAsia="宋体" w:hAnsi="Times New Roman" w:cs="Times New Roman"/>
                <w:kern w:val="0"/>
                <w:szCs w:val="21"/>
              </w:rPr>
              <w:t>425m</w:t>
            </w:r>
            <w:r>
              <w:rPr>
                <w:rFonts w:ascii="Times New Roman" w:eastAsia="宋体" w:hAnsi="Times New Roman" w:cs="Times New Roman"/>
                <w:kern w:val="0"/>
                <w:szCs w:val="21"/>
              </w:rPr>
              <w:t>；大气毒性终点浓度</w:t>
            </w:r>
            <w:r>
              <w:rPr>
                <w:rFonts w:ascii="Times New Roman" w:eastAsia="宋体" w:hAnsi="Times New Roman" w:cs="Times New Roman"/>
                <w:kern w:val="0"/>
                <w:szCs w:val="21"/>
              </w:rPr>
              <w:t>1</w:t>
            </w:r>
            <w:r>
              <w:rPr>
                <w:rFonts w:ascii="Times New Roman" w:eastAsia="宋体" w:hAnsi="Times New Roman" w:cs="Times New Roman"/>
                <w:kern w:val="0"/>
                <w:szCs w:val="21"/>
              </w:rPr>
              <w:t>影响范围为</w:t>
            </w:r>
            <w:r>
              <w:rPr>
                <w:rFonts w:ascii="Times New Roman" w:eastAsia="宋体" w:hAnsi="Times New Roman" w:cs="Times New Roman"/>
                <w:kern w:val="0"/>
                <w:szCs w:val="21"/>
              </w:rPr>
              <w:t>163m</w:t>
            </w:r>
            <w:r>
              <w:rPr>
                <w:rFonts w:ascii="Times New Roman" w:eastAsia="宋体" w:hAnsi="Times New Roman" w:cs="Times New Roman"/>
                <w:kern w:val="0"/>
                <w:szCs w:val="21"/>
              </w:rPr>
              <w:t>。本项目下风向最近的敏感目标为兴庄村、李巷村，硫酸泄漏和沼气火灾爆炸时对周边环境影响较小。根据本项目地下水事故影响预测结果：非正常情况下，废水调节池的渗漏后，耗氧量的最大浓度出现在排放泄漏点附近，影响范围内耗氧量浓度随时间增长而增大，预测耗氧量在地下水中污染扩散至</w:t>
            </w:r>
            <w:r>
              <w:rPr>
                <w:rFonts w:ascii="Times New Roman" w:eastAsia="宋体" w:hAnsi="Times New Roman" w:cs="Times New Roman"/>
                <w:kern w:val="0"/>
                <w:szCs w:val="21"/>
              </w:rPr>
              <w:t>3mg/L</w:t>
            </w:r>
            <w:r>
              <w:rPr>
                <w:rFonts w:ascii="Times New Roman" w:eastAsia="宋体" w:hAnsi="Times New Roman" w:cs="Times New Roman"/>
                <w:kern w:val="0"/>
                <w:szCs w:val="21"/>
              </w:rPr>
              <w:t>的超标范围为：</w:t>
            </w:r>
            <w:r>
              <w:rPr>
                <w:rFonts w:ascii="Times New Roman" w:eastAsia="宋体" w:hAnsi="Times New Roman" w:cs="Times New Roman"/>
                <w:kern w:val="0"/>
                <w:szCs w:val="21"/>
              </w:rPr>
              <w:t>100</w:t>
            </w:r>
            <w:r>
              <w:rPr>
                <w:rFonts w:ascii="Times New Roman" w:eastAsia="宋体" w:hAnsi="Times New Roman" w:cs="Times New Roman"/>
                <w:kern w:val="0"/>
                <w:szCs w:val="21"/>
              </w:rPr>
              <w:t>天超标范围为泄漏点周围</w:t>
            </w:r>
            <w:r>
              <w:rPr>
                <w:rFonts w:ascii="Times New Roman" w:eastAsia="宋体" w:hAnsi="Times New Roman" w:cs="Times New Roman"/>
                <w:kern w:val="0"/>
                <w:szCs w:val="21"/>
              </w:rPr>
              <w:t>1.935m</w:t>
            </w:r>
            <w:r>
              <w:rPr>
                <w:rFonts w:ascii="Times New Roman" w:eastAsia="宋体" w:hAnsi="Times New Roman" w:cs="Times New Roman"/>
                <w:kern w:val="0"/>
                <w:szCs w:val="21"/>
              </w:rPr>
              <w:t>，</w:t>
            </w:r>
            <w:r>
              <w:rPr>
                <w:rFonts w:ascii="Times New Roman" w:eastAsia="宋体" w:hAnsi="Times New Roman" w:cs="Times New Roman"/>
                <w:kern w:val="0"/>
                <w:szCs w:val="21"/>
              </w:rPr>
              <w:t>365</w:t>
            </w:r>
            <w:r>
              <w:rPr>
                <w:rFonts w:ascii="Times New Roman" w:eastAsia="宋体" w:hAnsi="Times New Roman" w:cs="Times New Roman"/>
                <w:kern w:val="0"/>
                <w:szCs w:val="21"/>
              </w:rPr>
              <w:t>天超标范围为泄漏点周围</w:t>
            </w:r>
            <w:r>
              <w:rPr>
                <w:rFonts w:ascii="Times New Roman" w:eastAsia="宋体" w:hAnsi="Times New Roman" w:cs="Times New Roman"/>
                <w:kern w:val="0"/>
                <w:szCs w:val="21"/>
              </w:rPr>
              <w:t>5.98m</w:t>
            </w:r>
            <w:r>
              <w:rPr>
                <w:rFonts w:ascii="Times New Roman" w:eastAsia="宋体" w:hAnsi="Times New Roman" w:cs="Times New Roman"/>
                <w:kern w:val="0"/>
                <w:szCs w:val="21"/>
              </w:rPr>
              <w:t>，</w:t>
            </w:r>
            <w:r>
              <w:rPr>
                <w:rFonts w:ascii="Times New Roman" w:eastAsia="宋体" w:hAnsi="Times New Roman" w:cs="Times New Roman"/>
                <w:kern w:val="0"/>
                <w:szCs w:val="21"/>
              </w:rPr>
              <w:t>1000</w:t>
            </w:r>
            <w:r>
              <w:rPr>
                <w:rFonts w:ascii="Times New Roman" w:eastAsia="宋体" w:hAnsi="Times New Roman" w:cs="Times New Roman"/>
                <w:kern w:val="0"/>
                <w:szCs w:val="21"/>
              </w:rPr>
              <w:t>天超标范围为泄漏点周围</w:t>
            </w:r>
            <w:r>
              <w:rPr>
                <w:rFonts w:ascii="Times New Roman" w:eastAsia="宋体" w:hAnsi="Times New Roman" w:cs="Times New Roman"/>
                <w:kern w:val="0"/>
                <w:szCs w:val="21"/>
              </w:rPr>
              <w:t>15.02m</w:t>
            </w:r>
            <w:r>
              <w:rPr>
                <w:rFonts w:ascii="Times New Roman" w:eastAsia="宋体" w:hAnsi="Times New Roman" w:cs="Times New Roman"/>
                <w:kern w:val="0"/>
                <w:szCs w:val="21"/>
              </w:rPr>
              <w:t>，</w:t>
            </w:r>
            <w:r>
              <w:rPr>
                <w:rFonts w:ascii="Times New Roman" w:eastAsia="宋体" w:hAnsi="Times New Roman" w:cs="Times New Roman"/>
                <w:kern w:val="0"/>
                <w:szCs w:val="21"/>
              </w:rPr>
              <w:t>10</w:t>
            </w:r>
            <w:r>
              <w:rPr>
                <w:rFonts w:ascii="Times New Roman" w:eastAsia="宋体" w:hAnsi="Times New Roman" w:cs="Times New Roman"/>
                <w:kern w:val="0"/>
                <w:szCs w:val="21"/>
              </w:rPr>
              <w:t>年超标范围为泄漏点周围</w:t>
            </w:r>
            <w:r>
              <w:rPr>
                <w:rFonts w:ascii="Times New Roman" w:eastAsia="宋体" w:hAnsi="Times New Roman" w:cs="Times New Roman"/>
                <w:kern w:val="0"/>
                <w:szCs w:val="21"/>
              </w:rPr>
              <w:t>52.62m</w:t>
            </w:r>
            <w:r>
              <w:rPr>
                <w:rFonts w:ascii="Times New Roman" w:eastAsia="宋体" w:hAnsi="Times New Roman" w:cs="Times New Roman"/>
                <w:kern w:val="0"/>
                <w:szCs w:val="21"/>
              </w:rPr>
              <w:t>，均未超出厂界，影响范围较小。</w:t>
            </w:r>
          </w:p>
          <w:p w14:paraId="0980B2A7"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3.</w:t>
            </w:r>
            <w:r>
              <w:rPr>
                <w:rFonts w:ascii="Times New Roman" w:eastAsia="宋体" w:hAnsi="Times New Roman" w:cs="Times New Roman"/>
                <w:kern w:val="0"/>
                <w:szCs w:val="21"/>
              </w:rPr>
              <w:t>环境风险防范措施和应急预案：本项目需设置大气环境、事故废水、地下水、风险源监控等风险防范措施，建立与周边区域相衔接的管理体系，建立</w:t>
            </w:r>
            <w:r>
              <w:rPr>
                <w:rFonts w:ascii="Times New Roman" w:eastAsia="宋体" w:hAnsi="Times New Roman" w:cs="Times New Roman"/>
                <w:kern w:val="0"/>
                <w:szCs w:val="21"/>
              </w:rPr>
              <w:t>“</w:t>
            </w:r>
            <w:r>
              <w:rPr>
                <w:rFonts w:ascii="Times New Roman" w:eastAsia="宋体" w:hAnsi="Times New Roman" w:cs="Times New Roman"/>
                <w:kern w:val="0"/>
                <w:szCs w:val="21"/>
              </w:rPr>
              <w:t>单元</w:t>
            </w:r>
            <w:r>
              <w:rPr>
                <w:rFonts w:ascii="Times New Roman" w:eastAsia="宋体" w:hAnsi="Times New Roman" w:cs="Times New Roman"/>
                <w:kern w:val="0"/>
                <w:szCs w:val="21"/>
              </w:rPr>
              <w:t>-</w:t>
            </w:r>
            <w:r>
              <w:rPr>
                <w:rFonts w:ascii="Times New Roman" w:eastAsia="宋体" w:hAnsi="Times New Roman" w:cs="Times New Roman"/>
                <w:kern w:val="0"/>
                <w:szCs w:val="21"/>
              </w:rPr>
              <w:t>厂区</w:t>
            </w:r>
            <w:r>
              <w:rPr>
                <w:rFonts w:ascii="Times New Roman" w:eastAsia="宋体" w:hAnsi="Times New Roman" w:cs="Times New Roman"/>
                <w:kern w:val="0"/>
                <w:szCs w:val="21"/>
              </w:rPr>
              <w:t>-</w:t>
            </w:r>
            <w:r>
              <w:rPr>
                <w:rFonts w:ascii="Times New Roman" w:eastAsia="宋体" w:hAnsi="Times New Roman" w:cs="Times New Roman"/>
                <w:kern w:val="0"/>
                <w:szCs w:val="21"/>
              </w:rPr>
              <w:t>园区</w:t>
            </w:r>
            <w:r>
              <w:rPr>
                <w:rFonts w:ascii="Times New Roman" w:eastAsia="宋体" w:hAnsi="Times New Roman" w:cs="Times New Roman"/>
                <w:kern w:val="0"/>
                <w:szCs w:val="21"/>
              </w:rPr>
              <w:t>/</w:t>
            </w:r>
            <w:r>
              <w:rPr>
                <w:rFonts w:ascii="Times New Roman" w:eastAsia="宋体" w:hAnsi="Times New Roman" w:cs="Times New Roman"/>
                <w:kern w:val="0"/>
                <w:szCs w:val="21"/>
              </w:rPr>
              <w:t>区域</w:t>
            </w:r>
            <w:r>
              <w:rPr>
                <w:rFonts w:ascii="Times New Roman" w:eastAsia="宋体" w:hAnsi="Times New Roman" w:cs="Times New Roman"/>
                <w:kern w:val="0"/>
                <w:szCs w:val="21"/>
              </w:rPr>
              <w:t>”</w:t>
            </w:r>
            <w:r>
              <w:rPr>
                <w:rFonts w:ascii="Times New Roman" w:eastAsia="宋体" w:hAnsi="Times New Roman" w:cs="Times New Roman"/>
                <w:kern w:val="0"/>
                <w:szCs w:val="21"/>
              </w:rPr>
              <w:t>的环境风险防控体系。</w:t>
            </w:r>
          </w:p>
          <w:p w14:paraId="29525E9A" w14:textId="77777777" w:rsidR="002133E3" w:rsidRDefault="00C22CFA">
            <w:pPr>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结论与建议：综合环境风险评价工作过程，本项目环境风险可防控，事故影响程度及范围小。</w:t>
            </w:r>
          </w:p>
        </w:tc>
      </w:tr>
      <w:tr w:rsidR="002133E3" w14:paraId="5575E951" w14:textId="77777777">
        <w:trPr>
          <w:trHeight w:val="20"/>
          <w:jc w:val="center"/>
        </w:trPr>
        <w:tc>
          <w:tcPr>
            <w:tcW w:w="5000" w:type="pct"/>
            <w:gridSpan w:val="10"/>
            <w:vAlign w:val="center"/>
          </w:tcPr>
          <w:p w14:paraId="2BB4E304"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注：</w:t>
            </w:r>
            <w:r>
              <w:rPr>
                <w:rFonts w:ascii="Times New Roman" w:eastAsia="宋体" w:hAnsi="Times New Roman" w:cs="Times New Roman"/>
                <w:kern w:val="0"/>
                <w:szCs w:val="21"/>
              </w:rPr>
              <w:t>“</w:t>
            </w:r>
            <w:r>
              <w:rPr>
                <w:rFonts w:ascii="Times New Roman" w:eastAsia="宋体" w:hAnsi="Times New Roman" w:cs="Times New Roman"/>
                <w:kern w:val="0"/>
                <w:szCs w:val="21"/>
              </w:rPr>
              <w:sym w:font="Wingdings 2" w:char="00A3"/>
            </w:r>
            <w:r>
              <w:rPr>
                <w:rFonts w:ascii="Times New Roman" w:eastAsia="宋体" w:hAnsi="Times New Roman" w:cs="Times New Roman"/>
                <w:kern w:val="0"/>
                <w:szCs w:val="21"/>
              </w:rPr>
              <w:t>”</w:t>
            </w:r>
            <w:r>
              <w:rPr>
                <w:rFonts w:ascii="Times New Roman" w:eastAsia="宋体" w:hAnsi="Times New Roman" w:cs="Times New Roman"/>
                <w:kern w:val="0"/>
                <w:szCs w:val="21"/>
              </w:rPr>
              <w:t>为勾选项，</w:t>
            </w:r>
            <w:r>
              <w:rPr>
                <w:rFonts w:ascii="Times New Roman" w:eastAsia="宋体" w:hAnsi="Times New Roman" w:cs="Times New Roman"/>
                <w:kern w:val="0"/>
                <w:szCs w:val="21"/>
              </w:rPr>
              <w:t>“</w:t>
            </w:r>
            <w:r>
              <w:rPr>
                <w:rFonts w:ascii="Times New Roman" w:eastAsia="宋体" w:hAnsi="Times New Roman" w:cs="Times New Roman"/>
                <w:kern w:val="0"/>
                <w:szCs w:val="21"/>
                <w:u w:val="single"/>
              </w:rPr>
              <w:t xml:space="preserve">   </w:t>
            </w:r>
            <w:r>
              <w:rPr>
                <w:rFonts w:ascii="Times New Roman" w:eastAsia="宋体" w:hAnsi="Times New Roman" w:cs="Times New Roman"/>
                <w:kern w:val="0"/>
                <w:szCs w:val="21"/>
              </w:rPr>
              <w:t>”</w:t>
            </w:r>
            <w:r>
              <w:rPr>
                <w:rFonts w:ascii="Times New Roman" w:eastAsia="宋体" w:hAnsi="Times New Roman" w:cs="Times New Roman"/>
                <w:kern w:val="0"/>
                <w:szCs w:val="21"/>
              </w:rPr>
              <w:t>为填写项</w:t>
            </w:r>
          </w:p>
        </w:tc>
      </w:tr>
    </w:tbl>
    <w:p w14:paraId="2784B29A" w14:textId="77777777" w:rsidR="002133E3" w:rsidRDefault="002133E3">
      <w:pPr>
        <w:pStyle w:val="affff3"/>
        <w:ind w:firstLineChars="0" w:firstLine="0"/>
        <w:outlineLvl w:val="0"/>
        <w:rPr>
          <w:rFonts w:ascii="Times New Roman" w:eastAsia="宋体" w:hAnsi="Times New Roman" w:cs="Times New Roman"/>
          <w:b/>
          <w:sz w:val="30"/>
          <w:szCs w:val="30"/>
        </w:rPr>
        <w:sectPr w:rsidR="002133E3">
          <w:pgSz w:w="11906" w:h="16838"/>
          <w:pgMar w:top="1134" w:right="1134" w:bottom="1134" w:left="1134" w:header="851" w:footer="992" w:gutter="0"/>
          <w:cols w:space="425"/>
          <w:docGrid w:type="lines" w:linePitch="312"/>
        </w:sectPr>
      </w:pPr>
    </w:p>
    <w:p w14:paraId="28C4802F" w14:textId="77777777" w:rsidR="002133E3" w:rsidRDefault="00C22CFA">
      <w:pPr>
        <w:pStyle w:val="affff3"/>
        <w:numPr>
          <w:ilvl w:val="0"/>
          <w:numId w:val="2"/>
        </w:numPr>
        <w:ind w:left="0" w:firstLineChars="0" w:firstLine="0"/>
        <w:outlineLvl w:val="0"/>
        <w:rPr>
          <w:rFonts w:ascii="Times New Roman" w:eastAsia="宋体" w:hAnsi="Times New Roman" w:cs="Times New Roman"/>
          <w:b/>
          <w:sz w:val="30"/>
          <w:szCs w:val="30"/>
        </w:rPr>
      </w:pPr>
      <w:bookmarkStart w:id="76" w:name="_Toc47604349"/>
      <w:r>
        <w:rPr>
          <w:rFonts w:ascii="Times New Roman" w:eastAsia="宋体" w:hAnsi="Times New Roman" w:cs="Times New Roman"/>
          <w:b/>
          <w:sz w:val="30"/>
          <w:szCs w:val="30"/>
        </w:rPr>
        <w:lastRenderedPageBreak/>
        <w:t>污染防治措施及技术经济论证</w:t>
      </w:r>
      <w:bookmarkEnd w:id="76"/>
    </w:p>
    <w:p w14:paraId="1576546F"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77" w:name="_Toc47604358"/>
      <w:r>
        <w:rPr>
          <w:rFonts w:ascii="Times New Roman" w:eastAsia="宋体" w:hAnsi="Times New Roman" w:cs="Times New Roman"/>
          <w:b/>
          <w:sz w:val="30"/>
          <w:szCs w:val="30"/>
        </w:rPr>
        <w:t>施工期</w:t>
      </w:r>
      <w:bookmarkEnd w:id="77"/>
      <w:r>
        <w:rPr>
          <w:rFonts w:ascii="Times New Roman" w:eastAsia="宋体" w:hAnsi="Times New Roman" w:cs="Times New Roman"/>
          <w:b/>
          <w:sz w:val="30"/>
          <w:szCs w:val="30"/>
        </w:rPr>
        <w:t>污染防治措施</w:t>
      </w:r>
    </w:p>
    <w:p w14:paraId="7791D32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大气污染防治措施</w:t>
      </w:r>
    </w:p>
    <w:p w14:paraId="305D8AA8"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采取合理可行的控制措施，可减轻扬尘的污染程度，缩小影响范围。主要措施对策有：</w:t>
      </w:r>
    </w:p>
    <w:p w14:paraId="0F9D17A4"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施工现场实行合理化管理，少量的砂、石料应统一堆放、保存，以尽可能减少堆场数量，并加棚布等覆盖；白灰等粉状材料运输应袋装或罐装，禁止散装，应设专门的库房堆放，并具备可靠的预防扬尘措施，尽量减少搬运环节并尽可能使用预制混凝土。</w:t>
      </w:r>
    </w:p>
    <w:p w14:paraId="18A0A26E"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挖掘前，对作业面和土堆适当喷水，使其保持一定的湿度减少扬尘。及时清运开挖的土方与建筑垃圾，以防因长期堆放而表面干燥起尘。</w:t>
      </w:r>
    </w:p>
    <w:p w14:paraId="6584241C"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减少运输过程的扬尘，谨防运输车辆装载过满，不得超出车厢板高度，并采取遮盖、密闭措施减少沿途抛洒、散落，并及时清扫散落在路面上的泥土和建筑材料，定期冲洗轮胎，车辆不得带泥、沙出施工场地。</w:t>
      </w:r>
    </w:p>
    <w:p w14:paraId="196A3152"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⑷</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施工现场进行围栏或部分围栏，缩小施工扬尘扩散范围。</w:t>
      </w:r>
    </w:p>
    <w:p w14:paraId="19F2E6E4"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⑸</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当出现风速过大等不利天气状况时应停止施工作业，并对堆存的建筑材料进行遮盖。</w:t>
      </w:r>
    </w:p>
    <w:p w14:paraId="169072FA" w14:textId="77777777" w:rsidR="002133E3" w:rsidRDefault="00C22CFA">
      <w:pPr>
        <w:spacing w:line="52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kern w:val="0"/>
          <w:sz w:val="28"/>
          <w:szCs w:val="28"/>
        </w:rPr>
        <w:t>通过以上措施，可基本防止施工中粉尘污染，不会对区域空气质量造成明显影响。</w:t>
      </w:r>
    </w:p>
    <w:p w14:paraId="3E97928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水污染防治措施</w:t>
      </w:r>
    </w:p>
    <w:p w14:paraId="57DBFC62"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施工废水经分类收集后依托厂区现有污水处理厂处理入园区污水管网，可达到接管要求。</w:t>
      </w:r>
    </w:p>
    <w:p w14:paraId="2D6E2B2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噪声污染防治措施</w:t>
      </w:r>
    </w:p>
    <w:p w14:paraId="767AFC37"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为减轻施工噪声对环境影响，建议采取以下措施：</w:t>
      </w:r>
    </w:p>
    <w:p w14:paraId="672AC3E3"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合理安排施工进度和作业时间，对主要噪声设备应采取相应的限时作业，尽量避免夜间使用强噪声设备施工。</w:t>
      </w:r>
    </w:p>
    <w:p w14:paraId="6EA9C9AF"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合理安排施工机械安放位置，尽可能放置于场地中间及对场界外造成影</w:t>
      </w:r>
      <w:r>
        <w:rPr>
          <w:rFonts w:ascii="Times New Roman" w:eastAsia="宋体" w:hAnsi="Times New Roman" w:cs="Times New Roman"/>
          <w:kern w:val="0"/>
          <w:sz w:val="28"/>
          <w:szCs w:val="28"/>
        </w:rPr>
        <w:lastRenderedPageBreak/>
        <w:t>响最小的地点。</w:t>
      </w:r>
    </w:p>
    <w:p w14:paraId="02AB1FD6"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优先选用低噪声设备，对高噪声设备采取隔声、隔震或消声措施，如在高噪声设备周围设置掩蔽物、加隔震垫、安装消声器等。</w:t>
      </w:r>
    </w:p>
    <w:p w14:paraId="79F0FF86"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⑷</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压缩工区汽车数量和行车密度，控制汽车鸣笛。</w:t>
      </w:r>
    </w:p>
    <w:p w14:paraId="2D87AD0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固废防治措施</w:t>
      </w:r>
    </w:p>
    <w:p w14:paraId="4905749A"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建筑垃圾及时清运进行填埋或加以回收利用。</w:t>
      </w:r>
    </w:p>
    <w:p w14:paraId="71572557" w14:textId="77777777" w:rsidR="002133E3" w:rsidRDefault="00C22CFA">
      <w:pPr>
        <w:spacing w:line="52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kern w:val="0"/>
          <w:sz w:val="28"/>
          <w:szCs w:val="28"/>
        </w:rPr>
        <w:t>少量生活垃圾及时清运处理，做到日产日清，尽早进行卫生填埋处理，防止腐烂变质，孳生蚊虫苍蝇，产生恶臭，传染疾病。</w:t>
      </w:r>
    </w:p>
    <w:p w14:paraId="37405BF0"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废气污染防治措施及经济技术论证</w:t>
      </w:r>
    </w:p>
    <w:p w14:paraId="3B13DE3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有组织工艺废气</w:t>
      </w:r>
    </w:p>
    <w:p w14:paraId="04414153"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项目工艺废气主要特点是：以有机废气为主，废气排放连续；以生产工段为单位分布，废气的产生源集中，废气量较大。项目废气产生及车间设置情况详见表</w:t>
      </w:r>
      <w:r>
        <w:rPr>
          <w:rFonts w:ascii="Times New Roman" w:eastAsia="宋体" w:hAnsi="Times New Roman" w:cs="Times New Roman"/>
          <w:kern w:val="0"/>
          <w:sz w:val="28"/>
          <w:szCs w:val="28"/>
        </w:rPr>
        <w:t>4.5-1</w:t>
      </w:r>
      <w:r>
        <w:rPr>
          <w:rFonts w:ascii="Times New Roman" w:eastAsia="宋体" w:hAnsi="Times New Roman" w:cs="Times New Roman"/>
          <w:kern w:val="0"/>
          <w:sz w:val="28"/>
          <w:szCs w:val="28"/>
        </w:rPr>
        <w:t>。拟根据不同气体的性质及特性分别采取不同的设施处理车间的各类废气。</w:t>
      </w:r>
    </w:p>
    <w:p w14:paraId="5673AFFE"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项目车间有组织废气污染物走向详见图</w:t>
      </w:r>
      <w:r>
        <w:rPr>
          <w:rFonts w:ascii="Times New Roman" w:eastAsia="宋体" w:hAnsi="Times New Roman" w:cs="Times New Roman"/>
          <w:kern w:val="0"/>
          <w:sz w:val="28"/>
          <w:szCs w:val="28"/>
        </w:rPr>
        <w:t>7.2-1</w:t>
      </w:r>
      <w:r>
        <w:rPr>
          <w:rFonts w:ascii="Times New Roman" w:eastAsia="宋体" w:hAnsi="Times New Roman" w:cs="Times New Roman"/>
          <w:kern w:val="0"/>
          <w:sz w:val="28"/>
          <w:szCs w:val="28"/>
        </w:rPr>
        <w:t>。</w:t>
      </w:r>
    </w:p>
    <w:p w14:paraId="2F338EDF" w14:textId="77777777" w:rsidR="002133E3" w:rsidRDefault="009F1FEF">
      <w:pPr>
        <w:widowControl/>
        <w:spacing w:beforeLines="50" w:before="156" w:afterLines="50" w:after="156"/>
        <w:jc w:val="center"/>
        <w:rPr>
          <w:rFonts w:ascii="Times New Roman" w:eastAsia="宋体" w:hAnsi="Times New Roman" w:cs="Times New Roman"/>
          <w:b/>
          <w:color w:val="FF0000"/>
          <w:kern w:val="0"/>
          <w:sz w:val="24"/>
          <w:szCs w:val="20"/>
        </w:rPr>
      </w:pPr>
      <w:bookmarkStart w:id="78" w:name="_Hlk74667280"/>
      <w:r>
        <w:rPr>
          <w:rFonts w:ascii="Times New Roman" w:hAnsi="Times New Roman" w:cs="Times New Roman"/>
        </w:rPr>
        <w:pict w14:anchorId="4D4A05AE">
          <v:shape id="_x0000_i1060" type="#_x0000_t75" style="width:456.7pt;height:268.2pt">
            <v:imagedata r:id="rId115" o:title=""/>
          </v:shape>
        </w:pict>
      </w:r>
      <w:bookmarkEnd w:id="78"/>
    </w:p>
    <w:p w14:paraId="4DCB5A6E" w14:textId="77777777" w:rsidR="002133E3" w:rsidRDefault="00C22CFA">
      <w:pPr>
        <w:widowControl/>
        <w:spacing w:beforeLines="50" w:before="156" w:afterLines="50" w:after="156"/>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图</w:t>
      </w:r>
      <w:r>
        <w:rPr>
          <w:rFonts w:ascii="Times New Roman" w:eastAsia="宋体" w:hAnsi="Times New Roman" w:cs="Times New Roman"/>
          <w:b/>
          <w:kern w:val="0"/>
          <w:sz w:val="24"/>
          <w:szCs w:val="24"/>
        </w:rPr>
        <w:t xml:space="preserve">7.2-1  </w:t>
      </w:r>
      <w:r>
        <w:rPr>
          <w:rFonts w:ascii="Times New Roman" w:eastAsia="宋体" w:hAnsi="Times New Roman" w:cs="Times New Roman"/>
          <w:b/>
          <w:kern w:val="0"/>
          <w:sz w:val="24"/>
          <w:szCs w:val="24"/>
        </w:rPr>
        <w:t>项目有组织废气污染物走向情况</w:t>
      </w:r>
    </w:p>
    <w:p w14:paraId="0D5913A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酒精</w:t>
      </w:r>
      <w:r>
        <w:rPr>
          <w:rFonts w:ascii="Times New Roman" w:eastAsia="宋体" w:hAnsi="Times New Roman" w:cs="Times New Roman"/>
          <w:b/>
          <w:sz w:val="30"/>
          <w:szCs w:val="30"/>
        </w:rPr>
        <w:t>(95%)</w:t>
      </w:r>
      <w:r>
        <w:rPr>
          <w:rFonts w:ascii="Times New Roman" w:eastAsia="宋体" w:hAnsi="Times New Roman" w:cs="Times New Roman"/>
          <w:b/>
          <w:sz w:val="30"/>
          <w:szCs w:val="30"/>
        </w:rPr>
        <w:t>生产线粉碎废气</w:t>
      </w:r>
    </w:p>
    <w:p w14:paraId="2D5340B6" w14:textId="77777777" w:rsidR="002133E3" w:rsidRDefault="00C22CFA">
      <w:pPr>
        <w:widowControl/>
        <w:spacing w:line="52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含尘废气主要为木薯干粉尘，主要成分为淀粉、蛋白质及其他固形物等，产生于粉碎工段，</w:t>
      </w:r>
    </w:p>
    <w:p w14:paraId="6DE6608E" w14:textId="77777777" w:rsidR="002133E3" w:rsidRDefault="00C22CFA">
      <w:pPr>
        <w:widowControl/>
        <w:spacing w:line="52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5</w:t>
      </w:r>
      <w:r>
        <w:rPr>
          <w:rFonts w:ascii="Times New Roman" w:eastAsia="宋体" w:hAnsi="Times New Roman" w:cs="Times New Roman"/>
          <w:kern w:val="0"/>
          <w:sz w:val="28"/>
          <w:szCs w:val="20"/>
        </w:rPr>
        <w:t>万</w:t>
      </w:r>
      <w:r>
        <w:rPr>
          <w:rFonts w:ascii="Times New Roman" w:eastAsia="宋体" w:hAnsi="Times New Roman" w:cs="Times New Roman"/>
          <w:kern w:val="0"/>
          <w:sz w:val="28"/>
          <w:szCs w:val="20"/>
        </w:rPr>
        <w:t>t/a</w:t>
      </w:r>
      <w:r>
        <w:rPr>
          <w:rFonts w:ascii="Times New Roman" w:eastAsia="宋体" w:hAnsi="Times New Roman" w:cs="Times New Roman"/>
          <w:kern w:val="0"/>
          <w:sz w:val="28"/>
          <w:szCs w:val="20"/>
        </w:rPr>
        <w:t>酒精</w:t>
      </w:r>
      <w:r>
        <w:rPr>
          <w:rFonts w:ascii="Times New Roman" w:eastAsia="宋体" w:hAnsi="Times New Roman" w:cs="Times New Roman"/>
          <w:kern w:val="0"/>
          <w:sz w:val="28"/>
          <w:szCs w:val="20"/>
        </w:rPr>
        <w:t>(≥95%,V/V)</w:t>
      </w:r>
      <w:r>
        <w:rPr>
          <w:rFonts w:ascii="Times New Roman" w:eastAsia="宋体" w:hAnsi="Times New Roman" w:cs="Times New Roman"/>
          <w:kern w:val="0"/>
          <w:sz w:val="28"/>
          <w:szCs w:val="20"/>
        </w:rPr>
        <w:t>生产线粉碎工段</w:t>
      </w:r>
      <w:r>
        <w:rPr>
          <w:rFonts w:ascii="Times New Roman" w:eastAsia="宋体" w:hAnsi="Times New Roman" w:cs="Times New Roman" w:hint="eastAsia"/>
          <w:kern w:val="0"/>
          <w:sz w:val="28"/>
          <w:szCs w:val="20"/>
        </w:rPr>
        <w:t>每套粉碎设备</w:t>
      </w:r>
      <w:r>
        <w:rPr>
          <w:rFonts w:ascii="Times New Roman" w:eastAsia="宋体" w:hAnsi="Times New Roman" w:cs="Times New Roman"/>
          <w:kern w:val="0"/>
          <w:sz w:val="28"/>
          <w:szCs w:val="20"/>
        </w:rPr>
        <w:t>粉尘产生浓度为</w:t>
      </w:r>
      <w:r>
        <w:rPr>
          <w:rFonts w:ascii="Times New Roman" w:eastAsia="宋体" w:hAnsi="Times New Roman" w:cs="Times New Roman"/>
          <w:kern w:val="0"/>
          <w:sz w:val="28"/>
          <w:szCs w:val="20"/>
        </w:rPr>
        <w:t>3703.7mg/m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，排气量为</w:t>
      </w:r>
      <w:r>
        <w:rPr>
          <w:rFonts w:ascii="Times New Roman" w:eastAsia="宋体" w:hAnsi="Times New Roman" w:cs="Times New Roman"/>
          <w:kern w:val="0"/>
          <w:sz w:val="28"/>
          <w:szCs w:val="20"/>
        </w:rPr>
        <w:t>10000m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/h</w:t>
      </w:r>
      <w:r>
        <w:rPr>
          <w:rFonts w:ascii="Times New Roman" w:eastAsia="宋体" w:hAnsi="Times New Roman" w:cs="Times New Roman" w:hint="eastAsia"/>
          <w:kern w:val="0"/>
          <w:sz w:val="28"/>
          <w:szCs w:val="20"/>
        </w:rPr>
        <w:t>，</w:t>
      </w:r>
      <w:r>
        <w:rPr>
          <w:rFonts w:ascii="Times New Roman" w:eastAsia="宋体" w:hAnsi="Times New Roman" w:cs="Times New Roman"/>
          <w:kern w:val="0"/>
          <w:sz w:val="28"/>
          <w:szCs w:val="20"/>
        </w:rPr>
        <w:t>拟采用水膜除尘</w:t>
      </w:r>
      <w:r>
        <w:rPr>
          <w:rFonts w:ascii="Times New Roman" w:eastAsia="宋体" w:hAnsi="Times New Roman" w:cs="Times New Roman" w:hint="eastAsia"/>
          <w:kern w:val="0"/>
          <w:sz w:val="28"/>
          <w:szCs w:val="20"/>
        </w:rPr>
        <w:t>设施</w:t>
      </w:r>
      <w:r>
        <w:rPr>
          <w:rFonts w:ascii="Times New Roman" w:eastAsia="宋体" w:hAnsi="Times New Roman" w:cs="Times New Roman"/>
          <w:kern w:val="0"/>
          <w:sz w:val="28"/>
          <w:szCs w:val="20"/>
        </w:rPr>
        <w:t>处理后经</w:t>
      </w:r>
      <w:r>
        <w:rPr>
          <w:rFonts w:ascii="Times New Roman" w:eastAsia="宋体" w:hAnsi="Times New Roman" w:cs="Times New Roman"/>
          <w:kern w:val="0"/>
          <w:sz w:val="28"/>
          <w:szCs w:val="20"/>
        </w:rPr>
        <w:t>20m</w:t>
      </w:r>
      <w:r>
        <w:rPr>
          <w:rFonts w:ascii="Times New Roman" w:eastAsia="宋体" w:hAnsi="Times New Roman" w:cs="Times New Roman"/>
          <w:kern w:val="0"/>
          <w:sz w:val="28"/>
          <w:szCs w:val="20"/>
        </w:rPr>
        <w:t>高的排气筒</w:t>
      </w:r>
      <w:r>
        <w:rPr>
          <w:rFonts w:ascii="Times New Roman" w:eastAsia="宋体" w:hAnsi="Times New Roman" w:cs="Times New Roman" w:hint="eastAsia"/>
          <w:kern w:val="0"/>
          <w:sz w:val="28"/>
          <w:szCs w:val="20"/>
        </w:rPr>
        <w:t>（</w:t>
      </w:r>
      <w:r>
        <w:rPr>
          <w:rFonts w:ascii="Times New Roman" w:eastAsia="宋体" w:hAnsi="Times New Roman" w:cs="Times New Roman"/>
          <w:kern w:val="0"/>
          <w:sz w:val="28"/>
          <w:szCs w:val="20"/>
        </w:rPr>
        <w:t>14#</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15#</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16#</w:t>
      </w:r>
      <w:r>
        <w:rPr>
          <w:rFonts w:ascii="Times New Roman" w:eastAsia="宋体" w:hAnsi="Times New Roman" w:cs="Times New Roman" w:hint="eastAsia"/>
          <w:kern w:val="0"/>
          <w:sz w:val="28"/>
          <w:szCs w:val="20"/>
        </w:rPr>
        <w:t>）</w:t>
      </w:r>
      <w:r>
        <w:rPr>
          <w:rFonts w:ascii="Times New Roman" w:eastAsia="宋体" w:hAnsi="Times New Roman" w:cs="Times New Roman"/>
          <w:kern w:val="0"/>
          <w:sz w:val="28"/>
          <w:szCs w:val="20"/>
        </w:rPr>
        <w:t>排空，同时将除尘装置产生的含尘水回用于混合拌料工段。水膜除尘器设计除尘效率在</w:t>
      </w:r>
      <w:r>
        <w:rPr>
          <w:rFonts w:ascii="Times New Roman" w:eastAsia="宋体" w:hAnsi="Times New Roman" w:cs="Times New Roman"/>
          <w:kern w:val="0"/>
          <w:sz w:val="28"/>
          <w:szCs w:val="20"/>
        </w:rPr>
        <w:t>99%</w:t>
      </w:r>
      <w:r>
        <w:rPr>
          <w:rFonts w:ascii="Times New Roman" w:eastAsia="宋体" w:hAnsi="Times New Roman" w:cs="Times New Roman"/>
          <w:kern w:val="0"/>
          <w:sz w:val="28"/>
          <w:szCs w:val="20"/>
        </w:rPr>
        <w:t>以上，除尘后排放浓度为</w:t>
      </w:r>
      <w:r>
        <w:rPr>
          <w:rFonts w:ascii="Times New Roman" w:eastAsia="宋体" w:hAnsi="Times New Roman" w:cs="Times New Roman"/>
          <w:kern w:val="0"/>
          <w:sz w:val="28"/>
          <w:szCs w:val="20"/>
        </w:rPr>
        <w:t>37.04mg/m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，排放速率为</w:t>
      </w:r>
      <w:r>
        <w:rPr>
          <w:rFonts w:ascii="Times New Roman" w:eastAsia="宋体" w:hAnsi="Times New Roman" w:cs="Times New Roman"/>
          <w:kern w:val="0"/>
          <w:sz w:val="28"/>
          <w:szCs w:val="20"/>
        </w:rPr>
        <w:t>0.37kg/h</w:t>
      </w:r>
      <w:r>
        <w:rPr>
          <w:rFonts w:ascii="Times New Roman" w:eastAsia="宋体" w:hAnsi="Times New Roman" w:cs="Times New Roman"/>
          <w:kern w:val="0"/>
          <w:sz w:val="28"/>
          <w:szCs w:val="20"/>
        </w:rPr>
        <w:t>。</w:t>
      </w:r>
    </w:p>
    <w:p w14:paraId="3A130AA4" w14:textId="77777777" w:rsidR="002133E3" w:rsidRDefault="00C22CFA">
      <w:pPr>
        <w:widowControl/>
        <w:spacing w:line="52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10</w:t>
      </w:r>
      <w:r>
        <w:rPr>
          <w:rFonts w:ascii="Times New Roman" w:eastAsia="宋体" w:hAnsi="Times New Roman" w:cs="Times New Roman"/>
          <w:kern w:val="0"/>
          <w:sz w:val="28"/>
          <w:szCs w:val="20"/>
        </w:rPr>
        <w:t>万</w:t>
      </w:r>
      <w:r>
        <w:rPr>
          <w:rFonts w:ascii="Times New Roman" w:eastAsia="宋体" w:hAnsi="Times New Roman" w:cs="Times New Roman"/>
          <w:kern w:val="0"/>
          <w:sz w:val="28"/>
          <w:szCs w:val="20"/>
        </w:rPr>
        <w:t>t/a</w:t>
      </w:r>
      <w:r>
        <w:rPr>
          <w:rFonts w:ascii="Times New Roman" w:eastAsia="宋体" w:hAnsi="Times New Roman" w:cs="Times New Roman"/>
          <w:kern w:val="0"/>
          <w:sz w:val="28"/>
          <w:szCs w:val="20"/>
        </w:rPr>
        <w:t>酒精</w:t>
      </w:r>
      <w:r>
        <w:rPr>
          <w:rFonts w:ascii="Times New Roman" w:eastAsia="宋体" w:hAnsi="Times New Roman" w:cs="Times New Roman"/>
          <w:kern w:val="0"/>
          <w:sz w:val="28"/>
          <w:szCs w:val="20"/>
        </w:rPr>
        <w:t>(≥95%,V/V)</w:t>
      </w:r>
      <w:r>
        <w:rPr>
          <w:rFonts w:ascii="Times New Roman" w:eastAsia="宋体" w:hAnsi="Times New Roman" w:cs="Times New Roman"/>
          <w:kern w:val="0"/>
          <w:sz w:val="28"/>
          <w:szCs w:val="20"/>
        </w:rPr>
        <w:t>生产线粉碎工段</w:t>
      </w:r>
      <w:r>
        <w:rPr>
          <w:rFonts w:ascii="Times New Roman" w:eastAsia="宋体" w:hAnsi="Times New Roman" w:cs="Times New Roman" w:hint="eastAsia"/>
          <w:kern w:val="0"/>
          <w:sz w:val="28"/>
          <w:szCs w:val="20"/>
        </w:rPr>
        <w:t>每套粉碎设备</w:t>
      </w:r>
      <w:r>
        <w:rPr>
          <w:rFonts w:ascii="Times New Roman" w:eastAsia="宋体" w:hAnsi="Times New Roman" w:cs="Times New Roman"/>
          <w:kern w:val="0"/>
          <w:sz w:val="28"/>
          <w:szCs w:val="20"/>
        </w:rPr>
        <w:t>粉尘产生浓度为</w:t>
      </w:r>
      <w:r>
        <w:rPr>
          <w:rFonts w:ascii="Times New Roman" w:eastAsia="宋体" w:hAnsi="Times New Roman" w:cs="Times New Roman"/>
          <w:kern w:val="0"/>
          <w:sz w:val="28"/>
          <w:szCs w:val="20"/>
        </w:rPr>
        <w:t>1234.6mg/m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，排气量为</w:t>
      </w:r>
      <w:r>
        <w:rPr>
          <w:rFonts w:ascii="Times New Roman" w:eastAsia="宋体" w:hAnsi="Times New Roman" w:cs="Times New Roman"/>
          <w:kern w:val="0"/>
          <w:sz w:val="28"/>
          <w:szCs w:val="20"/>
        </w:rPr>
        <w:t>60000m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/h</w:t>
      </w:r>
      <w:r>
        <w:rPr>
          <w:rFonts w:ascii="Times New Roman" w:eastAsia="宋体" w:hAnsi="Times New Roman" w:cs="Times New Roman" w:hint="eastAsia"/>
          <w:kern w:val="0"/>
          <w:sz w:val="28"/>
          <w:szCs w:val="20"/>
        </w:rPr>
        <w:t>，利用现有</w:t>
      </w:r>
      <w:r>
        <w:rPr>
          <w:rFonts w:ascii="Times New Roman" w:eastAsia="宋体" w:hAnsi="Times New Roman" w:cs="Times New Roman"/>
          <w:kern w:val="0"/>
          <w:sz w:val="28"/>
          <w:szCs w:val="20"/>
        </w:rPr>
        <w:t>水膜除尘</w:t>
      </w:r>
      <w:r>
        <w:rPr>
          <w:rFonts w:ascii="Times New Roman" w:eastAsia="宋体" w:hAnsi="Times New Roman" w:cs="Times New Roman" w:hint="eastAsia"/>
          <w:kern w:val="0"/>
          <w:sz w:val="28"/>
          <w:szCs w:val="20"/>
        </w:rPr>
        <w:t>设施</w:t>
      </w:r>
      <w:r>
        <w:rPr>
          <w:rFonts w:ascii="Times New Roman" w:eastAsia="宋体" w:hAnsi="Times New Roman" w:cs="Times New Roman"/>
          <w:kern w:val="0"/>
          <w:sz w:val="28"/>
          <w:szCs w:val="20"/>
        </w:rPr>
        <w:t>处理后经</w:t>
      </w:r>
      <w:r>
        <w:rPr>
          <w:rFonts w:ascii="Times New Roman" w:eastAsia="宋体" w:hAnsi="Times New Roman" w:cs="Times New Roman"/>
          <w:kern w:val="0"/>
          <w:sz w:val="28"/>
          <w:szCs w:val="20"/>
        </w:rPr>
        <w:t>20m</w:t>
      </w:r>
      <w:r>
        <w:rPr>
          <w:rFonts w:ascii="Times New Roman" w:eastAsia="宋体" w:hAnsi="Times New Roman" w:cs="Times New Roman"/>
          <w:kern w:val="0"/>
          <w:sz w:val="28"/>
          <w:szCs w:val="20"/>
        </w:rPr>
        <w:t>高的排气筒</w:t>
      </w:r>
      <w:r>
        <w:rPr>
          <w:rFonts w:ascii="Times New Roman" w:eastAsia="宋体" w:hAnsi="Times New Roman" w:cs="Times New Roman" w:hint="eastAsia"/>
          <w:kern w:val="0"/>
          <w:sz w:val="28"/>
          <w:szCs w:val="20"/>
        </w:rPr>
        <w:t>（</w:t>
      </w:r>
      <w:r>
        <w:rPr>
          <w:rFonts w:ascii="Times New Roman" w:eastAsia="宋体" w:hAnsi="Times New Roman" w:cs="Times New Roman"/>
          <w:kern w:val="0"/>
          <w:sz w:val="28"/>
          <w:szCs w:val="20"/>
        </w:rPr>
        <w:t>1#</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2#</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3#</w:t>
      </w:r>
      <w:r>
        <w:rPr>
          <w:rFonts w:ascii="Times New Roman" w:eastAsia="宋体" w:hAnsi="Times New Roman" w:cs="Times New Roman" w:hint="eastAsia"/>
          <w:kern w:val="0"/>
          <w:sz w:val="28"/>
          <w:szCs w:val="20"/>
        </w:rPr>
        <w:t>）</w:t>
      </w:r>
      <w:r>
        <w:rPr>
          <w:rFonts w:ascii="Times New Roman" w:eastAsia="宋体" w:hAnsi="Times New Roman" w:cs="Times New Roman"/>
          <w:kern w:val="0"/>
          <w:sz w:val="28"/>
          <w:szCs w:val="20"/>
        </w:rPr>
        <w:t>排空，同时将除尘装置产生的含尘水回用于混合拌料工段。水膜除尘器设计除尘效率在</w:t>
      </w:r>
      <w:r>
        <w:rPr>
          <w:rFonts w:ascii="Times New Roman" w:eastAsia="宋体" w:hAnsi="Times New Roman" w:cs="Times New Roman"/>
          <w:kern w:val="0"/>
          <w:sz w:val="28"/>
          <w:szCs w:val="20"/>
        </w:rPr>
        <w:t>99%</w:t>
      </w:r>
      <w:r>
        <w:rPr>
          <w:rFonts w:ascii="Times New Roman" w:eastAsia="宋体" w:hAnsi="Times New Roman" w:cs="Times New Roman"/>
          <w:kern w:val="0"/>
          <w:sz w:val="28"/>
          <w:szCs w:val="20"/>
        </w:rPr>
        <w:t>以上，除尘后排放浓度为</w:t>
      </w:r>
      <w:r>
        <w:rPr>
          <w:rFonts w:ascii="Times New Roman" w:eastAsia="宋体" w:hAnsi="Times New Roman" w:cs="Times New Roman"/>
          <w:kern w:val="0"/>
          <w:sz w:val="28"/>
          <w:szCs w:val="20"/>
        </w:rPr>
        <w:t>12.35mg/m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，排放速率为</w:t>
      </w:r>
      <w:r>
        <w:rPr>
          <w:rFonts w:ascii="Times New Roman" w:eastAsia="宋体" w:hAnsi="Times New Roman" w:cs="Times New Roman"/>
          <w:kern w:val="0"/>
          <w:sz w:val="28"/>
          <w:szCs w:val="20"/>
        </w:rPr>
        <w:t>0.74kg/h</w:t>
      </w:r>
      <w:r>
        <w:rPr>
          <w:rFonts w:ascii="Times New Roman" w:eastAsia="宋体" w:hAnsi="Times New Roman" w:cs="Times New Roman"/>
          <w:kern w:val="0"/>
          <w:sz w:val="28"/>
          <w:szCs w:val="20"/>
        </w:rPr>
        <w:t>。</w:t>
      </w:r>
    </w:p>
    <w:p w14:paraId="078C1484" w14:textId="77777777" w:rsidR="002133E3" w:rsidRDefault="00C22CFA">
      <w:pPr>
        <w:widowControl/>
        <w:spacing w:line="52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在正常运行情况下能够确保粉尘排放浓度和排放速率满足《大气污染物综合排放标准》</w:t>
      </w:r>
      <w:r>
        <w:rPr>
          <w:rFonts w:ascii="Times New Roman" w:eastAsia="宋体" w:hAnsi="Times New Roman" w:cs="Times New Roman"/>
          <w:kern w:val="0"/>
          <w:sz w:val="28"/>
          <w:szCs w:val="20"/>
        </w:rPr>
        <w:t>(GB16297-1996)</w:t>
      </w:r>
      <w:r>
        <w:rPr>
          <w:rFonts w:ascii="Times New Roman" w:eastAsia="宋体" w:hAnsi="Times New Roman" w:cs="Times New Roman"/>
          <w:kern w:val="0"/>
          <w:sz w:val="28"/>
          <w:szCs w:val="20"/>
        </w:rPr>
        <w:t>的要求。含尘废气中木薯干颗粒物价值较高，而且对于有回收利用价值的粉尘，本装置比其它类型的除尘器更易于操作，更有利于回收，是目前常见的除尘回收设施。因此项目工艺粉尘废气的处理措施是合理可行的。其主要设计参数见表</w:t>
      </w:r>
      <w:r>
        <w:rPr>
          <w:rFonts w:ascii="Times New Roman" w:eastAsia="宋体" w:hAnsi="Times New Roman" w:cs="Times New Roman"/>
          <w:kern w:val="0"/>
          <w:sz w:val="28"/>
          <w:szCs w:val="20"/>
        </w:rPr>
        <w:t>7.2-1</w:t>
      </w:r>
      <w:r>
        <w:rPr>
          <w:rFonts w:ascii="Times New Roman" w:eastAsia="宋体" w:hAnsi="Times New Roman" w:cs="Times New Roman"/>
          <w:kern w:val="0"/>
          <w:sz w:val="28"/>
          <w:szCs w:val="20"/>
        </w:rPr>
        <w:t>。</w:t>
      </w:r>
    </w:p>
    <w:p w14:paraId="23FBC4C0" w14:textId="77777777" w:rsidR="002133E3" w:rsidRDefault="00C22CFA">
      <w:pPr>
        <w:spacing w:line="520" w:lineRule="exact"/>
        <w:jc w:val="center"/>
        <w:rPr>
          <w:rFonts w:ascii="Times New Roman" w:eastAsia="宋体" w:hAnsi="Times New Roman" w:cs="Times New Roman"/>
          <w:b/>
          <w:bCs/>
          <w:sz w:val="24"/>
          <w:szCs w:val="24"/>
        </w:rPr>
      </w:pPr>
      <w:bookmarkStart w:id="79" w:name="_Hlk74667629"/>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7.2-1   </w:t>
      </w:r>
      <w:r>
        <w:rPr>
          <w:rFonts w:ascii="Times New Roman" w:eastAsia="宋体" w:hAnsi="Times New Roman" w:cs="Times New Roman"/>
          <w:b/>
          <w:bCs/>
          <w:sz w:val="24"/>
          <w:szCs w:val="24"/>
        </w:rPr>
        <w:t>水膜除尘器设计参数表</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212"/>
        <w:gridCol w:w="8482"/>
      </w:tblGrid>
      <w:tr w:rsidR="002133E3" w14:paraId="117A2726" w14:textId="77777777">
        <w:trPr>
          <w:trHeight w:val="284"/>
        </w:trPr>
        <w:tc>
          <w:tcPr>
            <w:tcW w:w="5000" w:type="pct"/>
            <w:gridSpan w:val="2"/>
            <w:tcMar>
              <w:left w:w="28" w:type="dxa"/>
              <w:right w:w="28" w:type="dxa"/>
            </w:tcMar>
            <w:vAlign w:val="center"/>
          </w:tcPr>
          <w:p w14:paraId="016B6E7B"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水膜除尘装置设计参数</w:t>
            </w:r>
          </w:p>
        </w:tc>
      </w:tr>
      <w:tr w:rsidR="002133E3" w14:paraId="433B4730" w14:textId="77777777">
        <w:trPr>
          <w:trHeight w:val="284"/>
        </w:trPr>
        <w:tc>
          <w:tcPr>
            <w:tcW w:w="625" w:type="pct"/>
            <w:tcMar>
              <w:left w:w="28" w:type="dxa"/>
              <w:right w:w="28" w:type="dxa"/>
            </w:tcMar>
            <w:vAlign w:val="center"/>
          </w:tcPr>
          <w:p w14:paraId="163C94B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设计参数</w:t>
            </w:r>
          </w:p>
        </w:tc>
        <w:tc>
          <w:tcPr>
            <w:tcW w:w="4375" w:type="pct"/>
            <w:vAlign w:val="center"/>
          </w:tcPr>
          <w:p w14:paraId="2D218FB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处理风量：</w:t>
            </w:r>
            <w:r>
              <w:rPr>
                <w:rFonts w:ascii="Times New Roman" w:eastAsia="宋体" w:hAnsi="Times New Roman" w:cs="Times New Roman"/>
                <w:kern w:val="0"/>
                <w:szCs w:val="21"/>
              </w:rPr>
              <w:t xml:space="preserve"> 60000m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/h</w:t>
            </w:r>
            <w:r>
              <w:rPr>
                <w:rFonts w:ascii="Times New Roman" w:eastAsia="宋体" w:hAnsi="Times New Roman" w:cs="Times New Roman"/>
                <w:kern w:val="0"/>
                <w:szCs w:val="21"/>
              </w:rPr>
              <w:t>（</w:t>
            </w:r>
            <w:r>
              <w:rPr>
                <w:rFonts w:ascii="Times New Roman" w:eastAsia="宋体" w:hAnsi="Times New Roman" w:cs="Times New Roman"/>
                <w:kern w:val="0"/>
                <w:szCs w:val="21"/>
              </w:rPr>
              <w:t>3</w:t>
            </w:r>
            <w:r>
              <w:rPr>
                <w:rFonts w:ascii="Times New Roman" w:eastAsia="宋体" w:hAnsi="Times New Roman" w:cs="Times New Roman"/>
                <w:kern w:val="0"/>
                <w:szCs w:val="21"/>
              </w:rPr>
              <w:t>套），设计温度</w:t>
            </w:r>
            <w:r>
              <w:rPr>
                <w:rFonts w:ascii="Times New Roman" w:eastAsia="宋体" w:hAnsi="Times New Roman" w:cs="Times New Roman"/>
                <w:kern w:val="0"/>
                <w:szCs w:val="21"/>
              </w:rPr>
              <w:t>80</w:t>
            </w:r>
            <w:r>
              <w:rPr>
                <w:rFonts w:ascii="宋体" w:eastAsia="宋体" w:hAnsi="宋体" w:cs="宋体" w:hint="eastAsia"/>
                <w:kern w:val="0"/>
                <w:szCs w:val="21"/>
              </w:rPr>
              <w:t>℃</w:t>
            </w:r>
            <w:r>
              <w:rPr>
                <w:rFonts w:ascii="Times New Roman" w:eastAsia="宋体" w:hAnsi="Times New Roman" w:cs="Times New Roman"/>
                <w:kern w:val="0"/>
                <w:szCs w:val="21"/>
              </w:rPr>
              <w:t>，阻力损耗在</w:t>
            </w:r>
            <w:r>
              <w:rPr>
                <w:rFonts w:ascii="Times New Roman" w:eastAsia="宋体" w:hAnsi="Times New Roman" w:cs="Times New Roman"/>
                <w:kern w:val="0"/>
                <w:szCs w:val="21"/>
              </w:rPr>
              <w:t>1000</w:t>
            </w:r>
            <w:r>
              <w:rPr>
                <w:rFonts w:ascii="Times New Roman" w:eastAsia="宋体" w:hAnsi="Times New Roman" w:cs="Times New Roman"/>
                <w:kern w:val="0"/>
                <w:szCs w:val="21"/>
              </w:rPr>
              <w:t>帕以下</w:t>
            </w:r>
          </w:p>
          <w:p w14:paraId="7B92A11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处理风量：</w:t>
            </w:r>
            <w:r>
              <w:rPr>
                <w:rFonts w:ascii="Times New Roman" w:eastAsia="宋体" w:hAnsi="Times New Roman" w:cs="Times New Roman"/>
                <w:kern w:val="0"/>
                <w:szCs w:val="21"/>
              </w:rPr>
              <w:t xml:space="preserve"> 10000m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/h</w:t>
            </w:r>
            <w:r>
              <w:rPr>
                <w:rFonts w:ascii="Times New Roman" w:eastAsia="宋体" w:hAnsi="Times New Roman" w:cs="Times New Roman"/>
                <w:kern w:val="0"/>
                <w:szCs w:val="21"/>
              </w:rPr>
              <w:t>（</w:t>
            </w:r>
            <w:r>
              <w:rPr>
                <w:rFonts w:ascii="Times New Roman" w:eastAsia="宋体" w:hAnsi="Times New Roman" w:cs="Times New Roman"/>
                <w:kern w:val="0"/>
                <w:szCs w:val="21"/>
              </w:rPr>
              <w:t>3</w:t>
            </w:r>
            <w:r>
              <w:rPr>
                <w:rFonts w:ascii="Times New Roman" w:eastAsia="宋体" w:hAnsi="Times New Roman" w:cs="Times New Roman"/>
                <w:kern w:val="0"/>
                <w:szCs w:val="21"/>
              </w:rPr>
              <w:t>套），设计温度</w:t>
            </w:r>
            <w:r>
              <w:rPr>
                <w:rFonts w:ascii="Times New Roman" w:eastAsia="宋体" w:hAnsi="Times New Roman" w:cs="Times New Roman"/>
                <w:kern w:val="0"/>
                <w:szCs w:val="21"/>
              </w:rPr>
              <w:t>80</w:t>
            </w:r>
            <w:r>
              <w:rPr>
                <w:rFonts w:ascii="宋体" w:eastAsia="宋体" w:hAnsi="宋体" w:cs="宋体" w:hint="eastAsia"/>
                <w:kern w:val="0"/>
                <w:szCs w:val="21"/>
              </w:rPr>
              <w:t>℃</w:t>
            </w:r>
            <w:r>
              <w:rPr>
                <w:rFonts w:ascii="Times New Roman" w:eastAsia="宋体" w:hAnsi="Times New Roman" w:cs="Times New Roman"/>
                <w:kern w:val="0"/>
                <w:szCs w:val="21"/>
              </w:rPr>
              <w:t>，阻力损耗在</w:t>
            </w:r>
            <w:r>
              <w:rPr>
                <w:rFonts w:ascii="Times New Roman" w:eastAsia="宋体" w:hAnsi="Times New Roman" w:cs="Times New Roman"/>
                <w:kern w:val="0"/>
                <w:szCs w:val="21"/>
              </w:rPr>
              <w:t>1000</w:t>
            </w:r>
            <w:r>
              <w:rPr>
                <w:rFonts w:ascii="Times New Roman" w:eastAsia="宋体" w:hAnsi="Times New Roman" w:cs="Times New Roman"/>
                <w:kern w:val="0"/>
                <w:szCs w:val="21"/>
              </w:rPr>
              <w:t>帕以下</w:t>
            </w:r>
          </w:p>
        </w:tc>
      </w:tr>
      <w:tr w:rsidR="002133E3" w14:paraId="4EE2A55D" w14:textId="77777777">
        <w:trPr>
          <w:trHeight w:val="284"/>
        </w:trPr>
        <w:tc>
          <w:tcPr>
            <w:tcW w:w="625" w:type="pct"/>
            <w:tcMar>
              <w:left w:w="28" w:type="dxa"/>
              <w:right w:w="28" w:type="dxa"/>
            </w:tcMar>
            <w:vAlign w:val="center"/>
          </w:tcPr>
          <w:p w14:paraId="5426CB7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主要设备</w:t>
            </w:r>
          </w:p>
        </w:tc>
        <w:tc>
          <w:tcPr>
            <w:tcW w:w="4375" w:type="pct"/>
            <w:vAlign w:val="center"/>
          </w:tcPr>
          <w:p w14:paraId="6F59461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吸收塔、水泵、循环水池、收集池等</w:t>
            </w:r>
          </w:p>
        </w:tc>
      </w:tr>
      <w:tr w:rsidR="002133E3" w14:paraId="2AAF401A" w14:textId="77777777">
        <w:trPr>
          <w:trHeight w:val="284"/>
        </w:trPr>
        <w:tc>
          <w:tcPr>
            <w:tcW w:w="625" w:type="pct"/>
            <w:tcMar>
              <w:left w:w="28" w:type="dxa"/>
              <w:right w:w="28" w:type="dxa"/>
            </w:tcMar>
            <w:vAlign w:val="center"/>
          </w:tcPr>
          <w:p w14:paraId="67EEC5D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设备投资</w:t>
            </w:r>
          </w:p>
        </w:tc>
        <w:tc>
          <w:tcPr>
            <w:tcW w:w="4375" w:type="pct"/>
            <w:vAlign w:val="center"/>
          </w:tcPr>
          <w:p w14:paraId="4E298A6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设备总投资</w:t>
            </w:r>
            <w:r>
              <w:rPr>
                <w:rFonts w:ascii="Times New Roman" w:eastAsia="宋体" w:hAnsi="Times New Roman" w:cs="Times New Roman"/>
                <w:kern w:val="0"/>
                <w:szCs w:val="21"/>
              </w:rPr>
              <w:t>10</w:t>
            </w:r>
            <w:r>
              <w:rPr>
                <w:rFonts w:ascii="Times New Roman" w:eastAsia="宋体" w:hAnsi="Times New Roman" w:cs="Times New Roman"/>
                <w:kern w:val="0"/>
                <w:szCs w:val="21"/>
              </w:rPr>
              <w:t>万元（单套），运行费用</w:t>
            </w:r>
            <w:r>
              <w:rPr>
                <w:rFonts w:ascii="Times New Roman" w:eastAsia="宋体" w:hAnsi="Times New Roman" w:cs="Times New Roman"/>
                <w:kern w:val="0"/>
                <w:szCs w:val="21"/>
              </w:rPr>
              <w:t>5</w:t>
            </w:r>
            <w:r>
              <w:rPr>
                <w:rFonts w:ascii="Times New Roman" w:eastAsia="宋体" w:hAnsi="Times New Roman" w:cs="Times New Roman"/>
                <w:kern w:val="0"/>
                <w:szCs w:val="21"/>
              </w:rPr>
              <w:t>万元（单套）</w:t>
            </w:r>
          </w:p>
        </w:tc>
      </w:tr>
      <w:tr w:rsidR="002133E3" w14:paraId="5D0DD90A" w14:textId="77777777">
        <w:trPr>
          <w:trHeight w:val="284"/>
        </w:trPr>
        <w:tc>
          <w:tcPr>
            <w:tcW w:w="625" w:type="pct"/>
            <w:tcMar>
              <w:left w:w="28" w:type="dxa"/>
              <w:right w:w="28" w:type="dxa"/>
            </w:tcMar>
            <w:vAlign w:val="center"/>
          </w:tcPr>
          <w:p w14:paraId="203ADF2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其它</w:t>
            </w:r>
          </w:p>
        </w:tc>
        <w:tc>
          <w:tcPr>
            <w:tcW w:w="4375" w:type="pct"/>
            <w:vAlign w:val="center"/>
          </w:tcPr>
          <w:p w14:paraId="0D8F3CA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产生的吸收液回用于混合拌料工段。</w:t>
            </w:r>
          </w:p>
          <w:p w14:paraId="4B176F1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该装置目前酒精行业使用较多，安装及运行参数翔实，运行可靠，从技术角度分析，采用该方法是可行的。</w:t>
            </w:r>
          </w:p>
        </w:tc>
      </w:tr>
    </w:tbl>
    <w:bookmarkEnd w:id="79"/>
    <w:p w14:paraId="774C2EFE"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含尘废气处理工艺流程如图</w:t>
      </w:r>
      <w:r>
        <w:rPr>
          <w:rFonts w:ascii="Times New Roman" w:eastAsia="宋体" w:hAnsi="Times New Roman" w:cs="Times New Roman"/>
          <w:kern w:val="0"/>
          <w:sz w:val="28"/>
          <w:szCs w:val="28"/>
        </w:rPr>
        <w:t>7.2-2</w:t>
      </w:r>
      <w:r>
        <w:rPr>
          <w:rFonts w:ascii="Times New Roman" w:eastAsia="宋体" w:hAnsi="Times New Roman" w:cs="Times New Roman"/>
          <w:kern w:val="0"/>
          <w:sz w:val="28"/>
          <w:szCs w:val="28"/>
        </w:rPr>
        <w:t>所示，物料平衡图见图</w:t>
      </w:r>
      <w:r>
        <w:rPr>
          <w:rFonts w:ascii="Times New Roman" w:eastAsia="宋体" w:hAnsi="Times New Roman" w:cs="Times New Roman"/>
          <w:kern w:val="0"/>
          <w:sz w:val="28"/>
          <w:szCs w:val="28"/>
        </w:rPr>
        <w:t>7.2-3</w:t>
      </w:r>
      <w:r>
        <w:rPr>
          <w:rFonts w:ascii="Times New Roman" w:eastAsia="宋体" w:hAnsi="Times New Roman" w:cs="Times New Roman"/>
          <w:kern w:val="0"/>
          <w:sz w:val="28"/>
          <w:szCs w:val="28"/>
        </w:rPr>
        <w:t>。</w:t>
      </w:r>
    </w:p>
    <w:p w14:paraId="40B3C8B9" w14:textId="77777777" w:rsidR="002133E3" w:rsidRDefault="009F1FEF">
      <w:pPr>
        <w:widowControl/>
        <w:jc w:val="center"/>
        <w:rPr>
          <w:rFonts w:ascii="Times New Roman" w:eastAsia="宋体" w:hAnsi="Times New Roman" w:cs="Times New Roman"/>
          <w:color w:val="FF0000"/>
          <w:kern w:val="0"/>
          <w:sz w:val="24"/>
          <w:szCs w:val="20"/>
        </w:rPr>
      </w:pPr>
      <w:r>
        <w:rPr>
          <w:rFonts w:ascii="Times New Roman" w:hAnsi="Times New Roman" w:cs="Times New Roman"/>
        </w:rPr>
        <w:lastRenderedPageBreak/>
        <w:pict w14:anchorId="2D14FA83">
          <v:shape id="_x0000_i1061" type="#_x0000_t75" style="width:383.25pt;height:122.25pt">
            <v:imagedata r:id="rId116" o:title=""/>
          </v:shape>
        </w:pict>
      </w:r>
    </w:p>
    <w:p w14:paraId="30DA1F43" w14:textId="77777777" w:rsidR="002133E3" w:rsidRDefault="00C22CFA">
      <w:pPr>
        <w:widowControl/>
        <w:tabs>
          <w:tab w:val="left" w:pos="600"/>
        </w:tabs>
        <w:spacing w:line="500" w:lineRule="exac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图</w:t>
      </w:r>
      <w:r>
        <w:rPr>
          <w:rFonts w:ascii="Times New Roman" w:eastAsia="宋体" w:hAnsi="Times New Roman" w:cs="Times New Roman"/>
          <w:b/>
          <w:kern w:val="0"/>
          <w:sz w:val="24"/>
          <w:szCs w:val="24"/>
        </w:rPr>
        <w:t xml:space="preserve">7.2-2  </w:t>
      </w:r>
      <w:r>
        <w:rPr>
          <w:rFonts w:ascii="Times New Roman" w:eastAsia="宋体" w:hAnsi="Times New Roman" w:cs="Times New Roman"/>
          <w:b/>
          <w:kern w:val="0"/>
          <w:sz w:val="24"/>
          <w:szCs w:val="24"/>
        </w:rPr>
        <w:t>粉碎工序粉尘废气处理工艺流程图</w:t>
      </w:r>
    </w:p>
    <w:p w14:paraId="3AEE2202" w14:textId="77777777" w:rsidR="002133E3" w:rsidRDefault="009F1FEF">
      <w:pPr>
        <w:widowControl/>
        <w:tabs>
          <w:tab w:val="left" w:pos="600"/>
        </w:tabs>
        <w:jc w:val="center"/>
        <w:rPr>
          <w:rFonts w:ascii="Times New Roman" w:eastAsia="宋体" w:hAnsi="Times New Roman" w:cs="Times New Roman"/>
          <w:kern w:val="0"/>
          <w:sz w:val="24"/>
          <w:szCs w:val="20"/>
        </w:rPr>
      </w:pPr>
      <w:r>
        <w:pict w14:anchorId="1C4FFA0C">
          <v:shape id="_x0000_i1062" type="#_x0000_t75" style="width:456pt;height:141.75pt">
            <v:imagedata r:id="rId117" o:title=""/>
          </v:shape>
        </w:pict>
      </w:r>
    </w:p>
    <w:p w14:paraId="6756FA7C" w14:textId="77777777" w:rsidR="002133E3" w:rsidRDefault="009F1FEF">
      <w:pPr>
        <w:widowControl/>
        <w:tabs>
          <w:tab w:val="left" w:pos="600"/>
        </w:tabs>
        <w:jc w:val="center"/>
        <w:rPr>
          <w:rFonts w:ascii="Times New Roman" w:eastAsia="宋体" w:hAnsi="Times New Roman" w:cs="Times New Roman"/>
          <w:b/>
          <w:kern w:val="0"/>
          <w:szCs w:val="21"/>
        </w:rPr>
      </w:pPr>
      <w:r>
        <w:pict w14:anchorId="07CBF20F">
          <v:shape id="_x0000_i1063" type="#_x0000_t75" style="width:473.25pt;height:142.5pt">
            <v:imagedata r:id="rId118" o:title=""/>
          </v:shape>
        </w:pict>
      </w:r>
    </w:p>
    <w:p w14:paraId="65722BFC" w14:textId="77777777" w:rsidR="002133E3" w:rsidRDefault="00C22CFA">
      <w:pPr>
        <w:widowControl/>
        <w:tabs>
          <w:tab w:val="left" w:pos="600"/>
        </w:tabs>
        <w:jc w:val="center"/>
        <w:rPr>
          <w:rFonts w:ascii="Times New Roman" w:eastAsia="宋体" w:hAnsi="Times New Roman" w:cs="Times New Roman"/>
          <w:b/>
          <w:sz w:val="24"/>
          <w:szCs w:val="24"/>
        </w:rPr>
      </w:pPr>
      <w:r>
        <w:rPr>
          <w:rFonts w:ascii="Times New Roman" w:eastAsia="宋体" w:hAnsi="Times New Roman" w:cs="Times New Roman"/>
          <w:b/>
          <w:kern w:val="0"/>
          <w:sz w:val="24"/>
          <w:szCs w:val="24"/>
        </w:rPr>
        <w:t>图</w:t>
      </w:r>
      <w:r>
        <w:rPr>
          <w:rFonts w:ascii="Times New Roman" w:eastAsia="宋体" w:hAnsi="Times New Roman" w:cs="Times New Roman"/>
          <w:b/>
          <w:kern w:val="0"/>
          <w:sz w:val="24"/>
          <w:szCs w:val="24"/>
        </w:rPr>
        <w:t xml:space="preserve">7.2-3  </w:t>
      </w:r>
      <w:r>
        <w:rPr>
          <w:rFonts w:ascii="Times New Roman" w:eastAsia="宋体" w:hAnsi="Times New Roman" w:cs="Times New Roman"/>
          <w:b/>
          <w:kern w:val="0"/>
          <w:sz w:val="24"/>
          <w:szCs w:val="24"/>
        </w:rPr>
        <w:t>粉碎工序粉尘废气处理工艺物料平衡图</w:t>
      </w:r>
      <w:r>
        <w:rPr>
          <w:rFonts w:ascii="Times New Roman" w:eastAsia="宋体" w:hAnsi="Times New Roman" w:cs="Times New Roman"/>
          <w:b/>
          <w:kern w:val="0"/>
          <w:sz w:val="24"/>
          <w:szCs w:val="24"/>
        </w:rPr>
        <w:t>(t/a)</w:t>
      </w:r>
    </w:p>
    <w:p w14:paraId="680E4E97"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bookmarkStart w:id="80" w:name="_Hlk73088155"/>
      <w:r>
        <w:rPr>
          <w:rFonts w:ascii="Times New Roman" w:eastAsia="宋体" w:hAnsi="Times New Roman" w:cs="Times New Roman"/>
          <w:b/>
          <w:sz w:val="30"/>
          <w:szCs w:val="30"/>
        </w:rPr>
        <w:t>酒精</w:t>
      </w:r>
      <w:r>
        <w:rPr>
          <w:rFonts w:ascii="Times New Roman" w:eastAsia="宋体" w:hAnsi="Times New Roman" w:cs="Times New Roman"/>
          <w:b/>
          <w:sz w:val="30"/>
          <w:szCs w:val="30"/>
        </w:rPr>
        <w:t>(95%)</w:t>
      </w:r>
      <w:r>
        <w:rPr>
          <w:rFonts w:ascii="Times New Roman" w:eastAsia="宋体" w:hAnsi="Times New Roman" w:cs="Times New Roman"/>
          <w:b/>
          <w:sz w:val="30"/>
          <w:szCs w:val="30"/>
        </w:rPr>
        <w:t>生产线发酵废气</w:t>
      </w:r>
    </w:p>
    <w:bookmarkEnd w:id="80"/>
    <w:p w14:paraId="07E9F437"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发酵废气中主要成分为大量</w:t>
      </w:r>
      <w:r>
        <w:rPr>
          <w:rFonts w:ascii="Times New Roman" w:eastAsia="宋体" w:hAnsi="Times New Roman" w:cs="Times New Roman"/>
          <w:kern w:val="0"/>
          <w:sz w:val="28"/>
          <w:szCs w:val="28"/>
          <w:lang w:val="zh-CN"/>
        </w:rPr>
        <w:t>CO</w:t>
      </w:r>
      <w:r>
        <w:rPr>
          <w:rFonts w:ascii="Times New Roman" w:eastAsia="宋体" w:hAnsi="Times New Roman" w:cs="Times New Roman"/>
          <w:kern w:val="0"/>
          <w:sz w:val="28"/>
          <w:szCs w:val="28"/>
          <w:vertAlign w:val="subscript"/>
          <w:lang w:val="zh-CN"/>
        </w:rPr>
        <w:t>2</w:t>
      </w:r>
      <w:r>
        <w:rPr>
          <w:rFonts w:ascii="Times New Roman" w:eastAsia="宋体" w:hAnsi="Times New Roman" w:cs="Times New Roman"/>
          <w:kern w:val="0"/>
          <w:sz w:val="28"/>
          <w:szCs w:val="28"/>
          <w:lang w:val="zh-CN"/>
        </w:rPr>
        <w:t>，以及少量</w:t>
      </w:r>
      <w:r>
        <w:rPr>
          <w:rFonts w:ascii="Times New Roman" w:eastAsia="宋体" w:hAnsi="Times New Roman" w:cs="Times New Roman"/>
          <w:color w:val="000000"/>
          <w:kern w:val="0"/>
          <w:sz w:val="28"/>
          <w:szCs w:val="28"/>
          <w:lang w:val="zh-CN"/>
        </w:rPr>
        <w:t>CO</w:t>
      </w:r>
      <w:r>
        <w:rPr>
          <w:rFonts w:ascii="Times New Roman" w:eastAsia="宋体" w:hAnsi="Times New Roman" w:cs="Times New Roman"/>
          <w:color w:val="000000"/>
          <w:kern w:val="0"/>
          <w:sz w:val="28"/>
          <w:szCs w:val="28"/>
          <w:vertAlign w:val="subscript"/>
          <w:lang w:val="zh-CN"/>
        </w:rPr>
        <w:t>2</w:t>
      </w:r>
      <w:r>
        <w:rPr>
          <w:rFonts w:ascii="Times New Roman" w:eastAsia="宋体" w:hAnsi="Times New Roman" w:cs="Times New Roman"/>
          <w:color w:val="000000"/>
          <w:kern w:val="0"/>
          <w:sz w:val="28"/>
          <w:szCs w:val="28"/>
          <w:lang w:val="zh-CN"/>
        </w:rPr>
        <w:t>、乙醇、甲醇、醛等</w:t>
      </w:r>
      <w:r>
        <w:rPr>
          <w:rFonts w:ascii="Times New Roman" w:eastAsia="宋体" w:hAnsi="Times New Roman" w:cs="Times New Roman"/>
          <w:kern w:val="0"/>
          <w:sz w:val="28"/>
          <w:szCs w:val="28"/>
        </w:rPr>
        <w:t>有机废气。金茂源公司在</w:t>
      </w:r>
      <w:r>
        <w:rPr>
          <w:rFonts w:ascii="Times New Roman" w:eastAsia="宋体" w:hAnsi="Times New Roman" w:cs="Times New Roman"/>
          <w:spacing w:val="-4"/>
          <w:kern w:val="0"/>
          <w:sz w:val="28"/>
          <w:szCs w:val="28"/>
        </w:rPr>
        <w:t>《江苏金茂源生物化工有限责任公司年产</w:t>
      </w:r>
      <w:r>
        <w:rPr>
          <w:rFonts w:ascii="Times New Roman" w:eastAsia="宋体" w:hAnsi="Times New Roman" w:cs="Times New Roman"/>
          <w:spacing w:val="-4"/>
          <w:kern w:val="0"/>
          <w:sz w:val="28"/>
          <w:szCs w:val="28"/>
        </w:rPr>
        <w:t>20</w:t>
      </w:r>
      <w:r>
        <w:rPr>
          <w:rFonts w:ascii="Times New Roman" w:eastAsia="宋体" w:hAnsi="Times New Roman" w:cs="Times New Roman"/>
          <w:spacing w:val="-4"/>
          <w:kern w:val="0"/>
          <w:sz w:val="28"/>
          <w:szCs w:val="28"/>
        </w:rPr>
        <w:t>万吨醋酸乙</w:t>
      </w:r>
      <w:r>
        <w:rPr>
          <w:rFonts w:ascii="Times New Roman" w:eastAsia="宋体" w:hAnsi="Times New Roman" w:cs="Times New Roman"/>
          <w:spacing w:val="-4"/>
          <w:kern w:val="0"/>
          <w:sz w:val="28"/>
          <w:szCs w:val="28"/>
        </w:rPr>
        <w:t>(</w:t>
      </w:r>
      <w:r>
        <w:rPr>
          <w:rFonts w:ascii="Times New Roman" w:eastAsia="宋体" w:hAnsi="Times New Roman" w:cs="Times New Roman"/>
          <w:spacing w:val="-4"/>
          <w:kern w:val="0"/>
          <w:sz w:val="28"/>
          <w:szCs w:val="28"/>
        </w:rPr>
        <w:t>丁</w:t>
      </w:r>
      <w:r>
        <w:rPr>
          <w:rFonts w:ascii="Times New Roman" w:eastAsia="宋体" w:hAnsi="Times New Roman" w:cs="Times New Roman"/>
          <w:spacing w:val="-4"/>
          <w:kern w:val="0"/>
          <w:sz w:val="28"/>
          <w:szCs w:val="28"/>
        </w:rPr>
        <w:t>)</w:t>
      </w:r>
      <w:r>
        <w:rPr>
          <w:rFonts w:ascii="Times New Roman" w:eastAsia="宋体" w:hAnsi="Times New Roman" w:cs="Times New Roman"/>
          <w:spacing w:val="-4"/>
          <w:kern w:val="0"/>
          <w:sz w:val="28"/>
          <w:szCs w:val="28"/>
        </w:rPr>
        <w:t>酯等工程项目环境影响报告书》中曾拟针对发酵废气建设一套</w:t>
      </w:r>
      <w:r>
        <w:rPr>
          <w:rFonts w:ascii="Times New Roman" w:eastAsia="宋体" w:hAnsi="Times New Roman" w:cs="Times New Roman"/>
          <w:spacing w:val="-4"/>
          <w:kern w:val="0"/>
          <w:sz w:val="28"/>
          <w:szCs w:val="28"/>
        </w:rPr>
        <w:t>CO</w:t>
      </w:r>
      <w:r>
        <w:rPr>
          <w:rFonts w:ascii="Times New Roman" w:eastAsia="宋体" w:hAnsi="Times New Roman" w:cs="Times New Roman"/>
          <w:spacing w:val="-4"/>
          <w:kern w:val="0"/>
          <w:sz w:val="28"/>
          <w:szCs w:val="28"/>
          <w:vertAlign w:val="subscript"/>
        </w:rPr>
        <w:t>2</w:t>
      </w:r>
      <w:r>
        <w:rPr>
          <w:rFonts w:ascii="Times New Roman" w:eastAsia="宋体" w:hAnsi="Times New Roman" w:cs="Times New Roman"/>
          <w:spacing w:val="-4"/>
          <w:kern w:val="0"/>
          <w:sz w:val="28"/>
          <w:szCs w:val="28"/>
        </w:rPr>
        <w:t>回收装</w:t>
      </w:r>
      <w:r>
        <w:rPr>
          <w:rFonts w:ascii="Times New Roman" w:eastAsia="宋体" w:hAnsi="Times New Roman" w:cs="Times New Roman"/>
          <w:kern w:val="0"/>
          <w:sz w:val="28"/>
          <w:szCs w:val="28"/>
        </w:rPr>
        <w:t>置，拟将发酵废气中的</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经压缩冷却制成液态</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后作为工业原料外售，但由于资金及回报率等多方面原因，</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回收装置始终未建设。本项目亦暂不考虑发酵废气的回收再生。</w:t>
      </w:r>
    </w:p>
    <w:p w14:paraId="354A9109"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考虑到发酵废气中</w:t>
      </w:r>
      <w:r>
        <w:rPr>
          <w:rFonts w:ascii="Times New Roman" w:eastAsia="宋体" w:hAnsi="Times New Roman" w:cs="Times New Roman"/>
          <w:kern w:val="0"/>
          <w:sz w:val="28"/>
          <w:szCs w:val="28"/>
          <w:lang w:val="zh-CN"/>
        </w:rPr>
        <w:t>CO</w:t>
      </w:r>
      <w:r>
        <w:rPr>
          <w:rFonts w:ascii="Times New Roman" w:eastAsia="宋体" w:hAnsi="Times New Roman" w:cs="Times New Roman"/>
          <w:kern w:val="0"/>
          <w:sz w:val="28"/>
          <w:szCs w:val="28"/>
          <w:vertAlign w:val="subscript"/>
          <w:lang w:val="zh-CN"/>
        </w:rPr>
        <w:t>2</w:t>
      </w:r>
      <w:r>
        <w:rPr>
          <w:rFonts w:ascii="Times New Roman" w:eastAsia="宋体" w:hAnsi="Times New Roman" w:cs="Times New Roman"/>
          <w:kern w:val="0"/>
          <w:sz w:val="28"/>
          <w:szCs w:val="28"/>
          <w:lang w:val="zh-CN"/>
        </w:rPr>
        <w:t>可直接排放，同时其余有机废气均属于水溶性废气</w:t>
      </w:r>
      <w:r>
        <w:rPr>
          <w:rFonts w:ascii="Times New Roman" w:eastAsia="宋体" w:hAnsi="Times New Roman" w:cs="Times New Roman"/>
          <w:kern w:val="0"/>
          <w:sz w:val="28"/>
          <w:szCs w:val="28"/>
        </w:rPr>
        <w:t>，因此拟采用</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套</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一级水吸收</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对发酵废气进行处理，处理后经</w:t>
      </w:r>
      <w:r>
        <w:rPr>
          <w:rFonts w:ascii="Times New Roman" w:eastAsia="宋体" w:hAnsi="Times New Roman" w:cs="Times New Roman"/>
          <w:kern w:val="0"/>
          <w:sz w:val="28"/>
          <w:szCs w:val="28"/>
        </w:rPr>
        <w:t>20m</w:t>
      </w:r>
      <w:r>
        <w:rPr>
          <w:rFonts w:ascii="Times New Roman" w:eastAsia="宋体" w:hAnsi="Times New Roman" w:cs="Times New Roman"/>
          <w:kern w:val="0"/>
          <w:sz w:val="28"/>
          <w:szCs w:val="28"/>
        </w:rPr>
        <w:t>高的排气筒</w:t>
      </w:r>
      <w:r>
        <w:rPr>
          <w:rFonts w:ascii="Times New Roman" w:eastAsia="宋体" w:hAnsi="Times New Roman" w:cs="Times New Roman"/>
          <w:kern w:val="0"/>
          <w:sz w:val="28"/>
          <w:szCs w:val="28"/>
        </w:rPr>
        <w:lastRenderedPageBreak/>
        <w:t>排放，同时将废气吸收排水送入污水站处理。</w:t>
      </w:r>
    </w:p>
    <w:p w14:paraId="08AAE2CF"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由于上述废气除</w:t>
      </w:r>
      <w:r>
        <w:rPr>
          <w:rFonts w:ascii="Times New Roman" w:eastAsia="宋体" w:hAnsi="Times New Roman" w:cs="Times New Roman"/>
          <w:kern w:val="0"/>
          <w:sz w:val="28"/>
          <w:szCs w:val="28"/>
        </w:rPr>
        <w:t>CO</w:t>
      </w:r>
      <w:r>
        <w:rPr>
          <w:rFonts w:ascii="Times New Roman" w:eastAsia="宋体" w:hAnsi="Times New Roman" w:cs="Times New Roman"/>
          <w:kern w:val="0"/>
          <w:sz w:val="28"/>
          <w:szCs w:val="28"/>
          <w:vertAlign w:val="subscript"/>
        </w:rPr>
        <w:t>2</w:t>
      </w:r>
      <w:r>
        <w:rPr>
          <w:rFonts w:ascii="Times New Roman" w:eastAsia="宋体" w:hAnsi="Times New Roman" w:cs="Times New Roman"/>
          <w:kern w:val="0"/>
          <w:sz w:val="28"/>
          <w:szCs w:val="28"/>
        </w:rPr>
        <w:t>外均具有水溶性，因此循环水吸收装置对</w:t>
      </w:r>
      <w:r>
        <w:rPr>
          <w:rFonts w:ascii="Times New Roman" w:eastAsia="宋体" w:hAnsi="Times New Roman" w:cs="Times New Roman"/>
          <w:color w:val="000000"/>
          <w:kern w:val="0"/>
          <w:sz w:val="28"/>
          <w:szCs w:val="28"/>
          <w:lang w:val="zh-CN"/>
        </w:rPr>
        <w:t>乙醇、甲醇</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醛等、挥发性有机物</w:t>
      </w:r>
      <w:r>
        <w:rPr>
          <w:rFonts w:ascii="Times New Roman" w:eastAsia="宋体" w:hAnsi="Times New Roman" w:cs="Times New Roman"/>
          <w:kern w:val="0"/>
          <w:sz w:val="28"/>
          <w:szCs w:val="28"/>
        </w:rPr>
        <w:t>的吸收效率可分别达到</w:t>
      </w:r>
      <w:r>
        <w:rPr>
          <w:rFonts w:ascii="Times New Roman" w:eastAsia="宋体" w:hAnsi="Times New Roman" w:cs="Times New Roman"/>
          <w:kern w:val="0"/>
          <w:sz w:val="28"/>
          <w:szCs w:val="28"/>
        </w:rPr>
        <w:t>99%</w:t>
      </w:r>
      <w:r>
        <w:rPr>
          <w:rFonts w:ascii="Times New Roman" w:eastAsia="宋体" w:hAnsi="Times New Roman" w:cs="Times New Roman"/>
          <w:kern w:val="0"/>
          <w:sz w:val="28"/>
          <w:szCs w:val="28"/>
        </w:rPr>
        <w:t>。</w:t>
      </w:r>
    </w:p>
    <w:p w14:paraId="1ECBDF31" w14:textId="77777777" w:rsidR="002133E3" w:rsidRDefault="00C22CFA">
      <w:pPr>
        <w:spacing w:line="52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根据前章节计算可知，处理后废气中</w:t>
      </w:r>
      <w:r>
        <w:rPr>
          <w:rFonts w:ascii="Times New Roman" w:eastAsia="宋体" w:hAnsi="Times New Roman" w:cs="Times New Roman"/>
          <w:kern w:val="0"/>
          <w:sz w:val="28"/>
          <w:szCs w:val="28"/>
        </w:rPr>
        <w:t>乙醇、</w:t>
      </w:r>
      <w:r>
        <w:rPr>
          <w:rFonts w:ascii="Times New Roman" w:eastAsia="宋体" w:hAnsi="Times New Roman" w:cs="Times New Roman"/>
          <w:color w:val="000000"/>
          <w:kern w:val="0"/>
          <w:sz w:val="28"/>
          <w:szCs w:val="28"/>
          <w:lang w:val="zh-CN"/>
        </w:rPr>
        <w:t>甲醇</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醛等、挥发性有机物</w:t>
      </w:r>
      <w:r>
        <w:rPr>
          <w:rFonts w:ascii="Times New Roman" w:eastAsia="宋体" w:hAnsi="Times New Roman" w:cs="Times New Roman"/>
          <w:kern w:val="0"/>
          <w:sz w:val="28"/>
          <w:szCs w:val="28"/>
        </w:rPr>
        <w:t>的</w:t>
      </w:r>
      <w:r>
        <w:rPr>
          <w:rFonts w:ascii="Times New Roman" w:eastAsia="宋体" w:hAnsi="Times New Roman" w:cs="Times New Roman"/>
          <w:kern w:val="0"/>
          <w:sz w:val="28"/>
          <w:szCs w:val="20"/>
        </w:rPr>
        <w:t>排放浓度分别为</w:t>
      </w:r>
      <w:r>
        <w:rPr>
          <w:rFonts w:ascii="Times New Roman" w:eastAsia="宋体" w:hAnsi="Times New Roman" w:cs="Times New Roman"/>
          <w:kern w:val="0"/>
          <w:sz w:val="28"/>
          <w:szCs w:val="20"/>
        </w:rPr>
        <w:t>4.73mg/m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0.003mg/m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4.73mg/m</w:t>
      </w:r>
      <w:r>
        <w:rPr>
          <w:rFonts w:ascii="Times New Roman" w:eastAsia="宋体" w:hAnsi="Times New Roman" w:cs="Times New Roman"/>
          <w:kern w:val="0"/>
          <w:sz w:val="28"/>
          <w:szCs w:val="20"/>
          <w:vertAlign w:val="superscript"/>
        </w:rPr>
        <w:t>3</w:t>
      </w:r>
      <w:r>
        <w:rPr>
          <w:rFonts w:ascii="Times New Roman" w:eastAsia="宋体" w:hAnsi="Times New Roman" w:cs="Times New Roman"/>
          <w:kern w:val="0"/>
          <w:sz w:val="28"/>
          <w:szCs w:val="20"/>
        </w:rPr>
        <w:t>，排放速率分别为</w:t>
      </w:r>
      <w:r>
        <w:rPr>
          <w:rFonts w:ascii="Times New Roman" w:eastAsia="宋体" w:hAnsi="Times New Roman" w:cs="Times New Roman"/>
          <w:kern w:val="0"/>
          <w:sz w:val="28"/>
          <w:szCs w:val="20"/>
        </w:rPr>
        <w:t>0.07kg/h</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0.00004kg/h</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0.07kg/h</w:t>
      </w:r>
      <w:r>
        <w:rPr>
          <w:rFonts w:ascii="Times New Roman" w:eastAsia="宋体" w:hAnsi="Times New Roman" w:cs="Times New Roman"/>
          <w:kern w:val="0"/>
          <w:sz w:val="28"/>
          <w:szCs w:val="20"/>
        </w:rPr>
        <w:t>。在正常运行情况下，可确保各污染物排放浓度和排放速率满足相应排放标准。</w:t>
      </w:r>
    </w:p>
    <w:p w14:paraId="0E3E12ED" w14:textId="77777777" w:rsidR="002133E3" w:rsidRDefault="00C22CFA">
      <w:pPr>
        <w:widowControl/>
        <w:autoSpaceDE w:val="0"/>
        <w:autoSpaceDN w:val="0"/>
        <w:adjustRightInd w:val="0"/>
        <w:spacing w:line="500" w:lineRule="exact"/>
        <w:ind w:firstLineChars="200" w:firstLine="560"/>
        <w:jc w:val="left"/>
        <w:rPr>
          <w:rFonts w:ascii="Times New Roman" w:eastAsia="宋体" w:hAnsi="Times New Roman" w:cs="Times New Roman"/>
          <w:bCs/>
          <w:kern w:val="0"/>
          <w:sz w:val="28"/>
          <w:szCs w:val="28"/>
        </w:rPr>
      </w:pPr>
      <w:r>
        <w:rPr>
          <w:rFonts w:ascii="Times New Roman" w:eastAsia="宋体" w:hAnsi="Times New Roman" w:cs="Times New Roman"/>
          <w:bCs/>
          <w:kern w:val="0"/>
          <w:sz w:val="28"/>
          <w:szCs w:val="28"/>
        </w:rPr>
        <w:t>水吸收工艺技术成熟，装置简单，净化效率高，运行效果稳定，获得普遍推广。参照同类企业运行经验，一级水吸收可以有效去除发酵异味，吸收液进污水处理站处理。废气处理装置设计参数见表</w:t>
      </w:r>
      <w:r>
        <w:rPr>
          <w:rFonts w:ascii="Times New Roman" w:eastAsia="宋体" w:hAnsi="Times New Roman" w:cs="Times New Roman"/>
          <w:bCs/>
          <w:kern w:val="0"/>
          <w:sz w:val="28"/>
          <w:szCs w:val="28"/>
        </w:rPr>
        <w:t>7.2-2</w:t>
      </w:r>
      <w:r>
        <w:rPr>
          <w:rFonts w:ascii="Times New Roman" w:eastAsia="宋体" w:hAnsi="Times New Roman" w:cs="Times New Roman"/>
          <w:bCs/>
          <w:kern w:val="0"/>
          <w:sz w:val="28"/>
          <w:szCs w:val="28"/>
        </w:rPr>
        <w:t>。</w:t>
      </w:r>
    </w:p>
    <w:p w14:paraId="7E68C371" w14:textId="77777777" w:rsidR="002133E3" w:rsidRDefault="00C22CFA">
      <w:pPr>
        <w:spacing w:line="520" w:lineRule="exact"/>
        <w:jc w:val="center"/>
        <w:rPr>
          <w:rFonts w:ascii="Times New Roman" w:eastAsia="宋体" w:hAnsi="Times New Roman" w:cs="Times New Roman"/>
          <w:b/>
          <w:bCs/>
          <w:sz w:val="24"/>
          <w:szCs w:val="24"/>
        </w:rPr>
      </w:pPr>
      <w:bookmarkStart w:id="81" w:name="_Hlk74667649"/>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7.2-2   </w:t>
      </w:r>
      <w:r>
        <w:rPr>
          <w:rFonts w:ascii="Times New Roman" w:eastAsia="宋体" w:hAnsi="Times New Roman" w:cs="Times New Roman"/>
          <w:b/>
          <w:bCs/>
          <w:sz w:val="24"/>
          <w:szCs w:val="24"/>
        </w:rPr>
        <w:t>水吸收装置设计参数表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518"/>
        <w:gridCol w:w="1616"/>
        <w:gridCol w:w="6520"/>
      </w:tblGrid>
      <w:tr w:rsidR="002133E3" w14:paraId="5197EEF9" w14:textId="77777777">
        <w:trPr>
          <w:trHeight w:val="284"/>
          <w:jc w:val="center"/>
        </w:trPr>
        <w:tc>
          <w:tcPr>
            <w:tcW w:w="1623" w:type="pct"/>
            <w:gridSpan w:val="2"/>
            <w:vAlign w:val="center"/>
          </w:tcPr>
          <w:p w14:paraId="7D8B67A1" w14:textId="77777777" w:rsidR="002133E3" w:rsidRDefault="00C22CFA">
            <w:pPr>
              <w:ind w:firstLineChars="50" w:firstLine="105"/>
              <w:jc w:val="center"/>
              <w:rPr>
                <w:rFonts w:ascii="Times New Roman" w:eastAsia="宋体" w:hAnsi="Times New Roman" w:cs="Times New Roman"/>
                <w:szCs w:val="21"/>
              </w:rPr>
            </w:pPr>
            <w:r>
              <w:rPr>
                <w:rFonts w:ascii="Times New Roman" w:eastAsia="宋体" w:hAnsi="Times New Roman" w:cs="Times New Roman"/>
                <w:szCs w:val="21"/>
              </w:rPr>
              <w:t>项目</w:t>
            </w:r>
          </w:p>
        </w:tc>
        <w:tc>
          <w:tcPr>
            <w:tcW w:w="3377" w:type="pct"/>
            <w:vAlign w:val="center"/>
          </w:tcPr>
          <w:p w14:paraId="6813906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规格参数</w:t>
            </w:r>
          </w:p>
        </w:tc>
      </w:tr>
      <w:tr w:rsidR="002133E3" w14:paraId="044B31DC" w14:textId="77777777">
        <w:trPr>
          <w:trHeight w:val="284"/>
          <w:jc w:val="center"/>
        </w:trPr>
        <w:tc>
          <w:tcPr>
            <w:tcW w:w="1623" w:type="pct"/>
            <w:gridSpan w:val="2"/>
            <w:vAlign w:val="center"/>
          </w:tcPr>
          <w:p w14:paraId="4CB7B6B3"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介质</w:t>
            </w:r>
          </w:p>
        </w:tc>
        <w:tc>
          <w:tcPr>
            <w:tcW w:w="3377" w:type="pct"/>
            <w:vAlign w:val="center"/>
          </w:tcPr>
          <w:p w14:paraId="3EE8CE9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水</w:t>
            </w:r>
          </w:p>
        </w:tc>
      </w:tr>
      <w:tr w:rsidR="002133E3" w14:paraId="0C2B5065" w14:textId="77777777">
        <w:trPr>
          <w:trHeight w:val="284"/>
          <w:jc w:val="center"/>
        </w:trPr>
        <w:tc>
          <w:tcPr>
            <w:tcW w:w="1623" w:type="pct"/>
            <w:gridSpan w:val="2"/>
            <w:vAlign w:val="center"/>
          </w:tcPr>
          <w:p w14:paraId="53C469B6"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数量（座）</w:t>
            </w:r>
          </w:p>
        </w:tc>
        <w:tc>
          <w:tcPr>
            <w:tcW w:w="3377" w:type="pct"/>
            <w:vAlign w:val="center"/>
          </w:tcPr>
          <w:p w14:paraId="31184C1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座</w:t>
            </w:r>
          </w:p>
        </w:tc>
      </w:tr>
      <w:tr w:rsidR="002133E3" w14:paraId="7FB319D8" w14:textId="77777777">
        <w:trPr>
          <w:trHeight w:val="284"/>
          <w:jc w:val="center"/>
        </w:trPr>
        <w:tc>
          <w:tcPr>
            <w:tcW w:w="1623" w:type="pct"/>
            <w:gridSpan w:val="2"/>
            <w:vAlign w:val="center"/>
          </w:tcPr>
          <w:p w14:paraId="74B7DDD9"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材质</w:t>
            </w:r>
          </w:p>
        </w:tc>
        <w:tc>
          <w:tcPr>
            <w:tcW w:w="3377" w:type="pct"/>
            <w:vAlign w:val="center"/>
          </w:tcPr>
          <w:p w14:paraId="4CC6BFA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玻璃钢（塔体及进出管道设泄爆片）</w:t>
            </w:r>
          </w:p>
        </w:tc>
      </w:tr>
      <w:tr w:rsidR="002133E3" w14:paraId="73D8AC24" w14:textId="77777777">
        <w:trPr>
          <w:trHeight w:val="284"/>
          <w:jc w:val="center"/>
        </w:trPr>
        <w:tc>
          <w:tcPr>
            <w:tcW w:w="1623" w:type="pct"/>
            <w:gridSpan w:val="2"/>
            <w:vAlign w:val="center"/>
          </w:tcPr>
          <w:p w14:paraId="14F36BCE"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规格尺寸</w:t>
            </w:r>
          </w:p>
        </w:tc>
        <w:tc>
          <w:tcPr>
            <w:tcW w:w="3377" w:type="pct"/>
            <w:vAlign w:val="center"/>
          </w:tcPr>
          <w:p w14:paraId="597B8CE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φ3000×16000mm</w:t>
            </w:r>
          </w:p>
        </w:tc>
      </w:tr>
      <w:tr w:rsidR="002133E3" w14:paraId="31EB78AC" w14:textId="77777777">
        <w:trPr>
          <w:trHeight w:val="284"/>
          <w:jc w:val="center"/>
        </w:trPr>
        <w:tc>
          <w:tcPr>
            <w:tcW w:w="1623" w:type="pct"/>
            <w:gridSpan w:val="2"/>
            <w:vAlign w:val="center"/>
          </w:tcPr>
          <w:p w14:paraId="5A50CC73"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设计风量（</w:t>
            </w:r>
            <w:r>
              <w:rPr>
                <w:rFonts w:ascii="Times New Roman" w:eastAsia="宋体" w:hAnsi="Times New Roman" w:cs="Times New Roman"/>
                <w:szCs w:val="21"/>
              </w:rPr>
              <w:t>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w:t>
            </w:r>
          </w:p>
        </w:tc>
        <w:tc>
          <w:tcPr>
            <w:tcW w:w="3377" w:type="pct"/>
            <w:vAlign w:val="center"/>
          </w:tcPr>
          <w:p w14:paraId="68C03CD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7000</w:t>
            </w:r>
          </w:p>
        </w:tc>
      </w:tr>
      <w:tr w:rsidR="002133E3" w14:paraId="2E31940A" w14:textId="77777777">
        <w:trPr>
          <w:trHeight w:val="284"/>
          <w:jc w:val="center"/>
        </w:trPr>
        <w:tc>
          <w:tcPr>
            <w:tcW w:w="1623" w:type="pct"/>
            <w:gridSpan w:val="2"/>
            <w:vAlign w:val="center"/>
          </w:tcPr>
          <w:p w14:paraId="31813387"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总高（</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44A2A21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16000</w:t>
            </w:r>
          </w:p>
        </w:tc>
      </w:tr>
      <w:tr w:rsidR="002133E3" w14:paraId="593353D5" w14:textId="77777777">
        <w:trPr>
          <w:trHeight w:val="284"/>
          <w:jc w:val="center"/>
        </w:trPr>
        <w:tc>
          <w:tcPr>
            <w:tcW w:w="1623" w:type="pct"/>
            <w:gridSpan w:val="2"/>
            <w:vAlign w:val="center"/>
          </w:tcPr>
          <w:p w14:paraId="3F09203F"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填料层直径（</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5C26D7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3000</w:t>
            </w:r>
          </w:p>
        </w:tc>
      </w:tr>
      <w:tr w:rsidR="002133E3" w14:paraId="2276C591" w14:textId="77777777">
        <w:trPr>
          <w:trHeight w:val="284"/>
          <w:jc w:val="center"/>
        </w:trPr>
        <w:tc>
          <w:tcPr>
            <w:tcW w:w="1623" w:type="pct"/>
            <w:gridSpan w:val="2"/>
            <w:vAlign w:val="center"/>
          </w:tcPr>
          <w:p w14:paraId="2123EE78"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填料层高度（</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7A802E2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6000</w:t>
            </w:r>
          </w:p>
        </w:tc>
      </w:tr>
      <w:tr w:rsidR="002133E3" w14:paraId="1D6905EF" w14:textId="77777777">
        <w:trPr>
          <w:trHeight w:val="284"/>
          <w:jc w:val="center"/>
        </w:trPr>
        <w:tc>
          <w:tcPr>
            <w:tcW w:w="1623" w:type="pct"/>
            <w:gridSpan w:val="2"/>
            <w:vAlign w:val="center"/>
          </w:tcPr>
          <w:p w14:paraId="4185FEDA"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w:t>
            </w:r>
          </w:p>
        </w:tc>
        <w:tc>
          <w:tcPr>
            <w:tcW w:w="3377" w:type="pct"/>
            <w:vAlign w:val="center"/>
          </w:tcPr>
          <w:p w14:paraId="4C8ECD5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Φ50</w:t>
            </w:r>
            <w:r>
              <w:rPr>
                <w:rFonts w:ascii="Times New Roman" w:eastAsia="宋体" w:hAnsi="Times New Roman" w:cs="Times New Roman"/>
                <w:szCs w:val="21"/>
              </w:rPr>
              <w:t>塑料鲍尔环</w:t>
            </w:r>
          </w:p>
        </w:tc>
      </w:tr>
      <w:tr w:rsidR="002133E3" w14:paraId="1FB2C47D" w14:textId="77777777">
        <w:trPr>
          <w:trHeight w:val="284"/>
          <w:jc w:val="center"/>
        </w:trPr>
        <w:tc>
          <w:tcPr>
            <w:tcW w:w="1623" w:type="pct"/>
            <w:gridSpan w:val="2"/>
            <w:vAlign w:val="center"/>
          </w:tcPr>
          <w:p w14:paraId="61156E8D"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计算泛液气速（</w:t>
            </w:r>
            <w:r>
              <w:rPr>
                <w:rFonts w:ascii="Times New Roman" w:eastAsia="宋体" w:hAnsi="Times New Roman" w:cs="Times New Roman"/>
                <w:szCs w:val="21"/>
              </w:rPr>
              <w:t>m/s</w:t>
            </w:r>
            <w:r>
              <w:rPr>
                <w:rFonts w:ascii="Times New Roman" w:eastAsia="宋体" w:hAnsi="Times New Roman" w:cs="Times New Roman"/>
                <w:szCs w:val="21"/>
              </w:rPr>
              <w:t>）</w:t>
            </w:r>
          </w:p>
        </w:tc>
        <w:tc>
          <w:tcPr>
            <w:tcW w:w="3377" w:type="pct"/>
            <w:vAlign w:val="center"/>
          </w:tcPr>
          <w:p w14:paraId="0E3EF1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1.32</w:t>
            </w:r>
          </w:p>
        </w:tc>
      </w:tr>
      <w:tr w:rsidR="002133E3" w14:paraId="3EB48CC3" w14:textId="77777777">
        <w:trPr>
          <w:trHeight w:val="284"/>
          <w:jc w:val="center"/>
        </w:trPr>
        <w:tc>
          <w:tcPr>
            <w:tcW w:w="1623" w:type="pct"/>
            <w:gridSpan w:val="2"/>
            <w:vAlign w:val="center"/>
          </w:tcPr>
          <w:p w14:paraId="2828A270"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设计空塔气速（</w:t>
            </w:r>
            <w:r>
              <w:rPr>
                <w:rFonts w:ascii="Times New Roman" w:eastAsia="宋体" w:hAnsi="Times New Roman" w:cs="Times New Roman"/>
                <w:szCs w:val="21"/>
              </w:rPr>
              <w:t>m/s</w:t>
            </w:r>
            <w:r>
              <w:rPr>
                <w:rFonts w:ascii="Times New Roman" w:eastAsia="宋体" w:hAnsi="Times New Roman" w:cs="Times New Roman"/>
                <w:szCs w:val="21"/>
              </w:rPr>
              <w:t>）</w:t>
            </w:r>
          </w:p>
        </w:tc>
        <w:tc>
          <w:tcPr>
            <w:tcW w:w="3377" w:type="pct"/>
            <w:vAlign w:val="center"/>
          </w:tcPr>
          <w:p w14:paraId="39EC70E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0.29</w:t>
            </w:r>
          </w:p>
        </w:tc>
      </w:tr>
      <w:tr w:rsidR="002133E3" w14:paraId="097DE3B9" w14:textId="77777777">
        <w:trPr>
          <w:trHeight w:val="284"/>
          <w:jc w:val="center"/>
        </w:trPr>
        <w:tc>
          <w:tcPr>
            <w:tcW w:w="1623" w:type="pct"/>
            <w:gridSpan w:val="2"/>
            <w:vAlign w:val="center"/>
          </w:tcPr>
          <w:p w14:paraId="2F88E0D2"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停留时间（</w:t>
            </w:r>
            <w:r>
              <w:rPr>
                <w:rFonts w:ascii="Times New Roman" w:eastAsia="宋体" w:hAnsi="Times New Roman" w:cs="Times New Roman"/>
                <w:szCs w:val="21"/>
              </w:rPr>
              <w:t>s</w:t>
            </w:r>
            <w:r>
              <w:rPr>
                <w:rFonts w:ascii="Times New Roman" w:eastAsia="宋体" w:hAnsi="Times New Roman" w:cs="Times New Roman"/>
                <w:szCs w:val="21"/>
              </w:rPr>
              <w:t>）</w:t>
            </w:r>
          </w:p>
        </w:tc>
        <w:tc>
          <w:tcPr>
            <w:tcW w:w="3377" w:type="pct"/>
            <w:vAlign w:val="center"/>
          </w:tcPr>
          <w:p w14:paraId="312592C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r>
      <w:tr w:rsidR="002133E3" w14:paraId="04C65A67" w14:textId="77777777">
        <w:trPr>
          <w:trHeight w:val="284"/>
          <w:jc w:val="center"/>
        </w:trPr>
        <w:tc>
          <w:tcPr>
            <w:tcW w:w="1623" w:type="pct"/>
            <w:gridSpan w:val="2"/>
            <w:vAlign w:val="center"/>
          </w:tcPr>
          <w:p w14:paraId="3D95DF7D"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液气比（</w:t>
            </w:r>
            <w:r>
              <w:rPr>
                <w:rFonts w:ascii="Times New Roman" w:eastAsia="宋体" w:hAnsi="Times New Roman" w:cs="Times New Roman"/>
                <w:szCs w:val="21"/>
              </w:rPr>
              <w:t>L /m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w:t>
            </w:r>
          </w:p>
        </w:tc>
        <w:tc>
          <w:tcPr>
            <w:tcW w:w="3377" w:type="pct"/>
            <w:vAlign w:val="center"/>
          </w:tcPr>
          <w:p w14:paraId="39AB89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r>
      <w:tr w:rsidR="002133E3" w14:paraId="4DE79F41" w14:textId="77777777">
        <w:trPr>
          <w:trHeight w:val="284"/>
          <w:jc w:val="center"/>
        </w:trPr>
        <w:tc>
          <w:tcPr>
            <w:tcW w:w="1623" w:type="pct"/>
            <w:gridSpan w:val="2"/>
            <w:vAlign w:val="center"/>
          </w:tcPr>
          <w:p w14:paraId="4886DAAA"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润湿率</w:t>
            </w:r>
          </w:p>
        </w:tc>
        <w:tc>
          <w:tcPr>
            <w:tcW w:w="3377" w:type="pct"/>
            <w:vAlign w:val="center"/>
          </w:tcPr>
          <w:p w14:paraId="787F7CE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0.08</w:t>
            </w:r>
          </w:p>
        </w:tc>
      </w:tr>
      <w:tr w:rsidR="002133E3" w14:paraId="027C2C97" w14:textId="77777777">
        <w:trPr>
          <w:trHeight w:val="284"/>
          <w:jc w:val="center"/>
        </w:trPr>
        <w:tc>
          <w:tcPr>
            <w:tcW w:w="1623" w:type="pct"/>
            <w:gridSpan w:val="2"/>
            <w:vAlign w:val="center"/>
          </w:tcPr>
          <w:p w14:paraId="49D56BD6"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除雾层厚度（</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1B96C7D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w:t>
            </w:r>
          </w:p>
        </w:tc>
      </w:tr>
      <w:tr w:rsidR="002133E3" w14:paraId="71D29BB1" w14:textId="77777777">
        <w:trPr>
          <w:trHeight w:val="284"/>
          <w:jc w:val="center"/>
        </w:trPr>
        <w:tc>
          <w:tcPr>
            <w:tcW w:w="1623" w:type="pct"/>
            <w:gridSpan w:val="2"/>
            <w:vAlign w:val="center"/>
          </w:tcPr>
          <w:p w14:paraId="70C74EE8"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单塔压降</w:t>
            </w:r>
          </w:p>
        </w:tc>
        <w:tc>
          <w:tcPr>
            <w:tcW w:w="3377" w:type="pct"/>
            <w:vAlign w:val="center"/>
          </w:tcPr>
          <w:p w14:paraId="292B010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400+885=1285pa</w:t>
            </w:r>
          </w:p>
        </w:tc>
      </w:tr>
      <w:tr w:rsidR="002133E3" w14:paraId="690FF3E4" w14:textId="77777777">
        <w:trPr>
          <w:trHeight w:val="284"/>
          <w:jc w:val="center"/>
        </w:trPr>
        <w:tc>
          <w:tcPr>
            <w:tcW w:w="786" w:type="pct"/>
            <w:vMerge w:val="restart"/>
            <w:vAlign w:val="center"/>
          </w:tcPr>
          <w:p w14:paraId="37ABB9B5"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循环泵</w:t>
            </w:r>
          </w:p>
        </w:tc>
        <w:tc>
          <w:tcPr>
            <w:tcW w:w="837" w:type="pct"/>
            <w:vAlign w:val="center"/>
          </w:tcPr>
          <w:p w14:paraId="52001784"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数量（台）</w:t>
            </w:r>
          </w:p>
        </w:tc>
        <w:tc>
          <w:tcPr>
            <w:tcW w:w="3377" w:type="pct"/>
            <w:vAlign w:val="center"/>
          </w:tcPr>
          <w:p w14:paraId="6892F6B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用</w:t>
            </w:r>
            <w:r>
              <w:rPr>
                <w:rFonts w:ascii="Times New Roman" w:eastAsia="宋体" w:hAnsi="Times New Roman" w:cs="Times New Roman"/>
                <w:szCs w:val="21"/>
              </w:rPr>
              <w:t>1</w:t>
            </w:r>
            <w:r>
              <w:rPr>
                <w:rFonts w:ascii="Times New Roman" w:eastAsia="宋体" w:hAnsi="Times New Roman" w:cs="Times New Roman"/>
                <w:szCs w:val="21"/>
              </w:rPr>
              <w:t>备）</w:t>
            </w:r>
          </w:p>
        </w:tc>
      </w:tr>
      <w:tr w:rsidR="002133E3" w14:paraId="13B3E585" w14:textId="77777777">
        <w:trPr>
          <w:trHeight w:val="284"/>
          <w:jc w:val="center"/>
        </w:trPr>
        <w:tc>
          <w:tcPr>
            <w:tcW w:w="786" w:type="pct"/>
            <w:vMerge/>
            <w:vAlign w:val="center"/>
          </w:tcPr>
          <w:p w14:paraId="240C661E" w14:textId="77777777" w:rsidR="002133E3" w:rsidRDefault="002133E3">
            <w:pPr>
              <w:jc w:val="center"/>
              <w:rPr>
                <w:rFonts w:ascii="Times New Roman" w:eastAsia="宋体" w:hAnsi="Times New Roman" w:cs="Times New Roman"/>
                <w:szCs w:val="21"/>
              </w:rPr>
            </w:pPr>
          </w:p>
        </w:tc>
        <w:tc>
          <w:tcPr>
            <w:tcW w:w="837" w:type="pct"/>
            <w:vAlign w:val="center"/>
          </w:tcPr>
          <w:p w14:paraId="0AB66325"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流量（</w:t>
            </w:r>
            <w:r>
              <w:rPr>
                <w:rFonts w:ascii="Times New Roman" w:eastAsia="宋体" w:hAnsi="Times New Roman" w:cs="Times New Roman"/>
                <w:szCs w:val="21"/>
              </w:rPr>
              <w:t>m³/h</w:t>
            </w:r>
            <w:r>
              <w:rPr>
                <w:rFonts w:ascii="Times New Roman" w:eastAsia="宋体" w:hAnsi="Times New Roman" w:cs="Times New Roman"/>
                <w:szCs w:val="21"/>
              </w:rPr>
              <w:t>）</w:t>
            </w:r>
          </w:p>
        </w:tc>
        <w:tc>
          <w:tcPr>
            <w:tcW w:w="3377" w:type="pct"/>
            <w:vAlign w:val="center"/>
          </w:tcPr>
          <w:p w14:paraId="120638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r>
      <w:tr w:rsidR="002133E3" w14:paraId="536C793C" w14:textId="77777777">
        <w:trPr>
          <w:trHeight w:val="284"/>
          <w:jc w:val="center"/>
        </w:trPr>
        <w:tc>
          <w:tcPr>
            <w:tcW w:w="786" w:type="pct"/>
            <w:vMerge/>
            <w:vAlign w:val="center"/>
          </w:tcPr>
          <w:p w14:paraId="7778DB8E" w14:textId="77777777" w:rsidR="002133E3" w:rsidRDefault="002133E3">
            <w:pPr>
              <w:autoSpaceDE w:val="0"/>
              <w:autoSpaceDN w:val="0"/>
              <w:adjustRightInd w:val="0"/>
              <w:jc w:val="center"/>
              <w:rPr>
                <w:rFonts w:ascii="Times New Roman" w:eastAsia="宋体" w:hAnsi="Times New Roman" w:cs="Times New Roman"/>
                <w:szCs w:val="21"/>
              </w:rPr>
            </w:pPr>
          </w:p>
        </w:tc>
        <w:tc>
          <w:tcPr>
            <w:tcW w:w="837" w:type="pct"/>
            <w:vAlign w:val="center"/>
          </w:tcPr>
          <w:p w14:paraId="728BD849"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扬程（</w:t>
            </w:r>
            <w:r>
              <w:rPr>
                <w:rFonts w:ascii="Times New Roman" w:eastAsia="宋体" w:hAnsi="Times New Roman" w:cs="Times New Roman"/>
                <w:szCs w:val="21"/>
              </w:rPr>
              <w:t>m</w:t>
            </w:r>
            <w:r>
              <w:rPr>
                <w:rFonts w:ascii="Times New Roman" w:eastAsia="宋体" w:hAnsi="Times New Roman" w:cs="Times New Roman"/>
                <w:szCs w:val="21"/>
              </w:rPr>
              <w:t>）</w:t>
            </w:r>
          </w:p>
        </w:tc>
        <w:tc>
          <w:tcPr>
            <w:tcW w:w="3377" w:type="pct"/>
            <w:vAlign w:val="center"/>
          </w:tcPr>
          <w:p w14:paraId="79F5528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w:t>
            </w:r>
          </w:p>
        </w:tc>
      </w:tr>
      <w:tr w:rsidR="002133E3" w14:paraId="78E38F89" w14:textId="77777777">
        <w:trPr>
          <w:trHeight w:val="284"/>
          <w:jc w:val="center"/>
        </w:trPr>
        <w:tc>
          <w:tcPr>
            <w:tcW w:w="786" w:type="pct"/>
            <w:vMerge/>
            <w:vAlign w:val="center"/>
          </w:tcPr>
          <w:p w14:paraId="0373CB71" w14:textId="77777777" w:rsidR="002133E3" w:rsidRDefault="002133E3">
            <w:pPr>
              <w:jc w:val="center"/>
              <w:rPr>
                <w:rFonts w:ascii="Times New Roman" w:eastAsia="宋体" w:hAnsi="Times New Roman" w:cs="Times New Roman"/>
                <w:szCs w:val="21"/>
              </w:rPr>
            </w:pPr>
          </w:p>
        </w:tc>
        <w:tc>
          <w:tcPr>
            <w:tcW w:w="837" w:type="pct"/>
            <w:vAlign w:val="center"/>
          </w:tcPr>
          <w:p w14:paraId="0C505CF6"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功率（</w:t>
            </w:r>
            <w:r>
              <w:rPr>
                <w:rFonts w:ascii="Times New Roman" w:eastAsia="宋体" w:hAnsi="Times New Roman" w:cs="Times New Roman"/>
                <w:szCs w:val="21"/>
              </w:rPr>
              <w:t>KW</w:t>
            </w:r>
            <w:r>
              <w:rPr>
                <w:rFonts w:ascii="Times New Roman" w:eastAsia="宋体" w:hAnsi="Times New Roman" w:cs="Times New Roman"/>
                <w:szCs w:val="21"/>
              </w:rPr>
              <w:t>）</w:t>
            </w:r>
          </w:p>
        </w:tc>
        <w:tc>
          <w:tcPr>
            <w:tcW w:w="3377" w:type="pct"/>
            <w:vAlign w:val="center"/>
          </w:tcPr>
          <w:p w14:paraId="020AF19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w:t>
            </w:r>
          </w:p>
        </w:tc>
      </w:tr>
    </w:tbl>
    <w:bookmarkEnd w:id="81"/>
    <w:p w14:paraId="4D067EDF"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发酵废气处理工艺流程如图</w:t>
      </w:r>
      <w:r>
        <w:rPr>
          <w:rFonts w:ascii="Times New Roman" w:eastAsia="宋体" w:hAnsi="Times New Roman" w:cs="Times New Roman"/>
          <w:kern w:val="0"/>
          <w:sz w:val="28"/>
          <w:szCs w:val="28"/>
        </w:rPr>
        <w:t>7.2-4</w:t>
      </w:r>
      <w:r>
        <w:rPr>
          <w:rFonts w:ascii="Times New Roman" w:eastAsia="宋体" w:hAnsi="Times New Roman" w:cs="Times New Roman"/>
          <w:kern w:val="0"/>
          <w:sz w:val="28"/>
          <w:szCs w:val="28"/>
        </w:rPr>
        <w:t>所示，物料平衡图见图</w:t>
      </w:r>
      <w:r>
        <w:rPr>
          <w:rFonts w:ascii="Times New Roman" w:eastAsia="宋体" w:hAnsi="Times New Roman" w:cs="Times New Roman"/>
          <w:kern w:val="0"/>
          <w:sz w:val="28"/>
          <w:szCs w:val="28"/>
        </w:rPr>
        <w:t>7.2-5</w:t>
      </w:r>
      <w:r>
        <w:rPr>
          <w:rFonts w:ascii="Times New Roman" w:eastAsia="宋体" w:hAnsi="Times New Roman" w:cs="Times New Roman"/>
          <w:kern w:val="0"/>
          <w:sz w:val="28"/>
          <w:szCs w:val="28"/>
        </w:rPr>
        <w:t>。</w:t>
      </w:r>
    </w:p>
    <w:p w14:paraId="0D3E0469" w14:textId="77777777" w:rsidR="002133E3" w:rsidRDefault="009F1FEF">
      <w:pPr>
        <w:widowControl/>
        <w:jc w:val="center"/>
        <w:rPr>
          <w:rFonts w:ascii="Times New Roman" w:eastAsia="宋体" w:hAnsi="Times New Roman" w:cs="Times New Roman"/>
          <w:color w:val="FF0000"/>
          <w:kern w:val="0"/>
          <w:sz w:val="24"/>
          <w:szCs w:val="20"/>
        </w:rPr>
      </w:pPr>
      <w:r>
        <w:rPr>
          <w:rFonts w:ascii="Times New Roman" w:hAnsi="Times New Roman" w:cs="Times New Roman"/>
        </w:rPr>
        <w:lastRenderedPageBreak/>
        <w:pict w14:anchorId="17959EE0">
          <v:shape id="_x0000_i1064" type="#_x0000_t75" style="width:458.25pt;height:136.5pt">
            <v:imagedata r:id="rId119" o:title=""/>
          </v:shape>
        </w:pict>
      </w:r>
    </w:p>
    <w:p w14:paraId="351C3FE7" w14:textId="77777777" w:rsidR="002133E3" w:rsidRDefault="00C22CFA">
      <w:pPr>
        <w:widowControl/>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图</w:t>
      </w:r>
      <w:r>
        <w:rPr>
          <w:rFonts w:ascii="Times New Roman" w:eastAsia="宋体" w:hAnsi="Times New Roman" w:cs="Times New Roman"/>
          <w:b/>
          <w:kern w:val="0"/>
          <w:sz w:val="24"/>
          <w:szCs w:val="24"/>
        </w:rPr>
        <w:t xml:space="preserve">7.2-4  </w:t>
      </w:r>
      <w:r>
        <w:rPr>
          <w:rFonts w:ascii="Times New Roman" w:eastAsia="宋体" w:hAnsi="Times New Roman" w:cs="Times New Roman"/>
          <w:b/>
          <w:kern w:val="0"/>
          <w:sz w:val="24"/>
          <w:szCs w:val="24"/>
        </w:rPr>
        <w:t>发酵废气处理工艺流程图</w:t>
      </w:r>
    </w:p>
    <w:p w14:paraId="17CC54EA" w14:textId="77777777" w:rsidR="002133E3" w:rsidRDefault="009F1FEF">
      <w:pPr>
        <w:widowControl/>
        <w:jc w:val="center"/>
        <w:rPr>
          <w:rFonts w:ascii="Times New Roman" w:eastAsia="宋体" w:hAnsi="Times New Roman" w:cs="Times New Roman"/>
        </w:rPr>
      </w:pPr>
      <w:r>
        <w:pict w14:anchorId="5AE60FE7">
          <v:shape id="_x0000_i1065" type="#_x0000_t75" style="width:478.5pt;height:137.25pt">
            <v:imagedata r:id="rId120" o:title=""/>
          </v:shape>
        </w:pict>
      </w:r>
    </w:p>
    <w:p w14:paraId="71EECD51" w14:textId="77777777" w:rsidR="002133E3" w:rsidRDefault="009F1FEF">
      <w:pPr>
        <w:widowControl/>
        <w:jc w:val="center"/>
        <w:rPr>
          <w:rFonts w:ascii="Times New Roman" w:eastAsia="宋体" w:hAnsi="Times New Roman" w:cs="Times New Roman"/>
          <w:color w:val="FF0000"/>
          <w:kern w:val="0"/>
          <w:sz w:val="24"/>
          <w:szCs w:val="20"/>
        </w:rPr>
      </w:pPr>
      <w:r>
        <w:pict w14:anchorId="69306CF0">
          <v:shape id="_x0000_i1066" type="#_x0000_t75" style="width:458.25pt;height:136.5pt">
            <v:imagedata r:id="rId121" o:title=""/>
          </v:shape>
        </w:pict>
      </w:r>
    </w:p>
    <w:p w14:paraId="29538BE4" w14:textId="77777777" w:rsidR="002133E3" w:rsidRDefault="00C22CFA">
      <w:pPr>
        <w:widowControl/>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图</w:t>
      </w:r>
      <w:r>
        <w:rPr>
          <w:rFonts w:ascii="Times New Roman" w:eastAsia="宋体" w:hAnsi="Times New Roman" w:cs="Times New Roman"/>
          <w:b/>
          <w:kern w:val="0"/>
          <w:sz w:val="24"/>
          <w:szCs w:val="24"/>
        </w:rPr>
        <w:t xml:space="preserve">7.2-5  </w:t>
      </w:r>
      <w:r>
        <w:rPr>
          <w:rFonts w:ascii="Times New Roman" w:eastAsia="宋体" w:hAnsi="Times New Roman" w:cs="Times New Roman"/>
          <w:b/>
          <w:kern w:val="0"/>
          <w:sz w:val="24"/>
          <w:szCs w:val="24"/>
        </w:rPr>
        <w:t>发酵废气处理物料平衡图</w:t>
      </w:r>
      <w:r>
        <w:rPr>
          <w:rFonts w:ascii="Times New Roman" w:eastAsia="宋体" w:hAnsi="Times New Roman" w:cs="Times New Roman"/>
          <w:b/>
          <w:kern w:val="0"/>
          <w:sz w:val="24"/>
          <w:szCs w:val="24"/>
        </w:rPr>
        <w:t>(t/a)</w:t>
      </w:r>
    </w:p>
    <w:p w14:paraId="052A83C0"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bookmarkStart w:id="82" w:name="_Hlk73088247"/>
      <w:r>
        <w:rPr>
          <w:rFonts w:ascii="Times New Roman" w:eastAsia="宋体" w:hAnsi="Times New Roman" w:cs="Times New Roman"/>
          <w:b/>
          <w:sz w:val="30"/>
          <w:szCs w:val="30"/>
        </w:rPr>
        <w:t>酒精</w:t>
      </w:r>
      <w:r>
        <w:rPr>
          <w:rFonts w:ascii="Times New Roman" w:eastAsia="宋体" w:hAnsi="Times New Roman" w:cs="Times New Roman"/>
          <w:b/>
          <w:sz w:val="30"/>
          <w:szCs w:val="30"/>
        </w:rPr>
        <w:t>(95%)</w:t>
      </w:r>
      <w:r>
        <w:rPr>
          <w:rFonts w:ascii="Times New Roman" w:eastAsia="宋体" w:hAnsi="Times New Roman" w:cs="Times New Roman"/>
          <w:b/>
          <w:sz w:val="30"/>
          <w:szCs w:val="30"/>
        </w:rPr>
        <w:t>生产线蒸馏废气及</w:t>
      </w:r>
      <w:bookmarkStart w:id="83" w:name="_Hlk74125695"/>
      <w:r>
        <w:rPr>
          <w:rFonts w:ascii="Times New Roman" w:eastAsia="宋体" w:hAnsi="Times New Roman" w:cs="Times New Roman"/>
          <w:b/>
          <w:sz w:val="30"/>
          <w:szCs w:val="30"/>
        </w:rPr>
        <w:t>无水乙醇</w:t>
      </w:r>
      <w:r>
        <w:rPr>
          <w:rFonts w:ascii="Times New Roman" w:eastAsia="宋体" w:hAnsi="Times New Roman" w:cs="Times New Roman"/>
          <w:b/>
          <w:sz w:val="30"/>
          <w:szCs w:val="30"/>
        </w:rPr>
        <w:t>(99.99%)</w:t>
      </w:r>
      <w:r>
        <w:rPr>
          <w:rFonts w:ascii="Times New Roman" w:eastAsia="宋体" w:hAnsi="Times New Roman" w:cs="Times New Roman"/>
          <w:b/>
          <w:sz w:val="30"/>
          <w:szCs w:val="30"/>
        </w:rPr>
        <w:t>生产线</w:t>
      </w:r>
      <w:bookmarkEnd w:id="83"/>
      <w:r>
        <w:rPr>
          <w:rFonts w:ascii="Times New Roman" w:eastAsia="宋体" w:hAnsi="Times New Roman" w:cs="Times New Roman"/>
          <w:b/>
          <w:sz w:val="30"/>
          <w:szCs w:val="30"/>
        </w:rPr>
        <w:t>不凝气</w:t>
      </w:r>
    </w:p>
    <w:bookmarkEnd w:id="82"/>
    <w:p w14:paraId="4B0CFFAB" w14:textId="77777777" w:rsidR="002133E3" w:rsidRDefault="00C22CFA">
      <w:pPr>
        <w:autoSpaceDE w:val="0"/>
        <w:autoSpaceDN w:val="0"/>
        <w:adjustRightIn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color w:val="000000"/>
          <w:kern w:val="0"/>
          <w:sz w:val="28"/>
          <w:szCs w:val="28"/>
          <w:lang w:val="zh-CN"/>
        </w:rPr>
        <w:t>酒精</w:t>
      </w:r>
      <w:r>
        <w:rPr>
          <w:rFonts w:ascii="Times New Roman" w:eastAsia="宋体" w:hAnsi="Times New Roman" w:cs="Times New Roman"/>
          <w:color w:val="000000"/>
          <w:kern w:val="0"/>
          <w:sz w:val="28"/>
          <w:szCs w:val="28"/>
          <w:lang w:val="zh-CN"/>
        </w:rPr>
        <w:t>(95%)</w:t>
      </w:r>
      <w:r>
        <w:rPr>
          <w:rFonts w:ascii="Times New Roman" w:eastAsia="宋体" w:hAnsi="Times New Roman" w:cs="Times New Roman"/>
          <w:color w:val="000000"/>
          <w:kern w:val="0"/>
          <w:sz w:val="28"/>
          <w:szCs w:val="28"/>
          <w:lang w:val="zh-CN"/>
        </w:rPr>
        <w:t>生产线蒸馏不凝气及</w:t>
      </w:r>
      <w:r>
        <w:rPr>
          <w:rFonts w:ascii="Times New Roman" w:eastAsia="宋体" w:hAnsi="Times New Roman" w:cs="Times New Roman"/>
          <w:color w:val="000000"/>
          <w:kern w:val="0"/>
          <w:sz w:val="28"/>
          <w:szCs w:val="28"/>
          <w:lang w:val="zh-CN"/>
        </w:rPr>
        <w:t>6</w:t>
      </w:r>
      <w:r>
        <w:rPr>
          <w:rFonts w:ascii="Times New Roman" w:eastAsia="宋体" w:hAnsi="Times New Roman" w:cs="Times New Roman"/>
          <w:color w:val="000000"/>
          <w:kern w:val="0"/>
          <w:sz w:val="28"/>
          <w:szCs w:val="28"/>
          <w:lang w:val="zh-CN"/>
        </w:rPr>
        <w:t>万</w:t>
      </w:r>
      <w:r>
        <w:rPr>
          <w:rFonts w:ascii="Times New Roman" w:eastAsia="宋体" w:hAnsi="Times New Roman" w:cs="Times New Roman"/>
          <w:color w:val="000000"/>
          <w:kern w:val="0"/>
          <w:sz w:val="28"/>
          <w:szCs w:val="28"/>
          <w:lang w:val="zh-CN"/>
        </w:rPr>
        <w:t>t/a</w:t>
      </w:r>
      <w:r>
        <w:rPr>
          <w:rFonts w:ascii="Times New Roman" w:eastAsia="宋体" w:hAnsi="Times New Roman" w:cs="Times New Roman"/>
          <w:color w:val="000000"/>
          <w:kern w:val="0"/>
          <w:sz w:val="28"/>
          <w:szCs w:val="28"/>
          <w:lang w:val="zh-CN"/>
        </w:rPr>
        <w:t>无水乙醇生产线</w:t>
      </w:r>
      <w:r>
        <w:rPr>
          <w:rFonts w:ascii="Times New Roman" w:eastAsia="宋体" w:hAnsi="Times New Roman" w:cs="Times New Roman"/>
          <w:color w:val="000000"/>
          <w:kern w:val="0"/>
          <w:sz w:val="28"/>
          <w:szCs w:val="28"/>
          <w:lang w:val="zh-CN"/>
        </w:rPr>
        <w:t>(99.99%)</w:t>
      </w:r>
      <w:r>
        <w:rPr>
          <w:rFonts w:ascii="Times New Roman" w:eastAsia="宋体" w:hAnsi="Times New Roman" w:cs="Times New Roman"/>
          <w:color w:val="000000"/>
          <w:kern w:val="0"/>
          <w:sz w:val="28"/>
          <w:szCs w:val="28"/>
          <w:lang w:val="zh-CN"/>
        </w:rPr>
        <w:t>不凝气</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1-3</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1-4</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2-3</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2-4</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2-5</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2-6</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3-1</w:t>
      </w:r>
      <w:r>
        <w:rPr>
          <w:rFonts w:ascii="Times New Roman" w:eastAsia="宋体" w:hAnsi="Times New Roman" w:cs="Times New Roman"/>
          <w:color w:val="000000"/>
          <w:kern w:val="0"/>
          <w:sz w:val="28"/>
          <w:szCs w:val="28"/>
          <w:lang w:val="zh-CN"/>
        </w:rPr>
        <w:t>、</w:t>
      </w:r>
      <w:r>
        <w:rPr>
          <w:rFonts w:ascii="Times New Roman" w:eastAsia="宋体" w:hAnsi="Times New Roman" w:cs="Times New Roman"/>
          <w:color w:val="000000"/>
          <w:kern w:val="0"/>
          <w:sz w:val="28"/>
          <w:szCs w:val="28"/>
          <w:lang w:val="zh-CN"/>
        </w:rPr>
        <w:t>G</w:t>
      </w:r>
      <w:r>
        <w:rPr>
          <w:rFonts w:ascii="Times New Roman" w:eastAsia="宋体" w:hAnsi="Times New Roman" w:cs="Times New Roman"/>
          <w:color w:val="000000"/>
          <w:kern w:val="0"/>
          <w:sz w:val="28"/>
          <w:szCs w:val="28"/>
          <w:vertAlign w:val="subscript"/>
          <w:lang w:val="zh-CN"/>
        </w:rPr>
        <w:t>3-2</w:t>
      </w:r>
      <w:r>
        <w:rPr>
          <w:rFonts w:ascii="Times New Roman" w:eastAsia="宋体" w:hAnsi="Times New Roman" w:cs="Times New Roman"/>
          <w:kern w:val="0"/>
          <w:sz w:val="28"/>
          <w:szCs w:val="28"/>
        </w:rPr>
        <w:t>主要为乙醇、甲醇</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醛等有机废气，根据乙醇、甲醇</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醛等易溶于水的特性，拟采用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二级水吸收</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装置处理，可去除大部分有机废气。</w:t>
      </w:r>
    </w:p>
    <w:p w14:paraId="4CB90F53"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sz w:val="28"/>
          <w:szCs w:val="28"/>
        </w:rPr>
        <w:t>根据相关资料，</w:t>
      </w:r>
      <w:r>
        <w:rPr>
          <w:rFonts w:ascii="Times New Roman" w:eastAsia="宋体" w:hAnsi="Times New Roman" w:cs="Times New Roman"/>
          <w:kern w:val="0"/>
          <w:sz w:val="28"/>
          <w:szCs w:val="28"/>
        </w:rPr>
        <w:t>一级水喷淋吸收</w:t>
      </w:r>
      <w:r>
        <w:rPr>
          <w:rFonts w:ascii="Times New Roman" w:eastAsia="宋体" w:hAnsi="Times New Roman" w:cs="Times New Roman"/>
          <w:sz w:val="28"/>
          <w:szCs w:val="28"/>
        </w:rPr>
        <w:t>对</w:t>
      </w:r>
      <w:r>
        <w:rPr>
          <w:rFonts w:ascii="Times New Roman" w:eastAsia="宋体" w:hAnsi="Times New Roman" w:cs="Times New Roman"/>
          <w:kern w:val="0"/>
          <w:sz w:val="28"/>
          <w:szCs w:val="28"/>
        </w:rPr>
        <w:t>乙醇、甲醇</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醛等</w:t>
      </w:r>
      <w:r>
        <w:rPr>
          <w:rFonts w:ascii="Times New Roman" w:eastAsia="宋体" w:hAnsi="Times New Roman" w:cs="Times New Roman"/>
          <w:kern w:val="0"/>
          <w:sz w:val="28"/>
          <w:szCs w:val="28"/>
          <w:lang w:val="zh-CN"/>
        </w:rPr>
        <w:t>的</w:t>
      </w:r>
      <w:r>
        <w:rPr>
          <w:rFonts w:ascii="Times New Roman" w:eastAsia="宋体" w:hAnsi="Times New Roman" w:cs="Times New Roman"/>
          <w:kern w:val="0"/>
          <w:sz w:val="28"/>
          <w:szCs w:val="28"/>
        </w:rPr>
        <w:t>吸收效率不低于</w:t>
      </w:r>
      <w:r>
        <w:rPr>
          <w:rFonts w:ascii="Times New Roman" w:eastAsia="宋体" w:hAnsi="Times New Roman" w:cs="Times New Roman"/>
          <w:kern w:val="0"/>
          <w:sz w:val="28"/>
          <w:szCs w:val="28"/>
        </w:rPr>
        <w:t>99%</w:t>
      </w:r>
      <w:r>
        <w:rPr>
          <w:rFonts w:ascii="Times New Roman" w:eastAsia="宋体" w:hAnsi="Times New Roman" w:cs="Times New Roman"/>
          <w:kern w:val="0"/>
          <w:sz w:val="28"/>
          <w:szCs w:val="28"/>
        </w:rPr>
        <w:t>。经处理后的废气，经风机引入</w:t>
      </w:r>
      <w:r>
        <w:rPr>
          <w:rFonts w:ascii="Times New Roman" w:eastAsia="宋体" w:hAnsi="Times New Roman" w:cs="Times New Roman"/>
          <w:kern w:val="0"/>
          <w:sz w:val="28"/>
          <w:szCs w:val="28"/>
        </w:rPr>
        <w:t>20m</w:t>
      </w:r>
      <w:r>
        <w:rPr>
          <w:rFonts w:ascii="Times New Roman" w:eastAsia="宋体" w:hAnsi="Times New Roman" w:cs="Times New Roman"/>
          <w:kern w:val="0"/>
          <w:sz w:val="28"/>
          <w:szCs w:val="28"/>
        </w:rPr>
        <w:t>高的排气筒排放，排放浓度和排放速率均低于相应排放标准，能够实现达标排放。</w:t>
      </w:r>
      <w:r>
        <w:rPr>
          <w:rFonts w:ascii="Times New Roman" w:eastAsia="宋体" w:hAnsi="Times New Roman" w:cs="Times New Roman"/>
          <w:bCs/>
          <w:kern w:val="0"/>
          <w:sz w:val="28"/>
          <w:szCs w:val="28"/>
        </w:rPr>
        <w:t>废气处理装置设计参数见表</w:t>
      </w:r>
      <w:r>
        <w:rPr>
          <w:rFonts w:ascii="Times New Roman" w:eastAsia="宋体" w:hAnsi="Times New Roman" w:cs="Times New Roman"/>
          <w:bCs/>
          <w:kern w:val="0"/>
          <w:sz w:val="28"/>
          <w:szCs w:val="28"/>
        </w:rPr>
        <w:t>7.2-3</w:t>
      </w:r>
      <w:r>
        <w:rPr>
          <w:rFonts w:ascii="Times New Roman" w:eastAsia="宋体" w:hAnsi="Times New Roman" w:cs="Times New Roman"/>
          <w:bCs/>
          <w:kern w:val="0"/>
          <w:sz w:val="28"/>
          <w:szCs w:val="28"/>
        </w:rPr>
        <w:t>，</w:t>
      </w:r>
      <w:r>
        <w:rPr>
          <w:rFonts w:ascii="Times New Roman" w:eastAsia="宋体" w:hAnsi="Times New Roman" w:cs="Times New Roman"/>
          <w:kern w:val="0"/>
          <w:sz w:val="28"/>
          <w:szCs w:val="28"/>
        </w:rPr>
        <w:t>具体处理工艺流程见图</w:t>
      </w:r>
      <w:r>
        <w:rPr>
          <w:rFonts w:ascii="Times New Roman" w:eastAsia="宋体" w:hAnsi="Times New Roman" w:cs="Times New Roman"/>
          <w:kern w:val="0"/>
          <w:sz w:val="28"/>
          <w:szCs w:val="28"/>
        </w:rPr>
        <w:t>7.2-6</w:t>
      </w:r>
      <w:r>
        <w:rPr>
          <w:rFonts w:ascii="Times New Roman" w:eastAsia="宋体" w:hAnsi="Times New Roman" w:cs="Times New Roman"/>
          <w:kern w:val="0"/>
          <w:sz w:val="28"/>
          <w:szCs w:val="28"/>
        </w:rPr>
        <w:t>、物料平衡图见图</w:t>
      </w:r>
      <w:r>
        <w:rPr>
          <w:rFonts w:ascii="Times New Roman" w:eastAsia="宋体" w:hAnsi="Times New Roman" w:cs="Times New Roman"/>
          <w:kern w:val="0"/>
          <w:sz w:val="28"/>
          <w:szCs w:val="28"/>
        </w:rPr>
        <w:t>7.2-7</w:t>
      </w:r>
      <w:r>
        <w:rPr>
          <w:rFonts w:ascii="Times New Roman" w:eastAsia="宋体" w:hAnsi="Times New Roman" w:cs="Times New Roman"/>
          <w:kern w:val="0"/>
          <w:sz w:val="28"/>
          <w:szCs w:val="28"/>
        </w:rPr>
        <w:t>。</w:t>
      </w:r>
    </w:p>
    <w:p w14:paraId="728DB293" w14:textId="77777777" w:rsidR="002133E3" w:rsidRDefault="00C22CFA">
      <w:pPr>
        <w:spacing w:line="520" w:lineRule="exact"/>
        <w:jc w:val="center"/>
        <w:rPr>
          <w:rFonts w:ascii="Times New Roman" w:eastAsia="宋体" w:hAnsi="Times New Roman" w:cs="Times New Roman"/>
          <w:b/>
          <w:bCs/>
          <w:sz w:val="24"/>
          <w:szCs w:val="20"/>
        </w:rPr>
      </w:pPr>
      <w:bookmarkStart w:id="84" w:name="_Hlk74667667"/>
      <w:r>
        <w:rPr>
          <w:rFonts w:ascii="Times New Roman" w:eastAsia="宋体" w:hAnsi="Times New Roman" w:cs="Times New Roman"/>
          <w:b/>
          <w:bCs/>
          <w:sz w:val="24"/>
          <w:szCs w:val="20"/>
        </w:rPr>
        <w:t>表</w:t>
      </w:r>
      <w:r>
        <w:rPr>
          <w:rFonts w:ascii="Times New Roman" w:eastAsia="宋体" w:hAnsi="Times New Roman" w:cs="Times New Roman"/>
          <w:b/>
          <w:bCs/>
          <w:sz w:val="24"/>
          <w:szCs w:val="20"/>
        </w:rPr>
        <w:t xml:space="preserve">7.2-3  </w:t>
      </w:r>
      <w:r>
        <w:rPr>
          <w:rFonts w:ascii="Times New Roman" w:eastAsia="宋体" w:hAnsi="Times New Roman" w:cs="Times New Roman"/>
          <w:b/>
          <w:bCs/>
          <w:sz w:val="24"/>
          <w:szCs w:val="20"/>
        </w:rPr>
        <w:t>水吸收装置设计参数表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518"/>
        <w:gridCol w:w="1616"/>
        <w:gridCol w:w="6520"/>
      </w:tblGrid>
      <w:tr w:rsidR="002133E3" w14:paraId="3185B040" w14:textId="77777777">
        <w:trPr>
          <w:trHeight w:val="284"/>
          <w:jc w:val="center"/>
        </w:trPr>
        <w:tc>
          <w:tcPr>
            <w:tcW w:w="5000" w:type="pct"/>
            <w:gridSpan w:val="3"/>
            <w:vAlign w:val="center"/>
          </w:tcPr>
          <w:p w14:paraId="02EBF7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第一级水吸收塔性能参数</w:t>
            </w:r>
          </w:p>
        </w:tc>
      </w:tr>
      <w:tr w:rsidR="002133E3" w14:paraId="52FDD752" w14:textId="77777777">
        <w:trPr>
          <w:trHeight w:val="284"/>
          <w:jc w:val="center"/>
        </w:trPr>
        <w:tc>
          <w:tcPr>
            <w:tcW w:w="1623" w:type="pct"/>
            <w:gridSpan w:val="2"/>
            <w:vAlign w:val="center"/>
          </w:tcPr>
          <w:p w14:paraId="70C745AA" w14:textId="77777777" w:rsidR="002133E3" w:rsidRDefault="00C22CFA">
            <w:pPr>
              <w:ind w:firstLineChars="50" w:firstLine="105"/>
              <w:jc w:val="center"/>
              <w:rPr>
                <w:rFonts w:ascii="Times New Roman" w:eastAsia="宋体" w:hAnsi="Times New Roman" w:cs="Times New Roman"/>
                <w:szCs w:val="21"/>
              </w:rPr>
            </w:pPr>
            <w:r>
              <w:rPr>
                <w:rFonts w:ascii="Times New Roman" w:eastAsia="宋体" w:hAnsi="Times New Roman" w:cs="Times New Roman"/>
                <w:szCs w:val="21"/>
              </w:rPr>
              <w:t>项目</w:t>
            </w:r>
          </w:p>
        </w:tc>
        <w:tc>
          <w:tcPr>
            <w:tcW w:w="3377" w:type="pct"/>
            <w:vAlign w:val="center"/>
          </w:tcPr>
          <w:p w14:paraId="27C8875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规格参数</w:t>
            </w:r>
          </w:p>
        </w:tc>
      </w:tr>
      <w:tr w:rsidR="002133E3" w14:paraId="79DAAA19" w14:textId="77777777">
        <w:trPr>
          <w:trHeight w:val="284"/>
          <w:jc w:val="center"/>
        </w:trPr>
        <w:tc>
          <w:tcPr>
            <w:tcW w:w="1623" w:type="pct"/>
            <w:gridSpan w:val="2"/>
            <w:vAlign w:val="center"/>
          </w:tcPr>
          <w:p w14:paraId="6F3A4B23"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介质</w:t>
            </w:r>
          </w:p>
        </w:tc>
        <w:tc>
          <w:tcPr>
            <w:tcW w:w="3377" w:type="pct"/>
            <w:vAlign w:val="center"/>
          </w:tcPr>
          <w:p w14:paraId="2A61829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水</w:t>
            </w:r>
          </w:p>
        </w:tc>
      </w:tr>
      <w:tr w:rsidR="002133E3" w14:paraId="4CB621A2" w14:textId="77777777">
        <w:trPr>
          <w:trHeight w:val="284"/>
          <w:jc w:val="center"/>
        </w:trPr>
        <w:tc>
          <w:tcPr>
            <w:tcW w:w="1623" w:type="pct"/>
            <w:gridSpan w:val="2"/>
            <w:vAlign w:val="center"/>
          </w:tcPr>
          <w:p w14:paraId="54BC6E7A"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数量（座）</w:t>
            </w:r>
          </w:p>
        </w:tc>
        <w:tc>
          <w:tcPr>
            <w:tcW w:w="3377" w:type="pct"/>
            <w:vAlign w:val="center"/>
          </w:tcPr>
          <w:p w14:paraId="5BE71FA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座</w:t>
            </w:r>
          </w:p>
        </w:tc>
      </w:tr>
      <w:tr w:rsidR="002133E3" w14:paraId="2B2BA813" w14:textId="77777777">
        <w:trPr>
          <w:trHeight w:val="284"/>
          <w:jc w:val="center"/>
        </w:trPr>
        <w:tc>
          <w:tcPr>
            <w:tcW w:w="1623" w:type="pct"/>
            <w:gridSpan w:val="2"/>
            <w:vAlign w:val="center"/>
          </w:tcPr>
          <w:p w14:paraId="02352723"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材质</w:t>
            </w:r>
          </w:p>
        </w:tc>
        <w:tc>
          <w:tcPr>
            <w:tcW w:w="3377" w:type="pct"/>
            <w:vAlign w:val="center"/>
          </w:tcPr>
          <w:p w14:paraId="4C2B10A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玻璃钢（塔体及进出管道设泄爆片）</w:t>
            </w:r>
          </w:p>
        </w:tc>
      </w:tr>
      <w:tr w:rsidR="002133E3" w14:paraId="6A6A5883" w14:textId="77777777">
        <w:trPr>
          <w:trHeight w:val="284"/>
          <w:jc w:val="center"/>
        </w:trPr>
        <w:tc>
          <w:tcPr>
            <w:tcW w:w="1623" w:type="pct"/>
            <w:gridSpan w:val="2"/>
            <w:vAlign w:val="center"/>
          </w:tcPr>
          <w:p w14:paraId="44DBA89C"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规格尺寸</w:t>
            </w:r>
          </w:p>
        </w:tc>
        <w:tc>
          <w:tcPr>
            <w:tcW w:w="3377" w:type="pct"/>
            <w:vAlign w:val="center"/>
          </w:tcPr>
          <w:p w14:paraId="39E03BF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φ3000×16000mm</w:t>
            </w:r>
          </w:p>
        </w:tc>
      </w:tr>
      <w:tr w:rsidR="002133E3" w14:paraId="34641F8C" w14:textId="77777777">
        <w:trPr>
          <w:trHeight w:val="284"/>
          <w:jc w:val="center"/>
        </w:trPr>
        <w:tc>
          <w:tcPr>
            <w:tcW w:w="1623" w:type="pct"/>
            <w:gridSpan w:val="2"/>
            <w:vAlign w:val="center"/>
          </w:tcPr>
          <w:p w14:paraId="0CD2803F"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设计风量（</w:t>
            </w:r>
            <w:r>
              <w:rPr>
                <w:rFonts w:ascii="Times New Roman" w:eastAsia="宋体" w:hAnsi="Times New Roman" w:cs="Times New Roman"/>
                <w:szCs w:val="21"/>
              </w:rPr>
              <w:t>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w:t>
            </w:r>
          </w:p>
        </w:tc>
        <w:tc>
          <w:tcPr>
            <w:tcW w:w="3377" w:type="pct"/>
            <w:vAlign w:val="center"/>
          </w:tcPr>
          <w:p w14:paraId="028E9E8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15000</w:t>
            </w:r>
          </w:p>
        </w:tc>
      </w:tr>
      <w:tr w:rsidR="002133E3" w14:paraId="0B7AC325" w14:textId="77777777">
        <w:trPr>
          <w:trHeight w:val="284"/>
          <w:jc w:val="center"/>
        </w:trPr>
        <w:tc>
          <w:tcPr>
            <w:tcW w:w="1623" w:type="pct"/>
            <w:gridSpan w:val="2"/>
            <w:vAlign w:val="center"/>
          </w:tcPr>
          <w:p w14:paraId="001AFF6E"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总高（</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26C5C09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16000</w:t>
            </w:r>
          </w:p>
        </w:tc>
      </w:tr>
      <w:tr w:rsidR="002133E3" w14:paraId="70C75D78" w14:textId="77777777">
        <w:trPr>
          <w:trHeight w:val="284"/>
          <w:jc w:val="center"/>
        </w:trPr>
        <w:tc>
          <w:tcPr>
            <w:tcW w:w="1623" w:type="pct"/>
            <w:gridSpan w:val="2"/>
            <w:vAlign w:val="center"/>
          </w:tcPr>
          <w:p w14:paraId="7F9D1337"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填料层直径（</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47F72EB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3000</w:t>
            </w:r>
          </w:p>
        </w:tc>
      </w:tr>
      <w:tr w:rsidR="002133E3" w14:paraId="05F39928" w14:textId="77777777">
        <w:trPr>
          <w:trHeight w:val="284"/>
          <w:jc w:val="center"/>
        </w:trPr>
        <w:tc>
          <w:tcPr>
            <w:tcW w:w="1623" w:type="pct"/>
            <w:gridSpan w:val="2"/>
            <w:vAlign w:val="center"/>
          </w:tcPr>
          <w:p w14:paraId="2B59B9A2"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填料层高度（</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2C334B3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6000</w:t>
            </w:r>
          </w:p>
        </w:tc>
      </w:tr>
      <w:tr w:rsidR="002133E3" w14:paraId="1331AF0B" w14:textId="77777777">
        <w:trPr>
          <w:trHeight w:val="284"/>
          <w:jc w:val="center"/>
        </w:trPr>
        <w:tc>
          <w:tcPr>
            <w:tcW w:w="1623" w:type="pct"/>
            <w:gridSpan w:val="2"/>
            <w:vAlign w:val="center"/>
          </w:tcPr>
          <w:p w14:paraId="6D4753AB"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w:t>
            </w:r>
          </w:p>
        </w:tc>
        <w:tc>
          <w:tcPr>
            <w:tcW w:w="3377" w:type="pct"/>
            <w:vAlign w:val="center"/>
          </w:tcPr>
          <w:p w14:paraId="6461B38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Φ50</w:t>
            </w:r>
            <w:r>
              <w:rPr>
                <w:rFonts w:ascii="Times New Roman" w:eastAsia="宋体" w:hAnsi="Times New Roman" w:cs="Times New Roman"/>
                <w:szCs w:val="21"/>
              </w:rPr>
              <w:t>塑料鲍尔环</w:t>
            </w:r>
          </w:p>
        </w:tc>
      </w:tr>
      <w:tr w:rsidR="002133E3" w14:paraId="74A8A552" w14:textId="77777777">
        <w:trPr>
          <w:trHeight w:val="284"/>
          <w:jc w:val="center"/>
        </w:trPr>
        <w:tc>
          <w:tcPr>
            <w:tcW w:w="1623" w:type="pct"/>
            <w:gridSpan w:val="2"/>
            <w:vAlign w:val="center"/>
          </w:tcPr>
          <w:p w14:paraId="741500C6"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计算泛液气速（</w:t>
            </w:r>
            <w:r>
              <w:rPr>
                <w:rFonts w:ascii="Times New Roman" w:eastAsia="宋体" w:hAnsi="Times New Roman" w:cs="Times New Roman"/>
                <w:szCs w:val="21"/>
              </w:rPr>
              <w:t>m/s</w:t>
            </w:r>
            <w:r>
              <w:rPr>
                <w:rFonts w:ascii="Times New Roman" w:eastAsia="宋体" w:hAnsi="Times New Roman" w:cs="Times New Roman"/>
                <w:szCs w:val="21"/>
              </w:rPr>
              <w:t>）</w:t>
            </w:r>
          </w:p>
        </w:tc>
        <w:tc>
          <w:tcPr>
            <w:tcW w:w="3377" w:type="pct"/>
            <w:vAlign w:val="center"/>
          </w:tcPr>
          <w:p w14:paraId="64CBAC9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1.32</w:t>
            </w:r>
          </w:p>
        </w:tc>
      </w:tr>
      <w:tr w:rsidR="002133E3" w14:paraId="4D2EE0DF" w14:textId="77777777">
        <w:trPr>
          <w:trHeight w:val="284"/>
          <w:jc w:val="center"/>
        </w:trPr>
        <w:tc>
          <w:tcPr>
            <w:tcW w:w="1623" w:type="pct"/>
            <w:gridSpan w:val="2"/>
            <w:vAlign w:val="center"/>
          </w:tcPr>
          <w:p w14:paraId="04DB28CA"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设计空塔气速（</w:t>
            </w:r>
            <w:r>
              <w:rPr>
                <w:rFonts w:ascii="Times New Roman" w:eastAsia="宋体" w:hAnsi="Times New Roman" w:cs="Times New Roman"/>
                <w:szCs w:val="21"/>
              </w:rPr>
              <w:t>m/s</w:t>
            </w:r>
            <w:r>
              <w:rPr>
                <w:rFonts w:ascii="Times New Roman" w:eastAsia="宋体" w:hAnsi="Times New Roman" w:cs="Times New Roman"/>
                <w:szCs w:val="21"/>
              </w:rPr>
              <w:t>）</w:t>
            </w:r>
          </w:p>
        </w:tc>
        <w:tc>
          <w:tcPr>
            <w:tcW w:w="3377" w:type="pct"/>
            <w:vAlign w:val="center"/>
          </w:tcPr>
          <w:p w14:paraId="66B8735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0.29</w:t>
            </w:r>
          </w:p>
        </w:tc>
      </w:tr>
      <w:tr w:rsidR="002133E3" w14:paraId="393697E4" w14:textId="77777777">
        <w:trPr>
          <w:trHeight w:val="284"/>
          <w:jc w:val="center"/>
        </w:trPr>
        <w:tc>
          <w:tcPr>
            <w:tcW w:w="1623" w:type="pct"/>
            <w:gridSpan w:val="2"/>
            <w:vAlign w:val="center"/>
          </w:tcPr>
          <w:p w14:paraId="1A75B14B"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停留时间（</w:t>
            </w:r>
            <w:r>
              <w:rPr>
                <w:rFonts w:ascii="Times New Roman" w:eastAsia="宋体" w:hAnsi="Times New Roman" w:cs="Times New Roman"/>
                <w:szCs w:val="21"/>
              </w:rPr>
              <w:t>s</w:t>
            </w:r>
            <w:r>
              <w:rPr>
                <w:rFonts w:ascii="Times New Roman" w:eastAsia="宋体" w:hAnsi="Times New Roman" w:cs="Times New Roman"/>
                <w:szCs w:val="21"/>
              </w:rPr>
              <w:t>）</w:t>
            </w:r>
          </w:p>
        </w:tc>
        <w:tc>
          <w:tcPr>
            <w:tcW w:w="3377" w:type="pct"/>
            <w:vAlign w:val="center"/>
          </w:tcPr>
          <w:p w14:paraId="301F3B6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r>
      <w:tr w:rsidR="002133E3" w14:paraId="19D10D5F" w14:textId="77777777">
        <w:trPr>
          <w:trHeight w:val="284"/>
          <w:jc w:val="center"/>
        </w:trPr>
        <w:tc>
          <w:tcPr>
            <w:tcW w:w="1623" w:type="pct"/>
            <w:gridSpan w:val="2"/>
            <w:vAlign w:val="center"/>
          </w:tcPr>
          <w:p w14:paraId="7E6DC584"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液气比（</w:t>
            </w:r>
            <w:r>
              <w:rPr>
                <w:rFonts w:ascii="Times New Roman" w:eastAsia="宋体" w:hAnsi="Times New Roman" w:cs="Times New Roman"/>
                <w:szCs w:val="21"/>
              </w:rPr>
              <w:t>L /m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w:t>
            </w:r>
          </w:p>
        </w:tc>
        <w:tc>
          <w:tcPr>
            <w:tcW w:w="3377" w:type="pct"/>
            <w:vAlign w:val="center"/>
          </w:tcPr>
          <w:p w14:paraId="543F41E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r>
      <w:tr w:rsidR="002133E3" w14:paraId="5A72B42B" w14:textId="77777777">
        <w:trPr>
          <w:trHeight w:val="284"/>
          <w:jc w:val="center"/>
        </w:trPr>
        <w:tc>
          <w:tcPr>
            <w:tcW w:w="1623" w:type="pct"/>
            <w:gridSpan w:val="2"/>
            <w:vAlign w:val="center"/>
          </w:tcPr>
          <w:p w14:paraId="03FABB0D"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润湿率</w:t>
            </w:r>
          </w:p>
        </w:tc>
        <w:tc>
          <w:tcPr>
            <w:tcW w:w="3377" w:type="pct"/>
            <w:vAlign w:val="center"/>
          </w:tcPr>
          <w:p w14:paraId="44E6846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0.08</w:t>
            </w:r>
          </w:p>
        </w:tc>
      </w:tr>
      <w:tr w:rsidR="002133E3" w14:paraId="61BF2FAE" w14:textId="77777777">
        <w:trPr>
          <w:trHeight w:val="284"/>
          <w:jc w:val="center"/>
        </w:trPr>
        <w:tc>
          <w:tcPr>
            <w:tcW w:w="1623" w:type="pct"/>
            <w:gridSpan w:val="2"/>
            <w:vAlign w:val="center"/>
          </w:tcPr>
          <w:p w14:paraId="7D76B168"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除雾层厚度（</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4D80D02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w:t>
            </w:r>
          </w:p>
        </w:tc>
      </w:tr>
      <w:tr w:rsidR="002133E3" w14:paraId="3FADD8E4" w14:textId="77777777">
        <w:trPr>
          <w:trHeight w:val="284"/>
          <w:jc w:val="center"/>
        </w:trPr>
        <w:tc>
          <w:tcPr>
            <w:tcW w:w="1623" w:type="pct"/>
            <w:gridSpan w:val="2"/>
            <w:vAlign w:val="center"/>
          </w:tcPr>
          <w:p w14:paraId="7E94FE2C"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单塔压降</w:t>
            </w:r>
          </w:p>
        </w:tc>
        <w:tc>
          <w:tcPr>
            <w:tcW w:w="3377" w:type="pct"/>
            <w:vAlign w:val="center"/>
          </w:tcPr>
          <w:p w14:paraId="34E7E7A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400+885=1285pa</w:t>
            </w:r>
          </w:p>
        </w:tc>
      </w:tr>
      <w:tr w:rsidR="002133E3" w14:paraId="7CC5AD2B" w14:textId="77777777">
        <w:trPr>
          <w:trHeight w:val="284"/>
          <w:jc w:val="center"/>
        </w:trPr>
        <w:tc>
          <w:tcPr>
            <w:tcW w:w="786" w:type="pct"/>
            <w:vMerge w:val="restart"/>
            <w:vAlign w:val="center"/>
          </w:tcPr>
          <w:p w14:paraId="0B666EA9"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循环泵</w:t>
            </w:r>
          </w:p>
        </w:tc>
        <w:tc>
          <w:tcPr>
            <w:tcW w:w="837" w:type="pct"/>
            <w:vAlign w:val="center"/>
          </w:tcPr>
          <w:p w14:paraId="73AFF5F9"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数量（台）</w:t>
            </w:r>
          </w:p>
        </w:tc>
        <w:tc>
          <w:tcPr>
            <w:tcW w:w="3377" w:type="pct"/>
            <w:vAlign w:val="center"/>
          </w:tcPr>
          <w:p w14:paraId="407C54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用</w:t>
            </w:r>
            <w:r>
              <w:rPr>
                <w:rFonts w:ascii="Times New Roman" w:eastAsia="宋体" w:hAnsi="Times New Roman" w:cs="Times New Roman"/>
                <w:szCs w:val="21"/>
              </w:rPr>
              <w:t>1</w:t>
            </w:r>
            <w:r>
              <w:rPr>
                <w:rFonts w:ascii="Times New Roman" w:eastAsia="宋体" w:hAnsi="Times New Roman" w:cs="Times New Roman"/>
                <w:szCs w:val="21"/>
              </w:rPr>
              <w:t>备）</w:t>
            </w:r>
          </w:p>
        </w:tc>
      </w:tr>
      <w:tr w:rsidR="002133E3" w14:paraId="37AC5E55" w14:textId="77777777">
        <w:trPr>
          <w:trHeight w:val="284"/>
          <w:jc w:val="center"/>
        </w:trPr>
        <w:tc>
          <w:tcPr>
            <w:tcW w:w="786" w:type="pct"/>
            <w:vMerge/>
            <w:vAlign w:val="center"/>
          </w:tcPr>
          <w:p w14:paraId="4691510B" w14:textId="77777777" w:rsidR="002133E3" w:rsidRDefault="002133E3">
            <w:pPr>
              <w:jc w:val="center"/>
              <w:rPr>
                <w:rFonts w:ascii="Times New Roman" w:eastAsia="宋体" w:hAnsi="Times New Roman" w:cs="Times New Roman"/>
                <w:szCs w:val="21"/>
              </w:rPr>
            </w:pPr>
          </w:p>
        </w:tc>
        <w:tc>
          <w:tcPr>
            <w:tcW w:w="837" w:type="pct"/>
            <w:vAlign w:val="center"/>
          </w:tcPr>
          <w:p w14:paraId="4FDEE7BD"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流量（</w:t>
            </w:r>
            <w:r>
              <w:rPr>
                <w:rFonts w:ascii="Times New Roman" w:eastAsia="宋体" w:hAnsi="Times New Roman" w:cs="Times New Roman"/>
                <w:szCs w:val="21"/>
              </w:rPr>
              <w:t>m³/h</w:t>
            </w:r>
            <w:r>
              <w:rPr>
                <w:rFonts w:ascii="Times New Roman" w:eastAsia="宋体" w:hAnsi="Times New Roman" w:cs="Times New Roman"/>
                <w:szCs w:val="21"/>
              </w:rPr>
              <w:t>）</w:t>
            </w:r>
          </w:p>
        </w:tc>
        <w:tc>
          <w:tcPr>
            <w:tcW w:w="3377" w:type="pct"/>
            <w:vAlign w:val="center"/>
          </w:tcPr>
          <w:p w14:paraId="356D283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r>
      <w:tr w:rsidR="002133E3" w14:paraId="7AB0FEA3" w14:textId="77777777">
        <w:trPr>
          <w:trHeight w:val="284"/>
          <w:jc w:val="center"/>
        </w:trPr>
        <w:tc>
          <w:tcPr>
            <w:tcW w:w="786" w:type="pct"/>
            <w:vMerge/>
            <w:vAlign w:val="center"/>
          </w:tcPr>
          <w:p w14:paraId="6AABBDFD" w14:textId="77777777" w:rsidR="002133E3" w:rsidRDefault="002133E3">
            <w:pPr>
              <w:autoSpaceDE w:val="0"/>
              <w:autoSpaceDN w:val="0"/>
              <w:adjustRightInd w:val="0"/>
              <w:jc w:val="center"/>
              <w:rPr>
                <w:rFonts w:ascii="Times New Roman" w:eastAsia="宋体" w:hAnsi="Times New Roman" w:cs="Times New Roman"/>
                <w:szCs w:val="21"/>
              </w:rPr>
            </w:pPr>
          </w:p>
        </w:tc>
        <w:tc>
          <w:tcPr>
            <w:tcW w:w="837" w:type="pct"/>
            <w:vAlign w:val="center"/>
          </w:tcPr>
          <w:p w14:paraId="59A48E51"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扬程（</w:t>
            </w:r>
            <w:r>
              <w:rPr>
                <w:rFonts w:ascii="Times New Roman" w:eastAsia="宋体" w:hAnsi="Times New Roman" w:cs="Times New Roman"/>
                <w:szCs w:val="21"/>
              </w:rPr>
              <w:t>m</w:t>
            </w:r>
            <w:r>
              <w:rPr>
                <w:rFonts w:ascii="Times New Roman" w:eastAsia="宋体" w:hAnsi="Times New Roman" w:cs="Times New Roman"/>
                <w:szCs w:val="21"/>
              </w:rPr>
              <w:t>）</w:t>
            </w:r>
          </w:p>
        </w:tc>
        <w:tc>
          <w:tcPr>
            <w:tcW w:w="3377" w:type="pct"/>
            <w:vAlign w:val="center"/>
          </w:tcPr>
          <w:p w14:paraId="18F499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25</w:t>
            </w:r>
          </w:p>
        </w:tc>
      </w:tr>
      <w:tr w:rsidR="002133E3" w14:paraId="6950CC10" w14:textId="77777777">
        <w:trPr>
          <w:trHeight w:val="284"/>
          <w:jc w:val="center"/>
        </w:trPr>
        <w:tc>
          <w:tcPr>
            <w:tcW w:w="786" w:type="pct"/>
            <w:vMerge/>
            <w:vAlign w:val="center"/>
          </w:tcPr>
          <w:p w14:paraId="7325B630" w14:textId="77777777" w:rsidR="002133E3" w:rsidRDefault="002133E3">
            <w:pPr>
              <w:jc w:val="center"/>
              <w:rPr>
                <w:rFonts w:ascii="Times New Roman" w:eastAsia="宋体" w:hAnsi="Times New Roman" w:cs="Times New Roman"/>
                <w:szCs w:val="21"/>
              </w:rPr>
            </w:pPr>
          </w:p>
        </w:tc>
        <w:tc>
          <w:tcPr>
            <w:tcW w:w="837" w:type="pct"/>
            <w:vAlign w:val="center"/>
          </w:tcPr>
          <w:p w14:paraId="08CB3CC3"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功率（</w:t>
            </w:r>
            <w:r>
              <w:rPr>
                <w:rFonts w:ascii="Times New Roman" w:eastAsia="宋体" w:hAnsi="Times New Roman" w:cs="Times New Roman"/>
                <w:szCs w:val="21"/>
              </w:rPr>
              <w:t>KW</w:t>
            </w:r>
            <w:r>
              <w:rPr>
                <w:rFonts w:ascii="Times New Roman" w:eastAsia="宋体" w:hAnsi="Times New Roman" w:cs="Times New Roman"/>
                <w:szCs w:val="21"/>
              </w:rPr>
              <w:t>）</w:t>
            </w:r>
          </w:p>
        </w:tc>
        <w:tc>
          <w:tcPr>
            <w:tcW w:w="3377" w:type="pct"/>
            <w:vAlign w:val="center"/>
          </w:tcPr>
          <w:p w14:paraId="77E6B8E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w:t>
            </w:r>
          </w:p>
        </w:tc>
      </w:tr>
      <w:tr w:rsidR="002133E3" w14:paraId="3ED95E8C" w14:textId="77777777">
        <w:trPr>
          <w:trHeight w:val="284"/>
          <w:jc w:val="center"/>
        </w:trPr>
        <w:tc>
          <w:tcPr>
            <w:tcW w:w="5000" w:type="pct"/>
            <w:gridSpan w:val="3"/>
            <w:vAlign w:val="center"/>
          </w:tcPr>
          <w:p w14:paraId="5BB160B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第二级水吸收塔性能参数</w:t>
            </w:r>
          </w:p>
        </w:tc>
      </w:tr>
      <w:tr w:rsidR="002133E3" w14:paraId="0B198822" w14:textId="77777777">
        <w:trPr>
          <w:trHeight w:val="284"/>
          <w:jc w:val="center"/>
        </w:trPr>
        <w:tc>
          <w:tcPr>
            <w:tcW w:w="1623" w:type="pct"/>
            <w:gridSpan w:val="2"/>
            <w:vAlign w:val="center"/>
          </w:tcPr>
          <w:p w14:paraId="340CEE90" w14:textId="77777777" w:rsidR="002133E3" w:rsidRDefault="00C22CFA">
            <w:pPr>
              <w:ind w:firstLineChars="50" w:firstLine="105"/>
              <w:jc w:val="center"/>
              <w:rPr>
                <w:rFonts w:ascii="Times New Roman" w:eastAsia="宋体" w:hAnsi="Times New Roman" w:cs="Times New Roman"/>
                <w:szCs w:val="21"/>
              </w:rPr>
            </w:pPr>
            <w:r>
              <w:rPr>
                <w:rFonts w:ascii="Times New Roman" w:eastAsia="宋体" w:hAnsi="Times New Roman" w:cs="Times New Roman"/>
                <w:szCs w:val="21"/>
              </w:rPr>
              <w:t>项目</w:t>
            </w:r>
          </w:p>
        </w:tc>
        <w:tc>
          <w:tcPr>
            <w:tcW w:w="3377" w:type="pct"/>
            <w:vAlign w:val="center"/>
          </w:tcPr>
          <w:p w14:paraId="6F28CBA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规格参数</w:t>
            </w:r>
          </w:p>
        </w:tc>
      </w:tr>
      <w:tr w:rsidR="002133E3" w14:paraId="0BB593EC" w14:textId="77777777">
        <w:trPr>
          <w:trHeight w:val="284"/>
          <w:jc w:val="center"/>
        </w:trPr>
        <w:tc>
          <w:tcPr>
            <w:tcW w:w="1623" w:type="pct"/>
            <w:gridSpan w:val="2"/>
            <w:vAlign w:val="center"/>
          </w:tcPr>
          <w:p w14:paraId="6D883852"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介质</w:t>
            </w:r>
          </w:p>
        </w:tc>
        <w:tc>
          <w:tcPr>
            <w:tcW w:w="3377" w:type="pct"/>
            <w:vAlign w:val="center"/>
          </w:tcPr>
          <w:p w14:paraId="1DE595E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水</w:t>
            </w:r>
          </w:p>
        </w:tc>
      </w:tr>
      <w:tr w:rsidR="002133E3" w14:paraId="572BEF10" w14:textId="77777777">
        <w:trPr>
          <w:trHeight w:val="284"/>
          <w:jc w:val="center"/>
        </w:trPr>
        <w:tc>
          <w:tcPr>
            <w:tcW w:w="1623" w:type="pct"/>
            <w:gridSpan w:val="2"/>
            <w:vAlign w:val="center"/>
          </w:tcPr>
          <w:p w14:paraId="4FF86AA6"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数量（座）</w:t>
            </w:r>
          </w:p>
        </w:tc>
        <w:tc>
          <w:tcPr>
            <w:tcW w:w="3377" w:type="pct"/>
            <w:vAlign w:val="center"/>
          </w:tcPr>
          <w:p w14:paraId="082038B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座</w:t>
            </w:r>
          </w:p>
        </w:tc>
      </w:tr>
      <w:tr w:rsidR="002133E3" w14:paraId="191198EF" w14:textId="77777777">
        <w:trPr>
          <w:trHeight w:val="284"/>
          <w:jc w:val="center"/>
        </w:trPr>
        <w:tc>
          <w:tcPr>
            <w:tcW w:w="1623" w:type="pct"/>
            <w:gridSpan w:val="2"/>
            <w:vAlign w:val="center"/>
          </w:tcPr>
          <w:p w14:paraId="4B7F0FF4"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材质</w:t>
            </w:r>
          </w:p>
        </w:tc>
        <w:tc>
          <w:tcPr>
            <w:tcW w:w="3377" w:type="pct"/>
            <w:vAlign w:val="center"/>
          </w:tcPr>
          <w:p w14:paraId="6493E6F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不锈钢</w:t>
            </w:r>
          </w:p>
        </w:tc>
      </w:tr>
      <w:tr w:rsidR="002133E3" w14:paraId="79D374FA" w14:textId="77777777">
        <w:trPr>
          <w:trHeight w:val="284"/>
          <w:jc w:val="center"/>
        </w:trPr>
        <w:tc>
          <w:tcPr>
            <w:tcW w:w="1623" w:type="pct"/>
            <w:gridSpan w:val="2"/>
            <w:vAlign w:val="center"/>
          </w:tcPr>
          <w:p w14:paraId="5324C990"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规格尺寸</w:t>
            </w:r>
          </w:p>
        </w:tc>
        <w:tc>
          <w:tcPr>
            <w:tcW w:w="3377" w:type="pct"/>
            <w:vAlign w:val="center"/>
          </w:tcPr>
          <w:p w14:paraId="455570C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φ2300×14000mm</w:t>
            </w:r>
          </w:p>
        </w:tc>
      </w:tr>
      <w:tr w:rsidR="002133E3" w14:paraId="68B3F699" w14:textId="77777777">
        <w:trPr>
          <w:trHeight w:val="284"/>
          <w:jc w:val="center"/>
        </w:trPr>
        <w:tc>
          <w:tcPr>
            <w:tcW w:w="1623" w:type="pct"/>
            <w:gridSpan w:val="2"/>
            <w:vAlign w:val="center"/>
          </w:tcPr>
          <w:p w14:paraId="403B84FE"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设计风量（</w:t>
            </w:r>
            <w:r>
              <w:rPr>
                <w:rFonts w:ascii="Times New Roman" w:eastAsia="宋体" w:hAnsi="Times New Roman" w:cs="Times New Roman"/>
                <w:szCs w:val="21"/>
              </w:rPr>
              <w:t>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w:t>
            </w:r>
          </w:p>
        </w:tc>
        <w:tc>
          <w:tcPr>
            <w:tcW w:w="3377" w:type="pct"/>
            <w:vAlign w:val="center"/>
          </w:tcPr>
          <w:p w14:paraId="4669ECF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15000</w:t>
            </w:r>
          </w:p>
        </w:tc>
      </w:tr>
      <w:tr w:rsidR="002133E3" w14:paraId="5FA6E26F" w14:textId="77777777">
        <w:trPr>
          <w:trHeight w:val="284"/>
          <w:jc w:val="center"/>
        </w:trPr>
        <w:tc>
          <w:tcPr>
            <w:tcW w:w="1623" w:type="pct"/>
            <w:gridSpan w:val="2"/>
            <w:vAlign w:val="center"/>
          </w:tcPr>
          <w:p w14:paraId="5B0840FE"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总高（</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66B2425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33000</w:t>
            </w:r>
          </w:p>
        </w:tc>
      </w:tr>
      <w:tr w:rsidR="002133E3" w14:paraId="0DCA1790" w14:textId="77777777">
        <w:trPr>
          <w:trHeight w:val="284"/>
          <w:jc w:val="center"/>
        </w:trPr>
        <w:tc>
          <w:tcPr>
            <w:tcW w:w="1623" w:type="pct"/>
            <w:gridSpan w:val="2"/>
            <w:vAlign w:val="center"/>
          </w:tcPr>
          <w:p w14:paraId="2049A154"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填料层直径（</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43BEE7A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3000</w:t>
            </w:r>
          </w:p>
        </w:tc>
      </w:tr>
      <w:tr w:rsidR="002133E3" w14:paraId="29D3C2F3" w14:textId="77777777">
        <w:trPr>
          <w:trHeight w:val="284"/>
          <w:jc w:val="center"/>
        </w:trPr>
        <w:tc>
          <w:tcPr>
            <w:tcW w:w="1623" w:type="pct"/>
            <w:gridSpan w:val="2"/>
            <w:vAlign w:val="center"/>
          </w:tcPr>
          <w:p w14:paraId="1CF6A8A3"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填料层高度（</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3DB026F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6000</w:t>
            </w:r>
          </w:p>
        </w:tc>
      </w:tr>
      <w:tr w:rsidR="002133E3" w14:paraId="4BB164B7" w14:textId="77777777">
        <w:trPr>
          <w:trHeight w:val="284"/>
          <w:jc w:val="center"/>
        </w:trPr>
        <w:tc>
          <w:tcPr>
            <w:tcW w:w="1623" w:type="pct"/>
            <w:gridSpan w:val="2"/>
            <w:vAlign w:val="center"/>
          </w:tcPr>
          <w:p w14:paraId="3BEAA95D"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填料</w:t>
            </w:r>
          </w:p>
        </w:tc>
        <w:tc>
          <w:tcPr>
            <w:tcW w:w="3377" w:type="pct"/>
            <w:vAlign w:val="center"/>
          </w:tcPr>
          <w:p w14:paraId="34701A6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Φ50</w:t>
            </w:r>
            <w:r>
              <w:rPr>
                <w:rFonts w:ascii="Times New Roman" w:eastAsia="宋体" w:hAnsi="Times New Roman" w:cs="Times New Roman"/>
                <w:szCs w:val="21"/>
              </w:rPr>
              <w:t>塑料鲍尔环</w:t>
            </w:r>
          </w:p>
        </w:tc>
      </w:tr>
      <w:tr w:rsidR="002133E3" w14:paraId="390999D8" w14:textId="77777777">
        <w:trPr>
          <w:trHeight w:val="284"/>
          <w:jc w:val="center"/>
        </w:trPr>
        <w:tc>
          <w:tcPr>
            <w:tcW w:w="1623" w:type="pct"/>
            <w:gridSpan w:val="2"/>
            <w:vAlign w:val="center"/>
          </w:tcPr>
          <w:p w14:paraId="6F719A04"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计算泛液气速（</w:t>
            </w:r>
            <w:r>
              <w:rPr>
                <w:rFonts w:ascii="Times New Roman" w:eastAsia="宋体" w:hAnsi="Times New Roman" w:cs="Times New Roman"/>
                <w:szCs w:val="21"/>
              </w:rPr>
              <w:t>m/s</w:t>
            </w:r>
            <w:r>
              <w:rPr>
                <w:rFonts w:ascii="Times New Roman" w:eastAsia="宋体" w:hAnsi="Times New Roman" w:cs="Times New Roman"/>
                <w:szCs w:val="21"/>
              </w:rPr>
              <w:t>）</w:t>
            </w:r>
          </w:p>
        </w:tc>
        <w:tc>
          <w:tcPr>
            <w:tcW w:w="3377" w:type="pct"/>
            <w:vAlign w:val="center"/>
          </w:tcPr>
          <w:p w14:paraId="742E8DF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1.24</w:t>
            </w:r>
          </w:p>
        </w:tc>
      </w:tr>
      <w:tr w:rsidR="002133E3" w14:paraId="7FDE0996" w14:textId="77777777">
        <w:trPr>
          <w:trHeight w:val="284"/>
          <w:jc w:val="center"/>
        </w:trPr>
        <w:tc>
          <w:tcPr>
            <w:tcW w:w="1623" w:type="pct"/>
            <w:gridSpan w:val="2"/>
            <w:vAlign w:val="center"/>
          </w:tcPr>
          <w:p w14:paraId="405FCE35"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设计空塔气速（</w:t>
            </w:r>
            <w:r>
              <w:rPr>
                <w:rFonts w:ascii="Times New Roman" w:eastAsia="宋体" w:hAnsi="Times New Roman" w:cs="Times New Roman"/>
                <w:szCs w:val="21"/>
              </w:rPr>
              <w:t>m/s</w:t>
            </w:r>
            <w:r>
              <w:rPr>
                <w:rFonts w:ascii="Times New Roman" w:eastAsia="宋体" w:hAnsi="Times New Roman" w:cs="Times New Roman"/>
                <w:szCs w:val="21"/>
              </w:rPr>
              <w:t>）</w:t>
            </w:r>
          </w:p>
        </w:tc>
        <w:tc>
          <w:tcPr>
            <w:tcW w:w="3377" w:type="pct"/>
            <w:vAlign w:val="center"/>
          </w:tcPr>
          <w:p w14:paraId="36769FD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0.67</w:t>
            </w:r>
          </w:p>
        </w:tc>
      </w:tr>
      <w:tr w:rsidR="002133E3" w14:paraId="50502E05" w14:textId="77777777">
        <w:trPr>
          <w:trHeight w:val="284"/>
          <w:jc w:val="center"/>
        </w:trPr>
        <w:tc>
          <w:tcPr>
            <w:tcW w:w="1623" w:type="pct"/>
            <w:gridSpan w:val="2"/>
            <w:vAlign w:val="center"/>
          </w:tcPr>
          <w:p w14:paraId="0422B895"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停留时间（</w:t>
            </w:r>
            <w:r>
              <w:rPr>
                <w:rFonts w:ascii="Times New Roman" w:eastAsia="宋体" w:hAnsi="Times New Roman" w:cs="Times New Roman"/>
                <w:szCs w:val="21"/>
              </w:rPr>
              <w:t>s</w:t>
            </w:r>
            <w:r>
              <w:rPr>
                <w:rFonts w:ascii="Times New Roman" w:eastAsia="宋体" w:hAnsi="Times New Roman" w:cs="Times New Roman"/>
                <w:szCs w:val="21"/>
              </w:rPr>
              <w:t>）</w:t>
            </w:r>
          </w:p>
        </w:tc>
        <w:tc>
          <w:tcPr>
            <w:tcW w:w="3377" w:type="pct"/>
            <w:vAlign w:val="center"/>
          </w:tcPr>
          <w:p w14:paraId="430FCD9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w:t>
            </w:r>
          </w:p>
        </w:tc>
      </w:tr>
      <w:tr w:rsidR="002133E3" w14:paraId="555750AE" w14:textId="77777777">
        <w:trPr>
          <w:trHeight w:val="284"/>
          <w:jc w:val="center"/>
        </w:trPr>
        <w:tc>
          <w:tcPr>
            <w:tcW w:w="1623" w:type="pct"/>
            <w:gridSpan w:val="2"/>
            <w:vAlign w:val="center"/>
          </w:tcPr>
          <w:p w14:paraId="2F0246D1"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液气比（</w:t>
            </w:r>
            <w:r>
              <w:rPr>
                <w:rFonts w:ascii="Times New Roman" w:eastAsia="宋体" w:hAnsi="Times New Roman" w:cs="Times New Roman"/>
                <w:szCs w:val="21"/>
              </w:rPr>
              <w:t>L /m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w:t>
            </w:r>
          </w:p>
        </w:tc>
        <w:tc>
          <w:tcPr>
            <w:tcW w:w="3377" w:type="pct"/>
            <w:vAlign w:val="center"/>
          </w:tcPr>
          <w:p w14:paraId="056380F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r>
      <w:tr w:rsidR="002133E3" w14:paraId="020C3C94" w14:textId="77777777">
        <w:trPr>
          <w:trHeight w:val="284"/>
          <w:jc w:val="center"/>
        </w:trPr>
        <w:tc>
          <w:tcPr>
            <w:tcW w:w="1623" w:type="pct"/>
            <w:gridSpan w:val="2"/>
            <w:vAlign w:val="center"/>
          </w:tcPr>
          <w:p w14:paraId="11BF11F5"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润湿率</w:t>
            </w:r>
          </w:p>
        </w:tc>
        <w:tc>
          <w:tcPr>
            <w:tcW w:w="3377" w:type="pct"/>
            <w:vAlign w:val="center"/>
          </w:tcPr>
          <w:p w14:paraId="6A20A9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0.09</w:t>
            </w:r>
          </w:p>
        </w:tc>
      </w:tr>
      <w:tr w:rsidR="002133E3" w14:paraId="404AC7F1" w14:textId="77777777">
        <w:trPr>
          <w:trHeight w:val="284"/>
          <w:jc w:val="center"/>
        </w:trPr>
        <w:tc>
          <w:tcPr>
            <w:tcW w:w="1623" w:type="pct"/>
            <w:gridSpan w:val="2"/>
            <w:vAlign w:val="center"/>
          </w:tcPr>
          <w:p w14:paraId="2A7CBD6D"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除雾层厚度（</w:t>
            </w:r>
            <w:r>
              <w:rPr>
                <w:rFonts w:ascii="Times New Roman" w:eastAsia="宋体" w:hAnsi="Times New Roman" w:cs="Times New Roman"/>
                <w:szCs w:val="21"/>
              </w:rPr>
              <w:t>mm</w:t>
            </w:r>
            <w:r>
              <w:rPr>
                <w:rFonts w:ascii="Times New Roman" w:eastAsia="宋体" w:hAnsi="Times New Roman" w:cs="Times New Roman"/>
                <w:szCs w:val="21"/>
              </w:rPr>
              <w:t>）</w:t>
            </w:r>
          </w:p>
        </w:tc>
        <w:tc>
          <w:tcPr>
            <w:tcW w:w="3377" w:type="pct"/>
            <w:vAlign w:val="center"/>
          </w:tcPr>
          <w:p w14:paraId="0E7BD94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200</w:t>
            </w:r>
          </w:p>
        </w:tc>
      </w:tr>
      <w:tr w:rsidR="002133E3" w14:paraId="4AF28171" w14:textId="77777777">
        <w:trPr>
          <w:trHeight w:val="284"/>
          <w:jc w:val="center"/>
        </w:trPr>
        <w:tc>
          <w:tcPr>
            <w:tcW w:w="1623" w:type="pct"/>
            <w:gridSpan w:val="2"/>
            <w:vAlign w:val="center"/>
          </w:tcPr>
          <w:p w14:paraId="0FE531E9"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单塔压降</w:t>
            </w:r>
          </w:p>
        </w:tc>
        <w:tc>
          <w:tcPr>
            <w:tcW w:w="3377" w:type="pct"/>
            <w:vAlign w:val="center"/>
          </w:tcPr>
          <w:p w14:paraId="66B864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400+895=1295pa</w:t>
            </w:r>
          </w:p>
        </w:tc>
      </w:tr>
      <w:tr w:rsidR="002133E3" w14:paraId="6746A207" w14:textId="77777777">
        <w:trPr>
          <w:trHeight w:val="284"/>
          <w:jc w:val="center"/>
        </w:trPr>
        <w:tc>
          <w:tcPr>
            <w:tcW w:w="786" w:type="pct"/>
            <w:vMerge w:val="restart"/>
            <w:vAlign w:val="center"/>
          </w:tcPr>
          <w:p w14:paraId="545CBAF2"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循环泵</w:t>
            </w:r>
          </w:p>
        </w:tc>
        <w:tc>
          <w:tcPr>
            <w:tcW w:w="837" w:type="pct"/>
            <w:vAlign w:val="center"/>
          </w:tcPr>
          <w:p w14:paraId="047CA92A"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数量（台）</w:t>
            </w:r>
          </w:p>
        </w:tc>
        <w:tc>
          <w:tcPr>
            <w:tcW w:w="3377" w:type="pct"/>
            <w:vAlign w:val="center"/>
          </w:tcPr>
          <w:p w14:paraId="3D725C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用</w:t>
            </w:r>
            <w:r>
              <w:rPr>
                <w:rFonts w:ascii="Times New Roman" w:eastAsia="宋体" w:hAnsi="Times New Roman" w:cs="Times New Roman"/>
                <w:szCs w:val="21"/>
              </w:rPr>
              <w:t>1</w:t>
            </w:r>
            <w:r>
              <w:rPr>
                <w:rFonts w:ascii="Times New Roman" w:eastAsia="宋体" w:hAnsi="Times New Roman" w:cs="Times New Roman"/>
                <w:szCs w:val="21"/>
              </w:rPr>
              <w:t>备）</w:t>
            </w:r>
          </w:p>
        </w:tc>
      </w:tr>
      <w:tr w:rsidR="002133E3" w14:paraId="36EFF480" w14:textId="77777777">
        <w:trPr>
          <w:trHeight w:val="284"/>
          <w:jc w:val="center"/>
        </w:trPr>
        <w:tc>
          <w:tcPr>
            <w:tcW w:w="786" w:type="pct"/>
            <w:vMerge/>
            <w:vAlign w:val="center"/>
          </w:tcPr>
          <w:p w14:paraId="1BC2E087" w14:textId="77777777" w:rsidR="002133E3" w:rsidRDefault="002133E3">
            <w:pPr>
              <w:jc w:val="center"/>
              <w:rPr>
                <w:rFonts w:ascii="Times New Roman" w:eastAsia="宋体" w:hAnsi="Times New Roman" w:cs="Times New Roman"/>
                <w:szCs w:val="21"/>
              </w:rPr>
            </w:pPr>
          </w:p>
        </w:tc>
        <w:tc>
          <w:tcPr>
            <w:tcW w:w="837" w:type="pct"/>
            <w:vAlign w:val="center"/>
          </w:tcPr>
          <w:p w14:paraId="1E2C69CC"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流量（</w:t>
            </w:r>
            <w:r>
              <w:rPr>
                <w:rFonts w:ascii="Times New Roman" w:eastAsia="宋体" w:hAnsi="Times New Roman" w:cs="Times New Roman"/>
                <w:szCs w:val="21"/>
              </w:rPr>
              <w:t>m³/h</w:t>
            </w:r>
            <w:r>
              <w:rPr>
                <w:rFonts w:ascii="Times New Roman" w:eastAsia="宋体" w:hAnsi="Times New Roman" w:cs="Times New Roman"/>
                <w:szCs w:val="21"/>
              </w:rPr>
              <w:t>）</w:t>
            </w:r>
          </w:p>
        </w:tc>
        <w:tc>
          <w:tcPr>
            <w:tcW w:w="3377" w:type="pct"/>
            <w:vAlign w:val="center"/>
          </w:tcPr>
          <w:p w14:paraId="28E366E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80</w:t>
            </w:r>
          </w:p>
        </w:tc>
      </w:tr>
      <w:tr w:rsidR="002133E3" w14:paraId="668CFB74" w14:textId="77777777">
        <w:trPr>
          <w:trHeight w:val="284"/>
          <w:jc w:val="center"/>
        </w:trPr>
        <w:tc>
          <w:tcPr>
            <w:tcW w:w="786" w:type="pct"/>
            <w:vMerge/>
            <w:vAlign w:val="center"/>
          </w:tcPr>
          <w:p w14:paraId="2E83B602" w14:textId="77777777" w:rsidR="002133E3" w:rsidRDefault="002133E3">
            <w:pPr>
              <w:autoSpaceDE w:val="0"/>
              <w:autoSpaceDN w:val="0"/>
              <w:adjustRightInd w:val="0"/>
              <w:jc w:val="center"/>
              <w:rPr>
                <w:rFonts w:ascii="Times New Roman" w:eastAsia="宋体" w:hAnsi="Times New Roman" w:cs="Times New Roman"/>
                <w:szCs w:val="21"/>
              </w:rPr>
            </w:pPr>
          </w:p>
        </w:tc>
        <w:tc>
          <w:tcPr>
            <w:tcW w:w="837" w:type="pct"/>
            <w:vAlign w:val="center"/>
          </w:tcPr>
          <w:p w14:paraId="0DEA2699"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扬程（</w:t>
            </w:r>
            <w:r>
              <w:rPr>
                <w:rFonts w:ascii="Times New Roman" w:eastAsia="宋体" w:hAnsi="Times New Roman" w:cs="Times New Roman"/>
                <w:szCs w:val="21"/>
              </w:rPr>
              <w:t>m</w:t>
            </w:r>
            <w:r>
              <w:rPr>
                <w:rFonts w:ascii="Times New Roman" w:eastAsia="宋体" w:hAnsi="Times New Roman" w:cs="Times New Roman"/>
                <w:szCs w:val="21"/>
              </w:rPr>
              <w:t>）</w:t>
            </w:r>
          </w:p>
        </w:tc>
        <w:tc>
          <w:tcPr>
            <w:tcW w:w="3377" w:type="pct"/>
            <w:vAlign w:val="center"/>
          </w:tcPr>
          <w:p w14:paraId="6AD7741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35</w:t>
            </w:r>
          </w:p>
        </w:tc>
      </w:tr>
      <w:tr w:rsidR="002133E3" w14:paraId="3D9E9CD3" w14:textId="77777777">
        <w:trPr>
          <w:trHeight w:val="284"/>
          <w:jc w:val="center"/>
        </w:trPr>
        <w:tc>
          <w:tcPr>
            <w:tcW w:w="786" w:type="pct"/>
            <w:vMerge/>
            <w:vAlign w:val="center"/>
          </w:tcPr>
          <w:p w14:paraId="49978966" w14:textId="77777777" w:rsidR="002133E3" w:rsidRDefault="002133E3">
            <w:pPr>
              <w:jc w:val="center"/>
              <w:rPr>
                <w:rFonts w:ascii="Times New Roman" w:eastAsia="宋体" w:hAnsi="Times New Roman" w:cs="Times New Roman"/>
                <w:szCs w:val="21"/>
              </w:rPr>
            </w:pPr>
          </w:p>
        </w:tc>
        <w:tc>
          <w:tcPr>
            <w:tcW w:w="837" w:type="pct"/>
            <w:vAlign w:val="center"/>
          </w:tcPr>
          <w:p w14:paraId="557EFC59" w14:textId="77777777" w:rsidR="002133E3" w:rsidRDefault="00C22CFA">
            <w:pPr>
              <w:ind w:leftChars="-6" w:hangingChars="6" w:hanging="13"/>
              <w:jc w:val="center"/>
              <w:rPr>
                <w:rFonts w:ascii="Times New Roman" w:eastAsia="宋体" w:hAnsi="Times New Roman" w:cs="Times New Roman"/>
                <w:szCs w:val="21"/>
              </w:rPr>
            </w:pPr>
            <w:r>
              <w:rPr>
                <w:rFonts w:ascii="Times New Roman" w:eastAsia="宋体" w:hAnsi="Times New Roman" w:cs="Times New Roman"/>
                <w:szCs w:val="21"/>
              </w:rPr>
              <w:t>功率（</w:t>
            </w:r>
            <w:r>
              <w:rPr>
                <w:rFonts w:ascii="Times New Roman" w:eastAsia="宋体" w:hAnsi="Times New Roman" w:cs="Times New Roman"/>
                <w:szCs w:val="21"/>
              </w:rPr>
              <w:t>KW</w:t>
            </w:r>
            <w:r>
              <w:rPr>
                <w:rFonts w:ascii="Times New Roman" w:eastAsia="宋体" w:hAnsi="Times New Roman" w:cs="Times New Roman"/>
                <w:szCs w:val="21"/>
              </w:rPr>
              <w:t>）</w:t>
            </w:r>
          </w:p>
        </w:tc>
        <w:tc>
          <w:tcPr>
            <w:tcW w:w="3377" w:type="pct"/>
            <w:vAlign w:val="center"/>
          </w:tcPr>
          <w:p w14:paraId="03A3CA9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r>
    </w:tbl>
    <w:bookmarkEnd w:id="84"/>
    <w:p w14:paraId="08F3326F" w14:textId="77777777" w:rsidR="002133E3" w:rsidRDefault="009F1FEF">
      <w:pPr>
        <w:widowControl/>
        <w:jc w:val="center"/>
        <w:rPr>
          <w:rFonts w:ascii="Times New Roman" w:eastAsia="宋体" w:hAnsi="Times New Roman" w:cs="Times New Roman"/>
          <w:color w:val="FF0000"/>
          <w:kern w:val="0"/>
          <w:sz w:val="24"/>
          <w:szCs w:val="20"/>
        </w:rPr>
      </w:pPr>
      <w:r>
        <w:rPr>
          <w:rFonts w:ascii="Times New Roman" w:hAnsi="Times New Roman" w:cs="Times New Roman"/>
        </w:rPr>
        <w:pict w14:anchorId="09784C25">
          <v:shape id="_x0000_i1067" type="#_x0000_t75" style="width:481.7pt;height:88.85pt">
            <v:imagedata r:id="rId122" o:title=""/>
          </v:shape>
        </w:pict>
      </w:r>
    </w:p>
    <w:p w14:paraId="1B2988D0" w14:textId="77777777" w:rsidR="002133E3" w:rsidRDefault="00C22CFA">
      <w:pPr>
        <w:widowControl/>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图</w:t>
      </w:r>
      <w:r>
        <w:rPr>
          <w:rFonts w:ascii="Times New Roman" w:eastAsia="宋体" w:hAnsi="Times New Roman" w:cs="Times New Roman"/>
          <w:b/>
          <w:kern w:val="0"/>
          <w:sz w:val="24"/>
          <w:szCs w:val="20"/>
        </w:rPr>
        <w:t xml:space="preserve">7.2-6  </w:t>
      </w:r>
      <w:r>
        <w:rPr>
          <w:rFonts w:ascii="Times New Roman" w:eastAsia="宋体" w:hAnsi="Times New Roman" w:cs="Times New Roman"/>
          <w:b/>
          <w:kern w:val="0"/>
          <w:sz w:val="24"/>
          <w:szCs w:val="20"/>
        </w:rPr>
        <w:t>水吸收装置处理工艺流程图</w:t>
      </w:r>
    </w:p>
    <w:p w14:paraId="237240F9" w14:textId="77777777" w:rsidR="002133E3" w:rsidRDefault="009F1FEF">
      <w:pPr>
        <w:widowControl/>
        <w:jc w:val="center"/>
        <w:rPr>
          <w:rFonts w:ascii="Times New Roman" w:hAnsi="Times New Roman" w:cs="Times New Roman"/>
        </w:rPr>
      </w:pPr>
      <w:r>
        <w:rPr>
          <w:rFonts w:ascii="Times New Roman" w:hAnsi="Times New Roman" w:cs="Times New Roman"/>
        </w:rPr>
        <w:pict w14:anchorId="04C3E5D8">
          <v:shape id="_x0000_i1068" type="#_x0000_t75" style="width:481.8pt;height:118.2pt">
            <v:imagedata r:id="rId123" o:title=""/>
          </v:shape>
        </w:pict>
      </w:r>
    </w:p>
    <w:p w14:paraId="65466074" w14:textId="77777777" w:rsidR="002133E3" w:rsidRDefault="009F1FEF">
      <w:pPr>
        <w:widowControl/>
        <w:jc w:val="center"/>
        <w:rPr>
          <w:rFonts w:ascii="Times New Roman" w:eastAsia="宋体" w:hAnsi="Times New Roman" w:cs="Times New Roman"/>
          <w:color w:val="FF0000"/>
          <w:kern w:val="0"/>
          <w:sz w:val="24"/>
          <w:szCs w:val="20"/>
        </w:rPr>
      </w:pPr>
      <w:r>
        <w:pict w14:anchorId="34C103F3">
          <v:shape id="_x0000_i1069" type="#_x0000_t75" style="width:481.8pt;height:118.2pt">
            <v:imagedata r:id="rId124" o:title=""/>
          </v:shape>
        </w:pict>
      </w:r>
    </w:p>
    <w:p w14:paraId="74C2D4B4" w14:textId="77777777" w:rsidR="002133E3" w:rsidRDefault="00C22CFA">
      <w:pPr>
        <w:widowControl/>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0"/>
        </w:rPr>
        <w:t>图</w:t>
      </w:r>
      <w:r>
        <w:rPr>
          <w:rFonts w:ascii="Times New Roman" w:eastAsia="宋体" w:hAnsi="Times New Roman" w:cs="Times New Roman"/>
          <w:b/>
          <w:kern w:val="0"/>
          <w:sz w:val="24"/>
          <w:szCs w:val="20"/>
        </w:rPr>
        <w:t xml:space="preserve">7.2-7  </w:t>
      </w:r>
      <w:r>
        <w:rPr>
          <w:rFonts w:ascii="Times New Roman" w:eastAsia="宋体" w:hAnsi="Times New Roman" w:cs="Times New Roman"/>
          <w:b/>
          <w:kern w:val="0"/>
          <w:sz w:val="24"/>
          <w:szCs w:val="20"/>
        </w:rPr>
        <w:t>水吸收装置物料平衡图</w:t>
      </w:r>
    </w:p>
    <w:p w14:paraId="7166FC6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无组织废气</w:t>
      </w:r>
    </w:p>
    <w:p w14:paraId="16ED840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罐区废气</w:t>
      </w:r>
    </w:p>
    <w:p w14:paraId="30EF22EA"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针对罐区采取的防止无组织气体排放的主要措施有：</w:t>
      </w:r>
    </w:p>
    <w:p w14:paraId="611B3616"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本项目新增无水乙醇储罐为双密封内浮顶罐，</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小呼吸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可以忽略；生产线与贮罐之间均采用管道输送，由于双密封</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大呼吸</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排放量极小，因此，罐区的无组织排放量降低到很低的水平。</w:t>
      </w:r>
    </w:p>
    <w:p w14:paraId="6BF6C3FB"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其它需加强的控制对策：</w:t>
      </w:r>
    </w:p>
    <w:p w14:paraId="74C953CA"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加强日常操作管理和维护，减少跑、冒、滴、漏，避免事故泄漏。</w:t>
      </w:r>
    </w:p>
    <w:p w14:paraId="6AA063E4"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加强泵、阀门等有法兰连接处的密封性，并在操作的区域设置冲洗装置，以便及时将泄漏的物料冲洗收集到事故水池，减少泄漏液体的挥发。</w:t>
      </w:r>
    </w:p>
    <w:p w14:paraId="2625173E" w14:textId="77777777" w:rsidR="002133E3" w:rsidRDefault="00C22CFA">
      <w:pPr>
        <w:spacing w:line="520" w:lineRule="exact"/>
        <w:ind w:firstLineChars="200" w:firstLine="560"/>
        <w:jc w:val="left"/>
        <w:rPr>
          <w:rFonts w:ascii="Times New Roman" w:eastAsia="宋体" w:hAnsi="Times New Roman" w:cs="Times New Roman"/>
          <w:b/>
          <w:sz w:val="30"/>
          <w:szCs w:val="30"/>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根据罐区场地面积和装置布置情况，在库区周围、道路两旁、四周的空地上可以选择种植具有较强的抗污染能力和较好的净化空气能力的物种。在绿</w:t>
      </w:r>
      <w:r>
        <w:rPr>
          <w:rFonts w:ascii="Times New Roman" w:eastAsia="宋体" w:hAnsi="Times New Roman" w:cs="Times New Roman"/>
          <w:kern w:val="0"/>
          <w:sz w:val="28"/>
          <w:szCs w:val="28"/>
        </w:rPr>
        <w:lastRenderedPageBreak/>
        <w:t>化中以植树为主，栽花种草为辅。</w:t>
      </w:r>
    </w:p>
    <w:p w14:paraId="77F97133"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工艺无组织废气</w:t>
      </w:r>
    </w:p>
    <w:p w14:paraId="37789CE7"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工艺中已采取的控制对策：</w:t>
      </w:r>
    </w:p>
    <w:p w14:paraId="292808A2"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项目木薯干原料装卸，应在仓库中进行，杜绝露天操作，地面散落的原料应及时清除。木薯干仓库</w:t>
      </w:r>
      <w:r>
        <w:rPr>
          <w:rFonts w:ascii="Times New Roman" w:eastAsia="宋体" w:hAnsi="Times New Roman" w:cs="Times New Roman"/>
          <w:bCs/>
          <w:kern w:val="0"/>
          <w:sz w:val="28"/>
          <w:szCs w:val="28"/>
        </w:rPr>
        <w:t>四周设置喷淋装置，堆场表面适时适量喷淋，堆存区域地面用水冲洗。木薯仓库周围种植绿化隔离带</w:t>
      </w:r>
      <w:r>
        <w:rPr>
          <w:rFonts w:ascii="Times New Roman" w:eastAsia="宋体" w:hAnsi="Times New Roman" w:cs="Times New Roman"/>
          <w:bCs/>
          <w:kern w:val="0"/>
          <w:sz w:val="28"/>
          <w:szCs w:val="28"/>
        </w:rPr>
        <w:t>(</w:t>
      </w:r>
      <w:r>
        <w:rPr>
          <w:rFonts w:ascii="Times New Roman" w:eastAsia="宋体" w:hAnsi="Times New Roman" w:cs="Times New Roman"/>
          <w:bCs/>
          <w:kern w:val="0"/>
          <w:sz w:val="28"/>
          <w:szCs w:val="28"/>
        </w:rPr>
        <w:t>其中必须有一定宽度和密度的高大乔木</w:t>
      </w:r>
      <w:r>
        <w:rPr>
          <w:rFonts w:ascii="Times New Roman" w:eastAsia="宋体" w:hAnsi="Times New Roman" w:cs="Times New Roman"/>
          <w:bCs/>
          <w:kern w:val="0"/>
          <w:sz w:val="28"/>
          <w:szCs w:val="28"/>
        </w:rPr>
        <w:t>)</w:t>
      </w:r>
      <w:r>
        <w:rPr>
          <w:rFonts w:ascii="Times New Roman" w:eastAsia="宋体" w:hAnsi="Times New Roman" w:cs="Times New Roman"/>
          <w:bCs/>
          <w:kern w:val="0"/>
          <w:sz w:val="28"/>
          <w:szCs w:val="28"/>
        </w:rPr>
        <w:t>，以减小起尘量。</w:t>
      </w:r>
    </w:p>
    <w:p w14:paraId="7FE009F6"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本项目自动化程度较强，蒸煮工艺基本为自动化密闭操作，产生的粉尘通过风机抽出后收集处理，同时</w:t>
      </w:r>
      <w:r>
        <w:rPr>
          <w:rFonts w:ascii="Times New Roman" w:eastAsia="宋体" w:hAnsi="Times New Roman" w:cs="Times New Roman"/>
          <w:bCs/>
          <w:kern w:val="0"/>
          <w:sz w:val="28"/>
          <w:szCs w:val="28"/>
        </w:rPr>
        <w:t>原料输送系统内落差较大的转运点设置缓冲锁气器，防止粉尘飞扬及保护胶带</w:t>
      </w:r>
      <w:r>
        <w:rPr>
          <w:rFonts w:ascii="Times New Roman" w:eastAsia="宋体" w:hAnsi="Times New Roman" w:cs="Times New Roman"/>
          <w:kern w:val="0"/>
          <w:sz w:val="28"/>
          <w:szCs w:val="28"/>
        </w:rPr>
        <w:t>。</w:t>
      </w:r>
    </w:p>
    <w:p w14:paraId="50EB1DC6"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加强管道、阀门的密封检修。</w:t>
      </w:r>
    </w:p>
    <w:p w14:paraId="66E21510"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需加强的控制对策：</w:t>
      </w:r>
    </w:p>
    <w:p w14:paraId="0A4EE261"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加强废物转移管理，废物转移出后，应立即用密封容器暂存，不准暴露在环境中；</w:t>
      </w:r>
    </w:p>
    <w:p w14:paraId="0F4F555E"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加强操作工的培训和管理，减少人为造成的对环境的污染；</w:t>
      </w:r>
    </w:p>
    <w:p w14:paraId="718ABE7A"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对于一些有可能导致废气事故排放的情况，如循环冷却系统失效而导致物料大量挥发、物料贮罐的泄漏等，公司必须加强管理，采取切实有效的措施以保障安全和防止污染环境；</w:t>
      </w:r>
    </w:p>
    <w:p w14:paraId="72BA4B86"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⑷</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加强非露天车间通气和排气，做好消防防火工作，严格按消防规章落实各项措施，杜绝爆炸、火灾引污染事故。</w:t>
      </w:r>
    </w:p>
    <w:p w14:paraId="6FF04199" w14:textId="77777777" w:rsidR="002133E3" w:rsidRDefault="00C22CFA">
      <w:pPr>
        <w:spacing w:line="520" w:lineRule="exact"/>
        <w:ind w:firstLineChars="200" w:firstLine="560"/>
        <w:jc w:val="left"/>
        <w:rPr>
          <w:rFonts w:ascii="Times New Roman" w:eastAsia="宋体" w:hAnsi="Times New Roman" w:cs="Times New Roman"/>
          <w:b/>
          <w:sz w:val="30"/>
          <w:szCs w:val="30"/>
        </w:rPr>
      </w:pPr>
      <w:r>
        <w:rPr>
          <w:rFonts w:ascii="宋体" w:eastAsia="宋体" w:hAnsi="宋体" w:cs="宋体" w:hint="eastAsia"/>
          <w:kern w:val="0"/>
          <w:sz w:val="28"/>
          <w:szCs w:val="28"/>
        </w:rPr>
        <w:t>⑸</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空物料桶及时收集外运，禁止在厂区内长期特别是尚口露天堆放。</w:t>
      </w:r>
    </w:p>
    <w:p w14:paraId="6F11766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车间事故性排放应急措施与卫生防护</w:t>
      </w:r>
    </w:p>
    <w:p w14:paraId="0BF835F2"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生产期间要防止管道和尾气收集系统的泄漏，避免事故性无组织排放。建立事故性排放的防护措施，在车间内要备有足够的通风设备。</w:t>
      </w:r>
    </w:p>
    <w:p w14:paraId="4C3A4760" w14:textId="77777777" w:rsidR="002133E3" w:rsidRDefault="00C22CFA">
      <w:pPr>
        <w:spacing w:line="520" w:lineRule="exact"/>
        <w:ind w:firstLineChars="200" w:firstLine="560"/>
        <w:jc w:val="left"/>
        <w:rPr>
          <w:rFonts w:ascii="Times New Roman" w:eastAsia="宋体" w:hAnsi="Times New Roman" w:cs="Times New Roman"/>
          <w:b/>
          <w:sz w:val="30"/>
          <w:szCs w:val="30"/>
        </w:rPr>
      </w:pPr>
      <w:r>
        <w:rPr>
          <w:rFonts w:ascii="Times New Roman" w:eastAsia="宋体" w:hAnsi="Times New Roman" w:cs="Times New Roman"/>
          <w:kern w:val="0"/>
          <w:sz w:val="28"/>
          <w:szCs w:val="28"/>
        </w:rPr>
        <w:t>在非露天的生产车间侧装足量的排风机，对车间进行换气，降低车间废气浓度，保护职工的身心健康。</w:t>
      </w:r>
    </w:p>
    <w:p w14:paraId="72D10C2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大气污染防治措施效果分析</w:t>
      </w:r>
    </w:p>
    <w:p w14:paraId="58CB6185"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本项目除</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t/a</w:t>
      </w:r>
      <w:r>
        <w:rPr>
          <w:rFonts w:ascii="Times New Roman" w:eastAsia="宋体" w:hAnsi="Times New Roman" w:cs="Times New Roman"/>
          <w:kern w:val="0"/>
          <w:sz w:val="28"/>
          <w:szCs w:val="28"/>
        </w:rPr>
        <w:t>酒精</w:t>
      </w:r>
      <w:r>
        <w:rPr>
          <w:rFonts w:ascii="Times New Roman" w:eastAsia="宋体" w:hAnsi="Times New Roman" w:cs="Times New Roman"/>
          <w:kern w:val="0"/>
          <w:sz w:val="28"/>
          <w:szCs w:val="28"/>
        </w:rPr>
        <w:t>(95%)</w:t>
      </w:r>
      <w:r>
        <w:rPr>
          <w:rFonts w:ascii="Times New Roman" w:eastAsia="宋体" w:hAnsi="Times New Roman" w:cs="Times New Roman"/>
          <w:kern w:val="0"/>
          <w:sz w:val="28"/>
          <w:szCs w:val="28"/>
        </w:rPr>
        <w:t>生产线粉碎废气新增三套水膜除尘装置，处理后经</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根</w:t>
      </w:r>
      <w:r>
        <w:rPr>
          <w:rFonts w:ascii="Times New Roman" w:eastAsia="宋体" w:hAnsi="Times New Roman" w:cs="Times New Roman"/>
          <w:kern w:val="0"/>
          <w:sz w:val="28"/>
          <w:szCs w:val="28"/>
        </w:rPr>
        <w:t>20m</w:t>
      </w:r>
      <w:r>
        <w:rPr>
          <w:rFonts w:ascii="Times New Roman" w:eastAsia="宋体" w:hAnsi="Times New Roman" w:cs="Times New Roman"/>
          <w:kern w:val="0"/>
          <w:sz w:val="28"/>
          <w:szCs w:val="28"/>
        </w:rPr>
        <w:t>高排气筒排放，其余废气均利用现有处理设施。项目废气防治措施治理效果详见表</w:t>
      </w:r>
      <w:r>
        <w:rPr>
          <w:rFonts w:ascii="Times New Roman" w:eastAsia="宋体" w:hAnsi="Times New Roman" w:cs="Times New Roman"/>
          <w:kern w:val="0"/>
          <w:sz w:val="28"/>
          <w:szCs w:val="28"/>
        </w:rPr>
        <w:t>7.2-4</w:t>
      </w:r>
      <w:r>
        <w:rPr>
          <w:rFonts w:ascii="Times New Roman" w:eastAsia="宋体" w:hAnsi="Times New Roman" w:cs="Times New Roman"/>
          <w:kern w:val="0"/>
          <w:sz w:val="28"/>
          <w:szCs w:val="28"/>
        </w:rPr>
        <w:t>。</w:t>
      </w:r>
    </w:p>
    <w:p w14:paraId="0D691E2F" w14:textId="77777777" w:rsidR="002133E3" w:rsidRDefault="00C22CFA">
      <w:pPr>
        <w:widowControl/>
        <w:tabs>
          <w:tab w:val="left" w:pos="600"/>
        </w:tabs>
        <w:spacing w:line="500" w:lineRule="exact"/>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表</w:t>
      </w:r>
      <w:r>
        <w:rPr>
          <w:rFonts w:ascii="Times New Roman" w:eastAsia="宋体" w:hAnsi="Times New Roman" w:cs="Times New Roman"/>
          <w:b/>
          <w:kern w:val="0"/>
          <w:sz w:val="24"/>
          <w:szCs w:val="20"/>
        </w:rPr>
        <w:t xml:space="preserve">7.2-4  </w:t>
      </w:r>
      <w:r>
        <w:rPr>
          <w:rFonts w:ascii="Times New Roman" w:eastAsia="宋体" w:hAnsi="Times New Roman" w:cs="Times New Roman"/>
          <w:b/>
          <w:kern w:val="0"/>
          <w:sz w:val="24"/>
          <w:szCs w:val="20"/>
        </w:rPr>
        <w:t>项目废气处理工艺及处理效果表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596"/>
        <w:gridCol w:w="1451"/>
        <w:gridCol w:w="1450"/>
        <w:gridCol w:w="1161"/>
        <w:gridCol w:w="726"/>
        <w:gridCol w:w="726"/>
        <w:gridCol w:w="726"/>
        <w:gridCol w:w="718"/>
      </w:tblGrid>
      <w:tr w:rsidR="002133E3" w14:paraId="46988E01" w14:textId="77777777">
        <w:trPr>
          <w:cantSplit/>
          <w:trHeight w:val="284"/>
          <w:jc w:val="center"/>
        </w:trPr>
        <w:tc>
          <w:tcPr>
            <w:tcW w:w="4248" w:type="dxa"/>
            <w:gridSpan w:val="3"/>
            <w:vMerge w:val="restart"/>
            <w:tcBorders>
              <w:tl2br w:val="single" w:sz="4" w:space="0" w:color="auto"/>
            </w:tcBorders>
            <w:vAlign w:val="center"/>
          </w:tcPr>
          <w:p w14:paraId="14B7B603" w14:textId="77777777" w:rsidR="002133E3" w:rsidRDefault="00C22CFA">
            <w:pPr>
              <w:snapToGrid w:val="0"/>
              <w:jc w:val="right"/>
              <w:rPr>
                <w:rFonts w:ascii="Times New Roman" w:eastAsia="宋体" w:hAnsi="Times New Roman" w:cs="Times New Roman"/>
                <w:b/>
                <w:kern w:val="0"/>
                <w:szCs w:val="21"/>
              </w:rPr>
            </w:pPr>
            <w:r>
              <w:rPr>
                <w:rFonts w:ascii="Times New Roman" w:eastAsia="宋体" w:hAnsi="Times New Roman" w:cs="Times New Roman"/>
                <w:b/>
                <w:kern w:val="0"/>
                <w:szCs w:val="21"/>
              </w:rPr>
              <w:t xml:space="preserve">              </w:t>
            </w:r>
            <w:r>
              <w:rPr>
                <w:rFonts w:ascii="Times New Roman" w:eastAsia="宋体" w:hAnsi="Times New Roman" w:cs="Times New Roman"/>
                <w:b/>
                <w:kern w:val="0"/>
                <w:szCs w:val="21"/>
              </w:rPr>
              <w:t>处理效果</w:t>
            </w:r>
          </w:p>
          <w:p w14:paraId="66CE48C2" w14:textId="77777777" w:rsidR="002133E3" w:rsidRDefault="00C22CFA">
            <w:pPr>
              <w:snapToGrid w:val="0"/>
              <w:jc w:val="left"/>
              <w:rPr>
                <w:rFonts w:ascii="Times New Roman" w:eastAsia="宋体" w:hAnsi="Times New Roman" w:cs="Times New Roman"/>
                <w:b/>
                <w:kern w:val="0"/>
                <w:szCs w:val="21"/>
              </w:rPr>
            </w:pPr>
            <w:r>
              <w:rPr>
                <w:rFonts w:ascii="Times New Roman" w:eastAsia="宋体" w:hAnsi="Times New Roman" w:cs="Times New Roman"/>
                <w:b/>
                <w:kern w:val="0"/>
                <w:szCs w:val="21"/>
              </w:rPr>
              <w:t>排气筒序号</w:t>
            </w:r>
          </w:p>
        </w:tc>
        <w:tc>
          <w:tcPr>
            <w:tcW w:w="1417" w:type="dxa"/>
            <w:vMerge w:val="restart"/>
            <w:vAlign w:val="center"/>
          </w:tcPr>
          <w:p w14:paraId="12CA391C"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治理措施</w:t>
            </w:r>
          </w:p>
        </w:tc>
        <w:tc>
          <w:tcPr>
            <w:tcW w:w="1134" w:type="dxa"/>
            <w:vMerge w:val="restart"/>
            <w:vAlign w:val="center"/>
          </w:tcPr>
          <w:p w14:paraId="72FD9999"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总投资</w:t>
            </w:r>
            <w:r>
              <w:rPr>
                <w:rFonts w:ascii="Times New Roman" w:eastAsia="宋体" w:hAnsi="Times New Roman" w:cs="Times New Roman"/>
                <w:b/>
                <w:kern w:val="0"/>
                <w:szCs w:val="21"/>
              </w:rPr>
              <w:t>(</w:t>
            </w:r>
            <w:r>
              <w:rPr>
                <w:rFonts w:ascii="Times New Roman" w:eastAsia="宋体" w:hAnsi="Times New Roman" w:cs="Times New Roman"/>
                <w:b/>
                <w:kern w:val="0"/>
                <w:szCs w:val="21"/>
              </w:rPr>
              <w:t>万元</w:t>
            </w:r>
            <w:r>
              <w:rPr>
                <w:rFonts w:ascii="Times New Roman" w:eastAsia="宋体" w:hAnsi="Times New Roman" w:cs="Times New Roman"/>
                <w:b/>
                <w:kern w:val="0"/>
                <w:szCs w:val="21"/>
              </w:rPr>
              <w:t>)</w:t>
            </w:r>
          </w:p>
        </w:tc>
        <w:tc>
          <w:tcPr>
            <w:tcW w:w="709" w:type="dxa"/>
            <w:vMerge w:val="restart"/>
            <w:vAlign w:val="center"/>
          </w:tcPr>
          <w:p w14:paraId="05FA65CA"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效果</w:t>
            </w:r>
          </w:p>
        </w:tc>
        <w:tc>
          <w:tcPr>
            <w:tcW w:w="2120" w:type="dxa"/>
            <w:gridSpan w:val="3"/>
            <w:vAlign w:val="center"/>
          </w:tcPr>
          <w:p w14:paraId="721FBCBD"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排放参数</w:t>
            </w:r>
          </w:p>
        </w:tc>
      </w:tr>
      <w:tr w:rsidR="002133E3" w14:paraId="445F86BF" w14:textId="77777777">
        <w:trPr>
          <w:cantSplit/>
          <w:trHeight w:val="284"/>
          <w:jc w:val="center"/>
        </w:trPr>
        <w:tc>
          <w:tcPr>
            <w:tcW w:w="4248" w:type="dxa"/>
            <w:gridSpan w:val="3"/>
            <w:vMerge/>
            <w:tcBorders>
              <w:tl2br w:val="single" w:sz="4" w:space="0" w:color="auto"/>
            </w:tcBorders>
            <w:vAlign w:val="center"/>
          </w:tcPr>
          <w:p w14:paraId="658C9334" w14:textId="77777777" w:rsidR="002133E3" w:rsidRDefault="002133E3">
            <w:pPr>
              <w:snapToGrid w:val="0"/>
              <w:jc w:val="center"/>
              <w:rPr>
                <w:rFonts w:ascii="Times New Roman" w:eastAsia="宋体" w:hAnsi="Times New Roman" w:cs="Times New Roman"/>
                <w:kern w:val="0"/>
                <w:szCs w:val="21"/>
              </w:rPr>
            </w:pPr>
          </w:p>
        </w:tc>
        <w:tc>
          <w:tcPr>
            <w:tcW w:w="1417" w:type="dxa"/>
            <w:vMerge/>
            <w:vAlign w:val="center"/>
          </w:tcPr>
          <w:p w14:paraId="5CF81FBC" w14:textId="77777777" w:rsidR="002133E3" w:rsidRDefault="002133E3">
            <w:pPr>
              <w:snapToGrid w:val="0"/>
              <w:jc w:val="center"/>
              <w:rPr>
                <w:rFonts w:ascii="Times New Roman" w:eastAsia="宋体" w:hAnsi="Times New Roman" w:cs="Times New Roman"/>
                <w:kern w:val="0"/>
                <w:szCs w:val="21"/>
              </w:rPr>
            </w:pPr>
          </w:p>
        </w:tc>
        <w:tc>
          <w:tcPr>
            <w:tcW w:w="1134" w:type="dxa"/>
            <w:vMerge/>
            <w:vAlign w:val="center"/>
          </w:tcPr>
          <w:p w14:paraId="35E65414" w14:textId="77777777" w:rsidR="002133E3" w:rsidRDefault="002133E3">
            <w:pPr>
              <w:snapToGrid w:val="0"/>
              <w:jc w:val="center"/>
              <w:rPr>
                <w:rFonts w:ascii="Times New Roman" w:eastAsia="宋体" w:hAnsi="Times New Roman" w:cs="Times New Roman"/>
                <w:kern w:val="0"/>
                <w:szCs w:val="21"/>
              </w:rPr>
            </w:pPr>
          </w:p>
        </w:tc>
        <w:tc>
          <w:tcPr>
            <w:tcW w:w="709" w:type="dxa"/>
            <w:vMerge/>
            <w:vAlign w:val="center"/>
          </w:tcPr>
          <w:p w14:paraId="60344281" w14:textId="77777777" w:rsidR="002133E3" w:rsidRDefault="002133E3">
            <w:pPr>
              <w:snapToGrid w:val="0"/>
              <w:jc w:val="center"/>
              <w:rPr>
                <w:rFonts w:ascii="Times New Roman" w:eastAsia="宋体" w:hAnsi="Times New Roman" w:cs="Times New Roman"/>
                <w:kern w:val="0"/>
                <w:szCs w:val="21"/>
              </w:rPr>
            </w:pPr>
          </w:p>
        </w:tc>
        <w:tc>
          <w:tcPr>
            <w:tcW w:w="709" w:type="dxa"/>
            <w:vAlign w:val="center"/>
          </w:tcPr>
          <w:p w14:paraId="4FE83464"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高度</w:t>
            </w:r>
            <w:r>
              <w:rPr>
                <w:rFonts w:ascii="Times New Roman" w:eastAsia="宋体" w:hAnsi="Times New Roman" w:cs="Times New Roman"/>
                <w:b/>
                <w:kern w:val="0"/>
                <w:szCs w:val="21"/>
              </w:rPr>
              <w:t>(m)</w:t>
            </w:r>
          </w:p>
        </w:tc>
        <w:tc>
          <w:tcPr>
            <w:tcW w:w="709" w:type="dxa"/>
            <w:vAlign w:val="center"/>
          </w:tcPr>
          <w:p w14:paraId="1A2EBEE4"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直径</w:t>
            </w:r>
            <w:r>
              <w:rPr>
                <w:rFonts w:ascii="Times New Roman" w:eastAsia="宋体" w:hAnsi="Times New Roman" w:cs="Times New Roman"/>
                <w:b/>
                <w:kern w:val="0"/>
                <w:szCs w:val="21"/>
              </w:rPr>
              <w:t>(m)</w:t>
            </w:r>
          </w:p>
        </w:tc>
        <w:tc>
          <w:tcPr>
            <w:tcW w:w="702" w:type="dxa"/>
            <w:vAlign w:val="center"/>
          </w:tcPr>
          <w:p w14:paraId="0E5DED26" w14:textId="77777777" w:rsidR="002133E3" w:rsidRDefault="00C22CFA">
            <w:pPr>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温度</w:t>
            </w:r>
            <w:r>
              <w:rPr>
                <w:rFonts w:ascii="Times New Roman" w:eastAsia="宋体" w:hAnsi="Times New Roman" w:cs="Times New Roman"/>
                <w:b/>
                <w:kern w:val="0"/>
                <w:szCs w:val="21"/>
              </w:rPr>
              <w:t>(</w:t>
            </w:r>
            <w:r>
              <w:rPr>
                <w:rFonts w:ascii="宋体" w:eastAsia="宋体" w:hAnsi="宋体" w:cs="宋体" w:hint="eastAsia"/>
                <w:b/>
                <w:kern w:val="0"/>
                <w:szCs w:val="21"/>
              </w:rPr>
              <w:t>℃</w:t>
            </w:r>
            <w:r>
              <w:rPr>
                <w:rFonts w:ascii="Times New Roman" w:eastAsia="宋体" w:hAnsi="Times New Roman" w:cs="Times New Roman"/>
                <w:b/>
                <w:kern w:val="0"/>
                <w:szCs w:val="21"/>
              </w:rPr>
              <w:t>)</w:t>
            </w:r>
          </w:p>
        </w:tc>
      </w:tr>
      <w:tr w:rsidR="002133E3" w14:paraId="53B78F6E" w14:textId="77777777">
        <w:trPr>
          <w:cantSplit/>
          <w:trHeight w:val="284"/>
          <w:jc w:val="center"/>
        </w:trPr>
        <w:tc>
          <w:tcPr>
            <w:tcW w:w="1271" w:type="dxa"/>
            <w:vAlign w:val="center"/>
          </w:tcPr>
          <w:p w14:paraId="1FC1333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H3</w:t>
            </w:r>
            <w:r>
              <w:rPr>
                <w:rFonts w:ascii="Times New Roman" w:eastAsia="宋体" w:hAnsi="Times New Roman" w:cs="Times New Roman"/>
                <w:kern w:val="0"/>
                <w:szCs w:val="21"/>
              </w:rPr>
              <w:t>、</w:t>
            </w:r>
            <w:r>
              <w:rPr>
                <w:rFonts w:ascii="Times New Roman" w:eastAsia="宋体" w:hAnsi="Times New Roman" w:cs="Times New Roman"/>
                <w:kern w:val="0"/>
                <w:szCs w:val="21"/>
              </w:rPr>
              <w:t>H4</w:t>
            </w:r>
            <w:r>
              <w:rPr>
                <w:rFonts w:ascii="Times New Roman" w:eastAsia="宋体" w:hAnsi="Times New Roman" w:cs="Times New Roman"/>
                <w:kern w:val="0"/>
                <w:szCs w:val="21"/>
              </w:rPr>
              <w:t>、</w:t>
            </w:r>
            <w:r>
              <w:rPr>
                <w:rFonts w:ascii="Times New Roman" w:eastAsia="宋体" w:hAnsi="Times New Roman" w:cs="Times New Roman"/>
                <w:kern w:val="0"/>
                <w:szCs w:val="21"/>
              </w:rPr>
              <w:t>H5</w:t>
            </w:r>
          </w:p>
        </w:tc>
        <w:tc>
          <w:tcPr>
            <w:tcW w:w="1559" w:type="dxa"/>
            <w:vAlign w:val="center"/>
          </w:tcPr>
          <w:p w14:paraId="51D6990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1-1</w:t>
            </w:r>
          </w:p>
        </w:tc>
        <w:tc>
          <w:tcPr>
            <w:tcW w:w="1418" w:type="dxa"/>
            <w:vAlign w:val="center"/>
          </w:tcPr>
          <w:p w14:paraId="30BA59EC"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417" w:type="dxa"/>
            <w:vAlign w:val="center"/>
          </w:tcPr>
          <w:p w14:paraId="7818702C" w14:textId="77777777" w:rsidR="002133E3" w:rsidRDefault="00C22CFA">
            <w:pPr>
              <w:snapToGrid w:val="0"/>
              <w:jc w:val="center"/>
              <w:rPr>
                <w:rFonts w:ascii="Times New Roman" w:eastAsia="宋体" w:hAnsi="Times New Roman" w:cs="Times New Roman"/>
                <w:kern w:val="0"/>
                <w:szCs w:val="21"/>
              </w:rPr>
            </w:pPr>
            <w:bookmarkStart w:id="85" w:name="_Hlk71377421"/>
            <w:r>
              <w:rPr>
                <w:rFonts w:ascii="Times New Roman" w:eastAsia="宋体" w:hAnsi="Times New Roman" w:cs="Times New Roman"/>
                <w:kern w:val="0"/>
                <w:szCs w:val="21"/>
              </w:rPr>
              <w:t>水膜除尘装置</w:t>
            </w:r>
            <w:bookmarkEnd w:id="85"/>
            <w:r>
              <w:rPr>
                <w:rFonts w:ascii="Times New Roman" w:eastAsia="宋体" w:hAnsi="Times New Roman" w:cs="Times New Roman"/>
                <w:kern w:val="0"/>
                <w:szCs w:val="21"/>
              </w:rPr>
              <w:t>(</w:t>
            </w:r>
            <w:r>
              <w:rPr>
                <w:rFonts w:ascii="Times New Roman" w:eastAsia="宋体" w:hAnsi="Times New Roman" w:cs="Times New Roman"/>
                <w:szCs w:val="21"/>
              </w:rPr>
              <w:t>3</w:t>
            </w:r>
            <w:r>
              <w:rPr>
                <w:rFonts w:ascii="Times New Roman" w:eastAsia="宋体" w:hAnsi="Times New Roman" w:cs="Times New Roman"/>
                <w:szCs w:val="21"/>
              </w:rPr>
              <w:t>套</w:t>
            </w:r>
            <w:r>
              <w:rPr>
                <w:rFonts w:ascii="Times New Roman" w:eastAsia="宋体" w:hAnsi="Times New Roman" w:cs="Times New Roman"/>
                <w:szCs w:val="21"/>
              </w:rPr>
              <w:t>)</w:t>
            </w:r>
          </w:p>
        </w:tc>
        <w:tc>
          <w:tcPr>
            <w:tcW w:w="1134" w:type="dxa"/>
            <w:vAlign w:val="center"/>
          </w:tcPr>
          <w:p w14:paraId="5C944616"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利用现有</w:t>
            </w:r>
          </w:p>
        </w:tc>
        <w:tc>
          <w:tcPr>
            <w:tcW w:w="709" w:type="dxa"/>
            <w:vAlign w:val="center"/>
          </w:tcPr>
          <w:p w14:paraId="3F51AECE"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达标排放</w:t>
            </w:r>
          </w:p>
        </w:tc>
        <w:tc>
          <w:tcPr>
            <w:tcW w:w="709" w:type="dxa"/>
            <w:vAlign w:val="center"/>
          </w:tcPr>
          <w:p w14:paraId="3BABF57E"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20</w:t>
            </w:r>
          </w:p>
        </w:tc>
        <w:tc>
          <w:tcPr>
            <w:tcW w:w="709" w:type="dxa"/>
            <w:vAlign w:val="center"/>
          </w:tcPr>
          <w:p w14:paraId="4EF5C8C0"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0.7</w:t>
            </w:r>
          </w:p>
        </w:tc>
        <w:tc>
          <w:tcPr>
            <w:tcW w:w="702" w:type="dxa"/>
            <w:vAlign w:val="center"/>
          </w:tcPr>
          <w:p w14:paraId="46234FC2"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25</w:t>
            </w:r>
          </w:p>
        </w:tc>
      </w:tr>
      <w:tr w:rsidR="002133E3" w14:paraId="07BFD0C3" w14:textId="77777777">
        <w:trPr>
          <w:cantSplit/>
          <w:trHeight w:val="284"/>
          <w:jc w:val="center"/>
        </w:trPr>
        <w:tc>
          <w:tcPr>
            <w:tcW w:w="1271" w:type="dxa"/>
            <w:vAlign w:val="center"/>
          </w:tcPr>
          <w:p w14:paraId="4406538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H14</w:t>
            </w:r>
            <w:r>
              <w:rPr>
                <w:rFonts w:ascii="Times New Roman" w:eastAsia="宋体" w:hAnsi="Times New Roman" w:cs="Times New Roman"/>
                <w:kern w:val="0"/>
                <w:szCs w:val="21"/>
              </w:rPr>
              <w:t>、</w:t>
            </w:r>
            <w:r>
              <w:rPr>
                <w:rFonts w:ascii="Times New Roman" w:eastAsia="宋体" w:hAnsi="Times New Roman" w:cs="Times New Roman"/>
                <w:kern w:val="0"/>
                <w:szCs w:val="21"/>
              </w:rPr>
              <w:t>H15</w:t>
            </w:r>
            <w:r>
              <w:rPr>
                <w:rFonts w:ascii="Times New Roman" w:eastAsia="宋体" w:hAnsi="Times New Roman" w:cs="Times New Roman"/>
                <w:kern w:val="0"/>
                <w:szCs w:val="21"/>
              </w:rPr>
              <w:t>、</w:t>
            </w:r>
            <w:r>
              <w:rPr>
                <w:rFonts w:ascii="Times New Roman" w:eastAsia="宋体" w:hAnsi="Times New Roman" w:cs="Times New Roman"/>
                <w:kern w:val="0"/>
                <w:szCs w:val="21"/>
              </w:rPr>
              <w:t>H16</w:t>
            </w:r>
          </w:p>
        </w:tc>
        <w:tc>
          <w:tcPr>
            <w:tcW w:w="1559" w:type="dxa"/>
            <w:vAlign w:val="center"/>
          </w:tcPr>
          <w:p w14:paraId="41BEBFA7"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G</w:t>
            </w:r>
            <w:r>
              <w:rPr>
                <w:rFonts w:ascii="Times New Roman" w:eastAsia="宋体" w:hAnsi="Times New Roman" w:cs="Times New Roman"/>
                <w:kern w:val="0"/>
                <w:szCs w:val="21"/>
                <w:vertAlign w:val="subscript"/>
              </w:rPr>
              <w:t>2-1</w:t>
            </w:r>
          </w:p>
        </w:tc>
        <w:tc>
          <w:tcPr>
            <w:tcW w:w="1418" w:type="dxa"/>
            <w:vAlign w:val="center"/>
          </w:tcPr>
          <w:p w14:paraId="4DCB3532"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粉尘</w:t>
            </w:r>
          </w:p>
        </w:tc>
        <w:tc>
          <w:tcPr>
            <w:tcW w:w="1417" w:type="dxa"/>
            <w:vAlign w:val="center"/>
          </w:tcPr>
          <w:p w14:paraId="07C49C9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水膜除尘装置</w:t>
            </w:r>
            <w:r>
              <w:rPr>
                <w:rFonts w:ascii="Times New Roman" w:eastAsia="宋体" w:hAnsi="Times New Roman" w:cs="Times New Roman"/>
                <w:kern w:val="0"/>
                <w:szCs w:val="21"/>
              </w:rPr>
              <w:t>(</w:t>
            </w:r>
            <w:r>
              <w:rPr>
                <w:rFonts w:ascii="Times New Roman" w:eastAsia="宋体" w:hAnsi="Times New Roman" w:cs="Times New Roman"/>
                <w:szCs w:val="21"/>
              </w:rPr>
              <w:t>3</w:t>
            </w:r>
            <w:r>
              <w:rPr>
                <w:rFonts w:ascii="Times New Roman" w:eastAsia="宋体" w:hAnsi="Times New Roman" w:cs="Times New Roman"/>
                <w:szCs w:val="21"/>
              </w:rPr>
              <w:t>套</w:t>
            </w:r>
            <w:r>
              <w:rPr>
                <w:rFonts w:ascii="Times New Roman" w:eastAsia="宋体" w:hAnsi="Times New Roman" w:cs="Times New Roman"/>
                <w:szCs w:val="21"/>
              </w:rPr>
              <w:t>)</w:t>
            </w:r>
          </w:p>
        </w:tc>
        <w:tc>
          <w:tcPr>
            <w:tcW w:w="1134" w:type="dxa"/>
            <w:vAlign w:val="center"/>
          </w:tcPr>
          <w:p w14:paraId="1CB886D4"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30</w:t>
            </w:r>
          </w:p>
        </w:tc>
        <w:tc>
          <w:tcPr>
            <w:tcW w:w="709" w:type="dxa"/>
            <w:vAlign w:val="center"/>
          </w:tcPr>
          <w:p w14:paraId="6E194669"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达标排放</w:t>
            </w:r>
          </w:p>
        </w:tc>
        <w:tc>
          <w:tcPr>
            <w:tcW w:w="709" w:type="dxa"/>
            <w:vAlign w:val="center"/>
          </w:tcPr>
          <w:p w14:paraId="5AAF0A5A"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20</w:t>
            </w:r>
          </w:p>
        </w:tc>
        <w:tc>
          <w:tcPr>
            <w:tcW w:w="709" w:type="dxa"/>
            <w:vAlign w:val="center"/>
          </w:tcPr>
          <w:p w14:paraId="082D013B"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0.7</w:t>
            </w:r>
          </w:p>
        </w:tc>
        <w:tc>
          <w:tcPr>
            <w:tcW w:w="702" w:type="dxa"/>
            <w:vAlign w:val="center"/>
          </w:tcPr>
          <w:p w14:paraId="4194E271"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25</w:t>
            </w:r>
          </w:p>
        </w:tc>
      </w:tr>
      <w:tr w:rsidR="002133E3" w14:paraId="1BF1E5C6" w14:textId="77777777">
        <w:trPr>
          <w:cantSplit/>
          <w:trHeight w:val="284"/>
          <w:jc w:val="center"/>
        </w:trPr>
        <w:tc>
          <w:tcPr>
            <w:tcW w:w="1271" w:type="dxa"/>
            <w:vMerge w:val="restart"/>
            <w:vAlign w:val="center"/>
          </w:tcPr>
          <w:p w14:paraId="64B875C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H6</w:t>
            </w:r>
          </w:p>
        </w:tc>
        <w:tc>
          <w:tcPr>
            <w:tcW w:w="1559" w:type="dxa"/>
            <w:vAlign w:val="center"/>
          </w:tcPr>
          <w:p w14:paraId="138BEC5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lang w:val="zh-CN"/>
              </w:rPr>
              <w:t>G</w:t>
            </w:r>
            <w:r>
              <w:rPr>
                <w:rFonts w:ascii="Times New Roman" w:eastAsia="宋体" w:hAnsi="Times New Roman" w:cs="Times New Roman"/>
                <w:color w:val="000000"/>
                <w:kern w:val="0"/>
                <w:szCs w:val="21"/>
                <w:vertAlign w:val="subscript"/>
                <w:lang w:val="zh-CN"/>
              </w:rPr>
              <w:t>1-2</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lang w:val="zh-CN"/>
              </w:rPr>
              <w:t>G</w:t>
            </w:r>
            <w:r>
              <w:rPr>
                <w:rFonts w:ascii="Times New Roman" w:eastAsia="宋体" w:hAnsi="Times New Roman" w:cs="Times New Roman"/>
                <w:color w:val="000000"/>
                <w:kern w:val="0"/>
                <w:szCs w:val="21"/>
                <w:vertAlign w:val="subscript"/>
                <w:lang w:val="zh-CN"/>
              </w:rPr>
              <w:t>2-2</w:t>
            </w:r>
          </w:p>
        </w:tc>
        <w:tc>
          <w:tcPr>
            <w:tcW w:w="1418" w:type="dxa"/>
            <w:vAlign w:val="center"/>
          </w:tcPr>
          <w:p w14:paraId="79F6F8F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CO</w:t>
            </w:r>
            <w:r>
              <w:rPr>
                <w:rFonts w:ascii="Times New Roman" w:eastAsia="宋体" w:hAnsi="Times New Roman" w:cs="Times New Roman"/>
                <w:color w:val="000000"/>
                <w:kern w:val="0"/>
                <w:szCs w:val="21"/>
                <w:vertAlign w:val="subscript"/>
              </w:rPr>
              <w:t>2</w:t>
            </w:r>
            <w:r>
              <w:rPr>
                <w:rFonts w:ascii="Times New Roman" w:eastAsia="宋体" w:hAnsi="Times New Roman" w:cs="Times New Roman"/>
                <w:color w:val="000000"/>
                <w:kern w:val="0"/>
                <w:szCs w:val="21"/>
                <w:lang w:val="zh-CN"/>
              </w:rPr>
              <w:t>、乙醇、甲醇</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lang w:val="zh-CN"/>
              </w:rPr>
              <w:t>醛等</w:t>
            </w:r>
          </w:p>
        </w:tc>
        <w:tc>
          <w:tcPr>
            <w:tcW w:w="1417" w:type="dxa"/>
            <w:vAlign w:val="center"/>
          </w:tcPr>
          <w:p w14:paraId="12BAAF8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一级水吸收</w:t>
            </w:r>
          </w:p>
        </w:tc>
        <w:tc>
          <w:tcPr>
            <w:tcW w:w="1134" w:type="dxa"/>
            <w:vAlign w:val="center"/>
          </w:tcPr>
          <w:p w14:paraId="1EED32C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w:t>
            </w:r>
            <w:r>
              <w:rPr>
                <w:rFonts w:ascii="Times New Roman" w:eastAsia="宋体" w:hAnsi="Times New Roman" w:cs="Times New Roman"/>
                <w:kern w:val="0"/>
                <w:szCs w:val="21"/>
              </w:rPr>
              <w:t>0</w:t>
            </w:r>
          </w:p>
        </w:tc>
        <w:tc>
          <w:tcPr>
            <w:tcW w:w="709" w:type="dxa"/>
            <w:vAlign w:val="center"/>
          </w:tcPr>
          <w:p w14:paraId="0CC2AB02"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达标排放</w:t>
            </w:r>
          </w:p>
        </w:tc>
        <w:tc>
          <w:tcPr>
            <w:tcW w:w="709" w:type="dxa"/>
            <w:vMerge w:val="restart"/>
            <w:vAlign w:val="center"/>
          </w:tcPr>
          <w:p w14:paraId="2327189C"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20</w:t>
            </w:r>
          </w:p>
        </w:tc>
        <w:tc>
          <w:tcPr>
            <w:tcW w:w="709" w:type="dxa"/>
            <w:vMerge w:val="restart"/>
            <w:vAlign w:val="center"/>
          </w:tcPr>
          <w:p w14:paraId="2DE7EAF2"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0.5</w:t>
            </w:r>
          </w:p>
        </w:tc>
        <w:tc>
          <w:tcPr>
            <w:tcW w:w="702" w:type="dxa"/>
            <w:vMerge w:val="restart"/>
            <w:vAlign w:val="center"/>
          </w:tcPr>
          <w:p w14:paraId="352D0A53"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25</w:t>
            </w:r>
          </w:p>
        </w:tc>
      </w:tr>
      <w:tr w:rsidR="002133E3" w14:paraId="77AA2BDF" w14:textId="77777777">
        <w:trPr>
          <w:cantSplit/>
          <w:trHeight w:val="284"/>
          <w:jc w:val="center"/>
        </w:trPr>
        <w:tc>
          <w:tcPr>
            <w:tcW w:w="1271" w:type="dxa"/>
            <w:vMerge/>
            <w:vAlign w:val="center"/>
          </w:tcPr>
          <w:p w14:paraId="2A08ABAE" w14:textId="77777777" w:rsidR="002133E3" w:rsidRDefault="002133E3">
            <w:pPr>
              <w:snapToGrid w:val="0"/>
              <w:jc w:val="center"/>
              <w:rPr>
                <w:rFonts w:ascii="Times New Roman" w:eastAsia="宋体" w:hAnsi="Times New Roman" w:cs="Times New Roman"/>
                <w:kern w:val="0"/>
                <w:szCs w:val="21"/>
              </w:rPr>
            </w:pPr>
          </w:p>
        </w:tc>
        <w:tc>
          <w:tcPr>
            <w:tcW w:w="1559" w:type="dxa"/>
            <w:vAlign w:val="center"/>
          </w:tcPr>
          <w:p w14:paraId="29AF0861" w14:textId="77777777" w:rsidR="002133E3" w:rsidRDefault="00C22CFA">
            <w:pPr>
              <w:snapToGrid w:val="0"/>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1-3</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1-4</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2-3</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2-4</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2-5</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2-6</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3-1</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rPr>
              <w:t>G</w:t>
            </w:r>
            <w:r>
              <w:rPr>
                <w:rFonts w:ascii="Times New Roman" w:eastAsia="宋体" w:hAnsi="Times New Roman" w:cs="Times New Roman"/>
                <w:color w:val="000000"/>
                <w:kern w:val="0"/>
                <w:szCs w:val="21"/>
                <w:vertAlign w:val="subscript"/>
              </w:rPr>
              <w:t>3-2</w:t>
            </w:r>
          </w:p>
        </w:tc>
        <w:tc>
          <w:tcPr>
            <w:tcW w:w="1418" w:type="dxa"/>
            <w:vAlign w:val="center"/>
          </w:tcPr>
          <w:p w14:paraId="3AE146BB" w14:textId="77777777" w:rsidR="002133E3" w:rsidRDefault="00C22CFA">
            <w:pPr>
              <w:snapToGrid w:val="0"/>
              <w:jc w:val="center"/>
              <w:rPr>
                <w:rFonts w:ascii="Times New Roman" w:eastAsia="宋体" w:hAnsi="Times New Roman" w:cs="Times New Roman"/>
                <w:color w:val="000000"/>
                <w:kern w:val="0"/>
                <w:szCs w:val="21"/>
                <w:lang w:val="zh-CN"/>
              </w:rPr>
            </w:pPr>
            <w:r>
              <w:rPr>
                <w:rFonts w:ascii="Times New Roman" w:eastAsia="宋体" w:hAnsi="Times New Roman" w:cs="Times New Roman"/>
                <w:color w:val="000000"/>
                <w:kern w:val="0"/>
                <w:szCs w:val="21"/>
                <w:lang w:val="zh-CN"/>
              </w:rPr>
              <w:t>乙醇、甲醇</w:t>
            </w:r>
            <w:r>
              <w:rPr>
                <w:rFonts w:ascii="Times New Roman" w:eastAsia="宋体" w:hAnsi="Times New Roman" w:cs="Times New Roman"/>
                <w:color w:val="000000"/>
                <w:kern w:val="0"/>
                <w:szCs w:val="21"/>
                <w:lang w:val="zh-CN"/>
              </w:rPr>
              <w:t>/</w:t>
            </w:r>
            <w:r>
              <w:rPr>
                <w:rFonts w:ascii="Times New Roman" w:eastAsia="宋体" w:hAnsi="Times New Roman" w:cs="Times New Roman"/>
                <w:color w:val="000000"/>
                <w:kern w:val="0"/>
                <w:szCs w:val="21"/>
                <w:lang w:val="zh-CN"/>
              </w:rPr>
              <w:t>醛等</w:t>
            </w:r>
          </w:p>
        </w:tc>
        <w:tc>
          <w:tcPr>
            <w:tcW w:w="1417" w:type="dxa"/>
            <w:vAlign w:val="center"/>
          </w:tcPr>
          <w:p w14:paraId="6F635770"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二级水吸收</w:t>
            </w:r>
          </w:p>
        </w:tc>
        <w:tc>
          <w:tcPr>
            <w:tcW w:w="1134" w:type="dxa"/>
            <w:vAlign w:val="center"/>
          </w:tcPr>
          <w:p w14:paraId="511E45EB"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w:t>
            </w:r>
            <w:r>
              <w:rPr>
                <w:rFonts w:ascii="Times New Roman" w:eastAsia="宋体" w:hAnsi="Times New Roman" w:cs="Times New Roman"/>
                <w:kern w:val="0"/>
                <w:szCs w:val="21"/>
              </w:rPr>
              <w:t>0</w:t>
            </w:r>
          </w:p>
        </w:tc>
        <w:tc>
          <w:tcPr>
            <w:tcW w:w="709" w:type="dxa"/>
            <w:vAlign w:val="center"/>
          </w:tcPr>
          <w:p w14:paraId="116D274F"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达标排放</w:t>
            </w:r>
          </w:p>
        </w:tc>
        <w:tc>
          <w:tcPr>
            <w:tcW w:w="709" w:type="dxa"/>
            <w:vMerge/>
            <w:vAlign w:val="center"/>
          </w:tcPr>
          <w:p w14:paraId="2389BA7F" w14:textId="77777777" w:rsidR="002133E3" w:rsidRDefault="002133E3">
            <w:pPr>
              <w:snapToGrid w:val="0"/>
              <w:jc w:val="center"/>
              <w:rPr>
                <w:rFonts w:ascii="Times New Roman" w:eastAsia="宋体" w:hAnsi="Times New Roman" w:cs="Times New Roman"/>
                <w:kern w:val="0"/>
                <w:szCs w:val="21"/>
                <w:lang w:val="en-JM"/>
              </w:rPr>
            </w:pPr>
          </w:p>
        </w:tc>
        <w:tc>
          <w:tcPr>
            <w:tcW w:w="709" w:type="dxa"/>
            <w:vMerge/>
            <w:vAlign w:val="center"/>
          </w:tcPr>
          <w:p w14:paraId="75C467D6" w14:textId="77777777" w:rsidR="002133E3" w:rsidRDefault="002133E3">
            <w:pPr>
              <w:snapToGrid w:val="0"/>
              <w:jc w:val="center"/>
              <w:rPr>
                <w:rFonts w:ascii="Times New Roman" w:eastAsia="宋体" w:hAnsi="Times New Roman" w:cs="Times New Roman"/>
                <w:kern w:val="0"/>
                <w:szCs w:val="21"/>
                <w:lang w:val="en-JM"/>
              </w:rPr>
            </w:pPr>
          </w:p>
        </w:tc>
        <w:tc>
          <w:tcPr>
            <w:tcW w:w="702" w:type="dxa"/>
            <w:vMerge/>
            <w:vAlign w:val="center"/>
          </w:tcPr>
          <w:p w14:paraId="0AD06472" w14:textId="77777777" w:rsidR="002133E3" w:rsidRDefault="002133E3">
            <w:pPr>
              <w:snapToGrid w:val="0"/>
              <w:jc w:val="center"/>
              <w:rPr>
                <w:rFonts w:ascii="Times New Roman" w:eastAsia="宋体" w:hAnsi="Times New Roman" w:cs="Times New Roman"/>
                <w:kern w:val="0"/>
                <w:szCs w:val="21"/>
                <w:lang w:val="en-JM"/>
              </w:rPr>
            </w:pPr>
          </w:p>
        </w:tc>
      </w:tr>
      <w:tr w:rsidR="002133E3" w14:paraId="5E6857D6" w14:textId="77777777">
        <w:trPr>
          <w:cantSplit/>
          <w:trHeight w:val="284"/>
          <w:jc w:val="center"/>
        </w:trPr>
        <w:tc>
          <w:tcPr>
            <w:tcW w:w="4248" w:type="dxa"/>
            <w:gridSpan w:val="3"/>
            <w:vAlign w:val="center"/>
          </w:tcPr>
          <w:p w14:paraId="56620EA2"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合计</w:t>
            </w:r>
          </w:p>
        </w:tc>
        <w:tc>
          <w:tcPr>
            <w:tcW w:w="1417" w:type="dxa"/>
            <w:vAlign w:val="center"/>
          </w:tcPr>
          <w:p w14:paraId="0AD84A2D"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134" w:type="dxa"/>
            <w:vAlign w:val="center"/>
          </w:tcPr>
          <w:p w14:paraId="26A2545A"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709" w:type="dxa"/>
            <w:tcBorders>
              <w:bottom w:val="single" w:sz="4" w:space="0" w:color="auto"/>
            </w:tcBorders>
            <w:vAlign w:val="center"/>
          </w:tcPr>
          <w:p w14:paraId="3C8AB66B"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rPr>
              <w:t>-</w:t>
            </w:r>
          </w:p>
        </w:tc>
        <w:tc>
          <w:tcPr>
            <w:tcW w:w="709" w:type="dxa"/>
            <w:tcBorders>
              <w:bottom w:val="single" w:sz="4" w:space="0" w:color="auto"/>
            </w:tcBorders>
            <w:vAlign w:val="center"/>
          </w:tcPr>
          <w:p w14:paraId="308509C7"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rPr>
              <w:t>-</w:t>
            </w:r>
          </w:p>
        </w:tc>
        <w:tc>
          <w:tcPr>
            <w:tcW w:w="709" w:type="dxa"/>
            <w:tcBorders>
              <w:bottom w:val="single" w:sz="4" w:space="0" w:color="auto"/>
            </w:tcBorders>
            <w:vAlign w:val="center"/>
          </w:tcPr>
          <w:p w14:paraId="7AD4E823"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rPr>
              <w:t>-</w:t>
            </w:r>
          </w:p>
        </w:tc>
        <w:tc>
          <w:tcPr>
            <w:tcW w:w="702" w:type="dxa"/>
            <w:tcBorders>
              <w:bottom w:val="single" w:sz="4" w:space="0" w:color="auto"/>
            </w:tcBorders>
            <w:vAlign w:val="center"/>
          </w:tcPr>
          <w:p w14:paraId="54DA868B" w14:textId="77777777" w:rsidR="002133E3" w:rsidRDefault="00C22CFA">
            <w:pPr>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rPr>
              <w:t>-</w:t>
            </w:r>
          </w:p>
        </w:tc>
      </w:tr>
    </w:tbl>
    <w:p w14:paraId="63FEA8A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大气污染防治措施经济可行性分析</w:t>
      </w:r>
      <w:r>
        <w:rPr>
          <w:rFonts w:ascii="Times New Roman" w:eastAsia="宋体" w:hAnsi="Times New Roman" w:cs="Times New Roman"/>
          <w:b/>
          <w:sz w:val="30"/>
          <w:szCs w:val="30"/>
        </w:rPr>
        <w:t xml:space="preserve"> </w:t>
      </w:r>
    </w:p>
    <w:p w14:paraId="3B99B8F5" w14:textId="77777777" w:rsidR="002133E3" w:rsidRDefault="00C22CFA">
      <w:pPr>
        <w:widowControl/>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kern w:val="0"/>
          <w:sz w:val="28"/>
          <w:szCs w:val="28"/>
        </w:rPr>
        <w:t>项目废气治理设备及构筑物总投资为</w:t>
      </w:r>
      <w:r>
        <w:rPr>
          <w:rFonts w:ascii="Times New Roman" w:eastAsia="宋体" w:hAnsi="Times New Roman" w:cs="Times New Roman"/>
          <w:kern w:val="0"/>
          <w:sz w:val="28"/>
          <w:szCs w:val="28"/>
        </w:rPr>
        <w:t>60</w:t>
      </w:r>
      <w:r>
        <w:rPr>
          <w:rFonts w:ascii="Times New Roman" w:eastAsia="宋体" w:hAnsi="Times New Roman" w:cs="Times New Roman"/>
          <w:kern w:val="0"/>
          <w:sz w:val="28"/>
          <w:szCs w:val="28"/>
        </w:rPr>
        <w:t>万元，占项目总投资的</w:t>
      </w:r>
      <w:r>
        <w:rPr>
          <w:rFonts w:ascii="Times New Roman" w:eastAsia="宋体" w:hAnsi="Times New Roman" w:cs="Times New Roman"/>
          <w:kern w:val="0"/>
          <w:sz w:val="28"/>
          <w:szCs w:val="28"/>
        </w:rPr>
        <w:t>1.32%</w:t>
      </w:r>
      <w:r>
        <w:rPr>
          <w:rFonts w:ascii="Times New Roman" w:eastAsia="宋体" w:hAnsi="Times New Roman" w:cs="Times New Roman"/>
          <w:kern w:val="0"/>
          <w:sz w:val="28"/>
          <w:szCs w:val="28"/>
        </w:rPr>
        <w:t>，所占比例较小；项目废气处理装置运行费用主要包括电费、设备折旧及维修费等，年运行费用合计约为</w:t>
      </w:r>
      <w:r>
        <w:rPr>
          <w:rFonts w:ascii="Times New Roman" w:eastAsia="宋体" w:hAnsi="Times New Roman" w:cs="Times New Roman"/>
          <w:kern w:val="0"/>
          <w:sz w:val="28"/>
          <w:szCs w:val="28"/>
        </w:rPr>
        <w:t>13</w:t>
      </w:r>
      <w:r>
        <w:rPr>
          <w:rFonts w:ascii="Times New Roman" w:eastAsia="宋体" w:hAnsi="Times New Roman" w:cs="Times New Roman"/>
          <w:kern w:val="0"/>
          <w:sz w:val="28"/>
          <w:szCs w:val="28"/>
        </w:rPr>
        <w:t>万元，占项目年平均利润总额的</w:t>
      </w:r>
      <w:r>
        <w:rPr>
          <w:rFonts w:ascii="Times New Roman" w:eastAsia="宋体" w:hAnsi="Times New Roman" w:cs="Times New Roman"/>
          <w:kern w:val="0"/>
          <w:sz w:val="28"/>
          <w:szCs w:val="28"/>
        </w:rPr>
        <w:t>0.10%</w:t>
      </w:r>
      <w:r>
        <w:rPr>
          <w:rFonts w:ascii="Times New Roman" w:eastAsia="宋体" w:hAnsi="Times New Roman" w:cs="Times New Roman"/>
          <w:kern w:val="0"/>
          <w:sz w:val="28"/>
          <w:szCs w:val="28"/>
        </w:rPr>
        <w:t>，在企业的承受范围内。</w:t>
      </w:r>
    </w:p>
    <w:p w14:paraId="13596D1E"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bookmarkStart w:id="86" w:name="_Toc47604351"/>
      <w:r>
        <w:rPr>
          <w:rFonts w:ascii="Times New Roman" w:eastAsia="宋体" w:hAnsi="Times New Roman" w:cs="Times New Roman"/>
          <w:b/>
          <w:sz w:val="30"/>
          <w:szCs w:val="30"/>
        </w:rPr>
        <w:t>废水污染防治措施及经济技术论证</w:t>
      </w:r>
      <w:bookmarkEnd w:id="86"/>
    </w:p>
    <w:p w14:paraId="68BBD0C4"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根据海州湾产业区南片区的总体规划，片区内经预处理后的工业废水由片区污水管网收集后进入海州湾产业区通海污水处理厂集中处理，未经处理的污水不准直接排入水体，以防水体污染。</w:t>
      </w:r>
    </w:p>
    <w:p w14:paraId="0844EA3D"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产业区污水处理厂位于南片区内，规划分三期建设，一期设计规模为</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，二期达到</w:t>
      </w:r>
      <w:r>
        <w:rPr>
          <w:rFonts w:ascii="Times New Roman" w:eastAsia="宋体" w:hAnsi="Times New Roman" w:cs="Times New Roman"/>
          <w:kern w:val="0"/>
          <w:sz w:val="28"/>
          <w:szCs w:val="28"/>
        </w:rPr>
        <w:t>4</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，三期达到</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，收水范围包括海州湾产业区的工业废水以及海头镇镇区的生活污水。产业区污水处理厂由江苏金茂源生物化工有限责任公司出资建设，目前一期</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已建成投运。因此评价在废水污染治理及排放去向上，按厂区污水预处理达接管要求再经产业区污水处理厂处理达标排放情况考虑。</w:t>
      </w:r>
    </w:p>
    <w:p w14:paraId="56DAE36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现有污水处理措施评述</w:t>
      </w:r>
    </w:p>
    <w:p w14:paraId="2651C31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污水站处理规模</w:t>
      </w:r>
    </w:p>
    <w:p w14:paraId="29B58AA4" w14:textId="77777777" w:rsidR="002133E3" w:rsidRDefault="00C22CFA">
      <w:pPr>
        <w:widowControl/>
        <w:snapToGrid w:val="0"/>
        <w:spacing w:line="500" w:lineRule="atLeast"/>
        <w:ind w:firstLineChars="200" w:firstLine="560"/>
        <w:jc w:val="left"/>
        <w:rPr>
          <w:rFonts w:ascii="Times New Roman" w:eastAsia="宋体" w:hAnsi="Times New Roman" w:cs="Times New Roman"/>
          <w:b/>
          <w:sz w:val="30"/>
          <w:szCs w:val="30"/>
        </w:rPr>
      </w:pPr>
      <w:r>
        <w:rPr>
          <w:rFonts w:ascii="Times New Roman" w:eastAsia="宋体" w:hAnsi="Times New Roman" w:cs="Times New Roman"/>
          <w:kern w:val="0"/>
          <w:sz w:val="28"/>
          <w:szCs w:val="28"/>
        </w:rPr>
        <w:lastRenderedPageBreak/>
        <w:t>金茂源公司现有污水处理系统设计处理能力为</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万</w:t>
      </w:r>
      <w:r>
        <w:rPr>
          <w:rFonts w:ascii="Times New Roman" w:eastAsia="宋体" w:hAnsi="Times New Roman" w:cs="Times New Roman"/>
          <w:kern w:val="0"/>
          <w:sz w:val="28"/>
          <w:szCs w:val="28"/>
        </w:rPr>
        <w:t>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/d</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2012</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月通过验收监测。</w:t>
      </w:r>
    </w:p>
    <w:p w14:paraId="34948E2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污水处理工艺</w:t>
      </w:r>
    </w:p>
    <w:p w14:paraId="421DEFBE"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厂区污水处理系统</w:t>
      </w:r>
      <w:r>
        <w:rPr>
          <w:rFonts w:ascii="Times New Roman" w:eastAsia="宋体" w:hAnsi="Times New Roman" w:cs="Times New Roman"/>
          <w:kern w:val="0"/>
          <w:sz w:val="28"/>
          <w:szCs w:val="20"/>
        </w:rPr>
        <w:t>充分利用酒糟液发酵生成沼气作为锅炉燃料的</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厌氧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气浮</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三级厌氧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好氧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的生化处理工艺：对酒糟液进行全糟厌氧发酵后，进行固液分离，滤液经气浮处理后与项目其它废水混合，然后进行</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三级厌氧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好氧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处理。</w:t>
      </w:r>
      <w:r>
        <w:rPr>
          <w:rFonts w:ascii="Times New Roman" w:eastAsia="宋体" w:hAnsi="Times New Roman" w:cs="Times New Roman"/>
          <w:kern w:val="0"/>
          <w:sz w:val="28"/>
          <w:szCs w:val="28"/>
        </w:rPr>
        <w:t>其工艺流程见图</w:t>
      </w:r>
      <w:r>
        <w:rPr>
          <w:rFonts w:ascii="Times New Roman" w:eastAsia="宋体" w:hAnsi="Times New Roman" w:cs="Times New Roman"/>
          <w:kern w:val="0"/>
          <w:sz w:val="28"/>
          <w:szCs w:val="28"/>
        </w:rPr>
        <w:t>7.3-1</w:t>
      </w:r>
      <w:r>
        <w:rPr>
          <w:rFonts w:ascii="Times New Roman" w:eastAsia="宋体" w:hAnsi="Times New Roman" w:cs="Times New Roman"/>
          <w:kern w:val="0"/>
          <w:sz w:val="28"/>
          <w:szCs w:val="28"/>
        </w:rPr>
        <w:t>。</w:t>
      </w:r>
    </w:p>
    <w:p w14:paraId="11831EBF" w14:textId="77777777" w:rsidR="002133E3" w:rsidRDefault="00C22CFA">
      <w:pPr>
        <w:jc w:val="center"/>
        <w:rPr>
          <w:rFonts w:ascii="Times New Roman" w:eastAsia="宋体" w:hAnsi="Times New Roman" w:cs="Times New Roman"/>
          <w:color w:val="FF0000"/>
          <w:kern w:val="0"/>
          <w:sz w:val="24"/>
          <w:szCs w:val="20"/>
        </w:rPr>
      </w:pPr>
      <w:r>
        <w:rPr>
          <w:rFonts w:ascii="Times New Roman" w:eastAsia="宋体" w:hAnsi="Times New Roman" w:cs="Times New Roman"/>
          <w:color w:val="FF0000"/>
          <w:kern w:val="0"/>
          <w:sz w:val="24"/>
          <w:szCs w:val="20"/>
        </w:rPr>
        <w:object w:dxaOrig="7916" w:dyaOrig="11025" w14:anchorId="3B644E6C">
          <v:shape id="_x0000_i1070" type="#_x0000_t75" style="width:395.8pt;height:551.25pt" o:ole="">
            <v:imagedata r:id="rId125" o:title=""/>
          </v:shape>
          <o:OLEObject Type="Embed" ProgID="Visio.Drawing.11" ShapeID="_x0000_i1070" DrawAspect="Content" ObjectID="_1687345263" r:id="rId126"/>
        </w:object>
      </w:r>
    </w:p>
    <w:p w14:paraId="24DED25C" w14:textId="77777777" w:rsidR="002133E3" w:rsidRDefault="00C22CFA">
      <w:pPr>
        <w:widowControl/>
        <w:tabs>
          <w:tab w:val="left" w:pos="600"/>
        </w:tabs>
        <w:spacing w:line="500" w:lineRule="exac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图</w:t>
      </w:r>
      <w:r>
        <w:rPr>
          <w:rFonts w:ascii="Times New Roman" w:eastAsia="宋体" w:hAnsi="Times New Roman" w:cs="Times New Roman"/>
          <w:b/>
          <w:kern w:val="0"/>
          <w:sz w:val="24"/>
          <w:szCs w:val="24"/>
        </w:rPr>
        <w:t xml:space="preserve">7.3-1   </w:t>
      </w:r>
      <w:r>
        <w:rPr>
          <w:rFonts w:ascii="Times New Roman" w:eastAsia="宋体" w:hAnsi="Times New Roman" w:cs="Times New Roman"/>
          <w:b/>
          <w:kern w:val="0"/>
          <w:sz w:val="24"/>
          <w:szCs w:val="24"/>
        </w:rPr>
        <w:t>厂区污水站现有废水处理工艺</w:t>
      </w:r>
    </w:p>
    <w:p w14:paraId="1338EBD7" w14:textId="77777777" w:rsidR="002133E3" w:rsidRDefault="00C22CFA">
      <w:pPr>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工艺流程说明：</w:t>
      </w:r>
    </w:p>
    <w:p w14:paraId="09BC5779" w14:textId="77777777" w:rsidR="002133E3" w:rsidRDefault="00C22CFA">
      <w:pPr>
        <w:widowControl/>
        <w:tabs>
          <w:tab w:val="left" w:pos="540"/>
        </w:tabs>
        <w:snapToGrid w:val="0"/>
        <w:spacing w:line="500" w:lineRule="atLeas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生产装置排出的高浓度废水首先进行充分沉沙调节处理后，进行降温预处理；</w:t>
      </w:r>
    </w:p>
    <w:p w14:paraId="1974718F" w14:textId="77777777" w:rsidR="002133E3" w:rsidRDefault="00C22CFA">
      <w:pPr>
        <w:widowControl/>
        <w:tabs>
          <w:tab w:val="left" w:pos="540"/>
        </w:tabs>
        <w:snapToGrid w:val="0"/>
        <w:spacing w:line="500" w:lineRule="atLeas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一级厌氧实行全糟发酵，二级、三级厌氧处理采用</w:t>
      </w:r>
      <w:r>
        <w:rPr>
          <w:rFonts w:ascii="Times New Roman" w:eastAsia="宋体" w:hAnsi="Times New Roman" w:cs="Times New Roman"/>
          <w:kern w:val="0"/>
          <w:sz w:val="28"/>
          <w:szCs w:val="28"/>
        </w:rPr>
        <w:t>UASB</w:t>
      </w:r>
      <w:r>
        <w:rPr>
          <w:rFonts w:ascii="Times New Roman" w:eastAsia="宋体" w:hAnsi="Times New Roman" w:cs="Times New Roman"/>
          <w:kern w:val="0"/>
          <w:sz w:val="28"/>
          <w:szCs w:val="28"/>
        </w:rPr>
        <w:t>厌氧反应器，三级厌氧保证了低能耗条件下实现高的沼气产量和高的</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去除率，将大部分</w:t>
      </w:r>
      <w:r>
        <w:rPr>
          <w:rFonts w:ascii="Times New Roman" w:eastAsia="宋体" w:hAnsi="Times New Roman" w:cs="Times New Roman"/>
          <w:kern w:val="0"/>
          <w:sz w:val="28"/>
          <w:szCs w:val="28"/>
        </w:rPr>
        <w:lastRenderedPageBreak/>
        <w:t>有机负荷在厌氧阶段降解转化为生物能，降低好氧阶段的有机负荷，降低处理费用。高效、低耗的气浮分离装置，保证了三级厌氧的出水效果；</w:t>
      </w:r>
    </w:p>
    <w:p w14:paraId="2335420F" w14:textId="77777777" w:rsidR="002133E3" w:rsidRDefault="00C22CFA">
      <w:pPr>
        <w:widowControl/>
        <w:tabs>
          <w:tab w:val="left" w:pos="540"/>
        </w:tabs>
        <w:snapToGrid w:val="0"/>
        <w:spacing w:line="500" w:lineRule="atLeas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厌氧液进入</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池进行厌氧生化处理，然后进入生化</w:t>
      </w:r>
      <w:r>
        <w:rPr>
          <w:rFonts w:ascii="Times New Roman" w:eastAsia="宋体" w:hAnsi="Times New Roman" w:cs="Times New Roman"/>
          <w:kern w:val="0"/>
          <w:sz w:val="28"/>
          <w:szCs w:val="28"/>
        </w:rPr>
        <w:t>B</w:t>
      </w:r>
      <w:r>
        <w:rPr>
          <w:rFonts w:ascii="Times New Roman" w:eastAsia="宋体" w:hAnsi="Times New Roman" w:cs="Times New Roman"/>
          <w:kern w:val="0"/>
          <w:sz w:val="28"/>
          <w:szCs w:val="28"/>
        </w:rPr>
        <w:t>池进行好氧处理。好氧出水经沉淀池后进入沉淀池</w:t>
      </w:r>
      <w:r>
        <w:rPr>
          <w:rFonts w:ascii="宋体" w:eastAsia="宋体" w:hAnsi="宋体" w:cs="宋体" w:hint="eastAsia"/>
          <w:kern w:val="0"/>
          <w:sz w:val="28"/>
          <w:szCs w:val="28"/>
        </w:rPr>
        <w:t>Ⅱ</w:t>
      </w:r>
      <w:r>
        <w:rPr>
          <w:rFonts w:ascii="Times New Roman" w:eastAsia="宋体" w:hAnsi="Times New Roman" w:cs="Times New Roman"/>
          <w:kern w:val="0"/>
          <w:sz w:val="28"/>
          <w:szCs w:val="28"/>
        </w:rPr>
        <w:t>，排水达到《发酵酒精和白酒工业水污染物排放标准》</w:t>
      </w:r>
      <w:r>
        <w:rPr>
          <w:rFonts w:ascii="Times New Roman" w:eastAsia="宋体" w:hAnsi="Times New Roman" w:cs="Times New Roman"/>
          <w:kern w:val="0"/>
          <w:sz w:val="28"/>
          <w:szCs w:val="28"/>
        </w:rPr>
        <w:t>(GB27631-2011)</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中的间接排放标准。</w:t>
      </w:r>
    </w:p>
    <w:p w14:paraId="4D33FB63" w14:textId="77777777" w:rsidR="002133E3" w:rsidRDefault="00C22CFA">
      <w:pPr>
        <w:snapToGrid w:val="0"/>
        <w:spacing w:line="500" w:lineRule="atLeast"/>
        <w:ind w:firstLineChars="200" w:firstLine="560"/>
        <w:jc w:val="left"/>
        <w:rPr>
          <w:rFonts w:ascii="Times New Roman" w:eastAsia="宋体" w:hAnsi="Times New Roman" w:cs="Times New Roman"/>
          <w:b/>
          <w:kern w:val="0"/>
          <w:sz w:val="24"/>
          <w:szCs w:val="24"/>
        </w:rPr>
      </w:pPr>
      <w:r>
        <w:rPr>
          <w:rFonts w:ascii="Times New Roman" w:eastAsia="宋体" w:hAnsi="Times New Roman" w:cs="Times New Roman"/>
          <w:kern w:val="0"/>
          <w:sz w:val="28"/>
          <w:szCs w:val="28"/>
        </w:rPr>
        <w:t>考虑到生产过程中可能产生异常排放，本处理段设置事故池，以承接可能产生的高浓度有机废水及消防废水。因该池中废水</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高，故应在控制调节池废水</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的条件下分多次、少量泵入调节池。</w:t>
      </w:r>
    </w:p>
    <w:p w14:paraId="5E3FD8C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污水处理主要建构筑物及设备</w:t>
      </w:r>
    </w:p>
    <w:p w14:paraId="526D60DA"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污水处理主要建构筑物及设备情况见表</w:t>
      </w:r>
      <w:r>
        <w:rPr>
          <w:rFonts w:ascii="Times New Roman" w:eastAsia="宋体" w:hAnsi="Times New Roman" w:cs="Times New Roman"/>
          <w:kern w:val="0"/>
          <w:sz w:val="28"/>
          <w:szCs w:val="28"/>
        </w:rPr>
        <w:t>7.3-1</w:t>
      </w:r>
      <w:r>
        <w:rPr>
          <w:rFonts w:ascii="Times New Roman" w:eastAsia="宋体" w:hAnsi="Times New Roman" w:cs="Times New Roman"/>
          <w:kern w:val="0"/>
          <w:sz w:val="28"/>
          <w:szCs w:val="28"/>
        </w:rPr>
        <w:t>。</w:t>
      </w:r>
    </w:p>
    <w:p w14:paraId="49297B5D" w14:textId="77777777" w:rsidR="002133E3" w:rsidRDefault="00C22CFA">
      <w:pPr>
        <w:widowControl/>
        <w:tabs>
          <w:tab w:val="left" w:pos="600"/>
        </w:tabs>
        <w:spacing w:line="500" w:lineRule="exac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7.3-1 </w:t>
      </w:r>
      <w:r>
        <w:rPr>
          <w:rFonts w:ascii="Times New Roman" w:eastAsia="宋体" w:hAnsi="Times New Roman" w:cs="Times New Roman"/>
          <w:b/>
          <w:kern w:val="0"/>
          <w:sz w:val="24"/>
          <w:szCs w:val="24"/>
        </w:rPr>
        <w:t>污水站构</w:t>
      </w: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建</w:t>
      </w: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筑物及主要设备表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1998"/>
        <w:gridCol w:w="3496"/>
        <w:gridCol w:w="1123"/>
        <w:gridCol w:w="2487"/>
      </w:tblGrid>
      <w:tr w:rsidR="002133E3" w14:paraId="62C9E427" w14:textId="77777777">
        <w:trPr>
          <w:trHeight w:val="20"/>
          <w:jc w:val="center"/>
        </w:trPr>
        <w:tc>
          <w:tcPr>
            <w:tcW w:w="380" w:type="pct"/>
            <w:vAlign w:val="center"/>
          </w:tcPr>
          <w:p w14:paraId="576E7567"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014" w:type="pct"/>
            <w:vAlign w:val="center"/>
          </w:tcPr>
          <w:p w14:paraId="439AC95C" w14:textId="77777777" w:rsidR="002133E3" w:rsidRDefault="00C22CFA">
            <w:pPr>
              <w:widowControl/>
              <w:tabs>
                <w:tab w:val="right" w:leader="dot" w:pos="9060"/>
              </w:tabs>
              <w:snapToGrid w:val="0"/>
              <w:jc w:val="center"/>
              <w:rPr>
                <w:rFonts w:ascii="Times New Roman" w:eastAsia="宋体" w:hAnsi="Times New Roman" w:cs="Times New Roman"/>
                <w:b/>
                <w:bCs/>
                <w:caps/>
                <w:kern w:val="0"/>
                <w:szCs w:val="21"/>
              </w:rPr>
            </w:pPr>
            <w:r>
              <w:rPr>
                <w:rFonts w:ascii="Times New Roman" w:eastAsia="宋体" w:hAnsi="Times New Roman" w:cs="Times New Roman"/>
                <w:b/>
                <w:bCs/>
                <w:caps/>
                <w:kern w:val="0"/>
                <w:szCs w:val="21"/>
              </w:rPr>
              <w:t>设备</w:t>
            </w:r>
            <w:r>
              <w:rPr>
                <w:rFonts w:ascii="Times New Roman" w:eastAsia="宋体" w:hAnsi="Times New Roman" w:cs="Times New Roman"/>
                <w:b/>
                <w:bCs/>
                <w:caps/>
                <w:kern w:val="0"/>
                <w:szCs w:val="21"/>
              </w:rPr>
              <w:t>(</w:t>
            </w:r>
            <w:r>
              <w:rPr>
                <w:rFonts w:ascii="Times New Roman" w:eastAsia="宋体" w:hAnsi="Times New Roman" w:cs="Times New Roman"/>
                <w:b/>
                <w:bCs/>
                <w:caps/>
                <w:kern w:val="0"/>
                <w:szCs w:val="21"/>
              </w:rPr>
              <w:t>设施</w:t>
            </w:r>
            <w:r>
              <w:rPr>
                <w:rFonts w:ascii="Times New Roman" w:eastAsia="宋体" w:hAnsi="Times New Roman" w:cs="Times New Roman"/>
                <w:b/>
                <w:bCs/>
                <w:caps/>
                <w:kern w:val="0"/>
                <w:szCs w:val="21"/>
              </w:rPr>
              <w:t>)</w:t>
            </w:r>
            <w:r>
              <w:rPr>
                <w:rFonts w:ascii="Times New Roman" w:eastAsia="宋体" w:hAnsi="Times New Roman" w:cs="Times New Roman"/>
                <w:b/>
                <w:bCs/>
                <w:caps/>
                <w:kern w:val="0"/>
                <w:szCs w:val="21"/>
              </w:rPr>
              <w:t>名称</w:t>
            </w:r>
          </w:p>
        </w:tc>
        <w:tc>
          <w:tcPr>
            <w:tcW w:w="1774" w:type="pct"/>
            <w:vAlign w:val="center"/>
          </w:tcPr>
          <w:p w14:paraId="242B9934" w14:textId="77777777" w:rsidR="002133E3" w:rsidRDefault="00C22CFA">
            <w:pPr>
              <w:widowControl/>
              <w:tabs>
                <w:tab w:val="right" w:leader="dot" w:pos="9060"/>
              </w:tabs>
              <w:snapToGrid w:val="0"/>
              <w:jc w:val="center"/>
              <w:rPr>
                <w:rFonts w:ascii="Times New Roman" w:eastAsia="宋体" w:hAnsi="Times New Roman" w:cs="Times New Roman"/>
                <w:b/>
                <w:bCs/>
                <w:caps/>
                <w:kern w:val="0"/>
                <w:szCs w:val="21"/>
              </w:rPr>
            </w:pPr>
            <w:r>
              <w:rPr>
                <w:rFonts w:ascii="Times New Roman" w:eastAsia="宋体" w:hAnsi="Times New Roman" w:cs="Times New Roman"/>
                <w:b/>
                <w:bCs/>
                <w:caps/>
                <w:kern w:val="0"/>
                <w:szCs w:val="21"/>
              </w:rPr>
              <w:t>规格型号</w:t>
            </w:r>
          </w:p>
        </w:tc>
        <w:tc>
          <w:tcPr>
            <w:tcW w:w="570" w:type="pct"/>
            <w:vAlign w:val="center"/>
          </w:tcPr>
          <w:p w14:paraId="37A11E02"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数量</w:t>
            </w:r>
          </w:p>
        </w:tc>
        <w:tc>
          <w:tcPr>
            <w:tcW w:w="1261" w:type="pct"/>
            <w:vAlign w:val="center"/>
          </w:tcPr>
          <w:p w14:paraId="3B08FC75"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备注</w:t>
            </w:r>
          </w:p>
        </w:tc>
      </w:tr>
      <w:tr w:rsidR="002133E3" w14:paraId="657773ED" w14:textId="77777777">
        <w:trPr>
          <w:trHeight w:val="20"/>
          <w:jc w:val="center"/>
        </w:trPr>
        <w:tc>
          <w:tcPr>
            <w:tcW w:w="380" w:type="pct"/>
            <w:vMerge w:val="restart"/>
            <w:vAlign w:val="center"/>
          </w:tcPr>
          <w:p w14:paraId="7642893A"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1</w:t>
            </w:r>
          </w:p>
        </w:tc>
        <w:tc>
          <w:tcPr>
            <w:tcW w:w="1014" w:type="pct"/>
            <w:vAlign w:val="center"/>
          </w:tcPr>
          <w:p w14:paraId="719766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调节池</w:t>
            </w:r>
          </w:p>
        </w:tc>
        <w:tc>
          <w:tcPr>
            <w:tcW w:w="1774" w:type="pct"/>
            <w:vAlign w:val="center"/>
          </w:tcPr>
          <w:p w14:paraId="585107D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=20000m</w:t>
            </w:r>
            <w:r>
              <w:rPr>
                <w:rFonts w:ascii="Times New Roman" w:eastAsia="宋体" w:hAnsi="Times New Roman" w:cs="Times New Roman"/>
                <w:kern w:val="0"/>
                <w:szCs w:val="21"/>
                <w:vertAlign w:val="superscript"/>
              </w:rPr>
              <w:t>3</w:t>
            </w:r>
          </w:p>
        </w:tc>
        <w:tc>
          <w:tcPr>
            <w:tcW w:w="570" w:type="pct"/>
            <w:vAlign w:val="center"/>
          </w:tcPr>
          <w:p w14:paraId="37A5C24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6D1BFAF5"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01FD8504" w14:textId="77777777">
        <w:trPr>
          <w:trHeight w:val="20"/>
          <w:jc w:val="center"/>
        </w:trPr>
        <w:tc>
          <w:tcPr>
            <w:tcW w:w="380" w:type="pct"/>
            <w:vMerge/>
            <w:vAlign w:val="center"/>
          </w:tcPr>
          <w:p w14:paraId="32A72CBB" w14:textId="77777777" w:rsidR="002133E3" w:rsidRDefault="002133E3">
            <w:pPr>
              <w:widowControl/>
              <w:snapToGrid w:val="0"/>
              <w:jc w:val="center"/>
              <w:rPr>
                <w:rFonts w:ascii="Times New Roman" w:eastAsia="宋体" w:hAnsi="Times New Roman" w:cs="Times New Roman"/>
                <w:smallCaps/>
                <w:kern w:val="0"/>
                <w:szCs w:val="21"/>
              </w:rPr>
            </w:pPr>
          </w:p>
        </w:tc>
        <w:tc>
          <w:tcPr>
            <w:tcW w:w="1014" w:type="pct"/>
            <w:vAlign w:val="center"/>
          </w:tcPr>
          <w:p w14:paraId="526BCF6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6" w:type="pct"/>
            <w:gridSpan w:val="3"/>
            <w:vAlign w:val="center"/>
          </w:tcPr>
          <w:p w14:paraId="0D00C1F2"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进料泵</w:t>
            </w:r>
            <w:r>
              <w:rPr>
                <w:rFonts w:ascii="Times New Roman" w:eastAsia="宋体" w:hAnsi="Times New Roman" w:cs="Times New Roman"/>
                <w:smallCaps/>
                <w:kern w:val="0"/>
                <w:szCs w:val="21"/>
              </w:rPr>
              <w:t>6</w:t>
            </w:r>
            <w:r>
              <w:rPr>
                <w:rFonts w:ascii="Times New Roman" w:eastAsia="宋体" w:hAnsi="Times New Roman" w:cs="Times New Roman"/>
                <w:smallCaps/>
                <w:kern w:val="0"/>
                <w:szCs w:val="21"/>
              </w:rPr>
              <w:t>台，</w:t>
            </w:r>
            <w:r>
              <w:rPr>
                <w:rFonts w:ascii="Times New Roman" w:eastAsia="宋体" w:hAnsi="Times New Roman" w:cs="Times New Roman"/>
                <w:smallCaps/>
                <w:kern w:val="0"/>
                <w:szCs w:val="21"/>
              </w:rPr>
              <w:t>IHN125-100-315</w:t>
            </w:r>
            <w:r>
              <w:rPr>
                <w:rFonts w:ascii="Times New Roman" w:eastAsia="宋体" w:hAnsi="Times New Roman" w:cs="Times New Roman"/>
                <w:smallCaps/>
                <w:kern w:val="0"/>
                <w:szCs w:val="21"/>
              </w:rPr>
              <w:t>，功率：</w:t>
            </w:r>
            <w:r>
              <w:rPr>
                <w:rFonts w:ascii="Times New Roman" w:eastAsia="宋体" w:hAnsi="Times New Roman" w:cs="Times New Roman"/>
                <w:smallCaps/>
                <w:kern w:val="0"/>
                <w:szCs w:val="21"/>
              </w:rPr>
              <w:t>15kw</w:t>
            </w:r>
          </w:p>
          <w:p w14:paraId="711D095F" w14:textId="77777777" w:rsidR="002133E3" w:rsidRDefault="00C22CFA">
            <w:pPr>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循环泵</w:t>
            </w:r>
            <w:r>
              <w:rPr>
                <w:rFonts w:ascii="Times New Roman" w:eastAsia="宋体" w:hAnsi="Times New Roman" w:cs="Times New Roman"/>
                <w:kern w:val="0"/>
                <w:szCs w:val="21"/>
              </w:rPr>
              <w:t>2</w:t>
            </w:r>
            <w:r>
              <w:rPr>
                <w:rFonts w:ascii="Times New Roman" w:eastAsia="宋体" w:hAnsi="Times New Roman" w:cs="Times New Roman"/>
                <w:kern w:val="0"/>
                <w:szCs w:val="21"/>
              </w:rPr>
              <w:t>台，</w:t>
            </w:r>
            <w:r>
              <w:rPr>
                <w:rFonts w:ascii="Times New Roman" w:eastAsia="宋体" w:hAnsi="Times New Roman" w:cs="Times New Roman"/>
                <w:kern w:val="0"/>
                <w:szCs w:val="21"/>
              </w:rPr>
              <w:t>150IND-40</w:t>
            </w:r>
            <w:r>
              <w:rPr>
                <w:rFonts w:ascii="Times New Roman" w:eastAsia="宋体" w:hAnsi="Times New Roman" w:cs="Times New Roman"/>
                <w:kern w:val="0"/>
                <w:szCs w:val="21"/>
              </w:rPr>
              <w:t>，功率：</w:t>
            </w:r>
            <w:r>
              <w:rPr>
                <w:rFonts w:ascii="Times New Roman" w:eastAsia="宋体" w:hAnsi="Times New Roman" w:cs="Times New Roman"/>
                <w:kern w:val="0"/>
                <w:szCs w:val="21"/>
              </w:rPr>
              <w:t>15kw</w:t>
            </w:r>
          </w:p>
        </w:tc>
      </w:tr>
      <w:tr w:rsidR="002133E3" w14:paraId="76D42B45" w14:textId="77777777">
        <w:trPr>
          <w:trHeight w:val="20"/>
          <w:jc w:val="center"/>
        </w:trPr>
        <w:tc>
          <w:tcPr>
            <w:tcW w:w="380" w:type="pct"/>
            <w:vAlign w:val="center"/>
          </w:tcPr>
          <w:p w14:paraId="75E4958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014" w:type="pct"/>
            <w:vAlign w:val="center"/>
          </w:tcPr>
          <w:p w14:paraId="5D49939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事故池</w:t>
            </w:r>
          </w:p>
        </w:tc>
        <w:tc>
          <w:tcPr>
            <w:tcW w:w="1774" w:type="pct"/>
            <w:vAlign w:val="center"/>
          </w:tcPr>
          <w:p w14:paraId="6AB1061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=40000m</w:t>
            </w:r>
            <w:r>
              <w:rPr>
                <w:rFonts w:ascii="Times New Roman" w:eastAsia="宋体" w:hAnsi="Times New Roman" w:cs="Times New Roman"/>
                <w:kern w:val="0"/>
                <w:szCs w:val="21"/>
                <w:vertAlign w:val="superscript"/>
              </w:rPr>
              <w:t>3</w:t>
            </w:r>
          </w:p>
        </w:tc>
        <w:tc>
          <w:tcPr>
            <w:tcW w:w="570" w:type="pct"/>
            <w:vAlign w:val="center"/>
          </w:tcPr>
          <w:p w14:paraId="244282B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269D2D00"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64FEB702" w14:textId="77777777">
        <w:trPr>
          <w:trHeight w:val="20"/>
          <w:jc w:val="center"/>
        </w:trPr>
        <w:tc>
          <w:tcPr>
            <w:tcW w:w="380" w:type="pct"/>
            <w:vMerge w:val="restart"/>
            <w:vAlign w:val="center"/>
          </w:tcPr>
          <w:p w14:paraId="448CE0D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014" w:type="pct"/>
            <w:vAlign w:val="center"/>
          </w:tcPr>
          <w:p w14:paraId="6B9A6BC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r>
              <w:rPr>
                <w:rFonts w:ascii="Times New Roman" w:eastAsia="宋体" w:hAnsi="Times New Roman" w:cs="Times New Roman"/>
                <w:kern w:val="0"/>
                <w:szCs w:val="21"/>
              </w:rPr>
              <w:t>UASB</w:t>
            </w:r>
            <w:r>
              <w:rPr>
                <w:rFonts w:ascii="Times New Roman" w:eastAsia="宋体" w:hAnsi="Times New Roman" w:cs="Times New Roman"/>
                <w:kern w:val="0"/>
                <w:szCs w:val="21"/>
              </w:rPr>
              <w:t>厌氧罐</w:t>
            </w:r>
          </w:p>
        </w:tc>
        <w:tc>
          <w:tcPr>
            <w:tcW w:w="1774" w:type="pct"/>
            <w:vAlign w:val="center"/>
          </w:tcPr>
          <w:p w14:paraId="1E266D3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=5500m</w:t>
            </w:r>
            <w:r>
              <w:rPr>
                <w:rFonts w:ascii="Times New Roman" w:eastAsia="宋体" w:hAnsi="Times New Roman" w:cs="Times New Roman"/>
                <w:kern w:val="0"/>
                <w:szCs w:val="21"/>
                <w:vertAlign w:val="superscript"/>
              </w:rPr>
              <w:t>3</w:t>
            </w:r>
          </w:p>
        </w:tc>
        <w:tc>
          <w:tcPr>
            <w:tcW w:w="570" w:type="pct"/>
            <w:vAlign w:val="center"/>
          </w:tcPr>
          <w:p w14:paraId="4337C2D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w:t>
            </w:r>
          </w:p>
        </w:tc>
        <w:tc>
          <w:tcPr>
            <w:tcW w:w="1261" w:type="pct"/>
            <w:vAlign w:val="center"/>
          </w:tcPr>
          <w:p w14:paraId="4D3AD4B3"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07B10234" w14:textId="77777777">
        <w:trPr>
          <w:trHeight w:val="20"/>
          <w:jc w:val="center"/>
        </w:trPr>
        <w:tc>
          <w:tcPr>
            <w:tcW w:w="380" w:type="pct"/>
            <w:vMerge/>
            <w:vAlign w:val="center"/>
          </w:tcPr>
          <w:p w14:paraId="1ABFBBB8"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48913C3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6" w:type="pct"/>
            <w:gridSpan w:val="3"/>
            <w:vAlign w:val="center"/>
          </w:tcPr>
          <w:p w14:paraId="06BFD091"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回流泵</w:t>
            </w:r>
            <w:r>
              <w:rPr>
                <w:rFonts w:ascii="Times New Roman" w:eastAsia="宋体" w:hAnsi="Times New Roman" w:cs="Times New Roman"/>
                <w:kern w:val="0"/>
                <w:szCs w:val="21"/>
              </w:rPr>
              <w:t>16</w:t>
            </w:r>
            <w:r>
              <w:rPr>
                <w:rFonts w:ascii="Times New Roman" w:eastAsia="宋体" w:hAnsi="Times New Roman" w:cs="Times New Roman"/>
                <w:kern w:val="0"/>
                <w:szCs w:val="21"/>
              </w:rPr>
              <w:t>台，</w:t>
            </w:r>
            <w:r>
              <w:rPr>
                <w:rFonts w:ascii="Times New Roman" w:eastAsia="宋体" w:hAnsi="Times New Roman" w:cs="Times New Roman"/>
                <w:kern w:val="0"/>
                <w:szCs w:val="21"/>
              </w:rPr>
              <w:t>IHN150-125-400</w:t>
            </w:r>
            <w:r>
              <w:rPr>
                <w:rFonts w:ascii="Times New Roman" w:eastAsia="宋体" w:hAnsi="Times New Roman" w:cs="Times New Roman"/>
                <w:kern w:val="0"/>
                <w:szCs w:val="21"/>
              </w:rPr>
              <w:t>，功率：</w:t>
            </w:r>
            <w:r>
              <w:rPr>
                <w:rFonts w:ascii="Times New Roman" w:eastAsia="宋体" w:hAnsi="Times New Roman" w:cs="Times New Roman"/>
                <w:kern w:val="0"/>
                <w:szCs w:val="21"/>
              </w:rPr>
              <w:t>75kw</w:t>
            </w:r>
          </w:p>
        </w:tc>
      </w:tr>
      <w:tr w:rsidR="002133E3" w14:paraId="4F3F1265" w14:textId="77777777">
        <w:trPr>
          <w:trHeight w:val="20"/>
          <w:jc w:val="center"/>
        </w:trPr>
        <w:tc>
          <w:tcPr>
            <w:tcW w:w="380" w:type="pct"/>
            <w:vMerge w:val="restart"/>
            <w:vAlign w:val="center"/>
          </w:tcPr>
          <w:p w14:paraId="2CAE28D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014" w:type="pct"/>
            <w:vAlign w:val="center"/>
          </w:tcPr>
          <w:p w14:paraId="30623A9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气浮池</w:t>
            </w:r>
          </w:p>
        </w:tc>
        <w:tc>
          <w:tcPr>
            <w:tcW w:w="1774" w:type="pct"/>
            <w:vAlign w:val="center"/>
          </w:tcPr>
          <w:p w14:paraId="436E955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=3000m</w:t>
            </w:r>
            <w:r>
              <w:rPr>
                <w:rFonts w:ascii="Times New Roman" w:eastAsia="宋体" w:hAnsi="Times New Roman" w:cs="Times New Roman"/>
                <w:kern w:val="0"/>
                <w:szCs w:val="21"/>
                <w:vertAlign w:val="superscript"/>
              </w:rPr>
              <w:t>3</w:t>
            </w:r>
          </w:p>
        </w:tc>
        <w:tc>
          <w:tcPr>
            <w:tcW w:w="570" w:type="pct"/>
            <w:vAlign w:val="center"/>
          </w:tcPr>
          <w:p w14:paraId="0462EB7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61F0000E"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1277542B" w14:textId="77777777">
        <w:trPr>
          <w:trHeight w:val="20"/>
          <w:jc w:val="center"/>
        </w:trPr>
        <w:tc>
          <w:tcPr>
            <w:tcW w:w="380" w:type="pct"/>
            <w:vMerge/>
            <w:vAlign w:val="center"/>
          </w:tcPr>
          <w:p w14:paraId="41B18974"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52F2FC0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6" w:type="pct"/>
            <w:gridSpan w:val="3"/>
            <w:vAlign w:val="center"/>
          </w:tcPr>
          <w:p w14:paraId="4EBBB764"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加压溶气气浮</w:t>
            </w:r>
            <w:r>
              <w:rPr>
                <w:rFonts w:ascii="Times New Roman" w:eastAsia="宋体" w:hAnsi="Times New Roman" w:cs="Times New Roman"/>
                <w:smallCaps/>
                <w:kern w:val="0"/>
                <w:szCs w:val="21"/>
              </w:rPr>
              <w:t>6</w:t>
            </w:r>
            <w:r>
              <w:rPr>
                <w:rFonts w:ascii="Times New Roman" w:eastAsia="宋体" w:hAnsi="Times New Roman" w:cs="Times New Roman"/>
                <w:smallCaps/>
                <w:kern w:val="0"/>
                <w:szCs w:val="21"/>
              </w:rPr>
              <w:t>套包括混合搅拌机、反应搅拌机、溶气罐、溶气水泵、释放器、空压机、链条式刮渣机等</w:t>
            </w:r>
          </w:p>
        </w:tc>
      </w:tr>
      <w:tr w:rsidR="002133E3" w14:paraId="1601EBA1" w14:textId="77777777">
        <w:trPr>
          <w:trHeight w:val="20"/>
          <w:jc w:val="center"/>
        </w:trPr>
        <w:tc>
          <w:tcPr>
            <w:tcW w:w="380" w:type="pct"/>
            <w:vAlign w:val="center"/>
          </w:tcPr>
          <w:p w14:paraId="06E4AB2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014" w:type="pct"/>
            <w:vAlign w:val="center"/>
          </w:tcPr>
          <w:p w14:paraId="0D85924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r>
              <w:rPr>
                <w:rFonts w:ascii="Times New Roman" w:eastAsia="宋体" w:hAnsi="Times New Roman" w:cs="Times New Roman"/>
                <w:kern w:val="0"/>
                <w:szCs w:val="21"/>
              </w:rPr>
              <w:t>UASB</w:t>
            </w:r>
            <w:r>
              <w:rPr>
                <w:rFonts w:ascii="Times New Roman" w:eastAsia="宋体" w:hAnsi="Times New Roman" w:cs="Times New Roman"/>
                <w:kern w:val="0"/>
                <w:szCs w:val="21"/>
              </w:rPr>
              <w:t>厌氧罐</w:t>
            </w:r>
          </w:p>
        </w:tc>
        <w:tc>
          <w:tcPr>
            <w:tcW w:w="1774" w:type="pct"/>
            <w:vAlign w:val="center"/>
          </w:tcPr>
          <w:p w14:paraId="5848F18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=3000m</w:t>
            </w:r>
            <w:r>
              <w:rPr>
                <w:rFonts w:ascii="Times New Roman" w:eastAsia="宋体" w:hAnsi="Times New Roman" w:cs="Times New Roman"/>
                <w:kern w:val="0"/>
                <w:szCs w:val="21"/>
                <w:vertAlign w:val="superscript"/>
              </w:rPr>
              <w:t>3</w:t>
            </w:r>
          </w:p>
        </w:tc>
        <w:tc>
          <w:tcPr>
            <w:tcW w:w="570" w:type="pct"/>
            <w:vAlign w:val="center"/>
          </w:tcPr>
          <w:p w14:paraId="0167869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261" w:type="pct"/>
            <w:vAlign w:val="center"/>
          </w:tcPr>
          <w:p w14:paraId="7BA22211"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4573CEEB" w14:textId="77777777">
        <w:trPr>
          <w:trHeight w:val="70"/>
          <w:jc w:val="center"/>
        </w:trPr>
        <w:tc>
          <w:tcPr>
            <w:tcW w:w="380" w:type="pct"/>
            <w:vAlign w:val="center"/>
          </w:tcPr>
          <w:p w14:paraId="62B92B7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014" w:type="pct"/>
            <w:vAlign w:val="center"/>
          </w:tcPr>
          <w:p w14:paraId="74C58C5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r>
              <w:rPr>
                <w:rFonts w:ascii="Times New Roman" w:eastAsia="宋体" w:hAnsi="Times New Roman" w:cs="Times New Roman"/>
                <w:kern w:val="0"/>
                <w:szCs w:val="21"/>
              </w:rPr>
              <w:t>UASB</w:t>
            </w:r>
            <w:r>
              <w:rPr>
                <w:rFonts w:ascii="Times New Roman" w:eastAsia="宋体" w:hAnsi="Times New Roman" w:cs="Times New Roman"/>
                <w:kern w:val="0"/>
                <w:szCs w:val="21"/>
              </w:rPr>
              <w:t>厌氧罐</w:t>
            </w:r>
          </w:p>
        </w:tc>
        <w:tc>
          <w:tcPr>
            <w:tcW w:w="1774" w:type="pct"/>
            <w:vAlign w:val="center"/>
          </w:tcPr>
          <w:p w14:paraId="59A58EB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Φ20000×18500</w:t>
            </w:r>
          </w:p>
        </w:tc>
        <w:tc>
          <w:tcPr>
            <w:tcW w:w="570" w:type="pct"/>
            <w:vAlign w:val="center"/>
          </w:tcPr>
          <w:p w14:paraId="3F61DE3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261" w:type="pct"/>
            <w:vAlign w:val="center"/>
          </w:tcPr>
          <w:p w14:paraId="28970A53"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1B663820" w14:textId="77777777">
        <w:trPr>
          <w:trHeight w:val="20"/>
          <w:jc w:val="center"/>
        </w:trPr>
        <w:tc>
          <w:tcPr>
            <w:tcW w:w="380" w:type="pct"/>
            <w:vAlign w:val="center"/>
          </w:tcPr>
          <w:p w14:paraId="06D5F32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014" w:type="pct"/>
            <w:vAlign w:val="center"/>
          </w:tcPr>
          <w:p w14:paraId="58DCDFB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生化</w:t>
            </w:r>
            <w:r>
              <w:rPr>
                <w:rFonts w:ascii="Times New Roman" w:eastAsia="宋体" w:hAnsi="Times New Roman" w:cs="Times New Roman"/>
                <w:kern w:val="0"/>
                <w:szCs w:val="21"/>
              </w:rPr>
              <w:t>A</w:t>
            </w:r>
            <w:r>
              <w:rPr>
                <w:rFonts w:ascii="Times New Roman" w:eastAsia="宋体" w:hAnsi="Times New Roman" w:cs="Times New Roman"/>
                <w:kern w:val="0"/>
                <w:szCs w:val="21"/>
              </w:rPr>
              <w:t>池</w:t>
            </w:r>
          </w:p>
        </w:tc>
        <w:tc>
          <w:tcPr>
            <w:tcW w:w="1774" w:type="pct"/>
            <w:vAlign w:val="center"/>
          </w:tcPr>
          <w:p w14:paraId="2C7FB8E4" w14:textId="77777777" w:rsidR="002133E3" w:rsidRDefault="00C22CFA">
            <w:pPr>
              <w:adjustRightInd w:val="0"/>
              <w:snapToGrid w:val="0"/>
              <w:spacing w:line="28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100×50×6.5</w:t>
            </w:r>
          </w:p>
        </w:tc>
        <w:tc>
          <w:tcPr>
            <w:tcW w:w="570" w:type="pct"/>
            <w:vAlign w:val="center"/>
          </w:tcPr>
          <w:p w14:paraId="3AE4BFE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74A28F74"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3BAA6482" w14:textId="77777777">
        <w:trPr>
          <w:trHeight w:val="20"/>
          <w:jc w:val="center"/>
        </w:trPr>
        <w:tc>
          <w:tcPr>
            <w:tcW w:w="380" w:type="pct"/>
            <w:vAlign w:val="center"/>
          </w:tcPr>
          <w:p w14:paraId="3B83D52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1014" w:type="pct"/>
            <w:vAlign w:val="center"/>
          </w:tcPr>
          <w:p w14:paraId="4B95157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生化</w:t>
            </w:r>
            <w:r>
              <w:rPr>
                <w:rFonts w:ascii="Times New Roman" w:eastAsia="宋体" w:hAnsi="Times New Roman" w:cs="Times New Roman"/>
                <w:kern w:val="0"/>
                <w:szCs w:val="21"/>
              </w:rPr>
              <w:t>B</w:t>
            </w:r>
            <w:r>
              <w:rPr>
                <w:rFonts w:ascii="Times New Roman" w:eastAsia="宋体" w:hAnsi="Times New Roman" w:cs="Times New Roman"/>
                <w:kern w:val="0"/>
                <w:szCs w:val="21"/>
              </w:rPr>
              <w:t>池</w:t>
            </w:r>
          </w:p>
        </w:tc>
        <w:tc>
          <w:tcPr>
            <w:tcW w:w="1774" w:type="pct"/>
            <w:vAlign w:val="center"/>
          </w:tcPr>
          <w:p w14:paraId="3165E122" w14:textId="77777777" w:rsidR="002133E3" w:rsidRDefault="00C22CFA">
            <w:pPr>
              <w:adjustRightInd w:val="0"/>
              <w:snapToGrid w:val="0"/>
              <w:spacing w:line="28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67×50×6.5</w:t>
            </w:r>
          </w:p>
        </w:tc>
        <w:tc>
          <w:tcPr>
            <w:tcW w:w="570" w:type="pct"/>
            <w:vAlign w:val="center"/>
          </w:tcPr>
          <w:p w14:paraId="2C7A99D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766C8154"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2613EE29" w14:textId="77777777">
        <w:trPr>
          <w:trHeight w:val="20"/>
          <w:jc w:val="center"/>
        </w:trPr>
        <w:tc>
          <w:tcPr>
            <w:tcW w:w="380" w:type="pct"/>
            <w:vMerge w:val="restart"/>
            <w:vAlign w:val="center"/>
          </w:tcPr>
          <w:p w14:paraId="12DEA5C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1014" w:type="pct"/>
            <w:vAlign w:val="center"/>
          </w:tcPr>
          <w:p w14:paraId="028A488B"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生物曝气池</w:t>
            </w:r>
          </w:p>
        </w:tc>
        <w:tc>
          <w:tcPr>
            <w:tcW w:w="1774" w:type="pct"/>
            <w:vAlign w:val="center"/>
          </w:tcPr>
          <w:p w14:paraId="0E0DA50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=30000m</w:t>
            </w:r>
            <w:r>
              <w:rPr>
                <w:rFonts w:ascii="Times New Roman" w:eastAsia="宋体" w:hAnsi="Times New Roman" w:cs="Times New Roman"/>
                <w:kern w:val="0"/>
                <w:szCs w:val="21"/>
                <w:vertAlign w:val="superscript"/>
              </w:rPr>
              <w:t>3</w:t>
            </w:r>
          </w:p>
        </w:tc>
        <w:tc>
          <w:tcPr>
            <w:tcW w:w="570" w:type="pct"/>
            <w:vAlign w:val="center"/>
          </w:tcPr>
          <w:p w14:paraId="3C81080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3D1D3F58"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5A9EA8B3" w14:textId="77777777">
        <w:trPr>
          <w:trHeight w:val="20"/>
          <w:jc w:val="center"/>
        </w:trPr>
        <w:tc>
          <w:tcPr>
            <w:tcW w:w="380" w:type="pct"/>
            <w:vMerge/>
            <w:vAlign w:val="center"/>
          </w:tcPr>
          <w:p w14:paraId="65A4508B"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6BB2C06E"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配套设备</w:t>
            </w:r>
          </w:p>
        </w:tc>
        <w:tc>
          <w:tcPr>
            <w:tcW w:w="3606" w:type="pct"/>
            <w:gridSpan w:val="3"/>
            <w:vAlign w:val="center"/>
          </w:tcPr>
          <w:p w14:paraId="438D374B"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离心鼓风机</w:t>
            </w:r>
            <w:r>
              <w:rPr>
                <w:rFonts w:ascii="Times New Roman" w:eastAsia="宋体" w:hAnsi="Times New Roman" w:cs="Times New Roman"/>
                <w:kern w:val="0"/>
                <w:szCs w:val="21"/>
              </w:rPr>
              <w:t>1</w:t>
            </w:r>
            <w:r>
              <w:rPr>
                <w:rFonts w:ascii="Times New Roman" w:eastAsia="宋体" w:hAnsi="Times New Roman" w:cs="Times New Roman"/>
                <w:kern w:val="0"/>
                <w:szCs w:val="21"/>
              </w:rPr>
              <w:t>台，</w:t>
            </w:r>
            <w:r>
              <w:rPr>
                <w:rFonts w:ascii="Times New Roman" w:eastAsia="宋体" w:hAnsi="Times New Roman" w:cs="Times New Roman"/>
                <w:kern w:val="0"/>
                <w:szCs w:val="21"/>
              </w:rPr>
              <w:t>D150-71-1.6</w:t>
            </w:r>
            <w:r>
              <w:rPr>
                <w:rFonts w:ascii="Times New Roman" w:eastAsia="宋体" w:hAnsi="Times New Roman" w:cs="Times New Roman"/>
                <w:kern w:val="0"/>
                <w:szCs w:val="21"/>
              </w:rPr>
              <w:t>型</w:t>
            </w:r>
          </w:p>
          <w:p w14:paraId="1B8F117D"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ZH</w:t>
            </w:r>
            <w:r>
              <w:rPr>
                <w:rFonts w:ascii="Times New Roman" w:eastAsia="宋体" w:hAnsi="Times New Roman" w:cs="Times New Roman"/>
                <w:smallCaps/>
                <w:kern w:val="0"/>
                <w:szCs w:val="21"/>
              </w:rPr>
              <w:t>可提升管式微孔曝气器</w:t>
            </w:r>
          </w:p>
        </w:tc>
      </w:tr>
      <w:tr w:rsidR="002133E3" w14:paraId="6A0A75B7" w14:textId="77777777">
        <w:trPr>
          <w:trHeight w:val="20"/>
          <w:jc w:val="center"/>
        </w:trPr>
        <w:tc>
          <w:tcPr>
            <w:tcW w:w="380" w:type="pct"/>
            <w:vMerge w:val="restart"/>
            <w:vAlign w:val="center"/>
          </w:tcPr>
          <w:p w14:paraId="13BAAF0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014" w:type="pct"/>
            <w:vAlign w:val="center"/>
          </w:tcPr>
          <w:p w14:paraId="7BD94468"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辐流沉淀池</w:t>
            </w:r>
          </w:p>
        </w:tc>
        <w:tc>
          <w:tcPr>
            <w:tcW w:w="1774" w:type="pct"/>
            <w:vAlign w:val="center"/>
          </w:tcPr>
          <w:p w14:paraId="592231B5"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φ30m</w:t>
            </w:r>
          </w:p>
        </w:tc>
        <w:tc>
          <w:tcPr>
            <w:tcW w:w="570" w:type="pct"/>
            <w:vAlign w:val="center"/>
          </w:tcPr>
          <w:p w14:paraId="0FD9C43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30488B08"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0CCF105D" w14:textId="77777777">
        <w:trPr>
          <w:trHeight w:val="20"/>
          <w:jc w:val="center"/>
        </w:trPr>
        <w:tc>
          <w:tcPr>
            <w:tcW w:w="380" w:type="pct"/>
            <w:vMerge/>
            <w:vAlign w:val="center"/>
          </w:tcPr>
          <w:p w14:paraId="2E52D615"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3AEBACFC"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配套设备</w:t>
            </w:r>
          </w:p>
        </w:tc>
        <w:tc>
          <w:tcPr>
            <w:tcW w:w="3606" w:type="pct"/>
            <w:gridSpan w:val="3"/>
            <w:vAlign w:val="center"/>
          </w:tcPr>
          <w:p w14:paraId="7E5812B7"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周边传动刮吸泥机</w:t>
            </w:r>
            <w:r>
              <w:rPr>
                <w:rFonts w:ascii="Times New Roman" w:eastAsia="宋体" w:hAnsi="Times New Roman" w:cs="Times New Roman"/>
                <w:kern w:val="0"/>
                <w:szCs w:val="21"/>
              </w:rPr>
              <w:t>1</w:t>
            </w:r>
            <w:r>
              <w:rPr>
                <w:rFonts w:ascii="Times New Roman" w:eastAsia="宋体" w:hAnsi="Times New Roman" w:cs="Times New Roman"/>
                <w:kern w:val="0"/>
                <w:szCs w:val="21"/>
              </w:rPr>
              <w:t>台，单桥周边传动、虹吸式</w:t>
            </w:r>
          </w:p>
          <w:p w14:paraId="13D2E826"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剩余污泥泵</w:t>
            </w:r>
            <w:r>
              <w:rPr>
                <w:rFonts w:ascii="Times New Roman" w:eastAsia="宋体" w:hAnsi="Times New Roman" w:cs="Times New Roman"/>
                <w:kern w:val="0"/>
                <w:szCs w:val="21"/>
              </w:rPr>
              <w:t>1</w:t>
            </w:r>
            <w:r>
              <w:rPr>
                <w:rFonts w:ascii="Times New Roman" w:eastAsia="宋体" w:hAnsi="Times New Roman" w:cs="Times New Roman"/>
                <w:kern w:val="0"/>
                <w:szCs w:val="21"/>
              </w:rPr>
              <w:t>台，</w:t>
            </w:r>
            <w:r>
              <w:rPr>
                <w:rFonts w:ascii="Times New Roman" w:eastAsia="宋体" w:hAnsi="Times New Roman" w:cs="Times New Roman"/>
                <w:kern w:val="0"/>
                <w:szCs w:val="21"/>
              </w:rPr>
              <w:t>100YW100-17-7.5</w:t>
            </w:r>
          </w:p>
          <w:p w14:paraId="1D20C26A"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回流污泥泵</w:t>
            </w:r>
            <w:r>
              <w:rPr>
                <w:rFonts w:ascii="Times New Roman" w:eastAsia="宋体" w:hAnsi="Times New Roman" w:cs="Times New Roman"/>
                <w:kern w:val="0"/>
                <w:szCs w:val="21"/>
              </w:rPr>
              <w:t>4</w:t>
            </w:r>
            <w:r>
              <w:rPr>
                <w:rFonts w:ascii="Times New Roman" w:eastAsia="宋体" w:hAnsi="Times New Roman" w:cs="Times New Roman"/>
                <w:kern w:val="0"/>
                <w:szCs w:val="21"/>
              </w:rPr>
              <w:t>台，</w:t>
            </w:r>
            <w:r>
              <w:rPr>
                <w:rFonts w:ascii="Times New Roman" w:eastAsia="宋体" w:hAnsi="Times New Roman" w:cs="Times New Roman"/>
                <w:kern w:val="0"/>
                <w:szCs w:val="21"/>
              </w:rPr>
              <w:t>250YW700-11-37</w:t>
            </w:r>
          </w:p>
        </w:tc>
      </w:tr>
      <w:tr w:rsidR="002133E3" w14:paraId="34F4B909" w14:textId="77777777">
        <w:trPr>
          <w:trHeight w:val="20"/>
          <w:jc w:val="center"/>
        </w:trPr>
        <w:tc>
          <w:tcPr>
            <w:tcW w:w="380" w:type="pct"/>
            <w:vMerge w:val="restart"/>
            <w:vAlign w:val="center"/>
          </w:tcPr>
          <w:p w14:paraId="7EB3679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1014" w:type="pct"/>
            <w:vAlign w:val="center"/>
          </w:tcPr>
          <w:p w14:paraId="4399373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污泥浓缩罐</w:t>
            </w:r>
          </w:p>
        </w:tc>
        <w:tc>
          <w:tcPr>
            <w:tcW w:w="1774" w:type="pct"/>
            <w:vAlign w:val="center"/>
          </w:tcPr>
          <w:p w14:paraId="67E6FCAF"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8m×8m×9.2m</w:t>
            </w:r>
          </w:p>
        </w:tc>
        <w:tc>
          <w:tcPr>
            <w:tcW w:w="570" w:type="pct"/>
            <w:vAlign w:val="center"/>
          </w:tcPr>
          <w:p w14:paraId="2378B40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261" w:type="pct"/>
            <w:vAlign w:val="center"/>
          </w:tcPr>
          <w:p w14:paraId="689EF39D"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710D507D" w14:textId="77777777">
        <w:trPr>
          <w:trHeight w:val="20"/>
          <w:jc w:val="center"/>
        </w:trPr>
        <w:tc>
          <w:tcPr>
            <w:tcW w:w="380" w:type="pct"/>
            <w:vMerge/>
            <w:vAlign w:val="center"/>
          </w:tcPr>
          <w:p w14:paraId="2B6B506F"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4EF974B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6" w:type="pct"/>
            <w:gridSpan w:val="3"/>
            <w:vAlign w:val="center"/>
          </w:tcPr>
          <w:p w14:paraId="52FF4168"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卧螺离心脱水机</w:t>
            </w:r>
            <w:r>
              <w:rPr>
                <w:rFonts w:ascii="Times New Roman" w:eastAsia="宋体" w:hAnsi="Times New Roman" w:cs="Times New Roman"/>
                <w:kern w:val="0"/>
                <w:szCs w:val="21"/>
              </w:rPr>
              <w:t>(</w:t>
            </w:r>
            <w:r>
              <w:rPr>
                <w:rFonts w:ascii="Times New Roman" w:eastAsia="宋体" w:hAnsi="Times New Roman" w:cs="Times New Roman"/>
                <w:kern w:val="0"/>
                <w:szCs w:val="21"/>
              </w:rPr>
              <w:t>配套污泥泵</w:t>
            </w:r>
            <w:r>
              <w:rPr>
                <w:rFonts w:ascii="Times New Roman" w:eastAsia="宋体" w:hAnsi="Times New Roman" w:cs="Times New Roman"/>
                <w:kern w:val="0"/>
                <w:szCs w:val="21"/>
              </w:rPr>
              <w:t>)6</w:t>
            </w:r>
            <w:r>
              <w:rPr>
                <w:rFonts w:ascii="Times New Roman" w:eastAsia="宋体" w:hAnsi="Times New Roman" w:cs="Times New Roman"/>
                <w:kern w:val="0"/>
                <w:szCs w:val="21"/>
              </w:rPr>
              <w:t>台，型号：</w:t>
            </w:r>
            <w:r>
              <w:rPr>
                <w:rFonts w:ascii="Times New Roman" w:eastAsia="宋体" w:hAnsi="Times New Roman" w:cs="Times New Roman"/>
                <w:kern w:val="0"/>
                <w:szCs w:val="21"/>
              </w:rPr>
              <w:t>LWD430W</w:t>
            </w:r>
            <w:r>
              <w:rPr>
                <w:rFonts w:ascii="Times New Roman" w:eastAsia="宋体" w:hAnsi="Times New Roman" w:cs="Times New Roman"/>
                <w:kern w:val="0"/>
                <w:szCs w:val="21"/>
              </w:rPr>
              <w:t>，主电机功率：</w:t>
            </w:r>
            <w:r>
              <w:rPr>
                <w:rFonts w:ascii="Times New Roman" w:eastAsia="宋体" w:hAnsi="Times New Roman" w:cs="Times New Roman"/>
                <w:kern w:val="0"/>
                <w:szCs w:val="21"/>
              </w:rPr>
              <w:t>30kw</w:t>
            </w:r>
          </w:p>
          <w:p w14:paraId="257D2413"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污泥泵</w:t>
            </w:r>
            <w:r>
              <w:rPr>
                <w:rFonts w:ascii="Times New Roman" w:eastAsia="宋体" w:hAnsi="Times New Roman" w:cs="Times New Roman"/>
                <w:kern w:val="0"/>
                <w:szCs w:val="21"/>
              </w:rPr>
              <w:t>3</w:t>
            </w:r>
            <w:r>
              <w:rPr>
                <w:rFonts w:ascii="Times New Roman" w:eastAsia="宋体" w:hAnsi="Times New Roman" w:cs="Times New Roman"/>
                <w:kern w:val="0"/>
                <w:szCs w:val="21"/>
              </w:rPr>
              <w:t>台，型号：</w:t>
            </w:r>
            <w:r>
              <w:rPr>
                <w:rFonts w:ascii="Times New Roman" w:eastAsia="宋体" w:hAnsi="Times New Roman" w:cs="Times New Roman"/>
                <w:kern w:val="0"/>
                <w:szCs w:val="21"/>
              </w:rPr>
              <w:t>80YW75-18</w:t>
            </w:r>
          </w:p>
          <w:p w14:paraId="4CDDB8F4"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皮带输送机</w:t>
            </w:r>
            <w:r>
              <w:rPr>
                <w:rFonts w:ascii="Times New Roman" w:eastAsia="宋体" w:hAnsi="Times New Roman" w:cs="Times New Roman"/>
                <w:kern w:val="0"/>
                <w:szCs w:val="21"/>
              </w:rPr>
              <w:t>2</w:t>
            </w:r>
            <w:r>
              <w:rPr>
                <w:rFonts w:ascii="Times New Roman" w:eastAsia="宋体" w:hAnsi="Times New Roman" w:cs="Times New Roman"/>
                <w:kern w:val="0"/>
                <w:szCs w:val="21"/>
              </w:rPr>
              <w:t>套</w:t>
            </w:r>
          </w:p>
        </w:tc>
      </w:tr>
      <w:tr w:rsidR="002133E3" w14:paraId="78D2AA82" w14:textId="77777777">
        <w:trPr>
          <w:trHeight w:val="20"/>
          <w:jc w:val="center"/>
        </w:trPr>
        <w:tc>
          <w:tcPr>
            <w:tcW w:w="380" w:type="pct"/>
            <w:vMerge w:val="restart"/>
            <w:vAlign w:val="center"/>
          </w:tcPr>
          <w:p w14:paraId="26D5C22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1014" w:type="pct"/>
            <w:vAlign w:val="center"/>
          </w:tcPr>
          <w:p w14:paraId="7186E81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沼气柜</w:t>
            </w:r>
          </w:p>
        </w:tc>
        <w:tc>
          <w:tcPr>
            <w:tcW w:w="1774" w:type="pct"/>
            <w:vAlign w:val="center"/>
          </w:tcPr>
          <w:p w14:paraId="5F8215C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=1000m</w:t>
            </w:r>
            <w:r>
              <w:rPr>
                <w:rFonts w:ascii="Times New Roman" w:eastAsia="宋体" w:hAnsi="Times New Roman" w:cs="Times New Roman"/>
                <w:kern w:val="0"/>
                <w:szCs w:val="21"/>
                <w:vertAlign w:val="superscript"/>
              </w:rPr>
              <w:t>3</w:t>
            </w:r>
          </w:p>
        </w:tc>
        <w:tc>
          <w:tcPr>
            <w:tcW w:w="570" w:type="pct"/>
            <w:vAlign w:val="center"/>
          </w:tcPr>
          <w:p w14:paraId="1C8ACE0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140E0496"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72153A3B" w14:textId="77777777">
        <w:trPr>
          <w:trHeight w:val="20"/>
          <w:jc w:val="center"/>
        </w:trPr>
        <w:tc>
          <w:tcPr>
            <w:tcW w:w="380" w:type="pct"/>
            <w:vMerge/>
            <w:vAlign w:val="center"/>
          </w:tcPr>
          <w:p w14:paraId="44E42A06"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002CF82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6" w:type="pct"/>
            <w:gridSpan w:val="3"/>
            <w:vAlign w:val="center"/>
          </w:tcPr>
          <w:p w14:paraId="5837DC8F"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沼气加压风机</w:t>
            </w:r>
            <w:r>
              <w:rPr>
                <w:rFonts w:ascii="Times New Roman" w:eastAsia="宋体" w:hAnsi="Times New Roman" w:cs="Times New Roman"/>
                <w:kern w:val="0"/>
                <w:szCs w:val="21"/>
              </w:rPr>
              <w:t>2</w:t>
            </w:r>
            <w:r>
              <w:rPr>
                <w:rFonts w:ascii="Times New Roman" w:eastAsia="宋体" w:hAnsi="Times New Roman" w:cs="Times New Roman"/>
                <w:kern w:val="0"/>
                <w:szCs w:val="21"/>
              </w:rPr>
              <w:t>台，电机功率：</w:t>
            </w:r>
            <w:r>
              <w:rPr>
                <w:rFonts w:ascii="Times New Roman" w:eastAsia="宋体" w:hAnsi="Times New Roman" w:cs="Times New Roman"/>
                <w:kern w:val="0"/>
                <w:szCs w:val="21"/>
              </w:rPr>
              <w:t>75KW</w:t>
            </w:r>
          </w:p>
        </w:tc>
      </w:tr>
      <w:tr w:rsidR="002133E3" w14:paraId="0F95F24C" w14:textId="77777777">
        <w:trPr>
          <w:trHeight w:val="20"/>
          <w:jc w:val="center"/>
        </w:trPr>
        <w:tc>
          <w:tcPr>
            <w:tcW w:w="380" w:type="pct"/>
            <w:vAlign w:val="center"/>
          </w:tcPr>
          <w:p w14:paraId="3367E15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1014" w:type="pct"/>
            <w:vAlign w:val="center"/>
          </w:tcPr>
          <w:p w14:paraId="333BD23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脱硫塔</w:t>
            </w:r>
          </w:p>
        </w:tc>
        <w:tc>
          <w:tcPr>
            <w:tcW w:w="1774" w:type="pct"/>
            <w:vAlign w:val="center"/>
          </w:tcPr>
          <w:p w14:paraId="18FD6AF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φ2.4m×10m</w:t>
            </w:r>
          </w:p>
        </w:tc>
        <w:tc>
          <w:tcPr>
            <w:tcW w:w="570" w:type="pct"/>
            <w:vAlign w:val="center"/>
          </w:tcPr>
          <w:p w14:paraId="4CFE5D4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554D3FD0"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bl>
    <w:p w14:paraId="067CF806"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污水站运行处理效果</w:t>
      </w:r>
    </w:p>
    <w:p w14:paraId="0343AA51"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根据企业</w:t>
      </w:r>
      <w:r>
        <w:rPr>
          <w:rFonts w:ascii="Times New Roman" w:eastAsia="宋体" w:hAnsi="Times New Roman" w:cs="Times New Roman"/>
          <w:kern w:val="0"/>
          <w:sz w:val="28"/>
          <w:szCs w:val="28"/>
        </w:rPr>
        <w:t>2015</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月、</w:t>
      </w:r>
      <w:r>
        <w:rPr>
          <w:rFonts w:ascii="Times New Roman" w:eastAsia="宋体" w:hAnsi="Times New Roman" w:cs="Times New Roman"/>
          <w:kern w:val="0"/>
          <w:sz w:val="28"/>
          <w:szCs w:val="28"/>
        </w:rPr>
        <w:t>2020</w:t>
      </w:r>
      <w:r>
        <w:rPr>
          <w:rFonts w:ascii="Times New Roman" w:eastAsia="宋体" w:hAnsi="Times New Roman" w:cs="Times New Roman"/>
          <w:kern w:val="0"/>
          <w:sz w:val="28"/>
          <w:szCs w:val="28"/>
        </w:rPr>
        <w:t>年</w:t>
      </w:r>
      <w:r>
        <w:rPr>
          <w:rFonts w:ascii="Times New Roman" w:eastAsia="宋体" w:hAnsi="Times New Roman" w:cs="Times New Roman"/>
          <w:kern w:val="0"/>
          <w:sz w:val="28"/>
          <w:szCs w:val="28"/>
        </w:rPr>
        <w:t>6</w:t>
      </w:r>
      <w:r>
        <w:rPr>
          <w:rFonts w:ascii="Times New Roman" w:eastAsia="宋体" w:hAnsi="Times New Roman" w:cs="Times New Roman"/>
          <w:kern w:val="0"/>
          <w:sz w:val="28"/>
          <w:szCs w:val="28"/>
        </w:rPr>
        <w:t>月</w:t>
      </w:r>
      <w:r>
        <w:rPr>
          <w:rFonts w:ascii="Times New Roman" w:eastAsia="宋体" w:hAnsi="Times New Roman" w:cs="Times New Roman"/>
          <w:sz w:val="28"/>
          <w:szCs w:val="28"/>
        </w:rPr>
        <w:t>污水站验收监测数据，企业污水站实际</w:t>
      </w:r>
      <w:r>
        <w:rPr>
          <w:rFonts w:ascii="Times New Roman" w:eastAsia="宋体" w:hAnsi="Times New Roman" w:cs="Times New Roman"/>
          <w:sz w:val="28"/>
          <w:szCs w:val="28"/>
        </w:rPr>
        <w:lastRenderedPageBreak/>
        <w:t>运转效果详见表</w:t>
      </w:r>
      <w:r>
        <w:rPr>
          <w:rFonts w:ascii="Times New Roman" w:eastAsia="宋体" w:hAnsi="Times New Roman" w:cs="Times New Roman"/>
          <w:sz w:val="28"/>
          <w:szCs w:val="28"/>
        </w:rPr>
        <w:t>7.3-2</w:t>
      </w:r>
      <w:r>
        <w:rPr>
          <w:rFonts w:ascii="Times New Roman" w:eastAsia="宋体" w:hAnsi="Times New Roman" w:cs="Times New Roman"/>
          <w:sz w:val="28"/>
          <w:szCs w:val="28"/>
        </w:rPr>
        <w:t>，污水处理站对</w:t>
      </w:r>
      <w:r>
        <w:rPr>
          <w:rFonts w:ascii="Times New Roman" w:eastAsia="宋体" w:hAnsi="Times New Roman" w:cs="Times New Roman"/>
          <w:sz w:val="28"/>
          <w:szCs w:val="28"/>
        </w:rPr>
        <w:t>COD</w:t>
      </w:r>
      <w:r>
        <w:rPr>
          <w:rFonts w:ascii="Times New Roman" w:eastAsia="宋体" w:hAnsi="Times New Roman" w:cs="Times New Roman"/>
          <w:sz w:val="28"/>
          <w:szCs w:val="28"/>
        </w:rPr>
        <w:t>、</w:t>
      </w:r>
      <w:r>
        <w:rPr>
          <w:rFonts w:ascii="Times New Roman" w:eastAsia="宋体" w:hAnsi="Times New Roman" w:cs="Times New Roman"/>
          <w:sz w:val="28"/>
          <w:szCs w:val="28"/>
        </w:rPr>
        <w:t>SS</w:t>
      </w:r>
      <w:r>
        <w:rPr>
          <w:rFonts w:ascii="Times New Roman" w:eastAsia="宋体" w:hAnsi="Times New Roman" w:cs="Times New Roman"/>
          <w:sz w:val="28"/>
          <w:szCs w:val="28"/>
        </w:rPr>
        <w:t>、总氮、氨氮、总磷等主要污染物处理效率分别达到</w:t>
      </w:r>
      <w:r>
        <w:rPr>
          <w:rFonts w:ascii="Times New Roman" w:eastAsia="宋体" w:hAnsi="Times New Roman" w:cs="Times New Roman"/>
          <w:sz w:val="28"/>
          <w:szCs w:val="28"/>
        </w:rPr>
        <w:t>99.6%</w:t>
      </w:r>
      <w:r>
        <w:rPr>
          <w:rFonts w:ascii="Times New Roman" w:eastAsia="宋体" w:hAnsi="Times New Roman" w:cs="Times New Roman"/>
          <w:sz w:val="28"/>
          <w:szCs w:val="28"/>
        </w:rPr>
        <w:t>、</w:t>
      </w:r>
      <w:r>
        <w:rPr>
          <w:rFonts w:ascii="Times New Roman" w:eastAsia="宋体" w:hAnsi="Times New Roman" w:cs="Times New Roman"/>
          <w:sz w:val="28"/>
          <w:szCs w:val="28"/>
        </w:rPr>
        <w:t>98.8%</w:t>
      </w:r>
      <w:r>
        <w:rPr>
          <w:rFonts w:ascii="Times New Roman" w:eastAsia="宋体" w:hAnsi="Times New Roman" w:cs="Times New Roman"/>
          <w:sz w:val="28"/>
          <w:szCs w:val="28"/>
        </w:rPr>
        <w:t>、</w:t>
      </w:r>
      <w:r>
        <w:rPr>
          <w:rFonts w:ascii="Times New Roman" w:eastAsia="宋体" w:hAnsi="Times New Roman" w:cs="Times New Roman"/>
          <w:sz w:val="28"/>
          <w:szCs w:val="28"/>
        </w:rPr>
        <w:t>54.61%</w:t>
      </w:r>
      <w:r>
        <w:rPr>
          <w:rFonts w:ascii="Times New Roman" w:eastAsia="宋体" w:hAnsi="Times New Roman" w:cs="Times New Roman"/>
          <w:sz w:val="28"/>
          <w:szCs w:val="28"/>
        </w:rPr>
        <w:t>、</w:t>
      </w:r>
      <w:r>
        <w:rPr>
          <w:rFonts w:ascii="Times New Roman" w:eastAsia="宋体" w:hAnsi="Times New Roman" w:cs="Times New Roman"/>
          <w:sz w:val="28"/>
          <w:szCs w:val="28"/>
        </w:rPr>
        <w:t>85.9%</w:t>
      </w:r>
      <w:r>
        <w:rPr>
          <w:rFonts w:ascii="Times New Roman" w:eastAsia="宋体" w:hAnsi="Times New Roman" w:cs="Times New Roman"/>
          <w:sz w:val="28"/>
          <w:szCs w:val="28"/>
        </w:rPr>
        <w:t>、</w:t>
      </w:r>
      <w:r>
        <w:rPr>
          <w:rFonts w:ascii="Times New Roman" w:eastAsia="宋体" w:hAnsi="Times New Roman" w:cs="Times New Roman"/>
          <w:sz w:val="28"/>
          <w:szCs w:val="28"/>
        </w:rPr>
        <w:t>89.37%</w:t>
      </w:r>
      <w:r>
        <w:rPr>
          <w:rFonts w:ascii="Times New Roman" w:eastAsia="宋体" w:hAnsi="Times New Roman" w:cs="Times New Roman"/>
          <w:sz w:val="28"/>
          <w:szCs w:val="28"/>
        </w:rPr>
        <w:t>，污水处理站出口排放的各类污染物质浓度均满足《发酵酒精和白酒工业水污染物排放标准》</w:t>
      </w:r>
      <w:r>
        <w:rPr>
          <w:rFonts w:ascii="Times New Roman" w:eastAsia="宋体" w:hAnsi="Times New Roman" w:cs="Times New Roman"/>
          <w:sz w:val="28"/>
          <w:szCs w:val="28"/>
        </w:rPr>
        <w:t>(GB27631-2011)</w:t>
      </w:r>
      <w:r>
        <w:rPr>
          <w:rFonts w:ascii="Times New Roman" w:eastAsia="宋体" w:hAnsi="Times New Roman" w:cs="Times New Roman"/>
          <w:sz w:val="28"/>
          <w:szCs w:val="28"/>
        </w:rPr>
        <w:t>表二中的间接排放标准及污水处理厂接管标准的要求，可以接管进入</w:t>
      </w:r>
      <w:r>
        <w:rPr>
          <w:rFonts w:ascii="Times New Roman" w:eastAsia="宋体" w:hAnsi="Times New Roman" w:cs="Times New Roman"/>
          <w:kern w:val="0"/>
          <w:sz w:val="28"/>
          <w:szCs w:val="28"/>
        </w:rPr>
        <w:t>通海污水处理厂</w:t>
      </w:r>
      <w:r>
        <w:rPr>
          <w:rFonts w:ascii="Times New Roman" w:eastAsia="宋体" w:hAnsi="Times New Roman" w:cs="Times New Roman"/>
          <w:sz w:val="28"/>
          <w:szCs w:val="28"/>
        </w:rPr>
        <w:t>。</w:t>
      </w:r>
    </w:p>
    <w:p w14:paraId="55E99860" w14:textId="77777777" w:rsidR="002133E3" w:rsidRDefault="00C22CFA">
      <w:pPr>
        <w:spacing w:line="500" w:lineRule="atLeast"/>
        <w:jc w:val="center"/>
        <w:rPr>
          <w:rFonts w:ascii="Times New Roman" w:eastAsia="宋体" w:hAnsi="Times New Roman" w:cs="Times New Roman"/>
          <w:b/>
          <w:spacing w:val="-6"/>
          <w:kern w:val="0"/>
          <w:sz w:val="24"/>
          <w:szCs w:val="24"/>
        </w:rPr>
      </w:pPr>
      <w:r>
        <w:rPr>
          <w:rFonts w:ascii="Times New Roman" w:eastAsia="宋体" w:hAnsi="Times New Roman" w:cs="Times New Roman"/>
          <w:b/>
          <w:spacing w:val="-6"/>
          <w:kern w:val="0"/>
          <w:sz w:val="24"/>
          <w:szCs w:val="24"/>
        </w:rPr>
        <w:t>表</w:t>
      </w:r>
      <w:r>
        <w:rPr>
          <w:rFonts w:ascii="Times New Roman" w:eastAsia="宋体" w:hAnsi="Times New Roman" w:cs="Times New Roman"/>
          <w:b/>
          <w:spacing w:val="-6"/>
          <w:kern w:val="0"/>
          <w:sz w:val="24"/>
          <w:szCs w:val="24"/>
        </w:rPr>
        <w:t xml:space="preserve">7.3-2  </w:t>
      </w:r>
      <w:r>
        <w:rPr>
          <w:rFonts w:ascii="Times New Roman" w:eastAsia="宋体" w:hAnsi="Times New Roman" w:cs="Times New Roman"/>
          <w:b/>
          <w:spacing w:val="-6"/>
          <w:kern w:val="0"/>
          <w:sz w:val="24"/>
          <w:szCs w:val="24"/>
        </w:rPr>
        <w:t>污水站废水实际处理效果统计表</w:t>
      </w:r>
      <w:r>
        <w:rPr>
          <w:rFonts w:ascii="Times New Roman" w:eastAsia="宋体" w:hAnsi="Times New Roman" w:cs="Times New Roman"/>
          <w:b/>
          <w:spacing w:val="-6"/>
          <w:kern w:val="0"/>
          <w:sz w:val="24"/>
          <w:szCs w:val="24"/>
        </w:rPr>
        <w:t>(</w:t>
      </w:r>
      <w:r>
        <w:rPr>
          <w:rFonts w:ascii="Times New Roman" w:eastAsia="宋体" w:hAnsi="Times New Roman" w:cs="Times New Roman"/>
          <w:b/>
          <w:spacing w:val="-6"/>
          <w:kern w:val="0"/>
          <w:sz w:val="24"/>
          <w:szCs w:val="24"/>
        </w:rPr>
        <w:t>单位：</w:t>
      </w:r>
      <w:r>
        <w:rPr>
          <w:rFonts w:ascii="Times New Roman" w:eastAsia="宋体" w:hAnsi="Times New Roman" w:cs="Times New Roman"/>
          <w:b/>
          <w:spacing w:val="-6"/>
          <w:kern w:val="0"/>
          <w:sz w:val="24"/>
          <w:szCs w:val="24"/>
        </w:rPr>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7"/>
        <w:gridCol w:w="1101"/>
        <w:gridCol w:w="1102"/>
        <w:gridCol w:w="1102"/>
        <w:gridCol w:w="1102"/>
        <w:gridCol w:w="1100"/>
      </w:tblGrid>
      <w:tr w:rsidR="002133E3" w14:paraId="3A9E5AB1" w14:textId="77777777">
        <w:trPr>
          <w:trHeight w:val="217"/>
          <w:jc w:val="center"/>
        </w:trPr>
        <w:tc>
          <w:tcPr>
            <w:tcW w:w="2206" w:type="pct"/>
            <w:vAlign w:val="center"/>
          </w:tcPr>
          <w:p w14:paraId="7D87887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地点</w:t>
            </w:r>
          </w:p>
        </w:tc>
        <w:tc>
          <w:tcPr>
            <w:tcW w:w="559" w:type="pct"/>
            <w:vAlign w:val="center"/>
          </w:tcPr>
          <w:p w14:paraId="538C570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b/>
                <w:kern w:val="0"/>
                <w:position w:val="2"/>
                <w:szCs w:val="21"/>
                <w:lang w:eastAsia="en-US"/>
              </w:rPr>
              <w:t>COD</w:t>
            </w:r>
            <w:r>
              <w:rPr>
                <w:rFonts w:ascii="Times New Roman" w:eastAsia="宋体" w:hAnsi="Times New Roman" w:cs="Times New Roman"/>
                <w:b/>
                <w:kern w:val="0"/>
                <w:szCs w:val="21"/>
                <w:vertAlign w:val="subscript"/>
                <w:lang w:eastAsia="en-US"/>
              </w:rPr>
              <w:t>Cr</w:t>
            </w:r>
          </w:p>
        </w:tc>
        <w:tc>
          <w:tcPr>
            <w:tcW w:w="559" w:type="pct"/>
            <w:vAlign w:val="center"/>
          </w:tcPr>
          <w:p w14:paraId="49F2F71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b/>
                <w:kern w:val="0"/>
                <w:szCs w:val="21"/>
                <w:lang w:eastAsia="en-US"/>
              </w:rPr>
              <w:t>SS</w:t>
            </w:r>
          </w:p>
        </w:tc>
        <w:tc>
          <w:tcPr>
            <w:tcW w:w="559" w:type="pct"/>
            <w:vAlign w:val="center"/>
          </w:tcPr>
          <w:p w14:paraId="08FD0D03"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总氮</w:t>
            </w:r>
          </w:p>
        </w:tc>
        <w:tc>
          <w:tcPr>
            <w:tcW w:w="559" w:type="pct"/>
            <w:vAlign w:val="center"/>
          </w:tcPr>
          <w:p w14:paraId="6EE8EAA7" w14:textId="77777777" w:rsidR="002133E3" w:rsidRDefault="00C22CFA">
            <w:pPr>
              <w:jc w:val="center"/>
              <w:rPr>
                <w:rFonts w:ascii="Times New Roman" w:eastAsia="宋体" w:hAnsi="Times New Roman" w:cs="Times New Roman"/>
                <w:szCs w:val="21"/>
              </w:rPr>
            </w:pPr>
            <w:proofErr w:type="spellStart"/>
            <w:r>
              <w:rPr>
                <w:rFonts w:ascii="Times New Roman" w:eastAsia="宋体" w:hAnsi="Times New Roman" w:cs="Times New Roman"/>
                <w:b/>
                <w:bCs/>
                <w:kern w:val="0"/>
                <w:szCs w:val="21"/>
                <w:lang w:eastAsia="en-US"/>
              </w:rPr>
              <w:t>氨氮</w:t>
            </w:r>
            <w:proofErr w:type="spellEnd"/>
          </w:p>
        </w:tc>
        <w:tc>
          <w:tcPr>
            <w:tcW w:w="559" w:type="pct"/>
            <w:vAlign w:val="center"/>
          </w:tcPr>
          <w:p w14:paraId="787EFC34"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总磷</w:t>
            </w:r>
          </w:p>
        </w:tc>
      </w:tr>
      <w:tr w:rsidR="002133E3" w14:paraId="77D2E6D6" w14:textId="77777777">
        <w:trPr>
          <w:trHeight w:val="217"/>
          <w:jc w:val="center"/>
        </w:trPr>
        <w:tc>
          <w:tcPr>
            <w:tcW w:w="2206" w:type="pct"/>
            <w:vAlign w:val="center"/>
          </w:tcPr>
          <w:p w14:paraId="6809FF4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污水处理站</w:t>
            </w:r>
            <w:r>
              <w:rPr>
                <w:rFonts w:ascii="Times New Roman" w:eastAsia="宋体" w:hAnsi="Times New Roman" w:cs="Times New Roman"/>
                <w:w w:val="99"/>
                <w:szCs w:val="21"/>
              </w:rPr>
              <w:t xml:space="preserve"> </w:t>
            </w:r>
            <w:r>
              <w:rPr>
                <w:rFonts w:ascii="Times New Roman" w:eastAsia="宋体" w:hAnsi="Times New Roman" w:cs="Times New Roman"/>
                <w:szCs w:val="21"/>
              </w:rPr>
              <w:t>进口</w:t>
            </w:r>
          </w:p>
        </w:tc>
        <w:tc>
          <w:tcPr>
            <w:tcW w:w="559" w:type="pct"/>
            <w:vAlign w:val="center"/>
          </w:tcPr>
          <w:p w14:paraId="6292615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lang w:eastAsia="en-US"/>
              </w:rPr>
              <w:t>28188</w:t>
            </w:r>
          </w:p>
        </w:tc>
        <w:tc>
          <w:tcPr>
            <w:tcW w:w="559" w:type="pct"/>
            <w:vAlign w:val="center"/>
          </w:tcPr>
          <w:p w14:paraId="24AD22B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lang w:eastAsia="en-US"/>
              </w:rPr>
              <w:t>3640</w:t>
            </w:r>
          </w:p>
        </w:tc>
        <w:tc>
          <w:tcPr>
            <w:tcW w:w="559" w:type="pct"/>
            <w:vAlign w:val="center"/>
          </w:tcPr>
          <w:p w14:paraId="2118C335" w14:textId="77777777" w:rsidR="002133E3" w:rsidRDefault="00C22CFA">
            <w:pPr>
              <w:widowControl/>
              <w:jc w:val="center"/>
              <w:rPr>
                <w:rFonts w:ascii="Times New Roman" w:eastAsia="宋体" w:hAnsi="Times New Roman" w:cs="Times New Roman"/>
                <w:kern w:val="0"/>
                <w:szCs w:val="21"/>
                <w:lang w:eastAsia="en-US"/>
              </w:rPr>
            </w:pPr>
            <w:r>
              <w:rPr>
                <w:rFonts w:ascii="Times New Roman" w:eastAsia="宋体" w:hAnsi="Times New Roman" w:cs="Times New Roman"/>
                <w:color w:val="000000"/>
                <w:szCs w:val="21"/>
              </w:rPr>
              <w:t>62.675</w:t>
            </w:r>
          </w:p>
        </w:tc>
        <w:tc>
          <w:tcPr>
            <w:tcW w:w="559" w:type="pct"/>
            <w:vAlign w:val="center"/>
          </w:tcPr>
          <w:p w14:paraId="4E05991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lang w:eastAsia="en-US"/>
              </w:rPr>
              <w:t>139</w:t>
            </w:r>
          </w:p>
        </w:tc>
        <w:tc>
          <w:tcPr>
            <w:tcW w:w="559" w:type="pct"/>
            <w:vAlign w:val="center"/>
          </w:tcPr>
          <w:p w14:paraId="47CF53E9" w14:textId="77777777" w:rsidR="002133E3" w:rsidRDefault="00C22CFA">
            <w:pPr>
              <w:widowControl/>
              <w:jc w:val="center"/>
              <w:rPr>
                <w:rFonts w:ascii="Times New Roman" w:eastAsia="宋体" w:hAnsi="Times New Roman" w:cs="Times New Roman"/>
                <w:kern w:val="0"/>
                <w:szCs w:val="21"/>
                <w:lang w:eastAsia="en-US"/>
              </w:rPr>
            </w:pPr>
            <w:r>
              <w:rPr>
                <w:rFonts w:ascii="Times New Roman" w:eastAsia="宋体" w:hAnsi="Times New Roman" w:cs="Times New Roman"/>
                <w:color w:val="000000"/>
                <w:szCs w:val="21"/>
              </w:rPr>
              <w:t>4.56125</w:t>
            </w:r>
          </w:p>
        </w:tc>
      </w:tr>
      <w:tr w:rsidR="002133E3" w14:paraId="37BDCFB8" w14:textId="77777777">
        <w:trPr>
          <w:trHeight w:val="230"/>
          <w:jc w:val="center"/>
        </w:trPr>
        <w:tc>
          <w:tcPr>
            <w:tcW w:w="2206" w:type="pct"/>
            <w:vAlign w:val="center"/>
          </w:tcPr>
          <w:p w14:paraId="70EE8DB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污水处理站</w:t>
            </w:r>
            <w:r>
              <w:rPr>
                <w:rFonts w:ascii="Times New Roman" w:eastAsia="宋体" w:hAnsi="Times New Roman" w:cs="Times New Roman"/>
                <w:szCs w:val="21"/>
              </w:rPr>
              <w:t xml:space="preserve"> </w:t>
            </w:r>
            <w:r>
              <w:rPr>
                <w:rFonts w:ascii="Times New Roman" w:eastAsia="宋体" w:hAnsi="Times New Roman" w:cs="Times New Roman"/>
                <w:szCs w:val="21"/>
              </w:rPr>
              <w:t>出口</w:t>
            </w:r>
          </w:p>
        </w:tc>
        <w:tc>
          <w:tcPr>
            <w:tcW w:w="559" w:type="pct"/>
            <w:vAlign w:val="center"/>
          </w:tcPr>
          <w:p w14:paraId="0AC0580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lang w:eastAsia="en-US"/>
              </w:rPr>
              <w:t>115</w:t>
            </w:r>
          </w:p>
        </w:tc>
        <w:tc>
          <w:tcPr>
            <w:tcW w:w="559" w:type="pct"/>
            <w:vAlign w:val="center"/>
          </w:tcPr>
          <w:p w14:paraId="0FFD488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lang w:eastAsia="en-US"/>
              </w:rPr>
              <w:t>45</w:t>
            </w:r>
          </w:p>
        </w:tc>
        <w:tc>
          <w:tcPr>
            <w:tcW w:w="559" w:type="pct"/>
            <w:vAlign w:val="center"/>
          </w:tcPr>
          <w:p w14:paraId="02D429E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28.45</w:t>
            </w:r>
          </w:p>
        </w:tc>
        <w:tc>
          <w:tcPr>
            <w:tcW w:w="559" w:type="pct"/>
            <w:vAlign w:val="center"/>
          </w:tcPr>
          <w:p w14:paraId="20593C7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19.6</w:t>
            </w:r>
          </w:p>
        </w:tc>
        <w:tc>
          <w:tcPr>
            <w:tcW w:w="559" w:type="pct"/>
            <w:vAlign w:val="center"/>
          </w:tcPr>
          <w:p w14:paraId="1A728DF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0.485</w:t>
            </w:r>
          </w:p>
        </w:tc>
      </w:tr>
      <w:tr w:rsidR="002133E3" w14:paraId="5247E606" w14:textId="77777777">
        <w:trPr>
          <w:trHeight w:val="217"/>
          <w:jc w:val="center"/>
        </w:trPr>
        <w:tc>
          <w:tcPr>
            <w:tcW w:w="2206" w:type="pct"/>
            <w:vAlign w:val="center"/>
          </w:tcPr>
          <w:p w14:paraId="07D6912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处理效率</w:t>
            </w:r>
            <w:r>
              <w:rPr>
                <w:rFonts w:ascii="Times New Roman" w:eastAsia="宋体" w:hAnsi="Times New Roman" w:cs="Times New Roman"/>
                <w:szCs w:val="21"/>
              </w:rPr>
              <w:t>(%)</w:t>
            </w:r>
          </w:p>
        </w:tc>
        <w:tc>
          <w:tcPr>
            <w:tcW w:w="559" w:type="pct"/>
            <w:vAlign w:val="center"/>
          </w:tcPr>
          <w:p w14:paraId="4D8B275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lang w:eastAsia="en-US"/>
              </w:rPr>
              <w:t>99.6</w:t>
            </w:r>
          </w:p>
        </w:tc>
        <w:tc>
          <w:tcPr>
            <w:tcW w:w="559" w:type="pct"/>
            <w:vAlign w:val="center"/>
          </w:tcPr>
          <w:p w14:paraId="6E70E1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lang w:eastAsia="en-US"/>
              </w:rPr>
              <w:t>98.8</w:t>
            </w:r>
          </w:p>
        </w:tc>
        <w:tc>
          <w:tcPr>
            <w:tcW w:w="559" w:type="pct"/>
            <w:vAlign w:val="center"/>
          </w:tcPr>
          <w:p w14:paraId="7B874AA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54.61</w:t>
            </w:r>
          </w:p>
        </w:tc>
        <w:tc>
          <w:tcPr>
            <w:tcW w:w="559" w:type="pct"/>
            <w:vAlign w:val="center"/>
          </w:tcPr>
          <w:p w14:paraId="1048E02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85.9</w:t>
            </w:r>
          </w:p>
        </w:tc>
        <w:tc>
          <w:tcPr>
            <w:tcW w:w="559" w:type="pct"/>
            <w:vAlign w:val="center"/>
          </w:tcPr>
          <w:p w14:paraId="56CB59F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89.37</w:t>
            </w:r>
          </w:p>
        </w:tc>
      </w:tr>
      <w:tr w:rsidR="002133E3" w14:paraId="5595FBFF" w14:textId="77777777">
        <w:trPr>
          <w:trHeight w:val="217"/>
          <w:jc w:val="center"/>
        </w:trPr>
        <w:tc>
          <w:tcPr>
            <w:tcW w:w="2206" w:type="pct"/>
            <w:vAlign w:val="center"/>
          </w:tcPr>
          <w:p w14:paraId="2B5046F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《发酵酒精和白酒工业水污染物排放标准》</w:t>
            </w:r>
          </w:p>
        </w:tc>
        <w:tc>
          <w:tcPr>
            <w:tcW w:w="559" w:type="pct"/>
            <w:vAlign w:val="center"/>
          </w:tcPr>
          <w:p w14:paraId="41BFB3A5" w14:textId="77777777" w:rsidR="002133E3" w:rsidRDefault="00C22CFA">
            <w:pPr>
              <w:jc w:val="center"/>
              <w:rPr>
                <w:rFonts w:ascii="Times New Roman" w:eastAsia="宋体" w:hAnsi="Times New Roman" w:cs="Times New Roman"/>
                <w:kern w:val="0"/>
                <w:szCs w:val="21"/>
                <w:lang w:eastAsia="en-US"/>
              </w:rPr>
            </w:pPr>
            <w:r>
              <w:rPr>
                <w:rFonts w:ascii="Times New Roman" w:eastAsia="宋体" w:hAnsi="Times New Roman" w:cs="Times New Roman"/>
                <w:szCs w:val="21"/>
              </w:rPr>
              <w:t>400</w:t>
            </w:r>
          </w:p>
        </w:tc>
        <w:tc>
          <w:tcPr>
            <w:tcW w:w="559" w:type="pct"/>
            <w:vAlign w:val="center"/>
          </w:tcPr>
          <w:p w14:paraId="725B9E13" w14:textId="77777777" w:rsidR="002133E3" w:rsidRDefault="00C22CFA">
            <w:pPr>
              <w:jc w:val="center"/>
              <w:rPr>
                <w:rFonts w:ascii="Times New Roman" w:eastAsia="宋体" w:hAnsi="Times New Roman" w:cs="Times New Roman"/>
                <w:kern w:val="0"/>
                <w:szCs w:val="21"/>
                <w:lang w:eastAsia="en-US"/>
              </w:rPr>
            </w:pPr>
            <w:r>
              <w:rPr>
                <w:rFonts w:ascii="Times New Roman" w:eastAsia="宋体" w:hAnsi="Times New Roman" w:cs="Times New Roman"/>
                <w:szCs w:val="21"/>
              </w:rPr>
              <w:t>140</w:t>
            </w:r>
          </w:p>
        </w:tc>
        <w:tc>
          <w:tcPr>
            <w:tcW w:w="559" w:type="pct"/>
            <w:vAlign w:val="center"/>
          </w:tcPr>
          <w:p w14:paraId="3FCC36A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w:t>
            </w:r>
          </w:p>
        </w:tc>
        <w:tc>
          <w:tcPr>
            <w:tcW w:w="559" w:type="pct"/>
            <w:vAlign w:val="center"/>
          </w:tcPr>
          <w:p w14:paraId="1858EF3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szCs w:val="21"/>
              </w:rPr>
              <w:t>30</w:t>
            </w:r>
          </w:p>
        </w:tc>
        <w:tc>
          <w:tcPr>
            <w:tcW w:w="559" w:type="pct"/>
            <w:vAlign w:val="center"/>
          </w:tcPr>
          <w:p w14:paraId="26DF0A2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3.0</w:t>
            </w:r>
          </w:p>
        </w:tc>
      </w:tr>
      <w:tr w:rsidR="002133E3" w14:paraId="2D05F48A" w14:textId="77777777">
        <w:trPr>
          <w:trHeight w:val="267"/>
          <w:jc w:val="center"/>
        </w:trPr>
        <w:tc>
          <w:tcPr>
            <w:tcW w:w="2206" w:type="pct"/>
            <w:vAlign w:val="center"/>
          </w:tcPr>
          <w:p w14:paraId="75F1407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污水处理厂接管标准</w:t>
            </w:r>
          </w:p>
        </w:tc>
        <w:tc>
          <w:tcPr>
            <w:tcW w:w="559" w:type="pct"/>
            <w:vAlign w:val="center"/>
          </w:tcPr>
          <w:p w14:paraId="43425B5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500</w:t>
            </w:r>
          </w:p>
        </w:tc>
        <w:tc>
          <w:tcPr>
            <w:tcW w:w="559" w:type="pct"/>
            <w:vAlign w:val="center"/>
          </w:tcPr>
          <w:p w14:paraId="63B5D65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400</w:t>
            </w:r>
          </w:p>
        </w:tc>
        <w:tc>
          <w:tcPr>
            <w:tcW w:w="559" w:type="pct"/>
            <w:vAlign w:val="center"/>
          </w:tcPr>
          <w:p w14:paraId="51EBBB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70</w:t>
            </w:r>
          </w:p>
        </w:tc>
        <w:tc>
          <w:tcPr>
            <w:tcW w:w="559" w:type="pct"/>
            <w:vAlign w:val="center"/>
          </w:tcPr>
          <w:p w14:paraId="5B8490F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45</w:t>
            </w:r>
          </w:p>
        </w:tc>
        <w:tc>
          <w:tcPr>
            <w:tcW w:w="559" w:type="pct"/>
            <w:vAlign w:val="center"/>
          </w:tcPr>
          <w:p w14:paraId="07BB06F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w:t>
            </w:r>
          </w:p>
        </w:tc>
      </w:tr>
      <w:tr w:rsidR="002133E3" w14:paraId="7B0EB0D1" w14:textId="77777777">
        <w:trPr>
          <w:trHeight w:val="267"/>
          <w:jc w:val="center"/>
        </w:trPr>
        <w:tc>
          <w:tcPr>
            <w:tcW w:w="2206" w:type="pct"/>
            <w:vAlign w:val="center"/>
          </w:tcPr>
          <w:p w14:paraId="5883135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kern w:val="0"/>
                <w:szCs w:val="21"/>
              </w:rPr>
              <w:t>污水处理厂尾水排放标准</w:t>
            </w:r>
          </w:p>
        </w:tc>
        <w:tc>
          <w:tcPr>
            <w:tcW w:w="559" w:type="pct"/>
            <w:vAlign w:val="center"/>
          </w:tcPr>
          <w:p w14:paraId="37890B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50</w:t>
            </w:r>
          </w:p>
        </w:tc>
        <w:tc>
          <w:tcPr>
            <w:tcW w:w="559" w:type="pct"/>
            <w:vAlign w:val="center"/>
          </w:tcPr>
          <w:p w14:paraId="1F91D25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559" w:type="pct"/>
            <w:vAlign w:val="center"/>
          </w:tcPr>
          <w:p w14:paraId="383F8CC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559" w:type="pct"/>
            <w:vAlign w:val="center"/>
          </w:tcPr>
          <w:p w14:paraId="79079B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559" w:type="pct"/>
            <w:vAlign w:val="center"/>
          </w:tcPr>
          <w:p w14:paraId="33E88A4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0.5</w:t>
            </w:r>
          </w:p>
        </w:tc>
      </w:tr>
    </w:tbl>
    <w:p w14:paraId="7DA243F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技改项目污水处理措施评述</w:t>
      </w:r>
    </w:p>
    <w:p w14:paraId="55179A6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28"/>
          <w:szCs w:val="28"/>
        </w:rPr>
        <w:t>清污分流措施</w:t>
      </w:r>
    </w:p>
    <w:p w14:paraId="058C2D21" w14:textId="77777777" w:rsidR="002133E3" w:rsidRDefault="00C22CFA">
      <w:pPr>
        <w:widowControl/>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技改项目总废水排放量</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含清下水</w:t>
      </w:r>
      <w:r>
        <w:rPr>
          <w:rFonts w:ascii="Times New Roman" w:eastAsia="宋体" w:hAnsi="Times New Roman" w:cs="Times New Roman"/>
          <w:kern w:val="0"/>
          <w:sz w:val="28"/>
          <w:szCs w:val="28"/>
        </w:rPr>
        <w:t>)1262700.28m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，根据清污分流排水体制，工艺废水、制沼气产生沼液、废气处理水、生活污水、地面及设备冲洗废水和初期雨水共</w:t>
      </w:r>
      <w:r>
        <w:rPr>
          <w:rFonts w:ascii="Times New Roman" w:eastAsia="宋体" w:hAnsi="Times New Roman" w:cs="Times New Roman"/>
          <w:kern w:val="0"/>
          <w:sz w:val="28"/>
          <w:szCs w:val="28"/>
        </w:rPr>
        <w:t>1175440.28m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，由厂区污水管网收集，进入污水处理设施，经处理后由厂区污水口外排；清下水</w:t>
      </w:r>
      <w:r>
        <w:rPr>
          <w:rFonts w:ascii="Times New Roman" w:eastAsia="宋体" w:hAnsi="Times New Roman" w:cs="Times New Roman"/>
          <w:kern w:val="0"/>
          <w:sz w:val="28"/>
          <w:szCs w:val="28"/>
        </w:rPr>
        <w:t>87260m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，由厂区雨水管网收集，经厂区雨水口外排。</w:t>
      </w:r>
    </w:p>
    <w:p w14:paraId="6DAC032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水量、水质分析</w:t>
      </w:r>
    </w:p>
    <w:p w14:paraId="7B0304C0" w14:textId="77777777" w:rsidR="002133E3" w:rsidRDefault="00C22CFA">
      <w:pPr>
        <w:tabs>
          <w:tab w:val="left" w:pos="8100"/>
        </w:tabs>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项目产生废水水量、水质情况详见表</w:t>
      </w:r>
      <w:r>
        <w:rPr>
          <w:rFonts w:ascii="Times New Roman" w:eastAsia="宋体" w:hAnsi="Times New Roman" w:cs="Times New Roman"/>
          <w:kern w:val="0"/>
          <w:sz w:val="28"/>
          <w:szCs w:val="28"/>
        </w:rPr>
        <w:t>4.5-5</w:t>
      </w:r>
      <w:r>
        <w:rPr>
          <w:rFonts w:ascii="Times New Roman" w:eastAsia="宋体" w:hAnsi="Times New Roman" w:cs="Times New Roman"/>
          <w:kern w:val="0"/>
          <w:sz w:val="28"/>
          <w:szCs w:val="28"/>
        </w:rPr>
        <w:t>，生产废水主要为工艺废水、制沼气产生沼液、废气处理水、生活污水、地面及设备冲洗废水和初期雨水，进入污水处理站的水量为</w:t>
      </w:r>
      <w:r>
        <w:rPr>
          <w:rFonts w:ascii="Times New Roman" w:eastAsia="宋体" w:hAnsi="Times New Roman" w:cs="Times New Roman"/>
          <w:kern w:val="0"/>
          <w:sz w:val="28"/>
          <w:szCs w:val="28"/>
        </w:rPr>
        <w:t>1175440.28m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w:t>
      </w:r>
    </w:p>
    <w:p w14:paraId="3DDA427F" w14:textId="77777777" w:rsidR="002133E3" w:rsidRDefault="00C22CFA">
      <w:pPr>
        <w:tabs>
          <w:tab w:val="left" w:pos="8100"/>
        </w:tabs>
        <w:spacing w:line="520" w:lineRule="exact"/>
        <w:ind w:firstLineChars="200" w:firstLine="560"/>
        <w:rPr>
          <w:rFonts w:ascii="Times New Roman" w:eastAsia="宋体" w:hAnsi="Times New Roman" w:cs="Times New Roman"/>
          <w:color w:val="FF0000"/>
          <w:kern w:val="0"/>
          <w:sz w:val="28"/>
          <w:szCs w:val="28"/>
        </w:rPr>
      </w:pPr>
      <w:r>
        <w:rPr>
          <w:rFonts w:ascii="Times New Roman" w:eastAsia="宋体" w:hAnsi="Times New Roman" w:cs="Times New Roman"/>
          <w:kern w:val="0"/>
          <w:sz w:val="28"/>
          <w:szCs w:val="28"/>
        </w:rPr>
        <w:t>本项目为酒精制造项目，生产废水主要为蒸馏发酵成熟醪后排出的酒精废糟液，</w:t>
      </w:r>
      <w:r>
        <w:rPr>
          <w:rFonts w:ascii="Times New Roman" w:eastAsia="宋体" w:hAnsi="Times New Roman" w:cs="Times New Roman"/>
          <w:spacing w:val="-9"/>
          <w:sz w:val="28"/>
        </w:rPr>
        <w:t>它是一种高浓度、高温度、高悬浮物、泥沙多、粘稠度大、呈酸性的有机废水，废水中含有残余淀粉、粗蛋白、纤维素及菌蛋白等物质，可生化性强，具有潜在的资源可利用特性，具有有机物和悬浮物含量高的特点。</w:t>
      </w:r>
    </w:p>
    <w:p w14:paraId="7935C8A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废水处理总体方案</w:t>
      </w:r>
    </w:p>
    <w:p w14:paraId="1F5F38DC" w14:textId="77777777" w:rsidR="002133E3" w:rsidRDefault="00C22CFA">
      <w:pPr>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针对项目废水的水质特点，制定如下废水处理总体方案：</w:t>
      </w:r>
    </w:p>
    <w:p w14:paraId="23151E60" w14:textId="77777777" w:rsidR="002133E3" w:rsidRDefault="00C22CFA">
      <w:pPr>
        <w:spacing w:line="52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kern w:val="0"/>
          <w:sz w:val="28"/>
          <w:szCs w:val="28"/>
        </w:rPr>
        <w:lastRenderedPageBreak/>
        <w:t>项目产生废醪进入接触式厌氧罐发酵制沼气，制沼气后的沼液与工艺废水、废气处理水、设备及地面冲洗废水和初期雨水一同进入污水站</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厌氧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气浮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三级厌氧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好氧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段进行处理。</w:t>
      </w:r>
    </w:p>
    <w:p w14:paraId="7C3B032A"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污水处理设施接纳项目污水可行性分析</w:t>
      </w:r>
    </w:p>
    <w:p w14:paraId="7EF56E9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水量、水质分析</w:t>
      </w:r>
    </w:p>
    <w:p w14:paraId="28A0C5AA"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本项目废水产生情况详见表</w:t>
      </w:r>
      <w:r>
        <w:rPr>
          <w:rFonts w:ascii="Times New Roman" w:eastAsia="宋体" w:hAnsi="Times New Roman" w:cs="Times New Roman"/>
          <w:sz w:val="28"/>
          <w:szCs w:val="28"/>
        </w:rPr>
        <w:t>4.5-5</w:t>
      </w:r>
      <w:r>
        <w:rPr>
          <w:rFonts w:ascii="Times New Roman" w:eastAsia="宋体" w:hAnsi="Times New Roman" w:cs="Times New Roman"/>
          <w:sz w:val="28"/>
          <w:szCs w:val="28"/>
        </w:rPr>
        <w:t>。由表</w:t>
      </w:r>
      <w:r>
        <w:rPr>
          <w:rFonts w:ascii="Times New Roman" w:eastAsia="宋体" w:hAnsi="Times New Roman" w:cs="Times New Roman"/>
          <w:sz w:val="28"/>
          <w:szCs w:val="28"/>
        </w:rPr>
        <w:t>4.5-5</w:t>
      </w:r>
      <w:r>
        <w:rPr>
          <w:rFonts w:ascii="Times New Roman" w:eastAsia="宋体" w:hAnsi="Times New Roman" w:cs="Times New Roman"/>
          <w:sz w:val="28"/>
          <w:szCs w:val="28"/>
        </w:rPr>
        <w:t>可以看出，本项目废水量</w:t>
      </w:r>
      <w:r>
        <w:rPr>
          <w:rFonts w:ascii="Times New Roman" w:eastAsia="宋体" w:hAnsi="Times New Roman" w:cs="Times New Roman"/>
          <w:kern w:val="0"/>
          <w:sz w:val="28"/>
          <w:szCs w:val="28"/>
        </w:rPr>
        <w:t>1175440.28</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sz w:val="28"/>
          <w:szCs w:val="28"/>
        </w:rPr>
        <w:t>，合</w:t>
      </w:r>
      <w:r>
        <w:rPr>
          <w:rFonts w:ascii="Times New Roman" w:eastAsia="宋体" w:hAnsi="Times New Roman" w:cs="Times New Roman"/>
          <w:sz w:val="28"/>
          <w:szCs w:val="28"/>
        </w:rPr>
        <w:t>3918.1m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以新带老</w:t>
      </w:r>
      <w:r>
        <w:rPr>
          <w:rFonts w:ascii="Times New Roman" w:eastAsia="宋体" w:hAnsi="Times New Roman" w:cs="Times New Roman"/>
          <w:sz w:val="28"/>
          <w:szCs w:val="28"/>
        </w:rPr>
        <w:t>”</w:t>
      </w:r>
      <w:r>
        <w:rPr>
          <w:rFonts w:ascii="Times New Roman" w:eastAsia="宋体" w:hAnsi="Times New Roman" w:cs="Times New Roman"/>
          <w:sz w:val="28"/>
          <w:szCs w:val="28"/>
        </w:rPr>
        <w:t>削减排入废水量约</w:t>
      </w:r>
      <w:r>
        <w:rPr>
          <w:rFonts w:ascii="Times New Roman" w:eastAsia="宋体" w:hAnsi="Times New Roman" w:cs="Times New Roman"/>
          <w:sz w:val="28"/>
          <w:szCs w:val="28"/>
        </w:rPr>
        <w:t>4473m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，技改项目建成后排入厂区污水站废水量减少了</w:t>
      </w:r>
      <w:r>
        <w:rPr>
          <w:rFonts w:ascii="Times New Roman" w:eastAsia="宋体" w:hAnsi="Times New Roman" w:cs="Times New Roman"/>
          <w:kern w:val="0"/>
          <w:sz w:val="28"/>
          <w:szCs w:val="28"/>
        </w:rPr>
        <w:t>574.9</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，不增加厂区污水站负荷。厂区废水处理能力</w:t>
      </w:r>
      <w:r>
        <w:rPr>
          <w:rFonts w:ascii="Times New Roman" w:eastAsia="宋体" w:hAnsi="Times New Roman" w:cs="Times New Roman"/>
          <w:sz w:val="28"/>
          <w:szCs w:val="28"/>
        </w:rPr>
        <w:t>2</w:t>
      </w:r>
      <w:r>
        <w:rPr>
          <w:rFonts w:ascii="Times New Roman" w:eastAsia="宋体" w:hAnsi="Times New Roman" w:cs="Times New Roman"/>
          <w:sz w:val="28"/>
          <w:szCs w:val="28"/>
        </w:rPr>
        <w:t>万</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，目前厂区已批项目废水总量为</w:t>
      </w:r>
      <w:r>
        <w:rPr>
          <w:rFonts w:ascii="Times New Roman" w:eastAsia="宋体" w:hAnsi="Times New Roman" w:cs="Times New Roman"/>
          <w:sz w:val="28"/>
          <w:szCs w:val="28"/>
        </w:rPr>
        <w:t>3502376.82m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sz w:val="28"/>
          <w:szCs w:val="28"/>
        </w:rPr>
        <w:t>，合</w:t>
      </w:r>
      <w:r>
        <w:rPr>
          <w:rFonts w:ascii="Times New Roman" w:eastAsia="宋体" w:hAnsi="Times New Roman" w:cs="Times New Roman"/>
          <w:sz w:val="28"/>
          <w:szCs w:val="28"/>
        </w:rPr>
        <w:t>11674.6 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，本项目建成后全厂排入污水站废水量约</w:t>
      </w:r>
      <w:r>
        <w:rPr>
          <w:rFonts w:ascii="Times New Roman" w:eastAsia="宋体" w:hAnsi="Times New Roman" w:cs="Times New Roman"/>
          <w:sz w:val="28"/>
          <w:szCs w:val="28"/>
        </w:rPr>
        <w:t>11099.7m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，现有污水处理站处理能力满足本项目要求。</w:t>
      </w:r>
    </w:p>
    <w:p w14:paraId="3ACBDBC2" w14:textId="77777777" w:rsidR="002133E3" w:rsidRDefault="00C22CFA">
      <w:pPr>
        <w:tabs>
          <w:tab w:val="left" w:pos="8100"/>
        </w:tabs>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技改项目废槽液水质特点主要为高</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、高悬浮物，废气吸收液</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浓度也较高，厌氧接触工艺处理酒精废液进水悬浮物浓度没有要求，同时可负荷高浓度</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，有机物去除率高，因此经</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厌氧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气浮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处理后可大幅度降低</w:t>
      </w:r>
      <w:r>
        <w:rPr>
          <w:rFonts w:ascii="Times New Roman" w:eastAsia="宋体" w:hAnsi="Times New Roman" w:cs="Times New Roman"/>
          <w:kern w:val="0"/>
          <w:sz w:val="28"/>
          <w:szCs w:val="28"/>
        </w:rPr>
        <w:t>COD</w:t>
      </w:r>
      <w:r>
        <w:rPr>
          <w:rFonts w:ascii="Times New Roman" w:eastAsia="宋体" w:hAnsi="Times New Roman" w:cs="Times New Roman"/>
          <w:kern w:val="0"/>
          <w:sz w:val="28"/>
          <w:szCs w:val="28"/>
        </w:rPr>
        <w:t>和悬浮物的浓度。经</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厌氧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气浮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处理后的废水与其他废水混合，进行</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三级厌氧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好氧</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处理，由于废水中的有机物主要是极易生物降解的有机物，可生化性较好</w:t>
      </w:r>
      <w:r>
        <w:rPr>
          <w:rFonts w:ascii="Times New Roman" w:eastAsia="宋体" w:hAnsi="Times New Roman" w:cs="Times New Roman"/>
          <w:kern w:val="0"/>
          <w:sz w:val="28"/>
          <w:szCs w:val="28"/>
        </w:rPr>
        <w:t>，</w:t>
      </w:r>
      <w:r>
        <w:rPr>
          <w:rFonts w:ascii="Times New Roman" w:eastAsia="宋体" w:hAnsi="Times New Roman" w:cs="Times New Roman"/>
          <w:kern w:val="0"/>
          <w:sz w:val="28"/>
          <w:szCs w:val="20"/>
        </w:rPr>
        <w:t>同时废水中无重金属等特征污染物</w:t>
      </w:r>
      <w:r>
        <w:rPr>
          <w:rFonts w:ascii="Times New Roman" w:eastAsia="宋体" w:hAnsi="Times New Roman" w:cs="Times New Roman"/>
          <w:kern w:val="0"/>
          <w:sz w:val="28"/>
          <w:szCs w:val="28"/>
        </w:rPr>
        <w:t>，不影响处理设施处理效果。</w:t>
      </w:r>
    </w:p>
    <w:p w14:paraId="39BA6284" w14:textId="77777777" w:rsidR="002133E3" w:rsidRDefault="00C22CFA">
      <w:pPr>
        <w:tabs>
          <w:tab w:val="left" w:pos="8100"/>
        </w:tabs>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rPr>
        <w:t>本项目为现有酒精生产线的技改项目，技改前后水质无大幅度变化，根据已建项目验收监测数据可知，已建项目废水经厂区污水站处理后，可稳定达标排放。</w:t>
      </w:r>
    </w:p>
    <w:p w14:paraId="3E622EE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污水处理预期效果分析</w:t>
      </w:r>
    </w:p>
    <w:p w14:paraId="57AE42A9"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技改项目废水预期处理效果见表</w:t>
      </w:r>
      <w:r>
        <w:rPr>
          <w:rFonts w:ascii="Times New Roman" w:eastAsia="宋体" w:hAnsi="Times New Roman" w:cs="Times New Roman"/>
          <w:kern w:val="0"/>
          <w:sz w:val="28"/>
          <w:szCs w:val="28"/>
        </w:rPr>
        <w:t>7.3-3</w:t>
      </w:r>
      <w:r>
        <w:rPr>
          <w:rFonts w:ascii="Times New Roman" w:eastAsia="宋体" w:hAnsi="Times New Roman" w:cs="Times New Roman"/>
          <w:kern w:val="0"/>
          <w:sz w:val="28"/>
          <w:szCs w:val="28"/>
        </w:rPr>
        <w:t>。</w:t>
      </w:r>
    </w:p>
    <w:p w14:paraId="53403911" w14:textId="77777777" w:rsidR="002133E3" w:rsidRDefault="00C22CFA">
      <w:pPr>
        <w:widowControl/>
        <w:tabs>
          <w:tab w:val="left" w:pos="600"/>
        </w:tabs>
        <w:spacing w:line="500" w:lineRule="exac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7.3-3  </w:t>
      </w:r>
      <w:r>
        <w:rPr>
          <w:rFonts w:ascii="Times New Roman" w:eastAsia="宋体" w:hAnsi="Times New Roman" w:cs="Times New Roman"/>
          <w:b/>
          <w:kern w:val="0"/>
          <w:sz w:val="24"/>
          <w:szCs w:val="24"/>
        </w:rPr>
        <w:t>技改项目废水预期处理效果表（单位，</w:t>
      </w:r>
    </w:p>
    <w:tbl>
      <w:tblPr>
        <w:tblW w:w="5000" w:type="pct"/>
        <w:tblLook w:val="04A0" w:firstRow="1" w:lastRow="0" w:firstColumn="1" w:lastColumn="0" w:noHBand="0" w:noVBand="1"/>
      </w:tblPr>
      <w:tblGrid>
        <w:gridCol w:w="1060"/>
        <w:gridCol w:w="1651"/>
        <w:gridCol w:w="1214"/>
        <w:gridCol w:w="1161"/>
        <w:gridCol w:w="1025"/>
        <w:gridCol w:w="1192"/>
        <w:gridCol w:w="1382"/>
        <w:gridCol w:w="1169"/>
      </w:tblGrid>
      <w:tr w:rsidR="002133E3" w14:paraId="3AA93632" w14:textId="77777777">
        <w:trPr>
          <w:trHeight w:val="315"/>
        </w:trPr>
        <w:tc>
          <w:tcPr>
            <w:tcW w:w="5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A1BB0"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处理单元</w:t>
            </w:r>
          </w:p>
        </w:tc>
        <w:tc>
          <w:tcPr>
            <w:tcW w:w="838" w:type="pct"/>
            <w:tcBorders>
              <w:top w:val="single" w:sz="4" w:space="0" w:color="auto"/>
              <w:left w:val="nil"/>
              <w:bottom w:val="single" w:sz="4" w:space="0" w:color="auto"/>
              <w:right w:val="single" w:sz="4" w:space="0" w:color="auto"/>
            </w:tcBorders>
            <w:shd w:val="clear" w:color="auto" w:fill="auto"/>
            <w:noWrap/>
            <w:vAlign w:val="center"/>
          </w:tcPr>
          <w:p w14:paraId="076518F7"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项目</w:t>
            </w:r>
          </w:p>
        </w:tc>
        <w:tc>
          <w:tcPr>
            <w:tcW w:w="616" w:type="pct"/>
            <w:tcBorders>
              <w:top w:val="single" w:sz="4" w:space="0" w:color="auto"/>
              <w:left w:val="nil"/>
              <w:bottom w:val="single" w:sz="4" w:space="0" w:color="auto"/>
              <w:right w:val="single" w:sz="4" w:space="0" w:color="auto"/>
            </w:tcBorders>
            <w:shd w:val="clear" w:color="auto" w:fill="auto"/>
            <w:noWrap/>
            <w:vAlign w:val="center"/>
          </w:tcPr>
          <w:p w14:paraId="4C7B7008" w14:textId="77777777" w:rsidR="002133E3" w:rsidRDefault="00C22CFA">
            <w:pPr>
              <w:widowControl/>
              <w:jc w:val="center"/>
              <w:rPr>
                <w:rFonts w:ascii="Times New Roman" w:eastAsia="等线" w:hAnsi="Times New Roman" w:cs="Times New Roman"/>
                <w:b/>
                <w:bCs/>
                <w:color w:val="000000"/>
                <w:kern w:val="0"/>
                <w:szCs w:val="21"/>
              </w:rPr>
            </w:pPr>
            <w:r>
              <w:rPr>
                <w:rFonts w:ascii="Times New Roman" w:eastAsia="宋体" w:hAnsi="Times New Roman" w:cs="Times New Roman"/>
                <w:b/>
                <w:bCs/>
                <w:color w:val="000000"/>
                <w:kern w:val="0"/>
                <w:szCs w:val="21"/>
              </w:rPr>
              <w:t>水量</w:t>
            </w:r>
            <w:r>
              <w:rPr>
                <w:rFonts w:ascii="Times New Roman" w:eastAsia="等线" w:hAnsi="Times New Roman" w:cs="Times New Roman"/>
                <w:b/>
                <w:bCs/>
                <w:color w:val="000000"/>
                <w:kern w:val="0"/>
                <w:szCs w:val="21"/>
              </w:rPr>
              <w:t>m</w:t>
            </w:r>
            <w:r>
              <w:rPr>
                <w:rFonts w:ascii="Times New Roman" w:eastAsia="等线" w:hAnsi="Times New Roman" w:cs="Times New Roman"/>
                <w:b/>
                <w:bCs/>
                <w:color w:val="000000"/>
                <w:kern w:val="0"/>
                <w:szCs w:val="21"/>
                <w:vertAlign w:val="superscript"/>
              </w:rPr>
              <w:t>3</w:t>
            </w:r>
            <w:r>
              <w:rPr>
                <w:rFonts w:ascii="Times New Roman" w:eastAsia="等线" w:hAnsi="Times New Roman" w:cs="Times New Roman"/>
                <w:b/>
                <w:bCs/>
                <w:color w:val="000000"/>
                <w:kern w:val="0"/>
                <w:szCs w:val="21"/>
              </w:rPr>
              <w:t>/a</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3685B481" w14:textId="77777777" w:rsidR="002133E3" w:rsidRDefault="00C22CFA">
            <w:pPr>
              <w:widowControl/>
              <w:jc w:val="center"/>
              <w:rPr>
                <w:rFonts w:ascii="Times New Roman" w:eastAsia="等线" w:hAnsi="Times New Roman" w:cs="Times New Roman"/>
                <w:b/>
                <w:bCs/>
                <w:color w:val="000000"/>
                <w:kern w:val="0"/>
                <w:szCs w:val="21"/>
              </w:rPr>
            </w:pPr>
            <w:proofErr w:type="spellStart"/>
            <w:r>
              <w:rPr>
                <w:rFonts w:ascii="Times New Roman" w:eastAsia="等线" w:hAnsi="Times New Roman" w:cs="Times New Roman"/>
                <w:b/>
                <w:bCs/>
                <w:color w:val="000000"/>
                <w:kern w:val="0"/>
                <w:szCs w:val="21"/>
              </w:rPr>
              <w:t>CODmg</w:t>
            </w:r>
            <w:proofErr w:type="spellEnd"/>
            <w:r>
              <w:rPr>
                <w:rFonts w:ascii="Times New Roman" w:eastAsia="等线" w:hAnsi="Times New Roman" w:cs="Times New Roman"/>
                <w:b/>
                <w:bCs/>
                <w:color w:val="000000"/>
                <w:kern w:val="0"/>
                <w:szCs w:val="21"/>
              </w:rPr>
              <w:t>/L</w:t>
            </w:r>
          </w:p>
        </w:tc>
        <w:tc>
          <w:tcPr>
            <w:tcW w:w="520" w:type="pct"/>
            <w:tcBorders>
              <w:top w:val="single" w:sz="4" w:space="0" w:color="auto"/>
              <w:left w:val="nil"/>
              <w:bottom w:val="single" w:sz="4" w:space="0" w:color="auto"/>
              <w:right w:val="single" w:sz="4" w:space="0" w:color="auto"/>
            </w:tcBorders>
            <w:shd w:val="clear" w:color="auto" w:fill="auto"/>
            <w:noWrap/>
            <w:vAlign w:val="center"/>
          </w:tcPr>
          <w:p w14:paraId="426A8B49" w14:textId="77777777" w:rsidR="002133E3" w:rsidRDefault="00C22CFA">
            <w:pPr>
              <w:widowControl/>
              <w:jc w:val="center"/>
              <w:rPr>
                <w:rFonts w:ascii="Times New Roman" w:eastAsia="等线" w:hAnsi="Times New Roman" w:cs="Times New Roman"/>
                <w:b/>
                <w:bCs/>
                <w:color w:val="000000"/>
                <w:kern w:val="0"/>
                <w:szCs w:val="21"/>
              </w:rPr>
            </w:pPr>
            <w:proofErr w:type="spellStart"/>
            <w:r>
              <w:rPr>
                <w:rFonts w:ascii="Times New Roman" w:eastAsia="等线" w:hAnsi="Times New Roman" w:cs="Times New Roman"/>
                <w:b/>
                <w:bCs/>
                <w:color w:val="000000"/>
                <w:kern w:val="0"/>
                <w:szCs w:val="21"/>
              </w:rPr>
              <w:t>SSmg</w:t>
            </w:r>
            <w:proofErr w:type="spellEnd"/>
            <w:r>
              <w:rPr>
                <w:rFonts w:ascii="Times New Roman" w:eastAsia="等线" w:hAnsi="Times New Roman" w:cs="Times New Roman"/>
                <w:b/>
                <w:bCs/>
                <w:color w:val="000000"/>
                <w:kern w:val="0"/>
                <w:szCs w:val="21"/>
              </w:rPr>
              <w:t>/L</w:t>
            </w:r>
          </w:p>
        </w:tc>
        <w:tc>
          <w:tcPr>
            <w:tcW w:w="605" w:type="pct"/>
            <w:tcBorders>
              <w:top w:val="single" w:sz="4" w:space="0" w:color="auto"/>
              <w:left w:val="nil"/>
              <w:bottom w:val="single" w:sz="4" w:space="0" w:color="auto"/>
              <w:right w:val="single" w:sz="4" w:space="0" w:color="auto"/>
            </w:tcBorders>
            <w:shd w:val="clear" w:color="auto" w:fill="auto"/>
            <w:noWrap/>
            <w:vAlign w:val="center"/>
          </w:tcPr>
          <w:p w14:paraId="0C6E41DF"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总氮</w:t>
            </w:r>
            <w:r>
              <w:rPr>
                <w:rFonts w:ascii="Times New Roman" w:eastAsia="等线" w:hAnsi="Times New Roman" w:cs="Times New Roman"/>
                <w:b/>
                <w:bCs/>
                <w:kern w:val="0"/>
                <w:szCs w:val="21"/>
              </w:rPr>
              <w:t>mg/L</w:t>
            </w:r>
          </w:p>
        </w:tc>
        <w:tc>
          <w:tcPr>
            <w:tcW w:w="701" w:type="pct"/>
            <w:tcBorders>
              <w:top w:val="single" w:sz="4" w:space="0" w:color="auto"/>
              <w:left w:val="nil"/>
              <w:bottom w:val="single" w:sz="4" w:space="0" w:color="auto"/>
              <w:right w:val="single" w:sz="4" w:space="0" w:color="auto"/>
            </w:tcBorders>
            <w:shd w:val="clear" w:color="auto" w:fill="auto"/>
            <w:noWrap/>
            <w:vAlign w:val="center"/>
          </w:tcPr>
          <w:p w14:paraId="7CE1AD06"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氨氮</w:t>
            </w:r>
            <w:r>
              <w:rPr>
                <w:rFonts w:ascii="Times New Roman" w:eastAsia="等线" w:hAnsi="Times New Roman" w:cs="Times New Roman"/>
                <w:b/>
                <w:bCs/>
                <w:kern w:val="0"/>
                <w:szCs w:val="21"/>
              </w:rPr>
              <w:t>mg/L</w:t>
            </w:r>
          </w:p>
        </w:tc>
        <w:tc>
          <w:tcPr>
            <w:tcW w:w="593" w:type="pct"/>
            <w:tcBorders>
              <w:top w:val="single" w:sz="4" w:space="0" w:color="auto"/>
              <w:left w:val="nil"/>
              <w:bottom w:val="single" w:sz="4" w:space="0" w:color="auto"/>
              <w:right w:val="single" w:sz="4" w:space="0" w:color="auto"/>
            </w:tcBorders>
            <w:shd w:val="clear" w:color="auto" w:fill="auto"/>
            <w:noWrap/>
            <w:vAlign w:val="center"/>
          </w:tcPr>
          <w:p w14:paraId="78B7B50A" w14:textId="77777777" w:rsidR="002133E3" w:rsidRDefault="00C22CFA">
            <w:pPr>
              <w:widowControl/>
              <w:jc w:val="center"/>
              <w:rPr>
                <w:rFonts w:ascii="Times New Roman" w:eastAsia="等线" w:hAnsi="Times New Roman" w:cs="Times New Roman"/>
                <w:b/>
                <w:bCs/>
                <w:kern w:val="0"/>
                <w:szCs w:val="21"/>
              </w:rPr>
            </w:pPr>
            <w:r>
              <w:rPr>
                <w:rFonts w:ascii="Times New Roman" w:eastAsia="宋体" w:hAnsi="Times New Roman" w:cs="Times New Roman"/>
                <w:b/>
                <w:bCs/>
                <w:kern w:val="0"/>
                <w:szCs w:val="21"/>
              </w:rPr>
              <w:t>总磷</w:t>
            </w:r>
            <w:r>
              <w:rPr>
                <w:rFonts w:ascii="Times New Roman" w:eastAsia="等线" w:hAnsi="Times New Roman" w:cs="Times New Roman"/>
                <w:b/>
                <w:bCs/>
                <w:kern w:val="0"/>
                <w:szCs w:val="21"/>
              </w:rPr>
              <w:t>mg/L</w:t>
            </w:r>
          </w:p>
        </w:tc>
      </w:tr>
      <w:tr w:rsidR="002133E3" w14:paraId="1565879C" w14:textId="77777777">
        <w:trPr>
          <w:trHeight w:val="270"/>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0890F5D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沉砂池</w:t>
            </w:r>
          </w:p>
        </w:tc>
        <w:tc>
          <w:tcPr>
            <w:tcW w:w="838" w:type="pct"/>
            <w:tcBorders>
              <w:top w:val="nil"/>
              <w:left w:val="nil"/>
              <w:bottom w:val="single" w:sz="4" w:space="0" w:color="auto"/>
              <w:right w:val="single" w:sz="4" w:space="0" w:color="auto"/>
            </w:tcBorders>
            <w:shd w:val="clear" w:color="auto" w:fill="auto"/>
            <w:noWrap/>
            <w:vAlign w:val="center"/>
          </w:tcPr>
          <w:p w14:paraId="3C34964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进口</w:t>
            </w:r>
          </w:p>
        </w:tc>
        <w:tc>
          <w:tcPr>
            <w:tcW w:w="616" w:type="pct"/>
            <w:tcBorders>
              <w:top w:val="nil"/>
              <w:left w:val="nil"/>
              <w:bottom w:val="single" w:sz="4" w:space="0" w:color="auto"/>
              <w:right w:val="single" w:sz="4" w:space="0" w:color="auto"/>
            </w:tcBorders>
            <w:shd w:val="clear" w:color="auto" w:fill="auto"/>
            <w:noWrap/>
            <w:vAlign w:val="center"/>
          </w:tcPr>
          <w:p w14:paraId="48769CE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1645350.28</w:t>
            </w:r>
          </w:p>
        </w:tc>
        <w:tc>
          <w:tcPr>
            <w:tcW w:w="589" w:type="pct"/>
            <w:tcBorders>
              <w:top w:val="nil"/>
              <w:left w:val="nil"/>
              <w:bottom w:val="single" w:sz="4" w:space="0" w:color="auto"/>
              <w:right w:val="single" w:sz="4" w:space="0" w:color="auto"/>
            </w:tcBorders>
            <w:shd w:val="clear" w:color="auto" w:fill="auto"/>
            <w:noWrap/>
            <w:vAlign w:val="center"/>
          </w:tcPr>
          <w:p w14:paraId="096D313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60233 </w:t>
            </w:r>
          </w:p>
        </w:tc>
        <w:tc>
          <w:tcPr>
            <w:tcW w:w="520" w:type="pct"/>
            <w:tcBorders>
              <w:top w:val="nil"/>
              <w:left w:val="nil"/>
              <w:bottom w:val="single" w:sz="4" w:space="0" w:color="auto"/>
              <w:right w:val="single" w:sz="4" w:space="0" w:color="auto"/>
            </w:tcBorders>
            <w:shd w:val="clear" w:color="auto" w:fill="auto"/>
            <w:noWrap/>
            <w:vAlign w:val="center"/>
          </w:tcPr>
          <w:p w14:paraId="3D05DDC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9996.33 </w:t>
            </w:r>
          </w:p>
        </w:tc>
        <w:tc>
          <w:tcPr>
            <w:tcW w:w="605" w:type="pct"/>
            <w:tcBorders>
              <w:top w:val="nil"/>
              <w:left w:val="nil"/>
              <w:bottom w:val="single" w:sz="4" w:space="0" w:color="auto"/>
              <w:right w:val="single" w:sz="4" w:space="0" w:color="auto"/>
            </w:tcBorders>
            <w:shd w:val="clear" w:color="auto" w:fill="auto"/>
            <w:noWrap/>
            <w:vAlign w:val="center"/>
          </w:tcPr>
          <w:p w14:paraId="2519EA1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86.7 </w:t>
            </w:r>
          </w:p>
        </w:tc>
        <w:tc>
          <w:tcPr>
            <w:tcW w:w="701" w:type="pct"/>
            <w:tcBorders>
              <w:top w:val="nil"/>
              <w:left w:val="nil"/>
              <w:bottom w:val="single" w:sz="4" w:space="0" w:color="auto"/>
              <w:right w:val="single" w:sz="4" w:space="0" w:color="auto"/>
            </w:tcBorders>
            <w:shd w:val="clear" w:color="auto" w:fill="auto"/>
            <w:noWrap/>
            <w:vAlign w:val="center"/>
          </w:tcPr>
          <w:p w14:paraId="6E375E0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111.2 </w:t>
            </w:r>
          </w:p>
        </w:tc>
        <w:tc>
          <w:tcPr>
            <w:tcW w:w="593" w:type="pct"/>
            <w:tcBorders>
              <w:top w:val="nil"/>
              <w:left w:val="nil"/>
              <w:bottom w:val="single" w:sz="4" w:space="0" w:color="auto"/>
              <w:right w:val="single" w:sz="4" w:space="0" w:color="auto"/>
            </w:tcBorders>
            <w:shd w:val="clear" w:color="auto" w:fill="auto"/>
            <w:noWrap/>
            <w:vAlign w:val="center"/>
          </w:tcPr>
          <w:p w14:paraId="5D1F50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4.9 </w:t>
            </w:r>
          </w:p>
        </w:tc>
      </w:tr>
      <w:tr w:rsidR="002133E3" w14:paraId="3548970E"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731031F4"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4F59460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出口</w:t>
            </w:r>
          </w:p>
        </w:tc>
        <w:tc>
          <w:tcPr>
            <w:tcW w:w="616" w:type="pct"/>
            <w:tcBorders>
              <w:top w:val="nil"/>
              <w:left w:val="nil"/>
              <w:bottom w:val="single" w:sz="4" w:space="0" w:color="auto"/>
              <w:right w:val="single" w:sz="4" w:space="0" w:color="auto"/>
            </w:tcBorders>
            <w:shd w:val="clear" w:color="auto" w:fill="auto"/>
            <w:noWrap/>
            <w:vAlign w:val="center"/>
          </w:tcPr>
          <w:p w14:paraId="2EDFE25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1645350.28</w:t>
            </w:r>
          </w:p>
        </w:tc>
        <w:tc>
          <w:tcPr>
            <w:tcW w:w="589" w:type="pct"/>
            <w:tcBorders>
              <w:top w:val="nil"/>
              <w:left w:val="nil"/>
              <w:bottom w:val="single" w:sz="4" w:space="0" w:color="auto"/>
              <w:right w:val="single" w:sz="4" w:space="0" w:color="auto"/>
            </w:tcBorders>
            <w:shd w:val="clear" w:color="auto" w:fill="auto"/>
            <w:noWrap/>
            <w:vAlign w:val="center"/>
          </w:tcPr>
          <w:p w14:paraId="5DFB0A1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60233 </w:t>
            </w:r>
          </w:p>
        </w:tc>
        <w:tc>
          <w:tcPr>
            <w:tcW w:w="520" w:type="pct"/>
            <w:tcBorders>
              <w:top w:val="nil"/>
              <w:left w:val="nil"/>
              <w:bottom w:val="single" w:sz="4" w:space="0" w:color="auto"/>
              <w:right w:val="single" w:sz="4" w:space="0" w:color="auto"/>
            </w:tcBorders>
            <w:shd w:val="clear" w:color="auto" w:fill="auto"/>
            <w:noWrap/>
            <w:vAlign w:val="center"/>
          </w:tcPr>
          <w:p w14:paraId="02BF9A3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8997 </w:t>
            </w:r>
          </w:p>
        </w:tc>
        <w:tc>
          <w:tcPr>
            <w:tcW w:w="605" w:type="pct"/>
            <w:tcBorders>
              <w:top w:val="nil"/>
              <w:left w:val="nil"/>
              <w:bottom w:val="single" w:sz="4" w:space="0" w:color="auto"/>
              <w:right w:val="single" w:sz="4" w:space="0" w:color="auto"/>
            </w:tcBorders>
            <w:shd w:val="clear" w:color="auto" w:fill="auto"/>
            <w:noWrap/>
            <w:vAlign w:val="center"/>
          </w:tcPr>
          <w:p w14:paraId="0B8C9CE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86.7 </w:t>
            </w:r>
          </w:p>
        </w:tc>
        <w:tc>
          <w:tcPr>
            <w:tcW w:w="701" w:type="pct"/>
            <w:tcBorders>
              <w:top w:val="nil"/>
              <w:left w:val="nil"/>
              <w:bottom w:val="single" w:sz="4" w:space="0" w:color="auto"/>
              <w:right w:val="single" w:sz="4" w:space="0" w:color="auto"/>
            </w:tcBorders>
            <w:shd w:val="clear" w:color="auto" w:fill="auto"/>
            <w:noWrap/>
            <w:vAlign w:val="center"/>
          </w:tcPr>
          <w:p w14:paraId="2C6C311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111.2 </w:t>
            </w:r>
          </w:p>
        </w:tc>
        <w:tc>
          <w:tcPr>
            <w:tcW w:w="593" w:type="pct"/>
            <w:tcBorders>
              <w:top w:val="nil"/>
              <w:left w:val="nil"/>
              <w:bottom w:val="single" w:sz="4" w:space="0" w:color="auto"/>
              <w:right w:val="single" w:sz="4" w:space="0" w:color="auto"/>
            </w:tcBorders>
            <w:shd w:val="clear" w:color="auto" w:fill="auto"/>
            <w:noWrap/>
            <w:vAlign w:val="center"/>
          </w:tcPr>
          <w:p w14:paraId="4DA45B1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4.9 </w:t>
            </w:r>
          </w:p>
        </w:tc>
      </w:tr>
      <w:tr w:rsidR="002133E3" w14:paraId="371AD6D8"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3CD7CDB3"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3DFB2F2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684CF74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6BB7789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520" w:type="pct"/>
            <w:tcBorders>
              <w:top w:val="nil"/>
              <w:left w:val="nil"/>
              <w:bottom w:val="single" w:sz="4" w:space="0" w:color="auto"/>
              <w:right w:val="single" w:sz="4" w:space="0" w:color="auto"/>
            </w:tcBorders>
            <w:shd w:val="clear" w:color="auto" w:fill="auto"/>
            <w:noWrap/>
            <w:vAlign w:val="center"/>
          </w:tcPr>
          <w:p w14:paraId="789B421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10.00%</w:t>
            </w:r>
          </w:p>
        </w:tc>
        <w:tc>
          <w:tcPr>
            <w:tcW w:w="605" w:type="pct"/>
            <w:tcBorders>
              <w:top w:val="nil"/>
              <w:left w:val="nil"/>
              <w:bottom w:val="single" w:sz="4" w:space="0" w:color="auto"/>
              <w:right w:val="single" w:sz="4" w:space="0" w:color="auto"/>
            </w:tcBorders>
            <w:shd w:val="clear" w:color="auto" w:fill="auto"/>
            <w:noWrap/>
            <w:vAlign w:val="center"/>
          </w:tcPr>
          <w:p w14:paraId="7742DCB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701" w:type="pct"/>
            <w:tcBorders>
              <w:top w:val="nil"/>
              <w:left w:val="nil"/>
              <w:bottom w:val="single" w:sz="4" w:space="0" w:color="auto"/>
              <w:right w:val="single" w:sz="4" w:space="0" w:color="auto"/>
            </w:tcBorders>
            <w:shd w:val="clear" w:color="auto" w:fill="auto"/>
            <w:noWrap/>
            <w:vAlign w:val="center"/>
          </w:tcPr>
          <w:p w14:paraId="5B19740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593" w:type="pct"/>
            <w:tcBorders>
              <w:top w:val="nil"/>
              <w:left w:val="nil"/>
              <w:bottom w:val="single" w:sz="4" w:space="0" w:color="auto"/>
              <w:right w:val="single" w:sz="4" w:space="0" w:color="auto"/>
            </w:tcBorders>
            <w:shd w:val="clear" w:color="auto" w:fill="auto"/>
            <w:noWrap/>
            <w:vAlign w:val="center"/>
          </w:tcPr>
          <w:p w14:paraId="7A840E0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r>
      <w:tr w:rsidR="002133E3" w14:paraId="4A1B0EBD" w14:textId="77777777">
        <w:trPr>
          <w:trHeight w:val="270"/>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1BB0EE3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厌氧</w:t>
            </w:r>
          </w:p>
        </w:tc>
        <w:tc>
          <w:tcPr>
            <w:tcW w:w="838" w:type="pct"/>
            <w:tcBorders>
              <w:top w:val="nil"/>
              <w:left w:val="nil"/>
              <w:bottom w:val="single" w:sz="4" w:space="0" w:color="auto"/>
              <w:right w:val="single" w:sz="4" w:space="0" w:color="auto"/>
            </w:tcBorders>
            <w:shd w:val="clear" w:color="auto" w:fill="auto"/>
            <w:noWrap/>
            <w:vAlign w:val="center"/>
          </w:tcPr>
          <w:p w14:paraId="6DAF945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进口</w:t>
            </w:r>
          </w:p>
        </w:tc>
        <w:tc>
          <w:tcPr>
            <w:tcW w:w="616" w:type="pct"/>
            <w:tcBorders>
              <w:top w:val="nil"/>
              <w:left w:val="nil"/>
              <w:bottom w:val="single" w:sz="4" w:space="0" w:color="auto"/>
              <w:right w:val="single" w:sz="4" w:space="0" w:color="auto"/>
            </w:tcBorders>
            <w:shd w:val="clear" w:color="auto" w:fill="auto"/>
            <w:noWrap/>
            <w:vAlign w:val="center"/>
          </w:tcPr>
          <w:p w14:paraId="03DA97B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1645350.28</w:t>
            </w:r>
          </w:p>
        </w:tc>
        <w:tc>
          <w:tcPr>
            <w:tcW w:w="589" w:type="pct"/>
            <w:tcBorders>
              <w:top w:val="nil"/>
              <w:left w:val="nil"/>
              <w:bottom w:val="single" w:sz="4" w:space="0" w:color="auto"/>
              <w:right w:val="single" w:sz="4" w:space="0" w:color="auto"/>
            </w:tcBorders>
            <w:shd w:val="clear" w:color="auto" w:fill="auto"/>
            <w:noWrap/>
            <w:vAlign w:val="center"/>
          </w:tcPr>
          <w:p w14:paraId="73FAED5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60233 </w:t>
            </w:r>
          </w:p>
        </w:tc>
        <w:tc>
          <w:tcPr>
            <w:tcW w:w="520" w:type="pct"/>
            <w:tcBorders>
              <w:top w:val="nil"/>
              <w:left w:val="nil"/>
              <w:bottom w:val="single" w:sz="4" w:space="0" w:color="auto"/>
              <w:right w:val="single" w:sz="4" w:space="0" w:color="auto"/>
            </w:tcBorders>
            <w:shd w:val="clear" w:color="auto" w:fill="auto"/>
            <w:noWrap/>
            <w:vAlign w:val="center"/>
          </w:tcPr>
          <w:p w14:paraId="7C6F323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8997 </w:t>
            </w:r>
          </w:p>
        </w:tc>
        <w:tc>
          <w:tcPr>
            <w:tcW w:w="605" w:type="pct"/>
            <w:tcBorders>
              <w:top w:val="nil"/>
              <w:left w:val="nil"/>
              <w:bottom w:val="single" w:sz="4" w:space="0" w:color="auto"/>
              <w:right w:val="single" w:sz="4" w:space="0" w:color="auto"/>
            </w:tcBorders>
            <w:shd w:val="clear" w:color="auto" w:fill="auto"/>
            <w:noWrap/>
            <w:vAlign w:val="center"/>
          </w:tcPr>
          <w:p w14:paraId="50E6302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87 </w:t>
            </w:r>
          </w:p>
        </w:tc>
        <w:tc>
          <w:tcPr>
            <w:tcW w:w="701" w:type="pct"/>
            <w:tcBorders>
              <w:top w:val="nil"/>
              <w:left w:val="nil"/>
              <w:bottom w:val="single" w:sz="4" w:space="0" w:color="auto"/>
              <w:right w:val="single" w:sz="4" w:space="0" w:color="auto"/>
            </w:tcBorders>
            <w:shd w:val="clear" w:color="auto" w:fill="auto"/>
            <w:noWrap/>
            <w:vAlign w:val="center"/>
          </w:tcPr>
          <w:p w14:paraId="29D1858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111 </w:t>
            </w:r>
          </w:p>
        </w:tc>
        <w:tc>
          <w:tcPr>
            <w:tcW w:w="593" w:type="pct"/>
            <w:tcBorders>
              <w:top w:val="nil"/>
              <w:left w:val="nil"/>
              <w:bottom w:val="single" w:sz="4" w:space="0" w:color="auto"/>
              <w:right w:val="single" w:sz="4" w:space="0" w:color="auto"/>
            </w:tcBorders>
            <w:shd w:val="clear" w:color="auto" w:fill="auto"/>
            <w:noWrap/>
            <w:vAlign w:val="center"/>
          </w:tcPr>
          <w:p w14:paraId="65FD866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4.9 </w:t>
            </w:r>
          </w:p>
        </w:tc>
      </w:tr>
      <w:tr w:rsidR="002133E3" w14:paraId="77FEB36E"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0B114E44" w14:textId="77777777" w:rsidR="002133E3" w:rsidRDefault="002133E3">
            <w:pPr>
              <w:widowControl/>
              <w:jc w:val="left"/>
              <w:rPr>
                <w:rFonts w:ascii="Times New Roman" w:eastAsia="宋体"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31F445D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出口</w:t>
            </w:r>
          </w:p>
        </w:tc>
        <w:tc>
          <w:tcPr>
            <w:tcW w:w="616" w:type="pct"/>
            <w:tcBorders>
              <w:top w:val="nil"/>
              <w:left w:val="nil"/>
              <w:bottom w:val="single" w:sz="4" w:space="0" w:color="auto"/>
              <w:right w:val="single" w:sz="4" w:space="0" w:color="auto"/>
            </w:tcBorders>
            <w:shd w:val="clear" w:color="auto" w:fill="auto"/>
            <w:noWrap/>
            <w:vAlign w:val="center"/>
          </w:tcPr>
          <w:p w14:paraId="0329343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1645350.28</w:t>
            </w:r>
          </w:p>
        </w:tc>
        <w:tc>
          <w:tcPr>
            <w:tcW w:w="589" w:type="pct"/>
            <w:tcBorders>
              <w:top w:val="nil"/>
              <w:left w:val="nil"/>
              <w:bottom w:val="single" w:sz="4" w:space="0" w:color="auto"/>
              <w:right w:val="single" w:sz="4" w:space="0" w:color="auto"/>
            </w:tcBorders>
            <w:shd w:val="clear" w:color="auto" w:fill="auto"/>
            <w:noWrap/>
            <w:vAlign w:val="center"/>
          </w:tcPr>
          <w:p w14:paraId="5EC4B7E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3614 </w:t>
            </w:r>
          </w:p>
        </w:tc>
        <w:tc>
          <w:tcPr>
            <w:tcW w:w="520" w:type="pct"/>
            <w:tcBorders>
              <w:top w:val="nil"/>
              <w:left w:val="nil"/>
              <w:bottom w:val="single" w:sz="4" w:space="0" w:color="auto"/>
              <w:right w:val="single" w:sz="4" w:space="0" w:color="auto"/>
            </w:tcBorders>
            <w:shd w:val="clear" w:color="auto" w:fill="auto"/>
            <w:noWrap/>
            <w:vAlign w:val="center"/>
          </w:tcPr>
          <w:p w14:paraId="3BD12E2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3959 </w:t>
            </w:r>
          </w:p>
        </w:tc>
        <w:tc>
          <w:tcPr>
            <w:tcW w:w="605" w:type="pct"/>
            <w:tcBorders>
              <w:top w:val="nil"/>
              <w:left w:val="nil"/>
              <w:bottom w:val="single" w:sz="4" w:space="0" w:color="auto"/>
              <w:right w:val="single" w:sz="4" w:space="0" w:color="auto"/>
            </w:tcBorders>
            <w:shd w:val="clear" w:color="auto" w:fill="auto"/>
            <w:noWrap/>
            <w:vAlign w:val="center"/>
          </w:tcPr>
          <w:p w14:paraId="62E3A4D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87 </w:t>
            </w:r>
          </w:p>
        </w:tc>
        <w:tc>
          <w:tcPr>
            <w:tcW w:w="701" w:type="pct"/>
            <w:tcBorders>
              <w:top w:val="nil"/>
              <w:left w:val="nil"/>
              <w:bottom w:val="single" w:sz="4" w:space="0" w:color="auto"/>
              <w:right w:val="single" w:sz="4" w:space="0" w:color="auto"/>
            </w:tcBorders>
            <w:shd w:val="clear" w:color="auto" w:fill="auto"/>
            <w:noWrap/>
            <w:vAlign w:val="center"/>
          </w:tcPr>
          <w:p w14:paraId="5236D74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111 </w:t>
            </w:r>
          </w:p>
        </w:tc>
        <w:tc>
          <w:tcPr>
            <w:tcW w:w="593" w:type="pct"/>
            <w:tcBorders>
              <w:top w:val="nil"/>
              <w:left w:val="nil"/>
              <w:bottom w:val="single" w:sz="4" w:space="0" w:color="auto"/>
              <w:right w:val="single" w:sz="4" w:space="0" w:color="auto"/>
            </w:tcBorders>
            <w:shd w:val="clear" w:color="auto" w:fill="auto"/>
            <w:noWrap/>
            <w:vAlign w:val="center"/>
          </w:tcPr>
          <w:p w14:paraId="1CEE2B4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4.9 </w:t>
            </w:r>
          </w:p>
        </w:tc>
      </w:tr>
      <w:tr w:rsidR="002133E3" w14:paraId="197A6430"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01367A1A" w14:textId="77777777" w:rsidR="002133E3" w:rsidRDefault="002133E3">
            <w:pPr>
              <w:widowControl/>
              <w:jc w:val="left"/>
              <w:rPr>
                <w:rFonts w:ascii="Times New Roman" w:eastAsia="宋体"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21F6E3B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178B3DD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53CF92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94.00%</w:t>
            </w:r>
          </w:p>
        </w:tc>
        <w:tc>
          <w:tcPr>
            <w:tcW w:w="520" w:type="pct"/>
            <w:tcBorders>
              <w:top w:val="nil"/>
              <w:left w:val="nil"/>
              <w:bottom w:val="single" w:sz="4" w:space="0" w:color="auto"/>
              <w:right w:val="single" w:sz="4" w:space="0" w:color="auto"/>
            </w:tcBorders>
            <w:shd w:val="clear" w:color="auto" w:fill="auto"/>
            <w:noWrap/>
            <w:vAlign w:val="center"/>
          </w:tcPr>
          <w:p w14:paraId="5D275AE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56.00%</w:t>
            </w:r>
          </w:p>
        </w:tc>
        <w:tc>
          <w:tcPr>
            <w:tcW w:w="605" w:type="pct"/>
            <w:tcBorders>
              <w:top w:val="nil"/>
              <w:left w:val="nil"/>
              <w:bottom w:val="single" w:sz="4" w:space="0" w:color="auto"/>
              <w:right w:val="single" w:sz="4" w:space="0" w:color="auto"/>
            </w:tcBorders>
            <w:shd w:val="clear" w:color="auto" w:fill="auto"/>
            <w:noWrap/>
            <w:vAlign w:val="center"/>
          </w:tcPr>
          <w:p w14:paraId="49D6C82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701" w:type="pct"/>
            <w:tcBorders>
              <w:top w:val="nil"/>
              <w:left w:val="nil"/>
              <w:bottom w:val="single" w:sz="4" w:space="0" w:color="auto"/>
              <w:right w:val="single" w:sz="4" w:space="0" w:color="auto"/>
            </w:tcBorders>
            <w:shd w:val="clear" w:color="auto" w:fill="auto"/>
            <w:noWrap/>
            <w:vAlign w:val="center"/>
          </w:tcPr>
          <w:p w14:paraId="4FC851A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593" w:type="pct"/>
            <w:tcBorders>
              <w:top w:val="nil"/>
              <w:left w:val="nil"/>
              <w:bottom w:val="single" w:sz="4" w:space="0" w:color="auto"/>
              <w:right w:val="single" w:sz="4" w:space="0" w:color="auto"/>
            </w:tcBorders>
            <w:shd w:val="clear" w:color="auto" w:fill="auto"/>
            <w:noWrap/>
            <w:vAlign w:val="center"/>
          </w:tcPr>
          <w:p w14:paraId="52F198A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r>
      <w:tr w:rsidR="002133E3" w14:paraId="65D29E35" w14:textId="77777777">
        <w:trPr>
          <w:trHeight w:val="270"/>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0762424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lastRenderedPageBreak/>
              <w:t>气浮</w:t>
            </w:r>
          </w:p>
        </w:tc>
        <w:tc>
          <w:tcPr>
            <w:tcW w:w="838" w:type="pct"/>
            <w:tcBorders>
              <w:top w:val="nil"/>
              <w:left w:val="nil"/>
              <w:bottom w:val="single" w:sz="4" w:space="0" w:color="auto"/>
              <w:right w:val="single" w:sz="4" w:space="0" w:color="auto"/>
            </w:tcBorders>
            <w:shd w:val="clear" w:color="auto" w:fill="auto"/>
            <w:noWrap/>
            <w:vAlign w:val="center"/>
          </w:tcPr>
          <w:p w14:paraId="5F958A8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进口</w:t>
            </w:r>
          </w:p>
        </w:tc>
        <w:tc>
          <w:tcPr>
            <w:tcW w:w="616" w:type="pct"/>
            <w:tcBorders>
              <w:top w:val="nil"/>
              <w:left w:val="nil"/>
              <w:bottom w:val="single" w:sz="4" w:space="0" w:color="auto"/>
              <w:right w:val="single" w:sz="4" w:space="0" w:color="auto"/>
            </w:tcBorders>
            <w:shd w:val="clear" w:color="auto" w:fill="auto"/>
            <w:noWrap/>
            <w:vAlign w:val="center"/>
          </w:tcPr>
          <w:p w14:paraId="06EFB2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1645350.28</w:t>
            </w:r>
          </w:p>
        </w:tc>
        <w:tc>
          <w:tcPr>
            <w:tcW w:w="589" w:type="pct"/>
            <w:tcBorders>
              <w:top w:val="nil"/>
              <w:left w:val="nil"/>
              <w:bottom w:val="single" w:sz="4" w:space="0" w:color="auto"/>
              <w:right w:val="single" w:sz="4" w:space="0" w:color="auto"/>
            </w:tcBorders>
            <w:shd w:val="clear" w:color="auto" w:fill="auto"/>
            <w:noWrap/>
            <w:vAlign w:val="center"/>
          </w:tcPr>
          <w:p w14:paraId="34B0518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3614.0 </w:t>
            </w:r>
          </w:p>
        </w:tc>
        <w:tc>
          <w:tcPr>
            <w:tcW w:w="520" w:type="pct"/>
            <w:tcBorders>
              <w:top w:val="nil"/>
              <w:left w:val="nil"/>
              <w:bottom w:val="single" w:sz="4" w:space="0" w:color="auto"/>
              <w:right w:val="single" w:sz="4" w:space="0" w:color="auto"/>
            </w:tcBorders>
            <w:shd w:val="clear" w:color="auto" w:fill="auto"/>
            <w:noWrap/>
            <w:vAlign w:val="center"/>
          </w:tcPr>
          <w:p w14:paraId="6B3414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3958.5 </w:t>
            </w:r>
          </w:p>
        </w:tc>
        <w:tc>
          <w:tcPr>
            <w:tcW w:w="605" w:type="pct"/>
            <w:tcBorders>
              <w:top w:val="nil"/>
              <w:left w:val="nil"/>
              <w:bottom w:val="single" w:sz="4" w:space="0" w:color="auto"/>
              <w:right w:val="single" w:sz="4" w:space="0" w:color="auto"/>
            </w:tcBorders>
            <w:shd w:val="clear" w:color="auto" w:fill="auto"/>
            <w:noWrap/>
            <w:vAlign w:val="center"/>
          </w:tcPr>
          <w:p w14:paraId="481128F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86.7 </w:t>
            </w:r>
          </w:p>
        </w:tc>
        <w:tc>
          <w:tcPr>
            <w:tcW w:w="701" w:type="pct"/>
            <w:tcBorders>
              <w:top w:val="nil"/>
              <w:left w:val="nil"/>
              <w:bottom w:val="single" w:sz="4" w:space="0" w:color="auto"/>
              <w:right w:val="single" w:sz="4" w:space="0" w:color="auto"/>
            </w:tcBorders>
            <w:shd w:val="clear" w:color="auto" w:fill="auto"/>
            <w:noWrap/>
            <w:vAlign w:val="center"/>
          </w:tcPr>
          <w:p w14:paraId="555C8A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111.2 </w:t>
            </w:r>
          </w:p>
        </w:tc>
        <w:tc>
          <w:tcPr>
            <w:tcW w:w="593" w:type="pct"/>
            <w:tcBorders>
              <w:top w:val="nil"/>
              <w:left w:val="nil"/>
              <w:bottom w:val="single" w:sz="4" w:space="0" w:color="auto"/>
              <w:right w:val="single" w:sz="4" w:space="0" w:color="auto"/>
            </w:tcBorders>
            <w:shd w:val="clear" w:color="auto" w:fill="auto"/>
            <w:noWrap/>
            <w:vAlign w:val="center"/>
          </w:tcPr>
          <w:p w14:paraId="5A395DD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4.9 </w:t>
            </w:r>
          </w:p>
        </w:tc>
      </w:tr>
      <w:tr w:rsidR="002133E3" w14:paraId="08B0A7F3"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5C0C3690"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5B960DF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出口</w:t>
            </w:r>
          </w:p>
        </w:tc>
        <w:tc>
          <w:tcPr>
            <w:tcW w:w="616" w:type="pct"/>
            <w:tcBorders>
              <w:top w:val="nil"/>
              <w:left w:val="nil"/>
              <w:bottom w:val="single" w:sz="4" w:space="0" w:color="auto"/>
              <w:right w:val="single" w:sz="4" w:space="0" w:color="auto"/>
            </w:tcBorders>
            <w:shd w:val="clear" w:color="auto" w:fill="auto"/>
            <w:noWrap/>
            <w:vAlign w:val="center"/>
          </w:tcPr>
          <w:p w14:paraId="26A202B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1645350.28</w:t>
            </w:r>
          </w:p>
        </w:tc>
        <w:tc>
          <w:tcPr>
            <w:tcW w:w="589" w:type="pct"/>
            <w:tcBorders>
              <w:top w:val="nil"/>
              <w:left w:val="nil"/>
              <w:bottom w:val="single" w:sz="4" w:space="0" w:color="auto"/>
              <w:right w:val="single" w:sz="4" w:space="0" w:color="auto"/>
            </w:tcBorders>
            <w:shd w:val="clear" w:color="auto" w:fill="auto"/>
            <w:noWrap/>
            <w:vAlign w:val="center"/>
          </w:tcPr>
          <w:p w14:paraId="304FCFD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1120.3 </w:t>
            </w:r>
          </w:p>
        </w:tc>
        <w:tc>
          <w:tcPr>
            <w:tcW w:w="520" w:type="pct"/>
            <w:tcBorders>
              <w:top w:val="nil"/>
              <w:left w:val="nil"/>
              <w:bottom w:val="single" w:sz="4" w:space="0" w:color="auto"/>
              <w:right w:val="single" w:sz="4" w:space="0" w:color="auto"/>
            </w:tcBorders>
            <w:shd w:val="clear" w:color="auto" w:fill="auto"/>
            <w:noWrap/>
            <w:vAlign w:val="center"/>
          </w:tcPr>
          <w:p w14:paraId="00E6753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1979.3 </w:t>
            </w:r>
          </w:p>
        </w:tc>
        <w:tc>
          <w:tcPr>
            <w:tcW w:w="605" w:type="pct"/>
            <w:tcBorders>
              <w:top w:val="nil"/>
              <w:left w:val="nil"/>
              <w:bottom w:val="single" w:sz="4" w:space="0" w:color="auto"/>
              <w:right w:val="single" w:sz="4" w:space="0" w:color="auto"/>
            </w:tcBorders>
            <w:shd w:val="clear" w:color="auto" w:fill="auto"/>
            <w:noWrap/>
            <w:vAlign w:val="center"/>
          </w:tcPr>
          <w:p w14:paraId="242C1C6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86.7 </w:t>
            </w:r>
          </w:p>
        </w:tc>
        <w:tc>
          <w:tcPr>
            <w:tcW w:w="701" w:type="pct"/>
            <w:tcBorders>
              <w:top w:val="nil"/>
              <w:left w:val="nil"/>
              <w:bottom w:val="single" w:sz="4" w:space="0" w:color="auto"/>
              <w:right w:val="single" w:sz="4" w:space="0" w:color="auto"/>
            </w:tcBorders>
            <w:shd w:val="clear" w:color="auto" w:fill="auto"/>
            <w:noWrap/>
            <w:vAlign w:val="center"/>
          </w:tcPr>
          <w:p w14:paraId="4B4A1ED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89.0 </w:t>
            </w:r>
          </w:p>
        </w:tc>
        <w:tc>
          <w:tcPr>
            <w:tcW w:w="593" w:type="pct"/>
            <w:tcBorders>
              <w:top w:val="nil"/>
              <w:left w:val="nil"/>
              <w:bottom w:val="single" w:sz="4" w:space="0" w:color="auto"/>
              <w:right w:val="single" w:sz="4" w:space="0" w:color="auto"/>
            </w:tcBorders>
            <w:shd w:val="clear" w:color="auto" w:fill="auto"/>
            <w:noWrap/>
            <w:vAlign w:val="center"/>
          </w:tcPr>
          <w:p w14:paraId="758EF74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4.4 </w:t>
            </w:r>
          </w:p>
        </w:tc>
      </w:tr>
      <w:tr w:rsidR="002133E3" w14:paraId="1BF75212"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7C27CA40"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1D86E33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5AC6EF5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1CD9F3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69.00%</w:t>
            </w:r>
          </w:p>
        </w:tc>
        <w:tc>
          <w:tcPr>
            <w:tcW w:w="520" w:type="pct"/>
            <w:tcBorders>
              <w:top w:val="nil"/>
              <w:left w:val="nil"/>
              <w:bottom w:val="single" w:sz="4" w:space="0" w:color="auto"/>
              <w:right w:val="single" w:sz="4" w:space="0" w:color="auto"/>
            </w:tcBorders>
            <w:shd w:val="clear" w:color="auto" w:fill="auto"/>
            <w:noWrap/>
            <w:vAlign w:val="center"/>
          </w:tcPr>
          <w:p w14:paraId="7052826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50.00%</w:t>
            </w:r>
          </w:p>
        </w:tc>
        <w:tc>
          <w:tcPr>
            <w:tcW w:w="605" w:type="pct"/>
            <w:tcBorders>
              <w:top w:val="nil"/>
              <w:left w:val="nil"/>
              <w:bottom w:val="single" w:sz="4" w:space="0" w:color="auto"/>
              <w:right w:val="single" w:sz="4" w:space="0" w:color="auto"/>
            </w:tcBorders>
            <w:shd w:val="clear" w:color="auto" w:fill="auto"/>
            <w:noWrap/>
            <w:vAlign w:val="center"/>
          </w:tcPr>
          <w:p w14:paraId="2862663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701" w:type="pct"/>
            <w:tcBorders>
              <w:top w:val="nil"/>
              <w:left w:val="nil"/>
              <w:bottom w:val="single" w:sz="4" w:space="0" w:color="auto"/>
              <w:right w:val="single" w:sz="4" w:space="0" w:color="auto"/>
            </w:tcBorders>
            <w:shd w:val="clear" w:color="auto" w:fill="auto"/>
            <w:noWrap/>
            <w:vAlign w:val="center"/>
          </w:tcPr>
          <w:p w14:paraId="61F824E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20.00%</w:t>
            </w:r>
          </w:p>
        </w:tc>
        <w:tc>
          <w:tcPr>
            <w:tcW w:w="593" w:type="pct"/>
            <w:tcBorders>
              <w:top w:val="nil"/>
              <w:left w:val="nil"/>
              <w:bottom w:val="single" w:sz="4" w:space="0" w:color="auto"/>
              <w:right w:val="single" w:sz="4" w:space="0" w:color="auto"/>
            </w:tcBorders>
            <w:shd w:val="clear" w:color="auto" w:fill="auto"/>
            <w:noWrap/>
            <w:vAlign w:val="center"/>
          </w:tcPr>
          <w:p w14:paraId="07AD3C8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10.00%</w:t>
            </w:r>
          </w:p>
        </w:tc>
      </w:tr>
      <w:tr w:rsidR="002133E3" w14:paraId="55139F1B" w14:textId="77777777">
        <w:trPr>
          <w:trHeight w:val="300"/>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7A14464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中间池</w:t>
            </w:r>
          </w:p>
        </w:tc>
        <w:tc>
          <w:tcPr>
            <w:tcW w:w="838" w:type="pct"/>
            <w:tcBorders>
              <w:top w:val="nil"/>
              <w:left w:val="nil"/>
              <w:bottom w:val="single" w:sz="4" w:space="0" w:color="auto"/>
              <w:right w:val="single" w:sz="4" w:space="0" w:color="auto"/>
            </w:tcBorders>
            <w:shd w:val="clear" w:color="auto" w:fill="auto"/>
            <w:noWrap/>
            <w:vAlign w:val="center"/>
          </w:tcPr>
          <w:p w14:paraId="76D894B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进口</w:t>
            </w:r>
          </w:p>
        </w:tc>
        <w:tc>
          <w:tcPr>
            <w:tcW w:w="616" w:type="pct"/>
            <w:tcBorders>
              <w:top w:val="nil"/>
              <w:left w:val="nil"/>
              <w:bottom w:val="single" w:sz="4" w:space="0" w:color="auto"/>
              <w:right w:val="single" w:sz="4" w:space="0" w:color="auto"/>
            </w:tcBorders>
            <w:shd w:val="clear" w:color="auto" w:fill="auto"/>
            <w:noWrap/>
            <w:vAlign w:val="center"/>
          </w:tcPr>
          <w:p w14:paraId="6DCE0D9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14ED37D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1576.0 </w:t>
            </w:r>
          </w:p>
        </w:tc>
        <w:tc>
          <w:tcPr>
            <w:tcW w:w="520" w:type="pct"/>
            <w:tcBorders>
              <w:top w:val="nil"/>
              <w:left w:val="nil"/>
              <w:bottom w:val="single" w:sz="4" w:space="0" w:color="auto"/>
              <w:right w:val="single" w:sz="4" w:space="0" w:color="auto"/>
            </w:tcBorders>
            <w:shd w:val="clear" w:color="auto" w:fill="auto"/>
            <w:noWrap/>
            <w:vAlign w:val="center"/>
          </w:tcPr>
          <w:p w14:paraId="6B84446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2773.2 </w:t>
            </w:r>
          </w:p>
        </w:tc>
        <w:tc>
          <w:tcPr>
            <w:tcW w:w="605" w:type="pct"/>
            <w:tcBorders>
              <w:top w:val="nil"/>
              <w:left w:val="nil"/>
              <w:bottom w:val="single" w:sz="4" w:space="0" w:color="auto"/>
              <w:right w:val="single" w:sz="4" w:space="0" w:color="auto"/>
            </w:tcBorders>
            <w:shd w:val="clear" w:color="auto" w:fill="auto"/>
            <w:noWrap/>
            <w:vAlign w:val="center"/>
          </w:tcPr>
          <w:p w14:paraId="4C4091E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86.7 </w:t>
            </w:r>
          </w:p>
        </w:tc>
        <w:tc>
          <w:tcPr>
            <w:tcW w:w="701" w:type="pct"/>
            <w:tcBorders>
              <w:top w:val="nil"/>
              <w:left w:val="nil"/>
              <w:bottom w:val="single" w:sz="4" w:space="0" w:color="auto"/>
              <w:right w:val="single" w:sz="4" w:space="0" w:color="auto"/>
            </w:tcBorders>
            <w:shd w:val="clear" w:color="auto" w:fill="auto"/>
            <w:noWrap/>
            <w:vAlign w:val="center"/>
          </w:tcPr>
          <w:p w14:paraId="6429781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89.0 </w:t>
            </w:r>
          </w:p>
        </w:tc>
        <w:tc>
          <w:tcPr>
            <w:tcW w:w="593" w:type="pct"/>
            <w:tcBorders>
              <w:top w:val="nil"/>
              <w:left w:val="nil"/>
              <w:bottom w:val="single" w:sz="4" w:space="0" w:color="auto"/>
              <w:right w:val="single" w:sz="4" w:space="0" w:color="auto"/>
            </w:tcBorders>
            <w:shd w:val="clear" w:color="auto" w:fill="auto"/>
            <w:noWrap/>
            <w:vAlign w:val="center"/>
          </w:tcPr>
          <w:p w14:paraId="25F2221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4.4 </w:t>
            </w:r>
          </w:p>
        </w:tc>
      </w:tr>
      <w:tr w:rsidR="002133E3" w14:paraId="03DD5CF3"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6CCBB037"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5D340CE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出口</w:t>
            </w:r>
          </w:p>
        </w:tc>
        <w:tc>
          <w:tcPr>
            <w:tcW w:w="616" w:type="pct"/>
            <w:tcBorders>
              <w:top w:val="nil"/>
              <w:left w:val="nil"/>
              <w:bottom w:val="single" w:sz="4" w:space="0" w:color="auto"/>
              <w:right w:val="single" w:sz="4" w:space="0" w:color="auto"/>
            </w:tcBorders>
            <w:shd w:val="clear" w:color="auto" w:fill="auto"/>
            <w:noWrap/>
            <w:vAlign w:val="center"/>
          </w:tcPr>
          <w:p w14:paraId="30E04C3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27D9BB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1576.0 </w:t>
            </w:r>
          </w:p>
        </w:tc>
        <w:tc>
          <w:tcPr>
            <w:tcW w:w="520" w:type="pct"/>
            <w:tcBorders>
              <w:top w:val="nil"/>
              <w:left w:val="nil"/>
              <w:bottom w:val="single" w:sz="4" w:space="0" w:color="auto"/>
              <w:right w:val="single" w:sz="4" w:space="0" w:color="auto"/>
            </w:tcBorders>
            <w:shd w:val="clear" w:color="auto" w:fill="auto"/>
            <w:noWrap/>
            <w:vAlign w:val="center"/>
          </w:tcPr>
          <w:p w14:paraId="66EF2A6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2773.2 </w:t>
            </w:r>
          </w:p>
        </w:tc>
        <w:tc>
          <w:tcPr>
            <w:tcW w:w="605" w:type="pct"/>
            <w:tcBorders>
              <w:top w:val="nil"/>
              <w:left w:val="nil"/>
              <w:bottom w:val="single" w:sz="4" w:space="0" w:color="auto"/>
              <w:right w:val="single" w:sz="4" w:space="0" w:color="auto"/>
            </w:tcBorders>
            <w:shd w:val="clear" w:color="auto" w:fill="auto"/>
            <w:noWrap/>
            <w:vAlign w:val="center"/>
          </w:tcPr>
          <w:p w14:paraId="0039B47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86.7 </w:t>
            </w:r>
          </w:p>
        </w:tc>
        <w:tc>
          <w:tcPr>
            <w:tcW w:w="701" w:type="pct"/>
            <w:tcBorders>
              <w:top w:val="nil"/>
              <w:left w:val="nil"/>
              <w:bottom w:val="single" w:sz="4" w:space="0" w:color="auto"/>
              <w:right w:val="single" w:sz="4" w:space="0" w:color="auto"/>
            </w:tcBorders>
            <w:shd w:val="clear" w:color="auto" w:fill="auto"/>
            <w:noWrap/>
            <w:vAlign w:val="center"/>
          </w:tcPr>
          <w:p w14:paraId="40CC076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89.0 </w:t>
            </w:r>
          </w:p>
        </w:tc>
        <w:tc>
          <w:tcPr>
            <w:tcW w:w="593" w:type="pct"/>
            <w:tcBorders>
              <w:top w:val="nil"/>
              <w:left w:val="nil"/>
              <w:bottom w:val="single" w:sz="4" w:space="0" w:color="auto"/>
              <w:right w:val="single" w:sz="4" w:space="0" w:color="auto"/>
            </w:tcBorders>
            <w:shd w:val="clear" w:color="auto" w:fill="auto"/>
            <w:noWrap/>
            <w:vAlign w:val="center"/>
          </w:tcPr>
          <w:p w14:paraId="6E45B92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4.4 </w:t>
            </w:r>
          </w:p>
        </w:tc>
      </w:tr>
      <w:tr w:rsidR="002133E3" w14:paraId="6FCEBAF2"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5E437DEA"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5E42573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3218D7A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7E17345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520" w:type="pct"/>
            <w:tcBorders>
              <w:top w:val="nil"/>
              <w:left w:val="nil"/>
              <w:bottom w:val="single" w:sz="4" w:space="0" w:color="auto"/>
              <w:right w:val="single" w:sz="4" w:space="0" w:color="auto"/>
            </w:tcBorders>
            <w:shd w:val="clear" w:color="auto" w:fill="auto"/>
            <w:noWrap/>
            <w:vAlign w:val="center"/>
          </w:tcPr>
          <w:p w14:paraId="5B3F7FF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605" w:type="pct"/>
            <w:tcBorders>
              <w:top w:val="nil"/>
              <w:left w:val="nil"/>
              <w:bottom w:val="single" w:sz="4" w:space="0" w:color="auto"/>
              <w:right w:val="single" w:sz="4" w:space="0" w:color="auto"/>
            </w:tcBorders>
            <w:shd w:val="clear" w:color="auto" w:fill="auto"/>
            <w:noWrap/>
            <w:vAlign w:val="center"/>
          </w:tcPr>
          <w:p w14:paraId="2E1CED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701" w:type="pct"/>
            <w:tcBorders>
              <w:top w:val="nil"/>
              <w:left w:val="nil"/>
              <w:bottom w:val="single" w:sz="4" w:space="0" w:color="auto"/>
              <w:right w:val="single" w:sz="4" w:space="0" w:color="auto"/>
            </w:tcBorders>
            <w:shd w:val="clear" w:color="auto" w:fill="auto"/>
            <w:noWrap/>
            <w:vAlign w:val="center"/>
          </w:tcPr>
          <w:p w14:paraId="26D1939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c>
          <w:tcPr>
            <w:tcW w:w="593" w:type="pct"/>
            <w:tcBorders>
              <w:top w:val="nil"/>
              <w:left w:val="nil"/>
              <w:bottom w:val="single" w:sz="4" w:space="0" w:color="auto"/>
              <w:right w:val="single" w:sz="4" w:space="0" w:color="auto"/>
            </w:tcBorders>
            <w:shd w:val="clear" w:color="auto" w:fill="auto"/>
            <w:noWrap/>
            <w:vAlign w:val="center"/>
          </w:tcPr>
          <w:p w14:paraId="5116B94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　</w:t>
            </w:r>
          </w:p>
        </w:tc>
      </w:tr>
      <w:tr w:rsidR="002133E3" w14:paraId="0FEF1379" w14:textId="77777777">
        <w:trPr>
          <w:trHeight w:val="270"/>
        </w:trPr>
        <w:tc>
          <w:tcPr>
            <w:tcW w:w="538" w:type="pct"/>
            <w:vMerge w:val="restart"/>
            <w:tcBorders>
              <w:top w:val="nil"/>
              <w:left w:val="single" w:sz="4" w:space="0" w:color="auto"/>
              <w:bottom w:val="single" w:sz="4" w:space="0" w:color="auto"/>
              <w:right w:val="single" w:sz="4" w:space="0" w:color="auto"/>
            </w:tcBorders>
            <w:shd w:val="clear" w:color="auto" w:fill="auto"/>
            <w:vAlign w:val="center"/>
          </w:tcPr>
          <w:p w14:paraId="68E6D42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生化</w:t>
            </w:r>
            <w:r>
              <w:rPr>
                <w:rFonts w:ascii="Times New Roman" w:eastAsia="等线" w:hAnsi="Times New Roman" w:cs="Times New Roman"/>
                <w:color w:val="000000"/>
                <w:kern w:val="0"/>
                <w:szCs w:val="21"/>
              </w:rPr>
              <w:t>A</w:t>
            </w:r>
            <w:r>
              <w:rPr>
                <w:rFonts w:ascii="Times New Roman" w:eastAsia="宋体" w:hAnsi="Times New Roman" w:cs="Times New Roman"/>
                <w:color w:val="000000"/>
                <w:kern w:val="0"/>
                <w:szCs w:val="21"/>
              </w:rPr>
              <w:t>池（三级厌氧</w:t>
            </w:r>
            <w:r>
              <w:rPr>
                <w:rFonts w:ascii="Times New Roman" w:eastAsia="等线" w:hAnsi="Times New Roman" w:cs="Times New Roman"/>
                <w:color w:val="000000"/>
                <w:kern w:val="0"/>
                <w:szCs w:val="21"/>
              </w:rPr>
              <w:t>)</w:t>
            </w:r>
          </w:p>
        </w:tc>
        <w:tc>
          <w:tcPr>
            <w:tcW w:w="838" w:type="pct"/>
            <w:tcBorders>
              <w:top w:val="nil"/>
              <w:left w:val="nil"/>
              <w:bottom w:val="single" w:sz="4" w:space="0" w:color="auto"/>
              <w:right w:val="single" w:sz="4" w:space="0" w:color="auto"/>
            </w:tcBorders>
            <w:shd w:val="clear" w:color="auto" w:fill="auto"/>
            <w:noWrap/>
            <w:vAlign w:val="center"/>
          </w:tcPr>
          <w:p w14:paraId="7A66520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进口</w:t>
            </w:r>
          </w:p>
        </w:tc>
        <w:tc>
          <w:tcPr>
            <w:tcW w:w="616" w:type="pct"/>
            <w:tcBorders>
              <w:top w:val="nil"/>
              <w:left w:val="nil"/>
              <w:bottom w:val="single" w:sz="4" w:space="0" w:color="auto"/>
              <w:right w:val="single" w:sz="4" w:space="0" w:color="auto"/>
            </w:tcBorders>
            <w:shd w:val="clear" w:color="auto" w:fill="auto"/>
            <w:noWrap/>
            <w:vAlign w:val="center"/>
          </w:tcPr>
          <w:p w14:paraId="4264EF2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35371EC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1576.0 </w:t>
            </w:r>
          </w:p>
        </w:tc>
        <w:tc>
          <w:tcPr>
            <w:tcW w:w="520" w:type="pct"/>
            <w:tcBorders>
              <w:top w:val="nil"/>
              <w:left w:val="nil"/>
              <w:bottom w:val="single" w:sz="4" w:space="0" w:color="auto"/>
              <w:right w:val="single" w:sz="4" w:space="0" w:color="auto"/>
            </w:tcBorders>
            <w:shd w:val="clear" w:color="auto" w:fill="auto"/>
            <w:noWrap/>
            <w:vAlign w:val="center"/>
          </w:tcPr>
          <w:p w14:paraId="1EA59FC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2773.2 </w:t>
            </w:r>
          </w:p>
        </w:tc>
        <w:tc>
          <w:tcPr>
            <w:tcW w:w="605" w:type="pct"/>
            <w:tcBorders>
              <w:top w:val="nil"/>
              <w:left w:val="nil"/>
              <w:bottom w:val="single" w:sz="4" w:space="0" w:color="auto"/>
              <w:right w:val="single" w:sz="4" w:space="0" w:color="auto"/>
            </w:tcBorders>
            <w:shd w:val="clear" w:color="auto" w:fill="auto"/>
            <w:noWrap/>
            <w:vAlign w:val="center"/>
          </w:tcPr>
          <w:p w14:paraId="52F0429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86.7 </w:t>
            </w:r>
          </w:p>
        </w:tc>
        <w:tc>
          <w:tcPr>
            <w:tcW w:w="701" w:type="pct"/>
            <w:tcBorders>
              <w:top w:val="nil"/>
              <w:left w:val="nil"/>
              <w:bottom w:val="single" w:sz="4" w:space="0" w:color="auto"/>
              <w:right w:val="single" w:sz="4" w:space="0" w:color="auto"/>
            </w:tcBorders>
            <w:shd w:val="clear" w:color="auto" w:fill="auto"/>
            <w:noWrap/>
            <w:vAlign w:val="center"/>
          </w:tcPr>
          <w:p w14:paraId="6637101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89.0 </w:t>
            </w:r>
          </w:p>
        </w:tc>
        <w:tc>
          <w:tcPr>
            <w:tcW w:w="593" w:type="pct"/>
            <w:tcBorders>
              <w:top w:val="nil"/>
              <w:left w:val="nil"/>
              <w:bottom w:val="single" w:sz="4" w:space="0" w:color="auto"/>
              <w:right w:val="single" w:sz="4" w:space="0" w:color="auto"/>
            </w:tcBorders>
            <w:shd w:val="clear" w:color="auto" w:fill="auto"/>
            <w:noWrap/>
            <w:vAlign w:val="center"/>
          </w:tcPr>
          <w:p w14:paraId="6970300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4.4 </w:t>
            </w:r>
          </w:p>
        </w:tc>
      </w:tr>
      <w:tr w:rsidR="002133E3" w14:paraId="4C17D6F7"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61CAD2C2"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3D04597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出口</w:t>
            </w:r>
          </w:p>
        </w:tc>
        <w:tc>
          <w:tcPr>
            <w:tcW w:w="616" w:type="pct"/>
            <w:tcBorders>
              <w:top w:val="nil"/>
              <w:left w:val="nil"/>
              <w:bottom w:val="single" w:sz="4" w:space="0" w:color="auto"/>
              <w:right w:val="single" w:sz="4" w:space="0" w:color="auto"/>
            </w:tcBorders>
            <w:shd w:val="clear" w:color="auto" w:fill="auto"/>
            <w:noWrap/>
            <w:vAlign w:val="center"/>
          </w:tcPr>
          <w:p w14:paraId="6AE8B67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7CABFE3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630.4 </w:t>
            </w:r>
          </w:p>
        </w:tc>
        <w:tc>
          <w:tcPr>
            <w:tcW w:w="520" w:type="pct"/>
            <w:tcBorders>
              <w:top w:val="nil"/>
              <w:left w:val="nil"/>
              <w:bottom w:val="single" w:sz="4" w:space="0" w:color="auto"/>
              <w:right w:val="single" w:sz="4" w:space="0" w:color="auto"/>
            </w:tcBorders>
            <w:shd w:val="clear" w:color="auto" w:fill="auto"/>
            <w:noWrap/>
            <w:vAlign w:val="center"/>
          </w:tcPr>
          <w:p w14:paraId="6D43826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998.3 </w:t>
            </w:r>
          </w:p>
        </w:tc>
        <w:tc>
          <w:tcPr>
            <w:tcW w:w="605" w:type="pct"/>
            <w:tcBorders>
              <w:top w:val="nil"/>
              <w:left w:val="nil"/>
              <w:bottom w:val="single" w:sz="4" w:space="0" w:color="auto"/>
              <w:right w:val="single" w:sz="4" w:space="0" w:color="auto"/>
            </w:tcBorders>
            <w:shd w:val="clear" w:color="auto" w:fill="auto"/>
            <w:noWrap/>
            <w:vAlign w:val="center"/>
          </w:tcPr>
          <w:p w14:paraId="51EF8DB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65.0 </w:t>
            </w:r>
          </w:p>
        </w:tc>
        <w:tc>
          <w:tcPr>
            <w:tcW w:w="701" w:type="pct"/>
            <w:tcBorders>
              <w:top w:val="nil"/>
              <w:left w:val="nil"/>
              <w:bottom w:val="single" w:sz="4" w:space="0" w:color="auto"/>
              <w:right w:val="single" w:sz="4" w:space="0" w:color="auto"/>
            </w:tcBorders>
            <w:shd w:val="clear" w:color="auto" w:fill="auto"/>
            <w:noWrap/>
            <w:vAlign w:val="center"/>
          </w:tcPr>
          <w:p w14:paraId="6E1C00D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44.5 </w:t>
            </w:r>
          </w:p>
        </w:tc>
        <w:tc>
          <w:tcPr>
            <w:tcW w:w="593" w:type="pct"/>
            <w:tcBorders>
              <w:top w:val="nil"/>
              <w:left w:val="nil"/>
              <w:bottom w:val="single" w:sz="4" w:space="0" w:color="auto"/>
              <w:right w:val="single" w:sz="4" w:space="0" w:color="auto"/>
            </w:tcBorders>
            <w:shd w:val="clear" w:color="auto" w:fill="auto"/>
            <w:noWrap/>
            <w:vAlign w:val="center"/>
          </w:tcPr>
          <w:p w14:paraId="435918C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2.2 </w:t>
            </w:r>
          </w:p>
        </w:tc>
      </w:tr>
      <w:tr w:rsidR="002133E3" w14:paraId="64DC999A"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499EB1AC"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6812FB8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3B49824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0E16C14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60.00%</w:t>
            </w:r>
          </w:p>
        </w:tc>
        <w:tc>
          <w:tcPr>
            <w:tcW w:w="520" w:type="pct"/>
            <w:tcBorders>
              <w:top w:val="nil"/>
              <w:left w:val="nil"/>
              <w:bottom w:val="single" w:sz="4" w:space="0" w:color="auto"/>
              <w:right w:val="single" w:sz="4" w:space="0" w:color="auto"/>
            </w:tcBorders>
            <w:shd w:val="clear" w:color="auto" w:fill="auto"/>
            <w:noWrap/>
            <w:vAlign w:val="center"/>
          </w:tcPr>
          <w:p w14:paraId="1A013CC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64%</w:t>
            </w:r>
          </w:p>
        </w:tc>
        <w:tc>
          <w:tcPr>
            <w:tcW w:w="605" w:type="pct"/>
            <w:tcBorders>
              <w:top w:val="nil"/>
              <w:left w:val="nil"/>
              <w:bottom w:val="single" w:sz="4" w:space="0" w:color="auto"/>
              <w:right w:val="single" w:sz="4" w:space="0" w:color="auto"/>
            </w:tcBorders>
            <w:shd w:val="clear" w:color="auto" w:fill="auto"/>
            <w:noWrap/>
            <w:vAlign w:val="center"/>
          </w:tcPr>
          <w:p w14:paraId="3C844C9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25.00%</w:t>
            </w:r>
          </w:p>
        </w:tc>
        <w:tc>
          <w:tcPr>
            <w:tcW w:w="701" w:type="pct"/>
            <w:tcBorders>
              <w:top w:val="nil"/>
              <w:left w:val="nil"/>
              <w:bottom w:val="single" w:sz="4" w:space="0" w:color="auto"/>
              <w:right w:val="single" w:sz="4" w:space="0" w:color="auto"/>
            </w:tcBorders>
            <w:shd w:val="clear" w:color="auto" w:fill="auto"/>
            <w:noWrap/>
            <w:vAlign w:val="center"/>
          </w:tcPr>
          <w:p w14:paraId="3A7A471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50.00%</w:t>
            </w:r>
          </w:p>
        </w:tc>
        <w:tc>
          <w:tcPr>
            <w:tcW w:w="593" w:type="pct"/>
            <w:tcBorders>
              <w:top w:val="nil"/>
              <w:left w:val="nil"/>
              <w:bottom w:val="single" w:sz="4" w:space="0" w:color="auto"/>
              <w:right w:val="single" w:sz="4" w:space="0" w:color="auto"/>
            </w:tcBorders>
            <w:shd w:val="clear" w:color="auto" w:fill="auto"/>
            <w:noWrap/>
            <w:vAlign w:val="center"/>
          </w:tcPr>
          <w:p w14:paraId="000542B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50.00%</w:t>
            </w:r>
          </w:p>
        </w:tc>
      </w:tr>
      <w:tr w:rsidR="002133E3" w14:paraId="22B6460F" w14:textId="77777777">
        <w:trPr>
          <w:trHeight w:val="270"/>
        </w:trPr>
        <w:tc>
          <w:tcPr>
            <w:tcW w:w="538" w:type="pct"/>
            <w:vMerge w:val="restart"/>
            <w:tcBorders>
              <w:top w:val="nil"/>
              <w:left w:val="single" w:sz="4" w:space="0" w:color="auto"/>
              <w:bottom w:val="single" w:sz="4" w:space="0" w:color="auto"/>
              <w:right w:val="single" w:sz="4" w:space="0" w:color="auto"/>
            </w:tcBorders>
            <w:shd w:val="clear" w:color="auto" w:fill="auto"/>
            <w:vAlign w:val="center"/>
          </w:tcPr>
          <w:p w14:paraId="7DFD9B3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生化</w:t>
            </w:r>
            <w:r>
              <w:rPr>
                <w:rFonts w:ascii="Times New Roman" w:eastAsia="等线" w:hAnsi="Times New Roman" w:cs="Times New Roman"/>
                <w:color w:val="000000"/>
                <w:kern w:val="0"/>
                <w:szCs w:val="21"/>
              </w:rPr>
              <w:t>B</w:t>
            </w:r>
            <w:r>
              <w:rPr>
                <w:rFonts w:ascii="Times New Roman" w:eastAsia="宋体" w:hAnsi="Times New Roman" w:cs="Times New Roman"/>
                <w:color w:val="000000"/>
                <w:kern w:val="0"/>
                <w:szCs w:val="21"/>
              </w:rPr>
              <w:t>池</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好氧</w:t>
            </w:r>
            <w:r>
              <w:rPr>
                <w:rFonts w:ascii="Times New Roman" w:eastAsia="等线" w:hAnsi="Times New Roman" w:cs="Times New Roman"/>
                <w:color w:val="000000"/>
                <w:kern w:val="0"/>
                <w:szCs w:val="21"/>
              </w:rPr>
              <w:t>)</w:t>
            </w:r>
          </w:p>
        </w:tc>
        <w:tc>
          <w:tcPr>
            <w:tcW w:w="838" w:type="pct"/>
            <w:tcBorders>
              <w:top w:val="nil"/>
              <w:left w:val="nil"/>
              <w:bottom w:val="single" w:sz="4" w:space="0" w:color="auto"/>
              <w:right w:val="single" w:sz="4" w:space="0" w:color="auto"/>
            </w:tcBorders>
            <w:shd w:val="clear" w:color="auto" w:fill="auto"/>
            <w:noWrap/>
            <w:vAlign w:val="center"/>
          </w:tcPr>
          <w:p w14:paraId="05384E6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进口</w:t>
            </w:r>
          </w:p>
        </w:tc>
        <w:tc>
          <w:tcPr>
            <w:tcW w:w="616" w:type="pct"/>
            <w:tcBorders>
              <w:top w:val="nil"/>
              <w:left w:val="nil"/>
              <w:bottom w:val="single" w:sz="4" w:space="0" w:color="auto"/>
              <w:right w:val="single" w:sz="4" w:space="0" w:color="auto"/>
            </w:tcBorders>
            <w:shd w:val="clear" w:color="auto" w:fill="auto"/>
            <w:noWrap/>
            <w:vAlign w:val="center"/>
          </w:tcPr>
          <w:p w14:paraId="5C2442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760C594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630.4 </w:t>
            </w:r>
          </w:p>
        </w:tc>
        <w:tc>
          <w:tcPr>
            <w:tcW w:w="520" w:type="pct"/>
            <w:tcBorders>
              <w:top w:val="nil"/>
              <w:left w:val="nil"/>
              <w:bottom w:val="single" w:sz="4" w:space="0" w:color="auto"/>
              <w:right w:val="single" w:sz="4" w:space="0" w:color="auto"/>
            </w:tcBorders>
            <w:shd w:val="clear" w:color="auto" w:fill="auto"/>
            <w:noWrap/>
            <w:vAlign w:val="center"/>
          </w:tcPr>
          <w:p w14:paraId="52C9957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998.3 </w:t>
            </w:r>
          </w:p>
        </w:tc>
        <w:tc>
          <w:tcPr>
            <w:tcW w:w="605" w:type="pct"/>
            <w:tcBorders>
              <w:top w:val="nil"/>
              <w:left w:val="nil"/>
              <w:bottom w:val="single" w:sz="4" w:space="0" w:color="auto"/>
              <w:right w:val="single" w:sz="4" w:space="0" w:color="auto"/>
            </w:tcBorders>
            <w:shd w:val="clear" w:color="auto" w:fill="auto"/>
            <w:noWrap/>
            <w:vAlign w:val="center"/>
          </w:tcPr>
          <w:p w14:paraId="1A78CC2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65.0 </w:t>
            </w:r>
          </w:p>
        </w:tc>
        <w:tc>
          <w:tcPr>
            <w:tcW w:w="701" w:type="pct"/>
            <w:tcBorders>
              <w:top w:val="nil"/>
              <w:left w:val="nil"/>
              <w:bottom w:val="single" w:sz="4" w:space="0" w:color="auto"/>
              <w:right w:val="single" w:sz="4" w:space="0" w:color="auto"/>
            </w:tcBorders>
            <w:shd w:val="clear" w:color="auto" w:fill="auto"/>
            <w:noWrap/>
            <w:vAlign w:val="center"/>
          </w:tcPr>
          <w:p w14:paraId="273BE12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44.5 </w:t>
            </w:r>
          </w:p>
        </w:tc>
        <w:tc>
          <w:tcPr>
            <w:tcW w:w="593" w:type="pct"/>
            <w:tcBorders>
              <w:top w:val="nil"/>
              <w:left w:val="nil"/>
              <w:bottom w:val="single" w:sz="4" w:space="0" w:color="auto"/>
              <w:right w:val="single" w:sz="4" w:space="0" w:color="auto"/>
            </w:tcBorders>
            <w:shd w:val="clear" w:color="auto" w:fill="auto"/>
            <w:noWrap/>
            <w:vAlign w:val="center"/>
          </w:tcPr>
          <w:p w14:paraId="3F39AD3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2.2 </w:t>
            </w:r>
          </w:p>
        </w:tc>
      </w:tr>
      <w:tr w:rsidR="002133E3" w14:paraId="3F3E2BB3"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45AA80B2"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3917FEF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出口</w:t>
            </w:r>
          </w:p>
        </w:tc>
        <w:tc>
          <w:tcPr>
            <w:tcW w:w="616" w:type="pct"/>
            <w:tcBorders>
              <w:top w:val="nil"/>
              <w:left w:val="nil"/>
              <w:bottom w:val="single" w:sz="4" w:space="0" w:color="auto"/>
              <w:right w:val="single" w:sz="4" w:space="0" w:color="auto"/>
            </w:tcBorders>
            <w:shd w:val="clear" w:color="auto" w:fill="auto"/>
            <w:noWrap/>
            <w:vAlign w:val="center"/>
          </w:tcPr>
          <w:p w14:paraId="689C01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43F61E3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252.2 </w:t>
            </w:r>
          </w:p>
        </w:tc>
        <w:tc>
          <w:tcPr>
            <w:tcW w:w="520" w:type="pct"/>
            <w:tcBorders>
              <w:top w:val="nil"/>
              <w:left w:val="nil"/>
              <w:bottom w:val="single" w:sz="4" w:space="0" w:color="auto"/>
              <w:right w:val="single" w:sz="4" w:space="0" w:color="auto"/>
            </w:tcBorders>
            <w:shd w:val="clear" w:color="auto" w:fill="auto"/>
            <w:noWrap/>
            <w:vAlign w:val="center"/>
          </w:tcPr>
          <w:p w14:paraId="53F17FA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399.3 </w:t>
            </w:r>
          </w:p>
        </w:tc>
        <w:tc>
          <w:tcPr>
            <w:tcW w:w="605" w:type="pct"/>
            <w:tcBorders>
              <w:top w:val="nil"/>
              <w:left w:val="nil"/>
              <w:bottom w:val="single" w:sz="4" w:space="0" w:color="auto"/>
              <w:right w:val="single" w:sz="4" w:space="0" w:color="auto"/>
            </w:tcBorders>
            <w:shd w:val="clear" w:color="auto" w:fill="auto"/>
            <w:noWrap/>
            <w:vAlign w:val="center"/>
          </w:tcPr>
          <w:p w14:paraId="72BA8CB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42.3 </w:t>
            </w:r>
          </w:p>
        </w:tc>
        <w:tc>
          <w:tcPr>
            <w:tcW w:w="701" w:type="pct"/>
            <w:tcBorders>
              <w:top w:val="nil"/>
              <w:left w:val="nil"/>
              <w:bottom w:val="single" w:sz="4" w:space="0" w:color="auto"/>
              <w:right w:val="single" w:sz="4" w:space="0" w:color="auto"/>
            </w:tcBorders>
            <w:shd w:val="clear" w:color="auto" w:fill="auto"/>
            <w:noWrap/>
            <w:vAlign w:val="center"/>
          </w:tcPr>
          <w:p w14:paraId="79B650E0"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17.8 </w:t>
            </w:r>
          </w:p>
        </w:tc>
        <w:tc>
          <w:tcPr>
            <w:tcW w:w="593" w:type="pct"/>
            <w:tcBorders>
              <w:top w:val="nil"/>
              <w:left w:val="nil"/>
              <w:bottom w:val="single" w:sz="4" w:space="0" w:color="auto"/>
              <w:right w:val="single" w:sz="4" w:space="0" w:color="auto"/>
            </w:tcBorders>
            <w:shd w:val="clear" w:color="auto" w:fill="auto"/>
            <w:noWrap/>
            <w:vAlign w:val="center"/>
          </w:tcPr>
          <w:p w14:paraId="6249AB5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0.5 </w:t>
            </w:r>
          </w:p>
        </w:tc>
      </w:tr>
      <w:tr w:rsidR="002133E3" w14:paraId="69D191A0"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4F1F53BC"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7FDC27B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3BED72B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1F560C6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60.00%</w:t>
            </w:r>
          </w:p>
        </w:tc>
        <w:tc>
          <w:tcPr>
            <w:tcW w:w="520" w:type="pct"/>
            <w:tcBorders>
              <w:top w:val="nil"/>
              <w:left w:val="nil"/>
              <w:bottom w:val="single" w:sz="4" w:space="0" w:color="auto"/>
              <w:right w:val="single" w:sz="4" w:space="0" w:color="auto"/>
            </w:tcBorders>
            <w:shd w:val="clear" w:color="auto" w:fill="auto"/>
            <w:noWrap/>
            <w:vAlign w:val="center"/>
          </w:tcPr>
          <w:p w14:paraId="4325A66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60%</w:t>
            </w:r>
          </w:p>
        </w:tc>
        <w:tc>
          <w:tcPr>
            <w:tcW w:w="605" w:type="pct"/>
            <w:tcBorders>
              <w:top w:val="nil"/>
              <w:left w:val="nil"/>
              <w:bottom w:val="single" w:sz="4" w:space="0" w:color="auto"/>
              <w:right w:val="single" w:sz="4" w:space="0" w:color="auto"/>
            </w:tcBorders>
            <w:shd w:val="clear" w:color="auto" w:fill="auto"/>
            <w:noWrap/>
            <w:vAlign w:val="center"/>
          </w:tcPr>
          <w:p w14:paraId="166E7E7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35.00%</w:t>
            </w:r>
          </w:p>
        </w:tc>
        <w:tc>
          <w:tcPr>
            <w:tcW w:w="701" w:type="pct"/>
            <w:tcBorders>
              <w:top w:val="nil"/>
              <w:left w:val="nil"/>
              <w:bottom w:val="single" w:sz="4" w:space="0" w:color="auto"/>
              <w:right w:val="single" w:sz="4" w:space="0" w:color="auto"/>
            </w:tcBorders>
            <w:shd w:val="clear" w:color="auto" w:fill="auto"/>
            <w:noWrap/>
            <w:vAlign w:val="center"/>
          </w:tcPr>
          <w:p w14:paraId="27F7418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60.00%</w:t>
            </w:r>
          </w:p>
        </w:tc>
        <w:tc>
          <w:tcPr>
            <w:tcW w:w="593" w:type="pct"/>
            <w:tcBorders>
              <w:top w:val="nil"/>
              <w:left w:val="nil"/>
              <w:bottom w:val="single" w:sz="4" w:space="0" w:color="auto"/>
              <w:right w:val="single" w:sz="4" w:space="0" w:color="auto"/>
            </w:tcBorders>
            <w:shd w:val="clear" w:color="auto" w:fill="auto"/>
            <w:noWrap/>
            <w:vAlign w:val="center"/>
          </w:tcPr>
          <w:p w14:paraId="539A844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75.00%</w:t>
            </w:r>
          </w:p>
        </w:tc>
      </w:tr>
      <w:tr w:rsidR="002133E3" w14:paraId="7A5552AE" w14:textId="77777777">
        <w:trPr>
          <w:trHeight w:val="270"/>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27CC8E4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沉淀池</w:t>
            </w:r>
            <w:r>
              <w:rPr>
                <w:rFonts w:ascii="Times New Roman" w:eastAsia="等线" w:hAnsi="Times New Roman" w:cs="Times New Roman"/>
                <w:color w:val="000000"/>
                <w:kern w:val="0"/>
                <w:szCs w:val="21"/>
              </w:rPr>
              <w:t>II</w:t>
            </w:r>
          </w:p>
        </w:tc>
        <w:tc>
          <w:tcPr>
            <w:tcW w:w="838" w:type="pct"/>
            <w:tcBorders>
              <w:top w:val="nil"/>
              <w:left w:val="nil"/>
              <w:bottom w:val="single" w:sz="4" w:space="0" w:color="auto"/>
              <w:right w:val="single" w:sz="4" w:space="0" w:color="auto"/>
            </w:tcBorders>
            <w:shd w:val="clear" w:color="auto" w:fill="auto"/>
            <w:noWrap/>
            <w:vAlign w:val="center"/>
          </w:tcPr>
          <w:p w14:paraId="6D7BFE6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进口</w:t>
            </w:r>
          </w:p>
        </w:tc>
        <w:tc>
          <w:tcPr>
            <w:tcW w:w="616" w:type="pct"/>
            <w:tcBorders>
              <w:top w:val="nil"/>
              <w:left w:val="nil"/>
              <w:bottom w:val="single" w:sz="4" w:space="0" w:color="auto"/>
              <w:right w:val="single" w:sz="4" w:space="0" w:color="auto"/>
            </w:tcBorders>
            <w:shd w:val="clear" w:color="auto" w:fill="auto"/>
            <w:noWrap/>
            <w:vAlign w:val="center"/>
          </w:tcPr>
          <w:p w14:paraId="48DACA5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0C917C9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252.2 </w:t>
            </w:r>
          </w:p>
        </w:tc>
        <w:tc>
          <w:tcPr>
            <w:tcW w:w="520" w:type="pct"/>
            <w:tcBorders>
              <w:top w:val="nil"/>
              <w:left w:val="nil"/>
              <w:bottom w:val="single" w:sz="4" w:space="0" w:color="auto"/>
              <w:right w:val="single" w:sz="4" w:space="0" w:color="auto"/>
            </w:tcBorders>
            <w:shd w:val="clear" w:color="auto" w:fill="auto"/>
            <w:noWrap/>
            <w:vAlign w:val="center"/>
          </w:tcPr>
          <w:p w14:paraId="446598E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399.3 </w:t>
            </w:r>
          </w:p>
        </w:tc>
        <w:tc>
          <w:tcPr>
            <w:tcW w:w="605" w:type="pct"/>
            <w:tcBorders>
              <w:top w:val="nil"/>
              <w:left w:val="nil"/>
              <w:bottom w:val="single" w:sz="4" w:space="0" w:color="auto"/>
              <w:right w:val="single" w:sz="4" w:space="0" w:color="auto"/>
            </w:tcBorders>
            <w:shd w:val="clear" w:color="auto" w:fill="auto"/>
            <w:noWrap/>
            <w:vAlign w:val="center"/>
          </w:tcPr>
          <w:p w14:paraId="08A7ACE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42.3 </w:t>
            </w:r>
          </w:p>
        </w:tc>
        <w:tc>
          <w:tcPr>
            <w:tcW w:w="701" w:type="pct"/>
            <w:tcBorders>
              <w:top w:val="nil"/>
              <w:left w:val="nil"/>
              <w:bottom w:val="single" w:sz="4" w:space="0" w:color="auto"/>
              <w:right w:val="single" w:sz="4" w:space="0" w:color="auto"/>
            </w:tcBorders>
            <w:shd w:val="clear" w:color="auto" w:fill="auto"/>
            <w:noWrap/>
            <w:vAlign w:val="center"/>
          </w:tcPr>
          <w:p w14:paraId="23A13C1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17.8 </w:t>
            </w:r>
          </w:p>
        </w:tc>
        <w:tc>
          <w:tcPr>
            <w:tcW w:w="593" w:type="pct"/>
            <w:tcBorders>
              <w:top w:val="nil"/>
              <w:left w:val="nil"/>
              <w:bottom w:val="single" w:sz="4" w:space="0" w:color="auto"/>
              <w:right w:val="single" w:sz="4" w:space="0" w:color="auto"/>
            </w:tcBorders>
            <w:shd w:val="clear" w:color="auto" w:fill="auto"/>
            <w:noWrap/>
            <w:vAlign w:val="center"/>
          </w:tcPr>
          <w:p w14:paraId="7B8A0E58"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0.5 </w:t>
            </w:r>
          </w:p>
        </w:tc>
      </w:tr>
      <w:tr w:rsidR="002133E3" w14:paraId="6D4819E2"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3651E236"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7E5FF4F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出口</w:t>
            </w:r>
          </w:p>
        </w:tc>
        <w:tc>
          <w:tcPr>
            <w:tcW w:w="616" w:type="pct"/>
            <w:tcBorders>
              <w:top w:val="nil"/>
              <w:left w:val="nil"/>
              <w:bottom w:val="single" w:sz="4" w:space="0" w:color="auto"/>
              <w:right w:val="single" w:sz="4" w:space="0" w:color="auto"/>
            </w:tcBorders>
            <w:shd w:val="clear" w:color="auto" w:fill="auto"/>
            <w:noWrap/>
            <w:vAlign w:val="center"/>
          </w:tcPr>
          <w:p w14:paraId="4245FFF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1175440.28</w:t>
            </w:r>
          </w:p>
        </w:tc>
        <w:tc>
          <w:tcPr>
            <w:tcW w:w="589" w:type="pct"/>
            <w:tcBorders>
              <w:top w:val="nil"/>
              <w:left w:val="nil"/>
              <w:bottom w:val="single" w:sz="4" w:space="0" w:color="auto"/>
              <w:right w:val="single" w:sz="4" w:space="0" w:color="auto"/>
            </w:tcBorders>
            <w:shd w:val="clear" w:color="auto" w:fill="auto"/>
            <w:noWrap/>
            <w:vAlign w:val="center"/>
          </w:tcPr>
          <w:p w14:paraId="1279D5B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239.5 </w:t>
            </w:r>
          </w:p>
        </w:tc>
        <w:tc>
          <w:tcPr>
            <w:tcW w:w="520" w:type="pct"/>
            <w:tcBorders>
              <w:top w:val="nil"/>
              <w:left w:val="nil"/>
              <w:bottom w:val="single" w:sz="4" w:space="0" w:color="auto"/>
              <w:right w:val="single" w:sz="4" w:space="0" w:color="auto"/>
            </w:tcBorders>
            <w:shd w:val="clear" w:color="auto" w:fill="auto"/>
            <w:noWrap/>
            <w:vAlign w:val="center"/>
          </w:tcPr>
          <w:p w14:paraId="67079FC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119.8 </w:t>
            </w:r>
          </w:p>
        </w:tc>
        <w:tc>
          <w:tcPr>
            <w:tcW w:w="605" w:type="pct"/>
            <w:tcBorders>
              <w:top w:val="nil"/>
              <w:left w:val="nil"/>
              <w:bottom w:val="single" w:sz="4" w:space="0" w:color="auto"/>
              <w:right w:val="single" w:sz="4" w:space="0" w:color="auto"/>
            </w:tcBorders>
            <w:shd w:val="clear" w:color="auto" w:fill="auto"/>
            <w:noWrap/>
            <w:vAlign w:val="center"/>
          </w:tcPr>
          <w:p w14:paraId="2A8A2D4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39.3 </w:t>
            </w:r>
          </w:p>
        </w:tc>
        <w:tc>
          <w:tcPr>
            <w:tcW w:w="701" w:type="pct"/>
            <w:tcBorders>
              <w:top w:val="nil"/>
              <w:left w:val="nil"/>
              <w:bottom w:val="single" w:sz="4" w:space="0" w:color="auto"/>
              <w:right w:val="single" w:sz="4" w:space="0" w:color="auto"/>
            </w:tcBorders>
            <w:shd w:val="clear" w:color="auto" w:fill="auto"/>
            <w:noWrap/>
            <w:vAlign w:val="center"/>
          </w:tcPr>
          <w:p w14:paraId="11F8B4C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15.7 </w:t>
            </w:r>
          </w:p>
        </w:tc>
        <w:tc>
          <w:tcPr>
            <w:tcW w:w="593" w:type="pct"/>
            <w:tcBorders>
              <w:top w:val="nil"/>
              <w:left w:val="nil"/>
              <w:bottom w:val="single" w:sz="4" w:space="0" w:color="auto"/>
              <w:right w:val="single" w:sz="4" w:space="0" w:color="auto"/>
            </w:tcBorders>
            <w:shd w:val="clear" w:color="auto" w:fill="auto"/>
            <w:noWrap/>
            <w:vAlign w:val="center"/>
          </w:tcPr>
          <w:p w14:paraId="0D3CB713"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 xml:space="preserve">0.5 </w:t>
            </w:r>
          </w:p>
        </w:tc>
      </w:tr>
      <w:tr w:rsidR="002133E3" w14:paraId="785AB9D0" w14:textId="77777777">
        <w:trPr>
          <w:trHeight w:val="270"/>
        </w:trPr>
        <w:tc>
          <w:tcPr>
            <w:tcW w:w="538" w:type="pct"/>
            <w:vMerge/>
            <w:tcBorders>
              <w:top w:val="nil"/>
              <w:left w:val="single" w:sz="4" w:space="0" w:color="auto"/>
              <w:bottom w:val="single" w:sz="4" w:space="0" w:color="auto"/>
              <w:right w:val="single" w:sz="4" w:space="0" w:color="auto"/>
            </w:tcBorders>
            <w:vAlign w:val="center"/>
          </w:tcPr>
          <w:p w14:paraId="0215E5F9" w14:textId="77777777" w:rsidR="002133E3" w:rsidRDefault="002133E3">
            <w:pPr>
              <w:widowControl/>
              <w:jc w:val="left"/>
              <w:rPr>
                <w:rFonts w:ascii="Times New Roman" w:eastAsia="等线" w:hAnsi="Times New Roman" w:cs="Times New Roman"/>
                <w:color w:val="000000"/>
                <w:kern w:val="0"/>
                <w:szCs w:val="21"/>
              </w:rPr>
            </w:pPr>
          </w:p>
        </w:tc>
        <w:tc>
          <w:tcPr>
            <w:tcW w:w="838" w:type="pct"/>
            <w:tcBorders>
              <w:top w:val="nil"/>
              <w:left w:val="nil"/>
              <w:bottom w:val="single" w:sz="4" w:space="0" w:color="auto"/>
              <w:right w:val="single" w:sz="4" w:space="0" w:color="auto"/>
            </w:tcBorders>
            <w:shd w:val="clear" w:color="auto" w:fill="auto"/>
            <w:noWrap/>
            <w:vAlign w:val="center"/>
          </w:tcPr>
          <w:p w14:paraId="1D24201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0DF06A7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5B30A8E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5.00%</w:t>
            </w:r>
          </w:p>
        </w:tc>
        <w:tc>
          <w:tcPr>
            <w:tcW w:w="520" w:type="pct"/>
            <w:tcBorders>
              <w:top w:val="nil"/>
              <w:left w:val="nil"/>
              <w:bottom w:val="single" w:sz="4" w:space="0" w:color="auto"/>
              <w:right w:val="single" w:sz="4" w:space="0" w:color="auto"/>
            </w:tcBorders>
            <w:shd w:val="clear" w:color="auto" w:fill="auto"/>
            <w:noWrap/>
            <w:vAlign w:val="center"/>
          </w:tcPr>
          <w:p w14:paraId="74CD5C3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70.00%</w:t>
            </w:r>
          </w:p>
        </w:tc>
        <w:tc>
          <w:tcPr>
            <w:tcW w:w="605" w:type="pct"/>
            <w:tcBorders>
              <w:top w:val="nil"/>
              <w:left w:val="nil"/>
              <w:bottom w:val="single" w:sz="4" w:space="0" w:color="auto"/>
              <w:right w:val="single" w:sz="4" w:space="0" w:color="auto"/>
            </w:tcBorders>
            <w:shd w:val="clear" w:color="auto" w:fill="auto"/>
            <w:noWrap/>
            <w:vAlign w:val="center"/>
          </w:tcPr>
          <w:p w14:paraId="0556CAA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6.90%</w:t>
            </w:r>
          </w:p>
        </w:tc>
        <w:tc>
          <w:tcPr>
            <w:tcW w:w="701" w:type="pct"/>
            <w:tcBorders>
              <w:top w:val="nil"/>
              <w:left w:val="nil"/>
              <w:bottom w:val="single" w:sz="4" w:space="0" w:color="auto"/>
              <w:right w:val="single" w:sz="4" w:space="0" w:color="auto"/>
            </w:tcBorders>
            <w:shd w:val="clear" w:color="auto" w:fill="auto"/>
            <w:noWrap/>
            <w:vAlign w:val="center"/>
          </w:tcPr>
          <w:p w14:paraId="6DAA0086"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11.90%</w:t>
            </w:r>
          </w:p>
        </w:tc>
        <w:tc>
          <w:tcPr>
            <w:tcW w:w="593" w:type="pct"/>
            <w:tcBorders>
              <w:top w:val="nil"/>
              <w:left w:val="nil"/>
              <w:bottom w:val="single" w:sz="4" w:space="0" w:color="auto"/>
              <w:right w:val="single" w:sz="4" w:space="0" w:color="auto"/>
            </w:tcBorders>
            <w:shd w:val="clear" w:color="auto" w:fill="auto"/>
            <w:noWrap/>
            <w:vAlign w:val="center"/>
          </w:tcPr>
          <w:p w14:paraId="2DE2FEEE"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5.50%</w:t>
            </w:r>
          </w:p>
        </w:tc>
      </w:tr>
      <w:tr w:rsidR="002133E3" w14:paraId="2FE13546" w14:textId="77777777">
        <w:trPr>
          <w:trHeight w:val="270"/>
        </w:trPr>
        <w:tc>
          <w:tcPr>
            <w:tcW w:w="538" w:type="pct"/>
            <w:tcBorders>
              <w:top w:val="nil"/>
              <w:left w:val="single" w:sz="4" w:space="0" w:color="auto"/>
              <w:bottom w:val="single" w:sz="4" w:space="0" w:color="auto"/>
              <w:right w:val="single" w:sz="4" w:space="0" w:color="auto"/>
            </w:tcBorders>
            <w:shd w:val="clear" w:color="auto" w:fill="auto"/>
            <w:noWrap/>
            <w:vAlign w:val="center"/>
          </w:tcPr>
          <w:p w14:paraId="4B975A1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接管标准</w:t>
            </w:r>
          </w:p>
        </w:tc>
        <w:tc>
          <w:tcPr>
            <w:tcW w:w="838" w:type="pct"/>
            <w:tcBorders>
              <w:top w:val="nil"/>
              <w:left w:val="nil"/>
              <w:bottom w:val="single" w:sz="4" w:space="0" w:color="auto"/>
              <w:right w:val="single" w:sz="4" w:space="0" w:color="auto"/>
            </w:tcBorders>
            <w:shd w:val="clear" w:color="auto" w:fill="auto"/>
            <w:noWrap/>
            <w:vAlign w:val="center"/>
          </w:tcPr>
          <w:p w14:paraId="08683C8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21E72A3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3C4C312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400</w:t>
            </w:r>
          </w:p>
        </w:tc>
        <w:tc>
          <w:tcPr>
            <w:tcW w:w="520" w:type="pct"/>
            <w:tcBorders>
              <w:top w:val="nil"/>
              <w:left w:val="nil"/>
              <w:bottom w:val="single" w:sz="4" w:space="0" w:color="auto"/>
              <w:right w:val="single" w:sz="4" w:space="0" w:color="auto"/>
            </w:tcBorders>
            <w:shd w:val="clear" w:color="auto" w:fill="auto"/>
            <w:noWrap/>
            <w:vAlign w:val="center"/>
          </w:tcPr>
          <w:p w14:paraId="5206EB4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140</w:t>
            </w:r>
          </w:p>
        </w:tc>
        <w:tc>
          <w:tcPr>
            <w:tcW w:w="605" w:type="pct"/>
            <w:tcBorders>
              <w:top w:val="nil"/>
              <w:left w:val="nil"/>
              <w:bottom w:val="single" w:sz="4" w:space="0" w:color="auto"/>
              <w:right w:val="single" w:sz="4" w:space="0" w:color="auto"/>
            </w:tcBorders>
            <w:shd w:val="clear" w:color="auto" w:fill="auto"/>
            <w:noWrap/>
            <w:vAlign w:val="center"/>
          </w:tcPr>
          <w:p w14:paraId="6E7CE68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50.0</w:t>
            </w:r>
          </w:p>
        </w:tc>
        <w:tc>
          <w:tcPr>
            <w:tcW w:w="701" w:type="pct"/>
            <w:tcBorders>
              <w:top w:val="nil"/>
              <w:left w:val="nil"/>
              <w:bottom w:val="single" w:sz="4" w:space="0" w:color="auto"/>
              <w:right w:val="single" w:sz="4" w:space="0" w:color="auto"/>
            </w:tcBorders>
            <w:shd w:val="clear" w:color="auto" w:fill="auto"/>
            <w:noWrap/>
            <w:vAlign w:val="center"/>
          </w:tcPr>
          <w:p w14:paraId="48A4737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30</w:t>
            </w:r>
          </w:p>
        </w:tc>
        <w:tc>
          <w:tcPr>
            <w:tcW w:w="593" w:type="pct"/>
            <w:tcBorders>
              <w:top w:val="nil"/>
              <w:left w:val="nil"/>
              <w:bottom w:val="single" w:sz="4" w:space="0" w:color="auto"/>
              <w:right w:val="single" w:sz="4" w:space="0" w:color="auto"/>
            </w:tcBorders>
            <w:shd w:val="clear" w:color="auto" w:fill="auto"/>
            <w:noWrap/>
            <w:vAlign w:val="center"/>
          </w:tcPr>
          <w:p w14:paraId="67EDFBC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3</w:t>
            </w:r>
          </w:p>
        </w:tc>
      </w:tr>
      <w:tr w:rsidR="002133E3" w14:paraId="6C29B466" w14:textId="77777777">
        <w:trPr>
          <w:trHeight w:val="270"/>
        </w:trPr>
        <w:tc>
          <w:tcPr>
            <w:tcW w:w="538" w:type="pct"/>
            <w:tcBorders>
              <w:top w:val="nil"/>
              <w:left w:val="single" w:sz="4" w:space="0" w:color="auto"/>
              <w:bottom w:val="single" w:sz="4" w:space="0" w:color="auto"/>
              <w:right w:val="single" w:sz="4" w:space="0" w:color="auto"/>
            </w:tcBorders>
            <w:shd w:val="clear" w:color="auto" w:fill="auto"/>
            <w:noWrap/>
            <w:vAlign w:val="center"/>
          </w:tcPr>
          <w:p w14:paraId="6DC57D7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合计</w:t>
            </w:r>
          </w:p>
        </w:tc>
        <w:tc>
          <w:tcPr>
            <w:tcW w:w="838" w:type="pct"/>
            <w:tcBorders>
              <w:top w:val="nil"/>
              <w:left w:val="nil"/>
              <w:bottom w:val="single" w:sz="4" w:space="0" w:color="auto"/>
              <w:right w:val="single" w:sz="4" w:space="0" w:color="auto"/>
            </w:tcBorders>
            <w:shd w:val="clear" w:color="auto" w:fill="auto"/>
            <w:noWrap/>
            <w:vAlign w:val="center"/>
          </w:tcPr>
          <w:p w14:paraId="4C6A4F09"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去除效率（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2566F732"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7A25F45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99.60%</w:t>
            </w:r>
          </w:p>
        </w:tc>
        <w:tc>
          <w:tcPr>
            <w:tcW w:w="520" w:type="pct"/>
            <w:tcBorders>
              <w:top w:val="nil"/>
              <w:left w:val="nil"/>
              <w:bottom w:val="single" w:sz="4" w:space="0" w:color="auto"/>
              <w:right w:val="single" w:sz="4" w:space="0" w:color="auto"/>
            </w:tcBorders>
            <w:shd w:val="clear" w:color="auto" w:fill="auto"/>
            <w:noWrap/>
            <w:vAlign w:val="center"/>
          </w:tcPr>
          <w:p w14:paraId="1D1C33E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98.80%</w:t>
            </w:r>
          </w:p>
        </w:tc>
        <w:tc>
          <w:tcPr>
            <w:tcW w:w="605" w:type="pct"/>
            <w:tcBorders>
              <w:top w:val="nil"/>
              <w:left w:val="nil"/>
              <w:bottom w:val="single" w:sz="4" w:space="0" w:color="auto"/>
              <w:right w:val="single" w:sz="4" w:space="0" w:color="auto"/>
            </w:tcBorders>
            <w:shd w:val="clear" w:color="auto" w:fill="auto"/>
            <w:noWrap/>
            <w:vAlign w:val="center"/>
          </w:tcPr>
          <w:p w14:paraId="5E010874"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54.61%</w:t>
            </w:r>
          </w:p>
        </w:tc>
        <w:tc>
          <w:tcPr>
            <w:tcW w:w="701" w:type="pct"/>
            <w:tcBorders>
              <w:top w:val="nil"/>
              <w:left w:val="nil"/>
              <w:bottom w:val="single" w:sz="4" w:space="0" w:color="auto"/>
              <w:right w:val="single" w:sz="4" w:space="0" w:color="auto"/>
            </w:tcBorders>
            <w:shd w:val="clear" w:color="auto" w:fill="auto"/>
            <w:noWrap/>
            <w:vAlign w:val="center"/>
          </w:tcPr>
          <w:p w14:paraId="68AE1F8F"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85.90%</w:t>
            </w:r>
          </w:p>
        </w:tc>
        <w:tc>
          <w:tcPr>
            <w:tcW w:w="593" w:type="pct"/>
            <w:tcBorders>
              <w:top w:val="nil"/>
              <w:left w:val="nil"/>
              <w:bottom w:val="single" w:sz="4" w:space="0" w:color="auto"/>
              <w:right w:val="single" w:sz="4" w:space="0" w:color="auto"/>
            </w:tcBorders>
            <w:shd w:val="clear" w:color="auto" w:fill="auto"/>
            <w:noWrap/>
            <w:vAlign w:val="center"/>
          </w:tcPr>
          <w:p w14:paraId="7AFD8D7B"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89.37%</w:t>
            </w:r>
          </w:p>
        </w:tc>
      </w:tr>
      <w:tr w:rsidR="002133E3" w14:paraId="4650F26E" w14:textId="77777777">
        <w:trPr>
          <w:trHeight w:val="300"/>
        </w:trPr>
        <w:tc>
          <w:tcPr>
            <w:tcW w:w="538" w:type="pct"/>
            <w:tcBorders>
              <w:top w:val="nil"/>
              <w:left w:val="single" w:sz="4" w:space="0" w:color="auto"/>
              <w:bottom w:val="single" w:sz="4" w:space="0" w:color="auto"/>
              <w:right w:val="single" w:sz="4" w:space="0" w:color="auto"/>
            </w:tcBorders>
            <w:shd w:val="clear" w:color="auto" w:fill="auto"/>
            <w:noWrap/>
            <w:vAlign w:val="center"/>
          </w:tcPr>
          <w:p w14:paraId="16FA8BB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验收</w:t>
            </w:r>
          </w:p>
        </w:tc>
        <w:tc>
          <w:tcPr>
            <w:tcW w:w="838" w:type="pct"/>
            <w:tcBorders>
              <w:top w:val="nil"/>
              <w:left w:val="nil"/>
              <w:bottom w:val="single" w:sz="4" w:space="0" w:color="auto"/>
              <w:right w:val="single" w:sz="4" w:space="0" w:color="auto"/>
            </w:tcBorders>
            <w:shd w:val="clear" w:color="auto" w:fill="auto"/>
            <w:noWrap/>
            <w:vAlign w:val="center"/>
          </w:tcPr>
          <w:p w14:paraId="24CDC8A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宋体" w:hAnsi="Times New Roman" w:cs="Times New Roman"/>
                <w:color w:val="000000"/>
                <w:kern w:val="0"/>
                <w:szCs w:val="21"/>
              </w:rPr>
              <w:t>去除效率（</w:t>
            </w:r>
            <w:r>
              <w:rPr>
                <w:rFonts w:ascii="Times New Roman" w:eastAsia="等线" w:hAnsi="Times New Roman" w:cs="Times New Roman"/>
                <w:color w:val="000000"/>
                <w:kern w:val="0"/>
                <w:szCs w:val="21"/>
              </w:rPr>
              <w:t>%</w:t>
            </w:r>
            <w:r>
              <w:rPr>
                <w:rFonts w:ascii="Times New Roman" w:eastAsia="宋体" w:hAnsi="Times New Roman" w:cs="Times New Roman"/>
                <w:color w:val="000000"/>
                <w:kern w:val="0"/>
                <w:szCs w:val="21"/>
              </w:rPr>
              <w:t>）</w:t>
            </w:r>
          </w:p>
        </w:tc>
        <w:tc>
          <w:tcPr>
            <w:tcW w:w="616" w:type="pct"/>
            <w:tcBorders>
              <w:top w:val="nil"/>
              <w:left w:val="nil"/>
              <w:bottom w:val="single" w:sz="4" w:space="0" w:color="auto"/>
              <w:right w:val="single" w:sz="4" w:space="0" w:color="auto"/>
            </w:tcBorders>
            <w:shd w:val="clear" w:color="auto" w:fill="auto"/>
            <w:noWrap/>
            <w:vAlign w:val="center"/>
          </w:tcPr>
          <w:p w14:paraId="0597E08D"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w:t>
            </w:r>
          </w:p>
        </w:tc>
        <w:tc>
          <w:tcPr>
            <w:tcW w:w="589" w:type="pct"/>
            <w:tcBorders>
              <w:top w:val="nil"/>
              <w:left w:val="nil"/>
              <w:bottom w:val="single" w:sz="4" w:space="0" w:color="auto"/>
              <w:right w:val="single" w:sz="4" w:space="0" w:color="auto"/>
            </w:tcBorders>
            <w:shd w:val="clear" w:color="auto" w:fill="auto"/>
            <w:noWrap/>
            <w:vAlign w:val="center"/>
          </w:tcPr>
          <w:p w14:paraId="2E8E3CF1"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99.60%</w:t>
            </w:r>
          </w:p>
        </w:tc>
        <w:tc>
          <w:tcPr>
            <w:tcW w:w="520" w:type="pct"/>
            <w:tcBorders>
              <w:top w:val="nil"/>
              <w:left w:val="nil"/>
              <w:bottom w:val="single" w:sz="4" w:space="0" w:color="auto"/>
              <w:right w:val="single" w:sz="4" w:space="0" w:color="auto"/>
            </w:tcBorders>
            <w:shd w:val="clear" w:color="auto" w:fill="auto"/>
            <w:vAlign w:val="center"/>
          </w:tcPr>
          <w:p w14:paraId="21C4BA7A"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98.80%</w:t>
            </w:r>
          </w:p>
        </w:tc>
        <w:tc>
          <w:tcPr>
            <w:tcW w:w="605" w:type="pct"/>
            <w:tcBorders>
              <w:top w:val="nil"/>
              <w:left w:val="nil"/>
              <w:bottom w:val="single" w:sz="4" w:space="0" w:color="auto"/>
              <w:right w:val="single" w:sz="4" w:space="0" w:color="auto"/>
            </w:tcBorders>
            <w:shd w:val="clear" w:color="auto" w:fill="auto"/>
            <w:vAlign w:val="center"/>
          </w:tcPr>
          <w:p w14:paraId="13329465"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54.61%</w:t>
            </w:r>
          </w:p>
        </w:tc>
        <w:tc>
          <w:tcPr>
            <w:tcW w:w="701" w:type="pct"/>
            <w:tcBorders>
              <w:top w:val="nil"/>
              <w:left w:val="nil"/>
              <w:bottom w:val="single" w:sz="4" w:space="0" w:color="auto"/>
              <w:right w:val="single" w:sz="4" w:space="0" w:color="auto"/>
            </w:tcBorders>
            <w:shd w:val="clear" w:color="auto" w:fill="auto"/>
            <w:vAlign w:val="center"/>
          </w:tcPr>
          <w:p w14:paraId="16739167"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85.90%</w:t>
            </w:r>
          </w:p>
        </w:tc>
        <w:tc>
          <w:tcPr>
            <w:tcW w:w="593" w:type="pct"/>
            <w:tcBorders>
              <w:top w:val="nil"/>
              <w:left w:val="nil"/>
              <w:bottom w:val="single" w:sz="4" w:space="0" w:color="auto"/>
              <w:right w:val="single" w:sz="4" w:space="0" w:color="auto"/>
            </w:tcBorders>
            <w:shd w:val="clear" w:color="auto" w:fill="auto"/>
            <w:noWrap/>
            <w:vAlign w:val="center"/>
          </w:tcPr>
          <w:p w14:paraId="6A9DE46C" w14:textId="77777777" w:rsidR="002133E3" w:rsidRDefault="00C22CFA">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89.37%</w:t>
            </w:r>
          </w:p>
        </w:tc>
      </w:tr>
    </w:tbl>
    <w:p w14:paraId="2A712EB8" w14:textId="77777777" w:rsidR="002133E3" w:rsidRDefault="00C22CFA">
      <w:pPr>
        <w:spacing w:line="52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kern w:val="0"/>
          <w:sz w:val="28"/>
          <w:szCs w:val="28"/>
        </w:rPr>
        <w:t>由表</w:t>
      </w:r>
      <w:r>
        <w:rPr>
          <w:rFonts w:ascii="Times New Roman" w:eastAsia="宋体" w:hAnsi="Times New Roman" w:cs="Times New Roman"/>
          <w:kern w:val="0"/>
          <w:sz w:val="28"/>
          <w:szCs w:val="28"/>
        </w:rPr>
        <w:t>7.3-3</w:t>
      </w:r>
      <w:r>
        <w:rPr>
          <w:rFonts w:ascii="Times New Roman" w:eastAsia="宋体" w:hAnsi="Times New Roman" w:cs="Times New Roman"/>
          <w:kern w:val="0"/>
          <w:sz w:val="28"/>
          <w:szCs w:val="28"/>
        </w:rPr>
        <w:t>可见，只要设计参数合理，操作运行得当，项目废水经处理后完全可以达到污水处理厂接管标准。</w:t>
      </w:r>
    </w:p>
    <w:p w14:paraId="531A0AA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主要经济技术指标及可行性分析</w:t>
      </w:r>
    </w:p>
    <w:p w14:paraId="2916AEC3" w14:textId="77777777" w:rsidR="002133E3" w:rsidRDefault="00C22CFA">
      <w:pPr>
        <w:spacing w:line="500" w:lineRule="exact"/>
        <w:ind w:firstLine="556"/>
        <w:rPr>
          <w:rFonts w:ascii="Times New Roman" w:eastAsia="宋体" w:hAnsi="Times New Roman" w:cs="Times New Roman"/>
          <w:b/>
          <w:sz w:val="30"/>
          <w:szCs w:val="30"/>
        </w:rPr>
      </w:pPr>
      <w:r>
        <w:rPr>
          <w:rFonts w:ascii="Times New Roman" w:eastAsia="宋体" w:hAnsi="Times New Roman" w:cs="Times New Roman"/>
          <w:sz w:val="28"/>
          <w:szCs w:val="28"/>
        </w:rPr>
        <w:t>本项目利用厂区内现有污水处理设施处理，厂区内污水处理设施处理吨水成本大约为</w:t>
      </w:r>
      <w:r>
        <w:rPr>
          <w:rFonts w:ascii="Times New Roman" w:eastAsia="宋体" w:hAnsi="Times New Roman" w:cs="Times New Roman"/>
          <w:sz w:val="28"/>
          <w:szCs w:val="28"/>
        </w:rPr>
        <w:t>20</w:t>
      </w:r>
      <w:r>
        <w:rPr>
          <w:rFonts w:ascii="Times New Roman" w:eastAsia="宋体" w:hAnsi="Times New Roman" w:cs="Times New Roman"/>
          <w:sz w:val="28"/>
          <w:szCs w:val="28"/>
        </w:rPr>
        <w:t>元，本项目建成后废水量减少，每年将减少处理费用约</w:t>
      </w:r>
      <w:r>
        <w:rPr>
          <w:rFonts w:ascii="Times New Roman" w:eastAsia="宋体" w:hAnsi="Times New Roman" w:cs="Times New Roman"/>
          <w:sz w:val="28"/>
          <w:szCs w:val="28"/>
        </w:rPr>
        <w:t>345</w:t>
      </w:r>
      <w:r>
        <w:rPr>
          <w:rFonts w:ascii="Times New Roman" w:eastAsia="宋体" w:hAnsi="Times New Roman" w:cs="Times New Roman"/>
          <w:sz w:val="28"/>
          <w:szCs w:val="28"/>
        </w:rPr>
        <w:t>万元。</w:t>
      </w:r>
    </w:p>
    <w:p w14:paraId="663B345F"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污水站废气</w:t>
      </w:r>
    </w:p>
    <w:p w14:paraId="08550FEF"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污水处理站无组织臭气为厂区主要污染源之一，具体集中在调节池、厌氧池、沉淀池、污泥池、集泥池等，涉及污染因子为硫化氢、氨气及少量有机废气。</w:t>
      </w:r>
    </w:p>
    <w:p w14:paraId="4250FB1F" w14:textId="77777777" w:rsidR="002133E3" w:rsidRDefault="00C22CFA">
      <w:pPr>
        <w:adjustRightInd w:val="0"/>
        <w:snapToGrid w:val="0"/>
        <w:spacing w:line="50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目前，厂区废水治理设施已加盖密封并对污水站废气收集处理。</w:t>
      </w:r>
    </w:p>
    <w:p w14:paraId="37BEB00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水污染事故防范对策</w:t>
      </w:r>
    </w:p>
    <w:p w14:paraId="2974A9C2" w14:textId="77777777" w:rsidR="002133E3" w:rsidRDefault="00C22CFA">
      <w:pPr>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建立日常性设备维护和巡回检查制度，减少有关设备的损坏，做到出现问题及时发现、及时处理、及时解决。污水处理系统检修要在停产期或与设备检修期同期进行。</w:t>
      </w:r>
    </w:p>
    <w:p w14:paraId="7BA13271" w14:textId="77777777" w:rsidR="002133E3" w:rsidRDefault="00C22CFA">
      <w:pPr>
        <w:adjustRightInd w:val="0"/>
        <w:snapToGrid w:val="0"/>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企业新建有效容积</w:t>
      </w:r>
      <w:r>
        <w:rPr>
          <w:rFonts w:ascii="Times New Roman" w:eastAsia="宋体" w:hAnsi="Times New Roman" w:cs="Times New Roman"/>
          <w:kern w:val="0"/>
          <w:sz w:val="28"/>
          <w:szCs w:val="28"/>
        </w:rPr>
        <w:t>43000m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的事故池兼消防尾水池</w:t>
      </w:r>
      <w:r>
        <w:rPr>
          <w:rFonts w:ascii="Times New Roman" w:eastAsia="宋体" w:hAnsi="Times New Roman" w:cs="Times New Roman"/>
          <w:kern w:val="0"/>
          <w:sz w:val="28"/>
          <w:szCs w:val="28"/>
        </w:rPr>
        <w:t>(40000m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事故池一座，</w:t>
      </w:r>
      <w:r>
        <w:rPr>
          <w:rFonts w:ascii="Times New Roman" w:eastAsia="宋体" w:hAnsi="Times New Roman" w:cs="Times New Roman"/>
          <w:kern w:val="0"/>
          <w:sz w:val="28"/>
          <w:szCs w:val="28"/>
        </w:rPr>
        <w:t>3000m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事故池一座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，可备废水发生突发性事故时贮存使用。</w:t>
      </w:r>
    </w:p>
    <w:p w14:paraId="72191761" w14:textId="77777777" w:rsidR="002133E3" w:rsidRDefault="00C22CFA">
      <w:pPr>
        <w:adjustRightInd w:val="0"/>
        <w:snapToGrid w:val="0"/>
        <w:spacing w:line="520" w:lineRule="exact"/>
        <w:ind w:firstLineChars="200" w:firstLine="560"/>
        <w:rPr>
          <w:rFonts w:ascii="Times New Roman" w:eastAsia="宋体" w:hAnsi="Times New Roman" w:cs="Times New Roman"/>
          <w:kern w:val="0"/>
          <w:sz w:val="28"/>
          <w:szCs w:val="28"/>
        </w:rPr>
      </w:pPr>
      <w:r>
        <w:rPr>
          <w:rFonts w:ascii="宋体" w:eastAsia="宋体" w:hAnsi="宋体" w:cs="宋体" w:hint="eastAsia"/>
          <w:kern w:val="0"/>
          <w:sz w:val="28"/>
          <w:szCs w:val="28"/>
        </w:rPr>
        <w:lastRenderedPageBreak/>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在运行过程中要严格按规范进行操作，并注意加强对污水处理设施的管理与维修保养，保证污水处理设施的正常运转，保证项目废水经处理后达标排放。</w:t>
      </w:r>
    </w:p>
    <w:p w14:paraId="47A2C7A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园区污水处理厂接纳可行性分析</w:t>
      </w:r>
    </w:p>
    <w:p w14:paraId="4AD2C675" w14:textId="77777777" w:rsidR="002133E3" w:rsidRDefault="00C22CFA">
      <w:pPr>
        <w:snapToGrid w:val="0"/>
        <w:spacing w:line="500" w:lineRule="atLeast"/>
        <w:ind w:firstLine="480"/>
        <w:rPr>
          <w:rFonts w:ascii="Times New Roman" w:eastAsia="宋体" w:hAnsi="Times New Roman" w:cs="Times New Roman"/>
          <w:sz w:val="28"/>
          <w:szCs w:val="28"/>
        </w:rPr>
      </w:pPr>
      <w:r>
        <w:rPr>
          <w:rFonts w:ascii="宋体" w:eastAsia="宋体" w:hAnsi="宋体" w:cs="宋体" w:hint="eastAsia"/>
          <w:sz w:val="28"/>
          <w:szCs w:val="28"/>
        </w:rPr>
        <w:t>⑴</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项目废水经厂区污水处理设施预处理后，水质能够达到园区污水处理厂的接管要求。通海污水处理厂已建处理规模为</w:t>
      </w:r>
      <w:r>
        <w:rPr>
          <w:rFonts w:ascii="Times New Roman" w:eastAsia="宋体" w:hAnsi="Times New Roman" w:cs="Times New Roman"/>
          <w:sz w:val="28"/>
          <w:szCs w:val="28"/>
        </w:rPr>
        <w:t>2</w:t>
      </w:r>
      <w:r>
        <w:rPr>
          <w:rFonts w:ascii="Times New Roman" w:eastAsia="宋体" w:hAnsi="Times New Roman" w:cs="Times New Roman"/>
          <w:sz w:val="28"/>
          <w:szCs w:val="28"/>
        </w:rPr>
        <w:t>万</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w:t>
      </w:r>
      <w:r>
        <w:rPr>
          <w:rFonts w:ascii="Times New Roman" w:eastAsia="宋体" w:hAnsi="Times New Roman" w:cs="Times New Roman"/>
          <w:kern w:val="0"/>
          <w:sz w:val="28"/>
          <w:szCs w:val="28"/>
        </w:rPr>
        <w:t>采用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格栅</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初沉池</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水解酸化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氧化沟</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化学氧化</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气浮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过滤</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消毒</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处理工艺，已通过验收，工艺流程图见图</w:t>
      </w:r>
      <w:r>
        <w:rPr>
          <w:rFonts w:ascii="Times New Roman" w:eastAsia="宋体" w:hAnsi="Times New Roman" w:cs="Times New Roman"/>
          <w:kern w:val="0"/>
          <w:sz w:val="28"/>
          <w:szCs w:val="28"/>
        </w:rPr>
        <w:t>7.3-2</w:t>
      </w:r>
      <w:r>
        <w:rPr>
          <w:rFonts w:ascii="Times New Roman" w:eastAsia="宋体" w:hAnsi="Times New Roman" w:cs="Times New Roman"/>
          <w:kern w:val="0"/>
          <w:sz w:val="28"/>
          <w:szCs w:val="28"/>
        </w:rPr>
        <w:t>，</w:t>
      </w:r>
      <w:r>
        <w:rPr>
          <w:rFonts w:ascii="Times New Roman" w:eastAsia="宋体" w:hAnsi="Times New Roman" w:cs="Times New Roman"/>
          <w:sz w:val="28"/>
          <w:szCs w:val="28"/>
        </w:rPr>
        <w:t>通海污水处理厂纳污范围包括海州湾生物科技园工业废水、职工生活污水。本项目建成后不新增废水排放量，因此本项目在水质、水量上进入通海污水处理厂处理是可行的。</w:t>
      </w:r>
    </w:p>
    <w:p w14:paraId="13146075"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⑵</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赣榆海州湾生物科技产业园污水管网已基本覆盖整个工业区，其管网建设与园区污水厂配套同时实施，园区污水收集管网已铺到企业门前，因此，从园区污水处理厂的服务范围和管网建设上来说，厂区废水接管到园区污水处理厂是可行的。</w:t>
      </w:r>
    </w:p>
    <w:p w14:paraId="0FC515D7"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综上所述，项目废水经预处理后进行园区污水处理厂处理是可行的。</w:t>
      </w:r>
    </w:p>
    <w:p w14:paraId="16E38877" w14:textId="77777777" w:rsidR="002133E3" w:rsidRDefault="002133E3">
      <w:pPr>
        <w:widowControl/>
        <w:autoSpaceDE w:val="0"/>
        <w:autoSpaceDN w:val="0"/>
        <w:adjustRightInd w:val="0"/>
        <w:spacing w:line="500" w:lineRule="exact"/>
        <w:ind w:firstLineChars="200" w:firstLine="560"/>
        <w:jc w:val="left"/>
        <w:rPr>
          <w:rFonts w:ascii="Times New Roman" w:eastAsia="宋体" w:hAnsi="Times New Roman" w:cs="Times New Roman"/>
          <w:kern w:val="0"/>
          <w:sz w:val="28"/>
          <w:szCs w:val="28"/>
        </w:rPr>
      </w:pPr>
    </w:p>
    <w:bookmarkStart w:id="87" w:name="_1464999720"/>
    <w:bookmarkStart w:id="88" w:name="_1479520867"/>
    <w:bookmarkStart w:id="89" w:name="_1496820145"/>
    <w:bookmarkStart w:id="90" w:name="_1465017335"/>
    <w:bookmarkEnd w:id="87"/>
    <w:bookmarkEnd w:id="88"/>
    <w:bookmarkEnd w:id="89"/>
    <w:bookmarkEnd w:id="90"/>
    <w:p w14:paraId="31F6E8EA" w14:textId="77777777" w:rsidR="002133E3" w:rsidRDefault="00C22CFA">
      <w:pPr>
        <w:ind w:firstLine="422"/>
        <w:jc w:val="center"/>
        <w:rPr>
          <w:rFonts w:ascii="Times New Roman" w:eastAsia="仿宋_GB2312" w:hAnsi="Times New Roman" w:cs="Times New Roman"/>
        </w:rPr>
      </w:pPr>
      <w:r>
        <w:rPr>
          <w:rFonts w:ascii="Times New Roman" w:eastAsia="仿宋_GB2312" w:hAnsi="Times New Roman" w:cs="Times New Roman"/>
        </w:rPr>
        <w:object w:dxaOrig="6294" w:dyaOrig="9808" w14:anchorId="1E388A4E">
          <v:shape id="_x0000_i1071" type="#_x0000_t75" style="width:314.7pt;height:490.4pt" o:ole="">
            <v:imagedata r:id="rId127" o:title="" croptop="1125f" cropbottom="6368f" cropleft="16738f" cropright="4283f"/>
          </v:shape>
          <o:OLEObject Type="Embed" ProgID="Word.Picture.8" ShapeID="_x0000_i1071" DrawAspect="Content" ObjectID="_1687345264" r:id="rId128"/>
        </w:object>
      </w:r>
    </w:p>
    <w:p w14:paraId="00A146FF" w14:textId="77777777" w:rsidR="002133E3" w:rsidRDefault="00C22CFA">
      <w:pPr>
        <w:snapToGrid w:val="0"/>
        <w:spacing w:line="500" w:lineRule="atLeast"/>
        <w:jc w:val="center"/>
        <w:rPr>
          <w:rFonts w:ascii="Times New Roman" w:eastAsia="宋体" w:hAnsi="Times New Roman" w:cs="Times New Roman"/>
          <w:b/>
          <w:sz w:val="24"/>
          <w:szCs w:val="24"/>
        </w:rPr>
      </w:pPr>
      <w:r>
        <w:rPr>
          <w:rFonts w:ascii="Times New Roman" w:eastAsia="宋体" w:hAnsi="Times New Roman" w:cs="Times New Roman"/>
          <w:b/>
          <w:sz w:val="24"/>
          <w:szCs w:val="24"/>
        </w:rPr>
        <w:t>图</w:t>
      </w:r>
      <w:r>
        <w:rPr>
          <w:rFonts w:ascii="Times New Roman" w:eastAsia="宋体" w:hAnsi="Times New Roman" w:cs="Times New Roman"/>
          <w:b/>
          <w:sz w:val="24"/>
          <w:szCs w:val="24"/>
        </w:rPr>
        <w:t xml:space="preserve">7.3-2  </w:t>
      </w:r>
      <w:r>
        <w:rPr>
          <w:rFonts w:ascii="Times New Roman" w:eastAsia="宋体" w:hAnsi="Times New Roman" w:cs="Times New Roman"/>
          <w:b/>
          <w:sz w:val="24"/>
          <w:szCs w:val="24"/>
        </w:rPr>
        <w:t>通海污水处理厂工艺流程图</w:t>
      </w:r>
    </w:p>
    <w:p w14:paraId="462D5737"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噪声污染防治措施及经济技术论证</w:t>
      </w:r>
    </w:p>
    <w:p w14:paraId="5477A3C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从噪声源上采取的治理措施园区污水处理厂接纳可行性分析</w:t>
      </w:r>
    </w:p>
    <w:p w14:paraId="0CD2396C"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采用生物发酵法进行有机化学原料生产，主要噪声设备为风机、粉碎机、泵、空压机等，在设计和设备采购阶段，应优先选用低噪声设备，如低噪的风机、离心机、泵等，从而从声源上降低设备本身的噪声。除此之外，应采取声学控制措施，对噪声源进行治理，根据本项目噪声源特征，项目噪声源具</w:t>
      </w:r>
      <w:r>
        <w:rPr>
          <w:rFonts w:ascii="Times New Roman" w:eastAsia="宋体" w:hAnsi="Times New Roman" w:cs="Times New Roman"/>
          <w:kern w:val="0"/>
          <w:sz w:val="28"/>
          <w:szCs w:val="28"/>
        </w:rPr>
        <w:lastRenderedPageBreak/>
        <w:t>体治理措施如表</w:t>
      </w:r>
      <w:r>
        <w:rPr>
          <w:rFonts w:ascii="Times New Roman" w:eastAsia="宋体" w:hAnsi="Times New Roman" w:cs="Times New Roman"/>
          <w:kern w:val="0"/>
          <w:sz w:val="28"/>
          <w:szCs w:val="28"/>
        </w:rPr>
        <w:t>7.4-1</w:t>
      </w:r>
      <w:r>
        <w:rPr>
          <w:rFonts w:ascii="Times New Roman" w:eastAsia="宋体" w:hAnsi="Times New Roman" w:cs="Times New Roman"/>
          <w:kern w:val="0"/>
          <w:sz w:val="28"/>
          <w:szCs w:val="28"/>
        </w:rPr>
        <w:t>。由于本项目利用已建工程污水站及配电房，因此污水站压滤机及发电机等设备的污染防治措施不再赘述。</w:t>
      </w:r>
    </w:p>
    <w:p w14:paraId="77F1A5F2" w14:textId="77777777" w:rsidR="002133E3" w:rsidRDefault="00C22CFA">
      <w:pPr>
        <w:widowControl/>
        <w:tabs>
          <w:tab w:val="left" w:pos="600"/>
        </w:tabs>
        <w:snapToGrid w:val="0"/>
        <w:spacing w:line="500" w:lineRule="atLeast"/>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表</w:t>
      </w:r>
      <w:r>
        <w:rPr>
          <w:rFonts w:ascii="Times New Roman" w:eastAsia="宋体" w:hAnsi="Times New Roman" w:cs="Times New Roman"/>
          <w:b/>
          <w:kern w:val="0"/>
          <w:sz w:val="24"/>
          <w:szCs w:val="20"/>
        </w:rPr>
        <w:t xml:space="preserve">7.4-1   </w:t>
      </w:r>
      <w:r>
        <w:rPr>
          <w:rFonts w:ascii="Times New Roman" w:eastAsia="宋体" w:hAnsi="Times New Roman" w:cs="Times New Roman"/>
          <w:b/>
          <w:kern w:val="0"/>
          <w:sz w:val="24"/>
          <w:szCs w:val="20"/>
        </w:rPr>
        <w:t>各噪声源的具体治理措施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23"/>
        <w:gridCol w:w="1950"/>
        <w:gridCol w:w="6121"/>
      </w:tblGrid>
      <w:tr w:rsidR="002133E3" w14:paraId="0DBB3C8C" w14:textId="77777777">
        <w:trPr>
          <w:cantSplit/>
          <w:jc w:val="center"/>
        </w:trPr>
        <w:tc>
          <w:tcPr>
            <w:tcW w:w="837" w:type="pct"/>
            <w:vAlign w:val="center"/>
          </w:tcPr>
          <w:p w14:paraId="0C781A38"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设备名称</w:t>
            </w:r>
          </w:p>
        </w:tc>
        <w:tc>
          <w:tcPr>
            <w:tcW w:w="1006" w:type="pct"/>
            <w:vAlign w:val="center"/>
          </w:tcPr>
          <w:p w14:paraId="76929FFF" w14:textId="77777777" w:rsidR="002133E3" w:rsidRDefault="00C22CFA">
            <w:pPr>
              <w:widowControl/>
              <w:adjustRightInd w:val="0"/>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设计降噪量</w:t>
            </w:r>
            <w:r>
              <w:rPr>
                <w:rFonts w:ascii="Times New Roman" w:eastAsia="宋体" w:hAnsi="Times New Roman" w:cs="Times New Roman"/>
                <w:b/>
                <w:kern w:val="0"/>
                <w:szCs w:val="21"/>
              </w:rPr>
              <w:t>dB(A)</w:t>
            </w:r>
          </w:p>
        </w:tc>
        <w:tc>
          <w:tcPr>
            <w:tcW w:w="3158" w:type="pct"/>
            <w:vAlign w:val="center"/>
          </w:tcPr>
          <w:p w14:paraId="7210E8AD"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治理措施</w:t>
            </w:r>
          </w:p>
        </w:tc>
      </w:tr>
      <w:tr w:rsidR="002133E3" w14:paraId="22C34A6A" w14:textId="77777777">
        <w:trPr>
          <w:cantSplit/>
          <w:jc w:val="center"/>
        </w:trPr>
        <w:tc>
          <w:tcPr>
            <w:tcW w:w="837" w:type="pct"/>
            <w:vAlign w:val="center"/>
          </w:tcPr>
          <w:p w14:paraId="630E788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风机</w:t>
            </w:r>
          </w:p>
        </w:tc>
        <w:tc>
          <w:tcPr>
            <w:tcW w:w="1006" w:type="pct"/>
            <w:vAlign w:val="center"/>
          </w:tcPr>
          <w:p w14:paraId="3D330A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3158" w:type="pct"/>
            <w:vAlign w:val="center"/>
          </w:tcPr>
          <w:p w14:paraId="6A142B05"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通风进出口设置进出风消声器，安装减振装置，设隔声围封</w:t>
            </w:r>
          </w:p>
        </w:tc>
      </w:tr>
      <w:tr w:rsidR="002133E3" w14:paraId="59688A4E" w14:textId="77777777">
        <w:trPr>
          <w:cantSplit/>
          <w:jc w:val="center"/>
        </w:trPr>
        <w:tc>
          <w:tcPr>
            <w:tcW w:w="837" w:type="pct"/>
            <w:vAlign w:val="center"/>
          </w:tcPr>
          <w:p w14:paraId="390A980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粉碎机</w:t>
            </w:r>
          </w:p>
        </w:tc>
        <w:tc>
          <w:tcPr>
            <w:tcW w:w="1006" w:type="pct"/>
            <w:vAlign w:val="center"/>
          </w:tcPr>
          <w:p w14:paraId="667818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3158" w:type="pct"/>
            <w:vAlign w:val="center"/>
          </w:tcPr>
          <w:p w14:paraId="285ED6F0"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安装减振装置，厂房隔音</w:t>
            </w:r>
          </w:p>
        </w:tc>
      </w:tr>
      <w:tr w:rsidR="002133E3" w14:paraId="1B07E43E" w14:textId="77777777">
        <w:trPr>
          <w:cantSplit/>
          <w:jc w:val="center"/>
        </w:trPr>
        <w:tc>
          <w:tcPr>
            <w:tcW w:w="837" w:type="pct"/>
            <w:vAlign w:val="center"/>
          </w:tcPr>
          <w:p w14:paraId="1A8EB95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减速机</w:t>
            </w:r>
          </w:p>
        </w:tc>
        <w:tc>
          <w:tcPr>
            <w:tcW w:w="1006" w:type="pct"/>
            <w:vAlign w:val="center"/>
          </w:tcPr>
          <w:p w14:paraId="7069F5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3158" w:type="pct"/>
            <w:vAlign w:val="center"/>
          </w:tcPr>
          <w:p w14:paraId="2BF2C1F7"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安装减振装置，设隔声围封</w:t>
            </w:r>
          </w:p>
        </w:tc>
      </w:tr>
      <w:tr w:rsidR="002133E3" w14:paraId="7BADE9EE" w14:textId="77777777">
        <w:trPr>
          <w:cantSplit/>
          <w:jc w:val="center"/>
        </w:trPr>
        <w:tc>
          <w:tcPr>
            <w:tcW w:w="837" w:type="pct"/>
            <w:vAlign w:val="center"/>
          </w:tcPr>
          <w:p w14:paraId="18CBEB4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泵</w:t>
            </w:r>
          </w:p>
        </w:tc>
        <w:tc>
          <w:tcPr>
            <w:tcW w:w="1006" w:type="pct"/>
            <w:vAlign w:val="center"/>
          </w:tcPr>
          <w:p w14:paraId="620CD0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30</w:t>
            </w:r>
          </w:p>
        </w:tc>
        <w:tc>
          <w:tcPr>
            <w:tcW w:w="3158" w:type="pct"/>
            <w:vAlign w:val="center"/>
          </w:tcPr>
          <w:p w14:paraId="2097D408"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安装减振装置，设泵房</w:t>
            </w:r>
          </w:p>
        </w:tc>
      </w:tr>
    </w:tbl>
    <w:p w14:paraId="59F4440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风机</w:t>
      </w:r>
    </w:p>
    <w:p w14:paraId="0AE3727B"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在进风口安装排气消声器，并采用泡沫塑料垫等减振、隔振措施，再通过隔声围封隔声后，达到</w:t>
      </w:r>
      <w:r>
        <w:rPr>
          <w:rFonts w:ascii="Times New Roman" w:eastAsia="宋体" w:hAnsi="Times New Roman" w:cs="Times New Roman"/>
          <w:kern w:val="0"/>
          <w:sz w:val="28"/>
          <w:szCs w:val="28"/>
        </w:rPr>
        <w:t>25dB(A)</w:t>
      </w:r>
      <w:r>
        <w:rPr>
          <w:rFonts w:ascii="Times New Roman" w:eastAsia="宋体" w:hAnsi="Times New Roman" w:cs="Times New Roman"/>
          <w:kern w:val="0"/>
          <w:sz w:val="28"/>
          <w:szCs w:val="28"/>
        </w:rPr>
        <w:t>隔声量是可行的。</w:t>
      </w:r>
    </w:p>
    <w:p w14:paraId="52AB7E4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粉碎机</w:t>
      </w:r>
    </w:p>
    <w:p w14:paraId="18190A7F"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粉碎机设置于木薯干仓库内，并采用泡沫塑料垫等减振、隔振措施，再通过厂房隔声后，达到</w:t>
      </w:r>
      <w:r>
        <w:rPr>
          <w:rFonts w:ascii="Times New Roman" w:eastAsia="宋体" w:hAnsi="Times New Roman" w:cs="Times New Roman"/>
          <w:kern w:val="0"/>
          <w:sz w:val="28"/>
          <w:szCs w:val="28"/>
        </w:rPr>
        <w:t>25dB(A)</w:t>
      </w:r>
      <w:r>
        <w:rPr>
          <w:rFonts w:ascii="Times New Roman" w:eastAsia="宋体" w:hAnsi="Times New Roman" w:cs="Times New Roman"/>
          <w:kern w:val="0"/>
          <w:sz w:val="28"/>
          <w:szCs w:val="28"/>
        </w:rPr>
        <w:t>隔声量是可行的。</w:t>
      </w:r>
    </w:p>
    <w:p w14:paraId="13B4584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减速机</w:t>
      </w:r>
    </w:p>
    <w:p w14:paraId="08AC0AE5"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采用泡沫塑料垫等减振、隔振措施，再通过隔声围封隔声后，隔声量可达</w:t>
      </w:r>
      <w:r>
        <w:rPr>
          <w:rFonts w:ascii="Times New Roman" w:eastAsia="宋体" w:hAnsi="Times New Roman" w:cs="Times New Roman"/>
          <w:kern w:val="0"/>
          <w:sz w:val="28"/>
          <w:szCs w:val="28"/>
        </w:rPr>
        <w:t>25dB(A)</w:t>
      </w:r>
      <w:r>
        <w:rPr>
          <w:rFonts w:ascii="Times New Roman" w:eastAsia="宋体" w:hAnsi="Times New Roman" w:cs="Times New Roman"/>
          <w:kern w:val="0"/>
          <w:sz w:val="28"/>
          <w:szCs w:val="28"/>
        </w:rPr>
        <w:t>。</w:t>
      </w:r>
    </w:p>
    <w:p w14:paraId="4B2A97E8"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⑷</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空压机</w:t>
      </w:r>
    </w:p>
    <w:p w14:paraId="3C127945"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空压机设于空压机房内，房屋密闭并且建筑物内贴吸音板。空压机的噪声呈中低频特性，空压机配有配套的消声器，并采用泡沫塑料垫等减振、隔振措施，再通过厂房隔声后，隔声量可达</w:t>
      </w:r>
      <w:r>
        <w:rPr>
          <w:rFonts w:ascii="Times New Roman" w:eastAsia="宋体" w:hAnsi="Times New Roman" w:cs="Times New Roman"/>
          <w:kern w:val="0"/>
          <w:sz w:val="28"/>
          <w:szCs w:val="28"/>
        </w:rPr>
        <w:t>25dB(A)</w:t>
      </w:r>
      <w:r>
        <w:rPr>
          <w:rFonts w:ascii="Times New Roman" w:eastAsia="宋体" w:hAnsi="Times New Roman" w:cs="Times New Roman"/>
          <w:kern w:val="0"/>
          <w:sz w:val="28"/>
          <w:szCs w:val="28"/>
        </w:rPr>
        <w:t>。空压机房必须解决通风散热问题，为防止噪声从空压机房散热通风进、出气口向外辐射，在散热进、出气口应安装消声器。</w:t>
      </w:r>
    </w:p>
    <w:p w14:paraId="2BC32BAD"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⑸</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泵</w:t>
      </w:r>
    </w:p>
    <w:p w14:paraId="796F5CFE"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安装在泵房内，水泵房采取隔声措施，采用泡沫塑料垫等减振、隔振措施，另外各类泵可采用内涂吸声材料、外覆吸声材料方式处理，隔声量可达</w:t>
      </w:r>
      <w:r>
        <w:rPr>
          <w:rFonts w:ascii="Times New Roman" w:eastAsia="宋体" w:hAnsi="Times New Roman" w:cs="Times New Roman"/>
          <w:kern w:val="0"/>
          <w:sz w:val="28"/>
          <w:szCs w:val="28"/>
        </w:rPr>
        <w:t>30dB(A)</w:t>
      </w:r>
      <w:r>
        <w:rPr>
          <w:rFonts w:ascii="Times New Roman" w:eastAsia="宋体" w:hAnsi="Times New Roman" w:cs="Times New Roman"/>
          <w:kern w:val="0"/>
          <w:sz w:val="28"/>
          <w:szCs w:val="28"/>
        </w:rPr>
        <w:t>，泵房采取隔声措施后还必须考虑通风散热，可采用全面通风，此外通风进出口应设置进出风消声器，以防止噪声向外辐射。</w:t>
      </w:r>
    </w:p>
    <w:p w14:paraId="404F719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从噪声传播途径上采取的治理措施</w:t>
      </w:r>
    </w:p>
    <w:p w14:paraId="42C658E5"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lastRenderedPageBreak/>
        <w:t>⑴</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8"/>
        </w:rPr>
        <w:t>采用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闹静分开</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和合理布局的设施原则，尽量将高噪声源远离噪声敏感区域或厂界。</w:t>
      </w:r>
    </w:p>
    <w:p w14:paraId="4E4D2042"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t>⑵</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在主要噪声源设备及厂房周围，宜布置对噪声较不敏感的、有利于隔声的建筑物、构筑物，如辅助车间、仓库等。</w:t>
      </w:r>
    </w:p>
    <w:p w14:paraId="7FDB605C"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t>⑶</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在满足工艺流程要求的前提下，高噪声设备宜相对集中，并尽量布置在厂房内。</w:t>
      </w:r>
    </w:p>
    <w:p w14:paraId="1E0CA834"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t>⑷</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充分利用地形、地物隔挡噪声，主要噪声源低位布置。</w:t>
      </w:r>
    </w:p>
    <w:p w14:paraId="669D9341"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t>⑸</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有强烈振动的设备，不布置在楼板或平台上。</w:t>
      </w:r>
    </w:p>
    <w:p w14:paraId="4626FF94" w14:textId="77777777" w:rsidR="002133E3" w:rsidRDefault="00C22CFA">
      <w:pPr>
        <w:spacing w:line="520" w:lineRule="exact"/>
        <w:ind w:firstLineChars="200" w:firstLine="560"/>
        <w:jc w:val="left"/>
        <w:rPr>
          <w:rFonts w:ascii="Times New Roman" w:eastAsia="宋体" w:hAnsi="Times New Roman" w:cs="Times New Roman"/>
          <w:b/>
          <w:sz w:val="30"/>
          <w:szCs w:val="30"/>
        </w:rPr>
      </w:pPr>
      <w:r>
        <w:rPr>
          <w:rFonts w:ascii="宋体" w:eastAsia="宋体" w:hAnsi="宋体" w:cs="宋体" w:hint="eastAsia"/>
          <w:kern w:val="0"/>
          <w:sz w:val="28"/>
          <w:szCs w:val="20"/>
        </w:rPr>
        <w:t>⑹</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设备布置时，充分考虑与其配用的噪声控制专用设备的安装和维修空间。</w:t>
      </w:r>
    </w:p>
    <w:p w14:paraId="612797D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其它治理措施</w:t>
      </w:r>
    </w:p>
    <w:p w14:paraId="46FA2E50"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t>⑴</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在管理人员集中的控制室，其门窗等应进行隔声处理，使环境达到相应的噪声标准；在高噪音场所，值班人员或检修人员应加强个体防护，配戴防噪耳塞、耳罩等。</w:t>
      </w:r>
    </w:p>
    <w:p w14:paraId="06CF86E9"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0"/>
        </w:rPr>
        <w:t>厂区加强绿化。</w:t>
      </w:r>
    </w:p>
    <w:p w14:paraId="627755EF"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0"/>
        </w:rPr>
        <w:t>加强设备维护，确保设备处于良好的运转状态，杜绝因设备不正常运转时产生的高噪声现象。</w:t>
      </w:r>
    </w:p>
    <w:p w14:paraId="1728A1FF"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0"/>
        </w:rPr>
        <w:t>经采取上述措施，加上距离衰减，可使项目厂界噪声达到《工业企业厂界环境噪声排放标准》</w:t>
      </w:r>
      <w:r>
        <w:rPr>
          <w:rFonts w:ascii="Times New Roman" w:eastAsia="宋体" w:hAnsi="Times New Roman" w:cs="Times New Roman"/>
          <w:kern w:val="0"/>
          <w:sz w:val="28"/>
          <w:szCs w:val="20"/>
        </w:rPr>
        <w:t>(GB12348-2008)</w:t>
      </w:r>
      <w:r>
        <w:rPr>
          <w:rFonts w:ascii="Times New Roman" w:eastAsia="宋体" w:hAnsi="Times New Roman" w:cs="Times New Roman"/>
          <w:kern w:val="0"/>
          <w:sz w:val="28"/>
          <w:szCs w:val="20"/>
        </w:rPr>
        <w:t>中的</w:t>
      </w:r>
      <w:r>
        <w:rPr>
          <w:rFonts w:ascii="Times New Roman" w:eastAsia="宋体" w:hAnsi="Times New Roman" w:cs="Times New Roman"/>
          <w:kern w:val="0"/>
          <w:sz w:val="28"/>
          <w:szCs w:val="20"/>
        </w:rPr>
        <w:t>3</w:t>
      </w:r>
      <w:r>
        <w:rPr>
          <w:rFonts w:ascii="Times New Roman" w:eastAsia="宋体" w:hAnsi="Times New Roman" w:cs="Times New Roman"/>
          <w:kern w:val="0"/>
          <w:sz w:val="28"/>
          <w:szCs w:val="20"/>
        </w:rPr>
        <w:t>类标准</w:t>
      </w:r>
      <w:r>
        <w:rPr>
          <w:rFonts w:ascii="Times New Roman" w:eastAsia="宋体" w:hAnsi="Times New Roman" w:cs="Times New Roman"/>
          <w:b/>
          <w:kern w:val="0"/>
          <w:sz w:val="28"/>
          <w:szCs w:val="20"/>
        </w:rPr>
        <w:t>，</w:t>
      </w:r>
      <w:r>
        <w:rPr>
          <w:rFonts w:ascii="Times New Roman" w:eastAsia="宋体" w:hAnsi="Times New Roman" w:cs="Times New Roman"/>
          <w:kern w:val="0"/>
          <w:sz w:val="28"/>
          <w:szCs w:val="20"/>
        </w:rPr>
        <w:t>满足环境保护的要求。</w:t>
      </w:r>
    </w:p>
    <w:p w14:paraId="0CDB63E5"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highlight w:val="yellow"/>
        </w:rPr>
      </w:pPr>
      <w:r>
        <w:rPr>
          <w:rFonts w:ascii="Times New Roman" w:eastAsia="宋体" w:hAnsi="Times New Roman" w:cs="Times New Roman"/>
          <w:b/>
          <w:sz w:val="30"/>
          <w:szCs w:val="30"/>
          <w:highlight w:val="yellow"/>
        </w:rPr>
        <w:t>固体废物污染防治措施的经济技术论证</w:t>
      </w:r>
    </w:p>
    <w:p w14:paraId="5793FAC4"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技改项目</w:t>
      </w:r>
      <w:r>
        <w:rPr>
          <w:rFonts w:ascii="Times New Roman" w:eastAsia="宋体" w:hAnsi="Times New Roman" w:cs="Times New Roman"/>
          <w:kern w:val="0"/>
          <w:sz w:val="28"/>
          <w:szCs w:val="28"/>
        </w:rPr>
        <w:t>营运期</w:t>
      </w:r>
      <w:r>
        <w:rPr>
          <w:rFonts w:ascii="Times New Roman" w:eastAsia="宋体" w:hAnsi="Times New Roman" w:cs="Times New Roman" w:hint="eastAsia"/>
          <w:kern w:val="0"/>
          <w:sz w:val="28"/>
          <w:szCs w:val="28"/>
        </w:rPr>
        <w:t>新增</w:t>
      </w:r>
      <w:r>
        <w:rPr>
          <w:rFonts w:ascii="Times New Roman" w:eastAsia="宋体" w:hAnsi="Times New Roman" w:cs="Times New Roman"/>
          <w:kern w:val="0"/>
          <w:sz w:val="28"/>
          <w:szCs w:val="28"/>
        </w:rPr>
        <w:t>固体废物主要为无水乙醇制备产生的废分子筛</w:t>
      </w:r>
      <w:r>
        <w:rPr>
          <w:rFonts w:ascii="Times New Roman" w:eastAsia="宋体" w:hAnsi="Times New Roman" w:cs="Times New Roman" w:hint="eastAsia"/>
          <w:kern w:val="0"/>
          <w:sz w:val="28"/>
          <w:szCs w:val="28"/>
        </w:rPr>
        <w:t>及废包装材料</w:t>
      </w:r>
      <w:r>
        <w:rPr>
          <w:rFonts w:ascii="Times New Roman" w:eastAsia="宋体" w:hAnsi="Times New Roman" w:cs="Times New Roman"/>
          <w:kern w:val="0"/>
          <w:sz w:val="28"/>
          <w:szCs w:val="28"/>
        </w:rPr>
        <w:t>等，项目固废废物产生及利用处置方式见表</w:t>
      </w:r>
      <w:r>
        <w:rPr>
          <w:rFonts w:ascii="Times New Roman" w:eastAsia="宋体" w:hAnsi="Times New Roman" w:cs="Times New Roman"/>
          <w:kern w:val="0"/>
          <w:sz w:val="28"/>
          <w:szCs w:val="28"/>
        </w:rPr>
        <w:t>7.5-1</w:t>
      </w:r>
      <w:r>
        <w:rPr>
          <w:rFonts w:ascii="Times New Roman" w:eastAsia="宋体" w:hAnsi="Times New Roman" w:cs="Times New Roman"/>
          <w:kern w:val="0"/>
          <w:sz w:val="28"/>
          <w:szCs w:val="28"/>
        </w:rPr>
        <w:t>。</w:t>
      </w:r>
    </w:p>
    <w:p w14:paraId="63082258" w14:textId="77777777" w:rsidR="002133E3" w:rsidRDefault="00C22CFA">
      <w:pPr>
        <w:widowControl/>
        <w:tabs>
          <w:tab w:val="left" w:pos="600"/>
        </w:tabs>
        <w:spacing w:line="500" w:lineRule="exact"/>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表</w:t>
      </w:r>
      <w:r>
        <w:rPr>
          <w:rFonts w:ascii="Times New Roman" w:eastAsia="宋体" w:hAnsi="Times New Roman" w:cs="Times New Roman"/>
          <w:b/>
          <w:kern w:val="0"/>
          <w:sz w:val="24"/>
          <w:szCs w:val="20"/>
        </w:rPr>
        <w:t xml:space="preserve">7.5-1   </w:t>
      </w:r>
      <w:r>
        <w:rPr>
          <w:rFonts w:ascii="Times New Roman" w:eastAsia="宋体" w:hAnsi="Times New Roman" w:cs="Times New Roman"/>
          <w:b/>
          <w:kern w:val="0"/>
          <w:sz w:val="24"/>
          <w:szCs w:val="20"/>
        </w:rPr>
        <w:t>项目固体废物产生及利用处置方式汇总表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701"/>
        <w:gridCol w:w="1134"/>
        <w:gridCol w:w="1701"/>
        <w:gridCol w:w="804"/>
        <w:gridCol w:w="1747"/>
        <w:gridCol w:w="1061"/>
        <w:gridCol w:w="1172"/>
      </w:tblGrid>
      <w:tr w:rsidR="002133E3" w14:paraId="236C0449" w14:textId="77777777">
        <w:trPr>
          <w:trHeight w:val="270"/>
        </w:trPr>
        <w:tc>
          <w:tcPr>
            <w:tcW w:w="534" w:type="dxa"/>
            <w:shd w:val="clear" w:color="auto" w:fill="auto"/>
            <w:noWrap/>
            <w:vAlign w:val="center"/>
          </w:tcPr>
          <w:p w14:paraId="4A1A6E7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序号</w:t>
            </w:r>
          </w:p>
        </w:tc>
        <w:tc>
          <w:tcPr>
            <w:tcW w:w="1701" w:type="dxa"/>
            <w:shd w:val="clear" w:color="auto" w:fill="auto"/>
            <w:noWrap/>
            <w:vAlign w:val="center"/>
          </w:tcPr>
          <w:p w14:paraId="730BFB8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固废名称</w:t>
            </w:r>
          </w:p>
        </w:tc>
        <w:tc>
          <w:tcPr>
            <w:tcW w:w="1134" w:type="dxa"/>
            <w:shd w:val="clear" w:color="auto" w:fill="auto"/>
            <w:noWrap/>
            <w:vAlign w:val="center"/>
          </w:tcPr>
          <w:p w14:paraId="2DBC79E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产生工序</w:t>
            </w:r>
          </w:p>
        </w:tc>
        <w:tc>
          <w:tcPr>
            <w:tcW w:w="1701" w:type="dxa"/>
            <w:shd w:val="clear" w:color="auto" w:fill="auto"/>
            <w:noWrap/>
            <w:vAlign w:val="center"/>
          </w:tcPr>
          <w:p w14:paraId="329C638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属性</w:t>
            </w:r>
          </w:p>
        </w:tc>
        <w:tc>
          <w:tcPr>
            <w:tcW w:w="804" w:type="dxa"/>
            <w:shd w:val="clear" w:color="auto" w:fill="auto"/>
            <w:noWrap/>
            <w:vAlign w:val="center"/>
          </w:tcPr>
          <w:p w14:paraId="34A269F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形态</w:t>
            </w:r>
          </w:p>
        </w:tc>
        <w:tc>
          <w:tcPr>
            <w:tcW w:w="1747" w:type="dxa"/>
            <w:shd w:val="clear" w:color="auto" w:fill="auto"/>
            <w:noWrap/>
            <w:vAlign w:val="center"/>
          </w:tcPr>
          <w:p w14:paraId="55C7E63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D0D0D"/>
                <w:kern w:val="0"/>
                <w:szCs w:val="21"/>
              </w:rPr>
              <w:t>主要成分</w:t>
            </w:r>
          </w:p>
        </w:tc>
        <w:tc>
          <w:tcPr>
            <w:tcW w:w="1061" w:type="dxa"/>
            <w:shd w:val="clear" w:color="auto" w:fill="auto"/>
            <w:noWrap/>
            <w:vAlign w:val="center"/>
          </w:tcPr>
          <w:p w14:paraId="70D8DD98" w14:textId="77777777" w:rsidR="002133E3" w:rsidRDefault="00C22CFA">
            <w:pPr>
              <w:widowControl/>
              <w:ind w:leftChars="-50" w:left="-105" w:rightChars="-50" w:right="-105"/>
              <w:jc w:val="center"/>
              <w:rPr>
                <w:rFonts w:ascii="Times New Roman" w:eastAsia="宋体" w:hAnsi="Times New Roman" w:cs="Times New Roman"/>
                <w:b/>
                <w:bCs/>
                <w:color w:val="0D0D0D"/>
                <w:kern w:val="0"/>
                <w:szCs w:val="21"/>
              </w:rPr>
            </w:pPr>
            <w:r>
              <w:rPr>
                <w:rFonts w:ascii="Times New Roman" w:eastAsia="宋体" w:hAnsi="Times New Roman" w:cs="Times New Roman"/>
                <w:b/>
                <w:bCs/>
                <w:color w:val="0D0D0D"/>
                <w:kern w:val="0"/>
                <w:szCs w:val="21"/>
              </w:rPr>
              <w:t>估算产生量</w:t>
            </w:r>
          </w:p>
          <w:p w14:paraId="4ABA00D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D0D0D"/>
                <w:kern w:val="0"/>
                <w:szCs w:val="21"/>
              </w:rPr>
              <w:t>（</w:t>
            </w:r>
            <w:r>
              <w:rPr>
                <w:rFonts w:ascii="Times New Roman" w:eastAsia="宋体" w:hAnsi="Times New Roman" w:cs="Times New Roman"/>
                <w:b/>
                <w:bCs/>
                <w:color w:val="0D0D0D"/>
                <w:kern w:val="0"/>
                <w:szCs w:val="21"/>
              </w:rPr>
              <w:t>t/a</w:t>
            </w:r>
            <w:r>
              <w:rPr>
                <w:rFonts w:ascii="Times New Roman" w:eastAsia="宋体" w:hAnsi="Times New Roman" w:cs="Times New Roman"/>
                <w:b/>
                <w:bCs/>
                <w:color w:val="0D0D0D"/>
                <w:kern w:val="0"/>
                <w:szCs w:val="21"/>
              </w:rPr>
              <w:t>）</w:t>
            </w:r>
          </w:p>
        </w:tc>
        <w:tc>
          <w:tcPr>
            <w:tcW w:w="1172" w:type="dxa"/>
            <w:shd w:val="clear" w:color="auto" w:fill="auto"/>
            <w:noWrap/>
            <w:vAlign w:val="center"/>
          </w:tcPr>
          <w:p w14:paraId="5CBEEBE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处置措施</w:t>
            </w:r>
          </w:p>
        </w:tc>
      </w:tr>
      <w:tr w:rsidR="002133E3" w14:paraId="145724EE" w14:textId="77777777">
        <w:trPr>
          <w:trHeight w:val="300"/>
        </w:trPr>
        <w:tc>
          <w:tcPr>
            <w:tcW w:w="534" w:type="dxa"/>
            <w:shd w:val="clear" w:color="auto" w:fill="auto"/>
            <w:noWrap/>
            <w:vAlign w:val="center"/>
          </w:tcPr>
          <w:p w14:paraId="01ED2D6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1701" w:type="dxa"/>
            <w:shd w:val="clear" w:color="auto" w:fill="auto"/>
            <w:noWrap/>
            <w:vAlign w:val="center"/>
          </w:tcPr>
          <w:p w14:paraId="02F47E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废分子筛</w:t>
            </w:r>
          </w:p>
        </w:tc>
        <w:tc>
          <w:tcPr>
            <w:tcW w:w="1134" w:type="dxa"/>
            <w:shd w:val="clear" w:color="auto" w:fill="auto"/>
            <w:noWrap/>
            <w:vAlign w:val="center"/>
          </w:tcPr>
          <w:p w14:paraId="789EF3D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无水乙醇制备</w:t>
            </w:r>
          </w:p>
        </w:tc>
        <w:tc>
          <w:tcPr>
            <w:tcW w:w="1701" w:type="dxa"/>
            <w:shd w:val="clear" w:color="auto" w:fill="auto"/>
            <w:noWrap/>
            <w:vAlign w:val="center"/>
          </w:tcPr>
          <w:p w14:paraId="04FC9C9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一般工业固废</w:t>
            </w:r>
          </w:p>
        </w:tc>
        <w:tc>
          <w:tcPr>
            <w:tcW w:w="804" w:type="dxa"/>
            <w:shd w:val="clear" w:color="auto" w:fill="auto"/>
            <w:noWrap/>
            <w:vAlign w:val="center"/>
          </w:tcPr>
          <w:p w14:paraId="6A0F64C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固态</w:t>
            </w:r>
          </w:p>
        </w:tc>
        <w:tc>
          <w:tcPr>
            <w:tcW w:w="1747" w:type="dxa"/>
            <w:shd w:val="clear" w:color="auto" w:fill="auto"/>
            <w:noWrap/>
            <w:vAlign w:val="center"/>
          </w:tcPr>
          <w:p w14:paraId="6B9A1B0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分子筛、乙醇、水</w:t>
            </w:r>
          </w:p>
        </w:tc>
        <w:tc>
          <w:tcPr>
            <w:tcW w:w="1061" w:type="dxa"/>
            <w:shd w:val="clear" w:color="auto" w:fill="auto"/>
            <w:noWrap/>
            <w:vAlign w:val="center"/>
          </w:tcPr>
          <w:p w14:paraId="120BDB9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14.3</w:t>
            </w:r>
          </w:p>
        </w:tc>
        <w:tc>
          <w:tcPr>
            <w:tcW w:w="1172" w:type="dxa"/>
            <w:shd w:val="clear" w:color="auto" w:fill="auto"/>
            <w:noWrap/>
            <w:vAlign w:val="center"/>
          </w:tcPr>
          <w:p w14:paraId="6BF4406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外售综合利用</w:t>
            </w:r>
          </w:p>
        </w:tc>
      </w:tr>
      <w:tr w:rsidR="002133E3" w14:paraId="07376983" w14:textId="77777777">
        <w:trPr>
          <w:trHeight w:val="270"/>
        </w:trPr>
        <w:tc>
          <w:tcPr>
            <w:tcW w:w="534" w:type="dxa"/>
            <w:shd w:val="clear" w:color="auto" w:fill="auto"/>
            <w:noWrap/>
            <w:vAlign w:val="center"/>
          </w:tcPr>
          <w:p w14:paraId="6E3087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p>
        </w:tc>
        <w:tc>
          <w:tcPr>
            <w:tcW w:w="1701" w:type="dxa"/>
            <w:shd w:val="clear" w:color="auto" w:fill="auto"/>
            <w:noWrap/>
            <w:vAlign w:val="center"/>
          </w:tcPr>
          <w:p w14:paraId="56D7301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废包装材料</w:t>
            </w:r>
          </w:p>
        </w:tc>
        <w:tc>
          <w:tcPr>
            <w:tcW w:w="1134" w:type="dxa"/>
            <w:shd w:val="clear" w:color="auto" w:fill="auto"/>
            <w:noWrap/>
            <w:vAlign w:val="center"/>
          </w:tcPr>
          <w:p w14:paraId="185CFA8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原料包装</w:t>
            </w:r>
          </w:p>
        </w:tc>
        <w:tc>
          <w:tcPr>
            <w:tcW w:w="1701" w:type="dxa"/>
            <w:shd w:val="clear" w:color="auto" w:fill="auto"/>
            <w:noWrap/>
            <w:vAlign w:val="center"/>
          </w:tcPr>
          <w:p w14:paraId="4204303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危险固废</w:t>
            </w:r>
          </w:p>
        </w:tc>
        <w:tc>
          <w:tcPr>
            <w:tcW w:w="804" w:type="dxa"/>
            <w:shd w:val="clear" w:color="auto" w:fill="auto"/>
            <w:noWrap/>
            <w:vAlign w:val="center"/>
          </w:tcPr>
          <w:p w14:paraId="35BB5F2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固态</w:t>
            </w:r>
          </w:p>
        </w:tc>
        <w:tc>
          <w:tcPr>
            <w:tcW w:w="1747" w:type="dxa"/>
            <w:shd w:val="clear" w:color="auto" w:fill="auto"/>
            <w:noWrap/>
            <w:vAlign w:val="center"/>
          </w:tcPr>
          <w:p w14:paraId="703EA14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包装袋、化学原料等</w:t>
            </w:r>
          </w:p>
        </w:tc>
        <w:tc>
          <w:tcPr>
            <w:tcW w:w="1061" w:type="dxa"/>
            <w:shd w:val="clear" w:color="auto" w:fill="auto"/>
            <w:noWrap/>
            <w:vAlign w:val="center"/>
          </w:tcPr>
          <w:p w14:paraId="2DBE048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0.63</w:t>
            </w:r>
          </w:p>
        </w:tc>
        <w:tc>
          <w:tcPr>
            <w:tcW w:w="1172" w:type="dxa"/>
            <w:shd w:val="clear" w:color="auto" w:fill="auto"/>
            <w:noWrap/>
            <w:vAlign w:val="center"/>
          </w:tcPr>
          <w:p w14:paraId="6DC0598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委托处理</w:t>
            </w:r>
          </w:p>
        </w:tc>
      </w:tr>
    </w:tbl>
    <w:p w14:paraId="73D7759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一般固废处理措施</w:t>
      </w:r>
    </w:p>
    <w:p w14:paraId="2BC6379C" w14:textId="77777777" w:rsidR="002133E3" w:rsidRDefault="00C22CFA">
      <w:pPr>
        <w:spacing w:line="520" w:lineRule="exact"/>
        <w:ind w:firstLineChars="200" w:firstLine="560"/>
        <w:rPr>
          <w:rFonts w:ascii="Times New Roman" w:eastAsia="宋体" w:hAnsi="宋体" w:cs="Times New Roman"/>
          <w:kern w:val="0"/>
          <w:sz w:val="28"/>
          <w:szCs w:val="28"/>
        </w:rPr>
      </w:pPr>
      <w:r>
        <w:rPr>
          <w:rFonts w:ascii="Times New Roman" w:eastAsia="宋体" w:hAnsi="Times New Roman" w:cs="Times New Roman"/>
          <w:kern w:val="0"/>
          <w:sz w:val="28"/>
          <w:szCs w:val="28"/>
        </w:rPr>
        <w:lastRenderedPageBreak/>
        <w:t>无水乙醇制备过程采用铝材质分子筛平均</w:t>
      </w:r>
      <w:r>
        <w:rPr>
          <w:rFonts w:ascii="Times New Roman" w:eastAsia="宋体" w:hAnsi="Times New Roman" w:cs="Times New Roman"/>
          <w:kern w:val="0"/>
          <w:sz w:val="28"/>
          <w:szCs w:val="28"/>
        </w:rPr>
        <w:t>6~7</w:t>
      </w:r>
      <w:r>
        <w:rPr>
          <w:rFonts w:ascii="Times New Roman" w:eastAsia="宋体" w:hAnsi="Times New Roman" w:cs="Times New Roman"/>
          <w:kern w:val="0"/>
          <w:sz w:val="28"/>
          <w:szCs w:val="28"/>
        </w:rPr>
        <w:t>年更换一次</w:t>
      </w:r>
      <w:r>
        <w:rPr>
          <w:rFonts w:ascii="Times New Roman" w:eastAsia="宋体" w:hAnsi="Times New Roman" w:cs="Times New Roman"/>
          <w:kern w:val="0"/>
          <w:sz w:val="28"/>
          <w:szCs w:val="28"/>
        </w:rPr>
        <w:t>,</w:t>
      </w:r>
      <w:r>
        <w:rPr>
          <w:rFonts w:ascii="Times New Roman" w:eastAsia="宋体" w:hAnsi="Times New Roman" w:cs="Times New Roman"/>
        </w:rPr>
        <w:t xml:space="preserve"> </w:t>
      </w:r>
      <w:r>
        <w:rPr>
          <w:rFonts w:ascii="Times New Roman" w:eastAsia="宋体" w:hAnsi="Times New Roman" w:cs="Times New Roman"/>
          <w:kern w:val="0"/>
          <w:sz w:val="28"/>
          <w:szCs w:val="28"/>
        </w:rPr>
        <w:t>更换量约</w:t>
      </w:r>
      <w:r>
        <w:rPr>
          <w:rFonts w:ascii="Times New Roman" w:eastAsia="宋体" w:hAnsi="Times New Roman" w:cs="Times New Roman"/>
          <w:kern w:val="0"/>
          <w:sz w:val="28"/>
          <w:szCs w:val="28"/>
        </w:rPr>
        <w:t>100t</w:t>
      </w:r>
      <w:r>
        <w:rPr>
          <w:rFonts w:ascii="Times New Roman" w:eastAsia="宋体" w:hAnsi="Times New Roman" w:cs="Times New Roman"/>
          <w:kern w:val="0"/>
          <w:sz w:val="28"/>
          <w:szCs w:val="28"/>
        </w:rPr>
        <w:t>，平均</w:t>
      </w:r>
      <w:r>
        <w:rPr>
          <w:rFonts w:ascii="Times New Roman" w:eastAsia="宋体" w:hAnsi="Times New Roman" w:cs="Times New Roman"/>
          <w:kern w:val="0"/>
          <w:sz w:val="28"/>
          <w:szCs w:val="28"/>
        </w:rPr>
        <w:t>14.3t/a</w:t>
      </w:r>
      <w:r>
        <w:rPr>
          <w:rFonts w:ascii="Times New Roman" w:eastAsia="宋体" w:hAnsi="Times New Roman" w:cs="Times New Roman"/>
          <w:kern w:val="0"/>
          <w:sz w:val="28"/>
          <w:szCs w:val="28"/>
        </w:rPr>
        <w:t>，为一般工业固废</w:t>
      </w:r>
      <w:r>
        <w:rPr>
          <w:rFonts w:ascii="Times New Roman" w:eastAsia="宋体" w:hAnsi="Times New Roman" w:cs="Times New Roman" w:hint="eastAsia"/>
          <w:kern w:val="0"/>
          <w:sz w:val="28"/>
          <w:szCs w:val="28"/>
        </w:rPr>
        <w:t>，</w:t>
      </w:r>
      <w:r>
        <w:rPr>
          <w:rFonts w:ascii="Times New Roman" w:eastAsia="宋体" w:hAnsi="Times New Roman" w:cs="Times New Roman" w:hint="eastAsia"/>
          <w:sz w:val="28"/>
          <w:szCs w:val="28"/>
        </w:rPr>
        <w:t>外售综合利用</w:t>
      </w:r>
      <w:r>
        <w:rPr>
          <w:rFonts w:ascii="Times New Roman" w:eastAsia="宋体" w:hAnsi="Times New Roman" w:cs="Times New Roman" w:hint="eastAsia"/>
          <w:kern w:val="0"/>
          <w:sz w:val="28"/>
          <w:szCs w:val="28"/>
        </w:rPr>
        <w:t>，</w:t>
      </w:r>
      <w:r>
        <w:rPr>
          <w:rFonts w:ascii="Times New Roman" w:eastAsia="宋体" w:hAnsi="宋体" w:cs="Times New Roman"/>
          <w:kern w:val="0"/>
          <w:sz w:val="28"/>
          <w:szCs w:val="28"/>
        </w:rPr>
        <w:t>不会对周围环境产生二次污染。</w:t>
      </w:r>
    </w:p>
    <w:p w14:paraId="6E501FE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危险废物处置措施</w:t>
      </w:r>
    </w:p>
    <w:p w14:paraId="12E5D983"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hint="eastAsia"/>
          <w:color w:val="0D0D0D"/>
          <w:sz w:val="28"/>
          <w:szCs w:val="28"/>
        </w:rPr>
        <w:t>⑴</w:t>
      </w:r>
      <w:r>
        <w:rPr>
          <w:rFonts w:ascii="Times New Roman" w:eastAsia="宋体" w:hAnsi="Times New Roman" w:cs="Times New Roman"/>
          <w:color w:val="0D0D0D"/>
          <w:sz w:val="28"/>
          <w:szCs w:val="28"/>
        </w:rPr>
        <w:t>危险堆场按照《环境保护图形标志</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固体废物贮存（处置场）》（</w:t>
      </w:r>
      <w:r>
        <w:rPr>
          <w:rFonts w:ascii="Times New Roman" w:eastAsia="宋体" w:hAnsi="Times New Roman" w:cs="Times New Roman" w:hint="eastAsia"/>
          <w:color w:val="0D0D0D"/>
          <w:sz w:val="28"/>
          <w:szCs w:val="28"/>
        </w:rPr>
        <w:t>GB15562.2-1995</w:t>
      </w:r>
      <w:r>
        <w:rPr>
          <w:rFonts w:ascii="Times New Roman" w:eastAsia="宋体" w:hAnsi="Times New Roman" w:cs="Times New Roman"/>
          <w:color w:val="0D0D0D"/>
          <w:sz w:val="28"/>
          <w:szCs w:val="28"/>
        </w:rPr>
        <w:t>）和《省生态环境厅关于进一步加强危险废物污染防治工作的实施意见》</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苏环办</w:t>
      </w:r>
      <w:r>
        <w:rPr>
          <w:rFonts w:ascii="Times New Roman" w:eastAsia="宋体" w:hAnsi="Times New Roman" w:cs="Times New Roman"/>
          <w:color w:val="0D0D0D"/>
          <w:sz w:val="28"/>
          <w:szCs w:val="28"/>
        </w:rPr>
        <w:t>[2019]327</w:t>
      </w:r>
      <w:r>
        <w:rPr>
          <w:rFonts w:ascii="Times New Roman" w:eastAsia="宋体" w:hAnsi="Times New Roman" w:cs="Times New Roman"/>
          <w:color w:val="0D0D0D"/>
          <w:sz w:val="28"/>
          <w:szCs w:val="28"/>
        </w:rPr>
        <w:t>号</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文件中危险废物识别标识设置规范设置标志，配备通讯设备、照明设备和消防设施，设置气体导出口及气体净化装置（本项目危废库产生的拟对危废库产生的少量异味设置废气收集系统，收集的废气送入水站除臭系统统一处理），确保废气达标排放；并作好相应的入库记录；</w:t>
      </w:r>
      <w:r>
        <w:rPr>
          <w:rFonts w:ascii="Times New Roman" w:eastAsia="宋体" w:hAnsi="Times New Roman" w:cs="Times New Roman" w:hint="eastAsia"/>
          <w:color w:val="0D0D0D"/>
          <w:sz w:val="28"/>
          <w:szCs w:val="28"/>
        </w:rPr>
        <w:t>应根据危险废物的种类和特性进行分区、分类贮存，设置防雨、防火、防雷、防扬散、防渗漏装置及泄漏液体收集装置</w:t>
      </w:r>
      <w:r>
        <w:rPr>
          <w:rFonts w:ascii="Times New Roman" w:eastAsia="宋体" w:hAnsi="Times New Roman" w:cs="Times New Roman"/>
          <w:color w:val="0D0D0D"/>
          <w:sz w:val="28"/>
          <w:szCs w:val="28"/>
        </w:rPr>
        <w:t>；储存场所按照《危险废物贮存污染控制标准》（</w:t>
      </w:r>
      <w:r>
        <w:rPr>
          <w:rFonts w:ascii="Times New Roman" w:eastAsia="宋体" w:hAnsi="Times New Roman" w:cs="Times New Roman"/>
          <w:color w:val="0D0D0D"/>
          <w:sz w:val="28"/>
          <w:szCs w:val="28"/>
        </w:rPr>
        <w:t>GB18597</w:t>
      </w:r>
      <w:r>
        <w:rPr>
          <w:rFonts w:ascii="Times New Roman" w:eastAsia="宋体" w:hAnsi="Times New Roman" w:cs="Times New Roman"/>
          <w:color w:val="0D0D0D"/>
          <w:sz w:val="28"/>
          <w:szCs w:val="28"/>
        </w:rPr>
        <w:t>）的要求建设防渗设施</w:t>
      </w:r>
      <w:r>
        <w:rPr>
          <w:rFonts w:ascii="Times New Roman" w:eastAsia="宋体" w:hAnsi="Times New Roman" w:cs="Times New Roman" w:hint="eastAsia"/>
          <w:color w:val="0D0D0D"/>
          <w:sz w:val="28"/>
          <w:szCs w:val="28"/>
        </w:rPr>
        <w:t>。</w:t>
      </w:r>
    </w:p>
    <w:p w14:paraId="30B12481"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hint="eastAsia"/>
          <w:color w:val="0D0D0D"/>
          <w:sz w:val="28"/>
          <w:szCs w:val="28"/>
        </w:rPr>
        <w:t>⑵</w:t>
      </w:r>
      <w:r>
        <w:rPr>
          <w:rFonts w:ascii="Times New Roman" w:eastAsia="宋体" w:hAnsi="Times New Roman" w:cs="Times New Roman"/>
          <w:color w:val="0D0D0D"/>
          <w:sz w:val="28"/>
          <w:szCs w:val="28"/>
        </w:rPr>
        <w:t>危险废物在收集时，应清楚废物的类别及主要成份，以方便委托处理单位处理。按照《关于切实加强危险废物监管工作的意见》（苏环规</w:t>
      </w:r>
      <w:r>
        <w:rPr>
          <w:rFonts w:ascii="Times New Roman" w:eastAsia="宋体" w:hAnsi="Times New Roman" w:cs="Times New Roman"/>
          <w:color w:val="0D0D0D"/>
          <w:sz w:val="28"/>
          <w:szCs w:val="28"/>
        </w:rPr>
        <w:t>[2012]2</w:t>
      </w:r>
      <w:r>
        <w:rPr>
          <w:rFonts w:ascii="Times New Roman" w:eastAsia="宋体" w:hAnsi="Times New Roman" w:cs="Times New Roman"/>
          <w:color w:val="0D0D0D"/>
          <w:sz w:val="28"/>
          <w:szCs w:val="28"/>
        </w:rPr>
        <w:t>号文）、《省生态环境厅关于进一步加强危险废物污染防治工作的实施意见》</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苏环办</w:t>
      </w:r>
      <w:r>
        <w:rPr>
          <w:rFonts w:ascii="Times New Roman" w:eastAsia="宋体" w:hAnsi="Times New Roman" w:cs="Times New Roman"/>
          <w:color w:val="0D0D0D"/>
          <w:sz w:val="28"/>
          <w:szCs w:val="28"/>
        </w:rPr>
        <w:t>[2019]327</w:t>
      </w:r>
      <w:r>
        <w:rPr>
          <w:rFonts w:ascii="Times New Roman" w:eastAsia="宋体" w:hAnsi="Times New Roman" w:cs="Times New Roman"/>
          <w:color w:val="0D0D0D"/>
          <w:sz w:val="28"/>
          <w:szCs w:val="28"/>
        </w:rPr>
        <w:t>号</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等文件的要求，对危险废物进行安全包装，并在包装明显位置附上危险废物标签，具有耐腐蚀、密封和不与所贮存的废物发生反应等特性。</w:t>
      </w:r>
    </w:p>
    <w:p w14:paraId="16D23D29"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hint="eastAsia"/>
          <w:color w:val="0D0D0D"/>
          <w:sz w:val="28"/>
          <w:szCs w:val="28"/>
        </w:rPr>
        <w:t>⑶</w:t>
      </w:r>
      <w:r>
        <w:rPr>
          <w:rFonts w:ascii="Times New Roman" w:eastAsia="宋体" w:hAnsi="Times New Roman" w:cs="Times New Roman"/>
          <w:color w:val="0D0D0D"/>
          <w:sz w:val="28"/>
          <w:szCs w:val="28"/>
        </w:rPr>
        <w:t>本项目危废库由专业人员操作，单独收集和贮运，严格执行《危险废物收集、贮存、运输技术规范》（</w:t>
      </w:r>
      <w:r>
        <w:rPr>
          <w:rFonts w:ascii="Times New Roman" w:eastAsia="宋体" w:hAnsi="Times New Roman" w:cs="Times New Roman"/>
          <w:color w:val="0D0D0D"/>
          <w:sz w:val="28"/>
          <w:szCs w:val="28"/>
        </w:rPr>
        <w:t>HJ2025-2012</w:t>
      </w:r>
      <w:r>
        <w:rPr>
          <w:rFonts w:ascii="Times New Roman" w:eastAsia="宋体" w:hAnsi="Times New Roman" w:cs="Times New Roman"/>
          <w:color w:val="0D0D0D"/>
          <w:sz w:val="28"/>
          <w:szCs w:val="28"/>
        </w:rPr>
        <w:t>）和《危险废物转移联单管理办法》，并制定好危险废物转移运输途中的污染防范及事故应急措施，严格按照要求办理有关手续。收集和贮运，严格执行《危险废物收集、贮存、运输技术规范》。</w:t>
      </w:r>
    </w:p>
    <w:p w14:paraId="1A810EA3"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hint="eastAsia"/>
          <w:color w:val="0D0D0D"/>
          <w:sz w:val="28"/>
          <w:szCs w:val="28"/>
        </w:rPr>
        <w:t>⑷在危废库出入口、设施内部、危险废物运输车辆通道等关键位置按照</w:t>
      </w:r>
      <w:r>
        <w:rPr>
          <w:rFonts w:ascii="Times New Roman" w:eastAsia="宋体" w:hAnsi="Times New Roman" w:cs="Times New Roman"/>
          <w:color w:val="0D0D0D"/>
          <w:sz w:val="28"/>
          <w:szCs w:val="28"/>
        </w:rPr>
        <w:t>《省生态环境厅关于进一步加强危险废物污染防治工作的实施意见》</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苏环办</w:t>
      </w:r>
      <w:r>
        <w:rPr>
          <w:rFonts w:ascii="Times New Roman" w:eastAsia="宋体" w:hAnsi="Times New Roman" w:cs="Times New Roman"/>
          <w:color w:val="0D0D0D"/>
          <w:sz w:val="28"/>
          <w:szCs w:val="28"/>
        </w:rPr>
        <w:t>[2019]327</w:t>
      </w:r>
      <w:r>
        <w:rPr>
          <w:rFonts w:ascii="Times New Roman" w:eastAsia="宋体" w:hAnsi="Times New Roman" w:cs="Times New Roman"/>
          <w:color w:val="0D0D0D"/>
          <w:sz w:val="28"/>
          <w:szCs w:val="28"/>
        </w:rPr>
        <w:t>号</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文件中</w:t>
      </w:r>
      <w:r>
        <w:rPr>
          <w:rFonts w:ascii="Times New Roman" w:eastAsia="宋体" w:hAnsi="Times New Roman" w:cs="Times New Roman" w:hint="eastAsia"/>
          <w:color w:val="0D0D0D"/>
          <w:sz w:val="28"/>
          <w:szCs w:val="28"/>
        </w:rPr>
        <w:t>危险废物贮存设施视频监控布设要求设置视频监控，并与中控室联网。</w:t>
      </w:r>
    </w:p>
    <w:p w14:paraId="641B344A"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运输过程的污染防治措施</w:t>
      </w:r>
    </w:p>
    <w:p w14:paraId="02B1FA1D"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危险废物运输中应做到以下几点：</w:t>
      </w:r>
    </w:p>
    <w:p w14:paraId="00D4EE59"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lastRenderedPageBreak/>
        <w:t>①</w:t>
      </w:r>
      <w:r>
        <w:rPr>
          <w:rFonts w:ascii="Times New Roman" w:eastAsia="宋体" w:hAnsi="Times New Roman" w:cs="Times New Roman"/>
          <w:color w:val="0D0D0D"/>
          <w:sz w:val="28"/>
          <w:szCs w:val="28"/>
        </w:rPr>
        <w:t>危险废物的运输车辆须经主管单位检查，并持有有关单位签发的许可证，负责运输的司机应通过培训，持有证明文件。</w:t>
      </w:r>
    </w:p>
    <w:p w14:paraId="03C88E93"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②</w:t>
      </w:r>
      <w:r>
        <w:rPr>
          <w:rFonts w:ascii="Times New Roman" w:eastAsia="宋体" w:hAnsi="Times New Roman" w:cs="Times New Roman"/>
          <w:color w:val="0D0D0D"/>
          <w:sz w:val="28"/>
          <w:szCs w:val="28"/>
        </w:rPr>
        <w:t>承载危险废物的车辆须有明显的标志或适当的危险符号，以引起注意。</w:t>
      </w:r>
    </w:p>
    <w:p w14:paraId="40125764"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③</w:t>
      </w:r>
      <w:r>
        <w:rPr>
          <w:rFonts w:ascii="Times New Roman" w:eastAsia="宋体" w:hAnsi="Times New Roman" w:cs="Times New Roman"/>
          <w:color w:val="0D0D0D"/>
          <w:sz w:val="28"/>
          <w:szCs w:val="28"/>
        </w:rPr>
        <w:t>载有危险废物的车辆在公路上行驶时，需持有运输许可证，其上应注明废物来源、性质和运往地点，必要时须有专门单位人员负责押运。</w:t>
      </w:r>
    </w:p>
    <w:p w14:paraId="1AAF74AC"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④</w:t>
      </w:r>
      <w:r>
        <w:rPr>
          <w:rFonts w:ascii="Times New Roman" w:eastAsia="宋体" w:hAnsi="Times New Roman" w:cs="Times New Roman"/>
          <w:color w:val="0D0D0D"/>
          <w:sz w:val="28"/>
          <w:szCs w:val="28"/>
        </w:rPr>
        <w:t>组织危险废物的运输单位，在事先需作出周密的运输计划和行驶路线，其中包括有效的废物泄漏情况下的应急措施。</w:t>
      </w:r>
    </w:p>
    <w:p w14:paraId="581BB24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危险废物处置方式及可行性分析</w:t>
      </w:r>
    </w:p>
    <w:p w14:paraId="3992B4FE"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(1)</w:t>
      </w:r>
      <w:r>
        <w:rPr>
          <w:rFonts w:ascii="Times New Roman" w:eastAsia="宋体" w:hAnsi="Times New Roman" w:cs="Times New Roman"/>
          <w:color w:val="0D0D0D"/>
          <w:sz w:val="28"/>
          <w:szCs w:val="28"/>
        </w:rPr>
        <w:t>处置方式</w:t>
      </w:r>
    </w:p>
    <w:p w14:paraId="4C364964"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项目产生的废包装材料委托有资质单位焚烧处置。</w:t>
      </w:r>
    </w:p>
    <w:p w14:paraId="59AA685A"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(2)</w:t>
      </w:r>
      <w:r>
        <w:rPr>
          <w:rFonts w:ascii="Times New Roman" w:eastAsia="宋体" w:hAnsi="Times New Roman" w:cs="Times New Roman"/>
          <w:color w:val="0D0D0D"/>
          <w:sz w:val="28"/>
          <w:szCs w:val="28"/>
        </w:rPr>
        <w:t>危险废物处理可行性分析</w:t>
      </w:r>
    </w:p>
    <w:p w14:paraId="79723B87"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本项目危废最大年产生量约</w:t>
      </w:r>
      <w:r>
        <w:rPr>
          <w:rFonts w:ascii="Times New Roman" w:eastAsia="宋体" w:hAnsi="Times New Roman" w:cs="Times New Roman"/>
          <w:color w:val="0D0D0D"/>
          <w:sz w:val="28"/>
          <w:szCs w:val="28"/>
        </w:rPr>
        <w:t>0.63t</w:t>
      </w:r>
      <w:r>
        <w:rPr>
          <w:rFonts w:ascii="Times New Roman" w:eastAsia="宋体" w:hAnsi="Times New Roman" w:cs="Times New Roman"/>
          <w:color w:val="0D0D0D"/>
          <w:sz w:val="28"/>
          <w:szCs w:val="28"/>
        </w:rPr>
        <w:t>，拟连云港市赛科废料处置有限公司主营危险废物运输、贮存、无害化处置，兼营资源再生及综合利用，经营范围为焚烧处置</w:t>
      </w:r>
      <w:r>
        <w:rPr>
          <w:rFonts w:ascii="Times New Roman" w:eastAsia="宋体" w:hAnsi="Times New Roman" w:cs="Times New Roman"/>
          <w:color w:val="0D0D0D"/>
          <w:sz w:val="28"/>
          <w:szCs w:val="28"/>
        </w:rPr>
        <w:t>HW02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HW03</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HW04</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HW05</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HW06</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HW08</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HW09</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HW11</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HW12</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HW13</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HW17</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HW19</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HW33</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HW35</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HW37</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HW38</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HW39</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HW40</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HW45</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HW49</w:t>
      </w:r>
      <w:r>
        <w:rPr>
          <w:rFonts w:ascii="Times New Roman" w:eastAsia="宋体" w:hAnsi="Times New Roman" w:cs="Times New Roman"/>
          <w:color w:val="0D0D0D"/>
          <w:sz w:val="28"/>
          <w:szCs w:val="28"/>
        </w:rPr>
        <w:t>其他类别危险废物的收集、贮存、处置共</w:t>
      </w:r>
      <w:r>
        <w:rPr>
          <w:rFonts w:ascii="Times New Roman" w:eastAsia="宋体" w:hAnsi="Times New Roman" w:cs="Times New Roman"/>
          <w:color w:val="0D0D0D"/>
          <w:sz w:val="28"/>
          <w:szCs w:val="28"/>
        </w:rPr>
        <w:t>18000t/a</w:t>
      </w:r>
      <w:r>
        <w:rPr>
          <w:rFonts w:ascii="Times New Roman" w:eastAsia="宋体" w:hAnsi="Times New Roman" w:cs="Times New Roman"/>
          <w:color w:val="0D0D0D"/>
          <w:sz w:val="28"/>
          <w:szCs w:val="28"/>
        </w:rPr>
        <w:t>，目前已投入运行。本项目需焚烧处置量约</w:t>
      </w:r>
      <w:r>
        <w:rPr>
          <w:rFonts w:ascii="Times New Roman" w:eastAsia="宋体" w:hAnsi="Times New Roman" w:cs="Times New Roman"/>
          <w:color w:val="0D0D0D"/>
          <w:sz w:val="28"/>
          <w:szCs w:val="28"/>
        </w:rPr>
        <w:t>7.3t/a</w:t>
      </w:r>
      <w:r>
        <w:rPr>
          <w:rFonts w:ascii="Times New Roman" w:eastAsia="宋体" w:hAnsi="Times New Roman" w:cs="Times New Roman"/>
          <w:color w:val="0D0D0D"/>
          <w:sz w:val="28"/>
          <w:szCs w:val="28"/>
        </w:rPr>
        <w:t>，连云港市赛科废料处置有限公司的处置能力能够接纳本项目危险废物的处置。，因此委托光大环保（连云港）废弃物处理有限公司是可行的。</w:t>
      </w:r>
    </w:p>
    <w:p w14:paraId="1AA2BF34" w14:textId="77777777" w:rsidR="002133E3" w:rsidRDefault="00C22CFA">
      <w:pPr>
        <w:spacing w:line="52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(3)</w:t>
      </w:r>
      <w:r>
        <w:rPr>
          <w:rFonts w:ascii="Times New Roman" w:eastAsia="宋体" w:hAnsi="Times New Roman" w:cs="Times New Roman"/>
          <w:color w:val="0D0D0D"/>
          <w:sz w:val="28"/>
          <w:szCs w:val="28"/>
        </w:rPr>
        <w:t>经济可行性分析</w:t>
      </w:r>
    </w:p>
    <w:p w14:paraId="708DFA9D" w14:textId="77777777" w:rsidR="002133E3" w:rsidRDefault="00C22CFA">
      <w:pPr>
        <w:spacing w:line="500" w:lineRule="exact"/>
        <w:ind w:firstLineChars="200" w:firstLine="560"/>
        <w:rPr>
          <w:rFonts w:ascii="Times New Roman" w:eastAsia="宋体" w:hAnsi="Times New Roman" w:cs="Times New Roman"/>
          <w:color w:val="0D0D0D"/>
          <w:sz w:val="28"/>
          <w:szCs w:val="28"/>
        </w:rPr>
      </w:pPr>
      <w:r>
        <w:rPr>
          <w:rFonts w:ascii="Times New Roman" w:eastAsia="宋体" w:hAnsi="Times New Roman" w:cs="Times New Roman"/>
          <w:color w:val="0D0D0D"/>
          <w:sz w:val="28"/>
          <w:szCs w:val="28"/>
        </w:rPr>
        <w:t>本项目产生的危废量为</w:t>
      </w:r>
      <w:r>
        <w:rPr>
          <w:rFonts w:ascii="Times New Roman" w:eastAsia="宋体" w:hAnsi="Times New Roman" w:cs="Times New Roman"/>
          <w:color w:val="0D0D0D"/>
          <w:sz w:val="28"/>
          <w:szCs w:val="28"/>
        </w:rPr>
        <w:t>0.63t/a</w:t>
      </w:r>
      <w:r>
        <w:rPr>
          <w:rFonts w:ascii="Times New Roman" w:eastAsia="宋体" w:hAnsi="Times New Roman" w:cs="Times New Roman"/>
          <w:color w:val="0D0D0D"/>
          <w:sz w:val="28"/>
          <w:szCs w:val="28"/>
        </w:rPr>
        <w:t>，处理费用按</w:t>
      </w:r>
      <w:r>
        <w:rPr>
          <w:rFonts w:ascii="Times New Roman" w:eastAsia="宋体" w:hAnsi="Times New Roman" w:cs="Times New Roman"/>
          <w:color w:val="0D0D0D"/>
          <w:sz w:val="28"/>
          <w:szCs w:val="28"/>
        </w:rPr>
        <w:t>6000</w:t>
      </w:r>
      <w:r>
        <w:rPr>
          <w:rFonts w:ascii="Times New Roman" w:eastAsia="宋体" w:hAnsi="Times New Roman" w:cs="Times New Roman"/>
          <w:color w:val="0D0D0D"/>
          <w:sz w:val="28"/>
          <w:szCs w:val="28"/>
        </w:rPr>
        <w:t>元</w:t>
      </w:r>
      <w:r>
        <w:rPr>
          <w:rFonts w:ascii="Times New Roman" w:eastAsia="宋体" w:hAnsi="Times New Roman" w:cs="Times New Roman"/>
          <w:color w:val="0D0D0D"/>
          <w:sz w:val="28"/>
          <w:szCs w:val="28"/>
        </w:rPr>
        <w:t>/t</w:t>
      </w:r>
      <w:r>
        <w:rPr>
          <w:rFonts w:ascii="Times New Roman" w:eastAsia="宋体" w:hAnsi="Times New Roman" w:cs="Times New Roman"/>
          <w:color w:val="0D0D0D"/>
          <w:sz w:val="28"/>
          <w:szCs w:val="28"/>
        </w:rPr>
        <w:t>计，需处理费用</w:t>
      </w:r>
      <w:r>
        <w:rPr>
          <w:rFonts w:ascii="Times New Roman" w:eastAsia="宋体" w:hAnsi="Times New Roman" w:cs="Times New Roman"/>
          <w:color w:val="0D0D0D"/>
          <w:sz w:val="28"/>
          <w:szCs w:val="28"/>
        </w:rPr>
        <w:t>0.378</w:t>
      </w:r>
      <w:r>
        <w:rPr>
          <w:rFonts w:ascii="Times New Roman" w:eastAsia="宋体" w:hAnsi="Times New Roman" w:cs="Times New Roman"/>
          <w:color w:val="0D0D0D"/>
          <w:sz w:val="28"/>
          <w:szCs w:val="28"/>
        </w:rPr>
        <w:t>万元</w:t>
      </w:r>
      <w:r>
        <w:rPr>
          <w:rFonts w:ascii="Times New Roman" w:eastAsia="宋体" w:hAnsi="Times New Roman" w:cs="Times New Roman"/>
          <w:color w:val="0D0D0D"/>
          <w:sz w:val="28"/>
          <w:szCs w:val="28"/>
        </w:rPr>
        <w:t>/</w:t>
      </w:r>
      <w:r>
        <w:rPr>
          <w:rFonts w:ascii="Times New Roman" w:eastAsia="宋体" w:hAnsi="Times New Roman" w:cs="Times New Roman"/>
          <w:color w:val="0D0D0D"/>
          <w:sz w:val="28"/>
          <w:szCs w:val="28"/>
        </w:rPr>
        <w:t>年，约占项目利润总额</w:t>
      </w:r>
      <w:r>
        <w:rPr>
          <w:rFonts w:ascii="Times New Roman" w:eastAsia="宋体" w:hAnsi="Times New Roman" w:cs="Times New Roman"/>
          <w:color w:val="0D0D0D"/>
          <w:sz w:val="28"/>
          <w:szCs w:val="28"/>
        </w:rPr>
        <w:t>0.003%</w:t>
      </w:r>
      <w:r>
        <w:rPr>
          <w:rFonts w:ascii="Times New Roman" w:eastAsia="宋体" w:hAnsi="Times New Roman" w:cs="Times New Roman"/>
          <w:color w:val="0D0D0D"/>
          <w:sz w:val="28"/>
          <w:szCs w:val="28"/>
        </w:rPr>
        <w:t>，在企业的承受范围内。</w:t>
      </w:r>
    </w:p>
    <w:p w14:paraId="11D4593E"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土壤、地下水污染防治措施</w:t>
      </w:r>
    </w:p>
    <w:p w14:paraId="1A704AE9" w14:textId="77777777" w:rsidR="002133E3" w:rsidRDefault="00C22CFA">
      <w:pPr>
        <w:spacing w:line="52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加强环保巡查，严格排放制度，对污染装置区、污水管道等采取防渗、防漏措施，防止污水渗入土壤、地下水，造成污染；严格管理危险化学品、规范固废暂存设施及场所、严禁物料抛洒、若有抛洒物料及时收集或清理，预防和防止地下水、土壤的污染。</w:t>
      </w:r>
    </w:p>
    <w:p w14:paraId="60F686A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特殊区域防渗措施</w:t>
      </w:r>
    </w:p>
    <w:p w14:paraId="6C980BAE"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特殊区域主要包括污染装置区、厂内储罐区、污水处理站、事故消防废水贮存池、危险废物暂存区和厂区内各类污水管线等，由于本项目为技改，场内储罐区、污水处理站、事故消防废水贮存池、危险废物暂存区及部分污水管线为已建，本项目新建内容为污染装置区及部分污水管线，以上区域防渗措施参照《危险废物贮存污染控制标准》</w:t>
      </w:r>
      <w:r>
        <w:rPr>
          <w:rFonts w:ascii="Times New Roman" w:eastAsia="宋体" w:hAnsi="Times New Roman" w:cs="Times New Roman"/>
          <w:kern w:val="0"/>
          <w:sz w:val="28"/>
          <w:szCs w:val="28"/>
        </w:rPr>
        <w:t>(GB18597-2001)</w:t>
      </w:r>
      <w:r>
        <w:rPr>
          <w:rFonts w:ascii="Times New Roman" w:eastAsia="宋体" w:hAnsi="Times New Roman" w:cs="Times New Roman"/>
          <w:kern w:val="0"/>
          <w:sz w:val="28"/>
          <w:szCs w:val="28"/>
        </w:rPr>
        <w:t>要求。</w:t>
      </w:r>
    </w:p>
    <w:p w14:paraId="200504B4"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根据连云港主要海积</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海相沉积</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的软土层的物理力学指标的统计可知：软土层物理性质指标浅部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上部</w:t>
      </w:r>
      <w:r>
        <w:rPr>
          <w:rFonts w:ascii="Times New Roman" w:eastAsia="宋体" w:hAnsi="Times New Roman" w:cs="Times New Roman"/>
          <w:kern w:val="0"/>
          <w:sz w:val="28"/>
          <w:szCs w:val="28"/>
        </w:rPr>
        <w:t>)(&lt;3m)</w:t>
      </w:r>
      <w:r>
        <w:rPr>
          <w:rFonts w:ascii="Times New Roman" w:eastAsia="宋体" w:hAnsi="Times New Roman" w:cs="Times New Roman"/>
          <w:kern w:val="0"/>
          <w:sz w:val="28"/>
          <w:szCs w:val="28"/>
        </w:rPr>
        <w:t>，有所变化，大于</w:t>
      </w:r>
      <w:r>
        <w:rPr>
          <w:rFonts w:ascii="Times New Roman" w:eastAsia="宋体" w:hAnsi="Times New Roman" w:cs="Times New Roman"/>
          <w:kern w:val="0"/>
          <w:sz w:val="28"/>
          <w:szCs w:val="28"/>
        </w:rPr>
        <w:t>3m</w:t>
      </w:r>
      <w:r>
        <w:rPr>
          <w:rFonts w:ascii="Times New Roman" w:eastAsia="宋体" w:hAnsi="Times New Roman" w:cs="Times New Roman"/>
          <w:kern w:val="0"/>
          <w:sz w:val="28"/>
          <w:szCs w:val="28"/>
        </w:rPr>
        <w:t>，物理指标变化不大，力学指标呈明显的线性关系；静力触探</w:t>
      </w:r>
      <w:r>
        <w:rPr>
          <w:rFonts w:ascii="Times New Roman" w:eastAsia="宋体" w:hAnsi="Times New Roman" w:cs="Times New Roman"/>
          <w:kern w:val="0"/>
          <w:sz w:val="28"/>
          <w:szCs w:val="28"/>
        </w:rPr>
        <w:t>(CPT</w:t>
      </w:r>
      <w:r>
        <w:rPr>
          <w:rFonts w:ascii="Times New Roman" w:eastAsia="宋体" w:hAnsi="Times New Roman" w:cs="Times New Roman"/>
          <w:kern w:val="0"/>
          <w:sz w:val="28"/>
          <w:szCs w:val="28"/>
        </w:rPr>
        <w:t>试验</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十字板、无侧限抗压试验确定的力学指标明显随深度增加而增加，线性关系显著。同时由于连云港地区的冲海积、海积软土的高黏粒含量，表现出高液限，颗粒比表面积大，颗粒带电明显，结合水膜厚，孔隙大，从而表现出连云港地区软土具有高含水量、高液限、低密度、低强度、高压缩性、低透水性，高灵敏度的特点。同时由于该区软土中夹薄层粉土粉砂的不规则性，表现出多数物理力学指标的离散性和不确定性的一面，所以本项目的特殊区域必须采取防渗等地下水、土壤防治措施。</w:t>
      </w:r>
    </w:p>
    <w:p w14:paraId="7B9235D8"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根据相关防渗的要求，确定本项目特殊区域必须选用双人工衬层。</w:t>
      </w:r>
    </w:p>
    <w:p w14:paraId="3328921C" w14:textId="77777777" w:rsidR="002133E3" w:rsidRDefault="00C22CFA">
      <w:pPr>
        <w:widowControl/>
        <w:snapToGrid w:val="0"/>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根据区域地质资料，该区域不具备性能良好的粘土，就近可以寻找到符合要求的粘土，在污染装置区、厂内贮罐区、污水处理站、事故消防废水贮存池、危险废物暂存区和厂区内各类污水管线等需要防渗的区域先选用粘土作为天然材料衬层。</w:t>
      </w:r>
    </w:p>
    <w:p w14:paraId="367A12B7" w14:textId="77777777" w:rsidR="002133E3" w:rsidRDefault="00C22CFA">
      <w:pPr>
        <w:widowControl/>
        <w:snapToGrid w:val="0"/>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人工合成衬层的选择：通常有</w:t>
      </w:r>
      <w:r>
        <w:rPr>
          <w:rFonts w:ascii="Times New Roman" w:eastAsia="宋体" w:hAnsi="Times New Roman" w:cs="Times New Roman"/>
          <w:kern w:val="0"/>
          <w:sz w:val="28"/>
          <w:szCs w:val="28"/>
        </w:rPr>
        <w:t>HDPE</w:t>
      </w:r>
      <w:r>
        <w:rPr>
          <w:rFonts w:ascii="Times New Roman" w:eastAsia="宋体" w:hAnsi="Times New Roman" w:cs="Times New Roman"/>
          <w:kern w:val="0"/>
          <w:sz w:val="28"/>
          <w:szCs w:val="28"/>
        </w:rPr>
        <w:t>膜和</w:t>
      </w:r>
      <w:r>
        <w:rPr>
          <w:rFonts w:ascii="Times New Roman" w:eastAsia="宋体" w:hAnsi="Times New Roman" w:cs="Times New Roman"/>
          <w:kern w:val="0"/>
          <w:sz w:val="28"/>
          <w:szCs w:val="28"/>
        </w:rPr>
        <w:t>GCL</w:t>
      </w:r>
      <w:r>
        <w:rPr>
          <w:rFonts w:ascii="Times New Roman" w:eastAsia="宋体" w:hAnsi="Times New Roman" w:cs="Times New Roman"/>
          <w:kern w:val="0"/>
          <w:sz w:val="28"/>
          <w:szCs w:val="28"/>
        </w:rPr>
        <w:t>衬垫两种，由于</w:t>
      </w:r>
      <w:r>
        <w:rPr>
          <w:rFonts w:ascii="Times New Roman" w:eastAsia="宋体" w:hAnsi="Times New Roman" w:cs="Times New Roman"/>
          <w:kern w:val="0"/>
          <w:sz w:val="28"/>
          <w:szCs w:val="28"/>
        </w:rPr>
        <w:t>GCL</w:t>
      </w:r>
      <w:r>
        <w:rPr>
          <w:rFonts w:ascii="Times New Roman" w:eastAsia="宋体" w:hAnsi="Times New Roman" w:cs="Times New Roman"/>
          <w:kern w:val="0"/>
          <w:sz w:val="28"/>
          <w:szCs w:val="28"/>
        </w:rPr>
        <w:t>衬垫一般不单独使用用来防渗，只作为一种辅助防渗设施，本项目特殊区域防渗要求高，故上下人工合成衬层均选用</w:t>
      </w:r>
      <w:r>
        <w:rPr>
          <w:rFonts w:ascii="Times New Roman" w:eastAsia="宋体" w:hAnsi="Times New Roman" w:cs="Times New Roman"/>
          <w:kern w:val="0"/>
          <w:sz w:val="28"/>
          <w:szCs w:val="28"/>
        </w:rPr>
        <w:t>HDPE(</w:t>
      </w:r>
      <w:r>
        <w:rPr>
          <w:rFonts w:ascii="Times New Roman" w:eastAsia="宋体" w:hAnsi="Times New Roman" w:cs="Times New Roman"/>
          <w:kern w:val="0"/>
          <w:sz w:val="28"/>
          <w:szCs w:val="28"/>
        </w:rPr>
        <w:t>高密度聚乙烯</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膜。</w:t>
      </w:r>
    </w:p>
    <w:p w14:paraId="042CC875" w14:textId="77777777" w:rsidR="002133E3" w:rsidRDefault="00C22CFA">
      <w:pPr>
        <w:widowControl/>
        <w:snapToGrid w:val="0"/>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本项目特殊区域防渗层结构方案如下，防渗立体剖面图具体见图</w:t>
      </w:r>
      <w:r>
        <w:rPr>
          <w:rFonts w:ascii="Times New Roman" w:eastAsia="宋体" w:hAnsi="Times New Roman" w:cs="Times New Roman"/>
          <w:kern w:val="0"/>
          <w:sz w:val="28"/>
          <w:szCs w:val="28"/>
        </w:rPr>
        <w:t>7.6-1</w:t>
      </w:r>
      <w:r>
        <w:rPr>
          <w:rFonts w:ascii="Times New Roman" w:eastAsia="宋体" w:hAnsi="Times New Roman" w:cs="Times New Roman"/>
          <w:kern w:val="0"/>
          <w:sz w:val="28"/>
          <w:szCs w:val="28"/>
        </w:rPr>
        <w:t>。</w:t>
      </w:r>
    </w:p>
    <w:p w14:paraId="4512D90A" w14:textId="77777777" w:rsidR="002133E3" w:rsidRDefault="00C22CFA">
      <w:pPr>
        <w:widowControl/>
        <w:snapToGrid w:val="0"/>
        <w:spacing w:beforeLines="50" w:before="156"/>
        <w:jc w:val="center"/>
        <w:rPr>
          <w:rFonts w:ascii="Times New Roman" w:eastAsia="宋体" w:hAnsi="Times New Roman" w:cs="Times New Roman"/>
          <w:kern w:val="0"/>
          <w:sz w:val="28"/>
          <w:szCs w:val="28"/>
        </w:rPr>
      </w:pPr>
      <w:r>
        <w:rPr>
          <w:rFonts w:ascii="Times New Roman" w:eastAsia="宋体" w:hAnsi="Times New Roman" w:cs="Times New Roman"/>
          <w:noProof/>
          <w:kern w:val="0"/>
          <w:sz w:val="28"/>
          <w:szCs w:val="28"/>
        </w:rPr>
        <w:lastRenderedPageBreak/>
        <w:drawing>
          <wp:inline distT="0" distB="0" distL="0" distR="0" wp14:anchorId="2DF3EE8B" wp14:editId="02131222">
            <wp:extent cx="5276850" cy="2238375"/>
            <wp:effectExtent l="0" t="0" r="0" b="9525"/>
            <wp:docPr id="6" name="图片 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276850" cy="2238375"/>
                    </a:xfrm>
                    <a:prstGeom prst="rect">
                      <a:avLst/>
                    </a:prstGeom>
                    <a:noFill/>
                    <a:ln>
                      <a:noFill/>
                    </a:ln>
                  </pic:spPr>
                </pic:pic>
              </a:graphicData>
            </a:graphic>
          </wp:inline>
        </w:drawing>
      </w:r>
    </w:p>
    <w:p w14:paraId="7F1D38BC" w14:textId="77777777" w:rsidR="002133E3" w:rsidRDefault="00C22CFA">
      <w:pPr>
        <w:widowControl/>
        <w:tabs>
          <w:tab w:val="left" w:pos="600"/>
        </w:tabs>
        <w:spacing w:line="500" w:lineRule="exact"/>
        <w:ind w:firstLineChars="200" w:firstLine="482"/>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图</w:t>
      </w:r>
      <w:r>
        <w:rPr>
          <w:rFonts w:ascii="Times New Roman" w:eastAsia="宋体" w:hAnsi="Times New Roman" w:cs="Times New Roman"/>
          <w:b/>
          <w:kern w:val="0"/>
          <w:sz w:val="24"/>
          <w:szCs w:val="20"/>
        </w:rPr>
        <w:t xml:space="preserve">7.6-1   </w:t>
      </w:r>
      <w:r>
        <w:rPr>
          <w:rFonts w:ascii="Times New Roman" w:eastAsia="宋体" w:hAnsi="Times New Roman" w:cs="Times New Roman"/>
          <w:b/>
          <w:kern w:val="0"/>
          <w:sz w:val="24"/>
          <w:szCs w:val="20"/>
        </w:rPr>
        <w:t>特殊区域防渗立体剖面图</w:t>
      </w:r>
    </w:p>
    <w:p w14:paraId="1F1677EA" w14:textId="77777777" w:rsidR="002133E3" w:rsidRDefault="00C22CFA">
      <w:pPr>
        <w:widowControl/>
        <w:snapToGrid w:val="0"/>
        <w:spacing w:line="500" w:lineRule="exact"/>
        <w:ind w:firstLine="480"/>
        <w:jc w:val="left"/>
        <w:rPr>
          <w:rFonts w:ascii="Times New Roman" w:eastAsia="宋体" w:hAnsi="Times New Roman" w:cs="Times New Roman"/>
          <w:bCs/>
          <w:kern w:val="0"/>
          <w:sz w:val="28"/>
          <w:szCs w:val="28"/>
        </w:rPr>
      </w:pPr>
      <w:r>
        <w:rPr>
          <w:rFonts w:ascii="Times New Roman" w:eastAsia="宋体" w:hAnsi="Times New Roman" w:cs="Times New Roman"/>
          <w:bCs/>
          <w:kern w:val="0"/>
          <w:sz w:val="28"/>
          <w:szCs w:val="28"/>
        </w:rPr>
        <w:t>场底防渗层结构</w:t>
      </w:r>
      <w:r>
        <w:rPr>
          <w:rFonts w:ascii="Times New Roman" w:eastAsia="宋体" w:hAnsi="Times New Roman" w:cs="Times New Roman"/>
          <w:bCs/>
          <w:kern w:val="0"/>
          <w:sz w:val="28"/>
          <w:szCs w:val="28"/>
        </w:rPr>
        <w:t xml:space="preserve"> ( </w:t>
      </w:r>
      <w:r>
        <w:rPr>
          <w:rFonts w:ascii="Times New Roman" w:eastAsia="宋体" w:hAnsi="Times New Roman" w:cs="Times New Roman"/>
          <w:bCs/>
          <w:kern w:val="0"/>
          <w:sz w:val="28"/>
          <w:szCs w:val="28"/>
        </w:rPr>
        <w:t>从污染防治对象至基础层</w:t>
      </w:r>
      <w:r>
        <w:rPr>
          <w:rFonts w:ascii="Times New Roman" w:eastAsia="宋体" w:hAnsi="Times New Roman" w:cs="Times New Roman"/>
          <w:bCs/>
          <w:kern w:val="0"/>
          <w:sz w:val="28"/>
          <w:szCs w:val="28"/>
        </w:rPr>
        <w:t xml:space="preserve"> ) </w:t>
      </w:r>
      <w:r>
        <w:rPr>
          <w:rFonts w:ascii="Times New Roman" w:eastAsia="宋体" w:hAnsi="Times New Roman" w:cs="Times New Roman"/>
          <w:bCs/>
          <w:kern w:val="0"/>
          <w:sz w:val="28"/>
          <w:szCs w:val="28"/>
        </w:rPr>
        <w:t>依次为：</w:t>
      </w:r>
    </w:p>
    <w:p w14:paraId="3C0309F9"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污染防治对象</w:t>
      </w:r>
    </w:p>
    <w:p w14:paraId="5BA2779D"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120g/ m</w:t>
      </w:r>
      <w:r>
        <w:rPr>
          <w:rFonts w:ascii="Times New Roman" w:eastAsia="宋体" w:hAnsi="Times New Roman" w:cs="Times New Roman"/>
          <w:b/>
          <w:bCs/>
          <w:sz w:val="28"/>
          <w:szCs w:val="28"/>
          <w:vertAlign w:val="superscript"/>
        </w:rPr>
        <w:t>2</w:t>
      </w:r>
      <w:r>
        <w:rPr>
          <w:rFonts w:ascii="Times New Roman" w:eastAsia="宋体" w:hAnsi="Times New Roman" w:cs="Times New Roman"/>
          <w:b/>
          <w:bCs/>
          <w:sz w:val="28"/>
          <w:szCs w:val="28"/>
        </w:rPr>
        <w:t>织造土工滤布</w:t>
      </w:r>
    </w:p>
    <w:p w14:paraId="02D399EE"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0.35m</w:t>
      </w:r>
      <w:r>
        <w:rPr>
          <w:rFonts w:ascii="Times New Roman" w:eastAsia="宋体" w:hAnsi="Times New Roman" w:cs="Times New Roman"/>
          <w:b/>
          <w:bCs/>
          <w:sz w:val="28"/>
          <w:szCs w:val="28"/>
        </w:rPr>
        <w:t>厚卵石</w:t>
      </w:r>
      <w:r>
        <w:rPr>
          <w:rFonts w:ascii="Times New Roman" w:eastAsia="宋体" w:hAnsi="Times New Roman" w:cs="Times New Roman"/>
          <w:b/>
          <w:bCs/>
          <w:sz w:val="28"/>
          <w:szCs w:val="28"/>
        </w:rPr>
        <w:t>(d</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10</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30mm)</w:t>
      </w:r>
    </w:p>
    <w:p w14:paraId="0AC4F56A"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800g/m</w:t>
      </w:r>
      <w:r>
        <w:rPr>
          <w:rFonts w:ascii="Times New Roman" w:eastAsia="宋体" w:hAnsi="Times New Roman" w:cs="Times New Roman"/>
          <w:b/>
          <w:bCs/>
          <w:sz w:val="28"/>
          <w:szCs w:val="28"/>
          <w:vertAlign w:val="superscript"/>
        </w:rPr>
        <w:t>2</w:t>
      </w:r>
      <w:r>
        <w:rPr>
          <w:rFonts w:ascii="Times New Roman" w:eastAsia="宋体" w:hAnsi="Times New Roman" w:cs="Times New Roman"/>
          <w:b/>
          <w:bCs/>
          <w:sz w:val="28"/>
          <w:szCs w:val="28"/>
        </w:rPr>
        <w:t>土工布</w:t>
      </w:r>
    </w:p>
    <w:p w14:paraId="41078E98"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2.0mmHDPE</w:t>
      </w:r>
      <w:r>
        <w:rPr>
          <w:rFonts w:ascii="Times New Roman" w:eastAsia="宋体" w:hAnsi="Times New Roman" w:cs="Times New Roman"/>
          <w:b/>
          <w:bCs/>
          <w:sz w:val="28"/>
          <w:szCs w:val="28"/>
        </w:rPr>
        <w:t>防渗膜</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渗透系数不大于</w:t>
      </w:r>
      <w:r>
        <w:rPr>
          <w:rFonts w:ascii="Times New Roman" w:eastAsia="宋体" w:hAnsi="Times New Roman" w:cs="Times New Roman"/>
          <w:b/>
          <w:bCs/>
          <w:sz w:val="28"/>
          <w:szCs w:val="28"/>
        </w:rPr>
        <w:t>1.0×10</w:t>
      </w:r>
      <w:r>
        <w:rPr>
          <w:rFonts w:ascii="Times New Roman" w:eastAsia="宋体" w:hAnsi="Times New Roman" w:cs="Times New Roman"/>
          <w:b/>
          <w:bCs/>
          <w:sz w:val="28"/>
          <w:szCs w:val="28"/>
          <w:vertAlign w:val="superscript"/>
        </w:rPr>
        <w:t>-12</w:t>
      </w:r>
      <w:r>
        <w:rPr>
          <w:rFonts w:ascii="Times New Roman" w:eastAsia="宋体" w:hAnsi="Times New Roman" w:cs="Times New Roman"/>
          <w:b/>
          <w:bCs/>
          <w:sz w:val="28"/>
          <w:szCs w:val="28"/>
        </w:rPr>
        <w:t xml:space="preserve"> cm/s)</w:t>
      </w:r>
    </w:p>
    <w:p w14:paraId="59F638B2"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土工复合排水网</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主集排水系统</w:t>
      </w:r>
      <w:r>
        <w:rPr>
          <w:rFonts w:ascii="Times New Roman" w:eastAsia="宋体" w:hAnsi="Times New Roman" w:cs="Times New Roman"/>
          <w:b/>
          <w:bCs/>
          <w:sz w:val="28"/>
          <w:szCs w:val="28"/>
        </w:rPr>
        <w:t>)</w:t>
      </w:r>
    </w:p>
    <w:p w14:paraId="55E9ED43"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1.0mmHDPE</w:t>
      </w:r>
      <w:r>
        <w:rPr>
          <w:rFonts w:ascii="Times New Roman" w:eastAsia="宋体" w:hAnsi="Times New Roman" w:cs="Times New Roman"/>
          <w:b/>
          <w:bCs/>
          <w:sz w:val="28"/>
          <w:szCs w:val="28"/>
        </w:rPr>
        <w:t>防渗膜</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渗透系数不大于</w:t>
      </w:r>
      <w:r>
        <w:rPr>
          <w:rFonts w:ascii="Times New Roman" w:eastAsia="宋体" w:hAnsi="Times New Roman" w:cs="Times New Roman"/>
          <w:b/>
          <w:bCs/>
          <w:sz w:val="28"/>
          <w:szCs w:val="28"/>
        </w:rPr>
        <w:t>1.0×10</w:t>
      </w:r>
      <w:r>
        <w:rPr>
          <w:rFonts w:ascii="Times New Roman" w:eastAsia="宋体" w:hAnsi="Times New Roman" w:cs="Times New Roman"/>
          <w:b/>
          <w:bCs/>
          <w:sz w:val="28"/>
          <w:szCs w:val="28"/>
          <w:vertAlign w:val="superscript"/>
        </w:rPr>
        <w:t>-12</w:t>
      </w:r>
      <w:r>
        <w:rPr>
          <w:rFonts w:ascii="Times New Roman" w:eastAsia="宋体" w:hAnsi="Times New Roman" w:cs="Times New Roman"/>
          <w:b/>
          <w:bCs/>
          <w:sz w:val="28"/>
          <w:szCs w:val="28"/>
        </w:rPr>
        <w:t xml:space="preserve"> cm/s)</w:t>
      </w:r>
    </w:p>
    <w:p w14:paraId="0A401310"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0.5m</w:t>
      </w:r>
      <w:r>
        <w:rPr>
          <w:rFonts w:ascii="Times New Roman" w:eastAsia="宋体" w:hAnsi="Times New Roman" w:cs="Times New Roman"/>
          <w:b/>
          <w:bCs/>
          <w:sz w:val="28"/>
          <w:szCs w:val="28"/>
        </w:rPr>
        <w:t>厚粘土</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渗透系数不大于</w:t>
      </w:r>
      <w:r>
        <w:rPr>
          <w:rFonts w:ascii="Times New Roman" w:eastAsia="宋体" w:hAnsi="Times New Roman" w:cs="Times New Roman"/>
          <w:b/>
          <w:bCs/>
          <w:sz w:val="28"/>
          <w:szCs w:val="28"/>
        </w:rPr>
        <w:t>1.0×10</w:t>
      </w:r>
      <w:r>
        <w:rPr>
          <w:rFonts w:ascii="Times New Roman" w:eastAsia="宋体" w:hAnsi="Times New Roman" w:cs="Times New Roman"/>
          <w:b/>
          <w:bCs/>
          <w:sz w:val="28"/>
          <w:szCs w:val="28"/>
          <w:vertAlign w:val="superscript"/>
        </w:rPr>
        <w:t>－</w:t>
      </w:r>
      <w:r>
        <w:rPr>
          <w:rFonts w:ascii="Times New Roman" w:eastAsia="宋体" w:hAnsi="Times New Roman" w:cs="Times New Roman"/>
          <w:b/>
          <w:bCs/>
          <w:sz w:val="28"/>
          <w:szCs w:val="28"/>
          <w:vertAlign w:val="superscript"/>
        </w:rPr>
        <w:t>7</w:t>
      </w:r>
      <w:r>
        <w:rPr>
          <w:rFonts w:ascii="Times New Roman" w:eastAsia="宋体" w:hAnsi="Times New Roman" w:cs="Times New Roman"/>
          <w:b/>
          <w:bCs/>
          <w:sz w:val="28"/>
          <w:szCs w:val="28"/>
        </w:rPr>
        <w:t>cm/s)</w:t>
      </w:r>
    </w:p>
    <w:p w14:paraId="5727F99E"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土工复合排水网</w:t>
      </w:r>
      <w:r>
        <w:rPr>
          <w:rFonts w:ascii="Times New Roman" w:eastAsia="宋体" w:hAnsi="Times New Roman" w:cs="Times New Roman"/>
          <w:b/>
          <w:bCs/>
          <w:sz w:val="28"/>
          <w:szCs w:val="28"/>
        </w:rPr>
        <w:t>(</w:t>
      </w:r>
      <w:r>
        <w:rPr>
          <w:rFonts w:ascii="Times New Roman" w:eastAsia="宋体" w:hAnsi="Times New Roman" w:cs="Times New Roman"/>
          <w:b/>
          <w:bCs/>
          <w:sz w:val="28"/>
          <w:szCs w:val="28"/>
        </w:rPr>
        <w:t>辅助集排水系统</w:t>
      </w:r>
      <w:r>
        <w:rPr>
          <w:rFonts w:ascii="Times New Roman" w:eastAsia="宋体" w:hAnsi="Times New Roman" w:cs="Times New Roman"/>
          <w:b/>
          <w:bCs/>
          <w:sz w:val="28"/>
          <w:szCs w:val="28"/>
        </w:rPr>
        <w:t>)</w:t>
      </w:r>
    </w:p>
    <w:p w14:paraId="33A01411" w14:textId="77777777" w:rsidR="002133E3" w:rsidRDefault="00C22CFA">
      <w:pPr>
        <w:widowControl/>
        <w:numPr>
          <w:ilvl w:val="0"/>
          <w:numId w:val="9"/>
        </w:numPr>
        <w:tabs>
          <w:tab w:val="left" w:pos="932"/>
        </w:tabs>
        <w:snapToGrid w:val="0"/>
        <w:spacing w:line="500" w:lineRule="exact"/>
        <w:ind w:firstLine="420"/>
        <w:jc w:val="left"/>
        <w:rPr>
          <w:rFonts w:ascii="Times New Roman" w:eastAsia="宋体" w:hAnsi="Times New Roman" w:cs="Times New Roman"/>
          <w:b/>
          <w:bCs/>
          <w:sz w:val="28"/>
          <w:szCs w:val="28"/>
        </w:rPr>
      </w:pPr>
      <w:r>
        <w:rPr>
          <w:rFonts w:ascii="Times New Roman" w:eastAsia="宋体" w:hAnsi="Times New Roman" w:cs="Times New Roman"/>
          <w:b/>
          <w:bCs/>
          <w:sz w:val="28"/>
          <w:szCs w:val="28"/>
        </w:rPr>
        <w:t>平整基础层</w:t>
      </w:r>
    </w:p>
    <w:p w14:paraId="1F2E98B5" w14:textId="77777777" w:rsidR="002133E3" w:rsidRDefault="00C22CFA">
      <w:pPr>
        <w:widowControl/>
        <w:snapToGrid w:val="0"/>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特殊区域防渗系数需</w:t>
      </w:r>
      <w:r>
        <w:rPr>
          <w:rFonts w:ascii="Times New Roman" w:eastAsia="宋体" w:hAnsi="Times New Roman" w:cs="Times New Roman"/>
          <w:kern w:val="0"/>
          <w:sz w:val="28"/>
          <w:szCs w:val="28"/>
        </w:rPr>
        <w:t>≤1.0×10</w:t>
      </w:r>
      <w:r>
        <w:rPr>
          <w:rFonts w:ascii="Times New Roman" w:eastAsia="宋体" w:hAnsi="Times New Roman" w:cs="Times New Roman"/>
          <w:kern w:val="0"/>
          <w:sz w:val="28"/>
          <w:szCs w:val="28"/>
          <w:vertAlign w:val="superscript"/>
        </w:rPr>
        <w:t>-10</w:t>
      </w:r>
      <w:r>
        <w:rPr>
          <w:rFonts w:ascii="Times New Roman" w:eastAsia="宋体" w:hAnsi="Times New Roman" w:cs="Times New Roman"/>
          <w:kern w:val="0"/>
          <w:sz w:val="28"/>
          <w:szCs w:val="28"/>
        </w:rPr>
        <w:t>cm/s</w:t>
      </w:r>
      <w:r>
        <w:rPr>
          <w:rFonts w:ascii="Times New Roman" w:eastAsia="宋体" w:hAnsi="Times New Roman" w:cs="Times New Roman"/>
          <w:kern w:val="0"/>
          <w:sz w:val="28"/>
          <w:szCs w:val="28"/>
        </w:rPr>
        <w:t>。</w:t>
      </w:r>
    </w:p>
    <w:p w14:paraId="59A52AFF" w14:textId="77777777" w:rsidR="002133E3" w:rsidRDefault="00C22CFA">
      <w:pPr>
        <w:widowControl/>
        <w:snapToGrid w:val="0"/>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采用双人工合成材料衬层的特殊防渗区域除设置主集排水系统外，还应设置辅助集排水系统，它包括底部排水层、集排水管道和集水井；辅助集排水系统的集水井主要用作上人工合成衬层的渗漏监测，本项目在辅助集排水系统的集水井中设置自动检漏装置。</w:t>
      </w:r>
    </w:p>
    <w:p w14:paraId="306F7146"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一般区域防渗措施</w:t>
      </w:r>
    </w:p>
    <w:p w14:paraId="3E594ED7"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除污染装置区、各类污水管线等以外的其他区域防渗措施参照《一般工业固体废物贮存、处置场污染控制标准》</w:t>
      </w:r>
      <w:r>
        <w:rPr>
          <w:rFonts w:ascii="Times New Roman" w:eastAsia="宋体" w:hAnsi="Times New Roman" w:cs="Times New Roman"/>
          <w:kern w:val="0"/>
          <w:sz w:val="28"/>
          <w:szCs w:val="28"/>
        </w:rPr>
        <w:t>(GB18599-2001)</w:t>
      </w:r>
      <w:r>
        <w:rPr>
          <w:rFonts w:ascii="Times New Roman" w:eastAsia="宋体" w:hAnsi="Times New Roman" w:cs="Times New Roman"/>
          <w:kern w:val="0"/>
          <w:sz w:val="28"/>
          <w:szCs w:val="28"/>
        </w:rPr>
        <w:t>要求。</w:t>
      </w:r>
    </w:p>
    <w:p w14:paraId="033261BB"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根据标准要求，当天然基础层的渗透系数大于</w:t>
      </w:r>
      <w:r>
        <w:rPr>
          <w:rFonts w:ascii="Times New Roman" w:eastAsia="宋体" w:hAnsi="Times New Roman" w:cs="Times New Roman"/>
          <w:kern w:val="0"/>
          <w:sz w:val="28"/>
          <w:szCs w:val="28"/>
        </w:rPr>
        <w:t>1.0×10</w:t>
      </w:r>
      <w:r>
        <w:rPr>
          <w:rFonts w:ascii="Times New Roman" w:eastAsia="宋体" w:hAnsi="Times New Roman" w:cs="Times New Roman"/>
          <w:kern w:val="0"/>
          <w:sz w:val="28"/>
          <w:szCs w:val="28"/>
          <w:vertAlign w:val="superscript"/>
        </w:rPr>
        <w:t>-7</w:t>
      </w:r>
      <w:r>
        <w:rPr>
          <w:rFonts w:ascii="Times New Roman" w:eastAsia="宋体" w:hAnsi="Times New Roman" w:cs="Times New Roman"/>
          <w:kern w:val="0"/>
          <w:sz w:val="28"/>
          <w:szCs w:val="28"/>
        </w:rPr>
        <w:t>cm/s</w:t>
      </w:r>
      <w:r>
        <w:rPr>
          <w:rFonts w:ascii="Times New Roman" w:eastAsia="宋体" w:hAnsi="Times New Roman" w:cs="Times New Roman"/>
          <w:kern w:val="0"/>
          <w:sz w:val="28"/>
          <w:szCs w:val="28"/>
        </w:rPr>
        <w:t>时，应采用天然或人工材料构筑防渗层，防渗层的厚度应相当于渗透系数</w:t>
      </w:r>
      <w:r>
        <w:rPr>
          <w:rFonts w:ascii="Times New Roman" w:eastAsia="宋体" w:hAnsi="Times New Roman" w:cs="Times New Roman"/>
          <w:kern w:val="0"/>
          <w:sz w:val="28"/>
          <w:szCs w:val="28"/>
        </w:rPr>
        <w:t>1.0×10</w:t>
      </w:r>
      <w:r>
        <w:rPr>
          <w:rFonts w:ascii="Times New Roman" w:eastAsia="宋体" w:hAnsi="Times New Roman" w:cs="Times New Roman"/>
          <w:kern w:val="0"/>
          <w:sz w:val="28"/>
          <w:szCs w:val="28"/>
          <w:vertAlign w:val="superscript"/>
        </w:rPr>
        <w:t>-7</w:t>
      </w:r>
      <w:r>
        <w:rPr>
          <w:rFonts w:ascii="Times New Roman" w:eastAsia="宋体" w:hAnsi="Times New Roman" w:cs="Times New Roman"/>
          <w:kern w:val="0"/>
          <w:sz w:val="28"/>
          <w:szCs w:val="28"/>
        </w:rPr>
        <w:t>cm</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s</w:t>
      </w:r>
      <w:r>
        <w:rPr>
          <w:rFonts w:ascii="Times New Roman" w:eastAsia="宋体" w:hAnsi="Times New Roman" w:cs="Times New Roman"/>
          <w:kern w:val="0"/>
          <w:sz w:val="28"/>
          <w:szCs w:val="28"/>
        </w:rPr>
        <w:t>和厚度</w:t>
      </w:r>
      <w:r>
        <w:rPr>
          <w:rFonts w:ascii="Times New Roman" w:eastAsia="宋体" w:hAnsi="Times New Roman" w:cs="Times New Roman"/>
          <w:kern w:val="0"/>
          <w:sz w:val="28"/>
          <w:szCs w:val="28"/>
        </w:rPr>
        <w:t>1.5m</w:t>
      </w:r>
      <w:r>
        <w:rPr>
          <w:rFonts w:ascii="Times New Roman" w:eastAsia="宋体" w:hAnsi="Times New Roman" w:cs="Times New Roman"/>
          <w:kern w:val="0"/>
          <w:sz w:val="28"/>
          <w:szCs w:val="28"/>
        </w:rPr>
        <w:t>的粘土层的防渗性能。因此，本项目一般区域采用天然材料构筑防渗层。</w:t>
      </w:r>
    </w:p>
    <w:p w14:paraId="3EDBEB52"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因此，本项目一般区域采用天然材料构筑防渗层，防渗立体剖面图见图</w:t>
      </w:r>
      <w:r>
        <w:rPr>
          <w:rFonts w:ascii="Times New Roman" w:eastAsia="宋体" w:hAnsi="Times New Roman" w:cs="Times New Roman"/>
          <w:kern w:val="0"/>
          <w:sz w:val="28"/>
          <w:szCs w:val="28"/>
        </w:rPr>
        <w:t>7.6-2</w:t>
      </w:r>
      <w:r>
        <w:rPr>
          <w:rFonts w:ascii="Times New Roman" w:eastAsia="宋体" w:hAnsi="Times New Roman" w:cs="Times New Roman"/>
          <w:kern w:val="0"/>
          <w:sz w:val="28"/>
          <w:szCs w:val="28"/>
        </w:rPr>
        <w:t>。</w:t>
      </w:r>
    </w:p>
    <w:p w14:paraId="15DF7EF6" w14:textId="77777777" w:rsidR="002133E3" w:rsidRDefault="00C22CFA">
      <w:pPr>
        <w:widowControl/>
        <w:spacing w:beforeLines="50" w:before="156"/>
        <w:jc w:val="center"/>
        <w:rPr>
          <w:rFonts w:ascii="Times New Roman" w:eastAsia="宋体" w:hAnsi="Times New Roman" w:cs="Times New Roman"/>
          <w:kern w:val="0"/>
          <w:sz w:val="28"/>
          <w:szCs w:val="28"/>
        </w:rPr>
      </w:pPr>
      <w:r>
        <w:rPr>
          <w:rFonts w:ascii="Times New Roman" w:eastAsia="宋体" w:hAnsi="Times New Roman" w:cs="Times New Roman"/>
          <w:noProof/>
          <w:kern w:val="0"/>
          <w:sz w:val="28"/>
          <w:szCs w:val="28"/>
        </w:rPr>
        <w:drawing>
          <wp:inline distT="0" distB="0" distL="0" distR="0" wp14:anchorId="30AB4857" wp14:editId="36030EF8">
            <wp:extent cx="4038600" cy="1800225"/>
            <wp:effectExtent l="0" t="0" r="0" b="9525"/>
            <wp:docPr id="5" name="图片 5" descr="天然材料衬层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天然材料衬层示意图"/>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4038600" cy="1800225"/>
                    </a:xfrm>
                    <a:prstGeom prst="rect">
                      <a:avLst/>
                    </a:prstGeom>
                    <a:noFill/>
                    <a:ln>
                      <a:noFill/>
                    </a:ln>
                  </pic:spPr>
                </pic:pic>
              </a:graphicData>
            </a:graphic>
          </wp:inline>
        </w:drawing>
      </w:r>
    </w:p>
    <w:p w14:paraId="3A166980" w14:textId="77777777" w:rsidR="002133E3" w:rsidRDefault="00C22CFA">
      <w:pPr>
        <w:widowControl/>
        <w:tabs>
          <w:tab w:val="left" w:pos="600"/>
        </w:tabs>
        <w:spacing w:line="500" w:lineRule="exact"/>
        <w:ind w:firstLineChars="200" w:firstLine="482"/>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图</w:t>
      </w:r>
      <w:r>
        <w:rPr>
          <w:rFonts w:ascii="Times New Roman" w:eastAsia="宋体" w:hAnsi="Times New Roman" w:cs="Times New Roman"/>
          <w:b/>
          <w:kern w:val="0"/>
          <w:sz w:val="24"/>
          <w:szCs w:val="20"/>
        </w:rPr>
        <w:t xml:space="preserve">7.6-2  </w:t>
      </w:r>
      <w:r>
        <w:rPr>
          <w:rFonts w:ascii="Times New Roman" w:eastAsia="宋体" w:hAnsi="Times New Roman" w:cs="Times New Roman"/>
          <w:b/>
          <w:kern w:val="0"/>
          <w:sz w:val="24"/>
          <w:szCs w:val="20"/>
        </w:rPr>
        <w:t>一般区域防渗立体剖面图</w:t>
      </w:r>
    </w:p>
    <w:p w14:paraId="08DA2DF1"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天然材料衬层厚度应满足表</w:t>
      </w:r>
      <w:r>
        <w:rPr>
          <w:rFonts w:ascii="Times New Roman" w:eastAsia="宋体" w:hAnsi="Times New Roman" w:cs="Times New Roman"/>
          <w:kern w:val="0"/>
          <w:sz w:val="28"/>
          <w:szCs w:val="28"/>
        </w:rPr>
        <w:t>7.6-1</w:t>
      </w:r>
      <w:r>
        <w:rPr>
          <w:rFonts w:ascii="Times New Roman" w:eastAsia="宋体" w:hAnsi="Times New Roman" w:cs="Times New Roman"/>
          <w:kern w:val="0"/>
          <w:sz w:val="28"/>
          <w:szCs w:val="28"/>
        </w:rPr>
        <w:t>中要求。</w:t>
      </w:r>
    </w:p>
    <w:p w14:paraId="3521333E" w14:textId="77777777" w:rsidR="002133E3" w:rsidRDefault="00C22CFA">
      <w:pPr>
        <w:widowControl/>
        <w:tabs>
          <w:tab w:val="left" w:pos="600"/>
        </w:tabs>
        <w:spacing w:line="500" w:lineRule="exact"/>
        <w:ind w:firstLineChars="200" w:firstLine="482"/>
        <w:jc w:val="center"/>
        <w:rPr>
          <w:rFonts w:ascii="Times New Roman" w:eastAsia="宋体" w:hAnsi="Times New Roman" w:cs="Times New Roman"/>
          <w:b/>
          <w:kern w:val="0"/>
          <w:sz w:val="24"/>
          <w:szCs w:val="20"/>
        </w:rPr>
      </w:pPr>
      <w:r>
        <w:rPr>
          <w:rFonts w:ascii="Times New Roman" w:eastAsia="宋体" w:hAnsi="Times New Roman" w:cs="Times New Roman"/>
          <w:b/>
          <w:kern w:val="0"/>
          <w:sz w:val="24"/>
          <w:szCs w:val="20"/>
        </w:rPr>
        <w:t>表</w:t>
      </w:r>
      <w:r>
        <w:rPr>
          <w:rFonts w:ascii="Times New Roman" w:eastAsia="宋体" w:hAnsi="Times New Roman" w:cs="Times New Roman"/>
          <w:b/>
          <w:kern w:val="0"/>
          <w:sz w:val="24"/>
          <w:szCs w:val="20"/>
        </w:rPr>
        <w:t xml:space="preserve">7.6-1  </w:t>
      </w:r>
      <w:r>
        <w:rPr>
          <w:rFonts w:ascii="Times New Roman" w:eastAsia="宋体" w:hAnsi="Times New Roman" w:cs="Times New Roman"/>
          <w:b/>
          <w:kern w:val="0"/>
          <w:sz w:val="24"/>
          <w:szCs w:val="20"/>
        </w:rPr>
        <w:t>天然材料衬层厚度设计要求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29"/>
        <w:gridCol w:w="4729"/>
      </w:tblGrid>
      <w:tr w:rsidR="002133E3" w14:paraId="56180EAD" w14:textId="77777777">
        <w:trPr>
          <w:jc w:val="center"/>
        </w:trPr>
        <w:tc>
          <w:tcPr>
            <w:tcW w:w="4729" w:type="dxa"/>
            <w:vAlign w:val="center"/>
          </w:tcPr>
          <w:p w14:paraId="55B7B04F"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基础层条件</w:t>
            </w:r>
          </w:p>
        </w:tc>
        <w:tc>
          <w:tcPr>
            <w:tcW w:w="4729" w:type="dxa"/>
            <w:vAlign w:val="center"/>
          </w:tcPr>
          <w:p w14:paraId="02F397ED" w14:textId="77777777" w:rsidR="002133E3" w:rsidRDefault="00C22CFA">
            <w:pPr>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下衬层厚度</w:t>
            </w:r>
          </w:p>
        </w:tc>
      </w:tr>
      <w:tr w:rsidR="002133E3" w14:paraId="5E439E39" w14:textId="77777777">
        <w:trPr>
          <w:jc w:val="center"/>
        </w:trPr>
        <w:tc>
          <w:tcPr>
            <w:tcW w:w="4729" w:type="dxa"/>
            <w:vAlign w:val="center"/>
          </w:tcPr>
          <w:p w14:paraId="73F7E9CC"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bCs/>
                <w:szCs w:val="21"/>
              </w:rPr>
              <w:t>渗透系数</w:t>
            </w:r>
            <w:r>
              <w:rPr>
                <w:rFonts w:ascii="Times New Roman" w:eastAsia="宋体" w:hAnsi="Times New Roman" w:cs="Times New Roman"/>
                <w:bCs/>
                <w:szCs w:val="21"/>
              </w:rPr>
              <w:t>≤1.0×10</w:t>
            </w:r>
            <w:r>
              <w:rPr>
                <w:rFonts w:ascii="Times New Roman" w:eastAsia="宋体" w:hAnsi="Times New Roman" w:cs="Times New Roman"/>
                <w:bCs/>
                <w:szCs w:val="21"/>
                <w:vertAlign w:val="superscript"/>
              </w:rPr>
              <w:t>-7</w:t>
            </w:r>
            <w:r>
              <w:rPr>
                <w:rFonts w:ascii="Times New Roman" w:eastAsia="宋体" w:hAnsi="Times New Roman" w:cs="Times New Roman"/>
                <w:bCs/>
                <w:szCs w:val="21"/>
              </w:rPr>
              <w:t>cm/s</w:t>
            </w:r>
            <w:r>
              <w:rPr>
                <w:rFonts w:ascii="Times New Roman" w:eastAsia="宋体" w:hAnsi="Times New Roman" w:cs="Times New Roman"/>
                <w:bCs/>
                <w:szCs w:val="21"/>
              </w:rPr>
              <w:t>，厚度</w:t>
            </w:r>
            <w:r>
              <w:rPr>
                <w:rFonts w:ascii="Times New Roman" w:eastAsia="宋体" w:hAnsi="Times New Roman" w:cs="Times New Roman"/>
                <w:bCs/>
                <w:szCs w:val="21"/>
              </w:rPr>
              <w:t>≥3m</w:t>
            </w:r>
          </w:p>
        </w:tc>
        <w:tc>
          <w:tcPr>
            <w:tcW w:w="4729" w:type="dxa"/>
            <w:vAlign w:val="center"/>
          </w:tcPr>
          <w:p w14:paraId="08D13DFC"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bCs/>
                <w:szCs w:val="21"/>
              </w:rPr>
              <w:t>厚度</w:t>
            </w:r>
            <w:r>
              <w:rPr>
                <w:rFonts w:ascii="Times New Roman" w:eastAsia="宋体" w:hAnsi="Times New Roman" w:cs="Times New Roman"/>
                <w:bCs/>
                <w:szCs w:val="21"/>
              </w:rPr>
              <w:t>≥0.5m</w:t>
            </w:r>
          </w:p>
        </w:tc>
      </w:tr>
      <w:tr w:rsidR="002133E3" w14:paraId="604E86D9" w14:textId="77777777">
        <w:trPr>
          <w:jc w:val="center"/>
        </w:trPr>
        <w:tc>
          <w:tcPr>
            <w:tcW w:w="4729" w:type="dxa"/>
            <w:vAlign w:val="center"/>
          </w:tcPr>
          <w:p w14:paraId="6319DAF4"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bCs/>
                <w:szCs w:val="21"/>
              </w:rPr>
              <w:t>渗透系数</w:t>
            </w:r>
            <w:r>
              <w:rPr>
                <w:rFonts w:ascii="Times New Roman" w:eastAsia="宋体" w:hAnsi="Times New Roman" w:cs="Times New Roman"/>
                <w:bCs/>
                <w:szCs w:val="21"/>
              </w:rPr>
              <w:t>≤1.0×10</w:t>
            </w:r>
            <w:r>
              <w:rPr>
                <w:rFonts w:ascii="Times New Roman" w:eastAsia="宋体" w:hAnsi="Times New Roman" w:cs="Times New Roman"/>
                <w:bCs/>
                <w:szCs w:val="21"/>
                <w:vertAlign w:val="superscript"/>
              </w:rPr>
              <w:t>-6</w:t>
            </w:r>
            <w:r>
              <w:rPr>
                <w:rFonts w:ascii="Times New Roman" w:eastAsia="宋体" w:hAnsi="Times New Roman" w:cs="Times New Roman"/>
                <w:bCs/>
                <w:szCs w:val="21"/>
              </w:rPr>
              <w:t>cm/s</w:t>
            </w:r>
            <w:r>
              <w:rPr>
                <w:rFonts w:ascii="Times New Roman" w:eastAsia="宋体" w:hAnsi="Times New Roman" w:cs="Times New Roman"/>
                <w:bCs/>
                <w:szCs w:val="21"/>
              </w:rPr>
              <w:t>，厚度</w:t>
            </w:r>
            <w:r>
              <w:rPr>
                <w:rFonts w:ascii="Times New Roman" w:eastAsia="宋体" w:hAnsi="Times New Roman" w:cs="Times New Roman"/>
                <w:bCs/>
                <w:szCs w:val="21"/>
              </w:rPr>
              <w:t>≥6m</w:t>
            </w:r>
          </w:p>
        </w:tc>
        <w:tc>
          <w:tcPr>
            <w:tcW w:w="4729" w:type="dxa"/>
            <w:vAlign w:val="center"/>
          </w:tcPr>
          <w:p w14:paraId="71F1B235"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bCs/>
                <w:szCs w:val="21"/>
              </w:rPr>
              <w:t>厚度</w:t>
            </w:r>
            <w:r>
              <w:rPr>
                <w:rFonts w:ascii="Times New Roman" w:eastAsia="宋体" w:hAnsi="Times New Roman" w:cs="Times New Roman"/>
                <w:bCs/>
                <w:szCs w:val="21"/>
              </w:rPr>
              <w:t>≥0.5m</w:t>
            </w:r>
          </w:p>
        </w:tc>
      </w:tr>
      <w:tr w:rsidR="002133E3" w14:paraId="339E8520" w14:textId="77777777">
        <w:trPr>
          <w:jc w:val="center"/>
        </w:trPr>
        <w:tc>
          <w:tcPr>
            <w:tcW w:w="4729" w:type="dxa"/>
            <w:vAlign w:val="center"/>
          </w:tcPr>
          <w:p w14:paraId="3F982CBE"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bCs/>
                <w:szCs w:val="21"/>
              </w:rPr>
              <w:t>渗透系数</w:t>
            </w:r>
            <w:r>
              <w:rPr>
                <w:rFonts w:ascii="Times New Roman" w:eastAsia="宋体" w:hAnsi="Times New Roman" w:cs="Times New Roman"/>
                <w:bCs/>
                <w:szCs w:val="21"/>
              </w:rPr>
              <w:t>≤1.0×10</w:t>
            </w:r>
            <w:r>
              <w:rPr>
                <w:rFonts w:ascii="Times New Roman" w:eastAsia="宋体" w:hAnsi="Times New Roman" w:cs="Times New Roman"/>
                <w:bCs/>
                <w:szCs w:val="21"/>
                <w:vertAlign w:val="superscript"/>
              </w:rPr>
              <w:t>-6</w:t>
            </w:r>
            <w:r>
              <w:rPr>
                <w:rFonts w:ascii="Times New Roman" w:eastAsia="宋体" w:hAnsi="Times New Roman" w:cs="Times New Roman"/>
                <w:bCs/>
                <w:szCs w:val="21"/>
              </w:rPr>
              <w:t>cm/s</w:t>
            </w:r>
            <w:r>
              <w:rPr>
                <w:rFonts w:ascii="Times New Roman" w:eastAsia="宋体" w:hAnsi="Times New Roman" w:cs="Times New Roman"/>
                <w:bCs/>
                <w:szCs w:val="21"/>
              </w:rPr>
              <w:t>，厚度</w:t>
            </w:r>
            <w:r>
              <w:rPr>
                <w:rFonts w:ascii="Times New Roman" w:eastAsia="宋体" w:hAnsi="Times New Roman" w:cs="Times New Roman"/>
                <w:bCs/>
                <w:szCs w:val="21"/>
              </w:rPr>
              <w:t>≥3m</w:t>
            </w:r>
          </w:p>
        </w:tc>
        <w:tc>
          <w:tcPr>
            <w:tcW w:w="4729" w:type="dxa"/>
            <w:vAlign w:val="center"/>
          </w:tcPr>
          <w:p w14:paraId="4BF93CCE" w14:textId="77777777" w:rsidR="002133E3" w:rsidRDefault="00C22CFA">
            <w:pPr>
              <w:snapToGrid w:val="0"/>
              <w:jc w:val="center"/>
              <w:rPr>
                <w:rFonts w:ascii="Times New Roman" w:eastAsia="宋体" w:hAnsi="Times New Roman" w:cs="Times New Roman"/>
                <w:bCs/>
                <w:szCs w:val="21"/>
              </w:rPr>
            </w:pPr>
            <w:r>
              <w:rPr>
                <w:rFonts w:ascii="Times New Roman" w:eastAsia="宋体" w:hAnsi="Times New Roman" w:cs="Times New Roman"/>
                <w:bCs/>
                <w:szCs w:val="21"/>
              </w:rPr>
              <w:t>厚度</w:t>
            </w:r>
            <w:r>
              <w:rPr>
                <w:rFonts w:ascii="Times New Roman" w:eastAsia="宋体" w:hAnsi="Times New Roman" w:cs="Times New Roman"/>
                <w:bCs/>
                <w:szCs w:val="21"/>
              </w:rPr>
              <w:t>≥1.0m</w:t>
            </w:r>
          </w:p>
        </w:tc>
      </w:tr>
    </w:tbl>
    <w:p w14:paraId="6365F1B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防渗区域填土垫高措施</w:t>
      </w:r>
    </w:p>
    <w:p w14:paraId="58F7ED0C"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项目所在区域地下水位埋深约</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3m</w:t>
      </w:r>
      <w:r>
        <w:rPr>
          <w:rFonts w:ascii="Times New Roman" w:eastAsia="宋体" w:hAnsi="Times New Roman" w:cs="Times New Roman"/>
          <w:kern w:val="0"/>
          <w:sz w:val="28"/>
          <w:szCs w:val="28"/>
        </w:rPr>
        <w:t>，根据《一般工业固体废物贮存、处置场污染控制标准》</w:t>
      </w:r>
      <w:r>
        <w:rPr>
          <w:rFonts w:ascii="Times New Roman" w:eastAsia="宋体" w:hAnsi="Times New Roman" w:cs="Times New Roman"/>
          <w:kern w:val="0"/>
          <w:sz w:val="28"/>
          <w:szCs w:val="28"/>
        </w:rPr>
        <w:t>(GB18599-2001)</w:t>
      </w:r>
      <w:r>
        <w:rPr>
          <w:rFonts w:ascii="Times New Roman" w:eastAsia="宋体" w:hAnsi="Times New Roman" w:cs="Times New Roman"/>
          <w:kern w:val="0"/>
          <w:sz w:val="28"/>
          <w:szCs w:val="28"/>
        </w:rPr>
        <w:t>，</w:t>
      </w:r>
      <w:r>
        <w:rPr>
          <w:rFonts w:ascii="宋体" w:eastAsia="宋体" w:hAnsi="宋体" w:cs="宋体" w:hint="eastAsia"/>
          <w:kern w:val="0"/>
          <w:sz w:val="28"/>
          <w:szCs w:val="28"/>
        </w:rPr>
        <w:t>Ⅱ</w:t>
      </w:r>
      <w:r>
        <w:rPr>
          <w:rFonts w:ascii="Times New Roman" w:eastAsia="宋体" w:hAnsi="Times New Roman" w:cs="Times New Roman"/>
          <w:kern w:val="0"/>
          <w:sz w:val="28"/>
          <w:szCs w:val="28"/>
        </w:rPr>
        <w:t>类场应选在防渗性能好的地基上，天然基础层地表距地下水位的距离不得小于</w:t>
      </w:r>
      <w:r>
        <w:rPr>
          <w:rFonts w:ascii="Times New Roman" w:eastAsia="宋体" w:hAnsi="Times New Roman" w:cs="Times New Roman"/>
          <w:kern w:val="0"/>
          <w:sz w:val="28"/>
          <w:szCs w:val="28"/>
        </w:rPr>
        <w:t>1.5m</w:t>
      </w:r>
      <w:r>
        <w:rPr>
          <w:rFonts w:ascii="Times New Roman" w:eastAsia="宋体" w:hAnsi="Times New Roman" w:cs="Times New Roman"/>
          <w:kern w:val="0"/>
          <w:sz w:val="28"/>
          <w:szCs w:val="28"/>
        </w:rPr>
        <w:t>。因此，为了满足标准要求，本项目采取以下两方面的措施：</w:t>
      </w:r>
    </w:p>
    <w:p w14:paraId="3A4DDC32"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在防渗区域平整过程中通过填土的方式增加表土层距离地下水位的距离，确保表土层距离地下水位的距离不得小于</w:t>
      </w:r>
      <w:r>
        <w:rPr>
          <w:rFonts w:ascii="Times New Roman" w:eastAsia="宋体" w:hAnsi="Times New Roman" w:cs="Times New Roman"/>
          <w:kern w:val="0"/>
          <w:sz w:val="28"/>
          <w:szCs w:val="28"/>
        </w:rPr>
        <w:t>1.5m</w:t>
      </w:r>
      <w:r>
        <w:rPr>
          <w:rFonts w:ascii="Times New Roman" w:eastAsia="宋体" w:hAnsi="Times New Roman" w:cs="Times New Roman"/>
          <w:kern w:val="0"/>
          <w:sz w:val="28"/>
          <w:szCs w:val="28"/>
        </w:rPr>
        <w:t>，并在表土层上直接做防渗处理。</w:t>
      </w:r>
    </w:p>
    <w:p w14:paraId="58054726"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为了防止地下水对防渗膜的顶托而使膜易受破坏，须将厂区地下水及时导出，使地下水水位低于防渗结构层的标高，故设计在水平防渗膜底下设置地下水集排系统。顺应天然地下水流向，设置的地下水集排系统总体方向为由北</w:t>
      </w:r>
      <w:r>
        <w:rPr>
          <w:rFonts w:ascii="Times New Roman" w:eastAsia="宋体" w:hAnsi="Times New Roman" w:cs="Times New Roman"/>
          <w:kern w:val="0"/>
          <w:sz w:val="28"/>
          <w:szCs w:val="28"/>
        </w:rPr>
        <w:lastRenderedPageBreak/>
        <w:t>向南，在防渗层下面设置了土工复合排水网，使每个防渗部位的地下水都可以及时导出。</w:t>
      </w:r>
    </w:p>
    <w:p w14:paraId="5D87669A"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生态保护措施</w:t>
      </w:r>
    </w:p>
    <w:p w14:paraId="2E780E11"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开发建设项目的生态环境保护措施须从生态环境特点及其保护要求考虑，主要采取保护途径有以下内容：</w:t>
      </w:r>
    </w:p>
    <w:p w14:paraId="4EC0802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生态影响的预防措施</w:t>
      </w:r>
    </w:p>
    <w:p w14:paraId="4A009003"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生态影响的避免</w:t>
      </w:r>
    </w:p>
    <w:p w14:paraId="12A1A001"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本工程需注意的是施工过程中尽可能减少土地开挖，施工过程中注意文明施工，施工产生的土方妥善堆存，防止水土流失，减少占压土地。</w:t>
      </w:r>
    </w:p>
    <w:p w14:paraId="5D8402D4"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建筑物基础开挖施工，在安排施工计划前，注意施工开挖尽量避免在雨季，减少水土流失，同时避免春季开挖，减少扬尘影响；</w:t>
      </w:r>
    </w:p>
    <w:p w14:paraId="2C6D6F42"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生态影响的消减</w:t>
      </w:r>
    </w:p>
    <w:p w14:paraId="7D52148F"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标桩划界，标明施工活动区，禁止施工人员进入非施工占用地区域，严令禁止到非施工区活动。</w:t>
      </w:r>
    </w:p>
    <w:p w14:paraId="50EBAD21"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⑶</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水土保持措施</w:t>
      </w:r>
    </w:p>
    <w:p w14:paraId="7C5DBC80"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水土保持措施的建立应依据发布的有关加强水土保持的法律、法规及相关标准和技术规范进行。应考虑安全可行，尽量减少占地。具体建议如下：</w:t>
      </w:r>
    </w:p>
    <w:p w14:paraId="331581D2"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①</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雨季施工时，应备有工程工布覆盖，防止汛期造成水土大量流失，平时尽量保持表面平整，减少雨水冲刷。</w:t>
      </w:r>
    </w:p>
    <w:p w14:paraId="5B2230ED"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②</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保持排水系统畅通。</w:t>
      </w:r>
    </w:p>
    <w:p w14:paraId="49BBD38E"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③</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加强生态绿化，在</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适地适树</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原则上，既要提高绿化的档次，又要考虑总造价的平衡，力求低投入，高效果，乔、灌、草、地被有机结合，丰富绿化层次和景观内容。绿化上选择能代表区域特色的植物，形式布置上充分考虑层次感。项目建设完成后要对水土保持工程及绿化设施进行经常性的维护保养。</w:t>
      </w:r>
    </w:p>
    <w:p w14:paraId="45AFD829"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上述措施的确定需要建设方提供详细的施工方案和运行方式，才能更具有针对性，才能将生态影响消减到合理程度。</w:t>
      </w:r>
    </w:p>
    <w:p w14:paraId="0604741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生态影响的恢复措施</w:t>
      </w:r>
    </w:p>
    <w:p w14:paraId="73E7407E"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生态恢复是相对于生态破坏而言的，生态破坏可以理解为生态体系的结构发生变化、功能退化或丧失。生态恢复是指恢复系统的合理结构、高效的功能和协调关系。本项目生态恢复的内容有：</w:t>
      </w:r>
    </w:p>
    <w:p w14:paraId="09A21850" w14:textId="77777777" w:rsidR="002133E3" w:rsidRDefault="00C22CFA">
      <w:pPr>
        <w:widowControl/>
        <w:spacing w:line="520" w:lineRule="exact"/>
        <w:ind w:firstLineChars="200" w:firstLine="560"/>
        <w:jc w:val="left"/>
        <w:rPr>
          <w:rFonts w:ascii="Times New Roman" w:eastAsia="宋体" w:hAnsi="Times New Roman" w:cs="Times New Roman"/>
          <w:kern w:val="0"/>
          <w:sz w:val="28"/>
          <w:szCs w:val="28"/>
        </w:rPr>
      </w:pPr>
      <w:r>
        <w:rPr>
          <w:rFonts w:ascii="宋体" w:eastAsia="宋体" w:hAnsi="宋体" w:cs="宋体" w:hint="eastAsia"/>
          <w:kern w:val="0"/>
          <w:sz w:val="28"/>
          <w:szCs w:val="28"/>
        </w:rPr>
        <w:t>⑴</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落实绿化规划中的绿化指标，在道路两侧、车间周围等种植行道树绿化和景观树绿化。在绿化宽度内种植腊梅、春梅、合欢、枇杷、火棘球、木槿等作为灌木和地被绿化，并大面积种植草坪进行环境保护。</w:t>
      </w:r>
    </w:p>
    <w:p w14:paraId="2A8B7654" w14:textId="77777777" w:rsidR="002133E3" w:rsidRDefault="00C22CFA">
      <w:pPr>
        <w:widowControl/>
        <w:spacing w:line="520" w:lineRule="exact"/>
        <w:ind w:firstLineChars="200" w:firstLine="560"/>
        <w:jc w:val="left"/>
        <w:rPr>
          <w:rFonts w:ascii="Times New Roman" w:eastAsia="宋体" w:hAnsi="Times New Roman" w:cs="Times New Roman"/>
          <w:b/>
          <w:sz w:val="30"/>
          <w:szCs w:val="30"/>
        </w:rPr>
      </w:pPr>
      <w:r>
        <w:rPr>
          <w:rFonts w:ascii="宋体" w:eastAsia="宋体" w:hAnsi="宋体" w:cs="宋体" w:hint="eastAsia"/>
          <w:kern w:val="0"/>
          <w:sz w:val="28"/>
          <w:szCs w:val="28"/>
        </w:rPr>
        <w:t>⑵</w:t>
      </w:r>
      <w:r>
        <w:rPr>
          <w:rFonts w:ascii="Times New Roman" w:eastAsia="宋体" w:hAnsi="Times New Roman" w:cs="Times New Roman"/>
          <w:kern w:val="0"/>
          <w:sz w:val="28"/>
          <w:szCs w:val="28"/>
        </w:rPr>
        <w:t xml:space="preserve"> </w:t>
      </w:r>
      <w:r>
        <w:rPr>
          <w:rFonts w:ascii="Times New Roman" w:eastAsia="宋体" w:hAnsi="Times New Roman" w:cs="Times New Roman"/>
          <w:kern w:val="0"/>
          <w:sz w:val="28"/>
          <w:szCs w:val="28"/>
        </w:rPr>
        <w:t>对区域内裸露地表进行绿化处理，消除地表裸露。</w:t>
      </w:r>
    </w:p>
    <w:p w14:paraId="43473002"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环境风险防范措施及应急预案</w:t>
      </w:r>
    </w:p>
    <w:p w14:paraId="1D099F1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企业现有风险防范措施回顾</w:t>
      </w:r>
    </w:p>
    <w:p w14:paraId="1529BB9B"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现有项目已进行过环境风险评价，并制订了突发环境事件应急预案，主要包括的内容有：</w:t>
      </w:r>
    </w:p>
    <w:p w14:paraId="7D0EF94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选址、总平布置及建筑安全防范措施</w:t>
      </w:r>
    </w:p>
    <w:p w14:paraId="427D2B8C"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⑴</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选址</w:t>
      </w:r>
    </w:p>
    <w:p w14:paraId="56FC7A4A"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江苏金茂源生物化工有限责任公司位于海州湾产业区，根据企业现有环评报告及批复要求，丁二酸生产车间、木薯仓设置</w:t>
      </w:r>
      <w:r>
        <w:rPr>
          <w:rFonts w:ascii="Times New Roman" w:eastAsia="Times New Roman" w:hAnsi="Times New Roman" w:cs="Times New Roman"/>
          <w:kern w:val="0"/>
          <w:sz w:val="28"/>
          <w:szCs w:val="20"/>
        </w:rPr>
        <w:t>50</w:t>
      </w:r>
      <w:r>
        <w:rPr>
          <w:rFonts w:ascii="Times New Roman" w:eastAsia="宋体" w:hAnsi="Times New Roman" w:cs="Times New Roman"/>
          <w:kern w:val="0"/>
          <w:sz w:val="28"/>
          <w:szCs w:val="20"/>
        </w:rPr>
        <w:t>米卫生防护距离、罐区周围设置</w:t>
      </w:r>
      <w:r>
        <w:rPr>
          <w:rFonts w:ascii="Times New Roman" w:eastAsia="Times New Roman" w:hAnsi="Times New Roman" w:cs="Times New Roman"/>
          <w:kern w:val="0"/>
          <w:sz w:val="28"/>
          <w:szCs w:val="20"/>
        </w:rPr>
        <w:t>200</w:t>
      </w:r>
      <w:r>
        <w:rPr>
          <w:rFonts w:ascii="Times New Roman" w:eastAsia="宋体" w:hAnsi="Times New Roman" w:cs="Times New Roman"/>
          <w:kern w:val="0"/>
          <w:sz w:val="28"/>
          <w:szCs w:val="20"/>
        </w:rPr>
        <w:t>米的卫生防护距离、污水站周围设置</w:t>
      </w:r>
      <w:r>
        <w:rPr>
          <w:rFonts w:ascii="Times New Roman" w:eastAsia="Times New Roman" w:hAnsi="Times New Roman" w:cs="Times New Roman"/>
          <w:kern w:val="0"/>
          <w:sz w:val="28"/>
          <w:szCs w:val="20"/>
        </w:rPr>
        <w:t>100</w:t>
      </w:r>
      <w:r>
        <w:rPr>
          <w:rFonts w:ascii="Times New Roman" w:eastAsia="宋体" w:hAnsi="Times New Roman" w:cs="Times New Roman"/>
          <w:kern w:val="0"/>
          <w:sz w:val="28"/>
          <w:szCs w:val="20"/>
        </w:rPr>
        <w:t>米的卫生防护距离，该距离范围内没有环境敏感目标。距离公司厂址最近的居住区为</w:t>
      </w:r>
      <w:r>
        <w:rPr>
          <w:rFonts w:ascii="Times New Roman" w:eastAsia="Times New Roman" w:hAnsi="Times New Roman" w:cs="Times New Roman"/>
          <w:kern w:val="0"/>
          <w:sz w:val="28"/>
          <w:szCs w:val="20"/>
        </w:rPr>
        <w:t>120m</w:t>
      </w:r>
      <w:r>
        <w:rPr>
          <w:rFonts w:ascii="Times New Roman" w:eastAsia="宋体" w:hAnsi="Times New Roman" w:cs="Times New Roman"/>
          <w:kern w:val="0"/>
          <w:sz w:val="28"/>
          <w:szCs w:val="20"/>
        </w:rPr>
        <w:t>，但公司附近几处敏感点均已被列入园区搬迁计划。</w:t>
      </w:r>
    </w:p>
    <w:p w14:paraId="2EEC6052"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⑵</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总平面布置</w:t>
      </w:r>
    </w:p>
    <w:p w14:paraId="3D37F1CC"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金茂源公司厂区总平布置根据生产特点和安全卫生要求</w:t>
      </w:r>
      <w:r>
        <w:rPr>
          <w:rFonts w:ascii="Times New Roman" w:eastAsia="Times New Roman" w:hAnsi="Times New Roman" w:cs="Times New Roman"/>
          <w:kern w:val="0"/>
          <w:sz w:val="28"/>
          <w:szCs w:val="20"/>
        </w:rPr>
        <w:t>,</w:t>
      </w:r>
      <w:r>
        <w:rPr>
          <w:rFonts w:ascii="Times New Roman" w:eastAsia="宋体" w:hAnsi="Times New Roman" w:cs="Times New Roman"/>
          <w:kern w:val="0"/>
          <w:sz w:val="28"/>
          <w:szCs w:val="20"/>
        </w:rPr>
        <w:t>按照功能分区进行布置。主生产装置区分区布置，远离厂前区，厂前区处于生产装置的侧风方位。分区内部和分区之间的间距按有关防火和消防要求确定，并按规定设计消防通道。主体生产装置根据生产工艺要求，不管采用敞开式或半敞开式建（构）筑物，还是采用封闭式建（构）筑物，都必须确保生产装置安全和作业场所有害物质的浓度符合安全环保卫生标准。</w:t>
      </w:r>
    </w:p>
    <w:p w14:paraId="2643E7F1"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⑶</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建筑安全</w:t>
      </w:r>
    </w:p>
    <w:p w14:paraId="1625D14F"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金茂源公司按要求配制急救援设施，在厂区南部办公楼前广场设置了避险区</w:t>
      </w:r>
      <w:r>
        <w:rPr>
          <w:rFonts w:ascii="Times New Roman" w:eastAsia="Times New Roman" w:hAnsi="Times New Roman" w:cs="Times New Roman"/>
          <w:kern w:val="0"/>
          <w:sz w:val="28"/>
          <w:szCs w:val="20"/>
        </w:rPr>
        <w:t>/</w:t>
      </w:r>
      <w:r>
        <w:rPr>
          <w:rFonts w:ascii="Times New Roman" w:eastAsia="宋体" w:hAnsi="Times New Roman" w:cs="Times New Roman"/>
          <w:kern w:val="0"/>
          <w:sz w:val="28"/>
          <w:szCs w:val="20"/>
        </w:rPr>
        <w:t>临时安置场所，避险区</w:t>
      </w:r>
      <w:r>
        <w:rPr>
          <w:rFonts w:ascii="Times New Roman" w:eastAsia="Times New Roman" w:hAnsi="Times New Roman" w:cs="Times New Roman"/>
          <w:kern w:val="0"/>
          <w:sz w:val="28"/>
          <w:szCs w:val="20"/>
        </w:rPr>
        <w:t>/</w:t>
      </w:r>
      <w:r>
        <w:rPr>
          <w:rFonts w:ascii="Times New Roman" w:eastAsia="宋体" w:hAnsi="Times New Roman" w:cs="Times New Roman"/>
          <w:kern w:val="0"/>
          <w:sz w:val="28"/>
          <w:szCs w:val="20"/>
        </w:rPr>
        <w:t>临时安置场所靠近公司出入口，便于及时撤离。</w:t>
      </w:r>
    </w:p>
    <w:p w14:paraId="43DB857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危险化学品储运安全防范措施</w:t>
      </w:r>
    </w:p>
    <w:p w14:paraId="579CD251"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⑴</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危险化学品运输</w:t>
      </w:r>
    </w:p>
    <w:p w14:paraId="363D5953"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委托有运输资质和经验的运输单位承担，确保安全，采取以下措施：</w:t>
      </w:r>
    </w:p>
    <w:p w14:paraId="6A988E35"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①</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合理规划运输时间，避免在车流和人流高峰时间运输。</w:t>
      </w:r>
    </w:p>
    <w:p w14:paraId="799464E9"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②</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特殊物料的装运做到定车、定人。</w:t>
      </w:r>
    </w:p>
    <w:p w14:paraId="4CF040CB"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③</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各危险品运输车辆的明显位置有按规定的危险品标志。</w:t>
      </w:r>
    </w:p>
    <w:p w14:paraId="37F29938"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④</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在各物料运输过程中，一旦发生意外，在采取紧急处理的同时，迅速报告公安机关和环保等有关部门，必要时疏散群众，防止事态进一步扩大，并积极协助公安交通和消防人员抢救伤者和物质，使损失降低到最小程度。</w:t>
      </w:r>
    </w:p>
    <w:p w14:paraId="70ECBB47"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⑤</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应对各运输车辆定期维护和检修，防患于未然，保持车辆和储罐在良好的工作状态，保证接地正常。</w:t>
      </w:r>
    </w:p>
    <w:p w14:paraId="44D98D00"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⑵</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储罐风险防范措施</w:t>
      </w:r>
    </w:p>
    <w:p w14:paraId="69031CBA"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贮罐风险防范是项目风险防范的重点，贮罐设施布置露天化，按规定划分危险区，保证防火防爆距离。贮罐内的建筑抗震结构按当地的地震基本烈度设计。采取以上措施后可保证事故泄露时，有毒物质能及时得到控制。罐区附近场所及需要提醒人员注意的地点均按标准设置各种安全标志，凡需要迅速发现并引起注意以防止发生事故的场所、部位，均按要求涂安全色。</w:t>
      </w:r>
    </w:p>
    <w:p w14:paraId="377202B5"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为保证各物料贮罐的储运和使用安全，本项目各物料的储存条件和设施必须按照有关文件中的要求执行，具体要点为：</w:t>
      </w:r>
    </w:p>
    <w:p w14:paraId="2BDEAC40"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①</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储罐之间的距离符合《石油化工企业设计防火规范》（</w:t>
      </w:r>
      <w:r>
        <w:rPr>
          <w:rFonts w:ascii="Times New Roman" w:eastAsia="Times New Roman" w:hAnsi="Times New Roman" w:cs="Times New Roman"/>
          <w:kern w:val="0"/>
          <w:sz w:val="28"/>
          <w:szCs w:val="20"/>
        </w:rPr>
        <w:t>GB50160-2008</w:t>
      </w:r>
      <w:r>
        <w:rPr>
          <w:rFonts w:ascii="Times New Roman" w:eastAsia="宋体" w:hAnsi="Times New Roman" w:cs="Times New Roman"/>
          <w:kern w:val="0"/>
          <w:sz w:val="28"/>
          <w:szCs w:val="20"/>
        </w:rPr>
        <w:t>）第</w:t>
      </w:r>
      <w:r>
        <w:rPr>
          <w:rFonts w:ascii="Times New Roman" w:eastAsia="Times New Roman" w:hAnsi="Times New Roman" w:cs="Times New Roman"/>
          <w:kern w:val="0"/>
          <w:sz w:val="28"/>
          <w:szCs w:val="20"/>
        </w:rPr>
        <w:t xml:space="preserve">6.2 </w:t>
      </w:r>
      <w:r>
        <w:rPr>
          <w:rFonts w:ascii="Times New Roman" w:eastAsia="宋体" w:hAnsi="Times New Roman" w:cs="Times New Roman"/>
          <w:kern w:val="0"/>
          <w:sz w:val="28"/>
          <w:szCs w:val="20"/>
        </w:rPr>
        <w:t>条的规定。</w:t>
      </w:r>
    </w:p>
    <w:p w14:paraId="1882EC91"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②</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进出储罐区的管线、电缆宜从防火堤、防护墙顶部跨越或从地面以下穿过。当必须穿过防火堤时，设置套管并采取有效的密封措施；也可采用固定短管且两端采用软管密封连接的形式。</w:t>
      </w:r>
    </w:p>
    <w:p w14:paraId="71BA3DEE"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③</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易燃液体储罐组的地面采用不发火地面。</w:t>
      </w:r>
    </w:p>
    <w:p w14:paraId="10E6C9B3"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④</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储罐区内的电气设备选型、防爆结构及电线套管保护、布置符合《爆炸和火灾危险环境电力装置设计规范》（</w:t>
      </w:r>
      <w:r>
        <w:rPr>
          <w:rFonts w:ascii="Times New Roman" w:eastAsia="Times New Roman" w:hAnsi="Times New Roman" w:cs="Times New Roman"/>
          <w:kern w:val="0"/>
          <w:sz w:val="28"/>
          <w:szCs w:val="20"/>
        </w:rPr>
        <w:t>GB50058-2014</w:t>
      </w:r>
      <w:r>
        <w:rPr>
          <w:rFonts w:ascii="Times New Roman" w:eastAsia="宋体" w:hAnsi="Times New Roman" w:cs="Times New Roman"/>
          <w:kern w:val="0"/>
          <w:sz w:val="28"/>
          <w:szCs w:val="20"/>
        </w:rPr>
        <w:t>）的要求。</w:t>
      </w:r>
    </w:p>
    <w:p w14:paraId="00D4A3C9"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⑤</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防火堤内地面坡度宜为</w:t>
      </w:r>
      <w:r>
        <w:rPr>
          <w:rFonts w:ascii="Times New Roman" w:eastAsia="Times New Roman" w:hAnsi="Times New Roman" w:cs="Times New Roman"/>
          <w:kern w:val="0"/>
          <w:sz w:val="28"/>
          <w:szCs w:val="20"/>
        </w:rPr>
        <w:t>0.5</w:t>
      </w:r>
      <w:r>
        <w:rPr>
          <w:rFonts w:ascii="Times New Roman" w:eastAsia="宋体" w:hAnsi="Times New Roman" w:cs="Times New Roman"/>
          <w:kern w:val="0"/>
          <w:sz w:val="28"/>
          <w:szCs w:val="20"/>
        </w:rPr>
        <w:t>％，堤内地面采取防渗漏措施。</w:t>
      </w:r>
    </w:p>
    <w:p w14:paraId="789BFBA1"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lastRenderedPageBreak/>
        <w:t>⑥</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储罐配备相应的安全附件，设计液位计、压力表、温度计及相应的液位、压力超限报警装置、呼吸阀、阻火器，可燃气体泄漏检测报警器和火灾报警系统等。</w:t>
      </w:r>
    </w:p>
    <w:p w14:paraId="131156BD"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⑦</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储罐按要求采取防雷防静电措施，露天钢质封闭气罐，其壁厚不小于</w:t>
      </w:r>
      <w:r>
        <w:rPr>
          <w:rFonts w:ascii="Times New Roman" w:eastAsia="Times New Roman" w:hAnsi="Times New Roman" w:cs="Times New Roman"/>
          <w:kern w:val="0"/>
          <w:sz w:val="28"/>
          <w:szCs w:val="20"/>
        </w:rPr>
        <w:t>4mm</w:t>
      </w:r>
      <w:r>
        <w:rPr>
          <w:rFonts w:ascii="Times New Roman" w:eastAsia="宋体" w:hAnsi="Times New Roman" w:cs="Times New Roman"/>
          <w:kern w:val="0"/>
          <w:sz w:val="28"/>
          <w:szCs w:val="20"/>
        </w:rPr>
        <w:t>。钢质塔罐的防雷接地装置兼作防静电接地装置。</w:t>
      </w:r>
    </w:p>
    <w:p w14:paraId="1B394A6F"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⑧</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储罐区根据各种物料的性质类别分区设置，不同类别的物质之间设置防火分区。</w:t>
      </w:r>
    </w:p>
    <w:p w14:paraId="7FE93985"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⑨</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储罐区根据《储罐区防火堤设计规范》（</w:t>
      </w:r>
      <w:r>
        <w:rPr>
          <w:rFonts w:ascii="Times New Roman" w:eastAsia="Times New Roman" w:hAnsi="Times New Roman" w:cs="Times New Roman"/>
          <w:kern w:val="0"/>
          <w:sz w:val="28"/>
          <w:szCs w:val="20"/>
        </w:rPr>
        <w:t>GB50351-2005</w:t>
      </w:r>
      <w:r>
        <w:rPr>
          <w:rFonts w:ascii="Times New Roman" w:eastAsia="宋体" w:hAnsi="Times New Roman" w:cs="Times New Roman"/>
          <w:kern w:val="0"/>
          <w:sz w:val="28"/>
          <w:szCs w:val="20"/>
        </w:rPr>
        <w:t>）的有关要求设置防火堤，防火堤设置不少于</w:t>
      </w:r>
      <w:r>
        <w:rPr>
          <w:rFonts w:ascii="Times New Roman" w:eastAsia="Times New Roman" w:hAnsi="Times New Roman" w:cs="Times New Roman"/>
          <w:kern w:val="0"/>
          <w:sz w:val="28"/>
          <w:szCs w:val="20"/>
        </w:rPr>
        <w:t xml:space="preserve">2 </w:t>
      </w:r>
      <w:r>
        <w:rPr>
          <w:rFonts w:ascii="Times New Roman" w:eastAsia="宋体" w:hAnsi="Times New Roman" w:cs="Times New Roman"/>
          <w:kern w:val="0"/>
          <w:sz w:val="28"/>
          <w:szCs w:val="20"/>
        </w:rPr>
        <w:t>处越堤人行踏步或坡道，并设置在不同方位上。并且满足防火、防腐蚀等要求。</w:t>
      </w:r>
    </w:p>
    <w:p w14:paraId="3150A22C"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⑩</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储罐区防火堤内设置集水设施，连接集水设施的雨水排放管道从防火堤内设计地面以下通出堤外，并设置安全可靠的截污排水装置。</w:t>
      </w:r>
    </w:p>
    <w:p w14:paraId="7D6A3963"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⑶</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易燃液体储罐风险控制措施</w:t>
      </w:r>
    </w:p>
    <w:p w14:paraId="6F288F23"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各储罐设置位高、低限报警，将储罐液位与输送泵电机形成联锁关系。当液位达到高限报警时，将信号传递给输送泵电机电流，电流停止，输送泵电机停止运转，输送泵停止送料。同时，设置压力、温度报警装置。</w:t>
      </w:r>
    </w:p>
    <w:p w14:paraId="02081B71"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⑷</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危险废物储运风险防范措施</w:t>
      </w:r>
    </w:p>
    <w:p w14:paraId="0C117CEB"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①</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固废库采用混凝土</w:t>
      </w:r>
      <w:r>
        <w:rPr>
          <w:rFonts w:ascii="Times New Roman" w:eastAsia="Times New Roman" w:hAnsi="Times New Roman" w:cs="Times New Roman"/>
          <w:kern w:val="0"/>
          <w:sz w:val="28"/>
          <w:szCs w:val="20"/>
        </w:rPr>
        <w:t>+</w:t>
      </w:r>
      <w:r>
        <w:rPr>
          <w:rFonts w:ascii="Times New Roman" w:eastAsia="宋体" w:hAnsi="Times New Roman" w:cs="Times New Roman"/>
          <w:kern w:val="0"/>
          <w:sz w:val="28"/>
          <w:szCs w:val="20"/>
        </w:rPr>
        <w:t>环氧树脂防腐防渗地面；危险废物采用防漏胶带分类封装。</w:t>
      </w:r>
    </w:p>
    <w:p w14:paraId="15F20610"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②</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安排专人对危废仓库进行巡查，若发生物料泄漏，则立即组织抢修，确保危险废物和污泥不发生溢流事故。</w:t>
      </w:r>
    </w:p>
    <w:p w14:paraId="00DF5140"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③</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定期对地下水进行监测，如发现仓库防渗层破坏，及时修复，尽量减少对地下水的污染。</w:t>
      </w:r>
    </w:p>
    <w:p w14:paraId="123CA662"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④</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包装或盛装危险废物的容器或衬垫材料要与危险废物相适应，因此，在容器设计时，一定要考虑不同危险废物种类与容器的化学相容性，还要考虑容器的强度、构造、封闭性等与危险废物相适应，并且按《危险货物包装标志（</w:t>
      </w:r>
      <w:r>
        <w:rPr>
          <w:rFonts w:ascii="Times New Roman" w:eastAsia="Times New Roman" w:hAnsi="Times New Roman" w:cs="Times New Roman"/>
          <w:kern w:val="0"/>
          <w:sz w:val="28"/>
          <w:szCs w:val="20"/>
        </w:rPr>
        <w:t>GB191-85</w:t>
      </w:r>
      <w:r>
        <w:rPr>
          <w:rFonts w:ascii="Times New Roman" w:eastAsia="宋体" w:hAnsi="Times New Roman" w:cs="Times New Roman"/>
          <w:kern w:val="0"/>
          <w:sz w:val="28"/>
          <w:szCs w:val="20"/>
        </w:rPr>
        <w:t>）》和《包装储运图示标志》（</w:t>
      </w:r>
      <w:r>
        <w:rPr>
          <w:rFonts w:ascii="Times New Roman" w:eastAsia="Times New Roman" w:hAnsi="Times New Roman" w:cs="Times New Roman"/>
          <w:kern w:val="0"/>
          <w:sz w:val="28"/>
          <w:szCs w:val="20"/>
        </w:rPr>
        <w:t>GB191-85</w:t>
      </w:r>
      <w:r>
        <w:rPr>
          <w:rFonts w:ascii="Times New Roman" w:eastAsia="宋体" w:hAnsi="Times New Roman" w:cs="Times New Roman"/>
          <w:kern w:val="0"/>
          <w:sz w:val="28"/>
          <w:szCs w:val="20"/>
        </w:rPr>
        <w:t>）以及《危险货物运输包装通用技术条件》（</w:t>
      </w:r>
      <w:r>
        <w:rPr>
          <w:rFonts w:ascii="Times New Roman" w:eastAsia="Times New Roman" w:hAnsi="Times New Roman" w:cs="Times New Roman"/>
          <w:kern w:val="0"/>
          <w:sz w:val="28"/>
          <w:szCs w:val="20"/>
        </w:rPr>
        <w:t>GB12463-90</w:t>
      </w:r>
      <w:r>
        <w:rPr>
          <w:rFonts w:ascii="Times New Roman" w:eastAsia="宋体" w:hAnsi="Times New Roman" w:cs="Times New Roman"/>
          <w:kern w:val="0"/>
          <w:sz w:val="28"/>
          <w:szCs w:val="20"/>
        </w:rPr>
        <w:t>）的要求进行标识。</w:t>
      </w:r>
    </w:p>
    <w:p w14:paraId="3BC7BA2F"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lastRenderedPageBreak/>
        <w:t>⑤</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运输废物的行程路线避开交通要道、敏感点，运输时间错开上下班，固定行程路线，以减少交通事故风险值。在公路上行驶时持有运输许可证，由经过培训并持证上岗的专业收运人员押运。在途经桥梁时，该注意交通情况，减速慢行。禁止在夜间及恶劣天气条件下进行废物运输。</w:t>
      </w:r>
    </w:p>
    <w:p w14:paraId="783E69B9"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⑥</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危废仓库内设置围堰及截流沟，避免仓库内物料泄漏出仓库外。</w:t>
      </w:r>
    </w:p>
    <w:p w14:paraId="0D6AD772"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⑦</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装运危险废物的车辆在装卸前后要进行检查，定期对车辆进行检修，消除泄露事故。运输车辆按照规定的行车路线和时间行驶，线路力求简短，避开人流高峰期和人口密集区、自然保护区、水源地等敏感目标。</w:t>
      </w:r>
    </w:p>
    <w:p w14:paraId="56D7DFFE"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⑧</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按要求建立危险废物规范化管理档案资料，危废转移执行《危险废物转移联单管理办法》。</w:t>
      </w:r>
    </w:p>
    <w:p w14:paraId="32B8FA3A"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⑨</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危废堆场设置视频监控，防雨、防渗、防腐、防流失等措施，设施渗滤液收集措施。</w:t>
      </w:r>
    </w:p>
    <w:p w14:paraId="7D644C9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工艺技术设计安全防范措施</w:t>
      </w:r>
    </w:p>
    <w:p w14:paraId="0BDA8483"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⑴</w:t>
      </w:r>
      <w:r>
        <w:rPr>
          <w:rFonts w:ascii="Times New Roman" w:eastAsia="宋体" w:hAnsi="Times New Roman" w:cs="Times New Roman"/>
          <w:kern w:val="0"/>
          <w:sz w:val="28"/>
          <w:szCs w:val="20"/>
        </w:rPr>
        <w:t xml:space="preserve"> </w:t>
      </w:r>
      <w:r>
        <w:rPr>
          <w:rFonts w:ascii="Times New Roman" w:eastAsia="宋体" w:hAnsi="Times New Roman" w:cs="Times New Roman"/>
          <w:kern w:val="0"/>
          <w:sz w:val="28"/>
          <w:szCs w:val="20"/>
        </w:rPr>
        <w:t>智能报警系统</w:t>
      </w:r>
    </w:p>
    <w:p w14:paraId="591A58A6"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金茂源公司采用智能火灾报警系统。集中报警控制器安装在控制室内。在易燃、易爆及有害气体存在的危险环境中，设置可燃气体或有毒气体检测报警系统和灭火系统。建筑物内设计感烟探测器、感温探测器和手动报警按钮，室外设计室外型手动报警按钮。以便在火灾的初期阶段发出报警，并及时采取措施进行扑救。在这些易发生火灾的岗位除采用</w:t>
      </w:r>
      <w:r>
        <w:rPr>
          <w:rFonts w:ascii="Times New Roman" w:eastAsia="Times New Roman" w:hAnsi="Times New Roman" w:cs="Times New Roman"/>
          <w:kern w:val="0"/>
          <w:sz w:val="28"/>
          <w:szCs w:val="20"/>
        </w:rPr>
        <w:t>119</w:t>
      </w:r>
      <w:r>
        <w:rPr>
          <w:rFonts w:ascii="Times New Roman" w:eastAsia="宋体" w:hAnsi="Times New Roman" w:cs="Times New Roman"/>
          <w:kern w:val="0"/>
          <w:sz w:val="28"/>
          <w:szCs w:val="20"/>
        </w:rPr>
        <w:t>电话报警外，另设置具有专用线路的火灾报警系统。</w:t>
      </w:r>
    </w:p>
    <w:p w14:paraId="62C7C7F2"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宋体" w:eastAsia="宋体" w:hAnsi="宋体" w:cs="宋体" w:hint="eastAsia"/>
          <w:kern w:val="0"/>
          <w:sz w:val="28"/>
          <w:szCs w:val="20"/>
        </w:rPr>
        <w:t>⑵</w:t>
      </w:r>
      <w:r>
        <w:rPr>
          <w:rFonts w:ascii="Times New Roman" w:eastAsia="Times New Roman" w:hAnsi="Times New Roman" w:cs="Times New Roman"/>
          <w:kern w:val="0"/>
          <w:sz w:val="28"/>
          <w:szCs w:val="20"/>
        </w:rPr>
        <w:t xml:space="preserve"> </w:t>
      </w:r>
      <w:r>
        <w:rPr>
          <w:rFonts w:ascii="Times New Roman" w:eastAsia="宋体" w:hAnsi="Times New Roman" w:cs="Times New Roman"/>
          <w:kern w:val="0"/>
          <w:sz w:val="28"/>
          <w:szCs w:val="20"/>
        </w:rPr>
        <w:t>自动控制系统</w:t>
      </w:r>
    </w:p>
    <w:p w14:paraId="254E817B"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金茂源公司生产过程采用</w:t>
      </w:r>
      <w:r>
        <w:rPr>
          <w:rFonts w:ascii="Times New Roman" w:eastAsia="Times New Roman" w:hAnsi="Times New Roman" w:cs="Times New Roman"/>
          <w:kern w:val="0"/>
          <w:sz w:val="28"/>
          <w:szCs w:val="20"/>
        </w:rPr>
        <w:t>DCS</w:t>
      </w:r>
      <w:r>
        <w:rPr>
          <w:rFonts w:ascii="Times New Roman" w:eastAsia="宋体" w:hAnsi="Times New Roman" w:cs="Times New Roman"/>
          <w:kern w:val="0"/>
          <w:sz w:val="28"/>
          <w:szCs w:val="20"/>
        </w:rPr>
        <w:t>控制系统，设置总控制室，现场操作室和</w:t>
      </w:r>
      <w:r>
        <w:rPr>
          <w:rFonts w:ascii="Times New Roman" w:eastAsia="Times New Roman" w:hAnsi="Times New Roman" w:cs="Times New Roman"/>
          <w:kern w:val="0"/>
          <w:sz w:val="28"/>
          <w:szCs w:val="20"/>
        </w:rPr>
        <w:t>DCS</w:t>
      </w:r>
      <w:r>
        <w:rPr>
          <w:rFonts w:ascii="Times New Roman" w:eastAsia="宋体" w:hAnsi="Times New Roman" w:cs="Times New Roman"/>
          <w:kern w:val="0"/>
          <w:sz w:val="28"/>
          <w:szCs w:val="20"/>
        </w:rPr>
        <w:t>机柜室，操作站安装在总控室，实现对各装置分区的控制、监测、报警及报表等操作；现场操作室也安装操作员站，仅用于现场监测；工程师站安装在总控室的主机室；在工程师站上进行组态和全部的控制、监测、报警及报表等操作；</w:t>
      </w:r>
      <w:proofErr w:type="spellStart"/>
      <w:r>
        <w:rPr>
          <w:rFonts w:ascii="Times New Roman" w:eastAsia="Times New Roman" w:hAnsi="Times New Roman" w:cs="Times New Roman"/>
          <w:kern w:val="0"/>
          <w:sz w:val="28"/>
          <w:szCs w:val="20"/>
        </w:rPr>
        <w:t>DCS</w:t>
      </w:r>
      <w:proofErr w:type="spellEnd"/>
      <w:r>
        <w:rPr>
          <w:rFonts w:ascii="Times New Roman" w:eastAsia="宋体" w:hAnsi="Times New Roman" w:cs="Times New Roman"/>
          <w:kern w:val="0"/>
          <w:sz w:val="28"/>
          <w:szCs w:val="20"/>
        </w:rPr>
        <w:t>系统采用分布式结构，系统技术成熟，便于扩展，可满足生产过程的控制、检测、优化与管理的需要。</w:t>
      </w:r>
    </w:p>
    <w:p w14:paraId="4FCA1B1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自动控制设计安全防范措施</w:t>
      </w:r>
    </w:p>
    <w:p w14:paraId="177EC955"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lastRenderedPageBreak/>
        <w:t>公司按设计规范要求配备消防、环保、监控等安全环保设备和设施，并加强维护保养，确保设备设施的完好。在车间、罐区等重大风险源设置</w:t>
      </w:r>
      <w:r>
        <w:rPr>
          <w:rFonts w:ascii="Times New Roman" w:eastAsia="Times New Roman" w:hAnsi="Times New Roman" w:cs="Times New Roman"/>
          <w:kern w:val="0"/>
          <w:sz w:val="28"/>
          <w:szCs w:val="20"/>
        </w:rPr>
        <w:t>2</w:t>
      </w:r>
      <w:r>
        <w:rPr>
          <w:rFonts w:ascii="Times New Roman" w:eastAsia="宋体" w:hAnsi="Times New Roman" w:cs="Times New Roman"/>
          <w:kern w:val="0"/>
          <w:sz w:val="28"/>
          <w:szCs w:val="20"/>
        </w:rPr>
        <w:t>套视频监控系统，监控画面布置在值班室。</w:t>
      </w:r>
    </w:p>
    <w:p w14:paraId="75FE7248"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已建生产车间、仓库及罐区内，设置可燃气体检测系统连锁系统内部急停系统及空气自动报警器，确保车间生产过程中一旦发生泄漏，立即报警，同时控制室界面将立即显示，生产系统会按照设定好独立的安全控制程序进行紧急停车。急停按钮分布在控制室内和现场等。</w:t>
      </w:r>
    </w:p>
    <w:p w14:paraId="3D731B09" w14:textId="77777777" w:rsidR="002133E3" w:rsidRDefault="00C22CFA">
      <w:pPr>
        <w:pStyle w:val="affff3"/>
        <w:numPr>
          <w:ilvl w:val="3"/>
          <w:numId w:val="2"/>
        </w:numPr>
        <w:snapToGrid w:val="0"/>
        <w:spacing w:line="500" w:lineRule="atLeast"/>
        <w:ind w:left="0" w:firstLineChars="0" w:firstLine="0"/>
        <w:outlineLvl w:val="3"/>
        <w:rPr>
          <w:rFonts w:ascii="Times New Roman" w:eastAsia="黑体" w:hAnsi="Times New Roman" w:cs="Times New Roman"/>
          <w:kern w:val="0"/>
          <w:sz w:val="28"/>
          <w:szCs w:val="28"/>
        </w:rPr>
      </w:pPr>
      <w:r>
        <w:rPr>
          <w:rFonts w:ascii="Times New Roman" w:eastAsia="宋体" w:hAnsi="Times New Roman" w:cs="Times New Roman"/>
          <w:b/>
          <w:sz w:val="30"/>
          <w:szCs w:val="30"/>
        </w:rPr>
        <w:t>电气、电讯安全防范措施</w:t>
      </w:r>
    </w:p>
    <w:p w14:paraId="03E0EAE3" w14:textId="77777777" w:rsidR="002133E3" w:rsidRDefault="00C22CFA">
      <w:pPr>
        <w:widowControl/>
        <w:snapToGrid w:val="0"/>
        <w:spacing w:line="500" w:lineRule="atLeast"/>
        <w:ind w:firstLineChars="200" w:firstLine="560"/>
        <w:jc w:val="left"/>
        <w:rPr>
          <w:rFonts w:ascii="Times New Roman" w:eastAsia="Times New Roman" w:hAnsi="Times New Roman" w:cs="Times New Roman"/>
          <w:kern w:val="0"/>
          <w:sz w:val="28"/>
          <w:szCs w:val="20"/>
        </w:rPr>
      </w:pPr>
      <w:r>
        <w:rPr>
          <w:rFonts w:ascii="Times New Roman" w:eastAsia="宋体" w:hAnsi="Times New Roman" w:cs="Times New Roman"/>
          <w:kern w:val="0"/>
          <w:sz w:val="28"/>
          <w:szCs w:val="20"/>
        </w:rPr>
        <w:t>严格按有关爆炸危险场所电气安全规定划分生产装置作业场所的火灾危险等级，并选用相应的电气设备和控制仪表，设计相应的防静电和防雷保护装置，制定严格动火规章制度。</w:t>
      </w:r>
    </w:p>
    <w:p w14:paraId="669FA5EF"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0"/>
        </w:rPr>
        <w:t>通讯系统、火灾报警系统及高压开关柜操作电源均设有不间断电源，可以保证停电以后使用</w:t>
      </w:r>
      <w:r>
        <w:rPr>
          <w:rFonts w:ascii="Times New Roman" w:eastAsia="Times New Roman" w:hAnsi="Times New Roman" w:cs="Times New Roman"/>
          <w:kern w:val="0"/>
          <w:sz w:val="28"/>
          <w:szCs w:val="20"/>
        </w:rPr>
        <w:t>30</w:t>
      </w:r>
      <w:r>
        <w:rPr>
          <w:rFonts w:ascii="Times New Roman" w:eastAsia="宋体" w:hAnsi="Times New Roman" w:cs="Times New Roman"/>
          <w:kern w:val="0"/>
          <w:sz w:val="28"/>
          <w:szCs w:val="20"/>
        </w:rPr>
        <w:t>分钟；停电时，在安全通道处均设有安全应急灯，可以保证停电后使用</w:t>
      </w:r>
      <w:r>
        <w:rPr>
          <w:rFonts w:ascii="Times New Roman" w:eastAsia="Times New Roman" w:hAnsi="Times New Roman" w:cs="Times New Roman"/>
          <w:kern w:val="0"/>
          <w:sz w:val="28"/>
          <w:szCs w:val="20"/>
        </w:rPr>
        <w:t>30</w:t>
      </w:r>
      <w:r>
        <w:rPr>
          <w:rFonts w:ascii="Times New Roman" w:eastAsia="宋体" w:hAnsi="Times New Roman" w:cs="Times New Roman"/>
          <w:kern w:val="0"/>
          <w:sz w:val="28"/>
          <w:szCs w:val="20"/>
        </w:rPr>
        <w:t>分钟。</w:t>
      </w:r>
    </w:p>
    <w:p w14:paraId="15ADA6C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技改项目事故风险防范措施</w:t>
      </w:r>
    </w:p>
    <w:p w14:paraId="41E3074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大气环境风险防范措施</w:t>
      </w:r>
    </w:p>
    <w:p w14:paraId="3D9B7F2B"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(1) </w:t>
      </w:r>
      <w:r>
        <w:rPr>
          <w:rFonts w:ascii="Times New Roman" w:eastAsia="宋体" w:hAnsi="Times New Roman" w:cs="Times New Roman"/>
          <w:kern w:val="0"/>
          <w:sz w:val="28"/>
          <w:szCs w:val="28"/>
        </w:rPr>
        <w:t>废气末端治理必须确保正常运行，末端治理措施因故障不能运行，则生产必须停止。</w:t>
      </w:r>
    </w:p>
    <w:p w14:paraId="116A73EF"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加强废气处理设施及设备的定期检修和维护工作，发现事故隐患，及时解决。</w:t>
      </w:r>
    </w:p>
    <w:p w14:paraId="3BEE4D19"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(3) </w:t>
      </w:r>
      <w:r>
        <w:rPr>
          <w:rFonts w:ascii="Times New Roman" w:eastAsia="宋体" w:hAnsi="Times New Roman" w:cs="Times New Roman"/>
          <w:kern w:val="0"/>
          <w:sz w:val="28"/>
          <w:szCs w:val="28"/>
        </w:rPr>
        <w:t>定期检查废气吸收液含量，确保吸收液及时更换、及时处理。</w:t>
      </w:r>
    </w:p>
    <w:p w14:paraId="4010978A"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(4) </w:t>
      </w:r>
      <w:r>
        <w:rPr>
          <w:rFonts w:ascii="Times New Roman" w:eastAsia="宋体" w:hAnsi="Times New Roman" w:cs="Times New Roman"/>
          <w:kern w:val="0"/>
          <w:sz w:val="28"/>
          <w:szCs w:val="28"/>
        </w:rPr>
        <w:t>原料储存库内加强通风，在厂区原料储存仓库、车间安装视频监控系统，设置有毒、可燃气体检测系统、内部急停系统及空气自动报警器，及时发现泄漏事故。</w:t>
      </w:r>
    </w:p>
    <w:p w14:paraId="579272B5" w14:textId="77777777" w:rsidR="002133E3" w:rsidRDefault="00C22CFA">
      <w:pPr>
        <w:widowControl/>
        <w:snapToGrid w:val="0"/>
        <w:spacing w:line="500" w:lineRule="atLeast"/>
        <w:ind w:firstLineChars="200" w:firstLine="560"/>
        <w:jc w:val="left"/>
        <w:rPr>
          <w:rFonts w:ascii="Times New Roman" w:eastAsia="宋体" w:hAnsi="Times New Roman" w:cs="Times New Roman"/>
          <w:b/>
          <w:sz w:val="30"/>
          <w:szCs w:val="30"/>
        </w:rPr>
      </w:pPr>
      <w:r>
        <w:rPr>
          <w:rFonts w:ascii="Times New Roman" w:eastAsia="宋体" w:hAnsi="Times New Roman" w:cs="Times New Roman"/>
          <w:kern w:val="0"/>
          <w:sz w:val="28"/>
          <w:szCs w:val="28"/>
        </w:rPr>
        <w:t xml:space="preserve">(5) </w:t>
      </w:r>
      <w:r>
        <w:rPr>
          <w:rFonts w:ascii="Times New Roman" w:eastAsia="宋体" w:hAnsi="Times New Roman" w:cs="Times New Roman"/>
          <w:kern w:val="0"/>
          <w:sz w:val="28"/>
          <w:szCs w:val="28"/>
        </w:rPr>
        <w:t>发生大气环境风险事故时，及时对下风向人员进行疏散，设置疏散通道警示标志，在事故点上风向设置应急安置点。</w:t>
      </w:r>
    </w:p>
    <w:p w14:paraId="284760F9"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事故废水环境风险防范措施</w:t>
      </w:r>
    </w:p>
    <w:p w14:paraId="555FF46B"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lastRenderedPageBreak/>
        <w:t xml:space="preserve">(1) </w:t>
      </w:r>
      <w:r>
        <w:rPr>
          <w:rFonts w:ascii="Times New Roman" w:eastAsia="宋体" w:hAnsi="Times New Roman" w:cs="Times New Roman"/>
          <w:kern w:val="0"/>
          <w:sz w:val="28"/>
          <w:szCs w:val="28"/>
        </w:rPr>
        <w:t>公司设置</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单元</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厂区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的事故废水环境风险防控体系。当污水处理装置出现故障、排水监测超过接管标准时，将立即切断污水总排口，停止排放，把超标废水打入已建的</w:t>
      </w:r>
      <w:r>
        <w:rPr>
          <w:rFonts w:ascii="Times New Roman" w:eastAsia="宋体" w:hAnsi="Times New Roman" w:cs="Times New Roman"/>
          <w:kern w:val="0"/>
          <w:sz w:val="28"/>
          <w:szCs w:val="28"/>
        </w:rPr>
        <w:t>40000m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事故应急池中，同时通知生产部门停车。若发生泄漏或火灾爆炸事故，将会大大增加事故废水量，项目应将泄露的冲洗水、火灾的消防水全部收集排入消防尾水收集池中，同时切断污水总排口和雨水放口，通知生产车间停车，以免加大污水处理系统的运行负荷。进入已建</w:t>
      </w:r>
      <w:r>
        <w:rPr>
          <w:rFonts w:ascii="Times New Roman" w:eastAsia="宋体" w:hAnsi="Times New Roman" w:cs="Times New Roman"/>
          <w:kern w:val="0"/>
          <w:sz w:val="28"/>
          <w:szCs w:val="28"/>
        </w:rPr>
        <w:t>3000m</w:t>
      </w:r>
      <w:r>
        <w:rPr>
          <w:rFonts w:ascii="Times New Roman" w:eastAsia="宋体" w:hAnsi="Times New Roman" w:cs="Times New Roman"/>
          <w:kern w:val="0"/>
          <w:sz w:val="28"/>
          <w:szCs w:val="28"/>
          <w:vertAlign w:val="superscript"/>
        </w:rPr>
        <w:t>3</w:t>
      </w:r>
      <w:r>
        <w:rPr>
          <w:rFonts w:ascii="Times New Roman" w:eastAsia="宋体" w:hAnsi="Times New Roman" w:cs="Times New Roman"/>
          <w:kern w:val="0"/>
          <w:sz w:val="28"/>
          <w:szCs w:val="28"/>
        </w:rPr>
        <w:t>消防尾水收集池的废水经泵分批次打入污水处理系统（保证事故废水的进入污水处理站的废水水质不超过污水处理厂的上限）进行处理。</w:t>
      </w:r>
    </w:p>
    <w:p w14:paraId="5D307D0B"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公司与园区层面建立</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厂区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园区</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环境风险防控体系，公司厂区内事故废水处理达标后接入污水管网入园区污水处理厂处理，将事故废水控制在园区内，防止事故废水进入园区外地表水体。</w:t>
      </w:r>
    </w:p>
    <w:p w14:paraId="2839F679"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为了最大程度减低建设项目事故发生时对水环境的影响，对建设项目的事故废水将采取三级拦截措施。</w:t>
      </w:r>
    </w:p>
    <w:p w14:paraId="52B153E0"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一级拦截措施：在车间装置区、原料库设置围堰，并对生产车间装置区和原料库地面进行硬化处理。</w:t>
      </w:r>
    </w:p>
    <w:p w14:paraId="77EBA2FF"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二级拦截措施：建设项目应设置足够容量的废水事故池用于贮存生产事故废水、事故消防废水、污水预处理站事故废水等。</w:t>
      </w:r>
    </w:p>
    <w:p w14:paraId="25D8FCAF" w14:textId="77777777" w:rsidR="002133E3" w:rsidRDefault="00C22CFA">
      <w:pPr>
        <w:widowControl/>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三级拦截措施：在厂区内集、排水系统管网中设置排污闸板。在厂区排水系统总排放口设置排污闸板，防止事故废水未经处理排入园区污水处理厂而对其造成冲击负荷。在厂区雨水收集系统排放口前端设置雨、污双向阀门，雨水阀门可将排水排入雨水管网，污水阀门可将来水引入事故池。当发生原料泄漏或火灾事故产生消防废水后能及时关闭雨水阀门同时开启污水阀门，保证事故废水能及时导入事故池，防止有毒物质或消防废水通过雨水管网排入外环境。</w:t>
      </w:r>
    </w:p>
    <w:p w14:paraId="10629CB8"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地下水风险防范措施</w:t>
      </w:r>
    </w:p>
    <w:p w14:paraId="3222FBD6"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在运行过程中，从源头上对各设备、管道、贮运装置及处理构筑物均采取适当有效的防护措施，防止污染物跑、冒、滴、漏，将污染物泄漏的环境风险降到最低。</w:t>
      </w:r>
    </w:p>
    <w:p w14:paraId="0324150A"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厂区采用分区防渗设计，污染装置区、固废库、污水管线等区域为重点</w:t>
      </w:r>
      <w:r>
        <w:rPr>
          <w:rFonts w:ascii="Times New Roman" w:eastAsia="宋体" w:hAnsi="Times New Roman" w:cs="Times New Roman"/>
          <w:sz w:val="28"/>
          <w:szCs w:val="28"/>
        </w:rPr>
        <w:lastRenderedPageBreak/>
        <w:t>防渗区，采取严格的防渗措施防渗措施，其他区域为一般防渗区域，采用水泥硬化，防止渗透物污染地下水。</w:t>
      </w:r>
    </w:p>
    <w:p w14:paraId="1A47E160"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要定期检查电镀生产线、废水处理设施、碱液喷淋塔等，是否有损伤和存在事故隐患。</w:t>
      </w:r>
    </w:p>
    <w:p w14:paraId="529DD0F4"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(4) </w:t>
      </w:r>
      <w:r>
        <w:rPr>
          <w:rFonts w:ascii="Times New Roman" w:eastAsia="宋体" w:hAnsi="Times New Roman" w:cs="Times New Roman"/>
          <w:sz w:val="28"/>
          <w:szCs w:val="28"/>
        </w:rPr>
        <w:t>本项目依托现有</w:t>
      </w:r>
      <w:r>
        <w:rPr>
          <w:rFonts w:ascii="Times New Roman" w:eastAsia="宋体" w:hAnsi="Times New Roman" w:cs="Times New Roman"/>
          <w:sz w:val="28"/>
          <w:szCs w:val="28"/>
        </w:rPr>
        <w:t>3000m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事故池（消防尾水池），发生事故时，应停止相关的生产，防止事故废水大量排放，一旦本项目发生事故，及时收集事故废水，防治废水外泄污染地下水。</w:t>
      </w:r>
    </w:p>
    <w:p w14:paraId="0B661083"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(5) </w:t>
      </w:r>
      <w:r>
        <w:rPr>
          <w:rFonts w:ascii="Times New Roman" w:eastAsia="宋体" w:hAnsi="Times New Roman" w:cs="Times New Roman"/>
          <w:sz w:val="28"/>
          <w:szCs w:val="28"/>
        </w:rPr>
        <w:t>项目危险化学品仓库应备有合适的材料收容漏物，应严格执行极毒物品</w:t>
      </w:r>
      <w:r>
        <w:rPr>
          <w:rFonts w:ascii="Times New Roman" w:eastAsia="宋体" w:hAnsi="Times New Roman" w:cs="Times New Roman"/>
          <w:sz w:val="28"/>
          <w:szCs w:val="28"/>
        </w:rPr>
        <w:t>“</w:t>
      </w:r>
      <w:r>
        <w:rPr>
          <w:rFonts w:ascii="Times New Roman" w:eastAsia="宋体" w:hAnsi="Times New Roman" w:cs="Times New Roman"/>
          <w:sz w:val="28"/>
          <w:szCs w:val="28"/>
        </w:rPr>
        <w:t>五双</w:t>
      </w:r>
      <w:r>
        <w:rPr>
          <w:rFonts w:ascii="Times New Roman" w:eastAsia="宋体" w:hAnsi="Times New Roman" w:cs="Times New Roman"/>
          <w:sz w:val="28"/>
          <w:szCs w:val="28"/>
        </w:rPr>
        <w:t>”</w:t>
      </w:r>
      <w:r>
        <w:rPr>
          <w:rFonts w:ascii="Times New Roman" w:eastAsia="宋体" w:hAnsi="Times New Roman" w:cs="Times New Roman"/>
          <w:sz w:val="28"/>
          <w:szCs w:val="28"/>
        </w:rPr>
        <w:t>管理制度，设置了防止液体流散的设施，并配备必要的灭火器材，仓库的耐火等级、防火距离基本符合《建筑设计防火规范》和《石油化工企业设计防火规范》的要求。</w:t>
      </w:r>
    </w:p>
    <w:p w14:paraId="65942C5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风险源监控措施</w:t>
      </w:r>
    </w:p>
    <w:p w14:paraId="0075A24F"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人工监控</w:t>
      </w:r>
    </w:p>
    <w:p w14:paraId="3BE0539E"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公司要保持作业人员相对稳定，在作业过程中严禁化学品及污染物泄露，安环人员、车间负责人和公司领导进行现场监护。同时进行每天安排专职消防人员对消防器材和设施等应急物资进行检查并作好相关记录确保设施的器材有效，保持消防通道畅通，安环人员对排水装置进行定期点检，保证其能正常使用。</w:t>
      </w:r>
    </w:p>
    <w:p w14:paraId="27F4A09A"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车间、仓库等存在环境风险的关键地点，应设置明显警示标记，并设置专人监管。</w:t>
      </w:r>
    </w:p>
    <w:p w14:paraId="6EC20ED5"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设备监控</w:t>
      </w:r>
    </w:p>
    <w:p w14:paraId="25BFE7E2"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公司按设计规范要求配备消防、环保、监控等安全环保设备和设施，并加强维护保养，确保设备设施的完好。</w:t>
      </w:r>
    </w:p>
    <w:p w14:paraId="4E2F8F29"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在厂区仓库、车间安装视频监控系统，设置有毒、可燃气体检测系统、内部急停系统及空气自动报警器，确保车间生产过程中一旦发生泄漏，立即报警。提高装置密封性，尽可能减少无组织泄露。工程设计充分考虑安全因素，关键岗位应通过设备安全控制连锁措施减低风险。</w:t>
      </w:r>
    </w:p>
    <w:p w14:paraId="1193EB5E" w14:textId="77777777" w:rsidR="002133E3" w:rsidRDefault="00C22CFA">
      <w:pPr>
        <w:snapToGrid w:val="0"/>
        <w:spacing w:line="500" w:lineRule="atLeas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组织专门人员每天每班多次进行周期性巡回检查，有跑冒滴漏或其他异常</w:t>
      </w:r>
      <w:r>
        <w:rPr>
          <w:rFonts w:ascii="Times New Roman" w:eastAsia="宋体" w:hAnsi="Times New Roman" w:cs="Times New Roman"/>
          <w:sz w:val="28"/>
          <w:szCs w:val="28"/>
        </w:rPr>
        <w:lastRenderedPageBreak/>
        <w:t>现象的应及时检修，必要时按照</w:t>
      </w:r>
      <w:r>
        <w:rPr>
          <w:rFonts w:ascii="Times New Roman" w:eastAsia="宋体" w:hAnsi="Times New Roman" w:cs="Times New Roman"/>
          <w:sz w:val="28"/>
          <w:szCs w:val="28"/>
        </w:rPr>
        <w:t>“</w:t>
      </w:r>
      <w:r>
        <w:rPr>
          <w:rFonts w:ascii="Times New Roman" w:eastAsia="宋体" w:hAnsi="Times New Roman" w:cs="Times New Roman"/>
          <w:sz w:val="28"/>
          <w:szCs w:val="28"/>
        </w:rPr>
        <w:t>生产服从安全</w:t>
      </w:r>
      <w:r>
        <w:rPr>
          <w:rFonts w:ascii="Times New Roman" w:eastAsia="宋体" w:hAnsi="Times New Roman" w:cs="Times New Roman"/>
          <w:sz w:val="28"/>
          <w:szCs w:val="28"/>
        </w:rPr>
        <w:t>”</w:t>
      </w:r>
      <w:r>
        <w:rPr>
          <w:rFonts w:ascii="Times New Roman" w:eastAsia="宋体" w:hAnsi="Times New Roman" w:cs="Times New Roman"/>
          <w:sz w:val="28"/>
          <w:szCs w:val="28"/>
        </w:rPr>
        <w:t>原则停产检修。</w:t>
      </w:r>
    </w:p>
    <w:p w14:paraId="72B935F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突发环境事件应急预案</w:t>
      </w:r>
    </w:p>
    <w:p w14:paraId="4657FCC7"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应急预案</w:t>
      </w:r>
    </w:p>
    <w:p w14:paraId="3889330A"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8"/>
        </w:rPr>
      </w:pPr>
      <w:r>
        <w:rPr>
          <w:rFonts w:ascii="Times New Roman" w:eastAsia="宋体" w:hAnsi="Times New Roman" w:cs="Times New Roman"/>
          <w:sz w:val="28"/>
          <w:szCs w:val="28"/>
        </w:rPr>
        <w:t>本项目在现有的应急预案基础上，进一步完善本项目新增的环境风险应急措施。</w:t>
      </w:r>
      <w:r>
        <w:rPr>
          <w:rFonts w:ascii="Times New Roman" w:eastAsia="宋体" w:hAnsi="Times New Roman" w:cs="Times New Roman"/>
          <w:kern w:val="0"/>
          <w:sz w:val="28"/>
          <w:szCs w:val="28"/>
        </w:rPr>
        <w:t>应急预案具体内容见表</w:t>
      </w:r>
      <w:r>
        <w:rPr>
          <w:rFonts w:ascii="Times New Roman" w:eastAsia="宋体" w:hAnsi="Times New Roman" w:cs="Times New Roman"/>
          <w:kern w:val="0"/>
          <w:sz w:val="28"/>
          <w:szCs w:val="28"/>
        </w:rPr>
        <w:t>7.8-2</w:t>
      </w:r>
      <w:r>
        <w:rPr>
          <w:rFonts w:ascii="Times New Roman" w:eastAsia="宋体" w:hAnsi="Times New Roman" w:cs="Times New Roman"/>
          <w:kern w:val="0"/>
          <w:sz w:val="28"/>
          <w:szCs w:val="28"/>
        </w:rPr>
        <w:t>。</w:t>
      </w:r>
    </w:p>
    <w:p w14:paraId="0277CAD2" w14:textId="77777777" w:rsidR="002133E3" w:rsidRDefault="00C22CFA">
      <w:pPr>
        <w:tabs>
          <w:tab w:val="left" w:pos="3600"/>
        </w:tabs>
        <w:snapToGrid w:val="0"/>
        <w:spacing w:line="500" w:lineRule="atLeast"/>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7.8-2  </w:t>
      </w:r>
      <w:r>
        <w:rPr>
          <w:rFonts w:ascii="Times New Roman" w:eastAsia="宋体" w:hAnsi="Times New Roman" w:cs="Times New Roman"/>
          <w:b/>
          <w:szCs w:val="21"/>
        </w:rPr>
        <w:t>企业事故应急预案内容</w:t>
      </w: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1621"/>
        <w:gridCol w:w="7028"/>
      </w:tblGrid>
      <w:tr w:rsidR="002133E3" w14:paraId="0B029725" w14:textId="77777777">
        <w:trPr>
          <w:cantSplit/>
          <w:trHeight w:val="284"/>
          <w:tblHeader/>
        </w:trPr>
        <w:tc>
          <w:tcPr>
            <w:tcW w:w="816" w:type="dxa"/>
            <w:vAlign w:val="center"/>
          </w:tcPr>
          <w:p w14:paraId="48AC9901" w14:textId="77777777" w:rsidR="002133E3" w:rsidRDefault="00C22CFA">
            <w:pPr>
              <w:spacing w:line="280" w:lineRule="exact"/>
              <w:jc w:val="center"/>
              <w:rPr>
                <w:rFonts w:ascii="Times New Roman" w:eastAsia="宋体" w:hAnsi="Times New Roman" w:cs="Times New Roman"/>
                <w:b/>
                <w:bCs/>
                <w:spacing w:val="-6"/>
                <w:szCs w:val="21"/>
              </w:rPr>
            </w:pPr>
            <w:r>
              <w:rPr>
                <w:rFonts w:ascii="Times New Roman" w:eastAsia="宋体" w:hAnsi="Times New Roman" w:cs="Times New Roman"/>
                <w:b/>
                <w:bCs/>
                <w:szCs w:val="21"/>
              </w:rPr>
              <w:t>序号</w:t>
            </w:r>
          </w:p>
        </w:tc>
        <w:tc>
          <w:tcPr>
            <w:tcW w:w="1621" w:type="dxa"/>
            <w:vAlign w:val="center"/>
          </w:tcPr>
          <w:p w14:paraId="2076967B" w14:textId="77777777" w:rsidR="002133E3" w:rsidRDefault="00C22CFA">
            <w:pPr>
              <w:spacing w:line="280" w:lineRule="exact"/>
              <w:jc w:val="center"/>
              <w:rPr>
                <w:rFonts w:ascii="Times New Roman" w:eastAsia="宋体" w:hAnsi="Times New Roman" w:cs="Times New Roman"/>
                <w:b/>
                <w:bCs/>
                <w:spacing w:val="-6"/>
                <w:szCs w:val="21"/>
              </w:rPr>
            </w:pPr>
            <w:r>
              <w:rPr>
                <w:rFonts w:ascii="Times New Roman" w:eastAsia="宋体" w:hAnsi="Times New Roman" w:cs="Times New Roman"/>
                <w:b/>
                <w:bCs/>
                <w:szCs w:val="21"/>
              </w:rPr>
              <w:t>项</w:t>
            </w:r>
            <w:r>
              <w:rPr>
                <w:rFonts w:ascii="Times New Roman" w:eastAsia="宋体" w:hAnsi="Times New Roman" w:cs="Times New Roman"/>
                <w:b/>
                <w:bCs/>
                <w:szCs w:val="21"/>
              </w:rPr>
              <w:t xml:space="preserve">    </w:t>
            </w:r>
            <w:r>
              <w:rPr>
                <w:rFonts w:ascii="Times New Roman" w:eastAsia="宋体" w:hAnsi="Times New Roman" w:cs="Times New Roman"/>
                <w:b/>
                <w:bCs/>
                <w:szCs w:val="21"/>
              </w:rPr>
              <w:t>目</w:t>
            </w:r>
          </w:p>
        </w:tc>
        <w:tc>
          <w:tcPr>
            <w:tcW w:w="7028" w:type="dxa"/>
            <w:vAlign w:val="center"/>
          </w:tcPr>
          <w:p w14:paraId="0077B25F" w14:textId="77777777" w:rsidR="002133E3" w:rsidRDefault="00C22CFA">
            <w:pPr>
              <w:spacing w:line="280" w:lineRule="exact"/>
              <w:jc w:val="center"/>
              <w:rPr>
                <w:rFonts w:ascii="Times New Roman" w:eastAsia="宋体" w:hAnsi="Times New Roman" w:cs="Times New Roman"/>
                <w:b/>
                <w:bCs/>
                <w:spacing w:val="-6"/>
                <w:szCs w:val="21"/>
              </w:rPr>
            </w:pPr>
            <w:r>
              <w:rPr>
                <w:rFonts w:ascii="Times New Roman" w:eastAsia="宋体" w:hAnsi="Times New Roman" w:cs="Times New Roman"/>
                <w:b/>
                <w:bCs/>
                <w:szCs w:val="21"/>
              </w:rPr>
              <w:t>内容及要求</w:t>
            </w:r>
          </w:p>
        </w:tc>
      </w:tr>
      <w:tr w:rsidR="002133E3" w14:paraId="42E5A740" w14:textId="77777777">
        <w:trPr>
          <w:cantSplit/>
          <w:trHeight w:val="284"/>
        </w:trPr>
        <w:tc>
          <w:tcPr>
            <w:tcW w:w="816" w:type="dxa"/>
            <w:vAlign w:val="center"/>
          </w:tcPr>
          <w:p w14:paraId="7D6D157E"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1</w:t>
            </w:r>
          </w:p>
        </w:tc>
        <w:tc>
          <w:tcPr>
            <w:tcW w:w="1621" w:type="dxa"/>
            <w:vAlign w:val="center"/>
          </w:tcPr>
          <w:p w14:paraId="5CDE912C"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总则</w:t>
            </w:r>
          </w:p>
        </w:tc>
        <w:tc>
          <w:tcPr>
            <w:tcW w:w="7028" w:type="dxa"/>
            <w:vAlign w:val="center"/>
          </w:tcPr>
          <w:p w14:paraId="61743A18"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pacing w:val="-6"/>
                <w:szCs w:val="21"/>
              </w:rPr>
              <w:t>编制目的、编制依据、适用范围</w:t>
            </w:r>
            <w:r>
              <w:rPr>
                <w:rFonts w:ascii="Times New Roman" w:eastAsia="宋体" w:hAnsi="Times New Roman" w:cs="Times New Roman"/>
                <w:spacing w:val="-6"/>
                <w:szCs w:val="21"/>
              </w:rPr>
              <w:t>(</w:t>
            </w:r>
            <w:r>
              <w:rPr>
                <w:rFonts w:ascii="Times New Roman" w:eastAsia="宋体" w:hAnsi="Times New Roman" w:cs="Times New Roman"/>
                <w:spacing w:val="-6"/>
                <w:szCs w:val="21"/>
              </w:rPr>
              <w:t>说明环境应急预案的工作范围、可能发生的突发环境事件类型、突发环境事件级别</w:t>
            </w:r>
            <w:r>
              <w:rPr>
                <w:rFonts w:ascii="Times New Roman" w:eastAsia="宋体" w:hAnsi="Times New Roman" w:cs="Times New Roman"/>
                <w:spacing w:val="-6"/>
                <w:szCs w:val="21"/>
              </w:rPr>
              <w:t>)</w:t>
            </w:r>
            <w:r>
              <w:rPr>
                <w:rFonts w:ascii="Times New Roman" w:eastAsia="宋体" w:hAnsi="Times New Roman" w:cs="Times New Roman"/>
                <w:spacing w:val="-6"/>
                <w:szCs w:val="21"/>
              </w:rPr>
              <w:t>、预案体系、工作原则。</w:t>
            </w:r>
          </w:p>
        </w:tc>
      </w:tr>
      <w:tr w:rsidR="002133E3" w14:paraId="325892F2" w14:textId="77777777">
        <w:trPr>
          <w:cantSplit/>
          <w:trHeight w:val="284"/>
        </w:trPr>
        <w:tc>
          <w:tcPr>
            <w:tcW w:w="816" w:type="dxa"/>
            <w:vAlign w:val="center"/>
          </w:tcPr>
          <w:p w14:paraId="7F4E17BD" w14:textId="77777777" w:rsidR="002133E3" w:rsidRDefault="00C22CFA">
            <w:pPr>
              <w:spacing w:line="280" w:lineRule="exact"/>
              <w:jc w:val="center"/>
              <w:rPr>
                <w:rFonts w:ascii="Times New Roman" w:eastAsia="宋体" w:hAnsi="Times New Roman" w:cs="Times New Roman"/>
                <w:szCs w:val="21"/>
              </w:rPr>
            </w:pPr>
            <w:r>
              <w:rPr>
                <w:rFonts w:ascii="Times New Roman" w:eastAsia="宋体" w:hAnsi="Times New Roman" w:cs="Times New Roman"/>
                <w:szCs w:val="21"/>
              </w:rPr>
              <w:t>2</w:t>
            </w:r>
          </w:p>
        </w:tc>
        <w:tc>
          <w:tcPr>
            <w:tcW w:w="1621" w:type="dxa"/>
            <w:vAlign w:val="center"/>
          </w:tcPr>
          <w:p w14:paraId="71F1B787" w14:textId="77777777" w:rsidR="002133E3" w:rsidRDefault="00C22CFA">
            <w:pPr>
              <w:spacing w:line="280" w:lineRule="exact"/>
              <w:jc w:val="center"/>
              <w:rPr>
                <w:rFonts w:ascii="Times New Roman" w:eastAsia="宋体" w:hAnsi="Times New Roman" w:cs="Times New Roman"/>
                <w:szCs w:val="21"/>
              </w:rPr>
            </w:pPr>
            <w:r>
              <w:rPr>
                <w:rFonts w:ascii="Times New Roman" w:eastAsia="宋体" w:hAnsi="Times New Roman" w:cs="Times New Roman"/>
                <w:spacing w:val="-6"/>
                <w:szCs w:val="21"/>
              </w:rPr>
              <w:t>组织机构及职责</w:t>
            </w:r>
          </w:p>
        </w:tc>
        <w:tc>
          <w:tcPr>
            <w:tcW w:w="7028" w:type="dxa"/>
            <w:vAlign w:val="center"/>
          </w:tcPr>
          <w:p w14:paraId="611A9846"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pacing w:val="-6"/>
                <w:szCs w:val="21"/>
              </w:rPr>
              <w:t>明确环境应急组织机构体系、人员及应急工作职责，辅以图、表形式表示。</w:t>
            </w:r>
          </w:p>
          <w:p w14:paraId="5450945D"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pacing w:val="-6"/>
                <w:szCs w:val="21"/>
              </w:rPr>
              <w:t>应急组织机构体系由应急指挥部及其办事机构、应急处置组、环境应急监测组、应急保障组以及其他必要的行动组构成，企事业单位可依据实际情况调整，应与其他应急组织机构相协调。应急组织机构人员应覆盖各相关部门，能力不足时可聘请外部专家或第三方机构。</w:t>
            </w:r>
          </w:p>
        </w:tc>
      </w:tr>
      <w:tr w:rsidR="002133E3" w14:paraId="7875207C" w14:textId="77777777">
        <w:trPr>
          <w:cantSplit/>
          <w:trHeight w:val="284"/>
        </w:trPr>
        <w:tc>
          <w:tcPr>
            <w:tcW w:w="816" w:type="dxa"/>
            <w:vAlign w:val="center"/>
          </w:tcPr>
          <w:p w14:paraId="0B0A1B9E"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3</w:t>
            </w:r>
          </w:p>
        </w:tc>
        <w:tc>
          <w:tcPr>
            <w:tcW w:w="1621" w:type="dxa"/>
            <w:vAlign w:val="center"/>
          </w:tcPr>
          <w:p w14:paraId="1DD23DBD"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监控预警</w:t>
            </w:r>
          </w:p>
        </w:tc>
        <w:tc>
          <w:tcPr>
            <w:tcW w:w="7028" w:type="dxa"/>
            <w:vAlign w:val="center"/>
          </w:tcPr>
          <w:p w14:paraId="25973E20" w14:textId="77777777" w:rsidR="002133E3" w:rsidRDefault="00C22CFA">
            <w:pPr>
              <w:spacing w:line="280" w:lineRule="exact"/>
              <w:rPr>
                <w:rFonts w:ascii="Times New Roman" w:eastAsia="宋体" w:hAnsi="Times New Roman" w:cs="Times New Roman"/>
                <w:szCs w:val="21"/>
              </w:rPr>
            </w:pPr>
            <w:r>
              <w:rPr>
                <w:rFonts w:ascii="Times New Roman" w:eastAsia="宋体" w:hAnsi="Times New Roman" w:cs="Times New Roman"/>
                <w:szCs w:val="21"/>
              </w:rPr>
              <w:t>监控：明确对环境风险源监控的方式、方法以及采取的预防措施。</w:t>
            </w:r>
          </w:p>
          <w:p w14:paraId="36370986"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zCs w:val="21"/>
              </w:rPr>
              <w:t>预警：结合事件危害程度、紧急程度和发展态势，说明预警信息的获得途径、分析研判的方式方法，明确预警级别、预警发布与解除、预警措施等。</w:t>
            </w:r>
          </w:p>
        </w:tc>
      </w:tr>
      <w:tr w:rsidR="002133E3" w14:paraId="3748318E" w14:textId="77777777">
        <w:trPr>
          <w:cantSplit/>
          <w:trHeight w:val="284"/>
        </w:trPr>
        <w:tc>
          <w:tcPr>
            <w:tcW w:w="816" w:type="dxa"/>
            <w:vAlign w:val="center"/>
          </w:tcPr>
          <w:p w14:paraId="406C27D6"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4</w:t>
            </w:r>
          </w:p>
        </w:tc>
        <w:tc>
          <w:tcPr>
            <w:tcW w:w="1621" w:type="dxa"/>
            <w:vAlign w:val="center"/>
          </w:tcPr>
          <w:p w14:paraId="10412113"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信息报告</w:t>
            </w:r>
          </w:p>
        </w:tc>
        <w:tc>
          <w:tcPr>
            <w:tcW w:w="7028" w:type="dxa"/>
            <w:vAlign w:val="center"/>
          </w:tcPr>
          <w:p w14:paraId="2D9E91B2"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zCs w:val="21"/>
              </w:rPr>
              <w:t>信息报告程序、信息报告内容及方式。</w:t>
            </w:r>
          </w:p>
        </w:tc>
      </w:tr>
      <w:tr w:rsidR="002133E3" w14:paraId="6B49626B" w14:textId="77777777">
        <w:trPr>
          <w:cantSplit/>
          <w:trHeight w:val="284"/>
        </w:trPr>
        <w:tc>
          <w:tcPr>
            <w:tcW w:w="816" w:type="dxa"/>
            <w:vAlign w:val="center"/>
          </w:tcPr>
          <w:p w14:paraId="67A1F0E5" w14:textId="77777777" w:rsidR="002133E3" w:rsidRDefault="00C22CFA">
            <w:pPr>
              <w:spacing w:line="280" w:lineRule="exact"/>
              <w:jc w:val="center"/>
              <w:rPr>
                <w:rFonts w:ascii="Times New Roman" w:eastAsia="宋体" w:hAnsi="Times New Roman" w:cs="Times New Roman"/>
                <w:szCs w:val="21"/>
              </w:rPr>
            </w:pPr>
            <w:r>
              <w:rPr>
                <w:rFonts w:ascii="Times New Roman" w:eastAsia="宋体" w:hAnsi="Times New Roman" w:cs="Times New Roman"/>
                <w:szCs w:val="21"/>
              </w:rPr>
              <w:t>5</w:t>
            </w:r>
          </w:p>
        </w:tc>
        <w:tc>
          <w:tcPr>
            <w:tcW w:w="1621" w:type="dxa"/>
            <w:vAlign w:val="center"/>
          </w:tcPr>
          <w:p w14:paraId="4AA37900" w14:textId="77777777" w:rsidR="002133E3" w:rsidRDefault="00C22CFA">
            <w:pPr>
              <w:spacing w:line="280" w:lineRule="exact"/>
              <w:jc w:val="center"/>
              <w:rPr>
                <w:rFonts w:ascii="Times New Roman" w:eastAsia="宋体" w:hAnsi="Times New Roman" w:cs="Times New Roman"/>
                <w:szCs w:val="21"/>
              </w:rPr>
            </w:pPr>
            <w:r>
              <w:rPr>
                <w:rFonts w:ascii="Times New Roman" w:eastAsia="宋体" w:hAnsi="Times New Roman" w:cs="Times New Roman"/>
                <w:szCs w:val="21"/>
              </w:rPr>
              <w:t>环境应急监测</w:t>
            </w:r>
          </w:p>
        </w:tc>
        <w:tc>
          <w:tcPr>
            <w:tcW w:w="7028" w:type="dxa"/>
            <w:vAlign w:val="center"/>
          </w:tcPr>
          <w:p w14:paraId="7C65DFD8" w14:textId="77777777" w:rsidR="002133E3" w:rsidRDefault="00C22CFA">
            <w:pPr>
              <w:spacing w:line="280" w:lineRule="exact"/>
              <w:rPr>
                <w:rFonts w:ascii="Times New Roman" w:eastAsia="宋体" w:hAnsi="Times New Roman" w:cs="Times New Roman"/>
                <w:szCs w:val="21"/>
              </w:rPr>
            </w:pPr>
            <w:r>
              <w:rPr>
                <w:rFonts w:ascii="Times New Roman" w:eastAsia="宋体" w:hAnsi="Times New Roman" w:cs="Times New Roman"/>
                <w:szCs w:val="21"/>
              </w:rPr>
              <w:t>制定不同突发环境事件情景下的环境应急监测方案，具体技术规范可参见</w:t>
            </w:r>
            <w:r>
              <w:rPr>
                <w:rFonts w:ascii="Times New Roman" w:eastAsia="宋体" w:hAnsi="Times New Roman" w:cs="Times New Roman"/>
                <w:szCs w:val="21"/>
              </w:rPr>
              <w:t>HJ589</w:t>
            </w:r>
            <w:r>
              <w:rPr>
                <w:rFonts w:ascii="Times New Roman" w:eastAsia="宋体" w:hAnsi="Times New Roman" w:cs="Times New Roman"/>
                <w:szCs w:val="21"/>
              </w:rPr>
              <w:t>中相关规定。若企事业单位自身监测能力不足，应依托外部有资质的检测单位并签订环境应急监测协议。</w:t>
            </w:r>
          </w:p>
        </w:tc>
      </w:tr>
      <w:tr w:rsidR="002133E3" w14:paraId="1CE743C7" w14:textId="77777777">
        <w:trPr>
          <w:cantSplit/>
          <w:trHeight w:val="284"/>
        </w:trPr>
        <w:tc>
          <w:tcPr>
            <w:tcW w:w="816" w:type="dxa"/>
            <w:vAlign w:val="center"/>
          </w:tcPr>
          <w:p w14:paraId="795193EF"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6</w:t>
            </w:r>
          </w:p>
        </w:tc>
        <w:tc>
          <w:tcPr>
            <w:tcW w:w="1621" w:type="dxa"/>
            <w:vAlign w:val="center"/>
          </w:tcPr>
          <w:p w14:paraId="49A53BC6"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环境应急响应</w:t>
            </w:r>
          </w:p>
        </w:tc>
        <w:tc>
          <w:tcPr>
            <w:tcW w:w="7028" w:type="dxa"/>
            <w:vAlign w:val="center"/>
          </w:tcPr>
          <w:p w14:paraId="62F2EFD2"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pacing w:val="-6"/>
                <w:szCs w:val="21"/>
              </w:rPr>
              <w:t>响应程序、响应分级、应急启动、应急处置</w:t>
            </w:r>
          </w:p>
        </w:tc>
      </w:tr>
      <w:tr w:rsidR="002133E3" w14:paraId="1C97BB4D" w14:textId="77777777">
        <w:trPr>
          <w:cantSplit/>
          <w:trHeight w:val="284"/>
        </w:trPr>
        <w:tc>
          <w:tcPr>
            <w:tcW w:w="816" w:type="dxa"/>
            <w:vAlign w:val="center"/>
          </w:tcPr>
          <w:p w14:paraId="6F1FDFC3"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7</w:t>
            </w:r>
          </w:p>
        </w:tc>
        <w:tc>
          <w:tcPr>
            <w:tcW w:w="1621" w:type="dxa"/>
            <w:vAlign w:val="center"/>
          </w:tcPr>
          <w:p w14:paraId="34D83E11"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应急终止</w:t>
            </w:r>
          </w:p>
        </w:tc>
        <w:tc>
          <w:tcPr>
            <w:tcW w:w="7028" w:type="dxa"/>
            <w:vAlign w:val="center"/>
          </w:tcPr>
          <w:p w14:paraId="66D1E053"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zCs w:val="21"/>
              </w:rPr>
              <w:t>明确应急终止的条件、程序和责任人，说明应急状态终止后，开展跟踪环境监测和评估工作的方案。</w:t>
            </w:r>
          </w:p>
        </w:tc>
      </w:tr>
      <w:tr w:rsidR="002133E3" w14:paraId="076D9F4F" w14:textId="77777777">
        <w:trPr>
          <w:cantSplit/>
          <w:trHeight w:val="284"/>
        </w:trPr>
        <w:tc>
          <w:tcPr>
            <w:tcW w:w="816" w:type="dxa"/>
            <w:vAlign w:val="center"/>
          </w:tcPr>
          <w:p w14:paraId="03F94913"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8</w:t>
            </w:r>
          </w:p>
        </w:tc>
        <w:tc>
          <w:tcPr>
            <w:tcW w:w="1621" w:type="dxa"/>
            <w:vAlign w:val="center"/>
          </w:tcPr>
          <w:p w14:paraId="0D75180D"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zCs w:val="21"/>
              </w:rPr>
              <w:t>事后恢复</w:t>
            </w:r>
          </w:p>
        </w:tc>
        <w:tc>
          <w:tcPr>
            <w:tcW w:w="7028" w:type="dxa"/>
            <w:vAlign w:val="center"/>
          </w:tcPr>
          <w:p w14:paraId="60285C66"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zCs w:val="21"/>
              </w:rPr>
              <w:t>生产装置：</w:t>
            </w:r>
            <w:r>
              <w:rPr>
                <w:rFonts w:ascii="宋体" w:eastAsia="宋体" w:hAnsi="宋体" w:cs="宋体" w:hint="eastAsia"/>
                <w:szCs w:val="21"/>
              </w:rPr>
              <w:t>①</w:t>
            </w:r>
            <w:r>
              <w:rPr>
                <w:rFonts w:ascii="Times New Roman" w:eastAsia="宋体" w:hAnsi="Times New Roman" w:cs="Times New Roman"/>
                <w:szCs w:val="21"/>
              </w:rPr>
              <w:t>防火灾、爆炸事故应急设施、设备与材料，主要为消防器材。</w:t>
            </w:r>
            <w:r>
              <w:rPr>
                <w:rFonts w:ascii="宋体" w:eastAsia="宋体" w:hAnsi="宋体" w:cs="宋体" w:hint="eastAsia"/>
                <w:szCs w:val="21"/>
              </w:rPr>
              <w:t>②</w:t>
            </w:r>
            <w:r>
              <w:rPr>
                <w:rFonts w:ascii="Times New Roman" w:eastAsia="宋体" w:hAnsi="Times New Roman" w:cs="Times New Roman"/>
                <w:szCs w:val="21"/>
              </w:rPr>
              <w:t>防有毒有害物质外溢、扩散，主要是水幕、喷淋设备等。仓储区：</w:t>
            </w:r>
            <w:r>
              <w:rPr>
                <w:rFonts w:ascii="宋体" w:eastAsia="宋体" w:hAnsi="宋体" w:cs="宋体" w:hint="eastAsia"/>
                <w:szCs w:val="21"/>
              </w:rPr>
              <w:t>①</w:t>
            </w:r>
            <w:r>
              <w:rPr>
                <w:rFonts w:ascii="Times New Roman" w:eastAsia="宋体" w:hAnsi="Times New Roman" w:cs="Times New Roman"/>
                <w:szCs w:val="21"/>
              </w:rPr>
              <w:t>防火灾、爆炸事故应急设施、设备与材料，主要为消防器材。</w:t>
            </w:r>
            <w:r>
              <w:rPr>
                <w:rFonts w:ascii="宋体" w:eastAsia="宋体" w:hAnsi="宋体" w:cs="宋体" w:hint="eastAsia"/>
                <w:szCs w:val="21"/>
              </w:rPr>
              <w:t>②</w:t>
            </w:r>
            <w:r>
              <w:rPr>
                <w:rFonts w:ascii="Times New Roman" w:eastAsia="宋体" w:hAnsi="Times New Roman" w:cs="Times New Roman"/>
                <w:szCs w:val="21"/>
              </w:rPr>
              <w:t>防有毒有害物质外溢、扩散，主要是水幕、喷淋设备等。</w:t>
            </w:r>
          </w:p>
        </w:tc>
      </w:tr>
      <w:tr w:rsidR="002133E3" w14:paraId="37FC588A" w14:textId="77777777">
        <w:trPr>
          <w:cantSplit/>
          <w:trHeight w:val="284"/>
        </w:trPr>
        <w:tc>
          <w:tcPr>
            <w:tcW w:w="816" w:type="dxa"/>
            <w:vAlign w:val="center"/>
          </w:tcPr>
          <w:p w14:paraId="13853C8B"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pacing w:val="-6"/>
                <w:szCs w:val="21"/>
              </w:rPr>
              <w:t>9</w:t>
            </w:r>
          </w:p>
        </w:tc>
        <w:tc>
          <w:tcPr>
            <w:tcW w:w="1621" w:type="dxa"/>
            <w:vAlign w:val="center"/>
          </w:tcPr>
          <w:p w14:paraId="797065BA"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pacing w:val="-6"/>
                <w:szCs w:val="21"/>
              </w:rPr>
              <w:t>保障措施</w:t>
            </w:r>
          </w:p>
        </w:tc>
        <w:tc>
          <w:tcPr>
            <w:tcW w:w="7028" w:type="dxa"/>
            <w:vAlign w:val="center"/>
          </w:tcPr>
          <w:p w14:paraId="67FB8A7A"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pacing w:val="-6"/>
                <w:szCs w:val="21"/>
              </w:rPr>
              <w:t>根据环境应急工作需求确定相关保障措施，包括经费保障、制度保障、应急物资装备保障、应急队伍保障、通信与信息保障等。</w:t>
            </w:r>
          </w:p>
        </w:tc>
      </w:tr>
      <w:tr w:rsidR="002133E3" w14:paraId="51394789" w14:textId="77777777">
        <w:trPr>
          <w:cantSplit/>
          <w:trHeight w:val="284"/>
        </w:trPr>
        <w:tc>
          <w:tcPr>
            <w:tcW w:w="816" w:type="dxa"/>
            <w:vAlign w:val="center"/>
          </w:tcPr>
          <w:p w14:paraId="66DD8763"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pacing w:val="-6"/>
                <w:szCs w:val="21"/>
              </w:rPr>
              <w:t>10</w:t>
            </w:r>
          </w:p>
        </w:tc>
        <w:tc>
          <w:tcPr>
            <w:tcW w:w="1621" w:type="dxa"/>
            <w:vAlign w:val="center"/>
          </w:tcPr>
          <w:p w14:paraId="5B9FD853" w14:textId="77777777" w:rsidR="002133E3" w:rsidRDefault="00C22CFA">
            <w:pPr>
              <w:spacing w:line="280" w:lineRule="exact"/>
              <w:jc w:val="center"/>
              <w:rPr>
                <w:rFonts w:ascii="Times New Roman" w:eastAsia="宋体" w:hAnsi="Times New Roman" w:cs="Times New Roman"/>
                <w:spacing w:val="-6"/>
                <w:szCs w:val="21"/>
              </w:rPr>
            </w:pPr>
            <w:r>
              <w:rPr>
                <w:rFonts w:ascii="Times New Roman" w:eastAsia="宋体" w:hAnsi="Times New Roman" w:cs="Times New Roman"/>
                <w:spacing w:val="-6"/>
                <w:szCs w:val="21"/>
              </w:rPr>
              <w:t>预案管理</w:t>
            </w:r>
          </w:p>
        </w:tc>
        <w:tc>
          <w:tcPr>
            <w:tcW w:w="7028" w:type="dxa"/>
            <w:vAlign w:val="center"/>
          </w:tcPr>
          <w:p w14:paraId="1E3ACF8E" w14:textId="77777777" w:rsidR="002133E3" w:rsidRDefault="00C22CFA">
            <w:pPr>
              <w:spacing w:line="280" w:lineRule="exact"/>
              <w:rPr>
                <w:rFonts w:ascii="Times New Roman" w:eastAsia="宋体" w:hAnsi="Times New Roman" w:cs="Times New Roman"/>
                <w:spacing w:val="-6"/>
                <w:szCs w:val="21"/>
              </w:rPr>
            </w:pPr>
            <w:r>
              <w:rPr>
                <w:rFonts w:ascii="Times New Roman" w:eastAsia="宋体" w:hAnsi="Times New Roman" w:cs="Times New Roman"/>
                <w:spacing w:val="-6"/>
                <w:szCs w:val="21"/>
              </w:rPr>
              <w:t>明确环境应急预案培训、演练、评估修订等要求。</w:t>
            </w:r>
          </w:p>
        </w:tc>
      </w:tr>
    </w:tbl>
    <w:p w14:paraId="1D7A418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bookmarkStart w:id="91" w:name="_Toc365919833"/>
      <w:r>
        <w:rPr>
          <w:rFonts w:ascii="Times New Roman" w:eastAsia="宋体" w:hAnsi="Times New Roman" w:cs="Times New Roman"/>
          <w:b/>
          <w:sz w:val="30"/>
          <w:szCs w:val="30"/>
        </w:rPr>
        <w:t>公司风险应急预案与区域应急预案的衔接</w:t>
      </w:r>
      <w:bookmarkEnd w:id="91"/>
    </w:p>
    <w:p w14:paraId="76302A42"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w:t>
      </w:r>
      <w:r>
        <w:rPr>
          <w:rFonts w:ascii="Times New Roman" w:eastAsia="宋体" w:hAnsi="Times New Roman" w:cs="Times New Roman"/>
          <w:sz w:val="28"/>
          <w:szCs w:val="28"/>
        </w:rPr>
        <w:t>）应急组织机构、人员的衔接</w:t>
      </w:r>
    </w:p>
    <w:p w14:paraId="30D226DB"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当发生风险事故时，企业应及时与当地区域或各职能管理部门的应急指挥机构联系，及时将事故发生情况及最新进展向有关部门汇报，并将上级指挥机构的命令及时向项目应急指挥小组汇报。</w:t>
      </w:r>
    </w:p>
    <w:p w14:paraId="09296339"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2</w:t>
      </w:r>
      <w:r>
        <w:rPr>
          <w:rFonts w:ascii="Times New Roman" w:eastAsia="宋体" w:hAnsi="Times New Roman" w:cs="Times New Roman"/>
          <w:sz w:val="28"/>
          <w:szCs w:val="28"/>
        </w:rPr>
        <w:t>）预案分级响应的衔接</w:t>
      </w:r>
    </w:p>
    <w:p w14:paraId="13D03603"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①</w:t>
      </w:r>
      <w:r>
        <w:rPr>
          <w:rFonts w:ascii="Times New Roman" w:eastAsia="宋体" w:hAnsi="Times New Roman" w:cs="Times New Roman"/>
          <w:sz w:val="28"/>
          <w:szCs w:val="28"/>
        </w:rPr>
        <w:t>一般污染事故：在污染事故现场处置妥当后，经应急指挥小组研究确定后，向当地环保部门报告处理结果。</w:t>
      </w:r>
    </w:p>
    <w:p w14:paraId="35B4BC53"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lastRenderedPageBreak/>
        <w:t>②</w:t>
      </w:r>
      <w:r>
        <w:rPr>
          <w:rFonts w:ascii="Times New Roman" w:eastAsia="宋体" w:hAnsi="Times New Roman" w:cs="Times New Roman"/>
          <w:sz w:val="28"/>
          <w:szCs w:val="28"/>
        </w:rPr>
        <w:t>较大或重大污染事故：应急指挥小组在接到事故报警后，及时向开发区应急指挥中心报告，并请求支援；开发区应急指挥部进行紧急动员，适时启动区域的环境污染事故应急预案迅速调集救援力量，指挥成员单位、相关职能部门，根据应急预案组成各个应急行动小组，按照各自的职责和现场救援具体方案开展抢险救援工作，厂内应急小组听从开发区现场指挥部的领导，同时将有关进展情况向开发区应急指挥部汇报；污染事故基本控制稳定后，区应急指挥中心将根据专家意见，迅速调集后援力量展开事故处置工作。现场应急处理结束。当污染事故有进一步扩大、发展趋势，或因事故衍生问题造成重大社会不稳定事态，县应急指挥中心将根据事态发展，及时调整应急响应级别，发布预警信息，同时向省环境污染事故应急指挥部请求援助。</w:t>
      </w:r>
    </w:p>
    <w:p w14:paraId="71A98E92"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3</w:t>
      </w:r>
      <w:r>
        <w:rPr>
          <w:rFonts w:ascii="Times New Roman" w:eastAsia="宋体" w:hAnsi="Times New Roman" w:cs="Times New Roman"/>
          <w:sz w:val="28"/>
          <w:szCs w:val="28"/>
        </w:rPr>
        <w:t>）应急救援保障的衔接</w:t>
      </w:r>
    </w:p>
    <w:p w14:paraId="10CF6FC0"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①</w:t>
      </w:r>
      <w:r>
        <w:rPr>
          <w:rFonts w:ascii="Times New Roman" w:eastAsia="宋体" w:hAnsi="Times New Roman" w:cs="Times New Roman"/>
          <w:sz w:val="28"/>
          <w:szCs w:val="28"/>
        </w:rPr>
        <w:t>单位互助体系：建设单位和周边企业建立良好的应急互助关系，在重大事故发生后，相互支援。</w:t>
      </w:r>
    </w:p>
    <w:p w14:paraId="00FEE435"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公共援助力量：厂区还可以联系开发区公共消防队、医院、公安、交通、安监局以及各相关职能部门，请求救援力量、设备的支持。</w:t>
      </w:r>
    </w:p>
    <w:p w14:paraId="4D85755B"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③</w:t>
      </w:r>
      <w:r>
        <w:rPr>
          <w:rFonts w:ascii="Times New Roman" w:eastAsia="宋体" w:hAnsi="Times New Roman" w:cs="Times New Roman"/>
          <w:sz w:val="28"/>
          <w:szCs w:val="28"/>
        </w:rPr>
        <w:t>专家援助：企业建立风险事故救援安全专家库，在紧急情况下，可以联系获取救援支持。</w:t>
      </w:r>
    </w:p>
    <w:p w14:paraId="13F4156E"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4</w:t>
      </w:r>
      <w:r>
        <w:rPr>
          <w:rFonts w:ascii="Times New Roman" w:eastAsia="宋体" w:hAnsi="Times New Roman" w:cs="Times New Roman"/>
          <w:sz w:val="28"/>
          <w:szCs w:val="28"/>
        </w:rPr>
        <w:t>）应急培训计划的衔接</w:t>
      </w:r>
    </w:p>
    <w:p w14:paraId="15E6D516"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企业在开展应急培训计划的同时，还应积极配合开发区开展的应急培训计划，在发生风险事故时，及时与园区应急组织取得联系。</w:t>
      </w:r>
    </w:p>
    <w:p w14:paraId="53896257"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）信息通报系统</w:t>
      </w:r>
    </w:p>
    <w:p w14:paraId="588E8A08"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建设畅通的信息通道，应急指挥部必须与周边企业、周边村庄村委会保持</w:t>
      </w:r>
      <w:r>
        <w:rPr>
          <w:rFonts w:ascii="Times New Roman" w:eastAsia="宋体" w:hAnsi="Times New Roman" w:cs="Times New Roman"/>
          <w:sz w:val="28"/>
          <w:szCs w:val="28"/>
        </w:rPr>
        <w:t>24</w:t>
      </w:r>
      <w:r>
        <w:rPr>
          <w:rFonts w:ascii="Times New Roman" w:eastAsia="宋体" w:hAnsi="Times New Roman" w:cs="Times New Roman"/>
          <w:sz w:val="28"/>
          <w:szCs w:val="28"/>
        </w:rPr>
        <w:t>小时的电话联系。一旦发生风险事故，可在第一时间通知相关单位组织居民疏散、撤离。</w:t>
      </w:r>
    </w:p>
    <w:p w14:paraId="6F523A5B"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6</w:t>
      </w:r>
      <w:r>
        <w:rPr>
          <w:rFonts w:ascii="Times New Roman" w:eastAsia="宋体" w:hAnsi="Times New Roman" w:cs="Times New Roman"/>
          <w:sz w:val="28"/>
          <w:szCs w:val="28"/>
        </w:rPr>
        <w:t>）公众教育的衔接</w:t>
      </w:r>
    </w:p>
    <w:p w14:paraId="4095B303" w14:textId="77777777" w:rsidR="002133E3" w:rsidRDefault="00C22CFA">
      <w:pPr>
        <w:adjustRightInd w:val="0"/>
        <w:snapToGrid w:val="0"/>
        <w:spacing w:line="50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企业对厂内和附近地区公众开展教育、培训时，应加强与周边公众、连云港化学工业园区及相关单位的交流，如发生事故，可更好的疏散、防护污染。</w:t>
      </w:r>
    </w:p>
    <w:p w14:paraId="4A0160F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环境风险防控措施</w:t>
      </w:r>
      <w:r>
        <w:rPr>
          <w:rFonts w:ascii="Times New Roman" w:eastAsia="宋体" w:hAnsi="Times New Roman" w:cs="Times New Roman"/>
          <w:b/>
          <w:sz w:val="30"/>
          <w:szCs w:val="30"/>
        </w:rPr>
        <w:t>“</w:t>
      </w:r>
      <w:r>
        <w:rPr>
          <w:rFonts w:ascii="Times New Roman" w:eastAsia="宋体" w:hAnsi="Times New Roman" w:cs="Times New Roman"/>
          <w:b/>
          <w:sz w:val="30"/>
          <w:szCs w:val="30"/>
        </w:rPr>
        <w:t>三同时</w:t>
      </w:r>
      <w:r>
        <w:rPr>
          <w:rFonts w:ascii="Times New Roman" w:eastAsia="宋体" w:hAnsi="Times New Roman" w:cs="Times New Roman"/>
          <w:b/>
          <w:sz w:val="30"/>
          <w:szCs w:val="30"/>
        </w:rPr>
        <w:t>”</w:t>
      </w:r>
    </w:p>
    <w:p w14:paraId="31F1CCA2" w14:textId="77777777" w:rsidR="002133E3" w:rsidRDefault="00C22CFA">
      <w:pPr>
        <w:tabs>
          <w:tab w:val="left" w:pos="3600"/>
        </w:tabs>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本工程环境风险防控措施</w:t>
      </w:r>
      <w:r>
        <w:rPr>
          <w:rFonts w:ascii="Times New Roman" w:eastAsia="宋体" w:hAnsi="Times New Roman" w:cs="Times New Roman"/>
          <w:sz w:val="28"/>
          <w:szCs w:val="28"/>
        </w:rPr>
        <w:t>“</w:t>
      </w:r>
      <w:r>
        <w:rPr>
          <w:rFonts w:ascii="Times New Roman" w:eastAsia="宋体" w:hAnsi="Times New Roman" w:cs="Times New Roman"/>
          <w:sz w:val="28"/>
          <w:szCs w:val="28"/>
        </w:rPr>
        <w:t>三同时</w:t>
      </w:r>
      <w:r>
        <w:rPr>
          <w:rFonts w:ascii="Times New Roman" w:eastAsia="宋体" w:hAnsi="Times New Roman" w:cs="Times New Roman"/>
          <w:sz w:val="28"/>
          <w:szCs w:val="28"/>
        </w:rPr>
        <w:t>”</w:t>
      </w:r>
      <w:r>
        <w:rPr>
          <w:rFonts w:ascii="Times New Roman" w:eastAsia="宋体" w:hAnsi="Times New Roman" w:cs="Times New Roman"/>
          <w:sz w:val="28"/>
          <w:szCs w:val="28"/>
        </w:rPr>
        <w:t>详见表</w:t>
      </w:r>
      <w:r>
        <w:rPr>
          <w:rFonts w:ascii="Times New Roman" w:eastAsia="宋体" w:hAnsi="Times New Roman" w:cs="Times New Roman"/>
          <w:sz w:val="28"/>
          <w:szCs w:val="28"/>
        </w:rPr>
        <w:t>7.8-3</w:t>
      </w:r>
      <w:r>
        <w:rPr>
          <w:rFonts w:ascii="Times New Roman" w:eastAsia="宋体" w:hAnsi="Times New Roman" w:cs="Times New Roman"/>
          <w:sz w:val="28"/>
          <w:szCs w:val="28"/>
        </w:rPr>
        <w:t>。</w:t>
      </w:r>
    </w:p>
    <w:p w14:paraId="244421B8" w14:textId="77777777" w:rsidR="002133E3" w:rsidRDefault="00C22CFA">
      <w:pPr>
        <w:tabs>
          <w:tab w:val="left" w:pos="3600"/>
        </w:tabs>
        <w:spacing w:line="52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 xml:space="preserve">7.8-3  </w:t>
      </w:r>
      <w:r>
        <w:rPr>
          <w:rFonts w:ascii="Times New Roman" w:eastAsia="宋体" w:hAnsi="Times New Roman" w:cs="Times New Roman"/>
          <w:b/>
          <w:sz w:val="24"/>
          <w:szCs w:val="24"/>
        </w:rPr>
        <w:t>本工程环境风险防控措施</w:t>
      </w:r>
      <w:r>
        <w:rPr>
          <w:rFonts w:ascii="Times New Roman" w:eastAsia="宋体" w:hAnsi="Times New Roman" w:cs="Times New Roman"/>
          <w:b/>
          <w:sz w:val="24"/>
          <w:szCs w:val="24"/>
        </w:rPr>
        <w:t>“</w:t>
      </w:r>
      <w:r>
        <w:rPr>
          <w:rFonts w:ascii="Times New Roman" w:eastAsia="宋体" w:hAnsi="Times New Roman" w:cs="Times New Roman"/>
          <w:b/>
          <w:sz w:val="24"/>
          <w:szCs w:val="24"/>
        </w:rPr>
        <w:t>三同时</w:t>
      </w:r>
      <w:r>
        <w:rPr>
          <w:rFonts w:ascii="Times New Roman" w:eastAsia="宋体" w:hAnsi="Times New Roman" w:cs="Times New Roman"/>
          <w:b/>
          <w:sz w:val="24"/>
          <w:szCs w:val="24"/>
        </w:rPr>
        <w:t>”</w:t>
      </w:r>
      <w:r>
        <w:rPr>
          <w:rFonts w:ascii="Times New Roman" w:eastAsia="宋体" w:hAnsi="Times New Roman" w:cs="Times New Roman"/>
          <w:b/>
          <w:sz w:val="24"/>
          <w:szCs w:val="24"/>
        </w:rPr>
        <w:t>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8"/>
        <w:gridCol w:w="4517"/>
        <w:gridCol w:w="1832"/>
        <w:gridCol w:w="970"/>
        <w:gridCol w:w="1444"/>
      </w:tblGrid>
      <w:tr w:rsidR="002133E3" w14:paraId="26938DEE" w14:textId="77777777">
        <w:trPr>
          <w:trHeight w:val="284"/>
        </w:trPr>
        <w:tc>
          <w:tcPr>
            <w:tcW w:w="978" w:type="dxa"/>
            <w:vAlign w:val="center"/>
          </w:tcPr>
          <w:p w14:paraId="64CE5287"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污染源</w:t>
            </w:r>
          </w:p>
        </w:tc>
        <w:tc>
          <w:tcPr>
            <w:tcW w:w="4517" w:type="dxa"/>
            <w:vAlign w:val="center"/>
          </w:tcPr>
          <w:p w14:paraId="5A40F835" w14:textId="77777777" w:rsidR="002133E3" w:rsidRDefault="00C22CFA">
            <w:pPr>
              <w:tabs>
                <w:tab w:val="left" w:pos="3600"/>
              </w:tabs>
              <w:jc w:val="center"/>
              <w:rPr>
                <w:rFonts w:ascii="Times New Roman" w:eastAsia="宋体" w:hAnsi="Times New Roman" w:cs="Times New Roman"/>
                <w:b/>
                <w:bCs/>
                <w:szCs w:val="21"/>
                <w:lang w:val="en-JM"/>
              </w:rPr>
            </w:pPr>
            <w:r>
              <w:rPr>
                <w:rFonts w:ascii="Times New Roman" w:eastAsia="宋体" w:hAnsi="Times New Roman" w:cs="Times New Roman"/>
                <w:b/>
                <w:bCs/>
                <w:szCs w:val="21"/>
                <w:lang w:val="en-JM"/>
              </w:rPr>
              <w:t>环保设施名称</w:t>
            </w:r>
          </w:p>
        </w:tc>
        <w:tc>
          <w:tcPr>
            <w:tcW w:w="1832" w:type="dxa"/>
            <w:vAlign w:val="center"/>
          </w:tcPr>
          <w:p w14:paraId="097EEA11"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防范措施投资</w:t>
            </w:r>
            <w:r>
              <w:rPr>
                <w:rFonts w:ascii="Times New Roman" w:eastAsia="宋体" w:hAnsi="Times New Roman" w:cs="Times New Roman"/>
                <w:b/>
                <w:szCs w:val="21"/>
              </w:rPr>
              <w:t>(</w:t>
            </w:r>
            <w:r>
              <w:rPr>
                <w:rFonts w:ascii="Times New Roman" w:eastAsia="宋体" w:hAnsi="Times New Roman" w:cs="Times New Roman"/>
                <w:b/>
                <w:szCs w:val="21"/>
              </w:rPr>
              <w:t>万元</w:t>
            </w:r>
            <w:r>
              <w:rPr>
                <w:rFonts w:ascii="Times New Roman" w:eastAsia="宋体" w:hAnsi="Times New Roman" w:cs="Times New Roman"/>
                <w:b/>
                <w:szCs w:val="21"/>
              </w:rPr>
              <w:t>)</w:t>
            </w:r>
          </w:p>
        </w:tc>
        <w:tc>
          <w:tcPr>
            <w:tcW w:w="970" w:type="dxa"/>
            <w:vAlign w:val="center"/>
          </w:tcPr>
          <w:p w14:paraId="64E6355D"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效果</w:t>
            </w:r>
          </w:p>
        </w:tc>
        <w:tc>
          <w:tcPr>
            <w:tcW w:w="1444" w:type="dxa"/>
            <w:vAlign w:val="center"/>
          </w:tcPr>
          <w:p w14:paraId="6E9A0A8C"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进度</w:t>
            </w:r>
          </w:p>
        </w:tc>
      </w:tr>
      <w:tr w:rsidR="002133E3" w14:paraId="4E976F8B" w14:textId="77777777">
        <w:trPr>
          <w:trHeight w:val="284"/>
        </w:trPr>
        <w:tc>
          <w:tcPr>
            <w:tcW w:w="978" w:type="dxa"/>
            <w:vMerge w:val="restart"/>
            <w:vAlign w:val="center"/>
          </w:tcPr>
          <w:p w14:paraId="05B89AB0"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风险</w:t>
            </w:r>
          </w:p>
          <w:p w14:paraId="16130065"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防治</w:t>
            </w:r>
          </w:p>
          <w:p w14:paraId="7202EDD7"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措施</w:t>
            </w:r>
          </w:p>
        </w:tc>
        <w:tc>
          <w:tcPr>
            <w:tcW w:w="4517" w:type="dxa"/>
            <w:vAlign w:val="center"/>
          </w:tcPr>
          <w:p w14:paraId="756B586C"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报警系统、消防器材、水喷淋设施、泡沫站等</w:t>
            </w:r>
          </w:p>
        </w:tc>
        <w:tc>
          <w:tcPr>
            <w:tcW w:w="1832" w:type="dxa"/>
            <w:vMerge w:val="restart"/>
            <w:vAlign w:val="center"/>
          </w:tcPr>
          <w:p w14:paraId="322C293C"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10</w:t>
            </w:r>
          </w:p>
        </w:tc>
        <w:tc>
          <w:tcPr>
            <w:tcW w:w="970" w:type="dxa"/>
            <w:vMerge w:val="restart"/>
            <w:vAlign w:val="center"/>
          </w:tcPr>
          <w:p w14:paraId="6336C254"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将风险水平降低到可接受范围</w:t>
            </w:r>
          </w:p>
        </w:tc>
        <w:tc>
          <w:tcPr>
            <w:tcW w:w="1444" w:type="dxa"/>
            <w:vMerge w:val="restart"/>
            <w:vAlign w:val="center"/>
          </w:tcPr>
          <w:p w14:paraId="46CA010F"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与主体工程同时设计、同时施工、同时投入使用</w:t>
            </w:r>
          </w:p>
        </w:tc>
      </w:tr>
      <w:tr w:rsidR="002133E3" w14:paraId="0FE03E94" w14:textId="77777777">
        <w:trPr>
          <w:trHeight w:val="284"/>
        </w:trPr>
        <w:tc>
          <w:tcPr>
            <w:tcW w:w="978" w:type="dxa"/>
            <w:vMerge/>
            <w:vAlign w:val="center"/>
          </w:tcPr>
          <w:p w14:paraId="229F1232" w14:textId="77777777" w:rsidR="002133E3" w:rsidRDefault="002133E3">
            <w:pPr>
              <w:tabs>
                <w:tab w:val="left" w:pos="3600"/>
              </w:tabs>
              <w:jc w:val="center"/>
              <w:rPr>
                <w:rFonts w:ascii="Times New Roman" w:eastAsia="宋体" w:hAnsi="Times New Roman" w:cs="Times New Roman"/>
                <w:szCs w:val="21"/>
              </w:rPr>
            </w:pPr>
          </w:p>
        </w:tc>
        <w:tc>
          <w:tcPr>
            <w:tcW w:w="4517" w:type="dxa"/>
            <w:vAlign w:val="center"/>
          </w:tcPr>
          <w:p w14:paraId="4B89D4D1"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可燃性及有毒气体检测报警仪</w:t>
            </w:r>
          </w:p>
        </w:tc>
        <w:tc>
          <w:tcPr>
            <w:tcW w:w="1832" w:type="dxa"/>
            <w:vMerge/>
            <w:vAlign w:val="center"/>
          </w:tcPr>
          <w:p w14:paraId="01B628CD" w14:textId="77777777" w:rsidR="002133E3" w:rsidRDefault="002133E3">
            <w:pPr>
              <w:tabs>
                <w:tab w:val="left" w:pos="3600"/>
              </w:tabs>
              <w:jc w:val="center"/>
              <w:rPr>
                <w:rFonts w:ascii="Times New Roman" w:eastAsia="宋体" w:hAnsi="Times New Roman" w:cs="Times New Roman"/>
                <w:szCs w:val="21"/>
              </w:rPr>
            </w:pPr>
          </w:p>
        </w:tc>
        <w:tc>
          <w:tcPr>
            <w:tcW w:w="970" w:type="dxa"/>
            <w:vMerge/>
            <w:vAlign w:val="center"/>
          </w:tcPr>
          <w:p w14:paraId="4447EFE7" w14:textId="77777777" w:rsidR="002133E3" w:rsidRDefault="002133E3">
            <w:pPr>
              <w:tabs>
                <w:tab w:val="left" w:pos="3600"/>
              </w:tabs>
              <w:jc w:val="center"/>
              <w:rPr>
                <w:rFonts w:ascii="Times New Roman" w:eastAsia="宋体" w:hAnsi="Times New Roman" w:cs="Times New Roman"/>
                <w:szCs w:val="21"/>
              </w:rPr>
            </w:pPr>
          </w:p>
        </w:tc>
        <w:tc>
          <w:tcPr>
            <w:tcW w:w="1444" w:type="dxa"/>
            <w:vMerge/>
            <w:vAlign w:val="center"/>
          </w:tcPr>
          <w:p w14:paraId="16CB49F0" w14:textId="77777777" w:rsidR="002133E3" w:rsidRDefault="002133E3">
            <w:pPr>
              <w:tabs>
                <w:tab w:val="left" w:pos="3600"/>
              </w:tabs>
              <w:jc w:val="center"/>
              <w:rPr>
                <w:rFonts w:ascii="Times New Roman" w:eastAsia="宋体" w:hAnsi="Times New Roman" w:cs="Times New Roman"/>
                <w:szCs w:val="21"/>
              </w:rPr>
            </w:pPr>
          </w:p>
        </w:tc>
      </w:tr>
      <w:tr w:rsidR="002133E3" w14:paraId="47E52E95" w14:textId="77777777">
        <w:trPr>
          <w:trHeight w:val="284"/>
        </w:trPr>
        <w:tc>
          <w:tcPr>
            <w:tcW w:w="978" w:type="dxa"/>
            <w:vMerge/>
            <w:vAlign w:val="center"/>
          </w:tcPr>
          <w:p w14:paraId="28CD64B2" w14:textId="77777777" w:rsidR="002133E3" w:rsidRDefault="002133E3">
            <w:pPr>
              <w:tabs>
                <w:tab w:val="left" w:pos="3600"/>
              </w:tabs>
              <w:jc w:val="center"/>
              <w:rPr>
                <w:rFonts w:ascii="Times New Roman" w:eastAsia="宋体" w:hAnsi="Times New Roman" w:cs="Times New Roman"/>
                <w:szCs w:val="21"/>
              </w:rPr>
            </w:pPr>
          </w:p>
        </w:tc>
        <w:tc>
          <w:tcPr>
            <w:tcW w:w="4517" w:type="dxa"/>
            <w:vAlign w:val="center"/>
          </w:tcPr>
          <w:p w14:paraId="6A9CCB97"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消防排水收集系统，包括管网及排水监控系统</w:t>
            </w:r>
          </w:p>
        </w:tc>
        <w:tc>
          <w:tcPr>
            <w:tcW w:w="1832" w:type="dxa"/>
            <w:vMerge/>
            <w:vAlign w:val="center"/>
          </w:tcPr>
          <w:p w14:paraId="1C3B5246" w14:textId="77777777" w:rsidR="002133E3" w:rsidRDefault="002133E3">
            <w:pPr>
              <w:tabs>
                <w:tab w:val="left" w:pos="3600"/>
              </w:tabs>
              <w:jc w:val="center"/>
              <w:rPr>
                <w:rFonts w:ascii="Times New Roman" w:eastAsia="宋体" w:hAnsi="Times New Roman" w:cs="Times New Roman"/>
                <w:szCs w:val="21"/>
              </w:rPr>
            </w:pPr>
          </w:p>
        </w:tc>
        <w:tc>
          <w:tcPr>
            <w:tcW w:w="970" w:type="dxa"/>
            <w:vMerge/>
            <w:vAlign w:val="center"/>
          </w:tcPr>
          <w:p w14:paraId="2AD008EB" w14:textId="77777777" w:rsidR="002133E3" w:rsidRDefault="002133E3">
            <w:pPr>
              <w:tabs>
                <w:tab w:val="left" w:pos="3600"/>
              </w:tabs>
              <w:jc w:val="center"/>
              <w:rPr>
                <w:rFonts w:ascii="Times New Roman" w:eastAsia="宋体" w:hAnsi="Times New Roman" w:cs="Times New Roman"/>
                <w:szCs w:val="21"/>
              </w:rPr>
            </w:pPr>
          </w:p>
        </w:tc>
        <w:tc>
          <w:tcPr>
            <w:tcW w:w="1444" w:type="dxa"/>
            <w:vMerge/>
            <w:vAlign w:val="center"/>
          </w:tcPr>
          <w:p w14:paraId="09F2EFC6" w14:textId="77777777" w:rsidR="002133E3" w:rsidRDefault="002133E3">
            <w:pPr>
              <w:tabs>
                <w:tab w:val="left" w:pos="3600"/>
              </w:tabs>
              <w:jc w:val="center"/>
              <w:rPr>
                <w:rFonts w:ascii="Times New Roman" w:eastAsia="宋体" w:hAnsi="Times New Roman" w:cs="Times New Roman"/>
                <w:szCs w:val="21"/>
              </w:rPr>
            </w:pPr>
          </w:p>
        </w:tc>
      </w:tr>
      <w:tr w:rsidR="002133E3" w14:paraId="750F2C99" w14:textId="77777777">
        <w:trPr>
          <w:trHeight w:val="284"/>
        </w:trPr>
        <w:tc>
          <w:tcPr>
            <w:tcW w:w="978" w:type="dxa"/>
            <w:vMerge/>
            <w:vAlign w:val="center"/>
          </w:tcPr>
          <w:p w14:paraId="3E38F80D" w14:textId="77777777" w:rsidR="002133E3" w:rsidRDefault="002133E3">
            <w:pPr>
              <w:tabs>
                <w:tab w:val="left" w:pos="3600"/>
              </w:tabs>
              <w:jc w:val="center"/>
              <w:rPr>
                <w:rFonts w:ascii="Times New Roman" w:eastAsia="宋体" w:hAnsi="Times New Roman" w:cs="Times New Roman"/>
                <w:szCs w:val="21"/>
              </w:rPr>
            </w:pPr>
          </w:p>
        </w:tc>
        <w:tc>
          <w:tcPr>
            <w:tcW w:w="4517" w:type="dxa"/>
            <w:vAlign w:val="center"/>
          </w:tcPr>
          <w:p w14:paraId="2A90D01C"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初期雨水和雨水系统切换装置</w:t>
            </w:r>
          </w:p>
        </w:tc>
        <w:tc>
          <w:tcPr>
            <w:tcW w:w="1832" w:type="dxa"/>
            <w:vMerge/>
            <w:vAlign w:val="center"/>
          </w:tcPr>
          <w:p w14:paraId="108C7D4B" w14:textId="77777777" w:rsidR="002133E3" w:rsidRDefault="002133E3">
            <w:pPr>
              <w:tabs>
                <w:tab w:val="left" w:pos="3600"/>
              </w:tabs>
              <w:jc w:val="center"/>
              <w:rPr>
                <w:rFonts w:ascii="Times New Roman" w:eastAsia="宋体" w:hAnsi="Times New Roman" w:cs="Times New Roman"/>
                <w:szCs w:val="21"/>
              </w:rPr>
            </w:pPr>
          </w:p>
        </w:tc>
        <w:tc>
          <w:tcPr>
            <w:tcW w:w="970" w:type="dxa"/>
            <w:vMerge/>
            <w:vAlign w:val="center"/>
          </w:tcPr>
          <w:p w14:paraId="78AF65C8" w14:textId="77777777" w:rsidR="002133E3" w:rsidRDefault="002133E3">
            <w:pPr>
              <w:tabs>
                <w:tab w:val="left" w:pos="3600"/>
              </w:tabs>
              <w:jc w:val="center"/>
              <w:rPr>
                <w:rFonts w:ascii="Times New Roman" w:eastAsia="宋体" w:hAnsi="Times New Roman" w:cs="Times New Roman"/>
                <w:szCs w:val="21"/>
              </w:rPr>
            </w:pPr>
          </w:p>
        </w:tc>
        <w:tc>
          <w:tcPr>
            <w:tcW w:w="1444" w:type="dxa"/>
            <w:vMerge/>
            <w:vAlign w:val="center"/>
          </w:tcPr>
          <w:p w14:paraId="7BE0AB0E" w14:textId="77777777" w:rsidR="002133E3" w:rsidRDefault="002133E3">
            <w:pPr>
              <w:tabs>
                <w:tab w:val="left" w:pos="3600"/>
              </w:tabs>
              <w:jc w:val="center"/>
              <w:rPr>
                <w:rFonts w:ascii="Times New Roman" w:eastAsia="宋体" w:hAnsi="Times New Roman" w:cs="Times New Roman"/>
                <w:szCs w:val="21"/>
              </w:rPr>
            </w:pPr>
          </w:p>
        </w:tc>
      </w:tr>
      <w:tr w:rsidR="002133E3" w14:paraId="7CDFA9A6" w14:textId="77777777">
        <w:trPr>
          <w:trHeight w:val="284"/>
        </w:trPr>
        <w:tc>
          <w:tcPr>
            <w:tcW w:w="978" w:type="dxa"/>
            <w:vMerge/>
            <w:vAlign w:val="center"/>
          </w:tcPr>
          <w:p w14:paraId="622ED4CD" w14:textId="77777777" w:rsidR="002133E3" w:rsidRDefault="002133E3">
            <w:pPr>
              <w:tabs>
                <w:tab w:val="left" w:pos="3600"/>
              </w:tabs>
              <w:jc w:val="center"/>
              <w:rPr>
                <w:rFonts w:ascii="Times New Roman" w:eastAsia="宋体" w:hAnsi="Times New Roman" w:cs="Times New Roman"/>
                <w:szCs w:val="21"/>
              </w:rPr>
            </w:pPr>
          </w:p>
        </w:tc>
        <w:tc>
          <w:tcPr>
            <w:tcW w:w="4517" w:type="dxa"/>
            <w:vAlign w:val="center"/>
          </w:tcPr>
          <w:p w14:paraId="39A6B9FA"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建立事故风险紧急监测系统，特别是事故状况下对致死浓度区的伤害消减措施</w:t>
            </w:r>
          </w:p>
        </w:tc>
        <w:tc>
          <w:tcPr>
            <w:tcW w:w="1832" w:type="dxa"/>
            <w:vMerge/>
            <w:vAlign w:val="center"/>
          </w:tcPr>
          <w:p w14:paraId="4C398F2D" w14:textId="77777777" w:rsidR="002133E3" w:rsidRDefault="002133E3">
            <w:pPr>
              <w:tabs>
                <w:tab w:val="left" w:pos="3600"/>
              </w:tabs>
              <w:jc w:val="center"/>
              <w:rPr>
                <w:rFonts w:ascii="Times New Roman" w:eastAsia="宋体" w:hAnsi="Times New Roman" w:cs="Times New Roman"/>
                <w:szCs w:val="21"/>
              </w:rPr>
            </w:pPr>
          </w:p>
        </w:tc>
        <w:tc>
          <w:tcPr>
            <w:tcW w:w="970" w:type="dxa"/>
            <w:vMerge/>
            <w:vAlign w:val="center"/>
          </w:tcPr>
          <w:p w14:paraId="573685A4" w14:textId="77777777" w:rsidR="002133E3" w:rsidRDefault="002133E3">
            <w:pPr>
              <w:tabs>
                <w:tab w:val="left" w:pos="3600"/>
              </w:tabs>
              <w:jc w:val="center"/>
              <w:rPr>
                <w:rFonts w:ascii="Times New Roman" w:eastAsia="宋体" w:hAnsi="Times New Roman" w:cs="Times New Roman"/>
                <w:szCs w:val="21"/>
              </w:rPr>
            </w:pPr>
          </w:p>
        </w:tc>
        <w:tc>
          <w:tcPr>
            <w:tcW w:w="1444" w:type="dxa"/>
            <w:vMerge/>
            <w:vAlign w:val="center"/>
          </w:tcPr>
          <w:p w14:paraId="61B1CBAD" w14:textId="77777777" w:rsidR="002133E3" w:rsidRDefault="002133E3">
            <w:pPr>
              <w:tabs>
                <w:tab w:val="left" w:pos="3600"/>
              </w:tabs>
              <w:jc w:val="center"/>
              <w:rPr>
                <w:rFonts w:ascii="Times New Roman" w:eastAsia="宋体" w:hAnsi="Times New Roman" w:cs="Times New Roman"/>
                <w:szCs w:val="21"/>
              </w:rPr>
            </w:pPr>
          </w:p>
        </w:tc>
      </w:tr>
      <w:tr w:rsidR="002133E3" w14:paraId="02E00F51" w14:textId="77777777">
        <w:trPr>
          <w:trHeight w:val="284"/>
        </w:trPr>
        <w:tc>
          <w:tcPr>
            <w:tcW w:w="978" w:type="dxa"/>
            <w:vMerge/>
            <w:vAlign w:val="center"/>
          </w:tcPr>
          <w:p w14:paraId="2B7C4489" w14:textId="77777777" w:rsidR="002133E3" w:rsidRDefault="002133E3">
            <w:pPr>
              <w:tabs>
                <w:tab w:val="left" w:pos="3600"/>
              </w:tabs>
              <w:jc w:val="center"/>
              <w:rPr>
                <w:rFonts w:ascii="Times New Roman" w:eastAsia="宋体" w:hAnsi="Times New Roman" w:cs="Times New Roman"/>
                <w:szCs w:val="21"/>
              </w:rPr>
            </w:pPr>
          </w:p>
        </w:tc>
        <w:tc>
          <w:tcPr>
            <w:tcW w:w="4517" w:type="dxa"/>
            <w:vAlign w:val="center"/>
          </w:tcPr>
          <w:p w14:paraId="595DFFBA"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其它风险防范措施</w:t>
            </w:r>
          </w:p>
        </w:tc>
        <w:tc>
          <w:tcPr>
            <w:tcW w:w="1832" w:type="dxa"/>
            <w:vMerge/>
            <w:vAlign w:val="center"/>
          </w:tcPr>
          <w:p w14:paraId="0628791C" w14:textId="77777777" w:rsidR="002133E3" w:rsidRDefault="002133E3">
            <w:pPr>
              <w:tabs>
                <w:tab w:val="left" w:pos="3600"/>
              </w:tabs>
              <w:jc w:val="center"/>
              <w:rPr>
                <w:rFonts w:ascii="Times New Roman" w:eastAsia="宋体" w:hAnsi="Times New Roman" w:cs="Times New Roman"/>
                <w:szCs w:val="21"/>
              </w:rPr>
            </w:pPr>
          </w:p>
        </w:tc>
        <w:tc>
          <w:tcPr>
            <w:tcW w:w="970" w:type="dxa"/>
            <w:vMerge/>
            <w:vAlign w:val="center"/>
          </w:tcPr>
          <w:p w14:paraId="59BAE849" w14:textId="77777777" w:rsidR="002133E3" w:rsidRDefault="002133E3">
            <w:pPr>
              <w:tabs>
                <w:tab w:val="left" w:pos="3600"/>
              </w:tabs>
              <w:jc w:val="center"/>
              <w:rPr>
                <w:rFonts w:ascii="Times New Roman" w:eastAsia="宋体" w:hAnsi="Times New Roman" w:cs="Times New Roman"/>
                <w:szCs w:val="21"/>
              </w:rPr>
            </w:pPr>
          </w:p>
        </w:tc>
        <w:tc>
          <w:tcPr>
            <w:tcW w:w="1444" w:type="dxa"/>
            <w:vMerge/>
            <w:vAlign w:val="center"/>
          </w:tcPr>
          <w:p w14:paraId="726E0C70" w14:textId="77777777" w:rsidR="002133E3" w:rsidRDefault="002133E3">
            <w:pPr>
              <w:tabs>
                <w:tab w:val="left" w:pos="3600"/>
              </w:tabs>
              <w:jc w:val="center"/>
              <w:rPr>
                <w:rFonts w:ascii="Times New Roman" w:eastAsia="宋体" w:hAnsi="Times New Roman" w:cs="Times New Roman"/>
                <w:szCs w:val="21"/>
              </w:rPr>
            </w:pPr>
          </w:p>
        </w:tc>
      </w:tr>
      <w:tr w:rsidR="002133E3" w14:paraId="6AF41AD4" w14:textId="77777777">
        <w:trPr>
          <w:trHeight w:val="284"/>
        </w:trPr>
        <w:tc>
          <w:tcPr>
            <w:tcW w:w="5495" w:type="dxa"/>
            <w:gridSpan w:val="2"/>
            <w:vAlign w:val="center"/>
          </w:tcPr>
          <w:p w14:paraId="68B835D2"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占总投资比例</w:t>
            </w:r>
            <w:r>
              <w:rPr>
                <w:rFonts w:ascii="Times New Roman" w:eastAsia="宋体" w:hAnsi="Times New Roman" w:cs="Times New Roman"/>
                <w:b/>
                <w:szCs w:val="21"/>
              </w:rPr>
              <w:t>(%)</w:t>
            </w:r>
          </w:p>
        </w:tc>
        <w:tc>
          <w:tcPr>
            <w:tcW w:w="1832" w:type="dxa"/>
            <w:vAlign w:val="center"/>
          </w:tcPr>
          <w:p w14:paraId="7DF5973F"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10</w:t>
            </w:r>
          </w:p>
        </w:tc>
        <w:tc>
          <w:tcPr>
            <w:tcW w:w="970" w:type="dxa"/>
            <w:vAlign w:val="center"/>
          </w:tcPr>
          <w:p w14:paraId="51B85A8D"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w:t>
            </w:r>
          </w:p>
        </w:tc>
        <w:tc>
          <w:tcPr>
            <w:tcW w:w="1444" w:type="dxa"/>
            <w:vAlign w:val="center"/>
          </w:tcPr>
          <w:p w14:paraId="2876A712"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w:t>
            </w:r>
          </w:p>
        </w:tc>
      </w:tr>
    </w:tbl>
    <w:p w14:paraId="31B6272F"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bookmarkStart w:id="92" w:name="_Toc38009095"/>
      <w:bookmarkStart w:id="93" w:name="_Toc508633868"/>
      <w:r>
        <w:rPr>
          <w:rFonts w:ascii="Times New Roman" w:eastAsia="宋体" w:hAnsi="Times New Roman" w:cs="Times New Roman"/>
          <w:b/>
          <w:sz w:val="30"/>
          <w:szCs w:val="30"/>
        </w:rPr>
        <w:t>环保投资及</w:t>
      </w:r>
      <w:r>
        <w:rPr>
          <w:rFonts w:ascii="Times New Roman" w:eastAsia="宋体" w:hAnsi="Times New Roman" w:cs="Times New Roman"/>
          <w:b/>
          <w:sz w:val="30"/>
          <w:szCs w:val="30"/>
        </w:rPr>
        <w:t>“</w:t>
      </w:r>
      <w:r>
        <w:rPr>
          <w:rFonts w:ascii="Times New Roman" w:eastAsia="宋体" w:hAnsi="Times New Roman" w:cs="Times New Roman"/>
          <w:b/>
          <w:sz w:val="30"/>
          <w:szCs w:val="30"/>
        </w:rPr>
        <w:t>三同时</w:t>
      </w:r>
      <w:r>
        <w:rPr>
          <w:rFonts w:ascii="Times New Roman" w:eastAsia="宋体" w:hAnsi="Times New Roman" w:cs="Times New Roman"/>
          <w:b/>
          <w:sz w:val="30"/>
          <w:szCs w:val="30"/>
        </w:rPr>
        <w:t>”</w:t>
      </w:r>
      <w:r>
        <w:rPr>
          <w:rFonts w:ascii="Times New Roman" w:eastAsia="宋体" w:hAnsi="Times New Roman" w:cs="Times New Roman"/>
          <w:b/>
          <w:sz w:val="30"/>
          <w:szCs w:val="30"/>
        </w:rPr>
        <w:t>验收一览表</w:t>
      </w:r>
      <w:bookmarkEnd w:id="92"/>
      <w:bookmarkEnd w:id="93"/>
    </w:p>
    <w:p w14:paraId="340A0CC4" w14:textId="77777777" w:rsidR="002133E3" w:rsidRDefault="00C22CFA">
      <w:pPr>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项目环保总投资</w:t>
      </w:r>
      <w:r>
        <w:rPr>
          <w:rFonts w:ascii="Times New Roman" w:eastAsia="宋体" w:hAnsi="Times New Roman" w:cs="Times New Roman"/>
          <w:sz w:val="28"/>
          <w:szCs w:val="28"/>
        </w:rPr>
        <w:t>60</w:t>
      </w:r>
      <w:r>
        <w:rPr>
          <w:rFonts w:ascii="Times New Roman" w:eastAsia="宋体" w:hAnsi="Times New Roman" w:cs="Times New Roman"/>
          <w:sz w:val="28"/>
          <w:szCs w:val="28"/>
        </w:rPr>
        <w:t>万元，占工程总投资的</w:t>
      </w:r>
      <w:r>
        <w:rPr>
          <w:rFonts w:ascii="Times New Roman" w:eastAsia="宋体" w:hAnsi="Times New Roman" w:cs="Times New Roman"/>
          <w:sz w:val="28"/>
          <w:szCs w:val="28"/>
        </w:rPr>
        <w:t>1.31%</w:t>
      </w:r>
      <w:r>
        <w:rPr>
          <w:rFonts w:ascii="Times New Roman" w:eastAsia="宋体" w:hAnsi="Times New Roman" w:cs="Times New Roman"/>
          <w:sz w:val="28"/>
          <w:szCs w:val="28"/>
        </w:rPr>
        <w:t>，环保投资估算详见表</w:t>
      </w:r>
      <w:r>
        <w:rPr>
          <w:rFonts w:ascii="Times New Roman" w:eastAsia="宋体" w:hAnsi="Times New Roman" w:cs="Times New Roman"/>
          <w:sz w:val="28"/>
          <w:szCs w:val="28"/>
        </w:rPr>
        <w:t>7.9-1</w:t>
      </w:r>
      <w:r>
        <w:rPr>
          <w:rFonts w:ascii="Times New Roman" w:eastAsia="宋体" w:hAnsi="Times New Roman" w:cs="Times New Roman"/>
          <w:sz w:val="28"/>
          <w:szCs w:val="28"/>
        </w:rPr>
        <w:t>。</w:t>
      </w:r>
    </w:p>
    <w:p w14:paraId="00989B1E" w14:textId="77777777" w:rsidR="002133E3" w:rsidRDefault="00C22CFA">
      <w:pPr>
        <w:tabs>
          <w:tab w:val="left" w:pos="3600"/>
        </w:tabs>
        <w:snapToGrid w:val="0"/>
        <w:spacing w:line="500" w:lineRule="atLeas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z w:val="24"/>
          <w:szCs w:val="24"/>
        </w:rPr>
        <w:t>7.9-1 “</w:t>
      </w:r>
      <w:r>
        <w:rPr>
          <w:rFonts w:ascii="Times New Roman" w:eastAsia="宋体" w:hAnsi="Times New Roman" w:cs="Times New Roman"/>
          <w:b/>
          <w:sz w:val="24"/>
          <w:szCs w:val="24"/>
        </w:rPr>
        <w:t>三同时</w:t>
      </w:r>
      <w:r>
        <w:rPr>
          <w:rFonts w:ascii="Times New Roman" w:eastAsia="宋体" w:hAnsi="Times New Roman" w:cs="Times New Roman"/>
          <w:b/>
          <w:sz w:val="24"/>
          <w:szCs w:val="24"/>
        </w:rPr>
        <w:t>”</w:t>
      </w:r>
      <w:r>
        <w:rPr>
          <w:rFonts w:ascii="Times New Roman" w:eastAsia="宋体" w:hAnsi="Times New Roman" w:cs="Times New Roman"/>
          <w:b/>
          <w:sz w:val="24"/>
          <w:szCs w:val="24"/>
        </w:rPr>
        <w:t>一览表</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2977"/>
        <w:gridCol w:w="1558"/>
        <w:gridCol w:w="1418"/>
        <w:gridCol w:w="1514"/>
        <w:gridCol w:w="1022"/>
      </w:tblGrid>
      <w:tr w:rsidR="002133E3" w14:paraId="5E36E5AF" w14:textId="77777777">
        <w:trPr>
          <w:trHeight w:val="20"/>
        </w:trPr>
        <w:tc>
          <w:tcPr>
            <w:tcW w:w="762" w:type="pct"/>
            <w:vAlign w:val="center"/>
          </w:tcPr>
          <w:p w14:paraId="79836E30"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污染源</w:t>
            </w:r>
          </w:p>
        </w:tc>
        <w:tc>
          <w:tcPr>
            <w:tcW w:w="1486" w:type="pct"/>
            <w:vAlign w:val="center"/>
          </w:tcPr>
          <w:p w14:paraId="422732A8"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环保设施名称</w:t>
            </w:r>
          </w:p>
        </w:tc>
        <w:tc>
          <w:tcPr>
            <w:tcW w:w="778" w:type="pct"/>
            <w:vAlign w:val="center"/>
          </w:tcPr>
          <w:p w14:paraId="74CF28C6"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环保投资</w:t>
            </w:r>
            <w:r>
              <w:rPr>
                <w:rFonts w:ascii="Times New Roman" w:eastAsia="宋体" w:hAnsi="Times New Roman" w:cs="Times New Roman"/>
                <w:b/>
                <w:szCs w:val="21"/>
              </w:rPr>
              <w:t>/</w:t>
            </w:r>
            <w:r>
              <w:rPr>
                <w:rFonts w:ascii="Times New Roman" w:eastAsia="宋体" w:hAnsi="Times New Roman" w:cs="Times New Roman"/>
                <w:b/>
                <w:szCs w:val="21"/>
              </w:rPr>
              <w:t>万元</w:t>
            </w:r>
          </w:p>
        </w:tc>
        <w:tc>
          <w:tcPr>
            <w:tcW w:w="708" w:type="pct"/>
            <w:vAlign w:val="center"/>
          </w:tcPr>
          <w:p w14:paraId="4A5C3AA7"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运行费用</w:t>
            </w:r>
            <w:r>
              <w:rPr>
                <w:rFonts w:ascii="Times New Roman" w:eastAsia="宋体" w:hAnsi="Times New Roman" w:cs="Times New Roman"/>
                <w:b/>
                <w:szCs w:val="21"/>
              </w:rPr>
              <w:t>/</w:t>
            </w:r>
            <w:r>
              <w:rPr>
                <w:rFonts w:ascii="Times New Roman" w:eastAsia="宋体" w:hAnsi="Times New Roman" w:cs="Times New Roman"/>
                <w:b/>
                <w:szCs w:val="21"/>
              </w:rPr>
              <w:t>万元</w:t>
            </w:r>
          </w:p>
        </w:tc>
        <w:tc>
          <w:tcPr>
            <w:tcW w:w="756" w:type="pct"/>
            <w:vAlign w:val="center"/>
          </w:tcPr>
          <w:p w14:paraId="4F42E2EC"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效果</w:t>
            </w:r>
          </w:p>
        </w:tc>
        <w:tc>
          <w:tcPr>
            <w:tcW w:w="510" w:type="pct"/>
            <w:vAlign w:val="center"/>
          </w:tcPr>
          <w:p w14:paraId="540851CC"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进度</w:t>
            </w:r>
          </w:p>
        </w:tc>
      </w:tr>
      <w:tr w:rsidR="002133E3" w14:paraId="2179766B" w14:textId="77777777">
        <w:trPr>
          <w:trHeight w:val="20"/>
        </w:trPr>
        <w:tc>
          <w:tcPr>
            <w:tcW w:w="762" w:type="pct"/>
            <w:vAlign w:val="center"/>
          </w:tcPr>
          <w:p w14:paraId="7B165DF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废气</w:t>
            </w:r>
          </w:p>
        </w:tc>
        <w:tc>
          <w:tcPr>
            <w:tcW w:w="1486" w:type="pct"/>
            <w:vAlign w:val="center"/>
          </w:tcPr>
          <w:p w14:paraId="241F9C1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新增三套水膜除尘装置</w:t>
            </w:r>
            <w:r>
              <w:rPr>
                <w:rFonts w:ascii="Times New Roman" w:eastAsia="宋体" w:hAnsi="Times New Roman" w:cs="Times New Roman" w:hint="eastAsia"/>
                <w:szCs w:val="21"/>
              </w:rPr>
              <w:t>，</w:t>
            </w:r>
            <w:r>
              <w:rPr>
                <w:rFonts w:ascii="Times New Roman" w:eastAsia="宋体" w:hAnsi="Times New Roman" w:cs="Times New Roman"/>
                <w:kern w:val="0"/>
                <w:szCs w:val="21"/>
              </w:rPr>
              <w:t>新增一级水吸收装置</w:t>
            </w:r>
            <w:r>
              <w:rPr>
                <w:rFonts w:ascii="Times New Roman" w:eastAsia="宋体" w:hAnsi="Times New Roman" w:cs="Times New Roman"/>
                <w:kern w:val="0"/>
                <w:szCs w:val="21"/>
              </w:rPr>
              <w:t>1</w:t>
            </w:r>
            <w:r>
              <w:rPr>
                <w:rFonts w:ascii="Times New Roman" w:eastAsia="宋体" w:hAnsi="Times New Roman" w:cs="Times New Roman"/>
                <w:kern w:val="0"/>
                <w:szCs w:val="21"/>
              </w:rPr>
              <w:t>套、二级水吸收</w:t>
            </w:r>
            <w:r>
              <w:rPr>
                <w:rFonts w:ascii="Times New Roman" w:eastAsia="宋体" w:hAnsi="Times New Roman" w:cs="Times New Roman"/>
                <w:kern w:val="0"/>
                <w:szCs w:val="21"/>
              </w:rPr>
              <w:t>1</w:t>
            </w:r>
            <w:r>
              <w:rPr>
                <w:rFonts w:ascii="Times New Roman" w:eastAsia="宋体" w:hAnsi="Times New Roman" w:cs="Times New Roman"/>
                <w:kern w:val="0"/>
                <w:szCs w:val="21"/>
              </w:rPr>
              <w:t>套</w:t>
            </w:r>
          </w:p>
        </w:tc>
        <w:tc>
          <w:tcPr>
            <w:tcW w:w="778" w:type="pct"/>
            <w:vAlign w:val="center"/>
          </w:tcPr>
          <w:p w14:paraId="6BB392E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c>
          <w:tcPr>
            <w:tcW w:w="708" w:type="pct"/>
            <w:vAlign w:val="center"/>
          </w:tcPr>
          <w:p w14:paraId="631716A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756" w:type="pct"/>
            <w:vAlign w:val="center"/>
          </w:tcPr>
          <w:p w14:paraId="07CE1A1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达标排放</w:t>
            </w:r>
          </w:p>
        </w:tc>
        <w:tc>
          <w:tcPr>
            <w:tcW w:w="510" w:type="pct"/>
            <w:vMerge w:val="restart"/>
            <w:vAlign w:val="center"/>
          </w:tcPr>
          <w:p w14:paraId="08CC522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与主体工程同时设计、同时施工、同时投入使用</w:t>
            </w:r>
          </w:p>
        </w:tc>
      </w:tr>
      <w:tr w:rsidR="002133E3" w14:paraId="6F00D678" w14:textId="77777777">
        <w:trPr>
          <w:trHeight w:val="20"/>
        </w:trPr>
        <w:tc>
          <w:tcPr>
            <w:tcW w:w="762" w:type="pct"/>
            <w:vAlign w:val="center"/>
          </w:tcPr>
          <w:p w14:paraId="4BC0BA3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废水</w:t>
            </w:r>
          </w:p>
        </w:tc>
        <w:tc>
          <w:tcPr>
            <w:tcW w:w="1486" w:type="pct"/>
            <w:vAlign w:val="center"/>
          </w:tcPr>
          <w:p w14:paraId="3BB3C30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利用现有</w:t>
            </w:r>
          </w:p>
        </w:tc>
        <w:tc>
          <w:tcPr>
            <w:tcW w:w="778" w:type="pct"/>
            <w:vAlign w:val="center"/>
          </w:tcPr>
          <w:p w14:paraId="7A4E3D4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08" w:type="pct"/>
            <w:vAlign w:val="center"/>
          </w:tcPr>
          <w:p w14:paraId="2691ED8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削减</w:t>
            </w:r>
            <w:r>
              <w:rPr>
                <w:rFonts w:ascii="Times New Roman" w:eastAsia="宋体" w:hAnsi="Times New Roman" w:cs="Times New Roman"/>
                <w:szCs w:val="21"/>
              </w:rPr>
              <w:t>224.2</w:t>
            </w:r>
          </w:p>
        </w:tc>
        <w:tc>
          <w:tcPr>
            <w:tcW w:w="756" w:type="pct"/>
            <w:vAlign w:val="center"/>
          </w:tcPr>
          <w:p w14:paraId="4751AC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达标排放</w:t>
            </w:r>
          </w:p>
        </w:tc>
        <w:tc>
          <w:tcPr>
            <w:tcW w:w="510" w:type="pct"/>
            <w:vMerge/>
            <w:vAlign w:val="center"/>
          </w:tcPr>
          <w:p w14:paraId="234A2882" w14:textId="77777777" w:rsidR="002133E3" w:rsidRDefault="002133E3">
            <w:pPr>
              <w:jc w:val="center"/>
              <w:rPr>
                <w:rFonts w:ascii="Times New Roman" w:eastAsia="宋体" w:hAnsi="Times New Roman" w:cs="Times New Roman"/>
                <w:szCs w:val="21"/>
              </w:rPr>
            </w:pPr>
          </w:p>
        </w:tc>
      </w:tr>
      <w:tr w:rsidR="002133E3" w14:paraId="44C2039A" w14:textId="77777777">
        <w:trPr>
          <w:trHeight w:val="20"/>
        </w:trPr>
        <w:tc>
          <w:tcPr>
            <w:tcW w:w="762" w:type="pct"/>
            <w:vAlign w:val="center"/>
          </w:tcPr>
          <w:p w14:paraId="0E30B23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固废</w:t>
            </w:r>
          </w:p>
        </w:tc>
        <w:tc>
          <w:tcPr>
            <w:tcW w:w="1486" w:type="pct"/>
            <w:vAlign w:val="center"/>
          </w:tcPr>
          <w:p w14:paraId="7D3245F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危废暂存场所、一般固废暂存库</w:t>
            </w:r>
          </w:p>
        </w:tc>
        <w:tc>
          <w:tcPr>
            <w:tcW w:w="778" w:type="pct"/>
            <w:vAlign w:val="center"/>
          </w:tcPr>
          <w:p w14:paraId="0CB402D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依托现有</w:t>
            </w:r>
          </w:p>
        </w:tc>
        <w:tc>
          <w:tcPr>
            <w:tcW w:w="708" w:type="pct"/>
            <w:vAlign w:val="center"/>
          </w:tcPr>
          <w:p w14:paraId="70DD6C0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0.378</w:t>
            </w:r>
            <w:r>
              <w:rPr>
                <w:rFonts w:ascii="Times New Roman" w:eastAsia="宋体" w:hAnsi="Times New Roman" w:cs="Times New Roman" w:hint="eastAsia"/>
                <w:szCs w:val="21"/>
              </w:rPr>
              <w:t>（委托处置费用）</w:t>
            </w:r>
          </w:p>
        </w:tc>
        <w:tc>
          <w:tcPr>
            <w:tcW w:w="756" w:type="pct"/>
            <w:vAlign w:val="center"/>
          </w:tcPr>
          <w:p w14:paraId="79867A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符合环保要求</w:t>
            </w:r>
          </w:p>
        </w:tc>
        <w:tc>
          <w:tcPr>
            <w:tcW w:w="510" w:type="pct"/>
            <w:vMerge/>
            <w:vAlign w:val="center"/>
          </w:tcPr>
          <w:p w14:paraId="3707E3FC" w14:textId="77777777" w:rsidR="002133E3" w:rsidRDefault="002133E3">
            <w:pPr>
              <w:jc w:val="center"/>
              <w:rPr>
                <w:rFonts w:ascii="Times New Roman" w:eastAsia="宋体" w:hAnsi="Times New Roman" w:cs="Times New Roman"/>
                <w:szCs w:val="21"/>
              </w:rPr>
            </w:pPr>
          </w:p>
        </w:tc>
      </w:tr>
      <w:tr w:rsidR="002133E3" w14:paraId="40EF17C1" w14:textId="77777777">
        <w:trPr>
          <w:trHeight w:val="20"/>
        </w:trPr>
        <w:tc>
          <w:tcPr>
            <w:tcW w:w="762" w:type="pct"/>
            <w:vAlign w:val="center"/>
          </w:tcPr>
          <w:p w14:paraId="6211089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噪声</w:t>
            </w:r>
          </w:p>
        </w:tc>
        <w:tc>
          <w:tcPr>
            <w:tcW w:w="1486" w:type="pct"/>
            <w:vAlign w:val="center"/>
          </w:tcPr>
          <w:p w14:paraId="4283FE1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消声器、隔声设施等</w:t>
            </w:r>
          </w:p>
        </w:tc>
        <w:tc>
          <w:tcPr>
            <w:tcW w:w="778" w:type="pct"/>
            <w:vAlign w:val="center"/>
          </w:tcPr>
          <w:p w14:paraId="5CB7CC1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708" w:type="pct"/>
            <w:vAlign w:val="center"/>
          </w:tcPr>
          <w:p w14:paraId="121E55D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30D0FD9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厂界达标</w:t>
            </w:r>
          </w:p>
        </w:tc>
        <w:tc>
          <w:tcPr>
            <w:tcW w:w="510" w:type="pct"/>
            <w:vMerge/>
            <w:vAlign w:val="center"/>
          </w:tcPr>
          <w:p w14:paraId="5C9E5350" w14:textId="77777777" w:rsidR="002133E3" w:rsidRDefault="002133E3">
            <w:pPr>
              <w:jc w:val="center"/>
              <w:rPr>
                <w:rFonts w:ascii="Times New Roman" w:eastAsia="宋体" w:hAnsi="Times New Roman" w:cs="Times New Roman"/>
                <w:szCs w:val="21"/>
              </w:rPr>
            </w:pPr>
          </w:p>
        </w:tc>
      </w:tr>
      <w:tr w:rsidR="002133E3" w14:paraId="088554D4" w14:textId="77777777">
        <w:trPr>
          <w:trHeight w:val="20"/>
        </w:trPr>
        <w:tc>
          <w:tcPr>
            <w:tcW w:w="762" w:type="pct"/>
            <w:vAlign w:val="center"/>
          </w:tcPr>
          <w:p w14:paraId="2F6F0BF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土壤、地下水</w:t>
            </w:r>
          </w:p>
        </w:tc>
        <w:tc>
          <w:tcPr>
            <w:tcW w:w="1486" w:type="pct"/>
            <w:vAlign w:val="center"/>
          </w:tcPr>
          <w:p w14:paraId="522B268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防渗措施</w:t>
            </w:r>
          </w:p>
        </w:tc>
        <w:tc>
          <w:tcPr>
            <w:tcW w:w="778" w:type="pct"/>
            <w:vAlign w:val="center"/>
          </w:tcPr>
          <w:p w14:paraId="5C71BF1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08" w:type="pct"/>
            <w:vAlign w:val="center"/>
          </w:tcPr>
          <w:p w14:paraId="12BBC79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48E4D29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满足环保要求</w:t>
            </w:r>
          </w:p>
        </w:tc>
        <w:tc>
          <w:tcPr>
            <w:tcW w:w="510" w:type="pct"/>
            <w:vMerge/>
            <w:vAlign w:val="center"/>
          </w:tcPr>
          <w:p w14:paraId="0D6F7918" w14:textId="77777777" w:rsidR="002133E3" w:rsidRDefault="002133E3">
            <w:pPr>
              <w:jc w:val="center"/>
              <w:rPr>
                <w:rFonts w:ascii="Times New Roman" w:eastAsia="宋体" w:hAnsi="Times New Roman" w:cs="Times New Roman"/>
                <w:szCs w:val="21"/>
              </w:rPr>
            </w:pPr>
          </w:p>
        </w:tc>
      </w:tr>
      <w:tr w:rsidR="002133E3" w14:paraId="1FA8C5BB" w14:textId="77777777">
        <w:trPr>
          <w:trHeight w:val="20"/>
        </w:trPr>
        <w:tc>
          <w:tcPr>
            <w:tcW w:w="762" w:type="pct"/>
            <w:vAlign w:val="center"/>
          </w:tcPr>
          <w:p w14:paraId="7E140AF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监测仪器</w:t>
            </w:r>
          </w:p>
        </w:tc>
        <w:tc>
          <w:tcPr>
            <w:tcW w:w="1486" w:type="pct"/>
            <w:vAlign w:val="center"/>
          </w:tcPr>
          <w:p w14:paraId="61F5067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环境监测工作</w:t>
            </w:r>
          </w:p>
        </w:tc>
        <w:tc>
          <w:tcPr>
            <w:tcW w:w="778" w:type="pct"/>
            <w:vAlign w:val="center"/>
          </w:tcPr>
          <w:p w14:paraId="1006A6C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08" w:type="pct"/>
            <w:vAlign w:val="center"/>
          </w:tcPr>
          <w:p w14:paraId="6A38F11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2584EBA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委托监测</w:t>
            </w:r>
          </w:p>
        </w:tc>
        <w:tc>
          <w:tcPr>
            <w:tcW w:w="510" w:type="pct"/>
            <w:vMerge/>
            <w:vAlign w:val="center"/>
          </w:tcPr>
          <w:p w14:paraId="7751FECC" w14:textId="77777777" w:rsidR="002133E3" w:rsidRDefault="002133E3">
            <w:pPr>
              <w:jc w:val="center"/>
              <w:rPr>
                <w:rFonts w:ascii="Times New Roman" w:eastAsia="宋体" w:hAnsi="Times New Roman" w:cs="Times New Roman"/>
                <w:szCs w:val="21"/>
              </w:rPr>
            </w:pPr>
          </w:p>
        </w:tc>
      </w:tr>
      <w:tr w:rsidR="002133E3" w14:paraId="4CBC2765" w14:textId="77777777">
        <w:trPr>
          <w:trHeight w:val="20"/>
        </w:trPr>
        <w:tc>
          <w:tcPr>
            <w:tcW w:w="762" w:type="pct"/>
            <w:vAlign w:val="center"/>
          </w:tcPr>
          <w:p w14:paraId="28B666E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排污口整治</w:t>
            </w:r>
          </w:p>
        </w:tc>
        <w:tc>
          <w:tcPr>
            <w:tcW w:w="1486" w:type="pct"/>
            <w:vAlign w:val="center"/>
          </w:tcPr>
          <w:p w14:paraId="7895BEA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规范化整治</w:t>
            </w:r>
          </w:p>
        </w:tc>
        <w:tc>
          <w:tcPr>
            <w:tcW w:w="778" w:type="pct"/>
            <w:vAlign w:val="center"/>
          </w:tcPr>
          <w:p w14:paraId="23C0ACC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708" w:type="pct"/>
            <w:vAlign w:val="center"/>
          </w:tcPr>
          <w:p w14:paraId="31B0C4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6579DD8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符合环保要求</w:t>
            </w:r>
          </w:p>
        </w:tc>
        <w:tc>
          <w:tcPr>
            <w:tcW w:w="510" w:type="pct"/>
            <w:vMerge/>
            <w:vAlign w:val="center"/>
          </w:tcPr>
          <w:p w14:paraId="0F33AE8E" w14:textId="77777777" w:rsidR="002133E3" w:rsidRDefault="002133E3">
            <w:pPr>
              <w:jc w:val="center"/>
              <w:rPr>
                <w:rFonts w:ascii="Times New Roman" w:eastAsia="宋体" w:hAnsi="Times New Roman" w:cs="Times New Roman"/>
                <w:szCs w:val="21"/>
              </w:rPr>
            </w:pPr>
          </w:p>
        </w:tc>
      </w:tr>
      <w:tr w:rsidR="002133E3" w14:paraId="7D9E00A2" w14:textId="77777777">
        <w:trPr>
          <w:trHeight w:val="20"/>
        </w:trPr>
        <w:tc>
          <w:tcPr>
            <w:tcW w:w="762" w:type="pct"/>
            <w:vMerge w:val="restart"/>
            <w:vAlign w:val="center"/>
          </w:tcPr>
          <w:p w14:paraId="6940352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风险防治措施</w:t>
            </w:r>
          </w:p>
        </w:tc>
        <w:tc>
          <w:tcPr>
            <w:tcW w:w="1486" w:type="pct"/>
            <w:vAlign w:val="center"/>
          </w:tcPr>
          <w:p w14:paraId="5F44868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消防排水收集系统，包括管网及排水监控系统</w:t>
            </w:r>
          </w:p>
        </w:tc>
        <w:tc>
          <w:tcPr>
            <w:tcW w:w="778" w:type="pct"/>
            <w:vMerge w:val="restart"/>
            <w:vAlign w:val="center"/>
          </w:tcPr>
          <w:p w14:paraId="62EA46C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08" w:type="pct"/>
            <w:vMerge w:val="restart"/>
            <w:vAlign w:val="center"/>
          </w:tcPr>
          <w:p w14:paraId="50A9462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Merge w:val="restart"/>
            <w:vAlign w:val="center"/>
          </w:tcPr>
          <w:p w14:paraId="08F569E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将风险水平降低到可接受范围</w:t>
            </w:r>
          </w:p>
        </w:tc>
        <w:tc>
          <w:tcPr>
            <w:tcW w:w="510" w:type="pct"/>
            <w:vMerge/>
            <w:vAlign w:val="center"/>
          </w:tcPr>
          <w:p w14:paraId="49EBFEE2" w14:textId="77777777" w:rsidR="002133E3" w:rsidRDefault="002133E3">
            <w:pPr>
              <w:jc w:val="center"/>
              <w:rPr>
                <w:rFonts w:ascii="Times New Roman" w:eastAsia="宋体" w:hAnsi="Times New Roman" w:cs="Times New Roman"/>
                <w:szCs w:val="21"/>
              </w:rPr>
            </w:pPr>
          </w:p>
        </w:tc>
      </w:tr>
      <w:tr w:rsidR="002133E3" w14:paraId="19C43839" w14:textId="77777777">
        <w:trPr>
          <w:trHeight w:val="20"/>
        </w:trPr>
        <w:tc>
          <w:tcPr>
            <w:tcW w:w="762" w:type="pct"/>
            <w:vMerge/>
            <w:vAlign w:val="center"/>
          </w:tcPr>
          <w:p w14:paraId="318B5391" w14:textId="77777777" w:rsidR="002133E3" w:rsidRDefault="002133E3">
            <w:pPr>
              <w:jc w:val="center"/>
              <w:rPr>
                <w:rFonts w:ascii="Times New Roman" w:eastAsia="宋体" w:hAnsi="Times New Roman" w:cs="Times New Roman"/>
                <w:szCs w:val="21"/>
              </w:rPr>
            </w:pPr>
          </w:p>
        </w:tc>
        <w:tc>
          <w:tcPr>
            <w:tcW w:w="1486" w:type="pct"/>
            <w:vAlign w:val="center"/>
          </w:tcPr>
          <w:p w14:paraId="4911C0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建立事故风险紧急监测系统，特别是事故状况下对超标区的消减措施</w:t>
            </w:r>
          </w:p>
        </w:tc>
        <w:tc>
          <w:tcPr>
            <w:tcW w:w="778" w:type="pct"/>
            <w:vMerge/>
            <w:vAlign w:val="center"/>
          </w:tcPr>
          <w:p w14:paraId="490B8059" w14:textId="77777777" w:rsidR="002133E3" w:rsidRDefault="002133E3">
            <w:pPr>
              <w:jc w:val="center"/>
              <w:rPr>
                <w:rFonts w:ascii="Times New Roman" w:eastAsia="宋体" w:hAnsi="Times New Roman" w:cs="Times New Roman"/>
                <w:szCs w:val="21"/>
              </w:rPr>
            </w:pPr>
          </w:p>
        </w:tc>
        <w:tc>
          <w:tcPr>
            <w:tcW w:w="708" w:type="pct"/>
            <w:vMerge/>
            <w:vAlign w:val="center"/>
          </w:tcPr>
          <w:p w14:paraId="5947B484" w14:textId="77777777" w:rsidR="002133E3" w:rsidRDefault="002133E3">
            <w:pPr>
              <w:jc w:val="center"/>
              <w:rPr>
                <w:rFonts w:ascii="Times New Roman" w:eastAsia="宋体" w:hAnsi="Times New Roman" w:cs="Times New Roman"/>
                <w:szCs w:val="21"/>
              </w:rPr>
            </w:pPr>
          </w:p>
        </w:tc>
        <w:tc>
          <w:tcPr>
            <w:tcW w:w="756" w:type="pct"/>
            <w:vMerge/>
            <w:vAlign w:val="center"/>
          </w:tcPr>
          <w:p w14:paraId="2EE51228" w14:textId="77777777" w:rsidR="002133E3" w:rsidRDefault="002133E3">
            <w:pPr>
              <w:jc w:val="center"/>
              <w:rPr>
                <w:rFonts w:ascii="Times New Roman" w:eastAsia="宋体" w:hAnsi="Times New Roman" w:cs="Times New Roman"/>
                <w:szCs w:val="21"/>
              </w:rPr>
            </w:pPr>
          </w:p>
        </w:tc>
        <w:tc>
          <w:tcPr>
            <w:tcW w:w="510" w:type="pct"/>
            <w:vMerge/>
            <w:vAlign w:val="center"/>
          </w:tcPr>
          <w:p w14:paraId="24F65915" w14:textId="77777777" w:rsidR="002133E3" w:rsidRDefault="002133E3">
            <w:pPr>
              <w:jc w:val="center"/>
              <w:rPr>
                <w:rFonts w:ascii="Times New Roman" w:eastAsia="宋体" w:hAnsi="Times New Roman" w:cs="Times New Roman"/>
                <w:szCs w:val="21"/>
              </w:rPr>
            </w:pPr>
          </w:p>
        </w:tc>
      </w:tr>
      <w:tr w:rsidR="002133E3" w14:paraId="7A588B2E" w14:textId="77777777">
        <w:trPr>
          <w:trHeight w:val="20"/>
        </w:trPr>
        <w:tc>
          <w:tcPr>
            <w:tcW w:w="762" w:type="pct"/>
            <w:vMerge/>
            <w:vAlign w:val="center"/>
          </w:tcPr>
          <w:p w14:paraId="17ADA206" w14:textId="77777777" w:rsidR="002133E3" w:rsidRDefault="002133E3">
            <w:pPr>
              <w:jc w:val="center"/>
              <w:rPr>
                <w:rFonts w:ascii="Times New Roman" w:eastAsia="宋体" w:hAnsi="Times New Roman" w:cs="Times New Roman"/>
                <w:szCs w:val="21"/>
              </w:rPr>
            </w:pPr>
          </w:p>
        </w:tc>
        <w:tc>
          <w:tcPr>
            <w:tcW w:w="1486" w:type="pct"/>
            <w:vAlign w:val="center"/>
          </w:tcPr>
          <w:p w14:paraId="7B2D864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报警系统等</w:t>
            </w:r>
          </w:p>
        </w:tc>
        <w:tc>
          <w:tcPr>
            <w:tcW w:w="778" w:type="pct"/>
            <w:vMerge/>
            <w:vAlign w:val="center"/>
          </w:tcPr>
          <w:p w14:paraId="1C868581" w14:textId="77777777" w:rsidR="002133E3" w:rsidRDefault="002133E3">
            <w:pPr>
              <w:jc w:val="center"/>
              <w:rPr>
                <w:rFonts w:ascii="Times New Roman" w:eastAsia="宋体" w:hAnsi="Times New Roman" w:cs="Times New Roman"/>
                <w:szCs w:val="21"/>
              </w:rPr>
            </w:pPr>
          </w:p>
        </w:tc>
        <w:tc>
          <w:tcPr>
            <w:tcW w:w="708" w:type="pct"/>
            <w:vMerge/>
            <w:vAlign w:val="center"/>
          </w:tcPr>
          <w:p w14:paraId="6FBC62A1" w14:textId="77777777" w:rsidR="002133E3" w:rsidRDefault="002133E3">
            <w:pPr>
              <w:jc w:val="center"/>
              <w:rPr>
                <w:rFonts w:ascii="Times New Roman" w:eastAsia="宋体" w:hAnsi="Times New Roman" w:cs="Times New Roman"/>
                <w:szCs w:val="21"/>
              </w:rPr>
            </w:pPr>
          </w:p>
        </w:tc>
        <w:tc>
          <w:tcPr>
            <w:tcW w:w="756" w:type="pct"/>
            <w:vMerge/>
            <w:vAlign w:val="center"/>
          </w:tcPr>
          <w:p w14:paraId="2920A03E" w14:textId="77777777" w:rsidR="002133E3" w:rsidRDefault="002133E3">
            <w:pPr>
              <w:jc w:val="center"/>
              <w:rPr>
                <w:rFonts w:ascii="Times New Roman" w:eastAsia="宋体" w:hAnsi="Times New Roman" w:cs="Times New Roman"/>
                <w:szCs w:val="21"/>
              </w:rPr>
            </w:pPr>
          </w:p>
        </w:tc>
        <w:tc>
          <w:tcPr>
            <w:tcW w:w="510" w:type="pct"/>
            <w:vMerge/>
            <w:vAlign w:val="center"/>
          </w:tcPr>
          <w:p w14:paraId="63B037C6" w14:textId="77777777" w:rsidR="002133E3" w:rsidRDefault="002133E3">
            <w:pPr>
              <w:jc w:val="center"/>
              <w:rPr>
                <w:rFonts w:ascii="Times New Roman" w:eastAsia="宋体" w:hAnsi="Times New Roman" w:cs="Times New Roman"/>
                <w:szCs w:val="21"/>
              </w:rPr>
            </w:pPr>
          </w:p>
        </w:tc>
      </w:tr>
      <w:tr w:rsidR="002133E3" w14:paraId="2C58AFDC" w14:textId="77777777">
        <w:trPr>
          <w:trHeight w:val="299"/>
        </w:trPr>
        <w:tc>
          <w:tcPr>
            <w:tcW w:w="762" w:type="pct"/>
            <w:vMerge/>
            <w:vAlign w:val="center"/>
          </w:tcPr>
          <w:p w14:paraId="31E06543" w14:textId="77777777" w:rsidR="002133E3" w:rsidRDefault="002133E3">
            <w:pPr>
              <w:jc w:val="center"/>
              <w:rPr>
                <w:rFonts w:ascii="Times New Roman" w:eastAsia="宋体" w:hAnsi="Times New Roman" w:cs="Times New Roman"/>
                <w:szCs w:val="21"/>
              </w:rPr>
            </w:pPr>
          </w:p>
        </w:tc>
        <w:tc>
          <w:tcPr>
            <w:tcW w:w="1486" w:type="pct"/>
            <w:vAlign w:val="center"/>
          </w:tcPr>
          <w:p w14:paraId="0899976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其它风险防范措施</w:t>
            </w:r>
          </w:p>
        </w:tc>
        <w:tc>
          <w:tcPr>
            <w:tcW w:w="778" w:type="pct"/>
            <w:vMerge/>
            <w:vAlign w:val="center"/>
          </w:tcPr>
          <w:p w14:paraId="07531382" w14:textId="77777777" w:rsidR="002133E3" w:rsidRDefault="002133E3">
            <w:pPr>
              <w:jc w:val="center"/>
              <w:rPr>
                <w:rFonts w:ascii="Times New Roman" w:eastAsia="宋体" w:hAnsi="Times New Roman" w:cs="Times New Roman"/>
                <w:szCs w:val="21"/>
              </w:rPr>
            </w:pPr>
          </w:p>
        </w:tc>
        <w:tc>
          <w:tcPr>
            <w:tcW w:w="708" w:type="pct"/>
            <w:vMerge/>
            <w:vAlign w:val="center"/>
          </w:tcPr>
          <w:p w14:paraId="19200CB7" w14:textId="77777777" w:rsidR="002133E3" w:rsidRDefault="002133E3">
            <w:pPr>
              <w:jc w:val="center"/>
              <w:rPr>
                <w:rFonts w:ascii="Times New Roman" w:eastAsia="宋体" w:hAnsi="Times New Roman" w:cs="Times New Roman"/>
                <w:szCs w:val="21"/>
              </w:rPr>
            </w:pPr>
          </w:p>
        </w:tc>
        <w:tc>
          <w:tcPr>
            <w:tcW w:w="756" w:type="pct"/>
            <w:vMerge/>
            <w:vAlign w:val="center"/>
          </w:tcPr>
          <w:p w14:paraId="7D947B94" w14:textId="77777777" w:rsidR="002133E3" w:rsidRDefault="002133E3">
            <w:pPr>
              <w:jc w:val="center"/>
              <w:rPr>
                <w:rFonts w:ascii="Times New Roman" w:eastAsia="宋体" w:hAnsi="Times New Roman" w:cs="Times New Roman"/>
                <w:szCs w:val="21"/>
              </w:rPr>
            </w:pPr>
          </w:p>
        </w:tc>
        <w:tc>
          <w:tcPr>
            <w:tcW w:w="510" w:type="pct"/>
            <w:vMerge/>
            <w:vAlign w:val="center"/>
          </w:tcPr>
          <w:p w14:paraId="4455D853" w14:textId="77777777" w:rsidR="002133E3" w:rsidRDefault="002133E3">
            <w:pPr>
              <w:jc w:val="center"/>
              <w:rPr>
                <w:rFonts w:ascii="Times New Roman" w:eastAsia="宋体" w:hAnsi="Times New Roman" w:cs="Times New Roman"/>
                <w:szCs w:val="21"/>
              </w:rPr>
            </w:pPr>
          </w:p>
        </w:tc>
      </w:tr>
      <w:tr w:rsidR="002133E3" w14:paraId="7574B4AB" w14:textId="77777777">
        <w:trPr>
          <w:trHeight w:val="20"/>
        </w:trPr>
        <w:tc>
          <w:tcPr>
            <w:tcW w:w="2248" w:type="pct"/>
            <w:gridSpan w:val="2"/>
            <w:vAlign w:val="center"/>
          </w:tcPr>
          <w:p w14:paraId="615F5E3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环保投资</w:t>
            </w:r>
          </w:p>
        </w:tc>
        <w:tc>
          <w:tcPr>
            <w:tcW w:w="778" w:type="pct"/>
            <w:vAlign w:val="center"/>
          </w:tcPr>
          <w:p w14:paraId="22AF49C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90</w:t>
            </w:r>
          </w:p>
        </w:tc>
        <w:tc>
          <w:tcPr>
            <w:tcW w:w="708" w:type="pct"/>
            <w:vAlign w:val="center"/>
          </w:tcPr>
          <w:p w14:paraId="39ADA47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削减</w:t>
            </w:r>
            <w:r>
              <w:rPr>
                <w:rFonts w:ascii="Times New Roman" w:eastAsia="宋体" w:hAnsi="Times New Roman" w:cs="Times New Roman"/>
                <w:szCs w:val="21"/>
              </w:rPr>
              <w:t>208.822</w:t>
            </w:r>
          </w:p>
        </w:tc>
        <w:tc>
          <w:tcPr>
            <w:tcW w:w="756" w:type="pct"/>
            <w:vAlign w:val="center"/>
          </w:tcPr>
          <w:p w14:paraId="558C49C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10" w:type="pct"/>
            <w:vAlign w:val="center"/>
          </w:tcPr>
          <w:p w14:paraId="01F6D5C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5C3F6795" w14:textId="77777777">
        <w:trPr>
          <w:trHeight w:val="20"/>
        </w:trPr>
        <w:tc>
          <w:tcPr>
            <w:tcW w:w="2248" w:type="pct"/>
            <w:gridSpan w:val="2"/>
            <w:vAlign w:val="center"/>
          </w:tcPr>
          <w:p w14:paraId="194401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环保投资占总投资比例（</w:t>
            </w:r>
            <w:r>
              <w:rPr>
                <w:rFonts w:ascii="Times New Roman" w:eastAsia="宋体" w:hAnsi="Times New Roman" w:cs="Times New Roman"/>
                <w:szCs w:val="21"/>
              </w:rPr>
              <w:t>%</w:t>
            </w:r>
            <w:r>
              <w:rPr>
                <w:rFonts w:ascii="Times New Roman" w:eastAsia="宋体" w:hAnsi="Times New Roman" w:cs="Times New Roman"/>
                <w:szCs w:val="21"/>
              </w:rPr>
              <w:t>）</w:t>
            </w:r>
          </w:p>
        </w:tc>
        <w:tc>
          <w:tcPr>
            <w:tcW w:w="778" w:type="pct"/>
            <w:vAlign w:val="center"/>
          </w:tcPr>
          <w:p w14:paraId="6107F1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1.96%</w:t>
            </w:r>
          </w:p>
        </w:tc>
        <w:tc>
          <w:tcPr>
            <w:tcW w:w="708" w:type="pct"/>
            <w:vAlign w:val="center"/>
          </w:tcPr>
          <w:p w14:paraId="08BBEAD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2C2C38D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10" w:type="pct"/>
            <w:vAlign w:val="center"/>
          </w:tcPr>
          <w:p w14:paraId="378DF6B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bl>
    <w:p w14:paraId="07759E71" w14:textId="77777777" w:rsidR="002133E3" w:rsidRDefault="002133E3">
      <w:pPr>
        <w:pStyle w:val="affff3"/>
        <w:ind w:firstLineChars="0" w:firstLine="0"/>
        <w:outlineLvl w:val="0"/>
        <w:rPr>
          <w:rFonts w:ascii="Times New Roman" w:eastAsia="宋体" w:hAnsi="Times New Roman" w:cs="Times New Roman"/>
          <w:b/>
          <w:sz w:val="30"/>
          <w:szCs w:val="30"/>
        </w:rPr>
        <w:sectPr w:rsidR="002133E3">
          <w:pgSz w:w="11906" w:h="16838"/>
          <w:pgMar w:top="1134" w:right="1134" w:bottom="1134" w:left="1134" w:header="851" w:footer="992" w:gutter="0"/>
          <w:cols w:space="425"/>
          <w:docGrid w:type="lines" w:linePitch="312"/>
        </w:sectPr>
      </w:pPr>
    </w:p>
    <w:p w14:paraId="464C0A53" w14:textId="77777777" w:rsidR="002133E3" w:rsidRDefault="00C22CFA">
      <w:pPr>
        <w:pStyle w:val="affff3"/>
        <w:numPr>
          <w:ilvl w:val="0"/>
          <w:numId w:val="2"/>
        </w:numPr>
        <w:ind w:left="0" w:firstLineChars="0" w:firstLine="0"/>
        <w:outlineLvl w:val="0"/>
        <w:rPr>
          <w:rFonts w:ascii="Times New Roman" w:eastAsia="宋体" w:hAnsi="Times New Roman" w:cs="Times New Roman"/>
          <w:b/>
          <w:sz w:val="30"/>
          <w:szCs w:val="30"/>
        </w:rPr>
      </w:pPr>
      <w:bookmarkStart w:id="94" w:name="_Toc47604360"/>
      <w:r>
        <w:rPr>
          <w:rFonts w:ascii="Times New Roman" w:eastAsia="宋体" w:hAnsi="Times New Roman" w:cs="Times New Roman"/>
          <w:b/>
          <w:sz w:val="30"/>
          <w:szCs w:val="30"/>
        </w:rPr>
        <w:lastRenderedPageBreak/>
        <w:t>环境影响经济损益分析</w:t>
      </w:r>
      <w:bookmarkEnd w:id="94"/>
    </w:p>
    <w:p w14:paraId="6E34F19C"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r>
        <w:rPr>
          <w:rFonts w:ascii="Times New Roman" w:eastAsia="宋体" w:hAnsi="Times New Roman" w:cs="Times New Roman"/>
          <w:b/>
          <w:sz w:val="30"/>
          <w:szCs w:val="30"/>
        </w:rPr>
        <w:t>本项目对环境的正面影响</w:t>
      </w:r>
    </w:p>
    <w:p w14:paraId="0025D740" w14:textId="77777777" w:rsidR="002133E3" w:rsidRDefault="00C22CFA">
      <w:pPr>
        <w:autoSpaceDE w:val="0"/>
        <w:autoSpaceDN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本工程用于环境保护的建设投资约为</w:t>
      </w:r>
      <w:r>
        <w:rPr>
          <w:rFonts w:ascii="Times New Roman" w:eastAsia="宋体" w:hAnsi="Times New Roman" w:cs="Times New Roman"/>
          <w:sz w:val="28"/>
          <w:szCs w:val="28"/>
        </w:rPr>
        <w:t>60</w:t>
      </w:r>
      <w:r>
        <w:rPr>
          <w:rFonts w:ascii="Times New Roman" w:eastAsia="宋体" w:hAnsi="Times New Roman" w:cs="Times New Roman"/>
          <w:sz w:val="28"/>
          <w:szCs w:val="28"/>
        </w:rPr>
        <w:t>万元，占工程总投资</w:t>
      </w:r>
      <w:r>
        <w:rPr>
          <w:rFonts w:ascii="Times New Roman" w:eastAsia="宋体" w:hAnsi="Times New Roman" w:cs="Times New Roman"/>
          <w:sz w:val="28"/>
          <w:szCs w:val="28"/>
        </w:rPr>
        <w:t>4590</w:t>
      </w:r>
      <w:r>
        <w:rPr>
          <w:rFonts w:ascii="Times New Roman" w:eastAsia="宋体" w:hAnsi="Times New Roman" w:cs="Times New Roman"/>
          <w:sz w:val="28"/>
          <w:szCs w:val="28"/>
        </w:rPr>
        <w:t>万元的</w:t>
      </w:r>
      <w:r>
        <w:rPr>
          <w:rFonts w:ascii="Times New Roman" w:eastAsia="宋体" w:hAnsi="Times New Roman" w:cs="Times New Roman"/>
          <w:sz w:val="28"/>
          <w:szCs w:val="28"/>
        </w:rPr>
        <w:t>1.31%</w:t>
      </w:r>
      <w:r>
        <w:rPr>
          <w:rFonts w:ascii="Times New Roman" w:eastAsia="宋体" w:hAnsi="Times New Roman" w:cs="Times New Roman"/>
          <w:sz w:val="28"/>
          <w:szCs w:val="28"/>
        </w:rPr>
        <w:t>。这些措施对本项目建设和运营阶段保护环境，减轻工程建设带来的不利影响将起到积极作用。</w:t>
      </w:r>
    </w:p>
    <w:p w14:paraId="46BF632E" w14:textId="77777777" w:rsidR="002133E3" w:rsidRDefault="00C22CFA">
      <w:pPr>
        <w:autoSpaceDE w:val="0"/>
        <w:autoSpaceDN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8"/>
        </w:rPr>
        <w:t>本项目对现有酒精生产线进行技术改造，改造后蒸汽用量削减</w:t>
      </w:r>
      <w:r>
        <w:rPr>
          <w:rFonts w:ascii="Times New Roman" w:eastAsia="宋体" w:hAnsi="Times New Roman" w:cs="Times New Roman"/>
          <w:sz w:val="28"/>
          <w:szCs w:val="28"/>
        </w:rPr>
        <w:t>43000t/a</w:t>
      </w:r>
      <w:r>
        <w:rPr>
          <w:rFonts w:ascii="Times New Roman" w:eastAsia="宋体" w:hAnsi="Times New Roman" w:cs="Times New Roman"/>
          <w:sz w:val="28"/>
          <w:szCs w:val="28"/>
        </w:rPr>
        <w:t>，蒸汽单价按</w:t>
      </w:r>
      <w:r>
        <w:rPr>
          <w:rFonts w:ascii="Times New Roman" w:eastAsia="宋体" w:hAnsi="Times New Roman" w:cs="Times New Roman"/>
          <w:sz w:val="28"/>
          <w:szCs w:val="28"/>
        </w:rPr>
        <w:t>250</w:t>
      </w:r>
      <w:r>
        <w:rPr>
          <w:rFonts w:ascii="Times New Roman" w:eastAsia="宋体" w:hAnsi="Times New Roman" w:cs="Times New Roman"/>
          <w:sz w:val="28"/>
          <w:szCs w:val="28"/>
        </w:rPr>
        <w:t>元</w:t>
      </w:r>
      <w:r>
        <w:rPr>
          <w:rFonts w:ascii="Times New Roman" w:eastAsia="宋体" w:hAnsi="Times New Roman" w:cs="Times New Roman"/>
          <w:sz w:val="28"/>
          <w:szCs w:val="28"/>
        </w:rPr>
        <w:t>/t</w:t>
      </w:r>
      <w:r>
        <w:rPr>
          <w:rFonts w:ascii="Times New Roman" w:eastAsia="宋体" w:hAnsi="Times New Roman" w:cs="Times New Roman"/>
          <w:sz w:val="28"/>
          <w:szCs w:val="28"/>
        </w:rPr>
        <w:t>计，经济效益</w:t>
      </w:r>
      <w:r>
        <w:rPr>
          <w:rFonts w:ascii="Times New Roman" w:eastAsia="宋体" w:hAnsi="Times New Roman" w:cs="Times New Roman"/>
          <w:sz w:val="28"/>
          <w:szCs w:val="28"/>
        </w:rPr>
        <w:t>1075</w:t>
      </w:r>
      <w:r>
        <w:rPr>
          <w:rFonts w:ascii="Times New Roman" w:eastAsia="宋体" w:hAnsi="Times New Roman" w:cs="Times New Roman"/>
          <w:sz w:val="28"/>
          <w:szCs w:val="24"/>
        </w:rPr>
        <w:t>万元</w:t>
      </w:r>
      <w:r>
        <w:rPr>
          <w:rFonts w:ascii="Times New Roman" w:eastAsia="宋体" w:hAnsi="Times New Roman" w:cs="Times New Roman"/>
          <w:sz w:val="28"/>
          <w:szCs w:val="24"/>
        </w:rPr>
        <w:t>/a</w:t>
      </w:r>
      <w:r>
        <w:rPr>
          <w:rFonts w:ascii="Times New Roman" w:eastAsia="宋体" w:hAnsi="Times New Roman" w:cs="Times New Roman"/>
          <w:sz w:val="28"/>
          <w:szCs w:val="24"/>
        </w:rPr>
        <w:t>。</w:t>
      </w:r>
    </w:p>
    <w:p w14:paraId="374CA6A4" w14:textId="77777777" w:rsidR="002133E3" w:rsidRDefault="00C22CFA">
      <w:pPr>
        <w:autoSpaceDE w:val="0"/>
        <w:autoSpaceDN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4"/>
        </w:rPr>
        <w:t>由于接触加热使用蒸汽量降低，相应废水排放量减少，根据工程分析可知，本项目废水产生量削减量</w:t>
      </w:r>
      <w:r>
        <w:rPr>
          <w:rFonts w:ascii="Times New Roman" w:eastAsia="宋体" w:hAnsi="Times New Roman" w:cs="Times New Roman"/>
          <w:sz w:val="28"/>
          <w:szCs w:val="24"/>
        </w:rPr>
        <w:t xml:space="preserve">172460 </w:t>
      </w:r>
      <w:r>
        <w:rPr>
          <w:rFonts w:ascii="Times New Roman" w:eastAsia="宋体" w:hAnsi="Times New Roman" w:cs="Times New Roman"/>
          <w:sz w:val="28"/>
          <w:szCs w:val="28"/>
        </w:rPr>
        <w:t>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sz w:val="28"/>
          <w:szCs w:val="28"/>
        </w:rPr>
        <w:t>，</w:t>
      </w:r>
      <w:r>
        <w:rPr>
          <w:rFonts w:ascii="Times New Roman" w:eastAsia="宋体" w:hAnsi="Times New Roman" w:cs="Times New Roman" w:hint="eastAsia"/>
          <w:sz w:val="28"/>
          <w:szCs w:val="28"/>
        </w:rPr>
        <w:t>公司污水站吨水处理成本为</w:t>
      </w:r>
      <w:r>
        <w:rPr>
          <w:rFonts w:ascii="Times New Roman" w:eastAsia="宋体" w:hAnsi="Times New Roman" w:cs="Times New Roman"/>
          <w:sz w:val="28"/>
          <w:szCs w:val="28"/>
        </w:rPr>
        <w:t>13</w:t>
      </w:r>
      <w:r>
        <w:rPr>
          <w:rFonts w:ascii="Times New Roman" w:eastAsia="宋体" w:hAnsi="Times New Roman" w:cs="Times New Roman"/>
          <w:sz w:val="28"/>
          <w:szCs w:val="28"/>
        </w:rPr>
        <w:t>元</w:t>
      </w:r>
      <w:r>
        <w:rPr>
          <w:rFonts w:ascii="Times New Roman" w:eastAsia="宋体" w:hAnsi="Times New Roman" w:cs="Times New Roman" w:hint="eastAsia"/>
          <w:sz w:val="28"/>
          <w:szCs w:val="28"/>
        </w:rPr>
        <w:t>，</w:t>
      </w:r>
      <w:r>
        <w:rPr>
          <w:rFonts w:ascii="Times New Roman" w:eastAsia="宋体" w:hAnsi="Times New Roman" w:cs="Times New Roman"/>
          <w:sz w:val="28"/>
          <w:szCs w:val="28"/>
        </w:rPr>
        <w:t>每年将减少处理费用约</w:t>
      </w:r>
      <w:r>
        <w:rPr>
          <w:rFonts w:ascii="Times New Roman" w:eastAsia="宋体" w:hAnsi="Times New Roman" w:cs="Times New Roman"/>
          <w:sz w:val="28"/>
          <w:szCs w:val="28"/>
        </w:rPr>
        <w:t>224.2</w:t>
      </w:r>
      <w:r>
        <w:rPr>
          <w:rFonts w:ascii="Times New Roman" w:eastAsia="宋体" w:hAnsi="Times New Roman" w:cs="Times New Roman"/>
          <w:sz w:val="28"/>
          <w:szCs w:val="28"/>
        </w:rPr>
        <w:t>万元。</w:t>
      </w:r>
    </w:p>
    <w:p w14:paraId="12A1BC05" w14:textId="77777777" w:rsidR="002133E3" w:rsidRDefault="00C22CFA">
      <w:pPr>
        <w:autoSpaceDE w:val="0"/>
        <w:autoSpaceDN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削减水污染物环境保护税计算情况见表</w:t>
      </w:r>
      <w:r>
        <w:rPr>
          <w:rFonts w:ascii="Times New Roman" w:eastAsia="宋体" w:hAnsi="Times New Roman" w:cs="Times New Roman"/>
          <w:sz w:val="28"/>
          <w:szCs w:val="28"/>
        </w:rPr>
        <w:t>8.1-1</w:t>
      </w:r>
      <w:r>
        <w:rPr>
          <w:rFonts w:ascii="Times New Roman" w:eastAsia="宋体" w:hAnsi="Times New Roman" w:cs="Times New Roman"/>
          <w:sz w:val="28"/>
          <w:szCs w:val="28"/>
        </w:rPr>
        <w:t>。</w:t>
      </w:r>
    </w:p>
    <w:p w14:paraId="61B6C882" w14:textId="77777777" w:rsidR="002133E3" w:rsidRDefault="00C22CFA">
      <w:pPr>
        <w:spacing w:line="440" w:lineRule="exact"/>
        <w:jc w:val="center"/>
        <w:rPr>
          <w:rFonts w:ascii="Times New Roman" w:eastAsia="宋体" w:hAnsi="Times New Roman" w:cs="Times New Roman"/>
          <w:b/>
          <w:sz w:val="24"/>
          <w:szCs w:val="32"/>
        </w:rPr>
      </w:pPr>
      <w:r>
        <w:rPr>
          <w:rFonts w:ascii="Times New Roman" w:eastAsia="宋体" w:hAnsi="Times New Roman" w:cs="Times New Roman"/>
          <w:b/>
          <w:sz w:val="24"/>
          <w:szCs w:val="32"/>
        </w:rPr>
        <w:t>表</w:t>
      </w:r>
      <w:r>
        <w:rPr>
          <w:rFonts w:ascii="Times New Roman" w:eastAsia="宋体" w:hAnsi="Times New Roman" w:cs="Times New Roman"/>
          <w:b/>
          <w:sz w:val="24"/>
          <w:szCs w:val="32"/>
        </w:rPr>
        <w:t xml:space="preserve">8.1-1  </w:t>
      </w:r>
      <w:r>
        <w:rPr>
          <w:rFonts w:ascii="Times New Roman" w:eastAsia="宋体" w:hAnsi="Times New Roman" w:cs="Times New Roman"/>
          <w:b/>
          <w:sz w:val="24"/>
          <w:szCs w:val="32"/>
        </w:rPr>
        <w:t>削减水污染物环境保护税计算表</w:t>
      </w:r>
    </w:p>
    <w:tbl>
      <w:tblPr>
        <w:tblW w:w="5000" w:type="pct"/>
        <w:tblLook w:val="04A0" w:firstRow="1" w:lastRow="0" w:firstColumn="1" w:lastColumn="0" w:noHBand="0" w:noVBand="1"/>
      </w:tblPr>
      <w:tblGrid>
        <w:gridCol w:w="959"/>
        <w:gridCol w:w="1701"/>
        <w:gridCol w:w="1971"/>
        <w:gridCol w:w="1431"/>
        <w:gridCol w:w="2410"/>
        <w:gridCol w:w="1382"/>
      </w:tblGrid>
      <w:tr w:rsidR="002133E3" w14:paraId="7BFE1919" w14:textId="77777777">
        <w:trPr>
          <w:trHeight w:val="285"/>
        </w:trPr>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3C37020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w:t>
            </w:r>
          </w:p>
        </w:tc>
        <w:tc>
          <w:tcPr>
            <w:tcW w:w="863" w:type="pct"/>
            <w:tcBorders>
              <w:top w:val="single" w:sz="4" w:space="0" w:color="auto"/>
              <w:left w:val="nil"/>
              <w:bottom w:val="single" w:sz="4" w:space="0" w:color="auto"/>
              <w:right w:val="single" w:sz="4" w:space="0" w:color="auto"/>
            </w:tcBorders>
            <w:shd w:val="clear" w:color="auto" w:fill="auto"/>
            <w:vAlign w:val="center"/>
          </w:tcPr>
          <w:p w14:paraId="2554FE5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本项目排放量</w:t>
            </w:r>
            <w:r>
              <w:rPr>
                <w:rFonts w:ascii="Times New Roman" w:eastAsia="宋体" w:hAnsi="Times New Roman" w:cs="Times New Roman"/>
                <w:b/>
                <w:bCs/>
                <w:color w:val="000000"/>
                <w:kern w:val="0"/>
                <w:szCs w:val="21"/>
              </w:rPr>
              <w:t>(t)</w:t>
            </w:r>
          </w:p>
        </w:tc>
        <w:tc>
          <w:tcPr>
            <w:tcW w:w="1000" w:type="pct"/>
            <w:tcBorders>
              <w:top w:val="single" w:sz="4" w:space="0" w:color="auto"/>
              <w:left w:val="nil"/>
              <w:bottom w:val="single" w:sz="4" w:space="0" w:color="auto"/>
              <w:right w:val="single" w:sz="4" w:space="0" w:color="auto"/>
            </w:tcBorders>
            <w:shd w:val="clear" w:color="auto" w:fill="auto"/>
            <w:vAlign w:val="center"/>
          </w:tcPr>
          <w:p w14:paraId="48AD190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污染当量值（</w:t>
            </w:r>
            <w:r>
              <w:rPr>
                <w:rFonts w:ascii="Times New Roman" w:eastAsia="宋体" w:hAnsi="Times New Roman" w:cs="Times New Roman"/>
                <w:b/>
                <w:bCs/>
                <w:color w:val="000000"/>
                <w:kern w:val="0"/>
                <w:szCs w:val="21"/>
              </w:rPr>
              <w:t>kg</w:t>
            </w:r>
            <w:r>
              <w:rPr>
                <w:rFonts w:ascii="Times New Roman" w:eastAsia="宋体" w:hAnsi="Times New Roman" w:cs="Times New Roman"/>
                <w:b/>
                <w:bCs/>
                <w:color w:val="000000"/>
                <w:kern w:val="0"/>
                <w:szCs w:val="21"/>
              </w:rPr>
              <w:t>）</w:t>
            </w:r>
          </w:p>
        </w:tc>
        <w:tc>
          <w:tcPr>
            <w:tcW w:w="726" w:type="pct"/>
            <w:tcBorders>
              <w:top w:val="single" w:sz="4" w:space="0" w:color="auto"/>
              <w:left w:val="nil"/>
              <w:bottom w:val="single" w:sz="4" w:space="0" w:color="auto"/>
              <w:right w:val="single" w:sz="4" w:space="0" w:color="auto"/>
            </w:tcBorders>
            <w:shd w:val="clear" w:color="auto" w:fill="auto"/>
            <w:vAlign w:val="center"/>
          </w:tcPr>
          <w:p w14:paraId="33A5225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污染当量数</w:t>
            </w:r>
          </w:p>
        </w:tc>
        <w:tc>
          <w:tcPr>
            <w:tcW w:w="1223" w:type="pct"/>
            <w:tcBorders>
              <w:top w:val="single" w:sz="4" w:space="0" w:color="auto"/>
              <w:left w:val="nil"/>
              <w:bottom w:val="single" w:sz="4" w:space="0" w:color="auto"/>
              <w:right w:val="single" w:sz="4" w:space="0" w:color="auto"/>
            </w:tcBorders>
            <w:shd w:val="clear" w:color="auto" w:fill="auto"/>
            <w:vAlign w:val="center"/>
          </w:tcPr>
          <w:p w14:paraId="612246E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每一当量应税税额（元）</w:t>
            </w:r>
          </w:p>
        </w:tc>
        <w:tc>
          <w:tcPr>
            <w:tcW w:w="701" w:type="pct"/>
            <w:tcBorders>
              <w:top w:val="single" w:sz="4" w:space="0" w:color="auto"/>
              <w:left w:val="nil"/>
              <w:bottom w:val="single" w:sz="4" w:space="0" w:color="auto"/>
              <w:right w:val="single" w:sz="4" w:space="0" w:color="auto"/>
            </w:tcBorders>
            <w:shd w:val="clear" w:color="auto" w:fill="auto"/>
            <w:vAlign w:val="center"/>
          </w:tcPr>
          <w:p w14:paraId="7B07F99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征收额（元）</w:t>
            </w:r>
          </w:p>
        </w:tc>
      </w:tr>
      <w:tr w:rsidR="002133E3" w14:paraId="10EE344E" w14:textId="77777777">
        <w:trPr>
          <w:trHeight w:val="315"/>
        </w:trPr>
        <w:tc>
          <w:tcPr>
            <w:tcW w:w="487" w:type="pct"/>
            <w:tcBorders>
              <w:top w:val="nil"/>
              <w:left w:val="single" w:sz="4" w:space="0" w:color="auto"/>
              <w:bottom w:val="single" w:sz="4" w:space="0" w:color="auto"/>
              <w:right w:val="single" w:sz="4" w:space="0" w:color="auto"/>
            </w:tcBorders>
            <w:shd w:val="clear" w:color="auto" w:fill="auto"/>
            <w:vAlign w:val="center"/>
          </w:tcPr>
          <w:p w14:paraId="5E15C3C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COD</w:t>
            </w:r>
          </w:p>
        </w:tc>
        <w:tc>
          <w:tcPr>
            <w:tcW w:w="863" w:type="pct"/>
            <w:tcBorders>
              <w:top w:val="nil"/>
              <w:left w:val="nil"/>
              <w:bottom w:val="single" w:sz="4" w:space="0" w:color="auto"/>
              <w:right w:val="single" w:sz="4" w:space="0" w:color="auto"/>
            </w:tcBorders>
            <w:shd w:val="clear" w:color="auto" w:fill="auto"/>
            <w:vAlign w:val="center"/>
          </w:tcPr>
          <w:p w14:paraId="040562B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69.04</w:t>
            </w:r>
          </w:p>
        </w:tc>
        <w:tc>
          <w:tcPr>
            <w:tcW w:w="1000" w:type="pct"/>
            <w:tcBorders>
              <w:top w:val="nil"/>
              <w:left w:val="nil"/>
              <w:bottom w:val="single" w:sz="4" w:space="0" w:color="auto"/>
              <w:right w:val="single" w:sz="4" w:space="0" w:color="auto"/>
            </w:tcBorders>
            <w:shd w:val="clear" w:color="auto" w:fill="auto"/>
            <w:vAlign w:val="center"/>
          </w:tcPr>
          <w:p w14:paraId="5DA8FF1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p>
        </w:tc>
        <w:tc>
          <w:tcPr>
            <w:tcW w:w="726" w:type="pct"/>
            <w:tcBorders>
              <w:top w:val="nil"/>
              <w:left w:val="nil"/>
              <w:bottom w:val="single" w:sz="4" w:space="0" w:color="auto"/>
              <w:right w:val="single" w:sz="4" w:space="0" w:color="auto"/>
            </w:tcBorders>
            <w:shd w:val="clear" w:color="auto" w:fill="auto"/>
            <w:vAlign w:val="center"/>
          </w:tcPr>
          <w:p w14:paraId="374FE6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69040</w:t>
            </w:r>
          </w:p>
        </w:tc>
        <w:tc>
          <w:tcPr>
            <w:tcW w:w="1223" w:type="pct"/>
            <w:vMerge w:val="restart"/>
            <w:tcBorders>
              <w:top w:val="nil"/>
              <w:left w:val="single" w:sz="4" w:space="0" w:color="auto"/>
              <w:bottom w:val="single" w:sz="4" w:space="0" w:color="000000"/>
              <w:right w:val="single" w:sz="4" w:space="0" w:color="auto"/>
            </w:tcBorders>
            <w:shd w:val="clear" w:color="auto" w:fill="auto"/>
            <w:vAlign w:val="center"/>
          </w:tcPr>
          <w:p w14:paraId="0F43385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w:t>
            </w:r>
          </w:p>
        </w:tc>
        <w:tc>
          <w:tcPr>
            <w:tcW w:w="701" w:type="pct"/>
            <w:tcBorders>
              <w:top w:val="nil"/>
              <w:left w:val="nil"/>
              <w:bottom w:val="single" w:sz="4" w:space="0" w:color="auto"/>
              <w:right w:val="single" w:sz="4" w:space="0" w:color="auto"/>
            </w:tcBorders>
            <w:shd w:val="clear" w:color="auto" w:fill="auto"/>
            <w:vAlign w:val="center"/>
          </w:tcPr>
          <w:p w14:paraId="20D4708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966560</w:t>
            </w:r>
          </w:p>
        </w:tc>
      </w:tr>
      <w:tr w:rsidR="002133E3" w14:paraId="1CCD5662" w14:textId="77777777">
        <w:trPr>
          <w:trHeight w:val="285"/>
        </w:trPr>
        <w:tc>
          <w:tcPr>
            <w:tcW w:w="487" w:type="pct"/>
            <w:tcBorders>
              <w:top w:val="nil"/>
              <w:left w:val="single" w:sz="4" w:space="0" w:color="auto"/>
              <w:bottom w:val="single" w:sz="4" w:space="0" w:color="auto"/>
              <w:right w:val="single" w:sz="4" w:space="0" w:color="auto"/>
            </w:tcBorders>
            <w:shd w:val="clear" w:color="auto" w:fill="auto"/>
            <w:vAlign w:val="center"/>
          </w:tcPr>
          <w:p w14:paraId="1D5943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SS</w:t>
            </w:r>
          </w:p>
        </w:tc>
        <w:tc>
          <w:tcPr>
            <w:tcW w:w="863" w:type="pct"/>
            <w:tcBorders>
              <w:top w:val="nil"/>
              <w:left w:val="nil"/>
              <w:bottom w:val="single" w:sz="4" w:space="0" w:color="auto"/>
              <w:right w:val="single" w:sz="4" w:space="0" w:color="auto"/>
            </w:tcBorders>
            <w:shd w:val="clear" w:color="auto" w:fill="auto"/>
            <w:vAlign w:val="center"/>
          </w:tcPr>
          <w:p w14:paraId="047E0FB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24.16</w:t>
            </w:r>
          </w:p>
        </w:tc>
        <w:tc>
          <w:tcPr>
            <w:tcW w:w="1000" w:type="pct"/>
            <w:tcBorders>
              <w:top w:val="nil"/>
              <w:left w:val="nil"/>
              <w:bottom w:val="single" w:sz="4" w:space="0" w:color="auto"/>
              <w:right w:val="single" w:sz="4" w:space="0" w:color="auto"/>
            </w:tcBorders>
            <w:shd w:val="clear" w:color="auto" w:fill="auto"/>
            <w:vAlign w:val="center"/>
          </w:tcPr>
          <w:p w14:paraId="732E818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w:t>
            </w:r>
          </w:p>
        </w:tc>
        <w:tc>
          <w:tcPr>
            <w:tcW w:w="726" w:type="pct"/>
            <w:tcBorders>
              <w:top w:val="nil"/>
              <w:left w:val="nil"/>
              <w:bottom w:val="single" w:sz="4" w:space="0" w:color="auto"/>
              <w:right w:val="single" w:sz="4" w:space="0" w:color="auto"/>
            </w:tcBorders>
            <w:shd w:val="clear" w:color="auto" w:fill="auto"/>
            <w:vAlign w:val="center"/>
          </w:tcPr>
          <w:p w14:paraId="5A2BF6E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6040</w:t>
            </w:r>
          </w:p>
        </w:tc>
        <w:tc>
          <w:tcPr>
            <w:tcW w:w="1223" w:type="pct"/>
            <w:vMerge/>
            <w:tcBorders>
              <w:top w:val="nil"/>
              <w:left w:val="single" w:sz="4" w:space="0" w:color="auto"/>
              <w:bottom w:val="single" w:sz="4" w:space="0" w:color="000000"/>
              <w:right w:val="single" w:sz="4" w:space="0" w:color="auto"/>
            </w:tcBorders>
            <w:vAlign w:val="center"/>
          </w:tcPr>
          <w:p w14:paraId="63ABD442" w14:textId="77777777" w:rsidR="002133E3" w:rsidRDefault="002133E3">
            <w:pPr>
              <w:widowControl/>
              <w:jc w:val="left"/>
              <w:rPr>
                <w:rFonts w:ascii="Times New Roman" w:eastAsia="宋体" w:hAnsi="Times New Roman" w:cs="Times New Roman"/>
                <w:color w:val="000000"/>
                <w:kern w:val="0"/>
                <w:szCs w:val="21"/>
              </w:rPr>
            </w:pPr>
          </w:p>
        </w:tc>
        <w:tc>
          <w:tcPr>
            <w:tcW w:w="701" w:type="pct"/>
            <w:tcBorders>
              <w:top w:val="nil"/>
              <w:left w:val="nil"/>
              <w:bottom w:val="single" w:sz="4" w:space="0" w:color="auto"/>
              <w:right w:val="single" w:sz="4" w:space="0" w:color="auto"/>
            </w:tcBorders>
            <w:shd w:val="clear" w:color="auto" w:fill="auto"/>
            <w:vAlign w:val="center"/>
          </w:tcPr>
          <w:p w14:paraId="51FAC7B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84560</w:t>
            </w:r>
          </w:p>
        </w:tc>
      </w:tr>
      <w:tr w:rsidR="002133E3" w14:paraId="459AEAE5" w14:textId="77777777">
        <w:trPr>
          <w:trHeight w:val="270"/>
        </w:trPr>
        <w:tc>
          <w:tcPr>
            <w:tcW w:w="487" w:type="pct"/>
            <w:tcBorders>
              <w:top w:val="nil"/>
              <w:left w:val="single" w:sz="4" w:space="0" w:color="auto"/>
              <w:bottom w:val="single" w:sz="4" w:space="0" w:color="auto"/>
              <w:right w:val="single" w:sz="4" w:space="0" w:color="auto"/>
            </w:tcBorders>
            <w:shd w:val="clear" w:color="auto" w:fill="auto"/>
            <w:vAlign w:val="center"/>
          </w:tcPr>
          <w:p w14:paraId="0C77B45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氨氮</w:t>
            </w:r>
          </w:p>
        </w:tc>
        <w:tc>
          <w:tcPr>
            <w:tcW w:w="863" w:type="pct"/>
            <w:tcBorders>
              <w:top w:val="nil"/>
              <w:left w:val="nil"/>
              <w:bottom w:val="single" w:sz="4" w:space="0" w:color="auto"/>
              <w:right w:val="single" w:sz="4" w:space="0" w:color="auto"/>
            </w:tcBorders>
            <w:shd w:val="clear" w:color="auto" w:fill="auto"/>
            <w:vAlign w:val="center"/>
          </w:tcPr>
          <w:p w14:paraId="674E0CB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5.18</w:t>
            </w:r>
          </w:p>
        </w:tc>
        <w:tc>
          <w:tcPr>
            <w:tcW w:w="1000" w:type="pct"/>
            <w:tcBorders>
              <w:top w:val="nil"/>
              <w:left w:val="nil"/>
              <w:bottom w:val="single" w:sz="4" w:space="0" w:color="auto"/>
              <w:right w:val="single" w:sz="4" w:space="0" w:color="auto"/>
            </w:tcBorders>
            <w:shd w:val="clear" w:color="auto" w:fill="auto"/>
            <w:vAlign w:val="center"/>
          </w:tcPr>
          <w:p w14:paraId="384A177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0.8</w:t>
            </w:r>
          </w:p>
        </w:tc>
        <w:tc>
          <w:tcPr>
            <w:tcW w:w="726" w:type="pct"/>
            <w:tcBorders>
              <w:top w:val="nil"/>
              <w:left w:val="nil"/>
              <w:bottom w:val="single" w:sz="4" w:space="0" w:color="auto"/>
              <w:right w:val="single" w:sz="4" w:space="0" w:color="auto"/>
            </w:tcBorders>
            <w:shd w:val="clear" w:color="auto" w:fill="auto"/>
            <w:vAlign w:val="center"/>
          </w:tcPr>
          <w:p w14:paraId="0D73851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6475</w:t>
            </w:r>
          </w:p>
        </w:tc>
        <w:tc>
          <w:tcPr>
            <w:tcW w:w="1223" w:type="pct"/>
            <w:vMerge/>
            <w:tcBorders>
              <w:top w:val="nil"/>
              <w:left w:val="single" w:sz="4" w:space="0" w:color="auto"/>
              <w:bottom w:val="single" w:sz="4" w:space="0" w:color="000000"/>
              <w:right w:val="single" w:sz="4" w:space="0" w:color="auto"/>
            </w:tcBorders>
            <w:vAlign w:val="center"/>
          </w:tcPr>
          <w:p w14:paraId="23C611DC" w14:textId="77777777" w:rsidR="002133E3" w:rsidRDefault="002133E3">
            <w:pPr>
              <w:widowControl/>
              <w:jc w:val="left"/>
              <w:rPr>
                <w:rFonts w:ascii="Times New Roman" w:eastAsia="宋体" w:hAnsi="Times New Roman" w:cs="Times New Roman"/>
                <w:color w:val="000000"/>
                <w:kern w:val="0"/>
                <w:szCs w:val="21"/>
              </w:rPr>
            </w:pPr>
          </w:p>
        </w:tc>
        <w:tc>
          <w:tcPr>
            <w:tcW w:w="701" w:type="pct"/>
            <w:tcBorders>
              <w:top w:val="nil"/>
              <w:left w:val="nil"/>
              <w:bottom w:val="single" w:sz="4" w:space="0" w:color="auto"/>
              <w:right w:val="single" w:sz="4" w:space="0" w:color="auto"/>
            </w:tcBorders>
            <w:shd w:val="clear" w:color="auto" w:fill="auto"/>
            <w:vAlign w:val="center"/>
          </w:tcPr>
          <w:p w14:paraId="00A7EF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90650</w:t>
            </w:r>
          </w:p>
        </w:tc>
      </w:tr>
      <w:tr w:rsidR="002133E3" w14:paraId="0ECECCE2" w14:textId="77777777">
        <w:trPr>
          <w:trHeight w:val="270"/>
        </w:trPr>
        <w:tc>
          <w:tcPr>
            <w:tcW w:w="487" w:type="pct"/>
            <w:tcBorders>
              <w:top w:val="nil"/>
              <w:left w:val="single" w:sz="4" w:space="0" w:color="auto"/>
              <w:bottom w:val="single" w:sz="4" w:space="0" w:color="auto"/>
              <w:right w:val="single" w:sz="4" w:space="0" w:color="auto"/>
            </w:tcBorders>
            <w:shd w:val="clear" w:color="auto" w:fill="auto"/>
            <w:vAlign w:val="center"/>
          </w:tcPr>
          <w:p w14:paraId="6332294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总磷</w:t>
            </w:r>
          </w:p>
        </w:tc>
        <w:tc>
          <w:tcPr>
            <w:tcW w:w="863" w:type="pct"/>
            <w:tcBorders>
              <w:top w:val="nil"/>
              <w:left w:val="nil"/>
              <w:bottom w:val="single" w:sz="4" w:space="0" w:color="auto"/>
              <w:right w:val="single" w:sz="4" w:space="0" w:color="auto"/>
            </w:tcBorders>
            <w:shd w:val="clear" w:color="auto" w:fill="auto"/>
            <w:vAlign w:val="center"/>
          </w:tcPr>
          <w:p w14:paraId="1666AF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0.52</w:t>
            </w:r>
          </w:p>
        </w:tc>
        <w:tc>
          <w:tcPr>
            <w:tcW w:w="1000" w:type="pct"/>
            <w:tcBorders>
              <w:top w:val="nil"/>
              <w:left w:val="nil"/>
              <w:bottom w:val="single" w:sz="4" w:space="0" w:color="auto"/>
              <w:right w:val="single" w:sz="4" w:space="0" w:color="auto"/>
            </w:tcBorders>
            <w:shd w:val="clear" w:color="auto" w:fill="auto"/>
            <w:vAlign w:val="center"/>
          </w:tcPr>
          <w:p w14:paraId="7C67ED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0.25</w:t>
            </w:r>
          </w:p>
        </w:tc>
        <w:tc>
          <w:tcPr>
            <w:tcW w:w="726" w:type="pct"/>
            <w:tcBorders>
              <w:top w:val="nil"/>
              <w:left w:val="nil"/>
              <w:bottom w:val="single" w:sz="4" w:space="0" w:color="auto"/>
              <w:right w:val="single" w:sz="4" w:space="0" w:color="auto"/>
            </w:tcBorders>
            <w:shd w:val="clear" w:color="auto" w:fill="auto"/>
            <w:vAlign w:val="center"/>
          </w:tcPr>
          <w:p w14:paraId="3A1BFB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2080</w:t>
            </w:r>
          </w:p>
        </w:tc>
        <w:tc>
          <w:tcPr>
            <w:tcW w:w="1223" w:type="pct"/>
            <w:vMerge/>
            <w:tcBorders>
              <w:top w:val="nil"/>
              <w:left w:val="single" w:sz="4" w:space="0" w:color="auto"/>
              <w:bottom w:val="single" w:sz="4" w:space="0" w:color="000000"/>
              <w:right w:val="single" w:sz="4" w:space="0" w:color="auto"/>
            </w:tcBorders>
            <w:vAlign w:val="center"/>
          </w:tcPr>
          <w:p w14:paraId="5E9B28E0" w14:textId="77777777" w:rsidR="002133E3" w:rsidRDefault="002133E3">
            <w:pPr>
              <w:widowControl/>
              <w:jc w:val="left"/>
              <w:rPr>
                <w:rFonts w:ascii="Times New Roman" w:eastAsia="宋体" w:hAnsi="Times New Roman" w:cs="Times New Roman"/>
                <w:color w:val="000000"/>
                <w:kern w:val="0"/>
                <w:szCs w:val="21"/>
              </w:rPr>
            </w:pPr>
          </w:p>
        </w:tc>
        <w:tc>
          <w:tcPr>
            <w:tcW w:w="701" w:type="pct"/>
            <w:tcBorders>
              <w:top w:val="nil"/>
              <w:left w:val="nil"/>
              <w:bottom w:val="single" w:sz="4" w:space="0" w:color="auto"/>
              <w:right w:val="single" w:sz="4" w:space="0" w:color="auto"/>
            </w:tcBorders>
            <w:shd w:val="clear" w:color="auto" w:fill="auto"/>
            <w:vAlign w:val="center"/>
          </w:tcPr>
          <w:p w14:paraId="017C0B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29120</w:t>
            </w:r>
          </w:p>
        </w:tc>
      </w:tr>
      <w:tr w:rsidR="002133E3" w14:paraId="3E69F7EF" w14:textId="77777777">
        <w:trPr>
          <w:trHeight w:val="270"/>
        </w:trPr>
        <w:tc>
          <w:tcPr>
            <w:tcW w:w="4299" w:type="pct"/>
            <w:gridSpan w:val="5"/>
            <w:tcBorders>
              <w:top w:val="single" w:sz="4" w:space="0" w:color="auto"/>
              <w:left w:val="single" w:sz="4" w:space="0" w:color="auto"/>
              <w:bottom w:val="single" w:sz="4" w:space="0" w:color="auto"/>
              <w:right w:val="single" w:sz="4" w:space="0" w:color="000000"/>
            </w:tcBorders>
            <w:shd w:val="clear" w:color="auto" w:fill="auto"/>
            <w:vAlign w:val="center"/>
          </w:tcPr>
          <w:p w14:paraId="2E96B8B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合计</w:t>
            </w:r>
          </w:p>
        </w:tc>
        <w:tc>
          <w:tcPr>
            <w:tcW w:w="701" w:type="pct"/>
            <w:tcBorders>
              <w:top w:val="nil"/>
              <w:left w:val="nil"/>
              <w:bottom w:val="single" w:sz="4" w:space="0" w:color="auto"/>
              <w:right w:val="single" w:sz="4" w:space="0" w:color="auto"/>
            </w:tcBorders>
            <w:shd w:val="clear" w:color="auto" w:fill="auto"/>
            <w:vAlign w:val="center"/>
          </w:tcPr>
          <w:p w14:paraId="673A30A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1170890</w:t>
            </w:r>
          </w:p>
        </w:tc>
      </w:tr>
    </w:tbl>
    <w:p w14:paraId="02596BE3" w14:textId="77777777" w:rsidR="002133E3" w:rsidRDefault="00C22CFA">
      <w:pPr>
        <w:autoSpaceDE w:val="0"/>
        <w:autoSpaceDN w:val="0"/>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8"/>
        </w:rPr>
        <w:t>削减水污染物削减环境保护税</w:t>
      </w:r>
      <w:r>
        <w:rPr>
          <w:rFonts w:ascii="Times New Roman" w:eastAsia="宋体" w:hAnsi="Times New Roman" w:cs="Times New Roman"/>
          <w:sz w:val="28"/>
          <w:szCs w:val="24"/>
        </w:rPr>
        <w:t>约为</w:t>
      </w:r>
      <w:r>
        <w:rPr>
          <w:rFonts w:ascii="Times New Roman" w:eastAsia="宋体" w:hAnsi="Times New Roman" w:cs="Times New Roman"/>
          <w:sz w:val="28"/>
          <w:szCs w:val="24"/>
        </w:rPr>
        <w:t>117.1</w:t>
      </w:r>
      <w:r>
        <w:rPr>
          <w:rFonts w:ascii="Times New Roman" w:eastAsia="宋体" w:hAnsi="Times New Roman" w:cs="Times New Roman"/>
          <w:sz w:val="28"/>
          <w:szCs w:val="24"/>
        </w:rPr>
        <w:t>万元</w:t>
      </w:r>
      <w:r>
        <w:rPr>
          <w:rFonts w:ascii="Times New Roman" w:eastAsia="宋体" w:hAnsi="Times New Roman" w:cs="Times New Roman"/>
          <w:sz w:val="28"/>
          <w:szCs w:val="24"/>
        </w:rPr>
        <w:t>/a</w:t>
      </w:r>
      <w:r>
        <w:rPr>
          <w:rFonts w:ascii="Times New Roman" w:eastAsia="宋体" w:hAnsi="Times New Roman" w:cs="Times New Roman"/>
          <w:sz w:val="28"/>
          <w:szCs w:val="24"/>
        </w:rPr>
        <w:t>。</w:t>
      </w:r>
    </w:p>
    <w:p w14:paraId="3B8C91B2" w14:textId="77777777" w:rsidR="002133E3" w:rsidRDefault="00C22CFA">
      <w:pPr>
        <w:autoSpaceDE w:val="0"/>
        <w:autoSpaceDN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4"/>
        </w:rPr>
        <w:t>综上，本项目正面环境影响经济</w:t>
      </w:r>
      <w:r>
        <w:rPr>
          <w:rFonts w:ascii="Times New Roman" w:eastAsia="宋体" w:hAnsi="Times New Roman" w:cs="Times New Roman"/>
          <w:sz w:val="28"/>
          <w:szCs w:val="28"/>
        </w:rPr>
        <w:t>价值</w:t>
      </w:r>
      <w:r>
        <w:rPr>
          <w:rFonts w:ascii="Times New Roman" w:eastAsia="宋体" w:hAnsi="Times New Roman" w:cs="Times New Roman"/>
          <w:sz w:val="28"/>
          <w:szCs w:val="24"/>
        </w:rPr>
        <w:t>约为</w:t>
      </w:r>
      <w:r>
        <w:rPr>
          <w:rFonts w:ascii="Times New Roman" w:eastAsia="宋体" w:hAnsi="Times New Roman" w:cs="Times New Roman"/>
          <w:sz w:val="28"/>
          <w:szCs w:val="24"/>
        </w:rPr>
        <w:t>1416.3</w:t>
      </w:r>
      <w:r>
        <w:rPr>
          <w:rFonts w:ascii="Times New Roman" w:eastAsia="宋体" w:hAnsi="Times New Roman" w:cs="Times New Roman"/>
          <w:sz w:val="28"/>
          <w:szCs w:val="24"/>
        </w:rPr>
        <w:t>万元</w:t>
      </w:r>
      <w:r>
        <w:rPr>
          <w:rFonts w:ascii="Times New Roman" w:eastAsia="宋体" w:hAnsi="Times New Roman" w:cs="Times New Roman"/>
          <w:sz w:val="28"/>
          <w:szCs w:val="24"/>
        </w:rPr>
        <w:t>/a</w:t>
      </w:r>
      <w:r>
        <w:rPr>
          <w:rFonts w:ascii="Times New Roman" w:eastAsia="宋体" w:hAnsi="Times New Roman" w:cs="Times New Roman"/>
          <w:sz w:val="28"/>
          <w:szCs w:val="24"/>
        </w:rPr>
        <w:t>。</w:t>
      </w:r>
    </w:p>
    <w:p w14:paraId="1ABE3648"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95" w:name="_Toc492570909"/>
      <w:bookmarkStart w:id="96" w:name="_Toc28578033"/>
      <w:bookmarkStart w:id="97" w:name="_Toc515606302"/>
      <w:bookmarkStart w:id="98" w:name="_Toc47604362"/>
      <w:r>
        <w:rPr>
          <w:rFonts w:ascii="Times New Roman" w:eastAsia="宋体" w:hAnsi="Times New Roman" w:cs="Times New Roman"/>
          <w:b/>
          <w:sz w:val="30"/>
          <w:szCs w:val="30"/>
        </w:rPr>
        <w:t>本项目对环境的负面影响</w:t>
      </w:r>
      <w:bookmarkEnd w:id="95"/>
      <w:bookmarkEnd w:id="96"/>
      <w:bookmarkEnd w:id="97"/>
      <w:bookmarkEnd w:id="98"/>
    </w:p>
    <w:p w14:paraId="0E351FC2" w14:textId="77777777" w:rsidR="002133E3" w:rsidRDefault="00C22CFA">
      <w:pPr>
        <w:tabs>
          <w:tab w:val="left" w:pos="600"/>
        </w:tabs>
        <w:spacing w:line="500" w:lineRule="exact"/>
        <w:ind w:rightChars="-43" w:right="-90"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经预测，本项目正常排放情况下，大气污染物均排放达标，最大落地浓度均远低于环境标准，敏感目标处落地浓度与背景值叠加后远低于评价标准，对敏感点影响较小；项目各噪声源经治理后排放，对厂界的噪声贡献值低于厂界噪声排放标准，对外环境影响较小。</w:t>
      </w:r>
    </w:p>
    <w:p w14:paraId="2710006A" w14:textId="77777777" w:rsidR="002133E3" w:rsidRDefault="00C22CFA">
      <w:pPr>
        <w:tabs>
          <w:tab w:val="left" w:pos="600"/>
        </w:tabs>
        <w:spacing w:line="500" w:lineRule="exact"/>
        <w:ind w:rightChars="-43" w:right="-90"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本项目的建设对环境的负面影响主要包括：</w:t>
      </w:r>
    </w:p>
    <w:p w14:paraId="2BEC990F"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项目环保投资费用。</w:t>
      </w:r>
    </w:p>
    <w:p w14:paraId="2EB890EB"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本项目的建设排放的废气给环境带来的影响。</w:t>
      </w:r>
    </w:p>
    <w:p w14:paraId="799C513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本项目环保投资费用</w:t>
      </w:r>
    </w:p>
    <w:p w14:paraId="7CE5E1D5" w14:textId="77777777" w:rsidR="002133E3" w:rsidRDefault="00C22CFA">
      <w:pPr>
        <w:tabs>
          <w:tab w:val="left" w:pos="360"/>
        </w:tabs>
        <w:adjustRightInd w:val="0"/>
        <w:snapToGrid w:val="0"/>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由表</w:t>
      </w:r>
      <w:r>
        <w:rPr>
          <w:rFonts w:ascii="Times New Roman" w:eastAsia="宋体" w:hAnsi="Times New Roman" w:cs="Times New Roman"/>
          <w:sz w:val="28"/>
          <w:szCs w:val="28"/>
        </w:rPr>
        <w:t>7.9-1</w:t>
      </w:r>
      <w:r>
        <w:rPr>
          <w:rFonts w:ascii="Times New Roman" w:eastAsia="宋体" w:hAnsi="Times New Roman" w:cs="Times New Roman"/>
          <w:sz w:val="28"/>
          <w:szCs w:val="28"/>
        </w:rPr>
        <w:t>可知，本项目建成投产后，与本项目有关的废气、废水、噪声、</w:t>
      </w:r>
      <w:r>
        <w:rPr>
          <w:rFonts w:ascii="Times New Roman" w:eastAsia="宋体" w:hAnsi="Times New Roman" w:cs="Times New Roman"/>
          <w:sz w:val="28"/>
          <w:szCs w:val="28"/>
        </w:rPr>
        <w:lastRenderedPageBreak/>
        <w:t>固废处理等环保设施总投资为</w:t>
      </w:r>
      <w:r>
        <w:rPr>
          <w:rFonts w:ascii="Times New Roman" w:eastAsia="宋体" w:hAnsi="Times New Roman" w:cs="Times New Roman"/>
          <w:sz w:val="28"/>
          <w:szCs w:val="28"/>
        </w:rPr>
        <w:t>60</w:t>
      </w:r>
      <w:r>
        <w:rPr>
          <w:rFonts w:ascii="Times New Roman" w:eastAsia="宋体" w:hAnsi="Times New Roman" w:cs="Times New Roman"/>
          <w:sz w:val="28"/>
          <w:szCs w:val="28"/>
        </w:rPr>
        <w:t>万元，占项目总投资额约</w:t>
      </w:r>
      <w:r>
        <w:rPr>
          <w:rFonts w:ascii="Times New Roman" w:eastAsia="宋体" w:hAnsi="Times New Roman" w:cs="Times New Roman"/>
          <w:sz w:val="28"/>
          <w:szCs w:val="28"/>
        </w:rPr>
        <w:t>1.31%</w:t>
      </w:r>
      <w:r>
        <w:rPr>
          <w:rFonts w:ascii="Times New Roman" w:eastAsia="宋体" w:hAnsi="Times New Roman" w:cs="Times New Roman"/>
          <w:sz w:val="28"/>
          <w:szCs w:val="28"/>
        </w:rPr>
        <w:t>。</w:t>
      </w:r>
    </w:p>
    <w:p w14:paraId="1A15A3A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本项目废气排放负面环境影响货币化分析</w:t>
      </w:r>
    </w:p>
    <w:p w14:paraId="4B337669"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本项目的废气排放负面环境影响经济价值以征收的大气污染物环境保护税和废气处理环保设施运行费用之和表征。</w:t>
      </w:r>
    </w:p>
    <w:p w14:paraId="10527DF4" w14:textId="77777777" w:rsidR="002133E3" w:rsidRDefault="00C22CFA">
      <w:pPr>
        <w:tabs>
          <w:tab w:val="left" w:pos="600"/>
        </w:tabs>
        <w:spacing w:line="500" w:lineRule="exact"/>
        <w:ind w:rightChars="-43" w:right="-90"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根据《中华人民共和国环境保护税法》，应税大气污染物的应纳税额为污染当量数乘以具体适用税额，大气污染物应税税额为每一污染当量</w:t>
      </w:r>
      <w:r>
        <w:rPr>
          <w:rFonts w:ascii="Times New Roman" w:eastAsia="宋体" w:hAnsi="Times New Roman" w:cs="Times New Roman"/>
          <w:sz w:val="28"/>
          <w:szCs w:val="28"/>
        </w:rPr>
        <w:t>1.2</w:t>
      </w:r>
      <w:r>
        <w:rPr>
          <w:rFonts w:ascii="Times New Roman" w:eastAsia="宋体" w:hAnsi="Times New Roman" w:cs="Times New Roman"/>
          <w:sz w:val="28"/>
          <w:szCs w:val="28"/>
        </w:rPr>
        <w:t>元至</w:t>
      </w:r>
      <w:r>
        <w:rPr>
          <w:rFonts w:ascii="Times New Roman" w:eastAsia="宋体" w:hAnsi="Times New Roman" w:cs="Times New Roman"/>
          <w:sz w:val="28"/>
          <w:szCs w:val="28"/>
        </w:rPr>
        <w:t>12</w:t>
      </w:r>
      <w:r>
        <w:rPr>
          <w:rFonts w:ascii="Times New Roman" w:eastAsia="宋体" w:hAnsi="Times New Roman" w:cs="Times New Roman"/>
          <w:sz w:val="28"/>
          <w:szCs w:val="28"/>
        </w:rPr>
        <w:t>元，由</w:t>
      </w:r>
      <w:r>
        <w:rPr>
          <w:rFonts w:ascii="Times New Roman" w:eastAsia="宋体" w:hAnsi="Times New Roman" w:cs="Times New Roman"/>
          <w:sz w:val="28"/>
          <w:szCs w:val="24"/>
        </w:rPr>
        <w:t>《连云港市环境保护税税额表》可知，</w:t>
      </w:r>
      <w:r>
        <w:rPr>
          <w:rFonts w:ascii="Times New Roman" w:eastAsia="宋体" w:hAnsi="Times New Roman" w:cs="Times New Roman"/>
          <w:sz w:val="28"/>
          <w:szCs w:val="28"/>
        </w:rPr>
        <w:t>按每一</w:t>
      </w:r>
      <w:r>
        <w:rPr>
          <w:rFonts w:ascii="Times New Roman" w:eastAsia="宋体" w:hAnsi="Times New Roman" w:cs="Times New Roman"/>
          <w:sz w:val="28"/>
          <w:szCs w:val="24"/>
        </w:rPr>
        <w:t>污染</w:t>
      </w:r>
      <w:r>
        <w:rPr>
          <w:rFonts w:ascii="Times New Roman" w:eastAsia="宋体" w:hAnsi="Times New Roman" w:cs="Times New Roman"/>
          <w:sz w:val="28"/>
          <w:szCs w:val="28"/>
        </w:rPr>
        <w:t>当量应税税额</w:t>
      </w:r>
      <w:r>
        <w:rPr>
          <w:rFonts w:ascii="Times New Roman" w:eastAsia="宋体" w:hAnsi="Times New Roman" w:cs="Times New Roman"/>
          <w:sz w:val="28"/>
          <w:szCs w:val="28"/>
        </w:rPr>
        <w:t>4.8</w:t>
      </w:r>
      <w:r>
        <w:rPr>
          <w:rFonts w:ascii="Times New Roman" w:eastAsia="宋体" w:hAnsi="Times New Roman" w:cs="Times New Roman"/>
          <w:sz w:val="28"/>
          <w:szCs w:val="28"/>
        </w:rPr>
        <w:t>元计。</w:t>
      </w:r>
    </w:p>
    <w:p w14:paraId="47B6AB05"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污染当量计算公示如下：</w:t>
      </w:r>
    </w:p>
    <w:tbl>
      <w:tblPr>
        <w:tblW w:w="0" w:type="auto"/>
        <w:jc w:val="center"/>
        <w:tblLayout w:type="fixed"/>
        <w:tblLook w:val="04A0" w:firstRow="1" w:lastRow="0" w:firstColumn="1" w:lastColumn="0" w:noHBand="0" w:noVBand="1"/>
      </w:tblPr>
      <w:tblGrid>
        <w:gridCol w:w="3643"/>
        <w:gridCol w:w="4320"/>
      </w:tblGrid>
      <w:tr w:rsidR="002133E3" w14:paraId="2F5F4783" w14:textId="77777777">
        <w:trPr>
          <w:cantSplit/>
          <w:trHeight w:val="180"/>
          <w:jc w:val="center"/>
        </w:trPr>
        <w:tc>
          <w:tcPr>
            <w:tcW w:w="3643" w:type="dxa"/>
            <w:vMerge w:val="restart"/>
            <w:vAlign w:val="center"/>
          </w:tcPr>
          <w:p w14:paraId="45CBAD31" w14:textId="77777777" w:rsidR="002133E3" w:rsidRDefault="00C22CFA">
            <w:pPr>
              <w:spacing w:line="520" w:lineRule="exact"/>
              <w:jc w:val="center"/>
              <w:rPr>
                <w:rFonts w:ascii="Times New Roman" w:eastAsia="宋体" w:hAnsi="Times New Roman" w:cs="Times New Roman"/>
                <w:sz w:val="28"/>
                <w:szCs w:val="28"/>
              </w:rPr>
            </w:pPr>
            <w:r>
              <w:rPr>
                <w:rFonts w:ascii="Times New Roman" w:eastAsia="宋体" w:hAnsi="Times New Roman" w:cs="Times New Roman"/>
                <w:sz w:val="28"/>
                <w:szCs w:val="28"/>
              </w:rPr>
              <w:t>某污染物的污染当量数＝</w:t>
            </w:r>
          </w:p>
        </w:tc>
        <w:tc>
          <w:tcPr>
            <w:tcW w:w="4320" w:type="dxa"/>
            <w:tcBorders>
              <w:bottom w:val="single" w:sz="4" w:space="0" w:color="auto"/>
            </w:tcBorders>
            <w:vAlign w:val="center"/>
          </w:tcPr>
          <w:p w14:paraId="31C00A7E" w14:textId="77777777" w:rsidR="002133E3" w:rsidRDefault="00C22CFA">
            <w:pPr>
              <w:spacing w:line="520" w:lineRule="exact"/>
              <w:jc w:val="center"/>
              <w:rPr>
                <w:rFonts w:ascii="Times New Roman" w:eastAsia="宋体" w:hAnsi="Times New Roman" w:cs="Times New Roman"/>
                <w:sz w:val="28"/>
                <w:szCs w:val="28"/>
              </w:rPr>
            </w:pPr>
            <w:r>
              <w:rPr>
                <w:rFonts w:ascii="Times New Roman" w:eastAsia="宋体" w:hAnsi="Times New Roman" w:cs="Times New Roman"/>
                <w:sz w:val="28"/>
                <w:szCs w:val="28"/>
              </w:rPr>
              <w:t>该污染物的排放量</w:t>
            </w:r>
          </w:p>
        </w:tc>
      </w:tr>
      <w:tr w:rsidR="002133E3" w14:paraId="7BA34BFF" w14:textId="77777777">
        <w:trPr>
          <w:cantSplit/>
          <w:trHeight w:val="180"/>
          <w:jc w:val="center"/>
        </w:trPr>
        <w:tc>
          <w:tcPr>
            <w:tcW w:w="3643" w:type="dxa"/>
            <w:vMerge/>
          </w:tcPr>
          <w:p w14:paraId="754727DB" w14:textId="77777777" w:rsidR="002133E3" w:rsidRDefault="002133E3">
            <w:pPr>
              <w:spacing w:line="520" w:lineRule="exact"/>
              <w:rPr>
                <w:rFonts w:ascii="Times New Roman" w:eastAsia="宋体" w:hAnsi="Times New Roman" w:cs="Times New Roman"/>
                <w:sz w:val="28"/>
                <w:szCs w:val="28"/>
              </w:rPr>
            </w:pPr>
          </w:p>
        </w:tc>
        <w:tc>
          <w:tcPr>
            <w:tcW w:w="4320" w:type="dxa"/>
            <w:tcBorders>
              <w:top w:val="single" w:sz="4" w:space="0" w:color="auto"/>
            </w:tcBorders>
            <w:vAlign w:val="center"/>
          </w:tcPr>
          <w:p w14:paraId="45D0F066" w14:textId="77777777" w:rsidR="002133E3" w:rsidRDefault="00C22CFA">
            <w:pPr>
              <w:spacing w:line="520" w:lineRule="exact"/>
              <w:jc w:val="center"/>
              <w:rPr>
                <w:rFonts w:ascii="Times New Roman" w:eastAsia="宋体" w:hAnsi="Times New Roman" w:cs="Times New Roman"/>
                <w:sz w:val="28"/>
                <w:szCs w:val="28"/>
              </w:rPr>
            </w:pPr>
            <w:r>
              <w:rPr>
                <w:rFonts w:ascii="Times New Roman" w:eastAsia="宋体" w:hAnsi="Times New Roman" w:cs="Times New Roman"/>
                <w:sz w:val="28"/>
                <w:szCs w:val="28"/>
              </w:rPr>
              <w:t>该污染物的污染当量值</w:t>
            </w:r>
          </w:p>
        </w:tc>
      </w:tr>
    </w:tbl>
    <w:p w14:paraId="42A778C3" w14:textId="77777777" w:rsidR="002133E3" w:rsidRDefault="00C22CFA">
      <w:pPr>
        <w:spacing w:line="52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本项目大气污染物环境保护税计算情况见表</w:t>
      </w:r>
      <w:r>
        <w:rPr>
          <w:rFonts w:ascii="Times New Roman" w:eastAsia="宋体" w:hAnsi="Times New Roman" w:cs="Times New Roman"/>
          <w:sz w:val="28"/>
          <w:szCs w:val="28"/>
        </w:rPr>
        <w:t>8.2-1</w:t>
      </w:r>
      <w:r>
        <w:rPr>
          <w:rFonts w:ascii="Times New Roman" w:eastAsia="宋体" w:hAnsi="Times New Roman" w:cs="Times New Roman"/>
          <w:sz w:val="28"/>
          <w:szCs w:val="28"/>
        </w:rPr>
        <w:t>。</w:t>
      </w:r>
    </w:p>
    <w:p w14:paraId="2DD0A5E3" w14:textId="77777777" w:rsidR="002133E3" w:rsidRDefault="00C22CFA">
      <w:pPr>
        <w:spacing w:line="44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8.2-1  </w:t>
      </w:r>
      <w:r>
        <w:rPr>
          <w:rFonts w:ascii="Times New Roman" w:eastAsia="宋体" w:hAnsi="Times New Roman" w:cs="Times New Roman"/>
          <w:b/>
          <w:szCs w:val="24"/>
        </w:rPr>
        <w:t>大气污染物环境保护税计算表</w:t>
      </w:r>
    </w:p>
    <w:tbl>
      <w:tblPr>
        <w:tblW w:w="5000" w:type="pct"/>
        <w:tblLayout w:type="fixed"/>
        <w:tblLook w:val="04A0" w:firstRow="1" w:lastRow="0" w:firstColumn="1" w:lastColumn="0" w:noHBand="0" w:noVBand="1"/>
      </w:tblPr>
      <w:tblGrid>
        <w:gridCol w:w="1303"/>
        <w:gridCol w:w="1740"/>
        <w:gridCol w:w="1742"/>
        <w:gridCol w:w="1305"/>
        <w:gridCol w:w="2355"/>
        <w:gridCol w:w="1409"/>
      </w:tblGrid>
      <w:tr w:rsidR="002133E3" w14:paraId="71CEA499" w14:textId="77777777">
        <w:trPr>
          <w:trHeight w:val="285"/>
        </w:trPr>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78AF2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883" w:type="pct"/>
            <w:tcBorders>
              <w:top w:val="single" w:sz="4" w:space="0" w:color="auto"/>
              <w:left w:val="nil"/>
              <w:bottom w:val="single" w:sz="4" w:space="0" w:color="auto"/>
              <w:right w:val="single" w:sz="4" w:space="0" w:color="auto"/>
            </w:tcBorders>
            <w:shd w:val="clear" w:color="auto" w:fill="auto"/>
            <w:noWrap/>
            <w:vAlign w:val="center"/>
          </w:tcPr>
          <w:p w14:paraId="08E48C7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本项目排放量</w:t>
            </w:r>
            <w:r>
              <w:rPr>
                <w:rFonts w:ascii="Times New Roman" w:eastAsia="宋体" w:hAnsi="Times New Roman" w:cs="Times New Roman"/>
                <w:b/>
                <w:bCs/>
                <w:kern w:val="0"/>
                <w:szCs w:val="21"/>
              </w:rPr>
              <w:t>(t)</w:t>
            </w:r>
          </w:p>
        </w:tc>
        <w:tc>
          <w:tcPr>
            <w:tcW w:w="884" w:type="pct"/>
            <w:tcBorders>
              <w:top w:val="single" w:sz="4" w:space="0" w:color="auto"/>
              <w:left w:val="nil"/>
              <w:bottom w:val="single" w:sz="4" w:space="0" w:color="auto"/>
              <w:right w:val="single" w:sz="4" w:space="0" w:color="auto"/>
            </w:tcBorders>
            <w:shd w:val="clear" w:color="auto" w:fill="auto"/>
            <w:noWrap/>
            <w:vAlign w:val="center"/>
          </w:tcPr>
          <w:p w14:paraId="42EE7406"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污染当量值</w:t>
            </w:r>
            <w:r>
              <w:rPr>
                <w:rFonts w:ascii="Times New Roman" w:eastAsia="宋体" w:hAnsi="Times New Roman" w:cs="Times New Roman"/>
                <w:b/>
                <w:bCs/>
                <w:kern w:val="0"/>
                <w:szCs w:val="21"/>
              </w:rPr>
              <w:t>(kg)</w:t>
            </w:r>
          </w:p>
        </w:tc>
        <w:tc>
          <w:tcPr>
            <w:tcW w:w="662" w:type="pct"/>
            <w:tcBorders>
              <w:top w:val="single" w:sz="4" w:space="0" w:color="auto"/>
              <w:left w:val="nil"/>
              <w:bottom w:val="single" w:sz="4" w:space="0" w:color="auto"/>
              <w:right w:val="single" w:sz="4" w:space="0" w:color="auto"/>
            </w:tcBorders>
            <w:shd w:val="clear" w:color="auto" w:fill="auto"/>
            <w:noWrap/>
            <w:vAlign w:val="center"/>
          </w:tcPr>
          <w:p w14:paraId="50E5D123"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污染当量数</w:t>
            </w:r>
          </w:p>
        </w:tc>
        <w:tc>
          <w:tcPr>
            <w:tcW w:w="1195" w:type="pct"/>
            <w:tcBorders>
              <w:top w:val="single" w:sz="4" w:space="0" w:color="auto"/>
              <w:left w:val="nil"/>
              <w:bottom w:val="single" w:sz="4" w:space="0" w:color="auto"/>
              <w:right w:val="single" w:sz="4" w:space="0" w:color="auto"/>
            </w:tcBorders>
            <w:shd w:val="clear" w:color="auto" w:fill="auto"/>
            <w:noWrap/>
            <w:vAlign w:val="center"/>
          </w:tcPr>
          <w:p w14:paraId="1B950615"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每一当量应税税额</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元</w:t>
            </w:r>
            <w:r>
              <w:rPr>
                <w:rFonts w:ascii="Times New Roman" w:eastAsia="宋体" w:hAnsi="Times New Roman" w:cs="Times New Roman"/>
                <w:b/>
                <w:bCs/>
                <w:kern w:val="0"/>
                <w:szCs w:val="21"/>
              </w:rPr>
              <w:t>)</w:t>
            </w:r>
          </w:p>
        </w:tc>
        <w:tc>
          <w:tcPr>
            <w:tcW w:w="715" w:type="pct"/>
            <w:tcBorders>
              <w:top w:val="single" w:sz="4" w:space="0" w:color="auto"/>
              <w:left w:val="nil"/>
              <w:bottom w:val="single" w:sz="4" w:space="0" w:color="auto"/>
              <w:right w:val="single" w:sz="4" w:space="0" w:color="auto"/>
            </w:tcBorders>
            <w:shd w:val="clear" w:color="auto" w:fill="auto"/>
            <w:noWrap/>
            <w:vAlign w:val="center"/>
          </w:tcPr>
          <w:p w14:paraId="3F17095A"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征收额</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元</w:t>
            </w:r>
            <w:r>
              <w:rPr>
                <w:rFonts w:ascii="Times New Roman" w:eastAsia="宋体" w:hAnsi="Times New Roman" w:cs="Times New Roman"/>
                <w:b/>
                <w:bCs/>
                <w:kern w:val="0"/>
                <w:szCs w:val="21"/>
              </w:rPr>
              <w:t>)</w:t>
            </w:r>
          </w:p>
        </w:tc>
      </w:tr>
      <w:tr w:rsidR="002133E3" w14:paraId="6A31353E" w14:textId="77777777">
        <w:trPr>
          <w:trHeight w:val="285"/>
        </w:trPr>
        <w:tc>
          <w:tcPr>
            <w:tcW w:w="661" w:type="pct"/>
            <w:tcBorders>
              <w:top w:val="nil"/>
              <w:left w:val="single" w:sz="4" w:space="0" w:color="auto"/>
              <w:bottom w:val="single" w:sz="4" w:space="0" w:color="auto"/>
              <w:right w:val="single" w:sz="4" w:space="0" w:color="auto"/>
            </w:tcBorders>
            <w:shd w:val="clear" w:color="auto" w:fill="auto"/>
            <w:noWrap/>
            <w:vAlign w:val="center"/>
          </w:tcPr>
          <w:p w14:paraId="1F8D78C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SO</w:t>
            </w:r>
            <w:r>
              <w:rPr>
                <w:rFonts w:ascii="Times New Roman" w:eastAsia="宋体" w:hAnsi="Times New Roman" w:cs="Times New Roman"/>
                <w:color w:val="000000"/>
                <w:kern w:val="0"/>
                <w:szCs w:val="21"/>
                <w:vertAlign w:val="subscript"/>
              </w:rPr>
              <w:t>2</w:t>
            </w:r>
          </w:p>
        </w:tc>
        <w:tc>
          <w:tcPr>
            <w:tcW w:w="883" w:type="pct"/>
            <w:tcBorders>
              <w:top w:val="nil"/>
              <w:left w:val="nil"/>
              <w:bottom w:val="single" w:sz="4" w:space="0" w:color="auto"/>
              <w:right w:val="single" w:sz="4" w:space="0" w:color="auto"/>
            </w:tcBorders>
            <w:shd w:val="clear" w:color="auto" w:fill="auto"/>
            <w:vAlign w:val="center"/>
          </w:tcPr>
          <w:p w14:paraId="115FDD4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1.16</w:t>
            </w:r>
          </w:p>
        </w:tc>
        <w:tc>
          <w:tcPr>
            <w:tcW w:w="884" w:type="pct"/>
            <w:tcBorders>
              <w:top w:val="nil"/>
              <w:left w:val="nil"/>
              <w:bottom w:val="single" w:sz="4" w:space="0" w:color="auto"/>
              <w:right w:val="single" w:sz="4" w:space="0" w:color="auto"/>
            </w:tcBorders>
            <w:shd w:val="clear" w:color="auto" w:fill="auto"/>
            <w:noWrap/>
            <w:vAlign w:val="center"/>
          </w:tcPr>
          <w:p w14:paraId="25B915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0.95</w:t>
            </w:r>
          </w:p>
        </w:tc>
        <w:tc>
          <w:tcPr>
            <w:tcW w:w="662" w:type="pct"/>
            <w:tcBorders>
              <w:top w:val="nil"/>
              <w:left w:val="nil"/>
              <w:bottom w:val="single" w:sz="4" w:space="0" w:color="auto"/>
              <w:right w:val="single" w:sz="4" w:space="0" w:color="auto"/>
            </w:tcBorders>
            <w:shd w:val="clear" w:color="auto" w:fill="auto"/>
            <w:noWrap/>
            <w:vAlign w:val="center"/>
          </w:tcPr>
          <w:p w14:paraId="48819E1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1221</w:t>
            </w:r>
          </w:p>
        </w:tc>
        <w:tc>
          <w:tcPr>
            <w:tcW w:w="1195" w:type="pct"/>
            <w:vMerge w:val="restart"/>
            <w:tcBorders>
              <w:top w:val="nil"/>
              <w:left w:val="single" w:sz="4" w:space="0" w:color="auto"/>
              <w:bottom w:val="single" w:sz="4" w:space="0" w:color="000000"/>
              <w:right w:val="single" w:sz="4" w:space="0" w:color="auto"/>
            </w:tcBorders>
            <w:shd w:val="clear" w:color="auto" w:fill="auto"/>
            <w:noWrap/>
            <w:vAlign w:val="center"/>
          </w:tcPr>
          <w:p w14:paraId="2F9A7EB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4.8</w:t>
            </w:r>
          </w:p>
        </w:tc>
        <w:tc>
          <w:tcPr>
            <w:tcW w:w="715" w:type="pct"/>
            <w:tcBorders>
              <w:top w:val="nil"/>
              <w:left w:val="nil"/>
              <w:bottom w:val="single" w:sz="4" w:space="0" w:color="auto"/>
              <w:right w:val="single" w:sz="4" w:space="0" w:color="auto"/>
            </w:tcBorders>
            <w:shd w:val="clear" w:color="auto" w:fill="auto"/>
            <w:vAlign w:val="center"/>
          </w:tcPr>
          <w:p w14:paraId="54FC32A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5860.8</w:t>
            </w:r>
          </w:p>
        </w:tc>
      </w:tr>
      <w:tr w:rsidR="002133E3" w14:paraId="1A79CAB4" w14:textId="77777777">
        <w:trPr>
          <w:trHeight w:val="285"/>
        </w:trPr>
        <w:tc>
          <w:tcPr>
            <w:tcW w:w="661" w:type="pct"/>
            <w:tcBorders>
              <w:top w:val="nil"/>
              <w:left w:val="single" w:sz="4" w:space="0" w:color="auto"/>
              <w:bottom w:val="single" w:sz="4" w:space="0" w:color="auto"/>
              <w:right w:val="single" w:sz="4" w:space="0" w:color="auto"/>
            </w:tcBorders>
            <w:shd w:val="clear" w:color="auto" w:fill="auto"/>
            <w:noWrap/>
            <w:vAlign w:val="center"/>
          </w:tcPr>
          <w:p w14:paraId="7CD48B4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CO</w:t>
            </w:r>
          </w:p>
        </w:tc>
        <w:tc>
          <w:tcPr>
            <w:tcW w:w="883" w:type="pct"/>
            <w:tcBorders>
              <w:top w:val="nil"/>
              <w:left w:val="nil"/>
              <w:bottom w:val="single" w:sz="4" w:space="0" w:color="auto"/>
              <w:right w:val="single" w:sz="4" w:space="0" w:color="auto"/>
            </w:tcBorders>
            <w:shd w:val="clear" w:color="auto" w:fill="auto"/>
            <w:vAlign w:val="center"/>
          </w:tcPr>
          <w:p w14:paraId="00EFF10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0.82</w:t>
            </w:r>
          </w:p>
        </w:tc>
        <w:tc>
          <w:tcPr>
            <w:tcW w:w="884" w:type="pct"/>
            <w:tcBorders>
              <w:top w:val="nil"/>
              <w:left w:val="nil"/>
              <w:bottom w:val="single" w:sz="4" w:space="0" w:color="auto"/>
              <w:right w:val="single" w:sz="4" w:space="0" w:color="auto"/>
            </w:tcBorders>
            <w:shd w:val="clear" w:color="auto" w:fill="auto"/>
            <w:noWrap/>
            <w:vAlign w:val="center"/>
          </w:tcPr>
          <w:p w14:paraId="0FFE189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16.7</w:t>
            </w:r>
          </w:p>
        </w:tc>
        <w:tc>
          <w:tcPr>
            <w:tcW w:w="662" w:type="pct"/>
            <w:tcBorders>
              <w:top w:val="nil"/>
              <w:left w:val="nil"/>
              <w:bottom w:val="single" w:sz="4" w:space="0" w:color="auto"/>
              <w:right w:val="single" w:sz="4" w:space="0" w:color="auto"/>
            </w:tcBorders>
            <w:shd w:val="clear" w:color="auto" w:fill="auto"/>
            <w:noWrap/>
            <w:vAlign w:val="center"/>
          </w:tcPr>
          <w:p w14:paraId="220165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49</w:t>
            </w:r>
          </w:p>
        </w:tc>
        <w:tc>
          <w:tcPr>
            <w:tcW w:w="1195" w:type="pct"/>
            <w:vMerge/>
            <w:tcBorders>
              <w:top w:val="nil"/>
              <w:left w:val="single" w:sz="4" w:space="0" w:color="auto"/>
              <w:bottom w:val="single" w:sz="4" w:space="0" w:color="000000"/>
              <w:right w:val="single" w:sz="4" w:space="0" w:color="auto"/>
            </w:tcBorders>
            <w:vAlign w:val="center"/>
          </w:tcPr>
          <w:p w14:paraId="2A8D36D7" w14:textId="77777777" w:rsidR="002133E3" w:rsidRDefault="002133E3">
            <w:pPr>
              <w:widowControl/>
              <w:jc w:val="left"/>
              <w:rPr>
                <w:rFonts w:ascii="Times New Roman" w:eastAsia="宋体" w:hAnsi="Times New Roman" w:cs="Times New Roman"/>
                <w:kern w:val="0"/>
                <w:szCs w:val="21"/>
              </w:rPr>
            </w:pPr>
          </w:p>
        </w:tc>
        <w:tc>
          <w:tcPr>
            <w:tcW w:w="715" w:type="pct"/>
            <w:tcBorders>
              <w:top w:val="nil"/>
              <w:left w:val="nil"/>
              <w:bottom w:val="single" w:sz="4" w:space="0" w:color="auto"/>
              <w:right w:val="single" w:sz="4" w:space="0" w:color="auto"/>
            </w:tcBorders>
            <w:shd w:val="clear" w:color="auto" w:fill="auto"/>
            <w:vAlign w:val="center"/>
          </w:tcPr>
          <w:p w14:paraId="067D92E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235.2</w:t>
            </w:r>
          </w:p>
        </w:tc>
      </w:tr>
      <w:tr w:rsidR="002133E3" w14:paraId="2B5F30A6" w14:textId="77777777">
        <w:trPr>
          <w:trHeight w:val="285"/>
        </w:trPr>
        <w:tc>
          <w:tcPr>
            <w:tcW w:w="661" w:type="pct"/>
            <w:tcBorders>
              <w:top w:val="nil"/>
              <w:left w:val="single" w:sz="4" w:space="0" w:color="auto"/>
              <w:bottom w:val="single" w:sz="4" w:space="0" w:color="auto"/>
              <w:right w:val="single" w:sz="4" w:space="0" w:color="auto"/>
            </w:tcBorders>
            <w:shd w:val="clear" w:color="auto" w:fill="auto"/>
            <w:noWrap/>
            <w:vAlign w:val="center"/>
          </w:tcPr>
          <w:p w14:paraId="4D62134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NOx</w:t>
            </w:r>
          </w:p>
        </w:tc>
        <w:tc>
          <w:tcPr>
            <w:tcW w:w="883" w:type="pct"/>
            <w:tcBorders>
              <w:top w:val="nil"/>
              <w:left w:val="nil"/>
              <w:bottom w:val="single" w:sz="4" w:space="0" w:color="auto"/>
              <w:right w:val="single" w:sz="4" w:space="0" w:color="auto"/>
            </w:tcBorders>
            <w:shd w:val="clear" w:color="auto" w:fill="auto"/>
            <w:vAlign w:val="center"/>
          </w:tcPr>
          <w:p w14:paraId="468954C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1.63</w:t>
            </w:r>
          </w:p>
        </w:tc>
        <w:tc>
          <w:tcPr>
            <w:tcW w:w="884" w:type="pct"/>
            <w:tcBorders>
              <w:top w:val="nil"/>
              <w:left w:val="nil"/>
              <w:bottom w:val="single" w:sz="4" w:space="0" w:color="auto"/>
              <w:right w:val="single" w:sz="4" w:space="0" w:color="auto"/>
            </w:tcBorders>
            <w:shd w:val="clear" w:color="auto" w:fill="auto"/>
            <w:noWrap/>
            <w:vAlign w:val="center"/>
          </w:tcPr>
          <w:p w14:paraId="1D8551D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0.95</w:t>
            </w:r>
          </w:p>
        </w:tc>
        <w:tc>
          <w:tcPr>
            <w:tcW w:w="662" w:type="pct"/>
            <w:tcBorders>
              <w:top w:val="nil"/>
              <w:left w:val="nil"/>
              <w:bottom w:val="single" w:sz="4" w:space="0" w:color="auto"/>
              <w:right w:val="single" w:sz="4" w:space="0" w:color="auto"/>
            </w:tcBorders>
            <w:shd w:val="clear" w:color="auto" w:fill="auto"/>
            <w:noWrap/>
            <w:vAlign w:val="center"/>
          </w:tcPr>
          <w:p w14:paraId="1EA0B9B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1716</w:t>
            </w:r>
          </w:p>
        </w:tc>
        <w:tc>
          <w:tcPr>
            <w:tcW w:w="1195" w:type="pct"/>
            <w:vMerge/>
            <w:tcBorders>
              <w:top w:val="nil"/>
              <w:left w:val="single" w:sz="4" w:space="0" w:color="auto"/>
              <w:bottom w:val="single" w:sz="4" w:space="0" w:color="000000"/>
              <w:right w:val="single" w:sz="4" w:space="0" w:color="auto"/>
            </w:tcBorders>
            <w:vAlign w:val="center"/>
          </w:tcPr>
          <w:p w14:paraId="17022FF9" w14:textId="77777777" w:rsidR="002133E3" w:rsidRDefault="002133E3">
            <w:pPr>
              <w:widowControl/>
              <w:jc w:val="left"/>
              <w:rPr>
                <w:rFonts w:ascii="Times New Roman" w:eastAsia="宋体" w:hAnsi="Times New Roman" w:cs="Times New Roman"/>
                <w:kern w:val="0"/>
                <w:szCs w:val="21"/>
              </w:rPr>
            </w:pPr>
          </w:p>
        </w:tc>
        <w:tc>
          <w:tcPr>
            <w:tcW w:w="715" w:type="pct"/>
            <w:tcBorders>
              <w:top w:val="nil"/>
              <w:left w:val="nil"/>
              <w:bottom w:val="single" w:sz="4" w:space="0" w:color="auto"/>
              <w:right w:val="single" w:sz="4" w:space="0" w:color="auto"/>
            </w:tcBorders>
            <w:shd w:val="clear" w:color="auto" w:fill="auto"/>
            <w:vAlign w:val="center"/>
          </w:tcPr>
          <w:p w14:paraId="49F732A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8236.8</w:t>
            </w:r>
          </w:p>
        </w:tc>
      </w:tr>
      <w:tr w:rsidR="002133E3" w14:paraId="1B66A8AC" w14:textId="77777777">
        <w:trPr>
          <w:trHeight w:val="300"/>
        </w:trPr>
        <w:tc>
          <w:tcPr>
            <w:tcW w:w="661" w:type="pct"/>
            <w:tcBorders>
              <w:top w:val="nil"/>
              <w:left w:val="single" w:sz="4" w:space="0" w:color="auto"/>
              <w:bottom w:val="single" w:sz="4" w:space="0" w:color="auto"/>
              <w:right w:val="single" w:sz="4" w:space="0" w:color="auto"/>
            </w:tcBorders>
            <w:shd w:val="clear" w:color="auto" w:fill="auto"/>
            <w:vAlign w:val="center"/>
          </w:tcPr>
          <w:p w14:paraId="7DDA0D1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非甲烷总烃</w:t>
            </w:r>
          </w:p>
        </w:tc>
        <w:tc>
          <w:tcPr>
            <w:tcW w:w="883" w:type="pct"/>
            <w:tcBorders>
              <w:top w:val="nil"/>
              <w:left w:val="nil"/>
              <w:bottom w:val="single" w:sz="4" w:space="0" w:color="auto"/>
              <w:right w:val="single" w:sz="4" w:space="0" w:color="auto"/>
            </w:tcBorders>
            <w:shd w:val="clear" w:color="auto" w:fill="auto"/>
            <w:vAlign w:val="center"/>
          </w:tcPr>
          <w:p w14:paraId="3134514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color w:val="000000"/>
                <w:szCs w:val="21"/>
              </w:rPr>
              <w:t>0.13</w:t>
            </w:r>
          </w:p>
        </w:tc>
        <w:tc>
          <w:tcPr>
            <w:tcW w:w="884" w:type="pct"/>
            <w:tcBorders>
              <w:top w:val="nil"/>
              <w:left w:val="nil"/>
              <w:bottom w:val="single" w:sz="4" w:space="0" w:color="auto"/>
              <w:right w:val="single" w:sz="4" w:space="0" w:color="auto"/>
            </w:tcBorders>
            <w:shd w:val="clear" w:color="auto" w:fill="auto"/>
            <w:noWrap/>
            <w:vAlign w:val="center"/>
          </w:tcPr>
          <w:p w14:paraId="3F1F777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0.67</w:t>
            </w:r>
          </w:p>
        </w:tc>
        <w:tc>
          <w:tcPr>
            <w:tcW w:w="662" w:type="pct"/>
            <w:tcBorders>
              <w:top w:val="nil"/>
              <w:left w:val="nil"/>
              <w:bottom w:val="single" w:sz="4" w:space="0" w:color="auto"/>
              <w:right w:val="single" w:sz="4" w:space="0" w:color="auto"/>
            </w:tcBorders>
            <w:shd w:val="clear" w:color="auto" w:fill="auto"/>
            <w:noWrap/>
            <w:vAlign w:val="center"/>
          </w:tcPr>
          <w:p w14:paraId="3538276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194</w:t>
            </w:r>
          </w:p>
        </w:tc>
        <w:tc>
          <w:tcPr>
            <w:tcW w:w="1195" w:type="pct"/>
            <w:vMerge/>
            <w:tcBorders>
              <w:top w:val="nil"/>
              <w:left w:val="single" w:sz="4" w:space="0" w:color="auto"/>
              <w:bottom w:val="single" w:sz="4" w:space="0" w:color="000000"/>
              <w:right w:val="single" w:sz="4" w:space="0" w:color="auto"/>
            </w:tcBorders>
            <w:vAlign w:val="center"/>
          </w:tcPr>
          <w:p w14:paraId="464C0284" w14:textId="77777777" w:rsidR="002133E3" w:rsidRDefault="002133E3">
            <w:pPr>
              <w:widowControl/>
              <w:jc w:val="left"/>
              <w:rPr>
                <w:rFonts w:ascii="Times New Roman" w:eastAsia="宋体" w:hAnsi="Times New Roman" w:cs="Times New Roman"/>
                <w:kern w:val="0"/>
                <w:szCs w:val="21"/>
              </w:rPr>
            </w:pPr>
          </w:p>
        </w:tc>
        <w:tc>
          <w:tcPr>
            <w:tcW w:w="715" w:type="pct"/>
            <w:tcBorders>
              <w:top w:val="nil"/>
              <w:left w:val="nil"/>
              <w:bottom w:val="single" w:sz="4" w:space="0" w:color="auto"/>
              <w:right w:val="single" w:sz="4" w:space="0" w:color="auto"/>
            </w:tcBorders>
            <w:shd w:val="clear" w:color="auto" w:fill="auto"/>
            <w:vAlign w:val="center"/>
          </w:tcPr>
          <w:p w14:paraId="6D095D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931.2</w:t>
            </w:r>
          </w:p>
        </w:tc>
      </w:tr>
      <w:tr w:rsidR="002133E3" w14:paraId="7E45BC04" w14:textId="77777777">
        <w:trPr>
          <w:trHeight w:val="285"/>
        </w:trPr>
        <w:tc>
          <w:tcPr>
            <w:tcW w:w="4285" w:type="pct"/>
            <w:gridSpan w:val="5"/>
            <w:tcBorders>
              <w:top w:val="nil"/>
              <w:left w:val="single" w:sz="4" w:space="0" w:color="auto"/>
              <w:bottom w:val="single" w:sz="4" w:space="0" w:color="auto"/>
              <w:right w:val="single" w:sz="4" w:space="0" w:color="auto"/>
            </w:tcBorders>
            <w:shd w:val="clear" w:color="auto" w:fill="auto"/>
            <w:noWrap/>
            <w:vAlign w:val="center"/>
          </w:tcPr>
          <w:p w14:paraId="4C617D2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合计</w:t>
            </w:r>
          </w:p>
        </w:tc>
        <w:tc>
          <w:tcPr>
            <w:tcW w:w="715" w:type="pct"/>
            <w:tcBorders>
              <w:top w:val="nil"/>
              <w:left w:val="nil"/>
              <w:bottom w:val="single" w:sz="4" w:space="0" w:color="auto"/>
              <w:right w:val="single" w:sz="4" w:space="0" w:color="auto"/>
            </w:tcBorders>
            <w:shd w:val="clear" w:color="auto" w:fill="auto"/>
            <w:noWrap/>
            <w:vAlign w:val="center"/>
          </w:tcPr>
          <w:p w14:paraId="530B945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15264</w:t>
            </w:r>
          </w:p>
        </w:tc>
      </w:tr>
      <w:tr w:rsidR="002133E3" w14:paraId="58C38AEB" w14:textId="77777777">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44AE86D" w14:textId="77777777" w:rsidR="002133E3" w:rsidRDefault="00C22CFA">
            <w:pPr>
              <w:widowControl/>
              <w:jc w:val="left"/>
              <w:rPr>
                <w:rFonts w:ascii="Times New Roman" w:eastAsia="宋体" w:hAnsi="Times New Roman" w:cs="Times New Roman"/>
                <w:kern w:val="0"/>
                <w:szCs w:val="21"/>
              </w:rPr>
            </w:pPr>
            <w:r>
              <w:rPr>
                <w:rFonts w:ascii="Times New Roman" w:eastAsia="宋体" w:hAnsi="Times New Roman" w:cs="Times New Roman"/>
                <w:kern w:val="0"/>
                <w:szCs w:val="21"/>
              </w:rPr>
              <w:t>注：</w:t>
            </w:r>
            <w:r>
              <w:rPr>
                <w:rFonts w:ascii="Times New Roman" w:eastAsia="宋体" w:hAnsi="Times New Roman" w:cs="Times New Roman"/>
                <w:color w:val="000000"/>
                <w:kern w:val="0"/>
                <w:szCs w:val="21"/>
              </w:rPr>
              <w:t>非甲烷总烃</w:t>
            </w:r>
            <w:r>
              <w:rPr>
                <w:rFonts w:ascii="Times New Roman" w:eastAsia="宋体" w:hAnsi="Times New Roman" w:cs="Times New Roman"/>
                <w:kern w:val="0"/>
                <w:szCs w:val="21"/>
              </w:rPr>
              <w:t>参照甲醇执行；</w:t>
            </w:r>
          </w:p>
        </w:tc>
      </w:tr>
    </w:tbl>
    <w:p w14:paraId="60B533BC" w14:textId="77777777" w:rsidR="002133E3" w:rsidRDefault="00C22CFA">
      <w:pPr>
        <w:snapToGrid w:val="0"/>
        <w:spacing w:line="500" w:lineRule="exact"/>
        <w:ind w:firstLineChars="200" w:firstLine="560"/>
        <w:rPr>
          <w:rFonts w:ascii="Times New Roman" w:eastAsia="宋体" w:hAnsi="Times New Roman" w:cs="Times New Roman"/>
          <w:b/>
          <w:sz w:val="28"/>
          <w:szCs w:val="28"/>
        </w:rPr>
      </w:pPr>
      <w:r>
        <w:rPr>
          <w:rFonts w:ascii="Times New Roman" w:eastAsia="宋体" w:hAnsi="Times New Roman" w:cs="Times New Roman"/>
          <w:sz w:val="28"/>
          <w:szCs w:val="24"/>
        </w:rPr>
        <w:t>综上，本项目的废气排放负面环境影响经济</w:t>
      </w:r>
      <w:r>
        <w:rPr>
          <w:rFonts w:ascii="Times New Roman" w:eastAsia="宋体" w:hAnsi="Times New Roman" w:cs="Times New Roman"/>
          <w:sz w:val="28"/>
          <w:szCs w:val="28"/>
        </w:rPr>
        <w:t>价值</w:t>
      </w:r>
      <w:r>
        <w:rPr>
          <w:rFonts w:ascii="Times New Roman" w:eastAsia="宋体" w:hAnsi="Times New Roman" w:cs="Times New Roman"/>
          <w:sz w:val="28"/>
          <w:szCs w:val="24"/>
        </w:rPr>
        <w:t>约为</w:t>
      </w:r>
      <w:r>
        <w:rPr>
          <w:rFonts w:ascii="Times New Roman" w:eastAsia="宋体" w:hAnsi="Times New Roman" w:cs="Times New Roman"/>
          <w:sz w:val="28"/>
          <w:szCs w:val="24"/>
        </w:rPr>
        <w:t>1.53</w:t>
      </w:r>
      <w:r>
        <w:rPr>
          <w:rFonts w:ascii="Times New Roman" w:eastAsia="宋体" w:hAnsi="Times New Roman" w:cs="Times New Roman"/>
          <w:sz w:val="28"/>
          <w:szCs w:val="24"/>
        </w:rPr>
        <w:t>万元</w:t>
      </w:r>
      <w:r>
        <w:rPr>
          <w:rFonts w:ascii="Times New Roman" w:eastAsia="宋体" w:hAnsi="Times New Roman" w:cs="Times New Roman"/>
          <w:sz w:val="28"/>
          <w:szCs w:val="24"/>
        </w:rPr>
        <w:t>/a</w:t>
      </w:r>
      <w:r>
        <w:rPr>
          <w:rFonts w:ascii="Times New Roman" w:eastAsia="宋体" w:hAnsi="Times New Roman" w:cs="Times New Roman"/>
          <w:sz w:val="28"/>
          <w:szCs w:val="24"/>
        </w:rPr>
        <w:t>。</w:t>
      </w:r>
    </w:p>
    <w:p w14:paraId="228E8F63"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99" w:name="_Toc47604363"/>
      <w:bookmarkStart w:id="100" w:name="_Toc492570910"/>
      <w:bookmarkStart w:id="101" w:name="_Toc28578034"/>
      <w:bookmarkStart w:id="102" w:name="_Toc515606303"/>
      <w:r>
        <w:rPr>
          <w:rFonts w:ascii="Times New Roman" w:eastAsia="宋体" w:hAnsi="Times New Roman" w:cs="Times New Roman"/>
          <w:b/>
          <w:sz w:val="30"/>
          <w:szCs w:val="30"/>
        </w:rPr>
        <w:t>环境影响经济损益综合评价</w:t>
      </w:r>
      <w:bookmarkEnd w:id="99"/>
      <w:bookmarkEnd w:id="100"/>
      <w:bookmarkEnd w:id="101"/>
      <w:bookmarkEnd w:id="102"/>
    </w:p>
    <w:p w14:paraId="521F8582" w14:textId="77777777" w:rsidR="002133E3" w:rsidRDefault="00C22CFA">
      <w:pPr>
        <w:snapToGrid w:val="0"/>
        <w:spacing w:line="500" w:lineRule="exact"/>
        <w:ind w:firstLineChars="200" w:firstLine="560"/>
        <w:rPr>
          <w:rFonts w:ascii="Times New Roman" w:eastAsia="宋体" w:hAnsi="Times New Roman" w:cs="Times New Roman"/>
          <w:sz w:val="28"/>
          <w:szCs w:val="28"/>
        </w:rPr>
      </w:pPr>
      <w:bookmarkStart w:id="103" w:name="_Toc486431449"/>
      <w:r>
        <w:rPr>
          <w:rFonts w:ascii="Times New Roman" w:eastAsia="宋体" w:hAnsi="Times New Roman" w:cs="Times New Roman"/>
          <w:sz w:val="28"/>
          <w:szCs w:val="28"/>
        </w:rPr>
        <w:t>根据上述分析，本项目环境影响经济损益情况详见表</w:t>
      </w:r>
      <w:r>
        <w:rPr>
          <w:rFonts w:ascii="Times New Roman" w:eastAsia="宋体" w:hAnsi="Times New Roman" w:cs="Times New Roman"/>
          <w:sz w:val="28"/>
          <w:szCs w:val="28"/>
        </w:rPr>
        <w:t>8.3-1.</w:t>
      </w:r>
    </w:p>
    <w:p w14:paraId="1E519D14" w14:textId="77777777" w:rsidR="002133E3" w:rsidRDefault="00C22CFA">
      <w:pPr>
        <w:spacing w:line="500" w:lineRule="exact"/>
        <w:jc w:val="center"/>
        <w:rPr>
          <w:rFonts w:ascii="Times New Roman" w:eastAsia="宋体" w:hAnsi="Times New Roman" w:cs="Times New Roman"/>
          <w:b/>
          <w:szCs w:val="24"/>
        </w:rPr>
      </w:pPr>
      <w:r>
        <w:rPr>
          <w:rFonts w:ascii="Times New Roman" w:eastAsia="宋体" w:hAnsi="Times New Roman" w:cs="Times New Roman"/>
          <w:b/>
          <w:szCs w:val="24"/>
        </w:rPr>
        <w:t>表</w:t>
      </w:r>
      <w:r>
        <w:rPr>
          <w:rFonts w:ascii="Times New Roman" w:eastAsia="宋体" w:hAnsi="Times New Roman" w:cs="Times New Roman"/>
          <w:b/>
          <w:szCs w:val="24"/>
        </w:rPr>
        <w:t xml:space="preserve">8.3-1  </w:t>
      </w:r>
      <w:r>
        <w:rPr>
          <w:rFonts w:ascii="Times New Roman" w:eastAsia="宋体" w:hAnsi="Times New Roman" w:cs="Times New Roman"/>
          <w:b/>
          <w:szCs w:val="24"/>
        </w:rPr>
        <w:t>本项目环境影响经济损益情况表</w:t>
      </w:r>
      <w:r>
        <w:rPr>
          <w:rFonts w:ascii="Times New Roman" w:eastAsia="宋体" w:hAnsi="Times New Roman" w:cs="Times New Roman"/>
          <w:b/>
          <w:szCs w:val="24"/>
        </w:rPr>
        <w:t>(</w:t>
      </w:r>
      <w:r>
        <w:rPr>
          <w:rFonts w:ascii="Times New Roman" w:eastAsia="宋体" w:hAnsi="Times New Roman" w:cs="Times New Roman"/>
          <w:b/>
          <w:szCs w:val="24"/>
        </w:rPr>
        <w:t>万元</w:t>
      </w:r>
      <w:r>
        <w:rPr>
          <w:rFonts w:ascii="Times New Roman" w:eastAsia="宋体" w:hAnsi="Times New Roman" w:cs="Times New Roman"/>
          <w:b/>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3"/>
        <w:gridCol w:w="2690"/>
        <w:gridCol w:w="3526"/>
        <w:gridCol w:w="1672"/>
      </w:tblGrid>
      <w:tr w:rsidR="002133E3" w14:paraId="2585D1F9" w14:textId="77777777">
        <w:trPr>
          <w:trHeight w:val="285"/>
        </w:trPr>
        <w:tc>
          <w:tcPr>
            <w:tcW w:w="1853" w:type="dxa"/>
            <w:noWrap/>
            <w:vAlign w:val="center"/>
          </w:tcPr>
          <w:p w14:paraId="3C03BB5E"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类别</w:t>
            </w:r>
          </w:p>
        </w:tc>
        <w:tc>
          <w:tcPr>
            <w:tcW w:w="2690" w:type="dxa"/>
            <w:noWrap/>
            <w:vAlign w:val="center"/>
          </w:tcPr>
          <w:p w14:paraId="7637DA57"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表征量</w:t>
            </w:r>
          </w:p>
        </w:tc>
        <w:tc>
          <w:tcPr>
            <w:tcW w:w="3526" w:type="dxa"/>
            <w:noWrap/>
            <w:vAlign w:val="center"/>
          </w:tcPr>
          <w:p w14:paraId="57C02999"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环境影响经济价值</w:t>
            </w:r>
          </w:p>
        </w:tc>
        <w:tc>
          <w:tcPr>
            <w:tcW w:w="1672" w:type="dxa"/>
            <w:noWrap/>
            <w:vAlign w:val="center"/>
          </w:tcPr>
          <w:p w14:paraId="0208C54D" w14:textId="77777777" w:rsidR="002133E3" w:rsidRDefault="00C22CFA">
            <w:pPr>
              <w:widowControl/>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合计</w:t>
            </w:r>
          </w:p>
        </w:tc>
      </w:tr>
      <w:tr w:rsidR="002133E3" w14:paraId="224D0053" w14:textId="77777777">
        <w:trPr>
          <w:trHeight w:val="285"/>
        </w:trPr>
        <w:tc>
          <w:tcPr>
            <w:tcW w:w="1853" w:type="dxa"/>
            <w:vMerge w:val="restart"/>
            <w:noWrap/>
            <w:vAlign w:val="center"/>
          </w:tcPr>
          <w:p w14:paraId="19D4FD6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正面影响</w:t>
            </w:r>
          </w:p>
        </w:tc>
        <w:tc>
          <w:tcPr>
            <w:tcW w:w="2690" w:type="dxa"/>
            <w:noWrap/>
            <w:vAlign w:val="center"/>
          </w:tcPr>
          <w:p w14:paraId="1B09140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蒸汽用量削减</w:t>
            </w:r>
          </w:p>
        </w:tc>
        <w:tc>
          <w:tcPr>
            <w:tcW w:w="3526" w:type="dxa"/>
            <w:noWrap/>
            <w:vAlign w:val="center"/>
          </w:tcPr>
          <w:p w14:paraId="46524DA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1075</w:t>
            </w:r>
          </w:p>
        </w:tc>
        <w:tc>
          <w:tcPr>
            <w:tcW w:w="1672" w:type="dxa"/>
            <w:vMerge w:val="restart"/>
            <w:noWrap/>
            <w:vAlign w:val="center"/>
          </w:tcPr>
          <w:p w14:paraId="5E7AA65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1416.3</w:t>
            </w:r>
          </w:p>
        </w:tc>
      </w:tr>
      <w:tr w:rsidR="002133E3" w14:paraId="5328BFE1" w14:textId="77777777">
        <w:trPr>
          <w:trHeight w:val="285"/>
        </w:trPr>
        <w:tc>
          <w:tcPr>
            <w:tcW w:w="1853" w:type="dxa"/>
            <w:vMerge/>
            <w:noWrap/>
            <w:vAlign w:val="center"/>
          </w:tcPr>
          <w:p w14:paraId="7F122F03" w14:textId="77777777" w:rsidR="002133E3" w:rsidRDefault="002133E3">
            <w:pPr>
              <w:widowControl/>
              <w:jc w:val="center"/>
              <w:rPr>
                <w:rFonts w:ascii="Times New Roman" w:eastAsia="宋体" w:hAnsi="Times New Roman" w:cs="Times New Roman"/>
                <w:kern w:val="0"/>
                <w:szCs w:val="21"/>
              </w:rPr>
            </w:pPr>
          </w:p>
        </w:tc>
        <w:tc>
          <w:tcPr>
            <w:tcW w:w="2690" w:type="dxa"/>
            <w:noWrap/>
            <w:vAlign w:val="center"/>
          </w:tcPr>
          <w:p w14:paraId="77A29580"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废水产生量削减</w:t>
            </w:r>
          </w:p>
        </w:tc>
        <w:tc>
          <w:tcPr>
            <w:tcW w:w="3526" w:type="dxa"/>
            <w:noWrap/>
            <w:vAlign w:val="center"/>
          </w:tcPr>
          <w:p w14:paraId="334E42D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224.2</w:t>
            </w:r>
          </w:p>
        </w:tc>
        <w:tc>
          <w:tcPr>
            <w:tcW w:w="1672" w:type="dxa"/>
            <w:vMerge/>
            <w:noWrap/>
            <w:vAlign w:val="center"/>
          </w:tcPr>
          <w:p w14:paraId="5C661461" w14:textId="77777777" w:rsidR="002133E3" w:rsidRDefault="002133E3">
            <w:pPr>
              <w:widowControl/>
              <w:jc w:val="center"/>
              <w:rPr>
                <w:rFonts w:ascii="Times New Roman" w:eastAsia="宋体" w:hAnsi="Times New Roman" w:cs="Times New Roman"/>
                <w:kern w:val="0"/>
                <w:szCs w:val="21"/>
              </w:rPr>
            </w:pPr>
          </w:p>
        </w:tc>
      </w:tr>
      <w:tr w:rsidR="002133E3" w14:paraId="7481D48D" w14:textId="77777777">
        <w:trPr>
          <w:trHeight w:val="285"/>
        </w:trPr>
        <w:tc>
          <w:tcPr>
            <w:tcW w:w="1853" w:type="dxa"/>
            <w:vMerge/>
            <w:noWrap/>
            <w:vAlign w:val="center"/>
          </w:tcPr>
          <w:p w14:paraId="5D55F121" w14:textId="77777777" w:rsidR="002133E3" w:rsidRDefault="002133E3">
            <w:pPr>
              <w:widowControl/>
              <w:jc w:val="center"/>
              <w:rPr>
                <w:rFonts w:ascii="Times New Roman" w:eastAsia="宋体" w:hAnsi="Times New Roman" w:cs="Times New Roman"/>
                <w:kern w:val="0"/>
                <w:szCs w:val="21"/>
              </w:rPr>
            </w:pPr>
          </w:p>
        </w:tc>
        <w:tc>
          <w:tcPr>
            <w:tcW w:w="2690" w:type="dxa"/>
            <w:noWrap/>
            <w:vAlign w:val="center"/>
          </w:tcPr>
          <w:p w14:paraId="4510696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废水排放排放量削减</w:t>
            </w:r>
          </w:p>
        </w:tc>
        <w:tc>
          <w:tcPr>
            <w:tcW w:w="3526" w:type="dxa"/>
            <w:noWrap/>
            <w:vAlign w:val="center"/>
          </w:tcPr>
          <w:p w14:paraId="21A7D21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117.1</w:t>
            </w:r>
          </w:p>
        </w:tc>
        <w:tc>
          <w:tcPr>
            <w:tcW w:w="1672" w:type="dxa"/>
            <w:vMerge/>
            <w:noWrap/>
            <w:vAlign w:val="center"/>
          </w:tcPr>
          <w:p w14:paraId="3E34392A" w14:textId="77777777" w:rsidR="002133E3" w:rsidRDefault="002133E3">
            <w:pPr>
              <w:widowControl/>
              <w:jc w:val="center"/>
              <w:rPr>
                <w:rFonts w:ascii="Times New Roman" w:eastAsia="宋体" w:hAnsi="Times New Roman" w:cs="Times New Roman"/>
                <w:kern w:val="0"/>
                <w:szCs w:val="21"/>
              </w:rPr>
            </w:pPr>
          </w:p>
        </w:tc>
      </w:tr>
      <w:tr w:rsidR="002133E3" w14:paraId="3E2BFA11" w14:textId="77777777">
        <w:trPr>
          <w:trHeight w:val="125"/>
        </w:trPr>
        <w:tc>
          <w:tcPr>
            <w:tcW w:w="1853" w:type="dxa"/>
            <w:vMerge w:val="restart"/>
            <w:noWrap/>
            <w:vAlign w:val="center"/>
          </w:tcPr>
          <w:p w14:paraId="33C40C5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负面影响</w:t>
            </w:r>
          </w:p>
        </w:tc>
        <w:tc>
          <w:tcPr>
            <w:tcW w:w="2690" w:type="dxa"/>
            <w:noWrap/>
            <w:vAlign w:val="center"/>
          </w:tcPr>
          <w:p w14:paraId="0319A39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环保投资</w:t>
            </w:r>
          </w:p>
        </w:tc>
        <w:tc>
          <w:tcPr>
            <w:tcW w:w="3526" w:type="dxa"/>
            <w:noWrap/>
            <w:vAlign w:val="center"/>
          </w:tcPr>
          <w:p w14:paraId="09A5D716"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 w:val="20"/>
                <w:szCs w:val="20"/>
                <w:lang w:bidi="ar"/>
              </w:rPr>
              <w:t>60</w:t>
            </w:r>
          </w:p>
        </w:tc>
        <w:tc>
          <w:tcPr>
            <w:tcW w:w="1672" w:type="dxa"/>
            <w:vMerge w:val="restart"/>
            <w:noWrap/>
            <w:vAlign w:val="center"/>
          </w:tcPr>
          <w:p w14:paraId="3A392AC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 w:val="20"/>
                <w:szCs w:val="20"/>
                <w:lang w:bidi="ar"/>
              </w:rPr>
              <w:t>61.53</w:t>
            </w:r>
          </w:p>
        </w:tc>
      </w:tr>
      <w:tr w:rsidR="002133E3" w14:paraId="7804E2C9" w14:textId="77777777">
        <w:trPr>
          <w:trHeight w:val="285"/>
        </w:trPr>
        <w:tc>
          <w:tcPr>
            <w:tcW w:w="1853" w:type="dxa"/>
            <w:vMerge/>
            <w:vAlign w:val="center"/>
          </w:tcPr>
          <w:p w14:paraId="3825358B" w14:textId="77777777" w:rsidR="002133E3" w:rsidRDefault="002133E3">
            <w:pPr>
              <w:widowControl/>
              <w:jc w:val="left"/>
              <w:rPr>
                <w:rFonts w:ascii="Times New Roman" w:eastAsia="宋体" w:hAnsi="Times New Roman" w:cs="Times New Roman"/>
                <w:kern w:val="0"/>
                <w:szCs w:val="21"/>
              </w:rPr>
            </w:pPr>
          </w:p>
        </w:tc>
        <w:tc>
          <w:tcPr>
            <w:tcW w:w="2690" w:type="dxa"/>
            <w:noWrap/>
            <w:vAlign w:val="center"/>
          </w:tcPr>
          <w:p w14:paraId="0683E76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废气排放</w:t>
            </w:r>
          </w:p>
        </w:tc>
        <w:tc>
          <w:tcPr>
            <w:tcW w:w="3526" w:type="dxa"/>
            <w:noWrap/>
            <w:vAlign w:val="center"/>
          </w:tcPr>
          <w:p w14:paraId="0D50D5A0" w14:textId="77777777" w:rsidR="002133E3" w:rsidRDefault="00C22CFA">
            <w:pPr>
              <w:widowControl/>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1.53</w:t>
            </w:r>
          </w:p>
        </w:tc>
        <w:tc>
          <w:tcPr>
            <w:tcW w:w="1672" w:type="dxa"/>
            <w:vMerge/>
            <w:vAlign w:val="center"/>
          </w:tcPr>
          <w:p w14:paraId="71201CFC" w14:textId="77777777" w:rsidR="002133E3" w:rsidRDefault="002133E3">
            <w:pPr>
              <w:widowControl/>
              <w:jc w:val="left"/>
              <w:rPr>
                <w:rFonts w:ascii="Times New Roman" w:eastAsia="宋体" w:hAnsi="Times New Roman" w:cs="Times New Roman"/>
                <w:kern w:val="0"/>
                <w:szCs w:val="21"/>
              </w:rPr>
            </w:pPr>
          </w:p>
        </w:tc>
      </w:tr>
    </w:tbl>
    <w:bookmarkEnd w:id="103"/>
    <w:p w14:paraId="6E7D20F1"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本项目国民经济效益良好，项目本身具有较好的盈利能力，并且具有一定的抗风险能力，项目在经济效益方面可行。</w:t>
      </w:r>
    </w:p>
    <w:p w14:paraId="5165BB5B" w14:textId="77777777" w:rsidR="002133E3" w:rsidRDefault="00C22CFA">
      <w:pPr>
        <w:widowControl/>
        <w:jc w:val="left"/>
        <w:rPr>
          <w:rFonts w:ascii="Times New Roman" w:eastAsia="宋体" w:hAnsi="Times New Roman" w:cs="Times New Roman"/>
          <w:b/>
          <w:sz w:val="30"/>
          <w:szCs w:val="30"/>
        </w:rPr>
      </w:pPr>
      <w:r>
        <w:rPr>
          <w:rFonts w:ascii="Times New Roman" w:eastAsia="宋体" w:hAnsi="Times New Roman" w:cs="Times New Roman"/>
          <w:b/>
          <w:sz w:val="30"/>
          <w:szCs w:val="30"/>
        </w:rPr>
        <w:br w:type="page"/>
      </w:r>
    </w:p>
    <w:p w14:paraId="46D16B00" w14:textId="77777777" w:rsidR="002133E3" w:rsidRDefault="00C22CFA">
      <w:pPr>
        <w:pStyle w:val="affff3"/>
        <w:numPr>
          <w:ilvl w:val="0"/>
          <w:numId w:val="2"/>
        </w:numPr>
        <w:ind w:left="0" w:firstLineChars="0" w:firstLine="0"/>
        <w:outlineLvl w:val="0"/>
        <w:rPr>
          <w:rFonts w:ascii="Times New Roman" w:eastAsia="宋体" w:hAnsi="Times New Roman" w:cs="Times New Roman"/>
          <w:b/>
          <w:sz w:val="30"/>
          <w:szCs w:val="30"/>
        </w:rPr>
      </w:pPr>
      <w:bookmarkStart w:id="104" w:name="_Toc47604364"/>
      <w:r>
        <w:rPr>
          <w:rFonts w:ascii="Times New Roman" w:eastAsia="宋体" w:hAnsi="Times New Roman" w:cs="Times New Roman"/>
          <w:b/>
          <w:sz w:val="30"/>
          <w:szCs w:val="30"/>
        </w:rPr>
        <w:lastRenderedPageBreak/>
        <w:t>环境管理与监控计划</w:t>
      </w:r>
      <w:bookmarkEnd w:id="104"/>
    </w:p>
    <w:p w14:paraId="6B02A9C7"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105" w:name="_Toc47604365"/>
      <w:r>
        <w:rPr>
          <w:rFonts w:ascii="Times New Roman" w:eastAsia="宋体" w:hAnsi="Times New Roman" w:cs="Times New Roman"/>
          <w:b/>
          <w:sz w:val="30"/>
          <w:szCs w:val="30"/>
        </w:rPr>
        <w:t>环境管理要求</w:t>
      </w:r>
      <w:bookmarkEnd w:id="105"/>
    </w:p>
    <w:p w14:paraId="60381BC5" w14:textId="77777777" w:rsidR="002133E3" w:rsidRDefault="00C22CFA">
      <w:pPr>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t xml:space="preserve">(1) </w:t>
      </w:r>
      <w:r>
        <w:rPr>
          <w:rFonts w:ascii="Times New Roman" w:eastAsia="宋体" w:hAnsi="Times New Roman" w:cs="Times New Roman"/>
          <w:b/>
          <w:bCs/>
          <w:sz w:val="28"/>
          <w:szCs w:val="28"/>
        </w:rPr>
        <w:t>施工期</w:t>
      </w:r>
    </w:p>
    <w:p w14:paraId="638E44BB"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施工期采取合理可行的控制措施减少施工期产生的环境污染，落实本项目提出的施工期污染防治对策，减少施工期对周边环境的影响。</w:t>
      </w:r>
    </w:p>
    <w:p w14:paraId="63EFB6EA" w14:textId="77777777" w:rsidR="002133E3" w:rsidRDefault="00C22CFA">
      <w:pPr>
        <w:spacing w:line="500" w:lineRule="exact"/>
        <w:ind w:firstLineChars="200" w:firstLine="562"/>
        <w:rPr>
          <w:rFonts w:ascii="Times New Roman" w:eastAsia="宋体" w:hAnsi="Times New Roman" w:cs="Times New Roman"/>
          <w:b/>
          <w:bCs/>
          <w:sz w:val="28"/>
          <w:szCs w:val="28"/>
        </w:rPr>
      </w:pPr>
      <w:r>
        <w:rPr>
          <w:rFonts w:ascii="Times New Roman" w:eastAsia="宋体" w:hAnsi="Times New Roman" w:cs="Times New Roman"/>
          <w:b/>
          <w:bCs/>
          <w:sz w:val="28"/>
          <w:szCs w:val="28"/>
        </w:rPr>
        <w:t xml:space="preserve">(2) </w:t>
      </w:r>
      <w:r>
        <w:rPr>
          <w:rFonts w:ascii="Times New Roman" w:eastAsia="宋体" w:hAnsi="Times New Roman" w:cs="Times New Roman"/>
          <w:b/>
          <w:bCs/>
          <w:sz w:val="28"/>
          <w:szCs w:val="28"/>
        </w:rPr>
        <w:t>运行期</w:t>
      </w:r>
    </w:p>
    <w:p w14:paraId="7E4907F2"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落实本项目提出的污染防治措施，加强日常的巡检，定期对环保设施的维护与保养，做到环保设施与主体生产设施同步运转。环保设施需由有资质的单位设计和施工，日常生产中需正常运行，并能满足所处置污染物的达标排放。</w:t>
      </w:r>
    </w:p>
    <w:p w14:paraId="52C2C00E"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制定环保管理制度，按危废管理要求建立各厂档案及经营记录。聘请专业人员负责技术，操作人员接受专业培训，做到持证上岗。</w:t>
      </w:r>
    </w:p>
    <w:p w14:paraId="144EBDB8"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106" w:name="_Toc47604366"/>
      <w:r>
        <w:rPr>
          <w:rFonts w:ascii="Times New Roman" w:eastAsia="宋体" w:hAnsi="Times New Roman" w:cs="Times New Roman"/>
          <w:b/>
          <w:sz w:val="30"/>
          <w:szCs w:val="30"/>
        </w:rPr>
        <w:t>污染物排放清单及管理要求</w:t>
      </w:r>
      <w:bookmarkEnd w:id="106"/>
    </w:p>
    <w:p w14:paraId="2BD0ED26"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项目工程组成</w:t>
      </w:r>
    </w:p>
    <w:p w14:paraId="09269237" w14:textId="77777777" w:rsidR="002133E3" w:rsidRDefault="00C22CFA">
      <w:pPr>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本项目工程组成包括主体工程、配套工程、公用工程和环保工程等，详见表</w:t>
      </w:r>
      <w:r>
        <w:rPr>
          <w:rFonts w:ascii="Times New Roman" w:eastAsia="宋体" w:hAnsi="Times New Roman" w:cs="Times New Roman"/>
          <w:sz w:val="28"/>
          <w:szCs w:val="28"/>
        </w:rPr>
        <w:t>9.2-1</w:t>
      </w:r>
      <w:r>
        <w:rPr>
          <w:rFonts w:ascii="Times New Roman" w:eastAsia="宋体" w:hAnsi="Times New Roman" w:cs="Times New Roman"/>
          <w:sz w:val="28"/>
          <w:szCs w:val="28"/>
        </w:rPr>
        <w:t>。</w:t>
      </w:r>
    </w:p>
    <w:p w14:paraId="27C3FF6E" w14:textId="77777777" w:rsidR="002133E3" w:rsidRDefault="00C22CFA">
      <w:pPr>
        <w:widowControl/>
        <w:spacing w:line="500" w:lineRule="atLeast"/>
        <w:jc w:val="center"/>
        <w:rPr>
          <w:rFonts w:ascii="Times New Roman" w:eastAsia="宋体" w:hAnsi="Times New Roman" w:cs="Times New Roman"/>
          <w:b/>
          <w:bCs/>
          <w:color w:val="000000"/>
          <w:kern w:val="0"/>
          <w:sz w:val="24"/>
          <w:szCs w:val="24"/>
        </w:rPr>
      </w:pPr>
      <w:r>
        <w:rPr>
          <w:rFonts w:ascii="Times New Roman" w:eastAsia="宋体" w:hAnsi="Times New Roman" w:cs="Times New Roman"/>
          <w:b/>
          <w:bCs/>
          <w:color w:val="000000"/>
          <w:kern w:val="0"/>
          <w:sz w:val="24"/>
          <w:szCs w:val="24"/>
        </w:rPr>
        <w:t>表</w:t>
      </w:r>
      <w:r>
        <w:rPr>
          <w:rFonts w:ascii="Times New Roman" w:eastAsia="宋体" w:hAnsi="Times New Roman" w:cs="Times New Roman"/>
          <w:b/>
          <w:bCs/>
          <w:color w:val="000000"/>
          <w:kern w:val="0"/>
          <w:sz w:val="24"/>
          <w:szCs w:val="24"/>
        </w:rPr>
        <w:t xml:space="preserve">9.2-1  </w:t>
      </w:r>
      <w:r>
        <w:rPr>
          <w:rFonts w:ascii="Times New Roman" w:eastAsia="宋体" w:hAnsi="Times New Roman" w:cs="Times New Roman"/>
          <w:b/>
          <w:bCs/>
          <w:color w:val="000000"/>
          <w:kern w:val="0"/>
          <w:sz w:val="24"/>
          <w:szCs w:val="24"/>
        </w:rPr>
        <w:t>项目工程组成情况表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1559"/>
        <w:gridCol w:w="6031"/>
        <w:gridCol w:w="1588"/>
      </w:tblGrid>
      <w:tr w:rsidR="002133E3" w14:paraId="362A663C" w14:textId="77777777">
        <w:trPr>
          <w:cantSplit/>
          <w:trHeight w:val="284"/>
          <w:jc w:val="center"/>
        </w:trPr>
        <w:tc>
          <w:tcPr>
            <w:tcW w:w="343" w:type="pct"/>
            <w:vAlign w:val="center"/>
          </w:tcPr>
          <w:p w14:paraId="252AE253"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b/>
                <w:kern w:val="0"/>
                <w:szCs w:val="21"/>
              </w:rPr>
              <w:t>类别</w:t>
            </w:r>
          </w:p>
        </w:tc>
        <w:tc>
          <w:tcPr>
            <w:tcW w:w="791" w:type="pct"/>
            <w:vAlign w:val="center"/>
          </w:tcPr>
          <w:p w14:paraId="793948F0" w14:textId="77777777" w:rsidR="002133E3" w:rsidRDefault="00C22CFA">
            <w:pPr>
              <w:widowControl/>
              <w:jc w:val="center"/>
              <w:rPr>
                <w:rFonts w:ascii="Times New Roman" w:eastAsia="宋体" w:hAnsi="Times New Roman" w:cs="Times New Roman"/>
                <w:b/>
                <w:spacing w:val="-10"/>
                <w:kern w:val="0"/>
                <w:szCs w:val="21"/>
              </w:rPr>
            </w:pPr>
            <w:r>
              <w:rPr>
                <w:rFonts w:ascii="Times New Roman" w:eastAsia="宋体" w:hAnsi="Times New Roman" w:cs="Times New Roman"/>
                <w:b/>
                <w:spacing w:val="-10"/>
                <w:kern w:val="0"/>
                <w:szCs w:val="21"/>
              </w:rPr>
              <w:t>建设名称</w:t>
            </w:r>
          </w:p>
        </w:tc>
        <w:tc>
          <w:tcPr>
            <w:tcW w:w="3060" w:type="pct"/>
            <w:vAlign w:val="center"/>
          </w:tcPr>
          <w:p w14:paraId="25B027A2" w14:textId="77777777" w:rsidR="002133E3" w:rsidRDefault="00C22CFA">
            <w:pPr>
              <w:ind w:leftChars="47" w:left="99"/>
              <w:jc w:val="center"/>
              <w:rPr>
                <w:rFonts w:ascii="Times New Roman" w:eastAsia="宋体" w:hAnsi="Times New Roman" w:cs="Times New Roman"/>
                <w:b/>
                <w:spacing w:val="-10"/>
                <w:szCs w:val="21"/>
              </w:rPr>
            </w:pPr>
            <w:r>
              <w:rPr>
                <w:rFonts w:ascii="Times New Roman" w:eastAsia="宋体" w:hAnsi="Times New Roman" w:cs="Times New Roman"/>
                <w:b/>
                <w:spacing w:val="-10"/>
                <w:szCs w:val="21"/>
              </w:rPr>
              <w:t>设计能力</w:t>
            </w:r>
          </w:p>
        </w:tc>
        <w:tc>
          <w:tcPr>
            <w:tcW w:w="806" w:type="pct"/>
            <w:vAlign w:val="center"/>
          </w:tcPr>
          <w:p w14:paraId="71ED42D9" w14:textId="77777777" w:rsidR="002133E3" w:rsidRDefault="00C22CFA">
            <w:pPr>
              <w:widowControl/>
              <w:jc w:val="center"/>
              <w:rPr>
                <w:rFonts w:ascii="Times New Roman" w:eastAsia="宋体" w:hAnsi="Times New Roman" w:cs="Times New Roman"/>
                <w:b/>
                <w:spacing w:val="-10"/>
                <w:kern w:val="0"/>
                <w:szCs w:val="21"/>
              </w:rPr>
            </w:pPr>
            <w:r>
              <w:rPr>
                <w:rFonts w:ascii="Times New Roman" w:eastAsia="宋体" w:hAnsi="Times New Roman" w:cs="Times New Roman"/>
                <w:b/>
                <w:spacing w:val="-10"/>
                <w:kern w:val="0"/>
                <w:szCs w:val="21"/>
              </w:rPr>
              <w:t>备注</w:t>
            </w:r>
          </w:p>
        </w:tc>
      </w:tr>
      <w:tr w:rsidR="002133E3" w14:paraId="50DBCA99" w14:textId="77777777">
        <w:trPr>
          <w:cantSplit/>
          <w:trHeight w:val="284"/>
          <w:jc w:val="center"/>
        </w:trPr>
        <w:tc>
          <w:tcPr>
            <w:tcW w:w="343" w:type="pct"/>
            <w:vAlign w:val="center"/>
          </w:tcPr>
          <w:p w14:paraId="13A0D8C0" w14:textId="77777777" w:rsidR="002133E3" w:rsidRDefault="00C22CFA">
            <w:pPr>
              <w:widowControl/>
              <w:jc w:val="center"/>
              <w:rPr>
                <w:rFonts w:ascii="Times New Roman" w:eastAsia="宋体" w:hAnsi="Times New Roman" w:cs="Times New Roman"/>
                <w:b/>
                <w:kern w:val="0"/>
                <w:szCs w:val="21"/>
              </w:rPr>
            </w:pPr>
            <w:r>
              <w:rPr>
                <w:rFonts w:ascii="Times New Roman" w:eastAsia="宋体" w:hAnsi="Times New Roman" w:cs="Times New Roman"/>
                <w:szCs w:val="21"/>
              </w:rPr>
              <w:t>主体工程</w:t>
            </w:r>
          </w:p>
        </w:tc>
        <w:tc>
          <w:tcPr>
            <w:tcW w:w="791" w:type="pct"/>
            <w:vAlign w:val="center"/>
          </w:tcPr>
          <w:p w14:paraId="1CA806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酒精生产线；</w:t>
            </w:r>
          </w:p>
          <w:p w14:paraId="75000BA8" w14:textId="77777777" w:rsidR="002133E3" w:rsidRDefault="00C22CFA">
            <w:pPr>
              <w:widowControl/>
              <w:rPr>
                <w:rFonts w:ascii="Times New Roman" w:eastAsia="宋体" w:hAnsi="Times New Roman" w:cs="Times New Roman"/>
                <w:b/>
                <w:spacing w:val="-10"/>
                <w:kern w:val="0"/>
                <w:szCs w:val="21"/>
              </w:rPr>
            </w:pPr>
            <w:r>
              <w:rPr>
                <w:rFonts w:ascii="Times New Roman" w:eastAsia="宋体" w:hAnsi="Times New Roman" w:cs="Times New Roman"/>
                <w:kern w:val="0"/>
                <w:szCs w:val="21"/>
              </w:rPr>
              <w:t>无水乙醇生产线</w:t>
            </w:r>
          </w:p>
        </w:tc>
        <w:tc>
          <w:tcPr>
            <w:tcW w:w="3060" w:type="pct"/>
            <w:vAlign w:val="center"/>
          </w:tcPr>
          <w:p w14:paraId="1DCC2CE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酒精</w:t>
            </w:r>
          </w:p>
          <w:p w14:paraId="3CE3AA4E" w14:textId="77777777" w:rsidR="002133E3" w:rsidRDefault="00C22CFA">
            <w:pPr>
              <w:ind w:leftChars="47" w:left="99"/>
              <w:jc w:val="center"/>
              <w:rPr>
                <w:rFonts w:ascii="Times New Roman" w:eastAsia="宋体" w:hAnsi="Times New Roman" w:cs="Times New Roman"/>
                <w:b/>
                <w:spacing w:val="-1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无水乙醇</w:t>
            </w:r>
          </w:p>
        </w:tc>
        <w:tc>
          <w:tcPr>
            <w:tcW w:w="806" w:type="pct"/>
            <w:vAlign w:val="center"/>
          </w:tcPr>
          <w:p w14:paraId="05094D01" w14:textId="77777777" w:rsidR="002133E3" w:rsidRDefault="00C22CFA">
            <w:pPr>
              <w:widowControl/>
              <w:jc w:val="center"/>
              <w:rPr>
                <w:rFonts w:ascii="Times New Roman" w:eastAsia="宋体" w:hAnsi="Times New Roman" w:cs="Times New Roman"/>
                <w:b/>
                <w:spacing w:val="-10"/>
                <w:kern w:val="0"/>
                <w:szCs w:val="21"/>
              </w:rPr>
            </w:pPr>
            <w:r>
              <w:rPr>
                <w:rFonts w:ascii="Times New Roman" w:eastAsia="宋体" w:hAnsi="Times New Roman" w:cs="Times New Roman"/>
                <w:kern w:val="0"/>
                <w:szCs w:val="21"/>
              </w:rPr>
              <w:t>10</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酒精生产线技术改造；</w:t>
            </w:r>
            <w:r>
              <w:rPr>
                <w:rFonts w:ascii="Times New Roman" w:eastAsia="宋体" w:hAnsi="Times New Roman" w:cs="Times New Roman"/>
                <w:kern w:val="0"/>
                <w:szCs w:val="21"/>
              </w:rPr>
              <w:t>6</w:t>
            </w:r>
            <w:r>
              <w:rPr>
                <w:rFonts w:ascii="Times New Roman" w:eastAsia="宋体" w:hAnsi="Times New Roman" w:cs="Times New Roman"/>
                <w:kern w:val="0"/>
                <w:szCs w:val="21"/>
              </w:rPr>
              <w:t>万</w:t>
            </w:r>
            <w:r>
              <w:rPr>
                <w:rFonts w:ascii="Times New Roman" w:eastAsia="宋体" w:hAnsi="Times New Roman" w:cs="Times New Roman"/>
                <w:kern w:val="0"/>
                <w:szCs w:val="21"/>
              </w:rPr>
              <w:t>t/a</w:t>
            </w:r>
            <w:r>
              <w:rPr>
                <w:rFonts w:ascii="Times New Roman" w:eastAsia="宋体" w:hAnsi="Times New Roman" w:cs="Times New Roman"/>
                <w:kern w:val="0"/>
                <w:szCs w:val="21"/>
              </w:rPr>
              <w:t>无水乙醇生产线新建</w:t>
            </w:r>
          </w:p>
        </w:tc>
      </w:tr>
      <w:tr w:rsidR="002133E3" w14:paraId="2006E7C0" w14:textId="77777777">
        <w:trPr>
          <w:cantSplit/>
          <w:trHeight w:val="284"/>
          <w:jc w:val="center"/>
        </w:trPr>
        <w:tc>
          <w:tcPr>
            <w:tcW w:w="343" w:type="pct"/>
            <w:vMerge w:val="restart"/>
            <w:vAlign w:val="center"/>
          </w:tcPr>
          <w:p w14:paraId="1AF8220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公</w:t>
            </w:r>
          </w:p>
          <w:p w14:paraId="3C3D52B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用</w:t>
            </w:r>
          </w:p>
          <w:p w14:paraId="179ADB7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工</w:t>
            </w:r>
          </w:p>
          <w:p w14:paraId="2AE366A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程</w:t>
            </w:r>
          </w:p>
        </w:tc>
        <w:tc>
          <w:tcPr>
            <w:tcW w:w="791" w:type="pct"/>
            <w:vAlign w:val="center"/>
          </w:tcPr>
          <w:p w14:paraId="70E54A56" w14:textId="77777777" w:rsidR="002133E3" w:rsidRDefault="00C22CFA">
            <w:pPr>
              <w:widowControl/>
              <w:jc w:val="center"/>
              <w:rPr>
                <w:rFonts w:ascii="Times New Roman" w:eastAsia="宋体" w:hAnsi="Times New Roman" w:cs="Times New Roman"/>
                <w:spacing w:val="-10"/>
                <w:kern w:val="0"/>
                <w:szCs w:val="21"/>
              </w:rPr>
            </w:pPr>
            <w:r>
              <w:rPr>
                <w:rFonts w:ascii="Times New Roman" w:eastAsia="宋体" w:hAnsi="Times New Roman" w:cs="Times New Roman"/>
                <w:spacing w:val="-10"/>
                <w:kern w:val="0"/>
                <w:szCs w:val="21"/>
              </w:rPr>
              <w:t>供水</w:t>
            </w:r>
            <w:r>
              <w:rPr>
                <w:rFonts w:ascii="Times New Roman" w:eastAsia="宋体" w:hAnsi="Times New Roman" w:cs="Times New Roman"/>
                <w:spacing w:val="-10"/>
                <w:kern w:val="0"/>
                <w:szCs w:val="21"/>
              </w:rPr>
              <w:t>(</w:t>
            </w:r>
            <w:r>
              <w:rPr>
                <w:rFonts w:ascii="Times New Roman" w:eastAsia="宋体" w:hAnsi="Times New Roman" w:cs="Times New Roman"/>
                <w:spacing w:val="-10"/>
                <w:kern w:val="0"/>
                <w:szCs w:val="21"/>
              </w:rPr>
              <w:t>新鲜水</w:t>
            </w:r>
            <w:r>
              <w:rPr>
                <w:rFonts w:ascii="Times New Roman" w:eastAsia="宋体" w:hAnsi="Times New Roman" w:cs="Times New Roman"/>
                <w:spacing w:val="-10"/>
                <w:kern w:val="0"/>
                <w:szCs w:val="21"/>
              </w:rPr>
              <w:t>)</w:t>
            </w:r>
          </w:p>
        </w:tc>
        <w:tc>
          <w:tcPr>
            <w:tcW w:w="3060" w:type="pct"/>
            <w:vAlign w:val="center"/>
          </w:tcPr>
          <w:p w14:paraId="2761BE41"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总需新水量</w:t>
            </w:r>
            <w:r>
              <w:rPr>
                <w:rFonts w:ascii="Times New Roman" w:eastAsia="宋体" w:hAnsi="Times New Roman" w:cs="Times New Roman"/>
                <w:color w:val="000000"/>
                <w:kern w:val="0"/>
                <w:sz w:val="22"/>
                <w:lang w:val="zh-CN"/>
              </w:rPr>
              <w:t>1542714.18</w:t>
            </w:r>
            <w:r>
              <w:rPr>
                <w:rFonts w:ascii="Times New Roman" w:eastAsia="宋体" w:hAnsi="Times New Roman" w:cs="Times New Roman"/>
                <w:kern w:val="0"/>
                <w:szCs w:val="21"/>
              </w:rPr>
              <w:t xml:space="preserve">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/a</w:t>
            </w:r>
            <w:r>
              <w:rPr>
                <w:rFonts w:ascii="Times New Roman" w:eastAsia="宋体" w:hAnsi="Times New Roman" w:cs="Times New Roman"/>
                <w:kern w:val="0"/>
                <w:szCs w:val="21"/>
              </w:rPr>
              <w:t>，主要用水点为工艺用水、地面及设备冲洗水、生活用水、废气处理用水及循环水补充水等。用水来源于园区自来水管网。</w:t>
            </w:r>
          </w:p>
        </w:tc>
        <w:tc>
          <w:tcPr>
            <w:tcW w:w="806" w:type="pct"/>
            <w:vAlign w:val="center"/>
          </w:tcPr>
          <w:p w14:paraId="6BCC8493"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1E592409" w14:textId="77777777">
        <w:trPr>
          <w:cantSplit/>
          <w:trHeight w:val="284"/>
          <w:jc w:val="center"/>
        </w:trPr>
        <w:tc>
          <w:tcPr>
            <w:tcW w:w="343" w:type="pct"/>
            <w:vMerge/>
            <w:vAlign w:val="center"/>
          </w:tcPr>
          <w:p w14:paraId="43F57D67"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3BD8AB4A" w14:textId="77777777" w:rsidR="002133E3" w:rsidRDefault="00C22CFA">
            <w:pPr>
              <w:spacing w:before="60" w:after="120"/>
              <w:jc w:val="center"/>
              <w:rPr>
                <w:rFonts w:ascii="Times New Roman" w:eastAsia="宋体" w:hAnsi="Times New Roman" w:cs="Times New Roman"/>
                <w:bCs/>
                <w:szCs w:val="21"/>
              </w:rPr>
            </w:pPr>
            <w:r>
              <w:rPr>
                <w:rFonts w:ascii="Times New Roman" w:eastAsia="宋体" w:hAnsi="Times New Roman" w:cs="Times New Roman"/>
                <w:bCs/>
                <w:szCs w:val="21"/>
              </w:rPr>
              <w:t>排水</w:t>
            </w:r>
          </w:p>
        </w:tc>
        <w:tc>
          <w:tcPr>
            <w:tcW w:w="3060" w:type="pct"/>
            <w:vAlign w:val="center"/>
          </w:tcPr>
          <w:p w14:paraId="02300BAE"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采用雨污分流制。项目总排水量</w:t>
            </w:r>
            <w:r>
              <w:rPr>
                <w:rFonts w:ascii="Times New Roman" w:hAnsi="Times New Roman" w:cs="Times New Roman"/>
                <w:color w:val="000000"/>
                <w:kern w:val="0"/>
                <w:szCs w:val="21"/>
                <w:lang w:val="zh-CN"/>
              </w:rPr>
              <w:t>1262700.28</w:t>
            </w:r>
            <w:r>
              <w:rPr>
                <w:rFonts w:ascii="Times New Roman" w:eastAsia="宋体" w:hAnsi="Times New Roman" w:cs="Times New Roman"/>
                <w:kern w:val="0"/>
                <w:szCs w:val="21"/>
              </w:rPr>
              <w:t>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/a</w:t>
            </w:r>
            <w:r>
              <w:rPr>
                <w:rFonts w:ascii="Times New Roman" w:eastAsia="宋体" w:hAnsi="Times New Roman" w:cs="Times New Roman"/>
                <w:kern w:val="0"/>
                <w:szCs w:val="21"/>
              </w:rPr>
              <w:t>，其中生产废水等废水排放量</w:t>
            </w:r>
            <w:r>
              <w:rPr>
                <w:rFonts w:ascii="Times New Roman" w:eastAsia="宋体" w:hAnsi="Times New Roman" w:cs="Times New Roman"/>
                <w:kern w:val="0"/>
                <w:szCs w:val="21"/>
              </w:rPr>
              <w:t>1175440.28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/a</w:t>
            </w:r>
            <w:r>
              <w:rPr>
                <w:rFonts w:ascii="Times New Roman" w:eastAsia="宋体" w:hAnsi="Times New Roman" w:cs="Times New Roman"/>
                <w:kern w:val="0"/>
                <w:szCs w:val="21"/>
              </w:rPr>
              <w:t>，入厂区内污水站预处理，处理后废水由污水管网收集送至通海污水处理厂处理。厂区雨水及清洁下水经厂区雨水管网外排入区域雨水管网。</w:t>
            </w:r>
          </w:p>
        </w:tc>
        <w:tc>
          <w:tcPr>
            <w:tcW w:w="806" w:type="pct"/>
            <w:vAlign w:val="center"/>
          </w:tcPr>
          <w:p w14:paraId="083CC4D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1E87FF11" w14:textId="77777777">
        <w:trPr>
          <w:cantSplit/>
          <w:trHeight w:val="284"/>
          <w:jc w:val="center"/>
        </w:trPr>
        <w:tc>
          <w:tcPr>
            <w:tcW w:w="343" w:type="pct"/>
            <w:vMerge/>
            <w:vAlign w:val="center"/>
          </w:tcPr>
          <w:p w14:paraId="5CC83E42"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0909422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供电</w:t>
            </w:r>
          </w:p>
        </w:tc>
        <w:tc>
          <w:tcPr>
            <w:tcW w:w="3060" w:type="pct"/>
            <w:vAlign w:val="center"/>
          </w:tcPr>
          <w:p w14:paraId="433ACD8C"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技改项目用电量</w:t>
            </w:r>
            <w:r>
              <w:rPr>
                <w:rFonts w:ascii="Times New Roman" w:eastAsia="宋体" w:hAnsi="Times New Roman" w:cs="Times New Roman"/>
                <w:kern w:val="0"/>
                <w:szCs w:val="21"/>
              </w:rPr>
              <w:t>180</w:t>
            </w:r>
            <w:r>
              <w:rPr>
                <w:rFonts w:ascii="Times New Roman" w:eastAsia="宋体" w:hAnsi="Times New Roman" w:cs="Times New Roman"/>
                <w:kern w:val="0"/>
                <w:szCs w:val="21"/>
              </w:rPr>
              <w:t>万</w:t>
            </w:r>
            <w:r>
              <w:rPr>
                <w:rFonts w:ascii="Times New Roman" w:eastAsia="宋体" w:hAnsi="Times New Roman" w:cs="Times New Roman"/>
                <w:kern w:val="0"/>
                <w:szCs w:val="21"/>
              </w:rPr>
              <w:t>kWh/a</w:t>
            </w:r>
            <w:r>
              <w:rPr>
                <w:rFonts w:ascii="Times New Roman" w:eastAsia="宋体" w:hAnsi="Times New Roman" w:cs="Times New Roman"/>
                <w:kern w:val="0"/>
                <w:szCs w:val="21"/>
              </w:rPr>
              <w:t>。公司批项目用电量</w:t>
            </w:r>
            <w:r>
              <w:rPr>
                <w:rFonts w:ascii="Times New Roman" w:eastAsia="宋体" w:hAnsi="Times New Roman" w:cs="Times New Roman"/>
                <w:kern w:val="0"/>
                <w:szCs w:val="21"/>
              </w:rPr>
              <w:t>9093.76</w:t>
            </w:r>
            <w:r>
              <w:rPr>
                <w:rFonts w:ascii="Times New Roman" w:eastAsia="宋体" w:hAnsi="Times New Roman" w:cs="Times New Roman"/>
                <w:kern w:val="0"/>
                <w:szCs w:val="21"/>
              </w:rPr>
              <w:t>万</w:t>
            </w:r>
            <w:r>
              <w:rPr>
                <w:rFonts w:ascii="Times New Roman" w:eastAsia="宋体" w:hAnsi="Times New Roman" w:cs="Times New Roman"/>
                <w:kern w:val="0"/>
                <w:szCs w:val="21"/>
              </w:rPr>
              <w:t>kWh</w:t>
            </w:r>
            <w:r>
              <w:rPr>
                <w:rFonts w:ascii="Times New Roman" w:eastAsia="宋体" w:hAnsi="Times New Roman" w:cs="Times New Roman"/>
                <w:kern w:val="0"/>
                <w:szCs w:val="21"/>
              </w:rPr>
              <w:t>，已建发电机组可提供电量为</w:t>
            </w:r>
            <w:r>
              <w:rPr>
                <w:rFonts w:ascii="Times New Roman" w:eastAsia="宋体" w:hAnsi="Times New Roman" w:cs="Times New Roman"/>
                <w:kern w:val="0"/>
                <w:szCs w:val="21"/>
              </w:rPr>
              <w:t>6892</w:t>
            </w:r>
            <w:r>
              <w:rPr>
                <w:rFonts w:ascii="Times New Roman" w:eastAsia="宋体" w:hAnsi="Times New Roman" w:cs="Times New Roman"/>
                <w:kern w:val="0"/>
                <w:szCs w:val="21"/>
              </w:rPr>
              <w:t>万</w:t>
            </w:r>
            <w:r>
              <w:rPr>
                <w:rFonts w:ascii="Times New Roman" w:eastAsia="宋体" w:hAnsi="Times New Roman" w:cs="Times New Roman"/>
                <w:kern w:val="0"/>
                <w:szCs w:val="21"/>
              </w:rPr>
              <w:t>kWh</w:t>
            </w:r>
            <w:r>
              <w:rPr>
                <w:rFonts w:ascii="Times New Roman" w:eastAsia="宋体" w:hAnsi="Times New Roman" w:cs="Times New Roman"/>
                <w:kern w:val="0"/>
                <w:szCs w:val="21"/>
              </w:rPr>
              <w:t>，因此本项目用电需由海头变电所统一供给。</w:t>
            </w:r>
          </w:p>
        </w:tc>
        <w:tc>
          <w:tcPr>
            <w:tcW w:w="806" w:type="pct"/>
            <w:vAlign w:val="center"/>
          </w:tcPr>
          <w:p w14:paraId="41EC3A5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121D66E1" w14:textId="77777777">
        <w:trPr>
          <w:cantSplit/>
          <w:trHeight w:val="284"/>
          <w:jc w:val="center"/>
        </w:trPr>
        <w:tc>
          <w:tcPr>
            <w:tcW w:w="343" w:type="pct"/>
            <w:vMerge/>
            <w:vAlign w:val="center"/>
          </w:tcPr>
          <w:p w14:paraId="6250FDA0"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581EC3C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循环冷却水</w:t>
            </w:r>
          </w:p>
        </w:tc>
        <w:tc>
          <w:tcPr>
            <w:tcW w:w="3060" w:type="pct"/>
            <w:vAlign w:val="center"/>
          </w:tcPr>
          <w:p w14:paraId="2F49B5A3"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公司现有循环冷却系统设计能力</w:t>
            </w:r>
            <w:r>
              <w:rPr>
                <w:rFonts w:ascii="Times New Roman" w:eastAsia="宋体" w:hAnsi="Times New Roman" w:cs="Times New Roman"/>
                <w:kern w:val="0"/>
                <w:szCs w:val="21"/>
              </w:rPr>
              <w:t>14500m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/h</w:t>
            </w:r>
            <w:r>
              <w:rPr>
                <w:rFonts w:ascii="Times New Roman" w:eastAsia="宋体" w:hAnsi="Times New Roman" w:cs="Times New Roman"/>
                <w:kern w:val="0"/>
                <w:szCs w:val="21"/>
              </w:rPr>
              <w:t>，现有项目用量</w:t>
            </w:r>
            <w:r>
              <w:rPr>
                <w:rFonts w:ascii="Times New Roman" w:eastAsia="宋体" w:hAnsi="Times New Roman" w:cs="Times New Roman"/>
                <w:kern w:val="0"/>
                <w:szCs w:val="21"/>
              </w:rPr>
              <w:t>5550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/h</w:t>
            </w:r>
            <w:r>
              <w:rPr>
                <w:rFonts w:ascii="Times New Roman" w:eastAsia="宋体" w:hAnsi="Times New Roman" w:cs="Times New Roman"/>
                <w:kern w:val="0"/>
                <w:szCs w:val="21"/>
              </w:rPr>
              <w:t>。技改项目年需补充新鲜水量约</w:t>
            </w:r>
            <w:r>
              <w:rPr>
                <w:rFonts w:ascii="Times New Roman" w:eastAsia="宋体" w:hAnsi="Times New Roman" w:cs="Times New Roman"/>
                <w:kern w:val="0"/>
                <w:szCs w:val="21"/>
              </w:rPr>
              <w:t>16200000 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p>
        </w:tc>
        <w:tc>
          <w:tcPr>
            <w:tcW w:w="806" w:type="pct"/>
            <w:vAlign w:val="center"/>
          </w:tcPr>
          <w:p w14:paraId="39C9E9DC"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0CB4B35F" w14:textId="77777777">
        <w:trPr>
          <w:cantSplit/>
          <w:trHeight w:val="284"/>
          <w:jc w:val="center"/>
        </w:trPr>
        <w:tc>
          <w:tcPr>
            <w:tcW w:w="343" w:type="pct"/>
            <w:vMerge/>
            <w:vAlign w:val="center"/>
          </w:tcPr>
          <w:p w14:paraId="0D0083EF"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67D2122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供热</w:t>
            </w:r>
          </w:p>
        </w:tc>
        <w:tc>
          <w:tcPr>
            <w:tcW w:w="3060" w:type="pct"/>
            <w:vAlign w:val="center"/>
          </w:tcPr>
          <w:p w14:paraId="010F7A6D" w14:textId="77777777" w:rsidR="002133E3" w:rsidRDefault="00C22CFA">
            <w:pPr>
              <w:widowControl/>
              <w:rPr>
                <w:rFonts w:ascii="Times New Roman" w:eastAsia="宋体" w:hAnsi="Times New Roman" w:cs="Times New Roman"/>
                <w:kern w:val="0"/>
                <w:szCs w:val="21"/>
                <w:highlight w:val="green"/>
              </w:rPr>
            </w:pPr>
            <w:r>
              <w:rPr>
                <w:rFonts w:ascii="Times New Roman" w:eastAsia="宋体" w:hAnsi="Times New Roman" w:cs="Times New Roman"/>
                <w:kern w:val="0"/>
                <w:szCs w:val="21"/>
              </w:rPr>
              <w:t>项目用汽约</w:t>
            </w:r>
            <w:r>
              <w:rPr>
                <w:rFonts w:ascii="Times New Roman" w:eastAsia="宋体" w:hAnsi="Times New Roman" w:cs="Times New Roman"/>
                <w:color w:val="000000"/>
                <w:kern w:val="0"/>
                <w:szCs w:val="21"/>
                <w:lang w:val="zh-CN"/>
              </w:rPr>
              <w:t>209000</w:t>
            </w:r>
            <w:r>
              <w:rPr>
                <w:rFonts w:ascii="Times New Roman" w:eastAsia="宋体" w:hAnsi="Times New Roman" w:cs="Times New Roman"/>
                <w:kern w:val="0"/>
                <w:szCs w:val="21"/>
              </w:rPr>
              <w:t>t/a</w:t>
            </w:r>
            <w:r>
              <w:rPr>
                <w:rFonts w:ascii="Times New Roman" w:eastAsia="宋体" w:hAnsi="Times New Roman" w:cs="Times New Roman"/>
                <w:kern w:val="0"/>
                <w:szCs w:val="21"/>
              </w:rPr>
              <w:t>，厂区</w:t>
            </w:r>
            <w:r>
              <w:rPr>
                <w:rFonts w:ascii="Times New Roman" w:eastAsia="宋体" w:hAnsi="Times New Roman" w:cs="Times New Roman"/>
                <w:kern w:val="0"/>
                <w:szCs w:val="21"/>
              </w:rPr>
              <w:t>1</w:t>
            </w:r>
            <w:r>
              <w:rPr>
                <w:rFonts w:ascii="Times New Roman" w:eastAsia="宋体" w:hAnsi="Times New Roman" w:cs="Times New Roman"/>
                <w:kern w:val="0"/>
                <w:szCs w:val="21"/>
              </w:rPr>
              <w:t>台</w:t>
            </w:r>
            <w:r>
              <w:rPr>
                <w:rFonts w:ascii="Times New Roman" w:eastAsia="宋体" w:hAnsi="Times New Roman" w:cs="Times New Roman"/>
                <w:kern w:val="0"/>
                <w:szCs w:val="21"/>
              </w:rPr>
              <w:t>75t/h</w:t>
            </w:r>
            <w:r>
              <w:rPr>
                <w:rFonts w:ascii="Times New Roman" w:eastAsia="宋体" w:hAnsi="Times New Roman" w:cs="Times New Roman"/>
                <w:kern w:val="0"/>
                <w:szCs w:val="21"/>
              </w:rPr>
              <w:t>沼气锅炉以及产业区供热中心</w:t>
            </w:r>
            <w:r>
              <w:rPr>
                <w:rFonts w:ascii="Times New Roman" w:eastAsia="宋体" w:hAnsi="Times New Roman" w:cs="Times New Roman"/>
                <w:kern w:val="0"/>
                <w:szCs w:val="21"/>
              </w:rPr>
              <w:t>2</w:t>
            </w:r>
            <w:r>
              <w:rPr>
                <w:rFonts w:ascii="Times New Roman" w:eastAsia="宋体" w:hAnsi="Times New Roman" w:cs="Times New Roman"/>
                <w:kern w:val="0"/>
                <w:szCs w:val="21"/>
              </w:rPr>
              <w:t>台</w:t>
            </w:r>
            <w:r>
              <w:rPr>
                <w:rFonts w:ascii="Times New Roman" w:eastAsia="宋体" w:hAnsi="Times New Roman" w:cs="Times New Roman"/>
                <w:kern w:val="0"/>
                <w:szCs w:val="21"/>
              </w:rPr>
              <w:t>75t/h</w:t>
            </w:r>
            <w:r>
              <w:rPr>
                <w:rFonts w:ascii="Times New Roman" w:eastAsia="宋体" w:hAnsi="Times New Roman" w:cs="Times New Roman"/>
                <w:kern w:val="0"/>
                <w:szCs w:val="21"/>
              </w:rPr>
              <w:t>流化床混烧锅炉提供。</w:t>
            </w:r>
          </w:p>
        </w:tc>
        <w:tc>
          <w:tcPr>
            <w:tcW w:w="806" w:type="pct"/>
            <w:vAlign w:val="center"/>
          </w:tcPr>
          <w:p w14:paraId="49D85EA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新增</w:t>
            </w:r>
          </w:p>
        </w:tc>
      </w:tr>
      <w:tr w:rsidR="002133E3" w14:paraId="633CB420" w14:textId="77777777">
        <w:trPr>
          <w:cantSplit/>
          <w:trHeight w:val="284"/>
          <w:jc w:val="center"/>
        </w:trPr>
        <w:tc>
          <w:tcPr>
            <w:tcW w:w="1134" w:type="pct"/>
            <w:gridSpan w:val="2"/>
            <w:vAlign w:val="center"/>
          </w:tcPr>
          <w:p w14:paraId="0B51FC03"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lastRenderedPageBreak/>
              <w:t>绿化</w:t>
            </w:r>
          </w:p>
        </w:tc>
        <w:tc>
          <w:tcPr>
            <w:tcW w:w="3060" w:type="pct"/>
            <w:vAlign w:val="center"/>
          </w:tcPr>
          <w:p w14:paraId="633DB0EA"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本期绿化无新增</w:t>
            </w:r>
          </w:p>
        </w:tc>
        <w:tc>
          <w:tcPr>
            <w:tcW w:w="806" w:type="pct"/>
            <w:vAlign w:val="center"/>
          </w:tcPr>
          <w:p w14:paraId="50B8F93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01F852C" w14:textId="77777777">
        <w:trPr>
          <w:cantSplit/>
          <w:trHeight w:val="284"/>
          <w:jc w:val="center"/>
        </w:trPr>
        <w:tc>
          <w:tcPr>
            <w:tcW w:w="343" w:type="pct"/>
            <w:vMerge w:val="restart"/>
            <w:vAlign w:val="center"/>
          </w:tcPr>
          <w:p w14:paraId="2AD71BF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贮</w:t>
            </w:r>
          </w:p>
          <w:p w14:paraId="1958EBF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运</w:t>
            </w:r>
          </w:p>
          <w:p w14:paraId="0361014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工</w:t>
            </w:r>
          </w:p>
          <w:p w14:paraId="3B7BC50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程</w:t>
            </w:r>
          </w:p>
        </w:tc>
        <w:tc>
          <w:tcPr>
            <w:tcW w:w="791" w:type="pct"/>
            <w:vAlign w:val="center"/>
          </w:tcPr>
          <w:p w14:paraId="1641B5FF"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外部运输</w:t>
            </w:r>
          </w:p>
        </w:tc>
        <w:tc>
          <w:tcPr>
            <w:tcW w:w="3060" w:type="pct"/>
            <w:vAlign w:val="center"/>
          </w:tcPr>
          <w:p w14:paraId="71EFAA10"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项目原料、产品均为汽车运输</w:t>
            </w:r>
          </w:p>
        </w:tc>
        <w:tc>
          <w:tcPr>
            <w:tcW w:w="806" w:type="pct"/>
            <w:vAlign w:val="center"/>
          </w:tcPr>
          <w:p w14:paraId="125C0B0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委托专用车辆运输</w:t>
            </w:r>
          </w:p>
        </w:tc>
      </w:tr>
      <w:tr w:rsidR="002133E3" w14:paraId="0667F73C" w14:textId="77777777">
        <w:trPr>
          <w:cantSplit/>
          <w:trHeight w:val="284"/>
          <w:jc w:val="center"/>
        </w:trPr>
        <w:tc>
          <w:tcPr>
            <w:tcW w:w="343" w:type="pct"/>
            <w:vMerge/>
            <w:vAlign w:val="center"/>
          </w:tcPr>
          <w:p w14:paraId="0444D855"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602BE55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内部贮存</w:t>
            </w:r>
          </w:p>
        </w:tc>
        <w:tc>
          <w:tcPr>
            <w:tcW w:w="3060" w:type="pct"/>
            <w:vAlign w:val="center"/>
          </w:tcPr>
          <w:p w14:paraId="0F0AC1E8"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利用现有</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酒精</w:t>
            </w:r>
            <w:r>
              <w:rPr>
                <w:rFonts w:ascii="Times New Roman" w:eastAsia="宋体" w:hAnsi="Times New Roman" w:cs="Times New Roman"/>
                <w:color w:val="000000"/>
                <w:szCs w:val="21"/>
              </w:rPr>
              <w:t>储罐</w:t>
            </w:r>
            <w:r>
              <w:rPr>
                <w:rFonts w:ascii="Times New Roman" w:eastAsia="宋体" w:hAnsi="Times New Roman" w:cs="Times New Roman"/>
                <w:kern w:val="0"/>
                <w:szCs w:val="21"/>
              </w:rPr>
              <w:t>500m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color w:val="000000"/>
                <w:szCs w:val="21"/>
              </w:rPr>
              <w:t>2000m</w:t>
            </w:r>
            <w:r>
              <w:rPr>
                <w:rFonts w:ascii="Times New Roman" w:eastAsia="宋体" w:hAnsi="Times New Roman" w:cs="Times New Roman"/>
                <w:color w:val="000000"/>
                <w:szCs w:val="21"/>
                <w:vertAlign w:val="superscript"/>
              </w:rPr>
              <w:t>3</w:t>
            </w:r>
            <w:r>
              <w:rPr>
                <w:rFonts w:ascii="Times New Roman" w:eastAsia="宋体" w:hAnsi="Times New Roman" w:cs="Times New Roman"/>
                <w:kern w:val="0"/>
                <w:szCs w:val="21"/>
              </w:rPr>
              <w:t>×2</w:t>
            </w:r>
            <w:r>
              <w:rPr>
                <w:rFonts w:ascii="Times New Roman" w:eastAsia="宋体" w:hAnsi="Times New Roman" w:cs="Times New Roman"/>
                <w:kern w:val="0"/>
                <w:szCs w:val="21"/>
              </w:rPr>
              <w:t>，杂醇油罐</w:t>
            </w:r>
            <w:r>
              <w:rPr>
                <w:rFonts w:ascii="Times New Roman" w:eastAsia="宋体" w:hAnsi="Times New Roman" w:cs="Times New Roman"/>
                <w:kern w:val="0"/>
                <w:szCs w:val="21"/>
              </w:rPr>
              <w:t>60m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color w:val="000000"/>
                <w:kern w:val="0"/>
                <w:szCs w:val="21"/>
              </w:rPr>
              <w:t>硫酸</w:t>
            </w:r>
            <w:r>
              <w:rPr>
                <w:rFonts w:ascii="Times New Roman" w:eastAsia="宋体" w:hAnsi="Times New Roman" w:cs="Times New Roman"/>
                <w:kern w:val="0"/>
                <w:szCs w:val="21"/>
              </w:rPr>
              <w:t>罐</w:t>
            </w:r>
            <w:r>
              <w:rPr>
                <w:rFonts w:ascii="Times New Roman" w:eastAsia="宋体" w:hAnsi="Times New Roman" w:cs="Times New Roman"/>
                <w:kern w:val="0"/>
                <w:szCs w:val="21"/>
              </w:rPr>
              <w:t>10m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kern w:val="0"/>
                <w:szCs w:val="21"/>
              </w:rPr>
              <w:t>，</w:t>
            </w:r>
            <w:r>
              <w:rPr>
                <w:rFonts w:ascii="Times New Roman" w:eastAsia="宋体" w:hAnsi="Times New Roman" w:cs="Times New Roman"/>
                <w:kern w:val="0"/>
                <w:szCs w:val="21"/>
              </w:rPr>
              <w:t>49032m</w:t>
            </w:r>
            <w:r>
              <w:rPr>
                <w:rFonts w:ascii="Times New Roman" w:eastAsia="宋体" w:hAnsi="Times New Roman" w:cs="Times New Roman"/>
                <w:kern w:val="0"/>
                <w:szCs w:val="21"/>
                <w:vertAlign w:val="superscript"/>
              </w:rPr>
              <w:t>2</w:t>
            </w:r>
            <w:r>
              <w:rPr>
                <w:rFonts w:ascii="Times New Roman" w:eastAsia="宋体" w:hAnsi="Times New Roman" w:cs="Times New Roman"/>
                <w:kern w:val="0"/>
                <w:szCs w:val="21"/>
              </w:rPr>
              <w:t>木薯库房一座</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3200 m</w:t>
            </w:r>
            <w:r>
              <w:rPr>
                <w:rFonts w:ascii="Times New Roman" w:eastAsia="宋体" w:hAnsi="Times New Roman" w:cs="Times New Roman"/>
                <w:kern w:val="0"/>
                <w:szCs w:val="21"/>
                <w:vertAlign w:val="superscript"/>
              </w:rPr>
              <w:t>2</w:t>
            </w:r>
            <w:r>
              <w:rPr>
                <w:rFonts w:ascii="Times New Roman" w:eastAsia="宋体" w:hAnsi="Times New Roman" w:cs="Times New Roman"/>
                <w:kern w:val="0"/>
                <w:szCs w:val="21"/>
              </w:rPr>
              <w:t>辅料仓库一座</w:t>
            </w:r>
            <w:r>
              <w:rPr>
                <w:rFonts w:ascii="Times New Roman" w:eastAsia="宋体" w:hAnsi="Times New Roman" w:cs="Times New Roman" w:hint="eastAsia"/>
                <w:kern w:val="0"/>
                <w:szCs w:val="21"/>
              </w:rPr>
              <w:t>；</w:t>
            </w:r>
          </w:p>
          <w:p w14:paraId="2ABD9FB3"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新增</w:t>
            </w:r>
            <w:r>
              <w:rPr>
                <w:rFonts w:ascii="Times New Roman" w:eastAsia="宋体" w:hAnsi="Times New Roman" w:cs="Times New Roman" w:hint="eastAsia"/>
                <w:kern w:val="0"/>
                <w:szCs w:val="21"/>
              </w:rPr>
              <w:t>：</w:t>
            </w:r>
            <w:r>
              <w:rPr>
                <w:rFonts w:ascii="Times New Roman" w:eastAsia="宋体" w:hAnsi="Times New Roman" w:cs="Times New Roman"/>
                <w:kern w:val="0"/>
                <w:szCs w:val="21"/>
              </w:rPr>
              <w:t>无水乙醇储罐</w:t>
            </w:r>
            <w:r>
              <w:rPr>
                <w:rFonts w:ascii="Times New Roman" w:eastAsia="宋体" w:hAnsi="Times New Roman" w:cs="Times New Roman"/>
                <w:color w:val="000000"/>
                <w:szCs w:val="21"/>
              </w:rPr>
              <w:t>2000m</w:t>
            </w:r>
            <w:r>
              <w:rPr>
                <w:rFonts w:ascii="Times New Roman" w:eastAsia="宋体" w:hAnsi="Times New Roman" w:cs="Times New Roman"/>
                <w:color w:val="000000"/>
                <w:szCs w:val="21"/>
                <w:vertAlign w:val="superscript"/>
              </w:rPr>
              <w:t>3</w:t>
            </w:r>
            <w:r>
              <w:rPr>
                <w:rFonts w:ascii="Times New Roman" w:eastAsia="宋体" w:hAnsi="Times New Roman" w:cs="Times New Roman"/>
                <w:kern w:val="0"/>
                <w:szCs w:val="21"/>
              </w:rPr>
              <w:t>×1</w:t>
            </w:r>
            <w:r>
              <w:rPr>
                <w:rFonts w:ascii="Times New Roman" w:eastAsia="宋体" w:hAnsi="Times New Roman" w:cs="Times New Roman" w:hint="eastAsia"/>
                <w:kern w:val="0"/>
                <w:szCs w:val="21"/>
              </w:rPr>
              <w:t>。</w:t>
            </w:r>
          </w:p>
        </w:tc>
        <w:tc>
          <w:tcPr>
            <w:tcW w:w="806" w:type="pct"/>
            <w:vAlign w:val="center"/>
          </w:tcPr>
          <w:p w14:paraId="47A4554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部分新增</w:t>
            </w:r>
          </w:p>
        </w:tc>
      </w:tr>
      <w:tr w:rsidR="002133E3" w14:paraId="119F0B17" w14:textId="77777777">
        <w:trPr>
          <w:cantSplit/>
          <w:trHeight w:val="284"/>
          <w:jc w:val="center"/>
        </w:trPr>
        <w:tc>
          <w:tcPr>
            <w:tcW w:w="343" w:type="pct"/>
            <w:vMerge w:val="restart"/>
            <w:vAlign w:val="center"/>
          </w:tcPr>
          <w:p w14:paraId="5D8470F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环</w:t>
            </w:r>
          </w:p>
          <w:p w14:paraId="3CEFA2F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保</w:t>
            </w:r>
          </w:p>
          <w:p w14:paraId="504B4CF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工</w:t>
            </w:r>
          </w:p>
          <w:p w14:paraId="73D3C5B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程</w:t>
            </w:r>
          </w:p>
        </w:tc>
        <w:tc>
          <w:tcPr>
            <w:tcW w:w="791" w:type="pct"/>
            <w:vAlign w:val="center"/>
          </w:tcPr>
          <w:p w14:paraId="1E55DE18"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废气治理</w:t>
            </w:r>
          </w:p>
        </w:tc>
        <w:tc>
          <w:tcPr>
            <w:tcW w:w="3060" w:type="pct"/>
            <w:vAlign w:val="center"/>
          </w:tcPr>
          <w:p w14:paraId="5F361110"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水膜除尘装置</w:t>
            </w:r>
            <w:r>
              <w:rPr>
                <w:rFonts w:ascii="Times New Roman" w:eastAsia="宋体" w:hAnsi="Times New Roman" w:cs="Times New Roman"/>
                <w:kern w:val="0"/>
                <w:szCs w:val="21"/>
              </w:rPr>
              <w:t>3</w:t>
            </w:r>
            <w:r>
              <w:rPr>
                <w:rFonts w:ascii="Times New Roman" w:eastAsia="宋体" w:hAnsi="Times New Roman" w:cs="Times New Roman"/>
                <w:kern w:val="0"/>
                <w:szCs w:val="21"/>
              </w:rPr>
              <w:t>套利用现有、</w:t>
            </w:r>
            <w:r>
              <w:rPr>
                <w:rFonts w:ascii="Times New Roman" w:eastAsia="宋体" w:hAnsi="Times New Roman" w:cs="Times New Roman"/>
                <w:kern w:val="0"/>
                <w:szCs w:val="21"/>
              </w:rPr>
              <w:t>3</w:t>
            </w:r>
            <w:r>
              <w:rPr>
                <w:rFonts w:ascii="Times New Roman" w:eastAsia="宋体" w:hAnsi="Times New Roman" w:cs="Times New Roman"/>
                <w:kern w:val="0"/>
                <w:szCs w:val="21"/>
              </w:rPr>
              <w:t>套新增；新增一级水吸收装置</w:t>
            </w:r>
            <w:r>
              <w:rPr>
                <w:rFonts w:ascii="Times New Roman" w:eastAsia="宋体" w:hAnsi="Times New Roman" w:cs="Times New Roman"/>
                <w:kern w:val="0"/>
                <w:szCs w:val="21"/>
              </w:rPr>
              <w:t>1</w:t>
            </w:r>
            <w:r>
              <w:rPr>
                <w:rFonts w:ascii="Times New Roman" w:eastAsia="宋体" w:hAnsi="Times New Roman" w:cs="Times New Roman"/>
                <w:kern w:val="0"/>
                <w:szCs w:val="21"/>
              </w:rPr>
              <w:t>套、二级水吸收</w:t>
            </w:r>
            <w:r>
              <w:rPr>
                <w:rFonts w:ascii="Times New Roman" w:eastAsia="宋体" w:hAnsi="Times New Roman" w:cs="Times New Roman"/>
                <w:kern w:val="0"/>
                <w:szCs w:val="21"/>
              </w:rPr>
              <w:t>1</w:t>
            </w:r>
            <w:r>
              <w:rPr>
                <w:rFonts w:ascii="Times New Roman" w:eastAsia="宋体" w:hAnsi="Times New Roman" w:cs="Times New Roman"/>
                <w:kern w:val="0"/>
                <w:szCs w:val="21"/>
              </w:rPr>
              <w:t>套；</w:t>
            </w:r>
            <w:r>
              <w:rPr>
                <w:rFonts w:ascii="Times New Roman" w:eastAsia="宋体" w:hAnsi="Times New Roman" w:cs="Times New Roman"/>
                <w:kern w:val="0"/>
                <w:szCs w:val="21"/>
              </w:rPr>
              <w:t xml:space="preserve"> </w:t>
            </w:r>
          </w:p>
        </w:tc>
        <w:tc>
          <w:tcPr>
            <w:tcW w:w="806" w:type="pct"/>
            <w:vAlign w:val="center"/>
          </w:tcPr>
          <w:p w14:paraId="3839848E"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部分新增</w:t>
            </w:r>
          </w:p>
        </w:tc>
      </w:tr>
      <w:tr w:rsidR="002133E3" w14:paraId="3754C5E7" w14:textId="77777777">
        <w:trPr>
          <w:cantSplit/>
          <w:trHeight w:val="284"/>
          <w:jc w:val="center"/>
        </w:trPr>
        <w:tc>
          <w:tcPr>
            <w:tcW w:w="343" w:type="pct"/>
            <w:vMerge/>
            <w:vAlign w:val="center"/>
          </w:tcPr>
          <w:p w14:paraId="1D791A1E"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49EBC38B"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废水治理</w:t>
            </w:r>
          </w:p>
        </w:tc>
        <w:tc>
          <w:tcPr>
            <w:tcW w:w="3060" w:type="pct"/>
            <w:vAlign w:val="center"/>
          </w:tcPr>
          <w:p w14:paraId="74B992BF"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废糟液进入厌氧罐发酵，沼液与其他废水一同进入厂区污水站处理，污水站采用</w:t>
            </w:r>
            <w:r>
              <w:rPr>
                <w:rFonts w:ascii="Times New Roman" w:eastAsia="宋体" w:hAnsi="Times New Roman" w:cs="Times New Roman"/>
                <w:kern w:val="0"/>
                <w:szCs w:val="21"/>
              </w:rPr>
              <w:t>“</w:t>
            </w:r>
            <w:r>
              <w:rPr>
                <w:rFonts w:ascii="Times New Roman" w:eastAsia="宋体" w:hAnsi="Times New Roman" w:cs="Times New Roman"/>
                <w:kern w:val="0"/>
                <w:szCs w:val="21"/>
              </w:rPr>
              <w:t>三级厌氧</w:t>
            </w:r>
            <w:r>
              <w:rPr>
                <w:rFonts w:ascii="Times New Roman" w:eastAsia="宋体" w:hAnsi="Times New Roman" w:cs="Times New Roman"/>
                <w:kern w:val="0"/>
                <w:szCs w:val="21"/>
              </w:rPr>
              <w:t>+</w:t>
            </w:r>
            <w:r>
              <w:rPr>
                <w:rFonts w:ascii="Times New Roman" w:eastAsia="宋体" w:hAnsi="Times New Roman" w:cs="Times New Roman"/>
                <w:kern w:val="0"/>
                <w:szCs w:val="21"/>
              </w:rPr>
              <w:t>好氧</w:t>
            </w:r>
            <w:r>
              <w:rPr>
                <w:rFonts w:ascii="Times New Roman" w:eastAsia="宋体" w:hAnsi="Times New Roman" w:cs="Times New Roman"/>
                <w:kern w:val="0"/>
                <w:szCs w:val="21"/>
              </w:rPr>
              <w:t>”</w:t>
            </w:r>
            <w:r>
              <w:rPr>
                <w:rFonts w:ascii="Times New Roman" w:eastAsia="宋体" w:hAnsi="Times New Roman" w:cs="Times New Roman"/>
                <w:kern w:val="0"/>
                <w:szCs w:val="21"/>
              </w:rPr>
              <w:t>工艺处理，处理规模</w:t>
            </w:r>
            <w:r>
              <w:rPr>
                <w:rFonts w:ascii="Times New Roman" w:eastAsia="宋体" w:hAnsi="Times New Roman" w:cs="Times New Roman"/>
                <w:kern w:val="0"/>
                <w:szCs w:val="21"/>
              </w:rPr>
              <w:t>2</w:t>
            </w:r>
            <w:r>
              <w:rPr>
                <w:rFonts w:ascii="Times New Roman" w:eastAsia="宋体" w:hAnsi="Times New Roman" w:cs="Times New Roman"/>
                <w:kern w:val="0"/>
                <w:szCs w:val="21"/>
              </w:rPr>
              <w:t>万</w:t>
            </w:r>
            <w:r>
              <w:rPr>
                <w:rFonts w:ascii="Times New Roman" w:eastAsia="宋体" w:hAnsi="Times New Roman" w:cs="Times New Roman"/>
                <w:kern w:val="0"/>
                <w:szCs w:val="21"/>
              </w:rPr>
              <w:t>t/d</w:t>
            </w:r>
            <w:r>
              <w:rPr>
                <w:rFonts w:ascii="Times New Roman" w:eastAsia="宋体" w:hAnsi="Times New Roman" w:cs="Times New Roman"/>
                <w:kern w:val="0"/>
                <w:szCs w:val="21"/>
              </w:rPr>
              <w:t>。</w:t>
            </w:r>
          </w:p>
        </w:tc>
        <w:tc>
          <w:tcPr>
            <w:tcW w:w="806" w:type="pct"/>
            <w:vAlign w:val="center"/>
          </w:tcPr>
          <w:p w14:paraId="0E3F8EC5"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r w:rsidR="002133E3" w14:paraId="62A9D39A" w14:textId="77777777">
        <w:trPr>
          <w:cantSplit/>
          <w:trHeight w:val="284"/>
          <w:jc w:val="center"/>
        </w:trPr>
        <w:tc>
          <w:tcPr>
            <w:tcW w:w="343" w:type="pct"/>
            <w:vMerge/>
            <w:vAlign w:val="center"/>
          </w:tcPr>
          <w:p w14:paraId="4A38FA72"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06ECC4DA"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噪声治理</w:t>
            </w:r>
          </w:p>
        </w:tc>
        <w:tc>
          <w:tcPr>
            <w:tcW w:w="3060" w:type="pct"/>
            <w:vAlign w:val="center"/>
          </w:tcPr>
          <w:p w14:paraId="4448A614"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选取低噪设备；局部消声、隔音；厂房隔音</w:t>
            </w:r>
          </w:p>
        </w:tc>
        <w:tc>
          <w:tcPr>
            <w:tcW w:w="806" w:type="pct"/>
            <w:vAlign w:val="center"/>
          </w:tcPr>
          <w:p w14:paraId="321820A9"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2133E3" w14:paraId="7E67F1CA" w14:textId="77777777">
        <w:trPr>
          <w:cantSplit/>
          <w:trHeight w:val="284"/>
          <w:jc w:val="center"/>
        </w:trPr>
        <w:tc>
          <w:tcPr>
            <w:tcW w:w="343" w:type="pct"/>
            <w:vMerge/>
            <w:vAlign w:val="center"/>
          </w:tcPr>
          <w:p w14:paraId="28279D7A"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12D125B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固体废物</w:t>
            </w:r>
          </w:p>
          <w:p w14:paraId="7C9FBF01"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处理</w:t>
            </w:r>
          </w:p>
        </w:tc>
        <w:tc>
          <w:tcPr>
            <w:tcW w:w="3060" w:type="pct"/>
            <w:vAlign w:val="center"/>
          </w:tcPr>
          <w:p w14:paraId="176F830D"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生活垃圾由当地环卫部门处理，危险废物委托焚烧处理，废有机溶剂外售。一般固废仓库及危废仓库均利用原有</w:t>
            </w:r>
          </w:p>
        </w:tc>
        <w:tc>
          <w:tcPr>
            <w:tcW w:w="806" w:type="pct"/>
            <w:vAlign w:val="center"/>
          </w:tcPr>
          <w:p w14:paraId="1338A03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r w:rsidR="002133E3" w14:paraId="505FF218" w14:textId="77777777">
        <w:trPr>
          <w:cantSplit/>
          <w:trHeight w:val="284"/>
          <w:jc w:val="center"/>
        </w:trPr>
        <w:tc>
          <w:tcPr>
            <w:tcW w:w="343" w:type="pct"/>
            <w:vMerge/>
            <w:vAlign w:val="center"/>
          </w:tcPr>
          <w:p w14:paraId="74B3C3F9"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2F720F62"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事故池</w:t>
            </w:r>
          </w:p>
        </w:tc>
        <w:tc>
          <w:tcPr>
            <w:tcW w:w="3060" w:type="pct"/>
            <w:vAlign w:val="center"/>
          </w:tcPr>
          <w:p w14:paraId="45C4FA0B"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有效容积</w:t>
            </w:r>
            <w:r>
              <w:rPr>
                <w:rFonts w:ascii="Times New Roman" w:eastAsia="宋体" w:hAnsi="Times New Roman" w:cs="Times New Roman"/>
                <w:kern w:val="0"/>
                <w:szCs w:val="21"/>
              </w:rPr>
              <w:t>40000m</w:t>
            </w:r>
            <w:r>
              <w:rPr>
                <w:rFonts w:ascii="Times New Roman" w:eastAsia="宋体" w:hAnsi="Times New Roman" w:cs="Times New Roman"/>
                <w:kern w:val="0"/>
                <w:szCs w:val="21"/>
                <w:vertAlign w:val="superscript"/>
              </w:rPr>
              <w:t>3</w:t>
            </w:r>
          </w:p>
        </w:tc>
        <w:tc>
          <w:tcPr>
            <w:tcW w:w="806" w:type="pct"/>
            <w:vAlign w:val="center"/>
          </w:tcPr>
          <w:p w14:paraId="30B950DD"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r w:rsidR="002133E3" w14:paraId="4C8A2423" w14:textId="77777777">
        <w:trPr>
          <w:cantSplit/>
          <w:trHeight w:val="284"/>
          <w:jc w:val="center"/>
        </w:trPr>
        <w:tc>
          <w:tcPr>
            <w:tcW w:w="343" w:type="pct"/>
            <w:vMerge/>
            <w:vAlign w:val="center"/>
          </w:tcPr>
          <w:p w14:paraId="0BD76B52" w14:textId="77777777" w:rsidR="002133E3" w:rsidRDefault="002133E3">
            <w:pPr>
              <w:widowControl/>
              <w:jc w:val="center"/>
              <w:rPr>
                <w:rFonts w:ascii="Times New Roman" w:eastAsia="宋体" w:hAnsi="Times New Roman" w:cs="Times New Roman"/>
                <w:kern w:val="0"/>
                <w:szCs w:val="21"/>
              </w:rPr>
            </w:pPr>
          </w:p>
        </w:tc>
        <w:tc>
          <w:tcPr>
            <w:tcW w:w="791" w:type="pct"/>
            <w:vAlign w:val="center"/>
          </w:tcPr>
          <w:p w14:paraId="623CF224"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消防尾水收集池</w:t>
            </w:r>
          </w:p>
        </w:tc>
        <w:tc>
          <w:tcPr>
            <w:tcW w:w="3060" w:type="pct"/>
            <w:vAlign w:val="center"/>
          </w:tcPr>
          <w:p w14:paraId="5722489C" w14:textId="77777777" w:rsidR="002133E3" w:rsidRDefault="00C22CFA">
            <w:pPr>
              <w:widowControl/>
              <w:rPr>
                <w:rFonts w:ascii="Times New Roman" w:eastAsia="宋体" w:hAnsi="Times New Roman" w:cs="Times New Roman"/>
                <w:kern w:val="0"/>
                <w:szCs w:val="21"/>
              </w:rPr>
            </w:pPr>
            <w:r>
              <w:rPr>
                <w:rFonts w:ascii="Times New Roman" w:eastAsia="宋体" w:hAnsi="Times New Roman" w:cs="Times New Roman"/>
                <w:kern w:val="0"/>
                <w:szCs w:val="21"/>
              </w:rPr>
              <w:t>有效容积</w:t>
            </w:r>
            <w:r>
              <w:rPr>
                <w:rFonts w:ascii="Times New Roman" w:eastAsia="宋体" w:hAnsi="Times New Roman" w:cs="Times New Roman"/>
                <w:kern w:val="0"/>
                <w:szCs w:val="21"/>
              </w:rPr>
              <w:t>3000m</w:t>
            </w:r>
            <w:r>
              <w:rPr>
                <w:rFonts w:ascii="Times New Roman" w:eastAsia="宋体" w:hAnsi="Times New Roman" w:cs="Times New Roman"/>
                <w:kern w:val="0"/>
                <w:szCs w:val="21"/>
                <w:vertAlign w:val="superscript"/>
              </w:rPr>
              <w:t>3</w:t>
            </w:r>
          </w:p>
        </w:tc>
        <w:tc>
          <w:tcPr>
            <w:tcW w:w="806" w:type="pct"/>
            <w:vAlign w:val="center"/>
          </w:tcPr>
          <w:p w14:paraId="59487A56" w14:textId="77777777" w:rsidR="002133E3" w:rsidRDefault="00C22CFA">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利用原有</w:t>
            </w:r>
          </w:p>
        </w:tc>
      </w:tr>
    </w:tbl>
    <w:p w14:paraId="6A9925F5"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原辅材料组分要求</w:t>
      </w:r>
    </w:p>
    <w:p w14:paraId="105220A4" w14:textId="77777777" w:rsidR="002133E3" w:rsidRDefault="00C22CFA">
      <w:pPr>
        <w:adjustRightInd w:val="0"/>
        <w:snapToGrid w:val="0"/>
        <w:spacing w:line="500" w:lineRule="atLeast"/>
        <w:ind w:firstLineChars="200" w:firstLine="560"/>
        <w:jc w:val="left"/>
        <w:rPr>
          <w:rFonts w:ascii="Times New Roman" w:hAnsi="Times New Roman" w:cs="Times New Roman"/>
        </w:rPr>
      </w:pPr>
      <w:r>
        <w:rPr>
          <w:rFonts w:ascii="Times New Roman" w:eastAsia="宋体" w:hAnsi="Times New Roman" w:cs="Times New Roman"/>
          <w:kern w:val="0"/>
          <w:sz w:val="28"/>
          <w:szCs w:val="28"/>
        </w:rPr>
        <w:t>项目所需原辅材料均在国内购买，按照《危险化学品安全管理条例》（</w:t>
      </w:r>
      <w:r>
        <w:rPr>
          <w:rFonts w:ascii="Times New Roman" w:eastAsia="宋体" w:hAnsi="Times New Roman" w:cs="Times New Roman"/>
          <w:kern w:val="0"/>
          <w:sz w:val="28"/>
          <w:szCs w:val="28"/>
        </w:rPr>
        <w:t>2011</w:t>
      </w:r>
      <w:r>
        <w:rPr>
          <w:rFonts w:ascii="Times New Roman" w:eastAsia="宋体" w:hAnsi="Times New Roman" w:cs="Times New Roman"/>
          <w:kern w:val="0"/>
          <w:sz w:val="28"/>
          <w:szCs w:val="28"/>
        </w:rPr>
        <w:t>年修订）管理，所有原辅材料均购买成品，用量及规格符合生产要求。</w:t>
      </w:r>
    </w:p>
    <w:p w14:paraId="39BAF7FD"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项目环保设施及运行参数</w:t>
      </w:r>
    </w:p>
    <w:p w14:paraId="54C87887" w14:textId="77777777" w:rsidR="002133E3" w:rsidRDefault="00C22CFA">
      <w:pPr>
        <w:adjustRightInd w:val="0"/>
        <w:snapToGrid w:val="0"/>
        <w:spacing w:line="500" w:lineRule="exact"/>
        <w:ind w:firstLineChars="200" w:firstLine="562"/>
        <w:rPr>
          <w:rFonts w:ascii="Times New Roman" w:eastAsia="宋体" w:hAnsi="Times New Roman" w:cs="Times New Roman"/>
          <w:b/>
          <w:bCs/>
          <w:color w:val="0D0D0D"/>
          <w:sz w:val="28"/>
          <w:szCs w:val="28"/>
        </w:rPr>
      </w:pPr>
      <w:r>
        <w:rPr>
          <w:rFonts w:ascii="宋体" w:eastAsia="宋体" w:hAnsi="宋体" w:cs="宋体" w:hint="eastAsia"/>
          <w:b/>
          <w:bCs/>
          <w:color w:val="0D0D0D"/>
          <w:sz w:val="28"/>
          <w:szCs w:val="28"/>
        </w:rPr>
        <w:t>⑴</w:t>
      </w:r>
      <w:r>
        <w:rPr>
          <w:rFonts w:ascii="Times New Roman" w:eastAsia="宋体" w:hAnsi="Times New Roman" w:cs="Times New Roman"/>
          <w:b/>
          <w:bCs/>
          <w:color w:val="0D0D0D"/>
          <w:sz w:val="28"/>
          <w:szCs w:val="28"/>
        </w:rPr>
        <w:t xml:space="preserve"> </w:t>
      </w:r>
      <w:r>
        <w:rPr>
          <w:rFonts w:ascii="Times New Roman" w:eastAsia="宋体" w:hAnsi="Times New Roman" w:cs="Times New Roman"/>
          <w:b/>
          <w:bCs/>
          <w:color w:val="0D0D0D"/>
          <w:sz w:val="28"/>
          <w:szCs w:val="28"/>
        </w:rPr>
        <w:t>废气</w:t>
      </w:r>
    </w:p>
    <w:p w14:paraId="29C4C828" w14:textId="77777777" w:rsidR="002133E3" w:rsidRDefault="00C22CFA">
      <w:pPr>
        <w:adjustRightInd w:val="0"/>
        <w:snapToGrid w:val="0"/>
        <w:spacing w:line="500" w:lineRule="exact"/>
        <w:ind w:firstLineChars="200" w:firstLine="536"/>
        <w:rPr>
          <w:rFonts w:ascii="Times New Roman" w:eastAsia="宋体" w:hAnsi="Times New Roman" w:cs="Times New Roman"/>
          <w:spacing w:val="-6"/>
          <w:kern w:val="0"/>
          <w:sz w:val="28"/>
          <w:szCs w:val="28"/>
        </w:rPr>
      </w:pPr>
      <w:r>
        <w:rPr>
          <w:rFonts w:ascii="Times New Roman" w:eastAsia="宋体" w:hAnsi="Times New Roman" w:cs="Times New Roman"/>
          <w:spacing w:val="-6"/>
          <w:kern w:val="0"/>
          <w:sz w:val="28"/>
          <w:szCs w:val="28"/>
        </w:rPr>
        <w:t>技改项目废气处理措施设置情况详见表</w:t>
      </w:r>
      <w:r>
        <w:rPr>
          <w:rFonts w:ascii="Times New Roman" w:eastAsia="宋体" w:hAnsi="Times New Roman" w:cs="Times New Roman"/>
          <w:spacing w:val="-6"/>
          <w:kern w:val="0"/>
          <w:sz w:val="28"/>
          <w:szCs w:val="28"/>
        </w:rPr>
        <w:t>9.2-2</w:t>
      </w:r>
      <w:r>
        <w:rPr>
          <w:rFonts w:ascii="Times New Roman" w:eastAsia="宋体" w:hAnsi="Times New Roman" w:cs="Times New Roman"/>
          <w:spacing w:val="-6"/>
          <w:kern w:val="0"/>
          <w:sz w:val="28"/>
          <w:szCs w:val="28"/>
        </w:rPr>
        <w:t>。</w:t>
      </w:r>
    </w:p>
    <w:p w14:paraId="7D3F7CB2" w14:textId="77777777" w:rsidR="002133E3" w:rsidRDefault="00C22CFA">
      <w:pPr>
        <w:tabs>
          <w:tab w:val="left" w:pos="600"/>
        </w:tabs>
        <w:snapToGrid w:val="0"/>
        <w:spacing w:line="500" w:lineRule="atLeast"/>
        <w:jc w:val="center"/>
        <w:rPr>
          <w:rFonts w:ascii="Times New Roman" w:eastAsia="宋体" w:hAnsi="Times New Roman" w:cs="Times New Roman"/>
          <w:b/>
          <w:bCs/>
          <w:spacing w:val="4"/>
          <w:kern w:val="0"/>
          <w:sz w:val="24"/>
          <w:szCs w:val="24"/>
        </w:rPr>
      </w:pPr>
      <w:r>
        <w:rPr>
          <w:rFonts w:ascii="Times New Roman" w:eastAsia="宋体" w:hAnsi="Times New Roman" w:cs="Times New Roman"/>
          <w:b/>
          <w:bCs/>
          <w:spacing w:val="4"/>
          <w:kern w:val="0"/>
          <w:sz w:val="24"/>
          <w:szCs w:val="24"/>
        </w:rPr>
        <w:t>表</w:t>
      </w:r>
      <w:r>
        <w:rPr>
          <w:rFonts w:ascii="Times New Roman" w:eastAsia="宋体" w:hAnsi="Times New Roman" w:cs="Times New Roman"/>
          <w:b/>
          <w:bCs/>
          <w:spacing w:val="4"/>
          <w:kern w:val="0"/>
          <w:sz w:val="24"/>
          <w:szCs w:val="24"/>
        </w:rPr>
        <w:t xml:space="preserve">9.2-2  </w:t>
      </w:r>
      <w:r>
        <w:rPr>
          <w:rFonts w:ascii="Times New Roman" w:eastAsia="宋体" w:hAnsi="Times New Roman" w:cs="Times New Roman"/>
          <w:b/>
          <w:bCs/>
          <w:spacing w:val="4"/>
          <w:kern w:val="0"/>
          <w:sz w:val="24"/>
          <w:szCs w:val="24"/>
        </w:rPr>
        <w:t>本项目废气处理措施设置相关参数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868"/>
        <w:gridCol w:w="1521"/>
        <w:gridCol w:w="868"/>
        <w:gridCol w:w="1264"/>
        <w:gridCol w:w="3562"/>
        <w:gridCol w:w="1032"/>
      </w:tblGrid>
      <w:tr w:rsidR="002133E3" w14:paraId="09A92FF4" w14:textId="77777777">
        <w:trPr>
          <w:trHeight w:val="285"/>
          <w:jc w:val="center"/>
        </w:trPr>
        <w:tc>
          <w:tcPr>
            <w:tcW w:w="375" w:type="pct"/>
            <w:shd w:val="clear" w:color="auto" w:fill="auto"/>
            <w:noWrap/>
            <w:vAlign w:val="center"/>
          </w:tcPr>
          <w:p w14:paraId="079FB48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生产线</w:t>
            </w:r>
          </w:p>
        </w:tc>
        <w:tc>
          <w:tcPr>
            <w:tcW w:w="1212" w:type="pct"/>
            <w:gridSpan w:val="2"/>
            <w:shd w:val="clear" w:color="auto" w:fill="auto"/>
            <w:noWrap/>
            <w:vAlign w:val="center"/>
          </w:tcPr>
          <w:p w14:paraId="14DD35E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污染物（源）名称</w:t>
            </w:r>
          </w:p>
        </w:tc>
        <w:tc>
          <w:tcPr>
            <w:tcW w:w="440" w:type="pct"/>
            <w:shd w:val="clear" w:color="auto" w:fill="auto"/>
            <w:noWrap/>
            <w:vAlign w:val="center"/>
          </w:tcPr>
          <w:p w14:paraId="05697B6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处理工艺</w:t>
            </w:r>
          </w:p>
        </w:tc>
        <w:tc>
          <w:tcPr>
            <w:tcW w:w="641" w:type="pct"/>
            <w:shd w:val="clear" w:color="auto" w:fill="auto"/>
            <w:noWrap/>
            <w:vAlign w:val="center"/>
          </w:tcPr>
          <w:p w14:paraId="3AAF861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环保治理措施名称</w:t>
            </w:r>
          </w:p>
        </w:tc>
        <w:tc>
          <w:tcPr>
            <w:tcW w:w="1807" w:type="pct"/>
            <w:shd w:val="clear" w:color="auto" w:fill="auto"/>
            <w:noWrap/>
            <w:vAlign w:val="center"/>
          </w:tcPr>
          <w:p w14:paraId="7AB712B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规格型号</w:t>
            </w:r>
          </w:p>
        </w:tc>
        <w:tc>
          <w:tcPr>
            <w:tcW w:w="524" w:type="pct"/>
            <w:shd w:val="clear" w:color="auto" w:fill="auto"/>
            <w:noWrap/>
            <w:vAlign w:val="center"/>
          </w:tcPr>
          <w:p w14:paraId="5C56D15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数量</w:t>
            </w:r>
          </w:p>
        </w:tc>
      </w:tr>
      <w:tr w:rsidR="002133E3" w14:paraId="360E492C" w14:textId="77777777">
        <w:trPr>
          <w:trHeight w:val="330"/>
          <w:jc w:val="center"/>
        </w:trPr>
        <w:tc>
          <w:tcPr>
            <w:tcW w:w="375" w:type="pct"/>
            <w:vMerge w:val="restart"/>
            <w:shd w:val="clear" w:color="auto" w:fill="auto"/>
            <w:noWrap/>
            <w:vAlign w:val="center"/>
          </w:tcPr>
          <w:p w14:paraId="3AA14C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酒精</w:t>
            </w:r>
          </w:p>
        </w:tc>
        <w:tc>
          <w:tcPr>
            <w:tcW w:w="440" w:type="pct"/>
            <w:vMerge w:val="restart"/>
            <w:shd w:val="clear" w:color="auto" w:fill="auto"/>
            <w:noWrap/>
            <w:vAlign w:val="center"/>
          </w:tcPr>
          <w:p w14:paraId="58F15E9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粉碎废气</w:t>
            </w:r>
          </w:p>
        </w:tc>
        <w:tc>
          <w:tcPr>
            <w:tcW w:w="772" w:type="pct"/>
            <w:vMerge w:val="restart"/>
            <w:shd w:val="clear" w:color="auto" w:fill="auto"/>
            <w:noWrap/>
            <w:vAlign w:val="center"/>
          </w:tcPr>
          <w:p w14:paraId="3EC64B8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粉尘</w:t>
            </w:r>
          </w:p>
        </w:tc>
        <w:tc>
          <w:tcPr>
            <w:tcW w:w="440" w:type="pct"/>
            <w:vMerge w:val="restart"/>
            <w:shd w:val="clear" w:color="auto" w:fill="auto"/>
            <w:noWrap/>
            <w:vAlign w:val="center"/>
          </w:tcPr>
          <w:p w14:paraId="584B51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水膜除尘</w:t>
            </w:r>
          </w:p>
        </w:tc>
        <w:tc>
          <w:tcPr>
            <w:tcW w:w="641" w:type="pct"/>
            <w:shd w:val="clear" w:color="auto" w:fill="auto"/>
            <w:noWrap/>
            <w:vAlign w:val="center"/>
          </w:tcPr>
          <w:p w14:paraId="5C7DD4F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水膜除尘塔</w:t>
            </w:r>
          </w:p>
        </w:tc>
        <w:tc>
          <w:tcPr>
            <w:tcW w:w="1807" w:type="pct"/>
            <w:shd w:val="clear" w:color="auto" w:fill="auto"/>
            <w:noWrap/>
            <w:vAlign w:val="center"/>
          </w:tcPr>
          <w:p w14:paraId="625F388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风量</w:t>
            </w:r>
            <w:r>
              <w:rPr>
                <w:rFonts w:ascii="Times New Roman" w:eastAsia="宋体" w:hAnsi="Times New Roman" w:cs="Times New Roman"/>
                <w:color w:val="000000"/>
                <w:kern w:val="0"/>
                <w:szCs w:val="21"/>
              </w:rPr>
              <w:t xml:space="preserve"> 60000m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/h</w:t>
            </w:r>
            <w:r>
              <w:rPr>
                <w:rFonts w:ascii="Times New Roman" w:eastAsia="宋体" w:hAnsi="Times New Roman" w:cs="Times New Roman"/>
                <w:color w:val="000000"/>
                <w:kern w:val="0"/>
                <w:szCs w:val="21"/>
              </w:rPr>
              <w:t>，设计温度</w:t>
            </w:r>
            <w:r>
              <w:rPr>
                <w:rFonts w:ascii="Times New Roman" w:eastAsia="宋体" w:hAnsi="Times New Roman" w:cs="Times New Roman"/>
                <w:color w:val="000000"/>
                <w:kern w:val="0"/>
                <w:szCs w:val="21"/>
              </w:rPr>
              <w:t>80</w:t>
            </w:r>
            <w:r>
              <w:rPr>
                <w:rFonts w:ascii="宋体" w:eastAsia="宋体" w:hAnsi="宋体" w:cs="宋体" w:hint="eastAsia"/>
                <w:color w:val="000000"/>
                <w:kern w:val="0"/>
                <w:szCs w:val="21"/>
              </w:rPr>
              <w:t>℃</w:t>
            </w:r>
            <w:r>
              <w:rPr>
                <w:rFonts w:ascii="Times New Roman" w:eastAsia="宋体" w:hAnsi="Times New Roman" w:cs="Times New Roman"/>
                <w:color w:val="000000"/>
                <w:kern w:val="0"/>
                <w:szCs w:val="21"/>
              </w:rPr>
              <w:t>，阻力损耗在</w:t>
            </w:r>
            <w:r>
              <w:rPr>
                <w:rFonts w:ascii="Times New Roman" w:eastAsia="宋体" w:hAnsi="Times New Roman" w:cs="Times New Roman"/>
                <w:color w:val="000000"/>
                <w:kern w:val="0"/>
                <w:szCs w:val="21"/>
              </w:rPr>
              <w:t>1000</w:t>
            </w:r>
            <w:r>
              <w:rPr>
                <w:rFonts w:ascii="Times New Roman" w:eastAsia="宋体" w:hAnsi="Times New Roman" w:cs="Times New Roman"/>
                <w:color w:val="000000"/>
                <w:kern w:val="0"/>
                <w:szCs w:val="21"/>
              </w:rPr>
              <w:t>帕以下</w:t>
            </w:r>
          </w:p>
        </w:tc>
        <w:tc>
          <w:tcPr>
            <w:tcW w:w="524" w:type="pct"/>
            <w:shd w:val="clear" w:color="auto" w:fill="auto"/>
            <w:noWrap/>
            <w:vAlign w:val="center"/>
          </w:tcPr>
          <w:p w14:paraId="7A0893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r>
              <w:rPr>
                <w:rFonts w:ascii="Times New Roman" w:eastAsia="宋体" w:hAnsi="Times New Roman" w:cs="Times New Roman"/>
                <w:color w:val="000000"/>
                <w:kern w:val="0"/>
                <w:szCs w:val="21"/>
              </w:rPr>
              <w:t>套</w:t>
            </w:r>
          </w:p>
        </w:tc>
      </w:tr>
      <w:tr w:rsidR="002133E3" w14:paraId="5C53B4C9" w14:textId="77777777">
        <w:trPr>
          <w:trHeight w:val="330"/>
          <w:jc w:val="center"/>
        </w:trPr>
        <w:tc>
          <w:tcPr>
            <w:tcW w:w="375" w:type="pct"/>
            <w:vMerge/>
            <w:vAlign w:val="center"/>
          </w:tcPr>
          <w:p w14:paraId="5D19EA16"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4636244F" w14:textId="77777777" w:rsidR="002133E3" w:rsidRDefault="002133E3">
            <w:pPr>
              <w:widowControl/>
              <w:jc w:val="left"/>
              <w:rPr>
                <w:rFonts w:ascii="Times New Roman" w:eastAsia="宋体" w:hAnsi="Times New Roman" w:cs="Times New Roman"/>
                <w:color w:val="000000"/>
                <w:kern w:val="0"/>
                <w:szCs w:val="21"/>
              </w:rPr>
            </w:pPr>
          </w:p>
        </w:tc>
        <w:tc>
          <w:tcPr>
            <w:tcW w:w="772" w:type="pct"/>
            <w:vMerge/>
            <w:vAlign w:val="center"/>
          </w:tcPr>
          <w:p w14:paraId="261BCE22"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13BFA341" w14:textId="77777777" w:rsidR="002133E3" w:rsidRDefault="002133E3">
            <w:pPr>
              <w:widowControl/>
              <w:jc w:val="left"/>
              <w:rPr>
                <w:rFonts w:ascii="Times New Roman" w:eastAsia="宋体" w:hAnsi="Times New Roman" w:cs="Times New Roman"/>
                <w:color w:val="000000"/>
                <w:kern w:val="0"/>
                <w:szCs w:val="21"/>
              </w:rPr>
            </w:pPr>
          </w:p>
        </w:tc>
        <w:tc>
          <w:tcPr>
            <w:tcW w:w="641" w:type="pct"/>
            <w:shd w:val="clear" w:color="auto" w:fill="auto"/>
            <w:noWrap/>
            <w:vAlign w:val="center"/>
          </w:tcPr>
          <w:p w14:paraId="39E6B13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水膜除尘塔</w:t>
            </w:r>
          </w:p>
        </w:tc>
        <w:tc>
          <w:tcPr>
            <w:tcW w:w="1807" w:type="pct"/>
            <w:shd w:val="clear" w:color="auto" w:fill="auto"/>
            <w:noWrap/>
            <w:vAlign w:val="center"/>
          </w:tcPr>
          <w:p w14:paraId="6229FC3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风量</w:t>
            </w:r>
            <w:r>
              <w:rPr>
                <w:rFonts w:ascii="Times New Roman" w:eastAsia="宋体" w:hAnsi="Times New Roman" w:cs="Times New Roman"/>
                <w:color w:val="000000"/>
                <w:kern w:val="0"/>
                <w:szCs w:val="21"/>
              </w:rPr>
              <w:t>10000m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/h</w:t>
            </w:r>
            <w:r>
              <w:rPr>
                <w:rFonts w:ascii="Times New Roman" w:eastAsia="宋体" w:hAnsi="Times New Roman" w:cs="Times New Roman"/>
                <w:color w:val="000000"/>
                <w:kern w:val="0"/>
                <w:szCs w:val="21"/>
              </w:rPr>
              <w:t>，设计温度</w:t>
            </w:r>
            <w:r>
              <w:rPr>
                <w:rFonts w:ascii="Times New Roman" w:eastAsia="宋体" w:hAnsi="Times New Roman" w:cs="Times New Roman"/>
                <w:color w:val="000000"/>
                <w:kern w:val="0"/>
                <w:szCs w:val="21"/>
              </w:rPr>
              <w:t>80</w:t>
            </w:r>
            <w:r>
              <w:rPr>
                <w:rFonts w:ascii="宋体" w:eastAsia="宋体" w:hAnsi="宋体" w:cs="宋体" w:hint="eastAsia"/>
                <w:color w:val="000000"/>
                <w:kern w:val="0"/>
                <w:szCs w:val="21"/>
              </w:rPr>
              <w:t>℃</w:t>
            </w:r>
            <w:r>
              <w:rPr>
                <w:rFonts w:ascii="Times New Roman" w:eastAsia="宋体" w:hAnsi="Times New Roman" w:cs="Times New Roman"/>
                <w:color w:val="000000"/>
                <w:kern w:val="0"/>
                <w:szCs w:val="21"/>
              </w:rPr>
              <w:t>，阻力损耗在</w:t>
            </w:r>
            <w:r>
              <w:rPr>
                <w:rFonts w:ascii="Times New Roman" w:eastAsia="宋体" w:hAnsi="Times New Roman" w:cs="Times New Roman"/>
                <w:color w:val="000000"/>
                <w:kern w:val="0"/>
                <w:szCs w:val="21"/>
              </w:rPr>
              <w:t>1000</w:t>
            </w:r>
            <w:r>
              <w:rPr>
                <w:rFonts w:ascii="Times New Roman" w:eastAsia="宋体" w:hAnsi="Times New Roman" w:cs="Times New Roman"/>
                <w:color w:val="000000"/>
                <w:kern w:val="0"/>
                <w:szCs w:val="21"/>
              </w:rPr>
              <w:t>帕以下</w:t>
            </w:r>
          </w:p>
        </w:tc>
        <w:tc>
          <w:tcPr>
            <w:tcW w:w="524" w:type="pct"/>
            <w:shd w:val="clear" w:color="auto" w:fill="auto"/>
            <w:noWrap/>
            <w:vAlign w:val="center"/>
          </w:tcPr>
          <w:p w14:paraId="7FBEF89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r>
              <w:rPr>
                <w:rFonts w:ascii="Times New Roman" w:eastAsia="宋体" w:hAnsi="Times New Roman" w:cs="Times New Roman"/>
                <w:color w:val="000000"/>
                <w:kern w:val="0"/>
                <w:szCs w:val="21"/>
              </w:rPr>
              <w:t>套</w:t>
            </w:r>
          </w:p>
        </w:tc>
      </w:tr>
      <w:tr w:rsidR="002133E3" w14:paraId="7A1ED598" w14:textId="77777777">
        <w:trPr>
          <w:trHeight w:val="300"/>
          <w:jc w:val="center"/>
        </w:trPr>
        <w:tc>
          <w:tcPr>
            <w:tcW w:w="375" w:type="pct"/>
            <w:vMerge/>
            <w:vAlign w:val="center"/>
          </w:tcPr>
          <w:p w14:paraId="124B6DA5"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restart"/>
            <w:shd w:val="clear" w:color="auto" w:fill="auto"/>
            <w:noWrap/>
            <w:vAlign w:val="center"/>
          </w:tcPr>
          <w:p w14:paraId="72BA189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发酵废气</w:t>
            </w:r>
          </w:p>
        </w:tc>
        <w:tc>
          <w:tcPr>
            <w:tcW w:w="772" w:type="pct"/>
            <w:vMerge w:val="restart"/>
            <w:shd w:val="clear" w:color="auto" w:fill="auto"/>
            <w:noWrap/>
            <w:vAlign w:val="center"/>
          </w:tcPr>
          <w:p w14:paraId="684F891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w:t>
            </w:r>
            <w:r>
              <w:rPr>
                <w:rFonts w:ascii="Times New Roman" w:eastAsia="宋体" w:hAnsi="Times New Roman" w:cs="Times New Roman"/>
                <w:color w:val="000000"/>
                <w:kern w:val="0"/>
                <w:szCs w:val="21"/>
                <w:vertAlign w:val="subscript"/>
              </w:rPr>
              <w:t>2</w:t>
            </w:r>
            <w:r>
              <w:rPr>
                <w:rFonts w:ascii="Times New Roman" w:eastAsia="宋体" w:hAnsi="Times New Roman" w:cs="Times New Roman"/>
                <w:color w:val="000000"/>
                <w:kern w:val="0"/>
                <w:szCs w:val="21"/>
              </w:rPr>
              <w:t>、乙醇、甲醇</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醛等</w:t>
            </w:r>
          </w:p>
        </w:tc>
        <w:tc>
          <w:tcPr>
            <w:tcW w:w="440" w:type="pct"/>
            <w:vMerge w:val="restart"/>
            <w:shd w:val="clear" w:color="auto" w:fill="auto"/>
            <w:noWrap/>
            <w:vAlign w:val="center"/>
          </w:tcPr>
          <w:p w14:paraId="4E4C196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一级水吸收</w:t>
            </w:r>
          </w:p>
        </w:tc>
        <w:tc>
          <w:tcPr>
            <w:tcW w:w="641" w:type="pct"/>
            <w:shd w:val="clear" w:color="auto" w:fill="auto"/>
            <w:noWrap/>
            <w:vAlign w:val="center"/>
          </w:tcPr>
          <w:p w14:paraId="5876F4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水吸收塔</w:t>
            </w:r>
          </w:p>
        </w:tc>
        <w:tc>
          <w:tcPr>
            <w:tcW w:w="1807" w:type="pct"/>
            <w:shd w:val="clear" w:color="auto" w:fill="auto"/>
            <w:noWrap/>
            <w:vAlign w:val="center"/>
          </w:tcPr>
          <w:p w14:paraId="669B719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设计风量</w:t>
            </w:r>
            <w:r>
              <w:rPr>
                <w:rFonts w:ascii="Times New Roman" w:eastAsia="宋体" w:hAnsi="Times New Roman" w:cs="Times New Roman"/>
                <w:color w:val="000000"/>
                <w:kern w:val="0"/>
                <w:szCs w:val="21"/>
              </w:rPr>
              <w:t>7000m3/h</w:t>
            </w:r>
            <w:r>
              <w:rPr>
                <w:rFonts w:ascii="Times New Roman" w:eastAsia="宋体" w:hAnsi="Times New Roman" w:cs="Times New Roman"/>
                <w:color w:val="000000"/>
                <w:kern w:val="0"/>
                <w:szCs w:val="21"/>
              </w:rPr>
              <w:t>，规格尺寸</w:t>
            </w:r>
            <w:r>
              <w:rPr>
                <w:rFonts w:ascii="Times New Roman" w:eastAsia="宋体" w:hAnsi="Times New Roman" w:cs="Times New Roman"/>
                <w:color w:val="000000"/>
                <w:kern w:val="0"/>
                <w:szCs w:val="21"/>
              </w:rPr>
              <w:t>φ3000×16000mm</w:t>
            </w:r>
          </w:p>
        </w:tc>
        <w:tc>
          <w:tcPr>
            <w:tcW w:w="524" w:type="pct"/>
            <w:shd w:val="clear" w:color="auto" w:fill="auto"/>
            <w:noWrap/>
            <w:vAlign w:val="center"/>
          </w:tcPr>
          <w:p w14:paraId="74624C8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套</w:t>
            </w:r>
          </w:p>
        </w:tc>
      </w:tr>
      <w:tr w:rsidR="002133E3" w14:paraId="651CF892" w14:textId="77777777">
        <w:trPr>
          <w:trHeight w:val="285"/>
          <w:jc w:val="center"/>
        </w:trPr>
        <w:tc>
          <w:tcPr>
            <w:tcW w:w="375" w:type="pct"/>
            <w:vMerge/>
            <w:vAlign w:val="center"/>
          </w:tcPr>
          <w:p w14:paraId="0BF5207B"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55EBD6B0" w14:textId="77777777" w:rsidR="002133E3" w:rsidRDefault="002133E3">
            <w:pPr>
              <w:widowControl/>
              <w:jc w:val="left"/>
              <w:rPr>
                <w:rFonts w:ascii="Times New Roman" w:eastAsia="宋体" w:hAnsi="Times New Roman" w:cs="Times New Roman"/>
                <w:color w:val="000000"/>
                <w:kern w:val="0"/>
                <w:szCs w:val="21"/>
              </w:rPr>
            </w:pPr>
          </w:p>
        </w:tc>
        <w:tc>
          <w:tcPr>
            <w:tcW w:w="772" w:type="pct"/>
            <w:vMerge/>
            <w:vAlign w:val="center"/>
          </w:tcPr>
          <w:p w14:paraId="53980D21"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0B3C9A1C" w14:textId="77777777" w:rsidR="002133E3" w:rsidRDefault="002133E3">
            <w:pPr>
              <w:widowControl/>
              <w:jc w:val="left"/>
              <w:rPr>
                <w:rFonts w:ascii="Times New Roman" w:eastAsia="宋体" w:hAnsi="Times New Roman" w:cs="Times New Roman"/>
                <w:color w:val="000000"/>
                <w:kern w:val="0"/>
                <w:szCs w:val="21"/>
              </w:rPr>
            </w:pPr>
          </w:p>
        </w:tc>
        <w:tc>
          <w:tcPr>
            <w:tcW w:w="641" w:type="pct"/>
            <w:shd w:val="clear" w:color="auto" w:fill="auto"/>
            <w:noWrap/>
            <w:vAlign w:val="center"/>
          </w:tcPr>
          <w:p w14:paraId="2EF0E5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循环泵</w:t>
            </w:r>
          </w:p>
        </w:tc>
        <w:tc>
          <w:tcPr>
            <w:tcW w:w="1807" w:type="pct"/>
            <w:shd w:val="clear" w:color="auto" w:fill="auto"/>
            <w:noWrap/>
            <w:vAlign w:val="center"/>
          </w:tcPr>
          <w:p w14:paraId="6AB2D44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流量</w:t>
            </w:r>
            <w:r>
              <w:rPr>
                <w:rFonts w:ascii="Times New Roman" w:eastAsia="宋体" w:hAnsi="Times New Roman" w:cs="Times New Roman"/>
                <w:color w:val="000000"/>
                <w:kern w:val="0"/>
                <w:szCs w:val="21"/>
              </w:rPr>
              <w:t>60 m³/h</w:t>
            </w:r>
            <w:r>
              <w:rPr>
                <w:rFonts w:ascii="Times New Roman" w:eastAsia="宋体" w:hAnsi="Times New Roman" w:cs="Times New Roman"/>
                <w:color w:val="000000"/>
                <w:kern w:val="0"/>
                <w:szCs w:val="21"/>
              </w:rPr>
              <w:t>，扬程</w:t>
            </w:r>
            <w:r>
              <w:rPr>
                <w:rFonts w:ascii="Times New Roman" w:eastAsia="宋体" w:hAnsi="Times New Roman" w:cs="Times New Roman"/>
                <w:color w:val="000000"/>
                <w:kern w:val="0"/>
                <w:szCs w:val="21"/>
              </w:rPr>
              <w:t>25</w:t>
            </w:r>
            <w:r>
              <w:rPr>
                <w:rFonts w:ascii="Times New Roman" w:eastAsia="宋体" w:hAnsi="Times New Roman" w:cs="Times New Roman"/>
                <w:color w:val="000000"/>
                <w:kern w:val="0"/>
                <w:szCs w:val="21"/>
              </w:rPr>
              <w:t>，功率</w:t>
            </w:r>
            <w:r>
              <w:rPr>
                <w:rFonts w:ascii="Times New Roman" w:eastAsia="宋体" w:hAnsi="Times New Roman" w:cs="Times New Roman"/>
                <w:color w:val="000000"/>
                <w:kern w:val="0"/>
                <w:szCs w:val="21"/>
              </w:rPr>
              <w:t>11KW</w:t>
            </w:r>
          </w:p>
        </w:tc>
        <w:tc>
          <w:tcPr>
            <w:tcW w:w="524" w:type="pct"/>
            <w:shd w:val="clear" w:color="auto" w:fill="auto"/>
            <w:noWrap/>
            <w:vAlign w:val="bottom"/>
          </w:tcPr>
          <w:p w14:paraId="69866D53" w14:textId="77777777" w:rsidR="002133E3" w:rsidRDefault="00C22CFA">
            <w:pPr>
              <w:widowControl/>
              <w:jc w:val="left"/>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用</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备）</w:t>
            </w:r>
          </w:p>
        </w:tc>
      </w:tr>
      <w:tr w:rsidR="002133E3" w14:paraId="56192FB9" w14:textId="77777777">
        <w:trPr>
          <w:trHeight w:val="285"/>
          <w:jc w:val="center"/>
        </w:trPr>
        <w:tc>
          <w:tcPr>
            <w:tcW w:w="375" w:type="pct"/>
            <w:vMerge/>
            <w:vAlign w:val="center"/>
          </w:tcPr>
          <w:p w14:paraId="2378D6B4"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restart"/>
            <w:shd w:val="clear" w:color="auto" w:fill="auto"/>
            <w:noWrap/>
            <w:vAlign w:val="center"/>
          </w:tcPr>
          <w:p w14:paraId="6DD16C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蒸馏不凝气</w:t>
            </w:r>
          </w:p>
        </w:tc>
        <w:tc>
          <w:tcPr>
            <w:tcW w:w="772" w:type="pct"/>
            <w:vMerge w:val="restart"/>
            <w:shd w:val="clear" w:color="auto" w:fill="auto"/>
            <w:noWrap/>
            <w:vAlign w:val="center"/>
          </w:tcPr>
          <w:p w14:paraId="164854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乙醇、甲醇</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醛等</w:t>
            </w:r>
          </w:p>
        </w:tc>
        <w:tc>
          <w:tcPr>
            <w:tcW w:w="440" w:type="pct"/>
            <w:vMerge w:val="restart"/>
            <w:shd w:val="clear" w:color="auto" w:fill="auto"/>
            <w:noWrap/>
            <w:vAlign w:val="center"/>
          </w:tcPr>
          <w:p w14:paraId="6FF01C5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二级水吸收</w:t>
            </w:r>
          </w:p>
        </w:tc>
        <w:tc>
          <w:tcPr>
            <w:tcW w:w="641" w:type="pct"/>
            <w:shd w:val="clear" w:color="auto" w:fill="auto"/>
            <w:noWrap/>
            <w:vAlign w:val="center"/>
          </w:tcPr>
          <w:p w14:paraId="697BE73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水吸收塔</w:t>
            </w:r>
          </w:p>
        </w:tc>
        <w:tc>
          <w:tcPr>
            <w:tcW w:w="1807" w:type="pct"/>
            <w:shd w:val="clear" w:color="auto" w:fill="auto"/>
            <w:noWrap/>
            <w:vAlign w:val="center"/>
          </w:tcPr>
          <w:p w14:paraId="5161BF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设计风量</w:t>
            </w:r>
            <w:r>
              <w:rPr>
                <w:rFonts w:ascii="Times New Roman" w:eastAsia="宋体" w:hAnsi="Times New Roman" w:cs="Times New Roman"/>
                <w:color w:val="000000"/>
                <w:kern w:val="0"/>
                <w:szCs w:val="21"/>
              </w:rPr>
              <w:t>15000m3/h</w:t>
            </w:r>
            <w:r>
              <w:rPr>
                <w:rFonts w:ascii="Times New Roman" w:eastAsia="宋体" w:hAnsi="Times New Roman" w:cs="Times New Roman"/>
                <w:color w:val="000000"/>
                <w:kern w:val="0"/>
                <w:szCs w:val="21"/>
              </w:rPr>
              <w:t>，规格尺寸</w:t>
            </w:r>
            <w:r>
              <w:rPr>
                <w:rFonts w:ascii="Times New Roman" w:eastAsia="宋体" w:hAnsi="Times New Roman" w:cs="Times New Roman"/>
                <w:color w:val="000000"/>
                <w:kern w:val="0"/>
                <w:szCs w:val="21"/>
              </w:rPr>
              <w:t>φ3000×16000mm</w:t>
            </w:r>
          </w:p>
        </w:tc>
        <w:tc>
          <w:tcPr>
            <w:tcW w:w="524" w:type="pct"/>
            <w:shd w:val="clear" w:color="auto" w:fill="auto"/>
            <w:noWrap/>
            <w:vAlign w:val="center"/>
          </w:tcPr>
          <w:p w14:paraId="2E0377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套</w:t>
            </w:r>
          </w:p>
        </w:tc>
      </w:tr>
      <w:tr w:rsidR="002133E3" w14:paraId="5D7C439D" w14:textId="77777777">
        <w:trPr>
          <w:trHeight w:val="285"/>
          <w:jc w:val="center"/>
        </w:trPr>
        <w:tc>
          <w:tcPr>
            <w:tcW w:w="375" w:type="pct"/>
            <w:vMerge/>
            <w:vAlign w:val="center"/>
          </w:tcPr>
          <w:p w14:paraId="1F48A406"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40C94F86" w14:textId="77777777" w:rsidR="002133E3" w:rsidRDefault="002133E3">
            <w:pPr>
              <w:widowControl/>
              <w:jc w:val="left"/>
              <w:rPr>
                <w:rFonts w:ascii="Times New Roman" w:eastAsia="宋体" w:hAnsi="Times New Roman" w:cs="Times New Roman"/>
                <w:color w:val="000000"/>
                <w:kern w:val="0"/>
                <w:szCs w:val="21"/>
              </w:rPr>
            </w:pPr>
          </w:p>
        </w:tc>
        <w:tc>
          <w:tcPr>
            <w:tcW w:w="772" w:type="pct"/>
            <w:vMerge/>
            <w:vAlign w:val="center"/>
          </w:tcPr>
          <w:p w14:paraId="05FC9D40"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4729645C" w14:textId="77777777" w:rsidR="002133E3" w:rsidRDefault="002133E3">
            <w:pPr>
              <w:widowControl/>
              <w:jc w:val="left"/>
              <w:rPr>
                <w:rFonts w:ascii="Times New Roman" w:eastAsia="宋体" w:hAnsi="Times New Roman" w:cs="Times New Roman"/>
                <w:color w:val="000000"/>
                <w:kern w:val="0"/>
                <w:szCs w:val="21"/>
              </w:rPr>
            </w:pPr>
          </w:p>
        </w:tc>
        <w:tc>
          <w:tcPr>
            <w:tcW w:w="641" w:type="pct"/>
            <w:shd w:val="clear" w:color="auto" w:fill="auto"/>
            <w:noWrap/>
            <w:vAlign w:val="center"/>
          </w:tcPr>
          <w:p w14:paraId="19FBFB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循环泵</w:t>
            </w:r>
          </w:p>
        </w:tc>
        <w:tc>
          <w:tcPr>
            <w:tcW w:w="1807" w:type="pct"/>
            <w:shd w:val="clear" w:color="auto" w:fill="auto"/>
            <w:noWrap/>
            <w:vAlign w:val="center"/>
          </w:tcPr>
          <w:p w14:paraId="72ED6F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流量</w:t>
            </w:r>
            <w:r>
              <w:rPr>
                <w:rFonts w:ascii="Times New Roman" w:eastAsia="宋体" w:hAnsi="Times New Roman" w:cs="Times New Roman"/>
                <w:color w:val="000000"/>
                <w:kern w:val="0"/>
                <w:szCs w:val="21"/>
              </w:rPr>
              <w:t>60 m³/h</w:t>
            </w:r>
            <w:r>
              <w:rPr>
                <w:rFonts w:ascii="Times New Roman" w:eastAsia="宋体" w:hAnsi="Times New Roman" w:cs="Times New Roman"/>
                <w:color w:val="000000"/>
                <w:kern w:val="0"/>
                <w:szCs w:val="21"/>
              </w:rPr>
              <w:t>，扬程</w:t>
            </w:r>
            <w:r>
              <w:rPr>
                <w:rFonts w:ascii="Times New Roman" w:eastAsia="宋体" w:hAnsi="Times New Roman" w:cs="Times New Roman"/>
                <w:color w:val="000000"/>
                <w:kern w:val="0"/>
                <w:szCs w:val="21"/>
              </w:rPr>
              <w:t>25</w:t>
            </w:r>
            <w:r>
              <w:rPr>
                <w:rFonts w:ascii="Times New Roman" w:eastAsia="宋体" w:hAnsi="Times New Roman" w:cs="Times New Roman"/>
                <w:color w:val="000000"/>
                <w:kern w:val="0"/>
                <w:szCs w:val="21"/>
              </w:rPr>
              <w:t>，功率</w:t>
            </w:r>
            <w:r>
              <w:rPr>
                <w:rFonts w:ascii="Times New Roman" w:eastAsia="宋体" w:hAnsi="Times New Roman" w:cs="Times New Roman"/>
                <w:color w:val="000000"/>
                <w:kern w:val="0"/>
                <w:szCs w:val="21"/>
              </w:rPr>
              <w:t>11KW</w:t>
            </w:r>
          </w:p>
        </w:tc>
        <w:tc>
          <w:tcPr>
            <w:tcW w:w="524" w:type="pct"/>
            <w:shd w:val="clear" w:color="auto" w:fill="auto"/>
            <w:noWrap/>
            <w:vAlign w:val="bottom"/>
          </w:tcPr>
          <w:p w14:paraId="19E0BB40" w14:textId="77777777" w:rsidR="002133E3" w:rsidRDefault="00C22CFA">
            <w:pPr>
              <w:widowControl/>
              <w:jc w:val="left"/>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用</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备）</w:t>
            </w:r>
          </w:p>
        </w:tc>
      </w:tr>
      <w:tr w:rsidR="002133E3" w14:paraId="3B50293D" w14:textId="77777777">
        <w:trPr>
          <w:trHeight w:val="285"/>
          <w:jc w:val="center"/>
        </w:trPr>
        <w:tc>
          <w:tcPr>
            <w:tcW w:w="375" w:type="pct"/>
            <w:vMerge w:val="restart"/>
            <w:shd w:val="clear" w:color="auto" w:fill="auto"/>
            <w:noWrap/>
            <w:vAlign w:val="center"/>
          </w:tcPr>
          <w:p w14:paraId="033AD52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无水乙醇</w:t>
            </w:r>
          </w:p>
        </w:tc>
        <w:tc>
          <w:tcPr>
            <w:tcW w:w="440" w:type="pct"/>
            <w:vMerge w:val="restart"/>
            <w:shd w:val="clear" w:color="auto" w:fill="auto"/>
            <w:noWrap/>
            <w:vAlign w:val="center"/>
          </w:tcPr>
          <w:p w14:paraId="0310CB7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不凝气</w:t>
            </w:r>
          </w:p>
        </w:tc>
        <w:tc>
          <w:tcPr>
            <w:tcW w:w="772" w:type="pct"/>
            <w:vMerge w:val="restart"/>
            <w:shd w:val="clear" w:color="auto" w:fill="auto"/>
            <w:noWrap/>
            <w:vAlign w:val="center"/>
          </w:tcPr>
          <w:p w14:paraId="365B070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乙醇</w:t>
            </w:r>
          </w:p>
        </w:tc>
        <w:tc>
          <w:tcPr>
            <w:tcW w:w="440" w:type="pct"/>
            <w:vMerge/>
            <w:vAlign w:val="center"/>
          </w:tcPr>
          <w:p w14:paraId="5D286941" w14:textId="77777777" w:rsidR="002133E3" w:rsidRDefault="002133E3">
            <w:pPr>
              <w:widowControl/>
              <w:jc w:val="left"/>
              <w:rPr>
                <w:rFonts w:ascii="Times New Roman" w:eastAsia="宋体" w:hAnsi="Times New Roman" w:cs="Times New Roman"/>
                <w:color w:val="000000"/>
                <w:kern w:val="0"/>
                <w:szCs w:val="21"/>
              </w:rPr>
            </w:pPr>
          </w:p>
        </w:tc>
        <w:tc>
          <w:tcPr>
            <w:tcW w:w="641" w:type="pct"/>
            <w:shd w:val="clear" w:color="auto" w:fill="auto"/>
            <w:noWrap/>
            <w:vAlign w:val="center"/>
          </w:tcPr>
          <w:p w14:paraId="725AC8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水吸收塔</w:t>
            </w:r>
          </w:p>
        </w:tc>
        <w:tc>
          <w:tcPr>
            <w:tcW w:w="1807" w:type="pct"/>
            <w:shd w:val="clear" w:color="auto" w:fill="auto"/>
            <w:noWrap/>
            <w:vAlign w:val="center"/>
          </w:tcPr>
          <w:p w14:paraId="1FBCEBA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设计风量</w:t>
            </w:r>
            <w:r>
              <w:rPr>
                <w:rFonts w:ascii="Times New Roman" w:eastAsia="宋体" w:hAnsi="Times New Roman" w:cs="Times New Roman"/>
                <w:color w:val="000000"/>
                <w:kern w:val="0"/>
                <w:szCs w:val="21"/>
              </w:rPr>
              <w:t>15000m3/h</w:t>
            </w:r>
            <w:r>
              <w:rPr>
                <w:rFonts w:ascii="Times New Roman" w:eastAsia="宋体" w:hAnsi="Times New Roman" w:cs="Times New Roman"/>
                <w:color w:val="000000"/>
                <w:kern w:val="0"/>
                <w:szCs w:val="21"/>
              </w:rPr>
              <w:t>，规格尺寸</w:t>
            </w:r>
            <w:r>
              <w:rPr>
                <w:rFonts w:ascii="Times New Roman" w:eastAsia="宋体" w:hAnsi="Times New Roman" w:cs="Times New Roman"/>
                <w:color w:val="000000"/>
                <w:kern w:val="0"/>
                <w:szCs w:val="21"/>
              </w:rPr>
              <w:t>φ2300×14000mm</w:t>
            </w:r>
          </w:p>
        </w:tc>
        <w:tc>
          <w:tcPr>
            <w:tcW w:w="524" w:type="pct"/>
            <w:shd w:val="clear" w:color="auto" w:fill="auto"/>
            <w:noWrap/>
            <w:vAlign w:val="center"/>
          </w:tcPr>
          <w:p w14:paraId="2DA8AF0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套</w:t>
            </w:r>
          </w:p>
        </w:tc>
      </w:tr>
      <w:tr w:rsidR="002133E3" w14:paraId="3412180E" w14:textId="77777777">
        <w:trPr>
          <w:trHeight w:val="285"/>
          <w:jc w:val="center"/>
        </w:trPr>
        <w:tc>
          <w:tcPr>
            <w:tcW w:w="375" w:type="pct"/>
            <w:vMerge/>
            <w:vAlign w:val="center"/>
          </w:tcPr>
          <w:p w14:paraId="0D4AE6C0"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0D830235" w14:textId="77777777" w:rsidR="002133E3" w:rsidRDefault="002133E3">
            <w:pPr>
              <w:widowControl/>
              <w:jc w:val="left"/>
              <w:rPr>
                <w:rFonts w:ascii="Times New Roman" w:eastAsia="宋体" w:hAnsi="Times New Roman" w:cs="Times New Roman"/>
                <w:color w:val="000000"/>
                <w:kern w:val="0"/>
                <w:szCs w:val="21"/>
              </w:rPr>
            </w:pPr>
          </w:p>
        </w:tc>
        <w:tc>
          <w:tcPr>
            <w:tcW w:w="772" w:type="pct"/>
            <w:vMerge/>
            <w:vAlign w:val="center"/>
          </w:tcPr>
          <w:p w14:paraId="75F87667" w14:textId="77777777" w:rsidR="002133E3" w:rsidRDefault="002133E3">
            <w:pPr>
              <w:widowControl/>
              <w:jc w:val="left"/>
              <w:rPr>
                <w:rFonts w:ascii="Times New Roman" w:eastAsia="宋体" w:hAnsi="Times New Roman" w:cs="Times New Roman"/>
                <w:color w:val="000000"/>
                <w:kern w:val="0"/>
                <w:szCs w:val="21"/>
              </w:rPr>
            </w:pPr>
          </w:p>
        </w:tc>
        <w:tc>
          <w:tcPr>
            <w:tcW w:w="440" w:type="pct"/>
            <w:vMerge/>
            <w:vAlign w:val="center"/>
          </w:tcPr>
          <w:p w14:paraId="57E354BD" w14:textId="77777777" w:rsidR="002133E3" w:rsidRDefault="002133E3">
            <w:pPr>
              <w:widowControl/>
              <w:jc w:val="left"/>
              <w:rPr>
                <w:rFonts w:ascii="Times New Roman" w:eastAsia="宋体" w:hAnsi="Times New Roman" w:cs="Times New Roman"/>
                <w:color w:val="000000"/>
                <w:kern w:val="0"/>
                <w:szCs w:val="21"/>
              </w:rPr>
            </w:pPr>
          </w:p>
        </w:tc>
        <w:tc>
          <w:tcPr>
            <w:tcW w:w="641" w:type="pct"/>
            <w:shd w:val="clear" w:color="auto" w:fill="auto"/>
            <w:noWrap/>
            <w:vAlign w:val="center"/>
          </w:tcPr>
          <w:p w14:paraId="4736B24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循环泵</w:t>
            </w:r>
          </w:p>
        </w:tc>
        <w:tc>
          <w:tcPr>
            <w:tcW w:w="1807" w:type="pct"/>
            <w:shd w:val="clear" w:color="auto" w:fill="auto"/>
            <w:noWrap/>
            <w:vAlign w:val="center"/>
          </w:tcPr>
          <w:p w14:paraId="1862ED12" w14:textId="77777777" w:rsidR="002133E3" w:rsidRDefault="00C22CFA">
            <w:pPr>
              <w:widowControl/>
              <w:jc w:val="center"/>
              <w:rPr>
                <w:rFonts w:ascii="Times New Roman" w:eastAsia="宋体" w:hAnsi="Times New Roman" w:cs="Times New Roman"/>
                <w:color w:val="000000"/>
                <w:kern w:val="0"/>
                <w:szCs w:val="21"/>
              </w:rPr>
            </w:pPr>
            <w:bookmarkStart w:id="107" w:name="_GoBack"/>
            <w:r>
              <w:rPr>
                <w:rFonts w:ascii="Times New Roman" w:eastAsia="宋体" w:hAnsi="Times New Roman" w:cs="Times New Roman"/>
                <w:color w:val="000000"/>
                <w:kern w:val="0"/>
                <w:szCs w:val="21"/>
              </w:rPr>
              <w:t>流量</w:t>
            </w:r>
            <w:r>
              <w:rPr>
                <w:rFonts w:ascii="Times New Roman" w:eastAsia="宋体" w:hAnsi="Times New Roman" w:cs="Times New Roman"/>
                <w:color w:val="000000"/>
                <w:kern w:val="0"/>
                <w:szCs w:val="21"/>
              </w:rPr>
              <w:t>80m³/h</w:t>
            </w:r>
            <w:r>
              <w:rPr>
                <w:rFonts w:ascii="Times New Roman" w:eastAsia="宋体" w:hAnsi="Times New Roman" w:cs="Times New Roman"/>
                <w:color w:val="000000"/>
                <w:kern w:val="0"/>
                <w:szCs w:val="21"/>
              </w:rPr>
              <w:t>，扬程</w:t>
            </w:r>
            <w:r>
              <w:rPr>
                <w:rFonts w:ascii="Times New Roman" w:eastAsia="宋体" w:hAnsi="Times New Roman" w:cs="Times New Roman"/>
                <w:color w:val="000000"/>
                <w:kern w:val="0"/>
                <w:szCs w:val="21"/>
              </w:rPr>
              <w:t>35</w:t>
            </w:r>
            <w:r>
              <w:rPr>
                <w:rFonts w:ascii="Times New Roman" w:eastAsia="宋体" w:hAnsi="Times New Roman" w:cs="Times New Roman"/>
                <w:color w:val="000000"/>
                <w:kern w:val="0"/>
                <w:szCs w:val="21"/>
              </w:rPr>
              <w:t>，功率</w:t>
            </w:r>
            <w:r>
              <w:rPr>
                <w:rFonts w:ascii="Times New Roman" w:eastAsia="宋体" w:hAnsi="Times New Roman" w:cs="Times New Roman"/>
                <w:color w:val="000000"/>
                <w:kern w:val="0"/>
                <w:szCs w:val="21"/>
              </w:rPr>
              <w:t>15KW</w:t>
            </w:r>
            <w:bookmarkEnd w:id="107"/>
          </w:p>
        </w:tc>
        <w:tc>
          <w:tcPr>
            <w:tcW w:w="524" w:type="pct"/>
            <w:shd w:val="clear" w:color="auto" w:fill="auto"/>
            <w:noWrap/>
            <w:vAlign w:val="bottom"/>
          </w:tcPr>
          <w:p w14:paraId="3CCA32F8" w14:textId="77777777" w:rsidR="002133E3" w:rsidRDefault="00C22CFA">
            <w:pPr>
              <w:widowControl/>
              <w:jc w:val="left"/>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2</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用</w:t>
            </w:r>
            <w:r>
              <w:rPr>
                <w:rFonts w:ascii="Times New Roman" w:eastAsia="宋体" w:hAnsi="Times New Roman" w:cs="Times New Roman"/>
                <w:color w:val="000000"/>
                <w:kern w:val="0"/>
                <w:szCs w:val="21"/>
              </w:rPr>
              <w:t>1</w:t>
            </w:r>
            <w:r>
              <w:rPr>
                <w:rFonts w:ascii="Times New Roman" w:eastAsia="宋体" w:hAnsi="Times New Roman" w:cs="Times New Roman"/>
                <w:color w:val="000000"/>
                <w:kern w:val="0"/>
                <w:szCs w:val="21"/>
              </w:rPr>
              <w:t>备）</w:t>
            </w:r>
          </w:p>
        </w:tc>
      </w:tr>
    </w:tbl>
    <w:p w14:paraId="3531A143" w14:textId="77777777" w:rsidR="002133E3" w:rsidRDefault="00C22CFA">
      <w:pPr>
        <w:adjustRightInd w:val="0"/>
        <w:snapToGrid w:val="0"/>
        <w:spacing w:line="500" w:lineRule="exact"/>
        <w:ind w:firstLineChars="200" w:firstLine="562"/>
        <w:rPr>
          <w:rFonts w:ascii="Times New Roman" w:eastAsia="宋体" w:hAnsi="Times New Roman" w:cs="Times New Roman"/>
          <w:b/>
          <w:bCs/>
          <w:color w:val="0D0D0D"/>
          <w:sz w:val="28"/>
          <w:szCs w:val="28"/>
        </w:rPr>
      </w:pPr>
      <w:r>
        <w:rPr>
          <w:rFonts w:ascii="宋体" w:eastAsia="宋体" w:hAnsi="宋体" w:cs="宋体" w:hint="eastAsia"/>
          <w:b/>
          <w:bCs/>
          <w:color w:val="0D0D0D"/>
          <w:sz w:val="28"/>
          <w:szCs w:val="28"/>
        </w:rPr>
        <w:lastRenderedPageBreak/>
        <w:t>⑵</w:t>
      </w:r>
      <w:r>
        <w:rPr>
          <w:rFonts w:ascii="Times New Roman" w:eastAsia="宋体" w:hAnsi="Times New Roman" w:cs="Times New Roman"/>
          <w:b/>
          <w:bCs/>
          <w:color w:val="0D0D0D"/>
          <w:sz w:val="28"/>
          <w:szCs w:val="28"/>
        </w:rPr>
        <w:t xml:space="preserve"> </w:t>
      </w:r>
      <w:r>
        <w:rPr>
          <w:rFonts w:ascii="Times New Roman" w:eastAsia="宋体" w:hAnsi="Times New Roman" w:cs="Times New Roman"/>
          <w:b/>
          <w:bCs/>
          <w:color w:val="0D0D0D"/>
          <w:sz w:val="28"/>
          <w:szCs w:val="28"/>
        </w:rPr>
        <w:t>废水</w:t>
      </w:r>
    </w:p>
    <w:p w14:paraId="4C044874" w14:textId="77777777" w:rsidR="002133E3" w:rsidRDefault="00C22CFA">
      <w:pPr>
        <w:adjustRightInd w:val="0"/>
        <w:snapToGrid w:val="0"/>
        <w:spacing w:line="500" w:lineRule="exact"/>
        <w:ind w:firstLineChars="200" w:firstLine="536"/>
        <w:rPr>
          <w:rFonts w:ascii="Times New Roman" w:eastAsia="宋体" w:hAnsi="Times New Roman" w:cs="Times New Roman"/>
          <w:spacing w:val="-6"/>
          <w:kern w:val="0"/>
          <w:sz w:val="28"/>
          <w:szCs w:val="28"/>
        </w:rPr>
      </w:pPr>
      <w:r>
        <w:rPr>
          <w:rFonts w:ascii="Times New Roman" w:eastAsia="宋体" w:hAnsi="Times New Roman" w:cs="Times New Roman"/>
          <w:spacing w:val="-6"/>
          <w:kern w:val="0"/>
          <w:sz w:val="28"/>
          <w:szCs w:val="28"/>
        </w:rPr>
        <w:t>技改项目废水处理措施设置情况详见表</w:t>
      </w:r>
      <w:r>
        <w:rPr>
          <w:rFonts w:ascii="Times New Roman" w:eastAsia="宋体" w:hAnsi="Times New Roman" w:cs="Times New Roman"/>
          <w:spacing w:val="-6"/>
          <w:kern w:val="0"/>
          <w:sz w:val="28"/>
          <w:szCs w:val="28"/>
        </w:rPr>
        <w:t>9.2-3</w:t>
      </w:r>
      <w:r>
        <w:rPr>
          <w:rFonts w:ascii="Times New Roman" w:eastAsia="宋体" w:hAnsi="Times New Roman" w:cs="Times New Roman"/>
          <w:spacing w:val="-6"/>
          <w:kern w:val="0"/>
          <w:sz w:val="28"/>
          <w:szCs w:val="28"/>
        </w:rPr>
        <w:t>。</w:t>
      </w:r>
    </w:p>
    <w:p w14:paraId="5B5C5E0F" w14:textId="77777777" w:rsidR="002133E3" w:rsidRDefault="00C22CFA">
      <w:pPr>
        <w:tabs>
          <w:tab w:val="left" w:pos="600"/>
        </w:tabs>
        <w:snapToGrid w:val="0"/>
        <w:spacing w:line="500" w:lineRule="atLeast"/>
        <w:jc w:val="center"/>
        <w:rPr>
          <w:rFonts w:ascii="Times New Roman" w:eastAsia="宋体" w:hAnsi="Times New Roman" w:cs="Times New Roman"/>
          <w:b/>
          <w:bCs/>
          <w:spacing w:val="4"/>
          <w:kern w:val="0"/>
          <w:sz w:val="24"/>
          <w:szCs w:val="24"/>
        </w:rPr>
      </w:pPr>
      <w:r>
        <w:rPr>
          <w:rFonts w:ascii="Times New Roman" w:eastAsia="宋体" w:hAnsi="Times New Roman" w:cs="Times New Roman"/>
          <w:b/>
          <w:bCs/>
          <w:spacing w:val="4"/>
          <w:kern w:val="0"/>
          <w:sz w:val="24"/>
          <w:szCs w:val="24"/>
        </w:rPr>
        <w:t>表</w:t>
      </w:r>
      <w:r>
        <w:rPr>
          <w:rFonts w:ascii="Times New Roman" w:eastAsia="宋体" w:hAnsi="Times New Roman" w:cs="Times New Roman"/>
          <w:b/>
          <w:bCs/>
          <w:spacing w:val="4"/>
          <w:kern w:val="0"/>
          <w:sz w:val="24"/>
          <w:szCs w:val="24"/>
        </w:rPr>
        <w:t xml:space="preserve">9.2-3  </w:t>
      </w:r>
      <w:r>
        <w:rPr>
          <w:rFonts w:ascii="Times New Roman" w:eastAsia="宋体" w:hAnsi="Times New Roman" w:cs="Times New Roman"/>
          <w:b/>
          <w:bCs/>
          <w:spacing w:val="4"/>
          <w:kern w:val="0"/>
          <w:sz w:val="24"/>
          <w:szCs w:val="24"/>
        </w:rPr>
        <w:t>废水处理措施设置情况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1998"/>
        <w:gridCol w:w="3496"/>
        <w:gridCol w:w="1123"/>
        <w:gridCol w:w="2483"/>
      </w:tblGrid>
      <w:tr w:rsidR="002133E3" w14:paraId="0B2C98B3" w14:textId="77777777">
        <w:trPr>
          <w:trHeight w:val="20"/>
          <w:jc w:val="center"/>
        </w:trPr>
        <w:tc>
          <w:tcPr>
            <w:tcW w:w="382" w:type="pct"/>
            <w:vAlign w:val="center"/>
          </w:tcPr>
          <w:p w14:paraId="01915014"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1014" w:type="pct"/>
            <w:vAlign w:val="center"/>
          </w:tcPr>
          <w:p w14:paraId="3EB9AE96" w14:textId="77777777" w:rsidR="002133E3" w:rsidRDefault="00C22CFA">
            <w:pPr>
              <w:widowControl/>
              <w:tabs>
                <w:tab w:val="right" w:leader="dot" w:pos="9060"/>
              </w:tabs>
              <w:snapToGrid w:val="0"/>
              <w:jc w:val="center"/>
              <w:rPr>
                <w:rFonts w:ascii="Times New Roman" w:eastAsia="宋体" w:hAnsi="Times New Roman" w:cs="Times New Roman"/>
                <w:b/>
                <w:bCs/>
                <w:caps/>
                <w:kern w:val="0"/>
                <w:szCs w:val="21"/>
              </w:rPr>
            </w:pPr>
            <w:r>
              <w:rPr>
                <w:rFonts w:ascii="Times New Roman" w:eastAsia="宋体" w:hAnsi="Times New Roman" w:cs="Times New Roman"/>
                <w:b/>
                <w:bCs/>
                <w:caps/>
                <w:kern w:val="0"/>
                <w:szCs w:val="21"/>
              </w:rPr>
              <w:t>设备</w:t>
            </w:r>
            <w:r>
              <w:rPr>
                <w:rFonts w:ascii="Times New Roman" w:eastAsia="宋体" w:hAnsi="Times New Roman" w:cs="Times New Roman"/>
                <w:b/>
                <w:bCs/>
                <w:caps/>
                <w:kern w:val="0"/>
                <w:szCs w:val="21"/>
              </w:rPr>
              <w:t>(</w:t>
            </w:r>
            <w:r>
              <w:rPr>
                <w:rFonts w:ascii="Times New Roman" w:eastAsia="宋体" w:hAnsi="Times New Roman" w:cs="Times New Roman"/>
                <w:b/>
                <w:bCs/>
                <w:caps/>
                <w:kern w:val="0"/>
                <w:szCs w:val="21"/>
              </w:rPr>
              <w:t>设施</w:t>
            </w:r>
            <w:r>
              <w:rPr>
                <w:rFonts w:ascii="Times New Roman" w:eastAsia="宋体" w:hAnsi="Times New Roman" w:cs="Times New Roman"/>
                <w:b/>
                <w:bCs/>
                <w:caps/>
                <w:kern w:val="0"/>
                <w:szCs w:val="21"/>
              </w:rPr>
              <w:t>)</w:t>
            </w:r>
            <w:r>
              <w:rPr>
                <w:rFonts w:ascii="Times New Roman" w:eastAsia="宋体" w:hAnsi="Times New Roman" w:cs="Times New Roman"/>
                <w:b/>
                <w:bCs/>
                <w:caps/>
                <w:kern w:val="0"/>
                <w:szCs w:val="21"/>
              </w:rPr>
              <w:t>名称</w:t>
            </w:r>
          </w:p>
        </w:tc>
        <w:tc>
          <w:tcPr>
            <w:tcW w:w="1774" w:type="pct"/>
            <w:vAlign w:val="center"/>
          </w:tcPr>
          <w:p w14:paraId="746B877B" w14:textId="77777777" w:rsidR="002133E3" w:rsidRDefault="00C22CFA">
            <w:pPr>
              <w:widowControl/>
              <w:tabs>
                <w:tab w:val="right" w:leader="dot" w:pos="9060"/>
              </w:tabs>
              <w:snapToGrid w:val="0"/>
              <w:jc w:val="center"/>
              <w:rPr>
                <w:rFonts w:ascii="Times New Roman" w:eastAsia="宋体" w:hAnsi="Times New Roman" w:cs="Times New Roman"/>
                <w:b/>
                <w:bCs/>
                <w:caps/>
                <w:kern w:val="0"/>
                <w:szCs w:val="21"/>
              </w:rPr>
            </w:pPr>
            <w:r>
              <w:rPr>
                <w:rFonts w:ascii="Times New Roman" w:eastAsia="宋体" w:hAnsi="Times New Roman" w:cs="Times New Roman"/>
                <w:b/>
                <w:bCs/>
                <w:caps/>
                <w:kern w:val="0"/>
                <w:szCs w:val="21"/>
              </w:rPr>
              <w:t>规格型号</w:t>
            </w:r>
          </w:p>
        </w:tc>
        <w:tc>
          <w:tcPr>
            <w:tcW w:w="570" w:type="pct"/>
            <w:vAlign w:val="center"/>
          </w:tcPr>
          <w:p w14:paraId="5C3980EE"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数量</w:t>
            </w:r>
          </w:p>
        </w:tc>
        <w:tc>
          <w:tcPr>
            <w:tcW w:w="1261" w:type="pct"/>
            <w:vAlign w:val="center"/>
          </w:tcPr>
          <w:p w14:paraId="2513FF0F" w14:textId="77777777" w:rsidR="002133E3" w:rsidRDefault="00C22CFA">
            <w:pPr>
              <w:widowControl/>
              <w:snapToGrid w:val="0"/>
              <w:jc w:val="center"/>
              <w:rPr>
                <w:rFonts w:ascii="Times New Roman" w:eastAsia="宋体" w:hAnsi="Times New Roman" w:cs="Times New Roman"/>
                <w:b/>
                <w:kern w:val="0"/>
                <w:szCs w:val="21"/>
              </w:rPr>
            </w:pPr>
            <w:r>
              <w:rPr>
                <w:rFonts w:ascii="Times New Roman" w:eastAsia="宋体" w:hAnsi="Times New Roman" w:cs="Times New Roman"/>
                <w:b/>
                <w:kern w:val="0"/>
                <w:szCs w:val="21"/>
              </w:rPr>
              <w:t>备注</w:t>
            </w:r>
          </w:p>
        </w:tc>
      </w:tr>
      <w:tr w:rsidR="002133E3" w14:paraId="75656BFE" w14:textId="77777777">
        <w:trPr>
          <w:trHeight w:val="20"/>
          <w:jc w:val="center"/>
        </w:trPr>
        <w:tc>
          <w:tcPr>
            <w:tcW w:w="382" w:type="pct"/>
            <w:vMerge w:val="restart"/>
            <w:vAlign w:val="center"/>
          </w:tcPr>
          <w:p w14:paraId="48EAD1FC"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1</w:t>
            </w:r>
          </w:p>
        </w:tc>
        <w:tc>
          <w:tcPr>
            <w:tcW w:w="1014" w:type="pct"/>
            <w:vAlign w:val="center"/>
          </w:tcPr>
          <w:p w14:paraId="73868AE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调节池</w:t>
            </w:r>
          </w:p>
        </w:tc>
        <w:tc>
          <w:tcPr>
            <w:tcW w:w="1774" w:type="pct"/>
            <w:vAlign w:val="center"/>
          </w:tcPr>
          <w:p w14:paraId="0B8BE8B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=20000m</w:t>
            </w:r>
            <w:r>
              <w:rPr>
                <w:rFonts w:ascii="Times New Roman" w:eastAsia="宋体" w:hAnsi="Times New Roman" w:cs="Times New Roman"/>
                <w:kern w:val="0"/>
                <w:szCs w:val="21"/>
                <w:vertAlign w:val="superscript"/>
              </w:rPr>
              <w:t>3</w:t>
            </w:r>
          </w:p>
        </w:tc>
        <w:tc>
          <w:tcPr>
            <w:tcW w:w="570" w:type="pct"/>
            <w:vAlign w:val="center"/>
          </w:tcPr>
          <w:p w14:paraId="116C30E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7E9D58D2"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1080DA95" w14:textId="77777777">
        <w:trPr>
          <w:trHeight w:val="20"/>
          <w:jc w:val="center"/>
        </w:trPr>
        <w:tc>
          <w:tcPr>
            <w:tcW w:w="382" w:type="pct"/>
            <w:vMerge/>
            <w:vAlign w:val="center"/>
          </w:tcPr>
          <w:p w14:paraId="4EECEB47" w14:textId="77777777" w:rsidR="002133E3" w:rsidRDefault="002133E3">
            <w:pPr>
              <w:widowControl/>
              <w:snapToGrid w:val="0"/>
              <w:jc w:val="center"/>
              <w:rPr>
                <w:rFonts w:ascii="Times New Roman" w:eastAsia="宋体" w:hAnsi="Times New Roman" w:cs="Times New Roman"/>
                <w:smallCaps/>
                <w:kern w:val="0"/>
                <w:szCs w:val="21"/>
              </w:rPr>
            </w:pPr>
          </w:p>
        </w:tc>
        <w:tc>
          <w:tcPr>
            <w:tcW w:w="1014" w:type="pct"/>
            <w:vAlign w:val="center"/>
          </w:tcPr>
          <w:p w14:paraId="720AF44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5" w:type="pct"/>
            <w:gridSpan w:val="3"/>
            <w:vAlign w:val="center"/>
          </w:tcPr>
          <w:p w14:paraId="294B5BA8"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进料泵</w:t>
            </w:r>
            <w:r>
              <w:rPr>
                <w:rFonts w:ascii="Times New Roman" w:eastAsia="宋体" w:hAnsi="Times New Roman" w:cs="Times New Roman"/>
                <w:smallCaps/>
                <w:kern w:val="0"/>
                <w:szCs w:val="21"/>
              </w:rPr>
              <w:t>6</w:t>
            </w:r>
            <w:r>
              <w:rPr>
                <w:rFonts w:ascii="Times New Roman" w:eastAsia="宋体" w:hAnsi="Times New Roman" w:cs="Times New Roman"/>
                <w:smallCaps/>
                <w:kern w:val="0"/>
                <w:szCs w:val="21"/>
              </w:rPr>
              <w:t>台，</w:t>
            </w:r>
            <w:r>
              <w:rPr>
                <w:rFonts w:ascii="Times New Roman" w:eastAsia="宋体" w:hAnsi="Times New Roman" w:cs="Times New Roman"/>
                <w:smallCaps/>
                <w:kern w:val="0"/>
                <w:szCs w:val="21"/>
              </w:rPr>
              <w:t>IHN125-100-315</w:t>
            </w:r>
            <w:r>
              <w:rPr>
                <w:rFonts w:ascii="Times New Roman" w:eastAsia="宋体" w:hAnsi="Times New Roman" w:cs="Times New Roman"/>
                <w:smallCaps/>
                <w:kern w:val="0"/>
                <w:szCs w:val="21"/>
              </w:rPr>
              <w:t>，功率：</w:t>
            </w:r>
            <w:r>
              <w:rPr>
                <w:rFonts w:ascii="Times New Roman" w:eastAsia="宋体" w:hAnsi="Times New Roman" w:cs="Times New Roman"/>
                <w:smallCaps/>
                <w:kern w:val="0"/>
                <w:szCs w:val="21"/>
              </w:rPr>
              <w:t>15kw</w:t>
            </w:r>
          </w:p>
          <w:p w14:paraId="4B0817AB" w14:textId="77777777" w:rsidR="002133E3" w:rsidRDefault="00C22CFA">
            <w:pPr>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循环泵</w:t>
            </w:r>
            <w:r>
              <w:rPr>
                <w:rFonts w:ascii="Times New Roman" w:eastAsia="宋体" w:hAnsi="Times New Roman" w:cs="Times New Roman"/>
                <w:kern w:val="0"/>
                <w:szCs w:val="21"/>
              </w:rPr>
              <w:t>2</w:t>
            </w:r>
            <w:r>
              <w:rPr>
                <w:rFonts w:ascii="Times New Roman" w:eastAsia="宋体" w:hAnsi="Times New Roman" w:cs="Times New Roman"/>
                <w:kern w:val="0"/>
                <w:szCs w:val="21"/>
              </w:rPr>
              <w:t>台，</w:t>
            </w:r>
            <w:r>
              <w:rPr>
                <w:rFonts w:ascii="Times New Roman" w:eastAsia="宋体" w:hAnsi="Times New Roman" w:cs="Times New Roman"/>
                <w:kern w:val="0"/>
                <w:szCs w:val="21"/>
              </w:rPr>
              <w:t>150IND-40</w:t>
            </w:r>
            <w:r>
              <w:rPr>
                <w:rFonts w:ascii="Times New Roman" w:eastAsia="宋体" w:hAnsi="Times New Roman" w:cs="Times New Roman"/>
                <w:kern w:val="0"/>
                <w:szCs w:val="21"/>
              </w:rPr>
              <w:t>，功率：</w:t>
            </w:r>
            <w:r>
              <w:rPr>
                <w:rFonts w:ascii="Times New Roman" w:eastAsia="宋体" w:hAnsi="Times New Roman" w:cs="Times New Roman"/>
                <w:kern w:val="0"/>
                <w:szCs w:val="21"/>
              </w:rPr>
              <w:t>15kw</w:t>
            </w:r>
          </w:p>
        </w:tc>
      </w:tr>
      <w:tr w:rsidR="002133E3" w14:paraId="3051FFDB" w14:textId="77777777">
        <w:trPr>
          <w:trHeight w:val="20"/>
          <w:jc w:val="center"/>
        </w:trPr>
        <w:tc>
          <w:tcPr>
            <w:tcW w:w="382" w:type="pct"/>
            <w:vAlign w:val="center"/>
          </w:tcPr>
          <w:p w14:paraId="3A4E495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014" w:type="pct"/>
            <w:vAlign w:val="center"/>
          </w:tcPr>
          <w:p w14:paraId="686065D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事故池</w:t>
            </w:r>
          </w:p>
        </w:tc>
        <w:tc>
          <w:tcPr>
            <w:tcW w:w="1774" w:type="pct"/>
            <w:vAlign w:val="center"/>
          </w:tcPr>
          <w:p w14:paraId="552F139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=40000m</w:t>
            </w:r>
            <w:r>
              <w:rPr>
                <w:rFonts w:ascii="Times New Roman" w:eastAsia="宋体" w:hAnsi="Times New Roman" w:cs="Times New Roman"/>
                <w:kern w:val="0"/>
                <w:szCs w:val="21"/>
                <w:vertAlign w:val="superscript"/>
              </w:rPr>
              <w:t>3</w:t>
            </w:r>
          </w:p>
        </w:tc>
        <w:tc>
          <w:tcPr>
            <w:tcW w:w="570" w:type="pct"/>
            <w:vAlign w:val="center"/>
          </w:tcPr>
          <w:p w14:paraId="0A103E3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2C2F5EBB"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43439645" w14:textId="77777777">
        <w:trPr>
          <w:trHeight w:val="20"/>
          <w:jc w:val="center"/>
        </w:trPr>
        <w:tc>
          <w:tcPr>
            <w:tcW w:w="382" w:type="pct"/>
            <w:vMerge w:val="restart"/>
            <w:vAlign w:val="center"/>
          </w:tcPr>
          <w:p w14:paraId="54D138D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014" w:type="pct"/>
            <w:vAlign w:val="center"/>
          </w:tcPr>
          <w:p w14:paraId="797D95F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一级</w:t>
            </w:r>
            <w:r>
              <w:rPr>
                <w:rFonts w:ascii="Times New Roman" w:eastAsia="宋体" w:hAnsi="Times New Roman" w:cs="Times New Roman"/>
                <w:kern w:val="0"/>
                <w:szCs w:val="21"/>
              </w:rPr>
              <w:t>UASB</w:t>
            </w:r>
            <w:r>
              <w:rPr>
                <w:rFonts w:ascii="Times New Roman" w:eastAsia="宋体" w:hAnsi="Times New Roman" w:cs="Times New Roman"/>
                <w:kern w:val="0"/>
                <w:szCs w:val="21"/>
              </w:rPr>
              <w:t>厌氧罐</w:t>
            </w:r>
          </w:p>
        </w:tc>
        <w:tc>
          <w:tcPr>
            <w:tcW w:w="1774" w:type="pct"/>
            <w:vAlign w:val="center"/>
          </w:tcPr>
          <w:p w14:paraId="61EF487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=5500m</w:t>
            </w:r>
            <w:r>
              <w:rPr>
                <w:rFonts w:ascii="Times New Roman" w:eastAsia="宋体" w:hAnsi="Times New Roman" w:cs="Times New Roman"/>
                <w:kern w:val="0"/>
                <w:szCs w:val="21"/>
                <w:vertAlign w:val="superscript"/>
              </w:rPr>
              <w:t>3</w:t>
            </w:r>
          </w:p>
        </w:tc>
        <w:tc>
          <w:tcPr>
            <w:tcW w:w="570" w:type="pct"/>
            <w:vAlign w:val="center"/>
          </w:tcPr>
          <w:p w14:paraId="33BB394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16</w:t>
            </w:r>
          </w:p>
        </w:tc>
        <w:tc>
          <w:tcPr>
            <w:tcW w:w="1261" w:type="pct"/>
            <w:vAlign w:val="center"/>
          </w:tcPr>
          <w:p w14:paraId="3090EF93"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638EE3B7" w14:textId="77777777">
        <w:trPr>
          <w:trHeight w:val="20"/>
          <w:jc w:val="center"/>
        </w:trPr>
        <w:tc>
          <w:tcPr>
            <w:tcW w:w="382" w:type="pct"/>
            <w:vMerge/>
            <w:vAlign w:val="center"/>
          </w:tcPr>
          <w:p w14:paraId="12E8B3EE"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044B634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5" w:type="pct"/>
            <w:gridSpan w:val="3"/>
            <w:vAlign w:val="center"/>
          </w:tcPr>
          <w:p w14:paraId="5B2CDFB4"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回流泵</w:t>
            </w:r>
            <w:r>
              <w:rPr>
                <w:rFonts w:ascii="Times New Roman" w:eastAsia="宋体" w:hAnsi="Times New Roman" w:cs="Times New Roman"/>
                <w:kern w:val="0"/>
                <w:szCs w:val="21"/>
              </w:rPr>
              <w:t>16</w:t>
            </w:r>
            <w:r>
              <w:rPr>
                <w:rFonts w:ascii="Times New Roman" w:eastAsia="宋体" w:hAnsi="Times New Roman" w:cs="Times New Roman"/>
                <w:kern w:val="0"/>
                <w:szCs w:val="21"/>
              </w:rPr>
              <w:t>台，</w:t>
            </w:r>
            <w:r>
              <w:rPr>
                <w:rFonts w:ascii="Times New Roman" w:eastAsia="宋体" w:hAnsi="Times New Roman" w:cs="Times New Roman"/>
                <w:kern w:val="0"/>
                <w:szCs w:val="21"/>
              </w:rPr>
              <w:t>IHN150-125-400</w:t>
            </w:r>
            <w:r>
              <w:rPr>
                <w:rFonts w:ascii="Times New Roman" w:eastAsia="宋体" w:hAnsi="Times New Roman" w:cs="Times New Roman"/>
                <w:kern w:val="0"/>
                <w:szCs w:val="21"/>
              </w:rPr>
              <w:t>，功率：</w:t>
            </w:r>
            <w:r>
              <w:rPr>
                <w:rFonts w:ascii="Times New Roman" w:eastAsia="宋体" w:hAnsi="Times New Roman" w:cs="Times New Roman"/>
                <w:kern w:val="0"/>
                <w:szCs w:val="21"/>
              </w:rPr>
              <w:t>75kw</w:t>
            </w:r>
          </w:p>
        </w:tc>
      </w:tr>
      <w:tr w:rsidR="002133E3" w14:paraId="3FA6B9E7" w14:textId="77777777">
        <w:trPr>
          <w:trHeight w:val="20"/>
          <w:jc w:val="center"/>
        </w:trPr>
        <w:tc>
          <w:tcPr>
            <w:tcW w:w="382" w:type="pct"/>
            <w:vMerge w:val="restart"/>
            <w:vAlign w:val="center"/>
          </w:tcPr>
          <w:p w14:paraId="7BC2CFD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014" w:type="pct"/>
            <w:vAlign w:val="center"/>
          </w:tcPr>
          <w:p w14:paraId="7BABC48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气浮池</w:t>
            </w:r>
          </w:p>
        </w:tc>
        <w:tc>
          <w:tcPr>
            <w:tcW w:w="1774" w:type="pct"/>
            <w:vAlign w:val="center"/>
          </w:tcPr>
          <w:p w14:paraId="079EE75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=3000m</w:t>
            </w:r>
            <w:r>
              <w:rPr>
                <w:rFonts w:ascii="Times New Roman" w:eastAsia="宋体" w:hAnsi="Times New Roman" w:cs="Times New Roman"/>
                <w:kern w:val="0"/>
                <w:szCs w:val="21"/>
                <w:vertAlign w:val="superscript"/>
              </w:rPr>
              <w:t>3</w:t>
            </w:r>
          </w:p>
        </w:tc>
        <w:tc>
          <w:tcPr>
            <w:tcW w:w="570" w:type="pct"/>
            <w:vAlign w:val="center"/>
          </w:tcPr>
          <w:p w14:paraId="761D403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5B35F28C"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7DDD0C16" w14:textId="77777777">
        <w:trPr>
          <w:trHeight w:val="20"/>
          <w:jc w:val="center"/>
        </w:trPr>
        <w:tc>
          <w:tcPr>
            <w:tcW w:w="382" w:type="pct"/>
            <w:vMerge/>
            <w:vAlign w:val="center"/>
          </w:tcPr>
          <w:p w14:paraId="7A36B2F9"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1F7CF56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5" w:type="pct"/>
            <w:gridSpan w:val="3"/>
            <w:vAlign w:val="center"/>
          </w:tcPr>
          <w:p w14:paraId="17DFC032"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加压溶气气浮</w:t>
            </w:r>
            <w:r>
              <w:rPr>
                <w:rFonts w:ascii="Times New Roman" w:eastAsia="宋体" w:hAnsi="Times New Roman" w:cs="Times New Roman"/>
                <w:smallCaps/>
                <w:kern w:val="0"/>
                <w:szCs w:val="21"/>
              </w:rPr>
              <w:t>6</w:t>
            </w:r>
            <w:r>
              <w:rPr>
                <w:rFonts w:ascii="Times New Roman" w:eastAsia="宋体" w:hAnsi="Times New Roman" w:cs="Times New Roman"/>
                <w:smallCaps/>
                <w:kern w:val="0"/>
                <w:szCs w:val="21"/>
              </w:rPr>
              <w:t>套包括混合搅拌机、反应搅拌机、溶气罐、溶气水泵、释放器、空压机、链条式刮渣机等</w:t>
            </w:r>
          </w:p>
        </w:tc>
      </w:tr>
      <w:tr w:rsidR="002133E3" w14:paraId="732DAF27" w14:textId="77777777">
        <w:trPr>
          <w:trHeight w:val="20"/>
          <w:jc w:val="center"/>
        </w:trPr>
        <w:tc>
          <w:tcPr>
            <w:tcW w:w="382" w:type="pct"/>
            <w:vAlign w:val="center"/>
          </w:tcPr>
          <w:p w14:paraId="2425A49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014" w:type="pct"/>
            <w:vAlign w:val="center"/>
          </w:tcPr>
          <w:p w14:paraId="53285E1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二级</w:t>
            </w:r>
            <w:r>
              <w:rPr>
                <w:rFonts w:ascii="Times New Roman" w:eastAsia="宋体" w:hAnsi="Times New Roman" w:cs="Times New Roman"/>
                <w:kern w:val="0"/>
                <w:szCs w:val="21"/>
              </w:rPr>
              <w:t>UASB</w:t>
            </w:r>
            <w:r>
              <w:rPr>
                <w:rFonts w:ascii="Times New Roman" w:eastAsia="宋体" w:hAnsi="Times New Roman" w:cs="Times New Roman"/>
                <w:kern w:val="0"/>
                <w:szCs w:val="21"/>
              </w:rPr>
              <w:t>厌氧罐</w:t>
            </w:r>
          </w:p>
        </w:tc>
        <w:tc>
          <w:tcPr>
            <w:tcW w:w="1774" w:type="pct"/>
            <w:vAlign w:val="center"/>
          </w:tcPr>
          <w:p w14:paraId="4EAF8B4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=3000m</w:t>
            </w:r>
            <w:r>
              <w:rPr>
                <w:rFonts w:ascii="Times New Roman" w:eastAsia="宋体" w:hAnsi="Times New Roman" w:cs="Times New Roman"/>
                <w:kern w:val="0"/>
                <w:szCs w:val="21"/>
                <w:vertAlign w:val="superscript"/>
              </w:rPr>
              <w:t>3</w:t>
            </w:r>
          </w:p>
        </w:tc>
        <w:tc>
          <w:tcPr>
            <w:tcW w:w="570" w:type="pct"/>
            <w:vAlign w:val="center"/>
          </w:tcPr>
          <w:p w14:paraId="3F7DF4B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261" w:type="pct"/>
            <w:vAlign w:val="center"/>
          </w:tcPr>
          <w:p w14:paraId="5E22AC02"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301F5506" w14:textId="77777777">
        <w:trPr>
          <w:trHeight w:val="70"/>
          <w:jc w:val="center"/>
        </w:trPr>
        <w:tc>
          <w:tcPr>
            <w:tcW w:w="382" w:type="pct"/>
            <w:vAlign w:val="center"/>
          </w:tcPr>
          <w:p w14:paraId="3AA5509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014" w:type="pct"/>
            <w:vAlign w:val="center"/>
          </w:tcPr>
          <w:p w14:paraId="7312BB8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三级</w:t>
            </w:r>
            <w:r>
              <w:rPr>
                <w:rFonts w:ascii="Times New Roman" w:eastAsia="宋体" w:hAnsi="Times New Roman" w:cs="Times New Roman"/>
                <w:kern w:val="0"/>
                <w:szCs w:val="21"/>
              </w:rPr>
              <w:t>UASB</w:t>
            </w:r>
            <w:r>
              <w:rPr>
                <w:rFonts w:ascii="Times New Roman" w:eastAsia="宋体" w:hAnsi="Times New Roman" w:cs="Times New Roman"/>
                <w:kern w:val="0"/>
                <w:szCs w:val="21"/>
              </w:rPr>
              <w:t>厌氧罐</w:t>
            </w:r>
          </w:p>
        </w:tc>
        <w:tc>
          <w:tcPr>
            <w:tcW w:w="1774" w:type="pct"/>
            <w:vAlign w:val="center"/>
          </w:tcPr>
          <w:p w14:paraId="30B0123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Φ20000×18500</w:t>
            </w:r>
          </w:p>
        </w:tc>
        <w:tc>
          <w:tcPr>
            <w:tcW w:w="570" w:type="pct"/>
            <w:vAlign w:val="center"/>
          </w:tcPr>
          <w:p w14:paraId="6DB887F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261" w:type="pct"/>
            <w:vAlign w:val="center"/>
          </w:tcPr>
          <w:p w14:paraId="5B4639AC"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6004AC9A" w14:textId="77777777">
        <w:trPr>
          <w:trHeight w:val="20"/>
          <w:jc w:val="center"/>
        </w:trPr>
        <w:tc>
          <w:tcPr>
            <w:tcW w:w="382" w:type="pct"/>
            <w:vAlign w:val="center"/>
          </w:tcPr>
          <w:p w14:paraId="3D0DA35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014" w:type="pct"/>
            <w:vAlign w:val="center"/>
          </w:tcPr>
          <w:p w14:paraId="4F402A7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生化</w:t>
            </w:r>
            <w:r>
              <w:rPr>
                <w:rFonts w:ascii="Times New Roman" w:eastAsia="宋体" w:hAnsi="Times New Roman" w:cs="Times New Roman"/>
                <w:kern w:val="0"/>
                <w:szCs w:val="21"/>
              </w:rPr>
              <w:t>A</w:t>
            </w:r>
            <w:r>
              <w:rPr>
                <w:rFonts w:ascii="Times New Roman" w:eastAsia="宋体" w:hAnsi="Times New Roman" w:cs="Times New Roman"/>
                <w:kern w:val="0"/>
                <w:szCs w:val="21"/>
              </w:rPr>
              <w:t>池</w:t>
            </w:r>
          </w:p>
        </w:tc>
        <w:tc>
          <w:tcPr>
            <w:tcW w:w="1774" w:type="pct"/>
            <w:vAlign w:val="center"/>
          </w:tcPr>
          <w:p w14:paraId="6BAA7D68" w14:textId="77777777" w:rsidR="002133E3" w:rsidRDefault="00C22CFA">
            <w:pPr>
              <w:adjustRightInd w:val="0"/>
              <w:snapToGrid w:val="0"/>
              <w:spacing w:line="28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100×50×6.5</w:t>
            </w:r>
          </w:p>
        </w:tc>
        <w:tc>
          <w:tcPr>
            <w:tcW w:w="570" w:type="pct"/>
            <w:vAlign w:val="center"/>
          </w:tcPr>
          <w:p w14:paraId="0699FEF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5CD7DB4B"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66FAD7B9" w14:textId="77777777">
        <w:trPr>
          <w:trHeight w:val="20"/>
          <w:jc w:val="center"/>
        </w:trPr>
        <w:tc>
          <w:tcPr>
            <w:tcW w:w="382" w:type="pct"/>
            <w:vAlign w:val="center"/>
          </w:tcPr>
          <w:p w14:paraId="2E5E806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1014" w:type="pct"/>
            <w:vAlign w:val="center"/>
          </w:tcPr>
          <w:p w14:paraId="7A712EA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生化</w:t>
            </w:r>
            <w:r>
              <w:rPr>
                <w:rFonts w:ascii="Times New Roman" w:eastAsia="宋体" w:hAnsi="Times New Roman" w:cs="Times New Roman"/>
                <w:kern w:val="0"/>
                <w:szCs w:val="21"/>
              </w:rPr>
              <w:t>B</w:t>
            </w:r>
            <w:r>
              <w:rPr>
                <w:rFonts w:ascii="Times New Roman" w:eastAsia="宋体" w:hAnsi="Times New Roman" w:cs="Times New Roman"/>
                <w:kern w:val="0"/>
                <w:szCs w:val="21"/>
              </w:rPr>
              <w:t>池</w:t>
            </w:r>
          </w:p>
        </w:tc>
        <w:tc>
          <w:tcPr>
            <w:tcW w:w="1774" w:type="pct"/>
            <w:vAlign w:val="center"/>
          </w:tcPr>
          <w:p w14:paraId="6316EBAB" w14:textId="77777777" w:rsidR="002133E3" w:rsidRDefault="00C22CFA">
            <w:pPr>
              <w:adjustRightInd w:val="0"/>
              <w:snapToGrid w:val="0"/>
              <w:spacing w:line="28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67×50×6.5</w:t>
            </w:r>
          </w:p>
        </w:tc>
        <w:tc>
          <w:tcPr>
            <w:tcW w:w="570" w:type="pct"/>
            <w:vAlign w:val="center"/>
          </w:tcPr>
          <w:p w14:paraId="015BF1D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3F597C1A"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4B423297" w14:textId="77777777">
        <w:trPr>
          <w:trHeight w:val="20"/>
          <w:jc w:val="center"/>
        </w:trPr>
        <w:tc>
          <w:tcPr>
            <w:tcW w:w="382" w:type="pct"/>
            <w:vMerge w:val="restart"/>
            <w:vAlign w:val="center"/>
          </w:tcPr>
          <w:p w14:paraId="4032B73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1014" w:type="pct"/>
            <w:vAlign w:val="center"/>
          </w:tcPr>
          <w:p w14:paraId="74AA8440"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生物曝气池</w:t>
            </w:r>
          </w:p>
        </w:tc>
        <w:tc>
          <w:tcPr>
            <w:tcW w:w="1774" w:type="pct"/>
            <w:vAlign w:val="center"/>
          </w:tcPr>
          <w:p w14:paraId="4CA086F5"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=30000m</w:t>
            </w:r>
            <w:r>
              <w:rPr>
                <w:rFonts w:ascii="Times New Roman" w:eastAsia="宋体" w:hAnsi="Times New Roman" w:cs="Times New Roman"/>
                <w:kern w:val="0"/>
                <w:szCs w:val="21"/>
                <w:vertAlign w:val="superscript"/>
              </w:rPr>
              <w:t>3</w:t>
            </w:r>
          </w:p>
        </w:tc>
        <w:tc>
          <w:tcPr>
            <w:tcW w:w="570" w:type="pct"/>
            <w:vAlign w:val="center"/>
          </w:tcPr>
          <w:p w14:paraId="45663AA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7DE4BD61"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37EDE0AC" w14:textId="77777777">
        <w:trPr>
          <w:trHeight w:val="20"/>
          <w:jc w:val="center"/>
        </w:trPr>
        <w:tc>
          <w:tcPr>
            <w:tcW w:w="382" w:type="pct"/>
            <w:vMerge/>
            <w:vAlign w:val="center"/>
          </w:tcPr>
          <w:p w14:paraId="459BAA8A"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7FEA483F"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配套设备</w:t>
            </w:r>
          </w:p>
        </w:tc>
        <w:tc>
          <w:tcPr>
            <w:tcW w:w="3605" w:type="pct"/>
            <w:gridSpan w:val="3"/>
            <w:vAlign w:val="center"/>
          </w:tcPr>
          <w:p w14:paraId="59E28A1A"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离心鼓风机</w:t>
            </w:r>
            <w:r>
              <w:rPr>
                <w:rFonts w:ascii="Times New Roman" w:eastAsia="宋体" w:hAnsi="Times New Roman" w:cs="Times New Roman"/>
                <w:kern w:val="0"/>
                <w:szCs w:val="21"/>
              </w:rPr>
              <w:t>1</w:t>
            </w:r>
            <w:r>
              <w:rPr>
                <w:rFonts w:ascii="Times New Roman" w:eastAsia="宋体" w:hAnsi="Times New Roman" w:cs="Times New Roman"/>
                <w:kern w:val="0"/>
                <w:szCs w:val="21"/>
              </w:rPr>
              <w:t>台，</w:t>
            </w:r>
            <w:r>
              <w:rPr>
                <w:rFonts w:ascii="Times New Roman" w:eastAsia="宋体" w:hAnsi="Times New Roman" w:cs="Times New Roman"/>
                <w:kern w:val="0"/>
                <w:szCs w:val="21"/>
              </w:rPr>
              <w:t>D150-71-1.6</w:t>
            </w:r>
            <w:r>
              <w:rPr>
                <w:rFonts w:ascii="Times New Roman" w:eastAsia="宋体" w:hAnsi="Times New Roman" w:cs="Times New Roman"/>
                <w:kern w:val="0"/>
                <w:szCs w:val="21"/>
              </w:rPr>
              <w:t>型</w:t>
            </w:r>
          </w:p>
          <w:p w14:paraId="62D8F2F7"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ZH</w:t>
            </w:r>
            <w:r>
              <w:rPr>
                <w:rFonts w:ascii="Times New Roman" w:eastAsia="宋体" w:hAnsi="Times New Roman" w:cs="Times New Roman"/>
                <w:smallCaps/>
                <w:kern w:val="0"/>
                <w:szCs w:val="21"/>
              </w:rPr>
              <w:t>可提升管式微孔曝气器</w:t>
            </w:r>
          </w:p>
        </w:tc>
      </w:tr>
      <w:tr w:rsidR="002133E3" w14:paraId="6B33993F" w14:textId="77777777">
        <w:trPr>
          <w:trHeight w:val="20"/>
          <w:jc w:val="center"/>
        </w:trPr>
        <w:tc>
          <w:tcPr>
            <w:tcW w:w="382" w:type="pct"/>
            <w:vMerge w:val="restart"/>
            <w:vAlign w:val="center"/>
          </w:tcPr>
          <w:p w14:paraId="3BD0F26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014" w:type="pct"/>
            <w:vAlign w:val="center"/>
          </w:tcPr>
          <w:p w14:paraId="59EF99E1"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辐流沉淀池</w:t>
            </w:r>
          </w:p>
        </w:tc>
        <w:tc>
          <w:tcPr>
            <w:tcW w:w="1774" w:type="pct"/>
            <w:vAlign w:val="center"/>
          </w:tcPr>
          <w:p w14:paraId="57EF2561"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φ30m</w:t>
            </w:r>
          </w:p>
        </w:tc>
        <w:tc>
          <w:tcPr>
            <w:tcW w:w="570" w:type="pct"/>
            <w:vAlign w:val="center"/>
          </w:tcPr>
          <w:p w14:paraId="0C79CF8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381A7CD4"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钢砼结构，半地下式</w:t>
            </w:r>
          </w:p>
        </w:tc>
      </w:tr>
      <w:tr w:rsidR="002133E3" w14:paraId="710C1AB4" w14:textId="77777777">
        <w:trPr>
          <w:trHeight w:val="20"/>
          <w:jc w:val="center"/>
        </w:trPr>
        <w:tc>
          <w:tcPr>
            <w:tcW w:w="382" w:type="pct"/>
            <w:vMerge/>
            <w:vAlign w:val="center"/>
          </w:tcPr>
          <w:p w14:paraId="358AE39F"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2C4B2D98" w14:textId="77777777" w:rsidR="002133E3" w:rsidRDefault="00C22CFA">
            <w:pPr>
              <w:autoSpaceDE w:val="0"/>
              <w:autoSpaceDN w:val="0"/>
              <w:adjustRightInd w:val="0"/>
              <w:snapToGrid w:val="0"/>
              <w:jc w:val="center"/>
              <w:textAlignment w:val="baseline"/>
              <w:rPr>
                <w:rFonts w:ascii="Times New Roman" w:eastAsia="宋体" w:hAnsi="Times New Roman" w:cs="Times New Roman"/>
                <w:bCs/>
                <w:kern w:val="0"/>
                <w:szCs w:val="21"/>
                <w:lang w:val="en-JM"/>
              </w:rPr>
            </w:pPr>
            <w:r>
              <w:rPr>
                <w:rFonts w:ascii="Times New Roman" w:eastAsia="宋体" w:hAnsi="Times New Roman" w:cs="Times New Roman"/>
                <w:bCs/>
                <w:kern w:val="0"/>
                <w:szCs w:val="21"/>
                <w:lang w:val="en-JM"/>
              </w:rPr>
              <w:t>配套设备</w:t>
            </w:r>
          </w:p>
        </w:tc>
        <w:tc>
          <w:tcPr>
            <w:tcW w:w="3605" w:type="pct"/>
            <w:gridSpan w:val="3"/>
            <w:vAlign w:val="center"/>
          </w:tcPr>
          <w:p w14:paraId="5B20EA19"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周边传动刮吸泥机</w:t>
            </w:r>
            <w:r>
              <w:rPr>
                <w:rFonts w:ascii="Times New Roman" w:eastAsia="宋体" w:hAnsi="Times New Roman" w:cs="Times New Roman"/>
                <w:kern w:val="0"/>
                <w:szCs w:val="21"/>
              </w:rPr>
              <w:t>1</w:t>
            </w:r>
            <w:r>
              <w:rPr>
                <w:rFonts w:ascii="Times New Roman" w:eastAsia="宋体" w:hAnsi="Times New Roman" w:cs="Times New Roman"/>
                <w:kern w:val="0"/>
                <w:szCs w:val="21"/>
              </w:rPr>
              <w:t>台，单桥周边传动、虹吸式</w:t>
            </w:r>
          </w:p>
          <w:p w14:paraId="18C19EAC"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剩余污泥泵</w:t>
            </w:r>
            <w:r>
              <w:rPr>
                <w:rFonts w:ascii="Times New Roman" w:eastAsia="宋体" w:hAnsi="Times New Roman" w:cs="Times New Roman"/>
                <w:kern w:val="0"/>
                <w:szCs w:val="21"/>
              </w:rPr>
              <w:t>1</w:t>
            </w:r>
            <w:r>
              <w:rPr>
                <w:rFonts w:ascii="Times New Roman" w:eastAsia="宋体" w:hAnsi="Times New Roman" w:cs="Times New Roman"/>
                <w:kern w:val="0"/>
                <w:szCs w:val="21"/>
              </w:rPr>
              <w:t>台，</w:t>
            </w:r>
            <w:r>
              <w:rPr>
                <w:rFonts w:ascii="Times New Roman" w:eastAsia="宋体" w:hAnsi="Times New Roman" w:cs="Times New Roman"/>
                <w:kern w:val="0"/>
                <w:szCs w:val="21"/>
              </w:rPr>
              <w:t>100YW100-17-7.5</w:t>
            </w:r>
          </w:p>
          <w:p w14:paraId="56F0DAF0"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回流污泥泵</w:t>
            </w:r>
            <w:r>
              <w:rPr>
                <w:rFonts w:ascii="Times New Roman" w:eastAsia="宋体" w:hAnsi="Times New Roman" w:cs="Times New Roman"/>
                <w:kern w:val="0"/>
                <w:szCs w:val="21"/>
              </w:rPr>
              <w:t>4</w:t>
            </w:r>
            <w:r>
              <w:rPr>
                <w:rFonts w:ascii="Times New Roman" w:eastAsia="宋体" w:hAnsi="Times New Roman" w:cs="Times New Roman"/>
                <w:kern w:val="0"/>
                <w:szCs w:val="21"/>
              </w:rPr>
              <w:t>台，</w:t>
            </w:r>
            <w:r>
              <w:rPr>
                <w:rFonts w:ascii="Times New Roman" w:eastAsia="宋体" w:hAnsi="Times New Roman" w:cs="Times New Roman"/>
                <w:kern w:val="0"/>
                <w:szCs w:val="21"/>
              </w:rPr>
              <w:t>250YW700-11-37</w:t>
            </w:r>
          </w:p>
        </w:tc>
      </w:tr>
      <w:tr w:rsidR="002133E3" w14:paraId="0B899D93" w14:textId="77777777">
        <w:trPr>
          <w:trHeight w:val="20"/>
          <w:jc w:val="center"/>
        </w:trPr>
        <w:tc>
          <w:tcPr>
            <w:tcW w:w="382" w:type="pct"/>
            <w:vMerge w:val="restart"/>
            <w:vAlign w:val="center"/>
          </w:tcPr>
          <w:p w14:paraId="78694C5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1014" w:type="pct"/>
            <w:vAlign w:val="center"/>
          </w:tcPr>
          <w:p w14:paraId="7AA2CDF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污泥浓缩罐</w:t>
            </w:r>
          </w:p>
        </w:tc>
        <w:tc>
          <w:tcPr>
            <w:tcW w:w="1774" w:type="pct"/>
            <w:vAlign w:val="center"/>
          </w:tcPr>
          <w:p w14:paraId="52C482A0"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8m×8m×9.2m</w:t>
            </w:r>
          </w:p>
        </w:tc>
        <w:tc>
          <w:tcPr>
            <w:tcW w:w="570" w:type="pct"/>
            <w:vAlign w:val="center"/>
          </w:tcPr>
          <w:p w14:paraId="57D424B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261" w:type="pct"/>
            <w:vAlign w:val="center"/>
          </w:tcPr>
          <w:p w14:paraId="00926717"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0377228D" w14:textId="77777777">
        <w:trPr>
          <w:trHeight w:val="20"/>
          <w:jc w:val="center"/>
        </w:trPr>
        <w:tc>
          <w:tcPr>
            <w:tcW w:w="382" w:type="pct"/>
            <w:vMerge/>
            <w:vAlign w:val="center"/>
          </w:tcPr>
          <w:p w14:paraId="396EB711"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6771E206"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5" w:type="pct"/>
            <w:gridSpan w:val="3"/>
            <w:vAlign w:val="center"/>
          </w:tcPr>
          <w:p w14:paraId="16F8F66B"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卧螺离心脱水机</w:t>
            </w:r>
            <w:r>
              <w:rPr>
                <w:rFonts w:ascii="Times New Roman" w:eastAsia="宋体" w:hAnsi="Times New Roman" w:cs="Times New Roman"/>
                <w:kern w:val="0"/>
                <w:szCs w:val="21"/>
              </w:rPr>
              <w:t>(</w:t>
            </w:r>
            <w:r>
              <w:rPr>
                <w:rFonts w:ascii="Times New Roman" w:eastAsia="宋体" w:hAnsi="Times New Roman" w:cs="Times New Roman"/>
                <w:kern w:val="0"/>
                <w:szCs w:val="21"/>
              </w:rPr>
              <w:t>配套污泥泵</w:t>
            </w:r>
            <w:r>
              <w:rPr>
                <w:rFonts w:ascii="Times New Roman" w:eastAsia="宋体" w:hAnsi="Times New Roman" w:cs="Times New Roman"/>
                <w:kern w:val="0"/>
                <w:szCs w:val="21"/>
              </w:rPr>
              <w:t>)6</w:t>
            </w:r>
            <w:r>
              <w:rPr>
                <w:rFonts w:ascii="Times New Roman" w:eastAsia="宋体" w:hAnsi="Times New Roman" w:cs="Times New Roman"/>
                <w:kern w:val="0"/>
                <w:szCs w:val="21"/>
              </w:rPr>
              <w:t>台，型号：</w:t>
            </w:r>
            <w:r>
              <w:rPr>
                <w:rFonts w:ascii="Times New Roman" w:eastAsia="宋体" w:hAnsi="Times New Roman" w:cs="Times New Roman"/>
                <w:kern w:val="0"/>
                <w:szCs w:val="21"/>
              </w:rPr>
              <w:t>LWD430W</w:t>
            </w:r>
            <w:r>
              <w:rPr>
                <w:rFonts w:ascii="Times New Roman" w:eastAsia="宋体" w:hAnsi="Times New Roman" w:cs="Times New Roman"/>
                <w:kern w:val="0"/>
                <w:szCs w:val="21"/>
              </w:rPr>
              <w:t>，主电机功率：</w:t>
            </w:r>
            <w:r>
              <w:rPr>
                <w:rFonts w:ascii="Times New Roman" w:eastAsia="宋体" w:hAnsi="Times New Roman" w:cs="Times New Roman"/>
                <w:kern w:val="0"/>
                <w:szCs w:val="21"/>
              </w:rPr>
              <w:t>30kw</w:t>
            </w:r>
          </w:p>
          <w:p w14:paraId="68123279"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污泥泵</w:t>
            </w:r>
            <w:r>
              <w:rPr>
                <w:rFonts w:ascii="Times New Roman" w:eastAsia="宋体" w:hAnsi="Times New Roman" w:cs="Times New Roman"/>
                <w:kern w:val="0"/>
                <w:szCs w:val="21"/>
              </w:rPr>
              <w:t>3</w:t>
            </w:r>
            <w:r>
              <w:rPr>
                <w:rFonts w:ascii="Times New Roman" w:eastAsia="宋体" w:hAnsi="Times New Roman" w:cs="Times New Roman"/>
                <w:kern w:val="0"/>
                <w:szCs w:val="21"/>
              </w:rPr>
              <w:t>台，型号：</w:t>
            </w:r>
            <w:r>
              <w:rPr>
                <w:rFonts w:ascii="Times New Roman" w:eastAsia="宋体" w:hAnsi="Times New Roman" w:cs="Times New Roman"/>
                <w:kern w:val="0"/>
                <w:szCs w:val="21"/>
              </w:rPr>
              <w:t>80YW75-18</w:t>
            </w:r>
          </w:p>
          <w:p w14:paraId="1D27305D" w14:textId="77777777" w:rsidR="002133E3" w:rsidRDefault="00C22CFA">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皮带输送机</w:t>
            </w:r>
            <w:r>
              <w:rPr>
                <w:rFonts w:ascii="Times New Roman" w:eastAsia="宋体" w:hAnsi="Times New Roman" w:cs="Times New Roman"/>
                <w:kern w:val="0"/>
                <w:szCs w:val="21"/>
              </w:rPr>
              <w:t>2</w:t>
            </w:r>
            <w:r>
              <w:rPr>
                <w:rFonts w:ascii="Times New Roman" w:eastAsia="宋体" w:hAnsi="Times New Roman" w:cs="Times New Roman"/>
                <w:kern w:val="0"/>
                <w:szCs w:val="21"/>
              </w:rPr>
              <w:t>套</w:t>
            </w:r>
          </w:p>
        </w:tc>
      </w:tr>
      <w:tr w:rsidR="002133E3" w14:paraId="3C727973" w14:textId="77777777">
        <w:trPr>
          <w:trHeight w:val="20"/>
          <w:jc w:val="center"/>
        </w:trPr>
        <w:tc>
          <w:tcPr>
            <w:tcW w:w="382" w:type="pct"/>
            <w:vMerge w:val="restart"/>
            <w:vAlign w:val="center"/>
          </w:tcPr>
          <w:p w14:paraId="0C7528A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1014" w:type="pct"/>
            <w:vAlign w:val="center"/>
          </w:tcPr>
          <w:p w14:paraId="05A4852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沼气柜</w:t>
            </w:r>
          </w:p>
        </w:tc>
        <w:tc>
          <w:tcPr>
            <w:tcW w:w="1774" w:type="pct"/>
            <w:vAlign w:val="center"/>
          </w:tcPr>
          <w:p w14:paraId="1395DD47"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V</w:t>
            </w:r>
            <w:r>
              <w:rPr>
                <w:rFonts w:ascii="Times New Roman" w:eastAsia="宋体" w:hAnsi="Times New Roman" w:cs="Times New Roman"/>
                <w:kern w:val="0"/>
                <w:szCs w:val="21"/>
                <w:vertAlign w:val="subscript"/>
              </w:rPr>
              <w:t>有效</w:t>
            </w:r>
            <w:r>
              <w:rPr>
                <w:rFonts w:ascii="Times New Roman" w:eastAsia="宋体" w:hAnsi="Times New Roman" w:cs="Times New Roman"/>
                <w:kern w:val="0"/>
                <w:szCs w:val="21"/>
              </w:rPr>
              <w:t>=1000m</w:t>
            </w:r>
            <w:r>
              <w:rPr>
                <w:rFonts w:ascii="Times New Roman" w:eastAsia="宋体" w:hAnsi="Times New Roman" w:cs="Times New Roman"/>
                <w:kern w:val="0"/>
                <w:szCs w:val="21"/>
                <w:vertAlign w:val="superscript"/>
              </w:rPr>
              <w:t>3</w:t>
            </w:r>
          </w:p>
        </w:tc>
        <w:tc>
          <w:tcPr>
            <w:tcW w:w="570" w:type="pct"/>
            <w:vAlign w:val="center"/>
          </w:tcPr>
          <w:p w14:paraId="77569CAB"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50C54EF2"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r w:rsidR="002133E3" w14:paraId="6EB7664E" w14:textId="77777777">
        <w:trPr>
          <w:trHeight w:val="20"/>
          <w:jc w:val="center"/>
        </w:trPr>
        <w:tc>
          <w:tcPr>
            <w:tcW w:w="382" w:type="pct"/>
            <w:vMerge/>
            <w:vAlign w:val="center"/>
          </w:tcPr>
          <w:p w14:paraId="0EA9FAF6" w14:textId="77777777" w:rsidR="002133E3" w:rsidRDefault="002133E3">
            <w:pPr>
              <w:widowControl/>
              <w:snapToGrid w:val="0"/>
              <w:jc w:val="center"/>
              <w:rPr>
                <w:rFonts w:ascii="Times New Roman" w:eastAsia="宋体" w:hAnsi="Times New Roman" w:cs="Times New Roman"/>
                <w:kern w:val="0"/>
                <w:szCs w:val="21"/>
              </w:rPr>
            </w:pPr>
          </w:p>
        </w:tc>
        <w:tc>
          <w:tcPr>
            <w:tcW w:w="1014" w:type="pct"/>
            <w:vAlign w:val="center"/>
          </w:tcPr>
          <w:p w14:paraId="2A0D5C1A"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配套设备</w:t>
            </w:r>
          </w:p>
        </w:tc>
        <w:tc>
          <w:tcPr>
            <w:tcW w:w="3605" w:type="pct"/>
            <w:gridSpan w:val="3"/>
            <w:vAlign w:val="center"/>
          </w:tcPr>
          <w:p w14:paraId="5D9315C7" w14:textId="77777777" w:rsidR="002133E3" w:rsidRDefault="00C22CFA">
            <w:pPr>
              <w:widowControl/>
              <w:tabs>
                <w:tab w:val="left" w:pos="3150"/>
              </w:tabs>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沼气加压风机</w:t>
            </w:r>
            <w:r>
              <w:rPr>
                <w:rFonts w:ascii="Times New Roman" w:eastAsia="宋体" w:hAnsi="Times New Roman" w:cs="Times New Roman"/>
                <w:kern w:val="0"/>
                <w:szCs w:val="21"/>
              </w:rPr>
              <w:t>2</w:t>
            </w:r>
            <w:r>
              <w:rPr>
                <w:rFonts w:ascii="Times New Roman" w:eastAsia="宋体" w:hAnsi="Times New Roman" w:cs="Times New Roman"/>
                <w:kern w:val="0"/>
                <w:szCs w:val="21"/>
              </w:rPr>
              <w:t>台，电机功率：</w:t>
            </w:r>
            <w:r>
              <w:rPr>
                <w:rFonts w:ascii="Times New Roman" w:eastAsia="宋体" w:hAnsi="Times New Roman" w:cs="Times New Roman"/>
                <w:kern w:val="0"/>
                <w:szCs w:val="21"/>
              </w:rPr>
              <w:t>75KW</w:t>
            </w:r>
          </w:p>
        </w:tc>
      </w:tr>
      <w:tr w:rsidR="002133E3" w14:paraId="2D8D1334" w14:textId="77777777">
        <w:trPr>
          <w:trHeight w:val="20"/>
          <w:jc w:val="center"/>
        </w:trPr>
        <w:tc>
          <w:tcPr>
            <w:tcW w:w="382" w:type="pct"/>
            <w:vAlign w:val="center"/>
          </w:tcPr>
          <w:p w14:paraId="0CDCB79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1014" w:type="pct"/>
            <w:vAlign w:val="center"/>
          </w:tcPr>
          <w:p w14:paraId="0A7B31F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脱硫塔</w:t>
            </w:r>
          </w:p>
        </w:tc>
        <w:tc>
          <w:tcPr>
            <w:tcW w:w="1774" w:type="pct"/>
            <w:vAlign w:val="center"/>
          </w:tcPr>
          <w:p w14:paraId="3339512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φ2.4m×10m</w:t>
            </w:r>
          </w:p>
        </w:tc>
        <w:tc>
          <w:tcPr>
            <w:tcW w:w="570" w:type="pct"/>
            <w:vAlign w:val="center"/>
          </w:tcPr>
          <w:p w14:paraId="38EA7538"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261" w:type="pct"/>
            <w:vAlign w:val="center"/>
          </w:tcPr>
          <w:p w14:paraId="159FC674" w14:textId="77777777" w:rsidR="002133E3" w:rsidRDefault="00C22CFA">
            <w:pPr>
              <w:widowControl/>
              <w:snapToGrid w:val="0"/>
              <w:jc w:val="center"/>
              <w:rPr>
                <w:rFonts w:ascii="Times New Roman" w:eastAsia="宋体" w:hAnsi="Times New Roman" w:cs="Times New Roman"/>
                <w:smallCaps/>
                <w:kern w:val="0"/>
                <w:szCs w:val="21"/>
              </w:rPr>
            </w:pPr>
            <w:r>
              <w:rPr>
                <w:rFonts w:ascii="Times New Roman" w:eastAsia="宋体" w:hAnsi="Times New Roman" w:cs="Times New Roman"/>
                <w:smallCaps/>
                <w:kern w:val="0"/>
                <w:szCs w:val="21"/>
              </w:rPr>
              <w:t>钢结构</w:t>
            </w:r>
          </w:p>
        </w:tc>
      </w:tr>
    </w:tbl>
    <w:p w14:paraId="18267B2C" w14:textId="77777777" w:rsidR="002133E3" w:rsidRDefault="00C22CFA">
      <w:pPr>
        <w:snapToGrid w:val="0"/>
        <w:spacing w:line="500" w:lineRule="atLeast"/>
        <w:ind w:firstLineChars="150" w:firstLine="404"/>
        <w:jc w:val="left"/>
        <w:rPr>
          <w:rFonts w:ascii="Times New Roman" w:eastAsia="宋体" w:hAnsi="Times New Roman" w:cs="Times New Roman"/>
          <w:b/>
          <w:bCs/>
          <w:spacing w:val="-6"/>
          <w:kern w:val="0"/>
          <w:sz w:val="28"/>
          <w:szCs w:val="28"/>
        </w:rPr>
      </w:pPr>
      <w:r>
        <w:rPr>
          <w:rFonts w:ascii="宋体" w:eastAsia="宋体" w:hAnsi="宋体" w:cs="宋体" w:hint="eastAsia"/>
          <w:b/>
          <w:bCs/>
          <w:spacing w:val="-6"/>
          <w:kern w:val="0"/>
          <w:sz w:val="28"/>
          <w:szCs w:val="28"/>
        </w:rPr>
        <w:t>⑶</w:t>
      </w:r>
      <w:r>
        <w:rPr>
          <w:rFonts w:ascii="Times New Roman" w:eastAsia="宋体" w:hAnsi="Times New Roman" w:cs="Times New Roman"/>
          <w:b/>
          <w:bCs/>
          <w:spacing w:val="-6"/>
          <w:kern w:val="0"/>
          <w:sz w:val="28"/>
          <w:szCs w:val="28"/>
        </w:rPr>
        <w:t xml:space="preserve"> </w:t>
      </w:r>
      <w:r>
        <w:rPr>
          <w:rFonts w:ascii="Times New Roman" w:eastAsia="宋体" w:hAnsi="Times New Roman" w:cs="Times New Roman"/>
          <w:b/>
          <w:bCs/>
          <w:spacing w:val="-6"/>
          <w:kern w:val="0"/>
          <w:sz w:val="28"/>
          <w:szCs w:val="28"/>
        </w:rPr>
        <w:t>固废</w:t>
      </w:r>
    </w:p>
    <w:p w14:paraId="17501330" w14:textId="77777777" w:rsidR="002133E3" w:rsidRDefault="00C22CFA">
      <w:pPr>
        <w:snapToGrid w:val="0"/>
        <w:spacing w:line="500" w:lineRule="atLeast"/>
        <w:ind w:firstLineChars="150" w:firstLine="402"/>
        <w:jc w:val="left"/>
        <w:rPr>
          <w:rFonts w:ascii="Times New Roman" w:eastAsia="宋体" w:hAnsi="Times New Roman" w:cs="Times New Roman"/>
          <w:spacing w:val="-6"/>
          <w:kern w:val="0"/>
          <w:sz w:val="28"/>
          <w:szCs w:val="28"/>
        </w:rPr>
      </w:pPr>
      <w:r>
        <w:rPr>
          <w:rFonts w:ascii="Times New Roman" w:eastAsia="宋体" w:hAnsi="Times New Roman" w:cs="Times New Roman"/>
          <w:spacing w:val="-6"/>
          <w:kern w:val="0"/>
          <w:sz w:val="28"/>
          <w:szCs w:val="28"/>
        </w:rPr>
        <w:t>技改项目固废处理措施设置情况详见表</w:t>
      </w:r>
      <w:r>
        <w:rPr>
          <w:rFonts w:ascii="Times New Roman" w:eastAsia="宋体" w:hAnsi="Times New Roman" w:cs="Times New Roman"/>
          <w:spacing w:val="-6"/>
          <w:kern w:val="0"/>
          <w:sz w:val="28"/>
          <w:szCs w:val="28"/>
        </w:rPr>
        <w:t>9.2-4</w:t>
      </w:r>
      <w:r>
        <w:rPr>
          <w:rFonts w:ascii="Times New Roman" w:eastAsia="宋体" w:hAnsi="Times New Roman" w:cs="Times New Roman"/>
          <w:spacing w:val="-6"/>
          <w:kern w:val="0"/>
          <w:sz w:val="28"/>
          <w:szCs w:val="28"/>
        </w:rPr>
        <w:t>。</w:t>
      </w:r>
    </w:p>
    <w:p w14:paraId="75FCE7DC" w14:textId="77777777" w:rsidR="002133E3" w:rsidRDefault="00C22CFA">
      <w:pPr>
        <w:tabs>
          <w:tab w:val="left" w:pos="600"/>
        </w:tabs>
        <w:snapToGrid w:val="0"/>
        <w:spacing w:line="500" w:lineRule="atLeast"/>
        <w:jc w:val="center"/>
        <w:rPr>
          <w:rFonts w:ascii="Times New Roman" w:eastAsia="宋体" w:hAnsi="Times New Roman" w:cs="Times New Roman"/>
          <w:color w:val="0D0D0D"/>
          <w:sz w:val="28"/>
          <w:szCs w:val="28"/>
        </w:rPr>
      </w:pPr>
      <w:r>
        <w:rPr>
          <w:rFonts w:ascii="Times New Roman" w:eastAsia="宋体" w:hAnsi="Times New Roman" w:cs="Times New Roman"/>
          <w:b/>
          <w:bCs/>
          <w:spacing w:val="4"/>
          <w:kern w:val="0"/>
          <w:sz w:val="24"/>
          <w:szCs w:val="24"/>
        </w:rPr>
        <w:t>表</w:t>
      </w:r>
      <w:r>
        <w:rPr>
          <w:rFonts w:ascii="Times New Roman" w:eastAsia="宋体" w:hAnsi="Times New Roman" w:cs="Times New Roman"/>
          <w:b/>
          <w:bCs/>
          <w:spacing w:val="4"/>
          <w:kern w:val="0"/>
          <w:sz w:val="24"/>
          <w:szCs w:val="24"/>
        </w:rPr>
        <w:t xml:space="preserve">9.2-4  </w:t>
      </w:r>
      <w:r>
        <w:rPr>
          <w:rFonts w:ascii="Times New Roman" w:eastAsia="宋体" w:hAnsi="Times New Roman" w:cs="Times New Roman"/>
          <w:b/>
          <w:bCs/>
          <w:spacing w:val="4"/>
          <w:kern w:val="0"/>
          <w:sz w:val="24"/>
          <w:szCs w:val="24"/>
        </w:rPr>
        <w:t>固废处理措施设置情况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4369"/>
        <w:gridCol w:w="2631"/>
      </w:tblGrid>
      <w:tr w:rsidR="002133E3" w14:paraId="22A23C58" w14:textId="77777777">
        <w:trPr>
          <w:trHeight w:val="340"/>
          <w:jc w:val="center"/>
        </w:trPr>
        <w:tc>
          <w:tcPr>
            <w:tcW w:w="1448" w:type="pct"/>
            <w:vAlign w:val="center"/>
          </w:tcPr>
          <w:p w14:paraId="0257D172" w14:textId="77777777" w:rsidR="002133E3" w:rsidRDefault="00C22CFA">
            <w:pPr>
              <w:widowControl/>
              <w:snapToGrid w:val="0"/>
              <w:ind w:leftChars="-50" w:left="-105" w:rightChars="-50" w:right="-105"/>
              <w:jc w:val="center"/>
              <w:rPr>
                <w:rFonts w:ascii="Times New Roman" w:eastAsia="宋体" w:hAnsi="Times New Roman" w:cs="Times New Roman"/>
                <w:b/>
                <w:kern w:val="0"/>
                <w:szCs w:val="21"/>
              </w:rPr>
            </w:pPr>
            <w:r>
              <w:rPr>
                <w:rFonts w:ascii="Times New Roman" w:eastAsia="宋体" w:hAnsi="Times New Roman" w:cs="Times New Roman"/>
                <w:b/>
                <w:kern w:val="0"/>
                <w:szCs w:val="21"/>
              </w:rPr>
              <w:t>产生工序</w:t>
            </w:r>
          </w:p>
        </w:tc>
        <w:tc>
          <w:tcPr>
            <w:tcW w:w="2217" w:type="pct"/>
            <w:vAlign w:val="center"/>
          </w:tcPr>
          <w:p w14:paraId="7E0AB2E4" w14:textId="77777777" w:rsidR="002133E3" w:rsidRDefault="00C22CFA">
            <w:pPr>
              <w:widowControl/>
              <w:snapToGrid w:val="0"/>
              <w:ind w:leftChars="-50" w:left="-105" w:rightChars="-50" w:right="-105"/>
              <w:jc w:val="center"/>
              <w:rPr>
                <w:rFonts w:ascii="Times New Roman" w:eastAsia="宋体" w:hAnsi="Times New Roman" w:cs="Times New Roman"/>
                <w:b/>
                <w:kern w:val="0"/>
                <w:szCs w:val="21"/>
              </w:rPr>
            </w:pPr>
            <w:r>
              <w:rPr>
                <w:rFonts w:ascii="Times New Roman" w:eastAsia="宋体" w:hAnsi="Times New Roman" w:cs="Times New Roman"/>
                <w:b/>
                <w:kern w:val="0"/>
                <w:szCs w:val="21"/>
              </w:rPr>
              <w:t>固废名称</w:t>
            </w:r>
          </w:p>
        </w:tc>
        <w:tc>
          <w:tcPr>
            <w:tcW w:w="1335" w:type="pct"/>
            <w:vAlign w:val="center"/>
          </w:tcPr>
          <w:p w14:paraId="7B7DC2AC" w14:textId="77777777" w:rsidR="002133E3" w:rsidRDefault="00C22CFA">
            <w:pPr>
              <w:widowControl/>
              <w:snapToGrid w:val="0"/>
              <w:ind w:leftChars="-50" w:left="-105" w:rightChars="-50" w:right="-105"/>
              <w:jc w:val="center"/>
              <w:rPr>
                <w:rFonts w:ascii="Times New Roman" w:eastAsia="宋体" w:hAnsi="Times New Roman" w:cs="Times New Roman"/>
                <w:b/>
                <w:kern w:val="0"/>
                <w:szCs w:val="21"/>
              </w:rPr>
            </w:pPr>
            <w:r>
              <w:rPr>
                <w:rFonts w:ascii="Times New Roman" w:eastAsia="宋体" w:hAnsi="Times New Roman" w:cs="Times New Roman"/>
                <w:b/>
                <w:kern w:val="0"/>
                <w:szCs w:val="21"/>
              </w:rPr>
              <w:t>处置措施</w:t>
            </w:r>
          </w:p>
        </w:tc>
      </w:tr>
      <w:tr w:rsidR="002133E3" w14:paraId="1FAD7330" w14:textId="77777777">
        <w:trPr>
          <w:trHeight w:val="340"/>
          <w:jc w:val="center"/>
        </w:trPr>
        <w:tc>
          <w:tcPr>
            <w:tcW w:w="1448" w:type="pct"/>
            <w:vAlign w:val="center"/>
          </w:tcPr>
          <w:p w14:paraId="44F1B92F" w14:textId="77777777" w:rsidR="002133E3" w:rsidRDefault="00C22CFA">
            <w:pPr>
              <w:widowControl/>
              <w:snapToGrid w:val="0"/>
              <w:ind w:leftChars="-50" w:left="-105" w:rightChars="-50"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无水乙醇制备</w:t>
            </w:r>
          </w:p>
        </w:tc>
        <w:tc>
          <w:tcPr>
            <w:tcW w:w="2217" w:type="pct"/>
            <w:vAlign w:val="center"/>
          </w:tcPr>
          <w:p w14:paraId="085A2947" w14:textId="77777777" w:rsidR="002133E3" w:rsidRDefault="00C22CFA">
            <w:pPr>
              <w:widowControl/>
              <w:snapToGrid w:val="0"/>
              <w:ind w:leftChars="-50" w:left="-105" w:rightChars="-50" w:right="-105"/>
              <w:jc w:val="center"/>
              <w:rPr>
                <w:rFonts w:ascii="Times New Roman" w:eastAsia="宋体" w:hAnsi="Times New Roman" w:cs="Times New Roman"/>
                <w:kern w:val="0"/>
                <w:szCs w:val="21"/>
              </w:rPr>
            </w:pPr>
            <w:r>
              <w:rPr>
                <w:rFonts w:ascii="Times New Roman" w:eastAsia="宋体" w:hAnsi="Times New Roman" w:cs="Times New Roman"/>
                <w:kern w:val="0"/>
                <w:szCs w:val="21"/>
              </w:rPr>
              <w:t>废分子筛</w:t>
            </w:r>
          </w:p>
        </w:tc>
        <w:tc>
          <w:tcPr>
            <w:tcW w:w="1335" w:type="pct"/>
            <w:vAlign w:val="center"/>
          </w:tcPr>
          <w:p w14:paraId="05EE3D2C" w14:textId="77777777" w:rsidR="002133E3" w:rsidRDefault="00C22CFA">
            <w:pPr>
              <w:widowControl/>
              <w:snapToGrid w:val="0"/>
              <w:ind w:leftChars="-50" w:left="-105" w:rightChars="-50" w:right="-105"/>
              <w:jc w:val="center"/>
              <w:rPr>
                <w:rFonts w:ascii="Times New Roman" w:eastAsia="宋体" w:hAnsi="Times New Roman" w:cs="Times New Roman"/>
                <w:kern w:val="0"/>
                <w:szCs w:val="21"/>
              </w:rPr>
            </w:pPr>
            <w:r>
              <w:rPr>
                <w:rFonts w:ascii="Times New Roman" w:eastAsia="宋体" w:hAnsi="Times New Roman" w:cs="Times New Roman"/>
                <w:szCs w:val="21"/>
              </w:rPr>
              <w:t>外售综合利用</w:t>
            </w:r>
          </w:p>
        </w:tc>
      </w:tr>
      <w:tr w:rsidR="002133E3" w14:paraId="2FDD8FC3" w14:textId="77777777">
        <w:trPr>
          <w:trHeight w:val="340"/>
          <w:jc w:val="center"/>
        </w:trPr>
        <w:tc>
          <w:tcPr>
            <w:tcW w:w="1448" w:type="pct"/>
            <w:vAlign w:val="center"/>
          </w:tcPr>
          <w:p w14:paraId="5C28C6BC" w14:textId="77777777" w:rsidR="002133E3" w:rsidRDefault="00C22CFA">
            <w:pPr>
              <w:widowControl/>
              <w:snapToGrid w:val="0"/>
              <w:ind w:leftChars="-50" w:left="-105" w:rightChars="-50" w:right="-105"/>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原料包装</w:t>
            </w:r>
          </w:p>
        </w:tc>
        <w:tc>
          <w:tcPr>
            <w:tcW w:w="2217" w:type="pct"/>
            <w:vAlign w:val="center"/>
          </w:tcPr>
          <w:p w14:paraId="235D1362"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color w:val="000000"/>
                <w:kern w:val="0"/>
                <w:szCs w:val="21"/>
              </w:rPr>
              <w:t>废包装材料</w:t>
            </w:r>
          </w:p>
        </w:tc>
        <w:tc>
          <w:tcPr>
            <w:tcW w:w="1335" w:type="pct"/>
            <w:vAlign w:val="center"/>
          </w:tcPr>
          <w:p w14:paraId="44BD5E75" w14:textId="77777777" w:rsidR="002133E3" w:rsidRDefault="00C22CFA">
            <w:pPr>
              <w:widowControl/>
              <w:snapToGrid w:val="0"/>
              <w:ind w:leftChars="-50" w:left="-105" w:rightChars="-50" w:right="-105"/>
              <w:jc w:val="center"/>
              <w:rPr>
                <w:rFonts w:ascii="Times New Roman" w:eastAsia="宋体" w:hAnsi="Times New Roman" w:cs="Times New Roman"/>
                <w:kern w:val="0"/>
                <w:szCs w:val="21"/>
              </w:rPr>
            </w:pPr>
            <w:r>
              <w:rPr>
                <w:rFonts w:ascii="Times New Roman" w:eastAsia="宋体" w:hAnsi="Times New Roman" w:cs="Times New Roman" w:hint="eastAsia"/>
                <w:szCs w:val="21"/>
              </w:rPr>
              <w:t>委托有资质单位处置</w:t>
            </w:r>
          </w:p>
        </w:tc>
      </w:tr>
    </w:tbl>
    <w:p w14:paraId="61E0FCD6" w14:textId="77777777" w:rsidR="002133E3" w:rsidRDefault="00C22CFA">
      <w:pPr>
        <w:adjustRightInd w:val="0"/>
        <w:snapToGrid w:val="0"/>
        <w:spacing w:line="500" w:lineRule="exact"/>
        <w:ind w:firstLineChars="200" w:firstLine="562"/>
        <w:rPr>
          <w:rFonts w:ascii="Times New Roman" w:eastAsia="宋体" w:hAnsi="Times New Roman" w:cs="Times New Roman"/>
          <w:b/>
          <w:bCs/>
          <w:color w:val="0D0D0D"/>
          <w:sz w:val="28"/>
          <w:szCs w:val="28"/>
        </w:rPr>
      </w:pPr>
      <w:r>
        <w:rPr>
          <w:rFonts w:ascii="宋体" w:eastAsia="宋体" w:hAnsi="宋体" w:cs="宋体" w:hint="eastAsia"/>
          <w:b/>
          <w:bCs/>
          <w:color w:val="0D0D0D"/>
          <w:sz w:val="28"/>
          <w:szCs w:val="28"/>
        </w:rPr>
        <w:t>⑷</w:t>
      </w:r>
      <w:r>
        <w:rPr>
          <w:rFonts w:ascii="Times New Roman" w:eastAsia="宋体" w:hAnsi="Times New Roman" w:cs="Times New Roman"/>
          <w:b/>
          <w:bCs/>
          <w:color w:val="0D0D0D"/>
          <w:sz w:val="28"/>
          <w:szCs w:val="28"/>
        </w:rPr>
        <w:t xml:space="preserve"> </w:t>
      </w:r>
      <w:r>
        <w:rPr>
          <w:rFonts w:ascii="Times New Roman" w:eastAsia="宋体" w:hAnsi="Times New Roman" w:cs="Times New Roman"/>
          <w:b/>
          <w:bCs/>
          <w:color w:val="0D0D0D"/>
          <w:sz w:val="28"/>
          <w:szCs w:val="28"/>
        </w:rPr>
        <w:t>噪声</w:t>
      </w:r>
    </w:p>
    <w:p w14:paraId="0F508526" w14:textId="77777777" w:rsidR="002133E3" w:rsidRDefault="00C22CFA">
      <w:pPr>
        <w:adjustRightInd w:val="0"/>
        <w:snapToGrid w:val="0"/>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①</w:t>
      </w:r>
      <w:r>
        <w:rPr>
          <w:rFonts w:ascii="Times New Roman" w:eastAsia="宋体" w:hAnsi="Times New Roman" w:cs="Times New Roman"/>
          <w:color w:val="0D0D0D"/>
          <w:sz w:val="28"/>
          <w:szCs w:val="28"/>
        </w:rPr>
        <w:t>选用低噪声动力设备与机械设备，并按照工业设备安装的有关规范进行安装。</w:t>
      </w:r>
    </w:p>
    <w:p w14:paraId="1F10A965" w14:textId="77777777" w:rsidR="002133E3" w:rsidRDefault="00C22CFA">
      <w:pPr>
        <w:adjustRightInd w:val="0"/>
        <w:snapToGrid w:val="0"/>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②</w:t>
      </w:r>
      <w:r>
        <w:rPr>
          <w:rFonts w:ascii="Times New Roman" w:eastAsia="宋体" w:hAnsi="Times New Roman" w:cs="Times New Roman"/>
          <w:color w:val="0D0D0D"/>
          <w:sz w:val="28"/>
          <w:szCs w:val="28"/>
        </w:rPr>
        <w:t>针对较大的设备噪声源，</w:t>
      </w:r>
      <w:r>
        <w:rPr>
          <w:rFonts w:ascii="Times New Roman" w:eastAsia="宋体" w:hAnsi="Times New Roman" w:cs="Times New Roman"/>
          <w:kern w:val="0"/>
          <w:sz w:val="28"/>
          <w:szCs w:val="28"/>
        </w:rPr>
        <w:t>风机、粉碎机、泵、空压机等</w:t>
      </w:r>
      <w:r>
        <w:rPr>
          <w:rFonts w:ascii="Times New Roman" w:eastAsia="宋体" w:hAnsi="Times New Roman" w:cs="Times New Roman"/>
          <w:color w:val="0D0D0D"/>
          <w:sz w:val="28"/>
        </w:rPr>
        <w:t>高噪声生产设备</w:t>
      </w:r>
      <w:r>
        <w:rPr>
          <w:rFonts w:ascii="Times New Roman" w:eastAsia="宋体" w:hAnsi="Times New Roman" w:cs="Times New Roman"/>
          <w:color w:val="0D0D0D"/>
          <w:sz w:val="28"/>
        </w:rPr>
        <w:lastRenderedPageBreak/>
        <w:t>均置于室内，且厂房采取隔声措施，设备</w:t>
      </w:r>
      <w:r>
        <w:rPr>
          <w:rFonts w:ascii="Times New Roman" w:eastAsia="宋体" w:hAnsi="Times New Roman" w:cs="Times New Roman"/>
          <w:color w:val="0D0D0D"/>
          <w:sz w:val="28"/>
          <w:szCs w:val="28"/>
        </w:rPr>
        <w:t>采用泡沫塑料垫等减振、隔振措施，并对设备的电动机加装隔声罩；</w:t>
      </w:r>
      <w:r>
        <w:rPr>
          <w:rFonts w:ascii="Times New Roman" w:eastAsia="宋体" w:hAnsi="Times New Roman" w:cs="Times New Roman"/>
          <w:color w:val="0D0D0D"/>
          <w:sz w:val="28"/>
        </w:rPr>
        <w:t>风机进出口及空压机进气、排气口安装消声器，</w:t>
      </w:r>
      <w:r>
        <w:rPr>
          <w:rFonts w:ascii="Times New Roman" w:eastAsia="宋体" w:hAnsi="Times New Roman" w:cs="Times New Roman"/>
          <w:color w:val="0D0D0D"/>
          <w:sz w:val="28"/>
          <w:szCs w:val="28"/>
        </w:rPr>
        <w:t>采用减振垫、保护套等减振、隔振措施，</w:t>
      </w:r>
      <w:r>
        <w:rPr>
          <w:rFonts w:ascii="Times New Roman" w:eastAsia="宋体" w:hAnsi="Times New Roman" w:cs="Times New Roman"/>
          <w:color w:val="0D0D0D"/>
          <w:sz w:val="28"/>
        </w:rPr>
        <w:t>并将风机、空压机置于机房内</w:t>
      </w:r>
      <w:r>
        <w:rPr>
          <w:rFonts w:ascii="Times New Roman" w:eastAsia="宋体" w:hAnsi="Times New Roman" w:cs="Times New Roman"/>
          <w:color w:val="0D0D0D"/>
          <w:sz w:val="28"/>
          <w:szCs w:val="28"/>
        </w:rPr>
        <w:t>；泵类安装在泵房内或水下，水泵房采取隔声措施，采用减振垫、保护套等减振、隔振措施，另外各类泵可采用内涂吸声材料、外覆吸声材料方式处理；对板框压滤机采用减振垫、保护套等减振、隔振措施，并将板框压滤机置于压滤机房内。</w:t>
      </w:r>
    </w:p>
    <w:p w14:paraId="5D3F5012" w14:textId="77777777" w:rsidR="002133E3" w:rsidRDefault="00C22CFA">
      <w:pPr>
        <w:adjustRightInd w:val="0"/>
        <w:snapToGrid w:val="0"/>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③</w:t>
      </w:r>
      <w:r>
        <w:rPr>
          <w:rFonts w:ascii="Times New Roman" w:eastAsia="宋体" w:hAnsi="Times New Roman" w:cs="Times New Roman"/>
          <w:color w:val="0D0D0D"/>
          <w:sz w:val="28"/>
          <w:szCs w:val="28"/>
        </w:rPr>
        <w:t>保持设备处于良好的运转状态，防止因设备运转不正常而增大噪声，经常进行保养，加润滑油，减少磨擦力，降低噪声。</w:t>
      </w:r>
    </w:p>
    <w:p w14:paraId="60EFAE36" w14:textId="77777777" w:rsidR="002133E3" w:rsidRDefault="00C22CFA">
      <w:pPr>
        <w:adjustRightInd w:val="0"/>
        <w:snapToGrid w:val="0"/>
        <w:spacing w:line="500" w:lineRule="exact"/>
        <w:ind w:firstLineChars="200" w:firstLine="562"/>
        <w:rPr>
          <w:rFonts w:ascii="Times New Roman" w:eastAsia="宋体" w:hAnsi="Times New Roman" w:cs="Times New Roman"/>
          <w:b/>
          <w:bCs/>
          <w:color w:val="0D0D0D"/>
          <w:sz w:val="28"/>
          <w:szCs w:val="28"/>
        </w:rPr>
      </w:pPr>
      <w:r>
        <w:rPr>
          <w:rFonts w:ascii="宋体" w:eastAsia="宋体" w:hAnsi="宋体" w:cs="宋体" w:hint="eastAsia"/>
          <w:b/>
          <w:bCs/>
          <w:color w:val="0D0D0D"/>
          <w:sz w:val="28"/>
          <w:szCs w:val="28"/>
        </w:rPr>
        <w:t>⑸</w:t>
      </w:r>
      <w:r>
        <w:rPr>
          <w:rFonts w:ascii="Times New Roman" w:eastAsia="宋体" w:hAnsi="Times New Roman" w:cs="Times New Roman"/>
          <w:b/>
          <w:bCs/>
          <w:color w:val="0D0D0D"/>
          <w:sz w:val="28"/>
          <w:szCs w:val="28"/>
        </w:rPr>
        <w:t xml:space="preserve"> </w:t>
      </w:r>
      <w:r>
        <w:rPr>
          <w:rFonts w:ascii="Times New Roman" w:eastAsia="宋体" w:hAnsi="Times New Roman" w:cs="Times New Roman"/>
          <w:b/>
          <w:bCs/>
          <w:color w:val="0D0D0D"/>
          <w:sz w:val="28"/>
          <w:szCs w:val="28"/>
        </w:rPr>
        <w:t>地下水、土壤</w:t>
      </w:r>
    </w:p>
    <w:p w14:paraId="65FB2821" w14:textId="77777777" w:rsidR="002133E3" w:rsidRDefault="00C22CFA">
      <w:pPr>
        <w:adjustRightInd w:val="0"/>
        <w:snapToGrid w:val="0"/>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①</w:t>
      </w:r>
      <w:r>
        <w:rPr>
          <w:rFonts w:ascii="Times New Roman" w:eastAsia="宋体" w:hAnsi="Times New Roman" w:cs="Times New Roman"/>
          <w:color w:val="0D0D0D"/>
          <w:sz w:val="28"/>
          <w:szCs w:val="28"/>
        </w:rPr>
        <w:t>在运行过程中，从源头上对各设备、管道、贮运装置及处理构筑物均采取适当有效的防护措施，防止污染物跑、冒、滴、漏，防止污染物泄漏污染土壤、地下水。</w:t>
      </w:r>
    </w:p>
    <w:p w14:paraId="6F3F6402" w14:textId="77777777" w:rsidR="002133E3" w:rsidRDefault="00C22CFA">
      <w:pPr>
        <w:adjustRightInd w:val="0"/>
        <w:snapToGrid w:val="0"/>
        <w:spacing w:line="500" w:lineRule="exact"/>
        <w:ind w:firstLineChars="200" w:firstLine="560"/>
        <w:rPr>
          <w:rFonts w:ascii="Times New Roman" w:eastAsia="宋体" w:hAnsi="Times New Roman" w:cs="Times New Roman"/>
          <w:color w:val="0D0D0D"/>
          <w:sz w:val="28"/>
          <w:szCs w:val="28"/>
        </w:rPr>
      </w:pPr>
      <w:r>
        <w:rPr>
          <w:rFonts w:ascii="宋体" w:eastAsia="宋体" w:hAnsi="宋体" w:cs="宋体" w:hint="eastAsia"/>
          <w:color w:val="0D0D0D"/>
          <w:sz w:val="28"/>
          <w:szCs w:val="28"/>
        </w:rPr>
        <w:t>②</w:t>
      </w:r>
      <w:r>
        <w:rPr>
          <w:rFonts w:ascii="Times New Roman" w:eastAsia="宋体" w:hAnsi="Times New Roman" w:cs="Times New Roman"/>
          <w:color w:val="0D0D0D"/>
          <w:sz w:val="28"/>
          <w:szCs w:val="28"/>
        </w:rPr>
        <w:t>厂区采用分区防渗设计，污染装置区、危废库、污水管线等区域为重点防渗区，采取严格的防渗措施防渗措施，其他区域为一般防渗区域，采用水泥硬化，防止渗透物污染地下水、土壤。</w:t>
      </w:r>
    </w:p>
    <w:p w14:paraId="6DECA1C0" w14:textId="77777777" w:rsidR="002133E3" w:rsidRDefault="00C22CFA">
      <w:pPr>
        <w:adjustRightInd w:val="0"/>
        <w:snapToGrid w:val="0"/>
        <w:spacing w:line="500" w:lineRule="exact"/>
        <w:ind w:firstLineChars="200" w:firstLine="562"/>
        <w:rPr>
          <w:rFonts w:ascii="Times New Roman" w:eastAsia="宋体" w:hAnsi="Times New Roman" w:cs="Times New Roman"/>
          <w:b/>
          <w:bCs/>
          <w:kern w:val="0"/>
          <w:sz w:val="28"/>
          <w:szCs w:val="20"/>
        </w:rPr>
      </w:pPr>
      <w:r>
        <w:rPr>
          <w:rFonts w:ascii="宋体" w:eastAsia="宋体" w:hAnsi="宋体" w:cs="宋体" w:hint="eastAsia"/>
          <w:b/>
          <w:bCs/>
          <w:kern w:val="0"/>
          <w:sz w:val="28"/>
          <w:szCs w:val="20"/>
        </w:rPr>
        <w:t>⑹</w:t>
      </w:r>
      <w:r>
        <w:rPr>
          <w:rFonts w:ascii="Times New Roman" w:eastAsia="宋体" w:hAnsi="Times New Roman" w:cs="Times New Roman"/>
          <w:b/>
          <w:bCs/>
          <w:kern w:val="0"/>
          <w:sz w:val="28"/>
          <w:szCs w:val="20"/>
        </w:rPr>
        <w:t xml:space="preserve"> </w:t>
      </w:r>
      <w:r>
        <w:rPr>
          <w:rFonts w:ascii="Times New Roman" w:eastAsia="宋体" w:hAnsi="Times New Roman" w:cs="Times New Roman"/>
          <w:b/>
          <w:bCs/>
          <w:kern w:val="0"/>
          <w:sz w:val="28"/>
          <w:szCs w:val="20"/>
        </w:rPr>
        <w:t>环境风险</w:t>
      </w:r>
    </w:p>
    <w:p w14:paraId="2A063ADD" w14:textId="77777777" w:rsidR="002133E3" w:rsidRDefault="00C22CFA">
      <w:pPr>
        <w:adjustRightInd w:val="0"/>
        <w:snapToGrid w:val="0"/>
        <w:spacing w:line="500" w:lineRule="exac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本工程环境风险防控措施情况详见表</w:t>
      </w:r>
      <w:r>
        <w:rPr>
          <w:rFonts w:ascii="Times New Roman" w:eastAsia="宋体" w:hAnsi="Times New Roman" w:cs="Times New Roman"/>
          <w:kern w:val="0"/>
          <w:sz w:val="28"/>
          <w:szCs w:val="20"/>
        </w:rPr>
        <w:t>9.2-5</w:t>
      </w:r>
      <w:r>
        <w:rPr>
          <w:rFonts w:ascii="Times New Roman" w:eastAsia="宋体" w:hAnsi="Times New Roman" w:cs="Times New Roman"/>
          <w:kern w:val="0"/>
          <w:sz w:val="28"/>
          <w:szCs w:val="20"/>
        </w:rPr>
        <w:t>。</w:t>
      </w:r>
    </w:p>
    <w:p w14:paraId="4C0CEA5B" w14:textId="77777777" w:rsidR="002133E3" w:rsidRDefault="00C22CFA">
      <w:pPr>
        <w:spacing w:line="520" w:lineRule="exact"/>
        <w:jc w:val="center"/>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表</w:t>
      </w:r>
      <w:r>
        <w:rPr>
          <w:rFonts w:ascii="Times New Roman" w:eastAsia="宋体" w:hAnsi="Times New Roman" w:cs="Times New Roman"/>
          <w:b/>
          <w:kern w:val="0"/>
          <w:sz w:val="24"/>
          <w:szCs w:val="24"/>
        </w:rPr>
        <w:t xml:space="preserve">9.2-5 </w:t>
      </w:r>
      <w:r>
        <w:rPr>
          <w:rFonts w:ascii="Times New Roman" w:eastAsia="宋体" w:hAnsi="Times New Roman" w:cs="Times New Roman"/>
          <w:b/>
          <w:kern w:val="0"/>
          <w:sz w:val="24"/>
          <w:szCs w:val="24"/>
        </w:rPr>
        <w:t>本工程环境风险防控措施一览表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6949"/>
        <w:gridCol w:w="1372"/>
      </w:tblGrid>
      <w:tr w:rsidR="002133E3" w14:paraId="4FA7BE5E" w14:textId="77777777">
        <w:trPr>
          <w:trHeight w:val="20"/>
          <w:jc w:val="center"/>
        </w:trPr>
        <w:tc>
          <w:tcPr>
            <w:tcW w:w="778" w:type="pct"/>
            <w:vAlign w:val="center"/>
          </w:tcPr>
          <w:p w14:paraId="26877622"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污染源</w:t>
            </w:r>
          </w:p>
        </w:tc>
        <w:tc>
          <w:tcPr>
            <w:tcW w:w="3526" w:type="pct"/>
            <w:vAlign w:val="center"/>
          </w:tcPr>
          <w:p w14:paraId="35CBBE5C"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环保设施名称</w:t>
            </w:r>
          </w:p>
        </w:tc>
        <w:tc>
          <w:tcPr>
            <w:tcW w:w="696" w:type="pct"/>
            <w:vAlign w:val="center"/>
          </w:tcPr>
          <w:p w14:paraId="64529840" w14:textId="77777777" w:rsidR="002133E3" w:rsidRDefault="00C22CFA">
            <w:pPr>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效果</w:t>
            </w:r>
          </w:p>
        </w:tc>
      </w:tr>
      <w:tr w:rsidR="002133E3" w14:paraId="4E0F6824" w14:textId="77777777">
        <w:trPr>
          <w:trHeight w:val="20"/>
          <w:jc w:val="center"/>
        </w:trPr>
        <w:tc>
          <w:tcPr>
            <w:tcW w:w="778" w:type="pct"/>
            <w:vMerge w:val="restart"/>
            <w:vAlign w:val="center"/>
          </w:tcPr>
          <w:p w14:paraId="713F044C"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风险防治措施</w:t>
            </w:r>
          </w:p>
        </w:tc>
        <w:tc>
          <w:tcPr>
            <w:tcW w:w="3526" w:type="pct"/>
            <w:vAlign w:val="center"/>
          </w:tcPr>
          <w:p w14:paraId="1994C3E2" w14:textId="77777777" w:rsidR="002133E3" w:rsidRDefault="00C22CFA">
            <w:pPr>
              <w:jc w:val="center"/>
              <w:rPr>
                <w:rFonts w:ascii="Times New Roman" w:eastAsia="宋体" w:hAnsi="Times New Roman" w:cs="Times New Roman"/>
                <w:kern w:val="0"/>
                <w:szCs w:val="21"/>
                <w:vertAlign w:val="superscript"/>
              </w:rPr>
            </w:pPr>
            <w:r>
              <w:rPr>
                <w:rFonts w:ascii="Times New Roman" w:eastAsia="宋体" w:hAnsi="Times New Roman" w:cs="Times New Roman"/>
                <w:kern w:val="0"/>
                <w:szCs w:val="21"/>
              </w:rPr>
              <w:t>消防排水收集系统，包括管网及排水监控系统，尾水收集池</w:t>
            </w:r>
            <w:r>
              <w:rPr>
                <w:rFonts w:ascii="Times New Roman" w:eastAsia="宋体" w:hAnsi="Times New Roman" w:cs="Times New Roman"/>
                <w:kern w:val="0"/>
                <w:szCs w:val="21"/>
              </w:rPr>
              <w:t>3000m</w:t>
            </w:r>
            <w:r>
              <w:rPr>
                <w:rFonts w:ascii="Times New Roman" w:eastAsia="宋体" w:hAnsi="Times New Roman" w:cs="Times New Roman"/>
                <w:kern w:val="0"/>
                <w:szCs w:val="21"/>
                <w:vertAlign w:val="superscript"/>
              </w:rPr>
              <w:t>3</w:t>
            </w:r>
          </w:p>
        </w:tc>
        <w:tc>
          <w:tcPr>
            <w:tcW w:w="696" w:type="pct"/>
            <w:vMerge w:val="restart"/>
            <w:vAlign w:val="center"/>
          </w:tcPr>
          <w:p w14:paraId="7B2B7AB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将风险水平降低到可接受范围</w:t>
            </w:r>
          </w:p>
        </w:tc>
      </w:tr>
      <w:tr w:rsidR="002133E3" w14:paraId="5E9BB561" w14:textId="77777777">
        <w:trPr>
          <w:trHeight w:val="231"/>
          <w:jc w:val="center"/>
        </w:trPr>
        <w:tc>
          <w:tcPr>
            <w:tcW w:w="778" w:type="pct"/>
            <w:vMerge/>
            <w:vAlign w:val="center"/>
          </w:tcPr>
          <w:p w14:paraId="401B069E" w14:textId="77777777" w:rsidR="002133E3" w:rsidRDefault="002133E3">
            <w:pPr>
              <w:jc w:val="center"/>
              <w:rPr>
                <w:rFonts w:ascii="Times New Roman" w:eastAsia="宋体" w:hAnsi="Times New Roman" w:cs="Times New Roman"/>
                <w:kern w:val="0"/>
                <w:szCs w:val="21"/>
              </w:rPr>
            </w:pPr>
          </w:p>
        </w:tc>
        <w:tc>
          <w:tcPr>
            <w:tcW w:w="3526" w:type="pct"/>
            <w:vAlign w:val="center"/>
          </w:tcPr>
          <w:p w14:paraId="67D9B78F"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建立事故风险紧急监测系统，特别是事故状况下对超标区的消减措施</w:t>
            </w:r>
          </w:p>
        </w:tc>
        <w:tc>
          <w:tcPr>
            <w:tcW w:w="696" w:type="pct"/>
            <w:vMerge/>
            <w:vAlign w:val="center"/>
          </w:tcPr>
          <w:p w14:paraId="2663D2D3" w14:textId="77777777" w:rsidR="002133E3" w:rsidRDefault="002133E3">
            <w:pPr>
              <w:jc w:val="center"/>
              <w:rPr>
                <w:rFonts w:ascii="Times New Roman" w:eastAsia="宋体" w:hAnsi="Times New Roman" w:cs="Times New Roman"/>
                <w:kern w:val="0"/>
                <w:szCs w:val="21"/>
              </w:rPr>
            </w:pPr>
          </w:p>
        </w:tc>
      </w:tr>
      <w:tr w:rsidR="002133E3" w14:paraId="5F8B8FFD" w14:textId="77777777">
        <w:trPr>
          <w:trHeight w:val="20"/>
          <w:jc w:val="center"/>
        </w:trPr>
        <w:tc>
          <w:tcPr>
            <w:tcW w:w="778" w:type="pct"/>
            <w:vMerge/>
            <w:vAlign w:val="center"/>
          </w:tcPr>
          <w:p w14:paraId="168A2415" w14:textId="77777777" w:rsidR="002133E3" w:rsidRDefault="002133E3">
            <w:pPr>
              <w:jc w:val="center"/>
              <w:rPr>
                <w:rFonts w:ascii="Times New Roman" w:eastAsia="宋体" w:hAnsi="Times New Roman" w:cs="Times New Roman"/>
                <w:kern w:val="0"/>
                <w:szCs w:val="21"/>
              </w:rPr>
            </w:pPr>
          </w:p>
        </w:tc>
        <w:tc>
          <w:tcPr>
            <w:tcW w:w="3526" w:type="pct"/>
            <w:vAlign w:val="center"/>
          </w:tcPr>
          <w:p w14:paraId="4C96E4F0"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报警系统等</w:t>
            </w:r>
          </w:p>
        </w:tc>
        <w:tc>
          <w:tcPr>
            <w:tcW w:w="696" w:type="pct"/>
            <w:vMerge/>
            <w:vAlign w:val="center"/>
          </w:tcPr>
          <w:p w14:paraId="53D9A493" w14:textId="77777777" w:rsidR="002133E3" w:rsidRDefault="002133E3">
            <w:pPr>
              <w:jc w:val="center"/>
              <w:rPr>
                <w:rFonts w:ascii="Times New Roman" w:eastAsia="宋体" w:hAnsi="Times New Roman" w:cs="Times New Roman"/>
                <w:kern w:val="0"/>
                <w:szCs w:val="21"/>
              </w:rPr>
            </w:pPr>
          </w:p>
        </w:tc>
      </w:tr>
      <w:tr w:rsidR="002133E3" w14:paraId="12674F0D" w14:textId="77777777">
        <w:trPr>
          <w:trHeight w:val="20"/>
          <w:jc w:val="center"/>
        </w:trPr>
        <w:tc>
          <w:tcPr>
            <w:tcW w:w="778" w:type="pct"/>
            <w:vMerge/>
            <w:vAlign w:val="center"/>
          </w:tcPr>
          <w:p w14:paraId="081FCF08" w14:textId="77777777" w:rsidR="002133E3" w:rsidRDefault="002133E3">
            <w:pPr>
              <w:jc w:val="center"/>
              <w:rPr>
                <w:rFonts w:ascii="Times New Roman" w:eastAsia="宋体" w:hAnsi="Times New Roman" w:cs="Times New Roman"/>
                <w:kern w:val="0"/>
                <w:szCs w:val="21"/>
              </w:rPr>
            </w:pPr>
          </w:p>
        </w:tc>
        <w:tc>
          <w:tcPr>
            <w:tcW w:w="3526" w:type="pct"/>
            <w:vAlign w:val="center"/>
          </w:tcPr>
          <w:p w14:paraId="47560B85" w14:textId="77777777" w:rsidR="002133E3" w:rsidRDefault="00C22CFA">
            <w:pPr>
              <w:jc w:val="center"/>
              <w:rPr>
                <w:rFonts w:ascii="Times New Roman" w:eastAsia="宋体" w:hAnsi="Times New Roman" w:cs="Times New Roman"/>
                <w:kern w:val="0"/>
                <w:szCs w:val="21"/>
              </w:rPr>
            </w:pPr>
            <w:r>
              <w:rPr>
                <w:rFonts w:ascii="Times New Roman" w:eastAsia="宋体" w:hAnsi="Times New Roman" w:cs="Times New Roman"/>
                <w:kern w:val="0"/>
                <w:szCs w:val="21"/>
              </w:rPr>
              <w:t>其它风险防范措施</w:t>
            </w:r>
          </w:p>
        </w:tc>
        <w:tc>
          <w:tcPr>
            <w:tcW w:w="696" w:type="pct"/>
            <w:vMerge/>
            <w:vAlign w:val="center"/>
          </w:tcPr>
          <w:p w14:paraId="4B04CE33" w14:textId="77777777" w:rsidR="002133E3" w:rsidRDefault="002133E3">
            <w:pPr>
              <w:jc w:val="center"/>
              <w:rPr>
                <w:rFonts w:ascii="Times New Roman" w:eastAsia="宋体" w:hAnsi="Times New Roman" w:cs="Times New Roman"/>
                <w:kern w:val="0"/>
                <w:szCs w:val="21"/>
              </w:rPr>
            </w:pPr>
          </w:p>
        </w:tc>
      </w:tr>
    </w:tbl>
    <w:p w14:paraId="2050550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排污口设置及规范化整治</w:t>
      </w:r>
    </w:p>
    <w:p w14:paraId="44D9D271"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 xml:space="preserve"> </w:t>
      </w:r>
      <w:r>
        <w:rPr>
          <w:rFonts w:ascii="Times New Roman" w:eastAsia="宋体" w:hAnsi="Times New Roman" w:cs="Times New Roman"/>
          <w:b/>
          <w:sz w:val="30"/>
          <w:szCs w:val="30"/>
        </w:rPr>
        <w:t>废水排放口</w:t>
      </w:r>
    </w:p>
    <w:p w14:paraId="736B1309"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本项目排水采取清污分流制，污水经预处理达到接管要求后排入通海污水处理厂再进行深度处理，清净下水经收集后排入区域雨水管网。本项目依托现有</w:t>
      </w:r>
      <w:r>
        <w:rPr>
          <w:rFonts w:ascii="Times New Roman" w:eastAsia="宋体" w:hAnsi="Times New Roman" w:cs="Times New Roman"/>
          <w:kern w:val="0"/>
          <w:sz w:val="28"/>
          <w:szCs w:val="20"/>
        </w:rPr>
        <w:t>1</w:t>
      </w:r>
      <w:r>
        <w:rPr>
          <w:rFonts w:ascii="Times New Roman" w:eastAsia="宋体" w:hAnsi="Times New Roman" w:cs="Times New Roman"/>
          <w:kern w:val="0"/>
          <w:sz w:val="28"/>
          <w:szCs w:val="20"/>
        </w:rPr>
        <w:t>个污水排水口、</w:t>
      </w:r>
      <w:r>
        <w:rPr>
          <w:rFonts w:ascii="Times New Roman" w:eastAsia="宋体" w:hAnsi="Times New Roman" w:cs="Times New Roman"/>
          <w:kern w:val="0"/>
          <w:sz w:val="28"/>
          <w:szCs w:val="20"/>
        </w:rPr>
        <w:t>1</w:t>
      </w:r>
      <w:r>
        <w:rPr>
          <w:rFonts w:ascii="Times New Roman" w:eastAsia="宋体" w:hAnsi="Times New Roman" w:cs="Times New Roman"/>
          <w:kern w:val="0"/>
          <w:sz w:val="28"/>
          <w:szCs w:val="20"/>
        </w:rPr>
        <w:t>个清水排放口，清下水和废水排口按《江苏省排污口设置及规范化整治管理办法》（苏环控</w:t>
      </w:r>
      <w:r>
        <w:rPr>
          <w:rFonts w:ascii="Times New Roman" w:eastAsia="宋体" w:hAnsi="Times New Roman" w:cs="Times New Roman"/>
          <w:kern w:val="0"/>
          <w:sz w:val="28"/>
          <w:szCs w:val="20"/>
        </w:rPr>
        <w:t>[1997]122</w:t>
      </w:r>
      <w:r>
        <w:rPr>
          <w:rFonts w:ascii="Times New Roman" w:eastAsia="宋体" w:hAnsi="Times New Roman" w:cs="Times New Roman"/>
          <w:kern w:val="0"/>
          <w:sz w:val="28"/>
          <w:szCs w:val="20"/>
        </w:rPr>
        <w:t>号），设置在线监控装置、视频监控系统和自动阀门。</w:t>
      </w:r>
    </w:p>
    <w:p w14:paraId="6DC6463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废气排放口</w:t>
      </w:r>
    </w:p>
    <w:p w14:paraId="6A8189AB"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0"/>
        </w:rPr>
      </w:pPr>
      <w:r>
        <w:rPr>
          <w:rFonts w:ascii="Times New Roman" w:eastAsia="宋体" w:hAnsi="Times New Roman" w:cs="Times New Roman"/>
          <w:kern w:val="0"/>
          <w:sz w:val="28"/>
          <w:szCs w:val="20"/>
        </w:rPr>
        <w:t>本项目新增</w:t>
      </w:r>
      <w:r>
        <w:rPr>
          <w:rFonts w:ascii="Times New Roman" w:eastAsia="宋体" w:hAnsi="Times New Roman" w:cs="Times New Roman"/>
          <w:kern w:val="0"/>
          <w:sz w:val="28"/>
          <w:szCs w:val="20"/>
        </w:rPr>
        <w:t>3</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H14</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H15</w:t>
      </w:r>
      <w:r>
        <w:rPr>
          <w:rFonts w:ascii="Times New Roman" w:eastAsia="宋体" w:hAnsi="Times New Roman" w:cs="Times New Roman"/>
          <w:kern w:val="0"/>
          <w:sz w:val="28"/>
          <w:szCs w:val="20"/>
        </w:rPr>
        <w:t>、</w:t>
      </w:r>
      <w:r>
        <w:rPr>
          <w:rFonts w:ascii="Times New Roman" w:eastAsia="宋体" w:hAnsi="Times New Roman" w:cs="Times New Roman"/>
          <w:kern w:val="0"/>
          <w:sz w:val="28"/>
          <w:szCs w:val="20"/>
        </w:rPr>
        <w:t>H16</w:t>
      </w:r>
      <w:r>
        <w:rPr>
          <w:rFonts w:ascii="Times New Roman" w:eastAsia="宋体" w:hAnsi="Times New Roman" w:cs="Times New Roman"/>
          <w:kern w:val="0"/>
          <w:sz w:val="28"/>
          <w:szCs w:val="20"/>
        </w:rPr>
        <w:t>）个排气筒，各排气筒设置要求见大气污染防治措施章节。废气排口按照《江苏省排污口设置及规范化整治管理办法》（苏环控</w:t>
      </w:r>
      <w:r>
        <w:rPr>
          <w:rFonts w:ascii="Times New Roman" w:eastAsia="宋体" w:hAnsi="Times New Roman" w:cs="Times New Roman"/>
          <w:kern w:val="0"/>
          <w:sz w:val="28"/>
          <w:szCs w:val="20"/>
        </w:rPr>
        <w:t>[1997]122</w:t>
      </w:r>
      <w:r>
        <w:rPr>
          <w:rFonts w:ascii="Times New Roman" w:eastAsia="宋体" w:hAnsi="Times New Roman" w:cs="Times New Roman"/>
          <w:kern w:val="0"/>
          <w:sz w:val="28"/>
          <w:szCs w:val="20"/>
        </w:rPr>
        <w:t>号）进行设置，具体如下：</w:t>
      </w:r>
    </w:p>
    <w:p w14:paraId="068B5A8A"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0"/>
        </w:rPr>
      </w:pPr>
      <w:r>
        <w:rPr>
          <w:rFonts w:ascii="宋体" w:eastAsia="宋体" w:hAnsi="宋体" w:cs="宋体" w:hint="eastAsia"/>
          <w:kern w:val="0"/>
          <w:sz w:val="28"/>
          <w:szCs w:val="20"/>
        </w:rPr>
        <w:t>⑴</w:t>
      </w:r>
      <w:r>
        <w:rPr>
          <w:rFonts w:ascii="Times New Roman" w:eastAsia="宋体" w:hAnsi="Times New Roman" w:cs="Times New Roman"/>
          <w:kern w:val="0"/>
          <w:sz w:val="28"/>
          <w:szCs w:val="20"/>
        </w:rPr>
        <w:t>各排气筒设置便天采样、监测的采样口和采样监测平台。</w:t>
      </w:r>
    </w:p>
    <w:p w14:paraId="2B1D0573"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0"/>
        </w:rPr>
      </w:pPr>
      <w:r>
        <w:rPr>
          <w:rFonts w:ascii="宋体" w:eastAsia="宋体" w:hAnsi="宋体" w:cs="宋体" w:hint="eastAsia"/>
          <w:kern w:val="0"/>
          <w:sz w:val="28"/>
          <w:szCs w:val="20"/>
        </w:rPr>
        <w:t>⑵</w:t>
      </w:r>
      <w:r>
        <w:rPr>
          <w:rFonts w:ascii="Times New Roman" w:eastAsia="宋体" w:hAnsi="Times New Roman" w:cs="Times New Roman"/>
          <w:kern w:val="0"/>
          <w:sz w:val="28"/>
          <w:szCs w:val="20"/>
        </w:rPr>
        <w:t>废气净化设施的进出口均设置采样口。</w:t>
      </w:r>
    </w:p>
    <w:p w14:paraId="1366D1CA" w14:textId="77777777" w:rsidR="002133E3" w:rsidRDefault="00C22CFA">
      <w:pPr>
        <w:adjustRightInd w:val="0"/>
        <w:snapToGrid w:val="0"/>
        <w:spacing w:line="500" w:lineRule="atLeast"/>
        <w:ind w:firstLineChars="200" w:firstLine="560"/>
        <w:rPr>
          <w:rFonts w:ascii="Times New Roman" w:eastAsia="宋体" w:hAnsi="Times New Roman" w:cs="Times New Roman"/>
          <w:kern w:val="0"/>
          <w:sz w:val="28"/>
          <w:szCs w:val="20"/>
        </w:rPr>
      </w:pPr>
      <w:r>
        <w:rPr>
          <w:rFonts w:ascii="宋体" w:eastAsia="宋体" w:hAnsi="宋体" w:cs="宋体" w:hint="eastAsia"/>
          <w:kern w:val="0"/>
          <w:sz w:val="28"/>
          <w:szCs w:val="20"/>
        </w:rPr>
        <w:t>⑶</w:t>
      </w:r>
      <w:r>
        <w:rPr>
          <w:rFonts w:ascii="Times New Roman" w:eastAsia="宋体" w:hAnsi="Times New Roman" w:cs="Times New Roman"/>
          <w:kern w:val="0"/>
          <w:sz w:val="28"/>
          <w:szCs w:val="20"/>
        </w:rPr>
        <w:t>在排气筒附近地面醒目处设置环境保护图形标志牌。</w:t>
      </w:r>
    </w:p>
    <w:p w14:paraId="6A8AF105"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固定噪声污染源扰民处规范化整治</w:t>
      </w:r>
    </w:p>
    <w:p w14:paraId="6F4D4752"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应在车间</w:t>
      </w:r>
      <w:r>
        <w:rPr>
          <w:rFonts w:ascii="Times New Roman" w:eastAsia="宋体" w:hAnsi="Times New Roman" w:cs="Times New Roman"/>
          <w:kern w:val="0"/>
          <w:sz w:val="28"/>
          <w:szCs w:val="28"/>
        </w:rPr>
        <w:t>风机、粉碎机、减速机、空压机、泵类</w:t>
      </w:r>
      <w:r>
        <w:rPr>
          <w:rFonts w:ascii="Times New Roman" w:eastAsia="宋体" w:hAnsi="Times New Roman" w:cs="Times New Roman"/>
          <w:kern w:val="0"/>
          <w:sz w:val="28"/>
          <w:szCs w:val="20"/>
        </w:rPr>
        <w:t>等以及其它高噪声源处设置噪声环境保护图形标志牌。</w:t>
      </w:r>
    </w:p>
    <w:p w14:paraId="02B61452"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30"/>
          <w:szCs w:val="30"/>
        </w:rPr>
      </w:pPr>
      <w:r>
        <w:rPr>
          <w:rFonts w:ascii="Times New Roman" w:eastAsia="宋体" w:hAnsi="Times New Roman" w:cs="Times New Roman"/>
          <w:b/>
          <w:sz w:val="30"/>
          <w:szCs w:val="30"/>
        </w:rPr>
        <w:t>固体废弃物储存（处置）场所规范化整治</w:t>
      </w:r>
    </w:p>
    <w:p w14:paraId="1E364743"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本项目依托现有一般固废仓库和危险废物仓库用于临时贮存，危险废物仓库按照危险废物贮存、转移的规定程序进行。固废库已按如下要求规范化设置：</w:t>
      </w:r>
    </w:p>
    <w:p w14:paraId="23589509"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fldChar w:fldCharType="begin"/>
      </w:r>
      <w:r>
        <w:rPr>
          <w:rFonts w:ascii="Times New Roman" w:eastAsia="宋体" w:hAnsi="Times New Roman" w:cs="Times New Roman"/>
          <w:kern w:val="0"/>
          <w:sz w:val="28"/>
          <w:szCs w:val="20"/>
        </w:rPr>
        <w:instrText xml:space="preserve"> = 1 \* GB3 </w:instrText>
      </w:r>
      <w:r>
        <w:rPr>
          <w:rFonts w:ascii="Times New Roman" w:eastAsia="宋体" w:hAnsi="Times New Roman" w:cs="Times New Roman"/>
          <w:kern w:val="0"/>
          <w:sz w:val="28"/>
          <w:szCs w:val="20"/>
        </w:rPr>
        <w:fldChar w:fldCharType="separate"/>
      </w:r>
      <w:r>
        <w:rPr>
          <w:rFonts w:ascii="宋体" w:eastAsia="宋体" w:hAnsi="宋体" w:cs="宋体" w:hint="eastAsia"/>
          <w:kern w:val="0"/>
          <w:sz w:val="28"/>
          <w:szCs w:val="20"/>
        </w:rPr>
        <w:t>①</w:t>
      </w:r>
      <w:r>
        <w:rPr>
          <w:rFonts w:ascii="Times New Roman" w:eastAsia="宋体" w:hAnsi="Times New Roman" w:cs="Times New Roman"/>
          <w:kern w:val="0"/>
          <w:sz w:val="28"/>
          <w:szCs w:val="20"/>
        </w:rPr>
        <w:fldChar w:fldCharType="end"/>
      </w:r>
      <w:r>
        <w:rPr>
          <w:rFonts w:ascii="Times New Roman" w:eastAsia="宋体" w:hAnsi="Times New Roman" w:cs="Times New Roman"/>
          <w:kern w:val="0"/>
          <w:sz w:val="28"/>
          <w:szCs w:val="20"/>
        </w:rPr>
        <w:t>危险废物与一般废物分别设置贮存场所。</w:t>
      </w:r>
    </w:p>
    <w:p w14:paraId="185A2D86"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fldChar w:fldCharType="begin"/>
      </w:r>
      <w:r>
        <w:rPr>
          <w:rFonts w:ascii="Times New Roman" w:eastAsia="宋体" w:hAnsi="Times New Roman" w:cs="Times New Roman"/>
          <w:kern w:val="0"/>
          <w:sz w:val="28"/>
          <w:szCs w:val="20"/>
        </w:rPr>
        <w:instrText xml:space="preserve"> = 2 \* GB3 </w:instrText>
      </w:r>
      <w:r>
        <w:rPr>
          <w:rFonts w:ascii="Times New Roman" w:eastAsia="宋体" w:hAnsi="Times New Roman" w:cs="Times New Roman"/>
          <w:kern w:val="0"/>
          <w:sz w:val="28"/>
          <w:szCs w:val="20"/>
        </w:rPr>
        <w:fldChar w:fldCharType="separate"/>
      </w:r>
      <w:r>
        <w:rPr>
          <w:rFonts w:ascii="宋体" w:eastAsia="宋体" w:hAnsi="宋体" w:cs="宋体" w:hint="eastAsia"/>
          <w:kern w:val="0"/>
          <w:sz w:val="28"/>
          <w:szCs w:val="20"/>
        </w:rPr>
        <w:t>②</w:t>
      </w:r>
      <w:r>
        <w:rPr>
          <w:rFonts w:ascii="Times New Roman" w:eastAsia="宋体" w:hAnsi="Times New Roman" w:cs="Times New Roman"/>
          <w:kern w:val="0"/>
          <w:sz w:val="28"/>
          <w:szCs w:val="20"/>
        </w:rPr>
        <w:fldChar w:fldCharType="end"/>
      </w:r>
      <w:r>
        <w:rPr>
          <w:rFonts w:ascii="Times New Roman" w:eastAsia="宋体" w:hAnsi="Times New Roman" w:cs="Times New Roman"/>
          <w:kern w:val="0"/>
          <w:sz w:val="28"/>
          <w:szCs w:val="20"/>
        </w:rPr>
        <w:t>固体废物贮存场所要防扬散、防流失、防渗漏、防雨、防洪水。</w:t>
      </w:r>
    </w:p>
    <w:p w14:paraId="56912A72"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fldChar w:fldCharType="begin"/>
      </w:r>
      <w:r>
        <w:rPr>
          <w:rFonts w:ascii="Times New Roman" w:eastAsia="宋体" w:hAnsi="Times New Roman" w:cs="Times New Roman"/>
          <w:kern w:val="0"/>
          <w:sz w:val="28"/>
          <w:szCs w:val="20"/>
        </w:rPr>
        <w:instrText xml:space="preserve"> = 3 \* GB3 </w:instrText>
      </w:r>
      <w:r>
        <w:rPr>
          <w:rFonts w:ascii="Times New Roman" w:eastAsia="宋体" w:hAnsi="Times New Roman" w:cs="Times New Roman"/>
          <w:kern w:val="0"/>
          <w:sz w:val="28"/>
          <w:szCs w:val="20"/>
        </w:rPr>
        <w:fldChar w:fldCharType="separate"/>
      </w:r>
      <w:r>
        <w:rPr>
          <w:rFonts w:ascii="宋体" w:eastAsia="宋体" w:hAnsi="宋体" w:cs="宋体" w:hint="eastAsia"/>
          <w:kern w:val="0"/>
          <w:sz w:val="28"/>
          <w:szCs w:val="20"/>
        </w:rPr>
        <w:t>③</w:t>
      </w:r>
      <w:r>
        <w:rPr>
          <w:rFonts w:ascii="Times New Roman" w:eastAsia="宋体" w:hAnsi="Times New Roman" w:cs="Times New Roman"/>
          <w:kern w:val="0"/>
          <w:sz w:val="28"/>
          <w:szCs w:val="20"/>
        </w:rPr>
        <w:fldChar w:fldCharType="end"/>
      </w:r>
      <w:r>
        <w:rPr>
          <w:rFonts w:ascii="Times New Roman" w:eastAsia="宋体" w:hAnsi="Times New Roman" w:cs="Times New Roman"/>
          <w:kern w:val="0"/>
          <w:sz w:val="28"/>
          <w:szCs w:val="20"/>
        </w:rPr>
        <w:t>一般固体贮废物存场所在醒目处设置一个标志牌。</w:t>
      </w:r>
    </w:p>
    <w:p w14:paraId="1A163D2B"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fldChar w:fldCharType="begin"/>
      </w:r>
      <w:r>
        <w:rPr>
          <w:rFonts w:ascii="Times New Roman" w:eastAsia="宋体" w:hAnsi="Times New Roman" w:cs="Times New Roman"/>
          <w:kern w:val="0"/>
          <w:sz w:val="28"/>
          <w:szCs w:val="20"/>
        </w:rPr>
        <w:instrText xml:space="preserve"> = 4 \* GB3 </w:instrText>
      </w:r>
      <w:r>
        <w:rPr>
          <w:rFonts w:ascii="Times New Roman" w:eastAsia="宋体" w:hAnsi="Times New Roman" w:cs="Times New Roman"/>
          <w:kern w:val="0"/>
          <w:sz w:val="28"/>
          <w:szCs w:val="20"/>
        </w:rPr>
        <w:fldChar w:fldCharType="separate"/>
      </w:r>
      <w:r>
        <w:rPr>
          <w:rFonts w:ascii="宋体" w:eastAsia="宋体" w:hAnsi="宋体" w:cs="宋体" w:hint="eastAsia"/>
          <w:kern w:val="0"/>
          <w:sz w:val="28"/>
          <w:szCs w:val="20"/>
        </w:rPr>
        <w:t>④</w:t>
      </w:r>
      <w:r>
        <w:rPr>
          <w:rFonts w:ascii="Times New Roman" w:eastAsia="宋体" w:hAnsi="Times New Roman" w:cs="Times New Roman"/>
          <w:kern w:val="0"/>
          <w:sz w:val="28"/>
          <w:szCs w:val="20"/>
        </w:rPr>
        <w:fldChar w:fldCharType="end"/>
      </w:r>
      <w:r>
        <w:rPr>
          <w:rFonts w:ascii="Times New Roman" w:eastAsia="宋体" w:hAnsi="Times New Roman" w:cs="Times New Roman"/>
          <w:kern w:val="0"/>
          <w:sz w:val="28"/>
          <w:szCs w:val="20"/>
        </w:rPr>
        <w:t>危险废物贮存场所的边界采用墙体封闭，并在边界各进出路口设置明显标志牌。</w:t>
      </w:r>
    </w:p>
    <w:p w14:paraId="623567B8"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执行的污染物排放标准</w:t>
      </w:r>
    </w:p>
    <w:p w14:paraId="35D8FA86"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 xml:space="preserve">(1) </w:t>
      </w:r>
      <w:r>
        <w:rPr>
          <w:rFonts w:ascii="Times New Roman" w:eastAsia="宋体" w:hAnsi="Times New Roman" w:cs="Times New Roman"/>
          <w:kern w:val="0"/>
          <w:sz w:val="28"/>
          <w:szCs w:val="20"/>
        </w:rPr>
        <w:t>大气污染物</w:t>
      </w:r>
    </w:p>
    <w:p w14:paraId="600FCA1C" w14:textId="222E6AD2" w:rsidR="002133E3" w:rsidRDefault="00C22CFA">
      <w:pPr>
        <w:adjustRightInd w:val="0"/>
        <w:snapToGrid w:val="0"/>
        <w:spacing w:line="500" w:lineRule="exact"/>
        <w:ind w:firstLineChars="200" w:firstLine="560"/>
        <w:rPr>
          <w:rFonts w:ascii="Times New Roman" w:hAnsi="Times New Roman" w:cs="Times New Roman"/>
        </w:rPr>
      </w:pPr>
      <w:r>
        <w:rPr>
          <w:rFonts w:ascii="Times New Roman" w:eastAsia="宋体" w:hAnsi="Times New Roman" w:cs="Times New Roman"/>
          <w:sz w:val="28"/>
          <w:szCs w:val="28"/>
        </w:rPr>
        <w:t>废气中颗粒物</w:t>
      </w:r>
      <w:r>
        <w:rPr>
          <w:rFonts w:ascii="Times New Roman" w:eastAsia="宋体" w:hAnsi="Times New Roman" w:cs="Times New Roman"/>
          <w:sz w:val="28"/>
          <w:szCs w:val="28"/>
        </w:rPr>
        <w:t>(</w:t>
      </w:r>
      <w:r>
        <w:rPr>
          <w:rFonts w:ascii="Times New Roman" w:eastAsia="宋体" w:hAnsi="Times New Roman" w:cs="Times New Roman"/>
          <w:sz w:val="28"/>
          <w:szCs w:val="28"/>
        </w:rPr>
        <w:t>粉尘</w:t>
      </w:r>
      <w:r>
        <w:rPr>
          <w:rFonts w:ascii="Times New Roman" w:eastAsia="宋体" w:hAnsi="Times New Roman" w:cs="Times New Roman"/>
          <w:sz w:val="28"/>
          <w:szCs w:val="28"/>
        </w:rPr>
        <w:t>)</w:t>
      </w:r>
      <w:r>
        <w:rPr>
          <w:rFonts w:ascii="Times New Roman" w:eastAsia="宋体" w:hAnsi="Times New Roman" w:cs="Times New Roman"/>
          <w:sz w:val="28"/>
          <w:szCs w:val="28"/>
        </w:rPr>
        <w:t>排放浓度、排放速率及无组织排放浓度限值执行《大气污染物综合排放标准》</w:t>
      </w:r>
      <w:r>
        <w:rPr>
          <w:rFonts w:ascii="Times New Roman" w:eastAsia="宋体" w:hAnsi="Times New Roman" w:cs="Times New Roman"/>
          <w:sz w:val="28"/>
          <w:szCs w:val="28"/>
        </w:rPr>
        <w:t>(GB16297-1996)</w:t>
      </w:r>
      <w:r>
        <w:rPr>
          <w:rFonts w:ascii="Times New Roman" w:eastAsia="宋体" w:hAnsi="Times New Roman" w:cs="Times New Roman"/>
          <w:sz w:val="28"/>
          <w:szCs w:val="28"/>
        </w:rPr>
        <w:t>表</w:t>
      </w:r>
      <w:r>
        <w:rPr>
          <w:rFonts w:ascii="Times New Roman" w:eastAsia="宋体" w:hAnsi="Times New Roman" w:cs="Times New Roman"/>
          <w:sz w:val="28"/>
          <w:szCs w:val="28"/>
        </w:rPr>
        <w:t>2</w:t>
      </w:r>
      <w:r>
        <w:rPr>
          <w:rFonts w:ascii="Times New Roman" w:eastAsia="宋体" w:hAnsi="Times New Roman" w:cs="Times New Roman"/>
          <w:sz w:val="28"/>
          <w:szCs w:val="28"/>
        </w:rPr>
        <w:t>中二级标准；甲醇排放浓度、排放速率及无组织排放浓度限值执行《江苏省化学工业挥发性有机物排放标准》</w:t>
      </w:r>
      <w:r>
        <w:rPr>
          <w:rFonts w:ascii="Times New Roman" w:eastAsia="宋体" w:hAnsi="Times New Roman" w:cs="Times New Roman"/>
          <w:sz w:val="28"/>
          <w:szCs w:val="28"/>
        </w:rPr>
        <w:t>(DB32/3151-2016)</w:t>
      </w:r>
      <w:r>
        <w:rPr>
          <w:rFonts w:ascii="Times New Roman" w:eastAsia="宋体" w:hAnsi="Times New Roman" w:cs="Times New Roman"/>
          <w:sz w:val="28"/>
          <w:szCs w:val="28"/>
        </w:rPr>
        <w:t>表</w:t>
      </w:r>
      <w:r>
        <w:rPr>
          <w:rFonts w:ascii="Times New Roman" w:eastAsia="宋体" w:hAnsi="Times New Roman" w:cs="Times New Roman"/>
          <w:sz w:val="28"/>
          <w:szCs w:val="28"/>
        </w:rPr>
        <w:t>1</w:t>
      </w:r>
      <w:r>
        <w:rPr>
          <w:rFonts w:ascii="Times New Roman" w:eastAsia="宋体" w:hAnsi="Times New Roman" w:cs="Times New Roman"/>
          <w:sz w:val="28"/>
          <w:szCs w:val="28"/>
        </w:rPr>
        <w:t>中标准；挥发性有机物排放浓度、排放速率及厂界无组织排放浓度限值参照执行《江苏省化学工业挥发性有机物排放标准》</w:t>
      </w:r>
      <w:r>
        <w:rPr>
          <w:rFonts w:ascii="Times New Roman" w:eastAsia="宋体" w:hAnsi="Times New Roman" w:cs="Times New Roman"/>
          <w:sz w:val="28"/>
          <w:szCs w:val="28"/>
        </w:rPr>
        <w:t>(DB32/3151-2016)</w:t>
      </w:r>
      <w:r>
        <w:rPr>
          <w:rFonts w:ascii="Times New Roman" w:eastAsia="宋体" w:hAnsi="Times New Roman" w:cs="Times New Roman"/>
          <w:sz w:val="28"/>
          <w:szCs w:val="28"/>
        </w:rPr>
        <w:t>中标准，</w:t>
      </w:r>
      <w:r>
        <w:rPr>
          <w:rFonts w:ascii="Times New Roman" w:eastAsia="宋体" w:hAnsi="Times New Roman" w:cs="Times New Roman"/>
          <w:sz w:val="28"/>
          <w:szCs w:val="28"/>
        </w:rPr>
        <w:t>95%</w:t>
      </w:r>
      <w:r>
        <w:rPr>
          <w:rFonts w:ascii="Times New Roman" w:eastAsia="宋体" w:hAnsi="Times New Roman" w:cs="Times New Roman"/>
          <w:sz w:val="28"/>
          <w:szCs w:val="28"/>
        </w:rPr>
        <w:t>酒精及</w:t>
      </w:r>
      <w:r>
        <w:rPr>
          <w:rFonts w:ascii="Times New Roman" w:eastAsia="宋体" w:hAnsi="Times New Roman" w:cs="Times New Roman"/>
          <w:sz w:val="28"/>
          <w:szCs w:val="28"/>
        </w:rPr>
        <w:t>99.99%</w:t>
      </w:r>
      <w:r>
        <w:rPr>
          <w:rFonts w:ascii="Times New Roman" w:eastAsia="宋体" w:hAnsi="Times New Roman" w:cs="Times New Roman" w:hint="eastAsia"/>
          <w:sz w:val="28"/>
          <w:szCs w:val="28"/>
        </w:rPr>
        <w:t>无</w:t>
      </w:r>
      <w:r>
        <w:rPr>
          <w:rFonts w:ascii="Times New Roman" w:eastAsia="宋体" w:hAnsi="Times New Roman" w:cs="Times New Roman"/>
          <w:sz w:val="28"/>
          <w:szCs w:val="28"/>
        </w:rPr>
        <w:t>水乙醇生产装置区四周无组织排放浓度限值参照执行《挥发性有机物无组织排放控制标准》</w:t>
      </w:r>
      <w:r>
        <w:rPr>
          <w:rFonts w:ascii="Times New Roman" w:eastAsia="宋体" w:hAnsi="Times New Roman" w:cs="Times New Roman"/>
          <w:sz w:val="28"/>
          <w:szCs w:val="28"/>
        </w:rPr>
        <w:t>(GB 37822-2019)</w:t>
      </w:r>
      <w:r>
        <w:rPr>
          <w:rFonts w:ascii="Times New Roman" w:eastAsia="宋体" w:hAnsi="Times New Roman" w:cs="Times New Roman"/>
          <w:sz w:val="28"/>
          <w:szCs w:val="28"/>
        </w:rPr>
        <w:t>附录标准，乙醇排放浓度、排放速率及无组织排放浓度限值参照执行挥发性有机</w:t>
      </w:r>
      <w:r>
        <w:rPr>
          <w:rFonts w:ascii="Times New Roman" w:eastAsia="宋体" w:hAnsi="Times New Roman" w:cs="Times New Roman"/>
          <w:sz w:val="28"/>
          <w:szCs w:val="28"/>
        </w:rPr>
        <w:lastRenderedPageBreak/>
        <w:t>物标准。具体标准值见表</w:t>
      </w:r>
      <w:r>
        <w:rPr>
          <w:rFonts w:ascii="Times New Roman" w:eastAsia="宋体" w:hAnsi="Times New Roman" w:cs="Times New Roman"/>
          <w:kern w:val="0"/>
          <w:sz w:val="28"/>
          <w:szCs w:val="20"/>
        </w:rPr>
        <w:t>9.2-6</w:t>
      </w:r>
      <w:r>
        <w:rPr>
          <w:rFonts w:ascii="Times New Roman" w:eastAsia="宋体" w:hAnsi="Times New Roman" w:cs="Times New Roman"/>
          <w:sz w:val="28"/>
          <w:szCs w:val="28"/>
        </w:rPr>
        <w:t>。</w:t>
      </w:r>
    </w:p>
    <w:p w14:paraId="58C96F6F" w14:textId="77777777" w:rsidR="002133E3" w:rsidRDefault="00C22CFA">
      <w:pPr>
        <w:tabs>
          <w:tab w:val="left" w:pos="3600"/>
        </w:tabs>
        <w:spacing w:line="500" w:lineRule="exact"/>
        <w:jc w:val="center"/>
        <w:rPr>
          <w:rFonts w:ascii="Times New Roman" w:eastAsia="宋体" w:hAnsi="Times New Roman" w:cs="Times New Roman"/>
          <w:b/>
          <w:sz w:val="24"/>
          <w:szCs w:val="24"/>
        </w:rPr>
      </w:pPr>
      <w:r>
        <w:rPr>
          <w:rFonts w:ascii="Times New Roman" w:eastAsia="宋体" w:hAnsi="Times New Roman" w:cs="Times New Roman"/>
          <w:b/>
          <w:sz w:val="24"/>
          <w:szCs w:val="24"/>
        </w:rPr>
        <w:t>表</w:t>
      </w:r>
      <w:r>
        <w:rPr>
          <w:rFonts w:ascii="Times New Roman" w:eastAsia="宋体" w:hAnsi="Times New Roman" w:cs="Times New Roman"/>
          <w:b/>
          <w:spacing w:val="-6"/>
          <w:kern w:val="0"/>
          <w:sz w:val="24"/>
          <w:szCs w:val="24"/>
        </w:rPr>
        <w:t>9.2-6</w:t>
      </w:r>
      <w:r>
        <w:rPr>
          <w:rFonts w:ascii="Times New Roman" w:eastAsia="宋体" w:hAnsi="Times New Roman" w:cs="Times New Roman"/>
          <w:b/>
          <w:sz w:val="24"/>
          <w:szCs w:val="24"/>
        </w:rPr>
        <w:t xml:space="preserve">  </w:t>
      </w:r>
      <w:r>
        <w:rPr>
          <w:rFonts w:ascii="Times New Roman" w:eastAsia="宋体" w:hAnsi="Times New Roman" w:cs="Times New Roman"/>
          <w:b/>
          <w:sz w:val="24"/>
          <w:szCs w:val="24"/>
        </w:rPr>
        <w:t>大气污染物排放标准值</w:t>
      </w:r>
      <w:r>
        <w:rPr>
          <w:rFonts w:ascii="Times New Roman" w:eastAsia="宋体" w:hAnsi="Times New Roman" w:cs="Times New Roman"/>
          <w:b/>
          <w:sz w:val="24"/>
          <w:szCs w:val="24"/>
        </w:rPr>
        <w:t>(</w:t>
      </w:r>
      <w:r>
        <w:rPr>
          <w:rFonts w:ascii="Times New Roman" w:eastAsia="宋体" w:hAnsi="Times New Roman" w:cs="Times New Roman"/>
          <w:b/>
          <w:sz w:val="24"/>
          <w:szCs w:val="24"/>
        </w:rPr>
        <w:t>浓度单位</w:t>
      </w:r>
      <w:r>
        <w:rPr>
          <w:rFonts w:ascii="Times New Roman" w:eastAsia="宋体" w:hAnsi="Times New Roman" w:cs="Times New Roman"/>
          <w:b/>
          <w:sz w:val="24"/>
          <w:szCs w:val="24"/>
        </w:rPr>
        <w:t>:mg/m</w:t>
      </w:r>
      <w:r>
        <w:rPr>
          <w:rFonts w:ascii="Times New Roman" w:eastAsia="宋体" w:hAnsi="Times New Roman" w:cs="Times New Roman"/>
          <w:b/>
          <w:sz w:val="24"/>
          <w:szCs w:val="24"/>
          <w:vertAlign w:val="superscript"/>
        </w:rPr>
        <w:t>3</w:t>
      </w:r>
      <w:r>
        <w:rPr>
          <w:rFonts w:ascii="Times New Roman" w:eastAsia="宋体" w:hAnsi="Times New Roman" w:cs="Times New Roman"/>
          <w:b/>
          <w:sz w:val="24"/>
          <w:szCs w:val="24"/>
        </w:rPr>
        <w:t>，速率单位：</w:t>
      </w:r>
      <w:r>
        <w:rPr>
          <w:rFonts w:ascii="Times New Roman" w:eastAsia="宋体" w:hAnsi="Times New Roman" w:cs="Times New Roman"/>
          <w:b/>
          <w:sz w:val="24"/>
          <w:szCs w:val="24"/>
        </w:rPr>
        <w:t>kg/h)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1059"/>
        <w:gridCol w:w="1343"/>
        <w:gridCol w:w="2750"/>
        <w:gridCol w:w="3109"/>
      </w:tblGrid>
      <w:tr w:rsidR="002133E3" w14:paraId="2F003937" w14:textId="77777777">
        <w:trPr>
          <w:trHeight w:val="284"/>
          <w:jc w:val="center"/>
        </w:trPr>
        <w:tc>
          <w:tcPr>
            <w:tcW w:w="847" w:type="pct"/>
            <w:shd w:val="clear" w:color="auto" w:fill="auto"/>
            <w:noWrap/>
            <w:vAlign w:val="center"/>
          </w:tcPr>
          <w:p w14:paraId="42C4D84E"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576" w:type="pct"/>
            <w:shd w:val="clear" w:color="auto" w:fill="auto"/>
            <w:vAlign w:val="center"/>
          </w:tcPr>
          <w:p w14:paraId="14AB0028"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排放限值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p>
        </w:tc>
        <w:tc>
          <w:tcPr>
            <w:tcW w:w="720" w:type="pct"/>
            <w:shd w:val="clear" w:color="auto" w:fill="auto"/>
            <w:vAlign w:val="center"/>
          </w:tcPr>
          <w:p w14:paraId="7F31AD82"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排放速率</w:t>
            </w:r>
            <w:r>
              <w:rPr>
                <w:rFonts w:ascii="Times New Roman" w:eastAsia="宋体" w:hAnsi="Times New Roman" w:cs="Times New Roman"/>
                <w:b/>
                <w:bCs/>
                <w:kern w:val="0"/>
                <w:szCs w:val="21"/>
              </w:rPr>
              <w:t>kg/h(20m)</w:t>
            </w:r>
          </w:p>
        </w:tc>
        <w:tc>
          <w:tcPr>
            <w:tcW w:w="1241" w:type="pct"/>
            <w:shd w:val="clear" w:color="auto" w:fill="auto"/>
            <w:noWrap/>
            <w:vAlign w:val="center"/>
          </w:tcPr>
          <w:p w14:paraId="2FDA5029"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无组织排放浓度限值</w:t>
            </w:r>
            <w:r>
              <w:rPr>
                <w:rFonts w:ascii="Times New Roman" w:eastAsia="宋体" w:hAnsi="Times New Roman" w:cs="Times New Roman"/>
                <w:b/>
                <w:bCs/>
                <w:kern w:val="0"/>
                <w:szCs w:val="21"/>
              </w:rPr>
              <w:t>mg/m</w:t>
            </w:r>
            <w:r>
              <w:rPr>
                <w:rFonts w:ascii="Times New Roman" w:eastAsia="宋体" w:hAnsi="Times New Roman" w:cs="Times New Roman"/>
                <w:b/>
                <w:bCs/>
                <w:kern w:val="0"/>
                <w:szCs w:val="21"/>
                <w:vertAlign w:val="superscript"/>
              </w:rPr>
              <w:t>3</w:t>
            </w:r>
          </w:p>
        </w:tc>
        <w:tc>
          <w:tcPr>
            <w:tcW w:w="1616" w:type="pct"/>
            <w:shd w:val="clear" w:color="auto" w:fill="auto"/>
            <w:noWrap/>
            <w:vAlign w:val="center"/>
          </w:tcPr>
          <w:p w14:paraId="6541F927" w14:textId="77777777" w:rsidR="002133E3" w:rsidRDefault="00C22CFA">
            <w:pPr>
              <w:widowControl/>
              <w:snapToGrid w:val="0"/>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标准来源</w:t>
            </w:r>
          </w:p>
        </w:tc>
      </w:tr>
      <w:tr w:rsidR="002133E3" w14:paraId="1344DD0D" w14:textId="77777777">
        <w:trPr>
          <w:trHeight w:val="284"/>
          <w:jc w:val="center"/>
        </w:trPr>
        <w:tc>
          <w:tcPr>
            <w:tcW w:w="847" w:type="pct"/>
            <w:shd w:val="clear" w:color="auto" w:fill="auto"/>
            <w:noWrap/>
            <w:vAlign w:val="center"/>
          </w:tcPr>
          <w:p w14:paraId="369FC9F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颗粒物</w:t>
            </w:r>
            <w:r>
              <w:rPr>
                <w:rFonts w:ascii="Times New Roman" w:eastAsia="宋体" w:hAnsi="Times New Roman" w:cs="Times New Roman"/>
                <w:kern w:val="0"/>
                <w:szCs w:val="21"/>
              </w:rPr>
              <w:t>(</w:t>
            </w:r>
            <w:r>
              <w:rPr>
                <w:rFonts w:ascii="Times New Roman" w:eastAsia="宋体" w:hAnsi="Times New Roman" w:cs="Times New Roman"/>
                <w:kern w:val="0"/>
                <w:szCs w:val="21"/>
              </w:rPr>
              <w:t>粉尘</w:t>
            </w:r>
            <w:r>
              <w:rPr>
                <w:rFonts w:ascii="Times New Roman" w:eastAsia="宋体" w:hAnsi="Times New Roman" w:cs="Times New Roman"/>
                <w:kern w:val="0"/>
                <w:szCs w:val="21"/>
              </w:rPr>
              <w:t>)</w:t>
            </w:r>
          </w:p>
        </w:tc>
        <w:tc>
          <w:tcPr>
            <w:tcW w:w="576" w:type="pct"/>
            <w:shd w:val="clear" w:color="auto" w:fill="auto"/>
            <w:noWrap/>
            <w:vAlign w:val="center"/>
          </w:tcPr>
          <w:p w14:paraId="2B142AE0"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120</w:t>
            </w:r>
          </w:p>
        </w:tc>
        <w:tc>
          <w:tcPr>
            <w:tcW w:w="720" w:type="pct"/>
            <w:shd w:val="clear" w:color="auto" w:fill="auto"/>
            <w:vAlign w:val="center"/>
          </w:tcPr>
          <w:p w14:paraId="3FBDAFE9"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lang w:val="en-JM"/>
              </w:rPr>
              <w:t>5.9</w:t>
            </w:r>
          </w:p>
        </w:tc>
        <w:tc>
          <w:tcPr>
            <w:tcW w:w="1241" w:type="pct"/>
            <w:shd w:val="clear" w:color="auto" w:fill="auto"/>
            <w:noWrap/>
            <w:vAlign w:val="center"/>
          </w:tcPr>
          <w:p w14:paraId="6B1263F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616" w:type="pct"/>
            <w:shd w:val="clear" w:color="auto" w:fill="auto"/>
            <w:vAlign w:val="center"/>
          </w:tcPr>
          <w:p w14:paraId="3B930C1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大气污染物综合排放标准</w:t>
            </w:r>
            <w:r>
              <w:rPr>
                <w:rFonts w:ascii="Times New Roman" w:eastAsia="宋体" w:hAnsi="Times New Roman" w:cs="Times New Roman"/>
                <w:kern w:val="0"/>
                <w:szCs w:val="21"/>
              </w:rPr>
              <w:t>GB16297-1996</w:t>
            </w:r>
            <w:r>
              <w:rPr>
                <w:rFonts w:ascii="Times New Roman" w:eastAsia="宋体" w:hAnsi="Times New Roman" w:cs="Times New Roman"/>
                <w:kern w:val="0"/>
                <w:szCs w:val="21"/>
              </w:rPr>
              <w:t>二级标准</w:t>
            </w:r>
            <w:r>
              <w:rPr>
                <w:rFonts w:ascii="Times New Roman" w:eastAsia="宋体" w:hAnsi="Times New Roman" w:cs="Times New Roman"/>
                <w:kern w:val="0"/>
                <w:szCs w:val="21"/>
              </w:rPr>
              <w:t>(</w:t>
            </w:r>
            <w:r>
              <w:rPr>
                <w:rFonts w:ascii="Times New Roman" w:eastAsia="宋体" w:hAnsi="Times New Roman" w:cs="Times New Roman"/>
                <w:kern w:val="0"/>
                <w:szCs w:val="21"/>
              </w:rPr>
              <w:t>表</w:t>
            </w:r>
            <w:r>
              <w:rPr>
                <w:rFonts w:ascii="Times New Roman" w:eastAsia="宋体" w:hAnsi="Times New Roman" w:cs="Times New Roman"/>
                <w:kern w:val="0"/>
                <w:szCs w:val="21"/>
              </w:rPr>
              <w:t>2)</w:t>
            </w:r>
          </w:p>
        </w:tc>
      </w:tr>
      <w:tr w:rsidR="002133E3" w14:paraId="68BBE594" w14:textId="77777777">
        <w:trPr>
          <w:trHeight w:val="284"/>
          <w:jc w:val="center"/>
        </w:trPr>
        <w:tc>
          <w:tcPr>
            <w:tcW w:w="847" w:type="pct"/>
            <w:shd w:val="clear" w:color="auto" w:fill="auto"/>
            <w:noWrap/>
            <w:vAlign w:val="center"/>
          </w:tcPr>
          <w:p w14:paraId="53E102C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甲醇</w:t>
            </w:r>
          </w:p>
        </w:tc>
        <w:tc>
          <w:tcPr>
            <w:tcW w:w="576" w:type="pct"/>
            <w:shd w:val="clear" w:color="auto" w:fill="auto"/>
            <w:noWrap/>
            <w:vAlign w:val="center"/>
          </w:tcPr>
          <w:p w14:paraId="7A33877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720" w:type="pct"/>
            <w:shd w:val="clear" w:color="auto" w:fill="auto"/>
            <w:noWrap/>
            <w:vAlign w:val="center"/>
          </w:tcPr>
          <w:p w14:paraId="25DFF862" w14:textId="77777777" w:rsidR="002133E3" w:rsidRDefault="00C22CFA">
            <w:pPr>
              <w:widowControl/>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7.2</w:t>
            </w:r>
          </w:p>
        </w:tc>
        <w:tc>
          <w:tcPr>
            <w:tcW w:w="1241" w:type="pct"/>
            <w:shd w:val="clear" w:color="auto" w:fill="auto"/>
            <w:noWrap/>
            <w:vAlign w:val="center"/>
          </w:tcPr>
          <w:p w14:paraId="1C4884AC" w14:textId="77777777" w:rsidR="002133E3" w:rsidRDefault="00C22CFA">
            <w:pPr>
              <w:widowControl/>
              <w:snapToGrid w:val="0"/>
              <w:jc w:val="center"/>
              <w:rPr>
                <w:rFonts w:ascii="Times New Roman" w:eastAsia="宋体" w:hAnsi="Times New Roman" w:cs="Times New Roman"/>
                <w:kern w:val="0"/>
                <w:szCs w:val="21"/>
                <w:lang w:val="en-JM"/>
              </w:rPr>
            </w:pPr>
            <w:r>
              <w:rPr>
                <w:rFonts w:ascii="Times New Roman" w:eastAsia="宋体" w:hAnsi="Times New Roman" w:cs="Times New Roman"/>
                <w:kern w:val="0"/>
                <w:szCs w:val="21"/>
                <w:lang w:val="en-JM"/>
              </w:rPr>
              <w:t>1</w:t>
            </w:r>
          </w:p>
        </w:tc>
        <w:tc>
          <w:tcPr>
            <w:tcW w:w="1616" w:type="pct"/>
            <w:vMerge w:val="restart"/>
            <w:vAlign w:val="center"/>
          </w:tcPr>
          <w:p w14:paraId="25166F63" w14:textId="77777777" w:rsidR="002133E3" w:rsidRDefault="00C22CFA">
            <w:pPr>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江苏省化学工业挥发性有机物排放标准</w:t>
            </w:r>
            <w:r>
              <w:rPr>
                <w:rFonts w:ascii="Times New Roman" w:eastAsia="宋体" w:hAnsi="Times New Roman" w:cs="Times New Roman"/>
                <w:kern w:val="0"/>
                <w:szCs w:val="21"/>
              </w:rPr>
              <w:t>DB32/3151-2016</w:t>
            </w:r>
          </w:p>
        </w:tc>
      </w:tr>
      <w:tr w:rsidR="002133E3" w14:paraId="206CC5E8" w14:textId="77777777">
        <w:trPr>
          <w:trHeight w:val="284"/>
          <w:jc w:val="center"/>
        </w:trPr>
        <w:tc>
          <w:tcPr>
            <w:tcW w:w="847" w:type="pct"/>
            <w:vMerge w:val="restart"/>
            <w:shd w:val="clear" w:color="auto" w:fill="auto"/>
            <w:noWrap/>
            <w:vAlign w:val="center"/>
          </w:tcPr>
          <w:p w14:paraId="0B635CF3"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挥发性有机物</w:t>
            </w:r>
          </w:p>
        </w:tc>
        <w:tc>
          <w:tcPr>
            <w:tcW w:w="576" w:type="pct"/>
            <w:vMerge w:val="restart"/>
            <w:shd w:val="clear" w:color="auto" w:fill="auto"/>
            <w:noWrap/>
            <w:vAlign w:val="center"/>
          </w:tcPr>
          <w:p w14:paraId="7DF18541"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720" w:type="pct"/>
            <w:vMerge w:val="restart"/>
            <w:shd w:val="clear" w:color="auto" w:fill="auto"/>
            <w:vAlign w:val="center"/>
          </w:tcPr>
          <w:p w14:paraId="35920A8C"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1241" w:type="pct"/>
            <w:shd w:val="clear" w:color="auto" w:fill="auto"/>
            <w:noWrap/>
            <w:vAlign w:val="center"/>
          </w:tcPr>
          <w:p w14:paraId="3EAB611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厂界</w:t>
            </w:r>
            <w:r>
              <w:rPr>
                <w:rFonts w:ascii="Times New Roman" w:eastAsia="宋体" w:hAnsi="Times New Roman" w:cs="Times New Roman"/>
                <w:kern w:val="0"/>
                <w:szCs w:val="21"/>
              </w:rPr>
              <w:t>)</w:t>
            </w:r>
          </w:p>
        </w:tc>
        <w:tc>
          <w:tcPr>
            <w:tcW w:w="1616" w:type="pct"/>
            <w:vMerge/>
            <w:shd w:val="clear" w:color="auto" w:fill="auto"/>
            <w:vAlign w:val="center"/>
          </w:tcPr>
          <w:p w14:paraId="4FB9A7F2" w14:textId="77777777" w:rsidR="002133E3" w:rsidRDefault="002133E3">
            <w:pPr>
              <w:widowControl/>
              <w:snapToGrid w:val="0"/>
              <w:jc w:val="center"/>
              <w:rPr>
                <w:rFonts w:ascii="Times New Roman" w:eastAsia="宋体" w:hAnsi="Times New Roman" w:cs="Times New Roman"/>
                <w:kern w:val="0"/>
                <w:szCs w:val="21"/>
              </w:rPr>
            </w:pPr>
          </w:p>
        </w:tc>
      </w:tr>
      <w:tr w:rsidR="002133E3" w14:paraId="0CC2CD2C" w14:textId="77777777">
        <w:trPr>
          <w:trHeight w:val="284"/>
          <w:jc w:val="center"/>
        </w:trPr>
        <w:tc>
          <w:tcPr>
            <w:tcW w:w="847" w:type="pct"/>
            <w:vMerge/>
            <w:shd w:val="clear" w:color="auto" w:fill="auto"/>
            <w:noWrap/>
            <w:vAlign w:val="center"/>
          </w:tcPr>
          <w:p w14:paraId="07F12AB4" w14:textId="77777777" w:rsidR="002133E3" w:rsidRDefault="002133E3">
            <w:pPr>
              <w:widowControl/>
              <w:snapToGrid w:val="0"/>
              <w:jc w:val="center"/>
              <w:rPr>
                <w:rFonts w:ascii="Times New Roman" w:eastAsia="宋体" w:hAnsi="Times New Roman" w:cs="Times New Roman"/>
                <w:kern w:val="0"/>
                <w:szCs w:val="21"/>
              </w:rPr>
            </w:pPr>
          </w:p>
        </w:tc>
        <w:tc>
          <w:tcPr>
            <w:tcW w:w="576" w:type="pct"/>
            <w:vMerge/>
            <w:shd w:val="clear" w:color="auto" w:fill="auto"/>
            <w:noWrap/>
            <w:vAlign w:val="center"/>
          </w:tcPr>
          <w:p w14:paraId="49FFF190" w14:textId="77777777" w:rsidR="002133E3" w:rsidRDefault="002133E3">
            <w:pPr>
              <w:widowControl/>
              <w:snapToGrid w:val="0"/>
              <w:jc w:val="center"/>
              <w:rPr>
                <w:rFonts w:ascii="Times New Roman" w:eastAsia="宋体" w:hAnsi="Times New Roman" w:cs="Times New Roman"/>
                <w:kern w:val="0"/>
                <w:szCs w:val="21"/>
              </w:rPr>
            </w:pPr>
          </w:p>
        </w:tc>
        <w:tc>
          <w:tcPr>
            <w:tcW w:w="720" w:type="pct"/>
            <w:vMerge/>
            <w:shd w:val="clear" w:color="auto" w:fill="auto"/>
            <w:vAlign w:val="center"/>
          </w:tcPr>
          <w:p w14:paraId="7AE307A9" w14:textId="77777777" w:rsidR="002133E3" w:rsidRDefault="002133E3">
            <w:pPr>
              <w:widowControl/>
              <w:snapToGrid w:val="0"/>
              <w:jc w:val="center"/>
              <w:rPr>
                <w:rFonts w:ascii="Times New Roman" w:eastAsia="宋体" w:hAnsi="Times New Roman" w:cs="Times New Roman"/>
                <w:kern w:val="0"/>
                <w:szCs w:val="21"/>
              </w:rPr>
            </w:pPr>
          </w:p>
        </w:tc>
        <w:tc>
          <w:tcPr>
            <w:tcW w:w="1241" w:type="pct"/>
            <w:shd w:val="clear" w:color="auto" w:fill="auto"/>
            <w:noWrap/>
            <w:vAlign w:val="center"/>
          </w:tcPr>
          <w:p w14:paraId="72A9E33D"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r>
              <w:rPr>
                <w:rFonts w:ascii="Times New Roman" w:eastAsia="宋体" w:hAnsi="Times New Roman" w:cs="Times New Roman"/>
                <w:kern w:val="0"/>
                <w:szCs w:val="21"/>
              </w:rPr>
              <w:t>装置区四周</w:t>
            </w:r>
            <w:r>
              <w:rPr>
                <w:rFonts w:ascii="Times New Roman" w:eastAsia="宋体" w:hAnsi="Times New Roman" w:cs="Times New Roman"/>
                <w:kern w:val="0"/>
                <w:szCs w:val="21"/>
              </w:rPr>
              <w:t>)</w:t>
            </w:r>
          </w:p>
        </w:tc>
        <w:tc>
          <w:tcPr>
            <w:tcW w:w="1616" w:type="pct"/>
            <w:shd w:val="clear" w:color="auto" w:fill="auto"/>
            <w:vAlign w:val="center"/>
          </w:tcPr>
          <w:p w14:paraId="7A7F9D4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挥发性有机物无组织排放控制标准</w:t>
            </w:r>
            <w:r>
              <w:rPr>
                <w:rFonts w:ascii="Times New Roman" w:eastAsia="宋体" w:hAnsi="Times New Roman" w:cs="Times New Roman"/>
                <w:kern w:val="0"/>
                <w:szCs w:val="21"/>
              </w:rPr>
              <w:t>GB 37822-2019</w:t>
            </w:r>
          </w:p>
        </w:tc>
      </w:tr>
      <w:tr w:rsidR="002133E3" w14:paraId="3DEC3219" w14:textId="77777777">
        <w:trPr>
          <w:trHeight w:val="284"/>
          <w:jc w:val="center"/>
        </w:trPr>
        <w:tc>
          <w:tcPr>
            <w:tcW w:w="847" w:type="pct"/>
            <w:shd w:val="clear" w:color="auto" w:fill="auto"/>
            <w:noWrap/>
            <w:vAlign w:val="center"/>
          </w:tcPr>
          <w:p w14:paraId="2845D2F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乙醇</w:t>
            </w:r>
          </w:p>
        </w:tc>
        <w:tc>
          <w:tcPr>
            <w:tcW w:w="576" w:type="pct"/>
            <w:shd w:val="clear" w:color="auto" w:fill="auto"/>
            <w:noWrap/>
            <w:vAlign w:val="center"/>
          </w:tcPr>
          <w:p w14:paraId="19BC5B74"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720" w:type="pct"/>
            <w:shd w:val="clear" w:color="auto" w:fill="auto"/>
            <w:vAlign w:val="center"/>
          </w:tcPr>
          <w:p w14:paraId="6A0D2A4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1241" w:type="pct"/>
            <w:shd w:val="clear" w:color="auto" w:fill="auto"/>
            <w:noWrap/>
            <w:vAlign w:val="center"/>
          </w:tcPr>
          <w:p w14:paraId="161D093F"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r>
              <w:rPr>
                <w:rFonts w:ascii="Times New Roman" w:eastAsia="宋体" w:hAnsi="Times New Roman" w:cs="Times New Roman"/>
                <w:kern w:val="0"/>
                <w:szCs w:val="21"/>
              </w:rPr>
              <w:t>厂界</w:t>
            </w:r>
            <w:r>
              <w:rPr>
                <w:rFonts w:ascii="Times New Roman" w:eastAsia="宋体" w:hAnsi="Times New Roman" w:cs="Times New Roman"/>
                <w:kern w:val="0"/>
                <w:szCs w:val="21"/>
              </w:rPr>
              <w:t>)/ 6(</w:t>
            </w:r>
            <w:r>
              <w:rPr>
                <w:rFonts w:ascii="Times New Roman" w:eastAsia="宋体" w:hAnsi="Times New Roman" w:cs="Times New Roman"/>
                <w:kern w:val="0"/>
                <w:szCs w:val="21"/>
              </w:rPr>
              <w:t>装置区四周</w:t>
            </w:r>
            <w:r>
              <w:rPr>
                <w:rFonts w:ascii="Times New Roman" w:eastAsia="宋体" w:hAnsi="Times New Roman" w:cs="Times New Roman"/>
                <w:kern w:val="0"/>
                <w:szCs w:val="21"/>
              </w:rPr>
              <w:t>)</w:t>
            </w:r>
          </w:p>
        </w:tc>
        <w:tc>
          <w:tcPr>
            <w:tcW w:w="1616" w:type="pct"/>
            <w:shd w:val="clear" w:color="auto" w:fill="auto"/>
            <w:vAlign w:val="center"/>
          </w:tcPr>
          <w:p w14:paraId="72F8629E" w14:textId="77777777" w:rsidR="002133E3" w:rsidRDefault="00C22CFA">
            <w:pPr>
              <w:widowControl/>
              <w:snapToGrid w:val="0"/>
              <w:jc w:val="center"/>
              <w:rPr>
                <w:rFonts w:ascii="Times New Roman" w:eastAsia="宋体" w:hAnsi="Times New Roman" w:cs="Times New Roman"/>
                <w:kern w:val="0"/>
                <w:szCs w:val="21"/>
              </w:rPr>
            </w:pPr>
            <w:r>
              <w:rPr>
                <w:rFonts w:ascii="Times New Roman" w:eastAsia="宋体" w:hAnsi="Times New Roman" w:cs="Times New Roman"/>
                <w:spacing w:val="-6"/>
                <w:szCs w:val="21"/>
              </w:rPr>
              <w:t>参照执行</w:t>
            </w:r>
            <w:r>
              <w:rPr>
                <w:rFonts w:ascii="Times New Roman" w:eastAsia="宋体" w:hAnsi="Times New Roman" w:cs="Times New Roman"/>
                <w:kern w:val="0"/>
                <w:szCs w:val="21"/>
              </w:rPr>
              <w:t>挥发性有机物</w:t>
            </w:r>
            <w:r>
              <w:rPr>
                <w:rFonts w:ascii="Times New Roman" w:eastAsia="宋体" w:hAnsi="Times New Roman" w:cs="Times New Roman"/>
                <w:spacing w:val="-6"/>
                <w:szCs w:val="21"/>
              </w:rPr>
              <w:t>标准</w:t>
            </w:r>
          </w:p>
        </w:tc>
      </w:tr>
    </w:tbl>
    <w:p w14:paraId="294AB5BC"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 xml:space="preserve">(2) </w:t>
      </w:r>
      <w:r>
        <w:rPr>
          <w:rFonts w:ascii="Times New Roman" w:eastAsia="宋体" w:hAnsi="Times New Roman" w:cs="Times New Roman"/>
          <w:kern w:val="0"/>
          <w:sz w:val="28"/>
          <w:szCs w:val="20"/>
        </w:rPr>
        <w:t>水污染物</w:t>
      </w:r>
    </w:p>
    <w:p w14:paraId="322AC02B"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项目废水经厂内污水站预处理后排入园区污水厂进一步处理，产业区污水处理厂接管标准执行《污水综合排放标准》</w:t>
      </w:r>
      <w:r>
        <w:rPr>
          <w:rFonts w:ascii="Times New Roman" w:eastAsia="宋体" w:hAnsi="Times New Roman" w:cs="Times New Roman"/>
          <w:kern w:val="0"/>
          <w:sz w:val="28"/>
          <w:szCs w:val="28"/>
        </w:rPr>
        <w:t>(GB8978-1996)</w:t>
      </w:r>
      <w:r>
        <w:rPr>
          <w:rFonts w:ascii="Times New Roman" w:eastAsia="宋体" w:hAnsi="Times New Roman" w:cs="Times New Roman"/>
          <w:kern w:val="0"/>
          <w:sz w:val="28"/>
          <w:szCs w:val="28"/>
        </w:rPr>
        <w:t>三级标准、《污水排入城镇下水道水质标准》</w:t>
      </w:r>
      <w:r>
        <w:rPr>
          <w:rFonts w:ascii="Times New Roman" w:eastAsia="宋体" w:hAnsi="Times New Roman" w:cs="Times New Roman"/>
          <w:kern w:val="0"/>
          <w:sz w:val="28"/>
          <w:szCs w:val="28"/>
        </w:rPr>
        <w:t>(CJ343-2010)</w:t>
      </w:r>
      <w:r>
        <w:rPr>
          <w:rFonts w:ascii="Times New Roman" w:eastAsia="宋体" w:hAnsi="Times New Roman" w:cs="Times New Roman"/>
          <w:kern w:val="0"/>
          <w:sz w:val="28"/>
          <w:szCs w:val="28"/>
        </w:rPr>
        <w:t>中的</w:t>
      </w:r>
      <w:r>
        <w:rPr>
          <w:rFonts w:ascii="Times New Roman" w:eastAsia="宋体" w:hAnsi="Times New Roman" w:cs="Times New Roman"/>
          <w:kern w:val="0"/>
          <w:sz w:val="28"/>
          <w:szCs w:val="28"/>
        </w:rPr>
        <w:t>B</w:t>
      </w:r>
      <w:r>
        <w:rPr>
          <w:rFonts w:ascii="Times New Roman" w:eastAsia="宋体" w:hAnsi="Times New Roman" w:cs="Times New Roman"/>
          <w:kern w:val="0"/>
          <w:sz w:val="28"/>
          <w:szCs w:val="28"/>
        </w:rPr>
        <w:t>等级标准限值，厂区污水站排水执行《发酵酒精和白酒工业水污染物排放标准》</w:t>
      </w:r>
      <w:r>
        <w:rPr>
          <w:rFonts w:ascii="Times New Roman" w:eastAsia="宋体" w:hAnsi="Times New Roman" w:cs="Times New Roman"/>
          <w:kern w:val="0"/>
          <w:sz w:val="28"/>
          <w:szCs w:val="28"/>
        </w:rPr>
        <w:t>(GB27631-2011)</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中的间接排放标准；污水处理厂尾水排放执行《城镇污水处理厂污染物排放标准》</w:t>
      </w:r>
      <w:r>
        <w:rPr>
          <w:rFonts w:ascii="Times New Roman" w:eastAsia="宋体" w:hAnsi="Times New Roman" w:cs="Times New Roman"/>
          <w:kern w:val="0"/>
          <w:sz w:val="28"/>
          <w:szCs w:val="28"/>
        </w:rPr>
        <w:t>(GB18918-2002)</w:t>
      </w:r>
      <w:r>
        <w:rPr>
          <w:rFonts w:ascii="Times New Roman" w:eastAsia="宋体" w:hAnsi="Times New Roman" w:cs="Times New Roman"/>
          <w:kern w:val="0"/>
          <w:sz w:val="28"/>
          <w:szCs w:val="28"/>
        </w:rPr>
        <w:t>一级</w:t>
      </w:r>
      <w:r>
        <w:rPr>
          <w:rFonts w:ascii="Times New Roman" w:eastAsia="宋体" w:hAnsi="Times New Roman" w:cs="Times New Roman"/>
          <w:kern w:val="0"/>
          <w:sz w:val="28"/>
          <w:szCs w:val="28"/>
        </w:rPr>
        <w:t>A</w:t>
      </w:r>
      <w:r>
        <w:rPr>
          <w:rFonts w:ascii="Times New Roman" w:eastAsia="宋体" w:hAnsi="Times New Roman" w:cs="Times New Roman"/>
          <w:kern w:val="0"/>
          <w:sz w:val="28"/>
          <w:szCs w:val="28"/>
        </w:rPr>
        <w:t>标准，尾水通过通道排入兴庄河闸下入海。主要指标详见表</w:t>
      </w:r>
      <w:r>
        <w:rPr>
          <w:rFonts w:ascii="Times New Roman" w:eastAsia="宋体" w:hAnsi="Times New Roman" w:cs="Times New Roman"/>
          <w:kern w:val="0"/>
          <w:sz w:val="28"/>
          <w:szCs w:val="28"/>
        </w:rPr>
        <w:t>9.2-7</w:t>
      </w:r>
      <w:r>
        <w:rPr>
          <w:rFonts w:ascii="Times New Roman" w:eastAsia="宋体" w:hAnsi="Times New Roman" w:cs="Times New Roman"/>
          <w:kern w:val="0"/>
          <w:sz w:val="28"/>
          <w:szCs w:val="28"/>
        </w:rPr>
        <w:t>。</w:t>
      </w:r>
    </w:p>
    <w:p w14:paraId="2D1B076A" w14:textId="77777777" w:rsidR="002133E3" w:rsidRDefault="00C22CFA">
      <w:pPr>
        <w:widowControl/>
        <w:spacing w:line="520" w:lineRule="exact"/>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9.2-7   </w:t>
      </w:r>
      <w:r>
        <w:rPr>
          <w:rFonts w:ascii="Times New Roman" w:eastAsia="宋体" w:hAnsi="Times New Roman" w:cs="Times New Roman"/>
          <w:b/>
          <w:bCs/>
          <w:sz w:val="24"/>
          <w:szCs w:val="24"/>
        </w:rPr>
        <w:t>污水排放标准主要指标值表</w:t>
      </w:r>
      <w:r>
        <w:rPr>
          <w:rFonts w:ascii="Times New Roman" w:eastAsia="宋体" w:hAnsi="Times New Roman" w:cs="Times New Roman"/>
          <w:b/>
          <w:bCs/>
          <w:sz w:val="24"/>
          <w:szCs w:val="24"/>
        </w:rPr>
        <w:t xml:space="preserve"> mg/L(pH</w:t>
      </w:r>
      <w:r>
        <w:rPr>
          <w:rFonts w:ascii="Times New Roman" w:eastAsia="宋体" w:hAnsi="Times New Roman" w:cs="Times New Roman"/>
          <w:b/>
          <w:bCs/>
          <w:sz w:val="24"/>
          <w:szCs w:val="24"/>
        </w:rPr>
        <w:t>值除外</w:t>
      </w:r>
      <w:r>
        <w:rPr>
          <w:rFonts w:ascii="Times New Roman" w:eastAsia="宋体" w:hAnsi="Times New Roman" w:cs="Times New Roman"/>
          <w:b/>
          <w:bCs/>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278"/>
        <w:gridCol w:w="853"/>
        <w:gridCol w:w="1133"/>
        <w:gridCol w:w="993"/>
        <w:gridCol w:w="851"/>
        <w:gridCol w:w="851"/>
        <w:gridCol w:w="810"/>
      </w:tblGrid>
      <w:tr w:rsidR="002133E3" w14:paraId="5476B82D" w14:textId="77777777">
        <w:trPr>
          <w:trHeight w:val="284"/>
        </w:trPr>
        <w:tc>
          <w:tcPr>
            <w:tcW w:w="1565" w:type="pct"/>
            <w:shd w:val="clear" w:color="auto" w:fill="auto"/>
            <w:vAlign w:val="center"/>
          </w:tcPr>
          <w:p w14:paraId="00F8468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w:t>
            </w:r>
          </w:p>
        </w:tc>
        <w:tc>
          <w:tcPr>
            <w:tcW w:w="648" w:type="pct"/>
            <w:shd w:val="clear" w:color="auto" w:fill="auto"/>
            <w:vAlign w:val="center"/>
          </w:tcPr>
          <w:p w14:paraId="4FB6546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pH</w:t>
            </w:r>
          </w:p>
        </w:tc>
        <w:tc>
          <w:tcPr>
            <w:tcW w:w="433" w:type="pct"/>
            <w:shd w:val="clear" w:color="auto" w:fill="auto"/>
            <w:vAlign w:val="center"/>
          </w:tcPr>
          <w:p w14:paraId="20D1B9F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COD</w:t>
            </w:r>
          </w:p>
        </w:tc>
        <w:tc>
          <w:tcPr>
            <w:tcW w:w="575" w:type="pct"/>
            <w:shd w:val="clear" w:color="auto" w:fill="auto"/>
            <w:vAlign w:val="center"/>
          </w:tcPr>
          <w:p w14:paraId="28D7C19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BOD</w:t>
            </w:r>
            <w:r>
              <w:rPr>
                <w:rFonts w:ascii="Times New Roman" w:eastAsia="宋体" w:hAnsi="Times New Roman" w:cs="Times New Roman"/>
                <w:b/>
                <w:bCs/>
                <w:color w:val="000000"/>
                <w:kern w:val="0"/>
                <w:szCs w:val="21"/>
                <w:vertAlign w:val="subscript"/>
              </w:rPr>
              <w:t>5</w:t>
            </w:r>
          </w:p>
        </w:tc>
        <w:tc>
          <w:tcPr>
            <w:tcW w:w="504" w:type="pct"/>
            <w:shd w:val="clear" w:color="auto" w:fill="auto"/>
            <w:vAlign w:val="center"/>
          </w:tcPr>
          <w:p w14:paraId="7829E88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SS</w:t>
            </w:r>
          </w:p>
        </w:tc>
        <w:tc>
          <w:tcPr>
            <w:tcW w:w="432" w:type="pct"/>
            <w:shd w:val="clear" w:color="auto" w:fill="auto"/>
            <w:vAlign w:val="center"/>
          </w:tcPr>
          <w:p w14:paraId="7AC9C7B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总氮</w:t>
            </w:r>
          </w:p>
        </w:tc>
        <w:tc>
          <w:tcPr>
            <w:tcW w:w="432" w:type="pct"/>
            <w:shd w:val="clear" w:color="auto" w:fill="auto"/>
            <w:vAlign w:val="center"/>
          </w:tcPr>
          <w:p w14:paraId="29FEFD4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氨氮</w:t>
            </w:r>
          </w:p>
        </w:tc>
        <w:tc>
          <w:tcPr>
            <w:tcW w:w="411" w:type="pct"/>
            <w:shd w:val="clear" w:color="auto" w:fill="auto"/>
            <w:vAlign w:val="center"/>
          </w:tcPr>
          <w:p w14:paraId="3646C81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总磷</w:t>
            </w:r>
          </w:p>
        </w:tc>
      </w:tr>
      <w:tr w:rsidR="002133E3" w14:paraId="201C784A" w14:textId="77777777">
        <w:trPr>
          <w:trHeight w:val="284"/>
        </w:trPr>
        <w:tc>
          <w:tcPr>
            <w:tcW w:w="1565" w:type="pct"/>
            <w:shd w:val="clear" w:color="auto" w:fill="auto"/>
            <w:vAlign w:val="center"/>
          </w:tcPr>
          <w:p w14:paraId="69847B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《发酵酒精和白酒工业水污染物排放标准》</w:t>
            </w:r>
            <w:r>
              <w:rPr>
                <w:rFonts w:ascii="Times New Roman" w:eastAsia="宋体" w:hAnsi="Times New Roman" w:cs="Times New Roman"/>
                <w:color w:val="000000"/>
                <w:kern w:val="0"/>
                <w:szCs w:val="21"/>
              </w:rPr>
              <w:t>(GB27631-2011)</w:t>
            </w:r>
          </w:p>
        </w:tc>
        <w:tc>
          <w:tcPr>
            <w:tcW w:w="648" w:type="pct"/>
            <w:shd w:val="clear" w:color="auto" w:fill="auto"/>
            <w:vAlign w:val="center"/>
          </w:tcPr>
          <w:p w14:paraId="1A7FDFB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9</w:t>
            </w:r>
          </w:p>
        </w:tc>
        <w:tc>
          <w:tcPr>
            <w:tcW w:w="433" w:type="pct"/>
            <w:shd w:val="clear" w:color="auto" w:fill="auto"/>
            <w:vAlign w:val="center"/>
          </w:tcPr>
          <w:p w14:paraId="36B61E2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400</w:t>
            </w:r>
          </w:p>
        </w:tc>
        <w:tc>
          <w:tcPr>
            <w:tcW w:w="575" w:type="pct"/>
            <w:shd w:val="clear" w:color="auto" w:fill="auto"/>
            <w:vAlign w:val="center"/>
          </w:tcPr>
          <w:p w14:paraId="03AFEAF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80</w:t>
            </w:r>
          </w:p>
        </w:tc>
        <w:tc>
          <w:tcPr>
            <w:tcW w:w="504" w:type="pct"/>
            <w:shd w:val="clear" w:color="auto" w:fill="auto"/>
            <w:vAlign w:val="center"/>
          </w:tcPr>
          <w:p w14:paraId="0ED5673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140</w:t>
            </w:r>
          </w:p>
        </w:tc>
        <w:tc>
          <w:tcPr>
            <w:tcW w:w="432" w:type="pct"/>
            <w:shd w:val="clear" w:color="auto" w:fill="auto"/>
            <w:vAlign w:val="center"/>
          </w:tcPr>
          <w:p w14:paraId="2BE6456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w:t>
            </w:r>
          </w:p>
        </w:tc>
        <w:tc>
          <w:tcPr>
            <w:tcW w:w="432" w:type="pct"/>
            <w:shd w:val="clear" w:color="auto" w:fill="auto"/>
            <w:vAlign w:val="center"/>
          </w:tcPr>
          <w:p w14:paraId="3C01941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c>
          <w:tcPr>
            <w:tcW w:w="411" w:type="pct"/>
            <w:shd w:val="clear" w:color="auto" w:fill="auto"/>
            <w:vAlign w:val="center"/>
          </w:tcPr>
          <w:p w14:paraId="239B83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w:t>
            </w:r>
          </w:p>
        </w:tc>
      </w:tr>
      <w:tr w:rsidR="002133E3" w14:paraId="44DE9DFA" w14:textId="77777777">
        <w:trPr>
          <w:trHeight w:val="284"/>
        </w:trPr>
        <w:tc>
          <w:tcPr>
            <w:tcW w:w="1565" w:type="pct"/>
            <w:shd w:val="clear" w:color="auto" w:fill="auto"/>
            <w:vAlign w:val="center"/>
          </w:tcPr>
          <w:p w14:paraId="7F3F6B6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污水处理厂接管标准</w:t>
            </w:r>
          </w:p>
        </w:tc>
        <w:tc>
          <w:tcPr>
            <w:tcW w:w="648" w:type="pct"/>
            <w:shd w:val="clear" w:color="auto" w:fill="auto"/>
            <w:vAlign w:val="center"/>
          </w:tcPr>
          <w:p w14:paraId="3F09057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9</w:t>
            </w:r>
          </w:p>
        </w:tc>
        <w:tc>
          <w:tcPr>
            <w:tcW w:w="433" w:type="pct"/>
            <w:shd w:val="clear" w:color="auto" w:fill="auto"/>
            <w:vAlign w:val="center"/>
          </w:tcPr>
          <w:p w14:paraId="5822BFF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500</w:t>
            </w:r>
          </w:p>
        </w:tc>
        <w:tc>
          <w:tcPr>
            <w:tcW w:w="575" w:type="pct"/>
            <w:shd w:val="clear" w:color="auto" w:fill="auto"/>
            <w:vAlign w:val="center"/>
          </w:tcPr>
          <w:p w14:paraId="482ACFC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300</w:t>
            </w:r>
          </w:p>
        </w:tc>
        <w:tc>
          <w:tcPr>
            <w:tcW w:w="504" w:type="pct"/>
            <w:shd w:val="clear" w:color="auto" w:fill="auto"/>
            <w:vAlign w:val="center"/>
          </w:tcPr>
          <w:p w14:paraId="2D72D5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400</w:t>
            </w:r>
          </w:p>
        </w:tc>
        <w:tc>
          <w:tcPr>
            <w:tcW w:w="432" w:type="pct"/>
            <w:shd w:val="clear" w:color="auto" w:fill="auto"/>
            <w:vAlign w:val="center"/>
          </w:tcPr>
          <w:p w14:paraId="296F840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70</w:t>
            </w:r>
          </w:p>
        </w:tc>
        <w:tc>
          <w:tcPr>
            <w:tcW w:w="432" w:type="pct"/>
            <w:shd w:val="clear" w:color="auto" w:fill="auto"/>
            <w:vAlign w:val="center"/>
          </w:tcPr>
          <w:p w14:paraId="362A0D4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45</w:t>
            </w:r>
          </w:p>
        </w:tc>
        <w:tc>
          <w:tcPr>
            <w:tcW w:w="411" w:type="pct"/>
            <w:shd w:val="clear" w:color="auto" w:fill="auto"/>
            <w:vAlign w:val="center"/>
          </w:tcPr>
          <w:p w14:paraId="064CA18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8</w:t>
            </w:r>
          </w:p>
        </w:tc>
      </w:tr>
      <w:tr w:rsidR="002133E3" w14:paraId="32DC4E56" w14:textId="77777777">
        <w:trPr>
          <w:trHeight w:val="284"/>
        </w:trPr>
        <w:tc>
          <w:tcPr>
            <w:tcW w:w="1565" w:type="pct"/>
            <w:shd w:val="clear" w:color="auto" w:fill="auto"/>
            <w:vAlign w:val="center"/>
          </w:tcPr>
          <w:p w14:paraId="2B5F4E0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污水处理厂尾水排放标准</w:t>
            </w:r>
          </w:p>
        </w:tc>
        <w:tc>
          <w:tcPr>
            <w:tcW w:w="648" w:type="pct"/>
            <w:shd w:val="clear" w:color="auto" w:fill="auto"/>
            <w:vAlign w:val="center"/>
          </w:tcPr>
          <w:p w14:paraId="0241EE1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6</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9</w:t>
            </w:r>
          </w:p>
        </w:tc>
        <w:tc>
          <w:tcPr>
            <w:tcW w:w="433" w:type="pct"/>
            <w:shd w:val="clear" w:color="auto" w:fill="auto"/>
            <w:vAlign w:val="center"/>
          </w:tcPr>
          <w:p w14:paraId="36589A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50</w:t>
            </w:r>
          </w:p>
        </w:tc>
        <w:tc>
          <w:tcPr>
            <w:tcW w:w="575" w:type="pct"/>
            <w:shd w:val="clear" w:color="auto" w:fill="auto"/>
            <w:vAlign w:val="center"/>
          </w:tcPr>
          <w:p w14:paraId="002C74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504" w:type="pct"/>
            <w:shd w:val="clear" w:color="auto" w:fill="auto"/>
            <w:vAlign w:val="center"/>
          </w:tcPr>
          <w:p w14:paraId="447D317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10</w:t>
            </w:r>
          </w:p>
        </w:tc>
        <w:tc>
          <w:tcPr>
            <w:tcW w:w="432" w:type="pct"/>
            <w:shd w:val="clear" w:color="auto" w:fill="auto"/>
            <w:vAlign w:val="center"/>
          </w:tcPr>
          <w:p w14:paraId="11E0084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15</w:t>
            </w:r>
          </w:p>
        </w:tc>
        <w:tc>
          <w:tcPr>
            <w:tcW w:w="432" w:type="pct"/>
            <w:shd w:val="clear" w:color="auto" w:fill="auto"/>
            <w:vAlign w:val="center"/>
          </w:tcPr>
          <w:p w14:paraId="5AA9CC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5</w:t>
            </w:r>
          </w:p>
        </w:tc>
        <w:tc>
          <w:tcPr>
            <w:tcW w:w="411" w:type="pct"/>
            <w:shd w:val="clear" w:color="auto" w:fill="auto"/>
            <w:vAlign w:val="center"/>
          </w:tcPr>
          <w:p w14:paraId="3F1C119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0.5</w:t>
            </w:r>
          </w:p>
        </w:tc>
      </w:tr>
      <w:tr w:rsidR="002133E3" w14:paraId="26295508" w14:textId="77777777">
        <w:trPr>
          <w:trHeight w:val="284"/>
        </w:trPr>
        <w:tc>
          <w:tcPr>
            <w:tcW w:w="1565" w:type="pct"/>
            <w:shd w:val="clear" w:color="auto" w:fill="auto"/>
            <w:vAlign w:val="center"/>
          </w:tcPr>
          <w:p w14:paraId="48B609B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单位产品基准排水量</w:t>
            </w:r>
            <w:r>
              <w:rPr>
                <w:rFonts w:ascii="Times New Roman" w:eastAsia="宋体" w:hAnsi="Times New Roman" w:cs="Times New Roman"/>
                <w:color w:val="000000"/>
                <w:kern w:val="0"/>
                <w:szCs w:val="21"/>
              </w:rPr>
              <w:t>(m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/t)</w:t>
            </w:r>
          </w:p>
        </w:tc>
        <w:tc>
          <w:tcPr>
            <w:tcW w:w="3435" w:type="pct"/>
            <w:gridSpan w:val="7"/>
            <w:shd w:val="clear" w:color="auto" w:fill="auto"/>
            <w:vAlign w:val="center"/>
          </w:tcPr>
          <w:p w14:paraId="0A9F8E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30</w:t>
            </w:r>
          </w:p>
        </w:tc>
      </w:tr>
    </w:tbl>
    <w:p w14:paraId="1AAFD9AB"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 (3) </w:t>
      </w:r>
      <w:r>
        <w:rPr>
          <w:rFonts w:ascii="Times New Roman" w:eastAsia="宋体" w:hAnsi="Times New Roman" w:cs="Times New Roman"/>
          <w:kern w:val="0"/>
          <w:sz w:val="28"/>
          <w:szCs w:val="28"/>
        </w:rPr>
        <w:t>噪声</w:t>
      </w:r>
    </w:p>
    <w:p w14:paraId="673E2CB7"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项目施工期执行《建筑施工场界环境噪声排放标准》</w:t>
      </w:r>
      <w:r>
        <w:rPr>
          <w:rFonts w:ascii="Times New Roman" w:eastAsia="宋体" w:hAnsi="Times New Roman" w:cs="Times New Roman"/>
          <w:kern w:val="0"/>
          <w:sz w:val="28"/>
          <w:szCs w:val="28"/>
        </w:rPr>
        <w:t>(GB12523-2011)</w:t>
      </w:r>
      <w:r>
        <w:rPr>
          <w:rFonts w:ascii="Times New Roman" w:eastAsia="宋体" w:hAnsi="Times New Roman" w:cs="Times New Roman"/>
          <w:kern w:val="0"/>
          <w:sz w:val="28"/>
          <w:szCs w:val="28"/>
        </w:rPr>
        <w:t>，项目运营期厂界噪声标准执行《工业企业厂界环境噪声排放标准》</w:t>
      </w:r>
      <w:r>
        <w:rPr>
          <w:rFonts w:ascii="Times New Roman" w:eastAsia="宋体" w:hAnsi="Times New Roman" w:cs="Times New Roman"/>
          <w:kern w:val="0"/>
          <w:sz w:val="28"/>
          <w:szCs w:val="28"/>
        </w:rPr>
        <w:t>(GB12348-2008)</w:t>
      </w:r>
      <w:r>
        <w:rPr>
          <w:rFonts w:ascii="Times New Roman" w:eastAsia="宋体" w:hAnsi="Times New Roman" w:cs="Times New Roman"/>
          <w:kern w:val="0"/>
          <w:sz w:val="28"/>
          <w:szCs w:val="28"/>
        </w:rPr>
        <w:t>中</w:t>
      </w:r>
      <w:r>
        <w:rPr>
          <w:rFonts w:ascii="Times New Roman" w:eastAsia="宋体" w:hAnsi="Times New Roman" w:cs="Times New Roman"/>
          <w:kern w:val="0"/>
          <w:sz w:val="28"/>
          <w:szCs w:val="28"/>
        </w:rPr>
        <w:t>3</w:t>
      </w:r>
      <w:r>
        <w:rPr>
          <w:rFonts w:ascii="Times New Roman" w:eastAsia="宋体" w:hAnsi="Times New Roman" w:cs="Times New Roman"/>
          <w:kern w:val="0"/>
          <w:sz w:val="28"/>
          <w:szCs w:val="28"/>
        </w:rPr>
        <w:t>类标准，具体见表</w:t>
      </w:r>
      <w:r>
        <w:rPr>
          <w:rFonts w:ascii="Times New Roman" w:eastAsia="宋体" w:hAnsi="Times New Roman" w:cs="Times New Roman"/>
          <w:kern w:val="0"/>
          <w:sz w:val="28"/>
          <w:szCs w:val="28"/>
        </w:rPr>
        <w:t>9.2-8</w:t>
      </w:r>
      <w:r>
        <w:rPr>
          <w:rFonts w:ascii="Times New Roman" w:eastAsia="宋体" w:hAnsi="Times New Roman" w:cs="Times New Roman"/>
          <w:kern w:val="0"/>
          <w:sz w:val="28"/>
          <w:szCs w:val="28"/>
        </w:rPr>
        <w:t>。</w:t>
      </w:r>
    </w:p>
    <w:p w14:paraId="57466024" w14:textId="77777777" w:rsidR="002133E3" w:rsidRDefault="00C22CFA">
      <w:pPr>
        <w:widowControl/>
        <w:spacing w:line="520" w:lineRule="exact"/>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9.2-8  </w:t>
      </w:r>
      <w:r>
        <w:rPr>
          <w:rFonts w:ascii="Times New Roman" w:eastAsia="宋体" w:hAnsi="Times New Roman" w:cs="Times New Roman"/>
          <w:b/>
          <w:bCs/>
          <w:sz w:val="24"/>
          <w:szCs w:val="24"/>
        </w:rPr>
        <w:t>项目噪声排放标准</w:t>
      </w:r>
      <w:r>
        <w:rPr>
          <w:rFonts w:ascii="Times New Roman" w:eastAsia="宋体" w:hAnsi="Times New Roman" w:cs="Times New Roman"/>
          <w:b/>
          <w:bCs/>
          <w:sz w:val="24"/>
          <w:szCs w:val="24"/>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
        <w:gridCol w:w="1210"/>
        <w:gridCol w:w="1212"/>
        <w:gridCol w:w="6437"/>
      </w:tblGrid>
      <w:tr w:rsidR="002133E3" w14:paraId="16AE4682" w14:textId="77777777">
        <w:trPr>
          <w:trHeight w:val="227"/>
          <w:jc w:val="center"/>
        </w:trPr>
        <w:tc>
          <w:tcPr>
            <w:tcW w:w="505" w:type="pct"/>
            <w:vMerge w:val="restart"/>
            <w:vAlign w:val="center"/>
          </w:tcPr>
          <w:p w14:paraId="41E321FD"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类别</w:t>
            </w:r>
          </w:p>
        </w:tc>
        <w:tc>
          <w:tcPr>
            <w:tcW w:w="1229" w:type="pct"/>
            <w:gridSpan w:val="2"/>
            <w:vAlign w:val="center"/>
          </w:tcPr>
          <w:p w14:paraId="419BC9BE"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标准值</w:t>
            </w:r>
          </w:p>
        </w:tc>
        <w:tc>
          <w:tcPr>
            <w:tcW w:w="3266" w:type="pct"/>
            <w:vMerge w:val="restart"/>
            <w:vAlign w:val="center"/>
          </w:tcPr>
          <w:p w14:paraId="109747E8"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标准来源</w:t>
            </w:r>
          </w:p>
        </w:tc>
      </w:tr>
      <w:tr w:rsidR="002133E3" w14:paraId="1B910BAC" w14:textId="77777777">
        <w:trPr>
          <w:trHeight w:val="227"/>
          <w:jc w:val="center"/>
        </w:trPr>
        <w:tc>
          <w:tcPr>
            <w:tcW w:w="505" w:type="pct"/>
            <w:vMerge/>
            <w:vAlign w:val="center"/>
          </w:tcPr>
          <w:p w14:paraId="36D397AF" w14:textId="77777777" w:rsidR="002133E3" w:rsidRDefault="002133E3">
            <w:pPr>
              <w:tabs>
                <w:tab w:val="left" w:pos="3600"/>
              </w:tabs>
              <w:jc w:val="center"/>
              <w:rPr>
                <w:rFonts w:ascii="Times New Roman" w:eastAsia="宋体" w:hAnsi="Times New Roman" w:cs="Times New Roman"/>
                <w:szCs w:val="21"/>
              </w:rPr>
            </w:pPr>
          </w:p>
        </w:tc>
        <w:tc>
          <w:tcPr>
            <w:tcW w:w="614" w:type="pct"/>
            <w:vAlign w:val="center"/>
          </w:tcPr>
          <w:p w14:paraId="6E6EDFBA"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昼间</w:t>
            </w:r>
          </w:p>
        </w:tc>
        <w:tc>
          <w:tcPr>
            <w:tcW w:w="615" w:type="pct"/>
            <w:vAlign w:val="center"/>
          </w:tcPr>
          <w:p w14:paraId="2E89C387" w14:textId="77777777" w:rsidR="002133E3" w:rsidRDefault="00C22CFA">
            <w:pPr>
              <w:tabs>
                <w:tab w:val="left" w:pos="3600"/>
              </w:tabs>
              <w:jc w:val="center"/>
              <w:rPr>
                <w:rFonts w:ascii="Times New Roman" w:eastAsia="宋体" w:hAnsi="Times New Roman" w:cs="Times New Roman"/>
                <w:b/>
                <w:szCs w:val="21"/>
              </w:rPr>
            </w:pPr>
            <w:r>
              <w:rPr>
                <w:rFonts w:ascii="Times New Roman" w:eastAsia="宋体" w:hAnsi="Times New Roman" w:cs="Times New Roman"/>
                <w:b/>
                <w:szCs w:val="21"/>
              </w:rPr>
              <w:t>夜间</w:t>
            </w:r>
          </w:p>
        </w:tc>
        <w:tc>
          <w:tcPr>
            <w:tcW w:w="3266" w:type="pct"/>
            <w:vMerge/>
            <w:vAlign w:val="center"/>
          </w:tcPr>
          <w:p w14:paraId="761EEDAD" w14:textId="77777777" w:rsidR="002133E3" w:rsidRDefault="002133E3">
            <w:pPr>
              <w:tabs>
                <w:tab w:val="left" w:pos="3600"/>
              </w:tabs>
              <w:jc w:val="center"/>
              <w:rPr>
                <w:rFonts w:ascii="Times New Roman" w:eastAsia="宋体" w:hAnsi="Times New Roman" w:cs="Times New Roman"/>
                <w:szCs w:val="21"/>
              </w:rPr>
            </w:pPr>
          </w:p>
        </w:tc>
      </w:tr>
      <w:tr w:rsidR="002133E3" w14:paraId="101D63C4" w14:textId="77777777">
        <w:trPr>
          <w:trHeight w:val="227"/>
          <w:jc w:val="center"/>
        </w:trPr>
        <w:tc>
          <w:tcPr>
            <w:tcW w:w="505" w:type="pct"/>
            <w:vAlign w:val="center"/>
          </w:tcPr>
          <w:p w14:paraId="267988D9"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施工期</w:t>
            </w:r>
          </w:p>
        </w:tc>
        <w:tc>
          <w:tcPr>
            <w:tcW w:w="614" w:type="pct"/>
            <w:vAlign w:val="center"/>
          </w:tcPr>
          <w:p w14:paraId="1F83ABA0"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70</w:t>
            </w:r>
          </w:p>
        </w:tc>
        <w:tc>
          <w:tcPr>
            <w:tcW w:w="615" w:type="pct"/>
            <w:vAlign w:val="center"/>
          </w:tcPr>
          <w:p w14:paraId="195BD4D8"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55</w:t>
            </w:r>
          </w:p>
        </w:tc>
        <w:tc>
          <w:tcPr>
            <w:tcW w:w="3266" w:type="pct"/>
            <w:vAlign w:val="center"/>
          </w:tcPr>
          <w:p w14:paraId="73013363"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《建筑施工场界环境噪声排放标准》</w:t>
            </w:r>
            <w:r>
              <w:rPr>
                <w:rFonts w:ascii="Times New Roman" w:eastAsia="宋体" w:hAnsi="Times New Roman" w:cs="Times New Roman"/>
                <w:szCs w:val="21"/>
              </w:rPr>
              <w:t>(GB12523-2011)</w:t>
            </w:r>
          </w:p>
        </w:tc>
      </w:tr>
      <w:tr w:rsidR="002133E3" w14:paraId="00FB80E6" w14:textId="77777777">
        <w:trPr>
          <w:trHeight w:val="227"/>
          <w:jc w:val="center"/>
        </w:trPr>
        <w:tc>
          <w:tcPr>
            <w:tcW w:w="505" w:type="pct"/>
            <w:vAlign w:val="center"/>
          </w:tcPr>
          <w:p w14:paraId="528900FD"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运营期</w:t>
            </w:r>
          </w:p>
        </w:tc>
        <w:tc>
          <w:tcPr>
            <w:tcW w:w="614" w:type="pct"/>
            <w:vAlign w:val="center"/>
          </w:tcPr>
          <w:p w14:paraId="6CF7B8E2"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65</w:t>
            </w:r>
          </w:p>
        </w:tc>
        <w:tc>
          <w:tcPr>
            <w:tcW w:w="615" w:type="pct"/>
            <w:vAlign w:val="center"/>
          </w:tcPr>
          <w:p w14:paraId="767CA12C"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55</w:t>
            </w:r>
          </w:p>
        </w:tc>
        <w:tc>
          <w:tcPr>
            <w:tcW w:w="3266" w:type="pct"/>
            <w:vAlign w:val="center"/>
          </w:tcPr>
          <w:p w14:paraId="2640048E" w14:textId="77777777" w:rsidR="002133E3" w:rsidRDefault="00C22CFA">
            <w:pPr>
              <w:tabs>
                <w:tab w:val="left" w:pos="3600"/>
              </w:tabs>
              <w:jc w:val="center"/>
              <w:rPr>
                <w:rFonts w:ascii="Times New Roman" w:eastAsia="宋体" w:hAnsi="Times New Roman" w:cs="Times New Roman"/>
                <w:szCs w:val="21"/>
              </w:rPr>
            </w:pPr>
            <w:r>
              <w:rPr>
                <w:rFonts w:ascii="Times New Roman" w:eastAsia="宋体" w:hAnsi="Times New Roman" w:cs="Times New Roman"/>
                <w:szCs w:val="21"/>
              </w:rPr>
              <w:t>《工业企业厂界环境噪声排放标准》</w:t>
            </w:r>
            <w:r>
              <w:rPr>
                <w:rFonts w:ascii="Times New Roman" w:eastAsia="宋体" w:hAnsi="Times New Roman" w:cs="Times New Roman"/>
                <w:szCs w:val="21"/>
              </w:rPr>
              <w:t>(GB12348-2008)3</w:t>
            </w:r>
            <w:r>
              <w:rPr>
                <w:rFonts w:ascii="Times New Roman" w:eastAsia="宋体" w:hAnsi="Times New Roman" w:cs="Times New Roman"/>
                <w:szCs w:val="21"/>
              </w:rPr>
              <w:t>类</w:t>
            </w:r>
          </w:p>
        </w:tc>
      </w:tr>
    </w:tbl>
    <w:p w14:paraId="4B8CABB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lastRenderedPageBreak/>
        <w:t>环境风险管理</w:t>
      </w:r>
    </w:p>
    <w:p w14:paraId="6EA4026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t>环境风险管理要求</w:t>
      </w:r>
    </w:p>
    <w:p w14:paraId="24FD82A3"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公司需建立环境风险防控和应急措施制度，包括应急物资维护管理制度、应急设施维护管理制度、人员安全防护管理制度、仓库安全管理制度、危化品装卸管理制度、危险废物规范化管理制度等，需落实定期巡检和维护责任制度。</w:t>
      </w:r>
    </w:p>
    <w:p w14:paraId="2C8970DF"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公司需建立应急预案体系，应急救援组织机构中技术组协助指挥部做好事件报警、通报及处置工作；向周边企业、村落提供本单位有关危险物质特性、应急措施、救援知识等；疏散组根据现场情况判断是否需要人员紧急疏散和抢救物资，如需紧急疏散须及时规定疏散路线和疏散路口；并及时协助厂内员工和周围人员及居民的紧急疏散工作。</w:t>
      </w:r>
    </w:p>
    <w:p w14:paraId="2FBBE3B2"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定期对职工开展环境风险和环境应急管理宣传和培训。在厂区内张贴应急救援机构和人员、风险物质危险特性、急救措施、风险事故内部疏散路线等标识牌。定期开展安全生产动员大会；定期组织员工进行专题培训等。</w:t>
      </w:r>
    </w:p>
    <w:p w14:paraId="561ADE7B"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t>本项目风险应急预案</w:t>
      </w:r>
    </w:p>
    <w:p w14:paraId="5FD60513" w14:textId="77777777" w:rsidR="002133E3" w:rsidRDefault="00C22CFA">
      <w:pPr>
        <w:widowControl/>
        <w:snapToGrid w:val="0"/>
        <w:spacing w:line="520" w:lineRule="exact"/>
        <w:ind w:firstLineChars="200" w:firstLine="560"/>
        <w:rPr>
          <w:rFonts w:ascii="Times New Roman" w:hAnsi="Times New Roman" w:cs="Times New Roman"/>
        </w:rPr>
      </w:pPr>
      <w:r>
        <w:rPr>
          <w:rFonts w:ascii="Times New Roman" w:eastAsia="宋体" w:hAnsi="Times New Roman" w:cs="Times New Roman"/>
          <w:kern w:val="0"/>
          <w:sz w:val="28"/>
          <w:szCs w:val="28"/>
        </w:rPr>
        <w:t>本项目需拟定风险应急预案，应急预案主要内容可参照表</w:t>
      </w:r>
      <w:r>
        <w:rPr>
          <w:rFonts w:ascii="Times New Roman" w:eastAsia="宋体" w:hAnsi="Times New Roman" w:cs="Times New Roman"/>
          <w:kern w:val="0"/>
          <w:sz w:val="28"/>
          <w:szCs w:val="28"/>
        </w:rPr>
        <w:t>9.2-9</w:t>
      </w:r>
      <w:r>
        <w:rPr>
          <w:rFonts w:ascii="Times New Roman" w:eastAsia="宋体" w:hAnsi="Times New Roman" w:cs="Times New Roman"/>
          <w:kern w:val="0"/>
          <w:sz w:val="28"/>
          <w:szCs w:val="28"/>
        </w:rPr>
        <w:t>。</w:t>
      </w:r>
    </w:p>
    <w:p w14:paraId="308D956D" w14:textId="77777777" w:rsidR="002133E3" w:rsidRDefault="00C22CFA">
      <w:pPr>
        <w:widowControl/>
        <w:spacing w:line="520" w:lineRule="exact"/>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9.2-9  </w:t>
      </w:r>
      <w:r>
        <w:rPr>
          <w:rFonts w:ascii="Times New Roman" w:eastAsia="宋体" w:hAnsi="Times New Roman" w:cs="Times New Roman"/>
          <w:b/>
          <w:bCs/>
          <w:sz w:val="24"/>
          <w:szCs w:val="24"/>
        </w:rPr>
        <w:t>企业事故应急预案内容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2"/>
        <w:gridCol w:w="2852"/>
        <w:gridCol w:w="6244"/>
      </w:tblGrid>
      <w:tr w:rsidR="002133E3" w14:paraId="76E4D9E5" w14:textId="77777777">
        <w:trPr>
          <w:trHeight w:val="284"/>
          <w:jc w:val="center"/>
        </w:trPr>
        <w:tc>
          <w:tcPr>
            <w:tcW w:w="286" w:type="pct"/>
            <w:vAlign w:val="center"/>
          </w:tcPr>
          <w:p w14:paraId="42AA432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478" w:type="pct"/>
            <w:vAlign w:val="center"/>
          </w:tcPr>
          <w:p w14:paraId="18DFE14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项目</w:t>
            </w:r>
          </w:p>
        </w:tc>
        <w:tc>
          <w:tcPr>
            <w:tcW w:w="3236" w:type="pct"/>
            <w:vAlign w:val="center"/>
          </w:tcPr>
          <w:p w14:paraId="5FD12E2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内容及要求</w:t>
            </w:r>
          </w:p>
        </w:tc>
      </w:tr>
      <w:tr w:rsidR="002133E3" w14:paraId="7F719AFB" w14:textId="77777777">
        <w:trPr>
          <w:trHeight w:val="284"/>
          <w:jc w:val="center"/>
        </w:trPr>
        <w:tc>
          <w:tcPr>
            <w:tcW w:w="286" w:type="pct"/>
            <w:vAlign w:val="center"/>
          </w:tcPr>
          <w:p w14:paraId="448821D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1478" w:type="pct"/>
            <w:vAlign w:val="center"/>
          </w:tcPr>
          <w:p w14:paraId="35866A6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总则</w:t>
            </w:r>
          </w:p>
        </w:tc>
        <w:tc>
          <w:tcPr>
            <w:tcW w:w="3236" w:type="pct"/>
            <w:vAlign w:val="center"/>
          </w:tcPr>
          <w:p w14:paraId="00ACC797"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w:t>
            </w:r>
          </w:p>
        </w:tc>
      </w:tr>
      <w:tr w:rsidR="002133E3" w14:paraId="463D7DDA" w14:textId="77777777">
        <w:trPr>
          <w:trHeight w:val="284"/>
          <w:jc w:val="center"/>
        </w:trPr>
        <w:tc>
          <w:tcPr>
            <w:tcW w:w="286" w:type="pct"/>
            <w:vAlign w:val="center"/>
          </w:tcPr>
          <w:p w14:paraId="4453990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1478" w:type="pct"/>
            <w:vAlign w:val="center"/>
          </w:tcPr>
          <w:p w14:paraId="5623757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危险源概况</w:t>
            </w:r>
          </w:p>
        </w:tc>
        <w:tc>
          <w:tcPr>
            <w:tcW w:w="3236" w:type="pct"/>
            <w:vAlign w:val="center"/>
          </w:tcPr>
          <w:p w14:paraId="295F409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详述危险源类型、数量及其分布</w:t>
            </w:r>
          </w:p>
        </w:tc>
      </w:tr>
      <w:tr w:rsidR="002133E3" w14:paraId="27EC3865" w14:textId="77777777">
        <w:trPr>
          <w:trHeight w:val="284"/>
          <w:jc w:val="center"/>
        </w:trPr>
        <w:tc>
          <w:tcPr>
            <w:tcW w:w="286" w:type="pct"/>
            <w:vAlign w:val="center"/>
          </w:tcPr>
          <w:p w14:paraId="4011F95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1478" w:type="pct"/>
            <w:vAlign w:val="center"/>
          </w:tcPr>
          <w:p w14:paraId="0C97AD6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应急计划区</w:t>
            </w:r>
          </w:p>
        </w:tc>
        <w:tc>
          <w:tcPr>
            <w:tcW w:w="3236" w:type="pct"/>
            <w:vAlign w:val="center"/>
          </w:tcPr>
          <w:p w14:paraId="31E48C6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存贮区</w:t>
            </w:r>
          </w:p>
        </w:tc>
      </w:tr>
      <w:tr w:rsidR="002133E3" w14:paraId="11159BA2" w14:textId="77777777">
        <w:trPr>
          <w:trHeight w:val="284"/>
          <w:jc w:val="center"/>
        </w:trPr>
        <w:tc>
          <w:tcPr>
            <w:tcW w:w="286" w:type="pct"/>
            <w:vAlign w:val="center"/>
          </w:tcPr>
          <w:p w14:paraId="2C3C4BC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1478" w:type="pct"/>
            <w:vAlign w:val="center"/>
          </w:tcPr>
          <w:p w14:paraId="2033663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应急组织</w:t>
            </w:r>
          </w:p>
        </w:tc>
        <w:tc>
          <w:tcPr>
            <w:tcW w:w="3236" w:type="pct"/>
            <w:vAlign w:val="center"/>
          </w:tcPr>
          <w:p w14:paraId="6EE4EE7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厂指挥部</w:t>
            </w:r>
            <w:r>
              <w:rPr>
                <w:rFonts w:ascii="Times New Roman" w:eastAsia="宋体" w:hAnsi="Times New Roman" w:cs="Times New Roman"/>
                <w:szCs w:val="21"/>
              </w:rPr>
              <w:t>—</w:t>
            </w:r>
            <w:r>
              <w:rPr>
                <w:rFonts w:ascii="Times New Roman" w:eastAsia="宋体" w:hAnsi="Times New Roman" w:cs="Times New Roman"/>
                <w:szCs w:val="21"/>
              </w:rPr>
              <w:t>负责现场全面指挥</w:t>
            </w:r>
          </w:p>
          <w:p w14:paraId="5F9C7A8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专业救援队伍</w:t>
            </w:r>
            <w:r>
              <w:rPr>
                <w:rFonts w:ascii="Times New Roman" w:eastAsia="宋体" w:hAnsi="Times New Roman" w:cs="Times New Roman"/>
                <w:szCs w:val="21"/>
              </w:rPr>
              <w:t>—</w:t>
            </w:r>
            <w:r>
              <w:rPr>
                <w:rFonts w:ascii="Times New Roman" w:eastAsia="宋体" w:hAnsi="Times New Roman" w:cs="Times New Roman"/>
                <w:szCs w:val="21"/>
              </w:rPr>
              <w:t>负责事故控制、救援、善后处理</w:t>
            </w:r>
          </w:p>
        </w:tc>
      </w:tr>
      <w:tr w:rsidR="002133E3" w14:paraId="66C27EFA" w14:textId="77777777">
        <w:trPr>
          <w:trHeight w:val="284"/>
          <w:jc w:val="center"/>
        </w:trPr>
        <w:tc>
          <w:tcPr>
            <w:tcW w:w="286" w:type="pct"/>
            <w:vAlign w:val="center"/>
          </w:tcPr>
          <w:p w14:paraId="050062B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1478" w:type="pct"/>
            <w:vAlign w:val="center"/>
          </w:tcPr>
          <w:p w14:paraId="7AD8615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应急状态分类及应急相应程序</w:t>
            </w:r>
          </w:p>
        </w:tc>
        <w:tc>
          <w:tcPr>
            <w:tcW w:w="3236" w:type="pct"/>
            <w:vAlign w:val="center"/>
          </w:tcPr>
          <w:p w14:paraId="5A1B5CC3"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规定事故的级别及相应的应急分类相应程序</w:t>
            </w:r>
          </w:p>
        </w:tc>
      </w:tr>
      <w:tr w:rsidR="002133E3" w14:paraId="5D591A3A" w14:textId="77777777">
        <w:trPr>
          <w:trHeight w:val="284"/>
          <w:jc w:val="center"/>
        </w:trPr>
        <w:tc>
          <w:tcPr>
            <w:tcW w:w="286" w:type="pct"/>
            <w:vAlign w:val="center"/>
          </w:tcPr>
          <w:p w14:paraId="4E8E2A5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w:t>
            </w:r>
          </w:p>
        </w:tc>
        <w:tc>
          <w:tcPr>
            <w:tcW w:w="1478" w:type="pct"/>
            <w:vAlign w:val="center"/>
          </w:tcPr>
          <w:p w14:paraId="3EFC210E"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应急设施设备与材料</w:t>
            </w:r>
          </w:p>
        </w:tc>
        <w:tc>
          <w:tcPr>
            <w:tcW w:w="3236" w:type="pct"/>
            <w:vAlign w:val="center"/>
          </w:tcPr>
          <w:p w14:paraId="698CE5CF"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存贮区：防泄漏、火灾事故应急设施、设备与材料，主要为消防器材</w:t>
            </w:r>
          </w:p>
        </w:tc>
      </w:tr>
      <w:tr w:rsidR="002133E3" w14:paraId="2730D70C" w14:textId="77777777">
        <w:trPr>
          <w:trHeight w:val="284"/>
          <w:jc w:val="center"/>
        </w:trPr>
        <w:tc>
          <w:tcPr>
            <w:tcW w:w="286" w:type="pct"/>
            <w:vAlign w:val="center"/>
          </w:tcPr>
          <w:p w14:paraId="3E500FB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7</w:t>
            </w:r>
          </w:p>
        </w:tc>
        <w:tc>
          <w:tcPr>
            <w:tcW w:w="1478" w:type="pct"/>
            <w:vAlign w:val="center"/>
          </w:tcPr>
          <w:p w14:paraId="2077C7D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应急通讯、通知和交通</w:t>
            </w:r>
          </w:p>
        </w:tc>
        <w:tc>
          <w:tcPr>
            <w:tcW w:w="3236" w:type="pct"/>
            <w:vAlign w:val="center"/>
          </w:tcPr>
          <w:p w14:paraId="2E3AF76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规定应急状态下通讯方式、通知方式</w:t>
            </w:r>
          </w:p>
        </w:tc>
      </w:tr>
      <w:tr w:rsidR="002133E3" w14:paraId="036A5F39" w14:textId="77777777">
        <w:trPr>
          <w:trHeight w:val="284"/>
          <w:jc w:val="center"/>
        </w:trPr>
        <w:tc>
          <w:tcPr>
            <w:tcW w:w="286" w:type="pct"/>
            <w:vAlign w:val="center"/>
          </w:tcPr>
          <w:p w14:paraId="17B6B18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1478" w:type="pct"/>
            <w:vAlign w:val="center"/>
          </w:tcPr>
          <w:p w14:paraId="56C5CE3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应急环境监测及事故后评估</w:t>
            </w:r>
          </w:p>
        </w:tc>
        <w:tc>
          <w:tcPr>
            <w:tcW w:w="3236" w:type="pct"/>
            <w:vAlign w:val="center"/>
          </w:tcPr>
          <w:p w14:paraId="7D8571C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由专业队伍负责对事故现场进行侦察监测，对事故性质、参数与后果进行评估，为指挥部门提供决策依据</w:t>
            </w:r>
          </w:p>
        </w:tc>
      </w:tr>
      <w:tr w:rsidR="002133E3" w14:paraId="05818920" w14:textId="77777777">
        <w:trPr>
          <w:trHeight w:val="284"/>
          <w:jc w:val="center"/>
        </w:trPr>
        <w:tc>
          <w:tcPr>
            <w:tcW w:w="286" w:type="pct"/>
            <w:vAlign w:val="center"/>
          </w:tcPr>
          <w:p w14:paraId="22D3BA4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1478" w:type="pct"/>
            <w:vAlign w:val="center"/>
          </w:tcPr>
          <w:p w14:paraId="2F9E85A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应急防护措施、消除泄漏措施方法和器材</w:t>
            </w:r>
          </w:p>
        </w:tc>
        <w:tc>
          <w:tcPr>
            <w:tcW w:w="3236" w:type="pct"/>
            <w:vAlign w:val="center"/>
          </w:tcPr>
          <w:p w14:paraId="6F79DFD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事故现场：控制事故，防止扩大、蔓延及连锁反应。清除现场泄漏物，降低危害，相应的设施器材配备</w:t>
            </w:r>
          </w:p>
          <w:p w14:paraId="318CE6DD"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邻近区域：控制防扩散区域，控制和清除污染措施及相应设备配备</w:t>
            </w:r>
          </w:p>
        </w:tc>
      </w:tr>
      <w:tr w:rsidR="002133E3" w14:paraId="192B5596" w14:textId="77777777">
        <w:trPr>
          <w:trHeight w:val="284"/>
          <w:jc w:val="center"/>
        </w:trPr>
        <w:tc>
          <w:tcPr>
            <w:tcW w:w="286" w:type="pct"/>
            <w:vAlign w:val="center"/>
          </w:tcPr>
          <w:p w14:paraId="557646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478" w:type="pct"/>
            <w:vAlign w:val="center"/>
          </w:tcPr>
          <w:p w14:paraId="356D07A0"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应急剂量控制、撤离组织计划、医疗救护与公众健康</w:t>
            </w:r>
          </w:p>
        </w:tc>
        <w:tc>
          <w:tcPr>
            <w:tcW w:w="3236" w:type="pct"/>
            <w:vAlign w:val="center"/>
          </w:tcPr>
          <w:p w14:paraId="32CA625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事故现场：事故处理人员对毒物的应急剂量控制规定，现场及邻近装置，人员撤离组织计划及救护</w:t>
            </w:r>
          </w:p>
        </w:tc>
      </w:tr>
      <w:tr w:rsidR="002133E3" w14:paraId="7D4F0676" w14:textId="77777777">
        <w:trPr>
          <w:trHeight w:val="284"/>
          <w:jc w:val="center"/>
        </w:trPr>
        <w:tc>
          <w:tcPr>
            <w:tcW w:w="286" w:type="pct"/>
            <w:vAlign w:val="center"/>
          </w:tcPr>
          <w:p w14:paraId="2E7F14E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11</w:t>
            </w:r>
          </w:p>
        </w:tc>
        <w:tc>
          <w:tcPr>
            <w:tcW w:w="1478" w:type="pct"/>
            <w:vAlign w:val="center"/>
          </w:tcPr>
          <w:p w14:paraId="5C51278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应急状态终止与恢复措施</w:t>
            </w:r>
          </w:p>
        </w:tc>
        <w:tc>
          <w:tcPr>
            <w:tcW w:w="3236" w:type="pct"/>
            <w:vAlign w:val="center"/>
          </w:tcPr>
          <w:p w14:paraId="306712F5"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规定应急状态终止程序事故现场善后处理，恢复措施</w:t>
            </w:r>
          </w:p>
        </w:tc>
      </w:tr>
      <w:tr w:rsidR="002133E3" w14:paraId="1A5E2075" w14:textId="77777777">
        <w:trPr>
          <w:trHeight w:val="284"/>
          <w:jc w:val="center"/>
        </w:trPr>
        <w:tc>
          <w:tcPr>
            <w:tcW w:w="286" w:type="pct"/>
            <w:vAlign w:val="center"/>
          </w:tcPr>
          <w:p w14:paraId="5BB7C55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12</w:t>
            </w:r>
          </w:p>
        </w:tc>
        <w:tc>
          <w:tcPr>
            <w:tcW w:w="1478" w:type="pct"/>
            <w:vAlign w:val="center"/>
          </w:tcPr>
          <w:p w14:paraId="3419965C"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人员培训与演练</w:t>
            </w:r>
          </w:p>
        </w:tc>
        <w:tc>
          <w:tcPr>
            <w:tcW w:w="3236" w:type="pct"/>
            <w:vAlign w:val="center"/>
          </w:tcPr>
          <w:p w14:paraId="54AA0A68"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应急计划制定后，平时安排人员培训和演练</w:t>
            </w:r>
          </w:p>
        </w:tc>
      </w:tr>
      <w:tr w:rsidR="002133E3" w14:paraId="0BFE3D92" w14:textId="77777777">
        <w:trPr>
          <w:trHeight w:val="284"/>
          <w:jc w:val="center"/>
        </w:trPr>
        <w:tc>
          <w:tcPr>
            <w:tcW w:w="286" w:type="pct"/>
            <w:vAlign w:val="center"/>
          </w:tcPr>
          <w:p w14:paraId="280FF8D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13</w:t>
            </w:r>
          </w:p>
        </w:tc>
        <w:tc>
          <w:tcPr>
            <w:tcW w:w="1478" w:type="pct"/>
            <w:vAlign w:val="center"/>
          </w:tcPr>
          <w:p w14:paraId="07C9AC12"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公众教育和信息</w:t>
            </w:r>
          </w:p>
        </w:tc>
        <w:tc>
          <w:tcPr>
            <w:tcW w:w="3236" w:type="pct"/>
            <w:vAlign w:val="center"/>
          </w:tcPr>
          <w:p w14:paraId="5EDAD3DA"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对工厂邻近地区开展公众教育、培训和发布相关信息</w:t>
            </w:r>
          </w:p>
        </w:tc>
      </w:tr>
      <w:tr w:rsidR="002133E3" w14:paraId="1B32BD65" w14:textId="77777777">
        <w:trPr>
          <w:trHeight w:val="284"/>
          <w:jc w:val="center"/>
        </w:trPr>
        <w:tc>
          <w:tcPr>
            <w:tcW w:w="286" w:type="pct"/>
            <w:vAlign w:val="center"/>
          </w:tcPr>
          <w:p w14:paraId="338CC8A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14</w:t>
            </w:r>
          </w:p>
        </w:tc>
        <w:tc>
          <w:tcPr>
            <w:tcW w:w="1478" w:type="pct"/>
            <w:vAlign w:val="center"/>
          </w:tcPr>
          <w:p w14:paraId="3AFB8F5B"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记录和报告</w:t>
            </w:r>
          </w:p>
        </w:tc>
        <w:tc>
          <w:tcPr>
            <w:tcW w:w="3236" w:type="pct"/>
            <w:vAlign w:val="center"/>
          </w:tcPr>
          <w:p w14:paraId="5FB76F39"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设置应急事故专门记录，建立档案和专门报告制度，设专门部门负责管理</w:t>
            </w:r>
          </w:p>
        </w:tc>
      </w:tr>
      <w:tr w:rsidR="002133E3" w14:paraId="19171AC7" w14:textId="77777777">
        <w:trPr>
          <w:trHeight w:val="284"/>
          <w:jc w:val="center"/>
        </w:trPr>
        <w:tc>
          <w:tcPr>
            <w:tcW w:w="286" w:type="pct"/>
            <w:vAlign w:val="center"/>
          </w:tcPr>
          <w:p w14:paraId="04987D7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478" w:type="pct"/>
            <w:vAlign w:val="center"/>
          </w:tcPr>
          <w:p w14:paraId="69114944"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附件</w:t>
            </w:r>
          </w:p>
        </w:tc>
        <w:tc>
          <w:tcPr>
            <w:tcW w:w="3236" w:type="pct"/>
            <w:vAlign w:val="center"/>
          </w:tcPr>
          <w:p w14:paraId="5734A126" w14:textId="77777777" w:rsidR="002133E3" w:rsidRDefault="00C22CFA">
            <w:pPr>
              <w:rPr>
                <w:rFonts w:ascii="Times New Roman" w:eastAsia="宋体" w:hAnsi="Times New Roman" w:cs="Times New Roman"/>
                <w:szCs w:val="21"/>
              </w:rPr>
            </w:pPr>
            <w:r>
              <w:rPr>
                <w:rFonts w:ascii="Times New Roman" w:eastAsia="宋体" w:hAnsi="Times New Roman" w:cs="Times New Roman"/>
                <w:szCs w:val="21"/>
              </w:rPr>
              <w:t>与应急事故有关的多种附件材料的准备和形成</w:t>
            </w:r>
          </w:p>
        </w:tc>
      </w:tr>
    </w:tbl>
    <w:p w14:paraId="266B1451"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信息公开要求</w:t>
      </w:r>
    </w:p>
    <w:p w14:paraId="74F740F6"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根据《建设项目环境影响评价政府信息公开指南</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试行</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》的要求，建设单位在向环境保护主管部门提交建设项目环境影响报告书前，应依法主动公开建设项目环境影响报告书全本信息。</w:t>
      </w:r>
    </w:p>
    <w:p w14:paraId="4C841FE4"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根据《企业事业单位环境信息公开办法》</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部令第</w:t>
      </w:r>
      <w:r>
        <w:rPr>
          <w:rFonts w:ascii="Times New Roman" w:eastAsia="宋体" w:hAnsi="Times New Roman" w:cs="Times New Roman"/>
          <w:kern w:val="0"/>
          <w:sz w:val="28"/>
          <w:szCs w:val="28"/>
        </w:rPr>
        <w:t>31</w:t>
      </w:r>
      <w:r>
        <w:rPr>
          <w:rFonts w:ascii="Times New Roman" w:eastAsia="宋体" w:hAnsi="Times New Roman" w:cs="Times New Roman"/>
          <w:kern w:val="0"/>
          <w:sz w:val="28"/>
          <w:szCs w:val="28"/>
        </w:rPr>
        <w:t>号</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的要求，建设单位应当在投产以后公开下列信息：</w:t>
      </w:r>
    </w:p>
    <w:p w14:paraId="03C857DB"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(1) </w:t>
      </w:r>
      <w:r>
        <w:rPr>
          <w:rFonts w:ascii="Times New Roman" w:eastAsia="宋体" w:hAnsi="Times New Roman" w:cs="Times New Roman"/>
          <w:kern w:val="0"/>
          <w:sz w:val="28"/>
          <w:szCs w:val="28"/>
        </w:rPr>
        <w:t>基础信息，包括单位名称、组织机构代码、法定代表人、生产地址、联系方式，以及生产经营和管理服务的主要内容、产品及规模；</w:t>
      </w:r>
    </w:p>
    <w:p w14:paraId="37DF20DC"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排污信息，包括主要污染物及特征污染物的名称、排放方式、排放口数量和分布情况、排放浓度和总量、超标情况，以及执行的污染物排放标准、核定的排放总量；</w:t>
      </w:r>
    </w:p>
    <w:p w14:paraId="05FC6986"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(3) </w:t>
      </w:r>
      <w:r>
        <w:rPr>
          <w:rFonts w:ascii="Times New Roman" w:eastAsia="宋体" w:hAnsi="Times New Roman" w:cs="Times New Roman"/>
          <w:kern w:val="0"/>
          <w:sz w:val="28"/>
          <w:szCs w:val="28"/>
        </w:rPr>
        <w:t>防治污染设施的建设和运行情况；</w:t>
      </w:r>
    </w:p>
    <w:p w14:paraId="3F68E5BD"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(4) </w:t>
      </w:r>
      <w:r>
        <w:rPr>
          <w:rFonts w:ascii="Times New Roman" w:eastAsia="宋体" w:hAnsi="Times New Roman" w:cs="Times New Roman"/>
          <w:kern w:val="0"/>
          <w:sz w:val="28"/>
          <w:szCs w:val="28"/>
        </w:rPr>
        <w:t>建设项目环境影响评价及其他环境保护行政许可情况；</w:t>
      </w:r>
    </w:p>
    <w:p w14:paraId="36425602"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(5) </w:t>
      </w:r>
      <w:r>
        <w:rPr>
          <w:rFonts w:ascii="Times New Roman" w:eastAsia="宋体" w:hAnsi="Times New Roman" w:cs="Times New Roman"/>
          <w:kern w:val="0"/>
          <w:sz w:val="28"/>
          <w:szCs w:val="28"/>
        </w:rPr>
        <w:t>突发环境事件应急预案；</w:t>
      </w:r>
    </w:p>
    <w:p w14:paraId="29EA561B"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(6) </w:t>
      </w:r>
      <w:r>
        <w:rPr>
          <w:rFonts w:ascii="Times New Roman" w:eastAsia="宋体" w:hAnsi="Times New Roman" w:cs="Times New Roman"/>
          <w:kern w:val="0"/>
          <w:sz w:val="28"/>
          <w:szCs w:val="28"/>
        </w:rPr>
        <w:t>其他应当公开的环境信息。</w:t>
      </w:r>
    </w:p>
    <w:p w14:paraId="1DF6194F"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建设单位可通过其网站、企业事业单位环境信息公开平台或者当地报刊等便于公众知晓的方式公开环境信息，同时可以采取以下一种或者几种方式予以公开：</w:t>
      </w:r>
    </w:p>
    <w:p w14:paraId="0535BAD4"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(1) </w:t>
      </w:r>
      <w:r>
        <w:rPr>
          <w:rFonts w:ascii="Times New Roman" w:eastAsia="宋体" w:hAnsi="Times New Roman" w:cs="Times New Roman"/>
          <w:kern w:val="0"/>
          <w:sz w:val="28"/>
          <w:szCs w:val="28"/>
        </w:rPr>
        <w:t>公告或者公开发行的信息专刊；</w:t>
      </w:r>
    </w:p>
    <w:p w14:paraId="794D034C"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广播、电视等新闻媒体；</w:t>
      </w:r>
    </w:p>
    <w:p w14:paraId="1A8461DD"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(3) </w:t>
      </w:r>
      <w:r>
        <w:rPr>
          <w:rFonts w:ascii="Times New Roman" w:eastAsia="宋体" w:hAnsi="Times New Roman" w:cs="Times New Roman"/>
          <w:kern w:val="0"/>
          <w:sz w:val="28"/>
          <w:szCs w:val="28"/>
        </w:rPr>
        <w:t>信息公开服务、监督热线电话；</w:t>
      </w:r>
    </w:p>
    <w:p w14:paraId="63AB1A73"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(4) </w:t>
      </w:r>
      <w:r>
        <w:rPr>
          <w:rFonts w:ascii="Times New Roman" w:eastAsia="宋体" w:hAnsi="Times New Roman" w:cs="Times New Roman"/>
          <w:kern w:val="0"/>
          <w:sz w:val="28"/>
          <w:szCs w:val="28"/>
        </w:rPr>
        <w:t>本单位的资料索取点、信息公开栏、信息亭、电子屏幕、电子触摸屏等场所或者设施；</w:t>
      </w:r>
    </w:p>
    <w:p w14:paraId="36228C56" w14:textId="77777777" w:rsidR="002133E3" w:rsidRDefault="00C22CFA">
      <w:pPr>
        <w:widowControl/>
        <w:snapToGrid w:val="0"/>
        <w:spacing w:line="520" w:lineRule="exact"/>
        <w:ind w:firstLineChars="200" w:firstLine="560"/>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(5) </w:t>
      </w:r>
      <w:r>
        <w:rPr>
          <w:rFonts w:ascii="Times New Roman" w:eastAsia="宋体" w:hAnsi="Times New Roman" w:cs="Times New Roman"/>
          <w:kern w:val="0"/>
          <w:sz w:val="28"/>
          <w:szCs w:val="28"/>
        </w:rPr>
        <w:t>其他便于公众及时、准确获得信息的方式。</w:t>
      </w:r>
    </w:p>
    <w:p w14:paraId="666EA1E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总量指标</w:t>
      </w:r>
    </w:p>
    <w:p w14:paraId="3D46BD0A"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lastRenderedPageBreak/>
        <w:t>总量控制因子</w:t>
      </w:r>
    </w:p>
    <w:p w14:paraId="5DCF0E75"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根据《关于印发江苏省建设项目主要污染物排放总量区域平衡方案审核管理办法的通知》</w:t>
      </w:r>
      <w:r>
        <w:rPr>
          <w:rFonts w:ascii="Times New Roman" w:eastAsia="宋体" w:hAnsi="Times New Roman" w:cs="Times New Roman"/>
          <w:sz w:val="28"/>
          <w:szCs w:val="24"/>
        </w:rPr>
        <w:t>(</w:t>
      </w:r>
      <w:r>
        <w:rPr>
          <w:rFonts w:ascii="Times New Roman" w:eastAsia="宋体" w:hAnsi="Times New Roman" w:cs="Times New Roman"/>
          <w:sz w:val="28"/>
          <w:szCs w:val="24"/>
        </w:rPr>
        <w:t>苏环办</w:t>
      </w:r>
      <w:r>
        <w:rPr>
          <w:rFonts w:ascii="Times New Roman" w:eastAsia="宋体" w:hAnsi="Times New Roman" w:cs="Times New Roman"/>
          <w:sz w:val="28"/>
          <w:szCs w:val="24"/>
        </w:rPr>
        <w:t>[2011]71</w:t>
      </w:r>
      <w:r>
        <w:rPr>
          <w:rFonts w:ascii="Times New Roman" w:eastAsia="宋体" w:hAnsi="Times New Roman" w:cs="Times New Roman"/>
          <w:sz w:val="28"/>
          <w:szCs w:val="24"/>
        </w:rPr>
        <w:t>号</w:t>
      </w:r>
      <w:r>
        <w:rPr>
          <w:rFonts w:ascii="Times New Roman" w:eastAsia="宋体" w:hAnsi="Times New Roman" w:cs="Times New Roman"/>
          <w:sz w:val="28"/>
          <w:szCs w:val="24"/>
        </w:rPr>
        <w:t>)</w:t>
      </w:r>
      <w:r>
        <w:rPr>
          <w:rFonts w:ascii="Times New Roman" w:eastAsia="宋体" w:hAnsi="Times New Roman" w:cs="Times New Roman"/>
          <w:sz w:val="28"/>
          <w:szCs w:val="24"/>
        </w:rPr>
        <w:t>，确定项目实施总量控制的项目为：</w:t>
      </w:r>
    </w:p>
    <w:p w14:paraId="6B6A98EF"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 xml:space="preserve">(1) </w:t>
      </w:r>
      <w:r>
        <w:rPr>
          <w:rFonts w:ascii="Times New Roman" w:eastAsia="宋体" w:hAnsi="Times New Roman" w:cs="Times New Roman"/>
          <w:sz w:val="28"/>
          <w:szCs w:val="24"/>
        </w:rPr>
        <w:t>水污染物</w:t>
      </w:r>
    </w:p>
    <w:p w14:paraId="737A0162"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总量</w:t>
      </w:r>
      <w:r>
        <w:rPr>
          <w:rFonts w:ascii="Times New Roman" w:eastAsia="宋体" w:hAnsi="Times New Roman" w:cs="Times New Roman"/>
          <w:kern w:val="0"/>
          <w:sz w:val="28"/>
          <w:szCs w:val="28"/>
        </w:rPr>
        <w:t>控制</w:t>
      </w:r>
      <w:r>
        <w:rPr>
          <w:rFonts w:ascii="Times New Roman" w:eastAsia="宋体" w:hAnsi="Times New Roman" w:cs="Times New Roman"/>
          <w:kern w:val="0"/>
          <w:sz w:val="28"/>
          <w:szCs w:val="20"/>
        </w:rPr>
        <w:t>因子：</w:t>
      </w:r>
      <w:r>
        <w:rPr>
          <w:rFonts w:ascii="Times New Roman" w:eastAsia="宋体" w:hAnsi="Times New Roman" w:cs="Times New Roman"/>
          <w:kern w:val="0"/>
          <w:sz w:val="28"/>
          <w:szCs w:val="20"/>
        </w:rPr>
        <w:t>COD</w:t>
      </w:r>
      <w:r>
        <w:rPr>
          <w:rFonts w:ascii="Times New Roman" w:eastAsia="宋体" w:hAnsi="Times New Roman" w:cs="Times New Roman"/>
          <w:kern w:val="0"/>
          <w:sz w:val="28"/>
          <w:szCs w:val="20"/>
        </w:rPr>
        <w:t>、氨氮、总磷、总氮；</w:t>
      </w:r>
    </w:p>
    <w:p w14:paraId="2A93F07C" w14:textId="77777777" w:rsidR="002133E3" w:rsidRDefault="00C22CFA">
      <w:pPr>
        <w:adjustRightInd w:val="0"/>
        <w:snapToGrid w:val="0"/>
        <w:spacing w:line="500" w:lineRule="exact"/>
        <w:ind w:firstLineChars="200" w:firstLine="560"/>
        <w:jc w:val="left"/>
        <w:rPr>
          <w:rFonts w:ascii="Times New Roman" w:eastAsia="宋体" w:hAnsi="Times New Roman" w:cs="Times New Roman"/>
          <w:kern w:val="0"/>
          <w:sz w:val="28"/>
          <w:szCs w:val="20"/>
        </w:rPr>
      </w:pPr>
      <w:r>
        <w:rPr>
          <w:rFonts w:ascii="Times New Roman" w:eastAsia="宋体" w:hAnsi="Times New Roman" w:cs="Times New Roman"/>
          <w:kern w:val="0"/>
          <w:sz w:val="28"/>
          <w:szCs w:val="20"/>
        </w:rPr>
        <w:t>总量监控因子：</w:t>
      </w:r>
      <w:r>
        <w:rPr>
          <w:rFonts w:ascii="Times New Roman" w:eastAsia="宋体" w:hAnsi="Times New Roman" w:cs="Times New Roman"/>
          <w:kern w:val="0"/>
          <w:sz w:val="28"/>
          <w:szCs w:val="20"/>
        </w:rPr>
        <w:t>SS</w:t>
      </w:r>
      <w:r>
        <w:rPr>
          <w:rFonts w:ascii="Times New Roman" w:eastAsia="宋体" w:hAnsi="Times New Roman" w:cs="Times New Roman"/>
          <w:kern w:val="0"/>
          <w:sz w:val="28"/>
          <w:szCs w:val="20"/>
        </w:rPr>
        <w:t>、盐分。</w:t>
      </w:r>
    </w:p>
    <w:p w14:paraId="087D7D79"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 xml:space="preserve">(2) </w:t>
      </w:r>
      <w:r>
        <w:rPr>
          <w:rFonts w:ascii="Times New Roman" w:eastAsia="宋体" w:hAnsi="Times New Roman" w:cs="Times New Roman"/>
          <w:sz w:val="28"/>
          <w:szCs w:val="24"/>
        </w:rPr>
        <w:t>大气污染物</w:t>
      </w:r>
    </w:p>
    <w:p w14:paraId="514335D1"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总量控制因子：颗粒物、挥发性有机物；</w:t>
      </w:r>
    </w:p>
    <w:p w14:paraId="1A7468DF"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总量监控因子：乙醇、甲醇。</w:t>
      </w:r>
    </w:p>
    <w:p w14:paraId="7EE7F399"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 xml:space="preserve">(3) </w:t>
      </w:r>
      <w:r>
        <w:rPr>
          <w:rFonts w:ascii="Times New Roman" w:eastAsia="宋体" w:hAnsi="Times New Roman" w:cs="Times New Roman"/>
          <w:sz w:val="28"/>
          <w:szCs w:val="24"/>
        </w:rPr>
        <w:t>工业固体废弃物：外排量。</w:t>
      </w:r>
    </w:p>
    <w:p w14:paraId="23792474"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t>项目污染物排放清单</w:t>
      </w:r>
    </w:p>
    <w:p w14:paraId="797830F5"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项目实施后三废污染物排放情况详见表</w:t>
      </w:r>
      <w:r>
        <w:rPr>
          <w:rFonts w:ascii="Times New Roman" w:eastAsia="宋体" w:hAnsi="Times New Roman" w:cs="Times New Roman"/>
          <w:sz w:val="28"/>
          <w:szCs w:val="24"/>
        </w:rPr>
        <w:t>9.2-10</w:t>
      </w:r>
      <w:r>
        <w:rPr>
          <w:rFonts w:ascii="Times New Roman" w:eastAsia="宋体" w:hAnsi="Times New Roman" w:cs="Times New Roman"/>
          <w:sz w:val="28"/>
          <w:szCs w:val="24"/>
        </w:rPr>
        <w:t>。</w:t>
      </w:r>
    </w:p>
    <w:p w14:paraId="12FB1766" w14:textId="77777777" w:rsidR="002133E3" w:rsidRDefault="00C22CFA">
      <w:pPr>
        <w:spacing w:line="440" w:lineRule="exact"/>
        <w:jc w:val="center"/>
        <w:rPr>
          <w:rFonts w:ascii="Times New Roman" w:eastAsia="宋体" w:hAnsi="Times New Roman" w:cs="Times New Roman"/>
          <w:b/>
          <w:sz w:val="24"/>
          <w:szCs w:val="32"/>
        </w:rPr>
      </w:pPr>
      <w:r>
        <w:rPr>
          <w:rFonts w:ascii="Times New Roman" w:eastAsia="宋体" w:hAnsi="Times New Roman" w:cs="Times New Roman"/>
          <w:b/>
          <w:sz w:val="24"/>
          <w:szCs w:val="32"/>
        </w:rPr>
        <w:t>表</w:t>
      </w:r>
      <w:r>
        <w:rPr>
          <w:rFonts w:ascii="Times New Roman" w:eastAsia="宋体" w:hAnsi="Times New Roman" w:cs="Times New Roman"/>
          <w:b/>
          <w:sz w:val="24"/>
          <w:szCs w:val="32"/>
        </w:rPr>
        <w:t xml:space="preserve">9.2-10  </w:t>
      </w:r>
      <w:r>
        <w:rPr>
          <w:rFonts w:ascii="Times New Roman" w:eastAsia="宋体" w:hAnsi="Times New Roman" w:cs="Times New Roman"/>
          <w:b/>
          <w:sz w:val="24"/>
          <w:szCs w:val="32"/>
        </w:rPr>
        <w:t>改扩建项目生产污染物排放情况核算汇总表</w:t>
      </w:r>
      <w:r>
        <w:rPr>
          <w:rFonts w:ascii="Times New Roman" w:eastAsia="宋体" w:hAnsi="Times New Roman" w:cs="Times New Roman"/>
          <w:b/>
          <w:sz w:val="24"/>
          <w:szCs w:val="32"/>
        </w:rPr>
        <w:t>(t/a)</w:t>
      </w:r>
    </w:p>
    <w:tbl>
      <w:tblPr>
        <w:tblW w:w="5000" w:type="pct"/>
        <w:jc w:val="center"/>
        <w:tblLook w:val="04A0" w:firstRow="1" w:lastRow="0" w:firstColumn="1" w:lastColumn="0" w:noHBand="0" w:noVBand="1"/>
      </w:tblPr>
      <w:tblGrid>
        <w:gridCol w:w="2633"/>
        <w:gridCol w:w="2503"/>
        <w:gridCol w:w="2227"/>
        <w:gridCol w:w="2491"/>
      </w:tblGrid>
      <w:tr w:rsidR="002133E3" w14:paraId="2EB4211C" w14:textId="77777777">
        <w:trPr>
          <w:trHeight w:val="285"/>
          <w:jc w:val="center"/>
        </w:trPr>
        <w:tc>
          <w:tcPr>
            <w:tcW w:w="13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BD693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种类</w:t>
            </w:r>
          </w:p>
        </w:tc>
        <w:tc>
          <w:tcPr>
            <w:tcW w:w="12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E7A2F8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污染物名称</w:t>
            </w:r>
          </w:p>
        </w:tc>
        <w:tc>
          <w:tcPr>
            <w:tcW w:w="2394" w:type="pct"/>
            <w:gridSpan w:val="2"/>
            <w:tcBorders>
              <w:top w:val="single" w:sz="4" w:space="0" w:color="auto"/>
              <w:left w:val="nil"/>
              <w:bottom w:val="single" w:sz="4" w:space="0" w:color="auto"/>
              <w:right w:val="single" w:sz="4" w:space="0" w:color="auto"/>
            </w:tcBorders>
            <w:shd w:val="clear" w:color="auto" w:fill="auto"/>
            <w:vAlign w:val="center"/>
          </w:tcPr>
          <w:p w14:paraId="007F4CD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排放量</w:t>
            </w:r>
          </w:p>
        </w:tc>
      </w:tr>
      <w:tr w:rsidR="002133E3" w14:paraId="6B044B6C" w14:textId="77777777">
        <w:trPr>
          <w:trHeight w:val="285"/>
          <w:jc w:val="center"/>
        </w:trPr>
        <w:tc>
          <w:tcPr>
            <w:tcW w:w="1336" w:type="pct"/>
            <w:vMerge/>
            <w:tcBorders>
              <w:top w:val="single" w:sz="4" w:space="0" w:color="auto"/>
              <w:left w:val="single" w:sz="4" w:space="0" w:color="auto"/>
              <w:bottom w:val="single" w:sz="4" w:space="0" w:color="auto"/>
              <w:right w:val="single" w:sz="4" w:space="0" w:color="auto"/>
            </w:tcBorders>
            <w:vAlign w:val="center"/>
          </w:tcPr>
          <w:p w14:paraId="4F6707D0" w14:textId="77777777" w:rsidR="002133E3" w:rsidRDefault="002133E3">
            <w:pPr>
              <w:widowControl/>
              <w:jc w:val="left"/>
              <w:rPr>
                <w:rFonts w:ascii="Times New Roman" w:eastAsia="宋体" w:hAnsi="Times New Roman" w:cs="Times New Roman"/>
                <w:b/>
                <w:bCs/>
                <w:color w:val="000000"/>
                <w:kern w:val="0"/>
                <w:szCs w:val="21"/>
              </w:rPr>
            </w:pPr>
          </w:p>
        </w:tc>
        <w:tc>
          <w:tcPr>
            <w:tcW w:w="1270" w:type="pct"/>
            <w:vMerge/>
            <w:tcBorders>
              <w:top w:val="single" w:sz="4" w:space="0" w:color="auto"/>
              <w:left w:val="single" w:sz="4" w:space="0" w:color="auto"/>
              <w:bottom w:val="single" w:sz="4" w:space="0" w:color="auto"/>
              <w:right w:val="single" w:sz="4" w:space="0" w:color="auto"/>
            </w:tcBorders>
            <w:vAlign w:val="center"/>
          </w:tcPr>
          <w:p w14:paraId="3EA39755" w14:textId="77777777" w:rsidR="002133E3" w:rsidRDefault="002133E3">
            <w:pPr>
              <w:widowControl/>
              <w:jc w:val="left"/>
              <w:rPr>
                <w:rFonts w:ascii="Times New Roman" w:eastAsia="宋体" w:hAnsi="Times New Roman" w:cs="Times New Roman"/>
                <w:b/>
                <w:bCs/>
                <w:color w:val="000000"/>
                <w:kern w:val="0"/>
                <w:szCs w:val="21"/>
              </w:rPr>
            </w:pPr>
          </w:p>
        </w:tc>
        <w:tc>
          <w:tcPr>
            <w:tcW w:w="1130" w:type="pct"/>
            <w:tcBorders>
              <w:top w:val="nil"/>
              <w:left w:val="nil"/>
              <w:bottom w:val="single" w:sz="4" w:space="0" w:color="auto"/>
              <w:right w:val="single" w:sz="4" w:space="0" w:color="auto"/>
            </w:tcBorders>
            <w:shd w:val="clear" w:color="auto" w:fill="auto"/>
            <w:vAlign w:val="center"/>
          </w:tcPr>
          <w:p w14:paraId="24F1751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接管量</w:t>
            </w:r>
          </w:p>
        </w:tc>
        <w:tc>
          <w:tcPr>
            <w:tcW w:w="1264" w:type="pct"/>
            <w:tcBorders>
              <w:top w:val="nil"/>
              <w:left w:val="nil"/>
              <w:bottom w:val="single" w:sz="4" w:space="0" w:color="auto"/>
              <w:right w:val="single" w:sz="4" w:space="0" w:color="auto"/>
            </w:tcBorders>
            <w:shd w:val="clear" w:color="auto" w:fill="auto"/>
            <w:vAlign w:val="center"/>
          </w:tcPr>
          <w:p w14:paraId="5E25CBB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最终外排放量</w:t>
            </w:r>
          </w:p>
        </w:tc>
      </w:tr>
      <w:tr w:rsidR="002133E3" w14:paraId="6CE3FF3D" w14:textId="77777777">
        <w:trPr>
          <w:trHeight w:val="300"/>
          <w:jc w:val="center"/>
        </w:trPr>
        <w:tc>
          <w:tcPr>
            <w:tcW w:w="1336" w:type="pct"/>
            <w:vMerge w:val="restart"/>
            <w:tcBorders>
              <w:top w:val="nil"/>
              <w:left w:val="single" w:sz="4" w:space="0" w:color="auto"/>
              <w:bottom w:val="single" w:sz="4" w:space="0" w:color="auto"/>
              <w:right w:val="single" w:sz="4" w:space="0" w:color="auto"/>
            </w:tcBorders>
            <w:shd w:val="clear" w:color="auto" w:fill="auto"/>
            <w:vAlign w:val="center"/>
          </w:tcPr>
          <w:p w14:paraId="1ECE4D5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废水</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水量单位为</w:t>
            </w:r>
            <w:r>
              <w:rPr>
                <w:rFonts w:ascii="Times New Roman" w:eastAsia="宋体" w:hAnsi="Times New Roman" w:cs="Times New Roman"/>
                <w:color w:val="000000"/>
                <w:kern w:val="0"/>
                <w:szCs w:val="21"/>
              </w:rPr>
              <w:t>m</w:t>
            </w:r>
            <w:r>
              <w:rPr>
                <w:rFonts w:ascii="Times New Roman" w:eastAsia="宋体" w:hAnsi="Times New Roman" w:cs="Times New Roman"/>
                <w:color w:val="000000"/>
                <w:kern w:val="0"/>
                <w:szCs w:val="21"/>
                <w:vertAlign w:val="superscript"/>
              </w:rPr>
              <w:t>3</w:t>
            </w:r>
            <w:r>
              <w:rPr>
                <w:rFonts w:ascii="Times New Roman" w:eastAsia="宋体" w:hAnsi="Times New Roman" w:cs="Times New Roman"/>
                <w:color w:val="000000"/>
                <w:kern w:val="0"/>
                <w:szCs w:val="21"/>
              </w:rPr>
              <w:t>/a</w:t>
            </w:r>
            <w:r>
              <w:rPr>
                <w:rFonts w:ascii="Times New Roman" w:eastAsia="宋体" w:hAnsi="Times New Roman" w:cs="Times New Roman"/>
                <w:color w:val="000000"/>
                <w:kern w:val="0"/>
                <w:szCs w:val="21"/>
              </w:rPr>
              <w:t>、其它均为</w:t>
            </w:r>
            <w:r>
              <w:rPr>
                <w:rFonts w:ascii="Times New Roman" w:eastAsia="宋体" w:hAnsi="Times New Roman" w:cs="Times New Roman"/>
                <w:color w:val="000000"/>
                <w:kern w:val="0"/>
                <w:szCs w:val="21"/>
              </w:rPr>
              <w:t>t/a)</w:t>
            </w:r>
          </w:p>
        </w:tc>
        <w:tc>
          <w:tcPr>
            <w:tcW w:w="1270" w:type="pct"/>
            <w:tcBorders>
              <w:top w:val="nil"/>
              <w:left w:val="nil"/>
              <w:bottom w:val="single" w:sz="4" w:space="0" w:color="auto"/>
              <w:right w:val="single" w:sz="4" w:space="0" w:color="auto"/>
            </w:tcBorders>
            <w:shd w:val="clear" w:color="auto" w:fill="auto"/>
            <w:vAlign w:val="center"/>
          </w:tcPr>
          <w:p w14:paraId="6B7909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废水量</w:t>
            </w:r>
          </w:p>
        </w:tc>
        <w:tc>
          <w:tcPr>
            <w:tcW w:w="1130" w:type="pct"/>
            <w:tcBorders>
              <w:top w:val="nil"/>
              <w:left w:val="nil"/>
              <w:bottom w:val="nil"/>
              <w:right w:val="nil"/>
            </w:tcBorders>
            <w:shd w:val="clear" w:color="auto" w:fill="auto"/>
            <w:noWrap/>
            <w:vAlign w:val="center"/>
          </w:tcPr>
          <w:p w14:paraId="1D71FF0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1175440.28</w:t>
            </w:r>
          </w:p>
        </w:tc>
        <w:tc>
          <w:tcPr>
            <w:tcW w:w="1264" w:type="pct"/>
            <w:tcBorders>
              <w:top w:val="nil"/>
              <w:left w:val="single" w:sz="4" w:space="0" w:color="auto"/>
              <w:bottom w:val="single" w:sz="4" w:space="0" w:color="auto"/>
              <w:right w:val="single" w:sz="4" w:space="0" w:color="auto"/>
            </w:tcBorders>
            <w:shd w:val="clear" w:color="auto" w:fill="auto"/>
            <w:vAlign w:val="center"/>
          </w:tcPr>
          <w:p w14:paraId="3950D40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1175440.28</w:t>
            </w:r>
          </w:p>
        </w:tc>
      </w:tr>
      <w:tr w:rsidR="002133E3" w14:paraId="02E96589" w14:textId="77777777">
        <w:trPr>
          <w:trHeight w:val="300"/>
          <w:jc w:val="center"/>
        </w:trPr>
        <w:tc>
          <w:tcPr>
            <w:tcW w:w="1336" w:type="pct"/>
            <w:vMerge/>
            <w:tcBorders>
              <w:top w:val="nil"/>
              <w:left w:val="single" w:sz="4" w:space="0" w:color="auto"/>
              <w:bottom w:val="single" w:sz="4" w:space="0" w:color="auto"/>
              <w:right w:val="single" w:sz="4" w:space="0" w:color="auto"/>
            </w:tcBorders>
            <w:vAlign w:val="center"/>
          </w:tcPr>
          <w:p w14:paraId="01C3C56B"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4E794FE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COD</w:t>
            </w:r>
          </w:p>
        </w:tc>
        <w:tc>
          <w:tcPr>
            <w:tcW w:w="1130" w:type="pct"/>
            <w:tcBorders>
              <w:top w:val="single" w:sz="4" w:space="0" w:color="auto"/>
              <w:left w:val="nil"/>
              <w:bottom w:val="single" w:sz="4" w:space="0" w:color="auto"/>
              <w:right w:val="single" w:sz="4" w:space="0" w:color="auto"/>
            </w:tcBorders>
            <w:shd w:val="clear" w:color="auto" w:fill="auto"/>
            <w:vAlign w:val="center"/>
          </w:tcPr>
          <w:p w14:paraId="1EFADC9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470.18</w:t>
            </w:r>
          </w:p>
        </w:tc>
        <w:tc>
          <w:tcPr>
            <w:tcW w:w="1264" w:type="pct"/>
            <w:tcBorders>
              <w:top w:val="nil"/>
              <w:left w:val="nil"/>
              <w:bottom w:val="single" w:sz="4" w:space="0" w:color="auto"/>
              <w:right w:val="single" w:sz="4" w:space="0" w:color="auto"/>
            </w:tcBorders>
            <w:shd w:val="clear" w:color="auto" w:fill="auto"/>
            <w:vAlign w:val="center"/>
          </w:tcPr>
          <w:p w14:paraId="18EE240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58.77</w:t>
            </w:r>
          </w:p>
        </w:tc>
      </w:tr>
      <w:tr w:rsidR="002133E3" w14:paraId="61327260" w14:textId="77777777">
        <w:trPr>
          <w:trHeight w:val="300"/>
          <w:jc w:val="center"/>
        </w:trPr>
        <w:tc>
          <w:tcPr>
            <w:tcW w:w="1336" w:type="pct"/>
            <w:vMerge/>
            <w:tcBorders>
              <w:top w:val="nil"/>
              <w:left w:val="single" w:sz="4" w:space="0" w:color="auto"/>
              <w:bottom w:val="single" w:sz="4" w:space="0" w:color="auto"/>
              <w:right w:val="single" w:sz="4" w:space="0" w:color="auto"/>
            </w:tcBorders>
            <w:vAlign w:val="center"/>
          </w:tcPr>
          <w:p w14:paraId="4EE8DA56"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560CFD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SS</w:t>
            </w:r>
          </w:p>
        </w:tc>
        <w:tc>
          <w:tcPr>
            <w:tcW w:w="1130" w:type="pct"/>
            <w:tcBorders>
              <w:top w:val="nil"/>
              <w:left w:val="nil"/>
              <w:bottom w:val="single" w:sz="4" w:space="0" w:color="auto"/>
              <w:right w:val="single" w:sz="4" w:space="0" w:color="auto"/>
            </w:tcBorders>
            <w:shd w:val="clear" w:color="auto" w:fill="auto"/>
            <w:vAlign w:val="center"/>
          </w:tcPr>
          <w:p w14:paraId="4B64C87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164.56</w:t>
            </w:r>
          </w:p>
        </w:tc>
        <w:tc>
          <w:tcPr>
            <w:tcW w:w="1264" w:type="pct"/>
            <w:tcBorders>
              <w:top w:val="nil"/>
              <w:left w:val="nil"/>
              <w:bottom w:val="single" w:sz="4" w:space="0" w:color="auto"/>
              <w:right w:val="single" w:sz="4" w:space="0" w:color="auto"/>
            </w:tcBorders>
            <w:shd w:val="clear" w:color="auto" w:fill="auto"/>
            <w:vAlign w:val="center"/>
          </w:tcPr>
          <w:p w14:paraId="746BA8A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11.75</w:t>
            </w:r>
          </w:p>
        </w:tc>
      </w:tr>
      <w:tr w:rsidR="002133E3" w14:paraId="6F4D6893" w14:textId="77777777">
        <w:trPr>
          <w:trHeight w:val="300"/>
          <w:jc w:val="center"/>
        </w:trPr>
        <w:tc>
          <w:tcPr>
            <w:tcW w:w="1336" w:type="pct"/>
            <w:vMerge/>
            <w:tcBorders>
              <w:top w:val="nil"/>
              <w:left w:val="single" w:sz="4" w:space="0" w:color="auto"/>
              <w:bottom w:val="single" w:sz="4" w:space="0" w:color="auto"/>
              <w:right w:val="single" w:sz="4" w:space="0" w:color="auto"/>
            </w:tcBorders>
            <w:vAlign w:val="center"/>
          </w:tcPr>
          <w:p w14:paraId="675AA703"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1BC60BA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总氮</w:t>
            </w:r>
          </w:p>
        </w:tc>
        <w:tc>
          <w:tcPr>
            <w:tcW w:w="1130" w:type="pct"/>
            <w:tcBorders>
              <w:top w:val="nil"/>
              <w:left w:val="nil"/>
              <w:bottom w:val="single" w:sz="4" w:space="0" w:color="auto"/>
              <w:right w:val="single" w:sz="4" w:space="0" w:color="auto"/>
            </w:tcBorders>
            <w:shd w:val="clear" w:color="auto" w:fill="auto"/>
            <w:vAlign w:val="center"/>
          </w:tcPr>
          <w:p w14:paraId="17B9351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58.77</w:t>
            </w:r>
          </w:p>
        </w:tc>
        <w:tc>
          <w:tcPr>
            <w:tcW w:w="1264" w:type="pct"/>
            <w:tcBorders>
              <w:top w:val="nil"/>
              <w:left w:val="nil"/>
              <w:bottom w:val="single" w:sz="4" w:space="0" w:color="auto"/>
              <w:right w:val="single" w:sz="4" w:space="0" w:color="auto"/>
            </w:tcBorders>
            <w:shd w:val="clear" w:color="auto" w:fill="auto"/>
            <w:vAlign w:val="center"/>
          </w:tcPr>
          <w:p w14:paraId="3737B5F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17.63</w:t>
            </w:r>
          </w:p>
        </w:tc>
      </w:tr>
      <w:tr w:rsidR="002133E3" w14:paraId="00833658" w14:textId="77777777">
        <w:trPr>
          <w:trHeight w:val="300"/>
          <w:jc w:val="center"/>
        </w:trPr>
        <w:tc>
          <w:tcPr>
            <w:tcW w:w="1336" w:type="pct"/>
            <w:vMerge/>
            <w:tcBorders>
              <w:top w:val="nil"/>
              <w:left w:val="single" w:sz="4" w:space="0" w:color="auto"/>
              <w:bottom w:val="single" w:sz="4" w:space="0" w:color="auto"/>
              <w:right w:val="single" w:sz="4" w:space="0" w:color="auto"/>
            </w:tcBorders>
            <w:vAlign w:val="center"/>
          </w:tcPr>
          <w:p w14:paraId="07B1BC0D"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488800E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氨氮</w:t>
            </w:r>
          </w:p>
        </w:tc>
        <w:tc>
          <w:tcPr>
            <w:tcW w:w="1130" w:type="pct"/>
            <w:tcBorders>
              <w:top w:val="nil"/>
              <w:left w:val="nil"/>
              <w:bottom w:val="single" w:sz="4" w:space="0" w:color="auto"/>
              <w:right w:val="single" w:sz="4" w:space="0" w:color="auto"/>
            </w:tcBorders>
            <w:shd w:val="clear" w:color="auto" w:fill="auto"/>
            <w:vAlign w:val="center"/>
          </w:tcPr>
          <w:p w14:paraId="2496C6D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35.26</w:t>
            </w:r>
          </w:p>
        </w:tc>
        <w:tc>
          <w:tcPr>
            <w:tcW w:w="1264" w:type="pct"/>
            <w:tcBorders>
              <w:top w:val="nil"/>
              <w:left w:val="nil"/>
              <w:bottom w:val="single" w:sz="4" w:space="0" w:color="auto"/>
              <w:right w:val="single" w:sz="4" w:space="0" w:color="auto"/>
            </w:tcBorders>
            <w:shd w:val="clear" w:color="auto" w:fill="auto"/>
            <w:vAlign w:val="center"/>
          </w:tcPr>
          <w:p w14:paraId="475770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5.88</w:t>
            </w:r>
          </w:p>
        </w:tc>
      </w:tr>
      <w:tr w:rsidR="002133E3" w14:paraId="2FD55825" w14:textId="77777777">
        <w:trPr>
          <w:trHeight w:val="300"/>
          <w:jc w:val="center"/>
        </w:trPr>
        <w:tc>
          <w:tcPr>
            <w:tcW w:w="1336" w:type="pct"/>
            <w:vMerge/>
            <w:tcBorders>
              <w:top w:val="nil"/>
              <w:left w:val="single" w:sz="4" w:space="0" w:color="auto"/>
              <w:bottom w:val="single" w:sz="4" w:space="0" w:color="auto"/>
              <w:right w:val="single" w:sz="4" w:space="0" w:color="auto"/>
            </w:tcBorders>
            <w:vAlign w:val="center"/>
          </w:tcPr>
          <w:p w14:paraId="44C873A8"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5909DBE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总磷</w:t>
            </w:r>
          </w:p>
        </w:tc>
        <w:tc>
          <w:tcPr>
            <w:tcW w:w="1130" w:type="pct"/>
            <w:tcBorders>
              <w:top w:val="nil"/>
              <w:left w:val="nil"/>
              <w:bottom w:val="single" w:sz="4" w:space="0" w:color="auto"/>
              <w:right w:val="single" w:sz="4" w:space="0" w:color="auto"/>
            </w:tcBorders>
            <w:shd w:val="clear" w:color="auto" w:fill="auto"/>
            <w:vAlign w:val="center"/>
          </w:tcPr>
          <w:p w14:paraId="6A4548F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3.53</w:t>
            </w:r>
          </w:p>
        </w:tc>
        <w:tc>
          <w:tcPr>
            <w:tcW w:w="1264" w:type="pct"/>
            <w:tcBorders>
              <w:top w:val="nil"/>
              <w:left w:val="nil"/>
              <w:bottom w:val="single" w:sz="4" w:space="0" w:color="auto"/>
              <w:right w:val="single" w:sz="4" w:space="0" w:color="auto"/>
            </w:tcBorders>
            <w:shd w:val="clear" w:color="auto" w:fill="auto"/>
            <w:vAlign w:val="center"/>
          </w:tcPr>
          <w:p w14:paraId="7F0CF9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0.59</w:t>
            </w:r>
          </w:p>
        </w:tc>
      </w:tr>
      <w:tr w:rsidR="002133E3" w14:paraId="6EAA9B19" w14:textId="77777777">
        <w:trPr>
          <w:trHeight w:val="300"/>
          <w:jc w:val="center"/>
        </w:trPr>
        <w:tc>
          <w:tcPr>
            <w:tcW w:w="1336" w:type="pct"/>
            <w:vMerge/>
            <w:tcBorders>
              <w:top w:val="nil"/>
              <w:left w:val="single" w:sz="4" w:space="0" w:color="auto"/>
              <w:bottom w:val="single" w:sz="4" w:space="0" w:color="auto"/>
              <w:right w:val="single" w:sz="4" w:space="0" w:color="auto"/>
            </w:tcBorders>
            <w:vAlign w:val="center"/>
          </w:tcPr>
          <w:p w14:paraId="26A35BC9"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6404E76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盐分</w:t>
            </w:r>
          </w:p>
        </w:tc>
        <w:tc>
          <w:tcPr>
            <w:tcW w:w="1130" w:type="pct"/>
            <w:tcBorders>
              <w:top w:val="nil"/>
              <w:left w:val="nil"/>
              <w:bottom w:val="single" w:sz="4" w:space="0" w:color="auto"/>
              <w:right w:val="single" w:sz="4" w:space="0" w:color="auto"/>
            </w:tcBorders>
            <w:shd w:val="clear" w:color="auto" w:fill="auto"/>
            <w:vAlign w:val="center"/>
          </w:tcPr>
          <w:p w14:paraId="2B2EAC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48.87</w:t>
            </w:r>
          </w:p>
        </w:tc>
        <w:tc>
          <w:tcPr>
            <w:tcW w:w="1264" w:type="pct"/>
            <w:tcBorders>
              <w:top w:val="nil"/>
              <w:left w:val="nil"/>
              <w:bottom w:val="single" w:sz="4" w:space="0" w:color="auto"/>
              <w:right w:val="single" w:sz="4" w:space="0" w:color="auto"/>
            </w:tcBorders>
            <w:shd w:val="clear" w:color="auto" w:fill="auto"/>
            <w:vAlign w:val="center"/>
          </w:tcPr>
          <w:p w14:paraId="38A009F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48.87</w:t>
            </w:r>
          </w:p>
        </w:tc>
      </w:tr>
      <w:tr w:rsidR="002133E3" w14:paraId="2CD00E88" w14:textId="77777777">
        <w:trPr>
          <w:trHeight w:val="300"/>
          <w:jc w:val="center"/>
        </w:trPr>
        <w:tc>
          <w:tcPr>
            <w:tcW w:w="1336" w:type="pct"/>
            <w:vMerge w:val="restart"/>
            <w:tcBorders>
              <w:top w:val="nil"/>
              <w:left w:val="single" w:sz="4" w:space="0" w:color="auto"/>
              <w:bottom w:val="single" w:sz="4" w:space="0" w:color="000000"/>
              <w:right w:val="single" w:sz="4" w:space="0" w:color="auto"/>
            </w:tcBorders>
            <w:shd w:val="clear" w:color="auto" w:fill="auto"/>
            <w:vAlign w:val="center"/>
          </w:tcPr>
          <w:p w14:paraId="220CF68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有组织废气</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单位：</w:t>
            </w:r>
            <w:r>
              <w:rPr>
                <w:rFonts w:ascii="Times New Roman" w:eastAsia="宋体" w:hAnsi="Times New Roman" w:cs="Times New Roman"/>
                <w:color w:val="000000"/>
                <w:kern w:val="0"/>
                <w:szCs w:val="21"/>
              </w:rPr>
              <w:t>t/a)</w:t>
            </w:r>
          </w:p>
        </w:tc>
        <w:tc>
          <w:tcPr>
            <w:tcW w:w="1270" w:type="pct"/>
            <w:tcBorders>
              <w:top w:val="nil"/>
              <w:left w:val="nil"/>
              <w:bottom w:val="single" w:sz="4" w:space="0" w:color="auto"/>
              <w:right w:val="single" w:sz="4" w:space="0" w:color="auto"/>
            </w:tcBorders>
            <w:shd w:val="clear" w:color="auto" w:fill="auto"/>
            <w:vAlign w:val="center"/>
          </w:tcPr>
          <w:p w14:paraId="665AA15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颗粒物（粉尘）</w:t>
            </w:r>
          </w:p>
        </w:tc>
        <w:tc>
          <w:tcPr>
            <w:tcW w:w="2394" w:type="pct"/>
            <w:gridSpan w:val="2"/>
            <w:tcBorders>
              <w:top w:val="single" w:sz="4" w:space="0" w:color="auto"/>
              <w:left w:val="nil"/>
              <w:bottom w:val="single" w:sz="4" w:space="0" w:color="auto"/>
              <w:right w:val="single" w:sz="4" w:space="0" w:color="000000"/>
            </w:tcBorders>
            <w:shd w:val="clear" w:color="auto" w:fill="auto"/>
            <w:vAlign w:val="bottom"/>
          </w:tcPr>
          <w:p w14:paraId="3DEC499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16.00 </w:t>
            </w:r>
          </w:p>
        </w:tc>
      </w:tr>
      <w:tr w:rsidR="002133E3" w14:paraId="05AB4015" w14:textId="77777777">
        <w:trPr>
          <w:trHeight w:val="300"/>
          <w:jc w:val="center"/>
        </w:trPr>
        <w:tc>
          <w:tcPr>
            <w:tcW w:w="1336" w:type="pct"/>
            <w:vMerge/>
            <w:tcBorders>
              <w:top w:val="nil"/>
              <w:left w:val="single" w:sz="4" w:space="0" w:color="auto"/>
              <w:bottom w:val="single" w:sz="4" w:space="0" w:color="000000"/>
              <w:right w:val="single" w:sz="4" w:space="0" w:color="auto"/>
            </w:tcBorders>
            <w:vAlign w:val="center"/>
          </w:tcPr>
          <w:p w14:paraId="44CA47BB"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1F2E9FF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w:t>
            </w:r>
            <w:r>
              <w:rPr>
                <w:rFonts w:ascii="Times New Roman" w:eastAsia="宋体" w:hAnsi="Times New Roman" w:cs="Times New Roman"/>
                <w:color w:val="000000"/>
                <w:kern w:val="0"/>
                <w:szCs w:val="21"/>
                <w:vertAlign w:val="subscript"/>
              </w:rPr>
              <w:t>2</w:t>
            </w:r>
          </w:p>
        </w:tc>
        <w:tc>
          <w:tcPr>
            <w:tcW w:w="2394" w:type="pct"/>
            <w:gridSpan w:val="2"/>
            <w:tcBorders>
              <w:top w:val="single" w:sz="4" w:space="0" w:color="auto"/>
              <w:left w:val="nil"/>
              <w:bottom w:val="single" w:sz="4" w:space="0" w:color="auto"/>
              <w:right w:val="single" w:sz="4" w:space="0" w:color="000000"/>
            </w:tcBorders>
            <w:shd w:val="clear" w:color="auto" w:fill="auto"/>
            <w:vAlign w:val="bottom"/>
          </w:tcPr>
          <w:p w14:paraId="5ABC523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91962.83 </w:t>
            </w:r>
          </w:p>
        </w:tc>
      </w:tr>
      <w:tr w:rsidR="002133E3" w14:paraId="67547F7D" w14:textId="77777777">
        <w:trPr>
          <w:trHeight w:val="300"/>
          <w:jc w:val="center"/>
        </w:trPr>
        <w:tc>
          <w:tcPr>
            <w:tcW w:w="1336" w:type="pct"/>
            <w:vMerge/>
            <w:tcBorders>
              <w:top w:val="nil"/>
              <w:left w:val="single" w:sz="4" w:space="0" w:color="auto"/>
              <w:bottom w:val="single" w:sz="4" w:space="0" w:color="000000"/>
              <w:right w:val="single" w:sz="4" w:space="0" w:color="auto"/>
            </w:tcBorders>
            <w:vAlign w:val="center"/>
          </w:tcPr>
          <w:p w14:paraId="15C62446"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6D6A3F35" w14:textId="77777777" w:rsidR="002133E3" w:rsidRDefault="00C22CFA">
            <w:pPr>
              <w:widowControl/>
              <w:jc w:val="center"/>
              <w:rPr>
                <w:rFonts w:ascii="Times New Roman" w:eastAsia="宋体" w:hAnsi="Times New Roman" w:cs="Times New Roman"/>
                <w:color w:val="000000"/>
                <w:kern w:val="0"/>
                <w:szCs w:val="21"/>
              </w:rPr>
            </w:pPr>
            <w:bookmarkStart w:id="108" w:name="_Hlk74072734"/>
            <w:r>
              <w:rPr>
                <w:rFonts w:ascii="Times New Roman" w:eastAsia="宋体" w:hAnsi="Times New Roman" w:cs="Times New Roman"/>
                <w:color w:val="000000"/>
                <w:kern w:val="0"/>
                <w:szCs w:val="21"/>
              </w:rPr>
              <w:t>乙醇</w:t>
            </w:r>
            <w:bookmarkEnd w:id="108"/>
          </w:p>
        </w:tc>
        <w:tc>
          <w:tcPr>
            <w:tcW w:w="2394" w:type="pct"/>
            <w:gridSpan w:val="2"/>
            <w:tcBorders>
              <w:top w:val="single" w:sz="4" w:space="0" w:color="auto"/>
              <w:left w:val="nil"/>
              <w:bottom w:val="single" w:sz="4" w:space="0" w:color="auto"/>
              <w:right w:val="single" w:sz="4" w:space="0" w:color="000000"/>
            </w:tcBorders>
            <w:shd w:val="clear" w:color="auto" w:fill="auto"/>
            <w:vAlign w:val="bottom"/>
          </w:tcPr>
          <w:p w14:paraId="2007D3C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1.76 </w:t>
            </w:r>
          </w:p>
        </w:tc>
      </w:tr>
      <w:tr w:rsidR="002133E3" w14:paraId="62D0E5E6" w14:textId="77777777">
        <w:trPr>
          <w:trHeight w:val="300"/>
          <w:jc w:val="center"/>
        </w:trPr>
        <w:tc>
          <w:tcPr>
            <w:tcW w:w="1336" w:type="pct"/>
            <w:vMerge/>
            <w:tcBorders>
              <w:top w:val="nil"/>
              <w:left w:val="single" w:sz="4" w:space="0" w:color="auto"/>
              <w:bottom w:val="single" w:sz="4" w:space="0" w:color="000000"/>
              <w:right w:val="single" w:sz="4" w:space="0" w:color="auto"/>
            </w:tcBorders>
            <w:vAlign w:val="center"/>
          </w:tcPr>
          <w:p w14:paraId="2FABC477"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6B9CCB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甲醇</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醛等</w:t>
            </w:r>
          </w:p>
        </w:tc>
        <w:tc>
          <w:tcPr>
            <w:tcW w:w="2394" w:type="pct"/>
            <w:gridSpan w:val="2"/>
            <w:tcBorders>
              <w:top w:val="single" w:sz="4" w:space="0" w:color="auto"/>
              <w:left w:val="nil"/>
              <w:bottom w:val="single" w:sz="4" w:space="0" w:color="auto"/>
              <w:right w:val="single" w:sz="4" w:space="0" w:color="000000"/>
            </w:tcBorders>
            <w:shd w:val="clear" w:color="auto" w:fill="auto"/>
            <w:vAlign w:val="bottom"/>
          </w:tcPr>
          <w:p w14:paraId="7944E34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0.06 </w:t>
            </w:r>
          </w:p>
        </w:tc>
      </w:tr>
      <w:tr w:rsidR="002133E3" w14:paraId="6F298C53" w14:textId="77777777">
        <w:trPr>
          <w:trHeight w:val="300"/>
          <w:jc w:val="center"/>
        </w:trPr>
        <w:tc>
          <w:tcPr>
            <w:tcW w:w="1336" w:type="pct"/>
            <w:vMerge/>
            <w:tcBorders>
              <w:top w:val="nil"/>
              <w:left w:val="single" w:sz="4" w:space="0" w:color="auto"/>
              <w:bottom w:val="single" w:sz="4" w:space="0" w:color="000000"/>
              <w:right w:val="single" w:sz="4" w:space="0" w:color="auto"/>
            </w:tcBorders>
            <w:vAlign w:val="center"/>
          </w:tcPr>
          <w:p w14:paraId="03109C2C" w14:textId="77777777" w:rsidR="002133E3" w:rsidRDefault="002133E3">
            <w:pPr>
              <w:widowControl/>
              <w:jc w:val="left"/>
              <w:rPr>
                <w:rFonts w:ascii="Times New Roman" w:eastAsia="宋体" w:hAnsi="Times New Roman" w:cs="Times New Roman"/>
                <w:color w:val="000000"/>
                <w:kern w:val="0"/>
                <w:szCs w:val="21"/>
              </w:rPr>
            </w:pPr>
          </w:p>
        </w:tc>
        <w:tc>
          <w:tcPr>
            <w:tcW w:w="1270" w:type="pct"/>
            <w:tcBorders>
              <w:top w:val="nil"/>
              <w:left w:val="nil"/>
              <w:bottom w:val="single" w:sz="4" w:space="0" w:color="auto"/>
              <w:right w:val="single" w:sz="4" w:space="0" w:color="auto"/>
            </w:tcBorders>
            <w:shd w:val="clear" w:color="auto" w:fill="auto"/>
            <w:vAlign w:val="center"/>
          </w:tcPr>
          <w:p w14:paraId="2F4401E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挥发性有机物</w:t>
            </w:r>
          </w:p>
        </w:tc>
        <w:tc>
          <w:tcPr>
            <w:tcW w:w="2394" w:type="pct"/>
            <w:gridSpan w:val="2"/>
            <w:tcBorders>
              <w:top w:val="single" w:sz="4" w:space="0" w:color="auto"/>
              <w:left w:val="nil"/>
              <w:bottom w:val="single" w:sz="4" w:space="0" w:color="auto"/>
              <w:right w:val="single" w:sz="4" w:space="0" w:color="000000"/>
            </w:tcBorders>
            <w:shd w:val="clear" w:color="auto" w:fill="auto"/>
            <w:vAlign w:val="bottom"/>
          </w:tcPr>
          <w:p w14:paraId="5F08C99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 xml:space="preserve">1.81 </w:t>
            </w:r>
          </w:p>
        </w:tc>
      </w:tr>
      <w:tr w:rsidR="002133E3" w14:paraId="7546F73B" w14:textId="77777777">
        <w:trPr>
          <w:trHeight w:val="300"/>
          <w:jc w:val="center"/>
        </w:trPr>
        <w:tc>
          <w:tcPr>
            <w:tcW w:w="260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F9456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固废</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单位：</w:t>
            </w:r>
            <w:r>
              <w:rPr>
                <w:rFonts w:ascii="Times New Roman" w:eastAsia="宋体" w:hAnsi="Times New Roman" w:cs="Times New Roman"/>
                <w:color w:val="000000"/>
                <w:kern w:val="0"/>
                <w:szCs w:val="21"/>
              </w:rPr>
              <w:t>t/a)</w:t>
            </w:r>
          </w:p>
        </w:tc>
        <w:tc>
          <w:tcPr>
            <w:tcW w:w="2394" w:type="pct"/>
            <w:gridSpan w:val="2"/>
            <w:tcBorders>
              <w:top w:val="single" w:sz="4" w:space="0" w:color="auto"/>
              <w:left w:val="nil"/>
              <w:bottom w:val="single" w:sz="4" w:space="0" w:color="auto"/>
              <w:right w:val="single" w:sz="4" w:space="0" w:color="auto"/>
            </w:tcBorders>
            <w:shd w:val="clear" w:color="auto" w:fill="auto"/>
            <w:vAlign w:val="center"/>
          </w:tcPr>
          <w:p w14:paraId="20E7BCE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p>
        </w:tc>
      </w:tr>
    </w:tbl>
    <w:p w14:paraId="3E87824D" w14:textId="77777777" w:rsidR="002133E3" w:rsidRDefault="00C22CFA">
      <w:pPr>
        <w:pStyle w:val="affff3"/>
        <w:numPr>
          <w:ilvl w:val="3"/>
          <w:numId w:val="2"/>
        </w:numPr>
        <w:snapToGrid w:val="0"/>
        <w:spacing w:line="500" w:lineRule="atLeast"/>
        <w:ind w:left="0" w:firstLineChars="0" w:firstLine="0"/>
        <w:outlineLvl w:val="3"/>
        <w:rPr>
          <w:rFonts w:ascii="Times New Roman" w:eastAsia="宋体" w:hAnsi="Times New Roman" w:cs="Times New Roman"/>
          <w:b/>
          <w:sz w:val="28"/>
          <w:szCs w:val="28"/>
        </w:rPr>
      </w:pPr>
      <w:r>
        <w:rPr>
          <w:rFonts w:ascii="Times New Roman" w:eastAsia="宋体" w:hAnsi="Times New Roman" w:cs="Times New Roman"/>
          <w:b/>
          <w:sz w:val="28"/>
          <w:szCs w:val="28"/>
        </w:rPr>
        <w:t>项目实施后厂区污染物排放清单</w:t>
      </w:r>
    </w:p>
    <w:p w14:paraId="6F9EA527"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技改项目建成后厂区污染物排放清单情况见表</w:t>
      </w:r>
      <w:r>
        <w:rPr>
          <w:rFonts w:ascii="Times New Roman" w:eastAsia="宋体" w:hAnsi="Times New Roman" w:cs="Times New Roman"/>
          <w:sz w:val="28"/>
          <w:szCs w:val="24"/>
        </w:rPr>
        <w:t>9.2-11</w:t>
      </w:r>
      <w:r>
        <w:rPr>
          <w:rFonts w:ascii="Times New Roman" w:eastAsia="宋体" w:hAnsi="Times New Roman" w:cs="Times New Roman"/>
          <w:sz w:val="28"/>
          <w:szCs w:val="24"/>
        </w:rPr>
        <w:t>。</w:t>
      </w:r>
    </w:p>
    <w:p w14:paraId="3432B990" w14:textId="77777777" w:rsidR="002133E3" w:rsidRDefault="002133E3">
      <w:pPr>
        <w:spacing w:line="440" w:lineRule="exact"/>
        <w:jc w:val="center"/>
        <w:rPr>
          <w:rFonts w:ascii="Times New Roman" w:eastAsia="宋体" w:hAnsi="Times New Roman" w:cs="Times New Roman"/>
          <w:b/>
          <w:sz w:val="24"/>
          <w:szCs w:val="32"/>
        </w:rPr>
        <w:sectPr w:rsidR="002133E3">
          <w:pgSz w:w="11906" w:h="16838"/>
          <w:pgMar w:top="1134" w:right="1134" w:bottom="1134" w:left="1134" w:header="851" w:footer="992" w:gutter="0"/>
          <w:cols w:space="425"/>
          <w:docGrid w:type="lines" w:linePitch="312"/>
        </w:sectPr>
      </w:pPr>
    </w:p>
    <w:p w14:paraId="19058E79" w14:textId="77777777" w:rsidR="002133E3" w:rsidRDefault="00C22CFA">
      <w:pPr>
        <w:spacing w:line="440" w:lineRule="exact"/>
        <w:jc w:val="center"/>
        <w:rPr>
          <w:rFonts w:ascii="Times New Roman" w:eastAsia="宋体" w:hAnsi="Times New Roman" w:cs="Times New Roman"/>
          <w:b/>
          <w:sz w:val="24"/>
          <w:szCs w:val="32"/>
        </w:rPr>
      </w:pPr>
      <w:r>
        <w:rPr>
          <w:rFonts w:ascii="Times New Roman" w:eastAsia="宋体" w:hAnsi="Times New Roman" w:cs="Times New Roman"/>
          <w:b/>
          <w:sz w:val="24"/>
          <w:szCs w:val="32"/>
        </w:rPr>
        <w:lastRenderedPageBreak/>
        <w:t>表</w:t>
      </w:r>
      <w:r>
        <w:rPr>
          <w:rFonts w:ascii="Times New Roman" w:eastAsia="宋体" w:hAnsi="Times New Roman" w:cs="Times New Roman"/>
          <w:b/>
          <w:sz w:val="24"/>
          <w:szCs w:val="32"/>
        </w:rPr>
        <w:t xml:space="preserve">9.2-11  </w:t>
      </w:r>
      <w:r>
        <w:rPr>
          <w:rFonts w:ascii="Times New Roman" w:eastAsia="宋体" w:hAnsi="Times New Roman" w:cs="Times New Roman"/>
          <w:b/>
          <w:sz w:val="24"/>
          <w:szCs w:val="32"/>
        </w:rPr>
        <w:t>技改项目建成后全厂污染物总量排放清单</w:t>
      </w:r>
      <w:r>
        <w:rPr>
          <w:rFonts w:ascii="Times New Roman" w:eastAsia="宋体" w:hAnsi="Times New Roman" w:cs="Times New Roman"/>
          <w:b/>
          <w:sz w:val="24"/>
          <w:szCs w:val="32"/>
        </w:rPr>
        <w:t>(</w:t>
      </w:r>
      <w:r>
        <w:rPr>
          <w:rFonts w:ascii="Times New Roman" w:eastAsia="宋体" w:hAnsi="Times New Roman" w:cs="Times New Roman"/>
          <w:b/>
          <w:sz w:val="24"/>
          <w:szCs w:val="32"/>
        </w:rPr>
        <w:t>单位：</w:t>
      </w:r>
      <w:r>
        <w:rPr>
          <w:rFonts w:ascii="Times New Roman" w:eastAsia="宋体" w:hAnsi="Times New Roman" w:cs="Times New Roman"/>
          <w:b/>
          <w:sz w:val="24"/>
          <w:szCs w:val="32"/>
        </w:rPr>
        <w:t>t/a)</w:t>
      </w:r>
    </w:p>
    <w:tbl>
      <w:tblPr>
        <w:tblW w:w="5000" w:type="pct"/>
        <w:tblLook w:val="04A0" w:firstRow="1" w:lastRow="0" w:firstColumn="1" w:lastColumn="0" w:noHBand="0" w:noVBand="1"/>
      </w:tblPr>
      <w:tblGrid>
        <w:gridCol w:w="1083"/>
        <w:gridCol w:w="1561"/>
        <w:gridCol w:w="1263"/>
        <w:gridCol w:w="2224"/>
        <w:gridCol w:w="1082"/>
        <w:gridCol w:w="1443"/>
        <w:gridCol w:w="1544"/>
        <w:gridCol w:w="1842"/>
        <w:gridCol w:w="2744"/>
      </w:tblGrid>
      <w:tr w:rsidR="002133E3" w14:paraId="1CF2D7F5" w14:textId="77777777">
        <w:trPr>
          <w:trHeight w:val="284"/>
        </w:trPr>
        <w:tc>
          <w:tcPr>
            <w:tcW w:w="36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537848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类别</w:t>
            </w:r>
          </w:p>
        </w:tc>
        <w:tc>
          <w:tcPr>
            <w:tcW w:w="5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DE447AC"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污染物名称</w:t>
            </w:r>
          </w:p>
        </w:tc>
        <w:tc>
          <w:tcPr>
            <w:tcW w:w="42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9E6B6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已批项目排放量</w:t>
            </w:r>
          </w:p>
        </w:tc>
        <w:tc>
          <w:tcPr>
            <w:tcW w:w="1606" w:type="pct"/>
            <w:gridSpan w:val="3"/>
            <w:tcBorders>
              <w:top w:val="single" w:sz="4" w:space="0" w:color="auto"/>
              <w:left w:val="nil"/>
              <w:bottom w:val="single" w:sz="4" w:space="0" w:color="auto"/>
              <w:right w:val="single" w:sz="4" w:space="0" w:color="auto"/>
            </w:tcBorders>
            <w:shd w:val="clear" w:color="auto" w:fill="auto"/>
            <w:vAlign w:val="center"/>
          </w:tcPr>
          <w:p w14:paraId="4D8B00B2"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技改项目</w:t>
            </w:r>
          </w:p>
        </w:tc>
        <w:tc>
          <w:tcPr>
            <w:tcW w:w="52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8A6820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w:t>
            </w:r>
            <w:r>
              <w:rPr>
                <w:rFonts w:ascii="Times New Roman" w:eastAsia="宋体" w:hAnsi="Times New Roman" w:cs="Times New Roman"/>
                <w:b/>
                <w:bCs/>
                <w:color w:val="000000"/>
                <w:kern w:val="0"/>
                <w:szCs w:val="21"/>
              </w:rPr>
              <w:t>以新带老</w:t>
            </w:r>
            <w:r>
              <w:rPr>
                <w:rFonts w:ascii="Times New Roman" w:eastAsia="宋体" w:hAnsi="Times New Roman" w:cs="Times New Roman"/>
                <w:b/>
                <w:bCs/>
                <w:color w:val="000000"/>
                <w:kern w:val="0"/>
                <w:szCs w:val="21"/>
              </w:rPr>
              <w:t>”</w:t>
            </w:r>
            <w:r>
              <w:rPr>
                <w:rFonts w:ascii="Times New Roman" w:eastAsia="宋体" w:hAnsi="Times New Roman" w:cs="Times New Roman"/>
                <w:b/>
                <w:bCs/>
                <w:color w:val="000000"/>
                <w:kern w:val="0"/>
                <w:szCs w:val="21"/>
              </w:rPr>
              <w:t>削减量</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6D65C4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项目建成后全厂排放量</w:t>
            </w:r>
          </w:p>
        </w:tc>
        <w:tc>
          <w:tcPr>
            <w:tcW w:w="9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9F93B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技改前后变化量</w:t>
            </w:r>
          </w:p>
        </w:tc>
      </w:tr>
      <w:tr w:rsidR="002133E3" w14:paraId="451AAC5F" w14:textId="77777777">
        <w:trPr>
          <w:trHeight w:val="284"/>
        </w:trPr>
        <w:tc>
          <w:tcPr>
            <w:tcW w:w="366" w:type="pct"/>
            <w:vMerge/>
            <w:tcBorders>
              <w:top w:val="single" w:sz="4" w:space="0" w:color="auto"/>
              <w:left w:val="single" w:sz="4" w:space="0" w:color="auto"/>
              <w:bottom w:val="single" w:sz="4" w:space="0" w:color="auto"/>
              <w:right w:val="single" w:sz="4" w:space="0" w:color="auto"/>
            </w:tcBorders>
            <w:vAlign w:val="center"/>
          </w:tcPr>
          <w:p w14:paraId="2B538AE0" w14:textId="77777777" w:rsidR="002133E3" w:rsidRDefault="002133E3">
            <w:pPr>
              <w:widowControl/>
              <w:jc w:val="left"/>
              <w:rPr>
                <w:rFonts w:ascii="Times New Roman" w:eastAsia="宋体" w:hAnsi="Times New Roman" w:cs="Times New Roman"/>
                <w:b/>
                <w:bCs/>
                <w:color w:val="000000"/>
                <w:kern w:val="0"/>
                <w:szCs w:val="21"/>
              </w:rPr>
            </w:pPr>
          </w:p>
        </w:tc>
        <w:tc>
          <w:tcPr>
            <w:tcW w:w="528" w:type="pct"/>
            <w:vMerge/>
            <w:tcBorders>
              <w:top w:val="single" w:sz="4" w:space="0" w:color="auto"/>
              <w:left w:val="single" w:sz="4" w:space="0" w:color="auto"/>
              <w:bottom w:val="single" w:sz="4" w:space="0" w:color="auto"/>
              <w:right w:val="single" w:sz="4" w:space="0" w:color="auto"/>
            </w:tcBorders>
            <w:vAlign w:val="center"/>
          </w:tcPr>
          <w:p w14:paraId="3F03880B" w14:textId="77777777" w:rsidR="002133E3" w:rsidRDefault="002133E3">
            <w:pPr>
              <w:widowControl/>
              <w:jc w:val="left"/>
              <w:rPr>
                <w:rFonts w:ascii="Times New Roman" w:eastAsia="宋体" w:hAnsi="Times New Roman" w:cs="Times New Roman"/>
                <w:b/>
                <w:bCs/>
                <w:color w:val="000000"/>
                <w:kern w:val="0"/>
                <w:szCs w:val="21"/>
              </w:rPr>
            </w:pPr>
          </w:p>
        </w:tc>
        <w:tc>
          <w:tcPr>
            <w:tcW w:w="427" w:type="pct"/>
            <w:vMerge/>
            <w:tcBorders>
              <w:top w:val="single" w:sz="4" w:space="0" w:color="auto"/>
              <w:left w:val="single" w:sz="4" w:space="0" w:color="auto"/>
              <w:bottom w:val="single" w:sz="4" w:space="0" w:color="auto"/>
              <w:right w:val="single" w:sz="4" w:space="0" w:color="auto"/>
            </w:tcBorders>
            <w:vAlign w:val="center"/>
          </w:tcPr>
          <w:p w14:paraId="0586F194" w14:textId="77777777" w:rsidR="002133E3" w:rsidRDefault="002133E3">
            <w:pPr>
              <w:widowControl/>
              <w:jc w:val="left"/>
              <w:rPr>
                <w:rFonts w:ascii="Times New Roman" w:eastAsia="宋体" w:hAnsi="Times New Roman" w:cs="Times New Roman"/>
                <w:b/>
                <w:bCs/>
                <w:color w:val="000000"/>
                <w:kern w:val="0"/>
                <w:szCs w:val="21"/>
              </w:rPr>
            </w:pPr>
          </w:p>
        </w:tc>
        <w:tc>
          <w:tcPr>
            <w:tcW w:w="752" w:type="pct"/>
            <w:tcBorders>
              <w:top w:val="nil"/>
              <w:left w:val="nil"/>
              <w:bottom w:val="single" w:sz="4" w:space="0" w:color="auto"/>
              <w:right w:val="single" w:sz="4" w:space="0" w:color="auto"/>
            </w:tcBorders>
            <w:shd w:val="clear" w:color="auto" w:fill="auto"/>
            <w:vAlign w:val="center"/>
          </w:tcPr>
          <w:p w14:paraId="24EE7D9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产生量</w:t>
            </w:r>
          </w:p>
        </w:tc>
        <w:tc>
          <w:tcPr>
            <w:tcW w:w="366" w:type="pct"/>
            <w:tcBorders>
              <w:top w:val="nil"/>
              <w:left w:val="nil"/>
              <w:bottom w:val="single" w:sz="4" w:space="0" w:color="auto"/>
              <w:right w:val="single" w:sz="4" w:space="0" w:color="auto"/>
            </w:tcBorders>
            <w:shd w:val="clear" w:color="auto" w:fill="auto"/>
            <w:vAlign w:val="center"/>
          </w:tcPr>
          <w:p w14:paraId="6C5557A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削减量</w:t>
            </w:r>
          </w:p>
        </w:tc>
        <w:tc>
          <w:tcPr>
            <w:tcW w:w="488" w:type="pct"/>
            <w:tcBorders>
              <w:top w:val="nil"/>
              <w:left w:val="nil"/>
              <w:bottom w:val="single" w:sz="4" w:space="0" w:color="auto"/>
              <w:right w:val="single" w:sz="4" w:space="0" w:color="auto"/>
            </w:tcBorders>
            <w:shd w:val="clear" w:color="auto" w:fill="auto"/>
            <w:vAlign w:val="center"/>
          </w:tcPr>
          <w:p w14:paraId="2111AD2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排放量</w:t>
            </w:r>
          </w:p>
        </w:tc>
        <w:tc>
          <w:tcPr>
            <w:tcW w:w="522" w:type="pct"/>
            <w:vMerge/>
            <w:tcBorders>
              <w:top w:val="single" w:sz="4" w:space="0" w:color="auto"/>
              <w:left w:val="single" w:sz="4" w:space="0" w:color="auto"/>
              <w:bottom w:val="single" w:sz="4" w:space="0" w:color="auto"/>
              <w:right w:val="single" w:sz="4" w:space="0" w:color="auto"/>
            </w:tcBorders>
            <w:vAlign w:val="center"/>
          </w:tcPr>
          <w:p w14:paraId="3E2C0C87" w14:textId="77777777" w:rsidR="002133E3" w:rsidRDefault="002133E3">
            <w:pPr>
              <w:widowControl/>
              <w:jc w:val="left"/>
              <w:rPr>
                <w:rFonts w:ascii="Times New Roman" w:eastAsia="宋体" w:hAnsi="Times New Roman" w:cs="Times New Roman"/>
                <w:b/>
                <w:bCs/>
                <w:color w:val="000000"/>
                <w:kern w:val="0"/>
                <w:szCs w:val="21"/>
              </w:rPr>
            </w:pPr>
          </w:p>
        </w:tc>
        <w:tc>
          <w:tcPr>
            <w:tcW w:w="623" w:type="pct"/>
            <w:vMerge/>
            <w:tcBorders>
              <w:top w:val="single" w:sz="4" w:space="0" w:color="auto"/>
              <w:left w:val="single" w:sz="4" w:space="0" w:color="auto"/>
              <w:bottom w:val="single" w:sz="4" w:space="0" w:color="auto"/>
              <w:right w:val="single" w:sz="4" w:space="0" w:color="auto"/>
            </w:tcBorders>
            <w:vAlign w:val="center"/>
          </w:tcPr>
          <w:p w14:paraId="3AE977B3" w14:textId="77777777" w:rsidR="002133E3" w:rsidRDefault="002133E3">
            <w:pPr>
              <w:widowControl/>
              <w:jc w:val="left"/>
              <w:rPr>
                <w:rFonts w:ascii="Times New Roman" w:eastAsia="宋体" w:hAnsi="Times New Roman" w:cs="Times New Roman"/>
                <w:b/>
                <w:bCs/>
                <w:color w:val="000000"/>
                <w:kern w:val="0"/>
                <w:szCs w:val="21"/>
              </w:rPr>
            </w:pPr>
          </w:p>
        </w:tc>
        <w:tc>
          <w:tcPr>
            <w:tcW w:w="928" w:type="pct"/>
            <w:vMerge/>
            <w:tcBorders>
              <w:top w:val="single" w:sz="4" w:space="0" w:color="auto"/>
              <w:left w:val="single" w:sz="4" w:space="0" w:color="auto"/>
              <w:bottom w:val="single" w:sz="4" w:space="0" w:color="auto"/>
              <w:right w:val="single" w:sz="4" w:space="0" w:color="auto"/>
            </w:tcBorders>
            <w:vAlign w:val="center"/>
          </w:tcPr>
          <w:p w14:paraId="29A1F402" w14:textId="77777777" w:rsidR="002133E3" w:rsidRDefault="002133E3">
            <w:pPr>
              <w:widowControl/>
              <w:jc w:val="left"/>
              <w:rPr>
                <w:rFonts w:ascii="Times New Roman" w:eastAsia="宋体" w:hAnsi="Times New Roman" w:cs="Times New Roman"/>
                <w:b/>
                <w:bCs/>
                <w:color w:val="000000"/>
                <w:kern w:val="0"/>
                <w:szCs w:val="21"/>
              </w:rPr>
            </w:pPr>
          </w:p>
        </w:tc>
      </w:tr>
      <w:tr w:rsidR="002133E3" w14:paraId="5A2AE5D5" w14:textId="77777777">
        <w:trPr>
          <w:trHeight w:val="284"/>
        </w:trPr>
        <w:tc>
          <w:tcPr>
            <w:tcW w:w="366" w:type="pct"/>
            <w:vMerge w:val="restart"/>
            <w:tcBorders>
              <w:top w:val="nil"/>
              <w:left w:val="single" w:sz="4" w:space="0" w:color="auto"/>
              <w:bottom w:val="single" w:sz="4" w:space="0" w:color="auto"/>
              <w:right w:val="single" w:sz="4" w:space="0" w:color="auto"/>
            </w:tcBorders>
            <w:shd w:val="clear" w:color="auto" w:fill="auto"/>
            <w:vAlign w:val="center"/>
          </w:tcPr>
          <w:p w14:paraId="2B53827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废水</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单位：</w:t>
            </w:r>
            <w:r>
              <w:rPr>
                <w:rFonts w:ascii="Times New Roman" w:eastAsia="宋体" w:hAnsi="Times New Roman" w:cs="Times New Roman"/>
                <w:color w:val="000000"/>
                <w:kern w:val="0"/>
                <w:szCs w:val="21"/>
              </w:rPr>
              <w:t>t/a)</w:t>
            </w:r>
          </w:p>
        </w:tc>
        <w:tc>
          <w:tcPr>
            <w:tcW w:w="528" w:type="pct"/>
            <w:tcBorders>
              <w:top w:val="nil"/>
              <w:left w:val="nil"/>
              <w:bottom w:val="single" w:sz="4" w:space="0" w:color="auto"/>
              <w:right w:val="single" w:sz="4" w:space="0" w:color="auto"/>
            </w:tcBorders>
            <w:shd w:val="clear" w:color="auto" w:fill="auto"/>
            <w:vAlign w:val="center"/>
          </w:tcPr>
          <w:p w14:paraId="3DC0F3C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废水量</w:t>
            </w:r>
          </w:p>
        </w:tc>
        <w:tc>
          <w:tcPr>
            <w:tcW w:w="427" w:type="pct"/>
            <w:tcBorders>
              <w:top w:val="nil"/>
              <w:left w:val="nil"/>
              <w:bottom w:val="single" w:sz="4" w:space="0" w:color="auto"/>
              <w:right w:val="single" w:sz="4" w:space="0" w:color="auto"/>
            </w:tcBorders>
            <w:shd w:val="clear" w:color="auto" w:fill="auto"/>
            <w:vAlign w:val="center"/>
          </w:tcPr>
          <w:p w14:paraId="2E5536B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3362934.82</w:t>
            </w:r>
          </w:p>
        </w:tc>
        <w:tc>
          <w:tcPr>
            <w:tcW w:w="752" w:type="pct"/>
            <w:tcBorders>
              <w:top w:val="nil"/>
              <w:left w:val="nil"/>
              <w:bottom w:val="single" w:sz="4" w:space="0" w:color="auto"/>
              <w:right w:val="single" w:sz="4" w:space="0" w:color="auto"/>
            </w:tcBorders>
            <w:shd w:val="clear" w:color="auto" w:fill="auto"/>
            <w:vAlign w:val="center"/>
          </w:tcPr>
          <w:p w14:paraId="1620FC6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1175440.28</w:t>
            </w:r>
          </w:p>
        </w:tc>
        <w:tc>
          <w:tcPr>
            <w:tcW w:w="366" w:type="pct"/>
            <w:tcBorders>
              <w:top w:val="nil"/>
              <w:left w:val="nil"/>
              <w:bottom w:val="single" w:sz="4" w:space="0" w:color="auto"/>
              <w:right w:val="single" w:sz="4" w:space="0" w:color="auto"/>
            </w:tcBorders>
            <w:shd w:val="clear" w:color="auto" w:fill="auto"/>
            <w:vAlign w:val="center"/>
          </w:tcPr>
          <w:p w14:paraId="0A7EA5F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37B1222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1175440.28</w:t>
            </w:r>
          </w:p>
        </w:tc>
        <w:tc>
          <w:tcPr>
            <w:tcW w:w="522" w:type="pct"/>
            <w:tcBorders>
              <w:top w:val="nil"/>
              <w:left w:val="nil"/>
              <w:bottom w:val="single" w:sz="4" w:space="0" w:color="auto"/>
              <w:right w:val="single" w:sz="4" w:space="0" w:color="auto"/>
            </w:tcBorders>
            <w:shd w:val="clear" w:color="auto" w:fill="auto"/>
            <w:vAlign w:val="center"/>
          </w:tcPr>
          <w:p w14:paraId="2178524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1341900</w:t>
            </w:r>
          </w:p>
        </w:tc>
        <w:tc>
          <w:tcPr>
            <w:tcW w:w="623" w:type="pct"/>
            <w:tcBorders>
              <w:top w:val="nil"/>
              <w:left w:val="nil"/>
              <w:bottom w:val="single" w:sz="4" w:space="0" w:color="auto"/>
              <w:right w:val="single" w:sz="4" w:space="0" w:color="auto"/>
            </w:tcBorders>
            <w:shd w:val="clear" w:color="auto" w:fill="auto"/>
            <w:vAlign w:val="center"/>
          </w:tcPr>
          <w:p w14:paraId="1FF9C11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3196475.1</w:t>
            </w:r>
          </w:p>
        </w:tc>
        <w:tc>
          <w:tcPr>
            <w:tcW w:w="928" w:type="pct"/>
            <w:tcBorders>
              <w:top w:val="nil"/>
              <w:left w:val="nil"/>
              <w:bottom w:val="single" w:sz="4" w:space="0" w:color="auto"/>
              <w:right w:val="single" w:sz="4" w:space="0" w:color="auto"/>
            </w:tcBorders>
            <w:shd w:val="clear" w:color="auto" w:fill="auto"/>
            <w:vAlign w:val="center"/>
          </w:tcPr>
          <w:p w14:paraId="4B7171E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-166459.72</w:t>
            </w:r>
          </w:p>
        </w:tc>
      </w:tr>
      <w:tr w:rsidR="002133E3" w14:paraId="6BE73579"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3AC00A73"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745DB11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COD</w:t>
            </w:r>
          </w:p>
        </w:tc>
        <w:tc>
          <w:tcPr>
            <w:tcW w:w="427" w:type="pct"/>
            <w:tcBorders>
              <w:top w:val="nil"/>
              <w:left w:val="nil"/>
              <w:bottom w:val="single" w:sz="4" w:space="0" w:color="auto"/>
              <w:right w:val="single" w:sz="4" w:space="0" w:color="auto"/>
            </w:tcBorders>
            <w:shd w:val="clear" w:color="auto" w:fill="auto"/>
            <w:vAlign w:val="center"/>
          </w:tcPr>
          <w:p w14:paraId="495FE55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896.789</w:t>
            </w:r>
          </w:p>
        </w:tc>
        <w:tc>
          <w:tcPr>
            <w:tcW w:w="752" w:type="pct"/>
            <w:tcBorders>
              <w:top w:val="nil"/>
              <w:left w:val="nil"/>
              <w:bottom w:val="single" w:sz="4" w:space="0" w:color="auto"/>
              <w:right w:val="single" w:sz="4" w:space="0" w:color="auto"/>
            </w:tcBorders>
            <w:shd w:val="clear" w:color="auto" w:fill="auto"/>
            <w:noWrap/>
            <w:vAlign w:val="center"/>
          </w:tcPr>
          <w:p w14:paraId="7EED618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66547.14</w:t>
            </w:r>
          </w:p>
        </w:tc>
        <w:tc>
          <w:tcPr>
            <w:tcW w:w="366" w:type="pct"/>
            <w:tcBorders>
              <w:top w:val="nil"/>
              <w:left w:val="nil"/>
              <w:bottom w:val="single" w:sz="4" w:space="0" w:color="auto"/>
              <w:right w:val="single" w:sz="4" w:space="0" w:color="auto"/>
            </w:tcBorders>
            <w:shd w:val="clear" w:color="auto" w:fill="auto"/>
            <w:noWrap/>
            <w:vAlign w:val="center"/>
          </w:tcPr>
          <w:p w14:paraId="73C2DFE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66076.96</w:t>
            </w:r>
          </w:p>
        </w:tc>
        <w:tc>
          <w:tcPr>
            <w:tcW w:w="488" w:type="pct"/>
            <w:tcBorders>
              <w:top w:val="nil"/>
              <w:left w:val="nil"/>
              <w:bottom w:val="single" w:sz="4" w:space="0" w:color="auto"/>
              <w:right w:val="single" w:sz="4" w:space="0" w:color="auto"/>
            </w:tcBorders>
            <w:shd w:val="clear" w:color="auto" w:fill="auto"/>
            <w:noWrap/>
            <w:vAlign w:val="center"/>
          </w:tcPr>
          <w:p w14:paraId="161501A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470.18</w:t>
            </w:r>
          </w:p>
        </w:tc>
        <w:tc>
          <w:tcPr>
            <w:tcW w:w="522" w:type="pct"/>
            <w:tcBorders>
              <w:top w:val="nil"/>
              <w:left w:val="nil"/>
              <w:bottom w:val="single" w:sz="4" w:space="0" w:color="auto"/>
              <w:right w:val="single" w:sz="4" w:space="0" w:color="auto"/>
            </w:tcBorders>
            <w:shd w:val="clear" w:color="auto" w:fill="auto"/>
            <w:vAlign w:val="center"/>
          </w:tcPr>
          <w:p w14:paraId="3EEC4D7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589.2</w:t>
            </w:r>
          </w:p>
        </w:tc>
        <w:tc>
          <w:tcPr>
            <w:tcW w:w="623" w:type="pct"/>
            <w:tcBorders>
              <w:top w:val="nil"/>
              <w:left w:val="nil"/>
              <w:bottom w:val="single" w:sz="4" w:space="0" w:color="auto"/>
              <w:right w:val="single" w:sz="4" w:space="0" w:color="auto"/>
            </w:tcBorders>
            <w:shd w:val="clear" w:color="auto" w:fill="auto"/>
            <w:vAlign w:val="center"/>
          </w:tcPr>
          <w:p w14:paraId="0A63944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777.769</w:t>
            </w:r>
          </w:p>
        </w:tc>
        <w:tc>
          <w:tcPr>
            <w:tcW w:w="928" w:type="pct"/>
            <w:tcBorders>
              <w:top w:val="nil"/>
              <w:left w:val="nil"/>
              <w:bottom w:val="single" w:sz="4" w:space="0" w:color="auto"/>
              <w:right w:val="single" w:sz="4" w:space="0" w:color="auto"/>
            </w:tcBorders>
            <w:shd w:val="clear" w:color="auto" w:fill="auto"/>
            <w:vAlign w:val="center"/>
          </w:tcPr>
          <w:p w14:paraId="293B884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-119.02</w:t>
            </w:r>
          </w:p>
        </w:tc>
      </w:tr>
      <w:tr w:rsidR="002133E3" w14:paraId="7BBAA082"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1FFB5992"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08A7FE3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SS</w:t>
            </w:r>
          </w:p>
        </w:tc>
        <w:tc>
          <w:tcPr>
            <w:tcW w:w="427" w:type="pct"/>
            <w:tcBorders>
              <w:top w:val="nil"/>
              <w:left w:val="nil"/>
              <w:bottom w:val="single" w:sz="4" w:space="0" w:color="auto"/>
              <w:right w:val="single" w:sz="4" w:space="0" w:color="auto"/>
            </w:tcBorders>
            <w:shd w:val="clear" w:color="auto" w:fill="auto"/>
            <w:vAlign w:val="center"/>
          </w:tcPr>
          <w:p w14:paraId="2FCF9AE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360.633</w:t>
            </w:r>
          </w:p>
        </w:tc>
        <w:tc>
          <w:tcPr>
            <w:tcW w:w="752" w:type="pct"/>
            <w:tcBorders>
              <w:top w:val="nil"/>
              <w:left w:val="nil"/>
              <w:bottom w:val="single" w:sz="4" w:space="0" w:color="auto"/>
              <w:right w:val="single" w:sz="4" w:space="0" w:color="auto"/>
            </w:tcBorders>
            <w:shd w:val="clear" w:color="auto" w:fill="auto"/>
            <w:noWrap/>
            <w:vAlign w:val="center"/>
          </w:tcPr>
          <w:p w14:paraId="4A77835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11034.98</w:t>
            </w:r>
          </w:p>
        </w:tc>
        <w:tc>
          <w:tcPr>
            <w:tcW w:w="366" w:type="pct"/>
            <w:tcBorders>
              <w:top w:val="nil"/>
              <w:left w:val="nil"/>
              <w:bottom w:val="single" w:sz="4" w:space="0" w:color="auto"/>
              <w:right w:val="single" w:sz="4" w:space="0" w:color="auto"/>
            </w:tcBorders>
            <w:shd w:val="clear" w:color="auto" w:fill="auto"/>
            <w:noWrap/>
            <w:vAlign w:val="center"/>
          </w:tcPr>
          <w:p w14:paraId="65F6632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10870.42</w:t>
            </w:r>
          </w:p>
        </w:tc>
        <w:tc>
          <w:tcPr>
            <w:tcW w:w="488" w:type="pct"/>
            <w:tcBorders>
              <w:top w:val="nil"/>
              <w:left w:val="nil"/>
              <w:bottom w:val="single" w:sz="4" w:space="0" w:color="auto"/>
              <w:right w:val="single" w:sz="4" w:space="0" w:color="auto"/>
            </w:tcBorders>
            <w:shd w:val="clear" w:color="auto" w:fill="auto"/>
            <w:noWrap/>
            <w:vAlign w:val="center"/>
          </w:tcPr>
          <w:p w14:paraId="3846414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164.56</w:t>
            </w:r>
          </w:p>
        </w:tc>
        <w:tc>
          <w:tcPr>
            <w:tcW w:w="522" w:type="pct"/>
            <w:tcBorders>
              <w:top w:val="nil"/>
              <w:left w:val="nil"/>
              <w:bottom w:val="single" w:sz="4" w:space="0" w:color="auto"/>
              <w:right w:val="single" w:sz="4" w:space="0" w:color="auto"/>
            </w:tcBorders>
            <w:shd w:val="clear" w:color="auto" w:fill="auto"/>
            <w:vAlign w:val="center"/>
          </w:tcPr>
          <w:p w14:paraId="7A44366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269.35</w:t>
            </w:r>
          </w:p>
        </w:tc>
        <w:tc>
          <w:tcPr>
            <w:tcW w:w="623" w:type="pct"/>
            <w:tcBorders>
              <w:top w:val="nil"/>
              <w:left w:val="nil"/>
              <w:bottom w:val="single" w:sz="4" w:space="0" w:color="auto"/>
              <w:right w:val="single" w:sz="4" w:space="0" w:color="auto"/>
            </w:tcBorders>
            <w:shd w:val="clear" w:color="auto" w:fill="auto"/>
            <w:vAlign w:val="center"/>
          </w:tcPr>
          <w:p w14:paraId="25E740C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255.843</w:t>
            </w:r>
          </w:p>
        </w:tc>
        <w:tc>
          <w:tcPr>
            <w:tcW w:w="928" w:type="pct"/>
            <w:tcBorders>
              <w:top w:val="nil"/>
              <w:left w:val="nil"/>
              <w:bottom w:val="single" w:sz="4" w:space="0" w:color="auto"/>
              <w:right w:val="single" w:sz="4" w:space="0" w:color="auto"/>
            </w:tcBorders>
            <w:shd w:val="clear" w:color="auto" w:fill="auto"/>
            <w:vAlign w:val="center"/>
          </w:tcPr>
          <w:p w14:paraId="33AC801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-104.79</w:t>
            </w:r>
          </w:p>
        </w:tc>
      </w:tr>
      <w:tr w:rsidR="002133E3" w14:paraId="3A31B490"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41AC973C"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1532A3F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氨氮</w:t>
            </w:r>
          </w:p>
        </w:tc>
        <w:tc>
          <w:tcPr>
            <w:tcW w:w="427" w:type="pct"/>
            <w:tcBorders>
              <w:top w:val="nil"/>
              <w:left w:val="nil"/>
              <w:bottom w:val="single" w:sz="4" w:space="0" w:color="auto"/>
              <w:right w:val="single" w:sz="4" w:space="0" w:color="auto"/>
            </w:tcBorders>
            <w:shd w:val="clear" w:color="auto" w:fill="auto"/>
            <w:vAlign w:val="center"/>
          </w:tcPr>
          <w:p w14:paraId="52C8823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40.411</w:t>
            </w:r>
          </w:p>
        </w:tc>
        <w:tc>
          <w:tcPr>
            <w:tcW w:w="752" w:type="pct"/>
            <w:tcBorders>
              <w:top w:val="nil"/>
              <w:left w:val="nil"/>
              <w:bottom w:val="single" w:sz="4" w:space="0" w:color="auto"/>
              <w:right w:val="single" w:sz="4" w:space="0" w:color="auto"/>
            </w:tcBorders>
            <w:shd w:val="clear" w:color="auto" w:fill="auto"/>
            <w:noWrap/>
            <w:vAlign w:val="center"/>
          </w:tcPr>
          <w:p w14:paraId="7139134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122.77</w:t>
            </w:r>
          </w:p>
        </w:tc>
        <w:tc>
          <w:tcPr>
            <w:tcW w:w="366" w:type="pct"/>
            <w:tcBorders>
              <w:top w:val="nil"/>
              <w:left w:val="nil"/>
              <w:bottom w:val="single" w:sz="4" w:space="0" w:color="auto"/>
              <w:right w:val="single" w:sz="4" w:space="0" w:color="auto"/>
            </w:tcBorders>
            <w:shd w:val="clear" w:color="auto" w:fill="auto"/>
            <w:noWrap/>
            <w:vAlign w:val="center"/>
          </w:tcPr>
          <w:p w14:paraId="35A5A90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87.51</w:t>
            </w:r>
          </w:p>
        </w:tc>
        <w:tc>
          <w:tcPr>
            <w:tcW w:w="488" w:type="pct"/>
            <w:tcBorders>
              <w:top w:val="nil"/>
              <w:left w:val="nil"/>
              <w:bottom w:val="single" w:sz="4" w:space="0" w:color="auto"/>
              <w:right w:val="single" w:sz="4" w:space="0" w:color="auto"/>
            </w:tcBorders>
            <w:shd w:val="clear" w:color="auto" w:fill="auto"/>
            <w:noWrap/>
            <w:vAlign w:val="center"/>
          </w:tcPr>
          <w:p w14:paraId="2F52D67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35.26</w:t>
            </w:r>
          </w:p>
        </w:tc>
        <w:tc>
          <w:tcPr>
            <w:tcW w:w="522" w:type="pct"/>
            <w:tcBorders>
              <w:top w:val="nil"/>
              <w:left w:val="nil"/>
              <w:bottom w:val="single" w:sz="4" w:space="0" w:color="auto"/>
              <w:right w:val="single" w:sz="4" w:space="0" w:color="auto"/>
            </w:tcBorders>
            <w:shd w:val="clear" w:color="auto" w:fill="auto"/>
            <w:vAlign w:val="center"/>
          </w:tcPr>
          <w:p w14:paraId="17F9D03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17.92</w:t>
            </w:r>
          </w:p>
        </w:tc>
        <w:tc>
          <w:tcPr>
            <w:tcW w:w="623" w:type="pct"/>
            <w:tcBorders>
              <w:top w:val="nil"/>
              <w:left w:val="nil"/>
              <w:bottom w:val="single" w:sz="4" w:space="0" w:color="auto"/>
              <w:right w:val="single" w:sz="4" w:space="0" w:color="auto"/>
            </w:tcBorders>
            <w:shd w:val="clear" w:color="auto" w:fill="auto"/>
            <w:vAlign w:val="center"/>
          </w:tcPr>
          <w:p w14:paraId="65B6CBE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57.751</w:t>
            </w:r>
          </w:p>
        </w:tc>
        <w:tc>
          <w:tcPr>
            <w:tcW w:w="928" w:type="pct"/>
            <w:tcBorders>
              <w:top w:val="nil"/>
              <w:left w:val="nil"/>
              <w:bottom w:val="single" w:sz="4" w:space="0" w:color="auto"/>
              <w:right w:val="single" w:sz="4" w:space="0" w:color="auto"/>
            </w:tcBorders>
            <w:shd w:val="clear" w:color="auto" w:fill="auto"/>
            <w:vAlign w:val="center"/>
          </w:tcPr>
          <w:p w14:paraId="30B8BCD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17.34</w:t>
            </w:r>
          </w:p>
        </w:tc>
      </w:tr>
      <w:tr w:rsidR="002133E3" w14:paraId="609D7431"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1FE8C916"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4077237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总磷</w:t>
            </w:r>
          </w:p>
        </w:tc>
        <w:tc>
          <w:tcPr>
            <w:tcW w:w="427" w:type="pct"/>
            <w:tcBorders>
              <w:top w:val="nil"/>
              <w:left w:val="nil"/>
              <w:bottom w:val="single" w:sz="4" w:space="0" w:color="auto"/>
              <w:right w:val="single" w:sz="4" w:space="0" w:color="auto"/>
            </w:tcBorders>
            <w:shd w:val="clear" w:color="auto" w:fill="auto"/>
            <w:vAlign w:val="center"/>
          </w:tcPr>
          <w:p w14:paraId="35994BB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5.22</w:t>
            </w:r>
          </w:p>
        </w:tc>
        <w:tc>
          <w:tcPr>
            <w:tcW w:w="752" w:type="pct"/>
            <w:tcBorders>
              <w:top w:val="nil"/>
              <w:left w:val="nil"/>
              <w:bottom w:val="single" w:sz="4" w:space="0" w:color="auto"/>
              <w:right w:val="single" w:sz="4" w:space="0" w:color="auto"/>
            </w:tcBorders>
            <w:shd w:val="clear" w:color="auto" w:fill="auto"/>
            <w:noWrap/>
            <w:vAlign w:val="center"/>
          </w:tcPr>
          <w:p w14:paraId="54FAE5D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5.39</w:t>
            </w:r>
          </w:p>
        </w:tc>
        <w:tc>
          <w:tcPr>
            <w:tcW w:w="366" w:type="pct"/>
            <w:tcBorders>
              <w:top w:val="nil"/>
              <w:left w:val="nil"/>
              <w:bottom w:val="single" w:sz="4" w:space="0" w:color="auto"/>
              <w:right w:val="single" w:sz="4" w:space="0" w:color="auto"/>
            </w:tcBorders>
            <w:shd w:val="clear" w:color="auto" w:fill="auto"/>
            <w:noWrap/>
            <w:vAlign w:val="center"/>
          </w:tcPr>
          <w:p w14:paraId="384FC5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1.86</w:t>
            </w:r>
          </w:p>
        </w:tc>
        <w:tc>
          <w:tcPr>
            <w:tcW w:w="488" w:type="pct"/>
            <w:tcBorders>
              <w:top w:val="nil"/>
              <w:left w:val="nil"/>
              <w:bottom w:val="single" w:sz="4" w:space="0" w:color="auto"/>
              <w:right w:val="single" w:sz="4" w:space="0" w:color="auto"/>
            </w:tcBorders>
            <w:shd w:val="clear" w:color="auto" w:fill="auto"/>
            <w:noWrap/>
            <w:vAlign w:val="center"/>
          </w:tcPr>
          <w:p w14:paraId="6767876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3.53</w:t>
            </w:r>
          </w:p>
        </w:tc>
        <w:tc>
          <w:tcPr>
            <w:tcW w:w="522" w:type="pct"/>
            <w:tcBorders>
              <w:top w:val="nil"/>
              <w:left w:val="nil"/>
              <w:bottom w:val="single" w:sz="4" w:space="0" w:color="auto"/>
              <w:right w:val="single" w:sz="4" w:space="0" w:color="auto"/>
            </w:tcBorders>
            <w:shd w:val="clear" w:color="auto" w:fill="auto"/>
            <w:vAlign w:val="center"/>
          </w:tcPr>
          <w:p w14:paraId="09C36B5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28FAB7E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8.75</w:t>
            </w:r>
          </w:p>
        </w:tc>
        <w:tc>
          <w:tcPr>
            <w:tcW w:w="928" w:type="pct"/>
            <w:tcBorders>
              <w:top w:val="nil"/>
              <w:left w:val="nil"/>
              <w:bottom w:val="single" w:sz="4" w:space="0" w:color="auto"/>
              <w:right w:val="single" w:sz="4" w:space="0" w:color="auto"/>
            </w:tcBorders>
            <w:shd w:val="clear" w:color="auto" w:fill="auto"/>
            <w:vAlign w:val="center"/>
          </w:tcPr>
          <w:p w14:paraId="356E396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3.53</w:t>
            </w:r>
          </w:p>
        </w:tc>
      </w:tr>
      <w:tr w:rsidR="002133E3" w14:paraId="2D485972"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137F7018"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1AFBF89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总氮</w:t>
            </w:r>
          </w:p>
        </w:tc>
        <w:tc>
          <w:tcPr>
            <w:tcW w:w="427" w:type="pct"/>
            <w:tcBorders>
              <w:top w:val="nil"/>
              <w:left w:val="nil"/>
              <w:bottom w:val="single" w:sz="4" w:space="0" w:color="auto"/>
              <w:right w:val="single" w:sz="4" w:space="0" w:color="auto"/>
            </w:tcBorders>
            <w:shd w:val="clear" w:color="auto" w:fill="auto"/>
            <w:vAlign w:val="center"/>
          </w:tcPr>
          <w:p w14:paraId="4F7CE20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752" w:type="pct"/>
            <w:tcBorders>
              <w:top w:val="nil"/>
              <w:left w:val="nil"/>
              <w:bottom w:val="single" w:sz="4" w:space="0" w:color="auto"/>
              <w:right w:val="single" w:sz="4" w:space="0" w:color="auto"/>
            </w:tcBorders>
            <w:shd w:val="clear" w:color="auto" w:fill="auto"/>
            <w:noWrap/>
            <w:vAlign w:val="center"/>
          </w:tcPr>
          <w:p w14:paraId="04F89F6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95.68</w:t>
            </w:r>
          </w:p>
        </w:tc>
        <w:tc>
          <w:tcPr>
            <w:tcW w:w="366" w:type="pct"/>
            <w:tcBorders>
              <w:top w:val="nil"/>
              <w:left w:val="nil"/>
              <w:bottom w:val="single" w:sz="4" w:space="0" w:color="auto"/>
              <w:right w:val="single" w:sz="4" w:space="0" w:color="auto"/>
            </w:tcBorders>
            <w:shd w:val="clear" w:color="auto" w:fill="auto"/>
            <w:noWrap/>
            <w:vAlign w:val="center"/>
          </w:tcPr>
          <w:p w14:paraId="51072ED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36.91</w:t>
            </w:r>
          </w:p>
        </w:tc>
        <w:tc>
          <w:tcPr>
            <w:tcW w:w="488" w:type="pct"/>
            <w:tcBorders>
              <w:top w:val="nil"/>
              <w:left w:val="nil"/>
              <w:bottom w:val="single" w:sz="4" w:space="0" w:color="auto"/>
              <w:right w:val="single" w:sz="4" w:space="0" w:color="auto"/>
            </w:tcBorders>
            <w:shd w:val="clear" w:color="auto" w:fill="auto"/>
            <w:noWrap/>
            <w:vAlign w:val="center"/>
          </w:tcPr>
          <w:p w14:paraId="1B9CEFC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58.77</w:t>
            </w:r>
          </w:p>
        </w:tc>
        <w:tc>
          <w:tcPr>
            <w:tcW w:w="522" w:type="pct"/>
            <w:tcBorders>
              <w:top w:val="nil"/>
              <w:left w:val="nil"/>
              <w:bottom w:val="single" w:sz="4" w:space="0" w:color="auto"/>
              <w:right w:val="single" w:sz="4" w:space="0" w:color="auto"/>
            </w:tcBorders>
            <w:shd w:val="clear" w:color="auto" w:fill="auto"/>
            <w:vAlign w:val="center"/>
          </w:tcPr>
          <w:p w14:paraId="6EA89BC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556D41B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58.77</w:t>
            </w:r>
          </w:p>
        </w:tc>
        <w:tc>
          <w:tcPr>
            <w:tcW w:w="928" w:type="pct"/>
            <w:tcBorders>
              <w:top w:val="nil"/>
              <w:left w:val="nil"/>
              <w:bottom w:val="single" w:sz="4" w:space="0" w:color="auto"/>
              <w:right w:val="single" w:sz="4" w:space="0" w:color="auto"/>
            </w:tcBorders>
            <w:shd w:val="clear" w:color="auto" w:fill="auto"/>
            <w:vAlign w:val="center"/>
          </w:tcPr>
          <w:p w14:paraId="5B7EDF4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58.77</w:t>
            </w:r>
          </w:p>
        </w:tc>
      </w:tr>
      <w:tr w:rsidR="002133E3" w14:paraId="480966F6"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4B9C3C29"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43BCD14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盐分</w:t>
            </w:r>
          </w:p>
        </w:tc>
        <w:tc>
          <w:tcPr>
            <w:tcW w:w="427" w:type="pct"/>
            <w:tcBorders>
              <w:top w:val="nil"/>
              <w:left w:val="nil"/>
              <w:bottom w:val="single" w:sz="4" w:space="0" w:color="auto"/>
              <w:right w:val="single" w:sz="4" w:space="0" w:color="auto"/>
            </w:tcBorders>
            <w:shd w:val="clear" w:color="auto" w:fill="auto"/>
            <w:vAlign w:val="center"/>
          </w:tcPr>
          <w:p w14:paraId="3DB474B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752" w:type="pct"/>
            <w:tcBorders>
              <w:top w:val="nil"/>
              <w:left w:val="nil"/>
              <w:bottom w:val="single" w:sz="4" w:space="0" w:color="auto"/>
              <w:right w:val="single" w:sz="4" w:space="0" w:color="auto"/>
            </w:tcBorders>
            <w:shd w:val="clear" w:color="auto" w:fill="auto"/>
            <w:noWrap/>
            <w:vAlign w:val="center"/>
          </w:tcPr>
          <w:p w14:paraId="4EEE82F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48.87</w:t>
            </w:r>
          </w:p>
        </w:tc>
        <w:tc>
          <w:tcPr>
            <w:tcW w:w="366" w:type="pct"/>
            <w:tcBorders>
              <w:top w:val="nil"/>
              <w:left w:val="nil"/>
              <w:bottom w:val="single" w:sz="4" w:space="0" w:color="auto"/>
              <w:right w:val="single" w:sz="4" w:space="0" w:color="auto"/>
            </w:tcBorders>
            <w:shd w:val="clear" w:color="auto" w:fill="auto"/>
            <w:noWrap/>
            <w:vAlign w:val="center"/>
          </w:tcPr>
          <w:p w14:paraId="2F2352E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noWrap/>
            <w:vAlign w:val="center"/>
          </w:tcPr>
          <w:p w14:paraId="7930A74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48.87</w:t>
            </w:r>
          </w:p>
        </w:tc>
        <w:tc>
          <w:tcPr>
            <w:tcW w:w="522" w:type="pct"/>
            <w:tcBorders>
              <w:top w:val="nil"/>
              <w:left w:val="nil"/>
              <w:bottom w:val="single" w:sz="4" w:space="0" w:color="auto"/>
              <w:right w:val="single" w:sz="4" w:space="0" w:color="auto"/>
            </w:tcBorders>
            <w:shd w:val="clear" w:color="auto" w:fill="auto"/>
            <w:vAlign w:val="center"/>
          </w:tcPr>
          <w:p w14:paraId="5A8E71E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25B4E21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48.87</w:t>
            </w:r>
          </w:p>
        </w:tc>
        <w:tc>
          <w:tcPr>
            <w:tcW w:w="928" w:type="pct"/>
            <w:tcBorders>
              <w:top w:val="nil"/>
              <w:left w:val="nil"/>
              <w:bottom w:val="single" w:sz="4" w:space="0" w:color="auto"/>
              <w:right w:val="single" w:sz="4" w:space="0" w:color="auto"/>
            </w:tcBorders>
            <w:shd w:val="clear" w:color="auto" w:fill="auto"/>
            <w:vAlign w:val="center"/>
          </w:tcPr>
          <w:p w14:paraId="2753770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48.87</w:t>
            </w:r>
          </w:p>
        </w:tc>
      </w:tr>
      <w:tr w:rsidR="002133E3" w14:paraId="6EEE4B07" w14:textId="77777777">
        <w:trPr>
          <w:trHeight w:val="284"/>
        </w:trPr>
        <w:tc>
          <w:tcPr>
            <w:tcW w:w="366" w:type="pct"/>
            <w:vMerge w:val="restart"/>
            <w:tcBorders>
              <w:top w:val="nil"/>
              <w:left w:val="single" w:sz="4" w:space="0" w:color="auto"/>
              <w:bottom w:val="single" w:sz="4" w:space="0" w:color="auto"/>
              <w:right w:val="single" w:sz="4" w:space="0" w:color="auto"/>
            </w:tcBorders>
            <w:shd w:val="clear" w:color="auto" w:fill="auto"/>
            <w:vAlign w:val="center"/>
          </w:tcPr>
          <w:p w14:paraId="2BBFC00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废气</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有组织，单位：</w:t>
            </w:r>
            <w:r>
              <w:rPr>
                <w:rFonts w:ascii="Times New Roman" w:eastAsia="宋体" w:hAnsi="Times New Roman" w:cs="Times New Roman"/>
                <w:color w:val="000000"/>
                <w:kern w:val="0"/>
                <w:szCs w:val="21"/>
              </w:rPr>
              <w:t>t/a)</w:t>
            </w:r>
          </w:p>
        </w:tc>
        <w:tc>
          <w:tcPr>
            <w:tcW w:w="528" w:type="pct"/>
            <w:tcBorders>
              <w:top w:val="nil"/>
              <w:left w:val="nil"/>
              <w:bottom w:val="single" w:sz="4" w:space="0" w:color="auto"/>
              <w:right w:val="single" w:sz="4" w:space="0" w:color="auto"/>
            </w:tcBorders>
            <w:shd w:val="clear" w:color="auto" w:fill="auto"/>
            <w:vAlign w:val="center"/>
          </w:tcPr>
          <w:p w14:paraId="7636FCD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SO</w:t>
            </w:r>
            <w:r>
              <w:rPr>
                <w:rFonts w:ascii="Times New Roman" w:eastAsia="宋体" w:hAnsi="Times New Roman" w:cs="Times New Roman"/>
                <w:color w:val="000000"/>
                <w:kern w:val="0"/>
                <w:szCs w:val="21"/>
                <w:vertAlign w:val="subscript"/>
              </w:rPr>
              <w:t>2</w:t>
            </w:r>
            <w:r>
              <w:rPr>
                <w:rFonts w:ascii="Times New Roman" w:eastAsia="宋体" w:hAnsi="Times New Roman" w:cs="Times New Roman"/>
                <w:color w:val="000000"/>
                <w:kern w:val="0"/>
                <w:szCs w:val="21"/>
              </w:rPr>
              <w:t>*</w:t>
            </w:r>
          </w:p>
        </w:tc>
        <w:tc>
          <w:tcPr>
            <w:tcW w:w="427" w:type="pct"/>
            <w:tcBorders>
              <w:top w:val="nil"/>
              <w:left w:val="nil"/>
              <w:bottom w:val="single" w:sz="4" w:space="0" w:color="auto"/>
              <w:right w:val="single" w:sz="4" w:space="0" w:color="auto"/>
            </w:tcBorders>
            <w:shd w:val="clear" w:color="auto" w:fill="auto"/>
            <w:vAlign w:val="center"/>
          </w:tcPr>
          <w:p w14:paraId="368EFA0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8.85</w:t>
            </w:r>
          </w:p>
        </w:tc>
        <w:tc>
          <w:tcPr>
            <w:tcW w:w="752" w:type="pct"/>
            <w:tcBorders>
              <w:top w:val="nil"/>
              <w:left w:val="nil"/>
              <w:bottom w:val="single" w:sz="4" w:space="0" w:color="auto"/>
              <w:right w:val="single" w:sz="4" w:space="0" w:color="auto"/>
            </w:tcBorders>
            <w:shd w:val="clear" w:color="auto" w:fill="auto"/>
            <w:vAlign w:val="center"/>
          </w:tcPr>
          <w:p w14:paraId="261ADF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7002958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2E2E6A8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45B98FD7"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7ACFF9E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8.85</w:t>
            </w:r>
          </w:p>
        </w:tc>
        <w:tc>
          <w:tcPr>
            <w:tcW w:w="928" w:type="pct"/>
            <w:tcBorders>
              <w:top w:val="nil"/>
              <w:left w:val="nil"/>
              <w:bottom w:val="single" w:sz="4" w:space="0" w:color="auto"/>
              <w:right w:val="single" w:sz="4" w:space="0" w:color="auto"/>
            </w:tcBorders>
            <w:shd w:val="clear" w:color="auto" w:fill="auto"/>
            <w:vAlign w:val="center"/>
          </w:tcPr>
          <w:p w14:paraId="17B3FC9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521F6159"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46C13664"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7D50751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NOx*</w:t>
            </w:r>
          </w:p>
        </w:tc>
        <w:tc>
          <w:tcPr>
            <w:tcW w:w="427" w:type="pct"/>
            <w:tcBorders>
              <w:top w:val="nil"/>
              <w:left w:val="nil"/>
              <w:bottom w:val="single" w:sz="4" w:space="0" w:color="auto"/>
              <w:right w:val="single" w:sz="4" w:space="0" w:color="auto"/>
            </w:tcBorders>
            <w:shd w:val="clear" w:color="auto" w:fill="auto"/>
            <w:vAlign w:val="center"/>
          </w:tcPr>
          <w:p w14:paraId="12A7E5B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24.96</w:t>
            </w:r>
          </w:p>
        </w:tc>
        <w:tc>
          <w:tcPr>
            <w:tcW w:w="752" w:type="pct"/>
            <w:tcBorders>
              <w:top w:val="nil"/>
              <w:left w:val="nil"/>
              <w:bottom w:val="single" w:sz="4" w:space="0" w:color="auto"/>
              <w:right w:val="single" w:sz="4" w:space="0" w:color="auto"/>
            </w:tcBorders>
            <w:shd w:val="clear" w:color="auto" w:fill="auto"/>
            <w:vAlign w:val="center"/>
          </w:tcPr>
          <w:p w14:paraId="4E25787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0E8B9A9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1CB75F0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41C4D81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37A3010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24.96</w:t>
            </w:r>
          </w:p>
        </w:tc>
        <w:tc>
          <w:tcPr>
            <w:tcW w:w="928" w:type="pct"/>
            <w:tcBorders>
              <w:top w:val="nil"/>
              <w:left w:val="nil"/>
              <w:bottom w:val="single" w:sz="4" w:space="0" w:color="auto"/>
              <w:right w:val="single" w:sz="4" w:space="0" w:color="auto"/>
            </w:tcBorders>
            <w:shd w:val="clear" w:color="auto" w:fill="auto"/>
            <w:vAlign w:val="center"/>
          </w:tcPr>
          <w:p w14:paraId="036B9AD4"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7BF607A2"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18E6853A"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5E91B92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烟尘</w:t>
            </w:r>
          </w:p>
        </w:tc>
        <w:tc>
          <w:tcPr>
            <w:tcW w:w="427" w:type="pct"/>
            <w:tcBorders>
              <w:top w:val="nil"/>
              <w:left w:val="nil"/>
              <w:bottom w:val="single" w:sz="4" w:space="0" w:color="auto"/>
              <w:right w:val="single" w:sz="4" w:space="0" w:color="auto"/>
            </w:tcBorders>
            <w:shd w:val="clear" w:color="auto" w:fill="auto"/>
            <w:vAlign w:val="center"/>
          </w:tcPr>
          <w:p w14:paraId="1778875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12.26</w:t>
            </w:r>
          </w:p>
        </w:tc>
        <w:tc>
          <w:tcPr>
            <w:tcW w:w="752" w:type="pct"/>
            <w:tcBorders>
              <w:top w:val="nil"/>
              <w:left w:val="nil"/>
              <w:bottom w:val="single" w:sz="4" w:space="0" w:color="auto"/>
              <w:right w:val="single" w:sz="4" w:space="0" w:color="auto"/>
            </w:tcBorders>
            <w:shd w:val="clear" w:color="auto" w:fill="auto"/>
            <w:vAlign w:val="center"/>
          </w:tcPr>
          <w:p w14:paraId="05EC4E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558E311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4AFD3BB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6FE8631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412F8A5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12.26</w:t>
            </w:r>
          </w:p>
        </w:tc>
        <w:tc>
          <w:tcPr>
            <w:tcW w:w="928" w:type="pct"/>
            <w:tcBorders>
              <w:top w:val="nil"/>
              <w:left w:val="nil"/>
              <w:bottom w:val="single" w:sz="4" w:space="0" w:color="auto"/>
              <w:right w:val="single" w:sz="4" w:space="0" w:color="auto"/>
            </w:tcBorders>
            <w:shd w:val="clear" w:color="auto" w:fill="auto"/>
            <w:vAlign w:val="center"/>
          </w:tcPr>
          <w:p w14:paraId="57DAB24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681FC274"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288FDABF"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31C7A5D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粉尘</w:t>
            </w:r>
          </w:p>
        </w:tc>
        <w:tc>
          <w:tcPr>
            <w:tcW w:w="427" w:type="pct"/>
            <w:tcBorders>
              <w:top w:val="nil"/>
              <w:left w:val="nil"/>
              <w:bottom w:val="single" w:sz="4" w:space="0" w:color="auto"/>
              <w:right w:val="single" w:sz="4" w:space="0" w:color="auto"/>
            </w:tcBorders>
            <w:shd w:val="clear" w:color="auto" w:fill="auto"/>
            <w:vAlign w:val="center"/>
          </w:tcPr>
          <w:p w14:paraId="5331AB0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34.7</w:t>
            </w:r>
          </w:p>
        </w:tc>
        <w:tc>
          <w:tcPr>
            <w:tcW w:w="752" w:type="pct"/>
            <w:tcBorders>
              <w:top w:val="nil"/>
              <w:left w:val="nil"/>
              <w:bottom w:val="single" w:sz="4" w:space="0" w:color="auto"/>
              <w:right w:val="single" w:sz="4" w:space="0" w:color="auto"/>
            </w:tcBorders>
            <w:shd w:val="clear" w:color="auto" w:fill="auto"/>
            <w:noWrap/>
            <w:vAlign w:val="center"/>
          </w:tcPr>
          <w:p w14:paraId="337C074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1600</w:t>
            </w:r>
          </w:p>
        </w:tc>
        <w:tc>
          <w:tcPr>
            <w:tcW w:w="366" w:type="pct"/>
            <w:tcBorders>
              <w:top w:val="nil"/>
              <w:left w:val="nil"/>
              <w:bottom w:val="single" w:sz="4" w:space="0" w:color="auto"/>
              <w:right w:val="single" w:sz="4" w:space="0" w:color="auto"/>
            </w:tcBorders>
            <w:shd w:val="clear" w:color="auto" w:fill="auto"/>
            <w:noWrap/>
            <w:vAlign w:val="center"/>
          </w:tcPr>
          <w:p w14:paraId="3830552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1584</w:t>
            </w:r>
          </w:p>
        </w:tc>
        <w:tc>
          <w:tcPr>
            <w:tcW w:w="488" w:type="pct"/>
            <w:tcBorders>
              <w:top w:val="nil"/>
              <w:left w:val="nil"/>
              <w:bottom w:val="single" w:sz="4" w:space="0" w:color="auto"/>
              <w:right w:val="single" w:sz="4" w:space="0" w:color="auto"/>
            </w:tcBorders>
            <w:shd w:val="clear" w:color="auto" w:fill="auto"/>
            <w:noWrap/>
            <w:vAlign w:val="center"/>
          </w:tcPr>
          <w:p w14:paraId="313EDC7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16</w:t>
            </w:r>
          </w:p>
        </w:tc>
        <w:tc>
          <w:tcPr>
            <w:tcW w:w="522" w:type="pct"/>
            <w:tcBorders>
              <w:top w:val="nil"/>
              <w:left w:val="nil"/>
              <w:bottom w:val="single" w:sz="4" w:space="0" w:color="auto"/>
              <w:right w:val="single" w:sz="4" w:space="0" w:color="auto"/>
            </w:tcBorders>
            <w:shd w:val="clear" w:color="auto" w:fill="auto"/>
            <w:vAlign w:val="center"/>
          </w:tcPr>
          <w:p w14:paraId="539D406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16</w:t>
            </w:r>
          </w:p>
        </w:tc>
        <w:tc>
          <w:tcPr>
            <w:tcW w:w="623" w:type="pct"/>
            <w:tcBorders>
              <w:top w:val="nil"/>
              <w:left w:val="nil"/>
              <w:bottom w:val="single" w:sz="4" w:space="0" w:color="auto"/>
              <w:right w:val="single" w:sz="4" w:space="0" w:color="auto"/>
            </w:tcBorders>
            <w:shd w:val="clear" w:color="auto" w:fill="auto"/>
            <w:vAlign w:val="center"/>
          </w:tcPr>
          <w:p w14:paraId="52BDD5C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34.7</w:t>
            </w:r>
          </w:p>
        </w:tc>
        <w:tc>
          <w:tcPr>
            <w:tcW w:w="928" w:type="pct"/>
            <w:tcBorders>
              <w:top w:val="nil"/>
              <w:left w:val="nil"/>
              <w:bottom w:val="single" w:sz="4" w:space="0" w:color="auto"/>
              <w:right w:val="single" w:sz="4" w:space="0" w:color="auto"/>
            </w:tcBorders>
            <w:shd w:val="clear" w:color="auto" w:fill="auto"/>
            <w:vAlign w:val="center"/>
          </w:tcPr>
          <w:p w14:paraId="57BF7CB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3D9D58AE"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2573DDC5"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690F8B2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乙醇</w:t>
            </w:r>
          </w:p>
        </w:tc>
        <w:tc>
          <w:tcPr>
            <w:tcW w:w="427" w:type="pct"/>
            <w:tcBorders>
              <w:top w:val="nil"/>
              <w:left w:val="nil"/>
              <w:bottom w:val="single" w:sz="4" w:space="0" w:color="auto"/>
              <w:right w:val="single" w:sz="4" w:space="0" w:color="auto"/>
            </w:tcBorders>
            <w:shd w:val="clear" w:color="auto" w:fill="auto"/>
            <w:vAlign w:val="center"/>
          </w:tcPr>
          <w:p w14:paraId="145B61E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128.27</w:t>
            </w:r>
          </w:p>
        </w:tc>
        <w:tc>
          <w:tcPr>
            <w:tcW w:w="752" w:type="pct"/>
            <w:tcBorders>
              <w:top w:val="nil"/>
              <w:left w:val="nil"/>
              <w:bottom w:val="single" w:sz="4" w:space="0" w:color="auto"/>
              <w:right w:val="single" w:sz="4" w:space="0" w:color="auto"/>
            </w:tcBorders>
            <w:shd w:val="clear" w:color="auto" w:fill="auto"/>
            <w:noWrap/>
            <w:vAlign w:val="center"/>
          </w:tcPr>
          <w:p w14:paraId="10C73D2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175.62</w:t>
            </w:r>
          </w:p>
        </w:tc>
        <w:tc>
          <w:tcPr>
            <w:tcW w:w="366" w:type="pct"/>
            <w:tcBorders>
              <w:top w:val="nil"/>
              <w:left w:val="nil"/>
              <w:bottom w:val="single" w:sz="4" w:space="0" w:color="auto"/>
              <w:right w:val="single" w:sz="4" w:space="0" w:color="auto"/>
            </w:tcBorders>
            <w:shd w:val="clear" w:color="auto" w:fill="auto"/>
            <w:noWrap/>
            <w:vAlign w:val="center"/>
          </w:tcPr>
          <w:p w14:paraId="4682968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173.86</w:t>
            </w:r>
          </w:p>
        </w:tc>
        <w:tc>
          <w:tcPr>
            <w:tcW w:w="488" w:type="pct"/>
            <w:tcBorders>
              <w:top w:val="nil"/>
              <w:left w:val="nil"/>
              <w:bottom w:val="single" w:sz="4" w:space="0" w:color="auto"/>
              <w:right w:val="single" w:sz="4" w:space="0" w:color="auto"/>
            </w:tcBorders>
            <w:shd w:val="clear" w:color="auto" w:fill="auto"/>
            <w:noWrap/>
            <w:vAlign w:val="center"/>
          </w:tcPr>
          <w:p w14:paraId="1AD689B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1.76</w:t>
            </w:r>
          </w:p>
        </w:tc>
        <w:tc>
          <w:tcPr>
            <w:tcW w:w="522" w:type="pct"/>
            <w:tcBorders>
              <w:top w:val="nil"/>
              <w:left w:val="nil"/>
              <w:bottom w:val="single" w:sz="4" w:space="0" w:color="auto"/>
              <w:right w:val="single" w:sz="4" w:space="0" w:color="auto"/>
            </w:tcBorders>
            <w:shd w:val="clear" w:color="auto" w:fill="auto"/>
            <w:vAlign w:val="center"/>
          </w:tcPr>
          <w:p w14:paraId="336D4FC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127</w:t>
            </w:r>
          </w:p>
        </w:tc>
        <w:tc>
          <w:tcPr>
            <w:tcW w:w="623" w:type="pct"/>
            <w:tcBorders>
              <w:top w:val="nil"/>
              <w:left w:val="nil"/>
              <w:bottom w:val="single" w:sz="4" w:space="0" w:color="auto"/>
              <w:right w:val="single" w:sz="4" w:space="0" w:color="auto"/>
            </w:tcBorders>
            <w:shd w:val="clear" w:color="auto" w:fill="auto"/>
            <w:vAlign w:val="center"/>
          </w:tcPr>
          <w:p w14:paraId="039A3E2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3.03</w:t>
            </w:r>
          </w:p>
        </w:tc>
        <w:tc>
          <w:tcPr>
            <w:tcW w:w="928" w:type="pct"/>
            <w:tcBorders>
              <w:top w:val="nil"/>
              <w:left w:val="nil"/>
              <w:bottom w:val="single" w:sz="4" w:space="0" w:color="auto"/>
              <w:right w:val="single" w:sz="4" w:space="0" w:color="auto"/>
            </w:tcBorders>
            <w:shd w:val="clear" w:color="auto" w:fill="auto"/>
            <w:vAlign w:val="center"/>
          </w:tcPr>
          <w:p w14:paraId="4F4FA5E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-125.24</w:t>
            </w:r>
          </w:p>
        </w:tc>
      </w:tr>
      <w:tr w:rsidR="002133E3" w14:paraId="0FDD2888"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585FCE0C"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6E707D1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乙醛</w:t>
            </w:r>
          </w:p>
        </w:tc>
        <w:tc>
          <w:tcPr>
            <w:tcW w:w="427" w:type="pct"/>
            <w:tcBorders>
              <w:top w:val="nil"/>
              <w:left w:val="nil"/>
              <w:bottom w:val="single" w:sz="4" w:space="0" w:color="auto"/>
              <w:right w:val="single" w:sz="4" w:space="0" w:color="auto"/>
            </w:tcBorders>
            <w:shd w:val="clear" w:color="auto" w:fill="auto"/>
            <w:vAlign w:val="center"/>
          </w:tcPr>
          <w:p w14:paraId="6C7C00A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3.55</w:t>
            </w:r>
          </w:p>
        </w:tc>
        <w:tc>
          <w:tcPr>
            <w:tcW w:w="752" w:type="pct"/>
            <w:tcBorders>
              <w:top w:val="nil"/>
              <w:left w:val="nil"/>
              <w:bottom w:val="single" w:sz="4" w:space="0" w:color="auto"/>
              <w:right w:val="single" w:sz="4" w:space="0" w:color="auto"/>
            </w:tcBorders>
            <w:shd w:val="clear" w:color="auto" w:fill="auto"/>
            <w:vAlign w:val="center"/>
          </w:tcPr>
          <w:p w14:paraId="6C31AEC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490A02D8"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201C057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6E0B714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480503E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3.55</w:t>
            </w:r>
          </w:p>
        </w:tc>
        <w:tc>
          <w:tcPr>
            <w:tcW w:w="928" w:type="pct"/>
            <w:tcBorders>
              <w:top w:val="nil"/>
              <w:left w:val="nil"/>
              <w:bottom w:val="single" w:sz="4" w:space="0" w:color="auto"/>
              <w:right w:val="single" w:sz="4" w:space="0" w:color="auto"/>
            </w:tcBorders>
            <w:shd w:val="clear" w:color="auto" w:fill="auto"/>
            <w:vAlign w:val="center"/>
          </w:tcPr>
          <w:p w14:paraId="0373E321"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1CAE94FD"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32689E15"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728559B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丙酮</w:t>
            </w:r>
          </w:p>
        </w:tc>
        <w:tc>
          <w:tcPr>
            <w:tcW w:w="427" w:type="pct"/>
            <w:tcBorders>
              <w:top w:val="nil"/>
              <w:left w:val="nil"/>
              <w:bottom w:val="single" w:sz="4" w:space="0" w:color="auto"/>
              <w:right w:val="single" w:sz="4" w:space="0" w:color="auto"/>
            </w:tcBorders>
            <w:shd w:val="clear" w:color="auto" w:fill="auto"/>
            <w:vAlign w:val="center"/>
          </w:tcPr>
          <w:p w14:paraId="00CF329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2.16</w:t>
            </w:r>
          </w:p>
        </w:tc>
        <w:tc>
          <w:tcPr>
            <w:tcW w:w="752" w:type="pct"/>
            <w:tcBorders>
              <w:top w:val="nil"/>
              <w:left w:val="nil"/>
              <w:bottom w:val="single" w:sz="4" w:space="0" w:color="auto"/>
              <w:right w:val="single" w:sz="4" w:space="0" w:color="auto"/>
            </w:tcBorders>
            <w:shd w:val="clear" w:color="auto" w:fill="auto"/>
            <w:vAlign w:val="center"/>
          </w:tcPr>
          <w:p w14:paraId="27D3DF5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062BA6F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53B1CE2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673D89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3EC2EE4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2.16</w:t>
            </w:r>
          </w:p>
        </w:tc>
        <w:tc>
          <w:tcPr>
            <w:tcW w:w="928" w:type="pct"/>
            <w:tcBorders>
              <w:top w:val="nil"/>
              <w:left w:val="nil"/>
              <w:bottom w:val="single" w:sz="4" w:space="0" w:color="auto"/>
              <w:right w:val="single" w:sz="4" w:space="0" w:color="auto"/>
            </w:tcBorders>
            <w:shd w:val="clear" w:color="auto" w:fill="auto"/>
            <w:vAlign w:val="center"/>
          </w:tcPr>
          <w:p w14:paraId="573B656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550BE56F"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70965C96"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536AECE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丁醇</w:t>
            </w:r>
          </w:p>
        </w:tc>
        <w:tc>
          <w:tcPr>
            <w:tcW w:w="427" w:type="pct"/>
            <w:tcBorders>
              <w:top w:val="nil"/>
              <w:left w:val="nil"/>
              <w:bottom w:val="single" w:sz="4" w:space="0" w:color="auto"/>
              <w:right w:val="single" w:sz="4" w:space="0" w:color="auto"/>
            </w:tcBorders>
            <w:shd w:val="clear" w:color="auto" w:fill="auto"/>
            <w:vAlign w:val="center"/>
          </w:tcPr>
          <w:p w14:paraId="480FA1C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11.2</w:t>
            </w:r>
          </w:p>
        </w:tc>
        <w:tc>
          <w:tcPr>
            <w:tcW w:w="752" w:type="pct"/>
            <w:tcBorders>
              <w:top w:val="nil"/>
              <w:left w:val="nil"/>
              <w:bottom w:val="single" w:sz="4" w:space="0" w:color="auto"/>
              <w:right w:val="single" w:sz="4" w:space="0" w:color="auto"/>
            </w:tcBorders>
            <w:shd w:val="clear" w:color="auto" w:fill="auto"/>
            <w:vAlign w:val="center"/>
          </w:tcPr>
          <w:p w14:paraId="1ABD2D4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667FA1B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496AB80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1E239FC5"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57B50243"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11.2</w:t>
            </w:r>
          </w:p>
        </w:tc>
        <w:tc>
          <w:tcPr>
            <w:tcW w:w="928" w:type="pct"/>
            <w:tcBorders>
              <w:top w:val="nil"/>
              <w:left w:val="nil"/>
              <w:bottom w:val="single" w:sz="4" w:space="0" w:color="auto"/>
              <w:right w:val="single" w:sz="4" w:space="0" w:color="auto"/>
            </w:tcBorders>
            <w:shd w:val="clear" w:color="auto" w:fill="auto"/>
            <w:vAlign w:val="center"/>
          </w:tcPr>
          <w:p w14:paraId="562498E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4C067DCA"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446DC0A5"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4184544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氨</w:t>
            </w:r>
          </w:p>
        </w:tc>
        <w:tc>
          <w:tcPr>
            <w:tcW w:w="427" w:type="pct"/>
            <w:tcBorders>
              <w:top w:val="nil"/>
              <w:left w:val="nil"/>
              <w:bottom w:val="single" w:sz="4" w:space="0" w:color="auto"/>
              <w:right w:val="single" w:sz="4" w:space="0" w:color="auto"/>
            </w:tcBorders>
            <w:shd w:val="clear" w:color="auto" w:fill="auto"/>
            <w:vAlign w:val="center"/>
          </w:tcPr>
          <w:p w14:paraId="0CA3106D"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0.04</w:t>
            </w:r>
          </w:p>
        </w:tc>
        <w:tc>
          <w:tcPr>
            <w:tcW w:w="752" w:type="pct"/>
            <w:tcBorders>
              <w:top w:val="nil"/>
              <w:left w:val="nil"/>
              <w:bottom w:val="single" w:sz="4" w:space="0" w:color="auto"/>
              <w:right w:val="single" w:sz="4" w:space="0" w:color="auto"/>
            </w:tcBorders>
            <w:shd w:val="clear" w:color="auto" w:fill="auto"/>
            <w:vAlign w:val="center"/>
          </w:tcPr>
          <w:p w14:paraId="66B9E2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04254FEE"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2678109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6720398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5A4AF7D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0.04</w:t>
            </w:r>
          </w:p>
        </w:tc>
        <w:tc>
          <w:tcPr>
            <w:tcW w:w="928" w:type="pct"/>
            <w:tcBorders>
              <w:top w:val="nil"/>
              <w:left w:val="nil"/>
              <w:bottom w:val="single" w:sz="4" w:space="0" w:color="auto"/>
              <w:right w:val="single" w:sz="4" w:space="0" w:color="auto"/>
            </w:tcBorders>
            <w:shd w:val="clear" w:color="auto" w:fill="auto"/>
            <w:vAlign w:val="center"/>
          </w:tcPr>
          <w:p w14:paraId="09137F47"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556BD789"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301494A9"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2097EEE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硫化氢</w:t>
            </w:r>
          </w:p>
        </w:tc>
        <w:tc>
          <w:tcPr>
            <w:tcW w:w="427" w:type="pct"/>
            <w:tcBorders>
              <w:top w:val="nil"/>
              <w:left w:val="nil"/>
              <w:bottom w:val="single" w:sz="4" w:space="0" w:color="auto"/>
              <w:right w:val="single" w:sz="4" w:space="0" w:color="auto"/>
            </w:tcBorders>
            <w:shd w:val="clear" w:color="auto" w:fill="auto"/>
            <w:vAlign w:val="center"/>
          </w:tcPr>
          <w:p w14:paraId="7FB5407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0.03</w:t>
            </w:r>
          </w:p>
        </w:tc>
        <w:tc>
          <w:tcPr>
            <w:tcW w:w="752" w:type="pct"/>
            <w:tcBorders>
              <w:top w:val="nil"/>
              <w:left w:val="nil"/>
              <w:bottom w:val="single" w:sz="4" w:space="0" w:color="auto"/>
              <w:right w:val="single" w:sz="4" w:space="0" w:color="auto"/>
            </w:tcBorders>
            <w:shd w:val="clear" w:color="auto" w:fill="auto"/>
            <w:vAlign w:val="center"/>
          </w:tcPr>
          <w:p w14:paraId="67776E5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6BD21BA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767B0FF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6A21136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11F1728B"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0.03</w:t>
            </w:r>
          </w:p>
        </w:tc>
        <w:tc>
          <w:tcPr>
            <w:tcW w:w="928" w:type="pct"/>
            <w:tcBorders>
              <w:top w:val="nil"/>
              <w:left w:val="nil"/>
              <w:bottom w:val="single" w:sz="4" w:space="0" w:color="auto"/>
              <w:right w:val="single" w:sz="4" w:space="0" w:color="auto"/>
            </w:tcBorders>
            <w:shd w:val="clear" w:color="auto" w:fill="auto"/>
            <w:vAlign w:val="center"/>
          </w:tcPr>
          <w:p w14:paraId="76C3ED1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4D00DA78"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25387B90"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02E9002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val="en-JM"/>
              </w:rPr>
              <w:t>VOCs</w:t>
            </w:r>
          </w:p>
        </w:tc>
        <w:tc>
          <w:tcPr>
            <w:tcW w:w="427" w:type="pct"/>
            <w:tcBorders>
              <w:top w:val="nil"/>
              <w:left w:val="nil"/>
              <w:bottom w:val="single" w:sz="4" w:space="0" w:color="auto"/>
              <w:right w:val="single" w:sz="4" w:space="0" w:color="auto"/>
            </w:tcBorders>
            <w:shd w:val="clear" w:color="auto" w:fill="auto"/>
            <w:vAlign w:val="center"/>
          </w:tcPr>
          <w:p w14:paraId="3FB7C4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13.75</w:t>
            </w:r>
          </w:p>
        </w:tc>
        <w:tc>
          <w:tcPr>
            <w:tcW w:w="752" w:type="pct"/>
            <w:tcBorders>
              <w:top w:val="nil"/>
              <w:left w:val="nil"/>
              <w:bottom w:val="single" w:sz="4" w:space="0" w:color="auto"/>
              <w:right w:val="single" w:sz="4" w:space="0" w:color="auto"/>
            </w:tcBorders>
            <w:shd w:val="clear" w:color="auto" w:fill="auto"/>
            <w:noWrap/>
            <w:vAlign w:val="center"/>
          </w:tcPr>
          <w:p w14:paraId="080927D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181.17</w:t>
            </w:r>
          </w:p>
        </w:tc>
        <w:tc>
          <w:tcPr>
            <w:tcW w:w="366" w:type="pct"/>
            <w:tcBorders>
              <w:top w:val="nil"/>
              <w:left w:val="nil"/>
              <w:bottom w:val="single" w:sz="4" w:space="0" w:color="auto"/>
              <w:right w:val="single" w:sz="4" w:space="0" w:color="auto"/>
            </w:tcBorders>
            <w:shd w:val="clear" w:color="auto" w:fill="auto"/>
            <w:noWrap/>
            <w:vAlign w:val="center"/>
          </w:tcPr>
          <w:p w14:paraId="62491DE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179.36</w:t>
            </w:r>
          </w:p>
        </w:tc>
        <w:tc>
          <w:tcPr>
            <w:tcW w:w="488" w:type="pct"/>
            <w:tcBorders>
              <w:top w:val="nil"/>
              <w:left w:val="nil"/>
              <w:bottom w:val="single" w:sz="4" w:space="0" w:color="auto"/>
              <w:right w:val="single" w:sz="4" w:space="0" w:color="auto"/>
            </w:tcBorders>
            <w:shd w:val="clear" w:color="auto" w:fill="auto"/>
            <w:noWrap/>
            <w:vAlign w:val="center"/>
          </w:tcPr>
          <w:p w14:paraId="2A0CB10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1.81</w:t>
            </w:r>
          </w:p>
        </w:tc>
        <w:tc>
          <w:tcPr>
            <w:tcW w:w="522" w:type="pct"/>
            <w:tcBorders>
              <w:top w:val="nil"/>
              <w:left w:val="nil"/>
              <w:bottom w:val="single" w:sz="4" w:space="0" w:color="auto"/>
              <w:right w:val="single" w:sz="4" w:space="0" w:color="auto"/>
            </w:tcBorders>
            <w:shd w:val="clear" w:color="auto" w:fill="auto"/>
            <w:vAlign w:val="center"/>
          </w:tcPr>
          <w:p w14:paraId="43F06DC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127</w:t>
            </w:r>
          </w:p>
        </w:tc>
        <w:tc>
          <w:tcPr>
            <w:tcW w:w="623" w:type="pct"/>
            <w:tcBorders>
              <w:top w:val="nil"/>
              <w:left w:val="nil"/>
              <w:bottom w:val="single" w:sz="4" w:space="0" w:color="auto"/>
              <w:right w:val="single" w:sz="4" w:space="0" w:color="auto"/>
            </w:tcBorders>
            <w:shd w:val="clear" w:color="auto" w:fill="auto"/>
            <w:vAlign w:val="center"/>
          </w:tcPr>
          <w:p w14:paraId="79AF4386"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-111.44</w:t>
            </w:r>
          </w:p>
        </w:tc>
        <w:tc>
          <w:tcPr>
            <w:tcW w:w="928" w:type="pct"/>
            <w:tcBorders>
              <w:top w:val="nil"/>
              <w:left w:val="nil"/>
              <w:bottom w:val="single" w:sz="4" w:space="0" w:color="auto"/>
              <w:right w:val="single" w:sz="4" w:space="0" w:color="auto"/>
            </w:tcBorders>
            <w:shd w:val="clear" w:color="auto" w:fill="auto"/>
            <w:vAlign w:val="center"/>
          </w:tcPr>
          <w:p w14:paraId="53BE77A5"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-125.19</w:t>
            </w:r>
          </w:p>
        </w:tc>
      </w:tr>
      <w:tr w:rsidR="002133E3" w14:paraId="584A2FF9"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34CA0C27"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464116D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val="fr-FR"/>
              </w:rPr>
              <w:t>NH</w:t>
            </w:r>
            <w:r>
              <w:rPr>
                <w:rFonts w:ascii="Times New Roman" w:eastAsia="宋体" w:hAnsi="Times New Roman" w:cs="Times New Roman"/>
                <w:color w:val="000000"/>
                <w:kern w:val="0"/>
                <w:szCs w:val="21"/>
                <w:vertAlign w:val="subscript"/>
                <w:lang w:val="fr-FR"/>
              </w:rPr>
              <w:t>3</w:t>
            </w:r>
          </w:p>
        </w:tc>
        <w:tc>
          <w:tcPr>
            <w:tcW w:w="427" w:type="pct"/>
            <w:tcBorders>
              <w:top w:val="nil"/>
              <w:left w:val="nil"/>
              <w:bottom w:val="single" w:sz="4" w:space="0" w:color="auto"/>
              <w:right w:val="single" w:sz="4" w:space="0" w:color="auto"/>
            </w:tcBorders>
            <w:shd w:val="clear" w:color="auto" w:fill="auto"/>
            <w:vAlign w:val="center"/>
          </w:tcPr>
          <w:p w14:paraId="4A166523"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0.21</w:t>
            </w:r>
          </w:p>
        </w:tc>
        <w:tc>
          <w:tcPr>
            <w:tcW w:w="752" w:type="pct"/>
            <w:tcBorders>
              <w:top w:val="nil"/>
              <w:left w:val="nil"/>
              <w:bottom w:val="single" w:sz="4" w:space="0" w:color="auto"/>
              <w:right w:val="single" w:sz="4" w:space="0" w:color="auto"/>
            </w:tcBorders>
            <w:shd w:val="clear" w:color="auto" w:fill="auto"/>
            <w:vAlign w:val="center"/>
          </w:tcPr>
          <w:p w14:paraId="5832D58B"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31370991"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2776D1E0"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145E3BD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7E2998A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0.21</w:t>
            </w:r>
          </w:p>
        </w:tc>
        <w:tc>
          <w:tcPr>
            <w:tcW w:w="928" w:type="pct"/>
            <w:tcBorders>
              <w:top w:val="nil"/>
              <w:left w:val="nil"/>
              <w:bottom w:val="single" w:sz="4" w:space="0" w:color="auto"/>
              <w:right w:val="single" w:sz="4" w:space="0" w:color="auto"/>
            </w:tcBorders>
            <w:shd w:val="clear" w:color="auto" w:fill="auto"/>
            <w:vAlign w:val="center"/>
          </w:tcPr>
          <w:p w14:paraId="1CD2A680"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3E4CF51D"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311F5B7E"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1B05CA2A"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H</w:t>
            </w:r>
            <w:r>
              <w:rPr>
                <w:rFonts w:ascii="Times New Roman" w:eastAsia="宋体" w:hAnsi="Times New Roman" w:cs="Times New Roman"/>
                <w:color w:val="000000"/>
                <w:kern w:val="0"/>
                <w:szCs w:val="21"/>
                <w:vertAlign w:val="subscript"/>
              </w:rPr>
              <w:t>2</w:t>
            </w:r>
            <w:r>
              <w:rPr>
                <w:rFonts w:ascii="Times New Roman" w:eastAsia="宋体" w:hAnsi="Times New Roman" w:cs="Times New Roman"/>
                <w:color w:val="000000"/>
                <w:kern w:val="0"/>
                <w:szCs w:val="21"/>
              </w:rPr>
              <w:t>S</w:t>
            </w:r>
          </w:p>
        </w:tc>
        <w:tc>
          <w:tcPr>
            <w:tcW w:w="427" w:type="pct"/>
            <w:tcBorders>
              <w:top w:val="nil"/>
              <w:left w:val="nil"/>
              <w:bottom w:val="single" w:sz="4" w:space="0" w:color="auto"/>
              <w:right w:val="single" w:sz="4" w:space="0" w:color="auto"/>
            </w:tcBorders>
            <w:shd w:val="clear" w:color="auto" w:fill="auto"/>
            <w:vAlign w:val="center"/>
          </w:tcPr>
          <w:p w14:paraId="48297B7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0.08</w:t>
            </w:r>
          </w:p>
        </w:tc>
        <w:tc>
          <w:tcPr>
            <w:tcW w:w="752" w:type="pct"/>
            <w:tcBorders>
              <w:top w:val="nil"/>
              <w:left w:val="nil"/>
              <w:bottom w:val="single" w:sz="4" w:space="0" w:color="auto"/>
              <w:right w:val="single" w:sz="4" w:space="0" w:color="auto"/>
            </w:tcBorders>
            <w:shd w:val="clear" w:color="auto" w:fill="auto"/>
            <w:vAlign w:val="center"/>
          </w:tcPr>
          <w:p w14:paraId="7A730FC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366" w:type="pct"/>
            <w:tcBorders>
              <w:top w:val="nil"/>
              <w:left w:val="nil"/>
              <w:bottom w:val="single" w:sz="4" w:space="0" w:color="auto"/>
              <w:right w:val="single" w:sz="4" w:space="0" w:color="auto"/>
            </w:tcBorders>
            <w:shd w:val="clear" w:color="auto" w:fill="auto"/>
            <w:vAlign w:val="center"/>
          </w:tcPr>
          <w:p w14:paraId="2B31F774"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vAlign w:val="center"/>
          </w:tcPr>
          <w:p w14:paraId="36EED7C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522" w:type="pct"/>
            <w:tcBorders>
              <w:top w:val="nil"/>
              <w:left w:val="nil"/>
              <w:bottom w:val="single" w:sz="4" w:space="0" w:color="auto"/>
              <w:right w:val="single" w:sz="4" w:space="0" w:color="auto"/>
            </w:tcBorders>
            <w:shd w:val="clear" w:color="auto" w:fill="auto"/>
            <w:vAlign w:val="center"/>
          </w:tcPr>
          <w:p w14:paraId="03DA02A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5DA4B46E"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0.08</w:t>
            </w:r>
          </w:p>
        </w:tc>
        <w:tc>
          <w:tcPr>
            <w:tcW w:w="928" w:type="pct"/>
            <w:tcBorders>
              <w:top w:val="nil"/>
              <w:left w:val="nil"/>
              <w:bottom w:val="single" w:sz="4" w:space="0" w:color="auto"/>
              <w:right w:val="single" w:sz="4" w:space="0" w:color="auto"/>
            </w:tcBorders>
            <w:shd w:val="clear" w:color="auto" w:fill="auto"/>
            <w:vAlign w:val="center"/>
          </w:tcPr>
          <w:p w14:paraId="12AAD228"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w:t>
            </w:r>
          </w:p>
        </w:tc>
      </w:tr>
      <w:tr w:rsidR="002133E3" w14:paraId="76289117"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2964364C"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0483D68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CO</w:t>
            </w:r>
            <w:r>
              <w:rPr>
                <w:rFonts w:ascii="Times New Roman" w:eastAsia="宋体" w:hAnsi="Times New Roman" w:cs="Times New Roman"/>
                <w:color w:val="000000"/>
                <w:kern w:val="0"/>
                <w:szCs w:val="21"/>
                <w:vertAlign w:val="subscript"/>
              </w:rPr>
              <w:t>2</w:t>
            </w:r>
          </w:p>
        </w:tc>
        <w:tc>
          <w:tcPr>
            <w:tcW w:w="427" w:type="pct"/>
            <w:tcBorders>
              <w:top w:val="nil"/>
              <w:left w:val="nil"/>
              <w:bottom w:val="single" w:sz="4" w:space="0" w:color="auto"/>
              <w:right w:val="single" w:sz="4" w:space="0" w:color="auto"/>
            </w:tcBorders>
            <w:shd w:val="clear" w:color="auto" w:fill="auto"/>
            <w:noWrap/>
            <w:vAlign w:val="center"/>
          </w:tcPr>
          <w:p w14:paraId="50C8E4F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752" w:type="pct"/>
            <w:tcBorders>
              <w:top w:val="nil"/>
              <w:left w:val="nil"/>
              <w:bottom w:val="single" w:sz="4" w:space="0" w:color="auto"/>
              <w:right w:val="single" w:sz="4" w:space="0" w:color="auto"/>
            </w:tcBorders>
            <w:shd w:val="clear" w:color="auto" w:fill="auto"/>
            <w:noWrap/>
            <w:vAlign w:val="center"/>
          </w:tcPr>
          <w:p w14:paraId="46057462"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91962.83</w:t>
            </w:r>
          </w:p>
        </w:tc>
        <w:tc>
          <w:tcPr>
            <w:tcW w:w="366" w:type="pct"/>
            <w:tcBorders>
              <w:top w:val="nil"/>
              <w:left w:val="nil"/>
              <w:bottom w:val="single" w:sz="4" w:space="0" w:color="auto"/>
              <w:right w:val="single" w:sz="4" w:space="0" w:color="auto"/>
            </w:tcBorders>
            <w:shd w:val="clear" w:color="auto" w:fill="auto"/>
            <w:noWrap/>
            <w:vAlign w:val="center"/>
          </w:tcPr>
          <w:p w14:paraId="5A4EAF7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488" w:type="pct"/>
            <w:tcBorders>
              <w:top w:val="nil"/>
              <w:left w:val="nil"/>
              <w:bottom w:val="single" w:sz="4" w:space="0" w:color="auto"/>
              <w:right w:val="single" w:sz="4" w:space="0" w:color="auto"/>
            </w:tcBorders>
            <w:shd w:val="clear" w:color="auto" w:fill="auto"/>
            <w:noWrap/>
            <w:vAlign w:val="center"/>
          </w:tcPr>
          <w:p w14:paraId="17AE363C"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91962.83</w:t>
            </w:r>
          </w:p>
        </w:tc>
        <w:tc>
          <w:tcPr>
            <w:tcW w:w="522" w:type="pct"/>
            <w:tcBorders>
              <w:top w:val="nil"/>
              <w:left w:val="nil"/>
              <w:bottom w:val="single" w:sz="4" w:space="0" w:color="auto"/>
              <w:right w:val="single" w:sz="4" w:space="0" w:color="auto"/>
            </w:tcBorders>
            <w:shd w:val="clear" w:color="auto" w:fill="auto"/>
            <w:noWrap/>
            <w:vAlign w:val="center"/>
          </w:tcPr>
          <w:p w14:paraId="116352A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93974</w:t>
            </w:r>
          </w:p>
        </w:tc>
        <w:tc>
          <w:tcPr>
            <w:tcW w:w="623" w:type="pct"/>
            <w:tcBorders>
              <w:top w:val="nil"/>
              <w:left w:val="nil"/>
              <w:bottom w:val="single" w:sz="4" w:space="0" w:color="auto"/>
              <w:right w:val="single" w:sz="4" w:space="0" w:color="auto"/>
            </w:tcBorders>
            <w:shd w:val="clear" w:color="auto" w:fill="auto"/>
            <w:vAlign w:val="center"/>
          </w:tcPr>
          <w:p w14:paraId="2A665C49"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-2011.17</w:t>
            </w:r>
          </w:p>
        </w:tc>
        <w:tc>
          <w:tcPr>
            <w:tcW w:w="928" w:type="pct"/>
            <w:tcBorders>
              <w:top w:val="nil"/>
              <w:left w:val="nil"/>
              <w:bottom w:val="single" w:sz="4" w:space="0" w:color="auto"/>
              <w:right w:val="single" w:sz="4" w:space="0" w:color="auto"/>
            </w:tcBorders>
            <w:shd w:val="clear" w:color="auto" w:fill="auto"/>
            <w:vAlign w:val="center"/>
          </w:tcPr>
          <w:p w14:paraId="33EF15EA"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-2011.17</w:t>
            </w:r>
          </w:p>
        </w:tc>
      </w:tr>
      <w:tr w:rsidR="002133E3" w14:paraId="3332487A" w14:textId="77777777">
        <w:trPr>
          <w:trHeight w:val="284"/>
        </w:trPr>
        <w:tc>
          <w:tcPr>
            <w:tcW w:w="366" w:type="pct"/>
            <w:vMerge/>
            <w:tcBorders>
              <w:top w:val="nil"/>
              <w:left w:val="single" w:sz="4" w:space="0" w:color="auto"/>
              <w:bottom w:val="single" w:sz="4" w:space="0" w:color="auto"/>
              <w:right w:val="single" w:sz="4" w:space="0" w:color="auto"/>
            </w:tcBorders>
            <w:vAlign w:val="center"/>
          </w:tcPr>
          <w:p w14:paraId="0D530C74" w14:textId="77777777" w:rsidR="002133E3" w:rsidRDefault="002133E3">
            <w:pPr>
              <w:widowControl/>
              <w:jc w:val="left"/>
              <w:rPr>
                <w:rFonts w:ascii="Times New Roman" w:eastAsia="宋体" w:hAnsi="Times New Roman" w:cs="Times New Roman"/>
                <w:color w:val="000000"/>
                <w:kern w:val="0"/>
                <w:szCs w:val="21"/>
              </w:rPr>
            </w:pPr>
          </w:p>
        </w:tc>
        <w:tc>
          <w:tcPr>
            <w:tcW w:w="528" w:type="pct"/>
            <w:tcBorders>
              <w:top w:val="nil"/>
              <w:left w:val="nil"/>
              <w:bottom w:val="single" w:sz="4" w:space="0" w:color="auto"/>
              <w:right w:val="single" w:sz="4" w:space="0" w:color="auto"/>
            </w:tcBorders>
            <w:shd w:val="clear" w:color="auto" w:fill="auto"/>
            <w:vAlign w:val="center"/>
          </w:tcPr>
          <w:p w14:paraId="4611839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甲醇</w:t>
            </w:r>
          </w:p>
        </w:tc>
        <w:tc>
          <w:tcPr>
            <w:tcW w:w="427" w:type="pct"/>
            <w:tcBorders>
              <w:top w:val="nil"/>
              <w:left w:val="nil"/>
              <w:bottom w:val="single" w:sz="4" w:space="0" w:color="auto"/>
              <w:right w:val="single" w:sz="4" w:space="0" w:color="auto"/>
            </w:tcBorders>
            <w:shd w:val="clear" w:color="auto" w:fill="auto"/>
            <w:noWrap/>
            <w:vAlign w:val="center"/>
          </w:tcPr>
          <w:p w14:paraId="28F26D0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752" w:type="pct"/>
            <w:tcBorders>
              <w:top w:val="nil"/>
              <w:left w:val="nil"/>
              <w:bottom w:val="single" w:sz="4" w:space="0" w:color="auto"/>
              <w:right w:val="single" w:sz="4" w:space="0" w:color="auto"/>
            </w:tcBorders>
            <w:shd w:val="clear" w:color="auto" w:fill="auto"/>
            <w:noWrap/>
            <w:vAlign w:val="center"/>
          </w:tcPr>
          <w:p w14:paraId="774DADA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5.55</w:t>
            </w:r>
          </w:p>
        </w:tc>
        <w:tc>
          <w:tcPr>
            <w:tcW w:w="366" w:type="pct"/>
            <w:tcBorders>
              <w:top w:val="nil"/>
              <w:left w:val="nil"/>
              <w:bottom w:val="single" w:sz="4" w:space="0" w:color="auto"/>
              <w:right w:val="single" w:sz="4" w:space="0" w:color="auto"/>
            </w:tcBorders>
            <w:shd w:val="clear" w:color="auto" w:fill="auto"/>
            <w:noWrap/>
            <w:vAlign w:val="center"/>
          </w:tcPr>
          <w:p w14:paraId="7A0D1459"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5.5</w:t>
            </w:r>
          </w:p>
        </w:tc>
        <w:tc>
          <w:tcPr>
            <w:tcW w:w="488" w:type="pct"/>
            <w:tcBorders>
              <w:top w:val="nil"/>
              <w:left w:val="nil"/>
              <w:bottom w:val="single" w:sz="4" w:space="0" w:color="auto"/>
              <w:right w:val="single" w:sz="4" w:space="0" w:color="auto"/>
            </w:tcBorders>
            <w:shd w:val="clear" w:color="auto" w:fill="auto"/>
            <w:noWrap/>
            <w:vAlign w:val="center"/>
          </w:tcPr>
          <w:p w14:paraId="62D28B3F"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0.06</w:t>
            </w:r>
          </w:p>
        </w:tc>
        <w:tc>
          <w:tcPr>
            <w:tcW w:w="522" w:type="pct"/>
            <w:tcBorders>
              <w:top w:val="nil"/>
              <w:left w:val="nil"/>
              <w:bottom w:val="single" w:sz="4" w:space="0" w:color="auto"/>
              <w:right w:val="single" w:sz="4" w:space="0" w:color="auto"/>
            </w:tcBorders>
            <w:shd w:val="clear" w:color="auto" w:fill="auto"/>
            <w:vAlign w:val="center"/>
          </w:tcPr>
          <w:p w14:paraId="4234E5E6" w14:textId="77777777" w:rsidR="002133E3" w:rsidRDefault="00C22CFA">
            <w:pPr>
              <w:widowControl/>
              <w:jc w:val="center"/>
              <w:rPr>
                <w:rFonts w:ascii="Times New Roman" w:eastAsia="宋体" w:hAnsi="Times New Roman" w:cs="Times New Roman"/>
                <w:color w:val="000000"/>
                <w:kern w:val="0"/>
                <w:szCs w:val="21"/>
              </w:rPr>
            </w:pPr>
            <w:r>
              <w:rPr>
                <w:rFonts w:ascii="Times New Roman" w:eastAsia="等线" w:hAnsi="Times New Roman" w:cs="Times New Roman"/>
                <w:color w:val="000000"/>
                <w:szCs w:val="21"/>
              </w:rPr>
              <w:t>0</w:t>
            </w:r>
          </w:p>
        </w:tc>
        <w:tc>
          <w:tcPr>
            <w:tcW w:w="623" w:type="pct"/>
            <w:tcBorders>
              <w:top w:val="nil"/>
              <w:left w:val="nil"/>
              <w:bottom w:val="single" w:sz="4" w:space="0" w:color="auto"/>
              <w:right w:val="single" w:sz="4" w:space="0" w:color="auto"/>
            </w:tcBorders>
            <w:shd w:val="clear" w:color="auto" w:fill="auto"/>
            <w:vAlign w:val="center"/>
          </w:tcPr>
          <w:p w14:paraId="0264859F"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0.06</w:t>
            </w:r>
          </w:p>
        </w:tc>
        <w:tc>
          <w:tcPr>
            <w:tcW w:w="928" w:type="pct"/>
            <w:tcBorders>
              <w:top w:val="nil"/>
              <w:left w:val="nil"/>
              <w:bottom w:val="single" w:sz="4" w:space="0" w:color="auto"/>
              <w:right w:val="single" w:sz="4" w:space="0" w:color="auto"/>
            </w:tcBorders>
            <w:shd w:val="clear" w:color="auto" w:fill="auto"/>
            <w:vAlign w:val="center"/>
          </w:tcPr>
          <w:p w14:paraId="6566C8CD" w14:textId="77777777" w:rsidR="002133E3" w:rsidRDefault="00C22CFA">
            <w:pPr>
              <w:widowControl/>
              <w:jc w:val="center"/>
              <w:rPr>
                <w:rFonts w:ascii="Times New Roman" w:eastAsia="宋体" w:hAnsi="Times New Roman" w:cs="Times New Roman"/>
                <w:b/>
                <w:bCs/>
                <w:color w:val="000000"/>
                <w:kern w:val="0"/>
                <w:szCs w:val="21"/>
              </w:rPr>
            </w:pPr>
            <w:r>
              <w:rPr>
                <w:rFonts w:ascii="Times New Roman" w:eastAsia="等线" w:hAnsi="Times New Roman" w:cs="Times New Roman"/>
                <w:b/>
                <w:bCs/>
                <w:color w:val="000000"/>
                <w:szCs w:val="21"/>
              </w:rPr>
              <w:t>0.06</w:t>
            </w:r>
          </w:p>
        </w:tc>
      </w:tr>
    </w:tbl>
    <w:p w14:paraId="2B133F4C" w14:textId="77777777" w:rsidR="002133E3" w:rsidRDefault="002133E3">
      <w:pPr>
        <w:spacing w:line="440" w:lineRule="exact"/>
        <w:jc w:val="center"/>
        <w:rPr>
          <w:rFonts w:ascii="Times New Roman" w:eastAsia="宋体" w:hAnsi="Times New Roman" w:cs="Times New Roman"/>
          <w:b/>
          <w:sz w:val="24"/>
          <w:szCs w:val="32"/>
        </w:rPr>
        <w:sectPr w:rsidR="002133E3">
          <w:pgSz w:w="16838" w:h="11906" w:orient="landscape"/>
          <w:pgMar w:top="1134" w:right="1134" w:bottom="1134" w:left="1134" w:header="851" w:footer="992" w:gutter="0"/>
          <w:cols w:space="425"/>
          <w:docGrid w:type="linesAndChars" w:linePitch="312"/>
        </w:sectPr>
      </w:pPr>
    </w:p>
    <w:p w14:paraId="1C700B52"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109" w:name="_Toc47604367"/>
      <w:r>
        <w:rPr>
          <w:rFonts w:ascii="Times New Roman" w:eastAsia="宋体" w:hAnsi="Times New Roman" w:cs="Times New Roman"/>
          <w:b/>
          <w:sz w:val="30"/>
          <w:szCs w:val="30"/>
        </w:rPr>
        <w:lastRenderedPageBreak/>
        <w:t>环境管理制度、组织机构和环境管理台账要求</w:t>
      </w:r>
      <w:bookmarkEnd w:id="109"/>
    </w:p>
    <w:p w14:paraId="116F11EC"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环境管理机构及职责</w:t>
      </w:r>
    </w:p>
    <w:p w14:paraId="6D0F48FF"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根据《建设项目环境保护设计规定》的要求，拟建工程应在</w:t>
      </w:r>
      <w:r>
        <w:rPr>
          <w:rFonts w:ascii="Times New Roman" w:eastAsia="宋体" w:hAnsi="Times New Roman" w:cs="Times New Roman"/>
          <w:sz w:val="28"/>
          <w:szCs w:val="24"/>
        </w:rPr>
        <w:t>“</w:t>
      </w:r>
      <w:r>
        <w:rPr>
          <w:rFonts w:ascii="Times New Roman" w:eastAsia="宋体" w:hAnsi="Times New Roman" w:cs="Times New Roman"/>
          <w:sz w:val="28"/>
          <w:szCs w:val="24"/>
        </w:rPr>
        <w:t>三同时</w:t>
      </w:r>
      <w:r>
        <w:rPr>
          <w:rFonts w:ascii="Times New Roman" w:eastAsia="宋体" w:hAnsi="Times New Roman" w:cs="Times New Roman"/>
          <w:sz w:val="28"/>
          <w:szCs w:val="24"/>
        </w:rPr>
        <w:t>”</w:t>
      </w:r>
      <w:r>
        <w:rPr>
          <w:rFonts w:ascii="Times New Roman" w:eastAsia="宋体" w:hAnsi="Times New Roman" w:cs="Times New Roman"/>
          <w:sz w:val="28"/>
          <w:szCs w:val="24"/>
        </w:rPr>
        <w:t>的原则下配套建设相应的污染治理设施，一方面为有效保护区域环境提供良好的技术基础，另一方面科学地管理、监督这些环保设施的运行又是保证治理效果的必要手段。公司需设置专门的环保安全机构，配备专职环保人员，负责环境管理，其主要职责为：</w:t>
      </w:r>
    </w:p>
    <w:p w14:paraId="7E705CAA"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宋体" w:eastAsia="宋体" w:hAnsi="宋体" w:cs="宋体" w:hint="eastAsia"/>
          <w:sz w:val="28"/>
          <w:szCs w:val="24"/>
        </w:rPr>
        <w:t>①</w:t>
      </w:r>
      <w:r>
        <w:rPr>
          <w:rFonts w:ascii="Times New Roman" w:eastAsia="宋体" w:hAnsi="Times New Roman" w:cs="Times New Roman"/>
          <w:sz w:val="28"/>
          <w:szCs w:val="24"/>
        </w:rPr>
        <w:t xml:space="preserve"> </w:t>
      </w:r>
      <w:r>
        <w:rPr>
          <w:rFonts w:ascii="Times New Roman" w:eastAsia="宋体" w:hAnsi="Times New Roman" w:cs="Times New Roman"/>
          <w:sz w:val="28"/>
          <w:szCs w:val="24"/>
        </w:rPr>
        <w:t>执行国家、省、市环保主管部门制定的有关环保法规、政策、条例，协调项目生产和环境保护的关系，并结合项目具体情况，制定全厂环境管理条例和章程。</w:t>
      </w:r>
    </w:p>
    <w:p w14:paraId="379FD3AE"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宋体" w:eastAsia="宋体" w:hAnsi="宋体" w:cs="宋体" w:hint="eastAsia"/>
          <w:sz w:val="28"/>
          <w:szCs w:val="24"/>
        </w:rPr>
        <w:t>②</w:t>
      </w:r>
      <w:r>
        <w:rPr>
          <w:rFonts w:ascii="Times New Roman" w:eastAsia="宋体" w:hAnsi="Times New Roman" w:cs="Times New Roman"/>
          <w:sz w:val="28"/>
          <w:szCs w:val="24"/>
        </w:rPr>
        <w:t>配合上级环保主管部门检查、监督工程配套建设的废气、噪声、固废等治理措施的落实情况；检查、监督环保设备等的运行、维修和管理情况，监督本厂各排放口污染物的排放状态。</w:t>
      </w:r>
    </w:p>
    <w:p w14:paraId="09887FAC"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fldChar w:fldCharType="begin"/>
      </w:r>
      <w:r>
        <w:rPr>
          <w:rFonts w:ascii="Times New Roman" w:eastAsia="宋体" w:hAnsi="Times New Roman" w:cs="Times New Roman"/>
          <w:sz w:val="28"/>
          <w:szCs w:val="24"/>
        </w:rPr>
        <w:instrText xml:space="preserve"> = 3 \* GB3 </w:instrText>
      </w:r>
      <w:r>
        <w:rPr>
          <w:rFonts w:ascii="Times New Roman" w:eastAsia="宋体" w:hAnsi="Times New Roman" w:cs="Times New Roman"/>
          <w:sz w:val="28"/>
          <w:szCs w:val="24"/>
        </w:rPr>
        <w:fldChar w:fldCharType="separate"/>
      </w:r>
      <w:r>
        <w:rPr>
          <w:rFonts w:ascii="宋体" w:eastAsia="宋体" w:hAnsi="宋体" w:cs="宋体" w:hint="eastAsia"/>
          <w:sz w:val="28"/>
          <w:szCs w:val="24"/>
        </w:rPr>
        <w:t>③</w:t>
      </w:r>
      <w:r>
        <w:rPr>
          <w:rFonts w:ascii="Times New Roman" w:eastAsia="宋体" w:hAnsi="Times New Roman" w:cs="Times New Roman"/>
          <w:sz w:val="28"/>
          <w:szCs w:val="24"/>
        </w:rPr>
        <w:fldChar w:fldCharType="end"/>
      </w:r>
      <w:r>
        <w:rPr>
          <w:rFonts w:ascii="Times New Roman" w:eastAsia="宋体" w:hAnsi="Times New Roman" w:cs="Times New Roman"/>
          <w:sz w:val="28"/>
          <w:szCs w:val="24"/>
        </w:rPr>
        <w:t>检查落实安全消防措施，开展环保安全管理教育和培训。</w:t>
      </w:r>
    </w:p>
    <w:p w14:paraId="5496AB92"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fldChar w:fldCharType="begin"/>
      </w:r>
      <w:r>
        <w:rPr>
          <w:rFonts w:ascii="Times New Roman" w:eastAsia="宋体" w:hAnsi="Times New Roman" w:cs="Times New Roman"/>
          <w:sz w:val="28"/>
          <w:szCs w:val="24"/>
        </w:rPr>
        <w:instrText xml:space="preserve"> = 4 \* GB3 </w:instrText>
      </w:r>
      <w:r>
        <w:rPr>
          <w:rFonts w:ascii="Times New Roman" w:eastAsia="宋体" w:hAnsi="Times New Roman" w:cs="Times New Roman"/>
          <w:sz w:val="28"/>
          <w:szCs w:val="24"/>
        </w:rPr>
        <w:fldChar w:fldCharType="separate"/>
      </w:r>
      <w:r>
        <w:rPr>
          <w:rFonts w:ascii="宋体" w:eastAsia="宋体" w:hAnsi="宋体" w:cs="宋体" w:hint="eastAsia"/>
          <w:sz w:val="28"/>
          <w:szCs w:val="24"/>
        </w:rPr>
        <w:t>④</w:t>
      </w:r>
      <w:r>
        <w:rPr>
          <w:rFonts w:ascii="Times New Roman" w:eastAsia="宋体" w:hAnsi="Times New Roman" w:cs="Times New Roman"/>
          <w:sz w:val="28"/>
          <w:szCs w:val="24"/>
        </w:rPr>
        <w:fldChar w:fldCharType="end"/>
      </w:r>
      <w:r>
        <w:rPr>
          <w:rFonts w:ascii="Times New Roman" w:eastAsia="宋体" w:hAnsi="Times New Roman" w:cs="Times New Roman"/>
          <w:sz w:val="28"/>
          <w:szCs w:val="24"/>
        </w:rPr>
        <w:t>参加本厂环境事件的调查、处理、协调工作。</w:t>
      </w:r>
    </w:p>
    <w:p w14:paraId="3340E1D2"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fldChar w:fldCharType="begin"/>
      </w:r>
      <w:r>
        <w:rPr>
          <w:rFonts w:ascii="Times New Roman" w:eastAsia="宋体" w:hAnsi="Times New Roman" w:cs="Times New Roman"/>
          <w:sz w:val="28"/>
          <w:szCs w:val="24"/>
        </w:rPr>
        <w:instrText xml:space="preserve"> = 5 \* GB3 </w:instrText>
      </w:r>
      <w:r>
        <w:rPr>
          <w:rFonts w:ascii="Times New Roman" w:eastAsia="宋体" w:hAnsi="Times New Roman" w:cs="Times New Roman"/>
          <w:sz w:val="28"/>
          <w:szCs w:val="24"/>
        </w:rPr>
        <w:fldChar w:fldCharType="separate"/>
      </w:r>
      <w:r>
        <w:rPr>
          <w:rFonts w:ascii="宋体" w:eastAsia="宋体" w:hAnsi="宋体" w:cs="宋体" w:hint="eastAsia"/>
          <w:sz w:val="28"/>
          <w:szCs w:val="24"/>
        </w:rPr>
        <w:t>⑤</w:t>
      </w:r>
      <w:r>
        <w:rPr>
          <w:rFonts w:ascii="Times New Roman" w:eastAsia="宋体" w:hAnsi="Times New Roman" w:cs="Times New Roman"/>
          <w:sz w:val="28"/>
          <w:szCs w:val="24"/>
        </w:rPr>
        <w:fldChar w:fldCharType="end"/>
      </w:r>
      <w:r>
        <w:rPr>
          <w:rFonts w:ascii="Times New Roman" w:eastAsia="宋体" w:hAnsi="Times New Roman" w:cs="Times New Roman"/>
          <w:sz w:val="28"/>
          <w:szCs w:val="24"/>
        </w:rPr>
        <w:t>参与本厂的环境科研工作。</w:t>
      </w:r>
    </w:p>
    <w:p w14:paraId="5B2410B3"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参加本厂的环境质量评价工作。</w:t>
      </w:r>
    </w:p>
    <w:p w14:paraId="11A193F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环境管理台账要求</w:t>
      </w:r>
    </w:p>
    <w:p w14:paraId="7EB57A7C"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项目需设立专人负责建立、管理和保管环保台帐，及时记录环保设施运行台账和危废暂存、转移、处置台账，保证数据的真实、准确。公司及时向环保部门报送环保报表，并做好数据的分析。</w:t>
      </w:r>
    </w:p>
    <w:p w14:paraId="1328E381"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项目环保台帐或报表保管年期为三年。</w:t>
      </w:r>
    </w:p>
    <w:p w14:paraId="22AC9A77"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环保设施建设、运行维护费用保障计划</w:t>
      </w:r>
    </w:p>
    <w:p w14:paraId="52AE8F76"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本项目环保投入情况详见</w:t>
      </w:r>
      <w:r>
        <w:rPr>
          <w:rFonts w:ascii="Times New Roman" w:eastAsia="宋体" w:hAnsi="Times New Roman" w:cs="Times New Roman"/>
          <w:sz w:val="28"/>
          <w:szCs w:val="24"/>
        </w:rPr>
        <w:t>9.3-1</w:t>
      </w:r>
      <w:r>
        <w:rPr>
          <w:rFonts w:ascii="Times New Roman" w:eastAsia="宋体" w:hAnsi="Times New Roman" w:cs="Times New Roman"/>
          <w:sz w:val="28"/>
          <w:szCs w:val="24"/>
        </w:rPr>
        <w:t>。</w:t>
      </w:r>
    </w:p>
    <w:p w14:paraId="0DC27F9B" w14:textId="77777777" w:rsidR="002133E3" w:rsidRDefault="00C22CFA">
      <w:pPr>
        <w:spacing w:line="440" w:lineRule="exact"/>
        <w:jc w:val="center"/>
        <w:rPr>
          <w:rFonts w:ascii="Times New Roman" w:eastAsia="宋体" w:hAnsi="Times New Roman" w:cs="Times New Roman"/>
          <w:b/>
          <w:sz w:val="24"/>
          <w:szCs w:val="32"/>
        </w:rPr>
      </w:pPr>
      <w:r>
        <w:rPr>
          <w:rFonts w:ascii="Times New Roman" w:eastAsia="宋体" w:hAnsi="Times New Roman" w:cs="Times New Roman"/>
          <w:b/>
          <w:sz w:val="24"/>
          <w:szCs w:val="32"/>
        </w:rPr>
        <w:t>表</w:t>
      </w:r>
      <w:r>
        <w:rPr>
          <w:rFonts w:ascii="Times New Roman" w:eastAsia="宋体" w:hAnsi="Times New Roman" w:cs="Times New Roman"/>
          <w:b/>
          <w:sz w:val="24"/>
          <w:szCs w:val="32"/>
        </w:rPr>
        <w:t xml:space="preserve">9.3-1  </w:t>
      </w:r>
      <w:r>
        <w:rPr>
          <w:rFonts w:ascii="Times New Roman" w:eastAsia="宋体" w:hAnsi="Times New Roman" w:cs="Times New Roman"/>
          <w:b/>
          <w:sz w:val="24"/>
          <w:szCs w:val="32"/>
        </w:rPr>
        <w:t>项目环保投入情况表</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3259"/>
        <w:gridCol w:w="1418"/>
        <w:gridCol w:w="1276"/>
        <w:gridCol w:w="1514"/>
        <w:gridCol w:w="1022"/>
      </w:tblGrid>
      <w:tr w:rsidR="002133E3" w14:paraId="1FAD75D4" w14:textId="77777777">
        <w:trPr>
          <w:trHeight w:val="20"/>
        </w:trPr>
        <w:tc>
          <w:tcPr>
            <w:tcW w:w="762" w:type="pct"/>
            <w:vAlign w:val="center"/>
          </w:tcPr>
          <w:p w14:paraId="79A619B3"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污染源</w:t>
            </w:r>
          </w:p>
        </w:tc>
        <w:tc>
          <w:tcPr>
            <w:tcW w:w="1627" w:type="pct"/>
            <w:vAlign w:val="center"/>
          </w:tcPr>
          <w:p w14:paraId="7434D14C"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环保设施名称</w:t>
            </w:r>
          </w:p>
        </w:tc>
        <w:tc>
          <w:tcPr>
            <w:tcW w:w="708" w:type="pct"/>
          </w:tcPr>
          <w:p w14:paraId="294E58C1"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环保投资</w:t>
            </w:r>
            <w:r>
              <w:rPr>
                <w:rFonts w:ascii="Times New Roman" w:eastAsia="宋体" w:hAnsi="Times New Roman" w:cs="Times New Roman"/>
                <w:b/>
                <w:szCs w:val="21"/>
              </w:rPr>
              <w:t>/</w:t>
            </w:r>
            <w:r>
              <w:rPr>
                <w:rFonts w:ascii="Times New Roman" w:eastAsia="宋体" w:hAnsi="Times New Roman" w:cs="Times New Roman"/>
                <w:b/>
                <w:szCs w:val="21"/>
              </w:rPr>
              <w:t>万元</w:t>
            </w:r>
          </w:p>
        </w:tc>
        <w:tc>
          <w:tcPr>
            <w:tcW w:w="637" w:type="pct"/>
            <w:vAlign w:val="center"/>
          </w:tcPr>
          <w:p w14:paraId="3DAFBF9A"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运行费用</w:t>
            </w:r>
            <w:r>
              <w:rPr>
                <w:rFonts w:ascii="Times New Roman" w:eastAsia="宋体" w:hAnsi="Times New Roman" w:cs="Times New Roman"/>
                <w:b/>
                <w:szCs w:val="21"/>
              </w:rPr>
              <w:t>/</w:t>
            </w:r>
            <w:r>
              <w:rPr>
                <w:rFonts w:ascii="Times New Roman" w:eastAsia="宋体" w:hAnsi="Times New Roman" w:cs="Times New Roman"/>
                <w:b/>
                <w:szCs w:val="21"/>
              </w:rPr>
              <w:t>万元</w:t>
            </w:r>
          </w:p>
        </w:tc>
        <w:tc>
          <w:tcPr>
            <w:tcW w:w="756" w:type="pct"/>
            <w:vAlign w:val="center"/>
          </w:tcPr>
          <w:p w14:paraId="1A564878"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效果</w:t>
            </w:r>
          </w:p>
        </w:tc>
        <w:tc>
          <w:tcPr>
            <w:tcW w:w="510" w:type="pct"/>
            <w:vAlign w:val="center"/>
          </w:tcPr>
          <w:p w14:paraId="7B26EF0B" w14:textId="77777777" w:rsidR="002133E3" w:rsidRDefault="00C22CFA">
            <w:pPr>
              <w:jc w:val="center"/>
              <w:rPr>
                <w:rFonts w:ascii="Times New Roman" w:eastAsia="宋体" w:hAnsi="Times New Roman" w:cs="Times New Roman"/>
                <w:b/>
                <w:szCs w:val="21"/>
              </w:rPr>
            </w:pPr>
            <w:r>
              <w:rPr>
                <w:rFonts w:ascii="Times New Roman" w:eastAsia="宋体" w:hAnsi="Times New Roman" w:cs="Times New Roman"/>
                <w:b/>
                <w:szCs w:val="21"/>
              </w:rPr>
              <w:t>进度</w:t>
            </w:r>
          </w:p>
        </w:tc>
      </w:tr>
      <w:tr w:rsidR="002133E3" w14:paraId="0479F65D" w14:textId="77777777">
        <w:trPr>
          <w:trHeight w:val="20"/>
        </w:trPr>
        <w:tc>
          <w:tcPr>
            <w:tcW w:w="762" w:type="pct"/>
            <w:vAlign w:val="center"/>
          </w:tcPr>
          <w:p w14:paraId="5C8E11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废气</w:t>
            </w:r>
          </w:p>
        </w:tc>
        <w:tc>
          <w:tcPr>
            <w:tcW w:w="1627" w:type="pct"/>
            <w:vAlign w:val="center"/>
          </w:tcPr>
          <w:p w14:paraId="51357F9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新增三套水膜除尘装置</w:t>
            </w:r>
            <w:r>
              <w:rPr>
                <w:rFonts w:ascii="Times New Roman" w:eastAsia="宋体" w:hAnsi="Times New Roman" w:cs="Times New Roman" w:hint="eastAsia"/>
                <w:szCs w:val="21"/>
              </w:rPr>
              <w:t>，</w:t>
            </w:r>
            <w:r>
              <w:rPr>
                <w:rFonts w:ascii="Times New Roman" w:eastAsia="宋体" w:hAnsi="Times New Roman" w:cs="Times New Roman"/>
                <w:kern w:val="0"/>
                <w:szCs w:val="21"/>
              </w:rPr>
              <w:t>新增一级水吸收装置</w:t>
            </w:r>
            <w:r>
              <w:rPr>
                <w:rFonts w:ascii="Times New Roman" w:eastAsia="宋体" w:hAnsi="Times New Roman" w:cs="Times New Roman"/>
                <w:kern w:val="0"/>
                <w:szCs w:val="21"/>
              </w:rPr>
              <w:t>1</w:t>
            </w:r>
            <w:r>
              <w:rPr>
                <w:rFonts w:ascii="Times New Roman" w:eastAsia="宋体" w:hAnsi="Times New Roman" w:cs="Times New Roman"/>
                <w:kern w:val="0"/>
                <w:szCs w:val="21"/>
              </w:rPr>
              <w:t>套、二级水吸收</w:t>
            </w:r>
            <w:r>
              <w:rPr>
                <w:rFonts w:ascii="Times New Roman" w:eastAsia="宋体" w:hAnsi="Times New Roman" w:cs="Times New Roman"/>
                <w:kern w:val="0"/>
                <w:szCs w:val="21"/>
              </w:rPr>
              <w:t>1</w:t>
            </w:r>
            <w:r>
              <w:rPr>
                <w:rFonts w:ascii="Times New Roman" w:eastAsia="宋体" w:hAnsi="Times New Roman" w:cs="Times New Roman"/>
                <w:kern w:val="0"/>
                <w:szCs w:val="21"/>
              </w:rPr>
              <w:t>套</w:t>
            </w:r>
          </w:p>
        </w:tc>
        <w:tc>
          <w:tcPr>
            <w:tcW w:w="708" w:type="pct"/>
            <w:vAlign w:val="center"/>
          </w:tcPr>
          <w:p w14:paraId="0C6C2C42"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c>
          <w:tcPr>
            <w:tcW w:w="637" w:type="pct"/>
            <w:vAlign w:val="center"/>
          </w:tcPr>
          <w:p w14:paraId="2CEA8B2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756" w:type="pct"/>
            <w:vAlign w:val="center"/>
          </w:tcPr>
          <w:p w14:paraId="3CE8892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达标排放</w:t>
            </w:r>
          </w:p>
        </w:tc>
        <w:tc>
          <w:tcPr>
            <w:tcW w:w="510" w:type="pct"/>
            <w:vMerge w:val="restart"/>
            <w:vAlign w:val="center"/>
          </w:tcPr>
          <w:p w14:paraId="3FE30D1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与主体工程同时设计、</w:t>
            </w:r>
            <w:r>
              <w:rPr>
                <w:rFonts w:ascii="Times New Roman" w:eastAsia="宋体" w:hAnsi="Times New Roman" w:cs="Times New Roman"/>
                <w:szCs w:val="21"/>
              </w:rPr>
              <w:lastRenderedPageBreak/>
              <w:t>同时施工、同时投入使用</w:t>
            </w:r>
          </w:p>
        </w:tc>
      </w:tr>
      <w:tr w:rsidR="002133E3" w14:paraId="7305EA23" w14:textId="77777777">
        <w:trPr>
          <w:trHeight w:val="20"/>
        </w:trPr>
        <w:tc>
          <w:tcPr>
            <w:tcW w:w="762" w:type="pct"/>
            <w:vAlign w:val="center"/>
          </w:tcPr>
          <w:p w14:paraId="55ECFA7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lastRenderedPageBreak/>
              <w:t>废水</w:t>
            </w:r>
          </w:p>
        </w:tc>
        <w:tc>
          <w:tcPr>
            <w:tcW w:w="1627" w:type="pct"/>
            <w:vAlign w:val="center"/>
          </w:tcPr>
          <w:p w14:paraId="7F50A4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利用现有</w:t>
            </w:r>
          </w:p>
        </w:tc>
        <w:tc>
          <w:tcPr>
            <w:tcW w:w="708" w:type="pct"/>
            <w:vAlign w:val="center"/>
          </w:tcPr>
          <w:p w14:paraId="53CE5D6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637" w:type="pct"/>
            <w:vAlign w:val="center"/>
          </w:tcPr>
          <w:p w14:paraId="2EE3179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削减</w:t>
            </w:r>
            <w:r>
              <w:rPr>
                <w:rFonts w:ascii="Times New Roman" w:eastAsia="宋体" w:hAnsi="Times New Roman" w:cs="Times New Roman"/>
                <w:szCs w:val="21"/>
              </w:rPr>
              <w:t>224.2</w:t>
            </w:r>
          </w:p>
        </w:tc>
        <w:tc>
          <w:tcPr>
            <w:tcW w:w="756" w:type="pct"/>
            <w:vAlign w:val="center"/>
          </w:tcPr>
          <w:p w14:paraId="590D7C8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达标排放</w:t>
            </w:r>
          </w:p>
        </w:tc>
        <w:tc>
          <w:tcPr>
            <w:tcW w:w="510" w:type="pct"/>
            <w:vMerge/>
            <w:vAlign w:val="center"/>
          </w:tcPr>
          <w:p w14:paraId="75705F53" w14:textId="77777777" w:rsidR="002133E3" w:rsidRDefault="002133E3">
            <w:pPr>
              <w:jc w:val="center"/>
              <w:rPr>
                <w:rFonts w:ascii="Times New Roman" w:eastAsia="宋体" w:hAnsi="Times New Roman" w:cs="Times New Roman"/>
                <w:szCs w:val="21"/>
              </w:rPr>
            </w:pPr>
          </w:p>
        </w:tc>
      </w:tr>
      <w:tr w:rsidR="002133E3" w14:paraId="062AD021" w14:textId="77777777">
        <w:trPr>
          <w:trHeight w:val="20"/>
        </w:trPr>
        <w:tc>
          <w:tcPr>
            <w:tcW w:w="762" w:type="pct"/>
            <w:vAlign w:val="center"/>
          </w:tcPr>
          <w:p w14:paraId="44F42BA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固废</w:t>
            </w:r>
          </w:p>
        </w:tc>
        <w:tc>
          <w:tcPr>
            <w:tcW w:w="1627" w:type="pct"/>
            <w:vAlign w:val="center"/>
          </w:tcPr>
          <w:p w14:paraId="663AEDD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危废暂存场所、一般固废暂存库</w:t>
            </w:r>
          </w:p>
        </w:tc>
        <w:tc>
          <w:tcPr>
            <w:tcW w:w="708" w:type="pct"/>
            <w:vAlign w:val="center"/>
          </w:tcPr>
          <w:p w14:paraId="7DC36B4E"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依托现有</w:t>
            </w:r>
          </w:p>
        </w:tc>
        <w:tc>
          <w:tcPr>
            <w:tcW w:w="637" w:type="pct"/>
            <w:vAlign w:val="center"/>
          </w:tcPr>
          <w:p w14:paraId="4CF8887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0.378</w:t>
            </w:r>
            <w:r>
              <w:rPr>
                <w:rFonts w:ascii="Times New Roman" w:eastAsia="宋体" w:hAnsi="Times New Roman" w:cs="Times New Roman" w:hint="eastAsia"/>
                <w:szCs w:val="21"/>
              </w:rPr>
              <w:t>（委托处置费用）</w:t>
            </w:r>
          </w:p>
        </w:tc>
        <w:tc>
          <w:tcPr>
            <w:tcW w:w="756" w:type="pct"/>
            <w:vAlign w:val="center"/>
          </w:tcPr>
          <w:p w14:paraId="75993F0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符合环保要求</w:t>
            </w:r>
          </w:p>
        </w:tc>
        <w:tc>
          <w:tcPr>
            <w:tcW w:w="510" w:type="pct"/>
            <w:vMerge/>
            <w:vAlign w:val="center"/>
          </w:tcPr>
          <w:p w14:paraId="13142060" w14:textId="77777777" w:rsidR="002133E3" w:rsidRDefault="002133E3">
            <w:pPr>
              <w:jc w:val="center"/>
              <w:rPr>
                <w:rFonts w:ascii="Times New Roman" w:eastAsia="宋体" w:hAnsi="Times New Roman" w:cs="Times New Roman"/>
                <w:szCs w:val="21"/>
              </w:rPr>
            </w:pPr>
          </w:p>
        </w:tc>
      </w:tr>
      <w:tr w:rsidR="002133E3" w14:paraId="7DC74655" w14:textId="77777777">
        <w:trPr>
          <w:trHeight w:val="20"/>
        </w:trPr>
        <w:tc>
          <w:tcPr>
            <w:tcW w:w="762" w:type="pct"/>
            <w:vAlign w:val="center"/>
          </w:tcPr>
          <w:p w14:paraId="337F3FE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噪声</w:t>
            </w:r>
          </w:p>
        </w:tc>
        <w:tc>
          <w:tcPr>
            <w:tcW w:w="1627" w:type="pct"/>
            <w:vAlign w:val="center"/>
          </w:tcPr>
          <w:p w14:paraId="33C275E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消声器、隔声设施等</w:t>
            </w:r>
          </w:p>
        </w:tc>
        <w:tc>
          <w:tcPr>
            <w:tcW w:w="708" w:type="pct"/>
            <w:vAlign w:val="center"/>
          </w:tcPr>
          <w:p w14:paraId="4632E11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637" w:type="pct"/>
            <w:vAlign w:val="center"/>
          </w:tcPr>
          <w:p w14:paraId="28F2CB1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0566C6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厂界达标</w:t>
            </w:r>
          </w:p>
        </w:tc>
        <w:tc>
          <w:tcPr>
            <w:tcW w:w="510" w:type="pct"/>
            <w:vMerge/>
            <w:vAlign w:val="center"/>
          </w:tcPr>
          <w:p w14:paraId="52CC2C2B" w14:textId="77777777" w:rsidR="002133E3" w:rsidRDefault="002133E3">
            <w:pPr>
              <w:jc w:val="center"/>
              <w:rPr>
                <w:rFonts w:ascii="Times New Roman" w:eastAsia="宋体" w:hAnsi="Times New Roman" w:cs="Times New Roman"/>
                <w:szCs w:val="21"/>
              </w:rPr>
            </w:pPr>
          </w:p>
        </w:tc>
      </w:tr>
      <w:tr w:rsidR="002133E3" w14:paraId="2DD19539" w14:textId="77777777">
        <w:trPr>
          <w:trHeight w:val="20"/>
        </w:trPr>
        <w:tc>
          <w:tcPr>
            <w:tcW w:w="762" w:type="pct"/>
            <w:vAlign w:val="center"/>
          </w:tcPr>
          <w:p w14:paraId="60E22D7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土壤、地下水</w:t>
            </w:r>
          </w:p>
        </w:tc>
        <w:tc>
          <w:tcPr>
            <w:tcW w:w="1627" w:type="pct"/>
            <w:vAlign w:val="center"/>
          </w:tcPr>
          <w:p w14:paraId="5FF7923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防渗措施</w:t>
            </w:r>
          </w:p>
        </w:tc>
        <w:tc>
          <w:tcPr>
            <w:tcW w:w="708" w:type="pct"/>
            <w:vAlign w:val="center"/>
          </w:tcPr>
          <w:p w14:paraId="37B1FDB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37" w:type="pct"/>
            <w:vAlign w:val="center"/>
          </w:tcPr>
          <w:p w14:paraId="425FEB6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74D629D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满足环保要求</w:t>
            </w:r>
          </w:p>
        </w:tc>
        <w:tc>
          <w:tcPr>
            <w:tcW w:w="510" w:type="pct"/>
            <w:vMerge/>
            <w:vAlign w:val="center"/>
          </w:tcPr>
          <w:p w14:paraId="571077D2" w14:textId="77777777" w:rsidR="002133E3" w:rsidRDefault="002133E3">
            <w:pPr>
              <w:jc w:val="center"/>
              <w:rPr>
                <w:rFonts w:ascii="Times New Roman" w:eastAsia="宋体" w:hAnsi="Times New Roman" w:cs="Times New Roman"/>
                <w:szCs w:val="21"/>
              </w:rPr>
            </w:pPr>
          </w:p>
        </w:tc>
      </w:tr>
      <w:tr w:rsidR="002133E3" w14:paraId="4AD0A38D" w14:textId="77777777">
        <w:trPr>
          <w:trHeight w:val="20"/>
        </w:trPr>
        <w:tc>
          <w:tcPr>
            <w:tcW w:w="762" w:type="pct"/>
            <w:vAlign w:val="center"/>
          </w:tcPr>
          <w:p w14:paraId="5C566EB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监测仪器</w:t>
            </w:r>
          </w:p>
        </w:tc>
        <w:tc>
          <w:tcPr>
            <w:tcW w:w="1627" w:type="pct"/>
            <w:vAlign w:val="center"/>
          </w:tcPr>
          <w:p w14:paraId="7AE164F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环境监测工作</w:t>
            </w:r>
          </w:p>
        </w:tc>
        <w:tc>
          <w:tcPr>
            <w:tcW w:w="708" w:type="pct"/>
            <w:vAlign w:val="center"/>
          </w:tcPr>
          <w:p w14:paraId="33EB9B2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637" w:type="pct"/>
            <w:vAlign w:val="center"/>
          </w:tcPr>
          <w:p w14:paraId="70ABA97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0492127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委托监测</w:t>
            </w:r>
          </w:p>
        </w:tc>
        <w:tc>
          <w:tcPr>
            <w:tcW w:w="510" w:type="pct"/>
            <w:vMerge/>
            <w:vAlign w:val="center"/>
          </w:tcPr>
          <w:p w14:paraId="72DAB14C" w14:textId="77777777" w:rsidR="002133E3" w:rsidRDefault="002133E3">
            <w:pPr>
              <w:jc w:val="center"/>
              <w:rPr>
                <w:rFonts w:ascii="Times New Roman" w:eastAsia="宋体" w:hAnsi="Times New Roman" w:cs="Times New Roman"/>
                <w:szCs w:val="21"/>
              </w:rPr>
            </w:pPr>
          </w:p>
        </w:tc>
      </w:tr>
      <w:tr w:rsidR="002133E3" w14:paraId="2BF1CF64" w14:textId="77777777">
        <w:trPr>
          <w:trHeight w:val="20"/>
        </w:trPr>
        <w:tc>
          <w:tcPr>
            <w:tcW w:w="762" w:type="pct"/>
            <w:vAlign w:val="center"/>
          </w:tcPr>
          <w:p w14:paraId="411F244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排污口整治</w:t>
            </w:r>
          </w:p>
        </w:tc>
        <w:tc>
          <w:tcPr>
            <w:tcW w:w="1627" w:type="pct"/>
            <w:vAlign w:val="center"/>
          </w:tcPr>
          <w:p w14:paraId="62BF794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规范化整治</w:t>
            </w:r>
          </w:p>
        </w:tc>
        <w:tc>
          <w:tcPr>
            <w:tcW w:w="708" w:type="pct"/>
            <w:vAlign w:val="center"/>
          </w:tcPr>
          <w:p w14:paraId="669C8F8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637" w:type="pct"/>
            <w:vAlign w:val="center"/>
          </w:tcPr>
          <w:p w14:paraId="1F3C109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Align w:val="center"/>
          </w:tcPr>
          <w:p w14:paraId="5E55D1D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符合环保要求</w:t>
            </w:r>
          </w:p>
        </w:tc>
        <w:tc>
          <w:tcPr>
            <w:tcW w:w="510" w:type="pct"/>
            <w:vMerge/>
            <w:vAlign w:val="center"/>
          </w:tcPr>
          <w:p w14:paraId="1D60F709" w14:textId="77777777" w:rsidR="002133E3" w:rsidRDefault="002133E3">
            <w:pPr>
              <w:jc w:val="center"/>
              <w:rPr>
                <w:rFonts w:ascii="Times New Roman" w:eastAsia="宋体" w:hAnsi="Times New Roman" w:cs="Times New Roman"/>
                <w:szCs w:val="21"/>
              </w:rPr>
            </w:pPr>
          </w:p>
        </w:tc>
      </w:tr>
      <w:tr w:rsidR="002133E3" w14:paraId="53561261" w14:textId="77777777">
        <w:trPr>
          <w:trHeight w:val="20"/>
        </w:trPr>
        <w:tc>
          <w:tcPr>
            <w:tcW w:w="762" w:type="pct"/>
            <w:vMerge w:val="restart"/>
            <w:vAlign w:val="center"/>
          </w:tcPr>
          <w:p w14:paraId="76ADEED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风险防治措施</w:t>
            </w:r>
          </w:p>
        </w:tc>
        <w:tc>
          <w:tcPr>
            <w:tcW w:w="1627" w:type="pct"/>
            <w:vAlign w:val="center"/>
          </w:tcPr>
          <w:p w14:paraId="09B195B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消防排水收集系统，包括管网及排水监控系统</w:t>
            </w:r>
          </w:p>
        </w:tc>
        <w:tc>
          <w:tcPr>
            <w:tcW w:w="708" w:type="pct"/>
            <w:vMerge w:val="restart"/>
            <w:vAlign w:val="center"/>
          </w:tcPr>
          <w:p w14:paraId="7CC84F1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37" w:type="pct"/>
            <w:vMerge w:val="restart"/>
            <w:vAlign w:val="center"/>
          </w:tcPr>
          <w:p w14:paraId="2B8EEA2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756" w:type="pct"/>
            <w:vMerge w:val="restart"/>
            <w:vAlign w:val="center"/>
          </w:tcPr>
          <w:p w14:paraId="24B9375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将风险水平降低到可接受范围</w:t>
            </w:r>
          </w:p>
        </w:tc>
        <w:tc>
          <w:tcPr>
            <w:tcW w:w="510" w:type="pct"/>
            <w:vMerge/>
            <w:vAlign w:val="center"/>
          </w:tcPr>
          <w:p w14:paraId="708C5998" w14:textId="77777777" w:rsidR="002133E3" w:rsidRDefault="002133E3">
            <w:pPr>
              <w:jc w:val="center"/>
              <w:rPr>
                <w:rFonts w:ascii="Times New Roman" w:eastAsia="宋体" w:hAnsi="Times New Roman" w:cs="Times New Roman"/>
                <w:szCs w:val="21"/>
              </w:rPr>
            </w:pPr>
          </w:p>
        </w:tc>
      </w:tr>
      <w:tr w:rsidR="002133E3" w14:paraId="6738CCD1" w14:textId="77777777">
        <w:trPr>
          <w:trHeight w:val="20"/>
        </w:trPr>
        <w:tc>
          <w:tcPr>
            <w:tcW w:w="762" w:type="pct"/>
            <w:vMerge/>
            <w:vAlign w:val="center"/>
          </w:tcPr>
          <w:p w14:paraId="280BFE50" w14:textId="77777777" w:rsidR="002133E3" w:rsidRDefault="002133E3">
            <w:pPr>
              <w:jc w:val="center"/>
              <w:rPr>
                <w:rFonts w:ascii="Times New Roman" w:eastAsia="宋体" w:hAnsi="Times New Roman" w:cs="Times New Roman"/>
                <w:szCs w:val="21"/>
              </w:rPr>
            </w:pPr>
          </w:p>
        </w:tc>
        <w:tc>
          <w:tcPr>
            <w:tcW w:w="1627" w:type="pct"/>
            <w:vAlign w:val="center"/>
          </w:tcPr>
          <w:p w14:paraId="6F280C31"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建立事故风险紧急监测系统，特别是事故状况下对超标区的消减措施</w:t>
            </w:r>
          </w:p>
        </w:tc>
        <w:tc>
          <w:tcPr>
            <w:tcW w:w="708" w:type="pct"/>
            <w:vMerge/>
            <w:vAlign w:val="center"/>
          </w:tcPr>
          <w:p w14:paraId="6E68986D" w14:textId="77777777" w:rsidR="002133E3" w:rsidRDefault="002133E3">
            <w:pPr>
              <w:jc w:val="center"/>
              <w:rPr>
                <w:rFonts w:ascii="Times New Roman" w:eastAsia="宋体" w:hAnsi="Times New Roman" w:cs="Times New Roman"/>
                <w:szCs w:val="21"/>
              </w:rPr>
            </w:pPr>
          </w:p>
        </w:tc>
        <w:tc>
          <w:tcPr>
            <w:tcW w:w="637" w:type="pct"/>
            <w:vMerge/>
            <w:vAlign w:val="center"/>
          </w:tcPr>
          <w:p w14:paraId="3DAC8BB4" w14:textId="77777777" w:rsidR="002133E3" w:rsidRDefault="002133E3">
            <w:pPr>
              <w:jc w:val="center"/>
              <w:rPr>
                <w:rFonts w:ascii="Times New Roman" w:eastAsia="宋体" w:hAnsi="Times New Roman" w:cs="Times New Roman"/>
                <w:szCs w:val="21"/>
              </w:rPr>
            </w:pPr>
          </w:p>
        </w:tc>
        <w:tc>
          <w:tcPr>
            <w:tcW w:w="756" w:type="pct"/>
            <w:vMerge/>
            <w:vAlign w:val="center"/>
          </w:tcPr>
          <w:p w14:paraId="1F7846D8" w14:textId="77777777" w:rsidR="002133E3" w:rsidRDefault="002133E3">
            <w:pPr>
              <w:jc w:val="center"/>
              <w:rPr>
                <w:rFonts w:ascii="Times New Roman" w:eastAsia="宋体" w:hAnsi="Times New Roman" w:cs="Times New Roman"/>
                <w:szCs w:val="21"/>
              </w:rPr>
            </w:pPr>
          </w:p>
        </w:tc>
        <w:tc>
          <w:tcPr>
            <w:tcW w:w="510" w:type="pct"/>
            <w:vMerge/>
            <w:vAlign w:val="center"/>
          </w:tcPr>
          <w:p w14:paraId="644286C3" w14:textId="77777777" w:rsidR="002133E3" w:rsidRDefault="002133E3">
            <w:pPr>
              <w:jc w:val="center"/>
              <w:rPr>
                <w:rFonts w:ascii="Times New Roman" w:eastAsia="宋体" w:hAnsi="Times New Roman" w:cs="Times New Roman"/>
                <w:szCs w:val="21"/>
              </w:rPr>
            </w:pPr>
          </w:p>
        </w:tc>
      </w:tr>
      <w:tr w:rsidR="002133E3" w14:paraId="09F91B3A" w14:textId="77777777">
        <w:trPr>
          <w:trHeight w:val="20"/>
        </w:trPr>
        <w:tc>
          <w:tcPr>
            <w:tcW w:w="762" w:type="pct"/>
            <w:vMerge/>
            <w:vAlign w:val="center"/>
          </w:tcPr>
          <w:p w14:paraId="09164FF0" w14:textId="77777777" w:rsidR="002133E3" w:rsidRDefault="002133E3">
            <w:pPr>
              <w:jc w:val="center"/>
              <w:rPr>
                <w:rFonts w:ascii="Times New Roman" w:eastAsia="宋体" w:hAnsi="Times New Roman" w:cs="Times New Roman"/>
                <w:szCs w:val="21"/>
              </w:rPr>
            </w:pPr>
          </w:p>
        </w:tc>
        <w:tc>
          <w:tcPr>
            <w:tcW w:w="1627" w:type="pct"/>
            <w:vAlign w:val="center"/>
          </w:tcPr>
          <w:p w14:paraId="38054DC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报警系统等</w:t>
            </w:r>
          </w:p>
        </w:tc>
        <w:tc>
          <w:tcPr>
            <w:tcW w:w="708" w:type="pct"/>
            <w:vMerge/>
            <w:vAlign w:val="center"/>
          </w:tcPr>
          <w:p w14:paraId="3E85AFD9" w14:textId="77777777" w:rsidR="002133E3" w:rsidRDefault="002133E3">
            <w:pPr>
              <w:jc w:val="center"/>
              <w:rPr>
                <w:rFonts w:ascii="Times New Roman" w:eastAsia="宋体" w:hAnsi="Times New Roman" w:cs="Times New Roman"/>
                <w:szCs w:val="21"/>
              </w:rPr>
            </w:pPr>
          </w:p>
        </w:tc>
        <w:tc>
          <w:tcPr>
            <w:tcW w:w="637" w:type="pct"/>
            <w:vMerge/>
            <w:vAlign w:val="center"/>
          </w:tcPr>
          <w:p w14:paraId="29B7E888" w14:textId="77777777" w:rsidR="002133E3" w:rsidRDefault="002133E3">
            <w:pPr>
              <w:jc w:val="center"/>
              <w:rPr>
                <w:rFonts w:ascii="Times New Roman" w:eastAsia="宋体" w:hAnsi="Times New Roman" w:cs="Times New Roman"/>
                <w:szCs w:val="21"/>
              </w:rPr>
            </w:pPr>
          </w:p>
        </w:tc>
        <w:tc>
          <w:tcPr>
            <w:tcW w:w="756" w:type="pct"/>
            <w:vMerge/>
            <w:vAlign w:val="center"/>
          </w:tcPr>
          <w:p w14:paraId="0F6074F0" w14:textId="77777777" w:rsidR="002133E3" w:rsidRDefault="002133E3">
            <w:pPr>
              <w:jc w:val="center"/>
              <w:rPr>
                <w:rFonts w:ascii="Times New Roman" w:eastAsia="宋体" w:hAnsi="Times New Roman" w:cs="Times New Roman"/>
                <w:szCs w:val="21"/>
              </w:rPr>
            </w:pPr>
          </w:p>
        </w:tc>
        <w:tc>
          <w:tcPr>
            <w:tcW w:w="510" w:type="pct"/>
            <w:vMerge/>
            <w:vAlign w:val="center"/>
          </w:tcPr>
          <w:p w14:paraId="0272D244" w14:textId="77777777" w:rsidR="002133E3" w:rsidRDefault="002133E3">
            <w:pPr>
              <w:jc w:val="center"/>
              <w:rPr>
                <w:rFonts w:ascii="Times New Roman" w:eastAsia="宋体" w:hAnsi="Times New Roman" w:cs="Times New Roman"/>
                <w:szCs w:val="21"/>
              </w:rPr>
            </w:pPr>
          </w:p>
        </w:tc>
      </w:tr>
      <w:tr w:rsidR="002133E3" w14:paraId="165DAD6A" w14:textId="77777777">
        <w:trPr>
          <w:trHeight w:val="299"/>
        </w:trPr>
        <w:tc>
          <w:tcPr>
            <w:tcW w:w="762" w:type="pct"/>
            <w:vMerge/>
            <w:vAlign w:val="center"/>
          </w:tcPr>
          <w:p w14:paraId="34962D1B" w14:textId="77777777" w:rsidR="002133E3" w:rsidRDefault="002133E3">
            <w:pPr>
              <w:jc w:val="center"/>
              <w:rPr>
                <w:rFonts w:ascii="Times New Roman" w:eastAsia="宋体" w:hAnsi="Times New Roman" w:cs="Times New Roman"/>
                <w:szCs w:val="21"/>
              </w:rPr>
            </w:pPr>
          </w:p>
        </w:tc>
        <w:tc>
          <w:tcPr>
            <w:tcW w:w="1627" w:type="pct"/>
            <w:vAlign w:val="center"/>
          </w:tcPr>
          <w:p w14:paraId="004D35A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其它风险防范措施</w:t>
            </w:r>
          </w:p>
        </w:tc>
        <w:tc>
          <w:tcPr>
            <w:tcW w:w="708" w:type="pct"/>
            <w:vMerge/>
            <w:vAlign w:val="center"/>
          </w:tcPr>
          <w:p w14:paraId="2D0FEB86" w14:textId="77777777" w:rsidR="002133E3" w:rsidRDefault="002133E3">
            <w:pPr>
              <w:jc w:val="center"/>
              <w:rPr>
                <w:rFonts w:ascii="Times New Roman" w:eastAsia="宋体" w:hAnsi="Times New Roman" w:cs="Times New Roman"/>
                <w:szCs w:val="21"/>
              </w:rPr>
            </w:pPr>
          </w:p>
        </w:tc>
        <w:tc>
          <w:tcPr>
            <w:tcW w:w="637" w:type="pct"/>
            <w:vMerge/>
            <w:vAlign w:val="center"/>
          </w:tcPr>
          <w:p w14:paraId="56CB3714" w14:textId="77777777" w:rsidR="002133E3" w:rsidRDefault="002133E3">
            <w:pPr>
              <w:jc w:val="center"/>
              <w:rPr>
                <w:rFonts w:ascii="Times New Roman" w:eastAsia="宋体" w:hAnsi="Times New Roman" w:cs="Times New Roman"/>
                <w:szCs w:val="21"/>
              </w:rPr>
            </w:pPr>
          </w:p>
        </w:tc>
        <w:tc>
          <w:tcPr>
            <w:tcW w:w="756" w:type="pct"/>
            <w:vMerge/>
            <w:vAlign w:val="center"/>
          </w:tcPr>
          <w:p w14:paraId="4D0CDE1B" w14:textId="77777777" w:rsidR="002133E3" w:rsidRDefault="002133E3">
            <w:pPr>
              <w:jc w:val="center"/>
              <w:rPr>
                <w:rFonts w:ascii="Times New Roman" w:eastAsia="宋体" w:hAnsi="Times New Roman" w:cs="Times New Roman"/>
                <w:szCs w:val="21"/>
              </w:rPr>
            </w:pPr>
          </w:p>
        </w:tc>
        <w:tc>
          <w:tcPr>
            <w:tcW w:w="510" w:type="pct"/>
            <w:vMerge/>
            <w:vAlign w:val="center"/>
          </w:tcPr>
          <w:p w14:paraId="01B1A042" w14:textId="77777777" w:rsidR="002133E3" w:rsidRDefault="002133E3">
            <w:pPr>
              <w:jc w:val="center"/>
              <w:rPr>
                <w:rFonts w:ascii="Times New Roman" w:eastAsia="宋体" w:hAnsi="Times New Roman" w:cs="Times New Roman"/>
                <w:szCs w:val="21"/>
              </w:rPr>
            </w:pPr>
          </w:p>
        </w:tc>
      </w:tr>
      <w:tr w:rsidR="002133E3" w14:paraId="470C903E" w14:textId="77777777">
        <w:trPr>
          <w:trHeight w:val="20"/>
        </w:trPr>
        <w:tc>
          <w:tcPr>
            <w:tcW w:w="2389" w:type="pct"/>
            <w:gridSpan w:val="2"/>
            <w:vAlign w:val="center"/>
          </w:tcPr>
          <w:p w14:paraId="22D28026"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环保投资</w:t>
            </w:r>
          </w:p>
        </w:tc>
        <w:tc>
          <w:tcPr>
            <w:tcW w:w="708" w:type="pct"/>
            <w:vAlign w:val="center"/>
          </w:tcPr>
          <w:p w14:paraId="008AE49C"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60</w:t>
            </w:r>
          </w:p>
        </w:tc>
        <w:tc>
          <w:tcPr>
            <w:tcW w:w="637" w:type="pct"/>
            <w:vAlign w:val="center"/>
          </w:tcPr>
          <w:p w14:paraId="6B70EDF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90</w:t>
            </w:r>
          </w:p>
        </w:tc>
        <w:tc>
          <w:tcPr>
            <w:tcW w:w="756" w:type="pct"/>
            <w:vAlign w:val="center"/>
          </w:tcPr>
          <w:p w14:paraId="66670163"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削减</w:t>
            </w:r>
            <w:r>
              <w:rPr>
                <w:rFonts w:ascii="Times New Roman" w:eastAsia="宋体" w:hAnsi="Times New Roman" w:cs="Times New Roman"/>
                <w:szCs w:val="21"/>
              </w:rPr>
              <w:t>208.822</w:t>
            </w:r>
          </w:p>
        </w:tc>
        <w:tc>
          <w:tcPr>
            <w:tcW w:w="510" w:type="pct"/>
            <w:vAlign w:val="center"/>
          </w:tcPr>
          <w:p w14:paraId="18AD2FB9"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4E9E9278" w14:textId="77777777">
        <w:trPr>
          <w:trHeight w:val="20"/>
        </w:trPr>
        <w:tc>
          <w:tcPr>
            <w:tcW w:w="2389" w:type="pct"/>
            <w:gridSpan w:val="2"/>
            <w:vAlign w:val="center"/>
          </w:tcPr>
          <w:p w14:paraId="480671AA"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环保投资占总投资比例（</w:t>
            </w:r>
            <w:r>
              <w:rPr>
                <w:rFonts w:ascii="Times New Roman" w:eastAsia="宋体" w:hAnsi="Times New Roman" w:cs="Times New Roman"/>
                <w:szCs w:val="21"/>
              </w:rPr>
              <w:t>%</w:t>
            </w:r>
            <w:r>
              <w:rPr>
                <w:rFonts w:ascii="Times New Roman" w:eastAsia="宋体" w:hAnsi="Times New Roman" w:cs="Times New Roman"/>
                <w:szCs w:val="21"/>
              </w:rPr>
              <w:t>）</w:t>
            </w:r>
          </w:p>
        </w:tc>
        <w:tc>
          <w:tcPr>
            <w:tcW w:w="708" w:type="pct"/>
            <w:vAlign w:val="center"/>
          </w:tcPr>
          <w:p w14:paraId="3A436A1D"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1.31%</w:t>
            </w:r>
          </w:p>
        </w:tc>
        <w:tc>
          <w:tcPr>
            <w:tcW w:w="637" w:type="pct"/>
            <w:vAlign w:val="center"/>
          </w:tcPr>
          <w:p w14:paraId="474AAED4"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1.96%</w:t>
            </w:r>
          </w:p>
        </w:tc>
        <w:tc>
          <w:tcPr>
            <w:tcW w:w="756" w:type="pct"/>
            <w:vAlign w:val="center"/>
          </w:tcPr>
          <w:p w14:paraId="1721E21F"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10" w:type="pct"/>
            <w:vAlign w:val="center"/>
          </w:tcPr>
          <w:p w14:paraId="09EC7058"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bl>
    <w:p w14:paraId="3465EFC5"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为加强本项目的环保管理，保障环保设施的正常维护运转，结合本项目的实际情况，制定以下环保设施投入及运行维护资金保障计划：</w:t>
      </w:r>
    </w:p>
    <w:p w14:paraId="45AC1ACE"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项目设环保投入专项资金账户，由项目安环部管理。环保投入专项资金专用于本项目环保设施的施工建设以及环保设施的日常运行管理，实行专款专用，不得挪作它用。</w:t>
      </w:r>
    </w:p>
    <w:p w14:paraId="768D1A30" w14:textId="77777777" w:rsidR="002133E3" w:rsidRDefault="00C22CFA">
      <w:pPr>
        <w:pStyle w:val="affff3"/>
        <w:numPr>
          <w:ilvl w:val="1"/>
          <w:numId w:val="2"/>
        </w:numPr>
        <w:ind w:firstLineChars="0" w:hanging="567"/>
        <w:outlineLvl w:val="1"/>
        <w:rPr>
          <w:rFonts w:ascii="Times New Roman" w:eastAsia="宋体" w:hAnsi="Times New Roman" w:cs="Times New Roman"/>
          <w:b/>
          <w:sz w:val="30"/>
          <w:szCs w:val="30"/>
        </w:rPr>
      </w:pPr>
      <w:bookmarkStart w:id="110" w:name="_Toc47604369"/>
      <w:r>
        <w:rPr>
          <w:rFonts w:ascii="Times New Roman" w:eastAsia="宋体" w:hAnsi="Times New Roman" w:cs="Times New Roman"/>
          <w:b/>
          <w:sz w:val="30"/>
          <w:szCs w:val="30"/>
        </w:rPr>
        <w:t>环境监测计划</w:t>
      </w:r>
      <w:bookmarkEnd w:id="110"/>
    </w:p>
    <w:p w14:paraId="1E329CF9"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污染源监测</w:t>
      </w:r>
    </w:p>
    <w:p w14:paraId="16BCC7EA"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废气</w:t>
      </w:r>
    </w:p>
    <w:p w14:paraId="634E0C1C"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根据《环境影响评价技术导则</w:t>
      </w:r>
      <w:r>
        <w:rPr>
          <w:rFonts w:ascii="Times New Roman" w:eastAsia="宋体" w:hAnsi="Times New Roman" w:cs="Times New Roman"/>
          <w:sz w:val="28"/>
          <w:szCs w:val="28"/>
        </w:rPr>
        <w:t>-</w:t>
      </w:r>
      <w:r>
        <w:rPr>
          <w:rFonts w:ascii="Times New Roman" w:eastAsia="宋体" w:hAnsi="Times New Roman" w:cs="Times New Roman"/>
          <w:sz w:val="28"/>
          <w:szCs w:val="28"/>
        </w:rPr>
        <w:t>大气环境》</w:t>
      </w:r>
      <w:r>
        <w:rPr>
          <w:rFonts w:ascii="Times New Roman" w:eastAsia="宋体" w:hAnsi="Times New Roman" w:cs="Times New Roman"/>
          <w:sz w:val="28"/>
          <w:szCs w:val="28"/>
        </w:rPr>
        <w:t>(HJ2.2-2018)</w:t>
      </w:r>
      <w:r>
        <w:rPr>
          <w:rFonts w:ascii="Times New Roman" w:eastAsia="宋体" w:hAnsi="Times New Roman" w:cs="Times New Roman"/>
          <w:sz w:val="28"/>
          <w:szCs w:val="28"/>
        </w:rPr>
        <w:t>，本项目大气评价等级为二级，仅须对污染源制定监测计划。根据《排污单位自行监测技术指南总则》，有组织废气监测点位、指标及频次见表</w:t>
      </w:r>
      <w:r>
        <w:rPr>
          <w:rFonts w:ascii="Times New Roman" w:eastAsia="宋体" w:hAnsi="Times New Roman" w:cs="Times New Roman"/>
          <w:sz w:val="28"/>
          <w:szCs w:val="28"/>
        </w:rPr>
        <w:t>9.4-1</w:t>
      </w:r>
      <w:r>
        <w:rPr>
          <w:rFonts w:ascii="Times New Roman" w:eastAsia="宋体" w:hAnsi="Times New Roman" w:cs="Times New Roman"/>
          <w:sz w:val="28"/>
          <w:szCs w:val="28"/>
        </w:rPr>
        <w:t>。</w:t>
      </w:r>
    </w:p>
    <w:p w14:paraId="44337F8A" w14:textId="77777777" w:rsidR="002133E3" w:rsidRDefault="00C22CFA">
      <w:pPr>
        <w:adjustRightInd w:val="0"/>
        <w:snapToGrid w:val="0"/>
        <w:spacing w:line="500" w:lineRule="exact"/>
        <w:ind w:firstLineChars="200" w:firstLine="482"/>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 xml:space="preserve">9.4-1 </w:t>
      </w:r>
      <w:r>
        <w:rPr>
          <w:rFonts w:ascii="Times New Roman" w:eastAsia="宋体" w:hAnsi="Times New Roman" w:cs="Times New Roman"/>
          <w:b/>
          <w:bCs/>
          <w:sz w:val="24"/>
          <w:szCs w:val="24"/>
        </w:rPr>
        <w:t>有组织废气监测点位、指标及频次</w:t>
      </w:r>
    </w:p>
    <w:tbl>
      <w:tblPr>
        <w:tblW w:w="5000" w:type="pct"/>
        <w:tblLayout w:type="fixed"/>
        <w:tblCellMar>
          <w:left w:w="0" w:type="dxa"/>
          <w:right w:w="0" w:type="dxa"/>
        </w:tblCellMar>
        <w:tblLook w:val="04A0" w:firstRow="1" w:lastRow="0" w:firstColumn="1" w:lastColumn="0" w:noHBand="0" w:noVBand="1"/>
      </w:tblPr>
      <w:tblGrid>
        <w:gridCol w:w="1148"/>
        <w:gridCol w:w="2835"/>
        <w:gridCol w:w="2835"/>
        <w:gridCol w:w="2850"/>
      </w:tblGrid>
      <w:tr w:rsidR="002133E3" w14:paraId="684D9802" w14:textId="77777777">
        <w:trPr>
          <w:trHeight w:val="285"/>
        </w:trPr>
        <w:tc>
          <w:tcPr>
            <w:tcW w:w="206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06B0A428" w14:textId="77777777" w:rsidR="002133E3" w:rsidRDefault="00C22CFA">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监测点位置</w:t>
            </w: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1964FE6" w14:textId="77777777" w:rsidR="002133E3" w:rsidRDefault="00C22CFA">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主要监测指标及监测频次</w:t>
            </w:r>
          </w:p>
        </w:tc>
        <w:tc>
          <w:tcPr>
            <w:tcW w:w="1474"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E83FB54" w14:textId="77777777" w:rsidR="002133E3" w:rsidRDefault="00C22CFA">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其他监测指标及监测频次</w:t>
            </w:r>
          </w:p>
        </w:tc>
      </w:tr>
      <w:tr w:rsidR="002133E3" w14:paraId="21F9732A" w14:textId="77777777">
        <w:trPr>
          <w:trHeight w:val="300"/>
        </w:trPr>
        <w:tc>
          <w:tcPr>
            <w:tcW w:w="594"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03CD8469"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主要排放口</w:t>
            </w: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7E5D5109"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w:t>
            </w: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bottom"/>
          </w:tcPr>
          <w:p w14:paraId="5CFABC81" w14:textId="77777777" w:rsidR="002133E3" w:rsidRDefault="00C22CFA">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szCs w:val="21"/>
              </w:rPr>
              <w:t>—</w:t>
            </w:r>
          </w:p>
        </w:tc>
        <w:tc>
          <w:tcPr>
            <w:tcW w:w="1474"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bottom"/>
          </w:tcPr>
          <w:p w14:paraId="1A1E92FB" w14:textId="77777777" w:rsidR="002133E3" w:rsidRDefault="00C22CFA">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szCs w:val="21"/>
              </w:rPr>
              <w:t>—</w:t>
            </w:r>
          </w:p>
        </w:tc>
      </w:tr>
      <w:tr w:rsidR="002133E3" w14:paraId="29746B55" w14:textId="77777777">
        <w:trPr>
          <w:trHeight w:val="300"/>
        </w:trPr>
        <w:tc>
          <w:tcPr>
            <w:tcW w:w="594" w:type="pct"/>
            <w:vMerge w:val="restart"/>
            <w:tcBorders>
              <w:top w:val="single" w:sz="4" w:space="0" w:color="000000"/>
              <w:left w:val="single" w:sz="4" w:space="0" w:color="000000"/>
              <w:right w:val="single" w:sz="4" w:space="0" w:color="000000"/>
            </w:tcBorders>
            <w:noWrap/>
            <w:tcMar>
              <w:top w:w="15" w:type="dxa"/>
              <w:left w:w="15" w:type="dxa"/>
              <w:right w:w="15" w:type="dxa"/>
            </w:tcMar>
            <w:vAlign w:val="center"/>
          </w:tcPr>
          <w:p w14:paraId="79C3CCC6"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其他排放口</w:t>
            </w: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793C2CF"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r>
              <w:rPr>
                <w:rFonts w:ascii="Times New Roman" w:eastAsia="宋体" w:hAnsi="Times New Roman" w:cs="Times New Roman"/>
                <w:color w:val="000000"/>
                <w:kern w:val="0"/>
                <w:szCs w:val="21"/>
                <w:lang w:bidi="ar"/>
              </w:rPr>
              <w:t>废气处理设施进口及排口</w:t>
            </w:r>
          </w:p>
        </w:tc>
        <w:tc>
          <w:tcPr>
            <w:tcW w:w="294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bottom"/>
          </w:tcPr>
          <w:p w14:paraId="2AA57B35"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颗粒物，半年一次</w:t>
            </w:r>
          </w:p>
        </w:tc>
      </w:tr>
      <w:tr w:rsidR="002133E3" w14:paraId="4AC5E899" w14:textId="77777777">
        <w:trPr>
          <w:trHeight w:val="300"/>
        </w:trPr>
        <w:tc>
          <w:tcPr>
            <w:tcW w:w="594" w:type="pct"/>
            <w:vMerge/>
            <w:tcBorders>
              <w:left w:val="single" w:sz="4" w:space="0" w:color="000000"/>
              <w:right w:val="single" w:sz="4" w:space="0" w:color="000000"/>
            </w:tcBorders>
            <w:noWrap/>
            <w:tcMar>
              <w:top w:w="15" w:type="dxa"/>
              <w:left w:w="15" w:type="dxa"/>
              <w:right w:w="15" w:type="dxa"/>
            </w:tcMar>
            <w:vAlign w:val="center"/>
          </w:tcPr>
          <w:p w14:paraId="724675DD" w14:textId="77777777" w:rsidR="002133E3" w:rsidRDefault="002133E3">
            <w:pPr>
              <w:widowControl/>
              <w:jc w:val="center"/>
              <w:textAlignment w:val="center"/>
              <w:rPr>
                <w:rFonts w:ascii="Times New Roman" w:eastAsia="宋体" w:hAnsi="Times New Roman" w:cs="Times New Roman"/>
                <w:color w:val="000000"/>
                <w:kern w:val="0"/>
                <w:szCs w:val="21"/>
                <w:lang w:bidi="ar"/>
              </w:rPr>
            </w:pP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424A543"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w:t>
            </w:r>
            <w:r>
              <w:rPr>
                <w:rFonts w:ascii="Times New Roman" w:eastAsia="宋体" w:hAnsi="Times New Roman" w:cs="Times New Roman"/>
                <w:color w:val="000000"/>
                <w:kern w:val="0"/>
                <w:szCs w:val="21"/>
                <w:lang w:bidi="ar"/>
              </w:rPr>
              <w:t>废气处理设施进口及排口</w:t>
            </w:r>
          </w:p>
        </w:tc>
        <w:tc>
          <w:tcPr>
            <w:tcW w:w="294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tcPr>
          <w:p w14:paraId="5CE4A61F"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颗粒物，半年一次</w:t>
            </w:r>
          </w:p>
        </w:tc>
      </w:tr>
      <w:tr w:rsidR="002133E3" w14:paraId="622AF758" w14:textId="77777777">
        <w:trPr>
          <w:trHeight w:val="300"/>
        </w:trPr>
        <w:tc>
          <w:tcPr>
            <w:tcW w:w="594" w:type="pct"/>
            <w:vMerge/>
            <w:tcBorders>
              <w:left w:val="single" w:sz="4" w:space="0" w:color="000000"/>
              <w:right w:val="single" w:sz="4" w:space="0" w:color="000000"/>
            </w:tcBorders>
            <w:noWrap/>
            <w:tcMar>
              <w:top w:w="15" w:type="dxa"/>
              <w:left w:w="15" w:type="dxa"/>
              <w:right w:w="15" w:type="dxa"/>
            </w:tcMar>
            <w:vAlign w:val="center"/>
          </w:tcPr>
          <w:p w14:paraId="257920A8" w14:textId="77777777" w:rsidR="002133E3" w:rsidRDefault="002133E3">
            <w:pPr>
              <w:widowControl/>
              <w:jc w:val="center"/>
              <w:textAlignment w:val="center"/>
              <w:rPr>
                <w:rFonts w:ascii="Times New Roman" w:eastAsia="宋体" w:hAnsi="Times New Roman" w:cs="Times New Roman"/>
                <w:color w:val="000000"/>
                <w:kern w:val="0"/>
                <w:szCs w:val="21"/>
                <w:lang w:bidi="ar"/>
              </w:rPr>
            </w:pP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2E6962A"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w:t>
            </w:r>
            <w:r>
              <w:rPr>
                <w:rFonts w:ascii="Times New Roman" w:eastAsia="宋体" w:hAnsi="Times New Roman" w:cs="Times New Roman"/>
                <w:color w:val="000000"/>
                <w:kern w:val="0"/>
                <w:szCs w:val="21"/>
                <w:lang w:bidi="ar"/>
              </w:rPr>
              <w:t>废气处理设施进口及排口</w:t>
            </w:r>
          </w:p>
        </w:tc>
        <w:tc>
          <w:tcPr>
            <w:tcW w:w="294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tcPr>
          <w:p w14:paraId="531B8786"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颗粒物，半年一次</w:t>
            </w:r>
          </w:p>
        </w:tc>
      </w:tr>
      <w:tr w:rsidR="002133E3" w14:paraId="3AB62194" w14:textId="77777777">
        <w:trPr>
          <w:trHeight w:val="300"/>
        </w:trPr>
        <w:tc>
          <w:tcPr>
            <w:tcW w:w="594" w:type="pct"/>
            <w:vMerge/>
            <w:tcBorders>
              <w:left w:val="single" w:sz="4" w:space="0" w:color="000000"/>
              <w:right w:val="single" w:sz="4" w:space="0" w:color="000000"/>
            </w:tcBorders>
            <w:noWrap/>
            <w:tcMar>
              <w:top w:w="15" w:type="dxa"/>
              <w:left w:w="15" w:type="dxa"/>
              <w:right w:w="15" w:type="dxa"/>
            </w:tcMar>
            <w:vAlign w:val="center"/>
          </w:tcPr>
          <w:p w14:paraId="255FD8BE" w14:textId="77777777" w:rsidR="002133E3" w:rsidRDefault="002133E3">
            <w:pPr>
              <w:widowControl/>
              <w:jc w:val="center"/>
              <w:textAlignment w:val="center"/>
              <w:rPr>
                <w:rFonts w:ascii="Times New Roman" w:eastAsia="宋体" w:hAnsi="Times New Roman" w:cs="Times New Roman"/>
                <w:color w:val="000000"/>
                <w:kern w:val="0"/>
                <w:szCs w:val="21"/>
                <w:lang w:bidi="ar"/>
              </w:rPr>
            </w:pP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90AA878"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r>
              <w:rPr>
                <w:rFonts w:ascii="Times New Roman" w:eastAsia="宋体" w:hAnsi="Times New Roman" w:cs="Times New Roman"/>
                <w:color w:val="000000"/>
                <w:kern w:val="0"/>
                <w:szCs w:val="21"/>
                <w:lang w:bidi="ar"/>
              </w:rPr>
              <w:t>废气处理设施进口及排口</w:t>
            </w:r>
          </w:p>
        </w:tc>
        <w:tc>
          <w:tcPr>
            <w:tcW w:w="294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58EDED51"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rPr>
              <w:t>乙醇、甲醇、挥发性有机物，</w:t>
            </w:r>
            <w:r>
              <w:rPr>
                <w:rFonts w:ascii="Times New Roman" w:eastAsia="宋体" w:hAnsi="Times New Roman" w:cs="Times New Roman"/>
                <w:color w:val="000000"/>
                <w:kern w:val="0"/>
                <w:szCs w:val="21"/>
                <w:lang w:bidi="ar"/>
              </w:rPr>
              <w:t>半年一次</w:t>
            </w:r>
          </w:p>
        </w:tc>
      </w:tr>
      <w:tr w:rsidR="002133E3" w14:paraId="0550E0F0" w14:textId="77777777">
        <w:trPr>
          <w:trHeight w:val="300"/>
        </w:trPr>
        <w:tc>
          <w:tcPr>
            <w:tcW w:w="594" w:type="pct"/>
            <w:vMerge/>
            <w:tcBorders>
              <w:left w:val="single" w:sz="4" w:space="0" w:color="000000"/>
              <w:right w:val="single" w:sz="4" w:space="0" w:color="000000"/>
            </w:tcBorders>
            <w:noWrap/>
            <w:tcMar>
              <w:top w:w="15" w:type="dxa"/>
              <w:left w:w="15" w:type="dxa"/>
              <w:right w:w="15" w:type="dxa"/>
            </w:tcMar>
            <w:vAlign w:val="center"/>
          </w:tcPr>
          <w:p w14:paraId="78330CD8" w14:textId="77777777" w:rsidR="002133E3" w:rsidRDefault="002133E3">
            <w:pPr>
              <w:widowControl/>
              <w:jc w:val="center"/>
              <w:textAlignment w:val="center"/>
              <w:rPr>
                <w:rFonts w:ascii="Times New Roman" w:eastAsia="宋体" w:hAnsi="Times New Roman" w:cs="Times New Roman"/>
                <w:color w:val="000000"/>
                <w:kern w:val="0"/>
                <w:szCs w:val="21"/>
                <w:lang w:bidi="ar"/>
              </w:rPr>
            </w:pP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5980B1C1"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w:t>
            </w:r>
            <w:r>
              <w:rPr>
                <w:rFonts w:ascii="Times New Roman" w:eastAsia="宋体" w:hAnsi="Times New Roman" w:cs="Times New Roman"/>
                <w:color w:val="000000"/>
                <w:kern w:val="0"/>
                <w:szCs w:val="21"/>
                <w:lang w:bidi="ar"/>
              </w:rPr>
              <w:t>废气处理设施进口及排口</w:t>
            </w:r>
          </w:p>
        </w:tc>
        <w:tc>
          <w:tcPr>
            <w:tcW w:w="294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tcPr>
          <w:p w14:paraId="3930198C"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颗粒物，半年一次</w:t>
            </w:r>
          </w:p>
        </w:tc>
      </w:tr>
      <w:tr w:rsidR="002133E3" w14:paraId="55C7B0A9" w14:textId="77777777">
        <w:trPr>
          <w:trHeight w:val="300"/>
        </w:trPr>
        <w:tc>
          <w:tcPr>
            <w:tcW w:w="594" w:type="pct"/>
            <w:vMerge/>
            <w:tcBorders>
              <w:left w:val="single" w:sz="4" w:space="0" w:color="000000"/>
              <w:right w:val="single" w:sz="4" w:space="0" w:color="000000"/>
            </w:tcBorders>
            <w:noWrap/>
            <w:tcMar>
              <w:top w:w="15" w:type="dxa"/>
              <w:left w:w="15" w:type="dxa"/>
              <w:right w:w="15" w:type="dxa"/>
            </w:tcMar>
            <w:vAlign w:val="center"/>
          </w:tcPr>
          <w:p w14:paraId="0AD1F8D5" w14:textId="77777777" w:rsidR="002133E3" w:rsidRDefault="002133E3">
            <w:pPr>
              <w:widowControl/>
              <w:jc w:val="center"/>
              <w:textAlignment w:val="center"/>
              <w:rPr>
                <w:rFonts w:ascii="Times New Roman" w:eastAsia="宋体" w:hAnsi="Times New Roman" w:cs="Times New Roman"/>
                <w:color w:val="000000"/>
                <w:kern w:val="0"/>
                <w:szCs w:val="21"/>
                <w:lang w:bidi="ar"/>
              </w:rPr>
            </w:pP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443CC36"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r>
              <w:rPr>
                <w:rFonts w:ascii="Times New Roman" w:eastAsia="宋体" w:hAnsi="Times New Roman" w:cs="Times New Roman"/>
                <w:color w:val="000000"/>
                <w:kern w:val="0"/>
                <w:szCs w:val="21"/>
                <w:lang w:bidi="ar"/>
              </w:rPr>
              <w:t>废气处理设施进口及排口</w:t>
            </w:r>
          </w:p>
        </w:tc>
        <w:tc>
          <w:tcPr>
            <w:tcW w:w="294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tcPr>
          <w:p w14:paraId="27FDFC60"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颗粒物，半年一次</w:t>
            </w:r>
          </w:p>
        </w:tc>
      </w:tr>
      <w:tr w:rsidR="002133E3" w14:paraId="54E2BFA7" w14:textId="77777777">
        <w:trPr>
          <w:trHeight w:val="300"/>
        </w:trPr>
        <w:tc>
          <w:tcPr>
            <w:tcW w:w="594" w:type="pct"/>
            <w:vMerge/>
            <w:tcBorders>
              <w:left w:val="single" w:sz="4" w:space="0" w:color="000000"/>
              <w:bottom w:val="single" w:sz="4" w:space="0" w:color="000000"/>
              <w:right w:val="single" w:sz="4" w:space="0" w:color="000000"/>
            </w:tcBorders>
            <w:noWrap/>
            <w:tcMar>
              <w:top w:w="15" w:type="dxa"/>
              <w:left w:w="15" w:type="dxa"/>
              <w:right w:w="15" w:type="dxa"/>
            </w:tcMar>
            <w:vAlign w:val="center"/>
          </w:tcPr>
          <w:p w14:paraId="68D12FAA" w14:textId="77777777" w:rsidR="002133E3" w:rsidRDefault="002133E3">
            <w:pPr>
              <w:widowControl/>
              <w:jc w:val="center"/>
              <w:textAlignment w:val="center"/>
              <w:rPr>
                <w:rFonts w:ascii="Times New Roman" w:eastAsia="宋体" w:hAnsi="Times New Roman" w:cs="Times New Roman"/>
                <w:color w:val="000000"/>
                <w:kern w:val="0"/>
                <w:szCs w:val="21"/>
                <w:lang w:bidi="ar"/>
              </w:rPr>
            </w:pPr>
          </w:p>
        </w:tc>
        <w:tc>
          <w:tcPr>
            <w:tcW w:w="146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C1E78A8"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r>
              <w:rPr>
                <w:rFonts w:ascii="Times New Roman" w:eastAsia="宋体" w:hAnsi="Times New Roman" w:cs="Times New Roman"/>
                <w:color w:val="000000"/>
                <w:kern w:val="0"/>
                <w:szCs w:val="21"/>
                <w:lang w:bidi="ar"/>
              </w:rPr>
              <w:t>废气处理设施进口及排口</w:t>
            </w:r>
          </w:p>
        </w:tc>
        <w:tc>
          <w:tcPr>
            <w:tcW w:w="2940"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tcPr>
          <w:p w14:paraId="78078E15" w14:textId="77777777" w:rsidR="002133E3" w:rsidRDefault="00C22CFA">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颗粒物，半年一次</w:t>
            </w:r>
          </w:p>
        </w:tc>
      </w:tr>
    </w:tbl>
    <w:p w14:paraId="19DF459C"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厂界无组织废气：每年监测</w:t>
      </w:r>
      <w:r>
        <w:rPr>
          <w:rFonts w:ascii="Times New Roman" w:eastAsia="宋体" w:hAnsi="Times New Roman" w:cs="Times New Roman"/>
          <w:sz w:val="28"/>
          <w:szCs w:val="28"/>
        </w:rPr>
        <w:t>1</w:t>
      </w:r>
      <w:r>
        <w:rPr>
          <w:rFonts w:ascii="Times New Roman" w:eastAsia="宋体" w:hAnsi="Times New Roman" w:cs="Times New Roman"/>
          <w:sz w:val="28"/>
          <w:szCs w:val="28"/>
        </w:rPr>
        <w:t>次，监测项目为</w:t>
      </w:r>
      <w:r>
        <w:rPr>
          <w:rFonts w:ascii="Times New Roman" w:eastAsia="宋体" w:hAnsi="Times New Roman" w:cs="Times New Roman"/>
          <w:color w:val="000000"/>
          <w:sz w:val="28"/>
          <w:szCs w:val="28"/>
        </w:rPr>
        <w:t>乙醇、甲醇、挥发性有机物</w:t>
      </w:r>
      <w:r>
        <w:rPr>
          <w:rFonts w:ascii="Times New Roman" w:eastAsia="宋体" w:hAnsi="Times New Roman" w:cs="Times New Roman"/>
          <w:sz w:val="28"/>
          <w:szCs w:val="28"/>
        </w:rPr>
        <w:t>。</w:t>
      </w:r>
    </w:p>
    <w:p w14:paraId="257E2047"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 xml:space="preserve">(2) </w:t>
      </w:r>
      <w:r>
        <w:rPr>
          <w:rFonts w:ascii="Times New Roman" w:eastAsia="宋体" w:hAnsi="Times New Roman" w:cs="Times New Roman"/>
          <w:sz w:val="28"/>
          <w:szCs w:val="24"/>
        </w:rPr>
        <w:t>废水</w:t>
      </w:r>
    </w:p>
    <w:p w14:paraId="72A91CE1"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根据《排污单位自行监测技术指南总则》，废水监测点位、指标及频次见表</w:t>
      </w:r>
      <w:r>
        <w:rPr>
          <w:rFonts w:ascii="Times New Roman" w:eastAsia="宋体" w:hAnsi="Times New Roman" w:cs="Times New Roman"/>
          <w:sz w:val="28"/>
          <w:szCs w:val="24"/>
        </w:rPr>
        <w:t>9.4-2</w:t>
      </w:r>
      <w:r>
        <w:rPr>
          <w:rFonts w:ascii="Times New Roman" w:eastAsia="宋体" w:hAnsi="Times New Roman" w:cs="Times New Roman"/>
          <w:sz w:val="28"/>
          <w:szCs w:val="24"/>
        </w:rPr>
        <w:t>。</w:t>
      </w:r>
    </w:p>
    <w:p w14:paraId="5CC5E2D1" w14:textId="77777777" w:rsidR="002133E3" w:rsidRDefault="00C22CFA">
      <w:pPr>
        <w:spacing w:line="440" w:lineRule="exact"/>
        <w:jc w:val="center"/>
        <w:rPr>
          <w:rFonts w:ascii="Times New Roman" w:hAnsi="Times New Roman" w:cs="Times New Roman"/>
        </w:rPr>
      </w:pPr>
      <w:r>
        <w:rPr>
          <w:rFonts w:ascii="Times New Roman" w:eastAsia="宋体" w:hAnsi="Times New Roman" w:cs="Times New Roman"/>
          <w:b/>
          <w:sz w:val="24"/>
          <w:szCs w:val="32"/>
        </w:rPr>
        <w:t>表</w:t>
      </w:r>
      <w:r>
        <w:rPr>
          <w:rFonts w:ascii="Times New Roman" w:eastAsia="宋体" w:hAnsi="Times New Roman" w:cs="Times New Roman"/>
          <w:b/>
          <w:sz w:val="24"/>
          <w:szCs w:val="32"/>
        </w:rPr>
        <w:t xml:space="preserve">9.4-2  </w:t>
      </w:r>
      <w:r>
        <w:rPr>
          <w:rFonts w:ascii="Times New Roman" w:eastAsia="宋体" w:hAnsi="Times New Roman" w:cs="Times New Roman"/>
          <w:b/>
          <w:sz w:val="24"/>
          <w:szCs w:val="32"/>
        </w:rPr>
        <w:t>废水监测点位、指标及频次</w:t>
      </w:r>
    </w:p>
    <w:tbl>
      <w:tblPr>
        <w:tblW w:w="5000" w:type="pct"/>
        <w:jc w:val="center"/>
        <w:tblLayout w:type="fixed"/>
        <w:tblCellMar>
          <w:left w:w="0" w:type="dxa"/>
          <w:right w:w="0" w:type="dxa"/>
        </w:tblCellMar>
        <w:tblLook w:val="04A0" w:firstRow="1" w:lastRow="0" w:firstColumn="1" w:lastColumn="0" w:noHBand="0" w:noVBand="1"/>
      </w:tblPr>
      <w:tblGrid>
        <w:gridCol w:w="2322"/>
        <w:gridCol w:w="4923"/>
        <w:gridCol w:w="2423"/>
      </w:tblGrid>
      <w:tr w:rsidR="002133E3" w14:paraId="27CCBEEB" w14:textId="77777777">
        <w:trPr>
          <w:trHeight w:val="285"/>
          <w:jc w:val="center"/>
        </w:trPr>
        <w:tc>
          <w:tcPr>
            <w:tcW w:w="1201"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2E9B482A"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监测点位置</w:t>
            </w:r>
          </w:p>
        </w:tc>
        <w:tc>
          <w:tcPr>
            <w:tcW w:w="254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62C3DBD"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主要监测指标及监测频次</w:t>
            </w:r>
          </w:p>
        </w:tc>
        <w:tc>
          <w:tcPr>
            <w:tcW w:w="1253"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A494444" w14:textId="77777777" w:rsidR="002133E3" w:rsidRDefault="00C22CFA">
            <w:pPr>
              <w:jc w:val="center"/>
              <w:rPr>
                <w:rFonts w:ascii="Times New Roman" w:eastAsia="宋体" w:hAnsi="Times New Roman" w:cs="Times New Roman"/>
                <w:b/>
                <w:bCs/>
                <w:szCs w:val="21"/>
              </w:rPr>
            </w:pPr>
            <w:r>
              <w:rPr>
                <w:rFonts w:ascii="Times New Roman" w:eastAsia="宋体" w:hAnsi="Times New Roman" w:cs="Times New Roman"/>
                <w:b/>
                <w:bCs/>
                <w:szCs w:val="21"/>
              </w:rPr>
              <w:t>其他监测指标及监测频次</w:t>
            </w:r>
          </w:p>
        </w:tc>
      </w:tr>
      <w:tr w:rsidR="002133E3" w14:paraId="3F2FBFC4" w14:textId="77777777">
        <w:trPr>
          <w:trHeight w:val="285"/>
          <w:jc w:val="center"/>
        </w:trPr>
        <w:tc>
          <w:tcPr>
            <w:tcW w:w="1201" w:type="pct"/>
            <w:vMerge w:val="restart"/>
            <w:tcBorders>
              <w:top w:val="single" w:sz="4" w:space="0" w:color="000000"/>
              <w:left w:val="single" w:sz="4" w:space="0" w:color="000000"/>
              <w:right w:val="single" w:sz="4" w:space="0" w:color="000000"/>
            </w:tcBorders>
            <w:noWrap/>
            <w:tcMar>
              <w:top w:w="15" w:type="dxa"/>
              <w:left w:w="15" w:type="dxa"/>
              <w:right w:w="15" w:type="dxa"/>
            </w:tcMar>
            <w:vAlign w:val="center"/>
          </w:tcPr>
          <w:p w14:paraId="74C50B85"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厂区污水总排口</w:t>
            </w:r>
          </w:p>
        </w:tc>
        <w:tc>
          <w:tcPr>
            <w:tcW w:w="254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657D877"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rPr>
              <w:t>、氨氮、总磷、总氮，自动监测</w:t>
            </w:r>
          </w:p>
        </w:tc>
        <w:tc>
          <w:tcPr>
            <w:tcW w:w="1253" w:type="pct"/>
            <w:vMerge w:val="restart"/>
            <w:tcBorders>
              <w:top w:val="single" w:sz="4" w:space="0" w:color="000000"/>
              <w:left w:val="single" w:sz="4" w:space="0" w:color="000000"/>
              <w:right w:val="single" w:sz="4" w:space="0" w:color="000000"/>
            </w:tcBorders>
            <w:noWrap/>
            <w:tcMar>
              <w:top w:w="15" w:type="dxa"/>
              <w:left w:w="15" w:type="dxa"/>
              <w:right w:w="15" w:type="dxa"/>
            </w:tcMar>
            <w:vAlign w:val="center"/>
          </w:tcPr>
          <w:p w14:paraId="33181D7B"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2133E3" w14:paraId="5483E4A5" w14:textId="77777777">
        <w:trPr>
          <w:trHeight w:val="285"/>
          <w:jc w:val="center"/>
        </w:trPr>
        <w:tc>
          <w:tcPr>
            <w:tcW w:w="1201" w:type="pct"/>
            <w:vMerge/>
            <w:tcBorders>
              <w:left w:val="single" w:sz="4" w:space="0" w:color="000000"/>
              <w:bottom w:val="single" w:sz="4" w:space="0" w:color="000000"/>
              <w:right w:val="single" w:sz="4" w:space="0" w:color="000000"/>
            </w:tcBorders>
            <w:noWrap/>
            <w:tcMar>
              <w:top w:w="15" w:type="dxa"/>
              <w:left w:w="15" w:type="dxa"/>
              <w:right w:w="15" w:type="dxa"/>
            </w:tcMar>
            <w:vAlign w:val="center"/>
          </w:tcPr>
          <w:p w14:paraId="25DC9201" w14:textId="77777777" w:rsidR="002133E3" w:rsidRDefault="002133E3">
            <w:pPr>
              <w:jc w:val="center"/>
              <w:rPr>
                <w:rFonts w:ascii="Times New Roman" w:eastAsia="宋体" w:hAnsi="Times New Roman" w:cs="Times New Roman"/>
                <w:szCs w:val="21"/>
              </w:rPr>
            </w:pPr>
          </w:p>
        </w:tc>
        <w:tc>
          <w:tcPr>
            <w:tcW w:w="254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9D9F500" w14:textId="77777777" w:rsidR="002133E3" w:rsidRDefault="00C22CFA">
            <w:pPr>
              <w:jc w:val="center"/>
              <w:rPr>
                <w:rFonts w:ascii="Times New Roman" w:eastAsia="宋体" w:hAnsi="Times New Roman" w:cs="Times New Roman"/>
                <w:szCs w:val="21"/>
              </w:rPr>
            </w:pPr>
            <w:r>
              <w:rPr>
                <w:rFonts w:ascii="Times New Roman" w:eastAsia="宋体" w:hAnsi="Times New Roman" w:cs="Times New Roman"/>
                <w:szCs w:val="21"/>
              </w:rPr>
              <w:t>SS</w:t>
            </w:r>
            <w:r>
              <w:rPr>
                <w:rFonts w:ascii="Times New Roman" w:eastAsia="宋体" w:hAnsi="Times New Roman" w:cs="Times New Roman"/>
                <w:szCs w:val="21"/>
              </w:rPr>
              <w:t>，一月一次</w:t>
            </w:r>
          </w:p>
        </w:tc>
        <w:tc>
          <w:tcPr>
            <w:tcW w:w="1253" w:type="pct"/>
            <w:vMerge/>
            <w:tcBorders>
              <w:left w:val="single" w:sz="4" w:space="0" w:color="000000"/>
              <w:bottom w:val="single" w:sz="4" w:space="0" w:color="000000"/>
              <w:right w:val="single" w:sz="4" w:space="0" w:color="000000"/>
            </w:tcBorders>
            <w:noWrap/>
            <w:tcMar>
              <w:top w:w="15" w:type="dxa"/>
              <w:left w:w="15" w:type="dxa"/>
              <w:right w:w="15" w:type="dxa"/>
            </w:tcMar>
            <w:vAlign w:val="center"/>
          </w:tcPr>
          <w:p w14:paraId="5998C329" w14:textId="77777777" w:rsidR="002133E3" w:rsidRDefault="002133E3">
            <w:pPr>
              <w:jc w:val="center"/>
              <w:rPr>
                <w:rFonts w:ascii="Times New Roman" w:eastAsia="宋体" w:hAnsi="Times New Roman" w:cs="Times New Roman"/>
                <w:szCs w:val="21"/>
              </w:rPr>
            </w:pPr>
          </w:p>
        </w:tc>
      </w:tr>
    </w:tbl>
    <w:p w14:paraId="62E7653B"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 xml:space="preserve">(2) </w:t>
      </w:r>
      <w:r>
        <w:rPr>
          <w:rFonts w:ascii="Times New Roman" w:eastAsia="宋体" w:hAnsi="Times New Roman" w:cs="Times New Roman"/>
          <w:sz w:val="28"/>
          <w:szCs w:val="24"/>
        </w:rPr>
        <w:t>噪声</w:t>
      </w:r>
    </w:p>
    <w:p w14:paraId="622379B9"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对厂界噪声每个季度监测</w:t>
      </w:r>
      <w:r>
        <w:rPr>
          <w:rFonts w:ascii="Times New Roman" w:eastAsia="宋体" w:hAnsi="Times New Roman" w:cs="Times New Roman"/>
          <w:sz w:val="28"/>
          <w:szCs w:val="24"/>
        </w:rPr>
        <w:t>1</w:t>
      </w:r>
      <w:r>
        <w:rPr>
          <w:rFonts w:ascii="Times New Roman" w:eastAsia="宋体" w:hAnsi="Times New Roman" w:cs="Times New Roman"/>
          <w:sz w:val="28"/>
          <w:szCs w:val="24"/>
        </w:rPr>
        <w:t>天</w:t>
      </w:r>
      <w:r>
        <w:rPr>
          <w:rFonts w:ascii="Times New Roman" w:eastAsia="宋体" w:hAnsi="Times New Roman" w:cs="Times New Roman"/>
          <w:sz w:val="28"/>
          <w:szCs w:val="24"/>
        </w:rPr>
        <w:t>(</w:t>
      </w:r>
      <w:r>
        <w:rPr>
          <w:rFonts w:ascii="Times New Roman" w:eastAsia="宋体" w:hAnsi="Times New Roman" w:cs="Times New Roman"/>
          <w:sz w:val="28"/>
          <w:szCs w:val="24"/>
        </w:rPr>
        <w:t>昼夜各一次</w:t>
      </w:r>
      <w:r>
        <w:rPr>
          <w:rFonts w:ascii="Times New Roman" w:eastAsia="宋体" w:hAnsi="Times New Roman" w:cs="Times New Roman"/>
          <w:sz w:val="28"/>
          <w:szCs w:val="24"/>
        </w:rPr>
        <w:t>)</w:t>
      </w:r>
      <w:r>
        <w:rPr>
          <w:rFonts w:ascii="Times New Roman" w:eastAsia="宋体" w:hAnsi="Times New Roman" w:cs="Times New Roman"/>
          <w:sz w:val="28"/>
          <w:szCs w:val="24"/>
        </w:rPr>
        <w:t>。</w:t>
      </w:r>
    </w:p>
    <w:p w14:paraId="0601A0A0"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非正常和事故排放监测计划</w:t>
      </w:r>
    </w:p>
    <w:p w14:paraId="077BDB9E"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在非正常排放当天风向下风向，布设</w:t>
      </w:r>
      <w:r>
        <w:rPr>
          <w:rFonts w:ascii="Times New Roman" w:eastAsia="宋体" w:hAnsi="Times New Roman" w:cs="Times New Roman"/>
          <w:sz w:val="28"/>
          <w:szCs w:val="24"/>
        </w:rPr>
        <w:t>2</w:t>
      </w:r>
      <w:r>
        <w:rPr>
          <w:rFonts w:ascii="Times New Roman" w:eastAsia="宋体" w:hAnsi="Times New Roman" w:cs="Times New Roman"/>
          <w:sz w:val="28"/>
          <w:szCs w:val="24"/>
        </w:rPr>
        <w:t>～</w:t>
      </w:r>
      <w:r>
        <w:rPr>
          <w:rFonts w:ascii="Times New Roman" w:eastAsia="宋体" w:hAnsi="Times New Roman" w:cs="Times New Roman"/>
          <w:sz w:val="28"/>
          <w:szCs w:val="24"/>
        </w:rPr>
        <w:t>4</w:t>
      </w:r>
      <w:r>
        <w:rPr>
          <w:rFonts w:ascii="Times New Roman" w:eastAsia="宋体" w:hAnsi="Times New Roman" w:cs="Times New Roman"/>
          <w:sz w:val="28"/>
          <w:szCs w:val="24"/>
        </w:rPr>
        <w:t>个监测点，</w:t>
      </w:r>
      <w:r>
        <w:rPr>
          <w:rFonts w:ascii="Times New Roman" w:eastAsia="宋体" w:hAnsi="Times New Roman" w:cs="Times New Roman"/>
          <w:sz w:val="28"/>
          <w:szCs w:val="24"/>
        </w:rPr>
        <w:t>1</w:t>
      </w:r>
      <w:r>
        <w:rPr>
          <w:rFonts w:ascii="Times New Roman" w:eastAsia="宋体" w:hAnsi="Times New Roman" w:cs="Times New Roman"/>
          <w:sz w:val="28"/>
          <w:szCs w:val="24"/>
        </w:rPr>
        <w:t>～</w:t>
      </w:r>
      <w:r>
        <w:rPr>
          <w:rFonts w:ascii="Times New Roman" w:eastAsia="宋体" w:hAnsi="Times New Roman" w:cs="Times New Roman"/>
          <w:sz w:val="28"/>
          <w:szCs w:val="24"/>
        </w:rPr>
        <w:t>2</w:t>
      </w:r>
      <w:r>
        <w:rPr>
          <w:rFonts w:ascii="Times New Roman" w:eastAsia="宋体" w:hAnsi="Times New Roman" w:cs="Times New Roman"/>
          <w:sz w:val="28"/>
          <w:szCs w:val="24"/>
        </w:rPr>
        <w:t>个位于预测最大落地浓度附近，其余设在下风向的保护目标处，连续监测</w:t>
      </w:r>
      <w:r>
        <w:rPr>
          <w:rFonts w:ascii="Times New Roman" w:eastAsia="宋体" w:hAnsi="Times New Roman" w:cs="Times New Roman"/>
          <w:sz w:val="28"/>
          <w:szCs w:val="24"/>
        </w:rPr>
        <w:t>2</w:t>
      </w:r>
      <w:r>
        <w:rPr>
          <w:rFonts w:ascii="Times New Roman" w:eastAsia="宋体" w:hAnsi="Times New Roman" w:cs="Times New Roman"/>
          <w:sz w:val="28"/>
          <w:szCs w:val="24"/>
        </w:rPr>
        <w:t>天，每天监测四次。可根据监测结果延长或减少监测时间。监测项目根据事故排放因子确定。</w:t>
      </w:r>
    </w:p>
    <w:p w14:paraId="35A4E66F"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环境质量监测计划</w:t>
      </w:r>
    </w:p>
    <w:p w14:paraId="12290658"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(1) </w:t>
      </w:r>
      <w:r>
        <w:rPr>
          <w:rFonts w:ascii="Times New Roman" w:eastAsia="宋体" w:hAnsi="Times New Roman" w:cs="Times New Roman"/>
          <w:sz w:val="28"/>
          <w:szCs w:val="28"/>
        </w:rPr>
        <w:t>大气</w:t>
      </w:r>
    </w:p>
    <w:p w14:paraId="4AE52586" w14:textId="77777777" w:rsidR="002133E3" w:rsidRDefault="00C22CFA">
      <w:pPr>
        <w:pStyle w:val="p0"/>
        <w:snapToGrid w:val="0"/>
        <w:spacing w:line="500" w:lineRule="exact"/>
        <w:ind w:firstLine="560"/>
        <w:rPr>
          <w:sz w:val="28"/>
        </w:rPr>
      </w:pPr>
      <w:r>
        <w:rPr>
          <w:sz w:val="28"/>
        </w:rPr>
        <w:t>根据《环境影响评价技术导则</w:t>
      </w:r>
      <w:r>
        <w:rPr>
          <w:sz w:val="28"/>
        </w:rPr>
        <w:t xml:space="preserve"> </w:t>
      </w:r>
      <w:r>
        <w:rPr>
          <w:sz w:val="28"/>
        </w:rPr>
        <w:t>大气环境》（</w:t>
      </w:r>
      <w:r>
        <w:rPr>
          <w:sz w:val="28"/>
        </w:rPr>
        <w:t>HJ2.2-2018</w:t>
      </w:r>
      <w:r>
        <w:rPr>
          <w:sz w:val="28"/>
        </w:rPr>
        <w:t>），本项目为二级评价，可不设置大气环境质量监测点。</w:t>
      </w:r>
    </w:p>
    <w:p w14:paraId="53DD716D" w14:textId="77777777" w:rsidR="002133E3" w:rsidRDefault="00C22CFA">
      <w:pPr>
        <w:widowControl/>
        <w:adjustRightInd w:val="0"/>
        <w:snapToGrid w:val="0"/>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地表水</w:t>
      </w:r>
    </w:p>
    <w:p w14:paraId="71554414" w14:textId="77777777" w:rsidR="002133E3" w:rsidRDefault="00C22CFA">
      <w:pPr>
        <w:snapToGrid w:val="0"/>
        <w:spacing w:line="500" w:lineRule="exact"/>
        <w:ind w:firstLine="56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根据《环境影响评价技术导则</w:t>
      </w:r>
      <w:r>
        <w:rPr>
          <w:rFonts w:ascii="Times New Roman" w:eastAsia="宋体" w:hAnsi="Times New Roman" w:cs="Times New Roman"/>
          <w:kern w:val="0"/>
          <w:sz w:val="28"/>
          <w:szCs w:val="21"/>
        </w:rPr>
        <w:t xml:space="preserve"> </w:t>
      </w:r>
      <w:r>
        <w:rPr>
          <w:rFonts w:ascii="Times New Roman" w:eastAsia="宋体" w:hAnsi="Times New Roman" w:cs="Times New Roman"/>
          <w:kern w:val="0"/>
          <w:sz w:val="28"/>
          <w:szCs w:val="21"/>
        </w:rPr>
        <w:t>地表水环境》（</w:t>
      </w:r>
      <w:r>
        <w:rPr>
          <w:rFonts w:ascii="Times New Roman" w:eastAsia="宋体" w:hAnsi="Times New Roman" w:cs="Times New Roman"/>
          <w:kern w:val="0"/>
          <w:sz w:val="28"/>
          <w:szCs w:val="21"/>
        </w:rPr>
        <w:t>HJ2.3-2018</w:t>
      </w:r>
      <w:r>
        <w:rPr>
          <w:rFonts w:ascii="Times New Roman" w:eastAsia="宋体" w:hAnsi="Times New Roman" w:cs="Times New Roman"/>
          <w:kern w:val="0"/>
          <w:sz w:val="28"/>
          <w:szCs w:val="21"/>
        </w:rPr>
        <w:t>），</w:t>
      </w:r>
      <w:r>
        <w:rPr>
          <w:rFonts w:ascii="Times New Roman" w:eastAsia="宋体" w:hAnsi="Times New Roman" w:cs="Times New Roman"/>
          <w:kern w:val="0"/>
          <w:sz w:val="28"/>
          <w:szCs w:val="28"/>
        </w:rPr>
        <w:t>本项目地表水</w:t>
      </w:r>
      <w:r>
        <w:rPr>
          <w:rFonts w:ascii="Times New Roman" w:eastAsia="宋体" w:hAnsi="Times New Roman" w:cs="Times New Roman"/>
          <w:kern w:val="0"/>
          <w:sz w:val="28"/>
          <w:szCs w:val="21"/>
        </w:rPr>
        <w:t>监测计划如下：</w:t>
      </w:r>
    </w:p>
    <w:p w14:paraId="6F21992A" w14:textId="77777777" w:rsidR="002133E3" w:rsidRDefault="00C22CFA">
      <w:pPr>
        <w:widowControl/>
        <w:adjustRightInd w:val="0"/>
        <w:snapToGrid w:val="0"/>
        <w:jc w:val="center"/>
        <w:rPr>
          <w:rFonts w:ascii="Times New Roman" w:eastAsia="宋体" w:hAnsi="Times New Roman" w:cs="Times New Roman"/>
          <w:b/>
          <w:kern w:val="0"/>
          <w:sz w:val="24"/>
          <w:szCs w:val="21"/>
        </w:rPr>
      </w:pPr>
      <w:r>
        <w:rPr>
          <w:rFonts w:ascii="Times New Roman" w:eastAsia="宋体" w:hAnsi="Times New Roman" w:cs="Times New Roman"/>
          <w:b/>
          <w:kern w:val="0"/>
          <w:sz w:val="24"/>
          <w:szCs w:val="21"/>
        </w:rPr>
        <w:t>表</w:t>
      </w:r>
      <w:r>
        <w:rPr>
          <w:rFonts w:ascii="Times New Roman" w:eastAsia="宋体" w:hAnsi="Times New Roman" w:cs="Times New Roman"/>
          <w:b/>
          <w:kern w:val="0"/>
          <w:sz w:val="24"/>
          <w:szCs w:val="21"/>
        </w:rPr>
        <w:t xml:space="preserve">9.4-3  </w:t>
      </w:r>
      <w:r>
        <w:rPr>
          <w:rFonts w:ascii="Times New Roman" w:eastAsia="宋体" w:hAnsi="Times New Roman" w:cs="Times New Roman"/>
          <w:b/>
          <w:kern w:val="0"/>
          <w:sz w:val="24"/>
          <w:szCs w:val="21"/>
        </w:rPr>
        <w:t>地表水环境质量监测计划表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8"/>
        <w:gridCol w:w="1261"/>
        <w:gridCol w:w="3005"/>
        <w:gridCol w:w="1918"/>
        <w:gridCol w:w="2442"/>
      </w:tblGrid>
      <w:tr w:rsidR="002133E3" w14:paraId="0DC0C053" w14:textId="77777777">
        <w:trPr>
          <w:trHeight w:val="284"/>
          <w:jc w:val="center"/>
        </w:trPr>
        <w:tc>
          <w:tcPr>
            <w:tcW w:w="623" w:type="pct"/>
            <w:tcBorders>
              <w:top w:val="single" w:sz="4" w:space="0" w:color="auto"/>
              <w:left w:val="single" w:sz="4" w:space="0" w:color="auto"/>
              <w:bottom w:val="single" w:sz="4" w:space="0" w:color="auto"/>
              <w:right w:val="single" w:sz="4" w:space="0" w:color="auto"/>
            </w:tcBorders>
            <w:vAlign w:val="center"/>
          </w:tcPr>
          <w:p w14:paraId="76FDE1A8"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断面编号</w:t>
            </w:r>
          </w:p>
        </w:tc>
        <w:tc>
          <w:tcPr>
            <w:tcW w:w="640" w:type="pct"/>
            <w:tcBorders>
              <w:top w:val="single" w:sz="4" w:space="0" w:color="auto"/>
              <w:left w:val="single" w:sz="4" w:space="0" w:color="auto"/>
              <w:bottom w:val="single" w:sz="4" w:space="0" w:color="auto"/>
              <w:right w:val="single" w:sz="4" w:space="0" w:color="auto"/>
            </w:tcBorders>
            <w:vAlign w:val="center"/>
          </w:tcPr>
          <w:p w14:paraId="04C6DE8C"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河流</w:t>
            </w:r>
          </w:p>
        </w:tc>
        <w:tc>
          <w:tcPr>
            <w:tcW w:w="1525" w:type="pct"/>
            <w:tcBorders>
              <w:top w:val="single" w:sz="4" w:space="0" w:color="auto"/>
              <w:left w:val="single" w:sz="4" w:space="0" w:color="auto"/>
              <w:bottom w:val="single" w:sz="4" w:space="0" w:color="auto"/>
              <w:right w:val="single" w:sz="4" w:space="0" w:color="auto"/>
            </w:tcBorders>
            <w:vAlign w:val="center"/>
          </w:tcPr>
          <w:p w14:paraId="5C5465B8"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断面位置</w:t>
            </w:r>
          </w:p>
        </w:tc>
        <w:tc>
          <w:tcPr>
            <w:tcW w:w="973" w:type="pct"/>
            <w:tcBorders>
              <w:top w:val="single" w:sz="4" w:space="0" w:color="auto"/>
              <w:left w:val="single" w:sz="4" w:space="0" w:color="auto"/>
              <w:bottom w:val="single" w:sz="4" w:space="0" w:color="auto"/>
              <w:right w:val="single" w:sz="4" w:space="0" w:color="auto"/>
            </w:tcBorders>
            <w:vAlign w:val="center"/>
          </w:tcPr>
          <w:p w14:paraId="2CCF1AE9"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监测因子</w:t>
            </w:r>
          </w:p>
        </w:tc>
        <w:tc>
          <w:tcPr>
            <w:tcW w:w="1239" w:type="pct"/>
            <w:tcBorders>
              <w:top w:val="single" w:sz="4" w:space="0" w:color="auto"/>
              <w:left w:val="single" w:sz="4" w:space="0" w:color="auto"/>
              <w:bottom w:val="single" w:sz="4" w:space="0" w:color="auto"/>
              <w:right w:val="single" w:sz="4" w:space="0" w:color="auto"/>
            </w:tcBorders>
            <w:vAlign w:val="center"/>
          </w:tcPr>
          <w:p w14:paraId="20483909" w14:textId="77777777" w:rsidR="002133E3" w:rsidRDefault="00C22CFA">
            <w:pPr>
              <w:spacing w:line="280" w:lineRule="exact"/>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监测时段与取样频率</w:t>
            </w:r>
          </w:p>
        </w:tc>
      </w:tr>
      <w:tr w:rsidR="002133E3" w14:paraId="5AC1E0F6" w14:textId="77777777">
        <w:trPr>
          <w:trHeight w:val="284"/>
          <w:jc w:val="center"/>
        </w:trPr>
        <w:tc>
          <w:tcPr>
            <w:tcW w:w="623" w:type="pct"/>
            <w:tcBorders>
              <w:top w:val="single" w:sz="4" w:space="0" w:color="auto"/>
              <w:left w:val="single" w:sz="4" w:space="0" w:color="auto"/>
              <w:bottom w:val="single" w:sz="4" w:space="0" w:color="auto"/>
              <w:right w:val="single" w:sz="4" w:space="0" w:color="auto"/>
            </w:tcBorders>
            <w:vAlign w:val="center"/>
          </w:tcPr>
          <w:p w14:paraId="369EF084"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W1</w:t>
            </w:r>
          </w:p>
        </w:tc>
        <w:tc>
          <w:tcPr>
            <w:tcW w:w="640" w:type="pct"/>
            <w:tcBorders>
              <w:top w:val="single" w:sz="4" w:space="0" w:color="auto"/>
              <w:left w:val="single" w:sz="4" w:space="0" w:color="auto"/>
              <w:bottom w:val="single" w:sz="4" w:space="0" w:color="auto"/>
              <w:right w:val="single" w:sz="4" w:space="0" w:color="auto"/>
            </w:tcBorders>
            <w:vAlign w:val="center"/>
          </w:tcPr>
          <w:p w14:paraId="0A7DD2EB"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caps/>
                <w:szCs w:val="21"/>
              </w:rPr>
              <w:t>兴庄河</w:t>
            </w:r>
          </w:p>
        </w:tc>
        <w:tc>
          <w:tcPr>
            <w:tcW w:w="1525" w:type="pct"/>
            <w:tcBorders>
              <w:top w:val="single" w:sz="4" w:space="0" w:color="auto"/>
              <w:left w:val="single" w:sz="4" w:space="0" w:color="auto"/>
              <w:bottom w:val="single" w:sz="4" w:space="0" w:color="auto"/>
              <w:right w:val="single" w:sz="4" w:space="0" w:color="auto"/>
            </w:tcBorders>
            <w:vAlign w:val="center"/>
          </w:tcPr>
          <w:p w14:paraId="1811487B"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szCs w:val="21"/>
              </w:rPr>
              <w:t>兴庄河闸</w:t>
            </w:r>
          </w:p>
        </w:tc>
        <w:tc>
          <w:tcPr>
            <w:tcW w:w="973" w:type="pct"/>
            <w:vMerge w:val="restart"/>
            <w:tcBorders>
              <w:top w:val="single" w:sz="4" w:space="0" w:color="auto"/>
              <w:left w:val="single" w:sz="4" w:space="0" w:color="auto"/>
              <w:bottom w:val="single" w:sz="4" w:space="0" w:color="auto"/>
              <w:right w:val="single" w:sz="4" w:space="0" w:color="auto"/>
            </w:tcBorders>
            <w:vAlign w:val="center"/>
          </w:tcPr>
          <w:p w14:paraId="6A16589E"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w:t>
            </w:r>
            <w:r>
              <w:rPr>
                <w:rFonts w:ascii="Times New Roman" w:eastAsia="宋体" w:hAnsi="Times New Roman" w:cs="Times New Roman"/>
                <w:kern w:val="0"/>
                <w:szCs w:val="21"/>
              </w:rPr>
              <w:t>COD</w:t>
            </w:r>
            <w:r>
              <w:rPr>
                <w:rFonts w:ascii="Times New Roman" w:eastAsia="宋体" w:hAnsi="Times New Roman" w:cs="Times New Roman"/>
                <w:kern w:val="0"/>
                <w:szCs w:val="21"/>
              </w:rPr>
              <w:t>、氨氮、总磷、总氮</w:t>
            </w:r>
          </w:p>
        </w:tc>
        <w:tc>
          <w:tcPr>
            <w:tcW w:w="1239" w:type="pct"/>
            <w:vMerge w:val="restart"/>
            <w:tcBorders>
              <w:top w:val="single" w:sz="4" w:space="0" w:color="auto"/>
              <w:left w:val="single" w:sz="4" w:space="0" w:color="auto"/>
              <w:right w:val="single" w:sz="4" w:space="0" w:color="auto"/>
            </w:tcBorders>
            <w:vAlign w:val="center"/>
          </w:tcPr>
          <w:p w14:paraId="76529F9A"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连续监测</w:t>
            </w:r>
            <w:r>
              <w:rPr>
                <w:rFonts w:ascii="Times New Roman" w:eastAsia="宋体" w:hAnsi="Times New Roman" w:cs="Times New Roman"/>
                <w:kern w:val="0"/>
                <w:szCs w:val="21"/>
              </w:rPr>
              <w:t>3</w:t>
            </w:r>
            <w:r>
              <w:rPr>
                <w:rFonts w:ascii="Times New Roman" w:eastAsia="宋体" w:hAnsi="Times New Roman" w:cs="Times New Roman"/>
                <w:kern w:val="0"/>
                <w:szCs w:val="21"/>
              </w:rPr>
              <w:t>天，每天采样</w:t>
            </w:r>
            <w:r>
              <w:rPr>
                <w:rFonts w:ascii="Times New Roman" w:eastAsia="宋体" w:hAnsi="Times New Roman" w:cs="Times New Roman"/>
                <w:kern w:val="0"/>
                <w:szCs w:val="21"/>
              </w:rPr>
              <w:t>1</w:t>
            </w:r>
            <w:r>
              <w:rPr>
                <w:rFonts w:ascii="Times New Roman" w:eastAsia="宋体" w:hAnsi="Times New Roman" w:cs="Times New Roman"/>
                <w:kern w:val="0"/>
                <w:szCs w:val="21"/>
              </w:rPr>
              <w:t>次；每季度一次</w:t>
            </w:r>
          </w:p>
        </w:tc>
      </w:tr>
      <w:tr w:rsidR="002133E3" w14:paraId="22B8C501" w14:textId="77777777">
        <w:trPr>
          <w:trHeight w:val="284"/>
          <w:jc w:val="center"/>
        </w:trPr>
        <w:tc>
          <w:tcPr>
            <w:tcW w:w="623" w:type="pct"/>
            <w:tcBorders>
              <w:top w:val="single" w:sz="4" w:space="0" w:color="auto"/>
              <w:left w:val="single" w:sz="4" w:space="0" w:color="auto"/>
              <w:bottom w:val="single" w:sz="4" w:space="0" w:color="auto"/>
              <w:right w:val="single" w:sz="4" w:space="0" w:color="auto"/>
            </w:tcBorders>
            <w:vAlign w:val="center"/>
          </w:tcPr>
          <w:p w14:paraId="5AE02DAF"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W2</w:t>
            </w:r>
          </w:p>
        </w:tc>
        <w:tc>
          <w:tcPr>
            <w:tcW w:w="640" w:type="pct"/>
            <w:tcBorders>
              <w:top w:val="single" w:sz="4" w:space="0" w:color="auto"/>
              <w:left w:val="single" w:sz="4" w:space="0" w:color="auto"/>
              <w:bottom w:val="single" w:sz="4" w:space="0" w:color="auto"/>
              <w:right w:val="single" w:sz="4" w:space="0" w:color="auto"/>
            </w:tcBorders>
            <w:vAlign w:val="center"/>
          </w:tcPr>
          <w:p w14:paraId="65457720"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caps/>
                <w:szCs w:val="21"/>
              </w:rPr>
              <w:t>兴庄河</w:t>
            </w:r>
          </w:p>
        </w:tc>
        <w:tc>
          <w:tcPr>
            <w:tcW w:w="1525" w:type="pct"/>
            <w:tcBorders>
              <w:top w:val="single" w:sz="4" w:space="0" w:color="auto"/>
              <w:left w:val="single" w:sz="4" w:space="0" w:color="auto"/>
              <w:bottom w:val="single" w:sz="4" w:space="0" w:color="auto"/>
              <w:right w:val="single" w:sz="4" w:space="0" w:color="auto"/>
            </w:tcBorders>
            <w:vAlign w:val="center"/>
          </w:tcPr>
          <w:p w14:paraId="34F7FDB0" w14:textId="77777777" w:rsidR="002133E3" w:rsidRDefault="00C22CFA">
            <w:pPr>
              <w:spacing w:line="280" w:lineRule="exact"/>
              <w:jc w:val="center"/>
              <w:rPr>
                <w:rFonts w:ascii="Times New Roman" w:eastAsia="宋体" w:hAnsi="Times New Roman" w:cs="Times New Roman"/>
                <w:kern w:val="0"/>
                <w:szCs w:val="21"/>
              </w:rPr>
            </w:pPr>
            <w:r>
              <w:rPr>
                <w:rFonts w:ascii="Times New Roman" w:eastAsia="宋体" w:hAnsi="Times New Roman" w:cs="Times New Roman"/>
                <w:szCs w:val="21"/>
              </w:rPr>
              <w:t>老兴庄河闸下</w:t>
            </w:r>
            <w:r>
              <w:rPr>
                <w:rFonts w:ascii="Times New Roman" w:eastAsia="宋体" w:hAnsi="Times New Roman" w:cs="Times New Roman"/>
                <w:szCs w:val="21"/>
              </w:rPr>
              <w:t>(G228</w:t>
            </w:r>
            <w:r>
              <w:rPr>
                <w:rFonts w:ascii="Times New Roman" w:eastAsia="宋体" w:hAnsi="Times New Roman" w:cs="Times New Roman"/>
                <w:szCs w:val="21"/>
              </w:rPr>
              <w:t>国道附近</w:t>
            </w:r>
            <w:r>
              <w:rPr>
                <w:rFonts w:ascii="Times New Roman" w:eastAsia="宋体" w:hAnsi="Times New Roman" w:cs="Times New Roman"/>
                <w:szCs w:val="21"/>
              </w:rPr>
              <w:t>)</w:t>
            </w:r>
          </w:p>
        </w:tc>
        <w:tc>
          <w:tcPr>
            <w:tcW w:w="973" w:type="pct"/>
            <w:vMerge/>
            <w:tcBorders>
              <w:top w:val="single" w:sz="4" w:space="0" w:color="auto"/>
              <w:left w:val="single" w:sz="4" w:space="0" w:color="auto"/>
              <w:bottom w:val="single" w:sz="4" w:space="0" w:color="auto"/>
              <w:right w:val="single" w:sz="4" w:space="0" w:color="auto"/>
            </w:tcBorders>
            <w:vAlign w:val="center"/>
          </w:tcPr>
          <w:p w14:paraId="28CC1478" w14:textId="77777777" w:rsidR="002133E3" w:rsidRDefault="002133E3">
            <w:pPr>
              <w:spacing w:line="280" w:lineRule="exact"/>
              <w:jc w:val="center"/>
              <w:rPr>
                <w:rFonts w:ascii="Times New Roman" w:eastAsia="宋体" w:hAnsi="Times New Roman" w:cs="Times New Roman"/>
                <w:kern w:val="0"/>
                <w:szCs w:val="21"/>
              </w:rPr>
            </w:pPr>
          </w:p>
        </w:tc>
        <w:tc>
          <w:tcPr>
            <w:tcW w:w="1239" w:type="pct"/>
            <w:vMerge/>
            <w:tcBorders>
              <w:left w:val="single" w:sz="4" w:space="0" w:color="auto"/>
              <w:bottom w:val="single" w:sz="4" w:space="0" w:color="auto"/>
              <w:right w:val="single" w:sz="4" w:space="0" w:color="auto"/>
            </w:tcBorders>
            <w:vAlign w:val="center"/>
          </w:tcPr>
          <w:p w14:paraId="3839F6AB" w14:textId="77777777" w:rsidR="002133E3" w:rsidRDefault="002133E3">
            <w:pPr>
              <w:spacing w:line="280" w:lineRule="exact"/>
              <w:jc w:val="center"/>
              <w:rPr>
                <w:rFonts w:ascii="Times New Roman" w:eastAsia="宋体" w:hAnsi="Times New Roman" w:cs="Times New Roman"/>
                <w:kern w:val="0"/>
                <w:szCs w:val="21"/>
              </w:rPr>
            </w:pPr>
          </w:p>
        </w:tc>
      </w:tr>
    </w:tbl>
    <w:p w14:paraId="256A8AC3"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 xml:space="preserve">(3) </w:t>
      </w:r>
      <w:r>
        <w:rPr>
          <w:rFonts w:ascii="Times New Roman" w:eastAsia="宋体" w:hAnsi="Times New Roman" w:cs="Times New Roman"/>
          <w:sz w:val="28"/>
          <w:szCs w:val="24"/>
        </w:rPr>
        <w:t>土壤</w:t>
      </w:r>
    </w:p>
    <w:p w14:paraId="035A14B0" w14:textId="77777777" w:rsidR="002133E3" w:rsidRDefault="00C22CFA">
      <w:pPr>
        <w:snapToGrid w:val="0"/>
        <w:spacing w:line="500" w:lineRule="exact"/>
        <w:ind w:firstLine="560"/>
        <w:jc w:val="left"/>
        <w:rPr>
          <w:rFonts w:ascii="Times New Roman" w:eastAsia="宋体" w:hAnsi="Times New Roman" w:cs="Times New Roman"/>
          <w:kern w:val="0"/>
          <w:sz w:val="28"/>
          <w:szCs w:val="21"/>
        </w:rPr>
      </w:pPr>
      <w:r>
        <w:rPr>
          <w:rFonts w:ascii="Times New Roman" w:eastAsia="宋体" w:hAnsi="Times New Roman" w:cs="Times New Roman"/>
          <w:kern w:val="0"/>
          <w:sz w:val="28"/>
          <w:szCs w:val="21"/>
        </w:rPr>
        <w:t>根据《环境影响评价技术导则</w:t>
      </w:r>
      <w:r>
        <w:rPr>
          <w:rFonts w:ascii="Times New Roman" w:eastAsia="宋体" w:hAnsi="Times New Roman" w:cs="Times New Roman"/>
          <w:kern w:val="0"/>
          <w:sz w:val="28"/>
          <w:szCs w:val="21"/>
        </w:rPr>
        <w:t xml:space="preserve"> </w:t>
      </w:r>
      <w:r>
        <w:rPr>
          <w:rFonts w:ascii="Times New Roman" w:eastAsia="宋体" w:hAnsi="Times New Roman" w:cs="Times New Roman"/>
          <w:kern w:val="0"/>
          <w:sz w:val="28"/>
          <w:szCs w:val="21"/>
        </w:rPr>
        <w:t>土壤环境》（</w:t>
      </w:r>
      <w:r>
        <w:rPr>
          <w:rFonts w:ascii="Times New Roman" w:eastAsia="宋体" w:hAnsi="Times New Roman" w:cs="Times New Roman"/>
          <w:kern w:val="0"/>
          <w:sz w:val="28"/>
          <w:szCs w:val="21"/>
        </w:rPr>
        <w:t>HJ964-2018</w:t>
      </w:r>
      <w:r>
        <w:rPr>
          <w:rFonts w:ascii="Times New Roman" w:eastAsia="宋体" w:hAnsi="Times New Roman" w:cs="Times New Roman"/>
          <w:kern w:val="0"/>
          <w:sz w:val="28"/>
          <w:szCs w:val="21"/>
        </w:rPr>
        <w:t>），</w:t>
      </w:r>
      <w:r>
        <w:rPr>
          <w:rFonts w:ascii="Times New Roman" w:eastAsia="宋体" w:hAnsi="Times New Roman" w:cs="Times New Roman"/>
          <w:kern w:val="0"/>
          <w:sz w:val="28"/>
          <w:szCs w:val="28"/>
        </w:rPr>
        <w:t>本项目土壤评价等级为二级，跟踪</w:t>
      </w:r>
      <w:r>
        <w:rPr>
          <w:rFonts w:ascii="Times New Roman" w:eastAsia="宋体" w:hAnsi="Times New Roman" w:cs="Times New Roman"/>
          <w:kern w:val="0"/>
          <w:sz w:val="28"/>
          <w:szCs w:val="21"/>
        </w:rPr>
        <w:t>监测计划如下：</w:t>
      </w:r>
    </w:p>
    <w:p w14:paraId="31D8601B" w14:textId="77777777" w:rsidR="002133E3" w:rsidRDefault="00C22CFA">
      <w:pPr>
        <w:widowControl/>
        <w:adjustRightInd w:val="0"/>
        <w:snapToGrid w:val="0"/>
        <w:spacing w:line="500" w:lineRule="exac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监测点位和频次：厂址附近，每</w:t>
      </w:r>
      <w:r>
        <w:rPr>
          <w:rFonts w:ascii="Times New Roman" w:eastAsia="宋体" w:hAnsi="Times New Roman" w:cs="Times New Roman"/>
          <w:kern w:val="0"/>
          <w:sz w:val="28"/>
          <w:szCs w:val="28"/>
        </w:rPr>
        <w:t>5</w:t>
      </w:r>
      <w:r>
        <w:rPr>
          <w:rFonts w:ascii="Times New Roman" w:eastAsia="宋体" w:hAnsi="Times New Roman" w:cs="Times New Roman"/>
          <w:kern w:val="0"/>
          <w:sz w:val="28"/>
          <w:szCs w:val="28"/>
        </w:rPr>
        <w:t>年监测</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次。</w:t>
      </w:r>
    </w:p>
    <w:p w14:paraId="54EBC02D" w14:textId="77777777" w:rsidR="002133E3" w:rsidRDefault="00C22CFA">
      <w:pPr>
        <w:widowControl/>
        <w:adjustRightInd w:val="0"/>
        <w:snapToGrid w:val="0"/>
        <w:spacing w:line="500" w:lineRule="exact"/>
        <w:ind w:firstLineChars="200" w:firstLine="560"/>
        <w:jc w:val="left"/>
        <w:rPr>
          <w:rFonts w:ascii="Times New Roman" w:eastAsia="宋体" w:hAnsi="Times New Roman" w:cs="Times New Roman"/>
          <w:sz w:val="28"/>
          <w:szCs w:val="24"/>
        </w:rPr>
      </w:pPr>
      <w:r>
        <w:rPr>
          <w:rFonts w:ascii="Times New Roman" w:eastAsia="宋体" w:hAnsi="Times New Roman" w:cs="Times New Roman"/>
          <w:kern w:val="0"/>
          <w:sz w:val="28"/>
          <w:szCs w:val="28"/>
        </w:rPr>
        <w:t>监测因子：</w:t>
      </w:r>
      <w:r>
        <w:rPr>
          <w:rFonts w:ascii="Times New Roman" w:eastAsia="宋体" w:hAnsi="Times New Roman" w:cs="Times New Roman"/>
          <w:kern w:val="0"/>
          <w:sz w:val="28"/>
          <w:szCs w:val="28"/>
        </w:rPr>
        <w:t>GB36600-2018</w:t>
      </w:r>
      <w:r>
        <w:rPr>
          <w:rFonts w:ascii="Times New Roman" w:eastAsia="宋体" w:hAnsi="Times New Roman" w:cs="Times New Roman"/>
          <w:kern w:val="0"/>
          <w:sz w:val="28"/>
          <w:szCs w:val="28"/>
        </w:rPr>
        <w:t>表</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中的基本项目。</w:t>
      </w:r>
    </w:p>
    <w:p w14:paraId="73386C6A"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 xml:space="preserve">(4) </w:t>
      </w:r>
      <w:r>
        <w:rPr>
          <w:rFonts w:ascii="Times New Roman" w:eastAsia="宋体" w:hAnsi="Times New Roman" w:cs="Times New Roman"/>
          <w:sz w:val="28"/>
          <w:szCs w:val="24"/>
        </w:rPr>
        <w:t>地下水</w:t>
      </w:r>
    </w:p>
    <w:p w14:paraId="56A41831" w14:textId="77777777" w:rsidR="002133E3" w:rsidRDefault="00C22CFA">
      <w:pPr>
        <w:snapToGrid w:val="0"/>
        <w:spacing w:line="500" w:lineRule="exact"/>
        <w:ind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1"/>
        </w:rPr>
        <w:lastRenderedPageBreak/>
        <w:t>根据《环境影响评价技术导则</w:t>
      </w:r>
      <w:r>
        <w:rPr>
          <w:rFonts w:ascii="Times New Roman" w:eastAsia="宋体" w:hAnsi="Times New Roman" w:cs="Times New Roman"/>
          <w:kern w:val="0"/>
          <w:sz w:val="28"/>
          <w:szCs w:val="21"/>
        </w:rPr>
        <w:t xml:space="preserve"> </w:t>
      </w:r>
      <w:r>
        <w:rPr>
          <w:rFonts w:ascii="Times New Roman" w:eastAsia="宋体" w:hAnsi="Times New Roman" w:cs="Times New Roman"/>
          <w:kern w:val="0"/>
          <w:sz w:val="28"/>
          <w:szCs w:val="21"/>
        </w:rPr>
        <w:t>地下水环境》（</w:t>
      </w:r>
      <w:r>
        <w:rPr>
          <w:rFonts w:ascii="Times New Roman" w:eastAsia="宋体" w:hAnsi="Times New Roman" w:cs="Times New Roman"/>
          <w:kern w:val="0"/>
          <w:sz w:val="28"/>
          <w:szCs w:val="21"/>
        </w:rPr>
        <w:t>HJ610-2016</w:t>
      </w:r>
      <w:r>
        <w:rPr>
          <w:rFonts w:ascii="Times New Roman" w:eastAsia="宋体" w:hAnsi="Times New Roman" w:cs="Times New Roman"/>
          <w:kern w:val="0"/>
          <w:sz w:val="28"/>
          <w:szCs w:val="21"/>
        </w:rPr>
        <w:t>），</w:t>
      </w:r>
      <w:r>
        <w:rPr>
          <w:rFonts w:ascii="Times New Roman" w:eastAsia="宋体" w:hAnsi="Times New Roman" w:cs="Times New Roman"/>
          <w:kern w:val="0"/>
          <w:sz w:val="28"/>
          <w:szCs w:val="28"/>
        </w:rPr>
        <w:t>按照当地地下水流向，在项目场地内（地下水环境影响跟踪监测点），场址上游（背景值监测点）、下游（污染扩散监测点）分别布设地下水监测点，每年监测</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次。</w:t>
      </w:r>
    </w:p>
    <w:p w14:paraId="7040E90A" w14:textId="77777777" w:rsidR="002133E3" w:rsidRDefault="00C22CFA">
      <w:pPr>
        <w:tabs>
          <w:tab w:val="left" w:pos="4500"/>
        </w:tabs>
        <w:spacing w:line="500" w:lineRule="exac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监测因子：耗氧量，其余因子根据排放的污染物对环境的影响具体确定。</w:t>
      </w:r>
    </w:p>
    <w:p w14:paraId="05390B4A"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监测仪器</w:t>
      </w:r>
    </w:p>
    <w:p w14:paraId="7872C3A9" w14:textId="77777777" w:rsidR="002133E3" w:rsidRDefault="00C22CFA">
      <w:pPr>
        <w:tabs>
          <w:tab w:val="left" w:pos="4500"/>
        </w:tabs>
        <w:spacing w:line="500" w:lineRule="exact"/>
        <w:ind w:firstLineChars="200" w:firstLine="560"/>
        <w:rPr>
          <w:rFonts w:ascii="Times New Roman" w:hAnsi="Times New Roman" w:cs="Times New Roman"/>
        </w:rPr>
      </w:pPr>
      <w:r>
        <w:rPr>
          <w:rFonts w:ascii="Times New Roman" w:eastAsia="宋体" w:hAnsi="Times New Roman" w:cs="Times New Roman"/>
          <w:sz w:val="28"/>
          <w:szCs w:val="24"/>
        </w:rPr>
        <w:t>本工程需配备的环境监测仪器</w:t>
      </w:r>
      <w:r>
        <w:rPr>
          <w:rFonts w:ascii="Times New Roman" w:eastAsia="宋体" w:hAnsi="Times New Roman" w:cs="Times New Roman"/>
          <w:sz w:val="28"/>
          <w:szCs w:val="24"/>
        </w:rPr>
        <w:t>pH</w:t>
      </w:r>
      <w:r>
        <w:rPr>
          <w:rFonts w:ascii="Times New Roman" w:eastAsia="宋体" w:hAnsi="Times New Roman" w:cs="Times New Roman"/>
          <w:sz w:val="28"/>
          <w:szCs w:val="24"/>
        </w:rPr>
        <w:t>计、分光光度计、噪声测定仪等。部分项目的监测仪器本企业不进行配备，可委托专业环境监测机构进行监测。</w:t>
      </w:r>
      <w:r>
        <w:rPr>
          <w:rFonts w:ascii="Times New Roman" w:hAnsi="Times New Roman" w:cs="Times New Roman"/>
        </w:rPr>
        <w:br w:type="page"/>
      </w:r>
    </w:p>
    <w:p w14:paraId="65C929EC" w14:textId="77777777" w:rsidR="002133E3" w:rsidRDefault="00C22CFA">
      <w:pPr>
        <w:pStyle w:val="affff3"/>
        <w:numPr>
          <w:ilvl w:val="0"/>
          <w:numId w:val="2"/>
        </w:numPr>
        <w:snapToGrid w:val="0"/>
        <w:spacing w:line="500" w:lineRule="atLeast"/>
        <w:ind w:left="0" w:firstLineChars="0" w:firstLine="0"/>
        <w:outlineLvl w:val="0"/>
        <w:rPr>
          <w:rFonts w:ascii="Times New Roman" w:eastAsia="宋体" w:hAnsi="Times New Roman" w:cs="Times New Roman"/>
          <w:b/>
          <w:sz w:val="30"/>
          <w:szCs w:val="30"/>
        </w:rPr>
      </w:pPr>
      <w:bookmarkStart w:id="111" w:name="_Toc47604370"/>
      <w:r>
        <w:rPr>
          <w:rFonts w:ascii="Times New Roman" w:eastAsia="宋体" w:hAnsi="Times New Roman" w:cs="Times New Roman"/>
          <w:b/>
          <w:sz w:val="30"/>
          <w:szCs w:val="30"/>
        </w:rPr>
        <w:lastRenderedPageBreak/>
        <w:t>环境影响评价结论</w:t>
      </w:r>
      <w:bookmarkEnd w:id="111"/>
    </w:p>
    <w:p w14:paraId="715A2291"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bookmarkStart w:id="112" w:name="_Toc47604371"/>
      <w:r>
        <w:rPr>
          <w:rFonts w:ascii="Times New Roman" w:eastAsia="宋体" w:hAnsi="Times New Roman" w:cs="Times New Roman"/>
          <w:b/>
          <w:sz w:val="30"/>
          <w:szCs w:val="30"/>
        </w:rPr>
        <w:t>结论</w:t>
      </w:r>
      <w:bookmarkEnd w:id="112"/>
    </w:p>
    <w:p w14:paraId="29ECFABB"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项目概述</w:t>
      </w:r>
    </w:p>
    <w:p w14:paraId="035B9AB3" w14:textId="3D13BE4B" w:rsidR="002133E3" w:rsidRDefault="00C22CFA">
      <w:pPr>
        <w:autoSpaceDE w:val="0"/>
        <w:autoSpaceDN w:val="0"/>
        <w:adjustRightInd w:val="0"/>
        <w:snapToGrid w:val="0"/>
        <w:spacing w:line="500" w:lineRule="atLeast"/>
        <w:ind w:firstLineChars="200" w:firstLine="560"/>
        <w:rPr>
          <w:rFonts w:ascii="Times New Roman" w:eastAsia="宋体" w:hAnsi="Times New Roman" w:cs="Times New Roman"/>
          <w:sz w:val="28"/>
          <w:szCs w:val="24"/>
        </w:rPr>
      </w:pPr>
      <w:r>
        <w:rPr>
          <w:rFonts w:ascii="Times New Roman" w:eastAsia="宋体" w:hAnsi="Times New Roman" w:cs="Times New Roman"/>
          <w:sz w:val="28"/>
          <w:szCs w:val="24"/>
        </w:rPr>
        <w:t>江苏金茂源生物化工有限责任公司对酒精装置进行节能升级改造总产能保持</w:t>
      </w:r>
      <w:r>
        <w:rPr>
          <w:rFonts w:ascii="Times New Roman" w:eastAsia="宋体" w:hAnsi="Times New Roman" w:cs="Times New Roman"/>
          <w:sz w:val="28"/>
          <w:szCs w:val="24"/>
        </w:rPr>
        <w:t>10</w:t>
      </w:r>
      <w:r>
        <w:rPr>
          <w:rFonts w:ascii="Times New Roman" w:eastAsia="宋体" w:hAnsi="Times New Roman" w:cs="Times New Roman"/>
          <w:sz w:val="28"/>
          <w:szCs w:val="24"/>
        </w:rPr>
        <w:t>万吨</w:t>
      </w:r>
      <w:r>
        <w:rPr>
          <w:rFonts w:ascii="Times New Roman" w:eastAsia="宋体" w:hAnsi="Times New Roman" w:cs="Times New Roman"/>
          <w:sz w:val="28"/>
          <w:szCs w:val="24"/>
        </w:rPr>
        <w:t>/</w:t>
      </w:r>
      <w:r>
        <w:rPr>
          <w:rFonts w:ascii="Times New Roman" w:eastAsia="宋体" w:hAnsi="Times New Roman" w:cs="Times New Roman"/>
          <w:sz w:val="28"/>
          <w:szCs w:val="24"/>
        </w:rPr>
        <w:t>年不变，蒸汽单耗由</w:t>
      </w:r>
      <w:r>
        <w:rPr>
          <w:rFonts w:ascii="Times New Roman" w:eastAsia="宋体" w:hAnsi="Times New Roman" w:cs="Times New Roman"/>
          <w:sz w:val="28"/>
          <w:szCs w:val="24"/>
        </w:rPr>
        <w:t>2.0</w:t>
      </w:r>
      <w:r>
        <w:rPr>
          <w:rFonts w:ascii="Times New Roman" w:eastAsia="宋体" w:hAnsi="Times New Roman" w:cs="Times New Roman"/>
          <w:sz w:val="28"/>
          <w:szCs w:val="24"/>
        </w:rPr>
        <w:t>吨降至</w:t>
      </w:r>
      <w:r>
        <w:rPr>
          <w:rFonts w:ascii="Times New Roman" w:eastAsia="宋体" w:hAnsi="Times New Roman" w:cs="Times New Roman"/>
          <w:sz w:val="28"/>
          <w:szCs w:val="24"/>
        </w:rPr>
        <w:t>1.7</w:t>
      </w:r>
      <w:r>
        <w:rPr>
          <w:rFonts w:ascii="Times New Roman" w:eastAsia="宋体" w:hAnsi="Times New Roman" w:cs="Times New Roman"/>
          <w:sz w:val="28"/>
          <w:szCs w:val="24"/>
        </w:rPr>
        <w:t>吨；同时增加脱水工序对酒精进行提纯改造，将浓度</w:t>
      </w:r>
      <w:r>
        <w:rPr>
          <w:rFonts w:ascii="Times New Roman" w:eastAsia="宋体" w:hAnsi="Times New Roman" w:cs="Times New Roman"/>
          <w:sz w:val="28"/>
          <w:szCs w:val="24"/>
        </w:rPr>
        <w:t>95%</w:t>
      </w:r>
      <w:r>
        <w:rPr>
          <w:rFonts w:ascii="Times New Roman" w:eastAsia="宋体" w:hAnsi="Times New Roman" w:cs="Times New Roman"/>
          <w:sz w:val="28"/>
          <w:szCs w:val="24"/>
        </w:rPr>
        <w:t>酒精经过脱水变成浓度为</w:t>
      </w:r>
      <w:r>
        <w:rPr>
          <w:rFonts w:ascii="Times New Roman" w:eastAsia="宋体" w:hAnsi="Times New Roman" w:cs="Times New Roman"/>
          <w:sz w:val="28"/>
          <w:szCs w:val="24"/>
        </w:rPr>
        <w:t>99.99%</w:t>
      </w:r>
      <w:r>
        <w:rPr>
          <w:rFonts w:ascii="Times New Roman" w:eastAsia="宋体" w:hAnsi="Times New Roman" w:cs="Times New Roman" w:hint="eastAsia"/>
          <w:sz w:val="28"/>
          <w:szCs w:val="24"/>
        </w:rPr>
        <w:t>无</w:t>
      </w:r>
      <w:r>
        <w:rPr>
          <w:rFonts w:ascii="Times New Roman" w:eastAsia="宋体" w:hAnsi="Times New Roman" w:cs="Times New Roman"/>
          <w:sz w:val="28"/>
          <w:szCs w:val="24"/>
        </w:rPr>
        <w:t>水乙醇。改造后，年产</w:t>
      </w:r>
      <w:r>
        <w:rPr>
          <w:rFonts w:ascii="Times New Roman" w:eastAsia="宋体" w:hAnsi="Times New Roman" w:cs="Times New Roman"/>
          <w:sz w:val="28"/>
          <w:szCs w:val="24"/>
        </w:rPr>
        <w:t>10</w:t>
      </w:r>
      <w:r>
        <w:rPr>
          <w:rFonts w:ascii="Times New Roman" w:eastAsia="宋体" w:hAnsi="Times New Roman" w:cs="Times New Roman"/>
          <w:sz w:val="28"/>
          <w:szCs w:val="24"/>
        </w:rPr>
        <w:t>万吨酒精产能保持不变并具备年产</w:t>
      </w:r>
      <w:r>
        <w:rPr>
          <w:rFonts w:ascii="Times New Roman" w:eastAsia="宋体" w:hAnsi="Times New Roman" w:cs="Times New Roman"/>
          <w:sz w:val="28"/>
          <w:szCs w:val="24"/>
        </w:rPr>
        <w:t>6</w:t>
      </w:r>
      <w:r>
        <w:rPr>
          <w:rFonts w:ascii="Times New Roman" w:eastAsia="宋体" w:hAnsi="Times New Roman" w:cs="Times New Roman"/>
          <w:sz w:val="28"/>
          <w:szCs w:val="24"/>
        </w:rPr>
        <w:t>万吨无水乙醇（</w:t>
      </w:r>
      <w:r>
        <w:rPr>
          <w:rFonts w:ascii="Times New Roman" w:eastAsia="宋体" w:hAnsi="Times New Roman" w:cs="Times New Roman"/>
          <w:sz w:val="28"/>
          <w:szCs w:val="24"/>
        </w:rPr>
        <w:t>99.99%</w:t>
      </w:r>
      <w:r>
        <w:rPr>
          <w:rFonts w:ascii="Times New Roman" w:eastAsia="宋体" w:hAnsi="Times New Roman" w:cs="Times New Roman"/>
          <w:sz w:val="28"/>
          <w:szCs w:val="24"/>
        </w:rPr>
        <w:t>）的生产能力。</w:t>
      </w:r>
    </w:p>
    <w:p w14:paraId="6C4A726E" w14:textId="77777777" w:rsidR="002133E3" w:rsidRDefault="00C22CFA">
      <w:pPr>
        <w:autoSpaceDE w:val="0"/>
        <w:autoSpaceDN w:val="0"/>
        <w:adjustRightInd w:val="0"/>
        <w:snapToGrid w:val="0"/>
        <w:spacing w:line="500" w:lineRule="atLeast"/>
        <w:ind w:firstLineChars="200" w:firstLine="560"/>
        <w:rPr>
          <w:rFonts w:ascii="Times New Roman" w:eastAsia="宋体" w:hAnsi="Times New Roman" w:cs="Times New Roman"/>
          <w:color w:val="0D0D0D" w:themeColor="text1" w:themeTint="F2"/>
          <w:sz w:val="28"/>
          <w:szCs w:val="28"/>
        </w:rPr>
      </w:pPr>
      <w:r>
        <w:rPr>
          <w:rFonts w:ascii="Times New Roman" w:eastAsia="宋体" w:hAnsi="Times New Roman" w:cs="Times New Roman"/>
          <w:color w:val="0D0D0D" w:themeColor="text1" w:themeTint="F2"/>
          <w:sz w:val="28"/>
          <w:szCs w:val="28"/>
        </w:rPr>
        <w:t>该项目已于</w:t>
      </w:r>
      <w:r>
        <w:rPr>
          <w:rFonts w:ascii="Times New Roman" w:eastAsia="宋体" w:hAnsi="Times New Roman" w:cs="Times New Roman"/>
          <w:color w:val="0D0D0D" w:themeColor="text1" w:themeTint="F2"/>
          <w:sz w:val="28"/>
          <w:szCs w:val="28"/>
        </w:rPr>
        <w:t>2021</w:t>
      </w:r>
      <w:r>
        <w:rPr>
          <w:rFonts w:ascii="Times New Roman" w:eastAsia="宋体" w:hAnsi="Times New Roman" w:cs="Times New Roman"/>
          <w:color w:val="0D0D0D" w:themeColor="text1" w:themeTint="F2"/>
          <w:sz w:val="28"/>
          <w:szCs w:val="28"/>
        </w:rPr>
        <w:t>年</w:t>
      </w:r>
      <w:r>
        <w:rPr>
          <w:rFonts w:ascii="Times New Roman" w:eastAsia="宋体" w:hAnsi="Times New Roman" w:cs="Times New Roman"/>
          <w:color w:val="0D0D0D" w:themeColor="text1" w:themeTint="F2"/>
          <w:sz w:val="28"/>
          <w:szCs w:val="28"/>
        </w:rPr>
        <w:t>3</w:t>
      </w:r>
      <w:r>
        <w:rPr>
          <w:rFonts w:ascii="Times New Roman" w:eastAsia="宋体" w:hAnsi="Times New Roman" w:cs="Times New Roman"/>
          <w:color w:val="0D0D0D" w:themeColor="text1" w:themeTint="F2"/>
          <w:sz w:val="28"/>
          <w:szCs w:val="28"/>
        </w:rPr>
        <w:t>月</w:t>
      </w:r>
      <w:r>
        <w:rPr>
          <w:rFonts w:ascii="Times New Roman" w:eastAsia="宋体" w:hAnsi="Times New Roman" w:cs="Times New Roman"/>
          <w:color w:val="0D0D0D" w:themeColor="text1" w:themeTint="F2"/>
          <w:sz w:val="28"/>
          <w:szCs w:val="28"/>
        </w:rPr>
        <w:t>26</w:t>
      </w:r>
      <w:r>
        <w:rPr>
          <w:rFonts w:ascii="Times New Roman" w:eastAsia="宋体" w:hAnsi="Times New Roman" w:cs="Times New Roman"/>
          <w:color w:val="0D0D0D" w:themeColor="text1" w:themeTint="F2"/>
          <w:sz w:val="28"/>
          <w:szCs w:val="28"/>
        </w:rPr>
        <w:t>日取得连云港市赣榆区行政审批局颁发的江苏省投资项目备案证，备案证号：赣行审技备</w:t>
      </w:r>
      <w:r>
        <w:rPr>
          <w:rFonts w:ascii="Times New Roman" w:eastAsia="宋体" w:hAnsi="Times New Roman" w:cs="Times New Roman"/>
          <w:color w:val="0D0D0D" w:themeColor="text1" w:themeTint="F2"/>
          <w:sz w:val="28"/>
          <w:szCs w:val="28"/>
        </w:rPr>
        <w:t>[2021]14</w:t>
      </w:r>
      <w:r>
        <w:rPr>
          <w:rFonts w:ascii="Times New Roman" w:eastAsia="宋体" w:hAnsi="Times New Roman" w:cs="Times New Roman"/>
          <w:color w:val="0D0D0D" w:themeColor="text1" w:themeTint="F2"/>
          <w:sz w:val="28"/>
          <w:szCs w:val="28"/>
        </w:rPr>
        <w:t>号。</w:t>
      </w:r>
    </w:p>
    <w:p w14:paraId="7F14E902"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产业政策相符性</w:t>
      </w:r>
    </w:p>
    <w:p w14:paraId="603BE617" w14:textId="77777777" w:rsidR="002133E3" w:rsidRDefault="00C22CFA">
      <w:pPr>
        <w:adjustRightInd w:val="0"/>
        <w:snapToGrid w:val="0"/>
        <w:spacing w:line="500" w:lineRule="atLeas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本项目酒精制造（</w:t>
      </w:r>
      <w:r>
        <w:rPr>
          <w:rFonts w:ascii="Times New Roman" w:eastAsia="宋体" w:hAnsi="Times New Roman" w:cs="Times New Roman"/>
          <w:sz w:val="28"/>
          <w:szCs w:val="28"/>
        </w:rPr>
        <w:t>C1511</w:t>
      </w:r>
      <w:r>
        <w:rPr>
          <w:rFonts w:ascii="Times New Roman" w:eastAsia="宋体" w:hAnsi="Times New Roman" w:cs="Times New Roman"/>
          <w:sz w:val="28"/>
          <w:szCs w:val="28"/>
        </w:rPr>
        <w:t>），对照国家《产业结构调整指导目录</w:t>
      </w:r>
      <w:r>
        <w:rPr>
          <w:rFonts w:ascii="Times New Roman" w:eastAsia="宋体" w:hAnsi="Times New Roman" w:cs="Times New Roman"/>
          <w:sz w:val="28"/>
          <w:szCs w:val="28"/>
        </w:rPr>
        <w:t>(2019</w:t>
      </w:r>
      <w:r>
        <w:rPr>
          <w:rFonts w:ascii="Times New Roman" w:eastAsia="宋体" w:hAnsi="Times New Roman" w:cs="Times New Roman"/>
          <w:sz w:val="28"/>
          <w:szCs w:val="28"/>
        </w:rPr>
        <w:t>年</w:t>
      </w:r>
      <w:r>
        <w:rPr>
          <w:rFonts w:ascii="Times New Roman" w:eastAsia="宋体" w:hAnsi="Times New Roman" w:cs="Times New Roman"/>
          <w:sz w:val="28"/>
          <w:szCs w:val="28"/>
        </w:rPr>
        <w:t>)(</w:t>
      </w:r>
      <w:r>
        <w:rPr>
          <w:rFonts w:ascii="Times New Roman" w:eastAsia="宋体" w:hAnsi="Times New Roman" w:cs="Times New Roman"/>
          <w:sz w:val="28"/>
          <w:szCs w:val="28"/>
        </w:rPr>
        <w:t>修正</w:t>
      </w:r>
      <w:r>
        <w:rPr>
          <w:rFonts w:ascii="Times New Roman" w:eastAsia="宋体" w:hAnsi="Times New Roman" w:cs="Times New Roman"/>
          <w:sz w:val="28"/>
          <w:szCs w:val="28"/>
        </w:rPr>
        <w:t>)</w:t>
      </w:r>
      <w:r>
        <w:rPr>
          <w:rFonts w:ascii="Times New Roman" w:eastAsia="宋体" w:hAnsi="Times New Roman" w:cs="Times New Roman"/>
          <w:sz w:val="28"/>
          <w:szCs w:val="28"/>
        </w:rPr>
        <w:t>》属于限制类</w:t>
      </w:r>
      <w:r>
        <w:rPr>
          <w:rFonts w:ascii="Times New Roman" w:eastAsia="宋体" w:hAnsi="Times New Roman" w:cs="Times New Roman"/>
          <w:sz w:val="28"/>
          <w:szCs w:val="28"/>
        </w:rPr>
        <w:t>“</w:t>
      </w:r>
      <w:r>
        <w:rPr>
          <w:rFonts w:ascii="Times New Roman" w:eastAsia="宋体" w:hAnsi="Times New Roman" w:cs="Times New Roman"/>
          <w:sz w:val="28"/>
          <w:szCs w:val="28"/>
        </w:rPr>
        <w:t>十二、轻工</w:t>
      </w:r>
      <w:r>
        <w:rPr>
          <w:rFonts w:ascii="Times New Roman" w:eastAsia="宋体" w:hAnsi="Times New Roman" w:cs="Times New Roman"/>
          <w:sz w:val="28"/>
          <w:szCs w:val="28"/>
        </w:rPr>
        <w:t>”</w:t>
      </w:r>
      <w:r>
        <w:rPr>
          <w:rFonts w:ascii="Times New Roman" w:eastAsia="宋体" w:hAnsi="Times New Roman" w:cs="Times New Roman"/>
          <w:sz w:val="28"/>
          <w:szCs w:val="28"/>
        </w:rPr>
        <w:t>中</w:t>
      </w:r>
      <w:r>
        <w:rPr>
          <w:rFonts w:ascii="Times New Roman" w:eastAsia="宋体" w:hAnsi="Times New Roman" w:cs="Times New Roman"/>
          <w:sz w:val="28"/>
          <w:szCs w:val="28"/>
        </w:rPr>
        <w:t>“20</w:t>
      </w:r>
      <w:r>
        <w:rPr>
          <w:rFonts w:ascii="Times New Roman" w:eastAsia="宋体" w:hAnsi="Times New Roman" w:cs="Times New Roman"/>
          <w:sz w:val="28"/>
          <w:szCs w:val="28"/>
        </w:rPr>
        <w:t>、酒精生产线</w:t>
      </w:r>
      <w:r>
        <w:rPr>
          <w:rFonts w:ascii="Times New Roman" w:eastAsia="宋体" w:hAnsi="Times New Roman" w:cs="Times New Roman"/>
          <w:sz w:val="28"/>
          <w:szCs w:val="28"/>
        </w:rPr>
        <w:t>”</w:t>
      </w:r>
      <w:r>
        <w:rPr>
          <w:rFonts w:ascii="Times New Roman" w:eastAsia="宋体" w:hAnsi="Times New Roman" w:cs="Times New Roman"/>
          <w:sz w:val="28"/>
          <w:szCs w:val="28"/>
        </w:rPr>
        <w:t>，对照《江苏省工业和信息产业结构调整指导目录》</w:t>
      </w:r>
      <w:r>
        <w:rPr>
          <w:rFonts w:ascii="Times New Roman" w:eastAsia="宋体" w:hAnsi="Times New Roman" w:cs="Times New Roman"/>
          <w:sz w:val="28"/>
          <w:szCs w:val="28"/>
        </w:rPr>
        <w:t>(2012</w:t>
      </w:r>
      <w:r>
        <w:rPr>
          <w:rFonts w:ascii="Times New Roman" w:eastAsia="宋体" w:hAnsi="Times New Roman" w:cs="Times New Roman"/>
          <w:sz w:val="28"/>
          <w:szCs w:val="28"/>
        </w:rPr>
        <w:t>年本</w:t>
      </w:r>
      <w:r>
        <w:rPr>
          <w:rFonts w:ascii="Times New Roman" w:eastAsia="宋体" w:hAnsi="Times New Roman" w:cs="Times New Roman"/>
          <w:sz w:val="28"/>
          <w:szCs w:val="28"/>
        </w:rPr>
        <w:t>)(</w:t>
      </w:r>
      <w:r>
        <w:rPr>
          <w:rFonts w:ascii="Times New Roman" w:eastAsia="宋体" w:hAnsi="Times New Roman" w:cs="Times New Roman"/>
          <w:sz w:val="28"/>
          <w:szCs w:val="28"/>
        </w:rPr>
        <w:t>修正</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属于限制类</w:t>
      </w:r>
      <w:r>
        <w:rPr>
          <w:rFonts w:ascii="Times New Roman" w:eastAsia="宋体" w:hAnsi="Times New Roman" w:cs="Times New Roman"/>
          <w:sz w:val="28"/>
          <w:szCs w:val="28"/>
        </w:rPr>
        <w:t>“</w:t>
      </w:r>
      <w:r>
        <w:rPr>
          <w:rFonts w:ascii="Times New Roman" w:eastAsia="宋体" w:hAnsi="Times New Roman" w:cs="Times New Roman"/>
          <w:sz w:val="28"/>
          <w:szCs w:val="28"/>
        </w:rPr>
        <w:t>十一、轻工</w:t>
      </w:r>
      <w:r>
        <w:rPr>
          <w:rFonts w:ascii="Times New Roman" w:eastAsia="宋体" w:hAnsi="Times New Roman" w:cs="Times New Roman"/>
          <w:sz w:val="28"/>
          <w:szCs w:val="28"/>
        </w:rPr>
        <w:t>”</w:t>
      </w:r>
      <w:r>
        <w:rPr>
          <w:rFonts w:ascii="Times New Roman" w:eastAsia="宋体" w:hAnsi="Times New Roman" w:cs="Times New Roman"/>
          <w:sz w:val="28"/>
          <w:szCs w:val="28"/>
        </w:rPr>
        <w:t>中</w:t>
      </w:r>
      <w:r>
        <w:rPr>
          <w:rFonts w:ascii="Times New Roman" w:eastAsia="宋体" w:hAnsi="Times New Roman" w:cs="Times New Roman"/>
          <w:sz w:val="28"/>
          <w:szCs w:val="28"/>
        </w:rPr>
        <w:t>“27</w:t>
      </w:r>
      <w:r>
        <w:rPr>
          <w:rFonts w:ascii="Times New Roman" w:eastAsia="宋体" w:hAnsi="Times New Roman" w:cs="Times New Roman"/>
          <w:sz w:val="28"/>
          <w:szCs w:val="28"/>
        </w:rPr>
        <w:t>、酒精生产线</w:t>
      </w:r>
      <w:r>
        <w:rPr>
          <w:rFonts w:ascii="Times New Roman" w:eastAsia="宋体" w:hAnsi="Times New Roman" w:cs="Times New Roman"/>
          <w:sz w:val="28"/>
          <w:szCs w:val="28"/>
        </w:rPr>
        <w:t>”</w:t>
      </w:r>
      <w:r>
        <w:rPr>
          <w:rFonts w:ascii="Times New Roman" w:eastAsia="宋体" w:hAnsi="Times New Roman" w:cs="Times New Roman"/>
          <w:sz w:val="28"/>
          <w:szCs w:val="28"/>
        </w:rPr>
        <w:t>。</w:t>
      </w:r>
    </w:p>
    <w:p w14:paraId="74F6DDA3" w14:textId="77777777" w:rsidR="002133E3" w:rsidRDefault="00C22CFA">
      <w:pPr>
        <w:adjustRightInd w:val="0"/>
        <w:snapToGrid w:val="0"/>
        <w:spacing w:line="500" w:lineRule="atLeast"/>
        <w:ind w:firstLineChars="200" w:firstLine="560"/>
        <w:rPr>
          <w:rFonts w:ascii="Times New Roman" w:hAnsi="Times New Roman" w:cs="Times New Roman"/>
        </w:rPr>
      </w:pPr>
      <w:r>
        <w:rPr>
          <w:rFonts w:ascii="Times New Roman" w:eastAsia="宋体" w:hAnsi="Times New Roman" w:cs="Times New Roman"/>
          <w:sz w:val="28"/>
          <w:szCs w:val="28"/>
        </w:rPr>
        <w:t>本项目在现有酒精生产线上进行技术改造，建成后产能维持不变，无水乙醇生产线为在酒精生产线的基础上的精加工，本项目建成后酒精及无水乙醇的总产能不超过现有酒精产能，项目的实施符合国家及地方产业政策的要求。</w:t>
      </w:r>
    </w:p>
    <w:p w14:paraId="3DA1BBE3"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污染物排放达标可行性</w:t>
      </w:r>
    </w:p>
    <w:p w14:paraId="00B1CF1B"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w:t>
      </w:r>
      <w:r>
        <w:rPr>
          <w:rFonts w:ascii="Times New Roman" w:eastAsia="宋体" w:hAnsi="Times New Roman" w:cs="Times New Roman"/>
          <w:sz w:val="28"/>
          <w:szCs w:val="28"/>
        </w:rPr>
        <w:t>）废水</w:t>
      </w:r>
    </w:p>
    <w:p w14:paraId="4062F7E7"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技改项目废水排放量为</w:t>
      </w:r>
      <w:r>
        <w:rPr>
          <w:rFonts w:ascii="Times New Roman" w:eastAsia="宋体" w:hAnsi="Times New Roman" w:cs="Times New Roman"/>
          <w:sz w:val="28"/>
          <w:szCs w:val="28"/>
        </w:rPr>
        <w:t>1175311.15m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/a</w:t>
      </w:r>
      <w:r>
        <w:rPr>
          <w:rFonts w:ascii="Times New Roman" w:eastAsia="宋体" w:hAnsi="Times New Roman" w:cs="Times New Roman"/>
          <w:sz w:val="28"/>
          <w:szCs w:val="28"/>
        </w:rPr>
        <w:t>，其中废槽液及废气吸收水经</w:t>
      </w:r>
      <w:r>
        <w:rPr>
          <w:rFonts w:ascii="Times New Roman" w:eastAsia="宋体" w:hAnsi="Times New Roman" w:cs="Times New Roman"/>
          <w:sz w:val="28"/>
          <w:szCs w:val="28"/>
        </w:rPr>
        <w:t>“</w:t>
      </w:r>
      <w:r>
        <w:rPr>
          <w:rFonts w:ascii="Times New Roman" w:eastAsia="宋体" w:hAnsi="Times New Roman" w:cs="Times New Roman"/>
          <w:sz w:val="28"/>
          <w:szCs w:val="28"/>
        </w:rPr>
        <w:t>厌氧</w:t>
      </w:r>
      <w:r>
        <w:rPr>
          <w:rFonts w:ascii="Times New Roman" w:eastAsia="宋体" w:hAnsi="Times New Roman" w:cs="Times New Roman"/>
          <w:sz w:val="28"/>
          <w:szCs w:val="28"/>
        </w:rPr>
        <w:t>+</w:t>
      </w:r>
      <w:r>
        <w:rPr>
          <w:rFonts w:ascii="Times New Roman" w:eastAsia="宋体" w:hAnsi="Times New Roman" w:cs="Times New Roman"/>
          <w:sz w:val="28"/>
          <w:szCs w:val="28"/>
        </w:rPr>
        <w:t>气浮</w:t>
      </w:r>
      <w:r>
        <w:rPr>
          <w:rFonts w:ascii="Times New Roman" w:eastAsia="宋体" w:hAnsi="Times New Roman" w:cs="Times New Roman"/>
          <w:sz w:val="28"/>
          <w:szCs w:val="28"/>
        </w:rPr>
        <w:t>”</w:t>
      </w:r>
      <w:r>
        <w:rPr>
          <w:rFonts w:ascii="Times New Roman" w:eastAsia="宋体" w:hAnsi="Times New Roman" w:cs="Times New Roman"/>
          <w:sz w:val="28"/>
          <w:szCs w:val="28"/>
        </w:rPr>
        <w:t>预处理后同设备及地面冲洗、初期雨水混合，再经</w:t>
      </w:r>
      <w:r>
        <w:rPr>
          <w:rFonts w:ascii="Times New Roman" w:eastAsia="宋体" w:hAnsi="Times New Roman" w:cs="Times New Roman"/>
          <w:sz w:val="28"/>
          <w:szCs w:val="28"/>
        </w:rPr>
        <w:t>“</w:t>
      </w:r>
      <w:r>
        <w:rPr>
          <w:rFonts w:ascii="Times New Roman" w:eastAsia="宋体" w:hAnsi="Times New Roman" w:cs="Times New Roman"/>
          <w:sz w:val="28"/>
          <w:szCs w:val="28"/>
        </w:rPr>
        <w:t>三级厌氧</w:t>
      </w:r>
      <w:r>
        <w:rPr>
          <w:rFonts w:ascii="Times New Roman" w:eastAsia="宋体" w:hAnsi="Times New Roman" w:cs="Times New Roman"/>
          <w:sz w:val="28"/>
          <w:szCs w:val="28"/>
        </w:rPr>
        <w:t>+</w:t>
      </w:r>
      <w:r>
        <w:rPr>
          <w:rFonts w:ascii="Times New Roman" w:eastAsia="宋体" w:hAnsi="Times New Roman" w:cs="Times New Roman"/>
          <w:sz w:val="28"/>
          <w:szCs w:val="28"/>
        </w:rPr>
        <w:t>好氧</w:t>
      </w:r>
      <w:r>
        <w:rPr>
          <w:rFonts w:ascii="Times New Roman" w:eastAsia="宋体" w:hAnsi="Times New Roman" w:cs="Times New Roman"/>
          <w:sz w:val="28"/>
          <w:szCs w:val="28"/>
        </w:rPr>
        <w:t>”</w:t>
      </w:r>
      <w:r>
        <w:rPr>
          <w:rFonts w:ascii="Times New Roman" w:eastAsia="宋体" w:hAnsi="Times New Roman" w:cs="Times New Roman"/>
          <w:sz w:val="28"/>
          <w:szCs w:val="28"/>
        </w:rPr>
        <w:t>处理，达行业排放标准及到通海污水处理厂接管标准。</w:t>
      </w:r>
    </w:p>
    <w:p w14:paraId="2FCD427F"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2</w:t>
      </w:r>
      <w:r>
        <w:rPr>
          <w:rFonts w:ascii="Times New Roman" w:eastAsia="宋体" w:hAnsi="Times New Roman" w:cs="Times New Roman"/>
          <w:sz w:val="28"/>
          <w:szCs w:val="28"/>
        </w:rPr>
        <w:t>）废气</w:t>
      </w:r>
    </w:p>
    <w:p w14:paraId="707CBE74"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技改项目酒精生产线粉碎粉尘废气采用</w:t>
      </w:r>
      <w:r>
        <w:rPr>
          <w:rFonts w:ascii="Times New Roman" w:eastAsia="宋体" w:hAnsi="Times New Roman" w:cs="Times New Roman"/>
          <w:sz w:val="28"/>
          <w:szCs w:val="28"/>
        </w:rPr>
        <w:t>“</w:t>
      </w:r>
      <w:r>
        <w:rPr>
          <w:rFonts w:ascii="Times New Roman" w:eastAsia="宋体" w:hAnsi="Times New Roman" w:cs="Times New Roman"/>
          <w:sz w:val="28"/>
          <w:szCs w:val="28"/>
        </w:rPr>
        <w:t>水膜除尘</w:t>
      </w:r>
      <w:r>
        <w:rPr>
          <w:rFonts w:ascii="Times New Roman" w:eastAsia="宋体" w:hAnsi="Times New Roman" w:cs="Times New Roman"/>
          <w:sz w:val="28"/>
          <w:szCs w:val="28"/>
        </w:rPr>
        <w:t>”</w:t>
      </w:r>
      <w:r>
        <w:rPr>
          <w:rFonts w:ascii="Times New Roman" w:eastAsia="宋体" w:hAnsi="Times New Roman" w:cs="Times New Roman"/>
          <w:sz w:val="28"/>
          <w:szCs w:val="28"/>
        </w:rPr>
        <w:t>处理后达标排放；酒精生产线发酵废气经</w:t>
      </w:r>
      <w:r>
        <w:rPr>
          <w:rFonts w:ascii="Times New Roman" w:eastAsia="宋体" w:hAnsi="Times New Roman" w:cs="Times New Roman"/>
          <w:sz w:val="28"/>
          <w:szCs w:val="28"/>
        </w:rPr>
        <w:t>“</w:t>
      </w:r>
      <w:r>
        <w:rPr>
          <w:rFonts w:ascii="Times New Roman" w:eastAsia="宋体" w:hAnsi="Times New Roman" w:cs="Times New Roman"/>
          <w:sz w:val="28"/>
          <w:szCs w:val="28"/>
        </w:rPr>
        <w:t>一级水吸收</w:t>
      </w:r>
      <w:r>
        <w:rPr>
          <w:rFonts w:ascii="Times New Roman" w:eastAsia="宋体" w:hAnsi="Times New Roman" w:cs="Times New Roman"/>
          <w:sz w:val="28"/>
          <w:szCs w:val="28"/>
        </w:rPr>
        <w:t>”</w:t>
      </w:r>
      <w:r>
        <w:rPr>
          <w:rFonts w:ascii="Times New Roman" w:eastAsia="宋体" w:hAnsi="Times New Roman" w:cs="Times New Roman"/>
          <w:sz w:val="28"/>
          <w:szCs w:val="28"/>
        </w:rPr>
        <w:t>处理与酒精生产线蒸馏废气、无水乙醇生产线不凝气经</w:t>
      </w:r>
      <w:r>
        <w:rPr>
          <w:rFonts w:ascii="Times New Roman" w:eastAsia="宋体" w:hAnsi="Times New Roman" w:cs="Times New Roman"/>
          <w:sz w:val="28"/>
          <w:szCs w:val="28"/>
        </w:rPr>
        <w:t>“</w:t>
      </w:r>
      <w:r>
        <w:rPr>
          <w:rFonts w:ascii="Times New Roman" w:eastAsia="宋体" w:hAnsi="Times New Roman" w:cs="Times New Roman"/>
          <w:sz w:val="28"/>
          <w:szCs w:val="28"/>
        </w:rPr>
        <w:t>二级水吸收</w:t>
      </w:r>
      <w:r>
        <w:rPr>
          <w:rFonts w:ascii="Times New Roman" w:eastAsia="宋体" w:hAnsi="Times New Roman" w:cs="Times New Roman"/>
          <w:sz w:val="28"/>
          <w:szCs w:val="28"/>
        </w:rPr>
        <w:t>”</w:t>
      </w:r>
      <w:r>
        <w:rPr>
          <w:rFonts w:ascii="Times New Roman" w:eastAsia="宋体" w:hAnsi="Times New Roman" w:cs="Times New Roman"/>
          <w:sz w:val="28"/>
          <w:szCs w:val="28"/>
        </w:rPr>
        <w:t>处理后合并达标排放。污染物排放浓度和排放速率均满足相关排放标准的要求。</w:t>
      </w:r>
    </w:p>
    <w:p w14:paraId="7CA34A71"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3</w:t>
      </w:r>
      <w:r>
        <w:rPr>
          <w:rFonts w:ascii="Times New Roman" w:eastAsia="宋体" w:hAnsi="Times New Roman" w:cs="Times New Roman"/>
          <w:sz w:val="28"/>
          <w:szCs w:val="28"/>
        </w:rPr>
        <w:t>）固废</w:t>
      </w:r>
    </w:p>
    <w:p w14:paraId="1F6BDD3E"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项目产生的一般工业固废外售或回收处理，危险固废委托有资质单位发焚</w:t>
      </w:r>
      <w:r>
        <w:rPr>
          <w:rFonts w:ascii="Times New Roman" w:eastAsia="宋体" w:hAnsi="Times New Roman" w:cs="Times New Roman"/>
          <w:sz w:val="28"/>
          <w:szCs w:val="28"/>
        </w:rPr>
        <w:lastRenderedPageBreak/>
        <w:t>烧处置，项目运营后所有固废可完全处理，无外排。</w:t>
      </w:r>
    </w:p>
    <w:p w14:paraId="081367AC"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4</w:t>
      </w:r>
      <w:r>
        <w:rPr>
          <w:rFonts w:ascii="Times New Roman" w:eastAsia="宋体" w:hAnsi="Times New Roman" w:cs="Times New Roman"/>
          <w:sz w:val="28"/>
          <w:szCs w:val="28"/>
        </w:rPr>
        <w:t>）噪声</w:t>
      </w:r>
    </w:p>
    <w:p w14:paraId="6B7CE449" w14:textId="77777777" w:rsidR="002133E3" w:rsidRDefault="00C22CFA">
      <w:pPr>
        <w:adjustRightInd w:val="0"/>
        <w:snapToGrid w:val="0"/>
        <w:spacing w:line="470" w:lineRule="exact"/>
        <w:ind w:firstLineChars="200" w:firstLine="560"/>
        <w:rPr>
          <w:rFonts w:ascii="Times New Roman" w:hAnsi="Times New Roman" w:cs="Times New Roman"/>
        </w:rPr>
      </w:pPr>
      <w:r>
        <w:rPr>
          <w:rFonts w:ascii="Times New Roman" w:eastAsia="宋体" w:hAnsi="Times New Roman" w:cs="Times New Roman"/>
          <w:sz w:val="28"/>
          <w:szCs w:val="28"/>
        </w:rPr>
        <w:t>本项目各噪声设备经选用低噪声设备，采用吸声、隔音、减震等措施后，得到有效控制，厂界噪声均能达标。</w:t>
      </w:r>
    </w:p>
    <w:p w14:paraId="314EA43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项目投产后区域环境质量与环境功能的相符性</w:t>
      </w:r>
    </w:p>
    <w:p w14:paraId="30FE3715"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⑴</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废水</w:t>
      </w:r>
    </w:p>
    <w:p w14:paraId="2393F274"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经分析，建设项目产生的废水经预处理后进通海污水处理厂达标处理，从处理容量和对污水处理厂处理工艺两方面综合考虑是可行的，能做到稳定达接管标准要求，也不会影响污水处理厂的正常运行。</w:t>
      </w:r>
    </w:p>
    <w:p w14:paraId="7DC90D1A"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⑵</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废气</w:t>
      </w:r>
    </w:p>
    <w:p w14:paraId="25088ACB"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经预测项目主要废气污染物在不利气象条件下，对周围环境及环境敏感点的影响较小，不会造成大气功能区类别降低。</w:t>
      </w:r>
    </w:p>
    <w:p w14:paraId="53C15A66"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⑶</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固体废弃物</w:t>
      </w:r>
    </w:p>
    <w:p w14:paraId="3BB5CDED"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项目产生的各种固体废弃物都得到了较好的处理处置，不直接排入环境，对环境的影响较小。</w:t>
      </w:r>
    </w:p>
    <w:p w14:paraId="48A9D2E4"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⑷</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噪声</w:t>
      </w:r>
    </w:p>
    <w:p w14:paraId="360C4DD8" w14:textId="77777777" w:rsidR="002133E3" w:rsidRDefault="00C22CFA">
      <w:pPr>
        <w:adjustRightInd w:val="0"/>
        <w:snapToGrid w:val="0"/>
        <w:spacing w:line="470" w:lineRule="exact"/>
        <w:ind w:firstLineChars="200" w:firstLine="560"/>
        <w:rPr>
          <w:rFonts w:ascii="Times New Roman" w:eastAsia="宋体" w:hAnsi="Times New Roman" w:cs="Times New Roman"/>
          <w:b/>
          <w:sz w:val="30"/>
          <w:szCs w:val="30"/>
        </w:rPr>
      </w:pPr>
      <w:r>
        <w:rPr>
          <w:rFonts w:ascii="Times New Roman" w:eastAsia="宋体" w:hAnsi="Times New Roman" w:cs="Times New Roman"/>
          <w:sz w:val="28"/>
          <w:szCs w:val="28"/>
        </w:rPr>
        <w:t>项目的各噪声设备均得到了较好的控制，经预测，厂界均能达标，对周围环境造成的影响很小。</w:t>
      </w:r>
    </w:p>
    <w:p w14:paraId="11132938"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风险评价</w:t>
      </w:r>
    </w:p>
    <w:p w14:paraId="27210357"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宋体" w:eastAsia="宋体" w:hAnsi="宋体" w:cs="宋体" w:hint="eastAsia"/>
          <w:sz w:val="28"/>
          <w:szCs w:val="28"/>
        </w:rPr>
        <w:t>⑴</w:t>
      </w:r>
      <w:r>
        <w:rPr>
          <w:rFonts w:ascii="Times New Roman" w:eastAsia="宋体" w:hAnsi="Times New Roman" w:cs="Times New Roman"/>
          <w:sz w:val="28"/>
          <w:szCs w:val="28"/>
        </w:rPr>
        <w:t xml:space="preserve"> </w:t>
      </w:r>
      <w:r>
        <w:rPr>
          <w:rFonts w:ascii="Times New Roman" w:eastAsia="宋体" w:hAnsi="Times New Roman" w:cs="Times New Roman"/>
          <w:sz w:val="28"/>
          <w:szCs w:val="28"/>
        </w:rPr>
        <w:t>大气环境风险评价</w:t>
      </w:r>
    </w:p>
    <w:p w14:paraId="3889EAB6"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根据预测结果：</w:t>
      </w:r>
    </w:p>
    <w:p w14:paraId="1DFE143F" w14:textId="77777777" w:rsidR="002133E3" w:rsidRDefault="00C22CFA">
      <w:pPr>
        <w:tabs>
          <w:tab w:val="left" w:pos="4500"/>
        </w:tabs>
        <w:spacing w:line="500" w:lineRule="exact"/>
        <w:ind w:firstLine="570"/>
        <w:rPr>
          <w:rFonts w:ascii="Times New Roman" w:eastAsia="宋体" w:hAnsi="Times New Roman" w:cs="Times New Roman"/>
          <w:spacing w:val="10"/>
          <w:sz w:val="28"/>
          <w:szCs w:val="28"/>
        </w:rPr>
      </w:pPr>
      <w:r>
        <w:rPr>
          <w:rFonts w:ascii="Times New Roman" w:eastAsia="宋体" w:hAnsi="Times New Roman" w:cs="Times New Roman"/>
          <w:spacing w:val="10"/>
          <w:sz w:val="28"/>
          <w:szCs w:val="28"/>
        </w:rPr>
        <w:t>硫酸储罐发生泄漏时：</w:t>
      </w:r>
    </w:p>
    <w:p w14:paraId="375B7D58" w14:textId="77777777" w:rsidR="002133E3" w:rsidRDefault="00C22CFA">
      <w:pPr>
        <w:tabs>
          <w:tab w:val="left" w:pos="4500"/>
        </w:tabs>
        <w:spacing w:line="500" w:lineRule="exact"/>
        <w:ind w:firstLine="570"/>
        <w:rPr>
          <w:rFonts w:ascii="Times New Roman" w:eastAsia="宋体" w:hAnsi="Times New Roman" w:cs="Times New Roman"/>
          <w:spacing w:val="10"/>
          <w:sz w:val="28"/>
          <w:szCs w:val="28"/>
        </w:rPr>
      </w:pPr>
      <w:r>
        <w:rPr>
          <w:rFonts w:ascii="Times New Roman" w:eastAsia="宋体" w:hAnsi="Times New Roman" w:cs="Times New Roman"/>
          <w:spacing w:val="10"/>
          <w:sz w:val="28"/>
          <w:szCs w:val="28"/>
        </w:rPr>
        <w:t>在最不利气象条件下，未达到间硫酸大气毒性终点浓度</w:t>
      </w:r>
      <w:r>
        <w:rPr>
          <w:rFonts w:ascii="Times New Roman" w:eastAsia="宋体" w:hAnsi="Times New Roman" w:cs="Times New Roman"/>
          <w:spacing w:val="10"/>
          <w:sz w:val="28"/>
          <w:szCs w:val="28"/>
        </w:rPr>
        <w:t>1</w:t>
      </w:r>
      <w:r>
        <w:rPr>
          <w:rFonts w:ascii="Times New Roman" w:eastAsia="宋体" w:hAnsi="Times New Roman" w:cs="Times New Roman"/>
          <w:spacing w:val="10"/>
          <w:sz w:val="28"/>
          <w:szCs w:val="28"/>
        </w:rPr>
        <w:t>、</w:t>
      </w:r>
      <w:r>
        <w:rPr>
          <w:rFonts w:ascii="Times New Roman" w:eastAsia="宋体" w:hAnsi="Times New Roman" w:cs="Times New Roman"/>
          <w:spacing w:val="10"/>
          <w:sz w:val="28"/>
          <w:szCs w:val="28"/>
        </w:rPr>
        <w:t>2</w:t>
      </w:r>
      <w:r>
        <w:rPr>
          <w:rFonts w:ascii="Times New Roman" w:eastAsia="宋体" w:hAnsi="Times New Roman" w:cs="Times New Roman"/>
          <w:spacing w:val="10"/>
          <w:sz w:val="28"/>
          <w:szCs w:val="28"/>
        </w:rPr>
        <w:t>限值。</w:t>
      </w:r>
    </w:p>
    <w:p w14:paraId="4BE4653F" w14:textId="77777777" w:rsidR="002133E3" w:rsidRDefault="00C22CFA">
      <w:pPr>
        <w:tabs>
          <w:tab w:val="left" w:pos="4500"/>
        </w:tabs>
        <w:spacing w:line="500" w:lineRule="exact"/>
        <w:ind w:firstLine="570"/>
        <w:rPr>
          <w:rFonts w:ascii="Times New Roman" w:eastAsia="宋体" w:hAnsi="Times New Roman" w:cs="Times New Roman"/>
          <w:spacing w:val="10"/>
          <w:sz w:val="28"/>
          <w:szCs w:val="28"/>
        </w:rPr>
      </w:pPr>
      <w:r>
        <w:rPr>
          <w:rFonts w:ascii="Times New Roman" w:eastAsia="宋体" w:hAnsi="Times New Roman" w:cs="Times New Roman"/>
          <w:spacing w:val="10"/>
          <w:sz w:val="28"/>
          <w:szCs w:val="28"/>
        </w:rPr>
        <w:t>沼气发生火灾爆炸时：</w:t>
      </w:r>
    </w:p>
    <w:p w14:paraId="140CF848" w14:textId="77777777" w:rsidR="002133E3" w:rsidRDefault="00C22CFA">
      <w:pPr>
        <w:tabs>
          <w:tab w:val="left" w:pos="4500"/>
        </w:tabs>
        <w:spacing w:line="500" w:lineRule="exact"/>
        <w:ind w:firstLine="570"/>
        <w:rPr>
          <w:rFonts w:ascii="Times New Roman" w:eastAsia="宋体" w:hAnsi="Times New Roman" w:cs="Times New Roman"/>
          <w:kern w:val="0"/>
          <w:sz w:val="28"/>
          <w:szCs w:val="28"/>
        </w:rPr>
      </w:pPr>
      <w:r>
        <w:rPr>
          <w:rFonts w:ascii="Times New Roman" w:eastAsia="宋体" w:hAnsi="Times New Roman" w:cs="Times New Roman"/>
          <w:spacing w:val="10"/>
          <w:sz w:val="28"/>
          <w:szCs w:val="28"/>
        </w:rPr>
        <w:t>在最不利气象条件下伴生</w:t>
      </w:r>
      <w:r>
        <w:rPr>
          <w:rFonts w:ascii="Times New Roman" w:eastAsia="宋体" w:hAnsi="Times New Roman" w:cs="Times New Roman"/>
          <w:spacing w:val="10"/>
          <w:sz w:val="28"/>
          <w:szCs w:val="28"/>
        </w:rPr>
        <w:t>/</w:t>
      </w:r>
      <w:r>
        <w:rPr>
          <w:rFonts w:ascii="Times New Roman" w:eastAsia="宋体" w:hAnsi="Times New Roman" w:cs="Times New Roman"/>
          <w:spacing w:val="10"/>
          <w:sz w:val="28"/>
          <w:szCs w:val="28"/>
        </w:rPr>
        <w:t>次生污染物</w:t>
      </w:r>
      <w:r>
        <w:rPr>
          <w:rFonts w:ascii="Times New Roman" w:eastAsia="宋体" w:hAnsi="Times New Roman" w:cs="Times New Roman"/>
          <w:kern w:val="0"/>
          <w:sz w:val="28"/>
          <w:szCs w:val="28"/>
        </w:rPr>
        <w:t>二氧化硫大气毒性终点浓度</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影响范围为</w:t>
      </w:r>
      <w:r>
        <w:rPr>
          <w:rFonts w:ascii="Times New Roman" w:eastAsia="宋体" w:hAnsi="Times New Roman" w:cs="Times New Roman"/>
          <w:kern w:val="0"/>
          <w:sz w:val="28"/>
          <w:szCs w:val="28"/>
        </w:rPr>
        <w:t>92m</w:t>
      </w:r>
      <w:r>
        <w:rPr>
          <w:rFonts w:ascii="Times New Roman" w:eastAsia="宋体" w:hAnsi="Times New Roman" w:cs="Times New Roman"/>
          <w:kern w:val="0"/>
          <w:sz w:val="28"/>
          <w:szCs w:val="28"/>
        </w:rPr>
        <w:t>；未达到二氧化硫大气毒性终点浓度</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限值；一氧化碳大气毒性终点浓度</w:t>
      </w:r>
      <w:r>
        <w:rPr>
          <w:rFonts w:ascii="Times New Roman" w:eastAsia="宋体" w:hAnsi="Times New Roman" w:cs="Times New Roman"/>
          <w:kern w:val="0"/>
          <w:sz w:val="28"/>
          <w:szCs w:val="28"/>
        </w:rPr>
        <w:t>2</w:t>
      </w:r>
      <w:r>
        <w:rPr>
          <w:rFonts w:ascii="Times New Roman" w:eastAsia="宋体" w:hAnsi="Times New Roman" w:cs="Times New Roman"/>
          <w:kern w:val="0"/>
          <w:sz w:val="28"/>
          <w:szCs w:val="28"/>
        </w:rPr>
        <w:t>影响范围为</w:t>
      </w:r>
      <w:r>
        <w:rPr>
          <w:rFonts w:ascii="Times New Roman" w:eastAsia="宋体" w:hAnsi="Times New Roman" w:cs="Times New Roman"/>
          <w:kern w:val="0"/>
          <w:sz w:val="28"/>
          <w:szCs w:val="28"/>
        </w:rPr>
        <w:t>425m</w:t>
      </w:r>
      <w:r>
        <w:rPr>
          <w:rFonts w:ascii="Times New Roman" w:eastAsia="宋体" w:hAnsi="Times New Roman" w:cs="Times New Roman"/>
          <w:kern w:val="0"/>
          <w:sz w:val="28"/>
          <w:szCs w:val="28"/>
        </w:rPr>
        <w:t>；大气毒性终点浓度</w:t>
      </w:r>
      <w:r>
        <w:rPr>
          <w:rFonts w:ascii="Times New Roman" w:eastAsia="宋体" w:hAnsi="Times New Roman" w:cs="Times New Roman"/>
          <w:kern w:val="0"/>
          <w:sz w:val="28"/>
          <w:szCs w:val="28"/>
        </w:rPr>
        <w:t>1</w:t>
      </w:r>
      <w:r>
        <w:rPr>
          <w:rFonts w:ascii="Times New Roman" w:eastAsia="宋体" w:hAnsi="Times New Roman" w:cs="Times New Roman"/>
          <w:kern w:val="0"/>
          <w:sz w:val="28"/>
          <w:szCs w:val="28"/>
        </w:rPr>
        <w:t>影响范围为</w:t>
      </w:r>
      <w:r>
        <w:rPr>
          <w:rFonts w:ascii="Times New Roman" w:eastAsia="宋体" w:hAnsi="Times New Roman" w:cs="Times New Roman"/>
          <w:kern w:val="0"/>
          <w:sz w:val="28"/>
          <w:szCs w:val="28"/>
        </w:rPr>
        <w:t>163m</w:t>
      </w:r>
      <w:r>
        <w:rPr>
          <w:rFonts w:ascii="Times New Roman" w:eastAsia="宋体" w:hAnsi="Times New Roman" w:cs="Times New Roman"/>
          <w:kern w:val="0"/>
          <w:sz w:val="28"/>
          <w:szCs w:val="28"/>
        </w:rPr>
        <w:t>。</w:t>
      </w:r>
    </w:p>
    <w:p w14:paraId="509DA631" w14:textId="77777777" w:rsidR="002133E3" w:rsidRDefault="00C22CFA">
      <w:pPr>
        <w:tabs>
          <w:tab w:val="left" w:pos="4500"/>
        </w:tabs>
        <w:spacing w:line="500" w:lineRule="exact"/>
        <w:ind w:firstLine="570"/>
        <w:rPr>
          <w:rFonts w:ascii="Times New Roman" w:eastAsia="宋体" w:hAnsi="Times New Roman" w:cs="Times New Roman"/>
          <w:spacing w:val="10"/>
          <w:kern w:val="0"/>
          <w:sz w:val="28"/>
          <w:szCs w:val="28"/>
        </w:rPr>
      </w:pPr>
      <w:r>
        <w:rPr>
          <w:rFonts w:ascii="Times New Roman" w:eastAsia="宋体" w:hAnsi="Times New Roman" w:cs="Times New Roman"/>
          <w:spacing w:val="10"/>
          <w:kern w:val="0"/>
          <w:sz w:val="28"/>
          <w:szCs w:val="28"/>
        </w:rPr>
        <w:t>本项目下风向最近的敏感目标为兴庄村</w:t>
      </w:r>
      <w:r>
        <w:rPr>
          <w:rFonts w:ascii="Times New Roman" w:eastAsia="宋体" w:hAnsi="Times New Roman" w:cs="Times New Roman"/>
          <w:spacing w:val="10"/>
          <w:kern w:val="0"/>
          <w:sz w:val="28"/>
          <w:szCs w:val="28"/>
        </w:rPr>
        <w:t>(S 110m)</w:t>
      </w:r>
      <w:r>
        <w:rPr>
          <w:rFonts w:ascii="Times New Roman" w:eastAsia="宋体" w:hAnsi="Times New Roman" w:cs="Times New Roman"/>
          <w:spacing w:val="10"/>
          <w:kern w:val="0"/>
          <w:sz w:val="28"/>
          <w:szCs w:val="28"/>
        </w:rPr>
        <w:t>、李巷村</w:t>
      </w:r>
      <w:r>
        <w:rPr>
          <w:rFonts w:ascii="Times New Roman" w:eastAsia="宋体" w:hAnsi="Times New Roman" w:cs="Times New Roman"/>
          <w:spacing w:val="10"/>
          <w:kern w:val="0"/>
          <w:sz w:val="28"/>
          <w:szCs w:val="28"/>
        </w:rPr>
        <w:t>(W 20m)</w:t>
      </w:r>
      <w:r>
        <w:rPr>
          <w:rFonts w:ascii="Times New Roman" w:eastAsia="宋体" w:hAnsi="Times New Roman" w:cs="Times New Roman"/>
          <w:spacing w:val="10"/>
          <w:kern w:val="0"/>
          <w:sz w:val="28"/>
          <w:szCs w:val="28"/>
        </w:rPr>
        <w:t>，根据表</w:t>
      </w:r>
      <w:r>
        <w:rPr>
          <w:rFonts w:ascii="Times New Roman" w:eastAsia="宋体" w:hAnsi="Times New Roman" w:cs="Times New Roman"/>
          <w:spacing w:val="10"/>
          <w:kern w:val="0"/>
          <w:sz w:val="28"/>
          <w:szCs w:val="28"/>
        </w:rPr>
        <w:t>6.9-3</w:t>
      </w:r>
      <w:r>
        <w:rPr>
          <w:rFonts w:ascii="Times New Roman" w:eastAsia="宋体" w:hAnsi="Times New Roman" w:cs="Times New Roman"/>
          <w:spacing w:val="10"/>
          <w:kern w:val="0"/>
          <w:sz w:val="28"/>
          <w:szCs w:val="28"/>
        </w:rPr>
        <w:t>可知，</w:t>
      </w:r>
      <w:r>
        <w:rPr>
          <w:rFonts w:ascii="Times New Roman" w:eastAsia="宋体" w:hAnsi="Times New Roman" w:cs="Times New Roman"/>
          <w:spacing w:val="10"/>
          <w:sz w:val="28"/>
          <w:szCs w:val="28"/>
        </w:rPr>
        <w:t>硫酸储罐发生泄漏、沼气发生火灾爆炸时</w:t>
      </w:r>
      <w:r>
        <w:rPr>
          <w:rFonts w:ascii="Times New Roman" w:eastAsia="宋体" w:hAnsi="Times New Roman" w:cs="Times New Roman"/>
          <w:spacing w:val="10"/>
          <w:kern w:val="0"/>
          <w:sz w:val="28"/>
          <w:szCs w:val="28"/>
        </w:rPr>
        <w:t>对最近的敏感目</w:t>
      </w:r>
      <w:r>
        <w:rPr>
          <w:rFonts w:ascii="Times New Roman" w:eastAsia="宋体" w:hAnsi="Times New Roman" w:cs="Times New Roman"/>
          <w:spacing w:val="10"/>
          <w:kern w:val="0"/>
          <w:sz w:val="28"/>
          <w:szCs w:val="28"/>
        </w:rPr>
        <w:lastRenderedPageBreak/>
        <w:t>标环境影响较小。</w:t>
      </w:r>
    </w:p>
    <w:p w14:paraId="4AFD7CF1"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(2) </w:t>
      </w:r>
      <w:r>
        <w:rPr>
          <w:rFonts w:ascii="Times New Roman" w:eastAsia="宋体" w:hAnsi="Times New Roman" w:cs="Times New Roman"/>
          <w:sz w:val="28"/>
          <w:szCs w:val="28"/>
        </w:rPr>
        <w:t>地下水环境风险评价</w:t>
      </w:r>
    </w:p>
    <w:p w14:paraId="79AF0CE7"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color w:val="0D0D0D"/>
          <w:sz w:val="28"/>
        </w:rPr>
        <w:t>非正常工况下，主要的考虑因素是废水调节池的渗漏对地下水可能造成的影响，</w:t>
      </w:r>
      <w:proofErr w:type="spellStart"/>
      <w:r>
        <w:rPr>
          <w:rFonts w:ascii="Times New Roman" w:eastAsia="宋体" w:hAnsi="Times New Roman" w:cs="Times New Roman"/>
          <w:color w:val="0D0D0D"/>
          <w:sz w:val="28"/>
          <w:szCs w:val="28"/>
        </w:rPr>
        <w:t>COD</w:t>
      </w:r>
      <w:r>
        <w:rPr>
          <w:rFonts w:ascii="Times New Roman" w:eastAsia="宋体" w:hAnsi="Times New Roman" w:cs="Times New Roman"/>
          <w:color w:val="0D0D0D"/>
          <w:sz w:val="28"/>
          <w:szCs w:val="28"/>
          <w:vertAlign w:val="subscript"/>
        </w:rPr>
        <w:t>Mn</w:t>
      </w:r>
      <w:proofErr w:type="spellEnd"/>
      <w:r>
        <w:rPr>
          <w:rFonts w:ascii="Times New Roman" w:eastAsia="宋体" w:hAnsi="Times New Roman" w:cs="Times New Roman"/>
          <w:color w:val="0D0D0D"/>
          <w:sz w:val="28"/>
          <w:szCs w:val="28"/>
        </w:rPr>
        <w:t>超标范围参照《地下水质量标准》</w:t>
      </w:r>
      <w:r>
        <w:rPr>
          <w:rFonts w:ascii="Times New Roman" w:eastAsia="宋体" w:hAnsi="Times New Roman" w:cs="Times New Roman"/>
          <w:color w:val="0D0D0D"/>
          <w:sz w:val="28"/>
          <w:szCs w:val="28"/>
        </w:rPr>
        <w:t>(GB/T14848- 2017)</w:t>
      </w:r>
      <w:r>
        <w:rPr>
          <w:rFonts w:ascii="宋体" w:eastAsia="宋体" w:hAnsi="宋体" w:cs="宋体" w:hint="eastAsia"/>
          <w:color w:val="0D0D0D"/>
          <w:sz w:val="28"/>
          <w:szCs w:val="28"/>
        </w:rPr>
        <w:t>Ⅲ</w:t>
      </w:r>
      <w:r>
        <w:rPr>
          <w:rFonts w:ascii="Times New Roman" w:eastAsia="宋体" w:hAnsi="Times New Roman" w:cs="Times New Roman"/>
          <w:color w:val="0D0D0D"/>
          <w:sz w:val="28"/>
          <w:szCs w:val="28"/>
        </w:rPr>
        <w:t>类标准限值，为</w:t>
      </w:r>
      <w:r>
        <w:rPr>
          <w:rFonts w:ascii="Times New Roman" w:eastAsia="宋体" w:hAnsi="Times New Roman" w:cs="Times New Roman"/>
          <w:color w:val="0D0D0D"/>
          <w:sz w:val="28"/>
          <w:szCs w:val="28"/>
        </w:rPr>
        <w:t>3mg/L</w:t>
      </w:r>
      <w:r>
        <w:rPr>
          <w:rFonts w:ascii="Times New Roman" w:eastAsia="宋体" w:hAnsi="Times New Roman" w:cs="Times New Roman"/>
          <w:color w:val="0D0D0D"/>
          <w:sz w:val="28"/>
          <w:szCs w:val="28"/>
        </w:rPr>
        <w:t>，</w:t>
      </w:r>
      <w:r>
        <w:rPr>
          <w:rFonts w:ascii="Times New Roman" w:eastAsia="宋体" w:hAnsi="Times New Roman" w:cs="Times New Roman"/>
          <w:color w:val="000000"/>
          <w:sz w:val="28"/>
          <w:szCs w:val="24"/>
        </w:rPr>
        <w:t>根据模型预测，耗氧量在地下水中污染扩散超标范围为：</w:t>
      </w:r>
      <w:r>
        <w:rPr>
          <w:rFonts w:ascii="Times New Roman" w:eastAsia="宋体" w:hAnsi="Times New Roman" w:cs="Times New Roman"/>
          <w:color w:val="000000"/>
          <w:sz w:val="28"/>
          <w:szCs w:val="24"/>
        </w:rPr>
        <w:t>100</w:t>
      </w:r>
      <w:r>
        <w:rPr>
          <w:rFonts w:ascii="Times New Roman" w:eastAsia="宋体" w:hAnsi="Times New Roman" w:cs="Times New Roman"/>
          <w:color w:val="000000"/>
          <w:sz w:val="28"/>
          <w:szCs w:val="24"/>
        </w:rPr>
        <w:t>天超标范围为泄漏点周围</w:t>
      </w:r>
      <w:r>
        <w:rPr>
          <w:rFonts w:ascii="Times New Roman" w:eastAsia="宋体" w:hAnsi="Times New Roman" w:cs="Times New Roman"/>
          <w:color w:val="000000"/>
          <w:sz w:val="28"/>
          <w:szCs w:val="24"/>
        </w:rPr>
        <w:t>1.935m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365</w:t>
      </w:r>
      <w:r>
        <w:rPr>
          <w:rFonts w:ascii="Times New Roman" w:eastAsia="宋体" w:hAnsi="Times New Roman" w:cs="Times New Roman"/>
          <w:color w:val="000000"/>
          <w:sz w:val="28"/>
          <w:szCs w:val="24"/>
        </w:rPr>
        <w:t>天超标范围为泄漏点周围</w:t>
      </w:r>
      <w:r>
        <w:rPr>
          <w:rFonts w:ascii="Times New Roman" w:eastAsia="宋体" w:hAnsi="Times New Roman" w:cs="Times New Roman"/>
          <w:color w:val="000000"/>
          <w:sz w:val="28"/>
          <w:szCs w:val="24"/>
        </w:rPr>
        <w:t>5.98m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1000</w:t>
      </w:r>
      <w:r>
        <w:rPr>
          <w:rFonts w:ascii="Times New Roman" w:eastAsia="宋体" w:hAnsi="Times New Roman" w:cs="Times New Roman"/>
          <w:color w:val="000000"/>
          <w:sz w:val="28"/>
          <w:szCs w:val="24"/>
        </w:rPr>
        <w:t>天超标范围为泄漏点周围</w:t>
      </w:r>
      <w:r>
        <w:rPr>
          <w:rFonts w:ascii="Times New Roman" w:eastAsia="宋体" w:hAnsi="Times New Roman" w:cs="Times New Roman"/>
          <w:color w:val="000000"/>
          <w:sz w:val="28"/>
          <w:szCs w:val="24"/>
        </w:rPr>
        <w:t>15.02m</w:t>
      </w:r>
      <w:r>
        <w:rPr>
          <w:rFonts w:ascii="Times New Roman" w:eastAsia="宋体" w:hAnsi="Times New Roman" w:cs="Times New Roman"/>
          <w:color w:val="000000"/>
          <w:sz w:val="28"/>
          <w:szCs w:val="24"/>
        </w:rPr>
        <w:t>，</w:t>
      </w:r>
      <w:r>
        <w:rPr>
          <w:rFonts w:ascii="Times New Roman" w:eastAsia="宋体" w:hAnsi="Times New Roman" w:cs="Times New Roman"/>
          <w:color w:val="000000"/>
          <w:sz w:val="28"/>
          <w:szCs w:val="24"/>
        </w:rPr>
        <w:t>10</w:t>
      </w:r>
      <w:r>
        <w:rPr>
          <w:rFonts w:ascii="Times New Roman" w:eastAsia="宋体" w:hAnsi="Times New Roman" w:cs="Times New Roman"/>
          <w:color w:val="000000"/>
          <w:sz w:val="28"/>
          <w:szCs w:val="24"/>
        </w:rPr>
        <w:t>年超标范围为泄漏点周围</w:t>
      </w:r>
      <w:r>
        <w:rPr>
          <w:rFonts w:ascii="Times New Roman" w:eastAsia="宋体" w:hAnsi="Times New Roman" w:cs="Times New Roman"/>
          <w:color w:val="000000"/>
          <w:sz w:val="28"/>
          <w:szCs w:val="24"/>
        </w:rPr>
        <w:t>52.62m</w:t>
      </w:r>
      <w:r>
        <w:rPr>
          <w:rFonts w:ascii="Times New Roman" w:eastAsia="宋体" w:hAnsi="Times New Roman" w:cs="Times New Roman"/>
          <w:color w:val="000000"/>
          <w:sz w:val="28"/>
          <w:szCs w:val="24"/>
        </w:rPr>
        <w:t>，均未超出厂界，影响范围较小。</w:t>
      </w:r>
    </w:p>
    <w:p w14:paraId="4B8EF493" w14:textId="77777777" w:rsidR="002133E3" w:rsidRDefault="00C22CFA">
      <w:pPr>
        <w:adjustRightInd w:val="0"/>
        <w:snapToGrid w:val="0"/>
        <w:spacing w:line="47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 xml:space="preserve">(3) </w:t>
      </w:r>
      <w:r>
        <w:rPr>
          <w:rFonts w:ascii="Times New Roman" w:eastAsia="宋体" w:hAnsi="Times New Roman" w:cs="Times New Roman"/>
          <w:sz w:val="28"/>
          <w:szCs w:val="28"/>
        </w:rPr>
        <w:t>地表水环境风险评价</w:t>
      </w:r>
    </w:p>
    <w:p w14:paraId="46499294"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针对企业污染来源及其特性，以实现达标排放和满足应急处置的要求，公司及园区层面已建立污染源头、过程处理和最终排放的</w:t>
      </w:r>
      <w:r>
        <w:rPr>
          <w:rFonts w:ascii="Times New Roman" w:eastAsia="宋体" w:hAnsi="Times New Roman" w:cs="Times New Roman"/>
          <w:sz w:val="28"/>
          <w:szCs w:val="28"/>
        </w:rPr>
        <w:t>“</w:t>
      </w:r>
      <w:r>
        <w:rPr>
          <w:rFonts w:ascii="Times New Roman" w:eastAsia="宋体" w:hAnsi="Times New Roman" w:cs="Times New Roman"/>
          <w:sz w:val="28"/>
          <w:szCs w:val="28"/>
        </w:rPr>
        <w:t>三级防控</w:t>
      </w:r>
      <w:r>
        <w:rPr>
          <w:rFonts w:ascii="Times New Roman" w:eastAsia="宋体" w:hAnsi="Times New Roman" w:cs="Times New Roman"/>
          <w:sz w:val="28"/>
          <w:szCs w:val="28"/>
        </w:rPr>
        <w:t>”</w:t>
      </w:r>
      <w:r>
        <w:rPr>
          <w:rFonts w:ascii="Times New Roman" w:eastAsia="宋体" w:hAnsi="Times New Roman" w:cs="Times New Roman"/>
          <w:sz w:val="28"/>
          <w:szCs w:val="28"/>
        </w:rPr>
        <w:t>机制。公司已配套设施</w:t>
      </w:r>
      <w:r>
        <w:rPr>
          <w:rFonts w:ascii="Times New Roman" w:eastAsia="宋体" w:hAnsi="Times New Roman" w:cs="Times New Roman"/>
          <w:sz w:val="28"/>
          <w:szCs w:val="28"/>
        </w:rPr>
        <w:t>(</w:t>
      </w:r>
      <w:r>
        <w:rPr>
          <w:rFonts w:ascii="Times New Roman" w:eastAsia="宋体" w:hAnsi="Times New Roman" w:cs="Times New Roman"/>
          <w:sz w:val="28"/>
          <w:szCs w:val="28"/>
        </w:rPr>
        <w:t>导流设施、清污水切换设施</w:t>
      </w:r>
      <w:r>
        <w:rPr>
          <w:rFonts w:ascii="Times New Roman" w:eastAsia="宋体" w:hAnsi="Times New Roman" w:cs="Times New Roman"/>
          <w:sz w:val="28"/>
          <w:szCs w:val="28"/>
        </w:rPr>
        <w:t>)</w:t>
      </w:r>
      <w:r>
        <w:rPr>
          <w:rFonts w:ascii="Times New Roman" w:eastAsia="宋体" w:hAnsi="Times New Roman" w:cs="Times New Roman"/>
          <w:sz w:val="28"/>
          <w:szCs w:val="28"/>
        </w:rPr>
        <w:t>，作为轻微事故泄漏及污染雨水的一级防控设施，已设置</w:t>
      </w:r>
      <w:r>
        <w:rPr>
          <w:rFonts w:ascii="Times New Roman" w:eastAsia="宋体" w:hAnsi="Times New Roman" w:cs="Times New Roman"/>
          <w:sz w:val="28"/>
          <w:szCs w:val="28"/>
        </w:rPr>
        <w:t>40000m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事故池一座、</w:t>
      </w:r>
      <w:r>
        <w:rPr>
          <w:rFonts w:ascii="Times New Roman" w:eastAsia="宋体" w:hAnsi="Times New Roman" w:cs="Times New Roman"/>
          <w:sz w:val="28"/>
          <w:szCs w:val="28"/>
        </w:rPr>
        <w:t>3000m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消防尾水收集池一座及其配套设置</w:t>
      </w:r>
      <w:r>
        <w:rPr>
          <w:rFonts w:ascii="Times New Roman" w:eastAsia="宋体" w:hAnsi="Times New Roman" w:cs="Times New Roman"/>
          <w:sz w:val="28"/>
          <w:szCs w:val="28"/>
        </w:rPr>
        <w:t>(</w:t>
      </w:r>
      <w:r>
        <w:rPr>
          <w:rFonts w:ascii="Times New Roman" w:eastAsia="宋体" w:hAnsi="Times New Roman" w:cs="Times New Roman"/>
          <w:sz w:val="28"/>
          <w:szCs w:val="28"/>
        </w:rPr>
        <w:t>事故导排系统</w:t>
      </w:r>
      <w:r>
        <w:rPr>
          <w:rFonts w:ascii="Times New Roman" w:eastAsia="宋体" w:hAnsi="Times New Roman" w:cs="Times New Roman"/>
          <w:sz w:val="28"/>
          <w:szCs w:val="28"/>
        </w:rPr>
        <w:t>)</w:t>
      </w:r>
      <w:r>
        <w:rPr>
          <w:rFonts w:ascii="Times New Roman" w:eastAsia="宋体" w:hAnsi="Times New Roman" w:cs="Times New Roman"/>
          <w:sz w:val="28"/>
          <w:szCs w:val="28"/>
        </w:rPr>
        <w:t>，作为较大事故泄漏物料和消防废水的二级防控设置。因此，事故状态下，消防尾水不会直接进入企业外地表水体。</w:t>
      </w:r>
    </w:p>
    <w:p w14:paraId="0F89162E"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公众参与的结论与意见</w:t>
      </w:r>
    </w:p>
    <w:p w14:paraId="19249118"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根据企业提供的公众参与专篇表明，无人对该项目的建设提出异议，无人反对该项目建设，由此可见公众对该项目基本上持支持态度。</w:t>
      </w:r>
    </w:p>
    <w:p w14:paraId="2ADF09E8"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环境影响经济损益分析</w:t>
      </w:r>
    </w:p>
    <w:p w14:paraId="498BC7FF"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本项目国民经济效益良好，项目本身具有较好的盈利能力，并且具有一定的抗风险能力，项目在经济效益方面可行。</w:t>
      </w:r>
    </w:p>
    <w:p w14:paraId="12845CC1"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从本工程的建设对环境正面影响和负面损失进行论证及对工程的社会效益、经济效益和环境效益的综合分析表明，本工程的建设带来的正效益明显。</w:t>
      </w:r>
    </w:p>
    <w:p w14:paraId="7AE706CA"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环境管理与监测计划</w:t>
      </w:r>
    </w:p>
    <w:p w14:paraId="0BFC79CF"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项目根据有关环保法规、政策、条例，并结合项目具体情况，制定了环境管理条例和章程，同时对项目污染源和区域环境质量提出了监测计划。</w:t>
      </w:r>
    </w:p>
    <w:p w14:paraId="6FD9A894" w14:textId="77777777" w:rsidR="002133E3" w:rsidRDefault="00C22CFA">
      <w:pPr>
        <w:pStyle w:val="affff3"/>
        <w:numPr>
          <w:ilvl w:val="2"/>
          <w:numId w:val="2"/>
        </w:numPr>
        <w:snapToGrid w:val="0"/>
        <w:spacing w:line="500" w:lineRule="atLeast"/>
        <w:ind w:left="0" w:firstLineChars="0"/>
        <w:outlineLvl w:val="2"/>
        <w:rPr>
          <w:rFonts w:ascii="Times New Roman" w:eastAsia="宋体" w:hAnsi="Times New Roman" w:cs="Times New Roman"/>
          <w:b/>
          <w:sz w:val="30"/>
          <w:szCs w:val="30"/>
        </w:rPr>
      </w:pPr>
      <w:r>
        <w:rPr>
          <w:rFonts w:ascii="Times New Roman" w:eastAsia="宋体" w:hAnsi="Times New Roman" w:cs="Times New Roman"/>
          <w:b/>
          <w:sz w:val="30"/>
          <w:szCs w:val="30"/>
        </w:rPr>
        <w:t>总结论</w:t>
      </w:r>
    </w:p>
    <w:p w14:paraId="0C252051" w14:textId="77777777" w:rsidR="002133E3" w:rsidRDefault="00C22CFA">
      <w:pPr>
        <w:adjustRightInd w:val="0"/>
        <w:snapToGrid w:val="0"/>
        <w:spacing w:line="500" w:lineRule="exact"/>
        <w:ind w:firstLineChars="200" w:firstLine="560"/>
        <w:rPr>
          <w:rFonts w:ascii="Times New Roman" w:eastAsia="宋体" w:hAnsi="Times New Roman" w:cs="Times New Roman"/>
          <w:sz w:val="28"/>
          <w:szCs w:val="28"/>
        </w:rPr>
      </w:pPr>
      <w:r>
        <w:rPr>
          <w:rFonts w:ascii="Times New Roman" w:eastAsia="宋体" w:hAnsi="Times New Roman" w:cs="Times New Roman"/>
          <w:kern w:val="0"/>
          <w:sz w:val="28"/>
          <w:szCs w:val="28"/>
        </w:rPr>
        <w:t>项目为</w:t>
      </w:r>
      <w:r>
        <w:rPr>
          <w:rFonts w:ascii="Times New Roman" w:eastAsia="宋体" w:hAnsi="Times New Roman" w:cs="Times New Roman"/>
          <w:sz w:val="28"/>
          <w:szCs w:val="28"/>
        </w:rPr>
        <w:t>酒精制造</w:t>
      </w:r>
      <w:r>
        <w:rPr>
          <w:rFonts w:ascii="Times New Roman" w:eastAsia="宋体" w:hAnsi="Times New Roman" w:cs="Times New Roman"/>
          <w:kern w:val="0"/>
          <w:sz w:val="28"/>
          <w:szCs w:val="28"/>
        </w:rPr>
        <w:t>项目，</w:t>
      </w:r>
      <w:r>
        <w:rPr>
          <w:rFonts w:ascii="Times New Roman" w:eastAsia="宋体" w:hAnsi="Times New Roman" w:cs="Times New Roman"/>
          <w:sz w:val="28"/>
          <w:szCs w:val="28"/>
        </w:rPr>
        <w:t>符合国家和地方产业政策、环保政策要求；厂址位</w:t>
      </w:r>
      <w:r>
        <w:rPr>
          <w:rFonts w:ascii="Times New Roman" w:eastAsia="宋体" w:hAnsi="Times New Roman" w:cs="Times New Roman"/>
          <w:sz w:val="28"/>
          <w:szCs w:val="28"/>
        </w:rPr>
        <w:lastRenderedPageBreak/>
        <w:t>于连云港港连云港区庙岭作业区内，符合区域用地规划要求；项目总体工艺及设备符合清洁生产工艺要求；各项污染治理得当，经有效处理后可保证污染物稳定达到相关排放标准要求，对外环境影响不大，不会降低区域功能类别；社会效益、经济效益较好；具有完善的环境风险防范措施和应急预案。因此，从环保的角度看，本项目的建设是可行的。</w:t>
      </w:r>
    </w:p>
    <w:p w14:paraId="0755824B" w14:textId="77777777" w:rsidR="002133E3" w:rsidRDefault="00C22CFA">
      <w:pPr>
        <w:pStyle w:val="affff3"/>
        <w:numPr>
          <w:ilvl w:val="1"/>
          <w:numId w:val="2"/>
        </w:numPr>
        <w:snapToGrid w:val="0"/>
        <w:spacing w:line="500" w:lineRule="atLeast"/>
        <w:ind w:firstLineChars="0" w:hanging="567"/>
        <w:outlineLvl w:val="1"/>
        <w:rPr>
          <w:rFonts w:ascii="Times New Roman" w:eastAsia="宋体" w:hAnsi="Times New Roman" w:cs="Times New Roman"/>
          <w:b/>
          <w:sz w:val="30"/>
          <w:szCs w:val="30"/>
        </w:rPr>
      </w:pPr>
      <w:bookmarkStart w:id="113" w:name="_Toc47604372"/>
      <w:r>
        <w:rPr>
          <w:rFonts w:ascii="Times New Roman" w:eastAsia="宋体" w:hAnsi="Times New Roman" w:cs="Times New Roman"/>
          <w:b/>
          <w:sz w:val="30"/>
          <w:szCs w:val="30"/>
        </w:rPr>
        <w:t>环保要求与建议</w:t>
      </w:r>
      <w:bookmarkEnd w:id="113"/>
    </w:p>
    <w:p w14:paraId="767439EE" w14:textId="77777777" w:rsidR="002133E3" w:rsidRDefault="00C22CFA">
      <w:pPr>
        <w:widowControl/>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(1) </w:t>
      </w:r>
      <w:r>
        <w:rPr>
          <w:rFonts w:ascii="Times New Roman" w:eastAsia="宋体" w:hAnsi="Times New Roman" w:cs="Times New Roman"/>
          <w:kern w:val="0"/>
          <w:sz w:val="28"/>
          <w:szCs w:val="28"/>
        </w:rPr>
        <w:t>项目应确保按照环评要求做好各项污染治理工作，保证生产中产生各污染物达标排放。</w:t>
      </w:r>
    </w:p>
    <w:p w14:paraId="63DF52A0" w14:textId="77777777" w:rsidR="002133E3" w:rsidRDefault="00C22CFA">
      <w:pPr>
        <w:widowControl/>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(2) </w:t>
      </w:r>
      <w:r>
        <w:rPr>
          <w:rFonts w:ascii="Times New Roman" w:eastAsia="宋体" w:hAnsi="Times New Roman" w:cs="Times New Roman"/>
          <w:kern w:val="0"/>
          <w:sz w:val="28"/>
          <w:szCs w:val="28"/>
        </w:rPr>
        <w:t>项目需进行安全生产评价，并按照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安评</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的要求布置改扩建工程和进行危险化学品贮存、运输，尽可能将事故风险降至最低，同时必须制定完善的风险防范措施及应急预案。</w:t>
      </w:r>
    </w:p>
    <w:p w14:paraId="0971A503" w14:textId="77777777" w:rsidR="002133E3" w:rsidRDefault="00C22CFA">
      <w:pPr>
        <w:widowControl/>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(3) </w:t>
      </w:r>
      <w:r>
        <w:rPr>
          <w:rFonts w:ascii="Times New Roman" w:eastAsia="宋体" w:hAnsi="Times New Roman" w:cs="Times New Roman"/>
          <w:kern w:val="0"/>
          <w:sz w:val="28"/>
          <w:szCs w:val="28"/>
        </w:rPr>
        <w:t>项目需针对环保设施进行安全评价，并按照</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安评</w:t>
      </w:r>
      <w:r>
        <w:rPr>
          <w:rFonts w:ascii="Times New Roman" w:eastAsia="宋体" w:hAnsi="Times New Roman" w:cs="Times New Roman"/>
          <w:kern w:val="0"/>
          <w:sz w:val="28"/>
          <w:szCs w:val="28"/>
        </w:rPr>
        <w:t>”</w:t>
      </w:r>
      <w:r>
        <w:rPr>
          <w:rFonts w:ascii="Times New Roman" w:eastAsia="宋体" w:hAnsi="Times New Roman" w:cs="Times New Roman"/>
          <w:kern w:val="0"/>
          <w:sz w:val="28"/>
          <w:szCs w:val="28"/>
        </w:rPr>
        <w:t>的要求布置改扩建工程环保设施及运行。</w:t>
      </w:r>
    </w:p>
    <w:p w14:paraId="67D4123E" w14:textId="77777777" w:rsidR="002133E3" w:rsidRDefault="00C22CFA">
      <w:pPr>
        <w:widowControl/>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(4) </w:t>
      </w:r>
      <w:r>
        <w:rPr>
          <w:rFonts w:ascii="Times New Roman" w:eastAsia="宋体" w:hAnsi="Times New Roman" w:cs="Times New Roman"/>
          <w:kern w:val="0"/>
          <w:sz w:val="28"/>
          <w:szCs w:val="28"/>
        </w:rPr>
        <w:t>加强对化学品的妥善保管，制定严格的管理制度；对企业的设备维护应纳入平时的工作日程；全厂树立良好的安全和环保意识，并采用严格的管理制度进行监督。</w:t>
      </w:r>
    </w:p>
    <w:p w14:paraId="4DCCD087" w14:textId="77777777" w:rsidR="002133E3" w:rsidRDefault="00C22CFA">
      <w:pPr>
        <w:widowControl/>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(5) </w:t>
      </w:r>
      <w:r>
        <w:rPr>
          <w:rFonts w:ascii="Times New Roman" w:eastAsia="宋体" w:hAnsi="Times New Roman" w:cs="Times New Roman"/>
          <w:kern w:val="0"/>
          <w:sz w:val="28"/>
          <w:szCs w:val="28"/>
        </w:rPr>
        <w:t>严格落实有关风险防范措施，在生产及储存场所设置泄漏报警装置等，使危险事故发生时危害减小到最低限度。</w:t>
      </w:r>
    </w:p>
    <w:p w14:paraId="4568BC7C" w14:textId="77777777" w:rsidR="002133E3" w:rsidRDefault="00C22CFA">
      <w:pPr>
        <w:widowControl/>
        <w:adjustRightInd w:val="0"/>
        <w:snapToGrid w:val="0"/>
        <w:spacing w:line="500" w:lineRule="atLeast"/>
        <w:ind w:firstLineChars="200" w:firstLine="560"/>
        <w:jc w:val="left"/>
        <w:rPr>
          <w:rFonts w:ascii="Times New Roman" w:eastAsia="宋体" w:hAnsi="Times New Roman" w:cs="Times New Roman"/>
          <w:kern w:val="0"/>
          <w:sz w:val="28"/>
          <w:szCs w:val="28"/>
        </w:rPr>
      </w:pPr>
      <w:r>
        <w:rPr>
          <w:rFonts w:ascii="Times New Roman" w:eastAsia="宋体" w:hAnsi="Times New Roman" w:cs="Times New Roman"/>
          <w:kern w:val="0"/>
          <w:sz w:val="28"/>
          <w:szCs w:val="28"/>
        </w:rPr>
        <w:t xml:space="preserve">(6) </w:t>
      </w:r>
      <w:r>
        <w:rPr>
          <w:rFonts w:ascii="Times New Roman" w:eastAsia="宋体" w:hAnsi="Times New Roman" w:cs="Times New Roman"/>
          <w:kern w:val="0"/>
          <w:sz w:val="28"/>
          <w:szCs w:val="28"/>
        </w:rPr>
        <w:t>提高工艺操作条件，对无组织排放源加强管理，对设备、管道、阀门经常检查、检修，保持装置气密性良好。</w:t>
      </w:r>
    </w:p>
    <w:p w14:paraId="5E13BB09" w14:textId="77777777" w:rsidR="002133E3" w:rsidRDefault="002133E3">
      <w:pPr>
        <w:pStyle w:val="affff3"/>
        <w:tabs>
          <w:tab w:val="left" w:pos="567"/>
        </w:tabs>
        <w:ind w:left="567" w:firstLineChars="0" w:firstLine="0"/>
        <w:outlineLvl w:val="1"/>
        <w:rPr>
          <w:rFonts w:ascii="Times New Roman" w:hAnsi="Times New Roman" w:cs="Times New Roman"/>
        </w:rPr>
      </w:pPr>
    </w:p>
    <w:p w14:paraId="35FB27E1" w14:textId="77777777" w:rsidR="002133E3" w:rsidRDefault="002133E3">
      <w:pPr>
        <w:pStyle w:val="affff3"/>
        <w:ind w:firstLineChars="0" w:firstLine="0"/>
        <w:outlineLvl w:val="0"/>
        <w:rPr>
          <w:rFonts w:ascii="Times New Roman" w:eastAsia="宋体" w:hAnsi="Times New Roman" w:cs="Times New Roman"/>
          <w:b/>
          <w:sz w:val="30"/>
          <w:szCs w:val="30"/>
        </w:rPr>
      </w:pPr>
    </w:p>
    <w:p w14:paraId="7F35B3E2" w14:textId="77777777" w:rsidR="002133E3" w:rsidRDefault="002133E3">
      <w:pPr>
        <w:rPr>
          <w:rFonts w:ascii="Times New Roman" w:eastAsia="宋体" w:hAnsi="Times New Roman" w:cs="Times New Roman"/>
        </w:rPr>
      </w:pPr>
    </w:p>
    <w:p w14:paraId="4A42DA70" w14:textId="77777777" w:rsidR="002133E3" w:rsidRDefault="002133E3">
      <w:pPr>
        <w:rPr>
          <w:rFonts w:ascii="Times New Roman" w:eastAsia="宋体" w:hAnsi="Times New Roman" w:cs="Times New Roman"/>
        </w:rPr>
      </w:pPr>
    </w:p>
    <w:sectPr w:rsidR="002133E3">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032A04" w14:textId="77777777" w:rsidR="00F553A8" w:rsidRDefault="00F553A8">
      <w:r>
        <w:separator/>
      </w:r>
    </w:p>
  </w:endnote>
  <w:endnote w:type="continuationSeparator" w:id="0">
    <w:p w14:paraId="52C110D4" w14:textId="77777777" w:rsidR="00F553A8" w:rsidRDefault="00F553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楷体_GB2312">
    <w:altName w:val="楷体"/>
    <w:charset w:val="86"/>
    <w:family w:val="modern"/>
    <w:pitch w:val="default"/>
    <w:sig w:usb0="00000000" w:usb1="00000000" w:usb2="0000000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default"/>
    <w:sig w:usb0="00000000" w:usb1="0000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华文行楷">
    <w:panose1 w:val="02010800040101010101"/>
    <w:charset w:val="86"/>
    <w:family w:val="auto"/>
    <w:pitch w:val="variable"/>
    <w:sig w:usb0="00000001" w:usb1="080F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ˎ̥">
    <w:altName w:val="Times New Roman"/>
    <w:charset w:val="00"/>
    <w:family w:val="modern"/>
    <w:pitch w:val="default"/>
    <w:sig w:usb0="00000000" w:usb1="00000000" w:usb2="00000000" w:usb3="00000000" w:csb0="00040001" w:csb1="00000000"/>
  </w:font>
  <w:font w:name="华文细黑">
    <w:panose1 w:val="02010600040101010101"/>
    <w:charset w:val="86"/>
    <w:family w:val="auto"/>
    <w:pitch w:val="variable"/>
    <w:sig w:usb0="00000287" w:usb1="080F0000" w:usb2="00000010" w:usb3="00000000" w:csb0="0004009F" w:csb1="00000000"/>
  </w:font>
  <w:font w:name="华文楷体">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Alaska">
    <w:altName w:val="Tahoma"/>
    <w:charset w:val="00"/>
    <w:family w:val="swiss"/>
    <w:pitch w:val="default"/>
    <w:sig w:usb0="00000000" w:usb1="00000000" w:usb2="00000000" w:usb3="00000000" w:csb0="00000011" w:csb1="00000000"/>
  </w:font>
  <w:font w:name="华文中宋">
    <w:panose1 w:val="02010600040101010101"/>
    <w:charset w:val="86"/>
    <w:family w:val="auto"/>
    <w:pitch w:val="variable"/>
    <w:sig w:usb0="00000287" w:usb1="080F0000" w:usb2="00000010" w:usb3="00000000" w:csb0="0004009F" w:csb1="00000000"/>
  </w:font>
  <w:font w:name="幼圆">
    <w:panose1 w:val="02010509060101010101"/>
    <w:charset w:val="86"/>
    <w:family w:val="modern"/>
    <w:pitch w:val="fixed"/>
    <w:sig w:usb0="00000001" w:usb1="080E0000" w:usb2="00000010" w:usb3="00000000" w:csb0="00040000" w:csb1="00000000"/>
  </w:font>
  <w:font w:name="文鼎粗行楷简">
    <w:altName w:val="宋体"/>
    <w:charset w:val="86"/>
    <w:family w:val="roman"/>
    <w:pitch w:val="default"/>
    <w:sig w:usb0="00000000" w:usb1="00000000" w:usb2="00000010" w:usb3="00000000" w:csb0="00040000" w:csb1="00000000"/>
  </w:font>
  <w:font w:name="仿宋体">
    <w:altName w:val="宋体"/>
    <w:charset w:val="86"/>
    <w:family w:val="roman"/>
    <w:pitch w:val="default"/>
    <w:sig w:usb0="00000000" w:usb1="00000000" w:usb2="00000010" w:usb3="00000000" w:csb0="00040000" w:csb1="00000000"/>
  </w:font>
  <w:font w:name="??">
    <w:altName w:val="Times New Roman"/>
    <w:charset w:val="00"/>
    <w:family w:val="roman"/>
    <w:pitch w:val="default"/>
    <w:sig w:usb0="00000000" w:usb1="00000000" w:usb2="00000000" w:usb3="00000000" w:csb0="00040001" w:csb1="00000000"/>
  </w:font>
  <w:font w:name="Bookman Old Style">
    <w:panose1 w:val="02050604050505020204"/>
    <w:charset w:val="00"/>
    <w:family w:val="roman"/>
    <w:pitch w:val="variable"/>
    <w:sig w:usb0="00000287" w:usb1="00000000" w:usb2="00000000" w:usb3="00000000" w:csb0="0000009F" w:csb1="00000000"/>
  </w:font>
  <w:font w:name="MS Shell Dlg">
    <w:panose1 w:val="020B0604020202020204"/>
    <w:charset w:val="00"/>
    <w:family w:val="swiss"/>
    <w:pitch w:val="default"/>
    <w:sig w:usb0="00000000" w:usb1="00000000" w:usb2="00000029" w:usb3="00000000" w:csb0="000101FF" w:csb1="00000000"/>
  </w:font>
  <w:font w:name="Microsoft YaHei UI">
    <w:panose1 w:val="020B0503020204020204"/>
    <w:charset w:val="86"/>
    <w:family w:val="swiss"/>
    <w:pitch w:val="variable"/>
    <w:sig w:usb0="80000287" w:usb1="28CF3C52" w:usb2="00000016" w:usb3="00000000" w:csb0="0004001F" w:csb1="00000000"/>
  </w:font>
  <w:font w:name="Verdana">
    <w:panose1 w:val="020B0604030504040204"/>
    <w:charset w:val="00"/>
    <w:family w:val="swiss"/>
    <w:pitch w:val="variable"/>
    <w:sig w:usb0="A10006FF" w:usb1="4000205B" w:usb2="00000010" w:usb3="00000000" w:csb0="0000019F" w:csb1="00000000"/>
  </w:font>
  <w:font w:name="文鼎CS中黑">
    <w:altName w:val="宋体"/>
    <w:charset w:val="86"/>
    <w:family w:val="roman"/>
    <w:pitch w:val="default"/>
    <w:sig w:usb0="00000000" w:usb1="00000000" w:usb2="00000010" w:usb3="00000000" w:csb0="00040000" w:csb1="00000000"/>
  </w:font>
  <w:font w:name="汉鼎简特宋">
    <w:altName w:val="宋体"/>
    <w:charset w:val="86"/>
    <w:family w:val="modern"/>
    <w:pitch w:val="default"/>
    <w:sig w:usb0="00000000" w:usb1="0000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Tms Rmn">
    <w:panose1 w:val="02020603040505020304"/>
    <w:charset w:val="00"/>
    <w:family w:val="roman"/>
    <w:pitch w:val="default"/>
    <w:sig w:usb0="00000000" w:usb1="00000000" w:usb2="00000000" w:usb3="00000000" w:csb0="00000001" w:csb1="00000000"/>
  </w:font>
  <w:font w:name="新宋体">
    <w:panose1 w:val="02010609030101010101"/>
    <w:charset w:val="86"/>
    <w:family w:val="modern"/>
    <w:pitch w:val="fixed"/>
    <w:sig w:usb0="00000003" w:usb1="288F0000" w:usb2="00000016" w:usb3="00000000" w:csb0="00040001" w:csb1="00000000"/>
  </w:font>
  <w:font w:name="Courier">
    <w:panose1 w:val="02070409020205020404"/>
    <w:charset w:val="00"/>
    <w:family w:val="modern"/>
    <w:pitch w:val="default"/>
    <w:sig w:usb0="00000000" w:usb1="00000000" w:usb2="00000000" w:usb3="00000000" w:csb0="00000001" w:csb1="00000000"/>
  </w:font>
  <w:font w:name="”“Times New Roman”“">
    <w:altName w:val="宋体"/>
    <w:charset w:val="86"/>
    <w:family w:val="decorative"/>
    <w:pitch w:val="default"/>
    <w:sig w:usb0="00000000" w:usb1="00000000" w:usb2="00000010" w:usb3="00000000" w:csb0="00040000" w:csb1="00000000"/>
  </w:font>
  <w:font w:name="五">
    <w:altName w:val="黑体"/>
    <w:charset w:val="86"/>
    <w:family w:val="auto"/>
    <w:pitch w:val="default"/>
    <w:sig w:usb0="00000000" w:usb1="0000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Rounded MT Bold">
    <w:panose1 w:val="020F0704030504030204"/>
    <w:charset w:val="00"/>
    <w:family w:val="swiss"/>
    <w:pitch w:val="variable"/>
    <w:sig w:usb0="00000003" w:usb1="00000000" w:usb2="00000000" w:usb3="00000000" w:csb0="00000001" w:csb1="00000000"/>
  </w:font>
  <w:font w:name="汉鼎简书宋">
    <w:altName w:val="宋体"/>
    <w:charset w:val="86"/>
    <w:family w:val="modern"/>
    <w:pitch w:val="default"/>
    <w:sig w:usb0="00000000" w:usb1="00000000" w:usb2="00000010" w:usb3="00000000" w:csb0="00040000" w:csb1="00000000"/>
  </w:font>
  <w:font w:name="DF Kai Shu">
    <w:altName w:val="宋体"/>
    <w:charset w:val="86"/>
    <w:family w:val="script"/>
    <w:pitch w:val="default"/>
    <w:sig w:usb0="00000000" w:usb1="00000000" w:usb2="00000010" w:usb3="00000000" w:csb0="00040000" w:csb1="00000000"/>
  </w:font>
  <w:font w:name="文鼎CS大宋">
    <w:altName w:val="宋体"/>
    <w:charset w:val="86"/>
    <w:family w:val="modern"/>
    <w:pitch w:val="default"/>
    <w:sig w:usb0="00000000" w:usb1="00000000" w:usb2="00000010" w:usb3="00000000" w:csb0="00040000" w:csb1="00000000"/>
  </w:font>
  <w:font w:name="方正小标宋_GBK">
    <w:altName w:val="宋体"/>
    <w:charset w:val="86"/>
    <w:family w:val="script"/>
    <w:pitch w:val="default"/>
    <w:sig w:usb0="00000000" w:usb1="00000000" w:usb2="00000010" w:usb3="00000000" w:csb0="00040000" w:csb1="00000000"/>
  </w:font>
  <w:font w:name="Angsana New">
    <w:panose1 w:val="02020603050405020304"/>
    <w:charset w:val="00"/>
    <w:family w:val="roman"/>
    <w:pitch w:val="variable"/>
    <w:sig w:usb0="81000003" w:usb1="00000000" w:usb2="00000000" w:usb3="00000000" w:csb0="00010001" w:csb1="00000000"/>
  </w:font>
  <w:font w:name="Sim Sun+ 2">
    <w:altName w:val="宋体"/>
    <w:charset w:val="86"/>
    <w:family w:val="swiss"/>
    <w:pitch w:val="default"/>
    <w:sig w:usb0="00000000" w:usb1="00000000" w:usb2="00000010" w:usb3="00000000" w:csb0="00040000" w:csb1="00000000"/>
  </w:font>
  <w:font w:name="Symusic">
    <w:panose1 w:val="00000400000000000000"/>
    <w:charset w:val="00"/>
    <w:family w:val="auto"/>
    <w:pitch w:val="variable"/>
    <w:sig w:usb0="20002A87" w:usb1="00000000" w:usb2="00000000" w:usb3="00000000" w:csb0="000001FF" w:csb1="00000000"/>
  </w:font>
  <w:font w:name="方正仿宋_GBK">
    <w:altName w:val="微软雅黑"/>
    <w:charset w:val="86"/>
    <w:family w:val="script"/>
    <w:pitch w:val="default"/>
    <w:sig w:usb0="00000000" w:usb1="00000000" w:usb2="00000010" w:usb3="00000000" w:csb0="003C0041" w:csb1="00000000"/>
  </w:font>
  <w:font w:name="隶书">
    <w:panose1 w:val="02010509060101010101"/>
    <w:charset w:val="86"/>
    <w:family w:val="modern"/>
    <w:pitch w:val="fixed"/>
    <w:sig w:usb0="00000001" w:usb1="080E0000" w:usb2="00000010" w:usb3="00000000" w:csb0="00040000" w:csb1="00000000"/>
  </w:font>
  <w:font w:name="方正宋三简体">
    <w:altName w:val="宋体"/>
    <w:charset w:val="86"/>
    <w:family w:val="script"/>
    <w:pitch w:val="default"/>
    <w:sig w:usb0="00000000" w:usb1="00000000" w:usb2="00000010" w:usb3="00000000" w:csb0="00040000" w:csb1="00000000"/>
  </w:font>
  <w:font w:name="文鼎大标宋简">
    <w:altName w:val="宋体"/>
    <w:charset w:val="86"/>
    <w:family w:val="modern"/>
    <w:pitch w:val="default"/>
    <w:sig w:usb0="00000000" w:usb1="0000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Microsoft Himalaya">
    <w:panose1 w:val="01010100010101010101"/>
    <w:charset w:val="00"/>
    <w:family w:val="auto"/>
    <w:pitch w:val="variable"/>
    <w:sig w:usb0="80000003" w:usb1="00010000" w:usb2="00000040" w:usb3="00000000" w:csb0="00000001" w:csb1="00000000"/>
  </w:font>
  <w:font w:name="FZSSK--GBK1-0">
    <w:altName w:val="Times New Roman"/>
    <w:charset w:val="00"/>
    <w:family w:val="roman"/>
    <w:pitch w:val="default"/>
    <w:sig w:usb0="00000000" w:usb1="00000000" w:usb2="00000000" w:usb3="00000000" w:csb0="00040001" w:csb1="00000000"/>
  </w:font>
  <w:font w:name="E-BZ">
    <w:altName w:val="微软雅黑"/>
    <w:charset w:val="00"/>
    <w:family w:val="roman"/>
    <w:pitch w:val="default"/>
    <w:sig w:usb0="00000000" w:usb1="00000000" w:usb2="00000000" w:usb3="00000000" w:csb0="00040001" w:csb1="00000000"/>
  </w:font>
  <w:font w:name="文鼎CS中宋">
    <w:altName w:val="宋体"/>
    <w:charset w:val="86"/>
    <w:family w:val="modern"/>
    <w:pitch w:val="default"/>
    <w:sig w:usb0="00000000" w:usb1="00000000" w:usb2="00000010" w:usb3="00000000" w:csb0="00040000" w:csb1="00000000"/>
  </w:font>
  <w:font w:name="Georgia">
    <w:panose1 w:val="02040502050405020303"/>
    <w:charset w:val="00"/>
    <w:family w:val="roman"/>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華康中楷體">
    <w:altName w:val="PMingLiU"/>
    <w:charset w:val="88"/>
    <w:family w:val="modern"/>
    <w:pitch w:val="default"/>
    <w:sig w:usb0="00000000" w:usb1="00000000" w:usb2="00000010" w:usb3="00000000" w:csb0="00100000" w:csb1="00000000"/>
  </w:font>
  <w:font w:name="Gulim">
    <w:altName w:val="굴림"/>
    <w:panose1 w:val="020B0600000101010101"/>
    <w:charset w:val="81"/>
    <w:family w:val="swiss"/>
    <w:pitch w:val="variable"/>
    <w:sig w:usb0="B00002AF" w:usb1="69D77CFB" w:usb2="00000030" w:usb3="00000000" w:csb0="0008009F" w:csb1="00000000"/>
  </w:font>
  <w:font w:name="MingLiU">
    <w:altName w:val="細明體"/>
    <w:panose1 w:val="02020509000000000000"/>
    <w:charset w:val="88"/>
    <w:family w:val="modern"/>
    <w:pitch w:val="fixed"/>
    <w:sig w:usb0="A00002FF" w:usb1="28CFFCFA" w:usb2="00000016" w:usb3="00000000" w:csb0="00100001" w:csb1="00000000"/>
  </w:font>
  <w:font w:name="TimesNewRomanPSMT">
    <w:altName w:val="Times New Roman"/>
    <w:charset w:val="00"/>
    <w:family w:val="auto"/>
    <w:pitch w:val="default"/>
    <w:sig w:usb0="00000000" w:usb1="00000000" w:usb2="00000000" w:usb3="00000000" w:csb0="00000001" w:csb1="00000000"/>
  </w:font>
  <w:font w:name="CommercialPi BT">
    <w:panose1 w:val="05020102010206080802"/>
    <w:charset w:val="02"/>
    <w:family w:val="roman"/>
    <w:pitch w:val="variable"/>
    <w:sig w:usb0="00000000" w:usb1="10000000" w:usb2="00000000" w:usb3="00000000" w:csb0="80000000" w:csb1="00000000"/>
  </w:font>
  <w:font w:name="PFAMNC+Arial">
    <w:altName w:val="宋体"/>
    <w:charset w:val="86"/>
    <w:family w:val="auto"/>
    <w:pitch w:val="default"/>
    <w:sig w:usb0="00000000" w:usb1="00000000" w:usb2="00000010" w:usb3="00000000" w:csb0="00040000" w:csb1="00000000"/>
  </w:font>
  <w:font w:name="DFKai-SB">
    <w:panose1 w:val="03000509000000000000"/>
    <w:charset w:val="88"/>
    <w:family w:val="script"/>
    <w:pitch w:val="fixed"/>
    <w:sig w:usb0="00000003" w:usb1="080E0000" w:usb2="00000016" w:usb3="00000000" w:csb0="00100001" w:csb1="00000000"/>
  </w:font>
  <w:font w:name="Abadi MT Condensed">
    <w:altName w:val="Swis721 Cn BT"/>
    <w:charset w:val="00"/>
    <w:family w:val="swiss"/>
    <w:pitch w:val="default"/>
    <w:sig w:usb0="00000000" w:usb1="00000000" w:usb2="00000000" w:usb3="00000000" w:csb0="00000001" w:csb1="00000000"/>
  </w:font>
  <w:font w:name="Sim Hei">
    <w:altName w:val="宋体"/>
    <w:charset w:val="86"/>
    <w:family w:val="auto"/>
    <w:pitch w:val="default"/>
    <w:sig w:usb0="00000000" w:usb1="00000000" w:usb2="00000010" w:usb3="00000000" w:csb0="00040000"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F2DDF" w14:textId="77777777" w:rsidR="00F553A8" w:rsidRDefault="00F553A8">
    <w:pPr>
      <w:pStyle w:val="aff2"/>
      <w:framePr w:wrap="around" w:vAnchor="text" w:hAnchor="margin" w:xAlign="center" w:y="1"/>
      <w:ind w:firstLine="360"/>
      <w:rPr>
        <w:rStyle w:val="afffc"/>
      </w:rPr>
    </w:pPr>
    <w:r>
      <w:fldChar w:fldCharType="begin"/>
    </w:r>
    <w:r>
      <w:rPr>
        <w:rStyle w:val="afffc"/>
      </w:rPr>
      <w:instrText xml:space="preserve">PAGE  </w:instrText>
    </w:r>
    <w:r>
      <w:fldChar w:fldCharType="separate"/>
    </w:r>
    <w:r>
      <w:rPr>
        <w:rStyle w:val="afffc"/>
      </w:rPr>
      <w:t>205</w:t>
    </w:r>
    <w:r>
      <w:fldChar w:fldCharType="end"/>
    </w:r>
  </w:p>
  <w:p w14:paraId="771F8B6A" w14:textId="77777777" w:rsidR="00F553A8" w:rsidRDefault="00F553A8">
    <w:pPr>
      <w:ind w:firstLine="360"/>
      <w:rPr>
        <w:sz w:val="18"/>
        <w:szCs w:val="20"/>
      </w:rPr>
    </w:pPr>
  </w:p>
  <w:p w14:paraId="103465AF" w14:textId="77777777" w:rsidR="00F553A8" w:rsidRDefault="00F553A8"/>
  <w:p w14:paraId="452DADEF" w14:textId="77777777" w:rsidR="00F553A8" w:rsidRDefault="00F553A8"/>
  <w:p w14:paraId="04768EFB" w14:textId="77777777" w:rsidR="00F553A8" w:rsidRDefault="00F553A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9AA8B7" w14:textId="77777777" w:rsidR="00F553A8" w:rsidRDefault="00F553A8">
    <w:pPr>
      <w:pStyle w:val="aff2"/>
      <w:pBdr>
        <w:top w:val="single" w:sz="4" w:space="1" w:color="auto"/>
      </w:pBdr>
      <w:ind w:firstLine="360"/>
      <w:jc w:val="both"/>
      <w:rPr>
        <w:rFonts w:ascii="Times New Roman" w:eastAsia="宋体" w:hAnsi="Times New Roman" w:cs="Times New Roman"/>
        <w:sz w:val="21"/>
        <w:szCs w:val="21"/>
      </w:rPr>
    </w:pPr>
    <w:r>
      <w:rPr>
        <w:rFonts w:ascii="Times New Roman" w:eastAsia="宋体" w:hAnsi="Times New Roman" w:cs="Times New Roman"/>
        <w:sz w:val="21"/>
        <w:szCs w:val="21"/>
      </w:rPr>
      <w:t>江苏智盛环境科技有限公司</w:t>
    </w:r>
    <w:r>
      <w:rPr>
        <w:rFonts w:ascii="Times New Roman" w:eastAsia="宋体" w:hAnsi="Times New Roman" w:cs="Times New Roman"/>
        <w:noProof/>
        <w:sz w:val="21"/>
        <w:szCs w:val="21"/>
      </w:rPr>
      <mc:AlternateContent>
        <mc:Choice Requires="wps">
          <w:drawing>
            <wp:anchor distT="0" distB="0" distL="114300" distR="114300" simplePos="0" relativeHeight="251657216" behindDoc="0" locked="0" layoutInCell="1" allowOverlap="1" wp14:anchorId="2E621703" wp14:editId="04199C8B">
              <wp:simplePos x="0" y="0"/>
              <wp:positionH relativeFrom="margin">
                <wp:posOffset>2611120</wp:posOffset>
              </wp:positionH>
              <wp:positionV relativeFrom="paragraph">
                <wp:posOffset>190500</wp:posOffset>
              </wp:positionV>
              <wp:extent cx="349250" cy="154940"/>
              <wp:effectExtent l="0" t="2540" r="0" b="4445"/>
              <wp:wrapNone/>
              <wp:docPr id="30" name="文本框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154940"/>
                      </a:xfrm>
                      <a:prstGeom prst="rect">
                        <a:avLst/>
                      </a:prstGeom>
                      <a:noFill/>
                      <a:ln>
                        <a:noFill/>
                      </a:ln>
                    </wps:spPr>
                    <wps:txbx>
                      <w:txbxContent>
                        <w:p w14:paraId="5463E37F" w14:textId="77777777" w:rsidR="00F553A8" w:rsidRDefault="00F553A8">
                          <w:pPr>
                            <w:pStyle w:val="aff2"/>
                            <w:ind w:firstLine="360"/>
                            <w:rPr>
                              <w:rStyle w:val="afffc"/>
                            </w:rPr>
                          </w:pPr>
                          <w:r>
                            <w:rPr>
                              <w:rFonts w:hint="eastAsia"/>
                            </w:rPr>
                            <w:fldChar w:fldCharType="begin"/>
                          </w:r>
                          <w:r>
                            <w:rPr>
                              <w:rStyle w:val="afffc"/>
                              <w:rFonts w:hint="eastAsia"/>
                            </w:rPr>
                            <w:instrText xml:space="preserve"> PAGE  \* MERGEFORMAT </w:instrText>
                          </w:r>
                          <w:r>
                            <w:rPr>
                              <w:rFonts w:hint="eastAsia"/>
                            </w:rPr>
                            <w:fldChar w:fldCharType="separate"/>
                          </w:r>
                          <w:r>
                            <w:t>97</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w14:anchorId="2E621703" id="_x0000_t202" coordsize="21600,21600" o:spt="202" path="m,l,21600r21600,l21600,xe">
              <v:stroke joinstyle="miter"/>
              <v:path gradientshapeok="t" o:connecttype="rect"/>
            </v:shapetype>
            <v:shape id="文本框 30" o:spid="_x0000_s1246" type="#_x0000_t202" style="position:absolute;left:0;text-align:left;margin-left:205.6pt;margin-top:15pt;width:27.5pt;height:12.2pt;z-index:2516572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" filled="f" stroked="f">
              <v:textbox style="mso-fit-shape-to-text:t" inset="0,0,0,0">
                <w:txbxContent>
                  <w:p w14:paraId="5463E37F" w14:textId="77777777" w:rsidR="00F553A8" w:rsidRDefault="00F553A8">
                    <w:pPr>
                      <w:pStyle w:val="aff2"/>
                      <w:ind w:firstLine="360"/>
                      <w:rPr>
                        <w:rStyle w:val="afffc"/>
                      </w:rPr>
                    </w:pPr>
                    <w:r>
                      <w:rPr>
                        <w:rFonts w:hint="eastAsia"/>
                      </w:rPr>
                      <w:fldChar w:fldCharType="begin"/>
                    </w:r>
                    <w:r>
                      <w:rPr>
                        <w:rStyle w:val="afffc"/>
                        <w:rFonts w:hint="eastAsia"/>
                      </w:rPr>
                      <w:instrText xml:space="preserve"> PAGE  \* MERGEFORMAT </w:instrText>
                    </w:r>
                    <w:r>
                      <w:rPr>
                        <w:rFonts w:hint="eastAsia"/>
                      </w:rPr>
                      <w:fldChar w:fldCharType="separate"/>
                    </w:r>
                    <w:r>
                      <w:t>97</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C90861" w14:textId="77777777" w:rsidR="00F553A8" w:rsidRDefault="00F553A8">
      <w:r>
        <w:separator/>
      </w:r>
    </w:p>
  </w:footnote>
  <w:footnote w:type="continuationSeparator" w:id="0">
    <w:p w14:paraId="360C6289" w14:textId="77777777" w:rsidR="00F553A8" w:rsidRDefault="00F553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BC5D6" w14:textId="77777777" w:rsidR="00F553A8" w:rsidRDefault="00F553A8">
    <w:pPr>
      <w:pStyle w:val="aff5"/>
      <w:jc w:val="left"/>
      <w:rPr>
        <w:sz w:val="21"/>
        <w:szCs w:val="21"/>
      </w:rPr>
    </w:pPr>
    <w:r>
      <w:rPr>
        <w:rFonts w:ascii="Times New Roman" w:eastAsia="宋体" w:hAnsi="Times New Roman" w:cs="Times New Roman"/>
        <w:kern w:val="0"/>
        <w:sz w:val="21"/>
        <w:szCs w:val="21"/>
      </w:rPr>
      <w:t>江苏金茂源生物化工有限责任公司</w:t>
    </w:r>
    <w:r>
      <w:rPr>
        <w:rFonts w:ascii="Times New Roman" w:eastAsia="宋体" w:hAnsi="Times New Roman" w:cs="Times New Roman" w:hint="eastAsia"/>
        <w:kern w:val="0"/>
        <w:sz w:val="21"/>
        <w:szCs w:val="21"/>
      </w:rPr>
      <w:t>酒精装置节能升级改造项目</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FFFFFF81"/>
    <w:lvl w:ilvl="0">
      <w:start w:val="1"/>
      <w:numFmt w:val="bullet"/>
      <w:pStyle w:val="4"/>
      <w:lvlText w:val=""/>
      <w:lvlJc w:val="left"/>
      <w:pPr>
        <w:tabs>
          <w:tab w:val="left" w:pos="1620"/>
        </w:tabs>
        <w:ind w:leftChars="600" w:left="1620" w:hangingChars="200" w:hanging="360"/>
      </w:pPr>
      <w:rPr>
        <w:rFonts w:ascii="Wingdings" w:hAnsi="Wingdings" w:hint="default"/>
      </w:rPr>
    </w:lvl>
  </w:abstractNum>
  <w:abstractNum w:abstractNumId="1" w15:restartNumberingAfterBreak="0">
    <w:nsid w:val="03840BF8"/>
    <w:multiLevelType w:val="multilevel"/>
    <w:tmpl w:val="03840BF8"/>
    <w:lvl w:ilvl="0">
      <w:start w:val="1"/>
      <w:numFmt w:val="decimalEnclosedCircle"/>
      <w:lvlText w:val="%1"/>
      <w:lvlJc w:val="left"/>
      <w:pPr>
        <w:ind w:left="360" w:hanging="360"/>
      </w:pPr>
      <w:rPr>
        <w:rFonts w:ascii="宋体" w:hAnsi="宋体" w:cs="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139B49CB"/>
    <w:multiLevelType w:val="multilevel"/>
    <w:tmpl w:val="139B49CB"/>
    <w:lvl w:ilvl="0">
      <w:start w:val="1"/>
      <w:numFmt w:val="decimal"/>
      <w:pStyle w:val="40"/>
      <w:lvlText w:val="%1"/>
      <w:lvlJc w:val="left"/>
      <w:pPr>
        <w:ind w:left="425" w:hanging="425"/>
      </w:pPr>
      <w:rPr>
        <w:rFonts w:hint="default"/>
        <w:sz w:val="32"/>
      </w:rPr>
    </w:lvl>
    <w:lvl w:ilvl="1">
      <w:start w:val="1"/>
      <w:numFmt w:val="decimal"/>
      <w:lvlText w:val="%1.%2"/>
      <w:lvlJc w:val="left"/>
      <w:pPr>
        <w:tabs>
          <w:tab w:val="left" w:pos="567"/>
        </w:tabs>
        <w:ind w:left="567" w:hanging="142"/>
      </w:pPr>
      <w:rPr>
        <w:rFonts w:hint="default"/>
        <w:sz w:val="30"/>
      </w:rPr>
    </w:lvl>
    <w:lvl w:ilvl="2">
      <w:start w:val="1"/>
      <w:numFmt w:val="decimal"/>
      <w:lvlText w:val="%1.%2.%3"/>
      <w:lvlJc w:val="left"/>
      <w:pPr>
        <w:tabs>
          <w:tab w:val="left" w:pos="851"/>
        </w:tabs>
        <w:ind w:left="851" w:firstLine="0"/>
      </w:pPr>
      <w:rPr>
        <w:rFonts w:hint="default"/>
        <w:sz w:val="28"/>
      </w:rPr>
    </w:lvl>
    <w:lvl w:ilvl="3">
      <w:start w:val="1"/>
      <w:numFmt w:val="decimal"/>
      <w:lvlText w:val="%1.%2.%3.%4"/>
      <w:lvlJc w:val="left"/>
      <w:pPr>
        <w:ind w:left="1560" w:hanging="708"/>
      </w:pPr>
      <w:rPr>
        <w:rFonts w:ascii="Times New Roman" w:eastAsia="宋体" w:hAnsi="Times New Roman" w:cs="Times New Roman" w:hint="default"/>
        <w:b/>
        <w:bCs/>
        <w:sz w:val="28"/>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8425A4B"/>
    <w:multiLevelType w:val="multilevel"/>
    <w:tmpl w:val="18425A4B"/>
    <w:lvl w:ilvl="0">
      <w:start w:val="1"/>
      <w:numFmt w:val="decimalEnclosedParen"/>
      <w:lvlText w:val="%1"/>
      <w:lvlJc w:val="left"/>
      <w:pPr>
        <w:ind w:left="920" w:hanging="360"/>
      </w:pPr>
      <w:rPr>
        <w:rFonts w:ascii="宋体" w:hAnsi="宋体" w:cs="宋体"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 w15:restartNumberingAfterBreak="0">
    <w:nsid w:val="39D4477D"/>
    <w:multiLevelType w:val="multilevel"/>
    <w:tmpl w:val="39D4477D"/>
    <w:lvl w:ilvl="0">
      <w:start w:val="1"/>
      <w:numFmt w:val="decimal"/>
      <w:lvlText w:val="(%1)"/>
      <w:lvlJc w:val="left"/>
      <w:pPr>
        <w:ind w:left="1134" w:hanging="283"/>
      </w:pPr>
      <w:rPr>
        <w:rFonts w:ascii="Times New Roman" w:eastAsia="仿宋" w:hAnsi="Times New Roman" w:cs="Times New Roman" w:hint="default"/>
        <w:sz w:val="28"/>
      </w:rPr>
    </w:lvl>
    <w:lvl w:ilvl="1">
      <w:start w:val="1"/>
      <w:numFmt w:val="lowerLetter"/>
      <w:lvlText w:val="%2)"/>
      <w:lvlJc w:val="left"/>
      <w:pPr>
        <w:ind w:left="1691" w:hanging="420"/>
      </w:pPr>
      <w:rPr>
        <w:rFonts w:hint="eastAsia"/>
      </w:rPr>
    </w:lvl>
    <w:lvl w:ilvl="2">
      <w:start w:val="1"/>
      <w:numFmt w:val="lowerRoman"/>
      <w:lvlText w:val="%3."/>
      <w:lvlJc w:val="right"/>
      <w:pPr>
        <w:ind w:left="2111" w:hanging="420"/>
      </w:pPr>
      <w:rPr>
        <w:rFonts w:hint="eastAsia"/>
      </w:rPr>
    </w:lvl>
    <w:lvl w:ilvl="3">
      <w:start w:val="1"/>
      <w:numFmt w:val="decimal"/>
      <w:lvlText w:val="%4."/>
      <w:lvlJc w:val="left"/>
      <w:pPr>
        <w:ind w:left="2531" w:hanging="420"/>
      </w:pPr>
      <w:rPr>
        <w:rFonts w:hint="eastAsia"/>
      </w:rPr>
    </w:lvl>
    <w:lvl w:ilvl="4">
      <w:start w:val="1"/>
      <w:numFmt w:val="lowerLetter"/>
      <w:lvlText w:val="%5)"/>
      <w:lvlJc w:val="left"/>
      <w:pPr>
        <w:ind w:left="2951" w:hanging="420"/>
      </w:pPr>
      <w:rPr>
        <w:rFonts w:hint="eastAsia"/>
      </w:rPr>
    </w:lvl>
    <w:lvl w:ilvl="5">
      <w:start w:val="1"/>
      <w:numFmt w:val="lowerRoman"/>
      <w:lvlText w:val="%6."/>
      <w:lvlJc w:val="right"/>
      <w:pPr>
        <w:ind w:left="3371" w:hanging="420"/>
      </w:pPr>
      <w:rPr>
        <w:rFonts w:hint="eastAsia"/>
      </w:rPr>
    </w:lvl>
    <w:lvl w:ilvl="6">
      <w:start w:val="1"/>
      <w:numFmt w:val="decimal"/>
      <w:lvlText w:val="%7."/>
      <w:lvlJc w:val="left"/>
      <w:pPr>
        <w:ind w:left="3791" w:hanging="420"/>
      </w:pPr>
      <w:rPr>
        <w:rFonts w:hint="eastAsia"/>
      </w:rPr>
    </w:lvl>
    <w:lvl w:ilvl="7">
      <w:start w:val="1"/>
      <w:numFmt w:val="lowerLetter"/>
      <w:lvlText w:val="%8)"/>
      <w:lvlJc w:val="left"/>
      <w:pPr>
        <w:ind w:left="4211" w:hanging="420"/>
      </w:pPr>
      <w:rPr>
        <w:rFonts w:hint="eastAsia"/>
      </w:rPr>
    </w:lvl>
    <w:lvl w:ilvl="8">
      <w:start w:val="1"/>
      <w:numFmt w:val="lowerRoman"/>
      <w:lvlText w:val="%9."/>
      <w:lvlJc w:val="right"/>
      <w:pPr>
        <w:ind w:left="4631" w:hanging="420"/>
      </w:pPr>
      <w:rPr>
        <w:rFonts w:hint="eastAsia"/>
      </w:rPr>
    </w:lvl>
  </w:abstractNum>
  <w:abstractNum w:abstractNumId="5" w15:restartNumberingAfterBreak="0">
    <w:nsid w:val="51D4690B"/>
    <w:multiLevelType w:val="multilevel"/>
    <w:tmpl w:val="51D4690B"/>
    <w:lvl w:ilvl="0">
      <w:start w:val="2"/>
      <w:numFmt w:val="decimal"/>
      <w:lvlText w:val="%1"/>
      <w:lvlJc w:val="left"/>
      <w:pPr>
        <w:tabs>
          <w:tab w:val="left" w:pos="425"/>
        </w:tabs>
        <w:ind w:left="425" w:hanging="425"/>
      </w:pPr>
      <w:rPr>
        <w:rFonts w:ascii="Times New Roman" w:eastAsia="宋体" w:hAnsi="Times New Roman" w:hint="default"/>
        <w:sz w:val="32"/>
      </w:rPr>
    </w:lvl>
    <w:lvl w:ilvl="1">
      <w:start w:val="1"/>
      <w:numFmt w:val="decimal"/>
      <w:lvlText w:val="%1.%2"/>
      <w:lvlJc w:val="left"/>
      <w:pPr>
        <w:tabs>
          <w:tab w:val="left" w:pos="567"/>
        </w:tabs>
        <w:ind w:left="567" w:hanging="567"/>
      </w:pPr>
      <w:rPr>
        <w:rFonts w:ascii="Times New Roman" w:eastAsia="宋体" w:hAnsi="Times New Roman" w:hint="default"/>
        <w:sz w:val="30"/>
      </w:rPr>
    </w:lvl>
    <w:lvl w:ilvl="2">
      <w:start w:val="1"/>
      <w:numFmt w:val="decimal"/>
      <w:lvlText w:val="%1.%2.%3"/>
      <w:lvlJc w:val="left"/>
      <w:pPr>
        <w:tabs>
          <w:tab w:val="left" w:pos="851"/>
        </w:tabs>
        <w:ind w:left="851" w:hanging="851"/>
      </w:pPr>
      <w:rPr>
        <w:rFonts w:ascii="Times New Roman" w:eastAsia="宋体" w:hAnsi="Times New Roman" w:hint="default"/>
        <w:sz w:val="28"/>
      </w:rPr>
    </w:lvl>
    <w:lvl w:ilvl="3">
      <w:start w:val="1"/>
      <w:numFmt w:val="decimal"/>
      <w:lvlText w:val="%1.%2.%3.%4"/>
      <w:lvlJc w:val="left"/>
      <w:pPr>
        <w:tabs>
          <w:tab w:val="left" w:pos="851"/>
        </w:tabs>
        <w:ind w:left="851" w:hanging="851"/>
      </w:pPr>
      <w:rPr>
        <w:rFonts w:ascii="Times New Roman" w:eastAsia="宋体" w:hAnsi="Times New Roman" w:hint="default"/>
        <w:sz w:val="28"/>
      </w:rPr>
    </w:lvl>
    <w:lvl w:ilvl="4">
      <w:start w:val="1"/>
      <w:numFmt w:val="decimal"/>
      <w:pStyle w:val="BodyText22"/>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5C487926"/>
    <w:multiLevelType w:val="multilevel"/>
    <w:tmpl w:val="5C487926"/>
    <w:lvl w:ilvl="0">
      <w:start w:val="1"/>
      <w:numFmt w:val="decimalEnclosedParen"/>
      <w:lvlText w:val="%1"/>
      <w:lvlJc w:val="left"/>
      <w:pPr>
        <w:ind w:left="920" w:hanging="36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7" w15:restartNumberingAfterBreak="0">
    <w:nsid w:val="6B600B93"/>
    <w:multiLevelType w:val="multilevel"/>
    <w:tmpl w:val="6B600B93"/>
    <w:lvl w:ilvl="0">
      <w:start w:val="1"/>
      <w:numFmt w:val="decimal"/>
      <w:lvlText w:val="(%1)"/>
      <w:lvlJc w:val="left"/>
      <w:pPr>
        <w:ind w:left="1316" w:hanging="465"/>
      </w:pPr>
      <w:rPr>
        <w:rFonts w:hint="default"/>
      </w:rPr>
    </w:lvl>
    <w:lvl w:ilvl="1">
      <w:start w:val="1"/>
      <w:numFmt w:val="lowerLetter"/>
      <w:lvlText w:val="%2)"/>
      <w:lvlJc w:val="left"/>
      <w:pPr>
        <w:ind w:left="1691" w:hanging="420"/>
      </w:pPr>
    </w:lvl>
    <w:lvl w:ilvl="2">
      <w:start w:val="1"/>
      <w:numFmt w:val="lowerRoman"/>
      <w:lvlText w:val="%3."/>
      <w:lvlJc w:val="right"/>
      <w:pPr>
        <w:ind w:left="2111" w:hanging="420"/>
      </w:pPr>
    </w:lvl>
    <w:lvl w:ilvl="3">
      <w:start w:val="1"/>
      <w:numFmt w:val="decimal"/>
      <w:lvlText w:val="%4."/>
      <w:lvlJc w:val="left"/>
      <w:pPr>
        <w:ind w:left="2531" w:hanging="420"/>
      </w:pPr>
    </w:lvl>
    <w:lvl w:ilvl="4">
      <w:start w:val="1"/>
      <w:numFmt w:val="lowerLetter"/>
      <w:lvlText w:val="%5)"/>
      <w:lvlJc w:val="left"/>
      <w:pPr>
        <w:ind w:left="2951" w:hanging="420"/>
      </w:pPr>
    </w:lvl>
    <w:lvl w:ilvl="5">
      <w:start w:val="1"/>
      <w:numFmt w:val="lowerRoman"/>
      <w:lvlText w:val="%6."/>
      <w:lvlJc w:val="right"/>
      <w:pPr>
        <w:ind w:left="3371" w:hanging="420"/>
      </w:pPr>
    </w:lvl>
    <w:lvl w:ilvl="6">
      <w:start w:val="1"/>
      <w:numFmt w:val="decimal"/>
      <w:lvlText w:val="%7."/>
      <w:lvlJc w:val="left"/>
      <w:pPr>
        <w:ind w:left="3791" w:hanging="420"/>
      </w:pPr>
    </w:lvl>
    <w:lvl w:ilvl="7">
      <w:start w:val="1"/>
      <w:numFmt w:val="lowerLetter"/>
      <w:lvlText w:val="%8)"/>
      <w:lvlJc w:val="left"/>
      <w:pPr>
        <w:ind w:left="4211" w:hanging="420"/>
      </w:pPr>
    </w:lvl>
    <w:lvl w:ilvl="8">
      <w:start w:val="1"/>
      <w:numFmt w:val="lowerRoman"/>
      <w:lvlText w:val="%9."/>
      <w:lvlJc w:val="right"/>
      <w:pPr>
        <w:ind w:left="4631" w:hanging="420"/>
      </w:pPr>
    </w:lvl>
  </w:abstractNum>
  <w:abstractNum w:abstractNumId="8" w15:restartNumberingAfterBreak="0">
    <w:nsid w:val="759952CE"/>
    <w:multiLevelType w:val="multilevel"/>
    <w:tmpl w:val="759952CE"/>
    <w:lvl w:ilvl="0">
      <w:numFmt w:val="bullet"/>
      <w:lvlText w:val=""/>
      <w:lvlJc w:val="left"/>
      <w:pPr>
        <w:tabs>
          <w:tab w:val="left" w:pos="1022"/>
        </w:tabs>
        <w:ind w:left="1022" w:hanging="360"/>
      </w:pPr>
      <w:rPr>
        <w:rFonts w:ascii="Symbol" w:eastAsia="楷体_GB2312" w:hAnsi="Symbol" w:cs="Times New Roman" w:hint="default"/>
        <w:color w:val="auto"/>
      </w:rPr>
    </w:lvl>
    <w:lvl w:ilvl="1">
      <w:start w:val="1"/>
      <w:numFmt w:val="bullet"/>
      <w:lvlText w:val=""/>
      <w:lvlJc w:val="left"/>
      <w:pPr>
        <w:tabs>
          <w:tab w:val="left" w:pos="1400"/>
        </w:tabs>
        <w:ind w:left="1400" w:hanging="420"/>
      </w:pPr>
      <w:rPr>
        <w:rFonts w:ascii="Wingdings" w:hAnsi="Wingdings" w:hint="default"/>
      </w:rPr>
    </w:lvl>
    <w:lvl w:ilvl="2">
      <w:start w:val="1"/>
      <w:numFmt w:val="bullet"/>
      <w:lvlText w:val=""/>
      <w:lvlJc w:val="left"/>
      <w:pPr>
        <w:tabs>
          <w:tab w:val="left" w:pos="1820"/>
        </w:tabs>
        <w:ind w:left="1820" w:hanging="420"/>
      </w:pPr>
      <w:rPr>
        <w:rFonts w:ascii="Wingdings" w:hAnsi="Wingdings" w:hint="default"/>
      </w:rPr>
    </w:lvl>
    <w:lvl w:ilvl="3">
      <w:start w:val="1"/>
      <w:numFmt w:val="bullet"/>
      <w:lvlText w:val=""/>
      <w:lvlJc w:val="left"/>
      <w:pPr>
        <w:tabs>
          <w:tab w:val="left" w:pos="2240"/>
        </w:tabs>
        <w:ind w:left="2240" w:hanging="420"/>
      </w:pPr>
      <w:rPr>
        <w:rFonts w:ascii="Wingdings" w:hAnsi="Wingdings" w:hint="default"/>
      </w:rPr>
    </w:lvl>
    <w:lvl w:ilvl="4">
      <w:start w:val="1"/>
      <w:numFmt w:val="bullet"/>
      <w:lvlText w:val=""/>
      <w:lvlJc w:val="left"/>
      <w:pPr>
        <w:tabs>
          <w:tab w:val="left" w:pos="2660"/>
        </w:tabs>
        <w:ind w:left="2660" w:hanging="420"/>
      </w:pPr>
      <w:rPr>
        <w:rFonts w:ascii="Wingdings" w:hAnsi="Wingdings" w:hint="default"/>
      </w:rPr>
    </w:lvl>
    <w:lvl w:ilvl="5">
      <w:start w:val="1"/>
      <w:numFmt w:val="bullet"/>
      <w:lvlText w:val=""/>
      <w:lvlJc w:val="left"/>
      <w:pPr>
        <w:tabs>
          <w:tab w:val="left" w:pos="3080"/>
        </w:tabs>
        <w:ind w:left="3080" w:hanging="420"/>
      </w:pPr>
      <w:rPr>
        <w:rFonts w:ascii="Wingdings" w:hAnsi="Wingdings" w:hint="default"/>
      </w:rPr>
    </w:lvl>
    <w:lvl w:ilvl="6">
      <w:start w:val="1"/>
      <w:numFmt w:val="bullet"/>
      <w:lvlText w:val=""/>
      <w:lvlJc w:val="left"/>
      <w:pPr>
        <w:tabs>
          <w:tab w:val="left" w:pos="3500"/>
        </w:tabs>
        <w:ind w:left="3500" w:hanging="420"/>
      </w:pPr>
      <w:rPr>
        <w:rFonts w:ascii="Wingdings" w:hAnsi="Wingdings" w:hint="default"/>
      </w:rPr>
    </w:lvl>
    <w:lvl w:ilvl="7">
      <w:start w:val="1"/>
      <w:numFmt w:val="bullet"/>
      <w:lvlText w:val=""/>
      <w:lvlJc w:val="left"/>
      <w:pPr>
        <w:tabs>
          <w:tab w:val="left" w:pos="3920"/>
        </w:tabs>
        <w:ind w:left="3920" w:hanging="420"/>
      </w:pPr>
      <w:rPr>
        <w:rFonts w:ascii="Wingdings" w:hAnsi="Wingdings" w:hint="default"/>
      </w:rPr>
    </w:lvl>
    <w:lvl w:ilvl="8">
      <w:start w:val="1"/>
      <w:numFmt w:val="bullet"/>
      <w:lvlText w:val=""/>
      <w:lvlJc w:val="left"/>
      <w:pPr>
        <w:tabs>
          <w:tab w:val="left" w:pos="4340"/>
        </w:tabs>
        <w:ind w:left="4340" w:hanging="420"/>
      </w:pPr>
      <w:rPr>
        <w:rFonts w:ascii="Wingdings" w:hAnsi="Wingdings" w:hint="default"/>
      </w:rPr>
    </w:lvl>
  </w:abstractNum>
  <w:num w:numId="1">
    <w:abstractNumId w:val="0"/>
  </w:num>
  <w:num w:numId="2">
    <w:abstractNumId w:val="2"/>
  </w:num>
  <w:num w:numId="3">
    <w:abstractNumId w:val="5"/>
  </w:num>
  <w:num w:numId="4">
    <w:abstractNumId w:val="1"/>
  </w:num>
  <w:num w:numId="5">
    <w:abstractNumId w:val="4"/>
  </w:num>
  <w:num w:numId="6">
    <w:abstractNumId w:val="7"/>
  </w:num>
  <w:num w:numId="7">
    <w:abstractNumId w:val="6"/>
  </w:num>
  <w:num w:numId="8">
    <w:abstractNumId w:val="3"/>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hideSpellingErrors/>
  <w:proofState w:spelling="clean"/>
  <w:defaultTabStop w:val="420"/>
  <w:drawingGridVerticalSpacing w:val="156"/>
  <w:displayHorizontalDrawingGridEvery w:val="0"/>
  <w:displayVerticalDrawingGridEvery w:val="2"/>
  <w:characterSpacingControl w:val="compressPunctuation"/>
  <w:hdrShapeDefaults>
    <o:shapedefaults v:ext="edit" spidmax="409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23676"/>
    <w:rsid w:val="00000B97"/>
    <w:rsid w:val="00001FCA"/>
    <w:rsid w:val="0000333D"/>
    <w:rsid w:val="00006EB0"/>
    <w:rsid w:val="00012127"/>
    <w:rsid w:val="00017AC0"/>
    <w:rsid w:val="00030A2E"/>
    <w:rsid w:val="00030AAA"/>
    <w:rsid w:val="0003119A"/>
    <w:rsid w:val="000343CA"/>
    <w:rsid w:val="00037235"/>
    <w:rsid w:val="00040ED4"/>
    <w:rsid w:val="000418E0"/>
    <w:rsid w:val="00042763"/>
    <w:rsid w:val="000436C2"/>
    <w:rsid w:val="00047007"/>
    <w:rsid w:val="00047B6A"/>
    <w:rsid w:val="000500D5"/>
    <w:rsid w:val="0005033F"/>
    <w:rsid w:val="00051053"/>
    <w:rsid w:val="000525FD"/>
    <w:rsid w:val="00052971"/>
    <w:rsid w:val="000565EE"/>
    <w:rsid w:val="00061B4F"/>
    <w:rsid w:val="00066664"/>
    <w:rsid w:val="00067A6D"/>
    <w:rsid w:val="0007034D"/>
    <w:rsid w:val="000727FA"/>
    <w:rsid w:val="00077127"/>
    <w:rsid w:val="00077FFD"/>
    <w:rsid w:val="00085A06"/>
    <w:rsid w:val="000876F0"/>
    <w:rsid w:val="000900D0"/>
    <w:rsid w:val="00091051"/>
    <w:rsid w:val="00091B78"/>
    <w:rsid w:val="00093080"/>
    <w:rsid w:val="00095A8A"/>
    <w:rsid w:val="0009680D"/>
    <w:rsid w:val="000B249A"/>
    <w:rsid w:val="000B2CEC"/>
    <w:rsid w:val="000C4C90"/>
    <w:rsid w:val="000C58A0"/>
    <w:rsid w:val="000D1315"/>
    <w:rsid w:val="000E2730"/>
    <w:rsid w:val="000E3B7A"/>
    <w:rsid w:val="000E68BB"/>
    <w:rsid w:val="0010006D"/>
    <w:rsid w:val="0010179F"/>
    <w:rsid w:val="00102FEE"/>
    <w:rsid w:val="00110E9A"/>
    <w:rsid w:val="00112065"/>
    <w:rsid w:val="00113E1F"/>
    <w:rsid w:val="0012114B"/>
    <w:rsid w:val="00123877"/>
    <w:rsid w:val="0012755A"/>
    <w:rsid w:val="001347E9"/>
    <w:rsid w:val="00155CD7"/>
    <w:rsid w:val="00165B6E"/>
    <w:rsid w:val="0017030B"/>
    <w:rsid w:val="00170DEC"/>
    <w:rsid w:val="00171C07"/>
    <w:rsid w:val="0017215C"/>
    <w:rsid w:val="0017451E"/>
    <w:rsid w:val="00174E2B"/>
    <w:rsid w:val="001800FB"/>
    <w:rsid w:val="00181289"/>
    <w:rsid w:val="00181DA0"/>
    <w:rsid w:val="00185F34"/>
    <w:rsid w:val="001869A2"/>
    <w:rsid w:val="00192DED"/>
    <w:rsid w:val="001977C5"/>
    <w:rsid w:val="001A4627"/>
    <w:rsid w:val="001B04AA"/>
    <w:rsid w:val="001B0B8F"/>
    <w:rsid w:val="001B5AA8"/>
    <w:rsid w:val="001C1926"/>
    <w:rsid w:val="001D7857"/>
    <w:rsid w:val="001E1D90"/>
    <w:rsid w:val="001E21AA"/>
    <w:rsid w:val="001E266F"/>
    <w:rsid w:val="001E29DA"/>
    <w:rsid w:val="001E7A63"/>
    <w:rsid w:val="001F21D2"/>
    <w:rsid w:val="001F2256"/>
    <w:rsid w:val="001F440D"/>
    <w:rsid w:val="00200029"/>
    <w:rsid w:val="00203438"/>
    <w:rsid w:val="00205B60"/>
    <w:rsid w:val="002133E3"/>
    <w:rsid w:val="00214E09"/>
    <w:rsid w:val="00217C4D"/>
    <w:rsid w:val="00220E36"/>
    <w:rsid w:val="00221CD7"/>
    <w:rsid w:val="00221F2E"/>
    <w:rsid w:val="00227DC4"/>
    <w:rsid w:val="00230C50"/>
    <w:rsid w:val="00231A73"/>
    <w:rsid w:val="002350CD"/>
    <w:rsid w:val="0024095D"/>
    <w:rsid w:val="002460CE"/>
    <w:rsid w:val="00246DEB"/>
    <w:rsid w:val="00251D50"/>
    <w:rsid w:val="0025335D"/>
    <w:rsid w:val="002625D5"/>
    <w:rsid w:val="002630A4"/>
    <w:rsid w:val="00263F3A"/>
    <w:rsid w:val="002679AB"/>
    <w:rsid w:val="0027312E"/>
    <w:rsid w:val="00274316"/>
    <w:rsid w:val="002748AE"/>
    <w:rsid w:val="002753D8"/>
    <w:rsid w:val="002769A9"/>
    <w:rsid w:val="00281C3B"/>
    <w:rsid w:val="00283153"/>
    <w:rsid w:val="00283BA8"/>
    <w:rsid w:val="00290234"/>
    <w:rsid w:val="002909FA"/>
    <w:rsid w:val="00293C1A"/>
    <w:rsid w:val="00297F7F"/>
    <w:rsid w:val="002B2CA7"/>
    <w:rsid w:val="002B309E"/>
    <w:rsid w:val="002B3B19"/>
    <w:rsid w:val="002B7DC7"/>
    <w:rsid w:val="002C7CA1"/>
    <w:rsid w:val="002D0A84"/>
    <w:rsid w:val="002D3369"/>
    <w:rsid w:val="002D68C5"/>
    <w:rsid w:val="002D7DE8"/>
    <w:rsid w:val="002E0084"/>
    <w:rsid w:val="002E4B64"/>
    <w:rsid w:val="002F2B7F"/>
    <w:rsid w:val="0030074E"/>
    <w:rsid w:val="00300A0E"/>
    <w:rsid w:val="003025CC"/>
    <w:rsid w:val="00316C9A"/>
    <w:rsid w:val="00320255"/>
    <w:rsid w:val="00327C03"/>
    <w:rsid w:val="003321DD"/>
    <w:rsid w:val="00333ABE"/>
    <w:rsid w:val="00334742"/>
    <w:rsid w:val="00344B47"/>
    <w:rsid w:val="00353082"/>
    <w:rsid w:val="003602CD"/>
    <w:rsid w:val="003718D9"/>
    <w:rsid w:val="00376D8B"/>
    <w:rsid w:val="00383E13"/>
    <w:rsid w:val="0038552E"/>
    <w:rsid w:val="003A355D"/>
    <w:rsid w:val="003A39DD"/>
    <w:rsid w:val="003A6324"/>
    <w:rsid w:val="003B4781"/>
    <w:rsid w:val="003B4E33"/>
    <w:rsid w:val="003C08C9"/>
    <w:rsid w:val="003C0F75"/>
    <w:rsid w:val="003C2366"/>
    <w:rsid w:val="003C273A"/>
    <w:rsid w:val="003C2B40"/>
    <w:rsid w:val="003C464D"/>
    <w:rsid w:val="003C78D4"/>
    <w:rsid w:val="003D028E"/>
    <w:rsid w:val="003D1112"/>
    <w:rsid w:val="003D1821"/>
    <w:rsid w:val="003D28DB"/>
    <w:rsid w:val="003D48FC"/>
    <w:rsid w:val="003D7333"/>
    <w:rsid w:val="003E209F"/>
    <w:rsid w:val="003E6CE5"/>
    <w:rsid w:val="003F3672"/>
    <w:rsid w:val="00400E3B"/>
    <w:rsid w:val="00400EB6"/>
    <w:rsid w:val="004037D6"/>
    <w:rsid w:val="004037F7"/>
    <w:rsid w:val="004041BF"/>
    <w:rsid w:val="00410492"/>
    <w:rsid w:val="00410E86"/>
    <w:rsid w:val="0041428C"/>
    <w:rsid w:val="00421852"/>
    <w:rsid w:val="00426964"/>
    <w:rsid w:val="00436772"/>
    <w:rsid w:val="00436ACB"/>
    <w:rsid w:val="00436E8F"/>
    <w:rsid w:val="00451E8D"/>
    <w:rsid w:val="00455700"/>
    <w:rsid w:val="0045624D"/>
    <w:rsid w:val="0045730F"/>
    <w:rsid w:val="0046277D"/>
    <w:rsid w:val="00462A46"/>
    <w:rsid w:val="00464EC2"/>
    <w:rsid w:val="00465EB6"/>
    <w:rsid w:val="0046740B"/>
    <w:rsid w:val="00467BA8"/>
    <w:rsid w:val="00473D2C"/>
    <w:rsid w:val="00473E63"/>
    <w:rsid w:val="004811AA"/>
    <w:rsid w:val="00481D48"/>
    <w:rsid w:val="00483418"/>
    <w:rsid w:val="004866A3"/>
    <w:rsid w:val="00486A4A"/>
    <w:rsid w:val="004875BC"/>
    <w:rsid w:val="00491594"/>
    <w:rsid w:val="00491E30"/>
    <w:rsid w:val="0049539F"/>
    <w:rsid w:val="00495F5F"/>
    <w:rsid w:val="004A5794"/>
    <w:rsid w:val="004A78E0"/>
    <w:rsid w:val="004B0528"/>
    <w:rsid w:val="004B0A3B"/>
    <w:rsid w:val="004B629B"/>
    <w:rsid w:val="004C0160"/>
    <w:rsid w:val="004C61D5"/>
    <w:rsid w:val="004D3C76"/>
    <w:rsid w:val="004D6AC3"/>
    <w:rsid w:val="004D7D31"/>
    <w:rsid w:val="004E4B2E"/>
    <w:rsid w:val="004E7813"/>
    <w:rsid w:val="004F043E"/>
    <w:rsid w:val="004F3706"/>
    <w:rsid w:val="004F4B10"/>
    <w:rsid w:val="004F4BD0"/>
    <w:rsid w:val="004F7B8C"/>
    <w:rsid w:val="00515EC8"/>
    <w:rsid w:val="00516B77"/>
    <w:rsid w:val="00522482"/>
    <w:rsid w:val="005273B7"/>
    <w:rsid w:val="005314FC"/>
    <w:rsid w:val="00533763"/>
    <w:rsid w:val="005338F9"/>
    <w:rsid w:val="005341B2"/>
    <w:rsid w:val="00534A9E"/>
    <w:rsid w:val="00535544"/>
    <w:rsid w:val="00535966"/>
    <w:rsid w:val="00540B14"/>
    <w:rsid w:val="0054232C"/>
    <w:rsid w:val="00551C66"/>
    <w:rsid w:val="00555C8E"/>
    <w:rsid w:val="005635BD"/>
    <w:rsid w:val="00564B12"/>
    <w:rsid w:val="0056592D"/>
    <w:rsid w:val="00576F3B"/>
    <w:rsid w:val="00584C97"/>
    <w:rsid w:val="00596B95"/>
    <w:rsid w:val="005A3BD5"/>
    <w:rsid w:val="005B4C14"/>
    <w:rsid w:val="005C1927"/>
    <w:rsid w:val="005C203B"/>
    <w:rsid w:val="005C312E"/>
    <w:rsid w:val="005C3FCC"/>
    <w:rsid w:val="005C5A81"/>
    <w:rsid w:val="005D58FC"/>
    <w:rsid w:val="005D6320"/>
    <w:rsid w:val="005D7558"/>
    <w:rsid w:val="005E0360"/>
    <w:rsid w:val="005E7EA8"/>
    <w:rsid w:val="005F7ABB"/>
    <w:rsid w:val="00605FD4"/>
    <w:rsid w:val="00606CEE"/>
    <w:rsid w:val="006070B9"/>
    <w:rsid w:val="00611916"/>
    <w:rsid w:val="00623725"/>
    <w:rsid w:val="00626742"/>
    <w:rsid w:val="0063684A"/>
    <w:rsid w:val="00636954"/>
    <w:rsid w:val="006428B9"/>
    <w:rsid w:val="006437CE"/>
    <w:rsid w:val="0065045D"/>
    <w:rsid w:val="006509DC"/>
    <w:rsid w:val="00652E11"/>
    <w:rsid w:val="0065300A"/>
    <w:rsid w:val="006570BA"/>
    <w:rsid w:val="0066160E"/>
    <w:rsid w:val="00664AE3"/>
    <w:rsid w:val="00664F53"/>
    <w:rsid w:val="006744BC"/>
    <w:rsid w:val="00676683"/>
    <w:rsid w:val="00677498"/>
    <w:rsid w:val="00697726"/>
    <w:rsid w:val="006A00C0"/>
    <w:rsid w:val="006A010C"/>
    <w:rsid w:val="006A3F0B"/>
    <w:rsid w:val="006A453A"/>
    <w:rsid w:val="006A7EBB"/>
    <w:rsid w:val="006B014E"/>
    <w:rsid w:val="006B15E2"/>
    <w:rsid w:val="006D0124"/>
    <w:rsid w:val="006D4CCC"/>
    <w:rsid w:val="006D598E"/>
    <w:rsid w:val="006E0F3A"/>
    <w:rsid w:val="006E2A49"/>
    <w:rsid w:val="006E3C45"/>
    <w:rsid w:val="006F2509"/>
    <w:rsid w:val="006F5D2E"/>
    <w:rsid w:val="00705122"/>
    <w:rsid w:val="00705D0F"/>
    <w:rsid w:val="00710A7F"/>
    <w:rsid w:val="00715436"/>
    <w:rsid w:val="00723676"/>
    <w:rsid w:val="0072563E"/>
    <w:rsid w:val="00725A6D"/>
    <w:rsid w:val="007273EC"/>
    <w:rsid w:val="00735198"/>
    <w:rsid w:val="00735EEE"/>
    <w:rsid w:val="0073618B"/>
    <w:rsid w:val="007444F0"/>
    <w:rsid w:val="00746A67"/>
    <w:rsid w:val="00752A98"/>
    <w:rsid w:val="00752F54"/>
    <w:rsid w:val="00754D0A"/>
    <w:rsid w:val="00757857"/>
    <w:rsid w:val="00765001"/>
    <w:rsid w:val="00771FB3"/>
    <w:rsid w:val="00784ACB"/>
    <w:rsid w:val="0078656A"/>
    <w:rsid w:val="007909E6"/>
    <w:rsid w:val="00790E29"/>
    <w:rsid w:val="00796B3B"/>
    <w:rsid w:val="007A0D67"/>
    <w:rsid w:val="007A51DC"/>
    <w:rsid w:val="007B1C76"/>
    <w:rsid w:val="007B1DD8"/>
    <w:rsid w:val="007B4A2A"/>
    <w:rsid w:val="007C3A2E"/>
    <w:rsid w:val="007C5B86"/>
    <w:rsid w:val="007D6796"/>
    <w:rsid w:val="007E0A70"/>
    <w:rsid w:val="007F2EFD"/>
    <w:rsid w:val="007F3CEE"/>
    <w:rsid w:val="008072DF"/>
    <w:rsid w:val="008113C2"/>
    <w:rsid w:val="00832653"/>
    <w:rsid w:val="00834055"/>
    <w:rsid w:val="0084182F"/>
    <w:rsid w:val="00843E40"/>
    <w:rsid w:val="0084744D"/>
    <w:rsid w:val="00850ED1"/>
    <w:rsid w:val="00851D1E"/>
    <w:rsid w:val="00853B48"/>
    <w:rsid w:val="00857B29"/>
    <w:rsid w:val="00863507"/>
    <w:rsid w:val="008704E2"/>
    <w:rsid w:val="008721E4"/>
    <w:rsid w:val="00872F9F"/>
    <w:rsid w:val="00882E8E"/>
    <w:rsid w:val="008837E3"/>
    <w:rsid w:val="008874FB"/>
    <w:rsid w:val="008915DE"/>
    <w:rsid w:val="008942C5"/>
    <w:rsid w:val="0089642D"/>
    <w:rsid w:val="008A33C0"/>
    <w:rsid w:val="008A4700"/>
    <w:rsid w:val="008B0258"/>
    <w:rsid w:val="008B48D7"/>
    <w:rsid w:val="008B7EAA"/>
    <w:rsid w:val="008D2A14"/>
    <w:rsid w:val="008D3598"/>
    <w:rsid w:val="008D3A57"/>
    <w:rsid w:val="008D40C9"/>
    <w:rsid w:val="008E1855"/>
    <w:rsid w:val="008E1B97"/>
    <w:rsid w:val="008E2177"/>
    <w:rsid w:val="009111CB"/>
    <w:rsid w:val="009167BE"/>
    <w:rsid w:val="009230A3"/>
    <w:rsid w:val="009246A3"/>
    <w:rsid w:val="0093048E"/>
    <w:rsid w:val="009337FC"/>
    <w:rsid w:val="00933B4D"/>
    <w:rsid w:val="00937405"/>
    <w:rsid w:val="00943D9F"/>
    <w:rsid w:val="0094669C"/>
    <w:rsid w:val="009500AF"/>
    <w:rsid w:val="00954071"/>
    <w:rsid w:val="00955272"/>
    <w:rsid w:val="00960011"/>
    <w:rsid w:val="009600A0"/>
    <w:rsid w:val="009629A4"/>
    <w:rsid w:val="009632DD"/>
    <w:rsid w:val="00963D66"/>
    <w:rsid w:val="00965CC2"/>
    <w:rsid w:val="00967AC4"/>
    <w:rsid w:val="00970AAA"/>
    <w:rsid w:val="00973532"/>
    <w:rsid w:val="00985C26"/>
    <w:rsid w:val="009A27B8"/>
    <w:rsid w:val="009A71BB"/>
    <w:rsid w:val="009B196A"/>
    <w:rsid w:val="009C21E7"/>
    <w:rsid w:val="009C2E4E"/>
    <w:rsid w:val="009C32B2"/>
    <w:rsid w:val="009C7FA9"/>
    <w:rsid w:val="009D186D"/>
    <w:rsid w:val="009D26B1"/>
    <w:rsid w:val="009D30B5"/>
    <w:rsid w:val="009D6CEA"/>
    <w:rsid w:val="009D7045"/>
    <w:rsid w:val="009E1653"/>
    <w:rsid w:val="009E35F4"/>
    <w:rsid w:val="009F167A"/>
    <w:rsid w:val="009F1FEF"/>
    <w:rsid w:val="009F551F"/>
    <w:rsid w:val="009F5EC9"/>
    <w:rsid w:val="00A02618"/>
    <w:rsid w:val="00A14D48"/>
    <w:rsid w:val="00A1768C"/>
    <w:rsid w:val="00A2480D"/>
    <w:rsid w:val="00A26544"/>
    <w:rsid w:val="00A26C8F"/>
    <w:rsid w:val="00A27895"/>
    <w:rsid w:val="00A3204B"/>
    <w:rsid w:val="00A37585"/>
    <w:rsid w:val="00A424CB"/>
    <w:rsid w:val="00A42DA8"/>
    <w:rsid w:val="00A44FDE"/>
    <w:rsid w:val="00A476A0"/>
    <w:rsid w:val="00A51488"/>
    <w:rsid w:val="00A67CD2"/>
    <w:rsid w:val="00A72ED4"/>
    <w:rsid w:val="00A74A27"/>
    <w:rsid w:val="00A77507"/>
    <w:rsid w:val="00A813DF"/>
    <w:rsid w:val="00A823E2"/>
    <w:rsid w:val="00AA0D00"/>
    <w:rsid w:val="00AA65E3"/>
    <w:rsid w:val="00AB596C"/>
    <w:rsid w:val="00AB60DD"/>
    <w:rsid w:val="00AD223B"/>
    <w:rsid w:val="00AD2957"/>
    <w:rsid w:val="00AD7562"/>
    <w:rsid w:val="00AE458E"/>
    <w:rsid w:val="00AF1B17"/>
    <w:rsid w:val="00AF24D6"/>
    <w:rsid w:val="00AF2F53"/>
    <w:rsid w:val="00AF642A"/>
    <w:rsid w:val="00B015D3"/>
    <w:rsid w:val="00B06DD4"/>
    <w:rsid w:val="00B17D79"/>
    <w:rsid w:val="00B20B29"/>
    <w:rsid w:val="00B230F2"/>
    <w:rsid w:val="00B24515"/>
    <w:rsid w:val="00B323D0"/>
    <w:rsid w:val="00B32978"/>
    <w:rsid w:val="00B37F82"/>
    <w:rsid w:val="00B449FD"/>
    <w:rsid w:val="00B50699"/>
    <w:rsid w:val="00B5244E"/>
    <w:rsid w:val="00B53A12"/>
    <w:rsid w:val="00B55C35"/>
    <w:rsid w:val="00B63722"/>
    <w:rsid w:val="00B66D71"/>
    <w:rsid w:val="00B728D8"/>
    <w:rsid w:val="00B73EFA"/>
    <w:rsid w:val="00B9267C"/>
    <w:rsid w:val="00BA6F05"/>
    <w:rsid w:val="00BA72A2"/>
    <w:rsid w:val="00BB38B7"/>
    <w:rsid w:val="00BB5344"/>
    <w:rsid w:val="00BC3B73"/>
    <w:rsid w:val="00BC688C"/>
    <w:rsid w:val="00BD526C"/>
    <w:rsid w:val="00BE1704"/>
    <w:rsid w:val="00C00B4F"/>
    <w:rsid w:val="00C032CB"/>
    <w:rsid w:val="00C03F1B"/>
    <w:rsid w:val="00C05638"/>
    <w:rsid w:val="00C10FCA"/>
    <w:rsid w:val="00C160C5"/>
    <w:rsid w:val="00C162F7"/>
    <w:rsid w:val="00C16F13"/>
    <w:rsid w:val="00C17D2F"/>
    <w:rsid w:val="00C226AB"/>
    <w:rsid w:val="00C22CFA"/>
    <w:rsid w:val="00C24B01"/>
    <w:rsid w:val="00C253C9"/>
    <w:rsid w:val="00C26657"/>
    <w:rsid w:val="00C27885"/>
    <w:rsid w:val="00C2788B"/>
    <w:rsid w:val="00C30A4D"/>
    <w:rsid w:val="00C358A3"/>
    <w:rsid w:val="00C41A2E"/>
    <w:rsid w:val="00C41F50"/>
    <w:rsid w:val="00C42F7E"/>
    <w:rsid w:val="00C43796"/>
    <w:rsid w:val="00C46884"/>
    <w:rsid w:val="00C478C4"/>
    <w:rsid w:val="00C70300"/>
    <w:rsid w:val="00C75007"/>
    <w:rsid w:val="00C75258"/>
    <w:rsid w:val="00C80E71"/>
    <w:rsid w:val="00C8232A"/>
    <w:rsid w:val="00C843B5"/>
    <w:rsid w:val="00C85E98"/>
    <w:rsid w:val="00C94AC6"/>
    <w:rsid w:val="00CA6AC3"/>
    <w:rsid w:val="00CB6E85"/>
    <w:rsid w:val="00CC04F7"/>
    <w:rsid w:val="00CC19F5"/>
    <w:rsid w:val="00CC2236"/>
    <w:rsid w:val="00CC3585"/>
    <w:rsid w:val="00CC74A4"/>
    <w:rsid w:val="00CD218E"/>
    <w:rsid w:val="00CD2575"/>
    <w:rsid w:val="00CD38B7"/>
    <w:rsid w:val="00CD3A72"/>
    <w:rsid w:val="00CD4103"/>
    <w:rsid w:val="00CD7BC1"/>
    <w:rsid w:val="00CE02FA"/>
    <w:rsid w:val="00CE0E52"/>
    <w:rsid w:val="00CE332E"/>
    <w:rsid w:val="00CE4480"/>
    <w:rsid w:val="00CE72E9"/>
    <w:rsid w:val="00CF1F60"/>
    <w:rsid w:val="00CF4F25"/>
    <w:rsid w:val="00CF7567"/>
    <w:rsid w:val="00D010F3"/>
    <w:rsid w:val="00D02BB1"/>
    <w:rsid w:val="00D05129"/>
    <w:rsid w:val="00D07D48"/>
    <w:rsid w:val="00D1117B"/>
    <w:rsid w:val="00D136AB"/>
    <w:rsid w:val="00D14DFA"/>
    <w:rsid w:val="00D16FFA"/>
    <w:rsid w:val="00D21618"/>
    <w:rsid w:val="00D31F4D"/>
    <w:rsid w:val="00D33EEC"/>
    <w:rsid w:val="00D33F9D"/>
    <w:rsid w:val="00D47D21"/>
    <w:rsid w:val="00D6322F"/>
    <w:rsid w:val="00D75402"/>
    <w:rsid w:val="00D77555"/>
    <w:rsid w:val="00D80854"/>
    <w:rsid w:val="00D82553"/>
    <w:rsid w:val="00D82D56"/>
    <w:rsid w:val="00D867C6"/>
    <w:rsid w:val="00D904C0"/>
    <w:rsid w:val="00D94889"/>
    <w:rsid w:val="00D958BF"/>
    <w:rsid w:val="00DA1CFB"/>
    <w:rsid w:val="00DA7663"/>
    <w:rsid w:val="00DB2C20"/>
    <w:rsid w:val="00DB57DD"/>
    <w:rsid w:val="00DC0A51"/>
    <w:rsid w:val="00DC0A6B"/>
    <w:rsid w:val="00DC2928"/>
    <w:rsid w:val="00DC5729"/>
    <w:rsid w:val="00DC5CB8"/>
    <w:rsid w:val="00DC61AE"/>
    <w:rsid w:val="00DC6401"/>
    <w:rsid w:val="00DD1248"/>
    <w:rsid w:val="00DD3066"/>
    <w:rsid w:val="00DD3B11"/>
    <w:rsid w:val="00DF1EFF"/>
    <w:rsid w:val="00E06342"/>
    <w:rsid w:val="00E14980"/>
    <w:rsid w:val="00E16488"/>
    <w:rsid w:val="00E17F96"/>
    <w:rsid w:val="00E205CA"/>
    <w:rsid w:val="00E21329"/>
    <w:rsid w:val="00E24735"/>
    <w:rsid w:val="00E27383"/>
    <w:rsid w:val="00E3411D"/>
    <w:rsid w:val="00E3640C"/>
    <w:rsid w:val="00E36F29"/>
    <w:rsid w:val="00E4486B"/>
    <w:rsid w:val="00E6086A"/>
    <w:rsid w:val="00E623E7"/>
    <w:rsid w:val="00E713CE"/>
    <w:rsid w:val="00E742BB"/>
    <w:rsid w:val="00E75077"/>
    <w:rsid w:val="00E75CDD"/>
    <w:rsid w:val="00E76E6D"/>
    <w:rsid w:val="00E82A1A"/>
    <w:rsid w:val="00E83242"/>
    <w:rsid w:val="00E83EF7"/>
    <w:rsid w:val="00E85AAC"/>
    <w:rsid w:val="00E85E40"/>
    <w:rsid w:val="00E87D75"/>
    <w:rsid w:val="00E91E9D"/>
    <w:rsid w:val="00E95EC8"/>
    <w:rsid w:val="00EA0E2F"/>
    <w:rsid w:val="00EA45CA"/>
    <w:rsid w:val="00EA6EAA"/>
    <w:rsid w:val="00EA7020"/>
    <w:rsid w:val="00EA7447"/>
    <w:rsid w:val="00EA79F8"/>
    <w:rsid w:val="00EB0FC3"/>
    <w:rsid w:val="00EB3B3D"/>
    <w:rsid w:val="00EC7C6F"/>
    <w:rsid w:val="00ED0202"/>
    <w:rsid w:val="00ED0B44"/>
    <w:rsid w:val="00EE03FF"/>
    <w:rsid w:val="00EE1947"/>
    <w:rsid w:val="00EE5CF9"/>
    <w:rsid w:val="00EE673D"/>
    <w:rsid w:val="00EE7C62"/>
    <w:rsid w:val="00EF12CC"/>
    <w:rsid w:val="00EF5672"/>
    <w:rsid w:val="00F02869"/>
    <w:rsid w:val="00F10C73"/>
    <w:rsid w:val="00F12ADC"/>
    <w:rsid w:val="00F257C9"/>
    <w:rsid w:val="00F34C79"/>
    <w:rsid w:val="00F40CD0"/>
    <w:rsid w:val="00F553A8"/>
    <w:rsid w:val="00F56559"/>
    <w:rsid w:val="00F56F5D"/>
    <w:rsid w:val="00F57985"/>
    <w:rsid w:val="00F60ED2"/>
    <w:rsid w:val="00F6101E"/>
    <w:rsid w:val="00F6214F"/>
    <w:rsid w:val="00F62CB0"/>
    <w:rsid w:val="00F64D33"/>
    <w:rsid w:val="00F658FD"/>
    <w:rsid w:val="00F71289"/>
    <w:rsid w:val="00F75721"/>
    <w:rsid w:val="00F84BF5"/>
    <w:rsid w:val="00F901A5"/>
    <w:rsid w:val="00F9162B"/>
    <w:rsid w:val="00FA4A64"/>
    <w:rsid w:val="00FA61F4"/>
    <w:rsid w:val="00FB1AE6"/>
    <w:rsid w:val="00FB1E1E"/>
    <w:rsid w:val="00FB2DB4"/>
    <w:rsid w:val="00FB3B40"/>
    <w:rsid w:val="00FB5FF8"/>
    <w:rsid w:val="00FB7553"/>
    <w:rsid w:val="00FC2C33"/>
    <w:rsid w:val="00FD0AFD"/>
    <w:rsid w:val="00FD3D57"/>
    <w:rsid w:val="00FE01DF"/>
    <w:rsid w:val="00FE217F"/>
    <w:rsid w:val="00FF3A82"/>
    <w:rsid w:val="322564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color="white">
      <v:fill color="white"/>
    </o:shapedefaults>
    <o:shapelayout v:ext="edit">
      <o:idmap v:ext="edit" data="1"/>
    </o:shapelayout>
  </w:shapeDefaults>
  <w:decimalSymbol w:val="."/>
  <w:listSeparator w:val=","/>
  <w14:docId w14:val="323E0C82"/>
  <w15:docId w15:val="{F208A581-6CE9-41F9-A9C9-7A85580DB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qFormat="1"/>
    <w:lsdException w:name="heading 4" w:uiPriority="9" w:qFormat="1"/>
    <w:lsdException w:name="heading 5" w:qFormat="1"/>
    <w:lsdException w:name="heading 6" w:unhideWhenUsed="1"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qFormat="1"/>
    <w:lsdException w:name="toc 2" w:uiPriority="39"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unhideWhenUsed="1" w:qFormat="1"/>
    <w:lsdException w:name="header" w:unhideWhenUsed="1" w:qFormat="1"/>
    <w:lsdException w:name="footer" w:unhideWhenUsed="1" w:qFormat="1"/>
    <w:lsdException w:name="index heading" w:qFormat="1"/>
    <w:lsdException w:name="caption" w:unhideWhenUsed="1" w:qFormat="1"/>
    <w:lsdException w:name="table of figures" w:qFormat="1"/>
    <w:lsdException w:name="envelope address" w:qFormat="1"/>
    <w:lsdException w:name="envelope return" w:qFormat="1"/>
    <w:lsdException w:name="footnote reference" w:qFormat="1"/>
    <w:lsdException w:name="annotation reference" w:unhideWhenUsed="1" w:qFormat="1"/>
    <w:lsdException w:name="line number" w:qFormat="1"/>
    <w:lsdException w:name="page number" w:qFormat="1"/>
    <w:lsdException w:name="endnote reference" w:qFormat="1"/>
    <w:lsdException w:name="endnote text" w:qFormat="1"/>
    <w:lsdException w:name="table of authorities" w:qFormat="1"/>
    <w:lsdException w:name="macro" w:qFormat="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unhideWhenUsed="1" w:qFormat="1"/>
    <w:lsdException w:name="List Bullet 5" w:qFormat="1"/>
    <w:lsdException w:name="List Number 2" w:qFormat="1"/>
    <w:lsdException w:name="List Number 3" w:qFormat="1"/>
    <w:lsdException w:name="List Number 4" w:qFormat="1"/>
    <w:lsdException w:name="List Number 5" w:qFormat="1"/>
    <w:lsdException w:name="Title" w:qFormat="1"/>
    <w:lsdException w:name="Closing" w:qFormat="1"/>
    <w:lsdException w:name="Signature" w:qFormat="1"/>
    <w:lsdException w:name="Default Paragraph Font" w:semiHidden="1" w:uiPriority="1" w:unhideWhenUsed="1"/>
    <w:lsdException w:name="Body Text" w:unhideWhenUsed="1"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qFormat="1"/>
    <w:lsdException w:name="Salutation" w:qFormat="1"/>
    <w:lsdException w:name="Date" w:unhideWhenUsed="1" w:qFormat="1"/>
    <w:lsdException w:name="Body Text First Indent" w:unhideWhenUsed="1"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unhideWhenUsed="1" w:qFormat="1"/>
    <w:lsdException w:name="FollowedHyperlink" w:uiPriority="99" w:qFormat="1"/>
    <w:lsdException w:name="Strong" w:qFormat="1"/>
    <w:lsdException w:name="Emphasis" w:uiPriority="20" w:qFormat="1"/>
    <w:lsdException w:name="Document Map"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Address"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Typewriter" w:qFormat="1"/>
    <w:lsdException w:name="HTML Variable" w:qFormat="1"/>
    <w:lsdException w:name="Normal Table" w:semiHidden="1" w:uiPriority="99" w:unhideWhenUsed="1"/>
    <w:lsdException w:name="annotation subject"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lsdException w:name="Table Grid 4" w:semiHidden="1" w:unhideWhenUsed="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qFormat="1"/>
    <w:lsdException w:name="Table List 7" w:semiHidden="1" w:unhideWhenUsed="1"/>
    <w:lsdException w:name="Table List 8" w:semiHidden="1" w:unhideWhenUsed="1" w:qFormat="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nhideWhenUsed="1"/>
    <w:lsdException w:name="Table Elegant" w:semiHidden="1" w:unhideWhenUsed="1"/>
    <w:lsdException w:name="Table Professional" w:semiHidden="1" w:unhideWhenUsed="1" w:qFormat="1"/>
    <w:lsdException w:name="Table Subtle 1" w:semiHidden="1" w:unhideWhenUsed="1" w:qFormat="1"/>
    <w:lsdException w:name="Table Subtle 2" w:semiHidden="1" w:unhideWhenUsed="1"/>
    <w:lsdException w:name="Table Web 1" w:semiHidden="1" w:unhideWhenUsed="1" w:qFormat="1"/>
    <w:lsdException w:name="Table Web 2" w:semiHidden="1" w:unhideWhenUsed="1" w:qFormat="1"/>
    <w:lsdException w:name="Table Web 3" w:semiHidden="1" w:unhideWhenUsed="1"/>
    <w:lsdException w:name="Balloon Text" w:unhideWhenUsed="1" w:qFormat="1"/>
    <w:lsdException w:name="Table Grid" w:uiPriority="39" w:qFormat="1"/>
    <w:lsdException w:name="Table Theme" w:semiHidden="1" w:unhideWhenUsed="1" w:qFormat="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qFormat/>
    <w:pPr>
      <w:spacing w:before="2"/>
      <w:ind w:left="700"/>
      <w:jc w:val="left"/>
      <w:outlineLvl w:val="0"/>
    </w:pPr>
    <w:rPr>
      <w:rFonts w:ascii="Times New Roman" w:eastAsia="Times New Roman" w:hAnsi="Times New Roman"/>
      <w:b/>
      <w:bCs/>
      <w:kern w:val="0"/>
      <w:sz w:val="29"/>
      <w:szCs w:val="29"/>
      <w:lang w:eastAsia="en-US"/>
    </w:rPr>
  </w:style>
  <w:style w:type="paragraph" w:styleId="2">
    <w:name w:val="heading 2"/>
    <w:basedOn w:val="a"/>
    <w:next w:val="a"/>
    <w:link w:val="20"/>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qFormat/>
    <w:pPr>
      <w:keepNext/>
      <w:keepLines/>
      <w:widowControl/>
      <w:spacing w:before="260" w:after="260" w:line="416" w:lineRule="auto"/>
      <w:jc w:val="left"/>
      <w:outlineLvl w:val="2"/>
    </w:pPr>
    <w:rPr>
      <w:rFonts w:ascii="Times New Roman" w:eastAsia="宋体" w:hAnsi="Times New Roman" w:cs="Times New Roman"/>
      <w:b/>
      <w:bCs/>
      <w:kern w:val="0"/>
      <w:sz w:val="32"/>
      <w:szCs w:val="32"/>
    </w:rPr>
  </w:style>
  <w:style w:type="paragraph" w:styleId="41">
    <w:name w:val="heading 4"/>
    <w:basedOn w:val="a"/>
    <w:next w:val="a"/>
    <w:link w:val="42"/>
    <w:uiPriority w:val="9"/>
    <w:qFormat/>
    <w:pPr>
      <w:spacing w:before="13"/>
      <w:ind w:left="521"/>
      <w:jc w:val="left"/>
      <w:outlineLvl w:val="3"/>
    </w:pPr>
    <w:rPr>
      <w:rFonts w:ascii="宋体" w:eastAsia="宋体" w:hAnsi="宋体"/>
      <w:kern w:val="0"/>
      <w:sz w:val="28"/>
      <w:szCs w:val="28"/>
      <w:lang w:eastAsia="en-US"/>
    </w:rPr>
  </w:style>
  <w:style w:type="paragraph" w:styleId="5">
    <w:name w:val="heading 5"/>
    <w:basedOn w:val="a"/>
    <w:next w:val="a"/>
    <w:link w:val="50"/>
    <w:qFormat/>
    <w:pPr>
      <w:spacing w:before="16"/>
      <w:ind w:left="351" w:firstLine="28"/>
      <w:jc w:val="left"/>
      <w:outlineLvl w:val="4"/>
    </w:pPr>
    <w:rPr>
      <w:rFonts w:ascii="宋体" w:eastAsia="宋体" w:hAnsi="宋体"/>
      <w:kern w:val="0"/>
      <w:sz w:val="27"/>
      <w:szCs w:val="27"/>
      <w:lang w:eastAsia="en-US"/>
    </w:rPr>
  </w:style>
  <w:style w:type="paragraph" w:styleId="6">
    <w:name w:val="heading 6"/>
    <w:basedOn w:val="a"/>
    <w:next w:val="a"/>
    <w:link w:val="60"/>
    <w:unhideWhenUsed/>
    <w:qFormat/>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3"/>
    <w:qFormat/>
    <w:pPr>
      <w:keepNext/>
      <w:keepLines/>
      <w:spacing w:before="240" w:after="64" w:line="320" w:lineRule="auto"/>
      <w:outlineLvl w:val="6"/>
    </w:pPr>
    <w:rPr>
      <w:rFonts w:ascii="Times New Roman" w:eastAsia="宋体" w:hAnsi="Times New Roman" w:cs="Times New Roman"/>
      <w:b/>
      <w:bCs/>
      <w:sz w:val="24"/>
      <w:szCs w:val="24"/>
    </w:rPr>
  </w:style>
  <w:style w:type="paragraph" w:styleId="8">
    <w:name w:val="heading 8"/>
    <w:basedOn w:val="a"/>
    <w:next w:val="a"/>
    <w:link w:val="83"/>
    <w:qFormat/>
    <w:pPr>
      <w:keepNext/>
      <w:keepLines/>
      <w:spacing w:before="240" w:after="64" w:line="320" w:lineRule="auto"/>
      <w:outlineLvl w:val="7"/>
    </w:pPr>
    <w:rPr>
      <w:rFonts w:ascii="Arial" w:eastAsia="黑体" w:hAnsi="Arial" w:cs="Times New Roman"/>
      <w:sz w:val="24"/>
      <w:szCs w:val="24"/>
    </w:rPr>
  </w:style>
  <w:style w:type="paragraph" w:styleId="9">
    <w:name w:val="heading 9"/>
    <w:basedOn w:val="a"/>
    <w:next w:val="a0"/>
    <w:link w:val="93"/>
    <w:qFormat/>
    <w:pPr>
      <w:keepNext/>
      <w:keepLines/>
      <w:tabs>
        <w:tab w:val="left" w:pos="1080"/>
      </w:tabs>
      <w:spacing w:line="319" w:lineRule="auto"/>
      <w:ind w:left="1080" w:hanging="360"/>
      <w:outlineLvl w:val="8"/>
    </w:pPr>
    <w:rPr>
      <w:rFonts w:ascii="Arial" w:eastAsia="黑体" w:hAnsi="Arial" w:cs="Times New Roman"/>
      <w:sz w:val="2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macro"/>
    <w:link w:val="a5"/>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pPr>
    <w:rPr>
      <w:rFonts w:ascii="Courier New" w:hAnsi="Courier New"/>
      <w:kern w:val="2"/>
      <w:sz w:val="24"/>
      <w:szCs w:val="24"/>
    </w:rPr>
  </w:style>
  <w:style w:type="paragraph" w:styleId="a0">
    <w:name w:val="Normal Indent"/>
    <w:basedOn w:val="a6"/>
    <w:link w:val="a7"/>
    <w:qFormat/>
    <w:pPr>
      <w:spacing w:before="60" w:after="60"/>
      <w:jc w:val="center"/>
    </w:pPr>
    <w:rPr>
      <w:rFonts w:ascii="宋体" w:eastAsia="宋体" w:hAnsi="宋体" w:cs="宋体"/>
      <w:b/>
      <w:bCs/>
      <w:sz w:val="24"/>
      <w:szCs w:val="22"/>
    </w:rPr>
  </w:style>
  <w:style w:type="paragraph" w:styleId="a6">
    <w:name w:val="caption"/>
    <w:basedOn w:val="a"/>
    <w:next w:val="a"/>
    <w:link w:val="a8"/>
    <w:unhideWhenUsed/>
    <w:qFormat/>
    <w:rPr>
      <w:rFonts w:asciiTheme="majorHAnsi" w:eastAsia="黑体" w:hAnsiTheme="majorHAnsi" w:cstheme="majorBidi"/>
      <w:sz w:val="20"/>
      <w:szCs w:val="20"/>
    </w:rPr>
  </w:style>
  <w:style w:type="paragraph" w:styleId="31">
    <w:name w:val="List 3"/>
    <w:basedOn w:val="a"/>
    <w:qFormat/>
    <w:pPr>
      <w:widowControl/>
      <w:ind w:leftChars="400" w:left="100" w:hangingChars="200" w:hanging="200"/>
      <w:jc w:val="left"/>
    </w:pPr>
    <w:rPr>
      <w:rFonts w:ascii="Times New Roman" w:eastAsia="宋体" w:hAnsi="Times New Roman" w:cs="Times New Roman"/>
      <w:kern w:val="0"/>
      <w:sz w:val="24"/>
      <w:szCs w:val="20"/>
    </w:rPr>
  </w:style>
  <w:style w:type="paragraph" w:styleId="TOC7">
    <w:name w:val="toc 7"/>
    <w:basedOn w:val="a"/>
    <w:next w:val="a"/>
    <w:qFormat/>
    <w:pPr>
      <w:ind w:left="1260"/>
      <w:jc w:val="left"/>
    </w:pPr>
    <w:rPr>
      <w:rFonts w:ascii="Times New Roman" w:eastAsia="宋体" w:hAnsi="Times New Roman" w:cs="Times New Roman"/>
      <w:sz w:val="18"/>
      <w:szCs w:val="18"/>
    </w:rPr>
  </w:style>
  <w:style w:type="paragraph" w:styleId="21">
    <w:name w:val="List Number 2"/>
    <w:basedOn w:val="a"/>
    <w:qFormat/>
    <w:pPr>
      <w:tabs>
        <w:tab w:val="left" w:pos="780"/>
      </w:tabs>
      <w:spacing w:before="60"/>
      <w:ind w:left="780" w:hanging="360"/>
    </w:pPr>
    <w:rPr>
      <w:rFonts w:ascii="Arial" w:eastAsia="仿宋_GB2312" w:hAnsi="Arial" w:cs="Times New Roman"/>
      <w:kern w:val="0"/>
      <w:sz w:val="24"/>
      <w:szCs w:val="20"/>
    </w:rPr>
  </w:style>
  <w:style w:type="paragraph" w:styleId="a9">
    <w:name w:val="table of authorities"/>
    <w:basedOn w:val="a"/>
    <w:next w:val="a"/>
    <w:qFormat/>
    <w:pPr>
      <w:ind w:leftChars="200" w:left="420"/>
    </w:pPr>
    <w:rPr>
      <w:rFonts w:ascii="Times New Roman" w:eastAsia="宋体" w:hAnsi="Times New Roman" w:cs="Times New Roman"/>
      <w:szCs w:val="24"/>
    </w:rPr>
  </w:style>
  <w:style w:type="paragraph" w:styleId="aa">
    <w:name w:val="Note Heading"/>
    <w:basedOn w:val="a"/>
    <w:next w:val="a"/>
    <w:link w:val="22"/>
    <w:qFormat/>
    <w:pPr>
      <w:spacing w:before="60"/>
      <w:ind w:firstLine="482"/>
      <w:jc w:val="center"/>
    </w:pPr>
    <w:rPr>
      <w:rFonts w:eastAsia="宋体"/>
      <w:sz w:val="24"/>
      <w:szCs w:val="24"/>
    </w:rPr>
  </w:style>
  <w:style w:type="paragraph" w:styleId="4">
    <w:name w:val="List Bullet 4"/>
    <w:basedOn w:val="a"/>
    <w:unhideWhenUsed/>
    <w:qFormat/>
    <w:pPr>
      <w:numPr>
        <w:numId w:val="1"/>
      </w:numPr>
      <w:contextualSpacing/>
    </w:pPr>
  </w:style>
  <w:style w:type="paragraph" w:styleId="80">
    <w:name w:val="index 8"/>
    <w:basedOn w:val="a"/>
    <w:next w:val="a"/>
    <w:qFormat/>
    <w:pPr>
      <w:adjustRightInd w:val="0"/>
      <w:snapToGrid w:val="0"/>
      <w:spacing w:line="300" w:lineRule="auto"/>
      <w:ind w:leftChars="1400" w:left="1400"/>
    </w:pPr>
    <w:rPr>
      <w:rFonts w:ascii="仿宋_GB2312" w:eastAsia="仿宋_GB2312" w:hAnsi="Times New Roman" w:cs="Times New Roman"/>
      <w:sz w:val="28"/>
      <w:szCs w:val="24"/>
    </w:rPr>
  </w:style>
  <w:style w:type="paragraph" w:styleId="ab">
    <w:name w:val="E-mail Signature"/>
    <w:basedOn w:val="a"/>
    <w:link w:val="23"/>
    <w:qFormat/>
    <w:pPr>
      <w:spacing w:before="60"/>
      <w:ind w:firstLine="482"/>
    </w:pPr>
    <w:rPr>
      <w:rFonts w:ascii="Arial" w:eastAsia="仿宋_GB2312" w:hAnsi="Arial"/>
    </w:rPr>
  </w:style>
  <w:style w:type="paragraph" w:styleId="ac">
    <w:name w:val="List Number"/>
    <w:basedOn w:val="a"/>
    <w:qFormat/>
    <w:pPr>
      <w:tabs>
        <w:tab w:val="left" w:pos="360"/>
      </w:tabs>
      <w:ind w:left="360" w:hanging="360"/>
    </w:pPr>
    <w:rPr>
      <w:rFonts w:ascii="Times New Roman" w:eastAsia="宋体" w:hAnsi="Times New Roman" w:cs="Times New Roman"/>
      <w:szCs w:val="21"/>
    </w:rPr>
  </w:style>
  <w:style w:type="paragraph" w:styleId="51">
    <w:name w:val="index 5"/>
    <w:basedOn w:val="a"/>
    <w:next w:val="a"/>
    <w:qFormat/>
    <w:pPr>
      <w:adjustRightInd w:val="0"/>
      <w:snapToGrid w:val="0"/>
      <w:spacing w:line="300" w:lineRule="auto"/>
      <w:ind w:leftChars="800" w:left="800"/>
    </w:pPr>
    <w:rPr>
      <w:rFonts w:ascii="仿宋_GB2312" w:eastAsia="仿宋_GB2312" w:hAnsi="Times New Roman" w:cs="Times New Roman"/>
      <w:sz w:val="28"/>
      <w:szCs w:val="24"/>
    </w:rPr>
  </w:style>
  <w:style w:type="paragraph" w:styleId="ad">
    <w:name w:val="List Bullet"/>
    <w:basedOn w:val="a"/>
    <w:qFormat/>
    <w:pPr>
      <w:tabs>
        <w:tab w:val="left" w:pos="360"/>
      </w:tabs>
      <w:ind w:left="360" w:hangingChars="200" w:hanging="360"/>
    </w:pPr>
    <w:rPr>
      <w:rFonts w:ascii="Times New Roman" w:eastAsia="宋体" w:hAnsi="Times New Roman" w:cs="Times New Roman"/>
      <w:szCs w:val="24"/>
    </w:rPr>
  </w:style>
  <w:style w:type="paragraph" w:styleId="ae">
    <w:name w:val="envelope address"/>
    <w:basedOn w:val="a"/>
    <w:qFormat/>
    <w:pPr>
      <w:snapToGrid w:val="0"/>
      <w:spacing w:before="60"/>
      <w:ind w:left="2880" w:firstLine="482"/>
    </w:pPr>
    <w:rPr>
      <w:rFonts w:ascii="Arial" w:eastAsia="仿宋_GB2312" w:hAnsi="Arial" w:cs="Arial"/>
      <w:kern w:val="0"/>
      <w:sz w:val="24"/>
      <w:szCs w:val="20"/>
    </w:rPr>
  </w:style>
  <w:style w:type="paragraph" w:styleId="af">
    <w:name w:val="Document Map"/>
    <w:basedOn w:val="a"/>
    <w:link w:val="24"/>
    <w:qFormat/>
    <w:pPr>
      <w:shd w:val="clear" w:color="auto" w:fill="000080"/>
    </w:pPr>
    <w:rPr>
      <w:rFonts w:eastAsia="宋体"/>
      <w:szCs w:val="24"/>
    </w:rPr>
  </w:style>
  <w:style w:type="paragraph" w:styleId="af0">
    <w:name w:val="toa heading"/>
    <w:basedOn w:val="a"/>
    <w:next w:val="a"/>
    <w:qFormat/>
    <w:pPr>
      <w:spacing w:before="120"/>
    </w:pPr>
    <w:rPr>
      <w:rFonts w:ascii="Arial" w:eastAsia="宋体" w:hAnsi="Arial" w:cs="Times New Roman"/>
      <w:sz w:val="24"/>
      <w:szCs w:val="20"/>
    </w:rPr>
  </w:style>
  <w:style w:type="paragraph" w:styleId="af1">
    <w:name w:val="annotation text"/>
    <w:basedOn w:val="a"/>
    <w:link w:val="af2"/>
    <w:unhideWhenUsed/>
    <w:qFormat/>
    <w:pPr>
      <w:jc w:val="left"/>
    </w:pPr>
  </w:style>
  <w:style w:type="paragraph" w:styleId="61">
    <w:name w:val="index 6"/>
    <w:basedOn w:val="a"/>
    <w:next w:val="a"/>
    <w:qFormat/>
    <w:pPr>
      <w:adjustRightInd w:val="0"/>
      <w:snapToGrid w:val="0"/>
      <w:spacing w:line="300" w:lineRule="auto"/>
      <w:ind w:leftChars="1000" w:left="1000"/>
    </w:pPr>
    <w:rPr>
      <w:rFonts w:ascii="仿宋_GB2312" w:eastAsia="仿宋_GB2312" w:hAnsi="Times New Roman" w:cs="Times New Roman"/>
      <w:sz w:val="28"/>
      <w:szCs w:val="24"/>
    </w:rPr>
  </w:style>
  <w:style w:type="paragraph" w:styleId="af3">
    <w:name w:val="Salutation"/>
    <w:basedOn w:val="a"/>
    <w:next w:val="a"/>
    <w:link w:val="25"/>
    <w:qFormat/>
    <w:pPr>
      <w:spacing w:before="60"/>
      <w:ind w:firstLine="482"/>
    </w:pPr>
    <w:rPr>
      <w:rFonts w:ascii="Arial" w:eastAsia="仿宋_GB2312" w:hAnsi="Arial"/>
    </w:rPr>
  </w:style>
  <w:style w:type="paragraph" w:styleId="32">
    <w:name w:val="Body Text 3"/>
    <w:basedOn w:val="a"/>
    <w:link w:val="320"/>
    <w:qFormat/>
    <w:pPr>
      <w:spacing w:after="120"/>
    </w:pPr>
    <w:rPr>
      <w:rFonts w:eastAsia="宋体"/>
      <w:sz w:val="16"/>
      <w:szCs w:val="16"/>
    </w:rPr>
  </w:style>
  <w:style w:type="paragraph" w:styleId="af4">
    <w:name w:val="Closing"/>
    <w:basedOn w:val="a"/>
    <w:link w:val="26"/>
    <w:qFormat/>
    <w:pPr>
      <w:spacing w:before="60"/>
      <w:ind w:left="4320" w:firstLine="482"/>
    </w:pPr>
    <w:rPr>
      <w:rFonts w:ascii="Arial" w:eastAsia="仿宋_GB2312" w:hAnsi="Arial"/>
    </w:rPr>
  </w:style>
  <w:style w:type="paragraph" w:styleId="33">
    <w:name w:val="List Bullet 3"/>
    <w:basedOn w:val="a"/>
    <w:qFormat/>
    <w:pPr>
      <w:tabs>
        <w:tab w:val="left" w:pos="1200"/>
      </w:tabs>
      <w:ind w:leftChars="400" w:left="1200" w:hangingChars="200" w:hanging="360"/>
    </w:pPr>
    <w:rPr>
      <w:rFonts w:ascii="Times New Roman" w:eastAsia="宋体" w:hAnsi="Times New Roman" w:cs="Times New Roman"/>
      <w:szCs w:val="24"/>
    </w:rPr>
  </w:style>
  <w:style w:type="paragraph" w:styleId="af5">
    <w:name w:val="Body Text"/>
    <w:basedOn w:val="a"/>
    <w:link w:val="af6"/>
    <w:unhideWhenUsed/>
    <w:qFormat/>
    <w:pPr>
      <w:spacing w:after="120"/>
    </w:pPr>
  </w:style>
  <w:style w:type="paragraph" w:styleId="af7">
    <w:name w:val="Body Text Indent"/>
    <w:basedOn w:val="a"/>
    <w:link w:val="af8"/>
    <w:qFormat/>
    <w:pPr>
      <w:tabs>
        <w:tab w:val="left" w:pos="3600"/>
      </w:tabs>
      <w:spacing w:line="440" w:lineRule="atLeast"/>
      <w:ind w:firstLineChars="200" w:firstLine="480"/>
    </w:pPr>
    <w:rPr>
      <w:rFonts w:ascii="宋体" w:eastAsia="宋体" w:hAnsi="宋体" w:cs="Times New Roman"/>
      <w:sz w:val="24"/>
      <w:szCs w:val="24"/>
    </w:rPr>
  </w:style>
  <w:style w:type="paragraph" w:styleId="34">
    <w:name w:val="List Number 3"/>
    <w:basedOn w:val="a"/>
    <w:qFormat/>
    <w:pPr>
      <w:tabs>
        <w:tab w:val="left" w:pos="1200"/>
      </w:tabs>
      <w:ind w:left="1200" w:hanging="360"/>
    </w:pPr>
    <w:rPr>
      <w:rFonts w:ascii="Times New Roman" w:eastAsia="宋体" w:hAnsi="Times New Roman" w:cs="Times New Roman"/>
      <w:szCs w:val="24"/>
    </w:rPr>
  </w:style>
  <w:style w:type="paragraph" w:styleId="27">
    <w:name w:val="List 2"/>
    <w:basedOn w:val="a"/>
    <w:qFormat/>
    <w:pPr>
      <w:spacing w:line="360" w:lineRule="exact"/>
      <w:jc w:val="center"/>
    </w:pPr>
    <w:rPr>
      <w:rFonts w:ascii="仿宋_GB2312" w:eastAsia="仿宋_GB2312" w:hAnsi="Times New Roman" w:cs="Times New Roman"/>
      <w:szCs w:val="20"/>
    </w:rPr>
  </w:style>
  <w:style w:type="paragraph" w:styleId="af9">
    <w:name w:val="List Continue"/>
    <w:basedOn w:val="a"/>
    <w:qFormat/>
    <w:pPr>
      <w:spacing w:before="60" w:after="120"/>
      <w:ind w:left="420" w:firstLine="482"/>
    </w:pPr>
    <w:rPr>
      <w:rFonts w:ascii="Arial" w:eastAsia="仿宋_GB2312" w:hAnsi="Arial" w:cs="Times New Roman"/>
      <w:kern w:val="0"/>
      <w:sz w:val="24"/>
      <w:szCs w:val="20"/>
    </w:rPr>
  </w:style>
  <w:style w:type="paragraph" w:styleId="afa">
    <w:name w:val="Block Text"/>
    <w:basedOn w:val="a"/>
    <w:qFormat/>
    <w:pPr>
      <w:spacing w:after="120"/>
      <w:ind w:leftChars="700" w:left="1440" w:rightChars="700" w:right="1440"/>
    </w:pPr>
    <w:rPr>
      <w:rFonts w:ascii="Times New Roman" w:eastAsia="宋体" w:hAnsi="Times New Roman" w:cs="Times New Roman"/>
      <w:szCs w:val="24"/>
    </w:rPr>
  </w:style>
  <w:style w:type="paragraph" w:styleId="28">
    <w:name w:val="List Bullet 2"/>
    <w:basedOn w:val="a"/>
    <w:qFormat/>
    <w:pPr>
      <w:tabs>
        <w:tab w:val="left" w:pos="780"/>
      </w:tabs>
      <w:ind w:leftChars="200" w:left="780" w:hangingChars="200" w:hanging="360"/>
    </w:pPr>
    <w:rPr>
      <w:rFonts w:ascii="Times New Roman" w:eastAsia="宋体" w:hAnsi="Times New Roman" w:cs="Times New Roman"/>
      <w:szCs w:val="24"/>
    </w:rPr>
  </w:style>
  <w:style w:type="paragraph" w:styleId="HTML">
    <w:name w:val="HTML Address"/>
    <w:basedOn w:val="a"/>
    <w:link w:val="HTML1"/>
    <w:qFormat/>
    <w:pPr>
      <w:spacing w:before="60"/>
      <w:ind w:firstLine="482"/>
    </w:pPr>
    <w:rPr>
      <w:rFonts w:ascii="Arial" w:eastAsia="仿宋_GB2312" w:hAnsi="Arial"/>
      <w:i/>
      <w:iCs/>
    </w:rPr>
  </w:style>
  <w:style w:type="paragraph" w:styleId="43">
    <w:name w:val="index 4"/>
    <w:basedOn w:val="a"/>
    <w:next w:val="a"/>
    <w:qFormat/>
    <w:pPr>
      <w:adjustRightInd w:val="0"/>
      <w:snapToGrid w:val="0"/>
      <w:spacing w:line="300" w:lineRule="auto"/>
      <w:ind w:leftChars="600" w:left="600"/>
    </w:pPr>
    <w:rPr>
      <w:rFonts w:ascii="仿宋_GB2312" w:eastAsia="仿宋_GB2312" w:hAnsi="Times New Roman" w:cs="Times New Roman"/>
      <w:sz w:val="28"/>
      <w:szCs w:val="24"/>
    </w:rPr>
  </w:style>
  <w:style w:type="paragraph" w:styleId="TOC5">
    <w:name w:val="toc 5"/>
    <w:basedOn w:val="a"/>
    <w:next w:val="a"/>
    <w:qFormat/>
    <w:pPr>
      <w:spacing w:before="133"/>
      <w:ind w:left="747"/>
      <w:jc w:val="left"/>
    </w:pPr>
    <w:rPr>
      <w:rFonts w:ascii="Times New Roman" w:eastAsia="Times New Roman" w:hAnsi="Times New Roman"/>
      <w:kern w:val="0"/>
      <w:sz w:val="24"/>
      <w:szCs w:val="24"/>
      <w:lang w:eastAsia="en-US"/>
    </w:rPr>
  </w:style>
  <w:style w:type="paragraph" w:styleId="TOC3">
    <w:name w:val="toc 3"/>
    <w:basedOn w:val="a"/>
    <w:next w:val="a"/>
    <w:qFormat/>
    <w:pPr>
      <w:spacing w:before="133"/>
      <w:ind w:left="118"/>
      <w:jc w:val="left"/>
    </w:pPr>
    <w:rPr>
      <w:rFonts w:ascii="宋体" w:eastAsia="宋体" w:hAnsi="宋体"/>
      <w:b/>
      <w:bCs/>
      <w:kern w:val="0"/>
      <w:sz w:val="24"/>
      <w:szCs w:val="24"/>
      <w:lang w:eastAsia="en-US"/>
    </w:rPr>
  </w:style>
  <w:style w:type="paragraph" w:styleId="afb">
    <w:name w:val="Plain Text"/>
    <w:basedOn w:val="a"/>
    <w:link w:val="11"/>
    <w:qFormat/>
    <w:pPr>
      <w:widowControl/>
      <w:jc w:val="left"/>
    </w:pPr>
    <w:rPr>
      <w:rFonts w:ascii="宋体" w:eastAsia="宋体" w:hAnsi="Courier New" w:cs="Courier New"/>
      <w:kern w:val="0"/>
      <w:szCs w:val="21"/>
    </w:rPr>
  </w:style>
  <w:style w:type="paragraph" w:styleId="52">
    <w:name w:val="List Bullet 5"/>
    <w:basedOn w:val="a"/>
    <w:qFormat/>
    <w:pPr>
      <w:tabs>
        <w:tab w:val="left" w:pos="2040"/>
      </w:tabs>
      <w:spacing w:before="60"/>
      <w:ind w:left="2040" w:hanging="360"/>
    </w:pPr>
    <w:rPr>
      <w:rFonts w:ascii="Arial" w:eastAsia="仿宋_GB2312" w:hAnsi="Arial" w:cs="Times New Roman"/>
      <w:kern w:val="0"/>
      <w:sz w:val="24"/>
      <w:szCs w:val="20"/>
    </w:rPr>
  </w:style>
  <w:style w:type="paragraph" w:styleId="40">
    <w:name w:val="List Number 4"/>
    <w:basedOn w:val="a"/>
    <w:qFormat/>
    <w:pPr>
      <w:numPr>
        <w:numId w:val="2"/>
      </w:numPr>
      <w:tabs>
        <w:tab w:val="left" w:pos="720"/>
        <w:tab w:val="left" w:pos="1620"/>
      </w:tabs>
      <w:spacing w:before="60"/>
      <w:ind w:left="720"/>
    </w:pPr>
    <w:rPr>
      <w:rFonts w:ascii="Arial" w:eastAsia="仿宋_GB2312" w:hAnsi="Arial" w:cs="Times New Roman"/>
      <w:kern w:val="0"/>
      <w:sz w:val="24"/>
      <w:szCs w:val="20"/>
    </w:rPr>
  </w:style>
  <w:style w:type="paragraph" w:styleId="TOC8">
    <w:name w:val="toc 8"/>
    <w:basedOn w:val="a"/>
    <w:next w:val="a"/>
    <w:qFormat/>
    <w:pPr>
      <w:ind w:left="1470"/>
      <w:jc w:val="left"/>
    </w:pPr>
    <w:rPr>
      <w:rFonts w:ascii="Times New Roman" w:eastAsia="宋体" w:hAnsi="Times New Roman" w:cs="Times New Roman"/>
      <w:sz w:val="18"/>
      <w:szCs w:val="18"/>
    </w:rPr>
  </w:style>
  <w:style w:type="paragraph" w:styleId="35">
    <w:name w:val="index 3"/>
    <w:basedOn w:val="a"/>
    <w:next w:val="a"/>
    <w:qFormat/>
    <w:pPr>
      <w:adjustRightInd w:val="0"/>
      <w:snapToGrid w:val="0"/>
      <w:spacing w:line="300" w:lineRule="auto"/>
      <w:ind w:leftChars="400" w:left="400"/>
    </w:pPr>
    <w:rPr>
      <w:rFonts w:ascii="仿宋_GB2312" w:eastAsia="仿宋_GB2312" w:hAnsi="Times New Roman" w:cs="Times New Roman"/>
      <w:sz w:val="28"/>
      <w:szCs w:val="24"/>
    </w:rPr>
  </w:style>
  <w:style w:type="paragraph" w:styleId="afc">
    <w:name w:val="Date"/>
    <w:basedOn w:val="a"/>
    <w:next w:val="a"/>
    <w:link w:val="afd"/>
    <w:unhideWhenUsed/>
    <w:qFormat/>
    <w:rPr>
      <w:rFonts w:ascii="Times New Roman" w:eastAsia="宋体" w:hAnsi="Times New Roman" w:cs="Times New Roman"/>
      <w:b/>
      <w:sz w:val="24"/>
      <w:szCs w:val="20"/>
    </w:rPr>
  </w:style>
  <w:style w:type="paragraph" w:styleId="29">
    <w:name w:val="Body Text Indent 2"/>
    <w:basedOn w:val="a"/>
    <w:link w:val="230"/>
    <w:qFormat/>
    <w:pPr>
      <w:spacing w:after="120" w:line="480" w:lineRule="auto"/>
      <w:ind w:leftChars="200" w:left="420"/>
    </w:pPr>
    <w:rPr>
      <w:rFonts w:eastAsia="宋体"/>
      <w:szCs w:val="24"/>
    </w:rPr>
  </w:style>
  <w:style w:type="paragraph" w:styleId="afe">
    <w:name w:val="endnote text"/>
    <w:basedOn w:val="a"/>
    <w:link w:val="aff"/>
    <w:qFormat/>
    <w:pPr>
      <w:adjustRightInd w:val="0"/>
      <w:snapToGrid w:val="0"/>
      <w:spacing w:line="300" w:lineRule="auto"/>
      <w:jc w:val="left"/>
    </w:pPr>
    <w:rPr>
      <w:rFonts w:ascii="仿宋_GB2312" w:eastAsia="仿宋_GB2312"/>
      <w:sz w:val="28"/>
      <w:szCs w:val="24"/>
    </w:rPr>
  </w:style>
  <w:style w:type="paragraph" w:styleId="53">
    <w:name w:val="List Continue 5"/>
    <w:basedOn w:val="a"/>
    <w:qFormat/>
    <w:pPr>
      <w:spacing w:before="60" w:after="120"/>
      <w:ind w:left="2100" w:firstLine="482"/>
    </w:pPr>
    <w:rPr>
      <w:rFonts w:ascii="Arial" w:eastAsia="仿宋_GB2312" w:hAnsi="Arial" w:cs="Times New Roman"/>
      <w:kern w:val="0"/>
      <w:sz w:val="24"/>
      <w:szCs w:val="20"/>
    </w:rPr>
  </w:style>
  <w:style w:type="paragraph" w:styleId="aff0">
    <w:name w:val="Balloon Text"/>
    <w:basedOn w:val="a"/>
    <w:link w:val="aff1"/>
    <w:unhideWhenUsed/>
    <w:qFormat/>
    <w:rPr>
      <w:sz w:val="18"/>
      <w:szCs w:val="18"/>
    </w:rPr>
  </w:style>
  <w:style w:type="paragraph" w:styleId="aff2">
    <w:name w:val="footer"/>
    <w:basedOn w:val="a"/>
    <w:link w:val="aff3"/>
    <w:unhideWhenUsed/>
    <w:qFormat/>
    <w:pPr>
      <w:tabs>
        <w:tab w:val="center" w:pos="4153"/>
        <w:tab w:val="right" w:pos="8306"/>
      </w:tabs>
      <w:snapToGrid w:val="0"/>
      <w:jc w:val="left"/>
    </w:pPr>
    <w:rPr>
      <w:sz w:val="18"/>
      <w:szCs w:val="18"/>
    </w:rPr>
  </w:style>
  <w:style w:type="paragraph" w:styleId="aff4">
    <w:name w:val="envelope return"/>
    <w:basedOn w:val="a"/>
    <w:qFormat/>
    <w:pPr>
      <w:snapToGrid w:val="0"/>
      <w:spacing w:before="60"/>
      <w:ind w:firstLine="482"/>
    </w:pPr>
    <w:rPr>
      <w:rFonts w:ascii="Arial" w:eastAsia="仿宋_GB2312" w:hAnsi="Arial" w:cs="Arial"/>
      <w:kern w:val="0"/>
      <w:sz w:val="24"/>
      <w:szCs w:val="20"/>
    </w:rPr>
  </w:style>
  <w:style w:type="paragraph" w:styleId="aff5">
    <w:name w:val="header"/>
    <w:basedOn w:val="a"/>
    <w:link w:val="aff6"/>
    <w:unhideWhenUsed/>
    <w:qFormat/>
    <w:pPr>
      <w:pBdr>
        <w:bottom w:val="single" w:sz="6" w:space="1" w:color="auto"/>
      </w:pBdr>
      <w:tabs>
        <w:tab w:val="center" w:pos="4153"/>
        <w:tab w:val="right" w:pos="8306"/>
      </w:tabs>
      <w:snapToGrid w:val="0"/>
      <w:jc w:val="center"/>
    </w:pPr>
    <w:rPr>
      <w:sz w:val="18"/>
      <w:szCs w:val="18"/>
    </w:rPr>
  </w:style>
  <w:style w:type="paragraph" w:styleId="aff7">
    <w:name w:val="Signature"/>
    <w:basedOn w:val="a"/>
    <w:link w:val="2a"/>
    <w:qFormat/>
    <w:pPr>
      <w:spacing w:before="60"/>
      <w:ind w:left="4320" w:firstLine="482"/>
    </w:pPr>
    <w:rPr>
      <w:rFonts w:ascii="Arial" w:eastAsia="仿宋_GB2312" w:hAnsi="Arial"/>
    </w:rPr>
  </w:style>
  <w:style w:type="paragraph" w:styleId="TOC1">
    <w:name w:val="toc 1"/>
    <w:basedOn w:val="a"/>
    <w:next w:val="a"/>
    <w:link w:val="TOC10"/>
    <w:qFormat/>
    <w:pPr>
      <w:spacing w:before="133"/>
      <w:jc w:val="left"/>
    </w:pPr>
    <w:rPr>
      <w:rFonts w:ascii="宋体" w:eastAsia="宋体" w:hAnsi="宋体"/>
      <w:b/>
      <w:bCs/>
      <w:kern w:val="0"/>
      <w:sz w:val="24"/>
      <w:szCs w:val="24"/>
      <w:lang w:eastAsia="en-US"/>
    </w:rPr>
  </w:style>
  <w:style w:type="paragraph" w:styleId="44">
    <w:name w:val="List Continue 4"/>
    <w:basedOn w:val="a"/>
    <w:qFormat/>
    <w:pPr>
      <w:spacing w:before="60" w:after="120"/>
      <w:ind w:left="1680" w:firstLine="482"/>
    </w:pPr>
    <w:rPr>
      <w:rFonts w:ascii="Arial" w:eastAsia="仿宋_GB2312" w:hAnsi="Arial" w:cs="Times New Roman"/>
      <w:kern w:val="0"/>
      <w:sz w:val="24"/>
      <w:szCs w:val="20"/>
    </w:rPr>
  </w:style>
  <w:style w:type="paragraph" w:styleId="TOC4">
    <w:name w:val="toc 4"/>
    <w:basedOn w:val="a"/>
    <w:next w:val="a"/>
    <w:qFormat/>
    <w:pPr>
      <w:spacing w:before="135"/>
      <w:ind w:left="538"/>
      <w:jc w:val="left"/>
    </w:pPr>
    <w:rPr>
      <w:rFonts w:ascii="宋体" w:eastAsia="宋体" w:hAnsi="宋体"/>
      <w:kern w:val="0"/>
      <w:sz w:val="24"/>
      <w:szCs w:val="24"/>
      <w:lang w:eastAsia="en-US"/>
    </w:rPr>
  </w:style>
  <w:style w:type="paragraph" w:styleId="aff8">
    <w:name w:val="index heading"/>
    <w:basedOn w:val="a"/>
    <w:next w:val="12"/>
    <w:qFormat/>
    <w:rPr>
      <w:rFonts w:ascii="Times New Roman" w:eastAsia="宋体" w:hAnsi="Times New Roman" w:cs="Times New Roman"/>
      <w:szCs w:val="24"/>
    </w:rPr>
  </w:style>
  <w:style w:type="paragraph" w:styleId="12">
    <w:name w:val="index 1"/>
    <w:basedOn w:val="a"/>
    <w:next w:val="a"/>
    <w:qFormat/>
    <w:rPr>
      <w:rFonts w:ascii="Times New Roman" w:eastAsia="宋体" w:hAnsi="Times New Roman" w:cs="Times New Roman"/>
      <w:szCs w:val="24"/>
    </w:rPr>
  </w:style>
  <w:style w:type="paragraph" w:styleId="aff9">
    <w:name w:val="Subtitle"/>
    <w:basedOn w:val="a"/>
    <w:next w:val="a"/>
    <w:link w:val="2b"/>
    <w:qFormat/>
    <w:pPr>
      <w:widowControl/>
      <w:spacing w:after="60"/>
      <w:jc w:val="center"/>
      <w:outlineLvl w:val="1"/>
    </w:pPr>
    <w:rPr>
      <w:rFonts w:ascii="Cambria" w:eastAsia="宋体" w:hAnsi="Cambria"/>
      <w:sz w:val="24"/>
      <w:szCs w:val="24"/>
    </w:rPr>
  </w:style>
  <w:style w:type="paragraph" w:styleId="54">
    <w:name w:val="List Number 5"/>
    <w:basedOn w:val="a"/>
    <w:qFormat/>
    <w:pPr>
      <w:tabs>
        <w:tab w:val="left" w:pos="420"/>
      </w:tabs>
      <w:spacing w:before="60"/>
      <w:ind w:left="420" w:hanging="420"/>
    </w:pPr>
    <w:rPr>
      <w:rFonts w:ascii="Arial" w:eastAsia="仿宋_GB2312" w:hAnsi="Arial" w:cs="Times New Roman"/>
      <w:kern w:val="0"/>
      <w:sz w:val="24"/>
      <w:szCs w:val="20"/>
    </w:rPr>
  </w:style>
  <w:style w:type="paragraph" w:styleId="affa">
    <w:name w:val="List"/>
    <w:basedOn w:val="a"/>
    <w:qFormat/>
    <w:pPr>
      <w:ind w:left="200" w:hangingChars="200" w:hanging="200"/>
    </w:pPr>
    <w:rPr>
      <w:rFonts w:ascii="Times New Roman" w:eastAsia="宋体" w:hAnsi="Times New Roman" w:cs="Times New Roman"/>
      <w:szCs w:val="24"/>
    </w:rPr>
  </w:style>
  <w:style w:type="paragraph" w:styleId="affb">
    <w:name w:val="footnote text"/>
    <w:basedOn w:val="a"/>
    <w:link w:val="affc"/>
    <w:qFormat/>
    <w:pPr>
      <w:snapToGrid w:val="0"/>
      <w:spacing w:before="60"/>
      <w:ind w:firstLine="482"/>
      <w:jc w:val="left"/>
    </w:pPr>
    <w:rPr>
      <w:rFonts w:ascii="Arial" w:eastAsia="仿宋_GB2312" w:hAnsi="Arial"/>
      <w:sz w:val="18"/>
      <w:szCs w:val="18"/>
    </w:rPr>
  </w:style>
  <w:style w:type="paragraph" w:styleId="TOC6">
    <w:name w:val="toc 6"/>
    <w:basedOn w:val="a"/>
    <w:next w:val="a"/>
    <w:qFormat/>
    <w:pPr>
      <w:ind w:left="1050"/>
      <w:jc w:val="left"/>
    </w:pPr>
    <w:rPr>
      <w:rFonts w:ascii="Times New Roman" w:eastAsia="宋体" w:hAnsi="Times New Roman" w:cs="Times New Roman"/>
      <w:sz w:val="18"/>
      <w:szCs w:val="18"/>
    </w:rPr>
  </w:style>
  <w:style w:type="paragraph" w:styleId="55">
    <w:name w:val="List 5"/>
    <w:basedOn w:val="a"/>
    <w:qFormat/>
    <w:pPr>
      <w:spacing w:before="60"/>
      <w:ind w:left="2100" w:hanging="420"/>
    </w:pPr>
    <w:rPr>
      <w:rFonts w:ascii="Arial" w:eastAsia="仿宋_GB2312" w:hAnsi="Arial" w:cs="Times New Roman"/>
      <w:kern w:val="0"/>
      <w:sz w:val="24"/>
      <w:szCs w:val="20"/>
    </w:rPr>
  </w:style>
  <w:style w:type="paragraph" w:styleId="36">
    <w:name w:val="Body Text Indent 3"/>
    <w:basedOn w:val="a"/>
    <w:link w:val="330"/>
    <w:qFormat/>
    <w:pPr>
      <w:spacing w:after="120"/>
      <w:ind w:leftChars="200" w:left="420"/>
    </w:pPr>
    <w:rPr>
      <w:rFonts w:eastAsia="宋体"/>
      <w:sz w:val="16"/>
      <w:szCs w:val="16"/>
    </w:rPr>
  </w:style>
  <w:style w:type="paragraph" w:styleId="70">
    <w:name w:val="index 7"/>
    <w:basedOn w:val="a"/>
    <w:next w:val="a"/>
    <w:qFormat/>
    <w:pPr>
      <w:adjustRightInd w:val="0"/>
      <w:snapToGrid w:val="0"/>
      <w:spacing w:line="300" w:lineRule="auto"/>
      <w:ind w:leftChars="1200" w:left="1200"/>
    </w:pPr>
    <w:rPr>
      <w:rFonts w:ascii="仿宋_GB2312" w:eastAsia="仿宋_GB2312" w:hAnsi="Times New Roman" w:cs="Times New Roman"/>
      <w:sz w:val="28"/>
      <w:szCs w:val="24"/>
    </w:rPr>
  </w:style>
  <w:style w:type="paragraph" w:styleId="90">
    <w:name w:val="index 9"/>
    <w:basedOn w:val="a"/>
    <w:next w:val="a"/>
    <w:qFormat/>
    <w:pPr>
      <w:adjustRightInd w:val="0"/>
      <w:snapToGrid w:val="0"/>
      <w:spacing w:line="300" w:lineRule="auto"/>
      <w:ind w:leftChars="1600" w:left="1600"/>
    </w:pPr>
    <w:rPr>
      <w:rFonts w:ascii="仿宋_GB2312" w:eastAsia="仿宋_GB2312" w:hAnsi="Times New Roman" w:cs="Times New Roman"/>
      <w:sz w:val="28"/>
      <w:szCs w:val="24"/>
    </w:rPr>
  </w:style>
  <w:style w:type="paragraph" w:styleId="affd">
    <w:name w:val="table of figures"/>
    <w:basedOn w:val="a"/>
    <w:next w:val="a"/>
    <w:qFormat/>
    <w:pPr>
      <w:ind w:left="420" w:hanging="420"/>
      <w:jc w:val="left"/>
    </w:pPr>
    <w:rPr>
      <w:rFonts w:ascii="Times New Roman" w:eastAsia="宋体" w:hAnsi="Times New Roman" w:cs="Times New Roman"/>
      <w:smallCaps/>
      <w:sz w:val="20"/>
      <w:szCs w:val="20"/>
    </w:rPr>
  </w:style>
  <w:style w:type="paragraph" w:styleId="TOC2">
    <w:name w:val="toc 2"/>
    <w:basedOn w:val="a"/>
    <w:next w:val="a"/>
    <w:uiPriority w:val="39"/>
    <w:qFormat/>
    <w:pPr>
      <w:spacing w:before="296"/>
      <w:jc w:val="left"/>
    </w:pPr>
    <w:rPr>
      <w:rFonts w:ascii="Times New Roman" w:eastAsia="Times New Roman" w:hAnsi="Times New Roman"/>
      <w:kern w:val="0"/>
      <w:sz w:val="18"/>
      <w:szCs w:val="18"/>
      <w:lang w:eastAsia="en-US"/>
    </w:rPr>
  </w:style>
  <w:style w:type="paragraph" w:styleId="TOC9">
    <w:name w:val="toc 9"/>
    <w:basedOn w:val="a"/>
    <w:next w:val="a"/>
    <w:qFormat/>
    <w:pPr>
      <w:ind w:left="1680"/>
      <w:jc w:val="left"/>
    </w:pPr>
    <w:rPr>
      <w:rFonts w:ascii="Times New Roman" w:eastAsia="宋体" w:hAnsi="Times New Roman" w:cs="Times New Roman"/>
      <w:sz w:val="18"/>
      <w:szCs w:val="18"/>
    </w:rPr>
  </w:style>
  <w:style w:type="paragraph" w:styleId="2c">
    <w:name w:val="Body Text 2"/>
    <w:basedOn w:val="a"/>
    <w:link w:val="220"/>
    <w:qFormat/>
    <w:pPr>
      <w:spacing w:after="120" w:line="480" w:lineRule="auto"/>
    </w:pPr>
    <w:rPr>
      <w:rFonts w:eastAsia="宋体"/>
      <w:szCs w:val="24"/>
    </w:rPr>
  </w:style>
  <w:style w:type="paragraph" w:styleId="45">
    <w:name w:val="List 4"/>
    <w:basedOn w:val="a"/>
    <w:qFormat/>
    <w:pPr>
      <w:spacing w:before="60"/>
      <w:ind w:left="1680" w:hanging="420"/>
    </w:pPr>
    <w:rPr>
      <w:rFonts w:ascii="Arial" w:eastAsia="仿宋_GB2312" w:hAnsi="Arial" w:cs="Times New Roman"/>
      <w:kern w:val="0"/>
      <w:sz w:val="24"/>
      <w:szCs w:val="20"/>
    </w:rPr>
  </w:style>
  <w:style w:type="paragraph" w:styleId="2d">
    <w:name w:val="List Continue 2"/>
    <w:basedOn w:val="a"/>
    <w:qFormat/>
    <w:pPr>
      <w:widowControl/>
      <w:spacing w:after="120"/>
      <w:ind w:leftChars="400" w:left="840"/>
      <w:jc w:val="left"/>
    </w:pPr>
    <w:rPr>
      <w:rFonts w:ascii="Times New Roman" w:eastAsia="宋体" w:hAnsi="Times New Roman" w:cs="Times New Roman"/>
      <w:kern w:val="0"/>
      <w:sz w:val="24"/>
      <w:szCs w:val="20"/>
    </w:rPr>
  </w:style>
  <w:style w:type="paragraph" w:styleId="affe">
    <w:name w:val="Message Header"/>
    <w:basedOn w:val="a"/>
    <w:link w:val="2e"/>
    <w:qFormat/>
    <w:pPr>
      <w:pBdr>
        <w:top w:val="single" w:sz="6" w:space="1" w:color="auto"/>
        <w:left w:val="single" w:sz="6" w:space="1" w:color="auto"/>
        <w:bottom w:val="single" w:sz="6" w:space="1" w:color="auto"/>
        <w:right w:val="single" w:sz="6" w:space="1" w:color="auto"/>
      </w:pBdr>
      <w:shd w:val="pct20" w:color="auto" w:fill="auto"/>
      <w:spacing w:before="60"/>
      <w:ind w:left="1080" w:hanging="1080"/>
    </w:pPr>
    <w:rPr>
      <w:rFonts w:ascii="Arial" w:eastAsia="仿宋_GB2312" w:hAnsi="Arial"/>
      <w:shd w:val="pct20" w:color="auto" w:fill="auto"/>
    </w:rPr>
  </w:style>
  <w:style w:type="paragraph" w:styleId="HTML0">
    <w:name w:val="HTML Preformatted"/>
    <w:basedOn w:val="a"/>
    <w:link w:val="HTML1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eastAsia="黑体" w:hAnsi="Courier New" w:cs="Courier New"/>
    </w:rPr>
  </w:style>
  <w:style w:type="paragraph" w:styleId="afff">
    <w:name w:val="Normal (Web)"/>
    <w:basedOn w:val="a"/>
    <w:qFormat/>
    <w:pPr>
      <w:widowControl/>
      <w:spacing w:before="100" w:beforeAutospacing="1" w:after="100" w:afterAutospacing="1"/>
      <w:jc w:val="left"/>
    </w:pPr>
    <w:rPr>
      <w:rFonts w:ascii="Arial Unicode MS" w:eastAsia="Times New Roman" w:hAnsi="Arial Unicode MS" w:cs="Times New Roman"/>
      <w:kern w:val="0"/>
      <w:sz w:val="24"/>
      <w:szCs w:val="24"/>
    </w:rPr>
  </w:style>
  <w:style w:type="paragraph" w:styleId="37">
    <w:name w:val="List Continue 3"/>
    <w:basedOn w:val="a"/>
    <w:qFormat/>
    <w:pPr>
      <w:spacing w:before="60" w:after="120"/>
      <w:ind w:left="1260" w:firstLine="482"/>
    </w:pPr>
    <w:rPr>
      <w:rFonts w:ascii="Arial" w:eastAsia="仿宋_GB2312" w:hAnsi="Arial" w:cs="Times New Roman"/>
      <w:kern w:val="0"/>
      <w:sz w:val="24"/>
      <w:szCs w:val="20"/>
    </w:rPr>
  </w:style>
  <w:style w:type="paragraph" w:styleId="2f">
    <w:name w:val="index 2"/>
    <w:basedOn w:val="a"/>
    <w:next w:val="a"/>
    <w:qFormat/>
    <w:pPr>
      <w:adjustRightInd w:val="0"/>
      <w:snapToGrid w:val="0"/>
      <w:spacing w:line="300" w:lineRule="auto"/>
      <w:ind w:leftChars="200" w:left="200"/>
    </w:pPr>
    <w:rPr>
      <w:rFonts w:ascii="仿宋_GB2312" w:eastAsia="仿宋_GB2312" w:hAnsi="Times New Roman" w:cs="Times New Roman"/>
      <w:sz w:val="28"/>
      <w:szCs w:val="24"/>
    </w:rPr>
  </w:style>
  <w:style w:type="paragraph" w:styleId="afff0">
    <w:name w:val="Title"/>
    <w:basedOn w:val="a"/>
    <w:link w:val="38"/>
    <w:qFormat/>
    <w:pPr>
      <w:spacing w:before="240" w:after="60"/>
      <w:jc w:val="center"/>
      <w:outlineLvl w:val="0"/>
    </w:pPr>
    <w:rPr>
      <w:rFonts w:ascii="Arial" w:eastAsia="宋体" w:hAnsi="Arial" w:cs="Arial"/>
      <w:b/>
      <w:bCs/>
      <w:sz w:val="32"/>
      <w:szCs w:val="32"/>
    </w:rPr>
  </w:style>
  <w:style w:type="paragraph" w:styleId="afff1">
    <w:name w:val="annotation subject"/>
    <w:basedOn w:val="af1"/>
    <w:next w:val="af1"/>
    <w:link w:val="afff2"/>
    <w:unhideWhenUsed/>
    <w:qFormat/>
    <w:rPr>
      <w:b/>
      <w:bCs/>
    </w:rPr>
  </w:style>
  <w:style w:type="paragraph" w:styleId="afff3">
    <w:name w:val="Body Text First Indent"/>
    <w:basedOn w:val="af5"/>
    <w:link w:val="afff4"/>
    <w:unhideWhenUsed/>
    <w:qFormat/>
    <w:pPr>
      <w:ind w:firstLineChars="100" w:firstLine="420"/>
    </w:pPr>
  </w:style>
  <w:style w:type="paragraph" w:styleId="2f0">
    <w:name w:val="Body Text First Indent 2"/>
    <w:basedOn w:val="af7"/>
    <w:link w:val="2f1"/>
    <w:qFormat/>
    <w:pPr>
      <w:widowControl/>
      <w:tabs>
        <w:tab w:val="clear" w:pos="3600"/>
      </w:tabs>
      <w:spacing w:after="120" w:line="240" w:lineRule="auto"/>
      <w:ind w:leftChars="200" w:left="420" w:firstLine="420"/>
      <w:jc w:val="left"/>
    </w:pPr>
    <w:rPr>
      <w:rFonts w:asciiTheme="minorHAnsi" w:hAnsiTheme="minorHAnsi" w:cstheme="minorBidi"/>
      <w:szCs w:val="22"/>
    </w:rPr>
  </w:style>
  <w:style w:type="table" w:styleId="afff5">
    <w:name w:val="Table Grid"/>
    <w:basedOn w:val="a2"/>
    <w:uiPriority w:val="3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6">
    <w:name w:val="Table Theme"/>
    <w:basedOn w:val="a2"/>
    <w:qFormat/>
    <w:pPr>
      <w:widowControl w:val="0"/>
      <w:numPr>
        <w:numId w:val="3"/>
      </w:numPr>
      <w:tabs>
        <w:tab w:val="left" w:pos="2040"/>
      </w:tabs>
      <w:ind w:left="204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3">
    <w:name w:val="Table Colorful 1"/>
    <w:basedOn w:val="a2"/>
    <w:pPr>
      <w:widowControl w:val="0"/>
      <w:jc w:val="both"/>
    </w:pPr>
    <w:rPr>
      <w:rFonts w:ascii="Times New Roman" w:eastAsia="宋体"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f2">
    <w:name w:val="Table Colorful 2"/>
    <w:basedOn w:val="a2"/>
    <w:pPr>
      <w:widowControl w:val="0"/>
      <w:jc w:val="both"/>
    </w:pPr>
    <w:rPr>
      <w:rFonts w:ascii="Times New Roman" w:eastAsia="宋体" w:hAnsi="Times New Roman" w:cs="Times New Roman"/>
    </w:rPr>
    <w:tblPr>
      <w:tblBorders>
        <w:bottom w:val="single" w:sz="12" w:space="0" w:color="000000"/>
      </w:tblBorders>
    </w:tblPr>
    <w:tcPr>
      <w:shd w:val="pct20" w:color="FFFF00" w:fill="FFFFFF"/>
    </w:tcPr>
    <w:tblStylePr w:type="firstRow">
      <w:rPr>
        <w:b/>
        <w:bCs/>
        <w:i/>
        <w:iCs/>
        <w:color w:val="FFFFFF"/>
      </w:rPr>
      <w:tblPr/>
      <w:tcPr>
        <w:tcBorders>
          <w:top w:val="nil"/>
          <w:left w:val="single" w:sz="12" w:space="0" w:color="00000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9">
    <w:name w:val="Table Colorful 3"/>
    <w:basedOn w:val="a2"/>
    <w:pPr>
      <w:widowControl w:val="0"/>
      <w:jc w:val="both"/>
    </w:pPr>
    <w:rPr>
      <w:rFonts w:ascii="Times New Roman" w:eastAsia="宋体" w:hAnsi="Times New Roman"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single" w:sz="6" w:space="0" w:color="000000"/>
          <w:bottom w:val="nil"/>
          <w:right w:val="nil"/>
          <w:insideH w:val="nil"/>
          <w:insideV w:val="nil"/>
          <w:tl2br w:val="nil"/>
          <w:tr2bl w:val="nil"/>
        </w:tcBorders>
        <w:shd w:val="solid" w:color="008080" w:fill="FFFFFF"/>
      </w:tcPr>
    </w:tblStylePr>
    <w:tblStylePr w:type="firstCol">
      <w:tblPr/>
      <w:tcPr>
        <w:tcBorders>
          <w:top w:val="nil"/>
          <w:left w:val="nil"/>
          <w:bottom w:val="single" w:sz="36" w:space="0" w:color="000000"/>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afff7">
    <w:name w:val="Table Elegant"/>
    <w:basedOn w:val="a2"/>
    <w:pPr>
      <w:widowControl w:val="0"/>
      <w:jc w:val="both"/>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4">
    <w:name w:val="Table Classic 1"/>
    <w:basedOn w:val="a2"/>
    <w:qFormat/>
    <w:pPr>
      <w:widowControl w:val="0"/>
      <w:jc w:val="both"/>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3">
    <w:name w:val="Table Classic 2"/>
    <w:basedOn w:val="a2"/>
    <w:pPr>
      <w:widowControl w:val="0"/>
      <w:jc w:val="both"/>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single" w:sz="6" w:space="0" w:color="000000"/>
          <w:bottom w:val="nil"/>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a">
    <w:name w:val="Table Classic 3"/>
    <w:basedOn w:val="a2"/>
    <w:pPr>
      <w:widowControl w:val="0"/>
      <w:jc w:val="both"/>
    </w:pPr>
    <w:rPr>
      <w:rFonts w:ascii="Times New Roman" w:eastAsia="宋体"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single" w:sz="6" w:space="0" w:color="000000"/>
          <w:bottom w:val="nil"/>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6">
    <w:name w:val="Table Classic 4"/>
    <w:basedOn w:val="a2"/>
    <w:pPr>
      <w:widowControl w:val="0"/>
      <w:jc w:val="both"/>
    </w:pPr>
    <w:rPr>
      <w:rFonts w:ascii="Times New Roman" w:eastAsia="宋体" w:hAnsi="Times New Roman"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single" w:sz="6" w:space="0" w:color="000000"/>
          <w:bottom w:val="nil"/>
          <w:right w:val="nil"/>
          <w:insideH w:val="nil"/>
          <w:insideV w:val="nil"/>
          <w:tl2br w:val="nil"/>
          <w:tr2bl w:val="nil"/>
        </w:tcBorders>
        <w:shd w:val="pct50" w:color="000080" w:fill="FFFFFF"/>
      </w:tcPr>
    </w:tblStylePr>
    <w:tblStylePr w:type="lastRow">
      <w:rPr>
        <w:color w:val="000080"/>
      </w:rPr>
      <w:tblPr/>
      <w:tcPr>
        <w:tcBorders>
          <w:top w:val="nil"/>
          <w:left w:val="single" w:sz="6" w:space="0" w:color="00000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5">
    <w:name w:val="Table Simple 1"/>
    <w:basedOn w:val="a2"/>
    <w:pPr>
      <w:widowControl w:val="0"/>
      <w:jc w:val="both"/>
    </w:pPr>
    <w:rPr>
      <w:rFonts w:ascii="Times New Roman" w:eastAsia="宋体" w:hAnsi="Times New Roman" w:cs="Times New Roman"/>
    </w:r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f4">
    <w:name w:val="Table Simple 2"/>
    <w:basedOn w:val="a2"/>
    <w:qFormat/>
    <w:pPr>
      <w:widowControl w:val="0"/>
      <w:jc w:val="both"/>
    </w:pPr>
    <w:rPr>
      <w:rFonts w:ascii="Times New Roman" w:eastAsia="宋体" w:hAnsi="Times New Roman" w:cs="Times New Roman"/>
    </w:rPr>
    <w:tblPr/>
    <w:tblStylePr w:type="firstRow">
      <w:rPr>
        <w:b/>
        <w:bCs/>
      </w:rPr>
      <w:tblPr/>
      <w:tcPr>
        <w:tcBorders>
          <w:top w:val="nil"/>
          <w:left w:val="single" w:sz="12" w:space="0" w:color="000000"/>
          <w:bottom w:val="nil"/>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nil"/>
          <w:bottom w:val="single" w:sz="6" w:space="0" w:color="00000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b">
    <w:name w:val="Table Simple 3"/>
    <w:basedOn w:val="a2"/>
    <w:qFormat/>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6">
    <w:name w:val="Table Subtle 1"/>
    <w:basedOn w:val="a2"/>
    <w:qFormat/>
    <w:pPr>
      <w:widowControl w:val="0"/>
      <w:jc w:val="both"/>
    </w:pPr>
    <w:rPr>
      <w:rFonts w:ascii="Times New Roman" w:eastAsia="宋体" w:hAnsi="Times New Roman" w:cs="Times New Roman"/>
    </w:rPr>
    <w:tblPr>
      <w:tblStyleRowBandSize w:val="1"/>
    </w:tblPr>
    <w:tblStylePr w:type="firstRow">
      <w:tblPr/>
      <w:tcPr>
        <w:tcBorders>
          <w:top w:val="single" w:sz="6" w:space="0" w:color="000000"/>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nil"/>
          <w:bottom w:val="single" w:sz="12" w:space="0" w:color="000000"/>
          <w:right w:val="nil"/>
          <w:insideH w:val="nil"/>
          <w:insideV w:val="nil"/>
          <w:tl2br w:val="nil"/>
          <w:tr2bl w:val="nil"/>
        </w:tcBorders>
      </w:tcPr>
    </w:tblStylePr>
    <w:tblStylePr w:type="band1Horz">
      <w:tblPr/>
      <w:tcPr>
        <w:tcBorders>
          <w:top w:val="nil"/>
          <w:left w:val="single" w:sz="6"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5">
    <w:name w:val="Table Subtle 2"/>
    <w:basedOn w:val="a2"/>
    <w:pPr>
      <w:widowControl w:val="0"/>
      <w:jc w:val="both"/>
    </w:pPr>
    <w:rPr>
      <w:rFonts w:ascii="Times New Roman" w:eastAsia="宋体" w:hAnsi="Times New Roman" w:cs="Times New Roman"/>
    </w:rPr>
    <w:tblPr>
      <w:tblBorders>
        <w:left w:val="single" w:sz="6" w:space="0" w:color="000000"/>
        <w:right w:val="single" w:sz="6" w:space="0" w:color="000000"/>
      </w:tblBorders>
    </w:tblPr>
    <w:tblStylePr w:type="firstRow">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nil"/>
          <w:bottom w:val="single" w:sz="12"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7">
    <w:name w:val="Table List 1"/>
    <w:basedOn w:val="a2"/>
    <w:pPr>
      <w:widowControl w:val="0"/>
      <w:jc w:val="both"/>
    </w:pPr>
    <w:rPr>
      <w:rFonts w:ascii="Times New Roman" w:eastAsia="宋体" w:hAnsi="Times New Roman" w:cs="Times New Roman"/>
    </w:r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single" w:sz="6" w:space="0" w:color="000000"/>
          <w:bottom w:val="nil"/>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6">
    <w:name w:val="Table List 2"/>
    <w:basedOn w:val="a2"/>
    <w:pPr>
      <w:widowControl w:val="0"/>
      <w:jc w:val="both"/>
    </w:pPr>
    <w:rPr>
      <w:rFonts w:ascii="Times New Roman" w:eastAsia="宋体" w:hAnsi="Times New Roman" w:cs="Times New Roman"/>
    </w:rPr>
    <w:tblPr>
      <w:tblBorders>
        <w:bottom w:val="single" w:sz="12" w:space="0" w:color="808080"/>
      </w:tblBorders>
    </w:tblPr>
    <w:tblStylePr w:type="firstRow">
      <w:rPr>
        <w:b/>
        <w:bCs/>
        <w:color w:val="FFFFFF"/>
      </w:rPr>
      <w:tblPr/>
      <w:tcPr>
        <w:tcBorders>
          <w:top w:val="nil"/>
          <w:left w:val="single" w:sz="6" w:space="0" w:color="000000"/>
          <w:bottom w:val="nil"/>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c">
    <w:name w:val="Table List 3"/>
    <w:basedOn w:val="a2"/>
    <w:pPr>
      <w:widowControl w:val="0"/>
      <w:jc w:val="both"/>
    </w:pPr>
    <w:rPr>
      <w:rFonts w:ascii="Times New Roman" w:eastAsia="宋体" w:hAnsi="Times New Roman" w:cs="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47">
    <w:name w:val="Table List 4"/>
    <w:basedOn w:val="a2"/>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single" w:sz="12" w:space="0" w:color="000000"/>
          <w:bottom w:val="nil"/>
          <w:right w:val="nil"/>
          <w:insideH w:val="nil"/>
          <w:insideV w:val="nil"/>
          <w:tl2br w:val="nil"/>
          <w:tr2bl w:val="nil"/>
        </w:tcBorders>
        <w:shd w:val="solid" w:color="808080" w:fill="FFFFFF"/>
      </w:tcPr>
    </w:tblStylePr>
  </w:style>
  <w:style w:type="table" w:styleId="56">
    <w:name w:val="Table List 5"/>
    <w:basedOn w:val="a2"/>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62">
    <w:name w:val="Table List 6"/>
    <w:basedOn w:val="a2"/>
    <w:qFormat/>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1">
    <w:name w:val="Table List 7"/>
    <w:basedOn w:val="a2"/>
    <w:pPr>
      <w:widowControl w:val="0"/>
      <w:jc w:val="both"/>
    </w:pPr>
    <w:rPr>
      <w:rFonts w:ascii="Times New Roman" w:eastAsia="宋体" w:hAnsi="Times New Roman" w:cs="Times New Roman"/>
    </w:r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1">
    <w:name w:val="Table List 8"/>
    <w:basedOn w:val="a2"/>
    <w:qFormat/>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single" w:sz="6" w:space="0" w:color="000000"/>
          <w:bottom w:val="nil"/>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f8">
    <w:name w:val="Table Contemporary"/>
    <w:basedOn w:val="a2"/>
    <w:pPr>
      <w:widowControl w:val="0"/>
      <w:jc w:val="both"/>
    </w:pPr>
    <w:rPr>
      <w:rFonts w:ascii="Times New Roman" w:eastAsia="宋体" w:hAnsi="Times New Roman" w:cs="Times New Roman"/>
    </w:r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8">
    <w:name w:val="Table Columns 1"/>
    <w:basedOn w:val="a2"/>
    <w:pPr>
      <w:widowControl w:val="0"/>
      <w:jc w:val="both"/>
    </w:pPr>
    <w:rPr>
      <w:rFonts w:ascii="Times New Roman" w:eastAsia="宋体" w:hAnsi="Times New Roman" w:cs="Times New Roman"/>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double" w:sz="6" w:space="0" w:color="00000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7">
    <w:name w:val="Table Columns 2"/>
    <w:basedOn w:val="a2"/>
    <w:pPr>
      <w:widowControl w:val="0"/>
      <w:jc w:val="both"/>
    </w:pPr>
    <w:rPr>
      <w:rFonts w:ascii="Times New Roman" w:eastAsia="宋体" w:hAnsi="Times New Roman" w:cs="Times New Roman"/>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d">
    <w:name w:val="Table Columns 3"/>
    <w:basedOn w:val="a2"/>
    <w:pPr>
      <w:widowControl w:val="0"/>
      <w:jc w:val="both"/>
    </w:pPr>
    <w:rPr>
      <w:rFonts w:ascii="Times New Roman" w:eastAsia="宋体" w:hAnsi="Times New Roman" w:cs="Times New Roman"/>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8">
    <w:name w:val="Table Columns 4"/>
    <w:basedOn w:val="a2"/>
    <w:qFormat/>
    <w:pPr>
      <w:widowControl w:val="0"/>
      <w:jc w:val="both"/>
    </w:pPr>
    <w:rPr>
      <w:rFonts w:ascii="Times New Roman" w:eastAsia="宋体" w:hAnsi="Times New Roman" w:cs="Times New Roman"/>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2"/>
    <w:qFormat/>
    <w:pPr>
      <w:widowControl w:val="0"/>
      <w:jc w:val="both"/>
    </w:pPr>
    <w:rPr>
      <w:rFonts w:ascii="Times New Roman" w:eastAsia="宋体" w:hAnsi="Times New Roman" w:cs="Times New Roman"/>
    </w:r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single" w:sz="6" w:space="0" w:color="808080"/>
          <w:bottom w:val="nil"/>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2"/>
    <w:qFormat/>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8">
    <w:name w:val="Table Grid 2"/>
    <w:basedOn w:val="a2"/>
    <w:qFormat/>
    <w:pPr>
      <w:widowControl w:val="0"/>
      <w:jc w:val="both"/>
    </w:pPr>
    <w:rPr>
      <w:rFonts w:ascii="Times New Roman" w:eastAsia="宋体" w:hAnsi="Times New Roman" w:cs="Times New Roman"/>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e">
    <w:name w:val="Table Grid 3"/>
    <w:basedOn w:val="a2"/>
    <w:pPr>
      <w:widowControl w:val="0"/>
      <w:jc w:val="both"/>
    </w:pPr>
    <w:rPr>
      <w:rFonts w:ascii="Times New Roman" w:eastAsia="宋体" w:hAnsi="Times New Roman"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9">
    <w:name w:val="Table Grid 4"/>
    <w:basedOn w:val="a2"/>
    <w:pPr>
      <w:widowControl w:val="0"/>
      <w:jc w:val="both"/>
    </w:pPr>
    <w:rPr>
      <w:rFonts w:ascii="Times New Roman" w:eastAsia="宋体" w:hAnsi="Times New Roman" w:cs="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8">
    <w:name w:val="Table Grid 5"/>
    <w:basedOn w:val="a2"/>
    <w:qFormat/>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single" w:sz="12" w:space="0" w:color="00000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3">
    <w:name w:val="Table Grid 6"/>
    <w:basedOn w:val="a2"/>
    <w:qFormat/>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2">
    <w:name w:val="Table Grid 7"/>
    <w:basedOn w:val="a2"/>
    <w:qFormat/>
    <w:pPr>
      <w:widowControl w:val="0"/>
      <w:jc w:val="both"/>
    </w:pPr>
    <w:rPr>
      <w:rFonts w:ascii="Times New Roman" w:eastAsia="宋体"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single" w:sz="12" w:space="0" w:color="000000"/>
          <w:bottom w:val="nil"/>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2">
    <w:name w:val="Table Grid 8"/>
    <w:basedOn w:val="a2"/>
    <w:qFormat/>
    <w:pPr>
      <w:widowControl w:val="0"/>
      <w:jc w:val="both"/>
    </w:pPr>
    <w:rPr>
      <w:rFonts w:ascii="Times New Roman" w:eastAsia="宋体" w:hAnsi="Times New Roman"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a">
    <w:name w:val="Table Web 1"/>
    <w:basedOn w:val="a2"/>
    <w:qFormat/>
    <w:pPr>
      <w:widowControl w:val="0"/>
      <w:jc w:val="both"/>
    </w:pPr>
    <w:rPr>
      <w:rFonts w:ascii="Times New Roman" w:eastAsia="宋体"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9">
    <w:name w:val="Table Web 2"/>
    <w:basedOn w:val="a2"/>
    <w:qFormat/>
    <w:pPr>
      <w:widowControl w:val="0"/>
      <w:jc w:val="both"/>
    </w:pPr>
    <w:rPr>
      <w:rFonts w:ascii="Times New Roman" w:eastAsia="宋体" w:hAnsi="Times New Roman"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f">
    <w:name w:val="Table Web 3"/>
    <w:basedOn w:val="a2"/>
    <w:pPr>
      <w:widowControl w:val="0"/>
      <w:jc w:val="both"/>
    </w:pPr>
    <w:rPr>
      <w:rFonts w:ascii="Times New Roman" w:eastAsia="宋体" w:hAnsi="Times New Roman"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f9">
    <w:name w:val="Table Professional"/>
    <w:basedOn w:val="a2"/>
    <w:qFormat/>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fa">
    <w:name w:val="Strong"/>
    <w:qFormat/>
    <w:rPr>
      <w:b/>
      <w:bCs/>
    </w:rPr>
  </w:style>
  <w:style w:type="character" w:styleId="afffb">
    <w:name w:val="endnote reference"/>
    <w:qFormat/>
    <w:rPr>
      <w:rFonts w:cs="Times New Roman"/>
      <w:vertAlign w:val="superscript"/>
    </w:rPr>
  </w:style>
  <w:style w:type="character" w:styleId="afffc">
    <w:name w:val="page number"/>
    <w:basedOn w:val="a1"/>
    <w:qFormat/>
  </w:style>
  <w:style w:type="character" w:styleId="afffd">
    <w:name w:val="FollowedHyperlink"/>
    <w:uiPriority w:val="99"/>
    <w:qFormat/>
    <w:rPr>
      <w:color w:val="800080"/>
      <w:u w:val="single"/>
    </w:rPr>
  </w:style>
  <w:style w:type="character" w:styleId="afffe">
    <w:name w:val="Emphasis"/>
    <w:uiPriority w:val="20"/>
    <w:qFormat/>
    <w:rPr>
      <w:color w:val="CC0000"/>
    </w:rPr>
  </w:style>
  <w:style w:type="character" w:styleId="affff">
    <w:name w:val="line number"/>
    <w:qFormat/>
    <w:rPr>
      <w:rFonts w:ascii="宋体" w:eastAsia="宋体" w:hAnsi="宋体" w:cs="Courier New"/>
      <w:kern w:val="2"/>
      <w:sz w:val="32"/>
      <w:szCs w:val="32"/>
      <w:lang w:val="en-US" w:eastAsia="zh-CN" w:bidi="ar-SA"/>
    </w:rPr>
  </w:style>
  <w:style w:type="character" w:styleId="HTML2">
    <w:name w:val="HTML Definition"/>
    <w:qFormat/>
    <w:rPr>
      <w:rFonts w:ascii="宋体" w:eastAsia="宋体" w:hAnsi="宋体" w:cs="Courier New"/>
      <w:i/>
      <w:iCs/>
      <w:kern w:val="2"/>
      <w:sz w:val="32"/>
      <w:szCs w:val="32"/>
      <w:lang w:val="en-US" w:eastAsia="zh-CN" w:bidi="ar-SA"/>
    </w:rPr>
  </w:style>
  <w:style w:type="character" w:styleId="HTML3">
    <w:name w:val="HTML Typewriter"/>
    <w:qFormat/>
    <w:rPr>
      <w:rFonts w:ascii="黑体" w:eastAsia="黑体" w:hAnsi="Courier New" w:cs="Courier New"/>
      <w:sz w:val="18"/>
      <w:szCs w:val="18"/>
    </w:rPr>
  </w:style>
  <w:style w:type="character" w:styleId="HTML4">
    <w:name w:val="HTML Acronym"/>
    <w:qFormat/>
    <w:rPr>
      <w:rFonts w:ascii="宋体" w:eastAsia="宋体" w:hAnsi="宋体" w:cs="Courier New"/>
      <w:kern w:val="2"/>
      <w:sz w:val="32"/>
      <w:szCs w:val="32"/>
      <w:lang w:val="en-US" w:eastAsia="zh-CN" w:bidi="ar-SA"/>
    </w:rPr>
  </w:style>
  <w:style w:type="character" w:styleId="HTML5">
    <w:name w:val="HTML Variable"/>
    <w:qFormat/>
    <w:rPr>
      <w:rFonts w:ascii="宋体" w:eastAsia="宋体" w:hAnsi="宋体" w:cs="Courier New"/>
      <w:i/>
      <w:iCs/>
      <w:kern w:val="2"/>
      <w:sz w:val="32"/>
      <w:szCs w:val="32"/>
      <w:lang w:val="en-US" w:eastAsia="zh-CN" w:bidi="ar-SA"/>
    </w:rPr>
  </w:style>
  <w:style w:type="character" w:styleId="affff0">
    <w:name w:val="Hyperlink"/>
    <w:basedOn w:val="a1"/>
    <w:uiPriority w:val="99"/>
    <w:unhideWhenUsed/>
    <w:qFormat/>
    <w:rPr>
      <w:color w:val="0000FF"/>
      <w:u w:val="single"/>
    </w:rPr>
  </w:style>
  <w:style w:type="character" w:styleId="HTML6">
    <w:name w:val="HTML Code"/>
    <w:qFormat/>
    <w:rPr>
      <w:rFonts w:ascii="黑体" w:eastAsia="黑体" w:hAnsi="Courier New" w:cs="Courier New"/>
      <w:sz w:val="20"/>
      <w:szCs w:val="20"/>
    </w:rPr>
  </w:style>
  <w:style w:type="character" w:styleId="affff1">
    <w:name w:val="annotation reference"/>
    <w:basedOn w:val="a1"/>
    <w:unhideWhenUsed/>
    <w:qFormat/>
    <w:rPr>
      <w:sz w:val="21"/>
      <w:szCs w:val="21"/>
    </w:rPr>
  </w:style>
  <w:style w:type="character" w:styleId="HTML7">
    <w:name w:val="HTML Cite"/>
    <w:qFormat/>
    <w:rPr>
      <w:rFonts w:ascii="宋体" w:eastAsia="宋体" w:hAnsi="宋体" w:cs="Courier New"/>
      <w:i/>
      <w:iCs/>
      <w:kern w:val="2"/>
      <w:sz w:val="32"/>
      <w:szCs w:val="32"/>
      <w:lang w:val="en-US" w:eastAsia="zh-CN" w:bidi="ar-SA"/>
    </w:rPr>
  </w:style>
  <w:style w:type="character" w:styleId="affff2">
    <w:name w:val="footnote reference"/>
    <w:qFormat/>
    <w:rPr>
      <w:vertAlign w:val="superscript"/>
    </w:rPr>
  </w:style>
  <w:style w:type="character" w:styleId="HTML8">
    <w:name w:val="HTML Keyboard"/>
    <w:qFormat/>
    <w:rPr>
      <w:rFonts w:ascii="Courier New" w:hAnsi="Courier New" w:cs="Courier New"/>
      <w:sz w:val="20"/>
      <w:szCs w:val="20"/>
    </w:rPr>
  </w:style>
  <w:style w:type="character" w:styleId="HTML9">
    <w:name w:val="HTML Sample"/>
    <w:qFormat/>
    <w:rPr>
      <w:rFonts w:ascii="Courier New" w:eastAsia="宋体" w:hAnsi="Courier New" w:cs="Courier New"/>
      <w:kern w:val="2"/>
      <w:sz w:val="32"/>
      <w:szCs w:val="32"/>
      <w:lang w:val="en-US" w:eastAsia="zh-CN" w:bidi="ar-SA"/>
    </w:rPr>
  </w:style>
  <w:style w:type="character" w:customStyle="1" w:styleId="aff6">
    <w:name w:val="页眉 字符"/>
    <w:basedOn w:val="a1"/>
    <w:link w:val="aff5"/>
    <w:qFormat/>
    <w:rPr>
      <w:sz w:val="18"/>
      <w:szCs w:val="18"/>
    </w:rPr>
  </w:style>
  <w:style w:type="character" w:customStyle="1" w:styleId="aff3">
    <w:name w:val="页脚 字符"/>
    <w:basedOn w:val="a1"/>
    <w:link w:val="aff2"/>
    <w:qFormat/>
    <w:rPr>
      <w:sz w:val="18"/>
      <w:szCs w:val="18"/>
    </w:rPr>
  </w:style>
  <w:style w:type="paragraph" w:styleId="affff3">
    <w:name w:val="List Paragraph"/>
    <w:basedOn w:val="a"/>
    <w:uiPriority w:val="34"/>
    <w:qFormat/>
    <w:pPr>
      <w:ind w:firstLineChars="200" w:firstLine="420"/>
    </w:pPr>
  </w:style>
  <w:style w:type="character" w:customStyle="1" w:styleId="aff1">
    <w:name w:val="批注框文本 字符"/>
    <w:basedOn w:val="a1"/>
    <w:link w:val="aff0"/>
    <w:qFormat/>
    <w:rPr>
      <w:sz w:val="18"/>
      <w:szCs w:val="18"/>
    </w:rPr>
  </w:style>
  <w:style w:type="paragraph" w:customStyle="1" w:styleId="BodyText22">
    <w:name w:val="Body Text 22"/>
    <w:basedOn w:val="a"/>
    <w:qFormat/>
    <w:pPr>
      <w:numPr>
        <w:ilvl w:val="4"/>
        <w:numId w:val="3"/>
      </w:numPr>
      <w:tabs>
        <w:tab w:val="left" w:pos="1440"/>
      </w:tabs>
      <w:adjustRightInd w:val="0"/>
      <w:spacing w:line="440" w:lineRule="atLeast"/>
      <w:ind w:firstLine="480"/>
      <w:textAlignment w:val="baseline"/>
    </w:pPr>
    <w:rPr>
      <w:rFonts w:ascii="Times New Roman" w:eastAsia="仿宋_GB2312" w:hAnsi="Times New Roman" w:cs="Times New Roman"/>
      <w:sz w:val="24"/>
      <w:szCs w:val="20"/>
    </w:rPr>
  </w:style>
  <w:style w:type="character" w:customStyle="1" w:styleId="af2">
    <w:name w:val="批注文字 字符"/>
    <w:basedOn w:val="a1"/>
    <w:link w:val="af1"/>
    <w:qFormat/>
  </w:style>
  <w:style w:type="character" w:customStyle="1" w:styleId="afff2">
    <w:name w:val="批注主题 字符"/>
    <w:basedOn w:val="af2"/>
    <w:link w:val="afff1"/>
    <w:qFormat/>
    <w:rPr>
      <w:b/>
      <w:bCs/>
    </w:rPr>
  </w:style>
  <w:style w:type="paragraph" w:customStyle="1" w:styleId="CharCharCharChar">
    <w:name w:val="Char Char Char Char"/>
    <w:basedOn w:val="a"/>
    <w:pPr>
      <w:widowControl/>
      <w:jc w:val="left"/>
    </w:pPr>
    <w:rPr>
      <w:rFonts w:ascii="Times New Roman" w:eastAsia="宋体" w:hAnsi="Times New Roman" w:cs="Times New Roman"/>
      <w:kern w:val="0"/>
      <w:sz w:val="24"/>
      <w:szCs w:val="20"/>
    </w:rPr>
  </w:style>
  <w:style w:type="character" w:customStyle="1" w:styleId="luluChar">
    <w:name w:val="正文（lulu四号字） Char"/>
    <w:link w:val="lulu"/>
    <w:qFormat/>
    <w:rPr>
      <w:rFonts w:ascii="宋体" w:eastAsia="宋体" w:hAnsi="宋体" w:cs="宋体"/>
      <w:sz w:val="28"/>
    </w:rPr>
  </w:style>
  <w:style w:type="paragraph" w:customStyle="1" w:styleId="lulu">
    <w:name w:val="正文（lulu四号字）"/>
    <w:basedOn w:val="a"/>
    <w:link w:val="luluChar"/>
    <w:qFormat/>
    <w:pPr>
      <w:spacing w:line="500" w:lineRule="exact"/>
      <w:ind w:firstLineChars="200" w:firstLine="560"/>
    </w:pPr>
    <w:rPr>
      <w:rFonts w:ascii="宋体" w:eastAsia="宋体" w:hAnsi="宋体" w:cs="宋体"/>
      <w:sz w:val="28"/>
    </w:rPr>
  </w:style>
  <w:style w:type="character" w:customStyle="1" w:styleId="affff4">
    <w:name w:val="纯文本 字符"/>
    <w:basedOn w:val="a1"/>
    <w:qFormat/>
    <w:rPr>
      <w:rFonts w:asciiTheme="minorEastAsia" w:hAnsi="Courier New" w:cs="Courier New"/>
    </w:rPr>
  </w:style>
  <w:style w:type="character" w:customStyle="1" w:styleId="11">
    <w:name w:val="纯文本 字符1"/>
    <w:link w:val="afb"/>
    <w:qFormat/>
    <w:rPr>
      <w:rFonts w:ascii="宋体" w:eastAsia="宋体" w:hAnsi="Courier New" w:cs="Courier New"/>
      <w:kern w:val="0"/>
      <w:szCs w:val="21"/>
    </w:rPr>
  </w:style>
  <w:style w:type="paragraph" w:customStyle="1" w:styleId="CharCharCharChar1111">
    <w:name w:val="Char Char Char Char1111"/>
    <w:basedOn w:val="a"/>
    <w:pPr>
      <w:widowControl/>
      <w:jc w:val="left"/>
    </w:pPr>
    <w:rPr>
      <w:rFonts w:ascii="Times New Roman" w:eastAsia="宋体" w:hAnsi="Times New Roman" w:cs="Times New Roman"/>
      <w:kern w:val="0"/>
      <w:sz w:val="24"/>
      <w:szCs w:val="20"/>
    </w:rPr>
  </w:style>
  <w:style w:type="character" w:customStyle="1" w:styleId="afd">
    <w:name w:val="日期 字符"/>
    <w:basedOn w:val="a1"/>
    <w:link w:val="afc"/>
    <w:qFormat/>
    <w:rPr>
      <w:rFonts w:ascii="Times New Roman" w:eastAsia="宋体" w:hAnsi="Times New Roman" w:cs="Times New Roman"/>
      <w:b/>
      <w:sz w:val="24"/>
      <w:szCs w:val="20"/>
    </w:rPr>
  </w:style>
  <w:style w:type="character" w:customStyle="1" w:styleId="60">
    <w:name w:val="标题 6 字符"/>
    <w:basedOn w:val="a1"/>
    <w:link w:val="6"/>
    <w:qFormat/>
    <w:rPr>
      <w:rFonts w:asciiTheme="majorHAnsi" w:eastAsiaTheme="majorEastAsia" w:hAnsiTheme="majorHAnsi" w:cstheme="majorBidi"/>
      <w:b/>
      <w:bCs/>
      <w:sz w:val="24"/>
      <w:szCs w:val="24"/>
    </w:rPr>
  </w:style>
  <w:style w:type="character" w:customStyle="1" w:styleId="style11">
    <w:name w:val="style11"/>
    <w:qFormat/>
    <w:rPr>
      <w:sz w:val="21"/>
      <w:szCs w:val="21"/>
    </w:rPr>
  </w:style>
  <w:style w:type="character" w:customStyle="1" w:styleId="a7">
    <w:name w:val="正文缩进 字符"/>
    <w:link w:val="a0"/>
    <w:qFormat/>
    <w:rPr>
      <w:rFonts w:ascii="宋体" w:eastAsia="宋体" w:hAnsi="宋体" w:cs="宋体"/>
      <w:b/>
      <w:bCs/>
      <w:sz w:val="24"/>
    </w:rPr>
  </w:style>
  <w:style w:type="paragraph" w:customStyle="1" w:styleId="CharCharChar1CharCharCharCharCharCharChar">
    <w:name w:val="Char Char Char1 Char Char Char Char Char Char Char"/>
    <w:basedOn w:val="a"/>
    <w:rPr>
      <w:rFonts w:ascii="Tahoma" w:eastAsia="宋体" w:hAnsi="Tahoma" w:cs="Times New Roman"/>
      <w:sz w:val="24"/>
      <w:szCs w:val="20"/>
    </w:rPr>
  </w:style>
  <w:style w:type="paragraph" w:customStyle="1" w:styleId="CharCharChar1CharCharCharCharCharCharChar11">
    <w:name w:val="Char Char Char1 Char Char Char Char Char Char Char11"/>
    <w:basedOn w:val="a"/>
    <w:rPr>
      <w:rFonts w:ascii="Tahoma" w:eastAsia="宋体" w:hAnsi="Tahoma" w:cs="Times New Roman"/>
      <w:sz w:val="24"/>
      <w:szCs w:val="20"/>
    </w:rPr>
  </w:style>
  <w:style w:type="paragraph" w:customStyle="1" w:styleId="CharCharChar1CharCharCharCharCharCharChar211">
    <w:name w:val="Char Char Char1 Char Char Char Char Char Char Char211"/>
    <w:basedOn w:val="a"/>
    <w:rPr>
      <w:rFonts w:ascii="Tahoma" w:eastAsia="宋体" w:hAnsi="Tahoma" w:cs="Times New Roman"/>
      <w:sz w:val="24"/>
      <w:szCs w:val="20"/>
    </w:rPr>
  </w:style>
  <w:style w:type="character" w:customStyle="1" w:styleId="30">
    <w:name w:val="标题 3 字符"/>
    <w:basedOn w:val="a1"/>
    <w:link w:val="3"/>
    <w:qFormat/>
    <w:rPr>
      <w:rFonts w:ascii="Times New Roman" w:eastAsia="宋体" w:hAnsi="Times New Roman" w:cs="Times New Roman"/>
      <w:b/>
      <w:bCs/>
      <w:kern w:val="0"/>
      <w:sz w:val="32"/>
      <w:szCs w:val="32"/>
    </w:rPr>
  </w:style>
  <w:style w:type="paragraph" w:customStyle="1" w:styleId="Default">
    <w:name w:val="Default"/>
    <w:qFormat/>
    <w:pPr>
      <w:widowControl w:val="0"/>
      <w:autoSpaceDE w:val="0"/>
      <w:autoSpaceDN w:val="0"/>
      <w:adjustRightInd w:val="0"/>
    </w:pPr>
    <w:rPr>
      <w:rFonts w:ascii="宋体" w:eastAsia="宋体" w:cs="宋体"/>
      <w:color w:val="000000"/>
      <w:sz w:val="24"/>
      <w:szCs w:val="24"/>
    </w:rPr>
  </w:style>
  <w:style w:type="paragraph" w:customStyle="1" w:styleId="affff5">
    <w:name w:val="正文强迫症版本"/>
    <w:basedOn w:val="a"/>
    <w:qFormat/>
    <w:pPr>
      <w:widowControl/>
      <w:snapToGrid w:val="0"/>
      <w:spacing w:line="520" w:lineRule="exact"/>
      <w:ind w:firstLineChars="200" w:firstLine="200"/>
      <w:jc w:val="left"/>
    </w:pPr>
    <w:rPr>
      <w:rFonts w:ascii="Times New Roman" w:eastAsia="Times New Roman" w:hAnsi="Times New Roman" w:cs="Times New Roman"/>
      <w:kern w:val="0"/>
      <w:sz w:val="28"/>
      <w:szCs w:val="20"/>
    </w:rPr>
  </w:style>
  <w:style w:type="character" w:customStyle="1" w:styleId="20">
    <w:name w:val="标题 2 字符"/>
    <w:basedOn w:val="a1"/>
    <w:link w:val="2"/>
    <w:qFormat/>
    <w:rPr>
      <w:rFonts w:asciiTheme="majorHAnsi" w:eastAsiaTheme="majorEastAsia" w:hAnsiTheme="majorHAnsi" w:cstheme="majorBidi"/>
      <w:b/>
      <w:bCs/>
      <w:sz w:val="32"/>
      <w:szCs w:val="32"/>
    </w:rPr>
  </w:style>
  <w:style w:type="character" w:customStyle="1" w:styleId="af8">
    <w:name w:val="正文文本缩进 字符"/>
    <w:basedOn w:val="a1"/>
    <w:link w:val="af7"/>
    <w:qFormat/>
    <w:rPr>
      <w:rFonts w:ascii="宋体" w:eastAsia="宋体" w:hAnsi="宋体" w:cs="Times New Roman"/>
      <w:sz w:val="24"/>
      <w:szCs w:val="24"/>
    </w:rPr>
  </w:style>
  <w:style w:type="table" w:customStyle="1" w:styleId="-1">
    <w:name w:val="网格型-中对齐1"/>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
    <w:name w:val="【正文】 Char"/>
    <w:link w:val="affff6"/>
    <w:qFormat/>
    <w:rPr>
      <w:spacing w:val="16"/>
      <w:sz w:val="24"/>
    </w:rPr>
  </w:style>
  <w:style w:type="paragraph" w:customStyle="1" w:styleId="affff6">
    <w:name w:val="【正文】"/>
    <w:basedOn w:val="a"/>
    <w:link w:val="Char"/>
    <w:qFormat/>
    <w:pPr>
      <w:spacing w:line="440" w:lineRule="exact"/>
      <w:ind w:firstLineChars="200" w:firstLine="544"/>
    </w:pPr>
    <w:rPr>
      <w:spacing w:val="16"/>
      <w:sz w:val="24"/>
    </w:rPr>
  </w:style>
  <w:style w:type="character" w:customStyle="1" w:styleId="af6">
    <w:name w:val="正文文本 字符"/>
    <w:basedOn w:val="a1"/>
    <w:link w:val="af5"/>
    <w:qFormat/>
  </w:style>
  <w:style w:type="character" w:customStyle="1" w:styleId="10">
    <w:name w:val="标题 1 字符"/>
    <w:basedOn w:val="a1"/>
    <w:link w:val="1"/>
    <w:qFormat/>
    <w:rPr>
      <w:rFonts w:ascii="Times New Roman" w:eastAsia="Times New Roman" w:hAnsi="Times New Roman"/>
      <w:b/>
      <w:bCs/>
      <w:kern w:val="0"/>
      <w:sz w:val="29"/>
      <w:szCs w:val="29"/>
      <w:lang w:eastAsia="en-US"/>
    </w:rPr>
  </w:style>
  <w:style w:type="character" w:customStyle="1" w:styleId="42">
    <w:name w:val="标题 4 字符"/>
    <w:basedOn w:val="a1"/>
    <w:link w:val="41"/>
    <w:qFormat/>
    <w:rPr>
      <w:rFonts w:ascii="宋体" w:eastAsia="宋体" w:hAnsi="宋体"/>
      <w:kern w:val="0"/>
      <w:sz w:val="28"/>
      <w:szCs w:val="28"/>
      <w:lang w:eastAsia="en-US"/>
    </w:rPr>
  </w:style>
  <w:style w:type="character" w:customStyle="1" w:styleId="50">
    <w:name w:val="标题 5 字符"/>
    <w:basedOn w:val="a1"/>
    <w:link w:val="5"/>
    <w:qFormat/>
    <w:rPr>
      <w:rFonts w:ascii="宋体" w:eastAsia="宋体" w:hAnsi="宋体"/>
      <w:kern w:val="0"/>
      <w:sz w:val="27"/>
      <w:szCs w:val="27"/>
      <w:lang w:eastAsia="en-US"/>
    </w:rPr>
  </w:style>
  <w:style w:type="paragraph" w:customStyle="1" w:styleId="Default1">
    <w:name w:val="Default1"/>
    <w:qFormat/>
    <w:pPr>
      <w:widowControl w:val="0"/>
      <w:autoSpaceDE w:val="0"/>
      <w:autoSpaceDN w:val="0"/>
      <w:adjustRightInd w:val="0"/>
    </w:pPr>
    <w:rPr>
      <w:rFonts w:ascii="宋体" w:eastAsia="宋体" w:hAnsi="Times New Roman" w:cs="宋体"/>
      <w:color w:val="000000"/>
      <w:sz w:val="24"/>
      <w:szCs w:val="24"/>
    </w:rPr>
  </w:style>
  <w:style w:type="table" w:customStyle="1" w:styleId="1b">
    <w:name w:val="网格型1"/>
    <w:basedOn w:val="a2"/>
    <w:uiPriority w:val="99"/>
    <w:unhideWhenUsed/>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Pr>
      <w:rFonts w:ascii="Times New Roman" w:eastAsia="宋体" w:hAnsi="Times New Roman" w:cs="Times New Roman"/>
    </w:rPr>
    <w:tblPr>
      <w:tblCellMar>
        <w:top w:w="0" w:type="dxa"/>
        <w:left w:w="0" w:type="dxa"/>
        <w:bottom w:w="0" w:type="dxa"/>
        <w:right w:w="0" w:type="dxa"/>
      </w:tblCellMar>
    </w:tblPr>
  </w:style>
  <w:style w:type="paragraph" w:customStyle="1" w:styleId="TableParagraph">
    <w:name w:val="Table Paragraph"/>
    <w:basedOn w:val="a"/>
    <w:uiPriority w:val="1"/>
    <w:qFormat/>
    <w:pPr>
      <w:jc w:val="left"/>
    </w:pPr>
    <w:rPr>
      <w:rFonts w:eastAsia="Calibri"/>
      <w:kern w:val="0"/>
      <w:sz w:val="22"/>
      <w:lang w:eastAsia="en-US"/>
    </w:rPr>
  </w:style>
  <w:style w:type="paragraph" w:customStyle="1" w:styleId="affff7">
    <w:name w:val="图表标题"/>
    <w:basedOn w:val="a"/>
    <w:unhideWhenUsed/>
    <w:qFormat/>
    <w:pPr>
      <w:spacing w:beforeLines="25" w:before="78" w:afterLines="25" w:after="78" w:line="360" w:lineRule="auto"/>
      <w:jc w:val="center"/>
      <w:outlineLvl w:val="4"/>
    </w:pPr>
    <w:rPr>
      <w:rFonts w:ascii="宋体" w:eastAsia="宋体" w:hAnsi="宋体" w:hint="eastAsia"/>
      <w:b/>
      <w:kern w:val="0"/>
      <w:sz w:val="20"/>
      <w:lang w:eastAsia="en-US"/>
    </w:rPr>
  </w:style>
  <w:style w:type="table" w:customStyle="1" w:styleId="2fa">
    <w:name w:val="网格型2"/>
    <w:basedOn w:val="a2"/>
    <w:uiPriority w:val="99"/>
    <w:unhideWhenUsed/>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0">
    <w:name w:val="网格型3"/>
    <w:basedOn w:val="a2"/>
    <w:uiPriority w:val="99"/>
    <w:unhideWhenUsed/>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图表文字"/>
    <w:basedOn w:val="a"/>
    <w:qFormat/>
    <w:pPr>
      <w:spacing w:line="300" w:lineRule="exact"/>
      <w:jc w:val="center"/>
    </w:pPr>
    <w:rPr>
      <w:rFonts w:ascii="Times New Roman" w:eastAsia="宋体" w:hAnsi="Times New Roman" w:cs="Times New Roman"/>
      <w:bCs/>
      <w:szCs w:val="20"/>
    </w:rPr>
  </w:style>
  <w:style w:type="character" w:customStyle="1" w:styleId="2fb">
    <w:name w:val="批注文字 字符2"/>
    <w:basedOn w:val="a1"/>
    <w:qFormat/>
    <w:rPr>
      <w:rFonts w:asciiTheme="minorHAnsi" w:eastAsiaTheme="minorEastAsia" w:hAnsiTheme="minorHAnsi" w:cstheme="minorBidi"/>
      <w:kern w:val="2"/>
      <w:sz w:val="21"/>
      <w:szCs w:val="22"/>
    </w:rPr>
  </w:style>
  <w:style w:type="paragraph" w:customStyle="1" w:styleId="CharCharChar1CharCharCharCharCharCharChar31">
    <w:name w:val="Char Char Char1 Char Char Char Char Char Char Char31"/>
    <w:basedOn w:val="a"/>
    <w:rPr>
      <w:rFonts w:ascii="Tahoma" w:eastAsia="宋体" w:hAnsi="Tahoma" w:cs="Times New Roman"/>
      <w:sz w:val="24"/>
      <w:szCs w:val="20"/>
    </w:rPr>
  </w:style>
  <w:style w:type="paragraph" w:customStyle="1" w:styleId="CharCharChar1CharCharCharCharCharCharChar41">
    <w:name w:val="Char Char Char1 Char Char Char Char Char Char Char41"/>
    <w:basedOn w:val="a"/>
    <w:qFormat/>
    <w:rPr>
      <w:rFonts w:ascii="Tahoma" w:eastAsia="宋体" w:hAnsi="Tahoma" w:cs="Times New Roman"/>
      <w:sz w:val="24"/>
      <w:szCs w:val="20"/>
    </w:rPr>
  </w:style>
  <w:style w:type="paragraph" w:customStyle="1" w:styleId="CharCharCharChar241">
    <w:name w:val="Char Char Char Char241"/>
    <w:basedOn w:val="a"/>
    <w:qFormat/>
    <w:pPr>
      <w:widowControl/>
      <w:jc w:val="left"/>
    </w:pPr>
    <w:rPr>
      <w:rFonts w:ascii="Times New Roman" w:eastAsia="宋体" w:hAnsi="Times New Roman" w:cs="Times New Roman"/>
      <w:kern w:val="0"/>
      <w:sz w:val="24"/>
      <w:szCs w:val="20"/>
    </w:rPr>
  </w:style>
  <w:style w:type="paragraph" w:customStyle="1" w:styleId="p0">
    <w:name w:val="p0"/>
    <w:basedOn w:val="a"/>
    <w:qFormat/>
    <w:pPr>
      <w:widowControl/>
    </w:pPr>
    <w:rPr>
      <w:rFonts w:ascii="Times New Roman" w:eastAsia="宋体" w:hAnsi="Times New Roman" w:cs="Times New Roman"/>
      <w:kern w:val="0"/>
      <w:szCs w:val="21"/>
    </w:rPr>
  </w:style>
  <w:style w:type="character" w:customStyle="1" w:styleId="afff4">
    <w:name w:val="正文文本首行缩进 字符"/>
    <w:basedOn w:val="af6"/>
    <w:link w:val="afff3"/>
    <w:qFormat/>
  </w:style>
  <w:style w:type="character" w:customStyle="1" w:styleId="74">
    <w:name w:val="标题 7 字符"/>
    <w:basedOn w:val="a1"/>
    <w:qFormat/>
    <w:rPr>
      <w:b/>
      <w:bCs/>
      <w:sz w:val="24"/>
      <w:szCs w:val="24"/>
    </w:rPr>
  </w:style>
  <w:style w:type="character" w:customStyle="1" w:styleId="84">
    <w:name w:val="标题 8 字符"/>
    <w:basedOn w:val="a1"/>
    <w:qFormat/>
    <w:rPr>
      <w:rFonts w:asciiTheme="majorHAnsi" w:eastAsiaTheme="majorEastAsia" w:hAnsiTheme="majorHAnsi" w:cstheme="majorBidi"/>
      <w:sz w:val="24"/>
      <w:szCs w:val="24"/>
    </w:rPr>
  </w:style>
  <w:style w:type="character" w:customStyle="1" w:styleId="91">
    <w:name w:val="标题 9 字符"/>
    <w:basedOn w:val="a1"/>
    <w:qFormat/>
    <w:rPr>
      <w:rFonts w:asciiTheme="majorHAnsi" w:eastAsiaTheme="majorEastAsia" w:hAnsiTheme="majorHAnsi" w:cstheme="majorBidi"/>
      <w:szCs w:val="21"/>
    </w:rPr>
  </w:style>
  <w:style w:type="character" w:customStyle="1" w:styleId="130">
    <w:name w:val="标题 1 字符3"/>
    <w:qFormat/>
    <w:locked/>
    <w:rPr>
      <w:rFonts w:eastAsia="宋体"/>
      <w:b/>
      <w:bCs/>
      <w:kern w:val="44"/>
      <w:sz w:val="44"/>
      <w:szCs w:val="44"/>
      <w:lang w:val="en-US" w:eastAsia="zh-CN" w:bidi="ar-SA"/>
    </w:rPr>
  </w:style>
  <w:style w:type="character" w:customStyle="1" w:styleId="affff9">
    <w:name w:val="标题 字符"/>
    <w:basedOn w:val="a1"/>
    <w:qFormat/>
    <w:rPr>
      <w:rFonts w:asciiTheme="majorHAnsi" w:eastAsiaTheme="majorEastAsia" w:hAnsiTheme="majorHAnsi" w:cstheme="majorBidi"/>
      <w:b/>
      <w:bCs/>
      <w:sz w:val="32"/>
      <w:szCs w:val="32"/>
    </w:rPr>
  </w:style>
  <w:style w:type="character" w:customStyle="1" w:styleId="38">
    <w:name w:val="标题 字符3"/>
    <w:link w:val="afff0"/>
    <w:qFormat/>
    <w:locked/>
    <w:rPr>
      <w:rFonts w:ascii="Arial" w:eastAsia="宋体" w:hAnsi="Arial" w:cs="Arial"/>
      <w:b/>
      <w:bCs/>
      <w:sz w:val="32"/>
      <w:szCs w:val="32"/>
    </w:rPr>
  </w:style>
  <w:style w:type="character" w:customStyle="1" w:styleId="3f1">
    <w:name w:val="纯文本 字符3"/>
    <w:qFormat/>
    <w:rPr>
      <w:rFonts w:ascii="宋体" w:hAnsi="Courier New" w:cs="Courier New"/>
      <w:sz w:val="21"/>
      <w:szCs w:val="21"/>
    </w:rPr>
  </w:style>
  <w:style w:type="character" w:customStyle="1" w:styleId="221">
    <w:name w:val="标题 2 字符2"/>
    <w:qFormat/>
    <w:rPr>
      <w:rFonts w:ascii="黑体" w:eastAsia="黑体" w:hAnsi="宋体" w:cs="Arial"/>
      <w:sz w:val="30"/>
      <w:szCs w:val="30"/>
      <w:lang w:val="en-US" w:eastAsia="zh-CN" w:bidi="ar-SA"/>
    </w:rPr>
  </w:style>
  <w:style w:type="character" w:customStyle="1" w:styleId="420">
    <w:name w:val="标题 4 字符2"/>
    <w:uiPriority w:val="9"/>
    <w:qFormat/>
    <w:locked/>
    <w:rPr>
      <w:rFonts w:eastAsia="宋体"/>
      <w:sz w:val="28"/>
      <w:lang w:val="en-US" w:eastAsia="zh-CN" w:bidi="ar-SA"/>
    </w:rPr>
  </w:style>
  <w:style w:type="character" w:customStyle="1" w:styleId="530">
    <w:name w:val="标题 5 字符3"/>
    <w:qFormat/>
    <w:locked/>
    <w:rPr>
      <w:rFonts w:eastAsia="宋体"/>
      <w:kern w:val="2"/>
      <w:sz w:val="28"/>
      <w:lang w:val="en-US" w:eastAsia="zh-CN" w:bidi="ar-SA"/>
    </w:rPr>
  </w:style>
  <w:style w:type="character" w:customStyle="1" w:styleId="630">
    <w:name w:val="标题 6 字符3"/>
    <w:qFormat/>
    <w:locked/>
    <w:rPr>
      <w:rFonts w:ascii="Arial" w:eastAsia="黑体" w:hAnsi="Arial"/>
      <w:b/>
      <w:bCs/>
      <w:kern w:val="2"/>
      <w:sz w:val="24"/>
      <w:szCs w:val="24"/>
      <w:lang w:val="en-US" w:eastAsia="zh-CN" w:bidi="ar-SA"/>
    </w:rPr>
  </w:style>
  <w:style w:type="character" w:customStyle="1" w:styleId="73">
    <w:name w:val="标题 7 字符3"/>
    <w:link w:val="7"/>
    <w:qFormat/>
    <w:locked/>
    <w:rPr>
      <w:rFonts w:ascii="Times New Roman" w:eastAsia="宋体" w:hAnsi="Times New Roman" w:cs="Times New Roman"/>
      <w:b/>
      <w:bCs/>
      <w:sz w:val="24"/>
      <w:szCs w:val="24"/>
    </w:rPr>
  </w:style>
  <w:style w:type="character" w:customStyle="1" w:styleId="83">
    <w:name w:val="标题 8 字符3"/>
    <w:link w:val="8"/>
    <w:qFormat/>
    <w:locked/>
    <w:rPr>
      <w:rFonts w:ascii="Arial" w:eastAsia="黑体" w:hAnsi="Arial" w:cs="Times New Roman"/>
      <w:sz w:val="24"/>
      <w:szCs w:val="24"/>
    </w:rPr>
  </w:style>
  <w:style w:type="character" w:customStyle="1" w:styleId="2fc">
    <w:name w:val="正文缩进 字符2"/>
    <w:qFormat/>
    <w:locked/>
    <w:rPr>
      <w:rFonts w:eastAsia="宋体"/>
      <w:kern w:val="2"/>
      <w:sz w:val="21"/>
      <w:szCs w:val="24"/>
      <w:lang w:val="en-US" w:eastAsia="zh-CN" w:bidi="ar-SA"/>
    </w:rPr>
  </w:style>
  <w:style w:type="character" w:customStyle="1" w:styleId="93">
    <w:name w:val="标题 9 字符3"/>
    <w:link w:val="9"/>
    <w:qFormat/>
    <w:locked/>
    <w:rPr>
      <w:rFonts w:ascii="Arial" w:eastAsia="黑体" w:hAnsi="Arial" w:cs="Times New Roman"/>
      <w:sz w:val="24"/>
      <w:szCs w:val="20"/>
    </w:rPr>
  </w:style>
  <w:style w:type="character" w:customStyle="1" w:styleId="333CharCharChar3CharCharh3H3level3P2Char">
    <w:name w:val="样式 标题 3标题 3目标题 3 Char Char Char标题 3 Char Charh3H3level_3P...2 Char"/>
    <w:link w:val="333CharCharChar3CharCharh3H3level3P2"/>
    <w:qFormat/>
    <w:rPr>
      <w:rFonts w:ascii="黑体" w:eastAsia="黑体" w:hAnsi="宋体"/>
      <w:b/>
      <w:bCs/>
      <w:color w:val="000000"/>
      <w:sz w:val="24"/>
      <w:szCs w:val="24"/>
    </w:rPr>
  </w:style>
  <w:style w:type="paragraph" w:customStyle="1" w:styleId="333CharCharChar3CharCharh3H3level3P2">
    <w:name w:val="样式 标题 3标题 3目标题 3 Char Char Char标题 3 Char Charh3H3level_3P...2"/>
    <w:basedOn w:val="3"/>
    <w:link w:val="333CharCharChar3CharCharh3H3level3P2Char"/>
    <w:qFormat/>
    <w:pPr>
      <w:widowControl w:val="0"/>
      <w:spacing w:before="0" w:after="0" w:line="480" w:lineRule="exact"/>
      <w:jc w:val="both"/>
      <w:outlineLvl w:val="9"/>
    </w:pPr>
    <w:rPr>
      <w:rFonts w:ascii="黑体" w:eastAsia="黑体" w:hAnsi="宋体" w:cstheme="minorBidi"/>
      <w:color w:val="000000"/>
      <w:kern w:val="2"/>
      <w:sz w:val="24"/>
      <w:szCs w:val="24"/>
    </w:rPr>
  </w:style>
  <w:style w:type="character" w:customStyle="1" w:styleId="main-1">
    <w:name w:val="main-1"/>
    <w:qFormat/>
  </w:style>
  <w:style w:type="character" w:customStyle="1" w:styleId="Char4Char">
    <w:name w:val="Char4 Char"/>
    <w:qFormat/>
    <w:rPr>
      <w:sz w:val="18"/>
      <w:szCs w:val="18"/>
    </w:rPr>
  </w:style>
  <w:style w:type="character" w:customStyle="1" w:styleId="Char1">
    <w:name w:val="称呼 Char1"/>
    <w:uiPriority w:val="99"/>
    <w:qFormat/>
    <w:rPr>
      <w:rFonts w:ascii="Times New Roman" w:eastAsia="宋体" w:hAnsi="Times New Roman" w:cs="Times New Roman"/>
      <w:kern w:val="0"/>
      <w:sz w:val="20"/>
      <w:szCs w:val="20"/>
    </w:rPr>
  </w:style>
  <w:style w:type="character" w:customStyle="1" w:styleId="Char2">
    <w:name w:val="日期 Char2"/>
    <w:uiPriority w:val="99"/>
    <w:semiHidden/>
    <w:qFormat/>
    <w:rPr>
      <w:rFonts w:ascii="Times New Roman" w:eastAsia="宋体" w:hAnsi="Times New Roman" w:cs="Times New Roman" w:hint="default"/>
      <w:kern w:val="0"/>
      <w:sz w:val="24"/>
      <w:szCs w:val="20"/>
    </w:rPr>
  </w:style>
  <w:style w:type="character" w:customStyle="1" w:styleId="CharCharCharCharChar4">
    <w:name w:val="Char Char Char Char Char4"/>
    <w:link w:val="CharCharChar8"/>
    <w:qFormat/>
    <w:rPr>
      <w:sz w:val="24"/>
      <w:szCs w:val="24"/>
      <w:lang w:val="zh-CN"/>
    </w:rPr>
  </w:style>
  <w:style w:type="paragraph" w:customStyle="1" w:styleId="CharCharChar8">
    <w:name w:val="Char Char Char8"/>
    <w:basedOn w:val="a"/>
    <w:link w:val="CharCharCharCharChar4"/>
    <w:qFormat/>
    <w:rPr>
      <w:sz w:val="24"/>
      <w:szCs w:val="24"/>
      <w:lang w:val="zh-CN"/>
    </w:rPr>
  </w:style>
  <w:style w:type="character" w:customStyle="1" w:styleId="Char20">
    <w:name w:val="正文(首行缩进) Char2"/>
    <w:semiHidden/>
    <w:qFormat/>
    <w:rPr>
      <w:rFonts w:eastAsia="黑体"/>
      <w:bCs/>
      <w:snapToGrid/>
      <w:color w:val="000000"/>
      <w:kern w:val="2"/>
      <w:sz w:val="24"/>
      <w:lang w:val="en-US" w:eastAsia="zh-CN" w:bidi="ar-SA"/>
    </w:rPr>
  </w:style>
  <w:style w:type="character" w:customStyle="1" w:styleId="CharChar12">
    <w:name w:val="Char Char12"/>
    <w:qFormat/>
    <w:locked/>
    <w:rPr>
      <w:rFonts w:eastAsia="宋体" w:cs="Times New Roman"/>
      <w:sz w:val="24"/>
      <w:lang w:val="en-US" w:eastAsia="zh-CN" w:bidi="ar-SA"/>
    </w:rPr>
  </w:style>
  <w:style w:type="character" w:customStyle="1" w:styleId="style471">
    <w:name w:val="style471"/>
    <w:qFormat/>
    <w:rPr>
      <w:sz w:val="20"/>
      <w:szCs w:val="20"/>
    </w:rPr>
  </w:style>
  <w:style w:type="character" w:customStyle="1" w:styleId="z21">
    <w:name w:val="z21"/>
    <w:qFormat/>
    <w:rPr>
      <w:rFonts w:hint="default"/>
      <w:color w:val="000000"/>
      <w:sz w:val="18"/>
      <w:szCs w:val="18"/>
    </w:rPr>
  </w:style>
  <w:style w:type="character" w:customStyle="1" w:styleId="210">
    <w:name w:val="正文缩进21"/>
    <w:qFormat/>
    <w:rPr>
      <w:rFonts w:ascii="仿宋_GB2312" w:eastAsia="仿宋_GB2312" w:hint="eastAsia"/>
      <w:kern w:val="2"/>
      <w:sz w:val="28"/>
      <w:szCs w:val="24"/>
      <w:lang w:val="en-US" w:eastAsia="zh-CN" w:bidi="ar-SA"/>
    </w:rPr>
  </w:style>
  <w:style w:type="character" w:customStyle="1" w:styleId="CharChar10">
    <w:name w:val="Char Char10"/>
    <w:qFormat/>
    <w:locked/>
    <w:rPr>
      <w:rFonts w:eastAsia="宋体"/>
      <w:kern w:val="2"/>
      <w:sz w:val="21"/>
      <w:lang w:val="en-US" w:eastAsia="zh-CN" w:bidi="ar-SA"/>
    </w:rPr>
  </w:style>
  <w:style w:type="character" w:customStyle="1" w:styleId="ca-2">
    <w:name w:val="ca-2"/>
    <w:basedOn w:val="a1"/>
    <w:qFormat/>
  </w:style>
  <w:style w:type="character" w:customStyle="1" w:styleId="Char0">
    <w:name w:val="正文改 Char"/>
    <w:link w:val="affffa"/>
    <w:qFormat/>
    <w:rPr>
      <w:rFonts w:ascii="宋体" w:hAnsi="宋体"/>
      <w:sz w:val="28"/>
    </w:rPr>
  </w:style>
  <w:style w:type="paragraph" w:customStyle="1" w:styleId="affffa">
    <w:name w:val="正文改"/>
    <w:basedOn w:val="a"/>
    <w:link w:val="Char0"/>
    <w:qFormat/>
    <w:pPr>
      <w:spacing w:line="560" w:lineRule="exact"/>
      <w:ind w:firstLineChars="200" w:firstLine="560"/>
    </w:pPr>
    <w:rPr>
      <w:rFonts w:ascii="宋体" w:hAnsi="宋体"/>
      <w:sz w:val="28"/>
    </w:rPr>
  </w:style>
  <w:style w:type="character" w:customStyle="1" w:styleId="qqq1">
    <w:name w:val="qqq1"/>
    <w:qFormat/>
    <w:rPr>
      <w:rFonts w:cs="Times New Roman"/>
      <w:color w:val="527594"/>
      <w:sz w:val="18"/>
      <w:szCs w:val="18"/>
    </w:rPr>
  </w:style>
  <w:style w:type="character" w:customStyle="1" w:styleId="2fd">
    <w:name w:val="标题 字符2"/>
    <w:qFormat/>
    <w:locked/>
    <w:rPr>
      <w:rFonts w:ascii="等线 Light" w:eastAsia="等线 Light" w:hAnsi="等线 Light" w:cs="Times New Roman"/>
      <w:b/>
      <w:bCs/>
      <w:kern w:val="2"/>
      <w:sz w:val="32"/>
      <w:szCs w:val="32"/>
    </w:rPr>
  </w:style>
  <w:style w:type="character" w:customStyle="1" w:styleId="detailinfo1">
    <w:name w:val="detailinfo1"/>
    <w:qFormat/>
  </w:style>
  <w:style w:type="character" w:customStyle="1" w:styleId="about">
    <w:name w:val="about"/>
    <w:qFormat/>
    <w:rPr>
      <w:rFonts w:ascii="宋体" w:eastAsia="宋体" w:hAnsi="宋体" w:hint="eastAsia"/>
      <w:kern w:val="2"/>
      <w:sz w:val="21"/>
      <w:szCs w:val="21"/>
      <w:lang w:val="en-US" w:eastAsia="zh-CN" w:bidi="ar-SA"/>
    </w:rPr>
  </w:style>
  <w:style w:type="character" w:customStyle="1" w:styleId="CharChar218">
    <w:name w:val="Char Char218"/>
    <w:qFormat/>
    <w:rPr>
      <w:rFonts w:eastAsia="宋体"/>
      <w:sz w:val="18"/>
      <w:lang w:val="en-US" w:eastAsia="zh-CN" w:bidi="ar-SA"/>
    </w:rPr>
  </w:style>
  <w:style w:type="character" w:customStyle="1" w:styleId="2fe">
    <w:name w:val="日期 字符2"/>
    <w:qFormat/>
    <w:locked/>
    <w:rPr>
      <w:rFonts w:eastAsia="仿宋_GB2312"/>
      <w:kern w:val="2"/>
      <w:sz w:val="32"/>
      <w:lang w:val="en-US" w:eastAsia="zh-CN" w:bidi="ar-SA"/>
    </w:rPr>
  </w:style>
  <w:style w:type="character" w:customStyle="1" w:styleId="Char10">
    <w:name w:val="正文文本 Char1"/>
    <w:qFormat/>
    <w:rPr>
      <w:rFonts w:ascii="宋体" w:eastAsia="宋体" w:hAnsi="宋体"/>
      <w:kern w:val="2"/>
      <w:sz w:val="24"/>
      <w:lang w:val="en-US" w:eastAsia="zh-CN"/>
    </w:rPr>
  </w:style>
  <w:style w:type="character" w:customStyle="1" w:styleId="Char3">
    <w:name w:val="样式 宋体 小四 Char"/>
    <w:qFormat/>
    <w:rPr>
      <w:rFonts w:ascii="宋体" w:eastAsia="仿宋_GB2312" w:cs="宋体"/>
      <w:kern w:val="2"/>
      <w:sz w:val="24"/>
      <w:szCs w:val="24"/>
      <w:lang w:val="zh-CN" w:eastAsia="zh-CN" w:bidi="ar-SA"/>
    </w:rPr>
  </w:style>
  <w:style w:type="character" w:customStyle="1" w:styleId="CharChar181">
    <w:name w:val="Char Char181"/>
    <w:qFormat/>
    <w:rPr>
      <w:rFonts w:ascii="宋体" w:eastAsia="宋体" w:hAnsi="宋体" w:hint="eastAsia"/>
      <w:b/>
      <w:bCs/>
      <w:kern w:val="2"/>
      <w:sz w:val="24"/>
      <w:szCs w:val="24"/>
      <w:lang w:val="en-US" w:eastAsia="zh-CN" w:bidi="ar-SA"/>
    </w:rPr>
  </w:style>
  <w:style w:type="character" w:customStyle="1" w:styleId="CharChar197">
    <w:name w:val="Char Char197"/>
    <w:qFormat/>
    <w:rPr>
      <w:rFonts w:eastAsia="宋体"/>
      <w:kern w:val="2"/>
      <w:sz w:val="21"/>
      <w:szCs w:val="24"/>
      <w:lang w:val="en-US" w:eastAsia="zh-CN" w:bidi="ar-SA"/>
    </w:rPr>
  </w:style>
  <w:style w:type="character" w:customStyle="1" w:styleId="1c">
    <w:name w:val="副标题 字符1"/>
    <w:qFormat/>
    <w:locked/>
    <w:rPr>
      <w:rFonts w:ascii="Cambria" w:hAnsi="Cambria"/>
      <w:sz w:val="24"/>
      <w:szCs w:val="24"/>
    </w:rPr>
  </w:style>
  <w:style w:type="character" w:customStyle="1" w:styleId="Char4">
    <w:name w:val="附录章标题 Char"/>
    <w:link w:val="affffb"/>
    <w:qFormat/>
    <w:rPr>
      <w:rFonts w:ascii="黑体" w:eastAsia="黑体"/>
      <w:kern w:val="21"/>
    </w:rPr>
  </w:style>
  <w:style w:type="paragraph" w:customStyle="1" w:styleId="affffb">
    <w:name w:val="附录章标题"/>
    <w:next w:val="affffc"/>
    <w:link w:val="Char4"/>
    <w:qFormat/>
    <w:pPr>
      <w:wordWrap w:val="0"/>
      <w:overflowPunct w:val="0"/>
      <w:autoSpaceDE w:val="0"/>
      <w:spacing w:beforeLines="50" w:before="50" w:afterLines="50" w:after="50"/>
      <w:jc w:val="both"/>
      <w:textAlignment w:val="baseline"/>
      <w:outlineLvl w:val="1"/>
    </w:pPr>
    <w:rPr>
      <w:rFonts w:ascii="黑体" w:eastAsia="黑体"/>
      <w:kern w:val="21"/>
      <w:sz w:val="21"/>
      <w:szCs w:val="22"/>
    </w:rPr>
  </w:style>
  <w:style w:type="paragraph" w:customStyle="1" w:styleId="affffc">
    <w:name w:val="段"/>
    <w:qFormat/>
    <w:pPr>
      <w:autoSpaceDE w:val="0"/>
      <w:autoSpaceDN w:val="0"/>
      <w:ind w:firstLineChars="200" w:firstLine="200"/>
      <w:jc w:val="both"/>
    </w:pPr>
    <w:rPr>
      <w:rFonts w:ascii="宋体" w:eastAsia="宋体" w:hAnsi="Times New Roman" w:cs="Times New Roman"/>
      <w:sz w:val="21"/>
    </w:rPr>
  </w:style>
  <w:style w:type="character" w:customStyle="1" w:styleId="142Char">
    <w:name w:val="样式 样式 宋体 小四 行距: 多倍行距 1.4 字行2 + 黑色 Char"/>
    <w:link w:val="142"/>
    <w:qFormat/>
    <w:rPr>
      <w:rFonts w:ascii="宋体" w:hAnsi="宋体" w:cs="宋体"/>
      <w:b/>
      <w:color w:val="000000"/>
      <w:spacing w:val="10"/>
      <w:sz w:val="24"/>
      <w:szCs w:val="24"/>
    </w:rPr>
  </w:style>
  <w:style w:type="paragraph" w:customStyle="1" w:styleId="142">
    <w:name w:val="样式 样式 宋体 小四 行距: 多倍行距 1.4 字行2 + 黑色"/>
    <w:basedOn w:val="a"/>
    <w:link w:val="142Char"/>
    <w:qFormat/>
    <w:pPr>
      <w:spacing w:line="336" w:lineRule="auto"/>
      <w:ind w:firstLineChars="200" w:firstLine="480"/>
    </w:pPr>
    <w:rPr>
      <w:rFonts w:ascii="宋体" w:hAnsi="宋体" w:cs="宋体"/>
      <w:b/>
      <w:color w:val="000000"/>
      <w:spacing w:val="10"/>
      <w:sz w:val="24"/>
      <w:szCs w:val="24"/>
    </w:rPr>
  </w:style>
  <w:style w:type="character" w:customStyle="1" w:styleId="1d">
    <w:name w:val="明显强调1"/>
    <w:qFormat/>
    <w:rPr>
      <w:rFonts w:ascii="宋体" w:eastAsia="宋体" w:hAnsi="宋体" w:hint="eastAsia"/>
      <w:b/>
      <w:bCs/>
      <w:i/>
      <w:iCs/>
      <w:color w:val="4F81BD"/>
      <w:kern w:val="2"/>
      <w:sz w:val="21"/>
      <w:szCs w:val="21"/>
      <w:lang w:val="en-US" w:eastAsia="zh-CN" w:bidi="ar-SA"/>
    </w:rPr>
  </w:style>
  <w:style w:type="character" w:customStyle="1" w:styleId="hei141">
    <w:name w:val="hei141"/>
    <w:qFormat/>
    <w:rPr>
      <w:rFonts w:ascii="宋体" w:eastAsia="宋体" w:hAnsi="宋体" w:hint="eastAsia"/>
      <w:color w:val="000000"/>
      <w:sz w:val="21"/>
      <w:szCs w:val="21"/>
      <w:u w:val="none"/>
    </w:rPr>
  </w:style>
  <w:style w:type="character" w:customStyle="1" w:styleId="CharChar">
    <w:name w:val="框图正文 Char Char"/>
    <w:qFormat/>
    <w:rPr>
      <w:rFonts w:eastAsia="宋体"/>
      <w:kern w:val="2"/>
      <w:sz w:val="21"/>
      <w:szCs w:val="24"/>
      <w:lang w:val="en-US" w:eastAsia="zh-CN" w:bidi="ar-SA"/>
    </w:rPr>
  </w:style>
  <w:style w:type="character" w:customStyle="1" w:styleId="fsl1">
    <w:name w:val="fsl1"/>
    <w:qFormat/>
    <w:rPr>
      <w:rFonts w:ascii="黑体" w:eastAsia="黑体" w:hAnsi="黑体"/>
      <w:b/>
      <w:color w:val="0082C6"/>
      <w:spacing w:val="10"/>
      <w:kern w:val="44"/>
      <w:sz w:val="21"/>
      <w:lang w:val="en-US" w:eastAsia="zh-CN"/>
    </w:rPr>
  </w:style>
  <w:style w:type="character" w:customStyle="1" w:styleId="CharChar220">
    <w:name w:val="Char Char220"/>
    <w:qFormat/>
    <w:rPr>
      <w:rFonts w:eastAsia="宋体"/>
      <w:kern w:val="2"/>
      <w:sz w:val="18"/>
      <w:szCs w:val="18"/>
      <w:lang w:val="en-US" w:eastAsia="zh-CN" w:bidi="ar-SA"/>
    </w:rPr>
  </w:style>
  <w:style w:type="character" w:customStyle="1" w:styleId="style191">
    <w:name w:val="style191"/>
    <w:qFormat/>
    <w:rPr>
      <w:b/>
      <w:bCs/>
      <w:color w:val="FF0000"/>
    </w:rPr>
  </w:style>
  <w:style w:type="character" w:customStyle="1" w:styleId="z-Char">
    <w:name w:val="z-窗体底端 Char"/>
    <w:link w:val="z-1"/>
    <w:qFormat/>
    <w:locked/>
    <w:rPr>
      <w:rFonts w:ascii="Arial" w:hAnsi="Arial"/>
      <w:vanish/>
      <w:sz w:val="16"/>
      <w:szCs w:val="16"/>
    </w:rPr>
  </w:style>
  <w:style w:type="paragraph" w:customStyle="1" w:styleId="z-1">
    <w:name w:val="z-窗体底端1"/>
    <w:basedOn w:val="a"/>
    <w:next w:val="a"/>
    <w:link w:val="z-Char"/>
    <w:qFormat/>
    <w:pPr>
      <w:widowControl/>
      <w:pBdr>
        <w:top w:val="single" w:sz="6" w:space="1" w:color="auto"/>
      </w:pBdr>
      <w:jc w:val="center"/>
    </w:pPr>
    <w:rPr>
      <w:rFonts w:ascii="Arial" w:hAnsi="Arial"/>
      <w:vanish/>
      <w:sz w:val="16"/>
      <w:szCs w:val="16"/>
    </w:rPr>
  </w:style>
  <w:style w:type="character" w:customStyle="1" w:styleId="s9n1k0c">
    <w:name w:val="s9n1k0c"/>
    <w:qFormat/>
  </w:style>
  <w:style w:type="character" w:customStyle="1" w:styleId="2CharChar">
    <w:name w:val="目录2 Char Char"/>
    <w:qFormat/>
    <w:rPr>
      <w:rFonts w:ascii="黑体" w:eastAsia="黑体"/>
      <w:bCs/>
      <w:caps/>
      <w:kern w:val="2"/>
      <w:sz w:val="24"/>
      <w:szCs w:val="24"/>
      <w:lang w:val="en-US" w:eastAsia="zh-CN" w:bidi="ar-SA"/>
    </w:rPr>
  </w:style>
  <w:style w:type="character" w:customStyle="1" w:styleId="2CharChar1">
    <w:name w:val="目录2 Char Char1"/>
    <w:qFormat/>
    <w:rPr>
      <w:rFonts w:ascii="Calibri" w:hAnsi="Calibri" w:cs="Times New Roman"/>
      <w:b/>
      <w:bCs/>
      <w:caps/>
      <w:kern w:val="2"/>
    </w:rPr>
  </w:style>
  <w:style w:type="character" w:customStyle="1" w:styleId="CharCharCharCharCharCharChar9">
    <w:name w:val="Char Char Char Char Char Char Char9"/>
    <w:link w:val="CharCharCharCharCharChar9"/>
    <w:qFormat/>
    <w:rPr>
      <w:sz w:val="24"/>
      <w:szCs w:val="24"/>
    </w:rPr>
  </w:style>
  <w:style w:type="paragraph" w:customStyle="1" w:styleId="CharCharCharCharCharChar9">
    <w:name w:val="Char Char Char Char Char Char9"/>
    <w:basedOn w:val="a"/>
    <w:link w:val="CharCharCharCharCharCharChar9"/>
    <w:qFormat/>
    <w:rPr>
      <w:sz w:val="24"/>
      <w:szCs w:val="24"/>
    </w:rPr>
  </w:style>
  <w:style w:type="character" w:customStyle="1" w:styleId="CharCharCharCharCharCharCharChar">
    <w:name w:val="Char Char Char Char Char Char Char Char"/>
    <w:qFormat/>
    <w:rPr>
      <w:rFonts w:ascii="Times New Roman" w:eastAsia="宋体" w:hAnsi="Times New Roman"/>
      <w:sz w:val="24"/>
    </w:rPr>
  </w:style>
  <w:style w:type="character" w:customStyle="1" w:styleId="2ff">
    <w:name w:val="正文文本缩进 字符2"/>
    <w:semiHidden/>
    <w:qFormat/>
    <w:rPr>
      <w:kern w:val="2"/>
      <w:sz w:val="21"/>
      <w:szCs w:val="24"/>
    </w:rPr>
  </w:style>
  <w:style w:type="character" w:customStyle="1" w:styleId="CharChar7">
    <w:name w:val="Char Char7"/>
    <w:qFormat/>
    <w:rPr>
      <w:rFonts w:ascii="仿宋_GB2312" w:eastAsia="仿宋_GB2312"/>
      <w:sz w:val="28"/>
      <w:lang w:val="en-US" w:eastAsia="zh-CN" w:bidi="ar-SA"/>
    </w:rPr>
  </w:style>
  <w:style w:type="character" w:customStyle="1" w:styleId="CharChar52">
    <w:name w:val="Char Char52"/>
    <w:qFormat/>
    <w:rPr>
      <w:rFonts w:ascii="Arial" w:eastAsia="宋体" w:hAnsi="Arial" w:cs="Arial" w:hint="default"/>
      <w:b/>
      <w:bCs/>
      <w:sz w:val="32"/>
      <w:szCs w:val="32"/>
      <w:lang w:val="en-US" w:eastAsia="zh-CN" w:bidi="ar-SA"/>
    </w:rPr>
  </w:style>
  <w:style w:type="character" w:customStyle="1" w:styleId="Char11">
    <w:name w:val="环评正文文字缩进（江东模板） Char1"/>
    <w:qFormat/>
    <w:rPr>
      <w:rFonts w:ascii="宋体" w:eastAsia="宋体" w:hAnsi="宋体"/>
      <w:sz w:val="24"/>
      <w:lang w:val="en-US" w:eastAsia="zh-CN" w:bidi="ar-SA"/>
    </w:rPr>
  </w:style>
  <w:style w:type="character" w:customStyle="1" w:styleId="1e">
    <w:name w:val="签名 字符1"/>
    <w:qFormat/>
    <w:locked/>
    <w:rPr>
      <w:rFonts w:ascii="Arial" w:eastAsia="仿宋_GB2312" w:hAnsi="Arial" w:cs="Arial"/>
    </w:rPr>
  </w:style>
  <w:style w:type="character" w:customStyle="1" w:styleId="3f2">
    <w:name w:val="页脚 字符3"/>
    <w:qFormat/>
    <w:rPr>
      <w:rFonts w:eastAsia="宋体"/>
      <w:kern w:val="2"/>
      <w:sz w:val="18"/>
      <w:szCs w:val="18"/>
      <w:lang w:val="en-US" w:eastAsia="zh-CN" w:bidi="ar-SA"/>
    </w:rPr>
  </w:style>
  <w:style w:type="character" w:customStyle="1" w:styleId="slh15">
    <w:name w:val="s lh15"/>
    <w:qFormat/>
    <w:rPr>
      <w:rFonts w:cs="Times New Roman"/>
    </w:rPr>
  </w:style>
  <w:style w:type="character" w:customStyle="1" w:styleId="311">
    <w:name w:val="标题 311"/>
    <w:qFormat/>
    <w:rPr>
      <w:rFonts w:ascii="宋体" w:eastAsia="宋体" w:hAnsi="宋体" w:hint="eastAsia"/>
      <w:sz w:val="28"/>
      <w:lang w:val="en-US" w:eastAsia="zh-CN" w:bidi="ar-SA"/>
    </w:rPr>
  </w:style>
  <w:style w:type="character" w:customStyle="1" w:styleId="GB2312">
    <w:name w:val="样式 仿宋_GB2312 小四 黑色"/>
    <w:semiHidden/>
    <w:qFormat/>
    <w:rPr>
      <w:rFonts w:ascii="Times New Roman" w:eastAsia="仿宋_GB2312" w:hAnsi="Times New Roman" w:cs="Courier New"/>
      <w:color w:val="000000"/>
      <w:kern w:val="2"/>
      <w:sz w:val="24"/>
      <w:szCs w:val="24"/>
      <w:lang w:val="en-US" w:eastAsia="zh-CN" w:bidi="ar-SA"/>
    </w:rPr>
  </w:style>
  <w:style w:type="character" w:customStyle="1" w:styleId="p6">
    <w:name w:val="p6"/>
    <w:basedOn w:val="a1"/>
    <w:qFormat/>
  </w:style>
  <w:style w:type="character" w:customStyle="1" w:styleId="3Char1">
    <w:name w:val="正文3 Char1"/>
    <w:link w:val="3f3"/>
    <w:qFormat/>
    <w:rPr>
      <w:rFonts w:ascii="Arial" w:eastAsia="楷体_GB2312"/>
      <w:spacing w:val="-6"/>
      <w:sz w:val="28"/>
    </w:rPr>
  </w:style>
  <w:style w:type="paragraph" w:customStyle="1" w:styleId="3f3">
    <w:name w:val="正文3"/>
    <w:link w:val="3Char1"/>
    <w:qFormat/>
    <w:pPr>
      <w:widowControl w:val="0"/>
      <w:adjustRightInd w:val="0"/>
      <w:spacing w:line="312" w:lineRule="atLeast"/>
      <w:jc w:val="both"/>
      <w:textAlignment w:val="baseline"/>
    </w:pPr>
    <w:rPr>
      <w:rFonts w:ascii="Arial" w:eastAsia="楷体_GB2312"/>
      <w:spacing w:val="-6"/>
      <w:kern w:val="2"/>
      <w:sz w:val="28"/>
      <w:szCs w:val="22"/>
    </w:rPr>
  </w:style>
  <w:style w:type="character" w:customStyle="1" w:styleId="xiaozhiti1">
    <w:name w:val="xiaozhiti1"/>
    <w:qFormat/>
    <w:rPr>
      <w:sz w:val="18"/>
      <w:szCs w:val="18"/>
    </w:rPr>
  </w:style>
  <w:style w:type="character" w:customStyle="1" w:styleId="CharChar0">
    <w:name w:val="维度 Char Char"/>
    <w:link w:val="affffd"/>
    <w:qFormat/>
    <w:rPr>
      <w:color w:val="000000"/>
      <w:sz w:val="24"/>
      <w:szCs w:val="24"/>
    </w:rPr>
  </w:style>
  <w:style w:type="paragraph" w:customStyle="1" w:styleId="affffd">
    <w:name w:val="维度"/>
    <w:basedOn w:val="a"/>
    <w:link w:val="CharChar0"/>
    <w:qFormat/>
    <w:pPr>
      <w:topLinePunct/>
      <w:spacing w:line="360" w:lineRule="auto"/>
    </w:pPr>
    <w:rPr>
      <w:color w:val="000000"/>
      <w:sz w:val="24"/>
      <w:szCs w:val="24"/>
    </w:rPr>
  </w:style>
  <w:style w:type="character" w:customStyle="1" w:styleId="s8xye">
    <w:name w:val="s8xye"/>
    <w:qFormat/>
  </w:style>
  <w:style w:type="character" w:customStyle="1" w:styleId="CharChar39">
    <w:name w:val="Char Char39"/>
    <w:qFormat/>
    <w:rPr>
      <w:rFonts w:eastAsia="宋体"/>
      <w:bCs/>
      <w:color w:val="000000"/>
      <w:sz w:val="30"/>
      <w:szCs w:val="30"/>
      <w:lang w:val="en-US" w:eastAsia="zh-CN" w:bidi="ar-SA"/>
    </w:rPr>
  </w:style>
  <w:style w:type="character" w:customStyle="1" w:styleId="Char5">
    <w:name w:val="甲乙酮正文 Char"/>
    <w:link w:val="affffe"/>
    <w:qFormat/>
    <w:rPr>
      <w:color w:val="000000"/>
      <w:sz w:val="24"/>
      <w:szCs w:val="24"/>
    </w:rPr>
  </w:style>
  <w:style w:type="paragraph" w:customStyle="1" w:styleId="affffe">
    <w:name w:val="甲乙酮正文"/>
    <w:basedOn w:val="111"/>
    <w:link w:val="Char5"/>
    <w:qFormat/>
    <w:pPr>
      <w:widowControl w:val="0"/>
      <w:spacing w:after="0" w:line="360" w:lineRule="auto"/>
      <w:ind w:firstLineChars="200" w:firstLine="200"/>
    </w:pPr>
    <w:rPr>
      <w:rFonts w:asciiTheme="minorHAnsi" w:eastAsiaTheme="minorEastAsia" w:hAnsiTheme="minorHAnsi" w:cstheme="minorBidi"/>
      <w:color w:val="000000"/>
      <w:kern w:val="2"/>
      <w:szCs w:val="24"/>
    </w:rPr>
  </w:style>
  <w:style w:type="paragraph" w:customStyle="1" w:styleId="111">
    <w:name w:val="正文首行缩进111"/>
    <w:basedOn w:val="af5"/>
    <w:link w:val="Char6"/>
    <w:qFormat/>
    <w:pPr>
      <w:widowControl/>
      <w:ind w:firstLineChars="100" w:firstLine="420"/>
      <w:jc w:val="left"/>
    </w:pPr>
    <w:rPr>
      <w:rFonts w:ascii="Times New Roman" w:eastAsia="宋体" w:hAnsi="Times New Roman" w:cs="Times New Roman"/>
      <w:kern w:val="0"/>
      <w:sz w:val="24"/>
      <w:szCs w:val="20"/>
    </w:rPr>
  </w:style>
  <w:style w:type="character" w:customStyle="1" w:styleId="3f4">
    <w:name w:val="正文文本 字符3"/>
    <w:qFormat/>
    <w:rPr>
      <w:rFonts w:eastAsia="宋体"/>
      <w:kern w:val="2"/>
      <w:sz w:val="21"/>
      <w:lang w:val="en-US" w:eastAsia="zh-CN" w:bidi="ar-SA"/>
    </w:rPr>
  </w:style>
  <w:style w:type="character" w:customStyle="1" w:styleId="Char6">
    <w:name w:val="正文首行缩进 Char"/>
    <w:link w:val="111"/>
    <w:qFormat/>
    <w:locked/>
    <w:rPr>
      <w:rFonts w:ascii="Times New Roman" w:eastAsia="宋体" w:hAnsi="Times New Roman" w:cs="Times New Roman"/>
      <w:kern w:val="0"/>
      <w:sz w:val="24"/>
      <w:szCs w:val="20"/>
    </w:rPr>
  </w:style>
  <w:style w:type="character" w:customStyle="1" w:styleId="CharChar194">
    <w:name w:val="Char Char194"/>
    <w:qFormat/>
    <w:rPr>
      <w:rFonts w:ascii="宋体" w:eastAsia="宋体" w:hAnsi="宋体" w:hint="eastAsia"/>
      <w:b/>
      <w:color w:val="000000"/>
      <w:kern w:val="2"/>
      <w:sz w:val="28"/>
      <w:szCs w:val="24"/>
      <w:lang w:val="en-US" w:eastAsia="zh-CN" w:bidi="ar-SA"/>
    </w:rPr>
  </w:style>
  <w:style w:type="character" w:customStyle="1" w:styleId="style2081">
    <w:name w:val="style2081"/>
    <w:qFormat/>
    <w:rPr>
      <w:rFonts w:cs="Times New Roman"/>
      <w:color w:val="FF6600"/>
    </w:rPr>
  </w:style>
  <w:style w:type="character" w:customStyle="1" w:styleId="25">
    <w:name w:val="称呼 字符2"/>
    <w:link w:val="af3"/>
    <w:qFormat/>
    <w:locked/>
    <w:rPr>
      <w:rFonts w:ascii="Arial" w:eastAsia="仿宋_GB2312" w:hAnsi="Arial"/>
    </w:rPr>
  </w:style>
  <w:style w:type="character" w:customStyle="1" w:styleId="afffff">
    <w:name w:val="称呼 字符"/>
    <w:basedOn w:val="a1"/>
    <w:qFormat/>
  </w:style>
  <w:style w:type="character" w:customStyle="1" w:styleId="01Char">
    <w:name w:val="正文_01 Char"/>
    <w:link w:val="01"/>
    <w:qFormat/>
    <w:rPr>
      <w:rFonts w:eastAsia="仿宋_GB2312"/>
      <w:sz w:val="28"/>
      <w:szCs w:val="28"/>
    </w:rPr>
  </w:style>
  <w:style w:type="paragraph" w:customStyle="1" w:styleId="01">
    <w:name w:val="正文_01"/>
    <w:link w:val="01Char"/>
    <w:qFormat/>
    <w:pPr>
      <w:widowControl w:val="0"/>
      <w:spacing w:line="360" w:lineRule="auto"/>
      <w:ind w:firstLineChars="200" w:firstLine="560"/>
      <w:jc w:val="both"/>
    </w:pPr>
    <w:rPr>
      <w:rFonts w:eastAsia="仿宋_GB2312"/>
      <w:kern w:val="2"/>
      <w:sz w:val="28"/>
      <w:szCs w:val="28"/>
    </w:rPr>
  </w:style>
  <w:style w:type="character" w:customStyle="1" w:styleId="afffff0">
    <w:name w:val="表内文字"/>
    <w:qFormat/>
    <w:rPr>
      <w:rFonts w:ascii="宋体" w:eastAsia="宋体" w:hAnsi="宋体" w:cs="Times New Roman"/>
      <w:sz w:val="21"/>
      <w:szCs w:val="21"/>
    </w:rPr>
  </w:style>
  <w:style w:type="character" w:customStyle="1" w:styleId="2ff0">
    <w:name w:val="页眉 字符2"/>
    <w:semiHidden/>
    <w:qFormat/>
    <w:locked/>
    <w:rPr>
      <w:kern w:val="2"/>
      <w:sz w:val="18"/>
      <w:szCs w:val="18"/>
    </w:rPr>
  </w:style>
  <w:style w:type="character" w:customStyle="1" w:styleId="BChar">
    <w:name w:val="正文B Char"/>
    <w:link w:val="B"/>
    <w:qFormat/>
    <w:rPr>
      <w:rFonts w:ascii="宋体" w:eastAsia="楷体_GB2312" w:hAnsi="宋体"/>
      <w:spacing w:val="8"/>
      <w:sz w:val="28"/>
    </w:rPr>
  </w:style>
  <w:style w:type="paragraph" w:customStyle="1" w:styleId="B">
    <w:name w:val="正文B"/>
    <w:basedOn w:val="a"/>
    <w:link w:val="BChar"/>
    <w:qFormat/>
    <w:pPr>
      <w:adjustRightInd w:val="0"/>
      <w:spacing w:line="390" w:lineRule="atLeast"/>
      <w:ind w:firstLine="601"/>
    </w:pPr>
    <w:rPr>
      <w:rFonts w:ascii="宋体" w:eastAsia="楷体_GB2312" w:hAnsi="宋体"/>
      <w:spacing w:val="8"/>
      <w:sz w:val="28"/>
    </w:rPr>
  </w:style>
  <w:style w:type="character" w:customStyle="1" w:styleId="2Char1">
    <w:name w:val="正文文本 2 Char1"/>
    <w:uiPriority w:val="99"/>
    <w:semiHidden/>
    <w:qFormat/>
    <w:rPr>
      <w:rFonts w:ascii="Times New Roman" w:eastAsia="宋体" w:hAnsi="Times New Roman" w:cs="Times New Roman"/>
      <w:kern w:val="0"/>
      <w:sz w:val="20"/>
      <w:szCs w:val="20"/>
    </w:rPr>
  </w:style>
  <w:style w:type="character" w:customStyle="1" w:styleId="z-Char2">
    <w:name w:val="z-窗体顶端 Char2"/>
    <w:qFormat/>
    <w:rPr>
      <w:rFonts w:ascii="Arial" w:eastAsia="仿宋_GB2312" w:hAnsi="Arial"/>
      <w:vanish/>
      <w:sz w:val="16"/>
      <w:szCs w:val="16"/>
    </w:rPr>
  </w:style>
  <w:style w:type="character" w:customStyle="1" w:styleId="content">
    <w:name w:val="content"/>
    <w:qFormat/>
    <w:rPr>
      <w:rFonts w:ascii="宋体" w:eastAsia="宋体" w:hAnsi="宋体"/>
      <w:b/>
      <w:spacing w:val="10"/>
      <w:kern w:val="2"/>
      <w:sz w:val="24"/>
      <w:szCs w:val="24"/>
      <w:lang w:val="en-US" w:eastAsia="zh-CN" w:bidi="ar-SA"/>
    </w:rPr>
  </w:style>
  <w:style w:type="character" w:customStyle="1" w:styleId="Char7">
    <w:name w:val="标题 Char"/>
    <w:qFormat/>
    <w:rPr>
      <w:rFonts w:ascii="Arial" w:eastAsia="宋体" w:hAnsi="Arial" w:cs="Arial"/>
      <w:b/>
      <w:bCs/>
      <w:sz w:val="32"/>
      <w:szCs w:val="32"/>
      <w:lang w:val="en-US" w:eastAsia="zh-CN" w:bidi="ar-SA"/>
    </w:rPr>
  </w:style>
  <w:style w:type="character" w:customStyle="1" w:styleId="CharChar3">
    <w:name w:val="特点标题 Char Char3"/>
    <w:qFormat/>
    <w:rPr>
      <w:rFonts w:ascii="华文行楷" w:eastAsia="华文行楷" w:hint="eastAsia"/>
      <w:kern w:val="2"/>
      <w:sz w:val="28"/>
      <w:szCs w:val="24"/>
      <w:lang w:val="en-US" w:eastAsia="zh-CN" w:bidi="ar-SA"/>
    </w:rPr>
  </w:style>
  <w:style w:type="character" w:customStyle="1" w:styleId="desctext1">
    <w:name w:val="desctext1"/>
    <w:qFormat/>
    <w:rPr>
      <w:spacing w:val="17"/>
      <w:sz w:val="21"/>
      <w:szCs w:val="21"/>
    </w:rPr>
  </w:style>
  <w:style w:type="character" w:customStyle="1" w:styleId="3xi">
    <w:name w:val="3xi"/>
    <w:qFormat/>
  </w:style>
  <w:style w:type="character" w:customStyle="1" w:styleId="style3grey">
    <w:name w:val="style3 grey"/>
    <w:qFormat/>
  </w:style>
  <w:style w:type="character" w:customStyle="1" w:styleId="170">
    <w:name w:val="标题17"/>
    <w:basedOn w:val="a1"/>
    <w:qFormat/>
  </w:style>
  <w:style w:type="character" w:customStyle="1" w:styleId="5Char">
    <w:name w:val="标题 5 Char"/>
    <w:qFormat/>
    <w:rPr>
      <w:rFonts w:eastAsia="宋体"/>
      <w:b/>
      <w:bCs/>
      <w:sz w:val="28"/>
      <w:szCs w:val="28"/>
      <w:lang w:val="en-US" w:eastAsia="zh-CN" w:bidi="ar-SA"/>
    </w:rPr>
  </w:style>
  <w:style w:type="character" w:customStyle="1" w:styleId="310">
    <w:name w:val="标题 3 字符1"/>
    <w:qFormat/>
    <w:locked/>
    <w:rPr>
      <w:b/>
      <w:bCs/>
      <w:sz w:val="32"/>
      <w:szCs w:val="32"/>
    </w:rPr>
  </w:style>
  <w:style w:type="character" w:customStyle="1" w:styleId="hottext1">
    <w:name w:val="hottext1"/>
    <w:basedOn w:val="a1"/>
    <w:qFormat/>
  </w:style>
  <w:style w:type="character" w:customStyle="1" w:styleId="Char8">
    <w:name w:val="正文文字 Char"/>
    <w:link w:val="afffff1"/>
    <w:qFormat/>
    <w:rPr>
      <w:rFonts w:ascii="仿宋_GB2312" w:eastAsia="仿宋_GB2312" w:hAnsi="Arial Black" w:cs="仿宋_GB2312"/>
      <w:sz w:val="28"/>
      <w:szCs w:val="28"/>
    </w:rPr>
  </w:style>
  <w:style w:type="paragraph" w:customStyle="1" w:styleId="afffff1">
    <w:name w:val="正文文字"/>
    <w:basedOn w:val="a"/>
    <w:link w:val="Char8"/>
    <w:qFormat/>
    <w:pPr>
      <w:adjustRightInd w:val="0"/>
      <w:spacing w:line="360" w:lineRule="auto"/>
      <w:jc w:val="left"/>
      <w:textAlignment w:val="baseline"/>
    </w:pPr>
    <w:rPr>
      <w:rFonts w:ascii="仿宋_GB2312" w:eastAsia="仿宋_GB2312" w:hAnsi="Arial Black" w:cs="仿宋_GB2312"/>
      <w:sz w:val="28"/>
      <w:szCs w:val="28"/>
    </w:rPr>
  </w:style>
  <w:style w:type="character" w:customStyle="1" w:styleId="word131">
    <w:name w:val="word131"/>
    <w:qFormat/>
    <w:rPr>
      <w:rFonts w:ascii="ˎ̥" w:hAnsi="ˎ̥" w:hint="default"/>
      <w:color w:val="000000"/>
      <w:sz w:val="20"/>
      <w:szCs w:val="20"/>
      <w:u w:val="none"/>
    </w:rPr>
  </w:style>
  <w:style w:type="character" w:customStyle="1" w:styleId="CharChar414">
    <w:name w:val="Char Char414"/>
    <w:qFormat/>
    <w:rPr>
      <w:rFonts w:eastAsia="宋体"/>
      <w:kern w:val="2"/>
      <w:sz w:val="21"/>
      <w:szCs w:val="24"/>
      <w:lang w:val="en-US" w:eastAsia="zh-CN" w:bidi="ar-SA"/>
    </w:rPr>
  </w:style>
  <w:style w:type="character" w:customStyle="1" w:styleId="GB23120">
    <w:name w:val="样式 (西文) 宋体 (中文) 仿宋_GB2312 黑色"/>
    <w:semiHidden/>
    <w:qFormat/>
    <w:rPr>
      <w:rFonts w:ascii="Times New Roman" w:eastAsia="仿宋_GB2312" w:hAnsi="Times New Roman" w:cs="Courier New"/>
      <w:color w:val="000000"/>
      <w:kern w:val="2"/>
      <w:sz w:val="32"/>
      <w:szCs w:val="32"/>
      <w:lang w:val="en-US" w:eastAsia="zh-CN" w:bidi="ar-SA"/>
    </w:rPr>
  </w:style>
  <w:style w:type="character" w:customStyle="1" w:styleId="CharCharCharCharChar7">
    <w:name w:val="Char Char Char Char Char7"/>
    <w:link w:val="CharCharChar13"/>
    <w:qFormat/>
    <w:rPr>
      <w:sz w:val="24"/>
      <w:szCs w:val="24"/>
    </w:rPr>
  </w:style>
  <w:style w:type="paragraph" w:customStyle="1" w:styleId="CharCharChar13">
    <w:name w:val="Char Char Char13"/>
    <w:basedOn w:val="a"/>
    <w:link w:val="CharCharCharCharChar7"/>
    <w:qFormat/>
    <w:rPr>
      <w:sz w:val="24"/>
      <w:szCs w:val="24"/>
    </w:rPr>
  </w:style>
  <w:style w:type="character" w:customStyle="1" w:styleId="Char12">
    <w:name w:val="文档结构图 Char1"/>
    <w:uiPriority w:val="99"/>
    <w:qFormat/>
    <w:rPr>
      <w:rFonts w:ascii="宋体" w:eastAsia="宋体" w:hAnsi="Times New Roman" w:cs="Times New Roman"/>
      <w:kern w:val="0"/>
      <w:sz w:val="18"/>
      <w:szCs w:val="18"/>
    </w:rPr>
  </w:style>
  <w:style w:type="character" w:customStyle="1" w:styleId="5Char0">
    <w:name w:val="标题5改 Char"/>
    <w:link w:val="59"/>
    <w:qFormat/>
    <w:rPr>
      <w:rFonts w:ascii="宋体" w:hAnsi="宋体"/>
      <w:b/>
      <w:sz w:val="28"/>
      <w:szCs w:val="28"/>
    </w:rPr>
  </w:style>
  <w:style w:type="paragraph" w:customStyle="1" w:styleId="59">
    <w:name w:val="标题5改"/>
    <w:basedOn w:val="a"/>
    <w:link w:val="5Char0"/>
    <w:qFormat/>
    <w:pPr>
      <w:spacing w:line="560" w:lineRule="exact"/>
      <w:ind w:firstLineChars="200" w:firstLine="200"/>
      <w:jc w:val="left"/>
      <w:outlineLvl w:val="4"/>
    </w:pPr>
    <w:rPr>
      <w:rFonts w:ascii="宋体" w:hAnsi="宋体"/>
      <w:b/>
      <w:sz w:val="28"/>
      <w:szCs w:val="28"/>
    </w:rPr>
  </w:style>
  <w:style w:type="character" w:customStyle="1" w:styleId="2ff1">
    <w:name w:val="正文文本 2 字符"/>
    <w:qFormat/>
    <w:rPr>
      <w:rFonts w:ascii="Times New Roman" w:eastAsia="宋体" w:hAnsi="Times New Roman" w:cs="Times New Roman"/>
      <w:kern w:val="0"/>
      <w:sz w:val="24"/>
      <w:szCs w:val="20"/>
    </w:rPr>
  </w:style>
  <w:style w:type="character" w:customStyle="1" w:styleId="2ff2">
    <w:name w:val="批注主题 字符2"/>
    <w:qFormat/>
    <w:locked/>
    <w:rPr>
      <w:rFonts w:ascii="Times New Roman" w:eastAsia="宋体" w:hAnsi="Times New Roman" w:cs="Times New Roman"/>
      <w:b/>
      <w:bCs/>
      <w:kern w:val="2"/>
      <w:sz w:val="21"/>
      <w:szCs w:val="24"/>
      <w:lang w:val="en-US" w:eastAsia="zh-CN" w:bidi="ar-SA"/>
    </w:rPr>
  </w:style>
  <w:style w:type="character" w:customStyle="1" w:styleId="NoSpacingChar">
    <w:name w:val="No Spacing Char"/>
    <w:link w:val="75"/>
    <w:qFormat/>
    <w:locked/>
    <w:rPr>
      <w:rFonts w:ascii="Arial" w:eastAsia="仿宋" w:hAnsi="Arial"/>
      <w:w w:val="90"/>
      <w:sz w:val="24"/>
    </w:rPr>
  </w:style>
  <w:style w:type="paragraph" w:customStyle="1" w:styleId="75">
    <w:name w:val="无间隔7"/>
    <w:link w:val="NoSpacingChar"/>
    <w:qFormat/>
    <w:pPr>
      <w:widowControl w:val="0"/>
      <w:jc w:val="both"/>
    </w:pPr>
    <w:rPr>
      <w:rFonts w:ascii="Arial" w:eastAsia="仿宋" w:hAnsi="Arial"/>
      <w:w w:val="90"/>
      <w:kern w:val="2"/>
      <w:sz w:val="24"/>
      <w:szCs w:val="22"/>
    </w:rPr>
  </w:style>
  <w:style w:type="character" w:customStyle="1" w:styleId="v-split3">
    <w:name w:val="v-split3"/>
    <w:qFormat/>
    <w:rPr>
      <w:color w:val="C1C1C1"/>
    </w:rPr>
  </w:style>
  <w:style w:type="character" w:customStyle="1" w:styleId="2f1">
    <w:name w:val="正文文本首行缩进 2 字符"/>
    <w:link w:val="2f0"/>
    <w:qFormat/>
    <w:rPr>
      <w:rFonts w:eastAsia="宋体"/>
      <w:sz w:val="24"/>
    </w:rPr>
  </w:style>
  <w:style w:type="character" w:customStyle="1" w:styleId="211">
    <w:name w:val="正文文本首行缩进 2 字符1"/>
    <w:basedOn w:val="af8"/>
    <w:uiPriority w:val="99"/>
    <w:semiHidden/>
    <w:rPr>
      <w:rFonts w:ascii="宋体" w:eastAsia="宋体" w:hAnsi="宋体" w:cs="Times New Roman"/>
      <w:sz w:val="24"/>
      <w:szCs w:val="24"/>
    </w:rPr>
  </w:style>
  <w:style w:type="character" w:customStyle="1" w:styleId="3f5">
    <w:name w:val="正文文本缩进 字符3"/>
    <w:qFormat/>
    <w:locked/>
    <w:rPr>
      <w:rFonts w:eastAsia="宋体"/>
      <w:kern w:val="2"/>
      <w:sz w:val="21"/>
      <w:lang w:val="en-US" w:eastAsia="zh-CN" w:bidi="ar-SA"/>
    </w:rPr>
  </w:style>
  <w:style w:type="character" w:customStyle="1" w:styleId="aChar">
    <w:name w:val=". (a.) Char"/>
    <w:qFormat/>
    <w:rPr>
      <w:kern w:val="2"/>
      <w:sz w:val="28"/>
    </w:rPr>
  </w:style>
  <w:style w:type="character" w:customStyle="1" w:styleId="Char9">
    <w:name w:val="文字 Char"/>
    <w:link w:val="afffff2"/>
    <w:qFormat/>
    <w:rPr>
      <w:sz w:val="24"/>
      <w:szCs w:val="24"/>
    </w:rPr>
  </w:style>
  <w:style w:type="paragraph" w:customStyle="1" w:styleId="afffff2">
    <w:name w:val="文字"/>
    <w:basedOn w:val="a"/>
    <w:link w:val="Char9"/>
    <w:qFormat/>
    <w:pPr>
      <w:spacing w:line="360" w:lineRule="auto"/>
      <w:ind w:firstLineChars="200" w:firstLine="200"/>
    </w:pPr>
    <w:rPr>
      <w:sz w:val="24"/>
      <w:szCs w:val="24"/>
    </w:rPr>
  </w:style>
  <w:style w:type="character" w:customStyle="1" w:styleId="ak1">
    <w:name w:val="ak1"/>
    <w:qFormat/>
    <w:rPr>
      <w:sz w:val="18"/>
      <w:szCs w:val="18"/>
      <w:u w:val="none"/>
    </w:rPr>
  </w:style>
  <w:style w:type="character" w:customStyle="1" w:styleId="1f">
    <w:name w:val="标题1"/>
    <w:basedOn w:val="a1"/>
    <w:qFormat/>
  </w:style>
  <w:style w:type="character" w:customStyle="1" w:styleId="HTML11">
    <w:name w:val="HTML 打字机1"/>
    <w:qFormat/>
    <w:rPr>
      <w:rFonts w:ascii="黑体" w:eastAsia="黑体" w:hAnsi="Courier New"/>
      <w:sz w:val="18"/>
    </w:rPr>
  </w:style>
  <w:style w:type="character" w:customStyle="1" w:styleId="CharChar201">
    <w:name w:val="Char Char201"/>
    <w:qFormat/>
    <w:rPr>
      <w:rFonts w:ascii="仿宋_GB2312" w:eastAsia="仿宋_GB2312" w:hAnsi="宋体" w:hint="eastAsia"/>
      <w:kern w:val="2"/>
      <w:sz w:val="28"/>
      <w:lang w:val="en-US" w:eastAsia="zh-CN" w:bidi="ar-SA"/>
    </w:rPr>
  </w:style>
  <w:style w:type="character" w:customStyle="1" w:styleId="HTML110">
    <w:name w:val="HTML 代码11"/>
    <w:qFormat/>
    <w:rPr>
      <w:rFonts w:ascii="黑体" w:eastAsia="黑体" w:hAnsi="Courier New" w:cs="Courier New" w:hint="eastAsia"/>
      <w:sz w:val="24"/>
      <w:szCs w:val="24"/>
    </w:rPr>
  </w:style>
  <w:style w:type="character" w:customStyle="1" w:styleId="CharChar51">
    <w:name w:val="Char Char51"/>
    <w:qFormat/>
    <w:rPr>
      <w:rFonts w:ascii="黑体" w:eastAsia="黑体" w:hAnsi="黑体" w:hint="eastAsia"/>
      <w:bCs/>
      <w:sz w:val="21"/>
      <w:szCs w:val="30"/>
    </w:rPr>
  </w:style>
  <w:style w:type="character" w:customStyle="1" w:styleId="Chara">
    <w:name w:val="结束语 Char"/>
    <w:qFormat/>
    <w:rPr>
      <w:rFonts w:ascii="Arial" w:eastAsia="仿宋_GB2312" w:hAnsi="Arial"/>
      <w:sz w:val="24"/>
      <w:lang w:val="en-US" w:eastAsia="zh-CN" w:bidi="ar-SA"/>
    </w:rPr>
  </w:style>
  <w:style w:type="character" w:customStyle="1" w:styleId="gray">
    <w:name w:val="gray"/>
    <w:qFormat/>
  </w:style>
  <w:style w:type="character" w:customStyle="1" w:styleId="dan7-1Char">
    <w:name w:val="dan7-1 Char"/>
    <w:link w:val="dan7-1"/>
    <w:qFormat/>
    <w:rPr>
      <w:sz w:val="24"/>
      <w:szCs w:val="24"/>
    </w:rPr>
  </w:style>
  <w:style w:type="paragraph" w:customStyle="1" w:styleId="dan7-1">
    <w:name w:val="dan7-1"/>
    <w:basedOn w:val="a"/>
    <w:link w:val="dan7-1Char"/>
    <w:qFormat/>
    <w:pPr>
      <w:spacing w:before="40" w:after="40" w:line="360" w:lineRule="auto"/>
      <w:ind w:firstLineChars="200" w:firstLine="200"/>
    </w:pPr>
    <w:rPr>
      <w:sz w:val="24"/>
      <w:szCs w:val="24"/>
    </w:rPr>
  </w:style>
  <w:style w:type="character" w:customStyle="1" w:styleId="title141">
    <w:name w:val="title141"/>
    <w:qFormat/>
    <w:rPr>
      <w:sz w:val="18"/>
      <w:szCs w:val="18"/>
      <w:u w:val="none"/>
    </w:rPr>
  </w:style>
  <w:style w:type="character" w:customStyle="1" w:styleId="font141">
    <w:name w:val="font141"/>
    <w:qFormat/>
    <w:rPr>
      <w:rFonts w:hint="default"/>
      <w:color w:val="000000"/>
    </w:rPr>
  </w:style>
  <w:style w:type="character" w:customStyle="1" w:styleId="Char21">
    <w:name w:val="纯文本 Char2"/>
    <w:uiPriority w:val="99"/>
    <w:semiHidden/>
    <w:qFormat/>
    <w:rPr>
      <w:rFonts w:ascii="宋体" w:eastAsia="宋体" w:hAnsi="Courier New" w:cs="Courier New"/>
      <w:kern w:val="0"/>
      <w:sz w:val="21"/>
      <w:szCs w:val="21"/>
    </w:rPr>
  </w:style>
  <w:style w:type="character" w:customStyle="1" w:styleId="orange1">
    <w:name w:val="orange1"/>
    <w:qFormat/>
    <w:rPr>
      <w:rFonts w:cs="Times New Roman"/>
      <w:color w:val="FE9903"/>
      <w:sz w:val="18"/>
      <w:szCs w:val="18"/>
    </w:rPr>
  </w:style>
  <w:style w:type="character" w:customStyle="1" w:styleId="Charb">
    <w:name w:val="表格标题博泵 Char"/>
    <w:link w:val="afffff3"/>
    <w:qFormat/>
    <w:rPr>
      <w:b/>
      <w:color w:val="000000"/>
    </w:rPr>
  </w:style>
  <w:style w:type="paragraph" w:customStyle="1" w:styleId="afffff3">
    <w:name w:val="表格标题博泵"/>
    <w:basedOn w:val="a"/>
    <w:link w:val="Charb"/>
    <w:qFormat/>
    <w:pPr>
      <w:adjustRightInd w:val="0"/>
      <w:snapToGrid w:val="0"/>
      <w:jc w:val="center"/>
      <w:textAlignment w:val="baseline"/>
    </w:pPr>
    <w:rPr>
      <w:b/>
      <w:color w:val="000000"/>
    </w:rPr>
  </w:style>
  <w:style w:type="character" w:customStyle="1" w:styleId="sppkvsc">
    <w:name w:val="sppkvsc"/>
    <w:qFormat/>
  </w:style>
  <w:style w:type="character" w:customStyle="1" w:styleId="33Char3CharCharCharCharCharCharCharCharCCharChar">
    <w:name w:val="样式 标题 3标题 3 Char标题 3 Char Char Char Char Char Char Char Char C... Char Char"/>
    <w:qFormat/>
    <w:rPr>
      <w:rFonts w:ascii="宋体" w:eastAsia="宋体" w:hAnsi="宋体"/>
      <w:b/>
      <w:kern w:val="2"/>
      <w:sz w:val="24"/>
      <w:lang w:val="en-US" w:eastAsia="zh-CN" w:bidi="ar-SA"/>
    </w:rPr>
  </w:style>
  <w:style w:type="character" w:customStyle="1" w:styleId="newstitle1">
    <w:name w:val="newstitle1"/>
    <w:qFormat/>
    <w:rPr>
      <w:b/>
      <w:bCs/>
      <w:color w:val="444444"/>
      <w:sz w:val="24"/>
      <w:szCs w:val="24"/>
    </w:rPr>
  </w:style>
  <w:style w:type="character" w:customStyle="1" w:styleId="160">
    <w:name w:val="标题16"/>
    <w:qFormat/>
  </w:style>
  <w:style w:type="character" w:customStyle="1" w:styleId="Char13">
    <w:name w:val="签名 Char1"/>
    <w:uiPriority w:val="99"/>
    <w:semiHidden/>
    <w:qFormat/>
    <w:rPr>
      <w:rFonts w:ascii="Times New Roman" w:eastAsia="宋体" w:hAnsi="Times New Roman" w:cs="Times New Roman"/>
      <w:kern w:val="0"/>
      <w:sz w:val="20"/>
      <w:szCs w:val="20"/>
    </w:rPr>
  </w:style>
  <w:style w:type="character" w:customStyle="1" w:styleId="CharCharCharCharChar">
    <w:name w:val="热电厂正文 Char Char Char Char Char"/>
    <w:link w:val="CharCharCharChar0"/>
    <w:qFormat/>
    <w:rPr>
      <w:sz w:val="24"/>
      <w:szCs w:val="24"/>
    </w:rPr>
  </w:style>
  <w:style w:type="paragraph" w:customStyle="1" w:styleId="CharCharCharChar0">
    <w:name w:val="热电厂正文 Char Char Char Char"/>
    <w:basedOn w:val="a"/>
    <w:link w:val="CharCharCharCharChar"/>
    <w:qFormat/>
    <w:pPr>
      <w:spacing w:line="440" w:lineRule="exact"/>
      <w:ind w:firstLineChars="200" w:firstLine="480"/>
    </w:pPr>
    <w:rPr>
      <w:sz w:val="24"/>
      <w:szCs w:val="24"/>
    </w:rPr>
  </w:style>
  <w:style w:type="character" w:customStyle="1" w:styleId="Charc">
    <w:name w:val="签名 Char"/>
    <w:qFormat/>
    <w:rPr>
      <w:rFonts w:ascii="Arial" w:eastAsia="仿宋_GB2312" w:hAnsi="Arial"/>
      <w:sz w:val="24"/>
      <w:lang w:val="en-US" w:eastAsia="zh-CN" w:bidi="ar-SA"/>
    </w:rPr>
  </w:style>
  <w:style w:type="character" w:customStyle="1" w:styleId="chen11Char">
    <w:name w:val="chen正文字体11 Char"/>
    <w:link w:val="chen11"/>
    <w:qFormat/>
    <w:rPr>
      <w:color w:val="000000"/>
      <w:sz w:val="24"/>
      <w:szCs w:val="24"/>
    </w:rPr>
  </w:style>
  <w:style w:type="paragraph" w:customStyle="1" w:styleId="chen11">
    <w:name w:val="chen正文字体11"/>
    <w:basedOn w:val="a"/>
    <w:link w:val="chen11Char"/>
    <w:qFormat/>
    <w:pPr>
      <w:spacing w:line="360" w:lineRule="auto"/>
      <w:ind w:firstLineChars="200" w:firstLine="480"/>
    </w:pPr>
    <w:rPr>
      <w:color w:val="000000"/>
      <w:sz w:val="24"/>
      <w:szCs w:val="24"/>
    </w:rPr>
  </w:style>
  <w:style w:type="character" w:customStyle="1" w:styleId="Char22">
    <w:name w:val="脚注文本 Char2"/>
    <w:uiPriority w:val="99"/>
    <w:semiHidden/>
    <w:qFormat/>
    <w:rPr>
      <w:rFonts w:ascii="Times New Roman" w:eastAsia="宋体" w:hAnsi="Times New Roman" w:cs="Times New Roman" w:hint="default"/>
      <w:kern w:val="0"/>
      <w:sz w:val="18"/>
      <w:szCs w:val="18"/>
    </w:rPr>
  </w:style>
  <w:style w:type="character" w:customStyle="1" w:styleId="HeaderChar1">
    <w:name w:val="Header Char1"/>
    <w:qFormat/>
    <w:locked/>
    <w:rPr>
      <w:rFonts w:ascii="Times New Roman" w:eastAsia="宋体" w:hAnsi="Times New Roman" w:cs="Times New Roman"/>
      <w:sz w:val="18"/>
      <w:szCs w:val="18"/>
    </w:rPr>
  </w:style>
  <w:style w:type="character" w:customStyle="1" w:styleId="CharChar161">
    <w:name w:val="Char Char161"/>
    <w:qFormat/>
    <w:rPr>
      <w:rFonts w:eastAsia="仿宋_GB2312"/>
      <w:kern w:val="2"/>
      <w:sz w:val="28"/>
      <w:lang w:val="en-US" w:eastAsia="zh-CN" w:bidi="ar-SA"/>
    </w:rPr>
  </w:style>
  <w:style w:type="character" w:customStyle="1" w:styleId="e91">
    <w:name w:val="e91"/>
    <w:qFormat/>
    <w:rPr>
      <w:rFonts w:ascii="Arial" w:hAnsi="Arial" w:cs="Arial" w:hint="default"/>
      <w:sz w:val="21"/>
      <w:szCs w:val="21"/>
    </w:rPr>
  </w:style>
  <w:style w:type="character" w:customStyle="1" w:styleId="f91">
    <w:name w:val="f91"/>
    <w:qFormat/>
    <w:rPr>
      <w:strike/>
      <w:sz w:val="18"/>
    </w:rPr>
  </w:style>
  <w:style w:type="character" w:customStyle="1" w:styleId="CharChar20">
    <w:name w:val="Char Char20"/>
    <w:qFormat/>
    <w:rPr>
      <w:sz w:val="18"/>
      <w:szCs w:val="18"/>
    </w:rPr>
  </w:style>
  <w:style w:type="character" w:customStyle="1" w:styleId="TimesNewRomanCharChar">
    <w:name w:val="样式 表格内容 + Times New Roman 小五 加粗 Char Char"/>
    <w:qFormat/>
    <w:rPr>
      <w:rFonts w:ascii="宋体" w:eastAsia="宋体" w:hAnsi="宋体" w:cs="宋体"/>
      <w:b/>
      <w:bCs/>
      <w:kern w:val="2"/>
      <w:sz w:val="18"/>
      <w:lang w:val="en-US" w:eastAsia="zh-CN" w:bidi="ar-SA"/>
    </w:rPr>
  </w:style>
  <w:style w:type="character" w:customStyle="1" w:styleId="CharCharCharCharChar6">
    <w:name w:val="Char Char Char Char Char6"/>
    <w:link w:val="CharCharChar10"/>
    <w:qFormat/>
    <w:rPr>
      <w:sz w:val="24"/>
      <w:szCs w:val="24"/>
    </w:rPr>
  </w:style>
  <w:style w:type="paragraph" w:customStyle="1" w:styleId="CharCharChar10">
    <w:name w:val="Char Char Char10"/>
    <w:basedOn w:val="a"/>
    <w:link w:val="CharCharCharCharChar6"/>
    <w:qFormat/>
    <w:rPr>
      <w:sz w:val="24"/>
      <w:szCs w:val="24"/>
    </w:rPr>
  </w:style>
  <w:style w:type="character" w:customStyle="1" w:styleId="Chard">
    <w:name w:val="文本 Char"/>
    <w:link w:val="afffff4"/>
    <w:qFormat/>
    <w:rPr>
      <w:rFonts w:ascii="宋体" w:eastAsia="楷体_GB2312" w:hAnsi="宋体"/>
      <w:sz w:val="28"/>
      <w:szCs w:val="24"/>
    </w:rPr>
  </w:style>
  <w:style w:type="paragraph" w:customStyle="1" w:styleId="afffff4">
    <w:name w:val="文本"/>
    <w:basedOn w:val="a"/>
    <w:link w:val="Chard"/>
    <w:qFormat/>
    <w:pPr>
      <w:widowControl/>
      <w:tabs>
        <w:tab w:val="left" w:pos="315"/>
        <w:tab w:val="left" w:pos="360"/>
      </w:tabs>
      <w:adjustRightInd w:val="0"/>
      <w:snapToGrid w:val="0"/>
      <w:spacing w:line="360" w:lineRule="auto"/>
      <w:ind w:left="360" w:firstLineChars="200" w:hanging="360"/>
      <w:jc w:val="left"/>
    </w:pPr>
    <w:rPr>
      <w:rFonts w:ascii="宋体" w:eastAsia="楷体_GB2312" w:hAnsi="宋体"/>
      <w:sz w:val="28"/>
      <w:szCs w:val="24"/>
    </w:rPr>
  </w:style>
  <w:style w:type="character" w:customStyle="1" w:styleId="mtext2">
    <w:name w:val="mtext2"/>
    <w:qFormat/>
    <w:rPr>
      <w:rFonts w:cs="Times New Roman"/>
      <w:color w:val="333333"/>
    </w:rPr>
  </w:style>
  <w:style w:type="character" w:customStyle="1" w:styleId="googqs-tidbit-0">
    <w:name w:val="goog_qs-tidbit-0"/>
    <w:qFormat/>
    <w:rPr>
      <w:rFonts w:cs="Times New Roman"/>
    </w:rPr>
  </w:style>
  <w:style w:type="character" w:customStyle="1" w:styleId="01Char0">
    <w:name w:val="正文01 Char"/>
    <w:link w:val="010"/>
    <w:qFormat/>
    <w:rPr>
      <w:sz w:val="24"/>
    </w:rPr>
  </w:style>
  <w:style w:type="paragraph" w:customStyle="1" w:styleId="010">
    <w:name w:val="正文01"/>
    <w:basedOn w:val="a"/>
    <w:link w:val="01Char0"/>
    <w:qFormat/>
    <w:pPr>
      <w:spacing w:before="60" w:line="460" w:lineRule="exact"/>
      <w:ind w:firstLineChars="200" w:firstLine="200"/>
    </w:pPr>
    <w:rPr>
      <w:sz w:val="24"/>
    </w:rPr>
  </w:style>
  <w:style w:type="character" w:customStyle="1" w:styleId="IntenseReference1">
    <w:name w:val="Intense Reference1"/>
    <w:qFormat/>
    <w:rPr>
      <w:rFonts w:ascii="宋体" w:eastAsia="宋体" w:hAnsi="宋体"/>
      <w:b/>
      <w:smallCaps/>
      <w:color w:val="C0504D"/>
      <w:spacing w:val="5"/>
    </w:rPr>
  </w:style>
  <w:style w:type="character" w:customStyle="1" w:styleId="510">
    <w:name w:val="样式51"/>
    <w:qFormat/>
    <w:rPr>
      <w:color w:val="FF0000"/>
    </w:rPr>
  </w:style>
  <w:style w:type="character" w:customStyle="1" w:styleId="Char40">
    <w:name w:val="环表头 Char4"/>
    <w:qFormat/>
    <w:rPr>
      <w:rFonts w:ascii="宋体" w:eastAsia="宋体" w:hAnsi="宋体" w:cs="Courier New"/>
      <w:b/>
      <w:color w:val="000000"/>
      <w:sz w:val="24"/>
      <w:lang w:val="en-US" w:eastAsia="zh-CN" w:bidi="ar-SA"/>
    </w:rPr>
  </w:style>
  <w:style w:type="character" w:customStyle="1" w:styleId="CharCharCharCharCharCharChar8">
    <w:name w:val="Char Char Char Char Char Char Char8"/>
    <w:link w:val="CharCharCharCharCharChar8"/>
    <w:qFormat/>
    <w:rPr>
      <w:sz w:val="24"/>
      <w:szCs w:val="24"/>
    </w:rPr>
  </w:style>
  <w:style w:type="paragraph" w:customStyle="1" w:styleId="CharCharCharCharCharChar8">
    <w:name w:val="Char Char Char Char Char Char8"/>
    <w:basedOn w:val="a"/>
    <w:link w:val="CharCharCharCharCharCharChar8"/>
    <w:qFormat/>
    <w:rPr>
      <w:sz w:val="24"/>
      <w:szCs w:val="24"/>
    </w:rPr>
  </w:style>
  <w:style w:type="character" w:customStyle="1" w:styleId="2CharChar0">
    <w:name w:val="正文首行缩进2字符 Char Char"/>
    <w:qFormat/>
    <w:rPr>
      <w:kern w:val="2"/>
      <w:sz w:val="28"/>
    </w:rPr>
  </w:style>
  <w:style w:type="character" w:customStyle="1" w:styleId="CharChar136">
    <w:name w:val="Char Char136"/>
    <w:qFormat/>
    <w:rPr>
      <w:rFonts w:ascii="宋体" w:eastAsia="宋体" w:hAnsi="宋体" w:cs="宋体"/>
      <w:b/>
      <w:bCs/>
      <w:kern w:val="2"/>
      <w:sz w:val="24"/>
      <w:szCs w:val="20"/>
      <w:lang w:eastAsia="zh-CN" w:bidi="ar-SA"/>
    </w:rPr>
  </w:style>
  <w:style w:type="character" w:customStyle="1" w:styleId="CharChar35">
    <w:name w:val="Char Char35"/>
    <w:qFormat/>
    <w:rPr>
      <w:rFonts w:eastAsia="宋体"/>
      <w:kern w:val="2"/>
      <w:sz w:val="28"/>
      <w:lang w:val="en-US" w:eastAsia="zh-CN" w:bidi="ar-SA"/>
    </w:rPr>
  </w:style>
  <w:style w:type="character" w:customStyle="1" w:styleId="CharChar53">
    <w:name w:val="Char Char53"/>
    <w:qFormat/>
    <w:rPr>
      <w:kern w:val="2"/>
      <w:sz w:val="21"/>
      <w:szCs w:val="24"/>
    </w:rPr>
  </w:style>
  <w:style w:type="character" w:customStyle="1" w:styleId="CharChar6">
    <w:name w:val="Char Char6"/>
    <w:qFormat/>
    <w:rPr>
      <w:rFonts w:ascii="Arial" w:eastAsia="黑体" w:hAnsi="Arial"/>
      <w:b/>
      <w:kern w:val="2"/>
      <w:sz w:val="32"/>
      <w:lang w:val="en-US" w:eastAsia="zh-CN" w:bidi="ar-SA"/>
    </w:rPr>
  </w:style>
  <w:style w:type="character" w:customStyle="1" w:styleId="3CharChar">
    <w:name w:val="正文文字 3 Char Char"/>
    <w:qFormat/>
    <w:rPr>
      <w:rFonts w:ascii="Times New Roman" w:hAnsi="Times New Roman"/>
      <w:b/>
      <w:bCs/>
      <w:kern w:val="2"/>
      <w:sz w:val="21"/>
      <w:szCs w:val="24"/>
    </w:rPr>
  </w:style>
  <w:style w:type="character" w:customStyle="1" w:styleId="style221">
    <w:name w:val="style221"/>
    <w:qFormat/>
    <w:rPr>
      <w:rFonts w:cs="Times New Roman"/>
      <w:color w:val="006633"/>
    </w:rPr>
  </w:style>
  <w:style w:type="character" w:customStyle="1" w:styleId="Chare">
    <w:name w:val="纯文本 Char"/>
    <w:qFormat/>
    <w:rPr>
      <w:rFonts w:ascii="宋体" w:eastAsia="宋体" w:hAnsi="Courier New" w:cs="Courier New"/>
      <w:kern w:val="0"/>
      <w:szCs w:val="21"/>
    </w:rPr>
  </w:style>
  <w:style w:type="character" w:customStyle="1" w:styleId="1Char">
    <w:name w:val="标题1 Char"/>
    <w:link w:val="131"/>
    <w:qFormat/>
    <w:rPr>
      <w:rFonts w:eastAsia="黑体"/>
      <w:sz w:val="44"/>
      <w:szCs w:val="44"/>
    </w:rPr>
  </w:style>
  <w:style w:type="paragraph" w:customStyle="1" w:styleId="131">
    <w:name w:val="标题13"/>
    <w:basedOn w:val="a"/>
    <w:link w:val="1Char"/>
    <w:qFormat/>
    <w:pPr>
      <w:spacing w:after="240"/>
      <w:outlineLvl w:val="0"/>
    </w:pPr>
    <w:rPr>
      <w:rFonts w:eastAsia="黑体"/>
      <w:sz w:val="44"/>
      <w:szCs w:val="44"/>
    </w:rPr>
  </w:style>
  <w:style w:type="character" w:customStyle="1" w:styleId="CharChar1">
    <w:name w:val="附录一级条标题 Char Char"/>
    <w:qFormat/>
    <w:rPr>
      <w:rFonts w:ascii="黑体" w:eastAsia="黑体"/>
      <w:kern w:val="21"/>
      <w:sz w:val="21"/>
      <w:lang w:val="en-US" w:eastAsia="zh-CN" w:bidi="ar-SA"/>
    </w:rPr>
  </w:style>
  <w:style w:type="character" w:customStyle="1" w:styleId="3GB2312Char">
    <w:name w:val="样式 标题 3 + (中文) 仿宋_GB2312 四号 Char"/>
    <w:link w:val="3GB2312"/>
    <w:qFormat/>
    <w:rPr>
      <w:rFonts w:eastAsia="仿宋_GB2312"/>
      <w:b/>
      <w:bCs/>
      <w:sz w:val="28"/>
      <w:szCs w:val="32"/>
    </w:rPr>
  </w:style>
  <w:style w:type="paragraph" w:customStyle="1" w:styleId="3GB2312">
    <w:name w:val="样式 标题 3 + (中文) 仿宋_GB2312 四号"/>
    <w:basedOn w:val="3"/>
    <w:link w:val="3GB2312Char"/>
    <w:qFormat/>
    <w:pPr>
      <w:widowControl w:val="0"/>
      <w:spacing w:before="0" w:after="0" w:line="240" w:lineRule="auto"/>
      <w:ind w:firstLineChars="200" w:firstLine="200"/>
    </w:pPr>
    <w:rPr>
      <w:rFonts w:asciiTheme="minorHAnsi" w:eastAsia="仿宋_GB2312" w:hAnsiTheme="minorHAnsi" w:cstheme="minorBidi"/>
      <w:kern w:val="2"/>
      <w:sz w:val="28"/>
    </w:rPr>
  </w:style>
  <w:style w:type="character" w:customStyle="1" w:styleId="afffff5">
    <w:name w:val="篇号"/>
    <w:qFormat/>
    <w:rPr>
      <w:rFonts w:eastAsia="宋体"/>
    </w:rPr>
  </w:style>
  <w:style w:type="character" w:customStyle="1" w:styleId="2ff3">
    <w:name w:val="默认段落字体2"/>
    <w:semiHidden/>
    <w:qFormat/>
    <w:rPr>
      <w:rFonts w:ascii="Times New Roman" w:eastAsia="宋体"/>
      <w:color w:val="000000"/>
      <w:spacing w:val="0"/>
      <w:w w:val="100"/>
      <w:sz w:val="21"/>
      <w:u w:val="none" w:color="000000"/>
      <w:vertAlign w:val="baseline"/>
      <w:lang w:val="en-US" w:eastAsia="zh-CN"/>
    </w:rPr>
  </w:style>
  <w:style w:type="character" w:customStyle="1" w:styleId="CharChar11">
    <w:name w:val="环评正文文字缩进（江东模板） Char Char1"/>
    <w:qFormat/>
    <w:rPr>
      <w:rFonts w:ascii="宋体" w:eastAsia="宋体" w:hAnsi="宋体" w:hint="eastAsia"/>
      <w:kern w:val="2"/>
      <w:sz w:val="28"/>
      <w:szCs w:val="24"/>
      <w:lang w:val="en-US" w:eastAsia="zh-CN" w:bidi="ar-SA"/>
    </w:rPr>
  </w:style>
  <w:style w:type="character" w:customStyle="1" w:styleId="zhengwen1">
    <w:name w:val="zhengwen1"/>
    <w:qFormat/>
    <w:rPr>
      <w:sz w:val="23"/>
      <w:szCs w:val="23"/>
    </w:rPr>
  </w:style>
  <w:style w:type="character" w:customStyle="1" w:styleId="26">
    <w:name w:val="结束语 字符2"/>
    <w:link w:val="af4"/>
    <w:qFormat/>
    <w:locked/>
    <w:rPr>
      <w:rFonts w:ascii="Arial" w:eastAsia="仿宋_GB2312" w:hAnsi="Arial"/>
    </w:rPr>
  </w:style>
  <w:style w:type="character" w:customStyle="1" w:styleId="afffff6">
    <w:name w:val="结束语 字符"/>
    <w:basedOn w:val="a1"/>
    <w:qFormat/>
  </w:style>
  <w:style w:type="character" w:customStyle="1" w:styleId="CharChar1CharCharChar">
    <w:name w:val="正文（首行缩进两字） Char Char1 Char Char Char"/>
    <w:qFormat/>
    <w:rPr>
      <w:rFonts w:ascii="仿宋_GB2312" w:eastAsia="仿宋_GB2312"/>
      <w:color w:val="000000"/>
      <w:kern w:val="2"/>
      <w:sz w:val="28"/>
      <w:szCs w:val="24"/>
      <w:lang w:val="en-US" w:eastAsia="zh-CN" w:bidi="ar-SA"/>
    </w:rPr>
  </w:style>
  <w:style w:type="character" w:customStyle="1" w:styleId="2ff4">
    <w:name w:val="正文文本 字符2"/>
    <w:qFormat/>
    <w:locked/>
    <w:rPr>
      <w:kern w:val="2"/>
      <w:sz w:val="21"/>
    </w:rPr>
  </w:style>
  <w:style w:type="character" w:customStyle="1" w:styleId="HTML20">
    <w:name w:val="HTML 打字机2"/>
    <w:qFormat/>
    <w:rPr>
      <w:rFonts w:ascii="黑体" w:eastAsia="黑体" w:hAnsi="Courier New" w:cs="Courier New" w:hint="eastAsia"/>
      <w:sz w:val="18"/>
      <w:szCs w:val="18"/>
    </w:rPr>
  </w:style>
  <w:style w:type="character" w:customStyle="1" w:styleId="p141">
    <w:name w:val="p141"/>
    <w:qFormat/>
    <w:rPr>
      <w:rFonts w:cs="Times New Roman"/>
      <w:sz w:val="21"/>
      <w:szCs w:val="21"/>
    </w:rPr>
  </w:style>
  <w:style w:type="character" w:customStyle="1" w:styleId="1f0">
    <w:name w:val="正文缩进 字符1"/>
    <w:qFormat/>
    <w:locked/>
    <w:rPr>
      <w:kern w:val="2"/>
      <w:sz w:val="21"/>
      <w:szCs w:val="24"/>
    </w:rPr>
  </w:style>
  <w:style w:type="character" w:customStyle="1" w:styleId="btChar1">
    <w:name w:val="bt Char1"/>
    <w:qFormat/>
    <w:rPr>
      <w:rFonts w:eastAsia="宋体"/>
      <w:kern w:val="2"/>
      <w:sz w:val="21"/>
      <w:lang w:val="en-US" w:eastAsia="zh-CN" w:bidi="ar-SA"/>
    </w:rPr>
  </w:style>
  <w:style w:type="character" w:customStyle="1" w:styleId="style111">
    <w:name w:val="style111"/>
    <w:qFormat/>
    <w:rPr>
      <w:color w:val="333333"/>
      <w:sz w:val="21"/>
      <w:szCs w:val="21"/>
    </w:rPr>
  </w:style>
  <w:style w:type="character" w:customStyle="1" w:styleId="CharChar413">
    <w:name w:val="Char Char413"/>
    <w:qFormat/>
    <w:rPr>
      <w:rFonts w:eastAsia="宋体"/>
      <w:kern w:val="2"/>
      <w:sz w:val="21"/>
      <w:szCs w:val="24"/>
      <w:lang w:val="en-US" w:eastAsia="zh-CN" w:bidi="ar-SA"/>
    </w:rPr>
  </w:style>
  <w:style w:type="character" w:customStyle="1" w:styleId="1f1">
    <w:name w:val="注释标题 字符1"/>
    <w:qFormat/>
    <w:locked/>
    <w:rPr>
      <w:sz w:val="24"/>
      <w:szCs w:val="24"/>
    </w:rPr>
  </w:style>
  <w:style w:type="character" w:customStyle="1" w:styleId="CharCharCharCharChar3">
    <w:name w:val="Char Char Char Char Char3"/>
    <w:link w:val="CharCharChar"/>
    <w:qFormat/>
    <w:rPr>
      <w:sz w:val="24"/>
      <w:szCs w:val="24"/>
    </w:rPr>
  </w:style>
  <w:style w:type="paragraph" w:customStyle="1" w:styleId="CharCharChar">
    <w:name w:val="Char Char Char"/>
    <w:basedOn w:val="a"/>
    <w:link w:val="CharCharCharCharChar3"/>
    <w:qFormat/>
    <w:rPr>
      <w:sz w:val="24"/>
      <w:szCs w:val="24"/>
    </w:rPr>
  </w:style>
  <w:style w:type="character" w:customStyle="1" w:styleId="1f2">
    <w:name w:val="占位符文本1"/>
    <w:qFormat/>
    <w:rPr>
      <w:color w:val="808080"/>
    </w:rPr>
  </w:style>
  <w:style w:type="character" w:customStyle="1" w:styleId="main1">
    <w:name w:val="main1"/>
    <w:qFormat/>
    <w:rPr>
      <w:color w:val="333333"/>
      <w:sz w:val="18"/>
    </w:rPr>
  </w:style>
  <w:style w:type="character" w:customStyle="1" w:styleId="a51">
    <w:name w:val="a51"/>
    <w:qFormat/>
    <w:rPr>
      <w:rFonts w:ascii="黑体" w:eastAsia="宋体" w:hAnsi="黑体"/>
      <w:b/>
      <w:color w:val="000000"/>
      <w:spacing w:val="10"/>
      <w:kern w:val="2"/>
      <w:sz w:val="21"/>
      <w:szCs w:val="21"/>
      <w:u w:val="none"/>
      <w:lang w:val="en-US" w:eastAsia="zh-CN" w:bidi="ar-SA"/>
    </w:rPr>
  </w:style>
  <w:style w:type="character" w:customStyle="1" w:styleId="CharChar195">
    <w:name w:val="Char Char195"/>
    <w:qFormat/>
    <w:rPr>
      <w:rFonts w:ascii="宋体" w:eastAsia="宋体" w:hAnsi="宋体" w:hint="eastAsia"/>
      <w:b/>
      <w:color w:val="000000"/>
      <w:kern w:val="2"/>
      <w:sz w:val="28"/>
      <w:szCs w:val="24"/>
      <w:lang w:val="en-US" w:eastAsia="zh-CN" w:bidi="ar-SA"/>
    </w:rPr>
  </w:style>
  <w:style w:type="character" w:customStyle="1" w:styleId="IntenseEmphasis1">
    <w:name w:val="Intense Emphasis1"/>
    <w:qFormat/>
    <w:rPr>
      <w:rFonts w:ascii="宋体" w:eastAsia="宋体" w:hAnsi="宋体"/>
      <w:b/>
      <w:i/>
      <w:color w:val="4F81BD"/>
      <w:kern w:val="2"/>
      <w:sz w:val="21"/>
      <w:lang w:val="en-US" w:eastAsia="zh-CN"/>
    </w:rPr>
  </w:style>
  <w:style w:type="character" w:customStyle="1" w:styleId="unname2">
    <w:name w:val="unname2"/>
    <w:qFormat/>
  </w:style>
  <w:style w:type="character" w:customStyle="1" w:styleId="font01">
    <w:name w:val="font01"/>
    <w:qFormat/>
    <w:rPr>
      <w:rFonts w:ascii="宋体" w:eastAsia="宋体" w:hAnsi="宋体" w:hint="eastAsia"/>
      <w:color w:val="000000"/>
      <w:sz w:val="18"/>
      <w:szCs w:val="18"/>
      <w:u w:val="none"/>
      <w:vertAlign w:val="superscript"/>
    </w:rPr>
  </w:style>
  <w:style w:type="character" w:customStyle="1" w:styleId="2ff5">
    <w:name w:val="纯文本2"/>
    <w:qFormat/>
    <w:rPr>
      <w:rFonts w:ascii="宋体" w:eastAsia="宋体" w:hAnsi="Courier New" w:cs="Courier New"/>
      <w:kern w:val="2"/>
      <w:sz w:val="21"/>
      <w:szCs w:val="21"/>
      <w:lang w:val="en-US" w:eastAsia="zh-CN" w:bidi="ar-SA"/>
    </w:rPr>
  </w:style>
  <w:style w:type="character" w:customStyle="1" w:styleId="CharCharCharChar1">
    <w:name w:val="表格标题 Char Char Char Char"/>
    <w:qFormat/>
    <w:rPr>
      <w:rFonts w:ascii="仿宋_GB2312" w:eastAsia="仿宋_GB2312"/>
      <w:color w:val="000000"/>
      <w:kern w:val="2"/>
      <w:sz w:val="28"/>
      <w:lang w:val="en-US" w:eastAsia="zh-CN"/>
    </w:rPr>
  </w:style>
  <w:style w:type="character" w:customStyle="1" w:styleId="f14b1">
    <w:name w:val="f14b1"/>
    <w:qFormat/>
    <w:rPr>
      <w:b/>
      <w:bCs/>
      <w:sz w:val="21"/>
      <w:szCs w:val="21"/>
    </w:rPr>
  </w:style>
  <w:style w:type="character" w:customStyle="1" w:styleId="ca-4">
    <w:name w:val="ca-4"/>
    <w:basedOn w:val="a1"/>
    <w:qFormat/>
  </w:style>
  <w:style w:type="character" w:customStyle="1" w:styleId="321">
    <w:name w:val="标题 3 字符2"/>
    <w:semiHidden/>
    <w:qFormat/>
    <w:locked/>
    <w:rPr>
      <w:b/>
      <w:bCs/>
      <w:kern w:val="2"/>
      <w:sz w:val="32"/>
      <w:szCs w:val="32"/>
    </w:rPr>
  </w:style>
  <w:style w:type="character" w:customStyle="1" w:styleId="afffff7">
    <w:name w:val="电子邮件签名 字符"/>
    <w:qFormat/>
    <w:rPr>
      <w:rFonts w:ascii="Arial" w:eastAsia="仿宋_GB2312" w:hAnsi="Arial" w:cs="Times New Roman"/>
      <w:kern w:val="0"/>
      <w:sz w:val="24"/>
      <w:szCs w:val="20"/>
    </w:rPr>
  </w:style>
  <w:style w:type="character" w:customStyle="1" w:styleId="CharCharCharCharCharCharCharChar2">
    <w:name w:val="Char Char Char Char Char Char Char Char2"/>
    <w:qFormat/>
    <w:rPr>
      <w:rFonts w:ascii="Times New Roman" w:eastAsia="宋体" w:hAnsi="Times New Roman" w:cs="Times New Roman" w:hint="default"/>
      <w:sz w:val="24"/>
      <w:szCs w:val="24"/>
    </w:rPr>
  </w:style>
  <w:style w:type="character" w:customStyle="1" w:styleId="Charf">
    <w:name w:val="我的正文 Char"/>
    <w:link w:val="afffff8"/>
    <w:qFormat/>
    <w:locked/>
    <w:rPr>
      <w:rFonts w:ascii="宋体" w:eastAsia="宋体" w:hAnsi="宋体"/>
      <w:color w:val="000000"/>
      <w:sz w:val="28"/>
      <w:szCs w:val="28"/>
    </w:rPr>
  </w:style>
  <w:style w:type="paragraph" w:customStyle="1" w:styleId="afffff8">
    <w:name w:val="我的正文"/>
    <w:basedOn w:val="a"/>
    <w:link w:val="Charf"/>
    <w:qFormat/>
    <w:pPr>
      <w:spacing w:line="520" w:lineRule="exact"/>
      <w:ind w:firstLineChars="200" w:firstLine="560"/>
    </w:pPr>
    <w:rPr>
      <w:rFonts w:ascii="宋体" w:eastAsia="宋体" w:hAnsi="宋体"/>
      <w:color w:val="000000"/>
      <w:sz w:val="28"/>
      <w:szCs w:val="28"/>
    </w:rPr>
  </w:style>
  <w:style w:type="character" w:customStyle="1" w:styleId="4Char">
    <w:name w:val="标题4改 Char"/>
    <w:link w:val="4a"/>
    <w:qFormat/>
    <w:rPr>
      <w:rFonts w:ascii="华文细黑" w:eastAsia="华文细黑" w:hAnsi="黑体"/>
      <w:bCs/>
      <w:sz w:val="28"/>
      <w:szCs w:val="32"/>
      <w:lang w:val="en-GB"/>
    </w:rPr>
  </w:style>
  <w:style w:type="paragraph" w:customStyle="1" w:styleId="4a">
    <w:name w:val="标题4改"/>
    <w:basedOn w:val="2"/>
    <w:link w:val="4Char"/>
    <w:qFormat/>
    <w:pPr>
      <w:tabs>
        <w:tab w:val="left" w:pos="7615"/>
      </w:tabs>
      <w:spacing w:before="0" w:after="0" w:line="560" w:lineRule="exact"/>
      <w:ind w:firstLineChars="200" w:firstLine="200"/>
      <w:jc w:val="left"/>
      <w:outlineLvl w:val="3"/>
    </w:pPr>
    <w:rPr>
      <w:rFonts w:ascii="华文细黑" w:eastAsia="华文细黑" w:hAnsi="黑体" w:cstheme="minorBidi"/>
      <w:b w:val="0"/>
      <w:sz w:val="28"/>
      <w:lang w:val="en-GB"/>
    </w:rPr>
  </w:style>
  <w:style w:type="character" w:customStyle="1" w:styleId="biaoge">
    <w:name w:val="biaoge"/>
    <w:qFormat/>
  </w:style>
  <w:style w:type="character" w:customStyle="1" w:styleId="CharChar26">
    <w:name w:val="Char Char26"/>
    <w:qFormat/>
    <w:rPr>
      <w:rFonts w:eastAsia="宋体"/>
      <w:snapToGrid/>
      <w:sz w:val="21"/>
      <w:szCs w:val="24"/>
      <w:lang w:val="en-US" w:eastAsia="zh-CN" w:bidi="ar-SA"/>
    </w:rPr>
  </w:style>
  <w:style w:type="character" w:customStyle="1" w:styleId="CharCharCharCharCharCharCharCharChar2">
    <w:name w:val="正文（首行缩进两字） Char Char Char Char Char Char Char Char Char2"/>
    <w:qFormat/>
    <w:rPr>
      <w:rFonts w:ascii="仿宋_GB2312" w:eastAsia="仿宋_GB2312"/>
      <w:color w:val="000000"/>
      <w:kern w:val="2"/>
      <w:sz w:val="28"/>
      <w:szCs w:val="24"/>
      <w:lang w:val="en-US" w:eastAsia="zh-CN" w:bidi="ar-SA"/>
    </w:rPr>
  </w:style>
  <w:style w:type="character" w:customStyle="1" w:styleId="Charf0">
    <w:name w:val="环科院正文 Char"/>
    <w:link w:val="afffff9"/>
    <w:semiHidden/>
    <w:qFormat/>
    <w:rPr>
      <w:rFonts w:hAnsi="宋体"/>
      <w:bCs/>
      <w:sz w:val="28"/>
      <w:szCs w:val="28"/>
      <w:lang w:val="zh-CN"/>
    </w:rPr>
  </w:style>
  <w:style w:type="paragraph" w:customStyle="1" w:styleId="afffff9">
    <w:name w:val="环科院正文"/>
    <w:basedOn w:val="a"/>
    <w:link w:val="Charf0"/>
    <w:semiHidden/>
    <w:qFormat/>
    <w:pPr>
      <w:tabs>
        <w:tab w:val="left" w:pos="5760"/>
      </w:tabs>
      <w:spacing w:line="520" w:lineRule="exact"/>
      <w:ind w:firstLineChars="200" w:firstLine="560"/>
    </w:pPr>
    <w:rPr>
      <w:rFonts w:hAnsi="宋体"/>
      <w:bCs/>
      <w:sz w:val="28"/>
      <w:szCs w:val="28"/>
      <w:lang w:val="zh-CN"/>
    </w:rPr>
  </w:style>
  <w:style w:type="character" w:customStyle="1" w:styleId="312">
    <w:name w:val="正文文本 3 字符1"/>
    <w:qFormat/>
    <w:locked/>
    <w:rPr>
      <w:kern w:val="2"/>
      <w:sz w:val="16"/>
      <w:szCs w:val="16"/>
    </w:rPr>
  </w:style>
  <w:style w:type="character" w:customStyle="1" w:styleId="CharChar2">
    <w:name w:val="我的样式（正文） Char Char"/>
    <w:qFormat/>
    <w:rPr>
      <w:rFonts w:ascii="宋体" w:eastAsia="宋体" w:hAnsi="华文楷体"/>
      <w:kern w:val="2"/>
      <w:sz w:val="24"/>
      <w:szCs w:val="24"/>
      <w:lang w:val="en-US" w:eastAsia="zh-CN" w:bidi="ar-SA"/>
    </w:rPr>
  </w:style>
  <w:style w:type="character" w:customStyle="1" w:styleId="Char30">
    <w:name w:val="标题 Char3"/>
    <w:qFormat/>
    <w:locked/>
    <w:rPr>
      <w:rFonts w:ascii="Arial" w:eastAsia="宋体" w:hAnsi="Arial" w:cs="Arial"/>
      <w:b/>
      <w:bCs/>
      <w:kern w:val="2"/>
      <w:sz w:val="32"/>
      <w:szCs w:val="32"/>
      <w:lang w:val="en-US" w:eastAsia="zh-CN" w:bidi="ar-SA"/>
    </w:rPr>
  </w:style>
  <w:style w:type="character" w:customStyle="1" w:styleId="Charf1">
    <w:name w:val="表文字 Char"/>
    <w:link w:val="afffffa"/>
    <w:qFormat/>
    <w:rPr>
      <w:rFonts w:ascii="宋体" w:hAnsi="宋体"/>
      <w:szCs w:val="21"/>
    </w:rPr>
  </w:style>
  <w:style w:type="paragraph" w:customStyle="1" w:styleId="afffffa">
    <w:name w:val="表文字"/>
    <w:basedOn w:val="afff"/>
    <w:link w:val="Charf1"/>
    <w:qFormat/>
    <w:pPr>
      <w:spacing w:before="0" w:beforeAutospacing="0" w:after="0" w:afterAutospacing="0"/>
      <w:jc w:val="center"/>
    </w:pPr>
    <w:rPr>
      <w:rFonts w:ascii="宋体" w:eastAsiaTheme="minorEastAsia" w:hAnsi="宋体" w:cstheme="minorBidi"/>
      <w:kern w:val="2"/>
      <w:sz w:val="21"/>
      <w:szCs w:val="21"/>
    </w:rPr>
  </w:style>
  <w:style w:type="character" w:customStyle="1" w:styleId="1f3">
    <w:name w:val="脚注文本 字符1"/>
    <w:qFormat/>
    <w:locked/>
    <w:rPr>
      <w:sz w:val="18"/>
      <w:szCs w:val="18"/>
      <w:lang w:val="zh-CN" w:eastAsia="zh-CN"/>
    </w:rPr>
  </w:style>
  <w:style w:type="character" w:customStyle="1" w:styleId="text2">
    <w:name w:val="text2"/>
    <w:qFormat/>
    <w:rPr>
      <w:rFonts w:ascii="宋体" w:eastAsia="宋体" w:hAnsi="宋体" w:hint="eastAsia"/>
      <w:kern w:val="2"/>
      <w:sz w:val="21"/>
      <w:szCs w:val="21"/>
      <w:lang w:val="en-US" w:eastAsia="zh-CN" w:bidi="ar-SA"/>
    </w:rPr>
  </w:style>
  <w:style w:type="character" w:customStyle="1" w:styleId="CharChar315">
    <w:name w:val="Char Char315"/>
    <w:qFormat/>
    <w:rPr>
      <w:rFonts w:ascii="Arial" w:eastAsia="宋体" w:hAnsi="Arial" w:cs="Arial"/>
      <w:b/>
      <w:bCs/>
      <w:kern w:val="2"/>
      <w:sz w:val="32"/>
      <w:szCs w:val="32"/>
      <w:lang w:val="en-US" w:eastAsia="zh-CN" w:bidi="ar-SA"/>
    </w:rPr>
  </w:style>
  <w:style w:type="character" w:customStyle="1" w:styleId="size9">
    <w:name w:val="size9"/>
    <w:qFormat/>
  </w:style>
  <w:style w:type="character" w:customStyle="1" w:styleId="style841">
    <w:name w:val="style841"/>
    <w:qFormat/>
    <w:rPr>
      <w:sz w:val="24"/>
      <w:szCs w:val="24"/>
    </w:rPr>
  </w:style>
  <w:style w:type="character" w:customStyle="1" w:styleId="Charf2">
    <w:name w:val="正文文本缩进 Char"/>
    <w:qFormat/>
    <w:rPr>
      <w:rFonts w:ascii="Times New Roman" w:eastAsia="宋体" w:hAnsi="Times New Roman" w:cs="Times New Roman"/>
      <w:sz w:val="20"/>
      <w:szCs w:val="20"/>
      <w:lang w:eastAsia="zh-CN" w:bidi="ar-SA"/>
    </w:rPr>
  </w:style>
  <w:style w:type="character" w:customStyle="1" w:styleId="table">
    <w:name w:val="table"/>
    <w:qFormat/>
  </w:style>
  <w:style w:type="character" w:customStyle="1" w:styleId="32051Char">
    <w:name w:val="样式 标题 3 + 左侧:  2 字符 段前: 0.5 行1 Char"/>
    <w:link w:val="32051"/>
    <w:qFormat/>
    <w:rPr>
      <w:rFonts w:ascii="黑体" w:eastAsia="黑体"/>
      <w:spacing w:val="-2"/>
      <w:sz w:val="28"/>
    </w:rPr>
  </w:style>
  <w:style w:type="paragraph" w:customStyle="1" w:styleId="32051">
    <w:name w:val="样式 标题 3 + 左侧:  2 字符 段前: 0.5 行1"/>
    <w:basedOn w:val="3"/>
    <w:link w:val="32051Char"/>
    <w:qFormat/>
    <w:pPr>
      <w:keepNext w:val="0"/>
      <w:tabs>
        <w:tab w:val="left" w:pos="1418"/>
      </w:tabs>
      <w:spacing w:before="0" w:after="0" w:line="580" w:lineRule="exact"/>
    </w:pPr>
    <w:rPr>
      <w:rFonts w:ascii="黑体" w:eastAsia="黑体" w:hAnsiTheme="minorHAnsi" w:cstheme="minorBidi"/>
      <w:b w:val="0"/>
      <w:bCs w:val="0"/>
      <w:spacing w:val="-2"/>
      <w:kern w:val="2"/>
      <w:sz w:val="28"/>
      <w:szCs w:val="22"/>
    </w:rPr>
  </w:style>
  <w:style w:type="character" w:customStyle="1" w:styleId="1Char0">
    <w:name w:val="博泵1 Char"/>
    <w:link w:val="1f4"/>
    <w:qFormat/>
    <w:rPr>
      <w:rFonts w:hAnsi="宋体"/>
      <w:color w:val="000000"/>
      <w:sz w:val="24"/>
    </w:rPr>
  </w:style>
  <w:style w:type="paragraph" w:customStyle="1" w:styleId="1f4">
    <w:name w:val="博泵1"/>
    <w:basedOn w:val="a"/>
    <w:link w:val="1Char0"/>
    <w:qFormat/>
    <w:pPr>
      <w:adjustRightInd w:val="0"/>
      <w:spacing w:line="480" w:lineRule="exact"/>
      <w:ind w:firstLineChars="200" w:firstLine="200"/>
      <w:jc w:val="left"/>
      <w:textAlignment w:val="baseline"/>
    </w:pPr>
    <w:rPr>
      <w:rFonts w:hAnsi="宋体"/>
      <w:color w:val="000000"/>
      <w:sz w:val="24"/>
    </w:rPr>
  </w:style>
  <w:style w:type="character" w:customStyle="1" w:styleId="HTMLChar">
    <w:name w:val="HTML 地址 Char"/>
    <w:qFormat/>
    <w:rPr>
      <w:rFonts w:ascii="Arial" w:eastAsia="仿宋_GB2312" w:hAnsi="Arial"/>
      <w:i/>
      <w:iCs/>
      <w:sz w:val="24"/>
      <w:lang w:val="en-US" w:eastAsia="zh-CN" w:bidi="ar-SA"/>
    </w:rPr>
  </w:style>
  <w:style w:type="character" w:customStyle="1" w:styleId="word11">
    <w:name w:val="word11"/>
    <w:qFormat/>
    <w:rPr>
      <w:rFonts w:ascii="宋体" w:eastAsia="宋体" w:hAnsi="宋体" w:hint="eastAsia"/>
      <w:kern w:val="2"/>
      <w:sz w:val="16"/>
      <w:szCs w:val="16"/>
      <w:lang w:val="en-US" w:eastAsia="zh-CN" w:bidi="ar-SA"/>
    </w:rPr>
  </w:style>
  <w:style w:type="character" w:customStyle="1" w:styleId="HTML12">
    <w:name w:val="HTML 打字机12"/>
    <w:qFormat/>
    <w:rPr>
      <w:rFonts w:ascii="黑体" w:eastAsia="黑体" w:hAnsi="Courier New" w:cs="Courier New" w:hint="eastAsia"/>
      <w:sz w:val="18"/>
      <w:szCs w:val="18"/>
    </w:rPr>
  </w:style>
  <w:style w:type="character" w:customStyle="1" w:styleId="1f5">
    <w:name w:val="书籍标题1"/>
    <w:qFormat/>
    <w:rPr>
      <w:b/>
      <w:bCs/>
      <w:smallCaps/>
      <w:spacing w:val="5"/>
    </w:rPr>
  </w:style>
  <w:style w:type="character" w:customStyle="1" w:styleId="CharChar72">
    <w:name w:val="Char Char72"/>
    <w:qFormat/>
    <w:rPr>
      <w:rFonts w:eastAsia="宋体"/>
      <w:bCs/>
      <w:kern w:val="2"/>
      <w:sz w:val="28"/>
      <w:lang w:val="en-US" w:eastAsia="zh-CN" w:bidi="ar-SA"/>
    </w:rPr>
  </w:style>
  <w:style w:type="character" w:customStyle="1" w:styleId="HTML30">
    <w:name w:val="HTML 打字机3"/>
    <w:qFormat/>
    <w:rPr>
      <w:rFonts w:ascii="黑体" w:eastAsia="黑体" w:hAnsi="Courier New" w:cs="Courier New" w:hint="eastAsia"/>
      <w:sz w:val="18"/>
      <w:szCs w:val="18"/>
    </w:rPr>
  </w:style>
  <w:style w:type="character" w:customStyle="1" w:styleId="3zw1">
    <w:name w:val="3zw1"/>
    <w:qFormat/>
    <w:rPr>
      <w:rFonts w:cs="Times New Roman"/>
      <w:color w:val="000000"/>
      <w:sz w:val="28"/>
      <w:szCs w:val="28"/>
      <w:u w:val="none"/>
    </w:rPr>
  </w:style>
  <w:style w:type="character" w:customStyle="1" w:styleId="si16">
    <w:name w:val="si16"/>
    <w:qFormat/>
  </w:style>
  <w:style w:type="character" w:customStyle="1" w:styleId="zhenwen14">
    <w:name w:val="zhenwen14"/>
    <w:qFormat/>
    <w:rPr>
      <w:rFonts w:ascii="宋体" w:eastAsia="宋体" w:hAnsi="宋体" w:hint="eastAsia"/>
      <w:kern w:val="2"/>
      <w:sz w:val="21"/>
      <w:szCs w:val="21"/>
      <w:lang w:val="en-US" w:eastAsia="zh-CN" w:bidi="ar-SA"/>
    </w:rPr>
  </w:style>
  <w:style w:type="character" w:customStyle="1" w:styleId="Char60">
    <w:name w:val="环表头 Char6"/>
    <w:qFormat/>
    <w:rPr>
      <w:rFonts w:ascii="宋体" w:eastAsia="宋体" w:hAnsi="宋体" w:cs="Courier New"/>
      <w:b/>
      <w:color w:val="000000"/>
      <w:kern w:val="2"/>
      <w:sz w:val="24"/>
      <w:szCs w:val="21"/>
      <w:lang w:val="en-US" w:eastAsia="zh-CN" w:bidi="ar-SA"/>
    </w:rPr>
  </w:style>
  <w:style w:type="character" w:customStyle="1" w:styleId="pt14">
    <w:name w:val="pt14"/>
    <w:qFormat/>
  </w:style>
  <w:style w:type="character" w:customStyle="1" w:styleId="CharChar199">
    <w:name w:val="Char Char199"/>
    <w:qFormat/>
    <w:rPr>
      <w:rFonts w:eastAsia="宋体"/>
      <w:kern w:val="2"/>
      <w:sz w:val="21"/>
      <w:szCs w:val="24"/>
      <w:lang w:val="en-US" w:eastAsia="zh-CN" w:bidi="ar-SA"/>
    </w:rPr>
  </w:style>
  <w:style w:type="character" w:customStyle="1" w:styleId="PlainTextChar1Char">
    <w:name w:val="Plain Text Char1 Char"/>
    <w:qFormat/>
    <w:rPr>
      <w:rFonts w:ascii="宋体" w:eastAsia="宋体" w:hAnsi="Courier New" w:cs="Courier New"/>
      <w:sz w:val="21"/>
      <w:szCs w:val="21"/>
      <w:lang w:val="en-US" w:eastAsia="zh-CN" w:bidi="ar-SA"/>
    </w:rPr>
  </w:style>
  <w:style w:type="character" w:customStyle="1" w:styleId="Char14">
    <w:name w:val="表号 Char1"/>
    <w:qFormat/>
    <w:rPr>
      <w:rFonts w:ascii="宋体" w:eastAsia="宋体" w:hAnsi="宋体"/>
      <w:sz w:val="24"/>
      <w:szCs w:val="24"/>
      <w:lang w:val="en-US" w:eastAsia="zh-CN" w:bidi="ar-SA"/>
    </w:rPr>
  </w:style>
  <w:style w:type="character" w:customStyle="1" w:styleId="CharChar4">
    <w:name w:val="封面 Char Char"/>
    <w:qFormat/>
    <w:rPr>
      <w:rFonts w:ascii="Arial" w:eastAsia="仿宋_GB2312" w:hAnsi="Arial" w:cs="宋体"/>
      <w:b/>
      <w:sz w:val="30"/>
      <w:szCs w:val="24"/>
      <w:lang w:val="en-US" w:eastAsia="zh-CN" w:bidi="ar-SA"/>
    </w:rPr>
  </w:style>
  <w:style w:type="character" w:customStyle="1" w:styleId="ttitle1">
    <w:name w:val="ttitle1"/>
    <w:qFormat/>
    <w:rPr>
      <w:rFonts w:cs="Times New Roman"/>
      <w:spacing w:val="120"/>
      <w:sz w:val="21"/>
      <w:szCs w:val="21"/>
    </w:rPr>
  </w:style>
  <w:style w:type="character" w:customStyle="1" w:styleId="textcontents">
    <w:name w:val="textcontents"/>
    <w:qFormat/>
  </w:style>
  <w:style w:type="character" w:customStyle="1" w:styleId="afffffb">
    <w:name w:val="博泵正文"/>
    <w:qFormat/>
    <w:rPr>
      <w:rFonts w:eastAsia="宋体"/>
      <w:spacing w:val="-25"/>
      <w:sz w:val="24"/>
    </w:rPr>
  </w:style>
  <w:style w:type="character" w:customStyle="1" w:styleId="CharChar1CharCharCharCha">
    <w:name w:val="正文（首行缩进两字） Char Char1 Char Char Char Cha"/>
    <w:qFormat/>
    <w:rPr>
      <w:rFonts w:ascii="仿宋_GB2312" w:eastAsia="仿宋_GB2312"/>
      <w:color w:val="000000"/>
      <w:kern w:val="2"/>
      <w:sz w:val="28"/>
      <w:szCs w:val="24"/>
      <w:lang w:val="en-US" w:eastAsia="zh-CN" w:bidi="ar-SA"/>
    </w:rPr>
  </w:style>
  <w:style w:type="character" w:customStyle="1" w:styleId="Footer1CharChar">
    <w:name w:val="Footer1 Char Char"/>
    <w:qFormat/>
    <w:locked/>
    <w:rPr>
      <w:rFonts w:eastAsia="宋体"/>
      <w:kern w:val="2"/>
      <w:sz w:val="18"/>
      <w:lang w:val="en-US" w:eastAsia="zh-CN" w:bidi="ar-SA"/>
    </w:rPr>
  </w:style>
  <w:style w:type="character" w:customStyle="1" w:styleId="Charf3">
    <w:name w:val="批注框文本 Char"/>
    <w:qFormat/>
    <w:rPr>
      <w:rFonts w:eastAsia="宋体"/>
      <w:sz w:val="18"/>
      <w:szCs w:val="18"/>
      <w:lang w:val="en-US" w:eastAsia="zh-CN" w:bidi="ar-SA"/>
    </w:rPr>
  </w:style>
  <w:style w:type="character" w:customStyle="1" w:styleId="1Char1">
    <w:name w:val="样式 标题 1 + 宋体 加粗 Char"/>
    <w:qFormat/>
    <w:rPr>
      <w:rFonts w:ascii="宋体" w:eastAsia="宋体" w:hAnsi="宋体" w:hint="eastAsia"/>
      <w:b/>
      <w:kern w:val="2"/>
      <w:sz w:val="28"/>
      <w:szCs w:val="21"/>
      <w:lang w:val="en-US" w:eastAsia="zh-CN" w:bidi="ar-SA"/>
    </w:rPr>
  </w:style>
  <w:style w:type="character" w:customStyle="1" w:styleId="64">
    <w:name w:val="标题6"/>
    <w:basedOn w:val="a1"/>
    <w:qFormat/>
  </w:style>
  <w:style w:type="character" w:customStyle="1" w:styleId="grame">
    <w:name w:val="grame"/>
    <w:qFormat/>
    <w:rPr>
      <w:rFonts w:cs="Times New Roman"/>
    </w:rPr>
  </w:style>
  <w:style w:type="character" w:customStyle="1" w:styleId="Charf4">
    <w:name w:val="注释 Char"/>
    <w:qFormat/>
    <w:rPr>
      <w:rFonts w:ascii="宋体" w:eastAsia="仿宋_GB2312" w:cs="宋体"/>
      <w:snapToGrid/>
      <w:spacing w:val="4"/>
      <w:sz w:val="24"/>
      <w:lang w:val="en-US" w:eastAsia="zh-CN" w:bidi="ar-SA"/>
    </w:rPr>
  </w:style>
  <w:style w:type="character" w:customStyle="1" w:styleId="CharChar5">
    <w:name w:val="表号 Char Char"/>
    <w:qFormat/>
    <w:locked/>
    <w:rPr>
      <w:rFonts w:eastAsia="宋体"/>
      <w:kern w:val="32"/>
      <w:sz w:val="24"/>
      <w:lang w:val="en-US" w:eastAsia="zh-CN" w:bidi="ar-SA"/>
    </w:rPr>
  </w:style>
  <w:style w:type="character" w:customStyle="1" w:styleId="Charf5">
    <w:name w:val="引用 Char"/>
    <w:link w:val="1f6"/>
    <w:qFormat/>
    <w:locked/>
    <w:rPr>
      <w:i/>
      <w:sz w:val="24"/>
      <w:szCs w:val="24"/>
    </w:rPr>
  </w:style>
  <w:style w:type="paragraph" w:customStyle="1" w:styleId="1f6">
    <w:name w:val="引用1"/>
    <w:basedOn w:val="a"/>
    <w:next w:val="a"/>
    <w:link w:val="Charf5"/>
    <w:qFormat/>
    <w:pPr>
      <w:widowControl/>
      <w:jc w:val="left"/>
    </w:pPr>
    <w:rPr>
      <w:i/>
      <w:sz w:val="24"/>
      <w:szCs w:val="24"/>
    </w:rPr>
  </w:style>
  <w:style w:type="character" w:customStyle="1" w:styleId="150">
    <w:name w:val="15"/>
    <w:qFormat/>
    <w:rPr>
      <w:rFonts w:ascii="宋体" w:eastAsia="宋体" w:hAnsi="宋体" w:hint="eastAsia"/>
      <w:sz w:val="28"/>
      <w:szCs w:val="28"/>
    </w:rPr>
  </w:style>
  <w:style w:type="character" w:customStyle="1" w:styleId="CharChar192">
    <w:name w:val="Char Char192"/>
    <w:qFormat/>
    <w:rPr>
      <w:rFonts w:ascii="Times New Roman" w:eastAsia="宋体" w:hAnsi="Times New Roman" w:cs="Times New Roman"/>
      <w:szCs w:val="24"/>
      <w:shd w:val="clear" w:color="auto" w:fill="000080"/>
    </w:rPr>
  </w:style>
  <w:style w:type="character" w:customStyle="1" w:styleId="1f7">
    <w:name w:val="不明显强调1"/>
    <w:qFormat/>
    <w:rPr>
      <w:rFonts w:ascii="宋体" w:eastAsia="宋体" w:hAnsi="宋体" w:hint="eastAsia"/>
      <w:i/>
      <w:iCs/>
      <w:color w:val="808080"/>
      <w:kern w:val="2"/>
      <w:sz w:val="21"/>
      <w:szCs w:val="21"/>
      <w:lang w:val="en-US" w:eastAsia="zh-CN" w:bidi="ar-SA"/>
    </w:rPr>
  </w:style>
  <w:style w:type="character" w:customStyle="1" w:styleId="Charf6">
    <w:name w:val="正文文本 Char"/>
    <w:qFormat/>
    <w:rPr>
      <w:rFonts w:eastAsia="宋体"/>
      <w:kern w:val="2"/>
      <w:sz w:val="21"/>
      <w:lang w:val="en-US" w:eastAsia="zh-CN" w:bidi="ar-SA"/>
    </w:rPr>
  </w:style>
  <w:style w:type="character" w:customStyle="1" w:styleId="moonicontexticon">
    <w:name w:val="moon icon texticon"/>
    <w:qFormat/>
  </w:style>
  <w:style w:type="character" w:customStyle="1" w:styleId="Charf7">
    <w:name w:val="信息标题 Char"/>
    <w:qFormat/>
    <w:rPr>
      <w:rFonts w:ascii="Arial" w:eastAsia="仿宋_GB2312" w:hAnsi="Arial" w:cs="Arial"/>
      <w:sz w:val="24"/>
      <w:shd w:val="pct20" w:color="auto" w:fill="auto"/>
    </w:rPr>
  </w:style>
  <w:style w:type="character" w:customStyle="1" w:styleId="c3CharChar">
    <w:name w:val="c3 Char Char"/>
    <w:link w:val="c3"/>
    <w:qFormat/>
    <w:rPr>
      <w:rFonts w:ascii="宋体" w:hAnsi="宋体"/>
      <w:b/>
      <w:sz w:val="28"/>
      <w:szCs w:val="28"/>
    </w:rPr>
  </w:style>
  <w:style w:type="paragraph" w:customStyle="1" w:styleId="c3">
    <w:name w:val="c3"/>
    <w:basedOn w:val="a"/>
    <w:link w:val="c3CharChar"/>
    <w:qFormat/>
    <w:pPr>
      <w:widowControl/>
      <w:adjustRightInd w:val="0"/>
      <w:spacing w:beforeLines="50" w:before="156" w:afterLines="50" w:after="156" w:line="360" w:lineRule="auto"/>
      <w:ind w:firstLineChars="300" w:firstLine="843"/>
      <w:jc w:val="left"/>
      <w:outlineLvl w:val="2"/>
    </w:pPr>
    <w:rPr>
      <w:rFonts w:ascii="宋体" w:hAnsi="宋体"/>
      <w:b/>
      <w:sz w:val="28"/>
      <w:szCs w:val="28"/>
    </w:rPr>
  </w:style>
  <w:style w:type="character" w:customStyle="1" w:styleId="3Char">
    <w:name w:val="环标3 Char"/>
    <w:qFormat/>
    <w:rPr>
      <w:rFonts w:eastAsia="宋体"/>
      <w:sz w:val="24"/>
      <w:szCs w:val="24"/>
      <w:lang w:val="en-US" w:eastAsia="zh-CN" w:bidi="ar-SA"/>
    </w:rPr>
  </w:style>
  <w:style w:type="character" w:customStyle="1" w:styleId="CharChar8">
    <w:name w:val="章标题 Char Char"/>
    <w:qFormat/>
    <w:rPr>
      <w:rFonts w:ascii="黑体" w:eastAsia="黑体"/>
      <w:sz w:val="21"/>
      <w:lang w:val="en-US" w:eastAsia="zh-CN" w:bidi="ar-SA"/>
    </w:rPr>
  </w:style>
  <w:style w:type="character" w:customStyle="1" w:styleId="CharChar9">
    <w:name w:val="一级条标题 Char Char"/>
    <w:qFormat/>
    <w:rPr>
      <w:rFonts w:ascii="黑体" w:eastAsia="黑体"/>
      <w:sz w:val="21"/>
      <w:lang w:val="en-US" w:eastAsia="zh-CN" w:bidi="ar-SA"/>
    </w:rPr>
  </w:style>
  <w:style w:type="character" w:customStyle="1" w:styleId="CharChara">
    <w:name w:val="信息计划书 标题样式 Char Char"/>
    <w:qFormat/>
    <w:rPr>
      <w:rFonts w:ascii="Times New Roman" w:hAnsi="Times New Roman"/>
      <w:kern w:val="2"/>
      <w:sz w:val="24"/>
      <w:szCs w:val="24"/>
    </w:rPr>
  </w:style>
  <w:style w:type="character" w:customStyle="1" w:styleId="Charf8">
    <w:name w:val="注释标题 Char"/>
    <w:qFormat/>
    <w:rPr>
      <w:rFonts w:eastAsia="宋体"/>
      <w:sz w:val="18"/>
      <w:szCs w:val="24"/>
      <w:lang w:val="en-US" w:eastAsia="zh-CN" w:bidi="ar-SA"/>
    </w:rPr>
  </w:style>
  <w:style w:type="character" w:customStyle="1" w:styleId="unnamed91">
    <w:name w:val="unnamed91"/>
    <w:qFormat/>
    <w:rPr>
      <w:rFonts w:ascii="宋体" w:eastAsia="宋体" w:hAnsi="宋体" w:hint="eastAsia"/>
      <w:color w:val="000000"/>
      <w:spacing w:val="375"/>
      <w:sz w:val="18"/>
      <w:szCs w:val="18"/>
      <w:u w:val="none"/>
    </w:rPr>
  </w:style>
  <w:style w:type="character" w:customStyle="1" w:styleId="body11">
    <w:name w:val="body11"/>
    <w:qFormat/>
    <w:rPr>
      <w:sz w:val="20"/>
    </w:rPr>
  </w:style>
  <w:style w:type="character" w:customStyle="1" w:styleId="1f8">
    <w:name w:val="结束语 字符1"/>
    <w:qFormat/>
    <w:locked/>
    <w:rPr>
      <w:rFonts w:ascii="Arial" w:eastAsia="仿宋_GB2312" w:hAnsi="Arial" w:cs="Arial"/>
    </w:rPr>
  </w:style>
  <w:style w:type="character" w:customStyle="1" w:styleId="CharCharCharCharCharCharChar1">
    <w:name w:val="Char Char Char Char Char Char Char1"/>
    <w:link w:val="CharCharCharCharCharChar1"/>
    <w:qFormat/>
    <w:locked/>
    <w:rPr>
      <w:rFonts w:ascii="宋体" w:eastAsia="宋体" w:hAnsi="宋体"/>
      <w:sz w:val="24"/>
      <w:szCs w:val="24"/>
    </w:rPr>
  </w:style>
  <w:style w:type="paragraph" w:customStyle="1" w:styleId="CharCharCharCharCharChar1">
    <w:name w:val="Char Char Char Char Char Char1"/>
    <w:basedOn w:val="a"/>
    <w:link w:val="CharCharCharCharCharCharChar1"/>
    <w:qFormat/>
    <w:rPr>
      <w:rFonts w:ascii="宋体" w:eastAsia="宋体" w:hAnsi="宋体"/>
      <w:sz w:val="24"/>
      <w:szCs w:val="24"/>
    </w:rPr>
  </w:style>
  <w:style w:type="character" w:customStyle="1" w:styleId="001Char">
    <w:name w:val="表格001 Char"/>
    <w:link w:val="001"/>
    <w:qFormat/>
  </w:style>
  <w:style w:type="paragraph" w:customStyle="1" w:styleId="001">
    <w:name w:val="表格001"/>
    <w:basedOn w:val="a"/>
    <w:link w:val="001Char"/>
    <w:qFormat/>
    <w:pPr>
      <w:jc w:val="center"/>
    </w:pPr>
  </w:style>
  <w:style w:type="character" w:customStyle="1" w:styleId="33Char3CharCharCharCharCharCharCharCharCChar">
    <w:name w:val="样式 标题 3标题 3 Char标题 3 Char Char Char Char Char Char Char Char C... Char"/>
    <w:link w:val="33Char3CharCharCharCharCharCharCharCharC"/>
    <w:qFormat/>
    <w:rPr>
      <w:rFonts w:ascii="宋体" w:hAnsi="宋体"/>
      <w:b/>
      <w:sz w:val="24"/>
    </w:rPr>
  </w:style>
  <w:style w:type="paragraph" w:customStyle="1" w:styleId="33Char3CharCharCharCharCharCharCharCharC">
    <w:name w:val="样式 标题 3标题 3 Char标题 3 Char Char Char Char Char Char Char Char C..."/>
    <w:basedOn w:val="3"/>
    <w:link w:val="33Char3CharCharCharCharCharCharCharCharCChar"/>
    <w:qFormat/>
    <w:pPr>
      <w:widowControl w:val="0"/>
      <w:tabs>
        <w:tab w:val="left" w:pos="360"/>
        <w:tab w:val="left" w:pos="720"/>
        <w:tab w:val="left" w:pos="900"/>
      </w:tabs>
      <w:spacing w:before="0" w:after="0" w:line="360" w:lineRule="auto"/>
      <w:ind w:left="720" w:hanging="720"/>
      <w:jc w:val="both"/>
    </w:pPr>
    <w:rPr>
      <w:rFonts w:ascii="宋体" w:eastAsiaTheme="minorEastAsia" w:hAnsi="宋体" w:cstheme="minorBidi"/>
      <w:bCs w:val="0"/>
      <w:kern w:val="2"/>
      <w:sz w:val="24"/>
      <w:szCs w:val="22"/>
    </w:rPr>
  </w:style>
  <w:style w:type="character" w:customStyle="1" w:styleId="1f9">
    <w:name w:val="信息标题 字符1"/>
    <w:qFormat/>
    <w:locked/>
    <w:rPr>
      <w:rFonts w:ascii="Arial" w:eastAsia="仿宋_GB2312" w:hAnsi="Arial" w:cs="Arial"/>
      <w:shd w:val="pct20" w:color="auto" w:fill="auto"/>
    </w:rPr>
  </w:style>
  <w:style w:type="character" w:customStyle="1" w:styleId="6Char">
    <w:name w:val="标题 6 Char"/>
    <w:qFormat/>
    <w:rPr>
      <w:rFonts w:eastAsia="宋体"/>
      <w:bCs/>
      <w:kern w:val="2"/>
      <w:sz w:val="28"/>
      <w:szCs w:val="28"/>
      <w:lang w:val="en-US" w:eastAsia="zh-CN" w:bidi="ar-SA"/>
    </w:rPr>
  </w:style>
  <w:style w:type="character" w:customStyle="1" w:styleId="ca-6">
    <w:name w:val="ca-6"/>
    <w:qFormat/>
    <w:rPr>
      <w:rFonts w:cs="Times New Roman"/>
    </w:rPr>
  </w:style>
  <w:style w:type="character" w:customStyle="1" w:styleId="H6Char1">
    <w:name w:val="H6 Char1"/>
    <w:qFormat/>
    <w:rPr>
      <w:rFonts w:ascii="Arial" w:eastAsia="黑体" w:hAnsi="Arial"/>
      <w:b/>
      <w:bCs/>
      <w:kern w:val="2"/>
      <w:sz w:val="24"/>
      <w:szCs w:val="24"/>
      <w:lang w:val="en-US" w:eastAsia="zh-CN" w:bidi="ar-SA"/>
    </w:rPr>
  </w:style>
  <w:style w:type="character" w:customStyle="1" w:styleId="2CharChar2">
    <w:name w:val="首2页项目名称 Char Char"/>
    <w:qFormat/>
    <w:rPr>
      <w:rFonts w:ascii="楷体" w:eastAsia="楷体" w:hAnsi="楷体"/>
      <w:kern w:val="2"/>
      <w:sz w:val="44"/>
      <w:szCs w:val="44"/>
      <w:lang w:val="en-US" w:eastAsia="zh-CN" w:bidi="ar-SA"/>
    </w:rPr>
  </w:style>
  <w:style w:type="character" w:customStyle="1" w:styleId="bs12">
    <w:name w:val="bs12"/>
    <w:qFormat/>
    <w:rPr>
      <w:rFonts w:ascii="宋体" w:eastAsia="宋体" w:hAnsi="宋体" w:hint="eastAsia"/>
      <w:color w:val="000000"/>
      <w:sz w:val="18"/>
      <w:szCs w:val="18"/>
    </w:rPr>
  </w:style>
  <w:style w:type="character" w:customStyle="1" w:styleId="Charf9">
    <w:name w:val="表 头 Char"/>
    <w:link w:val="afffffc"/>
    <w:qFormat/>
    <w:rPr>
      <w:spacing w:val="10"/>
      <w:sz w:val="24"/>
    </w:rPr>
  </w:style>
  <w:style w:type="paragraph" w:customStyle="1" w:styleId="afffffc">
    <w:name w:val="表 头"/>
    <w:basedOn w:val="a"/>
    <w:link w:val="Charf9"/>
    <w:qFormat/>
    <w:pPr>
      <w:adjustRightInd w:val="0"/>
      <w:spacing w:line="500" w:lineRule="exact"/>
      <w:jc w:val="center"/>
    </w:pPr>
    <w:rPr>
      <w:spacing w:val="10"/>
      <w:sz w:val="24"/>
    </w:rPr>
  </w:style>
  <w:style w:type="character" w:customStyle="1" w:styleId="texhtml">
    <w:name w:val="texhtml"/>
    <w:qFormat/>
  </w:style>
  <w:style w:type="character" w:customStyle="1" w:styleId="1fa">
    <w:name w:val="称呼 字符1"/>
    <w:qFormat/>
    <w:locked/>
    <w:rPr>
      <w:rFonts w:ascii="Arial" w:eastAsia="仿宋_GB2312" w:hAnsi="Arial" w:cs="Arial"/>
    </w:rPr>
  </w:style>
  <w:style w:type="character" w:customStyle="1" w:styleId="bt11">
    <w:name w:val="bt11"/>
    <w:qFormat/>
    <w:rPr>
      <w:rFonts w:ascii="黑体" w:eastAsia="黑体" w:hint="eastAsia"/>
      <w:color w:val="000000"/>
      <w:sz w:val="28"/>
    </w:rPr>
  </w:style>
  <w:style w:type="character" w:customStyle="1" w:styleId="Charfa">
    <w:name w:val="文档结构图 Char"/>
    <w:qFormat/>
    <w:rPr>
      <w:sz w:val="24"/>
      <w:shd w:val="clear" w:color="auto" w:fill="000080"/>
    </w:rPr>
  </w:style>
  <w:style w:type="character" w:customStyle="1" w:styleId="CharChar31">
    <w:name w:val="Char Char31"/>
    <w:qFormat/>
    <w:rPr>
      <w:rFonts w:ascii="Arial" w:eastAsia="宋体" w:hAnsi="Arial"/>
      <w:b/>
      <w:kern w:val="2"/>
      <w:sz w:val="32"/>
      <w:lang w:val="en-US" w:eastAsia="zh-CN"/>
    </w:rPr>
  </w:style>
  <w:style w:type="character" w:customStyle="1" w:styleId="CharCharCharChar2">
    <w:name w:val="文本框五号 Char Char Char Char"/>
    <w:semiHidden/>
    <w:qFormat/>
    <w:rPr>
      <w:rFonts w:ascii="宋体" w:eastAsia="仿宋_GB2312" w:hAnsi="宋体" w:cs="Courier New"/>
      <w:kern w:val="2"/>
      <w:sz w:val="21"/>
      <w:szCs w:val="21"/>
      <w:lang w:val="en-US" w:eastAsia="zh-CN" w:bidi="ar-SA"/>
    </w:rPr>
  </w:style>
  <w:style w:type="character" w:customStyle="1" w:styleId="aaa">
    <w:name w:val="aaa"/>
    <w:qFormat/>
    <w:rPr>
      <w:rFonts w:cs="Times New Roman"/>
    </w:rPr>
  </w:style>
  <w:style w:type="character" w:customStyle="1" w:styleId="CharCharb">
    <w:name w:val="表格内容 Char Char"/>
    <w:qFormat/>
    <w:rPr>
      <w:rFonts w:ascii="Arial" w:eastAsia="仿宋_GB2312" w:hAnsi="Arial"/>
      <w:sz w:val="24"/>
      <w:lang w:val="en-US" w:eastAsia="zh-CN" w:bidi="ar-SA"/>
    </w:rPr>
  </w:style>
  <w:style w:type="character" w:customStyle="1" w:styleId="Char23">
    <w:name w:val="环正文 Char2"/>
    <w:qFormat/>
    <w:rPr>
      <w:rFonts w:ascii="宋体" w:eastAsia="宋体" w:hAnsi="宋体"/>
      <w:sz w:val="24"/>
      <w:lang w:val="en-US" w:eastAsia="zh-CN" w:bidi="ar-SA"/>
    </w:rPr>
  </w:style>
  <w:style w:type="character" w:customStyle="1" w:styleId="style401">
    <w:name w:val="style401"/>
    <w:qFormat/>
    <w:rPr>
      <w:color w:val="000000"/>
    </w:rPr>
  </w:style>
  <w:style w:type="character" w:customStyle="1" w:styleId="3H33CharChar3Char1113zymGB23121Char">
    <w:name w:val="样式 标题 3H3标题 3 Char Char标题 3 Char条标题1.1.1标题 3zym + 仿宋_GB23121 Char"/>
    <w:link w:val="3H33CharChar3Char1113zymGB23121"/>
    <w:qFormat/>
    <w:rPr>
      <w:rFonts w:ascii="仿宋_GB2312" w:eastAsia="仿宋_GB2312" w:hAnsi="仿宋_GB2312"/>
      <w:b/>
      <w:bCs/>
      <w:sz w:val="28"/>
      <w:szCs w:val="28"/>
    </w:rPr>
  </w:style>
  <w:style w:type="paragraph" w:customStyle="1" w:styleId="3H33CharChar3Char1113zymGB23121">
    <w:name w:val="样式 标题 3H3标题 3 Char Char标题 3 Char条标题1.1.1标题 3zym + 仿宋_GB23121"/>
    <w:basedOn w:val="3"/>
    <w:link w:val="3H33CharChar3Char1113zymGB23121Char"/>
    <w:qFormat/>
    <w:pPr>
      <w:keepLines w:val="0"/>
      <w:widowControl w:val="0"/>
      <w:tabs>
        <w:tab w:val="left" w:pos="1418"/>
        <w:tab w:val="left" w:pos="2520"/>
      </w:tabs>
      <w:snapToGrid w:val="0"/>
      <w:spacing w:before="0" w:afterLines="50" w:after="120" w:line="360" w:lineRule="auto"/>
      <w:ind w:left="267" w:rightChars="100" w:right="100" w:hanging="87"/>
      <w:jc w:val="both"/>
    </w:pPr>
    <w:rPr>
      <w:rFonts w:ascii="仿宋_GB2312" w:eastAsia="仿宋_GB2312" w:hAnsi="仿宋_GB2312" w:cstheme="minorBidi"/>
      <w:kern w:val="2"/>
      <w:sz w:val="28"/>
      <w:szCs w:val="28"/>
    </w:rPr>
  </w:style>
  <w:style w:type="character" w:customStyle="1" w:styleId="Char31">
    <w:name w:val="环表头 Char3"/>
    <w:link w:val="afffffd"/>
    <w:qFormat/>
    <w:rPr>
      <w:rFonts w:ascii="宋体" w:hAnsi="宋体"/>
      <w:sz w:val="24"/>
    </w:rPr>
  </w:style>
  <w:style w:type="paragraph" w:customStyle="1" w:styleId="afffffd">
    <w:name w:val="环表头"/>
    <w:basedOn w:val="afffffe"/>
    <w:link w:val="Char31"/>
    <w:qFormat/>
    <w:pPr>
      <w:spacing w:before="60" w:after="60"/>
      <w:ind w:right="28" w:firstLine="0"/>
      <w:jc w:val="center"/>
    </w:pPr>
    <w:rPr>
      <w:rFonts w:eastAsiaTheme="minorEastAsia" w:cstheme="minorBidi"/>
      <w:kern w:val="2"/>
      <w:szCs w:val="22"/>
    </w:rPr>
  </w:style>
  <w:style w:type="paragraph" w:customStyle="1" w:styleId="afffffe">
    <w:name w:val="环正文"/>
    <w:basedOn w:val="a"/>
    <w:link w:val="Char15"/>
    <w:qFormat/>
    <w:pPr>
      <w:widowControl/>
      <w:suppressAutoHyphens/>
      <w:adjustRightInd w:val="0"/>
      <w:spacing w:line="312" w:lineRule="atLeast"/>
      <w:ind w:firstLine="567"/>
      <w:textAlignment w:val="baseline"/>
    </w:pPr>
    <w:rPr>
      <w:rFonts w:ascii="宋体" w:eastAsia="宋体" w:hAnsi="宋体" w:cs="Times New Roman"/>
      <w:kern w:val="0"/>
      <w:sz w:val="24"/>
      <w:szCs w:val="20"/>
    </w:rPr>
  </w:style>
  <w:style w:type="character" w:customStyle="1" w:styleId="Char15">
    <w:name w:val="环正文 Char1"/>
    <w:link w:val="afffffe"/>
    <w:qFormat/>
    <w:locked/>
    <w:rPr>
      <w:rFonts w:ascii="宋体" w:eastAsia="宋体" w:hAnsi="宋体" w:cs="Times New Roman"/>
      <w:kern w:val="0"/>
      <w:sz w:val="24"/>
      <w:szCs w:val="20"/>
    </w:rPr>
  </w:style>
  <w:style w:type="character" w:customStyle="1" w:styleId="3f6">
    <w:name w:val="正文文本3"/>
    <w:qFormat/>
    <w:rPr>
      <w:rFonts w:eastAsia="仿宋_GB2312"/>
      <w:kern w:val="2"/>
      <w:sz w:val="24"/>
      <w:lang w:val="en-US" w:eastAsia="zh-CN"/>
    </w:rPr>
  </w:style>
  <w:style w:type="character" w:customStyle="1" w:styleId="tdword">
    <w:name w:val="tdword"/>
    <w:qFormat/>
  </w:style>
  <w:style w:type="character" w:customStyle="1" w:styleId="Charfb">
    <w:name w:val="表格 Char"/>
    <w:link w:val="affffff"/>
    <w:qFormat/>
    <w:locked/>
    <w:rPr>
      <w:rFonts w:ascii="仿宋_GB2312" w:eastAsia="仿宋_GB2312" w:hAnsi="Alaska"/>
      <w:color w:val="000000"/>
      <w:sz w:val="30"/>
    </w:rPr>
  </w:style>
  <w:style w:type="paragraph" w:customStyle="1" w:styleId="affffff">
    <w:name w:val="表格"/>
    <w:basedOn w:val="1"/>
    <w:link w:val="Charfb"/>
    <w:qFormat/>
    <w:pPr>
      <w:overflowPunct w:val="0"/>
      <w:adjustRightInd w:val="0"/>
      <w:snapToGrid w:val="0"/>
      <w:spacing w:before="0" w:line="500" w:lineRule="exact"/>
      <w:ind w:left="0"/>
      <w:jc w:val="both"/>
      <w:textAlignment w:val="baseline"/>
      <w:outlineLvl w:val="9"/>
    </w:pPr>
    <w:rPr>
      <w:rFonts w:ascii="仿宋_GB2312" w:eastAsia="仿宋_GB2312" w:hAnsi="Alaska"/>
      <w:b w:val="0"/>
      <w:bCs w:val="0"/>
      <w:color w:val="000000"/>
      <w:kern w:val="2"/>
      <w:sz w:val="30"/>
      <w:szCs w:val="22"/>
      <w:lang w:eastAsia="zh-CN"/>
    </w:rPr>
  </w:style>
  <w:style w:type="character" w:customStyle="1" w:styleId="dan7-17Char">
    <w:name w:val="dan7-1表头7 Char"/>
    <w:link w:val="dan7-17"/>
    <w:qFormat/>
    <w:rPr>
      <w:rFonts w:eastAsia="黑体"/>
      <w:sz w:val="24"/>
      <w:szCs w:val="24"/>
    </w:rPr>
  </w:style>
  <w:style w:type="paragraph" w:customStyle="1" w:styleId="dan7-17">
    <w:name w:val="dan7-1表头7"/>
    <w:basedOn w:val="a"/>
    <w:link w:val="dan7-17Char"/>
    <w:qFormat/>
    <w:pPr>
      <w:tabs>
        <w:tab w:val="center" w:pos="0"/>
        <w:tab w:val="left" w:pos="2100"/>
      </w:tabs>
      <w:spacing w:before="40" w:after="40" w:line="360" w:lineRule="auto"/>
      <w:ind w:left="2100" w:hanging="360"/>
      <w:jc w:val="center"/>
    </w:pPr>
    <w:rPr>
      <w:rFonts w:eastAsia="黑体"/>
      <w:sz w:val="24"/>
      <w:szCs w:val="24"/>
    </w:rPr>
  </w:style>
  <w:style w:type="character" w:customStyle="1" w:styleId="Char16">
    <w:name w:val="结束语 Char1"/>
    <w:qFormat/>
    <w:rPr>
      <w:rFonts w:ascii="Times New Roman" w:eastAsia="宋体" w:hAnsi="Times New Roman" w:cs="Times New Roman"/>
      <w:kern w:val="0"/>
      <w:sz w:val="20"/>
      <w:szCs w:val="20"/>
    </w:rPr>
  </w:style>
  <w:style w:type="character" w:customStyle="1" w:styleId="2CharChar10">
    <w:name w:val="标题 2 Char Char1"/>
    <w:qFormat/>
    <w:rPr>
      <w:rFonts w:ascii="宋体" w:eastAsia="宋体" w:hAnsi="宋体" w:cs="Arial"/>
      <w:b/>
      <w:bCs/>
      <w:sz w:val="28"/>
      <w:szCs w:val="36"/>
      <w:lang w:val="en-US" w:eastAsia="zh-CN" w:bidi="ar-SA"/>
    </w:rPr>
  </w:style>
  <w:style w:type="character" w:customStyle="1" w:styleId="sz3evj">
    <w:name w:val="sz3evj"/>
    <w:qFormat/>
  </w:style>
  <w:style w:type="character" w:customStyle="1" w:styleId="BodyText2Char1">
    <w:name w:val="Body Text 2 Char1"/>
    <w:qFormat/>
    <w:locked/>
    <w:rPr>
      <w:rFonts w:ascii="Times New Roman" w:eastAsia="宋体" w:hAnsi="Times New Roman" w:cs="Times New Roman"/>
      <w:sz w:val="20"/>
      <w:szCs w:val="20"/>
    </w:rPr>
  </w:style>
  <w:style w:type="character" w:customStyle="1" w:styleId="s1">
    <w:name w:val="s1"/>
    <w:qFormat/>
    <w:rPr>
      <w:sz w:val="18"/>
      <w:szCs w:val="18"/>
    </w:rPr>
  </w:style>
  <w:style w:type="character" w:customStyle="1" w:styleId="colorhuei1">
    <w:name w:val="color_huei1"/>
    <w:qFormat/>
    <w:rPr>
      <w:color w:val="666666"/>
    </w:rPr>
  </w:style>
  <w:style w:type="character" w:customStyle="1" w:styleId="normal1">
    <w:name w:val="normal1"/>
    <w:qFormat/>
    <w:rPr>
      <w:rFonts w:ascii="Arial" w:eastAsia="宋体" w:hAnsi="Arial" w:cs="Arial" w:hint="default"/>
      <w:color w:val="555555"/>
      <w:kern w:val="2"/>
      <w:sz w:val="19"/>
      <w:szCs w:val="19"/>
      <w:lang w:val="en-US" w:eastAsia="zh-CN" w:bidi="ar-SA"/>
    </w:rPr>
  </w:style>
  <w:style w:type="character" w:customStyle="1" w:styleId="CharChar415">
    <w:name w:val="Char Char415"/>
    <w:qFormat/>
    <w:rPr>
      <w:rFonts w:eastAsia="宋体"/>
      <w:kern w:val="2"/>
      <w:sz w:val="21"/>
      <w:szCs w:val="24"/>
      <w:lang w:val="en-US" w:eastAsia="zh-CN" w:bidi="ar-SA"/>
    </w:rPr>
  </w:style>
  <w:style w:type="character" w:customStyle="1" w:styleId="CharChar80">
    <w:name w:val="Char Char8"/>
    <w:qFormat/>
    <w:locked/>
    <w:rPr>
      <w:rFonts w:ascii="宋体" w:eastAsia="宋体" w:hAnsi="Courier New"/>
      <w:sz w:val="21"/>
      <w:lang w:val="en-US" w:eastAsia="zh-CN" w:bidi="ar-SA"/>
    </w:rPr>
  </w:style>
  <w:style w:type="character" w:customStyle="1" w:styleId="word2">
    <w:name w:val="word2"/>
    <w:qFormat/>
    <w:rPr>
      <w:rFonts w:cs="Times New Roman"/>
    </w:rPr>
  </w:style>
  <w:style w:type="character" w:customStyle="1" w:styleId="CharChar58">
    <w:name w:val="Char Char58"/>
    <w:qFormat/>
    <w:rPr>
      <w:rFonts w:ascii="Arial" w:eastAsia="宋体" w:hAnsi="Arial" w:cs="Arial"/>
      <w:b/>
      <w:bCs/>
      <w:sz w:val="32"/>
      <w:szCs w:val="32"/>
      <w:lang w:val="en-US" w:eastAsia="zh-CN" w:bidi="ar-SA"/>
    </w:rPr>
  </w:style>
  <w:style w:type="character" w:customStyle="1" w:styleId="h8Char">
    <w:name w:val="h8 Char"/>
    <w:qFormat/>
    <w:rPr>
      <w:rFonts w:ascii="Arial" w:eastAsia="黑体" w:hAnsi="Arial"/>
      <w:kern w:val="2"/>
      <w:sz w:val="24"/>
      <w:szCs w:val="24"/>
    </w:rPr>
  </w:style>
  <w:style w:type="character" w:customStyle="1" w:styleId="HTMLChar0">
    <w:name w:val="HTML 预设格式 Char"/>
    <w:qFormat/>
    <w:rPr>
      <w:rFonts w:ascii="黑体" w:eastAsia="黑体" w:hAnsi="Courier New" w:cs="Courier New"/>
      <w:lang w:val="en-US" w:eastAsia="zh-CN" w:bidi="ar-SA"/>
    </w:rPr>
  </w:style>
  <w:style w:type="character" w:customStyle="1" w:styleId="H2Char1">
    <w:name w:val="H2 Char1"/>
    <w:qFormat/>
    <w:rPr>
      <w:rFonts w:ascii="宋体" w:hAnsi="宋体"/>
      <w:b/>
      <w:bCs/>
      <w:kern w:val="2"/>
      <w:sz w:val="28"/>
      <w:szCs w:val="32"/>
    </w:rPr>
  </w:style>
  <w:style w:type="character" w:customStyle="1" w:styleId="best-answer-titleml10bold">
    <w:name w:val="best-answer-title ml10 bold"/>
    <w:qFormat/>
  </w:style>
  <w:style w:type="character" w:customStyle="1" w:styleId="affffff0">
    <w:name w:val="样式 宋体 四号"/>
    <w:qFormat/>
    <w:rPr>
      <w:rFonts w:ascii="宋体" w:eastAsia="宋体"/>
      <w:sz w:val="24"/>
    </w:rPr>
  </w:style>
  <w:style w:type="character" w:customStyle="1" w:styleId="CharCharc">
    <w:name w:val="表格 Char Char"/>
    <w:qFormat/>
    <w:rPr>
      <w:rFonts w:eastAsia="宋体"/>
      <w:color w:val="000000"/>
      <w:sz w:val="21"/>
      <w:szCs w:val="21"/>
      <w:lang w:val="en-US" w:eastAsia="zh-CN" w:bidi="ar-SA"/>
    </w:rPr>
  </w:style>
  <w:style w:type="character" w:customStyle="1" w:styleId="Charfc">
    <w:name w:val="正文格式 Char"/>
    <w:link w:val="affffff1"/>
    <w:qFormat/>
    <w:locked/>
    <w:rPr>
      <w:rFonts w:ascii="宋体" w:hAnsi="宋体"/>
      <w:sz w:val="24"/>
      <w:szCs w:val="24"/>
    </w:rPr>
  </w:style>
  <w:style w:type="paragraph" w:customStyle="1" w:styleId="affffff1">
    <w:name w:val="正文格式"/>
    <w:basedOn w:val="a"/>
    <w:link w:val="Charfc"/>
    <w:qFormat/>
    <w:pPr>
      <w:spacing w:line="360" w:lineRule="auto"/>
      <w:ind w:firstLine="482"/>
    </w:pPr>
    <w:rPr>
      <w:rFonts w:ascii="宋体" w:hAnsi="宋体"/>
      <w:sz w:val="24"/>
      <w:szCs w:val="24"/>
    </w:rPr>
  </w:style>
  <w:style w:type="character" w:customStyle="1" w:styleId="Charfd">
    <w:name w:val="普通文字 Char"/>
    <w:qFormat/>
    <w:rPr>
      <w:rFonts w:ascii="宋体" w:eastAsia="宋体" w:hAnsi="Courier New" w:cs="Times New Roman"/>
      <w:kern w:val="2"/>
      <w:sz w:val="21"/>
      <w:lang w:val="en-US" w:eastAsia="zh-CN" w:bidi="ar-SA"/>
    </w:rPr>
  </w:style>
  <w:style w:type="character" w:customStyle="1" w:styleId="s6lx">
    <w:name w:val="s6lx"/>
    <w:qFormat/>
  </w:style>
  <w:style w:type="character" w:customStyle="1" w:styleId="CharChar151">
    <w:name w:val="Char Char151"/>
    <w:qFormat/>
    <w:rPr>
      <w:rFonts w:ascii="宋体" w:eastAsia="宋体" w:hAnsi="宋体" w:hint="eastAsia"/>
      <w:kern w:val="2"/>
      <w:sz w:val="21"/>
      <w:szCs w:val="21"/>
      <w:lang w:val="en-US" w:eastAsia="zh-CN" w:bidi="ar-SA"/>
    </w:rPr>
  </w:style>
  <w:style w:type="character" w:customStyle="1" w:styleId="1fb">
    <w:name w:val="尾注文本 字符1"/>
    <w:qFormat/>
    <w:rPr>
      <w:kern w:val="2"/>
      <w:sz w:val="21"/>
      <w:szCs w:val="24"/>
    </w:rPr>
  </w:style>
  <w:style w:type="character" w:customStyle="1" w:styleId="tex-biaoti1">
    <w:name w:val="tex-biaoti1"/>
    <w:qFormat/>
  </w:style>
  <w:style w:type="character" w:customStyle="1" w:styleId="fcpjsfont1">
    <w:name w:val="fcpjsfont1"/>
    <w:qFormat/>
  </w:style>
  <w:style w:type="character" w:customStyle="1" w:styleId="CharCharCharCharCharCharChar4">
    <w:name w:val="Char Char Char Char Char Char Char4"/>
    <w:link w:val="CharCharCharCharCharChar4"/>
    <w:qFormat/>
    <w:locked/>
    <w:rPr>
      <w:rFonts w:ascii="宋体" w:eastAsia="宋体" w:hAnsi="宋体"/>
      <w:sz w:val="24"/>
      <w:szCs w:val="24"/>
    </w:rPr>
  </w:style>
  <w:style w:type="paragraph" w:customStyle="1" w:styleId="CharCharCharCharCharChar4">
    <w:name w:val="Char Char Char Char Char Char4"/>
    <w:basedOn w:val="a"/>
    <w:link w:val="CharCharCharCharCharCharChar4"/>
    <w:qFormat/>
    <w:rPr>
      <w:rFonts w:ascii="宋体" w:eastAsia="宋体" w:hAnsi="宋体"/>
      <w:sz w:val="24"/>
      <w:szCs w:val="24"/>
    </w:rPr>
  </w:style>
  <w:style w:type="character" w:customStyle="1" w:styleId="px12-lh201">
    <w:name w:val="px12-lh201"/>
    <w:qFormat/>
    <w:rPr>
      <w:rFonts w:ascii="宋体" w:eastAsia="宋体" w:hAnsi="宋体" w:hint="eastAsia"/>
      <w:kern w:val="2"/>
      <w:sz w:val="18"/>
      <w:szCs w:val="18"/>
      <w:lang w:val="en-US" w:eastAsia="zh-CN" w:bidi="ar-SA"/>
    </w:rPr>
  </w:style>
  <w:style w:type="character" w:customStyle="1" w:styleId="3zw">
    <w:name w:val="3zw"/>
    <w:qFormat/>
  </w:style>
  <w:style w:type="character" w:customStyle="1" w:styleId="c4CharChar">
    <w:name w:val="c4 Char Char"/>
    <w:link w:val="c4"/>
    <w:qFormat/>
    <w:rPr>
      <w:rFonts w:ascii="黑体" w:eastAsia="黑体" w:hAnsi="宋体" w:cs="宋体"/>
      <w:sz w:val="28"/>
      <w:szCs w:val="28"/>
      <w:lang w:val="zh-CN"/>
    </w:rPr>
  </w:style>
  <w:style w:type="paragraph" w:customStyle="1" w:styleId="c4">
    <w:name w:val="c4"/>
    <w:basedOn w:val="a"/>
    <w:link w:val="c4CharChar"/>
    <w:qFormat/>
    <w:pPr>
      <w:widowControl/>
      <w:tabs>
        <w:tab w:val="left" w:pos="1701"/>
        <w:tab w:val="left" w:pos="2247"/>
      </w:tabs>
      <w:spacing w:beforeLines="50" w:before="156" w:afterLines="50" w:after="156" w:line="360" w:lineRule="auto"/>
      <w:ind w:left="2247" w:hanging="420"/>
      <w:jc w:val="left"/>
      <w:outlineLvl w:val="3"/>
    </w:pPr>
    <w:rPr>
      <w:rFonts w:ascii="黑体" w:eastAsia="黑体" w:hAnsi="宋体" w:cs="宋体"/>
      <w:sz w:val="28"/>
      <w:szCs w:val="28"/>
      <w:lang w:val="zh-CN"/>
    </w:rPr>
  </w:style>
  <w:style w:type="character" w:customStyle="1" w:styleId="CharChard">
    <w:name w:val="附录章标题 Char Char"/>
    <w:qFormat/>
    <w:rPr>
      <w:rFonts w:ascii="黑体" w:eastAsia="黑体"/>
      <w:kern w:val="21"/>
      <w:sz w:val="21"/>
      <w:lang w:val="en-US" w:eastAsia="zh-CN" w:bidi="ar-SA"/>
    </w:rPr>
  </w:style>
  <w:style w:type="character" w:customStyle="1" w:styleId="Charfe">
    <w:name w:val="样式正文 Char"/>
    <w:link w:val="affffff2"/>
    <w:qFormat/>
    <w:rPr>
      <w:sz w:val="24"/>
      <w:szCs w:val="24"/>
    </w:rPr>
  </w:style>
  <w:style w:type="paragraph" w:customStyle="1" w:styleId="affffff2">
    <w:name w:val="样式正文"/>
    <w:basedOn w:val="a"/>
    <w:link w:val="Charfe"/>
    <w:qFormat/>
    <w:pPr>
      <w:spacing w:line="400" w:lineRule="exact"/>
      <w:ind w:firstLineChars="200" w:firstLine="200"/>
    </w:pPr>
    <w:rPr>
      <w:sz w:val="24"/>
      <w:szCs w:val="24"/>
    </w:rPr>
  </w:style>
  <w:style w:type="character" w:customStyle="1" w:styleId="CharChar121">
    <w:name w:val="Char Char121"/>
    <w:qFormat/>
    <w:rPr>
      <w:sz w:val="18"/>
      <w:szCs w:val="18"/>
    </w:rPr>
  </w:style>
  <w:style w:type="character" w:customStyle="1" w:styleId="Char2Char">
    <w:name w:val="正文首行缩进 Char2 Char"/>
    <w:qFormat/>
    <w:rPr>
      <w:rFonts w:eastAsia="宋体"/>
      <w:kern w:val="2"/>
      <w:sz w:val="18"/>
      <w:szCs w:val="24"/>
      <w:lang w:val="en-US" w:eastAsia="zh-CN" w:bidi="ar-SA"/>
    </w:rPr>
  </w:style>
  <w:style w:type="character" w:customStyle="1" w:styleId="HTML60">
    <w:name w:val="HTML 代码6"/>
    <w:qFormat/>
    <w:rPr>
      <w:rFonts w:ascii="黑体" w:eastAsia="黑体" w:hAnsi="Courier New" w:cs="Courier New" w:hint="eastAsia"/>
      <w:sz w:val="24"/>
      <w:szCs w:val="24"/>
    </w:rPr>
  </w:style>
  <w:style w:type="character" w:customStyle="1" w:styleId="a11">
    <w:name w:val="a11"/>
    <w:qFormat/>
  </w:style>
  <w:style w:type="character" w:customStyle="1" w:styleId="21Char">
    <w:name w:val="正文文字缩进 21 Char"/>
    <w:qFormat/>
    <w:rPr>
      <w:rFonts w:eastAsia="宋体"/>
      <w:kern w:val="2"/>
      <w:sz w:val="21"/>
      <w:lang w:val="en-US" w:eastAsia="zh-CN" w:bidi="ar-SA"/>
    </w:rPr>
  </w:style>
  <w:style w:type="character" w:customStyle="1" w:styleId="z-10">
    <w:name w:val="z-窗体顶端 字符1"/>
    <w:uiPriority w:val="99"/>
    <w:semiHidden/>
    <w:qFormat/>
    <w:rPr>
      <w:rFonts w:ascii="Arial" w:hAnsi="Arial" w:cs="Arial" w:hint="default"/>
      <w:vanish/>
      <w:kern w:val="2"/>
      <w:sz w:val="16"/>
      <w:szCs w:val="16"/>
    </w:rPr>
  </w:style>
  <w:style w:type="character" w:customStyle="1" w:styleId="620">
    <w:name w:val="标题 6 字符2"/>
    <w:semiHidden/>
    <w:qFormat/>
    <w:locked/>
    <w:rPr>
      <w:rFonts w:ascii="Arial" w:eastAsia="黑体" w:hAnsi="Arial"/>
      <w:b/>
      <w:bCs/>
      <w:kern w:val="2"/>
      <w:sz w:val="24"/>
      <w:szCs w:val="24"/>
    </w:rPr>
  </w:style>
  <w:style w:type="character" w:customStyle="1" w:styleId="textlarge1">
    <w:name w:val="textlarge1"/>
    <w:qFormat/>
    <w:rPr>
      <w:sz w:val="18"/>
      <w:szCs w:val="18"/>
    </w:rPr>
  </w:style>
  <w:style w:type="character" w:customStyle="1" w:styleId="4Char0">
    <w:name w:val="样式4 Char"/>
    <w:link w:val="4b"/>
    <w:qFormat/>
    <w:rPr>
      <w:sz w:val="24"/>
      <w:szCs w:val="24"/>
    </w:rPr>
  </w:style>
  <w:style w:type="paragraph" w:customStyle="1" w:styleId="4b">
    <w:name w:val="样式4"/>
    <w:basedOn w:val="af5"/>
    <w:link w:val="4Char0"/>
    <w:qFormat/>
    <w:pPr>
      <w:spacing w:after="0" w:line="360" w:lineRule="auto"/>
      <w:ind w:rightChars="-50" w:right="-90"/>
      <w:jc w:val="center"/>
    </w:pPr>
    <w:rPr>
      <w:sz w:val="24"/>
      <w:szCs w:val="24"/>
    </w:rPr>
  </w:style>
  <w:style w:type="character" w:customStyle="1" w:styleId="Charff">
    <w:name w:val="正文缩进 Char"/>
    <w:qFormat/>
    <w:rPr>
      <w:rFonts w:ascii="宋体" w:eastAsia="宋体" w:hAnsi="宋体" w:cs="宋体"/>
      <w:b/>
      <w:bCs/>
      <w:kern w:val="2"/>
      <w:sz w:val="24"/>
      <w:lang w:val="en-US" w:eastAsia="zh-CN" w:bidi="ar-SA"/>
    </w:rPr>
  </w:style>
  <w:style w:type="character" w:customStyle="1" w:styleId="t1">
    <w:name w:val="t1"/>
    <w:qFormat/>
    <w:rPr>
      <w:rFonts w:ascii="Arial" w:hAnsi="Arial" w:cs="Arial" w:hint="default"/>
      <w:sz w:val="18"/>
      <w:szCs w:val="18"/>
    </w:rPr>
  </w:style>
  <w:style w:type="character" w:customStyle="1" w:styleId="Charff0">
    <w:name w:val="项目名称 Char"/>
    <w:link w:val="affffff3"/>
    <w:qFormat/>
    <w:rPr>
      <w:rFonts w:ascii="黑体" w:eastAsia="黑体"/>
      <w:sz w:val="52"/>
      <w:szCs w:val="52"/>
    </w:rPr>
  </w:style>
  <w:style w:type="paragraph" w:customStyle="1" w:styleId="affffff3">
    <w:name w:val="项目名称"/>
    <w:basedOn w:val="a"/>
    <w:next w:val="a"/>
    <w:link w:val="Charff0"/>
    <w:qFormat/>
    <w:pPr>
      <w:spacing w:line="800" w:lineRule="atLeast"/>
      <w:jc w:val="center"/>
      <w:outlineLvl w:val="0"/>
    </w:pPr>
    <w:rPr>
      <w:rFonts w:ascii="黑体" w:eastAsia="黑体"/>
      <w:sz w:val="52"/>
      <w:szCs w:val="52"/>
    </w:rPr>
  </w:style>
  <w:style w:type="character" w:customStyle="1" w:styleId="25CharChar">
    <w:name w:val="报告正文（25磅固定段落） Char Char"/>
    <w:qFormat/>
    <w:rPr>
      <w:rFonts w:ascii="宋体" w:eastAsia="宋体" w:hAnsi="宋体"/>
      <w:kern w:val="2"/>
      <w:sz w:val="28"/>
      <w:szCs w:val="28"/>
      <w:lang w:val="en-US" w:eastAsia="zh-CN" w:bidi="ar-SA"/>
    </w:rPr>
  </w:style>
  <w:style w:type="character" w:customStyle="1" w:styleId="Charff1">
    <w:name w:val="样式 图号 + 宋体 Char"/>
    <w:qFormat/>
    <w:rPr>
      <w:rFonts w:ascii="宋体" w:eastAsia="宋体" w:hAnsi="宋体"/>
      <w:b/>
      <w:bCs/>
      <w:kern w:val="32"/>
      <w:sz w:val="24"/>
      <w:szCs w:val="24"/>
      <w:lang w:val="en-US" w:eastAsia="zh-CN" w:bidi="ar-SA"/>
    </w:rPr>
  </w:style>
  <w:style w:type="character" w:customStyle="1" w:styleId="px141">
    <w:name w:val="px141"/>
    <w:qFormat/>
    <w:rPr>
      <w:sz w:val="21"/>
      <w:szCs w:val="21"/>
    </w:rPr>
  </w:style>
  <w:style w:type="character" w:customStyle="1" w:styleId="CharChar124">
    <w:name w:val="Char Char124"/>
    <w:qFormat/>
    <w:locked/>
    <w:rPr>
      <w:rFonts w:eastAsia="宋体"/>
      <w:sz w:val="24"/>
      <w:lang w:val="en-US" w:eastAsia="zh-CN" w:bidi="ar-SA"/>
    </w:rPr>
  </w:style>
  <w:style w:type="character" w:customStyle="1" w:styleId="CharChare">
    <w:name w:val="文字缩进 Char Char"/>
    <w:qFormat/>
    <w:rPr>
      <w:rFonts w:ascii="宋体" w:eastAsia="宋体" w:hAnsi="Courier New"/>
      <w:kern w:val="2"/>
      <w:sz w:val="21"/>
      <w:lang w:val="en-US" w:eastAsia="zh-CN" w:bidi="ar-SA"/>
    </w:rPr>
  </w:style>
  <w:style w:type="character" w:customStyle="1" w:styleId="al11">
    <w:name w:val="al11"/>
    <w:qFormat/>
    <w:rPr>
      <w:color w:val="333333"/>
      <w:sz w:val="18"/>
      <w:szCs w:val="18"/>
    </w:rPr>
  </w:style>
  <w:style w:type="character" w:customStyle="1" w:styleId="infodetail1">
    <w:name w:val="infodetail1"/>
    <w:qFormat/>
    <w:rPr>
      <w:rFonts w:ascii="ˎ̥" w:eastAsia="黑体" w:hAnsi="ˎ̥" w:hint="default"/>
      <w:b/>
      <w:color w:val="000000"/>
      <w:spacing w:val="10"/>
      <w:kern w:val="44"/>
      <w:sz w:val="24"/>
      <w:u w:val="none"/>
      <w:lang w:val="en-US" w:eastAsia="zh-CN"/>
    </w:rPr>
  </w:style>
  <w:style w:type="character" w:customStyle="1" w:styleId="f241">
    <w:name w:val="f241"/>
    <w:qFormat/>
    <w:rPr>
      <w:rFonts w:cs="Times New Roman"/>
      <w:sz w:val="36"/>
      <w:szCs w:val="36"/>
    </w:rPr>
  </w:style>
  <w:style w:type="character" w:customStyle="1" w:styleId="CharChar50">
    <w:name w:val="Char Char5"/>
    <w:qFormat/>
    <w:locked/>
    <w:rPr>
      <w:rFonts w:ascii="仿宋_GB2312" w:eastAsia="仿宋_GB2312" w:hAnsi="Courier New" w:hint="eastAsia"/>
      <w:b/>
      <w:bCs/>
      <w:sz w:val="28"/>
      <w:lang w:val="en-US" w:eastAsia="zh-CN" w:bidi="ar-SA"/>
    </w:rPr>
  </w:style>
  <w:style w:type="character" w:customStyle="1" w:styleId="affffff4">
    <w:name w:val="副标题 字符"/>
    <w:qFormat/>
    <w:rPr>
      <w:rFonts w:ascii="Arial" w:eastAsia="仿宋_GB2312" w:hAnsi="Arial" w:cs="Times New Roman"/>
      <w:b/>
      <w:bCs/>
      <w:kern w:val="28"/>
      <w:sz w:val="32"/>
      <w:szCs w:val="32"/>
    </w:rPr>
  </w:style>
  <w:style w:type="character" w:customStyle="1" w:styleId="aff">
    <w:name w:val="尾注文本 字符"/>
    <w:link w:val="afe"/>
    <w:qFormat/>
    <w:rPr>
      <w:rFonts w:ascii="仿宋_GB2312" w:eastAsia="仿宋_GB2312"/>
      <w:sz w:val="28"/>
      <w:szCs w:val="24"/>
    </w:rPr>
  </w:style>
  <w:style w:type="character" w:customStyle="1" w:styleId="2ff6">
    <w:name w:val="尾注文本 字符2"/>
    <w:basedOn w:val="a1"/>
    <w:uiPriority w:val="99"/>
    <w:semiHidden/>
  </w:style>
  <w:style w:type="character" w:customStyle="1" w:styleId="CharCharChar0">
    <w:name w:val="暂定图表名 Char Char Char"/>
    <w:link w:val="CharCharf"/>
    <w:qFormat/>
    <w:rPr>
      <w:rFonts w:eastAsia="楷体_GB2312"/>
      <w:b/>
      <w:color w:val="008000"/>
      <w:sz w:val="24"/>
      <w:szCs w:val="28"/>
    </w:rPr>
  </w:style>
  <w:style w:type="paragraph" w:customStyle="1" w:styleId="CharCharf">
    <w:name w:val="暂定图表名 Char Char"/>
    <w:basedOn w:val="a"/>
    <w:link w:val="CharCharChar0"/>
    <w:qFormat/>
    <w:pPr>
      <w:spacing w:line="360" w:lineRule="auto"/>
      <w:ind w:firstLineChars="200" w:firstLine="560"/>
    </w:pPr>
    <w:rPr>
      <w:rFonts w:eastAsia="楷体_GB2312"/>
      <w:b/>
      <w:color w:val="008000"/>
      <w:sz w:val="24"/>
      <w:szCs w:val="28"/>
    </w:rPr>
  </w:style>
  <w:style w:type="character" w:customStyle="1" w:styleId="CharChar90">
    <w:name w:val="Char Char9"/>
    <w:qFormat/>
    <w:rPr>
      <w:rFonts w:eastAsia="宋体"/>
      <w:kern w:val="2"/>
      <w:sz w:val="18"/>
      <w:szCs w:val="18"/>
      <w:lang w:val="en-US" w:eastAsia="zh-CN" w:bidi="ar-SA"/>
    </w:rPr>
  </w:style>
  <w:style w:type="character" w:customStyle="1" w:styleId="showdetailcontent1">
    <w:name w:val="showdetailcontent1"/>
    <w:qFormat/>
    <w:rPr>
      <w:rFonts w:ascii="宋体" w:eastAsia="宋体" w:hAnsi="宋体" w:cs="Times New Roman"/>
      <w:color w:val="434343"/>
      <w:sz w:val="21"/>
      <w:szCs w:val="21"/>
    </w:rPr>
  </w:style>
  <w:style w:type="character" w:customStyle="1" w:styleId="CharChar17">
    <w:name w:val="Char Char17"/>
    <w:qFormat/>
    <w:rPr>
      <w:rFonts w:ascii="宋体" w:eastAsia="宋体"/>
      <w:kern w:val="2"/>
      <w:sz w:val="24"/>
      <w:lang w:val="en-US" w:eastAsia="zh-CN" w:bidi="ar-SA"/>
    </w:rPr>
  </w:style>
  <w:style w:type="character" w:customStyle="1" w:styleId="start-tag">
    <w:name w:val="start-tag"/>
    <w:qFormat/>
    <w:rPr>
      <w:rFonts w:cs="Times New Roman"/>
    </w:rPr>
  </w:style>
  <w:style w:type="character" w:customStyle="1" w:styleId="3111h3H3level3PIM3Level3HeadHeading3-olChar">
    <w:name w:val="样式 标题 3条标题1.1.1h3H3level_3PIM 3Level 3 HeadHeading 3 - ol... Char"/>
    <w:link w:val="3111h3H3level3PIM3Level3HeadHeading3-ol"/>
    <w:qFormat/>
    <w:rPr>
      <w:rFonts w:eastAsia="黑体"/>
      <w:bCs/>
      <w:sz w:val="24"/>
      <w:szCs w:val="24"/>
    </w:rPr>
  </w:style>
  <w:style w:type="paragraph" w:customStyle="1" w:styleId="3111h3H3level3PIM3Level3HeadHeading3-ol">
    <w:name w:val="样式 标题 3条标题1.1.1h3H3level_3PIM 3Level 3 HeadHeading 3 - ol..."/>
    <w:basedOn w:val="3"/>
    <w:link w:val="3111h3H3level3PIM3Level3HeadHeading3-olChar"/>
    <w:qFormat/>
    <w:pPr>
      <w:keepLines w:val="0"/>
      <w:widowControl w:val="0"/>
      <w:spacing w:before="0" w:after="0" w:line="240" w:lineRule="auto"/>
      <w:jc w:val="both"/>
    </w:pPr>
    <w:rPr>
      <w:rFonts w:asciiTheme="minorHAnsi" w:eastAsia="黑体" w:hAnsiTheme="minorHAnsi" w:cstheme="minorBidi"/>
      <w:b w:val="0"/>
      <w:kern w:val="2"/>
      <w:sz w:val="24"/>
      <w:szCs w:val="24"/>
    </w:rPr>
  </w:style>
  <w:style w:type="character" w:customStyle="1" w:styleId="CharChar251">
    <w:name w:val="Char Char251"/>
    <w:qFormat/>
    <w:rPr>
      <w:rFonts w:ascii="宋体" w:eastAsia="宋体" w:hAnsi="宋体" w:hint="eastAsia"/>
      <w:b/>
      <w:kern w:val="2"/>
      <w:sz w:val="24"/>
      <w:lang w:val="en-US" w:eastAsia="zh-CN" w:bidi="ar-SA"/>
    </w:rPr>
  </w:style>
  <w:style w:type="character" w:customStyle="1" w:styleId="style441">
    <w:name w:val="style441"/>
    <w:qFormat/>
    <w:rPr>
      <w:sz w:val="18"/>
      <w:szCs w:val="18"/>
    </w:rPr>
  </w:style>
  <w:style w:type="character" w:customStyle="1" w:styleId="ourfont3">
    <w:name w:val="ourfont3"/>
    <w:basedOn w:val="a1"/>
    <w:qFormat/>
  </w:style>
  <w:style w:type="character" w:customStyle="1" w:styleId="2ff7">
    <w:name w:val="正文文本缩进 2 字符"/>
    <w:qFormat/>
    <w:rPr>
      <w:rFonts w:ascii="Times New Roman" w:eastAsia="宋体" w:hAnsi="Times New Roman" w:cs="Times New Roman"/>
      <w:kern w:val="0"/>
      <w:sz w:val="24"/>
      <w:szCs w:val="20"/>
    </w:rPr>
  </w:style>
  <w:style w:type="character" w:customStyle="1" w:styleId="line1">
    <w:name w:val="line1"/>
    <w:qFormat/>
  </w:style>
  <w:style w:type="character" w:customStyle="1" w:styleId="3f7">
    <w:name w:val="正文文本缩进 3 字符"/>
    <w:qFormat/>
    <w:rPr>
      <w:rFonts w:ascii="宋体" w:eastAsia="宋体" w:hAnsi="宋体" w:cs="Times New Roman"/>
      <w:kern w:val="0"/>
      <w:sz w:val="24"/>
      <w:szCs w:val="20"/>
    </w:rPr>
  </w:style>
  <w:style w:type="character" w:customStyle="1" w:styleId="CharChar164">
    <w:name w:val="Char Char164"/>
    <w:qFormat/>
    <w:rPr>
      <w:rFonts w:ascii="仿宋_GB2312" w:eastAsia="仿宋_GB2312" w:hint="eastAsia"/>
      <w:kern w:val="2"/>
      <w:sz w:val="28"/>
      <w:szCs w:val="21"/>
      <w:lang w:val="en-US" w:eastAsia="zh-CN" w:bidi="ar-SA"/>
    </w:rPr>
  </w:style>
  <w:style w:type="character" w:customStyle="1" w:styleId="CharCharCharCharCharChar">
    <w:name w:val="正文样式 Char Char Char Char Char Char"/>
    <w:link w:val="CharCharCharCharChar0"/>
    <w:qFormat/>
    <w:rPr>
      <w:rFonts w:ascii="宋体" w:hAnsi="宋体"/>
      <w:color w:val="000000"/>
      <w:sz w:val="24"/>
      <w:szCs w:val="24"/>
    </w:rPr>
  </w:style>
  <w:style w:type="paragraph" w:customStyle="1" w:styleId="CharCharCharCharChar0">
    <w:name w:val="正文样式 Char Char Char Char Char"/>
    <w:basedOn w:val="a"/>
    <w:link w:val="CharCharCharCharCharChar"/>
    <w:qFormat/>
    <w:pPr>
      <w:spacing w:line="360" w:lineRule="auto"/>
      <w:ind w:firstLineChars="200" w:firstLine="480"/>
    </w:pPr>
    <w:rPr>
      <w:rFonts w:ascii="宋体" w:hAnsi="宋体"/>
      <w:color w:val="000000"/>
      <w:sz w:val="24"/>
      <w:szCs w:val="24"/>
    </w:rPr>
  </w:style>
  <w:style w:type="character" w:customStyle="1" w:styleId="2ff8">
    <w:name w:val="纯文本 字符2"/>
    <w:semiHidden/>
    <w:qFormat/>
    <w:locked/>
    <w:rPr>
      <w:rFonts w:ascii="宋体" w:hAnsi="Courier New"/>
      <w:sz w:val="21"/>
      <w:szCs w:val="21"/>
      <w:lang w:val="zh-CN" w:eastAsia="zh-CN"/>
    </w:rPr>
  </w:style>
  <w:style w:type="character" w:customStyle="1" w:styleId="Charff2">
    <w:name w:val="正文(首行缩进) Char"/>
    <w:link w:val="affffff5"/>
    <w:qFormat/>
    <w:locked/>
    <w:rPr>
      <w:rFonts w:eastAsia="宋体"/>
      <w:snapToGrid w:val="0"/>
      <w:sz w:val="24"/>
      <w:szCs w:val="24"/>
    </w:rPr>
  </w:style>
  <w:style w:type="paragraph" w:customStyle="1" w:styleId="affffff5">
    <w:name w:val="正文(首行缩进)"/>
    <w:basedOn w:val="a"/>
    <w:link w:val="Charff2"/>
    <w:qFormat/>
    <w:pPr>
      <w:adjustRightInd w:val="0"/>
      <w:snapToGrid w:val="0"/>
      <w:spacing w:line="360" w:lineRule="auto"/>
      <w:ind w:firstLineChars="200" w:firstLine="200"/>
    </w:pPr>
    <w:rPr>
      <w:rFonts w:eastAsia="宋体"/>
      <w:snapToGrid w:val="0"/>
      <w:sz w:val="24"/>
      <w:szCs w:val="24"/>
    </w:rPr>
  </w:style>
  <w:style w:type="character" w:customStyle="1" w:styleId="td11">
    <w:name w:val="td11"/>
    <w:qFormat/>
    <w:rPr>
      <w:sz w:val="20"/>
      <w:szCs w:val="20"/>
    </w:rPr>
  </w:style>
  <w:style w:type="character" w:customStyle="1" w:styleId="1111CharChar">
    <w:name w:val="正文样式1111 Char Char"/>
    <w:qFormat/>
    <w:rPr>
      <w:rFonts w:ascii="宋体" w:eastAsia="宋体" w:hAnsi="宋体"/>
      <w:color w:val="000000"/>
      <w:kern w:val="2"/>
      <w:sz w:val="24"/>
      <w:szCs w:val="24"/>
      <w:lang w:val="en-US" w:eastAsia="zh-CN" w:bidi="ar-SA"/>
    </w:rPr>
  </w:style>
  <w:style w:type="character" w:customStyle="1" w:styleId="unnamed111">
    <w:name w:val="unnamed111"/>
    <w:qFormat/>
    <w:rPr>
      <w:color w:val="003366"/>
      <w:sz w:val="24"/>
      <w:szCs w:val="24"/>
      <w:u w:val="none"/>
    </w:rPr>
  </w:style>
  <w:style w:type="character" w:customStyle="1" w:styleId="at5">
    <w:name w:val="at_5"/>
    <w:qFormat/>
  </w:style>
  <w:style w:type="character" w:customStyle="1" w:styleId="Charff3">
    <w:name w:val="批注主题 Char"/>
    <w:qFormat/>
    <w:rPr>
      <w:rFonts w:eastAsia="宋体"/>
      <w:b/>
      <w:bCs/>
      <w:kern w:val="2"/>
      <w:sz w:val="21"/>
      <w:lang w:val="en-US" w:eastAsia="zh-CN" w:bidi="ar-SA"/>
    </w:rPr>
  </w:style>
  <w:style w:type="character" w:customStyle="1" w:styleId="BalloonTextChar">
    <w:name w:val="Balloon Text Char"/>
    <w:semiHidden/>
    <w:qFormat/>
    <w:locked/>
    <w:rPr>
      <w:rFonts w:ascii="宋体" w:eastAsia="宋体" w:hAnsi="宋体"/>
      <w:kern w:val="2"/>
      <w:sz w:val="18"/>
      <w:szCs w:val="18"/>
      <w:lang w:val="en-US" w:eastAsia="zh-CN" w:bidi="ar-SA"/>
    </w:rPr>
  </w:style>
  <w:style w:type="character" w:customStyle="1" w:styleId="3Char10">
    <w:name w:val="正文文本缩进 3 Char1"/>
    <w:uiPriority w:val="99"/>
    <w:qFormat/>
    <w:rPr>
      <w:rFonts w:ascii="Times New Roman" w:eastAsia="宋体" w:hAnsi="Times New Roman" w:cs="Times New Roman"/>
      <w:kern w:val="0"/>
      <w:sz w:val="16"/>
      <w:szCs w:val="16"/>
    </w:rPr>
  </w:style>
  <w:style w:type="character" w:customStyle="1" w:styleId="hb4Char">
    <w:name w:val="hb4 Char"/>
    <w:qFormat/>
    <w:rPr>
      <w:rFonts w:ascii="宋体" w:eastAsia="宋体" w:hAnsi="宋体"/>
      <w:sz w:val="24"/>
      <w:szCs w:val="24"/>
      <w:lang w:val="en-US" w:eastAsia="zh-CN" w:bidi="ar-SA"/>
    </w:rPr>
  </w:style>
  <w:style w:type="character" w:customStyle="1" w:styleId="CharChar113">
    <w:name w:val="Char Char113"/>
    <w:qFormat/>
    <w:rPr>
      <w:rFonts w:eastAsia="宋体"/>
      <w:sz w:val="18"/>
      <w:szCs w:val="18"/>
      <w:lang w:val="en-US" w:eastAsia="zh-CN" w:bidi="ar-SA"/>
    </w:rPr>
  </w:style>
  <w:style w:type="character" w:customStyle="1" w:styleId="CharChar15">
    <w:name w:val="Char Char15"/>
    <w:qFormat/>
    <w:rPr>
      <w:rFonts w:ascii="宋体" w:eastAsia="宋体" w:hAnsi="Courier New" w:hint="eastAsia"/>
      <w:sz w:val="18"/>
      <w:lang w:val="en-US" w:eastAsia="zh-CN" w:bidi="ar-SA"/>
    </w:rPr>
  </w:style>
  <w:style w:type="character" w:customStyle="1" w:styleId="CharCharCharCharCharCharCharCharCharCharChar">
    <w:name w:val="普通文字 Char Char Char Char Char Char Char Char Char Char Char"/>
    <w:qFormat/>
    <w:rPr>
      <w:rFonts w:ascii="宋体" w:eastAsia="宋体" w:hAnsi="Courier New"/>
      <w:kern w:val="2"/>
      <w:sz w:val="21"/>
      <w:szCs w:val="21"/>
      <w:lang w:val="en-US" w:eastAsia="zh-CN" w:bidi="ar-SA"/>
    </w:rPr>
  </w:style>
  <w:style w:type="character" w:customStyle="1" w:styleId="CharChar14">
    <w:name w:val="Char Char14"/>
    <w:qFormat/>
    <w:rPr>
      <w:rFonts w:ascii="Arial" w:eastAsia="黑体" w:hAnsi="Arial" w:cs="Arial"/>
      <w:b/>
      <w:bCs/>
      <w:kern w:val="2"/>
      <w:sz w:val="32"/>
      <w:szCs w:val="32"/>
    </w:rPr>
  </w:style>
  <w:style w:type="character" w:customStyle="1" w:styleId="hangju">
    <w:name w:val="hangju"/>
    <w:basedOn w:val="a1"/>
    <w:qFormat/>
  </w:style>
  <w:style w:type="character" w:customStyle="1" w:styleId="Char50">
    <w:name w:val="环表头 Char5"/>
    <w:qFormat/>
    <w:rPr>
      <w:rFonts w:eastAsia="黑体"/>
      <w:color w:val="000000"/>
      <w:sz w:val="24"/>
      <w:szCs w:val="24"/>
      <w:lang w:val="en-US" w:eastAsia="zh-CN" w:bidi="ar-SA"/>
    </w:rPr>
  </w:style>
  <w:style w:type="character" w:customStyle="1" w:styleId="Charff4">
    <w:name w:val="章标题 Char"/>
    <w:link w:val="affffff6"/>
    <w:qFormat/>
    <w:rPr>
      <w:rFonts w:ascii="黑体" w:eastAsia="黑体"/>
    </w:rPr>
  </w:style>
  <w:style w:type="paragraph" w:customStyle="1" w:styleId="affffff6">
    <w:name w:val="章标题"/>
    <w:next w:val="a"/>
    <w:link w:val="Charff4"/>
    <w:qFormat/>
    <w:pPr>
      <w:tabs>
        <w:tab w:val="left" w:pos="903"/>
      </w:tabs>
      <w:spacing w:before="50" w:after="50"/>
      <w:ind w:left="903" w:hanging="315"/>
      <w:jc w:val="both"/>
      <w:outlineLvl w:val="1"/>
    </w:pPr>
    <w:rPr>
      <w:rFonts w:ascii="黑体" w:eastAsia="黑体"/>
      <w:kern w:val="2"/>
      <w:sz w:val="21"/>
      <w:szCs w:val="22"/>
    </w:rPr>
  </w:style>
  <w:style w:type="character" w:customStyle="1" w:styleId="Charff5">
    <w:name w:val="环评正文 Char"/>
    <w:link w:val="affffff7"/>
    <w:qFormat/>
    <w:rPr>
      <w:sz w:val="24"/>
    </w:rPr>
  </w:style>
  <w:style w:type="paragraph" w:customStyle="1" w:styleId="affffff7">
    <w:name w:val="环评正文"/>
    <w:basedOn w:val="a"/>
    <w:link w:val="Charff5"/>
    <w:qFormat/>
    <w:pPr>
      <w:adjustRightInd w:val="0"/>
      <w:snapToGrid w:val="0"/>
      <w:spacing w:line="360" w:lineRule="auto"/>
      <w:ind w:firstLineChars="200" w:firstLine="480"/>
    </w:pPr>
    <w:rPr>
      <w:sz w:val="24"/>
    </w:rPr>
  </w:style>
  <w:style w:type="character" w:customStyle="1" w:styleId="CharCharChar1">
    <w:name w:val="正文文字 Char Char Char"/>
    <w:qFormat/>
    <w:rPr>
      <w:rFonts w:eastAsia="仿宋_GB2312"/>
      <w:kern w:val="2"/>
      <w:sz w:val="24"/>
      <w:lang w:val="en-US" w:eastAsia="zh-CN"/>
    </w:rPr>
  </w:style>
  <w:style w:type="character" w:customStyle="1" w:styleId="1Char2">
    <w:name w:val="项标题(1) Char2"/>
    <w:qFormat/>
    <w:rPr>
      <w:rFonts w:eastAsia="宋体"/>
      <w:b/>
      <w:bCs/>
      <w:kern w:val="2"/>
      <w:sz w:val="24"/>
      <w:szCs w:val="24"/>
      <w:lang w:val="en-US" w:eastAsia="zh-CN" w:bidi="ar-SA"/>
    </w:rPr>
  </w:style>
  <w:style w:type="character" w:customStyle="1" w:styleId="su21">
    <w:name w:val="su21"/>
    <w:qFormat/>
  </w:style>
  <w:style w:type="character" w:customStyle="1" w:styleId="f141">
    <w:name w:val="f141"/>
    <w:qFormat/>
    <w:rPr>
      <w:sz w:val="21"/>
      <w:szCs w:val="21"/>
    </w:rPr>
  </w:style>
  <w:style w:type="character" w:customStyle="1" w:styleId="720">
    <w:name w:val="标题 7 字符2"/>
    <w:semiHidden/>
    <w:qFormat/>
    <w:locked/>
    <w:rPr>
      <w:b/>
      <w:bCs/>
      <w:kern w:val="2"/>
      <w:sz w:val="24"/>
      <w:szCs w:val="24"/>
    </w:rPr>
  </w:style>
  <w:style w:type="character" w:customStyle="1" w:styleId="1Char3">
    <w:name w:val="1正文段落 Char"/>
    <w:link w:val="1fc"/>
    <w:semiHidden/>
    <w:qFormat/>
    <w:rPr>
      <w:sz w:val="24"/>
      <w:szCs w:val="24"/>
    </w:rPr>
  </w:style>
  <w:style w:type="paragraph" w:customStyle="1" w:styleId="1fc">
    <w:name w:val="1正文段落"/>
    <w:basedOn w:val="a"/>
    <w:link w:val="1Char3"/>
    <w:semiHidden/>
    <w:qFormat/>
    <w:pPr>
      <w:spacing w:line="360" w:lineRule="auto"/>
      <w:ind w:firstLineChars="200" w:firstLine="480"/>
      <w:jc w:val="left"/>
    </w:pPr>
    <w:rPr>
      <w:sz w:val="24"/>
      <w:szCs w:val="24"/>
    </w:rPr>
  </w:style>
  <w:style w:type="character" w:customStyle="1" w:styleId="c1CharChar">
    <w:name w:val="c1 Char Char"/>
    <w:link w:val="c1"/>
    <w:qFormat/>
    <w:rPr>
      <w:rFonts w:ascii="宋体" w:hAnsi="宋体"/>
      <w:b/>
      <w:sz w:val="32"/>
      <w:szCs w:val="32"/>
    </w:rPr>
  </w:style>
  <w:style w:type="paragraph" w:customStyle="1" w:styleId="c1">
    <w:name w:val="c1"/>
    <w:basedOn w:val="a"/>
    <w:link w:val="c1CharChar"/>
    <w:qFormat/>
    <w:pPr>
      <w:widowControl/>
      <w:spacing w:beforeLines="50" w:before="156" w:afterLines="50" w:after="156" w:line="360" w:lineRule="auto"/>
      <w:ind w:firstLineChars="150" w:firstLine="482"/>
      <w:jc w:val="center"/>
      <w:outlineLvl w:val="0"/>
    </w:pPr>
    <w:rPr>
      <w:rFonts w:ascii="宋体" w:hAnsi="宋体"/>
      <w:b/>
      <w:sz w:val="32"/>
      <w:szCs w:val="32"/>
    </w:rPr>
  </w:style>
  <w:style w:type="character" w:customStyle="1" w:styleId="1Char10">
    <w:name w:val="环标1 Char1"/>
    <w:link w:val="1fd"/>
    <w:qFormat/>
    <w:rPr>
      <w:rFonts w:ascii="黑体" w:eastAsia="黑体" w:hAnsi="Courier New"/>
      <w:kern w:val="44"/>
      <w:sz w:val="32"/>
    </w:rPr>
  </w:style>
  <w:style w:type="paragraph" w:customStyle="1" w:styleId="1fd">
    <w:name w:val="环标1"/>
    <w:basedOn w:val="1"/>
    <w:link w:val="1Char10"/>
    <w:qFormat/>
    <w:pPr>
      <w:tabs>
        <w:tab w:val="left" w:pos="425"/>
      </w:tabs>
      <w:adjustRightInd w:val="0"/>
      <w:spacing w:before="0" w:after="120" w:line="312" w:lineRule="atLeast"/>
      <w:ind w:left="0"/>
      <w:textAlignment w:val="baseline"/>
    </w:pPr>
    <w:rPr>
      <w:rFonts w:ascii="黑体" w:eastAsia="黑体" w:hAnsi="Courier New"/>
      <w:b w:val="0"/>
      <w:bCs w:val="0"/>
      <w:kern w:val="44"/>
      <w:sz w:val="32"/>
      <w:szCs w:val="22"/>
      <w:lang w:eastAsia="zh-CN"/>
    </w:rPr>
  </w:style>
  <w:style w:type="character" w:customStyle="1" w:styleId="Char61">
    <w:name w:val="Char6"/>
    <w:qFormat/>
    <w:rPr>
      <w:rFonts w:eastAsia="仿宋_GB2312"/>
      <w:b/>
      <w:kern w:val="44"/>
      <w:sz w:val="32"/>
      <w:szCs w:val="44"/>
      <w:lang w:val="en-US" w:eastAsia="zh-CN" w:bidi="ar-SA"/>
    </w:rPr>
  </w:style>
  <w:style w:type="character" w:customStyle="1" w:styleId="ca-15">
    <w:name w:val="ca-15"/>
    <w:basedOn w:val="a1"/>
    <w:qFormat/>
  </w:style>
  <w:style w:type="character" w:customStyle="1" w:styleId="2CharChar3">
    <w:name w:val="正文文字 2 Char Char"/>
    <w:qFormat/>
    <w:rPr>
      <w:sz w:val="24"/>
    </w:rPr>
  </w:style>
  <w:style w:type="character" w:customStyle="1" w:styleId="Char24">
    <w:name w:val="环评正文文字缩进（江东模板） Char2"/>
    <w:qFormat/>
    <w:rPr>
      <w:rFonts w:ascii="宋体" w:eastAsia="宋体" w:hAnsi="宋体"/>
      <w:sz w:val="24"/>
      <w:lang w:val="en-US" w:eastAsia="zh-CN" w:bidi="ar-SA"/>
    </w:rPr>
  </w:style>
  <w:style w:type="character" w:customStyle="1" w:styleId="610">
    <w:name w:val="标题 6 字符1"/>
    <w:qFormat/>
    <w:locked/>
    <w:rPr>
      <w:bCs/>
      <w:kern w:val="2"/>
      <w:sz w:val="28"/>
      <w:szCs w:val="28"/>
    </w:rPr>
  </w:style>
  <w:style w:type="character" w:customStyle="1" w:styleId="sc2f7tt">
    <w:name w:val="sc2f7tt"/>
    <w:qFormat/>
  </w:style>
  <w:style w:type="character" w:customStyle="1" w:styleId="CharCharChar2">
    <w:name w:val="正文（首行缩进两字） Char Char Char"/>
    <w:qFormat/>
    <w:rPr>
      <w:rFonts w:ascii="仿宋_GB2312" w:eastAsia="仿宋_GB2312"/>
      <w:color w:val="000000"/>
      <w:kern w:val="2"/>
      <w:sz w:val="28"/>
      <w:szCs w:val="24"/>
      <w:lang w:val="en-US" w:eastAsia="zh-CN" w:bidi="ar-SA"/>
    </w:rPr>
  </w:style>
  <w:style w:type="character" w:customStyle="1" w:styleId="1fe">
    <w:name w:val="宏文本 字符1"/>
    <w:qFormat/>
    <w:rPr>
      <w:rFonts w:ascii="Courier New" w:hAnsi="Courier New" w:cs="Courier New"/>
      <w:kern w:val="2"/>
      <w:sz w:val="24"/>
      <w:szCs w:val="24"/>
    </w:rPr>
  </w:style>
  <w:style w:type="character" w:customStyle="1" w:styleId="CharCharCharChar3">
    <w:name w:val="报告 Char Char Char Char"/>
    <w:link w:val="CharCharChar3"/>
    <w:qFormat/>
    <w:rPr>
      <w:sz w:val="24"/>
      <w:szCs w:val="24"/>
    </w:rPr>
  </w:style>
  <w:style w:type="paragraph" w:customStyle="1" w:styleId="CharCharChar3">
    <w:name w:val="报告 Char Char Char"/>
    <w:basedOn w:val="a"/>
    <w:link w:val="CharCharCharChar3"/>
    <w:qFormat/>
    <w:pPr>
      <w:adjustRightInd w:val="0"/>
      <w:spacing w:line="360" w:lineRule="auto"/>
      <w:ind w:firstLine="505"/>
      <w:textAlignment w:val="baseline"/>
    </w:pPr>
    <w:rPr>
      <w:sz w:val="24"/>
      <w:szCs w:val="24"/>
    </w:rPr>
  </w:style>
  <w:style w:type="character" w:customStyle="1" w:styleId="pccs1">
    <w:name w:val="pccs1"/>
    <w:qFormat/>
    <w:rPr>
      <w:spacing w:val="360"/>
      <w:sz w:val="18"/>
      <w:szCs w:val="18"/>
    </w:rPr>
  </w:style>
  <w:style w:type="character" w:customStyle="1" w:styleId="Charff6">
    <w:name w:val="报告正文 Char"/>
    <w:link w:val="affffff8"/>
    <w:qFormat/>
    <w:rPr>
      <w:color w:val="000000"/>
      <w:sz w:val="24"/>
    </w:rPr>
  </w:style>
  <w:style w:type="paragraph" w:customStyle="1" w:styleId="affffff8">
    <w:name w:val="报告正文"/>
    <w:link w:val="Charff6"/>
    <w:qFormat/>
    <w:pPr>
      <w:spacing w:beforeLines="70" w:before="218" w:afterLines="40" w:after="124" w:line="360" w:lineRule="auto"/>
      <w:ind w:firstLineChars="200" w:firstLine="200"/>
      <w:jc w:val="both"/>
    </w:pPr>
    <w:rPr>
      <w:color w:val="000000"/>
      <w:kern w:val="2"/>
      <w:sz w:val="24"/>
      <w:szCs w:val="22"/>
    </w:rPr>
  </w:style>
  <w:style w:type="character" w:customStyle="1" w:styleId="Charff7">
    <w:name w:val="附录一级条标题 Char"/>
    <w:link w:val="affffff9"/>
    <w:qFormat/>
    <w:rPr>
      <w:rFonts w:ascii="黑体" w:eastAsia="黑体"/>
      <w:kern w:val="21"/>
    </w:rPr>
  </w:style>
  <w:style w:type="paragraph" w:customStyle="1" w:styleId="affffff9">
    <w:name w:val="附录一级条标题"/>
    <w:basedOn w:val="affffb"/>
    <w:next w:val="affffc"/>
    <w:link w:val="Charff7"/>
    <w:qFormat/>
    <w:pPr>
      <w:tabs>
        <w:tab w:val="left" w:pos="360"/>
        <w:tab w:val="left" w:pos="828"/>
      </w:tabs>
      <w:autoSpaceDN w:val="0"/>
      <w:spacing w:beforeLines="0" w:before="0" w:afterLines="0" w:after="0"/>
      <w:ind w:left="828" w:hangingChars="200" w:hanging="240"/>
      <w:outlineLvl w:val="2"/>
    </w:pPr>
  </w:style>
  <w:style w:type="character" w:customStyle="1" w:styleId="1Char4">
    <w:name w:val="样式1 Char"/>
    <w:qFormat/>
    <w:rPr>
      <w:rFonts w:eastAsia="宋体"/>
      <w:kern w:val="2"/>
      <w:sz w:val="24"/>
      <w:lang w:val="en-US" w:eastAsia="zh-CN"/>
    </w:rPr>
  </w:style>
  <w:style w:type="character" w:customStyle="1" w:styleId="bold1">
    <w:name w:val="bold1"/>
    <w:qFormat/>
    <w:rPr>
      <w:b/>
      <w:bCs/>
    </w:rPr>
  </w:style>
  <w:style w:type="character" w:customStyle="1" w:styleId="h9Char1">
    <w:name w:val="h9 Char1"/>
    <w:qFormat/>
    <w:rPr>
      <w:rFonts w:ascii="Arial" w:eastAsia="黑体" w:hAnsi="Arial"/>
      <w:kern w:val="2"/>
      <w:sz w:val="24"/>
      <w:lang w:val="en-US" w:eastAsia="zh-CN" w:bidi="ar-SA"/>
    </w:rPr>
  </w:style>
  <w:style w:type="character" w:customStyle="1" w:styleId="CharCharf0">
    <w:name w:val="小圈 Char Char"/>
    <w:qFormat/>
    <w:rPr>
      <w:rFonts w:ascii="宋体" w:eastAsia="宋体" w:hAnsi="宋体" w:cs="宋体"/>
      <w:kern w:val="2"/>
      <w:sz w:val="28"/>
      <w:lang w:val="en-US" w:eastAsia="zh-CN" w:bidi="ar-SA"/>
    </w:rPr>
  </w:style>
  <w:style w:type="character" w:customStyle="1" w:styleId="212">
    <w:name w:val="标题 2 字符1"/>
    <w:qFormat/>
    <w:locked/>
    <w:rPr>
      <w:rFonts w:ascii="黑体" w:eastAsia="黑体" w:cs="宋体"/>
      <w:bCs/>
      <w:color w:val="000000"/>
      <w:sz w:val="30"/>
      <w:szCs w:val="30"/>
    </w:rPr>
  </w:style>
  <w:style w:type="character" w:customStyle="1" w:styleId="affffffa">
    <w:name w:val="样式 (西文) 宋体 小四"/>
    <w:qFormat/>
    <w:rPr>
      <w:rFonts w:ascii="宋体" w:eastAsia="宋体" w:hAnsi="宋体"/>
      <w:sz w:val="24"/>
      <w:szCs w:val="24"/>
    </w:rPr>
  </w:style>
  <w:style w:type="character" w:customStyle="1" w:styleId="s4y5">
    <w:name w:val="s4y5"/>
    <w:qFormat/>
  </w:style>
  <w:style w:type="character" w:customStyle="1" w:styleId="1Char5">
    <w:name w:val=". [(1)] Char"/>
    <w:qFormat/>
    <w:rPr>
      <w:kern w:val="2"/>
      <w:sz w:val="28"/>
    </w:rPr>
  </w:style>
  <w:style w:type="character" w:customStyle="1" w:styleId="CharCharf1">
    <w:name w:val="高表单 Char Char"/>
    <w:qFormat/>
    <w:rPr>
      <w:rFonts w:ascii="Arial" w:eastAsia="宋体" w:hAnsi="Arial"/>
      <w:kern w:val="2"/>
      <w:sz w:val="21"/>
      <w:szCs w:val="21"/>
      <w:lang w:val="en-US" w:eastAsia="zh-CN" w:bidi="ar-SA"/>
    </w:rPr>
  </w:style>
  <w:style w:type="character" w:customStyle="1" w:styleId="HTMLChar1">
    <w:name w:val="HTML 预设格式 Char1"/>
    <w:uiPriority w:val="99"/>
    <w:semiHidden/>
    <w:qFormat/>
    <w:rPr>
      <w:rFonts w:ascii="Courier New" w:eastAsia="宋体" w:hAnsi="Courier New" w:cs="Courier New"/>
      <w:kern w:val="0"/>
      <w:sz w:val="20"/>
      <w:szCs w:val="20"/>
    </w:rPr>
  </w:style>
  <w:style w:type="character" w:customStyle="1" w:styleId="grays">
    <w:name w:val="gray s"/>
    <w:qFormat/>
  </w:style>
  <w:style w:type="character" w:customStyle="1" w:styleId="CharChar38">
    <w:name w:val="Char Char38"/>
    <w:qFormat/>
    <w:rPr>
      <w:rFonts w:ascii="宋体" w:eastAsia="宋体" w:hAnsi="宋体"/>
      <w:b/>
      <w:sz w:val="28"/>
      <w:szCs w:val="28"/>
      <w:lang w:val="en-US" w:eastAsia="zh-CN" w:bidi="ar-SA"/>
    </w:rPr>
  </w:style>
  <w:style w:type="character" w:customStyle="1" w:styleId="CharCharCharCharCharCharChar5">
    <w:name w:val="Char Char Char Char Char Char Char5"/>
    <w:link w:val="CharCharCharCharCharChar5"/>
    <w:qFormat/>
    <w:rPr>
      <w:rFonts w:ascii="宋体" w:hAnsi="宋体"/>
      <w:sz w:val="24"/>
      <w:szCs w:val="24"/>
    </w:rPr>
  </w:style>
  <w:style w:type="paragraph" w:customStyle="1" w:styleId="CharCharCharCharCharChar5">
    <w:name w:val="Char Char Char Char Char Char5"/>
    <w:basedOn w:val="a"/>
    <w:link w:val="CharCharCharCharCharCharChar5"/>
    <w:qFormat/>
    <w:rPr>
      <w:rFonts w:ascii="宋体" w:hAnsi="宋体"/>
      <w:sz w:val="24"/>
      <w:szCs w:val="24"/>
    </w:rPr>
  </w:style>
  <w:style w:type="character" w:customStyle="1" w:styleId="CharCharCharCharCharCCharCharCharCharCharCharChar">
    <w:name w:val="普通文字 Char Char Char Char Char C Char Char Char Char Char Char Char"/>
    <w:semiHidden/>
    <w:qFormat/>
    <w:rPr>
      <w:rFonts w:ascii="宋体" w:eastAsia="宋体" w:hAnsi="Courier New" w:cs="宋体"/>
      <w:kern w:val="2"/>
      <w:sz w:val="28"/>
      <w:szCs w:val="24"/>
      <w:lang w:val="en-US" w:eastAsia="zh-CN" w:bidi="ar-SA"/>
    </w:rPr>
  </w:style>
  <w:style w:type="character" w:customStyle="1" w:styleId="CharChar111">
    <w:name w:val="Char Char111"/>
    <w:qFormat/>
    <w:rPr>
      <w:rFonts w:ascii="宋体" w:eastAsia="宋体" w:hAnsi="宋体" w:hint="eastAsia"/>
      <w:kern w:val="2"/>
      <w:sz w:val="21"/>
      <w:lang w:val="en-US" w:eastAsia="zh-CN" w:bidi="ar-SA"/>
    </w:rPr>
  </w:style>
  <w:style w:type="character" w:customStyle="1" w:styleId="Charff8">
    <w:name w:val="我的表格标题 Char"/>
    <w:link w:val="affffffb"/>
    <w:qFormat/>
    <w:rPr>
      <w:rFonts w:ascii="宋体" w:hAnsi="宋体"/>
      <w:color w:val="000000"/>
      <w:sz w:val="24"/>
      <w:szCs w:val="24"/>
    </w:rPr>
  </w:style>
  <w:style w:type="paragraph" w:customStyle="1" w:styleId="affffffb">
    <w:name w:val="我的表格标题"/>
    <w:basedOn w:val="a"/>
    <w:link w:val="Charff8"/>
    <w:qFormat/>
    <w:pPr>
      <w:spacing w:line="520" w:lineRule="exact"/>
      <w:jc w:val="center"/>
    </w:pPr>
    <w:rPr>
      <w:rFonts w:ascii="宋体" w:hAnsi="宋体"/>
      <w:color w:val="000000"/>
      <w:sz w:val="24"/>
      <w:szCs w:val="24"/>
    </w:rPr>
  </w:style>
  <w:style w:type="character" w:customStyle="1" w:styleId="Char17">
    <w:name w:val="批注主题 Char1"/>
    <w:uiPriority w:val="99"/>
    <w:qFormat/>
    <w:rPr>
      <w:rFonts w:eastAsia="宋体"/>
      <w:b/>
      <w:bCs/>
      <w:kern w:val="2"/>
      <w:sz w:val="21"/>
      <w:szCs w:val="24"/>
      <w:lang w:val="en-US" w:eastAsia="zh-CN" w:bidi="ar-SA"/>
    </w:rPr>
  </w:style>
  <w:style w:type="character" w:customStyle="1" w:styleId="nyblack2">
    <w:name w:val="ny_black2"/>
    <w:qFormat/>
    <w:rPr>
      <w:color w:val="000000"/>
    </w:rPr>
  </w:style>
  <w:style w:type="character" w:customStyle="1" w:styleId="Charff9">
    <w:name w:val="公示 Char"/>
    <w:link w:val="affffffc"/>
    <w:qFormat/>
  </w:style>
  <w:style w:type="paragraph" w:customStyle="1" w:styleId="affffffc">
    <w:name w:val="公示"/>
    <w:basedOn w:val="a"/>
    <w:link w:val="Charff9"/>
    <w:qFormat/>
    <w:pPr>
      <w:spacing w:line="360" w:lineRule="auto"/>
      <w:ind w:firstLineChars="200" w:firstLine="200"/>
      <w:jc w:val="center"/>
    </w:pPr>
  </w:style>
  <w:style w:type="character" w:customStyle="1" w:styleId="z-Char20">
    <w:name w:val="z-窗体底端 Char2"/>
    <w:qFormat/>
    <w:rPr>
      <w:rFonts w:ascii="Arial" w:eastAsia="Arial Unicode MS" w:hAnsi="Arial"/>
      <w:vanish/>
      <w:sz w:val="16"/>
      <w:szCs w:val="16"/>
    </w:rPr>
  </w:style>
  <w:style w:type="character" w:customStyle="1" w:styleId="a14">
    <w:name w:val="a14"/>
    <w:qFormat/>
  </w:style>
  <w:style w:type="character" w:customStyle="1" w:styleId="productallmaintext">
    <w:name w:val="product_all_main_text"/>
    <w:qFormat/>
  </w:style>
  <w:style w:type="character" w:customStyle="1" w:styleId="511">
    <w:name w:val="标题 5 字符1"/>
    <w:qFormat/>
    <w:locked/>
    <w:rPr>
      <w:b/>
      <w:bCs/>
      <w:sz w:val="28"/>
      <w:szCs w:val="28"/>
    </w:rPr>
  </w:style>
  <w:style w:type="character" w:customStyle="1" w:styleId="CharCharCharChar4">
    <w:name w:val="表头文字 Char Char Char Char"/>
    <w:link w:val="CharCharChar4"/>
    <w:qFormat/>
    <w:rPr>
      <w:rFonts w:eastAsia="华文中宋"/>
      <w:b/>
      <w:sz w:val="28"/>
      <w:szCs w:val="24"/>
    </w:rPr>
  </w:style>
  <w:style w:type="paragraph" w:customStyle="1" w:styleId="CharCharChar4">
    <w:name w:val="表头文字 Char Char Char"/>
    <w:basedOn w:val="a"/>
    <w:link w:val="CharCharCharChar4"/>
    <w:qFormat/>
    <w:pPr>
      <w:spacing w:line="360" w:lineRule="auto"/>
      <w:jc w:val="center"/>
    </w:pPr>
    <w:rPr>
      <w:rFonts w:eastAsia="华文中宋"/>
      <w:b/>
      <w:sz w:val="28"/>
      <w:szCs w:val="24"/>
    </w:rPr>
  </w:style>
  <w:style w:type="character" w:customStyle="1" w:styleId="CharChar19">
    <w:name w:val="Char Char19"/>
    <w:qFormat/>
    <w:rPr>
      <w:rFonts w:eastAsia="宋体"/>
      <w:kern w:val="2"/>
      <w:sz w:val="24"/>
      <w:lang w:val="en-US" w:eastAsia="zh-CN"/>
    </w:rPr>
  </w:style>
  <w:style w:type="character" w:customStyle="1" w:styleId="font241">
    <w:name w:val="font241"/>
    <w:qFormat/>
    <w:rPr>
      <w:rFonts w:ascii="仿宋_GB2312" w:eastAsia="仿宋_GB2312"/>
      <w:kern w:val="2"/>
      <w:sz w:val="21"/>
      <w:lang w:val="en-US" w:eastAsia="zh-CN"/>
    </w:rPr>
  </w:style>
  <w:style w:type="character" w:customStyle="1" w:styleId="s6wwf">
    <w:name w:val="s6wwf"/>
    <w:qFormat/>
  </w:style>
  <w:style w:type="character" w:customStyle="1" w:styleId="txt11">
    <w:name w:val="txt11"/>
    <w:qFormat/>
    <w:rPr>
      <w:sz w:val="18"/>
      <w:szCs w:val="18"/>
    </w:rPr>
  </w:style>
  <w:style w:type="character" w:customStyle="1" w:styleId="c3Char">
    <w:name w:val="c3 Char"/>
    <w:qFormat/>
    <w:rPr>
      <w:rFonts w:ascii="宋体" w:eastAsia="宋体" w:hAnsi="宋体"/>
      <w:b/>
      <w:kern w:val="2"/>
      <w:sz w:val="28"/>
      <w:szCs w:val="28"/>
      <w:lang w:val="en-US" w:eastAsia="zh-CN" w:bidi="ar-SA"/>
    </w:rPr>
  </w:style>
  <w:style w:type="character" w:customStyle="1" w:styleId="Charffa">
    <w:name w:val="表 标题 Char"/>
    <w:link w:val="affffffd"/>
    <w:qFormat/>
    <w:rPr>
      <w:b/>
      <w:sz w:val="24"/>
    </w:rPr>
  </w:style>
  <w:style w:type="paragraph" w:customStyle="1" w:styleId="affffffd">
    <w:name w:val="表 标题"/>
    <w:basedOn w:val="affd"/>
    <w:next w:val="a"/>
    <w:link w:val="Charffa"/>
    <w:qFormat/>
    <w:pPr>
      <w:spacing w:beforeLines="50" w:before="50"/>
      <w:ind w:left="0" w:firstLine="0"/>
      <w:jc w:val="center"/>
    </w:pPr>
    <w:rPr>
      <w:rFonts w:asciiTheme="minorHAnsi" w:eastAsiaTheme="minorEastAsia" w:hAnsiTheme="minorHAnsi" w:cstheme="minorBidi"/>
      <w:b/>
      <w:smallCaps w:val="0"/>
      <w:sz w:val="24"/>
      <w:szCs w:val="22"/>
    </w:rPr>
  </w:style>
  <w:style w:type="character" w:customStyle="1" w:styleId="detailtitle1">
    <w:name w:val="detailtitle1"/>
    <w:qFormat/>
    <w:rPr>
      <w:rFonts w:ascii="黑体" w:eastAsia="黑体" w:hint="eastAsia"/>
      <w:b/>
      <w:bCs/>
      <w:sz w:val="18"/>
      <w:szCs w:val="18"/>
    </w:rPr>
  </w:style>
  <w:style w:type="character" w:customStyle="1" w:styleId="seecix">
    <w:name w:val="seecix"/>
    <w:qFormat/>
  </w:style>
  <w:style w:type="character" w:customStyle="1" w:styleId="style161">
    <w:name w:val="style161"/>
    <w:qFormat/>
    <w:rPr>
      <w:sz w:val="18"/>
      <w:szCs w:val="18"/>
    </w:rPr>
  </w:style>
  <w:style w:type="character" w:customStyle="1" w:styleId="Char18">
    <w:name w:val="批注文字 Char1"/>
    <w:qFormat/>
    <w:rPr>
      <w:kern w:val="2"/>
      <w:sz w:val="21"/>
      <w:szCs w:val="22"/>
    </w:rPr>
  </w:style>
  <w:style w:type="character" w:customStyle="1" w:styleId="Char25">
    <w:name w:val="环表头 Char2"/>
    <w:qFormat/>
    <w:rPr>
      <w:rFonts w:ascii="黑体" w:eastAsia="黑体" w:hAnsi="宋体"/>
      <w:color w:val="000000"/>
      <w:sz w:val="24"/>
      <w:szCs w:val="24"/>
      <w:lang w:val="en-US" w:eastAsia="zh-CN" w:bidi="ar-SA"/>
    </w:rPr>
  </w:style>
  <w:style w:type="character" w:customStyle="1" w:styleId="ca-14">
    <w:name w:val="ca-14"/>
    <w:basedOn w:val="a1"/>
    <w:qFormat/>
  </w:style>
  <w:style w:type="character" w:customStyle="1" w:styleId="CharChar123">
    <w:name w:val="Char Char123"/>
    <w:qFormat/>
    <w:locked/>
    <w:rPr>
      <w:rFonts w:eastAsia="宋体"/>
      <w:sz w:val="24"/>
      <w:lang w:val="en-US" w:eastAsia="zh-CN" w:bidi="ar-SA"/>
    </w:rPr>
  </w:style>
  <w:style w:type="character" w:customStyle="1" w:styleId="hhcwt1CharChar">
    <w:name w:val="hhcwt标题1 Char Char"/>
    <w:link w:val="hhcwt1"/>
    <w:qFormat/>
    <w:rPr>
      <w:rFonts w:eastAsia="黑体"/>
      <w:kern w:val="44"/>
      <w:sz w:val="36"/>
      <w:szCs w:val="24"/>
      <w:lang w:val="zh-CN"/>
    </w:rPr>
  </w:style>
  <w:style w:type="paragraph" w:customStyle="1" w:styleId="hhcwt1">
    <w:name w:val="hhcwt标题1"/>
    <w:basedOn w:val="a"/>
    <w:link w:val="hhcwt1CharChar"/>
    <w:qFormat/>
    <w:pPr>
      <w:keepNext/>
      <w:keepLines/>
      <w:autoSpaceDE w:val="0"/>
      <w:autoSpaceDN w:val="0"/>
      <w:adjustRightInd w:val="0"/>
      <w:spacing w:before="120" w:after="120" w:line="336" w:lineRule="auto"/>
      <w:outlineLvl w:val="0"/>
    </w:pPr>
    <w:rPr>
      <w:rFonts w:eastAsia="黑体"/>
      <w:kern w:val="44"/>
      <w:sz w:val="36"/>
      <w:szCs w:val="24"/>
      <w:lang w:val="zh-CN"/>
    </w:rPr>
  </w:style>
  <w:style w:type="character" w:customStyle="1" w:styleId="Charffb">
    <w:name w:val="正文 Char"/>
    <w:qFormat/>
    <w:rPr>
      <w:rFonts w:ascii="仿宋_GB2312" w:eastAsia="仿宋_GB2312" w:hAnsi="宋体"/>
      <w:color w:val="000000"/>
      <w:kern w:val="2"/>
      <w:sz w:val="28"/>
      <w:szCs w:val="24"/>
      <w:lang w:val="en-US" w:eastAsia="zh-CN" w:bidi="ar-SA"/>
    </w:rPr>
  </w:style>
  <w:style w:type="character" w:customStyle="1" w:styleId="unnamed51">
    <w:name w:val="unnamed51"/>
    <w:qFormat/>
    <w:rPr>
      <w:rFonts w:ascii="宋体" w:eastAsia="宋体" w:hAnsi="宋体" w:hint="eastAsia"/>
      <w:sz w:val="24"/>
      <w:szCs w:val="24"/>
    </w:rPr>
  </w:style>
  <w:style w:type="character" w:customStyle="1" w:styleId="px14">
    <w:name w:val="px14"/>
    <w:qFormat/>
  </w:style>
  <w:style w:type="character" w:customStyle="1" w:styleId="9n1">
    <w:name w:val="9n1"/>
    <w:qFormat/>
    <w:rPr>
      <w:color w:val="000000"/>
      <w:sz w:val="18"/>
      <w:szCs w:val="18"/>
      <w:u w:val="none"/>
    </w:rPr>
  </w:style>
  <w:style w:type="character" w:customStyle="1" w:styleId="title11">
    <w:name w:val="title11"/>
    <w:qFormat/>
    <w:rPr>
      <w:rFonts w:ascii="Times New Roman" w:hAnsi="Times New Roman" w:cs="Times New Roman" w:hint="default"/>
      <w:b/>
      <w:bCs/>
      <w:color w:val="000000"/>
      <w:sz w:val="32"/>
      <w:szCs w:val="32"/>
    </w:rPr>
  </w:style>
  <w:style w:type="character" w:customStyle="1" w:styleId="hhcwt2Char">
    <w:name w:val="hhcwt标题2 Char"/>
    <w:link w:val="hhcwt2"/>
    <w:qFormat/>
    <w:rPr>
      <w:rFonts w:eastAsia="黑体"/>
      <w:sz w:val="32"/>
    </w:rPr>
  </w:style>
  <w:style w:type="paragraph" w:customStyle="1" w:styleId="hhcwt2">
    <w:name w:val="hhcwt标题2"/>
    <w:basedOn w:val="a"/>
    <w:link w:val="hhcwt2Char"/>
    <w:qFormat/>
    <w:pPr>
      <w:keepNext/>
      <w:keepLines/>
      <w:spacing w:before="120" w:after="120" w:line="336" w:lineRule="auto"/>
      <w:outlineLvl w:val="1"/>
    </w:pPr>
    <w:rPr>
      <w:rFonts w:eastAsia="黑体"/>
      <w:sz w:val="32"/>
    </w:rPr>
  </w:style>
  <w:style w:type="character" w:customStyle="1" w:styleId="yqlink">
    <w:name w:val="yqlink"/>
    <w:qFormat/>
  </w:style>
  <w:style w:type="character" w:customStyle="1" w:styleId="title-blue1">
    <w:name w:val="title-blue1"/>
    <w:qFormat/>
    <w:rPr>
      <w:rFonts w:ascii="幼圆" w:eastAsia="幼圆" w:hAnsi="黑体" w:hint="eastAsia"/>
      <w:b/>
      <w:bCs/>
      <w:color w:val="009FFF"/>
      <w:spacing w:val="75"/>
      <w:kern w:val="44"/>
      <w:sz w:val="24"/>
      <w:szCs w:val="24"/>
      <w:lang w:val="en-US" w:eastAsia="zh-CN"/>
    </w:rPr>
  </w:style>
  <w:style w:type="character" w:customStyle="1" w:styleId="hb3Char1">
    <w:name w:val="hb3 Char1"/>
    <w:qFormat/>
    <w:rPr>
      <w:rFonts w:ascii="宋体" w:eastAsia="宋体" w:hAnsi="宋体"/>
      <w:b/>
      <w:bCs/>
      <w:sz w:val="28"/>
      <w:szCs w:val="32"/>
      <w:lang w:val="en-US" w:eastAsia="zh-CN" w:bidi="ar-SA"/>
    </w:rPr>
  </w:style>
  <w:style w:type="character" w:customStyle="1" w:styleId="CharCharCharCharCharCharChar10">
    <w:name w:val="Char Char Char Char Char Char Char10"/>
    <w:link w:val="CharCharCharCharCharChar10"/>
    <w:qFormat/>
    <w:rPr>
      <w:sz w:val="24"/>
      <w:szCs w:val="24"/>
    </w:rPr>
  </w:style>
  <w:style w:type="paragraph" w:customStyle="1" w:styleId="CharCharCharCharCharChar10">
    <w:name w:val="Char Char Char Char Char Char10"/>
    <w:basedOn w:val="a"/>
    <w:link w:val="CharCharCharCharCharCharChar10"/>
    <w:qFormat/>
    <w:rPr>
      <w:sz w:val="24"/>
      <w:szCs w:val="24"/>
    </w:rPr>
  </w:style>
  <w:style w:type="character" w:customStyle="1" w:styleId="spelle">
    <w:name w:val="spelle"/>
    <w:qFormat/>
  </w:style>
  <w:style w:type="character" w:customStyle="1" w:styleId="8Char">
    <w:name w:val="样式8 Char"/>
    <w:link w:val="85"/>
    <w:qFormat/>
    <w:rPr>
      <w:rFonts w:ascii="宋体" w:hAnsi="Arial Black" w:cs="宋体"/>
      <w:sz w:val="24"/>
      <w:szCs w:val="24"/>
    </w:rPr>
  </w:style>
  <w:style w:type="paragraph" w:customStyle="1" w:styleId="85">
    <w:name w:val="样式8"/>
    <w:basedOn w:val="a"/>
    <w:next w:val="a"/>
    <w:link w:val="8Char"/>
    <w:qFormat/>
    <w:pPr>
      <w:ind w:firstLine="420"/>
    </w:pPr>
    <w:rPr>
      <w:rFonts w:ascii="宋体" w:hAnsi="Arial Black" w:cs="宋体"/>
      <w:sz w:val="24"/>
      <w:szCs w:val="24"/>
    </w:rPr>
  </w:style>
  <w:style w:type="character" w:customStyle="1" w:styleId="CharChar135">
    <w:name w:val="Char Char135"/>
    <w:qFormat/>
    <w:rPr>
      <w:rFonts w:ascii="宋体" w:eastAsia="宋体" w:hAnsi="宋体" w:cs="宋体"/>
      <w:b/>
      <w:bCs/>
      <w:kern w:val="2"/>
      <w:sz w:val="24"/>
      <w:szCs w:val="20"/>
      <w:lang w:eastAsia="zh-CN" w:bidi="ar-SA"/>
    </w:rPr>
  </w:style>
  <w:style w:type="character" w:customStyle="1" w:styleId="hb2Char">
    <w:name w:val="hb2 Char"/>
    <w:qFormat/>
    <w:rPr>
      <w:rFonts w:ascii="宋体" w:eastAsia="宋体" w:cs="Arial"/>
      <w:b/>
      <w:bCs/>
      <w:kern w:val="2"/>
      <w:sz w:val="28"/>
      <w:szCs w:val="28"/>
      <w:lang w:val="en-US" w:eastAsia="zh-CN" w:bidi="ar-SA"/>
    </w:rPr>
  </w:style>
  <w:style w:type="character" w:customStyle="1" w:styleId="Charffc">
    <w:name w:val="新正文 Char"/>
    <w:link w:val="affffffe"/>
    <w:qFormat/>
    <w:locked/>
    <w:rPr>
      <w:rFonts w:ascii="仿宋_GB2312" w:eastAsia="仿宋_GB2312"/>
      <w:bCs/>
    </w:rPr>
  </w:style>
  <w:style w:type="paragraph" w:customStyle="1" w:styleId="affffffe">
    <w:name w:val="新正文"/>
    <w:basedOn w:val="a"/>
    <w:link w:val="Charffc"/>
    <w:qFormat/>
    <w:pPr>
      <w:spacing w:line="480" w:lineRule="exact"/>
      <w:ind w:firstLine="567"/>
    </w:pPr>
    <w:rPr>
      <w:rFonts w:ascii="仿宋_GB2312" w:eastAsia="仿宋_GB2312"/>
      <w:bCs/>
    </w:rPr>
  </w:style>
  <w:style w:type="character" w:customStyle="1" w:styleId="part">
    <w:name w:val="part"/>
    <w:qFormat/>
  </w:style>
  <w:style w:type="character" w:customStyle="1" w:styleId="Charffd">
    <w:name w:val="正文标准格式张 Char"/>
    <w:link w:val="afffffff"/>
    <w:qFormat/>
    <w:rPr>
      <w:rFonts w:ascii="宋体" w:hAnsi="宋体"/>
      <w:sz w:val="24"/>
      <w:szCs w:val="24"/>
    </w:rPr>
  </w:style>
  <w:style w:type="paragraph" w:customStyle="1" w:styleId="afffffff">
    <w:name w:val="正文标准格式张"/>
    <w:basedOn w:val="a"/>
    <w:link w:val="Charffd"/>
    <w:qFormat/>
    <w:pPr>
      <w:tabs>
        <w:tab w:val="left" w:pos="1260"/>
      </w:tabs>
      <w:adjustRightInd w:val="0"/>
      <w:snapToGrid w:val="0"/>
      <w:spacing w:beforeLines="25" w:before="78" w:afterLines="25" w:after="78" w:line="312" w:lineRule="auto"/>
      <w:textAlignment w:val="baseline"/>
    </w:pPr>
    <w:rPr>
      <w:rFonts w:ascii="宋体" w:hAnsi="宋体"/>
      <w:sz w:val="24"/>
      <w:szCs w:val="24"/>
    </w:rPr>
  </w:style>
  <w:style w:type="character" w:customStyle="1" w:styleId="font">
    <w:name w:val="font"/>
    <w:qFormat/>
  </w:style>
  <w:style w:type="character" w:customStyle="1" w:styleId="p31">
    <w:name w:val="p31"/>
    <w:qFormat/>
    <w:rPr>
      <w:rFonts w:ascii="文鼎粗行楷简" w:eastAsia="文鼎粗行楷简" w:hint="eastAsia"/>
      <w:color w:val="FF0000"/>
      <w:sz w:val="30"/>
      <w:szCs w:val="30"/>
    </w:rPr>
  </w:style>
  <w:style w:type="character" w:customStyle="1" w:styleId="Charffe">
    <w:name w:val="单学凯段落格式 Char"/>
    <w:link w:val="afffffff0"/>
    <w:qFormat/>
    <w:rPr>
      <w:rFonts w:ascii="宋体" w:hAnsi="宋体"/>
      <w:sz w:val="24"/>
      <w:szCs w:val="28"/>
    </w:rPr>
  </w:style>
  <w:style w:type="paragraph" w:customStyle="1" w:styleId="afffffff0">
    <w:name w:val="单学凯段落格式"/>
    <w:basedOn w:val="a"/>
    <w:link w:val="Charffe"/>
    <w:qFormat/>
    <w:pPr>
      <w:spacing w:line="500" w:lineRule="exact"/>
      <w:ind w:firstLineChars="200" w:firstLine="480"/>
      <w:jc w:val="left"/>
    </w:pPr>
    <w:rPr>
      <w:rFonts w:ascii="宋体" w:hAnsi="宋体"/>
      <w:sz w:val="24"/>
      <w:szCs w:val="28"/>
    </w:rPr>
  </w:style>
  <w:style w:type="character" w:customStyle="1" w:styleId="CharCharCharCharChar1">
    <w:name w:val="首行缩进 Char Char Char Char Char"/>
    <w:link w:val="CharCharCharChar5"/>
    <w:qFormat/>
    <w:rPr>
      <w:rFonts w:ascii="Arial" w:eastAsia="仿宋_GB2312" w:hAnsi="Arial"/>
      <w:sz w:val="28"/>
      <w:szCs w:val="28"/>
    </w:rPr>
  </w:style>
  <w:style w:type="paragraph" w:customStyle="1" w:styleId="CharCharCharChar5">
    <w:name w:val="首行缩进 Char Char Char Char"/>
    <w:basedOn w:val="a"/>
    <w:link w:val="CharCharCharCharChar1"/>
    <w:qFormat/>
    <w:pPr>
      <w:spacing w:line="360" w:lineRule="auto"/>
      <w:ind w:firstLine="560"/>
    </w:pPr>
    <w:rPr>
      <w:rFonts w:ascii="Arial" w:eastAsia="仿宋_GB2312" w:hAnsi="Arial"/>
      <w:sz w:val="28"/>
      <w:szCs w:val="28"/>
    </w:rPr>
  </w:style>
  <w:style w:type="character" w:customStyle="1" w:styleId="HTML10">
    <w:name w:val="HTML 预设格式 字符1"/>
    <w:link w:val="HTML0"/>
    <w:qFormat/>
    <w:locked/>
    <w:rPr>
      <w:rFonts w:ascii="黑体" w:eastAsia="黑体" w:hAnsi="Courier New" w:cs="Courier New"/>
    </w:rPr>
  </w:style>
  <w:style w:type="character" w:customStyle="1" w:styleId="HTMLa">
    <w:name w:val="HTML 预设格式 字符"/>
    <w:basedOn w:val="a1"/>
    <w:qFormat/>
    <w:rPr>
      <w:rFonts w:ascii="Courier New" w:hAnsi="Courier New" w:cs="Courier New"/>
      <w:sz w:val="20"/>
      <w:szCs w:val="20"/>
    </w:rPr>
  </w:style>
  <w:style w:type="character" w:customStyle="1" w:styleId="1Char6">
    <w:name w:val="正文1 Char"/>
    <w:link w:val="1ff"/>
    <w:qFormat/>
    <w:locked/>
    <w:rPr>
      <w:rFonts w:eastAsia="宋体"/>
      <w:sz w:val="28"/>
    </w:rPr>
  </w:style>
  <w:style w:type="paragraph" w:customStyle="1" w:styleId="1ff">
    <w:name w:val="正文1"/>
    <w:basedOn w:val="a"/>
    <w:link w:val="1Char6"/>
    <w:qFormat/>
    <w:pPr>
      <w:adjustRightInd w:val="0"/>
      <w:spacing w:line="500" w:lineRule="exact"/>
      <w:ind w:firstLine="567"/>
    </w:pPr>
    <w:rPr>
      <w:rFonts w:eastAsia="宋体"/>
      <w:sz w:val="28"/>
    </w:rPr>
  </w:style>
  <w:style w:type="character" w:customStyle="1" w:styleId="Char4Char1">
    <w:name w:val="Char4 Char1"/>
    <w:qFormat/>
    <w:rPr>
      <w:rFonts w:ascii="宋体" w:eastAsia="宋体" w:hAnsi="宋体"/>
      <w:kern w:val="2"/>
      <w:sz w:val="18"/>
      <w:szCs w:val="18"/>
      <w:lang w:val="en-US" w:eastAsia="zh-CN" w:bidi="ar-SA"/>
    </w:rPr>
  </w:style>
  <w:style w:type="character" w:customStyle="1" w:styleId="Char4CharChar11">
    <w:name w:val="Char4 Char Char11"/>
    <w:qFormat/>
    <w:rPr>
      <w:rFonts w:ascii="宋体" w:eastAsia="宋体" w:hAnsi="宋体" w:hint="eastAsia"/>
      <w:kern w:val="2"/>
      <w:sz w:val="18"/>
      <w:szCs w:val="18"/>
      <w:lang w:val="en-US" w:eastAsia="zh-CN" w:bidi="ar-SA"/>
    </w:rPr>
  </w:style>
  <w:style w:type="character" w:customStyle="1" w:styleId="Charfff">
    <w:name w:val="表标题 Char"/>
    <w:link w:val="afffffff1"/>
    <w:qFormat/>
    <w:locked/>
    <w:rPr>
      <w:rFonts w:ascii="仿宋_GB2312" w:eastAsia="仿宋_GB2312"/>
      <w:b/>
      <w:bCs/>
      <w:sz w:val="24"/>
      <w:szCs w:val="24"/>
    </w:rPr>
  </w:style>
  <w:style w:type="paragraph" w:customStyle="1" w:styleId="afffffff1">
    <w:name w:val="表标题"/>
    <w:basedOn w:val="a"/>
    <w:link w:val="Charfff"/>
    <w:qFormat/>
    <w:pPr>
      <w:spacing w:line="500" w:lineRule="exact"/>
      <w:ind w:firstLineChars="200" w:firstLine="482"/>
      <w:jc w:val="center"/>
    </w:pPr>
    <w:rPr>
      <w:rFonts w:ascii="仿宋_GB2312" w:eastAsia="仿宋_GB2312"/>
      <w:b/>
      <w:bCs/>
      <w:sz w:val="24"/>
      <w:szCs w:val="24"/>
    </w:rPr>
  </w:style>
  <w:style w:type="character" w:customStyle="1" w:styleId="infotitle1">
    <w:name w:val="infotitle1"/>
    <w:qFormat/>
    <w:rPr>
      <w:b/>
      <w:bCs/>
      <w:color w:val="000000"/>
      <w:sz w:val="32"/>
      <w:szCs w:val="32"/>
    </w:rPr>
  </w:style>
  <w:style w:type="character" w:customStyle="1" w:styleId="2CharChar4">
    <w:name w:val="目录2 Char Char4"/>
    <w:qFormat/>
    <w:rPr>
      <w:rFonts w:eastAsia="宋体"/>
      <w:b/>
      <w:bCs/>
      <w:caps/>
      <w:lang w:val="en-US" w:eastAsia="zh-CN" w:bidi="ar-SA"/>
    </w:rPr>
  </w:style>
  <w:style w:type="character" w:customStyle="1" w:styleId="CharChar34">
    <w:name w:val="Char Char34"/>
    <w:qFormat/>
    <w:rPr>
      <w:rFonts w:ascii="Arial" w:eastAsia="黑体" w:hAnsi="Arial"/>
      <w:b/>
      <w:bCs/>
      <w:kern w:val="2"/>
      <w:sz w:val="24"/>
      <w:szCs w:val="24"/>
      <w:lang w:val="en-US" w:eastAsia="zh-CN" w:bidi="ar-SA"/>
    </w:rPr>
  </w:style>
  <w:style w:type="character" w:customStyle="1" w:styleId="Charfff0">
    <w:name w:val="表蕊居中 Char"/>
    <w:link w:val="afffffff2"/>
    <w:qFormat/>
    <w:rPr>
      <w:rFonts w:ascii="仿宋_GB2312" w:eastAsia="仿宋_GB2312" w:hAnsi="宋体"/>
      <w:sz w:val="28"/>
      <w:szCs w:val="28"/>
    </w:rPr>
  </w:style>
  <w:style w:type="paragraph" w:customStyle="1" w:styleId="afffffff2">
    <w:name w:val="表蕊居中"/>
    <w:basedOn w:val="a"/>
    <w:link w:val="Charfff0"/>
    <w:qFormat/>
    <w:pPr>
      <w:spacing w:line="300" w:lineRule="exact"/>
      <w:jc w:val="center"/>
    </w:pPr>
    <w:rPr>
      <w:rFonts w:ascii="仿宋_GB2312" w:eastAsia="仿宋_GB2312" w:hAnsi="宋体"/>
      <w:sz w:val="28"/>
      <w:szCs w:val="28"/>
    </w:rPr>
  </w:style>
  <w:style w:type="character" w:customStyle="1" w:styleId="CharCharf2">
    <w:name w:val="主标题 Char Char"/>
    <w:qFormat/>
    <w:rPr>
      <w:rFonts w:ascii="仿宋_GB2312" w:eastAsia="仿宋_GB2312" w:hAnsi="Arial" w:cs="Arial"/>
      <w:b/>
      <w:bCs/>
      <w:kern w:val="2"/>
      <w:sz w:val="32"/>
      <w:szCs w:val="32"/>
      <w:lang w:val="en-US" w:eastAsia="zh-CN" w:bidi="ar-SA"/>
    </w:rPr>
  </w:style>
  <w:style w:type="character" w:customStyle="1" w:styleId="410">
    <w:name w:val="标题 4 字符1"/>
    <w:qFormat/>
    <w:locked/>
    <w:rPr>
      <w:sz w:val="28"/>
    </w:rPr>
  </w:style>
  <w:style w:type="character" w:customStyle="1" w:styleId="CharCharCharCharCharCharChar">
    <w:name w:val="Char Char Char Char Char Char Char"/>
    <w:link w:val="CharCharCharCharCharChar0"/>
    <w:qFormat/>
    <w:locked/>
    <w:rPr>
      <w:rFonts w:eastAsia="宋体"/>
      <w:sz w:val="24"/>
      <w:szCs w:val="24"/>
    </w:rPr>
  </w:style>
  <w:style w:type="paragraph" w:customStyle="1" w:styleId="CharCharCharCharCharChar0">
    <w:name w:val="Char Char Char Char Char Char"/>
    <w:basedOn w:val="a"/>
    <w:link w:val="CharCharCharCharCharCharChar"/>
    <w:qFormat/>
    <w:rPr>
      <w:rFonts w:eastAsia="宋体"/>
      <w:sz w:val="24"/>
      <w:szCs w:val="24"/>
    </w:rPr>
  </w:style>
  <w:style w:type="character" w:customStyle="1" w:styleId="Charfff1">
    <w:name w:val="一级标题 Char"/>
    <w:link w:val="afffffff3"/>
    <w:qFormat/>
    <w:locked/>
    <w:rPr>
      <w:b/>
      <w:bCs/>
      <w:sz w:val="32"/>
      <w:szCs w:val="24"/>
    </w:rPr>
  </w:style>
  <w:style w:type="paragraph" w:customStyle="1" w:styleId="afffffff3">
    <w:name w:val="一级标题"/>
    <w:basedOn w:val="a"/>
    <w:link w:val="Charfff1"/>
    <w:qFormat/>
    <w:pPr>
      <w:spacing w:before="60" w:line="460" w:lineRule="exact"/>
      <w:outlineLvl w:val="0"/>
    </w:pPr>
    <w:rPr>
      <w:b/>
      <w:bCs/>
      <w:sz w:val="32"/>
      <w:szCs w:val="24"/>
    </w:rPr>
  </w:style>
  <w:style w:type="character" w:customStyle="1" w:styleId="CharChar42">
    <w:name w:val="Char Char42"/>
    <w:qFormat/>
    <w:rPr>
      <w:rFonts w:ascii="宋体" w:eastAsia="宋体" w:hAnsi="宋体" w:hint="eastAsia"/>
      <w:b/>
      <w:bCs/>
      <w:kern w:val="2"/>
      <w:sz w:val="24"/>
      <w:szCs w:val="24"/>
      <w:lang w:val="en-US" w:eastAsia="zh-CN" w:bidi="ar-SA"/>
    </w:rPr>
  </w:style>
  <w:style w:type="character" w:customStyle="1" w:styleId="googqs-tidbitgoogqs-tidbit-0">
    <w:name w:val="goog_qs-tidbit goog_qs-tidbit-0"/>
    <w:qFormat/>
    <w:rPr>
      <w:rFonts w:cs="Times New Roman"/>
    </w:rPr>
  </w:style>
  <w:style w:type="character" w:customStyle="1" w:styleId="unnamed31">
    <w:name w:val="unnamed31"/>
    <w:qFormat/>
    <w:rPr>
      <w:sz w:val="18"/>
    </w:rPr>
  </w:style>
  <w:style w:type="character" w:customStyle="1" w:styleId="style101">
    <w:name w:val="style101"/>
    <w:qFormat/>
    <w:rPr>
      <w:sz w:val="18"/>
      <w:szCs w:val="18"/>
    </w:rPr>
  </w:style>
  <w:style w:type="character" w:customStyle="1" w:styleId="CharChar261">
    <w:name w:val="Char Char261"/>
    <w:qFormat/>
    <w:rPr>
      <w:rFonts w:ascii="Arial" w:eastAsia="黑体" w:hAnsi="Arial" w:cs="Arial" w:hint="default"/>
      <w:b/>
      <w:kern w:val="2"/>
      <w:sz w:val="32"/>
      <w:lang w:val="en-US" w:eastAsia="zh-CN" w:bidi="ar-SA"/>
    </w:rPr>
  </w:style>
  <w:style w:type="character" w:customStyle="1" w:styleId="f121">
    <w:name w:val="f121"/>
    <w:qFormat/>
    <w:rPr>
      <w:sz w:val="18"/>
      <w:szCs w:val="18"/>
      <w:u w:val="none"/>
    </w:rPr>
  </w:style>
  <w:style w:type="character" w:customStyle="1" w:styleId="dectext1">
    <w:name w:val="dectext1"/>
    <w:qFormat/>
    <w:rPr>
      <w:rFonts w:ascii="宋体" w:eastAsia="宋体" w:hAnsi="宋体" w:hint="eastAsia"/>
      <w:color w:val="333333"/>
      <w:sz w:val="21"/>
      <w:szCs w:val="21"/>
      <w:u w:val="none"/>
    </w:rPr>
  </w:style>
  <w:style w:type="character" w:customStyle="1" w:styleId="1ff0">
    <w:name w:val="不明显参考1"/>
    <w:qFormat/>
    <w:rPr>
      <w:rFonts w:cs="Times New Roman"/>
      <w:sz w:val="24"/>
      <w:szCs w:val="24"/>
      <w:u w:val="single"/>
    </w:rPr>
  </w:style>
  <w:style w:type="character" w:customStyle="1" w:styleId="HBZW">
    <w:name w:val="HBZW"/>
    <w:qFormat/>
    <w:rPr>
      <w:rFonts w:ascii="宋体" w:eastAsia="宋体" w:hAnsi="宋体"/>
      <w:kern w:val="0"/>
      <w:sz w:val="24"/>
      <w:lang w:val="en-US" w:eastAsia="zh-CN" w:bidi="ar-SA"/>
    </w:rPr>
  </w:style>
  <w:style w:type="character" w:customStyle="1" w:styleId="fontgray1">
    <w:name w:val="fontgray1"/>
    <w:qFormat/>
    <w:rPr>
      <w:rFonts w:ascii="ˎ̥" w:hAnsi="ˎ̥" w:hint="default"/>
      <w:color w:val="666666"/>
      <w:sz w:val="24"/>
    </w:rPr>
  </w:style>
  <w:style w:type="character" w:customStyle="1" w:styleId="sfmq">
    <w:name w:val="sfmq"/>
    <w:qFormat/>
  </w:style>
  <w:style w:type="character" w:customStyle="1" w:styleId="aaa1">
    <w:name w:val="aaa1"/>
    <w:basedOn w:val="a1"/>
    <w:qFormat/>
  </w:style>
  <w:style w:type="character" w:customStyle="1" w:styleId="CharCharf3">
    <w:name w:val="项目名称 Char Char"/>
    <w:qFormat/>
    <w:rPr>
      <w:rFonts w:ascii="黑体" w:eastAsia="黑体"/>
      <w:kern w:val="2"/>
      <w:sz w:val="52"/>
      <w:szCs w:val="52"/>
      <w:lang w:val="en-US" w:eastAsia="zh-CN" w:bidi="ar-SA"/>
    </w:rPr>
  </w:style>
  <w:style w:type="character" w:customStyle="1" w:styleId="Char32">
    <w:name w:val="脚注文本 Char3"/>
    <w:qFormat/>
    <w:rPr>
      <w:rFonts w:ascii="Arial" w:eastAsia="仿宋_GB2312" w:hAnsi="Arial"/>
      <w:sz w:val="18"/>
      <w:szCs w:val="18"/>
    </w:rPr>
  </w:style>
  <w:style w:type="character" w:customStyle="1" w:styleId="5Char1">
    <w:name w:val="5文章(治) Char"/>
    <w:link w:val="5a"/>
    <w:qFormat/>
    <w:rPr>
      <w:bCs/>
      <w:color w:val="000000"/>
      <w:sz w:val="24"/>
      <w:szCs w:val="24"/>
    </w:rPr>
  </w:style>
  <w:style w:type="paragraph" w:customStyle="1" w:styleId="5a">
    <w:name w:val="5文章(治)"/>
    <w:basedOn w:val="a"/>
    <w:link w:val="5Char1"/>
    <w:qFormat/>
    <w:pPr>
      <w:spacing w:line="360" w:lineRule="auto"/>
      <w:ind w:firstLineChars="200" w:firstLine="480"/>
    </w:pPr>
    <w:rPr>
      <w:bCs/>
      <w:color w:val="000000"/>
      <w:sz w:val="24"/>
      <w:szCs w:val="24"/>
    </w:rPr>
  </w:style>
  <w:style w:type="character" w:customStyle="1" w:styleId="CharChar36">
    <w:name w:val="Char Char36"/>
    <w:qFormat/>
    <w:rPr>
      <w:rFonts w:eastAsia="宋体"/>
      <w:sz w:val="28"/>
      <w:lang w:val="en-US" w:eastAsia="zh-CN" w:bidi="ar-SA"/>
    </w:rPr>
  </w:style>
  <w:style w:type="character" w:customStyle="1" w:styleId="digest1">
    <w:name w:val="digest1"/>
    <w:qFormat/>
    <w:rPr>
      <w:color w:val="393939"/>
      <w:sz w:val="20"/>
      <w:szCs w:val="20"/>
    </w:rPr>
  </w:style>
  <w:style w:type="character" w:customStyle="1" w:styleId="style1">
    <w:name w:val="style1"/>
    <w:qFormat/>
  </w:style>
  <w:style w:type="character" w:customStyle="1" w:styleId="BodyText21Char">
    <w:name w:val="Body Text 21 Char"/>
    <w:link w:val="BodyText21"/>
    <w:qFormat/>
    <w:rPr>
      <w:rFonts w:ascii="宋体" w:eastAsia="仿宋体" w:hAnsi="宋体"/>
      <w:sz w:val="24"/>
      <w:szCs w:val="24"/>
    </w:rPr>
  </w:style>
  <w:style w:type="paragraph" w:customStyle="1" w:styleId="BodyText21">
    <w:name w:val="Body Text 21"/>
    <w:basedOn w:val="a"/>
    <w:link w:val="BodyText21Char"/>
    <w:qFormat/>
    <w:pPr>
      <w:widowControl/>
      <w:adjustRightInd w:val="0"/>
      <w:jc w:val="left"/>
    </w:pPr>
    <w:rPr>
      <w:rFonts w:ascii="宋体" w:eastAsia="仿宋体" w:hAnsi="宋体"/>
      <w:sz w:val="24"/>
      <w:szCs w:val="24"/>
    </w:rPr>
  </w:style>
  <w:style w:type="character" w:customStyle="1" w:styleId="1Char7">
    <w:name w:val="报告正文1 Char"/>
    <w:link w:val="1ff1"/>
    <w:qFormat/>
    <w:rPr>
      <w:color w:val="000000"/>
      <w:sz w:val="24"/>
      <w:szCs w:val="24"/>
    </w:rPr>
  </w:style>
  <w:style w:type="paragraph" w:customStyle="1" w:styleId="1ff1">
    <w:name w:val="报告正文1"/>
    <w:basedOn w:val="2110"/>
    <w:link w:val="1Char7"/>
    <w:qFormat/>
    <w:pPr>
      <w:widowControl w:val="0"/>
      <w:spacing w:after="0" w:line="360" w:lineRule="auto"/>
      <w:ind w:leftChars="0" w:left="0" w:firstLine="200"/>
      <w:jc w:val="both"/>
    </w:pPr>
    <w:rPr>
      <w:rFonts w:asciiTheme="minorHAnsi" w:eastAsiaTheme="minorEastAsia" w:hAnsiTheme="minorHAnsi" w:cstheme="minorBidi"/>
      <w:color w:val="000000"/>
      <w:kern w:val="2"/>
      <w:szCs w:val="24"/>
    </w:rPr>
  </w:style>
  <w:style w:type="paragraph" w:customStyle="1" w:styleId="2110">
    <w:name w:val="正文首行缩进 211"/>
    <w:basedOn w:val="af7"/>
    <w:link w:val="2Char"/>
    <w:qFormat/>
    <w:pPr>
      <w:widowControl/>
      <w:tabs>
        <w:tab w:val="clear" w:pos="3600"/>
      </w:tabs>
      <w:spacing w:after="120" w:line="240" w:lineRule="auto"/>
      <w:ind w:leftChars="200" w:left="420" w:firstLine="420"/>
      <w:jc w:val="left"/>
    </w:pPr>
    <w:rPr>
      <w:rFonts w:ascii="Times New Roman" w:hAnsi="Times New Roman"/>
      <w:kern w:val="0"/>
      <w:szCs w:val="20"/>
    </w:rPr>
  </w:style>
  <w:style w:type="character" w:customStyle="1" w:styleId="2Char">
    <w:name w:val="正文首行缩进 2 Char"/>
    <w:link w:val="2110"/>
    <w:qFormat/>
    <w:locked/>
    <w:rPr>
      <w:rFonts w:ascii="Times New Roman" w:eastAsia="宋体" w:hAnsi="Times New Roman" w:cs="Times New Roman"/>
      <w:kern w:val="0"/>
      <w:sz w:val="24"/>
      <w:szCs w:val="20"/>
    </w:rPr>
  </w:style>
  <w:style w:type="character" w:customStyle="1" w:styleId="px121">
    <w:name w:val="px121"/>
    <w:qFormat/>
  </w:style>
  <w:style w:type="character" w:customStyle="1" w:styleId="Char33">
    <w:name w:val="环正文 Char3"/>
    <w:qFormat/>
    <w:rPr>
      <w:rFonts w:ascii="宋体" w:eastAsia="宋体" w:hAnsi="宋体" w:cs="Courier New"/>
      <w:sz w:val="24"/>
      <w:lang w:val="en-US" w:eastAsia="zh-CN" w:bidi="ar-SA"/>
    </w:rPr>
  </w:style>
  <w:style w:type="character" w:customStyle="1" w:styleId="710">
    <w:name w:val="标题 7 字符1"/>
    <w:qFormat/>
    <w:locked/>
    <w:rPr>
      <w:b/>
      <w:bCs/>
      <w:kern w:val="2"/>
      <w:sz w:val="24"/>
      <w:szCs w:val="24"/>
    </w:rPr>
  </w:style>
  <w:style w:type="character" w:customStyle="1" w:styleId="CharCharf4">
    <w:name w:val="我的正文 Char Char"/>
    <w:qFormat/>
    <w:rPr>
      <w:rFonts w:ascii="宋体" w:eastAsia="宋体" w:hAnsi="宋体"/>
      <w:color w:val="000000"/>
      <w:kern w:val="2"/>
      <w:sz w:val="28"/>
      <w:szCs w:val="28"/>
      <w:lang w:val="en-US" w:eastAsia="zh-CN" w:bidi="ar-SA"/>
    </w:rPr>
  </w:style>
  <w:style w:type="character" w:customStyle="1" w:styleId="910">
    <w:name w:val="标题 9 字符1"/>
    <w:qFormat/>
    <w:locked/>
    <w:rPr>
      <w:rFonts w:ascii="Arial" w:eastAsia="黑体" w:hAnsi="Arial"/>
      <w:kern w:val="2"/>
      <w:sz w:val="24"/>
    </w:rPr>
  </w:style>
  <w:style w:type="character" w:customStyle="1" w:styleId="l151">
    <w:name w:val="l151"/>
    <w:basedOn w:val="a1"/>
    <w:qFormat/>
  </w:style>
  <w:style w:type="character" w:customStyle="1" w:styleId="CharChar47">
    <w:name w:val="Char Char47"/>
    <w:qFormat/>
    <w:rPr>
      <w:kern w:val="2"/>
      <w:sz w:val="28"/>
    </w:rPr>
  </w:style>
  <w:style w:type="character" w:customStyle="1" w:styleId="c1TimesNewRoman0505Char">
    <w:name w:val="样式 样式 c1 + Times New Roman 四号 黑色 两端对齐 段前: 0.5 行 段后: 0.5 行 + (中文)... Char"/>
    <w:link w:val="c1TimesNewRoman0505"/>
    <w:qFormat/>
    <w:rPr>
      <w:rFonts w:ascii="Arial" w:hAnsi="Arial"/>
      <w:b/>
      <w:sz w:val="28"/>
    </w:rPr>
  </w:style>
  <w:style w:type="paragraph" w:customStyle="1" w:styleId="c1TimesNewRoman0505">
    <w:name w:val="样式 样式 c1 + Times New Roman 四号 黑色 两端对齐 段前: 0.5 行 段后: 0.5 行 + (中文)..."/>
    <w:basedOn w:val="2"/>
    <w:link w:val="c1TimesNewRoman0505Char"/>
    <w:qFormat/>
    <w:pPr>
      <w:tabs>
        <w:tab w:val="left" w:pos="985"/>
      </w:tabs>
      <w:spacing w:line="413" w:lineRule="auto"/>
      <w:ind w:left="985" w:hanging="851"/>
      <w:jc w:val="center"/>
    </w:pPr>
    <w:rPr>
      <w:rFonts w:ascii="Arial" w:eastAsiaTheme="minorEastAsia" w:hAnsi="Arial" w:cstheme="minorBidi"/>
      <w:bCs w:val="0"/>
      <w:sz w:val="28"/>
      <w:szCs w:val="22"/>
    </w:rPr>
  </w:style>
  <w:style w:type="character" w:customStyle="1" w:styleId="9Char">
    <w:name w:val="标题 9 Char"/>
    <w:qFormat/>
    <w:rPr>
      <w:rFonts w:ascii="Arial" w:eastAsia="黑体" w:hAnsi="Arial"/>
      <w:kern w:val="2"/>
      <w:sz w:val="24"/>
      <w:lang w:val="en-US" w:eastAsia="zh-CN" w:bidi="ar-SA"/>
    </w:rPr>
  </w:style>
  <w:style w:type="character" w:customStyle="1" w:styleId="Charfff2">
    <w:name w:val="样式 报告书表格 + 字距调整二号 Char"/>
    <w:link w:val="afffffff4"/>
    <w:qFormat/>
    <w:rPr>
      <w:rFonts w:eastAsia="仿宋_GB2312" w:cs="宋体"/>
      <w:kern w:val="44"/>
      <w:sz w:val="24"/>
      <w:szCs w:val="21"/>
    </w:rPr>
  </w:style>
  <w:style w:type="paragraph" w:customStyle="1" w:styleId="afffffff4">
    <w:name w:val="样式 报告书表格 + 字距调整二号"/>
    <w:basedOn w:val="afffffff5"/>
    <w:link w:val="Charfff2"/>
    <w:qFormat/>
    <w:pPr>
      <w:spacing w:before="0" w:after="0" w:line="400" w:lineRule="exact"/>
    </w:pPr>
    <w:rPr>
      <w:rFonts w:asciiTheme="minorHAnsi" w:eastAsia="仿宋_GB2312" w:hAnsiTheme="minorHAnsi" w:cs="宋体"/>
      <w:kern w:val="44"/>
      <w:sz w:val="24"/>
      <w:szCs w:val="21"/>
      <w:lang w:val="en-US"/>
    </w:rPr>
  </w:style>
  <w:style w:type="paragraph" w:customStyle="1" w:styleId="afffffff5">
    <w:name w:val="报告书表格"/>
    <w:basedOn w:val="a"/>
    <w:link w:val="Charfff3"/>
    <w:qFormat/>
    <w:pPr>
      <w:adjustRightInd w:val="0"/>
      <w:spacing w:before="60" w:after="60" w:line="240" w:lineRule="atLeast"/>
      <w:jc w:val="center"/>
      <w:textAlignment w:val="baseline"/>
    </w:pPr>
    <w:rPr>
      <w:rFonts w:ascii="宋体" w:eastAsia="宋体" w:hAnsi="宋体" w:cs="Times New Roman"/>
      <w:kern w:val="0"/>
      <w:sz w:val="20"/>
      <w:szCs w:val="24"/>
      <w:lang w:val="zh-CN"/>
    </w:rPr>
  </w:style>
  <w:style w:type="character" w:customStyle="1" w:styleId="Charfff3">
    <w:name w:val="报告书表格 Char"/>
    <w:link w:val="afffffff5"/>
    <w:qFormat/>
    <w:rPr>
      <w:rFonts w:ascii="宋体" w:eastAsia="宋体" w:hAnsi="宋体" w:cs="Times New Roman"/>
      <w:kern w:val="0"/>
      <w:sz w:val="20"/>
      <w:szCs w:val="24"/>
      <w:lang w:val="zh-CN"/>
    </w:rPr>
  </w:style>
  <w:style w:type="character" w:customStyle="1" w:styleId="font9black">
    <w:name w:val="font9black"/>
    <w:basedOn w:val="a1"/>
    <w:qFormat/>
  </w:style>
  <w:style w:type="character" w:customStyle="1" w:styleId="01Char3">
    <w:name w:val="正文01 Char3"/>
    <w:qFormat/>
    <w:rPr>
      <w:rFonts w:ascii="Arial" w:eastAsia="宋体" w:hAnsi="Arial"/>
      <w:kern w:val="2"/>
      <w:sz w:val="24"/>
      <w:lang w:val="en-US" w:eastAsia="zh-CN" w:bidi="ar-SA"/>
    </w:rPr>
  </w:style>
  <w:style w:type="character" w:customStyle="1" w:styleId="CharCharCharCharCharCharCharChar5">
    <w:name w:val="Char Char Char Char Char Char Char Char5"/>
    <w:qFormat/>
    <w:rPr>
      <w:rFonts w:ascii="Times New Roman" w:eastAsia="宋体" w:hAnsi="Times New Roman" w:cs="Times New Roman"/>
      <w:sz w:val="24"/>
      <w:szCs w:val="24"/>
    </w:rPr>
  </w:style>
  <w:style w:type="character" w:customStyle="1" w:styleId="3Char1CharChar1">
    <w:name w:val="标题 3 Char1 Char Char1"/>
    <w:qFormat/>
    <w:rPr>
      <w:rFonts w:eastAsia="宋体"/>
      <w:b/>
      <w:bCs/>
      <w:kern w:val="2"/>
      <w:sz w:val="32"/>
      <w:szCs w:val="32"/>
      <w:lang w:val="en-US" w:eastAsia="zh-CN" w:bidi="ar-SA"/>
    </w:rPr>
  </w:style>
  <w:style w:type="character" w:customStyle="1" w:styleId="zw1">
    <w:name w:val="zw1"/>
    <w:qFormat/>
    <w:rPr>
      <w:rFonts w:ascii="宋体" w:eastAsia="宋体" w:hAnsi="宋体" w:hint="eastAsia"/>
      <w:sz w:val="22"/>
    </w:rPr>
  </w:style>
  <w:style w:type="character" w:customStyle="1" w:styleId="ssqiaz">
    <w:name w:val="ssqiaz"/>
    <w:qFormat/>
  </w:style>
  <w:style w:type="character" w:customStyle="1" w:styleId="4Char1">
    <w:name w:val="标题 4 Char1"/>
    <w:qFormat/>
    <w:rPr>
      <w:rFonts w:ascii="Arial" w:eastAsia="黑体" w:hAnsi="Arial" w:cs="Times New Roman"/>
      <w:b/>
      <w:bCs/>
      <w:sz w:val="28"/>
      <w:szCs w:val="28"/>
      <w:lang w:val="en-US" w:eastAsia="zh-CN" w:bidi="ar-SA"/>
    </w:rPr>
  </w:style>
  <w:style w:type="character" w:customStyle="1" w:styleId="213">
    <w:name w:val="正文文本 2 字符1"/>
    <w:qFormat/>
    <w:locked/>
    <w:rPr>
      <w:kern w:val="2"/>
      <w:sz w:val="21"/>
      <w:szCs w:val="24"/>
    </w:rPr>
  </w:style>
  <w:style w:type="character" w:customStyle="1" w:styleId="WebChar">
    <w:name w:val="普通(Web) Char"/>
    <w:qFormat/>
    <w:rPr>
      <w:rFonts w:ascii="宋体" w:eastAsia="宋体" w:hAnsi="宋体" w:hint="eastAsia"/>
      <w:sz w:val="24"/>
      <w:szCs w:val="24"/>
      <w:lang w:val="en-US" w:eastAsia="zh-CN" w:bidi="ar-SA"/>
    </w:rPr>
  </w:style>
  <w:style w:type="character" w:customStyle="1" w:styleId="1ff2">
    <w:name w:val="正文文本 字符1"/>
    <w:qFormat/>
    <w:locked/>
    <w:rPr>
      <w:rFonts w:ascii="仿宋_GB2312" w:eastAsia="仿宋_GB2312"/>
      <w:sz w:val="28"/>
    </w:rPr>
  </w:style>
  <w:style w:type="character" w:customStyle="1" w:styleId="CharChar48">
    <w:name w:val="Char Char48"/>
    <w:qFormat/>
    <w:rPr>
      <w:sz w:val="28"/>
    </w:rPr>
  </w:style>
  <w:style w:type="character" w:customStyle="1" w:styleId="hd">
    <w:name w:val="hd"/>
    <w:qFormat/>
  </w:style>
  <w:style w:type="character" w:customStyle="1" w:styleId="CharCharCharCharChar10">
    <w:name w:val="Char Char Char Char Char1"/>
    <w:link w:val="CharCharChar40"/>
    <w:qFormat/>
    <w:locked/>
    <w:rPr>
      <w:sz w:val="24"/>
      <w:szCs w:val="24"/>
    </w:rPr>
  </w:style>
  <w:style w:type="paragraph" w:customStyle="1" w:styleId="CharCharChar40">
    <w:name w:val="Char Char Char4"/>
    <w:basedOn w:val="a"/>
    <w:link w:val="CharCharCharCharChar10"/>
    <w:qFormat/>
    <w:rPr>
      <w:sz w:val="24"/>
      <w:szCs w:val="24"/>
    </w:rPr>
  </w:style>
  <w:style w:type="character" w:customStyle="1" w:styleId="CharChar122">
    <w:name w:val="Char Char122"/>
    <w:qFormat/>
    <w:rPr>
      <w:sz w:val="18"/>
      <w:szCs w:val="18"/>
    </w:rPr>
  </w:style>
  <w:style w:type="character" w:customStyle="1" w:styleId="313">
    <w:name w:val="正文文本缩进 3 字符1"/>
    <w:qFormat/>
    <w:locked/>
    <w:rPr>
      <w:rFonts w:ascii="宋体" w:hAnsi="宋体"/>
      <w:sz w:val="24"/>
    </w:rPr>
  </w:style>
  <w:style w:type="character" w:customStyle="1" w:styleId="CharChar75">
    <w:name w:val="Char Char75"/>
    <w:qFormat/>
    <w:rPr>
      <w:rFonts w:ascii="Arial" w:eastAsia="宋体" w:hAnsi="Arial" w:cs="Arial"/>
      <w:b/>
      <w:bCs/>
      <w:kern w:val="2"/>
      <w:sz w:val="32"/>
      <w:szCs w:val="32"/>
      <w:lang w:val="en-US" w:eastAsia="zh-CN" w:bidi="ar-SA"/>
    </w:rPr>
  </w:style>
  <w:style w:type="character" w:customStyle="1" w:styleId="Charfff4">
    <w:name w:val="单学凯环表头 Char"/>
    <w:link w:val="afffffff6"/>
    <w:qFormat/>
    <w:rPr>
      <w:rFonts w:ascii="宋体" w:hAnsi="宋体"/>
      <w:b/>
      <w:bCs/>
      <w:color w:val="000000"/>
      <w:sz w:val="24"/>
      <w:szCs w:val="24"/>
    </w:rPr>
  </w:style>
  <w:style w:type="paragraph" w:customStyle="1" w:styleId="afffffff6">
    <w:name w:val="单学凯环表头"/>
    <w:basedOn w:val="a"/>
    <w:link w:val="Charfff4"/>
    <w:qFormat/>
    <w:pPr>
      <w:widowControl/>
      <w:tabs>
        <w:tab w:val="left" w:pos="-1008"/>
        <w:tab w:val="left" w:pos="4873"/>
      </w:tabs>
      <w:adjustRightInd w:val="0"/>
      <w:jc w:val="center"/>
      <w:textAlignment w:val="baseline"/>
    </w:pPr>
    <w:rPr>
      <w:rFonts w:ascii="宋体" w:hAnsi="宋体"/>
      <w:b/>
      <w:bCs/>
      <w:color w:val="000000"/>
      <w:sz w:val="24"/>
      <w:szCs w:val="24"/>
    </w:rPr>
  </w:style>
  <w:style w:type="character" w:customStyle="1" w:styleId="hhcwt4CharChar">
    <w:name w:val="hhcwt标题4 Char Char"/>
    <w:link w:val="hhcwt4"/>
    <w:qFormat/>
    <w:rPr>
      <w:b/>
      <w:bCs/>
      <w:kern w:val="44"/>
      <w:sz w:val="24"/>
    </w:rPr>
  </w:style>
  <w:style w:type="paragraph" w:customStyle="1" w:styleId="hhcwt4">
    <w:name w:val="hhcwt标题4"/>
    <w:basedOn w:val="1"/>
    <w:link w:val="hhcwt4CharChar"/>
    <w:qFormat/>
    <w:pPr>
      <w:keepNext/>
      <w:keepLines/>
      <w:tabs>
        <w:tab w:val="left" w:pos="425"/>
      </w:tabs>
      <w:spacing w:before="0" w:line="360" w:lineRule="auto"/>
      <w:ind w:left="0"/>
      <w:jc w:val="both"/>
      <w:outlineLvl w:val="3"/>
    </w:pPr>
    <w:rPr>
      <w:rFonts w:asciiTheme="minorHAnsi" w:eastAsiaTheme="minorEastAsia" w:hAnsiTheme="minorHAnsi"/>
      <w:kern w:val="44"/>
      <w:sz w:val="24"/>
      <w:szCs w:val="22"/>
      <w:lang w:eastAsia="zh-CN"/>
    </w:rPr>
  </w:style>
  <w:style w:type="character" w:customStyle="1" w:styleId="21Char0">
    <w:name w:val="正文文字 21 Char"/>
    <w:qFormat/>
    <w:rPr>
      <w:rFonts w:ascii="仿宋_GB2312" w:eastAsia="仿宋_GB2312" w:cs="Times New Roman"/>
      <w:b/>
      <w:color w:val="000000"/>
      <w:sz w:val="28"/>
    </w:rPr>
  </w:style>
  <w:style w:type="character" w:customStyle="1" w:styleId="CharCharf5">
    <w:name w:val="Char Char"/>
    <w:qFormat/>
    <w:rPr>
      <w:rFonts w:eastAsia="宋体"/>
      <w:kern w:val="2"/>
      <w:sz w:val="21"/>
      <w:szCs w:val="24"/>
      <w:lang w:val="en-US" w:eastAsia="zh-CN" w:bidi="ar-SA"/>
    </w:rPr>
  </w:style>
  <w:style w:type="character" w:customStyle="1" w:styleId="2CharChar11">
    <w:name w:val="正文首行缩进2字符 Char Char1"/>
    <w:qFormat/>
    <w:rPr>
      <w:rFonts w:eastAsia="宋体"/>
      <w:kern w:val="2"/>
      <w:sz w:val="28"/>
      <w:lang w:val="en-US" w:eastAsia="zh-CN" w:bidi="ar-SA"/>
    </w:rPr>
  </w:style>
  <w:style w:type="character" w:customStyle="1" w:styleId="entity">
    <w:name w:val="entity"/>
    <w:qFormat/>
    <w:rPr>
      <w:rFonts w:cs="Times New Roman"/>
    </w:rPr>
  </w:style>
  <w:style w:type="character" w:customStyle="1" w:styleId="btChar2">
    <w:name w:val="bt Char2"/>
    <w:qFormat/>
    <w:rPr>
      <w:rFonts w:ascii="宋体" w:eastAsia="宋体" w:hAnsi="宋体"/>
      <w:kern w:val="2"/>
      <w:sz w:val="24"/>
      <w:lang w:val="en-US" w:eastAsia="zh-CN" w:bidi="ar-SA"/>
    </w:rPr>
  </w:style>
  <w:style w:type="character" w:customStyle="1" w:styleId="ssCharChar">
    <w:name w:val="正文四号ss Char Char"/>
    <w:link w:val="ss"/>
    <w:qFormat/>
    <w:locked/>
    <w:rPr>
      <w:rFonts w:ascii="宋体" w:hAnsi="宋体"/>
      <w:sz w:val="28"/>
      <w:szCs w:val="28"/>
    </w:rPr>
  </w:style>
  <w:style w:type="paragraph" w:customStyle="1" w:styleId="ss">
    <w:name w:val="正文四号ss"/>
    <w:basedOn w:val="a"/>
    <w:next w:val="a"/>
    <w:link w:val="ssCharChar"/>
    <w:qFormat/>
    <w:pPr>
      <w:spacing w:line="500" w:lineRule="exact"/>
      <w:ind w:firstLineChars="200" w:firstLine="200"/>
    </w:pPr>
    <w:rPr>
      <w:rFonts w:ascii="宋体" w:hAnsi="宋体"/>
      <w:sz w:val="28"/>
      <w:szCs w:val="28"/>
    </w:rPr>
  </w:style>
  <w:style w:type="character" w:customStyle="1" w:styleId="indetail1">
    <w:name w:val="indetail1"/>
    <w:qFormat/>
    <w:rPr>
      <w:rFonts w:cs="Times New Roman"/>
      <w:sz w:val="18"/>
      <w:szCs w:val="18"/>
      <w:bdr w:val="single" w:sz="6" w:space="0" w:color="E2E2E2"/>
    </w:rPr>
  </w:style>
  <w:style w:type="character" w:customStyle="1" w:styleId="redfont">
    <w:name w:val="redfont"/>
    <w:semiHidden/>
    <w:qFormat/>
    <w:rPr>
      <w:rFonts w:ascii="宋体" w:eastAsia="黑体" w:hAnsi="宋体" w:cs="宋体"/>
      <w:kern w:val="2"/>
      <w:sz w:val="28"/>
      <w:szCs w:val="24"/>
      <w:lang w:val="en-US" w:eastAsia="zh-CN" w:bidi="ar-SA"/>
    </w:rPr>
  </w:style>
  <w:style w:type="character" w:customStyle="1" w:styleId="CharChar45">
    <w:name w:val="Char Char45"/>
    <w:qFormat/>
    <w:rPr>
      <w:b/>
      <w:bCs/>
      <w:kern w:val="2"/>
      <w:sz w:val="24"/>
      <w:szCs w:val="24"/>
    </w:rPr>
  </w:style>
  <w:style w:type="character" w:customStyle="1" w:styleId="font201">
    <w:name w:val="font201"/>
    <w:qFormat/>
    <w:rPr>
      <w:rFonts w:ascii="宋体" w:eastAsia="宋体" w:hAnsi="宋体" w:hint="eastAsia"/>
      <w:kern w:val="2"/>
      <w:sz w:val="21"/>
      <w:szCs w:val="21"/>
      <w:lang w:val="en-US" w:eastAsia="zh-CN" w:bidi="ar-SA"/>
    </w:rPr>
  </w:style>
  <w:style w:type="character" w:customStyle="1" w:styleId="HTML21">
    <w:name w:val="HTML 代码2"/>
    <w:qFormat/>
    <w:rPr>
      <w:rFonts w:ascii="黑体" w:eastAsia="黑体" w:hAnsi="Courier New" w:cs="Courier New" w:hint="eastAsia"/>
      <w:sz w:val="24"/>
      <w:szCs w:val="24"/>
    </w:rPr>
  </w:style>
  <w:style w:type="character" w:customStyle="1" w:styleId="15CharChar">
    <w:name w:val="文本框五号1.5倍行距 Char Char"/>
    <w:semiHidden/>
    <w:qFormat/>
    <w:rPr>
      <w:rFonts w:ascii="宋体" w:eastAsia="仿宋_GB2312" w:hAnsi="宋体" w:cs="Courier New"/>
      <w:kern w:val="2"/>
      <w:sz w:val="21"/>
      <w:szCs w:val="21"/>
      <w:lang w:val="en-US" w:eastAsia="zh-CN" w:bidi="ar-SA"/>
    </w:rPr>
  </w:style>
  <w:style w:type="character" w:customStyle="1" w:styleId="head121">
    <w:name w:val="head121"/>
    <w:qFormat/>
    <w:rPr>
      <w:sz w:val="22"/>
      <w:szCs w:val="22"/>
    </w:rPr>
  </w:style>
  <w:style w:type="character" w:customStyle="1" w:styleId="1Char30">
    <w:name w:val="标题 1 Char3"/>
    <w:qFormat/>
    <w:rPr>
      <w:rFonts w:ascii="宋体" w:eastAsia="宋体" w:hAnsi="Courier New"/>
      <w:b/>
      <w:kern w:val="44"/>
      <w:sz w:val="44"/>
      <w:lang w:val="en-US" w:eastAsia="zh-CN" w:bidi="ar-SA"/>
    </w:rPr>
  </w:style>
  <w:style w:type="character" w:customStyle="1" w:styleId="style3">
    <w:name w:val="style3"/>
    <w:qFormat/>
    <w:rPr>
      <w:rFonts w:cs="Times New Roman"/>
    </w:rPr>
  </w:style>
  <w:style w:type="character" w:customStyle="1" w:styleId="c121">
    <w:name w:val="c121"/>
    <w:qFormat/>
    <w:rPr>
      <w:color w:val="666666"/>
      <w:sz w:val="18"/>
      <w:szCs w:val="18"/>
      <w:u w:val="none"/>
    </w:rPr>
  </w:style>
  <w:style w:type="character" w:customStyle="1" w:styleId="CharCharf6">
    <w:name w:val="正文(首行缩进)宋旭峰 Char Char"/>
    <w:link w:val="afffffff7"/>
    <w:qFormat/>
    <w:rPr>
      <w:sz w:val="24"/>
      <w:szCs w:val="24"/>
    </w:rPr>
  </w:style>
  <w:style w:type="paragraph" w:customStyle="1" w:styleId="afffffff7">
    <w:name w:val="正文(首行缩进)宋旭峰"/>
    <w:basedOn w:val="a0"/>
    <w:link w:val="CharCharf6"/>
    <w:qFormat/>
    <w:pPr>
      <w:spacing w:beforeLines="50" w:before="120" w:afterLines="50" w:after="120" w:line="360" w:lineRule="auto"/>
      <w:ind w:firstLineChars="200" w:firstLine="440"/>
      <w:contextualSpacing/>
      <w:jc w:val="both"/>
    </w:pPr>
    <w:rPr>
      <w:rFonts w:asciiTheme="minorHAnsi" w:eastAsiaTheme="minorEastAsia" w:hAnsiTheme="minorHAnsi" w:cstheme="minorBidi"/>
      <w:b w:val="0"/>
      <w:bCs w:val="0"/>
      <w:szCs w:val="24"/>
    </w:rPr>
  </w:style>
  <w:style w:type="character" w:customStyle="1" w:styleId="CharChar40">
    <w:name w:val="Char Char40"/>
    <w:qFormat/>
    <w:rPr>
      <w:rFonts w:ascii="仿宋_GB2312" w:eastAsia="仿宋_GB2312" w:hint="eastAsia"/>
      <w:sz w:val="28"/>
      <w:lang w:val="en-US" w:eastAsia="zh-CN" w:bidi="ar-SA"/>
    </w:rPr>
  </w:style>
  <w:style w:type="character" w:customStyle="1" w:styleId="1CharChar">
    <w:name w:val="正文文字缩进1 Char Char"/>
    <w:qFormat/>
    <w:rPr>
      <w:kern w:val="2"/>
      <w:sz w:val="32"/>
      <w:szCs w:val="24"/>
    </w:rPr>
  </w:style>
  <w:style w:type="character" w:customStyle="1" w:styleId="110">
    <w:name w:val="不明显强调11"/>
    <w:qFormat/>
    <w:rPr>
      <w:i/>
      <w:color w:val="595959"/>
    </w:rPr>
  </w:style>
  <w:style w:type="character" w:customStyle="1" w:styleId="3Char0">
    <w:name w:val="报告标题3 Char"/>
    <w:link w:val="3f8"/>
    <w:qFormat/>
    <w:rPr>
      <w:b/>
      <w:bCs/>
      <w:color w:val="000000"/>
      <w:sz w:val="28"/>
      <w:szCs w:val="28"/>
    </w:rPr>
  </w:style>
  <w:style w:type="paragraph" w:customStyle="1" w:styleId="3f8">
    <w:name w:val="报告标题3"/>
    <w:basedOn w:val="3"/>
    <w:link w:val="3Char0"/>
    <w:qFormat/>
    <w:pPr>
      <w:widowControl w:val="0"/>
      <w:tabs>
        <w:tab w:val="left" w:pos="1418"/>
      </w:tabs>
      <w:spacing w:before="60" w:after="60" w:line="360" w:lineRule="auto"/>
    </w:pPr>
    <w:rPr>
      <w:rFonts w:asciiTheme="minorHAnsi" w:eastAsiaTheme="minorEastAsia" w:hAnsiTheme="minorHAnsi" w:cstheme="minorBidi"/>
      <w:color w:val="000000"/>
      <w:kern w:val="2"/>
      <w:sz w:val="28"/>
      <w:szCs w:val="28"/>
    </w:rPr>
  </w:style>
  <w:style w:type="character" w:customStyle="1" w:styleId="CharCharf7">
    <w:name w:val="环评正文文字缩进（江东模板） Char Char"/>
    <w:qFormat/>
    <w:rPr>
      <w:rFonts w:ascii="宋体" w:eastAsia="宋体" w:hAnsi="宋体"/>
      <w:kern w:val="2"/>
      <w:sz w:val="16"/>
      <w:szCs w:val="16"/>
      <w:lang w:val="en-US" w:eastAsia="zh-CN" w:bidi="ar-SA"/>
    </w:rPr>
  </w:style>
  <w:style w:type="character" w:customStyle="1" w:styleId="unnamed2">
    <w:name w:val="unnamed2"/>
    <w:qFormat/>
  </w:style>
  <w:style w:type="character" w:customStyle="1" w:styleId="3Char2">
    <w:name w:val="标题 3 Char"/>
    <w:qFormat/>
    <w:rPr>
      <w:rFonts w:eastAsia="宋体"/>
      <w:sz w:val="28"/>
      <w:lang w:val="en-US" w:eastAsia="zh-CN" w:bidi="ar-SA"/>
    </w:rPr>
  </w:style>
  <w:style w:type="character" w:customStyle="1" w:styleId="CharCharf8">
    <w:name w:val="黑体标题 Char Char"/>
    <w:qFormat/>
    <w:rPr>
      <w:rFonts w:ascii="宋体" w:eastAsia="宋体" w:hAnsi="宋体"/>
      <w:b/>
      <w:spacing w:val="10"/>
      <w:kern w:val="2"/>
      <w:sz w:val="28"/>
      <w:szCs w:val="18"/>
      <w:lang w:val="en-US" w:eastAsia="zh-CN" w:bidi="ar-SA"/>
    </w:rPr>
  </w:style>
  <w:style w:type="character" w:customStyle="1" w:styleId="Char4CharChar2">
    <w:name w:val="Char4 Char Char2"/>
    <w:qFormat/>
    <w:rPr>
      <w:rFonts w:ascii="宋体" w:eastAsia="宋体" w:hAnsi="宋体" w:hint="eastAsia"/>
      <w:kern w:val="2"/>
      <w:sz w:val="18"/>
      <w:szCs w:val="18"/>
      <w:lang w:val="en-US" w:eastAsia="zh-CN" w:bidi="ar-SA"/>
    </w:rPr>
  </w:style>
  <w:style w:type="character" w:customStyle="1" w:styleId="CharChar214">
    <w:name w:val="Char Char214"/>
    <w:qFormat/>
    <w:rPr>
      <w:rFonts w:eastAsia="宋体"/>
      <w:sz w:val="18"/>
      <w:lang w:val="en-US" w:eastAsia="zh-CN" w:bidi="ar-SA"/>
    </w:rPr>
  </w:style>
  <w:style w:type="character" w:customStyle="1" w:styleId="sdi8io">
    <w:name w:val="sdi8io"/>
    <w:qFormat/>
  </w:style>
  <w:style w:type="character" w:customStyle="1" w:styleId="subtitle1">
    <w:name w:val="sub_title1"/>
    <w:qFormat/>
    <w:rPr>
      <w:rFonts w:hint="default"/>
      <w:color w:val="FF6600"/>
      <w:sz w:val="21"/>
      <w:szCs w:val="21"/>
    </w:rPr>
  </w:style>
  <w:style w:type="character" w:customStyle="1" w:styleId="CharChar310">
    <w:name w:val="Char Char310"/>
    <w:qFormat/>
    <w:rPr>
      <w:rFonts w:ascii="Arial" w:eastAsia="宋体" w:hAnsi="Arial" w:cs="Arial"/>
      <w:b/>
      <w:bCs/>
      <w:kern w:val="2"/>
      <w:sz w:val="32"/>
      <w:szCs w:val="32"/>
      <w:lang w:val="en-US" w:eastAsia="zh-CN" w:bidi="ar-SA"/>
    </w:rPr>
  </w:style>
  <w:style w:type="character" w:customStyle="1" w:styleId="title41">
    <w:name w:val="title41"/>
    <w:qFormat/>
    <w:rPr>
      <w:rFonts w:ascii="宋体" w:eastAsia="宋体" w:hAnsi="宋体" w:hint="eastAsia"/>
      <w:color w:val="194F95"/>
      <w:sz w:val="23"/>
      <w:szCs w:val="23"/>
    </w:rPr>
  </w:style>
  <w:style w:type="character" w:customStyle="1" w:styleId="CharChar241">
    <w:name w:val="Char Char241"/>
    <w:qFormat/>
    <w:rPr>
      <w:rFonts w:eastAsia="宋体"/>
      <w:sz w:val="18"/>
      <w:lang w:val="en-US" w:eastAsia="zh-CN" w:bidi="ar-SA"/>
    </w:rPr>
  </w:style>
  <w:style w:type="character" w:customStyle="1" w:styleId="CharChar312">
    <w:name w:val="Char Char312"/>
    <w:qFormat/>
    <w:rPr>
      <w:rFonts w:ascii="Arial" w:eastAsia="宋体" w:hAnsi="Arial" w:cs="Arial"/>
      <w:b/>
      <w:bCs/>
      <w:kern w:val="2"/>
      <w:sz w:val="32"/>
      <w:szCs w:val="32"/>
      <w:lang w:val="en-US" w:eastAsia="zh-CN" w:bidi="ar-SA"/>
    </w:rPr>
  </w:style>
  <w:style w:type="character" w:customStyle="1" w:styleId="Char19">
    <w:name w:val="标题 Char1"/>
    <w:qFormat/>
    <w:rPr>
      <w:rFonts w:ascii="Arial" w:eastAsia="宋体" w:hAnsi="Arial" w:cs="Arial"/>
      <w:b/>
      <w:bCs/>
      <w:sz w:val="32"/>
      <w:szCs w:val="32"/>
      <w:lang w:val="en-US" w:eastAsia="zh-CN" w:bidi="ar-SA"/>
    </w:rPr>
  </w:style>
  <w:style w:type="character" w:customStyle="1" w:styleId="common1">
    <w:name w:val="common1"/>
    <w:qFormat/>
    <w:rPr>
      <w:rFonts w:ascii="黑体" w:eastAsia="黑体" w:hAnsi="黑体"/>
      <w:b/>
      <w:spacing w:val="10"/>
      <w:kern w:val="44"/>
      <w:sz w:val="18"/>
      <w:szCs w:val="18"/>
      <w:lang w:val="en-US" w:eastAsia="zh-CN"/>
    </w:rPr>
  </w:style>
  <w:style w:type="character" w:customStyle="1" w:styleId="1Char8">
    <w:name w:val="标题1新 Char"/>
    <w:link w:val="1ff3"/>
    <w:qFormat/>
    <w:rPr>
      <w:rFonts w:eastAsia="黑体"/>
      <w:sz w:val="32"/>
      <w:szCs w:val="24"/>
    </w:rPr>
  </w:style>
  <w:style w:type="paragraph" w:customStyle="1" w:styleId="1ff3">
    <w:name w:val="标题1新"/>
    <w:basedOn w:val="a"/>
    <w:link w:val="1Char8"/>
    <w:qFormat/>
    <w:pPr>
      <w:spacing w:line="900" w:lineRule="exact"/>
      <w:jc w:val="center"/>
      <w:outlineLvl w:val="0"/>
    </w:pPr>
    <w:rPr>
      <w:rFonts w:eastAsia="黑体"/>
      <w:sz w:val="32"/>
      <w:szCs w:val="24"/>
    </w:rPr>
  </w:style>
  <w:style w:type="character" w:customStyle="1" w:styleId="xCharChar">
    <w:name w:val="x文 Char Char"/>
    <w:link w:val="x"/>
    <w:qFormat/>
    <w:rPr>
      <w:rFonts w:ascii="宋体" w:hAnsi="宋体"/>
      <w:sz w:val="24"/>
      <w:szCs w:val="24"/>
    </w:rPr>
  </w:style>
  <w:style w:type="paragraph" w:customStyle="1" w:styleId="x">
    <w:name w:val="x文"/>
    <w:basedOn w:val="a"/>
    <w:link w:val="xCharChar"/>
    <w:qFormat/>
    <w:pPr>
      <w:spacing w:line="360" w:lineRule="auto"/>
      <w:ind w:firstLineChars="200" w:firstLine="480"/>
    </w:pPr>
    <w:rPr>
      <w:rFonts w:ascii="宋体" w:hAnsi="宋体"/>
      <w:sz w:val="24"/>
      <w:szCs w:val="24"/>
    </w:rPr>
  </w:style>
  <w:style w:type="character" w:customStyle="1" w:styleId="at8">
    <w:name w:val="at_8"/>
    <w:qFormat/>
  </w:style>
  <w:style w:type="character" w:customStyle="1" w:styleId="c2CharChar">
    <w:name w:val="c2 Char Char"/>
    <w:link w:val="c2"/>
    <w:qFormat/>
    <w:rPr>
      <w:rFonts w:ascii="宋体" w:hAnsi="宋体" w:cs="黑体"/>
      <w:b/>
      <w:color w:val="000000"/>
      <w:sz w:val="28"/>
      <w:szCs w:val="32"/>
      <w:lang w:val="zh-CN"/>
    </w:rPr>
  </w:style>
  <w:style w:type="paragraph" w:customStyle="1" w:styleId="c2">
    <w:name w:val="c2"/>
    <w:basedOn w:val="a"/>
    <w:link w:val="c2CharChar"/>
    <w:qFormat/>
    <w:pPr>
      <w:widowControl/>
      <w:adjustRightInd w:val="0"/>
      <w:spacing w:beforeLines="50" w:before="156" w:afterLines="50" w:after="156" w:line="360" w:lineRule="auto"/>
      <w:ind w:left="335"/>
      <w:jc w:val="left"/>
      <w:outlineLvl w:val="1"/>
    </w:pPr>
    <w:rPr>
      <w:rFonts w:ascii="宋体" w:hAnsi="宋体" w:cs="黑体"/>
      <w:b/>
      <w:color w:val="000000"/>
      <w:sz w:val="28"/>
      <w:szCs w:val="32"/>
      <w:lang w:val="zh-CN"/>
    </w:rPr>
  </w:style>
  <w:style w:type="character" w:customStyle="1" w:styleId="CharChar163">
    <w:name w:val="Char Char163"/>
    <w:qFormat/>
    <w:rPr>
      <w:rFonts w:ascii="仿宋_GB2312" w:eastAsia="仿宋_GB2312" w:hint="eastAsia"/>
      <w:kern w:val="2"/>
      <w:sz w:val="28"/>
      <w:szCs w:val="21"/>
      <w:lang w:val="en-US" w:eastAsia="zh-CN" w:bidi="ar-SA"/>
    </w:rPr>
  </w:style>
  <w:style w:type="character" w:customStyle="1" w:styleId="CharChar82">
    <w:name w:val="Char Char82"/>
    <w:qFormat/>
    <w:rPr>
      <w:rFonts w:ascii="黑体" w:eastAsia="黑体"/>
      <w:b/>
      <w:bCs/>
      <w:sz w:val="28"/>
      <w:szCs w:val="28"/>
      <w:lang w:val="en-US" w:eastAsia="zh-CN" w:bidi="ar-SA"/>
    </w:rPr>
  </w:style>
  <w:style w:type="character" w:customStyle="1" w:styleId="HTML13">
    <w:name w:val="HTML 代码1"/>
    <w:qFormat/>
    <w:rPr>
      <w:rFonts w:ascii="黑体" w:eastAsia="黑体" w:hAnsi="Courier New"/>
      <w:sz w:val="24"/>
    </w:rPr>
  </w:style>
  <w:style w:type="character" w:customStyle="1" w:styleId="sub42">
    <w:name w:val="sub42"/>
    <w:qFormat/>
  </w:style>
  <w:style w:type="character" w:customStyle="1" w:styleId="Charfff5">
    <w:name w:val="正文样式 Char"/>
    <w:link w:val="afffffff8"/>
    <w:qFormat/>
    <w:rPr>
      <w:rFonts w:ascii="宋体" w:hAnsi="宋体"/>
      <w:color w:val="000000"/>
      <w:sz w:val="24"/>
      <w:szCs w:val="24"/>
    </w:rPr>
  </w:style>
  <w:style w:type="paragraph" w:customStyle="1" w:styleId="afffffff8">
    <w:name w:val="正文样式"/>
    <w:basedOn w:val="a"/>
    <w:link w:val="Charfff5"/>
    <w:qFormat/>
    <w:pPr>
      <w:spacing w:line="360" w:lineRule="auto"/>
      <w:ind w:firstLineChars="200" w:firstLine="480"/>
    </w:pPr>
    <w:rPr>
      <w:rFonts w:ascii="宋体" w:hAnsi="宋体"/>
      <w:color w:val="000000"/>
      <w:sz w:val="24"/>
      <w:szCs w:val="24"/>
    </w:rPr>
  </w:style>
  <w:style w:type="character" w:customStyle="1" w:styleId="z-">
    <w:name w:val="z-窗体顶端 字符"/>
    <w:link w:val="z-11"/>
    <w:qFormat/>
    <w:rPr>
      <w:rFonts w:ascii="Arial" w:eastAsia="仿宋_GB2312" w:hAnsi="Arial"/>
      <w:vanish/>
      <w:sz w:val="16"/>
      <w:szCs w:val="16"/>
    </w:rPr>
  </w:style>
  <w:style w:type="paragraph" w:customStyle="1" w:styleId="z-11">
    <w:name w:val="z-窗体顶端1"/>
    <w:basedOn w:val="a"/>
    <w:next w:val="a"/>
    <w:link w:val="z-"/>
    <w:qFormat/>
    <w:pPr>
      <w:pBdr>
        <w:bottom w:val="single" w:sz="6" w:space="1" w:color="auto"/>
      </w:pBdr>
      <w:adjustRightInd w:val="0"/>
      <w:snapToGrid w:val="0"/>
      <w:spacing w:line="300" w:lineRule="auto"/>
      <w:jc w:val="center"/>
    </w:pPr>
    <w:rPr>
      <w:rFonts w:ascii="Arial" w:eastAsia="仿宋_GB2312" w:hAnsi="Arial"/>
      <w:vanish/>
      <w:sz w:val="16"/>
      <w:szCs w:val="16"/>
    </w:rPr>
  </w:style>
  <w:style w:type="character" w:customStyle="1" w:styleId="s0s4w">
    <w:name w:val="s0s4w"/>
    <w:qFormat/>
  </w:style>
  <w:style w:type="character" w:customStyle="1" w:styleId="z-Char1">
    <w:name w:val="z-窗体底端 Char1"/>
    <w:uiPriority w:val="99"/>
    <w:semiHidden/>
    <w:qFormat/>
    <w:rPr>
      <w:rFonts w:ascii="Arial" w:hAnsi="Arial" w:cs="Arial"/>
      <w:vanish/>
      <w:kern w:val="2"/>
      <w:sz w:val="16"/>
      <w:szCs w:val="16"/>
    </w:rPr>
  </w:style>
  <w:style w:type="character" w:customStyle="1" w:styleId="td21">
    <w:name w:val="td21"/>
    <w:qFormat/>
    <w:rPr>
      <w:sz w:val="21"/>
      <w:szCs w:val="21"/>
      <w:u w:val="none"/>
    </w:rPr>
  </w:style>
  <w:style w:type="character" w:customStyle="1" w:styleId="text0">
    <w:name w:val="text0"/>
    <w:qFormat/>
  </w:style>
  <w:style w:type="character" w:customStyle="1" w:styleId="text1">
    <w:name w:val="text1"/>
    <w:qFormat/>
    <w:rPr>
      <w:rFonts w:ascii="宋体" w:eastAsia="宋体" w:hAnsi="宋体" w:hint="eastAsia"/>
      <w:sz w:val="18"/>
      <w:szCs w:val="18"/>
    </w:rPr>
  </w:style>
  <w:style w:type="character" w:customStyle="1" w:styleId="2Char0">
    <w:name w:val="首2页项目名称 Char"/>
    <w:link w:val="2ff9"/>
    <w:qFormat/>
    <w:rPr>
      <w:rFonts w:ascii="楷体" w:eastAsia="楷体" w:hAnsi="楷体"/>
      <w:sz w:val="44"/>
      <w:szCs w:val="44"/>
    </w:rPr>
  </w:style>
  <w:style w:type="paragraph" w:customStyle="1" w:styleId="2ff9">
    <w:name w:val="首2页项目名称"/>
    <w:basedOn w:val="affffff3"/>
    <w:link w:val="2Char0"/>
    <w:qFormat/>
    <w:pPr>
      <w:spacing w:line="800" w:lineRule="exact"/>
    </w:pPr>
    <w:rPr>
      <w:rFonts w:ascii="楷体" w:eastAsia="楷体" w:hAnsi="楷体"/>
      <w:sz w:val="44"/>
      <w:szCs w:val="44"/>
    </w:rPr>
  </w:style>
  <w:style w:type="character" w:customStyle="1" w:styleId="10f">
    <w:name w:val="10f"/>
    <w:qFormat/>
  </w:style>
  <w:style w:type="character" w:customStyle="1" w:styleId="paragragh1">
    <w:name w:val="paragragh1"/>
    <w:qFormat/>
    <w:rPr>
      <w:rFonts w:cs="Times New Roman"/>
      <w:color w:val="004040"/>
      <w:spacing w:val="300"/>
      <w:sz w:val="21"/>
      <w:szCs w:val="21"/>
    </w:rPr>
  </w:style>
  <w:style w:type="character" w:customStyle="1" w:styleId="ldh14-01">
    <w:name w:val="ldh14-01"/>
    <w:qFormat/>
    <w:rPr>
      <w:b/>
      <w:bCs/>
      <w:color w:val="FFFFFF"/>
      <w:sz w:val="18"/>
      <w:szCs w:val="18"/>
    </w:rPr>
  </w:style>
  <w:style w:type="character" w:customStyle="1" w:styleId="redb1">
    <w:name w:val="redb1"/>
    <w:qFormat/>
    <w:rPr>
      <w:b/>
      <w:bCs/>
      <w:color w:val="B40000"/>
      <w:sz w:val="21"/>
      <w:szCs w:val="21"/>
      <w:u w:val="none"/>
    </w:rPr>
  </w:style>
  <w:style w:type="character" w:customStyle="1" w:styleId="Charfff6">
    <w:name w:val="环正文 Char"/>
    <w:qFormat/>
    <w:rPr>
      <w:rFonts w:ascii="宋体" w:eastAsia="宋体" w:hAnsi="Courier New" w:cs="Times New Roman"/>
      <w:kern w:val="2"/>
      <w:sz w:val="24"/>
      <w:lang w:val="en-US" w:eastAsia="zh-CN" w:bidi="ar-SA"/>
    </w:rPr>
  </w:style>
  <w:style w:type="character" w:customStyle="1" w:styleId="artiword1">
    <w:name w:val="artiword1"/>
    <w:qFormat/>
    <w:rPr>
      <w:rFonts w:ascii="??" w:hAnsi="??" w:hint="default"/>
      <w:color w:val="333333"/>
      <w:sz w:val="21"/>
      <w:szCs w:val="21"/>
      <w:u w:val="none"/>
    </w:rPr>
  </w:style>
  <w:style w:type="character" w:customStyle="1" w:styleId="Char1a">
    <w:name w:val="副标题 Char1"/>
    <w:qFormat/>
    <w:rPr>
      <w:rFonts w:ascii="Cambria" w:eastAsia="宋体" w:hAnsi="Cambria" w:cs="Times New Roman"/>
      <w:b/>
      <w:bCs/>
      <w:kern w:val="28"/>
      <w:sz w:val="32"/>
      <w:szCs w:val="32"/>
    </w:rPr>
  </w:style>
  <w:style w:type="character" w:customStyle="1" w:styleId="value2">
    <w:name w:val="value2"/>
    <w:basedOn w:val="a1"/>
    <w:qFormat/>
  </w:style>
  <w:style w:type="character" w:customStyle="1" w:styleId="CharChar125">
    <w:name w:val="Char Char125"/>
    <w:qFormat/>
    <w:locked/>
    <w:rPr>
      <w:rFonts w:eastAsia="宋体"/>
      <w:sz w:val="24"/>
      <w:lang w:val="en-US" w:eastAsia="zh-CN" w:bidi="ar-SA"/>
    </w:rPr>
  </w:style>
  <w:style w:type="character" w:customStyle="1" w:styleId="txt1501">
    <w:name w:val="txt1501"/>
    <w:qFormat/>
  </w:style>
  <w:style w:type="character" w:customStyle="1" w:styleId="25Char">
    <w:name w:val="报告正文（25磅固定段落） Char"/>
    <w:link w:val="250"/>
    <w:qFormat/>
    <w:locked/>
    <w:rPr>
      <w:rFonts w:ascii="宋体" w:eastAsia="宋体" w:hAnsi="宋体"/>
      <w:sz w:val="28"/>
    </w:rPr>
  </w:style>
  <w:style w:type="paragraph" w:customStyle="1" w:styleId="250">
    <w:name w:val="报告正文（25磅固定段落）"/>
    <w:basedOn w:val="a0"/>
    <w:link w:val="25Char"/>
    <w:qFormat/>
    <w:pPr>
      <w:spacing w:before="0" w:after="0" w:line="500" w:lineRule="exact"/>
      <w:ind w:firstLineChars="200" w:firstLine="560"/>
      <w:jc w:val="both"/>
    </w:pPr>
    <w:rPr>
      <w:rFonts w:cstheme="minorBidi"/>
      <w:b w:val="0"/>
      <w:bCs w:val="0"/>
      <w:sz w:val="28"/>
    </w:rPr>
  </w:style>
  <w:style w:type="character" w:customStyle="1" w:styleId="sy7t">
    <w:name w:val="sy7t"/>
    <w:qFormat/>
  </w:style>
  <w:style w:type="character" w:customStyle="1" w:styleId="4Char2">
    <w:name w:val="标题 4 Char"/>
    <w:qFormat/>
    <w:rPr>
      <w:rFonts w:ascii="Arial" w:eastAsia="黑体" w:hAnsi="Arial"/>
      <w:b/>
      <w:bCs/>
      <w:sz w:val="28"/>
      <w:szCs w:val="28"/>
      <w:lang w:val="en-US" w:eastAsia="zh-CN" w:bidi="ar-SA"/>
    </w:rPr>
  </w:style>
  <w:style w:type="character" w:customStyle="1" w:styleId="tpccontent">
    <w:name w:val="tpc_content"/>
    <w:qFormat/>
    <w:rPr>
      <w:rFonts w:cs="Times New Roman"/>
    </w:rPr>
  </w:style>
  <w:style w:type="character" w:customStyle="1" w:styleId="mymain2">
    <w:name w:val="mymain2"/>
    <w:qFormat/>
    <w:rPr>
      <w:sz w:val="18"/>
      <w:szCs w:val="18"/>
    </w:rPr>
  </w:style>
  <w:style w:type="character" w:customStyle="1" w:styleId="text">
    <w:name w:val="text"/>
    <w:qFormat/>
    <w:rPr>
      <w:rFonts w:cs="Times New Roman"/>
    </w:rPr>
  </w:style>
  <w:style w:type="character" w:customStyle="1" w:styleId="Charfff7">
    <w:name w:val="小圈 Char"/>
    <w:link w:val="afffffff9"/>
    <w:qFormat/>
    <w:rPr>
      <w:rFonts w:ascii="宋体" w:hAnsi="宋体" w:cs="宋体"/>
      <w:sz w:val="28"/>
    </w:rPr>
  </w:style>
  <w:style w:type="paragraph" w:customStyle="1" w:styleId="afffffff9">
    <w:name w:val="小圈"/>
    <w:basedOn w:val="lulu"/>
    <w:link w:val="Charfff7"/>
    <w:qFormat/>
    <w:pPr>
      <w:tabs>
        <w:tab w:val="left" w:pos="567"/>
      </w:tabs>
      <w:ind w:firstLineChars="0" w:firstLine="400"/>
    </w:pPr>
    <w:rPr>
      <w:rFonts w:eastAsiaTheme="minorEastAsia"/>
    </w:rPr>
  </w:style>
  <w:style w:type="character" w:customStyle="1" w:styleId="topword">
    <w:name w:val="topword"/>
    <w:qFormat/>
  </w:style>
  <w:style w:type="character" w:customStyle="1" w:styleId="article1">
    <w:name w:val="article1"/>
    <w:qFormat/>
    <w:rPr>
      <w:color w:val="000000"/>
      <w:spacing w:val="600"/>
      <w:sz w:val="18"/>
      <w:szCs w:val="18"/>
    </w:rPr>
  </w:style>
  <w:style w:type="character" w:customStyle="1" w:styleId="s5y7c">
    <w:name w:val="s5y7c"/>
    <w:qFormat/>
  </w:style>
  <w:style w:type="character" w:customStyle="1" w:styleId="3Char13CharCharChar13CharChar1h3Char3ChaChar">
    <w:name w:val="样式 标题 3 Char1标题 3 Char Char Char1标题 3 Char Char1h3 Char3 Cha... Char"/>
    <w:link w:val="3Char13CharCharChar13CharChar1h3Char3Cha"/>
    <w:qFormat/>
    <w:rPr>
      <w:bCs/>
      <w:sz w:val="28"/>
      <w:szCs w:val="32"/>
    </w:rPr>
  </w:style>
  <w:style w:type="paragraph" w:customStyle="1" w:styleId="3Char13CharCharChar13CharChar1h3Char3Cha">
    <w:name w:val="样式 标题 3 Char1标题 3 Char Char Char1标题 3 Char Char1h3 Char3 Cha..."/>
    <w:basedOn w:val="3"/>
    <w:link w:val="3Char13CharCharChar13CharChar1h3Char3ChaChar"/>
    <w:qFormat/>
    <w:pPr>
      <w:widowControl w:val="0"/>
      <w:spacing w:before="240" w:after="240" w:line="240" w:lineRule="auto"/>
      <w:jc w:val="both"/>
    </w:pPr>
    <w:rPr>
      <w:rFonts w:asciiTheme="minorHAnsi" w:eastAsiaTheme="minorEastAsia" w:hAnsiTheme="minorHAnsi" w:cstheme="minorBidi"/>
      <w:b w:val="0"/>
      <w:kern w:val="2"/>
      <w:sz w:val="28"/>
    </w:rPr>
  </w:style>
  <w:style w:type="character" w:customStyle="1" w:styleId="large1">
    <w:name w:val="large1"/>
    <w:qFormat/>
    <w:rPr>
      <w:sz w:val="22"/>
      <w:szCs w:val="22"/>
    </w:rPr>
  </w:style>
  <w:style w:type="character" w:customStyle="1" w:styleId="FooterChar">
    <w:name w:val="Footer Char"/>
    <w:qFormat/>
    <w:locked/>
    <w:rPr>
      <w:rFonts w:ascii="Times New Roman" w:eastAsia="宋体" w:hAnsi="Times New Roman" w:cs="Times New Roman"/>
      <w:sz w:val="18"/>
      <w:szCs w:val="18"/>
    </w:rPr>
  </w:style>
  <w:style w:type="character" w:customStyle="1" w:styleId="Char26">
    <w:name w:val="第三层条 Char2"/>
    <w:qFormat/>
    <w:rPr>
      <w:rFonts w:ascii="Arial" w:eastAsia="黑体" w:hAnsi="Arial"/>
      <w:b/>
      <w:bCs/>
      <w:sz w:val="28"/>
      <w:szCs w:val="28"/>
      <w:lang w:val="en-US" w:eastAsia="zh-CN" w:bidi="ar-SA"/>
    </w:rPr>
  </w:style>
  <w:style w:type="character" w:customStyle="1" w:styleId="CharChar132">
    <w:name w:val="Char Char132"/>
    <w:qFormat/>
    <w:rPr>
      <w:rFonts w:ascii="仿宋_GB2312" w:eastAsia="仿宋_GB2312" w:hint="eastAsia"/>
      <w:kern w:val="2"/>
      <w:sz w:val="18"/>
      <w:szCs w:val="18"/>
      <w:lang w:val="en-US" w:eastAsia="zh-CN" w:bidi="ar-SA"/>
    </w:rPr>
  </w:style>
  <w:style w:type="character" w:customStyle="1" w:styleId="CharChar63">
    <w:name w:val="Char Char63"/>
    <w:qFormat/>
    <w:rPr>
      <w:rFonts w:eastAsia="宋体"/>
      <w:sz w:val="18"/>
      <w:szCs w:val="18"/>
      <w:lang w:val="en-US" w:eastAsia="zh-CN" w:bidi="ar-SA"/>
    </w:rPr>
  </w:style>
  <w:style w:type="character" w:customStyle="1" w:styleId="style321">
    <w:name w:val="style321"/>
    <w:qFormat/>
    <w:rPr>
      <w:color w:val="636466"/>
      <w:sz w:val="18"/>
      <w:szCs w:val="18"/>
    </w:rPr>
  </w:style>
  <w:style w:type="character" w:customStyle="1" w:styleId="Char1b">
    <w:name w:val="表蕊 Char1"/>
    <w:link w:val="afffffffa"/>
    <w:qFormat/>
    <w:rPr>
      <w:rFonts w:eastAsia="楷体_GB2312"/>
      <w:color w:val="000000"/>
      <w:spacing w:val="-10"/>
      <w:szCs w:val="21"/>
    </w:rPr>
  </w:style>
  <w:style w:type="paragraph" w:customStyle="1" w:styleId="afffffffa">
    <w:name w:val="表蕊"/>
    <w:basedOn w:val="a"/>
    <w:link w:val="Char1b"/>
    <w:qFormat/>
    <w:pPr>
      <w:adjustRightInd w:val="0"/>
      <w:spacing w:line="280" w:lineRule="atLeast"/>
      <w:jc w:val="left"/>
      <w:textAlignment w:val="baseline"/>
    </w:pPr>
    <w:rPr>
      <w:rFonts w:eastAsia="楷体_GB2312"/>
      <w:color w:val="000000"/>
      <w:spacing w:val="-10"/>
      <w:szCs w:val="21"/>
    </w:rPr>
  </w:style>
  <w:style w:type="character" w:customStyle="1" w:styleId="question-title2">
    <w:name w:val="question-title2"/>
    <w:basedOn w:val="a1"/>
    <w:qFormat/>
  </w:style>
  <w:style w:type="character" w:customStyle="1" w:styleId="afffffffb">
    <w:name w:val="样式 黑体 小四"/>
    <w:semiHidden/>
    <w:qFormat/>
    <w:rPr>
      <w:rFonts w:ascii="黑体" w:eastAsia="黑体" w:hAnsi="黑体"/>
      <w:sz w:val="24"/>
    </w:rPr>
  </w:style>
  <w:style w:type="character" w:customStyle="1" w:styleId="CharCharf9">
    <w:name w:val="表头文字 Char Char"/>
    <w:link w:val="Charfff8"/>
    <w:qFormat/>
    <w:rPr>
      <w:rFonts w:eastAsia="华文中宋"/>
      <w:b/>
      <w:sz w:val="24"/>
      <w:szCs w:val="24"/>
    </w:rPr>
  </w:style>
  <w:style w:type="paragraph" w:customStyle="1" w:styleId="Charfff8">
    <w:name w:val="表头文字 Char"/>
    <w:basedOn w:val="a"/>
    <w:link w:val="CharCharf9"/>
    <w:qFormat/>
    <w:pPr>
      <w:spacing w:line="360" w:lineRule="auto"/>
      <w:jc w:val="center"/>
    </w:pPr>
    <w:rPr>
      <w:rFonts w:eastAsia="华文中宋"/>
      <w:b/>
      <w:sz w:val="24"/>
      <w:szCs w:val="24"/>
    </w:rPr>
  </w:style>
  <w:style w:type="character" w:customStyle="1" w:styleId="CharChar22">
    <w:name w:val="Char Char22"/>
    <w:qFormat/>
    <w:rPr>
      <w:rFonts w:eastAsia="宋体"/>
      <w:kern w:val="2"/>
      <w:sz w:val="21"/>
      <w:szCs w:val="24"/>
      <w:lang w:val="en-US" w:eastAsia="zh-CN" w:bidi="ar-SA"/>
    </w:rPr>
  </w:style>
  <w:style w:type="character" w:customStyle="1" w:styleId="CharChar61">
    <w:name w:val="Char Char61"/>
    <w:qFormat/>
    <w:rPr>
      <w:rFonts w:ascii="Arial" w:eastAsia="黑体" w:hAnsi="Arial"/>
      <w:b/>
      <w:kern w:val="2"/>
      <w:sz w:val="32"/>
      <w:lang w:val="en-US" w:eastAsia="zh-CN" w:bidi="ar-SA"/>
    </w:rPr>
  </w:style>
  <w:style w:type="character" w:customStyle="1" w:styleId="120">
    <w:name w:val="书籍标题12"/>
    <w:qFormat/>
    <w:rPr>
      <w:rFonts w:ascii="Cambria" w:eastAsia="宋体" w:hAnsi="Cambria" w:cs="Times New Roman"/>
      <w:b/>
      <w:i/>
      <w:sz w:val="24"/>
      <w:szCs w:val="24"/>
    </w:rPr>
  </w:style>
  <w:style w:type="character" w:customStyle="1" w:styleId="javascript">
    <w:name w:val="javascript"/>
    <w:qFormat/>
  </w:style>
  <w:style w:type="character" w:customStyle="1" w:styleId="2char2">
    <w:name w:val="2char"/>
    <w:basedOn w:val="a1"/>
    <w:qFormat/>
  </w:style>
  <w:style w:type="character" w:customStyle="1" w:styleId="142TimesNewRoman2Char">
    <w:name w:val="样式 样式 样式 宋体 小四 行距: 多倍行距 1.4 字行2 + 黑色 + Times New Roman2 Char"/>
    <w:link w:val="142TimesNewRoman2"/>
    <w:qFormat/>
    <w:rPr>
      <w:rFonts w:ascii="宋体" w:hAnsi="宋体" w:cs="宋体"/>
      <w:b/>
      <w:color w:val="000000"/>
      <w:spacing w:val="10"/>
      <w:sz w:val="24"/>
      <w:szCs w:val="24"/>
    </w:rPr>
  </w:style>
  <w:style w:type="paragraph" w:customStyle="1" w:styleId="142TimesNewRoman2">
    <w:name w:val="样式 样式 样式 宋体 小四 行距: 多倍行距 1.4 字行2 + 黑色 + Times New Roman2"/>
    <w:basedOn w:val="142"/>
    <w:link w:val="142TimesNewRoman2Char"/>
    <w:qFormat/>
    <w:pPr>
      <w:spacing w:line="360" w:lineRule="auto"/>
      <w:ind w:firstLine="200"/>
    </w:pPr>
  </w:style>
  <w:style w:type="character" w:customStyle="1" w:styleId="CharCharCharChar21">
    <w:name w:val="Char Char Char Char21"/>
    <w:link w:val="CharCharChar20"/>
    <w:qFormat/>
    <w:rPr>
      <w:sz w:val="24"/>
      <w:szCs w:val="24"/>
    </w:rPr>
  </w:style>
  <w:style w:type="paragraph" w:customStyle="1" w:styleId="CharCharChar20">
    <w:name w:val="Char Char Char2"/>
    <w:basedOn w:val="a"/>
    <w:link w:val="CharCharCharChar21"/>
    <w:qFormat/>
    <w:rPr>
      <w:sz w:val="24"/>
      <w:szCs w:val="24"/>
    </w:rPr>
  </w:style>
  <w:style w:type="character" w:customStyle="1" w:styleId="hhcwtChar">
    <w:name w:val="hhcwt表格内文字 Char"/>
    <w:qFormat/>
    <w:rPr>
      <w:rFonts w:eastAsia="仿宋_GB2312" w:cs="宋体"/>
      <w:kern w:val="2"/>
      <w:sz w:val="21"/>
      <w:szCs w:val="21"/>
      <w:lang w:val="en-US" w:eastAsia="zh-CN" w:bidi="ar-SA"/>
    </w:rPr>
  </w:style>
  <w:style w:type="character" w:customStyle="1" w:styleId="CharCharfa">
    <w:name w:val="下标 Char Char"/>
    <w:qFormat/>
    <w:rPr>
      <w:rFonts w:ascii="宋体" w:eastAsia="宋体" w:hAnsi="宋体"/>
      <w:sz w:val="21"/>
      <w:szCs w:val="21"/>
      <w:lang w:val="en-US" w:eastAsia="zh-CN" w:bidi="ar-SA"/>
    </w:rPr>
  </w:style>
  <w:style w:type="character" w:customStyle="1" w:styleId="Char1c">
    <w:name w:val="正文文本缩进 Char1"/>
    <w:link w:val="1ff4"/>
    <w:qFormat/>
    <w:locked/>
    <w:rPr>
      <w:sz w:val="28"/>
    </w:rPr>
  </w:style>
  <w:style w:type="paragraph" w:customStyle="1" w:styleId="1ff4">
    <w:name w:val="正文文本缩进1"/>
    <w:basedOn w:val="a"/>
    <w:link w:val="Char1c"/>
    <w:qFormat/>
    <w:pPr>
      <w:ind w:firstLine="578"/>
    </w:pPr>
    <w:rPr>
      <w:sz w:val="28"/>
    </w:rPr>
  </w:style>
  <w:style w:type="character" w:customStyle="1" w:styleId="newscda1">
    <w:name w:val="news_c_da1"/>
    <w:qFormat/>
    <w:rPr>
      <w:rFonts w:ascii="ˎ̥" w:hAnsi="ˎ̥" w:hint="default"/>
      <w:b/>
      <w:bCs/>
      <w:color w:val="000000"/>
      <w:sz w:val="24"/>
      <w:szCs w:val="24"/>
    </w:rPr>
  </w:style>
  <w:style w:type="character" w:customStyle="1" w:styleId="CharChar13">
    <w:name w:val="Char Char1"/>
    <w:qFormat/>
    <w:rPr>
      <w:rFonts w:ascii="仿宋_GB2312" w:eastAsia="仿宋_GB2312"/>
      <w:sz w:val="28"/>
      <w:lang w:val="en-US" w:eastAsia="zh-CN" w:bidi="ar-SA"/>
    </w:rPr>
  </w:style>
  <w:style w:type="character" w:customStyle="1" w:styleId="CharChar37">
    <w:name w:val="Char Char37"/>
    <w:qFormat/>
    <w:rPr>
      <w:rFonts w:eastAsia="宋体"/>
      <w:bCs/>
      <w:kern w:val="2"/>
      <w:sz w:val="28"/>
      <w:lang w:val="en-US" w:eastAsia="zh-CN" w:bidi="ar-SA"/>
    </w:rPr>
  </w:style>
  <w:style w:type="character" w:customStyle="1" w:styleId="TOC10">
    <w:name w:val="TOC 1 字符"/>
    <w:link w:val="TOC1"/>
    <w:qFormat/>
    <w:rPr>
      <w:rFonts w:ascii="宋体" w:eastAsia="宋体" w:hAnsi="宋体"/>
      <w:b/>
      <w:bCs/>
      <w:kern w:val="0"/>
      <w:sz w:val="24"/>
      <w:szCs w:val="24"/>
      <w:lang w:eastAsia="en-US"/>
    </w:rPr>
  </w:style>
  <w:style w:type="character" w:customStyle="1" w:styleId="m">
    <w:name w:val="m"/>
    <w:qFormat/>
  </w:style>
  <w:style w:type="character" w:customStyle="1" w:styleId="ourfont31">
    <w:name w:val="ourfont31"/>
    <w:qFormat/>
    <w:rPr>
      <w:spacing w:val="20"/>
      <w:sz w:val="21"/>
      <w:szCs w:val="21"/>
    </w:rPr>
  </w:style>
  <w:style w:type="character" w:customStyle="1" w:styleId="f41">
    <w:name w:val="f41"/>
    <w:qFormat/>
    <w:rPr>
      <w:color w:val="333333"/>
      <w:sz w:val="21"/>
      <w:szCs w:val="21"/>
    </w:rPr>
  </w:style>
  <w:style w:type="character" w:customStyle="1" w:styleId="CharChar211">
    <w:name w:val="Char Char211"/>
    <w:qFormat/>
    <w:rPr>
      <w:rFonts w:eastAsia="宋体"/>
      <w:sz w:val="18"/>
      <w:lang w:val="en-US" w:eastAsia="zh-CN"/>
    </w:rPr>
  </w:style>
  <w:style w:type="character" w:customStyle="1" w:styleId="text11">
    <w:name w:val="text11"/>
    <w:qFormat/>
    <w:rPr>
      <w:rFonts w:ascii="宋体" w:eastAsia="宋体" w:hAnsi="宋体" w:hint="eastAsia"/>
      <w:spacing w:val="300"/>
      <w:kern w:val="2"/>
      <w:sz w:val="21"/>
      <w:szCs w:val="21"/>
      <w:lang w:val="en-US" w:eastAsia="zh-CN" w:bidi="ar-SA"/>
    </w:rPr>
  </w:style>
  <w:style w:type="character" w:customStyle="1" w:styleId="afffffffc">
    <w:name w:val="正文首行缩进 字符"/>
    <w:qFormat/>
    <w:rPr>
      <w:rFonts w:ascii="仿宋_GB2312" w:eastAsia="宋体" w:hAnsi="Times New Roman" w:cs="Times New Roman"/>
      <w:kern w:val="0"/>
      <w:sz w:val="24"/>
      <w:szCs w:val="20"/>
    </w:rPr>
  </w:style>
  <w:style w:type="character" w:customStyle="1" w:styleId="CharChar412">
    <w:name w:val="Char Char412"/>
    <w:qFormat/>
    <w:rPr>
      <w:rFonts w:eastAsia="宋体"/>
      <w:kern w:val="2"/>
      <w:sz w:val="21"/>
      <w:szCs w:val="24"/>
      <w:lang w:val="en-US" w:eastAsia="zh-CN" w:bidi="ar-SA"/>
    </w:rPr>
  </w:style>
  <w:style w:type="character" w:customStyle="1" w:styleId="ystyle">
    <w:name w:val="ystyle"/>
    <w:basedOn w:val="a1"/>
    <w:qFormat/>
  </w:style>
  <w:style w:type="character" w:customStyle="1" w:styleId="4Char3">
    <w:name w:val="标题  4 Char"/>
    <w:qFormat/>
    <w:rPr>
      <w:rFonts w:eastAsia="宋体"/>
      <w:b/>
      <w:color w:val="000000"/>
      <w:kern w:val="28"/>
      <w:sz w:val="24"/>
      <w:szCs w:val="24"/>
      <w:lang w:val="en-US" w:eastAsia="zh-CN" w:bidi="ar-SA"/>
    </w:rPr>
  </w:style>
  <w:style w:type="character" w:customStyle="1" w:styleId="HTML40">
    <w:name w:val="HTML 打字机4"/>
    <w:qFormat/>
    <w:rPr>
      <w:rFonts w:ascii="黑体" w:eastAsia="黑体" w:hAnsi="Courier New" w:cs="Courier New"/>
      <w:sz w:val="18"/>
      <w:szCs w:val="18"/>
    </w:rPr>
  </w:style>
  <w:style w:type="character" w:customStyle="1" w:styleId="style391">
    <w:name w:val="style391"/>
    <w:qFormat/>
    <w:rPr>
      <w:b/>
      <w:bCs/>
      <w:color w:val="CC0000"/>
    </w:rPr>
  </w:style>
  <w:style w:type="character" w:customStyle="1" w:styleId="1Char9">
    <w:name w:val="表格文字1 Char"/>
    <w:link w:val="1ff5"/>
    <w:qFormat/>
    <w:rPr>
      <w:rFonts w:ascii="宋体" w:hAnsi="宋体"/>
      <w:bCs/>
      <w:color w:val="000000"/>
      <w:szCs w:val="21"/>
    </w:rPr>
  </w:style>
  <w:style w:type="paragraph" w:customStyle="1" w:styleId="1ff5">
    <w:name w:val="表格文字1"/>
    <w:basedOn w:val="afffffffd"/>
    <w:link w:val="1Char9"/>
    <w:qFormat/>
    <w:rPr>
      <w:rFonts w:ascii="宋体" w:eastAsiaTheme="minorEastAsia" w:hAnsi="宋体" w:cstheme="minorBidi"/>
      <w:bCs/>
      <w:color w:val="000000"/>
      <w:kern w:val="2"/>
      <w:sz w:val="21"/>
      <w:szCs w:val="21"/>
      <w:lang w:val="en-US"/>
    </w:rPr>
  </w:style>
  <w:style w:type="paragraph" w:customStyle="1" w:styleId="afffffffd">
    <w:name w:val="表格内文字"/>
    <w:basedOn w:val="a"/>
    <w:link w:val="Charfff9"/>
    <w:qFormat/>
    <w:pPr>
      <w:tabs>
        <w:tab w:val="left" w:pos="0"/>
      </w:tabs>
      <w:adjustRightInd w:val="0"/>
      <w:snapToGrid w:val="0"/>
      <w:jc w:val="center"/>
    </w:pPr>
    <w:rPr>
      <w:rFonts w:ascii="Times New Roman" w:eastAsia="仿宋_GB2312" w:hAnsi="Times New Roman" w:cs="Times New Roman"/>
      <w:kern w:val="0"/>
      <w:sz w:val="24"/>
      <w:szCs w:val="24"/>
      <w:lang w:val="zh-CN"/>
    </w:rPr>
  </w:style>
  <w:style w:type="character" w:customStyle="1" w:styleId="Charfff9">
    <w:name w:val="表格内文字 Char"/>
    <w:link w:val="afffffffd"/>
    <w:qFormat/>
    <w:rPr>
      <w:rFonts w:ascii="Times New Roman" w:eastAsia="仿宋_GB2312" w:hAnsi="Times New Roman" w:cs="Times New Roman"/>
      <w:kern w:val="0"/>
      <w:sz w:val="24"/>
      <w:szCs w:val="24"/>
      <w:lang w:val="zh-CN"/>
    </w:rPr>
  </w:style>
  <w:style w:type="character" w:customStyle="1" w:styleId="CharCharfb">
    <w:name w:val="你的正文 Char Char"/>
    <w:qFormat/>
    <w:rPr>
      <w:rFonts w:ascii="宋体" w:eastAsia="宋体" w:hAnsi="宋体"/>
      <w:color w:val="000000"/>
      <w:kern w:val="0"/>
      <w:sz w:val="28"/>
    </w:rPr>
  </w:style>
  <w:style w:type="character" w:customStyle="1" w:styleId="Charfffa">
    <w:name w:val="参数解释 Char"/>
    <w:link w:val="afffffffe"/>
    <w:qFormat/>
    <w:rPr>
      <w:rFonts w:cs="宋体"/>
      <w:sz w:val="24"/>
    </w:rPr>
  </w:style>
  <w:style w:type="paragraph" w:customStyle="1" w:styleId="afffffffe">
    <w:name w:val="参数解释"/>
    <w:basedOn w:val="affffffff"/>
    <w:link w:val="Charfffa"/>
    <w:qFormat/>
    <w:pPr>
      <w:ind w:firstLineChars="531" w:firstLine="1274"/>
    </w:pPr>
    <w:rPr>
      <w:rFonts w:asciiTheme="minorHAnsi" w:eastAsiaTheme="minorEastAsia" w:hAnsiTheme="minorHAnsi" w:cs="宋体"/>
      <w:kern w:val="2"/>
      <w:szCs w:val="22"/>
      <w:lang w:val="en-US"/>
    </w:rPr>
  </w:style>
  <w:style w:type="paragraph" w:customStyle="1" w:styleId="affffffff">
    <w:name w:val="金源"/>
    <w:basedOn w:val="a"/>
    <w:link w:val="Charfffb"/>
    <w:qFormat/>
    <w:pPr>
      <w:spacing w:line="480" w:lineRule="exact"/>
      <w:ind w:firstLineChars="200" w:firstLine="480"/>
      <w:jc w:val="left"/>
    </w:pPr>
    <w:rPr>
      <w:rFonts w:ascii="Times New Roman" w:eastAsia="宋体" w:hAnsi="Times New Roman" w:cs="Times New Roman"/>
      <w:kern w:val="0"/>
      <w:sz w:val="24"/>
      <w:szCs w:val="20"/>
      <w:lang w:val="zh-CN"/>
    </w:rPr>
  </w:style>
  <w:style w:type="character" w:customStyle="1" w:styleId="Charfffb">
    <w:name w:val="金源 Char"/>
    <w:link w:val="affffffff"/>
    <w:qFormat/>
    <w:rPr>
      <w:rFonts w:ascii="Times New Roman" w:eastAsia="宋体" w:hAnsi="Times New Roman" w:cs="Times New Roman"/>
      <w:kern w:val="0"/>
      <w:sz w:val="24"/>
      <w:szCs w:val="20"/>
      <w:lang w:val="zh-CN"/>
    </w:rPr>
  </w:style>
  <w:style w:type="character" w:customStyle="1" w:styleId="zwc">
    <w:name w:val="zwc"/>
    <w:qFormat/>
  </w:style>
  <w:style w:type="character" w:customStyle="1" w:styleId="un">
    <w:name w:val="un"/>
    <w:qFormat/>
  </w:style>
  <w:style w:type="character" w:customStyle="1" w:styleId="2Char3">
    <w:name w:val="正文文本 2 Char"/>
    <w:qFormat/>
    <w:rPr>
      <w:rFonts w:eastAsia="宋体"/>
      <w:sz w:val="24"/>
      <w:lang w:val="en-US" w:eastAsia="zh-CN" w:bidi="ar-SA"/>
    </w:rPr>
  </w:style>
  <w:style w:type="character" w:customStyle="1" w:styleId="article11">
    <w:name w:val="article11"/>
    <w:qFormat/>
    <w:rPr>
      <w:color w:val="333333"/>
      <w:sz w:val="21"/>
      <w:szCs w:val="21"/>
    </w:rPr>
  </w:style>
  <w:style w:type="character" w:customStyle="1" w:styleId="aChar0">
    <w:name w:val=". [(a)] Char"/>
    <w:qFormat/>
    <w:rPr>
      <w:rFonts w:ascii="Arial" w:eastAsia="黑体" w:hAnsi="Arial" w:cs="Arial" w:hint="default"/>
      <w:sz w:val="24"/>
    </w:rPr>
  </w:style>
  <w:style w:type="character" w:customStyle="1" w:styleId="CharChar134">
    <w:name w:val="Char Char134"/>
    <w:semiHidden/>
    <w:qFormat/>
    <w:rPr>
      <w:rFonts w:ascii="仿宋_GB2312" w:eastAsia="仿宋_GB2312" w:hint="eastAsia"/>
      <w:kern w:val="2"/>
      <w:sz w:val="18"/>
      <w:szCs w:val="18"/>
      <w:lang w:val="en-US" w:eastAsia="zh-CN" w:bidi="ar-SA"/>
    </w:rPr>
  </w:style>
  <w:style w:type="character" w:customStyle="1" w:styleId="CharChar16">
    <w:name w:val="主标题 Char Char1"/>
    <w:qFormat/>
    <w:rPr>
      <w:rFonts w:ascii="Arial" w:eastAsia="宋体" w:hAnsi="Arial" w:cs="Arial"/>
      <w:b/>
      <w:bCs/>
      <w:kern w:val="2"/>
      <w:sz w:val="32"/>
      <w:szCs w:val="32"/>
      <w:lang w:val="en-US" w:eastAsia="zh-CN" w:bidi="ar-SA"/>
    </w:rPr>
  </w:style>
  <w:style w:type="character" w:customStyle="1" w:styleId="detailstyle1">
    <w:name w:val="detail_style1"/>
    <w:qFormat/>
    <w:rPr>
      <w:rFonts w:cs="Times New Roman"/>
      <w:sz w:val="26"/>
      <w:szCs w:val="26"/>
      <w:u w:val="none"/>
    </w:rPr>
  </w:style>
  <w:style w:type="character" w:customStyle="1" w:styleId="CharChar231">
    <w:name w:val="Char Char231"/>
    <w:qFormat/>
    <w:rPr>
      <w:rFonts w:ascii="宋体" w:eastAsia="宋体" w:hAnsi="宋体" w:hint="eastAsia"/>
      <w:color w:val="000000"/>
      <w:kern w:val="2"/>
      <w:sz w:val="24"/>
      <w:szCs w:val="24"/>
      <w:lang w:val="en-US" w:eastAsia="zh-CN" w:bidi="ar-SA"/>
    </w:rPr>
  </w:style>
  <w:style w:type="character" w:customStyle="1" w:styleId="CharChar160">
    <w:name w:val="Char Char16"/>
    <w:qFormat/>
    <w:rPr>
      <w:rFonts w:eastAsia="仿宋_GB2312"/>
      <w:kern w:val="2"/>
      <w:sz w:val="28"/>
      <w:lang w:val="en-US" w:eastAsia="zh-CN" w:bidi="ar-SA"/>
    </w:rPr>
  </w:style>
  <w:style w:type="character" w:customStyle="1" w:styleId="Charfffc">
    <w:name w:val="报告书正文 Char"/>
    <w:link w:val="affffffff0"/>
    <w:qFormat/>
    <w:locked/>
    <w:rPr>
      <w:rFonts w:eastAsia="宋体"/>
      <w:sz w:val="24"/>
      <w:szCs w:val="24"/>
    </w:rPr>
  </w:style>
  <w:style w:type="paragraph" w:customStyle="1" w:styleId="affffffff0">
    <w:name w:val="报告书正文"/>
    <w:basedOn w:val="a"/>
    <w:link w:val="Charfffc"/>
    <w:qFormat/>
    <w:pPr>
      <w:spacing w:line="360" w:lineRule="auto"/>
      <w:ind w:firstLineChars="200" w:firstLine="480"/>
    </w:pPr>
    <w:rPr>
      <w:rFonts w:eastAsia="宋体"/>
      <w:sz w:val="24"/>
      <w:szCs w:val="24"/>
    </w:rPr>
  </w:style>
  <w:style w:type="character" w:customStyle="1" w:styleId="1TimesNewRomanChar">
    <w:name w:val="样式 标题 1 + (西文) Times New Roman (中文) 宋体 Char"/>
    <w:link w:val="1TimesNewRoman"/>
    <w:qFormat/>
    <w:rPr>
      <w:rFonts w:ascii="楷体_GB2312" w:hAnsi="宋体"/>
      <w:b/>
      <w:bCs/>
      <w:color w:val="FF0000"/>
      <w:kern w:val="44"/>
      <w:sz w:val="32"/>
    </w:rPr>
  </w:style>
  <w:style w:type="paragraph" w:customStyle="1" w:styleId="1TimesNewRoman">
    <w:name w:val="样式 标题 1 + (西文) Times New Roman (中文) 宋体"/>
    <w:basedOn w:val="1"/>
    <w:link w:val="1TimesNewRomanChar"/>
    <w:qFormat/>
    <w:pPr>
      <w:keepNext/>
      <w:keepLines/>
      <w:spacing w:before="340" w:after="330" w:line="360" w:lineRule="auto"/>
      <w:ind w:left="0"/>
      <w:jc w:val="center"/>
    </w:pPr>
    <w:rPr>
      <w:rFonts w:ascii="楷体_GB2312" w:eastAsiaTheme="minorEastAsia" w:hAnsi="宋体"/>
      <w:color w:val="FF0000"/>
      <w:kern w:val="44"/>
      <w:sz w:val="32"/>
      <w:szCs w:val="22"/>
      <w:lang w:eastAsia="zh-CN"/>
    </w:rPr>
  </w:style>
  <w:style w:type="character" w:customStyle="1" w:styleId="Charfffd">
    <w:name w:val="前言、引言标题 Char"/>
    <w:link w:val="affffffff1"/>
    <w:qFormat/>
    <w:rPr>
      <w:rFonts w:ascii="黑体" w:eastAsia="黑体"/>
      <w:sz w:val="32"/>
      <w:shd w:val="clear" w:color="FFFFFF" w:fill="FFFFFF"/>
    </w:rPr>
  </w:style>
  <w:style w:type="paragraph" w:customStyle="1" w:styleId="affffffff1">
    <w:name w:val="前言、引言标题"/>
    <w:next w:val="a"/>
    <w:link w:val="Charfffd"/>
    <w:qFormat/>
    <w:pPr>
      <w:shd w:val="clear" w:color="FFFFFF" w:fill="FFFFFF"/>
      <w:tabs>
        <w:tab w:val="left" w:pos="903"/>
      </w:tabs>
      <w:spacing w:before="640" w:after="560"/>
      <w:ind w:left="903" w:hanging="315"/>
      <w:jc w:val="center"/>
      <w:outlineLvl w:val="0"/>
    </w:pPr>
    <w:rPr>
      <w:rFonts w:ascii="黑体" w:eastAsia="黑体"/>
      <w:kern w:val="2"/>
      <w:sz w:val="32"/>
      <w:szCs w:val="22"/>
    </w:rPr>
  </w:style>
  <w:style w:type="character" w:customStyle="1" w:styleId="1Chara">
    <w:name w:val="环标1 Char"/>
    <w:qFormat/>
    <w:rPr>
      <w:rFonts w:ascii="宋体" w:eastAsia="黑体" w:hAnsi="Courier New"/>
      <w:b/>
      <w:kern w:val="44"/>
      <w:sz w:val="32"/>
      <w:lang w:val="en-US" w:eastAsia="zh-CN" w:bidi="ar-SA"/>
    </w:rPr>
  </w:style>
  <w:style w:type="character" w:customStyle="1" w:styleId="Char1d">
    <w:name w:val="宏文本 Char1"/>
    <w:qFormat/>
    <w:rPr>
      <w:rFonts w:ascii="Courier New" w:hAnsi="Courier New"/>
      <w:sz w:val="24"/>
      <w:szCs w:val="24"/>
      <w:lang w:val="en-US" w:eastAsia="zh-CN" w:bidi="ar-SA"/>
    </w:rPr>
  </w:style>
  <w:style w:type="character" w:customStyle="1" w:styleId="CharCharCharCharCharCharCharChar6">
    <w:name w:val="Char Char Char Char Char Char Char Char6"/>
    <w:qFormat/>
    <w:rPr>
      <w:rFonts w:ascii="Times New Roman" w:eastAsia="宋体" w:hAnsi="Times New Roman" w:cs="Times New Roman"/>
      <w:sz w:val="24"/>
      <w:szCs w:val="24"/>
    </w:rPr>
  </w:style>
  <w:style w:type="character" w:customStyle="1" w:styleId="style2">
    <w:name w:val="style2"/>
    <w:qFormat/>
  </w:style>
  <w:style w:type="character" w:customStyle="1" w:styleId="Charfffe">
    <w:name w:val="表头 Char"/>
    <w:link w:val="affffffff2"/>
    <w:qFormat/>
    <w:locked/>
    <w:rPr>
      <w:rFonts w:eastAsia="黑体"/>
      <w:spacing w:val="-10"/>
    </w:rPr>
  </w:style>
  <w:style w:type="paragraph" w:customStyle="1" w:styleId="affffffff2">
    <w:name w:val="表头"/>
    <w:basedOn w:val="a"/>
    <w:link w:val="Charfffe"/>
    <w:qFormat/>
    <w:pPr>
      <w:adjustRightInd w:val="0"/>
      <w:snapToGrid w:val="0"/>
      <w:spacing w:line="320" w:lineRule="atLeast"/>
      <w:jc w:val="center"/>
      <w:textAlignment w:val="baseline"/>
    </w:pPr>
    <w:rPr>
      <w:rFonts w:eastAsia="黑体"/>
      <w:spacing w:val="-10"/>
    </w:rPr>
  </w:style>
  <w:style w:type="character" w:customStyle="1" w:styleId="p9l1">
    <w:name w:val="p9l1"/>
    <w:qFormat/>
    <w:rPr>
      <w:rFonts w:ascii="黑体" w:eastAsia="宋体" w:hAnsi="黑体"/>
      <w:b/>
      <w:spacing w:val="10"/>
      <w:kern w:val="2"/>
      <w:sz w:val="18"/>
      <w:szCs w:val="18"/>
      <w:u w:val="none"/>
      <w:lang w:val="en-US" w:eastAsia="zh-CN" w:bidi="ar-SA"/>
    </w:rPr>
  </w:style>
  <w:style w:type="character" w:customStyle="1" w:styleId="zjgblk1">
    <w:name w:val="zjgblk1"/>
    <w:qFormat/>
    <w:rPr>
      <w:rFonts w:hint="default"/>
      <w:color w:val="000000"/>
      <w:spacing w:val="336"/>
      <w:sz w:val="18"/>
      <w:szCs w:val="18"/>
      <w:u w:val="none"/>
    </w:rPr>
  </w:style>
  <w:style w:type="character" w:customStyle="1" w:styleId="CharCharfc">
    <w:name w:val="表后段落 Char Char"/>
    <w:link w:val="Charffff"/>
    <w:qFormat/>
    <w:rPr>
      <w:rFonts w:eastAsia="楷体_GB2312"/>
      <w:sz w:val="24"/>
      <w:szCs w:val="28"/>
    </w:rPr>
  </w:style>
  <w:style w:type="paragraph" w:customStyle="1" w:styleId="Charffff">
    <w:name w:val="表后段落 Char"/>
    <w:basedOn w:val="a"/>
    <w:link w:val="CharCharfc"/>
    <w:qFormat/>
    <w:pPr>
      <w:spacing w:beforeLines="75" w:before="75" w:line="360" w:lineRule="auto"/>
      <w:ind w:firstLineChars="200" w:firstLine="200"/>
    </w:pPr>
    <w:rPr>
      <w:rFonts w:eastAsia="楷体_GB2312"/>
      <w:sz w:val="24"/>
      <w:szCs w:val="28"/>
    </w:rPr>
  </w:style>
  <w:style w:type="character" w:customStyle="1" w:styleId="txt21">
    <w:name w:val="txt21"/>
    <w:qFormat/>
    <w:rPr>
      <w:color w:val="000066"/>
      <w:sz w:val="18"/>
      <w:szCs w:val="18"/>
    </w:rPr>
  </w:style>
  <w:style w:type="character" w:customStyle="1" w:styleId="Charffff0">
    <w:name w:val="明显引用 Char"/>
    <w:link w:val="1ff6"/>
    <w:qFormat/>
    <w:locked/>
    <w:rPr>
      <w:b/>
      <w:i/>
      <w:sz w:val="24"/>
    </w:rPr>
  </w:style>
  <w:style w:type="paragraph" w:customStyle="1" w:styleId="1ff6">
    <w:name w:val="明显引用1"/>
    <w:basedOn w:val="a"/>
    <w:next w:val="a"/>
    <w:link w:val="Charffff0"/>
    <w:qFormat/>
    <w:pPr>
      <w:widowControl/>
      <w:ind w:left="720" w:right="720"/>
      <w:jc w:val="left"/>
    </w:pPr>
    <w:rPr>
      <w:b/>
      <w:i/>
      <w:sz w:val="24"/>
    </w:rPr>
  </w:style>
  <w:style w:type="character" w:customStyle="1" w:styleId="a5">
    <w:name w:val="宏文本 字符"/>
    <w:link w:val="a4"/>
    <w:qFormat/>
    <w:rPr>
      <w:rFonts w:ascii="Courier New" w:hAnsi="Courier New"/>
      <w:sz w:val="24"/>
      <w:szCs w:val="24"/>
    </w:rPr>
  </w:style>
  <w:style w:type="character" w:customStyle="1" w:styleId="2ffa">
    <w:name w:val="宏文本 字符2"/>
    <w:basedOn w:val="a1"/>
    <w:uiPriority w:val="99"/>
    <w:semiHidden/>
    <w:rPr>
      <w:rFonts w:ascii="Courier New" w:eastAsia="宋体" w:hAnsi="Courier New" w:cs="Courier New"/>
      <w:sz w:val="24"/>
      <w:szCs w:val="24"/>
    </w:rPr>
  </w:style>
  <w:style w:type="character" w:customStyle="1" w:styleId="22">
    <w:name w:val="注释标题 字符2"/>
    <w:link w:val="aa"/>
    <w:qFormat/>
    <w:locked/>
    <w:rPr>
      <w:rFonts w:eastAsia="宋体"/>
      <w:sz w:val="24"/>
      <w:szCs w:val="24"/>
    </w:rPr>
  </w:style>
  <w:style w:type="character" w:customStyle="1" w:styleId="affffffff3">
    <w:name w:val="注释标题 字符"/>
    <w:basedOn w:val="a1"/>
    <w:qFormat/>
  </w:style>
  <w:style w:type="character" w:customStyle="1" w:styleId="1ff7">
    <w:name w:val="页脚 字符1"/>
    <w:qFormat/>
    <w:locked/>
    <w:rPr>
      <w:sz w:val="18"/>
      <w:szCs w:val="18"/>
    </w:rPr>
  </w:style>
  <w:style w:type="character" w:customStyle="1" w:styleId="112">
    <w:name w:val="目录 1 字符1"/>
    <w:semiHidden/>
    <w:qFormat/>
    <w:locked/>
    <w:rPr>
      <w:rFonts w:ascii="Arial" w:hAnsi="Arial" w:cs="Arial"/>
      <w:b/>
      <w:bCs/>
      <w:caps/>
      <w:kern w:val="2"/>
      <w:sz w:val="24"/>
      <w:szCs w:val="24"/>
    </w:rPr>
  </w:style>
  <w:style w:type="character" w:customStyle="1" w:styleId="font71">
    <w:name w:val="font71"/>
    <w:qFormat/>
    <w:rPr>
      <w:rFonts w:ascii="Times New Roman" w:hAnsi="Times New Roman" w:cs="Times New Roman" w:hint="default"/>
      <w:color w:val="000000"/>
      <w:sz w:val="21"/>
      <w:szCs w:val="21"/>
      <w:u w:val="none"/>
    </w:rPr>
  </w:style>
  <w:style w:type="character" w:customStyle="1" w:styleId="font81">
    <w:name w:val="font81"/>
    <w:qFormat/>
    <w:rPr>
      <w:rFonts w:ascii="宋体" w:eastAsia="宋体" w:hAnsi="宋体" w:hint="eastAsia"/>
      <w:color w:val="000000"/>
      <w:sz w:val="21"/>
      <w:szCs w:val="21"/>
      <w:u w:val="none"/>
    </w:rPr>
  </w:style>
  <w:style w:type="character" w:customStyle="1" w:styleId="CharChar198">
    <w:name w:val="Char Char198"/>
    <w:qFormat/>
    <w:rPr>
      <w:rFonts w:eastAsia="宋体"/>
      <w:kern w:val="2"/>
      <w:sz w:val="21"/>
      <w:szCs w:val="24"/>
      <w:lang w:val="en-US" w:eastAsia="zh-CN" w:bidi="ar-SA"/>
    </w:rPr>
  </w:style>
  <w:style w:type="character" w:customStyle="1" w:styleId="CharChar131">
    <w:name w:val="Char Char131"/>
    <w:qFormat/>
    <w:rPr>
      <w:rFonts w:ascii="仿宋_GB2312" w:eastAsia="仿宋_GB2312" w:hint="eastAsia"/>
      <w:kern w:val="2"/>
      <w:sz w:val="18"/>
      <w:szCs w:val="18"/>
      <w:lang w:val="en-US" w:eastAsia="zh-CN" w:bidi="ar-SA"/>
    </w:rPr>
  </w:style>
  <w:style w:type="character" w:customStyle="1" w:styleId="CharChar23">
    <w:name w:val="Char Char23"/>
    <w:qFormat/>
    <w:rPr>
      <w:rFonts w:eastAsia="宋体"/>
      <w:sz w:val="18"/>
      <w:szCs w:val="18"/>
      <w:lang w:val="en-US" w:eastAsia="zh-CN" w:bidi="ar-SA"/>
    </w:rPr>
  </w:style>
  <w:style w:type="character" w:customStyle="1" w:styleId="lh15">
    <w:name w:val="lh15"/>
    <w:qFormat/>
  </w:style>
  <w:style w:type="character" w:customStyle="1" w:styleId="6Char0">
    <w:name w:val="6表(图)头(治) Char"/>
    <w:link w:val="65"/>
    <w:qFormat/>
    <w:rPr>
      <w:rFonts w:ascii="宋体" w:eastAsia="Times New Roman" w:hAnsi="宋体"/>
      <w:bCs/>
      <w:sz w:val="28"/>
    </w:rPr>
  </w:style>
  <w:style w:type="paragraph" w:customStyle="1" w:styleId="65">
    <w:name w:val="6表(图)头(治)"/>
    <w:next w:val="a"/>
    <w:link w:val="6Char0"/>
    <w:qFormat/>
    <w:pPr>
      <w:widowControl w:val="0"/>
      <w:jc w:val="center"/>
    </w:pPr>
    <w:rPr>
      <w:rFonts w:ascii="宋体" w:eastAsia="Times New Roman" w:hAnsi="宋体"/>
      <w:bCs/>
      <w:kern w:val="2"/>
      <w:sz w:val="28"/>
      <w:szCs w:val="22"/>
    </w:rPr>
  </w:style>
  <w:style w:type="character" w:customStyle="1" w:styleId="z-0">
    <w:name w:val="z-窗体底端 字符"/>
    <w:link w:val="z-2"/>
    <w:qFormat/>
    <w:rPr>
      <w:rFonts w:ascii="Arial" w:eastAsia="Arial Unicode MS" w:hAnsi="Arial"/>
      <w:vanish/>
      <w:sz w:val="16"/>
      <w:szCs w:val="16"/>
    </w:rPr>
  </w:style>
  <w:style w:type="paragraph" w:customStyle="1" w:styleId="z-2">
    <w:name w:val="z-窗体底端2"/>
    <w:basedOn w:val="a"/>
    <w:next w:val="a"/>
    <w:link w:val="z-0"/>
    <w:qFormat/>
    <w:pPr>
      <w:widowControl/>
      <w:pBdr>
        <w:top w:val="single" w:sz="6" w:space="1" w:color="auto"/>
      </w:pBdr>
      <w:jc w:val="center"/>
    </w:pPr>
    <w:rPr>
      <w:rFonts w:ascii="Arial" w:eastAsia="Arial Unicode MS" w:hAnsi="Arial"/>
      <w:vanish/>
      <w:sz w:val="16"/>
      <w:szCs w:val="16"/>
    </w:rPr>
  </w:style>
  <w:style w:type="character" w:customStyle="1" w:styleId="refer-title2">
    <w:name w:val="refer-title2"/>
    <w:qFormat/>
  </w:style>
  <w:style w:type="character" w:customStyle="1" w:styleId="Char1e">
    <w:name w:val="脚注文本 Char1"/>
    <w:qFormat/>
    <w:rPr>
      <w:sz w:val="18"/>
      <w:szCs w:val="18"/>
    </w:rPr>
  </w:style>
  <w:style w:type="character" w:customStyle="1" w:styleId="2CharChar12">
    <w:name w:val="正文文字 2 Char Char1"/>
    <w:qFormat/>
    <w:rPr>
      <w:rFonts w:eastAsia="宋体"/>
      <w:sz w:val="24"/>
      <w:lang w:val="en-US" w:eastAsia="zh-CN" w:bidi="ar-SA"/>
    </w:rPr>
  </w:style>
  <w:style w:type="character" w:customStyle="1" w:styleId="Char41">
    <w:name w:val="环正文 Char4"/>
    <w:qFormat/>
    <w:rPr>
      <w:rFonts w:ascii="宋体" w:eastAsia="宋体" w:hAnsi="宋体"/>
      <w:color w:val="000000"/>
      <w:sz w:val="24"/>
      <w:lang w:val="en-US" w:eastAsia="zh-CN" w:bidi="ar-SA"/>
    </w:rPr>
  </w:style>
  <w:style w:type="character" w:customStyle="1" w:styleId="Char34">
    <w:name w:val="正文文本 Char3"/>
    <w:uiPriority w:val="99"/>
    <w:qFormat/>
    <w:rPr>
      <w:rFonts w:ascii="Times New Roman" w:eastAsia="宋体" w:hAnsi="Times New Roman" w:cs="Times New Roman"/>
      <w:kern w:val="0"/>
      <w:sz w:val="20"/>
      <w:szCs w:val="20"/>
    </w:rPr>
  </w:style>
  <w:style w:type="character" w:customStyle="1" w:styleId="Charffff1">
    <w:name w:val="黑体标题 Char"/>
    <w:link w:val="affffffff4"/>
    <w:semiHidden/>
    <w:qFormat/>
    <w:rPr>
      <w:rFonts w:ascii="宋体" w:hAnsi="宋体"/>
      <w:sz w:val="28"/>
    </w:rPr>
  </w:style>
  <w:style w:type="paragraph" w:customStyle="1" w:styleId="affffffff4">
    <w:name w:val="黑体标题"/>
    <w:basedOn w:val="a"/>
    <w:link w:val="Charffff1"/>
    <w:semiHidden/>
    <w:qFormat/>
    <w:pPr>
      <w:spacing w:line="500" w:lineRule="exact"/>
      <w:ind w:firstLineChars="200" w:firstLine="560"/>
    </w:pPr>
    <w:rPr>
      <w:rFonts w:ascii="宋体" w:hAnsi="宋体"/>
      <w:sz w:val="28"/>
    </w:rPr>
  </w:style>
  <w:style w:type="character" w:customStyle="1" w:styleId="222">
    <w:name w:val="正文文本缩进 2 字符2"/>
    <w:qFormat/>
    <w:locked/>
    <w:rPr>
      <w:kern w:val="2"/>
      <w:sz w:val="21"/>
      <w:szCs w:val="24"/>
    </w:rPr>
  </w:style>
  <w:style w:type="character" w:customStyle="1" w:styleId="Charffff2">
    <w:name w:val="和桥报告正文 Char"/>
    <w:link w:val="affffffff5"/>
    <w:qFormat/>
    <w:rPr>
      <w:kern w:val="24"/>
      <w:sz w:val="24"/>
      <w:szCs w:val="21"/>
    </w:rPr>
  </w:style>
  <w:style w:type="paragraph" w:customStyle="1" w:styleId="affffffff5">
    <w:name w:val="和桥报告正文"/>
    <w:basedOn w:val="a"/>
    <w:link w:val="Charffff2"/>
    <w:qFormat/>
    <w:pPr>
      <w:adjustRightInd w:val="0"/>
      <w:snapToGrid w:val="0"/>
      <w:spacing w:line="360" w:lineRule="auto"/>
      <w:ind w:firstLine="482"/>
      <w:textAlignment w:val="baseline"/>
    </w:pPr>
    <w:rPr>
      <w:kern w:val="24"/>
      <w:sz w:val="24"/>
      <w:szCs w:val="21"/>
    </w:rPr>
  </w:style>
  <w:style w:type="character" w:customStyle="1" w:styleId="style51">
    <w:name w:val="style51"/>
    <w:qFormat/>
    <w:rPr>
      <w:b/>
      <w:color w:val="FF0000"/>
      <w:sz w:val="24"/>
    </w:rPr>
  </w:style>
  <w:style w:type="character" w:customStyle="1" w:styleId="CharChar18">
    <w:name w:val="特点标题 Char Char1"/>
    <w:qFormat/>
    <w:rPr>
      <w:rFonts w:ascii="Bookman Old Style" w:eastAsia="宋体" w:hAnsi="Bookman Old Style"/>
      <w:kern w:val="2"/>
      <w:sz w:val="24"/>
      <w:lang w:val="en-US" w:eastAsia="zh-CN" w:bidi="ar-SA"/>
    </w:rPr>
  </w:style>
  <w:style w:type="character" w:customStyle="1" w:styleId="142TimesNewRoman1Char">
    <w:name w:val="样式 样式 样式 宋体 小四 行距: 多倍行距 1.4 字行2 + 黑色 + Times New Roman1 Char"/>
    <w:link w:val="142TimesNewRoman1"/>
    <w:qFormat/>
    <w:rPr>
      <w:color w:val="000000"/>
      <w:sz w:val="24"/>
      <w:szCs w:val="24"/>
    </w:rPr>
  </w:style>
  <w:style w:type="paragraph" w:customStyle="1" w:styleId="142TimesNewRoman1">
    <w:name w:val="样式 样式 样式 宋体 小四 行距: 多倍行距 1.4 字行2 + 黑色 + Times New Roman1"/>
    <w:basedOn w:val="a"/>
    <w:link w:val="142TimesNewRoman1Char"/>
    <w:qFormat/>
    <w:pPr>
      <w:spacing w:line="360" w:lineRule="auto"/>
      <w:ind w:firstLineChars="200" w:firstLine="200"/>
    </w:pPr>
    <w:rPr>
      <w:color w:val="000000"/>
      <w:sz w:val="24"/>
      <w:szCs w:val="24"/>
    </w:rPr>
  </w:style>
  <w:style w:type="character" w:customStyle="1" w:styleId="1111CharChar0">
    <w:name w:val="款标题1.1.1.1 Char Char"/>
    <w:qFormat/>
    <w:rPr>
      <w:rFonts w:ascii="Arial" w:eastAsia="黑体" w:hAnsi="Arial"/>
      <w:b/>
      <w:bCs/>
      <w:sz w:val="28"/>
      <w:szCs w:val="28"/>
      <w:lang w:val="en-US" w:eastAsia="zh-CN" w:bidi="ar-SA"/>
    </w:rPr>
  </w:style>
  <w:style w:type="character" w:customStyle="1" w:styleId="2CharChar20">
    <w:name w:val="正文首行缩进2字符 Char Char2"/>
    <w:qFormat/>
    <w:rPr>
      <w:rFonts w:ascii="仿宋_GB2312" w:eastAsia="宋体"/>
      <w:sz w:val="24"/>
      <w:lang w:val="en-US" w:eastAsia="zh-CN" w:bidi="ar-SA"/>
    </w:rPr>
  </w:style>
  <w:style w:type="character" w:customStyle="1" w:styleId="CharChar126">
    <w:name w:val="Char Char126"/>
    <w:qFormat/>
    <w:locked/>
    <w:rPr>
      <w:rFonts w:eastAsia="宋体"/>
      <w:sz w:val="24"/>
      <w:lang w:val="en-US" w:eastAsia="zh-CN" w:bidi="ar-SA"/>
    </w:rPr>
  </w:style>
  <w:style w:type="character" w:customStyle="1" w:styleId="100">
    <w:name w:val="标题10"/>
    <w:qFormat/>
  </w:style>
  <w:style w:type="character" w:customStyle="1" w:styleId="Charffff3">
    <w:name w:val="批注文字 Char"/>
    <w:qFormat/>
    <w:rPr>
      <w:rFonts w:ascii="Times New Roman" w:eastAsia="宋体" w:hAnsi="Times New Roman" w:cs="Times New Roman"/>
      <w:sz w:val="20"/>
      <w:szCs w:val="20"/>
      <w:lang w:eastAsia="zh-CN" w:bidi="ar-SA"/>
    </w:rPr>
  </w:style>
  <w:style w:type="character" w:customStyle="1" w:styleId="Char1f">
    <w:name w:val="信息标题 Char1"/>
    <w:uiPriority w:val="99"/>
    <w:qFormat/>
    <w:rPr>
      <w:rFonts w:ascii="Cambria" w:eastAsia="宋体" w:hAnsi="Cambria" w:cs="Times New Roman"/>
      <w:kern w:val="0"/>
      <w:sz w:val="24"/>
      <w:szCs w:val="24"/>
      <w:shd w:val="pct20" w:color="auto" w:fill="auto"/>
    </w:rPr>
  </w:style>
  <w:style w:type="character" w:customStyle="1" w:styleId="810">
    <w:name w:val="标题 8 字符1"/>
    <w:qFormat/>
    <w:locked/>
    <w:rPr>
      <w:rFonts w:ascii="Arial" w:eastAsia="黑体" w:hAnsi="Arial"/>
      <w:kern w:val="2"/>
      <w:sz w:val="24"/>
      <w:szCs w:val="24"/>
    </w:rPr>
  </w:style>
  <w:style w:type="character" w:customStyle="1" w:styleId="Char1f0">
    <w:name w:val="日期 Char1"/>
    <w:qFormat/>
    <w:rPr>
      <w:rFonts w:ascii="Times New Roman" w:eastAsia="宋体" w:hAnsi="Times New Roman" w:cs="Times New Roman"/>
      <w:kern w:val="0"/>
      <w:sz w:val="20"/>
      <w:szCs w:val="20"/>
    </w:rPr>
  </w:style>
  <w:style w:type="character" w:customStyle="1" w:styleId="ourfont11">
    <w:name w:val="ourfont11"/>
    <w:qFormat/>
    <w:rPr>
      <w:sz w:val="20"/>
      <w:szCs w:val="20"/>
    </w:rPr>
  </w:style>
  <w:style w:type="character" w:customStyle="1" w:styleId="s8h0t">
    <w:name w:val="s8h0t"/>
    <w:qFormat/>
  </w:style>
  <w:style w:type="character" w:customStyle="1" w:styleId="Charffff4">
    <w:name w:val="图例 Char"/>
    <w:qFormat/>
    <w:rPr>
      <w:rFonts w:ascii="Arial" w:eastAsia="宋体" w:hAnsi="Arial" w:cs="Arial"/>
      <w:kern w:val="2"/>
      <w:sz w:val="28"/>
      <w:szCs w:val="28"/>
      <w:lang w:val="en-US" w:eastAsia="zh-CN" w:bidi="ar-SA"/>
    </w:rPr>
  </w:style>
  <w:style w:type="character" w:customStyle="1" w:styleId="CharChar216">
    <w:name w:val="Char Char216"/>
    <w:qFormat/>
    <w:rPr>
      <w:rFonts w:eastAsia="宋体"/>
      <w:sz w:val="18"/>
      <w:lang w:val="en-US" w:eastAsia="zh-CN" w:bidi="ar-SA"/>
    </w:rPr>
  </w:style>
  <w:style w:type="character" w:customStyle="1" w:styleId="wenzi1">
    <w:name w:val="wenzi1"/>
    <w:qFormat/>
    <w:rPr>
      <w:rFonts w:ascii="ˎ̥" w:hAnsi="ˎ̥" w:hint="default"/>
      <w:color w:val="666666"/>
      <w:sz w:val="18"/>
      <w:szCs w:val="18"/>
      <w:u w:val="none"/>
    </w:rPr>
  </w:style>
  <w:style w:type="character" w:customStyle="1" w:styleId="Charffff5">
    <w:name w:val="公式 Char"/>
    <w:link w:val="affffffff6"/>
    <w:qFormat/>
    <w:rPr>
      <w:sz w:val="28"/>
    </w:rPr>
  </w:style>
  <w:style w:type="paragraph" w:customStyle="1" w:styleId="affffffff6">
    <w:name w:val="公式"/>
    <w:link w:val="Charffff5"/>
    <w:qFormat/>
    <w:pPr>
      <w:jc w:val="center"/>
    </w:pPr>
    <w:rPr>
      <w:kern w:val="2"/>
      <w:sz w:val="28"/>
      <w:szCs w:val="22"/>
    </w:rPr>
  </w:style>
  <w:style w:type="character" w:customStyle="1" w:styleId="CharChar219">
    <w:name w:val="Char Char219"/>
    <w:qFormat/>
    <w:rPr>
      <w:rFonts w:eastAsia="宋体"/>
      <w:sz w:val="18"/>
      <w:lang w:val="en-US" w:eastAsia="zh-CN" w:bidi="ar-SA"/>
    </w:rPr>
  </w:style>
  <w:style w:type="character" w:customStyle="1" w:styleId="CharCharCharCharCharCharCharCharChar">
    <w:name w:val="Char Char Char Char Char Char Char Char Char"/>
    <w:qFormat/>
    <w:rPr>
      <w:rFonts w:ascii="宋体" w:eastAsia="宋体" w:hAnsi="宋体"/>
      <w:sz w:val="24"/>
    </w:rPr>
  </w:style>
  <w:style w:type="character" w:customStyle="1" w:styleId="end-tag">
    <w:name w:val="end-tag"/>
    <w:qFormat/>
    <w:rPr>
      <w:rFonts w:cs="Times New Roman"/>
    </w:rPr>
  </w:style>
  <w:style w:type="character" w:customStyle="1" w:styleId="16p">
    <w:name w:val="16p"/>
    <w:basedOn w:val="a1"/>
    <w:qFormat/>
  </w:style>
  <w:style w:type="character" w:customStyle="1" w:styleId="HTMLChar10">
    <w:name w:val="HTML 地址 Char1"/>
    <w:uiPriority w:val="99"/>
    <w:qFormat/>
    <w:rPr>
      <w:rFonts w:ascii="Times New Roman" w:eastAsia="宋体" w:hAnsi="Times New Roman" w:cs="Times New Roman"/>
      <w:i/>
      <w:iCs/>
      <w:kern w:val="0"/>
      <w:sz w:val="20"/>
      <w:szCs w:val="20"/>
    </w:rPr>
  </w:style>
  <w:style w:type="character" w:customStyle="1" w:styleId="14p1">
    <w:name w:val="14p1"/>
    <w:qFormat/>
    <w:rPr>
      <w:sz w:val="25"/>
    </w:rPr>
  </w:style>
  <w:style w:type="character" w:customStyle="1" w:styleId="5Char2">
    <w:name w:val="正文5 Char"/>
    <w:link w:val="5b"/>
    <w:qFormat/>
    <w:rPr>
      <w:rFonts w:ascii="宋体"/>
      <w:sz w:val="24"/>
    </w:rPr>
  </w:style>
  <w:style w:type="paragraph" w:customStyle="1" w:styleId="5b">
    <w:name w:val="正文5"/>
    <w:link w:val="5Char2"/>
    <w:qFormat/>
    <w:pPr>
      <w:widowControl w:val="0"/>
      <w:adjustRightInd w:val="0"/>
      <w:spacing w:line="360" w:lineRule="atLeast"/>
    </w:pPr>
    <w:rPr>
      <w:rFonts w:ascii="宋体"/>
      <w:kern w:val="2"/>
      <w:sz w:val="24"/>
      <w:szCs w:val="22"/>
    </w:rPr>
  </w:style>
  <w:style w:type="character" w:customStyle="1" w:styleId="2ffb">
    <w:name w:val="正文缩进2"/>
    <w:qFormat/>
    <w:rPr>
      <w:rFonts w:ascii="仿宋_GB2312" w:eastAsia="仿宋_GB2312"/>
      <w:kern w:val="2"/>
      <w:sz w:val="28"/>
      <w:szCs w:val="24"/>
      <w:lang w:val="en-US" w:eastAsia="zh-CN" w:bidi="ar-SA"/>
    </w:rPr>
  </w:style>
  <w:style w:type="character" w:customStyle="1" w:styleId="Charffff6">
    <w:name w:val="页码 Char"/>
    <w:qFormat/>
  </w:style>
  <w:style w:type="character" w:customStyle="1" w:styleId="Charffff7">
    <w:name w:val="正文新 Char"/>
    <w:qFormat/>
    <w:rPr>
      <w:rFonts w:ascii="宋体" w:eastAsia="宋体" w:hAnsi="宋体"/>
      <w:kern w:val="2"/>
      <w:sz w:val="24"/>
      <w:szCs w:val="24"/>
      <w:lang w:val="en-US" w:eastAsia="zh-CN" w:bidi="ar-SA"/>
    </w:rPr>
  </w:style>
  <w:style w:type="character" w:customStyle="1" w:styleId="CharChar165">
    <w:name w:val="Char Char165"/>
    <w:qFormat/>
    <w:rPr>
      <w:rFonts w:ascii="仿宋_GB2312" w:eastAsia="仿宋_GB2312" w:hint="eastAsia"/>
      <w:kern w:val="2"/>
      <w:sz w:val="28"/>
      <w:szCs w:val="21"/>
      <w:lang w:val="en-US" w:eastAsia="zh-CN" w:bidi="ar-SA"/>
    </w:rPr>
  </w:style>
  <w:style w:type="character" w:customStyle="1" w:styleId="Charffff8">
    <w:name w:val="称呼 Char"/>
    <w:qFormat/>
    <w:rPr>
      <w:rFonts w:ascii="Arial" w:eastAsia="仿宋_GB2312" w:hAnsi="Arial"/>
      <w:sz w:val="24"/>
      <w:lang w:val="en-US" w:eastAsia="zh-CN" w:bidi="ar-SA"/>
    </w:rPr>
  </w:style>
  <w:style w:type="character" w:customStyle="1" w:styleId="affffffff7">
    <w:name w:val="签名 字符"/>
    <w:qFormat/>
    <w:rPr>
      <w:rFonts w:ascii="Arial" w:eastAsia="仿宋_GB2312" w:hAnsi="Arial" w:cs="Times New Roman"/>
      <w:kern w:val="0"/>
      <w:sz w:val="24"/>
      <w:szCs w:val="20"/>
    </w:rPr>
  </w:style>
  <w:style w:type="character" w:customStyle="1" w:styleId="Charffff9">
    <w:name w:val="表后文 Char"/>
    <w:link w:val="affffffff8"/>
    <w:qFormat/>
    <w:rPr>
      <w:rFonts w:eastAsia="楷体_GB2312"/>
      <w:spacing w:val="8"/>
      <w:sz w:val="28"/>
    </w:rPr>
  </w:style>
  <w:style w:type="paragraph" w:customStyle="1" w:styleId="affffffff8">
    <w:name w:val="表后文"/>
    <w:basedOn w:val="a"/>
    <w:link w:val="Charffff9"/>
    <w:qFormat/>
    <w:pPr>
      <w:adjustRightInd w:val="0"/>
      <w:spacing w:before="120" w:line="400" w:lineRule="exact"/>
      <w:ind w:firstLine="601"/>
      <w:textAlignment w:val="baseline"/>
    </w:pPr>
    <w:rPr>
      <w:rFonts w:eastAsia="楷体_GB2312"/>
      <w:spacing w:val="8"/>
      <w:sz w:val="28"/>
    </w:rPr>
  </w:style>
  <w:style w:type="character" w:customStyle="1" w:styleId="2CharChar21">
    <w:name w:val="目录2 Char Char2"/>
    <w:qFormat/>
    <w:rPr>
      <w:rFonts w:eastAsia="宋体"/>
      <w:bCs/>
      <w:caps/>
      <w:color w:val="000000"/>
      <w:spacing w:val="20"/>
      <w:sz w:val="21"/>
      <w:szCs w:val="21"/>
      <w:lang w:val="en-US" w:eastAsia="zh-CN" w:bidi="ar-SA"/>
    </w:rPr>
  </w:style>
  <w:style w:type="character" w:customStyle="1" w:styleId="CharCharChar5">
    <w:name w:val="文本匡小五号 Char Char Char"/>
    <w:semiHidden/>
    <w:qFormat/>
    <w:rPr>
      <w:rFonts w:ascii="宋体" w:eastAsia="仿宋_GB2312" w:hAnsi="宋体" w:cs="Courier New"/>
      <w:kern w:val="2"/>
      <w:sz w:val="18"/>
      <w:szCs w:val="24"/>
      <w:lang w:val="en-US" w:eastAsia="zh-CN" w:bidi="ar-SA"/>
    </w:rPr>
  </w:style>
  <w:style w:type="character" w:customStyle="1" w:styleId="WebCharChar">
    <w:name w:val="普通 (Web) Char Char"/>
    <w:qFormat/>
    <w:rPr>
      <w:rFonts w:ascii="宋体" w:eastAsia="宋体" w:hAnsi="宋体" w:cs="宋体"/>
      <w:sz w:val="24"/>
      <w:szCs w:val="24"/>
      <w:lang w:val="en-US" w:eastAsia="zh-CN" w:bidi="ar-SA"/>
    </w:rPr>
  </w:style>
  <w:style w:type="character" w:customStyle="1" w:styleId="headline-content2">
    <w:name w:val="headline-content2"/>
    <w:qFormat/>
    <w:rPr>
      <w:rFonts w:cs="Times New Roman"/>
    </w:rPr>
  </w:style>
  <w:style w:type="character" w:customStyle="1" w:styleId="CharChar162">
    <w:name w:val="Char Char162"/>
    <w:qFormat/>
    <w:rPr>
      <w:rFonts w:ascii="仿宋_GB2312" w:eastAsia="仿宋_GB2312" w:hint="eastAsia"/>
      <w:kern w:val="2"/>
      <w:sz w:val="28"/>
      <w:szCs w:val="21"/>
      <w:lang w:val="en-US" w:eastAsia="zh-CN" w:bidi="ar-SA"/>
    </w:rPr>
  </w:style>
  <w:style w:type="character" w:customStyle="1" w:styleId="H6Char">
    <w:name w:val="H6 Char"/>
    <w:qFormat/>
    <w:rPr>
      <w:rFonts w:ascii="Arial" w:eastAsia="黑体" w:hAnsi="Arial"/>
      <w:b/>
      <w:bCs/>
      <w:kern w:val="2"/>
      <w:sz w:val="24"/>
      <w:szCs w:val="24"/>
      <w:lang w:val="en-US" w:eastAsia="zh-CN" w:bidi="ar-SA"/>
    </w:rPr>
  </w:style>
  <w:style w:type="character" w:customStyle="1" w:styleId="Char1f1">
    <w:name w:val="第三层条 Char1"/>
    <w:qFormat/>
    <w:rPr>
      <w:rFonts w:ascii="Times New Roman" w:eastAsia="宋体" w:hAnsi="Times New Roman" w:cs="Times New Roman" w:hint="default"/>
      <w:b/>
      <w:bCs/>
      <w:sz w:val="28"/>
      <w:szCs w:val="28"/>
    </w:rPr>
  </w:style>
  <w:style w:type="character" w:customStyle="1" w:styleId="Charffffa">
    <w:name w:val="封面 Char"/>
    <w:link w:val="affffffff9"/>
    <w:qFormat/>
    <w:rPr>
      <w:rFonts w:ascii="Arial" w:eastAsia="仿宋_GB2312" w:hAnsi="Arial"/>
      <w:b/>
      <w:sz w:val="30"/>
    </w:rPr>
  </w:style>
  <w:style w:type="paragraph" w:customStyle="1" w:styleId="affffffff9">
    <w:name w:val="封面"/>
    <w:basedOn w:val="a"/>
    <w:link w:val="Charffffa"/>
    <w:qFormat/>
    <w:pPr>
      <w:adjustRightInd w:val="0"/>
      <w:spacing w:before="60" w:line="360" w:lineRule="auto"/>
      <w:ind w:firstLine="482"/>
      <w:jc w:val="center"/>
      <w:textAlignment w:val="baseline"/>
    </w:pPr>
    <w:rPr>
      <w:rFonts w:ascii="Arial" w:eastAsia="仿宋_GB2312" w:hAnsi="Arial"/>
      <w:b/>
      <w:sz w:val="30"/>
    </w:rPr>
  </w:style>
  <w:style w:type="character" w:customStyle="1" w:styleId="h31">
    <w:name w:val="h31"/>
    <w:qFormat/>
    <w:rPr>
      <w:rFonts w:cs="Times New Roman"/>
      <w:sz w:val="21"/>
      <w:szCs w:val="21"/>
    </w:rPr>
  </w:style>
  <w:style w:type="character" w:customStyle="1" w:styleId="CharChar313">
    <w:name w:val="Char Char313"/>
    <w:qFormat/>
    <w:rPr>
      <w:rFonts w:ascii="Arial" w:eastAsia="宋体" w:hAnsi="Arial" w:cs="Arial"/>
      <w:b/>
      <w:bCs/>
      <w:kern w:val="2"/>
      <w:sz w:val="32"/>
      <w:szCs w:val="32"/>
      <w:lang w:val="en-US" w:eastAsia="zh-CN" w:bidi="ar-SA"/>
    </w:rPr>
  </w:style>
  <w:style w:type="character" w:customStyle="1" w:styleId="font31">
    <w:name w:val="font31"/>
    <w:qFormat/>
    <w:rPr>
      <w:rFonts w:ascii="宋体" w:eastAsia="宋体" w:hAnsi="宋体" w:hint="eastAsia"/>
      <w:color w:val="000000"/>
      <w:sz w:val="18"/>
      <w:szCs w:val="18"/>
      <w:u w:val="none"/>
    </w:rPr>
  </w:style>
  <w:style w:type="character" w:customStyle="1" w:styleId="Charffffb">
    <w:name w:val="尾注文本 Char"/>
    <w:qFormat/>
    <w:rPr>
      <w:kern w:val="2"/>
      <w:sz w:val="21"/>
      <w:szCs w:val="24"/>
    </w:rPr>
  </w:style>
  <w:style w:type="character" w:customStyle="1" w:styleId="searchcontent1">
    <w:name w:val="search_content1"/>
    <w:qFormat/>
    <w:rPr>
      <w:sz w:val="20"/>
      <w:szCs w:val="20"/>
    </w:rPr>
  </w:style>
  <w:style w:type="character" w:customStyle="1" w:styleId="scc">
    <w:name w:val="s c c"/>
    <w:qFormat/>
  </w:style>
  <w:style w:type="character" w:customStyle="1" w:styleId="CharChar221">
    <w:name w:val="Char Char221"/>
    <w:qFormat/>
    <w:rPr>
      <w:rFonts w:ascii="Times New Roman" w:eastAsia="宋体" w:hAnsi="Times New Roman" w:cs="Times New Roman" w:hint="default"/>
      <w:b/>
      <w:kern w:val="44"/>
      <w:sz w:val="44"/>
      <w:szCs w:val="21"/>
      <w:lang w:val="en-US" w:eastAsia="zh-CN" w:bidi="ar-SA"/>
    </w:rPr>
  </w:style>
  <w:style w:type="character" w:customStyle="1" w:styleId="2e">
    <w:name w:val="信息标题 字符2"/>
    <w:link w:val="affe"/>
    <w:qFormat/>
    <w:locked/>
    <w:rPr>
      <w:rFonts w:ascii="Arial" w:eastAsia="仿宋_GB2312" w:hAnsi="Arial"/>
      <w:shd w:val="pct20" w:color="auto" w:fill="auto"/>
    </w:rPr>
  </w:style>
  <w:style w:type="character" w:customStyle="1" w:styleId="affffffffa">
    <w:name w:val="信息标题 字符"/>
    <w:basedOn w:val="a1"/>
    <w:qFormat/>
    <w:rPr>
      <w:rFonts w:asciiTheme="majorHAnsi" w:eastAsiaTheme="majorEastAsia" w:hAnsiTheme="majorHAnsi" w:cstheme="majorBidi"/>
      <w:sz w:val="24"/>
      <w:szCs w:val="24"/>
      <w:shd w:val="pct20" w:color="auto" w:fill="auto"/>
    </w:rPr>
  </w:style>
  <w:style w:type="character" w:customStyle="1" w:styleId="314">
    <w:name w:val="标题 31"/>
    <w:qFormat/>
    <w:rPr>
      <w:rFonts w:eastAsia="宋体" w:cs="Times New Roman"/>
      <w:sz w:val="28"/>
      <w:lang w:val="en-US" w:eastAsia="zh-CN" w:bidi="ar-SA"/>
    </w:rPr>
  </w:style>
  <w:style w:type="character" w:customStyle="1" w:styleId="work4">
    <w:name w:val="work4"/>
    <w:qFormat/>
    <w:rPr>
      <w:sz w:val="18"/>
      <w:szCs w:val="18"/>
      <w:u w:val="none"/>
    </w:rPr>
  </w:style>
  <w:style w:type="character" w:customStyle="1" w:styleId="bb1">
    <w:name w:val="bb1"/>
    <w:qFormat/>
    <w:rPr>
      <w:rFonts w:ascii="Times New Roman" w:hAnsi="Times New Roman" w:cs="Times New Roman" w:hint="default"/>
      <w:color w:val="000000"/>
      <w:sz w:val="24"/>
      <w:szCs w:val="24"/>
      <w:u w:val="none"/>
    </w:rPr>
  </w:style>
  <w:style w:type="character" w:customStyle="1" w:styleId="-07415CharChar">
    <w:name w:val="段落-首行缩进:  0.74 厘米 行距: 1.5 倍行距 Char Char"/>
    <w:qFormat/>
    <w:rPr>
      <w:rFonts w:ascii="宋体" w:eastAsia="宋体" w:hAnsi="宋体" w:cs="宋体"/>
      <w:kern w:val="2"/>
      <w:sz w:val="28"/>
      <w:szCs w:val="28"/>
      <w:lang w:val="en-US" w:eastAsia="zh-CN" w:bidi="ar-SA"/>
    </w:rPr>
  </w:style>
  <w:style w:type="character" w:customStyle="1" w:styleId="1ff8">
    <w:name w:val="批注文字 字符1"/>
    <w:qFormat/>
    <w:rPr>
      <w:sz w:val="24"/>
    </w:rPr>
  </w:style>
  <w:style w:type="character" w:customStyle="1" w:styleId="lineh221">
    <w:name w:val="line_h221"/>
    <w:qFormat/>
  </w:style>
  <w:style w:type="character" w:customStyle="1" w:styleId="CharChar25">
    <w:name w:val="Char Char25"/>
    <w:qFormat/>
    <w:rPr>
      <w:rFonts w:ascii="宋体" w:eastAsia="宋体" w:hAnsi="宋体" w:hint="eastAsia"/>
      <w:color w:val="000000"/>
      <w:kern w:val="2"/>
      <w:sz w:val="24"/>
      <w:szCs w:val="24"/>
      <w:lang w:val="en-US" w:eastAsia="zh-CN" w:bidi="ar-SA"/>
    </w:rPr>
  </w:style>
  <w:style w:type="character" w:customStyle="1" w:styleId="apple-converted-space">
    <w:name w:val="apple-converted-space"/>
    <w:qFormat/>
    <w:rPr>
      <w:rFonts w:cs="Times New Roman"/>
    </w:rPr>
  </w:style>
  <w:style w:type="character" w:customStyle="1" w:styleId="aChar1">
    <w:name w:val="干标题(a) Char1"/>
    <w:qFormat/>
    <w:locked/>
    <w:rPr>
      <w:rFonts w:ascii="Arial" w:eastAsia="黑体" w:hAnsi="Arial"/>
      <w:kern w:val="2"/>
      <w:sz w:val="24"/>
      <w:lang w:val="en-US" w:eastAsia="zh-CN" w:bidi="ar-SA"/>
    </w:rPr>
  </w:style>
  <w:style w:type="character" w:customStyle="1" w:styleId="Charffffc">
    <w:name w:val="表格文字 Char"/>
    <w:link w:val="affffffffb"/>
    <w:qFormat/>
    <w:locked/>
    <w:rPr>
      <w:rFonts w:eastAsia="宋体"/>
      <w:sz w:val="24"/>
      <w:szCs w:val="24"/>
    </w:rPr>
  </w:style>
  <w:style w:type="paragraph" w:customStyle="1" w:styleId="affffffffb">
    <w:name w:val="表格文字"/>
    <w:basedOn w:val="a"/>
    <w:link w:val="Charffffc"/>
    <w:qFormat/>
    <w:pPr>
      <w:spacing w:line="360" w:lineRule="exact"/>
      <w:jc w:val="center"/>
    </w:pPr>
    <w:rPr>
      <w:rFonts w:eastAsia="宋体"/>
      <w:sz w:val="24"/>
      <w:szCs w:val="24"/>
    </w:rPr>
  </w:style>
  <w:style w:type="character" w:customStyle="1" w:styleId="1ff9">
    <w:name w:val="明显参考1"/>
    <w:uiPriority w:val="32"/>
    <w:qFormat/>
    <w:rPr>
      <w:rFonts w:ascii="宋体" w:eastAsia="宋体" w:hAnsi="宋体"/>
      <w:b/>
      <w:bCs/>
      <w:smallCaps/>
      <w:color w:val="C0504D"/>
      <w:spacing w:val="5"/>
    </w:rPr>
  </w:style>
  <w:style w:type="character" w:customStyle="1" w:styleId="value">
    <w:name w:val="value"/>
    <w:basedOn w:val="a1"/>
    <w:qFormat/>
  </w:style>
  <w:style w:type="character" w:customStyle="1" w:styleId="Charffffd">
    <w:name w:val="图文框 Char"/>
    <w:link w:val="affffffffc"/>
    <w:qFormat/>
    <w:rPr>
      <w:color w:val="000000"/>
      <w:szCs w:val="21"/>
    </w:rPr>
  </w:style>
  <w:style w:type="paragraph" w:customStyle="1" w:styleId="affffffffc">
    <w:name w:val="图文框"/>
    <w:basedOn w:val="a"/>
    <w:link w:val="Charffffd"/>
    <w:qFormat/>
    <w:pPr>
      <w:autoSpaceDE w:val="0"/>
      <w:autoSpaceDN w:val="0"/>
      <w:adjustRightInd w:val="0"/>
      <w:snapToGrid w:val="0"/>
      <w:spacing w:line="320" w:lineRule="exact"/>
      <w:jc w:val="center"/>
      <w:textAlignment w:val="baseline"/>
    </w:pPr>
    <w:rPr>
      <w:color w:val="000000"/>
      <w:szCs w:val="21"/>
    </w:rPr>
  </w:style>
  <w:style w:type="character" w:customStyle="1" w:styleId="3f9">
    <w:name w:val="正文文本 3 字符"/>
    <w:qFormat/>
    <w:rPr>
      <w:rFonts w:ascii="Times New Roman" w:eastAsia="宋体" w:hAnsi="Times New Roman" w:cs="Times New Roman"/>
      <w:color w:val="FF0000"/>
      <w:kern w:val="0"/>
      <w:sz w:val="24"/>
      <w:szCs w:val="20"/>
      <w:lang w:val="en-JM"/>
    </w:rPr>
  </w:style>
  <w:style w:type="character" w:customStyle="1" w:styleId="Charffffe">
    <w:name w:val="环表头 Char"/>
    <w:qFormat/>
    <w:rPr>
      <w:rFonts w:ascii="黑体" w:eastAsia="黑体" w:hAnsi="宋体" w:cs="Courier New"/>
      <w:color w:val="000000"/>
      <w:sz w:val="24"/>
      <w:szCs w:val="24"/>
      <w:lang w:val="en-US" w:eastAsia="zh-CN" w:bidi="ar-SA"/>
    </w:rPr>
  </w:style>
  <w:style w:type="character" w:customStyle="1" w:styleId="CharCharfd">
    <w:name w:val="二级条标题 Char Char"/>
    <w:qFormat/>
    <w:rPr>
      <w:rFonts w:ascii="黑体" w:eastAsia="黑体"/>
      <w:sz w:val="21"/>
      <w:lang w:val="en-US" w:eastAsia="zh-CN" w:bidi="ar-SA"/>
    </w:rPr>
  </w:style>
  <w:style w:type="character" w:customStyle="1" w:styleId="z11">
    <w:name w:val="z11"/>
    <w:qFormat/>
    <w:rPr>
      <w:rFonts w:ascii="Arial" w:hAnsi="Arial" w:cs="Arial" w:hint="default"/>
      <w:color w:val="000000"/>
      <w:sz w:val="18"/>
      <w:szCs w:val="18"/>
      <w:u w:val="none"/>
    </w:rPr>
  </w:style>
  <w:style w:type="character" w:customStyle="1" w:styleId="affc">
    <w:name w:val="脚注文本 字符"/>
    <w:link w:val="affb"/>
    <w:qFormat/>
    <w:rPr>
      <w:rFonts w:ascii="Arial" w:eastAsia="仿宋_GB2312" w:hAnsi="Arial"/>
      <w:sz w:val="18"/>
      <w:szCs w:val="18"/>
    </w:rPr>
  </w:style>
  <w:style w:type="character" w:customStyle="1" w:styleId="2ffc">
    <w:name w:val="脚注文本 字符2"/>
    <w:basedOn w:val="a1"/>
    <w:uiPriority w:val="99"/>
    <w:semiHidden/>
    <w:rPr>
      <w:sz w:val="18"/>
      <w:szCs w:val="18"/>
    </w:rPr>
  </w:style>
  <w:style w:type="character" w:customStyle="1" w:styleId="lh151">
    <w:name w:val="lh151"/>
    <w:qFormat/>
  </w:style>
  <w:style w:type="character" w:customStyle="1" w:styleId="Char27">
    <w:name w:val="正文文本 Char2"/>
    <w:qFormat/>
    <w:locked/>
    <w:rPr>
      <w:rFonts w:ascii="仿宋_GB2312" w:eastAsia="仿宋_GB2312"/>
      <w:sz w:val="28"/>
      <w:lang w:val="en-US" w:eastAsia="zh-CN" w:bidi="ar-SA"/>
    </w:rPr>
  </w:style>
  <w:style w:type="character" w:customStyle="1" w:styleId="Charfffff">
    <w:name w:val="二级无标题条 Char"/>
    <w:link w:val="affffffffd"/>
    <w:qFormat/>
    <w:rPr>
      <w:szCs w:val="24"/>
    </w:rPr>
  </w:style>
  <w:style w:type="paragraph" w:customStyle="1" w:styleId="affffffffd">
    <w:name w:val="二级无标题条"/>
    <w:basedOn w:val="a"/>
    <w:link w:val="Charfffff"/>
    <w:qFormat/>
    <w:rPr>
      <w:szCs w:val="24"/>
    </w:rPr>
  </w:style>
  <w:style w:type="character" w:customStyle="1" w:styleId="1ffa">
    <w:name w:val="正文首行缩进 字符1"/>
    <w:qFormat/>
    <w:locked/>
    <w:rPr>
      <w:kern w:val="2"/>
      <w:sz w:val="24"/>
    </w:rPr>
  </w:style>
  <w:style w:type="character" w:customStyle="1" w:styleId="1Charb">
    <w:name w:val="表头1 Char"/>
    <w:link w:val="1ffb"/>
    <w:qFormat/>
    <w:rPr>
      <w:rFonts w:ascii="宋体" w:hAnsi="Arial Black"/>
      <w:color w:val="000000"/>
      <w:sz w:val="24"/>
      <w:szCs w:val="24"/>
    </w:rPr>
  </w:style>
  <w:style w:type="paragraph" w:customStyle="1" w:styleId="1ffb">
    <w:name w:val="表头1"/>
    <w:basedOn w:val="afb"/>
    <w:link w:val="1Charb"/>
    <w:qFormat/>
    <w:pPr>
      <w:jc w:val="center"/>
    </w:pPr>
    <w:rPr>
      <w:rFonts w:eastAsiaTheme="minorEastAsia" w:hAnsi="Arial Black" w:cstheme="minorBidi"/>
      <w:color w:val="000000"/>
      <w:kern w:val="2"/>
      <w:sz w:val="24"/>
      <w:szCs w:val="24"/>
    </w:rPr>
  </w:style>
  <w:style w:type="character" w:customStyle="1" w:styleId="5Char3">
    <w:name w:val="标题5 Char"/>
    <w:link w:val="5110"/>
    <w:qFormat/>
    <w:rPr>
      <w:rFonts w:ascii="宋体" w:eastAsia="宋体" w:hAnsi="宋体" w:cs="宋体"/>
      <w:b/>
      <w:sz w:val="28"/>
      <w:szCs w:val="28"/>
      <w:lang w:val="zh-CN"/>
    </w:rPr>
  </w:style>
  <w:style w:type="paragraph" w:customStyle="1" w:styleId="5110">
    <w:name w:val="标题511"/>
    <w:basedOn w:val="a"/>
    <w:next w:val="a"/>
    <w:link w:val="5Char3"/>
    <w:qFormat/>
    <w:pPr>
      <w:keepNext/>
      <w:spacing w:line="360" w:lineRule="auto"/>
      <w:ind w:firstLineChars="200" w:firstLine="480"/>
      <w:jc w:val="left"/>
      <w:outlineLvl w:val="4"/>
    </w:pPr>
    <w:rPr>
      <w:rFonts w:ascii="宋体" w:eastAsia="宋体" w:hAnsi="宋体" w:cs="宋体" w:hint="eastAsia"/>
      <w:b/>
      <w:sz w:val="28"/>
      <w:szCs w:val="28"/>
      <w:lang w:val="zh-CN"/>
    </w:rPr>
  </w:style>
  <w:style w:type="character" w:customStyle="1" w:styleId="style61">
    <w:name w:val="style61"/>
    <w:qFormat/>
    <w:rPr>
      <w:rFonts w:cs="Times New Roman"/>
      <w:sz w:val="45"/>
      <w:szCs w:val="45"/>
    </w:rPr>
  </w:style>
  <w:style w:type="character" w:customStyle="1" w:styleId="14normal1">
    <w:name w:val="14normal1"/>
    <w:qFormat/>
    <w:rPr>
      <w:rFonts w:ascii="ˎ̥" w:eastAsia="宋体" w:hAnsi="ˎ̥" w:hint="default"/>
      <w:color w:val="000000"/>
      <w:kern w:val="2"/>
      <w:sz w:val="15"/>
      <w:szCs w:val="15"/>
      <w:lang w:val="en-US" w:eastAsia="zh-CN" w:bidi="ar-SA"/>
    </w:rPr>
  </w:style>
  <w:style w:type="character" w:customStyle="1" w:styleId="161">
    <w:name w:val="16"/>
    <w:qFormat/>
    <w:rPr>
      <w:rFonts w:ascii="宋体" w:eastAsia="宋体" w:hAnsi="宋体" w:hint="eastAsia"/>
      <w:sz w:val="28"/>
      <w:szCs w:val="28"/>
    </w:rPr>
  </w:style>
  <w:style w:type="character" w:customStyle="1" w:styleId="visited-times">
    <w:name w:val="visited-times"/>
    <w:qFormat/>
  </w:style>
  <w:style w:type="character" w:customStyle="1" w:styleId="sss1">
    <w:name w:val="sss1"/>
    <w:qFormat/>
    <w:rPr>
      <w:rFonts w:ascii="宋体" w:eastAsia="宋体" w:hAnsi="宋体" w:hint="eastAsia"/>
      <w:color w:val="999999"/>
      <w:sz w:val="21"/>
      <w:szCs w:val="21"/>
      <w:u w:val="none"/>
    </w:rPr>
  </w:style>
  <w:style w:type="character" w:customStyle="1" w:styleId="CharChar21">
    <w:name w:val="首行缩进 Char Char2"/>
    <w:qFormat/>
    <w:rPr>
      <w:rFonts w:ascii="宋体" w:eastAsia="宋体" w:hAnsi="宋体" w:hint="eastAsia"/>
      <w:kern w:val="2"/>
      <w:sz w:val="24"/>
      <w:szCs w:val="24"/>
      <w:lang w:val="en-US" w:eastAsia="zh-CN" w:bidi="ar-SA"/>
    </w:rPr>
  </w:style>
  <w:style w:type="character" w:customStyle="1" w:styleId="811">
    <w:name w:val="样式81"/>
    <w:qFormat/>
    <w:rPr>
      <w:rFonts w:ascii="宋体" w:eastAsia="宋体" w:hAnsi="宋体" w:hint="eastAsia"/>
      <w:kern w:val="2"/>
      <w:sz w:val="28"/>
      <w:szCs w:val="28"/>
      <w:lang w:val="en-US" w:eastAsia="zh-CN" w:bidi="ar-SA"/>
    </w:rPr>
  </w:style>
  <w:style w:type="character" w:customStyle="1" w:styleId="wd12lan1">
    <w:name w:val="wd12lan1"/>
    <w:qFormat/>
    <w:rPr>
      <w:color w:val="075891"/>
      <w:sz w:val="20"/>
      <w:szCs w:val="20"/>
      <w:u w:val="none"/>
    </w:rPr>
  </w:style>
  <w:style w:type="character" w:customStyle="1" w:styleId="Charfffff0">
    <w:name w:val="环评正文文字缩进（江东模板） Char"/>
    <w:qFormat/>
    <w:rPr>
      <w:rFonts w:ascii="宋体" w:hAnsi="宋体"/>
      <w:sz w:val="24"/>
    </w:rPr>
  </w:style>
  <w:style w:type="character" w:customStyle="1" w:styleId="msonormal1">
    <w:name w:val="msonormal1"/>
    <w:qFormat/>
    <w:rPr>
      <w:rFonts w:ascii="宋体" w:eastAsia="宋体" w:hAnsi="宋体" w:hint="eastAsia"/>
      <w:kern w:val="2"/>
      <w:sz w:val="21"/>
      <w:szCs w:val="21"/>
      <w:lang w:val="en-US" w:eastAsia="zh-CN" w:bidi="ar-SA"/>
    </w:rPr>
  </w:style>
  <w:style w:type="character" w:customStyle="1" w:styleId="Char1f2">
    <w:name w:val="正文首行缩进 Char1"/>
    <w:uiPriority w:val="99"/>
    <w:qFormat/>
    <w:rPr>
      <w:rFonts w:ascii="Times New Roman" w:eastAsia="宋体" w:hAnsi="Times New Roman" w:cs="Times New Roman"/>
      <w:kern w:val="0"/>
      <w:sz w:val="20"/>
      <w:szCs w:val="20"/>
    </w:rPr>
  </w:style>
  <w:style w:type="character" w:customStyle="1" w:styleId="style21">
    <w:name w:val="style21"/>
    <w:qFormat/>
    <w:rPr>
      <w:rFonts w:cs="Times New Roman"/>
      <w:color w:val="FF0000"/>
    </w:rPr>
  </w:style>
  <w:style w:type="character" w:customStyle="1" w:styleId="CharCharfe">
    <w:name w:val="表格字体 Char Char"/>
    <w:link w:val="affffffffe"/>
    <w:qFormat/>
    <w:rPr>
      <w:rFonts w:ascii="宋体" w:hAnsi="宋体" w:cs="宋体"/>
      <w:szCs w:val="24"/>
    </w:rPr>
  </w:style>
  <w:style w:type="paragraph" w:customStyle="1" w:styleId="affffffffe">
    <w:name w:val="表格字体"/>
    <w:basedOn w:val="a"/>
    <w:link w:val="CharCharfe"/>
    <w:qFormat/>
    <w:pPr>
      <w:widowControl/>
      <w:snapToGrid w:val="0"/>
      <w:spacing w:line="276" w:lineRule="auto"/>
      <w:jc w:val="left"/>
    </w:pPr>
    <w:rPr>
      <w:rFonts w:ascii="宋体" w:hAnsi="宋体" w:cs="宋体"/>
      <w:szCs w:val="24"/>
    </w:rPr>
  </w:style>
  <w:style w:type="character" w:customStyle="1" w:styleId="Charfffff1">
    <w:name w:val="脚注文本 Char"/>
    <w:qFormat/>
    <w:rPr>
      <w:kern w:val="2"/>
      <w:sz w:val="18"/>
      <w:szCs w:val="18"/>
    </w:rPr>
  </w:style>
  <w:style w:type="character" w:customStyle="1" w:styleId="121">
    <w:name w:val="明显强调12"/>
    <w:qFormat/>
    <w:rPr>
      <w:rFonts w:cs="Times New Roman"/>
      <w:b/>
      <w:i/>
      <w:sz w:val="24"/>
      <w:szCs w:val="24"/>
      <w:u w:val="single"/>
    </w:rPr>
  </w:style>
  <w:style w:type="character" w:customStyle="1" w:styleId="font14160style19">
    <w:name w:val="font14_160 style19"/>
    <w:qFormat/>
  </w:style>
  <w:style w:type="character" w:customStyle="1" w:styleId="9css21">
    <w:name w:val="9css21"/>
    <w:basedOn w:val="a1"/>
    <w:qFormat/>
  </w:style>
  <w:style w:type="character" w:customStyle="1" w:styleId="CharCharCharCharCharCharChar11">
    <w:name w:val="Char Char Char Char Char Char Char11"/>
    <w:link w:val="CharCharCharCharCharChar11"/>
    <w:qFormat/>
    <w:rPr>
      <w:sz w:val="24"/>
      <w:szCs w:val="24"/>
    </w:rPr>
  </w:style>
  <w:style w:type="paragraph" w:customStyle="1" w:styleId="CharCharCharCharCharChar11">
    <w:name w:val="Char Char Char Char Char Char11"/>
    <w:basedOn w:val="a"/>
    <w:link w:val="CharCharCharCharCharCharChar11"/>
    <w:qFormat/>
    <w:rPr>
      <w:sz w:val="24"/>
      <w:szCs w:val="24"/>
    </w:rPr>
  </w:style>
  <w:style w:type="character" w:customStyle="1" w:styleId="1ffc">
    <w:name w:val="文档结构图 字符1"/>
    <w:qFormat/>
    <w:locked/>
    <w:rPr>
      <w:kern w:val="2"/>
      <w:sz w:val="21"/>
      <w:szCs w:val="24"/>
    </w:rPr>
  </w:style>
  <w:style w:type="character" w:customStyle="1" w:styleId="CharCharCharCharCharCharChar2">
    <w:name w:val="Char Char Char Char Char Char Char2"/>
    <w:link w:val="CharCharCharCharCharChar2"/>
    <w:qFormat/>
    <w:locked/>
    <w:rPr>
      <w:rFonts w:eastAsia="宋体"/>
      <w:sz w:val="24"/>
      <w:szCs w:val="24"/>
    </w:rPr>
  </w:style>
  <w:style w:type="paragraph" w:customStyle="1" w:styleId="CharCharCharCharCharChar2">
    <w:name w:val="Char Char Char Char Char Char2"/>
    <w:basedOn w:val="a"/>
    <w:link w:val="CharCharCharCharCharCharChar2"/>
    <w:qFormat/>
    <w:rPr>
      <w:rFonts w:eastAsia="宋体"/>
      <w:sz w:val="24"/>
      <w:szCs w:val="24"/>
    </w:rPr>
  </w:style>
  <w:style w:type="character" w:customStyle="1" w:styleId="2CharChar30">
    <w:name w:val="目录2 Char Char3"/>
    <w:qFormat/>
    <w:rPr>
      <w:rFonts w:eastAsia="宋体"/>
      <w:b/>
      <w:bCs/>
      <w:caps/>
      <w:lang w:val="en-US" w:eastAsia="zh-CN" w:bidi="ar-SA"/>
    </w:rPr>
  </w:style>
  <w:style w:type="character" w:customStyle="1" w:styleId="2CharChar22">
    <w:name w:val="页眉2 Char Char2"/>
    <w:qFormat/>
    <w:rPr>
      <w:rFonts w:ascii="宋体" w:eastAsia="宋体" w:hAnsi="宋体" w:hint="eastAsia"/>
      <w:kern w:val="2"/>
      <w:sz w:val="18"/>
      <w:szCs w:val="18"/>
      <w:lang w:val="en-US" w:eastAsia="zh-CN" w:bidi="ar-SA"/>
    </w:rPr>
  </w:style>
  <w:style w:type="character" w:customStyle="1" w:styleId="afffffffff">
    <w:name w:val="无间隔 字符"/>
    <w:link w:val="1ffd"/>
    <w:qFormat/>
    <w:rPr>
      <w:rFonts w:ascii="Arial" w:eastAsia="仿宋" w:hAnsi="Arial"/>
      <w:w w:val="90"/>
      <w:sz w:val="24"/>
      <w:szCs w:val="24"/>
    </w:rPr>
  </w:style>
  <w:style w:type="paragraph" w:customStyle="1" w:styleId="1ffd">
    <w:name w:val="无间隔1"/>
    <w:link w:val="afffffffff"/>
    <w:qFormat/>
    <w:pPr>
      <w:widowControl w:val="0"/>
      <w:jc w:val="both"/>
    </w:pPr>
    <w:rPr>
      <w:rFonts w:ascii="Arial" w:eastAsia="仿宋" w:hAnsi="Arial"/>
      <w:w w:val="90"/>
      <w:kern w:val="2"/>
      <w:sz w:val="24"/>
      <w:szCs w:val="24"/>
    </w:rPr>
  </w:style>
  <w:style w:type="character" w:customStyle="1" w:styleId="2TimesNewRomanChar">
    <w:name w:val="样式 标题 2 + (西文) Times New Roman (中文) 宋体 Char"/>
    <w:link w:val="2TimesNewRoman"/>
    <w:qFormat/>
    <w:rPr>
      <w:sz w:val="28"/>
      <w:szCs w:val="28"/>
    </w:rPr>
  </w:style>
  <w:style w:type="paragraph" w:customStyle="1" w:styleId="2TimesNewRoman">
    <w:name w:val="样式 标题 2 + (西文) Times New Roman (中文) 宋体"/>
    <w:basedOn w:val="2"/>
    <w:link w:val="2TimesNewRomanChar"/>
    <w:qFormat/>
    <w:pPr>
      <w:tabs>
        <w:tab w:val="left" w:pos="927"/>
        <w:tab w:val="left" w:pos="1419"/>
      </w:tabs>
      <w:spacing w:before="0" w:after="0" w:line="500" w:lineRule="atLeast"/>
      <w:ind w:firstLine="567"/>
    </w:pPr>
    <w:rPr>
      <w:rFonts w:asciiTheme="minorHAnsi" w:eastAsiaTheme="minorEastAsia" w:hAnsiTheme="minorHAnsi" w:cstheme="minorBidi"/>
      <w:b w:val="0"/>
      <w:bCs w:val="0"/>
      <w:sz w:val="28"/>
      <w:szCs w:val="28"/>
    </w:rPr>
  </w:style>
  <w:style w:type="character" w:customStyle="1" w:styleId="soqzabs">
    <w:name w:val="soqzabs"/>
    <w:qFormat/>
  </w:style>
  <w:style w:type="character" w:customStyle="1" w:styleId="2Char10">
    <w:name w:val="标题 2 Char1"/>
    <w:qFormat/>
    <w:rPr>
      <w:rFonts w:ascii="黑体" w:eastAsia="黑体" w:cs="Times New Roman"/>
      <w:bCs/>
      <w:color w:val="000000"/>
      <w:sz w:val="30"/>
      <w:szCs w:val="30"/>
      <w:lang w:val="en-US" w:eastAsia="zh-CN" w:bidi="ar-SA"/>
    </w:rPr>
  </w:style>
  <w:style w:type="character" w:customStyle="1" w:styleId="CharCharff">
    <w:name w:val="二级无标题条 Char Char"/>
    <w:qFormat/>
    <w:rPr>
      <w:rFonts w:eastAsia="宋体"/>
      <w:kern w:val="2"/>
      <w:sz w:val="21"/>
      <w:szCs w:val="24"/>
      <w:lang w:val="en-US" w:eastAsia="zh-CN" w:bidi="ar-SA"/>
    </w:rPr>
  </w:style>
  <w:style w:type="character" w:customStyle="1" w:styleId="122">
    <w:name w:val="标题 1 字符2"/>
    <w:qFormat/>
    <w:locked/>
    <w:rPr>
      <w:b/>
      <w:bCs/>
      <w:kern w:val="44"/>
      <w:sz w:val="44"/>
      <w:szCs w:val="44"/>
    </w:rPr>
  </w:style>
  <w:style w:type="character" w:customStyle="1" w:styleId="style151">
    <w:name w:val="style151"/>
    <w:qFormat/>
    <w:rPr>
      <w:color w:val="000000"/>
    </w:rPr>
  </w:style>
  <w:style w:type="character" w:customStyle="1" w:styleId="z31">
    <w:name w:val="z31"/>
    <w:qFormat/>
    <w:rPr>
      <w:rFonts w:hint="default"/>
      <w:color w:val="FF0000"/>
      <w:sz w:val="18"/>
      <w:szCs w:val="18"/>
    </w:rPr>
  </w:style>
  <w:style w:type="character" w:customStyle="1" w:styleId="2Char4">
    <w:name w:val="表格样式2 Char"/>
    <w:qFormat/>
    <w:rPr>
      <w:rFonts w:ascii="宋体" w:eastAsia="宋体" w:hAnsi="宋体"/>
      <w:sz w:val="24"/>
      <w:szCs w:val="24"/>
      <w:lang w:val="zh-CN" w:eastAsia="zh-CN" w:bidi="ar-SA"/>
    </w:rPr>
  </w:style>
  <w:style w:type="character" w:customStyle="1" w:styleId="scs62">
    <w:name w:val="scs62"/>
    <w:qFormat/>
  </w:style>
  <w:style w:type="character" w:customStyle="1" w:styleId="820">
    <w:name w:val="标题 8 字符2"/>
    <w:semiHidden/>
    <w:qFormat/>
    <w:locked/>
    <w:rPr>
      <w:rFonts w:ascii="Arial" w:eastAsia="黑体" w:hAnsi="Arial"/>
      <w:kern w:val="2"/>
      <w:sz w:val="24"/>
      <w:szCs w:val="24"/>
    </w:rPr>
  </w:style>
  <w:style w:type="character" w:customStyle="1" w:styleId="CharCharCharCharChar5">
    <w:name w:val="Char Char Char Char Char5"/>
    <w:link w:val="CharCharChar9"/>
    <w:qFormat/>
    <w:rPr>
      <w:sz w:val="24"/>
      <w:szCs w:val="24"/>
      <w:lang w:val="zh-CN"/>
    </w:rPr>
  </w:style>
  <w:style w:type="paragraph" w:customStyle="1" w:styleId="CharCharChar9">
    <w:name w:val="Char Char Char9"/>
    <w:basedOn w:val="a"/>
    <w:link w:val="CharCharCharCharChar5"/>
    <w:qFormat/>
    <w:rPr>
      <w:sz w:val="24"/>
      <w:szCs w:val="24"/>
      <w:lang w:val="zh-CN"/>
    </w:rPr>
  </w:style>
  <w:style w:type="character" w:customStyle="1" w:styleId="oblogtext">
    <w:name w:val="oblog_text"/>
    <w:qFormat/>
    <w:rPr>
      <w:rFonts w:ascii="宋体" w:eastAsia="宋体" w:hAnsi="宋体" w:hint="eastAsia"/>
      <w:kern w:val="2"/>
      <w:sz w:val="21"/>
      <w:szCs w:val="21"/>
      <w:lang w:val="en-US" w:eastAsia="zh-CN" w:bidi="ar-SA"/>
    </w:rPr>
  </w:style>
  <w:style w:type="character" w:customStyle="1" w:styleId="Default15CharChar">
    <w:name w:val="样式 Default + (符号) 宋体 四号 行距: 1.5 倍行距 Char Char"/>
    <w:qFormat/>
    <w:rPr>
      <w:rFonts w:ascii="宋体" w:eastAsia="宋体" w:hAnsi="宋体"/>
      <w:color w:val="000000"/>
      <w:kern w:val="0"/>
      <w:sz w:val="24"/>
    </w:rPr>
  </w:style>
  <w:style w:type="character" w:customStyle="1" w:styleId="CharChar28">
    <w:name w:val="Char Char28"/>
    <w:qFormat/>
    <w:rPr>
      <w:kern w:val="2"/>
      <w:sz w:val="24"/>
    </w:rPr>
  </w:style>
  <w:style w:type="character" w:customStyle="1" w:styleId="3Char11">
    <w:name w:val="正文文本 3 Char1"/>
    <w:uiPriority w:val="99"/>
    <w:qFormat/>
    <w:rPr>
      <w:rFonts w:ascii="Times New Roman" w:eastAsia="宋体" w:hAnsi="Times New Roman" w:cs="Times New Roman"/>
      <w:kern w:val="0"/>
      <w:sz w:val="16"/>
      <w:szCs w:val="16"/>
    </w:rPr>
  </w:style>
  <w:style w:type="character" w:customStyle="1" w:styleId="Charfffff2">
    <w:name w:val="宏文本 Char"/>
    <w:qFormat/>
    <w:rPr>
      <w:rFonts w:ascii="Courier New" w:hAnsi="Courier New" w:cs="Courier New"/>
      <w:kern w:val="2"/>
      <w:sz w:val="24"/>
      <w:szCs w:val="24"/>
    </w:rPr>
  </w:style>
  <w:style w:type="character" w:customStyle="1" w:styleId="CharCharCharCharCharCharChar3">
    <w:name w:val="Char Char Char Char Char Char Char3"/>
    <w:link w:val="CharCharCharCharCharChar3"/>
    <w:qFormat/>
    <w:locked/>
    <w:rPr>
      <w:rFonts w:eastAsia="宋体"/>
      <w:sz w:val="24"/>
      <w:szCs w:val="24"/>
    </w:rPr>
  </w:style>
  <w:style w:type="paragraph" w:customStyle="1" w:styleId="CharCharCharCharCharChar3">
    <w:name w:val="Char Char Char Char Char Char3"/>
    <w:basedOn w:val="a"/>
    <w:link w:val="CharCharCharCharCharCharChar3"/>
    <w:qFormat/>
    <w:rPr>
      <w:rFonts w:eastAsia="宋体"/>
      <w:sz w:val="24"/>
      <w:szCs w:val="24"/>
    </w:rPr>
  </w:style>
  <w:style w:type="character" w:customStyle="1" w:styleId="CharChar112">
    <w:name w:val="Char Char112"/>
    <w:qFormat/>
    <w:rPr>
      <w:rFonts w:eastAsia="宋体"/>
      <w:sz w:val="18"/>
      <w:szCs w:val="18"/>
      <w:lang w:val="en-US" w:eastAsia="zh-CN" w:bidi="ar-SA"/>
    </w:rPr>
  </w:style>
  <w:style w:type="character" w:customStyle="1" w:styleId="2Char5">
    <w:name w:val="正文2 Char"/>
    <w:link w:val="223"/>
    <w:qFormat/>
    <w:rPr>
      <w:sz w:val="24"/>
    </w:rPr>
  </w:style>
  <w:style w:type="paragraph" w:customStyle="1" w:styleId="223">
    <w:name w:val="正文22"/>
    <w:link w:val="2Char5"/>
    <w:qFormat/>
    <w:pPr>
      <w:tabs>
        <w:tab w:val="right" w:pos="1474"/>
      </w:tabs>
      <w:spacing w:line="360" w:lineRule="auto"/>
    </w:pPr>
    <w:rPr>
      <w:kern w:val="2"/>
      <w:sz w:val="24"/>
      <w:szCs w:val="22"/>
    </w:rPr>
  </w:style>
  <w:style w:type="character" w:customStyle="1" w:styleId="z-Char10">
    <w:name w:val="z-窗体顶端 Char1"/>
    <w:uiPriority w:val="99"/>
    <w:semiHidden/>
    <w:qFormat/>
    <w:rPr>
      <w:rFonts w:ascii="Arial" w:hAnsi="Arial" w:cs="Arial"/>
      <w:vanish/>
      <w:kern w:val="2"/>
      <w:sz w:val="16"/>
      <w:szCs w:val="16"/>
    </w:rPr>
  </w:style>
  <w:style w:type="character" w:customStyle="1" w:styleId="1ffe">
    <w:name w:val="日期 字符1"/>
    <w:qFormat/>
    <w:locked/>
    <w:rPr>
      <w:rFonts w:ascii="仿宋_GB2312" w:eastAsia="仿宋_GB2312"/>
      <w:kern w:val="2"/>
      <w:sz w:val="32"/>
    </w:rPr>
  </w:style>
  <w:style w:type="character" w:customStyle="1" w:styleId="afffffffff0">
    <w:name w:val="链接"/>
    <w:qFormat/>
    <w:rPr>
      <w:rFonts w:ascii="Times New Roman" w:eastAsia="宋体"/>
      <w:color w:val="0000FF"/>
      <w:sz w:val="21"/>
      <w:u w:val="single" w:color="0000FF"/>
      <w:vertAlign w:val="baseline"/>
      <w:lang w:val="en-US" w:eastAsia="zh-CN"/>
    </w:rPr>
  </w:style>
  <w:style w:type="character" w:customStyle="1" w:styleId="1CharCharChar">
    <w:name w:val="样式1 Char Char Char"/>
    <w:qFormat/>
    <w:rPr>
      <w:rFonts w:ascii="宋体" w:hAnsi="宋体"/>
      <w:spacing w:val="-12"/>
      <w:kern w:val="2"/>
      <w:sz w:val="24"/>
      <w:szCs w:val="24"/>
    </w:rPr>
  </w:style>
  <w:style w:type="character" w:customStyle="1" w:styleId="SubtleEmphasis1">
    <w:name w:val="Subtle Emphasis1"/>
    <w:qFormat/>
    <w:rPr>
      <w:rFonts w:ascii="宋体" w:eastAsia="宋体" w:hAnsi="宋体"/>
      <w:i/>
      <w:color w:val="808080"/>
      <w:kern w:val="2"/>
      <w:sz w:val="21"/>
      <w:lang w:val="en-US" w:eastAsia="zh-CN"/>
    </w:rPr>
  </w:style>
  <w:style w:type="character" w:customStyle="1" w:styleId="CharChar212">
    <w:name w:val="Char Char212"/>
    <w:qFormat/>
    <w:rPr>
      <w:rFonts w:eastAsia="宋体"/>
      <w:sz w:val="18"/>
      <w:lang w:val="en-US" w:eastAsia="zh-CN" w:bidi="ar-SA"/>
    </w:rPr>
  </w:style>
  <w:style w:type="character" w:customStyle="1" w:styleId="at10">
    <w:name w:val="at_10"/>
    <w:qFormat/>
  </w:style>
  <w:style w:type="character" w:customStyle="1" w:styleId="Charfffff3">
    <w:name w:val="批注引用 Char"/>
    <w:qFormat/>
  </w:style>
  <w:style w:type="character" w:customStyle="1" w:styleId="aa051">
    <w:name w:val="aa051"/>
    <w:qFormat/>
    <w:rPr>
      <w:rFonts w:ascii="宋体" w:eastAsia="宋体" w:hAnsi="宋体" w:hint="eastAsia"/>
      <w:kern w:val="2"/>
      <w:sz w:val="20"/>
      <w:szCs w:val="20"/>
      <w:lang w:val="en-US" w:eastAsia="zh-CN" w:bidi="ar-SA"/>
    </w:rPr>
  </w:style>
  <w:style w:type="character" w:customStyle="1" w:styleId="Charfffff4">
    <w:name w:val="表格标题新 Char"/>
    <w:link w:val="afffffffff1"/>
    <w:qFormat/>
    <w:locked/>
    <w:rPr>
      <w:rFonts w:ascii="仿宋_GB2312" w:eastAsia="黑体"/>
      <w:b/>
      <w:snapToGrid w:val="0"/>
      <w:spacing w:val="4"/>
      <w:sz w:val="24"/>
    </w:rPr>
  </w:style>
  <w:style w:type="paragraph" w:customStyle="1" w:styleId="afffffffff1">
    <w:name w:val="表格标题新"/>
    <w:basedOn w:val="a"/>
    <w:link w:val="Charfffff4"/>
    <w:qFormat/>
    <w:pPr>
      <w:tabs>
        <w:tab w:val="left" w:pos="0"/>
      </w:tabs>
      <w:adjustRightInd w:val="0"/>
      <w:snapToGrid w:val="0"/>
      <w:spacing w:beforeLines="50"/>
      <w:ind w:firstLine="562"/>
      <w:jc w:val="center"/>
    </w:pPr>
    <w:rPr>
      <w:rFonts w:ascii="仿宋_GB2312" w:eastAsia="黑体"/>
      <w:b/>
      <w:snapToGrid w:val="0"/>
      <w:spacing w:val="4"/>
      <w:sz w:val="24"/>
    </w:rPr>
  </w:style>
  <w:style w:type="character" w:customStyle="1" w:styleId="24Char">
    <w:name w:val="样式 小四 行距: 固定值 24 磅 Char"/>
    <w:qFormat/>
    <w:rPr>
      <w:rFonts w:ascii="仿宋_GB2312" w:eastAsia="仿宋_GB2312" w:cs="宋体"/>
      <w:b/>
      <w:bCs/>
      <w:sz w:val="24"/>
    </w:rPr>
  </w:style>
  <w:style w:type="character" w:customStyle="1" w:styleId="CharCharCharCharCharCharCharChar4">
    <w:name w:val="Char Char Char Char Char Char Char Char4"/>
    <w:qFormat/>
    <w:rPr>
      <w:rFonts w:ascii="Times New Roman" w:eastAsia="宋体" w:hAnsi="Times New Roman" w:cs="Times New Roman"/>
      <w:sz w:val="24"/>
      <w:szCs w:val="24"/>
    </w:rPr>
  </w:style>
  <w:style w:type="character" w:customStyle="1" w:styleId="CharChar54">
    <w:name w:val="Char Char54"/>
    <w:qFormat/>
    <w:rPr>
      <w:rFonts w:eastAsia="宋体"/>
      <w:sz w:val="18"/>
      <w:szCs w:val="18"/>
      <w:lang w:val="en-US" w:eastAsia="zh-CN" w:bidi="ar-SA"/>
    </w:rPr>
  </w:style>
  <w:style w:type="character" w:customStyle="1" w:styleId="Charfffff5">
    <w:name w:val="上标 Char"/>
    <w:link w:val="afffffffff2"/>
    <w:qFormat/>
    <w:rPr>
      <w:rFonts w:ascii="宋体" w:hAnsi="宋体"/>
      <w:sz w:val="28"/>
      <w:szCs w:val="28"/>
      <w:vertAlign w:val="superscript"/>
    </w:rPr>
  </w:style>
  <w:style w:type="paragraph" w:customStyle="1" w:styleId="afffffffff2">
    <w:name w:val="上标"/>
    <w:basedOn w:val="a"/>
    <w:link w:val="Charfffff5"/>
    <w:qFormat/>
    <w:pPr>
      <w:widowControl/>
      <w:spacing w:line="500" w:lineRule="exact"/>
      <w:ind w:firstLine="570"/>
      <w:jc w:val="left"/>
    </w:pPr>
    <w:rPr>
      <w:rFonts w:ascii="宋体" w:hAnsi="宋体"/>
      <w:sz w:val="28"/>
      <w:szCs w:val="28"/>
      <w:vertAlign w:val="superscript"/>
    </w:rPr>
  </w:style>
  <w:style w:type="character" w:customStyle="1" w:styleId="1Charc">
    <w:name w:val="标题1改 Char"/>
    <w:link w:val="1fff"/>
    <w:qFormat/>
    <w:rPr>
      <w:rFonts w:ascii="黑体" w:eastAsia="黑体" w:hAnsi="黑体"/>
      <w:bCs/>
      <w:kern w:val="44"/>
      <w:sz w:val="36"/>
      <w:szCs w:val="32"/>
    </w:rPr>
  </w:style>
  <w:style w:type="paragraph" w:customStyle="1" w:styleId="1fff">
    <w:name w:val="标题1改"/>
    <w:basedOn w:val="1"/>
    <w:link w:val="1Charc"/>
    <w:qFormat/>
    <w:pPr>
      <w:keepNext/>
      <w:keepLines/>
      <w:spacing w:before="10" w:after="10" w:line="1000" w:lineRule="exact"/>
      <w:ind w:left="0"/>
      <w:jc w:val="center"/>
    </w:pPr>
    <w:rPr>
      <w:rFonts w:ascii="黑体" w:eastAsia="黑体" w:hAnsi="黑体"/>
      <w:b w:val="0"/>
      <w:kern w:val="44"/>
      <w:sz w:val="36"/>
      <w:szCs w:val="32"/>
      <w:lang w:eastAsia="zh-CN"/>
    </w:rPr>
  </w:style>
  <w:style w:type="character" w:customStyle="1" w:styleId="Char1f3">
    <w:name w:val="尾注文本 Char1"/>
    <w:qFormat/>
    <w:rPr>
      <w:rFonts w:ascii="仿宋_GB2312" w:eastAsia="仿宋_GB2312"/>
      <w:sz w:val="28"/>
      <w:szCs w:val="24"/>
    </w:rPr>
  </w:style>
  <w:style w:type="character" w:customStyle="1" w:styleId="ourfont2">
    <w:name w:val="ourfont2"/>
    <w:qFormat/>
  </w:style>
  <w:style w:type="character" w:customStyle="1" w:styleId="CharCharff0">
    <w:name w:val="正文文字缩进 Char Char"/>
    <w:qFormat/>
    <w:rPr>
      <w:rFonts w:ascii="Bookman Old Style" w:eastAsia="宋体" w:hAnsi="Bookman Old Style"/>
      <w:kern w:val="2"/>
      <w:sz w:val="24"/>
      <w:lang w:val="en-US" w:eastAsia="zh-CN" w:bidi="ar-SA"/>
    </w:rPr>
  </w:style>
  <w:style w:type="character" w:customStyle="1" w:styleId="ft">
    <w:name w:val="ft"/>
    <w:qFormat/>
    <w:rPr>
      <w:rFonts w:cs="Times New Roman"/>
    </w:rPr>
  </w:style>
  <w:style w:type="character" w:customStyle="1" w:styleId="CharCharff1">
    <w:name w:val="前言、引言标题 Char Char"/>
    <w:qFormat/>
    <w:rPr>
      <w:rFonts w:ascii="黑体" w:eastAsia="黑体"/>
      <w:sz w:val="32"/>
      <w:shd w:val="clear" w:color="FFFFFF" w:fill="FFFFFF"/>
      <w:lang w:val="en-US" w:eastAsia="zh-CN" w:bidi="ar-SA"/>
    </w:rPr>
  </w:style>
  <w:style w:type="character" w:customStyle="1" w:styleId="CharCharff2">
    <w:name w:val="节 Char Char"/>
    <w:qFormat/>
    <w:rPr>
      <w:rFonts w:ascii="仿宋_GB2312" w:eastAsia="仿宋_GB2312" w:hAnsi="Arial"/>
      <w:b/>
      <w:bCs/>
      <w:kern w:val="2"/>
      <w:sz w:val="30"/>
      <w:szCs w:val="32"/>
      <w:lang w:val="en-US" w:eastAsia="zh-CN" w:bidi="ar-SA"/>
    </w:rPr>
  </w:style>
  <w:style w:type="character" w:customStyle="1" w:styleId="Charfffff6">
    <w:name w:val="大港正文 Char"/>
    <w:link w:val="afffffffff3"/>
    <w:qFormat/>
    <w:rPr>
      <w:rFonts w:ascii="宋体" w:hAnsi="宋体"/>
      <w:sz w:val="24"/>
      <w:szCs w:val="24"/>
    </w:rPr>
  </w:style>
  <w:style w:type="paragraph" w:customStyle="1" w:styleId="afffffffff3">
    <w:name w:val="大港正文"/>
    <w:basedOn w:val="a"/>
    <w:next w:val="a"/>
    <w:link w:val="Charfffff6"/>
    <w:qFormat/>
    <w:pPr>
      <w:adjustRightInd w:val="0"/>
      <w:snapToGrid w:val="0"/>
      <w:spacing w:line="500" w:lineRule="atLeast"/>
      <w:ind w:firstLineChars="200" w:firstLine="480"/>
    </w:pPr>
    <w:rPr>
      <w:rFonts w:ascii="宋体" w:hAnsi="宋体"/>
      <w:sz w:val="24"/>
      <w:szCs w:val="24"/>
    </w:rPr>
  </w:style>
  <w:style w:type="character" w:customStyle="1" w:styleId="apple-style-span">
    <w:name w:val="apple-style-span"/>
    <w:qFormat/>
    <w:rPr>
      <w:rFonts w:cs="Times New Roman"/>
    </w:rPr>
  </w:style>
  <w:style w:type="character" w:customStyle="1" w:styleId="CharCharff3">
    <w:name w:val="表格标题新 Char Char"/>
    <w:qFormat/>
    <w:rPr>
      <w:rFonts w:ascii="仿宋_GB2312" w:eastAsia="黑体" w:hAnsi="Times New Roman"/>
      <w:b/>
      <w:snapToGrid w:val="0"/>
      <w:spacing w:val="4"/>
      <w:kern w:val="0"/>
      <w:sz w:val="24"/>
    </w:rPr>
  </w:style>
  <w:style w:type="character" w:customStyle="1" w:styleId="unnamed1">
    <w:name w:val="unnamed1"/>
    <w:basedOn w:val="a1"/>
    <w:qFormat/>
  </w:style>
  <w:style w:type="character" w:customStyle="1" w:styleId="CharChar110">
    <w:name w:val="Char Char11"/>
    <w:qFormat/>
    <w:rPr>
      <w:rFonts w:ascii="Arial" w:eastAsia="宋体" w:hAnsi="Arial" w:cs="Arial"/>
      <w:b/>
      <w:bCs/>
      <w:kern w:val="2"/>
      <w:sz w:val="32"/>
      <w:szCs w:val="32"/>
      <w:lang w:val="en-US" w:eastAsia="zh-CN" w:bidi="ar-SA"/>
    </w:rPr>
  </w:style>
  <w:style w:type="character" w:customStyle="1" w:styleId="CharChar41">
    <w:name w:val="Char Char4"/>
    <w:qFormat/>
    <w:rPr>
      <w:rFonts w:eastAsia="宋体" w:cs="Times New Roman"/>
      <w:kern w:val="2"/>
      <w:sz w:val="24"/>
      <w:szCs w:val="24"/>
      <w:lang w:val="en-US" w:eastAsia="zh-CN" w:bidi="ar-SA"/>
    </w:rPr>
  </w:style>
  <w:style w:type="character" w:customStyle="1" w:styleId="1fff0">
    <w:name w:val="批注主题 字符1"/>
    <w:qFormat/>
    <w:locked/>
    <w:rPr>
      <w:b/>
      <w:bCs/>
      <w:kern w:val="2"/>
      <w:sz w:val="21"/>
      <w:szCs w:val="24"/>
    </w:rPr>
  </w:style>
  <w:style w:type="character" w:customStyle="1" w:styleId="word21">
    <w:name w:val="word21"/>
    <w:qFormat/>
    <w:rPr>
      <w:rFonts w:cs="Times New Roman"/>
      <w:b/>
      <w:bCs/>
      <w:color w:val="0040A6"/>
      <w:spacing w:val="315"/>
      <w:sz w:val="20"/>
      <w:szCs w:val="20"/>
    </w:rPr>
  </w:style>
  <w:style w:type="character" w:customStyle="1" w:styleId="Char28">
    <w:name w:val="批注文字 Char2"/>
    <w:uiPriority w:val="99"/>
    <w:semiHidden/>
    <w:qFormat/>
    <w:rPr>
      <w:rFonts w:ascii="Times New Roman" w:eastAsia="宋体" w:hAnsi="Times New Roman" w:cs="Times New Roman" w:hint="default"/>
      <w:kern w:val="0"/>
      <w:sz w:val="24"/>
      <w:szCs w:val="20"/>
    </w:rPr>
  </w:style>
  <w:style w:type="character" w:customStyle="1" w:styleId="main-11">
    <w:name w:val="main-11"/>
    <w:qFormat/>
  </w:style>
  <w:style w:type="character" w:customStyle="1" w:styleId="CharChar44">
    <w:name w:val="Char Char44"/>
    <w:qFormat/>
    <w:rPr>
      <w:rFonts w:ascii="Arial" w:eastAsia="黑体" w:hAnsi="Arial" w:cs="Arial" w:hint="default"/>
      <w:kern w:val="2"/>
      <w:sz w:val="24"/>
      <w:szCs w:val="24"/>
    </w:rPr>
  </w:style>
  <w:style w:type="character" w:customStyle="1" w:styleId="keyword">
    <w:name w:val="keyword"/>
    <w:qFormat/>
  </w:style>
  <w:style w:type="character" w:customStyle="1" w:styleId="red">
    <w:name w:val="red"/>
    <w:basedOn w:val="a1"/>
    <w:qFormat/>
  </w:style>
  <w:style w:type="character" w:customStyle="1" w:styleId="Charfffff7">
    <w:name w:val="性质正文 Char"/>
    <w:link w:val="afffffffff4"/>
    <w:qFormat/>
    <w:locked/>
    <w:rPr>
      <w:rFonts w:eastAsia="楷体_GB2312"/>
      <w:spacing w:val="4"/>
    </w:rPr>
  </w:style>
  <w:style w:type="paragraph" w:customStyle="1" w:styleId="afffffffff4">
    <w:name w:val="性质正文"/>
    <w:basedOn w:val="a"/>
    <w:link w:val="Charfffff7"/>
    <w:qFormat/>
    <w:pPr>
      <w:tabs>
        <w:tab w:val="left" w:pos="4320"/>
        <w:tab w:val="left" w:pos="9975"/>
      </w:tabs>
      <w:adjustRightInd w:val="0"/>
      <w:spacing w:line="280" w:lineRule="exact"/>
      <w:ind w:left="1644" w:right="567" w:hanging="1077"/>
      <w:textAlignment w:val="baseline"/>
    </w:pPr>
    <w:rPr>
      <w:rFonts w:eastAsia="楷体_GB2312"/>
      <w:spacing w:val="4"/>
    </w:rPr>
  </w:style>
  <w:style w:type="character" w:customStyle="1" w:styleId="CharChar76">
    <w:name w:val="Char Char76"/>
    <w:qFormat/>
    <w:rPr>
      <w:rFonts w:ascii="Arial" w:eastAsia="宋体" w:hAnsi="Arial" w:cs="Arial"/>
      <w:b/>
      <w:bCs/>
      <w:kern w:val="2"/>
      <w:sz w:val="32"/>
      <w:szCs w:val="32"/>
      <w:lang w:val="en-US" w:eastAsia="zh-CN" w:bidi="ar-SA"/>
    </w:rPr>
  </w:style>
  <w:style w:type="character" w:customStyle="1" w:styleId="1fff1">
    <w:name w:val="第一条1"/>
    <w:qFormat/>
    <w:rPr>
      <w:rFonts w:ascii="黑体" w:eastAsia="黑体" w:hint="eastAsia"/>
      <w:sz w:val="24"/>
    </w:rPr>
  </w:style>
  <w:style w:type="character" w:customStyle="1" w:styleId="chen1Char">
    <w:name w:val="chen表头1 Char"/>
    <w:link w:val="chen1"/>
    <w:qFormat/>
    <w:rPr>
      <w:rFonts w:eastAsia="楷体_GB2312"/>
      <w:b/>
      <w:sz w:val="24"/>
      <w:szCs w:val="24"/>
    </w:rPr>
  </w:style>
  <w:style w:type="paragraph" w:customStyle="1" w:styleId="chen1">
    <w:name w:val="chen表头1"/>
    <w:basedOn w:val="a"/>
    <w:link w:val="chen1Char"/>
    <w:qFormat/>
    <w:pPr>
      <w:spacing w:after="120" w:line="500" w:lineRule="exact"/>
      <w:jc w:val="center"/>
    </w:pPr>
    <w:rPr>
      <w:rFonts w:eastAsia="楷体_GB2312"/>
      <w:b/>
      <w:sz w:val="24"/>
      <w:szCs w:val="24"/>
    </w:rPr>
  </w:style>
  <w:style w:type="character" w:customStyle="1" w:styleId="CharChar180">
    <w:name w:val="Char Char18"/>
    <w:qFormat/>
    <w:rPr>
      <w:rFonts w:eastAsia="宋体"/>
      <w:kern w:val="2"/>
      <w:sz w:val="24"/>
      <w:lang w:val="en-US" w:eastAsia="zh-CN" w:bidi="ar-SA"/>
    </w:rPr>
  </w:style>
  <w:style w:type="character" w:customStyle="1" w:styleId="Charfffff8">
    <w:name w:val="你的正文 Char"/>
    <w:link w:val="afffffffff5"/>
    <w:qFormat/>
    <w:rPr>
      <w:rFonts w:ascii="宋体" w:eastAsia="宋体" w:hAnsi="宋体"/>
      <w:color w:val="000000"/>
      <w:sz w:val="28"/>
      <w:szCs w:val="28"/>
    </w:rPr>
  </w:style>
  <w:style w:type="paragraph" w:customStyle="1" w:styleId="afffffffff5">
    <w:name w:val="你的正文"/>
    <w:basedOn w:val="a"/>
    <w:link w:val="Charfffff8"/>
    <w:qFormat/>
    <w:pPr>
      <w:widowControl/>
      <w:spacing w:line="520" w:lineRule="exact"/>
      <w:ind w:firstLineChars="200" w:firstLine="560"/>
      <w:jc w:val="left"/>
    </w:pPr>
    <w:rPr>
      <w:rFonts w:ascii="宋体" w:eastAsia="宋体" w:hAnsi="宋体"/>
      <w:color w:val="000000"/>
      <w:sz w:val="28"/>
      <w:szCs w:val="28"/>
    </w:rPr>
  </w:style>
  <w:style w:type="character" w:customStyle="1" w:styleId="articletitle1">
    <w:name w:val="articletitle1"/>
    <w:qFormat/>
    <w:rPr>
      <w:rFonts w:ascii="MS Shell Dlg" w:hAnsi="MS Shell Dlg" w:hint="default"/>
      <w:b/>
      <w:bCs/>
      <w:color w:val="666699"/>
      <w:sz w:val="32"/>
      <w:szCs w:val="32"/>
    </w:rPr>
  </w:style>
  <w:style w:type="character" w:customStyle="1" w:styleId="CharCharCharCharCharCharCharChar7">
    <w:name w:val="Char Char Char Char Char Char Char Char7"/>
    <w:qFormat/>
    <w:rPr>
      <w:rFonts w:ascii="Times New Roman" w:eastAsia="宋体" w:hAnsi="Times New Roman" w:cs="Times New Roman"/>
      <w:sz w:val="24"/>
      <w:szCs w:val="24"/>
    </w:rPr>
  </w:style>
  <w:style w:type="character" w:customStyle="1" w:styleId="unnamed3">
    <w:name w:val="unnamed3"/>
    <w:qFormat/>
  </w:style>
  <w:style w:type="character" w:customStyle="1" w:styleId="CharChar314">
    <w:name w:val="Char Char314"/>
    <w:qFormat/>
    <w:rPr>
      <w:rFonts w:ascii="Arial" w:eastAsia="宋体" w:hAnsi="Arial" w:cs="Arial"/>
      <w:b/>
      <w:bCs/>
      <w:kern w:val="2"/>
      <w:sz w:val="32"/>
      <w:szCs w:val="32"/>
      <w:lang w:val="en-US" w:eastAsia="zh-CN" w:bidi="ar-SA"/>
    </w:rPr>
  </w:style>
  <w:style w:type="character" w:customStyle="1" w:styleId="2ffd">
    <w:name w:val="批注框文本 字符2"/>
    <w:qFormat/>
    <w:locked/>
    <w:rPr>
      <w:rFonts w:eastAsia="宋体"/>
      <w:kern w:val="2"/>
      <w:sz w:val="18"/>
      <w:szCs w:val="18"/>
      <w:lang w:val="en-US" w:eastAsia="zh-CN" w:bidi="ar-SA"/>
    </w:rPr>
  </w:style>
  <w:style w:type="character" w:customStyle="1" w:styleId="1Chard">
    <w:name w:val="章标题1 Char"/>
    <w:qFormat/>
    <w:rPr>
      <w:rFonts w:ascii="宋体" w:eastAsia="宋体" w:hAnsi="宋体"/>
      <w:b/>
      <w:bCs/>
      <w:kern w:val="2"/>
      <w:sz w:val="30"/>
      <w:szCs w:val="30"/>
      <w:lang w:val="en-US" w:eastAsia="zh-CN" w:bidi="ar-SA"/>
    </w:rPr>
  </w:style>
  <w:style w:type="character" w:customStyle="1" w:styleId="CharChar114">
    <w:name w:val="Char Char114"/>
    <w:qFormat/>
    <w:rPr>
      <w:rFonts w:eastAsia="宋体"/>
      <w:sz w:val="18"/>
      <w:szCs w:val="18"/>
      <w:lang w:val="en-US" w:eastAsia="zh-CN" w:bidi="ar-SA"/>
    </w:rPr>
  </w:style>
  <w:style w:type="character" w:customStyle="1" w:styleId="gb21">
    <w:name w:val="gb21"/>
    <w:qFormat/>
    <w:rPr>
      <w:rFonts w:hint="default"/>
      <w:spacing w:val="360"/>
      <w:sz w:val="18"/>
      <w:szCs w:val="18"/>
    </w:rPr>
  </w:style>
  <w:style w:type="character" w:customStyle="1" w:styleId="H3Char1">
    <w:name w:val="H3 Char1"/>
    <w:semiHidden/>
    <w:qFormat/>
    <w:rPr>
      <w:b/>
      <w:bCs/>
      <w:sz w:val="32"/>
      <w:szCs w:val="32"/>
    </w:rPr>
  </w:style>
  <w:style w:type="character" w:customStyle="1" w:styleId="style211">
    <w:name w:val="style211"/>
    <w:qFormat/>
    <w:rPr>
      <w:rFonts w:cs="Times New Roman"/>
      <w:color w:val="000000"/>
    </w:rPr>
  </w:style>
  <w:style w:type="character" w:customStyle="1" w:styleId="CharCharff4">
    <w:name w:val="图例 Char Char"/>
    <w:qFormat/>
    <w:rPr>
      <w:rFonts w:ascii="Arial" w:eastAsia="宋体" w:hAnsi="Arial" w:cs="Arial"/>
      <w:kern w:val="2"/>
      <w:sz w:val="28"/>
      <w:szCs w:val="28"/>
      <w:lang w:val="en-US" w:eastAsia="zh-CN" w:bidi="ar-SA"/>
    </w:rPr>
  </w:style>
  <w:style w:type="character" w:customStyle="1" w:styleId="ca-5">
    <w:name w:val="ca-5"/>
    <w:basedOn w:val="a1"/>
    <w:qFormat/>
  </w:style>
  <w:style w:type="character" w:customStyle="1" w:styleId="s19n338">
    <w:name w:val="s19n338"/>
    <w:qFormat/>
  </w:style>
  <w:style w:type="character" w:customStyle="1" w:styleId="c4Char">
    <w:name w:val="c4 Char"/>
    <w:qFormat/>
    <w:rPr>
      <w:rFonts w:ascii="黑体" w:eastAsia="黑体" w:hAnsi="宋体" w:cs="宋体"/>
      <w:sz w:val="28"/>
      <w:szCs w:val="28"/>
      <w:lang w:val="zh-CN" w:eastAsia="zh-CN" w:bidi="ar-SA"/>
    </w:rPr>
  </w:style>
  <w:style w:type="character" w:customStyle="1" w:styleId="Char1f4">
    <w:name w:val="环表头 Char1"/>
    <w:qFormat/>
    <w:rPr>
      <w:rFonts w:ascii="黑体" w:eastAsia="黑体" w:hAnsi="宋体" w:cs="Courier New"/>
      <w:color w:val="000000"/>
      <w:sz w:val="24"/>
      <w:szCs w:val="24"/>
      <w:lang w:val="en-US" w:eastAsia="zh-CN" w:bidi="ar-SA"/>
    </w:rPr>
  </w:style>
  <w:style w:type="character" w:customStyle="1" w:styleId="230">
    <w:name w:val="正文文本缩进 2 字符3"/>
    <w:link w:val="29"/>
    <w:qFormat/>
    <w:locked/>
    <w:rPr>
      <w:rFonts w:eastAsia="宋体"/>
      <w:szCs w:val="24"/>
    </w:rPr>
  </w:style>
  <w:style w:type="character" w:customStyle="1" w:styleId="214">
    <w:name w:val="正文文本缩进 2 字符1"/>
    <w:basedOn w:val="a1"/>
    <w:qFormat/>
  </w:style>
  <w:style w:type="character" w:customStyle="1" w:styleId="1Chare">
    <w:name w:val="题注1 Char"/>
    <w:qFormat/>
    <w:rPr>
      <w:rFonts w:ascii="仿宋_GB2312" w:eastAsia="仿宋_GB2312"/>
      <w:color w:val="000000"/>
      <w:sz w:val="28"/>
      <w:lang w:val="en-US" w:eastAsia="zh-CN" w:bidi="ar-SA"/>
    </w:rPr>
  </w:style>
  <w:style w:type="character" w:customStyle="1" w:styleId="bt21">
    <w:name w:val="bt21"/>
    <w:qFormat/>
    <w:rPr>
      <w:rFonts w:ascii="黑体" w:eastAsia="黑体" w:cs="Times New Roman"/>
      <w:spacing w:val="400"/>
      <w:sz w:val="24"/>
      <w:szCs w:val="24"/>
    </w:rPr>
  </w:style>
  <w:style w:type="character" w:customStyle="1" w:styleId="cChar">
    <w:name w:val="网格型c Char"/>
    <w:qFormat/>
    <w:rPr>
      <w:rFonts w:eastAsia="宋体"/>
      <w:kern w:val="2"/>
      <w:sz w:val="21"/>
      <w:szCs w:val="21"/>
      <w:lang w:val="en-US" w:eastAsia="zh-CN" w:bidi="ar-SA"/>
    </w:rPr>
  </w:style>
  <w:style w:type="character" w:customStyle="1" w:styleId="msonormal0">
    <w:name w:val="msonormal"/>
    <w:qFormat/>
  </w:style>
  <w:style w:type="character" w:customStyle="1" w:styleId="article">
    <w:name w:val="article"/>
    <w:qFormat/>
  </w:style>
  <w:style w:type="character" w:customStyle="1" w:styleId="hei1">
    <w:name w:val="hei1"/>
    <w:qFormat/>
  </w:style>
  <w:style w:type="character" w:customStyle="1" w:styleId="2Char11">
    <w:name w:val="正文首行缩进 2 Char1"/>
    <w:uiPriority w:val="99"/>
    <w:qFormat/>
    <w:rPr>
      <w:rFonts w:ascii="Times New Roman" w:eastAsia="宋体" w:hAnsi="Times New Roman" w:cs="Times New Roman"/>
      <w:kern w:val="0"/>
      <w:sz w:val="20"/>
      <w:szCs w:val="20"/>
    </w:rPr>
  </w:style>
  <w:style w:type="character" w:customStyle="1" w:styleId="ca-3">
    <w:name w:val="ca-3"/>
    <w:basedOn w:val="a1"/>
    <w:qFormat/>
  </w:style>
  <w:style w:type="character" w:customStyle="1" w:styleId="Char35">
    <w:name w:val="正文文本缩进 Char3"/>
    <w:uiPriority w:val="99"/>
    <w:qFormat/>
    <w:rPr>
      <w:rFonts w:ascii="Times New Roman" w:eastAsia="宋体" w:hAnsi="Times New Roman" w:cs="Times New Roman"/>
      <w:kern w:val="0"/>
      <w:sz w:val="20"/>
      <w:szCs w:val="20"/>
    </w:rPr>
  </w:style>
  <w:style w:type="character" w:customStyle="1" w:styleId="hhcwt3CharChar">
    <w:name w:val="hhcwt标题3 Char Char"/>
    <w:link w:val="hhcwt3"/>
    <w:qFormat/>
    <w:rPr>
      <w:rFonts w:eastAsia="楷体_GB2312"/>
      <w:bCs/>
      <w:sz w:val="28"/>
      <w:szCs w:val="24"/>
    </w:rPr>
  </w:style>
  <w:style w:type="paragraph" w:customStyle="1" w:styleId="hhcwt3">
    <w:name w:val="hhcwt标题3"/>
    <w:basedOn w:val="a"/>
    <w:link w:val="hhcwt3CharChar"/>
    <w:qFormat/>
    <w:pPr>
      <w:keepNext/>
      <w:keepLines/>
      <w:spacing w:line="336" w:lineRule="auto"/>
      <w:outlineLvl w:val="2"/>
    </w:pPr>
    <w:rPr>
      <w:rFonts w:eastAsia="楷体_GB2312"/>
      <w:bCs/>
      <w:sz w:val="28"/>
      <w:szCs w:val="24"/>
    </w:rPr>
  </w:style>
  <w:style w:type="character" w:customStyle="1" w:styleId="2CharChar5">
    <w:name w:val="标题 2 Char Char"/>
    <w:qFormat/>
    <w:rPr>
      <w:rFonts w:ascii="Arial" w:eastAsia="黑体" w:hAnsi="Arial"/>
      <w:b/>
      <w:bCs/>
      <w:kern w:val="2"/>
      <w:sz w:val="32"/>
      <w:szCs w:val="32"/>
      <w:lang w:val="en-US" w:eastAsia="zh-CN" w:bidi="ar-SA"/>
    </w:rPr>
  </w:style>
  <w:style w:type="character" w:customStyle="1" w:styleId="1fff2">
    <w:name w:val="电子邮件签名 字符1"/>
    <w:qFormat/>
    <w:locked/>
    <w:rPr>
      <w:rFonts w:ascii="Arial" w:eastAsia="仿宋_GB2312" w:hAnsi="Arial" w:cs="Arial"/>
    </w:rPr>
  </w:style>
  <w:style w:type="character" w:customStyle="1" w:styleId="Charfffff9">
    <w:name w:val="默认段落字体 Char"/>
    <w:qFormat/>
    <w:rPr>
      <w:rFonts w:hint="eastAsia"/>
      <w:color w:val="000000"/>
      <w:sz w:val="21"/>
      <w:lang w:val="en-US" w:eastAsia="zh-CN"/>
    </w:rPr>
  </w:style>
  <w:style w:type="character" w:customStyle="1" w:styleId="CharChar81">
    <w:name w:val="Char Char81"/>
    <w:qFormat/>
    <w:rPr>
      <w:rFonts w:ascii="黑体" w:eastAsia="黑体"/>
      <w:b/>
      <w:bCs/>
      <w:sz w:val="28"/>
      <w:szCs w:val="28"/>
      <w:lang w:val="en-US" w:eastAsia="zh-CN" w:bidi="ar-SA"/>
    </w:rPr>
  </w:style>
  <w:style w:type="character" w:customStyle="1" w:styleId="113">
    <w:name w:val="未命名11"/>
    <w:qFormat/>
    <w:rPr>
      <w:rFonts w:ascii="宋体" w:eastAsia="宋体" w:hAnsi="宋体" w:hint="eastAsia"/>
      <w:sz w:val="18"/>
      <w:szCs w:val="18"/>
    </w:rPr>
  </w:style>
  <w:style w:type="character" w:customStyle="1" w:styleId="2Char12">
    <w:name w:val="正文文本缩进 2 Char1"/>
    <w:qFormat/>
    <w:rPr>
      <w:rFonts w:ascii="Times New Roman" w:eastAsia="宋体" w:hAnsi="Times New Roman" w:cs="Times New Roman"/>
      <w:kern w:val="0"/>
      <w:sz w:val="20"/>
      <w:szCs w:val="20"/>
    </w:rPr>
  </w:style>
  <w:style w:type="character" w:customStyle="1" w:styleId="CharCharCharCharCharCharChar51">
    <w:name w:val="Char Char Char Char Char Char Char51"/>
    <w:link w:val="CharCharCharCharCharChar31"/>
    <w:qFormat/>
    <w:locked/>
    <w:rPr>
      <w:rFonts w:ascii="宋体" w:hAnsi="宋体"/>
      <w:sz w:val="24"/>
      <w:szCs w:val="24"/>
    </w:rPr>
  </w:style>
  <w:style w:type="paragraph" w:customStyle="1" w:styleId="CharCharCharCharCharChar31">
    <w:name w:val="Char Char Char Char Char Char31"/>
    <w:basedOn w:val="a"/>
    <w:link w:val="CharCharCharCharCharCharChar51"/>
    <w:qFormat/>
    <w:rPr>
      <w:rFonts w:ascii="宋体" w:hAnsi="宋体"/>
      <w:sz w:val="24"/>
      <w:szCs w:val="24"/>
    </w:rPr>
  </w:style>
  <w:style w:type="character" w:customStyle="1" w:styleId="7Char">
    <w:name w:val="标题 7 Char"/>
    <w:qFormat/>
    <w:rPr>
      <w:rFonts w:eastAsia="宋体"/>
      <w:b/>
      <w:bCs/>
      <w:kern w:val="2"/>
      <w:sz w:val="24"/>
      <w:szCs w:val="24"/>
      <w:lang w:val="en-US" w:eastAsia="zh-CN" w:bidi="ar-SA"/>
    </w:rPr>
  </w:style>
  <w:style w:type="character" w:customStyle="1" w:styleId="2ArialBlackCharChar">
    <w:name w:val="样式 标题 2节 + (符号) Arial Black 小四 Char Char"/>
    <w:qFormat/>
    <w:rPr>
      <w:rFonts w:ascii="宋体" w:eastAsia="仿宋_GB2312" w:hAnsi="Arial Black"/>
      <w:kern w:val="21"/>
      <w:sz w:val="28"/>
      <w:lang w:val="en-US" w:eastAsia="zh-CN" w:bidi="ar-SA"/>
    </w:rPr>
  </w:style>
  <w:style w:type="character" w:customStyle="1" w:styleId="t41">
    <w:name w:val="t41"/>
    <w:basedOn w:val="a1"/>
    <w:qFormat/>
  </w:style>
  <w:style w:type="character" w:customStyle="1" w:styleId="24">
    <w:name w:val="文档结构图 字符2"/>
    <w:link w:val="af"/>
    <w:qFormat/>
    <w:locked/>
    <w:rPr>
      <w:rFonts w:eastAsia="宋体"/>
      <w:szCs w:val="24"/>
      <w:shd w:val="clear" w:color="auto" w:fill="000080"/>
    </w:rPr>
  </w:style>
  <w:style w:type="character" w:customStyle="1" w:styleId="afffffffff6">
    <w:name w:val="文档结构图 字符"/>
    <w:basedOn w:val="a1"/>
    <w:qFormat/>
    <w:rPr>
      <w:rFonts w:ascii="Microsoft YaHei UI" w:eastAsia="Microsoft YaHei UI"/>
      <w:sz w:val="18"/>
      <w:szCs w:val="18"/>
    </w:rPr>
  </w:style>
  <w:style w:type="character" w:customStyle="1" w:styleId="CharChar311">
    <w:name w:val="Char Char311"/>
    <w:qFormat/>
    <w:rPr>
      <w:rFonts w:ascii="Arial" w:eastAsia="宋体" w:hAnsi="Arial" w:cs="Arial"/>
      <w:b/>
      <w:bCs/>
      <w:kern w:val="2"/>
      <w:sz w:val="32"/>
      <w:szCs w:val="32"/>
      <w:lang w:val="en-US" w:eastAsia="zh-CN" w:bidi="ar-SA"/>
    </w:rPr>
  </w:style>
  <w:style w:type="character" w:customStyle="1" w:styleId="ak">
    <w:name w:val="ak"/>
    <w:qFormat/>
  </w:style>
  <w:style w:type="character" w:customStyle="1" w:styleId="3CharCharCharChar">
    <w:name w:val="标题 3 Char Char Char Char"/>
    <w:qFormat/>
    <w:rPr>
      <w:rFonts w:eastAsia="宋体"/>
      <w:b/>
      <w:bCs/>
      <w:kern w:val="2"/>
      <w:sz w:val="32"/>
      <w:szCs w:val="32"/>
      <w:lang w:val="en-US" w:eastAsia="zh-CN" w:bidi="ar-SA"/>
    </w:rPr>
  </w:style>
  <w:style w:type="character" w:customStyle="1" w:styleId="style15style15">
    <w:name w:val="style15 style15"/>
    <w:qFormat/>
  </w:style>
  <w:style w:type="character" w:customStyle="1" w:styleId="Charfffffa">
    <w:name w:val="表格内容 Char"/>
    <w:link w:val="afffffffff7"/>
    <w:qFormat/>
    <w:locked/>
    <w:rPr>
      <w:rFonts w:ascii="Arial" w:eastAsia="仿宋_GB2312" w:hAnsi="Arial"/>
      <w:sz w:val="24"/>
    </w:rPr>
  </w:style>
  <w:style w:type="paragraph" w:customStyle="1" w:styleId="afffffffff7">
    <w:name w:val="表格内容"/>
    <w:basedOn w:val="a"/>
    <w:link w:val="Charfffffa"/>
    <w:qFormat/>
    <w:pPr>
      <w:overflowPunct w:val="0"/>
      <w:adjustRightInd w:val="0"/>
      <w:spacing w:line="200" w:lineRule="atLeast"/>
      <w:jc w:val="center"/>
      <w:textAlignment w:val="baseline"/>
    </w:pPr>
    <w:rPr>
      <w:rFonts w:ascii="Arial" w:eastAsia="仿宋_GB2312" w:hAnsi="Arial"/>
      <w:sz w:val="24"/>
    </w:rPr>
  </w:style>
  <w:style w:type="character" w:customStyle="1" w:styleId="CharChar210">
    <w:name w:val="Char Char210"/>
    <w:semiHidden/>
    <w:qFormat/>
    <w:rPr>
      <w:rFonts w:eastAsia="宋体"/>
      <w:kern w:val="2"/>
      <w:sz w:val="18"/>
      <w:szCs w:val="18"/>
      <w:lang w:val="en-US" w:eastAsia="zh-CN" w:bidi="ar-SA"/>
    </w:rPr>
  </w:style>
  <w:style w:type="character" w:customStyle="1" w:styleId="Charfffffb">
    <w:name w:val="表格上标题 Char"/>
    <w:link w:val="afffffffff8"/>
    <w:qFormat/>
    <w:locked/>
    <w:rPr>
      <w:b/>
      <w:sz w:val="24"/>
      <w:szCs w:val="24"/>
    </w:rPr>
  </w:style>
  <w:style w:type="paragraph" w:customStyle="1" w:styleId="afffffffff8">
    <w:name w:val="表格上标题"/>
    <w:basedOn w:val="a"/>
    <w:link w:val="Charfffffb"/>
    <w:qFormat/>
    <w:pPr>
      <w:jc w:val="center"/>
    </w:pPr>
    <w:rPr>
      <w:b/>
      <w:sz w:val="24"/>
      <w:szCs w:val="24"/>
    </w:rPr>
  </w:style>
  <w:style w:type="character" w:customStyle="1" w:styleId="Charfffffc">
    <w:name w:val="图号 Char"/>
    <w:qFormat/>
    <w:rPr>
      <w:rFonts w:eastAsia="宋体"/>
      <w:b/>
      <w:bCs/>
      <w:kern w:val="32"/>
      <w:sz w:val="24"/>
      <w:szCs w:val="24"/>
      <w:lang w:val="en-US" w:eastAsia="zh-CN" w:bidi="ar-SA"/>
    </w:rPr>
  </w:style>
  <w:style w:type="character" w:customStyle="1" w:styleId="1Charf">
    <w:name w:val=". (1.) Char"/>
    <w:qFormat/>
    <w:rPr>
      <w:kern w:val="2"/>
      <w:sz w:val="28"/>
    </w:rPr>
  </w:style>
  <w:style w:type="character" w:customStyle="1" w:styleId="CharCharff5">
    <w:name w:val="性质正文 Char Char"/>
    <w:qFormat/>
    <w:rPr>
      <w:rFonts w:eastAsia="楷体_GB2312"/>
      <w:spacing w:val="4"/>
      <w:kern w:val="2"/>
      <w:sz w:val="21"/>
      <w:lang w:val="en-US" w:eastAsia="zh-CN" w:bidi="ar-SA"/>
    </w:rPr>
  </w:style>
  <w:style w:type="character" w:customStyle="1" w:styleId="1Charf0">
    <w:name w:val="标题 1 Char"/>
    <w:qFormat/>
    <w:rPr>
      <w:rFonts w:eastAsia="宋体"/>
      <w:b/>
      <w:bCs/>
      <w:kern w:val="44"/>
      <w:sz w:val="44"/>
      <w:szCs w:val="44"/>
      <w:lang w:val="en-US" w:eastAsia="zh-CN" w:bidi="ar-SA"/>
    </w:rPr>
  </w:style>
  <w:style w:type="character" w:customStyle="1" w:styleId="2a">
    <w:name w:val="签名 字符2"/>
    <w:link w:val="aff7"/>
    <w:qFormat/>
    <w:locked/>
    <w:rPr>
      <w:rFonts w:ascii="Arial" w:eastAsia="仿宋_GB2312" w:hAnsi="Arial"/>
    </w:rPr>
  </w:style>
  <w:style w:type="character" w:customStyle="1" w:styleId="3fa">
    <w:name w:val="签名 字符3"/>
    <w:basedOn w:val="a1"/>
    <w:uiPriority w:val="99"/>
    <w:semiHidden/>
  </w:style>
  <w:style w:type="character" w:customStyle="1" w:styleId="Charfffffd">
    <w:name w:val="附录二级条标题 Char"/>
    <w:link w:val="afffffffff9"/>
    <w:qFormat/>
    <w:rPr>
      <w:rFonts w:ascii="黑体" w:eastAsia="黑体"/>
      <w:kern w:val="21"/>
    </w:rPr>
  </w:style>
  <w:style w:type="paragraph" w:customStyle="1" w:styleId="afffffffff9">
    <w:name w:val="附录二级条标题"/>
    <w:basedOn w:val="affffff9"/>
    <w:next w:val="affffc"/>
    <w:link w:val="Charfffffd"/>
    <w:qFormat/>
    <w:pPr>
      <w:ind w:left="360" w:hanging="360"/>
      <w:outlineLvl w:val="3"/>
    </w:pPr>
  </w:style>
  <w:style w:type="character" w:customStyle="1" w:styleId="Char29">
    <w:name w:val="副标题 Char2"/>
    <w:qFormat/>
    <w:rPr>
      <w:rFonts w:ascii="Cambria" w:eastAsia="宋体" w:hAnsi="Cambria" w:cs="Times New Roman" w:hint="default"/>
      <w:b/>
      <w:bCs/>
      <w:kern w:val="28"/>
      <w:sz w:val="32"/>
      <w:szCs w:val="32"/>
    </w:rPr>
  </w:style>
  <w:style w:type="character" w:customStyle="1" w:styleId="ask-title">
    <w:name w:val="ask-title"/>
    <w:qFormat/>
    <w:rPr>
      <w:rFonts w:cs="Times New Roman"/>
    </w:rPr>
  </w:style>
  <w:style w:type="character" w:customStyle="1" w:styleId="3Char12">
    <w:name w:val="标题 3 Char1"/>
    <w:qFormat/>
    <w:rPr>
      <w:rFonts w:eastAsia="宋体" w:cs="Times New Roman"/>
      <w:b/>
      <w:bCs/>
      <w:sz w:val="32"/>
      <w:szCs w:val="32"/>
      <w:lang w:val="en-US" w:eastAsia="zh-CN" w:bidi="ar-SA"/>
    </w:rPr>
  </w:style>
  <w:style w:type="character" w:customStyle="1" w:styleId="CharChar213">
    <w:name w:val="Char Char21"/>
    <w:qFormat/>
    <w:rPr>
      <w:rFonts w:ascii="宋体" w:eastAsia="宋体" w:hAnsi="宋体"/>
      <w:kern w:val="2"/>
      <w:sz w:val="24"/>
      <w:lang w:val="en-US" w:eastAsia="zh-CN"/>
    </w:rPr>
  </w:style>
  <w:style w:type="character" w:customStyle="1" w:styleId="CharChar133">
    <w:name w:val="Char Char133"/>
    <w:semiHidden/>
    <w:qFormat/>
    <w:rPr>
      <w:rFonts w:ascii="仿宋_GB2312" w:eastAsia="仿宋_GB2312" w:hint="eastAsia"/>
      <w:kern w:val="2"/>
      <w:sz w:val="18"/>
      <w:szCs w:val="18"/>
      <w:lang w:val="en-US" w:eastAsia="zh-CN" w:bidi="ar-SA"/>
    </w:rPr>
  </w:style>
  <w:style w:type="character" w:customStyle="1" w:styleId="105font1">
    <w:name w:val="105font1"/>
    <w:qFormat/>
    <w:rPr>
      <w:sz w:val="21"/>
      <w:szCs w:val="21"/>
    </w:rPr>
  </w:style>
  <w:style w:type="character" w:customStyle="1" w:styleId="Char1f5">
    <w:name w:val="正文(首行缩进) Char1"/>
    <w:semiHidden/>
    <w:qFormat/>
    <w:rPr>
      <w:rFonts w:eastAsia="宋体"/>
      <w:snapToGrid/>
      <w:color w:val="000000"/>
      <w:sz w:val="24"/>
      <w:szCs w:val="24"/>
      <w:lang w:val="en-US" w:eastAsia="zh-CN" w:bidi="ar-SA"/>
    </w:rPr>
  </w:style>
  <w:style w:type="character" w:customStyle="1" w:styleId="3Char3">
    <w:name w:val="正文文本 3 Char"/>
    <w:qFormat/>
    <w:rPr>
      <w:rFonts w:eastAsia="宋体"/>
      <w:color w:val="FF0000"/>
      <w:sz w:val="24"/>
      <w:lang w:val="en-JM" w:eastAsia="zh-CN" w:bidi="ar-SA"/>
    </w:rPr>
  </w:style>
  <w:style w:type="character" w:customStyle="1" w:styleId="CharChar73">
    <w:name w:val="Char Char73"/>
    <w:qFormat/>
    <w:rPr>
      <w:rFonts w:ascii="Arial" w:eastAsia="宋体" w:hAnsi="Arial" w:cs="Arial"/>
      <w:b/>
      <w:bCs/>
      <w:kern w:val="2"/>
      <w:sz w:val="32"/>
      <w:szCs w:val="32"/>
      <w:lang w:val="en-US" w:eastAsia="zh-CN" w:bidi="ar-SA"/>
    </w:rPr>
  </w:style>
  <w:style w:type="character" w:customStyle="1" w:styleId="3CharCharChar">
    <w:name w:val="标题 3 Char Char Char"/>
    <w:qFormat/>
    <w:rPr>
      <w:rFonts w:ascii="宋体" w:eastAsia="宋体"/>
      <w:b/>
      <w:bCs/>
    </w:rPr>
  </w:style>
  <w:style w:type="character" w:customStyle="1" w:styleId="PlainTextChar1Char2">
    <w:name w:val="Plain Text Char1 Char2"/>
    <w:qFormat/>
    <w:rPr>
      <w:rFonts w:ascii="宋体" w:eastAsia="宋体" w:hAnsi="Courier New" w:cs="Courier New"/>
      <w:kern w:val="2"/>
      <w:sz w:val="21"/>
      <w:szCs w:val="21"/>
      <w:lang w:val="en-US" w:eastAsia="zh-CN" w:bidi="ar-SA"/>
    </w:rPr>
  </w:style>
  <w:style w:type="character" w:customStyle="1" w:styleId="style311">
    <w:name w:val="style311"/>
    <w:qFormat/>
    <w:rPr>
      <w:b/>
      <w:bCs/>
      <w:color w:val="000000"/>
      <w:sz w:val="18"/>
      <w:szCs w:val="18"/>
    </w:rPr>
  </w:style>
  <w:style w:type="character" w:customStyle="1" w:styleId="1Char11">
    <w:name w:val="标题 1 Char1"/>
    <w:qFormat/>
    <w:rPr>
      <w:rFonts w:eastAsia="宋体" w:cs="Times New Roman"/>
      <w:b/>
      <w:bCs/>
      <w:kern w:val="44"/>
      <w:sz w:val="44"/>
      <w:szCs w:val="44"/>
      <w:lang w:val="en-US" w:eastAsia="zh-CN" w:bidi="ar-SA"/>
    </w:rPr>
  </w:style>
  <w:style w:type="character" w:customStyle="1" w:styleId="Charfffffe">
    <w:name w:val="二级条标题 Char"/>
    <w:link w:val="afffffffffa"/>
    <w:qFormat/>
    <w:rPr>
      <w:rFonts w:ascii="黑体" w:eastAsia="黑体"/>
    </w:rPr>
  </w:style>
  <w:style w:type="paragraph" w:customStyle="1" w:styleId="afffffffffa">
    <w:name w:val="二级条标题"/>
    <w:basedOn w:val="afffffffffb"/>
    <w:next w:val="a"/>
    <w:link w:val="Charfffffe"/>
    <w:qFormat/>
    <w:pPr>
      <w:outlineLvl w:val="3"/>
    </w:pPr>
  </w:style>
  <w:style w:type="paragraph" w:customStyle="1" w:styleId="afffffffffb">
    <w:name w:val="一级条标题"/>
    <w:basedOn w:val="affffff6"/>
    <w:next w:val="a"/>
    <w:link w:val="Charffffff"/>
    <w:qFormat/>
    <w:pPr>
      <w:tabs>
        <w:tab w:val="clear" w:pos="903"/>
        <w:tab w:val="left" w:pos="360"/>
        <w:tab w:val="left" w:pos="780"/>
      </w:tabs>
      <w:spacing w:before="0" w:after="0"/>
      <w:ind w:leftChars="200" w:left="360" w:hangingChars="200" w:hanging="360"/>
      <w:outlineLvl w:val="2"/>
    </w:pPr>
  </w:style>
  <w:style w:type="character" w:customStyle="1" w:styleId="Charffffff">
    <w:name w:val="一级条标题 Char"/>
    <w:link w:val="afffffffffb"/>
    <w:qFormat/>
    <w:locked/>
    <w:rPr>
      <w:rFonts w:ascii="黑体" w:eastAsia="黑体"/>
    </w:rPr>
  </w:style>
  <w:style w:type="character" w:customStyle="1" w:styleId="HTML31">
    <w:name w:val="HTML 代码3"/>
    <w:qFormat/>
    <w:rPr>
      <w:rFonts w:ascii="黑体" w:eastAsia="黑体" w:hAnsi="Courier New" w:cs="Courier New" w:hint="eastAsia"/>
      <w:sz w:val="24"/>
      <w:szCs w:val="24"/>
    </w:rPr>
  </w:style>
  <w:style w:type="character" w:customStyle="1" w:styleId="114">
    <w:name w:val="标题 1 字符1"/>
    <w:qFormat/>
    <w:locked/>
    <w:rPr>
      <w:b/>
      <w:bCs/>
      <w:kern w:val="44"/>
      <w:sz w:val="44"/>
      <w:szCs w:val="44"/>
    </w:rPr>
  </w:style>
  <w:style w:type="character" w:customStyle="1" w:styleId="sgiivq">
    <w:name w:val="sgiivq"/>
    <w:qFormat/>
  </w:style>
  <w:style w:type="character" w:customStyle="1" w:styleId="H6Char2">
    <w:name w:val="H6 Char2"/>
    <w:qFormat/>
    <w:rPr>
      <w:rFonts w:eastAsia="宋体"/>
      <w:bCs/>
      <w:kern w:val="2"/>
      <w:sz w:val="28"/>
      <w:szCs w:val="28"/>
      <w:lang w:val="en-US" w:eastAsia="zh-CN" w:bidi="ar-SA"/>
    </w:rPr>
  </w:style>
  <w:style w:type="character" w:customStyle="1" w:styleId="sfrxxz">
    <w:name w:val="sfrxxz"/>
    <w:qFormat/>
  </w:style>
  <w:style w:type="character" w:customStyle="1" w:styleId="CharCharff6">
    <w:name w:val="正文文字 Char Char"/>
    <w:qFormat/>
    <w:rPr>
      <w:rFonts w:ascii="仿宋_GB2312" w:eastAsia="仿宋_GB2312" w:hAnsi="Arial Black"/>
      <w:kern w:val="0"/>
      <w:sz w:val="28"/>
    </w:rPr>
  </w:style>
  <w:style w:type="character" w:customStyle="1" w:styleId="CharChar30">
    <w:name w:val="Char Char3"/>
    <w:qFormat/>
    <w:rPr>
      <w:rFonts w:ascii="Arial" w:eastAsia="宋体" w:hAnsi="Arial"/>
      <w:b/>
      <w:kern w:val="2"/>
      <w:sz w:val="32"/>
      <w:lang w:val="en-US" w:eastAsia="zh-CN"/>
    </w:rPr>
  </w:style>
  <w:style w:type="character" w:customStyle="1" w:styleId="postbody1">
    <w:name w:val="postbody1"/>
    <w:qFormat/>
    <w:rPr>
      <w:rFonts w:cs="Times New Roman"/>
      <w:sz w:val="22"/>
      <w:szCs w:val="22"/>
    </w:rPr>
  </w:style>
  <w:style w:type="character" w:customStyle="1" w:styleId="Charffffff0">
    <w:name w:val="日期 Char"/>
    <w:qFormat/>
    <w:rPr>
      <w:rFonts w:eastAsia="宋体"/>
      <w:kern w:val="2"/>
      <w:sz w:val="24"/>
      <w:lang w:val="en-US" w:eastAsia="zh-CN" w:bidi="ar-SA"/>
    </w:rPr>
  </w:style>
  <w:style w:type="character" w:customStyle="1" w:styleId="keyword1">
    <w:name w:val="keyword1"/>
    <w:qFormat/>
    <w:rPr>
      <w:rFonts w:cs="Times New Roman"/>
      <w:color w:val="FF0000"/>
    </w:rPr>
  </w:style>
  <w:style w:type="character" w:customStyle="1" w:styleId="001Char1">
    <w:name w:val="正文001 Char1"/>
    <w:link w:val="0010"/>
    <w:qFormat/>
    <w:rPr>
      <w:sz w:val="24"/>
    </w:rPr>
  </w:style>
  <w:style w:type="paragraph" w:customStyle="1" w:styleId="0010">
    <w:name w:val="正文001"/>
    <w:basedOn w:val="a"/>
    <w:link w:val="001Char1"/>
    <w:qFormat/>
    <w:pPr>
      <w:spacing w:before="60" w:line="460" w:lineRule="exact"/>
      <w:ind w:firstLine="482"/>
    </w:pPr>
    <w:rPr>
      <w:sz w:val="24"/>
    </w:rPr>
  </w:style>
  <w:style w:type="character" w:customStyle="1" w:styleId="sxwt2u">
    <w:name w:val="sxwt2u"/>
    <w:qFormat/>
  </w:style>
  <w:style w:type="character" w:customStyle="1" w:styleId="CharChar32">
    <w:name w:val="Char Char32"/>
    <w:qFormat/>
    <w:rPr>
      <w:rFonts w:ascii="Arial" w:eastAsia="宋体" w:hAnsi="Arial"/>
      <w:b/>
      <w:kern w:val="2"/>
      <w:sz w:val="32"/>
      <w:lang w:val="en-US" w:eastAsia="zh-CN"/>
    </w:rPr>
  </w:style>
  <w:style w:type="character" w:customStyle="1" w:styleId="sf6tjlp">
    <w:name w:val="sf6tjlp"/>
    <w:qFormat/>
  </w:style>
  <w:style w:type="character" w:customStyle="1" w:styleId="Charffffff1">
    <w:name w:val="表注 Char"/>
    <w:link w:val="afffffffffc"/>
    <w:qFormat/>
    <w:rPr>
      <w:rFonts w:ascii="宋体" w:hAnsi="宋体" w:cs="Courier New"/>
      <w:b/>
      <w:spacing w:val="10"/>
      <w:sz w:val="18"/>
      <w:szCs w:val="21"/>
    </w:rPr>
  </w:style>
  <w:style w:type="paragraph" w:customStyle="1" w:styleId="afffffffffc">
    <w:name w:val="表注"/>
    <w:basedOn w:val="a"/>
    <w:next w:val="a"/>
    <w:link w:val="Charffffff1"/>
    <w:qFormat/>
    <w:pPr>
      <w:keepLines/>
      <w:spacing w:line="240" w:lineRule="atLeast"/>
    </w:pPr>
    <w:rPr>
      <w:rFonts w:ascii="宋体" w:hAnsi="宋体" w:cs="Courier New"/>
      <w:b/>
      <w:spacing w:val="10"/>
      <w:sz w:val="18"/>
      <w:szCs w:val="21"/>
    </w:rPr>
  </w:style>
  <w:style w:type="character" w:customStyle="1" w:styleId="luluCharChar1">
    <w:name w:val="标题lulu Char Char1"/>
    <w:qFormat/>
    <w:rPr>
      <w:rFonts w:ascii="Arial" w:eastAsia="宋体" w:hAnsi="Arial" w:cs="Arial"/>
      <w:b/>
      <w:bCs/>
      <w:sz w:val="32"/>
      <w:szCs w:val="32"/>
      <w:lang w:val="en-US" w:eastAsia="zh-CN" w:bidi="ar-SA"/>
    </w:rPr>
  </w:style>
  <w:style w:type="character" w:customStyle="1" w:styleId="highlight1">
    <w:name w:val="highlight1"/>
    <w:qFormat/>
    <w:rPr>
      <w:sz w:val="14"/>
      <w:szCs w:val="14"/>
    </w:rPr>
  </w:style>
  <w:style w:type="character" w:customStyle="1" w:styleId="1Char12">
    <w:name w:val="项标题(1) Char1"/>
    <w:qFormat/>
    <w:rPr>
      <w:rFonts w:eastAsia="宋体"/>
      <w:b/>
      <w:bCs/>
      <w:kern w:val="2"/>
      <w:sz w:val="24"/>
      <w:szCs w:val="24"/>
      <w:lang w:val="en-US" w:eastAsia="zh-CN" w:bidi="ar-SA"/>
    </w:rPr>
  </w:style>
  <w:style w:type="character" w:customStyle="1" w:styleId="CharChar71">
    <w:name w:val="Char Char71"/>
    <w:qFormat/>
    <w:rPr>
      <w:rFonts w:ascii="宋体" w:eastAsia="宋体" w:hAnsi="宋体" w:hint="eastAsia"/>
      <w:kern w:val="2"/>
      <w:sz w:val="18"/>
      <w:szCs w:val="18"/>
      <w:lang w:val="en-US" w:eastAsia="zh-CN" w:bidi="ar-SA"/>
    </w:rPr>
  </w:style>
  <w:style w:type="character" w:customStyle="1" w:styleId="content1">
    <w:name w:val="content1"/>
    <w:qFormat/>
    <w:rPr>
      <w:sz w:val="21"/>
      <w:szCs w:val="21"/>
    </w:rPr>
  </w:style>
  <w:style w:type="character" w:customStyle="1" w:styleId="afffffffffd">
    <w:name w:val="表头博泵"/>
    <w:qFormat/>
    <w:rPr>
      <w:rFonts w:ascii="Times New Roman" w:eastAsia="宋体" w:hAnsi="Times New Roman"/>
      <w:b/>
      <w:bCs/>
      <w:color w:val="000000"/>
      <w:kern w:val="2"/>
      <w:sz w:val="24"/>
    </w:rPr>
  </w:style>
  <w:style w:type="character" w:customStyle="1" w:styleId="215">
    <w:name w:val="正文首行缩进 2 字符1"/>
    <w:qFormat/>
    <w:locked/>
    <w:rPr>
      <w:sz w:val="24"/>
    </w:rPr>
  </w:style>
  <w:style w:type="character" w:customStyle="1" w:styleId="1fff3">
    <w:name w:val="目录 1 字符"/>
    <w:qFormat/>
    <w:rPr>
      <w:rFonts w:eastAsia="宋体"/>
      <w:b/>
      <w:bCs/>
      <w:caps/>
    </w:rPr>
  </w:style>
  <w:style w:type="character" w:customStyle="1" w:styleId="Char2a">
    <w:name w:val="标题 Char2"/>
    <w:qFormat/>
    <w:rPr>
      <w:rFonts w:ascii="Cambria" w:eastAsia="宋体" w:hAnsi="Cambria" w:cs="Times New Roman"/>
      <w:b/>
      <w:bCs/>
      <w:kern w:val="0"/>
      <w:sz w:val="32"/>
      <w:szCs w:val="32"/>
    </w:rPr>
  </w:style>
  <w:style w:type="character" w:customStyle="1" w:styleId="2Char20">
    <w:name w:val="标题 2 Char2"/>
    <w:qFormat/>
    <w:rPr>
      <w:rFonts w:ascii="黑体" w:eastAsia="黑体" w:hAnsi="宋体" w:cs="Arial"/>
      <w:sz w:val="30"/>
      <w:szCs w:val="30"/>
      <w:lang w:val="en-US" w:eastAsia="zh-CN" w:bidi="ar-SA"/>
    </w:rPr>
  </w:style>
  <w:style w:type="character" w:customStyle="1" w:styleId="0Char">
    <w:name w:val="0经营正文 Char"/>
    <w:link w:val="0"/>
    <w:qFormat/>
    <w:rPr>
      <w:rFonts w:ascii="宋体" w:hAnsi="宋体"/>
      <w:sz w:val="24"/>
      <w:szCs w:val="24"/>
    </w:rPr>
  </w:style>
  <w:style w:type="paragraph" w:customStyle="1" w:styleId="0">
    <w:name w:val="0经营正文"/>
    <w:basedOn w:val="a"/>
    <w:link w:val="0Char"/>
    <w:qFormat/>
    <w:pPr>
      <w:spacing w:line="360" w:lineRule="auto"/>
      <w:ind w:firstLineChars="200" w:firstLine="480"/>
    </w:pPr>
    <w:rPr>
      <w:rFonts w:ascii="宋体" w:hAnsi="宋体"/>
      <w:sz w:val="24"/>
      <w:szCs w:val="24"/>
    </w:rPr>
  </w:style>
  <w:style w:type="character" w:customStyle="1" w:styleId="fontzoom">
    <w:name w:val="fontzoom"/>
    <w:qFormat/>
  </w:style>
  <w:style w:type="character" w:customStyle="1" w:styleId="CharChar2130">
    <w:name w:val="Char Char213"/>
    <w:qFormat/>
    <w:rPr>
      <w:rFonts w:eastAsia="宋体"/>
      <w:sz w:val="18"/>
      <w:lang w:val="en-US" w:eastAsia="zh-CN" w:bidi="ar-SA"/>
    </w:rPr>
  </w:style>
  <w:style w:type="character" w:customStyle="1" w:styleId="Charffffff2">
    <w:name w:val="单学凯小节标题 Char"/>
    <w:link w:val="afffffffffe"/>
    <w:qFormat/>
    <w:rPr>
      <w:rFonts w:ascii="宋体" w:hAnsi="宋体"/>
      <w:bCs/>
      <w:color w:val="000000"/>
      <w:sz w:val="24"/>
      <w:szCs w:val="24"/>
    </w:rPr>
  </w:style>
  <w:style w:type="paragraph" w:customStyle="1" w:styleId="afffffffffe">
    <w:name w:val="单学凯小节标题"/>
    <w:basedOn w:val="a"/>
    <w:link w:val="Charffffff2"/>
    <w:qFormat/>
    <w:pPr>
      <w:widowControl/>
      <w:tabs>
        <w:tab w:val="left" w:pos="5094"/>
      </w:tabs>
      <w:adjustRightInd w:val="0"/>
      <w:spacing w:beforeLines="50" w:before="120" w:afterLines="50" w:after="120" w:line="500" w:lineRule="exact"/>
      <w:ind w:firstLineChars="200" w:firstLine="480"/>
      <w:textAlignment w:val="baseline"/>
    </w:pPr>
    <w:rPr>
      <w:rFonts w:ascii="宋体" w:hAnsi="宋体"/>
      <w:bCs/>
      <w:color w:val="000000"/>
      <w:sz w:val="24"/>
      <w:szCs w:val="24"/>
    </w:rPr>
  </w:style>
  <w:style w:type="character" w:customStyle="1" w:styleId="left">
    <w:name w:val="left"/>
    <w:qFormat/>
    <w:rPr>
      <w:rFonts w:cs="Times New Roman"/>
    </w:rPr>
  </w:style>
  <w:style w:type="character" w:customStyle="1" w:styleId="CharChar59">
    <w:name w:val="Char Char59"/>
    <w:qFormat/>
    <w:rPr>
      <w:rFonts w:ascii="Arial" w:eastAsia="宋体" w:hAnsi="Arial" w:cs="Arial"/>
      <w:b/>
      <w:bCs/>
      <w:sz w:val="32"/>
      <w:szCs w:val="32"/>
      <w:lang w:val="en-US" w:eastAsia="zh-CN" w:bidi="ar-SA"/>
    </w:rPr>
  </w:style>
  <w:style w:type="character" w:customStyle="1" w:styleId="textnew">
    <w:name w:val="text_new"/>
    <w:qFormat/>
  </w:style>
  <w:style w:type="character" w:customStyle="1" w:styleId="t01">
    <w:name w:val="t_01"/>
    <w:qFormat/>
  </w:style>
  <w:style w:type="character" w:customStyle="1" w:styleId="chenChar">
    <w:name w:val="chen 正文字体 Char"/>
    <w:link w:val="chen"/>
    <w:qFormat/>
    <w:rPr>
      <w:rFonts w:ascii="宋体" w:hAnsi="宋体"/>
      <w:color w:val="000000"/>
      <w:spacing w:val="10"/>
      <w:sz w:val="24"/>
      <w:szCs w:val="24"/>
    </w:rPr>
  </w:style>
  <w:style w:type="paragraph" w:customStyle="1" w:styleId="chen">
    <w:name w:val="chen 正文字体"/>
    <w:basedOn w:val="a"/>
    <w:link w:val="chenChar"/>
    <w:qFormat/>
    <w:pPr>
      <w:spacing w:line="360" w:lineRule="auto"/>
      <w:ind w:firstLineChars="200" w:firstLine="200"/>
    </w:pPr>
    <w:rPr>
      <w:rFonts w:ascii="宋体" w:hAnsi="宋体"/>
      <w:color w:val="000000"/>
      <w:spacing w:val="10"/>
      <w:sz w:val="24"/>
      <w:szCs w:val="24"/>
    </w:rPr>
  </w:style>
  <w:style w:type="character" w:customStyle="1" w:styleId="Char1f6">
    <w:name w:val="页眉 Char1"/>
    <w:uiPriority w:val="99"/>
    <w:qFormat/>
    <w:rPr>
      <w:rFonts w:ascii="Times New Roman" w:eastAsia="宋体" w:hAnsi="Times New Roman" w:cs="Times New Roman"/>
      <w:kern w:val="0"/>
      <w:sz w:val="18"/>
      <w:szCs w:val="18"/>
    </w:rPr>
  </w:style>
  <w:style w:type="character" w:customStyle="1" w:styleId="CharCharCharChar22">
    <w:name w:val="Char Char Char Char22"/>
    <w:link w:val="CharCharChar30"/>
    <w:qFormat/>
    <w:rPr>
      <w:sz w:val="24"/>
      <w:szCs w:val="24"/>
    </w:rPr>
  </w:style>
  <w:style w:type="paragraph" w:customStyle="1" w:styleId="CharCharChar30">
    <w:name w:val="Char Char Char3"/>
    <w:basedOn w:val="a"/>
    <w:link w:val="CharCharCharChar22"/>
    <w:qFormat/>
    <w:rPr>
      <w:sz w:val="24"/>
      <w:szCs w:val="24"/>
    </w:rPr>
  </w:style>
  <w:style w:type="character" w:customStyle="1" w:styleId="ca-26">
    <w:name w:val="ca-26"/>
    <w:basedOn w:val="a1"/>
    <w:qFormat/>
  </w:style>
  <w:style w:type="character" w:customStyle="1" w:styleId="3Char13CharCharChar13CharChar1h3Char3Cha1">
    <w:name w:val="样式 标题 3 Char1标题 3 Char Char Char1标题 3 Char Char1h3 Char3 Cha...1"/>
    <w:qFormat/>
    <w:rPr>
      <w:rFonts w:ascii="Times New Roman" w:eastAsia="宋体" w:hAnsi="Times New Roman" w:cs="Times New Roman" w:hint="default"/>
      <w:bCs/>
      <w:kern w:val="2"/>
      <w:sz w:val="28"/>
      <w:lang w:val="en-US" w:eastAsia="zh-CN"/>
    </w:rPr>
  </w:style>
  <w:style w:type="character" w:customStyle="1" w:styleId="refereditorrefer">
    <w:name w:val="refer editor_refer"/>
    <w:qFormat/>
  </w:style>
  <w:style w:type="character" w:customStyle="1" w:styleId="Default15Char">
    <w:name w:val="样式 Default + (符号) 宋体 四号 行距: 1.5 倍行距 Char"/>
    <w:link w:val="Default15"/>
    <w:qFormat/>
    <w:locked/>
    <w:rPr>
      <w:rFonts w:ascii="宋体" w:eastAsia="宋体" w:hAnsi="宋体"/>
      <w:color w:val="000000"/>
      <w:sz w:val="28"/>
    </w:rPr>
  </w:style>
  <w:style w:type="paragraph" w:customStyle="1" w:styleId="Default15">
    <w:name w:val="样式 Default + (符号) 宋体 四号 行距: 1.5 倍行距"/>
    <w:basedOn w:val="a"/>
    <w:link w:val="Default15Char"/>
    <w:qFormat/>
    <w:pPr>
      <w:autoSpaceDE w:val="0"/>
      <w:autoSpaceDN w:val="0"/>
      <w:adjustRightInd w:val="0"/>
      <w:spacing w:line="360" w:lineRule="auto"/>
      <w:ind w:firstLineChars="200" w:firstLine="560"/>
      <w:jc w:val="left"/>
    </w:pPr>
    <w:rPr>
      <w:rFonts w:ascii="宋体" w:eastAsia="宋体" w:hAnsi="宋体"/>
      <w:color w:val="000000"/>
      <w:sz w:val="28"/>
    </w:rPr>
  </w:style>
  <w:style w:type="character" w:customStyle="1" w:styleId="92">
    <w:name w:val="标题9"/>
    <w:basedOn w:val="a1"/>
    <w:qFormat/>
  </w:style>
  <w:style w:type="character" w:customStyle="1" w:styleId="style121">
    <w:name w:val="style121"/>
    <w:qFormat/>
    <w:rPr>
      <w:rFonts w:ascii="宋体" w:eastAsia="宋体" w:hAnsi="宋体" w:hint="eastAsia"/>
      <w:b/>
      <w:bCs/>
      <w:color w:val="F77118"/>
      <w:kern w:val="2"/>
      <w:sz w:val="24"/>
      <w:szCs w:val="24"/>
      <w:lang w:val="en-US" w:eastAsia="zh-CN" w:bidi="ar-SA"/>
    </w:rPr>
  </w:style>
  <w:style w:type="character" w:customStyle="1" w:styleId="affffffffff">
    <w:name w:val="内容"/>
    <w:qFormat/>
    <w:rPr>
      <w:rFonts w:cs="Times New Roman"/>
    </w:rPr>
  </w:style>
  <w:style w:type="character" w:customStyle="1" w:styleId="HTML50">
    <w:name w:val="HTML 打字机5"/>
    <w:qFormat/>
    <w:rPr>
      <w:rFonts w:ascii="黑体" w:eastAsia="黑体" w:hAnsi="Courier New" w:cs="Courier New" w:hint="eastAsia"/>
      <w:sz w:val="18"/>
      <w:szCs w:val="18"/>
    </w:rPr>
  </w:style>
  <w:style w:type="character" w:customStyle="1" w:styleId="Charffffff3">
    <w:name w:val="正文小四 Char"/>
    <w:link w:val="affffffffff0"/>
    <w:qFormat/>
    <w:rPr>
      <w:rFonts w:ascii="Calibri" w:hAnsi="Calibri"/>
      <w:sz w:val="24"/>
      <w:szCs w:val="24"/>
    </w:rPr>
  </w:style>
  <w:style w:type="paragraph" w:customStyle="1" w:styleId="affffffffff0">
    <w:name w:val="正文小四"/>
    <w:link w:val="Charffffff3"/>
    <w:qFormat/>
    <w:pPr>
      <w:tabs>
        <w:tab w:val="left" w:pos="1260"/>
      </w:tabs>
      <w:spacing w:line="360" w:lineRule="auto"/>
      <w:ind w:firstLineChars="200" w:firstLine="480"/>
      <w:jc w:val="both"/>
    </w:pPr>
    <w:rPr>
      <w:rFonts w:ascii="Calibri" w:hAnsi="Calibri"/>
      <w:kern w:val="2"/>
      <w:sz w:val="24"/>
      <w:szCs w:val="24"/>
    </w:rPr>
  </w:style>
  <w:style w:type="character" w:customStyle="1" w:styleId="Char1f7">
    <w:name w:val="电子邮件签名 Char1"/>
    <w:uiPriority w:val="99"/>
    <w:semiHidden/>
    <w:qFormat/>
    <w:rPr>
      <w:rFonts w:ascii="Times New Roman" w:eastAsia="宋体" w:hAnsi="Times New Roman" w:cs="Times New Roman"/>
      <w:kern w:val="0"/>
      <w:sz w:val="20"/>
      <w:szCs w:val="20"/>
    </w:rPr>
  </w:style>
  <w:style w:type="character" w:customStyle="1" w:styleId="1fff4">
    <w:name w:val="批注框文本 字符1"/>
    <w:qFormat/>
    <w:locked/>
    <w:rPr>
      <w:kern w:val="2"/>
      <w:sz w:val="18"/>
      <w:szCs w:val="18"/>
    </w:rPr>
  </w:style>
  <w:style w:type="character" w:customStyle="1" w:styleId="2TimesNewRomanChar0">
    <w:name w:val="正文首行缩进 2 + Times New Roman Char"/>
    <w:qFormat/>
    <w:locked/>
    <w:rPr>
      <w:rFonts w:ascii="黑体" w:eastAsia="宋体" w:hAnsi="宋体"/>
      <w:b/>
      <w:spacing w:val="10"/>
      <w:kern w:val="2"/>
      <w:sz w:val="24"/>
      <w:szCs w:val="24"/>
      <w:lang w:val="en-US" w:eastAsia="zh-CN" w:bidi="ar-SA"/>
    </w:rPr>
  </w:style>
  <w:style w:type="character" w:customStyle="1" w:styleId="Charffffff4">
    <w:name w:val="表格字体 Char"/>
    <w:qFormat/>
    <w:rPr>
      <w:rFonts w:ascii="宋体" w:hAnsi="宋体" w:cs="宋体"/>
      <w:sz w:val="21"/>
      <w:szCs w:val="24"/>
      <w:lang w:val="en-US" w:eastAsia="zh-CN" w:bidi="ar-SA"/>
    </w:rPr>
  </w:style>
  <w:style w:type="character" w:customStyle="1" w:styleId="small14">
    <w:name w:val="small14"/>
    <w:qFormat/>
  </w:style>
  <w:style w:type="character" w:customStyle="1" w:styleId="216">
    <w:name w:val="标题 21"/>
    <w:qFormat/>
    <w:rPr>
      <w:rFonts w:ascii="黑体" w:eastAsia="黑体" w:hAnsi="Arial"/>
      <w:kern w:val="2"/>
      <w:sz w:val="36"/>
      <w:szCs w:val="32"/>
      <w:lang w:val="en-US" w:eastAsia="zh-CN" w:bidi="ar-SA"/>
    </w:rPr>
  </w:style>
  <w:style w:type="character" w:customStyle="1" w:styleId="Heading3Char">
    <w:name w:val="Heading 3 Char"/>
    <w:qFormat/>
    <w:locked/>
    <w:rPr>
      <w:rFonts w:ascii="Cambria" w:eastAsia="宋体" w:hAnsi="Cambria" w:cs="Times New Roman"/>
      <w:b/>
      <w:bCs/>
      <w:kern w:val="0"/>
      <w:sz w:val="26"/>
      <w:szCs w:val="26"/>
    </w:rPr>
  </w:style>
  <w:style w:type="character" w:customStyle="1" w:styleId="3Char4">
    <w:name w:val="样式3 Char"/>
    <w:link w:val="3fb"/>
    <w:qFormat/>
    <w:rPr>
      <w:sz w:val="28"/>
      <w:szCs w:val="28"/>
    </w:rPr>
  </w:style>
  <w:style w:type="paragraph" w:customStyle="1" w:styleId="3fb">
    <w:name w:val="样式3"/>
    <w:basedOn w:val="a"/>
    <w:next w:val="a"/>
    <w:link w:val="3Char4"/>
    <w:qFormat/>
    <w:pPr>
      <w:spacing w:line="600" w:lineRule="exact"/>
    </w:pPr>
    <w:rPr>
      <w:sz w:val="28"/>
      <w:szCs w:val="28"/>
    </w:rPr>
  </w:style>
  <w:style w:type="character" w:customStyle="1" w:styleId="CharCharff7">
    <w:name w:val="环评正文 Char Char"/>
    <w:qFormat/>
    <w:rPr>
      <w:rFonts w:ascii="仿宋_GB2312" w:eastAsia="仿宋_GB2312"/>
      <w:kern w:val="2"/>
      <w:sz w:val="28"/>
    </w:rPr>
  </w:style>
  <w:style w:type="character" w:customStyle="1" w:styleId="title1">
    <w:name w:val="title1"/>
    <w:qFormat/>
    <w:rPr>
      <w:rFonts w:cs="Times New Roman"/>
      <w:b/>
      <w:bCs/>
      <w:color w:val="517C1E"/>
      <w:sz w:val="21"/>
      <w:szCs w:val="21"/>
    </w:rPr>
  </w:style>
  <w:style w:type="character" w:customStyle="1" w:styleId="Charffffff5">
    <w:name w:val="注 Char"/>
    <w:qFormat/>
    <w:rPr>
      <w:rFonts w:ascii="Arial" w:eastAsia="黑体" w:hAnsi="Arial"/>
      <w:sz w:val="24"/>
      <w:lang w:val="en-US" w:eastAsia="zh-CN" w:bidi="ar-SA"/>
    </w:rPr>
  </w:style>
  <w:style w:type="character" w:customStyle="1" w:styleId="CharChar62">
    <w:name w:val="Char Char62"/>
    <w:qFormat/>
    <w:rPr>
      <w:rFonts w:eastAsia="宋体"/>
      <w:sz w:val="18"/>
      <w:szCs w:val="18"/>
      <w:lang w:val="en-US" w:eastAsia="zh-CN" w:bidi="ar-SA"/>
    </w:rPr>
  </w:style>
  <w:style w:type="character" w:customStyle="1" w:styleId="style31">
    <w:name w:val="style31"/>
    <w:qFormat/>
    <w:rPr>
      <w:rFonts w:cs="Times New Roman"/>
      <w:sz w:val="21"/>
      <w:szCs w:val="21"/>
    </w:rPr>
  </w:style>
  <w:style w:type="character" w:customStyle="1" w:styleId="CharChar196">
    <w:name w:val="Char Char196"/>
    <w:qFormat/>
    <w:rPr>
      <w:rFonts w:ascii="宋体" w:eastAsia="宋体" w:hAnsi="宋体" w:hint="eastAsia"/>
      <w:b/>
      <w:color w:val="000000"/>
      <w:kern w:val="2"/>
      <w:sz w:val="28"/>
      <w:szCs w:val="24"/>
      <w:lang w:val="en-US" w:eastAsia="zh-CN" w:bidi="ar-SA"/>
    </w:rPr>
  </w:style>
  <w:style w:type="character" w:customStyle="1" w:styleId="1Charf1">
    <w:name w:val="项标题(1) Char"/>
    <w:qFormat/>
    <w:rPr>
      <w:rFonts w:eastAsia="宋体"/>
      <w:b/>
      <w:bCs/>
      <w:kern w:val="2"/>
      <w:sz w:val="24"/>
      <w:szCs w:val="24"/>
      <w:lang w:val="en-US" w:eastAsia="zh-CN" w:bidi="ar-SA"/>
    </w:rPr>
  </w:style>
  <w:style w:type="character" w:customStyle="1" w:styleId="HTML120">
    <w:name w:val="HTML 代码12"/>
    <w:qFormat/>
    <w:rPr>
      <w:rFonts w:ascii="黑体" w:eastAsia="黑体" w:hAnsi="Courier New" w:cs="Courier New" w:hint="eastAsia"/>
      <w:sz w:val="24"/>
      <w:szCs w:val="24"/>
    </w:rPr>
  </w:style>
  <w:style w:type="character" w:customStyle="1" w:styleId="at2">
    <w:name w:val="at_2"/>
    <w:qFormat/>
  </w:style>
  <w:style w:type="character" w:customStyle="1" w:styleId="CharCharff8">
    <w:name w:val="首行缩进 Char Char"/>
    <w:link w:val="affffffffff1"/>
    <w:qFormat/>
    <w:rPr>
      <w:sz w:val="24"/>
      <w:szCs w:val="24"/>
    </w:rPr>
  </w:style>
  <w:style w:type="paragraph" w:customStyle="1" w:styleId="affffffffff1">
    <w:name w:val="首行缩进"/>
    <w:basedOn w:val="a"/>
    <w:link w:val="CharCharff8"/>
    <w:qFormat/>
    <w:pPr>
      <w:spacing w:line="360" w:lineRule="auto"/>
      <w:ind w:firstLineChars="200" w:firstLine="480"/>
    </w:pPr>
    <w:rPr>
      <w:sz w:val="24"/>
      <w:szCs w:val="24"/>
    </w:rPr>
  </w:style>
  <w:style w:type="character" w:customStyle="1" w:styleId="Char4CharChar21">
    <w:name w:val="Char4 Char Char21"/>
    <w:qFormat/>
    <w:rPr>
      <w:rFonts w:ascii="宋体" w:eastAsia="宋体" w:hAnsi="宋体" w:hint="eastAsia"/>
      <w:kern w:val="2"/>
      <w:sz w:val="18"/>
      <w:szCs w:val="18"/>
      <w:lang w:val="en-US" w:eastAsia="zh-CN" w:bidi="ar-SA"/>
    </w:rPr>
  </w:style>
  <w:style w:type="character" w:customStyle="1" w:styleId="CharChar27">
    <w:name w:val="Char Char27"/>
    <w:qFormat/>
    <w:rPr>
      <w:rFonts w:ascii="仿宋_GB2312" w:eastAsia="仿宋_GB2312"/>
      <w:b/>
      <w:color w:val="000000"/>
      <w:sz w:val="28"/>
      <w:lang w:val="en-US" w:eastAsia="zh-CN" w:bidi="ar-SA"/>
    </w:rPr>
  </w:style>
  <w:style w:type="character" w:customStyle="1" w:styleId="Charffffff6">
    <w:name w:val="首行缩进 Char"/>
    <w:qFormat/>
    <w:rPr>
      <w:rFonts w:eastAsia="宋体" w:cs="宋体"/>
      <w:sz w:val="24"/>
      <w:szCs w:val="24"/>
      <w:lang w:val="en-US" w:eastAsia="zh-CN" w:bidi="ar-SA"/>
    </w:rPr>
  </w:style>
  <w:style w:type="character" w:customStyle="1" w:styleId="luluCharChar">
    <w:name w:val="正文（lulu四号字） Char Char"/>
    <w:qFormat/>
    <w:rPr>
      <w:rFonts w:ascii="宋体" w:eastAsia="宋体" w:hAnsi="宋体" w:cs="宋体"/>
      <w:kern w:val="2"/>
      <w:sz w:val="28"/>
      <w:lang w:val="en-US" w:eastAsia="zh-CN" w:bidi="ar-SA"/>
    </w:rPr>
  </w:style>
  <w:style w:type="character" w:customStyle="1" w:styleId="21CharChar">
    <w:name w:val="样式 首行缩进:  2 字符1 Char Char"/>
    <w:link w:val="217"/>
    <w:qFormat/>
    <w:rPr>
      <w:sz w:val="24"/>
    </w:rPr>
  </w:style>
  <w:style w:type="paragraph" w:customStyle="1" w:styleId="217">
    <w:name w:val="样式 首行缩进:  2 字符1"/>
    <w:basedOn w:val="a"/>
    <w:link w:val="21CharChar"/>
    <w:qFormat/>
    <w:pPr>
      <w:adjustRightInd w:val="0"/>
      <w:snapToGrid w:val="0"/>
      <w:spacing w:line="360" w:lineRule="auto"/>
      <w:ind w:firstLineChars="200" w:firstLine="480"/>
    </w:pPr>
    <w:rPr>
      <w:sz w:val="24"/>
    </w:rPr>
  </w:style>
  <w:style w:type="character" w:customStyle="1" w:styleId="v15">
    <w:name w:val="v15"/>
    <w:qFormat/>
  </w:style>
  <w:style w:type="character" w:customStyle="1" w:styleId="title31">
    <w:name w:val="title31"/>
    <w:qFormat/>
    <w:rPr>
      <w:rFonts w:ascii="黑体" w:eastAsia="黑体" w:cs="Times New Roman"/>
      <w:sz w:val="36"/>
      <w:szCs w:val="36"/>
    </w:rPr>
  </w:style>
  <w:style w:type="character" w:customStyle="1" w:styleId="mainfirst1">
    <w:name w:val="mainfirst1"/>
    <w:semiHidden/>
    <w:qFormat/>
    <w:rPr>
      <w:rFonts w:ascii="宋体" w:eastAsia="黑体" w:hAnsi="宋体" w:cs="宋体"/>
      <w:b/>
      <w:bCs/>
      <w:color w:val="FF0000"/>
      <w:kern w:val="2"/>
      <w:sz w:val="36"/>
      <w:szCs w:val="36"/>
      <w:lang w:val="en-US" w:eastAsia="zh-CN" w:bidi="ar-SA"/>
    </w:rPr>
  </w:style>
  <w:style w:type="character" w:customStyle="1" w:styleId="ChaChar">
    <w:name w:val="正文缩进 Cha Char"/>
    <w:qFormat/>
    <w:rPr>
      <w:rFonts w:eastAsia="宋体"/>
      <w:kern w:val="2"/>
      <w:sz w:val="28"/>
      <w:szCs w:val="24"/>
      <w:lang w:val="en-US" w:eastAsia="zh-CN" w:bidi="ar-SA"/>
    </w:rPr>
  </w:style>
  <w:style w:type="character" w:customStyle="1" w:styleId="HTML70">
    <w:name w:val="HTML 打字机7"/>
    <w:qFormat/>
    <w:rPr>
      <w:rFonts w:ascii="黑体" w:eastAsia="黑体" w:hAnsi="Courier New" w:cs="Courier New"/>
      <w:sz w:val="18"/>
      <w:szCs w:val="18"/>
    </w:rPr>
  </w:style>
  <w:style w:type="character" w:customStyle="1" w:styleId="Char1f8">
    <w:name w:val="无间隔 Char1"/>
    <w:qFormat/>
    <w:rPr>
      <w:rFonts w:ascii="Arial" w:eastAsia="仿宋" w:hAnsi="Arial"/>
      <w:w w:val="90"/>
      <w:sz w:val="24"/>
      <w:szCs w:val="24"/>
      <w:lang w:val="en-US" w:eastAsia="zh-CN" w:bidi="ar-SA"/>
    </w:rPr>
  </w:style>
  <w:style w:type="character" w:customStyle="1" w:styleId="sh141">
    <w:name w:val="sh141"/>
    <w:qFormat/>
    <w:rPr>
      <w:color w:val="2B2B2B"/>
      <w:sz w:val="18"/>
      <w:szCs w:val="18"/>
    </w:rPr>
  </w:style>
  <w:style w:type="character" w:customStyle="1" w:styleId="Charffffff7">
    <w:name w:val="列表项目符号 Char"/>
    <w:qFormat/>
    <w:rPr>
      <w:rFonts w:ascii="仿宋_GB2312" w:eastAsia="仿宋_GB2312" w:hAnsi="Courier New"/>
      <w:sz w:val="28"/>
      <w:lang w:val="en-US" w:eastAsia="zh-CN" w:bidi="ar-SA"/>
    </w:rPr>
  </w:style>
  <w:style w:type="character" w:customStyle="1" w:styleId="CharChar56">
    <w:name w:val="Char Char56"/>
    <w:rPr>
      <w:rFonts w:ascii="Arial" w:eastAsia="宋体" w:hAnsi="Arial" w:cs="Arial"/>
      <w:b/>
      <w:bCs/>
      <w:sz w:val="32"/>
      <w:szCs w:val="32"/>
      <w:lang w:val="en-US" w:eastAsia="zh-CN" w:bidi="ar-SA"/>
    </w:rPr>
  </w:style>
  <w:style w:type="character" w:customStyle="1" w:styleId="TimesNewRomanChar">
    <w:name w:val="样式 表格内容 + Times New Roman 小五 加粗 Char"/>
    <w:link w:val="TimesNewRoman"/>
    <w:rPr>
      <w:rFonts w:ascii="宋体" w:hAnsi="宋体" w:cs="宋体"/>
      <w:b/>
      <w:bCs/>
      <w:sz w:val="18"/>
    </w:rPr>
  </w:style>
  <w:style w:type="paragraph" w:customStyle="1" w:styleId="TimesNewRoman">
    <w:name w:val="样式 表格内容 + Times New Roman 小五 加粗"/>
    <w:basedOn w:val="afffffffff7"/>
    <w:link w:val="TimesNewRomanChar"/>
    <w:qFormat/>
    <w:pPr>
      <w:overflowPunct/>
      <w:adjustRightInd/>
      <w:spacing w:line="320" w:lineRule="exact"/>
      <w:textAlignment w:val="auto"/>
    </w:pPr>
    <w:rPr>
      <w:rFonts w:ascii="宋体" w:eastAsiaTheme="minorEastAsia" w:hAnsi="宋体" w:cs="宋体"/>
      <w:b/>
      <w:bCs/>
      <w:sz w:val="18"/>
    </w:rPr>
  </w:style>
  <w:style w:type="character" w:customStyle="1" w:styleId="Heading2Char">
    <w:name w:val="Heading 2 Char"/>
    <w:qFormat/>
    <w:locked/>
    <w:rPr>
      <w:rFonts w:ascii="Cambria" w:eastAsia="宋体" w:hAnsi="Cambria" w:cs="Times New Roman"/>
      <w:b/>
      <w:bCs/>
      <w:i/>
      <w:iCs/>
      <w:kern w:val="0"/>
      <w:sz w:val="28"/>
      <w:szCs w:val="28"/>
    </w:rPr>
  </w:style>
  <w:style w:type="character" w:customStyle="1" w:styleId="Char1f9">
    <w:name w:val="注释标题 Char1"/>
    <w:uiPriority w:val="99"/>
    <w:rPr>
      <w:rFonts w:ascii="Times New Roman" w:eastAsia="宋体" w:hAnsi="Times New Roman" w:cs="Times New Roman"/>
      <w:kern w:val="0"/>
      <w:sz w:val="20"/>
      <w:szCs w:val="20"/>
    </w:rPr>
  </w:style>
  <w:style w:type="character" w:customStyle="1" w:styleId="Charffffff8">
    <w:name w:val="兴武正文 Char"/>
    <w:link w:val="affffffffff2"/>
    <w:rPr>
      <w:sz w:val="24"/>
    </w:rPr>
  </w:style>
  <w:style w:type="paragraph" w:customStyle="1" w:styleId="affffffffff2">
    <w:name w:val="兴武正文"/>
    <w:basedOn w:val="a"/>
    <w:link w:val="Charffffff8"/>
    <w:qFormat/>
    <w:pPr>
      <w:spacing w:line="480" w:lineRule="exact"/>
      <w:ind w:firstLineChars="200" w:firstLine="200"/>
    </w:pPr>
    <w:rPr>
      <w:sz w:val="24"/>
    </w:rPr>
  </w:style>
  <w:style w:type="character" w:customStyle="1" w:styleId="class1">
    <w:name w:val="class1"/>
    <w:rPr>
      <w:color w:val="000000"/>
      <w:sz w:val="18"/>
      <w:szCs w:val="18"/>
      <w:u w:val="none"/>
    </w:rPr>
  </w:style>
  <w:style w:type="character" w:customStyle="1" w:styleId="CharChar29">
    <w:name w:val="Char Char29"/>
    <w:rPr>
      <w:sz w:val="24"/>
    </w:rPr>
  </w:style>
  <w:style w:type="character" w:customStyle="1" w:styleId="CharChar24">
    <w:name w:val="Char Char24"/>
    <w:rPr>
      <w:rFonts w:ascii="仿宋_GB2312" w:eastAsia="仿宋_GB2312"/>
      <w:sz w:val="28"/>
      <w:lang w:val="en-US" w:eastAsia="zh-CN" w:bidi="ar-SA"/>
    </w:rPr>
  </w:style>
  <w:style w:type="character" w:customStyle="1" w:styleId="322">
    <w:name w:val="正文文本缩进 3 字符2"/>
    <w:locked/>
    <w:rPr>
      <w:kern w:val="2"/>
      <w:sz w:val="16"/>
      <w:szCs w:val="16"/>
    </w:rPr>
  </w:style>
  <w:style w:type="character" w:customStyle="1" w:styleId="TOC1Char">
    <w:name w:val="TOC 1 Char"/>
    <w:qFormat/>
    <w:locked/>
    <w:rPr>
      <w:rFonts w:eastAsia="宋体" w:cs="Times New Roman"/>
      <w:b/>
      <w:bCs/>
      <w:caps/>
    </w:rPr>
  </w:style>
  <w:style w:type="character" w:customStyle="1" w:styleId="sovnn">
    <w:name w:val="sovnn"/>
  </w:style>
  <w:style w:type="character" w:customStyle="1" w:styleId="p41">
    <w:name w:val="p41"/>
    <w:rPr>
      <w:rFonts w:ascii="宋体" w:eastAsia="宋体" w:hAnsi="宋体" w:hint="eastAsia"/>
      <w:sz w:val="21"/>
      <w:szCs w:val="21"/>
    </w:rPr>
  </w:style>
  <w:style w:type="character" w:customStyle="1" w:styleId="CharChar74">
    <w:name w:val="Char Char74"/>
    <w:rPr>
      <w:rFonts w:ascii="Arial" w:eastAsia="宋体" w:hAnsi="Arial" w:cs="Arial"/>
      <w:b/>
      <w:bCs/>
      <w:kern w:val="2"/>
      <w:sz w:val="32"/>
      <w:szCs w:val="32"/>
      <w:lang w:val="en-US" w:eastAsia="zh-CN" w:bidi="ar-SA"/>
    </w:rPr>
  </w:style>
  <w:style w:type="character" w:customStyle="1" w:styleId="14red1">
    <w:name w:val="14red1"/>
    <w:rPr>
      <w:color w:val="FF0000"/>
      <w:sz w:val="21"/>
      <w:szCs w:val="21"/>
      <w:u w:val="none"/>
    </w:rPr>
  </w:style>
  <w:style w:type="character" w:customStyle="1" w:styleId="CharChar115">
    <w:name w:val="Char Char115"/>
    <w:rPr>
      <w:rFonts w:eastAsia="宋体"/>
      <w:sz w:val="18"/>
      <w:szCs w:val="18"/>
      <w:lang w:val="en-US" w:eastAsia="zh-CN" w:bidi="ar-SA"/>
    </w:rPr>
  </w:style>
  <w:style w:type="character" w:customStyle="1" w:styleId="3Char20">
    <w:name w:val="标题 3 Char2"/>
    <w:rPr>
      <w:rFonts w:eastAsia="宋体"/>
      <w:b/>
      <w:kern w:val="2"/>
      <w:sz w:val="24"/>
      <w:lang w:val="en-US" w:eastAsia="zh-CN" w:bidi="ar-SA"/>
    </w:rPr>
  </w:style>
  <w:style w:type="character" w:customStyle="1" w:styleId="z-12">
    <w:name w:val="z-窗体底端 字符1"/>
    <w:uiPriority w:val="99"/>
    <w:semiHidden/>
    <w:rPr>
      <w:rFonts w:ascii="Arial" w:hAnsi="Arial" w:cs="Arial" w:hint="default"/>
      <w:vanish/>
      <w:kern w:val="2"/>
      <w:sz w:val="16"/>
      <w:szCs w:val="16"/>
    </w:rPr>
  </w:style>
  <w:style w:type="character" w:customStyle="1" w:styleId="zhenwen141">
    <w:name w:val="zhenwen141"/>
    <w:rPr>
      <w:rFonts w:ascii="ˎ̥" w:hAnsi="ˎ̥" w:hint="default"/>
      <w:sz w:val="20"/>
      <w:szCs w:val="20"/>
    </w:rPr>
  </w:style>
  <w:style w:type="character" w:customStyle="1" w:styleId="Charffffff9">
    <w:name w:val="表、图名 Char"/>
    <w:link w:val="affffffffff3"/>
    <w:rPr>
      <w:rFonts w:eastAsia="黑体"/>
      <w:szCs w:val="21"/>
    </w:rPr>
  </w:style>
  <w:style w:type="paragraph" w:customStyle="1" w:styleId="affffffffff3">
    <w:name w:val="表、图名"/>
    <w:basedOn w:val="affffffff2"/>
    <w:link w:val="Charffffff9"/>
    <w:qFormat/>
    <w:pPr>
      <w:spacing w:line="240" w:lineRule="auto"/>
      <w:textAlignment w:val="auto"/>
    </w:pPr>
    <w:rPr>
      <w:spacing w:val="0"/>
      <w:szCs w:val="21"/>
    </w:rPr>
  </w:style>
  <w:style w:type="character" w:customStyle="1" w:styleId="chenChar0">
    <w:name w:val="谏壁正文chen Char"/>
    <w:link w:val="chen0"/>
    <w:rPr>
      <w:sz w:val="24"/>
      <w:szCs w:val="24"/>
    </w:rPr>
  </w:style>
  <w:style w:type="paragraph" w:customStyle="1" w:styleId="chen0">
    <w:name w:val="谏壁正文chen"/>
    <w:basedOn w:val="a"/>
    <w:link w:val="chenChar0"/>
    <w:qFormat/>
    <w:pPr>
      <w:spacing w:line="360" w:lineRule="auto"/>
      <w:ind w:firstLineChars="200" w:firstLine="200"/>
    </w:pPr>
    <w:rPr>
      <w:sz w:val="24"/>
      <w:szCs w:val="24"/>
    </w:rPr>
  </w:style>
  <w:style w:type="character" w:customStyle="1" w:styleId="ttag">
    <w:name w:val="t_tag"/>
    <w:basedOn w:val="a1"/>
  </w:style>
  <w:style w:type="character" w:customStyle="1" w:styleId="style41">
    <w:name w:val="style41"/>
    <w:qFormat/>
    <w:rPr>
      <w:rFonts w:ascii="Verdana" w:hAnsi="Verdana" w:hint="default"/>
    </w:rPr>
  </w:style>
  <w:style w:type="character" w:customStyle="1" w:styleId="iiiChar">
    <w:name w:val=". [(iii)] Char"/>
    <w:rPr>
      <w:rFonts w:ascii="Arial" w:eastAsia="黑体" w:hAnsi="Arial" w:cs="Arial" w:hint="default"/>
      <w:sz w:val="24"/>
    </w:rPr>
  </w:style>
  <w:style w:type="character" w:customStyle="1" w:styleId="CharChar91">
    <w:name w:val="Char Char91"/>
    <w:locked/>
    <w:rPr>
      <w:rFonts w:eastAsia="宋体"/>
      <w:kern w:val="2"/>
      <w:sz w:val="18"/>
      <w:lang w:val="en-US" w:eastAsia="zh-CN" w:bidi="ar-SA"/>
    </w:rPr>
  </w:style>
  <w:style w:type="character" w:customStyle="1" w:styleId="920">
    <w:name w:val="标题 9 字符2"/>
    <w:semiHidden/>
    <w:locked/>
    <w:rPr>
      <w:rFonts w:ascii="Arial" w:eastAsia="黑体" w:hAnsi="Arial"/>
      <w:kern w:val="2"/>
      <w:sz w:val="24"/>
    </w:rPr>
  </w:style>
  <w:style w:type="character" w:customStyle="1" w:styleId="hhcwtCharChar">
    <w:name w:val="hhcwt表头 Char Char"/>
    <w:link w:val="hhcwt"/>
    <w:rPr>
      <w:rFonts w:ascii="楷体_GB2312" w:eastAsia="楷体_GB2312"/>
      <w:b/>
      <w:bCs/>
      <w:sz w:val="24"/>
    </w:rPr>
  </w:style>
  <w:style w:type="paragraph" w:customStyle="1" w:styleId="hhcwt">
    <w:name w:val="hhcwt表头"/>
    <w:basedOn w:val="a"/>
    <w:link w:val="hhcwtCharChar"/>
    <w:qFormat/>
    <w:pPr>
      <w:spacing w:after="120" w:line="500" w:lineRule="exact"/>
      <w:jc w:val="center"/>
    </w:pPr>
    <w:rPr>
      <w:rFonts w:ascii="楷体_GB2312" w:eastAsia="楷体_GB2312"/>
      <w:b/>
      <w:bCs/>
      <w:sz w:val="24"/>
    </w:rPr>
  </w:style>
  <w:style w:type="character" w:customStyle="1" w:styleId="CharCharChar6">
    <w:name w:val="文本框五号 Char Char Char"/>
    <w:semiHidden/>
    <w:rPr>
      <w:rFonts w:ascii="宋体" w:eastAsia="仿宋_GB2312" w:hAnsi="宋体" w:cs="Courier New"/>
      <w:kern w:val="2"/>
      <w:sz w:val="21"/>
      <w:szCs w:val="21"/>
      <w:lang w:val="en-US" w:eastAsia="zh-CN" w:bidi="ar-SA"/>
    </w:rPr>
  </w:style>
  <w:style w:type="character" w:customStyle="1" w:styleId="3fc">
    <w:name w:val="页眉 字符3"/>
    <w:qFormat/>
    <w:rPr>
      <w:rFonts w:eastAsia="宋体"/>
      <w:kern w:val="2"/>
      <w:sz w:val="18"/>
      <w:szCs w:val="18"/>
      <w:lang w:val="en-US" w:eastAsia="zh-CN" w:bidi="ar-SA"/>
    </w:rPr>
  </w:style>
  <w:style w:type="character" w:customStyle="1" w:styleId="Char1fa">
    <w:name w:val="正文文字 Char1"/>
    <w:rPr>
      <w:rFonts w:eastAsia="仿宋_GB2312"/>
      <w:kern w:val="2"/>
      <w:sz w:val="24"/>
      <w:lang w:val="en-US" w:eastAsia="zh-CN"/>
    </w:rPr>
  </w:style>
  <w:style w:type="character" w:customStyle="1" w:styleId="CharCharff9">
    <w:name w:val="正文(首行缩进) Char Char"/>
    <w:semiHidden/>
    <w:rPr>
      <w:rFonts w:eastAsia="宋体"/>
      <w:snapToGrid/>
      <w:color w:val="000000"/>
      <w:sz w:val="24"/>
      <w:szCs w:val="24"/>
      <w:lang w:val="en-US" w:eastAsia="zh-CN" w:bidi="ar-SA"/>
    </w:rPr>
  </w:style>
  <w:style w:type="character" w:customStyle="1" w:styleId="HTML61">
    <w:name w:val="HTML 打字机6"/>
    <w:rPr>
      <w:rFonts w:ascii="黑体" w:eastAsia="黑体" w:hAnsi="Courier New" w:cs="Courier New" w:hint="eastAsia"/>
      <w:sz w:val="18"/>
      <w:szCs w:val="18"/>
    </w:rPr>
  </w:style>
  <w:style w:type="character" w:customStyle="1" w:styleId="ca-13">
    <w:name w:val="ca-13"/>
    <w:basedOn w:val="a1"/>
  </w:style>
  <w:style w:type="character" w:customStyle="1" w:styleId="z141">
    <w:name w:val="z141"/>
    <w:rPr>
      <w:sz w:val="21"/>
      <w:szCs w:val="21"/>
    </w:rPr>
  </w:style>
  <w:style w:type="character" w:customStyle="1" w:styleId="td1">
    <w:name w:val="td1"/>
    <w:qFormat/>
    <w:rPr>
      <w:rFonts w:cs="Times New Roman"/>
      <w:color w:val="000000"/>
      <w:sz w:val="21"/>
      <w:szCs w:val="21"/>
    </w:rPr>
  </w:style>
  <w:style w:type="character" w:customStyle="1" w:styleId="12Char">
    <w:name w:val="样式 正文1 + 首行缩进:  2 字符 Char"/>
    <w:link w:val="123"/>
    <w:locked/>
    <w:rPr>
      <w:rFonts w:ascii="宋体" w:hAnsi="宋体" w:cs="宋体"/>
      <w:sz w:val="28"/>
      <w:szCs w:val="28"/>
    </w:rPr>
  </w:style>
  <w:style w:type="paragraph" w:customStyle="1" w:styleId="123">
    <w:name w:val="样式 正文1 + 首行缩进:  2 字符"/>
    <w:basedOn w:val="a"/>
    <w:link w:val="12Char"/>
    <w:qFormat/>
    <w:pPr>
      <w:adjustRightInd w:val="0"/>
      <w:snapToGrid w:val="0"/>
      <w:spacing w:line="360" w:lineRule="auto"/>
      <w:ind w:firstLineChars="200" w:firstLine="560"/>
    </w:pPr>
    <w:rPr>
      <w:rFonts w:ascii="宋体" w:hAnsi="宋体" w:cs="宋体"/>
      <w:sz w:val="28"/>
      <w:szCs w:val="28"/>
    </w:rPr>
  </w:style>
  <w:style w:type="character" w:customStyle="1" w:styleId="11Char">
    <w:name w:val="标题1.1 Char"/>
    <w:link w:val="115"/>
    <w:rPr>
      <w:rFonts w:ascii="黑体" w:eastAsia="黑体"/>
      <w:color w:val="000000"/>
      <w:sz w:val="32"/>
      <w:szCs w:val="32"/>
    </w:rPr>
  </w:style>
  <w:style w:type="paragraph" w:customStyle="1" w:styleId="115">
    <w:name w:val="标题1.1"/>
    <w:basedOn w:val="a"/>
    <w:link w:val="11Char"/>
    <w:qFormat/>
    <w:pPr>
      <w:spacing w:beforeLines="50" w:before="156" w:afterLines="50" w:after="156" w:line="360" w:lineRule="auto"/>
      <w:outlineLvl w:val="1"/>
    </w:pPr>
    <w:rPr>
      <w:rFonts w:ascii="黑体" w:eastAsia="黑体"/>
      <w:color w:val="000000"/>
      <w:sz w:val="32"/>
      <w:szCs w:val="32"/>
    </w:rPr>
  </w:style>
  <w:style w:type="character" w:customStyle="1" w:styleId="newstxt">
    <w:name w:val="newstxt"/>
  </w:style>
  <w:style w:type="character" w:customStyle="1" w:styleId="soa7bda">
    <w:name w:val="soa7bda"/>
  </w:style>
  <w:style w:type="character" w:customStyle="1" w:styleId="CharCharffa">
    <w:name w:val="文本条款 Char Char"/>
    <w:rPr>
      <w:rFonts w:eastAsia="宋体"/>
      <w:kern w:val="2"/>
      <w:sz w:val="28"/>
      <w:lang w:val="en-US" w:eastAsia="zh-CN" w:bidi="ar-SA"/>
    </w:rPr>
  </w:style>
  <w:style w:type="character" w:customStyle="1" w:styleId="CharCharChar2Char">
    <w:name w:val="正文格式 Char Char Char2 Char"/>
    <w:link w:val="CharCharChar21"/>
    <w:rPr>
      <w:rFonts w:ascii="宋体"/>
      <w:sz w:val="24"/>
      <w:szCs w:val="24"/>
    </w:rPr>
  </w:style>
  <w:style w:type="paragraph" w:customStyle="1" w:styleId="CharCharChar21">
    <w:name w:val="正文格式 Char Char Char2"/>
    <w:basedOn w:val="a"/>
    <w:link w:val="CharCharChar2Char"/>
    <w:qFormat/>
    <w:pPr>
      <w:spacing w:line="360" w:lineRule="auto"/>
      <w:ind w:firstLine="482"/>
    </w:pPr>
    <w:rPr>
      <w:rFonts w:ascii="宋体"/>
      <w:sz w:val="24"/>
      <w:szCs w:val="24"/>
    </w:rPr>
  </w:style>
  <w:style w:type="character" w:customStyle="1" w:styleId="Charffffffa">
    <w:name w:val="下标 Char"/>
    <w:link w:val="affffffffff4"/>
    <w:rPr>
      <w:rFonts w:ascii="宋体" w:hAnsi="宋体"/>
      <w:szCs w:val="21"/>
    </w:rPr>
  </w:style>
  <w:style w:type="paragraph" w:customStyle="1" w:styleId="affffffffff4">
    <w:name w:val="下标"/>
    <w:basedOn w:val="a"/>
    <w:link w:val="Charffffffa"/>
    <w:qFormat/>
    <w:pPr>
      <w:widowControl/>
      <w:spacing w:line="500" w:lineRule="exact"/>
      <w:ind w:firstLine="570"/>
      <w:jc w:val="left"/>
    </w:pPr>
    <w:rPr>
      <w:rFonts w:ascii="宋体" w:hAnsi="宋体"/>
      <w:szCs w:val="21"/>
    </w:rPr>
  </w:style>
  <w:style w:type="character" w:customStyle="1" w:styleId="HTMLb">
    <w:name w:val="HTML 地址 字符"/>
    <w:qFormat/>
    <w:rPr>
      <w:rFonts w:ascii="Arial" w:eastAsia="仿宋_GB2312" w:hAnsi="Arial" w:cs="Times New Roman"/>
      <w:i/>
      <w:iCs/>
      <w:kern w:val="0"/>
      <w:sz w:val="24"/>
      <w:szCs w:val="20"/>
    </w:rPr>
  </w:style>
  <w:style w:type="character" w:customStyle="1" w:styleId="CharChar166">
    <w:name w:val="Char Char166"/>
    <w:semiHidden/>
    <w:rPr>
      <w:rFonts w:ascii="宋体" w:eastAsia="宋体" w:hAnsi="宋体" w:hint="eastAsia"/>
      <w:kern w:val="2"/>
      <w:sz w:val="21"/>
      <w:szCs w:val="18"/>
      <w:lang w:val="en-US" w:eastAsia="zh-CN" w:bidi="ar-SA"/>
    </w:rPr>
  </w:style>
  <w:style w:type="character" w:customStyle="1" w:styleId="smuvt">
    <w:name w:val="smuvt"/>
  </w:style>
  <w:style w:type="character" w:customStyle="1" w:styleId="rsdesckey1">
    <w:name w:val="rsdesckey1"/>
    <w:rPr>
      <w:color w:val="FF0000"/>
    </w:rPr>
  </w:style>
  <w:style w:type="character" w:customStyle="1" w:styleId="2Char6">
    <w:name w:val="环标2 Char"/>
    <w:rPr>
      <w:rFonts w:ascii="黑体" w:eastAsia="黑体" w:hAnsi="Arial"/>
      <w:color w:val="000000"/>
      <w:sz w:val="28"/>
      <w:lang w:val="en-US" w:eastAsia="zh-CN" w:bidi="ar-SA"/>
    </w:rPr>
  </w:style>
  <w:style w:type="character" w:customStyle="1" w:styleId="CharCharCharCharCharCharCharChar1">
    <w:name w:val="Char Char Char Char Char Char Char Char1"/>
    <w:qFormat/>
    <w:rPr>
      <w:rFonts w:ascii="仿宋_GB2312" w:eastAsia="仿宋_GB2312"/>
      <w:sz w:val="28"/>
      <w:lang w:val="en-US" w:eastAsia="zh-CN" w:bidi="ar-SA"/>
    </w:rPr>
  </w:style>
  <w:style w:type="character" w:customStyle="1" w:styleId="1Char13">
    <w:name w:val="目标题 1) Char1"/>
    <w:locked/>
    <w:rPr>
      <w:rFonts w:ascii="Arial" w:eastAsia="黑体" w:hAnsi="Arial"/>
      <w:sz w:val="24"/>
      <w:lang w:val="en-US" w:eastAsia="zh-CN" w:bidi="ar-SA"/>
    </w:rPr>
  </w:style>
  <w:style w:type="character" w:customStyle="1" w:styleId="hg1">
    <w:name w:val="hg1"/>
    <w:qFormat/>
  </w:style>
  <w:style w:type="character" w:customStyle="1" w:styleId="h8Char1">
    <w:name w:val="h8 Char1"/>
    <w:rPr>
      <w:rFonts w:ascii="Arial" w:eastAsia="黑体" w:hAnsi="Arial"/>
      <w:kern w:val="2"/>
      <w:sz w:val="24"/>
      <w:szCs w:val="24"/>
      <w:lang w:val="en-US" w:eastAsia="zh-CN" w:bidi="ar-SA"/>
    </w:rPr>
  </w:style>
  <w:style w:type="character" w:customStyle="1" w:styleId="news1">
    <w:name w:val="news1"/>
    <w:rPr>
      <w:color w:val="000000"/>
      <w:sz w:val="28"/>
      <w:szCs w:val="28"/>
      <w:u w:val="none"/>
    </w:rPr>
  </w:style>
  <w:style w:type="character" w:customStyle="1" w:styleId="unnamed21">
    <w:name w:val="unnamed21"/>
    <w:rPr>
      <w:sz w:val="18"/>
      <w:szCs w:val="18"/>
      <w:u w:val="none"/>
    </w:rPr>
  </w:style>
  <w:style w:type="character" w:customStyle="1" w:styleId="520">
    <w:name w:val="标题 5 字符2"/>
    <w:semiHidden/>
    <w:locked/>
    <w:rPr>
      <w:kern w:val="2"/>
      <w:sz w:val="28"/>
    </w:rPr>
  </w:style>
  <w:style w:type="character" w:customStyle="1" w:styleId="headline-content">
    <w:name w:val="headline-content"/>
  </w:style>
  <w:style w:type="character" w:customStyle="1" w:styleId="altech031">
    <w:name w:val="altech031"/>
    <w:rPr>
      <w:rFonts w:ascii="ˎ̥" w:eastAsia="仿宋_GB2312" w:hAnsi="ˎ̥" w:hint="default"/>
      <w:color w:val="000000"/>
      <w:kern w:val="2"/>
      <w:sz w:val="18"/>
      <w:u w:val="none"/>
      <w:lang w:val="en-US" w:eastAsia="zh-CN"/>
    </w:rPr>
  </w:style>
  <w:style w:type="character" w:customStyle="1" w:styleId="unnamed11">
    <w:name w:val="unnamed11"/>
    <w:qFormat/>
    <w:rPr>
      <w:b/>
      <w:bCs/>
      <w:color w:val="3366CC"/>
      <w:sz w:val="21"/>
      <w:szCs w:val="21"/>
    </w:rPr>
  </w:style>
  <w:style w:type="character" w:customStyle="1" w:styleId="CharChar410">
    <w:name w:val="Char Char410"/>
    <w:locked/>
    <w:rPr>
      <w:rFonts w:ascii="宋体" w:eastAsia="宋体" w:hAnsi="宋体" w:hint="eastAsia"/>
      <w:kern w:val="2"/>
      <w:sz w:val="18"/>
      <w:szCs w:val="18"/>
      <w:lang w:val="en-US" w:eastAsia="zh-CN" w:bidi="ar-SA"/>
    </w:rPr>
  </w:style>
  <w:style w:type="character" w:customStyle="1" w:styleId="Heading1Char">
    <w:name w:val="Heading 1 Char"/>
    <w:rPr>
      <w:rFonts w:ascii="Times New Roman" w:eastAsia="宋体" w:hAnsi="Times New Roman" w:cs="Times New Roman"/>
      <w:bCs/>
      <w:sz w:val="28"/>
      <w:szCs w:val="28"/>
    </w:rPr>
  </w:style>
  <w:style w:type="character" w:customStyle="1" w:styleId="sv1hyw">
    <w:name w:val="sv1hyw"/>
  </w:style>
  <w:style w:type="character" w:customStyle="1" w:styleId="CharChar217">
    <w:name w:val="Char Char217"/>
    <w:qFormat/>
    <w:rPr>
      <w:rFonts w:eastAsia="宋体"/>
      <w:kern w:val="2"/>
      <w:sz w:val="18"/>
      <w:szCs w:val="18"/>
      <w:lang w:val="en-US" w:eastAsia="zh-CN" w:bidi="ar-SA"/>
    </w:rPr>
  </w:style>
  <w:style w:type="character" w:customStyle="1" w:styleId="CharChar49">
    <w:name w:val="Char Char49"/>
    <w:rPr>
      <w:rFonts w:ascii="宋体" w:eastAsia="宋体" w:hAnsi="宋体" w:hint="eastAsia"/>
      <w:bCs/>
      <w:kern w:val="2"/>
      <w:sz w:val="28"/>
      <w:lang w:val="en-US" w:eastAsia="zh-CN" w:bidi="ar-SA"/>
    </w:rPr>
  </w:style>
  <w:style w:type="character" w:customStyle="1" w:styleId="hhcwtChar0">
    <w:name w:val="hhcwt正文 Char"/>
    <w:link w:val="hhcwt0"/>
    <w:rPr>
      <w:sz w:val="24"/>
      <w:szCs w:val="24"/>
    </w:rPr>
  </w:style>
  <w:style w:type="paragraph" w:customStyle="1" w:styleId="hhcwt0">
    <w:name w:val="hhcwt正文"/>
    <w:basedOn w:val="a"/>
    <w:link w:val="hhcwtChar0"/>
    <w:qFormat/>
    <w:pPr>
      <w:spacing w:line="360" w:lineRule="auto"/>
      <w:ind w:firstLineChars="200" w:firstLine="480"/>
    </w:pPr>
    <w:rPr>
      <w:sz w:val="24"/>
      <w:szCs w:val="24"/>
    </w:rPr>
  </w:style>
  <w:style w:type="character" w:customStyle="1" w:styleId="CharChar83">
    <w:name w:val="Char Char83"/>
    <w:rPr>
      <w:rFonts w:ascii="黑体" w:eastAsia="黑体"/>
      <w:b/>
      <w:bCs/>
      <w:sz w:val="28"/>
      <w:szCs w:val="28"/>
      <w:lang w:val="en-US" w:eastAsia="zh-CN" w:bidi="ar-SA"/>
    </w:rPr>
  </w:style>
  <w:style w:type="character" w:customStyle="1" w:styleId="1fff5">
    <w:name w:val="标题 字符1"/>
    <w:qFormat/>
    <w:locked/>
    <w:rPr>
      <w:rFonts w:ascii="Arial" w:hAnsi="Arial" w:cs="Arial"/>
      <w:b/>
      <w:bCs/>
      <w:sz w:val="32"/>
      <w:szCs w:val="32"/>
    </w:rPr>
  </w:style>
  <w:style w:type="character" w:customStyle="1" w:styleId="220">
    <w:name w:val="正文文本 2 字符2"/>
    <w:link w:val="2c"/>
    <w:qFormat/>
    <w:locked/>
    <w:rPr>
      <w:rFonts w:eastAsia="宋体"/>
      <w:szCs w:val="24"/>
    </w:rPr>
  </w:style>
  <w:style w:type="character" w:customStyle="1" w:styleId="231">
    <w:name w:val="正文文本 2 字符3"/>
    <w:basedOn w:val="a1"/>
    <w:uiPriority w:val="99"/>
    <w:semiHidden/>
  </w:style>
  <w:style w:type="character" w:customStyle="1" w:styleId="Charffffffb">
    <w:name w:val="报告 Char"/>
    <w:link w:val="affffffffff5"/>
    <w:rPr>
      <w:sz w:val="24"/>
    </w:rPr>
  </w:style>
  <w:style w:type="paragraph" w:customStyle="1" w:styleId="affffffffff5">
    <w:name w:val="报告"/>
    <w:basedOn w:val="a"/>
    <w:link w:val="Charffffffb"/>
    <w:qFormat/>
    <w:pPr>
      <w:overflowPunct w:val="0"/>
      <w:autoSpaceDE w:val="0"/>
      <w:autoSpaceDN w:val="0"/>
      <w:adjustRightInd w:val="0"/>
      <w:spacing w:beforeLines="20" w:before="20" w:afterLines="20" w:after="20" w:line="440" w:lineRule="atLeast"/>
      <w:ind w:rightChars="-100" w:right="-100" w:firstLineChars="200" w:firstLine="200"/>
    </w:pPr>
    <w:rPr>
      <w:sz w:val="24"/>
    </w:rPr>
  </w:style>
  <w:style w:type="character" w:customStyle="1" w:styleId="changChar">
    <w:name w:val="chang正文 Char"/>
    <w:link w:val="chang"/>
    <w:rPr>
      <w:sz w:val="24"/>
      <w:szCs w:val="24"/>
    </w:rPr>
  </w:style>
  <w:style w:type="paragraph" w:customStyle="1" w:styleId="chang">
    <w:name w:val="chang正文"/>
    <w:basedOn w:val="a"/>
    <w:link w:val="changChar"/>
    <w:qFormat/>
    <w:pPr>
      <w:spacing w:line="360" w:lineRule="auto"/>
      <w:ind w:firstLineChars="200" w:firstLine="200"/>
    </w:pPr>
    <w:rPr>
      <w:sz w:val="24"/>
      <w:szCs w:val="24"/>
    </w:rPr>
  </w:style>
  <w:style w:type="character" w:customStyle="1" w:styleId="sxuoj4">
    <w:name w:val="sxuoj4"/>
  </w:style>
  <w:style w:type="character" w:customStyle="1" w:styleId="Charffffffc">
    <w:name w:val="副标题 Char"/>
    <w:qFormat/>
    <w:rPr>
      <w:rFonts w:ascii="Arial" w:eastAsia="仿宋_GB2312" w:hAnsi="Arial" w:cs="Arial"/>
      <w:b/>
      <w:bCs/>
      <w:kern w:val="28"/>
      <w:sz w:val="32"/>
      <w:szCs w:val="32"/>
    </w:rPr>
  </w:style>
  <w:style w:type="character" w:customStyle="1" w:styleId="p11">
    <w:name w:val="p11"/>
    <w:rPr>
      <w:sz w:val="27"/>
      <w:u w:val="none"/>
    </w:rPr>
  </w:style>
  <w:style w:type="character" w:customStyle="1" w:styleId="CharChar411">
    <w:name w:val="Char Char411"/>
    <w:rPr>
      <w:rFonts w:eastAsia="宋体"/>
      <w:sz w:val="24"/>
      <w:lang w:val="en-US" w:eastAsia="zh-CN" w:bidi="ar-SA"/>
    </w:rPr>
  </w:style>
  <w:style w:type="character" w:customStyle="1" w:styleId="1Charf2">
    <w:name w:val="目录 1 Char"/>
    <w:qFormat/>
    <w:rPr>
      <w:rFonts w:eastAsia="宋体"/>
      <w:bCs/>
      <w:caps/>
      <w:kern w:val="44"/>
      <w:sz w:val="24"/>
      <w:szCs w:val="24"/>
      <w:lang w:val="en-US" w:eastAsia="zh-CN" w:bidi="ar-SA"/>
    </w:rPr>
  </w:style>
  <w:style w:type="character" w:customStyle="1" w:styleId="CharCharCharCharCharCharCharCharCharCharCharChar1">
    <w:name w:val="Char Char Char Char Char Char Char Char Char Char Char Char1"/>
    <w:rPr>
      <w:rFonts w:ascii="宋体" w:eastAsia="宋体" w:hAnsi="Courier New" w:hint="eastAsia"/>
      <w:kern w:val="2"/>
      <w:sz w:val="21"/>
      <w:szCs w:val="21"/>
      <w:lang w:val="en-US" w:eastAsia="zh-CN" w:bidi="ar-SA"/>
    </w:rPr>
  </w:style>
  <w:style w:type="character" w:customStyle="1" w:styleId="luluCharChar0">
    <w:name w:val="标题lulu Char Char"/>
    <w:rPr>
      <w:rFonts w:ascii="Arial" w:eastAsia="宋体" w:hAnsi="Arial" w:cs="Arial"/>
      <w:b/>
      <w:bCs/>
      <w:kern w:val="2"/>
      <w:sz w:val="32"/>
      <w:szCs w:val="32"/>
      <w:lang w:val="en-US" w:eastAsia="zh-CN" w:bidi="ar-SA"/>
    </w:rPr>
  </w:style>
  <w:style w:type="character" w:customStyle="1" w:styleId="CharCharffb">
    <w:name w:val="表格标题 Char Char"/>
    <w:rPr>
      <w:rFonts w:ascii="宋体" w:eastAsia="宋体" w:hAnsi="宋体" w:hint="eastAsia"/>
      <w:kern w:val="2"/>
      <w:sz w:val="21"/>
      <w:szCs w:val="21"/>
      <w:lang w:val="en-US" w:eastAsia="zh-CN" w:bidi="ar-SA"/>
    </w:rPr>
  </w:style>
  <w:style w:type="character" w:customStyle="1" w:styleId="33Char3CharCharCharCharCharCharCharCharC5Char">
    <w:name w:val="样式 标题 3标题 3 Char标题 3 Char Char Char Char Char Char Char Char C...5 Char"/>
    <w:rPr>
      <w:rFonts w:eastAsia="宋体"/>
      <w:kern w:val="2"/>
      <w:sz w:val="24"/>
      <w:szCs w:val="32"/>
      <w:lang w:val="en-US" w:eastAsia="zh-CN" w:bidi="ar-SA"/>
    </w:rPr>
  </w:style>
  <w:style w:type="character" w:customStyle="1" w:styleId="2Char7">
    <w:name w:val="正文文本缩进 2 Char"/>
    <w:qFormat/>
    <w:rPr>
      <w:rFonts w:eastAsia="宋体"/>
      <w:sz w:val="24"/>
      <w:lang w:val="en-US" w:eastAsia="zh-CN" w:bidi="ar-SA"/>
    </w:rPr>
  </w:style>
  <w:style w:type="character" w:customStyle="1" w:styleId="Char51">
    <w:name w:val="环正文 Char5"/>
    <w:rPr>
      <w:rFonts w:ascii="宋体" w:eastAsia="宋体" w:hAnsi="宋体"/>
      <w:color w:val="000000"/>
      <w:kern w:val="2"/>
      <w:sz w:val="24"/>
      <w:szCs w:val="24"/>
      <w:lang w:val="en-US" w:eastAsia="zh-CN" w:bidi="ar-SA"/>
    </w:rPr>
  </w:style>
  <w:style w:type="character" w:customStyle="1" w:styleId="scu4wkd">
    <w:name w:val="scu4wkd"/>
  </w:style>
  <w:style w:type="character" w:customStyle="1" w:styleId="shorttext">
    <w:name w:val="short_text"/>
    <w:basedOn w:val="a1"/>
  </w:style>
  <w:style w:type="character" w:customStyle="1" w:styleId="Charffffffd">
    <w:name w:val="电子邮件签名 Char"/>
    <w:qFormat/>
    <w:rPr>
      <w:rFonts w:ascii="Arial" w:eastAsia="仿宋_GB2312" w:hAnsi="Arial"/>
      <w:sz w:val="24"/>
      <w:lang w:val="en-US" w:eastAsia="zh-CN" w:bidi="ar-SA"/>
    </w:rPr>
  </w:style>
  <w:style w:type="character" w:customStyle="1" w:styleId="A2Char">
    <w:name w:val="A2 Char"/>
    <w:link w:val="A20"/>
    <w:rPr>
      <w:sz w:val="30"/>
      <w:szCs w:val="24"/>
    </w:rPr>
  </w:style>
  <w:style w:type="paragraph" w:customStyle="1" w:styleId="A20">
    <w:name w:val="A2"/>
    <w:basedOn w:val="a"/>
    <w:link w:val="A2Char"/>
    <w:qFormat/>
    <w:pPr>
      <w:spacing w:line="360" w:lineRule="auto"/>
      <w:ind w:firstLine="570"/>
    </w:pPr>
    <w:rPr>
      <w:sz w:val="30"/>
      <w:szCs w:val="24"/>
    </w:rPr>
  </w:style>
  <w:style w:type="character" w:customStyle="1" w:styleId="1CharChar0">
    <w:name w:val="样式1 Char Char"/>
    <w:link w:val="1fff6"/>
    <w:qFormat/>
    <w:locked/>
    <w:rPr>
      <w:rFonts w:eastAsia="宋体"/>
      <w:color w:val="000000"/>
      <w:szCs w:val="21"/>
    </w:rPr>
  </w:style>
  <w:style w:type="paragraph" w:customStyle="1" w:styleId="1fff6">
    <w:name w:val="样式1"/>
    <w:basedOn w:val="a"/>
    <w:next w:val="afa"/>
    <w:link w:val="1CharChar0"/>
    <w:qFormat/>
    <w:pPr>
      <w:widowControl/>
      <w:spacing w:line="320" w:lineRule="exact"/>
      <w:jc w:val="center"/>
    </w:pPr>
    <w:rPr>
      <w:rFonts w:eastAsia="宋体"/>
      <w:color w:val="000000"/>
      <w:szCs w:val="21"/>
    </w:rPr>
  </w:style>
  <w:style w:type="character" w:customStyle="1" w:styleId="CharCharffc">
    <w:name w:val="附录二级条标题 Char Char"/>
    <w:qFormat/>
    <w:rPr>
      <w:rFonts w:ascii="黑体" w:eastAsia="黑体"/>
      <w:kern w:val="21"/>
      <w:sz w:val="21"/>
      <w:lang w:val="en-US" w:eastAsia="zh-CN" w:bidi="ar-SA"/>
    </w:rPr>
  </w:style>
  <w:style w:type="character" w:customStyle="1" w:styleId="CharChar1a">
    <w:name w:val="首行缩进 Char Char1"/>
    <w:rPr>
      <w:rFonts w:ascii="宋体" w:eastAsia="宋体" w:hAnsi="宋体" w:hint="eastAsia"/>
      <w:kern w:val="2"/>
      <w:sz w:val="24"/>
      <w:szCs w:val="24"/>
      <w:lang w:val="en-US" w:eastAsia="zh-CN" w:bidi="ar-SA"/>
    </w:rPr>
  </w:style>
  <w:style w:type="character" w:customStyle="1" w:styleId="222Char">
    <w:name w:val="样式 样式 首行缩进:  2 字符 + 首行缩进:  2 字符2 Char"/>
    <w:link w:val="2220"/>
    <w:rPr>
      <w:rFonts w:eastAsia="楷体_GB2312" w:cs="宋体"/>
      <w:spacing w:val="6"/>
      <w:sz w:val="28"/>
    </w:rPr>
  </w:style>
  <w:style w:type="paragraph" w:customStyle="1" w:styleId="2220">
    <w:name w:val="样式 样式 首行缩进:  2 字符 + 首行缩进:  2 字符2"/>
    <w:basedOn w:val="a"/>
    <w:link w:val="222Char"/>
    <w:qFormat/>
    <w:pPr>
      <w:spacing w:line="440" w:lineRule="exact"/>
      <w:ind w:firstLineChars="200" w:firstLine="584"/>
    </w:pPr>
    <w:rPr>
      <w:rFonts w:eastAsia="楷体_GB2312" w:cs="宋体"/>
      <w:spacing w:val="6"/>
      <w:sz w:val="28"/>
    </w:rPr>
  </w:style>
  <w:style w:type="character" w:customStyle="1" w:styleId="3dgrame">
    <w:name w:val="3dgrame"/>
  </w:style>
  <w:style w:type="character" w:customStyle="1" w:styleId="wbz2">
    <w:name w:val="wbz2"/>
    <w:rPr>
      <w:rFonts w:hint="default"/>
      <w:color w:val="000000"/>
      <w:spacing w:val="0"/>
      <w:sz w:val="18"/>
      <w:szCs w:val="18"/>
      <w:u w:val="none"/>
    </w:rPr>
  </w:style>
  <w:style w:type="character" w:customStyle="1" w:styleId="330">
    <w:name w:val="正文文本缩进 3 字符3"/>
    <w:link w:val="36"/>
    <w:qFormat/>
    <w:locked/>
    <w:rPr>
      <w:rFonts w:eastAsia="宋体"/>
      <w:sz w:val="16"/>
      <w:szCs w:val="16"/>
    </w:rPr>
  </w:style>
  <w:style w:type="character" w:customStyle="1" w:styleId="340">
    <w:name w:val="正文文本缩进 3 字符4"/>
    <w:basedOn w:val="a1"/>
    <w:uiPriority w:val="99"/>
    <w:semiHidden/>
    <w:rPr>
      <w:sz w:val="16"/>
      <w:szCs w:val="16"/>
    </w:rPr>
  </w:style>
  <w:style w:type="character" w:customStyle="1" w:styleId="open-answer-bar2">
    <w:name w:val="open-answer-bar2"/>
    <w:qFormat/>
  </w:style>
  <w:style w:type="character" w:customStyle="1" w:styleId="ttit01">
    <w:name w:val="t_tit01"/>
  </w:style>
  <w:style w:type="character" w:customStyle="1" w:styleId="CharChar2a">
    <w:name w:val="环评正文文字缩进（江东模板） Char Char2"/>
    <w:rPr>
      <w:rFonts w:ascii="宋体" w:eastAsia="宋体" w:hAnsi="宋体" w:hint="eastAsia"/>
      <w:kern w:val="2"/>
      <w:sz w:val="28"/>
      <w:szCs w:val="24"/>
      <w:lang w:val="en-US" w:eastAsia="zh-CN" w:bidi="ar-SA"/>
    </w:rPr>
  </w:style>
  <w:style w:type="character" w:customStyle="1" w:styleId="satajq8">
    <w:name w:val="satajq8"/>
  </w:style>
  <w:style w:type="character" w:customStyle="1" w:styleId="2Char13">
    <w:name w:val="环标2 Char1"/>
    <w:link w:val="2ffe"/>
    <w:locked/>
    <w:rPr>
      <w:rFonts w:ascii="宋体" w:hAnsi="Arial"/>
      <w:bCs/>
      <w:sz w:val="28"/>
      <w:szCs w:val="24"/>
      <w:lang w:val="zh-CN"/>
    </w:rPr>
  </w:style>
  <w:style w:type="paragraph" w:customStyle="1" w:styleId="2ffe">
    <w:name w:val="环标2"/>
    <w:basedOn w:val="2"/>
    <w:link w:val="2Char13"/>
    <w:qFormat/>
    <w:pPr>
      <w:widowControl/>
      <w:tabs>
        <w:tab w:val="left" w:pos="780"/>
        <w:tab w:val="left" w:pos="985"/>
        <w:tab w:val="left" w:pos="1419"/>
      </w:tabs>
      <w:adjustRightInd w:val="0"/>
      <w:spacing w:before="156" w:after="60" w:line="312" w:lineRule="atLeast"/>
      <w:ind w:left="780" w:hanging="360"/>
      <w:jc w:val="left"/>
      <w:textAlignment w:val="baseline"/>
    </w:pPr>
    <w:rPr>
      <w:rFonts w:ascii="宋体" w:eastAsiaTheme="minorEastAsia" w:hAnsi="Arial" w:cstheme="minorBidi"/>
      <w:b w:val="0"/>
      <w:sz w:val="28"/>
      <w:szCs w:val="24"/>
      <w:lang w:val="zh-CN"/>
    </w:rPr>
  </w:style>
  <w:style w:type="character" w:customStyle="1" w:styleId="CharCharCharCharCharCharChar6">
    <w:name w:val="Char Char Char Char Char Char Char6"/>
    <w:locked/>
    <w:rPr>
      <w:rFonts w:ascii="宋体" w:eastAsia="宋体" w:hAnsi="宋体" w:hint="eastAsia"/>
      <w:kern w:val="2"/>
      <w:sz w:val="24"/>
      <w:szCs w:val="24"/>
      <w:lang w:val="en-US" w:eastAsia="zh-CN" w:bidi="ar-SA"/>
    </w:rPr>
  </w:style>
  <w:style w:type="character" w:customStyle="1" w:styleId="h9Char2">
    <w:name w:val="h9 Char2"/>
    <w:rPr>
      <w:rFonts w:ascii="Arial" w:eastAsia="黑体" w:hAnsi="Arial"/>
      <w:kern w:val="2"/>
      <w:sz w:val="24"/>
      <w:lang w:val="en-US" w:eastAsia="zh-CN" w:bidi="ar-SA"/>
    </w:rPr>
  </w:style>
  <w:style w:type="character" w:customStyle="1" w:styleId="H6CharChar">
    <w:name w:val="H6 Char Char"/>
    <w:qFormat/>
    <w:rPr>
      <w:rFonts w:ascii="Arial" w:eastAsia="黑体" w:hAnsi="Arial" w:cs="Times New Roman"/>
      <w:b/>
      <w:bCs/>
      <w:kern w:val="2"/>
      <w:sz w:val="24"/>
      <w:szCs w:val="24"/>
    </w:rPr>
  </w:style>
  <w:style w:type="character" w:customStyle="1" w:styleId="at1">
    <w:name w:val="at_1"/>
  </w:style>
  <w:style w:type="character" w:customStyle="1" w:styleId="2b">
    <w:name w:val="副标题 字符2"/>
    <w:link w:val="aff9"/>
    <w:qFormat/>
    <w:locked/>
    <w:rPr>
      <w:rFonts w:ascii="Cambria" w:eastAsia="宋体" w:hAnsi="Cambria"/>
      <w:sz w:val="24"/>
      <w:szCs w:val="24"/>
    </w:rPr>
  </w:style>
  <w:style w:type="character" w:customStyle="1" w:styleId="3fd">
    <w:name w:val="副标题 字符3"/>
    <w:basedOn w:val="a1"/>
    <w:uiPriority w:val="11"/>
    <w:rPr>
      <w:b/>
      <w:bCs/>
      <w:kern w:val="28"/>
      <w:sz w:val="32"/>
      <w:szCs w:val="32"/>
    </w:rPr>
  </w:style>
  <w:style w:type="character" w:customStyle="1" w:styleId="postbody">
    <w:name w:val="postbody"/>
  </w:style>
  <w:style w:type="character" w:customStyle="1" w:styleId="CharChar33">
    <w:name w:val="Char Char33"/>
    <w:qFormat/>
    <w:rPr>
      <w:rFonts w:eastAsia="宋体"/>
      <w:b/>
      <w:bCs/>
      <w:kern w:val="2"/>
      <w:sz w:val="24"/>
      <w:szCs w:val="24"/>
      <w:lang w:val="en-US" w:eastAsia="zh-CN" w:bidi="ar-SA"/>
    </w:rPr>
  </w:style>
  <w:style w:type="character" w:customStyle="1" w:styleId="Char2b">
    <w:name w:val="正文文字 Char2"/>
    <w:rPr>
      <w:rFonts w:eastAsia="仿宋_GB2312"/>
      <w:kern w:val="2"/>
      <w:sz w:val="24"/>
      <w:lang w:val="en-US" w:eastAsia="zh-CN"/>
    </w:rPr>
  </w:style>
  <w:style w:type="character" w:customStyle="1" w:styleId="Charffffffe">
    <w:name w:val="【表中文字】 Char"/>
    <w:link w:val="affffffffff6"/>
  </w:style>
  <w:style w:type="paragraph" w:customStyle="1" w:styleId="affffffffff6">
    <w:name w:val="【表中文字】"/>
    <w:basedOn w:val="a"/>
    <w:link w:val="Charffffffe"/>
    <w:qFormat/>
    <w:pPr>
      <w:spacing w:line="380" w:lineRule="exact"/>
      <w:jc w:val="center"/>
    </w:pPr>
  </w:style>
  <w:style w:type="character" w:customStyle="1" w:styleId="tx1">
    <w:name w:val="tx1"/>
    <w:qFormat/>
    <w:rPr>
      <w:b/>
      <w:bCs/>
    </w:rPr>
  </w:style>
  <w:style w:type="character" w:customStyle="1" w:styleId="HTML1">
    <w:name w:val="HTML 地址 字符1"/>
    <w:link w:val="HTML"/>
    <w:qFormat/>
    <w:locked/>
    <w:rPr>
      <w:rFonts w:ascii="Arial" w:eastAsia="仿宋_GB2312" w:hAnsi="Arial"/>
      <w:i/>
      <w:iCs/>
    </w:rPr>
  </w:style>
  <w:style w:type="character" w:customStyle="1" w:styleId="HTML22">
    <w:name w:val="HTML 地址 字符2"/>
    <w:basedOn w:val="a1"/>
    <w:uiPriority w:val="99"/>
    <w:semiHidden/>
    <w:rPr>
      <w:i/>
      <w:iCs/>
    </w:rPr>
  </w:style>
  <w:style w:type="character" w:customStyle="1" w:styleId="3Char5">
    <w:name w:val="正文文本缩进 3 + 宋体 Char"/>
    <w:rPr>
      <w:rFonts w:ascii="宋体" w:eastAsia="宋体" w:hAnsi="宋体" w:hint="eastAsia"/>
      <w:w w:val="90"/>
      <w:kern w:val="2"/>
      <w:sz w:val="28"/>
      <w:szCs w:val="28"/>
      <w:lang w:val="en-US" w:eastAsia="zh-CN" w:bidi="ar-SA"/>
    </w:rPr>
  </w:style>
  <w:style w:type="character" w:customStyle="1" w:styleId="haogao1">
    <w:name w:val="haogao1"/>
    <w:qFormat/>
  </w:style>
  <w:style w:type="character" w:customStyle="1" w:styleId="1Charf3">
    <w:name w:val="节标题1 Char"/>
    <w:link w:val="1fff7"/>
    <w:rPr>
      <w:rFonts w:ascii="宋体" w:hAnsi="宋体"/>
      <w:b/>
      <w:sz w:val="28"/>
      <w:szCs w:val="24"/>
    </w:rPr>
  </w:style>
  <w:style w:type="paragraph" w:customStyle="1" w:styleId="1fff7">
    <w:name w:val="节标题1"/>
    <w:basedOn w:val="a"/>
    <w:link w:val="1Charf3"/>
    <w:qFormat/>
    <w:pPr>
      <w:adjustRightInd w:val="0"/>
      <w:snapToGrid w:val="0"/>
      <w:spacing w:beforeLines="50" w:before="120" w:line="360" w:lineRule="auto"/>
    </w:pPr>
    <w:rPr>
      <w:rFonts w:ascii="宋体" w:hAnsi="宋体"/>
      <w:b/>
      <w:sz w:val="28"/>
      <w:szCs w:val="24"/>
    </w:rPr>
  </w:style>
  <w:style w:type="character" w:customStyle="1" w:styleId="CharCharffd">
    <w:name w:val="表格内文字 Char Char"/>
    <w:rPr>
      <w:rFonts w:eastAsia="仿宋_GB2312"/>
      <w:kern w:val="2"/>
      <w:sz w:val="24"/>
      <w:szCs w:val="24"/>
      <w:lang w:val="en-US" w:eastAsia="zh-CN" w:bidi="ar-SA"/>
    </w:rPr>
  </w:style>
  <w:style w:type="character" w:customStyle="1" w:styleId="style291">
    <w:name w:val="style291"/>
    <w:rPr>
      <w:rFonts w:ascii="文鼎CS中黑" w:eastAsia="文鼎CS中黑" w:hint="eastAsia"/>
    </w:rPr>
  </w:style>
  <w:style w:type="character" w:customStyle="1" w:styleId="style81">
    <w:name w:val="style81"/>
    <w:qFormat/>
    <w:rPr>
      <w:sz w:val="14"/>
      <w:szCs w:val="14"/>
    </w:rPr>
  </w:style>
  <w:style w:type="character" w:customStyle="1" w:styleId="GB23121">
    <w:name w:val="样式 楷体_GB2312 四号"/>
    <w:rPr>
      <w:rFonts w:ascii="Times New Roman" w:eastAsia="楷体_GB2312" w:hAnsi="Times New Roman"/>
      <w:sz w:val="28"/>
      <w:szCs w:val="28"/>
    </w:rPr>
  </w:style>
  <w:style w:type="character" w:customStyle="1" w:styleId="CharChar64">
    <w:name w:val="Char Char64"/>
    <w:rPr>
      <w:rFonts w:eastAsia="宋体"/>
      <w:sz w:val="18"/>
      <w:szCs w:val="18"/>
      <w:lang w:val="en-US" w:eastAsia="zh-CN" w:bidi="ar-SA"/>
    </w:rPr>
  </w:style>
  <w:style w:type="character" w:customStyle="1" w:styleId="h8Char2">
    <w:name w:val="h8 Char2"/>
    <w:rPr>
      <w:rFonts w:ascii="Arial" w:eastAsia="黑体" w:hAnsi="Arial"/>
      <w:kern w:val="2"/>
      <w:sz w:val="24"/>
      <w:szCs w:val="24"/>
      <w:lang w:val="en-US" w:eastAsia="zh-CN" w:bidi="ar-SA"/>
    </w:rPr>
  </w:style>
  <w:style w:type="character" w:customStyle="1" w:styleId="76">
    <w:name w:val="标题7"/>
    <w:basedOn w:val="a1"/>
  </w:style>
  <w:style w:type="character" w:customStyle="1" w:styleId="Char4CharCharCharChar">
    <w:name w:val="Char4 Char Char Char Char"/>
    <w:link w:val="Char4CharCharChar"/>
    <w:rPr>
      <w:sz w:val="24"/>
      <w:szCs w:val="24"/>
    </w:rPr>
  </w:style>
  <w:style w:type="paragraph" w:customStyle="1" w:styleId="Char4CharCharChar">
    <w:name w:val="Char4 Char Char Char"/>
    <w:basedOn w:val="a"/>
    <w:link w:val="Char4CharCharCharChar"/>
    <w:qFormat/>
    <w:rPr>
      <w:sz w:val="24"/>
      <w:szCs w:val="24"/>
    </w:rPr>
  </w:style>
  <w:style w:type="character" w:customStyle="1" w:styleId="2Char8">
    <w:name w:val="节标题2 Char"/>
    <w:link w:val="2fff"/>
    <w:rPr>
      <w:sz w:val="24"/>
      <w:szCs w:val="28"/>
    </w:rPr>
  </w:style>
  <w:style w:type="paragraph" w:customStyle="1" w:styleId="2fff">
    <w:name w:val="节标题2"/>
    <w:basedOn w:val="a"/>
    <w:link w:val="2Char8"/>
    <w:qFormat/>
    <w:pPr>
      <w:autoSpaceDE w:val="0"/>
      <w:autoSpaceDN w:val="0"/>
      <w:adjustRightInd w:val="0"/>
      <w:spacing w:line="360" w:lineRule="auto"/>
      <w:jc w:val="left"/>
    </w:pPr>
    <w:rPr>
      <w:sz w:val="24"/>
      <w:szCs w:val="28"/>
    </w:rPr>
  </w:style>
  <w:style w:type="character" w:customStyle="1" w:styleId="1Charf4">
    <w:name w:val="页眉1 Char"/>
    <w:qFormat/>
    <w:rPr>
      <w:rFonts w:eastAsia="宋体"/>
      <w:sz w:val="18"/>
      <w:lang w:val="en-US" w:eastAsia="zh-CN"/>
    </w:rPr>
  </w:style>
  <w:style w:type="character" w:customStyle="1" w:styleId="CharCharCharCharCharCharChar12">
    <w:name w:val="Char Char Char Char Char Char Char12"/>
    <w:link w:val="CharCharCharCharCharChar12"/>
    <w:rPr>
      <w:sz w:val="24"/>
      <w:szCs w:val="24"/>
    </w:rPr>
  </w:style>
  <w:style w:type="paragraph" w:customStyle="1" w:styleId="CharCharCharCharCharChar12">
    <w:name w:val="Char Char Char Char Char Char12"/>
    <w:basedOn w:val="a"/>
    <w:link w:val="CharCharCharCharCharCharChar12"/>
    <w:qFormat/>
    <w:rPr>
      <w:sz w:val="24"/>
      <w:szCs w:val="24"/>
    </w:rPr>
  </w:style>
  <w:style w:type="character" w:customStyle="1" w:styleId="llb11">
    <w:name w:val="llb11"/>
    <w:rPr>
      <w:color w:val="000000"/>
      <w:sz w:val="32"/>
      <w:szCs w:val="32"/>
      <w:u w:val="none"/>
    </w:rPr>
  </w:style>
  <w:style w:type="character" w:customStyle="1" w:styleId="Char1fb">
    <w:name w:val="正文缩进 Char1"/>
    <w:qFormat/>
    <w:rPr>
      <w:rFonts w:ascii="宋体" w:eastAsia="宋体" w:hAnsi="宋体" w:cs="宋体"/>
      <w:b/>
      <w:bCs/>
      <w:kern w:val="2"/>
      <w:sz w:val="24"/>
      <w:szCs w:val="20"/>
      <w:lang w:eastAsia="zh-CN" w:bidi="ar-SA"/>
    </w:rPr>
  </w:style>
  <w:style w:type="character" w:customStyle="1" w:styleId="Charfffffff">
    <w:name w:val="参加人员 Char"/>
    <w:link w:val="affffffffff7"/>
    <w:qFormat/>
    <w:rPr>
      <w:sz w:val="24"/>
      <w:szCs w:val="24"/>
    </w:rPr>
  </w:style>
  <w:style w:type="paragraph" w:customStyle="1" w:styleId="affffffffff7">
    <w:name w:val="参加人员"/>
    <w:basedOn w:val="a"/>
    <w:link w:val="Charfffffff"/>
    <w:qFormat/>
    <w:rPr>
      <w:sz w:val="24"/>
      <w:szCs w:val="24"/>
    </w:rPr>
  </w:style>
  <w:style w:type="character" w:customStyle="1" w:styleId="124">
    <w:name w:val="明显参考12"/>
    <w:qFormat/>
    <w:rPr>
      <w:rFonts w:cs="Times New Roman"/>
      <w:b/>
      <w:sz w:val="24"/>
      <w:u w:val="single"/>
    </w:rPr>
  </w:style>
  <w:style w:type="character" w:customStyle="1" w:styleId="BookTitle1">
    <w:name w:val="Book Title1"/>
    <w:rPr>
      <w:b/>
      <w:smallCaps/>
      <w:spacing w:val="5"/>
    </w:rPr>
  </w:style>
  <w:style w:type="character" w:customStyle="1" w:styleId="CharChar1Char">
    <w:name w:val="正文（首行缩进两字） Char Char1 Char"/>
    <w:rPr>
      <w:rFonts w:ascii="仿宋_GB2312" w:eastAsia="仿宋_GB2312"/>
      <w:color w:val="000000"/>
      <w:kern w:val="2"/>
      <w:sz w:val="28"/>
      <w:szCs w:val="24"/>
      <w:lang w:val="en-US" w:eastAsia="zh-CN" w:bidi="ar-SA"/>
    </w:rPr>
  </w:style>
  <w:style w:type="character" w:customStyle="1" w:styleId="CharChar46">
    <w:name w:val="Char Char46"/>
    <w:rPr>
      <w:rFonts w:ascii="Arial" w:eastAsia="黑体" w:hAnsi="Arial" w:cs="Arial" w:hint="default"/>
      <w:b/>
      <w:bCs/>
      <w:kern w:val="2"/>
      <w:sz w:val="24"/>
      <w:szCs w:val="24"/>
    </w:rPr>
  </w:style>
  <w:style w:type="character" w:customStyle="1" w:styleId="4241Char">
    <w:name w:val="标题 4（241） Char"/>
    <w:locked/>
    <w:rPr>
      <w:rFonts w:ascii="仿宋_GB2312" w:eastAsia="仿宋_GB2312"/>
      <w:spacing w:val="-18"/>
      <w:kern w:val="2"/>
      <w:sz w:val="28"/>
      <w:szCs w:val="24"/>
      <w:lang w:val="en-US" w:eastAsia="zh-CN" w:bidi="ar-SA"/>
    </w:rPr>
  </w:style>
  <w:style w:type="character" w:customStyle="1" w:styleId="CharChar191">
    <w:name w:val="Char Char191"/>
    <w:rPr>
      <w:rFonts w:ascii="宋体" w:eastAsia="宋体" w:hAnsi="宋体"/>
      <w:b/>
      <w:color w:val="000000"/>
      <w:kern w:val="2"/>
      <w:sz w:val="28"/>
      <w:szCs w:val="24"/>
      <w:lang w:val="en-US" w:eastAsia="zh-CN" w:bidi="ar-SA"/>
    </w:rPr>
  </w:style>
  <w:style w:type="character" w:customStyle="1" w:styleId="textgreenbold1">
    <w:name w:val="text_green_bold1"/>
    <w:rPr>
      <w:b/>
      <w:bCs/>
      <w:color w:val="056E7B"/>
      <w:sz w:val="18"/>
      <w:szCs w:val="18"/>
    </w:rPr>
  </w:style>
  <w:style w:type="character" w:customStyle="1" w:styleId="33Char3CharCharCharCharCharCharCharCharC5CharChar">
    <w:name w:val="样式 标题 3标题 3 Char标题 3 Char Char Char Char Char Char Char Char C...5 Char Char"/>
    <w:rPr>
      <w:rFonts w:eastAsia="宋体"/>
      <w:kern w:val="2"/>
      <w:sz w:val="24"/>
      <w:szCs w:val="32"/>
      <w:lang w:val="en-US" w:eastAsia="zh-CN" w:bidi="ar-SA"/>
    </w:rPr>
  </w:style>
  <w:style w:type="character" w:customStyle="1" w:styleId="shekj8m">
    <w:name w:val="shekj8m"/>
  </w:style>
  <w:style w:type="character" w:customStyle="1" w:styleId="fheading1">
    <w:name w:val="f_heading1"/>
    <w:qFormat/>
    <w:rPr>
      <w:rFonts w:cs="Times New Roman"/>
    </w:rPr>
  </w:style>
  <w:style w:type="character" w:customStyle="1" w:styleId="Char1fc">
    <w:name w:val="页脚 Char1"/>
    <w:qFormat/>
    <w:rPr>
      <w:rFonts w:ascii="Times New Roman" w:eastAsia="宋体" w:hAnsi="Times New Roman" w:cs="Times New Roman"/>
      <w:kern w:val="0"/>
      <w:sz w:val="18"/>
      <w:szCs w:val="18"/>
    </w:rPr>
  </w:style>
  <w:style w:type="character" w:customStyle="1" w:styleId="13Char">
    <w:name w:val="样式13 Char"/>
    <w:link w:val="132"/>
    <w:qFormat/>
    <w:locked/>
    <w:rPr>
      <w:rFonts w:eastAsia="宋体"/>
      <w:sz w:val="18"/>
    </w:rPr>
  </w:style>
  <w:style w:type="paragraph" w:customStyle="1" w:styleId="132">
    <w:name w:val="样式13"/>
    <w:basedOn w:val="aff2"/>
    <w:link w:val="13Char"/>
    <w:qFormat/>
    <w:pPr>
      <w:widowControl/>
    </w:pPr>
    <w:rPr>
      <w:rFonts w:eastAsia="宋体"/>
      <w:szCs w:val="22"/>
    </w:rPr>
  </w:style>
  <w:style w:type="character" w:customStyle="1" w:styleId="2fff0">
    <w:name w:val="正文首行缩进 2 字符"/>
    <w:qFormat/>
    <w:rPr>
      <w:rFonts w:ascii="仿宋_GB2312" w:eastAsia="宋体" w:hAnsi="Times New Roman" w:cs="Times New Roman"/>
      <w:b/>
      <w:color w:val="000000"/>
      <w:kern w:val="0"/>
      <w:sz w:val="24"/>
      <w:szCs w:val="20"/>
    </w:rPr>
  </w:style>
  <w:style w:type="character" w:customStyle="1" w:styleId="sj4lab">
    <w:name w:val="sj4lab"/>
  </w:style>
  <w:style w:type="character" w:customStyle="1" w:styleId="2fff1">
    <w:name w:val="页脚 字符2"/>
    <w:semiHidden/>
    <w:locked/>
    <w:rPr>
      <w:kern w:val="2"/>
      <w:sz w:val="18"/>
      <w:szCs w:val="18"/>
    </w:rPr>
  </w:style>
  <w:style w:type="character" w:customStyle="1" w:styleId="1fff8">
    <w:name w:val="页眉 字符1"/>
    <w:locked/>
    <w:rPr>
      <w:sz w:val="18"/>
      <w:szCs w:val="18"/>
    </w:rPr>
  </w:style>
  <w:style w:type="character" w:customStyle="1" w:styleId="2CharChar23">
    <w:name w:val="正文文字 2 Char Char2"/>
    <w:rPr>
      <w:rFonts w:eastAsia="宋体"/>
      <w:sz w:val="24"/>
      <w:lang w:val="en-US" w:eastAsia="zh-CN" w:bidi="ar-SA"/>
    </w:rPr>
  </w:style>
  <w:style w:type="character" w:customStyle="1" w:styleId="Charfffffff0">
    <w:name w:val="未确定 Char"/>
    <w:link w:val="affffffffff8"/>
    <w:rPr>
      <w:color w:val="800080"/>
      <w:sz w:val="24"/>
      <w:szCs w:val="24"/>
    </w:rPr>
  </w:style>
  <w:style w:type="paragraph" w:customStyle="1" w:styleId="affffffffff8">
    <w:name w:val="未确定"/>
    <w:basedOn w:val="a"/>
    <w:link w:val="Charfffffff0"/>
    <w:qFormat/>
    <w:pPr>
      <w:spacing w:beforeLines="50" w:before="156" w:line="400" w:lineRule="exact"/>
      <w:ind w:firstLineChars="200" w:firstLine="480"/>
    </w:pPr>
    <w:rPr>
      <w:color w:val="800080"/>
      <w:sz w:val="24"/>
      <w:szCs w:val="24"/>
    </w:rPr>
  </w:style>
  <w:style w:type="character" w:customStyle="1" w:styleId="CharChar1910">
    <w:name w:val="Char Char1910"/>
    <w:rPr>
      <w:rFonts w:eastAsia="宋体"/>
      <w:kern w:val="2"/>
      <w:sz w:val="21"/>
      <w:szCs w:val="24"/>
      <w:lang w:val="en-US" w:eastAsia="zh-CN" w:bidi="ar-SA"/>
    </w:rPr>
  </w:style>
  <w:style w:type="character" w:customStyle="1" w:styleId="CharChar1100">
    <w:name w:val="Char Char110"/>
    <w:locked/>
    <w:rPr>
      <w:rFonts w:ascii="宋体" w:eastAsia="宋体" w:hAnsi="宋体" w:hint="eastAsia"/>
      <w:kern w:val="2"/>
      <w:sz w:val="18"/>
      <w:szCs w:val="18"/>
      <w:lang w:val="en-US" w:eastAsia="zh-CN" w:bidi="ar-SA"/>
    </w:rPr>
  </w:style>
  <w:style w:type="character" w:customStyle="1" w:styleId="5CharChar">
    <w:name w:val="正文5号 Char Char"/>
    <w:link w:val="3fe"/>
    <w:rPr>
      <w:sz w:val="18"/>
    </w:rPr>
  </w:style>
  <w:style w:type="paragraph" w:customStyle="1" w:styleId="3fe">
    <w:name w:val="正文首行缩进3"/>
    <w:basedOn w:val="a"/>
    <w:link w:val="5CharChar"/>
    <w:qFormat/>
    <w:pPr>
      <w:snapToGrid w:val="0"/>
      <w:spacing w:line="500" w:lineRule="exact"/>
      <w:ind w:firstLineChars="200" w:firstLine="480"/>
    </w:pPr>
    <w:rPr>
      <w:sz w:val="18"/>
    </w:rPr>
  </w:style>
  <w:style w:type="character" w:customStyle="1" w:styleId="CharCharffe">
    <w:name w:val="上标 Char Char"/>
    <w:rPr>
      <w:rFonts w:ascii="宋体" w:eastAsia="宋体" w:hAnsi="宋体"/>
      <w:sz w:val="28"/>
      <w:szCs w:val="28"/>
      <w:vertAlign w:val="superscript"/>
      <w:lang w:val="en-US" w:eastAsia="zh-CN" w:bidi="ar-SA"/>
    </w:rPr>
  </w:style>
  <w:style w:type="character" w:customStyle="1" w:styleId="sl0m">
    <w:name w:val="sl0m"/>
  </w:style>
  <w:style w:type="character" w:customStyle="1" w:styleId="7Char0">
    <w:name w:val="样式7 Char"/>
    <w:rPr>
      <w:rFonts w:ascii="楷体_GB2312" w:eastAsia="楷体_GB2312" w:hint="eastAsia"/>
      <w:b/>
      <w:w w:val="95"/>
      <w:kern w:val="28"/>
      <w:sz w:val="36"/>
      <w:szCs w:val="21"/>
      <w:lang w:val="en-US" w:eastAsia="zh-CN" w:bidi="ar-SA"/>
    </w:rPr>
  </w:style>
  <w:style w:type="character" w:customStyle="1" w:styleId="z-Char0">
    <w:name w:val="z-窗体顶端 Char"/>
    <w:link w:val="z-110"/>
    <w:qFormat/>
    <w:locked/>
    <w:rPr>
      <w:rFonts w:ascii="Arial" w:eastAsia="仿宋_GB2312" w:hAnsi="Arial"/>
      <w:vanish/>
      <w:sz w:val="16"/>
      <w:szCs w:val="16"/>
    </w:rPr>
  </w:style>
  <w:style w:type="paragraph" w:customStyle="1" w:styleId="z-110">
    <w:name w:val="z-窗体顶端11"/>
    <w:basedOn w:val="a"/>
    <w:next w:val="a"/>
    <w:link w:val="z-Char0"/>
    <w:qFormat/>
    <w:pPr>
      <w:pBdr>
        <w:bottom w:val="single" w:sz="6" w:space="1" w:color="auto"/>
      </w:pBdr>
      <w:adjustRightInd w:val="0"/>
      <w:snapToGrid w:val="0"/>
      <w:spacing w:line="300" w:lineRule="auto"/>
      <w:jc w:val="center"/>
    </w:pPr>
    <w:rPr>
      <w:rFonts w:ascii="Arial" w:eastAsia="仿宋_GB2312" w:hAnsi="Arial"/>
      <w:vanish/>
      <w:sz w:val="16"/>
      <w:szCs w:val="16"/>
    </w:rPr>
  </w:style>
  <w:style w:type="character" w:customStyle="1" w:styleId="Charfffffff1">
    <w:name w:val="汊河正文 Char"/>
    <w:link w:val="affffffffff9"/>
    <w:rPr>
      <w:sz w:val="24"/>
    </w:rPr>
  </w:style>
  <w:style w:type="paragraph" w:customStyle="1" w:styleId="affffffffff9">
    <w:name w:val="汊河正文"/>
    <w:basedOn w:val="a"/>
    <w:link w:val="Charfffffff1"/>
    <w:qFormat/>
    <w:pPr>
      <w:spacing w:line="480" w:lineRule="exact"/>
      <w:ind w:firstLineChars="200" w:firstLine="480"/>
    </w:pPr>
    <w:rPr>
      <w:sz w:val="24"/>
    </w:rPr>
  </w:style>
  <w:style w:type="character" w:customStyle="1" w:styleId="4Char4">
    <w:name w:val="正文缩进4 Char"/>
    <w:link w:val="4c"/>
    <w:rPr>
      <w:rFonts w:ascii="仿宋_GB2312" w:eastAsia="仿宋_GB2312"/>
      <w:sz w:val="28"/>
      <w:szCs w:val="24"/>
    </w:rPr>
  </w:style>
  <w:style w:type="paragraph" w:customStyle="1" w:styleId="4c">
    <w:name w:val="正文缩进4"/>
    <w:basedOn w:val="a"/>
    <w:link w:val="4Char4"/>
    <w:qFormat/>
    <w:pPr>
      <w:spacing w:line="500" w:lineRule="exact"/>
      <w:ind w:firstLineChars="200" w:firstLine="560"/>
    </w:pPr>
    <w:rPr>
      <w:rFonts w:ascii="仿宋_GB2312" w:eastAsia="仿宋_GB2312"/>
      <w:sz w:val="28"/>
      <w:szCs w:val="24"/>
    </w:rPr>
  </w:style>
  <w:style w:type="character" w:customStyle="1" w:styleId="HeaderChar">
    <w:name w:val="Header Char"/>
    <w:qFormat/>
    <w:locked/>
    <w:rPr>
      <w:rFonts w:ascii="Times New Roman" w:eastAsia="宋体" w:hAnsi="Times New Roman" w:cs="Times New Roman"/>
      <w:sz w:val="18"/>
      <w:szCs w:val="18"/>
    </w:rPr>
  </w:style>
  <w:style w:type="character" w:customStyle="1" w:styleId="Char1fd">
    <w:name w:val="批注框文本 Char1"/>
    <w:uiPriority w:val="99"/>
    <w:qFormat/>
    <w:rPr>
      <w:rFonts w:ascii="Times New Roman" w:eastAsia="宋体" w:hAnsi="Times New Roman" w:cs="Times New Roman"/>
      <w:kern w:val="0"/>
      <w:sz w:val="18"/>
      <w:szCs w:val="18"/>
    </w:rPr>
  </w:style>
  <w:style w:type="character" w:customStyle="1" w:styleId="1CharChar1">
    <w:name w:val="章标题 1 Char Char1"/>
    <w:rPr>
      <w:rFonts w:ascii="宋体" w:eastAsia="宋体" w:hAnsi="宋体" w:hint="eastAsia"/>
      <w:b/>
      <w:bCs/>
      <w:kern w:val="44"/>
      <w:sz w:val="44"/>
      <w:szCs w:val="44"/>
      <w:lang w:val="en-US" w:eastAsia="zh-CN" w:bidi="ar-SA"/>
    </w:rPr>
  </w:style>
  <w:style w:type="character" w:customStyle="1" w:styleId="14fz1">
    <w:name w:val="14fz1"/>
    <w:qFormat/>
    <w:rPr>
      <w:rFonts w:cs="Times New Roman"/>
      <w:color w:val="000000"/>
      <w:sz w:val="32"/>
      <w:szCs w:val="32"/>
    </w:rPr>
  </w:style>
  <w:style w:type="character" w:customStyle="1" w:styleId="BodyTextChar">
    <w:name w:val="Body Text Char"/>
    <w:qFormat/>
    <w:locked/>
    <w:rPr>
      <w:rFonts w:ascii="仿宋_GB2312" w:eastAsia="仿宋_GB2312" w:hAnsi="Times New Roman" w:cs="Times New Roman"/>
      <w:sz w:val="20"/>
      <w:szCs w:val="20"/>
    </w:rPr>
  </w:style>
  <w:style w:type="character" w:customStyle="1" w:styleId="33Char">
    <w:name w:val="标题33 Char"/>
    <w:link w:val="331"/>
    <w:rPr>
      <w:rFonts w:ascii="宋体" w:hAnsi="宋体"/>
      <w:b/>
      <w:bCs/>
      <w:color w:val="000000"/>
      <w:sz w:val="30"/>
      <w:szCs w:val="30"/>
    </w:rPr>
  </w:style>
  <w:style w:type="paragraph" w:customStyle="1" w:styleId="331">
    <w:name w:val="标题33"/>
    <w:basedOn w:val="1fff6"/>
    <w:link w:val="33Char"/>
    <w:qFormat/>
    <w:pPr>
      <w:widowControl w:val="0"/>
      <w:snapToGrid w:val="0"/>
      <w:spacing w:before="240" w:after="240" w:line="360" w:lineRule="auto"/>
      <w:ind w:firstLineChars="200" w:firstLine="480"/>
      <w:jc w:val="both"/>
      <w:outlineLvl w:val="2"/>
    </w:pPr>
    <w:rPr>
      <w:rFonts w:ascii="宋体" w:eastAsiaTheme="minorEastAsia" w:hAnsi="宋体"/>
      <w:b/>
      <w:bCs/>
      <w:sz w:val="30"/>
      <w:szCs w:val="30"/>
    </w:rPr>
  </w:style>
  <w:style w:type="character" w:customStyle="1" w:styleId="HTML71">
    <w:name w:val="HTML 代码7"/>
    <w:rPr>
      <w:rFonts w:ascii="黑体" w:eastAsia="黑体" w:hAnsi="Courier New" w:cs="Courier New"/>
      <w:sz w:val="24"/>
      <w:szCs w:val="24"/>
    </w:rPr>
  </w:style>
  <w:style w:type="character" w:customStyle="1" w:styleId="Char2c">
    <w:name w:val="小四+首行缩进 Char2"/>
    <w:link w:val="affffffffffa"/>
    <w:qFormat/>
    <w:locked/>
    <w:rPr>
      <w:rFonts w:ascii="宋体" w:hAnsi="宋体" w:cs="宋体"/>
      <w:sz w:val="24"/>
    </w:rPr>
  </w:style>
  <w:style w:type="paragraph" w:customStyle="1" w:styleId="affffffffffa">
    <w:name w:val="小四+首行缩进"/>
    <w:basedOn w:val="a"/>
    <w:link w:val="Char2c"/>
    <w:qFormat/>
    <w:pPr>
      <w:spacing w:line="360" w:lineRule="auto"/>
      <w:ind w:firstLine="482"/>
    </w:pPr>
    <w:rPr>
      <w:rFonts w:ascii="宋体" w:hAnsi="宋体" w:cs="宋体"/>
      <w:sz w:val="24"/>
    </w:rPr>
  </w:style>
  <w:style w:type="character" w:customStyle="1" w:styleId="Char1fe">
    <w:name w:val="纯文本 Char1"/>
    <w:qFormat/>
    <w:rPr>
      <w:rFonts w:ascii="宋体" w:eastAsia="宋体" w:hAnsi="Courier New" w:cs="Courier New"/>
      <w:sz w:val="21"/>
      <w:szCs w:val="21"/>
      <w:lang w:val="en-US" w:eastAsia="zh-CN" w:bidi="ar-SA"/>
    </w:rPr>
  </w:style>
  <w:style w:type="character" w:customStyle="1" w:styleId="Charfffffff2">
    <w:name w:val="无间隔 Char"/>
    <w:link w:val="133"/>
    <w:qFormat/>
    <w:locked/>
    <w:rPr>
      <w:sz w:val="32"/>
      <w:szCs w:val="32"/>
    </w:rPr>
  </w:style>
  <w:style w:type="paragraph" w:customStyle="1" w:styleId="133">
    <w:name w:val="无间隔13"/>
    <w:basedOn w:val="a"/>
    <w:link w:val="Charfffffff2"/>
    <w:qFormat/>
    <w:pPr>
      <w:widowControl/>
      <w:jc w:val="left"/>
    </w:pPr>
    <w:rPr>
      <w:sz w:val="32"/>
      <w:szCs w:val="32"/>
    </w:rPr>
  </w:style>
  <w:style w:type="character" w:customStyle="1" w:styleId="indetail">
    <w:name w:val="indetail"/>
    <w:basedOn w:val="a1"/>
    <w:qFormat/>
  </w:style>
  <w:style w:type="character" w:customStyle="1" w:styleId="CharChar141">
    <w:name w:val="Char Char141"/>
    <w:rPr>
      <w:rFonts w:ascii="宋体" w:eastAsia="宋体" w:hAnsi="宋体" w:hint="eastAsia"/>
      <w:spacing w:val="-3"/>
      <w:kern w:val="2"/>
      <w:sz w:val="21"/>
      <w:szCs w:val="24"/>
      <w:lang w:val="en-US" w:eastAsia="zh-CN" w:bidi="ar-SA"/>
    </w:rPr>
  </w:style>
  <w:style w:type="character" w:customStyle="1" w:styleId="font41">
    <w:name w:val="font41"/>
    <w:qFormat/>
    <w:rPr>
      <w:rFonts w:ascii="Arial" w:hAnsi="Arial" w:hint="default"/>
      <w:color w:val="000000"/>
      <w:spacing w:val="0"/>
      <w:sz w:val="20"/>
    </w:rPr>
  </w:style>
  <w:style w:type="character" w:customStyle="1" w:styleId="CharCharfff">
    <w:name w:val="标题 Char Char"/>
    <w:qFormat/>
    <w:rPr>
      <w:rFonts w:ascii="Arial" w:eastAsia="宋体" w:hAnsi="Arial" w:cs="Arial"/>
      <w:b/>
      <w:bCs/>
      <w:sz w:val="32"/>
      <w:szCs w:val="32"/>
      <w:lang w:val="en-US" w:eastAsia="zh-CN" w:bidi="ar-SA"/>
    </w:rPr>
  </w:style>
  <w:style w:type="character" w:customStyle="1" w:styleId="1Charf5">
    <w:name w:val="表格样式1 Char"/>
    <w:rPr>
      <w:sz w:val="24"/>
      <w:szCs w:val="24"/>
      <w:lang w:bidi="ar-SA"/>
    </w:rPr>
  </w:style>
  <w:style w:type="character" w:customStyle="1" w:styleId="hit">
    <w:name w:val="hit"/>
    <w:qFormat/>
    <w:rPr>
      <w:rFonts w:cs="Times New Roman"/>
    </w:rPr>
  </w:style>
  <w:style w:type="character" w:customStyle="1" w:styleId="textediteditable-title">
    <w:name w:val="text_edit editable-title"/>
  </w:style>
  <w:style w:type="character" w:customStyle="1" w:styleId="CharChar416">
    <w:name w:val="Char Char41"/>
    <w:rPr>
      <w:rFonts w:ascii="宋体" w:eastAsia="宋体" w:hAnsi="宋体" w:hint="eastAsia"/>
      <w:b/>
      <w:bCs/>
      <w:kern w:val="2"/>
      <w:sz w:val="24"/>
      <w:szCs w:val="24"/>
      <w:lang w:val="en-US" w:eastAsia="zh-CN" w:bidi="ar-SA"/>
    </w:rPr>
  </w:style>
  <w:style w:type="character" w:customStyle="1" w:styleId="HTML111">
    <w:name w:val="HTML 打字机11"/>
    <w:qFormat/>
    <w:rPr>
      <w:rFonts w:ascii="黑体" w:eastAsia="黑体" w:hAnsi="Courier New" w:cs="Courier New" w:hint="eastAsia"/>
      <w:sz w:val="18"/>
      <w:szCs w:val="18"/>
    </w:rPr>
  </w:style>
  <w:style w:type="character" w:customStyle="1" w:styleId="CharChar193">
    <w:name w:val="Char Char193"/>
    <w:rPr>
      <w:rFonts w:ascii="宋体" w:eastAsia="宋体" w:hAnsi="宋体" w:hint="eastAsia"/>
      <w:b/>
      <w:color w:val="000000"/>
      <w:kern w:val="2"/>
      <w:sz w:val="28"/>
      <w:szCs w:val="24"/>
      <w:lang w:val="en-US" w:eastAsia="zh-CN" w:bidi="ar-SA"/>
    </w:rPr>
  </w:style>
  <w:style w:type="character" w:customStyle="1" w:styleId="black1">
    <w:name w:val="black1"/>
    <w:rPr>
      <w:color w:val="333333"/>
    </w:rPr>
  </w:style>
  <w:style w:type="character" w:customStyle="1" w:styleId="Charfffffff3">
    <w:name w:val="正文文体 Char"/>
    <w:link w:val="affffffffffb"/>
    <w:qFormat/>
    <w:rPr>
      <w:sz w:val="28"/>
      <w:szCs w:val="28"/>
    </w:rPr>
  </w:style>
  <w:style w:type="paragraph" w:customStyle="1" w:styleId="affffffffffb">
    <w:name w:val="正文文体"/>
    <w:basedOn w:val="a"/>
    <w:link w:val="Charfffffff3"/>
    <w:qFormat/>
    <w:pPr>
      <w:spacing w:line="500" w:lineRule="exact"/>
      <w:ind w:firstLineChars="200" w:firstLine="200"/>
    </w:pPr>
    <w:rPr>
      <w:sz w:val="28"/>
      <w:szCs w:val="28"/>
    </w:rPr>
  </w:style>
  <w:style w:type="character" w:customStyle="1" w:styleId="5c">
    <w:name w:val="标题5"/>
    <w:basedOn w:val="a1"/>
    <w:qFormat/>
  </w:style>
  <w:style w:type="character" w:customStyle="1" w:styleId="tpccontent1">
    <w:name w:val="tpc_content1"/>
    <w:rPr>
      <w:sz w:val="21"/>
    </w:rPr>
  </w:style>
  <w:style w:type="character" w:customStyle="1" w:styleId="CharChar500">
    <w:name w:val="Char Char50"/>
    <w:rPr>
      <w:rFonts w:ascii="黑体" w:eastAsia="黑体" w:hAnsi="黑体" w:hint="eastAsia"/>
      <w:b/>
      <w:bCs/>
      <w:sz w:val="28"/>
      <w:szCs w:val="28"/>
      <w:lang w:val="en-US" w:eastAsia="zh-CN" w:bidi="ar-SA"/>
    </w:rPr>
  </w:style>
  <w:style w:type="character" w:customStyle="1" w:styleId="Charfffffff4">
    <w:name w:val="我的正文正文 Char"/>
    <w:link w:val="affffffffffc"/>
    <w:rPr>
      <w:rFonts w:ascii="宋体" w:hAnsi="宋体"/>
      <w:color w:val="000000"/>
      <w:sz w:val="28"/>
      <w:szCs w:val="28"/>
    </w:rPr>
  </w:style>
  <w:style w:type="paragraph" w:customStyle="1" w:styleId="affffffffffc">
    <w:name w:val="我的正文正文"/>
    <w:basedOn w:val="a"/>
    <w:link w:val="Charfffffff4"/>
    <w:qFormat/>
    <w:pPr>
      <w:spacing w:line="520" w:lineRule="exact"/>
      <w:ind w:firstLineChars="200" w:firstLine="560"/>
    </w:pPr>
    <w:rPr>
      <w:rFonts w:ascii="宋体" w:hAnsi="宋体"/>
      <w:color w:val="000000"/>
      <w:sz w:val="28"/>
      <w:szCs w:val="28"/>
    </w:rPr>
  </w:style>
  <w:style w:type="character" w:customStyle="1" w:styleId="HTML51">
    <w:name w:val="HTML 代码5"/>
    <w:rPr>
      <w:rFonts w:ascii="黑体" w:eastAsia="黑体" w:hAnsi="Courier New" w:cs="Courier New" w:hint="eastAsia"/>
      <w:sz w:val="24"/>
      <w:szCs w:val="24"/>
    </w:rPr>
  </w:style>
  <w:style w:type="character" w:customStyle="1" w:styleId="2ArialBlackChar">
    <w:name w:val="样式 标题 2节 + (符号) Arial Black 小四 Char"/>
    <w:link w:val="2ArialBlack"/>
    <w:rPr>
      <w:rFonts w:ascii="宋体" w:eastAsia="仿宋_GB2312" w:hAnsi="Arial Black"/>
      <w:kern w:val="21"/>
      <w:sz w:val="28"/>
    </w:rPr>
  </w:style>
  <w:style w:type="paragraph" w:customStyle="1" w:styleId="2ArialBlack">
    <w:name w:val="样式 标题 2节 + (符号) Arial Black 小四"/>
    <w:basedOn w:val="3"/>
    <w:link w:val="2ArialBlackChar"/>
    <w:qFormat/>
    <w:pPr>
      <w:widowControl w:val="0"/>
      <w:spacing w:before="0" w:after="0" w:line="360" w:lineRule="auto"/>
      <w:ind w:left="140"/>
      <w:jc w:val="both"/>
    </w:pPr>
    <w:rPr>
      <w:rFonts w:ascii="宋体" w:eastAsia="仿宋_GB2312" w:hAnsi="Arial Black" w:cstheme="minorBidi"/>
      <w:b w:val="0"/>
      <w:bCs w:val="0"/>
      <w:kern w:val="21"/>
      <w:sz w:val="28"/>
      <w:szCs w:val="22"/>
    </w:rPr>
  </w:style>
  <w:style w:type="character" w:customStyle="1" w:styleId="nine-11">
    <w:name w:val="nine-11"/>
    <w:rPr>
      <w:rFonts w:hint="default"/>
      <w:spacing w:val="320"/>
      <w:sz w:val="18"/>
      <w:szCs w:val="18"/>
    </w:rPr>
  </w:style>
  <w:style w:type="character" w:customStyle="1" w:styleId="82Char">
    <w:name w:val="样式82 Char"/>
    <w:link w:val="821"/>
    <w:rPr>
      <w:rFonts w:ascii="宋体" w:hAnsi="宋体"/>
      <w:sz w:val="28"/>
      <w:szCs w:val="28"/>
    </w:rPr>
  </w:style>
  <w:style w:type="paragraph" w:customStyle="1" w:styleId="821">
    <w:name w:val="样式82"/>
    <w:basedOn w:val="a"/>
    <w:link w:val="82Char"/>
    <w:qFormat/>
    <w:pPr>
      <w:spacing w:line="360" w:lineRule="auto"/>
      <w:ind w:firstLineChars="200" w:firstLine="560"/>
    </w:pPr>
    <w:rPr>
      <w:rFonts w:ascii="宋体" w:hAnsi="宋体"/>
      <w:sz w:val="28"/>
      <w:szCs w:val="28"/>
    </w:rPr>
  </w:style>
  <w:style w:type="character" w:customStyle="1" w:styleId="hhcwtCharChar0">
    <w:name w:val="hhcwt表格内文字 Char Char"/>
    <w:link w:val="hhcwt5"/>
    <w:rPr>
      <w:rFonts w:eastAsia="仿宋_GB2312" w:cs="宋体"/>
      <w:szCs w:val="21"/>
    </w:rPr>
  </w:style>
  <w:style w:type="paragraph" w:customStyle="1" w:styleId="hhcwt5">
    <w:name w:val="hhcwt表格内文字"/>
    <w:basedOn w:val="a"/>
    <w:link w:val="hhcwtCharChar0"/>
    <w:qFormat/>
    <w:pPr>
      <w:jc w:val="center"/>
    </w:pPr>
    <w:rPr>
      <w:rFonts w:eastAsia="仿宋_GB2312" w:cs="宋体"/>
      <w:szCs w:val="21"/>
    </w:rPr>
  </w:style>
  <w:style w:type="character" w:customStyle="1" w:styleId="ssmj9">
    <w:name w:val="ssmj9"/>
  </w:style>
  <w:style w:type="character" w:customStyle="1" w:styleId="-07415Char">
    <w:name w:val="段落-首行缩进:  0.74 厘米 行距: 1.5 倍行距 Char"/>
    <w:qFormat/>
    <w:rPr>
      <w:rFonts w:ascii="宋体" w:eastAsia="宋体" w:hAnsi="宋体" w:cs="宋体"/>
      <w:kern w:val="2"/>
      <w:sz w:val="28"/>
      <w:szCs w:val="28"/>
      <w:lang w:val="en-US" w:eastAsia="zh-CN" w:bidi="ar-SA"/>
    </w:rPr>
  </w:style>
  <w:style w:type="character" w:customStyle="1" w:styleId="CharChar130">
    <w:name w:val="Char Char13"/>
    <w:qFormat/>
    <w:rPr>
      <w:rFonts w:ascii="宋体" w:eastAsia="宋体" w:hAnsi="宋体" w:cs="宋体"/>
      <w:b/>
      <w:bCs/>
      <w:kern w:val="2"/>
      <w:sz w:val="24"/>
      <w:szCs w:val="20"/>
      <w:lang w:eastAsia="zh-CN" w:bidi="ar-SA"/>
    </w:rPr>
  </w:style>
  <w:style w:type="character" w:customStyle="1" w:styleId="23">
    <w:name w:val="电子邮件签名 字符2"/>
    <w:link w:val="ab"/>
    <w:qFormat/>
    <w:locked/>
    <w:rPr>
      <w:rFonts w:ascii="Arial" w:eastAsia="仿宋_GB2312" w:hAnsi="Arial"/>
    </w:rPr>
  </w:style>
  <w:style w:type="character" w:customStyle="1" w:styleId="3ff">
    <w:name w:val="电子邮件签名 字符3"/>
    <w:basedOn w:val="a1"/>
    <w:uiPriority w:val="99"/>
    <w:semiHidden/>
  </w:style>
  <w:style w:type="character" w:customStyle="1" w:styleId="2Char9">
    <w:name w:val="标题2新 Char"/>
    <w:link w:val="2fff2"/>
    <w:rPr>
      <w:rFonts w:ascii="楷体" w:eastAsia="楷体" w:hAnsi="楷体"/>
      <w:bCs/>
      <w:sz w:val="32"/>
      <w:szCs w:val="32"/>
    </w:rPr>
  </w:style>
  <w:style w:type="paragraph" w:customStyle="1" w:styleId="2fff2">
    <w:name w:val="标题2新"/>
    <w:basedOn w:val="2"/>
    <w:link w:val="2Char9"/>
    <w:qFormat/>
    <w:pPr>
      <w:tabs>
        <w:tab w:val="left" w:pos="1419"/>
      </w:tabs>
      <w:spacing w:before="0" w:after="0" w:line="560" w:lineRule="exact"/>
      <w:jc w:val="center"/>
    </w:pPr>
    <w:rPr>
      <w:rFonts w:ascii="楷体" w:eastAsia="楷体" w:hAnsi="楷体" w:cstheme="minorBidi"/>
      <w:b w:val="0"/>
    </w:rPr>
  </w:style>
  <w:style w:type="character" w:customStyle="1" w:styleId="s2ze7v">
    <w:name w:val="s2ze7v"/>
  </w:style>
  <w:style w:type="character" w:customStyle="1" w:styleId="mnpmenulabel1">
    <w:name w:val="mnpmenulabel1"/>
    <w:rPr>
      <w:rFonts w:ascii="Verdana" w:hAnsi="Verdana" w:hint="default"/>
      <w:b/>
      <w:bCs/>
      <w:i/>
      <w:iCs/>
      <w:color w:val="000000"/>
      <w:sz w:val="18"/>
      <w:szCs w:val="18"/>
      <w:shd w:val="clear" w:color="auto" w:fill="F1F1F1"/>
    </w:rPr>
  </w:style>
  <w:style w:type="character" w:customStyle="1" w:styleId="CharCharfff0">
    <w:name w:val="文本框小四 Char Char"/>
    <w:semiHidden/>
    <w:rPr>
      <w:rFonts w:ascii="宋体" w:eastAsia="仿宋_GB2312" w:hAnsi="宋体" w:cs="Courier New"/>
      <w:kern w:val="2"/>
      <w:sz w:val="24"/>
      <w:szCs w:val="24"/>
      <w:lang w:val="en-US" w:eastAsia="zh-CN" w:bidi="ar-SA"/>
    </w:rPr>
  </w:style>
  <w:style w:type="character" w:customStyle="1" w:styleId="CharChar43">
    <w:name w:val="Char Char43"/>
    <w:rPr>
      <w:rFonts w:ascii="Arial" w:eastAsia="黑体" w:hAnsi="Arial" w:cs="Arial" w:hint="default"/>
      <w:kern w:val="2"/>
      <w:sz w:val="24"/>
    </w:rPr>
  </w:style>
  <w:style w:type="character" w:customStyle="1" w:styleId="luluCharChar2">
    <w:name w:val="标题lulu Char Char2"/>
    <w:rPr>
      <w:rFonts w:ascii="Arial" w:eastAsia="宋体" w:hAnsi="Arial" w:cs="Arial"/>
      <w:b/>
      <w:bCs/>
      <w:sz w:val="32"/>
      <w:szCs w:val="32"/>
      <w:lang w:val="en-US" w:eastAsia="zh-CN" w:bidi="ar-SA"/>
    </w:rPr>
  </w:style>
  <w:style w:type="character" w:customStyle="1" w:styleId="CharCharCharChar23">
    <w:name w:val="Char Char Char Char23"/>
    <w:link w:val="CharCharChar50"/>
    <w:rPr>
      <w:sz w:val="24"/>
      <w:szCs w:val="24"/>
    </w:rPr>
  </w:style>
  <w:style w:type="paragraph" w:customStyle="1" w:styleId="CharCharChar50">
    <w:name w:val="Char Char Char5"/>
    <w:basedOn w:val="a"/>
    <w:link w:val="CharCharCharChar23"/>
    <w:qFormat/>
    <w:rPr>
      <w:sz w:val="24"/>
      <w:szCs w:val="24"/>
    </w:rPr>
  </w:style>
  <w:style w:type="character" w:customStyle="1" w:styleId="s">
    <w:name w:val="s"/>
  </w:style>
  <w:style w:type="character" w:customStyle="1" w:styleId="2Chara">
    <w:name w:val="标题 2 Char"/>
    <w:qFormat/>
    <w:rPr>
      <w:rFonts w:ascii="宋体" w:eastAsia="宋体" w:hAnsi="宋体" w:cs="Arial"/>
      <w:b/>
      <w:bCs/>
      <w:sz w:val="28"/>
      <w:szCs w:val="36"/>
      <w:lang w:val="en-US" w:eastAsia="zh-CN" w:bidi="ar-SA"/>
    </w:rPr>
  </w:style>
  <w:style w:type="character" w:customStyle="1" w:styleId="CharChar2b">
    <w:name w:val="Char Char2"/>
    <w:qFormat/>
    <w:rPr>
      <w:rFonts w:ascii="宋体" w:eastAsia="宋体" w:hAnsi="宋体"/>
      <w:kern w:val="2"/>
      <w:sz w:val="24"/>
      <w:lang w:val="en-US" w:eastAsia="zh-CN"/>
    </w:rPr>
  </w:style>
  <w:style w:type="character" w:customStyle="1" w:styleId="CharCharfff1">
    <w:name w:val="表格文字 Char Char"/>
    <w:qFormat/>
    <w:rPr>
      <w:rFonts w:eastAsia="宋体"/>
      <w:kern w:val="2"/>
      <w:sz w:val="24"/>
      <w:szCs w:val="24"/>
      <w:lang w:val="en-US" w:eastAsia="zh-CN" w:bidi="ar-SA"/>
    </w:rPr>
  </w:style>
  <w:style w:type="character" w:customStyle="1" w:styleId="javascript1">
    <w:name w:val="javascript1"/>
    <w:rPr>
      <w:rFonts w:ascii="Tahoma" w:hAnsi="Tahoma" w:cs="Tahoma" w:hint="default"/>
      <w:sz w:val="14"/>
      <w:szCs w:val="14"/>
    </w:rPr>
  </w:style>
  <w:style w:type="character" w:customStyle="1" w:styleId="lemmatitleh1">
    <w:name w:val="lemmatitleh1"/>
    <w:basedOn w:val="a1"/>
  </w:style>
  <w:style w:type="character" w:customStyle="1" w:styleId="CharCharCharCharCharCharCharChar3">
    <w:name w:val="Char Char Char Char Char Char Char Char3"/>
    <w:rPr>
      <w:rFonts w:ascii="仿宋_GB2312" w:eastAsia="仿宋_GB2312"/>
      <w:sz w:val="28"/>
      <w:lang w:val="en-US" w:eastAsia="zh-CN" w:bidi="ar-SA"/>
    </w:rPr>
  </w:style>
  <w:style w:type="character" w:customStyle="1" w:styleId="CharChar300">
    <w:name w:val="Char Char30"/>
    <w:rPr>
      <w:rFonts w:ascii="宋体" w:eastAsia="宋体" w:hAnsi="Courier New" w:cs="Courier New"/>
      <w:sz w:val="21"/>
      <w:szCs w:val="21"/>
      <w:lang w:val="en-US" w:eastAsia="zh-CN" w:bidi="ar-SA"/>
    </w:rPr>
  </w:style>
  <w:style w:type="character" w:customStyle="1" w:styleId="1Char14">
    <w:name w:val="目录 1 Char1"/>
    <w:link w:val="1110"/>
    <w:qFormat/>
    <w:rPr>
      <w:rFonts w:ascii="Arial" w:eastAsia="宋体" w:hAnsi="Arial" w:cs="Arial"/>
      <w:b/>
      <w:bCs/>
      <w:caps/>
      <w:sz w:val="24"/>
      <w:szCs w:val="24"/>
    </w:rPr>
  </w:style>
  <w:style w:type="paragraph" w:customStyle="1" w:styleId="1110">
    <w:name w:val="目录 111"/>
    <w:basedOn w:val="a"/>
    <w:next w:val="a"/>
    <w:link w:val="1Char14"/>
    <w:qFormat/>
    <w:pPr>
      <w:spacing w:before="360"/>
      <w:jc w:val="left"/>
    </w:pPr>
    <w:rPr>
      <w:rFonts w:ascii="Arial" w:eastAsia="宋体" w:hAnsi="Arial" w:cs="Arial"/>
      <w:b/>
      <w:bCs/>
      <w:caps/>
      <w:sz w:val="24"/>
      <w:szCs w:val="24"/>
    </w:rPr>
  </w:style>
  <w:style w:type="character" w:customStyle="1" w:styleId="BodyText2Char">
    <w:name w:val="Body Text 2 Char"/>
    <w:qFormat/>
    <w:rPr>
      <w:rFonts w:eastAsia="宋体" w:cs="Times New Roman"/>
      <w:kern w:val="2"/>
      <w:sz w:val="24"/>
      <w:szCs w:val="24"/>
      <w:lang w:val="en-US" w:eastAsia="zh-CN" w:bidi="ar-SA"/>
    </w:rPr>
  </w:style>
  <w:style w:type="character" w:customStyle="1" w:styleId="1Charf6">
    <w:name w:val="表格1 Char"/>
    <w:link w:val="1fff9"/>
    <w:rPr>
      <w:rFonts w:ascii="宋体" w:hAnsi="宋体"/>
      <w:sz w:val="24"/>
      <w:szCs w:val="24"/>
    </w:rPr>
  </w:style>
  <w:style w:type="paragraph" w:customStyle="1" w:styleId="1fff9">
    <w:name w:val="表格1"/>
    <w:basedOn w:val="a"/>
    <w:link w:val="1Charf6"/>
    <w:qFormat/>
    <w:pPr>
      <w:widowControl/>
      <w:adjustRightInd w:val="0"/>
      <w:snapToGrid w:val="0"/>
      <w:spacing w:line="480" w:lineRule="exact"/>
      <w:jc w:val="left"/>
    </w:pPr>
    <w:rPr>
      <w:rFonts w:ascii="宋体" w:hAnsi="宋体"/>
      <w:sz w:val="24"/>
      <w:szCs w:val="24"/>
    </w:rPr>
  </w:style>
  <w:style w:type="character" w:customStyle="1" w:styleId="3Char6">
    <w:name w:val="标题3新 Char"/>
    <w:link w:val="3ff0"/>
    <w:rPr>
      <w:rFonts w:ascii="黑体" w:eastAsia="黑体" w:hAnsi="黑体"/>
      <w:sz w:val="28"/>
      <w:szCs w:val="24"/>
    </w:rPr>
  </w:style>
  <w:style w:type="paragraph" w:customStyle="1" w:styleId="3ff0">
    <w:name w:val="标题3新"/>
    <w:basedOn w:val="3"/>
    <w:link w:val="3Char6"/>
    <w:qFormat/>
    <w:pPr>
      <w:widowControl w:val="0"/>
      <w:spacing w:before="0" w:after="0" w:line="560" w:lineRule="exact"/>
      <w:ind w:firstLineChars="200" w:firstLine="200"/>
    </w:pPr>
    <w:rPr>
      <w:rFonts w:ascii="黑体" w:eastAsia="黑体" w:hAnsi="黑体" w:cstheme="minorBidi"/>
      <w:b w:val="0"/>
      <w:bCs w:val="0"/>
      <w:kern w:val="2"/>
      <w:sz w:val="28"/>
      <w:szCs w:val="24"/>
    </w:rPr>
  </w:style>
  <w:style w:type="character" w:customStyle="1" w:styleId="5CharCharCharChar">
    <w:name w:val="标题 5 Char Char Char Char"/>
    <w:rPr>
      <w:rFonts w:eastAsia="宋体"/>
      <w:b/>
      <w:sz w:val="28"/>
      <w:lang w:val="en-US" w:eastAsia="zh-CN" w:bidi="ar-SA"/>
    </w:rPr>
  </w:style>
  <w:style w:type="character" w:customStyle="1" w:styleId="h311">
    <w:name w:val="h311"/>
    <w:qFormat/>
    <w:rPr>
      <w:sz w:val="21"/>
      <w:szCs w:val="21"/>
    </w:rPr>
  </w:style>
  <w:style w:type="character" w:customStyle="1" w:styleId="GB23122">
    <w:name w:val="样式 仿宋_GB2312 小四2"/>
    <w:semiHidden/>
    <w:rPr>
      <w:rFonts w:ascii="Times New Roman" w:eastAsia="仿宋_GB2312" w:hAnsi="Times New Roman" w:cs="Courier New"/>
      <w:kern w:val="2"/>
      <w:sz w:val="24"/>
      <w:szCs w:val="24"/>
      <w:lang w:val="en-US" w:eastAsia="zh-CN" w:bidi="ar-SA"/>
    </w:rPr>
  </w:style>
  <w:style w:type="character" w:customStyle="1" w:styleId="style3style1style4">
    <w:name w:val="style3 style1 style4"/>
  </w:style>
  <w:style w:type="character" w:customStyle="1" w:styleId="320">
    <w:name w:val="正文文本 3 字符2"/>
    <w:link w:val="32"/>
    <w:qFormat/>
    <w:locked/>
    <w:rPr>
      <w:rFonts w:eastAsia="宋体"/>
      <w:sz w:val="16"/>
      <w:szCs w:val="16"/>
    </w:rPr>
  </w:style>
  <w:style w:type="character" w:customStyle="1" w:styleId="332">
    <w:name w:val="正文文本 3 字符3"/>
    <w:basedOn w:val="a1"/>
    <w:uiPriority w:val="99"/>
    <w:semiHidden/>
    <w:rPr>
      <w:sz w:val="16"/>
      <w:szCs w:val="16"/>
    </w:rPr>
  </w:style>
  <w:style w:type="character" w:customStyle="1" w:styleId="22Char">
    <w:name w:val="标题22 Char"/>
    <w:link w:val="224"/>
    <w:rPr>
      <w:rFonts w:ascii="Arial" w:eastAsia="黑体" w:hAnsi="Arial"/>
      <w:sz w:val="32"/>
      <w:szCs w:val="32"/>
    </w:rPr>
  </w:style>
  <w:style w:type="paragraph" w:customStyle="1" w:styleId="224">
    <w:name w:val="标题22"/>
    <w:basedOn w:val="2"/>
    <w:link w:val="22Char"/>
    <w:qFormat/>
    <w:pPr>
      <w:tabs>
        <w:tab w:val="left" w:pos="570"/>
        <w:tab w:val="left" w:pos="1419"/>
        <w:tab w:val="left" w:pos="6090"/>
      </w:tabs>
      <w:spacing w:before="240" w:after="120" w:line="360" w:lineRule="auto"/>
    </w:pPr>
    <w:rPr>
      <w:rFonts w:ascii="Arial" w:eastAsia="黑体" w:hAnsi="Arial" w:cstheme="minorBidi"/>
      <w:b w:val="0"/>
      <w:bCs w:val="0"/>
    </w:rPr>
  </w:style>
  <w:style w:type="character" w:customStyle="1" w:styleId="CharChar215">
    <w:name w:val="Char Char215"/>
    <w:rPr>
      <w:rFonts w:eastAsia="宋体"/>
      <w:sz w:val="18"/>
      <w:lang w:val="en-US" w:eastAsia="zh-CN" w:bidi="ar-SA"/>
    </w:rPr>
  </w:style>
  <w:style w:type="character" w:customStyle="1" w:styleId="css-text3">
    <w:name w:val="css-text3"/>
    <w:qFormat/>
    <w:rPr>
      <w:rFonts w:cs="Times New Roman"/>
    </w:rPr>
  </w:style>
  <w:style w:type="character" w:customStyle="1" w:styleId="s9zsb3q">
    <w:name w:val="s9zsb3q"/>
  </w:style>
  <w:style w:type="character" w:customStyle="1" w:styleId="style91">
    <w:name w:val="style91"/>
    <w:qFormat/>
    <w:rPr>
      <w:sz w:val="21"/>
      <w:szCs w:val="21"/>
    </w:rPr>
  </w:style>
  <w:style w:type="character" w:customStyle="1" w:styleId="HTML41">
    <w:name w:val="HTML 代码4"/>
    <w:rPr>
      <w:rFonts w:ascii="黑体" w:eastAsia="黑体" w:hAnsi="Courier New" w:cs="Courier New"/>
      <w:sz w:val="24"/>
      <w:szCs w:val="24"/>
    </w:rPr>
  </w:style>
  <w:style w:type="character" w:customStyle="1" w:styleId="CharChar57">
    <w:name w:val="Char Char57"/>
    <w:rPr>
      <w:rFonts w:ascii="Arial" w:eastAsia="宋体" w:hAnsi="Arial" w:cs="Arial"/>
      <w:b/>
      <w:bCs/>
      <w:sz w:val="32"/>
      <w:szCs w:val="32"/>
      <w:lang w:val="en-US" w:eastAsia="zh-CN" w:bidi="ar-SA"/>
    </w:rPr>
  </w:style>
  <w:style w:type="character" w:customStyle="1" w:styleId="Char2d">
    <w:name w:val="页脚 Char2"/>
    <w:rPr>
      <w:rFonts w:ascii="宋体" w:eastAsia="宋体" w:hAnsi="宋体"/>
      <w:kern w:val="2"/>
      <w:sz w:val="18"/>
      <w:szCs w:val="18"/>
      <w:lang w:val="en-US" w:eastAsia="zh-CN" w:bidi="ar-SA"/>
    </w:rPr>
  </w:style>
  <w:style w:type="character" w:customStyle="1" w:styleId="title16px1">
    <w:name w:val="title_16px1"/>
    <w:qFormat/>
    <w:rPr>
      <w:rFonts w:ascii="黑体" w:eastAsia="黑体" w:cs="Times New Roman"/>
      <w:color w:val="333333"/>
      <w:sz w:val="27"/>
      <w:szCs w:val="27"/>
    </w:rPr>
  </w:style>
  <w:style w:type="character" w:customStyle="1" w:styleId="subtitle10">
    <w:name w:val="subtitle1"/>
    <w:rPr>
      <w:color w:val="FF0000"/>
      <w:sz w:val="21"/>
      <w:szCs w:val="21"/>
    </w:rPr>
  </w:style>
  <w:style w:type="character" w:customStyle="1" w:styleId="CharCharChar7">
    <w:name w:val="正文文本 Char Char Char"/>
    <w:rPr>
      <w:rFonts w:ascii="仿宋_GB2312" w:eastAsia="仿宋_GB2312" w:hint="eastAsia"/>
      <w:sz w:val="28"/>
      <w:lang w:val="en-US" w:eastAsia="zh-CN" w:bidi="ar-SA"/>
    </w:rPr>
  </w:style>
  <w:style w:type="character" w:customStyle="1" w:styleId="h9Char">
    <w:name w:val="h9 Char"/>
    <w:rPr>
      <w:rFonts w:ascii="Arial" w:eastAsia="黑体" w:hAnsi="Arial"/>
      <w:kern w:val="2"/>
      <w:sz w:val="24"/>
    </w:rPr>
  </w:style>
  <w:style w:type="paragraph" w:customStyle="1" w:styleId="095063">
    <w:name w:val="样式 正文文本缩进 + 左侧:  0.95 厘米 首行缩进:  0.63 厘米"/>
    <w:basedOn w:val="af7"/>
    <w:qFormat/>
    <w:pPr>
      <w:tabs>
        <w:tab w:val="clear" w:pos="3600"/>
      </w:tabs>
      <w:spacing w:line="480" w:lineRule="exact"/>
    </w:pPr>
    <w:rPr>
      <w:color w:val="000000"/>
      <w:szCs w:val="20"/>
    </w:rPr>
  </w:style>
  <w:style w:type="paragraph" w:customStyle="1" w:styleId="3ff1">
    <w:name w:val="环标3"/>
    <w:basedOn w:val="3"/>
    <w:qFormat/>
    <w:pPr>
      <w:keepNext w:val="0"/>
      <w:keepLines w:val="0"/>
      <w:widowControl w:val="0"/>
      <w:adjustRightInd w:val="0"/>
      <w:spacing w:before="0" w:after="0" w:line="312" w:lineRule="atLeast"/>
      <w:textAlignment w:val="baseline"/>
    </w:pPr>
    <w:rPr>
      <w:rFonts w:ascii="宋体" w:hAnsi="宋体"/>
      <w:b w:val="0"/>
      <w:bCs w:val="0"/>
      <w:sz w:val="24"/>
      <w:szCs w:val="20"/>
    </w:rPr>
  </w:style>
  <w:style w:type="paragraph" w:customStyle="1" w:styleId="1fffa">
    <w:name w:val="表中文字1"/>
    <w:qFormat/>
    <w:pPr>
      <w:widowControl w:val="0"/>
      <w:adjustRightInd w:val="0"/>
      <w:snapToGrid w:val="0"/>
      <w:spacing w:line="280" w:lineRule="exact"/>
      <w:jc w:val="center"/>
    </w:pPr>
    <w:rPr>
      <w:rFonts w:ascii="仿宋_GB2312" w:eastAsia="仿宋_GB2312" w:hAnsi="Times New Roman" w:cs="Times New Roman"/>
      <w:kern w:val="2"/>
      <w:sz w:val="24"/>
      <w:szCs w:val="24"/>
    </w:rPr>
  </w:style>
  <w:style w:type="paragraph" w:customStyle="1" w:styleId="22Heading2HiddenHeading2CCBSheading2H21">
    <w:name w:val="样式 标题 2节第一章 标题 2Heading 2 HiddenHeading 2 CCBSheading 2H2...1"/>
    <w:basedOn w:val="2"/>
    <w:qFormat/>
    <w:pPr>
      <w:tabs>
        <w:tab w:val="left" w:pos="1419"/>
      </w:tabs>
      <w:spacing w:before="120" w:after="120" w:line="500" w:lineRule="exact"/>
    </w:pPr>
    <w:rPr>
      <w:rFonts w:ascii="宋体" w:eastAsia="宋体" w:hAnsi="宋体" w:cs="Times New Roman"/>
      <w:bCs w:val="0"/>
      <w:sz w:val="24"/>
      <w:szCs w:val="20"/>
    </w:rPr>
  </w:style>
  <w:style w:type="paragraph" w:customStyle="1" w:styleId="zg1">
    <w:name w:val="zg1"/>
    <w:basedOn w:val="af7"/>
    <w:qFormat/>
    <w:pPr>
      <w:tabs>
        <w:tab w:val="clear" w:pos="3600"/>
      </w:tabs>
      <w:spacing w:line="360" w:lineRule="auto"/>
      <w:ind w:firstLineChars="0" w:firstLine="425"/>
    </w:pPr>
    <w:rPr>
      <w:rFonts w:ascii="Times New Roman" w:hAnsi="Times New Roman"/>
      <w:szCs w:val="20"/>
    </w:rPr>
  </w:style>
  <w:style w:type="paragraph" w:customStyle="1" w:styleId="1fffb">
    <w:name w:val="条1"/>
    <w:basedOn w:val="a"/>
    <w:next w:val="affffc"/>
    <w:qFormat/>
    <w:pPr>
      <w:outlineLvl w:val="1"/>
    </w:pPr>
    <w:rPr>
      <w:rFonts w:ascii="黑体" w:eastAsia="黑体" w:hAnsi="Times New Roman" w:cs="Times New Roman"/>
      <w:kern w:val="21"/>
      <w:szCs w:val="20"/>
    </w:rPr>
  </w:style>
  <w:style w:type="paragraph" w:customStyle="1" w:styleId="CharCharCharCharCharCharCharCharCharCharCharCharChar">
    <w:name w:val="Char Char Char Char Char Char Char Char Char Char Char Char Char"/>
    <w:basedOn w:val="a"/>
    <w:qFormat/>
    <w:pPr>
      <w:widowControl/>
      <w:spacing w:after="160" w:line="240" w:lineRule="exact"/>
      <w:jc w:val="left"/>
    </w:pPr>
    <w:rPr>
      <w:rFonts w:ascii="Arial" w:eastAsia="宋体" w:hAnsi="Arial" w:cs="Verdana"/>
      <w:b/>
      <w:kern w:val="0"/>
      <w:sz w:val="24"/>
      <w:szCs w:val="24"/>
      <w:lang w:eastAsia="en-US"/>
    </w:rPr>
  </w:style>
  <w:style w:type="paragraph" w:customStyle="1" w:styleId="0011">
    <w:name w:val="环评0.01"/>
    <w:basedOn w:val="a"/>
    <w:next w:val="af5"/>
    <w:qFormat/>
    <w:pPr>
      <w:adjustRightInd w:val="0"/>
      <w:snapToGrid w:val="0"/>
      <w:spacing w:line="360" w:lineRule="auto"/>
    </w:pPr>
    <w:rPr>
      <w:rFonts w:ascii="Times New Roman" w:eastAsia="华文中宋" w:hAnsi="Times New Roman" w:cs="Times New Roman"/>
      <w:sz w:val="28"/>
      <w:szCs w:val="20"/>
    </w:rPr>
  </w:style>
  <w:style w:type="character" w:customStyle="1" w:styleId="a8">
    <w:name w:val="题注 字符"/>
    <w:link w:val="a6"/>
    <w:qFormat/>
    <w:locked/>
    <w:rPr>
      <w:rFonts w:asciiTheme="majorHAnsi" w:eastAsia="黑体" w:hAnsiTheme="majorHAnsi" w:cstheme="majorBidi"/>
      <w:sz w:val="20"/>
      <w:szCs w:val="20"/>
    </w:rPr>
  </w:style>
  <w:style w:type="paragraph" w:customStyle="1" w:styleId="affffffffffd">
    <w:name w:val="表格内容自定"/>
    <w:basedOn w:val="a"/>
    <w:qFormat/>
    <w:pPr>
      <w:spacing w:line="280" w:lineRule="exact"/>
      <w:jc w:val="center"/>
    </w:pPr>
    <w:rPr>
      <w:rFonts w:ascii="Times New Roman" w:eastAsia="宋体" w:hAnsi="Times New Roman" w:cs="Times New Roman"/>
      <w:kern w:val="0"/>
      <w:sz w:val="18"/>
      <w:szCs w:val="21"/>
    </w:rPr>
  </w:style>
  <w:style w:type="paragraph" w:customStyle="1" w:styleId="411">
    <w:name w:val="目录 411"/>
    <w:basedOn w:val="a"/>
    <w:next w:val="a"/>
    <w:qFormat/>
    <w:pPr>
      <w:ind w:left="420"/>
      <w:jc w:val="left"/>
    </w:pPr>
    <w:rPr>
      <w:rFonts w:ascii="Times New Roman" w:eastAsia="宋体" w:hAnsi="Times New Roman" w:cs="Times New Roman"/>
      <w:sz w:val="20"/>
      <w:szCs w:val="20"/>
    </w:rPr>
  </w:style>
  <w:style w:type="paragraph" w:customStyle="1" w:styleId="ListParagraph1">
    <w:name w:val="List Paragraph1"/>
    <w:basedOn w:val="a"/>
    <w:qFormat/>
    <w:pPr>
      <w:widowControl/>
      <w:ind w:firstLineChars="200" w:firstLine="420"/>
      <w:jc w:val="left"/>
    </w:pPr>
    <w:rPr>
      <w:rFonts w:ascii="Times New Roman" w:eastAsia="宋体" w:hAnsi="Times New Roman" w:cs="Times New Roman"/>
      <w:kern w:val="0"/>
      <w:sz w:val="24"/>
      <w:szCs w:val="20"/>
    </w:rPr>
  </w:style>
  <w:style w:type="paragraph" w:customStyle="1" w:styleId="ParaCharCharCharCharCharCharChar">
    <w:name w:val="默认段落字体 Para Char Char Char Char Char Char Char"/>
    <w:basedOn w:val="a"/>
    <w:qFormat/>
    <w:rPr>
      <w:rFonts w:ascii="Arial" w:eastAsia="宋体" w:hAnsi="Arial" w:cs="Arial"/>
      <w:sz w:val="20"/>
      <w:szCs w:val="20"/>
    </w:rPr>
  </w:style>
  <w:style w:type="paragraph" w:customStyle="1" w:styleId="CharCharCharCharCharCharCharCharCharCharCharCharChar7">
    <w:name w:val="Char Char Char Char Char Char Char Char Char Char Char Char Char7"/>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Charfffffff5">
    <w:name w:val="文本匡小五号 Char"/>
    <w:semiHidden/>
    <w:qFormat/>
    <w:pPr>
      <w:snapToGrid w:val="0"/>
      <w:spacing w:line="100" w:lineRule="atLeast"/>
      <w:jc w:val="center"/>
    </w:pPr>
    <w:rPr>
      <w:rFonts w:ascii="Times New Roman" w:eastAsia="仿宋_GB2312" w:hAnsi="Times New Roman" w:cs="Times New Roman"/>
      <w:snapToGrid w:val="0"/>
      <w:sz w:val="21"/>
      <w:szCs w:val="21"/>
    </w:rPr>
  </w:style>
  <w:style w:type="paragraph" w:customStyle="1" w:styleId="22Char2h2H22112TimesNewRoman">
    <w:name w:val="样式 标题 2标题 2 Char标2h2H2标题21.1标题 2 + Times New Roman"/>
    <w:basedOn w:val="2"/>
    <w:qFormat/>
    <w:pPr>
      <w:tabs>
        <w:tab w:val="left" w:pos="1419"/>
      </w:tabs>
      <w:autoSpaceDE w:val="0"/>
      <w:autoSpaceDN w:val="0"/>
      <w:adjustRightInd w:val="0"/>
      <w:spacing w:before="200" w:after="163" w:line="360" w:lineRule="auto"/>
      <w:jc w:val="center"/>
    </w:pPr>
    <w:rPr>
      <w:rFonts w:ascii="Times New Roman" w:eastAsia="仿宋_GB2312" w:hAnsi="Times New Roman" w:cs="Times New Roman"/>
      <w:b w:val="0"/>
      <w:bCs w:val="0"/>
      <w:kern w:val="0"/>
      <w:sz w:val="24"/>
      <w:szCs w:val="20"/>
    </w:rPr>
  </w:style>
  <w:style w:type="paragraph" w:customStyle="1" w:styleId="2210">
    <w:name w:val="样式 标题 2 + 首行缩进:  2 字符1"/>
    <w:basedOn w:val="2"/>
    <w:qFormat/>
    <w:pPr>
      <w:keepLines w:val="0"/>
      <w:tabs>
        <w:tab w:val="left" w:pos="1419"/>
      </w:tabs>
      <w:spacing w:beforeLines="100" w:before="312" w:after="0" w:line="440" w:lineRule="exact"/>
      <w:ind w:firstLineChars="200" w:firstLine="440"/>
      <w:jc w:val="left"/>
    </w:pPr>
    <w:rPr>
      <w:rFonts w:ascii="Times New Roman" w:eastAsia="汉鼎简特宋" w:hAnsi="Times New Roman" w:cs="Times New Roman"/>
      <w:b w:val="0"/>
      <w:bCs w:val="0"/>
      <w:spacing w:val="-2"/>
      <w:sz w:val="28"/>
      <w:szCs w:val="20"/>
    </w:rPr>
  </w:style>
  <w:style w:type="paragraph" w:customStyle="1" w:styleId="Para">
    <w:name w:val="默认段落字体 Para"/>
    <w:basedOn w:val="a"/>
    <w:qFormat/>
    <w:rPr>
      <w:rFonts w:ascii="Times New Roman" w:eastAsia="宋体" w:hAnsi="Times New Roman" w:cs="Times New Roman"/>
      <w:sz w:val="24"/>
      <w:szCs w:val="24"/>
    </w:rPr>
  </w:style>
  <w:style w:type="paragraph" w:customStyle="1" w:styleId="M0">
    <w:name w:val="M"/>
    <w:basedOn w:val="1"/>
    <w:qFormat/>
    <w:pPr>
      <w:keepNext/>
      <w:widowControl/>
      <w:tabs>
        <w:tab w:val="left" w:pos="425"/>
        <w:tab w:val="left" w:pos="2260"/>
        <w:tab w:val="left" w:pos="2820"/>
        <w:tab w:val="left" w:pos="3420"/>
      </w:tabs>
      <w:adjustRightInd w:val="0"/>
      <w:snapToGrid w:val="0"/>
      <w:spacing w:before="440"/>
      <w:ind w:left="851" w:right="-28" w:hanging="851"/>
      <w:jc w:val="both"/>
    </w:pPr>
    <w:rPr>
      <w:rFonts w:ascii="Arial" w:eastAsia="宋体" w:hAnsi="Arial" w:cs="Times New Roman"/>
      <w:b w:val="0"/>
      <w:bCs w:val="0"/>
      <w:sz w:val="22"/>
      <w:szCs w:val="20"/>
      <w:lang w:val="en-GB" w:eastAsia="zh-CN"/>
    </w:rPr>
  </w:style>
  <w:style w:type="paragraph" w:customStyle="1" w:styleId="225">
    <w:name w:val="正文文本缩进 22"/>
    <w:basedOn w:val="a"/>
    <w:qFormat/>
    <w:pPr>
      <w:overflowPunct w:val="0"/>
      <w:autoSpaceDE w:val="0"/>
      <w:autoSpaceDN w:val="0"/>
      <w:adjustRightInd w:val="0"/>
      <w:ind w:left="810"/>
      <w:jc w:val="left"/>
    </w:pPr>
    <w:rPr>
      <w:rFonts w:ascii="Times New Roman" w:eastAsia="宋体" w:hAnsi="Times New Roman" w:cs="Times New Roman"/>
      <w:kern w:val="0"/>
      <w:sz w:val="20"/>
      <w:szCs w:val="20"/>
    </w:rPr>
  </w:style>
  <w:style w:type="paragraph" w:customStyle="1" w:styleId="xl170">
    <w:name w:val="xl170"/>
    <w:basedOn w:val="a"/>
    <w:qFormat/>
    <w:pPr>
      <w:widowControl/>
      <w:pBdr>
        <w:left w:val="single" w:sz="4" w:space="0" w:color="auto"/>
        <w:bottom w:val="single" w:sz="12"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611">
    <w:name w:val="目录 61"/>
    <w:basedOn w:val="a"/>
    <w:next w:val="a"/>
    <w:qFormat/>
    <w:pPr>
      <w:ind w:left="840"/>
      <w:jc w:val="left"/>
    </w:pPr>
    <w:rPr>
      <w:rFonts w:ascii="Times New Roman" w:eastAsia="宋体" w:hAnsi="Times New Roman" w:cs="Times New Roman"/>
      <w:sz w:val="20"/>
      <w:szCs w:val="20"/>
    </w:rPr>
  </w:style>
  <w:style w:type="paragraph" w:customStyle="1" w:styleId="affffffffffe">
    <w:name w:val="博士论文正文"/>
    <w:basedOn w:val="a"/>
    <w:qFormat/>
    <w:pPr>
      <w:spacing w:line="360" w:lineRule="auto"/>
      <w:ind w:firstLineChars="200" w:firstLine="200"/>
    </w:pPr>
    <w:rPr>
      <w:rFonts w:ascii="Times New Roman" w:eastAsia="宋体" w:hAnsi="Times New Roman" w:cs="Times New Roman"/>
      <w:sz w:val="24"/>
      <w:szCs w:val="24"/>
    </w:rPr>
  </w:style>
  <w:style w:type="paragraph" w:customStyle="1" w:styleId="Char140">
    <w:name w:val="Char14"/>
    <w:basedOn w:val="a"/>
    <w:qFormat/>
    <w:rPr>
      <w:rFonts w:ascii="Times New Roman" w:eastAsia="宋体" w:hAnsi="Times New Roman" w:cs="Times New Roman"/>
      <w:szCs w:val="21"/>
    </w:rPr>
  </w:style>
  <w:style w:type="paragraph" w:customStyle="1" w:styleId="xl75">
    <w:name w:val="xl75"/>
    <w:basedOn w:val="a"/>
    <w:qFormat/>
    <w:pPr>
      <w:widowControl/>
      <w:spacing w:before="100" w:beforeAutospacing="1" w:after="100" w:afterAutospacing="1"/>
      <w:jc w:val="left"/>
    </w:pPr>
    <w:rPr>
      <w:rFonts w:ascii="Times New Roman" w:eastAsia="宋体" w:hAnsi="Times New Roman" w:cs="Times New Roman"/>
      <w:kern w:val="0"/>
      <w:sz w:val="12"/>
      <w:szCs w:val="12"/>
    </w:rPr>
  </w:style>
  <w:style w:type="paragraph" w:customStyle="1" w:styleId="GB23123">
    <w:name w:val="样式 楷体_GB2312 居中"/>
    <w:basedOn w:val="a"/>
    <w:qFormat/>
    <w:pPr>
      <w:spacing w:line="360" w:lineRule="auto"/>
      <w:jc w:val="center"/>
    </w:pPr>
    <w:rPr>
      <w:rFonts w:ascii="楷体_GB2312" w:eastAsia="楷体_GB2312" w:hAnsi="Times New Roman" w:cs="Times New Roman"/>
      <w:szCs w:val="20"/>
    </w:rPr>
  </w:style>
  <w:style w:type="paragraph" w:customStyle="1" w:styleId="afffffffffff">
    <w:name w:val="三级无标题条"/>
    <w:basedOn w:val="a"/>
    <w:qFormat/>
    <w:rPr>
      <w:rFonts w:ascii="Times New Roman" w:eastAsia="宋体" w:hAnsi="Times New Roman" w:cs="Times New Roman"/>
      <w:szCs w:val="24"/>
    </w:rPr>
  </w:style>
  <w:style w:type="paragraph" w:customStyle="1" w:styleId="1fffc">
    <w:name w:val="文章1标题"/>
    <w:basedOn w:val="2"/>
    <w:qFormat/>
    <w:pPr>
      <w:keepNext w:val="0"/>
      <w:keepLines w:val="0"/>
      <w:widowControl/>
      <w:tabs>
        <w:tab w:val="left" w:pos="780"/>
        <w:tab w:val="left" w:pos="985"/>
        <w:tab w:val="left" w:pos="1419"/>
      </w:tabs>
      <w:spacing w:before="156" w:after="0" w:line="360" w:lineRule="auto"/>
      <w:ind w:left="780" w:hanging="360"/>
      <w:jc w:val="center"/>
      <w:outlineLvl w:val="9"/>
    </w:pPr>
    <w:rPr>
      <w:rFonts w:ascii="宋体" w:eastAsia="宋体" w:hAnsi="宋体" w:cs="宋体"/>
      <w:b w:val="0"/>
      <w:sz w:val="21"/>
      <w:szCs w:val="24"/>
    </w:rPr>
  </w:style>
  <w:style w:type="paragraph" w:customStyle="1" w:styleId="3120">
    <w:name w:val="正文文本缩进 312"/>
    <w:basedOn w:val="a"/>
    <w:qFormat/>
    <w:pPr>
      <w:adjustRightInd w:val="0"/>
      <w:spacing w:line="480" w:lineRule="exact"/>
      <w:ind w:firstLine="525"/>
      <w:textAlignment w:val="baseline"/>
    </w:pPr>
    <w:rPr>
      <w:rFonts w:ascii="宋体" w:eastAsia="宋体" w:hAnsi="Times New Roman" w:cs="Times New Roman"/>
      <w:sz w:val="28"/>
      <w:szCs w:val="20"/>
    </w:rPr>
  </w:style>
  <w:style w:type="paragraph" w:customStyle="1" w:styleId="czw">
    <w:name w:val="czw"/>
    <w:basedOn w:val="a"/>
    <w:qFormat/>
    <w:pPr>
      <w:widowControl/>
      <w:snapToGrid w:val="0"/>
      <w:spacing w:beforeLines="50" w:before="156" w:afterLines="50" w:after="156" w:line="360" w:lineRule="auto"/>
      <w:ind w:firstLineChars="200" w:firstLine="560"/>
      <w:jc w:val="left"/>
    </w:pPr>
    <w:rPr>
      <w:rFonts w:ascii="宋体" w:eastAsia="宋体" w:hAnsi="宋体" w:cs="宋体"/>
      <w:kern w:val="0"/>
      <w:sz w:val="28"/>
      <w:szCs w:val="28"/>
    </w:rPr>
  </w:style>
  <w:style w:type="paragraph" w:customStyle="1" w:styleId="CharChar6CharChar2">
    <w:name w:val="Char Char6 Char Char2"/>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afffffffffff0">
    <w:name w:val="+列表编号"/>
    <w:basedOn w:val="a"/>
    <w:qFormat/>
    <w:pPr>
      <w:tabs>
        <w:tab w:val="center" w:pos="525"/>
        <w:tab w:val="right" w:pos="8400"/>
      </w:tabs>
      <w:spacing w:before="120" w:after="120"/>
      <w:jc w:val="center"/>
    </w:pPr>
    <w:rPr>
      <w:rFonts w:ascii="Times New Roman" w:eastAsia="宋体" w:hAnsi="Times New Roman" w:cs="Times New Roman"/>
      <w:b/>
      <w:sz w:val="24"/>
      <w:szCs w:val="28"/>
    </w:rPr>
  </w:style>
  <w:style w:type="paragraph" w:customStyle="1" w:styleId="afffffffffff1">
    <w:name w:val="正文图五"/>
    <w:basedOn w:val="a"/>
    <w:qFormat/>
    <w:pPr>
      <w:adjustRightInd w:val="0"/>
      <w:snapToGrid w:val="0"/>
      <w:jc w:val="center"/>
    </w:pPr>
    <w:rPr>
      <w:rFonts w:ascii="Times New Roman" w:eastAsia="仿宋_GB2312" w:hAnsi="Times New Roman" w:cs="Times New Roman"/>
      <w:spacing w:val="6"/>
      <w:szCs w:val="20"/>
    </w:rPr>
  </w:style>
  <w:style w:type="paragraph" w:customStyle="1" w:styleId="y">
    <w:name w:val="y表格"/>
    <w:basedOn w:val="af5"/>
    <w:qFormat/>
    <w:pPr>
      <w:widowControl/>
      <w:adjustRightInd w:val="0"/>
      <w:snapToGrid w:val="0"/>
      <w:spacing w:after="0"/>
      <w:jc w:val="center"/>
      <w:textAlignment w:val="baseline"/>
    </w:pPr>
    <w:rPr>
      <w:rFonts w:ascii="宋体" w:eastAsia="宋体" w:hAnsi="宋体" w:cs="Times New Roman" w:hint="eastAsia"/>
      <w:kern w:val="0"/>
      <w:sz w:val="24"/>
      <w:szCs w:val="20"/>
    </w:rPr>
  </w:style>
  <w:style w:type="paragraph" w:customStyle="1" w:styleId="zhengwen">
    <w:name w:val="zhengwen"/>
    <w:basedOn w:val="a"/>
    <w:qFormat/>
    <w:pPr>
      <w:spacing w:before="60" w:line="460" w:lineRule="exact"/>
      <w:ind w:firstLineChars="200" w:firstLine="480"/>
    </w:pPr>
    <w:rPr>
      <w:rFonts w:ascii="Times New Roman" w:eastAsia="宋体" w:hAnsi="Times New Roman" w:cs="Times New Roman"/>
      <w:color w:val="0000FF"/>
      <w:sz w:val="24"/>
      <w:szCs w:val="24"/>
    </w:rPr>
  </w:style>
  <w:style w:type="paragraph" w:customStyle="1" w:styleId="1fffd">
    <w:name w:val="正文(1)"/>
    <w:basedOn w:val="a"/>
    <w:qFormat/>
    <w:pPr>
      <w:adjustRightInd w:val="0"/>
      <w:snapToGrid w:val="0"/>
      <w:spacing w:before="120" w:line="300" w:lineRule="auto"/>
      <w:ind w:firstLineChars="200" w:firstLine="480"/>
    </w:pPr>
    <w:rPr>
      <w:rFonts w:ascii="黑体" w:eastAsia="黑体" w:hAnsi="宋体" w:cs="Times New Roman"/>
      <w:b/>
      <w:color w:val="339966"/>
      <w:kern w:val="0"/>
      <w:sz w:val="24"/>
      <w:szCs w:val="24"/>
    </w:rPr>
  </w:style>
  <w:style w:type="paragraph" w:customStyle="1" w:styleId="1fffe">
    <w:name w:val="报告标题1"/>
    <w:basedOn w:val="1"/>
    <w:qFormat/>
    <w:pPr>
      <w:keepNext/>
      <w:keepLines/>
      <w:tabs>
        <w:tab w:val="left" w:pos="425"/>
      </w:tabs>
      <w:spacing w:before="200" w:after="200" w:line="360" w:lineRule="auto"/>
      <w:ind w:left="0"/>
      <w:jc w:val="both"/>
    </w:pPr>
    <w:rPr>
      <w:rFonts w:eastAsia="宋体" w:cs="Times New Roman"/>
      <w:kern w:val="44"/>
      <w:sz w:val="44"/>
      <w:szCs w:val="44"/>
      <w:lang w:eastAsia="zh-CN"/>
    </w:rPr>
  </w:style>
  <w:style w:type="paragraph" w:customStyle="1" w:styleId="afffffffffff2">
    <w:name w:val="正文图小四"/>
    <w:basedOn w:val="a"/>
    <w:qFormat/>
    <w:pPr>
      <w:adjustRightInd w:val="0"/>
      <w:snapToGrid w:val="0"/>
      <w:jc w:val="center"/>
      <w:textAlignment w:val="baseline"/>
    </w:pPr>
    <w:rPr>
      <w:rFonts w:ascii="宋体" w:eastAsia="宋体" w:hAnsi="Times New Roman" w:cs="Times New Roman"/>
      <w:kern w:val="0"/>
      <w:sz w:val="24"/>
      <w:szCs w:val="24"/>
    </w:rPr>
  </w:style>
  <w:style w:type="paragraph" w:customStyle="1" w:styleId="afffffffffff3">
    <w:name w:val="图标题"/>
    <w:basedOn w:val="a"/>
    <w:qFormat/>
    <w:pPr>
      <w:framePr w:hSpace="181" w:vSpace="181" w:wrap="around" w:vAnchor="text" w:hAnchor="text" w:y="1"/>
      <w:spacing w:line="260" w:lineRule="exact"/>
      <w:jc w:val="center"/>
    </w:pPr>
    <w:rPr>
      <w:rFonts w:ascii="Times New Roman" w:eastAsia="宋体" w:hAnsi="Times New Roman" w:cs="Times New Roman"/>
      <w:b/>
      <w:bCs/>
      <w:sz w:val="24"/>
      <w:szCs w:val="20"/>
    </w:rPr>
  </w:style>
  <w:style w:type="paragraph" w:customStyle="1" w:styleId="2120">
    <w:name w:val="正文文本缩进 212"/>
    <w:basedOn w:val="a"/>
    <w:qFormat/>
    <w:pPr>
      <w:adjustRightInd w:val="0"/>
      <w:spacing w:line="480" w:lineRule="atLeast"/>
      <w:ind w:firstLine="630"/>
      <w:textAlignment w:val="baseline"/>
    </w:pPr>
    <w:rPr>
      <w:rFonts w:ascii="宋体" w:eastAsia="宋体" w:hAnsi="Times New Roman" w:cs="Times New Roman"/>
      <w:sz w:val="28"/>
      <w:szCs w:val="20"/>
    </w:rPr>
  </w:style>
  <w:style w:type="paragraph" w:customStyle="1" w:styleId="8CharChar">
    <w:name w:val="目录 8 Char Char"/>
    <w:basedOn w:val="a"/>
    <w:next w:val="a"/>
    <w:qFormat/>
    <w:pPr>
      <w:spacing w:line="351" w:lineRule="atLeast"/>
      <w:ind w:left="1468" w:firstLine="419"/>
      <w:jc w:val="left"/>
    </w:pPr>
    <w:rPr>
      <w:rFonts w:ascii="Times New Roman" w:eastAsia="宋体" w:hAnsi="Times New Roman" w:cs="Times New Roman" w:hint="eastAsia"/>
      <w:szCs w:val="20"/>
    </w:rPr>
  </w:style>
  <w:style w:type="paragraph" w:customStyle="1" w:styleId="a90">
    <w:name w:val="a9"/>
    <w:basedOn w:val="a"/>
    <w:qFormat/>
    <w:pPr>
      <w:widowControl/>
      <w:spacing w:before="100" w:beforeAutospacing="1" w:after="100" w:afterAutospacing="1"/>
      <w:jc w:val="left"/>
    </w:pPr>
    <w:rPr>
      <w:rFonts w:ascii="宋体" w:eastAsia="宋体" w:hAnsi="宋体" w:cs="Times New Roman" w:hint="eastAsia"/>
      <w:kern w:val="0"/>
      <w:sz w:val="18"/>
      <w:szCs w:val="18"/>
    </w:rPr>
  </w:style>
  <w:style w:type="paragraph" w:customStyle="1" w:styleId="1ffff">
    <w:name w:val="段落1"/>
    <w:basedOn w:val="a"/>
    <w:qFormat/>
    <w:pPr>
      <w:adjustRightInd w:val="0"/>
      <w:spacing w:line="500" w:lineRule="exact"/>
      <w:ind w:firstLineChars="200" w:firstLine="592"/>
      <w:textAlignment w:val="baseline"/>
    </w:pPr>
    <w:rPr>
      <w:rFonts w:ascii="Times New Roman" w:eastAsia="宋体" w:hAnsi="Times New Roman" w:cs="Times New Roman"/>
      <w:spacing w:val="8"/>
      <w:sz w:val="28"/>
      <w:szCs w:val="20"/>
    </w:rPr>
  </w:style>
  <w:style w:type="paragraph" w:customStyle="1" w:styleId="afffffffffff4">
    <w:name w:val="三级条标题"/>
    <w:basedOn w:val="afffffffffa"/>
    <w:next w:val="a"/>
    <w:qFormat/>
    <w:pPr>
      <w:outlineLvl w:val="4"/>
    </w:pPr>
  </w:style>
  <w:style w:type="paragraph" w:customStyle="1" w:styleId="1115">
    <w:name w:val="样式 标题 1 + 段前: 1 行 段后: 1.5 行"/>
    <w:basedOn w:val="1"/>
    <w:qFormat/>
    <w:pPr>
      <w:keepNext/>
      <w:keepLines/>
      <w:tabs>
        <w:tab w:val="left" w:pos="425"/>
        <w:tab w:val="left" w:pos="432"/>
      </w:tabs>
      <w:adjustRightInd w:val="0"/>
      <w:snapToGrid w:val="0"/>
      <w:spacing w:before="0" w:afterLines="150" w:after="468" w:line="360" w:lineRule="auto"/>
      <w:ind w:left="432" w:hanging="432"/>
      <w:jc w:val="both"/>
    </w:pPr>
    <w:rPr>
      <w:rFonts w:ascii="仿宋_GB2312" w:eastAsia="仿宋_GB2312" w:hAnsi="宋体" w:cs="宋体"/>
      <w:kern w:val="44"/>
      <w:sz w:val="32"/>
      <w:szCs w:val="32"/>
      <w:lang w:eastAsia="zh-CN"/>
    </w:rPr>
  </w:style>
  <w:style w:type="paragraph" w:customStyle="1" w:styleId="afffffffffff5">
    <w:name w:val="环评样式"/>
    <w:basedOn w:val="a"/>
    <w:qFormat/>
    <w:pPr>
      <w:adjustRightInd w:val="0"/>
      <w:snapToGrid w:val="0"/>
      <w:spacing w:line="360" w:lineRule="auto"/>
      <w:textAlignment w:val="baseline"/>
      <w:outlineLvl w:val="0"/>
    </w:pPr>
    <w:rPr>
      <w:rFonts w:ascii="仿宋_GB2312" w:eastAsia="仿宋_GB2312" w:hAnsi="Alaska" w:cs="Times New Roman"/>
      <w:kern w:val="0"/>
      <w:sz w:val="30"/>
      <w:szCs w:val="20"/>
    </w:rPr>
  </w:style>
  <w:style w:type="paragraph" w:customStyle="1" w:styleId="CharCharCharCharCharCharCharCharCharCharCharCharCharCharCharCharChar">
    <w:name w:val="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tt1">
    <w:name w:val="tt1"/>
    <w:basedOn w:val="a"/>
    <w:qFormat/>
    <w:pPr>
      <w:widowControl/>
      <w:spacing w:before="100" w:beforeAutospacing="1" w:after="100" w:afterAutospacing="1"/>
      <w:jc w:val="left"/>
    </w:pPr>
    <w:rPr>
      <w:rFonts w:ascii="Arial Unicode MS" w:eastAsia="Arial Unicode MS" w:hAnsi="Arial Unicode MS" w:cs="Times New Roman"/>
      <w:kern w:val="0"/>
      <w:sz w:val="24"/>
      <w:szCs w:val="24"/>
    </w:rPr>
  </w:style>
  <w:style w:type="paragraph" w:customStyle="1" w:styleId="1ffff0">
    <w:name w:val="表格内容标题1"/>
    <w:basedOn w:val="afb"/>
    <w:qFormat/>
    <w:pPr>
      <w:widowControl w:val="0"/>
      <w:jc w:val="center"/>
    </w:pPr>
    <w:rPr>
      <w:rFonts w:ascii="Times New Roman" w:hAnsi="宋体" w:cs="宋体"/>
      <w:b/>
      <w:bCs/>
      <w:kern w:val="2"/>
      <w:sz w:val="18"/>
      <w:szCs w:val="20"/>
    </w:rPr>
  </w:style>
  <w:style w:type="paragraph" w:customStyle="1" w:styleId="3110">
    <w:name w:val="目录 311"/>
    <w:basedOn w:val="a"/>
    <w:next w:val="a"/>
    <w:uiPriority w:val="39"/>
    <w:qFormat/>
    <w:pPr>
      <w:ind w:left="210"/>
      <w:jc w:val="left"/>
    </w:pPr>
    <w:rPr>
      <w:rFonts w:ascii="Times New Roman" w:eastAsia="宋体" w:hAnsi="Times New Roman" w:cs="Times New Roman"/>
      <w:sz w:val="20"/>
      <w:szCs w:val="20"/>
    </w:rPr>
  </w:style>
  <w:style w:type="paragraph" w:customStyle="1" w:styleId="afffffffffff6">
    <w:name w:val="综述"/>
    <w:qFormat/>
    <w:pPr>
      <w:spacing w:beforeLines="50" w:before="50" w:line="440" w:lineRule="exact"/>
      <w:ind w:firstLineChars="200" w:firstLine="200"/>
    </w:pPr>
    <w:rPr>
      <w:rFonts w:ascii="Times New Roman" w:eastAsia="宋体" w:hAnsi="Times New Roman" w:cs="MS Mincho"/>
      <w:b/>
      <w:kern w:val="2"/>
      <w:sz w:val="24"/>
      <w:szCs w:val="24"/>
    </w:rPr>
  </w:style>
  <w:style w:type="paragraph" w:customStyle="1" w:styleId="afffffffffff7">
    <w:name w:val="表内字"/>
    <w:qFormat/>
    <w:pPr>
      <w:jc w:val="center"/>
    </w:pPr>
    <w:rPr>
      <w:rFonts w:ascii="Arial" w:eastAsia="楷体_GB2312" w:hAnsi="Arial" w:cs="Times New Roman"/>
      <w:sz w:val="21"/>
    </w:rPr>
  </w:style>
  <w:style w:type="paragraph" w:customStyle="1" w:styleId="CharCharCharChar6">
    <w:name w:val="Char Char Char Char6"/>
    <w:basedOn w:val="a"/>
    <w:qFormat/>
    <w:pPr>
      <w:tabs>
        <w:tab w:val="left" w:pos="720"/>
        <w:tab w:val="left" w:pos="916"/>
      </w:tabs>
    </w:pPr>
    <w:rPr>
      <w:rFonts w:ascii="Times New Roman" w:eastAsia="宋体" w:hAnsi="Times New Roman" w:cs="Times New Roman"/>
      <w:sz w:val="24"/>
      <w:szCs w:val="24"/>
    </w:rPr>
  </w:style>
  <w:style w:type="paragraph" w:customStyle="1" w:styleId="CharCharCharCharCharCharCharCharChar1">
    <w:name w:val="Char Char Char Char Char Char Char Char Char1"/>
    <w:basedOn w:val="a"/>
    <w:qFormat/>
    <w:rPr>
      <w:rFonts w:ascii="Times New Roman" w:eastAsia="宋体" w:hAnsi="Times New Roman" w:cs="Times New Roman"/>
      <w:szCs w:val="24"/>
    </w:rPr>
  </w:style>
  <w:style w:type="paragraph" w:customStyle="1" w:styleId="font22">
    <w:name w:val="font22"/>
    <w:basedOn w:val="a"/>
    <w:qFormat/>
    <w:pPr>
      <w:widowControl/>
      <w:spacing w:before="100" w:beforeAutospacing="1" w:after="100" w:afterAutospacing="1"/>
      <w:jc w:val="left"/>
    </w:pPr>
    <w:rPr>
      <w:rFonts w:ascii="宋体" w:eastAsia="宋体" w:hAnsi="宋体" w:cs="宋体"/>
      <w:color w:val="339966"/>
      <w:kern w:val="0"/>
      <w:sz w:val="18"/>
      <w:szCs w:val="18"/>
    </w:rPr>
  </w:style>
  <w:style w:type="paragraph" w:customStyle="1" w:styleId="2fff3">
    <w:name w:val="样式 标题 2 + 宋体 四号"/>
    <w:basedOn w:val="2"/>
    <w:qFormat/>
    <w:pPr>
      <w:tabs>
        <w:tab w:val="left" w:pos="780"/>
        <w:tab w:val="left" w:pos="1419"/>
      </w:tabs>
      <w:spacing w:before="0" w:after="0" w:line="500" w:lineRule="exact"/>
      <w:ind w:left="780" w:hanging="360"/>
    </w:pPr>
    <w:rPr>
      <w:rFonts w:ascii="宋体" w:eastAsia="宋体" w:hAnsi="宋体" w:cs="Times New Roman"/>
      <w:sz w:val="28"/>
      <w:szCs w:val="28"/>
    </w:rPr>
  </w:style>
  <w:style w:type="paragraph" w:customStyle="1" w:styleId="ParaCharCharChar1CharCharCharCharCharCharCharCharCharChar">
    <w:name w:val="默认段落字体 Para Char Char Char1 Char Char Char Char Char Char Char Char Char Char"/>
    <w:basedOn w:val="a"/>
    <w:semiHidden/>
    <w:qFormat/>
    <w:rPr>
      <w:rFonts w:ascii="Times New Roman" w:eastAsia="宋体" w:hAnsi="Times New Roman" w:cs="Times New Roman"/>
      <w:sz w:val="28"/>
      <w:szCs w:val="24"/>
    </w:rPr>
  </w:style>
  <w:style w:type="paragraph" w:customStyle="1" w:styleId="xl50">
    <w:name w:val="xl50"/>
    <w:basedOn w:val="a"/>
    <w:qFormat/>
    <w:pPr>
      <w:widowControl/>
      <w:pBdr>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2CharCharCharCharCharCharChar">
    <w:name w:val="2 Char Char Char Char Char Char Char"/>
    <w:basedOn w:val="a"/>
    <w:qFormat/>
    <w:rPr>
      <w:rFonts w:ascii="Times New Roman" w:eastAsia="宋体" w:hAnsi="Times New Roman" w:cs="Times New Roman"/>
      <w:szCs w:val="24"/>
    </w:rPr>
  </w:style>
  <w:style w:type="paragraph" w:customStyle="1" w:styleId="116">
    <w:name w:val="样式11"/>
    <w:basedOn w:val="aff5"/>
    <w:qFormat/>
    <w:pPr>
      <w:widowControl/>
    </w:pPr>
    <w:rPr>
      <w:rFonts w:ascii="Times New Roman" w:eastAsia="宋体" w:hAnsi="Times New Roman" w:cs="Times New Roman"/>
    </w:rPr>
  </w:style>
  <w:style w:type="paragraph" w:customStyle="1" w:styleId="xl73">
    <w:name w:val="xl73"/>
    <w:basedOn w:val="a"/>
    <w:qFormat/>
    <w:pPr>
      <w:widowControl/>
      <w:spacing w:before="100" w:beforeAutospacing="1" w:after="100" w:afterAutospacing="1"/>
      <w:jc w:val="left"/>
    </w:pPr>
    <w:rPr>
      <w:rFonts w:ascii="Arial Unicode MS" w:eastAsia="宋体" w:hAnsi="Arial Unicode MS" w:cs="Times New Roman"/>
      <w:kern w:val="0"/>
      <w:szCs w:val="24"/>
    </w:rPr>
  </w:style>
  <w:style w:type="paragraph" w:customStyle="1" w:styleId="afffffffffff8">
    <w:name w:val="流程图"/>
    <w:basedOn w:val="a"/>
    <w:qFormat/>
    <w:rPr>
      <w:rFonts w:ascii="Times New Roman" w:eastAsia="宋体" w:hAnsi="Times New Roman" w:cs="Times New Roman"/>
      <w:szCs w:val="18"/>
    </w:rPr>
  </w:style>
  <w:style w:type="paragraph" w:customStyle="1" w:styleId="Char2CharCharChar5">
    <w:name w:val="Char2 Char Char Char5"/>
    <w:basedOn w:val="a"/>
    <w:qFormat/>
    <w:rPr>
      <w:rFonts w:ascii="Times New Roman" w:eastAsia="宋体" w:hAnsi="Times New Roman" w:cs="Times New Roman"/>
      <w:sz w:val="24"/>
      <w:szCs w:val="24"/>
    </w:rPr>
  </w:style>
  <w:style w:type="paragraph" w:customStyle="1" w:styleId="CharChar2CharCharCharCharCharChar2">
    <w:name w:val="Char Char2 Char Char Char Char Char Char2"/>
    <w:basedOn w:val="a"/>
    <w:qFormat/>
    <w:pPr>
      <w:spacing w:line="480" w:lineRule="exact"/>
    </w:pPr>
    <w:rPr>
      <w:rFonts w:ascii="Times New Roman" w:eastAsia="宋体" w:hAnsi="Times New Roman" w:cs="Times New Roman"/>
      <w:sz w:val="22"/>
      <w:szCs w:val="24"/>
    </w:rPr>
  </w:style>
  <w:style w:type="paragraph" w:customStyle="1" w:styleId="afffffffffff9">
    <w:name w:val="小节标题"/>
    <w:basedOn w:val="a"/>
    <w:next w:val="a"/>
    <w:semiHidden/>
    <w:qFormat/>
    <w:pPr>
      <w:widowControl/>
      <w:spacing w:before="175" w:after="102" w:line="782" w:lineRule="atLeast"/>
    </w:pPr>
    <w:rPr>
      <w:rFonts w:ascii="宋体" w:eastAsia="黑体" w:hAnsi="Times New Roman" w:cs="Times New Roman"/>
      <w:color w:val="000000"/>
      <w:kern w:val="0"/>
      <w:szCs w:val="20"/>
    </w:rPr>
  </w:style>
  <w:style w:type="paragraph" w:customStyle="1" w:styleId="Char2CharCharChar1">
    <w:name w:val="Char2 Char Char Char1"/>
    <w:basedOn w:val="a"/>
    <w:qFormat/>
    <w:rPr>
      <w:rFonts w:ascii="Times New Roman" w:eastAsia="宋体" w:hAnsi="Times New Roman" w:cs="Times New Roman"/>
      <w:sz w:val="24"/>
      <w:szCs w:val="24"/>
    </w:rPr>
  </w:style>
  <w:style w:type="paragraph" w:customStyle="1" w:styleId="CharCharCharCharCharCharCharCharCharCharCharCharCharCharCharCharCharCharChar">
    <w:name w:val="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ab0">
    <w:name w:val="标题ab"/>
    <w:basedOn w:val="a"/>
    <w:next w:val="afff0"/>
    <w:qFormat/>
    <w:pPr>
      <w:spacing w:line="1500" w:lineRule="exact"/>
      <w:jc w:val="center"/>
    </w:pPr>
    <w:rPr>
      <w:rFonts w:ascii="宋体" w:eastAsia="宋体" w:hAnsi="宋体" w:cs="Times New Roman"/>
      <w:b/>
      <w:color w:val="000000"/>
      <w:sz w:val="44"/>
      <w:szCs w:val="24"/>
    </w:rPr>
  </w:style>
  <w:style w:type="paragraph" w:customStyle="1" w:styleId="31113Char3CharCharCharCharCharCharCh">
    <w:name w:val="样式 标题 3条标题1.1.1标题 3 Char标题 3 Char Char Char Char Char Char Ch..."/>
    <w:basedOn w:val="3"/>
    <w:qFormat/>
    <w:pPr>
      <w:widowControl w:val="0"/>
      <w:tabs>
        <w:tab w:val="left" w:pos="1418"/>
      </w:tabs>
      <w:spacing w:before="0" w:after="0" w:line="360" w:lineRule="auto"/>
      <w:jc w:val="both"/>
    </w:pPr>
    <w:rPr>
      <w:rFonts w:ascii="宋体" w:hAnsi="宋体" w:cs="宋体"/>
      <w:color w:val="000000"/>
      <w:kern w:val="2"/>
      <w:sz w:val="24"/>
      <w:szCs w:val="20"/>
    </w:rPr>
  </w:style>
  <w:style w:type="paragraph" w:customStyle="1" w:styleId="ParaCharCharCharCharCharCharCharCharCharCharCharCharChar1">
    <w:name w:val="默认段落字体 Para Char Char Char Char Char Char Char Char Char Char Char Char Char1"/>
    <w:basedOn w:val="a"/>
    <w:qFormat/>
    <w:rPr>
      <w:rFonts w:ascii="Times New Roman" w:eastAsia="宋体" w:hAnsi="Times New Roman" w:cs="Times New Roman"/>
      <w:sz w:val="24"/>
      <w:szCs w:val="24"/>
    </w:rPr>
  </w:style>
  <w:style w:type="paragraph" w:customStyle="1" w:styleId="CharCharCharCharCharCharCharCharCharCharCharCharCharCharCharCharCharCharCharCharCharCharCharCharCharChar1">
    <w:name w:val="Char Char Char Char Char Char Char Char Char Char Char Char Char Char Char Char Char Char Char Char Char Char Char Char Char Char1"/>
    <w:basedOn w:val="a"/>
    <w:qFormat/>
    <w:rPr>
      <w:rFonts w:ascii="Times New Roman" w:eastAsia="宋体" w:hAnsi="Times New Roman" w:cs="Times New Roman"/>
      <w:sz w:val="24"/>
      <w:szCs w:val="24"/>
    </w:rPr>
  </w:style>
  <w:style w:type="paragraph" w:customStyle="1" w:styleId="ParaCharCharCharCharCharCharCharCharCharCharCharCharChar1CharCharCharCharCharChar">
    <w:name w:val="默认段落字体 Para Char Char Char Char Char Char Char Char Char Char Char Char Char1 Char Char Char Char Char Char"/>
    <w:basedOn w:val="a"/>
    <w:qFormat/>
    <w:rPr>
      <w:rFonts w:ascii="Times New Roman" w:eastAsia="宋体" w:hAnsi="Times New Roman" w:cs="Times New Roman"/>
      <w:sz w:val="24"/>
      <w:szCs w:val="24"/>
    </w:rPr>
  </w:style>
  <w:style w:type="paragraph" w:customStyle="1" w:styleId="151">
    <w:name w:val="样式 宋体 红色 行距: 1.5 倍行距"/>
    <w:basedOn w:val="a"/>
    <w:qFormat/>
    <w:pPr>
      <w:adjustRightInd w:val="0"/>
      <w:snapToGrid w:val="0"/>
      <w:spacing w:line="360" w:lineRule="auto"/>
      <w:ind w:firstLineChars="200" w:firstLine="560"/>
    </w:pPr>
    <w:rPr>
      <w:rFonts w:ascii="宋体" w:eastAsia="宋体" w:hAnsi="宋体" w:cs="宋体"/>
      <w:color w:val="FF0000"/>
      <w:sz w:val="24"/>
      <w:szCs w:val="20"/>
    </w:rPr>
  </w:style>
  <w:style w:type="paragraph" w:customStyle="1" w:styleId="CharChar6CharChar">
    <w:name w:val="Char Char6 Char Char"/>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10">
    <w:name w:val="文-1"/>
    <w:basedOn w:val="a"/>
    <w:semiHidden/>
    <w:qFormat/>
    <w:pPr>
      <w:spacing w:before="120"/>
      <w:ind w:left="851" w:firstLine="482"/>
    </w:pPr>
    <w:rPr>
      <w:rFonts w:ascii="Times New Roman" w:eastAsia="宋体" w:hAnsi="Times New Roman" w:cs="Times New Roman"/>
      <w:sz w:val="24"/>
      <w:szCs w:val="20"/>
    </w:rPr>
  </w:style>
  <w:style w:type="paragraph" w:customStyle="1" w:styleId="xl71">
    <w:name w:val="xl71"/>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Char340">
    <w:name w:val="Char34"/>
    <w:basedOn w:val="a"/>
    <w:qFormat/>
    <w:rPr>
      <w:rFonts w:ascii="Times New Roman" w:eastAsia="宋体" w:hAnsi="Times New Roman" w:cs="Times New Roman"/>
      <w:sz w:val="24"/>
      <w:szCs w:val="24"/>
    </w:rPr>
  </w:style>
  <w:style w:type="paragraph" w:customStyle="1" w:styleId="afffffffffffa">
    <w:name w:val="注释"/>
    <w:basedOn w:val="a"/>
    <w:qFormat/>
    <w:pPr>
      <w:adjustRightInd w:val="0"/>
      <w:snapToGrid w:val="0"/>
      <w:spacing w:line="360" w:lineRule="auto"/>
      <w:textAlignment w:val="baseline"/>
    </w:pPr>
    <w:rPr>
      <w:rFonts w:ascii="宋体" w:eastAsia="宋体" w:hAnsi="Times New Roman" w:cs="Times New Roman"/>
      <w:spacing w:val="4"/>
      <w:kern w:val="0"/>
      <w:szCs w:val="24"/>
    </w:rPr>
  </w:style>
  <w:style w:type="paragraph" w:customStyle="1" w:styleId="Char2CharCharChar">
    <w:name w:val="Char2 Char Char Char"/>
    <w:basedOn w:val="a"/>
    <w:qFormat/>
    <w:rPr>
      <w:rFonts w:ascii="Times New Roman" w:eastAsia="宋体" w:hAnsi="Times New Roman" w:cs="Times New Roman"/>
      <w:sz w:val="24"/>
      <w:szCs w:val="24"/>
    </w:rPr>
  </w:style>
  <w:style w:type="paragraph" w:customStyle="1" w:styleId="BodyTextFirstIndent3">
    <w:name w:val="Body Text First Indent3"/>
    <w:basedOn w:val="af5"/>
    <w:qFormat/>
    <w:pPr>
      <w:adjustRightInd w:val="0"/>
      <w:spacing w:after="0" w:line="312" w:lineRule="auto"/>
      <w:ind w:firstLine="567"/>
      <w:textAlignment w:val="baseline"/>
    </w:pPr>
    <w:rPr>
      <w:rFonts w:ascii="Times New Roman" w:eastAsia="宋体" w:hAnsi="Times New Roman" w:cs="Times New Roman"/>
      <w:kern w:val="0"/>
      <w:sz w:val="28"/>
      <w:szCs w:val="20"/>
    </w:rPr>
  </w:style>
  <w:style w:type="paragraph" w:customStyle="1" w:styleId="afffffffffffb">
    <w:name w:val="封面标准名称"/>
    <w:qFormat/>
    <w:pPr>
      <w:framePr w:w="9638" w:h="6917" w:hRule="exact" w:wrap="around" w:hAnchor="margin" w:xAlign="center" w:y="5955" w:anchorLock="1"/>
      <w:widowControl w:val="0"/>
      <w:spacing w:line="680" w:lineRule="exact"/>
      <w:jc w:val="center"/>
      <w:textAlignment w:val="center"/>
    </w:pPr>
    <w:rPr>
      <w:rFonts w:ascii="黑体" w:eastAsia="黑体" w:hAnsi="Times New Roman" w:cs="Times New Roman"/>
      <w:sz w:val="52"/>
    </w:rPr>
  </w:style>
  <w:style w:type="paragraph" w:customStyle="1" w:styleId="p15">
    <w:name w:val="p15"/>
    <w:basedOn w:val="a"/>
    <w:qFormat/>
    <w:pPr>
      <w:widowControl/>
      <w:ind w:firstLine="560"/>
    </w:pPr>
    <w:rPr>
      <w:rFonts w:ascii="Times New Roman" w:eastAsia="宋体" w:hAnsi="Times New Roman" w:cs="Times New Roman"/>
      <w:kern w:val="0"/>
      <w:sz w:val="28"/>
      <w:szCs w:val="28"/>
    </w:rPr>
  </w:style>
  <w:style w:type="paragraph" w:customStyle="1" w:styleId="2fff4">
    <w:name w:val="正文文字缩进 2"/>
    <w:basedOn w:val="a"/>
    <w:qFormat/>
    <w:pPr>
      <w:autoSpaceDE w:val="0"/>
      <w:autoSpaceDN w:val="0"/>
      <w:adjustRightInd w:val="0"/>
      <w:spacing w:line="400" w:lineRule="exact"/>
      <w:ind w:firstLine="570"/>
      <w:jc w:val="left"/>
    </w:pPr>
    <w:rPr>
      <w:rFonts w:ascii="宋体" w:eastAsia="宋体" w:hAnsi="Times New Roman" w:cs="Times New Roman"/>
      <w:color w:val="0000FF"/>
      <w:kern w:val="0"/>
      <w:sz w:val="24"/>
      <w:szCs w:val="20"/>
    </w:rPr>
  </w:style>
  <w:style w:type="paragraph" w:customStyle="1" w:styleId="font16">
    <w:name w:val="font16"/>
    <w:basedOn w:val="a"/>
    <w:qFormat/>
    <w:pPr>
      <w:widowControl/>
      <w:spacing w:before="100" w:beforeAutospacing="1" w:after="100" w:afterAutospacing="1"/>
      <w:jc w:val="left"/>
    </w:pPr>
    <w:rPr>
      <w:rFonts w:ascii="宋体" w:eastAsia="宋体" w:hAnsi="宋体" w:cs="宋体"/>
      <w:color w:val="FF6600"/>
      <w:kern w:val="0"/>
      <w:sz w:val="18"/>
      <w:szCs w:val="18"/>
    </w:rPr>
  </w:style>
  <w:style w:type="paragraph" w:customStyle="1" w:styleId="MG">
    <w:name w:val="MG"/>
    <w:basedOn w:val="1"/>
    <w:qFormat/>
    <w:pPr>
      <w:keepNext/>
      <w:widowControl/>
      <w:tabs>
        <w:tab w:val="left" w:pos="425"/>
        <w:tab w:val="left" w:pos="2260"/>
        <w:tab w:val="left" w:pos="2820"/>
        <w:tab w:val="left" w:pos="3420"/>
      </w:tabs>
      <w:adjustRightInd w:val="0"/>
      <w:snapToGrid w:val="0"/>
      <w:spacing w:before="440"/>
      <w:ind w:left="851" w:right="-28" w:hanging="851"/>
      <w:jc w:val="both"/>
    </w:pPr>
    <w:rPr>
      <w:rFonts w:ascii="Arial" w:eastAsia="宋体" w:hAnsi="Arial" w:cs="Times New Roman"/>
      <w:bCs w:val="0"/>
      <w:sz w:val="22"/>
      <w:szCs w:val="20"/>
      <w:lang w:val="en-GB" w:eastAsia="zh-CN"/>
    </w:rPr>
  </w:style>
  <w:style w:type="paragraph" w:customStyle="1" w:styleId="2111">
    <w:name w:val="目录 211"/>
    <w:basedOn w:val="a"/>
    <w:next w:val="a"/>
    <w:uiPriority w:val="39"/>
    <w:qFormat/>
    <w:pPr>
      <w:tabs>
        <w:tab w:val="right" w:leader="dot" w:pos="9344"/>
      </w:tabs>
      <w:spacing w:before="120" w:line="380" w:lineRule="exact"/>
      <w:jc w:val="left"/>
    </w:pPr>
    <w:rPr>
      <w:rFonts w:ascii="Times New Roman" w:eastAsia="宋体" w:hAnsi="Times New Roman" w:cs="Times New Roman"/>
      <w:bCs/>
      <w:sz w:val="24"/>
      <w:szCs w:val="24"/>
    </w:rPr>
  </w:style>
  <w:style w:type="paragraph" w:customStyle="1" w:styleId="2fff5">
    <w:name w:val="首2页正文"/>
    <w:basedOn w:val="a"/>
    <w:qFormat/>
    <w:pPr>
      <w:spacing w:line="360" w:lineRule="exact"/>
      <w:ind w:firstLineChars="55" w:firstLine="199"/>
      <w:jc w:val="center"/>
    </w:pPr>
    <w:rPr>
      <w:rFonts w:ascii="楷体" w:eastAsia="楷体" w:hAnsi="楷体" w:cs="Times New Roman"/>
      <w:b/>
      <w:bCs/>
      <w:sz w:val="36"/>
      <w:szCs w:val="36"/>
    </w:rPr>
  </w:style>
  <w:style w:type="paragraph" w:customStyle="1" w:styleId="p19">
    <w:name w:val="p19"/>
    <w:basedOn w:val="a"/>
    <w:qFormat/>
    <w:pPr>
      <w:widowControl/>
      <w:spacing w:line="320" w:lineRule="atLeast"/>
      <w:jc w:val="center"/>
    </w:pPr>
    <w:rPr>
      <w:rFonts w:ascii="宋体" w:eastAsia="宋体" w:hAnsi="宋体" w:cs="宋体"/>
      <w:kern w:val="0"/>
      <w:szCs w:val="21"/>
    </w:rPr>
  </w:style>
  <w:style w:type="paragraph" w:customStyle="1" w:styleId="msolistparagraph0">
    <w:name w:val="msolistparagraph"/>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4-001001">
    <w:name w:val="样式 标题 4 + 黑色 左侧:  -0.01 厘米 首行缩进:  0.01 厘米"/>
    <w:basedOn w:val="41"/>
    <w:qFormat/>
    <w:pPr>
      <w:keepNext/>
      <w:keepLines/>
      <w:tabs>
        <w:tab w:val="left" w:pos="0"/>
        <w:tab w:val="left" w:pos="864"/>
        <w:tab w:val="left" w:pos="1080"/>
        <w:tab w:val="left" w:pos="1984"/>
      </w:tabs>
      <w:adjustRightInd w:val="0"/>
      <w:snapToGrid w:val="0"/>
      <w:spacing w:before="0" w:line="324" w:lineRule="auto"/>
      <w:ind w:left="864" w:hanging="864"/>
      <w:jc w:val="both"/>
    </w:pPr>
    <w:rPr>
      <w:rFonts w:ascii="仿宋_GB2312" w:eastAsia="仿宋_GB2312" w:cs="宋体"/>
      <w:color w:val="000000"/>
      <w:kern w:val="2"/>
      <w:szCs w:val="20"/>
      <w:lang w:val="zh-CN" w:eastAsia="zh-CN"/>
    </w:rPr>
  </w:style>
  <w:style w:type="paragraph" w:customStyle="1" w:styleId="Char2e">
    <w:name w:val="正文缩进 Char2"/>
    <w:basedOn w:val="a"/>
    <w:next w:val="a0"/>
    <w:qFormat/>
    <w:pPr>
      <w:widowControl/>
      <w:ind w:firstLineChars="200" w:firstLine="420"/>
      <w:jc w:val="left"/>
    </w:pPr>
    <w:rPr>
      <w:rFonts w:ascii="Calibri" w:eastAsia="宋体" w:hAnsi="Calibri" w:cs="Times New Roman"/>
      <w:sz w:val="24"/>
    </w:rPr>
  </w:style>
  <w:style w:type="paragraph" w:customStyle="1" w:styleId="main">
    <w:name w:val="main"/>
    <w:basedOn w:val="a"/>
    <w:qFormat/>
    <w:pPr>
      <w:widowControl/>
      <w:spacing w:before="100" w:beforeAutospacing="1" w:after="100" w:afterAutospacing="1"/>
      <w:jc w:val="left"/>
    </w:pPr>
    <w:rPr>
      <w:rFonts w:ascii="宋体" w:eastAsia="宋体" w:hAnsi="宋体" w:cs="宋体"/>
      <w:color w:val="000000"/>
      <w:kern w:val="0"/>
      <w:sz w:val="24"/>
      <w:szCs w:val="24"/>
    </w:rPr>
  </w:style>
  <w:style w:type="paragraph" w:customStyle="1" w:styleId="afffffffffffc">
    <w:name w:val="已有表格"/>
    <w:basedOn w:val="a"/>
    <w:qFormat/>
    <w:pPr>
      <w:adjustRightInd w:val="0"/>
      <w:spacing w:before="40" w:after="40"/>
      <w:jc w:val="center"/>
    </w:pPr>
    <w:rPr>
      <w:rFonts w:ascii="Times New Roman" w:eastAsia="宋体" w:hAnsi="Times New Roman" w:cs="Times New Roman"/>
      <w:b/>
      <w:kern w:val="0"/>
      <w:sz w:val="24"/>
      <w:szCs w:val="20"/>
    </w:rPr>
  </w:style>
  <w:style w:type="paragraph" w:customStyle="1" w:styleId="afffffffffffd">
    <w:name w:val="图框"/>
    <w:basedOn w:val="a"/>
    <w:qFormat/>
    <w:pPr>
      <w:jc w:val="center"/>
    </w:pPr>
    <w:rPr>
      <w:rFonts w:ascii="Times New Roman" w:eastAsia="宋体" w:hAnsi="Times New Roman" w:cs="Times New Roman"/>
      <w:szCs w:val="15"/>
    </w:rPr>
  </w:style>
  <w:style w:type="paragraph" w:customStyle="1" w:styleId="font20">
    <w:name w:val="font20"/>
    <w:basedOn w:val="a"/>
    <w:qFormat/>
    <w:pPr>
      <w:widowControl/>
      <w:spacing w:before="100" w:beforeAutospacing="1" w:after="100" w:afterAutospacing="1"/>
      <w:jc w:val="left"/>
    </w:pPr>
    <w:rPr>
      <w:rFonts w:ascii="Times New Roman" w:eastAsia="宋体" w:hAnsi="Times New Roman" w:cs="Times New Roman"/>
      <w:color w:val="CC99FF"/>
      <w:kern w:val="0"/>
      <w:sz w:val="18"/>
      <w:szCs w:val="18"/>
    </w:rPr>
  </w:style>
  <w:style w:type="paragraph" w:customStyle="1" w:styleId="3ff2">
    <w:name w:val="宏福3"/>
    <w:basedOn w:val="3"/>
    <w:qFormat/>
    <w:pPr>
      <w:widowControl w:val="0"/>
      <w:snapToGrid w:val="0"/>
      <w:spacing w:before="240" w:after="0" w:line="240" w:lineRule="auto"/>
      <w:jc w:val="both"/>
    </w:pPr>
    <w:rPr>
      <w:b w:val="0"/>
      <w:bCs w:val="0"/>
      <w:kern w:val="2"/>
      <w:sz w:val="28"/>
      <w:szCs w:val="20"/>
    </w:rPr>
  </w:style>
  <w:style w:type="paragraph" w:customStyle="1" w:styleId="afffffffffffe">
    <w:name w:val="正文新"/>
    <w:basedOn w:val="afb"/>
    <w:qFormat/>
    <w:pPr>
      <w:widowControl w:val="0"/>
      <w:spacing w:line="300" w:lineRule="auto"/>
      <w:ind w:firstLine="510"/>
      <w:jc w:val="both"/>
    </w:pPr>
    <w:rPr>
      <w:rFonts w:hAnsi="Arial" w:cs="Times New Roman"/>
      <w:sz w:val="24"/>
      <w:szCs w:val="20"/>
    </w:rPr>
  </w:style>
  <w:style w:type="paragraph" w:customStyle="1" w:styleId="1ffff1">
    <w:name w:val="表图1"/>
    <w:basedOn w:val="a"/>
    <w:qFormat/>
    <w:pPr>
      <w:widowControl/>
      <w:spacing w:line="0" w:lineRule="atLeast"/>
      <w:jc w:val="left"/>
    </w:pPr>
    <w:rPr>
      <w:rFonts w:ascii="宋体" w:eastAsia="宋体" w:hAnsi="宋体" w:cs="宋体"/>
      <w:kern w:val="0"/>
      <w:sz w:val="24"/>
      <w:szCs w:val="24"/>
    </w:rPr>
  </w:style>
  <w:style w:type="paragraph" w:customStyle="1" w:styleId="xl29">
    <w:name w:val="xl2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Cs w:val="21"/>
    </w:rPr>
  </w:style>
  <w:style w:type="paragraph" w:customStyle="1" w:styleId="3ff3">
    <w:name w:val="3级标题"/>
    <w:basedOn w:val="a"/>
    <w:qFormat/>
    <w:pPr>
      <w:keepNext/>
      <w:keepLines/>
      <w:adjustRightInd w:val="0"/>
      <w:snapToGrid w:val="0"/>
      <w:spacing w:before="80" w:after="80" w:line="400" w:lineRule="exact"/>
      <w:outlineLvl w:val="2"/>
    </w:pPr>
    <w:rPr>
      <w:rFonts w:ascii="Times New Roman" w:eastAsia="宋体" w:hAnsi="Times New Roman" w:cs="Times New Roman"/>
      <w:b/>
      <w:color w:val="000000"/>
      <w:sz w:val="24"/>
      <w:szCs w:val="20"/>
    </w:rPr>
  </w:style>
  <w:style w:type="paragraph" w:customStyle="1" w:styleId="affffffffffff">
    <w:name w:val="样式 五号 居中"/>
    <w:basedOn w:val="a"/>
    <w:qFormat/>
    <w:pPr>
      <w:jc w:val="center"/>
    </w:pPr>
    <w:rPr>
      <w:rFonts w:ascii="宋体" w:eastAsia="宋体" w:hAnsi="宋体" w:cs="宋体"/>
      <w:kern w:val="0"/>
      <w:szCs w:val="21"/>
    </w:rPr>
  </w:style>
  <w:style w:type="paragraph" w:customStyle="1" w:styleId="004">
    <w:name w:val="标题004"/>
    <w:basedOn w:val="0010"/>
    <w:qFormat/>
    <w:pPr>
      <w:spacing w:line="420" w:lineRule="exact"/>
      <w:ind w:firstLine="0"/>
      <w:outlineLvl w:val="3"/>
    </w:pPr>
    <w:rPr>
      <w:b/>
    </w:rPr>
  </w:style>
  <w:style w:type="paragraph" w:customStyle="1" w:styleId="3210">
    <w:name w:val="样式 标题 3 + 首行缩进:  2 字符1"/>
    <w:basedOn w:val="3"/>
    <w:qFormat/>
    <w:pPr>
      <w:widowControl w:val="0"/>
      <w:tabs>
        <w:tab w:val="left" w:pos="1418"/>
      </w:tabs>
      <w:spacing w:before="240" w:after="240" w:line="413" w:lineRule="auto"/>
      <w:jc w:val="both"/>
    </w:pPr>
    <w:rPr>
      <w:bCs w:val="0"/>
      <w:kern w:val="2"/>
      <w:sz w:val="28"/>
      <w:szCs w:val="20"/>
    </w:rPr>
  </w:style>
  <w:style w:type="paragraph" w:customStyle="1" w:styleId="94">
    <w:name w:val="样式9"/>
    <w:basedOn w:val="1"/>
    <w:qFormat/>
    <w:pPr>
      <w:keepNext/>
      <w:keepLines/>
      <w:spacing w:beforeLines="200" w:before="480" w:afterLines="200" w:after="480" w:line="520" w:lineRule="exact"/>
      <w:ind w:left="0"/>
      <w:jc w:val="both"/>
    </w:pPr>
    <w:rPr>
      <w:rFonts w:eastAsia="黑体" w:cs="Times New Roman"/>
      <w:kern w:val="44"/>
      <w:sz w:val="44"/>
      <w:szCs w:val="44"/>
      <w:lang w:eastAsia="zh-CN"/>
    </w:rPr>
  </w:style>
  <w:style w:type="paragraph" w:customStyle="1" w:styleId="xl49">
    <w:name w:val="xl49"/>
    <w:basedOn w:val="a"/>
    <w:qFormat/>
    <w:pPr>
      <w:widowControl/>
      <w:pBdr>
        <w:lef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affffffffffff0">
    <w:name w:val="正文单倍行距"/>
    <w:basedOn w:val="a"/>
    <w:semiHidden/>
    <w:qFormat/>
    <w:pPr>
      <w:tabs>
        <w:tab w:val="left" w:pos="8640"/>
      </w:tabs>
      <w:snapToGrid w:val="0"/>
      <w:ind w:firstLineChars="200" w:firstLine="200"/>
    </w:pPr>
    <w:rPr>
      <w:rFonts w:ascii="Times New Roman" w:eastAsia="仿宋_GB2312" w:hAnsi="Times New Roman" w:cs="Times New Roman"/>
      <w:sz w:val="24"/>
      <w:szCs w:val="24"/>
    </w:rPr>
  </w:style>
  <w:style w:type="paragraph" w:customStyle="1" w:styleId="CharCharCharCharCharCharCharCharChar1CharCharCharChar9">
    <w:name w:val="Char Char Char Char Char Char Char Char Char1 Char Char Char Char9"/>
    <w:basedOn w:val="a"/>
    <w:qFormat/>
    <w:rPr>
      <w:rFonts w:ascii="Times New Roman" w:eastAsia="宋体" w:hAnsi="Times New Roman" w:cs="Times New Roman"/>
      <w:szCs w:val="21"/>
    </w:rPr>
  </w:style>
  <w:style w:type="paragraph" w:customStyle="1" w:styleId="CharCharfff2">
    <w:name w:val="页脚 Char Char"/>
    <w:basedOn w:val="a"/>
    <w:qFormat/>
    <w:pPr>
      <w:tabs>
        <w:tab w:val="left" w:pos="4149"/>
        <w:tab w:val="left" w:pos="8016"/>
      </w:tabs>
      <w:spacing w:line="351" w:lineRule="atLeast"/>
      <w:ind w:firstLine="419"/>
      <w:jc w:val="left"/>
    </w:pPr>
    <w:rPr>
      <w:rFonts w:ascii="Times New Roman" w:eastAsia="宋体" w:hAnsi="Times New Roman" w:cs="Times New Roman" w:hint="eastAsia"/>
      <w:sz w:val="18"/>
      <w:szCs w:val="20"/>
    </w:rPr>
  </w:style>
  <w:style w:type="paragraph" w:customStyle="1" w:styleId="affffffffffff1">
    <w:name w:val="段标"/>
    <w:basedOn w:val="a"/>
    <w:qFormat/>
    <w:pPr>
      <w:adjustRightInd w:val="0"/>
      <w:spacing w:line="360" w:lineRule="auto"/>
      <w:ind w:firstLine="567"/>
      <w:jc w:val="left"/>
      <w:textAlignment w:val="baseline"/>
    </w:pPr>
    <w:rPr>
      <w:rFonts w:ascii="Times New Roman" w:eastAsia="宋体" w:hAnsi="Times New Roman" w:cs="Times New Roman"/>
      <w:kern w:val="0"/>
      <w:sz w:val="28"/>
      <w:szCs w:val="20"/>
    </w:rPr>
  </w:style>
  <w:style w:type="paragraph" w:customStyle="1" w:styleId="lulu0">
    <w:name w:val="表格标题lulu"/>
    <w:basedOn w:val="a"/>
    <w:qFormat/>
    <w:rPr>
      <w:rFonts w:ascii="Times New Roman" w:eastAsia="宋体" w:hAnsi="Times New Roman" w:cs="Times New Roman"/>
      <w:b/>
      <w:sz w:val="24"/>
      <w:szCs w:val="24"/>
    </w:rPr>
  </w:style>
  <w:style w:type="paragraph" w:customStyle="1" w:styleId="31113TimesNewRoman0202">
    <w:name w:val="样式 标题 31.1.1标题 3 + Times New Roman 自动设置 段前: 0.2 行 段后: 0.2 行"/>
    <w:basedOn w:val="3"/>
    <w:qFormat/>
    <w:pPr>
      <w:widowControl w:val="0"/>
      <w:tabs>
        <w:tab w:val="left" w:pos="1418"/>
      </w:tabs>
      <w:autoSpaceDE w:val="0"/>
      <w:autoSpaceDN w:val="0"/>
      <w:adjustRightInd w:val="0"/>
      <w:spacing w:beforeLines="20" w:before="62" w:afterLines="20" w:after="62" w:line="360" w:lineRule="auto"/>
    </w:pPr>
    <w:rPr>
      <w:bCs w:val="0"/>
      <w:sz w:val="24"/>
      <w:szCs w:val="20"/>
    </w:rPr>
  </w:style>
  <w:style w:type="paragraph" w:customStyle="1" w:styleId="BodyTextIndent21">
    <w:name w:val="Body Text Indent 21"/>
    <w:basedOn w:val="a"/>
    <w:qFormat/>
    <w:pPr>
      <w:adjustRightInd w:val="0"/>
      <w:spacing w:line="480" w:lineRule="atLeast"/>
      <w:ind w:firstLine="630"/>
      <w:textAlignment w:val="baseline"/>
    </w:pPr>
    <w:rPr>
      <w:rFonts w:ascii="宋体" w:eastAsia="宋体" w:hAnsi="Times New Roman" w:cs="Times New Roman"/>
      <w:sz w:val="28"/>
      <w:szCs w:val="20"/>
    </w:rPr>
  </w:style>
  <w:style w:type="paragraph" w:customStyle="1" w:styleId="5d">
    <w:name w:val="样式5"/>
    <w:basedOn w:val="af5"/>
    <w:qFormat/>
    <w:pPr>
      <w:spacing w:after="0"/>
      <w:ind w:rightChars="-50" w:right="-105"/>
      <w:jc w:val="center"/>
    </w:pPr>
    <w:rPr>
      <w:rFonts w:ascii="宋体" w:eastAsia="宋体" w:hAnsi="Times New Roman" w:cs="宋体"/>
      <w:szCs w:val="21"/>
    </w:rPr>
  </w:style>
  <w:style w:type="paragraph" w:customStyle="1" w:styleId="2H22CharChar11Underrubrik1prop2Heading">
    <w:name w:val="样式 样式 标题 2H2标题 2 Char Char节标题 1.1（一）Underrubrik1prop2Heading... ..."/>
    <w:basedOn w:val="2H22CharChar11Underrubrik1prop2Heading0"/>
    <w:qFormat/>
    <w:rPr>
      <w:rFonts w:ascii="仿宋_GB2312" w:eastAsia="仿宋_GB2312" w:cs="宋体"/>
    </w:rPr>
  </w:style>
  <w:style w:type="paragraph" w:customStyle="1" w:styleId="2H22CharChar11Underrubrik1prop2Heading0">
    <w:name w:val="样式 标题 2H2标题 2 Char Char节标题 1.1（一）Underrubrik1prop2Heading..."/>
    <w:basedOn w:val="2"/>
    <w:qFormat/>
    <w:pPr>
      <w:tabs>
        <w:tab w:val="left" w:pos="1419"/>
      </w:tabs>
      <w:spacing w:before="0" w:after="0" w:line="240" w:lineRule="auto"/>
      <w:ind w:left="576" w:hanging="576"/>
      <w:jc w:val="left"/>
    </w:pPr>
    <w:rPr>
      <w:rFonts w:ascii="Times New Roman" w:eastAsia="黑体" w:hAnsi="Times New Roman" w:cs="Times New Roman"/>
      <w:szCs w:val="30"/>
    </w:rPr>
  </w:style>
  <w:style w:type="paragraph" w:customStyle="1" w:styleId="xl106">
    <w:name w:val="xl106"/>
    <w:basedOn w:val="a"/>
    <w:qFormat/>
    <w:pPr>
      <w:widowControl/>
      <w:pBdr>
        <w:left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BodyTextIndent31">
    <w:name w:val="Body Text Indent 31"/>
    <w:basedOn w:val="a"/>
    <w:qFormat/>
    <w:pPr>
      <w:adjustRightInd w:val="0"/>
      <w:spacing w:line="480" w:lineRule="exact"/>
      <w:ind w:firstLine="525"/>
      <w:textAlignment w:val="baseline"/>
    </w:pPr>
    <w:rPr>
      <w:rFonts w:ascii="宋体" w:eastAsia="宋体" w:hAnsi="Times New Roman" w:cs="Times New Roman"/>
      <w:sz w:val="28"/>
      <w:szCs w:val="20"/>
    </w:rPr>
  </w:style>
  <w:style w:type="paragraph" w:customStyle="1" w:styleId="xl51">
    <w:name w:val="xl51"/>
    <w:basedOn w:val="a"/>
    <w:qFormat/>
    <w:pPr>
      <w:widowControl/>
      <w:pBdr>
        <w:left w:val="single" w:sz="4" w:space="0" w:color="auto"/>
        <w:bottom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xl64">
    <w:name w:val="xl64"/>
    <w:basedOn w:val="a"/>
    <w:qFormat/>
    <w:pPr>
      <w:widowControl/>
      <w:pBdr>
        <w:left w:val="single" w:sz="4" w:space="0" w:color="auto"/>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T">
    <w:name w:val="T表头"/>
    <w:basedOn w:val="Default"/>
    <w:next w:val="Default"/>
    <w:qFormat/>
    <w:rPr>
      <w:rFonts w:ascii="黑体" w:eastAsia="黑体" w:hAnsi="Times New Roman" w:cs="Times New Roman"/>
      <w:color w:val="auto"/>
    </w:rPr>
  </w:style>
  <w:style w:type="paragraph" w:customStyle="1" w:styleId="ST201">
    <w:name w:val="ST20_1"/>
    <w:basedOn w:val="a"/>
    <w:qFormat/>
    <w:pPr>
      <w:autoSpaceDE w:val="0"/>
      <w:autoSpaceDN w:val="0"/>
      <w:adjustRightInd w:val="0"/>
      <w:spacing w:line="312" w:lineRule="atLeast"/>
      <w:jc w:val="center"/>
      <w:textAlignment w:val="baseline"/>
    </w:pPr>
    <w:rPr>
      <w:rFonts w:ascii="宋体" w:eastAsia="宋体" w:hAnsi="Tms Rmn" w:cs="Times New Roman"/>
      <w:kern w:val="0"/>
      <w:sz w:val="24"/>
      <w:szCs w:val="20"/>
    </w:rPr>
  </w:style>
  <w:style w:type="paragraph" w:customStyle="1" w:styleId="218">
    <w:name w:val="正文首行缩进 21"/>
    <w:basedOn w:val="af7"/>
    <w:qFormat/>
    <w:pPr>
      <w:widowControl/>
      <w:tabs>
        <w:tab w:val="clear" w:pos="3600"/>
      </w:tabs>
      <w:spacing w:after="120" w:line="240" w:lineRule="auto"/>
      <w:ind w:leftChars="200" w:left="420" w:firstLine="420"/>
      <w:jc w:val="left"/>
    </w:pPr>
    <w:rPr>
      <w:rFonts w:ascii="Times New Roman" w:hAnsi="Times New Roman"/>
      <w:kern w:val="0"/>
      <w:sz w:val="20"/>
      <w:szCs w:val="20"/>
    </w:rPr>
  </w:style>
  <w:style w:type="paragraph" w:customStyle="1" w:styleId="affffffffffff2">
    <w:name w:val="大纲封面"/>
    <w:basedOn w:val="a"/>
    <w:qFormat/>
    <w:pPr>
      <w:spacing w:line="360" w:lineRule="auto"/>
      <w:jc w:val="center"/>
    </w:pPr>
    <w:rPr>
      <w:rFonts w:ascii="宋体" w:eastAsia="楷体_GB2312" w:hAnsi="Times New Roman" w:cs="Times New Roman"/>
      <w:b/>
      <w:spacing w:val="100"/>
      <w:sz w:val="72"/>
      <w:szCs w:val="24"/>
    </w:rPr>
  </w:style>
  <w:style w:type="paragraph" w:customStyle="1" w:styleId="CharCharChar1CharCharCharCharCharCharChar4">
    <w:name w:val="Char Char Char1 Char Char Char Char Char Char Char4"/>
    <w:basedOn w:val="a"/>
    <w:qFormat/>
    <w:rPr>
      <w:rFonts w:ascii="Tahoma" w:eastAsia="宋体" w:hAnsi="Tahoma" w:cs="Times New Roman"/>
      <w:sz w:val="24"/>
      <w:szCs w:val="20"/>
    </w:rPr>
  </w:style>
  <w:style w:type="paragraph" w:customStyle="1" w:styleId="affffffffffff3">
    <w:name w:val="正文(黑体)"/>
    <w:basedOn w:val="a"/>
    <w:qFormat/>
    <w:pPr>
      <w:autoSpaceDE w:val="0"/>
      <w:autoSpaceDN w:val="0"/>
      <w:adjustRightInd w:val="0"/>
      <w:spacing w:line="288" w:lineRule="auto"/>
      <w:ind w:firstLine="482"/>
      <w:textAlignment w:val="baseline"/>
    </w:pPr>
    <w:rPr>
      <w:rFonts w:ascii="黑体" w:eastAsia="宋体" w:hAnsi="Times New Roman" w:cs="Times New Roman"/>
      <w:kern w:val="0"/>
      <w:sz w:val="24"/>
      <w:szCs w:val="20"/>
    </w:rPr>
  </w:style>
  <w:style w:type="paragraph" w:customStyle="1" w:styleId="3CharChar0">
    <w:name w:val="目录 3 Char Char"/>
    <w:basedOn w:val="a"/>
    <w:next w:val="a"/>
    <w:qFormat/>
    <w:pPr>
      <w:spacing w:line="351" w:lineRule="atLeast"/>
      <w:ind w:left="419" w:firstLine="419"/>
      <w:jc w:val="left"/>
    </w:pPr>
    <w:rPr>
      <w:rFonts w:ascii="Times New Roman" w:eastAsia="宋体" w:hAnsi="Times New Roman" w:cs="Times New Roman" w:hint="eastAsia"/>
      <w:i/>
      <w:szCs w:val="20"/>
    </w:rPr>
  </w:style>
  <w:style w:type="paragraph" w:customStyle="1" w:styleId="affffffffffff4">
    <w:name w:val="正文图标题"/>
    <w:next w:val="a"/>
    <w:qFormat/>
    <w:pPr>
      <w:jc w:val="center"/>
    </w:pPr>
    <w:rPr>
      <w:rFonts w:ascii="黑体" w:eastAsia="黑体" w:hAnsi="Times New Roman" w:cs="Times New Roman"/>
      <w:sz w:val="21"/>
    </w:rPr>
  </w:style>
  <w:style w:type="paragraph" w:customStyle="1" w:styleId="affffffffffff5">
    <w:name w:val="示例"/>
    <w:next w:val="affffc"/>
    <w:qFormat/>
    <w:pPr>
      <w:tabs>
        <w:tab w:val="left" w:pos="816"/>
      </w:tabs>
      <w:ind w:firstLineChars="233" w:firstLine="419"/>
      <w:jc w:val="both"/>
    </w:pPr>
    <w:rPr>
      <w:rFonts w:ascii="宋体" w:eastAsia="宋体" w:hAnsi="Times New Roman" w:cs="Times New Roman"/>
      <w:sz w:val="18"/>
    </w:rPr>
  </w:style>
  <w:style w:type="paragraph" w:customStyle="1" w:styleId="affffffffffff6">
    <w:name w:val="五号字表格"/>
    <w:basedOn w:val="1fff9"/>
    <w:qFormat/>
    <w:pPr>
      <w:widowControl w:val="0"/>
      <w:snapToGrid/>
      <w:spacing w:line="240" w:lineRule="auto"/>
      <w:jc w:val="center"/>
      <w:textAlignment w:val="baseline"/>
    </w:pPr>
    <w:rPr>
      <w:rFonts w:hAnsi="Times New Roman"/>
      <w:sz w:val="21"/>
      <w:szCs w:val="20"/>
    </w:rPr>
  </w:style>
  <w:style w:type="paragraph" w:customStyle="1" w:styleId="affffffffffff7">
    <w:name w:val="批记录"/>
    <w:basedOn w:val="afa"/>
    <w:qFormat/>
    <w:pPr>
      <w:spacing w:after="0"/>
      <w:ind w:leftChars="0" w:left="0" w:rightChars="0" w:right="0"/>
    </w:pPr>
    <w:rPr>
      <w:rFonts w:ascii="宋体"/>
      <w:sz w:val="24"/>
      <w:szCs w:val="20"/>
    </w:rPr>
  </w:style>
  <w:style w:type="paragraph" w:customStyle="1" w:styleId="affffffffffff8">
    <w:name w:val="表"/>
    <w:basedOn w:val="a"/>
    <w:next w:val="affa"/>
    <w:qFormat/>
    <w:pPr>
      <w:spacing w:line="360" w:lineRule="auto"/>
      <w:jc w:val="center"/>
    </w:pPr>
    <w:rPr>
      <w:rFonts w:ascii="Times New Roman" w:eastAsia="仿宋_GB2312" w:hAnsi="Times New Roman" w:cs="Times New Roman"/>
      <w:color w:val="000000"/>
      <w:kern w:val="21"/>
      <w:szCs w:val="24"/>
    </w:rPr>
  </w:style>
  <w:style w:type="paragraph" w:customStyle="1" w:styleId="219">
    <w:name w:val="正文文本缩进 21"/>
    <w:basedOn w:val="a"/>
    <w:qFormat/>
    <w:pPr>
      <w:adjustRightInd w:val="0"/>
      <w:spacing w:line="480" w:lineRule="atLeast"/>
      <w:ind w:firstLine="630"/>
      <w:textAlignment w:val="baseline"/>
    </w:pPr>
    <w:rPr>
      <w:rFonts w:ascii="宋体" w:eastAsia="宋体" w:hAnsi="Times New Roman" w:cs="Times New Roman"/>
      <w:sz w:val="28"/>
      <w:szCs w:val="20"/>
    </w:rPr>
  </w:style>
  <w:style w:type="paragraph" w:customStyle="1" w:styleId="Style10">
    <w:name w:val="Style1"/>
    <w:basedOn w:val="1"/>
    <w:qFormat/>
    <w:pPr>
      <w:keepNext/>
      <w:keepLines/>
      <w:tabs>
        <w:tab w:val="left" w:pos="425"/>
        <w:tab w:val="left" w:pos="480"/>
      </w:tabs>
      <w:adjustRightInd w:val="0"/>
      <w:spacing w:before="340" w:after="120"/>
      <w:ind w:left="120"/>
      <w:textAlignment w:val="baseline"/>
    </w:pPr>
    <w:rPr>
      <w:rFonts w:eastAsia="宋体" w:cs="Times New Roman"/>
      <w:bCs w:val="0"/>
      <w:kern w:val="44"/>
      <w:sz w:val="44"/>
      <w:szCs w:val="20"/>
      <w:lang w:eastAsia="zh-CN"/>
    </w:rPr>
  </w:style>
  <w:style w:type="paragraph" w:customStyle="1" w:styleId="211112">
    <w:name w:val="样式 标题 2节标题 1.11.1标题2 + 四号"/>
    <w:basedOn w:val="2"/>
    <w:qFormat/>
    <w:pPr>
      <w:adjustRightInd w:val="0"/>
      <w:snapToGrid w:val="0"/>
      <w:spacing w:before="0" w:after="0" w:line="360" w:lineRule="auto"/>
      <w:ind w:firstLine="200"/>
    </w:pPr>
    <w:rPr>
      <w:rFonts w:ascii="宋体" w:eastAsia="宋体" w:hAnsi="宋体" w:cs="Arial"/>
      <w:sz w:val="28"/>
      <w:szCs w:val="24"/>
    </w:rPr>
  </w:style>
  <w:style w:type="paragraph" w:customStyle="1" w:styleId="7CharChar">
    <w:name w:val="目录 7 Char Char"/>
    <w:basedOn w:val="a"/>
    <w:next w:val="a"/>
    <w:qFormat/>
    <w:pPr>
      <w:spacing w:line="351" w:lineRule="atLeast"/>
      <w:ind w:left="1258" w:firstLine="419"/>
      <w:jc w:val="left"/>
    </w:pPr>
    <w:rPr>
      <w:rFonts w:ascii="Times New Roman" w:eastAsia="宋体" w:hAnsi="Times New Roman" w:cs="Times New Roman" w:hint="eastAsia"/>
      <w:szCs w:val="20"/>
    </w:rPr>
  </w:style>
  <w:style w:type="paragraph" w:customStyle="1" w:styleId="3ff4">
    <w:name w:val="纯文本3"/>
    <w:basedOn w:val="a"/>
    <w:qFormat/>
    <w:pPr>
      <w:adjustRightInd w:val="0"/>
    </w:pPr>
    <w:rPr>
      <w:rFonts w:ascii="宋体" w:eastAsia="宋体" w:hAnsi="Courier New" w:cs="Times New Roman"/>
      <w:szCs w:val="20"/>
    </w:rPr>
  </w:style>
  <w:style w:type="paragraph" w:customStyle="1" w:styleId="CharCharChar1CharCharCharCharCharCharChar7">
    <w:name w:val="Char Char Char1 Char Char Char Char Char Char Char7"/>
    <w:basedOn w:val="a"/>
    <w:qFormat/>
    <w:rPr>
      <w:rFonts w:ascii="Tahoma" w:eastAsia="宋体" w:hAnsi="Tahoma" w:cs="Times New Roman"/>
      <w:sz w:val="24"/>
      <w:szCs w:val="20"/>
    </w:rPr>
  </w:style>
  <w:style w:type="paragraph" w:customStyle="1" w:styleId="font9">
    <w:name w:val="font9"/>
    <w:basedOn w:val="a"/>
    <w:qFormat/>
    <w:pPr>
      <w:widowControl/>
      <w:spacing w:before="100" w:beforeAutospacing="1" w:after="100" w:afterAutospacing="1"/>
      <w:jc w:val="left"/>
    </w:pPr>
    <w:rPr>
      <w:rFonts w:ascii="Times New Roman" w:eastAsia="Arial Unicode MS" w:hAnsi="Times New Roman" w:cs="Times New Roman"/>
      <w:kern w:val="0"/>
      <w:szCs w:val="21"/>
    </w:rPr>
  </w:style>
  <w:style w:type="paragraph" w:customStyle="1" w:styleId="hb4">
    <w:name w:val="hb4"/>
    <w:basedOn w:val="41"/>
    <w:qFormat/>
    <w:pPr>
      <w:keepNext/>
      <w:keepLines/>
      <w:tabs>
        <w:tab w:val="left" w:pos="1984"/>
      </w:tabs>
      <w:topLinePunct/>
      <w:spacing w:beforeLines="50" w:before="156" w:afterLines="50" w:after="156" w:line="300" w:lineRule="exact"/>
      <w:ind w:left="0"/>
      <w:jc w:val="both"/>
    </w:pPr>
    <w:rPr>
      <w:rFonts w:cs="Times New Roman"/>
      <w:sz w:val="24"/>
      <w:szCs w:val="24"/>
      <w:lang w:eastAsia="zh-CN"/>
    </w:rPr>
  </w:style>
  <w:style w:type="paragraph" w:customStyle="1" w:styleId="affffffffffff9">
    <w:name w:val="居中正文"/>
    <w:basedOn w:val="111"/>
    <w:qFormat/>
    <w:pPr>
      <w:widowControl w:val="0"/>
      <w:adjustRightInd w:val="0"/>
      <w:spacing w:before="120" w:after="0" w:line="360" w:lineRule="auto"/>
      <w:ind w:firstLineChars="0" w:firstLine="0"/>
      <w:jc w:val="center"/>
    </w:pPr>
    <w:rPr>
      <w:rFonts w:ascii="宋体"/>
      <w:kern w:val="28"/>
      <w:szCs w:val="24"/>
    </w:rPr>
  </w:style>
  <w:style w:type="paragraph" w:customStyle="1" w:styleId="affffffffffffa">
    <w:name w:val="表格正文 中五"/>
    <w:basedOn w:val="a"/>
    <w:qFormat/>
    <w:pPr>
      <w:spacing w:line="240" w:lineRule="exact"/>
      <w:jc w:val="center"/>
    </w:pPr>
    <w:rPr>
      <w:rFonts w:ascii="Times New Roman" w:eastAsia="宋体" w:hAnsi="Times New Roman" w:cs="Times New Roman"/>
      <w:szCs w:val="21"/>
    </w:rPr>
  </w:style>
  <w:style w:type="paragraph" w:customStyle="1" w:styleId="xl69">
    <w:name w:val="xl69"/>
    <w:basedOn w:val="a"/>
    <w:qFormat/>
    <w:pPr>
      <w:widowControl/>
      <w:pBdr>
        <w:bottom w:val="single" w:sz="12" w:space="0" w:color="auto"/>
      </w:pBdr>
      <w:spacing w:before="100" w:beforeAutospacing="1" w:after="100" w:afterAutospacing="1"/>
      <w:jc w:val="left"/>
    </w:pPr>
    <w:rPr>
      <w:rFonts w:ascii="Times New Roman" w:eastAsia="宋体" w:hAnsi="Times New Roman" w:cs="Times New Roman"/>
      <w:kern w:val="0"/>
      <w:sz w:val="12"/>
      <w:szCs w:val="12"/>
    </w:rPr>
  </w:style>
  <w:style w:type="paragraph" w:customStyle="1" w:styleId="117">
    <w:name w:val="列出段落11"/>
    <w:basedOn w:val="a"/>
    <w:qFormat/>
    <w:pPr>
      <w:ind w:firstLineChars="200" w:firstLine="420"/>
    </w:pPr>
    <w:rPr>
      <w:rFonts w:ascii="Times New Roman" w:eastAsia="宋体" w:hAnsi="Times New Roman" w:cs="Times New Roman"/>
      <w:szCs w:val="24"/>
    </w:rPr>
  </w:style>
  <w:style w:type="paragraph" w:customStyle="1" w:styleId="xl197">
    <w:name w:val="xl197"/>
    <w:basedOn w:val="a"/>
    <w:qFormat/>
    <w:pPr>
      <w:widowControl/>
      <w:pBdr>
        <w:left w:val="single" w:sz="4" w:space="0" w:color="auto"/>
        <w:bottom w:val="single" w:sz="8" w:space="0" w:color="auto"/>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affffffffffffb">
    <w:name w:val="附录三级条标题"/>
    <w:basedOn w:val="afffffffff9"/>
    <w:next w:val="affffc"/>
    <w:qFormat/>
    <w:pPr>
      <w:tabs>
        <w:tab w:val="left" w:pos="1068"/>
      </w:tabs>
      <w:ind w:left="1068"/>
      <w:outlineLvl w:val="4"/>
    </w:pPr>
  </w:style>
  <w:style w:type="paragraph" w:customStyle="1" w:styleId="711">
    <w:name w:val="目录 71"/>
    <w:basedOn w:val="a"/>
    <w:next w:val="a"/>
    <w:qFormat/>
    <w:pPr>
      <w:ind w:left="1050"/>
      <w:jc w:val="left"/>
    </w:pPr>
    <w:rPr>
      <w:rFonts w:ascii="Times New Roman" w:eastAsia="宋体" w:hAnsi="Times New Roman" w:cs="Times New Roman"/>
      <w:sz w:val="20"/>
      <w:szCs w:val="20"/>
    </w:rPr>
  </w:style>
  <w:style w:type="paragraph" w:customStyle="1" w:styleId="affffffffffffc">
    <w:name w:val="注解"/>
    <w:qFormat/>
    <w:pPr>
      <w:widowControl w:val="0"/>
      <w:jc w:val="center"/>
    </w:pPr>
    <w:rPr>
      <w:rFonts w:ascii="宋体" w:eastAsia="宋体" w:hAnsi="Arial Black" w:cs="Times New Roman"/>
      <w:kern w:val="2"/>
      <w:sz w:val="18"/>
    </w:rPr>
  </w:style>
  <w:style w:type="paragraph" w:customStyle="1" w:styleId="CharCharChar1CharCharCharCharCharCharCharCharCharChar1">
    <w:name w:val="Char Char Char1 Char Char Char Char Char Char Char Char Char Char1"/>
    <w:basedOn w:val="a"/>
    <w:qFormat/>
    <w:rPr>
      <w:rFonts w:ascii="Times New Roman" w:eastAsia="宋体" w:hAnsi="Times New Roman" w:cs="Times New Roman"/>
      <w:szCs w:val="20"/>
    </w:rPr>
  </w:style>
  <w:style w:type="paragraph" w:customStyle="1" w:styleId="xl211">
    <w:name w:val="xl211"/>
    <w:basedOn w:val="a"/>
    <w:qFormat/>
    <w:pPr>
      <w:widowControl/>
      <w:pBdr>
        <w:bottom w:val="single" w:sz="12" w:space="0" w:color="auto"/>
        <w:righ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affffffffffffd">
    <w:name w:val="表第一列"/>
    <w:basedOn w:val="111"/>
    <w:qFormat/>
    <w:pPr>
      <w:keepLines/>
      <w:widowControl w:val="0"/>
      <w:tabs>
        <w:tab w:val="left" w:pos="1727"/>
        <w:tab w:val="left" w:pos="1884"/>
        <w:tab w:val="left" w:pos="2940"/>
      </w:tabs>
      <w:adjustRightInd w:val="0"/>
      <w:snapToGrid w:val="0"/>
      <w:spacing w:after="0" w:line="0" w:lineRule="atLeast"/>
      <w:ind w:firstLineChars="0" w:firstLine="0"/>
      <w:jc w:val="center"/>
    </w:pPr>
    <w:rPr>
      <w:rFonts w:ascii="宋体" w:hAnsi="宋体"/>
      <w:color w:val="000000"/>
      <w:spacing w:val="-4"/>
      <w:sz w:val="21"/>
    </w:rPr>
  </w:style>
  <w:style w:type="paragraph" w:customStyle="1" w:styleId="affffffffffffe">
    <w:name w:val="列项·"/>
    <w:qFormat/>
    <w:pPr>
      <w:tabs>
        <w:tab w:val="left" w:pos="840"/>
      </w:tabs>
      <w:ind w:leftChars="200" w:left="840" w:hangingChars="200" w:hanging="420"/>
      <w:jc w:val="both"/>
    </w:pPr>
    <w:rPr>
      <w:rFonts w:ascii="宋体" w:eastAsia="宋体" w:hAnsi="Times New Roman" w:cs="Times New Roman"/>
      <w:sz w:val="21"/>
    </w:rPr>
  </w:style>
  <w:style w:type="paragraph" w:customStyle="1" w:styleId="Char80">
    <w:name w:val="Char8"/>
    <w:basedOn w:val="a"/>
    <w:qFormat/>
    <w:rPr>
      <w:rFonts w:ascii="Times New Roman" w:eastAsia="宋体" w:hAnsi="Times New Roman" w:cs="Times New Roman"/>
      <w:sz w:val="24"/>
      <w:szCs w:val="24"/>
    </w:rPr>
  </w:style>
  <w:style w:type="paragraph" w:customStyle="1" w:styleId="afffffffffffff">
    <w:name w:val="说明正文"/>
    <w:basedOn w:val="af5"/>
    <w:qFormat/>
    <w:pPr>
      <w:snapToGrid w:val="0"/>
      <w:spacing w:line="400" w:lineRule="exact"/>
      <w:ind w:firstLineChars="200" w:firstLine="488"/>
    </w:pPr>
    <w:rPr>
      <w:rFonts w:ascii="宋体" w:eastAsia="宋体" w:hAnsi="Times New Roman" w:cs="Times New Roman" w:hint="eastAsia"/>
      <w:spacing w:val="2"/>
      <w:kern w:val="28"/>
      <w:sz w:val="24"/>
      <w:szCs w:val="20"/>
    </w:rPr>
  </w:style>
  <w:style w:type="paragraph" w:customStyle="1" w:styleId="wj12">
    <w:name w:val="wj12"/>
    <w:basedOn w:val="a"/>
    <w:qFormat/>
    <w:pPr>
      <w:widowControl/>
      <w:spacing w:before="100" w:beforeAutospacing="1" w:after="100" w:afterAutospacing="1"/>
      <w:jc w:val="left"/>
    </w:pPr>
    <w:rPr>
      <w:rFonts w:ascii="宋体" w:eastAsia="宋体" w:hAnsi="宋体" w:cs="宋体"/>
      <w:kern w:val="0"/>
      <w:sz w:val="18"/>
      <w:szCs w:val="18"/>
    </w:rPr>
  </w:style>
  <w:style w:type="paragraph" w:customStyle="1" w:styleId="3ff5">
    <w:name w:val="普通(网站)3"/>
    <w:basedOn w:val="a"/>
    <w:qFormat/>
    <w:pPr>
      <w:widowControl/>
      <w:spacing w:before="100" w:beforeAutospacing="1" w:after="100" w:afterAutospacing="1"/>
      <w:jc w:val="left"/>
    </w:pPr>
    <w:rPr>
      <w:rFonts w:ascii="宋体" w:eastAsia="宋体" w:hAnsi="宋体" w:cs="Times New Roman"/>
      <w:kern w:val="0"/>
      <w:sz w:val="18"/>
      <w:szCs w:val="18"/>
    </w:rPr>
  </w:style>
  <w:style w:type="paragraph" w:customStyle="1" w:styleId="WPSPlain">
    <w:name w:val="WPS Plain"/>
    <w:qFormat/>
    <w:rPr>
      <w:rFonts w:ascii="Times New Roman" w:eastAsia="宋体" w:hAnsi="Times New Roman" w:cs="Times New Roman"/>
    </w:rPr>
  </w:style>
  <w:style w:type="paragraph" w:customStyle="1" w:styleId="232">
    <w:name w:val="正文文本缩进 23"/>
    <w:basedOn w:val="a"/>
    <w:qFormat/>
    <w:pPr>
      <w:overflowPunct w:val="0"/>
      <w:autoSpaceDE w:val="0"/>
      <w:autoSpaceDN w:val="0"/>
      <w:adjustRightInd w:val="0"/>
      <w:ind w:left="810"/>
      <w:jc w:val="left"/>
    </w:pPr>
    <w:rPr>
      <w:rFonts w:ascii="Times New Roman" w:eastAsia="宋体" w:hAnsi="Times New Roman" w:cs="Times New Roman"/>
      <w:kern w:val="0"/>
      <w:sz w:val="20"/>
      <w:szCs w:val="20"/>
    </w:rPr>
  </w:style>
  <w:style w:type="paragraph" w:customStyle="1" w:styleId="2fff6">
    <w:name w:val="无间隔2"/>
    <w:qFormat/>
    <w:pPr>
      <w:widowControl w:val="0"/>
      <w:jc w:val="both"/>
    </w:pPr>
    <w:rPr>
      <w:rFonts w:ascii="Arial" w:eastAsia="仿宋" w:hAnsi="Arial" w:cs="Times New Roman"/>
      <w:w w:val="90"/>
      <w:kern w:val="2"/>
      <w:sz w:val="24"/>
      <w:szCs w:val="24"/>
    </w:rPr>
  </w:style>
  <w:style w:type="paragraph" w:customStyle="1" w:styleId="xl34">
    <w:name w:val="xl34"/>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CharCharCharChar19">
    <w:name w:val="Char Char Char Char19"/>
    <w:basedOn w:val="a"/>
    <w:qFormat/>
    <w:pPr>
      <w:widowControl/>
      <w:jc w:val="left"/>
    </w:pPr>
    <w:rPr>
      <w:rFonts w:ascii="Times New Roman" w:eastAsia="宋体" w:hAnsi="Times New Roman" w:cs="Times New Roman"/>
      <w:kern w:val="0"/>
      <w:sz w:val="24"/>
      <w:szCs w:val="20"/>
    </w:rPr>
  </w:style>
  <w:style w:type="paragraph" w:customStyle="1" w:styleId="95">
    <w:name w:val="正文9"/>
    <w:qFormat/>
    <w:pPr>
      <w:widowControl w:val="0"/>
      <w:adjustRightInd w:val="0"/>
      <w:spacing w:line="312" w:lineRule="atLeast"/>
      <w:jc w:val="both"/>
    </w:pPr>
    <w:rPr>
      <w:rFonts w:ascii="Arial" w:eastAsia="楷体_GB2312" w:hAnsi="Times New Roman" w:cs="Times New Roman"/>
      <w:spacing w:val="-6"/>
      <w:sz w:val="28"/>
    </w:rPr>
  </w:style>
  <w:style w:type="paragraph" w:customStyle="1" w:styleId="afffffffffffff0">
    <w:name w:val="我的表格标题标题"/>
    <w:basedOn w:val="a"/>
    <w:qFormat/>
    <w:pPr>
      <w:spacing w:line="500" w:lineRule="exact"/>
      <w:jc w:val="center"/>
    </w:pPr>
    <w:rPr>
      <w:rFonts w:ascii="宋体" w:eastAsia="宋体" w:hAnsi="宋体" w:cs="Times New Roman"/>
      <w:color w:val="000000"/>
      <w:sz w:val="24"/>
      <w:szCs w:val="24"/>
    </w:rPr>
  </w:style>
  <w:style w:type="paragraph" w:customStyle="1" w:styleId="CharChar2CharCharCharCharChar">
    <w:name w:val="段落 Char Char2 Char Char Char Char Char"/>
    <w:basedOn w:val="a"/>
    <w:qFormat/>
    <w:pPr>
      <w:tabs>
        <w:tab w:val="left" w:pos="1021"/>
      </w:tabs>
      <w:spacing w:line="360" w:lineRule="auto"/>
      <w:ind w:firstLineChars="200" w:firstLine="480"/>
    </w:pPr>
    <w:rPr>
      <w:rFonts w:ascii="Times New Roman" w:eastAsia="宋体" w:hAnsi="宋体" w:cs="Times New Roman"/>
      <w:kern w:val="24"/>
      <w:sz w:val="24"/>
      <w:szCs w:val="24"/>
    </w:rPr>
  </w:style>
  <w:style w:type="paragraph" w:customStyle="1" w:styleId="afffffffffffff1">
    <w:name w:val="正文表标题"/>
    <w:next w:val="affffc"/>
    <w:qFormat/>
    <w:pPr>
      <w:jc w:val="center"/>
    </w:pPr>
    <w:rPr>
      <w:rFonts w:ascii="黑体" w:eastAsia="黑体" w:hAnsi="Times New Roman" w:cs="Times New Roman"/>
      <w:sz w:val="21"/>
    </w:rPr>
  </w:style>
  <w:style w:type="paragraph" w:customStyle="1" w:styleId="xl95">
    <w:name w:val="xl95"/>
    <w:basedOn w:val="a"/>
    <w:qFormat/>
    <w:pPr>
      <w:widowControl/>
      <w:spacing w:before="100" w:beforeAutospacing="1" w:after="100" w:afterAutospacing="1"/>
      <w:jc w:val="right"/>
    </w:pPr>
    <w:rPr>
      <w:rFonts w:ascii="Arial Unicode MS" w:eastAsia="宋体" w:hAnsi="Arial Unicode MS" w:cs="Times New Roman"/>
      <w:kern w:val="0"/>
      <w:sz w:val="12"/>
      <w:szCs w:val="12"/>
    </w:rPr>
  </w:style>
  <w:style w:type="paragraph" w:customStyle="1" w:styleId="xl60">
    <w:name w:val="xl60"/>
    <w:basedOn w:val="a"/>
    <w:qFormat/>
    <w:pPr>
      <w:widowControl/>
      <w:spacing w:before="100" w:beforeAutospacing="1" w:after="100" w:afterAutospacing="1"/>
      <w:jc w:val="center"/>
    </w:pPr>
    <w:rPr>
      <w:rFonts w:ascii="Arial Unicode MS" w:eastAsia="宋体" w:hAnsi="Arial Unicode MS" w:cs="Times New Roman"/>
      <w:kern w:val="0"/>
      <w:sz w:val="12"/>
      <w:szCs w:val="12"/>
    </w:rPr>
  </w:style>
  <w:style w:type="paragraph" w:customStyle="1" w:styleId="y0">
    <w:name w:val="y表头"/>
    <w:basedOn w:val="af5"/>
    <w:qFormat/>
    <w:pPr>
      <w:tabs>
        <w:tab w:val="left" w:pos="900"/>
      </w:tabs>
      <w:adjustRightInd w:val="0"/>
      <w:spacing w:after="0"/>
      <w:jc w:val="center"/>
      <w:textAlignment w:val="baseline"/>
    </w:pPr>
    <w:rPr>
      <w:rFonts w:ascii="宋体" w:eastAsia="楷体_GB2312" w:hAnsi="宋体" w:cs="Times New Roman" w:hint="eastAsia"/>
      <w:b/>
      <w:sz w:val="24"/>
      <w:szCs w:val="20"/>
    </w:rPr>
  </w:style>
  <w:style w:type="paragraph" w:customStyle="1" w:styleId="xl92">
    <w:name w:val="xl92"/>
    <w:basedOn w:val="a"/>
    <w:qFormat/>
    <w:pPr>
      <w:widowControl/>
      <w:pBdr>
        <w:top w:val="single" w:sz="12" w:space="0" w:color="auto"/>
        <w:left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Charfffffff6">
    <w:name w:val="Char"/>
    <w:basedOn w:val="a"/>
    <w:qFormat/>
    <w:rPr>
      <w:rFonts w:ascii="Times New Roman" w:eastAsia="宋体" w:hAnsi="Times New Roman" w:cs="Times New Roman"/>
      <w:sz w:val="24"/>
      <w:szCs w:val="24"/>
    </w:rPr>
  </w:style>
  <w:style w:type="paragraph" w:customStyle="1" w:styleId="afffffffffffff2">
    <w:name w:val="正文王"/>
    <w:basedOn w:val="afb"/>
    <w:qFormat/>
    <w:pPr>
      <w:widowControl w:val="0"/>
      <w:spacing w:line="500" w:lineRule="exact"/>
      <w:jc w:val="both"/>
    </w:pPr>
    <w:rPr>
      <w:rFonts w:ascii="Arial" w:hAnsi="Arial" w:cs="Times New Roman"/>
      <w:kern w:val="2"/>
      <w:sz w:val="24"/>
      <w:szCs w:val="20"/>
    </w:rPr>
  </w:style>
  <w:style w:type="paragraph" w:customStyle="1" w:styleId="afffffffffffff3">
    <w:name w:val="图 标题"/>
    <w:basedOn w:val="afffff4"/>
    <w:qFormat/>
    <w:pPr>
      <w:widowControl w:val="0"/>
      <w:tabs>
        <w:tab w:val="clear" w:pos="315"/>
        <w:tab w:val="clear" w:pos="360"/>
      </w:tabs>
      <w:adjustRightInd/>
      <w:snapToGrid/>
      <w:spacing w:after="60" w:line="240" w:lineRule="auto"/>
      <w:ind w:left="0" w:firstLineChars="0" w:firstLine="0"/>
      <w:jc w:val="center"/>
    </w:pPr>
    <w:rPr>
      <w:rFonts w:ascii="Times New Roman" w:eastAsia="宋体" w:hAnsi="Times New Roman"/>
      <w:b/>
      <w:sz w:val="24"/>
    </w:rPr>
  </w:style>
  <w:style w:type="paragraph" w:customStyle="1" w:styleId="1ffff2">
    <w:name w:val="+列表1"/>
    <w:basedOn w:val="a"/>
    <w:qFormat/>
    <w:pPr>
      <w:jc w:val="center"/>
    </w:pPr>
    <w:rPr>
      <w:rFonts w:ascii="Times New Roman" w:eastAsia="宋体" w:hAnsi="Times New Roman" w:cs="Times New Roman"/>
      <w:szCs w:val="24"/>
    </w:rPr>
  </w:style>
  <w:style w:type="paragraph" w:customStyle="1" w:styleId="2221">
    <w:name w:val="222"/>
    <w:basedOn w:val="a"/>
    <w:qFormat/>
    <w:pPr>
      <w:spacing w:beforeLines="50" w:after="160"/>
      <w:jc w:val="center"/>
    </w:pPr>
    <w:rPr>
      <w:rFonts w:ascii="宋体" w:eastAsia="宋体" w:hAnsi="宋体" w:cs="Times New Roman"/>
      <w:b/>
      <w:bCs/>
      <w:sz w:val="44"/>
      <w:szCs w:val="36"/>
    </w:rPr>
  </w:style>
  <w:style w:type="paragraph" w:customStyle="1" w:styleId="ParaChar">
    <w:name w:val="默认段落字体 Para Char"/>
    <w:basedOn w:val="a"/>
    <w:qFormat/>
    <w:pPr>
      <w:spacing w:line="500" w:lineRule="exact"/>
      <w:ind w:firstLineChars="200" w:firstLine="560"/>
    </w:pPr>
    <w:rPr>
      <w:rFonts w:ascii="新宋体" w:eastAsia="新宋体" w:hAnsi="新宋体" w:cs="Times New Roman"/>
      <w:color w:val="000000"/>
      <w:sz w:val="28"/>
      <w:szCs w:val="28"/>
    </w:rPr>
  </w:style>
  <w:style w:type="paragraph" w:customStyle="1" w:styleId="21a">
    <w:name w:val="目录21"/>
    <w:basedOn w:val="a"/>
    <w:next w:val="a"/>
    <w:semiHidden/>
    <w:qFormat/>
    <w:pPr>
      <w:widowControl/>
      <w:spacing w:before="120" w:after="120"/>
      <w:jc w:val="left"/>
    </w:pPr>
    <w:rPr>
      <w:rFonts w:ascii="Calibri" w:eastAsia="宋体" w:hAnsi="Calibri" w:cs="Times New Roman"/>
      <w:b/>
      <w:bCs/>
      <w:caps/>
    </w:rPr>
  </w:style>
  <w:style w:type="paragraph" w:customStyle="1" w:styleId="afffffffffffff4">
    <w:name w:val="图形"/>
    <w:basedOn w:val="a"/>
    <w:qFormat/>
    <w:rPr>
      <w:rFonts w:ascii="Times New Roman" w:eastAsia="宋体" w:hAnsi="Times New Roman" w:cs="Times New Roman"/>
      <w:sz w:val="18"/>
      <w:szCs w:val="24"/>
    </w:rPr>
  </w:style>
  <w:style w:type="paragraph" w:customStyle="1" w:styleId="xl193">
    <w:name w:val="xl193"/>
    <w:basedOn w:val="a"/>
    <w:qFormat/>
    <w:pPr>
      <w:widowControl/>
      <w:pBdr>
        <w:left w:val="single" w:sz="4" w:space="0" w:color="auto"/>
        <w:bottom w:val="single" w:sz="4" w:space="0" w:color="auto"/>
        <w:right w:val="single" w:sz="4"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afffffffffffff5">
    <w:name w:val="列表标题"/>
    <w:basedOn w:val="a"/>
    <w:next w:val="a"/>
    <w:qFormat/>
    <w:pPr>
      <w:jc w:val="center"/>
    </w:pPr>
    <w:rPr>
      <w:rFonts w:ascii="Times New Roman" w:eastAsia="宋体" w:hAnsi="Times New Roman" w:cs="Times New Roman"/>
      <w:sz w:val="24"/>
      <w:szCs w:val="20"/>
    </w:rPr>
  </w:style>
  <w:style w:type="paragraph" w:customStyle="1" w:styleId="w">
    <w:name w:val="w"/>
    <w:basedOn w:val="a"/>
    <w:qFormat/>
    <w:pPr>
      <w:widowControl/>
      <w:spacing w:before="100" w:beforeAutospacing="1" w:after="100" w:afterAutospacing="1" w:line="360" w:lineRule="auto"/>
      <w:jc w:val="left"/>
    </w:pPr>
    <w:rPr>
      <w:rFonts w:ascii="Arial" w:eastAsia="宋体" w:hAnsi="Arial" w:cs="Arial"/>
      <w:kern w:val="0"/>
      <w:sz w:val="18"/>
      <w:szCs w:val="18"/>
    </w:rPr>
  </w:style>
  <w:style w:type="paragraph" w:customStyle="1" w:styleId="2fff7">
    <w:name w:val="条2"/>
    <w:basedOn w:val="a"/>
    <w:next w:val="a"/>
    <w:qFormat/>
    <w:pPr>
      <w:tabs>
        <w:tab w:val="left" w:pos="1080"/>
      </w:tabs>
      <w:outlineLvl w:val="1"/>
    </w:pPr>
    <w:rPr>
      <w:rFonts w:ascii="黑体" w:eastAsia="黑体" w:hAnsi="Times New Roman" w:cs="Times New Roman" w:hint="eastAsia"/>
      <w:kern w:val="21"/>
      <w:szCs w:val="20"/>
    </w:rPr>
  </w:style>
  <w:style w:type="paragraph" w:customStyle="1" w:styleId="afffffffffffff6">
    <w:name w:val="样式 样式 表格 + (符号) 宋体 五号 居中 + 小五"/>
    <w:basedOn w:val="a"/>
    <w:semiHidden/>
    <w:qFormat/>
    <w:pPr>
      <w:kinsoku w:val="0"/>
      <w:overflowPunct w:val="0"/>
      <w:adjustRightInd w:val="0"/>
      <w:snapToGrid w:val="0"/>
      <w:jc w:val="center"/>
    </w:pPr>
    <w:rPr>
      <w:rFonts w:ascii="Times New Roman" w:eastAsia="宋体" w:hAnsi="Times New Roman" w:cs="Times New Roman"/>
      <w:kern w:val="0"/>
      <w:sz w:val="18"/>
      <w:szCs w:val="21"/>
    </w:rPr>
  </w:style>
  <w:style w:type="paragraph" w:customStyle="1" w:styleId="66">
    <w:name w:val="6"/>
    <w:basedOn w:val="a"/>
    <w:next w:val="2c"/>
    <w:qFormat/>
    <w:pPr>
      <w:spacing w:after="120" w:line="480" w:lineRule="auto"/>
    </w:pPr>
    <w:rPr>
      <w:rFonts w:ascii="Times New Roman" w:eastAsia="宋体" w:hAnsi="Times New Roman" w:cs="Times New Roman"/>
      <w:szCs w:val="24"/>
    </w:rPr>
  </w:style>
  <w:style w:type="paragraph" w:customStyle="1" w:styleId="EIA">
    <w:name w:val="EIA正文"/>
    <w:basedOn w:val="a"/>
    <w:qFormat/>
    <w:pPr>
      <w:ind w:firstLineChars="200" w:firstLine="200"/>
    </w:pPr>
    <w:rPr>
      <w:rFonts w:ascii="Times New Roman" w:eastAsia="宋体" w:hAnsi="Times New Roman" w:cs="Times New Roman"/>
      <w:color w:val="000000"/>
      <w:sz w:val="24"/>
      <w:szCs w:val="20"/>
    </w:rPr>
  </w:style>
  <w:style w:type="paragraph" w:customStyle="1" w:styleId="31111111111211131111111">
    <w:name w:val="样式 标题 3条标题1.1.1条标题1.1.11条标题1.1.12条标题1.1.13条标题1.1.111条标题1.1..."/>
    <w:basedOn w:val="3"/>
    <w:qFormat/>
    <w:pPr>
      <w:widowControl w:val="0"/>
      <w:tabs>
        <w:tab w:val="left" w:pos="1418"/>
      </w:tabs>
      <w:spacing w:before="0" w:after="0" w:line="500" w:lineRule="exact"/>
      <w:jc w:val="both"/>
    </w:pPr>
    <w:rPr>
      <w:rFonts w:ascii="宋体" w:hAnsi="宋体"/>
      <w:bCs w:val="0"/>
      <w:kern w:val="2"/>
      <w:sz w:val="28"/>
      <w:szCs w:val="20"/>
    </w:rPr>
  </w:style>
  <w:style w:type="paragraph" w:customStyle="1" w:styleId="003">
    <w:name w:val="标题003"/>
    <w:basedOn w:val="a"/>
    <w:qFormat/>
    <w:pPr>
      <w:spacing w:before="120" w:line="440" w:lineRule="exact"/>
      <w:outlineLvl w:val="2"/>
    </w:pPr>
    <w:rPr>
      <w:rFonts w:ascii="Times New Roman" w:eastAsia="宋体" w:hAnsi="Times New Roman" w:cs="Times New Roman"/>
      <w:b/>
      <w:sz w:val="27"/>
      <w:szCs w:val="20"/>
    </w:rPr>
  </w:style>
  <w:style w:type="paragraph" w:customStyle="1" w:styleId="140">
    <w:name w:val="样式14"/>
    <w:basedOn w:val="af5"/>
    <w:next w:val="101"/>
    <w:qFormat/>
    <w:rPr>
      <w:rFonts w:ascii="Times New Roman" w:eastAsia="宋体" w:hAnsi="Times New Roman" w:cs="Times New Roman"/>
      <w:szCs w:val="24"/>
    </w:rPr>
  </w:style>
  <w:style w:type="paragraph" w:customStyle="1" w:styleId="101">
    <w:name w:val="小四宋居中1.0"/>
    <w:basedOn w:val="a"/>
    <w:next w:val="a"/>
    <w:qFormat/>
    <w:pPr>
      <w:spacing w:line="360" w:lineRule="atLeast"/>
      <w:jc w:val="center"/>
    </w:pPr>
    <w:rPr>
      <w:rFonts w:ascii="仿宋_GB2312" w:eastAsia="仿宋_GB2312" w:hAnsi="宋体" w:cs="Times New Roman" w:hint="eastAsia"/>
      <w:szCs w:val="24"/>
    </w:rPr>
  </w:style>
  <w:style w:type="paragraph" w:customStyle="1" w:styleId="2fff8">
    <w:name w:val="列表段落2"/>
    <w:basedOn w:val="a"/>
    <w:qFormat/>
    <w:pPr>
      <w:widowControl/>
      <w:ind w:firstLineChars="200" w:firstLine="420"/>
      <w:jc w:val="left"/>
    </w:pPr>
    <w:rPr>
      <w:rFonts w:ascii="Times New Roman" w:eastAsia="宋体" w:hAnsi="Times New Roman" w:cs="Times New Roman"/>
      <w:kern w:val="0"/>
      <w:sz w:val="24"/>
      <w:szCs w:val="20"/>
    </w:rPr>
  </w:style>
  <w:style w:type="paragraph" w:customStyle="1" w:styleId="GM">
    <w:name w:val="GM"/>
    <w:basedOn w:val="1"/>
    <w:qFormat/>
    <w:pPr>
      <w:keepNext/>
      <w:widowControl/>
      <w:tabs>
        <w:tab w:val="left" w:pos="425"/>
        <w:tab w:val="left" w:pos="2260"/>
        <w:tab w:val="left" w:pos="2820"/>
        <w:tab w:val="left" w:pos="3420"/>
      </w:tabs>
      <w:adjustRightInd w:val="0"/>
      <w:snapToGrid w:val="0"/>
      <w:spacing w:before="240"/>
      <w:ind w:left="851" w:right="-28" w:hanging="851"/>
      <w:jc w:val="both"/>
    </w:pPr>
    <w:rPr>
      <w:rFonts w:ascii="Arial" w:eastAsia="宋体" w:hAnsi="Arial" w:cs="Times New Roman"/>
      <w:bCs w:val="0"/>
      <w:sz w:val="22"/>
      <w:szCs w:val="20"/>
      <w:lang w:val="en-GB" w:eastAsia="zh-CN"/>
    </w:rPr>
  </w:style>
  <w:style w:type="paragraph" w:customStyle="1" w:styleId="afffffffffffff7">
    <w:name w:val="四级无标题条"/>
    <w:basedOn w:val="a"/>
    <w:qFormat/>
    <w:rPr>
      <w:rFonts w:ascii="Times New Roman" w:eastAsia="宋体" w:hAnsi="Times New Roman" w:cs="Times New Roman"/>
      <w:szCs w:val="24"/>
    </w:rPr>
  </w:style>
  <w:style w:type="paragraph" w:customStyle="1" w:styleId="xl132">
    <w:name w:val="xl132"/>
    <w:basedOn w:val="a"/>
    <w:qFormat/>
    <w:pPr>
      <w:widowControl/>
      <w:pBdr>
        <w:top w:val="single" w:sz="12" w:space="0" w:color="auto"/>
        <w:left w:val="single" w:sz="4"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c20">
    <w:name w:val="样式 c2 +"/>
    <w:basedOn w:val="c2"/>
    <w:qFormat/>
  </w:style>
  <w:style w:type="paragraph" w:customStyle="1" w:styleId="font11">
    <w:name w:val="font11"/>
    <w:basedOn w:val="a"/>
    <w:qFormat/>
    <w:pPr>
      <w:widowControl/>
      <w:spacing w:before="100" w:beforeAutospacing="1" w:after="100" w:afterAutospacing="1"/>
      <w:jc w:val="left"/>
    </w:pPr>
    <w:rPr>
      <w:rFonts w:ascii="幼圆" w:eastAsia="幼圆" w:hAnsi="Arial Unicode MS" w:cs="Arial Unicode MS" w:hint="eastAsia"/>
      <w:kern w:val="0"/>
      <w:szCs w:val="21"/>
    </w:rPr>
  </w:style>
  <w:style w:type="paragraph" w:customStyle="1" w:styleId="xl203">
    <w:name w:val="xl203"/>
    <w:basedOn w:val="a"/>
    <w:qFormat/>
    <w:pPr>
      <w:widowControl/>
      <w:pBdr>
        <w:top w:val="single" w:sz="8" w:space="0" w:color="auto"/>
        <w:lef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171">
    <w:name w:val="17"/>
    <w:qFormat/>
    <w:pPr>
      <w:widowControl w:val="0"/>
      <w:jc w:val="both"/>
    </w:pPr>
    <w:rPr>
      <w:rFonts w:ascii="Times New Roman" w:eastAsia="宋体" w:hAnsi="Times New Roman" w:cs="Times New Roman"/>
      <w:kern w:val="2"/>
      <w:sz w:val="21"/>
      <w:szCs w:val="24"/>
    </w:rPr>
  </w:style>
  <w:style w:type="paragraph" w:customStyle="1" w:styleId="911">
    <w:name w:val="目录 911"/>
    <w:basedOn w:val="a"/>
    <w:next w:val="a"/>
    <w:qFormat/>
    <w:pPr>
      <w:ind w:left="1470"/>
      <w:jc w:val="left"/>
    </w:pPr>
    <w:rPr>
      <w:rFonts w:ascii="Times New Roman" w:eastAsia="宋体" w:hAnsi="Times New Roman" w:cs="Times New Roman"/>
      <w:sz w:val="20"/>
      <w:szCs w:val="20"/>
    </w:rPr>
  </w:style>
  <w:style w:type="paragraph" w:customStyle="1" w:styleId="hb3">
    <w:name w:val="hb3"/>
    <w:basedOn w:val="3"/>
    <w:qFormat/>
    <w:pPr>
      <w:widowControl w:val="0"/>
      <w:tabs>
        <w:tab w:val="left" w:pos="1418"/>
      </w:tabs>
      <w:adjustRightInd w:val="0"/>
      <w:spacing w:line="240" w:lineRule="auto"/>
      <w:textAlignment w:val="baseline"/>
    </w:pPr>
    <w:rPr>
      <w:rFonts w:ascii="宋体" w:hAnsi="宋体"/>
      <w:bCs w:val="0"/>
      <w:sz w:val="24"/>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152">
    <w:name w:val="样式 行距: 1.5 倍行距"/>
    <w:basedOn w:val="a"/>
    <w:qFormat/>
    <w:pPr>
      <w:spacing w:line="360" w:lineRule="auto"/>
      <w:ind w:firstLineChars="200" w:firstLine="480"/>
    </w:pPr>
    <w:rPr>
      <w:rFonts w:ascii="宋体" w:eastAsia="宋体" w:hAnsi="宋体" w:cs="Times New Roman"/>
      <w:color w:val="FF0000"/>
      <w:kern w:val="0"/>
      <w:sz w:val="24"/>
      <w:szCs w:val="24"/>
    </w:rPr>
  </w:style>
  <w:style w:type="paragraph" w:customStyle="1" w:styleId="1ffff3">
    <w:name w:val="标准符号 行距1倍"/>
    <w:basedOn w:val="a"/>
    <w:qFormat/>
    <w:pPr>
      <w:adjustRightInd w:val="0"/>
      <w:snapToGrid w:val="0"/>
      <w:spacing w:beforeLines="50" w:before="156"/>
      <w:jc w:val="center"/>
      <w:textAlignment w:val="center"/>
    </w:pPr>
    <w:rPr>
      <w:rFonts w:ascii="黑体" w:eastAsia="黑体" w:hAnsi="Times New Roman" w:cs="宋体"/>
      <w:color w:val="000000"/>
      <w:kern w:val="0"/>
      <w:sz w:val="24"/>
      <w:szCs w:val="24"/>
    </w:rPr>
  </w:style>
  <w:style w:type="paragraph" w:customStyle="1" w:styleId="xl70">
    <w:name w:val="xl70"/>
    <w:basedOn w:val="a"/>
    <w:qFormat/>
    <w:pPr>
      <w:widowControl/>
      <w:pBdr>
        <w:bottom w:val="single" w:sz="12" w:space="0" w:color="auto"/>
      </w:pBdr>
      <w:spacing w:before="100" w:beforeAutospacing="1" w:after="100" w:afterAutospacing="1"/>
      <w:jc w:val="left"/>
    </w:pPr>
    <w:rPr>
      <w:rFonts w:ascii="Arial Unicode MS" w:eastAsia="宋体" w:hAnsi="Arial Unicode MS" w:cs="Times New Roman"/>
      <w:kern w:val="0"/>
      <w:sz w:val="12"/>
      <w:szCs w:val="12"/>
    </w:rPr>
  </w:style>
  <w:style w:type="paragraph" w:customStyle="1" w:styleId="-016">
    <w:name w:val="样式 左侧:  -0.16 厘米"/>
    <w:basedOn w:val="a"/>
    <w:qFormat/>
    <w:pPr>
      <w:ind w:left="-90"/>
    </w:pPr>
    <w:rPr>
      <w:rFonts w:ascii="宋体" w:eastAsia="宋体" w:hAnsi="宋体" w:cs="宋体"/>
      <w:kern w:val="0"/>
      <w:sz w:val="24"/>
      <w:szCs w:val="24"/>
    </w:rPr>
  </w:style>
  <w:style w:type="paragraph" w:customStyle="1" w:styleId="zw">
    <w:name w:val="zw"/>
    <w:basedOn w:val="a"/>
    <w:qFormat/>
    <w:pPr>
      <w:widowControl/>
      <w:spacing w:before="100" w:beforeAutospacing="1" w:after="100" w:afterAutospacing="1" w:line="330" w:lineRule="atLeast"/>
      <w:jc w:val="left"/>
    </w:pPr>
    <w:rPr>
      <w:rFonts w:ascii="Arial" w:eastAsia="Times New Roman" w:hAnsi="Arial" w:cs="Arial"/>
      <w:color w:val="333333"/>
      <w:kern w:val="0"/>
      <w:sz w:val="18"/>
      <w:szCs w:val="18"/>
    </w:rPr>
  </w:style>
  <w:style w:type="paragraph" w:customStyle="1" w:styleId="1ffff4">
    <w:name w:val="纯文本1"/>
    <w:basedOn w:val="a"/>
    <w:qFormat/>
    <w:pPr>
      <w:adjustRightInd w:val="0"/>
      <w:textAlignment w:val="baseline"/>
    </w:pPr>
    <w:rPr>
      <w:rFonts w:ascii="宋体" w:eastAsia="宋体" w:hAnsi="Courier New" w:cs="Times New Roman"/>
      <w:szCs w:val="20"/>
    </w:rPr>
  </w:style>
  <w:style w:type="paragraph" w:customStyle="1" w:styleId="125">
    <w:name w:val="12"/>
    <w:qFormat/>
    <w:pPr>
      <w:widowControl w:val="0"/>
      <w:jc w:val="both"/>
    </w:pPr>
    <w:rPr>
      <w:rFonts w:ascii="Times New Roman" w:eastAsia="宋体" w:hAnsi="Times New Roman" w:cs="Times New Roman"/>
      <w:kern w:val="2"/>
      <w:sz w:val="21"/>
      <w:szCs w:val="24"/>
    </w:rPr>
  </w:style>
  <w:style w:type="paragraph" w:customStyle="1" w:styleId="CharCharChar1CharCharCharCharCharChar1CharCharCharCharCharCharCharCharCharChar2">
    <w:name w:val="Char Char Char1 Char Char Char Char Char Char1 Char Char Char Char Char Char Char Char Char Char2"/>
    <w:basedOn w:val="a"/>
    <w:qFormat/>
    <w:rPr>
      <w:rFonts w:ascii="宋体" w:eastAsia="宋体" w:hAnsi="宋体" w:cs="Times New Roman"/>
      <w:sz w:val="24"/>
      <w:szCs w:val="24"/>
    </w:rPr>
  </w:style>
  <w:style w:type="paragraph" w:customStyle="1" w:styleId="CharCharCharChar20">
    <w:name w:val="Char Char Char Char2"/>
    <w:basedOn w:val="a"/>
    <w:qFormat/>
    <w:pPr>
      <w:tabs>
        <w:tab w:val="left" w:pos="0"/>
      </w:tabs>
    </w:pPr>
    <w:rPr>
      <w:rFonts w:ascii="Times New Roman" w:eastAsia="宋体" w:hAnsi="Times New Roman" w:cs="Times New Roman"/>
      <w:sz w:val="24"/>
      <w:szCs w:val="24"/>
    </w:rPr>
  </w:style>
  <w:style w:type="paragraph" w:customStyle="1" w:styleId="126">
    <w:name w:val="日期12"/>
    <w:basedOn w:val="a"/>
    <w:next w:val="a"/>
    <w:semiHidden/>
    <w:qFormat/>
    <w:pPr>
      <w:adjustRightInd w:val="0"/>
      <w:jc w:val="left"/>
      <w:textAlignment w:val="baseline"/>
    </w:pPr>
    <w:rPr>
      <w:rFonts w:ascii="宋体" w:eastAsia="宋体" w:hAnsi="Times New Roman" w:cs="Times New Roman"/>
      <w:spacing w:val="24"/>
      <w:kern w:val="24"/>
      <w:sz w:val="24"/>
      <w:szCs w:val="20"/>
    </w:rPr>
  </w:style>
  <w:style w:type="paragraph" w:customStyle="1" w:styleId="afffffffffffff8">
    <w:name w:val="五级条标题"/>
    <w:basedOn w:val="afffffffffffff9"/>
    <w:next w:val="a"/>
    <w:qFormat/>
    <w:pPr>
      <w:outlineLvl w:val="6"/>
    </w:pPr>
  </w:style>
  <w:style w:type="paragraph" w:customStyle="1" w:styleId="afffffffffffff9">
    <w:name w:val="四级条标题"/>
    <w:basedOn w:val="afffffffffff4"/>
    <w:next w:val="a"/>
    <w:qFormat/>
    <w:pPr>
      <w:outlineLvl w:val="5"/>
    </w:pPr>
  </w:style>
  <w:style w:type="paragraph" w:customStyle="1" w:styleId="xl181">
    <w:name w:val="xl181"/>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p20">
    <w:name w:val="p20"/>
    <w:basedOn w:val="a"/>
    <w:qFormat/>
    <w:pPr>
      <w:widowControl/>
      <w:spacing w:line="320" w:lineRule="atLeast"/>
      <w:jc w:val="center"/>
    </w:pPr>
    <w:rPr>
      <w:rFonts w:ascii="宋体" w:eastAsia="宋体" w:hAnsi="宋体" w:cs="宋体"/>
      <w:kern w:val="0"/>
      <w:szCs w:val="21"/>
    </w:rPr>
  </w:style>
  <w:style w:type="paragraph" w:customStyle="1" w:styleId="CharCharCharChar1CharCharCharCharCharCharChar">
    <w:name w:val="Char Char Char Char1 Char Char Char Char Char Char Char"/>
    <w:basedOn w:val="a"/>
    <w:qFormat/>
    <w:pPr>
      <w:tabs>
        <w:tab w:val="left" w:pos="360"/>
      </w:tabs>
      <w:snapToGrid w:val="0"/>
      <w:spacing w:line="360" w:lineRule="auto"/>
    </w:pPr>
    <w:rPr>
      <w:rFonts w:ascii="Times New Roman" w:eastAsia="仿宋_GB2312" w:hAnsi="Times New Roman" w:cs="宋体"/>
      <w:sz w:val="24"/>
      <w:szCs w:val="24"/>
    </w:rPr>
  </w:style>
  <w:style w:type="paragraph" w:customStyle="1" w:styleId="CharCharCharChar25">
    <w:name w:val="Char Char Char Char25"/>
    <w:basedOn w:val="a"/>
    <w:qFormat/>
    <w:rPr>
      <w:rFonts w:ascii="Times New Roman" w:eastAsia="宋体" w:hAnsi="Times New Roman" w:cs="Times New Roman"/>
      <w:sz w:val="24"/>
      <w:szCs w:val="24"/>
    </w:rPr>
  </w:style>
  <w:style w:type="paragraph" w:customStyle="1" w:styleId="2fff9">
    <w:name w:val="样式 (西文) 宋体 首行缩进:  2 字符"/>
    <w:basedOn w:val="a"/>
    <w:qFormat/>
    <w:pPr>
      <w:widowControl/>
      <w:spacing w:line="360" w:lineRule="auto"/>
      <w:ind w:firstLineChars="200" w:firstLine="480"/>
      <w:jc w:val="left"/>
    </w:pPr>
    <w:rPr>
      <w:rFonts w:ascii="宋体" w:eastAsia="宋体" w:hAnsi="宋体" w:cs="宋体"/>
      <w:spacing w:val="20"/>
      <w:kern w:val="0"/>
      <w:sz w:val="24"/>
      <w:szCs w:val="24"/>
    </w:rPr>
  </w:style>
  <w:style w:type="paragraph" w:customStyle="1" w:styleId="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1"/>
    <w:basedOn w:val="a"/>
    <w:semiHidden/>
    <w:qFormat/>
    <w:rPr>
      <w:rFonts w:ascii="Times New Roman" w:eastAsia="宋体" w:hAnsi="Times New Roman" w:cs="Times New Roman"/>
      <w:szCs w:val="24"/>
    </w:rPr>
  </w:style>
  <w:style w:type="paragraph" w:customStyle="1" w:styleId="2fffa">
    <w:name w:val="样式 四号 首行缩进:  2 字符"/>
    <w:basedOn w:val="a"/>
    <w:qFormat/>
    <w:pPr>
      <w:snapToGrid w:val="0"/>
      <w:spacing w:line="360" w:lineRule="auto"/>
      <w:ind w:firstLineChars="200" w:firstLine="560"/>
    </w:pPr>
    <w:rPr>
      <w:rFonts w:ascii="Times New Roman" w:eastAsia="宋体" w:hAnsi="Times New Roman" w:cs="Times New Roman"/>
      <w:color w:val="0000FF"/>
      <w:sz w:val="28"/>
      <w:szCs w:val="20"/>
    </w:rPr>
  </w:style>
  <w:style w:type="paragraph" w:customStyle="1" w:styleId="XYF1">
    <w:name w:val="XYF1"/>
    <w:basedOn w:val="a"/>
    <w:qFormat/>
    <w:pPr>
      <w:tabs>
        <w:tab w:val="left" w:pos="1080"/>
      </w:tabs>
      <w:spacing w:line="440" w:lineRule="exact"/>
      <w:ind w:firstLineChars="195" w:firstLine="195"/>
    </w:pPr>
    <w:rPr>
      <w:rFonts w:ascii="Times New Roman" w:eastAsia="宋体" w:hAnsi="Times New Roman" w:cs="Times New Roman"/>
      <w:sz w:val="24"/>
      <w:szCs w:val="24"/>
    </w:rPr>
  </w:style>
  <w:style w:type="paragraph" w:customStyle="1" w:styleId="118">
    <w:name w:val="1.1标题"/>
    <w:next w:val="a"/>
    <w:qFormat/>
    <w:pPr>
      <w:adjustRightInd w:val="0"/>
      <w:snapToGrid w:val="0"/>
      <w:spacing w:beforeLines="50" w:line="500" w:lineRule="exact"/>
      <w:jc w:val="both"/>
      <w:outlineLvl w:val="1"/>
    </w:pPr>
    <w:rPr>
      <w:rFonts w:ascii="Times New Roman" w:eastAsia="楷体_GB2312" w:hAnsi="Times New Roman" w:cs="Times New Roman"/>
      <w:b/>
      <w:kern w:val="2"/>
      <w:sz w:val="32"/>
      <w:szCs w:val="32"/>
    </w:rPr>
  </w:style>
  <w:style w:type="paragraph" w:customStyle="1" w:styleId="Texte">
    <w:name w:val="Texte"/>
    <w:basedOn w:val="a"/>
    <w:qFormat/>
    <w:pPr>
      <w:widowControl/>
      <w:spacing w:before="120" w:after="120"/>
      <w:ind w:left="851" w:firstLineChars="200" w:firstLine="200"/>
    </w:pPr>
    <w:rPr>
      <w:rFonts w:ascii="Arial" w:eastAsia="宋体" w:hAnsi="Arial" w:cs="Times New Roman"/>
      <w:kern w:val="0"/>
      <w:sz w:val="22"/>
      <w:szCs w:val="20"/>
      <w:lang w:val="en-GB"/>
    </w:rPr>
  </w:style>
  <w:style w:type="paragraph" w:customStyle="1" w:styleId="sitemcompany">
    <w:name w:val="sitemcompany"/>
    <w:basedOn w:val="a"/>
    <w:qFormat/>
    <w:pPr>
      <w:widowControl/>
      <w:spacing w:before="100" w:beforeAutospacing="1" w:after="100" w:afterAutospacing="1"/>
      <w:jc w:val="left"/>
    </w:pPr>
    <w:rPr>
      <w:rFonts w:ascii="宋体" w:eastAsia="宋体" w:hAnsi="宋体" w:cs="Times New Roman"/>
      <w:kern w:val="0"/>
      <w:sz w:val="24"/>
      <w:szCs w:val="20"/>
    </w:rPr>
  </w:style>
  <w:style w:type="paragraph" w:customStyle="1" w:styleId="366173">
    <w:name w:val="样式 标题 3 + 段前: 6 磅 段后: 6 磅 行距: 多倍行距 1.73 字行"/>
    <w:basedOn w:val="3"/>
    <w:qFormat/>
    <w:pPr>
      <w:widowControl w:val="0"/>
      <w:tabs>
        <w:tab w:val="left" w:pos="1418"/>
      </w:tabs>
      <w:spacing w:before="120" w:after="120" w:line="415" w:lineRule="auto"/>
      <w:jc w:val="both"/>
    </w:pPr>
    <w:rPr>
      <w:rFonts w:cs="宋体"/>
      <w:kern w:val="2"/>
      <w:szCs w:val="20"/>
    </w:rPr>
  </w:style>
  <w:style w:type="paragraph" w:customStyle="1" w:styleId="1ffff5">
    <w:name w:val="标题正1"/>
    <w:basedOn w:val="a"/>
    <w:qFormat/>
    <w:pPr>
      <w:spacing w:before="60" w:after="60" w:line="500" w:lineRule="exact"/>
    </w:pPr>
    <w:rPr>
      <w:rFonts w:ascii="黑体" w:eastAsia="黑体" w:hAnsi="Times New Roman" w:cs="Times New Roman"/>
      <w:sz w:val="32"/>
      <w:szCs w:val="28"/>
    </w:rPr>
  </w:style>
  <w:style w:type="paragraph" w:customStyle="1" w:styleId="CharCharCharChar10">
    <w:name w:val="Char Char Char Char1"/>
    <w:basedOn w:val="a"/>
    <w:qFormat/>
    <w:pPr>
      <w:widowControl/>
      <w:jc w:val="left"/>
    </w:pPr>
    <w:rPr>
      <w:rFonts w:ascii="Times New Roman" w:eastAsia="宋体" w:hAnsi="Times New Roman" w:cs="Times New Roman"/>
      <w:kern w:val="0"/>
      <w:sz w:val="24"/>
      <w:szCs w:val="20"/>
    </w:rPr>
  </w:style>
  <w:style w:type="paragraph" w:customStyle="1" w:styleId="119">
    <w:name w:val="正文首行缩进11"/>
    <w:basedOn w:val="af5"/>
    <w:qFormat/>
    <w:pPr>
      <w:widowControl/>
      <w:ind w:firstLineChars="100" w:firstLine="420"/>
      <w:jc w:val="left"/>
    </w:pPr>
    <w:rPr>
      <w:rFonts w:ascii="Times New Roman" w:eastAsia="宋体" w:hAnsi="Times New Roman" w:cs="Times New Roman"/>
      <w:sz w:val="24"/>
      <w:szCs w:val="20"/>
    </w:rPr>
  </w:style>
  <w:style w:type="paragraph" w:customStyle="1" w:styleId="00">
    <w:name w:val="样式 首行缩进:  0 字符"/>
    <w:basedOn w:val="a"/>
    <w:qFormat/>
    <w:pPr>
      <w:spacing w:line="360" w:lineRule="auto"/>
      <w:ind w:firstLineChars="200" w:firstLine="200"/>
    </w:pPr>
    <w:rPr>
      <w:rFonts w:ascii="Times New Roman" w:eastAsia="宋体" w:hAnsi="Times New Roman" w:cs="Times New Roman"/>
      <w:sz w:val="24"/>
      <w:szCs w:val="20"/>
    </w:rPr>
  </w:style>
  <w:style w:type="paragraph" w:customStyle="1" w:styleId="33CharChar1113h33rdlevelH3l3CT">
    <w:name w:val="样式 标题 3标题 3 Char Char条标题1.1.13h33rd levelH3l3CT + 黑色 行距..."/>
    <w:basedOn w:val="3"/>
    <w:qFormat/>
    <w:pPr>
      <w:widowControl w:val="0"/>
      <w:tabs>
        <w:tab w:val="left" w:pos="780"/>
        <w:tab w:val="left" w:pos="1418"/>
      </w:tabs>
      <w:snapToGrid w:val="0"/>
      <w:spacing w:before="0" w:after="0" w:line="500" w:lineRule="exact"/>
      <w:ind w:left="627" w:hanging="567"/>
      <w:jc w:val="both"/>
    </w:pPr>
    <w:rPr>
      <w:rFonts w:cs="宋体"/>
      <w:color w:val="000000"/>
      <w:kern w:val="2"/>
      <w:sz w:val="24"/>
      <w:szCs w:val="20"/>
    </w:rPr>
  </w:style>
  <w:style w:type="paragraph" w:customStyle="1" w:styleId="afffffffffffffa">
    <w:name w:val="自定义缩进"/>
    <w:basedOn w:val="a"/>
    <w:qFormat/>
    <w:pPr>
      <w:keepNext/>
      <w:spacing w:line="300" w:lineRule="exact"/>
      <w:ind w:firstLineChars="200" w:firstLine="360"/>
    </w:pPr>
    <w:rPr>
      <w:rFonts w:ascii="宋体" w:eastAsia="宋体" w:hAnsi="宋体" w:cs="Times New Roman"/>
      <w:color w:val="000000"/>
      <w:kern w:val="0"/>
      <w:sz w:val="18"/>
      <w:szCs w:val="18"/>
    </w:rPr>
  </w:style>
  <w:style w:type="paragraph" w:customStyle="1" w:styleId="xl183">
    <w:name w:val="xl183"/>
    <w:basedOn w:val="a"/>
    <w:qFormat/>
    <w:pPr>
      <w:widowControl/>
      <w:pBdr>
        <w:left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xl130">
    <w:name w:val="xl130"/>
    <w:basedOn w:val="a"/>
    <w:qFormat/>
    <w:pPr>
      <w:widowControl/>
      <w:pBdr>
        <w:left w:val="single" w:sz="4" w:space="0" w:color="auto"/>
        <w:right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afffffffffffffb">
    <w:name w:val="证书面正文"/>
    <w:basedOn w:val="affffff3"/>
    <w:qFormat/>
    <w:pPr>
      <w:spacing w:line="360" w:lineRule="auto"/>
    </w:pPr>
    <w:rPr>
      <w:rFonts w:hAnsi="黑体"/>
      <w:kern w:val="0"/>
      <w:sz w:val="30"/>
      <w:szCs w:val="30"/>
    </w:rPr>
  </w:style>
  <w:style w:type="paragraph" w:customStyle="1" w:styleId="4d">
    <w:name w:val="样式 标题 4 + 黑体 小四 非加粗"/>
    <w:basedOn w:val="41"/>
    <w:qFormat/>
    <w:pPr>
      <w:keepNext/>
      <w:keepLines/>
      <w:tabs>
        <w:tab w:val="left" w:pos="864"/>
        <w:tab w:val="left" w:pos="1984"/>
      </w:tabs>
      <w:adjustRightInd w:val="0"/>
      <w:spacing w:before="0" w:line="500" w:lineRule="exact"/>
      <w:ind w:left="864" w:hanging="864"/>
      <w:jc w:val="both"/>
      <w:textAlignment w:val="baseline"/>
    </w:pPr>
    <w:rPr>
      <w:rFonts w:ascii="黑体" w:hAnsi="黑体" w:cs="Times New Roman"/>
      <w:b/>
      <w:bCs/>
      <w:spacing w:val="10"/>
      <w:sz w:val="24"/>
      <w:szCs w:val="24"/>
      <w:lang w:eastAsia="zh-CN"/>
    </w:rPr>
  </w:style>
  <w:style w:type="paragraph" w:customStyle="1" w:styleId="CharCharChar1Char5">
    <w:name w:val="Char Char Char1 Char5"/>
    <w:basedOn w:val="2"/>
    <w:qFormat/>
    <w:pPr>
      <w:keepNext w:val="0"/>
      <w:keepLines w:val="0"/>
      <w:spacing w:before="0" w:after="0" w:line="520" w:lineRule="exact"/>
    </w:pPr>
    <w:rPr>
      <w:rFonts w:ascii="Times New Roman" w:eastAsia="宋体" w:hAnsi="Times New Roman" w:cs="Times New Roman"/>
      <w:kern w:val="0"/>
      <w:sz w:val="28"/>
      <w:szCs w:val="28"/>
    </w:rPr>
  </w:style>
  <w:style w:type="paragraph" w:customStyle="1" w:styleId="Section11">
    <w:name w:val="Section 1.1"/>
    <w:basedOn w:val="a"/>
    <w:qFormat/>
    <w:pPr>
      <w:widowControl/>
      <w:spacing w:after="240"/>
      <w:ind w:left="1440" w:hanging="720"/>
      <w:jc w:val="left"/>
    </w:pPr>
    <w:rPr>
      <w:rFonts w:ascii="Times New Roman" w:eastAsia="宋体" w:hAnsi="Times New Roman" w:cs="Times New Roman"/>
      <w:kern w:val="0"/>
      <w:sz w:val="22"/>
      <w:szCs w:val="20"/>
      <w:lang w:val="en-GB" w:eastAsia="en-US"/>
    </w:rPr>
  </w:style>
  <w:style w:type="paragraph" w:customStyle="1" w:styleId="1520">
    <w:name w:val="淮安正文样式 小四 行距: 1.5 倍行距 首行缩进:  2 字符"/>
    <w:basedOn w:val="a"/>
    <w:qFormat/>
    <w:pPr>
      <w:adjustRightInd w:val="0"/>
      <w:snapToGrid w:val="0"/>
      <w:ind w:firstLineChars="200" w:firstLine="480"/>
    </w:pPr>
    <w:rPr>
      <w:rFonts w:ascii="Times New Roman" w:eastAsia="宋体" w:hAnsi="Times New Roman" w:cs="Times New Roman"/>
      <w:color w:val="0000FF"/>
      <w:kern w:val="0"/>
      <w:sz w:val="24"/>
      <w:szCs w:val="28"/>
    </w:rPr>
  </w:style>
  <w:style w:type="paragraph" w:customStyle="1" w:styleId="CharCharChar1Char12">
    <w:name w:val="Char Char Char1 Char12"/>
    <w:basedOn w:val="2"/>
    <w:semiHidden/>
    <w:qFormat/>
    <w:pPr>
      <w:spacing w:line="520" w:lineRule="exact"/>
    </w:pPr>
    <w:rPr>
      <w:rFonts w:ascii="Times New Roman" w:eastAsia="宋体" w:hAnsi="Arial" w:cs="Times New Roman"/>
      <w:sz w:val="28"/>
    </w:rPr>
  </w:style>
  <w:style w:type="paragraph" w:customStyle="1" w:styleId="8210">
    <w:name w:val="样式 正文(首行缩进) + 8 磅 加粗 首行缩进:  2 字符1"/>
    <w:basedOn w:val="a"/>
    <w:semiHidden/>
    <w:qFormat/>
    <w:pPr>
      <w:adjustRightInd w:val="0"/>
      <w:snapToGrid w:val="0"/>
      <w:ind w:firstLineChars="200" w:firstLine="200"/>
    </w:pPr>
    <w:rPr>
      <w:rFonts w:ascii="Times New Roman" w:eastAsia="宋体" w:hAnsi="Times New Roman" w:cs="宋体"/>
      <w:b/>
      <w:bCs/>
      <w:kern w:val="0"/>
      <w:sz w:val="16"/>
      <w:szCs w:val="20"/>
    </w:rPr>
  </w:style>
  <w:style w:type="paragraph" w:customStyle="1" w:styleId="33Char3CharCharCharCharCharCharCharCharC3">
    <w:name w:val="样式 标题 3标题 3 Char标题 3 Char Char Char Char Char Char Char Char C...3"/>
    <w:basedOn w:val="3"/>
    <w:qFormat/>
    <w:pPr>
      <w:widowControl w:val="0"/>
      <w:tabs>
        <w:tab w:val="left" w:pos="1418"/>
      </w:tabs>
      <w:spacing w:before="0" w:after="0" w:line="360" w:lineRule="auto"/>
      <w:ind w:left="720" w:hanging="720"/>
      <w:jc w:val="both"/>
    </w:pPr>
    <w:rPr>
      <w:rFonts w:ascii="宋体" w:hAnsi="宋体" w:cs="宋体"/>
      <w:color w:val="000000"/>
      <w:kern w:val="2"/>
      <w:sz w:val="28"/>
      <w:szCs w:val="20"/>
    </w:rPr>
  </w:style>
  <w:style w:type="paragraph" w:customStyle="1" w:styleId="xl180">
    <w:name w:val="xl180"/>
    <w:basedOn w:val="a"/>
    <w:qFormat/>
    <w:pPr>
      <w:widowControl/>
      <w:pBdr>
        <w:left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1000">
    <w:name w:val="样式 标题 1 + 左侧:  0 厘米 首行缩进:  0 厘米"/>
    <w:basedOn w:val="1"/>
    <w:qFormat/>
    <w:pPr>
      <w:keepNext/>
      <w:tabs>
        <w:tab w:val="left" w:pos="425"/>
      </w:tabs>
      <w:spacing w:before="0" w:line="360" w:lineRule="auto"/>
      <w:ind w:left="0"/>
    </w:pPr>
    <w:rPr>
      <w:rFonts w:eastAsia="宋体" w:cs="宋体"/>
      <w:b w:val="0"/>
      <w:bCs w:val="0"/>
      <w:kern w:val="2"/>
      <w:sz w:val="32"/>
      <w:szCs w:val="20"/>
      <w:lang w:eastAsia="zh-CN"/>
    </w:rPr>
  </w:style>
  <w:style w:type="paragraph" w:customStyle="1" w:styleId="CharCharCharCharCharCharCharCharCharCharCharCharCharCharCharCharCharCharCharCharCharCharCharCharCharCharCharCharCharCharCharCharChar1CharCharCharCharCharChar">
    <w:name w:val="Char Char Char Char Char Char Char Char Char Char Char Char Char Char Char Char Char Char Char Char Char Char Char Char Char Char Char Char Char Char Char Char Char1 Char Char Char Char Char Char"/>
    <w:basedOn w:val="a"/>
    <w:qFormat/>
    <w:rPr>
      <w:rFonts w:ascii="Times New Roman" w:eastAsia="宋体" w:hAnsi="Times New Roman" w:cs="Times New Roman"/>
      <w:sz w:val="24"/>
      <w:szCs w:val="24"/>
    </w:rPr>
  </w:style>
  <w:style w:type="paragraph" w:customStyle="1" w:styleId="afffffffffffffc">
    <w:name w:val="我的样式"/>
    <w:basedOn w:val="a"/>
    <w:qFormat/>
    <w:pPr>
      <w:spacing w:line="440" w:lineRule="exact"/>
    </w:pPr>
    <w:rPr>
      <w:rFonts w:ascii="宋体" w:eastAsia="宋体" w:hAnsi="Times New Roman" w:cs="Times New Roman"/>
      <w:sz w:val="28"/>
      <w:szCs w:val="20"/>
    </w:rPr>
  </w:style>
  <w:style w:type="paragraph" w:customStyle="1" w:styleId="251">
    <w:name w:val="样式 行距: 最小值 25 磅"/>
    <w:basedOn w:val="a"/>
    <w:qFormat/>
    <w:pPr>
      <w:tabs>
        <w:tab w:val="left" w:pos="425"/>
      </w:tabs>
      <w:spacing w:line="500" w:lineRule="atLeast"/>
      <w:ind w:left="425" w:hanging="425"/>
    </w:pPr>
    <w:rPr>
      <w:rFonts w:ascii="Times New Roman" w:eastAsia="宋体" w:hAnsi="Times New Roman" w:cs="宋体"/>
      <w:sz w:val="28"/>
      <w:szCs w:val="20"/>
    </w:rPr>
  </w:style>
  <w:style w:type="paragraph" w:customStyle="1" w:styleId="153">
    <w:name w:val="样式 小四 行距: 1.5 倍行距"/>
    <w:basedOn w:val="a"/>
    <w:qFormat/>
    <w:pPr>
      <w:spacing w:line="360" w:lineRule="auto"/>
      <w:ind w:firstLineChars="200" w:firstLine="200"/>
    </w:pPr>
    <w:rPr>
      <w:rFonts w:ascii="Times New Roman" w:eastAsia="宋体" w:hAnsi="Times New Roman" w:cs="宋体"/>
      <w:kern w:val="0"/>
      <w:sz w:val="24"/>
      <w:szCs w:val="20"/>
    </w:rPr>
  </w:style>
  <w:style w:type="paragraph" w:customStyle="1" w:styleId="3ff6">
    <w:name w:val="目录3"/>
    <w:basedOn w:val="a"/>
    <w:next w:val="a"/>
    <w:semiHidden/>
    <w:qFormat/>
    <w:pPr>
      <w:widowControl/>
      <w:tabs>
        <w:tab w:val="left" w:leader="dot" w:pos="8492"/>
      </w:tabs>
      <w:spacing w:line="748" w:lineRule="atLeast"/>
      <w:ind w:left="419" w:firstLine="419"/>
    </w:pPr>
    <w:rPr>
      <w:rFonts w:ascii="宋体" w:eastAsia="宋体" w:hAnsi="Times New Roman" w:cs="Times New Roman"/>
      <w:color w:val="000000"/>
      <w:kern w:val="0"/>
      <w:szCs w:val="20"/>
    </w:rPr>
  </w:style>
  <w:style w:type="paragraph" w:customStyle="1" w:styleId="CharChar1CharCharCharChar1">
    <w:name w:val="Char Char1 Char Char Char Char1"/>
    <w:basedOn w:val="a"/>
    <w:qFormat/>
    <w:rPr>
      <w:rFonts w:ascii="Times New Roman" w:eastAsia="宋体" w:hAnsi="Times New Roman" w:cs="Times New Roman"/>
      <w:sz w:val="24"/>
      <w:szCs w:val="24"/>
    </w:rPr>
  </w:style>
  <w:style w:type="paragraph" w:customStyle="1" w:styleId="CharCharfff3">
    <w:name w:val="批注框文本 Char Char"/>
    <w:basedOn w:val="a"/>
    <w:qFormat/>
    <w:rPr>
      <w:rFonts w:ascii="Times New Roman" w:eastAsia="宋体" w:hAnsi="Times New Roman" w:cs="Times New Roman"/>
      <w:sz w:val="18"/>
      <w:szCs w:val="20"/>
    </w:rPr>
  </w:style>
  <w:style w:type="paragraph" w:customStyle="1" w:styleId="afffffffffffffd">
    <w:name w:val="文字块"/>
    <w:basedOn w:val="a"/>
    <w:qFormat/>
    <w:pPr>
      <w:adjustRightInd w:val="0"/>
      <w:spacing w:line="360" w:lineRule="auto"/>
      <w:ind w:left="-360" w:right="-57" w:firstLine="303"/>
    </w:pPr>
    <w:rPr>
      <w:rFonts w:ascii="Times New Roman" w:eastAsia="宋体" w:hAnsi="Times New Roman" w:cs="Times New Roman"/>
      <w:sz w:val="28"/>
      <w:szCs w:val="20"/>
    </w:rPr>
  </w:style>
  <w:style w:type="paragraph" w:customStyle="1" w:styleId="afffffffffffffe">
    <w:name w:val="新正文样式"/>
    <w:basedOn w:val="a"/>
    <w:qFormat/>
    <w:pPr>
      <w:tabs>
        <w:tab w:val="left" w:pos="567"/>
      </w:tabs>
      <w:spacing w:line="360" w:lineRule="auto"/>
      <w:ind w:firstLine="567"/>
    </w:pPr>
    <w:rPr>
      <w:rFonts w:ascii="Times New Roman" w:eastAsia="宋体" w:hAnsi="Times New Roman" w:cs="Times New Roman"/>
      <w:spacing w:val="20"/>
      <w:sz w:val="24"/>
      <w:szCs w:val="24"/>
    </w:rPr>
  </w:style>
  <w:style w:type="paragraph" w:customStyle="1" w:styleId="2fffb">
    <w:name w:val="小标题2"/>
    <w:basedOn w:val="a"/>
    <w:next w:val="a"/>
    <w:qFormat/>
    <w:pPr>
      <w:tabs>
        <w:tab w:val="left" w:pos="1174"/>
        <w:tab w:val="left" w:pos="1200"/>
      </w:tabs>
      <w:adjustRightInd w:val="0"/>
      <w:snapToGrid w:val="0"/>
      <w:spacing w:beforeLines="50" w:before="50"/>
      <w:ind w:left="1200" w:hanging="360"/>
      <w:jc w:val="left"/>
    </w:pPr>
    <w:rPr>
      <w:rFonts w:ascii="宋体" w:eastAsia="宋体" w:hAnsi="Times New Roman" w:cs="Times New Roman"/>
      <w:sz w:val="24"/>
      <w:szCs w:val="24"/>
    </w:rPr>
  </w:style>
  <w:style w:type="paragraph" w:customStyle="1" w:styleId="305050505">
    <w:name w:val="样式 样式 标题 3 + 段前: 0.5 行 段后: 0.5 行 + 段前: 0.5 行 段后: 0.5 行"/>
    <w:basedOn w:val="a"/>
    <w:qFormat/>
    <w:pPr>
      <w:keepNext/>
      <w:keepLines/>
      <w:adjustRightInd w:val="0"/>
      <w:snapToGrid w:val="0"/>
      <w:spacing w:beforeLines="50" w:before="156" w:afterLines="50" w:after="156" w:line="300" w:lineRule="auto"/>
      <w:ind w:left="180"/>
      <w:jc w:val="left"/>
      <w:outlineLvl w:val="2"/>
    </w:pPr>
    <w:rPr>
      <w:rFonts w:ascii="仿宋_GB2312" w:eastAsia="仿宋_GB2312" w:hAnsi="宋体" w:cs="宋体"/>
      <w:b/>
      <w:sz w:val="30"/>
      <w:szCs w:val="30"/>
    </w:rPr>
  </w:style>
  <w:style w:type="paragraph" w:customStyle="1" w:styleId="CharChar9CharCharCharCharCharChar">
    <w:name w:val="Char Char9 Char Char Char Char Char Char"/>
    <w:basedOn w:val="a"/>
    <w:qFormat/>
    <w:pPr>
      <w:spacing w:beforeLines="100" w:before="100" w:afterLines="50" w:after="50" w:line="600" w:lineRule="exact"/>
      <w:ind w:firstLineChars="200" w:firstLine="200"/>
    </w:pPr>
    <w:rPr>
      <w:rFonts w:ascii="Times New Roman" w:eastAsia="黑体" w:hAnsi="Times New Roman" w:cs="Times New Roman"/>
      <w:sz w:val="28"/>
      <w:szCs w:val="24"/>
    </w:rPr>
  </w:style>
  <w:style w:type="paragraph" w:customStyle="1" w:styleId="2fffc">
    <w:name w:val="样式 四号 首行缩进:  2 字符 行距: 单倍行距"/>
    <w:basedOn w:val="a"/>
    <w:qFormat/>
    <w:pPr>
      <w:snapToGrid w:val="0"/>
      <w:spacing w:line="360" w:lineRule="auto"/>
      <w:ind w:firstLineChars="200" w:firstLine="200"/>
    </w:pPr>
    <w:rPr>
      <w:rFonts w:ascii="Times New Roman" w:eastAsia="宋体" w:hAnsi="Times New Roman" w:cs="Times New Roman"/>
      <w:sz w:val="28"/>
      <w:szCs w:val="28"/>
    </w:rPr>
  </w:style>
  <w:style w:type="paragraph" w:customStyle="1" w:styleId="xl40">
    <w:name w:val="xl40"/>
    <w:basedOn w:val="a"/>
    <w:qFormat/>
    <w:pPr>
      <w:widowControl/>
      <w:pBdr>
        <w:top w:val="single" w:sz="12" w:space="0" w:color="auto"/>
        <w:right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style4">
    <w:name w:val="style4"/>
    <w:basedOn w:val="a"/>
    <w:qFormat/>
    <w:pPr>
      <w:widowControl/>
      <w:spacing w:before="100" w:beforeAutospacing="1" w:after="100" w:afterAutospacing="1"/>
      <w:jc w:val="left"/>
    </w:pPr>
    <w:rPr>
      <w:rFonts w:ascii="宋体" w:eastAsia="宋体" w:hAnsi="宋体" w:cs="宋体"/>
      <w:color w:val="636466"/>
      <w:kern w:val="0"/>
      <w:sz w:val="24"/>
      <w:szCs w:val="24"/>
    </w:rPr>
  </w:style>
  <w:style w:type="paragraph" w:customStyle="1" w:styleId="CharCharCharCharCharCharChar0">
    <w:name w:val="样式 正文缩进正文（首行缩进两字）正文（首行缩进两字） Char Char Char Char Char Char Char..."/>
    <w:basedOn w:val="a0"/>
    <w:semiHidden/>
    <w:qFormat/>
    <w:pPr>
      <w:tabs>
        <w:tab w:val="left" w:pos="3360"/>
      </w:tabs>
      <w:adjustRightInd w:val="0"/>
      <w:snapToGrid w:val="0"/>
      <w:spacing w:before="0" w:after="0" w:line="360" w:lineRule="auto"/>
      <w:ind w:firstLineChars="200" w:firstLine="480"/>
      <w:jc w:val="both"/>
      <w:textAlignment w:val="baseline"/>
    </w:pPr>
    <w:rPr>
      <w:rFonts w:ascii="楷体_GB2312" w:eastAsia="楷体_GB2312" w:hAnsi="Times New Roman" w:cs="Times New Roman"/>
      <w:b w:val="0"/>
      <w:bCs w:val="0"/>
      <w:kern w:val="0"/>
      <w:szCs w:val="24"/>
      <w:lang w:val="zh-CN"/>
    </w:rPr>
  </w:style>
  <w:style w:type="paragraph" w:customStyle="1" w:styleId="CharCharChar60">
    <w:name w:val="Char Char Char6"/>
    <w:basedOn w:val="a"/>
    <w:qFormat/>
    <w:rPr>
      <w:rFonts w:ascii="Times New Roman" w:eastAsia="宋体" w:hAnsi="Times New Roman" w:cs="Times New Roman"/>
      <w:sz w:val="24"/>
      <w:szCs w:val="24"/>
    </w:rPr>
  </w:style>
  <w:style w:type="paragraph" w:customStyle="1" w:styleId="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CharCharChar1CharCharCharCharCharCharChar1">
    <w:name w:val="Char Char Char1 Char Char Char Char Char Char Char1"/>
    <w:basedOn w:val="a"/>
    <w:qFormat/>
    <w:rPr>
      <w:rFonts w:ascii="Tahoma" w:eastAsia="宋体" w:hAnsi="Tahoma" w:cs="Times New Roman"/>
      <w:sz w:val="24"/>
      <w:szCs w:val="20"/>
    </w:rPr>
  </w:style>
  <w:style w:type="paragraph" w:customStyle="1" w:styleId="226">
    <w:name w:val="样式 标题 2 + 首行缩进:  2 字符"/>
    <w:basedOn w:val="1"/>
    <w:qFormat/>
    <w:pPr>
      <w:tabs>
        <w:tab w:val="left" w:pos="425"/>
      </w:tabs>
      <w:spacing w:before="0" w:line="400" w:lineRule="exact"/>
      <w:ind w:left="0"/>
      <w:jc w:val="center"/>
      <w:outlineLvl w:val="9"/>
    </w:pPr>
    <w:rPr>
      <w:rFonts w:eastAsia="华文中宋" w:cs="Times New Roman"/>
      <w:spacing w:val="-2"/>
      <w:kern w:val="2"/>
      <w:sz w:val="44"/>
      <w:szCs w:val="24"/>
      <w:lang w:eastAsia="zh-CN"/>
    </w:rPr>
  </w:style>
  <w:style w:type="paragraph" w:customStyle="1" w:styleId="CharCharCharCharCharChar1Char">
    <w:name w:val="Char Char Char Char Char Char1 Char"/>
    <w:basedOn w:val="a"/>
    <w:semiHidden/>
    <w:qFormat/>
    <w:rPr>
      <w:rFonts w:ascii="Times New Roman" w:eastAsia="宋体" w:hAnsi="Times New Roman" w:cs="Times New Roman"/>
      <w:szCs w:val="24"/>
    </w:rPr>
  </w:style>
  <w:style w:type="paragraph" w:customStyle="1" w:styleId="CharChar6CharCharCharChar2">
    <w:name w:val="Char Char6 Char Char Char Char2"/>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Char1CharCharCharCharCharChar6">
    <w:name w:val="Char1 Char Char Char Char Char Char6"/>
    <w:basedOn w:val="a"/>
    <w:qFormat/>
    <w:pPr>
      <w:spacing w:line="360" w:lineRule="auto"/>
      <w:ind w:firstLineChars="200" w:firstLine="200"/>
    </w:pPr>
    <w:rPr>
      <w:rFonts w:ascii="宋体" w:eastAsia="宋体" w:hAnsi="宋体" w:cs="宋体"/>
      <w:sz w:val="24"/>
      <w:szCs w:val="24"/>
    </w:rPr>
  </w:style>
  <w:style w:type="paragraph" w:customStyle="1" w:styleId="GB231210">
    <w:name w:val="样式 仿宋_GB2312 小四1"/>
    <w:basedOn w:val="a"/>
    <w:semiHidden/>
    <w:qFormat/>
    <w:pPr>
      <w:adjustRightInd w:val="0"/>
      <w:spacing w:line="360" w:lineRule="auto"/>
      <w:ind w:firstLineChars="200" w:firstLine="480"/>
      <w:textAlignment w:val="baseline"/>
    </w:pPr>
    <w:rPr>
      <w:rFonts w:ascii="Times New Roman" w:eastAsia="仿宋_GB2312" w:hAnsi="Times New Roman" w:cs="Times New Roman"/>
      <w:kern w:val="0"/>
      <w:sz w:val="24"/>
      <w:szCs w:val="24"/>
    </w:rPr>
  </w:style>
  <w:style w:type="paragraph" w:customStyle="1" w:styleId="xl59">
    <w:name w:val="xl59"/>
    <w:basedOn w:val="a"/>
    <w:qFormat/>
    <w:pPr>
      <w:widowControl/>
      <w:pBdr>
        <w:bottom w:val="single" w:sz="12" w:space="0" w:color="auto"/>
      </w:pBdr>
      <w:spacing w:before="100" w:beforeAutospacing="1" w:after="100" w:afterAutospacing="1"/>
      <w:jc w:val="left"/>
    </w:pPr>
    <w:rPr>
      <w:rFonts w:ascii="Times New Roman" w:eastAsia="宋体" w:hAnsi="Times New Roman" w:cs="Times New Roman"/>
      <w:kern w:val="0"/>
      <w:sz w:val="12"/>
      <w:szCs w:val="12"/>
    </w:rPr>
  </w:style>
  <w:style w:type="paragraph" w:customStyle="1" w:styleId="333">
    <w:name w:val="样式 标题 3标题 3目 + 黑色"/>
    <w:basedOn w:val="3"/>
    <w:qFormat/>
    <w:pPr>
      <w:tabs>
        <w:tab w:val="left" w:pos="510"/>
        <w:tab w:val="left" w:pos="780"/>
        <w:tab w:val="left" w:pos="1418"/>
      </w:tabs>
      <w:spacing w:before="100" w:beforeAutospacing="1" w:after="100" w:afterAutospacing="1" w:line="360" w:lineRule="auto"/>
      <w:ind w:left="780" w:firstLineChars="200" w:firstLine="200"/>
    </w:pPr>
    <w:rPr>
      <w:rFonts w:ascii="宋体" w:hAnsi="宋体" w:cs="宋体"/>
      <w:bCs w:val="0"/>
      <w:color w:val="000000"/>
      <w:kern w:val="2"/>
      <w:sz w:val="28"/>
      <w:szCs w:val="24"/>
    </w:rPr>
  </w:style>
  <w:style w:type="paragraph" w:customStyle="1" w:styleId="ParaCharCharChar1CharCharCharCharCharCharCharCharCharCharCharChar1">
    <w:name w:val="默认段落字体 Para Char Char Char1 Char Char Char Char Char Char Char Char Char Char Char Char1"/>
    <w:basedOn w:val="a"/>
    <w:qFormat/>
    <w:rPr>
      <w:rFonts w:ascii="Times New Roman" w:eastAsia="宋体" w:hAnsi="Times New Roman" w:cs="Times New Roman"/>
      <w:sz w:val="24"/>
      <w:szCs w:val="24"/>
    </w:rPr>
  </w:style>
  <w:style w:type="paragraph" w:customStyle="1" w:styleId="154">
    <w:name w:val="样式 宋体 四号 两端对齐 行距: 1.5 倍行距"/>
    <w:basedOn w:val="a"/>
    <w:qFormat/>
    <w:pPr>
      <w:spacing w:before="156" w:after="156" w:line="360" w:lineRule="auto"/>
      <w:ind w:firstLineChars="200" w:firstLine="480"/>
    </w:pPr>
    <w:rPr>
      <w:rFonts w:ascii="宋体" w:eastAsia="宋体" w:hAnsi="宋体" w:cs="宋体"/>
      <w:sz w:val="24"/>
      <w:szCs w:val="24"/>
    </w:rPr>
  </w:style>
  <w:style w:type="paragraph" w:customStyle="1" w:styleId="xl160">
    <w:name w:val="xl160"/>
    <w:basedOn w:val="a"/>
    <w:qFormat/>
    <w:pPr>
      <w:widowControl/>
      <w:spacing w:before="100" w:beforeAutospacing="1" w:after="100" w:afterAutospacing="1"/>
      <w:jc w:val="center"/>
    </w:pPr>
    <w:rPr>
      <w:rFonts w:ascii="Arial Unicode MS" w:eastAsia="宋体" w:hAnsi="Arial Unicode MS" w:cs="Times New Roman"/>
      <w:kern w:val="0"/>
      <w:szCs w:val="24"/>
    </w:rPr>
  </w:style>
  <w:style w:type="paragraph" w:customStyle="1" w:styleId="4e">
    <w:name w:val="样式 标题 4 + 黑体 非加粗 黑色"/>
    <w:basedOn w:val="41"/>
    <w:qFormat/>
    <w:pPr>
      <w:keepNext/>
      <w:keepLines/>
      <w:spacing w:before="0" w:line="560" w:lineRule="exact"/>
      <w:ind w:left="0" w:firstLineChars="200" w:firstLine="200"/>
      <w:jc w:val="both"/>
    </w:pPr>
    <w:rPr>
      <w:rFonts w:ascii="黑体" w:eastAsia="黑体" w:hAnsi="黑体" w:cs="Times New Roman"/>
      <w:color w:val="000000"/>
      <w:kern w:val="2"/>
      <w:lang w:eastAsia="zh-CN"/>
    </w:rPr>
  </w:style>
  <w:style w:type="paragraph" w:customStyle="1" w:styleId="affffffffffffff">
    <w:name w:val="新表"/>
    <w:basedOn w:val="a"/>
    <w:qFormat/>
    <w:pPr>
      <w:spacing w:line="360" w:lineRule="exact"/>
    </w:pPr>
    <w:rPr>
      <w:rFonts w:ascii="Times New Roman" w:eastAsia="仿宋_GB2312" w:hAnsi="Times New Roman" w:cs="Times New Roman"/>
      <w:bCs/>
      <w:kern w:val="0"/>
      <w:sz w:val="24"/>
      <w:szCs w:val="20"/>
    </w:rPr>
  </w:style>
  <w:style w:type="paragraph" w:customStyle="1" w:styleId="xl74">
    <w:name w:val="xl74"/>
    <w:basedOn w:val="a"/>
    <w:qFormat/>
    <w:pPr>
      <w:widowControl/>
      <w:pBdr>
        <w:bottom w:val="single" w:sz="12" w:space="0" w:color="auto"/>
      </w:pBdr>
      <w:spacing w:before="100" w:beforeAutospacing="1" w:after="100" w:afterAutospacing="1"/>
      <w:jc w:val="left"/>
    </w:pPr>
    <w:rPr>
      <w:rFonts w:ascii="Arial Unicode MS" w:eastAsia="宋体" w:hAnsi="Arial Unicode MS" w:cs="Times New Roman"/>
      <w:kern w:val="0"/>
      <w:sz w:val="12"/>
      <w:szCs w:val="12"/>
    </w:rPr>
  </w:style>
  <w:style w:type="paragraph" w:customStyle="1" w:styleId="2fffd">
    <w:name w:val="样式 小四 首行缩进:  2 字符"/>
    <w:basedOn w:val="a"/>
    <w:qFormat/>
    <w:pPr>
      <w:tabs>
        <w:tab w:val="left" w:pos="5096"/>
      </w:tabs>
      <w:spacing w:line="400" w:lineRule="exact"/>
      <w:ind w:firstLineChars="200" w:firstLine="480"/>
    </w:pPr>
    <w:rPr>
      <w:rFonts w:ascii="Times New Roman" w:eastAsia="宋体" w:hAnsi="Times New Roman" w:cs="Times New Roman"/>
      <w:color w:val="FF0000"/>
      <w:sz w:val="24"/>
      <w:szCs w:val="20"/>
    </w:rPr>
  </w:style>
  <w:style w:type="paragraph" w:customStyle="1" w:styleId="Char120">
    <w:name w:val="Char12"/>
    <w:basedOn w:val="a"/>
    <w:qFormat/>
    <w:rPr>
      <w:rFonts w:ascii="Times New Roman" w:eastAsia="宋体" w:hAnsi="Times New Roman" w:cs="Times New Roman"/>
      <w:sz w:val="24"/>
      <w:szCs w:val="24"/>
    </w:rPr>
  </w:style>
  <w:style w:type="paragraph" w:customStyle="1" w:styleId="affffffffffffff0">
    <w:name w:val="——"/>
    <w:basedOn w:val="Texte"/>
    <w:semiHidden/>
    <w:qFormat/>
    <w:pPr>
      <w:ind w:left="0" w:firstLineChars="300" w:firstLine="660"/>
    </w:pPr>
  </w:style>
  <w:style w:type="paragraph" w:customStyle="1" w:styleId="5CharChar0">
    <w:name w:val="目录 5 Char Char"/>
    <w:basedOn w:val="a"/>
    <w:next w:val="a"/>
    <w:qFormat/>
    <w:pPr>
      <w:spacing w:line="351" w:lineRule="atLeast"/>
      <w:ind w:left="839" w:firstLine="419"/>
      <w:jc w:val="left"/>
    </w:pPr>
    <w:rPr>
      <w:rFonts w:ascii="Times New Roman" w:eastAsia="宋体" w:hAnsi="Times New Roman" w:cs="Times New Roman" w:hint="eastAsia"/>
      <w:szCs w:val="20"/>
    </w:rPr>
  </w:style>
  <w:style w:type="paragraph" w:customStyle="1" w:styleId="affffffffffffff1">
    <w:name w:val="节标题"/>
    <w:basedOn w:val="a"/>
    <w:next w:val="afffffffffff9"/>
    <w:qFormat/>
    <w:pPr>
      <w:widowControl/>
      <w:spacing w:line="289" w:lineRule="atLeast"/>
      <w:jc w:val="center"/>
      <w:textAlignment w:val="baseline"/>
    </w:pPr>
    <w:rPr>
      <w:rFonts w:ascii="Times New Roman" w:eastAsia="宋体" w:hAnsi="Times New Roman" w:cs="Times New Roman"/>
      <w:color w:val="000000"/>
      <w:kern w:val="0"/>
      <w:sz w:val="28"/>
      <w:szCs w:val="20"/>
    </w:rPr>
  </w:style>
  <w:style w:type="paragraph" w:customStyle="1" w:styleId="affffffffffffff2">
    <w:name w:val="正文仿宋小四"/>
    <w:basedOn w:val="a"/>
    <w:semiHidden/>
    <w:qFormat/>
    <w:pPr>
      <w:adjustRightInd w:val="0"/>
      <w:snapToGrid w:val="0"/>
      <w:spacing w:line="360" w:lineRule="auto"/>
      <w:ind w:firstLineChars="200" w:firstLine="480"/>
    </w:pPr>
    <w:rPr>
      <w:rFonts w:ascii="Times New Roman" w:eastAsia="仿宋_GB2312" w:hAnsi="Times New Roman" w:cs="Times New Roman"/>
      <w:sz w:val="24"/>
      <w:szCs w:val="24"/>
    </w:rPr>
  </w:style>
  <w:style w:type="paragraph" w:customStyle="1" w:styleId="affffffffffffff3">
    <w:name w:val="表格（大）"/>
    <w:basedOn w:val="affffff"/>
    <w:qFormat/>
    <w:pPr>
      <w:widowControl/>
      <w:tabs>
        <w:tab w:val="left" w:pos="425"/>
        <w:tab w:val="left" w:pos="780"/>
      </w:tabs>
      <w:overflowPunct/>
      <w:spacing w:line="240" w:lineRule="auto"/>
      <w:ind w:left="780" w:hanging="360"/>
      <w:textAlignment w:val="auto"/>
    </w:pPr>
    <w:rPr>
      <w:rFonts w:ascii="Times New Roman" w:eastAsia="宋体" w:hAnsi="Times New Roman" w:cs="宋体"/>
      <w:color w:val="auto"/>
      <w:sz w:val="21"/>
      <w:szCs w:val="24"/>
    </w:rPr>
  </w:style>
  <w:style w:type="paragraph" w:customStyle="1" w:styleId="33CharChar3Char1113111Char1Char">
    <w:name w:val="样式 标题 3标题 3 Char Char标题 3 Char1.1.1条标3条标题1.1.1Char1 Char..."/>
    <w:basedOn w:val="3"/>
    <w:qFormat/>
    <w:pPr>
      <w:keepLines w:val="0"/>
      <w:widowControl w:val="0"/>
      <w:spacing w:before="0" w:after="0" w:line="500" w:lineRule="atLeast"/>
      <w:ind w:left="735"/>
      <w:jc w:val="both"/>
    </w:pPr>
    <w:rPr>
      <w:rFonts w:cs="宋体"/>
      <w:b w:val="0"/>
      <w:bCs w:val="0"/>
      <w:sz w:val="28"/>
      <w:szCs w:val="20"/>
    </w:rPr>
  </w:style>
  <w:style w:type="paragraph" w:customStyle="1" w:styleId="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CharChar3Char4">
    <w:name w:val="Char Char3 Char4"/>
    <w:basedOn w:val="a"/>
    <w:qFormat/>
    <w:rPr>
      <w:rFonts w:ascii="Tahoma" w:eastAsia="宋体" w:hAnsi="Tahoma" w:cs="Times New Roman"/>
      <w:sz w:val="24"/>
      <w:szCs w:val="20"/>
    </w:rPr>
  </w:style>
  <w:style w:type="paragraph" w:customStyle="1" w:styleId="xl176">
    <w:name w:val="xl176"/>
    <w:basedOn w:val="a"/>
    <w:qFormat/>
    <w:pPr>
      <w:widowControl/>
      <w:pBdr>
        <w:top w:val="single" w:sz="12" w:space="0" w:color="auto"/>
        <w:left w:val="single" w:sz="12"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xl110">
    <w:name w:val="xl110"/>
    <w:basedOn w:val="a"/>
    <w:qFormat/>
    <w:pPr>
      <w:widowControl/>
      <w:pBdr>
        <w:top w:val="single" w:sz="12" w:space="0" w:color="auto"/>
        <w:bottom w:val="single" w:sz="8"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2fffe">
    <w:name w:val="样式 标题 2节 + 宋体 加粗"/>
    <w:basedOn w:val="2"/>
    <w:qFormat/>
    <w:pPr>
      <w:widowControl/>
      <w:tabs>
        <w:tab w:val="left" w:pos="780"/>
        <w:tab w:val="left" w:pos="985"/>
        <w:tab w:val="left" w:pos="1419"/>
      </w:tabs>
      <w:adjustRightInd w:val="0"/>
      <w:snapToGrid w:val="0"/>
      <w:spacing w:before="156" w:after="0" w:line="360" w:lineRule="auto"/>
      <w:ind w:left="200" w:hangingChars="200" w:hanging="200"/>
      <w:jc w:val="center"/>
    </w:pPr>
    <w:rPr>
      <w:rFonts w:ascii="宋体" w:eastAsia="宋体" w:hAnsi="宋体" w:cs="宋体"/>
      <w:sz w:val="28"/>
      <w:szCs w:val="24"/>
    </w:rPr>
  </w:style>
  <w:style w:type="paragraph" w:customStyle="1" w:styleId="CharCharCharCharCharChar1CharCharCharChar4">
    <w:name w:val="Char Char Char Char Char Char1 Char Char Char Char4"/>
    <w:basedOn w:val="a"/>
    <w:qFormat/>
    <w:rPr>
      <w:rFonts w:ascii="Times New Roman" w:eastAsia="宋体" w:hAnsi="Times New Roman" w:cs="Times New Roman"/>
      <w:sz w:val="24"/>
      <w:szCs w:val="24"/>
    </w:rPr>
  </w:style>
  <w:style w:type="paragraph" w:customStyle="1" w:styleId="252">
    <w:name w:val="证书面段前25行"/>
    <w:basedOn w:val="a"/>
    <w:qFormat/>
    <w:pPr>
      <w:spacing w:beforeLines="2500" w:before="7800" w:line="360" w:lineRule="auto"/>
      <w:jc w:val="center"/>
    </w:pPr>
    <w:rPr>
      <w:rFonts w:ascii="黑体" w:eastAsia="黑体" w:hAnsi="黑体" w:cs="Times New Roman"/>
      <w:sz w:val="30"/>
      <w:szCs w:val="30"/>
    </w:rPr>
  </w:style>
  <w:style w:type="paragraph" w:customStyle="1" w:styleId="1ffff6">
    <w:name w:val="批注文字1"/>
    <w:basedOn w:val="a"/>
    <w:qFormat/>
    <w:pPr>
      <w:jc w:val="left"/>
    </w:pPr>
    <w:rPr>
      <w:rFonts w:ascii="Arial" w:eastAsia="仿宋_GB2312" w:hAnsi="Arial" w:cs="Times New Roman"/>
      <w:kern w:val="0"/>
      <w:sz w:val="24"/>
      <w:szCs w:val="20"/>
    </w:rPr>
  </w:style>
  <w:style w:type="paragraph" w:customStyle="1" w:styleId="Style100">
    <w:name w:val="_Style 10"/>
    <w:basedOn w:val="a"/>
    <w:next w:val="af5"/>
    <w:qFormat/>
    <w:pPr>
      <w:spacing w:line="360" w:lineRule="auto"/>
    </w:pPr>
    <w:rPr>
      <w:rFonts w:ascii="Times New Roman" w:eastAsia="宋体" w:hAnsi="Times New Roman" w:cs="Times New Roman"/>
      <w:sz w:val="24"/>
      <w:szCs w:val="20"/>
    </w:rPr>
  </w:style>
  <w:style w:type="paragraph" w:customStyle="1" w:styleId="CharCharCharCharCharCharCharCharChar20">
    <w:name w:val="Char Char Char Char Char Char Char Char Char2"/>
    <w:basedOn w:val="a"/>
    <w:qFormat/>
    <w:rPr>
      <w:rFonts w:ascii="Times New Roman" w:eastAsia="宋体" w:hAnsi="Times New Roman" w:cs="Times New Roman"/>
      <w:sz w:val="24"/>
      <w:szCs w:val="24"/>
    </w:rPr>
  </w:style>
  <w:style w:type="paragraph" w:customStyle="1" w:styleId="CharCharCharChar15">
    <w:name w:val="Char Char Char Char15"/>
    <w:basedOn w:val="a"/>
    <w:qFormat/>
    <w:pPr>
      <w:widowControl/>
      <w:jc w:val="left"/>
    </w:pPr>
    <w:rPr>
      <w:rFonts w:ascii="Times New Roman" w:eastAsia="宋体" w:hAnsi="Times New Roman" w:cs="Times New Roman"/>
      <w:kern w:val="0"/>
      <w:sz w:val="24"/>
      <w:szCs w:val="20"/>
    </w:rPr>
  </w:style>
  <w:style w:type="paragraph" w:customStyle="1" w:styleId="affffffffffffff4">
    <w:name w:val="图号"/>
    <w:basedOn w:val="12"/>
    <w:qFormat/>
    <w:pPr>
      <w:adjustRightInd w:val="0"/>
      <w:ind w:left="198"/>
      <w:jc w:val="center"/>
      <w:textAlignment w:val="baseline"/>
    </w:pPr>
    <w:rPr>
      <w:b/>
      <w:bCs/>
      <w:kern w:val="32"/>
      <w:sz w:val="24"/>
    </w:rPr>
  </w:style>
  <w:style w:type="paragraph" w:customStyle="1" w:styleId="2ffff">
    <w:name w:val="样式 首行缩进:  2 字符"/>
    <w:basedOn w:val="a"/>
    <w:link w:val="2Charb"/>
    <w:qFormat/>
    <w:pPr>
      <w:spacing w:line="600" w:lineRule="exact"/>
      <w:ind w:firstLineChars="200" w:firstLine="560"/>
    </w:pPr>
    <w:rPr>
      <w:rFonts w:ascii="Times New Roman" w:eastAsia="宋体" w:hAnsi="Times New Roman" w:cs="Times New Roman"/>
      <w:color w:val="000000"/>
      <w:sz w:val="28"/>
      <w:szCs w:val="24"/>
    </w:rPr>
  </w:style>
  <w:style w:type="character" w:customStyle="1" w:styleId="2Charb">
    <w:name w:val="样式 首行缩进:  2 字符 Char"/>
    <w:link w:val="2ffff"/>
    <w:locked/>
    <w:rPr>
      <w:rFonts w:ascii="Times New Roman" w:eastAsia="宋体" w:hAnsi="Times New Roman" w:cs="Times New Roman"/>
      <w:color w:val="000000"/>
      <w:sz w:val="28"/>
      <w:szCs w:val="24"/>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3Char125">
    <w:name w:val="样式 标题 3Char1 + 宋体 四号 行距: 固定值 25 磅"/>
    <w:basedOn w:val="3"/>
    <w:qFormat/>
    <w:pPr>
      <w:widowControl w:val="0"/>
      <w:spacing w:before="0" w:after="0" w:line="500" w:lineRule="exact"/>
      <w:jc w:val="both"/>
    </w:pPr>
    <w:rPr>
      <w:rFonts w:ascii="宋体" w:hAnsi="宋体" w:cs="宋体"/>
      <w:kern w:val="2"/>
      <w:sz w:val="28"/>
      <w:szCs w:val="20"/>
    </w:rPr>
  </w:style>
  <w:style w:type="paragraph" w:customStyle="1" w:styleId="ParaCharCharChar1Char1">
    <w:name w:val="默认段落字体 Para Char Char Char1 Char1"/>
    <w:basedOn w:val="a"/>
    <w:qFormat/>
    <w:rPr>
      <w:rFonts w:ascii="Times New Roman" w:eastAsia="宋体" w:hAnsi="Times New Roman" w:cs="Times New Roman"/>
      <w:sz w:val="24"/>
      <w:szCs w:val="24"/>
    </w:rPr>
  </w:style>
  <w:style w:type="paragraph" w:customStyle="1" w:styleId="CharCharCharCharCharCharCharCharChar1Char8">
    <w:name w:val="Char Char Char Char Char Char Char Char Char1 Char8"/>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affffffffffffff5">
    <w:name w:val="表名"/>
    <w:basedOn w:val="affffffffb"/>
    <w:qFormat/>
    <w:pPr>
      <w:spacing w:line="360" w:lineRule="auto"/>
    </w:pPr>
    <w:rPr>
      <w:rFonts w:ascii="仿宋_GB2312" w:eastAsia="仿宋_GB2312" w:hAnsi="宋体"/>
      <w:b/>
      <w:bCs/>
      <w:kern w:val="44"/>
    </w:rPr>
  </w:style>
  <w:style w:type="paragraph" w:customStyle="1" w:styleId="3ff7">
    <w:name w:val="字元 字元3 字元"/>
    <w:basedOn w:val="a"/>
    <w:next w:val="a"/>
    <w:qFormat/>
    <w:pPr>
      <w:spacing w:line="360" w:lineRule="auto"/>
      <w:ind w:firstLineChars="200" w:firstLine="200"/>
    </w:pPr>
    <w:rPr>
      <w:rFonts w:ascii="Times New Roman" w:eastAsia="宋体" w:hAnsi="Times New Roman" w:cs="Times New Roman"/>
      <w:szCs w:val="20"/>
    </w:rPr>
  </w:style>
  <w:style w:type="paragraph" w:customStyle="1" w:styleId="CharCharCharChar11">
    <w:name w:val="Char Char Char Char11"/>
    <w:basedOn w:val="a"/>
    <w:qFormat/>
    <w:pPr>
      <w:widowControl/>
      <w:jc w:val="left"/>
    </w:pPr>
    <w:rPr>
      <w:rFonts w:ascii="Times New Roman" w:eastAsia="宋体" w:hAnsi="Times New Roman" w:cs="Times New Roman"/>
      <w:kern w:val="0"/>
      <w:sz w:val="24"/>
      <w:szCs w:val="20"/>
    </w:rPr>
  </w:style>
  <w:style w:type="paragraph" w:customStyle="1" w:styleId="3TimesNewRoman">
    <w:name w:val="样式 标题 3 + (西文) Times New Roman (中文) 宋体 小四 加粗"/>
    <w:basedOn w:val="3"/>
    <w:qFormat/>
    <w:pPr>
      <w:widowControl w:val="0"/>
      <w:tabs>
        <w:tab w:val="left" w:pos="1021"/>
        <w:tab w:val="left" w:pos="1418"/>
      </w:tabs>
      <w:adjustRightInd w:val="0"/>
      <w:snapToGrid w:val="0"/>
      <w:spacing w:beforeLines="50" w:before="156" w:afterLines="50" w:after="156" w:line="360" w:lineRule="auto"/>
      <w:ind w:left="1021" w:hanging="1021"/>
    </w:pPr>
    <w:rPr>
      <w:rFonts w:ascii="楷体_GB2312" w:eastAsia="楷体_GB2312"/>
      <w:kern w:val="2"/>
      <w:sz w:val="24"/>
      <w:szCs w:val="24"/>
    </w:rPr>
  </w:style>
  <w:style w:type="paragraph" w:customStyle="1" w:styleId="ParaCharCharChar1CharChar">
    <w:name w:val="默认段落字体 Para Char Char Char1 Char Char"/>
    <w:basedOn w:val="a"/>
    <w:qFormat/>
    <w:rPr>
      <w:rFonts w:ascii="Times New Roman" w:eastAsia="宋体" w:hAnsi="Times New Roman" w:cs="Times New Roman"/>
      <w:sz w:val="24"/>
      <w:szCs w:val="24"/>
    </w:rPr>
  </w:style>
  <w:style w:type="paragraph" w:customStyle="1" w:styleId="1ffff7">
    <w:name w:val="1"/>
    <w:basedOn w:val="a"/>
    <w:link w:val="1CharChar2"/>
    <w:qFormat/>
    <w:pPr>
      <w:widowControl/>
      <w:spacing w:before="100" w:beforeAutospacing="1" w:after="100" w:afterAutospacing="1"/>
      <w:jc w:val="left"/>
    </w:pPr>
    <w:rPr>
      <w:rFonts w:ascii="宋体" w:eastAsia="宋体" w:hAnsi="宋体" w:cs="宋体"/>
      <w:kern w:val="0"/>
      <w:sz w:val="18"/>
      <w:szCs w:val="18"/>
    </w:rPr>
  </w:style>
  <w:style w:type="character" w:customStyle="1" w:styleId="1CharChar2">
    <w:name w:val="1 Char Char"/>
    <w:link w:val="1ffff7"/>
    <w:locked/>
    <w:rPr>
      <w:rFonts w:ascii="宋体" w:eastAsia="宋体" w:hAnsi="宋体" w:cs="宋体"/>
      <w:kern w:val="0"/>
      <w:sz w:val="18"/>
      <w:szCs w:val="18"/>
    </w:rPr>
  </w:style>
  <w:style w:type="paragraph" w:customStyle="1" w:styleId="11a">
    <w:name w:val="样式 一级 + 段前: 1 行 段后: 1 行"/>
    <w:basedOn w:val="a"/>
    <w:qFormat/>
    <w:pPr>
      <w:keepNext/>
      <w:tabs>
        <w:tab w:val="left" w:pos="0"/>
      </w:tabs>
      <w:spacing w:beforeLines="100" w:afterLines="100" w:line="500" w:lineRule="exact"/>
      <w:outlineLvl w:val="0"/>
    </w:pPr>
    <w:rPr>
      <w:rFonts w:ascii="Times New Roman" w:eastAsia="黑体" w:hAnsi="Times New Roman" w:cs="Times New Roman"/>
      <w:b/>
      <w:bCs/>
      <w:spacing w:val="12"/>
      <w:sz w:val="32"/>
      <w:szCs w:val="20"/>
    </w:rPr>
  </w:style>
  <w:style w:type="paragraph" w:customStyle="1" w:styleId="11H1SectionHeadHeader1h11stlevell1Heading02">
    <w:name w:val="样式 标题 1章标题 1H1Section HeadHeader1h11st levell1Heading 0...2"/>
    <w:basedOn w:val="1"/>
    <w:qFormat/>
    <w:pPr>
      <w:keepNext/>
      <w:tabs>
        <w:tab w:val="left" w:pos="425"/>
      </w:tabs>
      <w:spacing w:before="0" w:line="500" w:lineRule="exact"/>
      <w:ind w:left="425" w:hanging="425"/>
    </w:pPr>
    <w:rPr>
      <w:rFonts w:eastAsia="宋体" w:cs="宋体"/>
      <w:b w:val="0"/>
      <w:bCs w:val="0"/>
      <w:color w:val="000000"/>
      <w:kern w:val="2"/>
      <w:sz w:val="28"/>
      <w:szCs w:val="20"/>
      <w:lang w:eastAsia="zh-CN"/>
    </w:rPr>
  </w:style>
  <w:style w:type="paragraph" w:customStyle="1" w:styleId="affffffffffffff6">
    <w:name w:val="框图"/>
    <w:basedOn w:val="a"/>
    <w:qFormat/>
    <w:pPr>
      <w:widowControl/>
      <w:jc w:val="center"/>
    </w:pPr>
    <w:rPr>
      <w:rFonts w:ascii="宋体" w:eastAsia="宋体" w:hAnsi="宋体" w:cs="宋体"/>
      <w:kern w:val="0"/>
      <w:sz w:val="24"/>
      <w:szCs w:val="24"/>
    </w:rPr>
  </w:style>
  <w:style w:type="paragraph" w:customStyle="1" w:styleId="affffffffffffff7">
    <w:name w:val="主要负责人"/>
    <w:basedOn w:val="a"/>
    <w:next w:val="a"/>
    <w:qFormat/>
    <w:pPr>
      <w:jc w:val="center"/>
    </w:pPr>
    <w:rPr>
      <w:rFonts w:ascii="Times New Roman" w:eastAsia="宋体" w:hAnsi="Times New Roman" w:cs="Times New Roman"/>
      <w:sz w:val="36"/>
      <w:szCs w:val="36"/>
    </w:rPr>
  </w:style>
  <w:style w:type="paragraph" w:customStyle="1" w:styleId="xl134">
    <w:name w:val="xl134"/>
    <w:basedOn w:val="a"/>
    <w:qFormat/>
    <w:pPr>
      <w:widowControl/>
      <w:spacing w:before="100" w:beforeAutospacing="1" w:after="100" w:afterAutospacing="1"/>
      <w:jc w:val="left"/>
    </w:pPr>
    <w:rPr>
      <w:rFonts w:ascii="Arial Unicode MS" w:eastAsia="宋体" w:hAnsi="Arial Unicode MS" w:cs="Times New Roman"/>
      <w:kern w:val="0"/>
      <w:sz w:val="20"/>
      <w:szCs w:val="20"/>
    </w:rPr>
  </w:style>
  <w:style w:type="paragraph" w:customStyle="1" w:styleId="CharCharChar1CharCharCharCharCharCharCharCharCharCharCharCharCharCharChar1CharCharCharCharCharCharCharCharCharCharCharChar">
    <w:name w:val="Char Char Char1 Char Char Char Char Char Char Char Char Char Char Char Char Char Char Char1 Char Char Char Char Char Char Char Char Char Char Char Char"/>
    <w:basedOn w:val="a"/>
    <w:qFormat/>
    <w:rPr>
      <w:rFonts w:ascii="Times New Roman" w:eastAsia="宋体" w:hAnsi="Times New Roman" w:cs="Times New Roman"/>
      <w:szCs w:val="21"/>
    </w:rPr>
  </w:style>
  <w:style w:type="paragraph" w:customStyle="1" w:styleId="GB231209822">
    <w:name w:val="样式 样式 (中文) 仿宋_GB2312 四号 首行缩进:  0.98 厘米 行距: 固定值 22 磅 + (中文) 宋体 行..."/>
    <w:basedOn w:val="a"/>
    <w:qFormat/>
    <w:pPr>
      <w:spacing w:line="480" w:lineRule="exact"/>
      <w:jc w:val="center"/>
    </w:pPr>
    <w:rPr>
      <w:rFonts w:ascii="Times New Roman" w:eastAsia="宋体" w:hAnsi="Times New Roman" w:cs="宋体"/>
      <w:spacing w:val="-2"/>
      <w:sz w:val="24"/>
      <w:szCs w:val="20"/>
    </w:rPr>
  </w:style>
  <w:style w:type="paragraph" w:customStyle="1" w:styleId="8110">
    <w:name w:val="目录 811"/>
    <w:basedOn w:val="a"/>
    <w:next w:val="a"/>
    <w:qFormat/>
    <w:pPr>
      <w:ind w:left="1260"/>
      <w:jc w:val="left"/>
    </w:pPr>
    <w:rPr>
      <w:rFonts w:ascii="Times New Roman" w:eastAsia="宋体" w:hAnsi="Times New Roman" w:cs="Times New Roman"/>
      <w:sz w:val="20"/>
      <w:szCs w:val="20"/>
    </w:rPr>
  </w:style>
  <w:style w:type="paragraph" w:customStyle="1" w:styleId="affffffffffffff8">
    <w:name w:val="序列"/>
    <w:qFormat/>
    <w:pPr>
      <w:widowControl w:val="0"/>
    </w:pPr>
    <w:rPr>
      <w:rFonts w:ascii="Times New Roman" w:eastAsia="宋体" w:hAnsi="Times New Roman" w:cs="Times New Roman"/>
      <w:sz w:val="28"/>
    </w:rPr>
  </w:style>
  <w:style w:type="paragraph" w:customStyle="1" w:styleId="CharCharChar1Char">
    <w:name w:val="Char Char Char1 Char"/>
    <w:basedOn w:val="2"/>
    <w:qFormat/>
    <w:pPr>
      <w:keepNext w:val="0"/>
      <w:keepLines w:val="0"/>
      <w:widowControl/>
      <w:spacing w:before="0" w:after="0" w:line="520" w:lineRule="exact"/>
    </w:pPr>
    <w:rPr>
      <w:rFonts w:ascii="Times New Roman" w:eastAsia="宋体" w:hAnsi="Times New Roman" w:cs="Times New Roman"/>
      <w:kern w:val="0"/>
      <w:sz w:val="28"/>
      <w:szCs w:val="28"/>
    </w:rPr>
  </w:style>
  <w:style w:type="paragraph" w:customStyle="1" w:styleId="CharChar3Char3">
    <w:name w:val="Char Char3 Char3"/>
    <w:basedOn w:val="a"/>
    <w:qFormat/>
    <w:rPr>
      <w:rFonts w:ascii="Tahoma" w:eastAsia="宋体" w:hAnsi="Tahoma" w:cs="Times New Roman"/>
      <w:sz w:val="24"/>
      <w:szCs w:val="20"/>
    </w:rPr>
  </w:style>
  <w:style w:type="paragraph" w:customStyle="1" w:styleId="xl55">
    <w:name w:val="xl55"/>
    <w:basedOn w:val="a"/>
    <w:qFormat/>
    <w:pPr>
      <w:widowControl/>
      <w:pBdr>
        <w:bottom w:val="single" w:sz="12" w:space="0" w:color="auto"/>
      </w:pBdr>
      <w:spacing w:before="100" w:beforeAutospacing="1" w:after="100" w:afterAutospacing="1"/>
      <w:jc w:val="left"/>
    </w:pPr>
    <w:rPr>
      <w:rFonts w:ascii="Arial Unicode MS" w:eastAsia="宋体" w:hAnsi="Arial Unicode MS" w:cs="Times New Roman"/>
      <w:kern w:val="0"/>
      <w:sz w:val="12"/>
      <w:szCs w:val="12"/>
    </w:rPr>
  </w:style>
  <w:style w:type="paragraph" w:customStyle="1" w:styleId="affffffffffffff9">
    <w:name w:val="样式 表格文字 + (西文) 宋体 (中文) 华文仿宋 小四 黑色"/>
    <w:basedOn w:val="affffffffb"/>
    <w:qFormat/>
    <w:pPr>
      <w:tabs>
        <w:tab w:val="left" w:pos="560"/>
      </w:tabs>
      <w:overflowPunct w:val="0"/>
      <w:adjustRightInd w:val="0"/>
      <w:snapToGrid w:val="0"/>
      <w:spacing w:line="400" w:lineRule="exact"/>
    </w:pPr>
    <w:rPr>
      <w:rFonts w:hAnsi="宋体" w:cs="宋体"/>
      <w:color w:val="000000"/>
      <w:kern w:val="0"/>
      <w:sz w:val="21"/>
      <w:szCs w:val="20"/>
    </w:rPr>
  </w:style>
  <w:style w:type="paragraph" w:customStyle="1" w:styleId="b0">
    <w:name w:val="b"/>
    <w:basedOn w:val="a"/>
    <w:qFormat/>
    <w:pPr>
      <w:widowControl/>
      <w:spacing w:before="100" w:beforeAutospacing="1" w:after="100" w:afterAutospacing="1"/>
      <w:jc w:val="left"/>
    </w:pPr>
    <w:rPr>
      <w:rFonts w:ascii="宋体" w:eastAsia="宋体" w:hAnsi="宋体" w:cs="Times New Roman"/>
      <w:b/>
      <w:bCs/>
      <w:kern w:val="0"/>
      <w:sz w:val="27"/>
      <w:szCs w:val="27"/>
    </w:rPr>
  </w:style>
  <w:style w:type="paragraph" w:customStyle="1" w:styleId="xl159">
    <w:name w:val="xl159"/>
    <w:basedOn w:val="a"/>
    <w:qFormat/>
    <w:pPr>
      <w:widowControl/>
      <w:pBdr>
        <w:right w:val="single" w:sz="4"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font17">
    <w:name w:val="font17"/>
    <w:basedOn w:val="a"/>
    <w:qFormat/>
    <w:pPr>
      <w:widowControl/>
      <w:spacing w:before="100" w:beforeAutospacing="1" w:after="100" w:afterAutospacing="1"/>
      <w:jc w:val="left"/>
    </w:pPr>
    <w:rPr>
      <w:rFonts w:ascii="Times New Roman" w:eastAsia="宋体" w:hAnsi="Times New Roman" w:cs="Times New Roman"/>
      <w:color w:val="FF6600"/>
      <w:kern w:val="0"/>
      <w:sz w:val="18"/>
      <w:szCs w:val="18"/>
    </w:rPr>
  </w:style>
  <w:style w:type="paragraph" w:customStyle="1" w:styleId="21111213">
    <w:name w:val="样式 标题 2节标题 1.11.1标题2 + 四号 段后: 13 磅"/>
    <w:basedOn w:val="2"/>
    <w:qFormat/>
    <w:pPr>
      <w:adjustRightInd w:val="0"/>
      <w:snapToGrid w:val="0"/>
      <w:spacing w:beforeLines="100" w:before="240" w:after="0" w:line="360" w:lineRule="auto"/>
    </w:pPr>
    <w:rPr>
      <w:rFonts w:ascii="宋体" w:eastAsia="宋体" w:hAnsi="宋体" w:cs="Times New Roman"/>
      <w:sz w:val="28"/>
      <w:szCs w:val="20"/>
    </w:rPr>
  </w:style>
  <w:style w:type="paragraph" w:customStyle="1" w:styleId="font23">
    <w:name w:val="font23"/>
    <w:basedOn w:val="a"/>
    <w:qFormat/>
    <w:pPr>
      <w:widowControl/>
      <w:spacing w:before="100" w:beforeAutospacing="1" w:after="100" w:afterAutospacing="1"/>
      <w:jc w:val="left"/>
    </w:pPr>
    <w:rPr>
      <w:rFonts w:ascii="Times New Roman" w:eastAsia="宋体" w:hAnsi="Times New Roman" w:cs="Times New Roman"/>
      <w:color w:val="339966"/>
      <w:kern w:val="0"/>
      <w:sz w:val="18"/>
      <w:szCs w:val="18"/>
    </w:rPr>
  </w:style>
  <w:style w:type="paragraph" w:customStyle="1" w:styleId="5e">
    <w:name w:val="列表段落5"/>
    <w:basedOn w:val="a"/>
    <w:qFormat/>
    <w:pPr>
      <w:widowControl/>
      <w:ind w:firstLineChars="200" w:firstLine="420"/>
      <w:jc w:val="left"/>
    </w:pPr>
    <w:rPr>
      <w:rFonts w:ascii="Times New Roman" w:eastAsia="宋体" w:hAnsi="Times New Roman" w:cs="Times New Roman"/>
      <w:kern w:val="0"/>
      <w:sz w:val="24"/>
      <w:szCs w:val="20"/>
    </w:rPr>
  </w:style>
  <w:style w:type="paragraph" w:customStyle="1" w:styleId="xl188">
    <w:name w:val="xl188"/>
    <w:basedOn w:val="a"/>
    <w:qFormat/>
    <w:pPr>
      <w:widowControl/>
      <w:spacing w:before="100" w:beforeAutospacing="1" w:after="100" w:afterAutospacing="1"/>
      <w:jc w:val="left"/>
    </w:pPr>
    <w:rPr>
      <w:rFonts w:ascii="Times New Roman" w:eastAsia="宋体" w:hAnsi="Times New Roman" w:cs="Times New Roman"/>
      <w:kern w:val="0"/>
      <w:sz w:val="12"/>
      <w:szCs w:val="12"/>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2ffff0">
    <w:name w:val="正文（行首缩进2字）"/>
    <w:basedOn w:val="a"/>
    <w:qFormat/>
    <w:pPr>
      <w:spacing w:line="360" w:lineRule="auto"/>
      <w:ind w:firstLineChars="200" w:firstLine="200"/>
    </w:pPr>
    <w:rPr>
      <w:rFonts w:ascii="Times New Roman" w:eastAsia="宋体" w:hAnsi="Times New Roman" w:cs="Times New Roman"/>
      <w:sz w:val="28"/>
      <w:szCs w:val="20"/>
    </w:rPr>
  </w:style>
  <w:style w:type="paragraph" w:customStyle="1" w:styleId="2H22CharChar11Underrubrik1prop2Heading1">
    <w:name w:val="样式 样式 样式 标题 2H2标题 2 Char Char节标题 1.1（一）Underrubrik1prop2Heading...."/>
    <w:basedOn w:val="2H22CharChar11Underrubrik1prop2Heading"/>
    <w:qFormat/>
    <w:pPr>
      <w:spacing w:before="166" w:after="166"/>
    </w:pPr>
    <w:rPr>
      <w:szCs w:val="20"/>
    </w:rPr>
  </w:style>
  <w:style w:type="paragraph" w:customStyle="1" w:styleId="xl133">
    <w:name w:val="xl133"/>
    <w:basedOn w:val="a"/>
    <w:qFormat/>
    <w:pPr>
      <w:widowControl/>
      <w:pBdr>
        <w:righ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h">
    <w:name w:val="h"/>
    <w:basedOn w:val="a"/>
    <w:qFormat/>
    <w:pPr>
      <w:spacing w:before="60"/>
      <w:ind w:firstLine="482"/>
    </w:pPr>
    <w:rPr>
      <w:rFonts w:ascii="Arial" w:eastAsia="仿宋_GB2312" w:hAnsi="Arial" w:cs="Times New Roman"/>
      <w:kern w:val="0"/>
      <w:sz w:val="24"/>
      <w:szCs w:val="20"/>
    </w:rPr>
  </w:style>
  <w:style w:type="paragraph" w:customStyle="1" w:styleId="xl43">
    <w:name w:val="xl43"/>
    <w:basedOn w:val="a"/>
    <w:qFormat/>
    <w:pPr>
      <w:widowControl/>
      <w:pBdr>
        <w:right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4f">
    <w:name w:val="无间隔4"/>
    <w:qFormat/>
    <w:pPr>
      <w:widowControl w:val="0"/>
      <w:jc w:val="both"/>
    </w:pPr>
    <w:rPr>
      <w:rFonts w:ascii="Arial" w:eastAsia="仿宋" w:hAnsi="Arial" w:cs="Times New Roman"/>
      <w:w w:val="90"/>
      <w:kern w:val="2"/>
      <w:sz w:val="24"/>
      <w:szCs w:val="24"/>
    </w:rPr>
  </w:style>
  <w:style w:type="paragraph" w:customStyle="1" w:styleId="Instll1">
    <w:name w:val="InstÀÀll1"/>
    <w:qFormat/>
    <w:pPr>
      <w:tabs>
        <w:tab w:val="left" w:pos="-720"/>
      </w:tabs>
      <w:suppressAutoHyphens/>
      <w:jc w:val="both"/>
    </w:pPr>
    <w:rPr>
      <w:rFonts w:ascii="Courier" w:eastAsia="宋体" w:hAnsi="Courier" w:cs="Times New Roman"/>
      <w:spacing w:val="-3"/>
      <w:sz w:val="24"/>
      <w:lang w:eastAsia="sv-SE"/>
    </w:rPr>
  </w:style>
  <w:style w:type="paragraph" w:customStyle="1" w:styleId="77">
    <w:name w:val="7表格(治)"/>
    <w:qFormat/>
    <w:pPr>
      <w:jc w:val="center"/>
    </w:pPr>
    <w:rPr>
      <w:rFonts w:ascii="Times New Roman" w:eastAsia="楷体_GB2312" w:hAnsi="Times New Roman" w:cs="Times New Roman"/>
      <w:sz w:val="21"/>
    </w:rPr>
  </w:style>
  <w:style w:type="paragraph" w:customStyle="1" w:styleId="3ff8">
    <w:name w:val="3级"/>
    <w:basedOn w:val="a"/>
    <w:qFormat/>
    <w:pPr>
      <w:snapToGrid w:val="0"/>
      <w:spacing w:line="300" w:lineRule="auto"/>
      <w:ind w:firstLineChars="200" w:firstLine="420"/>
      <w:outlineLvl w:val="2"/>
    </w:pPr>
    <w:rPr>
      <w:rFonts w:ascii="黑体" w:eastAsia="黑体" w:hAnsi="宋体" w:cs="Times New Roman"/>
      <w:szCs w:val="30"/>
    </w:rPr>
  </w:style>
  <w:style w:type="paragraph" w:customStyle="1" w:styleId="1CharCharChar1Char">
    <w:name w:val="1 Char Char Char1 Char"/>
    <w:basedOn w:val="a"/>
    <w:qFormat/>
    <w:rPr>
      <w:rFonts w:ascii="Times New Roman" w:eastAsia="仿宋_GB2312" w:hAnsi="Times New Roman" w:cs="Times New Roman"/>
      <w:color w:val="000000"/>
      <w:sz w:val="24"/>
      <w:szCs w:val="20"/>
    </w:rPr>
  </w:style>
  <w:style w:type="paragraph" w:customStyle="1" w:styleId="xl102">
    <w:name w:val="xl102"/>
    <w:basedOn w:val="a"/>
    <w:qFormat/>
    <w:pPr>
      <w:widowControl/>
      <w:pBdr>
        <w:left w:val="single" w:sz="4" w:space="0" w:color="auto"/>
        <w:bottom w:val="single" w:sz="12" w:space="0" w:color="auto"/>
        <w:right w:val="single" w:sz="12" w:space="0" w:color="auto"/>
      </w:pBdr>
      <w:spacing w:before="100" w:beforeAutospacing="1" w:after="100" w:afterAutospacing="1"/>
      <w:jc w:val="center"/>
    </w:pPr>
    <w:rPr>
      <w:rFonts w:ascii="Times New Roman" w:eastAsia="宋体" w:hAnsi="Times New Roman" w:cs="Times New Roman"/>
      <w:kern w:val="0"/>
      <w:sz w:val="12"/>
      <w:szCs w:val="12"/>
    </w:rPr>
  </w:style>
  <w:style w:type="paragraph" w:customStyle="1" w:styleId="xl57">
    <w:name w:val="xl57"/>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Char130">
    <w:name w:val="Char13"/>
    <w:basedOn w:val="a"/>
    <w:qFormat/>
    <w:rPr>
      <w:rFonts w:ascii="Times New Roman" w:eastAsia="宋体" w:hAnsi="Times New Roman" w:cs="Times New Roman"/>
      <w:sz w:val="24"/>
      <w:szCs w:val="24"/>
    </w:rPr>
  </w:style>
  <w:style w:type="paragraph" w:customStyle="1" w:styleId="1ffff8">
    <w:name w:val="批注框文本1"/>
    <w:basedOn w:val="a"/>
    <w:qFormat/>
    <w:pPr>
      <w:adjustRightInd w:val="0"/>
      <w:spacing w:line="315" w:lineRule="atLeast"/>
      <w:jc w:val="left"/>
      <w:textAlignment w:val="baseline"/>
    </w:pPr>
    <w:rPr>
      <w:rFonts w:ascii="宋体" w:eastAsia="宋体" w:hAnsi="Times New Roman" w:cs="Times New Roman"/>
      <w:kern w:val="0"/>
      <w:sz w:val="18"/>
      <w:szCs w:val="18"/>
    </w:rPr>
  </w:style>
  <w:style w:type="paragraph" w:customStyle="1" w:styleId="charfffffff7">
    <w:name w:val="char"/>
    <w:basedOn w:val="a"/>
    <w:qFormat/>
    <w:pPr>
      <w:widowControl/>
      <w:spacing w:after="160" w:line="240" w:lineRule="exact"/>
      <w:jc w:val="left"/>
    </w:pPr>
    <w:rPr>
      <w:rFonts w:ascii="Verdana" w:eastAsia="仿宋_GB2312" w:hAnsi="Verdana" w:cs="”“Times New Roman”“"/>
      <w:kern w:val="0"/>
      <w:sz w:val="24"/>
      <w:szCs w:val="20"/>
      <w:lang w:eastAsia="en-US"/>
    </w:rPr>
  </w:style>
  <w:style w:type="paragraph" w:customStyle="1" w:styleId="font26">
    <w:name w:val="font26"/>
    <w:basedOn w:val="a"/>
    <w:qFormat/>
    <w:pPr>
      <w:widowControl/>
      <w:spacing w:before="100" w:beforeAutospacing="1" w:after="100" w:afterAutospacing="1"/>
      <w:jc w:val="left"/>
    </w:pPr>
    <w:rPr>
      <w:rFonts w:ascii="Times New Roman" w:eastAsia="宋体" w:hAnsi="Times New Roman" w:cs="Times New Roman"/>
      <w:color w:val="333399"/>
      <w:kern w:val="0"/>
      <w:sz w:val="18"/>
      <w:szCs w:val="18"/>
    </w:rPr>
  </w:style>
  <w:style w:type="paragraph" w:customStyle="1" w:styleId="2ffff1">
    <w:name w:val="?2"/>
    <w:basedOn w:val="a"/>
    <w:next w:val="a"/>
    <w:qFormat/>
    <w:pPr>
      <w:autoSpaceDE w:val="0"/>
      <w:autoSpaceDN w:val="0"/>
      <w:adjustRightInd w:val="0"/>
      <w:jc w:val="left"/>
    </w:pPr>
    <w:rPr>
      <w:rFonts w:ascii="五" w:eastAsia="五" w:hAnsi="Times New Roman" w:cs="Times New Roman"/>
      <w:kern w:val="0"/>
      <w:sz w:val="20"/>
      <w:szCs w:val="24"/>
    </w:rPr>
  </w:style>
  <w:style w:type="paragraph" w:customStyle="1" w:styleId="2ffff2">
    <w:name w:val="样式2"/>
    <w:basedOn w:val="1"/>
    <w:qFormat/>
    <w:pPr>
      <w:keepNext/>
      <w:keepLines/>
      <w:spacing w:before="340" w:after="330" w:line="520" w:lineRule="exact"/>
      <w:ind w:left="0"/>
      <w:jc w:val="both"/>
    </w:pPr>
    <w:rPr>
      <w:rFonts w:ascii="宋体" w:eastAsia="宋体" w:hAnsi="宋体" w:cs="Times New Roman"/>
      <w:b w:val="0"/>
      <w:kern w:val="44"/>
      <w:sz w:val="44"/>
      <w:szCs w:val="44"/>
      <w:lang w:eastAsia="zh-CN"/>
    </w:rPr>
  </w:style>
  <w:style w:type="paragraph" w:customStyle="1" w:styleId="Char250">
    <w:name w:val="Char25"/>
    <w:basedOn w:val="a"/>
    <w:qFormat/>
    <w:rPr>
      <w:rFonts w:ascii="Times New Roman" w:eastAsia="宋体" w:hAnsi="Times New Roman" w:cs="Times New Roman"/>
      <w:sz w:val="24"/>
      <w:szCs w:val="24"/>
    </w:rPr>
  </w:style>
  <w:style w:type="paragraph" w:customStyle="1" w:styleId="affffffffffffffa">
    <w:name w:val="康达正文"/>
    <w:basedOn w:val="a"/>
    <w:qFormat/>
    <w:pPr>
      <w:wordWrap w:val="0"/>
      <w:topLinePunct/>
      <w:ind w:firstLineChars="200" w:firstLine="200"/>
      <w:jc w:val="left"/>
    </w:pPr>
    <w:rPr>
      <w:rFonts w:ascii="Times New Roman" w:eastAsia="宋体" w:hAnsi="Times New Roman" w:cs="Times New Roman"/>
      <w:spacing w:val="20"/>
      <w:sz w:val="28"/>
      <w:szCs w:val="20"/>
    </w:rPr>
  </w:style>
  <w:style w:type="paragraph" w:customStyle="1" w:styleId="font13">
    <w:name w:val="font13"/>
    <w:basedOn w:val="a"/>
    <w:qFormat/>
    <w:pPr>
      <w:widowControl/>
      <w:spacing w:before="100" w:beforeAutospacing="1" w:after="100" w:afterAutospacing="1"/>
      <w:jc w:val="left"/>
    </w:pPr>
    <w:rPr>
      <w:rFonts w:ascii="Times New Roman" w:eastAsia="Arial Unicode MS" w:hAnsi="Times New Roman" w:cs="Times New Roman"/>
      <w:kern w:val="0"/>
      <w:sz w:val="24"/>
      <w:szCs w:val="24"/>
    </w:rPr>
  </w:style>
  <w:style w:type="paragraph" w:customStyle="1" w:styleId="085622">
    <w:name w:val="样式 正文文本 + 首行缩进:  0.85 厘米 段前: 6 磅 行距: 固定值 22 磅"/>
    <w:basedOn w:val="af5"/>
    <w:qFormat/>
    <w:pPr>
      <w:spacing w:before="120" w:line="440" w:lineRule="exact"/>
      <w:ind w:firstLine="482"/>
      <w:jc w:val="center"/>
    </w:pPr>
    <w:rPr>
      <w:rFonts w:ascii="Times New Roman" w:eastAsia="宋体" w:hAnsi="Times New Roman" w:cs="宋体"/>
      <w:sz w:val="24"/>
      <w:szCs w:val="20"/>
    </w:rPr>
  </w:style>
  <w:style w:type="paragraph" w:customStyle="1" w:styleId="affffffffffffffb">
    <w:name w:val="文章附标题"/>
    <w:basedOn w:val="a"/>
    <w:next w:val="affffff6"/>
    <w:qFormat/>
    <w:pPr>
      <w:widowControl/>
      <w:spacing w:before="187" w:after="175" w:line="374" w:lineRule="atLeast"/>
      <w:jc w:val="center"/>
      <w:textAlignment w:val="baseline"/>
    </w:pPr>
    <w:rPr>
      <w:rFonts w:ascii="Times New Roman" w:eastAsia="宋体" w:hAnsi="Times New Roman" w:cs="Times New Roman"/>
      <w:color w:val="000000"/>
      <w:kern w:val="0"/>
      <w:sz w:val="36"/>
      <w:szCs w:val="20"/>
    </w:rPr>
  </w:style>
  <w:style w:type="paragraph" w:customStyle="1" w:styleId="CM9">
    <w:name w:val="CM9"/>
    <w:basedOn w:val="Default"/>
    <w:next w:val="Default"/>
    <w:qFormat/>
    <w:pPr>
      <w:spacing w:line="440" w:lineRule="atLeast"/>
    </w:pPr>
    <w:rPr>
      <w:rFonts w:hAnsi="Times New Roman" w:cs="Times New Roman"/>
      <w:color w:val="auto"/>
    </w:rPr>
  </w:style>
  <w:style w:type="paragraph" w:customStyle="1" w:styleId="CharCharCharCharCharCharChar7">
    <w:name w:val="Char Char Char Char Char Char Char7"/>
    <w:basedOn w:val="a"/>
    <w:qFormat/>
    <w:rPr>
      <w:rFonts w:ascii="Times New Roman" w:eastAsia="宋体" w:hAnsi="Times New Roman" w:cs="Times New Roman"/>
      <w:szCs w:val="24"/>
    </w:rPr>
  </w:style>
  <w:style w:type="paragraph" w:customStyle="1" w:styleId="affffffffffffffc">
    <w:name w:val="正文图"/>
    <w:basedOn w:val="a"/>
    <w:qFormat/>
    <w:pPr>
      <w:adjustRightInd w:val="0"/>
      <w:snapToGrid w:val="0"/>
      <w:spacing w:before="40"/>
      <w:jc w:val="center"/>
      <w:textAlignment w:val="baseline"/>
    </w:pPr>
    <w:rPr>
      <w:rFonts w:ascii="宋体" w:eastAsia="宋体" w:hAnsi="Times New Roman" w:cs="Times New Roman"/>
      <w:kern w:val="0"/>
      <w:sz w:val="24"/>
      <w:szCs w:val="20"/>
    </w:rPr>
  </w:style>
  <w:style w:type="paragraph" w:customStyle="1" w:styleId="xl104">
    <w:name w:val="xl104"/>
    <w:basedOn w:val="a"/>
    <w:qFormat/>
    <w:pPr>
      <w:widowControl/>
      <w:spacing w:before="100" w:beforeAutospacing="1" w:after="100" w:afterAutospacing="1"/>
      <w:jc w:val="center"/>
    </w:pPr>
    <w:rPr>
      <w:rFonts w:ascii="Arial Unicode MS" w:eastAsia="宋体" w:hAnsi="Arial Unicode MS" w:cs="Times New Roman"/>
      <w:kern w:val="0"/>
      <w:sz w:val="12"/>
      <w:szCs w:val="12"/>
    </w:rPr>
  </w:style>
  <w:style w:type="paragraph" w:customStyle="1" w:styleId="CharCharCharCharCharChar1Char1">
    <w:name w:val="Char Char Char Char Char Char1 Char1"/>
    <w:basedOn w:val="a"/>
    <w:semiHidden/>
    <w:qFormat/>
    <w:rPr>
      <w:rFonts w:ascii="Times New Roman" w:eastAsia="宋体" w:hAnsi="Times New Roman" w:cs="Times New Roman"/>
      <w:szCs w:val="24"/>
    </w:rPr>
  </w:style>
  <w:style w:type="paragraph" w:customStyle="1" w:styleId="2ffff3">
    <w:name w:val="小圈序列2"/>
    <w:basedOn w:val="a"/>
    <w:qFormat/>
    <w:pPr>
      <w:tabs>
        <w:tab w:val="left" w:pos="556"/>
        <w:tab w:val="left" w:pos="1260"/>
        <w:tab w:val="left" w:pos="1440"/>
      </w:tabs>
      <w:spacing w:line="500" w:lineRule="exact"/>
      <w:ind w:left="-425" w:firstLine="425"/>
    </w:pPr>
    <w:rPr>
      <w:rFonts w:ascii="宋体" w:eastAsia="宋体" w:hAnsi="宋体" w:cs="Times New Roman"/>
      <w:kern w:val="0"/>
      <w:sz w:val="28"/>
      <w:szCs w:val="28"/>
    </w:rPr>
  </w:style>
  <w:style w:type="paragraph" w:customStyle="1" w:styleId="4Char5">
    <w:name w:val="4 Char"/>
    <w:basedOn w:val="a"/>
    <w:qFormat/>
    <w:rPr>
      <w:rFonts w:ascii="Times New Roman" w:eastAsia="宋体" w:hAnsi="Times New Roman" w:cs="Times New Roman"/>
      <w:szCs w:val="24"/>
    </w:rPr>
  </w:style>
  <w:style w:type="paragraph" w:customStyle="1" w:styleId="affffffffffffffd">
    <w:name w:val="附录标识"/>
    <w:basedOn w:val="affffffff1"/>
    <w:qFormat/>
    <w:pPr>
      <w:tabs>
        <w:tab w:val="clear" w:pos="903"/>
        <w:tab w:val="left" w:pos="360"/>
        <w:tab w:val="left" w:pos="6405"/>
      </w:tabs>
      <w:spacing w:after="200"/>
      <w:ind w:left="360" w:hangingChars="200" w:hanging="360"/>
    </w:pPr>
    <w:rPr>
      <w:sz w:val="21"/>
    </w:rPr>
  </w:style>
  <w:style w:type="paragraph" w:customStyle="1" w:styleId="xl198">
    <w:name w:val="xl198"/>
    <w:basedOn w:val="a"/>
    <w:qFormat/>
    <w:pPr>
      <w:widowControl/>
      <w:pBdr>
        <w:bottom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xl30">
    <w:name w:val="xl3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kern w:val="0"/>
      <w:sz w:val="26"/>
      <w:szCs w:val="26"/>
    </w:rPr>
  </w:style>
  <w:style w:type="paragraph" w:customStyle="1" w:styleId="affffffffffffffe">
    <w:name w:val="小五表文"/>
    <w:qFormat/>
    <w:pPr>
      <w:jc w:val="center"/>
    </w:pPr>
    <w:rPr>
      <w:rFonts w:ascii="Times New Roman" w:eastAsia="仿宋_GB2312" w:hAnsi="Times New Roman" w:cs="Times New Roman"/>
      <w:sz w:val="18"/>
    </w:rPr>
  </w:style>
  <w:style w:type="paragraph" w:customStyle="1" w:styleId="d">
    <w:name w:val="d新正文"/>
    <w:basedOn w:val="a"/>
    <w:qFormat/>
    <w:pPr>
      <w:widowControl/>
      <w:spacing w:line="360" w:lineRule="auto"/>
      <w:ind w:firstLine="476"/>
      <w:jc w:val="left"/>
    </w:pPr>
    <w:rPr>
      <w:rFonts w:ascii="Times New Roman" w:eastAsia="宋体" w:hAnsi="Times New Roman" w:cs="Times New Roman"/>
      <w:kern w:val="0"/>
      <w:sz w:val="24"/>
      <w:szCs w:val="20"/>
    </w:rPr>
  </w:style>
  <w:style w:type="paragraph" w:customStyle="1" w:styleId="-4">
    <w:name w:val="标-4"/>
    <w:basedOn w:val="a"/>
    <w:semiHidden/>
    <w:qFormat/>
    <w:pPr>
      <w:spacing w:before="120"/>
      <w:ind w:left="851" w:hanging="851"/>
    </w:pPr>
    <w:rPr>
      <w:rFonts w:ascii="Times New Roman" w:eastAsia="宋体" w:hAnsi="Times New Roman" w:cs="Times New Roman"/>
      <w:sz w:val="24"/>
      <w:szCs w:val="20"/>
    </w:rPr>
  </w:style>
  <w:style w:type="paragraph" w:customStyle="1" w:styleId="xl121">
    <w:name w:val="xl121"/>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Char4CharCharCharCharCharCharCharCharCharCharCharCharCharCharCharCharChar1Char">
    <w:name w:val="Char4 Char Char Char Char Char Char Char Char Char Char Char Char Char Char Char Char Char1 Char"/>
    <w:basedOn w:val="a"/>
    <w:qFormat/>
    <w:pPr>
      <w:spacing w:line="240" w:lineRule="exact"/>
      <w:ind w:firstLineChars="200" w:firstLine="200"/>
    </w:pPr>
    <w:rPr>
      <w:rFonts w:ascii="Times New Roman" w:eastAsia="宋体" w:hAnsi="Times New Roman" w:cs="Times New Roman"/>
      <w:sz w:val="28"/>
      <w:szCs w:val="28"/>
    </w:rPr>
  </w:style>
  <w:style w:type="paragraph" w:customStyle="1" w:styleId="1ffff9">
    <w:name w:val="普通(网站)1"/>
    <w:basedOn w:val="a"/>
    <w:qFormat/>
    <w:pPr>
      <w:widowControl/>
      <w:spacing w:before="100" w:beforeAutospacing="1" w:after="100" w:afterAutospacing="1"/>
      <w:jc w:val="left"/>
    </w:pPr>
    <w:rPr>
      <w:rFonts w:ascii="宋体" w:eastAsia="宋体" w:hAnsi="宋体" w:cs="Times New Roman"/>
      <w:kern w:val="0"/>
      <w:sz w:val="18"/>
      <w:szCs w:val="18"/>
    </w:rPr>
  </w:style>
  <w:style w:type="paragraph" w:customStyle="1" w:styleId="zl">
    <w:name w:val="标题zl"/>
    <w:basedOn w:val="7"/>
    <w:qFormat/>
    <w:pPr>
      <w:tabs>
        <w:tab w:val="left" w:pos="3827"/>
      </w:tabs>
    </w:pPr>
    <w:rPr>
      <w:rFonts w:ascii="宋体" w:hAnsi="宋体"/>
      <w:b w:val="0"/>
      <w:bCs w:val="0"/>
      <w:sz w:val="28"/>
    </w:rPr>
  </w:style>
  <w:style w:type="paragraph" w:customStyle="1" w:styleId="1ffffa">
    <w:name w:val="修订1"/>
    <w:semiHidden/>
    <w:qFormat/>
    <w:rPr>
      <w:rFonts w:ascii="宋体" w:eastAsia="宋体" w:hAnsi="宋体" w:cs="Times New Roman"/>
      <w:kern w:val="2"/>
      <w:sz w:val="24"/>
    </w:rPr>
  </w:style>
  <w:style w:type="paragraph" w:customStyle="1" w:styleId="1111">
    <w:name w:val="样式111"/>
    <w:qFormat/>
    <w:pPr>
      <w:adjustRightInd w:val="0"/>
      <w:snapToGrid w:val="0"/>
      <w:jc w:val="both"/>
    </w:pPr>
    <w:rPr>
      <w:rFonts w:ascii="宋体" w:eastAsia="宋体" w:hAnsi="Times New Roman" w:cs="Times New Roman"/>
      <w:sz w:val="21"/>
    </w:rPr>
  </w:style>
  <w:style w:type="paragraph" w:customStyle="1" w:styleId="my">
    <w:name w:val="my"/>
    <w:qFormat/>
    <w:pPr>
      <w:widowControl w:val="0"/>
      <w:spacing w:before="60" w:line="460" w:lineRule="exact"/>
      <w:ind w:firstLineChars="200" w:firstLine="200"/>
    </w:pPr>
    <w:rPr>
      <w:rFonts w:ascii="Times New Roman" w:eastAsia="宋体" w:hAnsi="Times New Roman" w:cs="Times New Roman"/>
      <w:kern w:val="2"/>
      <w:sz w:val="24"/>
      <w:szCs w:val="24"/>
    </w:rPr>
  </w:style>
  <w:style w:type="paragraph" w:customStyle="1" w:styleId="21b">
    <w:name w:val="样式 图表 + 首行缩进:  2 字符1"/>
    <w:basedOn w:val="a"/>
    <w:semiHidden/>
    <w:qFormat/>
    <w:pPr>
      <w:adjustRightInd w:val="0"/>
      <w:snapToGrid w:val="0"/>
      <w:spacing w:beforeLines="20" w:before="48" w:afterLines="20" w:after="48"/>
      <w:ind w:leftChars="-50" w:left="-102" w:rightChars="-50" w:right="-105" w:hanging="3"/>
      <w:jc w:val="center"/>
    </w:pPr>
    <w:rPr>
      <w:rFonts w:ascii="Times New Roman" w:eastAsia="仿宋_GB2312" w:hAnsi="Times New Roman" w:cs="Times New Roman"/>
      <w:color w:val="000000"/>
      <w:szCs w:val="24"/>
    </w:rPr>
  </w:style>
  <w:style w:type="paragraph" w:customStyle="1" w:styleId="afffffffffffffff">
    <w:name w:val="课题申报正文"/>
    <w:basedOn w:val="a"/>
    <w:qFormat/>
    <w:pPr>
      <w:spacing w:line="400" w:lineRule="exact"/>
      <w:ind w:right="57" w:firstLineChars="200" w:firstLine="200"/>
    </w:pPr>
    <w:rPr>
      <w:rFonts w:ascii="Times New Roman" w:eastAsia="宋体" w:hAnsi="Times New Roman" w:cs="Times New Roman"/>
      <w:sz w:val="24"/>
      <w:szCs w:val="20"/>
    </w:rPr>
  </w:style>
  <w:style w:type="paragraph" w:customStyle="1" w:styleId="2ffff4">
    <w:name w:val="批注文字2"/>
    <w:basedOn w:val="a"/>
    <w:qFormat/>
    <w:pPr>
      <w:jc w:val="left"/>
    </w:pPr>
    <w:rPr>
      <w:rFonts w:ascii="Arial" w:eastAsia="仿宋_GB2312" w:hAnsi="Arial" w:cs="Times New Roman"/>
      <w:kern w:val="0"/>
      <w:sz w:val="24"/>
      <w:szCs w:val="20"/>
    </w:rPr>
  </w:style>
  <w:style w:type="paragraph" w:customStyle="1" w:styleId="2ffff5">
    <w:name w:val="2级标题"/>
    <w:basedOn w:val="2"/>
    <w:semiHidden/>
    <w:qFormat/>
    <w:pPr>
      <w:keepNext w:val="0"/>
      <w:keepLines w:val="0"/>
      <w:tabs>
        <w:tab w:val="left" w:pos="1419"/>
        <w:tab w:val="left" w:pos="3564"/>
      </w:tabs>
      <w:adjustRightInd w:val="0"/>
      <w:snapToGrid w:val="0"/>
      <w:spacing w:before="50" w:after="0" w:line="360" w:lineRule="auto"/>
    </w:pPr>
    <w:rPr>
      <w:rFonts w:ascii="黑体" w:eastAsia="黑体" w:hAnsi="Arial" w:cs="Times New Roman"/>
      <w:b w:val="0"/>
      <w:bCs w:val="0"/>
      <w:kern w:val="0"/>
      <w:sz w:val="30"/>
      <w:szCs w:val="28"/>
      <w:lang w:val="zh-CN"/>
    </w:rPr>
  </w:style>
  <w:style w:type="paragraph" w:customStyle="1" w:styleId="afffffffffffffff0">
    <w:name w:val="正文（缩进）"/>
    <w:basedOn w:val="a"/>
    <w:semiHidden/>
    <w:qFormat/>
    <w:pPr>
      <w:adjustRightInd w:val="0"/>
      <w:snapToGrid w:val="0"/>
      <w:spacing w:line="360" w:lineRule="auto"/>
      <w:ind w:firstLineChars="200" w:firstLine="200"/>
    </w:pPr>
    <w:rPr>
      <w:rFonts w:ascii="Times New Roman" w:eastAsia="宋体" w:hAnsi="Times New Roman" w:cs="Times New Roman"/>
      <w:kern w:val="0"/>
      <w:sz w:val="24"/>
      <w:szCs w:val="24"/>
    </w:rPr>
  </w:style>
  <w:style w:type="paragraph" w:customStyle="1" w:styleId="test1">
    <w:name w:val="test1"/>
    <w:basedOn w:val="a"/>
    <w:qFormat/>
    <w:pPr>
      <w:widowControl/>
      <w:spacing w:before="240" w:after="100" w:afterAutospacing="1" w:line="480" w:lineRule="atLeast"/>
      <w:ind w:left="480" w:right="480"/>
      <w:jc w:val="left"/>
    </w:pPr>
    <w:rPr>
      <w:rFonts w:ascii="ˎ̥" w:eastAsia="宋体" w:hAnsi="ˎ̥" w:cs="宋体"/>
      <w:color w:val="000000"/>
      <w:kern w:val="0"/>
      <w:sz w:val="20"/>
      <w:szCs w:val="20"/>
    </w:rPr>
  </w:style>
  <w:style w:type="paragraph" w:customStyle="1" w:styleId="afffffffffffffff1">
    <w:name w:val="条题"/>
    <w:basedOn w:val="a"/>
    <w:qFormat/>
    <w:pPr>
      <w:tabs>
        <w:tab w:val="left" w:pos="360"/>
      </w:tabs>
      <w:spacing w:line="420" w:lineRule="exact"/>
      <w:ind w:firstLineChars="200" w:firstLine="560"/>
    </w:pPr>
    <w:rPr>
      <w:rFonts w:ascii="Times New Roman" w:eastAsia="宋体" w:hAnsi="Times New Roman" w:cs="Times New Roman"/>
      <w:sz w:val="24"/>
      <w:szCs w:val="20"/>
    </w:rPr>
  </w:style>
  <w:style w:type="paragraph" w:customStyle="1" w:styleId="CharCharCharCharCharCharCharCharCharCharCharCharChar4">
    <w:name w:val="Char Char Char Char Char Char Char Char Char Char Char Char Char4"/>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Instll6">
    <w:name w:val="InstÀÀll6"/>
    <w:qFormat/>
    <w:pPr>
      <w:tabs>
        <w:tab w:val="left" w:pos="-720"/>
      </w:tabs>
      <w:suppressAutoHyphens/>
      <w:jc w:val="both"/>
    </w:pPr>
    <w:rPr>
      <w:rFonts w:ascii="Courier" w:eastAsia="宋体" w:hAnsi="Courier" w:cs="Times New Roman"/>
      <w:spacing w:val="-3"/>
      <w:sz w:val="24"/>
      <w:lang w:eastAsia="sv-SE"/>
    </w:rPr>
  </w:style>
  <w:style w:type="paragraph" w:customStyle="1" w:styleId="xl42">
    <w:name w:val="xl42"/>
    <w:basedOn w:val="a"/>
    <w:qFormat/>
    <w:pPr>
      <w:widowControl/>
      <w:pBdr>
        <w:top w:val="single" w:sz="12" w:space="0" w:color="auto"/>
        <w:right w:val="single" w:sz="12"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PlainText4">
    <w:name w:val="Plain Text4"/>
    <w:basedOn w:val="a"/>
    <w:semiHidden/>
    <w:qFormat/>
    <w:pPr>
      <w:adjustRightInd w:val="0"/>
      <w:textAlignment w:val="baseline"/>
    </w:pPr>
    <w:rPr>
      <w:rFonts w:ascii="宋体" w:eastAsia="宋体" w:hAnsi="Courier New" w:cs="Times New Roman"/>
      <w:szCs w:val="20"/>
    </w:rPr>
  </w:style>
  <w:style w:type="paragraph" w:customStyle="1" w:styleId="CharCharCharChar110">
    <w:name w:val="Char Char Char Char110"/>
    <w:basedOn w:val="a"/>
    <w:qFormat/>
    <w:pPr>
      <w:widowControl/>
      <w:jc w:val="left"/>
    </w:pPr>
    <w:rPr>
      <w:rFonts w:ascii="Times New Roman" w:eastAsia="宋体" w:hAnsi="Times New Roman" w:cs="Times New Roman"/>
      <w:kern w:val="0"/>
      <w:sz w:val="24"/>
      <w:szCs w:val="20"/>
    </w:rPr>
  </w:style>
  <w:style w:type="paragraph" w:customStyle="1" w:styleId="1ffffb">
    <w:name w:val="1表格"/>
    <w:basedOn w:val="a"/>
    <w:qFormat/>
    <w:pPr>
      <w:adjustRightInd w:val="0"/>
      <w:snapToGrid w:val="0"/>
      <w:jc w:val="center"/>
      <w:textAlignment w:val="baseline"/>
    </w:pPr>
    <w:rPr>
      <w:rFonts w:ascii="宋体" w:eastAsia="宋体" w:hAnsi="宋体" w:cs="宋体"/>
      <w:spacing w:val="4"/>
      <w:sz w:val="24"/>
      <w:szCs w:val="24"/>
    </w:rPr>
  </w:style>
  <w:style w:type="paragraph" w:customStyle="1" w:styleId="CharCharChar1CharCharChar1CharCharChar1CharCharCharCharChar">
    <w:name w:val="Char Char Char1 Char Char Char1 Char Char Char1 Char Char Char 字元 字元 Char Char 字元 字元 字元 字元 字元"/>
    <w:basedOn w:val="a"/>
    <w:qFormat/>
    <w:pPr>
      <w:spacing w:line="400" w:lineRule="exact"/>
      <w:ind w:firstLineChars="200" w:firstLine="200"/>
    </w:pPr>
    <w:rPr>
      <w:rFonts w:ascii="Times New Roman" w:eastAsia="宋体" w:hAnsi="Times New Roman" w:cs="Times New Roman"/>
      <w:sz w:val="28"/>
      <w:szCs w:val="28"/>
    </w:rPr>
  </w:style>
  <w:style w:type="paragraph" w:customStyle="1" w:styleId="20505">
    <w:name w:val="样式 标题 2 + 段前: 0.5 行 段后: 0.5 行"/>
    <w:basedOn w:val="2"/>
    <w:qFormat/>
    <w:pPr>
      <w:tabs>
        <w:tab w:val="left" w:pos="576"/>
        <w:tab w:val="left" w:pos="1419"/>
      </w:tabs>
      <w:snapToGrid w:val="0"/>
      <w:spacing w:beforeLines="50" w:before="156" w:afterLines="50" w:after="156" w:line="300" w:lineRule="auto"/>
      <w:ind w:left="576" w:hanging="576"/>
    </w:pPr>
    <w:rPr>
      <w:rFonts w:ascii="Times New Roman" w:eastAsia="宋体" w:hAnsi="Times New Roman" w:cs="宋体"/>
      <w:sz w:val="24"/>
      <w:szCs w:val="28"/>
    </w:rPr>
  </w:style>
  <w:style w:type="paragraph" w:customStyle="1" w:styleId="afffffffffffffff2">
    <w:name w:val="项目段落"/>
    <w:basedOn w:val="a"/>
    <w:qFormat/>
    <w:pPr>
      <w:spacing w:before="60" w:line="360" w:lineRule="auto"/>
      <w:ind w:left="476" w:firstLine="482"/>
    </w:pPr>
    <w:rPr>
      <w:rFonts w:ascii="Arial" w:eastAsia="仿宋_GB2312" w:hAnsi="Arial" w:cs="Times New Roman"/>
      <w:kern w:val="0"/>
      <w:sz w:val="24"/>
      <w:szCs w:val="20"/>
    </w:rPr>
  </w:style>
  <w:style w:type="paragraph" w:customStyle="1" w:styleId="afffffffffffffff3">
    <w:name w:val="表中文字"/>
    <w:basedOn w:val="a"/>
    <w:qFormat/>
    <w:pPr>
      <w:snapToGrid w:val="0"/>
    </w:pPr>
    <w:rPr>
      <w:rFonts w:ascii="Times New Roman" w:eastAsia="宋体" w:hAnsi="Times New Roman" w:cs="Times New Roman"/>
      <w:szCs w:val="20"/>
    </w:rPr>
  </w:style>
  <w:style w:type="paragraph" w:customStyle="1" w:styleId="4f0">
    <w:name w:val="样式 样式 样式 标题 4 + 加粗 + 黑色 + 宋体"/>
    <w:basedOn w:val="4f1"/>
    <w:qFormat/>
    <w:pPr>
      <w:tabs>
        <w:tab w:val="left" w:pos="3796"/>
      </w:tabs>
      <w:ind w:left="1984" w:hanging="708"/>
    </w:pPr>
    <w:rPr>
      <w:rFonts w:ascii="宋体" w:hAnsi="宋体"/>
    </w:rPr>
  </w:style>
  <w:style w:type="paragraph" w:customStyle="1" w:styleId="4f1">
    <w:name w:val="样式 样式 标题 4 + 加粗 + 黑色"/>
    <w:basedOn w:val="a"/>
    <w:qFormat/>
    <w:pPr>
      <w:keepNext/>
      <w:keepLines/>
      <w:spacing w:line="360" w:lineRule="auto"/>
      <w:ind w:left="709" w:hanging="709"/>
      <w:outlineLvl w:val="3"/>
    </w:pPr>
    <w:rPr>
      <w:rFonts w:ascii="Times New Roman" w:eastAsia="宋体" w:hAnsi="Times New Roman" w:cs="Times New Roman"/>
      <w:color w:val="000000"/>
      <w:sz w:val="24"/>
      <w:szCs w:val="28"/>
    </w:rPr>
  </w:style>
  <w:style w:type="paragraph" w:customStyle="1" w:styleId="xl111">
    <w:name w:val="xl111"/>
    <w:basedOn w:val="a"/>
    <w:qFormat/>
    <w:pPr>
      <w:widowControl/>
      <w:pBdr>
        <w:top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111">
    <w:name w:val="Char111"/>
    <w:basedOn w:val="a"/>
    <w:qFormat/>
    <w:rPr>
      <w:rFonts w:ascii="Times New Roman" w:eastAsia="宋体" w:hAnsi="Times New Roman" w:cs="Times New Roman"/>
      <w:szCs w:val="21"/>
    </w:rPr>
  </w:style>
  <w:style w:type="paragraph" w:customStyle="1" w:styleId="Char2CharCharChar2">
    <w:name w:val="Char2 Char Char Char2"/>
    <w:basedOn w:val="a"/>
    <w:qFormat/>
    <w:rPr>
      <w:rFonts w:ascii="Times New Roman" w:eastAsia="宋体" w:hAnsi="Times New Roman" w:cs="Times New Roman"/>
      <w:sz w:val="24"/>
      <w:szCs w:val="24"/>
    </w:rPr>
  </w:style>
  <w:style w:type="paragraph" w:customStyle="1" w:styleId="102">
    <w:name w:val="10"/>
    <w:basedOn w:val="a"/>
    <w:next w:val="a0"/>
    <w:qFormat/>
    <w:pPr>
      <w:spacing w:line="500" w:lineRule="exact"/>
      <w:ind w:firstLine="420"/>
    </w:pPr>
    <w:rPr>
      <w:rFonts w:ascii="仿宋_GB2312" w:eastAsia="仿宋_GB2312" w:hAnsi="Times New Roman" w:cs="Times New Roman"/>
      <w:sz w:val="28"/>
      <w:szCs w:val="20"/>
    </w:rPr>
  </w:style>
  <w:style w:type="paragraph" w:customStyle="1" w:styleId="2111121305">
    <w:name w:val="样式 样式 标题 2节标题 1.11.1标题2 + 四号 段后: 13 磅 + 段前: 0.5 行"/>
    <w:basedOn w:val="21111213"/>
    <w:qFormat/>
    <w:pPr>
      <w:spacing w:beforeLines="0" w:beforeAutospacing="1" w:line="480" w:lineRule="auto"/>
    </w:pPr>
  </w:style>
  <w:style w:type="paragraph" w:customStyle="1" w:styleId="1ffffc">
    <w:name w:val="1级标题"/>
    <w:basedOn w:val="a"/>
    <w:qFormat/>
    <w:pPr>
      <w:adjustRightInd w:val="0"/>
      <w:snapToGrid w:val="0"/>
      <w:spacing w:line="360" w:lineRule="auto"/>
      <w:jc w:val="center"/>
    </w:pPr>
    <w:rPr>
      <w:rFonts w:ascii="Arial" w:eastAsia="幼圆" w:hAnsi="Arial" w:cs="Times New Roman"/>
      <w:b/>
      <w:sz w:val="44"/>
      <w:szCs w:val="20"/>
    </w:rPr>
  </w:style>
  <w:style w:type="paragraph" w:customStyle="1" w:styleId="afffffffffffffff4">
    <w:name w:val="图表五号"/>
    <w:basedOn w:val="a"/>
    <w:qFormat/>
    <w:pPr>
      <w:autoSpaceDE w:val="0"/>
      <w:autoSpaceDN w:val="0"/>
      <w:adjustRightInd w:val="0"/>
      <w:snapToGrid w:val="0"/>
      <w:spacing w:line="20" w:lineRule="atLeast"/>
      <w:ind w:firstLineChars="200" w:firstLine="200"/>
      <w:jc w:val="center"/>
    </w:pPr>
    <w:rPr>
      <w:rFonts w:ascii="Times New Roman" w:eastAsia="仿宋_GB2312" w:hAnsi="Times New Roman" w:cs="Times New Roman"/>
      <w:szCs w:val="20"/>
    </w:rPr>
  </w:style>
  <w:style w:type="paragraph" w:customStyle="1" w:styleId="xl109">
    <w:name w:val="xl109"/>
    <w:basedOn w:val="a"/>
    <w:qFormat/>
    <w:pPr>
      <w:widowControl/>
      <w:pBdr>
        <w:top w:val="single" w:sz="12" w:space="0" w:color="auto"/>
        <w:bottom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Normal14pt">
    <w:name w:val="Normal + 14 pt"/>
    <w:basedOn w:val="a"/>
    <w:qFormat/>
    <w:pPr>
      <w:snapToGrid w:val="0"/>
      <w:spacing w:line="360" w:lineRule="auto"/>
      <w:ind w:firstLineChars="200" w:firstLine="560"/>
      <w:jc w:val="left"/>
      <w:outlineLvl w:val="0"/>
    </w:pPr>
    <w:rPr>
      <w:rFonts w:ascii="Times New Roman" w:eastAsia="宋体" w:hAnsi="Times New Roman" w:cs="Times New Roman"/>
      <w:sz w:val="28"/>
      <w:szCs w:val="28"/>
    </w:rPr>
  </w:style>
  <w:style w:type="paragraph" w:customStyle="1" w:styleId="2ffff6">
    <w:name w:val="封面标准号2"/>
    <w:basedOn w:val="a"/>
    <w:qFormat/>
    <w:pPr>
      <w:framePr w:w="9138" w:h="1244" w:hRule="exact" w:wrap="around" w:vAnchor="page" w:hAnchor="margin" w:y="2908" w:anchorLock="1"/>
      <w:kinsoku w:val="0"/>
      <w:overflowPunct w:val="0"/>
      <w:autoSpaceDE w:val="0"/>
      <w:autoSpaceDN w:val="0"/>
      <w:adjustRightInd w:val="0"/>
      <w:spacing w:before="357" w:line="280" w:lineRule="exact"/>
      <w:jc w:val="right"/>
      <w:textAlignment w:val="center"/>
    </w:pPr>
    <w:rPr>
      <w:rFonts w:ascii="Times New Roman" w:eastAsia="宋体" w:hAnsi="Times New Roman" w:cs="Times New Roman"/>
      <w:kern w:val="0"/>
      <w:sz w:val="28"/>
      <w:szCs w:val="20"/>
    </w:rPr>
  </w:style>
  <w:style w:type="paragraph" w:customStyle="1" w:styleId="afffffffffffffff5">
    <w:name w:val="表里"/>
    <w:basedOn w:val="a"/>
    <w:qFormat/>
    <w:pPr>
      <w:jc w:val="center"/>
      <w:outlineLvl w:val="8"/>
    </w:pPr>
    <w:rPr>
      <w:rFonts w:ascii="Times New Roman" w:eastAsia="宋体" w:hAnsi="Times New Roman" w:cs="Times New Roman"/>
      <w:sz w:val="24"/>
      <w:szCs w:val="24"/>
    </w:rPr>
  </w:style>
  <w:style w:type="paragraph" w:customStyle="1" w:styleId="NormalIndent1">
    <w:name w:val="Normal Indent1"/>
    <w:basedOn w:val="a"/>
    <w:qFormat/>
    <w:pPr>
      <w:adjustRightInd w:val="0"/>
      <w:ind w:firstLineChars="200" w:firstLine="420"/>
      <w:textAlignment w:val="baseline"/>
    </w:pPr>
    <w:rPr>
      <w:rFonts w:ascii="Times New Roman" w:eastAsia="宋体" w:hAnsi="宋体" w:cs="Times New Roman" w:hint="eastAsia"/>
      <w:sz w:val="24"/>
      <w:szCs w:val="20"/>
    </w:rPr>
  </w:style>
  <w:style w:type="paragraph" w:customStyle="1" w:styleId="xl36">
    <w:name w:val="xl36"/>
    <w:basedOn w:val="a"/>
    <w:qFormat/>
    <w:pPr>
      <w:widowControl/>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宋体" w:hAnsi="Arial" w:cs="Times New Roman"/>
      <w:kern w:val="0"/>
      <w:sz w:val="24"/>
      <w:szCs w:val="24"/>
    </w:rPr>
  </w:style>
  <w:style w:type="paragraph" w:customStyle="1" w:styleId="33CharChar1113h33rdlevelH3l3CT0">
    <w:name w:val="样式 标题 3标题 3 Char Char条标题1.1.13h33rd levelH3l3CT + 左 行距:..."/>
    <w:basedOn w:val="3"/>
    <w:qFormat/>
    <w:pPr>
      <w:widowControl w:val="0"/>
      <w:tabs>
        <w:tab w:val="left" w:pos="780"/>
        <w:tab w:val="left" w:pos="1418"/>
      </w:tabs>
      <w:snapToGrid w:val="0"/>
      <w:spacing w:before="0" w:after="0" w:line="500" w:lineRule="exact"/>
      <w:ind w:left="627" w:hanging="567"/>
    </w:pPr>
    <w:rPr>
      <w:rFonts w:cs="宋体"/>
      <w:kern w:val="2"/>
      <w:sz w:val="24"/>
      <w:szCs w:val="20"/>
    </w:rPr>
  </w:style>
  <w:style w:type="paragraph" w:customStyle="1" w:styleId="lulu1">
    <w:name w:val="样式 表格内容+小五（lulu）"/>
    <w:basedOn w:val="afffffffff7"/>
    <w:qFormat/>
    <w:pPr>
      <w:overflowPunct/>
      <w:adjustRightInd/>
      <w:spacing w:line="320" w:lineRule="exact"/>
      <w:textAlignment w:val="auto"/>
    </w:pPr>
    <w:rPr>
      <w:rFonts w:ascii="宋体" w:eastAsia="宋体" w:hAnsi="宋体" w:cs="宋体"/>
      <w:b/>
      <w:bCs/>
      <w:sz w:val="20"/>
    </w:rPr>
  </w:style>
  <w:style w:type="paragraph" w:customStyle="1" w:styleId="lulu2">
    <w:name w:val="样式 表格内容 + 小五 加粗（lulu）"/>
    <w:basedOn w:val="afffffffff7"/>
    <w:qFormat/>
    <w:pPr>
      <w:overflowPunct/>
      <w:adjustRightInd/>
      <w:spacing w:line="320" w:lineRule="exact"/>
      <w:textAlignment w:val="auto"/>
    </w:pPr>
    <w:rPr>
      <w:rFonts w:ascii="宋体" w:eastAsia="宋体" w:hAnsi="宋体" w:cs="宋体"/>
      <w:b/>
      <w:bCs/>
      <w:sz w:val="18"/>
    </w:rPr>
  </w:style>
  <w:style w:type="paragraph" w:customStyle="1" w:styleId="Char36">
    <w:name w:val="Char3"/>
    <w:basedOn w:val="a"/>
    <w:qFormat/>
    <w:rPr>
      <w:rFonts w:ascii="Times New Roman" w:eastAsia="宋体" w:hAnsi="Times New Roman" w:cs="Times New Roman"/>
      <w:sz w:val="24"/>
      <w:szCs w:val="24"/>
    </w:rPr>
  </w:style>
  <w:style w:type="paragraph" w:customStyle="1" w:styleId="127">
    <w:name w:val="正文12"/>
    <w:basedOn w:val="a"/>
    <w:qFormat/>
    <w:pPr>
      <w:adjustRightInd w:val="0"/>
      <w:spacing w:line="500" w:lineRule="exact"/>
      <w:ind w:firstLine="567"/>
    </w:pPr>
    <w:rPr>
      <w:rFonts w:ascii="Times New Roman" w:eastAsia="宋体" w:hAnsi="Times New Roman" w:cs="Times New Roman"/>
      <w:sz w:val="28"/>
      <w:szCs w:val="20"/>
    </w:rPr>
  </w:style>
  <w:style w:type="paragraph" w:customStyle="1" w:styleId="xl78">
    <w:name w:val="xl78"/>
    <w:basedOn w:val="a"/>
    <w:qFormat/>
    <w:pPr>
      <w:widowControl/>
      <w:pBdr>
        <w:left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325">
    <w:name w:val="样式 标题 3 + 黑色 行距: 最小值 25 磅"/>
    <w:basedOn w:val="3"/>
    <w:qFormat/>
    <w:pPr>
      <w:keepLines w:val="0"/>
      <w:widowControl w:val="0"/>
      <w:tabs>
        <w:tab w:val="left" w:pos="1418"/>
      </w:tabs>
      <w:spacing w:before="0" w:after="0" w:line="500" w:lineRule="atLeast"/>
    </w:pPr>
    <w:rPr>
      <w:b w:val="0"/>
      <w:bCs w:val="0"/>
      <w:color w:val="000000"/>
      <w:kern w:val="2"/>
      <w:sz w:val="28"/>
      <w:szCs w:val="28"/>
    </w:rPr>
  </w:style>
  <w:style w:type="paragraph" w:customStyle="1" w:styleId="CharCharCharCharCharCharCharCharChar1Char6">
    <w:name w:val="Char Char Char Char Char Char Char Char Char1 Char6"/>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Char2CharCharChar3">
    <w:name w:val="Char2 Char Char Char3"/>
    <w:basedOn w:val="a"/>
    <w:qFormat/>
    <w:rPr>
      <w:rFonts w:ascii="Times New Roman" w:eastAsia="宋体" w:hAnsi="Times New Roman" w:cs="Times New Roman"/>
      <w:sz w:val="24"/>
      <w:szCs w:val="24"/>
    </w:rPr>
  </w:style>
  <w:style w:type="paragraph" w:customStyle="1" w:styleId="15style13">
    <w:name w:val="15 style13"/>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afffffffffffffff6">
    <w:name w:val="条文"/>
    <w:basedOn w:val="5"/>
    <w:next w:val="a"/>
    <w:qFormat/>
    <w:pPr>
      <w:keepLines/>
      <w:tabs>
        <w:tab w:val="left" w:pos="1008"/>
      </w:tabs>
      <w:spacing w:before="0" w:line="400" w:lineRule="exact"/>
      <w:ind w:left="0" w:firstLine="0"/>
      <w:jc w:val="center"/>
    </w:pPr>
    <w:rPr>
      <w:rFonts w:ascii="仿宋_GB2312" w:eastAsia="仿宋_GB2312" w:hAnsi="Times New Roman" w:cs="Times New Roman"/>
      <w:kern w:val="2"/>
      <w:sz w:val="21"/>
      <w:szCs w:val="20"/>
      <w:lang w:eastAsia="zh-CN"/>
    </w:rPr>
  </w:style>
  <w:style w:type="paragraph" w:customStyle="1" w:styleId="CharCharChar1Char3">
    <w:name w:val="Char Char Char1 Char3"/>
    <w:basedOn w:val="a"/>
    <w:qFormat/>
    <w:rPr>
      <w:rFonts w:ascii="Times New Roman" w:eastAsia="宋体" w:hAnsi="Times New Roman" w:cs="Times New Roman"/>
      <w:sz w:val="24"/>
      <w:szCs w:val="24"/>
    </w:rPr>
  </w:style>
  <w:style w:type="paragraph" w:customStyle="1" w:styleId="3111">
    <w:name w:val="样式 标题 3 + 11 磅 蓝色"/>
    <w:basedOn w:val="3"/>
    <w:qFormat/>
    <w:pPr>
      <w:widowControl w:val="0"/>
      <w:tabs>
        <w:tab w:val="left" w:pos="1418"/>
      </w:tabs>
      <w:autoSpaceDE w:val="0"/>
      <w:autoSpaceDN w:val="0"/>
      <w:adjustRightInd w:val="0"/>
      <w:snapToGrid w:val="0"/>
      <w:spacing w:before="0" w:after="0" w:line="500" w:lineRule="exact"/>
      <w:textAlignment w:val="baseline"/>
    </w:pPr>
    <w:rPr>
      <w:rFonts w:ascii="宋体" w:hAnsi="宋体"/>
      <w:b w:val="0"/>
      <w:bCs w:val="0"/>
      <w:color w:val="0000FF"/>
      <w:sz w:val="28"/>
      <w:szCs w:val="20"/>
    </w:rPr>
  </w:style>
  <w:style w:type="paragraph" w:customStyle="1" w:styleId="CharCharChar1CharCharCharCharCharCharCharCharCharCharCharCharCharCharChar1CharCharCharCharCharCharCharCharCharCharCharCharCharCharCharCharCharCharCharCharCharCharCharCharCharCharCharCharCharChar">
    <w:name w:val="Char Char Char1 Char Char Char Char Char Char Char Char Char Char Char Char Char Char Char1 Char Char Char Char Char Char Char Char Char Char Char Char Char Char Char Char Char Char Char Char Char Char Char Char Char Char Char Char Char Char"/>
    <w:basedOn w:val="a"/>
    <w:qFormat/>
    <w:pPr>
      <w:spacing w:line="240" w:lineRule="exact"/>
      <w:ind w:firstLineChars="200" w:firstLine="200"/>
    </w:pPr>
    <w:rPr>
      <w:rFonts w:ascii="Times New Roman" w:eastAsia="宋体" w:hAnsi="Times New Roman" w:cs="Times New Roman"/>
      <w:sz w:val="28"/>
      <w:szCs w:val="28"/>
    </w:rPr>
  </w:style>
  <w:style w:type="paragraph" w:customStyle="1" w:styleId="190">
    <w:name w:val="19号令"/>
    <w:basedOn w:val="a"/>
    <w:qFormat/>
    <w:pPr>
      <w:widowControl/>
      <w:spacing w:before="100" w:beforeAutospacing="1" w:after="100" w:afterAutospacing="1" w:line="500" w:lineRule="atLeast"/>
      <w:jc w:val="left"/>
    </w:pPr>
    <w:rPr>
      <w:rFonts w:ascii="宋体" w:eastAsia="宋体" w:hAnsi="宋体" w:cs="宋体"/>
      <w:kern w:val="0"/>
      <w:sz w:val="24"/>
      <w:szCs w:val="24"/>
    </w:rPr>
  </w:style>
  <w:style w:type="paragraph" w:customStyle="1" w:styleId="412">
    <w:name w:val="小4黑居中行1"/>
    <w:qFormat/>
    <w:pPr>
      <w:spacing w:line="360" w:lineRule="auto"/>
      <w:jc w:val="center"/>
    </w:pPr>
    <w:rPr>
      <w:rFonts w:ascii="Times New Roman" w:eastAsia="宋体" w:hAnsi="Times New Roman" w:cs="Times New Roman"/>
      <w:kern w:val="2"/>
      <w:sz w:val="21"/>
    </w:rPr>
  </w:style>
  <w:style w:type="paragraph" w:customStyle="1" w:styleId="afffffffffffffff7">
    <w:name w:val="文件名称"/>
    <w:basedOn w:val="a"/>
    <w:next w:val="a"/>
    <w:qFormat/>
    <w:pPr>
      <w:spacing w:beforeLines="100" w:before="100"/>
      <w:jc w:val="center"/>
    </w:pPr>
    <w:rPr>
      <w:rFonts w:ascii="黑体" w:eastAsia="黑体" w:hAnsi="Times New Roman" w:cs="Times New Roman"/>
      <w:sz w:val="84"/>
      <w:szCs w:val="84"/>
    </w:rPr>
  </w:style>
  <w:style w:type="paragraph" w:customStyle="1" w:styleId="3ff9">
    <w:name w:val="样式 标题 3 + 四号"/>
    <w:basedOn w:val="3"/>
    <w:qFormat/>
    <w:pPr>
      <w:keepNext w:val="0"/>
      <w:keepLines w:val="0"/>
      <w:widowControl w:val="0"/>
      <w:tabs>
        <w:tab w:val="left" w:pos="1418"/>
      </w:tabs>
      <w:spacing w:before="0" w:after="0" w:line="360" w:lineRule="auto"/>
      <w:jc w:val="both"/>
      <w:outlineLvl w:val="9"/>
    </w:pPr>
    <w:rPr>
      <w:b w:val="0"/>
      <w:bCs w:val="0"/>
      <w:kern w:val="2"/>
      <w:sz w:val="21"/>
      <w:szCs w:val="21"/>
    </w:rPr>
  </w:style>
  <w:style w:type="paragraph" w:customStyle="1" w:styleId="3H33CharChar3Char1113zymGB231210">
    <w:name w:val="样式 样式 标题 3H3标题 3 Char Char标题 3 Char条标题1.1.1标题 3zym + 仿宋_GB23121 ..."/>
    <w:basedOn w:val="3H33CharChar3Char1113zymGB23121"/>
    <w:qFormat/>
    <w:pPr>
      <w:ind w:right="240"/>
    </w:pPr>
    <w:rPr>
      <w:rFonts w:cs="宋体"/>
      <w:szCs w:val="20"/>
    </w:rPr>
  </w:style>
  <w:style w:type="paragraph" w:customStyle="1" w:styleId="Chapter">
    <w:name w:val="Chapter"/>
    <w:basedOn w:val="1"/>
    <w:qFormat/>
    <w:pPr>
      <w:keepNext/>
      <w:keepLines/>
      <w:tabs>
        <w:tab w:val="left" w:pos="425"/>
        <w:tab w:val="left" w:pos="926"/>
      </w:tabs>
      <w:spacing w:before="340" w:after="330" w:line="578" w:lineRule="auto"/>
      <w:ind w:left="-16"/>
      <w:jc w:val="center"/>
    </w:pPr>
    <w:rPr>
      <w:rFonts w:eastAsia="宋体" w:cs="Times New Roman"/>
      <w:kern w:val="44"/>
      <w:sz w:val="36"/>
      <w:szCs w:val="36"/>
      <w:lang w:eastAsia="zh-CN"/>
    </w:rPr>
  </w:style>
  <w:style w:type="paragraph" w:customStyle="1" w:styleId="4-0010010">
    <w:name w:val="样式 样式 标题 4 + 黑色 左侧:  -0.01 厘米 首行缩进:  0.01 厘米 + 左侧:  0 厘米 首行缩进: ..."/>
    <w:basedOn w:val="4-001001"/>
    <w:qFormat/>
    <w:pPr>
      <w:tabs>
        <w:tab w:val="clear" w:pos="864"/>
        <w:tab w:val="left" w:pos="851"/>
      </w:tabs>
      <w:ind w:left="851" w:hanging="851"/>
    </w:pPr>
  </w:style>
  <w:style w:type="paragraph" w:customStyle="1" w:styleId="CharCharChar1CharCharCharCharCharCharCharCharCharChar">
    <w:name w:val="Char Char Char1 Char Char Char Char Char Char Char Char Char Char"/>
    <w:basedOn w:val="a"/>
    <w:qFormat/>
    <w:rPr>
      <w:rFonts w:ascii="Times New Roman" w:eastAsia="宋体" w:hAnsi="Times New Roman" w:cs="Times New Roman"/>
      <w:szCs w:val="20"/>
    </w:rPr>
  </w:style>
  <w:style w:type="paragraph" w:customStyle="1" w:styleId="xl105">
    <w:name w:val="xl105"/>
    <w:basedOn w:val="a"/>
    <w:qFormat/>
    <w:pPr>
      <w:widowControl/>
      <w:spacing w:before="100" w:beforeAutospacing="1" w:after="100" w:afterAutospacing="1"/>
      <w:jc w:val="center"/>
    </w:pPr>
    <w:rPr>
      <w:rFonts w:ascii="Arial Unicode MS" w:eastAsia="宋体" w:hAnsi="Arial Unicode MS" w:cs="Times New Roman"/>
      <w:kern w:val="0"/>
      <w:szCs w:val="24"/>
    </w:rPr>
  </w:style>
  <w:style w:type="paragraph" w:customStyle="1" w:styleId="11H1SectionHeadHeader1h11stlevell1Heading0">
    <w:name w:val="样式 标题 1章标题 1H1Section HeadHeader1h11st levell1Heading 0..."/>
    <w:basedOn w:val="1"/>
    <w:qFormat/>
    <w:pPr>
      <w:keepNext/>
      <w:tabs>
        <w:tab w:val="left" w:pos="425"/>
      </w:tabs>
      <w:spacing w:before="0" w:line="500" w:lineRule="exact"/>
      <w:ind w:left="425" w:hanging="425"/>
    </w:pPr>
    <w:rPr>
      <w:rFonts w:eastAsia="宋体" w:cs="宋体"/>
      <w:b w:val="0"/>
      <w:bCs w:val="0"/>
      <w:color w:val="000000"/>
      <w:kern w:val="2"/>
      <w:sz w:val="28"/>
      <w:szCs w:val="20"/>
      <w:lang w:eastAsia="zh-CN"/>
    </w:rPr>
  </w:style>
  <w:style w:type="paragraph" w:customStyle="1" w:styleId="afffffffffffffff8">
    <w:name w:val="表体"/>
    <w:basedOn w:val="a"/>
    <w:qFormat/>
    <w:pPr>
      <w:overflowPunct w:val="0"/>
      <w:adjustRightInd w:val="0"/>
      <w:spacing w:line="300" w:lineRule="atLeast"/>
      <w:jc w:val="center"/>
      <w:textAlignment w:val="baseline"/>
    </w:pPr>
    <w:rPr>
      <w:rFonts w:ascii="Times New Roman" w:eastAsia="宋体" w:hAnsi="Times New Roman" w:cs="Times New Roman"/>
      <w:color w:val="000000"/>
      <w:kern w:val="24"/>
      <w:sz w:val="18"/>
      <w:szCs w:val="20"/>
    </w:rPr>
  </w:style>
  <w:style w:type="paragraph" w:customStyle="1" w:styleId="CharChar3Char">
    <w:name w:val="Char Char3 Char"/>
    <w:basedOn w:val="a"/>
    <w:qFormat/>
    <w:rPr>
      <w:rFonts w:ascii="Tahoma" w:eastAsia="宋体" w:hAnsi="Tahoma" w:cs="Times New Roman"/>
      <w:sz w:val="24"/>
      <w:szCs w:val="20"/>
    </w:rPr>
  </w:style>
  <w:style w:type="paragraph" w:customStyle="1" w:styleId="afffffffffffffff9">
    <w:name w:val="+正文"/>
    <w:basedOn w:val="a"/>
    <w:qFormat/>
    <w:pPr>
      <w:spacing w:line="360" w:lineRule="auto"/>
      <w:ind w:firstLineChars="200" w:firstLine="200"/>
    </w:pPr>
    <w:rPr>
      <w:rFonts w:ascii="Times New Roman" w:eastAsia="宋体" w:hAnsi="Times New Roman" w:cs="Times New Roman"/>
      <w:sz w:val="28"/>
      <w:szCs w:val="28"/>
    </w:rPr>
  </w:style>
  <w:style w:type="paragraph" w:customStyle="1" w:styleId="xl25">
    <w:name w:val="xl2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szCs w:val="24"/>
    </w:rPr>
  </w:style>
  <w:style w:type="paragraph" w:customStyle="1" w:styleId="afffffffffffffffa">
    <w:name w:val="表号"/>
    <w:basedOn w:val="a"/>
    <w:qFormat/>
    <w:rPr>
      <w:rFonts w:ascii="Times New Roman" w:eastAsia="宋体" w:hAnsi="Times New Roman" w:cs="Times New Roman"/>
      <w:szCs w:val="20"/>
    </w:rPr>
  </w:style>
  <w:style w:type="paragraph" w:customStyle="1" w:styleId="xl83">
    <w:name w:val="xl83"/>
    <w:basedOn w:val="a"/>
    <w:qFormat/>
    <w:pPr>
      <w:widowControl/>
      <w:pBdr>
        <w:top w:val="single" w:sz="12" w:space="0" w:color="auto"/>
        <w:left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xuchao1">
    <w:name w:val="xuchao1"/>
    <w:basedOn w:val="a"/>
    <w:qFormat/>
    <w:pPr>
      <w:spacing w:line="500" w:lineRule="exact"/>
      <w:ind w:firstLineChars="200" w:firstLine="200"/>
    </w:pPr>
    <w:rPr>
      <w:rFonts w:ascii="宋体" w:eastAsia="宋体" w:hAnsi="宋体" w:cs="Times New Roman"/>
      <w:sz w:val="24"/>
      <w:szCs w:val="24"/>
    </w:rPr>
  </w:style>
  <w:style w:type="paragraph" w:customStyle="1" w:styleId="xl145">
    <w:name w:val="xl145"/>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512">
    <w:name w:val="目录 51"/>
    <w:basedOn w:val="a"/>
    <w:next w:val="a"/>
    <w:qFormat/>
    <w:pPr>
      <w:ind w:left="630"/>
      <w:jc w:val="left"/>
    </w:pPr>
    <w:rPr>
      <w:rFonts w:ascii="Times New Roman" w:eastAsia="宋体" w:hAnsi="Times New Roman" w:cs="Times New Roman"/>
      <w:sz w:val="20"/>
      <w:szCs w:val="20"/>
    </w:rPr>
  </w:style>
  <w:style w:type="paragraph" w:customStyle="1" w:styleId="02">
    <w:name w:val="0"/>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xl101">
    <w:name w:val="xl101"/>
    <w:basedOn w:val="a"/>
    <w:qFormat/>
    <w:pPr>
      <w:widowControl/>
      <w:pBdr>
        <w:left w:val="single" w:sz="4" w:space="0" w:color="auto"/>
        <w:right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afffffffffffffffb">
    <w:name w:val="标准"/>
    <w:basedOn w:val="a"/>
    <w:qFormat/>
    <w:pPr>
      <w:adjustRightInd w:val="0"/>
      <w:spacing w:line="312" w:lineRule="atLeast"/>
      <w:textAlignment w:val="baseline"/>
    </w:pPr>
    <w:rPr>
      <w:rFonts w:ascii="Times New Roman" w:eastAsia="宋体" w:hAnsi="Times New Roman" w:cs="Times New Roman"/>
      <w:kern w:val="0"/>
      <w:szCs w:val="20"/>
    </w:rPr>
  </w:style>
  <w:style w:type="paragraph" w:customStyle="1" w:styleId="book11">
    <w:name w:val="book1_1"/>
    <w:basedOn w:val="2"/>
    <w:qFormat/>
    <w:pPr>
      <w:keepNext w:val="0"/>
      <w:tabs>
        <w:tab w:val="left" w:pos="622"/>
        <w:tab w:val="left" w:pos="720"/>
        <w:tab w:val="left" w:pos="1419"/>
      </w:tabs>
      <w:spacing w:beforeLines="50" w:before="156" w:afterLines="50" w:after="156" w:line="240" w:lineRule="auto"/>
    </w:pPr>
    <w:rPr>
      <w:rFonts w:ascii="Arial" w:eastAsia="黑体" w:hAnsi="Arial" w:cs="Times New Roman"/>
      <w:b w:val="0"/>
      <w:sz w:val="24"/>
      <w:shd w:val="pct10" w:color="auto" w:fill="FFFFFF"/>
    </w:rPr>
  </w:style>
  <w:style w:type="paragraph" w:customStyle="1" w:styleId="afffffffffffffffc">
    <w:name w:val="文件册号"/>
    <w:basedOn w:val="a"/>
    <w:next w:val="a"/>
    <w:qFormat/>
    <w:pPr>
      <w:spacing w:line="800" w:lineRule="atLeast"/>
      <w:jc w:val="center"/>
    </w:pPr>
    <w:rPr>
      <w:rFonts w:ascii="Times New Roman" w:eastAsia="宋体" w:hAnsi="Times New Roman" w:cs="Times New Roman"/>
      <w:sz w:val="52"/>
      <w:szCs w:val="52"/>
    </w:rPr>
  </w:style>
  <w:style w:type="paragraph" w:customStyle="1" w:styleId="2ffff7">
    <w:name w:val="批注框文本2"/>
    <w:basedOn w:val="a"/>
    <w:qFormat/>
    <w:rPr>
      <w:rFonts w:ascii="Times New Roman" w:eastAsia="宋体" w:hAnsi="Times New Roman" w:cs="Times New Roman"/>
      <w:sz w:val="18"/>
      <w:szCs w:val="20"/>
    </w:rPr>
  </w:style>
  <w:style w:type="paragraph" w:customStyle="1" w:styleId="afffffffffffffffd">
    <w:name w:val="框图内容"/>
    <w:basedOn w:val="a"/>
    <w:semiHidden/>
    <w:qFormat/>
    <w:pPr>
      <w:jc w:val="center"/>
    </w:pPr>
    <w:rPr>
      <w:rFonts w:ascii="宋体" w:eastAsia="宋体" w:hAnsi="Times New Roman" w:cs="Times New Roman"/>
      <w:szCs w:val="24"/>
      <w:lang w:val="en-GB"/>
    </w:rPr>
  </w:style>
  <w:style w:type="paragraph" w:customStyle="1" w:styleId="4f2">
    <w:name w:val="样式 标题 4 + 黑色"/>
    <w:basedOn w:val="41"/>
    <w:qFormat/>
    <w:pPr>
      <w:keepNext/>
      <w:keepLines/>
      <w:tabs>
        <w:tab w:val="left" w:pos="864"/>
        <w:tab w:val="left" w:pos="1984"/>
      </w:tabs>
      <w:adjustRightInd w:val="0"/>
      <w:snapToGrid w:val="0"/>
      <w:spacing w:before="0" w:line="360" w:lineRule="auto"/>
      <w:ind w:left="709" w:hanging="709"/>
      <w:jc w:val="both"/>
      <w:textAlignment w:val="baseline"/>
    </w:pPr>
    <w:rPr>
      <w:rFonts w:ascii="Times New Roman" w:hAnsi="Times New Roman" w:cs="Times New Roman"/>
      <w:b/>
      <w:bCs/>
      <w:color w:val="000000"/>
      <w:sz w:val="24"/>
      <w:szCs w:val="20"/>
      <w:lang w:eastAsia="zh-CN"/>
    </w:rPr>
  </w:style>
  <w:style w:type="paragraph" w:customStyle="1" w:styleId="4f3">
    <w:name w:val="样式 标题 4 + 加粗"/>
    <w:basedOn w:val="41"/>
    <w:qFormat/>
    <w:pPr>
      <w:keepNext/>
      <w:keepLines/>
      <w:tabs>
        <w:tab w:val="left" w:pos="864"/>
        <w:tab w:val="left" w:pos="1984"/>
      </w:tabs>
      <w:spacing w:before="0" w:line="360" w:lineRule="auto"/>
      <w:ind w:left="864" w:hanging="864"/>
      <w:jc w:val="both"/>
    </w:pPr>
    <w:rPr>
      <w:rFonts w:ascii="Times New Roman" w:hAnsi="Times New Roman" w:cs="Times New Roman"/>
      <w:bCs/>
      <w:kern w:val="2"/>
      <w:sz w:val="24"/>
      <w:lang w:eastAsia="zh-CN"/>
    </w:rPr>
  </w:style>
  <w:style w:type="paragraph" w:customStyle="1" w:styleId="2ffff8">
    <w:name w:val="日期2"/>
    <w:basedOn w:val="a"/>
    <w:next w:val="a"/>
    <w:qFormat/>
    <w:pPr>
      <w:adjustRightInd w:val="0"/>
      <w:jc w:val="left"/>
    </w:pPr>
    <w:rPr>
      <w:rFonts w:ascii="宋体" w:eastAsia="宋体" w:hAnsi="Times New Roman" w:cs="Times New Roman"/>
      <w:spacing w:val="24"/>
      <w:kern w:val="24"/>
      <w:sz w:val="24"/>
      <w:szCs w:val="20"/>
    </w:rPr>
  </w:style>
  <w:style w:type="paragraph" w:customStyle="1" w:styleId="CharChar2CharCharCharCharCharChar1">
    <w:name w:val="Char Char2 Char Char Char Char Char Char1"/>
    <w:basedOn w:val="a"/>
    <w:qFormat/>
    <w:pPr>
      <w:spacing w:line="480" w:lineRule="exact"/>
    </w:pPr>
    <w:rPr>
      <w:rFonts w:ascii="Times New Roman" w:eastAsia="宋体" w:hAnsi="Times New Roman" w:cs="Times New Roman"/>
      <w:sz w:val="22"/>
      <w:szCs w:val="24"/>
    </w:rPr>
  </w:style>
  <w:style w:type="paragraph" w:customStyle="1" w:styleId="Char220">
    <w:name w:val="Char22"/>
    <w:basedOn w:val="a"/>
    <w:qFormat/>
    <w:pPr>
      <w:spacing w:line="240" w:lineRule="exact"/>
      <w:ind w:firstLineChars="200" w:firstLine="200"/>
    </w:pPr>
    <w:rPr>
      <w:rFonts w:ascii="Times New Roman" w:eastAsia="宋体" w:hAnsi="Times New Roman" w:cs="Times New Roman"/>
      <w:sz w:val="28"/>
      <w:szCs w:val="28"/>
    </w:rPr>
  </w:style>
  <w:style w:type="paragraph" w:customStyle="1" w:styleId="ParaCharCharCharCharCharCharCharCharCharCharCharCharCharCharCharCharCharCharCharCharCharCharCharCharCharCharCharChar1CharCharCharCharChar">
    <w:name w:val="默认段落字体 Para Char Char Char Char Char Char Char Char Char Char Char Char Char Char Char Char Char Char Char Char Char Char Char Char Char Char Char Char1 Char Char Char Char Char"/>
    <w:basedOn w:val="a"/>
    <w:qFormat/>
    <w:rPr>
      <w:rFonts w:ascii="Times New Roman" w:eastAsia="宋体" w:hAnsi="Times New Roman" w:cs="Times New Roman"/>
      <w:sz w:val="24"/>
      <w:szCs w:val="24"/>
    </w:rPr>
  </w:style>
  <w:style w:type="paragraph" w:customStyle="1" w:styleId="afffffffffffffffe">
    <w:name w:val="表格名称"/>
    <w:basedOn w:val="a"/>
    <w:qFormat/>
    <w:pPr>
      <w:keepLines/>
      <w:tabs>
        <w:tab w:val="left" w:pos="1123"/>
      </w:tabs>
      <w:spacing w:beforeLines="20" w:before="48" w:afterLines="20" w:after="48" w:line="440" w:lineRule="exact"/>
      <w:ind w:firstLine="403"/>
    </w:pPr>
    <w:rPr>
      <w:rFonts w:ascii="Times New Roman" w:eastAsia="黑体" w:hAnsi="Times New Roman" w:cs="Times New Roman"/>
      <w:sz w:val="24"/>
      <w:szCs w:val="20"/>
    </w:rPr>
  </w:style>
  <w:style w:type="paragraph" w:customStyle="1" w:styleId="affffffffffffffff">
    <w:name w:val="一级无标题条"/>
    <w:basedOn w:val="a"/>
    <w:qFormat/>
    <w:pPr>
      <w:tabs>
        <w:tab w:val="left" w:pos="3500"/>
      </w:tabs>
      <w:ind w:left="3500" w:hanging="420"/>
    </w:pPr>
    <w:rPr>
      <w:rFonts w:ascii="Times New Roman" w:eastAsia="宋体" w:hAnsi="Times New Roman" w:cs="Times New Roman"/>
      <w:szCs w:val="24"/>
    </w:rPr>
  </w:style>
  <w:style w:type="paragraph" w:customStyle="1" w:styleId="xl169">
    <w:name w:val="xl169"/>
    <w:basedOn w:val="a"/>
    <w:qFormat/>
    <w:pPr>
      <w:widowControl/>
      <w:pBdr>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CharCharCharCharCharCharCharCharChar1CharCharCharChar5">
    <w:name w:val="Char Char Char Char Char Char Char Char Char1 Char Char Char Char5"/>
    <w:basedOn w:val="a"/>
    <w:qFormat/>
    <w:rPr>
      <w:rFonts w:ascii="Times New Roman" w:eastAsia="宋体" w:hAnsi="Times New Roman" w:cs="Times New Roman"/>
      <w:szCs w:val="21"/>
    </w:rPr>
  </w:style>
  <w:style w:type="paragraph" w:customStyle="1" w:styleId="1ffffd">
    <w:name w:val="公式样式1"/>
    <w:basedOn w:val="a"/>
    <w:qFormat/>
    <w:pPr>
      <w:adjustRightInd w:val="0"/>
      <w:snapToGrid w:val="0"/>
      <w:spacing w:line="360" w:lineRule="auto"/>
    </w:pPr>
    <w:rPr>
      <w:rFonts w:ascii="仿宋_GB2312" w:eastAsia="仿宋_GB2312" w:hAnsi="Times New Roman" w:cs="Times New Roman"/>
      <w:smallCaps/>
      <w:color w:val="000000"/>
      <w:szCs w:val="21"/>
    </w:rPr>
  </w:style>
  <w:style w:type="paragraph" w:customStyle="1" w:styleId="affffffffffffffff0">
    <w:name w:val="参加人员名单"/>
    <w:basedOn w:val="a"/>
    <w:next w:val="a"/>
    <w:qFormat/>
    <w:pPr>
      <w:jc w:val="center"/>
      <w:outlineLvl w:val="0"/>
    </w:pPr>
    <w:rPr>
      <w:rFonts w:ascii="Times New Roman" w:eastAsia="宋体" w:hAnsi="Times New Roman" w:cs="Times New Roman"/>
      <w:sz w:val="32"/>
      <w:szCs w:val="32"/>
    </w:rPr>
  </w:style>
  <w:style w:type="paragraph" w:customStyle="1" w:styleId="260">
    <w:name w:val="样式 黑体 小四 加粗 黑色 居中 行距: 固定值 26 磅"/>
    <w:basedOn w:val="a"/>
    <w:next w:val="afb"/>
    <w:qFormat/>
    <w:pPr>
      <w:spacing w:line="520" w:lineRule="atLeast"/>
      <w:jc w:val="center"/>
    </w:pPr>
    <w:rPr>
      <w:rFonts w:ascii="楷体_GB2312" w:eastAsia="楷体_GB2312" w:hAnsi="黑体" w:cs="Times New Roman" w:hint="eastAsia"/>
      <w:bCs/>
      <w:color w:val="000000"/>
      <w:sz w:val="28"/>
      <w:szCs w:val="28"/>
    </w:rPr>
  </w:style>
  <w:style w:type="paragraph" w:customStyle="1" w:styleId="affffffffffffffff1">
    <w:name w:val="文本框文字格式"/>
    <w:basedOn w:val="a"/>
    <w:qFormat/>
    <w:pPr>
      <w:jc w:val="center"/>
    </w:pPr>
    <w:rPr>
      <w:rFonts w:ascii="Times New Roman" w:eastAsia="宋体" w:hAnsi="Times New Roman" w:cs="Times New Roman"/>
      <w:sz w:val="24"/>
      <w:szCs w:val="24"/>
    </w:rPr>
  </w:style>
  <w:style w:type="paragraph" w:customStyle="1" w:styleId="affffffffffffffff2">
    <w:name w:val="正文 + 小四"/>
    <w:basedOn w:val="a"/>
    <w:qFormat/>
    <w:pPr>
      <w:jc w:val="center"/>
    </w:pPr>
    <w:rPr>
      <w:rFonts w:ascii="Times New Roman" w:eastAsia="宋体" w:hAnsi="Times New Roman" w:cs="Times New Roman"/>
      <w:sz w:val="24"/>
      <w:szCs w:val="24"/>
    </w:rPr>
  </w:style>
  <w:style w:type="paragraph" w:customStyle="1" w:styleId="1001">
    <w:name w:val="正文样式100"/>
    <w:basedOn w:val="a"/>
    <w:qFormat/>
    <w:pPr>
      <w:adjustRightInd w:val="0"/>
      <w:spacing w:line="360" w:lineRule="auto"/>
      <w:ind w:firstLine="510"/>
      <w:jc w:val="left"/>
      <w:textAlignment w:val="baseline"/>
    </w:pPr>
    <w:rPr>
      <w:rFonts w:ascii="Times New Roman" w:eastAsia="宋体" w:hAnsi="Times New Roman" w:cs="Times New Roman"/>
      <w:sz w:val="24"/>
      <w:szCs w:val="24"/>
    </w:rPr>
  </w:style>
  <w:style w:type="paragraph" w:customStyle="1" w:styleId="affffffffffffffff3">
    <w:name w:val="图表名"/>
    <w:basedOn w:val="a"/>
    <w:qFormat/>
    <w:pPr>
      <w:adjustRightInd w:val="0"/>
      <w:snapToGrid w:val="0"/>
      <w:spacing w:line="360" w:lineRule="auto"/>
      <w:jc w:val="center"/>
    </w:pPr>
    <w:rPr>
      <w:rFonts w:ascii="Times New Roman" w:eastAsia="黑体" w:hAnsi="Times New Roman" w:cs="Times New Roman"/>
      <w:color w:val="000000"/>
      <w:kern w:val="0"/>
      <w:sz w:val="28"/>
      <w:szCs w:val="28"/>
    </w:rPr>
  </w:style>
  <w:style w:type="paragraph" w:customStyle="1" w:styleId="wtext">
    <w:name w:val="wtext"/>
    <w:basedOn w:val="a"/>
    <w:qFormat/>
    <w:pPr>
      <w:widowControl/>
      <w:spacing w:before="100" w:beforeAutospacing="1" w:after="100" w:afterAutospacing="1"/>
      <w:ind w:firstLine="480"/>
      <w:jc w:val="left"/>
    </w:pPr>
    <w:rPr>
      <w:rFonts w:ascii="ˎ̥" w:eastAsia="宋体" w:hAnsi="ˎ̥" w:cs="宋体"/>
      <w:color w:val="000000"/>
      <w:kern w:val="0"/>
      <w:sz w:val="22"/>
    </w:rPr>
  </w:style>
  <w:style w:type="paragraph" w:customStyle="1" w:styleId="affffffffffffffff4">
    <w:name w:val="注×："/>
    <w:qFormat/>
    <w:pPr>
      <w:widowControl w:val="0"/>
      <w:tabs>
        <w:tab w:val="left" w:pos="630"/>
      </w:tabs>
      <w:autoSpaceDE w:val="0"/>
      <w:autoSpaceDN w:val="0"/>
      <w:ind w:left="900" w:hanging="500"/>
      <w:jc w:val="both"/>
    </w:pPr>
    <w:rPr>
      <w:rFonts w:ascii="宋体" w:eastAsia="宋体" w:hAnsi="Times New Roman" w:cs="Times New Roman"/>
      <w:sz w:val="18"/>
    </w:rPr>
  </w:style>
  <w:style w:type="paragraph" w:customStyle="1" w:styleId="1ffffe">
    <w:name w:val="副标题 1"/>
    <w:basedOn w:val="1"/>
    <w:qFormat/>
    <w:pPr>
      <w:keepLines/>
      <w:tabs>
        <w:tab w:val="left" w:pos="360"/>
        <w:tab w:val="left" w:pos="425"/>
        <w:tab w:val="left" w:pos="780"/>
      </w:tabs>
      <w:adjustRightInd w:val="0"/>
      <w:spacing w:before="0" w:line="400" w:lineRule="atLeast"/>
      <w:ind w:left="780" w:hanging="360"/>
      <w:textAlignment w:val="baseline"/>
      <w:outlineLvl w:val="9"/>
    </w:pPr>
    <w:rPr>
      <w:rFonts w:ascii="仿宋_GB2312" w:eastAsia="仿宋_GB2312" w:cs="Times New Roman"/>
      <w:b w:val="0"/>
      <w:bCs w:val="0"/>
      <w:kern w:val="44"/>
      <w:sz w:val="28"/>
      <w:szCs w:val="20"/>
      <w:lang w:eastAsia="zh-CN"/>
    </w:rPr>
  </w:style>
  <w:style w:type="paragraph" w:customStyle="1" w:styleId="xl98">
    <w:name w:val="xl98"/>
    <w:basedOn w:val="a"/>
    <w:qFormat/>
    <w:pPr>
      <w:widowControl/>
      <w:pBdr>
        <w:right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4CharChar">
    <w:name w:val="目录 4 Char Char"/>
    <w:basedOn w:val="a"/>
    <w:next w:val="a"/>
    <w:qFormat/>
    <w:pPr>
      <w:spacing w:line="351" w:lineRule="atLeast"/>
      <w:ind w:left="629" w:firstLine="419"/>
      <w:jc w:val="left"/>
    </w:pPr>
    <w:rPr>
      <w:rFonts w:ascii="Times New Roman" w:eastAsia="宋体" w:hAnsi="Times New Roman" w:cs="Times New Roman" w:hint="eastAsia"/>
      <w:szCs w:val="20"/>
    </w:rPr>
  </w:style>
  <w:style w:type="paragraph" w:customStyle="1" w:styleId="qilu">
    <w:name w:val="qilu"/>
    <w:basedOn w:val="a"/>
    <w:qFormat/>
    <w:pPr>
      <w:autoSpaceDE w:val="0"/>
      <w:autoSpaceDN w:val="0"/>
      <w:adjustRightInd w:val="0"/>
      <w:jc w:val="left"/>
      <w:textAlignment w:val="baseline"/>
    </w:pPr>
    <w:rPr>
      <w:rFonts w:ascii="宋体" w:eastAsia="宋体" w:hAnsi="Times New Roman" w:cs="Times New Roman"/>
      <w:b/>
      <w:kern w:val="0"/>
      <w:sz w:val="28"/>
      <w:szCs w:val="20"/>
    </w:rPr>
  </w:style>
  <w:style w:type="paragraph" w:customStyle="1" w:styleId="affffffffffffffff5">
    <w:name w:val="表格五号"/>
    <w:basedOn w:val="a"/>
    <w:qFormat/>
    <w:pPr>
      <w:tabs>
        <w:tab w:val="right" w:leader="dot" w:pos="8721"/>
      </w:tabs>
      <w:adjustRightInd w:val="0"/>
      <w:snapToGrid w:val="0"/>
      <w:spacing w:line="320" w:lineRule="exact"/>
      <w:ind w:leftChars="-20" w:left="-42" w:rightChars="-20" w:right="-42"/>
      <w:jc w:val="center"/>
      <w:textAlignment w:val="baseline"/>
    </w:pPr>
    <w:rPr>
      <w:rFonts w:ascii="Times New Roman" w:eastAsia="宋体" w:hAnsi="Times New Roman" w:cs="Times New Roman"/>
      <w:kern w:val="0"/>
      <w:szCs w:val="20"/>
    </w:rPr>
  </w:style>
  <w:style w:type="paragraph" w:customStyle="1" w:styleId="TOC11">
    <w:name w:val="TOC 标题1"/>
    <w:basedOn w:val="1"/>
    <w:next w:val="a"/>
    <w:qFormat/>
    <w:pPr>
      <w:keepNext/>
      <w:keepLines/>
      <w:widowControl/>
      <w:tabs>
        <w:tab w:val="left" w:pos="425"/>
        <w:tab w:val="left" w:pos="780"/>
      </w:tabs>
      <w:spacing w:before="480" w:line="276" w:lineRule="auto"/>
      <w:ind w:left="780" w:hanging="360"/>
      <w:outlineLvl w:val="9"/>
    </w:pPr>
    <w:rPr>
      <w:rFonts w:ascii="Cambria" w:eastAsia="宋体" w:hAnsi="Cambria" w:cs="Times New Roman"/>
      <w:color w:val="365F91"/>
      <w:sz w:val="28"/>
      <w:szCs w:val="28"/>
      <w:lang w:eastAsia="zh-CN"/>
    </w:rPr>
  </w:style>
  <w:style w:type="paragraph" w:customStyle="1" w:styleId="Char240">
    <w:name w:val="Char24"/>
    <w:basedOn w:val="a"/>
    <w:qFormat/>
    <w:rPr>
      <w:rFonts w:ascii="Times New Roman" w:eastAsia="宋体" w:hAnsi="Times New Roman" w:cs="Times New Roman"/>
      <w:sz w:val="24"/>
      <w:szCs w:val="24"/>
    </w:rPr>
  </w:style>
  <w:style w:type="paragraph" w:customStyle="1" w:styleId="3111H3BOD0Heading3-oldLevel3Head">
    <w:name w:val="样式 标题 3小标题小节标题条标题1.1.1H3BOD 0Heading 3 - oldLevel 3 Head..."/>
    <w:basedOn w:val="3"/>
    <w:qFormat/>
    <w:pPr>
      <w:widowControl w:val="0"/>
      <w:tabs>
        <w:tab w:val="left" w:pos="1418"/>
        <w:tab w:val="left" w:pos="1605"/>
      </w:tabs>
      <w:adjustRightInd w:val="0"/>
      <w:snapToGrid w:val="0"/>
      <w:spacing w:beforeLines="50" w:before="156" w:afterLines="50" w:after="156" w:line="300" w:lineRule="auto"/>
      <w:ind w:left="525"/>
      <w:jc w:val="both"/>
    </w:pPr>
    <w:rPr>
      <w:rFonts w:ascii="黑体" w:eastAsia="黑体"/>
      <w:b w:val="0"/>
      <w:bCs w:val="0"/>
      <w:kern w:val="2"/>
      <w:sz w:val="28"/>
      <w:szCs w:val="20"/>
    </w:rPr>
  </w:style>
  <w:style w:type="paragraph" w:customStyle="1" w:styleId="PlainText1">
    <w:name w:val="Plain Text1"/>
    <w:basedOn w:val="a"/>
    <w:qFormat/>
    <w:pPr>
      <w:widowControl/>
      <w:adjustRightInd w:val="0"/>
      <w:jc w:val="left"/>
    </w:pPr>
    <w:rPr>
      <w:rFonts w:ascii="宋体" w:eastAsia="宋体" w:hAnsi="Courier New" w:cs="宋体"/>
      <w:kern w:val="0"/>
      <w:sz w:val="24"/>
      <w:szCs w:val="24"/>
    </w:rPr>
  </w:style>
  <w:style w:type="paragraph" w:customStyle="1" w:styleId="CharCharfff4">
    <w:name w:val="日期 Char Char"/>
    <w:basedOn w:val="a"/>
    <w:next w:val="a"/>
    <w:qFormat/>
    <w:pPr>
      <w:spacing w:line="351" w:lineRule="atLeast"/>
      <w:ind w:firstLine="419"/>
    </w:pPr>
    <w:rPr>
      <w:rFonts w:ascii="Times New Roman" w:eastAsia="仿宋_GB2312" w:hAnsi="Times New Roman" w:cs="Times New Roman" w:hint="eastAsia"/>
      <w:sz w:val="31"/>
      <w:szCs w:val="20"/>
    </w:rPr>
  </w:style>
  <w:style w:type="paragraph" w:customStyle="1" w:styleId="4f4">
    <w:name w:val="样式 标题 4 + 宋体"/>
    <w:basedOn w:val="41"/>
    <w:qFormat/>
    <w:pPr>
      <w:spacing w:before="280" w:after="290" w:line="500" w:lineRule="exact"/>
      <w:ind w:left="0"/>
    </w:pPr>
    <w:rPr>
      <w:rFonts w:cs="Times New Roman"/>
      <w:b/>
      <w:bCs/>
      <w:lang w:eastAsia="zh-CN"/>
    </w:rPr>
  </w:style>
  <w:style w:type="paragraph" w:customStyle="1" w:styleId="affffffffffffffff6">
    <w:name w:val="图注"/>
    <w:basedOn w:val="a"/>
    <w:next w:val="a"/>
    <w:qFormat/>
    <w:pPr>
      <w:spacing w:before="120" w:line="320" w:lineRule="atLeast"/>
      <w:ind w:leftChars="-27" w:left="7" w:hangingChars="30" w:hanging="72"/>
      <w:jc w:val="center"/>
    </w:pPr>
    <w:rPr>
      <w:rFonts w:ascii="宋体" w:eastAsia="宋体" w:hAnsi="宋体" w:cs="Times New Roman"/>
      <w:bCs/>
      <w:color w:val="000000"/>
      <w:kern w:val="0"/>
      <w:sz w:val="24"/>
      <w:szCs w:val="24"/>
    </w:rPr>
  </w:style>
  <w:style w:type="paragraph" w:customStyle="1" w:styleId="affffffffffffffff7">
    <w:name w:val="高表内"/>
    <w:basedOn w:val="afb"/>
    <w:qFormat/>
    <w:pPr>
      <w:widowControl w:val="0"/>
      <w:autoSpaceDE w:val="0"/>
      <w:adjustRightInd w:val="0"/>
      <w:snapToGrid w:val="0"/>
      <w:jc w:val="center"/>
      <w:textAlignment w:val="baseline"/>
    </w:pPr>
    <w:rPr>
      <w:rFonts w:ascii="Arial" w:eastAsia="楷体_GB2312" w:hAnsi="Arial" w:cs="Times New Roman"/>
      <w:kern w:val="2"/>
      <w:sz w:val="24"/>
      <w:szCs w:val="24"/>
    </w:rPr>
  </w:style>
  <w:style w:type="paragraph" w:customStyle="1" w:styleId="2112">
    <w:name w:val="样式 标题 2 + 宋体 小四 非加粗 段前: 1 行 段后: 1 行"/>
    <w:basedOn w:val="2"/>
    <w:qFormat/>
    <w:pPr>
      <w:tabs>
        <w:tab w:val="left" w:pos="1419"/>
      </w:tabs>
      <w:adjustRightInd w:val="0"/>
      <w:snapToGrid w:val="0"/>
      <w:spacing w:before="0" w:after="0" w:line="336" w:lineRule="auto"/>
      <w:ind w:left="446"/>
    </w:pPr>
    <w:rPr>
      <w:rFonts w:ascii="宋体" w:eastAsia="宋体" w:hAnsi="宋体" w:cs="宋体"/>
      <w:b w:val="0"/>
      <w:bCs w:val="0"/>
      <w:sz w:val="24"/>
      <w:szCs w:val="24"/>
    </w:rPr>
  </w:style>
  <w:style w:type="paragraph" w:customStyle="1" w:styleId="4f5">
    <w:name w:val="正文4"/>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xl196">
    <w:name w:val="xl196"/>
    <w:basedOn w:val="a"/>
    <w:qFormat/>
    <w:pPr>
      <w:widowControl/>
      <w:pBdr>
        <w:left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affffffffffffffff8">
    <w:name w:val="条款"/>
    <w:basedOn w:val="a"/>
    <w:qFormat/>
    <w:pPr>
      <w:widowControl/>
      <w:jc w:val="left"/>
    </w:pPr>
    <w:rPr>
      <w:rFonts w:ascii="宋体" w:eastAsia="宋体" w:hAnsi="宋体" w:cs="宋体"/>
      <w:kern w:val="0"/>
      <w:sz w:val="24"/>
      <w:szCs w:val="24"/>
    </w:rPr>
  </w:style>
  <w:style w:type="paragraph" w:customStyle="1" w:styleId="05">
    <w:name w:val="样式 章标题单学凯 + 段后: 0.5 行"/>
    <w:basedOn w:val="affffffffffffffff9"/>
    <w:qFormat/>
    <w:pPr>
      <w:spacing w:afterLines="0" w:after="0"/>
    </w:pPr>
    <w:rPr>
      <w:rFonts w:cs="宋体"/>
      <w:bCs/>
      <w:szCs w:val="20"/>
    </w:rPr>
  </w:style>
  <w:style w:type="paragraph" w:customStyle="1" w:styleId="affffffffffffffff9">
    <w:name w:val="章标题单学凯"/>
    <w:basedOn w:val="1"/>
    <w:qFormat/>
    <w:pPr>
      <w:keepNext/>
      <w:keepLines/>
      <w:tabs>
        <w:tab w:val="left" w:pos="425"/>
      </w:tabs>
      <w:adjustRightInd w:val="0"/>
      <w:snapToGrid w:val="0"/>
      <w:spacing w:before="0" w:afterLines="50" w:after="50" w:line="360" w:lineRule="auto"/>
      <w:ind w:left="0"/>
      <w:jc w:val="both"/>
    </w:pPr>
    <w:rPr>
      <w:rFonts w:ascii="黑体" w:eastAsia="宋体" w:hAnsi="黑体" w:cs="Times New Roman"/>
      <w:bCs w:val="0"/>
      <w:sz w:val="32"/>
      <w:szCs w:val="28"/>
      <w:lang w:eastAsia="zh-CN"/>
    </w:rPr>
  </w:style>
  <w:style w:type="paragraph" w:customStyle="1" w:styleId="p18">
    <w:name w:val="p18"/>
    <w:basedOn w:val="a"/>
    <w:qFormat/>
    <w:pPr>
      <w:widowControl/>
      <w:spacing w:line="500" w:lineRule="atLeast"/>
      <w:ind w:firstLine="420"/>
    </w:pPr>
    <w:rPr>
      <w:rFonts w:ascii="宋体" w:eastAsia="宋体" w:hAnsi="宋体" w:cs="宋体"/>
      <w:kern w:val="0"/>
      <w:sz w:val="28"/>
      <w:szCs w:val="28"/>
    </w:rPr>
  </w:style>
  <w:style w:type="paragraph" w:customStyle="1" w:styleId="CharCharCharCharChar2">
    <w:name w:val="Char Char Char Char Char"/>
    <w:basedOn w:val="a"/>
    <w:qFormat/>
    <w:pPr>
      <w:spacing w:line="240" w:lineRule="exact"/>
      <w:ind w:firstLineChars="200" w:firstLine="200"/>
    </w:pPr>
    <w:rPr>
      <w:rFonts w:ascii="Times New Roman" w:eastAsia="宋体" w:hAnsi="Times New Roman" w:cs="Times New Roman"/>
      <w:sz w:val="28"/>
      <w:szCs w:val="28"/>
    </w:rPr>
  </w:style>
  <w:style w:type="paragraph" w:customStyle="1" w:styleId="affffffffffffffffa">
    <w:name w:val="项目编号"/>
    <w:basedOn w:val="a"/>
    <w:next w:val="a"/>
    <w:qFormat/>
    <w:pPr>
      <w:tabs>
        <w:tab w:val="left" w:pos="360"/>
      </w:tabs>
      <w:spacing w:before="120" w:after="120" w:line="360" w:lineRule="auto"/>
      <w:ind w:hangingChars="200" w:hanging="200"/>
    </w:pPr>
    <w:rPr>
      <w:rFonts w:ascii="Times New Roman" w:eastAsia="宋体" w:hAnsi="Times New Roman" w:cs="Times New Roman"/>
      <w:sz w:val="24"/>
      <w:szCs w:val="20"/>
    </w:rPr>
  </w:style>
  <w:style w:type="paragraph" w:customStyle="1" w:styleId="Char1CharCharCharCharCharChar1">
    <w:name w:val="Char1 Char Char Char Char Char Char1"/>
    <w:basedOn w:val="a"/>
    <w:qFormat/>
    <w:pPr>
      <w:spacing w:line="360" w:lineRule="auto"/>
      <w:ind w:firstLineChars="200" w:firstLine="200"/>
    </w:pPr>
    <w:rPr>
      <w:rFonts w:ascii="宋体" w:eastAsia="宋体" w:hAnsi="宋体" w:cs="宋体"/>
      <w:sz w:val="24"/>
      <w:szCs w:val="24"/>
    </w:rPr>
  </w:style>
  <w:style w:type="paragraph" w:customStyle="1" w:styleId="style39">
    <w:name w:val="style39"/>
    <w:basedOn w:val="a"/>
    <w:qFormat/>
    <w:pPr>
      <w:widowControl/>
      <w:spacing w:before="100" w:beforeAutospacing="1" w:after="100" w:afterAutospacing="1"/>
      <w:jc w:val="left"/>
    </w:pPr>
    <w:rPr>
      <w:rFonts w:ascii="宋体" w:eastAsia="宋体" w:hAnsi="宋体" w:cs="Times New Roman"/>
      <w:kern w:val="0"/>
      <w:sz w:val="18"/>
      <w:szCs w:val="18"/>
    </w:rPr>
  </w:style>
  <w:style w:type="paragraph" w:customStyle="1" w:styleId="3GB23120">
    <w:name w:val="样式 标题 3 + 仿宋_GB2312"/>
    <w:basedOn w:val="3"/>
    <w:qFormat/>
    <w:pPr>
      <w:widowControl w:val="0"/>
      <w:tabs>
        <w:tab w:val="left" w:pos="1418"/>
      </w:tabs>
      <w:spacing w:before="0" w:after="0" w:line="360" w:lineRule="auto"/>
      <w:ind w:firstLineChars="200" w:firstLine="200"/>
      <w:jc w:val="both"/>
    </w:pPr>
    <w:rPr>
      <w:rFonts w:ascii="仿宋_GB2312" w:eastAsia="仿宋_GB2312" w:hAnsi="仿宋_GB2312"/>
      <w:b w:val="0"/>
      <w:bCs w:val="0"/>
      <w:kern w:val="2"/>
      <w:sz w:val="24"/>
      <w:szCs w:val="24"/>
    </w:rPr>
  </w:style>
  <w:style w:type="paragraph" w:customStyle="1" w:styleId="font6">
    <w:name w:val="font6"/>
    <w:basedOn w:val="a"/>
    <w:qFormat/>
    <w:pPr>
      <w:widowControl/>
      <w:spacing w:before="100" w:beforeAutospacing="1" w:after="100" w:afterAutospacing="1"/>
      <w:jc w:val="left"/>
    </w:pPr>
    <w:rPr>
      <w:rFonts w:ascii="宋体" w:eastAsia="宋体" w:hAnsi="宋体" w:cs="Arial Unicode MS" w:hint="eastAsia"/>
      <w:kern w:val="0"/>
      <w:sz w:val="18"/>
      <w:szCs w:val="18"/>
    </w:rPr>
  </w:style>
  <w:style w:type="paragraph" w:customStyle="1" w:styleId="21c">
    <w:name w:val="无间隔21"/>
    <w:qFormat/>
    <w:pPr>
      <w:widowControl w:val="0"/>
      <w:jc w:val="both"/>
    </w:pPr>
    <w:rPr>
      <w:rFonts w:ascii="Arial" w:eastAsia="仿宋" w:hAnsi="Arial" w:cs="Times New Roman"/>
      <w:w w:val="90"/>
      <w:kern w:val="2"/>
      <w:sz w:val="24"/>
      <w:szCs w:val="24"/>
    </w:rPr>
  </w:style>
  <w:style w:type="paragraph" w:customStyle="1" w:styleId="CharCharCharChar12">
    <w:name w:val="Char Char Char Char12"/>
    <w:basedOn w:val="a"/>
    <w:qFormat/>
    <w:pPr>
      <w:widowControl/>
      <w:jc w:val="left"/>
    </w:pPr>
    <w:rPr>
      <w:rFonts w:ascii="Times New Roman" w:eastAsia="宋体" w:hAnsi="Times New Roman" w:cs="Times New Roman"/>
      <w:kern w:val="0"/>
      <w:sz w:val="24"/>
      <w:szCs w:val="20"/>
    </w:rPr>
  </w:style>
  <w:style w:type="paragraph" w:customStyle="1" w:styleId="1fffff">
    <w:name w:val="菲薄1"/>
    <w:basedOn w:val="a"/>
    <w:qFormat/>
    <w:pPr>
      <w:spacing w:line="720" w:lineRule="exact"/>
      <w:ind w:firstLine="570"/>
    </w:pPr>
    <w:rPr>
      <w:rFonts w:ascii="Times New Roman" w:eastAsia="宋体" w:hAnsi="Times New Roman" w:cs="Times New Roman"/>
      <w:sz w:val="28"/>
      <w:szCs w:val="28"/>
    </w:rPr>
  </w:style>
  <w:style w:type="paragraph" w:customStyle="1" w:styleId="affffffffffffffffb">
    <w:name w:val="宋体"/>
    <w:basedOn w:val="a"/>
    <w:qFormat/>
    <w:rPr>
      <w:rFonts w:ascii="宋体" w:eastAsia="宋体" w:hAnsi="宋体" w:cs="Times New Roman"/>
      <w:szCs w:val="21"/>
    </w:rPr>
  </w:style>
  <w:style w:type="paragraph" w:customStyle="1" w:styleId="L5">
    <w:name w:val="表文_L5"/>
    <w:qFormat/>
    <w:rPr>
      <w:rFonts w:ascii="Garamond" w:eastAsia="楷体_GB2312" w:hAnsi="Garamond" w:cs="Times New Roman"/>
      <w:bCs/>
      <w:kern w:val="2"/>
      <w:sz w:val="21"/>
      <w:szCs w:val="21"/>
    </w:rPr>
  </w:style>
  <w:style w:type="paragraph" w:customStyle="1" w:styleId="gy">
    <w:name w:val="gy"/>
    <w:basedOn w:val="a"/>
    <w:qFormat/>
    <w:pPr>
      <w:widowControl/>
      <w:spacing w:before="100" w:beforeAutospacing="1" w:after="100" w:afterAutospacing="1" w:line="360" w:lineRule="auto"/>
      <w:ind w:left="150" w:right="150" w:firstLine="520"/>
      <w:jc w:val="left"/>
    </w:pPr>
    <w:rPr>
      <w:rFonts w:ascii="Arial Unicode MS" w:eastAsia="Arial Unicode MS" w:hAnsi="Arial Unicode MS" w:cs="Times New Roman"/>
      <w:kern w:val="0"/>
      <w:sz w:val="18"/>
      <w:szCs w:val="20"/>
    </w:rPr>
  </w:style>
  <w:style w:type="paragraph" w:customStyle="1" w:styleId="xl201">
    <w:name w:val="xl201"/>
    <w:basedOn w:val="a"/>
    <w:qFormat/>
    <w:pPr>
      <w:widowControl/>
      <w:pBdr>
        <w:top w:val="single" w:sz="12" w:space="0" w:color="auto"/>
        <w:right w:val="single" w:sz="8" w:space="0" w:color="auto"/>
      </w:pBdr>
      <w:spacing w:before="100" w:beforeAutospacing="1" w:after="100" w:afterAutospacing="1"/>
      <w:jc w:val="center"/>
    </w:pPr>
    <w:rPr>
      <w:rFonts w:ascii="宋体" w:eastAsia="宋体" w:hAnsi="宋体" w:cs="宋体"/>
      <w:color w:val="0000FF"/>
      <w:kern w:val="0"/>
      <w:sz w:val="18"/>
      <w:szCs w:val="18"/>
    </w:rPr>
  </w:style>
  <w:style w:type="paragraph" w:customStyle="1" w:styleId="CharChar2CharCharCharCharCharChar">
    <w:name w:val="Char Char2 Char Char Char Char Char Char"/>
    <w:basedOn w:val="a"/>
    <w:qFormat/>
    <w:pPr>
      <w:spacing w:line="480" w:lineRule="exact"/>
    </w:pPr>
    <w:rPr>
      <w:rFonts w:ascii="Times New Roman" w:eastAsia="宋体" w:hAnsi="Times New Roman" w:cs="Times New Roman"/>
      <w:sz w:val="22"/>
      <w:szCs w:val="24"/>
    </w:rPr>
  </w:style>
  <w:style w:type="paragraph" w:customStyle="1" w:styleId="xl119">
    <w:name w:val="xl119"/>
    <w:basedOn w:val="a"/>
    <w:qFormat/>
    <w:pPr>
      <w:widowControl/>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330">
    <w:name w:val="Char33"/>
    <w:basedOn w:val="a"/>
    <w:qFormat/>
    <w:rPr>
      <w:rFonts w:ascii="Times New Roman" w:eastAsia="宋体" w:hAnsi="Times New Roman" w:cs="Times New Roman"/>
      <w:sz w:val="24"/>
      <w:szCs w:val="24"/>
    </w:rPr>
  </w:style>
  <w:style w:type="paragraph" w:customStyle="1" w:styleId="4f6">
    <w:name w:val="样式正4中"/>
    <w:basedOn w:val="a"/>
    <w:qFormat/>
    <w:pPr>
      <w:spacing w:line="520" w:lineRule="exact"/>
      <w:jc w:val="center"/>
    </w:pPr>
    <w:rPr>
      <w:rFonts w:ascii="宋体" w:eastAsia="宋体" w:hAnsi="宋体" w:cs="Times New Roman"/>
      <w:sz w:val="28"/>
      <w:szCs w:val="28"/>
    </w:rPr>
  </w:style>
  <w:style w:type="paragraph" w:customStyle="1" w:styleId="Char1CharCharCharCharCharChar7">
    <w:name w:val="Char1 Char Char Char Char Char Char7"/>
    <w:basedOn w:val="a"/>
    <w:qFormat/>
    <w:pPr>
      <w:spacing w:line="360" w:lineRule="auto"/>
      <w:ind w:firstLineChars="200" w:firstLine="200"/>
    </w:pPr>
    <w:rPr>
      <w:rFonts w:ascii="宋体" w:eastAsia="宋体" w:hAnsi="宋体" w:cs="宋体"/>
      <w:sz w:val="24"/>
      <w:szCs w:val="24"/>
    </w:rPr>
  </w:style>
  <w:style w:type="paragraph" w:customStyle="1" w:styleId="affffffffffffffffc">
    <w:name w:val="右侧"/>
    <w:semiHidden/>
    <w:qFormat/>
    <w:pPr>
      <w:spacing w:line="280" w:lineRule="exact"/>
      <w:jc w:val="right"/>
    </w:pPr>
    <w:rPr>
      <w:rFonts w:ascii="Batang" w:eastAsia="宋体" w:hAnsi="Batang" w:cs="Times New Roman"/>
      <w:color w:val="000000"/>
      <w:sz w:val="18"/>
    </w:rPr>
  </w:style>
  <w:style w:type="paragraph" w:customStyle="1" w:styleId="xl116">
    <w:name w:val="xl116"/>
    <w:basedOn w:val="a"/>
    <w:qFormat/>
    <w:pPr>
      <w:widowControl/>
      <w:pBdr>
        <w:bottom w:val="single" w:sz="8"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CharCharCharChar40">
    <w:name w:val="Char Char Char Char4"/>
    <w:basedOn w:val="a"/>
    <w:qFormat/>
    <w:rPr>
      <w:rFonts w:ascii="Times New Roman" w:eastAsia="宋体" w:hAnsi="Times New Roman" w:cs="Times New Roman"/>
      <w:sz w:val="24"/>
      <w:szCs w:val="24"/>
    </w:rPr>
  </w:style>
  <w:style w:type="paragraph" w:customStyle="1" w:styleId="CM42">
    <w:name w:val="CM42"/>
    <w:basedOn w:val="Default"/>
    <w:next w:val="Default"/>
    <w:qFormat/>
    <w:rPr>
      <w:rFonts w:ascii="楷体_GB2312" w:eastAsia="楷体_GB2312" w:hAnsi="Times New Roman" w:cs="Times New Roman"/>
      <w:color w:val="auto"/>
    </w:rPr>
  </w:style>
  <w:style w:type="paragraph" w:customStyle="1" w:styleId="tu">
    <w:name w:val="tu"/>
    <w:basedOn w:val="affd"/>
    <w:qFormat/>
    <w:pPr>
      <w:spacing w:line="360" w:lineRule="auto"/>
      <w:ind w:left="0" w:firstLine="0"/>
      <w:jc w:val="center"/>
    </w:pPr>
    <w:rPr>
      <w:b/>
      <w:smallCaps w:val="0"/>
      <w:sz w:val="28"/>
      <w:szCs w:val="24"/>
    </w:rPr>
  </w:style>
  <w:style w:type="paragraph" w:customStyle="1" w:styleId="affffffffffffffffd">
    <w:name w:val="样式 表格内容 + 居中"/>
    <w:basedOn w:val="afffffffff7"/>
    <w:qFormat/>
    <w:pPr>
      <w:widowControl/>
      <w:overflowPunct/>
      <w:adjustRightInd/>
      <w:spacing w:line="300" w:lineRule="exact"/>
      <w:textAlignment w:val="auto"/>
    </w:pPr>
    <w:rPr>
      <w:rFonts w:ascii="Times New Roman" w:eastAsia="楷体_GB2312" w:hAnsi="Times New Roman" w:cs="宋体"/>
      <w:color w:val="000000"/>
      <w:sz w:val="21"/>
    </w:rPr>
  </w:style>
  <w:style w:type="paragraph" w:customStyle="1" w:styleId="xl81">
    <w:name w:val="xl81"/>
    <w:basedOn w:val="a"/>
    <w:qFormat/>
    <w:pPr>
      <w:widowControl/>
      <w:pBdr>
        <w:left w:val="single" w:sz="12" w:space="0" w:color="auto"/>
        <w:bottom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5">
    <w:name w:val="文-5"/>
    <w:basedOn w:val="a"/>
    <w:semiHidden/>
    <w:qFormat/>
    <w:pPr>
      <w:tabs>
        <w:tab w:val="right" w:leader="dot" w:pos="8789"/>
      </w:tabs>
      <w:spacing w:before="120"/>
      <w:ind w:left="1276" w:firstLine="482"/>
    </w:pPr>
    <w:rPr>
      <w:rFonts w:ascii="Times New Roman" w:eastAsia="宋体" w:hAnsi="Times New Roman" w:cs="Times New Roman"/>
      <w:sz w:val="24"/>
      <w:szCs w:val="20"/>
    </w:rPr>
  </w:style>
  <w:style w:type="paragraph" w:customStyle="1" w:styleId="affffffffffffffffe">
    <w:name w:val="表居中（中文）"/>
    <w:basedOn w:val="a"/>
    <w:qFormat/>
    <w:pPr>
      <w:adjustRightInd w:val="0"/>
      <w:spacing w:line="380" w:lineRule="atLeast"/>
      <w:jc w:val="center"/>
      <w:textAlignment w:val="baseline"/>
    </w:pPr>
    <w:rPr>
      <w:rFonts w:ascii="Times New Roman" w:eastAsia="楷体_GB2312" w:hAnsi="Times New Roman" w:cs="Times New Roman"/>
      <w:kern w:val="0"/>
      <w:sz w:val="24"/>
      <w:szCs w:val="24"/>
    </w:rPr>
  </w:style>
  <w:style w:type="paragraph" w:customStyle="1" w:styleId="afffffffffffffffff">
    <w:name w:val="依据文字"/>
    <w:basedOn w:val="2110"/>
    <w:semiHidden/>
    <w:qFormat/>
    <w:pPr>
      <w:widowControl w:val="0"/>
      <w:tabs>
        <w:tab w:val="left" w:pos="420"/>
        <w:tab w:val="left" w:pos="870"/>
        <w:tab w:val="left" w:pos="3150"/>
      </w:tabs>
      <w:autoSpaceDE w:val="0"/>
      <w:autoSpaceDN w:val="0"/>
      <w:adjustRightInd w:val="0"/>
      <w:snapToGrid w:val="0"/>
      <w:spacing w:before="60" w:after="0" w:line="336" w:lineRule="auto"/>
      <w:ind w:leftChars="0" w:left="0" w:firstLineChars="0" w:firstLine="527"/>
      <w:jc w:val="both"/>
      <w:textAlignment w:val="baseline"/>
    </w:pPr>
    <w:rPr>
      <w:rFonts w:ascii="宋体" w:hAnsi="Bookman Old Style"/>
      <w:b/>
      <w:color w:val="000000"/>
      <w:kern w:val="2"/>
      <w:lang w:val="zh-CN"/>
    </w:rPr>
  </w:style>
  <w:style w:type="paragraph" w:customStyle="1" w:styleId="2ffff9">
    <w:name w:val="样式 标题 2 + 宋体 四号 两端对齐"/>
    <w:basedOn w:val="2"/>
    <w:qFormat/>
    <w:pPr>
      <w:tabs>
        <w:tab w:val="left" w:pos="985"/>
      </w:tabs>
      <w:spacing w:before="240" w:after="60" w:line="412" w:lineRule="auto"/>
      <w:ind w:left="985" w:hanging="851"/>
    </w:pPr>
    <w:rPr>
      <w:rFonts w:ascii="宋体" w:eastAsia="Times New Roman" w:hAnsi="宋体" w:cs="宋体"/>
      <w:sz w:val="28"/>
      <w:szCs w:val="20"/>
    </w:rPr>
  </w:style>
  <w:style w:type="paragraph" w:customStyle="1" w:styleId="xl63">
    <w:name w:val="xl63"/>
    <w:basedOn w:val="a"/>
    <w:qFormat/>
    <w:pPr>
      <w:widowControl/>
      <w:spacing w:before="100" w:beforeAutospacing="1" w:after="100" w:afterAutospacing="1"/>
      <w:jc w:val="center"/>
    </w:pPr>
    <w:rPr>
      <w:rFonts w:ascii="Times New Roman" w:eastAsia="宋体" w:hAnsi="Times New Roman" w:cs="Times New Roman"/>
      <w:kern w:val="0"/>
      <w:sz w:val="12"/>
      <w:szCs w:val="12"/>
    </w:rPr>
  </w:style>
  <w:style w:type="paragraph" w:customStyle="1" w:styleId="CharCharCharChar13">
    <w:name w:val="Char Char Char Char13"/>
    <w:basedOn w:val="a"/>
    <w:qFormat/>
    <w:pPr>
      <w:widowControl/>
      <w:jc w:val="left"/>
    </w:pPr>
    <w:rPr>
      <w:rFonts w:ascii="Times New Roman" w:eastAsia="宋体" w:hAnsi="Times New Roman" w:cs="Times New Roman"/>
      <w:kern w:val="0"/>
      <w:sz w:val="24"/>
      <w:szCs w:val="20"/>
    </w:rPr>
  </w:style>
  <w:style w:type="paragraph" w:customStyle="1" w:styleId="CharChar2CharCharCharChar">
    <w:name w:val="Char Char2 Char Char Char Char"/>
    <w:basedOn w:val="a"/>
    <w:qFormat/>
    <w:rPr>
      <w:rFonts w:ascii="Times New Roman" w:eastAsia="仿宋_GB2312" w:hAnsi="Times New Roman" w:cs="Times New Roman"/>
      <w:sz w:val="24"/>
      <w:szCs w:val="24"/>
    </w:rPr>
  </w:style>
  <w:style w:type="paragraph" w:customStyle="1" w:styleId="4f7">
    <w:name w:val="条4"/>
    <w:basedOn w:val="a"/>
    <w:next w:val="a"/>
    <w:qFormat/>
    <w:pPr>
      <w:tabs>
        <w:tab w:val="left" w:pos="992"/>
      </w:tabs>
      <w:ind w:left="992" w:hanging="992"/>
      <w:outlineLvl w:val="1"/>
    </w:pPr>
    <w:rPr>
      <w:rFonts w:ascii="黑体" w:eastAsia="黑体" w:hAnsi="Times New Roman" w:cs="Times New Roman" w:hint="eastAsia"/>
      <w:kern w:val="21"/>
      <w:szCs w:val="20"/>
    </w:rPr>
  </w:style>
  <w:style w:type="paragraph" w:customStyle="1" w:styleId="315">
    <w:name w:val="目录 31"/>
    <w:basedOn w:val="a"/>
    <w:next w:val="a"/>
    <w:qFormat/>
    <w:pPr>
      <w:ind w:left="210"/>
      <w:jc w:val="left"/>
    </w:pPr>
    <w:rPr>
      <w:rFonts w:ascii="Times New Roman" w:eastAsia="宋体" w:hAnsi="Times New Roman" w:cs="Times New Roman"/>
      <w:sz w:val="20"/>
      <w:szCs w:val="20"/>
    </w:rPr>
  </w:style>
  <w:style w:type="paragraph" w:customStyle="1" w:styleId="233">
    <w:name w:val="正文23"/>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CharCharCharCharCharCharCharCharCharCharChar1CharCharCharCharCharChar1Char">
    <w:name w:val="Char Char Char Char Char Char Char Char Char Char Char1 Char Char Char Char Char Char1 Char"/>
    <w:basedOn w:val="a"/>
    <w:qFormat/>
    <w:rPr>
      <w:rFonts w:ascii="Times New Roman" w:eastAsia="宋体" w:hAnsi="Times New Roman" w:cs="Times New Roman"/>
      <w:sz w:val="24"/>
      <w:szCs w:val="24"/>
    </w:rPr>
  </w:style>
  <w:style w:type="paragraph" w:customStyle="1" w:styleId="font7">
    <w:name w:val="font7"/>
    <w:basedOn w:val="a"/>
    <w:qFormat/>
    <w:pPr>
      <w:widowControl/>
      <w:spacing w:before="100" w:beforeAutospacing="1" w:after="100" w:afterAutospacing="1"/>
      <w:jc w:val="left"/>
    </w:pPr>
    <w:rPr>
      <w:rFonts w:ascii="宋体" w:eastAsia="宋体" w:hAnsi="宋体" w:cs="Arial Unicode MS" w:hint="eastAsia"/>
      <w:kern w:val="0"/>
      <w:szCs w:val="21"/>
    </w:rPr>
  </w:style>
  <w:style w:type="paragraph" w:customStyle="1" w:styleId="xl208">
    <w:name w:val="xl208"/>
    <w:basedOn w:val="a"/>
    <w:qFormat/>
    <w:pPr>
      <w:widowControl/>
      <w:pBdr>
        <w:bottom w:val="single" w:sz="12" w:space="0" w:color="auto"/>
        <w:right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67">
    <w:name w:val="无间隔6"/>
    <w:qFormat/>
    <w:pPr>
      <w:widowControl w:val="0"/>
      <w:jc w:val="both"/>
    </w:pPr>
    <w:rPr>
      <w:rFonts w:ascii="Arial" w:eastAsia="仿宋" w:hAnsi="Arial" w:cs="Times New Roman"/>
      <w:w w:val="90"/>
      <w:kern w:val="2"/>
      <w:sz w:val="24"/>
      <w:szCs w:val="24"/>
    </w:rPr>
  </w:style>
  <w:style w:type="paragraph" w:customStyle="1" w:styleId="xl66">
    <w:name w:val="xl66"/>
    <w:basedOn w:val="a"/>
    <w:qFormat/>
    <w:pPr>
      <w:widowControl/>
      <w:pBdr>
        <w:bottom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xl53">
    <w:name w:val="xl53"/>
    <w:basedOn w:val="a"/>
    <w:qFormat/>
    <w:pPr>
      <w:widowControl/>
      <w:pBdr>
        <w:top w:val="single" w:sz="12" w:space="0" w:color="auto"/>
        <w:bottom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CharCharCharCharCharCharCharCharCharChar1CharCharCharCharCharChar1CharCharCharCharCharCharCharCharCharCharCharChar">
    <w:name w:val="Char Char Char Char Char Char Char Char Char Char Char1 Char Char Char Char Char Char1 Char Char Char Char Char Char Char Char Char Char Char Char"/>
    <w:basedOn w:val="a"/>
    <w:qFormat/>
    <w:rPr>
      <w:rFonts w:ascii="Times New Roman" w:eastAsia="宋体" w:hAnsi="Times New Roman" w:cs="Times New Roman"/>
      <w:sz w:val="24"/>
      <w:szCs w:val="24"/>
    </w:rPr>
  </w:style>
  <w:style w:type="paragraph" w:customStyle="1" w:styleId="2510">
    <w:name w:val="样式 表格 + 左  25 字符1"/>
    <w:basedOn w:val="affffff"/>
    <w:semiHidden/>
    <w:qFormat/>
    <w:pPr>
      <w:widowControl/>
      <w:tabs>
        <w:tab w:val="left" w:pos="425"/>
        <w:tab w:val="left" w:pos="780"/>
      </w:tabs>
      <w:overflowPunct/>
      <w:spacing w:line="240" w:lineRule="auto"/>
      <w:ind w:left="780" w:firstLine="14"/>
      <w:jc w:val="center"/>
      <w:textAlignment w:val="auto"/>
    </w:pPr>
    <w:rPr>
      <w:rFonts w:ascii="Times New Roman" w:eastAsia="宋体" w:hAnsi="宋体" w:cs="宋体"/>
      <w:color w:val="auto"/>
      <w:sz w:val="18"/>
      <w:lang w:val="zh-CN"/>
    </w:rPr>
  </w:style>
  <w:style w:type="paragraph" w:customStyle="1" w:styleId="BodyTextIndent3">
    <w:name w:val="Body Text Indent3"/>
    <w:basedOn w:val="a"/>
    <w:qFormat/>
    <w:pPr>
      <w:spacing w:after="120" w:line="360" w:lineRule="auto"/>
      <w:ind w:leftChars="200" w:left="420" w:firstLineChars="200" w:firstLine="200"/>
    </w:pPr>
    <w:rPr>
      <w:rFonts w:ascii="Times New Roman" w:eastAsia="宋体" w:hAnsi="Times New Roman" w:cs="Times New Roman"/>
      <w:sz w:val="24"/>
      <w:szCs w:val="24"/>
    </w:rPr>
  </w:style>
  <w:style w:type="paragraph" w:customStyle="1" w:styleId="style28">
    <w:name w:val="style28"/>
    <w:basedOn w:val="a"/>
    <w:qFormat/>
    <w:pPr>
      <w:widowControl/>
      <w:spacing w:before="100" w:beforeAutospacing="1" w:after="100" w:afterAutospacing="1"/>
      <w:jc w:val="left"/>
    </w:pPr>
    <w:rPr>
      <w:rFonts w:ascii="文鼎CS中黑" w:eastAsia="文鼎CS中黑" w:hAnsi="宋体" w:cs="宋体"/>
      <w:color w:val="636466"/>
      <w:kern w:val="0"/>
      <w:sz w:val="11"/>
      <w:szCs w:val="11"/>
    </w:rPr>
  </w:style>
  <w:style w:type="paragraph" w:customStyle="1" w:styleId="CharCharCharCharCharCharCharCharChar1CharCharCharChar2">
    <w:name w:val="Char Char Char Char Char Char Char Char Char1 Char Char Char Char2"/>
    <w:basedOn w:val="a"/>
    <w:qFormat/>
    <w:rPr>
      <w:rFonts w:ascii="Times New Roman" w:eastAsia="宋体" w:hAnsi="Times New Roman" w:cs="Times New Roman"/>
      <w:szCs w:val="21"/>
    </w:rPr>
  </w:style>
  <w:style w:type="paragraph" w:customStyle="1" w:styleId="ABCD">
    <w:name w:val="ABCD"/>
    <w:basedOn w:val="a"/>
    <w:qFormat/>
    <w:pPr>
      <w:tabs>
        <w:tab w:val="left" w:pos="840"/>
      </w:tabs>
      <w:ind w:left="840" w:firstLine="67"/>
    </w:pPr>
    <w:rPr>
      <w:rFonts w:ascii="Times New Roman" w:eastAsia="宋体" w:hAnsi="Times New Roman" w:cs="Times New Roman"/>
      <w:sz w:val="28"/>
      <w:szCs w:val="24"/>
    </w:rPr>
  </w:style>
  <w:style w:type="paragraph" w:customStyle="1" w:styleId="afffffffffffffffff0">
    <w:name w:val="表格中"/>
    <w:basedOn w:val="a"/>
    <w:semiHidden/>
    <w:qFormat/>
    <w:pPr>
      <w:spacing w:line="280" w:lineRule="exact"/>
      <w:jc w:val="center"/>
    </w:pPr>
    <w:rPr>
      <w:rFonts w:ascii="宋体" w:eastAsia="宋体" w:hAnsi="Times New Roman" w:cs="Times New Roman"/>
      <w:sz w:val="18"/>
      <w:szCs w:val="24"/>
    </w:rPr>
  </w:style>
  <w:style w:type="paragraph" w:customStyle="1" w:styleId="CharCharCharCharCharChar7">
    <w:name w:val="Char Char Char Char Char Char7"/>
    <w:basedOn w:val="a"/>
    <w:link w:val="CharCharCharCharCharCharCharCharCharCharChar2"/>
    <w:qFormat/>
    <w:rPr>
      <w:rFonts w:ascii="Times New Roman" w:eastAsia="宋体" w:hAnsi="Times New Roman" w:cs="Times New Roman"/>
      <w:sz w:val="24"/>
      <w:szCs w:val="24"/>
    </w:rPr>
  </w:style>
  <w:style w:type="character" w:customStyle="1" w:styleId="CharCharCharCharCharCharCharCharCharCharChar2">
    <w:name w:val="Char Char Char Char Char Char Char Char Char Char Char2"/>
    <w:link w:val="CharCharCharCharCharChar7"/>
    <w:locked/>
    <w:rPr>
      <w:rFonts w:ascii="Times New Roman" w:eastAsia="宋体" w:hAnsi="Times New Roman" w:cs="Times New Roman"/>
      <w:sz w:val="24"/>
      <w:szCs w:val="24"/>
    </w:rPr>
  </w:style>
  <w:style w:type="paragraph" w:customStyle="1" w:styleId="afffffffffffffffff1">
    <w:name w:val="列图"/>
    <w:basedOn w:val="affa"/>
    <w:next w:val="a"/>
    <w:qFormat/>
    <w:pPr>
      <w:tabs>
        <w:tab w:val="left" w:pos="3765"/>
      </w:tabs>
      <w:adjustRightInd w:val="0"/>
      <w:snapToGrid w:val="0"/>
      <w:ind w:left="0" w:firstLineChars="0" w:firstLine="0"/>
      <w:jc w:val="center"/>
    </w:pPr>
    <w:rPr>
      <w:rFonts w:ascii="宋体" w:hAnsi="宋体"/>
      <w:bCs/>
      <w:szCs w:val="21"/>
    </w:rPr>
  </w:style>
  <w:style w:type="paragraph" w:customStyle="1" w:styleId="afffffffffffffffff2">
    <w:name w:val="条(三级)"/>
    <w:basedOn w:val="a"/>
    <w:next w:val="a"/>
    <w:qFormat/>
    <w:pPr>
      <w:keepNext/>
      <w:keepLines/>
      <w:adjustRightInd w:val="0"/>
      <w:snapToGrid w:val="0"/>
      <w:spacing w:beforeLines="20" w:before="62" w:line="460" w:lineRule="exact"/>
      <w:jc w:val="center"/>
      <w:textAlignment w:val="baseline"/>
    </w:pPr>
    <w:rPr>
      <w:rFonts w:ascii="Times New Roman" w:eastAsia="宋体" w:hAnsi="宋体" w:cs="Times New Roman"/>
      <w:spacing w:val="3"/>
      <w:kern w:val="24"/>
      <w:sz w:val="24"/>
      <w:szCs w:val="20"/>
    </w:rPr>
  </w:style>
  <w:style w:type="paragraph" w:customStyle="1" w:styleId="b2">
    <w:name w:val="b新标题2"/>
    <w:basedOn w:val="2"/>
    <w:qFormat/>
    <w:pPr>
      <w:widowControl/>
      <w:tabs>
        <w:tab w:val="left" w:pos="780"/>
        <w:tab w:val="left" w:pos="1419"/>
      </w:tabs>
      <w:spacing w:before="156" w:line="240" w:lineRule="exact"/>
      <w:ind w:left="780" w:hanging="360"/>
      <w:jc w:val="left"/>
    </w:pPr>
    <w:rPr>
      <w:rFonts w:ascii="Arial" w:eastAsia="宋体" w:hAnsi="Arial" w:cs="Arial"/>
      <w:b w:val="0"/>
      <w:bCs w:val="0"/>
      <w:kern w:val="0"/>
      <w:sz w:val="24"/>
    </w:rPr>
  </w:style>
  <w:style w:type="paragraph" w:customStyle="1" w:styleId="CharCharCharCharCharCharCharCharChar1CharCharCharCharCharCharCharCharCharChar">
    <w:name w:val="Char Char Char Char Char Char Char Char Char1 Char Char Char Char Char Char Char Char Char Char"/>
    <w:basedOn w:val="a"/>
    <w:semiHidden/>
    <w:qFormat/>
    <w:rPr>
      <w:rFonts w:ascii="宋体" w:eastAsia="宋体" w:hAnsi="宋体" w:cs="Courier New"/>
      <w:sz w:val="32"/>
      <w:szCs w:val="32"/>
    </w:rPr>
  </w:style>
  <w:style w:type="paragraph" w:customStyle="1" w:styleId="11ft">
    <w:name w:val="11ft"/>
    <w:basedOn w:val="a"/>
    <w:qFormat/>
    <w:pPr>
      <w:widowControl/>
      <w:spacing w:before="100" w:beforeAutospacing="1" w:after="100" w:afterAutospacing="1"/>
      <w:jc w:val="left"/>
    </w:pPr>
    <w:rPr>
      <w:rFonts w:ascii="Arial Unicode MS" w:eastAsia="Arial Unicode MS" w:hAnsi="Arial Unicode MS" w:cs="Arial Unicode MS"/>
      <w:color w:val="005680"/>
      <w:kern w:val="0"/>
      <w:sz w:val="22"/>
    </w:rPr>
  </w:style>
  <w:style w:type="paragraph" w:customStyle="1" w:styleId="afffffffffffffffff3">
    <w:name w:val="验方正文"/>
    <w:basedOn w:val="a"/>
    <w:qFormat/>
    <w:pPr>
      <w:adjustRightInd w:val="0"/>
      <w:spacing w:line="312" w:lineRule="atLeast"/>
      <w:ind w:firstLine="686"/>
      <w:textAlignment w:val="baseline"/>
    </w:pPr>
    <w:rPr>
      <w:rFonts w:ascii="仿宋_GB2312" w:eastAsia="仿宋_GB2312" w:hAnsi="Courier New" w:cs="Times New Roman"/>
      <w:kern w:val="0"/>
      <w:sz w:val="28"/>
      <w:szCs w:val="20"/>
    </w:rPr>
  </w:style>
  <w:style w:type="paragraph" w:customStyle="1" w:styleId="CharChar3Char2">
    <w:name w:val="Char Char3 Char2"/>
    <w:basedOn w:val="a"/>
    <w:qFormat/>
    <w:rPr>
      <w:rFonts w:ascii="Tahoma" w:eastAsia="宋体" w:hAnsi="Tahoma" w:cs="Times New Roman"/>
      <w:sz w:val="24"/>
      <w:szCs w:val="20"/>
    </w:rPr>
  </w:style>
  <w:style w:type="paragraph" w:customStyle="1" w:styleId="11b">
    <w:name w:val="日期11"/>
    <w:basedOn w:val="a"/>
    <w:next w:val="a"/>
    <w:qFormat/>
    <w:pPr>
      <w:adjustRightInd w:val="0"/>
      <w:textAlignment w:val="baseline"/>
    </w:pPr>
    <w:rPr>
      <w:rFonts w:ascii="Times New Roman" w:eastAsia="宋体" w:hAnsi="Times New Roman" w:cs="Times New Roman"/>
      <w:szCs w:val="20"/>
    </w:rPr>
  </w:style>
  <w:style w:type="paragraph" w:customStyle="1" w:styleId="22Char0">
    <w:name w:val="样式 样式 左侧:  2 字符 + 首行缩进:  2 字符 Char"/>
    <w:basedOn w:val="a"/>
    <w:qFormat/>
    <w:pPr>
      <w:tabs>
        <w:tab w:val="left" w:pos="540"/>
      </w:tabs>
      <w:spacing w:line="360" w:lineRule="auto"/>
      <w:ind w:firstLineChars="199" w:firstLine="478"/>
    </w:pPr>
    <w:rPr>
      <w:rFonts w:ascii="宋体" w:eastAsia="宋体" w:hAnsi="宋体" w:cs="Times New Roman"/>
      <w:bCs/>
      <w:sz w:val="24"/>
      <w:szCs w:val="24"/>
    </w:rPr>
  </w:style>
  <w:style w:type="paragraph" w:customStyle="1" w:styleId="xl97">
    <w:name w:val="xl97"/>
    <w:basedOn w:val="a"/>
    <w:qFormat/>
    <w:pPr>
      <w:widowControl/>
      <w:pBdr>
        <w:top w:val="single" w:sz="12" w:space="0" w:color="auto"/>
        <w:right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234">
    <w:name w:val="正文文本 23"/>
    <w:basedOn w:val="a"/>
    <w:qFormat/>
    <w:pPr>
      <w:autoSpaceDE w:val="0"/>
      <w:autoSpaceDN w:val="0"/>
      <w:adjustRightInd w:val="0"/>
      <w:spacing w:line="360" w:lineRule="atLeast"/>
      <w:ind w:firstLine="425"/>
    </w:pPr>
    <w:rPr>
      <w:rFonts w:ascii="宋体" w:eastAsia="宋体" w:hAnsi="Tms Rmn" w:cs="Times New Roman"/>
      <w:kern w:val="0"/>
      <w:sz w:val="28"/>
      <w:szCs w:val="20"/>
    </w:rPr>
  </w:style>
  <w:style w:type="paragraph" w:customStyle="1" w:styleId="font21">
    <w:name w:val="font21"/>
    <w:basedOn w:val="a"/>
    <w:qFormat/>
    <w:pPr>
      <w:widowControl/>
      <w:spacing w:before="100" w:beforeAutospacing="1" w:after="100" w:afterAutospacing="1"/>
      <w:jc w:val="left"/>
    </w:pPr>
    <w:rPr>
      <w:rFonts w:ascii="Times New Roman" w:eastAsia="宋体" w:hAnsi="Times New Roman" w:cs="Times New Roman"/>
      <w:color w:val="993366"/>
      <w:kern w:val="0"/>
      <w:sz w:val="18"/>
      <w:szCs w:val="18"/>
    </w:rPr>
  </w:style>
  <w:style w:type="paragraph" w:customStyle="1" w:styleId="33CharChar1113h33rdlevelH3l3CT1">
    <w:name w:val="样式 标题 3标题 3 Char Char条标题1.1.13h33rd levelH3l3CT + 黑色"/>
    <w:basedOn w:val="3"/>
    <w:qFormat/>
    <w:pPr>
      <w:widowControl w:val="0"/>
      <w:tabs>
        <w:tab w:val="left" w:pos="780"/>
        <w:tab w:val="left" w:pos="1418"/>
      </w:tabs>
      <w:snapToGrid w:val="0"/>
      <w:spacing w:before="0" w:after="0" w:line="360" w:lineRule="auto"/>
      <w:ind w:left="627" w:hanging="567"/>
      <w:jc w:val="both"/>
    </w:pPr>
    <w:rPr>
      <w:b w:val="0"/>
      <w:color w:val="000000"/>
      <w:kern w:val="2"/>
      <w:sz w:val="28"/>
      <w:szCs w:val="20"/>
    </w:rPr>
  </w:style>
  <w:style w:type="paragraph" w:customStyle="1" w:styleId="B1">
    <w:name w:val="标题 B"/>
    <w:basedOn w:val="2"/>
    <w:qFormat/>
    <w:pPr>
      <w:keepLines w:val="0"/>
      <w:tabs>
        <w:tab w:val="left" w:pos="1419"/>
      </w:tabs>
      <w:adjustRightInd w:val="0"/>
      <w:spacing w:before="840" w:after="240" w:line="400" w:lineRule="exact"/>
      <w:jc w:val="center"/>
      <w:textAlignment w:val="baseline"/>
      <w:outlineLvl w:val="9"/>
    </w:pPr>
    <w:rPr>
      <w:rFonts w:ascii="Arial Rounded MT Bold" w:eastAsia="黑体" w:hAnsi="Arial Rounded MT Bold" w:cs="Times New Roman"/>
      <w:b w:val="0"/>
      <w:bCs w:val="0"/>
      <w:spacing w:val="8"/>
      <w:kern w:val="0"/>
      <w:szCs w:val="20"/>
    </w:rPr>
  </w:style>
  <w:style w:type="paragraph" w:customStyle="1" w:styleId="11H1SectionHeadHeader1h11stlevell1Heading01">
    <w:name w:val="样式 标题 1章标题 1H1Section HeadHeader1h11st levell1Heading 0...1"/>
    <w:basedOn w:val="1"/>
    <w:qFormat/>
    <w:pPr>
      <w:keepNext/>
      <w:tabs>
        <w:tab w:val="left" w:pos="425"/>
      </w:tabs>
      <w:spacing w:before="0" w:line="500" w:lineRule="exact"/>
      <w:ind w:left="425" w:hanging="425"/>
    </w:pPr>
    <w:rPr>
      <w:rFonts w:eastAsia="宋体" w:cs="宋体"/>
      <w:b w:val="0"/>
      <w:bCs w:val="0"/>
      <w:color w:val="000000"/>
      <w:kern w:val="2"/>
      <w:sz w:val="28"/>
      <w:szCs w:val="20"/>
      <w:lang w:eastAsia="zh-CN"/>
    </w:rPr>
  </w:style>
  <w:style w:type="paragraph" w:customStyle="1" w:styleId="xl152">
    <w:name w:val="xl152"/>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191">
    <w:name w:val="样式19"/>
    <w:basedOn w:val="2"/>
    <w:semiHidden/>
    <w:qFormat/>
    <w:pPr>
      <w:keepNext w:val="0"/>
      <w:keepLines w:val="0"/>
      <w:tabs>
        <w:tab w:val="left" w:pos="630"/>
        <w:tab w:val="left" w:pos="840"/>
        <w:tab w:val="left" w:pos="1287"/>
        <w:tab w:val="left" w:pos="1419"/>
        <w:tab w:val="left" w:pos="3920"/>
        <w:tab w:val="left" w:pos="5670"/>
      </w:tabs>
      <w:snapToGrid w:val="0"/>
      <w:spacing w:before="60" w:after="60" w:line="520" w:lineRule="exact"/>
      <w:ind w:firstLine="567"/>
    </w:pPr>
    <w:rPr>
      <w:rFonts w:ascii="Times New Roman" w:eastAsia="华文行楷" w:hAnsi="Times New Roman" w:cs="Times New Roman"/>
      <w:color w:val="000000"/>
      <w:kern w:val="0"/>
      <w:sz w:val="30"/>
      <w:szCs w:val="30"/>
      <w:lang w:val="zh-CN"/>
    </w:rPr>
  </w:style>
  <w:style w:type="paragraph" w:customStyle="1" w:styleId="xl185">
    <w:name w:val="xl185"/>
    <w:basedOn w:val="a"/>
    <w:qFormat/>
    <w:pPr>
      <w:widowControl/>
      <w:pBdr>
        <w:bottom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xl138">
    <w:name w:val="xl138"/>
    <w:basedOn w:val="a"/>
    <w:qFormat/>
    <w:pPr>
      <w:widowControl/>
      <w:pBdr>
        <w:left w:val="single" w:sz="4" w:space="0" w:color="auto"/>
        <w:bottom w:val="single" w:sz="8" w:space="0" w:color="auto"/>
      </w:pBdr>
      <w:spacing w:before="100" w:beforeAutospacing="1" w:after="100" w:afterAutospacing="1"/>
      <w:jc w:val="center"/>
    </w:pPr>
    <w:rPr>
      <w:rFonts w:ascii="Times New Roman" w:eastAsia="宋体" w:hAnsi="Times New Roman" w:cs="Times New Roman"/>
      <w:kern w:val="0"/>
      <w:sz w:val="12"/>
      <w:szCs w:val="12"/>
    </w:rPr>
  </w:style>
  <w:style w:type="paragraph" w:customStyle="1" w:styleId="2ffffa">
    <w:name w:val="首2页企业名称"/>
    <w:basedOn w:val="af7"/>
    <w:qFormat/>
    <w:pPr>
      <w:tabs>
        <w:tab w:val="clear" w:pos="3600"/>
        <w:tab w:val="left" w:pos="2880"/>
      </w:tabs>
      <w:spacing w:beforeLines="400" w:before="1248" w:line="480" w:lineRule="auto"/>
      <w:ind w:firstLineChars="0" w:firstLine="0"/>
      <w:jc w:val="center"/>
    </w:pPr>
    <w:rPr>
      <w:rFonts w:ascii="楷体" w:eastAsia="楷体" w:hAnsi="楷体"/>
      <w:bCs/>
      <w:kern w:val="0"/>
      <w:sz w:val="52"/>
      <w:szCs w:val="52"/>
      <w:lang w:val="zh-CN"/>
    </w:rPr>
  </w:style>
  <w:style w:type="paragraph" w:customStyle="1" w:styleId="xl171">
    <w:name w:val="xl171"/>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2ffffb">
    <w:name w:val="陈2"/>
    <w:basedOn w:val="a"/>
    <w:qFormat/>
    <w:pPr>
      <w:widowControl/>
      <w:tabs>
        <w:tab w:val="left" w:pos="1729"/>
      </w:tabs>
      <w:ind w:firstLineChars="200" w:firstLine="640"/>
      <w:jc w:val="left"/>
      <w:outlineLvl w:val="1"/>
    </w:pPr>
    <w:rPr>
      <w:rFonts w:ascii="宋体" w:eastAsia="楷体_GB2312" w:hAnsi="宋体" w:cs="宋体"/>
      <w:kern w:val="0"/>
      <w:sz w:val="32"/>
      <w:szCs w:val="24"/>
    </w:rPr>
  </w:style>
  <w:style w:type="paragraph" w:customStyle="1" w:styleId="1fffff0">
    <w:name w:val="表样式1"/>
    <w:basedOn w:val="a"/>
    <w:qFormat/>
    <w:pPr>
      <w:spacing w:line="400" w:lineRule="exact"/>
      <w:ind w:leftChars="-32" w:left="-67"/>
      <w:jc w:val="center"/>
    </w:pPr>
    <w:rPr>
      <w:rFonts w:ascii="宋体" w:eastAsia="宋体" w:hAnsi="宋体" w:cs="Times New Roman"/>
      <w:color w:val="000000"/>
      <w:szCs w:val="20"/>
    </w:rPr>
  </w:style>
  <w:style w:type="paragraph" w:customStyle="1" w:styleId="5111">
    <w:name w:val="目录 511"/>
    <w:basedOn w:val="a"/>
    <w:next w:val="a"/>
    <w:qFormat/>
    <w:pPr>
      <w:ind w:left="630"/>
      <w:jc w:val="left"/>
    </w:pPr>
    <w:rPr>
      <w:rFonts w:ascii="Times New Roman" w:eastAsia="宋体" w:hAnsi="Times New Roman" w:cs="Times New Roman"/>
      <w:sz w:val="20"/>
      <w:szCs w:val="20"/>
    </w:rPr>
  </w:style>
  <w:style w:type="paragraph" w:customStyle="1" w:styleId="999">
    <w:name w:val="正文999"/>
    <w:basedOn w:val="a"/>
    <w:semiHidden/>
    <w:qFormat/>
    <w:pPr>
      <w:spacing w:line="360" w:lineRule="auto"/>
      <w:ind w:firstLineChars="200" w:firstLine="480"/>
    </w:pPr>
    <w:rPr>
      <w:rFonts w:ascii="宋体" w:eastAsia="宋体" w:hAnsi="宋体" w:cs="Times New Roman"/>
      <w:sz w:val="24"/>
      <w:szCs w:val="24"/>
    </w:rPr>
  </w:style>
  <w:style w:type="paragraph" w:customStyle="1" w:styleId="afffffffffffffffff4">
    <w:name w:val="样式 样式 报告书表格 + 字距调整二号 +"/>
    <w:basedOn w:val="afffffff4"/>
    <w:qFormat/>
  </w:style>
  <w:style w:type="paragraph" w:customStyle="1" w:styleId="afffffffffffffffff5">
    <w:name w:val="图框文字"/>
    <w:basedOn w:val="a"/>
    <w:qFormat/>
    <w:pPr>
      <w:jc w:val="center"/>
      <w:textAlignment w:val="center"/>
    </w:pPr>
    <w:rPr>
      <w:rFonts w:ascii="Times New Roman" w:eastAsia="宋体" w:hAnsi="Times New Roman" w:cs="Times New Roman"/>
      <w:szCs w:val="24"/>
    </w:rPr>
  </w:style>
  <w:style w:type="paragraph" w:customStyle="1" w:styleId="xl175">
    <w:name w:val="xl175"/>
    <w:basedOn w:val="a"/>
    <w:qFormat/>
    <w:pPr>
      <w:widowControl/>
      <w:pBdr>
        <w:left w:val="single" w:sz="12" w:space="0" w:color="auto"/>
        <w:right w:val="single" w:sz="4"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2113">
    <w:name w:val="正文文本缩进 211"/>
    <w:basedOn w:val="a"/>
    <w:qFormat/>
    <w:pPr>
      <w:adjustRightInd w:val="0"/>
      <w:spacing w:line="480" w:lineRule="atLeast"/>
      <w:ind w:firstLine="630"/>
      <w:textAlignment w:val="baseline"/>
    </w:pPr>
    <w:rPr>
      <w:rFonts w:ascii="宋体" w:eastAsia="宋体" w:hAnsi="Times New Roman" w:cs="Times New Roman"/>
      <w:sz w:val="28"/>
      <w:szCs w:val="20"/>
    </w:rPr>
  </w:style>
  <w:style w:type="paragraph" w:customStyle="1" w:styleId="CharCharChar1CharCharCharChar2">
    <w:name w:val="Char Char Char1 Char Char Char Char2"/>
    <w:basedOn w:val="a"/>
    <w:next w:val="a"/>
    <w:qFormat/>
    <w:pPr>
      <w:spacing w:line="360" w:lineRule="auto"/>
      <w:ind w:firstLineChars="200" w:firstLine="200"/>
    </w:pPr>
    <w:rPr>
      <w:rFonts w:ascii="宋体" w:eastAsia="汉鼎简书宋" w:hAnsi="宋体" w:cs="宋体"/>
      <w:sz w:val="24"/>
      <w:szCs w:val="24"/>
    </w:rPr>
  </w:style>
  <w:style w:type="paragraph" w:customStyle="1" w:styleId="afffffffffffffffff6">
    <w:name w:val="小表格"/>
    <w:basedOn w:val="a"/>
    <w:qFormat/>
    <w:pPr>
      <w:autoSpaceDE w:val="0"/>
      <w:autoSpaceDN w:val="0"/>
      <w:adjustRightInd w:val="0"/>
      <w:snapToGrid w:val="0"/>
      <w:jc w:val="center"/>
    </w:pPr>
    <w:rPr>
      <w:rFonts w:ascii="仿宋_GB2312" w:eastAsia="宋体" w:hAnsi="Times New Roman" w:cs="Times New Roman"/>
      <w:kern w:val="0"/>
      <w:szCs w:val="20"/>
    </w:rPr>
  </w:style>
  <w:style w:type="paragraph" w:customStyle="1" w:styleId="3ffa">
    <w:name w:val="正文文本缩进 3 + 宋体"/>
    <w:basedOn w:val="36"/>
    <w:qFormat/>
    <w:pPr>
      <w:spacing w:after="0" w:line="500" w:lineRule="exact"/>
      <w:ind w:leftChars="0" w:left="0" w:firstLineChars="200" w:firstLine="560"/>
    </w:pPr>
    <w:rPr>
      <w:rFonts w:ascii="宋体" w:hAnsi="宋体" w:hint="eastAsia"/>
      <w:w w:val="90"/>
      <w:sz w:val="28"/>
      <w:szCs w:val="28"/>
    </w:rPr>
  </w:style>
  <w:style w:type="paragraph" w:customStyle="1" w:styleId="085">
    <w:name w:val="样式 列表 + 四号 首行缩进:  0.85 厘米"/>
    <w:basedOn w:val="affa"/>
    <w:qFormat/>
    <w:pPr>
      <w:snapToGrid w:val="0"/>
      <w:spacing w:line="360" w:lineRule="auto"/>
      <w:ind w:left="0" w:firstLineChars="0" w:firstLine="482"/>
    </w:pPr>
    <w:rPr>
      <w:rFonts w:cs="宋体"/>
      <w:sz w:val="28"/>
      <w:szCs w:val="20"/>
    </w:rPr>
  </w:style>
  <w:style w:type="paragraph" w:customStyle="1" w:styleId="1H1GB2312">
    <w:name w:val="样式 标题 1H1 + 仿宋_GB2312"/>
    <w:basedOn w:val="1"/>
    <w:qFormat/>
    <w:pPr>
      <w:keepNext/>
      <w:keepLines/>
      <w:tabs>
        <w:tab w:val="left" w:pos="425"/>
      </w:tabs>
      <w:spacing w:before="0" w:line="360" w:lineRule="auto"/>
      <w:ind w:left="432" w:hanging="432"/>
    </w:pPr>
    <w:rPr>
      <w:rFonts w:ascii="仿宋_GB2312" w:eastAsia="仿宋_GB2312" w:hAnsi="仿宋_GB2312" w:cs="Times New Roman"/>
      <w:color w:val="000000"/>
      <w:kern w:val="44"/>
      <w:sz w:val="32"/>
      <w:szCs w:val="32"/>
      <w:lang w:val="zh-CN" w:eastAsia="zh-CN"/>
    </w:rPr>
  </w:style>
  <w:style w:type="paragraph" w:customStyle="1" w:styleId="afffffffffffffffff7">
    <w:name w:val=".."/>
    <w:basedOn w:val="a"/>
    <w:next w:val="a"/>
    <w:qFormat/>
    <w:pPr>
      <w:autoSpaceDE w:val="0"/>
      <w:autoSpaceDN w:val="0"/>
      <w:adjustRightInd w:val="0"/>
      <w:jc w:val="left"/>
    </w:pPr>
    <w:rPr>
      <w:rFonts w:ascii="DF Kai Shu" w:eastAsia="DF Kai Shu" w:hAnsi="Times New Roman" w:cs="Times New Roman"/>
      <w:kern w:val="0"/>
      <w:sz w:val="24"/>
      <w:szCs w:val="24"/>
    </w:rPr>
  </w:style>
  <w:style w:type="paragraph" w:customStyle="1" w:styleId="xl213">
    <w:name w:val="xl213"/>
    <w:basedOn w:val="a"/>
    <w:qFormat/>
    <w:pPr>
      <w:widowControl/>
      <w:pBdr>
        <w:left w:val="single" w:sz="8" w:space="0" w:color="auto"/>
        <w:bottom w:val="single" w:sz="12"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Style549">
    <w:name w:val="_Style 549"/>
    <w:next w:val="a"/>
    <w:qFormat/>
    <w:pPr>
      <w:widowControl w:val="0"/>
      <w:jc w:val="both"/>
    </w:pPr>
    <w:rPr>
      <w:rFonts w:ascii="Times New Roman" w:eastAsia="宋体" w:hAnsi="Times New Roman" w:cs="Times New Roman"/>
      <w:kern w:val="2"/>
      <w:sz w:val="21"/>
      <w:szCs w:val="24"/>
    </w:rPr>
  </w:style>
  <w:style w:type="paragraph" w:customStyle="1" w:styleId="afffffffffffffffff8">
    <w:name w:val="式中："/>
    <w:basedOn w:val="afffff4"/>
    <w:qFormat/>
    <w:pPr>
      <w:widowControl w:val="0"/>
      <w:tabs>
        <w:tab w:val="clear" w:pos="315"/>
        <w:tab w:val="clear" w:pos="360"/>
      </w:tabs>
      <w:adjustRightInd/>
      <w:snapToGrid/>
      <w:spacing w:line="440" w:lineRule="exact"/>
      <w:ind w:leftChars="500" w:left="500" w:firstLineChars="0" w:firstLine="0"/>
    </w:pPr>
    <w:rPr>
      <w:rFonts w:ascii="Times New Roman" w:eastAsia="宋体" w:hAnsi="Times New Roman"/>
      <w:sz w:val="24"/>
    </w:rPr>
  </w:style>
  <w:style w:type="paragraph" w:customStyle="1" w:styleId="1fffff1">
    <w:name w:val="正文缩进1"/>
    <w:basedOn w:val="a"/>
    <w:qFormat/>
    <w:pPr>
      <w:spacing w:beforeLines="50" w:afterLines="50"/>
      <w:ind w:firstLineChars="435" w:firstLine="435"/>
    </w:pPr>
    <w:rPr>
      <w:rFonts w:ascii="黑体" w:eastAsia="黑体" w:hAnsi="Times New Roman" w:cs="Times New Roman"/>
      <w:sz w:val="24"/>
      <w:szCs w:val="20"/>
    </w:rPr>
  </w:style>
  <w:style w:type="paragraph" w:customStyle="1" w:styleId="CharChar6CharCharCharChar3">
    <w:name w:val="Char Char6 Char Char Char Char3"/>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CharCharCharCharCharChar1CharCharCharChar3">
    <w:name w:val="Char Char Char Char Char Char1 Char Char Char Char3"/>
    <w:basedOn w:val="a"/>
    <w:qFormat/>
    <w:rPr>
      <w:rFonts w:ascii="Times New Roman" w:eastAsia="宋体" w:hAnsi="Times New Roman" w:cs="Times New Roman"/>
      <w:sz w:val="24"/>
      <w:szCs w:val="24"/>
    </w:rPr>
  </w:style>
  <w:style w:type="paragraph" w:customStyle="1" w:styleId="Char260">
    <w:name w:val="Char26"/>
    <w:basedOn w:val="a"/>
    <w:qFormat/>
    <w:rPr>
      <w:rFonts w:ascii="Times New Roman" w:eastAsia="宋体" w:hAnsi="Times New Roman" w:cs="Times New Roman"/>
      <w:sz w:val="24"/>
      <w:szCs w:val="24"/>
    </w:rPr>
  </w:style>
  <w:style w:type="paragraph" w:customStyle="1" w:styleId="222Heading2HiddenHeading2CCBSheading21">
    <w:name w:val="样式 标题 2标题 2节第一章 标题 2Heading 2 HiddenHeading 2 CCBSheading 2...1"/>
    <w:basedOn w:val="2"/>
    <w:qFormat/>
    <w:pPr>
      <w:tabs>
        <w:tab w:val="left" w:pos="576"/>
      </w:tabs>
      <w:spacing w:before="240" w:after="60" w:line="360" w:lineRule="auto"/>
      <w:jc w:val="center"/>
    </w:pPr>
    <w:rPr>
      <w:rFonts w:ascii="楷体_GB2312" w:eastAsia="楷体_GB2312" w:hAnsi="楷体_GB2312" w:cs="Times New Roman"/>
    </w:rPr>
  </w:style>
  <w:style w:type="paragraph" w:customStyle="1" w:styleId="3Char1Char1Char1CharCharChar1Char111h3H3l2">
    <w:name w:val="样式 标题 3Char1 Char1Char1 Char CharChar1 Char条标题1.1.1h3H3l...2"/>
    <w:basedOn w:val="3"/>
    <w:qFormat/>
    <w:pPr>
      <w:keepLines w:val="0"/>
      <w:widowControl w:val="0"/>
      <w:spacing w:before="0" w:after="0" w:line="500" w:lineRule="exact"/>
      <w:ind w:left="3420"/>
      <w:jc w:val="both"/>
    </w:pPr>
    <w:rPr>
      <w:b w:val="0"/>
      <w:bCs w:val="0"/>
      <w:sz w:val="28"/>
      <w:szCs w:val="20"/>
    </w:rPr>
  </w:style>
  <w:style w:type="paragraph" w:customStyle="1" w:styleId="CharCharChar1Char8">
    <w:name w:val="Char Char Char1 Char8"/>
    <w:basedOn w:val="2"/>
    <w:qFormat/>
    <w:pPr>
      <w:keepNext w:val="0"/>
      <w:keepLines w:val="0"/>
      <w:widowControl/>
      <w:spacing w:before="0" w:after="0" w:line="520" w:lineRule="exact"/>
    </w:pPr>
    <w:rPr>
      <w:rFonts w:ascii="Times New Roman" w:eastAsia="宋体" w:hAnsi="Times New Roman" w:cs="Times New Roman"/>
      <w:kern w:val="0"/>
      <w:sz w:val="28"/>
      <w:szCs w:val="28"/>
    </w:rPr>
  </w:style>
  <w:style w:type="paragraph" w:customStyle="1" w:styleId="413">
    <w:name w:val="样式 样式4 + 段前: 1 行"/>
    <w:basedOn w:val="41"/>
    <w:next w:val="41"/>
    <w:qFormat/>
    <w:pPr>
      <w:keepNext/>
      <w:keepLines/>
      <w:tabs>
        <w:tab w:val="left" w:pos="1178"/>
      </w:tabs>
      <w:spacing w:before="0" w:line="500" w:lineRule="exact"/>
      <w:ind w:left="0"/>
      <w:jc w:val="both"/>
    </w:pPr>
    <w:rPr>
      <w:rFonts w:cs="宋体"/>
      <w:b/>
      <w:kern w:val="2"/>
      <w:szCs w:val="20"/>
      <w:lang w:eastAsia="zh-CN"/>
    </w:rPr>
  </w:style>
  <w:style w:type="paragraph" w:customStyle="1" w:styleId="Char3CharCharChar">
    <w:name w:val="Char3 Char Char Char"/>
    <w:basedOn w:val="a"/>
    <w:semiHidden/>
    <w:qFormat/>
    <w:rPr>
      <w:rFonts w:ascii="Times New Roman" w:eastAsia="宋体" w:hAnsi="Times New Roman" w:cs="Times New Roman"/>
      <w:sz w:val="28"/>
      <w:szCs w:val="24"/>
    </w:rPr>
  </w:style>
  <w:style w:type="paragraph" w:customStyle="1" w:styleId="xl96">
    <w:name w:val="xl96"/>
    <w:basedOn w:val="a"/>
    <w:qFormat/>
    <w:pPr>
      <w:widowControl/>
      <w:pBdr>
        <w:left w:val="single" w:sz="12" w:space="0" w:color="auto"/>
        <w:bottom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c1TimesNewRoman05050">
    <w:name w:val="样式 c1 + Times New Roman 四号 黑色 两端对齐 段前: 0.5 行 段后: 0.5 行"/>
    <w:basedOn w:val="2"/>
    <w:qFormat/>
    <w:pPr>
      <w:tabs>
        <w:tab w:val="left" w:pos="985"/>
      </w:tabs>
      <w:spacing w:before="240" w:after="60" w:line="412" w:lineRule="auto"/>
      <w:ind w:left="985"/>
    </w:pPr>
    <w:rPr>
      <w:rFonts w:ascii="Times New Roman" w:eastAsia="黑体" w:hAnsi="Times New Roman" w:cs="宋体"/>
      <w:color w:val="000000"/>
      <w:sz w:val="28"/>
      <w:szCs w:val="20"/>
    </w:rPr>
  </w:style>
  <w:style w:type="paragraph" w:customStyle="1" w:styleId="CharCharCharCharCharCharCharCharChar1Char">
    <w:name w:val="Char Char Char Char Char Char Char Char Char1 Char"/>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Normal2">
    <w:name w:val="Normal2"/>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reader-word-layer">
    <w:name w:val="reader-word-layer"/>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05051">
    <w:name w:val="样式 样式 表格标题 + 段前: 0.5 行 + 段前: 0.5 行1"/>
    <w:basedOn w:val="a"/>
    <w:qFormat/>
    <w:pPr>
      <w:autoSpaceDE w:val="0"/>
      <w:autoSpaceDN w:val="0"/>
      <w:adjustRightInd w:val="0"/>
      <w:spacing w:beforeLines="50" w:line="400" w:lineRule="exact"/>
      <w:jc w:val="center"/>
    </w:pPr>
    <w:rPr>
      <w:rFonts w:ascii="黑体" w:eastAsia="黑体" w:hAnsi="Times New Roman" w:cs="宋体"/>
      <w:sz w:val="24"/>
      <w:szCs w:val="20"/>
      <w:lang w:val="zh-CN"/>
    </w:rPr>
  </w:style>
  <w:style w:type="paragraph" w:customStyle="1" w:styleId="little">
    <w:name w:val="little"/>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1CharCharCharChar1">
    <w:name w:val="Char Char Char Char Char Char Char Char1 Char Char Char Char1"/>
    <w:basedOn w:val="a"/>
    <w:qFormat/>
    <w:rPr>
      <w:rFonts w:ascii="Times New Roman" w:eastAsia="宋体" w:hAnsi="Times New Roman" w:cs="Times New Roman"/>
      <w:szCs w:val="24"/>
    </w:rPr>
  </w:style>
  <w:style w:type="paragraph" w:customStyle="1" w:styleId="afffffffffffffffff9">
    <w:name w:val="表体宋旭峰"/>
    <w:basedOn w:val="a"/>
    <w:qFormat/>
    <w:pPr>
      <w:overflowPunct w:val="0"/>
      <w:spacing w:line="320" w:lineRule="exact"/>
      <w:jc w:val="center"/>
      <w:textAlignment w:val="baseline"/>
    </w:pPr>
    <w:rPr>
      <w:rFonts w:ascii="Times New Roman" w:eastAsia="宋体" w:hAnsi="Times New Roman" w:cs="Times New Roman"/>
      <w:sz w:val="24"/>
      <w:szCs w:val="21"/>
    </w:rPr>
  </w:style>
  <w:style w:type="paragraph" w:customStyle="1" w:styleId="xl140">
    <w:name w:val="xl140"/>
    <w:basedOn w:val="a"/>
    <w:qFormat/>
    <w:pPr>
      <w:widowControl/>
      <w:spacing w:before="100" w:beforeAutospacing="1" w:after="100" w:afterAutospacing="1"/>
      <w:jc w:val="center"/>
    </w:pPr>
    <w:rPr>
      <w:rFonts w:ascii="Arial Unicode MS" w:eastAsia="宋体" w:hAnsi="Arial Unicode MS" w:cs="Times New Roman"/>
      <w:kern w:val="0"/>
      <w:sz w:val="16"/>
      <w:szCs w:val="16"/>
    </w:rPr>
  </w:style>
  <w:style w:type="paragraph" w:customStyle="1" w:styleId="Date1">
    <w:name w:val="Date1"/>
    <w:basedOn w:val="a"/>
    <w:next w:val="a"/>
    <w:qFormat/>
    <w:pPr>
      <w:adjustRightInd w:val="0"/>
      <w:textAlignment w:val="baseline"/>
    </w:pPr>
    <w:rPr>
      <w:rFonts w:ascii="Times New Roman" w:eastAsia="宋体" w:hAnsi="Times New Roman" w:cs="Times New Roman"/>
      <w:szCs w:val="20"/>
    </w:rPr>
  </w:style>
  <w:style w:type="paragraph" w:customStyle="1" w:styleId="1112">
    <w:name w:val="标题1.1.1"/>
    <w:basedOn w:val="a"/>
    <w:qFormat/>
    <w:pPr>
      <w:spacing w:beforeLines="50" w:before="156" w:afterLines="50" w:after="156" w:line="520" w:lineRule="exact"/>
      <w:outlineLvl w:val="2"/>
    </w:pPr>
    <w:rPr>
      <w:rFonts w:ascii="宋体" w:eastAsia="宋体" w:hAnsi="宋体" w:cs="Times New Roman"/>
      <w:b/>
      <w:color w:val="000000"/>
      <w:sz w:val="30"/>
      <w:szCs w:val="30"/>
    </w:rPr>
  </w:style>
  <w:style w:type="paragraph" w:customStyle="1" w:styleId="afffffffffffffffffa">
    <w:name w:val="小四表文左齐"/>
    <w:basedOn w:val="a"/>
    <w:qFormat/>
    <w:pPr>
      <w:jc w:val="center"/>
    </w:pPr>
    <w:rPr>
      <w:rFonts w:ascii="仿宋_GB2312" w:eastAsia="仿宋_GB2312" w:hAnsi="宋体" w:cs="Times New Roman" w:hint="eastAsia"/>
      <w:szCs w:val="24"/>
    </w:rPr>
  </w:style>
  <w:style w:type="paragraph" w:customStyle="1" w:styleId="CharCharCharCharCharCharCharCharCharCharCharCharCharCharCharCharCharChar">
    <w:name w:val="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78">
    <w:name w:val="样式7"/>
    <w:basedOn w:val="a"/>
    <w:next w:val="a"/>
    <w:qFormat/>
    <w:pPr>
      <w:spacing w:line="360" w:lineRule="auto"/>
      <w:ind w:firstLineChars="200" w:firstLine="480"/>
    </w:pPr>
    <w:rPr>
      <w:rFonts w:ascii="宋体" w:eastAsia="宋体" w:hAnsi="宋体" w:cs="宋体"/>
      <w:color w:val="000000"/>
      <w:sz w:val="24"/>
      <w:szCs w:val="24"/>
    </w:rPr>
  </w:style>
  <w:style w:type="paragraph" w:customStyle="1" w:styleId="xl162">
    <w:name w:val="xl162"/>
    <w:basedOn w:val="a"/>
    <w:qFormat/>
    <w:pPr>
      <w:widowControl/>
      <w:pBdr>
        <w:bottom w:val="single" w:sz="12" w:space="0" w:color="auto"/>
        <w:right w:val="single" w:sz="12"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2ffffc">
    <w:name w:val="样式 标题 2节 + 宋体 加粗 左"/>
    <w:basedOn w:val="2"/>
    <w:qFormat/>
    <w:pPr>
      <w:widowControl/>
      <w:tabs>
        <w:tab w:val="left" w:pos="780"/>
        <w:tab w:val="left" w:pos="992"/>
        <w:tab w:val="left" w:pos="1419"/>
      </w:tabs>
      <w:spacing w:before="156" w:after="0" w:line="360" w:lineRule="auto"/>
      <w:ind w:left="780" w:hanging="360"/>
      <w:jc w:val="left"/>
    </w:pPr>
    <w:rPr>
      <w:rFonts w:ascii="宋体" w:eastAsia="宋体" w:hAnsi="宋体" w:cs="宋体"/>
      <w:sz w:val="28"/>
      <w:szCs w:val="24"/>
    </w:rPr>
  </w:style>
  <w:style w:type="paragraph" w:customStyle="1" w:styleId="-1-">
    <w:name w:val="样式-1-"/>
    <w:basedOn w:val="aff2"/>
    <w:qFormat/>
    <w:pPr>
      <w:framePr w:wrap="around" w:vAnchor="text" w:hAnchor="margin" w:xAlign="center" w:y="1"/>
      <w:widowControl/>
    </w:pPr>
    <w:rPr>
      <w:rFonts w:ascii="仿宋_GB2312" w:eastAsia="宋体" w:hAnsi="Courier New" w:cs="Times New Roman"/>
      <w:kern w:val="0"/>
      <w:sz w:val="24"/>
      <w:szCs w:val="20"/>
    </w:rPr>
  </w:style>
  <w:style w:type="paragraph" w:customStyle="1" w:styleId="afffffffffffffffffb">
    <w:name w:val="正文编号小标题次"/>
    <w:basedOn w:val="a"/>
    <w:qFormat/>
    <w:pPr>
      <w:widowControl/>
      <w:kinsoku w:val="0"/>
      <w:autoSpaceDE w:val="0"/>
      <w:autoSpaceDN w:val="0"/>
      <w:adjustRightInd w:val="0"/>
      <w:snapToGrid w:val="0"/>
      <w:jc w:val="center"/>
    </w:pPr>
    <w:rPr>
      <w:rFonts w:ascii="宋体" w:eastAsia="宋体" w:hAnsi="宋体" w:cs="Times New Roman"/>
      <w:spacing w:val="10"/>
      <w:kern w:val="0"/>
      <w:sz w:val="24"/>
      <w:szCs w:val="24"/>
    </w:rPr>
  </w:style>
  <w:style w:type="paragraph" w:customStyle="1" w:styleId="3CharCharCharCharCharCharCharCharCharChar">
    <w:name w:val="3 Char Char Char Char Char Char Char Char Char Char"/>
    <w:basedOn w:val="a"/>
    <w:qFormat/>
    <w:rPr>
      <w:rFonts w:ascii="Times New Roman" w:eastAsia="宋体" w:hAnsi="Times New Roman" w:cs="Times New Roman"/>
      <w:sz w:val="24"/>
      <w:szCs w:val="24"/>
    </w:rPr>
  </w:style>
  <w:style w:type="paragraph" w:customStyle="1" w:styleId="1113">
    <w:name w:val="1.1.1标题"/>
    <w:next w:val="af5"/>
    <w:qFormat/>
    <w:pPr>
      <w:spacing w:line="500" w:lineRule="exact"/>
      <w:outlineLvl w:val="2"/>
    </w:pPr>
    <w:rPr>
      <w:rFonts w:ascii="Times New Roman" w:eastAsia="黑体" w:hAnsi="Times New Roman" w:cs="Times New Roman"/>
      <w:kern w:val="2"/>
      <w:sz w:val="28"/>
      <w:szCs w:val="28"/>
    </w:rPr>
  </w:style>
  <w:style w:type="paragraph" w:customStyle="1" w:styleId="myformatcontentChar">
    <w:name w:val="myformat_content Char"/>
    <w:basedOn w:val="a"/>
    <w:qFormat/>
    <w:pPr>
      <w:spacing w:beforeLines="50" w:before="156" w:afterLines="50" w:after="156" w:line="360" w:lineRule="exact"/>
      <w:ind w:firstLineChars="200" w:firstLine="480"/>
    </w:pPr>
    <w:rPr>
      <w:rFonts w:ascii="Times New Roman" w:eastAsia="宋体" w:hAnsi="Times New Roman" w:cs="Times New Roman"/>
      <w:sz w:val="24"/>
      <w:szCs w:val="20"/>
    </w:rPr>
  </w:style>
  <w:style w:type="paragraph" w:customStyle="1" w:styleId="CharCharCharCharCharCharCharCharCharCharChar1CharCharCharCharCharChar1">
    <w:name w:val="Char Char Char Char Char Char Char Char Char Char Char1 Char Char Char Char Char Char1"/>
    <w:basedOn w:val="a"/>
    <w:qFormat/>
    <w:rPr>
      <w:rFonts w:ascii="Times New Roman" w:eastAsia="宋体" w:hAnsi="Times New Roman" w:cs="Times New Roman"/>
      <w:sz w:val="24"/>
      <w:szCs w:val="24"/>
    </w:rPr>
  </w:style>
  <w:style w:type="paragraph" w:customStyle="1" w:styleId="33Char3CharCharCharCharCharCharCharCharC2">
    <w:name w:val="样式 标题 3标题 3 Char标题 3 Char Char Char Char Char Char Char Char C...2"/>
    <w:basedOn w:val="3"/>
    <w:qFormat/>
    <w:pPr>
      <w:widowControl w:val="0"/>
      <w:tabs>
        <w:tab w:val="left" w:pos="720"/>
        <w:tab w:val="left" w:pos="1418"/>
      </w:tabs>
      <w:spacing w:before="0" w:after="0" w:line="360" w:lineRule="auto"/>
      <w:ind w:left="720" w:hanging="720"/>
      <w:jc w:val="both"/>
    </w:pPr>
    <w:rPr>
      <w:rFonts w:ascii="宋体" w:hAnsi="宋体" w:cs="宋体"/>
      <w:bCs w:val="0"/>
      <w:kern w:val="2"/>
      <w:sz w:val="28"/>
      <w:szCs w:val="20"/>
    </w:rPr>
  </w:style>
  <w:style w:type="paragraph" w:customStyle="1" w:styleId="Char4CharCharCharCharCharCharCharCharCharCharCharCharCharCharCharCharChar1CharCharCharChar">
    <w:name w:val="Char4 Char Char Char Char Char Char Char Char Char Char Char Char Char Char Char Char Char1 Char Char Char Char"/>
    <w:basedOn w:val="a"/>
    <w:qFormat/>
    <w:pPr>
      <w:spacing w:line="240" w:lineRule="exact"/>
      <w:ind w:firstLineChars="200" w:firstLine="200"/>
    </w:pPr>
    <w:rPr>
      <w:rFonts w:ascii="Times New Roman" w:eastAsia="宋体" w:hAnsi="Times New Roman" w:cs="Times New Roman"/>
      <w:sz w:val="28"/>
      <w:szCs w:val="28"/>
    </w:rPr>
  </w:style>
  <w:style w:type="paragraph" w:customStyle="1" w:styleId="dintroduce">
    <w:name w:val="dintroduce"/>
    <w:basedOn w:val="a"/>
    <w:qFormat/>
    <w:pPr>
      <w:widowControl/>
      <w:spacing w:before="100" w:beforeAutospacing="1" w:after="100" w:afterAutospacing="1" w:line="300" w:lineRule="atLeast"/>
      <w:jc w:val="left"/>
    </w:pPr>
    <w:rPr>
      <w:rFonts w:ascii="宋体" w:eastAsia="宋体" w:hAnsi="宋体" w:cs="宋体"/>
      <w:kern w:val="0"/>
      <w:sz w:val="20"/>
      <w:szCs w:val="20"/>
    </w:rPr>
  </w:style>
  <w:style w:type="paragraph" w:customStyle="1" w:styleId="-11">
    <w:name w:val="框图-1"/>
    <w:basedOn w:val="a"/>
    <w:qFormat/>
    <w:pPr>
      <w:jc w:val="center"/>
    </w:pPr>
    <w:rPr>
      <w:rFonts w:ascii="Times New Roman" w:eastAsia="仿宋_GB2312" w:hAnsi="Times New Roman" w:cs="宋体"/>
      <w:kern w:val="0"/>
      <w:szCs w:val="20"/>
    </w:rPr>
  </w:style>
  <w:style w:type="paragraph" w:customStyle="1" w:styleId="CharChar2CharCharCharCharCharChar3">
    <w:name w:val="Char Char2 Char Char Char Char Char Char3"/>
    <w:basedOn w:val="a"/>
    <w:qFormat/>
    <w:pPr>
      <w:spacing w:line="480" w:lineRule="exact"/>
    </w:pPr>
    <w:rPr>
      <w:rFonts w:ascii="Times New Roman" w:eastAsia="宋体" w:hAnsi="Times New Roman" w:cs="Times New Roman"/>
      <w:sz w:val="22"/>
      <w:szCs w:val="24"/>
    </w:rPr>
  </w:style>
  <w:style w:type="paragraph" w:customStyle="1" w:styleId="xl45">
    <w:name w:val="xl45"/>
    <w:basedOn w:val="a"/>
    <w:qFormat/>
    <w:pPr>
      <w:widowControl/>
      <w:pBdr>
        <w:bottom w:val="single" w:sz="12" w:space="0" w:color="auto"/>
        <w:right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CharChar1CharCharChar1CharCharChar1Char">
    <w:name w:val="Char Char Char1 Char Char Char1 Char Char Char1 Char"/>
    <w:basedOn w:val="a"/>
    <w:qFormat/>
    <w:pPr>
      <w:spacing w:line="400" w:lineRule="exact"/>
      <w:ind w:firstLineChars="200" w:firstLine="200"/>
    </w:pPr>
    <w:rPr>
      <w:rFonts w:ascii="Times New Roman" w:eastAsia="宋体" w:hAnsi="Times New Roman" w:cs="Times New Roman"/>
      <w:sz w:val="28"/>
      <w:szCs w:val="28"/>
    </w:rPr>
  </w:style>
  <w:style w:type="paragraph" w:customStyle="1" w:styleId="pa-2">
    <w:name w:val="pa-2"/>
    <w:basedOn w:val="a"/>
    <w:qFormat/>
    <w:pPr>
      <w:widowControl/>
      <w:spacing w:before="150" w:after="150"/>
      <w:jc w:val="left"/>
    </w:pPr>
    <w:rPr>
      <w:rFonts w:ascii="宋体" w:eastAsia="宋体" w:hAnsi="宋体" w:cs="宋体"/>
      <w:kern w:val="0"/>
      <w:sz w:val="24"/>
      <w:szCs w:val="24"/>
    </w:rPr>
  </w:style>
  <w:style w:type="paragraph" w:customStyle="1" w:styleId="11H1SectionHeadHeader1h11stlevell1Heading03">
    <w:name w:val="样式 标题 1章标题 1H1Section HeadHeader1h11st levell1Heading 0...3"/>
    <w:basedOn w:val="1"/>
    <w:qFormat/>
    <w:pPr>
      <w:keepNext/>
      <w:tabs>
        <w:tab w:val="left" w:pos="425"/>
      </w:tabs>
      <w:spacing w:before="0" w:line="360" w:lineRule="auto"/>
      <w:ind w:left="425" w:hanging="425"/>
      <w:jc w:val="both"/>
    </w:pPr>
    <w:rPr>
      <w:rFonts w:eastAsia="宋体" w:hAnsi="宋体" w:cs="宋体"/>
      <w:b w:val="0"/>
      <w:color w:val="000000"/>
      <w:kern w:val="2"/>
      <w:sz w:val="32"/>
      <w:szCs w:val="20"/>
      <w:lang w:eastAsia="zh-CN"/>
    </w:rPr>
  </w:style>
  <w:style w:type="paragraph" w:customStyle="1" w:styleId="xl190">
    <w:name w:val="xl190"/>
    <w:basedOn w:val="a"/>
    <w:qFormat/>
    <w:pPr>
      <w:widowControl/>
      <w:pBdr>
        <w:top w:val="single" w:sz="12" w:space="0" w:color="auto"/>
      </w:pBdr>
      <w:spacing w:before="100" w:beforeAutospacing="1" w:after="100" w:afterAutospacing="1"/>
      <w:jc w:val="left"/>
    </w:pPr>
    <w:rPr>
      <w:rFonts w:ascii="Arial Unicode MS" w:eastAsia="宋体" w:hAnsi="Arial Unicode MS" w:cs="Times New Roman"/>
      <w:kern w:val="0"/>
      <w:sz w:val="12"/>
      <w:szCs w:val="12"/>
    </w:rPr>
  </w:style>
  <w:style w:type="paragraph" w:customStyle="1" w:styleId="xl177">
    <w:name w:val="xl177"/>
    <w:basedOn w:val="a"/>
    <w:qFormat/>
    <w:pPr>
      <w:widowControl/>
      <w:pBdr>
        <w:lef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text-black">
    <w:name w:val="text-black"/>
    <w:basedOn w:val="a"/>
    <w:qFormat/>
    <w:pPr>
      <w:widowControl/>
      <w:spacing w:before="100" w:beforeAutospacing="1" w:after="100" w:afterAutospacing="1" w:line="384" w:lineRule="atLeast"/>
      <w:jc w:val="left"/>
    </w:pPr>
    <w:rPr>
      <w:rFonts w:ascii="ˎ̥" w:eastAsia="宋体" w:hAnsi="ˎ̥" w:cs="宋体"/>
      <w:color w:val="000000"/>
      <w:kern w:val="0"/>
      <w:sz w:val="20"/>
      <w:szCs w:val="20"/>
    </w:rPr>
  </w:style>
  <w:style w:type="paragraph" w:customStyle="1" w:styleId="BulletIndent">
    <w:name w:val="Bullet_Indent"/>
    <w:basedOn w:val="a"/>
    <w:qFormat/>
    <w:pPr>
      <w:widowControl/>
      <w:spacing w:after="240"/>
      <w:ind w:left="1440" w:hanging="720"/>
      <w:jc w:val="left"/>
    </w:pPr>
    <w:rPr>
      <w:rFonts w:ascii="Times New Roman" w:eastAsia="宋体" w:hAnsi="Times New Roman" w:cs="Times New Roman"/>
      <w:kern w:val="0"/>
      <w:sz w:val="24"/>
      <w:szCs w:val="20"/>
    </w:rPr>
  </w:style>
  <w:style w:type="paragraph" w:customStyle="1" w:styleId="20620042">
    <w:name w:val="样式 样式 标题 2 + 首行缩进:  0.62 字符 段前: 0 磅 段后: 0 磅 + 首行缩进:  4 字符2"/>
    <w:basedOn w:val="a"/>
    <w:qFormat/>
    <w:pPr>
      <w:keepLines/>
      <w:spacing w:line="480" w:lineRule="exact"/>
      <w:ind w:firstLineChars="200" w:firstLine="200"/>
      <w:jc w:val="left"/>
      <w:outlineLvl w:val="1"/>
    </w:pPr>
    <w:rPr>
      <w:rFonts w:ascii="Times New Roman" w:eastAsia="文鼎CS大宋" w:hAnsi="Times New Roman" w:cs="宋体"/>
      <w:color w:val="000000"/>
      <w:sz w:val="28"/>
      <w:szCs w:val="20"/>
    </w:rPr>
  </w:style>
  <w:style w:type="paragraph" w:customStyle="1" w:styleId="xl157">
    <w:name w:val="xl157"/>
    <w:basedOn w:val="a"/>
    <w:qFormat/>
    <w:pPr>
      <w:widowControl/>
      <w:pBdr>
        <w:left w:val="single" w:sz="4" w:space="0" w:color="auto"/>
        <w:bottom w:val="single" w:sz="4" w:space="0" w:color="auto"/>
        <w:right w:val="single" w:sz="4" w:space="0" w:color="auto"/>
      </w:pBdr>
      <w:spacing w:before="100" w:beforeAutospacing="1" w:after="100" w:afterAutospacing="1"/>
      <w:jc w:val="left"/>
    </w:pPr>
    <w:rPr>
      <w:rFonts w:ascii="Arial Unicode MS" w:eastAsia="宋体" w:hAnsi="Arial Unicode MS" w:cs="Times New Roman"/>
      <w:kern w:val="0"/>
      <w:sz w:val="20"/>
      <w:szCs w:val="20"/>
    </w:rPr>
  </w:style>
  <w:style w:type="paragraph" w:customStyle="1" w:styleId="xl151">
    <w:name w:val="xl151"/>
    <w:basedOn w:val="a"/>
    <w:qFormat/>
    <w:pPr>
      <w:widowControl/>
      <w:spacing w:before="100" w:beforeAutospacing="1" w:after="100" w:afterAutospacing="1"/>
      <w:jc w:val="left"/>
    </w:pPr>
    <w:rPr>
      <w:rFonts w:ascii="Times New Roman" w:eastAsia="宋体" w:hAnsi="Times New Roman" w:cs="Times New Roman"/>
      <w:kern w:val="0"/>
      <w:sz w:val="16"/>
      <w:szCs w:val="16"/>
    </w:rPr>
  </w:style>
  <w:style w:type="paragraph" w:customStyle="1" w:styleId="CharCharChar1Char4">
    <w:name w:val="Char Char Char1 Char4"/>
    <w:basedOn w:val="2"/>
    <w:qFormat/>
    <w:pPr>
      <w:keepNext w:val="0"/>
      <w:keepLines w:val="0"/>
      <w:widowControl/>
      <w:spacing w:before="0" w:after="0" w:line="520" w:lineRule="exact"/>
    </w:pPr>
    <w:rPr>
      <w:rFonts w:ascii="Times New Roman" w:eastAsia="宋体" w:hAnsi="Times New Roman" w:cs="Times New Roman"/>
      <w:kern w:val="0"/>
      <w:sz w:val="28"/>
      <w:szCs w:val="28"/>
    </w:rPr>
  </w:style>
  <w:style w:type="paragraph" w:customStyle="1" w:styleId="2ffffd">
    <w:name w:val="正文首行缩进2"/>
    <w:basedOn w:val="a"/>
    <w:qFormat/>
    <w:pPr>
      <w:spacing w:line="500" w:lineRule="atLeast"/>
      <w:ind w:firstLine="560"/>
    </w:pPr>
    <w:rPr>
      <w:rFonts w:ascii="Times New Roman" w:eastAsia="宋体" w:hAnsi="Times New Roman" w:cs="Times New Roman"/>
      <w:sz w:val="28"/>
      <w:szCs w:val="20"/>
    </w:rPr>
  </w:style>
  <w:style w:type="paragraph" w:customStyle="1" w:styleId="afffffffffffffffffc">
    <w:name w:val="附录五级条标题"/>
    <w:basedOn w:val="afffffffffffffffffd"/>
    <w:next w:val="affffc"/>
    <w:qFormat/>
    <w:pPr>
      <w:tabs>
        <w:tab w:val="left" w:pos="435"/>
      </w:tabs>
      <w:ind w:left="435" w:hanging="165"/>
      <w:outlineLvl w:val="6"/>
    </w:pPr>
  </w:style>
  <w:style w:type="paragraph" w:customStyle="1" w:styleId="afffffffffffffffffd">
    <w:name w:val="附录四级条标题"/>
    <w:basedOn w:val="affffffffffffb"/>
    <w:next w:val="affffc"/>
    <w:qFormat/>
    <w:pPr>
      <w:tabs>
        <w:tab w:val="left" w:pos="960"/>
      </w:tabs>
      <w:ind w:left="960"/>
      <w:outlineLvl w:val="5"/>
    </w:pPr>
  </w:style>
  <w:style w:type="paragraph" w:customStyle="1" w:styleId="Style30">
    <w:name w:val="Style3"/>
    <w:basedOn w:val="1"/>
    <w:next w:val="Style20"/>
    <w:qFormat/>
    <w:pPr>
      <w:keepNext/>
      <w:keepLines/>
      <w:tabs>
        <w:tab w:val="left" w:pos="425"/>
        <w:tab w:val="left" w:pos="480"/>
      </w:tabs>
      <w:adjustRightInd w:val="0"/>
      <w:spacing w:before="340" w:after="120"/>
      <w:ind w:left="120"/>
      <w:textAlignment w:val="baseline"/>
    </w:pPr>
    <w:rPr>
      <w:rFonts w:eastAsia="宋体" w:cs="Times New Roman"/>
      <w:bCs w:val="0"/>
      <w:kern w:val="44"/>
      <w:sz w:val="44"/>
      <w:szCs w:val="20"/>
      <w:lang w:eastAsia="zh-CN"/>
    </w:rPr>
  </w:style>
  <w:style w:type="paragraph" w:customStyle="1" w:styleId="Style20">
    <w:name w:val="Style2"/>
    <w:basedOn w:val="1"/>
    <w:qFormat/>
    <w:pPr>
      <w:keepNext/>
      <w:keepLines/>
      <w:tabs>
        <w:tab w:val="left" w:pos="425"/>
        <w:tab w:val="left" w:pos="480"/>
      </w:tabs>
      <w:adjustRightInd w:val="0"/>
      <w:spacing w:before="340" w:after="120"/>
      <w:ind w:left="120"/>
      <w:textAlignment w:val="baseline"/>
    </w:pPr>
    <w:rPr>
      <w:rFonts w:ascii="宋体" w:eastAsia="宋体" w:hAnsi="宋体" w:cs="Times New Roman"/>
      <w:bCs w:val="0"/>
      <w:kern w:val="44"/>
      <w:sz w:val="36"/>
      <w:szCs w:val="20"/>
      <w:lang w:eastAsia="zh-CN"/>
    </w:rPr>
  </w:style>
  <w:style w:type="paragraph" w:customStyle="1" w:styleId="CharCharCharCharCharCharCharCharChar1CharCharCharCharCharCharCharChar1CharCharChar">
    <w:name w:val="Char Char Char Char Char Char Char Char Char1 Char Char Char Char Char Char Char Char1 Char Char Char"/>
    <w:basedOn w:val="a"/>
    <w:qFormat/>
    <w:pPr>
      <w:snapToGrid w:val="0"/>
      <w:spacing w:line="360" w:lineRule="auto"/>
      <w:ind w:firstLineChars="200" w:firstLine="200"/>
    </w:pPr>
    <w:rPr>
      <w:rFonts w:ascii="Times New Roman" w:eastAsia="仿宋_GB2312" w:hAnsi="Times New Roman" w:cs="Times New Roman"/>
      <w:sz w:val="24"/>
      <w:szCs w:val="24"/>
    </w:rPr>
  </w:style>
  <w:style w:type="paragraph" w:customStyle="1" w:styleId="afffffffffffffffffe">
    <w:name w:val="简单回函地址"/>
    <w:basedOn w:val="a"/>
    <w:qFormat/>
    <w:pPr>
      <w:adjustRightInd w:val="0"/>
    </w:pPr>
    <w:rPr>
      <w:rFonts w:ascii="Times New Roman" w:eastAsia="宋体" w:hAnsi="Times New Roman" w:cs="Times New Roman"/>
      <w:szCs w:val="20"/>
    </w:rPr>
  </w:style>
  <w:style w:type="paragraph" w:customStyle="1" w:styleId="1fffff2">
    <w:name w:val="列出段落1"/>
    <w:basedOn w:val="a"/>
    <w:qFormat/>
    <w:pPr>
      <w:ind w:firstLineChars="200" w:firstLine="420"/>
    </w:pPr>
    <w:rPr>
      <w:rFonts w:ascii="Calibri" w:eastAsia="宋体" w:hAnsi="Calibri" w:cs="Times New Roman"/>
    </w:rPr>
  </w:style>
  <w:style w:type="paragraph" w:customStyle="1" w:styleId="CharCharCharCharCharCharCharCharCharCharCharCharCharChar">
    <w:name w:val="Char Char Char Char Char Char Char Char Char Char Char Char Char Char"/>
    <w:basedOn w:val="a"/>
    <w:qFormat/>
    <w:rPr>
      <w:rFonts w:ascii="Times New Roman" w:eastAsia="宋体" w:hAnsi="Times New Roman" w:cs="Times New Roman"/>
      <w:sz w:val="24"/>
      <w:szCs w:val="24"/>
    </w:rPr>
  </w:style>
  <w:style w:type="paragraph" w:customStyle="1" w:styleId="CharCharCharCharCharCharCharCharChar1CharCharCharChar8">
    <w:name w:val="Char Char Char Char Char Char Char Char Char1 Char Char Char Char8"/>
    <w:basedOn w:val="a"/>
    <w:qFormat/>
    <w:rPr>
      <w:rFonts w:ascii="Times New Roman" w:eastAsia="宋体" w:hAnsi="Times New Roman" w:cs="Times New Roman"/>
      <w:szCs w:val="21"/>
    </w:rPr>
  </w:style>
  <w:style w:type="paragraph" w:customStyle="1" w:styleId="font24">
    <w:name w:val="font24"/>
    <w:basedOn w:val="a"/>
    <w:qFormat/>
    <w:pPr>
      <w:widowControl/>
      <w:spacing w:before="100" w:beforeAutospacing="1" w:after="100" w:afterAutospacing="1"/>
      <w:jc w:val="left"/>
    </w:pPr>
    <w:rPr>
      <w:rFonts w:ascii="Times New Roman" w:eastAsia="宋体" w:hAnsi="Times New Roman" w:cs="Times New Roman"/>
      <w:color w:val="339966"/>
      <w:kern w:val="0"/>
      <w:sz w:val="18"/>
      <w:szCs w:val="18"/>
    </w:rPr>
  </w:style>
  <w:style w:type="paragraph" w:customStyle="1" w:styleId="2ffffe">
    <w:name w:val="框图格式2"/>
    <w:basedOn w:val="a"/>
    <w:semiHidden/>
    <w:qFormat/>
    <w:rPr>
      <w:rFonts w:ascii="Times New Roman" w:eastAsia="宋体" w:hAnsi="Times New Roman" w:cs="Times New Roman"/>
      <w:sz w:val="18"/>
      <w:szCs w:val="24"/>
    </w:rPr>
  </w:style>
  <w:style w:type="paragraph" w:customStyle="1" w:styleId="2fffff">
    <w:name w:val="正文2"/>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CharCharChar1CharCharCharCharCharCharCharCharCharChar4">
    <w:name w:val="Char Char Char1 Char Char Char Char Char Char Char Char Char Char4"/>
    <w:basedOn w:val="a"/>
    <w:qFormat/>
    <w:rPr>
      <w:rFonts w:ascii="Times New Roman" w:eastAsia="宋体" w:hAnsi="Times New Roman" w:cs="Times New Roman"/>
      <w:szCs w:val="20"/>
    </w:rPr>
  </w:style>
  <w:style w:type="paragraph" w:customStyle="1" w:styleId="Char200">
    <w:name w:val="Char20"/>
    <w:basedOn w:val="a"/>
    <w:qFormat/>
    <w:rPr>
      <w:rFonts w:ascii="Times New Roman" w:eastAsia="宋体" w:hAnsi="Times New Roman" w:cs="Times New Roman"/>
      <w:sz w:val="24"/>
      <w:szCs w:val="24"/>
    </w:rPr>
  </w:style>
  <w:style w:type="paragraph" w:customStyle="1" w:styleId="TOCHeading1">
    <w:name w:val="TOC Heading1"/>
    <w:basedOn w:val="1"/>
    <w:next w:val="a"/>
    <w:qFormat/>
    <w:pPr>
      <w:keepNext/>
      <w:keepLines/>
      <w:widowControl/>
      <w:tabs>
        <w:tab w:val="left" w:pos="425"/>
        <w:tab w:val="left" w:pos="780"/>
      </w:tabs>
      <w:spacing w:before="480" w:line="276" w:lineRule="auto"/>
      <w:ind w:left="780" w:hanging="360"/>
      <w:outlineLvl w:val="9"/>
    </w:pPr>
    <w:rPr>
      <w:rFonts w:ascii="Cambria" w:eastAsia="宋体" w:hAnsi="Cambria" w:cs="Times New Roman"/>
      <w:color w:val="365F91"/>
      <w:sz w:val="28"/>
      <w:szCs w:val="28"/>
      <w:lang w:eastAsia="zh-CN"/>
    </w:rPr>
  </w:style>
  <w:style w:type="paragraph" w:customStyle="1" w:styleId="p2">
    <w:name w:val="p2"/>
    <w:basedOn w:val="a"/>
    <w:qFormat/>
    <w:pPr>
      <w:widowControl/>
      <w:spacing w:before="100" w:beforeAutospacing="1" w:after="100" w:afterAutospacing="1" w:line="419" w:lineRule="atLeast"/>
      <w:ind w:firstLine="335"/>
      <w:jc w:val="left"/>
    </w:pPr>
    <w:rPr>
      <w:rFonts w:ascii="宋体" w:eastAsia="宋体" w:hAnsi="宋体" w:cs="宋体"/>
      <w:kern w:val="0"/>
      <w:sz w:val="23"/>
      <w:szCs w:val="24"/>
    </w:rPr>
  </w:style>
  <w:style w:type="paragraph" w:customStyle="1" w:styleId="CharCharCharCharCharCharCharCharCharCharCharChar">
    <w:name w:val="Char Char Char Char Char Char Char Char Char Char Char Char"/>
    <w:basedOn w:val="a"/>
    <w:qFormat/>
    <w:rPr>
      <w:rFonts w:ascii="Times New Roman" w:eastAsia="宋体" w:hAnsi="Times New Roman" w:cs="Times New Roman"/>
      <w:sz w:val="24"/>
      <w:szCs w:val="24"/>
    </w:rPr>
  </w:style>
  <w:style w:type="paragraph" w:customStyle="1" w:styleId="155">
    <w:name w:val="样式 小四 加粗 行距: 1.5 倍行距"/>
    <w:basedOn w:val="a"/>
    <w:semiHidden/>
    <w:qFormat/>
    <w:pPr>
      <w:spacing w:line="360" w:lineRule="auto"/>
    </w:pPr>
    <w:rPr>
      <w:rFonts w:ascii="Times New Roman" w:eastAsia="宋体" w:hAnsi="Times New Roman" w:cs="宋体"/>
      <w:b/>
      <w:bCs/>
      <w:sz w:val="24"/>
      <w:szCs w:val="20"/>
    </w:rPr>
  </w:style>
  <w:style w:type="paragraph" w:customStyle="1" w:styleId="xl154">
    <w:name w:val="xl154"/>
    <w:basedOn w:val="a"/>
    <w:qFormat/>
    <w:pPr>
      <w:widowControl/>
      <w:pBdr>
        <w:left w:val="single" w:sz="12" w:space="0" w:color="auto"/>
        <w:bottom w:val="single" w:sz="8"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affffffffffffffffff">
    <w:name w:val="陈正"/>
    <w:basedOn w:val="a"/>
    <w:qFormat/>
    <w:pPr>
      <w:widowControl/>
      <w:snapToGrid w:val="0"/>
      <w:spacing w:beforeLines="50" w:before="156" w:afterLines="50" w:after="156" w:line="360" w:lineRule="auto"/>
      <w:ind w:firstLineChars="200" w:firstLine="560"/>
      <w:jc w:val="left"/>
    </w:pPr>
    <w:rPr>
      <w:rFonts w:ascii="宋体" w:eastAsia="宋体" w:hAnsi="宋体" w:cs="宋体"/>
      <w:kern w:val="0"/>
      <w:sz w:val="28"/>
      <w:szCs w:val="28"/>
      <w:lang w:val="zh-CN"/>
    </w:rPr>
  </w:style>
  <w:style w:type="paragraph" w:customStyle="1" w:styleId="puce">
    <w:name w:val="puce"/>
    <w:basedOn w:val="a"/>
    <w:qFormat/>
    <w:pPr>
      <w:widowControl/>
      <w:tabs>
        <w:tab w:val="left" w:pos="1114"/>
        <w:tab w:val="left" w:pos="1200"/>
      </w:tabs>
      <w:adjustRightInd w:val="0"/>
      <w:snapToGrid w:val="0"/>
      <w:spacing w:line="360" w:lineRule="auto"/>
      <w:ind w:firstLineChars="200" w:firstLine="480"/>
    </w:pPr>
    <w:rPr>
      <w:rFonts w:ascii="Arial" w:eastAsia="宋体" w:hAnsi="Arial" w:cs="Times New Roman"/>
      <w:color w:val="FF00FF"/>
      <w:kern w:val="0"/>
      <w:sz w:val="24"/>
      <w:szCs w:val="24"/>
    </w:rPr>
  </w:style>
  <w:style w:type="paragraph" w:customStyle="1" w:styleId="3H33CharChar3Char1113zymGB2312">
    <w:name w:val="样式 标题 3H3标题 3 Char Char标题 3 Char条标题1.1.1标题 3zym + 仿宋_GB2312"/>
    <w:basedOn w:val="3"/>
    <w:qFormat/>
    <w:pPr>
      <w:keepLines w:val="0"/>
      <w:widowControl w:val="0"/>
      <w:tabs>
        <w:tab w:val="left" w:pos="1418"/>
        <w:tab w:val="left" w:pos="2520"/>
      </w:tabs>
      <w:snapToGrid w:val="0"/>
      <w:spacing w:before="0" w:afterLines="50" w:after="120" w:line="360" w:lineRule="auto"/>
      <w:ind w:left="720" w:hanging="720"/>
      <w:jc w:val="both"/>
    </w:pPr>
    <w:rPr>
      <w:rFonts w:ascii="仿宋_GB2312" w:eastAsia="仿宋_GB2312" w:hAnsi="仿宋_GB2312"/>
      <w:bCs w:val="0"/>
      <w:kern w:val="2"/>
      <w:sz w:val="28"/>
      <w:szCs w:val="28"/>
    </w:rPr>
  </w:style>
  <w:style w:type="paragraph" w:customStyle="1" w:styleId="156">
    <w:name w:val="标题15"/>
    <w:basedOn w:val="a"/>
    <w:next w:val="a"/>
    <w:qFormat/>
    <w:pPr>
      <w:tabs>
        <w:tab w:val="left" w:pos="9193"/>
        <w:tab w:val="left" w:pos="9827"/>
      </w:tabs>
      <w:autoSpaceDE w:val="0"/>
      <w:autoSpaceDN w:val="0"/>
      <w:snapToGrid w:val="0"/>
      <w:spacing w:line="700" w:lineRule="atLeast"/>
      <w:jc w:val="center"/>
    </w:pPr>
    <w:rPr>
      <w:rFonts w:ascii="Times New Roman" w:eastAsia="方正小标宋_GBK" w:hAnsi="Times New Roman" w:cs="Times New Roman"/>
      <w:snapToGrid w:val="0"/>
      <w:kern w:val="0"/>
      <w:sz w:val="44"/>
      <w:szCs w:val="20"/>
    </w:rPr>
  </w:style>
  <w:style w:type="paragraph" w:customStyle="1" w:styleId="xl156">
    <w:name w:val="xl156"/>
    <w:basedOn w:val="a"/>
    <w:qFormat/>
    <w:pPr>
      <w:widowControl/>
      <w:pBdr>
        <w:left w:val="single" w:sz="4" w:space="0" w:color="auto"/>
        <w:right w:val="single" w:sz="4" w:space="0" w:color="auto"/>
      </w:pBdr>
      <w:spacing w:before="100" w:beforeAutospacing="1" w:after="100" w:afterAutospacing="1"/>
      <w:jc w:val="left"/>
    </w:pPr>
    <w:rPr>
      <w:rFonts w:ascii="Arial Unicode MS" w:eastAsia="宋体" w:hAnsi="Arial Unicode MS" w:cs="Times New Roman"/>
      <w:kern w:val="0"/>
      <w:sz w:val="20"/>
      <w:szCs w:val="20"/>
    </w:rPr>
  </w:style>
  <w:style w:type="paragraph" w:customStyle="1" w:styleId="141">
    <w:name w:val="样式 表格内容 + 小五 加粗 行距: 固定值 14 磅"/>
    <w:basedOn w:val="afffffffff7"/>
    <w:qFormat/>
    <w:pPr>
      <w:overflowPunct/>
      <w:adjustRightInd/>
      <w:spacing w:line="280" w:lineRule="exact"/>
      <w:textAlignment w:val="auto"/>
    </w:pPr>
    <w:rPr>
      <w:rFonts w:ascii="宋体" w:eastAsia="宋体" w:hAnsi="宋体" w:cs="宋体"/>
      <w:bCs/>
      <w:sz w:val="18"/>
    </w:rPr>
  </w:style>
  <w:style w:type="paragraph" w:customStyle="1" w:styleId="CharCharChar1Char2">
    <w:name w:val="Char Char Char1 Char2"/>
    <w:basedOn w:val="a"/>
    <w:qFormat/>
    <w:rPr>
      <w:rFonts w:ascii="Times New Roman" w:eastAsia="宋体" w:hAnsi="Times New Roman" w:cs="Times New Roman"/>
      <w:sz w:val="24"/>
      <w:szCs w:val="24"/>
    </w:rPr>
  </w:style>
  <w:style w:type="paragraph" w:customStyle="1" w:styleId="affffffffffffffffff0">
    <w:name w:val="文章总标题"/>
    <w:basedOn w:val="a"/>
    <w:next w:val="affffffffffffffb"/>
    <w:qFormat/>
    <w:pPr>
      <w:widowControl/>
      <w:spacing w:before="566" w:after="544" w:line="566" w:lineRule="atLeast"/>
      <w:jc w:val="center"/>
      <w:textAlignment w:val="baseline"/>
    </w:pPr>
    <w:rPr>
      <w:rFonts w:ascii="Arial" w:eastAsia="黑体" w:hAnsi="Times New Roman" w:cs="Times New Roman"/>
      <w:color w:val="000000"/>
      <w:kern w:val="0"/>
      <w:sz w:val="54"/>
      <w:szCs w:val="20"/>
    </w:rPr>
  </w:style>
  <w:style w:type="paragraph" w:customStyle="1" w:styleId="2fffff0">
    <w:name w:val="药标2"/>
    <w:basedOn w:val="2"/>
    <w:qFormat/>
    <w:pPr>
      <w:tabs>
        <w:tab w:val="left" w:pos="1419"/>
      </w:tabs>
      <w:adjustRightInd w:val="0"/>
      <w:spacing w:before="480" w:after="480" w:line="312" w:lineRule="atLeast"/>
      <w:jc w:val="left"/>
      <w:textAlignment w:val="baseline"/>
    </w:pPr>
    <w:rPr>
      <w:rFonts w:ascii="黑体" w:eastAsia="黑体" w:hAnsi="Arial" w:cs="Times New Roman"/>
      <w:b w:val="0"/>
      <w:bCs w:val="0"/>
      <w:kern w:val="0"/>
      <w:szCs w:val="20"/>
    </w:rPr>
  </w:style>
  <w:style w:type="paragraph" w:customStyle="1" w:styleId="1fffff3">
    <w:name w:val="日期1"/>
    <w:basedOn w:val="a"/>
    <w:next w:val="a"/>
    <w:qFormat/>
    <w:pPr>
      <w:adjustRightInd w:val="0"/>
      <w:textAlignment w:val="baseline"/>
    </w:pPr>
    <w:rPr>
      <w:rFonts w:ascii="Times New Roman" w:eastAsia="宋体" w:hAnsi="Times New Roman" w:cs="Times New Roman"/>
      <w:szCs w:val="20"/>
    </w:rPr>
  </w:style>
  <w:style w:type="paragraph" w:customStyle="1" w:styleId="3ffb">
    <w:name w:val="样式 标题 3 + (西文)粗体"/>
    <w:basedOn w:val="3"/>
    <w:qFormat/>
    <w:pPr>
      <w:widowControl w:val="0"/>
      <w:tabs>
        <w:tab w:val="left" w:pos="1418"/>
      </w:tabs>
      <w:jc w:val="both"/>
    </w:pPr>
    <w:rPr>
      <w:rFonts w:ascii="Arial" w:eastAsia="仿宋_GB2312" w:hAnsi="Arial" w:cs="Angsana New"/>
      <w:kern w:val="2"/>
      <w:sz w:val="24"/>
      <w:lang w:bidi="th-TH"/>
    </w:rPr>
  </w:style>
  <w:style w:type="paragraph" w:customStyle="1" w:styleId="0012">
    <w:name w:val="001"/>
    <w:basedOn w:val="a"/>
    <w:qFormat/>
    <w:pPr>
      <w:spacing w:line="360" w:lineRule="auto"/>
    </w:pPr>
    <w:rPr>
      <w:rFonts w:ascii="Times New Roman" w:eastAsia="华文中宋" w:hAnsi="Times New Roman" w:cs="Times New Roman"/>
      <w:sz w:val="28"/>
      <w:szCs w:val="28"/>
    </w:rPr>
  </w:style>
  <w:style w:type="paragraph" w:customStyle="1" w:styleId="CharCharfff5">
    <w:name w:val="文本匡小五号 Char Char"/>
    <w:semiHidden/>
    <w:qFormat/>
    <w:pPr>
      <w:jc w:val="center"/>
    </w:pPr>
    <w:rPr>
      <w:rFonts w:ascii="Times New Roman" w:eastAsia="仿宋_GB2312" w:hAnsi="Times New Roman" w:cs="Times New Roman"/>
      <w:sz w:val="18"/>
      <w:szCs w:val="24"/>
    </w:rPr>
  </w:style>
  <w:style w:type="paragraph" w:customStyle="1" w:styleId="affffffffffffffffff1">
    <w:name w:val="样式"/>
    <w:basedOn w:val="a"/>
    <w:next w:val="a"/>
    <w:qFormat/>
    <w:pPr>
      <w:ind w:firstLine="420"/>
    </w:pPr>
    <w:rPr>
      <w:rFonts w:ascii="宋体" w:eastAsia="宋体" w:hAnsi="Arial Black" w:cs="宋体"/>
      <w:sz w:val="24"/>
      <w:szCs w:val="24"/>
    </w:rPr>
  </w:style>
  <w:style w:type="paragraph" w:customStyle="1" w:styleId="xl47">
    <w:name w:val="xl47"/>
    <w:basedOn w:val="a"/>
    <w:qFormat/>
    <w:pPr>
      <w:widowControl/>
      <w:pBdr>
        <w:top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227">
    <w:name w:val="正文文本 22"/>
    <w:basedOn w:val="a"/>
    <w:qFormat/>
    <w:pPr>
      <w:autoSpaceDE w:val="0"/>
      <w:autoSpaceDN w:val="0"/>
      <w:adjustRightInd w:val="0"/>
      <w:spacing w:line="360" w:lineRule="atLeast"/>
      <w:ind w:firstLine="425"/>
    </w:pPr>
    <w:rPr>
      <w:rFonts w:ascii="宋体" w:eastAsia="宋体" w:hAnsi="Tms Rmn" w:cs="Times New Roman"/>
      <w:kern w:val="0"/>
      <w:sz w:val="28"/>
      <w:szCs w:val="20"/>
    </w:rPr>
  </w:style>
  <w:style w:type="paragraph" w:customStyle="1" w:styleId="3ffc">
    <w:name w:val="列表段落3"/>
    <w:basedOn w:val="a"/>
    <w:qFormat/>
    <w:pPr>
      <w:ind w:firstLineChars="200" w:firstLine="420"/>
    </w:pPr>
    <w:rPr>
      <w:rFonts w:ascii="Calibri" w:eastAsia="宋体" w:hAnsi="Calibri" w:cs="Times New Roman"/>
    </w:rPr>
  </w:style>
  <w:style w:type="paragraph" w:customStyle="1" w:styleId="affffffffffffffffff2">
    <w:name w:val="表格文本 小五 居中"/>
    <w:basedOn w:val="a"/>
    <w:qFormat/>
    <w:pPr>
      <w:adjustRightInd w:val="0"/>
      <w:snapToGrid w:val="0"/>
      <w:jc w:val="center"/>
    </w:pPr>
    <w:rPr>
      <w:rFonts w:ascii="Times New Roman" w:eastAsia="宋体" w:hAnsi="Times New Roman" w:cs="宋体"/>
      <w:szCs w:val="21"/>
    </w:rPr>
  </w:style>
  <w:style w:type="paragraph" w:customStyle="1" w:styleId="B3">
    <w:name w:val="标题B"/>
    <w:basedOn w:val="a"/>
    <w:qFormat/>
    <w:pPr>
      <w:spacing w:beforeLines="50" w:before="50" w:afterLines="50" w:after="50" w:line="420" w:lineRule="exact"/>
    </w:pPr>
    <w:rPr>
      <w:rFonts w:ascii="Times New Roman" w:eastAsia="黑体" w:hAnsi="Times New Roman" w:cs="Times New Roman"/>
      <w:sz w:val="32"/>
      <w:szCs w:val="24"/>
    </w:rPr>
  </w:style>
  <w:style w:type="paragraph" w:customStyle="1" w:styleId="affffffffffffffffff3">
    <w:name w:val="封面标准文稿编辑信息"/>
    <w:qFormat/>
    <w:pPr>
      <w:spacing w:before="180" w:line="180" w:lineRule="exact"/>
      <w:jc w:val="center"/>
    </w:pPr>
    <w:rPr>
      <w:rFonts w:ascii="宋体" w:eastAsia="宋体" w:hAnsi="Times New Roman" w:cs="Times New Roman"/>
      <w:sz w:val="21"/>
    </w:rPr>
  </w:style>
  <w:style w:type="paragraph" w:customStyle="1" w:styleId="CharCharCharCharCharCharCharCharChar1CharCharCharChar">
    <w:name w:val="Char Char Char Char Char Char Char Char Char1 Char Char Char Char"/>
    <w:basedOn w:val="a"/>
    <w:qFormat/>
    <w:rPr>
      <w:rFonts w:ascii="Times New Roman" w:eastAsia="宋体" w:hAnsi="Times New Roman" w:cs="Times New Roman"/>
      <w:szCs w:val="21"/>
    </w:rPr>
  </w:style>
  <w:style w:type="paragraph" w:customStyle="1" w:styleId="ParaCharCharCharCharCharCharCharCharCharCharCharCharChar">
    <w:name w:val="默认段落字体 Para Char Char Char Char Char Char Char Char Char Char Char Char Char"/>
    <w:basedOn w:val="a"/>
    <w:qFormat/>
    <w:rPr>
      <w:rFonts w:ascii="Times New Roman" w:eastAsia="宋体" w:hAnsi="Times New Roman" w:cs="Times New Roman"/>
      <w:sz w:val="24"/>
      <w:szCs w:val="24"/>
    </w:rPr>
  </w:style>
  <w:style w:type="paragraph" w:customStyle="1" w:styleId="p16">
    <w:name w:val="p16"/>
    <w:basedOn w:val="a"/>
    <w:qFormat/>
    <w:pPr>
      <w:widowControl/>
      <w:spacing w:line="320" w:lineRule="atLeast"/>
      <w:jc w:val="center"/>
    </w:pPr>
    <w:rPr>
      <w:rFonts w:ascii="宋体" w:eastAsia="宋体" w:hAnsi="宋体" w:cs="宋体"/>
      <w:kern w:val="0"/>
      <w:szCs w:val="21"/>
    </w:rPr>
  </w:style>
  <w:style w:type="paragraph" w:customStyle="1" w:styleId="affffffffffffffffff4">
    <w:name w:val="奉读大示，心折殊深。"/>
    <w:qFormat/>
    <w:pPr>
      <w:widowControl w:val="0"/>
      <w:jc w:val="both"/>
    </w:pPr>
    <w:rPr>
      <w:rFonts w:ascii="Times New Roman" w:eastAsia="宋体" w:hAnsi="Times New Roman" w:cs="Times New Roman"/>
      <w:kern w:val="2"/>
      <w:sz w:val="21"/>
    </w:rPr>
  </w:style>
  <w:style w:type="paragraph" w:customStyle="1" w:styleId="xl82">
    <w:name w:val="xl82"/>
    <w:basedOn w:val="a"/>
    <w:qFormat/>
    <w:pPr>
      <w:widowControl/>
      <w:pBdr>
        <w:left w:val="single" w:sz="12" w:space="0" w:color="auto"/>
        <w:bottom w:val="single" w:sz="12" w:space="0" w:color="auto"/>
      </w:pBdr>
      <w:spacing w:before="100" w:beforeAutospacing="1" w:after="100" w:afterAutospacing="1"/>
      <w:jc w:val="right"/>
    </w:pPr>
    <w:rPr>
      <w:rFonts w:ascii="Arial Unicode MS" w:eastAsia="宋体" w:hAnsi="Arial Unicode MS" w:cs="Times New Roman"/>
      <w:kern w:val="0"/>
      <w:sz w:val="12"/>
      <w:szCs w:val="12"/>
    </w:rPr>
  </w:style>
  <w:style w:type="paragraph" w:customStyle="1" w:styleId="font15">
    <w:name w:val="font15"/>
    <w:basedOn w:val="a"/>
    <w:qFormat/>
    <w:pPr>
      <w:widowControl/>
      <w:spacing w:before="100" w:beforeAutospacing="1" w:after="100" w:afterAutospacing="1"/>
      <w:jc w:val="left"/>
    </w:pPr>
    <w:rPr>
      <w:rFonts w:ascii="Times New Roman" w:eastAsia="宋体" w:hAnsi="Times New Roman" w:cs="Times New Roman"/>
      <w:color w:val="FF00FF"/>
      <w:kern w:val="0"/>
      <w:sz w:val="18"/>
      <w:szCs w:val="18"/>
    </w:rPr>
  </w:style>
  <w:style w:type="paragraph" w:customStyle="1" w:styleId="affffffffffffffffff5">
    <w:name w:val="左侧"/>
    <w:semiHidden/>
    <w:qFormat/>
    <w:pPr>
      <w:spacing w:line="280" w:lineRule="exact"/>
      <w:jc w:val="center"/>
    </w:pPr>
    <w:rPr>
      <w:rFonts w:ascii="Batang" w:eastAsia="宋体" w:hAnsi="Batang" w:cs="Times New Roman"/>
      <w:color w:val="000000"/>
      <w:sz w:val="21"/>
    </w:rPr>
  </w:style>
  <w:style w:type="paragraph" w:customStyle="1" w:styleId="affffffffffffffffff6">
    <w:name w:val="正文内容"/>
    <w:basedOn w:val="a"/>
    <w:qFormat/>
    <w:pPr>
      <w:adjustRightInd w:val="0"/>
      <w:snapToGrid w:val="0"/>
      <w:spacing w:line="360" w:lineRule="auto"/>
      <w:ind w:firstLineChars="200" w:firstLine="510"/>
      <w:jc w:val="left"/>
    </w:pPr>
    <w:rPr>
      <w:rFonts w:ascii="宋体" w:eastAsia="仿宋_GB2312" w:hAnsi="宋体" w:cs="Times New Roman"/>
      <w:spacing w:val="4"/>
      <w:kern w:val="0"/>
      <w:sz w:val="24"/>
      <w:szCs w:val="20"/>
    </w:rPr>
  </w:style>
  <w:style w:type="paragraph" w:customStyle="1" w:styleId="00000000000000">
    <w:name w:val="00000000000000"/>
    <w:basedOn w:val="2"/>
    <w:qFormat/>
    <w:pPr>
      <w:keepNext w:val="0"/>
      <w:keepLines w:val="0"/>
      <w:tabs>
        <w:tab w:val="left" w:pos="1419"/>
      </w:tabs>
      <w:adjustRightInd w:val="0"/>
      <w:snapToGrid w:val="0"/>
      <w:spacing w:before="0" w:after="0" w:line="360" w:lineRule="auto"/>
      <w:ind w:firstLineChars="200" w:firstLine="480"/>
      <w:outlineLvl w:val="9"/>
    </w:pPr>
    <w:rPr>
      <w:rFonts w:ascii="宋体" w:eastAsia="宋体" w:hAnsi="宋体" w:cs="Times New Roman"/>
      <w:b w:val="0"/>
      <w:bCs w:val="0"/>
      <w:kern w:val="18"/>
      <w:sz w:val="24"/>
      <w:szCs w:val="20"/>
    </w:rPr>
  </w:style>
  <w:style w:type="paragraph" w:customStyle="1" w:styleId="Char1ff">
    <w:name w:val="Char1"/>
    <w:basedOn w:val="a"/>
    <w:qFormat/>
    <w:rPr>
      <w:rFonts w:ascii="Times New Roman" w:eastAsia="宋体" w:hAnsi="Times New Roman" w:cs="Times New Roman"/>
      <w:szCs w:val="21"/>
    </w:rPr>
  </w:style>
  <w:style w:type="paragraph" w:customStyle="1" w:styleId="NewNewNewNewNewNewNewNewNewNewNewNewNewNewNewNewNewNewNewNewNew">
    <w:name w:val="正文 New New New New New New New New New New New New New New New New New New New New New"/>
    <w:qFormat/>
    <w:pPr>
      <w:widowControl w:val="0"/>
      <w:jc w:val="both"/>
    </w:pPr>
    <w:rPr>
      <w:rFonts w:ascii="Times New Roman" w:eastAsia="宋体" w:hAnsi="Times New Roman" w:cs="Times New Roman"/>
      <w:kern w:val="2"/>
      <w:sz w:val="21"/>
      <w:szCs w:val="24"/>
    </w:rPr>
  </w:style>
  <w:style w:type="paragraph" w:customStyle="1" w:styleId="2fffff1">
    <w:name w:val="样式 调研标题2 + 非加粗"/>
    <w:basedOn w:val="a"/>
    <w:qFormat/>
    <w:pPr>
      <w:keepNext/>
      <w:keepLines/>
      <w:snapToGrid w:val="0"/>
      <w:spacing w:before="240" w:after="120" w:line="360" w:lineRule="exact"/>
      <w:outlineLvl w:val="1"/>
    </w:pPr>
    <w:rPr>
      <w:rFonts w:ascii="Arial" w:eastAsia="宋体" w:hAnsi="Arial" w:cs="宋体"/>
      <w:b/>
      <w:bCs/>
      <w:color w:val="000000"/>
      <w:sz w:val="28"/>
      <w:szCs w:val="32"/>
    </w:rPr>
  </w:style>
  <w:style w:type="paragraph" w:customStyle="1" w:styleId="180">
    <w:name w:val="18"/>
    <w:qFormat/>
    <w:pPr>
      <w:widowControl w:val="0"/>
      <w:jc w:val="both"/>
    </w:pPr>
    <w:rPr>
      <w:rFonts w:ascii="Times New Roman" w:eastAsia="宋体" w:hAnsi="Times New Roman" w:cs="Times New Roman"/>
      <w:kern w:val="2"/>
      <w:sz w:val="21"/>
      <w:szCs w:val="24"/>
    </w:rPr>
  </w:style>
  <w:style w:type="paragraph" w:customStyle="1" w:styleId="a10">
    <w:name w:val="a1"/>
    <w:basedOn w:val="a"/>
    <w:qFormat/>
    <w:pPr>
      <w:widowControl/>
      <w:spacing w:before="100" w:beforeAutospacing="1" w:after="100" w:afterAutospacing="1"/>
      <w:jc w:val="left"/>
    </w:pPr>
    <w:rPr>
      <w:rFonts w:ascii="宋体" w:eastAsia="宋体" w:hAnsi="宋体" w:cs="宋体"/>
      <w:color w:val="000000"/>
      <w:kern w:val="0"/>
      <w:sz w:val="24"/>
      <w:szCs w:val="24"/>
    </w:rPr>
  </w:style>
  <w:style w:type="paragraph" w:customStyle="1" w:styleId="affffffffffffffffff7">
    <w:name w:val="表、图名宋旭峰"/>
    <w:basedOn w:val="affffffff2"/>
    <w:qFormat/>
    <w:pPr>
      <w:adjustRightInd/>
      <w:snapToGrid/>
      <w:spacing w:line="360" w:lineRule="auto"/>
      <w:textAlignment w:val="auto"/>
    </w:pPr>
    <w:rPr>
      <w:rFonts w:ascii="黑体" w:hAnsi="宋体"/>
      <w:spacing w:val="0"/>
      <w:sz w:val="20"/>
      <w:szCs w:val="21"/>
    </w:rPr>
  </w:style>
  <w:style w:type="paragraph" w:customStyle="1" w:styleId="33CharCharH3h33rdlevel305">
    <w:name w:val="样式 标题 3标题 3 Char CharH3h33rd level标题3 + 段前: 0.5 行"/>
    <w:basedOn w:val="3"/>
    <w:qFormat/>
    <w:pPr>
      <w:keepNext w:val="0"/>
      <w:keepLines w:val="0"/>
      <w:tabs>
        <w:tab w:val="left" w:pos="1418"/>
      </w:tabs>
      <w:spacing w:before="0" w:after="0" w:line="480" w:lineRule="exact"/>
      <w:ind w:firstLineChars="200" w:firstLine="560"/>
      <w:jc w:val="both"/>
      <w:outlineLvl w:val="9"/>
    </w:pPr>
    <w:rPr>
      <w:rFonts w:ascii="楷体_GB2312" w:eastAsia="楷体_GB2312" w:hAnsi="宋体"/>
      <w:b w:val="0"/>
      <w:color w:val="FF0000"/>
      <w:kern w:val="2"/>
      <w:sz w:val="28"/>
      <w:szCs w:val="28"/>
    </w:rPr>
  </w:style>
  <w:style w:type="paragraph" w:customStyle="1" w:styleId="reader-word-layerreader-word-s1-19">
    <w:name w:val="reader-word-layer reader-word-s1-19"/>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2fffff2">
    <w:name w:val="修订2"/>
    <w:semiHidden/>
    <w:qFormat/>
    <w:rPr>
      <w:rFonts w:ascii="宋体" w:eastAsia="宋体" w:hAnsi="宋体" w:cs="Times New Roman"/>
      <w:kern w:val="2"/>
      <w:sz w:val="24"/>
    </w:rPr>
  </w:style>
  <w:style w:type="paragraph" w:customStyle="1" w:styleId="affffffffffffffffff8">
    <w:name w:val="表格编号"/>
    <w:basedOn w:val="a"/>
    <w:next w:val="a"/>
    <w:qFormat/>
    <w:pPr>
      <w:tabs>
        <w:tab w:val="left" w:pos="720"/>
      </w:tabs>
      <w:spacing w:before="300" w:after="200"/>
      <w:ind w:left="720" w:hanging="720"/>
      <w:jc w:val="center"/>
    </w:pPr>
    <w:rPr>
      <w:rFonts w:ascii="Times New Roman" w:eastAsia="宋体" w:hAnsi="Times New Roman" w:cs="Times New Roman"/>
      <w:sz w:val="24"/>
      <w:szCs w:val="20"/>
    </w:rPr>
  </w:style>
  <w:style w:type="paragraph" w:customStyle="1" w:styleId="xl126">
    <w:name w:val="xl126"/>
    <w:basedOn w:val="a"/>
    <w:qFormat/>
    <w:pPr>
      <w:widowControl/>
      <w:pBdr>
        <w:left w:val="single" w:sz="4" w:space="0" w:color="auto"/>
        <w:bottom w:val="single" w:sz="8"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CharCharfff6">
    <w:name w:val="页眉 Char Char"/>
    <w:basedOn w:val="a"/>
    <w:qFormat/>
    <w:pPr>
      <w:tabs>
        <w:tab w:val="left" w:pos="4149"/>
        <w:tab w:val="left" w:pos="8016"/>
      </w:tabs>
      <w:spacing w:line="351" w:lineRule="atLeast"/>
      <w:ind w:firstLine="419"/>
      <w:jc w:val="center"/>
    </w:pPr>
    <w:rPr>
      <w:rFonts w:ascii="Times New Roman" w:eastAsia="宋体" w:hAnsi="Times New Roman" w:cs="Times New Roman" w:hint="eastAsia"/>
      <w:sz w:val="18"/>
      <w:szCs w:val="20"/>
    </w:rPr>
  </w:style>
  <w:style w:type="paragraph" w:customStyle="1" w:styleId="CharCharChar1CharCharCharCharCharCharChar5">
    <w:name w:val="Char Char Char1 Char Char Char Char Char Char Char5"/>
    <w:basedOn w:val="a"/>
    <w:qFormat/>
    <w:rPr>
      <w:rFonts w:ascii="Tahoma" w:eastAsia="宋体" w:hAnsi="Tahoma" w:cs="Times New Roman"/>
      <w:sz w:val="24"/>
      <w:szCs w:val="20"/>
    </w:rPr>
  </w:style>
  <w:style w:type="paragraph" w:customStyle="1" w:styleId="2fffff3">
    <w:name w:val="副标题2"/>
    <w:basedOn w:val="1ffffe"/>
    <w:qFormat/>
    <w:pPr>
      <w:keepLines w:val="0"/>
      <w:tabs>
        <w:tab w:val="left" w:pos="720"/>
      </w:tabs>
    </w:pPr>
  </w:style>
  <w:style w:type="paragraph" w:customStyle="1" w:styleId="xl52">
    <w:name w:val="xl52"/>
    <w:basedOn w:val="a"/>
    <w:qFormat/>
    <w:pPr>
      <w:widowControl/>
      <w:pBdr>
        <w:top w:val="single" w:sz="12" w:space="0" w:color="auto"/>
        <w:left w:val="single" w:sz="12" w:space="0" w:color="auto"/>
        <w:right w:val="single" w:sz="4"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affffffffffffffffff9">
    <w:name w:val="样式a"/>
    <w:basedOn w:val="a"/>
    <w:qFormat/>
    <w:pPr>
      <w:adjustRightInd w:val="0"/>
      <w:snapToGrid w:val="0"/>
      <w:spacing w:line="420" w:lineRule="exact"/>
      <w:ind w:firstLineChars="200" w:firstLine="200"/>
      <w:textAlignment w:val="baseline"/>
    </w:pPr>
    <w:rPr>
      <w:rFonts w:ascii="Times New Roman" w:eastAsia="宋体" w:hAnsi="Times New Roman" w:cs="Times New Roman"/>
      <w:kern w:val="0"/>
      <w:sz w:val="24"/>
      <w:szCs w:val="24"/>
    </w:rPr>
  </w:style>
  <w:style w:type="paragraph" w:customStyle="1" w:styleId="CharCharCharCharCharCharCharCharCharCharCharCharChar2">
    <w:name w:val="Char Char Char Char Char Char Char Char Char Char Char Char Char2"/>
    <w:basedOn w:val="a"/>
    <w:qFormat/>
    <w:pPr>
      <w:widowControl/>
      <w:spacing w:after="160" w:line="240" w:lineRule="exact"/>
      <w:jc w:val="left"/>
    </w:pPr>
    <w:rPr>
      <w:rFonts w:ascii="Arial" w:eastAsia="宋体" w:hAnsi="Arial" w:cs="Verdana"/>
      <w:b/>
      <w:kern w:val="0"/>
      <w:sz w:val="24"/>
      <w:szCs w:val="24"/>
      <w:lang w:eastAsia="en-US"/>
    </w:rPr>
  </w:style>
  <w:style w:type="paragraph" w:customStyle="1" w:styleId="zxz5">
    <w:name w:val="zxz5"/>
    <w:next w:val="1fc"/>
    <w:semiHidden/>
    <w:qFormat/>
    <w:pPr>
      <w:tabs>
        <w:tab w:val="left" w:pos="0"/>
      </w:tabs>
      <w:jc w:val="center"/>
    </w:pPr>
    <w:rPr>
      <w:rFonts w:ascii="宋体" w:eastAsia="Times New Roman" w:hAnsi="宋体" w:cs="宋体"/>
      <w:bCs/>
      <w:kern w:val="2"/>
      <w:sz w:val="18"/>
      <w:szCs w:val="18"/>
    </w:rPr>
  </w:style>
  <w:style w:type="paragraph" w:customStyle="1" w:styleId="Style12">
    <w:name w:val="_Style 1"/>
    <w:basedOn w:val="a"/>
    <w:next w:val="a0"/>
    <w:qFormat/>
    <w:pPr>
      <w:adjustRightInd w:val="0"/>
      <w:spacing w:line="288" w:lineRule="auto"/>
      <w:ind w:firstLine="480"/>
      <w:textAlignment w:val="baseline"/>
    </w:pPr>
    <w:rPr>
      <w:rFonts w:ascii="宋体" w:eastAsia="宋体" w:hAnsi="宋体" w:cs="宋体"/>
      <w:sz w:val="24"/>
      <w:szCs w:val="24"/>
    </w:rPr>
  </w:style>
  <w:style w:type="paragraph" w:customStyle="1" w:styleId="CharCharCharCharCharCharCharCharCharCharCharCharCharCharChar">
    <w:name w:val="Char Char Char Char Char Char Char Char Char Char Char Char Char Char Char"/>
    <w:basedOn w:val="a"/>
    <w:qFormat/>
    <w:rPr>
      <w:rFonts w:ascii="Times New Roman" w:eastAsia="宋体" w:hAnsi="Times New Roman" w:cs="Times New Roman"/>
      <w:sz w:val="24"/>
      <w:szCs w:val="24"/>
    </w:rPr>
  </w:style>
  <w:style w:type="paragraph" w:customStyle="1" w:styleId="5f">
    <w:name w:val="5号表文"/>
    <w:qFormat/>
    <w:pPr>
      <w:widowControl w:val="0"/>
      <w:autoSpaceDE w:val="0"/>
      <w:adjustRightInd w:val="0"/>
      <w:snapToGrid w:val="0"/>
    </w:pPr>
    <w:rPr>
      <w:rFonts w:ascii="Times New Roman" w:eastAsia="宋体" w:hAnsi="Times New Roman" w:cs="Times New Roman"/>
    </w:rPr>
  </w:style>
  <w:style w:type="paragraph" w:customStyle="1" w:styleId="5f0">
    <w:name w:val="条5"/>
    <w:basedOn w:val="a"/>
    <w:next w:val="a"/>
    <w:qFormat/>
    <w:pPr>
      <w:tabs>
        <w:tab w:val="left" w:pos="1134"/>
      </w:tabs>
      <w:ind w:left="1134" w:hanging="1134"/>
      <w:outlineLvl w:val="1"/>
    </w:pPr>
    <w:rPr>
      <w:rFonts w:ascii="黑体" w:eastAsia="黑体" w:hAnsi="Times New Roman" w:cs="Times New Roman" w:hint="eastAsia"/>
      <w:kern w:val="21"/>
      <w:szCs w:val="20"/>
    </w:rPr>
  </w:style>
  <w:style w:type="paragraph" w:customStyle="1" w:styleId="CharCharChar1CharCharCharChar">
    <w:name w:val="Char Char Char1 Char Char Char Char"/>
    <w:basedOn w:val="a"/>
    <w:next w:val="a"/>
    <w:qFormat/>
    <w:pPr>
      <w:spacing w:line="360" w:lineRule="auto"/>
      <w:ind w:firstLineChars="200" w:firstLine="200"/>
    </w:pPr>
    <w:rPr>
      <w:rFonts w:ascii="宋体" w:eastAsia="汉鼎简书宋" w:hAnsi="宋体" w:cs="宋体"/>
      <w:sz w:val="24"/>
      <w:szCs w:val="24"/>
    </w:rPr>
  </w:style>
  <w:style w:type="paragraph" w:customStyle="1" w:styleId="11c">
    <w:name w:val="无间隔11"/>
    <w:qFormat/>
    <w:pPr>
      <w:widowControl w:val="0"/>
      <w:jc w:val="both"/>
    </w:pPr>
    <w:rPr>
      <w:rFonts w:ascii="Arial" w:eastAsia="仿宋" w:hAnsi="Arial" w:cs="Times New Roman"/>
      <w:w w:val="90"/>
      <w:kern w:val="2"/>
      <w:sz w:val="24"/>
      <w:szCs w:val="24"/>
    </w:rPr>
  </w:style>
  <w:style w:type="paragraph" w:customStyle="1" w:styleId="Char230">
    <w:name w:val="Char23"/>
    <w:basedOn w:val="a"/>
    <w:qFormat/>
    <w:rPr>
      <w:rFonts w:ascii="Times New Roman" w:eastAsia="宋体" w:hAnsi="Times New Roman" w:cs="Times New Roman"/>
      <w:sz w:val="24"/>
      <w:szCs w:val="24"/>
    </w:rPr>
  </w:style>
  <w:style w:type="paragraph" w:customStyle="1" w:styleId="Char2CharCharChar4">
    <w:name w:val="Char2 Char Char Char4"/>
    <w:basedOn w:val="a"/>
    <w:qFormat/>
    <w:rPr>
      <w:rFonts w:ascii="Times New Roman" w:eastAsia="宋体" w:hAnsi="Times New Roman" w:cs="Times New Roman"/>
      <w:sz w:val="24"/>
      <w:szCs w:val="24"/>
    </w:rPr>
  </w:style>
  <w:style w:type="paragraph" w:customStyle="1" w:styleId="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1CharCharCharCharCharCharCharChar">
    <w:name w:val="1 Char Char Char Char Char Char Char Char"/>
    <w:basedOn w:val="a"/>
    <w:qFormat/>
    <w:rPr>
      <w:rFonts w:ascii="Times New Roman" w:eastAsia="宋体" w:hAnsi="Times New Roman" w:cs="Times New Roman"/>
      <w:sz w:val="24"/>
      <w:szCs w:val="24"/>
    </w:rPr>
  </w:style>
  <w:style w:type="paragraph" w:customStyle="1" w:styleId="2fffff4">
    <w:name w:val="食疗标题2"/>
    <w:basedOn w:val="2"/>
    <w:qFormat/>
    <w:pPr>
      <w:tabs>
        <w:tab w:val="left" w:pos="1419"/>
      </w:tabs>
      <w:overflowPunct w:val="0"/>
      <w:spacing w:before="360" w:after="0" w:line="312" w:lineRule="atLeast"/>
    </w:pPr>
    <w:rPr>
      <w:rFonts w:ascii="仿宋_GB2312" w:eastAsia="黑体" w:hAnsi="宋体" w:cs="Times New Roman"/>
      <w:b w:val="0"/>
      <w:color w:val="008000"/>
      <w:kern w:val="0"/>
      <w:sz w:val="30"/>
      <w:szCs w:val="24"/>
    </w:rPr>
  </w:style>
  <w:style w:type="paragraph" w:customStyle="1" w:styleId="CM105">
    <w:name w:val="CM105"/>
    <w:basedOn w:val="Default"/>
    <w:next w:val="Default"/>
    <w:qFormat/>
    <w:pPr>
      <w:spacing w:after="125"/>
    </w:pPr>
    <w:rPr>
      <w:rFonts w:ascii="楷体_GB2312" w:eastAsia="楷体_GB2312" w:hAnsi="Times New Roman" w:cs="Times New Roman"/>
      <w:color w:val="auto"/>
    </w:rPr>
  </w:style>
  <w:style w:type="paragraph" w:customStyle="1" w:styleId="affffffffffffffffffa">
    <w:name w:val="表左"/>
    <w:basedOn w:val="a"/>
    <w:semiHidden/>
    <w:qFormat/>
    <w:pPr>
      <w:spacing w:line="280" w:lineRule="exact"/>
      <w:jc w:val="left"/>
    </w:pPr>
    <w:rPr>
      <w:rFonts w:ascii="宋体" w:eastAsia="宋体" w:hAnsi="Times New Roman" w:cs="Times New Roman"/>
      <w:color w:val="000000"/>
      <w:sz w:val="18"/>
      <w:szCs w:val="24"/>
    </w:rPr>
  </w:style>
  <w:style w:type="paragraph" w:customStyle="1" w:styleId="affffffffffffffffffb">
    <w:name w:val="新标题样式"/>
    <w:basedOn w:val="a"/>
    <w:qFormat/>
    <w:pPr>
      <w:tabs>
        <w:tab w:val="left" w:pos="567"/>
      </w:tabs>
      <w:spacing w:line="360" w:lineRule="auto"/>
    </w:pPr>
    <w:rPr>
      <w:rFonts w:ascii="Times New Roman" w:eastAsia="黑体" w:hAnsi="Times New Roman" w:cs="Times New Roman"/>
      <w:b/>
      <w:spacing w:val="20"/>
      <w:sz w:val="24"/>
      <w:szCs w:val="20"/>
    </w:rPr>
  </w:style>
  <w:style w:type="paragraph" w:customStyle="1" w:styleId="xl161">
    <w:name w:val="xl161"/>
    <w:basedOn w:val="a"/>
    <w:qFormat/>
    <w:pPr>
      <w:widowControl/>
      <w:spacing w:before="100" w:beforeAutospacing="1" w:after="100" w:afterAutospacing="1"/>
      <w:jc w:val="center"/>
    </w:pPr>
    <w:rPr>
      <w:rFonts w:ascii="Arial Unicode MS" w:eastAsia="宋体" w:hAnsi="Arial Unicode MS" w:cs="Times New Roman"/>
      <w:kern w:val="0"/>
      <w:szCs w:val="24"/>
    </w:rPr>
  </w:style>
  <w:style w:type="paragraph" w:customStyle="1" w:styleId="med1">
    <w:name w:val="med1"/>
    <w:basedOn w:val="a"/>
    <w:qFormat/>
    <w:pPr>
      <w:widowControl/>
      <w:spacing w:before="100" w:beforeAutospacing="1" w:after="100" w:afterAutospacing="1"/>
      <w:jc w:val="left"/>
    </w:pPr>
    <w:rPr>
      <w:rFonts w:ascii="宋体" w:eastAsia="宋体" w:hAnsi="宋体" w:cs="Times New Roman"/>
      <w:color w:val="000000"/>
      <w:kern w:val="0"/>
      <w:sz w:val="24"/>
      <w:szCs w:val="24"/>
    </w:rPr>
  </w:style>
  <w:style w:type="paragraph" w:customStyle="1" w:styleId="xl72">
    <w:name w:val="xl72"/>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xl94">
    <w:name w:val="xl94"/>
    <w:basedOn w:val="a"/>
    <w:qFormat/>
    <w:pPr>
      <w:widowControl/>
      <w:pBdr>
        <w:left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affffffffffffffffffc">
    <w:name w:val="报告表格"/>
    <w:basedOn w:val="a"/>
    <w:qFormat/>
    <w:pPr>
      <w:autoSpaceDE w:val="0"/>
      <w:autoSpaceDN w:val="0"/>
      <w:adjustRightInd w:val="0"/>
      <w:spacing w:before="40" w:after="40"/>
      <w:jc w:val="center"/>
      <w:textAlignment w:val="bottom"/>
    </w:pPr>
    <w:rPr>
      <w:rFonts w:ascii="Times New Roman" w:eastAsia="宋体" w:hAnsi="Times New Roman" w:cs="Times New Roman"/>
      <w:kern w:val="0"/>
      <w:szCs w:val="20"/>
    </w:rPr>
  </w:style>
  <w:style w:type="paragraph" w:customStyle="1" w:styleId="33Char3CharCharCharCharCharCharCharCharC4">
    <w:name w:val="样式 标题 3标题 3 Char标题 3 Char Char Char Char Char Char Char Char C...4"/>
    <w:basedOn w:val="3"/>
    <w:qFormat/>
    <w:pPr>
      <w:widowControl w:val="0"/>
      <w:tabs>
        <w:tab w:val="left" w:pos="1418"/>
      </w:tabs>
      <w:spacing w:before="0" w:after="0" w:line="360" w:lineRule="auto"/>
      <w:ind w:left="720" w:hanging="720"/>
      <w:jc w:val="both"/>
    </w:pPr>
    <w:rPr>
      <w:rFonts w:ascii="宋体" w:hAnsi="宋体"/>
      <w:b w:val="0"/>
      <w:bCs w:val="0"/>
      <w:kern w:val="2"/>
      <w:sz w:val="28"/>
    </w:rPr>
  </w:style>
  <w:style w:type="paragraph" w:customStyle="1" w:styleId="affffffffffffffffffd">
    <w:name w:val="正文#"/>
    <w:basedOn w:val="a"/>
    <w:semiHidden/>
    <w:qFormat/>
    <w:pPr>
      <w:spacing w:line="360" w:lineRule="auto"/>
      <w:ind w:firstLineChars="200" w:firstLine="480"/>
    </w:pPr>
    <w:rPr>
      <w:rFonts w:ascii="Times New Roman" w:eastAsia="宋体" w:hAnsi="Times New Roman" w:cs="Times New Roman"/>
      <w:sz w:val="24"/>
      <w:szCs w:val="20"/>
    </w:rPr>
  </w:style>
  <w:style w:type="paragraph" w:customStyle="1" w:styleId="xl56">
    <w:name w:val="xl56"/>
    <w:basedOn w:val="a"/>
    <w:qFormat/>
    <w:pPr>
      <w:widowControl/>
      <w:pBdr>
        <w:bottom w:val="single" w:sz="12" w:space="0" w:color="auto"/>
      </w:pBdr>
      <w:spacing w:before="100" w:beforeAutospacing="1" w:after="100" w:afterAutospacing="1"/>
      <w:jc w:val="left"/>
    </w:pPr>
    <w:rPr>
      <w:rFonts w:ascii="Arial Unicode MS" w:eastAsia="宋体" w:hAnsi="Arial Unicode MS" w:cs="Times New Roman"/>
      <w:kern w:val="0"/>
      <w:sz w:val="12"/>
      <w:szCs w:val="12"/>
    </w:rPr>
  </w:style>
  <w:style w:type="paragraph" w:customStyle="1" w:styleId="CharCharChar12">
    <w:name w:val="Char Char Char12"/>
    <w:basedOn w:val="a"/>
    <w:qFormat/>
    <w:rPr>
      <w:rFonts w:ascii="Times New Roman" w:eastAsia="宋体" w:hAnsi="Times New Roman" w:cs="Times New Roman"/>
      <w:sz w:val="24"/>
      <w:szCs w:val="24"/>
    </w:rPr>
  </w:style>
  <w:style w:type="paragraph" w:customStyle="1" w:styleId="11d">
    <w:name w:val="正文样式11"/>
    <w:basedOn w:val="a"/>
    <w:qFormat/>
    <w:pPr>
      <w:ind w:firstLineChars="200" w:firstLine="548"/>
      <w:jc w:val="left"/>
    </w:pPr>
    <w:rPr>
      <w:rFonts w:ascii="宋体" w:eastAsia="宋体" w:hAnsi="宋体" w:cs="Arial"/>
      <w:bCs/>
      <w:color w:val="000000"/>
      <w:sz w:val="24"/>
      <w:szCs w:val="24"/>
    </w:rPr>
  </w:style>
  <w:style w:type="paragraph" w:customStyle="1" w:styleId="1fffff4">
    <w:name w:val="1标题"/>
    <w:next w:val="118"/>
    <w:qFormat/>
    <w:pPr>
      <w:adjustRightInd w:val="0"/>
      <w:snapToGrid w:val="0"/>
      <w:spacing w:beforeLines="50" w:line="500" w:lineRule="exact"/>
      <w:jc w:val="center"/>
      <w:outlineLvl w:val="0"/>
    </w:pPr>
    <w:rPr>
      <w:rFonts w:ascii="Times New Roman" w:eastAsia="黑体" w:hAnsi="Times New Roman" w:cs="Arial"/>
      <w:kern w:val="2"/>
      <w:sz w:val="32"/>
      <w:szCs w:val="32"/>
    </w:rPr>
  </w:style>
  <w:style w:type="paragraph" w:customStyle="1" w:styleId="xl164">
    <w:name w:val="xl164"/>
    <w:basedOn w:val="a"/>
    <w:qFormat/>
    <w:pPr>
      <w:widowControl/>
      <w:pBdr>
        <w:left w:val="single" w:sz="12" w:space="0" w:color="auto"/>
        <w:bottom w:val="single" w:sz="12"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2fffff5">
    <w:name w:val="报告标题2"/>
    <w:basedOn w:val="2"/>
    <w:qFormat/>
    <w:pPr>
      <w:tabs>
        <w:tab w:val="left" w:pos="1419"/>
      </w:tabs>
      <w:spacing w:line="360" w:lineRule="auto"/>
    </w:pPr>
    <w:rPr>
      <w:rFonts w:ascii="Times New Roman" w:eastAsia="宋体" w:hAnsi="Times New Roman" w:cs="Times New Roman"/>
    </w:rPr>
  </w:style>
  <w:style w:type="paragraph" w:customStyle="1" w:styleId="Char1CharCharCharCharCharCharCharCharChar1CharCharCharCharCharChar">
    <w:name w:val="Char1 Char Char Char Char Char Char Char Char Char1 Char Char Char Char Char Char"/>
    <w:basedOn w:val="a"/>
    <w:qFormat/>
    <w:pPr>
      <w:widowControl/>
      <w:spacing w:before="100" w:beforeAutospacing="1" w:after="100" w:afterAutospacing="1"/>
      <w:ind w:firstLineChars="200" w:firstLine="200"/>
      <w:jc w:val="left"/>
    </w:pPr>
    <w:rPr>
      <w:rFonts w:ascii="Verdana" w:eastAsia="仿宋_GB2312" w:hAnsi="Verdana" w:cs="Times New Roman"/>
      <w:kern w:val="0"/>
      <w:sz w:val="20"/>
      <w:szCs w:val="21"/>
      <w:lang w:eastAsia="en-US"/>
    </w:rPr>
  </w:style>
  <w:style w:type="paragraph" w:customStyle="1" w:styleId="xl31">
    <w:name w:val="xl3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幼圆" w:eastAsia="幼圆" w:hAnsi="Arial Unicode MS" w:cs="Arial Unicode MS" w:hint="eastAsia"/>
      <w:kern w:val="0"/>
      <w:szCs w:val="21"/>
    </w:rPr>
  </w:style>
  <w:style w:type="paragraph" w:customStyle="1" w:styleId="1352">
    <w:name w:val="样式 13.5 磅 首行缩进:  2 字符"/>
    <w:basedOn w:val="a"/>
    <w:qFormat/>
    <w:pPr>
      <w:ind w:leftChars="1" w:left="2" w:firstLineChars="200" w:firstLine="480"/>
      <w:jc w:val="left"/>
    </w:pPr>
    <w:rPr>
      <w:rFonts w:ascii="Times New Roman" w:eastAsia="宋体" w:hAnsi="Times New Roman" w:cs="宋体"/>
      <w:kern w:val="10"/>
      <w:sz w:val="24"/>
      <w:szCs w:val="24"/>
    </w:rPr>
  </w:style>
  <w:style w:type="paragraph" w:customStyle="1" w:styleId="CharCharCharCharCharCharCharCharChar1CharCharCharChar6">
    <w:name w:val="Char Char Char Char Char Char Char Char Char1 Char Char Char Char6"/>
    <w:basedOn w:val="a"/>
    <w:qFormat/>
    <w:rPr>
      <w:rFonts w:ascii="Times New Roman" w:eastAsia="宋体" w:hAnsi="Times New Roman" w:cs="Times New Roman"/>
      <w:szCs w:val="21"/>
    </w:rPr>
  </w:style>
  <w:style w:type="paragraph" w:customStyle="1" w:styleId="font29">
    <w:name w:val="font29"/>
    <w:basedOn w:val="a"/>
    <w:qFormat/>
    <w:pPr>
      <w:widowControl/>
      <w:spacing w:before="100" w:beforeAutospacing="1" w:after="100" w:afterAutospacing="1"/>
      <w:jc w:val="left"/>
    </w:pPr>
    <w:rPr>
      <w:rFonts w:ascii="Times New Roman" w:eastAsia="宋体" w:hAnsi="Times New Roman" w:cs="Times New Roman"/>
      <w:kern w:val="0"/>
      <w:sz w:val="15"/>
      <w:szCs w:val="15"/>
    </w:rPr>
  </w:style>
  <w:style w:type="paragraph" w:customStyle="1" w:styleId="128">
    <w:name w:val="样式12"/>
    <w:basedOn w:val="aff5"/>
    <w:qFormat/>
    <w:pPr>
      <w:widowControl/>
    </w:pPr>
    <w:rPr>
      <w:rFonts w:ascii="Times New Roman" w:eastAsia="宋体" w:hAnsi="Times New Roman" w:cs="Times New Roman"/>
    </w:rPr>
  </w:style>
  <w:style w:type="paragraph" w:customStyle="1" w:styleId="xl65">
    <w:name w:val="xl65"/>
    <w:basedOn w:val="a"/>
    <w:qFormat/>
    <w:pPr>
      <w:widowControl/>
      <w:pBdr>
        <w:left w:val="single" w:sz="4"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3ffd">
    <w:name w:val="日期3"/>
    <w:basedOn w:val="a"/>
    <w:next w:val="a"/>
    <w:qFormat/>
    <w:pPr>
      <w:adjustRightInd w:val="0"/>
      <w:jc w:val="left"/>
    </w:pPr>
    <w:rPr>
      <w:rFonts w:ascii="宋体" w:eastAsia="宋体" w:hAnsi="Times New Roman" w:cs="Times New Roman"/>
      <w:spacing w:val="24"/>
      <w:kern w:val="24"/>
      <w:sz w:val="24"/>
      <w:szCs w:val="20"/>
    </w:rPr>
  </w:style>
  <w:style w:type="paragraph" w:customStyle="1" w:styleId="affffffffffffffffffe">
    <w:name w:val="样式 表蕊 + 四号 黑色 居中"/>
    <w:basedOn w:val="a"/>
    <w:qFormat/>
    <w:pPr>
      <w:adjustRightInd w:val="0"/>
      <w:spacing w:line="280" w:lineRule="atLeast"/>
      <w:jc w:val="center"/>
      <w:textAlignment w:val="baseline"/>
    </w:pPr>
    <w:rPr>
      <w:rFonts w:ascii="Times New Roman" w:eastAsia="宋体" w:hAnsi="Times New Roman" w:cs="宋体"/>
      <w:color w:val="000000"/>
      <w:sz w:val="28"/>
      <w:szCs w:val="28"/>
    </w:rPr>
  </w:style>
  <w:style w:type="paragraph" w:customStyle="1" w:styleId="Char1CharCharCharCharCharChar">
    <w:name w:val="Char1 Char Char Char Char Char Char"/>
    <w:basedOn w:val="a"/>
    <w:qFormat/>
    <w:pPr>
      <w:spacing w:line="360" w:lineRule="auto"/>
      <w:ind w:firstLineChars="200" w:firstLine="200"/>
    </w:pPr>
    <w:rPr>
      <w:rFonts w:ascii="宋体" w:eastAsia="宋体" w:hAnsi="宋体" w:cs="宋体"/>
      <w:sz w:val="24"/>
      <w:szCs w:val="24"/>
    </w:rPr>
  </w:style>
  <w:style w:type="paragraph" w:customStyle="1" w:styleId="1111Char1-1h11stlevel">
    <w:name w:val="样式 标题 11.标题 1一、标题 1 Char标1章节标题-*+章标题 1文章标题h11st level..."/>
    <w:basedOn w:val="1"/>
    <w:qFormat/>
    <w:pPr>
      <w:keepNext/>
      <w:keepLines/>
      <w:pageBreakBefore/>
      <w:tabs>
        <w:tab w:val="left" w:pos="425"/>
        <w:tab w:val="left" w:pos="780"/>
        <w:tab w:val="left" w:pos="1467"/>
      </w:tabs>
      <w:spacing w:before="0" w:line="480" w:lineRule="auto"/>
      <w:ind w:left="1467" w:hanging="720"/>
    </w:pPr>
    <w:rPr>
      <w:rFonts w:eastAsia="宋体" w:cs="Times New Roman"/>
      <w:color w:val="000000"/>
      <w:sz w:val="28"/>
      <w:szCs w:val="28"/>
      <w:lang w:eastAsia="zh-CN"/>
    </w:rPr>
  </w:style>
  <w:style w:type="paragraph" w:customStyle="1" w:styleId="CharChar3Char6">
    <w:name w:val="Char Char3 Char6"/>
    <w:basedOn w:val="a"/>
    <w:qFormat/>
    <w:rPr>
      <w:rFonts w:ascii="Tahoma" w:eastAsia="宋体" w:hAnsi="Tahoma" w:cs="Times New Roman"/>
      <w:sz w:val="24"/>
      <w:szCs w:val="20"/>
    </w:rPr>
  </w:style>
  <w:style w:type="paragraph" w:customStyle="1" w:styleId="CharCharChar1Char6">
    <w:name w:val="Char Char Char1 Char6"/>
    <w:basedOn w:val="2"/>
    <w:qFormat/>
    <w:pPr>
      <w:keepNext w:val="0"/>
      <w:keepLines w:val="0"/>
      <w:spacing w:before="0" w:after="0" w:line="520" w:lineRule="exact"/>
    </w:pPr>
    <w:rPr>
      <w:rFonts w:ascii="Times New Roman" w:eastAsia="宋体" w:hAnsi="Times New Roman" w:cs="Times New Roman"/>
      <w:kern w:val="0"/>
      <w:sz w:val="28"/>
      <w:szCs w:val="28"/>
    </w:rPr>
  </w:style>
  <w:style w:type="paragraph" w:customStyle="1" w:styleId="240">
    <w:name w:val="样式 正文文本 + 首行缩进:  2 字符4"/>
    <w:basedOn w:val="af5"/>
    <w:qFormat/>
    <w:pPr>
      <w:adjustRightInd w:val="0"/>
      <w:spacing w:after="0"/>
      <w:textAlignment w:val="baseline"/>
    </w:pPr>
    <w:rPr>
      <w:rFonts w:ascii="Times New Roman" w:eastAsia="仿宋_GB2312" w:hAnsi="Times New Roman" w:cs="宋体"/>
      <w:color w:val="000000"/>
      <w:szCs w:val="21"/>
    </w:rPr>
  </w:style>
  <w:style w:type="paragraph" w:customStyle="1" w:styleId="CharCharCharCharCharCharCharCharChar1CharCharChar">
    <w:name w:val="Char Char Char Char Char Char Char Char Char1 Char Char Char"/>
    <w:basedOn w:val="a"/>
    <w:qFormat/>
    <w:rPr>
      <w:rFonts w:ascii="Times New Roman" w:eastAsia="宋体" w:hAnsi="Times New Roman" w:cs="Times New Roman"/>
      <w:sz w:val="24"/>
      <w:szCs w:val="24"/>
    </w:rPr>
  </w:style>
  <w:style w:type="paragraph" w:customStyle="1" w:styleId="Char4CharCharCharCharCharChar">
    <w:name w:val="Char4 Char Char Char Char Char Char"/>
    <w:basedOn w:val="a"/>
    <w:qFormat/>
    <w:rPr>
      <w:rFonts w:ascii="Times New Roman" w:eastAsia="宋体" w:hAnsi="Times New Roman" w:cs="Times New Roman"/>
      <w:sz w:val="24"/>
      <w:szCs w:val="24"/>
    </w:rPr>
  </w:style>
  <w:style w:type="paragraph" w:customStyle="1" w:styleId="2fffff6">
    <w:name w:val="表格标题2"/>
    <w:basedOn w:val="affffffff2"/>
    <w:qFormat/>
    <w:pPr>
      <w:adjustRightInd/>
      <w:snapToGrid/>
      <w:spacing w:line="360" w:lineRule="auto"/>
      <w:textAlignment w:val="auto"/>
    </w:pPr>
    <w:rPr>
      <w:rFonts w:eastAsia="宋体"/>
      <w:b/>
      <w:color w:val="000000"/>
      <w:sz w:val="24"/>
      <w:szCs w:val="21"/>
    </w:rPr>
  </w:style>
  <w:style w:type="paragraph" w:customStyle="1" w:styleId="Z">
    <w:name w:val="Z"/>
    <w:basedOn w:val="a"/>
    <w:qFormat/>
    <w:pPr>
      <w:spacing w:line="460" w:lineRule="exact"/>
      <w:ind w:firstLineChars="200" w:firstLine="200"/>
    </w:pPr>
    <w:rPr>
      <w:rFonts w:ascii="宋体" w:eastAsia="宋体" w:hAnsi="宋体" w:cs="Times New Roman"/>
      <w:sz w:val="25"/>
      <w:szCs w:val="24"/>
    </w:rPr>
  </w:style>
  <w:style w:type="paragraph" w:customStyle="1" w:styleId="ParaCharCharCharCharCharCharCharCharCharCharChar">
    <w:name w:val="默认段落字体 Para Char Char Char Char Char Char Char Char Char Char Char"/>
    <w:basedOn w:val="3"/>
    <w:qFormat/>
    <w:pPr>
      <w:keepNext w:val="0"/>
      <w:keepLines w:val="0"/>
      <w:widowControl w:val="0"/>
      <w:tabs>
        <w:tab w:val="left" w:pos="360"/>
        <w:tab w:val="left" w:pos="900"/>
        <w:tab w:val="left" w:pos="1418"/>
      </w:tabs>
      <w:snapToGrid w:val="0"/>
      <w:spacing w:before="120" w:after="120" w:line="360" w:lineRule="auto"/>
      <w:ind w:leftChars="-12" w:left="542" w:firstLineChars="200" w:firstLine="200"/>
      <w:jc w:val="both"/>
    </w:pPr>
    <w:rPr>
      <w:rFonts w:ascii="楷体_GB2312" w:eastAsia="黑体"/>
      <w:b w:val="0"/>
      <w:bCs w:val="0"/>
      <w:kern w:val="2"/>
      <w:sz w:val="24"/>
      <w:szCs w:val="24"/>
    </w:rPr>
  </w:style>
  <w:style w:type="paragraph" w:customStyle="1" w:styleId="CharCharCharChar14">
    <w:name w:val="Char Char Char Char14"/>
    <w:basedOn w:val="a"/>
    <w:qFormat/>
    <w:pPr>
      <w:widowControl/>
      <w:jc w:val="left"/>
    </w:pPr>
    <w:rPr>
      <w:rFonts w:ascii="Times New Roman" w:eastAsia="宋体" w:hAnsi="Times New Roman" w:cs="Times New Roman"/>
      <w:kern w:val="0"/>
      <w:sz w:val="24"/>
      <w:szCs w:val="20"/>
    </w:rPr>
  </w:style>
  <w:style w:type="paragraph" w:customStyle="1" w:styleId="xl84">
    <w:name w:val="xl84"/>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211H2Underrubrik1prop2Heading2HiddenHea">
    <w:name w:val="样式 标题 2节节标题 1.1H2（一）Underrubrik1prop2Heading 2 HiddenHea..."/>
    <w:basedOn w:val="2"/>
    <w:qFormat/>
    <w:pPr>
      <w:tabs>
        <w:tab w:val="left" w:pos="1419"/>
      </w:tabs>
      <w:spacing w:before="0" w:after="0" w:line="360" w:lineRule="auto"/>
    </w:pPr>
    <w:rPr>
      <w:rFonts w:ascii="宋体" w:eastAsia="宋体" w:hAnsi="宋体" w:cs="宋体"/>
      <w:b w:val="0"/>
      <w:color w:val="000000"/>
      <w:sz w:val="28"/>
      <w:szCs w:val="20"/>
    </w:rPr>
  </w:style>
  <w:style w:type="paragraph" w:customStyle="1" w:styleId="CharCharChar1CharCharCharCharCharCharChar8">
    <w:name w:val="Char Char Char1 Char Char Char Char Char Char Char8"/>
    <w:basedOn w:val="a"/>
    <w:qFormat/>
    <w:rPr>
      <w:rFonts w:ascii="Tahoma" w:eastAsia="宋体" w:hAnsi="Tahoma" w:cs="Times New Roman"/>
      <w:sz w:val="24"/>
      <w:szCs w:val="20"/>
    </w:rPr>
  </w:style>
  <w:style w:type="paragraph" w:customStyle="1" w:styleId="afffffffffffffffffff">
    <w:name w:val="样式一"/>
    <w:basedOn w:val="a"/>
    <w:qFormat/>
    <w:pPr>
      <w:spacing w:beforeLines="50" w:before="50" w:afterLines="50" w:after="50" w:line="300" w:lineRule="auto"/>
    </w:pPr>
    <w:rPr>
      <w:rFonts w:ascii="Times New Roman" w:eastAsia="黑体" w:hAnsi="Times New Roman" w:cs="Times New Roman"/>
      <w:sz w:val="28"/>
      <w:szCs w:val="24"/>
    </w:rPr>
  </w:style>
  <w:style w:type="paragraph" w:customStyle="1" w:styleId="ST205">
    <w:name w:val="ST20_5"/>
    <w:basedOn w:val="a"/>
    <w:qFormat/>
    <w:pPr>
      <w:keepLines/>
      <w:autoSpaceDE w:val="0"/>
      <w:autoSpaceDN w:val="0"/>
      <w:adjustRightInd w:val="0"/>
      <w:spacing w:after="160" w:line="360" w:lineRule="atLeast"/>
      <w:ind w:left="720" w:right="720"/>
      <w:jc w:val="left"/>
      <w:textAlignment w:val="baseline"/>
    </w:pPr>
    <w:rPr>
      <w:rFonts w:ascii="宋体" w:eastAsia="宋体" w:hAnsi="Tms Rmn" w:cs="Times New Roman"/>
      <w:i/>
      <w:kern w:val="0"/>
      <w:sz w:val="28"/>
      <w:szCs w:val="20"/>
    </w:rPr>
  </w:style>
  <w:style w:type="paragraph" w:customStyle="1" w:styleId="afffffffffffffffffff0">
    <w:name w:val="文档正文"/>
    <w:basedOn w:val="a"/>
    <w:qFormat/>
    <w:pPr>
      <w:adjustRightInd w:val="0"/>
      <w:spacing w:line="480" w:lineRule="atLeast"/>
      <w:ind w:firstLine="567"/>
      <w:textAlignment w:val="baseline"/>
    </w:pPr>
    <w:rPr>
      <w:rFonts w:ascii="宋体" w:eastAsia="宋体" w:hAnsi="Times New Roman" w:cs="Times New Roman"/>
      <w:kern w:val="0"/>
      <w:sz w:val="24"/>
      <w:szCs w:val="20"/>
    </w:rPr>
  </w:style>
  <w:style w:type="paragraph" w:customStyle="1" w:styleId="311111111112111311111112">
    <w:name w:val="样式 标题 3条标题1.1.1条标题1.1.11条标题1.1.12条标题1.1.13条标题1.1.111条标题1.1...2"/>
    <w:basedOn w:val="3"/>
    <w:qFormat/>
    <w:pPr>
      <w:widowControl w:val="0"/>
      <w:tabs>
        <w:tab w:val="left" w:pos="1418"/>
      </w:tabs>
      <w:spacing w:before="120" w:after="120" w:line="500" w:lineRule="exact"/>
      <w:jc w:val="both"/>
    </w:pPr>
    <w:rPr>
      <w:rFonts w:ascii="宋体" w:hAnsi="宋体" w:cs="宋体"/>
      <w:kern w:val="2"/>
      <w:sz w:val="24"/>
      <w:szCs w:val="20"/>
    </w:rPr>
  </w:style>
  <w:style w:type="paragraph" w:customStyle="1" w:styleId="afffffffffffffffffff1">
    <w:name w:val="样式（大表格）"/>
    <w:basedOn w:val="affffff"/>
    <w:qFormat/>
    <w:pPr>
      <w:widowControl/>
      <w:tabs>
        <w:tab w:val="left" w:pos="425"/>
        <w:tab w:val="left" w:pos="780"/>
      </w:tabs>
      <w:overflowPunct/>
      <w:spacing w:line="240" w:lineRule="auto"/>
      <w:ind w:left="780" w:hanging="360"/>
      <w:textAlignment w:val="auto"/>
    </w:pPr>
    <w:rPr>
      <w:rFonts w:ascii="Times New Roman" w:eastAsia="宋体" w:hAnsi="Times New Roman" w:cs="宋体"/>
      <w:color w:val="auto"/>
      <w:sz w:val="21"/>
      <w:szCs w:val="24"/>
    </w:rPr>
  </w:style>
  <w:style w:type="paragraph" w:customStyle="1" w:styleId="33Char3CharCharCharCharCharCharCharCharC6">
    <w:name w:val="样式 标题 3标题 3 Char标题 3 Char Char Char Char Char Char Char Char C...6"/>
    <w:basedOn w:val="3"/>
    <w:qFormat/>
    <w:pPr>
      <w:widowControl w:val="0"/>
      <w:tabs>
        <w:tab w:val="left" w:pos="1418"/>
      </w:tabs>
      <w:spacing w:before="0" w:after="0" w:line="360" w:lineRule="auto"/>
      <w:ind w:left="720" w:hanging="720"/>
      <w:jc w:val="both"/>
    </w:pPr>
    <w:rPr>
      <w:b w:val="0"/>
      <w:bCs w:val="0"/>
      <w:color w:val="FF00FF"/>
      <w:kern w:val="2"/>
      <w:sz w:val="28"/>
    </w:rPr>
  </w:style>
  <w:style w:type="paragraph" w:customStyle="1" w:styleId="CharCharCharChar200">
    <w:name w:val="Char Char Char Char20"/>
    <w:basedOn w:val="a"/>
    <w:qFormat/>
    <w:rPr>
      <w:rFonts w:ascii="Times New Roman" w:eastAsia="宋体" w:hAnsi="Times New Roman" w:cs="Times New Roman"/>
      <w:sz w:val="24"/>
      <w:szCs w:val="24"/>
    </w:rPr>
  </w:style>
  <w:style w:type="paragraph" w:customStyle="1" w:styleId="afffffffffffffffffff2">
    <w:name w:val="封面正文"/>
    <w:qFormat/>
    <w:pPr>
      <w:jc w:val="both"/>
    </w:pPr>
    <w:rPr>
      <w:rFonts w:ascii="Times New Roman" w:eastAsia="宋体" w:hAnsi="Times New Roman" w:cs="Times New Roman"/>
    </w:rPr>
  </w:style>
  <w:style w:type="paragraph" w:customStyle="1" w:styleId="143">
    <w:name w:val="标题14"/>
    <w:basedOn w:val="a"/>
    <w:qFormat/>
    <w:pPr>
      <w:spacing w:after="240"/>
      <w:outlineLvl w:val="0"/>
    </w:pPr>
    <w:rPr>
      <w:rFonts w:ascii="Times New Roman" w:eastAsia="黑体" w:hAnsi="Times New Roman" w:cs="Times New Roman"/>
      <w:sz w:val="44"/>
      <w:szCs w:val="44"/>
    </w:rPr>
  </w:style>
  <w:style w:type="paragraph" w:customStyle="1" w:styleId="xl37">
    <w:name w:val="xl37"/>
    <w:basedOn w:val="a"/>
    <w:qFormat/>
    <w:pPr>
      <w:widowControl/>
      <w:pBdr>
        <w:top w:val="single" w:sz="4" w:space="0" w:color="auto"/>
        <w:left w:val="single" w:sz="4" w:space="0" w:color="auto"/>
        <w:bottom w:val="single" w:sz="4" w:space="0" w:color="auto"/>
      </w:pBdr>
      <w:spacing w:before="100" w:beforeAutospacing="1" w:after="100" w:afterAutospacing="1"/>
      <w:jc w:val="left"/>
    </w:pPr>
    <w:rPr>
      <w:rFonts w:ascii="宋体" w:eastAsia="宋体" w:hAnsi="宋体" w:cs="Times New Roman"/>
      <w:kern w:val="0"/>
      <w:sz w:val="20"/>
      <w:szCs w:val="20"/>
    </w:rPr>
  </w:style>
  <w:style w:type="paragraph" w:customStyle="1" w:styleId="xl80">
    <w:name w:val="xl80"/>
    <w:basedOn w:val="a"/>
    <w:qFormat/>
    <w:pPr>
      <w:widowControl/>
      <w:pBdr>
        <w:left w:val="single" w:sz="12" w:space="0" w:color="auto"/>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3ffe">
    <w:name w:val="批注文字3"/>
    <w:basedOn w:val="a"/>
    <w:qFormat/>
    <w:pPr>
      <w:jc w:val="left"/>
    </w:pPr>
    <w:rPr>
      <w:rFonts w:ascii="Arial" w:eastAsia="仿宋_GB2312" w:hAnsi="Arial" w:cs="Times New Roman"/>
      <w:kern w:val="0"/>
      <w:sz w:val="24"/>
      <w:szCs w:val="20"/>
    </w:rPr>
  </w:style>
  <w:style w:type="paragraph" w:customStyle="1" w:styleId="a12">
    <w:name w:val="a新标题1"/>
    <w:basedOn w:val="1"/>
    <w:next w:val="2"/>
    <w:qFormat/>
    <w:pPr>
      <w:keepNext/>
      <w:keepLines/>
      <w:widowControl/>
      <w:tabs>
        <w:tab w:val="left" w:pos="425"/>
        <w:tab w:val="left" w:pos="780"/>
      </w:tabs>
      <w:spacing w:before="340" w:after="330" w:line="240" w:lineRule="exact"/>
      <w:ind w:left="780" w:hanging="360"/>
    </w:pPr>
    <w:rPr>
      <w:rFonts w:eastAsia="黑体" w:cs="Times New Roman"/>
      <w:b w:val="0"/>
      <w:kern w:val="44"/>
      <w:sz w:val="28"/>
      <w:szCs w:val="44"/>
      <w:lang w:eastAsia="zh-CN"/>
    </w:rPr>
  </w:style>
  <w:style w:type="paragraph" w:customStyle="1" w:styleId="Style25">
    <w:name w:val="_Style 25"/>
    <w:basedOn w:val="a"/>
    <w:next w:val="a"/>
    <w:qFormat/>
    <w:pPr>
      <w:adjustRightInd w:val="0"/>
      <w:spacing w:line="360" w:lineRule="auto"/>
      <w:ind w:firstLine="570"/>
      <w:textAlignment w:val="baseline"/>
    </w:pPr>
    <w:rPr>
      <w:rFonts w:ascii="仿宋_GB2312" w:eastAsia="仿宋_GB2312" w:hAnsi="Times New Roman" w:cs="Times New Roman"/>
      <w:kern w:val="0"/>
      <w:sz w:val="28"/>
      <w:szCs w:val="20"/>
    </w:rPr>
  </w:style>
  <w:style w:type="paragraph" w:customStyle="1" w:styleId="red14">
    <w:name w:val="red14"/>
    <w:basedOn w:val="a"/>
    <w:qFormat/>
    <w:pPr>
      <w:widowControl/>
      <w:spacing w:before="100" w:beforeAutospacing="1" w:after="100" w:afterAutospacing="1"/>
      <w:jc w:val="left"/>
    </w:pPr>
    <w:rPr>
      <w:rFonts w:ascii="宋体" w:eastAsia="宋体" w:hAnsi="宋体" w:cs="宋体"/>
      <w:b/>
      <w:bCs/>
      <w:color w:val="FF0000"/>
      <w:kern w:val="0"/>
      <w:szCs w:val="21"/>
    </w:rPr>
  </w:style>
  <w:style w:type="paragraph" w:customStyle="1" w:styleId="316">
    <w:name w:val="正文文本缩进 31"/>
    <w:basedOn w:val="a"/>
    <w:qFormat/>
    <w:pPr>
      <w:adjustRightInd w:val="0"/>
      <w:spacing w:line="480" w:lineRule="exact"/>
      <w:ind w:firstLine="525"/>
      <w:textAlignment w:val="baseline"/>
    </w:pPr>
    <w:rPr>
      <w:rFonts w:ascii="宋体" w:eastAsia="宋体" w:hAnsi="Times New Roman" w:cs="Times New Roman"/>
      <w:sz w:val="28"/>
      <w:szCs w:val="20"/>
    </w:rPr>
  </w:style>
  <w:style w:type="paragraph" w:customStyle="1" w:styleId="Instll7">
    <w:name w:val="InstÀÀll7"/>
    <w:qFormat/>
    <w:pPr>
      <w:tabs>
        <w:tab w:val="left" w:pos="-720"/>
      </w:tabs>
      <w:suppressAutoHyphens/>
      <w:jc w:val="both"/>
    </w:pPr>
    <w:rPr>
      <w:rFonts w:ascii="Courier" w:eastAsia="宋体" w:hAnsi="Courier" w:cs="Times New Roman"/>
      <w:spacing w:val="-3"/>
      <w:sz w:val="24"/>
      <w:lang w:eastAsia="sv-SE"/>
    </w:rPr>
  </w:style>
  <w:style w:type="paragraph" w:customStyle="1" w:styleId="afffffffffffffffffff3">
    <w:name w:val="表格后正文"/>
    <w:basedOn w:val="afffffffffffffe"/>
    <w:qFormat/>
    <w:pPr>
      <w:spacing w:before="200"/>
    </w:pPr>
  </w:style>
  <w:style w:type="paragraph" w:customStyle="1" w:styleId="xl93">
    <w:name w:val="xl93"/>
    <w:basedOn w:val="a"/>
    <w:qFormat/>
    <w:pPr>
      <w:widowControl/>
      <w:spacing w:before="100" w:beforeAutospacing="1" w:after="100" w:afterAutospacing="1"/>
      <w:jc w:val="center"/>
    </w:pPr>
    <w:rPr>
      <w:rFonts w:ascii="Arial Unicode MS" w:eastAsia="宋体" w:hAnsi="Arial Unicode MS" w:cs="Times New Roman"/>
      <w:kern w:val="0"/>
      <w:sz w:val="12"/>
      <w:szCs w:val="12"/>
    </w:rPr>
  </w:style>
  <w:style w:type="paragraph" w:customStyle="1" w:styleId="xl179">
    <w:name w:val="xl179"/>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
    <w:name w:val="正文-使用"/>
    <w:basedOn w:val="a"/>
    <w:qFormat/>
    <w:pPr>
      <w:spacing w:line="360" w:lineRule="auto"/>
      <w:ind w:firstLine="482"/>
    </w:pPr>
    <w:rPr>
      <w:rFonts w:ascii="Times New Roman" w:eastAsia="宋体" w:hAnsi="Times New Roman" w:cs="Times New Roman"/>
      <w:sz w:val="24"/>
      <w:szCs w:val="20"/>
    </w:rPr>
  </w:style>
  <w:style w:type="paragraph" w:customStyle="1" w:styleId="afffffffffffffffffff4">
    <w:name w:val="项目符号"/>
    <w:basedOn w:val="a"/>
    <w:qFormat/>
    <w:pPr>
      <w:tabs>
        <w:tab w:val="left" w:pos="170"/>
        <w:tab w:val="left" w:pos="2040"/>
      </w:tabs>
      <w:overflowPunct w:val="0"/>
      <w:snapToGrid w:val="0"/>
      <w:spacing w:before="120" w:line="480" w:lineRule="exact"/>
      <w:ind w:firstLineChars="200" w:firstLine="454"/>
    </w:pPr>
    <w:rPr>
      <w:rFonts w:ascii="Arial" w:eastAsia="仿宋_GB2312" w:hAnsi="Arial" w:cs="Times New Roman"/>
      <w:sz w:val="28"/>
      <w:szCs w:val="20"/>
    </w:rPr>
  </w:style>
  <w:style w:type="paragraph" w:customStyle="1" w:styleId="afffffffffffffffffff5">
    <w:name w:val="正常文"/>
    <w:basedOn w:val="a"/>
    <w:qFormat/>
    <w:pPr>
      <w:adjustRightInd w:val="0"/>
      <w:spacing w:line="480" w:lineRule="exact"/>
      <w:ind w:firstLine="624"/>
    </w:pPr>
    <w:rPr>
      <w:rFonts w:ascii="Times New Roman" w:eastAsia="宋体" w:hAnsi="Times New Roman" w:cs="Times New Roman"/>
      <w:spacing w:val="8"/>
      <w:kern w:val="0"/>
      <w:sz w:val="30"/>
      <w:szCs w:val="20"/>
    </w:rPr>
  </w:style>
  <w:style w:type="paragraph" w:customStyle="1" w:styleId="xl149">
    <w:name w:val="xl149"/>
    <w:basedOn w:val="a"/>
    <w:qFormat/>
    <w:pPr>
      <w:widowControl/>
      <w:pBdr>
        <w:bottom w:val="single" w:sz="8" w:space="0" w:color="auto"/>
        <w:right w:val="single" w:sz="4"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Char180">
    <w:name w:val="Char18"/>
    <w:basedOn w:val="a"/>
    <w:qFormat/>
    <w:rPr>
      <w:rFonts w:ascii="Times New Roman" w:eastAsia="宋体" w:hAnsi="Times New Roman" w:cs="Times New Roman"/>
      <w:szCs w:val="21"/>
    </w:rPr>
  </w:style>
  <w:style w:type="paragraph" w:customStyle="1" w:styleId="200">
    <w:name w:val="样式 标题 2 + 首行缩进:  0 字符"/>
    <w:basedOn w:val="2"/>
    <w:next w:val="2"/>
    <w:qFormat/>
    <w:pPr>
      <w:adjustRightInd w:val="0"/>
      <w:snapToGrid w:val="0"/>
      <w:spacing w:beforeLines="100" w:before="240" w:after="0" w:line="360" w:lineRule="auto"/>
    </w:pPr>
    <w:rPr>
      <w:rFonts w:ascii="宋体" w:eastAsia="宋体" w:hAnsi="宋体" w:cs="Times New Roman"/>
      <w:sz w:val="24"/>
      <w:szCs w:val="20"/>
    </w:rPr>
  </w:style>
  <w:style w:type="paragraph" w:customStyle="1" w:styleId="xl19">
    <w:name w:val="xl19"/>
    <w:basedOn w:val="a"/>
    <w:qFormat/>
    <w:pPr>
      <w:widowControl/>
      <w:spacing w:before="100" w:beforeAutospacing="1" w:after="100" w:afterAutospacing="1"/>
      <w:jc w:val="center"/>
      <w:textAlignment w:val="center"/>
    </w:pPr>
    <w:rPr>
      <w:rFonts w:ascii="宋体" w:eastAsia="宋体" w:hAnsi="宋体" w:cs="Times New Roman"/>
      <w:kern w:val="0"/>
      <w:sz w:val="18"/>
      <w:szCs w:val="18"/>
    </w:rPr>
  </w:style>
  <w:style w:type="paragraph" w:customStyle="1" w:styleId="xl103">
    <w:name w:val="xl103"/>
    <w:basedOn w:val="a"/>
    <w:qFormat/>
    <w:pPr>
      <w:widowControl/>
      <w:pBdr>
        <w:left w:val="single" w:sz="4" w:space="0" w:color="auto"/>
        <w:right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afffffffffffffffffff6">
    <w:name w:val="标题一"/>
    <w:basedOn w:val="a"/>
    <w:next w:val="a"/>
    <w:qFormat/>
    <w:pPr>
      <w:widowControl/>
      <w:jc w:val="center"/>
    </w:pPr>
    <w:rPr>
      <w:rFonts w:ascii="宋体" w:eastAsia="宋体" w:hAnsi="宋体" w:cs="宋体"/>
      <w:b/>
      <w:kern w:val="0"/>
      <w:sz w:val="32"/>
      <w:szCs w:val="24"/>
    </w:rPr>
  </w:style>
  <w:style w:type="paragraph" w:customStyle="1" w:styleId="22Char2CharCharChar11H2Underrubr1">
    <w:name w:val="样式 标题 2标题 2 Char标题 2 Char Char Char节节标题 1.1H2（一）Underrubr...1"/>
    <w:basedOn w:val="2"/>
    <w:qFormat/>
    <w:pPr>
      <w:tabs>
        <w:tab w:val="left" w:pos="932"/>
        <w:tab w:val="left" w:pos="1419"/>
      </w:tabs>
      <w:spacing w:before="0" w:after="0" w:line="360" w:lineRule="auto"/>
      <w:ind w:left="932" w:hanging="567"/>
    </w:pPr>
    <w:rPr>
      <w:rFonts w:ascii="Times New Roman" w:eastAsia="宋体" w:hAnsi="Times New Roman" w:cs="Times New Roman"/>
      <w:b w:val="0"/>
      <w:color w:val="000000"/>
      <w:sz w:val="30"/>
      <w:szCs w:val="20"/>
    </w:rPr>
  </w:style>
  <w:style w:type="paragraph" w:customStyle="1" w:styleId="xl107">
    <w:name w:val="xl107"/>
    <w:basedOn w:val="a"/>
    <w:qFormat/>
    <w:pPr>
      <w:widowControl/>
      <w:pBdr>
        <w:bottom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134">
    <w:name w:val="正文13"/>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xl168">
    <w:name w:val="xl168"/>
    <w:basedOn w:val="a"/>
    <w:qFormat/>
    <w:pPr>
      <w:widowControl/>
      <w:pBdr>
        <w:bottom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CharCharCharCharCharCharCharCharChar1CharCharCharChar4">
    <w:name w:val="Char Char Char Char Char Char Char Char Char1 Char Char Char Char4"/>
    <w:basedOn w:val="a"/>
    <w:qFormat/>
    <w:rPr>
      <w:rFonts w:ascii="Times New Roman" w:eastAsia="宋体" w:hAnsi="Times New Roman" w:cs="Times New Roman"/>
      <w:szCs w:val="21"/>
    </w:rPr>
  </w:style>
  <w:style w:type="paragraph" w:customStyle="1" w:styleId="xl76">
    <w:name w:val="xl76"/>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font30">
    <w:name w:val="font30"/>
    <w:basedOn w:val="a"/>
    <w:qFormat/>
    <w:pPr>
      <w:widowControl/>
      <w:spacing w:before="100" w:beforeAutospacing="1" w:after="100" w:afterAutospacing="1"/>
      <w:jc w:val="left"/>
    </w:pPr>
    <w:rPr>
      <w:rFonts w:ascii="Times New Roman" w:eastAsia="宋体" w:hAnsi="Times New Roman" w:cs="Times New Roman"/>
      <w:kern w:val="0"/>
      <w:sz w:val="15"/>
      <w:szCs w:val="15"/>
    </w:rPr>
  </w:style>
  <w:style w:type="paragraph" w:customStyle="1" w:styleId="Char410">
    <w:name w:val="Char41"/>
    <w:basedOn w:val="a"/>
    <w:qFormat/>
    <w:rPr>
      <w:rFonts w:ascii="Times New Roman" w:eastAsia="宋体" w:hAnsi="Times New Roman" w:cs="Times New Roman"/>
      <w:sz w:val="24"/>
      <w:szCs w:val="24"/>
    </w:rPr>
  </w:style>
  <w:style w:type="paragraph" w:customStyle="1" w:styleId="style6">
    <w:name w:val="style6"/>
    <w:basedOn w:val="a"/>
    <w:qFormat/>
    <w:pPr>
      <w:widowControl/>
      <w:spacing w:before="100" w:beforeAutospacing="1" w:after="100" w:afterAutospacing="1"/>
      <w:jc w:val="left"/>
    </w:pPr>
    <w:rPr>
      <w:rFonts w:ascii="宋体" w:eastAsia="宋体" w:hAnsi="宋体" w:cs="Times New Roman"/>
      <w:kern w:val="0"/>
      <w:sz w:val="20"/>
      <w:szCs w:val="20"/>
    </w:rPr>
  </w:style>
  <w:style w:type="paragraph" w:customStyle="1" w:styleId="Char3CharCharChar2">
    <w:name w:val="Char3 Char Char Char2"/>
    <w:basedOn w:val="a"/>
    <w:semiHidden/>
    <w:qFormat/>
    <w:rPr>
      <w:rFonts w:ascii="Times New Roman" w:eastAsia="宋体" w:hAnsi="Times New Roman" w:cs="Times New Roman"/>
      <w:sz w:val="28"/>
      <w:szCs w:val="24"/>
    </w:rPr>
  </w:style>
  <w:style w:type="paragraph" w:customStyle="1" w:styleId="Instll">
    <w:name w:val="InstÀÀll"/>
    <w:qFormat/>
    <w:pPr>
      <w:tabs>
        <w:tab w:val="left" w:pos="-720"/>
      </w:tabs>
      <w:suppressAutoHyphens/>
      <w:jc w:val="both"/>
    </w:pPr>
    <w:rPr>
      <w:rFonts w:ascii="Courier" w:eastAsia="宋体" w:hAnsi="Courier" w:cs="Times New Roman"/>
      <w:spacing w:val="-3"/>
      <w:sz w:val="24"/>
      <w:lang w:eastAsia="sv-SE"/>
    </w:rPr>
  </w:style>
  <w:style w:type="paragraph" w:customStyle="1" w:styleId="CharCharCharCharCharCharCharCharChar1Char1">
    <w:name w:val="Char Char Char Char Char Char Char Char Char1 Char1"/>
    <w:basedOn w:val="a"/>
    <w:qFormat/>
    <w:pPr>
      <w:widowControl/>
      <w:spacing w:after="160" w:line="240" w:lineRule="exact"/>
      <w:jc w:val="left"/>
    </w:pPr>
    <w:rPr>
      <w:rFonts w:ascii="Arial" w:eastAsia="宋体" w:hAnsi="Arial" w:cs="Verdana"/>
      <w:b/>
      <w:kern w:val="0"/>
      <w:sz w:val="24"/>
      <w:szCs w:val="24"/>
      <w:lang w:eastAsia="en-US"/>
    </w:rPr>
  </w:style>
  <w:style w:type="paragraph" w:customStyle="1" w:styleId="0013">
    <w:name w:val="标题001"/>
    <w:basedOn w:val="a"/>
    <w:qFormat/>
    <w:pPr>
      <w:spacing w:before="60" w:line="480" w:lineRule="exact"/>
      <w:outlineLvl w:val="0"/>
    </w:pPr>
    <w:rPr>
      <w:rFonts w:ascii="Times New Roman" w:eastAsia="宋体" w:hAnsi="Times New Roman" w:cs="Times New Roman"/>
      <w:b/>
      <w:sz w:val="32"/>
      <w:szCs w:val="20"/>
    </w:rPr>
  </w:style>
  <w:style w:type="paragraph" w:customStyle="1" w:styleId="BodyTextIndent22">
    <w:name w:val="Body Text Indent 22"/>
    <w:basedOn w:val="a"/>
    <w:qFormat/>
    <w:pPr>
      <w:adjustRightInd w:val="0"/>
      <w:spacing w:line="480" w:lineRule="atLeast"/>
      <w:ind w:firstLine="630"/>
      <w:textAlignment w:val="baseline"/>
    </w:pPr>
    <w:rPr>
      <w:rFonts w:ascii="宋体" w:eastAsia="宋体" w:hAnsi="Times New Roman" w:cs="Times New Roman"/>
      <w:sz w:val="28"/>
      <w:szCs w:val="20"/>
    </w:rPr>
  </w:style>
  <w:style w:type="paragraph" w:customStyle="1" w:styleId="afffffffffffffffffff7">
    <w:name w:val="五级无标题条"/>
    <w:basedOn w:val="a"/>
    <w:qFormat/>
    <w:rPr>
      <w:rFonts w:ascii="Times New Roman" w:eastAsia="宋体" w:hAnsi="Times New Roman" w:cs="Times New Roman"/>
      <w:szCs w:val="24"/>
    </w:rPr>
  </w:style>
  <w:style w:type="paragraph" w:customStyle="1" w:styleId="5f1">
    <w:name w:val="表小5"/>
    <w:basedOn w:val="a"/>
    <w:qFormat/>
    <w:pPr>
      <w:widowControl/>
      <w:tabs>
        <w:tab w:val="left" w:pos="0"/>
        <w:tab w:val="left" w:pos="2619"/>
      </w:tabs>
      <w:jc w:val="center"/>
    </w:pPr>
    <w:rPr>
      <w:rFonts w:ascii="宋体" w:eastAsia="宋体" w:hAnsi="宋体" w:cs="Times New Roman"/>
      <w:szCs w:val="20"/>
    </w:rPr>
  </w:style>
  <w:style w:type="paragraph" w:customStyle="1" w:styleId="xl108">
    <w:name w:val="xl108"/>
    <w:basedOn w:val="a"/>
    <w:qFormat/>
    <w:pPr>
      <w:widowControl/>
      <w:pBdr>
        <w:bottom w:val="single" w:sz="8"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22Char2CharCharChar11H2Underrubr3">
    <w:name w:val="样式 标题 2标题 2 Char标题 2 Char Char Char节节标题 1.1H2（一）Underrubr...3"/>
    <w:basedOn w:val="2"/>
    <w:qFormat/>
    <w:pPr>
      <w:tabs>
        <w:tab w:val="left" w:pos="932"/>
        <w:tab w:val="left" w:pos="1419"/>
      </w:tabs>
      <w:spacing w:before="0" w:after="0" w:line="360" w:lineRule="auto"/>
      <w:ind w:left="932" w:hanging="567"/>
    </w:pPr>
    <w:rPr>
      <w:rFonts w:ascii="Times New Roman" w:eastAsia="宋体" w:hAnsi="Times New Roman" w:cs="Times New Roman"/>
      <w:b w:val="0"/>
      <w:bCs w:val="0"/>
      <w:color w:val="000000"/>
      <w:sz w:val="30"/>
      <w:szCs w:val="20"/>
    </w:rPr>
  </w:style>
  <w:style w:type="paragraph" w:customStyle="1" w:styleId="xl143">
    <w:name w:val="xl143"/>
    <w:basedOn w:val="a"/>
    <w:qFormat/>
    <w:pPr>
      <w:widowControl/>
      <w:pBdr>
        <w:top w:val="single" w:sz="8" w:space="0" w:color="auto"/>
        <w:left w:val="single" w:sz="4" w:space="0" w:color="auto"/>
        <w:bottom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CharChar1CharCharCharCharCharChar1CharCharCharCharCharCharCharCharCharChar3">
    <w:name w:val="Char Char Char1 Char Char Char Char Char Char1 Char Char Char Char Char Char Char Char Char Char3"/>
    <w:basedOn w:val="a"/>
    <w:qFormat/>
    <w:rPr>
      <w:rFonts w:ascii="宋体" w:eastAsia="宋体" w:hAnsi="宋体" w:cs="Times New Roman"/>
      <w:sz w:val="24"/>
      <w:szCs w:val="24"/>
    </w:rPr>
  </w:style>
  <w:style w:type="paragraph" w:customStyle="1" w:styleId="hb2">
    <w:name w:val="hb2"/>
    <w:basedOn w:val="2"/>
    <w:qFormat/>
    <w:pPr>
      <w:tabs>
        <w:tab w:val="left" w:pos="1419"/>
      </w:tabs>
      <w:topLinePunct/>
      <w:spacing w:line="416" w:lineRule="atLeast"/>
      <w:jc w:val="left"/>
    </w:pPr>
    <w:rPr>
      <w:rFonts w:ascii="宋体" w:eastAsia="宋体" w:hAnsi="Times New Roman" w:cs="Arial"/>
      <w:sz w:val="24"/>
      <w:szCs w:val="24"/>
    </w:rPr>
  </w:style>
  <w:style w:type="paragraph" w:customStyle="1" w:styleId="xl165">
    <w:name w:val="xl165"/>
    <w:basedOn w:val="a"/>
    <w:qFormat/>
    <w:pPr>
      <w:widowControl/>
      <w:pBdr>
        <w:top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CharCharChar70">
    <w:name w:val="Char Char Char7"/>
    <w:basedOn w:val="a"/>
    <w:qFormat/>
    <w:rPr>
      <w:rFonts w:ascii="Times New Roman" w:eastAsia="宋体" w:hAnsi="Times New Roman" w:cs="Times New Roman"/>
      <w:sz w:val="24"/>
      <w:szCs w:val="24"/>
    </w:rPr>
  </w:style>
  <w:style w:type="paragraph" w:customStyle="1" w:styleId="241">
    <w:name w:val="样式 小四 行距: 固定值 24 磅"/>
    <w:basedOn w:val="a"/>
    <w:qFormat/>
    <w:pPr>
      <w:spacing w:line="500" w:lineRule="exact"/>
      <w:ind w:firstLineChars="200" w:firstLine="200"/>
    </w:pPr>
    <w:rPr>
      <w:rFonts w:ascii="Times New Roman" w:eastAsia="宋体" w:hAnsi="Times New Roman" w:cs="Times New Roman"/>
      <w:sz w:val="24"/>
      <w:szCs w:val="24"/>
    </w:rPr>
  </w:style>
  <w:style w:type="paragraph" w:customStyle="1" w:styleId="xl58">
    <w:name w:val="xl58"/>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
    <w:qFormat/>
    <w:pPr>
      <w:spacing w:before="60" w:line="360" w:lineRule="auto"/>
      <w:ind w:firstLineChars="200" w:firstLine="200"/>
    </w:pPr>
    <w:rPr>
      <w:rFonts w:ascii="宋体" w:eastAsia="宋体" w:hAnsi="宋体" w:cs="宋体"/>
      <w:sz w:val="24"/>
      <w:szCs w:val="24"/>
    </w:rPr>
  </w:style>
  <w:style w:type="paragraph" w:customStyle="1" w:styleId="xl187">
    <w:name w:val="xl187"/>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eastAsia="宋体" w:hAnsi="Times New Roman" w:cs="Times New Roman"/>
      <w:kern w:val="0"/>
      <w:sz w:val="16"/>
      <w:szCs w:val="16"/>
    </w:rPr>
  </w:style>
  <w:style w:type="paragraph" w:customStyle="1" w:styleId="a30">
    <w:name w:val="a3"/>
    <w:basedOn w:val="a"/>
    <w:qFormat/>
    <w:pPr>
      <w:widowControl/>
      <w:spacing w:before="100" w:beforeAutospacing="1" w:after="100" w:afterAutospacing="1"/>
      <w:jc w:val="left"/>
    </w:pPr>
    <w:rPr>
      <w:rFonts w:ascii="宋体" w:eastAsia="宋体" w:hAnsi="宋体" w:cs="Times New Roman"/>
      <w:color w:val="000000"/>
      <w:kern w:val="0"/>
      <w:sz w:val="24"/>
      <w:szCs w:val="24"/>
    </w:rPr>
  </w:style>
  <w:style w:type="paragraph" w:customStyle="1" w:styleId="CharCharCharCharCharCharCharCharChar1Char2">
    <w:name w:val="Char Char Char Char Char Char Char Char Char1 Char2"/>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afffffffffffffffffff8">
    <w:name w:val="文本框"/>
    <w:basedOn w:val="a"/>
    <w:qFormat/>
    <w:pPr>
      <w:adjustRightInd w:val="0"/>
      <w:snapToGrid w:val="0"/>
      <w:spacing w:line="300" w:lineRule="exact"/>
      <w:jc w:val="center"/>
    </w:pPr>
    <w:rPr>
      <w:rFonts w:ascii="Times New Roman" w:eastAsia="宋体" w:hAnsi="Times New Roman" w:cs="Times New Roman"/>
      <w:sz w:val="24"/>
      <w:szCs w:val="24"/>
    </w:rPr>
  </w:style>
  <w:style w:type="paragraph" w:customStyle="1" w:styleId="2CharCharCharCharCharCharCharCharCharChar">
    <w:name w:val="2 Char Char Char Char Char Char Char Char Char Char"/>
    <w:basedOn w:val="a"/>
    <w:semiHidden/>
    <w:qFormat/>
    <w:rPr>
      <w:rFonts w:ascii="Times New Roman" w:eastAsia="宋体" w:hAnsi="Times New Roman" w:cs="Times New Roman"/>
      <w:szCs w:val="24"/>
    </w:rPr>
  </w:style>
  <w:style w:type="paragraph" w:customStyle="1" w:styleId="Charfffffff8">
    <w:name w:val="文本框五号 Char"/>
    <w:semiHidden/>
    <w:qFormat/>
    <w:pPr>
      <w:jc w:val="center"/>
    </w:pPr>
    <w:rPr>
      <w:rFonts w:ascii="Times New Roman" w:eastAsia="仿宋_GB2312" w:hAnsi="Times New Roman" w:cs="Times New Roman"/>
      <w:kern w:val="2"/>
      <w:sz w:val="21"/>
      <w:szCs w:val="21"/>
    </w:rPr>
  </w:style>
  <w:style w:type="paragraph" w:customStyle="1" w:styleId="2fffff7">
    <w:name w:val="首2页环科所名称日期"/>
    <w:basedOn w:val="afffffffffffffffc"/>
    <w:qFormat/>
    <w:pPr>
      <w:spacing w:line="360" w:lineRule="auto"/>
    </w:pPr>
    <w:rPr>
      <w:rFonts w:ascii="楷体" w:eastAsia="楷体" w:hAnsi="楷体"/>
      <w:b/>
      <w:sz w:val="36"/>
      <w:szCs w:val="36"/>
    </w:rPr>
  </w:style>
  <w:style w:type="paragraph" w:customStyle="1" w:styleId="xl99">
    <w:name w:val="xl99"/>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192">
    <w:name w:val="19"/>
    <w:qFormat/>
    <w:pPr>
      <w:widowControl w:val="0"/>
      <w:jc w:val="both"/>
    </w:pPr>
    <w:rPr>
      <w:rFonts w:ascii="Times New Roman" w:eastAsia="宋体" w:hAnsi="Times New Roman" w:cs="Times New Roman"/>
      <w:kern w:val="2"/>
      <w:sz w:val="21"/>
      <w:szCs w:val="24"/>
    </w:rPr>
  </w:style>
  <w:style w:type="paragraph" w:customStyle="1" w:styleId="1fffff5">
    <w:name w:val="表格内容1"/>
    <w:basedOn w:val="a"/>
    <w:qFormat/>
    <w:pPr>
      <w:jc w:val="center"/>
    </w:pPr>
    <w:rPr>
      <w:rFonts w:ascii="Times New Roman" w:eastAsia="宋体" w:hAnsi="Times New Roman" w:cs="宋体"/>
      <w:szCs w:val="20"/>
    </w:rPr>
  </w:style>
  <w:style w:type="paragraph" w:customStyle="1" w:styleId="xl100">
    <w:name w:val="xl100"/>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font12">
    <w:name w:val="font12"/>
    <w:basedOn w:val="a"/>
    <w:qFormat/>
    <w:pPr>
      <w:widowControl/>
      <w:spacing w:before="100" w:beforeAutospacing="1" w:after="100" w:afterAutospacing="1"/>
      <w:jc w:val="left"/>
    </w:pPr>
    <w:rPr>
      <w:rFonts w:ascii="Times New Roman" w:eastAsia="Arial Unicode MS" w:hAnsi="Times New Roman" w:cs="Times New Roman"/>
      <w:kern w:val="0"/>
      <w:szCs w:val="21"/>
    </w:rPr>
  </w:style>
  <w:style w:type="paragraph" w:customStyle="1" w:styleId="2lxb2211H2h2Char41SeHea">
    <w:name w:val="样式 标题 2二级标题标题 lxb2标题21.1H2h2第一层条二级标题 Char单位名4.1SeHea..."/>
    <w:basedOn w:val="affffffff0"/>
    <w:next w:val="affffffff0"/>
    <w:semiHidden/>
    <w:qFormat/>
    <w:pPr>
      <w:ind w:firstLineChars="0" w:firstLine="0"/>
    </w:pPr>
    <w:rPr>
      <w:rFonts w:eastAsia="黑体" w:cs="宋体"/>
      <w:b/>
      <w:lang w:val="zh-CN"/>
    </w:rPr>
  </w:style>
  <w:style w:type="paragraph" w:customStyle="1" w:styleId="1fffff6">
    <w:name w:val="正文首行缩进1"/>
    <w:basedOn w:val="a"/>
    <w:qFormat/>
    <w:pPr>
      <w:ind w:firstLine="420"/>
    </w:pPr>
    <w:rPr>
      <w:rFonts w:ascii="Times New Roman" w:eastAsia="宋体" w:hAnsi="Times New Roman" w:cs="Times New Roman"/>
      <w:sz w:val="28"/>
      <w:szCs w:val="20"/>
    </w:rPr>
  </w:style>
  <w:style w:type="paragraph" w:customStyle="1" w:styleId="afffffffffffffffffff9">
    <w:name w:val="表头文字"/>
    <w:basedOn w:val="a"/>
    <w:qFormat/>
    <w:pPr>
      <w:spacing w:line="360" w:lineRule="auto"/>
      <w:jc w:val="center"/>
    </w:pPr>
    <w:rPr>
      <w:rFonts w:ascii="Times New Roman" w:eastAsia="楷体_GB2312" w:hAnsi="Times New Roman" w:cs="Times New Roman"/>
      <w:b/>
      <w:sz w:val="24"/>
      <w:szCs w:val="20"/>
    </w:rPr>
  </w:style>
  <w:style w:type="paragraph" w:customStyle="1" w:styleId="afffffffffffffffffffa">
    <w:name w:val="原料"/>
    <w:basedOn w:val="a"/>
    <w:qFormat/>
    <w:pPr>
      <w:adjustRightInd w:val="0"/>
      <w:spacing w:line="315" w:lineRule="atLeast"/>
      <w:jc w:val="left"/>
      <w:textAlignment w:val="baseline"/>
    </w:pPr>
    <w:rPr>
      <w:rFonts w:ascii="宋体" w:eastAsia="宋体" w:hAnsi="宋体" w:cs="Times New Roman"/>
      <w:spacing w:val="-2"/>
      <w:kern w:val="0"/>
      <w:sz w:val="28"/>
      <w:szCs w:val="20"/>
    </w:rPr>
  </w:style>
  <w:style w:type="paragraph" w:customStyle="1" w:styleId="Charfffffff9">
    <w:name w:val="表号 Char"/>
    <w:basedOn w:val="a"/>
    <w:qFormat/>
    <w:pPr>
      <w:snapToGrid w:val="0"/>
      <w:ind w:firstLine="480"/>
    </w:pPr>
    <w:rPr>
      <w:rFonts w:ascii="Times New Roman" w:eastAsia="宋体" w:hAnsi="Times New Roman" w:cs="Times New Roman"/>
      <w:kern w:val="32"/>
      <w:sz w:val="24"/>
      <w:szCs w:val="20"/>
    </w:rPr>
  </w:style>
  <w:style w:type="paragraph" w:customStyle="1" w:styleId="GB2312093">
    <w:name w:val="样式 正文文字 + 楷体_GB2312 四号 首行缩进:  0.93 厘米"/>
    <w:basedOn w:val="af5"/>
    <w:qFormat/>
    <w:pPr>
      <w:widowControl/>
      <w:tabs>
        <w:tab w:val="left" w:pos="3360"/>
      </w:tabs>
      <w:spacing w:after="0" w:line="600" w:lineRule="exact"/>
      <w:ind w:firstLine="570"/>
    </w:pPr>
    <w:rPr>
      <w:rFonts w:ascii="宋体" w:eastAsia="宋体" w:hAnsi="宋体" w:cs="Times New Roman"/>
      <w:color w:val="000000"/>
      <w:spacing w:val="-2"/>
      <w:kern w:val="0"/>
      <w:sz w:val="28"/>
      <w:szCs w:val="20"/>
    </w:rPr>
  </w:style>
  <w:style w:type="paragraph" w:customStyle="1" w:styleId="chenxutu">
    <w:name w:val="chenxutu"/>
    <w:basedOn w:val="a"/>
    <w:qFormat/>
    <w:pPr>
      <w:widowControl/>
      <w:adjustRightInd w:val="0"/>
      <w:snapToGrid w:val="0"/>
      <w:spacing w:line="480" w:lineRule="exact"/>
      <w:jc w:val="center"/>
    </w:pPr>
    <w:rPr>
      <w:rFonts w:ascii="宋体" w:eastAsia="宋体" w:hAnsi="宋体" w:cs="宋体"/>
      <w:kern w:val="0"/>
      <w:sz w:val="24"/>
      <w:szCs w:val="24"/>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3261">
    <w:name w:val="标题3  2.6.1"/>
    <w:basedOn w:val="2"/>
    <w:qFormat/>
    <w:pPr>
      <w:tabs>
        <w:tab w:val="left" w:pos="1419"/>
      </w:tabs>
      <w:spacing w:beforeLines="50" w:before="50" w:after="0" w:line="360" w:lineRule="auto"/>
    </w:pPr>
    <w:rPr>
      <w:rFonts w:ascii="Times New Roman" w:eastAsia="黑体" w:hAnsi="Times New Roman" w:cs="宋体"/>
      <w:sz w:val="28"/>
      <w:szCs w:val="20"/>
    </w:rPr>
  </w:style>
  <w:style w:type="paragraph" w:customStyle="1" w:styleId="Bullet">
    <w:name w:val="Bullet"/>
    <w:basedOn w:val="a"/>
    <w:qFormat/>
    <w:pPr>
      <w:widowControl/>
      <w:tabs>
        <w:tab w:val="left" w:pos="2040"/>
      </w:tabs>
      <w:spacing w:after="60" w:line="300" w:lineRule="atLeast"/>
      <w:ind w:left="2040" w:hanging="360"/>
    </w:pPr>
    <w:rPr>
      <w:rFonts w:ascii="Times New Roman" w:eastAsia="宋体" w:hAnsi="Times New Roman" w:cs="Times New Roman"/>
      <w:kern w:val="0"/>
      <w:sz w:val="22"/>
      <w:szCs w:val="24"/>
    </w:rPr>
  </w:style>
  <w:style w:type="paragraph" w:customStyle="1" w:styleId="font28">
    <w:name w:val="font28"/>
    <w:basedOn w:val="a"/>
    <w:qFormat/>
    <w:pPr>
      <w:widowControl/>
      <w:spacing w:before="100" w:beforeAutospacing="1" w:after="100" w:afterAutospacing="1"/>
      <w:jc w:val="left"/>
    </w:pPr>
    <w:rPr>
      <w:rFonts w:ascii="Times New Roman" w:eastAsia="宋体" w:hAnsi="Times New Roman" w:cs="Times New Roman"/>
      <w:color w:val="00FFFF"/>
      <w:kern w:val="0"/>
      <w:sz w:val="18"/>
      <w:szCs w:val="18"/>
    </w:rPr>
  </w:style>
  <w:style w:type="paragraph" w:customStyle="1" w:styleId="xl26">
    <w:name w:val="xl2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szCs w:val="24"/>
    </w:rPr>
  </w:style>
  <w:style w:type="paragraph" w:customStyle="1" w:styleId="afffffffffffffffffffb">
    <w:name w:val="文本框文字"/>
    <w:basedOn w:val="a"/>
    <w:qFormat/>
    <w:pPr>
      <w:adjustRightInd w:val="0"/>
      <w:jc w:val="center"/>
      <w:textAlignment w:val="baseline"/>
    </w:pPr>
    <w:rPr>
      <w:rFonts w:ascii="Times New Roman" w:eastAsia="宋体" w:hAnsi="Times New Roman" w:cs="Times New Roman"/>
      <w:kern w:val="0"/>
      <w:szCs w:val="20"/>
    </w:rPr>
  </w:style>
  <w:style w:type="paragraph" w:customStyle="1" w:styleId="1fffff7">
    <w:name w:val="样式 表格文字 + (西文) 宋体 (中文) 华文仿宋 小四 黑色1"/>
    <w:basedOn w:val="affffffffb"/>
    <w:qFormat/>
    <w:pPr>
      <w:tabs>
        <w:tab w:val="left" w:pos="560"/>
      </w:tabs>
      <w:overflowPunct w:val="0"/>
      <w:adjustRightInd w:val="0"/>
      <w:snapToGrid w:val="0"/>
      <w:spacing w:line="400" w:lineRule="exact"/>
    </w:pPr>
    <w:rPr>
      <w:rFonts w:hAnsi="宋体" w:cs="宋体"/>
      <w:color w:val="000000"/>
      <w:kern w:val="0"/>
      <w:sz w:val="21"/>
      <w:szCs w:val="21"/>
    </w:rPr>
  </w:style>
  <w:style w:type="paragraph" w:customStyle="1" w:styleId="afffffffffffffffffffc">
    <w:name w:val="款"/>
    <w:basedOn w:val="a"/>
    <w:qFormat/>
    <w:pPr>
      <w:spacing w:line="360" w:lineRule="auto"/>
    </w:pPr>
    <w:rPr>
      <w:rFonts w:ascii="Times New Roman" w:eastAsia="宋体" w:hAnsi="Times New Roman" w:cs="Times New Roman"/>
      <w:szCs w:val="20"/>
    </w:rPr>
  </w:style>
  <w:style w:type="paragraph" w:customStyle="1" w:styleId="ST2055">
    <w:name w:val="ST20_55"/>
    <w:basedOn w:val="a"/>
    <w:qFormat/>
    <w:pPr>
      <w:tabs>
        <w:tab w:val="left" w:pos="2160"/>
      </w:tabs>
      <w:autoSpaceDE w:val="0"/>
      <w:autoSpaceDN w:val="0"/>
      <w:adjustRightInd w:val="0"/>
      <w:spacing w:after="80" w:line="360" w:lineRule="atLeast"/>
      <w:ind w:left="2160" w:hanging="360"/>
      <w:jc w:val="left"/>
      <w:textAlignment w:val="baseline"/>
    </w:pPr>
    <w:rPr>
      <w:rFonts w:ascii="宋体" w:eastAsia="宋体" w:hAnsi="Tms Rmn" w:cs="Times New Roman"/>
      <w:kern w:val="0"/>
      <w:sz w:val="28"/>
      <w:szCs w:val="20"/>
    </w:rPr>
  </w:style>
  <w:style w:type="paragraph" w:customStyle="1" w:styleId="1111H1SectionHeadHeader1h11stlevell1Hea">
    <w:name w:val="样式 标题 11.标题 1章标题 1H1Section HeadHeader1h11st levell1Hea..."/>
    <w:basedOn w:val="1"/>
    <w:qFormat/>
    <w:pPr>
      <w:keepNext/>
      <w:keepLines/>
      <w:tabs>
        <w:tab w:val="left" w:pos="425"/>
      </w:tabs>
      <w:spacing w:before="0" w:line="360" w:lineRule="auto"/>
      <w:ind w:left="425" w:hanging="425"/>
      <w:jc w:val="both"/>
    </w:pPr>
    <w:rPr>
      <w:rFonts w:eastAsia="宋体" w:cs="宋体"/>
      <w:b w:val="0"/>
      <w:bCs w:val="0"/>
      <w:kern w:val="44"/>
      <w:sz w:val="30"/>
      <w:szCs w:val="20"/>
      <w:lang w:eastAsia="zh-CN"/>
    </w:rPr>
  </w:style>
  <w:style w:type="paragraph" w:customStyle="1" w:styleId="CharCharCharCharCharChar1CharCharCharChar2">
    <w:name w:val="Char Char Char Char Char Char1 Char Char Char Char2"/>
    <w:basedOn w:val="a"/>
    <w:qFormat/>
    <w:rPr>
      <w:rFonts w:ascii="Times New Roman" w:eastAsia="宋体" w:hAnsi="Times New Roman" w:cs="Times New Roman"/>
      <w:sz w:val="24"/>
      <w:szCs w:val="24"/>
    </w:rPr>
  </w:style>
  <w:style w:type="paragraph" w:customStyle="1" w:styleId="Char3CharCharChar1">
    <w:name w:val="Char3 Char Char Char1"/>
    <w:basedOn w:val="a"/>
    <w:semiHidden/>
    <w:qFormat/>
    <w:rPr>
      <w:rFonts w:ascii="Times New Roman" w:eastAsia="宋体" w:hAnsi="Times New Roman" w:cs="Times New Roman"/>
      <w:sz w:val="28"/>
      <w:szCs w:val="24"/>
    </w:rPr>
  </w:style>
  <w:style w:type="paragraph" w:customStyle="1" w:styleId="CharCharChar1CharCharCharCharCharCharCharCharCharChar3">
    <w:name w:val="Char Char Char1 Char Char Char Char Char Char Char Char Char Char3"/>
    <w:basedOn w:val="a"/>
    <w:qFormat/>
    <w:rPr>
      <w:rFonts w:ascii="Times New Roman" w:eastAsia="宋体" w:hAnsi="Times New Roman" w:cs="Times New Roman"/>
      <w:szCs w:val="20"/>
    </w:rPr>
  </w:style>
  <w:style w:type="paragraph" w:customStyle="1" w:styleId="3xi1">
    <w:name w:val="3xi1"/>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1CharCharCharCharCharChar">
    <w:name w:val="Char Char Char Char Char Char Char Char Char Char Char1 Char Char Char Char Char Char"/>
    <w:basedOn w:val="a"/>
    <w:qFormat/>
    <w:rPr>
      <w:rFonts w:ascii="Times New Roman" w:eastAsia="宋体" w:hAnsi="Times New Roman" w:cs="Times New Roman"/>
      <w:sz w:val="24"/>
      <w:szCs w:val="24"/>
    </w:rPr>
  </w:style>
  <w:style w:type="paragraph" w:customStyle="1" w:styleId="Char170">
    <w:name w:val="Char17"/>
    <w:basedOn w:val="a"/>
    <w:qFormat/>
    <w:rPr>
      <w:rFonts w:ascii="Times New Roman" w:eastAsia="宋体" w:hAnsi="Times New Roman" w:cs="Times New Roman"/>
      <w:szCs w:val="21"/>
    </w:rPr>
  </w:style>
  <w:style w:type="paragraph" w:customStyle="1" w:styleId="description">
    <w:name w:val="description"/>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11">
    <w:name w:val="Char Char Char11"/>
    <w:basedOn w:val="a"/>
    <w:qFormat/>
    <w:rPr>
      <w:rFonts w:ascii="Times New Roman" w:eastAsia="宋体" w:hAnsi="Times New Roman" w:cs="Times New Roman"/>
      <w:sz w:val="24"/>
      <w:szCs w:val="24"/>
    </w:rPr>
  </w:style>
  <w:style w:type="paragraph" w:customStyle="1" w:styleId="205">
    <w:name w:val="样式 标题 2 + 段后: 0.5 行"/>
    <w:basedOn w:val="2"/>
    <w:semiHidden/>
    <w:qFormat/>
    <w:pPr>
      <w:keepNext w:val="0"/>
      <w:keepLines w:val="0"/>
      <w:tabs>
        <w:tab w:val="left" w:pos="630"/>
        <w:tab w:val="left" w:pos="840"/>
        <w:tab w:val="left" w:pos="1287"/>
        <w:tab w:val="left" w:pos="1419"/>
        <w:tab w:val="left" w:pos="3920"/>
        <w:tab w:val="left" w:pos="5670"/>
      </w:tabs>
      <w:adjustRightInd w:val="0"/>
      <w:snapToGrid w:val="0"/>
      <w:spacing w:before="60" w:after="0" w:line="240" w:lineRule="auto"/>
      <w:ind w:firstLine="567"/>
    </w:pPr>
    <w:rPr>
      <w:rFonts w:ascii="Times New Roman" w:eastAsia="仿宋_GB2312" w:hAnsi="Times New Roman" w:cs="Times New Roman"/>
      <w:bCs w:val="0"/>
      <w:color w:val="000000"/>
      <w:sz w:val="30"/>
      <w:lang w:val="zh-CN"/>
    </w:rPr>
  </w:style>
  <w:style w:type="paragraph" w:customStyle="1" w:styleId="Style32">
    <w:name w:val="_Style 3"/>
    <w:basedOn w:val="a"/>
    <w:qFormat/>
    <w:pPr>
      <w:widowControl/>
      <w:adjustRightInd w:val="0"/>
      <w:spacing w:after="160" w:line="240" w:lineRule="exact"/>
      <w:jc w:val="left"/>
      <w:textAlignment w:val="baseline"/>
    </w:pPr>
    <w:rPr>
      <w:rFonts w:ascii="Times New Roman" w:eastAsia="宋体" w:hAnsi="Times New Roman" w:cs="Times New Roman"/>
      <w:szCs w:val="24"/>
    </w:rPr>
  </w:style>
  <w:style w:type="paragraph" w:customStyle="1" w:styleId="afffffffffffffffffffd">
    <w:name w:val="注："/>
    <w:next w:val="affffc"/>
    <w:qFormat/>
    <w:pPr>
      <w:widowControl w:val="0"/>
      <w:autoSpaceDE w:val="0"/>
      <w:autoSpaceDN w:val="0"/>
      <w:ind w:left="840" w:hanging="420"/>
      <w:jc w:val="both"/>
    </w:pPr>
    <w:rPr>
      <w:rFonts w:ascii="宋体" w:eastAsia="宋体" w:hAnsi="Times New Roman" w:cs="Times New Roman"/>
      <w:sz w:val="18"/>
    </w:rPr>
  </w:style>
  <w:style w:type="paragraph" w:customStyle="1" w:styleId="xl115">
    <w:name w:val="xl115"/>
    <w:basedOn w:val="a"/>
    <w:qFormat/>
    <w:pPr>
      <w:widowControl/>
      <w:pBdr>
        <w:left w:val="single" w:sz="4" w:space="0" w:color="auto"/>
      </w:pBdr>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CharCharChar14">
    <w:name w:val="Char Char Char1"/>
    <w:basedOn w:val="a"/>
    <w:qFormat/>
    <w:rPr>
      <w:rFonts w:ascii="Times New Roman" w:eastAsia="宋体" w:hAnsi="Times New Roman" w:cs="Times New Roman"/>
      <w:sz w:val="24"/>
      <w:szCs w:val="24"/>
    </w:rPr>
  </w:style>
  <w:style w:type="paragraph" w:customStyle="1" w:styleId="CM117">
    <w:name w:val="CM117"/>
    <w:basedOn w:val="Default"/>
    <w:next w:val="Default"/>
    <w:qFormat/>
    <w:pPr>
      <w:spacing w:after="58"/>
    </w:pPr>
    <w:rPr>
      <w:rFonts w:ascii="楷体_GB2312" w:eastAsia="楷体_GB2312" w:hAnsi="Times New Roman" w:cs="Times New Roman"/>
      <w:color w:val="auto"/>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
    <w:semiHidden/>
    <w:qFormat/>
    <w:rPr>
      <w:rFonts w:ascii="Times New Roman" w:eastAsia="宋体" w:hAnsi="Times New Roman" w:cs="Times New Roman"/>
      <w:szCs w:val="24"/>
    </w:rPr>
  </w:style>
  <w:style w:type="paragraph" w:customStyle="1" w:styleId="CharCharCharCharCharChar1CharCharCharChar5">
    <w:name w:val="Char Char Char Char Char Char1 Char Char Char Char5"/>
    <w:basedOn w:val="a"/>
    <w:qFormat/>
    <w:rPr>
      <w:rFonts w:ascii="Times New Roman" w:eastAsia="宋体" w:hAnsi="Times New Roman" w:cs="Times New Roman"/>
      <w:sz w:val="24"/>
      <w:szCs w:val="24"/>
    </w:rPr>
  </w:style>
  <w:style w:type="paragraph" w:customStyle="1" w:styleId="3fff">
    <w:name w:val="副标题3"/>
    <w:basedOn w:val="2fffff3"/>
    <w:qFormat/>
    <w:pPr>
      <w:keepLines/>
      <w:tabs>
        <w:tab w:val="clear" w:pos="720"/>
        <w:tab w:val="left" w:pos="672"/>
      </w:tabs>
      <w:snapToGrid w:val="0"/>
      <w:ind w:left="672" w:hanging="348"/>
      <w:jc w:val="both"/>
      <w:textAlignment w:val="auto"/>
      <w:outlineLvl w:val="3"/>
    </w:pPr>
    <w:rPr>
      <w:rFonts w:ascii="宋体" w:eastAsia="宋体"/>
      <w:kern w:val="0"/>
      <w:sz w:val="24"/>
    </w:rPr>
  </w:style>
  <w:style w:type="paragraph" w:customStyle="1" w:styleId="4f8">
    <w:name w:val="纯文本4"/>
    <w:basedOn w:val="a"/>
    <w:qFormat/>
    <w:pPr>
      <w:adjustRightInd w:val="0"/>
    </w:pPr>
    <w:rPr>
      <w:rFonts w:ascii="宋体" w:eastAsia="宋体" w:hAnsi="Courier New" w:cs="Times New Roman"/>
      <w:szCs w:val="20"/>
    </w:rPr>
  </w:style>
  <w:style w:type="paragraph" w:customStyle="1" w:styleId="CharCharCharChar16">
    <w:name w:val="Char Char Char Char16"/>
    <w:basedOn w:val="a"/>
    <w:qFormat/>
    <w:pPr>
      <w:widowControl/>
      <w:jc w:val="left"/>
    </w:pPr>
    <w:rPr>
      <w:rFonts w:ascii="Times New Roman" w:eastAsia="宋体" w:hAnsi="Times New Roman" w:cs="Times New Roman"/>
      <w:kern w:val="0"/>
      <w:sz w:val="24"/>
      <w:szCs w:val="20"/>
    </w:rPr>
  </w:style>
  <w:style w:type="paragraph" w:customStyle="1" w:styleId="font27">
    <w:name w:val="font27"/>
    <w:basedOn w:val="a"/>
    <w:qFormat/>
    <w:pPr>
      <w:widowControl/>
      <w:spacing w:before="100" w:beforeAutospacing="1" w:after="100" w:afterAutospacing="1"/>
      <w:jc w:val="left"/>
    </w:pPr>
    <w:rPr>
      <w:rFonts w:ascii="宋体" w:eastAsia="宋体" w:hAnsi="宋体" w:cs="宋体"/>
      <w:color w:val="00FFFF"/>
      <w:kern w:val="0"/>
      <w:sz w:val="18"/>
      <w:szCs w:val="18"/>
    </w:rPr>
  </w:style>
  <w:style w:type="paragraph" w:customStyle="1" w:styleId="CharCharCharChar17">
    <w:name w:val="Char Char Char Char17"/>
    <w:basedOn w:val="a"/>
    <w:qFormat/>
    <w:rPr>
      <w:rFonts w:ascii="Times New Roman" w:eastAsia="宋体" w:hAnsi="Times New Roman" w:cs="Times New Roman"/>
      <w:sz w:val="24"/>
      <w:szCs w:val="24"/>
    </w:rPr>
  </w:style>
  <w:style w:type="paragraph" w:customStyle="1" w:styleId="CharCharChar1CharCharCharChar1">
    <w:name w:val="Char Char Char1 Char Char Char Char1"/>
    <w:basedOn w:val="a"/>
    <w:next w:val="a"/>
    <w:qFormat/>
    <w:pPr>
      <w:spacing w:line="360" w:lineRule="auto"/>
      <w:ind w:firstLineChars="200" w:firstLine="200"/>
    </w:pPr>
    <w:rPr>
      <w:rFonts w:ascii="宋体" w:eastAsia="汉鼎简书宋" w:hAnsi="宋体" w:cs="宋体"/>
      <w:sz w:val="24"/>
      <w:szCs w:val="24"/>
    </w:rPr>
  </w:style>
  <w:style w:type="paragraph" w:customStyle="1" w:styleId="afffffffffffffffffffe">
    <w:name w:val="目录标题"/>
    <w:basedOn w:val="a"/>
    <w:qFormat/>
    <w:pPr>
      <w:tabs>
        <w:tab w:val="right" w:leader="dot" w:pos="8296"/>
      </w:tabs>
      <w:spacing w:line="440" w:lineRule="exact"/>
      <w:ind w:firstLineChars="200" w:firstLine="482"/>
      <w:jc w:val="center"/>
    </w:pPr>
    <w:rPr>
      <w:rFonts w:ascii="宋体" w:eastAsia="宋体" w:hAnsi="宋体" w:cs="Times New Roman"/>
      <w:b/>
      <w:sz w:val="32"/>
      <w:szCs w:val="20"/>
    </w:rPr>
  </w:style>
  <w:style w:type="paragraph" w:customStyle="1" w:styleId="Char1CharCharChar">
    <w:name w:val="Char1 Char Char Char"/>
    <w:basedOn w:val="a"/>
    <w:qFormat/>
    <w:rPr>
      <w:rFonts w:ascii="Times New Roman" w:eastAsia="宋体" w:hAnsi="Times New Roman" w:cs="Times New Roman"/>
      <w:szCs w:val="21"/>
    </w:rPr>
  </w:style>
  <w:style w:type="paragraph" w:customStyle="1" w:styleId="Char1CharCharCharCharCharChar8">
    <w:name w:val="Char1 Char Char Char Char Char Char8"/>
    <w:basedOn w:val="a"/>
    <w:qFormat/>
    <w:pPr>
      <w:spacing w:line="360" w:lineRule="auto"/>
      <w:ind w:firstLineChars="200" w:firstLine="200"/>
    </w:pPr>
    <w:rPr>
      <w:rFonts w:ascii="宋体" w:eastAsia="宋体" w:hAnsi="宋体" w:cs="宋体"/>
      <w:sz w:val="24"/>
      <w:szCs w:val="24"/>
    </w:rPr>
  </w:style>
  <w:style w:type="paragraph" w:customStyle="1" w:styleId="CharCharCharCharCharCharCharChar1CharCharCharChar">
    <w:name w:val="Char Char Char Char Char Char Char Char1 Char Char Char Char"/>
    <w:basedOn w:val="a"/>
    <w:qFormat/>
    <w:rPr>
      <w:rFonts w:ascii="Times New Roman" w:eastAsia="宋体" w:hAnsi="Times New Roman" w:cs="Times New Roman"/>
      <w:szCs w:val="24"/>
    </w:rPr>
  </w:style>
  <w:style w:type="paragraph" w:customStyle="1" w:styleId="CharCharChar1CharCharCharCharCharChar">
    <w:name w:val="Char Char Char1 Char Char Char Char Char Char"/>
    <w:basedOn w:val="a"/>
    <w:qFormat/>
    <w:rPr>
      <w:rFonts w:ascii="Times New Roman" w:eastAsia="宋体" w:hAnsi="Times New Roman" w:cs="Times New Roman"/>
      <w:szCs w:val="21"/>
    </w:rPr>
  </w:style>
  <w:style w:type="paragraph" w:customStyle="1" w:styleId="fuxi">
    <w:name w:val="目录fuxi"/>
    <w:basedOn w:val="a"/>
    <w:qFormat/>
    <w:pPr>
      <w:snapToGrid w:val="0"/>
      <w:spacing w:before="60" w:after="60"/>
      <w:jc w:val="center"/>
    </w:pPr>
    <w:rPr>
      <w:rFonts w:ascii="宋体" w:eastAsia="宋体" w:hAnsi="Times New Roman" w:cs="Times New Roman" w:hint="eastAsia"/>
      <w:outline/>
      <w:color w:val="000000"/>
      <w:szCs w:val="20"/>
      <w14:textOutline w14:w="9525" w14:cap="flat" w14:cmpd="sng" w14:algn="ctr">
        <w14:solidFill>
          <w14:srgbClr w14:val="000000"/>
        </w14:solidFill>
        <w14:prstDash w14:val="solid"/>
        <w14:round/>
      </w14:textOutline>
      <w14:textFill>
        <w14:noFill/>
      </w14:textFill>
    </w:rPr>
  </w:style>
  <w:style w:type="paragraph" w:customStyle="1" w:styleId="affffffffffffffffffff">
    <w:name w:val="清除格式"/>
    <w:basedOn w:val="a"/>
    <w:qFormat/>
    <w:pPr>
      <w:widowControl/>
      <w:spacing w:before="120" w:after="120"/>
      <w:jc w:val="left"/>
    </w:pPr>
    <w:rPr>
      <w:rFonts w:ascii="Times New Roman" w:eastAsia="宋体" w:hAnsi="Times New Roman" w:cs="Times New Roman"/>
      <w:b/>
      <w:bCs/>
      <w:caps/>
      <w:kern w:val="0"/>
      <w:sz w:val="24"/>
      <w:szCs w:val="20"/>
    </w:rPr>
  </w:style>
  <w:style w:type="paragraph" w:customStyle="1" w:styleId="-07415">
    <w:name w:val="段落-首行缩进:  0.74 厘米 行距: 1.5 倍行距"/>
    <w:basedOn w:val="a"/>
    <w:qFormat/>
    <w:pPr>
      <w:tabs>
        <w:tab w:val="left" w:pos="2801"/>
      </w:tabs>
      <w:snapToGrid w:val="0"/>
      <w:spacing w:line="540" w:lineRule="exact"/>
      <w:ind w:firstLineChars="150" w:firstLine="414"/>
    </w:pPr>
    <w:rPr>
      <w:rFonts w:ascii="Times New Roman" w:eastAsia="宋体" w:hAnsi="Times New Roman" w:cs="Times New Roman"/>
      <w:spacing w:val="-2"/>
      <w:kern w:val="0"/>
      <w:sz w:val="24"/>
      <w:szCs w:val="24"/>
    </w:rPr>
  </w:style>
  <w:style w:type="paragraph" w:customStyle="1" w:styleId="CharCharfff7">
    <w:name w:val="批注文字 Char Char"/>
    <w:basedOn w:val="a"/>
    <w:qFormat/>
    <w:pPr>
      <w:spacing w:line="351" w:lineRule="atLeast"/>
      <w:ind w:firstLine="419"/>
      <w:jc w:val="left"/>
    </w:pPr>
    <w:rPr>
      <w:rFonts w:ascii="Times New Roman" w:eastAsia="宋体" w:hAnsi="Times New Roman" w:cs="Times New Roman" w:hint="eastAsia"/>
      <w:szCs w:val="20"/>
    </w:rPr>
  </w:style>
  <w:style w:type="paragraph" w:customStyle="1" w:styleId="Char160">
    <w:name w:val="Char16"/>
    <w:basedOn w:val="a"/>
    <w:qFormat/>
    <w:rPr>
      <w:rFonts w:ascii="Times New Roman" w:eastAsia="宋体" w:hAnsi="Times New Roman" w:cs="Times New Roman"/>
      <w:szCs w:val="21"/>
    </w:rPr>
  </w:style>
  <w:style w:type="paragraph" w:customStyle="1" w:styleId="word">
    <w:name w:val="word"/>
    <w:basedOn w:val="a"/>
    <w:qFormat/>
    <w:pPr>
      <w:widowControl/>
      <w:spacing w:before="100" w:beforeAutospacing="1" w:after="100" w:afterAutospacing="1" w:line="360" w:lineRule="auto"/>
      <w:jc w:val="left"/>
    </w:pPr>
    <w:rPr>
      <w:rFonts w:ascii="宋体" w:eastAsia="宋体" w:hAnsi="宋体" w:cs="宋体"/>
      <w:kern w:val="0"/>
      <w:sz w:val="18"/>
      <w:szCs w:val="24"/>
    </w:rPr>
  </w:style>
  <w:style w:type="paragraph" w:customStyle="1" w:styleId="CM74">
    <w:name w:val="CM74"/>
    <w:basedOn w:val="a"/>
    <w:next w:val="a"/>
    <w:qFormat/>
    <w:pPr>
      <w:autoSpaceDE w:val="0"/>
      <w:autoSpaceDN w:val="0"/>
      <w:adjustRightInd w:val="0"/>
      <w:spacing w:after="180"/>
      <w:jc w:val="left"/>
    </w:pPr>
    <w:rPr>
      <w:rFonts w:ascii="Sim Sun+ 2" w:eastAsia="Sim Sun+ 2" w:hAnsi="Times New Roman" w:cs="Sim Sun+ 2"/>
      <w:kern w:val="0"/>
      <w:sz w:val="24"/>
      <w:szCs w:val="24"/>
    </w:rPr>
  </w:style>
  <w:style w:type="paragraph" w:customStyle="1" w:styleId="86">
    <w:name w:val="8说明(治)"/>
    <w:basedOn w:val="a"/>
    <w:next w:val="5a"/>
    <w:qFormat/>
    <w:pPr>
      <w:ind w:firstLineChars="200" w:firstLine="480"/>
    </w:pPr>
    <w:rPr>
      <w:rFonts w:ascii="仿宋_GB2312" w:eastAsia="仿宋_GB2312" w:hAnsi="宋体" w:cs="Times New Roman"/>
      <w:color w:val="3366FF"/>
      <w:sz w:val="24"/>
      <w:szCs w:val="20"/>
    </w:rPr>
  </w:style>
  <w:style w:type="paragraph" w:customStyle="1" w:styleId="CharCharChar1Char1">
    <w:name w:val="Char Char Char1 Char1"/>
    <w:basedOn w:val="2"/>
    <w:qFormat/>
    <w:pPr>
      <w:keepNext w:val="0"/>
      <w:keepLines w:val="0"/>
      <w:widowControl/>
      <w:tabs>
        <w:tab w:val="left" w:pos="780"/>
        <w:tab w:val="left" w:pos="1419"/>
      </w:tabs>
      <w:spacing w:before="156" w:after="0" w:line="520" w:lineRule="exact"/>
      <w:ind w:left="780" w:hanging="360"/>
    </w:pPr>
    <w:rPr>
      <w:rFonts w:ascii="Times New Roman" w:eastAsia="宋体" w:hAnsi="Times New Roman" w:cs="Arial"/>
      <w:bCs w:val="0"/>
      <w:kern w:val="0"/>
      <w:sz w:val="28"/>
      <w:szCs w:val="28"/>
    </w:rPr>
  </w:style>
  <w:style w:type="paragraph" w:customStyle="1" w:styleId="affffffffffffffffffff0">
    <w:name w:val="文本居中"/>
    <w:basedOn w:val="a"/>
    <w:qFormat/>
    <w:pPr>
      <w:adjustRightInd w:val="0"/>
      <w:spacing w:line="360" w:lineRule="auto"/>
      <w:jc w:val="center"/>
    </w:pPr>
    <w:rPr>
      <w:rFonts w:ascii="Times New Roman" w:eastAsia="宋体" w:hAnsi="Times New Roman" w:cs="Times New Roman"/>
      <w:sz w:val="28"/>
      <w:szCs w:val="24"/>
    </w:rPr>
  </w:style>
  <w:style w:type="paragraph" w:customStyle="1" w:styleId="xl136">
    <w:name w:val="xl136"/>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CharCharCharCharCharCharCharCharCharCharCharCharCharCharCharChar1">
    <w:name w:val="Char Char Char Char Char Char Char Char Char Char Char Char Char Char Char Char1"/>
    <w:basedOn w:val="a"/>
    <w:qFormat/>
    <w:rPr>
      <w:rFonts w:ascii="Times New Roman" w:eastAsia="宋体" w:hAnsi="Times New Roman" w:cs="宋体"/>
      <w:bCs/>
      <w:color w:val="000000"/>
      <w:szCs w:val="28"/>
    </w:rPr>
  </w:style>
  <w:style w:type="paragraph" w:customStyle="1" w:styleId="affffffffffffffffffff1">
    <w:name w:val="表格文字样式"/>
    <w:basedOn w:val="a"/>
    <w:qFormat/>
    <w:pPr>
      <w:tabs>
        <w:tab w:val="left" w:pos="567"/>
      </w:tabs>
      <w:jc w:val="center"/>
    </w:pPr>
    <w:rPr>
      <w:rFonts w:ascii="Times New Roman" w:eastAsia="宋体" w:hAnsi="Times New Roman" w:cs="Times New Roman"/>
      <w:spacing w:val="20"/>
      <w:sz w:val="24"/>
      <w:szCs w:val="20"/>
    </w:rPr>
  </w:style>
  <w:style w:type="paragraph" w:customStyle="1" w:styleId="affffffffffffffffffff2">
    <w:name w:val="我的样式（正文）"/>
    <w:basedOn w:val="a"/>
    <w:qFormat/>
    <w:pPr>
      <w:spacing w:line="440" w:lineRule="exact"/>
    </w:pPr>
    <w:rPr>
      <w:rFonts w:ascii="宋体" w:eastAsia="宋体" w:hAnsi="Times New Roman" w:cs="Times New Roman"/>
      <w:sz w:val="28"/>
      <w:szCs w:val="20"/>
    </w:rPr>
  </w:style>
  <w:style w:type="paragraph" w:customStyle="1" w:styleId="157">
    <w:name w:val="文本框五号1.5倍行距"/>
    <w:basedOn w:val="Charfffffff8"/>
    <w:semiHidden/>
    <w:qFormat/>
    <w:pPr>
      <w:spacing w:line="360" w:lineRule="auto"/>
    </w:pPr>
  </w:style>
  <w:style w:type="paragraph" w:customStyle="1" w:styleId="1CharCharCharChar">
    <w:name w:val="1 Char Char Char Char"/>
    <w:basedOn w:val="a"/>
    <w:qFormat/>
    <w:rPr>
      <w:rFonts w:ascii="Times New Roman" w:eastAsia="宋体" w:hAnsi="Times New Roman" w:cs="Times New Roman"/>
      <w:sz w:val="24"/>
      <w:szCs w:val="24"/>
    </w:rPr>
  </w:style>
  <w:style w:type="paragraph" w:customStyle="1" w:styleId="11e">
    <w:name w:val="目录 11"/>
    <w:basedOn w:val="a"/>
    <w:next w:val="a"/>
    <w:qFormat/>
    <w:pPr>
      <w:spacing w:before="360"/>
      <w:jc w:val="left"/>
    </w:pPr>
    <w:rPr>
      <w:rFonts w:ascii="Arial" w:eastAsia="宋体" w:hAnsi="Arial" w:cs="Times New Roman"/>
      <w:b/>
      <w:caps/>
      <w:sz w:val="24"/>
      <w:szCs w:val="20"/>
    </w:rPr>
  </w:style>
  <w:style w:type="paragraph" w:customStyle="1" w:styleId="affffffffffffffffffff3">
    <w:name w:val="左五"/>
    <w:basedOn w:val="a"/>
    <w:semiHidden/>
    <w:qFormat/>
    <w:pPr>
      <w:adjustRightInd w:val="0"/>
      <w:snapToGrid w:val="0"/>
      <w:spacing w:line="280" w:lineRule="exact"/>
      <w:jc w:val="left"/>
    </w:pPr>
    <w:rPr>
      <w:rFonts w:ascii="宋体" w:eastAsia="宋体" w:hAnsi="Symusic" w:cs="Times New Roman"/>
      <w:color w:val="000000"/>
      <w:sz w:val="18"/>
      <w:szCs w:val="24"/>
    </w:rPr>
  </w:style>
  <w:style w:type="paragraph" w:customStyle="1" w:styleId="IDCA-Head2ndLine">
    <w:name w:val="IDC A-Head (2nd Line)"/>
    <w:basedOn w:val="a"/>
    <w:next w:val="a"/>
    <w:qFormat/>
    <w:pPr>
      <w:widowControl/>
      <w:jc w:val="center"/>
    </w:pPr>
    <w:rPr>
      <w:rFonts w:ascii="Times New Roman" w:eastAsia="宋体" w:hAnsi="Times New Roman" w:cs="Times New Roman"/>
      <w:caps/>
      <w:kern w:val="0"/>
      <w:sz w:val="24"/>
      <w:szCs w:val="20"/>
    </w:rPr>
  </w:style>
  <w:style w:type="paragraph" w:customStyle="1" w:styleId="xl62">
    <w:name w:val="xl62"/>
    <w:basedOn w:val="a"/>
    <w:qFormat/>
    <w:pPr>
      <w:widowControl/>
      <w:pBdr>
        <w:bottom w:val="single" w:sz="12" w:space="0" w:color="auto"/>
      </w:pBdr>
      <w:spacing w:before="100" w:beforeAutospacing="1" w:after="100" w:afterAutospacing="1"/>
      <w:jc w:val="center"/>
    </w:pPr>
    <w:rPr>
      <w:rFonts w:ascii="Times New Roman" w:eastAsia="宋体" w:hAnsi="Times New Roman" w:cs="Times New Roman"/>
      <w:kern w:val="0"/>
      <w:sz w:val="12"/>
      <w:szCs w:val="12"/>
    </w:rPr>
  </w:style>
  <w:style w:type="paragraph" w:customStyle="1" w:styleId="affffffffffffffffffff4">
    <w:name w:val="表内式样"/>
    <w:semiHidden/>
    <w:qFormat/>
    <w:pPr>
      <w:keepLines/>
      <w:widowControl w:val="0"/>
      <w:kinsoku w:val="0"/>
      <w:overflowPunct w:val="0"/>
      <w:adjustRightInd w:val="0"/>
      <w:spacing w:line="360" w:lineRule="atLeast"/>
      <w:jc w:val="center"/>
    </w:pPr>
    <w:rPr>
      <w:rFonts w:ascii="宋体" w:eastAsia="宋体" w:hAnsi="Times New Roman" w:cs="Times New Roman"/>
      <w:kern w:val="21"/>
      <w:sz w:val="21"/>
    </w:rPr>
  </w:style>
  <w:style w:type="paragraph" w:customStyle="1" w:styleId="affffffffffffffffffff5">
    <w:name w:val="标题符"/>
    <w:basedOn w:val="a"/>
    <w:qFormat/>
    <w:pPr>
      <w:tabs>
        <w:tab w:val="left" w:pos="360"/>
      </w:tabs>
      <w:overflowPunct w:val="0"/>
      <w:snapToGrid w:val="0"/>
      <w:spacing w:line="480" w:lineRule="exact"/>
      <w:ind w:firstLineChars="200" w:firstLine="560"/>
    </w:pPr>
    <w:rPr>
      <w:rFonts w:ascii="Arial" w:eastAsia="仿宋_GB2312" w:hAnsi="Arial" w:cs="Times New Roman"/>
      <w:sz w:val="28"/>
      <w:szCs w:val="20"/>
    </w:rPr>
  </w:style>
  <w:style w:type="paragraph" w:customStyle="1" w:styleId="ParaCharCharCharCharCharChar1CharCharCharCharCharCharChar">
    <w:name w:val="默认段落字体 Para Char Char Char Char Char Char1 Char Char Char Char Char Char Char"/>
    <w:basedOn w:val="a"/>
    <w:qFormat/>
    <w:rPr>
      <w:rFonts w:ascii="Times New Roman" w:eastAsia="宋体" w:hAnsi="Times New Roman" w:cs="Times New Roman"/>
      <w:sz w:val="24"/>
      <w:szCs w:val="24"/>
    </w:rPr>
  </w:style>
  <w:style w:type="paragraph" w:customStyle="1" w:styleId="414">
    <w:name w:val="目录 41"/>
    <w:basedOn w:val="a"/>
    <w:next w:val="a"/>
    <w:qFormat/>
    <w:pPr>
      <w:ind w:left="420"/>
      <w:jc w:val="left"/>
    </w:pPr>
    <w:rPr>
      <w:rFonts w:ascii="Times New Roman" w:eastAsia="宋体" w:hAnsi="Times New Roman" w:cs="Times New Roman"/>
      <w:sz w:val="20"/>
      <w:szCs w:val="20"/>
    </w:rPr>
  </w:style>
  <w:style w:type="paragraph" w:customStyle="1" w:styleId="Char110">
    <w:name w:val="Char11"/>
    <w:basedOn w:val="a"/>
    <w:qFormat/>
    <w:rPr>
      <w:rFonts w:ascii="Times New Roman" w:eastAsia="宋体" w:hAnsi="Times New Roman" w:cs="Times New Roman"/>
      <w:sz w:val="24"/>
      <w:szCs w:val="24"/>
    </w:rPr>
  </w:style>
  <w:style w:type="paragraph" w:customStyle="1" w:styleId="affffffffffffffffffff6">
    <w:name w:val="首页页眉样式"/>
    <w:basedOn w:val="a"/>
    <w:qFormat/>
    <w:pPr>
      <w:snapToGrid w:val="0"/>
      <w:spacing w:line="240" w:lineRule="atLeast"/>
      <w:jc w:val="center"/>
    </w:pPr>
    <w:rPr>
      <w:rFonts w:ascii="宋体" w:eastAsia="仿宋_GB2312" w:hAnsi="宋体" w:cs="Times New Roman"/>
      <w:b/>
      <w:kern w:val="0"/>
      <w:szCs w:val="20"/>
    </w:rPr>
  </w:style>
  <w:style w:type="paragraph" w:customStyle="1" w:styleId="affffffffffffffffffff7">
    <w:name w:val="表内容中"/>
    <w:basedOn w:val="afc"/>
    <w:qFormat/>
    <w:pPr>
      <w:jc w:val="center"/>
    </w:pPr>
    <w:rPr>
      <w:rFonts w:ascii="宋体"/>
      <w:color w:val="000000"/>
      <w:szCs w:val="24"/>
    </w:rPr>
  </w:style>
  <w:style w:type="paragraph" w:customStyle="1" w:styleId="21d">
    <w:name w:val="目录 21"/>
    <w:basedOn w:val="a"/>
    <w:next w:val="a"/>
    <w:qFormat/>
    <w:pPr>
      <w:tabs>
        <w:tab w:val="right" w:leader="dot" w:pos="9344"/>
      </w:tabs>
      <w:spacing w:before="120" w:line="380" w:lineRule="exact"/>
      <w:jc w:val="left"/>
    </w:pPr>
    <w:rPr>
      <w:rFonts w:ascii="Times New Roman" w:eastAsia="宋体" w:hAnsi="Times New Roman" w:cs="Times New Roman"/>
      <w:bCs/>
      <w:sz w:val="24"/>
      <w:szCs w:val="24"/>
    </w:rPr>
  </w:style>
  <w:style w:type="paragraph" w:customStyle="1" w:styleId="xl163">
    <w:name w:val="xl163"/>
    <w:basedOn w:val="a"/>
    <w:qFormat/>
    <w:pPr>
      <w:widowControl/>
      <w:pBdr>
        <w:left w:val="single" w:sz="12"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defaultparagraphfontChar">
    <w:name w:val="default paragraph font Char"/>
    <w:basedOn w:val="a"/>
    <w:qFormat/>
    <w:pPr>
      <w:spacing w:line="240" w:lineRule="atLeast"/>
      <w:ind w:left="420" w:firstLine="420"/>
    </w:pPr>
    <w:rPr>
      <w:rFonts w:ascii="Times New Roman" w:eastAsia="宋体" w:hAnsi="Times New Roman" w:cs="Times New Roman"/>
      <w:kern w:val="0"/>
      <w:szCs w:val="21"/>
    </w:rPr>
  </w:style>
  <w:style w:type="paragraph" w:customStyle="1" w:styleId="CharCharChar1Char14">
    <w:name w:val="Char Char Char1 Char14"/>
    <w:basedOn w:val="2"/>
    <w:qFormat/>
    <w:pPr>
      <w:spacing w:line="520" w:lineRule="exact"/>
    </w:pPr>
    <w:rPr>
      <w:rFonts w:ascii="Times New Roman" w:eastAsia="宋体" w:hAnsi="Arial" w:cs="Times New Roman"/>
      <w:sz w:val="28"/>
    </w:rPr>
  </w:style>
  <w:style w:type="paragraph" w:customStyle="1" w:styleId="CharCharCharChar18">
    <w:name w:val="Char Char Char Char18"/>
    <w:basedOn w:val="a"/>
    <w:qFormat/>
    <w:pPr>
      <w:widowControl/>
      <w:jc w:val="left"/>
    </w:pPr>
    <w:rPr>
      <w:rFonts w:ascii="Times New Roman" w:eastAsia="宋体" w:hAnsi="Times New Roman" w:cs="Times New Roman"/>
      <w:kern w:val="0"/>
      <w:sz w:val="24"/>
      <w:szCs w:val="20"/>
    </w:rPr>
  </w:style>
  <w:style w:type="paragraph" w:customStyle="1" w:styleId="Char1CharCharCharCharCharChar9">
    <w:name w:val="Char1 Char Char Char Char Char Char9"/>
    <w:basedOn w:val="a"/>
    <w:qFormat/>
    <w:pPr>
      <w:spacing w:line="360" w:lineRule="auto"/>
      <w:ind w:firstLineChars="200" w:firstLine="200"/>
    </w:pPr>
    <w:rPr>
      <w:rFonts w:ascii="宋体" w:eastAsia="宋体" w:hAnsi="宋体" w:cs="宋体"/>
      <w:sz w:val="24"/>
      <w:szCs w:val="24"/>
    </w:rPr>
  </w:style>
  <w:style w:type="paragraph" w:customStyle="1" w:styleId="head">
    <w:name w:val="head"/>
    <w:basedOn w:val="a"/>
    <w:next w:val="a"/>
    <w:qFormat/>
    <w:pPr>
      <w:keepNext/>
      <w:keepLines/>
      <w:adjustRightInd w:val="0"/>
      <w:snapToGrid w:val="0"/>
      <w:spacing w:before="260" w:after="260" w:line="312" w:lineRule="auto"/>
      <w:jc w:val="left"/>
      <w:outlineLvl w:val="2"/>
    </w:pPr>
    <w:rPr>
      <w:rFonts w:ascii="仿宋_GB2312" w:eastAsia="仿宋_GB2312" w:hAnsi="Times New Roman" w:cs="Times New Roman"/>
      <w:sz w:val="28"/>
      <w:szCs w:val="20"/>
    </w:rPr>
  </w:style>
  <w:style w:type="paragraph" w:customStyle="1" w:styleId="xl22">
    <w:name w:val="xl22"/>
    <w:basedOn w:val="a"/>
    <w:qFormat/>
    <w:pPr>
      <w:widowControl/>
      <w:pBdr>
        <w:bottom w:val="single" w:sz="12"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affffffffffffffffffff8">
    <w:name w:val="正文样式一"/>
    <w:basedOn w:val="a"/>
    <w:semiHidden/>
    <w:qFormat/>
    <w:pPr>
      <w:adjustRightInd w:val="0"/>
      <w:spacing w:line="400" w:lineRule="atLeast"/>
      <w:ind w:firstLine="510"/>
      <w:textAlignment w:val="baseline"/>
    </w:pPr>
    <w:rPr>
      <w:rFonts w:ascii="Times New Roman" w:eastAsia="宋体" w:hAnsi="Times New Roman" w:cs="Times New Roman"/>
      <w:kern w:val="0"/>
      <w:sz w:val="24"/>
      <w:szCs w:val="20"/>
    </w:rPr>
  </w:style>
  <w:style w:type="paragraph" w:customStyle="1" w:styleId="Char2CharCharChar6">
    <w:name w:val="Char2 Char Char Char6"/>
    <w:basedOn w:val="a"/>
    <w:qFormat/>
    <w:rPr>
      <w:rFonts w:ascii="Times New Roman" w:eastAsia="宋体" w:hAnsi="Times New Roman" w:cs="Times New Roman"/>
      <w:sz w:val="24"/>
      <w:szCs w:val="24"/>
    </w:rPr>
  </w:style>
  <w:style w:type="paragraph" w:customStyle="1" w:styleId="xl32">
    <w:name w:val="xl3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szCs w:val="24"/>
    </w:rPr>
  </w:style>
  <w:style w:type="paragraph" w:customStyle="1" w:styleId="affffffffffffffffffff9">
    <w:name w:val="正文段落"/>
    <w:basedOn w:val="a"/>
    <w:qFormat/>
    <w:pPr>
      <w:autoSpaceDE w:val="0"/>
      <w:autoSpaceDN w:val="0"/>
      <w:adjustRightInd w:val="0"/>
      <w:spacing w:line="500" w:lineRule="exact"/>
      <w:ind w:firstLineChars="200" w:firstLine="200"/>
      <w:textAlignment w:val="baseline"/>
    </w:pPr>
    <w:rPr>
      <w:rFonts w:ascii="宋体" w:eastAsia="宋体" w:hAnsi="Tms Rmn" w:cs="Times New Roman"/>
      <w:kern w:val="0"/>
      <w:sz w:val="28"/>
      <w:szCs w:val="20"/>
    </w:rPr>
  </w:style>
  <w:style w:type="paragraph" w:customStyle="1" w:styleId="CharCharCharCharCharCharCharCharCharCharCharCharChar8">
    <w:name w:val="Char Char Char Char Char Char Char Char Char Char Char Char Char8"/>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font0">
    <w:name w:val="font0"/>
    <w:basedOn w:val="a"/>
    <w:qFormat/>
    <w:pPr>
      <w:widowControl/>
      <w:spacing w:before="100" w:beforeAutospacing="1" w:after="100" w:afterAutospacing="1"/>
      <w:jc w:val="left"/>
    </w:pPr>
    <w:rPr>
      <w:rFonts w:ascii="宋体" w:eastAsia="宋体" w:hAnsi="宋体" w:cs="Times New Roman"/>
      <w:kern w:val="0"/>
      <w:szCs w:val="24"/>
    </w:rPr>
  </w:style>
  <w:style w:type="paragraph" w:customStyle="1" w:styleId="CharCharChar1CharCharCharCharCharCharChar9">
    <w:name w:val="Char Char Char1 Char Char Char Char Char Char Char9"/>
    <w:basedOn w:val="a"/>
    <w:qFormat/>
    <w:rPr>
      <w:rFonts w:ascii="Tahoma" w:eastAsia="宋体" w:hAnsi="Tahoma" w:cs="Times New Roman"/>
      <w:sz w:val="24"/>
      <w:szCs w:val="20"/>
    </w:rPr>
  </w:style>
  <w:style w:type="paragraph" w:customStyle="1" w:styleId="2fffff8">
    <w:name w:val="正文 首行缩进:  2 字符"/>
    <w:basedOn w:val="a"/>
    <w:link w:val="2Charc"/>
    <w:qFormat/>
    <w:pPr>
      <w:ind w:firstLineChars="200" w:firstLine="579"/>
    </w:pPr>
    <w:rPr>
      <w:rFonts w:ascii="Times New Roman" w:eastAsia="宋体" w:hAnsi="Times New Roman" w:cs="Times New Roman"/>
      <w:sz w:val="28"/>
      <w:szCs w:val="20"/>
    </w:rPr>
  </w:style>
  <w:style w:type="character" w:customStyle="1" w:styleId="2Charc">
    <w:name w:val="正文 首行缩进:  2 字符 Char"/>
    <w:link w:val="2fffff8"/>
    <w:locked/>
    <w:rPr>
      <w:rFonts w:ascii="Times New Roman" w:eastAsia="宋体" w:hAnsi="Times New Roman" w:cs="Times New Roman"/>
      <w:sz w:val="28"/>
      <w:szCs w:val="20"/>
    </w:rPr>
  </w:style>
  <w:style w:type="paragraph" w:customStyle="1" w:styleId="T0">
    <w:name w:val="T正文"/>
    <w:qFormat/>
    <w:pPr>
      <w:widowControl w:val="0"/>
      <w:adjustRightInd w:val="0"/>
      <w:snapToGrid w:val="0"/>
      <w:spacing w:line="360" w:lineRule="auto"/>
      <w:ind w:firstLineChars="200" w:firstLine="560"/>
      <w:jc w:val="both"/>
    </w:pPr>
    <w:rPr>
      <w:rFonts w:ascii="Times New Roman" w:eastAsia="宋体" w:hAnsi="Times New Roman" w:cs="Times New Roman"/>
      <w:sz w:val="28"/>
    </w:rPr>
  </w:style>
  <w:style w:type="paragraph" w:customStyle="1" w:styleId="Normal10">
    <w:name w:val="Normal1"/>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Content0">
    <w:name w:val="Content"/>
    <w:basedOn w:val="a"/>
    <w:qFormat/>
    <w:pPr>
      <w:widowControl/>
      <w:tabs>
        <w:tab w:val="left" w:pos="9480"/>
        <w:tab w:val="left" w:pos="9600"/>
      </w:tabs>
      <w:spacing w:before="120" w:after="120" w:line="240" w:lineRule="atLeast"/>
      <w:jc w:val="center"/>
    </w:pPr>
    <w:rPr>
      <w:rFonts w:ascii="Arial" w:eastAsia="宋体" w:hAnsi="Arial" w:cs="Times New Roman"/>
      <w:b/>
      <w:kern w:val="0"/>
      <w:sz w:val="28"/>
      <w:szCs w:val="20"/>
      <w:lang w:val="fr-FR"/>
    </w:rPr>
  </w:style>
  <w:style w:type="paragraph" w:customStyle="1" w:styleId="CharCharCharCharCharCharCharCharCharCharCharCharCharCharCharCharChar1Char">
    <w:name w:val="Char Char Char Char Char Char Char Char Char Char Char Char Char Char Char Char Char1 Char"/>
    <w:basedOn w:val="a"/>
    <w:qFormat/>
    <w:rPr>
      <w:rFonts w:ascii="Times New Roman" w:eastAsia="宋体" w:hAnsi="Times New Roman" w:cs="Times New Roman"/>
      <w:sz w:val="24"/>
      <w:szCs w:val="24"/>
    </w:rPr>
  </w:style>
  <w:style w:type="paragraph" w:customStyle="1" w:styleId="xl139">
    <w:name w:val="xl139"/>
    <w:basedOn w:val="a"/>
    <w:qFormat/>
    <w:pPr>
      <w:widowControl/>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Char6CharChar3">
    <w:name w:val="Char Char6 Char Char3"/>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BodyTextIndent1">
    <w:name w:val="Body Text Indent1"/>
    <w:basedOn w:val="a"/>
    <w:qFormat/>
    <w:pPr>
      <w:spacing w:after="120" w:line="360" w:lineRule="auto"/>
      <w:ind w:leftChars="200" w:left="420" w:firstLineChars="200" w:firstLine="200"/>
    </w:pPr>
    <w:rPr>
      <w:rFonts w:ascii="Times New Roman" w:eastAsia="宋体" w:hAnsi="Times New Roman" w:cs="Times New Roman"/>
      <w:sz w:val="24"/>
      <w:szCs w:val="24"/>
    </w:rPr>
  </w:style>
  <w:style w:type="paragraph" w:customStyle="1" w:styleId="Charfffffffa">
    <w:name w:val="Char 正文"/>
    <w:basedOn w:val="1"/>
    <w:semiHidden/>
    <w:qFormat/>
    <w:pPr>
      <w:keepNext/>
      <w:keepLines/>
      <w:tabs>
        <w:tab w:val="left" w:pos="425"/>
      </w:tabs>
      <w:adjustRightInd w:val="0"/>
      <w:snapToGrid w:val="0"/>
      <w:spacing w:before="240" w:after="240" w:line="348" w:lineRule="auto"/>
      <w:ind w:left="0"/>
      <w:jc w:val="both"/>
    </w:pPr>
    <w:rPr>
      <w:rFonts w:ascii="Tahoma" w:eastAsia="宋体" w:hAnsi="Tahoma" w:cs="Times New Roman"/>
      <w:bCs w:val="0"/>
      <w:kern w:val="44"/>
      <w:sz w:val="24"/>
      <w:szCs w:val="20"/>
      <w:lang w:val="zh-CN" w:eastAsia="zh-CN"/>
    </w:rPr>
  </w:style>
  <w:style w:type="paragraph" w:customStyle="1" w:styleId="CharCharCharCharCharCharCharCharChar1CharCharCharChar1">
    <w:name w:val="Char Char Char Char Char Char Char Char Char1 Char Char Char Char1"/>
    <w:basedOn w:val="a"/>
    <w:qFormat/>
    <w:rPr>
      <w:rFonts w:ascii="Times New Roman" w:eastAsia="宋体" w:hAnsi="Times New Roman" w:cs="Times New Roman"/>
      <w:szCs w:val="21"/>
    </w:rPr>
  </w:style>
  <w:style w:type="paragraph" w:customStyle="1" w:styleId="xl39">
    <w:name w:val="xl39"/>
    <w:basedOn w:val="a"/>
    <w:qFormat/>
    <w:pPr>
      <w:widowControl/>
      <w:pBdr>
        <w:bottom w:val="single" w:sz="12" w:space="0" w:color="auto"/>
      </w:pBdr>
      <w:spacing w:before="100" w:beforeAutospacing="1" w:after="100" w:afterAutospacing="1"/>
      <w:jc w:val="left"/>
    </w:pPr>
    <w:rPr>
      <w:rFonts w:ascii="Times New Roman" w:eastAsia="宋体" w:hAnsi="Times New Roman" w:cs="Times New Roman"/>
      <w:kern w:val="0"/>
      <w:sz w:val="16"/>
      <w:szCs w:val="16"/>
    </w:rPr>
  </w:style>
  <w:style w:type="paragraph" w:customStyle="1" w:styleId="425">
    <w:name w:val="样式 标题 4 + 黑色 行距: 固定值 25 磅"/>
    <w:basedOn w:val="41"/>
    <w:qFormat/>
    <w:pPr>
      <w:keepNext/>
      <w:keepLines/>
      <w:tabs>
        <w:tab w:val="left" w:pos="864"/>
        <w:tab w:val="left" w:pos="1984"/>
      </w:tabs>
      <w:adjustRightInd w:val="0"/>
      <w:snapToGrid w:val="0"/>
      <w:spacing w:before="0" w:line="500" w:lineRule="exact"/>
      <w:ind w:left="709" w:hanging="709"/>
      <w:jc w:val="both"/>
      <w:textAlignment w:val="baseline"/>
    </w:pPr>
    <w:rPr>
      <w:rFonts w:ascii="Times New Roman" w:hAnsi="Times New Roman" w:cs="宋体"/>
      <w:b/>
      <w:bCs/>
      <w:color w:val="000000"/>
      <w:sz w:val="24"/>
      <w:szCs w:val="20"/>
      <w:lang w:eastAsia="zh-CN"/>
    </w:rPr>
  </w:style>
  <w:style w:type="paragraph" w:customStyle="1" w:styleId="CharCharChar1CharCharCharCharCharCharCharCharCharCharCharCharCharCharChar1CharCharCharCharCharCharCharCharCharCharCharCharCharCharCharCharCharCharCharCharCharCharCharCharCharCharChar">
    <w:name w:val="Char Char Char1 Char Char Char Char Char Char Char Char Char Char Char Char Char Char Char1 Char Char Char Char Char Char Char Char Char Char Char Char Char Char Char Char Char Char Char Char Char Char Char Char Char Char Char"/>
    <w:basedOn w:val="a"/>
    <w:qFormat/>
    <w:pPr>
      <w:spacing w:line="240" w:lineRule="exact"/>
      <w:ind w:firstLineChars="200" w:firstLine="200"/>
    </w:pPr>
    <w:rPr>
      <w:rFonts w:ascii="Times New Roman" w:eastAsia="宋体" w:hAnsi="Times New Roman" w:cs="Times New Roman"/>
      <w:sz w:val="28"/>
      <w:szCs w:val="28"/>
    </w:rPr>
  </w:style>
  <w:style w:type="paragraph" w:customStyle="1" w:styleId="CharCharCharCharCharCharCharCharChar1CharCharCharCharCharCharChar">
    <w:name w:val="Char Char Char Char Char Char Char Char Char1 Char Char Char Char Char Char Char"/>
    <w:basedOn w:val="a"/>
    <w:qFormat/>
    <w:rPr>
      <w:rFonts w:ascii="Times New Roman" w:eastAsia="宋体" w:hAnsi="Times New Roman" w:cs="Times New Roman"/>
      <w:szCs w:val="21"/>
    </w:rPr>
  </w:style>
  <w:style w:type="paragraph" w:customStyle="1" w:styleId="5f2">
    <w:name w:val="文本框5号两端齐"/>
    <w:basedOn w:val="a"/>
    <w:semiHidden/>
    <w:qFormat/>
    <w:pPr>
      <w:widowControl/>
    </w:pPr>
    <w:rPr>
      <w:rFonts w:ascii="Times New Roman" w:eastAsia="仿宋_GB2312" w:hAnsi="Times New Roman" w:cs="Times New Roman"/>
      <w:szCs w:val="21"/>
    </w:rPr>
  </w:style>
  <w:style w:type="paragraph" w:customStyle="1" w:styleId="xl24">
    <w:name w:val="xl2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宋体" w:hAnsi="Times New Roman" w:cs="Times New Roman"/>
      <w:kern w:val="0"/>
      <w:sz w:val="18"/>
      <w:szCs w:val="18"/>
    </w:rPr>
  </w:style>
  <w:style w:type="paragraph" w:customStyle="1" w:styleId="415">
    <w:name w:val="样式 标题 4 + 四号 段前: 1 行"/>
    <w:basedOn w:val="41"/>
    <w:qFormat/>
    <w:pPr>
      <w:keepNext/>
      <w:keepLines/>
      <w:widowControl/>
      <w:tabs>
        <w:tab w:val="left" w:pos="1984"/>
        <w:tab w:val="left" w:pos="2160"/>
      </w:tabs>
      <w:spacing w:before="312" w:line="420" w:lineRule="exact"/>
      <w:ind w:left="560"/>
      <w:jc w:val="both"/>
    </w:pPr>
    <w:rPr>
      <w:rFonts w:ascii="Arial" w:eastAsia="黑体" w:hAnsi="Arial" w:cs="Times New Roman"/>
      <w:szCs w:val="20"/>
      <w:lang w:eastAsia="zh-CN"/>
    </w:rPr>
  </w:style>
  <w:style w:type="paragraph" w:customStyle="1" w:styleId="xl131">
    <w:name w:val="xl131"/>
    <w:basedOn w:val="a"/>
    <w:qFormat/>
    <w:pPr>
      <w:widowControl/>
      <w:pBdr>
        <w:left w:val="single" w:sz="4" w:space="0" w:color="auto"/>
        <w:right w:val="single" w:sz="8"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af00">
    <w:name w:val="af0"/>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wangjunbobullet">
    <w:name w:val="wangjunbo.bullet"/>
    <w:basedOn w:val="a"/>
    <w:qFormat/>
    <w:pPr>
      <w:jc w:val="center"/>
    </w:pPr>
    <w:rPr>
      <w:rFonts w:ascii="宋体" w:eastAsia="宋体" w:hAnsi="宋体" w:cs="Times New Roman"/>
      <w:szCs w:val="20"/>
    </w:rPr>
  </w:style>
  <w:style w:type="paragraph" w:customStyle="1" w:styleId="xl186">
    <w:name w:val="xl186"/>
    <w:basedOn w:val="a"/>
    <w:qFormat/>
    <w:pPr>
      <w:widowControl/>
      <w:pBdr>
        <w:left w:val="single" w:sz="4" w:space="0" w:color="auto"/>
        <w:bottom w:val="single" w:sz="4" w:space="0" w:color="auto"/>
        <w:right w:val="single" w:sz="4"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Char190">
    <w:name w:val="Char19"/>
    <w:basedOn w:val="a"/>
    <w:qFormat/>
    <w:rPr>
      <w:rFonts w:ascii="Times New Roman" w:eastAsia="宋体" w:hAnsi="Times New Roman" w:cs="Times New Roman"/>
      <w:szCs w:val="21"/>
    </w:rPr>
  </w:style>
  <w:style w:type="paragraph" w:customStyle="1" w:styleId="11110">
    <w:name w:val="四级标题1.1.1.1"/>
    <w:basedOn w:val="a"/>
    <w:next w:val="a"/>
    <w:qFormat/>
    <w:pPr>
      <w:keepNext/>
      <w:keepLines/>
      <w:widowControl/>
      <w:adjustRightInd w:val="0"/>
      <w:spacing w:before="40" w:after="40" w:line="360" w:lineRule="auto"/>
      <w:ind w:firstLineChars="200" w:firstLine="200"/>
      <w:textAlignment w:val="baseline"/>
      <w:outlineLvl w:val="3"/>
    </w:pPr>
    <w:rPr>
      <w:rFonts w:ascii="Times New Roman" w:eastAsia="仿宋_GB2312" w:hAnsi="Times New Roman" w:cs="宋体"/>
      <w:b/>
      <w:kern w:val="0"/>
      <w:sz w:val="24"/>
      <w:szCs w:val="28"/>
    </w:rPr>
  </w:style>
  <w:style w:type="paragraph" w:customStyle="1" w:styleId="lulu25">
    <w:name w:val="报告正文lulu（25磅固定段落）"/>
    <w:basedOn w:val="a0"/>
    <w:qFormat/>
    <w:pPr>
      <w:spacing w:before="0" w:after="0" w:line="500" w:lineRule="exact"/>
      <w:ind w:firstLineChars="200" w:firstLine="560"/>
      <w:jc w:val="both"/>
    </w:pPr>
    <w:rPr>
      <w:rFonts w:cs="Times New Roman"/>
      <w:b w:val="0"/>
      <w:bCs w:val="0"/>
      <w:kern w:val="0"/>
      <w:sz w:val="28"/>
      <w:szCs w:val="28"/>
      <w:lang w:val="zh-CN"/>
    </w:rPr>
  </w:style>
  <w:style w:type="paragraph" w:customStyle="1" w:styleId="CharChar55">
    <w:name w:val="Char Char55"/>
    <w:basedOn w:val="a"/>
    <w:qFormat/>
    <w:pPr>
      <w:widowControl/>
      <w:spacing w:after="160" w:line="240" w:lineRule="exact"/>
      <w:jc w:val="left"/>
    </w:pPr>
    <w:rPr>
      <w:rFonts w:ascii="Verdana" w:eastAsia="宋体" w:hAnsi="Verdana" w:cs="Verdana"/>
      <w:kern w:val="0"/>
      <w:szCs w:val="21"/>
      <w:lang w:eastAsia="en-US"/>
    </w:rPr>
  </w:style>
  <w:style w:type="paragraph" w:customStyle="1" w:styleId="CharCharChar1CharCharCharCharCharCharChar6">
    <w:name w:val="Char Char Char1 Char Char Char Char Char Char Char6"/>
    <w:basedOn w:val="a"/>
    <w:qFormat/>
    <w:rPr>
      <w:rFonts w:ascii="Tahoma" w:eastAsia="宋体" w:hAnsi="Tahoma" w:cs="Times New Roman"/>
      <w:sz w:val="24"/>
      <w:szCs w:val="20"/>
    </w:rPr>
  </w:style>
  <w:style w:type="paragraph" w:customStyle="1" w:styleId="2CharChar6">
    <w:name w:val="目录 2 Char Char"/>
    <w:basedOn w:val="a"/>
    <w:next w:val="a"/>
    <w:qFormat/>
    <w:pPr>
      <w:spacing w:line="351" w:lineRule="atLeast"/>
      <w:ind w:left="209" w:firstLine="419"/>
      <w:jc w:val="left"/>
    </w:pPr>
    <w:rPr>
      <w:rFonts w:ascii="Times New Roman" w:eastAsia="宋体" w:hAnsi="Times New Roman" w:cs="Times New Roman" w:hint="eastAsia"/>
      <w:szCs w:val="20"/>
    </w:rPr>
  </w:style>
  <w:style w:type="paragraph" w:customStyle="1" w:styleId="CharCharCharCharCharCharCharCharCharCharCharCharChar3">
    <w:name w:val="Char Char Char Char Char Char Char Char Char Char Char Char Char3"/>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xl207">
    <w:name w:val="xl207"/>
    <w:basedOn w:val="a"/>
    <w:qFormat/>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2fffff9">
    <w:name w:val="正文文本缩进2"/>
    <w:basedOn w:val="a"/>
    <w:qFormat/>
    <w:pPr>
      <w:spacing w:after="120" w:line="360" w:lineRule="auto"/>
      <w:ind w:leftChars="200" w:left="420" w:firstLineChars="200" w:firstLine="200"/>
    </w:pPr>
    <w:rPr>
      <w:rFonts w:ascii="Times New Roman" w:eastAsia="宋体" w:hAnsi="Times New Roman" w:cs="Times New Roman"/>
      <w:sz w:val="24"/>
      <w:szCs w:val="24"/>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
    <w:qFormat/>
    <w:rPr>
      <w:rFonts w:ascii="Times New Roman" w:eastAsia="宋体" w:hAnsi="Times New Roman" w:cs="Times New Roman"/>
      <w:szCs w:val="24"/>
    </w:rPr>
  </w:style>
  <w:style w:type="paragraph" w:customStyle="1" w:styleId="style5">
    <w:name w:val="style5"/>
    <w:basedOn w:val="a"/>
    <w:qFormat/>
    <w:pPr>
      <w:widowControl/>
      <w:spacing w:before="100" w:beforeAutospacing="1" w:after="100" w:afterAutospacing="1"/>
      <w:jc w:val="left"/>
    </w:pPr>
    <w:rPr>
      <w:rFonts w:ascii="Verdana" w:eastAsia="宋体" w:hAnsi="Verdana" w:cs="宋体"/>
      <w:kern w:val="0"/>
      <w:sz w:val="24"/>
      <w:szCs w:val="24"/>
    </w:rPr>
  </w:style>
  <w:style w:type="paragraph" w:customStyle="1" w:styleId="5f3">
    <w:name w:val="无间隔5"/>
    <w:qFormat/>
    <w:pPr>
      <w:widowControl w:val="0"/>
      <w:jc w:val="both"/>
    </w:pPr>
    <w:rPr>
      <w:rFonts w:ascii="Arial" w:eastAsia="仿宋" w:hAnsi="Arial" w:cs="Times New Roman"/>
      <w:w w:val="90"/>
      <w:kern w:val="2"/>
      <w:sz w:val="24"/>
      <w:szCs w:val="24"/>
    </w:rPr>
  </w:style>
  <w:style w:type="paragraph" w:customStyle="1" w:styleId="87">
    <w:name w:val="正文8"/>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Char210">
    <w:name w:val="Char21"/>
    <w:basedOn w:val="a"/>
    <w:qFormat/>
    <w:rPr>
      <w:rFonts w:ascii="Times New Roman" w:eastAsia="宋体" w:hAnsi="Times New Roman" w:cs="Times New Roman"/>
      <w:sz w:val="24"/>
      <w:szCs w:val="24"/>
    </w:rPr>
  </w:style>
  <w:style w:type="paragraph" w:customStyle="1" w:styleId="1230">
    <w:name w:val="文本123"/>
    <w:basedOn w:val="a0"/>
    <w:semiHidden/>
    <w:qFormat/>
    <w:pPr>
      <w:tabs>
        <w:tab w:val="left" w:pos="958"/>
      </w:tabs>
      <w:spacing w:before="0" w:after="0" w:line="460" w:lineRule="exact"/>
      <w:ind w:left="958" w:hanging="420"/>
      <w:jc w:val="both"/>
      <w:outlineLvl w:val="7"/>
    </w:pPr>
    <w:rPr>
      <w:rFonts w:ascii="Times New Roman" w:hAnsi="Times New Roman" w:cs="Times New Roman"/>
      <w:b w:val="0"/>
      <w:bCs w:val="0"/>
      <w:kern w:val="0"/>
      <w:szCs w:val="20"/>
      <w:lang w:val="zh-CN"/>
    </w:rPr>
  </w:style>
  <w:style w:type="paragraph" w:customStyle="1" w:styleId="1fffff8">
    <w:name w:val="列表段落1"/>
    <w:basedOn w:val="a"/>
    <w:qFormat/>
    <w:pPr>
      <w:widowControl/>
      <w:ind w:firstLineChars="200" w:firstLine="420"/>
      <w:jc w:val="left"/>
    </w:pPr>
    <w:rPr>
      <w:rFonts w:ascii="Times New Roman" w:eastAsia="宋体" w:hAnsi="Times New Roman" w:cs="Times New Roman"/>
      <w:kern w:val="0"/>
      <w:sz w:val="24"/>
      <w:szCs w:val="20"/>
    </w:rPr>
  </w:style>
  <w:style w:type="paragraph" w:customStyle="1" w:styleId="affffffffffffffffffffa">
    <w:name w:val="目录"/>
    <w:qFormat/>
    <w:pPr>
      <w:jc w:val="center"/>
      <w:outlineLvl w:val="0"/>
    </w:pPr>
    <w:rPr>
      <w:rFonts w:ascii="宋体" w:eastAsia="宋体" w:hAnsi="Times New Roman" w:cs="Times New Roman"/>
      <w:color w:val="FF0000"/>
      <w:sz w:val="32"/>
    </w:rPr>
  </w:style>
  <w:style w:type="paragraph" w:customStyle="1" w:styleId="affffffffffffffffffffb">
    <w:name w:val="表后注"/>
    <w:basedOn w:val="a"/>
    <w:qFormat/>
    <w:pPr>
      <w:spacing w:line="500" w:lineRule="exact"/>
      <w:ind w:firstLine="584"/>
    </w:pPr>
    <w:rPr>
      <w:rFonts w:ascii="Times New Roman" w:eastAsia="宋体" w:hAnsi="Times New Roman" w:cs="Times New Roman"/>
      <w:sz w:val="24"/>
      <w:szCs w:val="24"/>
    </w:rPr>
  </w:style>
  <w:style w:type="paragraph" w:customStyle="1" w:styleId="affffffffffffffffffffc">
    <w:name w:val="样式 列表"/>
    <w:basedOn w:val="affa"/>
    <w:qFormat/>
    <w:pPr>
      <w:spacing w:line="280" w:lineRule="exact"/>
      <w:ind w:left="0" w:firstLineChars="0" w:firstLine="0"/>
      <w:jc w:val="center"/>
    </w:pPr>
    <w:rPr>
      <w:rFonts w:eastAsia="方正仿宋_GBK" w:cs="宋体"/>
      <w:szCs w:val="20"/>
    </w:rPr>
  </w:style>
  <w:style w:type="paragraph" w:customStyle="1" w:styleId="CharCharCharCharCharChar1CharCharCharChar1">
    <w:name w:val="Char Char Char Char Char Char1 Char Char Char Char1"/>
    <w:basedOn w:val="a"/>
    <w:qFormat/>
    <w:rPr>
      <w:rFonts w:ascii="Times New Roman" w:eastAsia="宋体" w:hAnsi="Times New Roman" w:cs="Times New Roman"/>
      <w:sz w:val="24"/>
      <w:szCs w:val="24"/>
    </w:rPr>
  </w:style>
  <w:style w:type="paragraph" w:customStyle="1" w:styleId="253">
    <w:name w:val="样式 宋体 小四 行距: 固定值 25 磅"/>
    <w:basedOn w:val="a"/>
    <w:qFormat/>
    <w:pPr>
      <w:spacing w:line="500" w:lineRule="exact"/>
      <w:ind w:firstLineChars="200" w:firstLine="480"/>
    </w:pPr>
    <w:rPr>
      <w:rFonts w:ascii="宋体" w:eastAsia="仿宋_GB2312" w:hAnsi="宋体" w:cs="Times New Roman"/>
      <w:bCs/>
      <w:sz w:val="24"/>
      <w:szCs w:val="20"/>
      <w:lang w:val="zh-CN"/>
    </w:rPr>
  </w:style>
  <w:style w:type="paragraph" w:customStyle="1" w:styleId="xl27">
    <w:name w:val="xl2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幼圆" w:eastAsia="幼圆" w:hAnsi="Arial Unicode MS" w:cs="Arial Unicode MS" w:hint="eastAsia"/>
      <w:kern w:val="0"/>
      <w:szCs w:val="21"/>
    </w:rPr>
  </w:style>
  <w:style w:type="paragraph" w:customStyle="1" w:styleId="1fffff9">
    <w:name w:val="首1页项目名称"/>
    <w:basedOn w:val="2ff9"/>
    <w:qFormat/>
    <w:rPr>
      <w:rFonts w:ascii="新宋体" w:eastAsia="新宋体" w:hAnsi="新宋体"/>
    </w:rPr>
  </w:style>
  <w:style w:type="paragraph" w:customStyle="1" w:styleId="xl68">
    <w:name w:val="xl68"/>
    <w:basedOn w:val="a"/>
    <w:qFormat/>
    <w:pPr>
      <w:widowControl/>
      <w:pBdr>
        <w:top w:val="single" w:sz="12" w:space="0" w:color="auto"/>
      </w:pBdr>
      <w:spacing w:before="100" w:beforeAutospacing="1" w:after="100" w:afterAutospacing="1"/>
      <w:jc w:val="left"/>
    </w:pPr>
    <w:rPr>
      <w:rFonts w:ascii="Arial Unicode MS" w:eastAsia="宋体" w:hAnsi="Arial Unicode MS" w:cs="Times New Roman"/>
      <w:kern w:val="0"/>
      <w:sz w:val="12"/>
      <w:szCs w:val="12"/>
    </w:rPr>
  </w:style>
  <w:style w:type="paragraph" w:customStyle="1" w:styleId="Char42">
    <w:name w:val="Char4"/>
    <w:basedOn w:val="a"/>
    <w:qFormat/>
    <w:pPr>
      <w:spacing w:line="240" w:lineRule="exact"/>
      <w:ind w:firstLineChars="200" w:firstLine="360"/>
    </w:pPr>
    <w:rPr>
      <w:rFonts w:ascii="仿宋_GB2312" w:eastAsia="仿宋_GB2312" w:hAnsi="Times New Roman" w:cs="Times New Roman"/>
      <w:sz w:val="18"/>
      <w:szCs w:val="18"/>
    </w:rPr>
  </w:style>
  <w:style w:type="paragraph" w:customStyle="1" w:styleId="ParaCharCharCharCharCharCharCharCharCharCharCharChar">
    <w:name w:val="默认段落字体 Para Char Char Char Char Char Char Char Char Char Char Char Char"/>
    <w:basedOn w:val="a"/>
    <w:qFormat/>
    <w:rPr>
      <w:rFonts w:ascii="Times New Roman" w:eastAsia="宋体" w:hAnsi="Times New Roman" w:cs="Times New Roman"/>
      <w:sz w:val="24"/>
      <w:szCs w:val="24"/>
    </w:rPr>
  </w:style>
  <w:style w:type="paragraph" w:customStyle="1" w:styleId="CharChar3Char1">
    <w:name w:val="Char Char3 Char1"/>
    <w:basedOn w:val="a"/>
    <w:qFormat/>
    <w:rPr>
      <w:rFonts w:ascii="Tahoma" w:eastAsia="宋体" w:hAnsi="Tahoma" w:cs="Times New Roman"/>
      <w:sz w:val="24"/>
      <w:szCs w:val="20"/>
    </w:rPr>
  </w:style>
  <w:style w:type="paragraph" w:customStyle="1" w:styleId="jcss">
    <w:name w:val="jcss"/>
    <w:basedOn w:val="a"/>
    <w:qFormat/>
    <w:pPr>
      <w:widowControl/>
      <w:spacing w:before="100" w:beforeAutospacing="1" w:after="100" w:afterAutospacing="1" w:line="375" w:lineRule="atLeast"/>
      <w:jc w:val="left"/>
    </w:pPr>
    <w:rPr>
      <w:rFonts w:ascii="宋体" w:eastAsia="宋体" w:hAnsi="宋体" w:cs="宋体"/>
      <w:color w:val="000000"/>
      <w:kern w:val="0"/>
      <w:sz w:val="18"/>
      <w:szCs w:val="18"/>
    </w:rPr>
  </w:style>
  <w:style w:type="paragraph" w:customStyle="1" w:styleId="Instll8">
    <w:name w:val="InstÀÀll8"/>
    <w:qFormat/>
    <w:pPr>
      <w:tabs>
        <w:tab w:val="left" w:pos="-720"/>
      </w:tabs>
      <w:suppressAutoHyphens/>
      <w:jc w:val="both"/>
    </w:pPr>
    <w:rPr>
      <w:rFonts w:ascii="Courier" w:eastAsia="宋体" w:hAnsi="Courier" w:cs="Times New Roman"/>
      <w:spacing w:val="-3"/>
      <w:sz w:val="24"/>
      <w:lang w:eastAsia="sv-SE"/>
    </w:rPr>
  </w:style>
  <w:style w:type="paragraph" w:customStyle="1" w:styleId="Char420">
    <w:name w:val="Char42"/>
    <w:basedOn w:val="a"/>
    <w:qFormat/>
    <w:rPr>
      <w:rFonts w:ascii="Times New Roman" w:eastAsia="宋体" w:hAnsi="Times New Roman" w:cs="Times New Roman"/>
      <w:sz w:val="24"/>
      <w:szCs w:val="24"/>
    </w:rPr>
  </w:style>
  <w:style w:type="paragraph" w:customStyle="1" w:styleId="affffffffffffffffffffd">
    <w:name w:val="项目编号文字"/>
    <w:basedOn w:val="a"/>
    <w:next w:val="a0"/>
    <w:qFormat/>
    <w:pPr>
      <w:spacing w:before="120" w:after="120" w:line="360" w:lineRule="auto"/>
      <w:ind w:left="1077"/>
    </w:pPr>
    <w:rPr>
      <w:rFonts w:ascii="Times New Roman" w:eastAsia="宋体" w:hAnsi="Times New Roman" w:cs="Times New Roman"/>
      <w:sz w:val="24"/>
      <w:szCs w:val="20"/>
    </w:rPr>
  </w:style>
  <w:style w:type="paragraph" w:customStyle="1" w:styleId="158">
    <w:name w:val="样式15"/>
    <w:basedOn w:val="a"/>
    <w:qFormat/>
    <w:rPr>
      <w:rFonts w:ascii="Times New Roman" w:eastAsia="宋体" w:hAnsi="Times New Roman" w:cs="Times New Roman"/>
      <w:szCs w:val="24"/>
    </w:rPr>
  </w:style>
  <w:style w:type="paragraph" w:customStyle="1" w:styleId="font25">
    <w:name w:val="font25"/>
    <w:basedOn w:val="a"/>
    <w:qFormat/>
    <w:pPr>
      <w:widowControl/>
      <w:spacing w:before="100" w:beforeAutospacing="1" w:after="100" w:afterAutospacing="1"/>
      <w:jc w:val="left"/>
    </w:pPr>
    <w:rPr>
      <w:rFonts w:ascii="宋体" w:eastAsia="宋体" w:hAnsi="宋体" w:cs="宋体"/>
      <w:color w:val="333399"/>
      <w:kern w:val="0"/>
      <w:sz w:val="18"/>
      <w:szCs w:val="18"/>
    </w:rPr>
  </w:style>
  <w:style w:type="paragraph" w:customStyle="1" w:styleId="BG1">
    <w:name w:val="BG1"/>
    <w:basedOn w:val="a"/>
    <w:qFormat/>
    <w:pPr>
      <w:autoSpaceDE w:val="0"/>
      <w:autoSpaceDN w:val="0"/>
      <w:jc w:val="center"/>
    </w:pPr>
    <w:rPr>
      <w:rFonts w:ascii="Times New Roman" w:eastAsia="宋体" w:hAnsi="Times New Roman" w:cs="Times New Roman"/>
      <w:color w:val="000000"/>
      <w:kern w:val="0"/>
      <w:szCs w:val="24"/>
    </w:rPr>
  </w:style>
  <w:style w:type="paragraph" w:customStyle="1" w:styleId="affffffffffffffffffffe">
    <w:name w:val="样式 图号 + 宋体"/>
    <w:basedOn w:val="affffffffffffff4"/>
    <w:qFormat/>
    <w:pPr>
      <w:ind w:firstLineChars="200" w:firstLine="200"/>
    </w:pPr>
    <w:rPr>
      <w:rFonts w:ascii="宋体" w:hAnsi="宋体"/>
    </w:rPr>
  </w:style>
  <w:style w:type="paragraph" w:customStyle="1" w:styleId="1fffffa">
    <w:name w:val="样式 标题 1 + 加粗"/>
    <w:basedOn w:val="1"/>
    <w:qFormat/>
    <w:pPr>
      <w:keepNext/>
      <w:keepLines/>
      <w:widowControl/>
      <w:tabs>
        <w:tab w:val="left" w:pos="425"/>
        <w:tab w:val="left" w:pos="780"/>
      </w:tabs>
      <w:spacing w:before="0" w:line="360" w:lineRule="auto"/>
      <w:ind w:left="780" w:hanging="360"/>
      <w:jc w:val="center"/>
    </w:pPr>
    <w:rPr>
      <w:rFonts w:ascii="黑体" w:eastAsia="黑体" w:hAnsi="Arial Black" w:cs="宋体"/>
      <w:b w:val="0"/>
      <w:bCs w:val="0"/>
      <w:kern w:val="44"/>
      <w:sz w:val="32"/>
      <w:szCs w:val="24"/>
      <w:lang w:eastAsia="zh-CN"/>
    </w:rPr>
  </w:style>
  <w:style w:type="paragraph" w:customStyle="1" w:styleId="BodyTextIndent32">
    <w:name w:val="Body Text Indent 32"/>
    <w:basedOn w:val="a"/>
    <w:qFormat/>
    <w:pPr>
      <w:adjustRightInd w:val="0"/>
      <w:spacing w:line="480" w:lineRule="exact"/>
      <w:ind w:firstLine="525"/>
      <w:textAlignment w:val="baseline"/>
    </w:pPr>
    <w:rPr>
      <w:rFonts w:ascii="宋体" w:eastAsia="宋体" w:hAnsi="Times New Roman" w:cs="Times New Roman"/>
      <w:sz w:val="28"/>
      <w:szCs w:val="20"/>
    </w:rPr>
  </w:style>
  <w:style w:type="paragraph" w:customStyle="1" w:styleId="xl38">
    <w:name w:val="xl38"/>
    <w:basedOn w:val="a"/>
    <w:qFormat/>
    <w:pPr>
      <w:widowControl/>
      <w:pBdr>
        <w:top w:val="single" w:sz="12" w:space="0" w:color="auto"/>
        <w:left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td2">
    <w:name w:val="td2"/>
    <w:basedOn w:val="a"/>
    <w:qFormat/>
    <w:pPr>
      <w:widowControl/>
      <w:spacing w:before="100" w:beforeAutospacing="1" w:after="100" w:afterAutospacing="1" w:line="360" w:lineRule="atLeast"/>
      <w:jc w:val="left"/>
    </w:pPr>
    <w:rPr>
      <w:rFonts w:ascii="宋体" w:eastAsia="宋体" w:hAnsi="宋体" w:cs="宋体"/>
      <w:kern w:val="0"/>
      <w:sz w:val="20"/>
      <w:szCs w:val="20"/>
    </w:rPr>
  </w:style>
  <w:style w:type="paragraph" w:customStyle="1" w:styleId="afffffffffffffffffffff">
    <w:name w:val="表内字体"/>
    <w:basedOn w:val="a"/>
    <w:qFormat/>
    <w:pPr>
      <w:jc w:val="center"/>
    </w:pPr>
    <w:rPr>
      <w:rFonts w:ascii="Times New Roman" w:eastAsia="宋体" w:hAnsi="宋体" w:cs="Times New Roman"/>
      <w:szCs w:val="20"/>
    </w:rPr>
  </w:style>
  <w:style w:type="paragraph" w:customStyle="1" w:styleId="xl">
    <w:name w:val="xl"/>
    <w:basedOn w:val="a"/>
    <w:qFormat/>
    <w:pPr>
      <w:widowControl/>
      <w:spacing w:before="100" w:beforeAutospacing="1" w:after="100" w:afterAutospacing="1"/>
      <w:jc w:val="left"/>
    </w:pPr>
    <w:rPr>
      <w:rFonts w:ascii="隶书" w:eastAsia="隶书" w:hAnsi="Arial Unicode MS" w:cs="Times New Roman" w:hint="eastAsia"/>
      <w:color w:val="008000"/>
      <w:kern w:val="0"/>
      <w:sz w:val="36"/>
      <w:szCs w:val="36"/>
    </w:rPr>
  </w:style>
  <w:style w:type="paragraph" w:customStyle="1" w:styleId="Instll2">
    <w:name w:val="InstÀÀll2"/>
    <w:qFormat/>
    <w:pPr>
      <w:tabs>
        <w:tab w:val="left" w:pos="-720"/>
      </w:tabs>
      <w:suppressAutoHyphens/>
      <w:jc w:val="both"/>
    </w:pPr>
    <w:rPr>
      <w:rFonts w:ascii="Courier" w:eastAsia="宋体" w:hAnsi="Courier" w:cs="Times New Roman"/>
      <w:spacing w:val="-3"/>
      <w:sz w:val="24"/>
      <w:lang w:eastAsia="sv-SE"/>
    </w:rPr>
  </w:style>
  <w:style w:type="paragraph" w:customStyle="1" w:styleId="CharCharCharCharCharCharCharCharChar1Char4">
    <w:name w:val="Char Char Char Char Char Char Char Char Char1 Char4"/>
    <w:basedOn w:val="a"/>
    <w:qFormat/>
    <w:pPr>
      <w:widowControl/>
      <w:spacing w:after="160" w:line="240" w:lineRule="exact"/>
      <w:jc w:val="left"/>
    </w:pPr>
    <w:rPr>
      <w:rFonts w:ascii="Arial" w:eastAsia="宋体" w:hAnsi="Arial" w:cs="Verdana"/>
      <w:b/>
      <w:kern w:val="0"/>
      <w:sz w:val="24"/>
      <w:szCs w:val="24"/>
      <w:lang w:eastAsia="en-US"/>
    </w:rPr>
  </w:style>
  <w:style w:type="paragraph" w:customStyle="1" w:styleId="p1">
    <w:name w:val="p1"/>
    <w:basedOn w:val="a"/>
    <w:qFormat/>
    <w:pPr>
      <w:widowControl/>
      <w:spacing w:before="100" w:beforeAutospacing="1" w:after="100" w:afterAutospacing="1" w:line="502" w:lineRule="atLeast"/>
      <w:ind w:firstLine="84"/>
      <w:jc w:val="left"/>
    </w:pPr>
    <w:rPr>
      <w:rFonts w:ascii="宋体" w:eastAsia="宋体" w:hAnsi="宋体" w:cs="宋体"/>
      <w:kern w:val="0"/>
      <w:sz w:val="27"/>
      <w:szCs w:val="24"/>
    </w:rPr>
  </w:style>
  <w:style w:type="paragraph" w:customStyle="1" w:styleId="afffffffffffffffffffff0">
    <w:name w:val="源程序"/>
    <w:qFormat/>
    <w:pPr>
      <w:widowControl w:val="0"/>
      <w:kinsoku w:val="0"/>
      <w:wordWrap w:val="0"/>
      <w:overflowPunct w:val="0"/>
      <w:autoSpaceDE w:val="0"/>
      <w:autoSpaceDN w:val="0"/>
      <w:adjustRightInd w:val="0"/>
      <w:ind w:left="482"/>
    </w:pPr>
    <w:rPr>
      <w:rFonts w:ascii="Courier New" w:eastAsia="仿宋_GB2312" w:hAnsi="Courier New" w:cs="Times New Roman"/>
      <w:sz w:val="24"/>
    </w:rPr>
  </w:style>
  <w:style w:type="paragraph" w:customStyle="1" w:styleId="ParaCharCharCharChar">
    <w:name w:val="默认段落字体 Para Char Char Char Char"/>
    <w:basedOn w:val="a"/>
    <w:qFormat/>
    <w:rPr>
      <w:rFonts w:ascii="Times New Roman" w:eastAsia="宋体" w:hAnsi="Times New Roman" w:cs="Times New Roman"/>
      <w:sz w:val="24"/>
      <w:szCs w:val="24"/>
    </w:rPr>
  </w:style>
  <w:style w:type="paragraph" w:customStyle="1" w:styleId="CharChar1CharCharCharChar2">
    <w:name w:val="Char Char1 Char Char Char Char2"/>
    <w:basedOn w:val="a"/>
    <w:qFormat/>
    <w:rPr>
      <w:rFonts w:ascii="Times New Roman" w:eastAsia="宋体" w:hAnsi="Times New Roman" w:cs="Times New Roman"/>
      <w:sz w:val="24"/>
      <w:szCs w:val="24"/>
    </w:rPr>
  </w:style>
  <w:style w:type="paragraph" w:customStyle="1" w:styleId="a00">
    <w:name w:val="a0"/>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1CharCharCharCharCharChar4">
    <w:name w:val="Char1 Char Char Char Char Char Char4"/>
    <w:basedOn w:val="a"/>
    <w:qFormat/>
    <w:pPr>
      <w:spacing w:line="360" w:lineRule="auto"/>
      <w:ind w:firstLineChars="200" w:firstLine="200"/>
    </w:pPr>
    <w:rPr>
      <w:rFonts w:ascii="宋体" w:eastAsia="宋体" w:hAnsi="宋体" w:cs="宋体"/>
      <w:sz w:val="24"/>
      <w:szCs w:val="24"/>
    </w:rPr>
  </w:style>
  <w:style w:type="paragraph" w:customStyle="1" w:styleId="3fff0">
    <w:name w:val="样式 标题 3 + 小四"/>
    <w:basedOn w:val="3"/>
    <w:qFormat/>
    <w:pPr>
      <w:spacing w:before="0" w:after="0" w:line="360" w:lineRule="auto"/>
    </w:pPr>
    <w:rPr>
      <w:rFonts w:ascii="宋体" w:hAnsi="宋体"/>
      <w:sz w:val="28"/>
    </w:rPr>
  </w:style>
  <w:style w:type="paragraph" w:customStyle="1" w:styleId="xl212">
    <w:name w:val="xl212"/>
    <w:basedOn w:val="a"/>
    <w:qFormat/>
    <w:pPr>
      <w:widowControl/>
      <w:pBdr>
        <w:bottom w:val="single" w:sz="12" w:space="0" w:color="auto"/>
        <w:righ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afffffffffffffffffffff1">
    <w:name w:val="段落"/>
    <w:basedOn w:val="a"/>
    <w:semiHidden/>
    <w:qFormat/>
    <w:pPr>
      <w:spacing w:line="360" w:lineRule="auto"/>
      <w:ind w:firstLineChars="200" w:firstLine="200"/>
    </w:pPr>
    <w:rPr>
      <w:rFonts w:ascii="Times New Roman" w:eastAsia="宋体" w:hAnsi="Times New Roman" w:cs="Times New Roman"/>
      <w:sz w:val="24"/>
      <w:szCs w:val="24"/>
    </w:rPr>
  </w:style>
  <w:style w:type="paragraph" w:customStyle="1" w:styleId="xl184">
    <w:name w:val="xl184"/>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68">
    <w:name w:val="正文6"/>
    <w:qFormat/>
    <w:pPr>
      <w:jc w:val="both"/>
    </w:pPr>
    <w:rPr>
      <w:rFonts w:ascii="Calibri" w:eastAsia="宋体" w:hAnsi="Calibri" w:cs="Calibri"/>
      <w:kern w:val="2"/>
      <w:sz w:val="21"/>
      <w:szCs w:val="21"/>
    </w:rPr>
  </w:style>
  <w:style w:type="paragraph" w:customStyle="1" w:styleId="afffffffffffffffffffff2">
    <w:name w:val="单位名称"/>
    <w:basedOn w:val="a"/>
    <w:next w:val="a"/>
    <w:qFormat/>
    <w:pPr>
      <w:jc w:val="center"/>
    </w:pPr>
    <w:rPr>
      <w:rFonts w:ascii="Times New Roman" w:eastAsia="宋体" w:hAnsi="Times New Roman" w:cs="Times New Roman"/>
      <w:sz w:val="44"/>
      <w:szCs w:val="44"/>
    </w:rPr>
  </w:style>
  <w:style w:type="paragraph" w:customStyle="1" w:styleId="ENUM">
    <w:name w:val="ENUM"/>
    <w:basedOn w:val="a"/>
    <w:qFormat/>
    <w:pPr>
      <w:widowControl/>
      <w:tabs>
        <w:tab w:val="left" w:pos="840"/>
        <w:tab w:val="left" w:pos="1418"/>
      </w:tabs>
      <w:spacing w:before="60" w:after="60"/>
      <w:ind w:left="1418" w:firstLineChars="200" w:hanging="284"/>
    </w:pPr>
    <w:rPr>
      <w:rFonts w:ascii="Arial" w:eastAsia="宋体" w:hAnsi="Arial" w:cs="Times New Roman"/>
      <w:kern w:val="0"/>
      <w:sz w:val="22"/>
      <w:szCs w:val="20"/>
      <w:lang w:val="en-GB"/>
    </w:rPr>
  </w:style>
  <w:style w:type="paragraph" w:customStyle="1" w:styleId="cdb">
    <w:name w:val="cdb"/>
    <w:basedOn w:val="a"/>
    <w:qFormat/>
    <w:pPr>
      <w:spacing w:before="120"/>
      <w:ind w:left="851" w:firstLine="482"/>
    </w:pPr>
    <w:rPr>
      <w:rFonts w:ascii="Times New Roman" w:eastAsia="宋体" w:hAnsi="Times New Roman" w:cs="Times New Roman"/>
      <w:szCs w:val="20"/>
    </w:rPr>
  </w:style>
  <w:style w:type="paragraph" w:customStyle="1" w:styleId="Char350">
    <w:name w:val="Char35"/>
    <w:basedOn w:val="a"/>
    <w:qFormat/>
    <w:rPr>
      <w:rFonts w:ascii="Times New Roman" w:eastAsia="宋体" w:hAnsi="Times New Roman" w:cs="Times New Roman"/>
      <w:sz w:val="24"/>
      <w:szCs w:val="24"/>
    </w:rPr>
  </w:style>
  <w:style w:type="paragraph" w:customStyle="1" w:styleId="CharCharChar1Char13">
    <w:name w:val="Char Char Char1 Char13"/>
    <w:basedOn w:val="2"/>
    <w:qFormat/>
    <w:pPr>
      <w:spacing w:line="520" w:lineRule="exact"/>
    </w:pPr>
    <w:rPr>
      <w:rFonts w:ascii="Times New Roman" w:eastAsia="宋体" w:hAnsi="Arial" w:cs="Times New Roman"/>
      <w:sz w:val="28"/>
    </w:rPr>
  </w:style>
  <w:style w:type="paragraph" w:customStyle="1" w:styleId="1fffffb">
    <w:name w:val="样式1）"/>
    <w:basedOn w:val="5"/>
    <w:qFormat/>
    <w:pPr>
      <w:keepNext/>
      <w:keepLines/>
      <w:tabs>
        <w:tab w:val="left" w:pos="1226"/>
        <w:tab w:val="left" w:pos="2551"/>
      </w:tabs>
      <w:spacing w:beforeLines="50" w:before="156" w:afterLines="50" w:after="156" w:line="400" w:lineRule="exact"/>
      <w:ind w:leftChars="213" w:left="821" w:hangingChars="156" w:hanging="374"/>
      <w:jc w:val="both"/>
    </w:pPr>
    <w:rPr>
      <w:rFonts w:ascii="Times New Roman" w:hAnsi="Times New Roman" w:cs="Times New Roman"/>
      <w:bCs/>
      <w:kern w:val="2"/>
      <w:sz w:val="24"/>
      <w:szCs w:val="28"/>
      <w:lang w:eastAsia="zh-CN"/>
    </w:rPr>
  </w:style>
  <w:style w:type="paragraph" w:customStyle="1" w:styleId="CharCharCharCharChar20">
    <w:name w:val="Char Char Char Char Char2"/>
    <w:basedOn w:val="a"/>
    <w:qFormat/>
    <w:pPr>
      <w:spacing w:line="240" w:lineRule="exact"/>
      <w:ind w:firstLineChars="200" w:firstLine="200"/>
    </w:pPr>
    <w:rPr>
      <w:rFonts w:ascii="Times New Roman" w:eastAsia="宋体" w:hAnsi="Times New Roman" w:cs="Times New Roman"/>
      <w:sz w:val="28"/>
      <w:szCs w:val="28"/>
    </w:rPr>
  </w:style>
  <w:style w:type="paragraph" w:customStyle="1" w:styleId="afffffffffffffffffffff3">
    <w:name w:val="论文正文"/>
    <w:basedOn w:val="a0"/>
    <w:qFormat/>
    <w:pPr>
      <w:spacing w:before="0" w:after="0"/>
      <w:ind w:firstLineChars="200" w:firstLine="480"/>
      <w:jc w:val="both"/>
    </w:pPr>
    <w:rPr>
      <w:rFonts w:cs="Times New Roman"/>
      <w:b w:val="0"/>
      <w:bCs w:val="0"/>
      <w:sz w:val="28"/>
      <w:szCs w:val="24"/>
    </w:rPr>
  </w:style>
  <w:style w:type="paragraph" w:customStyle="1" w:styleId="afffffffffffffffffffff4">
    <w:name w:val="二级标题"/>
    <w:basedOn w:val="2"/>
    <w:qFormat/>
    <w:pPr>
      <w:keepLines w:val="0"/>
      <w:spacing w:before="240" w:after="0" w:line="360" w:lineRule="auto"/>
    </w:pPr>
    <w:rPr>
      <w:rFonts w:ascii="Times New Roman" w:eastAsia="黑体" w:hAnsi="Times New Roman" w:cs="Arial"/>
      <w:b w:val="0"/>
      <w:bCs w:val="0"/>
      <w:sz w:val="30"/>
    </w:rPr>
  </w:style>
  <w:style w:type="paragraph" w:customStyle="1" w:styleId="xl48">
    <w:name w:val="xl48"/>
    <w:basedOn w:val="a"/>
    <w:qFormat/>
    <w:pPr>
      <w:widowControl/>
      <w:pBdr>
        <w:left w:val="single" w:sz="12" w:space="0" w:color="auto"/>
        <w:bottom w:val="single" w:sz="12"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cb">
    <w:name w:val="cb"/>
    <w:basedOn w:val="a"/>
    <w:qFormat/>
    <w:pPr>
      <w:widowControl/>
      <w:autoSpaceDE w:val="0"/>
      <w:autoSpaceDN w:val="0"/>
      <w:spacing w:line="312" w:lineRule="auto"/>
      <w:ind w:firstLineChars="200" w:firstLine="200"/>
      <w:jc w:val="left"/>
    </w:pPr>
    <w:rPr>
      <w:rFonts w:ascii="宋体" w:eastAsia="宋体" w:hAnsi="宋体" w:cs="宋体"/>
      <w:color w:val="0000FF"/>
      <w:kern w:val="0"/>
      <w:sz w:val="24"/>
      <w:szCs w:val="21"/>
      <w:lang w:val="zh-CN"/>
    </w:rPr>
  </w:style>
  <w:style w:type="paragraph" w:customStyle="1" w:styleId="xl77">
    <w:name w:val="xl77"/>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11f">
    <w:name w:val="标题11"/>
    <w:basedOn w:val="a"/>
    <w:qFormat/>
    <w:pPr>
      <w:spacing w:after="240"/>
      <w:outlineLvl w:val="0"/>
    </w:pPr>
    <w:rPr>
      <w:rFonts w:ascii="Times New Roman" w:eastAsia="黑体" w:hAnsi="Times New Roman" w:cs="Times New Roman"/>
      <w:sz w:val="44"/>
      <w:szCs w:val="44"/>
    </w:rPr>
  </w:style>
  <w:style w:type="paragraph" w:customStyle="1" w:styleId="AAAAAAAAAAAA">
    <w:name w:val="AAAAAAAAAAAA"/>
    <w:basedOn w:val="a"/>
    <w:qFormat/>
    <w:pPr>
      <w:jc w:val="center"/>
    </w:pPr>
    <w:rPr>
      <w:rFonts w:ascii="Times New Roman" w:eastAsia="宋体" w:hAnsi="宋体" w:cs="Times New Roman"/>
      <w:szCs w:val="20"/>
    </w:rPr>
  </w:style>
  <w:style w:type="paragraph" w:customStyle="1" w:styleId="135">
    <w:name w:val="13"/>
    <w:qFormat/>
    <w:pPr>
      <w:widowControl w:val="0"/>
      <w:jc w:val="both"/>
    </w:pPr>
    <w:rPr>
      <w:rFonts w:ascii="Times New Roman" w:eastAsia="宋体" w:hAnsi="Times New Roman" w:cs="Times New Roman"/>
      <w:kern w:val="2"/>
      <w:sz w:val="21"/>
      <w:szCs w:val="24"/>
    </w:rPr>
  </w:style>
  <w:style w:type="paragraph" w:customStyle="1" w:styleId="afffffffffffffffffffff5">
    <w:name w:val="说明书"/>
    <w:basedOn w:val="a"/>
    <w:next w:val="a"/>
    <w:qFormat/>
    <w:pPr>
      <w:spacing w:line="500" w:lineRule="exact"/>
      <w:ind w:firstLineChars="200" w:firstLine="560"/>
    </w:pPr>
    <w:rPr>
      <w:rFonts w:ascii="Times New Roman" w:eastAsia="宋体" w:hAnsi="Times New Roman" w:cs="宋体"/>
      <w:sz w:val="28"/>
      <w:szCs w:val="20"/>
    </w:rPr>
  </w:style>
  <w:style w:type="paragraph" w:customStyle="1" w:styleId="Char70">
    <w:name w:val="Char7"/>
    <w:basedOn w:val="a"/>
    <w:qFormat/>
    <w:pPr>
      <w:spacing w:line="240" w:lineRule="exact"/>
      <w:ind w:firstLineChars="200" w:firstLine="360"/>
    </w:pPr>
    <w:rPr>
      <w:rFonts w:ascii="仿宋_GB2312" w:eastAsia="仿宋_GB2312" w:hAnsi="Times New Roman" w:cs="Times New Roman"/>
      <w:sz w:val="18"/>
      <w:szCs w:val="18"/>
    </w:rPr>
  </w:style>
  <w:style w:type="paragraph" w:customStyle="1" w:styleId="xl128">
    <w:name w:val="xl128"/>
    <w:basedOn w:val="a"/>
    <w:qFormat/>
    <w:pPr>
      <w:widowControl/>
      <w:pBdr>
        <w:bottom w:val="single" w:sz="8"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099">
    <w:name w:val="样式 正文文字 + 首行缩进:  0.99 厘米"/>
    <w:basedOn w:val="af5"/>
    <w:qFormat/>
    <w:pPr>
      <w:tabs>
        <w:tab w:val="left" w:pos="0"/>
      </w:tabs>
      <w:spacing w:after="0" w:line="600" w:lineRule="exact"/>
      <w:ind w:firstLine="560"/>
    </w:pPr>
    <w:rPr>
      <w:rFonts w:ascii="Times New Roman" w:eastAsia="宋体" w:hAnsi="Times New Roman" w:cs="Times New Roman"/>
      <w:spacing w:val="-2"/>
      <w:kern w:val="0"/>
      <w:sz w:val="28"/>
      <w:szCs w:val="28"/>
    </w:rPr>
  </w:style>
  <w:style w:type="paragraph" w:customStyle="1" w:styleId="CharCharCharChar24">
    <w:name w:val="Char Char Char Char24"/>
    <w:basedOn w:val="a"/>
    <w:qFormat/>
    <w:rPr>
      <w:rFonts w:ascii="Times New Roman" w:eastAsia="宋体" w:hAnsi="Times New Roman" w:cs="Times New Roman"/>
      <w:sz w:val="24"/>
      <w:szCs w:val="24"/>
    </w:rPr>
  </w:style>
  <w:style w:type="paragraph" w:customStyle="1" w:styleId="4f9">
    <w:name w:val="4"/>
    <w:qFormat/>
    <w:pPr>
      <w:widowControl w:val="0"/>
      <w:jc w:val="both"/>
    </w:pPr>
    <w:rPr>
      <w:rFonts w:ascii="Times New Roman" w:eastAsia="宋体" w:hAnsi="Times New Roman" w:cs="Times New Roman"/>
      <w:kern w:val="2"/>
      <w:sz w:val="21"/>
      <w:szCs w:val="24"/>
    </w:rPr>
  </w:style>
  <w:style w:type="paragraph" w:customStyle="1" w:styleId="CharCharCharCharCharCharCharCharCharCharCharCharChar1">
    <w:name w:val="Char Char Char Char Char Char Char Char Char Char Char Char Char1"/>
    <w:basedOn w:val="a"/>
    <w:qFormat/>
    <w:pPr>
      <w:widowControl/>
      <w:spacing w:after="160" w:line="240" w:lineRule="exact"/>
      <w:jc w:val="left"/>
    </w:pPr>
    <w:rPr>
      <w:rFonts w:ascii="Arial" w:eastAsia="宋体" w:hAnsi="Arial" w:cs="Verdana"/>
      <w:b/>
      <w:kern w:val="0"/>
      <w:sz w:val="24"/>
      <w:szCs w:val="24"/>
      <w:lang w:eastAsia="en-US"/>
    </w:rPr>
  </w:style>
  <w:style w:type="paragraph" w:customStyle="1" w:styleId="xl122">
    <w:name w:val="xl122"/>
    <w:basedOn w:val="a"/>
    <w:qFormat/>
    <w:pPr>
      <w:widowControl/>
      <w:pBdr>
        <w:left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xl28">
    <w:name w:val="xl28"/>
    <w:basedOn w:val="a"/>
    <w:qFormat/>
    <w:pPr>
      <w:widowControl/>
      <w:pBdr>
        <w:left w:val="single" w:sz="4" w:space="0" w:color="auto"/>
        <w:right w:val="single" w:sz="4" w:space="0" w:color="auto"/>
      </w:pBdr>
      <w:spacing w:before="100" w:beforeAutospacing="1" w:after="100" w:afterAutospacing="1"/>
      <w:jc w:val="center"/>
    </w:pPr>
    <w:rPr>
      <w:rFonts w:ascii="Times New Roman" w:eastAsia="宋体" w:hAnsi="Times New Roman" w:cs="Times New Roman"/>
      <w:kern w:val="0"/>
      <w:sz w:val="24"/>
      <w:szCs w:val="24"/>
    </w:rPr>
  </w:style>
  <w:style w:type="paragraph" w:customStyle="1" w:styleId="5S">
    <w:name w:val="表内5S"/>
    <w:basedOn w:val="a"/>
    <w:qFormat/>
    <w:pPr>
      <w:spacing w:line="300" w:lineRule="atLeast"/>
      <w:jc w:val="center"/>
    </w:pPr>
    <w:rPr>
      <w:rFonts w:ascii="Times New Roman" w:eastAsia="方正宋三简体" w:hAnsi="Times New Roman" w:cs="Times New Roman"/>
      <w:szCs w:val="20"/>
    </w:rPr>
  </w:style>
  <w:style w:type="paragraph" w:customStyle="1" w:styleId="2Chard">
    <w:name w:val="样式2 Char"/>
    <w:basedOn w:val="a0"/>
    <w:qFormat/>
    <w:pPr>
      <w:widowControl/>
      <w:adjustRightInd w:val="0"/>
      <w:snapToGrid w:val="0"/>
      <w:spacing w:before="0" w:after="0" w:line="360" w:lineRule="auto"/>
      <w:ind w:firstLine="567"/>
      <w:jc w:val="both"/>
      <w:textAlignment w:val="baseline"/>
    </w:pPr>
    <w:rPr>
      <w:rFonts w:ascii="Times New Roman" w:hAnsi="Times New Roman" w:cs="Times New Roman"/>
      <w:b w:val="0"/>
      <w:bCs w:val="0"/>
      <w:kern w:val="0"/>
      <w:szCs w:val="24"/>
      <w:lang w:val="zh-CN"/>
    </w:rPr>
  </w:style>
  <w:style w:type="paragraph" w:customStyle="1" w:styleId="4fa">
    <w:name w:val="宏福4"/>
    <w:basedOn w:val="a"/>
    <w:qFormat/>
    <w:pPr>
      <w:adjustRightInd w:val="0"/>
      <w:spacing w:line="400" w:lineRule="atLeast"/>
      <w:ind w:firstLine="567"/>
      <w:jc w:val="left"/>
      <w:textAlignment w:val="baseline"/>
    </w:pPr>
    <w:rPr>
      <w:rFonts w:ascii="Times New Roman" w:eastAsia="宋体" w:hAnsi="Times New Roman" w:cs="Times New Roman"/>
      <w:sz w:val="28"/>
      <w:szCs w:val="28"/>
    </w:rPr>
  </w:style>
  <w:style w:type="paragraph" w:customStyle="1" w:styleId="CharChar3Char5">
    <w:name w:val="Char Char3 Char5"/>
    <w:basedOn w:val="a"/>
    <w:qFormat/>
    <w:rPr>
      <w:rFonts w:ascii="Tahoma" w:eastAsia="宋体" w:hAnsi="Tahoma" w:cs="Times New Roman"/>
      <w:sz w:val="24"/>
      <w:szCs w:val="20"/>
    </w:rPr>
  </w:style>
  <w:style w:type="paragraph" w:customStyle="1" w:styleId="CharCharCharCharCharCharCharCharCharCharCharCharChar6">
    <w:name w:val="Char Char Char Char Char Char Char Char Char Char Char Char Char6"/>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5f4">
    <w:name w:val="5"/>
    <w:basedOn w:val="a"/>
    <w:next w:val="afb"/>
    <w:qFormat/>
    <w:pPr>
      <w:widowControl/>
      <w:jc w:val="left"/>
    </w:pPr>
    <w:rPr>
      <w:rFonts w:ascii="宋体" w:eastAsia="宋体" w:hAnsi="Courier New" w:cs="宋体"/>
      <w:kern w:val="0"/>
      <w:sz w:val="28"/>
      <w:szCs w:val="24"/>
    </w:rPr>
  </w:style>
  <w:style w:type="paragraph" w:customStyle="1" w:styleId="font1">
    <w:name w:val="font1"/>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xl194">
    <w:name w:val="xl194"/>
    <w:basedOn w:val="a"/>
    <w:qFormat/>
    <w:pPr>
      <w:widowControl/>
      <w:spacing w:before="100" w:beforeAutospacing="1" w:after="100" w:afterAutospacing="1"/>
      <w:jc w:val="center"/>
    </w:pPr>
    <w:rPr>
      <w:rFonts w:ascii="Times New Roman" w:eastAsia="宋体" w:hAnsi="Times New Roman" w:cs="Times New Roman"/>
      <w:kern w:val="0"/>
      <w:sz w:val="16"/>
      <w:szCs w:val="16"/>
    </w:rPr>
  </w:style>
  <w:style w:type="paragraph" w:customStyle="1" w:styleId="xl89">
    <w:name w:val="xl89"/>
    <w:basedOn w:val="a"/>
    <w:qFormat/>
    <w:pPr>
      <w:widowControl/>
      <w:spacing w:before="100" w:beforeAutospacing="1" w:after="100" w:afterAutospacing="1"/>
      <w:jc w:val="center"/>
    </w:pPr>
    <w:rPr>
      <w:rFonts w:ascii="Arial Unicode MS" w:eastAsia="宋体" w:hAnsi="Arial Unicode MS" w:cs="Times New Roman"/>
      <w:kern w:val="0"/>
      <w:sz w:val="12"/>
      <w:szCs w:val="12"/>
    </w:rPr>
  </w:style>
  <w:style w:type="paragraph" w:customStyle="1" w:styleId="c12">
    <w:name w:val="c12"/>
    <w:basedOn w:val="a"/>
    <w:qFormat/>
    <w:pPr>
      <w:widowControl/>
      <w:spacing w:before="100" w:beforeAutospacing="1" w:after="100" w:afterAutospacing="1" w:line="405" w:lineRule="atLeast"/>
      <w:jc w:val="left"/>
    </w:pPr>
    <w:rPr>
      <w:rFonts w:ascii="宋体" w:eastAsia="宋体" w:hAnsi="宋体" w:cs="宋体"/>
      <w:color w:val="666666"/>
      <w:kern w:val="0"/>
      <w:sz w:val="18"/>
      <w:szCs w:val="24"/>
    </w:rPr>
  </w:style>
  <w:style w:type="paragraph" w:customStyle="1" w:styleId="88">
    <w:name w:val="8"/>
    <w:basedOn w:val="a"/>
    <w:next w:val="36"/>
    <w:qFormat/>
    <w:pPr>
      <w:ind w:firstLine="556"/>
      <w:jc w:val="left"/>
    </w:pPr>
    <w:rPr>
      <w:rFonts w:ascii="仿宋_GB2312" w:eastAsia="仿宋_GB2312" w:hAnsi="宋体" w:cs="Times New Roman"/>
      <w:sz w:val="28"/>
      <w:szCs w:val="24"/>
    </w:rPr>
  </w:style>
  <w:style w:type="paragraph" w:customStyle="1" w:styleId="CharCharCharChar7">
    <w:name w:val="Char Char Char Char7"/>
    <w:basedOn w:val="a"/>
    <w:qFormat/>
    <w:rPr>
      <w:rFonts w:ascii="Times New Roman" w:eastAsia="宋体" w:hAnsi="Times New Roman" w:cs="Times New Roman"/>
      <w:sz w:val="24"/>
      <w:szCs w:val="24"/>
    </w:rPr>
  </w:style>
  <w:style w:type="paragraph" w:customStyle="1" w:styleId="afffffffffffffffffffff6">
    <w:name w:val="表题格式"/>
    <w:basedOn w:val="a"/>
    <w:qFormat/>
    <w:pPr>
      <w:spacing w:line="400" w:lineRule="exact"/>
    </w:pPr>
    <w:rPr>
      <w:rFonts w:ascii="Times New Roman" w:eastAsia="仿宋_GB2312" w:hAnsi="Times New Roman" w:cs="Times New Roman"/>
      <w:kern w:val="0"/>
      <w:sz w:val="24"/>
      <w:szCs w:val="20"/>
    </w:rPr>
  </w:style>
  <w:style w:type="paragraph" w:customStyle="1" w:styleId="2fffffa">
    <w:name w:val="正文＋2缩进"/>
    <w:basedOn w:val="a"/>
    <w:qFormat/>
    <w:pPr>
      <w:spacing w:line="500" w:lineRule="exact"/>
      <w:ind w:firstLineChars="200" w:firstLine="640"/>
    </w:pPr>
    <w:rPr>
      <w:rFonts w:ascii="Times New Roman" w:eastAsia="宋体" w:hAnsi="Times New Roman" w:cs="Times New Roman"/>
      <w:sz w:val="28"/>
      <w:szCs w:val="24"/>
    </w:rPr>
  </w:style>
  <w:style w:type="paragraph" w:customStyle="1" w:styleId="CharCharCharCharCharCharCharCharChar1CharCharCharCharCharChar1Char2">
    <w:name w:val="Char Char Char Char Char Char Char Char Char1 Char Char Char Char Char Char1 Char2"/>
    <w:basedOn w:val="a"/>
    <w:qFormat/>
    <w:rPr>
      <w:rFonts w:ascii="Times New Roman" w:eastAsia="宋体" w:hAnsi="Times New Roman" w:cs="Times New Roman"/>
      <w:szCs w:val="21"/>
    </w:rPr>
  </w:style>
  <w:style w:type="paragraph" w:customStyle="1" w:styleId="3CharChar1">
    <w:name w:val="样式 标题 3 + 宋体 Char Char"/>
    <w:basedOn w:val="3"/>
    <w:qFormat/>
    <w:pPr>
      <w:widowControl w:val="0"/>
      <w:tabs>
        <w:tab w:val="left" w:pos="1418"/>
      </w:tabs>
      <w:spacing w:line="360" w:lineRule="auto"/>
      <w:jc w:val="both"/>
    </w:pPr>
    <w:rPr>
      <w:rFonts w:ascii="宋体" w:hAnsi="宋体"/>
      <w:kern w:val="2"/>
      <w:sz w:val="30"/>
      <w:szCs w:val="30"/>
    </w:rPr>
  </w:style>
  <w:style w:type="paragraph" w:customStyle="1" w:styleId="xl178">
    <w:name w:val="xl178"/>
    <w:basedOn w:val="a"/>
    <w:qFormat/>
    <w:pPr>
      <w:widowControl/>
      <w:spacing w:before="100" w:beforeAutospacing="1" w:after="100" w:afterAutospacing="1"/>
      <w:jc w:val="center"/>
    </w:pPr>
    <w:rPr>
      <w:rFonts w:ascii="Arial Unicode MS" w:eastAsia="宋体" w:hAnsi="Arial Unicode MS" w:cs="Times New Roman"/>
      <w:kern w:val="0"/>
      <w:sz w:val="12"/>
      <w:szCs w:val="12"/>
    </w:rPr>
  </w:style>
  <w:style w:type="paragraph" w:customStyle="1" w:styleId="3fff1">
    <w:name w:val="批注框文本3"/>
    <w:basedOn w:val="a"/>
    <w:qFormat/>
    <w:rPr>
      <w:rFonts w:ascii="Times New Roman" w:eastAsia="宋体" w:hAnsi="Times New Roman" w:cs="Times New Roman"/>
      <w:sz w:val="18"/>
      <w:szCs w:val="20"/>
    </w:rPr>
  </w:style>
  <w:style w:type="paragraph" w:customStyle="1" w:styleId="xl91">
    <w:name w:val="xl91"/>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Instll9">
    <w:name w:val="InstÀÀll9"/>
    <w:qFormat/>
    <w:pPr>
      <w:tabs>
        <w:tab w:val="left" w:pos="-720"/>
      </w:tabs>
      <w:suppressAutoHyphens/>
      <w:jc w:val="both"/>
    </w:pPr>
    <w:rPr>
      <w:rFonts w:ascii="Courier" w:eastAsia="宋体" w:hAnsi="Courier" w:cs="Times New Roman"/>
      <w:spacing w:val="-3"/>
      <w:sz w:val="24"/>
      <w:lang w:eastAsia="sv-SE"/>
    </w:rPr>
  </w:style>
  <w:style w:type="paragraph" w:customStyle="1" w:styleId="xl200">
    <w:name w:val="xl200"/>
    <w:basedOn w:val="a"/>
    <w:qFormat/>
    <w:pPr>
      <w:widowControl/>
      <w:pBdr>
        <w:top w:val="single" w:sz="12" w:space="0" w:color="auto"/>
        <w:left w:val="single" w:sz="8" w:space="0" w:color="auto"/>
        <w:right w:val="single" w:sz="8" w:space="0" w:color="auto"/>
      </w:pBdr>
      <w:spacing w:before="100" w:beforeAutospacing="1" w:after="100" w:afterAutospacing="1"/>
      <w:jc w:val="center"/>
    </w:pPr>
    <w:rPr>
      <w:rFonts w:ascii="宋体" w:eastAsia="宋体" w:hAnsi="宋体" w:cs="宋体"/>
      <w:color w:val="0000FF"/>
      <w:kern w:val="0"/>
      <w:sz w:val="18"/>
      <w:szCs w:val="18"/>
    </w:rPr>
  </w:style>
  <w:style w:type="paragraph" w:customStyle="1" w:styleId="cd4">
    <w:name w:val="cd4"/>
    <w:basedOn w:val="a"/>
    <w:qFormat/>
    <w:pPr>
      <w:tabs>
        <w:tab w:val="left" w:pos="2438"/>
      </w:tabs>
      <w:spacing w:before="120" w:line="300" w:lineRule="auto"/>
      <w:ind w:left="1956" w:hanging="425"/>
    </w:pPr>
    <w:rPr>
      <w:rFonts w:ascii="Times New Roman" w:eastAsia="宋体" w:hAnsi="Times New Roman" w:cs="Times New Roman"/>
      <w:sz w:val="24"/>
      <w:szCs w:val="20"/>
    </w:rPr>
  </w:style>
  <w:style w:type="paragraph" w:customStyle="1" w:styleId="ParaCharCharChar">
    <w:name w:val="默认段落字体 Para Char Char Char"/>
    <w:basedOn w:val="a"/>
    <w:qFormat/>
    <w:rPr>
      <w:rFonts w:ascii="Times New Roman" w:eastAsia="宋体" w:hAnsi="Times New Roman" w:cs="Times New Roman"/>
      <w:sz w:val="24"/>
      <w:szCs w:val="24"/>
    </w:rPr>
  </w:style>
  <w:style w:type="paragraph" w:customStyle="1" w:styleId="font8">
    <w:name w:val="font8"/>
    <w:basedOn w:val="a"/>
    <w:qFormat/>
    <w:pPr>
      <w:widowControl/>
      <w:spacing w:before="100" w:beforeAutospacing="1" w:after="100" w:afterAutospacing="1"/>
      <w:jc w:val="left"/>
    </w:pPr>
    <w:rPr>
      <w:rFonts w:ascii="Times New Roman" w:eastAsia="Arial Unicode MS" w:hAnsi="Times New Roman" w:cs="Times New Roman"/>
      <w:kern w:val="0"/>
      <w:szCs w:val="21"/>
    </w:rPr>
  </w:style>
  <w:style w:type="paragraph" w:customStyle="1" w:styleId="Instll5">
    <w:name w:val="InstÀÀll5"/>
    <w:qFormat/>
    <w:pPr>
      <w:tabs>
        <w:tab w:val="left" w:pos="-720"/>
      </w:tabs>
      <w:suppressAutoHyphens/>
      <w:jc w:val="both"/>
    </w:pPr>
    <w:rPr>
      <w:rFonts w:ascii="Courier" w:eastAsia="宋体" w:hAnsi="Courier" w:cs="Times New Roman"/>
      <w:spacing w:val="-3"/>
      <w:sz w:val="24"/>
      <w:lang w:eastAsia="sv-SE"/>
    </w:rPr>
  </w:style>
  <w:style w:type="paragraph" w:customStyle="1" w:styleId="xl61">
    <w:name w:val="xl61"/>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font5">
    <w:name w:val="font5"/>
    <w:basedOn w:val="a"/>
    <w:qFormat/>
    <w:pPr>
      <w:widowControl/>
      <w:spacing w:before="100" w:beforeAutospacing="1" w:after="100" w:afterAutospacing="1"/>
      <w:jc w:val="left"/>
    </w:pPr>
    <w:rPr>
      <w:rFonts w:ascii="宋体" w:eastAsia="宋体" w:hAnsi="宋体" w:cs="Arial Unicode MS" w:hint="eastAsia"/>
      <w:kern w:val="0"/>
      <w:szCs w:val="21"/>
    </w:rPr>
  </w:style>
  <w:style w:type="paragraph" w:customStyle="1" w:styleId="xl189">
    <w:name w:val="xl189"/>
    <w:basedOn w:val="a"/>
    <w:qFormat/>
    <w:pPr>
      <w:widowControl/>
      <w:pBdr>
        <w:bottom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xl155">
    <w:name w:val="xl155"/>
    <w:basedOn w:val="a"/>
    <w:qFormat/>
    <w:pPr>
      <w:widowControl/>
      <w:pBdr>
        <w:top w:val="single" w:sz="4" w:space="0" w:color="auto"/>
        <w:left w:val="single" w:sz="4" w:space="0" w:color="auto"/>
        <w:right w:val="single" w:sz="4" w:space="0" w:color="auto"/>
      </w:pBdr>
      <w:spacing w:before="100" w:beforeAutospacing="1" w:after="100" w:afterAutospacing="1"/>
      <w:jc w:val="left"/>
    </w:pPr>
    <w:rPr>
      <w:rFonts w:ascii="Arial Unicode MS" w:eastAsia="宋体" w:hAnsi="Arial Unicode MS" w:cs="Times New Roman"/>
      <w:kern w:val="0"/>
      <w:sz w:val="20"/>
      <w:szCs w:val="20"/>
    </w:rPr>
  </w:style>
  <w:style w:type="paragraph" w:customStyle="1" w:styleId="ParaCharCharCharCharCharCharCharCharCharChar">
    <w:name w:val="默认段落字体 Para Char Char Char Char Char Char Char Char Char Char"/>
    <w:basedOn w:val="a"/>
    <w:qFormat/>
    <w:rPr>
      <w:rFonts w:ascii="Times New Roman" w:eastAsia="宋体" w:hAnsi="Times New Roman" w:cs="Times New Roman"/>
      <w:szCs w:val="24"/>
    </w:rPr>
  </w:style>
  <w:style w:type="paragraph" w:customStyle="1" w:styleId="afffffffffffffffffffff7">
    <w:name w:val="图名"/>
    <w:basedOn w:val="affffffffffffff5"/>
    <w:qFormat/>
    <w:pPr>
      <w:adjustRightInd w:val="0"/>
      <w:spacing w:before="120" w:after="120" w:line="380" w:lineRule="atLeast"/>
      <w:ind w:firstLine="425"/>
      <w:textAlignment w:val="baseline"/>
    </w:pPr>
    <w:rPr>
      <w:rFonts w:ascii="Times New Roman" w:eastAsia="宋体" w:hAnsi="Times New Roman"/>
      <w:b w:val="0"/>
      <w:bCs w:val="0"/>
      <w:kern w:val="0"/>
      <w:szCs w:val="20"/>
    </w:rPr>
  </w:style>
  <w:style w:type="paragraph" w:customStyle="1" w:styleId="011">
    <w:name w:val="标题01"/>
    <w:basedOn w:val="a"/>
    <w:qFormat/>
    <w:pPr>
      <w:spacing w:after="120" w:line="460" w:lineRule="atLeast"/>
      <w:ind w:firstLine="480"/>
      <w:jc w:val="center"/>
      <w:outlineLvl w:val="0"/>
    </w:pPr>
    <w:rPr>
      <w:rFonts w:ascii="Times New Roman" w:eastAsia="宋体" w:hAnsi="Times New Roman" w:cs="Times New Roman"/>
      <w:b/>
      <w:sz w:val="30"/>
      <w:szCs w:val="20"/>
    </w:rPr>
  </w:style>
  <w:style w:type="paragraph" w:customStyle="1" w:styleId="xl137">
    <w:name w:val="xl137"/>
    <w:basedOn w:val="a"/>
    <w:qFormat/>
    <w:pPr>
      <w:widowControl/>
      <w:pBdr>
        <w:bottom w:val="single" w:sz="8" w:space="0" w:color="auto"/>
      </w:pBdr>
      <w:spacing w:before="100" w:beforeAutospacing="1" w:after="100" w:afterAutospacing="1"/>
      <w:jc w:val="left"/>
    </w:pPr>
    <w:rPr>
      <w:rFonts w:ascii="Arial Unicode MS" w:eastAsia="宋体" w:hAnsi="Arial Unicode MS" w:cs="Times New Roman"/>
      <w:kern w:val="0"/>
      <w:sz w:val="12"/>
      <w:szCs w:val="12"/>
    </w:rPr>
  </w:style>
  <w:style w:type="paragraph" w:customStyle="1" w:styleId="1fffffc">
    <w:name w:val="环评表样式1"/>
    <w:basedOn w:val="afff0"/>
    <w:qFormat/>
    <w:pPr>
      <w:widowControl/>
      <w:adjustRightInd w:val="0"/>
      <w:spacing w:before="360" w:after="360" w:line="160" w:lineRule="atLeast"/>
      <w:textAlignment w:val="baseline"/>
    </w:pPr>
    <w:rPr>
      <w:rFonts w:ascii="黑体" w:eastAsia="黑体" w:cs="宋体"/>
      <w:bCs w:val="0"/>
      <w:kern w:val="0"/>
      <w:sz w:val="48"/>
      <w:szCs w:val="24"/>
    </w:rPr>
  </w:style>
  <w:style w:type="paragraph" w:customStyle="1" w:styleId="3221">
    <w:name w:val="样式 样式 标题 3 + 首行缩进:  2 字符 + 首行缩进:  2 字符1"/>
    <w:basedOn w:val="a"/>
    <w:qFormat/>
    <w:pPr>
      <w:keepNext/>
      <w:keepLines/>
      <w:spacing w:before="80" w:after="60" w:line="440" w:lineRule="exact"/>
      <w:ind w:firstLineChars="200" w:firstLine="584"/>
      <w:jc w:val="left"/>
      <w:outlineLvl w:val="2"/>
    </w:pPr>
    <w:rPr>
      <w:rFonts w:ascii="Times New Roman" w:eastAsia="黑体" w:hAnsi="Times New Roman" w:cs="Times New Roman"/>
      <w:spacing w:val="6"/>
      <w:sz w:val="28"/>
      <w:szCs w:val="20"/>
    </w:rPr>
  </w:style>
  <w:style w:type="paragraph" w:customStyle="1" w:styleId="TOC12">
    <w:name w:val="TOC 标题12"/>
    <w:basedOn w:val="1"/>
    <w:next w:val="a"/>
    <w:qFormat/>
    <w:pPr>
      <w:keepNext/>
      <w:widowControl/>
      <w:spacing w:before="240" w:after="60"/>
      <w:ind w:left="0"/>
      <w:outlineLvl w:val="9"/>
    </w:pPr>
    <w:rPr>
      <w:rFonts w:ascii="Cambria" w:eastAsia="宋体" w:hAnsi="Cambria" w:cs="Times New Roman"/>
      <w:kern w:val="32"/>
      <w:sz w:val="32"/>
      <w:szCs w:val="32"/>
      <w:lang w:eastAsia="zh-CN"/>
    </w:rPr>
  </w:style>
  <w:style w:type="paragraph" w:customStyle="1" w:styleId="69">
    <w:name w:val="样式6"/>
    <w:basedOn w:val="a"/>
    <w:next w:val="a"/>
    <w:link w:val="6CharChar"/>
    <w:qFormat/>
    <w:pPr>
      <w:spacing w:line="360" w:lineRule="auto"/>
      <w:ind w:firstLine="560"/>
    </w:pPr>
    <w:rPr>
      <w:rFonts w:ascii="宋体" w:eastAsia="宋体" w:hAnsi="宋体" w:cs="宋体"/>
      <w:sz w:val="24"/>
      <w:szCs w:val="24"/>
    </w:rPr>
  </w:style>
  <w:style w:type="character" w:customStyle="1" w:styleId="6CharChar">
    <w:name w:val="样式6 Char Char"/>
    <w:link w:val="69"/>
    <w:locked/>
    <w:rPr>
      <w:rFonts w:ascii="宋体" w:eastAsia="宋体" w:hAnsi="宋体" w:cs="宋体"/>
      <w:sz w:val="24"/>
      <w:szCs w:val="24"/>
    </w:rPr>
  </w:style>
  <w:style w:type="paragraph" w:customStyle="1" w:styleId="style120">
    <w:name w:val="style12"/>
    <w:basedOn w:val="a"/>
    <w:qFormat/>
    <w:pPr>
      <w:widowControl/>
      <w:spacing w:before="100" w:beforeAutospacing="1" w:after="100" w:afterAutospacing="1"/>
      <w:jc w:val="left"/>
    </w:pPr>
    <w:rPr>
      <w:rFonts w:ascii="Arial" w:eastAsia="宋体" w:hAnsi="Arial" w:cs="Arial"/>
      <w:color w:val="666666"/>
      <w:kern w:val="0"/>
      <w:sz w:val="18"/>
      <w:szCs w:val="18"/>
    </w:rPr>
  </w:style>
  <w:style w:type="paragraph" w:customStyle="1" w:styleId="mytext1">
    <w:name w:val="mytext1"/>
    <w:basedOn w:val="a"/>
    <w:qFormat/>
    <w:pPr>
      <w:widowControl/>
      <w:spacing w:before="100" w:beforeAutospacing="1" w:after="100" w:afterAutospacing="1"/>
      <w:jc w:val="left"/>
    </w:pPr>
    <w:rPr>
      <w:rFonts w:ascii="宋体" w:eastAsia="宋体" w:hAnsi="宋体" w:cs="宋体"/>
      <w:color w:val="000000"/>
      <w:kern w:val="0"/>
      <w:sz w:val="24"/>
      <w:szCs w:val="24"/>
    </w:rPr>
  </w:style>
  <w:style w:type="paragraph" w:customStyle="1" w:styleId="MTDisplayEquation">
    <w:name w:val="MTDisplayEquation"/>
    <w:basedOn w:val="1fc"/>
    <w:next w:val="a"/>
    <w:qFormat/>
    <w:pPr>
      <w:tabs>
        <w:tab w:val="center" w:pos="4160"/>
        <w:tab w:val="right" w:pos="8300"/>
      </w:tabs>
    </w:pPr>
  </w:style>
  <w:style w:type="paragraph" w:customStyle="1" w:styleId="--">
    <w:name w:val="- 页码 -"/>
    <w:qFormat/>
    <w:pPr>
      <w:widowControl w:val="0"/>
      <w:jc w:val="both"/>
    </w:pPr>
    <w:rPr>
      <w:rFonts w:ascii="Times New Roman" w:eastAsia="宋体" w:hAnsi="Times New Roman" w:cs="Times New Roman"/>
      <w:kern w:val="2"/>
      <w:sz w:val="21"/>
      <w:szCs w:val="24"/>
    </w:rPr>
  </w:style>
  <w:style w:type="paragraph" w:customStyle="1" w:styleId="Char90">
    <w:name w:val="Char9"/>
    <w:basedOn w:val="a"/>
    <w:qFormat/>
    <w:rPr>
      <w:rFonts w:ascii="Times New Roman" w:eastAsia="宋体" w:hAnsi="Times New Roman" w:cs="Times New Roman"/>
      <w:sz w:val="24"/>
      <w:szCs w:val="24"/>
    </w:rPr>
  </w:style>
  <w:style w:type="paragraph" w:customStyle="1" w:styleId="xl41">
    <w:name w:val="xl41"/>
    <w:basedOn w:val="a"/>
    <w:qFormat/>
    <w:pPr>
      <w:widowControl/>
      <w:pBdr>
        <w:left w:val="single" w:sz="12" w:space="0" w:color="auto"/>
        <w:right w:val="single" w:sz="12"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4CharCharChar2">
    <w:name w:val="Char4 Char Char Char2"/>
    <w:basedOn w:val="a"/>
    <w:qFormat/>
    <w:rPr>
      <w:rFonts w:ascii="Times New Roman" w:eastAsia="仿宋_GB2312" w:hAnsi="Times New Roman" w:cs="Times New Roman"/>
      <w:sz w:val="28"/>
      <w:szCs w:val="24"/>
    </w:rPr>
  </w:style>
  <w:style w:type="paragraph" w:customStyle="1" w:styleId="xl144">
    <w:name w:val="xl144"/>
    <w:basedOn w:val="a"/>
    <w:qFormat/>
    <w:pPr>
      <w:widowControl/>
      <w:pBdr>
        <w:left w:val="single" w:sz="4" w:space="0" w:color="auto"/>
        <w:bottom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1100">
    <w:name w:val="样式110"/>
    <w:basedOn w:val="afffffffffffffffff5"/>
    <w:qFormat/>
    <w:pPr>
      <w:adjustRightInd w:val="0"/>
    </w:pPr>
  </w:style>
  <w:style w:type="paragraph" w:customStyle="1" w:styleId="xl125">
    <w:name w:val="xl125"/>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1fffffd">
    <w:name w:val="样式 标题 1"/>
    <w:basedOn w:val="1"/>
    <w:qFormat/>
    <w:pPr>
      <w:keepNext/>
      <w:keepLines/>
      <w:tabs>
        <w:tab w:val="left" w:pos="425"/>
        <w:tab w:val="left" w:pos="432"/>
      </w:tabs>
      <w:adjustRightInd w:val="0"/>
      <w:spacing w:before="120" w:after="120" w:line="480" w:lineRule="exact"/>
      <w:ind w:left="432" w:hanging="432"/>
      <w:textAlignment w:val="baseline"/>
    </w:pPr>
    <w:rPr>
      <w:rFonts w:eastAsia="宋体" w:cs="宋体"/>
      <w:kern w:val="44"/>
      <w:sz w:val="32"/>
      <w:szCs w:val="20"/>
      <w:lang w:eastAsia="zh-CN"/>
    </w:rPr>
  </w:style>
  <w:style w:type="paragraph" w:customStyle="1" w:styleId="CharCharCharChar50">
    <w:name w:val="Char Char Char Char5"/>
    <w:basedOn w:val="a"/>
    <w:qFormat/>
    <w:pPr>
      <w:tabs>
        <w:tab w:val="left" w:pos="720"/>
        <w:tab w:val="left" w:pos="916"/>
      </w:tabs>
    </w:pPr>
    <w:rPr>
      <w:rFonts w:ascii="Times New Roman" w:eastAsia="宋体" w:hAnsi="Times New Roman" w:cs="Times New Roman"/>
      <w:sz w:val="24"/>
      <w:szCs w:val="24"/>
    </w:rPr>
  </w:style>
  <w:style w:type="paragraph" w:customStyle="1" w:styleId="xl117">
    <w:name w:val="xl117"/>
    <w:basedOn w:val="a"/>
    <w:qFormat/>
    <w:pPr>
      <w:widowControl/>
      <w:pBdr>
        <w:left w:val="single" w:sz="8"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xl205">
    <w:name w:val="xl205"/>
    <w:basedOn w:val="a"/>
    <w:qFormat/>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11f0">
    <w:name w:val="正文文本缩进11"/>
    <w:basedOn w:val="a"/>
    <w:qFormat/>
    <w:pPr>
      <w:spacing w:after="120" w:line="360" w:lineRule="auto"/>
      <w:ind w:leftChars="200" w:left="420" w:firstLineChars="200" w:firstLine="200"/>
    </w:pPr>
    <w:rPr>
      <w:rFonts w:ascii="Times New Roman" w:eastAsia="宋体" w:hAnsi="Times New Roman" w:cs="Times New Roman"/>
      <w:sz w:val="24"/>
      <w:szCs w:val="24"/>
    </w:rPr>
  </w:style>
  <w:style w:type="paragraph" w:customStyle="1" w:styleId="xl129">
    <w:name w:val="xl129"/>
    <w:basedOn w:val="a"/>
    <w:qFormat/>
    <w:pPr>
      <w:widowControl/>
      <w:pBdr>
        <w:right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CharCharCharCharCharCharCharCharCharCharCharCharCharCharCharCharCharCharCharCharCharCharCharCharChar">
    <w:name w:val="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CharCharCharCharCharCharCharCharCharChar">
    <w:name w:val="Char Char Char Char Char Char Char Char Char Char"/>
    <w:basedOn w:val="a"/>
    <w:qFormat/>
    <w:rPr>
      <w:rFonts w:ascii="Times New Roman" w:eastAsia="宋体" w:hAnsi="Times New Roman" w:cs="Times New Roman"/>
      <w:sz w:val="24"/>
      <w:szCs w:val="24"/>
    </w:rPr>
  </w:style>
  <w:style w:type="paragraph" w:customStyle="1" w:styleId="afffffffffffffffffffff8">
    <w:name w:val="小圈序列"/>
    <w:basedOn w:val="a"/>
    <w:qFormat/>
    <w:pPr>
      <w:ind w:left="560"/>
    </w:pPr>
    <w:rPr>
      <w:rFonts w:ascii="Times New Roman" w:eastAsia="宋体" w:hAnsi="Times New Roman" w:cs="宋体"/>
      <w:sz w:val="28"/>
      <w:szCs w:val="28"/>
    </w:rPr>
  </w:style>
  <w:style w:type="paragraph" w:customStyle="1" w:styleId="CharCharChar1CharChar">
    <w:name w:val="Char Char Char1 Char Char"/>
    <w:basedOn w:val="a"/>
    <w:qFormat/>
    <w:rPr>
      <w:rFonts w:ascii="黑体" w:eastAsia="黑体" w:hAnsi="黑体" w:cs="Times New Roman"/>
      <w:b/>
      <w:spacing w:val="10"/>
      <w:sz w:val="28"/>
      <w:szCs w:val="20"/>
    </w:rPr>
  </w:style>
  <w:style w:type="paragraph" w:customStyle="1" w:styleId="228">
    <w:name w:val="样式 四号 首行缩进:  2 字符 行距: 2 倍行距"/>
    <w:basedOn w:val="a"/>
    <w:qFormat/>
    <w:pPr>
      <w:snapToGrid w:val="0"/>
      <w:spacing w:line="360" w:lineRule="auto"/>
      <w:ind w:firstLineChars="200" w:firstLine="200"/>
    </w:pPr>
    <w:rPr>
      <w:rFonts w:ascii="Times New Roman" w:eastAsia="宋体" w:hAnsi="Times New Roman" w:cs="宋体"/>
      <w:sz w:val="28"/>
      <w:szCs w:val="20"/>
    </w:rPr>
  </w:style>
  <w:style w:type="paragraph" w:customStyle="1" w:styleId="xl172">
    <w:name w:val="xl172"/>
    <w:basedOn w:val="a"/>
    <w:qFormat/>
    <w:pPr>
      <w:widowControl/>
      <w:pBdr>
        <w:top w:val="single" w:sz="12" w:space="0" w:color="auto"/>
        <w:left w:val="single" w:sz="12" w:space="0" w:color="auto"/>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TEXT3">
    <w:name w:val="TEXT"/>
    <w:basedOn w:val="a"/>
    <w:qFormat/>
    <w:pPr>
      <w:spacing w:line="440" w:lineRule="exact"/>
      <w:ind w:firstLineChars="200" w:firstLine="480"/>
    </w:pPr>
    <w:rPr>
      <w:rFonts w:ascii="Times New Roman" w:eastAsia="宋体" w:hAnsi="Times New Roman" w:cs="宋体"/>
      <w:sz w:val="24"/>
      <w:szCs w:val="20"/>
    </w:rPr>
  </w:style>
  <w:style w:type="paragraph" w:customStyle="1" w:styleId="2TimesNewRoman0">
    <w:name w:val="正文首行缩进 2 + Times New Roman"/>
    <w:basedOn w:val="a"/>
    <w:link w:val="2TimesNewRomanChar1"/>
    <w:qFormat/>
    <w:pPr>
      <w:tabs>
        <w:tab w:val="left" w:pos="0"/>
        <w:tab w:val="left" w:pos="870"/>
        <w:tab w:val="left" w:pos="3150"/>
      </w:tabs>
      <w:autoSpaceDE w:val="0"/>
      <w:autoSpaceDN w:val="0"/>
      <w:spacing w:line="312" w:lineRule="auto"/>
      <w:ind w:firstLineChars="200" w:firstLine="480"/>
    </w:pPr>
    <w:rPr>
      <w:rFonts w:ascii="Times New Roman" w:eastAsia="宋体" w:hAnsi="Times New Roman" w:cs="Times New Roman"/>
      <w:kern w:val="0"/>
      <w:sz w:val="24"/>
      <w:szCs w:val="24"/>
    </w:rPr>
  </w:style>
  <w:style w:type="character" w:customStyle="1" w:styleId="2TimesNewRomanChar1">
    <w:name w:val="正文首行缩进 2 + Times New Roman Char1"/>
    <w:link w:val="2TimesNewRoman0"/>
    <w:qFormat/>
    <w:locked/>
    <w:rPr>
      <w:rFonts w:ascii="Times New Roman" w:eastAsia="宋体" w:hAnsi="Times New Roman" w:cs="Times New Roman"/>
      <w:kern w:val="0"/>
      <w:sz w:val="24"/>
      <w:szCs w:val="24"/>
    </w:rPr>
  </w:style>
  <w:style w:type="paragraph" w:customStyle="1" w:styleId="afffffffffffffffffffff9">
    <w:name w:val="我的表格样式"/>
    <w:basedOn w:val="a"/>
    <w:qFormat/>
    <w:pPr>
      <w:spacing w:line="320" w:lineRule="exact"/>
      <w:jc w:val="center"/>
    </w:pPr>
    <w:rPr>
      <w:rFonts w:ascii="Times New Roman" w:eastAsia="宋体" w:hAnsi="宋体" w:cs="Times New Roman"/>
      <w:color w:val="000000"/>
      <w:szCs w:val="21"/>
    </w:rPr>
  </w:style>
  <w:style w:type="paragraph" w:customStyle="1" w:styleId="xl17">
    <w:name w:val="xl17"/>
    <w:basedOn w:val="a"/>
    <w:qFormat/>
    <w:pPr>
      <w:widowControl/>
      <w:spacing w:before="100" w:beforeAutospacing="1" w:after="100" w:afterAutospacing="1"/>
      <w:jc w:val="center"/>
      <w:textAlignment w:val="center"/>
    </w:pPr>
    <w:rPr>
      <w:rFonts w:ascii="宋体" w:eastAsia="宋体" w:hAnsi="宋体" w:cs="Times New Roman"/>
      <w:kern w:val="0"/>
      <w:sz w:val="18"/>
      <w:szCs w:val="18"/>
    </w:rPr>
  </w:style>
  <w:style w:type="paragraph" w:customStyle="1" w:styleId="478">
    <w:name w:val="样式 标题 4 + 段前: 7.8 磅"/>
    <w:basedOn w:val="41"/>
    <w:qFormat/>
    <w:pPr>
      <w:keepNext/>
      <w:keepLines/>
      <w:tabs>
        <w:tab w:val="left" w:pos="864"/>
        <w:tab w:val="left" w:pos="1984"/>
      </w:tabs>
      <w:spacing w:before="0" w:line="500" w:lineRule="exact"/>
      <w:ind w:left="864" w:hanging="864"/>
      <w:jc w:val="both"/>
      <w:outlineLvl w:val="0"/>
    </w:pPr>
    <w:rPr>
      <w:rFonts w:ascii="Arial" w:eastAsia="仿宋_GB2312" w:hAnsi="Arial" w:cs="Arial"/>
      <w:b/>
      <w:kern w:val="2"/>
      <w:sz w:val="24"/>
      <w:szCs w:val="21"/>
      <w:lang w:eastAsia="zh-CN"/>
    </w:rPr>
  </w:style>
  <w:style w:type="paragraph" w:customStyle="1" w:styleId="416">
    <w:name w:val="样式 标题 4 + 宋体 行距: 固定值 16 磅"/>
    <w:basedOn w:val="41"/>
    <w:qFormat/>
    <w:pPr>
      <w:keepNext/>
      <w:keepLines/>
      <w:widowControl/>
      <w:spacing w:before="280" w:after="290" w:line="320" w:lineRule="exact"/>
      <w:ind w:left="0"/>
    </w:pPr>
    <w:rPr>
      <w:rFonts w:cs="宋体"/>
      <w:b/>
      <w:bCs/>
      <w:sz w:val="24"/>
      <w:szCs w:val="20"/>
      <w:lang w:eastAsia="zh-CN"/>
    </w:rPr>
  </w:style>
  <w:style w:type="paragraph" w:customStyle="1" w:styleId="afffffffffffffffffffffa">
    <w:name w:val="文件编号"/>
    <w:basedOn w:val="a"/>
    <w:next w:val="a"/>
    <w:qFormat/>
    <w:pPr>
      <w:jc w:val="center"/>
    </w:pPr>
    <w:rPr>
      <w:rFonts w:ascii="黑体" w:eastAsia="黑体" w:hAnsi="Times New Roman" w:cs="Times New Roman"/>
      <w:sz w:val="44"/>
      <w:szCs w:val="44"/>
    </w:rPr>
  </w:style>
  <w:style w:type="paragraph" w:customStyle="1" w:styleId="afffffffffffffffffffffb">
    <w:name w:val="表格正文"/>
    <w:link w:val="CharCharfff8"/>
    <w:qFormat/>
    <w:pPr>
      <w:widowControl w:val="0"/>
      <w:spacing w:line="320" w:lineRule="exact"/>
      <w:jc w:val="center"/>
    </w:pPr>
    <w:rPr>
      <w:rFonts w:ascii="宋体" w:eastAsia="宋体" w:hAnsi="宋体" w:cs="Times New Roman"/>
      <w:kern w:val="2"/>
      <w:sz w:val="21"/>
      <w:szCs w:val="24"/>
    </w:rPr>
  </w:style>
  <w:style w:type="character" w:customStyle="1" w:styleId="CharCharfff8">
    <w:name w:val="表格正文 Char Char"/>
    <w:link w:val="afffffffffffffffffffffb"/>
    <w:locked/>
    <w:rPr>
      <w:rFonts w:ascii="宋体" w:eastAsia="宋体" w:hAnsi="宋体" w:cs="Times New Roman"/>
      <w:szCs w:val="24"/>
    </w:rPr>
  </w:style>
  <w:style w:type="paragraph" w:customStyle="1" w:styleId="afffffffffffffffffffffc">
    <w:name w:val="首消息标题"/>
    <w:basedOn w:val="affe"/>
    <w:next w:val="affe"/>
    <w:qFormat/>
    <w:pPr>
      <w:keepLines/>
      <w:widowControl/>
      <w:pBdr>
        <w:top w:val="none" w:sz="0" w:space="0" w:color="auto"/>
        <w:left w:val="none" w:sz="0" w:space="0" w:color="auto"/>
        <w:bottom w:val="none" w:sz="0" w:space="0" w:color="auto"/>
        <w:right w:val="none" w:sz="0" w:space="0" w:color="auto"/>
      </w:pBdr>
      <w:shd w:val="clear" w:color="auto" w:fill="auto"/>
      <w:adjustRightInd w:val="0"/>
      <w:spacing w:before="0" w:after="40" w:line="140" w:lineRule="atLeast"/>
      <w:ind w:left="360" w:firstLine="0"/>
      <w:jc w:val="left"/>
    </w:pPr>
    <w:rPr>
      <w:rFonts w:ascii="Garamond" w:eastAsia="宋体" w:hAnsi="Garamond" w:cs="Arial"/>
      <w:spacing w:val="-5"/>
      <w:sz w:val="24"/>
      <w:shd w:val="clear" w:color="auto" w:fill="auto"/>
    </w:rPr>
  </w:style>
  <w:style w:type="paragraph" w:customStyle="1" w:styleId="xl67">
    <w:name w:val="xl67"/>
    <w:basedOn w:val="a"/>
    <w:qFormat/>
    <w:pPr>
      <w:widowControl/>
      <w:pBdr>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2fffffb">
    <w:name w:val="样式 标题 2"/>
    <w:basedOn w:val="3"/>
    <w:qFormat/>
    <w:pPr>
      <w:widowControl w:val="0"/>
      <w:spacing w:before="0" w:after="0" w:line="360" w:lineRule="auto"/>
      <w:ind w:left="140"/>
      <w:jc w:val="both"/>
    </w:pPr>
    <w:rPr>
      <w:rFonts w:ascii="仿宋_GB2312" w:eastAsia="仿宋_GB2312" w:hAnsi="仿宋_GB2312"/>
      <w:b w:val="0"/>
      <w:bCs w:val="0"/>
      <w:kern w:val="21"/>
      <w:sz w:val="28"/>
      <w:szCs w:val="20"/>
    </w:rPr>
  </w:style>
  <w:style w:type="paragraph" w:customStyle="1" w:styleId="xl158">
    <w:name w:val="xl158"/>
    <w:basedOn w:val="a"/>
    <w:qFormat/>
    <w:pPr>
      <w:widowControl/>
      <w:pBdr>
        <w:bottom w:val="single" w:sz="8" w:space="0" w:color="auto"/>
        <w:right w:val="single" w:sz="4"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Char112">
    <w:name w:val="Char112"/>
    <w:basedOn w:val="a"/>
    <w:qFormat/>
    <w:rPr>
      <w:rFonts w:ascii="Times New Roman" w:eastAsia="宋体" w:hAnsi="Times New Roman" w:cs="Times New Roman"/>
      <w:szCs w:val="21"/>
    </w:rPr>
  </w:style>
  <w:style w:type="paragraph" w:customStyle="1" w:styleId="afffffffffffffffffffffd">
    <w:name w:val="样式 正文（首行缩进两字） + 宋体"/>
    <w:basedOn w:val="a0"/>
    <w:qFormat/>
    <w:pPr>
      <w:adjustRightInd w:val="0"/>
      <w:spacing w:before="0" w:after="0"/>
      <w:jc w:val="both"/>
    </w:pPr>
    <w:rPr>
      <w:rFonts w:ascii="Times New Roman" w:hAnsi="Times New Roman" w:cs="Times New Roman"/>
      <w:b w:val="0"/>
      <w:bCs w:val="0"/>
      <w:sz w:val="28"/>
      <w:szCs w:val="24"/>
    </w:rPr>
  </w:style>
  <w:style w:type="paragraph" w:customStyle="1" w:styleId="xl114">
    <w:name w:val="xl114"/>
    <w:basedOn w:val="a"/>
    <w:qFormat/>
    <w:pPr>
      <w:widowControl/>
      <w:pBdr>
        <w:left w:val="single" w:sz="8"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BBBBBBBBBB">
    <w:name w:val="BBBBBBBBBB"/>
    <w:basedOn w:val="a"/>
    <w:qFormat/>
    <w:pPr>
      <w:spacing w:line="324" w:lineRule="auto"/>
      <w:jc w:val="center"/>
    </w:pPr>
    <w:rPr>
      <w:rFonts w:ascii="Times New Roman" w:eastAsia="宋体" w:hAnsi="宋体" w:cs="Times New Roman"/>
      <w:b/>
      <w:szCs w:val="20"/>
    </w:rPr>
  </w:style>
  <w:style w:type="paragraph" w:customStyle="1" w:styleId="afffffffffffffffffffffe">
    <w:name w:val="正文文字缩进"/>
    <w:basedOn w:val="a"/>
    <w:qFormat/>
    <w:pPr>
      <w:autoSpaceDE w:val="0"/>
      <w:autoSpaceDN w:val="0"/>
      <w:adjustRightInd w:val="0"/>
      <w:snapToGrid w:val="0"/>
      <w:spacing w:line="360" w:lineRule="auto"/>
      <w:ind w:firstLine="540"/>
      <w:jc w:val="left"/>
      <w:textAlignment w:val="baseline"/>
    </w:pPr>
    <w:rPr>
      <w:rFonts w:ascii="宋体" w:eastAsia="宋体" w:hAnsi="Times New Roman" w:cs="宋体"/>
      <w:kern w:val="0"/>
      <w:sz w:val="24"/>
      <w:szCs w:val="24"/>
    </w:rPr>
  </w:style>
  <w:style w:type="paragraph" w:customStyle="1" w:styleId="xl166">
    <w:name w:val="xl166"/>
    <w:basedOn w:val="a"/>
    <w:qFormat/>
    <w:pPr>
      <w:widowControl/>
      <w:pBdr>
        <w:left w:val="single" w:sz="12" w:space="0" w:color="auto"/>
        <w:bottom w:val="single" w:sz="12"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22Heading2HiddenHeading2CCBSheading2H2h23">
    <w:name w:val="样式 标题 2第一章 标题 2Heading 2 HiddenHeading 2 CCBSheading 2H2h2...3"/>
    <w:basedOn w:val="2"/>
    <w:qFormat/>
    <w:pPr>
      <w:tabs>
        <w:tab w:val="left" w:pos="1419"/>
      </w:tabs>
      <w:spacing w:before="120" w:after="120" w:line="500" w:lineRule="exact"/>
    </w:pPr>
    <w:rPr>
      <w:rFonts w:ascii="Times New Roman" w:eastAsia="仿宋_GB2312" w:hAnsi="Times New Roman" w:cs="宋体"/>
      <w:sz w:val="28"/>
      <w:szCs w:val="20"/>
    </w:rPr>
  </w:style>
  <w:style w:type="paragraph" w:customStyle="1" w:styleId="xl148">
    <w:name w:val="xl148"/>
    <w:basedOn w:val="a"/>
    <w:qFormat/>
    <w:pPr>
      <w:widowControl/>
      <w:pBdr>
        <w:bottom w:val="single" w:sz="8"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xl90">
    <w:name w:val="xl90"/>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xl33">
    <w:name w:val="xl33"/>
    <w:basedOn w:val="a"/>
    <w:qFormat/>
    <w:pPr>
      <w:widowControl/>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szCs w:val="24"/>
    </w:rPr>
  </w:style>
  <w:style w:type="paragraph" w:customStyle="1" w:styleId="PlainText2">
    <w:name w:val="Plain Text2"/>
    <w:basedOn w:val="a"/>
    <w:qFormat/>
    <w:pPr>
      <w:autoSpaceDE w:val="0"/>
      <w:autoSpaceDN w:val="0"/>
      <w:adjustRightInd w:val="0"/>
      <w:textAlignment w:val="baseline"/>
    </w:pPr>
    <w:rPr>
      <w:rFonts w:ascii="宋体" w:eastAsia="宋体" w:hAnsi="Tms Rmn" w:cs="Times New Roman"/>
      <w:kern w:val="0"/>
      <w:szCs w:val="20"/>
    </w:rPr>
  </w:style>
  <w:style w:type="paragraph" w:customStyle="1" w:styleId="xl167">
    <w:name w:val="xl167"/>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affffffffffffffffffffff">
    <w:name w:val="表项"/>
    <w:basedOn w:val="a"/>
    <w:qFormat/>
    <w:pPr>
      <w:adjustRightInd w:val="0"/>
      <w:spacing w:before="60" w:after="60" w:line="288" w:lineRule="auto"/>
      <w:jc w:val="center"/>
    </w:pPr>
    <w:rPr>
      <w:rFonts w:ascii="Times New Roman" w:eastAsia="楷体" w:hAnsi="Times New Roman" w:cs="Times New Roman"/>
      <w:kern w:val="44"/>
      <w:sz w:val="18"/>
      <w:szCs w:val="20"/>
      <w:lang w:val="en-GB"/>
    </w:rPr>
  </w:style>
  <w:style w:type="paragraph" w:customStyle="1" w:styleId="xl23">
    <w:name w:val="xl23"/>
    <w:basedOn w:val="a"/>
    <w:qFormat/>
    <w:pPr>
      <w:widowControl/>
      <w:pBdr>
        <w:top w:val="single" w:sz="12" w:space="0" w:color="auto"/>
      </w:pBdr>
      <w:spacing w:before="100" w:beforeAutospacing="1" w:after="100" w:afterAutospacing="1"/>
      <w:jc w:val="left"/>
    </w:pPr>
    <w:rPr>
      <w:rFonts w:ascii="Arial Unicode MS" w:eastAsia="宋体" w:hAnsi="Arial Unicode MS" w:cs="Times New Roman"/>
      <w:kern w:val="0"/>
      <w:szCs w:val="24"/>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
    <w:qFormat/>
    <w:rPr>
      <w:rFonts w:ascii="Times New Roman" w:eastAsia="宋体" w:hAnsi="Times New Roman" w:cs="Times New Roman"/>
      <w:szCs w:val="20"/>
    </w:rPr>
  </w:style>
  <w:style w:type="paragraph" w:customStyle="1" w:styleId="CharCharCharChar30">
    <w:name w:val="Char Char Char Char3"/>
    <w:basedOn w:val="a"/>
    <w:qFormat/>
    <w:rPr>
      <w:rFonts w:ascii="Times New Roman" w:eastAsia="宋体" w:hAnsi="Times New Roman" w:cs="Times New Roman"/>
      <w:sz w:val="24"/>
      <w:szCs w:val="24"/>
    </w:rPr>
  </w:style>
  <w:style w:type="paragraph" w:customStyle="1" w:styleId="CharCharChar1CharCharChar1CharCharCharCharCharChar1CharCharChar1Char">
    <w:name w:val="Char Char Char1 Char Char Char1 Char Char Char Char Char Char1 Char Char Char1 Char"/>
    <w:basedOn w:val="a"/>
    <w:semiHidden/>
    <w:qFormat/>
    <w:rPr>
      <w:rFonts w:ascii="Times New Roman" w:eastAsia="宋体" w:hAnsi="Times New Roman" w:cs="Times New Roman"/>
      <w:szCs w:val="24"/>
    </w:rPr>
  </w:style>
  <w:style w:type="paragraph" w:customStyle="1" w:styleId="CharCharCharCharCharCharCharCharChar1Char5">
    <w:name w:val="Char Char Char Char Char Char Char Char Char1 Char5"/>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xl112">
    <w:name w:val="xl112"/>
    <w:basedOn w:val="a"/>
    <w:qFormat/>
    <w:pPr>
      <w:widowControl/>
      <w:pBdr>
        <w:right w:val="single" w:sz="8"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font10">
    <w:name w:val="font10"/>
    <w:basedOn w:val="a"/>
    <w:qFormat/>
    <w:pPr>
      <w:widowControl/>
      <w:spacing w:before="100" w:beforeAutospacing="1" w:after="100" w:afterAutospacing="1"/>
      <w:jc w:val="left"/>
    </w:pPr>
    <w:rPr>
      <w:rFonts w:ascii="幼圆" w:eastAsia="幼圆" w:hAnsi="Arial Unicode MS" w:cs="Arial Unicode MS" w:hint="eastAsia"/>
      <w:kern w:val="0"/>
      <w:szCs w:val="21"/>
    </w:rPr>
  </w:style>
  <w:style w:type="paragraph" w:customStyle="1" w:styleId="2fffffc">
    <w:name w:val="標準インデント　2"/>
    <w:basedOn w:val="a0"/>
    <w:semiHidden/>
    <w:qFormat/>
    <w:pPr>
      <w:overflowPunct w:val="0"/>
      <w:autoSpaceDE w:val="0"/>
      <w:autoSpaceDN w:val="0"/>
      <w:adjustRightInd w:val="0"/>
      <w:spacing w:before="0" w:after="0"/>
      <w:ind w:left="2900" w:hanging="2038"/>
      <w:jc w:val="left"/>
      <w:textAlignment w:val="baseline"/>
    </w:pPr>
    <w:rPr>
      <w:rFonts w:ascii="Times New Roman" w:eastAsia="MS Mincho" w:hAnsi="Times New Roman" w:cs="Times New Roman"/>
      <w:b w:val="0"/>
      <w:bCs w:val="0"/>
      <w:kern w:val="0"/>
      <w:sz w:val="20"/>
      <w:szCs w:val="20"/>
      <w:lang w:val="zh-CN" w:eastAsia="ja-JP"/>
    </w:rPr>
  </w:style>
  <w:style w:type="paragraph" w:customStyle="1" w:styleId="xl46">
    <w:name w:val="xl46"/>
    <w:basedOn w:val="a"/>
    <w:qFormat/>
    <w:pPr>
      <w:widowControl/>
      <w:pBdr>
        <w:bottom w:val="single" w:sz="12" w:space="0" w:color="auto"/>
        <w:right w:val="single" w:sz="12"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xl54">
    <w:name w:val="xl54"/>
    <w:basedOn w:val="a"/>
    <w:qFormat/>
    <w:pPr>
      <w:widowControl/>
      <w:pBdr>
        <w:left w:val="single" w:sz="4" w:space="0" w:color="auto"/>
        <w:bottom w:val="single" w:sz="12"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2fffffd">
    <w:name w:val="首2页报告书字体"/>
    <w:basedOn w:val="a"/>
    <w:qFormat/>
    <w:pPr>
      <w:tabs>
        <w:tab w:val="left" w:pos="2880"/>
      </w:tabs>
      <w:spacing w:beforeLines="50" w:before="156" w:line="480" w:lineRule="auto"/>
      <w:ind w:firstLine="465"/>
      <w:jc w:val="center"/>
    </w:pPr>
    <w:rPr>
      <w:rFonts w:ascii="楷体" w:eastAsia="楷体" w:hAnsi="楷体" w:cs="Times New Roman"/>
      <w:b/>
      <w:bCs/>
      <w:spacing w:val="60"/>
      <w:sz w:val="72"/>
      <w:szCs w:val="44"/>
    </w:rPr>
  </w:style>
  <w:style w:type="paragraph" w:customStyle="1" w:styleId="xl44">
    <w:name w:val="xl44"/>
    <w:basedOn w:val="a"/>
    <w:qFormat/>
    <w:pPr>
      <w:widowControl/>
      <w:pBdr>
        <w:right w:val="single" w:sz="12"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Char52">
    <w:name w:val="Char5"/>
    <w:basedOn w:val="a"/>
    <w:qFormat/>
    <w:pPr>
      <w:spacing w:line="240" w:lineRule="exact"/>
      <w:ind w:firstLineChars="200" w:firstLine="200"/>
    </w:pPr>
    <w:rPr>
      <w:rFonts w:ascii="Times New Roman" w:eastAsia="宋体" w:hAnsi="Times New Roman" w:cs="Times New Roman"/>
      <w:sz w:val="28"/>
      <w:szCs w:val="28"/>
    </w:rPr>
  </w:style>
  <w:style w:type="paragraph" w:customStyle="1" w:styleId="2fffffe">
    <w:name w:val="标题样式2"/>
    <w:basedOn w:val="a"/>
    <w:semiHidden/>
    <w:qFormat/>
    <w:pPr>
      <w:adjustRightInd w:val="0"/>
      <w:spacing w:line="480" w:lineRule="atLeast"/>
      <w:textAlignment w:val="baseline"/>
    </w:pPr>
    <w:rPr>
      <w:rFonts w:ascii="新宋体" w:eastAsia="仿宋_GB2312" w:hAnsi="新宋体" w:cs="Times New Roman"/>
      <w:kern w:val="0"/>
      <w:sz w:val="28"/>
      <w:szCs w:val="20"/>
    </w:rPr>
  </w:style>
  <w:style w:type="paragraph" w:customStyle="1" w:styleId="2ffffff">
    <w:name w:val="列出段落2"/>
    <w:basedOn w:val="a"/>
    <w:qFormat/>
    <w:pPr>
      <w:widowControl/>
      <w:ind w:left="720"/>
      <w:contextualSpacing/>
      <w:jc w:val="left"/>
    </w:pPr>
    <w:rPr>
      <w:rFonts w:ascii="Times New Roman" w:eastAsia="宋体" w:hAnsi="Times New Roman" w:cs="Times New Roman"/>
      <w:kern w:val="0"/>
      <w:sz w:val="24"/>
      <w:szCs w:val="20"/>
    </w:rPr>
  </w:style>
  <w:style w:type="paragraph" w:customStyle="1" w:styleId="affffffffffffffffffffff0">
    <w:name w:val="标号正文"/>
    <w:basedOn w:val="a"/>
    <w:next w:val="a"/>
    <w:qFormat/>
    <w:pPr>
      <w:tabs>
        <w:tab w:val="left" w:pos="1540"/>
      </w:tabs>
      <w:overflowPunct w:val="0"/>
      <w:snapToGrid w:val="0"/>
      <w:spacing w:line="480" w:lineRule="exact"/>
      <w:ind w:left="1540" w:hanging="420"/>
      <w:jc w:val="left"/>
    </w:pPr>
    <w:rPr>
      <w:rFonts w:ascii="Arial" w:eastAsia="仿宋_GB2312" w:hAnsi="Arial" w:cs="Times New Roman"/>
      <w:sz w:val="28"/>
      <w:szCs w:val="20"/>
    </w:rPr>
  </w:style>
  <w:style w:type="paragraph" w:customStyle="1" w:styleId="affffffffffffffffffffff1">
    <w:name w:val="表后"/>
    <w:basedOn w:val="a"/>
    <w:next w:val="a"/>
    <w:qFormat/>
    <w:pPr>
      <w:adjustRightInd w:val="0"/>
      <w:spacing w:before="120" w:line="360" w:lineRule="auto"/>
      <w:ind w:firstLine="493"/>
      <w:textAlignment w:val="baseline"/>
    </w:pPr>
    <w:rPr>
      <w:rFonts w:ascii="宋体" w:eastAsia="宋体" w:hAnsi="宋体" w:cs="Times New Roman"/>
      <w:spacing w:val="-2"/>
      <w:kern w:val="0"/>
      <w:sz w:val="24"/>
      <w:szCs w:val="24"/>
    </w:rPr>
  </w:style>
  <w:style w:type="paragraph" w:customStyle="1" w:styleId="Charfffffffb">
    <w:name w:val="图框文字 Char"/>
    <w:basedOn w:val="a"/>
    <w:qFormat/>
    <w:pPr>
      <w:jc w:val="center"/>
    </w:pPr>
    <w:rPr>
      <w:rFonts w:ascii="Times New Roman" w:eastAsia="宋体" w:hAnsi="Times New Roman" w:cs="宋体"/>
      <w:spacing w:val="4"/>
      <w:szCs w:val="21"/>
    </w:rPr>
  </w:style>
  <w:style w:type="paragraph" w:customStyle="1" w:styleId="Char100">
    <w:name w:val="Char10"/>
    <w:basedOn w:val="a"/>
    <w:qFormat/>
    <w:rPr>
      <w:rFonts w:ascii="Times New Roman" w:eastAsia="宋体" w:hAnsi="Times New Roman" w:cs="Times New Roman"/>
      <w:sz w:val="24"/>
      <w:szCs w:val="24"/>
    </w:rPr>
  </w:style>
  <w:style w:type="paragraph" w:customStyle="1" w:styleId="6110">
    <w:name w:val="目录 611"/>
    <w:basedOn w:val="a"/>
    <w:next w:val="a"/>
    <w:qFormat/>
    <w:pPr>
      <w:ind w:left="840"/>
      <w:jc w:val="left"/>
    </w:pPr>
    <w:rPr>
      <w:rFonts w:ascii="Times New Roman" w:eastAsia="宋体" w:hAnsi="Times New Roman" w:cs="Times New Roman"/>
      <w:sz w:val="20"/>
      <w:szCs w:val="20"/>
    </w:rPr>
  </w:style>
  <w:style w:type="paragraph" w:customStyle="1" w:styleId="GB231220">
    <w:name w:val="样式 楷体_GB2312 四号 首行缩进:  2 字符"/>
    <w:basedOn w:val="a"/>
    <w:qFormat/>
    <w:pPr>
      <w:ind w:firstLineChars="200" w:firstLine="560"/>
    </w:pPr>
    <w:rPr>
      <w:rFonts w:ascii="楷体_GB2312" w:eastAsia="仿宋_GB2312" w:hAnsi="楷体_GB2312" w:cs="Times New Roman"/>
      <w:sz w:val="28"/>
      <w:szCs w:val="20"/>
    </w:rPr>
  </w:style>
  <w:style w:type="paragraph" w:customStyle="1" w:styleId="CharCharCharChar9">
    <w:name w:val="Char Char Char Char9"/>
    <w:basedOn w:val="a"/>
    <w:qFormat/>
    <w:rPr>
      <w:rFonts w:ascii="Times New Roman" w:eastAsia="宋体" w:hAnsi="Times New Roman" w:cs="Times New Roman"/>
      <w:sz w:val="24"/>
      <w:szCs w:val="24"/>
    </w:rPr>
  </w:style>
  <w:style w:type="paragraph" w:customStyle="1" w:styleId="xl87">
    <w:name w:val="xl87"/>
    <w:basedOn w:val="a"/>
    <w:qFormat/>
    <w:pPr>
      <w:widowControl/>
      <w:spacing w:before="100" w:beforeAutospacing="1" w:after="100" w:afterAutospacing="1"/>
      <w:jc w:val="center"/>
    </w:pPr>
    <w:rPr>
      <w:rFonts w:ascii="Arial Unicode MS" w:eastAsia="宋体" w:hAnsi="Arial Unicode MS" w:cs="Times New Roman"/>
      <w:kern w:val="0"/>
      <w:sz w:val="12"/>
      <w:szCs w:val="12"/>
    </w:rPr>
  </w:style>
  <w:style w:type="paragraph" w:customStyle="1" w:styleId="affffffffffffffffffffff2">
    <w:name w:val="小四表格"/>
    <w:basedOn w:val="a"/>
    <w:qFormat/>
    <w:pPr>
      <w:keepNext/>
      <w:autoSpaceDE w:val="0"/>
      <w:autoSpaceDN w:val="0"/>
      <w:adjustRightInd w:val="0"/>
      <w:spacing w:line="480" w:lineRule="atLeast"/>
      <w:jc w:val="center"/>
    </w:pPr>
    <w:rPr>
      <w:rFonts w:ascii="Times New Roman" w:eastAsia="宋体" w:hAnsi="Times New Roman" w:cs="Times New Roman"/>
      <w:color w:val="000000"/>
      <w:sz w:val="24"/>
      <w:szCs w:val="20"/>
    </w:rPr>
  </w:style>
  <w:style w:type="paragraph" w:customStyle="1" w:styleId="CharCharCharChar100">
    <w:name w:val="Char Char Char Char10"/>
    <w:basedOn w:val="a"/>
    <w:qFormat/>
    <w:rPr>
      <w:rFonts w:ascii="Times New Roman" w:eastAsia="宋体" w:hAnsi="Times New Roman" w:cs="Times New Roman"/>
      <w:sz w:val="24"/>
      <w:szCs w:val="24"/>
    </w:rPr>
  </w:style>
  <w:style w:type="paragraph" w:customStyle="1" w:styleId="3fff2">
    <w:name w:val="无间隔3"/>
    <w:qFormat/>
    <w:pPr>
      <w:widowControl w:val="0"/>
      <w:jc w:val="both"/>
    </w:pPr>
    <w:rPr>
      <w:rFonts w:ascii="Arial" w:eastAsia="仿宋" w:hAnsi="Arial" w:cs="Times New Roman"/>
      <w:w w:val="90"/>
      <w:kern w:val="2"/>
      <w:sz w:val="24"/>
      <w:szCs w:val="24"/>
    </w:rPr>
  </w:style>
  <w:style w:type="paragraph" w:customStyle="1" w:styleId="79">
    <w:name w:val="正文7"/>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PlainText3">
    <w:name w:val="Plain Text3"/>
    <w:basedOn w:val="a"/>
    <w:semiHidden/>
    <w:qFormat/>
    <w:pPr>
      <w:adjustRightInd w:val="0"/>
      <w:textAlignment w:val="baseline"/>
    </w:pPr>
    <w:rPr>
      <w:rFonts w:ascii="宋体" w:eastAsia="宋体" w:hAnsi="Courier New" w:cs="Times New Roman"/>
      <w:szCs w:val="20"/>
    </w:rPr>
  </w:style>
  <w:style w:type="paragraph" w:customStyle="1" w:styleId="CharCharChar1CharCharCharCharCharCharCharCharCharChar2">
    <w:name w:val="Char Char Char1 Char Char Char Char Char Char Char Char Char Char2"/>
    <w:basedOn w:val="a"/>
    <w:qFormat/>
    <w:rPr>
      <w:rFonts w:ascii="Times New Roman" w:eastAsia="宋体" w:hAnsi="Times New Roman" w:cs="Times New Roman"/>
      <w:szCs w:val="20"/>
    </w:rPr>
  </w:style>
  <w:style w:type="paragraph" w:customStyle="1" w:styleId="xl124">
    <w:name w:val="xl124"/>
    <w:basedOn w:val="a"/>
    <w:qFormat/>
    <w:pPr>
      <w:widowControl/>
      <w:pBdr>
        <w:left w:val="single" w:sz="4" w:space="0" w:color="auto"/>
        <w:bottom w:val="single" w:sz="8"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11f1">
    <w:name w:val="纯文本11"/>
    <w:basedOn w:val="a"/>
    <w:qFormat/>
    <w:pPr>
      <w:adjustRightInd w:val="0"/>
      <w:textAlignment w:val="baseline"/>
    </w:pPr>
    <w:rPr>
      <w:rFonts w:ascii="宋体" w:eastAsia="宋体" w:hAnsi="Courier New" w:cs="Times New Roman"/>
      <w:szCs w:val="20"/>
    </w:rPr>
  </w:style>
  <w:style w:type="paragraph" w:customStyle="1" w:styleId="xl173">
    <w:name w:val="xl173"/>
    <w:basedOn w:val="a"/>
    <w:qFormat/>
    <w:pPr>
      <w:widowControl/>
      <w:spacing w:before="100" w:beforeAutospacing="1" w:after="100" w:afterAutospacing="1"/>
      <w:jc w:val="center"/>
    </w:pPr>
    <w:rPr>
      <w:rFonts w:ascii="Arial Unicode MS" w:eastAsia="宋体" w:hAnsi="Arial Unicode MS" w:cs="Times New Roman"/>
      <w:kern w:val="0"/>
      <w:szCs w:val="24"/>
    </w:rPr>
  </w:style>
  <w:style w:type="paragraph" w:customStyle="1" w:styleId="xl135">
    <w:name w:val="xl135"/>
    <w:basedOn w:val="a"/>
    <w:qFormat/>
    <w:pPr>
      <w:widowControl/>
      <w:spacing w:before="100" w:beforeAutospacing="1" w:after="100" w:afterAutospacing="1"/>
      <w:jc w:val="center"/>
    </w:pPr>
    <w:rPr>
      <w:rFonts w:ascii="Arial Unicode MS" w:eastAsia="宋体" w:hAnsi="Arial Unicode MS" w:cs="Times New Roman"/>
      <w:kern w:val="0"/>
      <w:sz w:val="16"/>
      <w:szCs w:val="16"/>
    </w:rPr>
  </w:style>
  <w:style w:type="paragraph" w:customStyle="1" w:styleId="xl88">
    <w:name w:val="xl88"/>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0text">
    <w:name w:val="0text"/>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xl118">
    <w:name w:val="xl118"/>
    <w:basedOn w:val="a"/>
    <w:qFormat/>
    <w:pPr>
      <w:widowControl/>
      <w:pBdr>
        <w:left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300">
    <w:name w:val="样式 标题 3 + 黑色 段前: 0行 段后: 0 行"/>
    <w:basedOn w:val="3"/>
    <w:qFormat/>
    <w:pPr>
      <w:widowControl w:val="0"/>
      <w:tabs>
        <w:tab w:val="left" w:pos="426"/>
        <w:tab w:val="left" w:pos="1080"/>
        <w:tab w:val="left" w:pos="1418"/>
      </w:tabs>
      <w:adjustRightInd w:val="0"/>
      <w:snapToGrid w:val="0"/>
      <w:spacing w:beforeLines="50" w:before="120" w:after="0" w:line="324" w:lineRule="auto"/>
      <w:jc w:val="both"/>
    </w:pPr>
    <w:rPr>
      <w:rFonts w:ascii="仿宋_GB2312" w:eastAsia="仿宋_GB2312"/>
      <w:b w:val="0"/>
      <w:bCs w:val="0"/>
      <w:color w:val="000000"/>
      <w:kern w:val="2"/>
      <w:sz w:val="28"/>
      <w:szCs w:val="20"/>
    </w:rPr>
  </w:style>
  <w:style w:type="paragraph" w:customStyle="1" w:styleId="-0">
    <w:name w:val="正文-标准"/>
    <w:basedOn w:val="a"/>
    <w:qFormat/>
    <w:pPr>
      <w:spacing w:line="500" w:lineRule="exact"/>
      <w:ind w:firstLineChars="200" w:firstLine="200"/>
    </w:pPr>
    <w:rPr>
      <w:rFonts w:ascii="Times New Roman" w:eastAsia="宋体" w:hAnsi="Times New Roman" w:cs="Times New Roman"/>
      <w:sz w:val="24"/>
      <w:szCs w:val="24"/>
    </w:rPr>
  </w:style>
  <w:style w:type="paragraph" w:customStyle="1" w:styleId="stdivcss">
    <w:name w:val="st_divcss"/>
    <w:basedOn w:val="a"/>
    <w:qFormat/>
    <w:pPr>
      <w:widowControl/>
      <w:jc w:val="left"/>
    </w:pPr>
    <w:rPr>
      <w:rFonts w:ascii="宋体" w:eastAsia="宋体" w:hAnsi="宋体" w:cs="宋体"/>
      <w:kern w:val="0"/>
      <w:sz w:val="24"/>
      <w:szCs w:val="24"/>
    </w:rPr>
  </w:style>
  <w:style w:type="paragraph" w:customStyle="1" w:styleId="affffffffffffffffffffff3">
    <w:name w:val="表格新"/>
    <w:basedOn w:val="a"/>
    <w:qFormat/>
    <w:pPr>
      <w:tabs>
        <w:tab w:val="left" w:pos="360"/>
      </w:tabs>
      <w:adjustRightInd w:val="0"/>
      <w:snapToGrid w:val="0"/>
      <w:jc w:val="center"/>
      <w:outlineLvl w:val="2"/>
    </w:pPr>
    <w:rPr>
      <w:rFonts w:ascii="宋体" w:eastAsia="宋体" w:hAnsi="宋体" w:cs="Times New Roman"/>
      <w:kern w:val="0"/>
      <w:szCs w:val="21"/>
    </w:rPr>
  </w:style>
  <w:style w:type="paragraph" w:customStyle="1" w:styleId="4fb">
    <w:name w:val="列表段落4"/>
    <w:basedOn w:val="a"/>
    <w:qFormat/>
    <w:pPr>
      <w:ind w:firstLineChars="200" w:firstLine="420"/>
    </w:pPr>
    <w:rPr>
      <w:rFonts w:ascii="Calibri" w:eastAsia="宋体" w:hAnsi="Calibri" w:cs="Times New Roman"/>
    </w:rPr>
  </w:style>
  <w:style w:type="paragraph" w:customStyle="1" w:styleId="1CharCharCharCharCharCharCharCharCharCharCharCharCharCharCharCharCharCharChar">
    <w:name w:val="1 Char Char Char Char Char Char Char Char Char Char Char Char Char Char Char Char Char Char Char"/>
    <w:basedOn w:val="a"/>
    <w:qFormat/>
    <w:pPr>
      <w:adjustRightInd w:val="0"/>
      <w:spacing w:line="360" w:lineRule="auto"/>
    </w:pPr>
    <w:rPr>
      <w:rFonts w:ascii="Times New Roman" w:eastAsia="宋体" w:hAnsi="Times New Roman" w:cs="Times New Roman"/>
      <w:kern w:val="0"/>
      <w:sz w:val="24"/>
      <w:szCs w:val="20"/>
    </w:rPr>
  </w:style>
  <w:style w:type="paragraph" w:customStyle="1" w:styleId="CharCharCharCharCharCharCharCharChar1CharCharCharCharCharChar1Char1">
    <w:name w:val="Char Char Char Char Char Char Char Char Char1 Char Char Char Char Char Char1 Char1"/>
    <w:basedOn w:val="a"/>
    <w:qFormat/>
    <w:rPr>
      <w:rFonts w:ascii="Times New Roman" w:eastAsia="宋体" w:hAnsi="Times New Roman" w:cs="Times New Roman"/>
      <w:szCs w:val="21"/>
    </w:rPr>
  </w:style>
  <w:style w:type="paragraph" w:customStyle="1" w:styleId="xl147">
    <w:name w:val="xl147"/>
    <w:basedOn w:val="a"/>
    <w:qFormat/>
    <w:pPr>
      <w:widowControl/>
      <w:spacing w:before="100" w:beforeAutospacing="1" w:after="100" w:afterAutospacing="1"/>
      <w:jc w:val="center"/>
    </w:pPr>
    <w:rPr>
      <w:rFonts w:ascii="Arial Unicode MS" w:eastAsia="宋体" w:hAnsi="Arial Unicode MS" w:cs="Times New Roman"/>
      <w:kern w:val="0"/>
      <w:szCs w:val="24"/>
    </w:rPr>
  </w:style>
  <w:style w:type="paragraph" w:customStyle="1" w:styleId="144">
    <w:name w:val="正文14"/>
    <w:qFormat/>
    <w:pPr>
      <w:jc w:val="both"/>
    </w:pPr>
    <w:rPr>
      <w:rFonts w:ascii="Times New Roman" w:eastAsia="宋体" w:hAnsi="Times New Roman" w:cs="Times New Roman"/>
      <w:kern w:val="2"/>
      <w:sz w:val="21"/>
      <w:szCs w:val="21"/>
    </w:rPr>
  </w:style>
  <w:style w:type="paragraph" w:customStyle="1" w:styleId="CharCharCharCharCharCharCharCharChar1Char7">
    <w:name w:val="Char Char Char Char Char Char Char Char Char1 Char7"/>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xl79">
    <w:name w:val="xl79"/>
    <w:basedOn w:val="a"/>
    <w:qFormat/>
    <w:pPr>
      <w:widowControl/>
      <w:pBdr>
        <w:bottom w:val="single" w:sz="12" w:space="0" w:color="auto"/>
      </w:pBdr>
      <w:spacing w:before="100" w:beforeAutospacing="1" w:after="100" w:afterAutospacing="1"/>
      <w:jc w:val="left"/>
    </w:pPr>
    <w:rPr>
      <w:rFonts w:ascii="Times New Roman" w:eastAsia="宋体" w:hAnsi="Times New Roman" w:cs="Times New Roman"/>
      <w:kern w:val="0"/>
      <w:sz w:val="12"/>
      <w:szCs w:val="12"/>
    </w:rPr>
  </w:style>
  <w:style w:type="paragraph" w:customStyle="1" w:styleId="aa0">
    <w:name w:val="aa正文"/>
    <w:basedOn w:val="a"/>
    <w:qFormat/>
    <w:pPr>
      <w:spacing w:line="360" w:lineRule="auto"/>
      <w:ind w:firstLineChars="200" w:firstLine="200"/>
    </w:pPr>
    <w:rPr>
      <w:rFonts w:ascii="Calibri" w:eastAsia="宋体" w:hAnsi="Calibri" w:cs="Times New Roman"/>
      <w:kern w:val="0"/>
      <w:sz w:val="24"/>
      <w:szCs w:val="24"/>
    </w:rPr>
  </w:style>
  <w:style w:type="paragraph" w:customStyle="1" w:styleId="CharCharCharCharCharCharCharCharChar1CharCharCharChar7">
    <w:name w:val="Char Char Char Char Char Char Char Char Char1 Char Char Char Char7"/>
    <w:basedOn w:val="a"/>
    <w:qFormat/>
    <w:rPr>
      <w:rFonts w:ascii="Times New Roman" w:eastAsia="宋体" w:hAnsi="Times New Roman" w:cs="Times New Roman"/>
      <w:szCs w:val="21"/>
    </w:rPr>
  </w:style>
  <w:style w:type="paragraph" w:customStyle="1" w:styleId="s16qcsl240slmult0nowidct">
    <w:name w:val="s16qcsl240slmult0nowidct"/>
    <w:qFormat/>
    <w:pPr>
      <w:widowControl w:val="0"/>
      <w:adjustRightInd w:val="0"/>
      <w:textAlignment w:val="baseline"/>
    </w:pPr>
    <w:rPr>
      <w:rFonts w:ascii="Times New Roman" w:eastAsia="宋体" w:hAnsi="Times New Roman" w:cs="Times New Roman"/>
      <w:sz w:val="21"/>
    </w:rPr>
  </w:style>
  <w:style w:type="paragraph" w:customStyle="1" w:styleId="xl192">
    <w:name w:val="xl192"/>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Char2f">
    <w:name w:val="Char2"/>
    <w:basedOn w:val="a"/>
    <w:qFormat/>
    <w:pPr>
      <w:spacing w:line="240" w:lineRule="exact"/>
      <w:ind w:firstLineChars="200" w:firstLine="200"/>
    </w:pPr>
    <w:rPr>
      <w:rFonts w:ascii="Times New Roman" w:eastAsia="宋体" w:hAnsi="Times New Roman" w:cs="Times New Roman"/>
      <w:sz w:val="28"/>
      <w:szCs w:val="28"/>
    </w:rPr>
  </w:style>
  <w:style w:type="paragraph" w:customStyle="1" w:styleId="270">
    <w:name w:val="样式 (符号) 宋体 四号 行距: 固定值 27 磅"/>
    <w:basedOn w:val="a"/>
    <w:qFormat/>
    <w:pPr>
      <w:spacing w:line="360" w:lineRule="auto"/>
      <w:ind w:firstLineChars="200" w:firstLine="200"/>
      <w:textAlignment w:val="baseline"/>
    </w:pPr>
    <w:rPr>
      <w:rFonts w:ascii="宋体" w:eastAsia="宋体" w:hAnsi="宋体" w:cs="宋体"/>
      <w:sz w:val="28"/>
      <w:szCs w:val="20"/>
    </w:rPr>
  </w:style>
  <w:style w:type="paragraph" w:customStyle="1" w:styleId="Char150">
    <w:name w:val="Char15"/>
    <w:basedOn w:val="a"/>
    <w:qFormat/>
    <w:rPr>
      <w:rFonts w:ascii="Times New Roman" w:eastAsia="宋体" w:hAnsi="Times New Roman" w:cs="Times New Roman"/>
      <w:szCs w:val="21"/>
    </w:rPr>
  </w:style>
  <w:style w:type="paragraph" w:customStyle="1" w:styleId="NewNewNewNewNewNewNewNewNewNewNewNewNewNewNewNewNewNewNewNew">
    <w:name w:val="正文 New New New New New New New New New New New New New New New New New New New New"/>
    <w:qFormat/>
    <w:pPr>
      <w:widowControl w:val="0"/>
      <w:jc w:val="both"/>
    </w:pPr>
    <w:rPr>
      <w:rFonts w:ascii="Times New Roman" w:eastAsia="仿宋_GB2312" w:hAnsi="Times New Roman" w:cs="Times New Roman"/>
      <w:kern w:val="2"/>
      <w:sz w:val="32"/>
      <w:szCs w:val="24"/>
    </w:rPr>
  </w:style>
  <w:style w:type="paragraph" w:customStyle="1" w:styleId="c">
    <w:name w:val="c"/>
    <w:link w:val="cChar1"/>
    <w:qFormat/>
    <w:pPr>
      <w:widowControl w:val="0"/>
      <w:autoSpaceDE w:val="0"/>
      <w:autoSpaceDN w:val="0"/>
      <w:adjustRightInd w:val="0"/>
      <w:jc w:val="both"/>
    </w:pPr>
    <w:rPr>
      <w:rFonts w:ascii="Arial" w:eastAsia="宋体" w:hAnsi="Arial" w:cs="Times New Roman"/>
      <w:sz w:val="24"/>
    </w:rPr>
  </w:style>
  <w:style w:type="character" w:customStyle="1" w:styleId="cChar1">
    <w:name w:val="c Char1"/>
    <w:link w:val="c"/>
    <w:locked/>
    <w:rPr>
      <w:rFonts w:ascii="Arial" w:eastAsia="宋体" w:hAnsi="Arial" w:cs="Times New Roman"/>
      <w:kern w:val="0"/>
      <w:sz w:val="24"/>
      <w:szCs w:val="20"/>
    </w:rPr>
  </w:style>
  <w:style w:type="paragraph" w:customStyle="1" w:styleId="affffffffffffffffffffff4">
    <w:name w:val="基准页眉样式"/>
    <w:basedOn w:val="af5"/>
    <w:qFormat/>
    <w:pPr>
      <w:spacing w:after="0" w:line="240" w:lineRule="exact"/>
      <w:jc w:val="center"/>
    </w:pPr>
    <w:rPr>
      <w:rFonts w:ascii="宋体" w:eastAsia="宋体" w:hAnsi="宋体" w:cs="Times New Roman"/>
      <w:sz w:val="24"/>
      <w:szCs w:val="24"/>
    </w:rPr>
  </w:style>
  <w:style w:type="paragraph" w:customStyle="1" w:styleId="xl120">
    <w:name w:val="xl120"/>
    <w:basedOn w:val="a"/>
    <w:qFormat/>
    <w:pPr>
      <w:widowControl/>
      <w:spacing w:before="100" w:beforeAutospacing="1" w:after="100" w:afterAutospacing="1"/>
      <w:jc w:val="left"/>
    </w:pPr>
    <w:rPr>
      <w:rFonts w:ascii="Arial Unicode MS" w:eastAsia="宋体" w:hAnsi="Arial Unicode MS" w:cs="Times New Roman"/>
      <w:kern w:val="0"/>
      <w:sz w:val="12"/>
      <w:szCs w:val="12"/>
    </w:rPr>
  </w:style>
  <w:style w:type="paragraph" w:customStyle="1" w:styleId="affffffffffffffffffffff5">
    <w:name w:val="报告名"/>
    <w:basedOn w:val="a"/>
    <w:qFormat/>
    <w:pPr>
      <w:tabs>
        <w:tab w:val="left" w:pos="1727"/>
        <w:tab w:val="left" w:pos="1884"/>
      </w:tabs>
      <w:adjustRightInd w:val="0"/>
      <w:snapToGrid w:val="0"/>
      <w:spacing w:line="360" w:lineRule="auto"/>
      <w:ind w:left="26"/>
      <w:jc w:val="center"/>
      <w:outlineLvl w:val="0"/>
    </w:pPr>
    <w:rPr>
      <w:rFonts w:ascii="文鼎大标宋简" w:eastAsia="文鼎大标宋简" w:hAnsi="宋体" w:cs="Times New Roman"/>
      <w:sz w:val="56"/>
      <w:szCs w:val="20"/>
    </w:rPr>
  </w:style>
  <w:style w:type="paragraph" w:customStyle="1" w:styleId="xl174">
    <w:name w:val="xl174"/>
    <w:basedOn w:val="a"/>
    <w:qFormat/>
    <w:pPr>
      <w:widowControl/>
      <w:spacing w:before="100" w:beforeAutospacing="1" w:after="100" w:afterAutospacing="1"/>
      <w:jc w:val="center"/>
    </w:pPr>
    <w:rPr>
      <w:rFonts w:ascii="Arial Unicode MS" w:eastAsia="宋体" w:hAnsi="Arial Unicode MS" w:cs="Times New Roman"/>
      <w:kern w:val="0"/>
      <w:sz w:val="16"/>
      <w:szCs w:val="16"/>
    </w:rPr>
  </w:style>
  <w:style w:type="paragraph" w:customStyle="1" w:styleId="xl35">
    <w:name w:val="xl35"/>
    <w:basedOn w:val="a"/>
    <w:qFormat/>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big">
    <w:name w:val="big"/>
    <w:basedOn w:val="a"/>
    <w:qFormat/>
    <w:pPr>
      <w:widowControl/>
      <w:spacing w:before="100" w:beforeAutospacing="1" w:after="100" w:afterAutospacing="1" w:line="432" w:lineRule="auto"/>
      <w:jc w:val="left"/>
    </w:pPr>
    <w:rPr>
      <w:rFonts w:ascii="宋体" w:eastAsia="宋体" w:hAnsi="宋体" w:cs="宋体"/>
      <w:b/>
      <w:color w:val="006600"/>
      <w:kern w:val="0"/>
      <w:sz w:val="36"/>
      <w:szCs w:val="24"/>
    </w:rPr>
  </w:style>
  <w:style w:type="paragraph" w:customStyle="1" w:styleId="affffffffffffffffffffff6">
    <w:name w:val="右五"/>
    <w:basedOn w:val="affffffffffffffffffff3"/>
    <w:next w:val="a"/>
    <w:semiHidden/>
    <w:qFormat/>
    <w:pPr>
      <w:jc w:val="right"/>
    </w:pPr>
  </w:style>
  <w:style w:type="paragraph" w:customStyle="1" w:styleId="3150">
    <w:name w:val="样式 标题 3 + 宋体 小四 非加粗 行距: 1.5 倍行距"/>
    <w:basedOn w:val="3"/>
    <w:qFormat/>
    <w:pPr>
      <w:widowControl w:val="0"/>
      <w:tabs>
        <w:tab w:val="left" w:pos="1418"/>
      </w:tabs>
      <w:spacing w:line="360" w:lineRule="auto"/>
      <w:jc w:val="both"/>
    </w:pPr>
    <w:rPr>
      <w:rFonts w:ascii="宋体" w:hAnsi="宋体" w:cs="宋体"/>
      <w:bCs w:val="0"/>
      <w:kern w:val="2"/>
      <w:sz w:val="24"/>
      <w:szCs w:val="20"/>
    </w:rPr>
  </w:style>
  <w:style w:type="paragraph" w:customStyle="1" w:styleId="2ffffff0">
    <w:name w:val="普通(网站)2"/>
    <w:basedOn w:val="a"/>
    <w:qFormat/>
    <w:pPr>
      <w:widowControl/>
      <w:spacing w:before="100" w:beforeAutospacing="1" w:after="100" w:afterAutospacing="1"/>
      <w:jc w:val="left"/>
    </w:pPr>
    <w:rPr>
      <w:rFonts w:ascii="宋体" w:eastAsia="宋体" w:hAnsi="宋体" w:cs="Times New Roman"/>
      <w:kern w:val="0"/>
      <w:sz w:val="18"/>
      <w:szCs w:val="18"/>
    </w:rPr>
  </w:style>
  <w:style w:type="paragraph" w:customStyle="1" w:styleId="xl123">
    <w:name w:val="xl123"/>
    <w:basedOn w:val="a"/>
    <w:qFormat/>
    <w:pPr>
      <w:widowControl/>
      <w:pBdr>
        <w:top w:val="single" w:sz="8"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xl204">
    <w:name w:val="xl204"/>
    <w:basedOn w:val="a"/>
    <w:qFormat/>
    <w:pPr>
      <w:widowControl/>
      <w:pBdr>
        <w:lef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CharCharCharCharCharCharCharChar1CharCharCharCharCharCharCharCharCharChar">
    <w:name w:val="Char Char Char Char Char Char Char Char1 Char Char Char Char Char Char Char Char Char Char"/>
    <w:basedOn w:val="a"/>
    <w:qFormat/>
    <w:rPr>
      <w:rFonts w:ascii="Times New Roman" w:eastAsia="宋体" w:hAnsi="Times New Roman" w:cs="Times New Roman"/>
      <w:sz w:val="24"/>
      <w:szCs w:val="24"/>
    </w:rPr>
  </w:style>
  <w:style w:type="paragraph" w:customStyle="1" w:styleId="affffffffffffffffffffff7">
    <w:name w:val="列项——"/>
    <w:qFormat/>
    <w:pPr>
      <w:widowControl w:val="0"/>
      <w:tabs>
        <w:tab w:val="left" w:pos="854"/>
      </w:tabs>
      <w:ind w:leftChars="200" w:left="840" w:hangingChars="200" w:hanging="420"/>
      <w:jc w:val="both"/>
    </w:pPr>
    <w:rPr>
      <w:rFonts w:ascii="宋体" w:eastAsia="宋体" w:hAnsi="Times New Roman" w:cs="Times New Roman"/>
      <w:sz w:val="21"/>
    </w:rPr>
  </w:style>
  <w:style w:type="paragraph" w:customStyle="1" w:styleId="3TimesNewRoman0">
    <w:name w:val="样式 样式 标题 3 + (西文) Times New Roman (中文) 宋体 小四 加粗 + 黑色 左侧:  0 厘米..."/>
    <w:basedOn w:val="a"/>
    <w:qFormat/>
    <w:pPr>
      <w:keepNext/>
      <w:keepLines/>
      <w:adjustRightInd w:val="0"/>
      <w:snapToGrid w:val="0"/>
      <w:spacing w:beforeLines="50" w:before="120" w:line="360" w:lineRule="auto"/>
      <w:jc w:val="left"/>
      <w:outlineLvl w:val="2"/>
    </w:pPr>
    <w:rPr>
      <w:rFonts w:ascii="宋体" w:eastAsia="宋体" w:hAnsi="宋体" w:cs="宋体"/>
      <w:b/>
      <w:bCs/>
      <w:color w:val="000000"/>
      <w:sz w:val="28"/>
      <w:szCs w:val="20"/>
    </w:rPr>
  </w:style>
  <w:style w:type="paragraph" w:customStyle="1" w:styleId="1fffffe">
    <w:name w:val="表头样式1"/>
    <w:basedOn w:val="a"/>
    <w:qFormat/>
    <w:pPr>
      <w:autoSpaceDE w:val="0"/>
      <w:autoSpaceDN w:val="0"/>
      <w:adjustRightInd w:val="0"/>
      <w:snapToGrid w:val="0"/>
      <w:spacing w:beforeLines="20" w:before="62" w:afterLines="20" w:after="62" w:line="360" w:lineRule="auto"/>
      <w:ind w:firstLineChars="200" w:firstLine="480"/>
      <w:jc w:val="center"/>
    </w:pPr>
    <w:rPr>
      <w:rFonts w:ascii="黑体" w:eastAsia="黑体" w:hAnsi="宋体" w:cs="Times New Roman"/>
      <w:kern w:val="0"/>
      <w:sz w:val="24"/>
      <w:szCs w:val="20"/>
    </w:rPr>
  </w:style>
  <w:style w:type="paragraph" w:customStyle="1" w:styleId="affffffffffffffffffffff8">
    <w:name w:val="表格 左侧"/>
    <w:basedOn w:val="affffff"/>
    <w:qFormat/>
    <w:pPr>
      <w:widowControl/>
      <w:tabs>
        <w:tab w:val="left" w:pos="425"/>
        <w:tab w:val="left" w:pos="780"/>
      </w:tabs>
      <w:overflowPunct/>
      <w:adjustRightInd/>
      <w:snapToGrid/>
      <w:spacing w:line="240" w:lineRule="auto"/>
      <w:ind w:left="780" w:hanging="360"/>
      <w:jc w:val="left"/>
      <w:textAlignment w:val="auto"/>
    </w:pPr>
    <w:rPr>
      <w:rFonts w:ascii="Times New Roman" w:eastAsia="宋体" w:hAnsi="Times New Roman"/>
      <w:color w:val="auto"/>
      <w:kern w:val="18"/>
      <w:sz w:val="21"/>
      <w:szCs w:val="21"/>
    </w:rPr>
  </w:style>
  <w:style w:type="paragraph" w:customStyle="1" w:styleId="affffffffffffffffffffff9">
    <w:name w:val="表内序号"/>
    <w:basedOn w:val="a"/>
    <w:qFormat/>
    <w:pPr>
      <w:ind w:leftChars="-52" w:left="-109" w:rightChars="-55" w:right="-115"/>
      <w:jc w:val="center"/>
    </w:pPr>
    <w:rPr>
      <w:rFonts w:ascii="Times New Roman" w:eastAsia="宋体" w:hAnsi="宋体" w:cs="Times New Roman"/>
      <w:szCs w:val="21"/>
    </w:rPr>
  </w:style>
  <w:style w:type="paragraph" w:customStyle="1" w:styleId="xl182">
    <w:name w:val="xl182"/>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eastAsia="宋体" w:hAnsi="Times New Roman" w:cs="Times New Roman"/>
      <w:kern w:val="0"/>
      <w:sz w:val="16"/>
      <w:szCs w:val="16"/>
    </w:rPr>
  </w:style>
  <w:style w:type="paragraph" w:customStyle="1" w:styleId="xl153">
    <w:name w:val="xl153"/>
    <w:basedOn w:val="a"/>
    <w:qFormat/>
    <w:pPr>
      <w:widowControl/>
      <w:spacing w:before="100" w:beforeAutospacing="1" w:after="100" w:afterAutospacing="1"/>
      <w:jc w:val="center"/>
    </w:pPr>
    <w:rPr>
      <w:rFonts w:ascii="Arial Unicode MS" w:eastAsia="宋体" w:hAnsi="Arial Unicode MS" w:cs="Times New Roman"/>
      <w:kern w:val="0"/>
      <w:sz w:val="16"/>
      <w:szCs w:val="16"/>
    </w:rPr>
  </w:style>
  <w:style w:type="paragraph" w:customStyle="1" w:styleId="5Char4">
    <w:name w:val="5 Char"/>
    <w:basedOn w:val="a"/>
    <w:qFormat/>
    <w:rPr>
      <w:rFonts w:ascii="Times New Roman" w:eastAsia="宋体" w:hAnsi="Times New Roman" w:cs="Times New Roman"/>
      <w:sz w:val="24"/>
      <w:szCs w:val="24"/>
    </w:rPr>
  </w:style>
  <w:style w:type="paragraph" w:customStyle="1" w:styleId="1ffffff">
    <w:name w:val="表名1"/>
    <w:basedOn w:val="affffffffffffff5"/>
    <w:semiHidden/>
    <w:qFormat/>
    <w:pPr>
      <w:keepNext/>
      <w:overflowPunct w:val="0"/>
      <w:adjustRightInd w:val="0"/>
      <w:snapToGrid w:val="0"/>
      <w:spacing w:line="240" w:lineRule="auto"/>
      <w:textAlignment w:val="baseline"/>
    </w:pPr>
    <w:rPr>
      <w:rFonts w:ascii="Times New Roman" w:eastAsia="黑体" w:hAnsi="Times New Roman"/>
      <w:b w:val="0"/>
      <w:bCs w:val="0"/>
      <w:kern w:val="24"/>
      <w:sz w:val="21"/>
      <w:szCs w:val="21"/>
      <w:lang w:val="zh-CN"/>
    </w:rPr>
  </w:style>
  <w:style w:type="paragraph" w:customStyle="1" w:styleId="CharCharCharCharCharCharCharCharChar1CharCharCharChar3">
    <w:name w:val="Char Char Char Char Char Char Char Char Char1 Char Char Char Char3"/>
    <w:basedOn w:val="a"/>
    <w:qFormat/>
    <w:rPr>
      <w:rFonts w:ascii="Times New Roman" w:eastAsia="宋体" w:hAnsi="Times New Roman" w:cs="Times New Roman"/>
      <w:szCs w:val="21"/>
    </w:rPr>
  </w:style>
  <w:style w:type="paragraph" w:customStyle="1" w:styleId="affffffffffffffffffffffa">
    <w:name w:val="广西炼油"/>
    <w:basedOn w:val="a"/>
    <w:qFormat/>
    <w:pPr>
      <w:spacing w:beforeLines="5" w:before="15" w:line="360" w:lineRule="auto"/>
      <w:ind w:firstLine="480"/>
    </w:pPr>
    <w:rPr>
      <w:rFonts w:ascii="宋体" w:eastAsia="宋体" w:hAnsi="宋体" w:cs="Times New Roman"/>
      <w:sz w:val="24"/>
      <w:szCs w:val="20"/>
    </w:rPr>
  </w:style>
  <w:style w:type="paragraph" w:customStyle="1" w:styleId="xl113">
    <w:name w:val="xl113"/>
    <w:basedOn w:val="a"/>
    <w:qFormat/>
    <w:pPr>
      <w:widowControl/>
      <w:pBdr>
        <w:top w:val="single" w:sz="8" w:space="0" w:color="auto"/>
        <w:bottom w:val="single" w:sz="12"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book111">
    <w:name w:val="book1_1_1"/>
    <w:basedOn w:val="3"/>
    <w:qFormat/>
    <w:pPr>
      <w:keepNext w:val="0"/>
      <w:widowControl w:val="0"/>
      <w:tabs>
        <w:tab w:val="left" w:pos="1050"/>
        <w:tab w:val="left" w:pos="1418"/>
        <w:tab w:val="left" w:pos="1770"/>
      </w:tabs>
      <w:spacing w:beforeLines="50" w:before="50" w:afterLines="50" w:after="50" w:line="400" w:lineRule="exact"/>
      <w:ind w:left="330"/>
      <w:jc w:val="both"/>
    </w:pPr>
    <w:rPr>
      <w:b w:val="0"/>
      <w:kern w:val="2"/>
      <w:sz w:val="24"/>
    </w:rPr>
  </w:style>
  <w:style w:type="paragraph" w:customStyle="1" w:styleId="affffffffffffffffffffffb">
    <w:name w:val="页眉左"/>
    <w:basedOn w:val="aff5"/>
    <w:qFormat/>
    <w:pPr>
      <w:pBdr>
        <w:bottom w:val="none" w:sz="0" w:space="0" w:color="auto"/>
      </w:pBdr>
      <w:adjustRightInd w:val="0"/>
      <w:snapToGrid/>
      <w:spacing w:before="60" w:after="60" w:line="240" w:lineRule="atLeast"/>
      <w:jc w:val="left"/>
      <w:textAlignment w:val="baseline"/>
    </w:pPr>
    <w:rPr>
      <w:rFonts w:ascii="Times New Roman" w:eastAsia="宋体" w:hAnsi="Times New Roman" w:cs="Times New Roman"/>
      <w:kern w:val="0"/>
      <w:sz w:val="22"/>
      <w:szCs w:val="20"/>
      <w:lang w:val="en-GB"/>
    </w:rPr>
  </w:style>
  <w:style w:type="paragraph" w:customStyle="1" w:styleId="xl141">
    <w:name w:val="xl141"/>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p21">
    <w:name w:val="p21"/>
    <w:basedOn w:val="a"/>
    <w:qFormat/>
    <w:pPr>
      <w:widowControl/>
      <w:spacing w:line="320" w:lineRule="atLeast"/>
      <w:jc w:val="center"/>
    </w:pPr>
    <w:rPr>
      <w:rFonts w:ascii="宋体" w:eastAsia="宋体" w:hAnsi="宋体" w:cs="宋体"/>
      <w:kern w:val="0"/>
      <w:szCs w:val="21"/>
    </w:rPr>
  </w:style>
  <w:style w:type="paragraph" w:customStyle="1" w:styleId="ParaCharCharChar1CharCharCharCharCharCharCharCharCharCharCharChar">
    <w:name w:val="默认段落字体 Para Char Char Char1 Char Char Char Char Char Char Char Char Char Char Char Char"/>
    <w:basedOn w:val="a"/>
    <w:qFormat/>
    <w:rPr>
      <w:rFonts w:ascii="Times New Roman" w:eastAsia="宋体" w:hAnsi="Times New Roman" w:cs="Times New Roman"/>
      <w:sz w:val="24"/>
      <w:szCs w:val="24"/>
    </w:rPr>
  </w:style>
  <w:style w:type="paragraph" w:customStyle="1" w:styleId="xl191">
    <w:name w:val="xl191"/>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7110">
    <w:name w:val="目录 711"/>
    <w:basedOn w:val="a"/>
    <w:next w:val="a"/>
    <w:qFormat/>
    <w:pPr>
      <w:ind w:left="1050"/>
      <w:jc w:val="left"/>
    </w:pPr>
    <w:rPr>
      <w:rFonts w:ascii="Times New Roman" w:eastAsia="宋体" w:hAnsi="Times New Roman" w:cs="Times New Roman"/>
      <w:sz w:val="20"/>
      <w:szCs w:val="20"/>
    </w:rPr>
  </w:style>
  <w:style w:type="paragraph" w:customStyle="1" w:styleId="xl209">
    <w:name w:val="xl209"/>
    <w:basedOn w:val="a"/>
    <w:qFormat/>
    <w:pPr>
      <w:widowControl/>
      <w:pBdr>
        <w:left w:val="single" w:sz="8" w:space="0" w:color="auto"/>
        <w:bottom w:val="single" w:sz="12" w:space="0" w:color="auto"/>
        <w:righ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11f2">
    <w:name w:val="11"/>
    <w:qFormat/>
    <w:pPr>
      <w:widowControl w:val="0"/>
      <w:jc w:val="both"/>
    </w:pPr>
    <w:rPr>
      <w:rFonts w:ascii="Times New Roman" w:eastAsia="宋体" w:hAnsi="Times New Roman" w:cs="Times New Roman"/>
      <w:kern w:val="2"/>
      <w:sz w:val="21"/>
      <w:szCs w:val="24"/>
    </w:rPr>
  </w:style>
  <w:style w:type="paragraph" w:customStyle="1" w:styleId="affffffffffffffffffffffc">
    <w:name w:val="文本正式"/>
    <w:basedOn w:val="a"/>
    <w:qFormat/>
    <w:pPr>
      <w:spacing w:line="360" w:lineRule="auto"/>
      <w:ind w:firstLineChars="200" w:firstLine="480"/>
    </w:pPr>
    <w:rPr>
      <w:rFonts w:ascii="Times New Roman" w:eastAsia="宋体" w:hAnsi="Times New Roman" w:cs="Times New Roman"/>
      <w:sz w:val="24"/>
      <w:szCs w:val="20"/>
    </w:rPr>
  </w:style>
  <w:style w:type="paragraph" w:customStyle="1" w:styleId="21e">
    <w:name w:val="正文21"/>
    <w:qFormat/>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affffffffffffffffffffffd">
    <w:name w:val="表的正文"/>
    <w:basedOn w:val="a"/>
    <w:qFormat/>
    <w:pPr>
      <w:spacing w:line="400" w:lineRule="atLeast"/>
      <w:ind w:leftChars="100" w:left="100" w:rightChars="100" w:right="100" w:firstLine="482"/>
    </w:pPr>
    <w:rPr>
      <w:rFonts w:ascii="仿宋_GB2312" w:eastAsia="仿宋_GB2312" w:hAnsi="宋体" w:cs="Times New Roman" w:hint="eastAsia"/>
      <w:sz w:val="24"/>
      <w:szCs w:val="20"/>
    </w:rPr>
  </w:style>
  <w:style w:type="paragraph" w:customStyle="1" w:styleId="Char1CharCharCharCharCharChar5">
    <w:name w:val="Char1 Char Char Char Char Char Char5"/>
    <w:basedOn w:val="a"/>
    <w:qFormat/>
    <w:pPr>
      <w:spacing w:line="360" w:lineRule="auto"/>
      <w:ind w:firstLineChars="200" w:firstLine="200"/>
    </w:pPr>
    <w:rPr>
      <w:rFonts w:ascii="宋体" w:eastAsia="宋体" w:hAnsi="宋体" w:cs="宋体"/>
      <w:sz w:val="24"/>
      <w:szCs w:val="24"/>
    </w:rPr>
  </w:style>
  <w:style w:type="paragraph" w:customStyle="1" w:styleId="31110321313">
    <w:name w:val="样式 标题 3条标题1.1.1 + 宋体 小四 左 左侧:  0.32 厘米 段前: 13 磅 段后: 13 磅 ..."/>
    <w:basedOn w:val="3"/>
    <w:qFormat/>
    <w:pPr>
      <w:keepLines w:val="0"/>
      <w:widowControl w:val="0"/>
      <w:spacing w:before="100" w:beforeAutospacing="1" w:after="100" w:afterAutospacing="1" w:line="480" w:lineRule="auto"/>
    </w:pPr>
    <w:rPr>
      <w:rFonts w:ascii="宋体" w:hAnsi="宋体"/>
      <w:sz w:val="24"/>
      <w:szCs w:val="20"/>
    </w:rPr>
  </w:style>
  <w:style w:type="paragraph" w:customStyle="1" w:styleId="cg1">
    <w:name w:val="cg1"/>
    <w:basedOn w:val="a"/>
    <w:qFormat/>
    <w:pPr>
      <w:widowControl/>
      <w:spacing w:before="100" w:beforeAutospacing="1" w:after="100" w:afterAutospacing="1" w:line="330" w:lineRule="atLeast"/>
      <w:ind w:firstLine="360"/>
      <w:jc w:val="left"/>
    </w:pPr>
    <w:rPr>
      <w:rFonts w:ascii="ˎ̥" w:eastAsia="宋体" w:hAnsi="ˎ̥" w:cs="Times New Roman"/>
      <w:color w:val="000099"/>
      <w:kern w:val="0"/>
      <w:sz w:val="18"/>
      <w:szCs w:val="18"/>
    </w:rPr>
  </w:style>
  <w:style w:type="paragraph" w:customStyle="1" w:styleId="CharCharCharChar8">
    <w:name w:val="Char Char Char Char8"/>
    <w:basedOn w:val="a"/>
    <w:qFormat/>
    <w:rPr>
      <w:rFonts w:ascii="Times New Roman" w:eastAsia="宋体" w:hAnsi="Times New Roman" w:cs="Times New Roman"/>
      <w:sz w:val="24"/>
      <w:szCs w:val="24"/>
    </w:rPr>
  </w:style>
  <w:style w:type="paragraph" w:customStyle="1" w:styleId="111H1h11headingHeader1stPageh1chapte">
    <w:name w:val="样式 标题 1标题 1宋旭峰标题1章节H1h11headingHeader 1st Pageh1 chapte..."/>
    <w:basedOn w:val="1"/>
    <w:semiHidden/>
    <w:qFormat/>
    <w:pPr>
      <w:keepNext/>
      <w:keepLines/>
      <w:tabs>
        <w:tab w:val="left" w:pos="425"/>
      </w:tabs>
      <w:adjustRightInd w:val="0"/>
      <w:snapToGrid w:val="0"/>
      <w:spacing w:before="0" w:after="156" w:line="360" w:lineRule="auto"/>
      <w:ind w:left="0"/>
    </w:pPr>
    <w:rPr>
      <w:rFonts w:eastAsia="黑体" w:cs="Times New Roman"/>
      <w:kern w:val="2"/>
      <w:sz w:val="32"/>
      <w:szCs w:val="30"/>
      <w:lang w:val="zh-CN" w:eastAsia="zh-CN"/>
    </w:rPr>
  </w:style>
  <w:style w:type="paragraph" w:customStyle="1" w:styleId="4fc">
    <w:name w:val="标题正4"/>
    <w:basedOn w:val="a"/>
    <w:qFormat/>
    <w:pPr>
      <w:jc w:val="center"/>
    </w:pPr>
    <w:rPr>
      <w:rFonts w:ascii="仿宋_GB2312" w:eastAsia="仿宋_GB2312" w:hAnsi="Times New Roman" w:cs="Times New Roman"/>
      <w:color w:val="000000"/>
      <w:szCs w:val="24"/>
    </w:rPr>
  </w:style>
  <w:style w:type="paragraph" w:customStyle="1" w:styleId="affffffffffffffffffffffe">
    <w:name w:val="图章"/>
    <w:basedOn w:val="a"/>
    <w:qFormat/>
    <w:pPr>
      <w:tabs>
        <w:tab w:val="left" w:pos="1727"/>
        <w:tab w:val="left" w:pos="1884"/>
      </w:tabs>
      <w:adjustRightInd w:val="0"/>
      <w:snapToGrid w:val="0"/>
      <w:ind w:left="26"/>
      <w:jc w:val="left"/>
      <w:outlineLvl w:val="0"/>
    </w:pPr>
    <w:rPr>
      <w:rFonts w:ascii="宋体" w:eastAsia="宋体" w:hAnsi="宋体" w:cs="Times New Roman"/>
      <w:kern w:val="0"/>
      <w:sz w:val="18"/>
      <w:szCs w:val="20"/>
    </w:rPr>
  </w:style>
  <w:style w:type="paragraph" w:customStyle="1" w:styleId="afffffffffffffffffffffff">
    <w:name w:val="小四左齐"/>
    <w:basedOn w:val="a"/>
    <w:qFormat/>
    <w:pPr>
      <w:overflowPunct w:val="0"/>
      <w:adjustRightInd w:val="0"/>
      <w:snapToGrid w:val="0"/>
      <w:jc w:val="left"/>
      <w:textAlignment w:val="top"/>
    </w:pPr>
    <w:rPr>
      <w:rFonts w:ascii="Times New Roman" w:eastAsia="仿宋_GB2312" w:hAnsi="Times New Roman" w:cs="Times New Roman"/>
      <w:kern w:val="0"/>
      <w:sz w:val="24"/>
      <w:szCs w:val="24"/>
    </w:rPr>
  </w:style>
  <w:style w:type="paragraph" w:customStyle="1" w:styleId="xl150">
    <w:name w:val="xl150"/>
    <w:basedOn w:val="a"/>
    <w:qFormat/>
    <w:pPr>
      <w:widowControl/>
      <w:pBdr>
        <w:bottom w:val="single" w:sz="8" w:space="0" w:color="auto"/>
      </w:pBdr>
      <w:spacing w:before="100" w:beforeAutospacing="1" w:after="100" w:afterAutospacing="1"/>
      <w:jc w:val="left"/>
    </w:pPr>
    <w:rPr>
      <w:rFonts w:ascii="Arial Unicode MS" w:eastAsia="宋体" w:hAnsi="Arial Unicode MS" w:cs="Times New Roman"/>
      <w:kern w:val="0"/>
      <w:sz w:val="16"/>
      <w:szCs w:val="16"/>
    </w:rPr>
  </w:style>
  <w:style w:type="paragraph" w:customStyle="1" w:styleId="22Char2CharCharChar11H2Underrubr2">
    <w:name w:val="样式 标题 2标题 2 Char标题 2 Char Char Char节节标题 1.1H2（一）Underrubr...2"/>
    <w:basedOn w:val="2"/>
    <w:qFormat/>
    <w:pPr>
      <w:tabs>
        <w:tab w:val="left" w:pos="932"/>
        <w:tab w:val="left" w:pos="1419"/>
      </w:tabs>
      <w:spacing w:before="0" w:after="0" w:line="360" w:lineRule="auto"/>
      <w:ind w:left="932" w:hanging="567"/>
    </w:pPr>
    <w:rPr>
      <w:rFonts w:ascii="宋体" w:eastAsia="宋体" w:hAnsi="宋体" w:cs="Times New Roman"/>
      <w:b w:val="0"/>
      <w:bCs w:val="0"/>
      <w:color w:val="000000"/>
      <w:sz w:val="30"/>
      <w:szCs w:val="20"/>
    </w:rPr>
  </w:style>
  <w:style w:type="paragraph" w:customStyle="1" w:styleId="CharCharChar1Char7">
    <w:name w:val="Char Char Char1 Char7"/>
    <w:basedOn w:val="2"/>
    <w:qFormat/>
    <w:pPr>
      <w:keepNext w:val="0"/>
      <w:keepLines w:val="0"/>
      <w:widowControl/>
      <w:spacing w:before="0" w:after="0" w:line="520" w:lineRule="exact"/>
    </w:pPr>
    <w:rPr>
      <w:rFonts w:ascii="Times New Roman" w:eastAsia="宋体" w:hAnsi="Times New Roman" w:cs="Times New Roman"/>
      <w:kern w:val="0"/>
      <w:sz w:val="28"/>
      <w:szCs w:val="28"/>
    </w:rPr>
  </w:style>
  <w:style w:type="paragraph" w:customStyle="1" w:styleId="Char320">
    <w:name w:val="Char32"/>
    <w:basedOn w:val="a"/>
    <w:qFormat/>
    <w:rPr>
      <w:rFonts w:ascii="Times New Roman" w:eastAsia="宋体" w:hAnsi="Times New Roman" w:cs="Times New Roman"/>
      <w:sz w:val="24"/>
      <w:szCs w:val="24"/>
    </w:rPr>
  </w:style>
  <w:style w:type="paragraph" w:customStyle="1" w:styleId="103">
    <w:name w:val="样式10"/>
    <w:basedOn w:val="1"/>
    <w:qFormat/>
    <w:pPr>
      <w:keepNext/>
      <w:keepLines/>
      <w:spacing w:beforeLines="100" w:before="240" w:afterLines="100" w:after="240" w:line="520" w:lineRule="exact"/>
      <w:ind w:left="0"/>
      <w:jc w:val="both"/>
    </w:pPr>
    <w:rPr>
      <w:rFonts w:eastAsia="黑体" w:cs="Times New Roman"/>
      <w:color w:val="FF0000"/>
      <w:kern w:val="44"/>
      <w:sz w:val="30"/>
      <w:szCs w:val="30"/>
      <w:lang w:eastAsia="zh-CN"/>
    </w:rPr>
  </w:style>
  <w:style w:type="paragraph" w:customStyle="1" w:styleId="CharCharCharCharCharCharCharCharCharChar1">
    <w:name w:val="Char Char Char Char Char Char Char Char Char Char1"/>
    <w:basedOn w:val="a"/>
    <w:qFormat/>
    <w:rPr>
      <w:rFonts w:ascii="黑体" w:eastAsia="黑体" w:hAnsi="黑体" w:cs="Times New Roman"/>
      <w:b/>
      <w:spacing w:val="10"/>
      <w:sz w:val="28"/>
      <w:szCs w:val="20"/>
    </w:rPr>
  </w:style>
  <w:style w:type="paragraph" w:customStyle="1" w:styleId="CharCharChar1CharCharCharCharCharCharCharCharChar">
    <w:name w:val="Char Char Char1 Char Char Char Char Char Char Char Char Char"/>
    <w:basedOn w:val="a"/>
    <w:qFormat/>
    <w:rPr>
      <w:rFonts w:ascii="Times New Roman" w:eastAsia="宋体" w:hAnsi="Times New Roman" w:cs="Times New Roman"/>
      <w:szCs w:val="21"/>
    </w:rPr>
  </w:style>
  <w:style w:type="paragraph" w:customStyle="1" w:styleId="ParaCharCharCharCharCharCharCharCharCharCharCharCharCharCharChar">
    <w:name w:val="默认段落字体 Para Char Char Char Char Char Char Char Char Char Char Char Char Char Char Char"/>
    <w:basedOn w:val="af"/>
    <w:qFormat/>
    <w:rPr>
      <w:rFonts w:ascii="Tahoma" w:hAnsi="Tahoma"/>
      <w:sz w:val="24"/>
    </w:rPr>
  </w:style>
  <w:style w:type="paragraph" w:customStyle="1" w:styleId="New">
    <w:name w:val="正文 New"/>
    <w:qFormat/>
    <w:pPr>
      <w:widowControl w:val="0"/>
      <w:ind w:firstLineChars="200" w:firstLine="720"/>
      <w:jc w:val="both"/>
    </w:pPr>
    <w:rPr>
      <w:rFonts w:ascii="Times New Roman" w:eastAsia="仿宋_GB2312" w:hAnsi="Times New Roman" w:cs="Times New Roman"/>
      <w:kern w:val="2"/>
      <w:sz w:val="28"/>
      <w:szCs w:val="28"/>
    </w:rPr>
  </w:style>
  <w:style w:type="paragraph" w:customStyle="1" w:styleId="300252">
    <w:name w:val="样式 标题 3 + 左侧:  0 毫米 首行缩进:  0 毫米 行距: 最小值 25 磅2"/>
    <w:basedOn w:val="3"/>
    <w:qFormat/>
    <w:pPr>
      <w:keepLines w:val="0"/>
      <w:widowControl w:val="0"/>
      <w:tabs>
        <w:tab w:val="left" w:pos="1418"/>
      </w:tabs>
      <w:spacing w:before="0" w:after="0" w:line="500" w:lineRule="atLeast"/>
      <w:jc w:val="both"/>
    </w:pPr>
    <w:rPr>
      <w:rFonts w:cs="宋体"/>
      <w:b w:val="0"/>
      <w:bCs w:val="0"/>
      <w:sz w:val="28"/>
      <w:szCs w:val="20"/>
    </w:rPr>
  </w:style>
  <w:style w:type="paragraph" w:customStyle="1" w:styleId="4fd">
    <w:name w:val="列表4"/>
    <w:basedOn w:val="a"/>
    <w:next w:val="a"/>
    <w:qFormat/>
    <w:pPr>
      <w:spacing w:line="360" w:lineRule="atLeast"/>
    </w:pPr>
    <w:rPr>
      <w:rFonts w:ascii="Times New Roman" w:eastAsia="宋体" w:hAnsi="Times New Roman" w:cs="Times New Roman"/>
      <w:spacing w:val="5"/>
      <w:sz w:val="24"/>
      <w:szCs w:val="20"/>
    </w:rPr>
  </w:style>
  <w:style w:type="paragraph" w:customStyle="1" w:styleId="afffffffffffffffffffffff0">
    <w:name w:val="图编号"/>
    <w:basedOn w:val="affffffffb"/>
    <w:qFormat/>
    <w:pPr>
      <w:tabs>
        <w:tab w:val="left" w:pos="763"/>
        <w:tab w:val="left" w:pos="1440"/>
      </w:tabs>
      <w:spacing w:before="300" w:after="300" w:line="360" w:lineRule="auto"/>
      <w:ind w:leftChars="400" w:left="400" w:hangingChars="200" w:hanging="200"/>
    </w:pPr>
    <w:rPr>
      <w:szCs w:val="20"/>
    </w:rPr>
  </w:style>
  <w:style w:type="paragraph" w:customStyle="1" w:styleId="Char1100">
    <w:name w:val="Char110"/>
    <w:basedOn w:val="a"/>
    <w:qFormat/>
    <w:rPr>
      <w:rFonts w:ascii="Times New Roman" w:eastAsia="宋体" w:hAnsi="Times New Roman" w:cs="Times New Roman"/>
      <w:szCs w:val="21"/>
    </w:rPr>
  </w:style>
  <w:style w:type="paragraph" w:customStyle="1" w:styleId="afffffffffffffffffffffff1">
    <w:name w:val="节以下标题样式"/>
    <w:basedOn w:val="afffffffffffffe"/>
    <w:qFormat/>
    <w:pPr>
      <w:ind w:firstLine="0"/>
    </w:pPr>
  </w:style>
  <w:style w:type="paragraph" w:customStyle="1" w:styleId="afffffffffffffffffffffff2">
    <w:name w:val="表序号"/>
    <w:basedOn w:val="5"/>
    <w:qFormat/>
    <w:pPr>
      <w:keepNext/>
      <w:keepLines/>
      <w:spacing w:before="0" w:line="360" w:lineRule="auto"/>
      <w:ind w:left="0" w:firstLine="0"/>
      <w:jc w:val="center"/>
    </w:pPr>
    <w:rPr>
      <w:rFonts w:ascii="仿宋_GB2312" w:eastAsia="仿宋_GB2312" w:hAnsi="Arial" w:cs="Times New Roman"/>
      <w:b/>
      <w:kern w:val="44"/>
      <w:sz w:val="28"/>
      <w:szCs w:val="20"/>
      <w:lang w:eastAsia="zh-CN"/>
    </w:rPr>
  </w:style>
  <w:style w:type="paragraph" w:customStyle="1" w:styleId="30025">
    <w:name w:val="样式 标题 3 + 左侧:  0 毫米 首行缩进:  0 毫米 行距: 最小值 25 磅"/>
    <w:basedOn w:val="3"/>
    <w:qFormat/>
    <w:pPr>
      <w:keepLines w:val="0"/>
      <w:widowControl w:val="0"/>
      <w:tabs>
        <w:tab w:val="right" w:pos="0"/>
      </w:tabs>
      <w:spacing w:before="0" w:after="0" w:line="500" w:lineRule="atLeast"/>
    </w:pPr>
    <w:rPr>
      <w:b w:val="0"/>
      <w:bCs w:val="0"/>
      <w:kern w:val="2"/>
      <w:sz w:val="28"/>
      <w:szCs w:val="28"/>
    </w:rPr>
  </w:style>
  <w:style w:type="paragraph" w:customStyle="1" w:styleId="afffffffffffffffffffffff3">
    <w:name w:val="图例"/>
    <w:next w:val="a"/>
    <w:qFormat/>
    <w:pPr>
      <w:jc w:val="center"/>
    </w:pPr>
    <w:rPr>
      <w:rFonts w:ascii="Arial" w:eastAsia="宋体" w:hAnsi="Arial" w:cs="Arial"/>
      <w:kern w:val="2"/>
      <w:sz w:val="28"/>
      <w:szCs w:val="28"/>
    </w:rPr>
  </w:style>
  <w:style w:type="paragraph" w:customStyle="1" w:styleId="xl127">
    <w:name w:val="xl127"/>
    <w:basedOn w:val="a"/>
    <w:qFormat/>
    <w:pPr>
      <w:widowControl/>
      <w:pBdr>
        <w:top w:val="single" w:sz="8" w:space="0" w:color="auto"/>
        <w:bottom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xl142">
    <w:name w:val="xl142"/>
    <w:basedOn w:val="a"/>
    <w:qFormat/>
    <w:pPr>
      <w:widowControl/>
      <w:pBdr>
        <w:left w:val="single" w:sz="4" w:space="0" w:color="auto"/>
        <w:bottom w:val="single" w:sz="8" w:space="0" w:color="auto"/>
      </w:pBdr>
      <w:spacing w:before="100" w:beforeAutospacing="1" w:after="100" w:afterAutospacing="1"/>
      <w:jc w:val="center"/>
    </w:pPr>
    <w:rPr>
      <w:rFonts w:ascii="Arial Unicode MS" w:eastAsia="宋体" w:hAnsi="Arial Unicode MS" w:cs="Times New Roman"/>
      <w:kern w:val="0"/>
      <w:sz w:val="16"/>
      <w:szCs w:val="16"/>
    </w:rPr>
  </w:style>
  <w:style w:type="paragraph" w:customStyle="1" w:styleId="xl85">
    <w:name w:val="xl85"/>
    <w:basedOn w:val="a"/>
    <w:qFormat/>
    <w:pPr>
      <w:widowControl/>
      <w:pBdr>
        <w:bottom w:val="single" w:sz="12" w:space="0" w:color="auto"/>
      </w:pBdr>
      <w:spacing w:before="100" w:beforeAutospacing="1" w:after="100" w:afterAutospacing="1"/>
      <w:jc w:val="center"/>
    </w:pPr>
    <w:rPr>
      <w:rFonts w:ascii="Arial Unicode MS" w:eastAsia="宋体" w:hAnsi="Arial Unicode MS" w:cs="Times New Roman"/>
      <w:kern w:val="0"/>
      <w:sz w:val="12"/>
      <w:szCs w:val="12"/>
    </w:rPr>
  </w:style>
  <w:style w:type="paragraph" w:customStyle="1" w:styleId="xl195">
    <w:name w:val="xl195"/>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宋体" w:hAnsi="Arial Unicode MS" w:cs="Times New Roman"/>
      <w:kern w:val="0"/>
      <w:szCs w:val="24"/>
    </w:rPr>
  </w:style>
  <w:style w:type="paragraph" w:customStyle="1" w:styleId="xl146">
    <w:name w:val="xl146"/>
    <w:basedOn w:val="a"/>
    <w:qFormat/>
    <w:pPr>
      <w:widowControl/>
      <w:spacing w:before="100" w:beforeAutospacing="1" w:after="100" w:afterAutospacing="1"/>
      <w:jc w:val="left"/>
    </w:pPr>
    <w:rPr>
      <w:rFonts w:ascii="Arial Unicode MS" w:eastAsia="宋体" w:hAnsi="Arial Unicode MS" w:cs="Times New Roman"/>
      <w:kern w:val="0"/>
      <w:sz w:val="16"/>
      <w:szCs w:val="16"/>
    </w:rPr>
  </w:style>
  <w:style w:type="paragraph" w:customStyle="1" w:styleId="xl86">
    <w:name w:val="xl86"/>
    <w:basedOn w:val="a"/>
    <w:qFormat/>
    <w:pPr>
      <w:widowControl/>
      <w:spacing w:before="100" w:beforeAutospacing="1" w:after="100" w:afterAutospacing="1"/>
      <w:jc w:val="center"/>
    </w:pPr>
    <w:rPr>
      <w:rFonts w:ascii="Arial Unicode MS" w:eastAsia="宋体" w:hAnsi="Arial Unicode MS" w:cs="Times New Roman"/>
      <w:kern w:val="0"/>
      <w:sz w:val="12"/>
      <w:szCs w:val="12"/>
    </w:rPr>
  </w:style>
  <w:style w:type="paragraph" w:customStyle="1" w:styleId="CharCharChar1CharCharCharCharCharChar1CharCharCharCharCharCharCharCharCharChar">
    <w:name w:val="Char Char Char1 Char Char Char Char Char Char1 Char Char Char Char Char Char Char Char Char Char"/>
    <w:basedOn w:val="a"/>
    <w:qFormat/>
    <w:rPr>
      <w:rFonts w:ascii="宋体" w:eastAsia="宋体" w:hAnsi="宋体" w:cs="Times New Roman"/>
      <w:sz w:val="24"/>
      <w:szCs w:val="24"/>
    </w:rPr>
  </w:style>
  <w:style w:type="paragraph" w:customStyle="1" w:styleId="afffffffffffffffffffffff4">
    <w:name w:val="初设正文"/>
    <w:basedOn w:val="a"/>
    <w:qFormat/>
    <w:pPr>
      <w:spacing w:after="120" w:line="440" w:lineRule="exact"/>
      <w:ind w:left="425" w:firstLine="425"/>
    </w:pPr>
    <w:rPr>
      <w:rFonts w:ascii="Arial" w:eastAsia="宋体" w:hAnsi="Arial" w:cs="宋体"/>
      <w:kern w:val="0"/>
      <w:sz w:val="24"/>
      <w:szCs w:val="20"/>
    </w:rPr>
  </w:style>
  <w:style w:type="paragraph" w:customStyle="1" w:styleId="Style62">
    <w:name w:val="_Style 62"/>
    <w:basedOn w:val="a"/>
    <w:qFormat/>
    <w:pPr>
      <w:pageBreakBefore/>
      <w:tabs>
        <w:tab w:val="left" w:pos="360"/>
      </w:tabs>
      <w:snapToGrid w:val="0"/>
      <w:spacing w:line="360" w:lineRule="auto"/>
    </w:pPr>
    <w:rPr>
      <w:rFonts w:ascii="Times New Roman" w:eastAsia="宋体" w:hAnsi="Times New Roman" w:cs="Times New Roman"/>
      <w:szCs w:val="24"/>
    </w:rPr>
  </w:style>
  <w:style w:type="paragraph" w:customStyle="1" w:styleId="201">
    <w:name w:val="20"/>
    <w:qFormat/>
    <w:pPr>
      <w:widowControl w:val="0"/>
      <w:jc w:val="both"/>
    </w:pPr>
    <w:rPr>
      <w:rFonts w:ascii="Times New Roman" w:eastAsia="宋体" w:hAnsi="Times New Roman" w:cs="Times New Roman"/>
      <w:kern w:val="2"/>
      <w:sz w:val="21"/>
      <w:szCs w:val="24"/>
    </w:rPr>
  </w:style>
  <w:style w:type="paragraph" w:customStyle="1" w:styleId="1ffffff0">
    <w:name w:val="正文样式1"/>
    <w:basedOn w:val="a"/>
    <w:qFormat/>
    <w:pPr>
      <w:widowControl/>
      <w:adjustRightInd w:val="0"/>
      <w:spacing w:line="360" w:lineRule="auto"/>
      <w:ind w:firstLineChars="200" w:firstLine="480"/>
      <w:jc w:val="left"/>
      <w:textAlignment w:val="baseline"/>
    </w:pPr>
    <w:rPr>
      <w:rFonts w:ascii="Arial" w:eastAsia="宋体" w:hAnsi="Arial" w:cs="宋体"/>
      <w:kern w:val="0"/>
      <w:sz w:val="24"/>
      <w:szCs w:val="24"/>
    </w:rPr>
  </w:style>
  <w:style w:type="paragraph" w:customStyle="1" w:styleId="afffffffffffffffffffffff5">
    <w:name w:val="四级标题"/>
    <w:qFormat/>
    <w:pPr>
      <w:keepNext/>
      <w:widowControl w:val="0"/>
      <w:adjustRightInd w:val="0"/>
      <w:snapToGrid w:val="0"/>
      <w:jc w:val="center"/>
    </w:pPr>
    <w:rPr>
      <w:rFonts w:ascii="Times New Roman" w:eastAsia="黑体" w:hAnsi="Times New Roman" w:cs="Times New Roman"/>
      <w:spacing w:val="20"/>
      <w:sz w:val="24"/>
    </w:rPr>
  </w:style>
  <w:style w:type="paragraph" w:customStyle="1" w:styleId="afffffffffffffffffffffff6">
    <w:name w:val="预评价二"/>
    <w:basedOn w:val="a"/>
    <w:qFormat/>
    <w:pPr>
      <w:spacing w:line="360" w:lineRule="auto"/>
      <w:ind w:rightChars="-22" w:right="-22"/>
      <w:jc w:val="left"/>
    </w:pPr>
    <w:rPr>
      <w:rFonts w:ascii="宋体" w:eastAsia="楷体_GB2312" w:hAnsi="宋体" w:cs="Times New Roman"/>
      <w:b/>
      <w:bCs/>
      <w:sz w:val="32"/>
      <w:szCs w:val="24"/>
    </w:rPr>
  </w:style>
  <w:style w:type="paragraph" w:customStyle="1" w:styleId="CharChar1CharCharCharChar">
    <w:name w:val="Char Char1 Char Char Char Char"/>
    <w:basedOn w:val="a"/>
    <w:qFormat/>
    <w:rPr>
      <w:rFonts w:ascii="Times New Roman" w:eastAsia="宋体" w:hAnsi="Times New Roman" w:cs="Times New Roman"/>
      <w:sz w:val="24"/>
      <w:szCs w:val="24"/>
    </w:rPr>
  </w:style>
  <w:style w:type="paragraph" w:customStyle="1" w:styleId="book1111">
    <w:name w:val="book1_1_1_1"/>
    <w:basedOn w:val="41"/>
    <w:qFormat/>
    <w:pPr>
      <w:keepLines/>
      <w:tabs>
        <w:tab w:val="left" w:pos="1487"/>
        <w:tab w:val="left" w:pos="1984"/>
      </w:tabs>
      <w:spacing w:beforeLines="50" w:before="156" w:afterLines="50" w:after="156" w:line="400" w:lineRule="exact"/>
      <w:ind w:left="536"/>
      <w:jc w:val="both"/>
    </w:pPr>
    <w:rPr>
      <w:rFonts w:cs="Arial"/>
      <w:bCs/>
      <w:kern w:val="2"/>
      <w:sz w:val="24"/>
      <w:lang w:eastAsia="zh-CN"/>
    </w:rPr>
  </w:style>
  <w:style w:type="paragraph" w:customStyle="1" w:styleId="CharChar1CharCharCharCharCharCharCharCharCharCharCharCharCharCharCharCharCharCharCharChar1Char2">
    <w:name w:val="Char Char1 Char Char Char Char Char Char Char Char Char Char Char Char Char Char Char Char Char Char Char Char1 Char2"/>
    <w:basedOn w:val="a"/>
    <w:qFormat/>
    <w:pPr>
      <w:spacing w:before="60" w:line="360" w:lineRule="auto"/>
      <w:ind w:firstLineChars="200" w:firstLine="200"/>
    </w:pPr>
    <w:rPr>
      <w:rFonts w:ascii="宋体" w:eastAsia="宋体" w:hAnsi="宋体" w:cs="宋体"/>
      <w:sz w:val="24"/>
      <w:szCs w:val="24"/>
    </w:rPr>
  </w:style>
  <w:style w:type="paragraph" w:customStyle="1" w:styleId="CharCharCharCharCharChar6">
    <w:name w:val="Char Char Char Char Char Char6"/>
    <w:basedOn w:val="a"/>
    <w:qFormat/>
    <w:rPr>
      <w:rFonts w:ascii="Times New Roman" w:eastAsia="宋体" w:hAnsi="Times New Roman" w:cs="Times New Roman"/>
      <w:sz w:val="24"/>
      <w:szCs w:val="24"/>
    </w:rPr>
  </w:style>
  <w:style w:type="paragraph" w:customStyle="1" w:styleId="CharCharCharCharCharCharCharCharChar1CharCharCharCharCharChar1Char">
    <w:name w:val="Char Char Char Char Char Char Char Char Char1 Char Char Char Char Char Char1 Char"/>
    <w:basedOn w:val="a"/>
    <w:qFormat/>
    <w:rPr>
      <w:rFonts w:ascii="Times New Roman" w:eastAsia="宋体" w:hAnsi="Times New Roman" w:cs="Times New Roman"/>
      <w:szCs w:val="21"/>
    </w:rPr>
  </w:style>
  <w:style w:type="paragraph" w:customStyle="1" w:styleId="afffffffffffffffffffffff7">
    <w:name w:val="正文仿宋"/>
    <w:basedOn w:val="a"/>
    <w:semiHidden/>
    <w:qFormat/>
    <w:pPr>
      <w:adjustRightInd w:val="0"/>
      <w:snapToGrid w:val="0"/>
      <w:spacing w:line="360" w:lineRule="auto"/>
      <w:ind w:firstLine="567"/>
    </w:pPr>
    <w:rPr>
      <w:rFonts w:ascii="Times New Roman" w:eastAsia="仿宋_GB2312" w:hAnsi="Times New Roman" w:cs="Times New Roman"/>
      <w:kern w:val="0"/>
      <w:sz w:val="24"/>
      <w:szCs w:val="20"/>
    </w:rPr>
  </w:style>
  <w:style w:type="paragraph" w:customStyle="1" w:styleId="2ffffff1">
    <w:name w:val="证书夜内容2"/>
    <w:basedOn w:val="a"/>
    <w:qFormat/>
    <w:pPr>
      <w:spacing w:line="500" w:lineRule="exact"/>
      <w:ind w:firstLineChars="55" w:firstLine="166"/>
      <w:jc w:val="center"/>
    </w:pPr>
    <w:rPr>
      <w:rFonts w:ascii="楷体" w:eastAsia="楷体" w:hAnsi="楷体" w:cs="Times New Roman"/>
      <w:b/>
      <w:bCs/>
      <w:sz w:val="30"/>
      <w:szCs w:val="30"/>
    </w:rPr>
  </w:style>
  <w:style w:type="paragraph" w:customStyle="1" w:styleId="822">
    <w:name w:val="样式 正文(首行缩进) + 8 磅 加粗 首行缩进:  2 字符"/>
    <w:basedOn w:val="a"/>
    <w:semiHidden/>
    <w:qFormat/>
    <w:pPr>
      <w:adjustRightInd w:val="0"/>
      <w:snapToGrid w:val="0"/>
      <w:ind w:firstLineChars="200" w:firstLine="200"/>
    </w:pPr>
    <w:rPr>
      <w:rFonts w:ascii="Times New Roman" w:eastAsia="宋体" w:hAnsi="Times New Roman" w:cs="宋体"/>
      <w:b/>
      <w:bCs/>
      <w:kern w:val="0"/>
      <w:sz w:val="16"/>
      <w:szCs w:val="20"/>
    </w:rPr>
  </w:style>
  <w:style w:type="paragraph" w:customStyle="1" w:styleId="Char2CharCharCharCharChar">
    <w:name w:val="Char2 Char Char Char Char Char"/>
    <w:basedOn w:val="a"/>
    <w:qFormat/>
    <w:rPr>
      <w:rFonts w:ascii="Times New Roman" w:eastAsia="宋体" w:hAnsi="Times New Roman" w:cs="Times New Roman"/>
      <w:sz w:val="24"/>
      <w:szCs w:val="24"/>
    </w:rPr>
  </w:style>
  <w:style w:type="paragraph" w:customStyle="1" w:styleId="254">
    <w:name w:val="样式 四号 行距: 固定值 25 磅"/>
    <w:basedOn w:val="a"/>
    <w:qFormat/>
    <w:pPr>
      <w:spacing w:line="480" w:lineRule="atLeast"/>
      <w:ind w:firstLineChars="200" w:firstLine="200"/>
    </w:pPr>
    <w:rPr>
      <w:rFonts w:ascii="Times New Roman" w:eastAsia="宋体" w:hAnsi="Times New Roman" w:cs="Times New Roman"/>
      <w:sz w:val="24"/>
      <w:szCs w:val="24"/>
    </w:rPr>
  </w:style>
  <w:style w:type="paragraph" w:customStyle="1" w:styleId="002">
    <w:name w:val="标题002"/>
    <w:basedOn w:val="a"/>
    <w:qFormat/>
    <w:pPr>
      <w:spacing w:before="160" w:line="480" w:lineRule="exact"/>
      <w:outlineLvl w:val="1"/>
    </w:pPr>
    <w:rPr>
      <w:rFonts w:ascii="Times New Roman" w:eastAsia="宋体" w:hAnsi="Times New Roman" w:cs="Times New Roman"/>
      <w:b/>
      <w:sz w:val="28"/>
      <w:szCs w:val="20"/>
    </w:rPr>
  </w:style>
  <w:style w:type="paragraph" w:customStyle="1" w:styleId="afffffffffffffffffffffff8">
    <w:name w:val="表中"/>
    <w:semiHidden/>
    <w:qFormat/>
    <w:pPr>
      <w:adjustRightInd w:val="0"/>
      <w:snapToGrid w:val="0"/>
      <w:jc w:val="center"/>
    </w:pPr>
    <w:rPr>
      <w:rFonts w:ascii="Times New Roman" w:eastAsia="宋体" w:hAnsi="Times New Roman" w:cs="Times New Roman"/>
      <w:kern w:val="44"/>
      <w:sz w:val="18"/>
    </w:rPr>
  </w:style>
  <w:style w:type="paragraph" w:customStyle="1" w:styleId="Charfffffffc">
    <w:name w:val="表格文字居中 Char"/>
    <w:basedOn w:val="111"/>
    <w:qFormat/>
    <w:pPr>
      <w:keepNext/>
      <w:widowControl w:val="0"/>
      <w:tabs>
        <w:tab w:val="left" w:pos="628"/>
        <w:tab w:val="left" w:pos="1727"/>
        <w:tab w:val="left" w:pos="1884"/>
        <w:tab w:val="left" w:pos="2660"/>
        <w:tab w:val="left" w:pos="5460"/>
      </w:tabs>
      <w:spacing w:before="100" w:beforeAutospacing="1" w:after="0"/>
      <w:ind w:firstLineChars="0" w:firstLine="0"/>
      <w:jc w:val="center"/>
    </w:pPr>
    <w:rPr>
      <w:rFonts w:ascii="宋体"/>
      <w:bCs/>
      <w:color w:val="000000"/>
    </w:rPr>
  </w:style>
  <w:style w:type="paragraph" w:customStyle="1" w:styleId="22Char11H2Underrubrik1prop2Heading2">
    <w:name w:val="样式 标题 2标题 2 Char节节标题 1.1H2（一）Underrubrik1prop2Heading 2 ..."/>
    <w:basedOn w:val="2"/>
    <w:qFormat/>
    <w:pPr>
      <w:tabs>
        <w:tab w:val="left" w:pos="576"/>
        <w:tab w:val="left" w:pos="932"/>
        <w:tab w:val="left" w:pos="1419"/>
      </w:tabs>
      <w:spacing w:before="0" w:after="0" w:line="360" w:lineRule="auto"/>
      <w:ind w:left="932" w:hanging="567"/>
    </w:pPr>
    <w:rPr>
      <w:rFonts w:ascii="Times New Roman" w:eastAsia="宋体" w:hAnsi="Times New Roman" w:cs="Times New Roman"/>
      <w:bCs w:val="0"/>
      <w:sz w:val="30"/>
      <w:szCs w:val="30"/>
    </w:rPr>
  </w:style>
  <w:style w:type="paragraph" w:customStyle="1" w:styleId="font14">
    <w:name w:val="font14"/>
    <w:basedOn w:val="a"/>
    <w:qFormat/>
    <w:pPr>
      <w:widowControl/>
      <w:spacing w:before="100" w:beforeAutospacing="1" w:after="100" w:afterAutospacing="1"/>
      <w:jc w:val="left"/>
    </w:pPr>
    <w:rPr>
      <w:rFonts w:ascii="宋体" w:eastAsia="宋体" w:hAnsi="宋体" w:cs="宋体"/>
      <w:kern w:val="0"/>
      <w:szCs w:val="21"/>
    </w:rPr>
  </w:style>
  <w:style w:type="paragraph" w:customStyle="1" w:styleId="317">
    <w:name w:val="正文缩进31"/>
    <w:basedOn w:val="a"/>
    <w:qFormat/>
    <w:pPr>
      <w:adjustRightInd w:val="0"/>
      <w:ind w:firstLineChars="200" w:firstLine="420"/>
      <w:textAlignment w:val="baseline"/>
    </w:pPr>
    <w:rPr>
      <w:rFonts w:ascii="Times New Roman" w:eastAsia="宋体" w:hAnsi="宋体" w:cs="Times New Roman" w:hint="eastAsia"/>
      <w:sz w:val="24"/>
      <w:szCs w:val="20"/>
    </w:rPr>
  </w:style>
  <w:style w:type="paragraph" w:customStyle="1" w:styleId="Instll4">
    <w:name w:val="InstÀÀll4"/>
    <w:qFormat/>
    <w:pPr>
      <w:tabs>
        <w:tab w:val="left" w:pos="-720"/>
      </w:tabs>
      <w:suppressAutoHyphens/>
      <w:jc w:val="both"/>
    </w:pPr>
    <w:rPr>
      <w:rFonts w:ascii="Courier" w:eastAsia="宋体" w:hAnsi="Courier" w:cs="Times New Roman"/>
      <w:spacing w:val="-3"/>
      <w:sz w:val="24"/>
      <w:lang w:eastAsia="sv-SE"/>
    </w:rPr>
  </w:style>
  <w:style w:type="paragraph" w:customStyle="1" w:styleId="33Char3CharCharCharCharCharCharCharCharC1">
    <w:name w:val="样式 标题 3标题 3 Char标题 3 Char Char Char Char Char Char Char Char C...1"/>
    <w:basedOn w:val="3"/>
    <w:qFormat/>
    <w:pPr>
      <w:widowControl w:val="0"/>
      <w:tabs>
        <w:tab w:val="left" w:pos="720"/>
        <w:tab w:val="left" w:pos="1418"/>
      </w:tabs>
      <w:spacing w:before="0" w:after="0" w:line="360" w:lineRule="auto"/>
      <w:ind w:left="720" w:hanging="720"/>
      <w:jc w:val="both"/>
    </w:pPr>
    <w:rPr>
      <w:rFonts w:ascii="宋体" w:hAnsi="宋体" w:cs="宋体"/>
      <w:kern w:val="2"/>
      <w:sz w:val="28"/>
      <w:szCs w:val="20"/>
    </w:rPr>
  </w:style>
  <w:style w:type="paragraph" w:customStyle="1" w:styleId="1ffffff1">
    <w:name w:val="內文1階"/>
    <w:basedOn w:val="a"/>
    <w:qFormat/>
    <w:pPr>
      <w:tabs>
        <w:tab w:val="left" w:pos="604"/>
      </w:tabs>
      <w:ind w:left="604" w:hanging="360"/>
      <w:jc w:val="left"/>
    </w:pPr>
    <w:rPr>
      <w:rFonts w:ascii="Times New Roman" w:eastAsia="PMingLiU" w:hAnsi="Times New Roman" w:cs="Times New Roman"/>
      <w:sz w:val="24"/>
      <w:szCs w:val="20"/>
      <w:lang w:eastAsia="zh-TW"/>
    </w:rPr>
  </w:style>
  <w:style w:type="paragraph" w:customStyle="1" w:styleId="11f3">
    <w:name w:val="正文11"/>
    <w:basedOn w:val="a"/>
    <w:qFormat/>
    <w:pPr>
      <w:adjustRightInd w:val="0"/>
      <w:spacing w:before="120" w:after="120" w:line="360" w:lineRule="auto"/>
      <w:ind w:firstLine="539"/>
    </w:pPr>
    <w:rPr>
      <w:rFonts w:ascii="宋体" w:eastAsia="宋体" w:hAnsi="宋体" w:cs="Times New Roman" w:hint="eastAsia"/>
      <w:kern w:val="0"/>
      <w:sz w:val="28"/>
      <w:szCs w:val="24"/>
    </w:rPr>
  </w:style>
  <w:style w:type="paragraph" w:customStyle="1" w:styleId="Web17">
    <w:name w:val="普通 (Web)17"/>
    <w:basedOn w:val="a"/>
    <w:qFormat/>
    <w:pPr>
      <w:widowControl/>
      <w:spacing w:before="100" w:beforeAutospacing="1" w:after="100" w:afterAutospacing="1"/>
      <w:jc w:val="left"/>
    </w:pPr>
    <w:rPr>
      <w:rFonts w:ascii="Arial Unicode MS" w:eastAsia="Times New Roman" w:hAnsi="Arial Unicode MS" w:cs="Times New Roman"/>
      <w:kern w:val="0"/>
      <w:sz w:val="18"/>
      <w:szCs w:val="18"/>
    </w:rPr>
  </w:style>
  <w:style w:type="paragraph" w:customStyle="1" w:styleId="3070925">
    <w:name w:val="样式 标题 3 + 左侧:  0 毫米 悬挂缩进: 7.09 字符 行距: 最小值 25 磅"/>
    <w:basedOn w:val="3"/>
    <w:qFormat/>
    <w:pPr>
      <w:keepLines w:val="0"/>
      <w:widowControl w:val="0"/>
      <w:tabs>
        <w:tab w:val="left" w:pos="1418"/>
      </w:tabs>
      <w:spacing w:before="0" w:after="0" w:line="500" w:lineRule="atLeast"/>
      <w:ind w:left="709" w:hanging="709"/>
      <w:jc w:val="both"/>
    </w:pPr>
    <w:rPr>
      <w:rFonts w:cs="宋体"/>
      <w:b w:val="0"/>
      <w:bCs w:val="0"/>
      <w:sz w:val="28"/>
      <w:szCs w:val="20"/>
    </w:rPr>
  </w:style>
  <w:style w:type="paragraph" w:customStyle="1" w:styleId="afffffffffffffffffffffff9">
    <w:name w:val="标准条文"/>
    <w:basedOn w:val="Default"/>
    <w:next w:val="Default"/>
    <w:qFormat/>
    <w:rPr>
      <w:rFonts w:hAnsi="Times New Roman" w:cs="Times New Roman"/>
      <w:color w:val="auto"/>
    </w:rPr>
  </w:style>
  <w:style w:type="paragraph" w:customStyle="1" w:styleId="pt9">
    <w:name w:val="pt9"/>
    <w:basedOn w:val="a"/>
    <w:qFormat/>
    <w:pPr>
      <w:widowControl/>
      <w:spacing w:before="100" w:beforeAutospacing="1" w:after="100" w:afterAutospacing="1"/>
      <w:jc w:val="left"/>
    </w:pPr>
    <w:rPr>
      <w:rFonts w:ascii="Times New Roman" w:eastAsia="宋体" w:hAnsi="Times New Roman" w:cs="Times New Roman"/>
      <w:color w:val="000000"/>
      <w:kern w:val="0"/>
      <w:sz w:val="18"/>
      <w:szCs w:val="1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07715">
    <w:name w:val="样式 首行缩进:  0.77 厘米 行距: 1.5 倍行距"/>
    <w:basedOn w:val="a"/>
    <w:qFormat/>
    <w:pPr>
      <w:spacing w:line="360" w:lineRule="auto"/>
      <w:ind w:firstLine="435"/>
    </w:pPr>
    <w:rPr>
      <w:rFonts w:ascii="宋体" w:eastAsia="宋体" w:hAnsi="宋体" w:cs="宋体"/>
      <w:kern w:val="0"/>
      <w:sz w:val="24"/>
      <w:szCs w:val="24"/>
    </w:rPr>
  </w:style>
  <w:style w:type="paragraph" w:customStyle="1" w:styleId="afffffffffffffffffffffffa">
    <w:name w:val="表前文"/>
    <w:basedOn w:val="a"/>
    <w:qFormat/>
    <w:pPr>
      <w:adjustRightInd w:val="0"/>
      <w:spacing w:after="120" w:line="360" w:lineRule="auto"/>
      <w:ind w:firstLine="493"/>
      <w:textAlignment w:val="baseline"/>
    </w:pPr>
    <w:rPr>
      <w:rFonts w:ascii="Times New Roman" w:eastAsia="宋体" w:hAnsi="Times New Roman" w:cs="Times New Roman"/>
      <w:kern w:val="0"/>
      <w:sz w:val="24"/>
      <w:szCs w:val="24"/>
    </w:rPr>
  </w:style>
  <w:style w:type="paragraph" w:customStyle="1" w:styleId="gb1">
    <w:name w:val="gb1"/>
    <w:basedOn w:val="a"/>
    <w:qFormat/>
    <w:pPr>
      <w:widowControl/>
      <w:tabs>
        <w:tab w:val="left" w:pos="227"/>
      </w:tabs>
      <w:overflowPunct w:val="0"/>
      <w:autoSpaceDE w:val="0"/>
      <w:autoSpaceDN w:val="0"/>
      <w:adjustRightInd w:val="0"/>
      <w:spacing w:before="120" w:after="120"/>
      <w:jc w:val="left"/>
      <w:textAlignment w:val="baseline"/>
    </w:pPr>
    <w:rPr>
      <w:rFonts w:ascii="Arial" w:eastAsia="仿宋体" w:hAnsi="Arial" w:cs="Arial"/>
      <w:kern w:val="0"/>
      <w:sz w:val="20"/>
      <w:szCs w:val="24"/>
    </w:rPr>
  </w:style>
  <w:style w:type="paragraph" w:customStyle="1" w:styleId="CM15">
    <w:name w:val="CM15"/>
    <w:basedOn w:val="Default"/>
    <w:next w:val="Default"/>
    <w:qFormat/>
    <w:pPr>
      <w:spacing w:line="440" w:lineRule="atLeast"/>
    </w:pPr>
    <w:rPr>
      <w:rFonts w:ascii="楷体_GB2312" w:eastAsia="楷体_GB2312" w:hAnsi="Times New Roman" w:cs="Times New Roman"/>
      <w:color w:val="auto"/>
    </w:rPr>
  </w:style>
  <w:style w:type="paragraph" w:customStyle="1" w:styleId="074">
    <w:name w:val="样式 表文字 + 首行缩进:  0.74 厘米"/>
    <w:basedOn w:val="afffffa"/>
    <w:qFormat/>
    <w:pPr>
      <w:widowControl w:val="0"/>
      <w:jc w:val="both"/>
    </w:pPr>
    <w:rPr>
      <w:rFonts w:ascii="Times New Roman" w:hAnsi="Times New Roman"/>
      <w:szCs w:val="20"/>
    </w:rPr>
  </w:style>
  <w:style w:type="paragraph" w:customStyle="1" w:styleId="1ffffff2">
    <w:name w:val="样式1.....表格"/>
    <w:basedOn w:val="a"/>
    <w:next w:val="a"/>
    <w:qFormat/>
    <w:pPr>
      <w:widowControl/>
      <w:jc w:val="center"/>
    </w:pPr>
    <w:rPr>
      <w:rFonts w:ascii="宋体" w:eastAsia="宋体" w:hAnsi="宋体" w:cs="宋体"/>
      <w:kern w:val="0"/>
      <w:sz w:val="24"/>
      <w:szCs w:val="24"/>
    </w:rPr>
  </w:style>
  <w:style w:type="paragraph" w:customStyle="1" w:styleId="afffffffffffffffffffffffb">
    <w:name w:val="表前文字"/>
    <w:basedOn w:val="a"/>
    <w:qFormat/>
    <w:pPr>
      <w:jc w:val="center"/>
    </w:pPr>
    <w:rPr>
      <w:rFonts w:ascii="宋体" w:eastAsia="宋体" w:hAnsi="宋体" w:cs="Times New Roman"/>
      <w:sz w:val="24"/>
      <w:szCs w:val="21"/>
    </w:rPr>
  </w:style>
  <w:style w:type="paragraph" w:customStyle="1" w:styleId="CharCharCharCharCharCharCharCharCharCharChar0">
    <w:name w:val="Char Char Char Char Char Char Char Char Char Char Char"/>
    <w:basedOn w:val="a"/>
    <w:qFormat/>
    <w:rPr>
      <w:rFonts w:ascii="Times New Roman" w:eastAsia="宋体" w:hAnsi="Times New Roman" w:cs="Times New Roman"/>
      <w:sz w:val="24"/>
      <w:szCs w:val="24"/>
    </w:rPr>
  </w:style>
  <w:style w:type="paragraph" w:customStyle="1" w:styleId="229">
    <w:name w:val="样式 样式 首行缩进 + 四号 首行缩进:  2 字符 + 首行缩进:  2 字符"/>
    <w:basedOn w:val="2ffffff2"/>
    <w:qFormat/>
    <w:pPr>
      <w:jc w:val="left"/>
    </w:pPr>
    <w:rPr>
      <w:rFonts w:ascii="仿宋_GB2312" w:eastAsia="仿宋_GB2312" w:cs="宋体"/>
    </w:rPr>
  </w:style>
  <w:style w:type="paragraph" w:customStyle="1" w:styleId="2ffffff2">
    <w:name w:val="样式 首行缩进 + 四号 首行缩进:  2 字符"/>
    <w:basedOn w:val="affffffffff1"/>
    <w:qFormat/>
    <w:pPr>
      <w:snapToGrid w:val="0"/>
      <w:ind w:firstLine="560"/>
    </w:pPr>
    <w:rPr>
      <w:sz w:val="28"/>
      <w:szCs w:val="20"/>
      <w:lang w:val="en-GB"/>
    </w:rPr>
  </w:style>
  <w:style w:type="paragraph" w:customStyle="1" w:styleId="21f">
    <w:name w:val="正文文本 21"/>
    <w:basedOn w:val="a"/>
    <w:qFormat/>
    <w:pPr>
      <w:autoSpaceDE w:val="0"/>
      <w:autoSpaceDN w:val="0"/>
      <w:adjustRightInd w:val="0"/>
      <w:spacing w:line="360" w:lineRule="atLeast"/>
      <w:ind w:firstLine="425"/>
      <w:textAlignment w:val="baseline"/>
    </w:pPr>
    <w:rPr>
      <w:rFonts w:ascii="宋体" w:eastAsia="宋体" w:hAnsi="Tms Rmn" w:cs="Times New Roman"/>
      <w:kern w:val="0"/>
      <w:sz w:val="28"/>
      <w:szCs w:val="20"/>
    </w:rPr>
  </w:style>
  <w:style w:type="paragraph" w:customStyle="1" w:styleId="Char1CharCharCharCharCharChar2">
    <w:name w:val="Char1 Char Char Char Char Char Char2"/>
    <w:basedOn w:val="a"/>
    <w:qFormat/>
    <w:pPr>
      <w:spacing w:line="360" w:lineRule="auto"/>
      <w:ind w:firstLineChars="200" w:firstLine="200"/>
    </w:pPr>
    <w:rPr>
      <w:rFonts w:ascii="宋体" w:eastAsia="宋体" w:hAnsi="宋体" w:cs="宋体"/>
      <w:sz w:val="24"/>
      <w:szCs w:val="24"/>
    </w:rPr>
  </w:style>
  <w:style w:type="paragraph" w:customStyle="1" w:styleId="afffffffffffffffffffffffc">
    <w:name w:val="流程"/>
    <w:basedOn w:val="a"/>
    <w:qFormat/>
    <w:pPr>
      <w:topLinePunct/>
      <w:adjustRightInd w:val="0"/>
      <w:snapToGrid w:val="0"/>
      <w:jc w:val="center"/>
    </w:pPr>
    <w:rPr>
      <w:rFonts w:ascii="Times New Roman" w:eastAsia="宋体" w:hAnsi="Times New Roman" w:cs="宋体"/>
      <w:bCs/>
      <w:color w:val="000000"/>
      <w:szCs w:val="20"/>
    </w:rPr>
  </w:style>
  <w:style w:type="paragraph" w:customStyle="1" w:styleId="CharCharCharCharCharCharCharCharCharCharChar1CharCharCharChar">
    <w:name w:val="Char Char Char Char Char Char Char Char Char Char Char1 Char Char Char Char"/>
    <w:basedOn w:val="a"/>
    <w:qFormat/>
    <w:rPr>
      <w:rFonts w:ascii="Times New Roman" w:eastAsia="宋体" w:hAnsi="Times New Roman" w:cs="Times New Roman"/>
      <w:sz w:val="24"/>
      <w:szCs w:val="24"/>
    </w:rPr>
  </w:style>
  <w:style w:type="paragraph" w:customStyle="1" w:styleId="afffffffffffffffffffffffd">
    <w:name w:val="节标题单学凯"/>
    <w:basedOn w:val="2"/>
    <w:qFormat/>
    <w:pPr>
      <w:tabs>
        <w:tab w:val="left" w:pos="1419"/>
      </w:tabs>
      <w:adjustRightInd w:val="0"/>
      <w:snapToGrid w:val="0"/>
      <w:spacing w:before="0" w:after="0" w:line="360" w:lineRule="auto"/>
    </w:pPr>
    <w:rPr>
      <w:rFonts w:ascii="黑体" w:eastAsia="宋体" w:hAnsi="Arial" w:cs="Times New Roman"/>
      <w:kern w:val="0"/>
      <w:sz w:val="30"/>
      <w:szCs w:val="28"/>
    </w:rPr>
  </w:style>
  <w:style w:type="paragraph" w:customStyle="1" w:styleId="3250">
    <w:name w:val="样式 标题 3 + 字距调整二号 行距: 最小值 25 磅"/>
    <w:basedOn w:val="3"/>
    <w:qFormat/>
    <w:pPr>
      <w:keepLines w:val="0"/>
      <w:widowControl w:val="0"/>
      <w:tabs>
        <w:tab w:val="left" w:pos="0"/>
        <w:tab w:val="left" w:pos="1418"/>
      </w:tabs>
      <w:spacing w:before="0" w:after="0" w:line="500" w:lineRule="atLeast"/>
      <w:jc w:val="both"/>
    </w:pPr>
    <w:rPr>
      <w:rFonts w:cs="宋体"/>
      <w:b w:val="0"/>
      <w:bCs w:val="0"/>
      <w:kern w:val="44"/>
      <w:sz w:val="28"/>
      <w:szCs w:val="20"/>
    </w:rPr>
  </w:style>
  <w:style w:type="paragraph" w:customStyle="1" w:styleId="afffffffffffffffffffffffe">
    <w:name w:val="能评章节"/>
    <w:basedOn w:val="affffffffffffffffffffffff"/>
    <w:qFormat/>
    <w:rPr>
      <w:kern w:val="4"/>
    </w:rPr>
  </w:style>
  <w:style w:type="paragraph" w:customStyle="1" w:styleId="affffffffffffffffffffffff">
    <w:name w:val="样式 加粗 居中"/>
    <w:basedOn w:val="a"/>
    <w:qFormat/>
    <w:pPr>
      <w:keepNext/>
      <w:pageBreakBefore/>
      <w:tabs>
        <w:tab w:val="left" w:pos="930"/>
      </w:tabs>
      <w:spacing w:line="720" w:lineRule="auto"/>
      <w:ind w:left="760" w:hanging="283"/>
      <w:jc w:val="center"/>
    </w:pPr>
    <w:rPr>
      <w:rFonts w:ascii="Times New Roman" w:eastAsia="宋体" w:hAnsi="Times New Roman" w:cs="宋体"/>
      <w:b/>
      <w:bCs/>
      <w:sz w:val="30"/>
      <w:szCs w:val="30"/>
    </w:rPr>
  </w:style>
  <w:style w:type="paragraph" w:customStyle="1" w:styleId="03">
    <w:name w:val="表格03"/>
    <w:basedOn w:val="a"/>
    <w:qFormat/>
    <w:pPr>
      <w:spacing w:line="400" w:lineRule="exact"/>
      <w:jc w:val="center"/>
    </w:pPr>
    <w:rPr>
      <w:rFonts w:ascii="Times New Roman" w:eastAsia="宋体" w:hAnsi="Times New Roman" w:cs="Times New Roman"/>
      <w:szCs w:val="20"/>
    </w:rPr>
  </w:style>
  <w:style w:type="paragraph" w:customStyle="1" w:styleId="300251">
    <w:name w:val="样式 标题 3 + 左侧:  0 毫米 首行缩进:  0 毫米 行距: 最小值 25 磅1"/>
    <w:basedOn w:val="3"/>
    <w:qFormat/>
    <w:pPr>
      <w:keepLines w:val="0"/>
      <w:widowControl w:val="0"/>
      <w:tabs>
        <w:tab w:val="left" w:pos="1418"/>
      </w:tabs>
      <w:spacing w:before="0" w:after="0" w:line="500" w:lineRule="atLeast"/>
      <w:jc w:val="both"/>
    </w:pPr>
    <w:rPr>
      <w:rFonts w:cs="宋体"/>
      <w:b w:val="0"/>
      <w:bCs w:val="0"/>
      <w:kern w:val="2"/>
      <w:sz w:val="28"/>
      <w:szCs w:val="20"/>
    </w:rPr>
  </w:style>
  <w:style w:type="paragraph" w:customStyle="1" w:styleId="NormalIndent2">
    <w:name w:val="Normal Indent2"/>
    <w:basedOn w:val="a"/>
    <w:qFormat/>
    <w:pPr>
      <w:adjustRightInd w:val="0"/>
      <w:ind w:firstLineChars="200" w:firstLine="420"/>
      <w:textAlignment w:val="baseline"/>
    </w:pPr>
    <w:rPr>
      <w:rFonts w:ascii="Times New Roman" w:eastAsia="宋体" w:hAnsi="宋体" w:cs="Times New Roman" w:hint="eastAsia"/>
      <w:sz w:val="24"/>
      <w:szCs w:val="20"/>
    </w:rPr>
  </w:style>
  <w:style w:type="paragraph" w:customStyle="1" w:styleId="aa1">
    <w:name w:val="aa"/>
    <w:basedOn w:val="a"/>
    <w:qFormat/>
    <w:pPr>
      <w:widowControl/>
      <w:spacing w:before="100" w:beforeAutospacing="1" w:after="100" w:afterAutospacing="1"/>
      <w:jc w:val="left"/>
    </w:pPr>
    <w:rPr>
      <w:rFonts w:ascii="Arial" w:eastAsia="宋体" w:hAnsi="Arial" w:cs="Arial"/>
      <w:kern w:val="0"/>
      <w:sz w:val="18"/>
      <w:szCs w:val="18"/>
    </w:rPr>
  </w:style>
  <w:style w:type="paragraph" w:customStyle="1" w:styleId="affffffffffffffffffffffff0">
    <w:name w:val="字元"/>
    <w:basedOn w:val="a"/>
    <w:qFormat/>
    <w:rPr>
      <w:rFonts w:ascii="Times New Roman" w:eastAsia="宋体" w:hAnsi="Times New Roman" w:cs="Times New Roman"/>
      <w:sz w:val="24"/>
      <w:szCs w:val="24"/>
    </w:rPr>
  </w:style>
  <w:style w:type="paragraph" w:customStyle="1" w:styleId="Instll3">
    <w:name w:val="InstÀÀll3"/>
    <w:qFormat/>
    <w:pPr>
      <w:tabs>
        <w:tab w:val="left" w:pos="-720"/>
      </w:tabs>
      <w:suppressAutoHyphens/>
      <w:jc w:val="both"/>
    </w:pPr>
    <w:rPr>
      <w:rFonts w:ascii="Courier" w:eastAsia="宋体" w:hAnsi="Courier" w:cs="Times New Roman"/>
      <w:spacing w:val="-3"/>
      <w:sz w:val="24"/>
      <w:lang w:eastAsia="sv-SE"/>
    </w:rPr>
  </w:style>
  <w:style w:type="paragraph" w:customStyle="1" w:styleId="CharCharCharCharCharCharCharCharCharCharCharCharCharCharCharChar">
    <w:name w:val="Char Char Char Char Char Char Char Char Char Char Char Char Char Char Char Char"/>
    <w:basedOn w:val="a"/>
    <w:qFormat/>
    <w:rPr>
      <w:rFonts w:ascii="Times New Roman" w:eastAsia="宋体" w:hAnsi="Times New Roman" w:cs="Times New Roman"/>
      <w:szCs w:val="24"/>
    </w:rPr>
  </w:style>
  <w:style w:type="paragraph" w:customStyle="1" w:styleId="CharChar1Char0">
    <w:name w:val="Char Char1 Char"/>
    <w:basedOn w:val="a"/>
    <w:qFormat/>
    <w:rPr>
      <w:rFonts w:ascii="Times New Roman" w:eastAsia="宋体" w:hAnsi="Times New Roman" w:cs="Times New Roman"/>
      <w:sz w:val="24"/>
      <w:szCs w:val="24"/>
    </w:rPr>
  </w:style>
  <w:style w:type="paragraph" w:customStyle="1" w:styleId="Date3">
    <w:name w:val="Date3"/>
    <w:basedOn w:val="a"/>
    <w:next w:val="a"/>
    <w:qFormat/>
    <w:pPr>
      <w:adjustRightInd w:val="0"/>
      <w:textAlignment w:val="baseline"/>
    </w:pPr>
    <w:rPr>
      <w:rFonts w:ascii="Times New Roman" w:eastAsia="宋体" w:hAnsi="Times New Roman" w:cs="Times New Roman"/>
      <w:szCs w:val="20"/>
    </w:rPr>
  </w:style>
  <w:style w:type="paragraph" w:customStyle="1" w:styleId="affffffffffffffffffffffff1">
    <w:name w:val="段标题"/>
    <w:basedOn w:val="a"/>
    <w:qFormat/>
    <w:pPr>
      <w:spacing w:line="360" w:lineRule="auto"/>
    </w:pPr>
    <w:rPr>
      <w:rFonts w:ascii="Times New Roman" w:eastAsia="楷体_GB2312" w:hAnsi="Times New Roman" w:cs="Times New Roman"/>
      <w:bCs/>
      <w:sz w:val="30"/>
      <w:szCs w:val="30"/>
    </w:rPr>
  </w:style>
  <w:style w:type="paragraph" w:customStyle="1" w:styleId="CharCharCharCharCharCharCharCharChar1CharCharChar1Char">
    <w:name w:val="Char Char Char Char Char Char Char Char Char1 Char Char Char1 Char"/>
    <w:basedOn w:val="a"/>
    <w:qFormat/>
    <w:pPr>
      <w:spacing w:line="360" w:lineRule="auto"/>
      <w:ind w:firstLineChars="200" w:firstLine="200"/>
    </w:pPr>
    <w:rPr>
      <w:rFonts w:ascii="宋体" w:eastAsia="宋体" w:hAnsi="宋体" w:cs="宋体"/>
      <w:sz w:val="24"/>
      <w:szCs w:val="24"/>
    </w:rPr>
  </w:style>
  <w:style w:type="paragraph" w:customStyle="1" w:styleId="affffffffffffffffffffffff2">
    <w:name w:val="高段文"/>
    <w:basedOn w:val="a"/>
    <w:qFormat/>
    <w:pPr>
      <w:spacing w:line="300" w:lineRule="auto"/>
      <w:ind w:firstLineChars="200" w:firstLine="200"/>
    </w:pPr>
    <w:rPr>
      <w:rFonts w:ascii="Arial" w:eastAsia="楷体_GB2312" w:hAnsi="Arial" w:cs="Times New Roman"/>
      <w:sz w:val="28"/>
      <w:szCs w:val="28"/>
    </w:rPr>
  </w:style>
  <w:style w:type="paragraph" w:customStyle="1" w:styleId="2H22CharChar11Underrubrik1prop2Heading10">
    <w:name w:val="样式 样式 样式 标题 2H2标题 2 Char Char节标题 1.1（一）Underrubrik1prop2Heading....1"/>
    <w:basedOn w:val="2H22CharChar11Underrubrik1prop2Heading"/>
    <w:qFormat/>
    <w:pPr>
      <w:spacing w:before="166" w:after="166"/>
    </w:pPr>
    <w:rPr>
      <w:szCs w:val="20"/>
    </w:rPr>
  </w:style>
  <w:style w:type="paragraph" w:customStyle="1" w:styleId="1Charf7">
    <w:name w:val="1 Char"/>
    <w:basedOn w:val="a"/>
    <w:qFormat/>
    <w:rPr>
      <w:rFonts w:ascii="Times New Roman" w:eastAsia="宋体" w:hAnsi="Times New Roman" w:cs="Times New Roman"/>
      <w:sz w:val="24"/>
      <w:szCs w:val="24"/>
    </w:rPr>
  </w:style>
  <w:style w:type="paragraph" w:customStyle="1" w:styleId="affffffffffffffffffffffff3">
    <w:name w:val="表格的文字"/>
    <w:basedOn w:val="a"/>
    <w:qFormat/>
    <w:pPr>
      <w:spacing w:line="300" w:lineRule="exact"/>
      <w:jc w:val="center"/>
    </w:pPr>
    <w:rPr>
      <w:rFonts w:ascii="仿宋_GB2312" w:eastAsia="仿宋_GB2312" w:hAnsi="Times New Roman" w:cs="Times New Roman"/>
      <w:bCs/>
      <w:szCs w:val="20"/>
    </w:rPr>
  </w:style>
  <w:style w:type="paragraph" w:customStyle="1" w:styleId="CharCharChar1CharCharCharCharCharCharCharCharCharCharCharCharCharCharCharChar">
    <w:name w:val="Char Char Char1 Char Char Char Char Char Char Char Char Char Char Char Char Char Char Char Char"/>
    <w:basedOn w:val="a"/>
    <w:qFormat/>
    <w:pPr>
      <w:spacing w:line="360" w:lineRule="auto"/>
      <w:ind w:firstLineChars="200" w:firstLine="200"/>
    </w:pPr>
    <w:rPr>
      <w:rFonts w:ascii="宋体" w:eastAsia="宋体" w:hAnsi="宋体" w:cs="宋体"/>
      <w:sz w:val="24"/>
      <w:szCs w:val="21"/>
    </w:rPr>
  </w:style>
  <w:style w:type="paragraph" w:customStyle="1" w:styleId="CharChar6CharCharCharChar1">
    <w:name w:val="Char Char6 Char Char Char Char1"/>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3CharCharCharChar0">
    <w:name w:val="样式 标题 3 + 黑色 Char Char Char Char"/>
    <w:basedOn w:val="3"/>
    <w:qFormat/>
    <w:pPr>
      <w:keepNext w:val="0"/>
      <w:keepLines w:val="0"/>
      <w:widowControl w:val="0"/>
      <w:tabs>
        <w:tab w:val="left" w:pos="993"/>
        <w:tab w:val="left" w:pos="1260"/>
        <w:tab w:val="left" w:pos="1418"/>
      </w:tabs>
      <w:adjustRightInd w:val="0"/>
      <w:snapToGrid w:val="0"/>
      <w:spacing w:before="0" w:after="0" w:line="500" w:lineRule="exact"/>
      <w:jc w:val="both"/>
      <w:outlineLvl w:val="9"/>
    </w:pPr>
    <w:rPr>
      <w:b w:val="0"/>
      <w:color w:val="000000"/>
      <w:kern w:val="2"/>
      <w:sz w:val="28"/>
    </w:rPr>
  </w:style>
  <w:style w:type="paragraph" w:customStyle="1" w:styleId="CharCharCharCharCharChar1CharCharCharChar">
    <w:name w:val="Char Char Char Char Char Char1 Char Char Char Char"/>
    <w:basedOn w:val="a"/>
    <w:qFormat/>
    <w:rPr>
      <w:rFonts w:ascii="Times New Roman" w:eastAsia="宋体" w:hAnsi="Times New Roman" w:cs="Times New Roman"/>
      <w:sz w:val="24"/>
      <w:szCs w:val="24"/>
    </w:rPr>
  </w:style>
  <w:style w:type="paragraph" w:customStyle="1" w:styleId="1ffffff3">
    <w:name w:val="报告1"/>
    <w:basedOn w:val="affffffffff5"/>
    <w:qFormat/>
    <w:pPr>
      <w:overflowPunct/>
      <w:autoSpaceDE/>
      <w:autoSpaceDN/>
      <w:spacing w:beforeLines="0" w:before="0" w:afterLines="0" w:after="0" w:line="360" w:lineRule="auto"/>
      <w:ind w:rightChars="0" w:right="0" w:firstLineChars="0" w:firstLine="505"/>
      <w:textAlignment w:val="baseline"/>
    </w:pPr>
    <w:rPr>
      <w:kern w:val="24"/>
    </w:rPr>
  </w:style>
  <w:style w:type="paragraph" w:customStyle="1" w:styleId="mp">
    <w:name w:val="mp"/>
    <w:basedOn w:val="a"/>
    <w:qFormat/>
    <w:pPr>
      <w:widowControl/>
      <w:spacing w:before="100" w:beforeAutospacing="1" w:after="100" w:afterAutospacing="1" w:line="400" w:lineRule="atLeast"/>
      <w:ind w:firstLine="360"/>
    </w:pPr>
    <w:rPr>
      <w:rFonts w:ascii="ˎ̥" w:eastAsia="宋体" w:hAnsi="ˎ̥" w:cs="宋体"/>
      <w:color w:val="454D63"/>
      <w:kern w:val="0"/>
      <w:sz w:val="24"/>
      <w:szCs w:val="24"/>
    </w:rPr>
  </w:style>
  <w:style w:type="paragraph" w:customStyle="1" w:styleId="defaultfont">
    <w:name w:val="defaultfont"/>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21051">
    <w:name w:val="样式 标题 2节 + 段前: 1 行 段后: 0.5 行1"/>
    <w:basedOn w:val="a"/>
    <w:qFormat/>
    <w:pPr>
      <w:tabs>
        <w:tab w:val="left" w:pos="720"/>
      </w:tabs>
    </w:pPr>
    <w:rPr>
      <w:rFonts w:ascii="Times New Roman" w:eastAsia="宋体" w:hAnsi="Times New Roman" w:cs="Times New Roman"/>
      <w:szCs w:val="20"/>
    </w:rPr>
  </w:style>
  <w:style w:type="paragraph" w:customStyle="1" w:styleId="Normal3">
    <w:name w:val="Normal3"/>
    <w:qFormat/>
    <w:pPr>
      <w:widowControl w:val="0"/>
      <w:tabs>
        <w:tab w:val="left" w:pos="567"/>
      </w:tabs>
      <w:adjustRightInd w:val="0"/>
      <w:spacing w:line="360" w:lineRule="atLeast"/>
      <w:jc w:val="both"/>
      <w:textAlignment w:val="baseline"/>
    </w:pPr>
    <w:rPr>
      <w:rFonts w:ascii="Times New Roman" w:eastAsia="PMingLiU" w:hAnsi="Courier" w:cs="Times New Roman"/>
      <w:sz w:val="24"/>
      <w:lang w:eastAsia="zh-TW"/>
    </w:rPr>
  </w:style>
  <w:style w:type="paragraph" w:customStyle="1" w:styleId="1ffffff4">
    <w:name w:val="样式 标题 1 + 两端对齐"/>
    <w:basedOn w:val="1"/>
    <w:qFormat/>
    <w:pPr>
      <w:pageBreakBefore/>
      <w:widowControl/>
      <w:tabs>
        <w:tab w:val="left" w:pos="420"/>
        <w:tab w:val="left" w:pos="425"/>
      </w:tabs>
      <w:adjustRightInd w:val="0"/>
      <w:snapToGrid w:val="0"/>
      <w:spacing w:before="0" w:line="300" w:lineRule="auto"/>
      <w:ind w:left="0"/>
      <w:jc w:val="center"/>
    </w:pPr>
    <w:rPr>
      <w:rFonts w:ascii="仿宋_GB2312" w:eastAsia="仿宋_GB2312" w:cs="宋体"/>
      <w:b w:val="0"/>
      <w:bCs w:val="0"/>
      <w:sz w:val="32"/>
      <w:szCs w:val="32"/>
      <w:lang w:eastAsia="zh-CN"/>
    </w:rPr>
  </w:style>
  <w:style w:type="paragraph" w:customStyle="1" w:styleId="ParaCharCharChar1CharCharCharChar">
    <w:name w:val="默认段落字体 Para Char Char Char1 Char Char Char Char"/>
    <w:basedOn w:val="a"/>
    <w:qFormat/>
    <w:rPr>
      <w:rFonts w:ascii="Times New Roman" w:eastAsia="宋体" w:hAnsi="Times New Roman" w:cs="Times New Roman"/>
      <w:sz w:val="24"/>
      <w:szCs w:val="24"/>
    </w:rPr>
  </w:style>
  <w:style w:type="paragraph" w:customStyle="1" w:styleId="Web6">
    <w:name w:val="普通(Web)6"/>
    <w:basedOn w:val="a"/>
    <w:qFormat/>
    <w:pPr>
      <w:widowControl/>
      <w:jc w:val="left"/>
    </w:pPr>
    <w:rPr>
      <w:rFonts w:ascii="宋体" w:eastAsia="宋体" w:hAnsi="宋体" w:cs="宋体"/>
      <w:kern w:val="0"/>
      <w:szCs w:val="21"/>
    </w:rPr>
  </w:style>
  <w:style w:type="paragraph" w:customStyle="1" w:styleId="affffffffffffffffffffffff4">
    <w:name w:val="表下（注）"/>
    <w:basedOn w:val="lulu"/>
    <w:qFormat/>
    <w:pPr>
      <w:spacing w:line="320" w:lineRule="exact"/>
      <w:ind w:firstLineChars="0" w:firstLine="0"/>
    </w:pPr>
    <w:rPr>
      <w:rFonts w:eastAsia="仿宋_GB2312" w:cs="Times New Roman"/>
      <w:kern w:val="0"/>
      <w:sz w:val="21"/>
      <w:szCs w:val="20"/>
      <w:lang w:val="zh-CN"/>
    </w:rPr>
  </w:style>
  <w:style w:type="paragraph" w:customStyle="1" w:styleId="6CharChar0">
    <w:name w:val="目录 6 Char Char"/>
    <w:basedOn w:val="a"/>
    <w:next w:val="a"/>
    <w:qFormat/>
    <w:pPr>
      <w:spacing w:line="351" w:lineRule="atLeast"/>
      <w:ind w:left="1048" w:firstLine="419"/>
      <w:jc w:val="left"/>
    </w:pPr>
    <w:rPr>
      <w:rFonts w:ascii="Times New Roman" w:eastAsia="宋体" w:hAnsi="Times New Roman" w:cs="Times New Roman" w:hint="eastAsia"/>
      <w:szCs w:val="20"/>
    </w:rPr>
  </w:style>
  <w:style w:type="paragraph" w:customStyle="1" w:styleId="CharCharChar2Char0">
    <w:name w:val="Char Char Char2 Char"/>
    <w:basedOn w:val="a"/>
    <w:semiHidden/>
    <w:qFormat/>
    <w:pPr>
      <w:tabs>
        <w:tab w:val="left" w:pos="360"/>
      </w:tabs>
    </w:pPr>
    <w:rPr>
      <w:rFonts w:ascii="Times New Roman" w:eastAsia="宋体" w:hAnsi="Times New Roman" w:cs="Times New Roman"/>
      <w:szCs w:val="24"/>
    </w:rPr>
  </w:style>
  <w:style w:type="paragraph" w:customStyle="1" w:styleId="311111111112111311111111">
    <w:name w:val="样式 标题 3条标题1.1.1条标题1.1.11条标题1.1.12条标题1.1.13条标题1.1.111条标题1.1...1"/>
    <w:basedOn w:val="3"/>
    <w:qFormat/>
    <w:pPr>
      <w:widowControl w:val="0"/>
      <w:tabs>
        <w:tab w:val="left" w:pos="1418"/>
      </w:tabs>
      <w:spacing w:before="0" w:after="0" w:line="500" w:lineRule="exact"/>
      <w:jc w:val="both"/>
    </w:pPr>
    <w:rPr>
      <w:rFonts w:ascii="宋体" w:hAnsi="宋体"/>
      <w:bCs w:val="0"/>
      <w:kern w:val="2"/>
      <w:sz w:val="28"/>
      <w:szCs w:val="20"/>
    </w:rPr>
  </w:style>
  <w:style w:type="paragraph" w:customStyle="1" w:styleId="CM75">
    <w:name w:val="CM75"/>
    <w:basedOn w:val="a"/>
    <w:next w:val="a"/>
    <w:qFormat/>
    <w:pPr>
      <w:autoSpaceDE w:val="0"/>
      <w:autoSpaceDN w:val="0"/>
      <w:adjustRightInd w:val="0"/>
      <w:spacing w:after="60"/>
      <w:jc w:val="left"/>
    </w:pPr>
    <w:rPr>
      <w:rFonts w:ascii="Sim Sun+ 2" w:eastAsia="Sim Sun+ 2" w:hAnsi="Times New Roman" w:cs="Sim Sun+ 2"/>
      <w:kern w:val="0"/>
      <w:sz w:val="24"/>
      <w:szCs w:val="24"/>
    </w:rPr>
  </w:style>
  <w:style w:type="paragraph" w:customStyle="1" w:styleId="CharCharChar1CharCharCharCharCharChar1CharCharCharCharCharCharCharCharCharChar1">
    <w:name w:val="Char Char Char1 Char Char Char Char Char Char1 Char Char Char Char Char Char Char Char Char Char1"/>
    <w:basedOn w:val="a"/>
    <w:qFormat/>
    <w:rPr>
      <w:rFonts w:ascii="宋体" w:eastAsia="宋体" w:hAnsi="宋体" w:cs="Times New Roman"/>
      <w:sz w:val="24"/>
      <w:szCs w:val="24"/>
    </w:rPr>
  </w:style>
  <w:style w:type="paragraph" w:customStyle="1" w:styleId="1ffffff5">
    <w:name w:val="陈1"/>
    <w:basedOn w:val="a"/>
    <w:qFormat/>
    <w:pPr>
      <w:widowControl/>
      <w:tabs>
        <w:tab w:val="left" w:pos="1729"/>
      </w:tabs>
      <w:spacing w:beforeLines="100" w:before="312" w:afterLines="100" w:after="312"/>
      <w:ind w:left="1164" w:hanging="1164"/>
      <w:jc w:val="center"/>
      <w:outlineLvl w:val="0"/>
    </w:pPr>
    <w:rPr>
      <w:rFonts w:ascii="宋体" w:eastAsia="黑体" w:hAnsi="宋体" w:cs="宋体"/>
      <w:kern w:val="0"/>
      <w:sz w:val="32"/>
      <w:szCs w:val="32"/>
    </w:rPr>
  </w:style>
  <w:style w:type="paragraph" w:customStyle="1" w:styleId="96">
    <w:name w:val="9"/>
    <w:basedOn w:val="a"/>
    <w:next w:val="af5"/>
    <w:qFormat/>
    <w:pPr>
      <w:spacing w:after="120"/>
    </w:pPr>
    <w:rPr>
      <w:rFonts w:ascii="仿宋_GB2312" w:eastAsia="仿宋_GB2312" w:hAnsi="Times New Roman" w:cs="Times New Roman"/>
      <w:sz w:val="28"/>
      <w:szCs w:val="24"/>
    </w:rPr>
  </w:style>
  <w:style w:type="paragraph" w:customStyle="1" w:styleId="affffffffffffffffffffffff5">
    <w:name w:val="三级标题"/>
    <w:qFormat/>
    <w:pPr>
      <w:spacing w:line="360" w:lineRule="auto"/>
      <w:jc w:val="center"/>
    </w:pPr>
    <w:rPr>
      <w:rFonts w:ascii="Times New Roman" w:eastAsia="黑体" w:hAnsi="Times New Roman" w:cs="Times New Roman"/>
      <w:b/>
      <w:spacing w:val="60"/>
      <w:kern w:val="44"/>
      <w:sz w:val="44"/>
    </w:rPr>
  </w:style>
  <w:style w:type="paragraph" w:customStyle="1" w:styleId="1CharChar3">
    <w:name w:val="目录 1 Char Char"/>
    <w:basedOn w:val="a"/>
    <w:next w:val="a"/>
    <w:qFormat/>
    <w:pPr>
      <w:widowControl/>
      <w:tabs>
        <w:tab w:val="left" w:leader="dot" w:pos="8010"/>
      </w:tabs>
      <w:snapToGrid w:val="0"/>
      <w:spacing w:line="300" w:lineRule="auto"/>
      <w:jc w:val="left"/>
      <w:textAlignment w:val="baseline"/>
    </w:pPr>
    <w:rPr>
      <w:rFonts w:ascii="黑体" w:eastAsia="黑体" w:hAnsi="Times New Roman" w:cs="Times New Roman"/>
      <w:color w:val="000000"/>
      <w:kern w:val="0"/>
      <w:sz w:val="28"/>
      <w:szCs w:val="44"/>
    </w:rPr>
  </w:style>
  <w:style w:type="paragraph" w:customStyle="1" w:styleId="CharChar1Char1">
    <w:name w:val="Char Char1 Char1"/>
    <w:basedOn w:val="a"/>
    <w:qFormat/>
    <w:pPr>
      <w:widowControl/>
      <w:spacing w:after="160" w:line="240" w:lineRule="exact"/>
      <w:jc w:val="left"/>
    </w:pPr>
    <w:rPr>
      <w:rFonts w:ascii="Times New Roman" w:eastAsia="宋体" w:hAnsi="Times New Roman" w:cs="Times New Roman"/>
      <w:szCs w:val="20"/>
    </w:rPr>
  </w:style>
  <w:style w:type="paragraph" w:customStyle="1" w:styleId="sss">
    <w:name w:val="sss"/>
    <w:basedOn w:val="a"/>
    <w:qFormat/>
    <w:pPr>
      <w:widowControl/>
      <w:tabs>
        <w:tab w:val="left" w:pos="480"/>
        <w:tab w:val="left" w:pos="1128"/>
      </w:tabs>
      <w:autoSpaceDE w:val="0"/>
      <w:autoSpaceDN w:val="0"/>
      <w:adjustRightInd w:val="0"/>
      <w:ind w:left="1128" w:hanging="1128"/>
      <w:jc w:val="left"/>
    </w:pPr>
    <w:rPr>
      <w:rFonts w:ascii="Bookman Old Style" w:eastAsia="宋体" w:hAnsi="Bookman Old Style" w:cs="宋体"/>
      <w:kern w:val="0"/>
      <w:sz w:val="22"/>
      <w:szCs w:val="24"/>
    </w:rPr>
  </w:style>
  <w:style w:type="paragraph" w:customStyle="1" w:styleId="affffffffffffffffffffffff6">
    <w:name w:val="正文楷体"/>
    <w:basedOn w:val="a"/>
    <w:qFormat/>
    <w:rPr>
      <w:rFonts w:ascii="Times New Roman" w:eastAsia="楷体_GB2312" w:hAnsi="Times New Roman" w:cs="Times New Roman"/>
      <w:szCs w:val="24"/>
    </w:rPr>
  </w:style>
  <w:style w:type="paragraph" w:customStyle="1" w:styleId="2TimesNewRoman050">
    <w:name w:val="样式 样式 标题 2节 + (西文) Times New Roman (中文) 宋体 四号 段前: 0.5 行 段后: 0......"/>
    <w:basedOn w:val="a"/>
    <w:qFormat/>
    <w:pPr>
      <w:keepNext/>
      <w:keepLines/>
      <w:tabs>
        <w:tab w:val="left" w:pos="720"/>
      </w:tabs>
      <w:adjustRightInd w:val="0"/>
      <w:snapToGrid w:val="0"/>
      <w:spacing w:beforeLines="90" w:before="280" w:afterLines="90" w:after="280" w:line="300" w:lineRule="auto"/>
      <w:ind w:left="397" w:hanging="397"/>
      <w:outlineLvl w:val="1"/>
    </w:pPr>
    <w:rPr>
      <w:rFonts w:ascii="楷体_GB2312" w:eastAsia="楷体_GB2312" w:hAnsi="Times New Roman" w:cs="Times New Roman"/>
      <w:b/>
      <w:bCs/>
      <w:sz w:val="28"/>
      <w:szCs w:val="28"/>
    </w:rPr>
  </w:style>
  <w:style w:type="paragraph" w:customStyle="1" w:styleId="Char360">
    <w:name w:val="Char36"/>
    <w:basedOn w:val="a"/>
    <w:qFormat/>
    <w:rPr>
      <w:rFonts w:ascii="Times New Roman" w:eastAsia="宋体" w:hAnsi="Times New Roman" w:cs="Times New Roman"/>
      <w:sz w:val="24"/>
      <w:szCs w:val="24"/>
    </w:rPr>
  </w:style>
  <w:style w:type="paragraph" w:customStyle="1" w:styleId="1ffffff6">
    <w:name w:val="文1"/>
    <w:basedOn w:val="a"/>
    <w:qFormat/>
    <w:pPr>
      <w:snapToGrid w:val="0"/>
      <w:spacing w:line="360" w:lineRule="auto"/>
      <w:ind w:firstLine="567"/>
    </w:pPr>
    <w:rPr>
      <w:rFonts w:ascii="Arial" w:eastAsia="幼圆" w:hAnsi="Arial" w:cs="Times New Roman"/>
      <w:sz w:val="24"/>
      <w:szCs w:val="20"/>
    </w:rPr>
  </w:style>
  <w:style w:type="paragraph" w:customStyle="1" w:styleId="Indent1">
    <w:name w:val="Indent1"/>
    <w:basedOn w:val="a"/>
    <w:qFormat/>
    <w:pPr>
      <w:overflowPunct w:val="0"/>
      <w:autoSpaceDE w:val="0"/>
      <w:autoSpaceDN w:val="0"/>
      <w:adjustRightInd w:val="0"/>
      <w:ind w:left="1440" w:hanging="720"/>
      <w:jc w:val="left"/>
      <w:textAlignment w:val="baseline"/>
    </w:pPr>
    <w:rPr>
      <w:rFonts w:ascii="Arial" w:eastAsia="宋体" w:hAnsi="Arial" w:cs="Times New Roman"/>
      <w:kern w:val="0"/>
      <w:sz w:val="22"/>
      <w:szCs w:val="20"/>
    </w:rPr>
  </w:style>
  <w:style w:type="paragraph" w:customStyle="1" w:styleId="CharCharChar1Char11">
    <w:name w:val="Char Char Char1 Char11"/>
    <w:basedOn w:val="2"/>
    <w:qFormat/>
    <w:pPr>
      <w:spacing w:line="520" w:lineRule="exact"/>
    </w:pPr>
    <w:rPr>
      <w:rFonts w:ascii="Times New Roman" w:eastAsia="宋体" w:hAnsi="Arial" w:cs="Times New Roman"/>
      <w:sz w:val="28"/>
    </w:rPr>
  </w:style>
  <w:style w:type="paragraph" w:customStyle="1" w:styleId="affffffffffffffffffffffff7">
    <w:name w:val="a"/>
    <w:basedOn w:val="a"/>
    <w:qFormat/>
    <w:pPr>
      <w:widowControl/>
      <w:spacing w:before="100" w:beforeAutospacing="1" w:after="100" w:afterAutospacing="1"/>
      <w:jc w:val="left"/>
    </w:pPr>
    <w:rPr>
      <w:rFonts w:ascii="Arial Unicode MS" w:eastAsia="Arial Unicode MS" w:hAnsi="Arial Unicode MS" w:cs="Arial Unicode MS"/>
      <w:color w:val="000000"/>
      <w:kern w:val="0"/>
      <w:sz w:val="24"/>
      <w:szCs w:val="24"/>
    </w:rPr>
  </w:style>
  <w:style w:type="paragraph" w:customStyle="1" w:styleId="2TimesNewRoman1">
    <w:name w:val="样式 样式 标题 2 + 宋体 四号 两端对齐 + (西文) Times New Roman (中文) 宋体 非加粗 左侧..."/>
    <w:basedOn w:val="2ffff9"/>
    <w:qFormat/>
    <w:pPr>
      <w:spacing w:line="360" w:lineRule="auto"/>
      <w:ind w:left="987"/>
    </w:pPr>
    <w:rPr>
      <w:rFonts w:ascii="Times New Roman" w:eastAsia="宋体" w:hAnsi="Times New Roman"/>
      <w:bCs w:val="0"/>
    </w:rPr>
  </w:style>
  <w:style w:type="paragraph" w:customStyle="1" w:styleId="affffffffffffffffffffffff8">
    <w:name w:val="三级"/>
    <w:basedOn w:val="3"/>
    <w:next w:val="a"/>
    <w:qFormat/>
    <w:pPr>
      <w:widowControl w:val="0"/>
      <w:tabs>
        <w:tab w:val="left" w:pos="360"/>
        <w:tab w:val="left" w:pos="1418"/>
      </w:tabs>
      <w:spacing w:before="0" w:after="0" w:line="560" w:lineRule="exact"/>
      <w:ind w:left="360" w:hangingChars="200" w:hanging="360"/>
      <w:jc w:val="both"/>
    </w:pPr>
    <w:rPr>
      <w:rFonts w:eastAsia="仿宋_GB2312"/>
      <w:b w:val="0"/>
      <w:spacing w:val="12"/>
      <w:kern w:val="2"/>
      <w:sz w:val="28"/>
    </w:rPr>
  </w:style>
  <w:style w:type="paragraph" w:customStyle="1" w:styleId="affffffffffffffffffffffff9">
    <w:name w:val="条目"/>
    <w:basedOn w:val="afb"/>
    <w:next w:val="af5"/>
    <w:qFormat/>
    <w:pPr>
      <w:widowControl w:val="0"/>
      <w:ind w:firstLine="567"/>
      <w:jc w:val="both"/>
      <w:outlineLvl w:val="4"/>
    </w:pPr>
    <w:rPr>
      <w:rFonts w:cs="Times New Roman"/>
      <w:kern w:val="2"/>
      <w:sz w:val="24"/>
      <w:szCs w:val="20"/>
    </w:rPr>
  </w:style>
  <w:style w:type="paragraph" w:customStyle="1" w:styleId="CharCharCharCharCharCharCharCharCharCharCharCharChar5">
    <w:name w:val="Char Char Char Char Char Char Char Char Char Char Char Char Char5"/>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affffffffffffffffffffffffa">
    <w:name w:val="五号表格"/>
    <w:next w:val="a"/>
    <w:qFormat/>
    <w:rPr>
      <w:rFonts w:ascii="宋体" w:eastAsia="宋体" w:hAnsi="Times New Roman" w:cs="Times New Roman"/>
      <w:sz w:val="21"/>
    </w:rPr>
  </w:style>
  <w:style w:type="paragraph" w:customStyle="1" w:styleId="3fff3">
    <w:name w:val="正文样式3"/>
    <w:basedOn w:val="a"/>
    <w:qFormat/>
    <w:pPr>
      <w:keepLines/>
      <w:adjustRightInd w:val="0"/>
      <w:spacing w:line="20" w:lineRule="atLeast"/>
      <w:ind w:firstLineChars="200" w:firstLine="200"/>
      <w:jc w:val="center"/>
      <w:textAlignment w:val="baseline"/>
    </w:pPr>
    <w:rPr>
      <w:rFonts w:ascii="Times New Roman" w:eastAsia="仿宋_GB2312" w:hAnsi="Times New Roman" w:cs="Times New Roman"/>
      <w:kern w:val="0"/>
      <w:sz w:val="24"/>
      <w:szCs w:val="20"/>
    </w:rPr>
  </w:style>
  <w:style w:type="paragraph" w:customStyle="1" w:styleId="Char270">
    <w:name w:val="Char27"/>
    <w:basedOn w:val="a"/>
    <w:qFormat/>
    <w:rPr>
      <w:rFonts w:ascii="Times New Roman" w:eastAsia="宋体" w:hAnsi="Times New Roman" w:cs="Times New Roman"/>
      <w:sz w:val="24"/>
      <w:szCs w:val="24"/>
    </w:rPr>
  </w:style>
  <w:style w:type="paragraph" w:customStyle="1" w:styleId="3fff4">
    <w:name w:val="新标题3"/>
    <w:basedOn w:val="a"/>
    <w:qFormat/>
    <w:pPr>
      <w:keepNext/>
      <w:autoSpaceDE w:val="0"/>
      <w:autoSpaceDN w:val="0"/>
      <w:adjustRightInd w:val="0"/>
      <w:spacing w:before="120" w:after="120" w:line="460" w:lineRule="exact"/>
      <w:outlineLvl w:val="2"/>
    </w:pPr>
    <w:rPr>
      <w:rFonts w:ascii="黑体" w:eastAsia="黑体" w:hAnsi="Times New Roman" w:cs="宋体"/>
      <w:b/>
      <w:bCs/>
      <w:color w:val="000000"/>
      <w:sz w:val="24"/>
      <w:szCs w:val="24"/>
      <w:lang w:val="zh-CN"/>
    </w:rPr>
  </w:style>
  <w:style w:type="paragraph" w:customStyle="1" w:styleId="9CharChar">
    <w:name w:val="目录 9 Char Char"/>
    <w:basedOn w:val="a"/>
    <w:next w:val="a"/>
    <w:qFormat/>
    <w:pPr>
      <w:spacing w:line="351" w:lineRule="atLeast"/>
      <w:ind w:left="1678" w:firstLine="419"/>
      <w:jc w:val="left"/>
    </w:pPr>
    <w:rPr>
      <w:rFonts w:ascii="Times New Roman" w:eastAsia="宋体" w:hAnsi="Times New Roman" w:cs="Times New Roman" w:hint="eastAsia"/>
      <w:szCs w:val="20"/>
    </w:rPr>
  </w:style>
  <w:style w:type="paragraph" w:customStyle="1" w:styleId="CharCharCharCharCharCharCharCharChar1Char9">
    <w:name w:val="Char Char Char Char Char Char Char Char Char1 Char9"/>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2ffffff3">
    <w:name w:val="表格2"/>
    <w:basedOn w:val="a"/>
    <w:link w:val="2CharChar7"/>
    <w:qFormat/>
    <w:pPr>
      <w:adjustRightInd w:val="0"/>
      <w:snapToGrid w:val="0"/>
      <w:outlineLvl w:val="0"/>
    </w:pPr>
    <w:rPr>
      <w:rFonts w:ascii="Times New Roman" w:eastAsia="宋体" w:hAnsi="Times New Roman" w:cs="Times New Roman"/>
      <w:kern w:val="10"/>
      <w:sz w:val="24"/>
      <w:szCs w:val="20"/>
    </w:rPr>
  </w:style>
  <w:style w:type="character" w:customStyle="1" w:styleId="2CharChar7">
    <w:name w:val="表格2 Char Char"/>
    <w:link w:val="2ffffff3"/>
    <w:locked/>
    <w:rPr>
      <w:rFonts w:ascii="Times New Roman" w:eastAsia="宋体" w:hAnsi="Times New Roman" w:cs="Times New Roman"/>
      <w:kern w:val="10"/>
      <w:sz w:val="24"/>
      <w:szCs w:val="20"/>
    </w:rPr>
  </w:style>
  <w:style w:type="paragraph" w:customStyle="1" w:styleId="affffffffffffffffffffffffb">
    <w:name w:val="表格内文字格式"/>
    <w:basedOn w:val="a"/>
    <w:next w:val="a"/>
    <w:qFormat/>
    <w:pPr>
      <w:widowControl/>
      <w:autoSpaceDE w:val="0"/>
      <w:autoSpaceDN w:val="0"/>
      <w:adjustRightInd w:val="0"/>
      <w:spacing w:line="420" w:lineRule="exact"/>
      <w:jc w:val="center"/>
    </w:pPr>
    <w:rPr>
      <w:rFonts w:ascii="宋体" w:eastAsia="宋体" w:hAnsi="宋体" w:cs="宋体"/>
      <w:kern w:val="0"/>
      <w:sz w:val="24"/>
      <w:szCs w:val="32"/>
    </w:rPr>
  </w:style>
  <w:style w:type="paragraph" w:customStyle="1" w:styleId="912">
    <w:name w:val="目录 91"/>
    <w:basedOn w:val="a"/>
    <w:next w:val="a"/>
    <w:qFormat/>
    <w:pPr>
      <w:ind w:left="1470"/>
      <w:jc w:val="left"/>
    </w:pPr>
    <w:rPr>
      <w:rFonts w:ascii="Times New Roman" w:eastAsia="宋体" w:hAnsi="Times New Roman" w:cs="Times New Roman"/>
      <w:sz w:val="20"/>
      <w:szCs w:val="20"/>
    </w:rPr>
  </w:style>
  <w:style w:type="paragraph" w:customStyle="1" w:styleId="BodyTextIndent2">
    <w:name w:val="Body Text Indent2"/>
    <w:basedOn w:val="a"/>
    <w:qFormat/>
    <w:pPr>
      <w:spacing w:after="120" w:line="360" w:lineRule="auto"/>
      <w:ind w:leftChars="200" w:left="420" w:firstLineChars="200" w:firstLine="200"/>
    </w:pPr>
    <w:rPr>
      <w:rFonts w:ascii="Times New Roman" w:eastAsia="宋体" w:hAnsi="Times New Roman" w:cs="Times New Roman"/>
      <w:sz w:val="24"/>
      <w:szCs w:val="24"/>
    </w:rPr>
  </w:style>
  <w:style w:type="paragraph" w:customStyle="1" w:styleId="z-BottomofForm1">
    <w:name w:val="z-Bottom of Form1"/>
    <w:basedOn w:val="a"/>
    <w:next w:val="a"/>
    <w:qFormat/>
    <w:pPr>
      <w:widowControl/>
      <w:pBdr>
        <w:top w:val="single" w:sz="6" w:space="1" w:color="auto"/>
      </w:pBdr>
      <w:jc w:val="center"/>
    </w:pPr>
    <w:rPr>
      <w:rFonts w:ascii="Arial" w:eastAsia="Arial Unicode MS" w:hAnsi="Arial" w:cs="Times New Roman"/>
      <w:vanish/>
      <w:kern w:val="0"/>
      <w:sz w:val="16"/>
      <w:szCs w:val="20"/>
    </w:rPr>
  </w:style>
  <w:style w:type="paragraph" w:customStyle="1" w:styleId="pa-1">
    <w:name w:val="pa-1"/>
    <w:basedOn w:val="a"/>
    <w:qFormat/>
    <w:pPr>
      <w:widowControl/>
      <w:spacing w:before="150" w:after="150"/>
      <w:jc w:val="left"/>
    </w:pPr>
    <w:rPr>
      <w:rFonts w:ascii="宋体" w:eastAsia="宋体" w:hAnsi="宋体" w:cs="宋体"/>
      <w:kern w:val="0"/>
      <w:sz w:val="24"/>
      <w:szCs w:val="24"/>
    </w:rPr>
  </w:style>
  <w:style w:type="paragraph" w:customStyle="1" w:styleId="Char1CharCharCharCharCharChar3">
    <w:name w:val="Char1 Char Char Char Char Char Char3"/>
    <w:basedOn w:val="a"/>
    <w:qFormat/>
    <w:pPr>
      <w:spacing w:line="360" w:lineRule="auto"/>
      <w:ind w:firstLineChars="200" w:firstLine="200"/>
    </w:pPr>
    <w:rPr>
      <w:rFonts w:ascii="宋体" w:eastAsia="宋体" w:hAnsi="宋体" w:cs="宋体"/>
      <w:sz w:val="24"/>
      <w:szCs w:val="24"/>
    </w:rPr>
  </w:style>
  <w:style w:type="paragraph" w:customStyle="1" w:styleId="3251">
    <w:name w:val="样式 标题 3 + 行距: 最小值 25 磅"/>
    <w:basedOn w:val="3"/>
    <w:qFormat/>
    <w:pPr>
      <w:keepLines w:val="0"/>
      <w:widowControl w:val="0"/>
      <w:tabs>
        <w:tab w:val="left" w:pos="1418"/>
      </w:tabs>
      <w:adjustRightInd w:val="0"/>
      <w:snapToGrid w:val="0"/>
      <w:spacing w:before="0" w:after="0" w:line="490" w:lineRule="atLeast"/>
    </w:pPr>
    <w:rPr>
      <w:b w:val="0"/>
      <w:bCs w:val="0"/>
      <w:kern w:val="2"/>
      <w:sz w:val="28"/>
      <w:szCs w:val="28"/>
    </w:rPr>
  </w:style>
  <w:style w:type="paragraph" w:customStyle="1" w:styleId="xl199">
    <w:name w:val="xl199"/>
    <w:basedOn w:val="a"/>
    <w:qFormat/>
    <w:pPr>
      <w:widowControl/>
      <w:pBdr>
        <w:left w:val="single" w:sz="8" w:space="0" w:color="auto"/>
        <w:bottom w:val="single" w:sz="8" w:space="0" w:color="auto"/>
      </w:pBdr>
      <w:spacing w:before="100" w:beforeAutospacing="1" w:after="100" w:afterAutospacing="1"/>
      <w:jc w:val="center"/>
    </w:pPr>
    <w:rPr>
      <w:rFonts w:ascii="宋体" w:eastAsia="宋体" w:hAnsi="宋体" w:cs="宋体"/>
      <w:color w:val="0000FF"/>
      <w:kern w:val="0"/>
      <w:sz w:val="18"/>
      <w:szCs w:val="18"/>
    </w:rPr>
  </w:style>
  <w:style w:type="paragraph" w:customStyle="1" w:styleId="CharCharCharCharCharCharCharCharChar1Char3">
    <w:name w:val="Char Char Char Char Char Char Char Char Char1 Char3"/>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affffffffffffffffffffffffc">
    <w:name w:val="表格文字居中"/>
    <w:basedOn w:val="111"/>
    <w:qFormat/>
    <w:pPr>
      <w:widowControl w:val="0"/>
      <w:tabs>
        <w:tab w:val="left" w:pos="628"/>
        <w:tab w:val="left" w:pos="1727"/>
        <w:tab w:val="left" w:pos="1884"/>
      </w:tabs>
      <w:adjustRightInd w:val="0"/>
      <w:snapToGrid w:val="0"/>
      <w:spacing w:before="100" w:beforeAutospacing="1" w:after="0"/>
      <w:ind w:left="26" w:firstLineChars="0" w:firstLine="0"/>
      <w:jc w:val="center"/>
      <w:outlineLvl w:val="0"/>
    </w:pPr>
    <w:rPr>
      <w:rFonts w:ascii="宋体" w:hAnsi="宋体"/>
      <w:szCs w:val="28"/>
    </w:rPr>
  </w:style>
  <w:style w:type="paragraph" w:customStyle="1" w:styleId="CharCharfff9">
    <w:name w:val="正文首行缩进 Char Char"/>
    <w:basedOn w:val="a"/>
    <w:qFormat/>
    <w:pPr>
      <w:spacing w:line="606" w:lineRule="atLeast"/>
      <w:ind w:firstLine="538"/>
    </w:pPr>
    <w:rPr>
      <w:rFonts w:ascii="Times New Roman" w:eastAsia="宋体" w:hAnsi="Times New Roman" w:cs="Times New Roman" w:hint="eastAsia"/>
      <w:sz w:val="24"/>
      <w:szCs w:val="20"/>
    </w:rPr>
  </w:style>
  <w:style w:type="paragraph" w:customStyle="1" w:styleId="xl202">
    <w:name w:val="xl202"/>
    <w:basedOn w:val="a"/>
    <w:qFormat/>
    <w:pPr>
      <w:widowControl/>
      <w:pBdr>
        <w:bottom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affffffffffffffffffffffffd">
    <w:name w:val="流程文字"/>
    <w:basedOn w:val="a"/>
    <w:qFormat/>
    <w:pPr>
      <w:tabs>
        <w:tab w:val="left" w:pos="6480"/>
      </w:tabs>
      <w:topLinePunct/>
      <w:adjustRightInd w:val="0"/>
      <w:snapToGrid w:val="0"/>
      <w:spacing w:line="420" w:lineRule="exact"/>
      <w:jc w:val="center"/>
    </w:pPr>
    <w:rPr>
      <w:rFonts w:ascii="仿宋_GB2312" w:eastAsia="仿宋_GB2312" w:hAnsi="Times New Roman" w:cs="宋体"/>
      <w:bCs/>
      <w:color w:val="000000"/>
      <w:sz w:val="30"/>
      <w:szCs w:val="20"/>
    </w:rPr>
  </w:style>
  <w:style w:type="paragraph" w:customStyle="1" w:styleId="1ffffff7">
    <w:name w:val="字元1"/>
    <w:basedOn w:val="a"/>
    <w:qFormat/>
    <w:rPr>
      <w:rFonts w:ascii="Times New Roman" w:eastAsia="宋体" w:hAnsi="Times New Roman" w:cs="Times New Roman"/>
      <w:sz w:val="24"/>
      <w:szCs w:val="24"/>
    </w:rPr>
  </w:style>
  <w:style w:type="paragraph" w:customStyle="1" w:styleId="Char310">
    <w:name w:val="Char31"/>
    <w:basedOn w:val="a"/>
    <w:qFormat/>
    <w:pPr>
      <w:spacing w:line="240" w:lineRule="exact"/>
      <w:ind w:firstLineChars="200" w:firstLine="200"/>
    </w:pPr>
    <w:rPr>
      <w:rFonts w:ascii="Times New Roman" w:eastAsia="宋体" w:hAnsi="Times New Roman" w:cs="Times New Roman"/>
      <w:sz w:val="28"/>
      <w:szCs w:val="28"/>
    </w:rPr>
  </w:style>
  <w:style w:type="paragraph" w:customStyle="1" w:styleId="p17">
    <w:name w:val="p17"/>
    <w:basedOn w:val="a"/>
    <w:qFormat/>
    <w:pPr>
      <w:widowControl/>
      <w:spacing w:line="320" w:lineRule="atLeast"/>
      <w:jc w:val="center"/>
    </w:pPr>
    <w:rPr>
      <w:rFonts w:ascii="宋体" w:eastAsia="宋体" w:hAnsi="宋体" w:cs="宋体"/>
      <w:kern w:val="0"/>
      <w:szCs w:val="21"/>
    </w:rPr>
  </w:style>
  <w:style w:type="paragraph" w:customStyle="1" w:styleId="787822">
    <w:name w:val="样式 小二 加粗 段前: 7.8 磅 段后: 7.8 磅 行距: 固定值 22 磅"/>
    <w:basedOn w:val="a"/>
    <w:qFormat/>
    <w:pPr>
      <w:spacing w:beforeLines="50" w:before="50" w:afterLines="50" w:after="50" w:line="440" w:lineRule="exact"/>
    </w:pPr>
    <w:rPr>
      <w:rFonts w:ascii="Times New Roman" w:eastAsia="宋体" w:hAnsi="Times New Roman" w:cs="宋体"/>
      <w:b/>
      <w:bCs/>
      <w:sz w:val="36"/>
      <w:szCs w:val="20"/>
    </w:rPr>
  </w:style>
  <w:style w:type="paragraph" w:customStyle="1" w:styleId="4TimesNewRoman">
    <w:name w:val="样式 标题 4 + (西文) Times New Roman (中文) 宋体 小四"/>
    <w:basedOn w:val="41"/>
    <w:qFormat/>
    <w:pPr>
      <w:keepNext/>
      <w:keepLines/>
      <w:tabs>
        <w:tab w:val="left" w:pos="1247"/>
        <w:tab w:val="left" w:pos="1984"/>
      </w:tabs>
      <w:snapToGrid w:val="0"/>
      <w:spacing w:beforeLines="25" w:before="78" w:afterLines="25" w:after="78" w:line="360" w:lineRule="auto"/>
      <w:ind w:left="964" w:hanging="964"/>
      <w:jc w:val="both"/>
    </w:pPr>
    <w:rPr>
      <w:rFonts w:ascii="楷体_GB2312" w:eastAsia="楷体_GB2312" w:hAnsi="Times New Roman" w:cs="Times New Roman"/>
      <w:kern w:val="2"/>
      <w:sz w:val="24"/>
      <w:szCs w:val="24"/>
      <w:lang w:eastAsia="zh-CN"/>
    </w:rPr>
  </w:style>
  <w:style w:type="paragraph" w:customStyle="1" w:styleId="affffffffffffffffffffffffe">
    <w:name w:val="正文居中"/>
    <w:basedOn w:val="a"/>
    <w:next w:val="a"/>
    <w:qFormat/>
    <w:pPr>
      <w:widowControl/>
      <w:ind w:left="113" w:right="113"/>
      <w:jc w:val="center"/>
    </w:pPr>
    <w:rPr>
      <w:rFonts w:ascii="楷体_GB2312" w:eastAsia="楷体_GB2312" w:hAnsi="宋体" w:cs="宋体"/>
      <w:color w:val="000000"/>
      <w:kern w:val="0"/>
      <w:sz w:val="24"/>
      <w:szCs w:val="24"/>
    </w:rPr>
  </w:style>
  <w:style w:type="paragraph" w:customStyle="1" w:styleId="afffffffffffffffffffffffff">
    <w:name w:val="表格式"/>
    <w:basedOn w:val="affa"/>
    <w:qFormat/>
    <w:pPr>
      <w:spacing w:line="340" w:lineRule="exact"/>
      <w:ind w:left="0" w:firstLineChars="0" w:firstLine="0"/>
      <w:jc w:val="center"/>
    </w:pPr>
    <w:rPr>
      <w:rFonts w:ascii="宋体" w:hAnsi="宋体"/>
    </w:rPr>
  </w:style>
  <w:style w:type="paragraph" w:customStyle="1" w:styleId="3fff5">
    <w:name w:val="陈3"/>
    <w:basedOn w:val="a"/>
    <w:qFormat/>
    <w:pPr>
      <w:widowControl/>
      <w:tabs>
        <w:tab w:val="left" w:pos="1127"/>
      </w:tabs>
      <w:ind w:firstLineChars="200" w:firstLine="560"/>
      <w:jc w:val="left"/>
      <w:outlineLvl w:val="2"/>
    </w:pPr>
    <w:rPr>
      <w:rFonts w:ascii="宋体" w:eastAsia="黑体" w:hAnsi="宋体" w:cs="宋体"/>
      <w:kern w:val="0"/>
      <w:sz w:val="28"/>
      <w:szCs w:val="24"/>
    </w:rPr>
  </w:style>
  <w:style w:type="paragraph" w:customStyle="1" w:styleId="M5">
    <w:name w:val="表文_M5"/>
    <w:qFormat/>
    <w:pPr>
      <w:widowControl w:val="0"/>
      <w:tabs>
        <w:tab w:val="left" w:pos="1260"/>
      </w:tabs>
      <w:adjustRightInd w:val="0"/>
      <w:snapToGrid w:val="0"/>
      <w:jc w:val="center"/>
    </w:pPr>
    <w:rPr>
      <w:rFonts w:ascii="Garamond" w:eastAsia="楷体_GB2312" w:hAnsi="Garamond" w:cs="Times New Roman"/>
      <w:spacing w:val="-8"/>
      <w:kern w:val="2"/>
      <w:sz w:val="24"/>
      <w:szCs w:val="24"/>
    </w:rPr>
  </w:style>
  <w:style w:type="paragraph" w:customStyle="1" w:styleId="afffffffffffffffffffffffff0">
    <w:name w:val="封面单位"/>
    <w:basedOn w:val="a"/>
    <w:qFormat/>
    <w:pPr>
      <w:tabs>
        <w:tab w:val="right" w:leader="middleDot" w:pos="8222"/>
      </w:tabs>
      <w:spacing w:line="360" w:lineRule="auto"/>
      <w:jc w:val="center"/>
    </w:pPr>
    <w:rPr>
      <w:rFonts w:ascii="楷体_GB2312" w:eastAsia="楷体_GB2312" w:hAnsi="Times New Roman" w:cs="Times New Roman"/>
      <w:b/>
      <w:sz w:val="36"/>
      <w:szCs w:val="24"/>
    </w:rPr>
  </w:style>
  <w:style w:type="paragraph" w:customStyle="1" w:styleId="9css2">
    <w:name w:val="9css2"/>
    <w:basedOn w:val="a"/>
    <w:qFormat/>
    <w:pPr>
      <w:widowControl/>
      <w:spacing w:before="100" w:beforeAutospacing="1" w:after="100" w:afterAutospacing="1" w:line="240" w:lineRule="atLeast"/>
      <w:jc w:val="left"/>
    </w:pPr>
    <w:rPr>
      <w:rFonts w:ascii="宋体" w:eastAsia="宋体" w:hAnsi="宋体" w:cs="Times New Roman"/>
      <w:color w:val="000000"/>
      <w:kern w:val="0"/>
      <w:sz w:val="18"/>
      <w:szCs w:val="18"/>
    </w:rPr>
  </w:style>
  <w:style w:type="paragraph" w:customStyle="1" w:styleId="CharChar6CharChar1">
    <w:name w:val="Char Char6 Char Char1"/>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2ffffff4">
    <w:name w:val="表格内容2"/>
    <w:basedOn w:val="afffffffff7"/>
    <w:qFormat/>
    <w:pPr>
      <w:snapToGrid w:val="0"/>
      <w:spacing w:line="240" w:lineRule="auto"/>
    </w:pPr>
    <w:rPr>
      <w:rFonts w:ascii="Times New Roman" w:eastAsia="宋体" w:hAnsi="Times New Roman" w:cs="Arial"/>
      <w:color w:val="000000"/>
      <w:sz w:val="21"/>
    </w:rPr>
  </w:style>
  <w:style w:type="paragraph" w:customStyle="1" w:styleId="-12">
    <w:name w:val="正文-1"/>
    <w:basedOn w:val="a"/>
    <w:qFormat/>
    <w:pPr>
      <w:adjustRightInd w:val="0"/>
      <w:spacing w:line="440" w:lineRule="exact"/>
      <w:ind w:firstLineChars="200" w:firstLine="200"/>
    </w:pPr>
    <w:rPr>
      <w:rFonts w:ascii="Times New Roman" w:eastAsia="宋体" w:hAnsi="Times New Roman" w:cs="Times New Roman"/>
      <w:sz w:val="24"/>
      <w:szCs w:val="20"/>
    </w:rPr>
  </w:style>
  <w:style w:type="paragraph" w:customStyle="1" w:styleId="afffffffffffffffffffffffff1">
    <w:name w:val="环表"/>
    <w:basedOn w:val="afffffe"/>
    <w:qFormat/>
    <w:pPr>
      <w:tabs>
        <w:tab w:val="left" w:pos="1464"/>
        <w:tab w:val="left" w:pos="5094"/>
      </w:tabs>
      <w:suppressAutoHyphens w:val="0"/>
      <w:snapToGrid w:val="0"/>
      <w:spacing w:before="120" w:after="120" w:line="324" w:lineRule="auto"/>
      <w:ind w:left="7" w:right="29" w:firstLine="539"/>
      <w:jc w:val="center"/>
    </w:pPr>
    <w:rPr>
      <w:rFonts w:ascii="仿宋_GB2312" w:eastAsia="仿宋_GB2312" w:hAnsi="Courier New"/>
      <w:sz w:val="21"/>
    </w:rPr>
  </w:style>
  <w:style w:type="paragraph" w:customStyle="1" w:styleId="Char1Char1CharCharCha">
    <w:name w:val="样式 正文缩进正文缩进 Char正文缩进1 Char正文缩进1正文（首行缩进两字） Char正文缩进 Char Cha..."/>
    <w:basedOn w:val="a0"/>
    <w:qFormat/>
    <w:pPr>
      <w:spacing w:beforeLines="50" w:before="156" w:after="0" w:line="360" w:lineRule="auto"/>
      <w:ind w:firstLine="567"/>
      <w:jc w:val="left"/>
    </w:pPr>
    <w:rPr>
      <w:rFonts w:ascii="Times New Roman" w:hAnsi="Times New Roman" w:cs="Times New Roman"/>
      <w:b w:val="0"/>
      <w:bCs w:val="0"/>
      <w:szCs w:val="20"/>
    </w:rPr>
  </w:style>
  <w:style w:type="paragraph" w:customStyle="1" w:styleId="afffffffffffffffffffffffff2">
    <w:name w:val="基准页脚样式"/>
    <w:basedOn w:val="af5"/>
    <w:qFormat/>
    <w:pPr>
      <w:spacing w:after="0" w:line="240" w:lineRule="exact"/>
      <w:jc w:val="center"/>
    </w:pPr>
    <w:rPr>
      <w:rFonts w:ascii="宋体" w:eastAsia="宋体" w:hAnsi="宋体" w:cs="Times New Roman"/>
      <w:color w:val="FF0000"/>
      <w:szCs w:val="24"/>
    </w:rPr>
  </w:style>
  <w:style w:type="paragraph" w:customStyle="1" w:styleId="2ffffff5">
    <w:name w:val="新标题2"/>
    <w:basedOn w:val="a"/>
    <w:qFormat/>
    <w:pPr>
      <w:keepNext/>
      <w:autoSpaceDE w:val="0"/>
      <w:autoSpaceDN w:val="0"/>
      <w:adjustRightInd w:val="0"/>
      <w:spacing w:before="120" w:after="120" w:line="460" w:lineRule="exact"/>
      <w:outlineLvl w:val="1"/>
    </w:pPr>
    <w:rPr>
      <w:rFonts w:ascii="黑体" w:eastAsia="黑体" w:hAnsi="Times New Roman" w:cs="宋体"/>
      <w:b/>
      <w:bCs/>
      <w:color w:val="000000"/>
      <w:sz w:val="24"/>
      <w:szCs w:val="24"/>
      <w:lang w:val="zh-CN"/>
    </w:rPr>
  </w:style>
  <w:style w:type="paragraph" w:customStyle="1" w:styleId="4fe">
    <w:name w:val="副标题4"/>
    <w:basedOn w:val="3fff"/>
    <w:qFormat/>
    <w:pPr>
      <w:tabs>
        <w:tab w:val="clear" w:pos="672"/>
        <w:tab w:val="left" w:pos="1080"/>
      </w:tabs>
      <w:ind w:left="1080" w:hanging="1080"/>
      <w:outlineLvl w:val="4"/>
    </w:pPr>
  </w:style>
  <w:style w:type="paragraph" w:customStyle="1" w:styleId="162">
    <w:name w:val="样式16"/>
    <w:basedOn w:val="4250"/>
    <w:link w:val="16Char"/>
    <w:qFormat/>
    <w:pPr>
      <w:spacing w:line="500" w:lineRule="exact"/>
      <w:jc w:val="left"/>
      <w:outlineLvl w:val="2"/>
    </w:pPr>
    <w:rPr>
      <w:b/>
      <w:bCs/>
      <w:szCs w:val="28"/>
    </w:rPr>
  </w:style>
  <w:style w:type="paragraph" w:customStyle="1" w:styleId="4250">
    <w:name w:val="样式 标题 4 + 行距: 最小值 25 磅"/>
    <w:basedOn w:val="41"/>
    <w:qFormat/>
    <w:pPr>
      <w:tabs>
        <w:tab w:val="left" w:pos="864"/>
        <w:tab w:val="left" w:pos="1984"/>
      </w:tabs>
      <w:adjustRightInd w:val="0"/>
      <w:spacing w:before="0" w:line="500" w:lineRule="atLeast"/>
      <w:ind w:left="0"/>
      <w:jc w:val="both"/>
    </w:pPr>
    <w:rPr>
      <w:rFonts w:ascii="Times New Roman" w:hAnsi="Times New Roman" w:cs="宋体"/>
      <w:szCs w:val="20"/>
      <w:lang w:eastAsia="zh-CN"/>
    </w:rPr>
  </w:style>
  <w:style w:type="character" w:customStyle="1" w:styleId="16Char">
    <w:name w:val="样式16 Char"/>
    <w:link w:val="162"/>
    <w:locked/>
    <w:rPr>
      <w:rFonts w:ascii="Times New Roman" w:eastAsia="宋体" w:hAnsi="Times New Roman" w:cs="宋体"/>
      <w:b/>
      <w:bCs/>
      <w:kern w:val="0"/>
      <w:sz w:val="28"/>
      <w:szCs w:val="28"/>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
    <w:qFormat/>
    <w:pPr>
      <w:spacing w:line="360" w:lineRule="auto"/>
      <w:ind w:firstLineChars="200" w:firstLine="200"/>
    </w:pPr>
    <w:rPr>
      <w:rFonts w:ascii="Times New Roman" w:eastAsia="宋体" w:hAnsi="Times New Roman" w:cs="Times New Roman"/>
      <w:sz w:val="24"/>
      <w:szCs w:val="24"/>
    </w:rPr>
  </w:style>
  <w:style w:type="paragraph" w:customStyle="1" w:styleId="afffffffffffffffffffffffff3">
    <w:name w:val="环评正文字体"/>
    <w:basedOn w:val="a"/>
    <w:qFormat/>
    <w:pPr>
      <w:spacing w:line="360" w:lineRule="auto"/>
      <w:ind w:firstLineChars="200" w:firstLine="480"/>
    </w:pPr>
    <w:rPr>
      <w:rFonts w:ascii="Times New Roman" w:eastAsia="宋体" w:hAnsi="Times New Roman" w:cs="Times New Roman"/>
      <w:sz w:val="24"/>
      <w:szCs w:val="20"/>
    </w:rPr>
  </w:style>
  <w:style w:type="paragraph" w:customStyle="1" w:styleId="afffffffffffffffffffffffff4">
    <w:name w:val="表格下方正文"/>
    <w:basedOn w:val="a"/>
    <w:qFormat/>
    <w:pPr>
      <w:spacing w:before="260" w:line="440" w:lineRule="exact"/>
      <w:ind w:firstLineChars="200" w:firstLine="200"/>
    </w:pPr>
    <w:rPr>
      <w:rFonts w:ascii="Times New Roman" w:eastAsia="宋体" w:hAnsi="Times New Roman" w:cs="Times New Roman"/>
      <w:kern w:val="0"/>
      <w:sz w:val="24"/>
      <w:szCs w:val="20"/>
    </w:rPr>
  </w:style>
  <w:style w:type="paragraph" w:customStyle="1" w:styleId="22Char2CharCharChar11H2Underrubr">
    <w:name w:val="样式 标题 2标题 2 Char标题 2 Char Char Char节节标题 1.1H2（一）Underrubr..."/>
    <w:basedOn w:val="2"/>
    <w:qFormat/>
    <w:pPr>
      <w:tabs>
        <w:tab w:val="left" w:pos="932"/>
        <w:tab w:val="left" w:pos="1419"/>
      </w:tabs>
      <w:spacing w:before="0" w:after="0" w:line="460" w:lineRule="exact"/>
      <w:ind w:left="932" w:hanging="567"/>
    </w:pPr>
    <w:rPr>
      <w:rFonts w:ascii="黑体" w:eastAsia="宋体" w:hAnsi="黑体" w:cs="宋体"/>
      <w:color w:val="000000"/>
      <w:sz w:val="28"/>
      <w:szCs w:val="20"/>
    </w:rPr>
  </w:style>
  <w:style w:type="paragraph" w:customStyle="1" w:styleId="CharCharChar1CharCharCharCharCharCharChar3">
    <w:name w:val="Char Char Char1 Char Char Char Char Char Char Char3"/>
    <w:basedOn w:val="a"/>
    <w:qFormat/>
    <w:rPr>
      <w:rFonts w:ascii="Tahoma" w:eastAsia="宋体" w:hAnsi="Tahoma" w:cs="Times New Roman"/>
      <w:sz w:val="24"/>
      <w:szCs w:val="20"/>
    </w:rPr>
  </w:style>
  <w:style w:type="paragraph" w:customStyle="1" w:styleId="CharCharCharCharCharCharCharCharCharCharChar1CharCharCharCharCharCharCharCharCharCharCharCharCharCharCharChar">
    <w:name w:val="Char Char Char Char Char Char Char Char Char Char Char1 Char Char Char Char Char Char Char Char Char Char Char Char Char Char Char Char"/>
    <w:basedOn w:val="a"/>
    <w:qFormat/>
    <w:rPr>
      <w:rFonts w:ascii="Times New Roman" w:eastAsia="宋体" w:hAnsi="Times New Roman" w:cs="Times New Roman"/>
      <w:sz w:val="24"/>
      <w:szCs w:val="24"/>
    </w:rPr>
  </w:style>
  <w:style w:type="paragraph" w:customStyle="1" w:styleId="2ffffff6">
    <w:name w:val="样式 四号 黑色 首行缩进:  2 字符"/>
    <w:basedOn w:val="a"/>
    <w:qFormat/>
    <w:pPr>
      <w:spacing w:line="480" w:lineRule="atLeast"/>
      <w:ind w:firstLineChars="200" w:firstLine="200"/>
    </w:pPr>
    <w:rPr>
      <w:rFonts w:ascii="Times New Roman" w:eastAsia="宋体" w:hAnsi="Times New Roman" w:cs="Times New Roman"/>
      <w:color w:val="000000"/>
      <w:sz w:val="24"/>
      <w:szCs w:val="24"/>
    </w:rPr>
  </w:style>
  <w:style w:type="paragraph" w:customStyle="1" w:styleId="1135">
    <w:name w:val="样式 标题 1 + (中文) 宋体 小三 行距: 多倍行距 1.35 字行"/>
    <w:basedOn w:val="1"/>
    <w:qFormat/>
    <w:pPr>
      <w:keepNext/>
      <w:keepLines/>
      <w:tabs>
        <w:tab w:val="left" w:pos="425"/>
        <w:tab w:val="left" w:pos="720"/>
      </w:tabs>
      <w:snapToGrid w:val="0"/>
      <w:spacing w:beforeLines="150" w:before="468" w:afterLines="150" w:after="468" w:line="300" w:lineRule="auto"/>
      <w:ind w:left="720" w:hanging="720"/>
      <w:jc w:val="both"/>
    </w:pPr>
    <w:rPr>
      <w:rFonts w:ascii="幼圆" w:eastAsia="幼圆" w:cs="Times New Roman"/>
      <w:color w:val="0000FF"/>
      <w:kern w:val="44"/>
      <w:sz w:val="32"/>
      <w:szCs w:val="32"/>
      <w:lang w:eastAsia="zh-CN"/>
    </w:rPr>
  </w:style>
  <w:style w:type="paragraph" w:customStyle="1" w:styleId="afffffffffffffffffffffffff5">
    <w:name w:val="表字"/>
    <w:basedOn w:val="a"/>
    <w:qFormat/>
    <w:pPr>
      <w:jc w:val="center"/>
    </w:pPr>
    <w:rPr>
      <w:rFonts w:ascii="宋体" w:eastAsia="宋体" w:hAnsi="Times New Roman" w:cs="Times New Roman"/>
      <w:szCs w:val="20"/>
    </w:rPr>
  </w:style>
  <w:style w:type="paragraph" w:customStyle="1" w:styleId="afffffffffffffffffffffffff6">
    <w:name w:val="引言"/>
    <w:basedOn w:val="a"/>
    <w:next w:val="a"/>
    <w:qFormat/>
    <w:pPr>
      <w:snapToGrid w:val="0"/>
      <w:jc w:val="center"/>
    </w:pPr>
    <w:rPr>
      <w:rFonts w:ascii="仿宋_GB2312" w:eastAsia="仿宋_GB2312" w:hAnsi="Times New Roman" w:cs="Times New Roman"/>
      <w:color w:val="000000"/>
      <w:sz w:val="24"/>
      <w:szCs w:val="24"/>
    </w:rPr>
  </w:style>
  <w:style w:type="paragraph" w:customStyle="1" w:styleId="129">
    <w:name w:val="标题12"/>
    <w:basedOn w:val="a"/>
    <w:qFormat/>
    <w:pPr>
      <w:spacing w:after="240"/>
      <w:outlineLvl w:val="0"/>
    </w:pPr>
    <w:rPr>
      <w:rFonts w:ascii="Times New Roman" w:eastAsia="黑体" w:hAnsi="Times New Roman" w:cs="Times New Roman"/>
      <w:sz w:val="44"/>
      <w:szCs w:val="44"/>
    </w:rPr>
  </w:style>
  <w:style w:type="paragraph" w:customStyle="1" w:styleId="NewNewNewNewNewNewNewNewNewNewNewNewNewNewNewNewNewNewNew">
    <w:name w:val="正文 New New New New New New New New New New New New New New New New New New New"/>
    <w:qFormat/>
    <w:pPr>
      <w:widowControl w:val="0"/>
      <w:jc w:val="both"/>
    </w:pPr>
    <w:rPr>
      <w:rFonts w:ascii="Times New Roman" w:eastAsia="仿宋_GB2312" w:hAnsi="Times New Roman" w:cs="Times New Roman"/>
      <w:kern w:val="2"/>
      <w:sz w:val="32"/>
      <w:szCs w:val="24"/>
    </w:rPr>
  </w:style>
  <w:style w:type="paragraph" w:customStyle="1" w:styleId="66152">
    <w:name w:val="样式 宋体 小四 左 段前: 6 磅 段后: 6 磅 行距: 1.5 倍行距2"/>
    <w:basedOn w:val="a"/>
    <w:qFormat/>
    <w:pPr>
      <w:spacing w:line="300" w:lineRule="exact"/>
      <w:jc w:val="center"/>
    </w:pPr>
    <w:rPr>
      <w:rFonts w:ascii="Times New Roman" w:eastAsia="宋体" w:hAnsi="Times New Roman" w:cs="Times New Roman"/>
      <w:szCs w:val="21"/>
    </w:rPr>
  </w:style>
  <w:style w:type="paragraph" w:customStyle="1" w:styleId="afffffffffffffffffffffffff7">
    <w:name w:val="前言"/>
    <w:basedOn w:val="afffff4"/>
    <w:qFormat/>
    <w:pPr>
      <w:widowControl w:val="0"/>
      <w:tabs>
        <w:tab w:val="clear" w:pos="315"/>
        <w:tab w:val="clear" w:pos="360"/>
      </w:tabs>
      <w:adjustRightInd/>
      <w:snapToGrid/>
      <w:ind w:left="0" w:firstLineChars="0" w:firstLine="0"/>
      <w:jc w:val="center"/>
    </w:pPr>
    <w:rPr>
      <w:rFonts w:ascii="Times New Roman" w:eastAsia="华文中宋" w:hAnsi="Times New Roman"/>
      <w:sz w:val="32"/>
    </w:rPr>
  </w:style>
  <w:style w:type="paragraph" w:customStyle="1" w:styleId="2ffffff7">
    <w:name w:val="样式 首行缩进 + 四号 首行缩进:  2 字符 行距: 单倍行距"/>
    <w:basedOn w:val="a"/>
    <w:qFormat/>
    <w:pPr>
      <w:snapToGrid w:val="0"/>
      <w:spacing w:line="360" w:lineRule="auto"/>
    </w:pPr>
    <w:rPr>
      <w:rFonts w:ascii="Times New Roman" w:eastAsia="宋体" w:hAnsi="宋体" w:cs="Times New Roman"/>
      <w:sz w:val="28"/>
      <w:szCs w:val="20"/>
    </w:rPr>
  </w:style>
  <w:style w:type="paragraph" w:customStyle="1" w:styleId="08525">
    <w:name w:val="样式 居中 首行缩进:  0.85 厘米 行距: 固定值 25 磅"/>
    <w:basedOn w:val="a"/>
    <w:qFormat/>
    <w:pPr>
      <w:spacing w:line="500" w:lineRule="exact"/>
      <w:jc w:val="center"/>
    </w:pPr>
    <w:rPr>
      <w:rFonts w:ascii="Times New Roman" w:eastAsia="宋体" w:hAnsi="Times New Roman" w:cs="Times New Roman"/>
      <w:szCs w:val="20"/>
    </w:rPr>
  </w:style>
  <w:style w:type="paragraph" w:customStyle="1" w:styleId="afffffffffffffffffffffffff8">
    <w:name w:val="正文编号"/>
    <w:basedOn w:val="a"/>
    <w:qFormat/>
    <w:pPr>
      <w:tabs>
        <w:tab w:val="left" w:pos="796"/>
      </w:tabs>
      <w:adjustRightInd w:val="0"/>
      <w:spacing w:line="360" w:lineRule="auto"/>
      <w:ind w:left="796" w:hanging="720"/>
      <w:textAlignment w:val="baseline"/>
    </w:pPr>
    <w:rPr>
      <w:rFonts w:ascii="Arial" w:eastAsia="宋体" w:hAnsi="Arial" w:cs="Times New Roman"/>
      <w:kern w:val="0"/>
      <w:sz w:val="24"/>
      <w:szCs w:val="20"/>
    </w:rPr>
  </w:style>
  <w:style w:type="paragraph" w:customStyle="1" w:styleId="-2">
    <w:name w:val="宏福正文-2"/>
    <w:basedOn w:val="111"/>
    <w:qFormat/>
    <w:pPr>
      <w:snapToGrid w:val="0"/>
      <w:spacing w:before="240" w:after="0" w:line="400" w:lineRule="atLeast"/>
      <w:ind w:firstLineChars="0" w:firstLine="567"/>
    </w:pPr>
    <w:rPr>
      <w:rFonts w:ascii="仿宋_GB2312" w:cs="宋体"/>
      <w:kern w:val="2"/>
      <w:sz w:val="28"/>
      <w:szCs w:val="24"/>
    </w:rPr>
  </w:style>
  <w:style w:type="paragraph" w:customStyle="1" w:styleId="1ffffff8">
    <w:name w:val="普通表格1"/>
    <w:basedOn w:val="afb"/>
    <w:qFormat/>
    <w:pPr>
      <w:widowControl w:val="0"/>
      <w:snapToGrid w:val="0"/>
      <w:spacing w:line="380" w:lineRule="exact"/>
      <w:jc w:val="both"/>
    </w:pPr>
    <w:rPr>
      <w:rFonts w:ascii="Times New Roman" w:hAnsi="Times New Roman" w:cs="Times New Roman"/>
      <w:kern w:val="2"/>
      <w:sz w:val="24"/>
      <w:szCs w:val="20"/>
    </w:rPr>
  </w:style>
  <w:style w:type="paragraph" w:customStyle="1" w:styleId="CharCharChar1CharCharCharCharCharCharChar2">
    <w:name w:val="Char Char Char1 Char Char Char Char Char Char Char2"/>
    <w:basedOn w:val="a"/>
    <w:qFormat/>
    <w:rPr>
      <w:rFonts w:ascii="Tahoma" w:eastAsia="宋体" w:hAnsi="Tahoma" w:cs="Times New Roman"/>
      <w:sz w:val="24"/>
      <w:szCs w:val="20"/>
    </w:rPr>
  </w:style>
  <w:style w:type="paragraph" w:customStyle="1" w:styleId="afffffffffffffffffffffffff9">
    <w:name w:val="小四表文居中"/>
    <w:qFormat/>
    <w:pPr>
      <w:widowControl w:val="0"/>
      <w:spacing w:line="320" w:lineRule="exact"/>
      <w:jc w:val="center"/>
    </w:pPr>
    <w:rPr>
      <w:rFonts w:ascii="仿宋_GB2312" w:eastAsia="仿宋_GB2312" w:hAnsi="Times New Roman" w:cs="Times New Roman"/>
      <w:kern w:val="2"/>
      <w:sz w:val="24"/>
      <w:szCs w:val="24"/>
    </w:rPr>
  </w:style>
  <w:style w:type="paragraph" w:customStyle="1" w:styleId="Date2">
    <w:name w:val="Date2"/>
    <w:basedOn w:val="a"/>
    <w:next w:val="a"/>
    <w:qFormat/>
    <w:pPr>
      <w:adjustRightInd w:val="0"/>
      <w:textAlignment w:val="baseline"/>
    </w:pPr>
    <w:rPr>
      <w:rFonts w:ascii="Times New Roman" w:eastAsia="宋体" w:hAnsi="Times New Roman" w:cs="Times New Roman"/>
      <w:szCs w:val="20"/>
    </w:rPr>
  </w:style>
  <w:style w:type="paragraph" w:customStyle="1" w:styleId="Char4CharCharChar1">
    <w:name w:val="Char4 Char Char Char1"/>
    <w:basedOn w:val="a"/>
    <w:qFormat/>
    <w:rPr>
      <w:rFonts w:ascii="Times New Roman" w:eastAsia="仿宋_GB2312" w:hAnsi="Times New Roman" w:cs="Times New Roman"/>
      <w:sz w:val="28"/>
      <w:szCs w:val="24"/>
    </w:rPr>
  </w:style>
  <w:style w:type="paragraph" w:customStyle="1" w:styleId="afffffffffffffffffffffffffa">
    <w:name w:val="图文字"/>
    <w:basedOn w:val="a"/>
    <w:qFormat/>
    <w:pPr>
      <w:spacing w:line="400" w:lineRule="exact"/>
      <w:jc w:val="center"/>
    </w:pPr>
    <w:rPr>
      <w:rFonts w:ascii="宋体" w:eastAsia="宋体" w:hAnsi="宋体" w:cs="Times New Roman"/>
      <w:kern w:val="44"/>
      <w:sz w:val="24"/>
      <w:szCs w:val="24"/>
    </w:rPr>
  </w:style>
  <w:style w:type="paragraph" w:customStyle="1" w:styleId="1710">
    <w:name w:val="样式 首行缩进:  1.71 字符"/>
    <w:basedOn w:val="a"/>
    <w:qFormat/>
    <w:pPr>
      <w:spacing w:line="360" w:lineRule="auto"/>
      <w:jc w:val="center"/>
    </w:pPr>
    <w:rPr>
      <w:rFonts w:ascii="宋体" w:eastAsia="宋体" w:hAnsi="宋体" w:cs="Times New Roman"/>
      <w:color w:val="000000"/>
      <w:kern w:val="0"/>
      <w:szCs w:val="21"/>
    </w:rPr>
  </w:style>
  <w:style w:type="paragraph" w:customStyle="1" w:styleId="c30">
    <w:name w:val="c新标题3"/>
    <w:basedOn w:val="3"/>
    <w:qFormat/>
    <w:pPr>
      <w:tabs>
        <w:tab w:val="left" w:pos="780"/>
        <w:tab w:val="left" w:pos="1418"/>
      </w:tabs>
      <w:spacing w:line="240" w:lineRule="exact"/>
      <w:ind w:left="780" w:hanging="360"/>
    </w:pPr>
    <w:rPr>
      <w:b w:val="0"/>
      <w:sz w:val="24"/>
    </w:rPr>
  </w:style>
  <w:style w:type="paragraph" w:customStyle="1" w:styleId="-0161">
    <w:name w:val="样式 左侧:  -0.16 厘米1"/>
    <w:basedOn w:val="a"/>
    <w:qFormat/>
    <w:pPr>
      <w:ind w:left="-90"/>
    </w:pPr>
    <w:rPr>
      <w:rFonts w:ascii="宋体" w:eastAsia="宋体" w:hAnsi="宋体" w:cs="宋体"/>
      <w:kern w:val="0"/>
      <w:sz w:val="24"/>
      <w:szCs w:val="24"/>
    </w:rPr>
  </w:style>
  <w:style w:type="paragraph" w:customStyle="1" w:styleId="020">
    <w:name w:val="样式 列表 + 左侧:  0 厘米 悬挂缩进: 2 字符"/>
    <w:basedOn w:val="affa"/>
    <w:qFormat/>
    <w:pPr>
      <w:tabs>
        <w:tab w:val="center" w:pos="4153"/>
        <w:tab w:val="right" w:pos="8306"/>
      </w:tabs>
      <w:snapToGrid w:val="0"/>
      <w:ind w:left="0" w:firstLineChars="0" w:firstLine="0"/>
      <w:jc w:val="center"/>
    </w:pPr>
    <w:rPr>
      <w:rFonts w:ascii="仿宋_GB2312" w:eastAsia="仿宋_GB2312" w:hAnsi="宋体" w:cs="宋体"/>
      <w:color w:val="000000"/>
      <w:sz w:val="24"/>
    </w:rPr>
  </w:style>
  <w:style w:type="paragraph" w:customStyle="1" w:styleId="afffffffffffffffffffffffffb">
    <w:name w:val="表格样式"/>
    <w:basedOn w:val="a"/>
    <w:qFormat/>
    <w:pPr>
      <w:jc w:val="right"/>
    </w:pPr>
    <w:rPr>
      <w:rFonts w:ascii="Times New Roman" w:eastAsia="宋体" w:hAnsi="Times New Roman" w:cs="Times New Roman"/>
      <w:kern w:val="0"/>
      <w:sz w:val="18"/>
      <w:szCs w:val="24"/>
    </w:rPr>
  </w:style>
  <w:style w:type="paragraph" w:customStyle="1" w:styleId="Char4CharCharCharCharCharCharCharCharCharCharCharCharCharCharCharCharChar1CharCharCharCharCharChar1CharCharCharCharCharCharCharCharCharCharCharCharCharCharCharChar">
    <w:name w:val="Char4 Char Char Char Char Char Char Char Char Char Char Char Char Char Char Char Char Char1 Char Char Char Char Char Char1 Char Char Char Char Char Char Char Char Char Char Char Char Char Char Char Char"/>
    <w:basedOn w:val="a"/>
    <w:qFormat/>
    <w:pPr>
      <w:spacing w:line="240" w:lineRule="exact"/>
      <w:ind w:firstLineChars="200" w:firstLine="200"/>
    </w:pPr>
    <w:rPr>
      <w:rFonts w:ascii="Times New Roman" w:eastAsia="宋体" w:hAnsi="Times New Roman" w:cs="Times New Roman"/>
      <w:sz w:val="28"/>
      <w:szCs w:val="28"/>
    </w:rPr>
  </w:style>
  <w:style w:type="paragraph" w:customStyle="1" w:styleId="12a">
    <w:name w:val="宋体 行距: 固定值 12 磅"/>
    <w:basedOn w:val="aff5"/>
    <w:qFormat/>
    <w:pPr>
      <w:widowControl/>
      <w:pBdr>
        <w:bottom w:val="none" w:sz="0" w:space="0" w:color="auto"/>
      </w:pBdr>
      <w:tabs>
        <w:tab w:val="clear" w:pos="4153"/>
        <w:tab w:val="clear" w:pos="8306"/>
      </w:tabs>
      <w:snapToGrid/>
      <w:spacing w:line="240" w:lineRule="exact"/>
    </w:pPr>
    <w:rPr>
      <w:rFonts w:ascii="宋体" w:eastAsia="宋体" w:hAnsi="宋体" w:cs="Times New Roman"/>
      <w:spacing w:val="-20"/>
      <w:kern w:val="0"/>
    </w:rPr>
  </w:style>
  <w:style w:type="paragraph" w:customStyle="1" w:styleId="339391352">
    <w:name w:val="样式 标题 3 + 加粗 段前: 3.9 磅 段后: 3.9 磅 行距: 多倍行距 1.35 字行2"/>
    <w:basedOn w:val="3"/>
    <w:qFormat/>
    <w:pPr>
      <w:widowControl w:val="0"/>
      <w:tabs>
        <w:tab w:val="left" w:pos="709"/>
        <w:tab w:val="left" w:pos="1418"/>
      </w:tabs>
      <w:adjustRightInd w:val="0"/>
      <w:snapToGrid w:val="0"/>
      <w:spacing w:before="78" w:after="78" w:line="324" w:lineRule="auto"/>
      <w:ind w:left="709" w:hanging="709"/>
      <w:jc w:val="both"/>
    </w:pPr>
    <w:rPr>
      <w:rFonts w:ascii="仿宋_GB2312" w:eastAsia="仿宋_GB2312" w:cs="宋体"/>
      <w:kern w:val="2"/>
      <w:sz w:val="28"/>
      <w:szCs w:val="20"/>
    </w:rPr>
  </w:style>
  <w:style w:type="paragraph" w:customStyle="1" w:styleId="11f4">
    <w:name w:val="表样式1.1"/>
    <w:basedOn w:val="a"/>
    <w:qFormat/>
    <w:pPr>
      <w:autoSpaceDE w:val="0"/>
      <w:autoSpaceDN w:val="0"/>
      <w:adjustRightInd w:val="0"/>
      <w:snapToGrid w:val="0"/>
      <w:spacing w:line="374" w:lineRule="exact"/>
      <w:jc w:val="center"/>
    </w:pPr>
    <w:rPr>
      <w:rFonts w:ascii="宋体" w:eastAsia="宋体" w:hAnsi="宋体" w:cs="Times New Roman"/>
      <w:color w:val="000000"/>
      <w:kern w:val="0"/>
      <w:szCs w:val="20"/>
    </w:rPr>
  </w:style>
  <w:style w:type="paragraph" w:customStyle="1" w:styleId="BodyText23">
    <w:name w:val="Body Text 23"/>
    <w:basedOn w:val="a"/>
    <w:qFormat/>
    <w:pPr>
      <w:adjustRightInd w:val="0"/>
      <w:spacing w:after="120"/>
      <w:ind w:left="420"/>
      <w:textAlignment w:val="baseline"/>
    </w:pPr>
    <w:rPr>
      <w:rFonts w:ascii="宋体" w:eastAsia="宋体" w:hAnsi="宋体" w:cs="Times New Roman" w:hint="eastAsia"/>
      <w:sz w:val="24"/>
      <w:szCs w:val="20"/>
    </w:rPr>
  </w:style>
  <w:style w:type="paragraph" w:customStyle="1" w:styleId="xl210">
    <w:name w:val="xl210"/>
    <w:basedOn w:val="a"/>
    <w:qFormat/>
    <w:pPr>
      <w:widowControl/>
      <w:pBdr>
        <w:left w:val="single" w:sz="8" w:space="0" w:color="auto"/>
        <w:bottom w:val="single" w:sz="12" w:space="0" w:color="auto"/>
        <w:right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075">
    <w:name w:val="样式 报告书表格 + 小五 底端: (单实线 自动设置  0.75 磅 行宽)"/>
    <w:basedOn w:val="a"/>
    <w:qFormat/>
    <w:pPr>
      <w:adjustRightInd w:val="0"/>
      <w:spacing w:line="400" w:lineRule="exact"/>
      <w:jc w:val="center"/>
      <w:textAlignment w:val="baseline"/>
    </w:pPr>
    <w:rPr>
      <w:rFonts w:ascii="Times New Roman" w:eastAsia="仿宋_GB2312" w:hAnsi="Times New Roman" w:cs="宋体"/>
      <w:kern w:val="0"/>
      <w:sz w:val="18"/>
      <w:szCs w:val="18"/>
    </w:rPr>
  </w:style>
  <w:style w:type="paragraph" w:customStyle="1" w:styleId="afffffffffffffffffffffffffc">
    <w:name w:val="文本框五号"/>
    <w:semiHidden/>
    <w:qFormat/>
    <w:pPr>
      <w:adjustRightInd w:val="0"/>
      <w:spacing w:line="240" w:lineRule="atLeast"/>
      <w:jc w:val="center"/>
    </w:pPr>
    <w:rPr>
      <w:rFonts w:ascii="Times New Roman" w:eastAsia="仿宋_GB2312" w:hAnsi="Times New Roman" w:cs="Times New Roman"/>
      <w:snapToGrid w:val="0"/>
      <w:kern w:val="2"/>
      <w:sz w:val="21"/>
      <w:szCs w:val="21"/>
    </w:rPr>
  </w:style>
  <w:style w:type="paragraph" w:customStyle="1" w:styleId="afffffffffffffffffffffffffd">
    <w:name w:val="表题"/>
    <w:basedOn w:val="affa"/>
    <w:qFormat/>
    <w:pPr>
      <w:spacing w:beforeLines="50" w:before="50" w:line="480" w:lineRule="exact"/>
      <w:ind w:left="0" w:firstLineChars="0" w:firstLine="0"/>
      <w:jc w:val="center"/>
    </w:pPr>
    <w:rPr>
      <w:rFonts w:eastAsia="黑体"/>
      <w:sz w:val="28"/>
    </w:rPr>
  </w:style>
  <w:style w:type="paragraph" w:customStyle="1" w:styleId="TY">
    <w:name w:val="TY"/>
    <w:basedOn w:val="a"/>
    <w:qFormat/>
    <w:pPr>
      <w:adjustRightInd w:val="0"/>
      <w:snapToGrid w:val="0"/>
      <w:spacing w:before="40" w:after="40"/>
    </w:pPr>
    <w:rPr>
      <w:rFonts w:ascii="Times New Roman" w:eastAsia="宋体" w:hAnsi="Times New Roman" w:cs="Times New Roman"/>
      <w:szCs w:val="20"/>
    </w:rPr>
  </w:style>
  <w:style w:type="paragraph" w:customStyle="1" w:styleId="InTable">
    <w:name w:val="In Table"/>
    <w:basedOn w:val="a"/>
    <w:qFormat/>
    <w:pPr>
      <w:widowControl/>
      <w:tabs>
        <w:tab w:val="left" w:pos="3960"/>
        <w:tab w:val="left" w:pos="5280"/>
      </w:tabs>
      <w:spacing w:before="96" w:after="96" w:line="0" w:lineRule="atLeast"/>
      <w:jc w:val="center"/>
    </w:pPr>
    <w:rPr>
      <w:rFonts w:ascii="Tahoma" w:eastAsia="华文中宋" w:hAnsi="Tahoma" w:cs="宋体"/>
      <w:kern w:val="0"/>
      <w:sz w:val="24"/>
      <w:szCs w:val="24"/>
    </w:rPr>
  </w:style>
  <w:style w:type="paragraph" w:customStyle="1" w:styleId="afffffffffffffffffffffffffe">
    <w:name w:val="报告表正文"/>
    <w:basedOn w:val="a"/>
    <w:qFormat/>
    <w:pPr>
      <w:adjustRightInd w:val="0"/>
      <w:spacing w:line="312" w:lineRule="auto"/>
      <w:ind w:left="113" w:right="113" w:firstLine="482"/>
      <w:jc w:val="left"/>
      <w:textAlignment w:val="baseline"/>
    </w:pPr>
    <w:rPr>
      <w:rFonts w:ascii="Times New Roman" w:eastAsia="宋体" w:hAnsi="Times New Roman" w:cs="Times New Roman"/>
      <w:kern w:val="0"/>
      <w:sz w:val="24"/>
      <w:szCs w:val="20"/>
    </w:rPr>
  </w:style>
  <w:style w:type="paragraph" w:customStyle="1" w:styleId="1ffffff9">
    <w:name w:val="表格正文1"/>
    <w:basedOn w:val="a"/>
    <w:qFormat/>
    <w:pPr>
      <w:jc w:val="center"/>
    </w:pPr>
    <w:rPr>
      <w:rFonts w:ascii="Times New Roman" w:eastAsia="宋体" w:hAnsi="Times New Roman" w:cs="Times New Roman"/>
      <w:szCs w:val="21"/>
    </w:rPr>
  </w:style>
  <w:style w:type="paragraph" w:customStyle="1" w:styleId="3fff6">
    <w:name w:val="正文文字 3"/>
    <w:basedOn w:val="a"/>
    <w:qFormat/>
    <w:pPr>
      <w:jc w:val="center"/>
    </w:pPr>
    <w:rPr>
      <w:rFonts w:ascii="Times New Roman" w:eastAsia="宋体" w:hAnsi="Times New Roman" w:cs="Times New Roman"/>
      <w:szCs w:val="21"/>
    </w:rPr>
  </w:style>
  <w:style w:type="paragraph" w:customStyle="1" w:styleId="affffffffffffffffffffffffff">
    <w:name w:val="正文小四 标准"/>
    <w:basedOn w:val="a"/>
    <w:qFormat/>
    <w:pPr>
      <w:spacing w:beforeLines="50" w:before="163" w:afterLines="50" w:after="163" w:line="360" w:lineRule="auto"/>
      <w:ind w:firstLineChars="200" w:firstLine="480"/>
    </w:pPr>
    <w:rPr>
      <w:rFonts w:ascii="Times New Roman" w:eastAsia="宋体" w:hAnsi="Times New Roman" w:cs="Times New Roman"/>
      <w:sz w:val="24"/>
      <w:szCs w:val="20"/>
    </w:rPr>
  </w:style>
  <w:style w:type="paragraph" w:customStyle="1" w:styleId="4ff">
    <w:name w:val="正文文本缩进4"/>
    <w:basedOn w:val="a"/>
    <w:qFormat/>
    <w:pPr>
      <w:spacing w:after="120" w:line="360" w:lineRule="auto"/>
      <w:ind w:leftChars="200" w:left="200" w:firstLineChars="200" w:firstLine="200"/>
    </w:pPr>
    <w:rPr>
      <w:rFonts w:ascii="Times New Roman" w:eastAsia="宋体" w:hAnsi="Times New Roman" w:cs="Times New Roman"/>
      <w:sz w:val="24"/>
      <w:szCs w:val="24"/>
    </w:rPr>
  </w:style>
  <w:style w:type="paragraph" w:customStyle="1" w:styleId="2ffffff8">
    <w:name w:val="表格文字2"/>
    <w:basedOn w:val="a"/>
    <w:qFormat/>
    <w:pPr>
      <w:tabs>
        <w:tab w:val="left" w:pos="277"/>
        <w:tab w:val="left" w:pos="600"/>
        <w:tab w:val="left" w:pos="780"/>
        <w:tab w:val="left" w:pos="2517"/>
      </w:tabs>
      <w:adjustRightInd w:val="0"/>
      <w:spacing w:before="60"/>
      <w:jc w:val="center"/>
      <w:textAlignment w:val="baseline"/>
    </w:pPr>
    <w:rPr>
      <w:rFonts w:ascii="Times New Roman" w:eastAsia="宋体" w:hAnsi="Times New Roman" w:cs="Times New Roman"/>
      <w:kern w:val="0"/>
      <w:szCs w:val="21"/>
    </w:rPr>
  </w:style>
  <w:style w:type="paragraph" w:customStyle="1" w:styleId="CharCharCharCharCharCharCharChar1CharCharCharCharCharCharCharCharCharCharCharChar">
    <w:name w:val="Char Char Char Char Char Char Char Char1 Char Char Char Char Char Char Char Char Char Char Char Char"/>
    <w:basedOn w:val="a"/>
    <w:qFormat/>
    <w:rPr>
      <w:rFonts w:ascii="Times New Roman" w:eastAsia="宋体" w:hAnsi="Times New Roman" w:cs="Times New Roman"/>
      <w:sz w:val="24"/>
      <w:szCs w:val="24"/>
    </w:rPr>
  </w:style>
  <w:style w:type="paragraph" w:customStyle="1" w:styleId="affffffffffffffffffffffffff0">
    <w:name w:val="表格内"/>
    <w:basedOn w:val="a"/>
    <w:qFormat/>
    <w:pPr>
      <w:adjustRightInd w:val="0"/>
      <w:spacing w:line="240" w:lineRule="atLeast"/>
      <w:jc w:val="center"/>
      <w:textAlignment w:val="baseline"/>
    </w:pPr>
    <w:rPr>
      <w:rFonts w:ascii="宋体" w:eastAsia="宋体" w:hAnsi="Times New Roman" w:cs="Times New Roman"/>
      <w:kern w:val="0"/>
      <w:sz w:val="28"/>
      <w:szCs w:val="28"/>
    </w:rPr>
  </w:style>
  <w:style w:type="paragraph" w:customStyle="1" w:styleId="CharChar1CharCharCharCharCharChar">
    <w:name w:val="Char Char1 Char Char Char Char Char Char"/>
    <w:basedOn w:val="a"/>
    <w:qFormat/>
    <w:rPr>
      <w:rFonts w:ascii="Times New Roman" w:eastAsia="宋体" w:hAnsi="Times New Roman" w:cs="Times New Roman"/>
      <w:szCs w:val="24"/>
    </w:rPr>
  </w:style>
  <w:style w:type="paragraph" w:customStyle="1" w:styleId="3CharCharCharChar1">
    <w:name w:val="标题3 Char Char Char Char"/>
    <w:basedOn w:val="a"/>
    <w:qFormat/>
    <w:pPr>
      <w:spacing w:afterLines="50" w:after="156" w:line="560" w:lineRule="exact"/>
    </w:pPr>
    <w:rPr>
      <w:rFonts w:ascii="Times New Roman" w:eastAsia="黑体" w:hAnsi="Times New Roman" w:cs="Times New Roman"/>
      <w:sz w:val="30"/>
      <w:szCs w:val="30"/>
    </w:rPr>
  </w:style>
  <w:style w:type="paragraph" w:customStyle="1" w:styleId="22a">
    <w:name w:val="样式 样式 左侧:  2 字符 + 首行缩进:  2 字符"/>
    <w:basedOn w:val="a"/>
    <w:qFormat/>
    <w:pPr>
      <w:spacing w:line="360" w:lineRule="auto"/>
      <w:ind w:firstLineChars="200" w:firstLine="480"/>
    </w:pPr>
    <w:rPr>
      <w:rFonts w:ascii="Times New Roman" w:eastAsia="宋体" w:hAnsi="Times New Roman" w:cs="Times New Roman"/>
      <w:sz w:val="24"/>
      <w:szCs w:val="20"/>
    </w:rPr>
  </w:style>
  <w:style w:type="paragraph" w:customStyle="1" w:styleId="1ffffffa">
    <w:name w:val="图1"/>
    <w:basedOn w:val="a"/>
    <w:next w:val="a"/>
    <w:qFormat/>
    <w:pPr>
      <w:tabs>
        <w:tab w:val="left" w:pos="360"/>
      </w:tabs>
      <w:spacing w:beforeLines="50" w:line="360" w:lineRule="auto"/>
      <w:ind w:left="4420" w:hanging="748"/>
      <w:jc w:val="center"/>
    </w:pPr>
    <w:rPr>
      <w:rFonts w:ascii="Times New Roman" w:eastAsia="宋体" w:hAnsi="Times New Roman" w:cs="Times New Roman"/>
      <w:kern w:val="0"/>
      <w:sz w:val="24"/>
      <w:szCs w:val="24"/>
    </w:rPr>
  </w:style>
  <w:style w:type="paragraph" w:customStyle="1" w:styleId="xl206">
    <w:name w:val="xl206"/>
    <w:basedOn w:val="a"/>
    <w:qFormat/>
    <w:pPr>
      <w:widowControl/>
      <w:pBdr>
        <w:right w:val="single" w:sz="8" w:space="0" w:color="auto"/>
      </w:pBdr>
      <w:spacing w:before="100" w:beforeAutospacing="1" w:after="100" w:afterAutospacing="1"/>
      <w:jc w:val="center"/>
    </w:pPr>
    <w:rPr>
      <w:rFonts w:ascii="Times New Roman" w:eastAsia="宋体" w:hAnsi="Times New Roman" w:cs="Times New Roman"/>
      <w:kern w:val="0"/>
      <w:sz w:val="18"/>
      <w:szCs w:val="18"/>
    </w:rPr>
  </w:style>
  <w:style w:type="paragraph" w:customStyle="1" w:styleId="Charfffffffd">
    <w:name w:val="我的样式（正文） Char"/>
    <w:basedOn w:val="a"/>
    <w:qFormat/>
    <w:pPr>
      <w:spacing w:line="440" w:lineRule="exact"/>
    </w:pPr>
    <w:rPr>
      <w:rFonts w:ascii="宋体" w:eastAsia="宋体" w:hAnsi="华文楷体" w:cs="Times New Roman"/>
      <w:sz w:val="28"/>
      <w:szCs w:val="24"/>
    </w:rPr>
  </w:style>
  <w:style w:type="paragraph" w:customStyle="1" w:styleId="pic-info">
    <w:name w:val="pic-info"/>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yz">
    <w:name w:val="yz"/>
    <w:basedOn w:val="af5"/>
    <w:qFormat/>
    <w:pPr>
      <w:tabs>
        <w:tab w:val="left" w:pos="900"/>
      </w:tabs>
      <w:adjustRightInd w:val="0"/>
      <w:spacing w:after="0"/>
      <w:ind w:firstLineChars="200" w:firstLine="200"/>
      <w:textAlignment w:val="baseline"/>
    </w:pPr>
    <w:rPr>
      <w:rFonts w:ascii="宋体" w:eastAsia="宋体" w:hAnsi="宋体" w:cs="Times New Roman" w:hint="eastAsia"/>
      <w:sz w:val="24"/>
      <w:szCs w:val="20"/>
    </w:rPr>
  </w:style>
  <w:style w:type="paragraph" w:customStyle="1" w:styleId="CharCharCharCharCharCharCharChar1CharCharCharCharCharCharCharCharCharCharCharChar1Char">
    <w:name w:val="Char Char Char Char Char Char Char Char1 Char Char Char Char Char Char Char Char Char Char Char Char1 Char"/>
    <w:basedOn w:val="a"/>
    <w:qFormat/>
    <w:rPr>
      <w:rFonts w:ascii="Times New Roman" w:eastAsia="宋体" w:hAnsi="Times New Roman" w:cs="Times New Roman"/>
      <w:sz w:val="24"/>
      <w:szCs w:val="24"/>
    </w:rPr>
  </w:style>
  <w:style w:type="paragraph" w:customStyle="1" w:styleId="font19">
    <w:name w:val="font19"/>
    <w:basedOn w:val="a"/>
    <w:qFormat/>
    <w:pPr>
      <w:widowControl/>
      <w:spacing w:before="100" w:beforeAutospacing="1" w:after="100" w:afterAutospacing="1"/>
      <w:jc w:val="left"/>
    </w:pPr>
    <w:rPr>
      <w:rFonts w:ascii="Times New Roman" w:eastAsia="宋体" w:hAnsi="Times New Roman" w:cs="Times New Roman"/>
      <w:color w:val="CC99FF"/>
      <w:kern w:val="0"/>
      <w:sz w:val="18"/>
      <w:szCs w:val="18"/>
    </w:rPr>
  </w:style>
  <w:style w:type="paragraph" w:customStyle="1" w:styleId="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w:basedOn w:val="a"/>
    <w:qFormat/>
    <w:rPr>
      <w:rFonts w:ascii="Times New Roman" w:eastAsia="宋体" w:hAnsi="Times New Roman" w:cs="Times New Roman"/>
      <w:sz w:val="24"/>
      <w:szCs w:val="24"/>
    </w:rPr>
  </w:style>
  <w:style w:type="paragraph" w:customStyle="1" w:styleId="affffffffffffffffffffffffff1">
    <w:name w:val="表格文字居左"/>
    <w:basedOn w:val="111"/>
    <w:qFormat/>
    <w:pPr>
      <w:widowControl w:val="0"/>
      <w:tabs>
        <w:tab w:val="left" w:pos="628"/>
        <w:tab w:val="left" w:pos="1727"/>
        <w:tab w:val="left" w:pos="1884"/>
      </w:tabs>
      <w:snapToGrid w:val="0"/>
      <w:spacing w:before="50" w:after="100" w:afterAutospacing="1"/>
      <w:ind w:left="26" w:firstLineChars="0" w:firstLine="0"/>
      <w:outlineLvl w:val="0"/>
    </w:pPr>
    <w:rPr>
      <w:rFonts w:ascii="宋体" w:hAnsi="宋体"/>
      <w:szCs w:val="28"/>
    </w:rPr>
  </w:style>
  <w:style w:type="paragraph" w:customStyle="1" w:styleId="1ffffffb">
    <w:name w:val="表1"/>
    <w:basedOn w:val="a"/>
    <w:qFormat/>
    <w:pPr>
      <w:widowControl/>
      <w:spacing w:line="480" w:lineRule="exact"/>
      <w:jc w:val="center"/>
    </w:pPr>
    <w:rPr>
      <w:rFonts w:ascii="宋体" w:eastAsia="宋体" w:hAnsi="宋体" w:cs="宋体"/>
      <w:kern w:val="0"/>
      <w:sz w:val="24"/>
      <w:szCs w:val="24"/>
    </w:rPr>
  </w:style>
  <w:style w:type="paragraph" w:customStyle="1" w:styleId="font18">
    <w:name w:val="font18"/>
    <w:basedOn w:val="a"/>
    <w:qFormat/>
    <w:pPr>
      <w:widowControl/>
      <w:spacing w:before="100" w:beforeAutospacing="1" w:after="100" w:afterAutospacing="1"/>
      <w:jc w:val="left"/>
    </w:pPr>
    <w:rPr>
      <w:rFonts w:ascii="宋体" w:eastAsia="宋体" w:hAnsi="宋体" w:cs="宋体"/>
      <w:color w:val="CC99FF"/>
      <w:kern w:val="0"/>
      <w:sz w:val="18"/>
      <w:szCs w:val="18"/>
    </w:rPr>
  </w:style>
  <w:style w:type="paragraph" w:customStyle="1" w:styleId="T2">
    <w:name w:val="T表格"/>
    <w:qFormat/>
    <w:pPr>
      <w:spacing w:line="300" w:lineRule="exact"/>
      <w:jc w:val="center"/>
    </w:pPr>
    <w:rPr>
      <w:rFonts w:ascii="仿宋_GB2312" w:eastAsia="仿宋_GB2312" w:hAnsi="Times New Roman" w:cs="Times New Roman"/>
      <w:kern w:val="2"/>
      <w:sz w:val="24"/>
    </w:rPr>
  </w:style>
  <w:style w:type="paragraph" w:customStyle="1" w:styleId="affffffffffffffffffffffffff2">
    <w:name w:val="目次、标准名称标题"/>
    <w:basedOn w:val="affffffff1"/>
    <w:next w:val="affffc"/>
    <w:qFormat/>
    <w:pPr>
      <w:tabs>
        <w:tab w:val="clear" w:pos="903"/>
      </w:tabs>
      <w:spacing w:line="460" w:lineRule="exact"/>
      <w:ind w:left="0" w:firstLine="0"/>
    </w:pPr>
  </w:style>
  <w:style w:type="paragraph" w:customStyle="1" w:styleId="1205">
    <w:name w:val="样式 表头样式1 + 首行缩进:  2 字符 段前: 0.5 行"/>
    <w:basedOn w:val="1fffffe"/>
    <w:qFormat/>
    <w:pPr>
      <w:snapToGrid/>
      <w:spacing w:afterLines="0" w:after="100" w:afterAutospacing="1"/>
    </w:pPr>
    <w:rPr>
      <w:rFonts w:ascii="Times New Roman" w:hAnsi="Times New Roman" w:cs="宋体"/>
      <w:bCs/>
      <w:color w:val="000000"/>
      <w:lang w:eastAsia="zh-TW"/>
    </w:rPr>
  </w:style>
  <w:style w:type="paragraph" w:customStyle="1" w:styleId="CharChar6CharCharCharChar">
    <w:name w:val="Char Char6 Char Char Char Char"/>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affffffffffffffffffffffffff3">
    <w:name w:val="样式 图表"/>
    <w:basedOn w:val="a"/>
    <w:qFormat/>
    <w:pPr>
      <w:adjustRightInd w:val="0"/>
      <w:spacing w:line="360" w:lineRule="auto"/>
      <w:jc w:val="center"/>
      <w:textAlignment w:val="baseline"/>
    </w:pPr>
    <w:rPr>
      <w:rFonts w:ascii="Times New Roman" w:eastAsia="宋体" w:hAnsi="Times New Roman" w:cs="Times New Roman"/>
      <w:b/>
      <w:kern w:val="0"/>
      <w:sz w:val="24"/>
      <w:szCs w:val="20"/>
    </w:rPr>
  </w:style>
  <w:style w:type="paragraph" w:customStyle="1" w:styleId="affffffffffffffffffffffffff4">
    <w:name w:val="高表标"/>
    <w:basedOn w:val="a"/>
    <w:qFormat/>
    <w:pPr>
      <w:snapToGrid w:val="0"/>
      <w:spacing w:line="300" w:lineRule="auto"/>
      <w:jc w:val="right"/>
    </w:pPr>
    <w:rPr>
      <w:rFonts w:ascii="Arial" w:eastAsia="黑体" w:hAnsi="Arial" w:cs="Times New Roman"/>
      <w:bCs/>
      <w:sz w:val="24"/>
      <w:szCs w:val="24"/>
    </w:rPr>
  </w:style>
  <w:style w:type="paragraph" w:customStyle="1" w:styleId="3fff7">
    <w:name w:val="条3"/>
    <w:basedOn w:val="a"/>
    <w:next w:val="a"/>
    <w:qFormat/>
    <w:pPr>
      <w:tabs>
        <w:tab w:val="left" w:pos="1440"/>
      </w:tabs>
      <w:outlineLvl w:val="1"/>
    </w:pPr>
    <w:rPr>
      <w:rFonts w:ascii="黑体" w:eastAsia="黑体" w:hAnsi="Times New Roman" w:cs="Times New Roman" w:hint="eastAsia"/>
      <w:kern w:val="21"/>
      <w:szCs w:val="20"/>
    </w:rPr>
  </w:style>
  <w:style w:type="paragraph" w:customStyle="1" w:styleId="7a">
    <w:name w:val="7"/>
    <w:basedOn w:val="a"/>
    <w:qFormat/>
    <w:pPr>
      <w:widowControl/>
      <w:jc w:val="left"/>
    </w:pPr>
    <w:rPr>
      <w:rFonts w:ascii="Times New Roman" w:eastAsia="宋体" w:hAnsi="Times New Roman" w:cs="Times New Roman"/>
      <w:kern w:val="0"/>
      <w:sz w:val="24"/>
      <w:szCs w:val="20"/>
    </w:rPr>
  </w:style>
  <w:style w:type="paragraph" w:customStyle="1" w:styleId="CM16">
    <w:name w:val="CM16"/>
    <w:basedOn w:val="Default"/>
    <w:next w:val="Default"/>
    <w:qFormat/>
    <w:pPr>
      <w:spacing w:line="440" w:lineRule="atLeast"/>
    </w:pPr>
    <w:rPr>
      <w:rFonts w:ascii="楷体_GB2312" w:eastAsia="楷体_GB2312" w:hAnsi="Times New Roman" w:cs="Times New Roman"/>
      <w:color w:val="auto"/>
    </w:rPr>
  </w:style>
  <w:style w:type="paragraph" w:customStyle="1" w:styleId="CharCharChar1CharCharCharCharCharChar1CharCharCharCharCharCharCharCharCharChar4">
    <w:name w:val="Char Char Char1 Char Char Char Char Char Char1 Char Char Char Char Char Char Char Char Char Char4"/>
    <w:basedOn w:val="a"/>
    <w:qFormat/>
    <w:rPr>
      <w:rFonts w:ascii="宋体" w:eastAsia="宋体" w:hAnsi="宋体" w:cs="Times New Roman"/>
      <w:sz w:val="24"/>
      <w:szCs w:val="24"/>
    </w:rPr>
  </w:style>
  <w:style w:type="paragraph" w:customStyle="1" w:styleId="1ffffffc">
    <w:name w:val="表字1"/>
    <w:basedOn w:val="a"/>
    <w:qFormat/>
    <w:pPr>
      <w:adjustRightInd w:val="0"/>
      <w:spacing w:line="360" w:lineRule="auto"/>
      <w:jc w:val="center"/>
      <w:textAlignment w:val="baseline"/>
    </w:pPr>
    <w:rPr>
      <w:rFonts w:ascii="宋体" w:eastAsia="宋体" w:hAnsi="Times New Roman" w:cs="Times New Roman"/>
      <w:kern w:val="0"/>
      <w:szCs w:val="20"/>
    </w:rPr>
  </w:style>
  <w:style w:type="paragraph" w:customStyle="1" w:styleId="3112">
    <w:name w:val="正文文本缩进 311"/>
    <w:basedOn w:val="a"/>
    <w:qFormat/>
    <w:pPr>
      <w:adjustRightInd w:val="0"/>
      <w:spacing w:line="480" w:lineRule="exact"/>
      <w:ind w:firstLine="525"/>
      <w:textAlignment w:val="baseline"/>
    </w:pPr>
    <w:rPr>
      <w:rFonts w:ascii="宋体" w:eastAsia="宋体" w:hAnsi="Times New Roman" w:cs="Times New Roman"/>
      <w:sz w:val="28"/>
      <w:szCs w:val="20"/>
    </w:rPr>
  </w:style>
  <w:style w:type="paragraph" w:customStyle="1" w:styleId="4150">
    <w:name w:val="样式 标题 4 + 黑色 行距: 1.5 倍行距"/>
    <w:basedOn w:val="41"/>
    <w:qFormat/>
    <w:pPr>
      <w:keepNext/>
      <w:keepLines/>
      <w:tabs>
        <w:tab w:val="left" w:pos="864"/>
        <w:tab w:val="left" w:pos="1984"/>
      </w:tabs>
      <w:adjustRightInd w:val="0"/>
      <w:snapToGrid w:val="0"/>
      <w:spacing w:before="0" w:line="360" w:lineRule="auto"/>
      <w:ind w:left="709" w:hanging="709"/>
      <w:jc w:val="both"/>
      <w:textAlignment w:val="baseline"/>
    </w:pPr>
    <w:rPr>
      <w:rFonts w:ascii="Times New Roman" w:hAnsi="Times New Roman" w:cs="宋体"/>
      <w:b/>
      <w:bCs/>
      <w:color w:val="000000"/>
      <w:sz w:val="24"/>
      <w:szCs w:val="20"/>
      <w:lang w:eastAsia="zh-CN"/>
    </w:rPr>
  </w:style>
  <w:style w:type="paragraph" w:customStyle="1" w:styleId="31113h33rdlevelH3l3CT">
    <w:name w:val="样式 标题 3条标题1.1.13h33rd levelH3l3CT + 加粗"/>
    <w:basedOn w:val="3"/>
    <w:qFormat/>
    <w:pPr>
      <w:widowControl w:val="0"/>
      <w:tabs>
        <w:tab w:val="left" w:pos="720"/>
        <w:tab w:val="left" w:pos="1418"/>
      </w:tabs>
      <w:spacing w:before="0" w:after="0" w:line="360" w:lineRule="auto"/>
      <w:ind w:left="567" w:hanging="567"/>
      <w:jc w:val="both"/>
    </w:pPr>
    <w:rPr>
      <w:kern w:val="2"/>
      <w:sz w:val="28"/>
    </w:rPr>
  </w:style>
  <w:style w:type="paragraph" w:customStyle="1" w:styleId="ParaCharCharCharCharCharChar">
    <w:name w:val="默认段落字体 Para Char Char Char Char Char Char"/>
    <w:basedOn w:val="a"/>
    <w:qFormat/>
    <w:rPr>
      <w:rFonts w:ascii="Times New Roman" w:eastAsia="宋体" w:hAnsi="Times New Roman" w:cs="Times New Roman"/>
      <w:sz w:val="24"/>
      <w:szCs w:val="24"/>
    </w:rPr>
  </w:style>
  <w:style w:type="paragraph" w:customStyle="1" w:styleId="affffffffffffffffffffffffff5">
    <w:name w:val="节标"/>
    <w:basedOn w:val="a"/>
    <w:qFormat/>
    <w:pPr>
      <w:widowControl/>
      <w:autoSpaceDE w:val="0"/>
      <w:autoSpaceDN w:val="0"/>
      <w:adjustRightInd w:val="0"/>
      <w:spacing w:line="480" w:lineRule="exact"/>
      <w:ind w:firstLine="567"/>
      <w:jc w:val="center"/>
      <w:textAlignment w:val="bottom"/>
    </w:pPr>
    <w:rPr>
      <w:rFonts w:ascii="Times New Roman" w:eastAsia="宋体" w:hAnsi="Times New Roman" w:cs="Times New Roman"/>
      <w:b/>
      <w:kern w:val="0"/>
      <w:sz w:val="30"/>
      <w:szCs w:val="28"/>
    </w:rPr>
  </w:style>
  <w:style w:type="paragraph" w:customStyle="1" w:styleId="3fff8">
    <w:name w:val="正文文本缩进3"/>
    <w:basedOn w:val="a"/>
    <w:qFormat/>
    <w:pPr>
      <w:spacing w:after="120" w:line="360" w:lineRule="auto"/>
      <w:ind w:leftChars="200" w:left="200" w:firstLineChars="200" w:firstLine="200"/>
    </w:pPr>
    <w:rPr>
      <w:rFonts w:ascii="Times New Roman" w:eastAsia="宋体" w:hAnsi="Times New Roman" w:cs="Times New Roman"/>
      <w:sz w:val="24"/>
      <w:szCs w:val="24"/>
    </w:rPr>
  </w:style>
  <w:style w:type="paragraph" w:customStyle="1" w:styleId="couv">
    <w:name w:val="couv"/>
    <w:basedOn w:val="a"/>
    <w:qFormat/>
    <w:pPr>
      <w:widowControl/>
      <w:spacing w:before="120" w:after="120"/>
      <w:ind w:firstLineChars="200" w:firstLine="200"/>
      <w:jc w:val="center"/>
    </w:pPr>
    <w:rPr>
      <w:rFonts w:ascii="Times New Roman" w:eastAsia="宋体" w:hAnsi="Times New Roman" w:cs="Times New Roman"/>
      <w:b/>
      <w:kern w:val="0"/>
      <w:sz w:val="40"/>
      <w:szCs w:val="20"/>
      <w:lang w:val="en-GB"/>
    </w:rPr>
  </w:style>
  <w:style w:type="paragraph" w:customStyle="1" w:styleId="affffffffffffffffffffffffff6">
    <w:name w:val="样式 表格 + 居中"/>
    <w:basedOn w:val="a"/>
    <w:semiHidden/>
    <w:qFormat/>
    <w:pPr>
      <w:kinsoku w:val="0"/>
      <w:overflowPunct w:val="0"/>
      <w:adjustRightInd w:val="0"/>
      <w:snapToGrid w:val="0"/>
      <w:jc w:val="center"/>
    </w:pPr>
    <w:rPr>
      <w:rFonts w:ascii="Times New Roman" w:eastAsia="宋体" w:hAnsi="Times New Roman" w:cs="Times New Roman"/>
      <w:color w:val="000000"/>
      <w:kern w:val="0"/>
      <w:sz w:val="24"/>
      <w:szCs w:val="24"/>
    </w:rPr>
  </w:style>
  <w:style w:type="paragraph" w:customStyle="1" w:styleId="affffffffffffffffffffffffff7">
    <w:name w:val="湛江码头表"/>
    <w:basedOn w:val="a"/>
    <w:semiHidden/>
    <w:qFormat/>
    <w:pPr>
      <w:jc w:val="center"/>
    </w:pPr>
    <w:rPr>
      <w:rFonts w:ascii="Times New Roman" w:eastAsia="仿宋_GB2312" w:hAnsi="Times New Roman" w:cs="Times New Roman"/>
      <w:kern w:val="0"/>
      <w:szCs w:val="24"/>
      <w:lang w:eastAsia="zh-TW"/>
    </w:rPr>
  </w:style>
  <w:style w:type="paragraph" w:customStyle="1" w:styleId="affffffffffffffffffffffffff8">
    <w:name w:val="正文图竖五"/>
    <w:basedOn w:val="a"/>
    <w:semiHidden/>
    <w:qFormat/>
    <w:pPr>
      <w:jc w:val="center"/>
    </w:pPr>
    <w:rPr>
      <w:rFonts w:ascii="Times New Roman" w:eastAsia="仿宋_GB2312" w:hAnsi="Times New Roman" w:cs="Times New Roman"/>
      <w:color w:val="000000"/>
      <w:kern w:val="0"/>
      <w:szCs w:val="21"/>
    </w:rPr>
  </w:style>
  <w:style w:type="paragraph" w:customStyle="1" w:styleId="145">
    <w:name w:val="14"/>
    <w:qFormat/>
    <w:pPr>
      <w:widowControl w:val="0"/>
      <w:jc w:val="both"/>
    </w:pPr>
    <w:rPr>
      <w:rFonts w:ascii="Times New Roman" w:eastAsia="宋体" w:hAnsi="Times New Roman" w:cs="Times New Roman"/>
      <w:kern w:val="2"/>
      <w:sz w:val="21"/>
      <w:szCs w:val="24"/>
    </w:rPr>
  </w:style>
  <w:style w:type="paragraph" w:customStyle="1" w:styleId="2211H2h22Header2ndPageABCh2mainhead">
    <w:name w:val="样式 标题 2标题21.1H2h2第一层条2Header 2nd PageA.B.C.h2 main head..."/>
    <w:basedOn w:val="2"/>
    <w:semiHidden/>
    <w:qFormat/>
    <w:pPr>
      <w:tabs>
        <w:tab w:val="left" w:pos="1419"/>
      </w:tabs>
      <w:snapToGrid w:val="0"/>
      <w:spacing w:before="0" w:after="0" w:line="360" w:lineRule="auto"/>
    </w:pPr>
    <w:rPr>
      <w:rFonts w:ascii="Times New Roman" w:eastAsia="黑体" w:hAnsi="Times New Roman" w:cs="Times New Roman"/>
      <w:bCs w:val="0"/>
      <w:sz w:val="30"/>
      <w:szCs w:val="30"/>
      <w:lang w:val="zh-CN"/>
    </w:rPr>
  </w:style>
  <w:style w:type="paragraph" w:customStyle="1" w:styleId="CharCharCharCharCharCharCharCharChar1CharCharCharChar10">
    <w:name w:val="Char Char Char Char Char Char Char Char Char1 Char Char Char Char10"/>
    <w:basedOn w:val="a"/>
    <w:qFormat/>
    <w:rPr>
      <w:rFonts w:ascii="Times New Roman" w:eastAsia="宋体" w:hAnsi="Times New Roman" w:cs="Times New Roman"/>
      <w:szCs w:val="21"/>
    </w:rPr>
  </w:style>
  <w:style w:type="paragraph" w:customStyle="1" w:styleId="affffffffffffffffffffffffff9">
    <w:name w:val="常规"/>
    <w:basedOn w:val="a"/>
    <w:qFormat/>
    <w:pPr>
      <w:widowControl/>
      <w:jc w:val="left"/>
    </w:pPr>
    <w:rPr>
      <w:rFonts w:ascii="Times New Roman" w:eastAsia="宋体" w:hAnsi="Times New Roman" w:cs="Times New Roman"/>
      <w:color w:val="000000"/>
      <w:kern w:val="0"/>
      <w:sz w:val="20"/>
      <w:szCs w:val="20"/>
    </w:rPr>
  </w:style>
  <w:style w:type="paragraph" w:customStyle="1" w:styleId="104">
    <w:name w:val="正文10"/>
    <w:qFormat/>
    <w:pPr>
      <w:widowControl w:val="0"/>
      <w:adjustRightInd w:val="0"/>
      <w:spacing w:line="312" w:lineRule="atLeast"/>
      <w:jc w:val="both"/>
    </w:pPr>
    <w:rPr>
      <w:rFonts w:ascii="Arial" w:eastAsia="楷体_GB2312" w:hAnsi="Times New Roman" w:cs="Times New Roman"/>
      <w:spacing w:val="-6"/>
      <w:sz w:val="28"/>
    </w:rPr>
  </w:style>
  <w:style w:type="paragraph" w:customStyle="1" w:styleId="CharCharCharChar111">
    <w:name w:val="Char Char Char Char111"/>
    <w:basedOn w:val="a"/>
    <w:qFormat/>
    <w:pPr>
      <w:widowControl/>
      <w:jc w:val="left"/>
    </w:pPr>
    <w:rPr>
      <w:rFonts w:ascii="Times New Roman" w:eastAsia="宋体" w:hAnsi="Times New Roman" w:cs="Times New Roman"/>
      <w:kern w:val="0"/>
      <w:sz w:val="24"/>
      <w:szCs w:val="20"/>
    </w:rPr>
  </w:style>
  <w:style w:type="paragraph" w:customStyle="1" w:styleId="812">
    <w:name w:val="目录 81"/>
    <w:basedOn w:val="a"/>
    <w:next w:val="a"/>
    <w:qFormat/>
    <w:pPr>
      <w:ind w:left="1260"/>
      <w:jc w:val="left"/>
    </w:pPr>
    <w:rPr>
      <w:rFonts w:ascii="Times New Roman" w:eastAsia="宋体" w:hAnsi="Times New Roman" w:cs="Times New Roman"/>
      <w:sz w:val="20"/>
      <w:szCs w:val="20"/>
    </w:rPr>
  </w:style>
  <w:style w:type="paragraph" w:customStyle="1" w:styleId="z-TopofForm1">
    <w:name w:val="z-Top of Form1"/>
    <w:basedOn w:val="a"/>
    <w:next w:val="a"/>
    <w:qFormat/>
    <w:pPr>
      <w:pBdr>
        <w:bottom w:val="single" w:sz="6" w:space="1" w:color="auto"/>
      </w:pBdr>
      <w:adjustRightInd w:val="0"/>
      <w:snapToGrid w:val="0"/>
      <w:spacing w:line="300" w:lineRule="auto"/>
      <w:jc w:val="center"/>
    </w:pPr>
    <w:rPr>
      <w:rFonts w:ascii="Arial" w:eastAsia="仿宋_GB2312" w:hAnsi="Arial" w:cs="Times New Roman"/>
      <w:vanish/>
      <w:kern w:val="0"/>
      <w:sz w:val="16"/>
      <w:szCs w:val="20"/>
    </w:rPr>
  </w:style>
  <w:style w:type="paragraph" w:customStyle="1" w:styleId="affffffffffffffffffffffffffa">
    <w:name w:val="样式 表格文字"/>
    <w:basedOn w:val="a"/>
    <w:next w:val="a"/>
    <w:qFormat/>
    <w:pPr>
      <w:spacing w:line="273" w:lineRule="auto"/>
      <w:jc w:val="center"/>
    </w:pPr>
    <w:rPr>
      <w:rFonts w:ascii="Times New Roman" w:eastAsia="宋体" w:hAnsi="Times New Roman" w:cs="Times New Roman"/>
      <w:szCs w:val="21"/>
    </w:rPr>
  </w:style>
  <w:style w:type="table" w:customStyle="1" w:styleId="yp">
    <w:name w:val="yp格式"/>
    <w:basedOn w:val="a2"/>
    <w:qFormat/>
    <w:pPr>
      <w:jc w:val="center"/>
    </w:pPr>
    <w:rPr>
      <w:rFonts w:ascii="Times New Roman" w:eastAsia="Times New Roman" w:hAnsi="Times New Roman" w:cs="Times New Roman"/>
    </w:rPr>
    <w:tblPr>
      <w:tblBorders>
        <w:top w:val="single" w:sz="12" w:space="0" w:color="000000"/>
        <w:bottom w:val="single" w:sz="12" w:space="0" w:color="000000"/>
        <w:insideH w:val="single" w:sz="6" w:space="0" w:color="000000"/>
        <w:insideV w:val="single" w:sz="6" w:space="0" w:color="000000"/>
      </w:tblBorders>
    </w:tblPr>
    <w:tcPr>
      <w:tcMar>
        <w:left w:w="28" w:type="dxa"/>
        <w:right w:w="28" w:type="dxa"/>
      </w:tcMar>
      <w:vAlign w:val="center"/>
    </w:tcPr>
    <w:tblStylePr w:type="firstRow">
      <w:tblPr/>
      <w:tcPr>
        <w:tcBorders>
          <w:top w:val="single" w:sz="12" w:space="0" w:color="000000"/>
          <w:left w:val="single" w:sz="2" w:space="0" w:color="000000"/>
          <w:bottom w:val="nil"/>
          <w:right w:val="nil"/>
          <w:insideH w:val="nil"/>
          <w:insideV w:val="single" w:sz="2" w:space="0" w:color="auto"/>
          <w:tl2br w:val="nil"/>
          <w:tr2bl w:val="nil"/>
        </w:tcBorders>
      </w:tcPr>
    </w:tblStylePr>
  </w:style>
  <w:style w:type="table" w:customStyle="1" w:styleId="11f5">
    <w:name w:val="网格型刘11"/>
    <w:basedOn w:val="a2"/>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0">
    <w:name w:val="网格型21"/>
    <w:basedOn w:val="a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
    <w:name w:val="立体型 31"/>
    <w:basedOn w:val="a2"/>
    <w:qFormat/>
    <w:pPr>
      <w:widowControl w:val="0"/>
      <w:jc w:val="both"/>
    </w:pPr>
    <w:rPr>
      <w:rFonts w:ascii="Times New Roman" w:eastAsia="宋体" w:hAnsi="Times New Roman" w:cs="Times New Roman"/>
    </w:rP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ljw">
    <w:name w:val="ljw"/>
    <w:basedOn w:val="afff6"/>
    <w:semiHidden/>
    <w:pPr>
      <w:numPr>
        <w:numId w:val="0"/>
      </w:numPr>
      <w:spacing w:line="440" w:lineRule="exact"/>
      <w:ind w:firstLineChars="200" w:firstLine="200"/>
    </w:pPr>
    <w:rPr>
      <w:sz w:val="18"/>
      <w:szCs w:val="18"/>
    </w:rPr>
    <w:tblPr>
      <w:tblBorders>
        <w:top w:val="single" w:sz="6" w:space="0" w:color="auto"/>
        <w:left w:val="none" w:sz="0" w:space="0" w:color="auto"/>
        <w:bottom w:val="single" w:sz="6" w:space="0" w:color="auto"/>
        <w:right w:val="none" w:sz="0" w:space="0" w:color="auto"/>
        <w:insideH w:val="single" w:sz="6" w:space="0" w:color="auto"/>
        <w:insideV w:val="single" w:sz="6" w:space="0" w:color="auto"/>
      </w:tblBorders>
    </w:tblPr>
  </w:style>
  <w:style w:type="table" w:customStyle="1" w:styleId="2ffffff9">
    <w:name w:val="黄桥表2"/>
    <w:basedOn w:val="a2"/>
    <w:pPr>
      <w:widowControl w:val="0"/>
      <w:spacing w:line="500" w:lineRule="atLeast"/>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d">
    <w:name w:val="专业型1"/>
    <w:basedOn w:val="a2"/>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lulu10">
    <w:name w:val="表格主题(lulu)1"/>
    <w:basedOn w:val="a2"/>
    <w:pPr>
      <w:widowControl w:val="0"/>
      <w:jc w:val="center"/>
    </w:pPr>
    <w:rPr>
      <w:rFonts w:ascii="Times New Roman" w:eastAsia="宋体" w:hAnsi="Times New Roman" w:cs="Times New Roman"/>
    </w:rPr>
    <w:tblPr>
      <w:jc w:val="center"/>
      <w:tblBorders>
        <w:top w:val="single" w:sz="8" w:space="0" w:color="auto"/>
        <w:bottom w:val="single" w:sz="8" w:space="0" w:color="auto"/>
        <w:insideH w:val="single" w:sz="4" w:space="0" w:color="auto"/>
        <w:insideV w:val="single" w:sz="4" w:space="0" w:color="auto"/>
      </w:tblBorders>
    </w:tblPr>
    <w:trPr>
      <w:jc w:val="center"/>
    </w:trPr>
    <w:tcPr>
      <w:vAlign w:val="center"/>
    </w:tcPr>
    <w:tblStylePr w:type="firstRow">
      <w:rPr>
        <w:rFonts w:eastAsia="Microsoft Himalaya"/>
        <w:b/>
        <w:sz w:val="21"/>
      </w:rPr>
    </w:tblStylePr>
    <w:tblStylePr w:type="firstCol">
      <w:pPr>
        <w:jc w:val="center"/>
      </w:pPr>
      <w:rPr>
        <w:rFonts w:eastAsia="Microsoft Himalaya"/>
        <w:b/>
        <w:sz w:val="21"/>
      </w:rPr>
    </w:tblStylePr>
  </w:style>
  <w:style w:type="table" w:customStyle="1" w:styleId="lulu20">
    <w:name w:val="表格主题(lulu)2"/>
    <w:basedOn w:val="a2"/>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f9">
    <w:name w:val="专业型3"/>
    <w:basedOn w:val="a2"/>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1f6">
    <w:name w:val="网格型11"/>
    <w:basedOn w:val="a2"/>
    <w:qFormat/>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fa">
    <w:name w:val="表格样式2"/>
    <w:basedOn w:val="a2"/>
    <w:qFormat/>
    <w:pPr>
      <w:jc w:val="center"/>
    </w:pPr>
    <w:rPr>
      <w:rFonts w:ascii="Times New Roman" w:eastAsia="宋体" w:hAnsi="Times New Roman" w:cs="Times New Roman"/>
    </w:rPr>
    <w:tblPr>
      <w:jc w:val="center"/>
      <w:tblBorders>
        <w:top w:val="single" w:sz="12" w:space="0" w:color="000000"/>
        <w:bottom w:val="single" w:sz="12" w:space="0" w:color="000000"/>
        <w:insideH w:val="single" w:sz="4" w:space="0" w:color="000000"/>
        <w:insideV w:val="single" w:sz="4" w:space="0" w:color="000000"/>
      </w:tblBorders>
    </w:tblPr>
    <w:trPr>
      <w:jc w:val="center"/>
    </w:trPr>
    <w:tcPr>
      <w:vAlign w:val="center"/>
    </w:tcPr>
  </w:style>
  <w:style w:type="table" w:customStyle="1" w:styleId="1ffffffe">
    <w:name w:val="网格型刘1"/>
    <w:basedOn w:val="a2"/>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网格型 51"/>
    <w:basedOn w:val="a2"/>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single" w:sz="12" w:space="0" w:color="00000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b">
    <w:name w:val="网格型刘12"/>
    <w:basedOn w:val="a2"/>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7">
    <w:name w:val="专业型11"/>
    <w:basedOn w:val="a2"/>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1f1">
    <w:name w:val="立体型 21"/>
    <w:basedOn w:val="a2"/>
    <w:pPr>
      <w:widowControl w:val="0"/>
      <w:jc w:val="both"/>
    </w:pPr>
    <w:rPr>
      <w:rFonts w:ascii="Times New Roman" w:eastAsia="宋体" w:hAnsi="Times New Roman" w:cs="Times New Roman"/>
    </w:rP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lulu12">
    <w:name w:val="表格主题(lulu)12"/>
    <w:basedOn w:val="a2"/>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ulu11">
    <w:name w:val="表格主题(lulu)11"/>
    <w:basedOn w:val="a2"/>
    <w:pPr>
      <w:widowControl w:val="0"/>
      <w:jc w:val="center"/>
    </w:pPr>
    <w:rPr>
      <w:rFonts w:ascii="Times New Roman" w:eastAsia="宋体" w:hAnsi="Times New Roman" w:cs="Times New Roman"/>
    </w:rPr>
    <w:tblPr>
      <w:jc w:val="center"/>
      <w:tblBorders>
        <w:top w:val="single" w:sz="8" w:space="0" w:color="auto"/>
        <w:bottom w:val="single" w:sz="8" w:space="0" w:color="auto"/>
        <w:insideH w:val="single" w:sz="4" w:space="0" w:color="auto"/>
        <w:insideV w:val="single" w:sz="4" w:space="0" w:color="auto"/>
      </w:tblBorders>
    </w:tblPr>
    <w:trPr>
      <w:jc w:val="center"/>
    </w:trPr>
    <w:tcPr>
      <w:vAlign w:val="center"/>
    </w:tcPr>
    <w:tblStylePr w:type="firstRow">
      <w:rPr>
        <w:rFonts w:eastAsia="Microsoft Himalaya"/>
        <w:b/>
        <w:sz w:val="21"/>
      </w:rPr>
    </w:tblStylePr>
    <w:tblStylePr w:type="firstCol">
      <w:pPr>
        <w:jc w:val="center"/>
      </w:pPr>
      <w:rPr>
        <w:rFonts w:eastAsia="Microsoft Himalaya"/>
        <w:b/>
        <w:sz w:val="21"/>
      </w:rPr>
    </w:tblStylePr>
  </w:style>
  <w:style w:type="table" w:customStyle="1" w:styleId="lulu3">
    <w:name w:val="表格主题(lulu)3"/>
    <w:basedOn w:val="a2"/>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
    <w:name w:val="黄桥表1"/>
    <w:basedOn w:val="a2"/>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0">
    <w:name w:val="表格样式1"/>
    <w:basedOn w:val="a2"/>
    <w:pPr>
      <w:jc w:val="center"/>
    </w:pPr>
    <w:rPr>
      <w:rFonts w:ascii="Times New Roman" w:eastAsia="宋体" w:hAnsi="Times New Roman" w:cs="Times New Roman"/>
    </w:rPr>
    <w:tblPr>
      <w:tblBorders>
        <w:top w:val="single" w:sz="12" w:space="0" w:color="000000"/>
        <w:bottom w:val="single" w:sz="12" w:space="0" w:color="000000"/>
        <w:insideH w:val="single" w:sz="4" w:space="0" w:color="000000"/>
        <w:insideV w:val="single" w:sz="4" w:space="0" w:color="000000"/>
      </w:tblBorders>
    </w:tblPr>
    <w:tcPr>
      <w:vAlign w:val="center"/>
    </w:tcPr>
  </w:style>
  <w:style w:type="table" w:customStyle="1" w:styleId="21f2">
    <w:name w:val="表格样式21"/>
    <w:basedOn w:val="a2"/>
    <w:qFormat/>
    <w:pPr>
      <w:jc w:val="center"/>
    </w:pPr>
    <w:rPr>
      <w:rFonts w:ascii="Times New Roman" w:eastAsia="宋体" w:hAnsi="Times New Roman" w:cs="Times New Roman"/>
    </w:rPr>
    <w:tblPr>
      <w:jc w:val="center"/>
      <w:tblBorders>
        <w:top w:val="single" w:sz="12" w:space="0" w:color="000000"/>
        <w:bottom w:val="single" w:sz="12" w:space="0" w:color="000000"/>
        <w:insideH w:val="single" w:sz="4" w:space="0" w:color="000000"/>
        <w:insideV w:val="single" w:sz="4" w:space="0" w:color="000000"/>
      </w:tblBorders>
    </w:tblPr>
    <w:trPr>
      <w:jc w:val="center"/>
    </w:trPr>
    <w:tcPr>
      <w:vAlign w:val="center"/>
    </w:tcPr>
  </w:style>
  <w:style w:type="table" w:customStyle="1" w:styleId="1fffffff1">
    <w:name w:val="表格主题1"/>
    <w:basedOn w:val="a2"/>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b">
    <w:name w:val="毛的表格"/>
    <w:basedOn w:val="a2"/>
    <w:semiHidden/>
    <w:pPr>
      <w:jc w:val="center"/>
    </w:pPr>
    <w:rPr>
      <w:rFonts w:ascii="Times New Roman" w:eastAsia="宋体" w:hAnsi="Times New Roman" w:cs="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136">
    <w:name w:val="网格型刘13"/>
    <w:basedOn w:val="a2"/>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yp1">
    <w:name w:val="yp格式1"/>
    <w:basedOn w:val="a2"/>
    <w:pPr>
      <w:jc w:val="center"/>
    </w:pPr>
    <w:rPr>
      <w:rFonts w:ascii="Times New Roman" w:eastAsia="Times New Roman" w:hAnsi="Times New Roman" w:cs="Times New Roman"/>
    </w:rPr>
    <w:tblPr>
      <w:tblBorders>
        <w:top w:val="single" w:sz="12" w:space="0" w:color="000000"/>
        <w:bottom w:val="single" w:sz="12" w:space="0" w:color="000000"/>
        <w:insideH w:val="single" w:sz="6" w:space="0" w:color="000000"/>
        <w:insideV w:val="single" w:sz="6" w:space="0" w:color="000000"/>
      </w:tblBorders>
    </w:tblPr>
    <w:tcPr>
      <w:tcMar>
        <w:left w:w="28" w:type="dxa"/>
        <w:right w:w="28" w:type="dxa"/>
      </w:tcMar>
      <w:vAlign w:val="center"/>
    </w:tcPr>
    <w:tblStylePr w:type="firstRow">
      <w:tblPr/>
      <w:tcPr>
        <w:tcBorders>
          <w:top w:val="single" w:sz="12" w:space="0" w:color="000000"/>
          <w:left w:val="single" w:sz="2" w:space="0" w:color="000000"/>
          <w:bottom w:val="nil"/>
          <w:right w:val="nil"/>
          <w:insideH w:val="nil"/>
          <w:insideV w:val="single" w:sz="2" w:space="0" w:color="auto"/>
          <w:tl2br w:val="nil"/>
          <w:tr2bl w:val="nil"/>
        </w:tcBorders>
      </w:tcPr>
    </w:tblStylePr>
  </w:style>
  <w:style w:type="table" w:customStyle="1" w:styleId="11f8">
    <w:name w:val="立体型 11"/>
    <w:basedOn w:val="a2"/>
    <w:pPr>
      <w:widowControl w:val="0"/>
      <w:jc w:val="both"/>
    </w:pPr>
    <w:rPr>
      <w:rFonts w:ascii="Times New Roman" w:eastAsia="宋体" w:hAnsi="Times New Roman" w:cs="Times New Roman"/>
    </w:rPr>
    <w:tblPr/>
    <w:tcPr>
      <w:shd w:val="solid" w:color="C0C0C0" w:fill="FFFFFF"/>
    </w:tcPr>
    <w:tblStylePr w:type="firstRow">
      <w:rPr>
        <w:b/>
        <w:bCs/>
        <w:color w:val="800080"/>
      </w:rPr>
      <w:tblPr/>
      <w:tcPr>
        <w:tcBorders>
          <w:top w:val="nil"/>
          <w:left w:val="single" w:sz="6" w:space="0" w:color="808080"/>
          <w:bottom w:val="nil"/>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single" w:sz="6" w:space="0" w:color="FFFFFF"/>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ffffffb">
    <w:name w:val="专业型2"/>
    <w:basedOn w:val="a2"/>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paragraph" w:customStyle="1" w:styleId="TOC20">
    <w:name w:val="TOC 标题2"/>
    <w:basedOn w:val="1"/>
    <w:next w:val="a"/>
    <w:unhideWhenUsed/>
    <w:qFormat/>
    <w:pPr>
      <w:keepNext/>
      <w:keepLines/>
      <w:widowControl/>
      <w:spacing w:before="240" w:line="259" w:lineRule="auto"/>
      <w:ind w:left="0"/>
      <w:outlineLvl w:val="9"/>
    </w:pPr>
    <w:rPr>
      <w:rFonts w:ascii="Cambria" w:eastAsia="宋体" w:hAnsi="Cambria" w:cs="Times New Roman"/>
      <w:b w:val="0"/>
      <w:bCs w:val="0"/>
      <w:color w:val="365F91"/>
      <w:sz w:val="32"/>
      <w:szCs w:val="32"/>
      <w:lang w:eastAsia="zh-CN"/>
    </w:rPr>
  </w:style>
  <w:style w:type="character" w:customStyle="1" w:styleId="Charfffffffe">
    <w:name w:val="表格文体 Char"/>
    <w:link w:val="affffffffffffffffffffffffffc"/>
    <w:rPr>
      <w:rFonts w:ascii="宋体" w:hAnsi="宋体"/>
      <w:color w:val="000000"/>
      <w:szCs w:val="21"/>
    </w:rPr>
  </w:style>
  <w:style w:type="paragraph" w:customStyle="1" w:styleId="affffffffffffffffffffffffffc">
    <w:name w:val="表格文体"/>
    <w:basedOn w:val="a"/>
    <w:link w:val="Charfffffffe"/>
    <w:pPr>
      <w:spacing w:line="520" w:lineRule="exact"/>
      <w:jc w:val="center"/>
    </w:pPr>
    <w:rPr>
      <w:rFonts w:ascii="宋体" w:hAnsi="宋体"/>
      <w:color w:val="000000"/>
      <w:szCs w:val="21"/>
    </w:rPr>
  </w:style>
  <w:style w:type="character" w:customStyle="1" w:styleId="fontstyle01">
    <w:name w:val="fontstyle01"/>
    <w:rPr>
      <w:rFonts w:ascii="FZSSK--GBK1-0" w:hAnsi="FZSSK--GBK1-0" w:hint="default"/>
      <w:color w:val="000000"/>
      <w:sz w:val="20"/>
      <w:szCs w:val="20"/>
    </w:rPr>
  </w:style>
  <w:style w:type="character" w:customStyle="1" w:styleId="fontstyle11">
    <w:name w:val="fontstyle11"/>
    <w:rPr>
      <w:rFonts w:ascii="E-BZ" w:hAnsi="E-BZ" w:hint="default"/>
      <w:color w:val="000000"/>
      <w:sz w:val="20"/>
      <w:szCs w:val="20"/>
    </w:rPr>
  </w:style>
  <w:style w:type="character" w:customStyle="1" w:styleId="Charffffffff">
    <w:name w:val="表格标题 Char"/>
    <w:link w:val="affffffffffffffffffffffffffd"/>
    <w:rPr>
      <w:rFonts w:eastAsia="文鼎CS中宋"/>
      <w:sz w:val="24"/>
    </w:rPr>
  </w:style>
  <w:style w:type="paragraph" w:customStyle="1" w:styleId="affffffffffffffffffffffffffd">
    <w:name w:val="表格标题"/>
    <w:basedOn w:val="a"/>
    <w:link w:val="Charffffffff"/>
    <w:pPr>
      <w:adjustRightInd w:val="0"/>
      <w:spacing w:before="120" w:line="360" w:lineRule="auto"/>
      <w:jc w:val="center"/>
    </w:pPr>
    <w:rPr>
      <w:rFonts w:eastAsia="文鼎CS中宋"/>
      <w:sz w:val="24"/>
    </w:rPr>
  </w:style>
  <w:style w:type="paragraph" w:customStyle="1" w:styleId="WPSOffice1">
    <w:name w:val="WPSOffice手动目录 1"/>
    <w:rPr>
      <w:rFonts w:ascii="Times New Roman" w:eastAsia="宋体" w:hAnsi="Times New Roman" w:cs="Times New Roman"/>
    </w:rPr>
  </w:style>
  <w:style w:type="paragraph" w:customStyle="1" w:styleId="235">
    <w:name w:val="表格 23"/>
    <w:basedOn w:val="a"/>
    <w:pPr>
      <w:autoSpaceDE w:val="0"/>
      <w:autoSpaceDN w:val="0"/>
      <w:adjustRightInd w:val="0"/>
      <w:jc w:val="center"/>
      <w:textAlignment w:val="baseline"/>
    </w:pPr>
    <w:rPr>
      <w:rFonts w:ascii="Times New Roman" w:eastAsia="仿宋体" w:hAnsi="Times New Roman" w:cs="Times New Roman"/>
      <w:kern w:val="0"/>
      <w:szCs w:val="20"/>
    </w:rPr>
  </w:style>
  <w:style w:type="paragraph" w:customStyle="1" w:styleId="3fffa">
    <w:name w:val="列出段落3"/>
    <w:basedOn w:val="a"/>
    <w:qFormat/>
    <w:pPr>
      <w:ind w:firstLineChars="200" w:firstLine="420"/>
    </w:pPr>
    <w:rPr>
      <w:rFonts w:ascii="Calibri" w:eastAsia="宋体" w:hAnsi="Calibri" w:cs="宋体"/>
      <w:szCs w:val="21"/>
    </w:rPr>
  </w:style>
  <w:style w:type="paragraph" w:customStyle="1" w:styleId="12122">
    <w:name w:val="样式 样式 样式 首行缩进:  1 字符 + 首行缩进:  2 字符1 + 首行缩进:  2 字符2"/>
    <w:basedOn w:val="a"/>
    <w:pPr>
      <w:spacing w:line="360" w:lineRule="auto"/>
      <w:ind w:firstLineChars="200" w:firstLine="480"/>
    </w:pPr>
    <w:rPr>
      <w:rFonts w:ascii="Times New Roman" w:eastAsia="宋体" w:hAnsi="Times New Roman" w:cs="宋体"/>
      <w:sz w:val="24"/>
      <w:szCs w:val="20"/>
    </w:rPr>
  </w:style>
  <w:style w:type="paragraph" w:customStyle="1" w:styleId="WPSOffice2">
    <w:name w:val="WPSOffice手动目录 2"/>
    <w:pPr>
      <w:ind w:leftChars="200" w:left="200"/>
    </w:pPr>
    <w:rPr>
      <w:rFonts w:ascii="Times New Roman" w:eastAsia="宋体" w:hAnsi="Times New Roman" w:cs="Times New Roman"/>
    </w:rPr>
  </w:style>
  <w:style w:type="paragraph" w:customStyle="1" w:styleId="CharChar1CharCharCharCharCharCharCharCharCharCharCharCharCharCharCharCharCharChar">
    <w:name w:val="Char Char1 Char Char Char Char Char Char Char Char Char Char Char Char Char Char Char Char Char Char"/>
    <w:basedOn w:val="a"/>
    <w:pPr>
      <w:spacing w:line="360" w:lineRule="auto"/>
      <w:ind w:firstLineChars="200" w:firstLine="200"/>
    </w:pPr>
    <w:rPr>
      <w:rFonts w:ascii="宋体" w:eastAsia="宋体" w:hAnsi="宋体" w:cs="宋体"/>
      <w:sz w:val="24"/>
      <w:szCs w:val="24"/>
    </w:rPr>
  </w:style>
  <w:style w:type="paragraph" w:customStyle="1" w:styleId="137">
    <w:name w:val="表格13"/>
    <w:basedOn w:val="a"/>
    <w:pPr>
      <w:adjustRightInd w:val="0"/>
      <w:spacing w:line="260" w:lineRule="atLeast"/>
      <w:jc w:val="center"/>
      <w:textAlignment w:val="baseline"/>
    </w:pPr>
    <w:rPr>
      <w:rFonts w:ascii="宋体" w:eastAsia="宋体" w:hAnsi="Times New Roman" w:cs="宋体"/>
      <w:kern w:val="0"/>
      <w:sz w:val="18"/>
      <w:szCs w:val="18"/>
      <w:lang w:val="zh-CN"/>
    </w:rPr>
  </w:style>
  <w:style w:type="paragraph" w:customStyle="1" w:styleId="CharCharCharCharCharCharChar111">
    <w:name w:val="Char Char Char Char Char Char Char111"/>
    <w:basedOn w:val="a"/>
    <w:qFormat/>
    <w:rPr>
      <w:rFonts w:ascii="Times New Roman" w:eastAsia="宋体" w:hAnsi="Times New Roman" w:cs="Times New Roman"/>
      <w:szCs w:val="24"/>
    </w:rPr>
  </w:style>
  <w:style w:type="paragraph" w:customStyle="1" w:styleId="z-20">
    <w:name w:val="z-窗体顶端2"/>
    <w:basedOn w:val="a"/>
    <w:next w:val="a"/>
    <w:link w:val="z-21"/>
    <w:pPr>
      <w:widowControl/>
      <w:pBdr>
        <w:bottom w:val="single" w:sz="6" w:space="1" w:color="auto"/>
      </w:pBdr>
      <w:jc w:val="center"/>
    </w:pPr>
    <w:rPr>
      <w:rFonts w:ascii="Arial" w:eastAsia="Arial Unicode MS" w:hAnsi="Arial" w:cs="Arial"/>
      <w:vanish/>
      <w:kern w:val="0"/>
      <w:sz w:val="16"/>
      <w:szCs w:val="16"/>
    </w:rPr>
  </w:style>
  <w:style w:type="character" w:customStyle="1" w:styleId="z-21">
    <w:name w:val="z-窗体顶端 字符2"/>
    <w:basedOn w:val="a1"/>
    <w:link w:val="z-20"/>
    <w:rPr>
      <w:rFonts w:ascii="Arial" w:eastAsia="Arial Unicode MS" w:hAnsi="Arial" w:cs="Arial"/>
      <w:vanish/>
      <w:kern w:val="0"/>
      <w:sz w:val="16"/>
      <w:szCs w:val="16"/>
    </w:rPr>
  </w:style>
  <w:style w:type="character" w:customStyle="1" w:styleId="z-Char3">
    <w:name w:val="z-窗体顶端 Char3"/>
    <w:basedOn w:val="a1"/>
    <w:uiPriority w:val="99"/>
    <w:rPr>
      <w:rFonts w:ascii="Arial" w:hAnsi="Arial" w:cs="Arial"/>
      <w:vanish/>
      <w:kern w:val="2"/>
      <w:sz w:val="16"/>
      <w:szCs w:val="16"/>
    </w:rPr>
  </w:style>
  <w:style w:type="paragraph" w:customStyle="1" w:styleId="z-3">
    <w:name w:val="z-窗体底端3"/>
    <w:basedOn w:val="a"/>
    <w:next w:val="a"/>
    <w:link w:val="z-22"/>
    <w:pPr>
      <w:widowControl/>
      <w:pBdr>
        <w:top w:val="single" w:sz="6" w:space="1" w:color="auto"/>
      </w:pBdr>
      <w:jc w:val="center"/>
    </w:pPr>
    <w:rPr>
      <w:rFonts w:ascii="Arial" w:eastAsia="Arial Unicode MS" w:hAnsi="Arial" w:cs="Arial"/>
      <w:vanish/>
      <w:kern w:val="0"/>
      <w:sz w:val="16"/>
      <w:szCs w:val="16"/>
    </w:rPr>
  </w:style>
  <w:style w:type="character" w:customStyle="1" w:styleId="z-22">
    <w:name w:val="z-窗体底端 字符2"/>
    <w:basedOn w:val="a1"/>
    <w:link w:val="z-3"/>
    <w:rPr>
      <w:rFonts w:ascii="Arial" w:eastAsia="Arial Unicode MS" w:hAnsi="Arial" w:cs="Arial"/>
      <w:vanish/>
      <w:kern w:val="0"/>
      <w:sz w:val="16"/>
      <w:szCs w:val="16"/>
    </w:rPr>
  </w:style>
  <w:style w:type="character" w:customStyle="1" w:styleId="z-Char30">
    <w:name w:val="z-窗体底端 Char3"/>
    <w:basedOn w:val="a1"/>
    <w:uiPriority w:val="99"/>
    <w:rPr>
      <w:rFonts w:ascii="Arial" w:hAnsi="Arial" w:cs="Arial"/>
      <w:vanish/>
      <w:kern w:val="2"/>
      <w:sz w:val="16"/>
      <w:szCs w:val="16"/>
    </w:rPr>
  </w:style>
  <w:style w:type="paragraph" w:customStyle="1" w:styleId="z-210">
    <w:name w:val="z-窗体底端21"/>
    <w:basedOn w:val="a"/>
    <w:next w:val="a"/>
    <w:qFormat/>
    <w:pPr>
      <w:widowControl/>
      <w:pBdr>
        <w:top w:val="single" w:sz="6" w:space="1" w:color="auto"/>
      </w:pBdr>
      <w:jc w:val="center"/>
    </w:pPr>
    <w:rPr>
      <w:rFonts w:ascii="Arial" w:eastAsia="Arial Unicode MS" w:hAnsi="Arial"/>
      <w:vanish/>
      <w:sz w:val="16"/>
      <w:szCs w:val="16"/>
    </w:rPr>
  </w:style>
  <w:style w:type="character" w:customStyle="1" w:styleId="2ffffffc">
    <w:name w:val="不明显强调2"/>
    <w:qFormat/>
    <w:rPr>
      <w:rFonts w:ascii="宋体" w:eastAsia="宋体" w:hAnsi="宋体" w:hint="eastAsia"/>
      <w:i/>
      <w:iCs/>
      <w:color w:val="808080"/>
      <w:kern w:val="2"/>
      <w:sz w:val="21"/>
      <w:szCs w:val="21"/>
      <w:lang w:val="en-US" w:eastAsia="zh-CN" w:bidi="ar-SA"/>
    </w:rPr>
  </w:style>
  <w:style w:type="paragraph" w:customStyle="1" w:styleId="12c">
    <w:name w:val="无间隔12"/>
    <w:basedOn w:val="a"/>
    <w:qFormat/>
    <w:pPr>
      <w:widowControl/>
      <w:jc w:val="left"/>
    </w:pPr>
    <w:rPr>
      <w:sz w:val="32"/>
      <w:szCs w:val="32"/>
    </w:rPr>
  </w:style>
  <w:style w:type="character" w:customStyle="1" w:styleId="11f9">
    <w:name w:val="明显参考11"/>
    <w:qFormat/>
    <w:rPr>
      <w:rFonts w:cs="Times New Roman"/>
      <w:b/>
      <w:sz w:val="24"/>
      <w:u w:val="single"/>
    </w:rPr>
  </w:style>
  <w:style w:type="character" w:customStyle="1" w:styleId="11fa">
    <w:name w:val="明显强调11"/>
    <w:qFormat/>
    <w:rPr>
      <w:rFonts w:cs="Times New Roman"/>
      <w:b/>
      <w:i/>
      <w:sz w:val="24"/>
      <w:szCs w:val="24"/>
      <w:u w:val="single"/>
    </w:rPr>
  </w:style>
  <w:style w:type="paragraph" w:customStyle="1" w:styleId="z-23">
    <w:name w:val="z-窗体顶端2"/>
    <w:basedOn w:val="a"/>
    <w:next w:val="a"/>
    <w:pPr>
      <w:pBdr>
        <w:bottom w:val="single" w:sz="6" w:space="1" w:color="auto"/>
      </w:pBdr>
      <w:adjustRightInd w:val="0"/>
      <w:snapToGrid w:val="0"/>
      <w:spacing w:line="300" w:lineRule="auto"/>
      <w:jc w:val="center"/>
    </w:pPr>
    <w:rPr>
      <w:rFonts w:ascii="Arial" w:eastAsia="仿宋_GB2312" w:hAnsi="Arial"/>
      <w:vanish/>
      <w:sz w:val="16"/>
      <w:szCs w:val="16"/>
    </w:rPr>
  </w:style>
  <w:style w:type="character" w:customStyle="1" w:styleId="11fb">
    <w:name w:val="书籍标题11"/>
    <w:qFormat/>
    <w:rPr>
      <w:rFonts w:ascii="Cambria" w:eastAsia="宋体" w:hAnsi="Cambria" w:cs="Times New Roman"/>
      <w:b/>
      <w:i/>
      <w:sz w:val="24"/>
      <w:szCs w:val="24"/>
    </w:rPr>
  </w:style>
  <w:style w:type="paragraph" w:customStyle="1" w:styleId="TOC110">
    <w:name w:val="TOC 标题11"/>
    <w:basedOn w:val="1"/>
    <w:next w:val="a"/>
    <w:qFormat/>
    <w:pPr>
      <w:keepNext/>
      <w:widowControl/>
      <w:spacing w:before="240" w:after="60"/>
      <w:ind w:left="0"/>
      <w:outlineLvl w:val="9"/>
    </w:pPr>
    <w:rPr>
      <w:rFonts w:ascii="Cambria" w:eastAsia="宋体" w:hAnsi="Cambria" w:cs="Times New Roman"/>
      <w:kern w:val="32"/>
      <w:sz w:val="32"/>
      <w:szCs w:val="32"/>
      <w:lang w:eastAsia="zh-CN"/>
    </w:rPr>
  </w:style>
  <w:style w:type="character" w:customStyle="1" w:styleId="2ffffffd">
    <w:name w:val="明显强调2"/>
    <w:qFormat/>
    <w:rPr>
      <w:rFonts w:ascii="宋体" w:eastAsia="宋体" w:hAnsi="宋体" w:hint="eastAsia"/>
      <w:b/>
      <w:bCs/>
      <w:i/>
      <w:iCs/>
      <w:color w:val="4F81BD"/>
      <w:kern w:val="2"/>
      <w:sz w:val="21"/>
      <w:szCs w:val="21"/>
      <w:lang w:val="en-US" w:eastAsia="zh-CN" w:bidi="ar-SA"/>
    </w:rPr>
  </w:style>
  <w:style w:type="character" w:customStyle="1" w:styleId="2ffffffe">
    <w:name w:val="书籍标题2"/>
    <w:qFormat/>
    <w:rPr>
      <w:b/>
      <w:bCs/>
      <w:smallCaps/>
      <w:spacing w:val="5"/>
    </w:rPr>
  </w:style>
  <w:style w:type="character" w:customStyle="1" w:styleId="3fffb">
    <w:name w:val="不明显强调3"/>
    <w:qFormat/>
    <w:rPr>
      <w:rFonts w:ascii="宋体" w:eastAsia="宋体" w:hAnsi="宋体" w:hint="eastAsia"/>
      <w:i/>
      <w:iCs/>
      <w:color w:val="808080"/>
      <w:kern w:val="2"/>
      <w:sz w:val="21"/>
      <w:szCs w:val="21"/>
      <w:lang w:val="en-US" w:eastAsia="zh-CN" w:bidi="ar-SA"/>
    </w:rPr>
  </w:style>
  <w:style w:type="character" w:customStyle="1" w:styleId="2fffffff">
    <w:name w:val="明显参考2"/>
    <w:uiPriority w:val="32"/>
    <w:qFormat/>
    <w:rPr>
      <w:rFonts w:ascii="宋体" w:eastAsia="宋体" w:hAnsi="宋体"/>
      <w:b/>
      <w:bCs/>
      <w:smallCaps/>
      <w:color w:val="C0504D"/>
      <w:spacing w:val="5"/>
    </w:rPr>
  </w:style>
  <w:style w:type="paragraph" w:customStyle="1" w:styleId="TOC21">
    <w:name w:val="TOC 标题2"/>
    <w:basedOn w:val="1"/>
    <w:next w:val="a"/>
    <w:qFormat/>
    <w:pPr>
      <w:keepNext/>
      <w:keepLines/>
      <w:widowControl/>
      <w:tabs>
        <w:tab w:val="left" w:pos="425"/>
        <w:tab w:val="left" w:pos="780"/>
      </w:tabs>
      <w:spacing w:before="480" w:line="276" w:lineRule="auto"/>
      <w:ind w:left="780" w:hanging="360"/>
      <w:outlineLvl w:val="9"/>
    </w:pPr>
    <w:rPr>
      <w:rFonts w:ascii="Cambria" w:eastAsia="宋体" w:hAnsi="Cambria" w:cs="Times New Roman"/>
      <w:color w:val="365F91"/>
      <w:sz w:val="28"/>
      <w:szCs w:val="28"/>
      <w:lang w:eastAsia="zh-CN"/>
    </w:rPr>
  </w:style>
  <w:style w:type="paragraph" w:customStyle="1" w:styleId="z-30">
    <w:name w:val="z-窗体顶端3"/>
    <w:basedOn w:val="a"/>
    <w:next w:val="a"/>
    <w:pPr>
      <w:pBdr>
        <w:bottom w:val="single" w:sz="6" w:space="1" w:color="auto"/>
      </w:pBdr>
      <w:adjustRightInd w:val="0"/>
      <w:snapToGrid w:val="0"/>
      <w:spacing w:line="300" w:lineRule="auto"/>
      <w:jc w:val="center"/>
    </w:pPr>
    <w:rPr>
      <w:rFonts w:ascii="Arial" w:eastAsia="仿宋_GB2312" w:hAnsi="Arial" w:cs="Times New Roman"/>
      <w:vanish/>
      <w:kern w:val="0"/>
      <w:sz w:val="16"/>
      <w:szCs w:val="16"/>
      <w:lang w:val="zh-CN"/>
    </w:rPr>
  </w:style>
  <w:style w:type="paragraph" w:customStyle="1" w:styleId="89">
    <w:name w:val="无间隔8"/>
    <w:qFormat/>
    <w:pPr>
      <w:widowControl w:val="0"/>
      <w:jc w:val="both"/>
    </w:pPr>
    <w:rPr>
      <w:rFonts w:ascii="Arial" w:eastAsia="仿宋" w:hAnsi="Arial" w:cs="Times New Roman"/>
      <w:w w:val="90"/>
      <w:sz w:val="24"/>
      <w:szCs w:val="24"/>
    </w:rPr>
  </w:style>
  <w:style w:type="paragraph" w:customStyle="1" w:styleId="z-31">
    <w:name w:val="z-窗体底端3"/>
    <w:basedOn w:val="a"/>
    <w:next w:val="a"/>
    <w:pPr>
      <w:widowControl/>
      <w:pBdr>
        <w:top w:val="single" w:sz="6" w:space="1" w:color="auto"/>
      </w:pBdr>
      <w:jc w:val="center"/>
    </w:pPr>
    <w:rPr>
      <w:rFonts w:ascii="Arial" w:eastAsia="Arial Unicode MS" w:hAnsi="Arial" w:cs="Times New Roman"/>
      <w:vanish/>
      <w:kern w:val="0"/>
      <w:sz w:val="16"/>
      <w:szCs w:val="16"/>
      <w:lang w:val="zh-CN"/>
    </w:rPr>
  </w:style>
  <w:style w:type="character" w:customStyle="1" w:styleId="3fffc">
    <w:name w:val="明显强调3"/>
    <w:qFormat/>
    <w:rPr>
      <w:rFonts w:ascii="宋体" w:eastAsia="宋体" w:hAnsi="宋体" w:hint="eastAsia"/>
      <w:b/>
      <w:bCs/>
      <w:i/>
      <w:iCs/>
      <w:color w:val="4F81BD"/>
      <w:kern w:val="2"/>
      <w:sz w:val="21"/>
      <w:szCs w:val="21"/>
      <w:lang w:val="en-US" w:eastAsia="zh-CN" w:bidi="ar-SA"/>
    </w:rPr>
  </w:style>
  <w:style w:type="character" w:customStyle="1" w:styleId="3fffd">
    <w:name w:val="书籍标题3"/>
    <w:qFormat/>
    <w:rPr>
      <w:b/>
      <w:bCs/>
      <w:smallCaps/>
      <w:spacing w:val="5"/>
    </w:rPr>
  </w:style>
  <w:style w:type="character" w:customStyle="1" w:styleId="4ff0">
    <w:name w:val="不明显强调4"/>
    <w:qFormat/>
    <w:rPr>
      <w:rFonts w:ascii="宋体" w:eastAsia="宋体" w:hAnsi="宋体" w:hint="eastAsia"/>
      <w:i/>
      <w:iCs/>
      <w:color w:val="808080"/>
      <w:kern w:val="2"/>
      <w:sz w:val="21"/>
      <w:szCs w:val="21"/>
      <w:lang w:val="en-US" w:eastAsia="zh-CN" w:bidi="ar-SA"/>
    </w:rPr>
  </w:style>
  <w:style w:type="character" w:customStyle="1" w:styleId="3fffe">
    <w:name w:val="明显参考3"/>
    <w:uiPriority w:val="32"/>
    <w:qFormat/>
    <w:rPr>
      <w:rFonts w:ascii="宋体" w:eastAsia="宋体" w:hAnsi="宋体"/>
      <w:b/>
      <w:bCs/>
      <w:smallCaps/>
      <w:color w:val="C0504D"/>
      <w:spacing w:val="5"/>
    </w:rPr>
  </w:style>
  <w:style w:type="paragraph" w:customStyle="1" w:styleId="TOC30">
    <w:name w:val="TOC 标题3"/>
    <w:basedOn w:val="1"/>
    <w:next w:val="a"/>
    <w:qFormat/>
    <w:pPr>
      <w:keepNext/>
      <w:keepLines/>
      <w:widowControl/>
      <w:tabs>
        <w:tab w:val="left" w:pos="425"/>
        <w:tab w:val="left" w:pos="780"/>
      </w:tabs>
      <w:spacing w:before="480" w:line="276" w:lineRule="auto"/>
      <w:ind w:left="780" w:hanging="360"/>
      <w:outlineLvl w:val="9"/>
    </w:pPr>
    <w:rPr>
      <w:rFonts w:ascii="Cambria" w:eastAsia="宋体" w:hAnsi="Cambria" w:cs="Times New Roman"/>
      <w:color w:val="365F91"/>
      <w:sz w:val="28"/>
      <w:szCs w:val="28"/>
      <w:lang w:eastAsia="zh-CN"/>
    </w:rPr>
  </w:style>
  <w:style w:type="paragraph" w:customStyle="1" w:styleId="z-4">
    <w:name w:val="z-窗体顶端4"/>
    <w:basedOn w:val="a"/>
    <w:next w:val="a"/>
    <w:pPr>
      <w:pBdr>
        <w:bottom w:val="single" w:sz="6" w:space="1" w:color="auto"/>
      </w:pBdr>
      <w:adjustRightInd w:val="0"/>
      <w:snapToGrid w:val="0"/>
      <w:spacing w:line="300" w:lineRule="auto"/>
      <w:jc w:val="center"/>
    </w:pPr>
    <w:rPr>
      <w:rFonts w:ascii="Arial" w:eastAsia="仿宋_GB2312" w:hAnsi="Arial" w:cs="Times New Roman"/>
      <w:vanish/>
      <w:kern w:val="0"/>
      <w:sz w:val="16"/>
      <w:szCs w:val="16"/>
      <w:lang w:val="zh-CN"/>
    </w:rPr>
  </w:style>
  <w:style w:type="paragraph" w:customStyle="1" w:styleId="97">
    <w:name w:val="无间隔9"/>
    <w:qFormat/>
    <w:pPr>
      <w:widowControl w:val="0"/>
      <w:jc w:val="both"/>
    </w:pPr>
    <w:rPr>
      <w:rFonts w:ascii="Arial" w:eastAsia="仿宋" w:hAnsi="Arial" w:cs="Times New Roman"/>
      <w:w w:val="90"/>
      <w:sz w:val="24"/>
      <w:szCs w:val="24"/>
    </w:rPr>
  </w:style>
  <w:style w:type="paragraph" w:customStyle="1" w:styleId="z-40">
    <w:name w:val="z-窗体底端4"/>
    <w:basedOn w:val="a"/>
    <w:next w:val="a"/>
    <w:pPr>
      <w:widowControl/>
      <w:pBdr>
        <w:top w:val="single" w:sz="6" w:space="1" w:color="auto"/>
      </w:pBdr>
      <w:jc w:val="center"/>
    </w:pPr>
    <w:rPr>
      <w:rFonts w:ascii="Arial" w:eastAsia="Arial Unicode MS" w:hAnsi="Arial" w:cs="Times New Roman"/>
      <w:vanish/>
      <w:kern w:val="0"/>
      <w:sz w:val="16"/>
      <w:szCs w:val="16"/>
      <w:lang w:val="zh-CN"/>
    </w:rPr>
  </w:style>
  <w:style w:type="character" w:customStyle="1" w:styleId="Char71">
    <w:name w:val="表格内字体 Char7"/>
    <w:rPr>
      <w:rFonts w:ascii="宋体" w:eastAsia="宋体" w:hAnsi="宋体" w:hint="eastAsia"/>
      <w:kern w:val="2"/>
      <w:sz w:val="21"/>
      <w:szCs w:val="24"/>
      <w:lang w:val="en-US" w:eastAsia="zh-CN" w:bidi="ar-SA"/>
    </w:rPr>
  </w:style>
  <w:style w:type="paragraph" w:customStyle="1" w:styleId="236">
    <w:name w:val="23"/>
    <w:basedOn w:val="a"/>
    <w:uiPriority w:val="99"/>
    <w:rPr>
      <w:rFonts w:ascii="Times New Roman" w:eastAsia="宋体" w:hAnsi="Times New Roman" w:cs="Times New Roman"/>
      <w:szCs w:val="24"/>
    </w:rPr>
  </w:style>
  <w:style w:type="character" w:customStyle="1" w:styleId="Char37">
    <w:name w:val="图题注 Char3"/>
    <w:rPr>
      <w:rFonts w:ascii="黑体" w:eastAsia="黑体" w:hAnsi="Arial" w:cs="宋体" w:hint="eastAsia"/>
      <w:b/>
      <w:bCs/>
      <w:kern w:val="2"/>
      <w:sz w:val="24"/>
      <w:szCs w:val="24"/>
      <w:lang w:val="en-US" w:eastAsia="zh-CN" w:bidi="ar-SA"/>
    </w:rPr>
  </w:style>
  <w:style w:type="character" w:customStyle="1" w:styleId="CharChar420">
    <w:name w:val="Char Char420"/>
    <w:rPr>
      <w:rFonts w:ascii="黑体" w:eastAsia="黑体" w:hAnsi="Arial" w:hint="eastAsia"/>
      <w:b/>
      <w:bCs/>
      <w:kern w:val="2"/>
      <w:sz w:val="30"/>
      <w:szCs w:val="30"/>
      <w:lang w:val="en-US" w:eastAsia="zh-CN" w:bidi="ar-SA"/>
    </w:rPr>
  </w:style>
  <w:style w:type="character" w:customStyle="1" w:styleId="CharCharCharCharCharCharChara">
    <w:name w:val="样式 正文文本 + (中文) 黑体 红色 Char Char Char Char Char Char Char"/>
    <w:rPr>
      <w:rFonts w:ascii="黑体" w:eastAsia="黑体" w:hAnsi="黑体" w:hint="eastAsia"/>
      <w:snapToGrid/>
      <w:color w:val="FF0000"/>
      <w:sz w:val="24"/>
      <w:szCs w:val="24"/>
    </w:rPr>
  </w:style>
  <w:style w:type="character" w:customStyle="1" w:styleId="txt41">
    <w:name w:val="txt41"/>
    <w:rPr>
      <w:color w:val="000000"/>
      <w:sz w:val="40"/>
      <w:szCs w:val="40"/>
      <w:bdr w:val="single" w:sz="8" w:space="0" w:color="000000"/>
    </w:rPr>
  </w:style>
  <w:style w:type="character" w:customStyle="1" w:styleId="CharChar152">
    <w:name w:val="Char Char152"/>
    <w:rPr>
      <w:rFonts w:ascii="宋体" w:eastAsia="宋体" w:hAnsi="宋体" w:hint="eastAsia"/>
      <w:sz w:val="24"/>
      <w:lang w:val="en-US" w:eastAsia="zh-CN" w:bidi="ar-SA"/>
    </w:rPr>
  </w:style>
  <w:style w:type="character" w:customStyle="1" w:styleId="CharCharCharCharChar21">
    <w:name w:val="样式 正文文本 + (中文) 黑体 红色 Char Char Char Char Char2"/>
    <w:rPr>
      <w:rFonts w:ascii="黑体" w:eastAsia="黑体" w:hAnsi="黑体" w:hint="eastAsia"/>
      <w:snapToGrid/>
      <w:color w:val="FF0000"/>
      <w:kern w:val="2"/>
      <w:sz w:val="24"/>
      <w:szCs w:val="24"/>
      <w:lang w:val="en-US" w:eastAsia="zh-CN" w:bidi="ar-SA"/>
    </w:rPr>
  </w:style>
  <w:style w:type="character" w:customStyle="1" w:styleId="CharChar510">
    <w:name w:val="Char Char510"/>
    <w:qFormat/>
    <w:rPr>
      <w:rFonts w:ascii="黑体" w:eastAsia="黑体" w:hAnsi="宋体" w:hint="eastAsia"/>
      <w:bCs/>
      <w:kern w:val="2"/>
      <w:sz w:val="28"/>
      <w:szCs w:val="28"/>
      <w:lang w:val="en-US" w:eastAsia="zh-CN" w:bidi="ar-SA"/>
    </w:rPr>
  </w:style>
  <w:style w:type="character" w:customStyle="1" w:styleId="Char38">
    <w:name w:val="宏文本 Char3"/>
    <w:basedOn w:val="a1"/>
    <w:rPr>
      <w:rFonts w:ascii="Courier New" w:hAnsi="Courier New" w:cs="Courier New"/>
      <w:sz w:val="24"/>
      <w:szCs w:val="24"/>
    </w:rPr>
  </w:style>
  <w:style w:type="character" w:customStyle="1" w:styleId="Char113">
    <w:name w:val="页脚 Char11"/>
    <w:rPr>
      <w:rFonts w:ascii="宋体" w:eastAsia="宋体" w:hAnsi="宋体" w:hint="eastAsia"/>
      <w:kern w:val="2"/>
      <w:sz w:val="18"/>
      <w:szCs w:val="18"/>
      <w:lang w:val="en-US" w:eastAsia="zh-CN" w:bidi="ar-SA"/>
    </w:rPr>
  </w:style>
  <w:style w:type="character" w:customStyle="1" w:styleId="5Char40">
    <w:name w:val="样式 表内小5 + 黑体 加粗 倾斜 下划线 Char4"/>
    <w:rPr>
      <w:rFonts w:ascii="黑体" w:eastAsia="黑体" w:hAnsi="黑体" w:hint="eastAsia"/>
      <w:b/>
      <w:bCs/>
      <w:i/>
      <w:iCs/>
      <w:kern w:val="2"/>
      <w:sz w:val="18"/>
      <w:szCs w:val="24"/>
      <w:u w:val="single"/>
      <w:lang w:val="en-US" w:eastAsia="zh-CN" w:bidi="ar-SA"/>
    </w:rPr>
  </w:style>
  <w:style w:type="character" w:customStyle="1" w:styleId="Char211">
    <w:name w:val="正文文本 Char21"/>
    <w:rPr>
      <w:rFonts w:ascii="宋体" w:eastAsia="宋体" w:hAnsi="宋体" w:hint="eastAsia"/>
      <w:kern w:val="2"/>
      <w:sz w:val="21"/>
      <w:szCs w:val="24"/>
      <w:lang w:val="en-US" w:eastAsia="zh-CN" w:bidi="ar-SA"/>
    </w:rPr>
  </w:style>
  <w:style w:type="character" w:customStyle="1" w:styleId="Char43">
    <w:name w:val="图题 Char4"/>
    <w:rPr>
      <w:rFonts w:ascii="黑体" w:eastAsia="黑体" w:hAnsi="宋体" w:cs="宋体" w:hint="eastAsia"/>
      <w:b/>
      <w:bCs/>
      <w:kern w:val="2"/>
      <w:sz w:val="24"/>
      <w:szCs w:val="24"/>
      <w:lang w:val="en-US" w:eastAsia="zh-CN" w:bidi="ar-SA"/>
    </w:rPr>
  </w:style>
  <w:style w:type="character" w:customStyle="1" w:styleId="CharCharCharChara">
    <w:name w:val="暂定图表名 Char Char Char Char"/>
    <w:rPr>
      <w:rFonts w:ascii="楷体_GB2312" w:eastAsia="楷体_GB2312" w:hint="eastAsia"/>
      <w:b/>
      <w:color w:val="008000"/>
      <w:kern w:val="2"/>
      <w:sz w:val="28"/>
      <w:szCs w:val="28"/>
      <w:lang w:val="en-US" w:eastAsia="zh-CN" w:bidi="ar-SA"/>
    </w:rPr>
  </w:style>
  <w:style w:type="character" w:customStyle="1" w:styleId="5CharChar1">
    <w:name w:val="5表标题 Char Char"/>
    <w:link w:val="5f5"/>
    <w:locked/>
    <w:rPr>
      <w:rFonts w:ascii="宋体" w:hAnsi="宋体" w:cs="宋体"/>
      <w:b/>
      <w:bCs/>
    </w:rPr>
  </w:style>
  <w:style w:type="paragraph" w:customStyle="1" w:styleId="5f5">
    <w:name w:val="5表标题"/>
    <w:link w:val="5CharChar1"/>
    <w:qFormat/>
    <w:pPr>
      <w:jc w:val="center"/>
    </w:pPr>
    <w:rPr>
      <w:rFonts w:ascii="宋体" w:hAnsi="宋体" w:cs="宋体"/>
      <w:b/>
      <w:bCs/>
      <w:kern w:val="2"/>
      <w:sz w:val="21"/>
      <w:szCs w:val="22"/>
    </w:rPr>
  </w:style>
  <w:style w:type="character" w:customStyle="1" w:styleId="2CharChar24">
    <w:name w:val="标准文本 首行缩进: 2 字符 行距: 单倍 Char Char2"/>
    <w:rPr>
      <w:rFonts w:ascii="宋体" w:eastAsia="宋体" w:hAnsi="宋体" w:hint="eastAsia"/>
      <w:kern w:val="2"/>
      <w:sz w:val="24"/>
      <w:szCs w:val="24"/>
      <w:lang w:val="en-US" w:eastAsia="zh-CN" w:bidi="ar-SA"/>
    </w:rPr>
  </w:style>
  <w:style w:type="character" w:customStyle="1" w:styleId="Char131">
    <w:name w:val="正文格式 Char13"/>
    <w:rPr>
      <w:rFonts w:ascii="宋体" w:eastAsia="宋体" w:hAnsi="宋体" w:hint="eastAsia"/>
      <w:kern w:val="2"/>
      <w:sz w:val="24"/>
      <w:szCs w:val="24"/>
      <w:lang w:val="en-US" w:eastAsia="zh-CN" w:bidi="ar-SA"/>
    </w:rPr>
  </w:style>
  <w:style w:type="character" w:customStyle="1" w:styleId="Charffffffff0">
    <w:name w:val="正文样式 仿宋 四号 Char"/>
    <w:link w:val="affffffffffffffffffffffffffe"/>
    <w:locked/>
    <w:rPr>
      <w:rFonts w:ascii="仿宋_GB2312" w:eastAsia="仿宋_GB2312" w:hAnsi="宋体" w:cs="宋体"/>
      <w:sz w:val="28"/>
    </w:rPr>
  </w:style>
  <w:style w:type="paragraph" w:customStyle="1" w:styleId="affffffffffffffffffffffffffe">
    <w:name w:val="正文样式 仿宋 四号"/>
    <w:basedOn w:val="a"/>
    <w:link w:val="Charffffffff0"/>
    <w:qFormat/>
    <w:pPr>
      <w:spacing w:line="520" w:lineRule="exact"/>
      <w:ind w:firstLine="556"/>
    </w:pPr>
    <w:rPr>
      <w:rFonts w:ascii="仿宋_GB2312" w:eastAsia="仿宋_GB2312" w:hAnsi="宋体" w:cs="宋体"/>
      <w:sz w:val="28"/>
    </w:rPr>
  </w:style>
  <w:style w:type="character" w:customStyle="1" w:styleId="font321">
    <w:name w:val="font321"/>
    <w:rPr>
      <w:rFonts w:ascii="宋体" w:eastAsia="宋体" w:hAnsi="宋体" w:hint="eastAsia"/>
      <w:color w:val="000000"/>
      <w:sz w:val="21"/>
      <w:szCs w:val="21"/>
      <w:u w:val="none"/>
    </w:rPr>
  </w:style>
  <w:style w:type="character" w:customStyle="1" w:styleId="Char62">
    <w:name w:val="批注框文本 Char6"/>
    <w:rPr>
      <w:rFonts w:ascii="宋体" w:eastAsia="宋体" w:hAnsi="宋体" w:hint="eastAsia"/>
      <w:kern w:val="2"/>
      <w:sz w:val="18"/>
      <w:szCs w:val="18"/>
      <w:lang w:val="en-US" w:eastAsia="zh-CN" w:bidi="ar-SA"/>
    </w:rPr>
  </w:style>
  <w:style w:type="character" w:customStyle="1" w:styleId="Char141">
    <w:name w:val="燕山正文 Char14"/>
    <w:rPr>
      <w:rFonts w:ascii="宋体" w:eastAsia="宋体" w:hAnsi="宋体" w:cs="宋体" w:hint="eastAsia"/>
      <w:kern w:val="2"/>
      <w:sz w:val="24"/>
      <w:szCs w:val="24"/>
      <w:lang w:val="en-US" w:eastAsia="zh-CN" w:bidi="ar-SA"/>
    </w:rPr>
  </w:style>
  <w:style w:type="character" w:customStyle="1" w:styleId="04">
    <w:name w:val="样式 加宽量  0.4 磅"/>
    <w:rPr>
      <w:spacing w:val="8"/>
    </w:rPr>
  </w:style>
  <w:style w:type="character" w:customStyle="1" w:styleId="CharChar102">
    <w:name w:val="Char Char102"/>
    <w:rPr>
      <w:rFonts w:ascii="宋体" w:eastAsia="宋体" w:hAnsi="宋体" w:cs="宋体" w:hint="eastAsia"/>
      <w:color w:val="000000"/>
      <w:kern w:val="2"/>
      <w:sz w:val="24"/>
      <w:szCs w:val="24"/>
      <w:lang w:val="en-US" w:eastAsia="zh-CN" w:bidi="ar-SA"/>
    </w:rPr>
  </w:style>
  <w:style w:type="character" w:customStyle="1" w:styleId="CharCharCharCharCharChara">
    <w:name w:val="新正文 Char Char Char Char Char Char"/>
    <w:rPr>
      <w:rFonts w:ascii="仿宋_GB2312" w:eastAsia="仿宋_GB2312" w:hint="eastAsia"/>
      <w:bCs/>
      <w:sz w:val="28"/>
      <w:lang w:val="en-US" w:eastAsia="zh-CN" w:bidi="ar-SA"/>
    </w:rPr>
  </w:style>
  <w:style w:type="character" w:customStyle="1" w:styleId="CharCharChar15">
    <w:name w:val="暂定图表名 Char Char Char1"/>
    <w:qFormat/>
    <w:rPr>
      <w:rFonts w:ascii="楷体_GB2312" w:eastAsia="楷体_GB2312" w:hint="eastAsia"/>
      <w:b/>
      <w:color w:val="008000"/>
      <w:kern w:val="2"/>
      <w:sz w:val="28"/>
      <w:szCs w:val="28"/>
      <w:lang w:val="en-US" w:eastAsia="zh-CN" w:bidi="ar-SA"/>
    </w:rPr>
  </w:style>
  <w:style w:type="character" w:customStyle="1" w:styleId="5Char30">
    <w:name w:val="样式 表内小5 + 黑体 加粗 倾斜 下划线 Char3"/>
    <w:rPr>
      <w:rFonts w:ascii="黑体" w:eastAsia="黑体" w:hAnsi="黑体" w:cs="Times New Roman" w:hint="eastAsia"/>
      <w:b/>
      <w:bCs/>
      <w:i/>
      <w:iCs/>
      <w:kern w:val="2"/>
      <w:sz w:val="18"/>
      <w:szCs w:val="24"/>
      <w:u w:val="single"/>
      <w:lang w:val="en-US" w:eastAsia="zh-CN" w:bidi="ar-SA"/>
    </w:rPr>
  </w:style>
  <w:style w:type="character" w:customStyle="1" w:styleId="CharCharfffa">
    <w:name w:val="正文文本 Char Char"/>
    <w:rPr>
      <w:rFonts w:ascii="宋体" w:eastAsia="宋体" w:hAnsi="宋体" w:hint="eastAsia"/>
      <w:kern w:val="2"/>
      <w:sz w:val="24"/>
      <w:lang w:val="en-US" w:eastAsia="zh-CN" w:bidi="ar-SA"/>
    </w:rPr>
  </w:style>
  <w:style w:type="character" w:customStyle="1" w:styleId="Char81">
    <w:name w:val="表格内字体 Char81"/>
    <w:rPr>
      <w:rFonts w:ascii="宋体" w:eastAsia="宋体" w:hAnsi="宋体" w:hint="eastAsia"/>
      <w:kern w:val="2"/>
      <w:sz w:val="21"/>
      <w:szCs w:val="24"/>
      <w:lang w:val="en-US" w:eastAsia="zh-CN" w:bidi="ar-SA"/>
    </w:rPr>
  </w:style>
  <w:style w:type="character" w:customStyle="1" w:styleId="CharCharfffb">
    <w:name w:val="新正文 Char Char"/>
    <w:rPr>
      <w:rFonts w:ascii="仿宋_GB2312" w:eastAsia="仿宋_GB2312" w:hint="eastAsia"/>
      <w:bCs/>
      <w:sz w:val="28"/>
      <w:lang w:val="en-US" w:eastAsia="zh-CN" w:bidi="ar-SA"/>
    </w:rPr>
  </w:style>
  <w:style w:type="character" w:customStyle="1" w:styleId="red1">
    <w:name w:val="red1"/>
    <w:rPr>
      <w:color w:val="FF3300"/>
    </w:rPr>
  </w:style>
  <w:style w:type="character" w:customStyle="1" w:styleId="fileatt2">
    <w:name w:val="fileatt2"/>
  </w:style>
  <w:style w:type="character" w:customStyle="1" w:styleId="210pt">
    <w:name w:val="正文文本 (2) + 10 pt"/>
    <w:uiPriority w:val="99"/>
    <w:rPr>
      <w:rFonts w:ascii="宋体" w:eastAsia="宋体" w:hAnsi="宋体" w:cs="宋体" w:hint="eastAsia"/>
      <w:sz w:val="20"/>
      <w:szCs w:val="20"/>
      <w:shd w:val="clear" w:color="auto" w:fill="FFFFFF"/>
    </w:rPr>
  </w:style>
  <w:style w:type="character" w:customStyle="1" w:styleId="9CharCharCharChar">
    <w:name w:val="9 Char Char Char Char"/>
    <w:rPr>
      <w:rFonts w:ascii="宋体" w:eastAsia="宋体" w:hAnsi="宋体" w:hint="eastAsia"/>
      <w:kern w:val="2"/>
      <w:sz w:val="28"/>
      <w:szCs w:val="28"/>
      <w:lang w:val="en-US" w:eastAsia="zh-CN" w:bidi="ar-SA"/>
    </w:rPr>
  </w:style>
  <w:style w:type="character" w:customStyle="1" w:styleId="CharChar129">
    <w:name w:val="Char Char129"/>
    <w:basedOn w:val="a1"/>
    <w:qFormat/>
    <w:locked/>
    <w:rPr>
      <w:rFonts w:eastAsia="宋体"/>
      <w:sz w:val="24"/>
      <w:lang w:val="en-US" w:eastAsia="zh-CN" w:bidi="ar-SA"/>
    </w:rPr>
  </w:style>
  <w:style w:type="character" w:customStyle="1" w:styleId="T3CharChar1">
    <w:name w:val="T3标题 Char Char1"/>
    <w:link w:val="T3"/>
    <w:locked/>
    <w:rPr>
      <w:rFonts w:ascii="宋体" w:hAnsi="宋体"/>
      <w:b/>
      <w:bCs/>
      <w:color w:val="FF0000"/>
      <w:kern w:val="18"/>
      <w:sz w:val="30"/>
      <w:szCs w:val="30"/>
      <w:lang w:val="zh-CN"/>
    </w:rPr>
  </w:style>
  <w:style w:type="paragraph" w:customStyle="1" w:styleId="T3">
    <w:name w:val="T3标题"/>
    <w:basedOn w:val="3"/>
    <w:link w:val="T3CharChar1"/>
    <w:qFormat/>
    <w:pPr>
      <w:widowControl w:val="0"/>
      <w:tabs>
        <w:tab w:val="left" w:pos="480"/>
        <w:tab w:val="left" w:pos="840"/>
      </w:tabs>
      <w:spacing w:before="0" w:after="0" w:line="360" w:lineRule="auto"/>
      <w:ind w:left="643" w:hanging="643"/>
    </w:pPr>
    <w:rPr>
      <w:rFonts w:ascii="宋体" w:eastAsiaTheme="minorEastAsia" w:hAnsi="宋体" w:cstheme="minorBidi"/>
      <w:color w:val="FF0000"/>
      <w:kern w:val="18"/>
      <w:sz w:val="30"/>
      <w:szCs w:val="30"/>
      <w:lang w:val="zh-CN"/>
    </w:rPr>
  </w:style>
  <w:style w:type="character" w:customStyle="1" w:styleId="mtext1">
    <w:name w:val="mtext1"/>
    <w:rPr>
      <w:color w:val="0331BC"/>
    </w:rPr>
  </w:style>
  <w:style w:type="character" w:customStyle="1" w:styleId="3H3h33rdlevel43Char3CharChCharCharChar1">
    <w:name w:val="样式 标题 3小标题小节标题H3h33rd level第二层条标题4标题 3 Char标题 3 Char Ch... Char Char Char1"/>
    <w:rPr>
      <w:rFonts w:ascii="Arial" w:eastAsia="宋体" w:hAnsi="Arial" w:cs="Arial" w:hint="default"/>
      <w:b/>
      <w:bCs/>
      <w:kern w:val="32"/>
      <w:sz w:val="32"/>
      <w:szCs w:val="32"/>
      <w:lang w:val="en-US" w:eastAsia="zh-CN" w:bidi="ar-SA"/>
    </w:rPr>
  </w:style>
  <w:style w:type="character" w:customStyle="1" w:styleId="CharChar1213">
    <w:name w:val="Char Char1213"/>
    <w:rPr>
      <w:rFonts w:ascii="黑体" w:eastAsia="黑体" w:hAnsi="Arial" w:hint="eastAsia"/>
      <w:b/>
      <w:bCs/>
      <w:kern w:val="2"/>
      <w:sz w:val="30"/>
      <w:szCs w:val="30"/>
      <w:lang w:val="en-US" w:eastAsia="zh-CN" w:bidi="ar-SA"/>
    </w:rPr>
  </w:style>
  <w:style w:type="character" w:customStyle="1" w:styleId="2CharChar8">
    <w:name w:val="表格标题2 Char Char"/>
    <w:rPr>
      <w:rFonts w:ascii="Arial" w:hAnsi="Arial" w:cs="Arial" w:hint="default"/>
      <w:kern w:val="2"/>
      <w:sz w:val="28"/>
      <w:szCs w:val="24"/>
    </w:rPr>
  </w:style>
  <w:style w:type="character" w:customStyle="1" w:styleId="CharChar623">
    <w:name w:val="Char Char623"/>
    <w:rPr>
      <w:rFonts w:ascii="黑体" w:eastAsia="黑体" w:hAnsi="黑体" w:hint="eastAsia"/>
      <w:b/>
      <w:bCs/>
      <w:kern w:val="2"/>
      <w:sz w:val="28"/>
      <w:szCs w:val="28"/>
      <w:lang w:val="en-US" w:eastAsia="zh-CN" w:bidi="ar-SA"/>
    </w:rPr>
  </w:style>
  <w:style w:type="character" w:customStyle="1" w:styleId="txt1">
    <w:name w:val="txt1"/>
    <w:rPr>
      <w:spacing w:val="15"/>
      <w:sz w:val="18"/>
      <w:szCs w:val="18"/>
    </w:rPr>
  </w:style>
  <w:style w:type="character" w:customStyle="1" w:styleId="001CharChar">
    <w:name w:val="正文001 Char Char"/>
    <w:rPr>
      <w:rFonts w:ascii="Arial" w:hAnsi="Arial" w:cs="Arial" w:hint="default"/>
      <w:sz w:val="24"/>
    </w:rPr>
  </w:style>
  <w:style w:type="character" w:customStyle="1" w:styleId="CharChar611">
    <w:name w:val="Char Char611"/>
    <w:rPr>
      <w:rFonts w:ascii="黑体" w:eastAsia="黑体" w:hAnsi="黑体" w:hint="eastAsia"/>
      <w:b/>
      <w:bCs/>
      <w:kern w:val="2"/>
      <w:sz w:val="28"/>
      <w:szCs w:val="28"/>
      <w:lang w:val="en-US" w:eastAsia="zh-CN" w:bidi="ar-SA"/>
    </w:rPr>
  </w:style>
  <w:style w:type="character" w:customStyle="1" w:styleId="Charffffffff1">
    <w:name w:val="沥青正文 Char"/>
    <w:rPr>
      <w:rFonts w:ascii="宋体" w:eastAsia="宋体" w:hAnsi="宋体" w:hint="eastAsia"/>
      <w:kern w:val="2"/>
      <w:sz w:val="24"/>
      <w:szCs w:val="24"/>
      <w:lang w:val="en-US" w:eastAsia="zh-CN" w:bidi="ar-SA"/>
    </w:rPr>
  </w:style>
  <w:style w:type="character" w:customStyle="1" w:styleId="Char311">
    <w:name w:val="题注 Char311"/>
    <w:rPr>
      <w:rFonts w:ascii="黑体" w:eastAsia="黑体" w:hAnsi="Arial" w:cs="Arial" w:hint="eastAsia"/>
      <w:b/>
      <w:kern w:val="2"/>
      <w:sz w:val="24"/>
      <w:szCs w:val="24"/>
      <w:lang w:val="en-US" w:eastAsia="zh-CN" w:bidi="ar-SA"/>
    </w:rPr>
  </w:style>
  <w:style w:type="character" w:customStyle="1" w:styleId="CharChar69">
    <w:name w:val="Char Char69"/>
    <w:rPr>
      <w:rFonts w:ascii="黑体" w:eastAsia="黑体" w:hAnsi="黑体" w:hint="eastAsia"/>
      <w:b/>
      <w:bCs/>
      <w:kern w:val="2"/>
      <w:sz w:val="28"/>
      <w:szCs w:val="28"/>
      <w:lang w:val="en-US" w:eastAsia="zh-CN" w:bidi="ar-SA"/>
    </w:rPr>
  </w:style>
  <w:style w:type="character" w:customStyle="1" w:styleId="5Char20">
    <w:name w:val="表内5 Char2"/>
    <w:rPr>
      <w:rFonts w:ascii="宋体" w:eastAsia="宋体" w:hAnsi="宋体" w:cs="宋体" w:hint="eastAsia"/>
      <w:kern w:val="2"/>
      <w:sz w:val="21"/>
      <w:szCs w:val="24"/>
      <w:lang w:val="en-US" w:eastAsia="zh-CN" w:bidi="ar-SA"/>
    </w:rPr>
  </w:style>
  <w:style w:type="character" w:customStyle="1" w:styleId="b14-1-no1">
    <w:name w:val="b14-1-no1"/>
    <w:qFormat/>
    <w:rPr>
      <w:color w:val="2E2E2E"/>
      <w:sz w:val="20"/>
      <w:szCs w:val="20"/>
      <w:u w:val="none"/>
    </w:rPr>
  </w:style>
  <w:style w:type="character" w:customStyle="1" w:styleId="Char161">
    <w:name w:val="正文修改 Char16"/>
    <w:rPr>
      <w:rFonts w:ascii="宋体" w:eastAsia="宋体" w:hAnsi="宋体" w:cs="宋体" w:hint="eastAsia"/>
      <w:color w:val="000000"/>
      <w:kern w:val="2"/>
      <w:sz w:val="24"/>
      <w:szCs w:val="24"/>
      <w:lang w:val="en-US" w:eastAsia="zh-CN" w:bidi="ar-SA"/>
    </w:rPr>
  </w:style>
  <w:style w:type="character" w:customStyle="1" w:styleId="Char510">
    <w:name w:val="正文格式 Char51"/>
    <w:rPr>
      <w:rFonts w:ascii="宋体" w:eastAsia="宋体" w:hAnsi="宋体" w:hint="eastAsia"/>
      <w:kern w:val="2"/>
      <w:sz w:val="24"/>
      <w:szCs w:val="24"/>
      <w:lang w:val="en-US" w:eastAsia="zh-CN" w:bidi="ar-SA"/>
    </w:rPr>
  </w:style>
  <w:style w:type="character" w:customStyle="1" w:styleId="HTML80">
    <w:name w:val="HTML 代码8"/>
    <w:rPr>
      <w:rFonts w:ascii="黑体" w:eastAsia="黑体" w:hAnsi="Courier New" w:cs="Courier New"/>
      <w:sz w:val="24"/>
      <w:szCs w:val="24"/>
    </w:rPr>
  </w:style>
  <w:style w:type="character" w:customStyle="1" w:styleId="17Char">
    <w:name w:val="样式17 Char"/>
    <w:link w:val="172"/>
    <w:locked/>
    <w:rPr>
      <w:sz w:val="18"/>
      <w:szCs w:val="18"/>
    </w:rPr>
  </w:style>
  <w:style w:type="paragraph" w:customStyle="1" w:styleId="172">
    <w:name w:val="样式17"/>
    <w:basedOn w:val="a"/>
    <w:link w:val="17Char"/>
    <w:qFormat/>
    <w:pPr>
      <w:tabs>
        <w:tab w:val="center" w:pos="4153"/>
        <w:tab w:val="right" w:pos="8306"/>
      </w:tabs>
      <w:snapToGrid w:val="0"/>
      <w:jc w:val="left"/>
    </w:pPr>
    <w:rPr>
      <w:sz w:val="18"/>
      <w:szCs w:val="18"/>
    </w:rPr>
  </w:style>
  <w:style w:type="character" w:customStyle="1" w:styleId="CharCharfffc">
    <w:name w:val="样式 正文缩进 + 宋体 黑色 Char Char"/>
    <w:link w:val="afffffffffffffffffffffffffff"/>
    <w:locked/>
    <w:rPr>
      <w:rFonts w:ascii="宋体" w:hAnsi="宋体"/>
      <w:color w:val="000000"/>
      <w:sz w:val="24"/>
      <w:szCs w:val="24"/>
    </w:rPr>
  </w:style>
  <w:style w:type="paragraph" w:customStyle="1" w:styleId="afffffffffffffffffffffffffff">
    <w:name w:val="样式 正文缩进 + 宋体 黑色"/>
    <w:basedOn w:val="a0"/>
    <w:link w:val="CharCharfffc"/>
    <w:qFormat/>
    <w:pPr>
      <w:spacing w:before="0" w:after="0" w:line="360" w:lineRule="auto"/>
      <w:ind w:firstLineChars="200" w:firstLine="200"/>
      <w:jc w:val="left"/>
    </w:pPr>
    <w:rPr>
      <w:rFonts w:eastAsiaTheme="minorEastAsia" w:cstheme="minorBidi"/>
      <w:b w:val="0"/>
      <w:bCs w:val="0"/>
      <w:color w:val="000000"/>
      <w:szCs w:val="24"/>
    </w:rPr>
  </w:style>
  <w:style w:type="character" w:customStyle="1" w:styleId="CharChar6110">
    <w:name w:val="Char Char6110"/>
    <w:rPr>
      <w:rFonts w:ascii="黑体" w:eastAsia="黑体" w:hAnsi="黑体" w:hint="eastAsia"/>
      <w:b/>
      <w:bCs/>
      <w:kern w:val="2"/>
      <w:sz w:val="28"/>
      <w:szCs w:val="28"/>
      <w:lang w:val="en-US" w:eastAsia="zh-CN" w:bidi="ar-SA"/>
    </w:rPr>
  </w:style>
  <w:style w:type="character" w:customStyle="1" w:styleId="3Char40">
    <w:name w:val="正文文本缩进 3 Char4"/>
    <w:rPr>
      <w:rFonts w:ascii="宋体" w:eastAsia="宋体" w:hAnsi="宋体" w:hint="eastAsia"/>
      <w:kern w:val="2"/>
      <w:sz w:val="16"/>
      <w:szCs w:val="16"/>
      <w:lang w:val="en-US" w:eastAsia="zh-CN" w:bidi="ar-SA"/>
    </w:rPr>
  </w:style>
  <w:style w:type="character" w:customStyle="1" w:styleId="CharChar518">
    <w:name w:val="Char Char518"/>
    <w:rPr>
      <w:rFonts w:ascii="黑体" w:eastAsia="黑体" w:hAnsi="宋体" w:hint="eastAsia"/>
      <w:bCs/>
      <w:kern w:val="2"/>
      <w:sz w:val="28"/>
      <w:szCs w:val="28"/>
      <w:lang w:val="en-US" w:eastAsia="zh-CN" w:bidi="ar-SA"/>
    </w:rPr>
  </w:style>
  <w:style w:type="character" w:customStyle="1" w:styleId="Char53">
    <w:name w:val="批注框文本 Char5"/>
    <w:qFormat/>
    <w:rPr>
      <w:rFonts w:ascii="宋体" w:eastAsia="宋体" w:hAnsi="宋体" w:hint="eastAsia"/>
      <w:kern w:val="2"/>
      <w:sz w:val="18"/>
      <w:szCs w:val="18"/>
      <w:lang w:val="en-US" w:eastAsia="zh-CN" w:bidi="ar-SA"/>
    </w:rPr>
  </w:style>
  <w:style w:type="character" w:customStyle="1" w:styleId="2CharCharChar">
    <w:name w:val="标题 2 Char Char Char"/>
    <w:rPr>
      <w:rFonts w:ascii="Arial" w:eastAsia="宋体" w:hAnsi="Arial" w:cs="Arial" w:hint="default"/>
      <w:sz w:val="28"/>
      <w:szCs w:val="36"/>
      <w:lang w:val="en-US" w:eastAsia="zh-CN" w:bidi="ar-SA"/>
    </w:rPr>
  </w:style>
  <w:style w:type="character" w:customStyle="1" w:styleId="Char1411">
    <w:name w:val="正文修改 Char1411"/>
    <w:rPr>
      <w:rFonts w:ascii="宋体" w:eastAsia="宋体" w:hAnsi="宋体" w:hint="eastAsia"/>
      <w:sz w:val="24"/>
      <w:szCs w:val="24"/>
    </w:rPr>
  </w:style>
  <w:style w:type="character" w:customStyle="1" w:styleId="CharCharCharCharCharCharCharb">
    <w:name w:val="正文格式 Char Char Char Char Char Char Char"/>
    <w:rPr>
      <w:rFonts w:ascii="宋体" w:eastAsia="宋体" w:hAnsi="宋体" w:cs="宋体" w:hint="eastAsia"/>
      <w:kern w:val="2"/>
      <w:sz w:val="24"/>
      <w:szCs w:val="24"/>
      <w:lang w:val="en-US" w:eastAsia="zh-CN" w:bidi="ar-SA"/>
    </w:rPr>
  </w:style>
  <w:style w:type="character" w:customStyle="1" w:styleId="CharChar1110">
    <w:name w:val="Char Char1110"/>
    <w:rPr>
      <w:rFonts w:ascii="黑体" w:eastAsia="黑体" w:hAnsi="Arial" w:hint="eastAsia"/>
      <w:bCs/>
      <w:kern w:val="2"/>
      <w:sz w:val="30"/>
      <w:szCs w:val="30"/>
      <w:lang w:val="en-US" w:eastAsia="zh-CN" w:bidi="ar-SA"/>
    </w:rPr>
  </w:style>
  <w:style w:type="character" w:customStyle="1" w:styleId="CharChar1115">
    <w:name w:val="Char Char1115"/>
    <w:rPr>
      <w:rFonts w:ascii="黑体" w:eastAsia="黑体" w:hAnsi="Arial" w:hint="eastAsia"/>
      <w:bCs/>
      <w:kern w:val="2"/>
      <w:sz w:val="30"/>
      <w:szCs w:val="30"/>
      <w:lang w:val="en-US" w:eastAsia="zh-CN" w:bidi="ar-SA"/>
    </w:rPr>
  </w:style>
  <w:style w:type="character" w:customStyle="1" w:styleId="Char610">
    <w:name w:val="正文缩进 Char61"/>
    <w:rPr>
      <w:rFonts w:ascii="宋体" w:eastAsia="宋体" w:hAnsi="宋体" w:hint="eastAsia"/>
      <w:kern w:val="2"/>
      <w:sz w:val="24"/>
      <w:szCs w:val="24"/>
      <w:lang w:val="en-US" w:eastAsia="zh-CN" w:bidi="ar-SA"/>
    </w:rPr>
  </w:style>
  <w:style w:type="character" w:customStyle="1" w:styleId="CharChar1123">
    <w:name w:val="Char Char1123"/>
    <w:rPr>
      <w:rFonts w:ascii="黑体" w:eastAsia="黑体" w:hAnsi="Arial" w:hint="eastAsia"/>
      <w:bCs/>
      <w:kern w:val="2"/>
      <w:sz w:val="30"/>
      <w:szCs w:val="30"/>
      <w:lang w:val="en-US" w:eastAsia="zh-CN" w:bidi="ar-SA"/>
    </w:rPr>
  </w:style>
  <w:style w:type="character" w:customStyle="1" w:styleId="CharChar320">
    <w:name w:val="Char Char320"/>
    <w:qFormat/>
    <w:rPr>
      <w:rFonts w:ascii="Arial" w:eastAsia="宋体" w:hAnsi="Arial" w:cs="Arial"/>
      <w:b/>
      <w:bCs/>
      <w:kern w:val="2"/>
      <w:sz w:val="32"/>
      <w:szCs w:val="32"/>
      <w:lang w:val="en-US" w:eastAsia="zh-CN" w:bidi="ar-SA"/>
    </w:rPr>
  </w:style>
  <w:style w:type="character" w:customStyle="1" w:styleId="CharChar617">
    <w:name w:val="Char Char617"/>
    <w:rPr>
      <w:rFonts w:ascii="黑体" w:eastAsia="黑体" w:hAnsi="黑体" w:hint="eastAsia"/>
      <w:b/>
      <w:bCs/>
      <w:kern w:val="2"/>
      <w:sz w:val="28"/>
      <w:szCs w:val="28"/>
      <w:lang w:val="en-US" w:eastAsia="zh-CN" w:bidi="ar-SA"/>
    </w:rPr>
  </w:style>
  <w:style w:type="character" w:customStyle="1" w:styleId="CharCharChar22">
    <w:name w:val="Char Char Char22"/>
    <w:rPr>
      <w:rFonts w:ascii="Times New Roman" w:eastAsia="宋体" w:hAnsi="Times New Roman" w:cs="Times New Roman" w:hint="default"/>
      <w:sz w:val="18"/>
      <w:szCs w:val="18"/>
    </w:rPr>
  </w:style>
  <w:style w:type="character" w:customStyle="1" w:styleId="Char181">
    <w:name w:val="燕山正文 Char18"/>
    <w:rPr>
      <w:rFonts w:ascii="宋体" w:eastAsia="宋体" w:hAnsi="宋体" w:cs="宋体" w:hint="eastAsia"/>
      <w:kern w:val="2"/>
      <w:sz w:val="24"/>
      <w:szCs w:val="24"/>
      <w:lang w:val="en-US" w:eastAsia="zh-CN" w:bidi="ar-SA"/>
    </w:rPr>
  </w:style>
  <w:style w:type="character" w:customStyle="1" w:styleId="Char1410">
    <w:name w:val="正文修改 Char141"/>
    <w:rPr>
      <w:rFonts w:ascii="宋体" w:eastAsia="宋体" w:hAnsi="宋体" w:hint="eastAsia"/>
      <w:sz w:val="24"/>
      <w:szCs w:val="24"/>
    </w:rPr>
  </w:style>
  <w:style w:type="character" w:customStyle="1" w:styleId="2Georgia">
    <w:name w:val="标题 #2 + Georgia"/>
    <w:uiPriority w:val="99"/>
    <w:rPr>
      <w:rFonts w:ascii="Georgia" w:eastAsia="宋体" w:hAnsi="Georgia" w:cs="Georgia" w:hint="default"/>
      <w:sz w:val="23"/>
      <w:szCs w:val="23"/>
      <w:u w:val="none"/>
      <w:shd w:val="clear" w:color="auto" w:fill="FFFFFF"/>
      <w:lang w:val="en-US" w:eastAsia="en-US"/>
    </w:rPr>
  </w:style>
  <w:style w:type="character" w:customStyle="1" w:styleId="1fffffff2">
    <w:name w:val="样式 黑色1"/>
    <w:rPr>
      <w:rFonts w:ascii="宋体" w:eastAsia="宋体" w:hAnsi="宋体" w:hint="eastAsia"/>
      <w:color w:val="auto"/>
      <w:kern w:val="2"/>
      <w:sz w:val="24"/>
      <w:szCs w:val="24"/>
      <w:lang w:val="en-US" w:eastAsia="zh-CN" w:bidi="ar-SA"/>
    </w:rPr>
  </w:style>
  <w:style w:type="character" w:customStyle="1" w:styleId="CharChar2112">
    <w:name w:val="Char Char2112"/>
    <w:rPr>
      <w:rFonts w:ascii="黑体" w:eastAsia="宋体" w:hAnsi="黑体" w:hint="eastAsia"/>
      <w:kern w:val="2"/>
      <w:sz w:val="16"/>
      <w:szCs w:val="16"/>
      <w:lang w:val="en-US" w:eastAsia="zh-CN" w:bidi="ar-SA"/>
    </w:rPr>
  </w:style>
  <w:style w:type="character" w:customStyle="1" w:styleId="2Gungsuh">
    <w:name w:val="正文文本 (2) + Gungsuh"/>
    <w:uiPriority w:val="99"/>
    <w:rPr>
      <w:rFonts w:ascii="Gungsuh" w:eastAsia="Gungsuh" w:hAnsi="Gungsuh" w:cs="Gungsuh" w:hint="eastAsia"/>
      <w:i/>
      <w:iCs/>
      <w:spacing w:val="0"/>
      <w:sz w:val="11"/>
      <w:szCs w:val="11"/>
      <w:u w:val="none"/>
      <w:shd w:val="clear" w:color="auto" w:fill="FFFFFF"/>
      <w:lang w:val="en-US" w:eastAsia="en-US"/>
    </w:rPr>
  </w:style>
  <w:style w:type="character" w:customStyle="1" w:styleId="bdsmore1">
    <w:name w:val="bds_more1"/>
    <w:qFormat/>
    <w:rPr>
      <w:rFonts w:ascii="宋体" w:eastAsia="宋体" w:hAnsi="宋体" w:cs="宋体" w:hint="eastAsia"/>
    </w:rPr>
  </w:style>
  <w:style w:type="character" w:customStyle="1" w:styleId="3Char50">
    <w:name w:val="正文文本缩进 3 Char5"/>
    <w:rPr>
      <w:rFonts w:ascii="Times New Roman" w:eastAsia="宋体" w:hAnsi="Times New Roman" w:cs="Times New Roman" w:hint="default"/>
      <w:kern w:val="2"/>
      <w:sz w:val="16"/>
      <w:szCs w:val="16"/>
      <w:lang w:val="en-US" w:eastAsia="zh-CN" w:bidi="ar-SA"/>
    </w:rPr>
  </w:style>
  <w:style w:type="character" w:customStyle="1" w:styleId="CharChar1113">
    <w:name w:val="Char Char1113"/>
    <w:rPr>
      <w:rFonts w:ascii="黑体" w:eastAsia="黑体" w:hAnsi="Arial" w:hint="eastAsia"/>
      <w:bCs/>
      <w:kern w:val="2"/>
      <w:sz w:val="30"/>
      <w:szCs w:val="30"/>
      <w:lang w:val="en-US" w:eastAsia="zh-CN" w:bidi="ar-SA"/>
    </w:rPr>
  </w:style>
  <w:style w:type="character" w:customStyle="1" w:styleId="26pt">
    <w:name w:val="正文文本 (2) + 6 pt"/>
    <w:uiPriority w:val="99"/>
    <w:rPr>
      <w:rFonts w:ascii="宋体" w:eastAsia="宋体" w:hAnsi="宋体" w:cs="宋体" w:hint="eastAsia"/>
      <w:spacing w:val="-10"/>
      <w:sz w:val="12"/>
      <w:szCs w:val="12"/>
      <w:u w:val="none"/>
      <w:shd w:val="clear" w:color="auto" w:fill="FFFFFF"/>
      <w:lang w:val="en-US" w:eastAsia="en-US"/>
    </w:rPr>
  </w:style>
  <w:style w:type="character" w:customStyle="1" w:styleId="ywCharChar">
    <w:name w:val="yw正文文本缩进 Char Char"/>
    <w:link w:val="yw"/>
    <w:locked/>
    <w:rPr>
      <w:rFonts w:ascii="仿宋_GB2312" w:eastAsia="仿宋_GB2312" w:cs="宋体"/>
      <w:sz w:val="24"/>
    </w:rPr>
  </w:style>
  <w:style w:type="paragraph" w:customStyle="1" w:styleId="yw">
    <w:name w:val="yw正文文本缩进"/>
    <w:basedOn w:val="a"/>
    <w:link w:val="ywCharChar"/>
    <w:qFormat/>
    <w:pPr>
      <w:widowControl/>
      <w:overflowPunct w:val="0"/>
      <w:autoSpaceDE w:val="0"/>
      <w:autoSpaceDN w:val="0"/>
      <w:adjustRightInd w:val="0"/>
      <w:snapToGrid w:val="0"/>
      <w:spacing w:line="360" w:lineRule="auto"/>
      <w:ind w:firstLineChars="200" w:firstLine="200"/>
    </w:pPr>
    <w:rPr>
      <w:rFonts w:ascii="仿宋_GB2312" w:eastAsia="仿宋_GB2312" w:cs="宋体"/>
      <w:sz w:val="24"/>
    </w:rPr>
  </w:style>
  <w:style w:type="character" w:customStyle="1" w:styleId="CharChar1912">
    <w:name w:val="Char Char1912"/>
    <w:qFormat/>
    <w:rPr>
      <w:rFonts w:eastAsia="宋体"/>
      <w:kern w:val="2"/>
      <w:sz w:val="21"/>
      <w:szCs w:val="24"/>
      <w:lang w:val="en-US" w:eastAsia="zh-CN" w:bidi="ar-SA"/>
    </w:rPr>
  </w:style>
  <w:style w:type="character" w:customStyle="1" w:styleId="Char63">
    <w:name w:val="正文缩进 Char6"/>
    <w:rPr>
      <w:rFonts w:ascii="宋体" w:eastAsia="宋体" w:hAnsi="宋体" w:hint="eastAsia"/>
      <w:kern w:val="2"/>
      <w:sz w:val="24"/>
      <w:szCs w:val="24"/>
      <w:lang w:val="en-US" w:eastAsia="zh-CN" w:bidi="ar-SA"/>
    </w:rPr>
  </w:style>
  <w:style w:type="character" w:customStyle="1" w:styleId="Char231">
    <w:name w:val="表中文字 Char23"/>
    <w:rPr>
      <w:rFonts w:ascii="宋体" w:eastAsia="宋体" w:hAnsi="宋体" w:hint="eastAsia"/>
      <w:kern w:val="2"/>
      <w:sz w:val="21"/>
      <w:szCs w:val="21"/>
      <w:lang w:val="en-US" w:eastAsia="zh-CN" w:bidi="ar-SA"/>
    </w:rPr>
  </w:style>
  <w:style w:type="character" w:customStyle="1" w:styleId="2TimesNewRoman2">
    <w:name w:val="正文文本 (2) + Times New Roman"/>
    <w:uiPriority w:val="99"/>
    <w:rPr>
      <w:rFonts w:ascii="Times New Roman" w:eastAsia="宋体" w:hAnsi="Times New Roman" w:cs="Times New Roman" w:hint="default"/>
      <w:sz w:val="22"/>
      <w:szCs w:val="22"/>
      <w:shd w:val="clear" w:color="auto" w:fill="FFFFFF"/>
      <w:lang w:eastAsia="en-US"/>
    </w:rPr>
  </w:style>
  <w:style w:type="character" w:customStyle="1" w:styleId="Char1ff0">
    <w:name w:val="正文样式 Char1"/>
    <w:rPr>
      <w:rFonts w:ascii="宋体" w:eastAsia="宋体" w:hAnsi="宋体" w:hint="eastAsia"/>
      <w:kern w:val="2"/>
      <w:sz w:val="24"/>
      <w:szCs w:val="24"/>
      <w:lang w:val="en-US" w:eastAsia="zh-CN" w:bidi="ar-SA"/>
    </w:rPr>
  </w:style>
  <w:style w:type="character" w:customStyle="1" w:styleId="11fc">
    <w:name w:val="正文缩进11"/>
    <w:rPr>
      <w:rFonts w:ascii="宋体" w:eastAsia="宋体" w:hAnsi="宋体" w:hint="eastAsia"/>
      <w:kern w:val="2"/>
      <w:sz w:val="21"/>
      <w:szCs w:val="24"/>
      <w:lang w:val="en-US" w:eastAsia="zh-CN" w:bidi="ar-SA"/>
    </w:rPr>
  </w:style>
  <w:style w:type="character" w:customStyle="1" w:styleId="CharChar519">
    <w:name w:val="Char Char519"/>
    <w:rPr>
      <w:rFonts w:ascii="黑体" w:eastAsia="黑体" w:hAnsi="宋体" w:hint="eastAsia"/>
      <w:bCs/>
      <w:kern w:val="2"/>
      <w:sz w:val="28"/>
      <w:szCs w:val="28"/>
      <w:lang w:val="en-US" w:eastAsia="zh-CN" w:bidi="ar-SA"/>
    </w:rPr>
  </w:style>
  <w:style w:type="character" w:customStyle="1" w:styleId="Char1120">
    <w:name w:val="题注 Char112"/>
    <w:rPr>
      <w:rFonts w:ascii="黑体" w:eastAsia="黑体" w:hAnsi="Arial" w:cs="Arial" w:hint="eastAsia"/>
      <w:b/>
      <w:kern w:val="2"/>
      <w:sz w:val="24"/>
      <w:szCs w:val="24"/>
      <w:lang w:val="en-US" w:eastAsia="zh-CN" w:bidi="ar-SA"/>
    </w:rPr>
  </w:style>
  <w:style w:type="character" w:customStyle="1" w:styleId="CharCharfffd">
    <w:name w:val="福建正文缩进 Char Char"/>
    <w:rPr>
      <w:rFonts w:ascii="宋体" w:eastAsia="宋体" w:hAnsi="宋体" w:hint="eastAsia"/>
      <w:color w:val="000000"/>
      <w:sz w:val="24"/>
      <w:szCs w:val="24"/>
    </w:rPr>
  </w:style>
  <w:style w:type="character" w:customStyle="1" w:styleId="hhcwtCharCharCharCharChar">
    <w:name w:val="hhcwt正文 Char Char Char Char Char"/>
    <w:rPr>
      <w:rFonts w:ascii="宋体" w:eastAsia="宋体" w:hAnsi="宋体" w:cs="宋体" w:hint="eastAsia"/>
      <w:kern w:val="2"/>
      <w:sz w:val="24"/>
      <w:lang w:val="en-US" w:eastAsia="zh-CN" w:bidi="ar-SA"/>
    </w:rPr>
  </w:style>
  <w:style w:type="character" w:customStyle="1" w:styleId="afffffffffffffffffffffffffff0">
    <w:name w:val="重点"/>
    <w:rPr>
      <w:i/>
    </w:rPr>
  </w:style>
  <w:style w:type="character" w:customStyle="1" w:styleId="CharCharfffe">
    <w:name w:val="正文标准格式张 Char Char"/>
    <w:rPr>
      <w:rFonts w:ascii="宋体" w:eastAsia="宋体" w:hAnsi="宋体" w:hint="eastAsia"/>
      <w:snapToGrid/>
      <w:sz w:val="24"/>
      <w:szCs w:val="24"/>
    </w:rPr>
  </w:style>
  <w:style w:type="character" w:customStyle="1" w:styleId="Char232">
    <w:name w:val="三级标题 Char23"/>
    <w:rPr>
      <w:rFonts w:ascii="黑体" w:eastAsia="黑体" w:hAnsi="宋体" w:hint="eastAsia"/>
      <w:bCs/>
      <w:kern w:val="2"/>
      <w:sz w:val="28"/>
      <w:szCs w:val="28"/>
      <w:lang w:val="en-US" w:eastAsia="zh-CN" w:bidi="ar-SA"/>
    </w:rPr>
  </w:style>
  <w:style w:type="character" w:customStyle="1" w:styleId="123YJCharChar">
    <w:name w:val="123YJ Char Char"/>
    <w:rPr>
      <w:rFonts w:ascii="宋体" w:eastAsia="宋体" w:hAnsi="宋体" w:hint="eastAsia"/>
      <w:kern w:val="2"/>
      <w:sz w:val="18"/>
      <w:lang w:val="en-US" w:eastAsia="zh-CN" w:bidi="ar-SA"/>
    </w:rPr>
  </w:style>
  <w:style w:type="character" w:customStyle="1" w:styleId="rightsubhead1">
    <w:name w:val="rightsubhead1"/>
    <w:rPr>
      <w:rFonts w:ascii="Arial" w:hAnsi="Arial" w:cs="Arial" w:hint="default"/>
      <w:color w:val="333333"/>
      <w:sz w:val="20"/>
      <w:szCs w:val="20"/>
    </w:rPr>
  </w:style>
  <w:style w:type="character" w:customStyle="1" w:styleId="chenCharCharCharCharChar">
    <w:name w:val="谏壁chen表格内文字 Char Char Char Char Char"/>
    <w:rPr>
      <w:rFonts w:ascii="宋体" w:eastAsia="宋体" w:hAnsi="宋体" w:hint="eastAsia"/>
      <w:kern w:val="2"/>
      <w:sz w:val="21"/>
      <w:szCs w:val="21"/>
      <w:lang w:val="en-US" w:eastAsia="zh-CN" w:bidi="ar-SA"/>
    </w:rPr>
  </w:style>
  <w:style w:type="character" w:customStyle="1" w:styleId="Char221">
    <w:name w:val="题注 Char22"/>
    <w:rPr>
      <w:rFonts w:ascii="黑体" w:eastAsia="黑体" w:hAnsi="Arial" w:cs="Arial" w:hint="eastAsia"/>
      <w:b/>
      <w:kern w:val="2"/>
      <w:sz w:val="24"/>
      <w:szCs w:val="24"/>
      <w:lang w:val="en-US" w:eastAsia="zh-CN" w:bidi="ar-SA"/>
    </w:rPr>
  </w:style>
  <w:style w:type="character" w:customStyle="1" w:styleId="CharChar1131">
    <w:name w:val="Char Char1131"/>
    <w:rPr>
      <w:rFonts w:ascii="黑体" w:eastAsia="黑体" w:hAnsi="Arial" w:hint="eastAsia"/>
      <w:bCs/>
      <w:kern w:val="2"/>
      <w:sz w:val="30"/>
      <w:szCs w:val="30"/>
      <w:lang w:val="en-US" w:eastAsia="zh-CN" w:bidi="ar-SA"/>
    </w:rPr>
  </w:style>
  <w:style w:type="character" w:customStyle="1" w:styleId="1CharChar4">
    <w:name w:val="表题1 Char Char"/>
    <w:rPr>
      <w:rFonts w:ascii="黑体" w:eastAsia="黑体" w:hAnsi="Arial" w:hint="eastAsia"/>
      <w:b/>
      <w:sz w:val="24"/>
      <w:szCs w:val="24"/>
    </w:rPr>
  </w:style>
  <w:style w:type="character" w:customStyle="1" w:styleId="CharChar418">
    <w:name w:val="Char Char418"/>
    <w:basedOn w:val="a1"/>
    <w:qFormat/>
    <w:rPr>
      <w:rFonts w:eastAsia="宋体"/>
      <w:kern w:val="2"/>
      <w:sz w:val="21"/>
      <w:szCs w:val="24"/>
      <w:lang w:val="en-US" w:eastAsia="zh-CN" w:bidi="ar-SA"/>
    </w:rPr>
  </w:style>
  <w:style w:type="character" w:customStyle="1" w:styleId="Char2CharChar">
    <w:name w:val="Char2 Char Char"/>
    <w:locked/>
    <w:rPr>
      <w:rFonts w:ascii="宋体" w:eastAsia="宋体" w:hAnsi="宋体" w:hint="eastAsia"/>
      <w:kern w:val="2"/>
      <w:sz w:val="28"/>
      <w:szCs w:val="28"/>
      <w:lang w:val="en-US" w:eastAsia="zh-CN" w:bidi="ar-SA"/>
    </w:rPr>
  </w:style>
  <w:style w:type="character" w:customStyle="1" w:styleId="514">
    <w:name w:val="标题51"/>
    <w:qFormat/>
  </w:style>
  <w:style w:type="character" w:customStyle="1" w:styleId="CharChar316">
    <w:name w:val="Char Char316"/>
    <w:rPr>
      <w:rFonts w:ascii="黑体" w:eastAsia="黑体" w:hAnsi="宋体" w:hint="eastAsia"/>
      <w:b/>
      <w:bCs/>
      <w:kern w:val="2"/>
      <w:sz w:val="28"/>
      <w:szCs w:val="28"/>
      <w:lang w:val="en-US" w:eastAsia="zh-CN" w:bidi="ar-SA"/>
    </w:rPr>
  </w:style>
  <w:style w:type="character" w:customStyle="1" w:styleId="hCharChar">
    <w:name w:val="h Char Char"/>
    <w:rPr>
      <w:rFonts w:ascii="宋体" w:eastAsia="宋体" w:hAnsi="宋体" w:hint="eastAsia"/>
      <w:kern w:val="2"/>
      <w:sz w:val="18"/>
      <w:szCs w:val="18"/>
      <w:lang w:val="en-US" w:eastAsia="zh-CN" w:bidi="ar-SA"/>
    </w:rPr>
  </w:style>
  <w:style w:type="character" w:customStyle="1" w:styleId="1Char80">
    <w:name w:val="表题1 Char8"/>
    <w:rPr>
      <w:rFonts w:ascii="黑体" w:eastAsia="黑体" w:hAnsi="Arial" w:cs="Arial" w:hint="eastAsia"/>
      <w:b/>
      <w:kern w:val="2"/>
      <w:sz w:val="24"/>
      <w:szCs w:val="24"/>
      <w:lang w:val="en-US" w:eastAsia="zh-CN" w:bidi="ar-SA"/>
    </w:rPr>
  </w:style>
  <w:style w:type="character" w:customStyle="1" w:styleId="Char1413">
    <w:name w:val="正文修改 Char1413"/>
    <w:rPr>
      <w:rFonts w:ascii="宋体" w:eastAsia="宋体" w:hAnsi="宋体" w:hint="eastAsia"/>
      <w:sz w:val="24"/>
      <w:szCs w:val="24"/>
    </w:rPr>
  </w:style>
  <w:style w:type="character" w:customStyle="1" w:styleId="CharChar116">
    <w:name w:val="Char Char116"/>
    <w:basedOn w:val="a1"/>
    <w:rPr>
      <w:rFonts w:eastAsia="宋体"/>
      <w:sz w:val="18"/>
      <w:szCs w:val="18"/>
      <w:lang w:val="en-US" w:eastAsia="zh-CN" w:bidi="ar-SA"/>
    </w:rPr>
  </w:style>
  <w:style w:type="character" w:customStyle="1" w:styleId="1Char100">
    <w:name w:val="表题1 Char10"/>
    <w:rPr>
      <w:rFonts w:ascii="Arial" w:eastAsia="宋体" w:hAnsi="Arial" w:cs="Arial" w:hint="default"/>
      <w:kern w:val="2"/>
      <w:sz w:val="24"/>
      <w:szCs w:val="24"/>
      <w:lang w:val="en-US" w:eastAsia="zh-CN" w:bidi="ar-SA"/>
    </w:rPr>
  </w:style>
  <w:style w:type="character" w:customStyle="1" w:styleId="CharCharChar1CharCharCharCharCharCharCharCharCharCharCharCharCharCharCharCharChar1">
    <w:name w:val="Char Char Char1 Char Char Char Char Char Char Char Char Char Char Char Char Char Char Char Char Char1"/>
    <w:rPr>
      <w:rFonts w:ascii="宋体" w:eastAsia="宋体" w:hAnsi="宋体" w:hint="eastAsia"/>
      <w:kern w:val="2"/>
      <w:sz w:val="28"/>
      <w:szCs w:val="28"/>
      <w:lang w:val="en-US" w:eastAsia="zh-CN" w:bidi="ar-SA"/>
    </w:rPr>
  </w:style>
  <w:style w:type="character" w:customStyle="1" w:styleId="4Char11">
    <w:name w:val="标题4 Char11"/>
    <w:rPr>
      <w:rFonts w:ascii="黑体" w:eastAsia="黑体" w:hAnsi="Arial" w:cs="Times New Roman" w:hint="eastAsia"/>
      <w:b/>
      <w:bCs/>
      <w:kern w:val="2"/>
      <w:sz w:val="24"/>
      <w:szCs w:val="28"/>
      <w:lang w:val="en-US" w:eastAsia="zh-CN" w:bidi="ar-SA"/>
    </w:rPr>
  </w:style>
  <w:style w:type="character" w:customStyle="1" w:styleId="richtextmngstyle1">
    <w:name w:val="richtextmngstyle1"/>
    <w:rPr>
      <w:color w:val="000000"/>
      <w:spacing w:val="15"/>
      <w:sz w:val="21"/>
      <w:szCs w:val="21"/>
      <w:u w:val="none"/>
    </w:rPr>
  </w:style>
  <w:style w:type="character" w:customStyle="1" w:styleId="2fffffff0">
    <w:name w:val="标题 #2_"/>
    <w:link w:val="2fffffff1"/>
    <w:uiPriority w:val="99"/>
    <w:locked/>
    <w:rPr>
      <w:rFonts w:ascii="宋体" w:hAnsi="宋体" w:cs="宋体"/>
      <w:shd w:val="clear" w:color="auto" w:fill="FFFFFF"/>
    </w:rPr>
  </w:style>
  <w:style w:type="paragraph" w:customStyle="1" w:styleId="2fffffff1">
    <w:name w:val="标题 #2"/>
    <w:basedOn w:val="a"/>
    <w:link w:val="2fffffff0"/>
    <w:uiPriority w:val="99"/>
    <w:qFormat/>
    <w:pPr>
      <w:shd w:val="clear" w:color="auto" w:fill="FFFFFF"/>
      <w:spacing w:after="60" w:line="240" w:lineRule="atLeast"/>
      <w:jc w:val="distribute"/>
      <w:outlineLvl w:val="1"/>
    </w:pPr>
    <w:rPr>
      <w:rFonts w:ascii="宋体" w:hAnsi="宋体" w:cs="宋体"/>
    </w:rPr>
  </w:style>
  <w:style w:type="character" w:customStyle="1" w:styleId="HTML81">
    <w:name w:val="HTML 打字机8"/>
    <w:rPr>
      <w:rFonts w:ascii="黑体" w:eastAsia="黑体" w:hAnsi="Courier New" w:cs="Courier New"/>
      <w:sz w:val="18"/>
      <w:szCs w:val="18"/>
    </w:rPr>
  </w:style>
  <w:style w:type="character" w:customStyle="1" w:styleId="3CharCharCharCharCharChar2">
    <w:name w:val="样式 标题 3 + 黑色 Char Char Char Char Char Char2"/>
    <w:rPr>
      <w:rFonts w:ascii="宋体" w:eastAsia="宋体" w:hAnsi="宋体" w:hint="eastAsia"/>
      <w:b/>
      <w:bCs/>
      <w:color w:val="000000"/>
      <w:kern w:val="2"/>
      <w:sz w:val="28"/>
      <w:szCs w:val="32"/>
      <w:lang w:val="en-US" w:eastAsia="zh-CN" w:bidi="ar-SA"/>
    </w:rPr>
  </w:style>
  <w:style w:type="character" w:customStyle="1" w:styleId="zbggmainstyle9">
    <w:name w:val="zbggmain style9"/>
  </w:style>
  <w:style w:type="character" w:customStyle="1" w:styleId="font51">
    <w:name w:val="font51"/>
    <w:qFormat/>
    <w:rPr>
      <w:rFonts w:ascii="Times New Roman" w:hAnsi="Times New Roman" w:cs="Times New Roman" w:hint="default"/>
      <w:color w:val="000000"/>
      <w:sz w:val="21"/>
      <w:szCs w:val="21"/>
      <w:u w:val="none"/>
    </w:rPr>
  </w:style>
  <w:style w:type="character" w:customStyle="1" w:styleId="Char630">
    <w:name w:val="题注 Char63"/>
    <w:rPr>
      <w:rFonts w:ascii="黑体" w:eastAsia="黑体" w:hAnsi="Arial" w:cs="Arial" w:hint="eastAsia"/>
      <w:b/>
      <w:kern w:val="2"/>
      <w:sz w:val="24"/>
      <w:szCs w:val="24"/>
      <w:lang w:val="en-US" w:eastAsia="zh-CN" w:bidi="ar-SA"/>
    </w:rPr>
  </w:style>
  <w:style w:type="character" w:customStyle="1" w:styleId="Char1412">
    <w:name w:val="燕山正文 Char141"/>
    <w:rPr>
      <w:rFonts w:ascii="宋体" w:eastAsia="宋体" w:hAnsi="宋体" w:cs="宋体" w:hint="eastAsia"/>
      <w:kern w:val="2"/>
      <w:sz w:val="24"/>
      <w:szCs w:val="24"/>
      <w:lang w:val="en-US" w:eastAsia="zh-CN" w:bidi="ar-SA"/>
    </w:rPr>
  </w:style>
  <w:style w:type="character" w:customStyle="1" w:styleId="4CharChar0">
    <w:name w:val="样式 标题4 Char Char"/>
    <w:rPr>
      <w:rFonts w:ascii="宋体" w:eastAsia="宋体" w:hAnsi="宋体" w:cs="宋体" w:hint="eastAsia"/>
      <w:color w:val="000000"/>
      <w:kern w:val="2"/>
      <w:sz w:val="28"/>
      <w:szCs w:val="28"/>
      <w:lang w:val="en-US" w:eastAsia="zh-CN" w:bidi="ar-SA"/>
    </w:rPr>
  </w:style>
  <w:style w:type="character" w:customStyle="1" w:styleId="2Chare">
    <w:name w:val="样式 样式 样式 样式 样式 正文+首行缩进： + 首行缩进:  2 字符 + 宋体 Char"/>
    <w:link w:val="2fffffff2"/>
    <w:locked/>
    <w:rPr>
      <w:rFonts w:ascii="黑体" w:eastAsia="黑体" w:hAnsi="黑体" w:cs="宋体"/>
      <w:bCs/>
      <w:sz w:val="28"/>
      <w:szCs w:val="32"/>
    </w:rPr>
  </w:style>
  <w:style w:type="paragraph" w:customStyle="1" w:styleId="2fffffff2">
    <w:name w:val="样式 样式 样式 样式 样式 正文+首行缩进： + 首行缩进:  2 字符 + 宋体"/>
    <w:basedOn w:val="a"/>
    <w:link w:val="2Chare"/>
    <w:qFormat/>
    <w:pPr>
      <w:widowControl/>
      <w:wordWrap w:val="0"/>
      <w:topLinePunct/>
      <w:spacing w:line="500" w:lineRule="exact"/>
      <w:ind w:firstLineChars="200" w:firstLine="200"/>
      <w:jc w:val="left"/>
    </w:pPr>
    <w:rPr>
      <w:rFonts w:ascii="黑体" w:eastAsia="黑体" w:hAnsi="黑体" w:cs="宋体"/>
      <w:bCs/>
      <w:sz w:val="28"/>
      <w:szCs w:val="32"/>
    </w:rPr>
  </w:style>
  <w:style w:type="character" w:customStyle="1" w:styleId="CharChar319">
    <w:name w:val="Char Char319"/>
    <w:rPr>
      <w:rFonts w:ascii="Arial" w:eastAsia="宋体" w:hAnsi="Arial" w:cs="Arial" w:hint="default"/>
      <w:b/>
      <w:bCs/>
      <w:kern w:val="2"/>
      <w:sz w:val="32"/>
      <w:szCs w:val="32"/>
      <w:lang w:val="en-US" w:eastAsia="zh-CN" w:bidi="ar-SA"/>
    </w:rPr>
  </w:style>
  <w:style w:type="character" w:customStyle="1" w:styleId="Char54">
    <w:name w:val="题注 Char54"/>
    <w:rPr>
      <w:rFonts w:ascii="黑体" w:eastAsia="黑体" w:hAnsi="Arial" w:cs="Arial" w:hint="eastAsia"/>
      <w:b/>
      <w:kern w:val="2"/>
      <w:sz w:val="24"/>
      <w:szCs w:val="24"/>
      <w:lang w:val="en-US" w:eastAsia="zh-CN" w:bidi="ar-SA"/>
    </w:rPr>
  </w:style>
  <w:style w:type="character" w:customStyle="1" w:styleId="CharChar93">
    <w:name w:val="Char Char93"/>
    <w:rPr>
      <w:rFonts w:ascii="宋体" w:eastAsia="宋体" w:hAnsi="宋体" w:hint="eastAsia"/>
      <w:kern w:val="2"/>
      <w:sz w:val="18"/>
      <w:szCs w:val="18"/>
      <w:lang w:val="en-US" w:eastAsia="zh-CN" w:bidi="ar-SA"/>
    </w:rPr>
  </w:style>
  <w:style w:type="character" w:customStyle="1" w:styleId="5Char10">
    <w:name w:val="表内5 Char1"/>
    <w:rPr>
      <w:rFonts w:ascii="宋体" w:eastAsia="宋体" w:hAnsi="宋体" w:cs="Times New Roman" w:hint="eastAsia"/>
      <w:kern w:val="2"/>
      <w:sz w:val="24"/>
      <w:szCs w:val="24"/>
      <w:lang w:val="en-US" w:eastAsia="zh-CN" w:bidi="ar-SA"/>
    </w:rPr>
  </w:style>
  <w:style w:type="character" w:customStyle="1" w:styleId="Char3Char2">
    <w:name w:val="Char3 Char2"/>
    <w:rPr>
      <w:rFonts w:ascii="宋体" w:eastAsia="宋体" w:hAnsi="宋体" w:hint="eastAsia"/>
      <w:kern w:val="2"/>
      <w:sz w:val="18"/>
      <w:szCs w:val="18"/>
      <w:lang w:val="en-US" w:eastAsia="zh-CN" w:bidi="ar-SA"/>
    </w:rPr>
  </w:style>
  <w:style w:type="character" w:customStyle="1" w:styleId="CharCharChar23">
    <w:name w:val="报告 Char Char Char2"/>
    <w:rPr>
      <w:rFonts w:ascii="宋体" w:eastAsia="宋体" w:hAnsi="宋体" w:hint="eastAsia"/>
      <w:kern w:val="2"/>
      <w:sz w:val="24"/>
      <w:szCs w:val="24"/>
      <w:lang w:val="en-US" w:eastAsia="zh-CN" w:bidi="ar-SA"/>
    </w:rPr>
  </w:style>
  <w:style w:type="character" w:customStyle="1" w:styleId="29CharChar">
    <w:name w:val="正文29 Char Char"/>
    <w:rPr>
      <w:sz w:val="28"/>
      <w:szCs w:val="28"/>
    </w:rPr>
  </w:style>
  <w:style w:type="character" w:customStyle="1" w:styleId="Char1112">
    <w:name w:val="正文修改 Char1112"/>
    <w:rPr>
      <w:rFonts w:ascii="宋体" w:eastAsia="宋体" w:hAnsi="宋体" w:cs="宋体" w:hint="eastAsia"/>
      <w:color w:val="000000"/>
      <w:kern w:val="2"/>
      <w:sz w:val="24"/>
      <w:szCs w:val="24"/>
      <w:lang w:val="en-US" w:eastAsia="zh-CN" w:bidi="ar-SA"/>
    </w:rPr>
  </w:style>
  <w:style w:type="character" w:customStyle="1" w:styleId="Char411">
    <w:name w:val="正文格式 Char41"/>
    <w:rPr>
      <w:rFonts w:ascii="宋体" w:eastAsia="宋体" w:hAnsi="宋体" w:hint="eastAsia"/>
      <w:kern w:val="2"/>
      <w:sz w:val="24"/>
      <w:szCs w:val="24"/>
      <w:lang w:val="en-US" w:eastAsia="zh-CN" w:bidi="ar-SA"/>
    </w:rPr>
  </w:style>
  <w:style w:type="character" w:customStyle="1" w:styleId="32Char">
    <w:name w:val="标题 32 Char"/>
    <w:qFormat/>
    <w:rPr>
      <w:rFonts w:ascii="黑体" w:eastAsia="黑体" w:hAnsi="黑体" w:hint="eastAsia"/>
      <w:b/>
      <w:bCs/>
      <w:snapToGrid/>
      <w:color w:val="000000"/>
      <w:sz w:val="24"/>
      <w:szCs w:val="24"/>
      <w:lang w:val="en-US" w:eastAsia="zh-CN"/>
    </w:rPr>
  </w:style>
  <w:style w:type="character" w:customStyle="1" w:styleId="bluewordb">
    <w:name w:val="bluewordb"/>
  </w:style>
  <w:style w:type="character" w:customStyle="1" w:styleId="zi41">
    <w:name w:val="zi41"/>
    <w:rPr>
      <w:color w:val="FFFFFF"/>
      <w:sz w:val="24"/>
      <w:szCs w:val="24"/>
    </w:rPr>
  </w:style>
  <w:style w:type="character" w:customStyle="1" w:styleId="Char3Char">
    <w:name w:val="Char3 Char"/>
    <w:rPr>
      <w:rFonts w:ascii="宋体" w:eastAsia="宋体" w:hAnsi="宋体" w:hint="eastAsia"/>
      <w:kern w:val="2"/>
      <w:sz w:val="21"/>
      <w:szCs w:val="24"/>
      <w:lang w:val="en-US" w:eastAsia="zh-CN" w:bidi="ar-SA"/>
    </w:rPr>
  </w:style>
  <w:style w:type="character" w:customStyle="1" w:styleId="CharChar1214">
    <w:name w:val="Char Char1214"/>
    <w:rPr>
      <w:rFonts w:ascii="黑体" w:eastAsia="黑体" w:hAnsi="Arial" w:hint="eastAsia"/>
      <w:b/>
      <w:bCs/>
      <w:kern w:val="2"/>
      <w:sz w:val="30"/>
      <w:szCs w:val="30"/>
      <w:lang w:val="en-US" w:eastAsia="zh-CN" w:bidi="ar-SA"/>
    </w:rPr>
  </w:style>
  <w:style w:type="character" w:customStyle="1" w:styleId="CharChar11110">
    <w:name w:val="Char Char11110"/>
    <w:rPr>
      <w:rFonts w:ascii="黑体" w:eastAsia="黑体" w:hAnsi="Arial" w:hint="eastAsia"/>
      <w:bCs/>
      <w:kern w:val="2"/>
      <w:sz w:val="30"/>
      <w:szCs w:val="30"/>
      <w:lang w:val="en-US" w:eastAsia="zh-CN" w:bidi="ar-SA"/>
    </w:rPr>
  </w:style>
  <w:style w:type="character" w:customStyle="1" w:styleId="Char1ff1">
    <w:name w:val="正文粗 Char1"/>
    <w:link w:val="afffffffffffffffffffffffffff1"/>
    <w:locked/>
    <w:rPr>
      <w:b/>
      <w:sz w:val="28"/>
    </w:rPr>
  </w:style>
  <w:style w:type="paragraph" w:customStyle="1" w:styleId="afffffffffffffffffffffffffff1">
    <w:name w:val="正文粗"/>
    <w:basedOn w:val="a"/>
    <w:link w:val="Char1ff1"/>
    <w:qFormat/>
    <w:pPr>
      <w:adjustRightInd w:val="0"/>
      <w:spacing w:line="360" w:lineRule="auto"/>
      <w:ind w:firstLineChars="200" w:firstLine="480"/>
      <w:jc w:val="left"/>
    </w:pPr>
    <w:rPr>
      <w:b/>
      <w:sz w:val="28"/>
    </w:rPr>
  </w:style>
  <w:style w:type="character" w:customStyle="1" w:styleId="Char412">
    <w:name w:val="正文缩进 Char41"/>
    <w:rPr>
      <w:rFonts w:ascii="宋体" w:eastAsia="宋体" w:hAnsi="宋体" w:cs="宋体" w:hint="eastAsia"/>
      <w:color w:val="000000"/>
      <w:kern w:val="2"/>
      <w:sz w:val="24"/>
      <w:szCs w:val="24"/>
      <w:lang w:val="en-US" w:eastAsia="zh-CN" w:bidi="ar-SA"/>
    </w:rPr>
  </w:style>
  <w:style w:type="character" w:customStyle="1" w:styleId="infofont1">
    <w:name w:val="infofont1"/>
    <w:rPr>
      <w:rFonts w:ascii="華康中楷體" w:eastAsia="華康中楷體" w:hint="eastAsia"/>
      <w:color w:val="000000"/>
      <w:sz w:val="22"/>
      <w:szCs w:val="22"/>
      <w:u w:val="none"/>
      <w:lang w:val="en-US" w:eastAsia="en-US" w:bidi="ar-SA"/>
    </w:rPr>
  </w:style>
  <w:style w:type="character" w:customStyle="1" w:styleId="CharCharffff">
    <w:name w:val="表后文 Char Char"/>
    <w:rPr>
      <w:rFonts w:ascii="Times New Roman" w:eastAsia="楷体_GB2312" w:hAnsi="Times New Roman" w:cs="Times New Roman" w:hint="default"/>
      <w:spacing w:val="8"/>
      <w:kern w:val="0"/>
      <w:sz w:val="28"/>
      <w:szCs w:val="20"/>
    </w:rPr>
  </w:style>
  <w:style w:type="character" w:customStyle="1" w:styleId="3Char31">
    <w:name w:val="正文文本缩进 3 Char31"/>
    <w:rPr>
      <w:rFonts w:ascii="宋体" w:eastAsia="宋体" w:hAnsi="宋体" w:hint="eastAsia"/>
      <w:kern w:val="2"/>
      <w:sz w:val="16"/>
      <w:szCs w:val="16"/>
      <w:lang w:val="en-US" w:eastAsia="zh-CN" w:bidi="ar-SA"/>
    </w:rPr>
  </w:style>
  <w:style w:type="character" w:customStyle="1" w:styleId="CharChar94">
    <w:name w:val="Char Char94"/>
    <w:rPr>
      <w:sz w:val="18"/>
      <w:szCs w:val="18"/>
    </w:rPr>
  </w:style>
  <w:style w:type="character" w:customStyle="1" w:styleId="1Char611">
    <w:name w:val="表题1 Char611"/>
    <w:rPr>
      <w:rFonts w:ascii="黑体" w:eastAsia="黑体" w:hAnsi="Arial" w:cs="Arial" w:hint="eastAsia"/>
      <w:b/>
      <w:kern w:val="2"/>
      <w:sz w:val="24"/>
      <w:szCs w:val="24"/>
      <w:lang w:val="en-US" w:eastAsia="zh-CN" w:bidi="ar-SA"/>
    </w:rPr>
  </w:style>
  <w:style w:type="character" w:customStyle="1" w:styleId="2Char110">
    <w:name w:val="正文首行缩进 2 Char11"/>
    <w:rPr>
      <w:rFonts w:ascii="宋体" w:eastAsia="宋体" w:hAnsi="宋体" w:hint="eastAsia"/>
      <w:kern w:val="2"/>
      <w:sz w:val="21"/>
      <w:szCs w:val="18"/>
      <w:lang w:val="en-US" w:eastAsia="zh-CN" w:bidi="ar-SA"/>
    </w:rPr>
  </w:style>
  <w:style w:type="character" w:customStyle="1" w:styleId="01CharChar">
    <w:name w:val="正文01 Char Char"/>
    <w:rPr>
      <w:rFonts w:ascii="Times New Roman" w:eastAsia="宋体" w:hAnsi="Times New Roman" w:cs="Times New Roman" w:hint="default"/>
      <w:sz w:val="24"/>
      <w:szCs w:val="20"/>
    </w:rPr>
  </w:style>
  <w:style w:type="character" w:customStyle="1" w:styleId="1Charf8">
    <w:name w:val="样式 标题 1 Char"/>
    <w:rPr>
      <w:rFonts w:ascii="宋体" w:eastAsia="宋体" w:hAnsi="宋体" w:cs="宋体" w:hint="eastAsia"/>
      <w:b/>
      <w:color w:val="000000"/>
      <w:kern w:val="2"/>
      <w:sz w:val="32"/>
      <w:szCs w:val="32"/>
      <w:lang w:val="en-US" w:eastAsia="zh-CN" w:bidi="ar-SA"/>
    </w:rPr>
  </w:style>
  <w:style w:type="character" w:customStyle="1" w:styleId="CharChar612">
    <w:name w:val="Char Char612"/>
    <w:rPr>
      <w:rFonts w:ascii="黑体" w:eastAsia="黑体" w:hAnsi="黑体" w:hint="eastAsia"/>
      <w:b/>
      <w:bCs/>
      <w:kern w:val="2"/>
      <w:sz w:val="28"/>
      <w:szCs w:val="28"/>
      <w:lang w:val="en-US" w:eastAsia="zh-CN" w:bidi="ar-SA"/>
    </w:rPr>
  </w:style>
  <w:style w:type="character" w:customStyle="1" w:styleId="CharCharCharCharb">
    <w:name w:val="正文图 Char Char Char Char"/>
    <w:rPr>
      <w:rFonts w:ascii="宋体" w:eastAsia="宋体" w:hAnsi="宋体" w:hint="eastAsia"/>
      <w:sz w:val="24"/>
      <w:szCs w:val="28"/>
    </w:rPr>
  </w:style>
  <w:style w:type="character" w:customStyle="1" w:styleId="CharChar616">
    <w:name w:val="Char Char616"/>
    <w:rPr>
      <w:rFonts w:ascii="黑体" w:eastAsia="黑体" w:hAnsi="黑体" w:hint="eastAsia"/>
      <w:b/>
      <w:bCs/>
      <w:kern w:val="2"/>
      <w:sz w:val="28"/>
      <w:szCs w:val="28"/>
      <w:lang w:val="en-US" w:eastAsia="zh-CN" w:bidi="ar-SA"/>
    </w:rPr>
  </w:style>
  <w:style w:type="character" w:customStyle="1" w:styleId="Char132">
    <w:name w:val="题注 Char13"/>
    <w:rPr>
      <w:rFonts w:ascii="黑体" w:eastAsia="黑体" w:hAnsi="Arial" w:cs="Arial" w:hint="eastAsia"/>
      <w:b/>
      <w:kern w:val="2"/>
      <w:sz w:val="24"/>
      <w:szCs w:val="24"/>
      <w:lang w:val="en-US" w:eastAsia="zh-CN" w:bidi="ar-SA"/>
    </w:rPr>
  </w:style>
  <w:style w:type="character" w:customStyle="1" w:styleId="chenCharCharChar2">
    <w:name w:val="谏壁chen表格内文字 Char Char Char2"/>
    <w:rPr>
      <w:rFonts w:ascii="宋体" w:eastAsia="宋体" w:hAnsi="宋体" w:hint="eastAsia"/>
      <w:kern w:val="2"/>
      <w:sz w:val="21"/>
      <w:szCs w:val="21"/>
      <w:lang w:val="en-US" w:eastAsia="zh-CN" w:bidi="ar-SA"/>
    </w:rPr>
  </w:style>
  <w:style w:type="character" w:customStyle="1" w:styleId="8a">
    <w:name w:val="标题8"/>
    <w:basedOn w:val="a1"/>
  </w:style>
  <w:style w:type="character" w:customStyle="1" w:styleId="Char1ff2">
    <w:name w:val="样式 表格内字体 + Char1"/>
    <w:rPr>
      <w:rFonts w:ascii="宋体" w:eastAsia="宋体" w:hAnsi="宋体" w:hint="eastAsia"/>
      <w:kern w:val="2"/>
      <w:sz w:val="21"/>
      <w:szCs w:val="24"/>
      <w:lang w:val="en-US" w:eastAsia="zh-CN" w:bidi="ar-SA"/>
    </w:rPr>
  </w:style>
  <w:style w:type="character" w:customStyle="1" w:styleId="CharChar118">
    <w:name w:val="Char Char118"/>
    <w:rPr>
      <w:rFonts w:ascii="黑体" w:eastAsia="黑体" w:hAnsi="Arial" w:hint="eastAsia"/>
      <w:b/>
      <w:bCs/>
      <w:kern w:val="2"/>
      <w:sz w:val="30"/>
      <w:szCs w:val="30"/>
      <w:lang w:val="en-US" w:eastAsia="zh-CN" w:bidi="ar-SA"/>
    </w:rPr>
  </w:style>
  <w:style w:type="character" w:customStyle="1" w:styleId="CharCharffff0">
    <w:name w:val="图表题 Char Char"/>
    <w:rPr>
      <w:rFonts w:ascii="黑体" w:eastAsia="黑体" w:hAnsi="宋体" w:hint="eastAsia"/>
      <w:b/>
      <w:bCs/>
      <w:sz w:val="24"/>
      <w:szCs w:val="24"/>
    </w:rPr>
  </w:style>
  <w:style w:type="character" w:customStyle="1" w:styleId="hang1">
    <w:name w:val="hang1"/>
    <w:rPr>
      <w:rFonts w:ascii="Arial" w:hAnsi="Arial" w:cs="Arial" w:hint="default"/>
      <w:sz w:val="18"/>
      <w:szCs w:val="18"/>
    </w:rPr>
  </w:style>
  <w:style w:type="character" w:customStyle="1" w:styleId="2CharChar9">
    <w:name w:val="样式2 Char Char"/>
    <w:rPr>
      <w:rFonts w:ascii="宋体" w:eastAsia="宋体" w:hAnsi="宋体" w:hint="eastAsia"/>
      <w:b/>
      <w:bCs/>
      <w:kern w:val="44"/>
      <w:sz w:val="44"/>
      <w:szCs w:val="44"/>
      <w:lang w:val="en-US" w:eastAsia="zh-CN" w:bidi="ar-SA"/>
    </w:rPr>
  </w:style>
  <w:style w:type="character" w:customStyle="1" w:styleId="CharChar143">
    <w:name w:val="Char Char143"/>
    <w:rPr>
      <w:rFonts w:ascii="Arial" w:eastAsia="黑体" w:hAnsi="Arial" w:cs="Arial" w:hint="default"/>
      <w:b/>
      <w:bCs/>
      <w:kern w:val="2"/>
      <w:sz w:val="32"/>
      <w:szCs w:val="32"/>
    </w:rPr>
  </w:style>
  <w:style w:type="character" w:customStyle="1" w:styleId="stit16g1">
    <w:name w:val="stit16_g1"/>
    <w:rPr>
      <w:rFonts w:ascii="Gulim" w:eastAsia="Gulim" w:hAnsi="Gulim" w:hint="eastAsia"/>
      <w:color w:val="1425D0"/>
      <w:sz w:val="16"/>
      <w:szCs w:val="16"/>
    </w:rPr>
  </w:style>
  <w:style w:type="character" w:customStyle="1" w:styleId="CharCharffff1">
    <w:name w:val="图题 Char Char"/>
    <w:rPr>
      <w:rFonts w:ascii="黑体" w:eastAsia="黑体" w:hAnsi="宋体" w:hint="eastAsia"/>
      <w:b/>
      <w:bCs/>
      <w:sz w:val="24"/>
      <w:szCs w:val="24"/>
    </w:rPr>
  </w:style>
  <w:style w:type="character" w:customStyle="1" w:styleId="26pt1">
    <w:name w:val="正文文本 (2) + 6 pt1"/>
    <w:uiPriority w:val="99"/>
    <w:rPr>
      <w:rFonts w:ascii="宋体" w:eastAsia="宋体" w:hAnsi="宋体" w:cs="宋体" w:hint="eastAsia"/>
      <w:sz w:val="12"/>
      <w:szCs w:val="12"/>
      <w:u w:val="none"/>
      <w:shd w:val="clear" w:color="auto" w:fill="FFFFFF"/>
    </w:rPr>
  </w:style>
  <w:style w:type="character" w:customStyle="1" w:styleId="CharChar2114">
    <w:name w:val="Char Char2114"/>
    <w:rPr>
      <w:rFonts w:ascii="黑体" w:eastAsia="宋体" w:hAnsi="黑体" w:hint="eastAsia"/>
      <w:kern w:val="2"/>
      <w:sz w:val="16"/>
      <w:szCs w:val="16"/>
      <w:lang w:val="en-US" w:eastAsia="zh-CN" w:bidi="ar-SA"/>
    </w:rPr>
  </w:style>
  <w:style w:type="character" w:customStyle="1" w:styleId="iiiChar1">
    <w:name w:val=". [(iii)] Char1"/>
    <w:rPr>
      <w:rFonts w:ascii="Arial" w:eastAsia="黑体" w:hAnsi="Arial" w:cs="Arial" w:hint="default"/>
      <w:kern w:val="2"/>
      <w:sz w:val="21"/>
      <w:szCs w:val="21"/>
      <w:lang w:val="en-US" w:eastAsia="zh-CN" w:bidi="ar-SA"/>
    </w:rPr>
  </w:style>
  <w:style w:type="character" w:customStyle="1" w:styleId="5Char52">
    <w:name w:val="样式 表内小5 + 黑体 加粗 倾斜 下划线 Char52"/>
    <w:rPr>
      <w:rFonts w:ascii="黑体" w:eastAsia="黑体" w:hAnsi="黑体" w:hint="eastAsia"/>
      <w:b/>
      <w:bCs/>
      <w:i/>
      <w:iCs/>
      <w:kern w:val="2"/>
      <w:sz w:val="18"/>
      <w:szCs w:val="24"/>
      <w:u w:val="single"/>
      <w:lang w:val="en-US" w:eastAsia="zh-CN" w:bidi="ar-SA"/>
    </w:rPr>
  </w:style>
  <w:style w:type="character" w:customStyle="1" w:styleId="CharCharCharCharCharCharCharCharCharCharChar3">
    <w:name w:val="Char Char Char Char Char Char Char Char Char Char Char3"/>
    <w:rPr>
      <w:sz w:val="24"/>
      <w:szCs w:val="24"/>
    </w:rPr>
  </w:style>
  <w:style w:type="character" w:customStyle="1" w:styleId="t11">
    <w:name w:val="t11"/>
    <w:rPr>
      <w:color w:val="000000"/>
      <w:sz w:val="18"/>
      <w:szCs w:val="18"/>
    </w:rPr>
  </w:style>
  <w:style w:type="character" w:customStyle="1" w:styleId="4ff1">
    <w:name w:val="书籍标题4"/>
    <w:qFormat/>
    <w:rPr>
      <w:b/>
      <w:bCs/>
      <w:smallCaps/>
      <w:spacing w:val="5"/>
    </w:rPr>
  </w:style>
  <w:style w:type="character" w:customStyle="1" w:styleId="QJJCharChar">
    <w:name w:val="表格名称 QJJ Char Char"/>
    <w:link w:val="QJJ"/>
    <w:locked/>
    <w:rPr>
      <w:rFonts w:ascii="黑体" w:eastAsia="黑体" w:hAnsi="Arial" w:cs="宋体"/>
      <w:sz w:val="24"/>
      <w:szCs w:val="24"/>
      <w:lang w:val="zh-CN"/>
    </w:rPr>
  </w:style>
  <w:style w:type="paragraph" w:customStyle="1" w:styleId="QJJ">
    <w:name w:val="表格名称 QJJ"/>
    <w:basedOn w:val="a"/>
    <w:link w:val="QJJCharChar"/>
    <w:qFormat/>
    <w:pPr>
      <w:wordWrap w:val="0"/>
      <w:snapToGrid w:val="0"/>
      <w:spacing w:line="520" w:lineRule="exact"/>
      <w:ind w:rightChars="100" w:right="240"/>
      <w:jc w:val="right"/>
    </w:pPr>
    <w:rPr>
      <w:rFonts w:ascii="黑体" w:eastAsia="黑体" w:hAnsi="Arial" w:cs="宋体"/>
      <w:sz w:val="24"/>
      <w:szCs w:val="24"/>
      <w:lang w:val="zh-CN"/>
    </w:rPr>
  </w:style>
  <w:style w:type="character" w:customStyle="1" w:styleId="Char114">
    <w:name w:val="样式 正文缩进 + 宋体 黑色 Char11"/>
    <w:rPr>
      <w:rFonts w:ascii="宋体" w:eastAsia="宋体" w:hAnsi="宋体" w:hint="eastAsia"/>
      <w:color w:val="000000"/>
      <w:kern w:val="2"/>
      <w:sz w:val="24"/>
      <w:szCs w:val="24"/>
      <w:lang w:val="en-US" w:eastAsia="zh-CN" w:bidi="ar-SA"/>
    </w:rPr>
  </w:style>
  <w:style w:type="character" w:customStyle="1" w:styleId="3CharChar2">
    <w:name w:val="样式3 Char Char"/>
    <w:rPr>
      <w:rFonts w:ascii="宋体" w:eastAsia="宋体" w:hAnsi="Courier New" w:hint="eastAsia"/>
      <w:kern w:val="2"/>
      <w:sz w:val="28"/>
      <w:lang w:val="en-US" w:eastAsia="zh-CN" w:bidi="ar-SA"/>
    </w:rPr>
  </w:style>
  <w:style w:type="character" w:customStyle="1" w:styleId="Charffffffff2">
    <w:name w:val="图表 Char"/>
    <w:link w:val="afffffffffffffffffffffffffff2"/>
    <w:qFormat/>
    <w:locked/>
    <w:rPr>
      <w:rFonts w:ascii="仿宋_GB2312" w:eastAsia="仿宋_GB2312"/>
      <w:b/>
      <w:sz w:val="24"/>
    </w:rPr>
  </w:style>
  <w:style w:type="paragraph" w:customStyle="1" w:styleId="afffffffffffffffffffffffffff2">
    <w:name w:val="图表"/>
    <w:link w:val="Charffffffff2"/>
    <w:qFormat/>
    <w:pPr>
      <w:jc w:val="center"/>
    </w:pPr>
    <w:rPr>
      <w:rFonts w:ascii="仿宋_GB2312" w:eastAsia="仿宋_GB2312"/>
      <w:b/>
      <w:kern w:val="2"/>
      <w:sz w:val="24"/>
      <w:szCs w:val="22"/>
    </w:rPr>
  </w:style>
  <w:style w:type="character" w:customStyle="1" w:styleId="Char2f0">
    <w:name w:val="图表题 Char2"/>
    <w:qFormat/>
    <w:rPr>
      <w:rFonts w:ascii="黑体" w:eastAsia="黑体" w:hAnsi="宋体" w:cs="宋体" w:hint="eastAsia"/>
      <w:b/>
      <w:bCs/>
      <w:kern w:val="2"/>
      <w:sz w:val="24"/>
      <w:szCs w:val="24"/>
      <w:lang w:val="en-US" w:eastAsia="zh-CN" w:bidi="ar-SA"/>
    </w:rPr>
  </w:style>
  <w:style w:type="character" w:customStyle="1" w:styleId="tit03">
    <w:name w:val="tit03"/>
  </w:style>
  <w:style w:type="character" w:customStyle="1" w:styleId="Char39">
    <w:name w:val="注 Char3"/>
    <w:rPr>
      <w:rFonts w:ascii="Arial" w:eastAsia="黑体" w:hAnsi="Arial" w:cs="Arial" w:hint="default"/>
      <w:kern w:val="2"/>
      <w:sz w:val="24"/>
      <w:szCs w:val="24"/>
      <w:lang w:val="en-US" w:eastAsia="zh-CN" w:bidi="ar-SA"/>
    </w:rPr>
  </w:style>
  <w:style w:type="character" w:customStyle="1" w:styleId="3Char13">
    <w:name w:val="标题 3 Char13"/>
    <w:rPr>
      <w:rFonts w:ascii="黑体" w:eastAsia="黑体" w:hAnsi="宋体" w:hint="eastAsia"/>
      <w:b/>
      <w:bCs/>
      <w:kern w:val="2"/>
      <w:sz w:val="28"/>
      <w:szCs w:val="28"/>
      <w:lang w:val="en-US" w:eastAsia="zh-CN" w:bidi="ar-SA"/>
    </w:rPr>
  </w:style>
  <w:style w:type="character" w:customStyle="1" w:styleId="hhcwtCharChar1">
    <w:name w:val="hhcwt表格文字 Char Char"/>
    <w:qFormat/>
    <w:rPr>
      <w:rFonts w:ascii="仿宋_GB2312" w:eastAsia="仿宋_GB2312" w:cs="宋体" w:hint="eastAsia"/>
      <w:kern w:val="2"/>
      <w:sz w:val="21"/>
      <w:lang w:val="en-US" w:eastAsia="zh-CN" w:bidi="ar-SA"/>
    </w:rPr>
  </w:style>
  <w:style w:type="character" w:customStyle="1" w:styleId="s14zong1">
    <w:name w:val="s14zong1"/>
    <w:rPr>
      <w:rFonts w:ascii="宋体" w:eastAsia="宋体" w:hAnsi="宋体" w:hint="eastAsia"/>
      <w:color w:val="663333"/>
      <w:sz w:val="21"/>
      <w:szCs w:val="21"/>
    </w:rPr>
  </w:style>
  <w:style w:type="character" w:customStyle="1" w:styleId="Char1130">
    <w:name w:val="正文修改 Char113"/>
    <w:rPr>
      <w:rFonts w:ascii="宋体" w:eastAsia="宋体" w:hAnsi="宋体" w:cs="宋体" w:hint="eastAsia"/>
      <w:color w:val="000000"/>
      <w:kern w:val="2"/>
      <w:sz w:val="24"/>
      <w:szCs w:val="24"/>
      <w:lang w:val="en-US" w:eastAsia="zh-CN" w:bidi="ar-SA"/>
    </w:rPr>
  </w:style>
  <w:style w:type="character" w:customStyle="1" w:styleId="11CharChar">
    <w:name w:val="标题1.1 Char Char"/>
    <w:rPr>
      <w:rFonts w:ascii="黑体" w:eastAsia="黑体" w:hAnsi="宋体" w:cs="Times New Roman" w:hint="eastAsia"/>
      <w:bCs/>
      <w:sz w:val="32"/>
      <w:szCs w:val="32"/>
    </w:rPr>
  </w:style>
  <w:style w:type="character" w:customStyle="1" w:styleId="1fffffff3">
    <w:name w:val="批注引用1"/>
    <w:rPr>
      <w:sz w:val="21"/>
      <w:szCs w:val="21"/>
    </w:rPr>
  </w:style>
  <w:style w:type="character" w:customStyle="1" w:styleId="2Char40">
    <w:name w:val="标题 2 Char4"/>
    <w:rPr>
      <w:rFonts w:ascii="黑体" w:eastAsia="黑体" w:hAnsi="Arial" w:cs="Times New Roman" w:hint="eastAsia"/>
      <w:bCs/>
      <w:kern w:val="2"/>
      <w:sz w:val="30"/>
      <w:szCs w:val="30"/>
      <w:lang w:val="en-US" w:eastAsia="zh-CN" w:bidi="ar-SA"/>
    </w:rPr>
  </w:style>
  <w:style w:type="character" w:customStyle="1" w:styleId="2Georgia4">
    <w:name w:val="正文文本 (2) + Georgia4"/>
    <w:uiPriority w:val="99"/>
    <w:rPr>
      <w:rFonts w:ascii="Georgia" w:eastAsia="MingLiU" w:hAnsi="Georgia" w:cs="Georgia" w:hint="default"/>
      <w:sz w:val="18"/>
      <w:szCs w:val="18"/>
      <w:u w:val="none"/>
      <w:shd w:val="clear" w:color="auto" w:fill="FFFFFF"/>
      <w:lang w:val="en-US" w:eastAsia="en-US"/>
    </w:rPr>
  </w:style>
  <w:style w:type="character" w:customStyle="1" w:styleId="t3style2">
    <w:name w:val="t3 style2"/>
  </w:style>
  <w:style w:type="character" w:customStyle="1" w:styleId="Charffffffff3">
    <w:name w:val="样式 正文 Char"/>
    <w:rPr>
      <w:rFonts w:ascii="宋体" w:eastAsia="宋体" w:hAnsi="宋体" w:cs="宋体" w:hint="eastAsia"/>
      <w:color w:val="000000"/>
      <w:kern w:val="2"/>
      <w:sz w:val="28"/>
      <w:szCs w:val="28"/>
      <w:lang w:val="en-US" w:eastAsia="zh-CN" w:bidi="ar-SA"/>
    </w:rPr>
  </w:style>
  <w:style w:type="character" w:customStyle="1" w:styleId="CharCharffff2">
    <w:name w:val="表格文本 Char Char"/>
    <w:rPr>
      <w:rFonts w:ascii="Arial" w:hAnsi="Arial" w:cs="Arial" w:hint="default"/>
      <w:kern w:val="2"/>
      <w:sz w:val="21"/>
      <w:szCs w:val="24"/>
    </w:rPr>
  </w:style>
  <w:style w:type="character" w:customStyle="1" w:styleId="tpctitle1">
    <w:name w:val="tpc_title1"/>
    <w:rPr>
      <w:b/>
      <w:bCs/>
      <w:sz w:val="18"/>
      <w:szCs w:val="18"/>
    </w:rPr>
  </w:style>
  <w:style w:type="character" w:customStyle="1" w:styleId="5Char5">
    <w:name w:val="表内5 Char5"/>
    <w:rPr>
      <w:rFonts w:ascii="宋体" w:eastAsia="宋体" w:hAnsi="宋体" w:cs="Times New Roman" w:hint="eastAsia"/>
      <w:kern w:val="2"/>
      <w:sz w:val="24"/>
      <w:szCs w:val="24"/>
      <w:lang w:val="en-US" w:eastAsia="zh-CN" w:bidi="ar-SA"/>
    </w:rPr>
  </w:style>
  <w:style w:type="character" w:customStyle="1" w:styleId="T3CharChar">
    <w:name w:val="T标题3级 Char Char"/>
    <w:link w:val="T30"/>
    <w:locked/>
    <w:rPr>
      <w:rFonts w:ascii="宋体" w:hAnsi="宋体"/>
      <w:b/>
      <w:sz w:val="28"/>
      <w:szCs w:val="28"/>
    </w:rPr>
  </w:style>
  <w:style w:type="paragraph" w:customStyle="1" w:styleId="T30">
    <w:name w:val="T标题3级"/>
    <w:basedOn w:val="3"/>
    <w:next w:val="a"/>
    <w:link w:val="T3CharChar"/>
    <w:qFormat/>
    <w:pPr>
      <w:overflowPunct w:val="0"/>
      <w:spacing w:beforeLines="50" w:before="0" w:afterLines="50" w:after="0" w:line="360" w:lineRule="auto"/>
      <w:ind w:left="2100" w:hanging="420"/>
    </w:pPr>
    <w:rPr>
      <w:rFonts w:ascii="宋体" w:eastAsiaTheme="minorEastAsia" w:hAnsi="宋体" w:cstheme="minorBidi"/>
      <w:bCs w:val="0"/>
      <w:kern w:val="2"/>
      <w:sz w:val="28"/>
      <w:szCs w:val="28"/>
    </w:rPr>
  </w:style>
  <w:style w:type="character" w:customStyle="1" w:styleId="Char1ff3">
    <w:name w:val="正文修改 Char1"/>
    <w:link w:val="afffffffffffffffffffffffffff3"/>
    <w:locked/>
    <w:rPr>
      <w:rFonts w:ascii="宋体" w:hAnsi="宋体"/>
      <w:color w:val="000000"/>
      <w:sz w:val="24"/>
      <w:szCs w:val="24"/>
    </w:rPr>
  </w:style>
  <w:style w:type="paragraph" w:customStyle="1" w:styleId="afffffffffffffffffffffffffff3">
    <w:name w:val="正文修改"/>
    <w:basedOn w:val="afffffffffffffffffffffffffff4"/>
    <w:link w:val="Char1ff3"/>
    <w:qFormat/>
    <w:rPr>
      <w:rFonts w:eastAsiaTheme="minorEastAsia" w:cstheme="minorBidi"/>
      <w:color w:val="000000"/>
      <w:kern w:val="2"/>
    </w:rPr>
  </w:style>
  <w:style w:type="paragraph" w:customStyle="1" w:styleId="afffffffffffffffffffffffffff4">
    <w:name w:val="燕山正文"/>
    <w:basedOn w:val="a"/>
    <w:link w:val="Char1ff4"/>
    <w:qFormat/>
    <w:pPr>
      <w:tabs>
        <w:tab w:val="left" w:pos="4680"/>
      </w:tabs>
      <w:adjustRightInd w:val="0"/>
      <w:snapToGrid w:val="0"/>
      <w:spacing w:line="480" w:lineRule="exact"/>
    </w:pPr>
    <w:rPr>
      <w:rFonts w:ascii="宋体" w:eastAsia="宋体" w:hAnsi="宋体" w:cs="Times New Roman"/>
      <w:kern w:val="0"/>
      <w:sz w:val="24"/>
      <w:szCs w:val="24"/>
    </w:rPr>
  </w:style>
  <w:style w:type="character" w:customStyle="1" w:styleId="Char1ff4">
    <w:name w:val="燕山正文 Char1"/>
    <w:link w:val="afffffffffffffffffffffffffff4"/>
    <w:locked/>
    <w:rPr>
      <w:rFonts w:ascii="宋体" w:eastAsia="宋体" w:hAnsi="宋体" w:cs="Times New Roman"/>
      <w:kern w:val="0"/>
      <w:sz w:val="24"/>
      <w:szCs w:val="24"/>
    </w:rPr>
  </w:style>
  <w:style w:type="character" w:customStyle="1" w:styleId="t31">
    <w:name w:val="t31"/>
    <w:rPr>
      <w:color w:val="00CCFF"/>
      <w:sz w:val="21"/>
      <w:szCs w:val="21"/>
      <w:u w:val="none"/>
    </w:rPr>
  </w:style>
  <w:style w:type="character" w:customStyle="1" w:styleId="CharChar2117">
    <w:name w:val="Char Char2117"/>
    <w:rPr>
      <w:rFonts w:ascii="黑体" w:eastAsia="宋体" w:hAnsi="黑体" w:hint="eastAsia"/>
      <w:kern w:val="2"/>
      <w:sz w:val="16"/>
      <w:szCs w:val="16"/>
      <w:lang w:val="en-US" w:eastAsia="zh-CN" w:bidi="ar-SA"/>
    </w:rPr>
  </w:style>
  <w:style w:type="character" w:customStyle="1" w:styleId="5Char21">
    <w:name w:val="标题 5 Char2"/>
    <w:rPr>
      <w:rFonts w:ascii="Times New Roman" w:eastAsia="宋体" w:hAnsi="Times New Roman" w:cs="Times New Roman" w:hint="default"/>
      <w:b/>
      <w:bCs/>
      <w:kern w:val="2"/>
      <w:sz w:val="28"/>
      <w:szCs w:val="28"/>
      <w:lang w:val="en-US" w:eastAsia="zh-CN" w:bidi="ar-SA"/>
    </w:rPr>
  </w:style>
  <w:style w:type="character" w:customStyle="1" w:styleId="Char2f1">
    <w:name w:val="样式 表格内字体 + Char2"/>
    <w:rPr>
      <w:rFonts w:ascii="宋体" w:eastAsia="宋体" w:hAnsi="宋体" w:hint="eastAsia"/>
      <w:kern w:val="2"/>
      <w:sz w:val="21"/>
      <w:szCs w:val="24"/>
      <w:lang w:val="en-US" w:eastAsia="zh-CN" w:bidi="ar-SA"/>
    </w:rPr>
  </w:style>
  <w:style w:type="character" w:customStyle="1" w:styleId="Char710">
    <w:name w:val="正文格式 Char71"/>
    <w:rPr>
      <w:rFonts w:ascii="宋体" w:eastAsia="宋体" w:hAnsi="宋体" w:hint="eastAsia"/>
      <w:kern w:val="2"/>
      <w:sz w:val="24"/>
      <w:szCs w:val="24"/>
      <w:lang w:val="en-US" w:eastAsia="zh-CN" w:bidi="ar-SA"/>
    </w:rPr>
  </w:style>
  <w:style w:type="character" w:customStyle="1" w:styleId="CharCharCharCharChar8">
    <w:name w:val="表格文字 Char Char Char Char Char"/>
    <w:rPr>
      <w:rFonts w:ascii="楷体_GB2312" w:eastAsia="楷体_GB2312" w:hint="eastAsia"/>
      <w:sz w:val="21"/>
      <w:szCs w:val="18"/>
      <w:lang w:val="en-US" w:eastAsia="zh-CN" w:bidi="ar-SA"/>
    </w:rPr>
  </w:style>
  <w:style w:type="character" w:customStyle="1" w:styleId="4Exact">
    <w:name w:val="正文文本 (4) Exact"/>
    <w:uiPriority w:val="99"/>
    <w:rPr>
      <w:rFonts w:ascii="宋体" w:eastAsia="宋体" w:hAnsi="宋体" w:cs="宋体" w:hint="eastAsia"/>
      <w:sz w:val="18"/>
      <w:szCs w:val="18"/>
      <w:u w:val="none"/>
    </w:rPr>
  </w:style>
  <w:style w:type="character" w:customStyle="1" w:styleId="Char115">
    <w:name w:val="无节 Char11"/>
    <w:rPr>
      <w:rFonts w:ascii="Arial" w:eastAsia="黑体" w:hAnsi="Arial" w:cs="Arial" w:hint="default"/>
      <w:b/>
      <w:bCs/>
      <w:kern w:val="2"/>
      <w:sz w:val="24"/>
      <w:szCs w:val="24"/>
      <w:lang w:val="en-US" w:eastAsia="zh-CN" w:bidi="ar-SA"/>
    </w:rPr>
  </w:style>
  <w:style w:type="character" w:customStyle="1" w:styleId="2CharCharCharChar">
    <w:name w:val="标题 2 Char Char Char Char"/>
    <w:rPr>
      <w:rFonts w:ascii="Arial" w:eastAsia="黑体" w:hAnsi="Arial" w:cs="Arial" w:hint="default"/>
      <w:b/>
      <w:bCs/>
      <w:kern w:val="2"/>
      <w:sz w:val="32"/>
      <w:szCs w:val="32"/>
      <w:lang w:val="en-US" w:eastAsia="zh-CN" w:bidi="ar-SA"/>
    </w:rPr>
  </w:style>
  <w:style w:type="character" w:customStyle="1" w:styleId="CharCharffff3">
    <w:name w:val="表中文字 Char Char"/>
    <w:rPr>
      <w:rFonts w:ascii="Arial" w:hAnsi="Arial" w:cs="Arial" w:hint="default"/>
      <w:szCs w:val="24"/>
      <w:lang w:eastAsia="zh-TW"/>
    </w:rPr>
  </w:style>
  <w:style w:type="character" w:customStyle="1" w:styleId="CharChar3111">
    <w:name w:val="Char Char3111"/>
    <w:qFormat/>
    <w:rPr>
      <w:rFonts w:ascii="Arial" w:eastAsia="宋体" w:hAnsi="Arial" w:cs="Arial" w:hint="default"/>
      <w:b/>
      <w:bCs/>
      <w:kern w:val="2"/>
      <w:sz w:val="32"/>
      <w:szCs w:val="32"/>
      <w:lang w:val="en-US" w:eastAsia="zh-CN" w:bidi="ar-SA"/>
    </w:rPr>
  </w:style>
  <w:style w:type="character" w:customStyle="1" w:styleId="CharCharCharCharCharCharb">
    <w:name w:val="表格 Char Char Char Char Char Char"/>
    <w:rPr>
      <w:rFonts w:ascii="Arial" w:eastAsia="华文细黑" w:hAnsi="Arial" w:cs="Arial" w:hint="default"/>
      <w:kern w:val="2"/>
      <w:sz w:val="21"/>
      <w:szCs w:val="30"/>
      <w:lang w:val="en-US" w:eastAsia="zh-CN" w:bidi="ar-SA"/>
    </w:rPr>
  </w:style>
  <w:style w:type="character" w:customStyle="1" w:styleId="Char3a">
    <w:name w:val="第二层条 Char3"/>
    <w:rPr>
      <w:rFonts w:ascii="Arial" w:eastAsia="黑体" w:hAnsi="Arial" w:cs="Arial" w:hint="default"/>
      <w:sz w:val="24"/>
      <w:lang w:val="en-US" w:eastAsia="zh-CN" w:bidi="ar-SA"/>
    </w:rPr>
  </w:style>
  <w:style w:type="character" w:customStyle="1" w:styleId="CharChar1124">
    <w:name w:val="Char Char1124"/>
    <w:rPr>
      <w:rFonts w:ascii="黑体" w:eastAsia="黑体" w:hAnsi="Arial" w:hint="eastAsia"/>
      <w:bCs/>
      <w:kern w:val="2"/>
      <w:sz w:val="30"/>
      <w:szCs w:val="30"/>
      <w:lang w:val="en-US" w:eastAsia="zh-CN" w:bidi="ar-SA"/>
    </w:rPr>
  </w:style>
  <w:style w:type="character" w:customStyle="1" w:styleId="1Charf9">
    <w:name w:val="正文缩进1 Char"/>
    <w:rPr>
      <w:rFonts w:ascii="宋体" w:eastAsia="宋体" w:hAnsi="宋体" w:hint="eastAsia"/>
      <w:kern w:val="2"/>
      <w:sz w:val="21"/>
      <w:szCs w:val="24"/>
      <w:lang w:val="en-US" w:eastAsia="zh-CN" w:bidi="ar-SA"/>
    </w:rPr>
  </w:style>
  <w:style w:type="character" w:customStyle="1" w:styleId="3Char21">
    <w:name w:val="正文文本缩进 3 Char21"/>
    <w:rPr>
      <w:rFonts w:ascii="宋体" w:eastAsia="宋体" w:hAnsi="宋体" w:hint="eastAsia"/>
      <w:kern w:val="2"/>
      <w:sz w:val="16"/>
      <w:szCs w:val="16"/>
      <w:lang w:val="en-US" w:eastAsia="zh-CN" w:bidi="ar-SA"/>
    </w:rPr>
  </w:style>
  <w:style w:type="character" w:customStyle="1" w:styleId="Char116">
    <w:name w:val="批注框文本 Char11"/>
    <w:rPr>
      <w:rFonts w:ascii="宋体" w:eastAsia="宋体" w:hAnsi="宋体" w:hint="eastAsia"/>
      <w:kern w:val="2"/>
      <w:sz w:val="18"/>
      <w:szCs w:val="18"/>
      <w:lang w:val="en-US" w:eastAsia="zh-CN" w:bidi="ar-SA"/>
    </w:rPr>
  </w:style>
  <w:style w:type="character" w:customStyle="1" w:styleId="CharCharCharCharCharCharCharCharCharCharCharCharCharCharCharCharCharCharCharCharCharCharCharCharCharCharCharCharCharCharCharCharCharCharCharCharCharCharCharChar1CharCharCharCharC">
    <w:name w:val="正文（首行缩进两字） Char Char Char Char Char Char Char Char Char Char Char Char Char Char Char Char Char Char Char Char Char Char Char Char Char Char Char Char Char Char Char Char Char Char Char Char Char Char Char Char1 Char Char Char Char C"/>
    <w:rPr>
      <w:rFonts w:ascii="宋体" w:eastAsia="宋体" w:hAnsi="宋体" w:hint="eastAsia"/>
      <w:kern w:val="2"/>
      <w:sz w:val="21"/>
      <w:szCs w:val="24"/>
      <w:lang w:val="en-US" w:eastAsia="zh-CN" w:bidi="ar-SA"/>
    </w:rPr>
  </w:style>
  <w:style w:type="character" w:customStyle="1" w:styleId="Char143">
    <w:name w:val="正文修改 Char143"/>
    <w:rPr>
      <w:rFonts w:ascii="宋体" w:eastAsia="宋体" w:hAnsi="Times New Roman" w:cs="宋体" w:hint="eastAsia"/>
      <w:kern w:val="2"/>
      <w:sz w:val="24"/>
      <w:szCs w:val="24"/>
      <w:lang w:val="en-US" w:eastAsia="zh-CN" w:bidi="ar-SA"/>
    </w:rPr>
  </w:style>
  <w:style w:type="character" w:customStyle="1" w:styleId="CharChar3a">
    <w:name w:val="表格文字 Char Char3"/>
    <w:rPr>
      <w:rFonts w:ascii="宋体" w:eastAsia="仿宋_GB2312" w:hAnsi="宋体" w:cs="宋体" w:hint="eastAsia"/>
      <w:sz w:val="21"/>
      <w:szCs w:val="21"/>
      <w:lang w:val="en-US" w:eastAsia="zh-CN" w:bidi="ar-SA"/>
    </w:rPr>
  </w:style>
  <w:style w:type="character" w:customStyle="1" w:styleId="1Char70">
    <w:name w:val="表题1 Char7"/>
    <w:rPr>
      <w:rFonts w:ascii="黑体" w:eastAsia="黑体" w:hAnsi="Arial" w:cs="Arial" w:hint="eastAsia"/>
      <w:b/>
      <w:kern w:val="2"/>
      <w:sz w:val="24"/>
      <w:szCs w:val="24"/>
      <w:lang w:val="en-US" w:eastAsia="zh-CN" w:bidi="ar-SA"/>
    </w:rPr>
  </w:style>
  <w:style w:type="character" w:customStyle="1" w:styleId="ltextChar">
    <w:name w:val="l_text Char"/>
    <w:link w:val="ltext"/>
    <w:locked/>
    <w:rPr>
      <w:rFonts w:ascii="宋体" w:hAnsi="宋体" w:cs="宋体"/>
      <w:sz w:val="28"/>
      <w:szCs w:val="28"/>
      <w:lang w:val="en-GB"/>
    </w:rPr>
  </w:style>
  <w:style w:type="paragraph" w:customStyle="1" w:styleId="ltext">
    <w:name w:val="l_text"/>
    <w:basedOn w:val="a"/>
    <w:link w:val="ltextChar"/>
    <w:qFormat/>
    <w:pPr>
      <w:widowControl/>
      <w:overflowPunct w:val="0"/>
      <w:autoSpaceDE w:val="0"/>
      <w:autoSpaceDN w:val="0"/>
      <w:adjustRightInd w:val="0"/>
      <w:spacing w:line="360" w:lineRule="auto"/>
      <w:ind w:left="170" w:firstLine="680"/>
    </w:pPr>
    <w:rPr>
      <w:rFonts w:ascii="宋体" w:hAnsi="宋体" w:cs="宋体"/>
      <w:sz w:val="28"/>
      <w:szCs w:val="28"/>
      <w:lang w:val="en-GB"/>
    </w:rPr>
  </w:style>
  <w:style w:type="character" w:customStyle="1" w:styleId="MCSYSTEM">
    <w:name w:val="MC SYSTEM"/>
    <w:rPr>
      <w:rFonts w:ascii="Arial" w:eastAsia="宋体" w:hAnsi="Arial" w:cs="Arial" w:hint="default"/>
      <w:color w:val="000080"/>
      <w:sz w:val="18"/>
      <w:szCs w:val="20"/>
    </w:rPr>
  </w:style>
  <w:style w:type="character" w:customStyle="1" w:styleId="Char124">
    <w:name w:val="正文修改 Char124"/>
    <w:rPr>
      <w:rFonts w:ascii="宋体" w:eastAsia="宋体" w:hAnsi="宋体" w:cs="宋体" w:hint="eastAsia"/>
      <w:color w:val="000000"/>
      <w:kern w:val="2"/>
      <w:sz w:val="24"/>
      <w:szCs w:val="24"/>
      <w:lang w:val="en-US" w:eastAsia="zh-CN" w:bidi="ar-SA"/>
    </w:rPr>
  </w:style>
  <w:style w:type="character" w:customStyle="1" w:styleId="5Char22">
    <w:name w:val="样式 表内小5 + 黑体 加粗 倾斜 下划线 Char2"/>
    <w:rPr>
      <w:rFonts w:ascii="黑体" w:eastAsia="黑体" w:hAnsi="黑体" w:hint="eastAsia"/>
      <w:b/>
      <w:bCs/>
      <w:i/>
      <w:iCs/>
      <w:kern w:val="2"/>
      <w:sz w:val="18"/>
      <w:szCs w:val="24"/>
      <w:u w:val="single"/>
      <w:lang w:val="en-US" w:eastAsia="zh-CN" w:bidi="ar-SA"/>
    </w:rPr>
  </w:style>
  <w:style w:type="character" w:customStyle="1" w:styleId="271">
    <w:name w:val="样式27"/>
  </w:style>
  <w:style w:type="character" w:customStyle="1" w:styleId="Char162">
    <w:name w:val="燕山正文 Char16"/>
    <w:rPr>
      <w:rFonts w:ascii="宋体" w:eastAsia="宋体" w:hAnsi="宋体" w:cs="宋体" w:hint="eastAsia"/>
      <w:kern w:val="2"/>
      <w:sz w:val="24"/>
      <w:szCs w:val="24"/>
      <w:lang w:val="en-US" w:eastAsia="zh-CN" w:bidi="ar-SA"/>
    </w:rPr>
  </w:style>
  <w:style w:type="character" w:customStyle="1" w:styleId="4ff2">
    <w:name w:val="页码4"/>
  </w:style>
  <w:style w:type="character" w:customStyle="1" w:styleId="1CharChar5">
    <w:name w:val="题1 Char Char"/>
    <w:rPr>
      <w:rFonts w:ascii="Arial" w:hAnsi="Arial" w:cs="Arial" w:hint="default"/>
      <w:b/>
      <w:bCs/>
      <w:sz w:val="32"/>
      <w:szCs w:val="32"/>
    </w:rPr>
  </w:style>
  <w:style w:type="character" w:customStyle="1" w:styleId="CharCharffff4">
    <w:name w:val="论文正文 Char Char"/>
    <w:rPr>
      <w:rFonts w:ascii="宋体" w:eastAsia="宋体" w:hAnsi="宋体" w:hint="eastAsia"/>
      <w:kern w:val="2"/>
      <w:sz w:val="21"/>
      <w:szCs w:val="21"/>
      <w:lang w:val="en-US" w:eastAsia="zh-CN" w:bidi="ar-SA"/>
    </w:rPr>
  </w:style>
  <w:style w:type="character" w:customStyle="1" w:styleId="Char1131">
    <w:name w:val="题注 Char113"/>
    <w:rPr>
      <w:rFonts w:ascii="黑体" w:eastAsia="黑体" w:hAnsi="Arial" w:cs="Arial" w:hint="eastAsia"/>
      <w:b/>
      <w:kern w:val="2"/>
      <w:sz w:val="24"/>
      <w:szCs w:val="24"/>
      <w:lang w:val="en-US" w:eastAsia="zh-CN" w:bidi="ar-SA"/>
    </w:rPr>
  </w:style>
  <w:style w:type="character" w:customStyle="1" w:styleId="CharCharffff5">
    <w:name w:val="我的正文正文 Char Char"/>
    <w:rPr>
      <w:rFonts w:ascii="宋体" w:eastAsia="宋体" w:hAnsi="宋体" w:hint="eastAsia"/>
      <w:color w:val="000000"/>
      <w:sz w:val="28"/>
      <w:szCs w:val="28"/>
    </w:rPr>
  </w:style>
  <w:style w:type="character" w:customStyle="1" w:styleId="style29">
    <w:name w:val="style29"/>
  </w:style>
  <w:style w:type="character" w:customStyle="1" w:styleId="Char2f2">
    <w:name w:val="第五层条 Char2"/>
    <w:rPr>
      <w:rFonts w:ascii="宋体" w:eastAsia="宋体" w:hAnsi="宋体" w:hint="eastAsia"/>
      <w:spacing w:val="5"/>
      <w:kern w:val="2"/>
      <w:sz w:val="28"/>
      <w:lang w:val="en-US" w:eastAsia="zh-CN" w:bidi="ar-SA"/>
    </w:rPr>
  </w:style>
  <w:style w:type="character" w:customStyle="1" w:styleId="CharChar511">
    <w:name w:val="Char Char511"/>
    <w:rPr>
      <w:rFonts w:ascii="Arial" w:eastAsia="宋体" w:hAnsi="Arial" w:cs="Arial"/>
      <w:b/>
      <w:bCs/>
      <w:sz w:val="32"/>
      <w:szCs w:val="32"/>
      <w:lang w:val="en-US" w:eastAsia="zh-CN" w:bidi="ar-SA"/>
    </w:rPr>
  </w:style>
  <w:style w:type="character" w:customStyle="1" w:styleId="Char3CharChar">
    <w:name w:val="Char3 Char Char"/>
    <w:locked/>
    <w:rPr>
      <w:rFonts w:ascii="宋体" w:eastAsia="宋体" w:hAnsi="宋体" w:hint="eastAsia"/>
      <w:kern w:val="2"/>
      <w:sz w:val="28"/>
      <w:szCs w:val="28"/>
      <w:lang w:val="en-US" w:eastAsia="zh-CN" w:bidi="ar-SA"/>
    </w:rPr>
  </w:style>
  <w:style w:type="character" w:customStyle="1" w:styleId="Char153">
    <w:name w:val="正文修改 Char153"/>
    <w:rPr>
      <w:rFonts w:ascii="宋体" w:eastAsia="宋体" w:hAnsi="宋体" w:cs="宋体" w:hint="eastAsia"/>
      <w:color w:val="000000"/>
      <w:kern w:val="2"/>
      <w:sz w:val="24"/>
      <w:szCs w:val="24"/>
      <w:lang w:val="en-US" w:eastAsia="zh-CN" w:bidi="ar-SA"/>
    </w:rPr>
  </w:style>
  <w:style w:type="character" w:customStyle="1" w:styleId="Char213">
    <w:name w:val="题注 Char213"/>
    <w:rPr>
      <w:rFonts w:ascii="黑体" w:eastAsia="黑体" w:hAnsi="Arial" w:cs="Arial" w:hint="eastAsia"/>
      <w:b/>
      <w:kern w:val="2"/>
      <w:sz w:val="24"/>
      <w:szCs w:val="24"/>
      <w:lang w:val="en-US" w:eastAsia="zh-CN" w:bidi="ar-SA"/>
    </w:rPr>
  </w:style>
  <w:style w:type="character" w:customStyle="1" w:styleId="Char2f3">
    <w:name w:val="表格内字体 Char2"/>
    <w:rPr>
      <w:rFonts w:ascii="宋体" w:eastAsia="宋体" w:hAnsi="宋体" w:hint="eastAsia"/>
      <w:kern w:val="2"/>
      <w:sz w:val="21"/>
      <w:szCs w:val="24"/>
      <w:lang w:val="en-US" w:eastAsia="zh-CN" w:bidi="ar-SA"/>
    </w:rPr>
  </w:style>
  <w:style w:type="character" w:customStyle="1" w:styleId="1Charfa">
    <w:name w:val="样式 标题1 Char"/>
    <w:rPr>
      <w:rFonts w:ascii="宋体" w:eastAsia="宋体" w:hAnsi="宋体" w:cs="宋体" w:hint="eastAsia"/>
      <w:b/>
      <w:color w:val="000000"/>
      <w:kern w:val="2"/>
      <w:sz w:val="28"/>
      <w:szCs w:val="28"/>
      <w:lang w:val="en-US" w:eastAsia="zh-CN" w:bidi="ar-SA"/>
    </w:rPr>
  </w:style>
  <w:style w:type="character" w:customStyle="1" w:styleId="font381">
    <w:name w:val="font381"/>
    <w:rPr>
      <w:rFonts w:ascii="宋体" w:eastAsia="宋体" w:hAnsi="宋体" w:hint="eastAsia"/>
      <w:color w:val="000000"/>
      <w:sz w:val="21"/>
      <w:szCs w:val="21"/>
      <w:u w:val="none"/>
    </w:rPr>
  </w:style>
  <w:style w:type="character" w:customStyle="1" w:styleId="chenCharChar">
    <w:name w:val="谏壁正文chen Char Char"/>
    <w:rPr>
      <w:rFonts w:ascii="宋体" w:eastAsia="宋体" w:hAnsi="宋体" w:hint="eastAsia"/>
      <w:kern w:val="2"/>
      <w:sz w:val="24"/>
      <w:szCs w:val="24"/>
      <w:lang w:val="en-US" w:eastAsia="zh-CN" w:bidi="ar-SA"/>
    </w:rPr>
  </w:style>
  <w:style w:type="character" w:customStyle="1" w:styleId="4Char10">
    <w:name w:val="样式 标题4 Char1"/>
    <w:rPr>
      <w:rFonts w:ascii="宋体" w:eastAsia="宋体" w:hAnsi="宋体" w:cs="宋体" w:hint="eastAsia"/>
      <w:color w:val="000000"/>
      <w:kern w:val="2"/>
      <w:sz w:val="28"/>
      <w:szCs w:val="28"/>
      <w:lang w:val="en-US" w:eastAsia="zh-CN" w:bidi="ar-SA"/>
    </w:rPr>
  </w:style>
  <w:style w:type="character" w:customStyle="1" w:styleId="Charffffffff4">
    <w:name w:val="大纲正文 Char"/>
    <w:link w:val="afffffffffffffffffffffffffff5"/>
    <w:qFormat/>
    <w:locked/>
    <w:rPr>
      <w:sz w:val="24"/>
    </w:rPr>
  </w:style>
  <w:style w:type="paragraph" w:customStyle="1" w:styleId="afffffffffffffffffffffffffff5">
    <w:name w:val="大纲正文"/>
    <w:basedOn w:val="a"/>
    <w:link w:val="Charffffffff4"/>
    <w:qFormat/>
    <w:pPr>
      <w:widowControl/>
      <w:adjustRightInd w:val="0"/>
      <w:snapToGrid w:val="0"/>
      <w:spacing w:afterLines="50" w:line="300" w:lineRule="auto"/>
      <w:ind w:firstLineChars="200" w:firstLine="480"/>
    </w:pPr>
    <w:rPr>
      <w:sz w:val="24"/>
    </w:rPr>
  </w:style>
  <w:style w:type="character" w:customStyle="1" w:styleId="TimesNewRomanCharCharChar">
    <w:name w:val="样式 报告 + Times New Roman Char Char Char"/>
    <w:rPr>
      <w:sz w:val="28"/>
      <w:szCs w:val="28"/>
    </w:rPr>
  </w:style>
  <w:style w:type="character" w:customStyle="1" w:styleId="1Char73">
    <w:name w:val="表题1 Char73"/>
    <w:rPr>
      <w:rFonts w:ascii="黑体" w:eastAsia="黑体" w:hAnsi="Arial" w:cs="Arial" w:hint="eastAsia"/>
      <w:b/>
      <w:kern w:val="2"/>
      <w:sz w:val="24"/>
      <w:szCs w:val="24"/>
      <w:lang w:val="en-US" w:eastAsia="zh-CN" w:bidi="ar-SA"/>
    </w:rPr>
  </w:style>
  <w:style w:type="character" w:customStyle="1" w:styleId="Char2210">
    <w:name w:val="表中文字 Char221"/>
    <w:rPr>
      <w:rFonts w:ascii="宋体" w:eastAsia="宋体" w:hAnsi="宋体" w:hint="eastAsia"/>
      <w:kern w:val="2"/>
      <w:sz w:val="21"/>
      <w:szCs w:val="21"/>
      <w:lang w:val="en-US" w:eastAsia="zh-CN" w:bidi="ar-SA"/>
    </w:rPr>
  </w:style>
  <w:style w:type="character" w:customStyle="1" w:styleId="15CharChar0">
    <w:name w:val="正文15 Char Char"/>
    <w:rPr>
      <w:sz w:val="28"/>
      <w:szCs w:val="28"/>
    </w:rPr>
  </w:style>
  <w:style w:type="character" w:customStyle="1" w:styleId="Char44">
    <w:name w:val="表格内字体 Char4"/>
    <w:rPr>
      <w:rFonts w:ascii="宋体" w:eastAsia="宋体" w:hAnsi="宋体" w:hint="eastAsia"/>
      <w:kern w:val="2"/>
      <w:sz w:val="21"/>
      <w:szCs w:val="24"/>
      <w:lang w:val="en-US" w:eastAsia="zh-CN" w:bidi="ar-SA"/>
    </w:rPr>
  </w:style>
  <w:style w:type="character" w:customStyle="1" w:styleId="ca-51">
    <w:name w:val="ca-51"/>
    <w:rPr>
      <w:rFonts w:ascii="Times New Roman" w:hAnsi="Times New Roman" w:cs="Times New Roman" w:hint="default"/>
      <w:color w:val="000000"/>
      <w:sz w:val="19"/>
      <w:szCs w:val="19"/>
    </w:rPr>
  </w:style>
  <w:style w:type="character" w:customStyle="1" w:styleId="Char1311">
    <w:name w:val="正文修改 Char1311"/>
    <w:rPr>
      <w:rFonts w:ascii="宋体" w:eastAsia="宋体" w:hAnsi="宋体" w:cs="宋体" w:hint="eastAsia"/>
      <w:color w:val="000000"/>
      <w:kern w:val="2"/>
      <w:sz w:val="24"/>
      <w:szCs w:val="24"/>
      <w:lang w:val="en-US" w:eastAsia="zh-CN" w:bidi="ar-SA"/>
    </w:rPr>
  </w:style>
  <w:style w:type="character" w:customStyle="1" w:styleId="style7">
    <w:name w:val="style7"/>
  </w:style>
  <w:style w:type="character" w:customStyle="1" w:styleId="1Char62">
    <w:name w:val="表题1 Char62"/>
    <w:rPr>
      <w:rFonts w:ascii="黑体" w:eastAsia="黑体" w:hAnsi="Arial" w:cs="Arial" w:hint="eastAsia"/>
      <w:b/>
      <w:kern w:val="2"/>
      <w:sz w:val="24"/>
      <w:szCs w:val="24"/>
      <w:lang w:val="en-US" w:eastAsia="zh-CN" w:bidi="ar-SA"/>
    </w:rPr>
  </w:style>
  <w:style w:type="character" w:customStyle="1" w:styleId="1Char412">
    <w:name w:val="表题1 Char412"/>
    <w:rPr>
      <w:rFonts w:ascii="黑体" w:eastAsia="黑体" w:hAnsi="Arial" w:cs="Arial" w:hint="eastAsia"/>
      <w:b/>
      <w:kern w:val="2"/>
      <w:sz w:val="24"/>
      <w:szCs w:val="24"/>
      <w:lang w:val="en-US" w:eastAsia="zh-CN" w:bidi="ar-SA"/>
    </w:rPr>
  </w:style>
  <w:style w:type="character" w:customStyle="1" w:styleId="CharCharChar16">
    <w:name w:val="报告 Char Char Char1"/>
    <w:rPr>
      <w:rFonts w:ascii="宋体" w:eastAsia="宋体" w:hAnsi="宋体" w:hint="eastAsia"/>
      <w:kern w:val="2"/>
      <w:sz w:val="24"/>
      <w:szCs w:val="24"/>
      <w:lang w:val="en-US" w:eastAsia="zh-CN" w:bidi="ar-SA"/>
    </w:rPr>
  </w:style>
  <w:style w:type="character" w:customStyle="1" w:styleId="TimesNewRomanCharChar0">
    <w:name w:val="样式 报告 + Times New Roman Char Char"/>
    <w:rPr>
      <w:rFonts w:ascii="宋体" w:eastAsia="宋体" w:hAnsi="宋体" w:hint="eastAsia"/>
      <w:kern w:val="2"/>
      <w:sz w:val="28"/>
      <w:szCs w:val="28"/>
      <w:lang w:val="en-US" w:eastAsia="zh-CN" w:bidi="ar-SA"/>
    </w:rPr>
  </w:style>
  <w:style w:type="character" w:customStyle="1" w:styleId="font1410">
    <w:name w:val="font_141"/>
    <w:rPr>
      <w:rFonts w:ascii="ˎ̥" w:hAnsi="ˎ̥" w:hint="default"/>
      <w:sz w:val="21"/>
    </w:rPr>
  </w:style>
  <w:style w:type="character" w:customStyle="1" w:styleId="1Char140">
    <w:name w:val="河石1 Char14"/>
    <w:rPr>
      <w:rFonts w:ascii="黑体" w:eastAsia="黑体" w:hAnsi="宋体" w:hint="eastAsia"/>
      <w:bCs/>
      <w:kern w:val="44"/>
      <w:sz w:val="32"/>
      <w:szCs w:val="32"/>
      <w:lang w:val="en-US" w:eastAsia="zh-CN" w:bidi="ar-SA"/>
    </w:rPr>
  </w:style>
  <w:style w:type="character" w:customStyle="1" w:styleId="Char413">
    <w:name w:val="批注框文本 Char41"/>
    <w:rPr>
      <w:rFonts w:ascii="宋体" w:eastAsia="宋体" w:hAnsi="宋体" w:hint="eastAsia"/>
      <w:kern w:val="2"/>
      <w:sz w:val="18"/>
      <w:szCs w:val="18"/>
      <w:lang w:val="en-US" w:eastAsia="zh-CN" w:bidi="ar-SA"/>
    </w:rPr>
  </w:style>
  <w:style w:type="character" w:customStyle="1" w:styleId="CharChar619">
    <w:name w:val="Char Char619"/>
    <w:rPr>
      <w:rFonts w:ascii="黑体" w:eastAsia="黑体" w:hAnsi="黑体" w:hint="eastAsia"/>
      <w:b/>
      <w:bCs/>
      <w:kern w:val="2"/>
      <w:sz w:val="28"/>
      <w:szCs w:val="28"/>
      <w:lang w:val="en-US" w:eastAsia="zh-CN" w:bidi="ar-SA"/>
    </w:rPr>
  </w:style>
  <w:style w:type="character" w:customStyle="1" w:styleId="QJJCharChar0">
    <w:name w:val="样式 表格 单位 QJJ Char Char"/>
    <w:link w:val="QJJ0"/>
    <w:locked/>
    <w:rPr>
      <w:rFonts w:ascii="宋体" w:hAnsi="Arial" w:cs="宋体"/>
      <w:lang w:val="zh-CN"/>
    </w:rPr>
  </w:style>
  <w:style w:type="paragraph" w:customStyle="1" w:styleId="QJJ0">
    <w:name w:val="样式 表格 单位 QJJ"/>
    <w:basedOn w:val="a"/>
    <w:link w:val="QJJCharChar0"/>
    <w:qFormat/>
    <w:pPr>
      <w:wordWrap w:val="0"/>
      <w:snapToGrid w:val="0"/>
      <w:ind w:rightChars="100" w:right="240"/>
      <w:jc w:val="right"/>
    </w:pPr>
    <w:rPr>
      <w:rFonts w:ascii="宋体" w:hAnsi="Arial" w:cs="宋体"/>
      <w:lang w:val="zh-CN"/>
    </w:rPr>
  </w:style>
  <w:style w:type="character" w:customStyle="1" w:styleId="Char3b">
    <w:name w:val="表中文字 Char3"/>
    <w:rPr>
      <w:rFonts w:ascii="Arial" w:eastAsia="宋体" w:hAnsi="Arial" w:cs="Arial" w:hint="default"/>
      <w:kern w:val="2"/>
      <w:sz w:val="24"/>
      <w:szCs w:val="24"/>
      <w:lang w:val="en-US" w:eastAsia="zh-TW" w:bidi="ar-SA"/>
    </w:rPr>
  </w:style>
  <w:style w:type="character" w:customStyle="1" w:styleId="Char251">
    <w:name w:val="表中文字 Char251"/>
    <w:rPr>
      <w:rFonts w:ascii="宋体" w:eastAsia="宋体" w:hAnsi="宋体" w:hint="eastAsia"/>
      <w:kern w:val="2"/>
      <w:sz w:val="21"/>
      <w:szCs w:val="21"/>
      <w:lang w:val="en-US" w:eastAsia="zh-CN" w:bidi="ar-SA"/>
    </w:rPr>
  </w:style>
  <w:style w:type="character" w:customStyle="1" w:styleId="Char414">
    <w:name w:val="题注 Char41"/>
    <w:rPr>
      <w:rFonts w:ascii="黑体" w:eastAsia="黑体" w:hAnsi="Arial" w:cs="Arial" w:hint="eastAsia"/>
      <w:b/>
      <w:kern w:val="2"/>
      <w:sz w:val="24"/>
      <w:szCs w:val="24"/>
      <w:lang w:val="en-US" w:eastAsia="zh-CN" w:bidi="ar-SA"/>
    </w:rPr>
  </w:style>
  <w:style w:type="character" w:customStyle="1" w:styleId="Char45">
    <w:name w:val="正文缩进 Char4"/>
    <w:rPr>
      <w:rFonts w:ascii="宋体" w:eastAsia="宋体" w:hAnsi="宋体" w:cs="宋体" w:hint="eastAsia"/>
      <w:color w:val="000000"/>
      <w:kern w:val="2"/>
      <w:sz w:val="24"/>
      <w:szCs w:val="24"/>
      <w:lang w:val="en-US" w:eastAsia="zh-CN" w:bidi="ar-SA"/>
    </w:rPr>
  </w:style>
  <w:style w:type="character" w:customStyle="1" w:styleId="CharCharChar1CharCharCharCharCharCharCharCharCharCharCharCharCharCharCharCharCharCharCharChar">
    <w:name w:val="Char Char Char1 Char Char Char Char Char Char Char Char Char Char Char Char Char Char Char Char Char Char Char Char"/>
    <w:rPr>
      <w:rFonts w:ascii="宋体" w:eastAsia="宋体" w:hAnsi="宋体" w:hint="eastAsia"/>
      <w:kern w:val="2"/>
      <w:sz w:val="28"/>
      <w:szCs w:val="28"/>
      <w:lang w:val="en-US" w:eastAsia="zh-CN" w:bidi="ar-SA"/>
    </w:rPr>
  </w:style>
  <w:style w:type="character" w:customStyle="1" w:styleId="CharChar1125">
    <w:name w:val="Char Char1125"/>
    <w:rPr>
      <w:rFonts w:ascii="黑体" w:eastAsia="黑体" w:hAnsi="Arial" w:hint="eastAsia"/>
      <w:bCs/>
      <w:kern w:val="2"/>
      <w:sz w:val="30"/>
      <w:szCs w:val="30"/>
      <w:lang w:val="en-US" w:eastAsia="zh-CN" w:bidi="ar-SA"/>
    </w:rPr>
  </w:style>
  <w:style w:type="character" w:customStyle="1" w:styleId="CharCharCharCharc">
    <w:name w:val="表格文字 Char Char Char Char"/>
    <w:rPr>
      <w:rFonts w:ascii="楷体_GB2312" w:eastAsia="楷体_GB2312" w:hint="eastAsia"/>
      <w:sz w:val="21"/>
      <w:szCs w:val="18"/>
    </w:rPr>
  </w:style>
  <w:style w:type="character" w:customStyle="1" w:styleId="2Char70">
    <w:name w:val="标题 2 Char7"/>
    <w:rPr>
      <w:rFonts w:ascii="黑体" w:eastAsia="黑体" w:hAnsi="Arial" w:cs="Times New Roman" w:hint="eastAsia"/>
      <w:bCs/>
      <w:kern w:val="2"/>
      <w:sz w:val="30"/>
      <w:szCs w:val="30"/>
      <w:lang w:val="en-US" w:eastAsia="zh-CN" w:bidi="ar-SA"/>
    </w:rPr>
  </w:style>
  <w:style w:type="character" w:customStyle="1" w:styleId="Char233">
    <w:name w:val="题注 Char23"/>
    <w:rPr>
      <w:rFonts w:ascii="黑体" w:eastAsia="黑体" w:hAnsi="Arial" w:cs="Arial" w:hint="eastAsia"/>
      <w:b/>
      <w:kern w:val="2"/>
      <w:sz w:val="24"/>
      <w:szCs w:val="24"/>
      <w:lang w:val="en-US" w:eastAsia="zh-CN" w:bidi="ar-SA"/>
    </w:rPr>
  </w:style>
  <w:style w:type="character" w:customStyle="1" w:styleId="1-1Char">
    <w:name w:val="正文1-1 Char"/>
    <w:link w:val="1-1"/>
    <w:locked/>
    <w:rPr>
      <w:rFonts w:ascii="宋体" w:eastAsia="仿宋_GB2312" w:hAnsi="宋体" w:cs="宋体"/>
      <w:sz w:val="28"/>
      <w:szCs w:val="24"/>
    </w:rPr>
  </w:style>
  <w:style w:type="paragraph" w:customStyle="1" w:styleId="1-1">
    <w:name w:val="正文1-1"/>
    <w:basedOn w:val="a"/>
    <w:link w:val="1-1Char"/>
    <w:qFormat/>
    <w:pPr>
      <w:widowControl/>
      <w:snapToGrid w:val="0"/>
      <w:spacing w:line="360" w:lineRule="auto"/>
      <w:ind w:firstLineChars="200" w:firstLine="200"/>
      <w:jc w:val="left"/>
    </w:pPr>
    <w:rPr>
      <w:rFonts w:ascii="宋体" w:eastAsia="仿宋_GB2312" w:hAnsi="宋体" w:cs="宋体"/>
      <w:sz w:val="28"/>
      <w:szCs w:val="24"/>
    </w:rPr>
  </w:style>
  <w:style w:type="character" w:customStyle="1" w:styleId="CharCharCharCharChar80">
    <w:name w:val="Char Char Char Char Char8"/>
    <w:link w:val="CharCharChar150"/>
    <w:rPr>
      <w:sz w:val="24"/>
      <w:szCs w:val="24"/>
    </w:rPr>
  </w:style>
  <w:style w:type="paragraph" w:customStyle="1" w:styleId="CharCharChar150">
    <w:name w:val="Char Char Char15"/>
    <w:basedOn w:val="a"/>
    <w:link w:val="CharCharCharCharChar80"/>
    <w:qFormat/>
    <w:rPr>
      <w:sz w:val="24"/>
      <w:szCs w:val="24"/>
    </w:rPr>
  </w:style>
  <w:style w:type="character" w:customStyle="1" w:styleId="29pt">
    <w:name w:val="正文文本 (2) + 9 pt"/>
    <w:uiPriority w:val="99"/>
    <w:rPr>
      <w:rFonts w:ascii="宋体" w:eastAsia="宋体" w:hAnsi="宋体" w:cs="宋体" w:hint="eastAsia"/>
      <w:sz w:val="18"/>
      <w:szCs w:val="18"/>
      <w:u w:val="none"/>
      <w:shd w:val="clear" w:color="auto" w:fill="FFFFFF"/>
    </w:rPr>
  </w:style>
  <w:style w:type="character" w:customStyle="1" w:styleId="CharCharffff6">
    <w:name w:val="俺的正文 Char Char"/>
    <w:link w:val="afffffffffffffffffffffffffff6"/>
    <w:locked/>
    <w:rPr>
      <w:sz w:val="24"/>
      <w:szCs w:val="24"/>
    </w:rPr>
  </w:style>
  <w:style w:type="paragraph" w:customStyle="1" w:styleId="afffffffffffffffffffffffffff6">
    <w:name w:val="俺的正文"/>
    <w:basedOn w:val="a"/>
    <w:link w:val="CharCharffff6"/>
    <w:qFormat/>
    <w:pPr>
      <w:pBdr>
        <w:top w:val="single" w:sz="4" w:space="1" w:color="auto"/>
      </w:pBdr>
      <w:spacing w:line="460" w:lineRule="exact"/>
      <w:ind w:firstLineChars="200" w:firstLine="200"/>
    </w:pPr>
    <w:rPr>
      <w:sz w:val="24"/>
      <w:szCs w:val="24"/>
    </w:rPr>
  </w:style>
  <w:style w:type="character" w:customStyle="1" w:styleId="2CharChara">
    <w:name w:val="样式 标题 2节 + 宋体 左 Char Char"/>
    <w:rPr>
      <w:rFonts w:ascii="宋体" w:eastAsia="宋体" w:hAnsi="宋体" w:hint="eastAsia"/>
      <w:b/>
      <w:bCs/>
      <w:kern w:val="2"/>
      <w:sz w:val="28"/>
      <w:szCs w:val="24"/>
    </w:rPr>
  </w:style>
  <w:style w:type="character" w:customStyle="1" w:styleId="style201">
    <w:name w:val="style201"/>
    <w:rPr>
      <w:color w:val="000000"/>
      <w:sz w:val="24"/>
      <w:szCs w:val="24"/>
    </w:rPr>
  </w:style>
  <w:style w:type="character" w:customStyle="1" w:styleId="Char144">
    <w:name w:val="正文修改 Char144"/>
    <w:rPr>
      <w:rFonts w:ascii="宋体" w:eastAsia="宋体" w:hAnsi="宋体" w:hint="eastAsia"/>
      <w:sz w:val="24"/>
      <w:szCs w:val="24"/>
    </w:rPr>
  </w:style>
  <w:style w:type="character" w:customStyle="1" w:styleId="CharChar95">
    <w:name w:val="Char Char95"/>
    <w:rPr>
      <w:rFonts w:ascii="Arial" w:eastAsia="宋体" w:hAnsi="Arial" w:cs="Arial" w:hint="default"/>
      <w:b/>
      <w:bCs/>
      <w:kern w:val="2"/>
      <w:sz w:val="32"/>
      <w:szCs w:val="32"/>
      <w:lang w:val="en-US" w:eastAsia="zh-CN" w:bidi="ar-SA"/>
    </w:rPr>
  </w:style>
  <w:style w:type="character" w:customStyle="1" w:styleId="4Char2Char">
    <w:name w:val="标题 4 Char2 Char"/>
    <w:uiPriority w:val="9"/>
    <w:rPr>
      <w:rFonts w:ascii="Arial" w:eastAsia="黑体" w:hAnsi="Arial" w:cs="Arial" w:hint="default"/>
      <w:b/>
      <w:bCs/>
      <w:kern w:val="2"/>
      <w:sz w:val="28"/>
      <w:szCs w:val="28"/>
      <w:lang w:val="en-US" w:eastAsia="zh-CN" w:bidi="ar-SA"/>
    </w:rPr>
  </w:style>
  <w:style w:type="character" w:customStyle="1" w:styleId="Char3c">
    <w:name w:val="题注 Char3"/>
    <w:rPr>
      <w:rFonts w:ascii="黑体" w:eastAsia="黑体" w:hAnsi="Arial" w:cs="Arial" w:hint="eastAsia"/>
      <w:b/>
      <w:kern w:val="2"/>
      <w:sz w:val="24"/>
      <w:szCs w:val="24"/>
      <w:lang w:val="en-US" w:eastAsia="zh-CN" w:bidi="ar-SA"/>
    </w:rPr>
  </w:style>
  <w:style w:type="character" w:customStyle="1" w:styleId="CharChar1b">
    <w:name w:val="表格文字 Char Char1"/>
    <w:rPr>
      <w:rFonts w:ascii="宋体" w:eastAsia="仿宋_GB2312" w:hAnsi="宋体" w:cs="宋体" w:hint="eastAsia"/>
      <w:sz w:val="21"/>
      <w:szCs w:val="21"/>
      <w:lang w:val="en-US" w:eastAsia="zh-CN" w:bidi="ar-SA"/>
    </w:rPr>
  </w:style>
  <w:style w:type="character" w:customStyle="1" w:styleId="Char133">
    <w:name w:val="正文修改 Char133"/>
    <w:rPr>
      <w:rFonts w:ascii="宋体" w:eastAsia="宋体" w:hAnsi="宋体" w:cs="宋体" w:hint="eastAsia"/>
      <w:color w:val="000000"/>
      <w:kern w:val="2"/>
      <w:sz w:val="24"/>
      <w:szCs w:val="24"/>
      <w:lang w:val="en-US" w:eastAsia="zh-CN" w:bidi="ar-SA"/>
    </w:rPr>
  </w:style>
  <w:style w:type="character" w:customStyle="1" w:styleId="1CharCharChar1CharCharChar1">
    <w:name w:val="正文缩进1 Char Char Char1 Char Char Char1"/>
    <w:rPr>
      <w:rFonts w:ascii="宋体" w:eastAsia="宋体" w:hAnsi="宋体" w:hint="eastAsia"/>
      <w:kern w:val="2"/>
      <w:sz w:val="21"/>
      <w:szCs w:val="24"/>
      <w:lang w:val="en-US" w:eastAsia="zh-CN" w:bidi="ar-SA"/>
    </w:rPr>
  </w:style>
  <w:style w:type="character" w:customStyle="1" w:styleId="5Exact">
    <w:name w:val="正文文本 (5) Exact"/>
    <w:link w:val="5f6"/>
    <w:uiPriority w:val="99"/>
    <w:locked/>
    <w:rPr>
      <w:rFonts w:ascii="宋体" w:hAnsi="宋体" w:cs="宋体"/>
      <w:sz w:val="13"/>
      <w:szCs w:val="13"/>
      <w:shd w:val="clear" w:color="auto" w:fill="FFFFFF"/>
    </w:rPr>
  </w:style>
  <w:style w:type="paragraph" w:customStyle="1" w:styleId="5f6">
    <w:name w:val="正文文本 (5)"/>
    <w:basedOn w:val="a"/>
    <w:link w:val="5Exact"/>
    <w:uiPriority w:val="99"/>
    <w:qFormat/>
    <w:pPr>
      <w:shd w:val="clear" w:color="auto" w:fill="FFFFFF"/>
      <w:spacing w:line="240" w:lineRule="atLeast"/>
      <w:jc w:val="left"/>
    </w:pPr>
    <w:rPr>
      <w:rFonts w:ascii="宋体" w:hAnsi="宋体" w:cs="宋体"/>
      <w:sz w:val="13"/>
      <w:szCs w:val="13"/>
    </w:rPr>
  </w:style>
  <w:style w:type="character" w:customStyle="1" w:styleId="word1">
    <w:name w:val="word1"/>
    <w:rPr>
      <w:sz w:val="20"/>
      <w:szCs w:val="20"/>
    </w:rPr>
  </w:style>
  <w:style w:type="character" w:customStyle="1" w:styleId="2Char30">
    <w:name w:val="正文文本缩进 2 Char3"/>
    <w:rPr>
      <w:rFonts w:ascii="Times New Roman" w:eastAsia="宋体" w:hAnsi="Times New Roman" w:cs="Times New Roman" w:hint="default"/>
      <w:kern w:val="2"/>
      <w:sz w:val="24"/>
      <w:szCs w:val="24"/>
      <w:lang w:val="en-US" w:eastAsia="zh-CN" w:bidi="ar-SA"/>
    </w:rPr>
  </w:style>
  <w:style w:type="character" w:customStyle="1" w:styleId="Char1320">
    <w:name w:val="正文修改 Char132"/>
    <w:rPr>
      <w:rFonts w:ascii="宋体" w:eastAsia="宋体" w:hAnsi="宋体" w:cs="宋体" w:hint="eastAsia"/>
      <w:color w:val="000000"/>
      <w:kern w:val="2"/>
      <w:sz w:val="24"/>
      <w:szCs w:val="24"/>
      <w:lang w:val="en-US" w:eastAsia="zh-CN" w:bidi="ar-SA"/>
    </w:rPr>
  </w:style>
  <w:style w:type="character" w:customStyle="1" w:styleId="Char341">
    <w:name w:val="普通文字 Char34"/>
    <w:rPr>
      <w:rFonts w:ascii="宋体" w:eastAsia="宋体" w:hAnsi="Courier New" w:cs="Courier New" w:hint="eastAsia"/>
      <w:kern w:val="2"/>
      <w:sz w:val="21"/>
      <w:szCs w:val="21"/>
      <w:lang w:val="en-US" w:eastAsia="zh-CN" w:bidi="ar-SA"/>
    </w:rPr>
  </w:style>
  <w:style w:type="character" w:customStyle="1" w:styleId="attach-title1">
    <w:name w:val="attach-title1"/>
    <w:rPr>
      <w:b/>
      <w:bCs/>
      <w:color w:val="008080"/>
      <w:sz w:val="27"/>
      <w:szCs w:val="27"/>
    </w:rPr>
  </w:style>
  <w:style w:type="character" w:customStyle="1" w:styleId="CharChar66">
    <w:name w:val="Char Char66"/>
    <w:rPr>
      <w:rFonts w:ascii="黑体" w:eastAsia="黑体" w:hAnsi="黑体" w:hint="eastAsia"/>
      <w:b/>
      <w:bCs/>
      <w:kern w:val="2"/>
      <w:sz w:val="28"/>
      <w:szCs w:val="28"/>
      <w:lang w:val="en-US" w:eastAsia="zh-CN" w:bidi="ar-SA"/>
    </w:rPr>
  </w:style>
  <w:style w:type="character" w:customStyle="1" w:styleId="1CharChar6">
    <w:name w:val="项标题(1) Char Char"/>
    <w:rPr>
      <w:rFonts w:ascii="宋体" w:eastAsia="宋体" w:hAnsi="宋体" w:hint="eastAsia"/>
      <w:b/>
      <w:bCs/>
      <w:kern w:val="2"/>
      <w:sz w:val="24"/>
      <w:szCs w:val="24"/>
      <w:lang w:val="en-US" w:eastAsia="zh-CN" w:bidi="ar-SA"/>
    </w:rPr>
  </w:style>
  <w:style w:type="character" w:customStyle="1" w:styleId="CharChar172">
    <w:name w:val="Char Char172"/>
    <w:rPr>
      <w:rFonts w:ascii="宋体" w:eastAsia="宋体" w:hAnsi="宋体" w:hint="eastAsia"/>
      <w:kern w:val="2"/>
      <w:sz w:val="24"/>
      <w:lang w:val="en-US" w:eastAsia="zh-CN" w:bidi="ar-SA"/>
    </w:rPr>
  </w:style>
  <w:style w:type="character" w:customStyle="1" w:styleId="3Char110">
    <w:name w:val="正文文本 3 Char11"/>
    <w:rPr>
      <w:rFonts w:ascii="宋体" w:eastAsia="宋体" w:hAnsi="宋体" w:hint="eastAsia"/>
      <w:kern w:val="2"/>
      <w:sz w:val="16"/>
      <w:szCs w:val="16"/>
      <w:lang w:val="en-US" w:eastAsia="zh-CN" w:bidi="ar-SA"/>
    </w:rPr>
  </w:style>
  <w:style w:type="character" w:customStyle="1" w:styleId="CharCharCharCharCharCharCharCharCharCharCharCharCharCharCharCharCharCharCharCharCharCharCharCharChar0">
    <w:name w:val="标题 Char Char Char Char Char Char Char Char Char Char Char Char Char Char Char Char Char Char Char Char Char Char Char Char Char"/>
    <w:rPr>
      <w:rFonts w:ascii="黑体" w:eastAsia="黑体" w:hAnsi="黑体" w:hint="eastAsia"/>
      <w:kern w:val="2"/>
      <w:sz w:val="32"/>
      <w:szCs w:val="24"/>
      <w:lang w:val="en-US" w:eastAsia="zh-CN" w:bidi="ar-SA"/>
    </w:rPr>
  </w:style>
  <w:style w:type="character" w:customStyle="1" w:styleId="CharChar1911">
    <w:name w:val="Char Char1911"/>
    <w:rPr>
      <w:rFonts w:ascii="宋体" w:eastAsia="宋体" w:hAnsi="宋体" w:hint="eastAsia"/>
      <w:kern w:val="2"/>
      <w:sz w:val="21"/>
      <w:szCs w:val="24"/>
      <w:lang w:val="en-US" w:eastAsia="zh-CN" w:bidi="ar-SA"/>
    </w:rPr>
  </w:style>
  <w:style w:type="character" w:customStyle="1" w:styleId="Char46">
    <w:name w:val="样式 表格内字体 + Char4"/>
    <w:rPr>
      <w:rFonts w:ascii="宋体" w:eastAsia="宋体" w:hAnsi="宋体" w:hint="eastAsia"/>
      <w:kern w:val="2"/>
      <w:sz w:val="21"/>
      <w:szCs w:val="24"/>
      <w:lang w:val="en-US" w:eastAsia="zh-CN" w:bidi="ar-SA"/>
    </w:rPr>
  </w:style>
  <w:style w:type="character" w:customStyle="1" w:styleId="CharChar2110">
    <w:name w:val="Char Char2110"/>
    <w:qFormat/>
    <w:rPr>
      <w:rFonts w:eastAsia="宋体"/>
      <w:sz w:val="18"/>
      <w:lang w:val="en-US" w:eastAsia="zh-CN" w:bidi="ar-SA"/>
    </w:rPr>
  </w:style>
  <w:style w:type="character" w:customStyle="1" w:styleId="CharCharffff7">
    <w:name w:val="环正文 Char Char"/>
    <w:rPr>
      <w:rFonts w:ascii="宋体" w:eastAsia="宋体" w:hAnsi="Courier New" w:hint="eastAsia"/>
      <w:kern w:val="2"/>
      <w:sz w:val="24"/>
      <w:lang w:val="en-US" w:eastAsia="zh-CN" w:bidi="ar-SA"/>
    </w:rPr>
  </w:style>
  <w:style w:type="character" w:customStyle="1" w:styleId="CharChar1118">
    <w:name w:val="Char Char1118"/>
    <w:rPr>
      <w:rFonts w:ascii="黑体" w:eastAsia="黑体" w:hAnsi="Arial" w:hint="eastAsia"/>
      <w:bCs/>
      <w:kern w:val="2"/>
      <w:sz w:val="30"/>
      <w:szCs w:val="30"/>
      <w:lang w:val="en-US" w:eastAsia="zh-CN" w:bidi="ar-SA"/>
    </w:rPr>
  </w:style>
  <w:style w:type="character" w:customStyle="1" w:styleId="2CharChar13">
    <w:name w:val="页眉2 Char Char1"/>
    <w:rPr>
      <w:rFonts w:eastAsia="宋体"/>
      <w:kern w:val="2"/>
      <w:sz w:val="18"/>
      <w:szCs w:val="18"/>
      <w:lang w:val="en-US" w:eastAsia="zh-CN" w:bidi="ar-SA"/>
    </w:rPr>
  </w:style>
  <w:style w:type="character" w:customStyle="1" w:styleId="2CharChar25">
    <w:name w:val="正文2 Char Char2"/>
    <w:rPr>
      <w:rFonts w:ascii="仿宋_GB2312" w:eastAsia="仿宋_GB2312" w:hint="eastAsia"/>
      <w:kern w:val="2"/>
      <w:sz w:val="24"/>
      <w:szCs w:val="24"/>
      <w:lang w:val="en-US" w:eastAsia="zh-CN" w:bidi="ar-SA"/>
    </w:rPr>
  </w:style>
  <w:style w:type="character" w:customStyle="1" w:styleId="2fffffff3">
    <w:name w:val="正文文本 (2)_"/>
    <w:link w:val="2fffffff4"/>
    <w:uiPriority w:val="99"/>
    <w:locked/>
    <w:rPr>
      <w:rFonts w:ascii="MingLiU" w:eastAsia="MingLiU" w:hAnsi="MingLiU" w:cs="MingLiU"/>
      <w:shd w:val="clear" w:color="auto" w:fill="FFFFFF"/>
    </w:rPr>
  </w:style>
  <w:style w:type="paragraph" w:customStyle="1" w:styleId="2fffffff4">
    <w:name w:val="正文文本 (2)"/>
    <w:basedOn w:val="a"/>
    <w:link w:val="2fffffff3"/>
    <w:uiPriority w:val="99"/>
    <w:qFormat/>
    <w:pPr>
      <w:shd w:val="clear" w:color="auto" w:fill="FFFFFF"/>
      <w:spacing w:before="120" w:line="466" w:lineRule="exact"/>
      <w:jc w:val="distribute"/>
    </w:pPr>
    <w:rPr>
      <w:rFonts w:ascii="MingLiU" w:eastAsia="MingLiU" w:hAnsi="MingLiU" w:cs="MingLiU"/>
    </w:rPr>
  </w:style>
  <w:style w:type="character" w:customStyle="1" w:styleId="CharCharChar24">
    <w:name w:val="新正文 Char Char Char2"/>
    <w:rPr>
      <w:rFonts w:ascii="仿宋_GB2312" w:eastAsia="仿宋_GB2312" w:hint="eastAsia"/>
      <w:bCs/>
      <w:kern w:val="2"/>
      <w:sz w:val="28"/>
      <w:szCs w:val="24"/>
      <w:lang w:val="en-US" w:eastAsia="zh-CN" w:bidi="ar-SA"/>
    </w:rPr>
  </w:style>
  <w:style w:type="character" w:customStyle="1" w:styleId="hhcwtCharChar2">
    <w:name w:val="hhcwt正文 Char Char"/>
    <w:rPr>
      <w:rFonts w:ascii="宋体" w:eastAsia="宋体" w:hAnsi="宋体" w:cs="宋体" w:hint="eastAsia"/>
      <w:kern w:val="2"/>
      <w:sz w:val="24"/>
      <w:lang w:val="en-US" w:eastAsia="zh-CN" w:bidi="ar-SA"/>
    </w:rPr>
  </w:style>
  <w:style w:type="character" w:customStyle="1" w:styleId="3Char91">
    <w:name w:val="标题 3 Char91"/>
    <w:rPr>
      <w:rFonts w:ascii="黑体" w:eastAsia="黑体" w:hAnsi="宋体" w:cs="Times New Roman" w:hint="eastAsia"/>
      <w:b/>
      <w:bCs/>
      <w:kern w:val="2"/>
      <w:sz w:val="28"/>
      <w:szCs w:val="28"/>
      <w:lang w:val="en-US" w:eastAsia="zh-CN" w:bidi="ar-SA"/>
    </w:rPr>
  </w:style>
  <w:style w:type="character" w:customStyle="1" w:styleId="fontstyle21">
    <w:name w:val="fontstyle21"/>
    <w:rPr>
      <w:rFonts w:ascii="TimesNewRomanPSMT" w:hAnsi="TimesNewRomanPSMT" w:hint="default"/>
      <w:color w:val="000000"/>
      <w:sz w:val="28"/>
      <w:szCs w:val="28"/>
    </w:rPr>
  </w:style>
  <w:style w:type="character" w:customStyle="1" w:styleId="3CharChar3">
    <w:name w:val="环标3 Char Char"/>
    <w:locked/>
    <w:rPr>
      <w:rFonts w:ascii="宋体" w:hAnsi="宋体"/>
      <w:sz w:val="24"/>
    </w:rPr>
  </w:style>
  <w:style w:type="character" w:customStyle="1" w:styleId="5f7">
    <w:name w:val="不明显强调5"/>
    <w:qFormat/>
    <w:rPr>
      <w:rFonts w:ascii="宋体" w:eastAsia="宋体" w:hAnsi="宋体" w:hint="eastAsia"/>
      <w:i/>
      <w:iCs/>
      <w:color w:val="808080"/>
      <w:kern w:val="2"/>
      <w:sz w:val="21"/>
      <w:szCs w:val="21"/>
      <w:lang w:val="en-US" w:eastAsia="zh-CN" w:bidi="ar-SA"/>
    </w:rPr>
  </w:style>
  <w:style w:type="character" w:customStyle="1" w:styleId="Char1ff5">
    <w:name w:val="环评正文 Char1"/>
    <w:rPr>
      <w:rFonts w:ascii="Times New Roman" w:eastAsia="宋体" w:hAnsi="Times New Roman" w:cs="Times New Roman" w:hint="default"/>
      <w:sz w:val="24"/>
      <w:szCs w:val="20"/>
    </w:rPr>
  </w:style>
  <w:style w:type="character" w:customStyle="1" w:styleId="210pt2">
    <w:name w:val="正文文本 (2) + 10 pt2"/>
    <w:uiPriority w:val="99"/>
    <w:rPr>
      <w:rFonts w:ascii="宋体" w:eastAsia="宋体" w:hAnsi="宋体" w:cs="宋体" w:hint="eastAsia"/>
      <w:color w:val="EBEBEB"/>
      <w:spacing w:val="40"/>
      <w:sz w:val="20"/>
      <w:szCs w:val="20"/>
      <w:shd w:val="clear" w:color="auto" w:fill="FFFFFF"/>
    </w:rPr>
  </w:style>
  <w:style w:type="character" w:customStyle="1" w:styleId="3ffff">
    <w:name w:val="页码3"/>
  </w:style>
  <w:style w:type="character" w:customStyle="1" w:styleId="CharCharCharChard">
    <w:name w:val="小五 Char Char Char Char"/>
    <w:rPr>
      <w:rFonts w:ascii="宋体" w:eastAsia="宋体" w:hAnsi="宋体" w:hint="eastAsia"/>
      <w:szCs w:val="21"/>
    </w:rPr>
  </w:style>
  <w:style w:type="character" w:customStyle="1" w:styleId="5Char41">
    <w:name w:val="表内5 Char4"/>
    <w:rPr>
      <w:rFonts w:ascii="宋体" w:eastAsia="宋体" w:hAnsi="宋体" w:cs="Times New Roman" w:hint="eastAsia"/>
      <w:kern w:val="2"/>
      <w:sz w:val="24"/>
      <w:szCs w:val="21"/>
      <w:lang w:val="en-US" w:eastAsia="zh-CN" w:bidi="ar-SA"/>
    </w:rPr>
  </w:style>
  <w:style w:type="character" w:customStyle="1" w:styleId="4ff3">
    <w:name w:val="明显强调4"/>
    <w:qFormat/>
    <w:rPr>
      <w:rFonts w:eastAsia="宋体"/>
      <w:b/>
      <w:bCs/>
      <w:i/>
      <w:iCs/>
      <w:color w:val="4F81BD"/>
      <w:kern w:val="2"/>
      <w:sz w:val="21"/>
      <w:szCs w:val="21"/>
      <w:lang w:val="en-US" w:eastAsia="zh-CN" w:bidi="ar-SA"/>
    </w:rPr>
  </w:style>
  <w:style w:type="character" w:customStyle="1" w:styleId="CharCharChara">
    <w:name w:val="表格内容 Char Char Char"/>
    <w:rPr>
      <w:rFonts w:ascii="Arial" w:eastAsia="华文细黑" w:hAnsi="Arial" w:cs="Arial" w:hint="default"/>
      <w:szCs w:val="21"/>
    </w:rPr>
  </w:style>
  <w:style w:type="character" w:customStyle="1" w:styleId="Char1211">
    <w:name w:val="正文修改 Char1211"/>
    <w:rPr>
      <w:rFonts w:ascii="宋体" w:eastAsia="宋体" w:hAnsi="宋体" w:cs="宋体" w:hint="eastAsia"/>
      <w:color w:val="000000"/>
      <w:kern w:val="2"/>
      <w:sz w:val="24"/>
      <w:szCs w:val="24"/>
      <w:lang w:val="en-US" w:eastAsia="zh-CN" w:bidi="ar-SA"/>
    </w:rPr>
  </w:style>
  <w:style w:type="character" w:customStyle="1" w:styleId="Char2310">
    <w:name w:val="表中文字 Char231"/>
    <w:rPr>
      <w:rFonts w:ascii="宋体" w:eastAsia="宋体" w:hAnsi="宋体" w:hint="eastAsia"/>
      <w:kern w:val="2"/>
      <w:sz w:val="21"/>
      <w:szCs w:val="21"/>
      <w:lang w:val="en-US" w:eastAsia="zh-CN" w:bidi="ar-SA"/>
    </w:rPr>
  </w:style>
  <w:style w:type="character" w:customStyle="1" w:styleId="AChar4">
    <w:name w:val="A正文 Char4"/>
    <w:rPr>
      <w:rFonts w:ascii="仿宋_GB2312" w:eastAsia="仿宋_GB2312" w:hint="eastAsia"/>
      <w:kern w:val="2"/>
      <w:sz w:val="24"/>
      <w:szCs w:val="24"/>
      <w:lang w:val="en-US" w:eastAsia="zh-CN" w:bidi="ar-SA"/>
    </w:rPr>
  </w:style>
  <w:style w:type="character" w:customStyle="1" w:styleId="Char241">
    <w:name w:val="表中文字 Char24"/>
    <w:rPr>
      <w:rFonts w:ascii="宋体" w:eastAsia="宋体" w:hAnsi="宋体" w:hint="eastAsia"/>
      <w:kern w:val="2"/>
      <w:sz w:val="21"/>
      <w:szCs w:val="21"/>
      <w:lang w:val="en-US" w:eastAsia="zh-CN" w:bidi="ar-SA"/>
    </w:rPr>
  </w:style>
  <w:style w:type="character" w:customStyle="1" w:styleId="Char1ff6">
    <w:name w:val="表头编号 Char1"/>
    <w:link w:val="afffffffffffffffffffffffffff7"/>
    <w:locked/>
    <w:rPr>
      <w:b/>
      <w:color w:val="000000"/>
      <w:spacing w:val="-2"/>
      <w:sz w:val="18"/>
    </w:rPr>
  </w:style>
  <w:style w:type="paragraph" w:customStyle="1" w:styleId="afffffffffffffffffffffffffff7">
    <w:name w:val="表头编号"/>
    <w:basedOn w:val="a"/>
    <w:link w:val="Char1ff6"/>
    <w:qFormat/>
    <w:pPr>
      <w:snapToGrid w:val="0"/>
      <w:spacing w:line="240" w:lineRule="atLeast"/>
      <w:jc w:val="right"/>
    </w:pPr>
    <w:rPr>
      <w:b/>
      <w:color w:val="000000"/>
      <w:spacing w:val="-2"/>
      <w:sz w:val="18"/>
    </w:rPr>
  </w:style>
  <w:style w:type="character" w:customStyle="1" w:styleId="CharChar1210">
    <w:name w:val="Char Char1210"/>
    <w:rPr>
      <w:rFonts w:ascii="黑体" w:eastAsia="黑体" w:hAnsi="Arial" w:hint="eastAsia"/>
      <w:b/>
      <w:bCs/>
      <w:kern w:val="2"/>
      <w:sz w:val="30"/>
      <w:szCs w:val="30"/>
      <w:lang w:val="en-US" w:eastAsia="zh-CN" w:bidi="ar-SA"/>
    </w:rPr>
  </w:style>
  <w:style w:type="character" w:customStyle="1" w:styleId="1CharChar7">
    <w:name w:val="正文1 Char Char"/>
    <w:rPr>
      <w:kern w:val="2"/>
      <w:sz w:val="28"/>
    </w:rPr>
  </w:style>
  <w:style w:type="character" w:customStyle="1" w:styleId="changCharChar">
    <w:name w:val="chang正文 Char Char"/>
    <w:rPr>
      <w:rFonts w:ascii="宋体" w:eastAsia="宋体" w:hAnsi="宋体" w:cs="宋体" w:hint="eastAsia"/>
      <w:kern w:val="2"/>
      <w:sz w:val="24"/>
      <w:szCs w:val="24"/>
      <w:lang w:val="en-US" w:eastAsia="zh-CN" w:bidi="ar-SA"/>
    </w:rPr>
  </w:style>
  <w:style w:type="character" w:customStyle="1" w:styleId="1fffffff4">
    <w:name w:val="超链接1"/>
    <w:rPr>
      <w:color w:val="0000FF"/>
      <w:u w:val="single"/>
    </w:rPr>
  </w:style>
  <w:style w:type="character" w:customStyle="1" w:styleId="417">
    <w:name w:val="标题 41"/>
    <w:rPr>
      <w:rFonts w:ascii="Cambria" w:eastAsia="宋体" w:hAnsi="Cambria" w:cs="Times New Roman" w:hint="default"/>
      <w:b/>
      <w:bCs/>
      <w:sz w:val="28"/>
      <w:szCs w:val="28"/>
    </w:rPr>
  </w:style>
  <w:style w:type="character" w:customStyle="1" w:styleId="afffffffffffffffffffffffffff8">
    <w:name w:val="消息标题标签"/>
    <w:rPr>
      <w:rFonts w:ascii="Arial Black" w:eastAsia="黑体" w:hAnsi="Arial Black" w:hint="default"/>
      <w:b/>
      <w:sz w:val="18"/>
      <w:lang w:eastAsia="zh-CN"/>
    </w:rPr>
  </w:style>
  <w:style w:type="character" w:customStyle="1" w:styleId="1Char64">
    <w:name w:val="表题1 Char64"/>
    <w:rPr>
      <w:rFonts w:ascii="黑体" w:eastAsia="黑体" w:hAnsi="Arial" w:cs="Arial" w:hint="eastAsia"/>
      <w:b/>
      <w:kern w:val="2"/>
      <w:sz w:val="24"/>
      <w:szCs w:val="24"/>
      <w:lang w:val="en-US" w:eastAsia="zh-CN" w:bidi="ar-SA"/>
    </w:rPr>
  </w:style>
  <w:style w:type="character" w:customStyle="1" w:styleId="QJJCharChar1">
    <w:name w:val="表格文字 QJJ Char Char"/>
    <w:link w:val="QJJ1"/>
    <w:locked/>
    <w:rPr>
      <w:rFonts w:ascii="宋体" w:hAnsi="Arial" w:cs="Arial"/>
      <w:bCs/>
      <w:szCs w:val="21"/>
    </w:rPr>
  </w:style>
  <w:style w:type="paragraph" w:customStyle="1" w:styleId="QJJ1">
    <w:name w:val="表格文字 QJJ"/>
    <w:basedOn w:val="a"/>
    <w:link w:val="QJJCharChar1"/>
    <w:qFormat/>
    <w:pPr>
      <w:keepLines/>
      <w:widowControl/>
      <w:adjustRightInd w:val="0"/>
      <w:snapToGrid w:val="0"/>
      <w:spacing w:line="240" w:lineRule="exact"/>
      <w:jc w:val="center"/>
    </w:pPr>
    <w:rPr>
      <w:rFonts w:ascii="宋体" w:hAnsi="Arial" w:cs="Arial"/>
      <w:bCs/>
      <w:szCs w:val="21"/>
    </w:rPr>
  </w:style>
  <w:style w:type="character" w:customStyle="1" w:styleId="CharCharffff8">
    <w:name w:val="通舟正文 Char Char"/>
    <w:rPr>
      <w:rFonts w:ascii="仿宋_GB2312" w:eastAsia="仿宋_GB2312" w:cs="宋体" w:hint="eastAsia"/>
      <w:sz w:val="28"/>
      <w:lang w:val="en-US" w:eastAsia="zh-CN"/>
    </w:rPr>
  </w:style>
  <w:style w:type="character" w:customStyle="1" w:styleId="4CharCharCharCharCharCharCharCharCharCharCharCharCharCharCharCharCharCharChar">
    <w:name w:val="标题 4 Char Char Char Char Char Char Char Char Char Char Char Char Char Char Char Char Char Char Char"/>
    <w:rPr>
      <w:rFonts w:ascii="Arial" w:eastAsia="黑体" w:hAnsi="Arial" w:cs="Arial" w:hint="default"/>
      <w:b/>
      <w:bCs/>
      <w:snapToGrid/>
      <w:sz w:val="24"/>
      <w:szCs w:val="28"/>
      <w:lang w:val="en-US" w:eastAsia="zh-CN"/>
    </w:rPr>
  </w:style>
  <w:style w:type="character" w:customStyle="1" w:styleId="1Char43">
    <w:name w:val="表题1 Char43"/>
    <w:rPr>
      <w:rFonts w:ascii="黑体" w:eastAsia="黑体" w:hAnsi="Arial" w:cs="Arial" w:hint="eastAsia"/>
      <w:b/>
      <w:kern w:val="2"/>
      <w:sz w:val="24"/>
      <w:szCs w:val="24"/>
      <w:lang w:val="en-US" w:eastAsia="zh-CN" w:bidi="ar-SA"/>
    </w:rPr>
  </w:style>
  <w:style w:type="character" w:customStyle="1" w:styleId="m11">
    <w:name w:val="m11"/>
    <w:rPr>
      <w:sz w:val="24"/>
      <w:szCs w:val="24"/>
    </w:rPr>
  </w:style>
  <w:style w:type="character" w:customStyle="1" w:styleId="CharChar1121">
    <w:name w:val="Char Char1121"/>
    <w:rPr>
      <w:rFonts w:ascii="黑体" w:eastAsia="黑体" w:hAnsi="Arial" w:hint="eastAsia"/>
      <w:bCs/>
      <w:kern w:val="2"/>
      <w:sz w:val="30"/>
      <w:szCs w:val="30"/>
      <w:lang w:val="en-US" w:eastAsia="zh-CN" w:bidi="ar-SA"/>
    </w:rPr>
  </w:style>
  <w:style w:type="character" w:customStyle="1" w:styleId="2Exact">
    <w:name w:val="正文文本 (2) Exact"/>
    <w:uiPriority w:val="99"/>
    <w:rPr>
      <w:rFonts w:ascii="宋体" w:eastAsia="宋体" w:hAnsi="宋体" w:cs="宋体" w:hint="eastAsia"/>
      <w:u w:val="none"/>
    </w:rPr>
  </w:style>
  <w:style w:type="character" w:customStyle="1" w:styleId="Char1110">
    <w:name w:val="题注 Char111"/>
    <w:rPr>
      <w:rFonts w:ascii="黑体" w:eastAsia="黑体" w:hAnsi="Arial" w:cs="Arial" w:hint="eastAsia"/>
      <w:b/>
      <w:kern w:val="2"/>
      <w:sz w:val="24"/>
      <w:szCs w:val="24"/>
      <w:lang w:val="en-US" w:eastAsia="zh-CN" w:bidi="ar-SA"/>
    </w:rPr>
  </w:style>
  <w:style w:type="character" w:customStyle="1" w:styleId="142TimesNewRoman1CharChar">
    <w:name w:val="样式 样式 样式 宋体 小四 行距: 多倍行距 1.4 字行2 + 黑色 + Times New Roman1 Char Char"/>
    <w:rPr>
      <w:color w:val="000000"/>
      <w:sz w:val="24"/>
    </w:rPr>
  </w:style>
  <w:style w:type="character" w:customStyle="1" w:styleId="1CharCharCharCharCharCharCharCharCharCharCharCharCharCharCharCharCharCharCharCharCharCharCharCharCharCharCharCharCharCharCharCharCharCharCharCharCharCharCharCharCharCharCharCharCharCharCharCharChar">
    <w:name w:val="标题 1 Char Char Char Char Char Char Char Char Char Char Char Char Char Char Char Char Char Char Char Char Char Char Char Char Char Char Char Char Char Char Char Char Char Char Char Char Char Char Char Char Char Char Char Char Char Char Char Char Char"/>
    <w:rPr>
      <w:rFonts w:ascii="黑体" w:eastAsia="黑体" w:hAnsi="Arial Unicode MS" w:hint="eastAsia"/>
      <w:kern w:val="44"/>
      <w:sz w:val="28"/>
      <w:szCs w:val="28"/>
      <w:lang w:val="en-US" w:eastAsia="zh-CN" w:bidi="ar-SA"/>
    </w:rPr>
  </w:style>
  <w:style w:type="character" w:customStyle="1" w:styleId="CharChar2120">
    <w:name w:val="Char Char2120"/>
    <w:rPr>
      <w:rFonts w:ascii="宋体" w:eastAsia="宋体" w:hAnsi="宋体" w:hint="eastAsia"/>
      <w:kern w:val="2"/>
      <w:sz w:val="24"/>
      <w:lang w:val="en-US" w:eastAsia="zh-CN" w:bidi="ar-SA"/>
    </w:rPr>
  </w:style>
  <w:style w:type="character" w:customStyle="1" w:styleId="CharCharffff9">
    <w:name w:val="表头 Char Char"/>
    <w:rPr>
      <w:rFonts w:ascii="黑体" w:eastAsia="黑体" w:hAnsi="黑体" w:hint="eastAsia"/>
      <w:color w:val="000000"/>
      <w:spacing w:val="-10"/>
      <w:sz w:val="21"/>
    </w:rPr>
  </w:style>
  <w:style w:type="character" w:customStyle="1" w:styleId="Char1111">
    <w:name w:val="正文修改 Char111"/>
    <w:rPr>
      <w:rFonts w:ascii="宋体" w:eastAsia="宋体" w:hAnsi="宋体" w:cs="宋体" w:hint="eastAsia"/>
      <w:color w:val="000000"/>
      <w:kern w:val="2"/>
      <w:sz w:val="24"/>
      <w:szCs w:val="24"/>
      <w:lang w:val="en-US" w:eastAsia="zh-CN" w:bidi="ar-SA"/>
    </w:rPr>
  </w:style>
  <w:style w:type="character" w:customStyle="1" w:styleId="8Char2">
    <w:name w:val="标题 8 Char2"/>
    <w:rPr>
      <w:rFonts w:ascii="Arial" w:eastAsia="黑体" w:hAnsi="Arial" w:cs="Times New Roman" w:hint="default"/>
      <w:kern w:val="2"/>
      <w:sz w:val="24"/>
      <w:szCs w:val="24"/>
      <w:lang w:val="en-US" w:eastAsia="zh-CN" w:bidi="ar-SA"/>
    </w:rPr>
  </w:style>
  <w:style w:type="character" w:customStyle="1" w:styleId="1Char120">
    <w:name w:val="表题1 Char12"/>
    <w:rPr>
      <w:rFonts w:ascii="Arial" w:eastAsia="宋体" w:hAnsi="Arial" w:cs="Arial" w:hint="default"/>
      <w:kern w:val="2"/>
      <w:sz w:val="24"/>
      <w:szCs w:val="24"/>
      <w:lang w:val="en-US" w:eastAsia="zh-CN" w:bidi="ar-SA"/>
    </w:rPr>
  </w:style>
  <w:style w:type="character" w:customStyle="1" w:styleId="CharCharffffa">
    <w:name w:val="我的表格标题 Char Char"/>
    <w:rPr>
      <w:rFonts w:ascii="宋体" w:eastAsia="宋体" w:hAnsi="宋体" w:hint="eastAsia"/>
      <w:color w:val="000000"/>
      <w:kern w:val="2"/>
      <w:sz w:val="24"/>
      <w:szCs w:val="24"/>
    </w:rPr>
  </w:style>
  <w:style w:type="character" w:customStyle="1" w:styleId="font61">
    <w:name w:val="font61"/>
    <w:rPr>
      <w:rFonts w:ascii="宋体" w:eastAsia="宋体" w:hAnsi="宋体" w:hint="eastAsia"/>
      <w:color w:val="000000"/>
      <w:sz w:val="21"/>
      <w:szCs w:val="21"/>
      <w:u w:val="none"/>
    </w:rPr>
  </w:style>
  <w:style w:type="character" w:customStyle="1" w:styleId="9Char2">
    <w:name w:val="标题 9 Char2"/>
    <w:rPr>
      <w:rFonts w:ascii="Arial" w:eastAsia="黑体" w:hAnsi="Arial" w:cs="Times New Roman" w:hint="default"/>
      <w:kern w:val="2"/>
      <w:sz w:val="24"/>
      <w:szCs w:val="21"/>
      <w:lang w:val="en-US" w:eastAsia="zh-CN" w:bidi="ar-SA"/>
    </w:rPr>
  </w:style>
  <w:style w:type="character" w:customStyle="1" w:styleId="Char142">
    <w:name w:val="正文缩进 Char14"/>
    <w:rPr>
      <w:rFonts w:ascii="宋体" w:eastAsia="宋体" w:hAnsi="宋体" w:cs="宋体" w:hint="eastAsia"/>
      <w:color w:val="000000"/>
      <w:kern w:val="2"/>
      <w:sz w:val="24"/>
      <w:szCs w:val="24"/>
      <w:lang w:val="en-US" w:eastAsia="zh-CN" w:bidi="ar-SA"/>
    </w:rPr>
  </w:style>
  <w:style w:type="character" w:customStyle="1" w:styleId="Char1140">
    <w:name w:val="正文修改 Char114"/>
    <w:rPr>
      <w:rFonts w:ascii="宋体" w:eastAsia="宋体" w:hAnsi="宋体" w:cs="宋体" w:hint="eastAsia"/>
      <w:color w:val="000000"/>
      <w:kern w:val="2"/>
      <w:sz w:val="24"/>
      <w:szCs w:val="24"/>
      <w:lang w:val="en-US" w:eastAsia="zh-CN" w:bidi="ar-SA"/>
    </w:rPr>
  </w:style>
  <w:style w:type="character" w:customStyle="1" w:styleId="CharCharCharb">
    <w:name w:val="无间隔 Char Char Char"/>
    <w:rPr>
      <w:rFonts w:ascii="Calibri" w:eastAsia="宋体" w:hAnsi="Calibri" w:cs="Calibri" w:hint="default"/>
      <w:sz w:val="22"/>
      <w:szCs w:val="21"/>
      <w:lang w:val="en-US" w:eastAsia="zh-CN" w:bidi="ar-SA"/>
    </w:rPr>
  </w:style>
  <w:style w:type="character" w:customStyle="1" w:styleId="CharCharCharCharCharCharCharChar8">
    <w:name w:val="Char Char Char Char Char Char Char Char8"/>
    <w:qFormat/>
    <w:rPr>
      <w:rFonts w:ascii="Times New Roman" w:eastAsia="宋体" w:hAnsi="Times New Roman" w:cs="Times New Roman"/>
      <w:sz w:val="24"/>
      <w:szCs w:val="24"/>
    </w:rPr>
  </w:style>
  <w:style w:type="character" w:customStyle="1" w:styleId="12d">
    <w:name w:val="正文缩进12"/>
    <w:rPr>
      <w:rFonts w:ascii="宋体" w:eastAsia="宋体" w:hAnsi="宋体" w:hint="eastAsia"/>
      <w:sz w:val="24"/>
      <w:lang w:val="en-US" w:eastAsia="zh-CN" w:bidi="ar-SA"/>
    </w:rPr>
  </w:style>
  <w:style w:type="character" w:customStyle="1" w:styleId="Char121">
    <w:name w:val="燕山正文 Char121"/>
    <w:rPr>
      <w:rFonts w:ascii="宋体" w:eastAsia="宋体" w:hAnsi="宋体" w:cs="宋体" w:hint="eastAsia"/>
      <w:kern w:val="2"/>
      <w:sz w:val="24"/>
      <w:szCs w:val="24"/>
      <w:lang w:val="en-US" w:eastAsia="zh-CN" w:bidi="ar-SA"/>
    </w:rPr>
  </w:style>
  <w:style w:type="character" w:customStyle="1" w:styleId="t20">
    <w:name w:val="t2"/>
  </w:style>
  <w:style w:type="character" w:customStyle="1" w:styleId="Char511">
    <w:name w:val="题注 Char511"/>
    <w:rPr>
      <w:rFonts w:ascii="黑体" w:eastAsia="黑体" w:hAnsi="Arial" w:cs="Arial" w:hint="eastAsia"/>
      <w:b/>
      <w:kern w:val="2"/>
      <w:sz w:val="24"/>
      <w:szCs w:val="24"/>
      <w:lang w:val="en-US" w:eastAsia="zh-CN" w:bidi="ar-SA"/>
    </w:rPr>
  </w:style>
  <w:style w:type="character" w:customStyle="1" w:styleId="211pt">
    <w:name w:val="正文文本 (2) + 11 pt"/>
    <w:uiPriority w:val="99"/>
    <w:rPr>
      <w:rFonts w:ascii="宋体" w:eastAsia="宋体" w:hAnsi="宋体" w:cs="宋体" w:hint="eastAsia"/>
      <w:sz w:val="22"/>
      <w:szCs w:val="22"/>
      <w:shd w:val="clear" w:color="auto" w:fill="FFFFFF"/>
      <w:lang w:eastAsia="en-US"/>
    </w:rPr>
  </w:style>
  <w:style w:type="character" w:customStyle="1" w:styleId="1Char15">
    <w:name w:val="表题1 Char1"/>
    <w:rPr>
      <w:rFonts w:ascii="黑体" w:eastAsia="黑体" w:hAnsi="Arial" w:cs="Arial" w:hint="eastAsia"/>
      <w:kern w:val="2"/>
      <w:sz w:val="24"/>
      <w:szCs w:val="24"/>
      <w:lang w:val="en-US" w:eastAsia="zh-CN" w:bidi="ar-SA"/>
    </w:rPr>
  </w:style>
  <w:style w:type="character" w:customStyle="1" w:styleId="Char82">
    <w:name w:val="题注 Char8"/>
    <w:rPr>
      <w:rFonts w:ascii="黑体" w:eastAsia="黑体" w:hAnsi="Arial" w:cs="Arial" w:hint="eastAsia"/>
      <w:b/>
      <w:kern w:val="2"/>
      <w:sz w:val="24"/>
      <w:szCs w:val="24"/>
      <w:lang w:val="en-US" w:eastAsia="zh-CN" w:bidi="ar-SA"/>
    </w:rPr>
  </w:style>
  <w:style w:type="character" w:customStyle="1" w:styleId="CharCharCharCharCharCharCharCharCharCharChar4">
    <w:name w:val="Char Char Char Char Char Char Char Char Char Char Char4"/>
    <w:rPr>
      <w:rFonts w:ascii="宋体" w:eastAsia="宋体" w:hAnsi="宋体" w:hint="eastAsia"/>
      <w:kern w:val="2"/>
      <w:sz w:val="24"/>
      <w:szCs w:val="24"/>
      <w:lang w:val="en-US" w:eastAsia="zh-CN" w:bidi="ar-SA"/>
    </w:rPr>
  </w:style>
  <w:style w:type="character" w:customStyle="1" w:styleId="2Char21">
    <w:name w:val="批注框文本2 Char2"/>
    <w:rPr>
      <w:rFonts w:ascii="宋体" w:eastAsia="宋体" w:hAnsi="宋体" w:hint="eastAsia"/>
      <w:kern w:val="2"/>
      <w:sz w:val="18"/>
      <w:szCs w:val="18"/>
      <w:lang w:val="en-US" w:eastAsia="zh-CN" w:bidi="ar-SA"/>
    </w:rPr>
  </w:style>
  <w:style w:type="character" w:customStyle="1" w:styleId="Char2f4">
    <w:name w:val="正文斜体 Char2"/>
    <w:rPr>
      <w:rFonts w:ascii="宋体" w:eastAsia="宋体" w:hAnsi="宋体" w:cs="宋体" w:hint="eastAsia"/>
      <w:i/>
      <w:iCs/>
      <w:kern w:val="2"/>
      <w:sz w:val="24"/>
      <w:szCs w:val="24"/>
      <w:lang w:val="en-US" w:eastAsia="zh-CN" w:bidi="ar-SA"/>
    </w:rPr>
  </w:style>
  <w:style w:type="character" w:customStyle="1" w:styleId="3CharChar4">
    <w:name w:val="标题3 Char Char"/>
    <w:rPr>
      <w:rFonts w:ascii="黑体" w:eastAsia="黑体" w:hAnsi="黑体" w:hint="eastAsia"/>
      <w:kern w:val="2"/>
      <w:sz w:val="24"/>
      <w:szCs w:val="24"/>
      <w:lang w:val="en-US" w:eastAsia="zh-CN"/>
    </w:rPr>
  </w:style>
  <w:style w:type="character" w:customStyle="1" w:styleId="2CharCharCharCharChar">
    <w:name w:val="标准文本 首行缩进: 2 字符 行距: 单倍 Char Char Char Char Char"/>
    <w:rPr>
      <w:rFonts w:ascii="宋体" w:eastAsia="宋体" w:hAnsi="宋体" w:hint="eastAsia"/>
      <w:kern w:val="2"/>
      <w:sz w:val="24"/>
      <w:szCs w:val="24"/>
      <w:lang w:val="en-US" w:eastAsia="zh-CN" w:bidi="ar-SA"/>
    </w:rPr>
  </w:style>
  <w:style w:type="character" w:customStyle="1" w:styleId="p14black1501">
    <w:name w:val="p14_black_1501"/>
    <w:rPr>
      <w:sz w:val="21"/>
      <w:szCs w:val="21"/>
    </w:rPr>
  </w:style>
  <w:style w:type="character" w:customStyle="1" w:styleId="n41">
    <w:name w:val="n41"/>
    <w:rPr>
      <w:color w:val="000099"/>
      <w:sz w:val="18"/>
      <w:szCs w:val="18"/>
      <w:u w:val="none"/>
    </w:rPr>
  </w:style>
  <w:style w:type="character" w:customStyle="1" w:styleId="headline-content10">
    <w:name w:val="headline-content10"/>
  </w:style>
  <w:style w:type="character" w:customStyle="1" w:styleId="30860CharCharChar2">
    <w:name w:val="样式 标题 3 + 黑体 小四 左侧:  0.86 厘米 首行缩进:  0 厘米 Char Char Char2"/>
    <w:rPr>
      <w:rFonts w:ascii="黑体" w:eastAsia="黑体" w:hAnsi="黑体" w:hint="eastAsia"/>
      <w:b/>
      <w:bCs/>
      <w:color w:val="000000"/>
      <w:kern w:val="2"/>
      <w:sz w:val="24"/>
      <w:szCs w:val="24"/>
      <w:lang w:val="en-GB" w:eastAsia="zh-CN" w:bidi="ar-SA"/>
    </w:rPr>
  </w:style>
  <w:style w:type="character" w:customStyle="1" w:styleId="Char1ff7">
    <w:name w:val="图表题 Char1"/>
    <w:rPr>
      <w:rFonts w:ascii="黑体" w:eastAsia="黑体" w:hAnsi="宋体" w:cs="宋体" w:hint="eastAsia"/>
      <w:b/>
      <w:bCs/>
      <w:kern w:val="2"/>
      <w:sz w:val="24"/>
      <w:szCs w:val="24"/>
      <w:lang w:val="en-US" w:eastAsia="zh-CN" w:bidi="ar-SA"/>
    </w:rPr>
  </w:style>
  <w:style w:type="character" w:customStyle="1" w:styleId="CharChar92">
    <w:name w:val="Char Char92"/>
    <w:rPr>
      <w:rFonts w:ascii="宋体" w:eastAsia="宋体" w:hAnsi="宋体" w:hint="eastAsia"/>
      <w:kern w:val="2"/>
      <w:sz w:val="18"/>
      <w:szCs w:val="18"/>
      <w:lang w:val="en-US" w:eastAsia="zh-CN" w:bidi="ar-SA"/>
    </w:rPr>
  </w:style>
  <w:style w:type="character" w:customStyle="1" w:styleId="Char3d">
    <w:name w:val="尾注文本 Char3"/>
    <w:basedOn w:val="a1"/>
    <w:rPr>
      <w:sz w:val="24"/>
    </w:rPr>
  </w:style>
  <w:style w:type="character" w:customStyle="1" w:styleId="fleft">
    <w:name w:val="fleft"/>
  </w:style>
  <w:style w:type="character" w:customStyle="1" w:styleId="GB23124">
    <w:name w:val="样式 仿宋_GB2312 四号"/>
    <w:rPr>
      <w:rFonts w:ascii="仿宋_GB2312" w:eastAsia="仿宋_GB2312" w:hAnsi="仿宋_GB2312" w:hint="eastAsia"/>
      <w:sz w:val="24"/>
    </w:rPr>
  </w:style>
  <w:style w:type="character" w:customStyle="1" w:styleId="Charffffffff5">
    <w:name w:val="本文正文 Char"/>
    <w:link w:val="afffffffffffffffffffffffffff9"/>
    <w:locked/>
    <w:rPr>
      <w:sz w:val="24"/>
      <w:szCs w:val="24"/>
    </w:rPr>
  </w:style>
  <w:style w:type="paragraph" w:customStyle="1" w:styleId="afffffffffffffffffffffffffff9">
    <w:name w:val="本文正文"/>
    <w:basedOn w:val="a"/>
    <w:link w:val="Charffffffff5"/>
    <w:qFormat/>
    <w:pPr>
      <w:spacing w:line="480" w:lineRule="exact"/>
    </w:pPr>
    <w:rPr>
      <w:sz w:val="24"/>
      <w:szCs w:val="24"/>
    </w:rPr>
  </w:style>
  <w:style w:type="character" w:customStyle="1" w:styleId="Char117">
    <w:name w:val="环评正文 Char11"/>
    <w:rPr>
      <w:rFonts w:ascii="宋体" w:eastAsia="宋体" w:hAnsi="宋体" w:hint="eastAsia"/>
      <w:bCs/>
      <w:kern w:val="2"/>
      <w:sz w:val="24"/>
      <w:szCs w:val="24"/>
      <w:lang w:val="en-US" w:eastAsia="zh-CN" w:bidi="ar-SA"/>
    </w:rPr>
  </w:style>
  <w:style w:type="character" w:customStyle="1" w:styleId="CharCharCharChare">
    <w:name w:val="表后段落 Char Char Char Char"/>
    <w:link w:val="CharCharCharc"/>
    <w:locked/>
    <w:rPr>
      <w:rFonts w:ascii="楷体_GB2312" w:eastAsia="楷体_GB2312"/>
      <w:sz w:val="28"/>
      <w:szCs w:val="28"/>
    </w:rPr>
  </w:style>
  <w:style w:type="paragraph" w:customStyle="1" w:styleId="CharCharCharc">
    <w:name w:val="表后段落 Char Char Char"/>
    <w:basedOn w:val="a"/>
    <w:link w:val="CharCharCharChare"/>
    <w:qFormat/>
    <w:pPr>
      <w:spacing w:beforeLines="75" w:line="360" w:lineRule="auto"/>
      <w:ind w:firstLineChars="200" w:firstLine="200"/>
    </w:pPr>
    <w:rPr>
      <w:rFonts w:ascii="楷体_GB2312" w:eastAsia="楷体_GB2312"/>
      <w:sz w:val="28"/>
      <w:szCs w:val="28"/>
    </w:rPr>
  </w:style>
  <w:style w:type="character" w:customStyle="1" w:styleId="t2style2">
    <w:name w:val="t2 style2"/>
  </w:style>
  <w:style w:type="character" w:customStyle="1" w:styleId="Char151">
    <w:name w:val="燕山正文 Char151"/>
    <w:rPr>
      <w:rFonts w:ascii="宋体" w:eastAsia="宋体" w:hAnsi="宋体" w:cs="宋体" w:hint="eastAsia"/>
      <w:kern w:val="2"/>
      <w:sz w:val="24"/>
      <w:szCs w:val="24"/>
      <w:lang w:val="en-US" w:eastAsia="zh-CN" w:bidi="ar-SA"/>
    </w:rPr>
  </w:style>
  <w:style w:type="character" w:customStyle="1" w:styleId="3CharCharCharCharCharChar1">
    <w:name w:val="样式 标题 3 + 黑色 Char Char Char Char Char Char1"/>
    <w:rPr>
      <w:rFonts w:ascii="宋体" w:eastAsia="宋体" w:hAnsi="宋体" w:hint="eastAsia"/>
      <w:b/>
      <w:bCs/>
      <w:color w:val="000000"/>
      <w:kern w:val="2"/>
      <w:sz w:val="28"/>
      <w:szCs w:val="32"/>
      <w:lang w:val="en-US" w:eastAsia="zh-CN" w:bidi="ar-SA"/>
    </w:rPr>
  </w:style>
  <w:style w:type="character" w:customStyle="1" w:styleId="Char64">
    <w:name w:val="正文格式 Char6"/>
    <w:rPr>
      <w:rFonts w:ascii="宋体" w:eastAsia="宋体" w:hAnsi="宋体" w:cs="Times New Roman" w:hint="eastAsia"/>
      <w:kern w:val="2"/>
      <w:sz w:val="24"/>
      <w:szCs w:val="24"/>
      <w:lang w:val="en-US" w:eastAsia="zh-CN" w:bidi="ar-SA"/>
    </w:rPr>
  </w:style>
  <w:style w:type="character" w:customStyle="1" w:styleId="4ff4">
    <w:name w:val="明显强调4"/>
    <w:qFormat/>
    <w:rPr>
      <w:rFonts w:ascii="宋体" w:eastAsia="宋体" w:hAnsi="宋体" w:hint="eastAsia"/>
      <w:b/>
      <w:bCs/>
      <w:i/>
      <w:iCs/>
      <w:color w:val="4F81BD"/>
      <w:kern w:val="2"/>
      <w:sz w:val="21"/>
      <w:szCs w:val="21"/>
      <w:lang w:val="en-US" w:eastAsia="zh-CN" w:bidi="ar-SA"/>
    </w:rPr>
  </w:style>
  <w:style w:type="character" w:customStyle="1" w:styleId="zhutiCharChar">
    <w:name w:val="zhuti Char Char"/>
    <w:link w:val="zhuti"/>
    <w:locked/>
    <w:rPr>
      <w:sz w:val="28"/>
      <w:szCs w:val="28"/>
    </w:rPr>
  </w:style>
  <w:style w:type="paragraph" w:customStyle="1" w:styleId="zhuti">
    <w:name w:val="zhuti"/>
    <w:basedOn w:val="a"/>
    <w:link w:val="zhutiCharChar"/>
    <w:qFormat/>
    <w:pPr>
      <w:widowControl/>
      <w:spacing w:line="360" w:lineRule="auto"/>
      <w:ind w:firstLineChars="200" w:firstLine="560"/>
      <w:jc w:val="left"/>
    </w:pPr>
    <w:rPr>
      <w:sz w:val="28"/>
      <w:szCs w:val="28"/>
    </w:rPr>
  </w:style>
  <w:style w:type="character" w:customStyle="1" w:styleId="2Char120">
    <w:name w:val="正文首行缩进 2 Char12"/>
    <w:rPr>
      <w:rFonts w:ascii="宋体" w:eastAsia="宋体" w:hAnsi="宋体" w:hint="eastAsia"/>
      <w:kern w:val="2"/>
      <w:sz w:val="21"/>
      <w:szCs w:val="18"/>
      <w:lang w:val="en-US" w:eastAsia="zh-CN" w:bidi="ar-SA"/>
    </w:rPr>
  </w:style>
  <w:style w:type="character" w:customStyle="1" w:styleId="Char3e">
    <w:name w:val="二级项 Char3"/>
    <w:rPr>
      <w:rFonts w:ascii="Arial" w:eastAsia="黑体" w:hAnsi="Arial" w:cs="Arial" w:hint="default"/>
      <w:b/>
      <w:bCs/>
      <w:kern w:val="2"/>
      <w:sz w:val="24"/>
      <w:szCs w:val="24"/>
      <w:lang w:val="en-US" w:eastAsia="zh-CN" w:bidi="ar-SA"/>
    </w:rPr>
  </w:style>
  <w:style w:type="character" w:customStyle="1" w:styleId="chen11CharChar">
    <w:name w:val="chen正文字体11 Char Char"/>
    <w:rPr>
      <w:color w:val="000000"/>
      <w:sz w:val="24"/>
    </w:rPr>
  </w:style>
  <w:style w:type="character" w:customStyle="1" w:styleId="CharChar1217">
    <w:name w:val="Char Char1217"/>
    <w:rPr>
      <w:rFonts w:ascii="黑体" w:eastAsia="黑体" w:hAnsi="Arial" w:hint="eastAsia"/>
      <w:b/>
      <w:bCs/>
      <w:kern w:val="2"/>
      <w:sz w:val="30"/>
      <w:szCs w:val="30"/>
      <w:lang w:val="en-US" w:eastAsia="zh-CN" w:bidi="ar-SA"/>
    </w:rPr>
  </w:style>
  <w:style w:type="character" w:customStyle="1" w:styleId="2Georgia0">
    <w:name w:val="正文文本 (2) + Georgia"/>
    <w:uiPriority w:val="99"/>
    <w:rPr>
      <w:rFonts w:ascii="Georgia" w:eastAsia="宋体" w:hAnsi="Georgia" w:cs="Georgia" w:hint="default"/>
      <w:sz w:val="20"/>
      <w:szCs w:val="20"/>
      <w:shd w:val="clear" w:color="auto" w:fill="FFFFFF"/>
    </w:rPr>
  </w:style>
  <w:style w:type="character" w:customStyle="1" w:styleId="22b">
    <w:name w:val="正文缩进22"/>
    <w:qFormat/>
    <w:rPr>
      <w:rFonts w:ascii="仿宋_GB2312" w:eastAsia="仿宋_GB2312" w:hint="eastAsia"/>
      <w:kern w:val="2"/>
      <w:sz w:val="28"/>
      <w:szCs w:val="24"/>
      <w:lang w:val="en-US" w:eastAsia="zh-CN" w:bidi="ar-SA"/>
    </w:rPr>
  </w:style>
  <w:style w:type="character" w:customStyle="1" w:styleId="Char152">
    <w:name w:val="正文修改 Char15"/>
    <w:rPr>
      <w:rFonts w:ascii="宋体" w:eastAsia="宋体" w:hAnsi="宋体" w:cs="宋体" w:hint="eastAsia"/>
      <w:color w:val="000000"/>
      <w:kern w:val="2"/>
      <w:sz w:val="24"/>
      <w:szCs w:val="24"/>
      <w:lang w:val="en-US" w:eastAsia="zh-CN" w:bidi="ar-SA"/>
    </w:rPr>
  </w:style>
  <w:style w:type="character" w:customStyle="1" w:styleId="3CharCharChar0">
    <w:name w:val="样式 标题 3 + 宋体 Char Char Char"/>
    <w:rPr>
      <w:rFonts w:ascii="宋体" w:eastAsia="宋体" w:hAnsi="宋体" w:hint="eastAsia"/>
      <w:b/>
      <w:bCs/>
      <w:kern w:val="2"/>
      <w:sz w:val="30"/>
      <w:szCs w:val="30"/>
      <w:lang w:val="en-US" w:eastAsia="zh-CN" w:bidi="ar-SA"/>
    </w:rPr>
  </w:style>
  <w:style w:type="character" w:customStyle="1" w:styleId="CharChar77">
    <w:name w:val="Char Char77"/>
    <w:basedOn w:val="a1"/>
    <w:rPr>
      <w:rFonts w:ascii="Arial" w:eastAsia="宋体" w:hAnsi="Arial" w:cs="Arial"/>
      <w:b/>
      <w:bCs/>
      <w:kern w:val="2"/>
      <w:sz w:val="32"/>
      <w:szCs w:val="32"/>
      <w:lang w:val="en-US" w:eastAsia="zh-CN" w:bidi="ar-SA"/>
    </w:rPr>
  </w:style>
  <w:style w:type="character" w:customStyle="1" w:styleId="Char2f5">
    <w:name w:val="一级项 Char2"/>
    <w:rPr>
      <w:rFonts w:ascii="宋体" w:eastAsia="宋体" w:hAnsi="宋体" w:hint="eastAsia"/>
      <w:b/>
      <w:bCs/>
      <w:kern w:val="2"/>
      <w:sz w:val="28"/>
      <w:szCs w:val="28"/>
      <w:lang w:val="en-US" w:eastAsia="zh-CN" w:bidi="ar-SA"/>
    </w:rPr>
  </w:style>
  <w:style w:type="character" w:customStyle="1" w:styleId="Char261">
    <w:name w:val="表中文字 Char26"/>
    <w:rPr>
      <w:rFonts w:ascii="宋体" w:eastAsia="宋体" w:hAnsi="宋体" w:hint="eastAsia"/>
      <w:kern w:val="2"/>
      <w:sz w:val="21"/>
      <w:szCs w:val="21"/>
      <w:lang w:val="en-US" w:eastAsia="zh-CN" w:bidi="ar-SA"/>
    </w:rPr>
  </w:style>
  <w:style w:type="character" w:customStyle="1" w:styleId="Char134">
    <w:name w:val="正文修改 Char134"/>
    <w:rPr>
      <w:rFonts w:ascii="宋体" w:eastAsia="宋体" w:hAnsi="宋体" w:cs="宋体" w:hint="eastAsia"/>
      <w:color w:val="000000"/>
      <w:kern w:val="2"/>
      <w:sz w:val="24"/>
      <w:szCs w:val="24"/>
      <w:lang w:val="en-US" w:eastAsia="zh-CN" w:bidi="ar-SA"/>
    </w:rPr>
  </w:style>
  <w:style w:type="character" w:customStyle="1" w:styleId="Char3f">
    <w:name w:val="表格内容 Char3"/>
    <w:rPr>
      <w:rFonts w:ascii="Times New Roman" w:eastAsia="宋体" w:hAnsi="Times New Roman" w:cs="Times New Roman" w:hint="default"/>
      <w:kern w:val="2"/>
      <w:sz w:val="24"/>
      <w:szCs w:val="21"/>
      <w:lang w:val="en-US" w:eastAsia="zh-CN" w:bidi="ar-SA"/>
    </w:rPr>
  </w:style>
  <w:style w:type="character" w:customStyle="1" w:styleId="CharCharffffb">
    <w:name w:val="正文格式 Char Char"/>
    <w:rPr>
      <w:rFonts w:ascii="宋体" w:eastAsia="宋体" w:hAnsi="宋体" w:hint="eastAsia"/>
      <w:sz w:val="24"/>
      <w:szCs w:val="24"/>
    </w:rPr>
  </w:style>
  <w:style w:type="character" w:customStyle="1" w:styleId="Char1ff8">
    <w:name w:val="样式 正文缩进 + 宋体 黑色 Char1"/>
    <w:rPr>
      <w:rFonts w:ascii="宋体" w:eastAsia="宋体" w:hAnsi="宋体" w:hint="eastAsia"/>
      <w:color w:val="000000"/>
      <w:kern w:val="2"/>
      <w:sz w:val="24"/>
      <w:szCs w:val="24"/>
      <w:lang w:val="en-US" w:eastAsia="zh-CN" w:bidi="ar-SA"/>
    </w:rPr>
  </w:style>
  <w:style w:type="character" w:customStyle="1" w:styleId="Char271">
    <w:name w:val="表中文字 Char27"/>
    <w:rPr>
      <w:rFonts w:ascii="宋体" w:eastAsia="宋体" w:hAnsi="Times New Roman" w:cs="Times New Roman" w:hint="eastAsia"/>
      <w:kern w:val="0"/>
      <w:sz w:val="24"/>
      <w:szCs w:val="21"/>
      <w:lang w:val="en-US" w:eastAsia="zh-CN" w:bidi="ar-SA"/>
    </w:rPr>
  </w:style>
  <w:style w:type="character" w:customStyle="1" w:styleId="CharChar2115">
    <w:name w:val="Char Char2115"/>
    <w:rPr>
      <w:rFonts w:ascii="黑体" w:eastAsia="宋体" w:hAnsi="黑体" w:hint="eastAsia"/>
      <w:kern w:val="2"/>
      <w:sz w:val="16"/>
      <w:szCs w:val="16"/>
      <w:lang w:val="en-US" w:eastAsia="zh-CN" w:bidi="ar-SA"/>
    </w:rPr>
  </w:style>
  <w:style w:type="character" w:customStyle="1" w:styleId="nors1">
    <w:name w:val="nors1"/>
    <w:rPr>
      <w:rFonts w:ascii="宋体" w:eastAsia="宋体" w:hAnsi="宋体" w:hint="eastAsia"/>
      <w:sz w:val="21"/>
    </w:rPr>
  </w:style>
  <w:style w:type="character" w:customStyle="1" w:styleId="up1">
    <w:name w:val="up1"/>
    <w:rPr>
      <w:sz w:val="14"/>
      <w:szCs w:val="14"/>
    </w:rPr>
  </w:style>
  <w:style w:type="character" w:customStyle="1" w:styleId="Char212">
    <w:name w:val="题注 Char21"/>
    <w:rPr>
      <w:rFonts w:ascii="黑体" w:eastAsia="黑体" w:hAnsi="Arial" w:cs="Arial" w:hint="eastAsia"/>
      <w:b/>
      <w:kern w:val="2"/>
      <w:sz w:val="24"/>
      <w:szCs w:val="24"/>
      <w:lang w:val="en-US" w:eastAsia="zh-CN" w:bidi="ar-SA"/>
    </w:rPr>
  </w:style>
  <w:style w:type="character" w:customStyle="1" w:styleId="2CharChar14">
    <w:name w:val="标准文本 首行缩进: 2 字符 行距: 单倍 Char Char1"/>
    <w:rPr>
      <w:rFonts w:ascii="宋体" w:eastAsia="宋体" w:hAnsi="宋体" w:hint="eastAsia"/>
      <w:kern w:val="2"/>
      <w:sz w:val="24"/>
      <w:szCs w:val="24"/>
      <w:lang w:val="en-US" w:eastAsia="zh-CN" w:bidi="ar-SA"/>
    </w:rPr>
  </w:style>
  <w:style w:type="character" w:customStyle="1" w:styleId="30860CharCharChar1">
    <w:name w:val="样式 标题 3 + 黑体 小四 左侧:  0.86 厘米 首行缩进:  0 厘米 Char Char Char1"/>
    <w:rPr>
      <w:rFonts w:ascii="黑体" w:eastAsia="黑体" w:hAnsi="黑体" w:hint="eastAsia"/>
      <w:b/>
      <w:bCs/>
      <w:color w:val="000000"/>
      <w:kern w:val="2"/>
      <w:sz w:val="24"/>
      <w:szCs w:val="24"/>
      <w:lang w:val="en-GB" w:eastAsia="zh-CN" w:bidi="ar-SA"/>
    </w:rPr>
  </w:style>
  <w:style w:type="character" w:customStyle="1" w:styleId="4ff5">
    <w:name w:val="明显参考4"/>
    <w:basedOn w:val="a1"/>
    <w:qFormat/>
    <w:rPr>
      <w:b/>
      <w:bCs/>
      <w:smallCaps/>
      <w:color w:val="C0504D"/>
      <w:spacing w:val="5"/>
      <w:u w:val="single"/>
    </w:rPr>
  </w:style>
  <w:style w:type="character" w:customStyle="1" w:styleId="Char118">
    <w:name w:val="题注 Char11"/>
    <w:rPr>
      <w:rFonts w:ascii="黑体" w:eastAsia="黑体" w:hAnsi="Arial" w:cs="Arial" w:hint="eastAsia"/>
      <w:b/>
      <w:kern w:val="2"/>
      <w:sz w:val="24"/>
      <w:szCs w:val="24"/>
      <w:lang w:val="en-US" w:eastAsia="zh-CN" w:bidi="ar-SA"/>
    </w:rPr>
  </w:style>
  <w:style w:type="character" w:customStyle="1" w:styleId="CharCharCharCharCharCharCharChar11">
    <w:name w:val="Char Char Char Char Char Char Char Char11"/>
    <w:rPr>
      <w:rFonts w:ascii="仿宋_GB2312" w:eastAsia="仿宋_GB2312" w:hint="eastAsia"/>
      <w:sz w:val="28"/>
      <w:lang w:val="en-US" w:eastAsia="zh-CN" w:bidi="ar-SA"/>
    </w:rPr>
  </w:style>
  <w:style w:type="character" w:customStyle="1" w:styleId="Char2f6">
    <w:name w:val="标题正文黑 Char2"/>
    <w:rPr>
      <w:rFonts w:ascii="黑体" w:eastAsia="黑体" w:hAnsi="黑体" w:hint="eastAsia"/>
      <w:kern w:val="2"/>
      <w:sz w:val="28"/>
      <w:szCs w:val="28"/>
      <w:lang w:val="en-US" w:eastAsia="zh-CN" w:bidi="ar-SA"/>
    </w:rPr>
  </w:style>
  <w:style w:type="character" w:customStyle="1" w:styleId="TimesNewRomanCharChar1">
    <w:name w:val="样式 报告 + Times New Roman Char Char1"/>
    <w:rPr>
      <w:rFonts w:ascii="宋体" w:eastAsia="宋体" w:hAnsi="宋体" w:hint="eastAsia"/>
      <w:kern w:val="2"/>
      <w:sz w:val="28"/>
      <w:szCs w:val="28"/>
      <w:lang w:val="en-US" w:eastAsia="zh-CN" w:bidi="ar-SA"/>
    </w:rPr>
  </w:style>
  <w:style w:type="character" w:customStyle="1" w:styleId="copy2">
    <w:name w:val="copy2"/>
    <w:rPr>
      <w:rFonts w:ascii="宋体" w:eastAsia="宋体" w:hAnsi="宋体" w:hint="eastAsia"/>
      <w:spacing w:val="24"/>
      <w:sz w:val="15"/>
      <w:szCs w:val="15"/>
    </w:rPr>
  </w:style>
  <w:style w:type="character" w:customStyle="1" w:styleId="google-src-text1">
    <w:name w:val="google-src-text1"/>
    <w:rPr>
      <w:vanish/>
    </w:rPr>
  </w:style>
  <w:style w:type="character" w:customStyle="1" w:styleId="2Charf">
    <w:name w:val="标题 2 黑体 小四 Char"/>
    <w:rPr>
      <w:rFonts w:ascii="宋体" w:eastAsia="黑体" w:hAnsi="宋体" w:hint="eastAsia"/>
      <w:i/>
      <w:iCs/>
      <w:kern w:val="2"/>
      <w:sz w:val="24"/>
      <w:szCs w:val="24"/>
      <w:lang w:val="en-US" w:eastAsia="zh-CN" w:bidi="ar-SA"/>
    </w:rPr>
  </w:style>
  <w:style w:type="character" w:customStyle="1" w:styleId="2Char50">
    <w:name w:val="标题 2 Char5"/>
    <w:rPr>
      <w:rFonts w:ascii="黑体" w:eastAsia="黑体" w:hAnsi="Arial" w:hint="eastAsia"/>
      <w:bCs/>
      <w:kern w:val="2"/>
      <w:sz w:val="30"/>
      <w:szCs w:val="30"/>
      <w:lang w:val="en-US" w:eastAsia="zh-CN" w:bidi="ar-SA"/>
    </w:rPr>
  </w:style>
  <w:style w:type="character" w:customStyle="1" w:styleId="CharChar128">
    <w:name w:val="Char Char128"/>
    <w:rPr>
      <w:rFonts w:ascii="黑体" w:eastAsia="黑体" w:hAnsi="Arial" w:hint="eastAsia"/>
      <w:b/>
      <w:bCs/>
      <w:kern w:val="2"/>
      <w:sz w:val="30"/>
      <w:szCs w:val="30"/>
      <w:lang w:val="en-US" w:eastAsia="zh-CN" w:bidi="ar-SA"/>
    </w:rPr>
  </w:style>
  <w:style w:type="character" w:customStyle="1" w:styleId="AChar11">
    <w:name w:val="A正文 Char11"/>
    <w:rPr>
      <w:rFonts w:ascii="仿宋_GB2312" w:eastAsia="仿宋_GB2312" w:hint="eastAsia"/>
      <w:kern w:val="2"/>
      <w:sz w:val="24"/>
      <w:szCs w:val="24"/>
      <w:lang w:val="en-US" w:eastAsia="zh-CN" w:bidi="ar-SA"/>
    </w:rPr>
  </w:style>
  <w:style w:type="character" w:customStyle="1" w:styleId="Char1ff9">
    <w:name w:val="正文文字缩进 Char1"/>
    <w:rPr>
      <w:rFonts w:ascii="宋体" w:eastAsia="宋体" w:hAnsi="宋体" w:hint="eastAsia"/>
      <w:kern w:val="2"/>
      <w:sz w:val="24"/>
      <w:szCs w:val="24"/>
    </w:rPr>
  </w:style>
  <w:style w:type="character" w:customStyle="1" w:styleId="Char1ffa">
    <w:name w:val="正文斜体 Char1"/>
    <w:rPr>
      <w:rFonts w:ascii="宋体" w:eastAsia="宋体" w:hAnsi="宋体" w:cs="宋体" w:hint="eastAsia"/>
      <w:i/>
      <w:iCs/>
      <w:kern w:val="2"/>
      <w:sz w:val="24"/>
      <w:szCs w:val="24"/>
      <w:lang w:val="en-US" w:eastAsia="zh-CN" w:bidi="ar-SA"/>
    </w:rPr>
  </w:style>
  <w:style w:type="character" w:customStyle="1" w:styleId="2Georgia5">
    <w:name w:val="正文文本 (2) + Georgia5"/>
    <w:uiPriority w:val="99"/>
    <w:rPr>
      <w:rFonts w:ascii="Georgia" w:eastAsia="MingLiU" w:hAnsi="Georgia" w:cs="Georgia" w:hint="default"/>
      <w:sz w:val="23"/>
      <w:szCs w:val="23"/>
      <w:u w:val="none"/>
      <w:shd w:val="clear" w:color="auto" w:fill="FFFFFF"/>
      <w:lang w:val="en-US" w:eastAsia="en-US"/>
    </w:rPr>
  </w:style>
  <w:style w:type="character" w:customStyle="1" w:styleId="CharChar2121">
    <w:name w:val="Char Char2121"/>
    <w:rPr>
      <w:rFonts w:ascii="宋体" w:eastAsia="宋体" w:hAnsi="宋体" w:hint="eastAsia"/>
      <w:kern w:val="2"/>
      <w:sz w:val="24"/>
      <w:lang w:val="en-US" w:eastAsia="zh-CN" w:bidi="ar-SA"/>
    </w:rPr>
  </w:style>
  <w:style w:type="character" w:customStyle="1" w:styleId="300CharCharChar1">
    <w:name w:val="样式 标题 3 + 左侧:  0 厘米 首行缩进:  0 厘米 Char Char Char1"/>
    <w:qFormat/>
    <w:rPr>
      <w:rFonts w:ascii="宋体" w:eastAsia="宋体" w:hAnsi="宋体" w:hint="eastAsia"/>
      <w:b/>
      <w:bCs/>
      <w:kern w:val="32"/>
      <w:sz w:val="32"/>
      <w:szCs w:val="32"/>
      <w:lang w:val="en-US" w:eastAsia="zh-CN" w:bidi="ar-SA"/>
    </w:rPr>
  </w:style>
  <w:style w:type="character" w:customStyle="1" w:styleId="Char415">
    <w:name w:val="表题 Char41"/>
    <w:rPr>
      <w:rFonts w:ascii="黑体" w:eastAsia="黑体" w:hAnsi="Arial" w:cs="Arial" w:hint="eastAsia"/>
      <w:b/>
      <w:kern w:val="2"/>
      <w:sz w:val="24"/>
      <w:szCs w:val="24"/>
      <w:lang w:val="en-US" w:eastAsia="zh-CN" w:bidi="ar-SA"/>
    </w:rPr>
  </w:style>
  <w:style w:type="character" w:customStyle="1" w:styleId="CharChar512">
    <w:name w:val="Char Char512"/>
    <w:rPr>
      <w:rFonts w:ascii="黑体" w:eastAsia="黑体" w:hAnsi="宋体" w:hint="eastAsia"/>
      <w:bCs/>
      <w:kern w:val="2"/>
      <w:sz w:val="28"/>
      <w:szCs w:val="28"/>
      <w:lang w:val="en-US" w:eastAsia="zh-CN" w:bidi="ar-SA"/>
    </w:rPr>
  </w:style>
  <w:style w:type="character" w:customStyle="1" w:styleId="1CharCharCh">
    <w:name w:val="正文缩进1 Char Char Ch"/>
    <w:rPr>
      <w:rFonts w:ascii="宋体" w:eastAsia="宋体" w:hAnsi="宋体" w:hint="eastAsia"/>
      <w:sz w:val="24"/>
      <w:lang w:val="en-US" w:eastAsia="zh-CN" w:bidi="ar-SA"/>
    </w:rPr>
  </w:style>
  <w:style w:type="character" w:customStyle="1" w:styleId="CharChar242">
    <w:name w:val="Char Char242"/>
    <w:rPr>
      <w:rFonts w:ascii="仿宋_GB2312" w:eastAsia="仿宋_GB2312" w:hint="eastAsia"/>
      <w:sz w:val="28"/>
      <w:lang w:val="en-US" w:eastAsia="zh-CN" w:bidi="ar-SA"/>
    </w:rPr>
  </w:style>
  <w:style w:type="character" w:customStyle="1" w:styleId="Char119">
    <w:name w:val="图题 Char11"/>
    <w:rPr>
      <w:rFonts w:ascii="黑体" w:eastAsia="黑体" w:hAnsi="宋体" w:cs="宋体" w:hint="eastAsia"/>
      <w:b/>
      <w:bCs/>
      <w:kern w:val="2"/>
      <w:sz w:val="24"/>
      <w:szCs w:val="24"/>
      <w:lang w:val="en-US" w:eastAsia="zh-CN" w:bidi="ar-SA"/>
    </w:rPr>
  </w:style>
  <w:style w:type="character" w:customStyle="1" w:styleId="Char312">
    <w:name w:val="题注 Char31"/>
    <w:rPr>
      <w:rFonts w:ascii="黑体" w:eastAsia="黑体" w:hAnsi="Arial" w:cs="Arial" w:hint="eastAsia"/>
      <w:b/>
      <w:kern w:val="2"/>
      <w:sz w:val="24"/>
      <w:szCs w:val="24"/>
      <w:lang w:val="en-US" w:eastAsia="zh-CN" w:bidi="ar-SA"/>
    </w:rPr>
  </w:style>
  <w:style w:type="character" w:customStyle="1" w:styleId="p101">
    <w:name w:val="p101"/>
    <w:rPr>
      <w:rFonts w:ascii="Verdana" w:hAnsi="Verdana" w:hint="default"/>
      <w:sz w:val="21"/>
      <w:szCs w:val="21"/>
      <w:u w:val="none"/>
    </w:rPr>
  </w:style>
  <w:style w:type="character" w:customStyle="1" w:styleId="CharCharffffc">
    <w:name w:val="表格小四 Char Char"/>
    <w:rPr>
      <w:rFonts w:ascii="宋体" w:eastAsia="宋体" w:hAnsi="宋体" w:hint="eastAsia"/>
      <w:sz w:val="24"/>
      <w:szCs w:val="24"/>
    </w:rPr>
  </w:style>
  <w:style w:type="character" w:customStyle="1" w:styleId="5CharChar2">
    <w:name w:val="样式 表内小5 + 黑体 加粗 倾斜 下划线 Char Char"/>
    <w:rPr>
      <w:rFonts w:ascii="黑体" w:eastAsia="黑体" w:hAnsi="黑体" w:hint="eastAsia"/>
      <w:b/>
      <w:bCs/>
      <w:i/>
      <w:iCs/>
      <w:sz w:val="18"/>
      <w:szCs w:val="24"/>
      <w:u w:val="single"/>
    </w:rPr>
  </w:style>
  <w:style w:type="character" w:customStyle="1" w:styleId="Char2CharChar1">
    <w:name w:val="Char2 Char Char1"/>
    <w:rPr>
      <w:rFonts w:ascii="宋体" w:eastAsia="宋体" w:hAnsi="宋体" w:hint="eastAsia"/>
      <w:kern w:val="2"/>
      <w:sz w:val="18"/>
      <w:szCs w:val="18"/>
      <w:lang w:val="en-US" w:eastAsia="zh-CN" w:bidi="ar-SA"/>
    </w:rPr>
  </w:style>
  <w:style w:type="character" w:customStyle="1" w:styleId="fontstyle31">
    <w:name w:val="fontstyle31"/>
    <w:rPr>
      <w:rFonts w:ascii="TimesNewRomanPSMT" w:hAnsi="TimesNewRomanPSMT" w:hint="default"/>
      <w:color w:val="000000"/>
      <w:sz w:val="24"/>
      <w:szCs w:val="24"/>
    </w:rPr>
  </w:style>
  <w:style w:type="character" w:customStyle="1" w:styleId="3CharChar5">
    <w:name w:val="标题 3 Char Char"/>
  </w:style>
  <w:style w:type="character" w:customStyle="1" w:styleId="CharChar417">
    <w:name w:val="Char Char417"/>
    <w:rPr>
      <w:rFonts w:ascii="黑体" w:eastAsia="黑体" w:hAnsi="Arial" w:hint="eastAsia"/>
      <w:b/>
      <w:bCs/>
      <w:kern w:val="2"/>
      <w:sz w:val="30"/>
      <w:szCs w:val="30"/>
      <w:lang w:val="en-US" w:eastAsia="zh-CN" w:bidi="ar-SA"/>
    </w:rPr>
  </w:style>
  <w:style w:type="character" w:customStyle="1" w:styleId="Char47">
    <w:name w:val="表题 Char4"/>
    <w:rPr>
      <w:rFonts w:ascii="黑体" w:eastAsia="黑体" w:hAnsi="Arial" w:cs="Arial" w:hint="eastAsia"/>
      <w:b/>
      <w:kern w:val="2"/>
      <w:sz w:val="24"/>
      <w:szCs w:val="24"/>
      <w:lang w:val="en-US" w:eastAsia="zh-CN" w:bidi="ar-SA"/>
    </w:rPr>
  </w:style>
  <w:style w:type="character" w:customStyle="1" w:styleId="1CharCharCharChar0">
    <w:name w:val="正文缩进1 Char Char Char Char"/>
    <w:rPr>
      <w:rFonts w:ascii="宋体" w:eastAsia="宋体" w:hAnsi="宋体" w:hint="eastAsia"/>
      <w:sz w:val="24"/>
      <w:lang w:val="en-US" w:eastAsia="zh-CN" w:bidi="ar-SA"/>
    </w:rPr>
  </w:style>
  <w:style w:type="character" w:customStyle="1" w:styleId="4ff6">
    <w:name w:val="明显参考4"/>
    <w:uiPriority w:val="32"/>
    <w:qFormat/>
    <w:rPr>
      <w:rFonts w:ascii="宋体" w:eastAsia="宋体" w:hAnsi="宋体"/>
      <w:b/>
      <w:bCs/>
      <w:smallCaps/>
      <w:color w:val="C0504D"/>
      <w:spacing w:val="5"/>
    </w:rPr>
  </w:style>
  <w:style w:type="character" w:customStyle="1" w:styleId="TableTitleChar6">
    <w:name w:val="Table Title Char6"/>
    <w:rPr>
      <w:rFonts w:ascii="宋体" w:eastAsia="宋体" w:hAnsi="宋体" w:hint="eastAsia"/>
      <w:kern w:val="2"/>
      <w:sz w:val="24"/>
      <w:szCs w:val="24"/>
      <w:lang w:val="en-US" w:eastAsia="zh-CN" w:bidi="ar-SA"/>
    </w:rPr>
  </w:style>
  <w:style w:type="character" w:customStyle="1" w:styleId="CharChar516">
    <w:name w:val="Char Char516"/>
    <w:rPr>
      <w:rFonts w:ascii="黑体" w:eastAsia="黑体" w:hAnsi="宋体" w:hint="eastAsia"/>
      <w:bCs/>
      <w:kern w:val="2"/>
      <w:sz w:val="28"/>
      <w:szCs w:val="28"/>
      <w:lang w:val="en-US" w:eastAsia="zh-CN" w:bidi="ar-SA"/>
    </w:rPr>
  </w:style>
  <w:style w:type="character" w:customStyle="1" w:styleId="afffffffffffffffffffffffffffa">
    <w:name w:val="样式 倾斜"/>
    <w:rPr>
      <w:iCs/>
      <w:sz w:val="28"/>
      <w:szCs w:val="28"/>
    </w:rPr>
  </w:style>
  <w:style w:type="character" w:customStyle="1" w:styleId="CharCharffffd">
    <w:name w:val="标准 Char Char"/>
    <w:rPr>
      <w:rFonts w:ascii="宋体" w:eastAsia="宋体" w:hAnsi="宋体" w:hint="eastAsia"/>
      <w:sz w:val="28"/>
      <w:lang w:val="en-US" w:eastAsia="zh-CN" w:bidi="ar-SA"/>
    </w:rPr>
  </w:style>
  <w:style w:type="character" w:customStyle="1" w:styleId="chenCharChar0">
    <w:name w:val="谏壁chen表格内文字 Char Char"/>
    <w:rPr>
      <w:kern w:val="2"/>
      <w:sz w:val="21"/>
      <w:szCs w:val="21"/>
    </w:rPr>
  </w:style>
  <w:style w:type="character" w:customStyle="1" w:styleId="11fd">
    <w:name w:val="占位符文本11"/>
    <w:rPr>
      <w:color w:val="808080"/>
    </w:rPr>
  </w:style>
  <w:style w:type="character" w:customStyle="1" w:styleId="CharChar1221">
    <w:name w:val="Char Char1221"/>
    <w:locked/>
    <w:rPr>
      <w:rFonts w:ascii="宋体" w:eastAsia="宋体" w:hAnsi="宋体" w:hint="eastAsia"/>
      <w:sz w:val="24"/>
      <w:lang w:val="en-US" w:eastAsia="zh-CN" w:bidi="ar-SA"/>
    </w:rPr>
  </w:style>
  <w:style w:type="character" w:customStyle="1" w:styleId="3H3h33rdlevel43Char3CharChCharCharChar2">
    <w:name w:val="样式 标题 3小标题小节标题H3h33rd level第二层条标题4标题 3 Char标题 3 Char Ch... Char Char Char2"/>
    <w:rPr>
      <w:rFonts w:ascii="Arial" w:eastAsia="宋体" w:hAnsi="Arial" w:cs="Arial" w:hint="default"/>
      <w:b/>
      <w:bCs/>
      <w:kern w:val="32"/>
      <w:sz w:val="32"/>
      <w:szCs w:val="32"/>
      <w:lang w:val="en-US" w:eastAsia="zh-CN" w:bidi="ar-SA"/>
    </w:rPr>
  </w:style>
  <w:style w:type="character" w:customStyle="1" w:styleId="CharChar419">
    <w:name w:val="Char Char419"/>
    <w:rPr>
      <w:rFonts w:ascii="黑体" w:eastAsia="黑体" w:hAnsi="Arial" w:hint="eastAsia"/>
      <w:b/>
      <w:bCs/>
      <w:kern w:val="2"/>
      <w:sz w:val="30"/>
      <w:szCs w:val="30"/>
      <w:lang w:val="en-US" w:eastAsia="zh-CN" w:bidi="ar-SA"/>
    </w:rPr>
  </w:style>
  <w:style w:type="character" w:customStyle="1" w:styleId="Char1210">
    <w:name w:val="正文修改 Char121"/>
    <w:rPr>
      <w:rFonts w:ascii="宋体" w:eastAsia="宋体" w:hAnsi="宋体" w:cs="宋体" w:hint="eastAsia"/>
      <w:color w:val="000000"/>
      <w:kern w:val="2"/>
      <w:sz w:val="24"/>
      <w:szCs w:val="24"/>
      <w:lang w:val="en-US" w:eastAsia="zh-CN" w:bidi="ar-SA"/>
    </w:rPr>
  </w:style>
  <w:style w:type="character" w:customStyle="1" w:styleId="Char2f7">
    <w:name w:val="图题 Char2"/>
    <w:rPr>
      <w:rFonts w:ascii="黑体" w:eastAsia="黑体" w:hAnsi="宋体" w:cs="宋体" w:hint="eastAsia"/>
      <w:b/>
      <w:bCs/>
      <w:kern w:val="2"/>
      <w:sz w:val="24"/>
      <w:szCs w:val="24"/>
      <w:lang w:val="en-US" w:eastAsia="zh-CN" w:bidi="ar-SA"/>
    </w:rPr>
  </w:style>
  <w:style w:type="character" w:customStyle="1" w:styleId="2Georgia1">
    <w:name w:val="正文文本 (2) + Georgia1"/>
    <w:uiPriority w:val="99"/>
    <w:rPr>
      <w:rFonts w:ascii="Georgia" w:eastAsia="MingLiU" w:hAnsi="Georgia" w:cs="Georgia" w:hint="default"/>
      <w:shd w:val="clear" w:color="auto" w:fill="FFFFFF"/>
      <w:lang w:val="en-US" w:eastAsia="en-US"/>
    </w:rPr>
  </w:style>
  <w:style w:type="character" w:customStyle="1" w:styleId="CharCharffffe">
    <w:name w:val="样式 正文 Char Char"/>
    <w:rPr>
      <w:rFonts w:ascii="宋体" w:eastAsia="宋体" w:hAnsi="宋体" w:cs="宋体" w:hint="eastAsia"/>
      <w:color w:val="000000"/>
      <w:kern w:val="2"/>
      <w:sz w:val="28"/>
      <w:szCs w:val="28"/>
      <w:lang w:val="en-US" w:eastAsia="zh-CN" w:bidi="ar-SA"/>
    </w:rPr>
  </w:style>
  <w:style w:type="character" w:customStyle="1" w:styleId="Char55">
    <w:name w:val="章节 Char5"/>
    <w:rPr>
      <w:rFonts w:ascii="楷体_GB2312" w:eastAsia="楷体_GB2312" w:hint="eastAsia"/>
      <w:b/>
      <w:kern w:val="44"/>
      <w:sz w:val="30"/>
      <w:szCs w:val="24"/>
      <w:lang w:val="en-US" w:eastAsia="zh-CN" w:bidi="ar-SA"/>
    </w:rPr>
  </w:style>
  <w:style w:type="character" w:customStyle="1" w:styleId="5f8">
    <w:name w:val="书籍标题5"/>
    <w:qFormat/>
    <w:rPr>
      <w:b/>
      <w:bCs/>
      <w:smallCaps/>
      <w:spacing w:val="5"/>
    </w:rPr>
  </w:style>
  <w:style w:type="character" w:customStyle="1" w:styleId="2fffffff5">
    <w:name w:val="页码2"/>
  </w:style>
  <w:style w:type="character" w:customStyle="1" w:styleId="4ff7">
    <w:name w:val="正文文本 (4)_"/>
    <w:link w:val="4ff8"/>
    <w:uiPriority w:val="99"/>
    <w:locked/>
    <w:rPr>
      <w:rFonts w:ascii="宋体" w:hAnsi="宋体" w:cs="宋体"/>
      <w:sz w:val="18"/>
      <w:szCs w:val="18"/>
      <w:shd w:val="clear" w:color="auto" w:fill="FFFFFF"/>
    </w:rPr>
  </w:style>
  <w:style w:type="paragraph" w:customStyle="1" w:styleId="4ff8">
    <w:name w:val="正文文本 (4)"/>
    <w:basedOn w:val="a"/>
    <w:link w:val="4ff7"/>
    <w:uiPriority w:val="99"/>
    <w:qFormat/>
    <w:pPr>
      <w:shd w:val="clear" w:color="auto" w:fill="FFFFFF"/>
      <w:spacing w:line="240" w:lineRule="atLeast"/>
      <w:jc w:val="left"/>
    </w:pPr>
    <w:rPr>
      <w:rFonts w:ascii="宋体" w:hAnsi="宋体" w:cs="宋体"/>
      <w:sz w:val="18"/>
      <w:szCs w:val="18"/>
    </w:rPr>
  </w:style>
  <w:style w:type="character" w:customStyle="1" w:styleId="Char1ffb">
    <w:name w:val="表格内容 Char1"/>
    <w:rPr>
      <w:rFonts w:ascii="宋体" w:eastAsia="宋体" w:hAnsi="宋体" w:hint="eastAsia"/>
      <w:kern w:val="2"/>
      <w:sz w:val="21"/>
      <w:szCs w:val="21"/>
      <w:lang w:val="en-US" w:eastAsia="zh-CN" w:bidi="ar-SA"/>
    </w:rPr>
  </w:style>
  <w:style w:type="character" w:customStyle="1" w:styleId="1Char40">
    <w:name w:val="表题1 Char4"/>
    <w:rPr>
      <w:rFonts w:ascii="黑体" w:eastAsia="黑体" w:hAnsi="Arial" w:cs="Arial" w:hint="eastAsia"/>
      <w:b/>
      <w:kern w:val="2"/>
      <w:sz w:val="24"/>
      <w:szCs w:val="24"/>
      <w:lang w:val="en-US" w:eastAsia="zh-CN" w:bidi="ar-SA"/>
    </w:rPr>
  </w:style>
  <w:style w:type="character" w:customStyle="1" w:styleId="style181">
    <w:name w:val="style181"/>
    <w:rPr>
      <w:color w:val="000000"/>
    </w:rPr>
  </w:style>
  <w:style w:type="character" w:customStyle="1" w:styleId="1CharChar8">
    <w:name w:val="表格1 Char Char"/>
    <w:rPr>
      <w:rFonts w:ascii="宋体" w:eastAsia="宋体" w:hAnsi="Times New Roman" w:cs="Times New Roman" w:hint="eastAsia"/>
      <w:sz w:val="24"/>
      <w:szCs w:val="20"/>
    </w:rPr>
  </w:style>
  <w:style w:type="character" w:customStyle="1" w:styleId="Char122">
    <w:name w:val="正文斜体 Char12"/>
    <w:rPr>
      <w:rFonts w:ascii="宋体" w:eastAsia="宋体" w:hAnsi="宋体" w:cs="Times New Roman" w:hint="eastAsia"/>
      <w:i/>
      <w:iCs/>
      <w:kern w:val="2"/>
      <w:sz w:val="24"/>
      <w:szCs w:val="24"/>
      <w:lang w:val="en-US" w:eastAsia="zh-CN" w:bidi="ar-SA"/>
    </w:rPr>
  </w:style>
  <w:style w:type="character" w:customStyle="1" w:styleId="11p1">
    <w:name w:val="11p1"/>
    <w:rPr>
      <w:sz w:val="21"/>
      <w:szCs w:val="21"/>
    </w:rPr>
  </w:style>
  <w:style w:type="character" w:customStyle="1" w:styleId="6a">
    <w:name w:val="不明显强调6"/>
    <w:qFormat/>
    <w:rPr>
      <w:rFonts w:eastAsia="宋体"/>
      <w:i/>
      <w:iCs/>
      <w:color w:val="808080"/>
      <w:kern w:val="2"/>
      <w:sz w:val="21"/>
      <w:szCs w:val="21"/>
      <w:lang w:val="en-US" w:eastAsia="zh-CN" w:bidi="ar-SA"/>
    </w:rPr>
  </w:style>
  <w:style w:type="character" w:customStyle="1" w:styleId="3CharChar6">
    <w:name w:val="题3 Char Char"/>
    <w:link w:val="3ffff0"/>
    <w:locked/>
    <w:rPr>
      <w:rFonts w:ascii="Arial" w:hAnsi="Arial" w:cs="Arial"/>
      <w:b/>
      <w:bCs/>
      <w:sz w:val="28"/>
      <w:szCs w:val="28"/>
    </w:rPr>
  </w:style>
  <w:style w:type="paragraph" w:customStyle="1" w:styleId="3ffff0">
    <w:name w:val="题3"/>
    <w:basedOn w:val="afff0"/>
    <w:link w:val="3CharChar6"/>
    <w:qFormat/>
    <w:pPr>
      <w:adjustRightInd w:val="0"/>
      <w:snapToGrid w:val="0"/>
      <w:spacing w:before="120" w:after="120" w:line="360" w:lineRule="auto"/>
      <w:jc w:val="left"/>
      <w:outlineLvl w:val="2"/>
    </w:pPr>
    <w:rPr>
      <w:rFonts w:eastAsiaTheme="minorEastAsia"/>
      <w:sz w:val="28"/>
      <w:szCs w:val="28"/>
    </w:rPr>
  </w:style>
  <w:style w:type="character" w:customStyle="1" w:styleId="CharCharfffff">
    <w:name w:val="环表头 Char Char"/>
    <w:rPr>
      <w:rFonts w:ascii="宋体" w:eastAsia="宋体" w:hAnsi="宋体" w:hint="eastAsia"/>
      <w:bCs/>
      <w:kern w:val="24"/>
      <w:sz w:val="28"/>
      <w:szCs w:val="28"/>
    </w:rPr>
  </w:style>
  <w:style w:type="character" w:customStyle="1" w:styleId="edri-AtitleChar1CharChar">
    <w:name w:val="edri-A title Char1 Char Char"/>
    <w:rPr>
      <w:rFonts w:ascii="宋体" w:eastAsia="宋体" w:hAnsi="宋体" w:cs="CommercialPi BT" w:hint="eastAsia"/>
      <w:bCs/>
      <w:sz w:val="24"/>
      <w:szCs w:val="24"/>
      <w:lang w:val="en-US" w:eastAsia="zh-CN" w:bidi="ar-SA"/>
    </w:rPr>
  </w:style>
  <w:style w:type="character" w:customStyle="1" w:styleId="CharChar624">
    <w:name w:val="Char Char624"/>
    <w:rPr>
      <w:rFonts w:ascii="黑体" w:eastAsia="黑体" w:hAnsi="黑体" w:hint="eastAsia"/>
      <w:b/>
      <w:bCs/>
      <w:kern w:val="2"/>
      <w:sz w:val="28"/>
      <w:szCs w:val="28"/>
      <w:lang w:val="en-US" w:eastAsia="zh-CN" w:bidi="ar-SA"/>
    </w:rPr>
  </w:style>
  <w:style w:type="character" w:customStyle="1" w:styleId="Char2f8">
    <w:name w:val="君邦正文 Char2"/>
    <w:link w:val="afffffffffffffffffffffffffffb"/>
    <w:locked/>
    <w:rPr>
      <w:bCs/>
      <w:sz w:val="24"/>
    </w:rPr>
  </w:style>
  <w:style w:type="paragraph" w:customStyle="1" w:styleId="afffffffffffffffffffffffffffb">
    <w:name w:val="君邦正文"/>
    <w:link w:val="Char2f8"/>
    <w:qFormat/>
    <w:pPr>
      <w:snapToGrid w:val="0"/>
      <w:spacing w:after="60" w:line="360" w:lineRule="auto"/>
      <w:ind w:firstLineChars="200" w:firstLine="480"/>
      <w:jc w:val="both"/>
    </w:pPr>
    <w:rPr>
      <w:bCs/>
      <w:kern w:val="2"/>
      <w:sz w:val="24"/>
      <w:szCs w:val="22"/>
    </w:rPr>
  </w:style>
  <w:style w:type="character" w:customStyle="1" w:styleId="CharChar422">
    <w:name w:val="Char Char422"/>
    <w:rPr>
      <w:rFonts w:ascii="宋体" w:eastAsia="宋体" w:hAnsi="宋体" w:hint="eastAsia"/>
      <w:kern w:val="2"/>
      <w:sz w:val="21"/>
      <w:szCs w:val="24"/>
      <w:lang w:val="en-US" w:eastAsia="zh-CN" w:bidi="ar-SA"/>
    </w:rPr>
  </w:style>
  <w:style w:type="character" w:customStyle="1" w:styleId="2Char90">
    <w:name w:val="标题2 Char9"/>
    <w:rPr>
      <w:rFonts w:ascii="宋体" w:eastAsia="宋体" w:hAnsi="宋体" w:cs="宋体" w:hint="eastAsia"/>
      <w:color w:val="000000"/>
      <w:kern w:val="2"/>
      <w:sz w:val="24"/>
      <w:szCs w:val="24"/>
      <w:lang w:val="en-US" w:eastAsia="zh-CN" w:bidi="ar-SA"/>
    </w:rPr>
  </w:style>
  <w:style w:type="character" w:customStyle="1" w:styleId="carboy">
    <w:name w:val="carboy"/>
  </w:style>
  <w:style w:type="character" w:customStyle="1" w:styleId="TableTitleChar2">
    <w:name w:val="Table Title Char2"/>
    <w:rPr>
      <w:rFonts w:ascii="宋体" w:eastAsia="宋体" w:hAnsi="宋体" w:hint="eastAsia"/>
      <w:kern w:val="2"/>
      <w:sz w:val="24"/>
      <w:szCs w:val="24"/>
      <w:lang w:val="en-US" w:eastAsia="zh-CN" w:bidi="ar-SA"/>
    </w:rPr>
  </w:style>
  <w:style w:type="character" w:customStyle="1" w:styleId="CharChar171">
    <w:name w:val="Char Char171"/>
    <w:rPr>
      <w:rFonts w:ascii="宋体" w:eastAsia="宋体" w:hAnsi="宋体" w:hint="eastAsia"/>
      <w:kern w:val="2"/>
      <w:sz w:val="24"/>
      <w:lang w:val="en-US" w:eastAsia="zh-CN" w:bidi="ar-SA"/>
    </w:rPr>
  </w:style>
  <w:style w:type="character" w:customStyle="1" w:styleId="bltxt1">
    <w:name w:val="bltxt1"/>
    <w:rPr>
      <w:color w:val="000000"/>
      <w:sz w:val="18"/>
      <w:szCs w:val="18"/>
      <w:u w:val="none"/>
    </w:rPr>
  </w:style>
  <w:style w:type="character" w:customStyle="1" w:styleId="3CharChar7">
    <w:name w:val="正文3 Char Char"/>
    <w:rPr>
      <w:rFonts w:ascii="Arial" w:eastAsia="楷体_GB2312" w:hAnsi="Times New Roman" w:cs="Times New Roman" w:hint="default"/>
      <w:spacing w:val="-6"/>
      <w:kern w:val="0"/>
      <w:sz w:val="28"/>
      <w:szCs w:val="20"/>
    </w:rPr>
  </w:style>
  <w:style w:type="character" w:customStyle="1" w:styleId="Char1ffc">
    <w:name w:val="图题 Char1"/>
    <w:rPr>
      <w:rFonts w:ascii="黑体" w:eastAsia="黑体" w:hAnsi="宋体" w:cs="宋体" w:hint="eastAsia"/>
      <w:b/>
      <w:bCs/>
      <w:kern w:val="2"/>
      <w:sz w:val="24"/>
      <w:szCs w:val="24"/>
      <w:lang w:val="en-US" w:eastAsia="zh-CN" w:bidi="ar-SA"/>
    </w:rPr>
  </w:style>
  <w:style w:type="character" w:customStyle="1" w:styleId="Char72">
    <w:name w:val="题注 Char7"/>
    <w:rPr>
      <w:rFonts w:ascii="黑体" w:eastAsia="黑体" w:hAnsi="Arial" w:cs="Arial" w:hint="eastAsia"/>
      <w:b/>
      <w:kern w:val="2"/>
      <w:sz w:val="24"/>
      <w:szCs w:val="24"/>
      <w:lang w:val="en-US" w:eastAsia="zh-CN" w:bidi="ar-SA"/>
    </w:rPr>
  </w:style>
  <w:style w:type="character" w:customStyle="1" w:styleId="CharChar613">
    <w:name w:val="Char Char613"/>
    <w:rPr>
      <w:rFonts w:ascii="黑体" w:eastAsia="黑体" w:hAnsi="黑体" w:hint="eastAsia"/>
      <w:b/>
      <w:bCs/>
      <w:kern w:val="2"/>
      <w:sz w:val="28"/>
      <w:szCs w:val="28"/>
      <w:lang w:val="en-US" w:eastAsia="zh-CN" w:bidi="ar-SA"/>
    </w:rPr>
  </w:style>
  <w:style w:type="character" w:customStyle="1" w:styleId="CharCharCharCharf">
    <w:name w:val="表头编号 Char Char Char Char"/>
    <w:link w:val="Charffffffff6"/>
    <w:locked/>
    <w:rPr>
      <w:b/>
      <w:color w:val="000000"/>
      <w:spacing w:val="-2"/>
    </w:rPr>
  </w:style>
  <w:style w:type="paragraph" w:customStyle="1" w:styleId="Charffffffff6">
    <w:name w:val="表头编号 Char"/>
    <w:basedOn w:val="a"/>
    <w:link w:val="CharCharCharCharf"/>
    <w:qFormat/>
    <w:pPr>
      <w:snapToGrid w:val="0"/>
      <w:spacing w:line="240" w:lineRule="atLeast"/>
      <w:ind w:left="498" w:hangingChars="200" w:hanging="498"/>
      <w:jc w:val="right"/>
    </w:pPr>
    <w:rPr>
      <w:b/>
      <w:color w:val="000000"/>
      <w:spacing w:val="-2"/>
    </w:rPr>
  </w:style>
  <w:style w:type="character" w:customStyle="1" w:styleId="4-25Char">
    <w:name w:val="4-25正 Char"/>
    <w:link w:val="4-25"/>
    <w:locked/>
    <w:rPr>
      <w:sz w:val="24"/>
    </w:rPr>
  </w:style>
  <w:style w:type="paragraph" w:customStyle="1" w:styleId="4-25">
    <w:name w:val="4-25正"/>
    <w:basedOn w:val="a"/>
    <w:link w:val="4-25Char"/>
    <w:qFormat/>
    <w:pPr>
      <w:widowControl/>
      <w:spacing w:before="40" w:after="40" w:line="360" w:lineRule="auto"/>
      <w:ind w:firstLineChars="200" w:firstLine="480"/>
    </w:pPr>
    <w:rPr>
      <w:sz w:val="24"/>
    </w:rPr>
  </w:style>
  <w:style w:type="character" w:customStyle="1" w:styleId="CharChar68">
    <w:name w:val="Char Char68"/>
    <w:rPr>
      <w:rFonts w:ascii="黑体" w:eastAsia="黑体" w:hAnsi="黑体" w:hint="eastAsia"/>
      <w:b/>
      <w:bCs/>
      <w:kern w:val="2"/>
      <w:sz w:val="28"/>
      <w:szCs w:val="28"/>
      <w:lang w:val="en-US" w:eastAsia="zh-CN" w:bidi="ar-SA"/>
    </w:rPr>
  </w:style>
  <w:style w:type="character" w:customStyle="1" w:styleId="afffffffffffffffffffffffffffc">
    <w:name w:val="重点引导"/>
    <w:rPr>
      <w:b/>
      <w:i/>
    </w:rPr>
  </w:style>
  <w:style w:type="character" w:customStyle="1" w:styleId="CharChar317">
    <w:name w:val="Char Char317"/>
    <w:rPr>
      <w:rFonts w:ascii="黑体" w:eastAsia="黑体" w:hAnsi="宋体" w:hint="eastAsia"/>
      <w:b/>
      <w:bCs/>
      <w:kern w:val="2"/>
      <w:sz w:val="28"/>
      <w:szCs w:val="28"/>
      <w:lang w:val="en-US" w:eastAsia="zh-CN" w:bidi="ar-SA"/>
    </w:rPr>
  </w:style>
  <w:style w:type="character" w:customStyle="1" w:styleId="Char321">
    <w:name w:val="正文缩进 Char32"/>
    <w:rPr>
      <w:rFonts w:ascii="宋体" w:eastAsia="宋体" w:hAnsi="宋体" w:cs="宋体" w:hint="eastAsia"/>
      <w:color w:val="000000"/>
      <w:kern w:val="0"/>
      <w:sz w:val="24"/>
      <w:szCs w:val="24"/>
      <w:lang w:val="en-US" w:eastAsia="zh-CN" w:bidi="ar-SA"/>
    </w:rPr>
  </w:style>
  <w:style w:type="character" w:customStyle="1" w:styleId="H23Char1">
    <w:name w:val="H23 Char1"/>
    <w:qFormat/>
    <w:rPr>
      <w:rFonts w:ascii="仿宋_GB2312" w:eastAsia="仿宋_GB2312" w:hint="eastAsia"/>
      <w:b/>
      <w:kern w:val="2"/>
      <w:sz w:val="28"/>
      <w:lang w:val="en-US" w:eastAsia="zh-CN" w:bidi="ar-SA"/>
    </w:rPr>
  </w:style>
  <w:style w:type="character" w:customStyle="1" w:styleId="Char513">
    <w:name w:val="题注 Char513"/>
    <w:rPr>
      <w:rFonts w:ascii="黑体" w:eastAsia="黑体" w:hAnsi="Arial" w:cs="Arial" w:hint="eastAsia"/>
      <w:b/>
    </w:rPr>
  </w:style>
  <w:style w:type="character" w:customStyle="1" w:styleId="Charffffffff7">
    <w:name w:val="表头（仿宋 小四） Char"/>
    <w:link w:val="afffffffffffffffffffffffffffd"/>
    <w:locked/>
    <w:rPr>
      <w:rFonts w:ascii="仿宋_GB2312" w:eastAsia="仿宋_GB2312" w:hAnsi="宋体" w:cs="宋体"/>
      <w:color w:val="000000"/>
      <w:sz w:val="24"/>
    </w:rPr>
  </w:style>
  <w:style w:type="paragraph" w:customStyle="1" w:styleId="afffffffffffffffffffffffffffd">
    <w:name w:val="表头（仿宋 小四）"/>
    <w:basedOn w:val="a"/>
    <w:link w:val="Charffffffff7"/>
    <w:qFormat/>
    <w:pPr>
      <w:spacing w:line="520" w:lineRule="exact"/>
      <w:jc w:val="center"/>
    </w:pPr>
    <w:rPr>
      <w:rFonts w:ascii="仿宋_GB2312" w:eastAsia="仿宋_GB2312" w:hAnsi="宋体" w:cs="宋体"/>
      <w:color w:val="000000"/>
      <w:sz w:val="24"/>
    </w:rPr>
  </w:style>
  <w:style w:type="character" w:customStyle="1" w:styleId="Char73">
    <w:name w:val="正文缩进 Char7"/>
    <w:rPr>
      <w:rFonts w:ascii="宋体" w:eastAsia="宋体" w:hAnsi="宋体" w:hint="eastAsia"/>
      <w:kern w:val="2"/>
      <w:sz w:val="24"/>
      <w:szCs w:val="24"/>
      <w:lang w:val="en-US" w:eastAsia="zh-CN" w:bidi="ar-SA"/>
    </w:rPr>
  </w:style>
  <w:style w:type="character" w:customStyle="1" w:styleId="CharCharfffff0">
    <w:name w:val="报告书正文 Char Char"/>
    <w:rPr>
      <w:rFonts w:ascii="宋体" w:eastAsia="宋体" w:hAnsi="宋体" w:hint="eastAsia"/>
      <w:kern w:val="2"/>
      <w:sz w:val="28"/>
      <w:szCs w:val="24"/>
    </w:rPr>
  </w:style>
  <w:style w:type="character" w:customStyle="1" w:styleId="wz14">
    <w:name w:val="wz14"/>
  </w:style>
  <w:style w:type="character" w:customStyle="1" w:styleId="Char11a">
    <w:name w:val="标题正文黑 Char11"/>
    <w:rPr>
      <w:rFonts w:ascii="黑体" w:eastAsia="黑体" w:hAnsi="黑体" w:hint="eastAsia"/>
      <w:kern w:val="2"/>
      <w:sz w:val="28"/>
      <w:szCs w:val="28"/>
      <w:lang w:val="en-US" w:eastAsia="zh-CN" w:bidi="ar-SA"/>
    </w:rPr>
  </w:style>
  <w:style w:type="character" w:customStyle="1" w:styleId="Char1420">
    <w:name w:val="正文修改 Char142"/>
    <w:rPr>
      <w:rFonts w:ascii="宋体" w:eastAsia="宋体" w:hAnsi="宋体" w:hint="eastAsia"/>
      <w:sz w:val="24"/>
      <w:szCs w:val="24"/>
    </w:rPr>
  </w:style>
  <w:style w:type="character" w:customStyle="1" w:styleId="Char214">
    <w:name w:val="正文缩进 Char21"/>
    <w:rPr>
      <w:rFonts w:ascii="宋体" w:eastAsia="宋体" w:hAnsi="宋体" w:cs="宋体" w:hint="eastAsia"/>
      <w:color w:val="000000"/>
      <w:kern w:val="2"/>
      <w:sz w:val="24"/>
      <w:szCs w:val="24"/>
      <w:lang w:val="en-US" w:eastAsia="zh-CN" w:bidi="ar-SA"/>
    </w:rPr>
  </w:style>
  <w:style w:type="character" w:customStyle="1" w:styleId="2Char31">
    <w:name w:val="标题 2 Char31"/>
    <w:rPr>
      <w:rFonts w:ascii="黑体" w:eastAsia="黑体" w:hAnsi="Arial" w:hint="eastAsia"/>
      <w:bCs/>
      <w:kern w:val="2"/>
      <w:sz w:val="30"/>
      <w:szCs w:val="30"/>
      <w:lang w:val="en-US" w:eastAsia="zh-CN" w:bidi="ar-SA"/>
    </w:rPr>
  </w:style>
  <w:style w:type="character" w:customStyle="1" w:styleId="1Char110">
    <w:name w:val="表题1 Char11"/>
    <w:rPr>
      <w:rFonts w:ascii="Arial" w:eastAsia="宋体" w:hAnsi="Arial" w:cs="Arial" w:hint="default"/>
      <w:kern w:val="2"/>
      <w:sz w:val="24"/>
      <w:szCs w:val="24"/>
      <w:lang w:val="en-US" w:eastAsia="zh-CN" w:bidi="ar-SA"/>
    </w:rPr>
  </w:style>
  <w:style w:type="character" w:customStyle="1" w:styleId="Char3Char1">
    <w:name w:val="Char3 Char1"/>
    <w:uiPriority w:val="99"/>
    <w:rPr>
      <w:rFonts w:ascii="宋体" w:eastAsia="宋体" w:hAnsi="宋体" w:hint="eastAsia"/>
      <w:kern w:val="2"/>
      <w:sz w:val="21"/>
      <w:szCs w:val="24"/>
      <w:lang w:val="en-US" w:eastAsia="zh-CN" w:bidi="ar-SA"/>
    </w:rPr>
  </w:style>
  <w:style w:type="character" w:customStyle="1" w:styleId="210pt1">
    <w:name w:val="正文文本 (2) + 10 pt1"/>
    <w:uiPriority w:val="99"/>
    <w:rPr>
      <w:rFonts w:ascii="宋体" w:eastAsia="宋体" w:hAnsi="宋体" w:cs="宋体" w:hint="eastAsia"/>
      <w:spacing w:val="40"/>
      <w:sz w:val="20"/>
      <w:szCs w:val="20"/>
      <w:shd w:val="clear" w:color="auto" w:fill="FFFFFF"/>
      <w:lang w:val="zh-TW" w:eastAsia="zh-TW"/>
    </w:rPr>
  </w:style>
  <w:style w:type="character" w:customStyle="1" w:styleId="CharChar631">
    <w:name w:val="Char Char631"/>
    <w:rPr>
      <w:rFonts w:ascii="黑体" w:eastAsia="黑体" w:hAnsi="黑体" w:hint="eastAsia"/>
      <w:b/>
      <w:bCs/>
      <w:kern w:val="2"/>
      <w:sz w:val="28"/>
      <w:szCs w:val="28"/>
      <w:lang w:val="en-US" w:eastAsia="zh-CN" w:bidi="ar-SA"/>
    </w:rPr>
  </w:style>
  <w:style w:type="character" w:customStyle="1" w:styleId="Char91">
    <w:name w:val="正文格式 Char9"/>
    <w:rPr>
      <w:rFonts w:ascii="宋体" w:eastAsia="宋体" w:hAnsi="宋体" w:hint="eastAsia"/>
      <w:kern w:val="2"/>
      <w:sz w:val="24"/>
      <w:szCs w:val="24"/>
      <w:lang w:val="en-US" w:eastAsia="zh-CN" w:bidi="ar-SA"/>
    </w:rPr>
  </w:style>
  <w:style w:type="character" w:customStyle="1" w:styleId="Char910">
    <w:name w:val="正文格式 Char91"/>
    <w:rPr>
      <w:rFonts w:ascii="宋体" w:eastAsia="宋体" w:hAnsi="宋体" w:hint="eastAsia"/>
      <w:kern w:val="2"/>
      <w:sz w:val="24"/>
      <w:szCs w:val="24"/>
      <w:lang w:val="en-US" w:eastAsia="zh-CN" w:bidi="ar-SA"/>
    </w:rPr>
  </w:style>
  <w:style w:type="character" w:customStyle="1" w:styleId="Char1113">
    <w:name w:val="正文修改 Char1113"/>
    <w:rPr>
      <w:rFonts w:ascii="宋体" w:eastAsia="宋体" w:hAnsi="宋体" w:cs="宋体" w:hint="eastAsia"/>
      <w:color w:val="000000"/>
      <w:kern w:val="2"/>
      <w:sz w:val="24"/>
      <w:szCs w:val="24"/>
      <w:lang w:val="en-US" w:eastAsia="zh-CN" w:bidi="ar-SA"/>
    </w:rPr>
  </w:style>
  <w:style w:type="character" w:customStyle="1" w:styleId="Charffffffff8">
    <w:name w:val="小节标题 Char"/>
    <w:rPr>
      <w:rFonts w:ascii="宋体" w:eastAsia="宋体" w:hAnsi="宋体" w:hint="eastAsia"/>
      <w:bCs/>
      <w:kern w:val="2"/>
      <w:sz w:val="28"/>
      <w:szCs w:val="32"/>
      <w:lang w:val="en-US" w:eastAsia="zh-CN" w:bidi="ar-SA"/>
    </w:rPr>
  </w:style>
  <w:style w:type="character" w:customStyle="1" w:styleId="CharCharCharCharCharCharChar13">
    <w:name w:val="Char Char Char Char Char Char Char13"/>
    <w:basedOn w:val="a1"/>
    <w:link w:val="CharCharCharCharCharChar13"/>
    <w:qFormat/>
    <w:rPr>
      <w:sz w:val="24"/>
      <w:szCs w:val="24"/>
    </w:rPr>
  </w:style>
  <w:style w:type="paragraph" w:customStyle="1" w:styleId="CharCharCharCharCharChar13">
    <w:name w:val="Char Char Char Char Char Char13"/>
    <w:basedOn w:val="a"/>
    <w:link w:val="CharCharCharCharCharCharChar13"/>
    <w:qFormat/>
    <w:rPr>
      <w:sz w:val="24"/>
      <w:szCs w:val="24"/>
    </w:rPr>
  </w:style>
  <w:style w:type="character" w:customStyle="1" w:styleId="title0">
    <w:name w:val="title0"/>
  </w:style>
  <w:style w:type="character" w:customStyle="1" w:styleId="luluChar0">
    <w:name w:val="表格样式lulu Char"/>
    <w:link w:val="lulu4"/>
    <w:locked/>
    <w:rPr>
      <w:szCs w:val="21"/>
    </w:rPr>
  </w:style>
  <w:style w:type="paragraph" w:customStyle="1" w:styleId="lulu4">
    <w:name w:val="表格样式lulu"/>
    <w:basedOn w:val="a"/>
    <w:link w:val="luluChar0"/>
    <w:qFormat/>
    <w:pPr>
      <w:snapToGrid w:val="0"/>
      <w:jc w:val="center"/>
    </w:pPr>
    <w:rPr>
      <w:szCs w:val="21"/>
    </w:rPr>
  </w:style>
  <w:style w:type="character" w:customStyle="1" w:styleId="Char123">
    <w:name w:val="正文修改 Char12"/>
    <w:rPr>
      <w:rFonts w:ascii="宋体" w:eastAsia="宋体" w:hAnsi="宋体" w:cs="宋体" w:hint="eastAsia"/>
      <w:color w:val="000000"/>
      <w:kern w:val="2"/>
      <w:sz w:val="24"/>
      <w:szCs w:val="24"/>
      <w:lang w:val="en-US" w:eastAsia="zh-CN" w:bidi="ar-SA"/>
    </w:rPr>
  </w:style>
  <w:style w:type="character" w:customStyle="1" w:styleId="Char135">
    <w:name w:val="节 Char13"/>
    <w:rPr>
      <w:rFonts w:ascii="黑体" w:eastAsia="黑体" w:hAnsi="Arial" w:hint="eastAsia"/>
      <w:bCs/>
      <w:kern w:val="2"/>
      <w:sz w:val="30"/>
      <w:szCs w:val="30"/>
      <w:lang w:val="en-US" w:eastAsia="zh-CN" w:bidi="ar-SA"/>
    </w:rPr>
  </w:style>
  <w:style w:type="character" w:customStyle="1" w:styleId="CharCharfffff1">
    <w:name w:val="图题注 Char Char"/>
    <w:link w:val="afffffffffffffffffffffffffffe"/>
    <w:locked/>
    <w:rPr>
      <w:rFonts w:ascii="黑体" w:eastAsia="黑体" w:hAnsi="Arial"/>
      <w:b/>
      <w:bCs/>
      <w:sz w:val="24"/>
      <w:szCs w:val="24"/>
    </w:rPr>
  </w:style>
  <w:style w:type="paragraph" w:customStyle="1" w:styleId="afffffffffffffffffffffffffffe">
    <w:name w:val="图题注"/>
    <w:basedOn w:val="a6"/>
    <w:link w:val="CharCharfffff1"/>
    <w:qFormat/>
    <w:pPr>
      <w:jc w:val="center"/>
    </w:pPr>
    <w:rPr>
      <w:rFonts w:ascii="黑体" w:hAnsi="Arial" w:cstheme="minorBidi"/>
      <w:b/>
      <w:bCs/>
      <w:sz w:val="24"/>
      <w:szCs w:val="24"/>
    </w:rPr>
  </w:style>
  <w:style w:type="character" w:customStyle="1" w:styleId="CharCharCharCharChar22">
    <w:name w:val="样式 正文文本 + 红色 Char Char Char Char Char2"/>
    <w:rPr>
      <w:rFonts w:ascii="仿宋_GB2312" w:eastAsia="仿宋_GB2312" w:hint="eastAsia"/>
      <w:snapToGrid/>
      <w:color w:val="FF0000"/>
      <w:kern w:val="2"/>
      <w:sz w:val="24"/>
      <w:szCs w:val="24"/>
      <w:lang w:val="en-US" w:eastAsia="zh-CN" w:bidi="ar-SA"/>
    </w:rPr>
  </w:style>
  <w:style w:type="character" w:customStyle="1" w:styleId="4Char40">
    <w:name w:val="标题4 Char4"/>
    <w:rPr>
      <w:rFonts w:ascii="黑体" w:eastAsia="黑体" w:hAnsi="Arial" w:cs="Times New Roman" w:hint="eastAsia"/>
      <w:b/>
      <w:bCs/>
      <w:kern w:val="2"/>
      <w:sz w:val="24"/>
      <w:szCs w:val="28"/>
      <w:lang w:val="en-US" w:eastAsia="zh-CN" w:bidi="ar-SA"/>
    </w:rPr>
  </w:style>
  <w:style w:type="character" w:customStyle="1" w:styleId="CharCharChard">
    <w:name w:val="段落 Char Char Char"/>
    <w:link w:val="Charffffffff9"/>
    <w:locked/>
    <w:rPr>
      <w:sz w:val="24"/>
      <w:szCs w:val="24"/>
    </w:rPr>
  </w:style>
  <w:style w:type="paragraph" w:customStyle="1" w:styleId="Charffffffff9">
    <w:name w:val="段落 Char"/>
    <w:basedOn w:val="a"/>
    <w:link w:val="CharCharChard"/>
    <w:qFormat/>
    <w:pPr>
      <w:topLinePunct/>
      <w:snapToGrid w:val="0"/>
      <w:spacing w:line="360" w:lineRule="auto"/>
      <w:ind w:firstLineChars="200" w:firstLine="200"/>
    </w:pPr>
    <w:rPr>
      <w:sz w:val="24"/>
      <w:szCs w:val="24"/>
    </w:rPr>
  </w:style>
  <w:style w:type="character" w:customStyle="1" w:styleId="Char145">
    <w:name w:val="正文修改 Char14"/>
    <w:rPr>
      <w:rFonts w:ascii="宋体" w:eastAsia="宋体" w:hAnsi="宋体" w:hint="eastAsia"/>
      <w:sz w:val="24"/>
      <w:szCs w:val="24"/>
    </w:rPr>
  </w:style>
  <w:style w:type="character" w:customStyle="1" w:styleId="5Char50">
    <w:name w:val="样式 表内小5 + 黑体 加粗 倾斜 下划线 Char5"/>
    <w:rPr>
      <w:rFonts w:ascii="黑体" w:eastAsia="黑体" w:hAnsi="黑体" w:hint="eastAsia"/>
      <w:b/>
      <w:bCs/>
      <w:i/>
      <w:iCs/>
      <w:kern w:val="2"/>
      <w:sz w:val="18"/>
      <w:szCs w:val="24"/>
      <w:u w:val="single"/>
      <w:lang w:val="en-US" w:eastAsia="zh-CN" w:bidi="ar-SA"/>
    </w:rPr>
  </w:style>
  <w:style w:type="character" w:customStyle="1" w:styleId="CharChar1111">
    <w:name w:val="Char Char1111"/>
    <w:rPr>
      <w:rFonts w:ascii="黑体" w:eastAsia="黑体" w:hAnsi="Arial" w:hint="eastAsia"/>
      <w:bCs/>
      <w:kern w:val="2"/>
      <w:sz w:val="30"/>
      <w:szCs w:val="30"/>
      <w:lang w:val="en-US" w:eastAsia="zh-CN" w:bidi="ar-SA"/>
    </w:rPr>
  </w:style>
  <w:style w:type="character" w:customStyle="1" w:styleId="e1">
    <w:name w:val="e1"/>
    <w:rPr>
      <w:color w:val="333333"/>
      <w:sz w:val="20"/>
      <w:szCs w:val="20"/>
      <w:u w:val="none"/>
    </w:rPr>
  </w:style>
  <w:style w:type="character" w:customStyle="1" w:styleId="2Char121">
    <w:name w:val="标题2 Char12"/>
    <w:rPr>
      <w:rFonts w:ascii="宋体" w:eastAsia="宋体" w:hAnsi="宋体" w:cs="宋体" w:hint="eastAsia"/>
      <w:color w:val="000000"/>
      <w:kern w:val="2"/>
      <w:sz w:val="24"/>
      <w:szCs w:val="24"/>
      <w:lang w:val="en-US" w:eastAsia="zh-CN" w:bidi="ar-SA"/>
    </w:rPr>
  </w:style>
  <w:style w:type="character" w:customStyle="1" w:styleId="30860CharCharCharCharCharCharChar">
    <w:name w:val="样式 标题 3 + 黑体 小四 左侧:  0.86 厘米 首行缩进:  0 厘米 Char Char Char Char Char Char Char"/>
    <w:link w:val="30860Char"/>
    <w:locked/>
    <w:rPr>
      <w:rFonts w:ascii="黑体" w:eastAsia="黑体" w:hAnsi="黑体"/>
      <w:b/>
      <w:bCs/>
      <w:color w:val="000000"/>
      <w:sz w:val="24"/>
      <w:szCs w:val="24"/>
      <w:lang w:val="en-GB"/>
    </w:rPr>
  </w:style>
  <w:style w:type="paragraph" w:customStyle="1" w:styleId="30860Char">
    <w:name w:val="样式 标题 3 + 黑体 小四 左侧:  0.86 厘米 首行缩进:  0 厘米 Char"/>
    <w:basedOn w:val="3"/>
    <w:link w:val="30860CharCharCharCharCharCharChar"/>
    <w:qFormat/>
    <w:pPr>
      <w:keepLines w:val="0"/>
      <w:widowControl w:val="0"/>
      <w:spacing w:before="0" w:after="0" w:line="360" w:lineRule="auto"/>
    </w:pPr>
    <w:rPr>
      <w:rFonts w:ascii="黑体" w:eastAsia="黑体" w:hAnsi="黑体" w:cstheme="minorBidi"/>
      <w:color w:val="000000"/>
      <w:kern w:val="2"/>
      <w:sz w:val="24"/>
      <w:szCs w:val="24"/>
      <w:lang w:val="en-GB"/>
    </w:rPr>
  </w:style>
  <w:style w:type="character" w:customStyle="1" w:styleId="style3style4">
    <w:name w:val="style3 style4"/>
  </w:style>
  <w:style w:type="character" w:customStyle="1" w:styleId="Char48">
    <w:name w:val="环评正文 Char4"/>
    <w:rPr>
      <w:rFonts w:ascii="宋体" w:eastAsia="宋体" w:hAnsi="宋体" w:hint="eastAsia"/>
      <w:bCs/>
      <w:kern w:val="2"/>
      <w:sz w:val="24"/>
      <w:szCs w:val="24"/>
      <w:lang w:val="en-US" w:eastAsia="zh-CN" w:bidi="ar-SA"/>
    </w:rPr>
  </w:style>
  <w:style w:type="character" w:customStyle="1" w:styleId="CharCharfffff2">
    <w:name w:val="亚行正文 Char Char"/>
    <w:rPr>
      <w:sz w:val="24"/>
      <w:szCs w:val="24"/>
    </w:rPr>
  </w:style>
  <w:style w:type="character" w:customStyle="1" w:styleId="Char1220">
    <w:name w:val="正文修改 Char122"/>
    <w:rPr>
      <w:rFonts w:ascii="宋体" w:eastAsia="宋体" w:hAnsi="宋体" w:cs="宋体" w:hint="eastAsia"/>
      <w:color w:val="000000"/>
      <w:kern w:val="2"/>
      <w:sz w:val="24"/>
      <w:szCs w:val="24"/>
      <w:lang w:val="en-US" w:eastAsia="zh-CN" w:bidi="ar-SA"/>
    </w:rPr>
  </w:style>
  <w:style w:type="character" w:customStyle="1" w:styleId="CharChar1CharChar">
    <w:name w:val="正文格式 Char Char1 Char Char"/>
    <w:rPr>
      <w:rFonts w:ascii="宋体" w:eastAsia="宋体" w:hAnsi="宋体" w:cs="宋体" w:hint="eastAsia"/>
      <w:kern w:val="2"/>
      <w:sz w:val="24"/>
      <w:szCs w:val="24"/>
      <w:lang w:val="en-US" w:eastAsia="zh-CN" w:bidi="ar-SA"/>
    </w:rPr>
  </w:style>
  <w:style w:type="character" w:customStyle="1" w:styleId="Char215">
    <w:name w:val="批注框文本 Char21"/>
    <w:rPr>
      <w:rFonts w:ascii="宋体" w:eastAsia="宋体" w:hAnsi="宋体" w:hint="eastAsia"/>
      <w:kern w:val="2"/>
      <w:sz w:val="18"/>
      <w:szCs w:val="18"/>
      <w:lang w:val="en-US" w:eastAsia="zh-CN" w:bidi="ar-SA"/>
    </w:rPr>
  </w:style>
  <w:style w:type="character" w:customStyle="1" w:styleId="6Char1">
    <w:name w:val="标题6 Char"/>
    <w:rPr>
      <w:rFonts w:ascii="Arial" w:eastAsia="楷体_GB2312" w:hAnsi="Arial" w:cs="Arial" w:hint="default"/>
      <w:snapToGrid/>
    </w:rPr>
  </w:style>
  <w:style w:type="character" w:customStyle="1" w:styleId="Char3f0">
    <w:name w:val="第一层条 Char3"/>
    <w:rPr>
      <w:rFonts w:ascii="仿宋_GB2312" w:eastAsia="仿宋_GB2312" w:hint="eastAsia"/>
      <w:b/>
      <w:kern w:val="2"/>
      <w:sz w:val="28"/>
      <w:lang w:val="en-US" w:eastAsia="zh-CN" w:bidi="ar-SA"/>
    </w:rPr>
  </w:style>
  <w:style w:type="character" w:customStyle="1" w:styleId="hhcwtChar1">
    <w:name w:val="hhcwt表格文字 Char"/>
    <w:link w:val="hhcwt6"/>
    <w:locked/>
    <w:rPr>
      <w:rFonts w:ascii="仿宋_GB2312" w:eastAsia="仿宋_GB2312" w:cs="宋体"/>
    </w:rPr>
  </w:style>
  <w:style w:type="paragraph" w:customStyle="1" w:styleId="hhcwt6">
    <w:name w:val="hhcwt表格文字"/>
    <w:basedOn w:val="a"/>
    <w:link w:val="hhcwtChar1"/>
    <w:qFormat/>
    <w:pPr>
      <w:jc w:val="center"/>
    </w:pPr>
    <w:rPr>
      <w:rFonts w:ascii="仿宋_GB2312" w:eastAsia="仿宋_GB2312" w:cs="宋体"/>
    </w:rPr>
  </w:style>
  <w:style w:type="character" w:customStyle="1" w:styleId="Char1212">
    <w:name w:val="正文缩进 Char121"/>
    <w:rPr>
      <w:rFonts w:ascii="宋体" w:eastAsia="宋体" w:hAnsi="宋体" w:cs="宋体" w:hint="eastAsia"/>
      <w:color w:val="000000"/>
      <w:kern w:val="2"/>
      <w:sz w:val="24"/>
      <w:szCs w:val="24"/>
      <w:lang w:val="en-US" w:eastAsia="zh-CN" w:bidi="ar-SA"/>
    </w:rPr>
  </w:style>
  <w:style w:type="character" w:customStyle="1" w:styleId="1CharCharCharCharCharCharCharCharCharCharCharCharCharCharCharCharCharCharCharCharCharCharCharCharCharCharCharCharCharCharCharCharCharCharCharCharCharCharCharCharCharCharCharCharCharCharCharCharChar1">
    <w:name w:val="标题 1 Char Char Char Char Char Char Char Char Char Char Char Char Char Char Char Char Char Char Char Char Char Char Char Char Char Char Char Char Char Char Char Char Char Char Char Char Char Char Char Char Char Char Char Char Char Char Char Char Char1"/>
    <w:rPr>
      <w:rFonts w:ascii="黑体" w:eastAsia="黑体" w:hAnsi="Arial Unicode MS" w:hint="eastAsia"/>
      <w:kern w:val="44"/>
      <w:sz w:val="28"/>
      <w:szCs w:val="28"/>
      <w:lang w:val="en-US" w:eastAsia="zh-CN" w:bidi="ar-SA"/>
    </w:rPr>
  </w:style>
  <w:style w:type="character" w:customStyle="1" w:styleId="Char3f1">
    <w:name w:val="章节 Char3"/>
    <w:rPr>
      <w:rFonts w:ascii="楷体_GB2312" w:eastAsia="楷体_GB2312" w:hint="eastAsia"/>
      <w:b/>
      <w:kern w:val="44"/>
      <w:sz w:val="30"/>
      <w:lang w:val="en-US" w:eastAsia="zh-CN" w:bidi="ar-SA"/>
    </w:rPr>
  </w:style>
  <w:style w:type="character" w:customStyle="1" w:styleId="2Char1Char">
    <w:name w:val="标题 2 Char1 Char"/>
    <w:rPr>
      <w:rFonts w:ascii="黑体" w:eastAsia="黑体" w:hAnsi="Arial" w:hint="eastAsia"/>
      <w:b/>
      <w:bCs/>
      <w:kern w:val="2"/>
      <w:sz w:val="30"/>
      <w:szCs w:val="30"/>
      <w:lang w:val="en-US" w:eastAsia="zh-CN" w:bidi="ar-SA"/>
    </w:rPr>
  </w:style>
  <w:style w:type="character" w:customStyle="1" w:styleId="418">
    <w:name w:val="样式41"/>
    <w:rPr>
      <w:color w:val="313D42"/>
    </w:rPr>
  </w:style>
  <w:style w:type="character" w:customStyle="1" w:styleId="ztltext1">
    <w:name w:val="ztltext1"/>
  </w:style>
  <w:style w:type="character" w:customStyle="1" w:styleId="Char11b">
    <w:name w:val="正文斜体 Char11"/>
    <w:rPr>
      <w:rFonts w:ascii="宋体" w:eastAsia="宋体" w:hAnsi="宋体" w:cs="宋体" w:hint="eastAsia"/>
      <w:i/>
      <w:iCs/>
      <w:kern w:val="2"/>
      <w:sz w:val="24"/>
      <w:szCs w:val="24"/>
      <w:lang w:val="en-US" w:eastAsia="zh-CN" w:bidi="ar-SA"/>
    </w:rPr>
  </w:style>
  <w:style w:type="character" w:customStyle="1" w:styleId="CharChar96">
    <w:name w:val="Char Char96"/>
    <w:rPr>
      <w:rFonts w:ascii="Arial" w:eastAsia="宋体" w:hAnsi="Arial" w:cs="Arial" w:hint="default"/>
      <w:b/>
      <w:bCs/>
      <w:kern w:val="2"/>
      <w:sz w:val="32"/>
      <w:szCs w:val="32"/>
      <w:lang w:val="en-US" w:eastAsia="zh-CN" w:bidi="ar-SA"/>
    </w:rPr>
  </w:style>
  <w:style w:type="character" w:customStyle="1" w:styleId="Char5CharChar">
    <w:name w:val="Char5 Char Char"/>
  </w:style>
  <w:style w:type="character" w:customStyle="1" w:styleId="CharChar2c">
    <w:name w:val="表格文字 Char Char2"/>
    <w:rPr>
      <w:rFonts w:ascii="宋体" w:eastAsia="仿宋_GB2312" w:hAnsi="宋体" w:cs="宋体" w:hint="eastAsia"/>
      <w:sz w:val="21"/>
      <w:szCs w:val="21"/>
      <w:lang w:val="en-US" w:eastAsia="zh-CN" w:bidi="ar-SA"/>
    </w:rPr>
  </w:style>
  <w:style w:type="character" w:customStyle="1" w:styleId="3Char310">
    <w:name w:val="标题 3 Char31"/>
    <w:rPr>
      <w:rFonts w:ascii="黑体" w:eastAsia="黑体" w:hAnsi="宋体" w:hint="eastAsia"/>
      <w:b/>
      <w:bCs/>
      <w:kern w:val="2"/>
      <w:sz w:val="28"/>
      <w:szCs w:val="28"/>
      <w:lang w:val="en-US" w:eastAsia="zh-CN" w:bidi="ar-SA"/>
    </w:rPr>
  </w:style>
  <w:style w:type="character" w:customStyle="1" w:styleId="Char49">
    <w:name w:val="正文斜体 Char4"/>
    <w:rPr>
      <w:rFonts w:ascii="宋体" w:eastAsia="宋体" w:hAnsi="宋体" w:cs="宋体" w:hint="eastAsia"/>
      <w:i/>
      <w:iCs/>
      <w:kern w:val="2"/>
      <w:sz w:val="24"/>
      <w:szCs w:val="24"/>
      <w:lang w:val="en-US" w:eastAsia="zh-CN" w:bidi="ar-SA"/>
    </w:rPr>
  </w:style>
  <w:style w:type="character" w:customStyle="1" w:styleId="Char810">
    <w:name w:val="正文格式 Char81"/>
    <w:rPr>
      <w:rFonts w:ascii="宋体" w:eastAsia="宋体" w:hAnsi="宋体" w:hint="eastAsia"/>
      <w:kern w:val="2"/>
      <w:sz w:val="24"/>
      <w:szCs w:val="24"/>
      <w:lang w:val="en-US" w:eastAsia="zh-CN" w:bidi="ar-SA"/>
    </w:rPr>
  </w:style>
  <w:style w:type="character" w:customStyle="1" w:styleId="CharCharfffff3">
    <w:name w:val="图文框 Char Char"/>
    <w:rPr>
      <w:rFonts w:ascii="宋体" w:eastAsia="宋体" w:hAnsi="宋体" w:cs="Times New Roman" w:hint="eastAsia"/>
      <w:color w:val="000000"/>
      <w:kern w:val="0"/>
      <w:sz w:val="18"/>
      <w:szCs w:val="18"/>
      <w:lang w:val="en-JM"/>
    </w:rPr>
  </w:style>
  <w:style w:type="character" w:customStyle="1" w:styleId="CharCharCharCharChar9">
    <w:name w:val="表格 Char Char Char Char Char"/>
    <w:rPr>
      <w:sz w:val="28"/>
    </w:rPr>
  </w:style>
  <w:style w:type="character" w:customStyle="1" w:styleId="CharCharChar210">
    <w:name w:val="Char Char Char21"/>
    <w:rPr>
      <w:rFonts w:ascii="Times New Roman" w:eastAsia="宋体" w:hAnsi="Times New Roman" w:cs="Times New Roman" w:hint="default"/>
      <w:sz w:val="18"/>
      <w:szCs w:val="18"/>
    </w:rPr>
  </w:style>
  <w:style w:type="character" w:customStyle="1" w:styleId="CharChar173">
    <w:name w:val="Char Char173"/>
    <w:rPr>
      <w:rFonts w:ascii="宋体" w:eastAsia="宋体" w:hAnsi="宋体" w:hint="eastAsia"/>
      <w:kern w:val="2"/>
      <w:sz w:val="24"/>
      <w:lang w:val="en-US" w:eastAsia="zh-CN" w:bidi="ar-SA"/>
    </w:rPr>
  </w:style>
  <w:style w:type="character" w:customStyle="1" w:styleId="BCharChar">
    <w:name w:val="正文B Char Char"/>
    <w:rPr>
      <w:rFonts w:ascii="宋体" w:eastAsia="楷体_GB2312" w:hAnsi="宋体" w:cs="Times New Roman" w:hint="eastAsia"/>
      <w:spacing w:val="8"/>
      <w:kern w:val="0"/>
      <w:sz w:val="28"/>
      <w:szCs w:val="20"/>
    </w:rPr>
  </w:style>
  <w:style w:type="character" w:customStyle="1" w:styleId="Char711">
    <w:name w:val="正文缩进 Char71"/>
    <w:rPr>
      <w:rFonts w:ascii="宋体" w:eastAsia="宋体" w:hAnsi="宋体" w:hint="eastAsia"/>
      <w:kern w:val="2"/>
      <w:sz w:val="24"/>
      <w:szCs w:val="24"/>
      <w:lang w:val="en-US" w:eastAsia="zh-CN" w:bidi="ar-SA"/>
    </w:rPr>
  </w:style>
  <w:style w:type="character" w:customStyle="1" w:styleId="Char136">
    <w:name w:val="正文斜体 Char13"/>
    <w:rPr>
      <w:rFonts w:ascii="宋体" w:eastAsia="宋体" w:hAnsi="宋体" w:hint="eastAsia"/>
      <w:i/>
      <w:iCs/>
    </w:rPr>
  </w:style>
  <w:style w:type="character" w:customStyle="1" w:styleId="CharChar1219">
    <w:name w:val="Char Char1219"/>
    <w:locked/>
    <w:rPr>
      <w:rFonts w:ascii="宋体" w:eastAsia="宋体" w:hAnsi="宋体" w:hint="eastAsia"/>
      <w:sz w:val="24"/>
      <w:lang w:val="en-US" w:eastAsia="zh-CN" w:bidi="ar-SA"/>
    </w:rPr>
  </w:style>
  <w:style w:type="character" w:customStyle="1" w:styleId="Char3f2">
    <w:name w:val="环评正文 Char3"/>
    <w:rPr>
      <w:rFonts w:ascii="Times New Roman" w:eastAsia="宋体" w:hAnsi="Times New Roman" w:cs="Times New Roman" w:hint="default"/>
      <w:bCs/>
      <w:kern w:val="2"/>
      <w:sz w:val="24"/>
      <w:szCs w:val="24"/>
      <w:lang w:val="en-US" w:eastAsia="zh-CN" w:bidi="ar-SA"/>
    </w:rPr>
  </w:style>
  <w:style w:type="character" w:customStyle="1" w:styleId="2Georgia2">
    <w:name w:val="正文文本 (2) + Georgia2"/>
    <w:uiPriority w:val="99"/>
    <w:rPr>
      <w:rFonts w:ascii="Georgia" w:eastAsia="MingLiU" w:hAnsi="Georgia" w:cs="Georgia" w:hint="default"/>
      <w:sz w:val="11"/>
      <w:szCs w:val="11"/>
      <w:u w:val="none"/>
      <w:shd w:val="clear" w:color="auto" w:fill="FFFFFF"/>
      <w:lang w:val="en-US" w:eastAsia="en-US"/>
    </w:rPr>
  </w:style>
  <w:style w:type="character" w:customStyle="1" w:styleId="Char1313">
    <w:name w:val="正文修改 Char1313"/>
    <w:rPr>
      <w:rFonts w:ascii="宋体" w:eastAsia="宋体" w:hAnsi="宋体" w:cs="宋体" w:hint="eastAsia"/>
      <w:color w:val="000000"/>
      <w:kern w:val="2"/>
      <w:sz w:val="24"/>
      <w:szCs w:val="24"/>
      <w:lang w:val="en-US" w:eastAsia="zh-CN" w:bidi="ar-SA"/>
    </w:rPr>
  </w:style>
  <w:style w:type="character" w:customStyle="1" w:styleId="juhuang1">
    <w:name w:val="juhuang1"/>
    <w:rPr>
      <w:b/>
      <w:bCs/>
      <w:color w:val="FF6600"/>
      <w:sz w:val="21"/>
      <w:szCs w:val="21"/>
      <w:u w:val="none"/>
    </w:rPr>
  </w:style>
  <w:style w:type="character" w:customStyle="1" w:styleId="1CharCharChar1CharCharChar">
    <w:name w:val="正文缩进1 Char Char Char1 Char Char Char"/>
    <w:rPr>
      <w:rFonts w:ascii="宋体" w:eastAsia="宋体" w:hAnsi="宋体" w:hint="eastAsia"/>
      <w:kern w:val="2"/>
      <w:sz w:val="21"/>
      <w:szCs w:val="24"/>
      <w:lang w:val="en-US" w:eastAsia="zh-CN" w:bidi="ar-SA"/>
    </w:rPr>
  </w:style>
  <w:style w:type="character" w:customStyle="1" w:styleId="company-content">
    <w:name w:val="company-content"/>
    <w:qFormat/>
  </w:style>
  <w:style w:type="character" w:customStyle="1" w:styleId="font91">
    <w:name w:val="font91"/>
    <w:qFormat/>
    <w:rPr>
      <w:rFonts w:ascii="宋体" w:eastAsia="宋体" w:hAnsi="宋体" w:hint="eastAsia"/>
      <w:color w:val="000000"/>
      <w:sz w:val="21"/>
      <w:szCs w:val="21"/>
      <w:u w:val="none"/>
    </w:rPr>
  </w:style>
  <w:style w:type="character" w:customStyle="1" w:styleId="1Char72">
    <w:name w:val="表题1 Char72"/>
    <w:rPr>
      <w:rFonts w:ascii="黑体" w:eastAsia="黑体" w:hAnsi="Arial" w:cs="Arial" w:hint="eastAsia"/>
      <w:b/>
      <w:kern w:val="2"/>
      <w:sz w:val="24"/>
      <w:szCs w:val="24"/>
      <w:lang w:val="en-US" w:eastAsia="zh-CN" w:bidi="ar-SA"/>
    </w:rPr>
  </w:style>
  <w:style w:type="character" w:customStyle="1" w:styleId="font101">
    <w:name w:val="font101"/>
    <w:qFormat/>
    <w:rPr>
      <w:rFonts w:ascii="宋体" w:eastAsia="宋体" w:hAnsi="宋体" w:hint="eastAsia"/>
      <w:color w:val="000000"/>
      <w:sz w:val="21"/>
      <w:szCs w:val="21"/>
      <w:u w:val="none"/>
    </w:rPr>
  </w:style>
  <w:style w:type="character" w:customStyle="1" w:styleId="Char11c">
    <w:name w:val="纯文本 Char11"/>
    <w:rPr>
      <w:rFonts w:ascii="宋体" w:eastAsia="宋体" w:hAnsi="Courier New" w:cs="Courier New" w:hint="eastAsia"/>
      <w:kern w:val="2"/>
      <w:sz w:val="21"/>
      <w:szCs w:val="21"/>
      <w:lang w:val="en-US" w:eastAsia="zh-CN" w:bidi="ar-SA"/>
    </w:rPr>
  </w:style>
  <w:style w:type="character" w:customStyle="1" w:styleId="Char2f9">
    <w:name w:val="表题 Char2"/>
    <w:rPr>
      <w:rFonts w:ascii="黑体" w:eastAsia="黑体" w:hAnsi="Arial" w:cs="Arial" w:hint="eastAsia"/>
      <w:b/>
      <w:kern w:val="2"/>
      <w:sz w:val="24"/>
      <w:szCs w:val="24"/>
      <w:lang w:val="en-US" w:eastAsia="zh-CN" w:bidi="ar-SA"/>
    </w:rPr>
  </w:style>
  <w:style w:type="character" w:customStyle="1" w:styleId="CharCharCharChar211">
    <w:name w:val="Char Char Char Char211"/>
    <w:link w:val="CharCharChar31"/>
    <w:locked/>
    <w:rPr>
      <w:sz w:val="24"/>
      <w:szCs w:val="24"/>
    </w:rPr>
  </w:style>
  <w:style w:type="paragraph" w:customStyle="1" w:styleId="CharCharChar31">
    <w:name w:val="Char Char Char31"/>
    <w:basedOn w:val="a"/>
    <w:link w:val="CharCharCharChar211"/>
    <w:qFormat/>
    <w:rPr>
      <w:sz w:val="24"/>
      <w:szCs w:val="24"/>
    </w:rPr>
  </w:style>
  <w:style w:type="character" w:customStyle="1" w:styleId="mb21">
    <w:name w:val="m_b21"/>
    <w:rPr>
      <w:b/>
      <w:bCs/>
      <w:sz w:val="26"/>
      <w:szCs w:val="26"/>
    </w:rPr>
  </w:style>
  <w:style w:type="character" w:customStyle="1" w:styleId="H8Char20">
    <w:name w:val="H8 Char2"/>
    <w:rPr>
      <w:rFonts w:ascii="Arial" w:eastAsia="宋体" w:hAnsi="Arial" w:cs="Arial" w:hint="default"/>
      <w:spacing w:val="5"/>
      <w:kern w:val="2"/>
      <w:sz w:val="28"/>
      <w:lang w:val="en-US" w:eastAsia="zh-CN" w:bidi="ar-SA"/>
    </w:rPr>
  </w:style>
  <w:style w:type="character" w:customStyle="1" w:styleId="3TimesNewRomanCharChar">
    <w:name w:val="样式 标题 3 + (西文) Times New Roman (中文) 宋体 Char Char"/>
    <w:link w:val="3TimesNewRoman1"/>
    <w:locked/>
    <w:rPr>
      <w:b/>
      <w:bCs/>
      <w:sz w:val="28"/>
      <w:szCs w:val="24"/>
    </w:rPr>
  </w:style>
  <w:style w:type="paragraph" w:customStyle="1" w:styleId="3TimesNewRoman1">
    <w:name w:val="样式 标题 3 + (西文) Times New Roman (中文) 宋体"/>
    <w:basedOn w:val="3"/>
    <w:link w:val="3TimesNewRomanCharChar"/>
    <w:qFormat/>
    <w:pPr>
      <w:keepNext w:val="0"/>
      <w:keepLines w:val="0"/>
      <w:widowControl w:val="0"/>
      <w:tabs>
        <w:tab w:val="left" w:pos="1260"/>
        <w:tab w:val="left" w:pos="1560"/>
      </w:tabs>
      <w:spacing w:beforeLines="20" w:before="0" w:afterLines="20" w:after="0" w:line="560" w:lineRule="atLeast"/>
      <w:jc w:val="both"/>
    </w:pPr>
    <w:rPr>
      <w:rFonts w:asciiTheme="minorHAnsi" w:eastAsiaTheme="minorEastAsia" w:hAnsiTheme="minorHAnsi" w:cstheme="minorBidi"/>
      <w:kern w:val="2"/>
      <w:sz w:val="28"/>
      <w:szCs w:val="24"/>
    </w:rPr>
  </w:style>
  <w:style w:type="character" w:customStyle="1" w:styleId="4Char6">
    <w:name w:val="样式 标题4 Char"/>
    <w:rPr>
      <w:rFonts w:ascii="宋体" w:eastAsia="宋体" w:hAnsi="Cambria" w:cs="宋体" w:hint="eastAsia"/>
      <w:b/>
      <w:bCs/>
      <w:kern w:val="2"/>
      <w:sz w:val="28"/>
      <w:szCs w:val="28"/>
      <w:lang w:val="en-US" w:eastAsia="zh-CN" w:bidi="ar-SA"/>
    </w:rPr>
  </w:style>
  <w:style w:type="character" w:customStyle="1" w:styleId="Char342">
    <w:name w:val="题注 Char34"/>
    <w:rPr>
      <w:rFonts w:ascii="黑体" w:eastAsia="黑体" w:hAnsi="Arial" w:cs="Arial" w:hint="eastAsia"/>
      <w:b/>
      <w:kern w:val="2"/>
      <w:sz w:val="24"/>
      <w:szCs w:val="24"/>
      <w:lang w:val="en-US" w:eastAsia="zh-CN" w:bidi="ar-SA"/>
    </w:rPr>
  </w:style>
  <w:style w:type="character" w:customStyle="1" w:styleId="CharCharfffff4">
    <w:name w:val="汇报材料正文 Char Char"/>
    <w:link w:val="affffffffffffffffffffffffffff"/>
    <w:locked/>
    <w:rPr>
      <w:rFonts w:ascii="宋体" w:hAnsi="宋体" w:cs="宋体"/>
      <w:bCs/>
      <w:spacing w:val="16"/>
      <w:sz w:val="24"/>
    </w:rPr>
  </w:style>
  <w:style w:type="paragraph" w:customStyle="1" w:styleId="affffffffffffffffffffffffffff">
    <w:name w:val="汇报材料正文"/>
    <w:basedOn w:val="a"/>
    <w:link w:val="CharCharfffff4"/>
    <w:qFormat/>
    <w:pPr>
      <w:adjustRightInd w:val="0"/>
      <w:snapToGrid w:val="0"/>
      <w:spacing w:line="360" w:lineRule="auto"/>
      <w:ind w:firstLineChars="200" w:firstLine="530"/>
      <w:jc w:val="left"/>
    </w:pPr>
    <w:rPr>
      <w:rFonts w:ascii="宋体" w:hAnsi="宋体" w:cs="宋体"/>
      <w:bCs/>
      <w:spacing w:val="16"/>
      <w:sz w:val="24"/>
    </w:rPr>
  </w:style>
  <w:style w:type="character" w:customStyle="1" w:styleId="3121">
    <w:name w:val="标题 312"/>
    <w:qFormat/>
    <w:rPr>
      <w:rFonts w:ascii="宋体" w:eastAsia="宋体" w:hAnsi="宋体" w:cs="Times New Roman" w:hint="eastAsia"/>
      <w:sz w:val="28"/>
      <w:lang w:val="en-US" w:eastAsia="zh-CN" w:bidi="ar-SA"/>
    </w:rPr>
  </w:style>
  <w:style w:type="character" w:customStyle="1" w:styleId="Char2410">
    <w:name w:val="表中文字 Char241"/>
    <w:rPr>
      <w:rFonts w:ascii="宋体" w:eastAsia="宋体" w:hAnsi="宋体" w:hint="eastAsia"/>
      <w:kern w:val="2"/>
      <w:sz w:val="21"/>
      <w:szCs w:val="21"/>
      <w:lang w:val="en-US" w:eastAsia="zh-CN" w:bidi="ar-SA"/>
    </w:rPr>
  </w:style>
  <w:style w:type="character" w:customStyle="1" w:styleId="Char216">
    <w:name w:val="正文格式 Char21"/>
    <w:rPr>
      <w:rFonts w:ascii="宋体" w:eastAsia="宋体" w:hAnsi="宋体" w:hint="eastAsia"/>
      <w:kern w:val="2"/>
      <w:sz w:val="24"/>
      <w:szCs w:val="24"/>
      <w:lang w:val="en-US" w:eastAsia="zh-CN" w:bidi="ar-SA"/>
    </w:rPr>
  </w:style>
  <w:style w:type="character" w:customStyle="1" w:styleId="2CharCharCharChar0">
    <w:name w:val="正文文字缩进 2 Char Char Char Char"/>
    <w:rPr>
      <w:rFonts w:ascii="宋体" w:eastAsia="宋体" w:hAnsi="宋体" w:hint="eastAsia"/>
      <w:kern w:val="2"/>
      <w:sz w:val="24"/>
      <w:szCs w:val="24"/>
      <w:lang w:val="en-US" w:eastAsia="zh-CN" w:bidi="ar-SA"/>
    </w:rPr>
  </w:style>
  <w:style w:type="character" w:customStyle="1" w:styleId="ChChar">
    <w:name w:val="正文缩进 Ch Char"/>
    <w:rPr>
      <w:rFonts w:ascii="宋体" w:eastAsia="宋体" w:hAnsi="宋体" w:hint="eastAsia"/>
      <w:kern w:val="2"/>
      <w:sz w:val="21"/>
      <w:lang w:val="en-US" w:eastAsia="zh-CN" w:bidi="ar-SA"/>
    </w:rPr>
  </w:style>
  <w:style w:type="character" w:customStyle="1" w:styleId="Char1CharChar">
    <w:name w:val="Char1 Char Char"/>
    <w:locked/>
    <w:rPr>
      <w:rFonts w:ascii="宋体" w:eastAsia="宋体" w:hAnsi="宋体" w:hint="eastAsia"/>
      <w:kern w:val="2"/>
      <w:sz w:val="21"/>
      <w:lang w:val="en-US" w:eastAsia="zh-CN" w:bidi="ar-SA"/>
    </w:rPr>
  </w:style>
  <w:style w:type="character" w:customStyle="1" w:styleId="2Char51">
    <w:name w:val="标题 2 Char51"/>
    <w:rPr>
      <w:rFonts w:ascii="黑体" w:eastAsia="黑体" w:hAnsi="Arial" w:hint="eastAsia"/>
      <w:bCs/>
      <w:kern w:val="2"/>
      <w:sz w:val="30"/>
      <w:szCs w:val="30"/>
      <w:lang w:val="en-US" w:eastAsia="zh-CN" w:bidi="ar-SA"/>
    </w:rPr>
  </w:style>
  <w:style w:type="character" w:customStyle="1" w:styleId="2CharCharb">
    <w:name w:val="题2 Char Char"/>
    <w:rPr>
      <w:rFonts w:ascii="Arial" w:hAnsi="Arial" w:cs="Arial" w:hint="default"/>
      <w:b/>
      <w:bCs/>
      <w:sz w:val="30"/>
      <w:szCs w:val="30"/>
    </w:rPr>
  </w:style>
  <w:style w:type="character" w:customStyle="1" w:styleId="Char2fa">
    <w:name w:val="图题注 Char2"/>
    <w:rPr>
      <w:rFonts w:ascii="黑体" w:eastAsia="黑体" w:hAnsi="Arial" w:cs="宋体" w:hint="eastAsia"/>
      <w:b/>
      <w:bCs/>
      <w:kern w:val="2"/>
      <w:sz w:val="24"/>
      <w:szCs w:val="24"/>
      <w:lang w:val="en-US" w:eastAsia="zh-CN" w:bidi="ar-SA"/>
    </w:rPr>
  </w:style>
  <w:style w:type="character" w:customStyle="1" w:styleId="grad">
    <w:name w:val="grad"/>
  </w:style>
  <w:style w:type="character" w:customStyle="1" w:styleId="CharCharCharCharCharCharc">
    <w:name w:val="表格文字 Char Char Char Char Char Char"/>
    <w:rPr>
      <w:rFonts w:ascii="仿宋_GB2312" w:eastAsia="仿宋_GB2312" w:hAnsi="Arial Black" w:hint="eastAsia"/>
      <w:kern w:val="44"/>
      <w:sz w:val="24"/>
      <w:lang w:val="en-US" w:eastAsia="zh-CN" w:bidi="ar-SA"/>
    </w:rPr>
  </w:style>
  <w:style w:type="character" w:customStyle="1" w:styleId="12h">
    <w:name w:val="12h"/>
  </w:style>
  <w:style w:type="character" w:customStyle="1" w:styleId="Char1114">
    <w:name w:val="燕山正文 Char111"/>
    <w:qFormat/>
    <w:rPr>
      <w:rFonts w:ascii="宋体" w:eastAsia="宋体" w:hAnsi="宋体" w:cs="宋体" w:hint="eastAsia"/>
      <w:kern w:val="2"/>
      <w:sz w:val="24"/>
      <w:szCs w:val="24"/>
      <w:lang w:val="en-US" w:eastAsia="zh-CN" w:bidi="ar-SA"/>
    </w:rPr>
  </w:style>
  <w:style w:type="character" w:customStyle="1" w:styleId="Char4a">
    <w:name w:val="表中文字 Char4"/>
    <w:rPr>
      <w:rFonts w:ascii="Arial" w:eastAsia="宋体" w:hAnsi="Arial" w:cs="Times New Roman" w:hint="default"/>
      <w:kern w:val="0"/>
      <w:sz w:val="20"/>
      <w:szCs w:val="24"/>
      <w:lang w:val="en-US" w:eastAsia="zh-TW" w:bidi="ar-SA"/>
    </w:rPr>
  </w:style>
  <w:style w:type="character" w:customStyle="1" w:styleId="CharChar1117">
    <w:name w:val="Char Char1117"/>
    <w:rPr>
      <w:rFonts w:ascii="黑体" w:eastAsia="黑体" w:hAnsi="Arial" w:hint="eastAsia"/>
      <w:bCs/>
      <w:kern w:val="2"/>
      <w:sz w:val="30"/>
      <w:szCs w:val="30"/>
      <w:lang w:val="en-US" w:eastAsia="zh-CN" w:bidi="ar-SA"/>
    </w:rPr>
  </w:style>
  <w:style w:type="character" w:customStyle="1" w:styleId="Char1ffd">
    <w:name w:val="一级项 Char1"/>
    <w:rPr>
      <w:rFonts w:ascii="宋体" w:eastAsia="宋体" w:hAnsi="宋体" w:hint="eastAsia"/>
      <w:b/>
      <w:bCs/>
      <w:kern w:val="2"/>
      <w:sz w:val="28"/>
      <w:szCs w:val="28"/>
      <w:lang w:val="en-US" w:eastAsia="zh-CN" w:bidi="ar-SA"/>
    </w:rPr>
  </w:style>
  <w:style w:type="character" w:customStyle="1" w:styleId="maintext">
    <w:name w:val="maintext"/>
  </w:style>
  <w:style w:type="character" w:customStyle="1" w:styleId="CharChar1112">
    <w:name w:val="Char Char1112"/>
    <w:rPr>
      <w:rFonts w:ascii="黑体" w:eastAsia="黑体" w:hAnsi="Arial" w:hint="eastAsia"/>
      <w:bCs/>
      <w:kern w:val="2"/>
      <w:sz w:val="30"/>
      <w:szCs w:val="30"/>
      <w:lang w:val="en-US" w:eastAsia="zh-CN" w:bidi="ar-SA"/>
    </w:rPr>
  </w:style>
  <w:style w:type="character" w:customStyle="1" w:styleId="Char14120">
    <w:name w:val="正文修改 Char1412"/>
    <w:rPr>
      <w:rFonts w:ascii="宋体" w:eastAsia="宋体" w:hAnsi="Times New Roman" w:cs="宋体" w:hint="eastAsia"/>
      <w:kern w:val="2"/>
      <w:sz w:val="24"/>
      <w:szCs w:val="24"/>
      <w:lang w:val="en-US" w:eastAsia="zh-CN" w:bidi="ar-SA"/>
    </w:rPr>
  </w:style>
  <w:style w:type="character" w:customStyle="1" w:styleId="Char3f3">
    <w:name w:val="正文格式 Char3"/>
    <w:rPr>
      <w:rFonts w:ascii="宋体" w:eastAsia="宋体" w:hAnsi="宋体" w:hint="eastAsia"/>
      <w:kern w:val="2"/>
      <w:sz w:val="24"/>
      <w:szCs w:val="24"/>
      <w:lang w:val="en-US" w:eastAsia="zh-CN" w:bidi="ar-SA"/>
    </w:rPr>
  </w:style>
  <w:style w:type="character" w:customStyle="1" w:styleId="1Char20">
    <w:name w:val="表题1 Char2"/>
    <w:rPr>
      <w:rFonts w:ascii="Arial" w:eastAsia="宋体" w:hAnsi="Arial" w:cs="Arial" w:hint="default"/>
      <w:kern w:val="2"/>
      <w:sz w:val="24"/>
      <w:szCs w:val="24"/>
      <w:lang w:val="en-US" w:eastAsia="zh-CN" w:bidi="ar-SA"/>
    </w:rPr>
  </w:style>
  <w:style w:type="character" w:customStyle="1" w:styleId="CharCharfffff5">
    <w:name w:val="沥青表 Char Char"/>
    <w:rPr>
      <w:rFonts w:ascii="宋体" w:eastAsia="宋体" w:hAnsi="宋体" w:hint="eastAsia"/>
      <w:bCs/>
      <w:spacing w:val="10"/>
      <w:sz w:val="21"/>
      <w:szCs w:val="21"/>
      <w:lang w:val="en-US" w:eastAsia="zh-CN" w:bidi="ar-SA"/>
    </w:rPr>
  </w:style>
  <w:style w:type="character" w:customStyle="1" w:styleId="2Char210">
    <w:name w:val="标题 2 Char21"/>
    <w:rPr>
      <w:rFonts w:ascii="黑体" w:eastAsia="黑体" w:hAnsi="Arial" w:hint="eastAsia"/>
      <w:b/>
      <w:bCs/>
      <w:kern w:val="2"/>
      <w:sz w:val="30"/>
      <w:szCs w:val="30"/>
      <w:lang w:val="en-US" w:eastAsia="zh-CN" w:bidi="ar-SA"/>
    </w:rPr>
  </w:style>
  <w:style w:type="character" w:customStyle="1" w:styleId="Char3f4">
    <w:name w:val="页脚 Char3"/>
    <w:basedOn w:val="a1"/>
    <w:rPr>
      <w:rFonts w:ascii="Times New Roman" w:eastAsia="宋体" w:hAnsi="Times New Roman" w:cs="Times New Roman"/>
      <w:kern w:val="0"/>
      <w:sz w:val="18"/>
      <w:szCs w:val="18"/>
    </w:rPr>
  </w:style>
  <w:style w:type="character" w:customStyle="1" w:styleId="AChar10">
    <w:name w:val="A正文 Char1"/>
    <w:rPr>
      <w:rFonts w:ascii="仿宋_GB2312" w:eastAsia="仿宋_GB2312" w:hint="eastAsia"/>
      <w:kern w:val="2"/>
      <w:sz w:val="24"/>
      <w:szCs w:val="24"/>
      <w:lang w:val="en-US" w:eastAsia="zh-CN" w:bidi="ar-SA"/>
    </w:rPr>
  </w:style>
  <w:style w:type="character" w:customStyle="1" w:styleId="CharCharCharCharCharCharChar14">
    <w:name w:val="正文（首行缩进两字） Char Char Char Char Char Char Char1"/>
    <w:rPr>
      <w:rFonts w:ascii="仿宋_GB2312" w:eastAsia="仿宋_GB2312" w:hint="eastAsia"/>
      <w:color w:val="000000"/>
      <w:kern w:val="2"/>
      <w:sz w:val="28"/>
      <w:szCs w:val="24"/>
      <w:lang w:val="en-US" w:eastAsia="zh-CN" w:bidi="ar-SA"/>
    </w:rPr>
  </w:style>
  <w:style w:type="character" w:customStyle="1" w:styleId="Char11d">
    <w:name w:val="福建正文缩进 Char11"/>
    <w:rPr>
      <w:rFonts w:ascii="宋体" w:eastAsia="宋体" w:hAnsi="宋体" w:hint="eastAsia"/>
      <w:kern w:val="2"/>
      <w:sz w:val="24"/>
      <w:szCs w:val="24"/>
      <w:lang w:val="en-US" w:eastAsia="zh-CN" w:bidi="ar-SA"/>
    </w:rPr>
  </w:style>
  <w:style w:type="character" w:customStyle="1" w:styleId="5Char51">
    <w:name w:val="样式 表内小5 + 黑体 加粗 倾斜 下划线 Char51"/>
    <w:rPr>
      <w:rFonts w:ascii="黑体" w:eastAsia="黑体" w:hAnsi="黑体" w:hint="eastAsia"/>
      <w:b/>
      <w:bCs/>
      <w:i/>
      <w:iCs/>
      <w:kern w:val="2"/>
      <w:sz w:val="18"/>
      <w:szCs w:val="24"/>
      <w:u w:val="single"/>
      <w:lang w:val="en-US" w:eastAsia="zh-CN" w:bidi="ar-SA"/>
    </w:rPr>
  </w:style>
  <w:style w:type="character" w:customStyle="1" w:styleId="Char712">
    <w:name w:val="Char71"/>
    <w:rPr>
      <w:rFonts w:ascii="宋体" w:eastAsia="宋体" w:hAnsi="宋体" w:hint="eastAsia"/>
      <w:kern w:val="2"/>
      <w:sz w:val="18"/>
      <w:szCs w:val="18"/>
      <w:lang w:val="en-US" w:eastAsia="zh-CN" w:bidi="ar-SA"/>
    </w:rPr>
  </w:style>
  <w:style w:type="character" w:customStyle="1" w:styleId="Char56">
    <w:name w:val="正文格式 Char5"/>
    <w:rPr>
      <w:rFonts w:ascii="宋体" w:eastAsia="宋体" w:hAnsi="宋体" w:hint="eastAsia"/>
      <w:kern w:val="2"/>
      <w:sz w:val="24"/>
      <w:szCs w:val="24"/>
      <w:lang w:val="en-US" w:eastAsia="zh-CN" w:bidi="ar-SA"/>
    </w:rPr>
  </w:style>
  <w:style w:type="character" w:customStyle="1" w:styleId="CharChar622">
    <w:name w:val="Char Char622"/>
    <w:rPr>
      <w:rFonts w:ascii="黑体" w:eastAsia="黑体" w:hAnsi="黑体" w:hint="eastAsia"/>
      <w:b/>
      <w:bCs/>
      <w:kern w:val="2"/>
      <w:sz w:val="28"/>
      <w:szCs w:val="28"/>
      <w:lang w:val="en-US" w:eastAsia="zh-CN" w:bidi="ar-SA"/>
    </w:rPr>
  </w:style>
  <w:style w:type="character" w:customStyle="1" w:styleId="CharChar142">
    <w:name w:val="Char Char142"/>
    <w:rPr>
      <w:rFonts w:ascii="Arial" w:eastAsia="黑体" w:hAnsi="Arial" w:cs="Arial" w:hint="default"/>
      <w:b/>
      <w:bCs/>
      <w:kern w:val="2"/>
      <w:sz w:val="32"/>
      <w:szCs w:val="32"/>
    </w:rPr>
  </w:style>
  <w:style w:type="character" w:customStyle="1" w:styleId="TOm">
    <w:name w:val="TOm"/>
    <w:rPr>
      <w:rFonts w:ascii="Arial" w:eastAsia="MS Mincho" w:hAnsi="Arial" w:cs="Arial" w:hint="default"/>
      <w:spacing w:val="0"/>
      <w:position w:val="0"/>
      <w:sz w:val="20"/>
    </w:rPr>
  </w:style>
  <w:style w:type="character" w:customStyle="1" w:styleId="H42">
    <w:name w:val="H42"/>
    <w:rPr>
      <w:rFonts w:ascii="Arial" w:eastAsia="黑体" w:hAnsi="Arial" w:cs="Arial" w:hint="default"/>
      <w:b/>
      <w:bCs/>
      <w:kern w:val="2"/>
      <w:sz w:val="28"/>
      <w:szCs w:val="28"/>
      <w:lang w:val="en-US" w:eastAsia="zh-CN" w:bidi="ar-SA"/>
    </w:rPr>
  </w:style>
  <w:style w:type="character" w:customStyle="1" w:styleId="1Char63">
    <w:name w:val="表题1 Char63"/>
    <w:rPr>
      <w:rFonts w:ascii="黑体" w:eastAsia="黑体" w:hAnsi="Arial" w:cs="Arial" w:hint="eastAsia"/>
      <w:b/>
      <w:kern w:val="2"/>
      <w:sz w:val="24"/>
      <w:szCs w:val="24"/>
      <w:lang w:val="en-US" w:eastAsia="zh-CN" w:bidi="ar-SA"/>
    </w:rPr>
  </w:style>
  <w:style w:type="character" w:customStyle="1" w:styleId="contentpic">
    <w:name w:val="contentpic"/>
  </w:style>
  <w:style w:type="character" w:customStyle="1" w:styleId="CharChar4111">
    <w:name w:val="Char Char4111"/>
    <w:qFormat/>
    <w:rPr>
      <w:rFonts w:ascii="宋体" w:eastAsia="宋体" w:hAnsi="宋体" w:hint="eastAsia"/>
      <w:kern w:val="2"/>
      <w:sz w:val="21"/>
      <w:szCs w:val="24"/>
      <w:lang w:val="en-US" w:eastAsia="zh-CN" w:bidi="ar-SA"/>
    </w:rPr>
  </w:style>
  <w:style w:type="paragraph" w:customStyle="1" w:styleId="CharCharCharCharCharCharCharCharCharCharCharCharCharCharCharCharChar1Char1">
    <w:name w:val="Char Char Char Char Char Char Char Char Char Char Char Char Char Char Char Char Char1 Char1"/>
    <w:basedOn w:val="a"/>
    <w:qFormat/>
    <w:rPr>
      <w:rFonts w:ascii="Calibri" w:eastAsia="宋体" w:hAnsi="Calibri" w:cs="Times New Roman"/>
      <w:sz w:val="24"/>
      <w:szCs w:val="24"/>
    </w:rPr>
  </w:style>
  <w:style w:type="paragraph" w:customStyle="1" w:styleId="Style2128">
    <w:name w:val="_Style 2128"/>
    <w:next w:val="a"/>
    <w:qFormat/>
    <w:rPr>
      <w:rFonts w:ascii="Calibri" w:eastAsia="宋体" w:hAnsi="Calibri" w:cs="Times New Roman"/>
      <w:sz w:val="24"/>
    </w:rPr>
  </w:style>
  <w:style w:type="paragraph" w:customStyle="1" w:styleId="CharCharCharCharCharCharCharCharCharCharCharCharCharCharCharCharCharCharCharCharCharCharCharCharCharCharCharCharCharCharCharCharCharCharCharChar5">
    <w:name w:val="Char Char Char Char Char Char Char Char Char Char Char Char Char Char Char Char Char Char Char Char Char Char Char Char Char Char Char Char Char Char Char Char Char Char Char Char5"/>
    <w:basedOn w:val="a"/>
    <w:qFormat/>
    <w:rPr>
      <w:rFonts w:ascii="Calibri" w:eastAsia="宋体" w:hAnsi="Calibri" w:cs="Times New Roman"/>
      <w:sz w:val="24"/>
      <w:szCs w:val="24"/>
    </w:rPr>
  </w:style>
  <w:style w:type="paragraph" w:customStyle="1" w:styleId="CharCharCharCharCharCharCharCharCharCharCharCharCharCharChar2Char1">
    <w:name w:val="Char Char Char Char Char Char Char Char Char Char Char Char Char Char Char2 Char1"/>
    <w:basedOn w:val="a"/>
    <w:qFormat/>
    <w:rPr>
      <w:rFonts w:ascii="Calibri" w:eastAsia="宋体" w:hAnsi="Calibri" w:cs="Times New Roman"/>
      <w:szCs w:val="24"/>
    </w:rPr>
  </w:style>
  <w:style w:type="paragraph" w:customStyle="1" w:styleId="affffffffffffffffffffffffffff0">
    <w:name w:val="标准中文版式_正文"/>
    <w:basedOn w:val="a"/>
    <w:qFormat/>
    <w:pPr>
      <w:spacing w:before="30" w:line="360" w:lineRule="auto"/>
    </w:pPr>
    <w:rPr>
      <w:rFonts w:ascii="Arial" w:eastAsia="宋体" w:hAnsi="Arial" w:cs="Times New Roman"/>
      <w:sz w:val="24"/>
      <w:szCs w:val="20"/>
    </w:rPr>
  </w:style>
  <w:style w:type="paragraph" w:customStyle="1" w:styleId="CharCharCharCharCharCharCharCharChar4">
    <w:name w:val="Char Char Char Char Char Char Char Char Char4"/>
    <w:basedOn w:val="a"/>
    <w:qFormat/>
    <w:rPr>
      <w:rFonts w:ascii="Calibri" w:eastAsia="宋体" w:hAnsi="Calibri" w:cs="Times New Roman"/>
      <w:sz w:val="24"/>
      <w:szCs w:val="24"/>
    </w:rPr>
  </w:style>
  <w:style w:type="paragraph" w:customStyle="1" w:styleId="CharChar1CharCharChar1">
    <w:name w:val="Char Char1 Char Char Char1"/>
    <w:basedOn w:val="a"/>
    <w:qFormat/>
    <w:rPr>
      <w:rFonts w:ascii="Calibri" w:eastAsia="宋体" w:hAnsi="Calibri" w:cs="Times New Roman"/>
      <w:szCs w:val="21"/>
    </w:rPr>
  </w:style>
  <w:style w:type="paragraph" w:customStyle="1" w:styleId="Standard">
    <w:name w:val="Standard"/>
    <w:basedOn w:val="a"/>
    <w:next w:val="a"/>
    <w:qFormat/>
    <w:pPr>
      <w:autoSpaceDE w:val="0"/>
      <w:autoSpaceDN w:val="0"/>
      <w:adjustRightInd w:val="0"/>
      <w:jc w:val="left"/>
    </w:pPr>
    <w:rPr>
      <w:rFonts w:ascii="Arial" w:eastAsia="宋体" w:hAnsi="Arial" w:cs="Arial"/>
      <w:kern w:val="0"/>
      <w:sz w:val="24"/>
      <w:szCs w:val="24"/>
    </w:rPr>
  </w:style>
  <w:style w:type="paragraph" w:customStyle="1" w:styleId="CharCharCharCharCharCharCharCharCharChar3">
    <w:name w:val="Char Char Char Char Char Char Char Char Char Char3"/>
    <w:basedOn w:val="a"/>
    <w:qFormat/>
    <w:rPr>
      <w:rFonts w:ascii="Calibri" w:eastAsia="宋体" w:hAnsi="Calibri" w:cs="Times New Roman"/>
      <w:sz w:val="24"/>
      <w:szCs w:val="24"/>
    </w:rPr>
  </w:style>
  <w:style w:type="paragraph" w:customStyle="1" w:styleId="CharChar2Char">
    <w:name w:val="Char Char2 Char"/>
    <w:basedOn w:val="a"/>
    <w:qFormat/>
    <w:rPr>
      <w:rFonts w:ascii="Calibri" w:eastAsia="宋体" w:hAnsi="Calibri" w:cs="Times New Roman"/>
      <w:szCs w:val="21"/>
    </w:rPr>
  </w:style>
  <w:style w:type="paragraph" w:customStyle="1" w:styleId="reader-word-layerreader-word-s2-6">
    <w:name w:val="reader-word-layer reader-word-s2-6"/>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xl356">
    <w:name w:val="xl356"/>
    <w:basedOn w:val="a"/>
    <w:qFormat/>
    <w:pPr>
      <w:widowControl/>
      <w:pBdr>
        <w:top w:val="single" w:sz="4" w:space="0" w:color="auto"/>
        <w:left w:val="single" w:sz="4" w:space="0" w:color="auto"/>
        <w:bottom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CharCharCharCharCharCharCharCharCharCharChar1CharCharCharCharCharChar2">
    <w:name w:val="Char Char Char Char Char Char Char Char Char Char Char1 Char Char Char Char Char Char2"/>
    <w:basedOn w:val="a"/>
    <w:qFormat/>
    <w:rPr>
      <w:rFonts w:ascii="Calibri" w:eastAsia="宋体" w:hAnsi="Calibri" w:cs="Times New Roman"/>
      <w:sz w:val="24"/>
      <w:szCs w:val="24"/>
    </w:rPr>
  </w:style>
  <w:style w:type="paragraph" w:customStyle="1" w:styleId="CharChar6CharCharCharChar11">
    <w:name w:val="Char Char6 Char Char Char Char11"/>
    <w:basedOn w:val="a"/>
    <w:qFormat/>
    <w:pPr>
      <w:widowControl/>
      <w:spacing w:after="160" w:line="240" w:lineRule="exact"/>
      <w:jc w:val="left"/>
    </w:pPr>
    <w:rPr>
      <w:rFonts w:ascii="Arial" w:eastAsia="Times New Roman" w:hAnsi="Arial" w:cs="Verdana"/>
      <w:b/>
      <w:spacing w:val="-6"/>
      <w:kern w:val="0"/>
      <w:sz w:val="28"/>
      <w:szCs w:val="24"/>
      <w:lang w:eastAsia="en-US"/>
    </w:rPr>
  </w:style>
  <w:style w:type="paragraph" w:customStyle="1" w:styleId="xl343">
    <w:name w:val="xl34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8"/>
      <w:szCs w:val="18"/>
    </w:rPr>
  </w:style>
  <w:style w:type="paragraph" w:customStyle="1" w:styleId="2fffffff6">
    <w:name w:val="标2"/>
    <w:basedOn w:val="2"/>
    <w:next w:val="afb"/>
    <w:qFormat/>
    <w:pPr>
      <w:tabs>
        <w:tab w:val="left" w:pos="992"/>
        <w:tab w:val="center" w:pos="6804"/>
        <w:tab w:val="right" w:pos="7371"/>
      </w:tabs>
      <w:overflowPunct w:val="0"/>
      <w:adjustRightInd w:val="0"/>
      <w:spacing w:before="0" w:after="0" w:line="500" w:lineRule="exact"/>
      <w:ind w:left="992" w:hanging="567"/>
      <w:jc w:val="left"/>
    </w:pPr>
    <w:rPr>
      <w:rFonts w:ascii="Arial" w:eastAsia="黑体" w:hAnsi="Arial" w:cs="Times New Roman"/>
      <w:bCs w:val="0"/>
      <w:kern w:val="0"/>
      <w:sz w:val="28"/>
      <w:szCs w:val="20"/>
    </w:rPr>
  </w:style>
  <w:style w:type="paragraph" w:customStyle="1" w:styleId="xl323">
    <w:name w:val="xl32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CharCharCharCharCharCharCharCharChar1CharCharCharCharCharCharCharCharCharCharCharCharCharCharCharChar">
    <w:name w:val="Char Char Char Char Char Char Char Char Char1 Char Char Char Char Char Char Char Char Char Char Char Char Char Char Char Char"/>
    <w:basedOn w:val="a"/>
    <w:qFormat/>
    <w:rPr>
      <w:rFonts w:ascii="Calibri" w:eastAsia="宋体" w:hAnsi="Calibri" w:cs="Times New Roman"/>
      <w:szCs w:val="21"/>
    </w:rPr>
  </w:style>
  <w:style w:type="paragraph" w:customStyle="1" w:styleId="CharCharCharCharCharCharCharCharCharCharCharCharCharCharChar2Char">
    <w:name w:val="Char Char Char Char Char Char Char Char Char Char Char Char Char Char Char2 Char"/>
    <w:basedOn w:val="a"/>
    <w:qFormat/>
    <w:rPr>
      <w:rFonts w:ascii="Calibri" w:eastAsia="宋体" w:hAnsi="Calibri" w:cs="Times New Roman"/>
      <w:szCs w:val="24"/>
    </w:rPr>
  </w:style>
  <w:style w:type="paragraph" w:customStyle="1" w:styleId="Char370">
    <w:name w:val="Char37"/>
    <w:basedOn w:val="a"/>
    <w:qFormat/>
    <w:rPr>
      <w:rFonts w:ascii="Calibri" w:eastAsia="宋体" w:hAnsi="Calibri" w:cs="Times New Roman"/>
      <w:sz w:val="24"/>
      <w:szCs w:val="24"/>
    </w:rPr>
  </w:style>
  <w:style w:type="paragraph" w:customStyle="1" w:styleId="TechData">
    <w:name w:val="Tech Data"/>
    <w:basedOn w:val="a"/>
    <w:qFormat/>
    <w:pPr>
      <w:widowControl/>
      <w:tabs>
        <w:tab w:val="left" w:pos="6237"/>
      </w:tabs>
      <w:suppressAutoHyphens/>
      <w:spacing w:before="60" w:after="60"/>
    </w:pPr>
    <w:rPr>
      <w:rFonts w:ascii="Arial" w:eastAsia="宋体" w:hAnsi="Arial" w:cs="Times New Roman"/>
      <w:kern w:val="0"/>
      <w:sz w:val="24"/>
      <w:szCs w:val="20"/>
    </w:rPr>
  </w:style>
  <w:style w:type="paragraph" w:customStyle="1" w:styleId="515">
    <w:name w:val="正文51"/>
    <w:qFormat/>
    <w:pPr>
      <w:widowControl w:val="0"/>
      <w:adjustRightInd w:val="0"/>
      <w:spacing w:line="360" w:lineRule="atLeast"/>
    </w:pPr>
    <w:rPr>
      <w:rFonts w:ascii="宋体" w:eastAsia="宋体" w:hAnsi="Calibri" w:cs="Times New Roman"/>
      <w:sz w:val="24"/>
    </w:rPr>
  </w:style>
  <w:style w:type="paragraph" w:customStyle="1" w:styleId="1210">
    <w:name w:val="样式 宋体 小四 行距: 多倍行距 1.2 字行1"/>
    <w:basedOn w:val="a"/>
    <w:qFormat/>
    <w:pPr>
      <w:spacing w:line="360" w:lineRule="auto"/>
    </w:pPr>
    <w:rPr>
      <w:rFonts w:ascii="宋体" w:eastAsia="宋体" w:hAnsi="宋体" w:cs="宋体"/>
      <w:sz w:val="24"/>
      <w:szCs w:val="20"/>
    </w:rPr>
  </w:style>
  <w:style w:type="paragraph" w:customStyle="1" w:styleId="CharCharCharCharCharCharCharCharCharCharCharCharCharCharCharCharChar1">
    <w:name w:val="Char Char Char Char Char Char Char Char Char Char Char Char Char Char Char Char Char1"/>
    <w:basedOn w:val="a"/>
    <w:qFormat/>
    <w:rPr>
      <w:rFonts w:ascii="Calibri" w:eastAsia="宋体" w:hAnsi="Calibri" w:cs="Times New Roman"/>
      <w:sz w:val="24"/>
      <w:szCs w:val="24"/>
    </w:rPr>
  </w:style>
  <w:style w:type="paragraph" w:customStyle="1" w:styleId="Char1CharCharChar2">
    <w:name w:val="Char1 Char Char Char2"/>
    <w:basedOn w:val="a"/>
    <w:qFormat/>
    <w:rPr>
      <w:rFonts w:ascii="Calibri" w:eastAsia="宋体" w:hAnsi="Calibri" w:cs="Times New Roman"/>
      <w:szCs w:val="24"/>
    </w:rPr>
  </w:style>
  <w:style w:type="paragraph" w:customStyle="1" w:styleId="reader-word-layerreader-word-s2-29">
    <w:name w:val="reader-word-layer reader-word-s2-29"/>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334">
    <w:name w:val="正文文本缩进 33"/>
    <w:basedOn w:val="a"/>
    <w:qFormat/>
    <w:pPr>
      <w:adjustRightInd w:val="0"/>
      <w:spacing w:line="480" w:lineRule="exact"/>
      <w:ind w:firstLine="525"/>
    </w:pPr>
    <w:rPr>
      <w:rFonts w:ascii="宋体" w:eastAsia="宋体" w:hAnsi="Calibri" w:cs="Times New Roman"/>
      <w:sz w:val="28"/>
      <w:szCs w:val="20"/>
    </w:rPr>
  </w:style>
  <w:style w:type="paragraph" w:customStyle="1" w:styleId="affffffffffffffffffffffffffff1">
    <w:name w:val="表格文本"/>
    <w:basedOn w:val="a"/>
    <w:next w:val="a"/>
    <w:qFormat/>
    <w:pPr>
      <w:spacing w:line="240" w:lineRule="exact"/>
    </w:pPr>
    <w:rPr>
      <w:rFonts w:ascii="Calibri" w:eastAsia="宋体" w:hAnsi="Calibri" w:cs="Times New Roman"/>
      <w:szCs w:val="20"/>
    </w:rPr>
  </w:style>
  <w:style w:type="paragraph" w:customStyle="1" w:styleId="xl315">
    <w:name w:val="xl315"/>
    <w:basedOn w:val="a"/>
    <w:qFormat/>
    <w:pPr>
      <w:widowControl/>
      <w:pBdr>
        <w:left w:val="single" w:sz="4" w:space="0" w:color="auto"/>
        <w:right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CharCharCharCharCharCharCharCharCharCharChar1CharCharCharCharCharChar3">
    <w:name w:val="Char Char Char Char Char Char Char Char Char Char Char1 Char Char Char Char Char Char3"/>
    <w:basedOn w:val="a"/>
    <w:qFormat/>
    <w:rPr>
      <w:rFonts w:ascii="Calibri" w:eastAsia="宋体" w:hAnsi="Calibri" w:cs="Times New Roman"/>
      <w:sz w:val="24"/>
      <w:szCs w:val="24"/>
    </w:rPr>
  </w:style>
  <w:style w:type="paragraph" w:customStyle="1" w:styleId="4ff9">
    <w:name w:val="列出段落4"/>
    <w:basedOn w:val="a"/>
    <w:qFormat/>
    <w:pPr>
      <w:ind w:firstLineChars="200" w:firstLine="420"/>
    </w:pPr>
    <w:rPr>
      <w:rFonts w:ascii="Calibri" w:eastAsia="宋体" w:hAnsi="Calibri" w:cs="Times New Roman"/>
    </w:rPr>
  </w:style>
  <w:style w:type="paragraph" w:customStyle="1" w:styleId="CharCharCharCharCharCharCharCharChar1CharCharCharCharCharCharChar3">
    <w:name w:val="Char Char Char Char Char Char Char Char Char1 Char Char Char Char Char Char Char3"/>
    <w:basedOn w:val="a"/>
    <w:qFormat/>
    <w:rPr>
      <w:rFonts w:ascii="Calibri" w:eastAsia="宋体" w:hAnsi="Calibri" w:cs="Times New Roman"/>
      <w:szCs w:val="21"/>
    </w:rPr>
  </w:style>
  <w:style w:type="paragraph" w:customStyle="1" w:styleId="reader-word-layerreader-word-s2-44">
    <w:name w:val="reader-word-layer reader-word-s2-44"/>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21f3">
    <w:name w:val="正文文本 (2)1"/>
    <w:basedOn w:val="a"/>
    <w:uiPriority w:val="99"/>
    <w:qFormat/>
    <w:pPr>
      <w:shd w:val="clear" w:color="auto" w:fill="FFFFFF"/>
      <w:spacing w:line="466" w:lineRule="exact"/>
      <w:ind w:hanging="800"/>
      <w:jc w:val="left"/>
    </w:pPr>
    <w:rPr>
      <w:rFonts w:ascii="宋体" w:eastAsia="宋体" w:hAnsi="Arial Unicode MS" w:cs="宋体"/>
      <w:kern w:val="0"/>
      <w:sz w:val="24"/>
      <w:szCs w:val="24"/>
    </w:rPr>
  </w:style>
  <w:style w:type="paragraph" w:customStyle="1" w:styleId="reader-word-layerreader-word-s2-16">
    <w:name w:val="reader-word-layer reader-word-s2-16"/>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CharChar2">
    <w:name w:val="Char Char Char Char Char Char Char Char Char Char Char Char Char Char Char Char2"/>
    <w:basedOn w:val="a"/>
    <w:qFormat/>
    <w:pPr>
      <w:spacing w:line="360" w:lineRule="auto"/>
      <w:ind w:firstLineChars="200" w:firstLine="200"/>
    </w:pPr>
    <w:rPr>
      <w:rFonts w:ascii="宋体" w:eastAsia="宋体" w:hAnsi="宋体" w:cs="宋体"/>
      <w:sz w:val="24"/>
      <w:szCs w:val="24"/>
    </w:rPr>
  </w:style>
  <w:style w:type="paragraph" w:customStyle="1" w:styleId="z-5">
    <w:name w:val="z-窗体底端5"/>
    <w:basedOn w:val="a"/>
    <w:next w:val="a"/>
    <w:qFormat/>
    <w:pPr>
      <w:widowControl/>
      <w:pBdr>
        <w:top w:val="single" w:sz="6" w:space="1" w:color="auto"/>
      </w:pBdr>
      <w:jc w:val="center"/>
    </w:pPr>
    <w:rPr>
      <w:rFonts w:ascii="Arial" w:eastAsia="Arial Unicode MS" w:hAnsi="Arial" w:cs="Times New Roman"/>
      <w:vanish/>
      <w:kern w:val="0"/>
      <w:sz w:val="16"/>
      <w:szCs w:val="16"/>
      <w:lang w:val="zh-CN"/>
    </w:rPr>
  </w:style>
  <w:style w:type="paragraph" w:customStyle="1" w:styleId="z-50">
    <w:name w:val="z-窗体顶端5"/>
    <w:basedOn w:val="a"/>
    <w:next w:val="a"/>
    <w:qFormat/>
    <w:pPr>
      <w:pBdr>
        <w:bottom w:val="single" w:sz="6" w:space="1" w:color="auto"/>
      </w:pBdr>
      <w:adjustRightInd w:val="0"/>
      <w:snapToGrid w:val="0"/>
      <w:spacing w:line="300" w:lineRule="auto"/>
      <w:jc w:val="center"/>
    </w:pPr>
    <w:rPr>
      <w:rFonts w:ascii="Arial" w:eastAsia="仿宋_GB2312" w:hAnsi="Arial" w:cs="Times New Roman"/>
      <w:vanish/>
      <w:kern w:val="0"/>
      <w:sz w:val="16"/>
      <w:szCs w:val="16"/>
      <w:lang w:val="zh-CN"/>
    </w:rPr>
  </w:style>
  <w:style w:type="paragraph" w:customStyle="1" w:styleId="CharChar4CharCharCharCharCharCharCharCharCharCharCharCharCharCharCharChar3">
    <w:name w:val="Char Char4 Char Char Char Char Char Char Char Char Char Char Char Char Char Char Char Char3"/>
    <w:basedOn w:val="a"/>
    <w:qFormat/>
    <w:rPr>
      <w:rFonts w:ascii="Calibri" w:eastAsia="宋体" w:hAnsi="Calibri" w:cs="Times New Roman"/>
      <w:sz w:val="24"/>
      <w:szCs w:val="24"/>
    </w:rPr>
  </w:style>
  <w:style w:type="paragraph" w:customStyle="1" w:styleId="CharChar4CharCharCharCharCharCharCharCharCharCharCharCharCharCharCharCharCharChar3">
    <w:name w:val="Char Char4 Char Char Char Char Char Char Char Char Char Char Char Char Char Char Char Char Char Char3"/>
    <w:basedOn w:val="a"/>
    <w:qFormat/>
    <w:rPr>
      <w:rFonts w:ascii="Calibri" w:eastAsia="宋体" w:hAnsi="Calibri" w:cs="Times New Roman"/>
      <w:sz w:val="24"/>
      <w:szCs w:val="24"/>
    </w:rPr>
  </w:style>
  <w:style w:type="paragraph" w:customStyle="1" w:styleId="Char1CharCharCharCharCharChar21">
    <w:name w:val="Char1 Char Char Char Char Char Char21"/>
    <w:basedOn w:val="a"/>
    <w:qFormat/>
    <w:pPr>
      <w:spacing w:line="360" w:lineRule="auto"/>
      <w:ind w:firstLineChars="200" w:firstLine="200"/>
    </w:pPr>
    <w:rPr>
      <w:rFonts w:ascii="宋体" w:eastAsia="楷体_GB2312" w:hAnsi="宋体" w:cs="宋体"/>
      <w:spacing w:val="-6"/>
      <w:sz w:val="28"/>
      <w:szCs w:val="24"/>
    </w:rPr>
  </w:style>
  <w:style w:type="paragraph" w:customStyle="1" w:styleId="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1"/>
    <w:basedOn w:val="a"/>
    <w:qFormat/>
    <w:rPr>
      <w:rFonts w:ascii="Calibri" w:eastAsia="宋体" w:hAnsi="Calibri" w:cs="Times New Roman"/>
      <w:sz w:val="24"/>
      <w:szCs w:val="24"/>
    </w:rPr>
  </w:style>
  <w:style w:type="paragraph" w:customStyle="1" w:styleId="xl330">
    <w:name w:val="xl330"/>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color w:val="000000"/>
      <w:kern w:val="0"/>
      <w:sz w:val="18"/>
      <w:szCs w:val="18"/>
    </w:rPr>
  </w:style>
  <w:style w:type="paragraph" w:customStyle="1" w:styleId="Normal0">
    <w:name w:val="Normal_0"/>
    <w:qFormat/>
    <w:pPr>
      <w:spacing w:before="120" w:after="240"/>
    </w:pPr>
    <w:rPr>
      <w:rFonts w:ascii="Calibri" w:eastAsia="Calibri" w:hAnsi="Calibri" w:cs="Times New Roman"/>
      <w:sz w:val="22"/>
      <w:szCs w:val="22"/>
      <w:lang w:val="ru-RU" w:eastAsia="en-US"/>
    </w:rPr>
  </w:style>
  <w:style w:type="paragraph" w:customStyle="1" w:styleId="xl360">
    <w:name w:val="xl360"/>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color w:val="000000"/>
      <w:kern w:val="0"/>
      <w:sz w:val="18"/>
      <w:szCs w:val="18"/>
    </w:rPr>
  </w:style>
  <w:style w:type="paragraph" w:customStyle="1" w:styleId="Char4CharCharChar3">
    <w:name w:val="Char4 Char Char Char3"/>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a"/>
    <w:qFormat/>
    <w:rPr>
      <w:rFonts w:ascii="Calibri" w:eastAsia="宋体" w:hAnsi="Calibri" w:cs="Times New Roman"/>
      <w:sz w:val="24"/>
      <w:szCs w:val="24"/>
    </w:rPr>
  </w:style>
  <w:style w:type="paragraph" w:customStyle="1" w:styleId="reader-word-layerreader-word-s2-48">
    <w:name w:val="reader-word-layer reader-word-s2-48"/>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7">
    <w:name w:val="reader-word-layer reader-word-s2-7"/>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CharCharCharCharCharCharCharCharCharCharCharCharCharCharCharCharCharCharChar1CharCharCharCharCharChar1">
    <w:name w:val="Char Char Char Char Char Char Char Char Char Char Char Char Char Char Char Char Char Char Char Char Char Char Char Char Char Char Char Char Char Char Char Char Char1 Char Char Char Char Char Char1"/>
    <w:basedOn w:val="a"/>
    <w:qFormat/>
    <w:rPr>
      <w:rFonts w:ascii="Calibri" w:eastAsia="宋体" w:hAnsi="Calibri" w:cs="Times New Roman"/>
      <w:sz w:val="24"/>
      <w:szCs w:val="24"/>
    </w:rPr>
  </w:style>
  <w:style w:type="paragraph" w:customStyle="1" w:styleId="Einruecken04">
    <w:name w:val="Einruecken 0.4"/>
    <w:basedOn w:val="a"/>
    <w:qFormat/>
    <w:pPr>
      <w:widowControl/>
      <w:tabs>
        <w:tab w:val="left" w:pos="2268"/>
        <w:tab w:val="left" w:pos="4253"/>
        <w:tab w:val="left" w:pos="4820"/>
      </w:tabs>
      <w:ind w:left="1361" w:right="851" w:hanging="227"/>
      <w:jc w:val="left"/>
    </w:pPr>
    <w:rPr>
      <w:rFonts w:ascii="Arial" w:eastAsia="宋体" w:hAnsi="Arial" w:cs="Times New Roman"/>
      <w:kern w:val="0"/>
      <w:sz w:val="20"/>
      <w:szCs w:val="20"/>
    </w:rPr>
  </w:style>
  <w:style w:type="paragraph" w:customStyle="1" w:styleId="Einzeilig">
    <w:name w:val="Einzeilig"/>
    <w:basedOn w:val="a"/>
    <w:qFormat/>
    <w:pPr>
      <w:widowControl/>
      <w:spacing w:line="240" w:lineRule="atLeast"/>
      <w:jc w:val="left"/>
    </w:pPr>
    <w:rPr>
      <w:rFonts w:ascii="Arial" w:eastAsia="宋体" w:hAnsi="Arial" w:cs="Times New Roman"/>
      <w:kern w:val="0"/>
      <w:sz w:val="24"/>
      <w:szCs w:val="20"/>
    </w:rPr>
  </w:style>
  <w:style w:type="paragraph" w:customStyle="1" w:styleId="419">
    <w:name w:val="正文缩进41"/>
    <w:basedOn w:val="a"/>
    <w:qFormat/>
    <w:pPr>
      <w:spacing w:line="500" w:lineRule="exact"/>
      <w:ind w:firstLineChars="200" w:firstLine="560"/>
    </w:pPr>
    <w:rPr>
      <w:rFonts w:ascii="仿宋_GB2312" w:eastAsia="仿宋_GB2312" w:hAnsi="Calibri" w:cs="Times New Roman"/>
      <w:sz w:val="28"/>
      <w:szCs w:val="24"/>
    </w:rPr>
  </w:style>
  <w:style w:type="paragraph" w:customStyle="1" w:styleId="Style200">
    <w:name w:val="_Style 20"/>
    <w:basedOn w:val="a"/>
    <w:qFormat/>
    <w:pPr>
      <w:widowControl/>
      <w:spacing w:after="160" w:line="240" w:lineRule="exact"/>
      <w:jc w:val="left"/>
    </w:pPr>
    <w:rPr>
      <w:rFonts w:ascii="Verdana" w:eastAsia="宋体" w:hAnsi="Verdana" w:cs="Times New Roman"/>
      <w:kern w:val="0"/>
      <w:sz w:val="20"/>
      <w:szCs w:val="20"/>
      <w:lang w:eastAsia="en-US"/>
    </w:rPr>
  </w:style>
  <w:style w:type="paragraph" w:customStyle="1" w:styleId="105">
    <w:name w:val="无间隔10"/>
    <w:uiPriority w:val="1"/>
    <w:qFormat/>
    <w:pPr>
      <w:widowControl w:val="0"/>
      <w:jc w:val="both"/>
    </w:pPr>
    <w:rPr>
      <w:rFonts w:ascii="Arial" w:eastAsia="仿宋" w:hAnsi="Arial" w:cs="Times New Roman"/>
      <w:w w:val="90"/>
      <w:kern w:val="2"/>
      <w:sz w:val="24"/>
      <w:szCs w:val="24"/>
    </w:rPr>
  </w:style>
  <w:style w:type="paragraph" w:customStyle="1" w:styleId="CharCharCharCharCharCharCharCharCharCharCharCharCharCharCharCharCharCharCharCharCharCharCharCharChar3">
    <w:name w:val="Char Char Char Char Char Char Char Char Char Char Char Char Char Char Char Char Char Char Char Char Char Char Char Char Char3"/>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2"/>
    <w:basedOn w:val="a"/>
    <w:qFormat/>
    <w:rPr>
      <w:rFonts w:ascii="Calibri" w:eastAsia="宋体" w:hAnsi="Calibri" w:cs="Times New Roman"/>
      <w:szCs w:val="24"/>
    </w:rPr>
  </w:style>
  <w:style w:type="paragraph" w:customStyle="1" w:styleId="Style627">
    <w:name w:val="_Style 627"/>
    <w:uiPriority w:val="99"/>
    <w:qFormat/>
    <w:pPr>
      <w:widowControl w:val="0"/>
      <w:jc w:val="both"/>
    </w:pPr>
    <w:rPr>
      <w:rFonts w:ascii="Calibri" w:eastAsia="宋体" w:hAnsi="Calibri" w:cs="Times New Roman"/>
      <w:kern w:val="2"/>
      <w:sz w:val="21"/>
      <w:szCs w:val="22"/>
    </w:rPr>
  </w:style>
  <w:style w:type="paragraph" w:customStyle="1" w:styleId="12e">
    <w:name w:val="样式 宋体 小四 行距: 多倍行距 1.2 字行"/>
    <w:basedOn w:val="a"/>
    <w:qFormat/>
    <w:pPr>
      <w:topLinePunct/>
      <w:spacing w:line="360" w:lineRule="auto"/>
      <w:ind w:firstLineChars="196" w:firstLine="549"/>
    </w:pPr>
    <w:rPr>
      <w:rFonts w:ascii="宋体" w:eastAsia="宋体" w:hAnsi="宋体" w:cs="宋体"/>
      <w:kern w:val="0"/>
      <w:sz w:val="28"/>
      <w:szCs w:val="28"/>
    </w:rPr>
  </w:style>
  <w:style w:type="paragraph" w:customStyle="1" w:styleId="CM2">
    <w:name w:val="CM2"/>
    <w:basedOn w:val="Default"/>
    <w:next w:val="Default"/>
    <w:qFormat/>
    <w:pPr>
      <w:spacing w:line="231" w:lineRule="atLeast"/>
    </w:pPr>
    <w:rPr>
      <w:rFonts w:ascii="Times New Roman" w:hAnsi="Calibri" w:cs="Times New Roman"/>
      <w:color w:val="auto"/>
    </w:rPr>
  </w:style>
  <w:style w:type="paragraph" w:customStyle="1" w:styleId="CharCharCharCharCharCharCharCharCharCharChar1CharCharCharCharCharChar1Char1">
    <w:name w:val="Char Char Char Char Char Char Char Char Char Char Char1 Char Char Char Char Char Char1 Char1"/>
    <w:basedOn w:val="a"/>
    <w:qFormat/>
    <w:rPr>
      <w:rFonts w:ascii="Calibri" w:eastAsia="宋体" w:hAnsi="Calibri" w:cs="Times New Roman"/>
      <w:sz w:val="24"/>
      <w:szCs w:val="24"/>
    </w:rPr>
  </w:style>
  <w:style w:type="paragraph" w:customStyle="1" w:styleId="Charffffffffa">
    <w:name w:val="大妹正文 Char"/>
    <w:basedOn w:val="1"/>
    <w:qFormat/>
    <w:pPr>
      <w:spacing w:before="0" w:line="360" w:lineRule="auto"/>
      <w:ind w:left="0" w:rightChars="-15" w:right="-31"/>
      <w:jc w:val="center"/>
      <w:outlineLvl w:val="9"/>
    </w:pPr>
    <w:rPr>
      <w:rFonts w:ascii="宋体" w:eastAsia="宋体" w:hAnsi="宋体" w:cs="Times New Roman"/>
      <w:bCs w:val="0"/>
      <w:color w:val="000000"/>
      <w:kern w:val="44"/>
      <w:sz w:val="24"/>
      <w:szCs w:val="24"/>
      <w:lang w:val="zh-CN" w:eastAsia="zh-CN"/>
    </w:rPr>
  </w:style>
  <w:style w:type="paragraph" w:customStyle="1" w:styleId="CharCharCharCharCharCharCharCharChar1CharCharChar1Char1">
    <w:name w:val="Char Char Char Char Char Char Char Char Char1 Char Char Char1 Char1"/>
    <w:basedOn w:val="a"/>
    <w:qFormat/>
    <w:rPr>
      <w:rFonts w:ascii="Calibri" w:eastAsia="宋体" w:hAnsi="Calibri" w:cs="Times New Roman"/>
      <w:szCs w:val="21"/>
    </w:rPr>
  </w:style>
  <w:style w:type="paragraph" w:customStyle="1" w:styleId="Char4CharCharCharCharCharChar1">
    <w:name w:val="Char4 Char Char Char Char Char Char1"/>
    <w:basedOn w:val="a"/>
    <w:qFormat/>
    <w:rPr>
      <w:rFonts w:ascii="Calibri" w:eastAsia="宋体" w:hAnsi="Calibri" w:cs="Times New Roman"/>
      <w:sz w:val="24"/>
      <w:szCs w:val="24"/>
    </w:rPr>
  </w:style>
  <w:style w:type="paragraph" w:customStyle="1" w:styleId="TableTitle">
    <w:name w:val="Table Title"/>
    <w:basedOn w:val="a"/>
    <w:qFormat/>
    <w:pPr>
      <w:widowControl/>
      <w:snapToGrid w:val="0"/>
      <w:spacing w:beforeLines="50" w:afterLines="50" w:line="400" w:lineRule="exact"/>
      <w:jc w:val="center"/>
    </w:pPr>
    <w:rPr>
      <w:rFonts w:ascii="Calibri" w:eastAsia="宋体" w:hAnsi="Calibri" w:cs="Times New Roman"/>
      <w:sz w:val="24"/>
      <w:szCs w:val="24"/>
    </w:rPr>
  </w:style>
  <w:style w:type="paragraph" w:customStyle="1" w:styleId="CharCharCharCharCharCharCharCharChar1CharCharCharChar41">
    <w:name w:val="Char Char Char Char Char Char Char Char Char1 Char Char Char Char41"/>
    <w:basedOn w:val="a"/>
    <w:qFormat/>
    <w:rPr>
      <w:rFonts w:ascii="Arial" w:eastAsia="楷体_GB2312" w:hAnsi="Calibri" w:cs="Times New Roman"/>
      <w:spacing w:val="-6"/>
      <w:szCs w:val="21"/>
    </w:rPr>
  </w:style>
  <w:style w:type="paragraph" w:customStyle="1" w:styleId="affffffffffffffffffffffffffff2">
    <w:name w:val="样式 正文 +"/>
    <w:basedOn w:val="a"/>
    <w:qFormat/>
    <w:pPr>
      <w:spacing w:beforeLines="50" w:afterLines="50" w:line="360" w:lineRule="auto"/>
      <w:ind w:firstLineChars="200" w:firstLine="480"/>
    </w:pPr>
    <w:rPr>
      <w:rFonts w:ascii="Calibri" w:eastAsia="宋体" w:hAnsi="Calibri" w:cs="宋体"/>
      <w:sz w:val="24"/>
      <w:szCs w:val="20"/>
    </w:rPr>
  </w:style>
  <w:style w:type="paragraph" w:customStyle="1" w:styleId="affffffffffffffffffffffffffff3">
    <w:name w:val="样式 正文"/>
    <w:basedOn w:val="a"/>
    <w:qFormat/>
    <w:pPr>
      <w:spacing w:line="360" w:lineRule="auto"/>
      <w:ind w:firstLineChars="200" w:firstLine="200"/>
    </w:pPr>
    <w:rPr>
      <w:rFonts w:ascii="宋体" w:eastAsia="宋体" w:hAnsi="宋体" w:cs="宋体"/>
      <w:color w:val="000000"/>
      <w:sz w:val="28"/>
      <w:szCs w:val="28"/>
    </w:rPr>
  </w:style>
  <w:style w:type="paragraph" w:customStyle="1" w:styleId="hblack">
    <w:name w:val="h_black"/>
    <w:basedOn w:val="a"/>
    <w:qFormat/>
    <w:pPr>
      <w:widowControl/>
      <w:spacing w:before="100" w:beforeAutospacing="1" w:after="100" w:afterAutospacing="1" w:line="300" w:lineRule="atLeast"/>
      <w:jc w:val="left"/>
    </w:pPr>
    <w:rPr>
      <w:rFonts w:ascii="ˎ̥" w:eastAsia="宋体" w:hAnsi="ˎ̥" w:cs="Times New Roman"/>
      <w:color w:val="333333"/>
      <w:kern w:val="0"/>
      <w:sz w:val="18"/>
      <w:szCs w:val="18"/>
    </w:rPr>
  </w:style>
  <w:style w:type="paragraph" w:customStyle="1" w:styleId="6b">
    <w:name w:val="正文缩进6"/>
    <w:basedOn w:val="a"/>
    <w:qFormat/>
    <w:pPr>
      <w:adjustRightInd w:val="0"/>
      <w:ind w:firstLineChars="200" w:firstLine="420"/>
    </w:pPr>
    <w:rPr>
      <w:rFonts w:ascii="Calibri" w:eastAsia="宋体" w:hAnsi="宋体" w:cs="Times New Roman"/>
      <w:sz w:val="24"/>
      <w:szCs w:val="20"/>
    </w:rPr>
  </w:style>
  <w:style w:type="paragraph" w:customStyle="1" w:styleId="2fffffff7">
    <w:name w:val="字元2"/>
    <w:basedOn w:val="a"/>
    <w:qFormat/>
    <w:rPr>
      <w:rFonts w:ascii="Calibri" w:eastAsia="宋体" w:hAnsi="Calibri" w:cs="Times New Roman"/>
      <w:sz w:val="24"/>
      <w:szCs w:val="24"/>
    </w:rPr>
  </w:style>
  <w:style w:type="paragraph" w:customStyle="1" w:styleId="CharCharCharCharCharCharCharCharChar1Char10">
    <w:name w:val="Char Char Char Char Char Char Char Char Char1 Char10"/>
    <w:basedOn w:val="a"/>
    <w:qFormat/>
    <w:pPr>
      <w:widowControl/>
      <w:spacing w:after="160" w:line="240" w:lineRule="exact"/>
      <w:jc w:val="left"/>
    </w:pPr>
    <w:rPr>
      <w:rFonts w:ascii="Arial" w:eastAsia="Times New Roman" w:hAnsi="Arial" w:cs="Verdana"/>
      <w:b/>
      <w:kern w:val="0"/>
      <w:sz w:val="24"/>
      <w:szCs w:val="24"/>
      <w:lang w:eastAsia="en-US"/>
    </w:rPr>
  </w:style>
  <w:style w:type="paragraph" w:styleId="affffffffffffffffffffffffffff4">
    <w:name w:val="No Spacing"/>
    <w:qFormat/>
    <w:pPr>
      <w:widowControl w:val="0"/>
      <w:jc w:val="both"/>
    </w:pPr>
    <w:rPr>
      <w:rFonts w:ascii="Arial" w:eastAsia="仿宋" w:hAnsi="Arial" w:cs="Times New Roman"/>
      <w:w w:val="90"/>
      <w:kern w:val="2"/>
      <w:sz w:val="24"/>
      <w:szCs w:val="24"/>
    </w:rPr>
  </w:style>
  <w:style w:type="paragraph" w:customStyle="1" w:styleId="CharCharCharCharCharCharCharCharCharCharChar1CharCharCharCharCharCharCharCharCharCharCharCharCharCharCharChar3">
    <w:name w:val="Char Char Char Char Char Char Char Char Char Char Char1 Char Char Char Char Char Char Char Char Char Char Char Char Char Char Char Char3"/>
    <w:basedOn w:val="a"/>
    <w:qFormat/>
    <w:rPr>
      <w:rFonts w:ascii="Calibri" w:eastAsia="宋体" w:hAnsi="Calibri" w:cs="Times New Roman"/>
      <w:sz w:val="24"/>
      <w:szCs w:val="24"/>
    </w:rPr>
  </w:style>
  <w:style w:type="paragraph" w:customStyle="1" w:styleId="affffffffffffffffffffffffffff5">
    <w:name w:val="中文报告书样式"/>
    <w:basedOn w:val="a"/>
    <w:qFormat/>
    <w:pPr>
      <w:adjustRightInd w:val="0"/>
      <w:spacing w:line="360" w:lineRule="auto"/>
      <w:ind w:firstLine="482"/>
    </w:pPr>
    <w:rPr>
      <w:rFonts w:ascii="Calibri" w:eastAsia="宋体" w:hAnsi="Calibri" w:cs="Times New Roman"/>
      <w:kern w:val="24"/>
      <w:sz w:val="24"/>
      <w:szCs w:val="20"/>
    </w:rPr>
  </w:style>
  <w:style w:type="paragraph" w:customStyle="1" w:styleId="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1"/>
    <w:basedOn w:val="a"/>
    <w:qFormat/>
    <w:rPr>
      <w:rFonts w:ascii="Calibri" w:eastAsia="宋体" w:hAnsi="Calibri" w:cs="Times New Roman"/>
      <w:sz w:val="24"/>
      <w:szCs w:val="24"/>
    </w:rPr>
  </w:style>
  <w:style w:type="paragraph" w:customStyle="1" w:styleId="xl348">
    <w:name w:val="xl348"/>
    <w:basedOn w:val="a"/>
    <w:qFormat/>
    <w:pPr>
      <w:widowControl/>
      <w:pBdr>
        <w:top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b/>
      <w:bCs/>
      <w:kern w:val="0"/>
      <w:sz w:val="18"/>
      <w:szCs w:val="18"/>
    </w:rPr>
  </w:style>
  <w:style w:type="paragraph" w:customStyle="1" w:styleId="affffffffffffffffffffffffffff6">
    <w:name w:val="表格头"/>
    <w:qFormat/>
    <w:pPr>
      <w:spacing w:before="120" w:after="120" w:line="480" w:lineRule="atLeast"/>
      <w:jc w:val="center"/>
    </w:pPr>
    <w:rPr>
      <w:rFonts w:ascii="Calibri" w:eastAsia="宋体" w:hAnsi="Calibri" w:cs="Times New Roman"/>
      <w:sz w:val="24"/>
    </w:rPr>
  </w:style>
  <w:style w:type="paragraph" w:customStyle="1" w:styleId="xl319">
    <w:name w:val="xl31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CharChar4CharCharCharCharCharChar3">
    <w:name w:val="Char Char4 Char Char Char Char Char Char3"/>
    <w:basedOn w:val="a"/>
    <w:qFormat/>
    <w:pPr>
      <w:spacing w:beforeLines="50" w:afterLines="100"/>
      <w:jc w:val="center"/>
    </w:pPr>
    <w:rPr>
      <w:rFonts w:ascii="Calibri" w:eastAsia="宋体" w:hAnsi="Calibri" w:cs="Times New Roman"/>
      <w:szCs w:val="24"/>
    </w:rPr>
  </w:style>
  <w:style w:type="paragraph" w:customStyle="1" w:styleId="affffffffffffffffffffffffffff7">
    <w:name w:val="黄表格"/>
    <w:basedOn w:val="a"/>
    <w:qFormat/>
    <w:pPr>
      <w:widowControl/>
      <w:autoSpaceDE w:val="0"/>
      <w:autoSpaceDN w:val="0"/>
      <w:adjustRightInd w:val="0"/>
      <w:jc w:val="center"/>
    </w:pPr>
    <w:rPr>
      <w:rFonts w:ascii="Calibri" w:eastAsia="宋体" w:hAnsi="Calibri" w:cs="宋体"/>
      <w:kern w:val="0"/>
      <w:szCs w:val="21"/>
    </w:rPr>
  </w:style>
  <w:style w:type="paragraph" w:customStyle="1" w:styleId="CharCharCharCharCharCharCharCharCharCharCharCharCharCharCharCharCharCharCharCharCharCharCharCharCharChar13">
    <w:name w:val="Char Char Char Char Char Char Char Char Char Char Char Char Char Char Char Char Char Char Char Char Char Char Char Char Char Char13"/>
    <w:basedOn w:val="a"/>
    <w:qFormat/>
    <w:rPr>
      <w:rFonts w:ascii="Calibri" w:eastAsia="宋体" w:hAnsi="Calibri" w:cs="Times New Roman"/>
      <w:sz w:val="24"/>
      <w:szCs w:val="24"/>
    </w:rPr>
  </w:style>
  <w:style w:type="paragraph" w:customStyle="1" w:styleId="5f9">
    <w:name w:val="正文缩进5"/>
    <w:basedOn w:val="a"/>
    <w:qFormat/>
    <w:pPr>
      <w:ind w:firstLine="420"/>
    </w:pPr>
    <w:rPr>
      <w:rFonts w:ascii="Calibri" w:eastAsia="宋体" w:hAnsi="Calibri" w:cs="Times New Roman"/>
      <w:sz w:val="28"/>
      <w:szCs w:val="20"/>
    </w:rPr>
  </w:style>
  <w:style w:type="paragraph" w:customStyle="1" w:styleId="reader-word-layerreader-word-s1-60">
    <w:name w:val="reader-word-layer reader-word-s1-60"/>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normalpuces2">
    <w:name w:val="normal puces 2"/>
    <w:basedOn w:val="a"/>
    <w:qFormat/>
    <w:pPr>
      <w:widowControl/>
      <w:tabs>
        <w:tab w:val="left" w:pos="432"/>
      </w:tabs>
      <w:spacing w:before="40"/>
      <w:ind w:left="432" w:hanging="432"/>
    </w:pPr>
    <w:rPr>
      <w:rFonts w:ascii="Arial" w:eastAsia="宋体" w:hAnsi="Arial" w:cs="Times New Roman"/>
      <w:kern w:val="0"/>
      <w:sz w:val="24"/>
      <w:szCs w:val="20"/>
    </w:rPr>
  </w:style>
  <w:style w:type="paragraph" w:customStyle="1" w:styleId="hao01-0">
    <w:name w:val="hao01-0"/>
    <w:qFormat/>
    <w:pPr>
      <w:ind w:firstLineChars="200" w:firstLine="200"/>
    </w:pPr>
    <w:rPr>
      <w:rFonts w:ascii="Calibri" w:eastAsia="宋体" w:hAnsi="Calibri" w:cs="Times New Roman"/>
      <w:kern w:val="2"/>
      <w:sz w:val="24"/>
      <w:szCs w:val="24"/>
    </w:rPr>
  </w:style>
  <w:style w:type="paragraph" w:customStyle="1" w:styleId="xl345">
    <w:name w:val="xl34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CharCharCharCharCharCharCharCharCharCharCharCharCharCharChar3">
    <w:name w:val="Char Char Char Char Char Char Char Char Char Char Char Char Char Char Char3"/>
    <w:basedOn w:val="a"/>
    <w:qFormat/>
    <w:rPr>
      <w:rFonts w:ascii="Calibri" w:eastAsia="宋体" w:hAnsi="Calibri" w:cs="Times New Roman"/>
      <w:sz w:val="24"/>
      <w:szCs w:val="24"/>
    </w:rPr>
  </w:style>
  <w:style w:type="paragraph" w:customStyle="1" w:styleId="reader-word-layerreader-word-s3-4">
    <w:name w:val="reader-word-layer reader-word-s3-4"/>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4CharCharCharCharCharCharCharCharCharCharCharCharCharCharCharChar1">
    <w:name w:val="Char Char4 Char Char Char Char Char Char Char Char Char Char Char Char Char Char Char Char1"/>
    <w:basedOn w:val="a"/>
    <w:qFormat/>
    <w:rPr>
      <w:rFonts w:ascii="Calibri" w:eastAsia="宋体" w:hAnsi="Calibri" w:cs="Times New Roman"/>
      <w:sz w:val="24"/>
      <w:szCs w:val="24"/>
    </w:rPr>
  </w:style>
  <w:style w:type="paragraph" w:customStyle="1" w:styleId="CharChar4CharCharCharCharCharChar2">
    <w:name w:val="Char Char4 Char Char Char Char Char Char2"/>
    <w:basedOn w:val="a"/>
    <w:qFormat/>
    <w:pPr>
      <w:spacing w:beforeLines="50" w:afterLines="100"/>
      <w:jc w:val="center"/>
    </w:pPr>
    <w:rPr>
      <w:rFonts w:ascii="Calibri" w:eastAsia="宋体" w:hAnsi="Calibri" w:cs="Times New Roman"/>
      <w:szCs w:val="24"/>
    </w:rPr>
  </w:style>
  <w:style w:type="paragraph" w:customStyle="1" w:styleId="affffffffffffffffffffffffffff8">
    <w:name w:val="表单位"/>
    <w:basedOn w:val="a"/>
    <w:qFormat/>
    <w:pPr>
      <w:adjustRightInd w:val="0"/>
      <w:spacing w:before="60" w:after="60" w:line="288" w:lineRule="auto"/>
      <w:ind w:left="851"/>
      <w:jc w:val="right"/>
    </w:pPr>
    <w:rPr>
      <w:rFonts w:ascii="Calibri" w:eastAsia="宋体" w:hAnsi="Calibri" w:cs="Times New Roman"/>
      <w:kern w:val="44"/>
      <w:sz w:val="18"/>
      <w:szCs w:val="20"/>
      <w:lang w:val="en-GB"/>
    </w:rPr>
  </w:style>
  <w:style w:type="paragraph" w:customStyle="1" w:styleId="CM4">
    <w:name w:val="CM4"/>
    <w:basedOn w:val="Default"/>
    <w:next w:val="Default"/>
    <w:qFormat/>
    <w:pPr>
      <w:spacing w:after="233"/>
    </w:pPr>
    <w:rPr>
      <w:rFonts w:ascii="Times New Roman" w:hAnsi="Calibri" w:cs="Times New Roman"/>
      <w:color w:val="auto"/>
    </w:rPr>
  </w:style>
  <w:style w:type="paragraph" w:customStyle="1" w:styleId="CharCharCharCharCharCharCharCharCharCharCharCharCharCharCharCharCharCharCharCharCharCharCharChar3">
    <w:name w:val="Char Char Char Char Char Char Char Char Char Char Char Char Char Char Char Char Char Char Char Char Char Char Char Char3"/>
    <w:basedOn w:val="a"/>
    <w:qFormat/>
    <w:rPr>
      <w:rFonts w:ascii="Calibri" w:eastAsia="宋体" w:hAnsi="Calibri" w:cs="Times New Roman"/>
      <w:sz w:val="24"/>
      <w:szCs w:val="24"/>
    </w:rPr>
  </w:style>
  <w:style w:type="paragraph" w:customStyle="1" w:styleId="CharCharCharCharCharCharCharChar1CharCharCharCharCharCharCharCharCharCharCharChar1">
    <w:name w:val="Char Char Char Char Char Char Char Char1 Char Char Char Char Char Char Char Char Char Char Char Char1"/>
    <w:basedOn w:val="a"/>
    <w:qFormat/>
    <w:rPr>
      <w:rFonts w:ascii="Calibri" w:eastAsia="宋体" w:hAnsi="Calibri" w:cs="Times New Roman"/>
      <w:sz w:val="24"/>
      <w:szCs w:val="24"/>
    </w:rPr>
  </w:style>
  <w:style w:type="paragraph" w:customStyle="1" w:styleId="CharCharCharCharCharCharCharCharCharCharCharChar3">
    <w:name w:val="Char Char Char Char Char Char Char Char Char Char Char Char3"/>
    <w:basedOn w:val="a"/>
    <w:qFormat/>
    <w:rPr>
      <w:rFonts w:ascii="Calibri" w:eastAsia="宋体" w:hAnsi="Calibri" w:cs="Times New Roman"/>
      <w:sz w:val="24"/>
      <w:szCs w:val="24"/>
    </w:rPr>
  </w:style>
  <w:style w:type="paragraph" w:customStyle="1" w:styleId="CharCharCharCharCharCharCharCharCharChar2">
    <w:name w:val="Char Char Char Char Char Char Char Char Char Char2"/>
    <w:basedOn w:val="a"/>
    <w:qFormat/>
    <w:rPr>
      <w:rFonts w:ascii="Calibri" w:eastAsia="宋体" w:hAnsi="Calibri" w:cs="Times New Roman"/>
      <w:sz w:val="24"/>
      <w:szCs w:val="24"/>
    </w:rPr>
  </w:style>
  <w:style w:type="paragraph" w:customStyle="1" w:styleId="affffffffffffffffffffffffffff9">
    <w:name w:val="表格右齐"/>
    <w:basedOn w:val="a"/>
    <w:qFormat/>
    <w:pPr>
      <w:tabs>
        <w:tab w:val="left" w:pos="425"/>
      </w:tabs>
      <w:spacing w:line="360" w:lineRule="auto"/>
      <w:ind w:left="425" w:hanging="425"/>
    </w:pPr>
    <w:rPr>
      <w:rFonts w:ascii="Calibri" w:eastAsia="宋体" w:hAnsi="Calibri" w:cs="Times New Roman"/>
      <w:b/>
      <w:bCs/>
      <w:sz w:val="28"/>
      <w:szCs w:val="28"/>
    </w:rPr>
  </w:style>
  <w:style w:type="paragraph" w:customStyle="1" w:styleId="reader-word-layerreader-word-s2-5">
    <w:name w:val="reader-word-layer reader-word-s2-5"/>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xl342">
    <w:name w:val="xl34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FF"/>
      <w:kern w:val="0"/>
      <w:sz w:val="18"/>
      <w:szCs w:val="18"/>
      <w:u w:val="single"/>
    </w:rPr>
  </w:style>
  <w:style w:type="paragraph" w:customStyle="1" w:styleId="xl326">
    <w:name w:val="xl32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FF"/>
      <w:kern w:val="0"/>
      <w:sz w:val="18"/>
      <w:szCs w:val="18"/>
    </w:rPr>
  </w:style>
  <w:style w:type="paragraph" w:customStyle="1" w:styleId="1fffffff5">
    <w:name w:val="说明1"/>
    <w:basedOn w:val="a"/>
    <w:qFormat/>
    <w:pPr>
      <w:keepLines/>
      <w:widowControl/>
      <w:suppressLineNumbers/>
      <w:suppressAutoHyphens/>
      <w:spacing w:before="60" w:after="60" w:line="320" w:lineRule="atLeast"/>
    </w:pPr>
    <w:rPr>
      <w:rFonts w:ascii="Calibri" w:eastAsia="宋体" w:hAnsi="Calibri" w:cs="Times New Roman"/>
      <w:kern w:val="21"/>
      <w:szCs w:val="20"/>
    </w:rPr>
  </w:style>
  <w:style w:type="paragraph" w:customStyle="1" w:styleId="reader-word-layerreader-word-s2-36">
    <w:name w:val="reader-word-layer reader-word-s2-36"/>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CharCharChar1Char2">
    <w:name w:val="Char Char Char Char Char Char Char Char Char Char Char Char Char Char Char Char Char1 Char2"/>
    <w:basedOn w:val="a"/>
    <w:qFormat/>
    <w:rPr>
      <w:rFonts w:ascii="Calibri" w:eastAsia="宋体" w:hAnsi="Calibri" w:cs="Times New Roman"/>
      <w:sz w:val="24"/>
      <w:szCs w:val="24"/>
    </w:rPr>
  </w:style>
  <w:style w:type="paragraph" w:customStyle="1" w:styleId="xl308">
    <w:name w:val="xl308"/>
    <w:basedOn w:val="a"/>
    <w:qFormat/>
    <w:pPr>
      <w:widowControl/>
      <w:pBdr>
        <w:top w:val="single" w:sz="4" w:space="0" w:color="auto"/>
        <w:right w:val="single" w:sz="4"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Standardip">
    <w:name w:val="Standard_ip"/>
    <w:basedOn w:val="a"/>
    <w:next w:val="a"/>
    <w:qFormat/>
    <w:pPr>
      <w:widowControl/>
      <w:tabs>
        <w:tab w:val="left" w:pos="2126"/>
        <w:tab w:val="right" w:pos="4678"/>
        <w:tab w:val="left" w:pos="6095"/>
        <w:tab w:val="right" w:pos="8505"/>
      </w:tabs>
      <w:ind w:left="992"/>
    </w:pPr>
    <w:rPr>
      <w:rFonts w:ascii="Arial" w:eastAsia="宋体" w:hAnsi="Arial" w:cs="Times New Roman"/>
      <w:kern w:val="0"/>
      <w:sz w:val="20"/>
      <w:szCs w:val="20"/>
    </w:rPr>
  </w:style>
  <w:style w:type="paragraph" w:customStyle="1" w:styleId="CharCharCharCharCharCharCharCharCharCharChar6">
    <w:name w:val="Char Char Char Char Char Char Char Char Char Char Char6"/>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CharCharCharCharCharCharCharChar1CharCharCharCharCharChar2">
    <w:name w:val="Char Char Char Char Char Char Char Char Char Char Char Char Char Char Char Char Char Char Char Char Char Char Char Char Char Char Char Char Char Char Char Char Char1 Char Char Char Char Char Char2"/>
    <w:basedOn w:val="a"/>
    <w:qFormat/>
    <w:rPr>
      <w:rFonts w:ascii="Calibri" w:eastAsia="宋体" w:hAnsi="Calibri" w:cs="Times New Roman"/>
      <w:sz w:val="24"/>
      <w:szCs w:val="24"/>
    </w:rPr>
  </w:style>
  <w:style w:type="paragraph" w:customStyle="1" w:styleId="techdata0">
    <w:name w:val="tech data"/>
    <w:basedOn w:val="a"/>
    <w:next w:val="a"/>
    <w:qFormat/>
    <w:pPr>
      <w:widowControl/>
      <w:tabs>
        <w:tab w:val="left" w:pos="5670"/>
      </w:tabs>
      <w:spacing w:before="80"/>
    </w:pPr>
    <w:rPr>
      <w:rFonts w:ascii="Arial" w:eastAsia="宋体" w:hAnsi="Arial" w:cs="Times New Roman"/>
      <w:kern w:val="0"/>
      <w:sz w:val="24"/>
      <w:szCs w:val="20"/>
    </w:rPr>
  </w:style>
  <w:style w:type="paragraph" w:customStyle="1" w:styleId="xl353">
    <w:name w:val="xl353"/>
    <w:basedOn w:val="a"/>
    <w:qFormat/>
    <w:pPr>
      <w:widowControl/>
      <w:pBdr>
        <w:top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CharChar1CharCharCharChar3">
    <w:name w:val="Char Char1 Char Char Char Char3"/>
    <w:basedOn w:val="a"/>
    <w:qFormat/>
    <w:rPr>
      <w:rFonts w:ascii="Calibri" w:eastAsia="宋体" w:hAnsi="Calibri" w:cs="Times New Roman"/>
      <w:sz w:val="24"/>
      <w:szCs w:val="24"/>
    </w:rPr>
  </w:style>
  <w:style w:type="paragraph" w:customStyle="1" w:styleId="xl307">
    <w:name w:val="xl307"/>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xl322">
    <w:name w:val="xl32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2fffffff8">
    <w:name w:val="标题 2 黑体 小四"/>
    <w:basedOn w:val="HTML"/>
    <w:qFormat/>
    <w:pPr>
      <w:spacing w:before="0"/>
      <w:ind w:firstLine="0"/>
    </w:pPr>
    <w:rPr>
      <w:rFonts w:ascii="宋体" w:eastAsia="黑体" w:hAnsi="宋体"/>
      <w:sz w:val="24"/>
      <w:szCs w:val="24"/>
    </w:rPr>
  </w:style>
  <w:style w:type="paragraph" w:customStyle="1" w:styleId="xl312">
    <w:name w:val="xl312"/>
    <w:basedOn w:val="a"/>
    <w:qFormat/>
    <w:pPr>
      <w:widowControl/>
      <w:pBdr>
        <w:bottom w:val="single" w:sz="4" w:space="0" w:color="auto"/>
        <w:right w:val="single" w:sz="4" w:space="0" w:color="auto"/>
      </w:pBdr>
      <w:spacing w:before="100" w:beforeAutospacing="1" w:after="100" w:afterAutospacing="1"/>
      <w:jc w:val="center"/>
    </w:pPr>
    <w:rPr>
      <w:rFonts w:ascii="Calibri" w:eastAsia="宋体" w:hAnsi="Calibri" w:cs="Times New Roman"/>
      <w:b/>
      <w:bCs/>
      <w:kern w:val="0"/>
      <w:sz w:val="18"/>
      <w:szCs w:val="18"/>
    </w:rPr>
  </w:style>
  <w:style w:type="paragraph" w:customStyle="1" w:styleId="CharCharChar1Char9">
    <w:name w:val="Char Char Char1 Char9"/>
    <w:basedOn w:val="2"/>
    <w:qFormat/>
    <w:pPr>
      <w:keepNext w:val="0"/>
      <w:keepLines w:val="0"/>
      <w:widowControl/>
      <w:spacing w:before="0" w:after="0" w:line="520" w:lineRule="exact"/>
    </w:pPr>
    <w:rPr>
      <w:rFonts w:ascii="Times New Roman" w:eastAsia="宋体" w:hAnsi="Times New Roman" w:cs="Times New Roman"/>
      <w:kern w:val="0"/>
      <w:sz w:val="28"/>
      <w:szCs w:val="28"/>
    </w:rPr>
  </w:style>
  <w:style w:type="paragraph" w:customStyle="1" w:styleId="3113">
    <w:name w:val="正文311"/>
    <w:qFormat/>
    <w:pPr>
      <w:widowControl w:val="0"/>
      <w:adjustRightInd w:val="0"/>
      <w:spacing w:line="312" w:lineRule="atLeast"/>
      <w:jc w:val="both"/>
    </w:pPr>
    <w:rPr>
      <w:rFonts w:ascii="Arial" w:eastAsia="楷体_GB2312" w:hAnsi="Calibri" w:cs="Times New Roman"/>
      <w:spacing w:val="-6"/>
      <w:sz w:val="28"/>
    </w:rPr>
  </w:style>
  <w:style w:type="paragraph" w:customStyle="1" w:styleId="xl346">
    <w:name w:val="xl346"/>
    <w:basedOn w:val="a"/>
    <w:qFormat/>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xl310">
    <w:name w:val="xl310"/>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xl333">
    <w:name w:val="xl33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8"/>
      <w:szCs w:val="18"/>
    </w:rPr>
  </w:style>
  <w:style w:type="paragraph" w:customStyle="1" w:styleId="xl318">
    <w:name w:val="xl31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reader-word-layerreader-word-s1-4">
    <w:name w:val="reader-word-layer reader-word-s1-4"/>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1CharCharCharCharCharChar11">
    <w:name w:val="Char Char Char Char Char Char Char Char Char Char Char1 Char Char Char Char Char Char11"/>
    <w:basedOn w:val="a"/>
    <w:qFormat/>
    <w:rPr>
      <w:rFonts w:ascii="Calibri" w:eastAsia="宋体" w:hAnsi="Calibri" w:cs="Times New Roman"/>
      <w:sz w:val="24"/>
      <w:szCs w:val="24"/>
    </w:rPr>
  </w:style>
  <w:style w:type="paragraph" w:customStyle="1" w:styleId="affffffffffffffffffffffffffffa">
    <w:name w:val="报告书正文段落"/>
    <w:basedOn w:val="a"/>
    <w:qFormat/>
    <w:pPr>
      <w:spacing w:line="520" w:lineRule="exact"/>
      <w:ind w:firstLineChars="200" w:firstLine="480"/>
      <w:jc w:val="left"/>
    </w:pPr>
    <w:rPr>
      <w:rFonts w:ascii="Calibri" w:eastAsia="宋体" w:hAnsi="Calibri" w:cs="宋体"/>
      <w:kern w:val="0"/>
      <w:sz w:val="24"/>
      <w:szCs w:val="24"/>
      <w:lang w:val="zh-CN"/>
    </w:rPr>
  </w:style>
  <w:style w:type="paragraph" w:customStyle="1" w:styleId="CharCharCharCharCharCharCharCharChar1CharCharCharCharCharCharChar2">
    <w:name w:val="Char Char Char Char Char Char Char Char Char1 Char Char Char Char Char Char Char2"/>
    <w:basedOn w:val="a"/>
    <w:qFormat/>
    <w:rPr>
      <w:rFonts w:ascii="Calibri" w:eastAsia="宋体" w:hAnsi="Calibri" w:cs="Times New Roman"/>
      <w:szCs w:val="21"/>
    </w:rPr>
  </w:style>
  <w:style w:type="paragraph" w:customStyle="1" w:styleId="CharCharCharCharCharCharCharCharCharCharChar1CharCharCharCharCharCharCharCharCharCharCharCharCharCharCharChar1">
    <w:name w:val="Char Char Char Char Char Char Char Char Char Char Char1 Char Char Char Char Char Char Char Char Char Char Char Char Char Char Char Char1"/>
    <w:basedOn w:val="a"/>
    <w:qFormat/>
    <w:rPr>
      <w:rFonts w:ascii="Calibri" w:eastAsia="宋体" w:hAnsi="Calibri" w:cs="Times New Roman"/>
      <w:sz w:val="24"/>
      <w:szCs w:val="24"/>
    </w:rPr>
  </w:style>
  <w:style w:type="paragraph" w:customStyle="1" w:styleId="4ffa">
    <w:name w:val="日期4"/>
    <w:basedOn w:val="a"/>
    <w:next w:val="a"/>
    <w:qFormat/>
    <w:pPr>
      <w:adjustRightInd w:val="0"/>
    </w:pPr>
    <w:rPr>
      <w:rFonts w:ascii="Calibri" w:eastAsia="宋体" w:hAnsi="Calibri" w:cs="Times New Roman"/>
      <w:szCs w:val="20"/>
    </w:rPr>
  </w:style>
  <w:style w:type="paragraph" w:customStyle="1" w:styleId="341">
    <w:name w:val="正文文本缩进 34"/>
    <w:basedOn w:val="a"/>
    <w:qFormat/>
    <w:pPr>
      <w:adjustRightInd w:val="0"/>
      <w:spacing w:line="480" w:lineRule="exact"/>
      <w:ind w:firstLine="525"/>
    </w:pPr>
    <w:rPr>
      <w:rFonts w:ascii="宋体" w:eastAsia="宋体" w:hAnsi="Calibri" w:cs="Times New Roman"/>
      <w:sz w:val="28"/>
      <w:szCs w:val="20"/>
    </w:rPr>
  </w:style>
  <w:style w:type="paragraph" w:customStyle="1" w:styleId="133152">
    <w:name w:val="样式 样式 宋体 小四 首行缩进:  1 厘米 段前: 3 磅 段后: 3 磅 行距: 1.5 倍行距 + 首行缩进:  2 字符"/>
    <w:basedOn w:val="a"/>
    <w:qFormat/>
    <w:pPr>
      <w:spacing w:before="60" w:after="60" w:line="360" w:lineRule="auto"/>
      <w:ind w:firstLineChars="200" w:firstLine="200"/>
    </w:pPr>
    <w:rPr>
      <w:rFonts w:ascii="宋体" w:eastAsia="宋体" w:hAnsi="宋体" w:cs="宋体"/>
      <w:kern w:val="0"/>
      <w:sz w:val="28"/>
      <w:szCs w:val="20"/>
    </w:rPr>
  </w:style>
  <w:style w:type="paragraph" w:customStyle="1" w:styleId="xl351">
    <w:name w:val="xl351"/>
    <w:basedOn w:val="a"/>
    <w:qFormat/>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xl337">
    <w:name w:val="xl33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FF00FF"/>
      <w:kern w:val="0"/>
      <w:sz w:val="18"/>
      <w:szCs w:val="18"/>
    </w:rPr>
  </w:style>
  <w:style w:type="paragraph" w:customStyle="1" w:styleId="xl358">
    <w:name w:val="xl358"/>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xl338">
    <w:name w:val="xl338"/>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8"/>
      <w:szCs w:val="18"/>
    </w:rPr>
  </w:style>
  <w:style w:type="paragraph" w:customStyle="1" w:styleId="2chen">
    <w:name w:val="谏壁标题2(chen）"/>
    <w:basedOn w:val="a"/>
    <w:qFormat/>
    <w:pPr>
      <w:keepNext/>
      <w:keepLines/>
      <w:spacing w:after="120" w:line="360" w:lineRule="auto"/>
      <w:outlineLvl w:val="1"/>
    </w:pPr>
    <w:rPr>
      <w:rFonts w:ascii="Calibri" w:eastAsia="黑体" w:hAnsi="Calibri" w:cs="Times New Roman"/>
      <w:sz w:val="32"/>
      <w:szCs w:val="32"/>
    </w:rPr>
  </w:style>
  <w:style w:type="paragraph" w:customStyle="1" w:styleId="xl335">
    <w:name w:val="xl335"/>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affffffffffffffffffffffffffffb">
    <w:name w:val="正文一"/>
    <w:basedOn w:val="afb"/>
    <w:qFormat/>
    <w:pPr>
      <w:widowControl w:val="0"/>
      <w:ind w:firstLine="425"/>
      <w:jc w:val="both"/>
    </w:pPr>
    <w:rPr>
      <w:rFonts w:cs="Times New Roman"/>
      <w:kern w:val="2"/>
      <w:szCs w:val="24"/>
      <w:lang w:val="zh-CN"/>
    </w:rPr>
  </w:style>
  <w:style w:type="paragraph" w:customStyle="1" w:styleId="5fa">
    <w:name w:val="正文文本缩进5"/>
    <w:basedOn w:val="a"/>
    <w:qFormat/>
    <w:pPr>
      <w:adjustRightInd w:val="0"/>
      <w:spacing w:after="120" w:line="360" w:lineRule="auto"/>
      <w:ind w:leftChars="200" w:left="420" w:firstLineChars="200" w:firstLine="200"/>
    </w:pPr>
    <w:rPr>
      <w:rFonts w:ascii="Calibri" w:eastAsia="宋体" w:hAnsi="Calibri" w:cs="Times New Roman"/>
      <w:sz w:val="24"/>
      <w:szCs w:val="24"/>
    </w:rPr>
  </w:style>
  <w:style w:type="paragraph" w:customStyle="1" w:styleId="CharCharChar41">
    <w:name w:val="Char Char Char41"/>
    <w:basedOn w:val="a"/>
    <w:qFormat/>
    <w:rPr>
      <w:rFonts w:ascii="Calibri" w:eastAsia="宋体" w:hAnsi="Calibri" w:cs="Times New Roman"/>
      <w:szCs w:val="21"/>
    </w:rPr>
  </w:style>
  <w:style w:type="paragraph" w:customStyle="1" w:styleId="3ffff1">
    <w:name w:val="正文缩进3"/>
    <w:basedOn w:val="a"/>
    <w:qFormat/>
    <w:pPr>
      <w:ind w:firstLine="420"/>
    </w:pPr>
    <w:rPr>
      <w:rFonts w:ascii="Calibri" w:eastAsia="宋体" w:hAnsi="Calibri" w:cs="Times New Roman"/>
      <w:szCs w:val="24"/>
    </w:rPr>
  </w:style>
  <w:style w:type="paragraph" w:customStyle="1" w:styleId="reader-word-layerreader-word-s2-49">
    <w:name w:val="reader-word-layer reader-word-s2-49"/>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224Char">
    <w:name w:val="标题 2+ 行距: 固定值 24 磅 Char"/>
    <w:basedOn w:val="2"/>
    <w:qFormat/>
    <w:pPr>
      <w:spacing w:line="480" w:lineRule="exact"/>
    </w:pPr>
    <w:rPr>
      <w:rFonts w:ascii="Arial" w:eastAsia="宋体" w:hAnsi="Arial" w:cs="Times New Roman"/>
    </w:rPr>
  </w:style>
  <w:style w:type="paragraph" w:customStyle="1" w:styleId="CharCharCharChar131">
    <w:name w:val="Char Char Char Char131"/>
    <w:basedOn w:val="a"/>
    <w:qFormat/>
    <w:pPr>
      <w:widowControl/>
      <w:jc w:val="left"/>
    </w:pPr>
    <w:rPr>
      <w:rFonts w:ascii="Arial" w:eastAsia="楷体_GB2312" w:hAnsi="Calibri" w:cs="Times New Roman"/>
      <w:spacing w:val="-6"/>
      <w:kern w:val="0"/>
      <w:sz w:val="28"/>
      <w:szCs w:val="20"/>
    </w:rPr>
  </w:style>
  <w:style w:type="paragraph" w:customStyle="1" w:styleId="xl347">
    <w:name w:val="xl347"/>
    <w:basedOn w:val="a"/>
    <w:qFormat/>
    <w:pPr>
      <w:widowControl/>
      <w:pBdr>
        <w:top w:val="single" w:sz="4" w:space="0" w:color="auto"/>
        <w:bottom w:val="single" w:sz="4" w:space="0" w:color="auto"/>
      </w:pBdr>
      <w:spacing w:before="100" w:beforeAutospacing="1" w:after="100" w:afterAutospacing="1"/>
      <w:jc w:val="center"/>
    </w:pPr>
    <w:rPr>
      <w:rFonts w:ascii="Calibri" w:eastAsia="宋体" w:hAnsi="Calibri" w:cs="Times New Roman"/>
      <w:b/>
      <w:bCs/>
      <w:kern w:val="0"/>
      <w:sz w:val="18"/>
      <w:szCs w:val="18"/>
    </w:rPr>
  </w:style>
  <w:style w:type="paragraph" w:customStyle="1" w:styleId="xl341">
    <w:name w:val="xl34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FF0000"/>
      <w:kern w:val="0"/>
      <w:sz w:val="18"/>
      <w:szCs w:val="18"/>
    </w:rPr>
  </w:style>
  <w:style w:type="paragraph" w:customStyle="1" w:styleId="GB2312200">
    <w:name w:val="样式 仿宋_GB2312 小四 居中 行距: 固定值 20 磅"/>
    <w:basedOn w:val="a"/>
    <w:qFormat/>
    <w:pPr>
      <w:spacing w:line="400" w:lineRule="exact"/>
      <w:jc w:val="center"/>
    </w:pPr>
    <w:rPr>
      <w:rFonts w:ascii="仿宋_GB2312" w:eastAsia="仿宋_GB2312" w:hAnsi="宋体" w:cs="宋体"/>
      <w:sz w:val="24"/>
      <w:szCs w:val="20"/>
    </w:rPr>
  </w:style>
  <w:style w:type="paragraph" w:customStyle="1" w:styleId="reader-word-layerreader-word-s1-29">
    <w:name w:val="reader-word-layer reader-word-s1-29"/>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 Char Char Char3"/>
    <w:basedOn w:val="a"/>
    <w:qFormat/>
    <w:rPr>
      <w:rFonts w:ascii="Calibri" w:eastAsia="宋体" w:hAnsi="Calibri" w:cs="Times New Roman"/>
      <w:sz w:val="24"/>
      <w:szCs w:val="24"/>
    </w:rPr>
  </w:style>
  <w:style w:type="paragraph" w:customStyle="1" w:styleId="affffffffffffffffffffffffffffc">
    <w:name w:val="正文表头"/>
    <w:basedOn w:val="a"/>
    <w:next w:val="a"/>
    <w:qFormat/>
    <w:pPr>
      <w:keepNext/>
      <w:tabs>
        <w:tab w:val="center" w:pos="4253"/>
        <w:tab w:val="center" w:pos="6804"/>
        <w:tab w:val="right" w:pos="8505"/>
      </w:tabs>
      <w:overflowPunct w:val="0"/>
      <w:adjustRightInd w:val="0"/>
      <w:spacing w:before="120" w:line="360" w:lineRule="auto"/>
      <w:jc w:val="center"/>
    </w:pPr>
    <w:rPr>
      <w:rFonts w:ascii="Calibri" w:eastAsia="黑体" w:hAnsi="Calibri" w:cs="Times New Roman"/>
      <w:kern w:val="0"/>
      <w:sz w:val="28"/>
      <w:szCs w:val="20"/>
    </w:rPr>
  </w:style>
  <w:style w:type="paragraph" w:customStyle="1" w:styleId="Char1CharCharCharCharCharChar10">
    <w:name w:val="Char1 Char Char Char Char Char Char10"/>
    <w:basedOn w:val="a"/>
    <w:qFormat/>
    <w:pPr>
      <w:spacing w:line="360" w:lineRule="auto"/>
      <w:ind w:firstLineChars="200" w:firstLine="200"/>
    </w:pPr>
    <w:rPr>
      <w:rFonts w:ascii="宋体" w:eastAsia="宋体" w:hAnsi="宋体" w:cs="宋体"/>
      <w:sz w:val="24"/>
      <w:szCs w:val="24"/>
    </w:rPr>
  </w:style>
  <w:style w:type="paragraph" w:customStyle="1" w:styleId="CharCharCharCharCharCharCharCharCharCharCharCharCharCharCharChar3">
    <w:name w:val="Char Char Char Char Char Char Char Char Char Char Char Char Char Char Char Char3"/>
    <w:basedOn w:val="a"/>
    <w:qFormat/>
    <w:pPr>
      <w:spacing w:line="360" w:lineRule="auto"/>
      <w:ind w:firstLineChars="200" w:firstLine="200"/>
    </w:pPr>
    <w:rPr>
      <w:rFonts w:ascii="宋体" w:eastAsia="宋体" w:hAnsi="宋体" w:cs="宋体"/>
      <w:sz w:val="24"/>
      <w:szCs w:val="24"/>
    </w:rPr>
  </w:style>
  <w:style w:type="paragraph" w:customStyle="1" w:styleId="CharCharCharCharCharCharCharCharCharCharChar1CharCharCharChar3">
    <w:name w:val="Char Char Char Char Char Char Char Char Char Char Char1 Char Char Char Char3"/>
    <w:basedOn w:val="a"/>
    <w:qFormat/>
    <w:rPr>
      <w:rFonts w:ascii="Calibri" w:eastAsia="宋体" w:hAnsi="Calibri" w:cs="Times New Roman"/>
      <w:sz w:val="24"/>
      <w:szCs w:val="24"/>
    </w:rPr>
  </w:style>
  <w:style w:type="paragraph" w:customStyle="1" w:styleId="reader-word-layerreader-word-s1-35">
    <w:name w:val="reader-word-layer reader-word-s1-35"/>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1">
    <w:name w:val="Char Char Char Char Char Char Char Char Char Char Char Char Char Char1"/>
    <w:basedOn w:val="a"/>
    <w:qFormat/>
    <w:rPr>
      <w:rFonts w:ascii="Calibri" w:eastAsia="宋体" w:hAnsi="Calibri" w:cs="Times New Roman"/>
      <w:sz w:val="24"/>
      <w:szCs w:val="24"/>
    </w:rPr>
  </w:style>
  <w:style w:type="paragraph" w:customStyle="1" w:styleId="affffffffffffffffffffffffffffd">
    <w:name w:val="正文标号"/>
    <w:basedOn w:val="a"/>
    <w:qFormat/>
    <w:pPr>
      <w:adjustRightInd w:val="0"/>
      <w:spacing w:before="60" w:after="60" w:line="288" w:lineRule="auto"/>
      <w:ind w:left="1320" w:hanging="469"/>
      <w:jc w:val="left"/>
    </w:pPr>
    <w:rPr>
      <w:rFonts w:ascii="Calibri" w:eastAsia="宋体" w:hAnsi="Calibri" w:cs="Times New Roman"/>
      <w:kern w:val="0"/>
      <w:sz w:val="24"/>
      <w:szCs w:val="20"/>
      <w:lang w:val="en-GB"/>
    </w:rPr>
  </w:style>
  <w:style w:type="paragraph" w:customStyle="1" w:styleId="CharCharCharCharCharCharCharCharCharCharCharChar2">
    <w:name w:val="Char Char Char Char Char Char Char Char Char Char Char Char2"/>
    <w:basedOn w:val="a"/>
    <w:qFormat/>
    <w:rPr>
      <w:rFonts w:ascii="Calibri" w:eastAsia="宋体" w:hAnsi="Calibri" w:cs="Times New Roman"/>
      <w:sz w:val="24"/>
      <w:szCs w:val="24"/>
    </w:rPr>
  </w:style>
  <w:style w:type="paragraph" w:customStyle="1" w:styleId="Char4CharCharCharCharCharChar3">
    <w:name w:val="Char4 Char Char Char Char Char Char3"/>
    <w:basedOn w:val="a"/>
    <w:qFormat/>
    <w:rPr>
      <w:rFonts w:ascii="Calibri" w:eastAsia="宋体" w:hAnsi="Calibri" w:cs="Times New Roman"/>
      <w:sz w:val="24"/>
      <w:szCs w:val="24"/>
    </w:rPr>
  </w:style>
  <w:style w:type="paragraph" w:customStyle="1" w:styleId="xl355">
    <w:name w:val="xl355"/>
    <w:basedOn w:val="a"/>
    <w:qFormat/>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CharCharCharCharCharCharCharChar1CharCharCharChar3">
    <w:name w:val="Char Char Char Char Char Char Char Char1 Char Char Char Char3"/>
    <w:basedOn w:val="a"/>
    <w:qFormat/>
    <w:rPr>
      <w:rFonts w:ascii="Calibri" w:eastAsia="宋体" w:hAnsi="Calibri" w:cs="Times New Roman"/>
      <w:szCs w:val="24"/>
    </w:rPr>
  </w:style>
  <w:style w:type="paragraph" w:customStyle="1" w:styleId="xl311">
    <w:name w:val="xl311"/>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CharCharCharCharCharCharCharCharCharCharCharCharCharCharChar1">
    <w:name w:val="Char Char Char Char Char Char Char Char Char Char Char Char Char Char Char1"/>
    <w:basedOn w:val="a"/>
    <w:qFormat/>
    <w:rPr>
      <w:rFonts w:ascii="Calibri" w:eastAsia="宋体" w:hAnsi="Calibri" w:cs="Times New Roman"/>
      <w:sz w:val="24"/>
      <w:szCs w:val="24"/>
    </w:rPr>
  </w:style>
  <w:style w:type="paragraph" w:customStyle="1" w:styleId="CharCharCharCharCharCharCharCharCharCharChar1CharCharCharCharCharChar1CharCharCharCharCharCharCharCharCharCharCharChar1">
    <w:name w:val="Char Char Char Char Char Char Char Char Char Char Char1 Char Char Char Char Char Char1 Char Char Char Char Char Char Char Char Char Char Char Char1"/>
    <w:basedOn w:val="a"/>
    <w:qFormat/>
    <w:rPr>
      <w:rFonts w:ascii="Calibri" w:eastAsia="宋体" w:hAnsi="Calibri" w:cs="Times New Roman"/>
      <w:sz w:val="24"/>
      <w:szCs w:val="24"/>
    </w:rPr>
  </w:style>
  <w:style w:type="paragraph" w:customStyle="1" w:styleId="4ffb">
    <w:name w:val="普通(网站)4"/>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1CharCharCharChar1">
    <w:name w:val="Char Char Char Char Char Char Char Char Char Char Char1 Char Char Char Char1"/>
    <w:basedOn w:val="a"/>
    <w:qFormat/>
    <w:rPr>
      <w:rFonts w:ascii="Calibri" w:eastAsia="宋体" w:hAnsi="Calibri" w:cs="Times New Roman"/>
      <w:sz w:val="24"/>
      <w:szCs w:val="24"/>
    </w:rPr>
  </w:style>
  <w:style w:type="paragraph" w:customStyle="1" w:styleId="affffffffffffffffffffffffffffe">
    <w:name w:val="表芯左"/>
    <w:basedOn w:val="a"/>
    <w:qFormat/>
    <w:pPr>
      <w:adjustRightInd w:val="0"/>
      <w:spacing w:line="320" w:lineRule="atLeast"/>
      <w:jc w:val="left"/>
    </w:pPr>
    <w:rPr>
      <w:rFonts w:ascii="Calibri" w:eastAsia="楷体_GB2312" w:hAnsi="Calibri" w:cs="Times New Roman"/>
      <w:spacing w:val="-12"/>
      <w:kern w:val="0"/>
      <w:szCs w:val="20"/>
    </w:rPr>
  </w:style>
  <w:style w:type="paragraph" w:customStyle="1" w:styleId="7b">
    <w:name w:val="正文缩进7"/>
    <w:basedOn w:val="a"/>
    <w:qFormat/>
    <w:pPr>
      <w:adjustRightInd w:val="0"/>
      <w:ind w:firstLineChars="200" w:firstLine="420"/>
    </w:pPr>
    <w:rPr>
      <w:rFonts w:ascii="Calibri" w:eastAsia="宋体" w:hAnsi="宋体" w:cs="Times New Roman"/>
      <w:sz w:val="24"/>
      <w:szCs w:val="20"/>
    </w:rPr>
  </w:style>
  <w:style w:type="paragraph" w:customStyle="1" w:styleId="Char280">
    <w:name w:val="Char28"/>
    <w:basedOn w:val="a"/>
    <w:qFormat/>
    <w:rPr>
      <w:rFonts w:ascii="Calibri" w:eastAsia="宋体" w:hAnsi="Calibri" w:cs="Times New Roman"/>
      <w:sz w:val="24"/>
      <w:szCs w:val="24"/>
    </w:rPr>
  </w:style>
  <w:style w:type="paragraph" w:customStyle="1" w:styleId="CharCharChar1CharCharCharCharCharChar1CharCharCharCharCharCharCharCharCharChar5">
    <w:name w:val="Char Char Char1 Char Char Char Char Char Char1 Char Char Char Char Char Char Char Char Char Char5"/>
    <w:basedOn w:val="a"/>
    <w:qFormat/>
    <w:rPr>
      <w:rFonts w:ascii="宋体" w:eastAsia="宋体" w:hAnsi="宋体" w:cs="Times New Roman"/>
      <w:sz w:val="24"/>
      <w:szCs w:val="24"/>
    </w:rPr>
  </w:style>
  <w:style w:type="paragraph" w:customStyle="1" w:styleId="1fffffff6">
    <w:name w:val="字元 字元1"/>
    <w:basedOn w:val="a"/>
    <w:qFormat/>
    <w:pPr>
      <w:tabs>
        <w:tab w:val="left" w:pos="780"/>
      </w:tabs>
      <w:ind w:left="780" w:hanging="360"/>
    </w:pPr>
    <w:rPr>
      <w:rFonts w:ascii="Calibri" w:eastAsia="宋体" w:hAnsi="Calibri" w:cs="Times New Roman"/>
      <w:sz w:val="24"/>
      <w:szCs w:val="24"/>
    </w:rPr>
  </w:style>
  <w:style w:type="paragraph" w:customStyle="1" w:styleId="5fb">
    <w:name w:val="表文5中"/>
    <w:basedOn w:val="a"/>
    <w:qFormat/>
    <w:pPr>
      <w:adjustRightInd w:val="0"/>
      <w:jc w:val="center"/>
    </w:pPr>
    <w:rPr>
      <w:rFonts w:ascii="Calibri" w:eastAsia="宋体" w:hAnsi="Calibri" w:cs="Times New Roman"/>
      <w:kern w:val="0"/>
      <w:szCs w:val="20"/>
    </w:rPr>
  </w:style>
  <w:style w:type="paragraph" w:customStyle="1" w:styleId="reader-word-layerreader-word-s1-1">
    <w:name w:val="reader-word-layer reader-word-s1-1"/>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1CharCharCharCharCharCharCharCharCharCharCharChar1Char1">
    <w:name w:val="Char Char Char Char Char Char Char Char1 Char Char Char Char Char Char Char Char Char Char Char Char1 Char1"/>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CharCharCharCharCharCharCharCharCharCharChar6">
    <w:name w:val="Char Char Char Char Char Char Char Char Char Char Char Char Char Char Char Char Char Char Char Char Char Char Char Char Char Char Char Char Char Char Char Char Char Char Char Char6"/>
    <w:basedOn w:val="a"/>
    <w:qFormat/>
    <w:rPr>
      <w:rFonts w:ascii="Calibri" w:eastAsia="宋体" w:hAnsi="Calibri" w:cs="Times New Roman"/>
      <w:sz w:val="24"/>
      <w:szCs w:val="24"/>
    </w:rPr>
  </w:style>
  <w:style w:type="paragraph" w:customStyle="1" w:styleId="CharCharCharCharCharCharCharCharCharCharCharCharCharCharCharCharCharCharChar2">
    <w:name w:val="Char Char Char Char Char Char Char Char Char Char Char Char Char Char Char Char Char Char Char2"/>
    <w:basedOn w:val="a"/>
    <w:qFormat/>
    <w:rPr>
      <w:rFonts w:ascii="Calibri" w:eastAsia="宋体" w:hAnsi="Calibri" w:cs="Times New Roman"/>
      <w:sz w:val="24"/>
      <w:szCs w:val="24"/>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
    <w:qFormat/>
    <w:rPr>
      <w:rFonts w:ascii="Calibri" w:eastAsia="宋体" w:hAnsi="Calibri" w:cs="Times New Roman"/>
      <w:sz w:val="24"/>
      <w:szCs w:val="24"/>
    </w:rPr>
  </w:style>
  <w:style w:type="paragraph" w:customStyle="1" w:styleId="GB231209825">
    <w:name w:val="样式 (中文) 仿宋_GB2312 四号 首行缩进:  0.98 厘米 行距: 固定值 25 磅"/>
    <w:basedOn w:val="a"/>
    <w:qFormat/>
    <w:pPr>
      <w:spacing w:line="360" w:lineRule="auto"/>
      <w:ind w:firstLine="556"/>
    </w:pPr>
    <w:rPr>
      <w:rFonts w:ascii="Calibri" w:eastAsia="宋体" w:hAnsi="Calibri" w:cs="宋体"/>
      <w:sz w:val="24"/>
      <w:szCs w:val="20"/>
    </w:rPr>
  </w:style>
  <w:style w:type="paragraph" w:customStyle="1" w:styleId="Char2CharCharChar11">
    <w:name w:val="Char2 Char Char Char11"/>
    <w:basedOn w:val="a"/>
    <w:qFormat/>
    <w:rPr>
      <w:rFonts w:ascii="Arial" w:eastAsia="楷体_GB2312" w:hAnsi="Calibri" w:cs="Times New Roman"/>
      <w:spacing w:val="-6"/>
      <w:sz w:val="28"/>
      <w:szCs w:val="24"/>
    </w:rPr>
  </w:style>
  <w:style w:type="paragraph" w:customStyle="1" w:styleId="CM1">
    <w:name w:val="CM1"/>
    <w:basedOn w:val="a"/>
    <w:next w:val="a"/>
    <w:qFormat/>
    <w:pPr>
      <w:autoSpaceDE w:val="0"/>
      <w:autoSpaceDN w:val="0"/>
      <w:adjustRightInd w:val="0"/>
      <w:spacing w:line="276" w:lineRule="atLeast"/>
      <w:jc w:val="left"/>
    </w:pPr>
    <w:rPr>
      <w:rFonts w:ascii="PFAMNC+Arial" w:eastAsia="PFAMNC+Arial" w:hAnsi="Calibri" w:cs="Times New Roman"/>
      <w:kern w:val="0"/>
      <w:sz w:val="24"/>
      <w:szCs w:val="24"/>
    </w:rPr>
  </w:style>
  <w:style w:type="paragraph" w:customStyle="1" w:styleId="wei">
    <w:name w:val="表wei"/>
    <w:basedOn w:val="a"/>
    <w:qFormat/>
    <w:pPr>
      <w:ind w:firstLineChars="200" w:firstLine="480"/>
    </w:pPr>
    <w:rPr>
      <w:rFonts w:ascii="Calibri" w:eastAsia="宋体" w:hAnsi="Calibri" w:cs="Times New Roman"/>
      <w:sz w:val="24"/>
      <w:szCs w:val="24"/>
    </w:rPr>
  </w:style>
  <w:style w:type="paragraph" w:customStyle="1" w:styleId="reader-word-layerreader-word-s1-31">
    <w:name w:val="reader-word-layer reader-word-s1-31"/>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021">
    <w:name w:val="表格02左"/>
    <w:basedOn w:val="a"/>
    <w:qFormat/>
    <w:pPr>
      <w:snapToGrid w:val="0"/>
      <w:spacing w:line="400" w:lineRule="exact"/>
      <w:jc w:val="left"/>
    </w:pPr>
    <w:rPr>
      <w:rFonts w:ascii="Calibri" w:eastAsia="宋体" w:hAnsi="Calibri" w:cs="Times New Roman"/>
      <w:kern w:val="0"/>
      <w:sz w:val="24"/>
      <w:szCs w:val="24"/>
    </w:rPr>
  </w:style>
  <w:style w:type="paragraph" w:customStyle="1" w:styleId="afffffffffffffffffffffffffffff">
    <w:name w:val="单行"/>
    <w:basedOn w:val="a"/>
    <w:qFormat/>
    <w:pPr>
      <w:adjustRightInd w:val="0"/>
      <w:spacing w:line="288" w:lineRule="auto"/>
      <w:ind w:left="851"/>
      <w:jc w:val="left"/>
    </w:pPr>
    <w:rPr>
      <w:rFonts w:ascii="Calibri" w:eastAsia="宋体" w:hAnsi="Calibri" w:cs="Times New Roman"/>
      <w:kern w:val="0"/>
      <w:sz w:val="24"/>
      <w:szCs w:val="20"/>
      <w:lang w:val="en-GB"/>
    </w:rPr>
  </w:style>
  <w:style w:type="paragraph" w:customStyle="1" w:styleId="CharCharChar1CharCharCharCharCharCharCharCharCharChar5">
    <w:name w:val="Char Char Char1 Char Char Char Char Char Char Char Char Char Char5"/>
    <w:basedOn w:val="a"/>
    <w:qFormat/>
    <w:rPr>
      <w:rFonts w:ascii="Calibri" w:eastAsia="宋体" w:hAnsi="Calibri" w:cs="Times New Roman"/>
      <w:szCs w:val="20"/>
    </w:rPr>
  </w:style>
  <w:style w:type="paragraph" w:customStyle="1" w:styleId="afffffffffffffffffffffffffffff0">
    <w:name w:val="参考文献行"/>
    <w:basedOn w:val="af5"/>
    <w:qFormat/>
    <w:rPr>
      <w:rFonts w:ascii="Times New Roman" w:eastAsia="宋体" w:hAnsi="Calibri" w:cs="Times New Roman"/>
      <w:szCs w:val="20"/>
    </w:rPr>
  </w:style>
  <w:style w:type="paragraph" w:customStyle="1" w:styleId="CharChar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 Char Char3"/>
    <w:basedOn w:val="a"/>
    <w:qFormat/>
    <w:rPr>
      <w:rFonts w:ascii="Calibri" w:eastAsia="宋体" w:hAnsi="Calibri" w:cs="Times New Roman"/>
      <w:sz w:val="24"/>
      <w:szCs w:val="24"/>
    </w:rPr>
  </w:style>
  <w:style w:type="paragraph" w:customStyle="1" w:styleId="Style2127">
    <w:name w:val="_Style 2127"/>
    <w:next w:val="a"/>
    <w:qFormat/>
    <w:rPr>
      <w:rFonts w:ascii="Calibri" w:eastAsia="宋体" w:hAnsi="Calibri" w:cs="Times New Roman"/>
      <w:sz w:val="24"/>
    </w:rPr>
  </w:style>
  <w:style w:type="paragraph" w:customStyle="1" w:styleId="CM5">
    <w:name w:val="CM5"/>
    <w:basedOn w:val="Default"/>
    <w:next w:val="Default"/>
    <w:qFormat/>
    <w:pPr>
      <w:spacing w:after="458"/>
    </w:pPr>
    <w:rPr>
      <w:rFonts w:ascii="Times New Roman" w:hAnsi="Calibri" w:cs="Times New Roman"/>
      <w:color w:val="auto"/>
    </w:rPr>
  </w:style>
  <w:style w:type="paragraph" w:customStyle="1" w:styleId="CharCharCharCharCharCharCharCharCharCharCharCharCharCharCharCharCharCharCharCharCharCharCharCharCharChar12">
    <w:name w:val="Char Char Char Char Char Char Char Char Char Char Char Char Char Char Char Char Char Char Char Char Char Char Char Char Char Char12"/>
    <w:basedOn w:val="a"/>
    <w:qFormat/>
    <w:rPr>
      <w:rFonts w:ascii="Calibri" w:eastAsia="宋体" w:hAnsi="Calibri" w:cs="Times New Roman"/>
      <w:sz w:val="24"/>
      <w:szCs w:val="24"/>
    </w:rPr>
  </w:style>
  <w:style w:type="paragraph" w:customStyle="1" w:styleId="CharCharCharCharCharCharCharCharCharCharChar1CharCharCharCharCharChar1Char2">
    <w:name w:val="Char Char Char Char Char Char Char Char Char Char Char1 Char Char Char Char Char Char1 Char2"/>
    <w:basedOn w:val="a"/>
    <w:qFormat/>
    <w:rPr>
      <w:rFonts w:ascii="Calibri" w:eastAsia="宋体" w:hAnsi="Calibri" w:cs="Times New Roman"/>
      <w:sz w:val="24"/>
      <w:szCs w:val="24"/>
    </w:rPr>
  </w:style>
  <w:style w:type="paragraph" w:customStyle="1" w:styleId="Char1141">
    <w:name w:val="Char114"/>
    <w:basedOn w:val="a"/>
    <w:qFormat/>
    <w:rPr>
      <w:rFonts w:ascii="Calibri" w:eastAsia="宋体" w:hAnsi="Calibri" w:cs="Times New Roman"/>
      <w:szCs w:val="21"/>
    </w:rPr>
  </w:style>
  <w:style w:type="paragraph" w:customStyle="1" w:styleId="1120">
    <w:name w:val="无间隔112"/>
    <w:qFormat/>
    <w:pPr>
      <w:widowControl w:val="0"/>
      <w:jc w:val="both"/>
    </w:pPr>
    <w:rPr>
      <w:rFonts w:ascii="Arial" w:eastAsia="仿宋" w:hAnsi="Arial" w:cs="Times New Roman"/>
      <w:w w:val="90"/>
      <w:kern w:val="2"/>
      <w:sz w:val="24"/>
      <w:szCs w:val="24"/>
    </w:rPr>
  </w:style>
  <w:style w:type="paragraph" w:customStyle="1" w:styleId="TITLE-2">
    <w:name w:val="TITLE-2"/>
    <w:basedOn w:val="a"/>
    <w:qFormat/>
    <w:pPr>
      <w:adjustRightInd w:val="0"/>
      <w:spacing w:line="480" w:lineRule="atLeast"/>
      <w:ind w:left="284" w:hanging="284"/>
    </w:pPr>
    <w:rPr>
      <w:rFonts w:ascii="Calibri" w:eastAsia="DFKai-SB" w:hAnsi="Calibri" w:cs="Times New Roman"/>
      <w:kern w:val="0"/>
      <w:sz w:val="28"/>
      <w:szCs w:val="20"/>
      <w:lang w:eastAsia="zh-TW"/>
    </w:rPr>
  </w:style>
  <w:style w:type="paragraph" w:customStyle="1" w:styleId="afffffffffffffffffffffffffffff1">
    <w:name w:val="缩进"/>
    <w:basedOn w:val="a"/>
    <w:qFormat/>
    <w:pPr>
      <w:autoSpaceDE w:val="0"/>
      <w:autoSpaceDN w:val="0"/>
      <w:adjustRightInd w:val="0"/>
      <w:spacing w:line="400" w:lineRule="atLeast"/>
      <w:ind w:firstLine="425"/>
    </w:pPr>
    <w:rPr>
      <w:rFonts w:ascii="Calibri" w:eastAsia="宋体" w:hAnsi="Calibri" w:cs="Times New Roman"/>
      <w:kern w:val="0"/>
      <w:sz w:val="24"/>
      <w:szCs w:val="20"/>
    </w:rPr>
  </w:style>
  <w:style w:type="paragraph" w:customStyle="1" w:styleId="xl329">
    <w:name w:val="xl329"/>
    <w:basedOn w:val="a"/>
    <w:qFormat/>
    <w:pPr>
      <w:widowControl/>
      <w:pBdr>
        <w:top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xl350">
    <w:name w:val="xl350"/>
    <w:basedOn w:val="a"/>
    <w:qFormat/>
    <w:pPr>
      <w:widowControl/>
      <w:pBdr>
        <w:top w:val="single" w:sz="4" w:space="0" w:color="auto"/>
        <w:bottom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reader-word-layerreader-word-s2-28">
    <w:name w:val="reader-word-layer reader-word-s2-28"/>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1CharCharCharCharCharChar4">
    <w:name w:val="Char Char Char Char Char Char Char Char Char Char Char1 Char Char Char Char Char Char4"/>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2"/>
    <w:basedOn w:val="a"/>
    <w:qFormat/>
    <w:rPr>
      <w:rFonts w:ascii="Calibri" w:eastAsia="宋体" w:hAnsi="Calibri" w:cs="Times New Roman"/>
      <w:sz w:val="24"/>
      <w:szCs w:val="24"/>
    </w:rPr>
  </w:style>
  <w:style w:type="paragraph" w:customStyle="1" w:styleId="afffffffffffffffffffffffffffff2">
    <w:name w:val="图文文字"/>
    <w:qFormat/>
    <w:pPr>
      <w:jc w:val="center"/>
    </w:pPr>
    <w:rPr>
      <w:rFonts w:ascii="Calibri" w:eastAsia="宋体" w:hAnsi="Calibri" w:cs="Times New Roman"/>
      <w:sz w:val="21"/>
    </w:rPr>
  </w:style>
  <w:style w:type="paragraph" w:customStyle="1" w:styleId="afffffffffffffffffffffffffffff3">
    <w:name w:val="报告表名"/>
    <w:basedOn w:val="a"/>
    <w:next w:val="a"/>
    <w:qFormat/>
    <w:pPr>
      <w:spacing w:line="300" w:lineRule="exact"/>
      <w:jc w:val="center"/>
    </w:pPr>
    <w:rPr>
      <w:rFonts w:ascii="Calibri" w:eastAsia="宋体" w:hAnsi="Calibri" w:cs="Times New Roman"/>
      <w:sz w:val="28"/>
      <w:szCs w:val="28"/>
    </w:rPr>
  </w:style>
  <w:style w:type="paragraph" w:customStyle="1" w:styleId="CharCharCharCharCharCharCharCharChar1Char31">
    <w:name w:val="Char Char Char Char Char Char Char Char Char1 Char31"/>
    <w:basedOn w:val="a"/>
    <w:qFormat/>
    <w:pPr>
      <w:widowControl/>
      <w:spacing w:after="160" w:line="240" w:lineRule="exact"/>
      <w:jc w:val="left"/>
    </w:pPr>
    <w:rPr>
      <w:rFonts w:ascii="Arial" w:eastAsia="Times New Roman" w:hAnsi="Arial" w:cs="Verdana"/>
      <w:b/>
      <w:spacing w:val="-6"/>
      <w:kern w:val="0"/>
      <w:sz w:val="28"/>
      <w:szCs w:val="24"/>
      <w:lang w:eastAsia="en-US"/>
    </w:rPr>
  </w:style>
  <w:style w:type="paragraph" w:customStyle="1" w:styleId="CharCharCharCharCharCharCharCharChar1CharCharCharCharCharChar1CharCharCharChar1">
    <w:name w:val="Char Char Char Char Char Char Char Char Char1 Char Char Char Char Char Char1 Char Char Char Char1"/>
    <w:basedOn w:val="a"/>
    <w:qFormat/>
    <w:rPr>
      <w:rFonts w:ascii="Calibri" w:eastAsia="宋体" w:hAnsi="Calibri" w:cs="Times New Roman"/>
      <w:szCs w:val="21"/>
    </w:rPr>
  </w:style>
  <w:style w:type="paragraph" w:customStyle="1" w:styleId="8b">
    <w:name w:val="列出段落8"/>
    <w:basedOn w:val="a"/>
    <w:qFormat/>
    <w:pPr>
      <w:ind w:firstLineChars="200" w:firstLine="420"/>
    </w:pPr>
    <w:rPr>
      <w:rFonts w:ascii="Calibri" w:eastAsia="宋体" w:hAnsi="Calibri" w:cs="Times New Roman"/>
    </w:rPr>
  </w:style>
  <w:style w:type="paragraph" w:customStyle="1" w:styleId="xl313">
    <w:name w:val="xl313"/>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b/>
      <w:bCs/>
      <w:color w:val="000000"/>
      <w:kern w:val="0"/>
      <w:sz w:val="18"/>
      <w:szCs w:val="18"/>
    </w:rPr>
  </w:style>
  <w:style w:type="paragraph" w:customStyle="1" w:styleId="xl324">
    <w:name w:val="xl324"/>
    <w:basedOn w:val="a"/>
    <w:qFormat/>
    <w:pPr>
      <w:widowControl/>
      <w:pBdr>
        <w:left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xl352">
    <w:name w:val="xl352"/>
    <w:basedOn w:val="a"/>
    <w:qFormat/>
    <w:pPr>
      <w:widowControl/>
      <w:pBdr>
        <w:top w:val="single" w:sz="4" w:space="0" w:color="auto"/>
        <w:bottom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reader-word-layerreader-word-s3-14">
    <w:name w:val="reader-word-layer reader-word-s3-14"/>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CharCharCharCharCharCharCharCharCharCharCharCharCharCharCharCharCharCharCharCharCharCharCharCharCharChar0">
    <w:name w:val="正文（首行缩进两字） Char Char Char Char Char Char Char Char Char Char Char Char Char Char Char Char Char Char Char Char Char Char Char Char Char Char Char Char Char Char Char Char Char Char Char Char Char Char Char Char"/>
    <w:basedOn w:val="a"/>
    <w:qFormat/>
    <w:pPr>
      <w:spacing w:after="120"/>
      <w:ind w:leftChars="700" w:left="1440" w:rightChars="700" w:right="1440"/>
    </w:pPr>
    <w:rPr>
      <w:rFonts w:ascii="Calibri" w:eastAsia="宋体" w:hAnsi="Calibri" w:cs="Times New Roman"/>
      <w:szCs w:val="24"/>
    </w:rPr>
  </w:style>
  <w:style w:type="paragraph" w:customStyle="1" w:styleId="afffffffffffffffffffffffffffff4">
    <w:name w:val="英文表项"/>
    <w:basedOn w:val="a"/>
    <w:qFormat/>
    <w:pPr>
      <w:adjustRightInd w:val="0"/>
      <w:spacing w:before="60" w:after="60"/>
      <w:jc w:val="center"/>
    </w:pPr>
    <w:rPr>
      <w:rFonts w:ascii="Calibri" w:eastAsia="宋体" w:hAnsi="Calibri" w:cs="Times New Roman"/>
      <w:i/>
      <w:kern w:val="0"/>
      <w:sz w:val="22"/>
      <w:szCs w:val="20"/>
      <w:lang w:val="en-GB"/>
    </w:rPr>
  </w:style>
  <w:style w:type="paragraph" w:customStyle="1" w:styleId="Normalgras">
    <w:name w:val="Normal gras"/>
    <w:basedOn w:val="a"/>
    <w:next w:val="a"/>
    <w:qFormat/>
    <w:pPr>
      <w:widowControl/>
      <w:tabs>
        <w:tab w:val="left" w:pos="288"/>
      </w:tabs>
      <w:suppressAutoHyphens/>
      <w:spacing w:after="120"/>
    </w:pPr>
    <w:rPr>
      <w:rFonts w:ascii="Arial" w:eastAsia="宋体" w:hAnsi="Arial" w:cs="Times New Roman"/>
      <w:b/>
      <w:kern w:val="0"/>
      <w:sz w:val="24"/>
      <w:szCs w:val="20"/>
    </w:rPr>
  </w:style>
  <w:style w:type="paragraph" w:customStyle="1" w:styleId="xl362">
    <w:name w:val="xl362"/>
    <w:basedOn w:val="a"/>
    <w:qFormat/>
    <w:pPr>
      <w:widowControl/>
      <w:pBdr>
        <w:top w:val="single" w:sz="4"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CharCharCharChar26">
    <w:name w:val="Char Char Char Char26"/>
    <w:basedOn w:val="a"/>
    <w:qFormat/>
    <w:rPr>
      <w:rFonts w:ascii="Calibri" w:eastAsia="宋体" w:hAnsi="Calibri" w:cs="Times New Roman"/>
      <w:sz w:val="24"/>
      <w:szCs w:val="24"/>
    </w:rPr>
  </w:style>
  <w:style w:type="paragraph" w:customStyle="1" w:styleId="CharCharCharCharCharCharCharCharCharCharChar1CharCharCharCharCharChar1CharCharCharCharCharCharCharCharCharCharCharChar3">
    <w:name w:val="Char Char Char Char Char Char Char Char Char Char Char1 Char Char Char Char Char Char1 Char Char Char Char Char Char Char Char Char Char Char Char3"/>
    <w:basedOn w:val="a"/>
    <w:qFormat/>
    <w:rPr>
      <w:rFonts w:ascii="Calibri" w:eastAsia="宋体" w:hAnsi="Calibri" w:cs="Times New Roman"/>
      <w:sz w:val="24"/>
      <w:szCs w:val="24"/>
    </w:rPr>
  </w:style>
  <w:style w:type="paragraph" w:customStyle="1" w:styleId="reader-word-layerreader-word-s1-40">
    <w:name w:val="reader-word-layer reader-word-s1-40"/>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4ffc">
    <w:name w:val="正文居中4号"/>
    <w:basedOn w:val="a"/>
    <w:qFormat/>
    <w:pPr>
      <w:spacing w:line="440" w:lineRule="exact"/>
      <w:jc w:val="center"/>
    </w:pPr>
    <w:rPr>
      <w:rFonts w:ascii="Calibri" w:eastAsia="宋体" w:hAnsi="Calibri" w:cs="Times New Roman"/>
      <w:sz w:val="24"/>
      <w:szCs w:val="24"/>
    </w:rPr>
  </w:style>
  <w:style w:type="paragraph" w:customStyle="1" w:styleId="CharCharCharCharCharCharCharCharCharCharChar1CharCharCharCharCharChar12">
    <w:name w:val="Char Char Char Char Char Char Char Char Char Char Char1 Char Char Char Char Char Char12"/>
    <w:basedOn w:val="a"/>
    <w:qFormat/>
    <w:rPr>
      <w:rFonts w:ascii="Calibri" w:eastAsia="宋体" w:hAnsi="Calibri" w:cs="Times New Roman"/>
      <w:sz w:val="24"/>
      <w:szCs w:val="24"/>
    </w:rPr>
  </w:style>
  <w:style w:type="paragraph" w:customStyle="1" w:styleId="reader-word-layerreader-word-s2-21">
    <w:name w:val="reader-word-layer reader-word-s2-21"/>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5">
    <w:name w:val="Char Char Char Char Char Char Char Char Char5"/>
    <w:basedOn w:val="a"/>
    <w:qFormat/>
    <w:rPr>
      <w:rFonts w:ascii="Calibri" w:eastAsia="宋体" w:hAnsi="Calibri" w:cs="Times New Roman"/>
      <w:sz w:val="24"/>
      <w:szCs w:val="24"/>
    </w:rPr>
  </w:style>
  <w:style w:type="paragraph" w:customStyle="1" w:styleId="CharCharCharCharCharCharCharChar1CharCharCharChar2">
    <w:name w:val="Char Char Char Char Char Char Char Char1 Char Char Char Char2"/>
    <w:basedOn w:val="a"/>
    <w:qFormat/>
    <w:rPr>
      <w:rFonts w:ascii="Calibri" w:eastAsia="宋体" w:hAnsi="Calibri" w:cs="Times New Roman"/>
      <w:szCs w:val="24"/>
    </w:rPr>
  </w:style>
  <w:style w:type="paragraph" w:customStyle="1" w:styleId="Char911">
    <w:name w:val="Char91"/>
    <w:basedOn w:val="a"/>
    <w:qFormat/>
    <w:rPr>
      <w:rFonts w:ascii="Calibri" w:eastAsia="宋体" w:hAnsi="Calibri" w:cs="Times New Roman"/>
      <w:szCs w:val="21"/>
    </w:rPr>
  </w:style>
  <w:style w:type="paragraph" w:customStyle="1" w:styleId="xl365">
    <w:name w:val="xl365"/>
    <w:basedOn w:val="a"/>
    <w:qFormat/>
    <w:pPr>
      <w:widowControl/>
      <w:pBdr>
        <w:bottom w:val="single" w:sz="4" w:space="0" w:color="auto"/>
        <w:right w:val="single" w:sz="4"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159">
    <w:name w:val="正文15"/>
    <w:qFormat/>
    <w:pPr>
      <w:widowControl w:val="0"/>
      <w:adjustRightInd w:val="0"/>
      <w:spacing w:line="312" w:lineRule="atLeast"/>
      <w:jc w:val="both"/>
    </w:pPr>
    <w:rPr>
      <w:rFonts w:ascii="Arial" w:eastAsia="楷体_GB2312" w:hAnsi="Calibri" w:cs="Times New Roman"/>
      <w:spacing w:val="-6"/>
      <w:sz w:val="28"/>
    </w:rPr>
  </w:style>
  <w:style w:type="paragraph" w:customStyle="1" w:styleId="CharChar1CharCharChar0">
    <w:name w:val="Char Char1 Char Char Char"/>
    <w:basedOn w:val="a"/>
    <w:qFormat/>
    <w:rPr>
      <w:rFonts w:ascii="Calibri" w:eastAsia="宋体" w:hAnsi="Calibri" w:cs="Times New Roman"/>
      <w:szCs w:val="21"/>
    </w:rPr>
  </w:style>
  <w:style w:type="paragraph" w:customStyle="1" w:styleId="1fffffff7">
    <w:name w:val="表格填充1"/>
    <w:basedOn w:val="a"/>
    <w:qFormat/>
    <w:pPr>
      <w:adjustRightInd w:val="0"/>
      <w:snapToGrid w:val="0"/>
      <w:spacing w:line="400" w:lineRule="exact"/>
      <w:jc w:val="center"/>
    </w:pPr>
    <w:rPr>
      <w:rFonts w:ascii="Calibri" w:eastAsia="宋体" w:hAnsi="Calibri" w:cs="Times New Roman"/>
      <w:szCs w:val="20"/>
    </w:rPr>
  </w:style>
  <w:style w:type="paragraph" w:customStyle="1" w:styleId="reader-word-layerreader-word-s1-48">
    <w:name w:val="reader-word-layer reader-word-s1-48"/>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afffffffffffffffffffffffffffff5">
    <w:name w:val="英文表文"/>
    <w:basedOn w:val="a"/>
    <w:qFormat/>
    <w:pPr>
      <w:adjustRightInd w:val="0"/>
      <w:spacing w:line="288" w:lineRule="auto"/>
      <w:jc w:val="left"/>
    </w:pPr>
    <w:rPr>
      <w:rFonts w:ascii="Calibri" w:eastAsia="宋体" w:hAnsi="Calibri" w:cs="Times New Roman"/>
      <w:kern w:val="0"/>
      <w:sz w:val="22"/>
      <w:szCs w:val="20"/>
      <w:lang w:val="en-GB"/>
    </w:rPr>
  </w:style>
  <w:style w:type="paragraph" w:customStyle="1" w:styleId="3Char7">
    <w:name w:val="样式 标题 3 + 宋体 Char"/>
    <w:basedOn w:val="3"/>
    <w:qFormat/>
    <w:pPr>
      <w:widowControl w:val="0"/>
      <w:spacing w:line="360" w:lineRule="auto"/>
      <w:jc w:val="both"/>
    </w:pPr>
    <w:rPr>
      <w:rFonts w:ascii="宋体" w:hAnsi="宋体"/>
      <w:kern w:val="2"/>
      <w:sz w:val="30"/>
      <w:szCs w:val="30"/>
    </w:rPr>
  </w:style>
  <w:style w:type="paragraph" w:customStyle="1" w:styleId="reader-word-layerreader-word-s3-5">
    <w:name w:val="reader-word-layer reader-word-s3-5"/>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3ffff2">
    <w:name w:val="标3"/>
    <w:basedOn w:val="3"/>
    <w:next w:val="afb"/>
    <w:qFormat/>
    <w:pPr>
      <w:widowControl w:val="0"/>
      <w:tabs>
        <w:tab w:val="left" w:pos="578"/>
        <w:tab w:val="left" w:pos="1260"/>
        <w:tab w:val="center" w:pos="6804"/>
        <w:tab w:val="right" w:pos="7371"/>
      </w:tabs>
      <w:overflowPunct w:val="0"/>
      <w:spacing w:before="0" w:after="0" w:line="500" w:lineRule="exact"/>
      <w:ind w:left="1260" w:hanging="420"/>
      <w:jc w:val="both"/>
    </w:pPr>
    <w:rPr>
      <w:rFonts w:ascii="宋体" w:hAnsi="宋体"/>
      <w:b w:val="0"/>
      <w:color w:val="0000FF"/>
      <w:kern w:val="2"/>
      <w:sz w:val="28"/>
      <w:szCs w:val="20"/>
    </w:rPr>
  </w:style>
  <w:style w:type="paragraph" w:customStyle="1" w:styleId="CharCharCharCharCharCharCharCharChar1CharCharCharCharCharChar1CharCharCharChar">
    <w:name w:val="Char Char Char Char Char Char Char Char Char1 Char Char Char Char Char Char1 Char Char Char Char"/>
    <w:basedOn w:val="a"/>
    <w:qFormat/>
    <w:rPr>
      <w:rFonts w:ascii="Calibri" w:eastAsia="宋体" w:hAnsi="Calibri" w:cs="Times New Roman"/>
      <w:szCs w:val="21"/>
    </w:rPr>
  </w:style>
  <w:style w:type="paragraph" w:customStyle="1" w:styleId="CharCharCharCharCharCharCharCharCharCharChar1">
    <w:name w:val="Char Char Char Char Char Char Char Char Char Char Char1"/>
    <w:basedOn w:val="a"/>
    <w:qFormat/>
    <w:rPr>
      <w:rFonts w:ascii="Calibri" w:eastAsia="宋体" w:hAnsi="Calibri" w:cs="Times New Roman"/>
      <w:sz w:val="24"/>
      <w:szCs w:val="24"/>
    </w:rPr>
  </w:style>
  <w:style w:type="paragraph" w:customStyle="1" w:styleId="CharCharCharCharCharCharCharCharCharCharCharCharChar31">
    <w:name w:val="Char Char Char Char Char Char Char Char Char Char Char Char Char31"/>
    <w:basedOn w:val="a"/>
    <w:qFormat/>
    <w:pPr>
      <w:widowControl/>
      <w:spacing w:after="160" w:line="240" w:lineRule="exact"/>
      <w:jc w:val="left"/>
    </w:pPr>
    <w:rPr>
      <w:rFonts w:ascii="Arial" w:eastAsia="Times New Roman" w:hAnsi="Arial" w:cs="Verdana"/>
      <w:b/>
      <w:spacing w:val="-6"/>
      <w:kern w:val="0"/>
      <w:sz w:val="28"/>
      <w:szCs w:val="24"/>
      <w:lang w:eastAsia="en-US"/>
    </w:rPr>
  </w:style>
  <w:style w:type="paragraph" w:customStyle="1" w:styleId="afffffffffffffffffffffffffffff6">
    <w:name w:val="字元 字元"/>
    <w:basedOn w:val="a"/>
    <w:qFormat/>
    <w:rPr>
      <w:rFonts w:ascii="Calibri" w:eastAsia="宋体" w:hAnsi="Calibri" w:cs="Times New Roman"/>
      <w:spacing w:val="20"/>
      <w:sz w:val="24"/>
      <w:szCs w:val="21"/>
    </w:rPr>
  </w:style>
  <w:style w:type="paragraph" w:customStyle="1" w:styleId="CharChar2Char1">
    <w:name w:val="Char Char2 Char1"/>
    <w:basedOn w:val="a"/>
    <w:qFormat/>
    <w:rPr>
      <w:rFonts w:ascii="Calibri" w:eastAsia="宋体" w:hAnsi="Calibri" w:cs="Times New Roman"/>
      <w:szCs w:val="21"/>
    </w:rPr>
  </w:style>
  <w:style w:type="paragraph" w:customStyle="1" w:styleId="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1"/>
    <w:basedOn w:val="a"/>
    <w:qFormat/>
    <w:rPr>
      <w:rFonts w:ascii="Calibri" w:eastAsia="宋体" w:hAnsi="Calibri" w:cs="Times New Roman"/>
      <w:sz w:val="24"/>
      <w:szCs w:val="24"/>
    </w:rPr>
  </w:style>
  <w:style w:type="paragraph" w:customStyle="1" w:styleId="13315">
    <w:name w:val="样式 标题 1 + 小四 段前: 3 磅 段后: 3 磅 行距: 1.5 倍行距"/>
    <w:basedOn w:val="1"/>
    <w:qFormat/>
    <w:pPr>
      <w:keepNext/>
      <w:keepLines/>
      <w:adjustRightInd w:val="0"/>
      <w:spacing w:before="120" w:after="120" w:line="360" w:lineRule="auto"/>
      <w:ind w:left="0"/>
    </w:pPr>
    <w:rPr>
      <w:rFonts w:ascii="Calibri" w:eastAsia="宋体" w:hAnsi="Calibri" w:cs="宋体"/>
      <w:kern w:val="44"/>
      <w:sz w:val="24"/>
      <w:szCs w:val="20"/>
      <w:lang w:eastAsia="zh-CN"/>
    </w:rPr>
  </w:style>
  <w:style w:type="paragraph" w:customStyle="1" w:styleId="5fc">
    <w:name w:val="正文首行缩进5"/>
    <w:basedOn w:val="af5"/>
    <w:qFormat/>
    <w:pPr>
      <w:spacing w:after="0" w:line="500" w:lineRule="exact"/>
      <w:ind w:firstLineChars="200" w:firstLine="420"/>
    </w:pPr>
    <w:rPr>
      <w:rFonts w:ascii="Times New Roman" w:eastAsia="宋体" w:hAnsi="Calibri" w:cs="Times New Roman"/>
      <w:szCs w:val="20"/>
    </w:rPr>
  </w:style>
  <w:style w:type="paragraph" w:customStyle="1" w:styleId="afffffffffffffffffffffffffffff7">
    <w:name w:val="英文表头"/>
    <w:basedOn w:val="a"/>
    <w:qFormat/>
    <w:pPr>
      <w:adjustRightInd w:val="0"/>
      <w:spacing w:before="60" w:after="60"/>
      <w:jc w:val="center"/>
    </w:pPr>
    <w:rPr>
      <w:rFonts w:ascii="Calibri" w:eastAsia="宋体" w:hAnsi="Calibri" w:cs="Times New Roman"/>
      <w:b/>
      <w:kern w:val="0"/>
      <w:sz w:val="24"/>
      <w:szCs w:val="20"/>
      <w:lang w:val="en-GB"/>
    </w:rPr>
  </w:style>
  <w:style w:type="paragraph" w:customStyle="1" w:styleId="323">
    <w:name w:val="正文文本缩进 32"/>
    <w:basedOn w:val="a"/>
    <w:qFormat/>
    <w:pPr>
      <w:adjustRightInd w:val="0"/>
      <w:spacing w:line="480" w:lineRule="exact"/>
      <w:ind w:firstLine="525"/>
    </w:pPr>
    <w:rPr>
      <w:rFonts w:ascii="宋体" w:eastAsia="宋体" w:hAnsi="Calibri" w:cs="Times New Roman"/>
      <w:sz w:val="28"/>
      <w:szCs w:val="20"/>
    </w:rPr>
  </w:style>
  <w:style w:type="paragraph" w:customStyle="1" w:styleId="reader-word-layerreader-word-s3-2">
    <w:name w:val="reader-word-layer reader-word-s3-2"/>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98">
    <w:name w:val="列出段落9"/>
    <w:basedOn w:val="a"/>
    <w:qFormat/>
    <w:pPr>
      <w:ind w:firstLineChars="200" w:firstLine="420"/>
    </w:pPr>
    <w:rPr>
      <w:rFonts w:ascii="Calibri" w:eastAsia="宋体" w:hAnsi="Calibri" w:cs="Times New Roman"/>
    </w:rPr>
  </w:style>
  <w:style w:type="paragraph" w:customStyle="1" w:styleId="1fffffff8">
    <w:name w:val="列表1"/>
    <w:basedOn w:val="affa"/>
    <w:qFormat/>
    <w:pPr>
      <w:tabs>
        <w:tab w:val="left" w:pos="1727"/>
        <w:tab w:val="left" w:pos="1884"/>
      </w:tabs>
      <w:snapToGrid w:val="0"/>
      <w:spacing w:line="360" w:lineRule="auto"/>
      <w:ind w:left="0" w:firstLineChars="0" w:firstLine="0"/>
      <w:outlineLvl w:val="0"/>
    </w:pPr>
    <w:rPr>
      <w:rFonts w:ascii="宋体" w:hAnsi="宋体"/>
      <w:sz w:val="32"/>
      <w:szCs w:val="20"/>
    </w:rPr>
  </w:style>
  <w:style w:type="paragraph" w:customStyle="1" w:styleId="xl344">
    <w:name w:val="xl34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CharCharCharCharCharCharCharCharCharCharCharCharCharCharCharCharCharChar1">
    <w:name w:val="Char Char Char Char Char Char Char Char Char Char Char Char Char Char Char Char Char Char1"/>
    <w:basedOn w:val="a"/>
    <w:qFormat/>
    <w:rPr>
      <w:rFonts w:ascii="Calibri" w:eastAsia="宋体" w:hAnsi="Calibri" w:cs="Times New Roman"/>
      <w:sz w:val="24"/>
      <w:szCs w:val="24"/>
    </w:rPr>
  </w:style>
  <w:style w:type="paragraph" w:customStyle="1" w:styleId="tinytext">
    <w:name w:val="tinytext"/>
    <w:basedOn w:val="a"/>
    <w:qFormat/>
    <w:pPr>
      <w:widowControl/>
      <w:spacing w:before="100" w:beforeAutospacing="1" w:after="100" w:afterAutospacing="1"/>
      <w:ind w:firstLine="480"/>
      <w:jc w:val="left"/>
    </w:pPr>
    <w:rPr>
      <w:rFonts w:ascii="宋体" w:eastAsia="宋体" w:hAnsi="宋体" w:cs="宋体"/>
      <w:kern w:val="0"/>
      <w:sz w:val="24"/>
      <w:szCs w:val="24"/>
    </w:rPr>
  </w:style>
  <w:style w:type="paragraph" w:customStyle="1" w:styleId="afffffffffffffffffffffffffffff8">
    <w:name w:val="注"/>
    <w:basedOn w:val="a"/>
    <w:next w:val="a"/>
    <w:qFormat/>
    <w:pPr>
      <w:widowControl/>
      <w:spacing w:before="60" w:after="60" w:line="312" w:lineRule="auto"/>
    </w:pPr>
    <w:rPr>
      <w:rFonts w:ascii="Calibri" w:eastAsia="黑体" w:hAnsi="Calibri" w:cs="Times New Roman"/>
      <w:kern w:val="0"/>
      <w:szCs w:val="20"/>
    </w:rPr>
  </w:style>
  <w:style w:type="paragraph" w:customStyle="1" w:styleId="CharCharCharCharCharCharCharCharCharCharCharCharCharCharCharCharCharCharChar1">
    <w:name w:val="Char Char Char Char Char Char Char Char Char Char Char Char Char Char Char Char Char Char Char1"/>
    <w:basedOn w:val="a"/>
    <w:qFormat/>
    <w:rPr>
      <w:rFonts w:ascii="Calibri" w:eastAsia="宋体" w:hAnsi="Calibri" w:cs="Times New Roman"/>
      <w:sz w:val="24"/>
      <w:szCs w:val="24"/>
    </w:rPr>
  </w:style>
  <w:style w:type="paragraph" w:customStyle="1" w:styleId="CharCharCharCharCharCharCharCharChar1CharCharCharCharCharCharChar4">
    <w:name w:val="Char Char Char Char Char Char Char Char Char1 Char Char Char Char Char Char Char4"/>
    <w:basedOn w:val="a"/>
    <w:qFormat/>
    <w:rPr>
      <w:rFonts w:ascii="Calibri" w:eastAsia="宋体" w:hAnsi="Calibri" w:cs="Times New Roman"/>
      <w:szCs w:val="21"/>
    </w:rPr>
  </w:style>
  <w:style w:type="paragraph" w:customStyle="1" w:styleId="xl331">
    <w:name w:val="xl33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afffffffffffffffffffffffffffff9">
    <w:name w:val="黄桥正文"/>
    <w:basedOn w:val="a"/>
    <w:qFormat/>
    <w:pPr>
      <w:widowControl/>
      <w:spacing w:line="360" w:lineRule="auto"/>
      <w:ind w:firstLineChars="200" w:firstLine="200"/>
    </w:pPr>
    <w:rPr>
      <w:rFonts w:ascii="Calibri" w:eastAsia="宋体" w:hAnsi="Calibri" w:cs="宋体"/>
      <w:kern w:val="0"/>
      <w:sz w:val="24"/>
      <w:szCs w:val="24"/>
    </w:rPr>
  </w:style>
  <w:style w:type="paragraph" w:customStyle="1" w:styleId="CharCharCharCharCharCharCharCharCharCharCharCharCharCharCharCharCharCharCharCharCharCharCharCharCharCharCharCharCharCharCharCharCharCharCharChar4">
    <w:name w:val="Char Char Char Char Char Char Char Char Char Char Char Char Char Char Char Char Char Char Char Char Char Char Char Char Char Char Char Char Char Char Char Char Char Char Char Char4"/>
    <w:basedOn w:val="a"/>
    <w:qFormat/>
    <w:rPr>
      <w:rFonts w:ascii="Calibri" w:eastAsia="宋体" w:hAnsi="Calibri" w:cs="Times New Roman"/>
      <w:szCs w:val="24"/>
    </w:rPr>
  </w:style>
  <w:style w:type="paragraph" w:customStyle="1" w:styleId="xl349">
    <w:name w:val="xl349"/>
    <w:basedOn w:val="a"/>
    <w:qFormat/>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CharCharCharCharCharCharCharChar1CharCharCharCharCharCharCharCharCharCharCharChar2">
    <w:name w:val="Char Char Char Char Char Char Char Char1 Char Char Char Char Char Char Char Char Char Char Char Char2"/>
    <w:basedOn w:val="a"/>
    <w:qFormat/>
    <w:rPr>
      <w:rFonts w:ascii="Calibri" w:eastAsia="宋体" w:hAnsi="Calibri" w:cs="Times New Roman"/>
      <w:sz w:val="24"/>
      <w:szCs w:val="24"/>
    </w:rPr>
  </w:style>
  <w:style w:type="paragraph" w:customStyle="1" w:styleId="reader-word-layerreader-word-s1-32">
    <w:name w:val="reader-word-layer reader-word-s1-32"/>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outlineheader1">
    <w:name w:val="outline header 1"/>
    <w:basedOn w:val="a"/>
    <w:next w:val="a"/>
    <w:qFormat/>
    <w:pPr>
      <w:widowControl/>
      <w:tabs>
        <w:tab w:val="left" w:pos="4260"/>
      </w:tabs>
      <w:ind w:right="-12"/>
    </w:pPr>
    <w:rPr>
      <w:rFonts w:ascii="Arial" w:eastAsia="宋体" w:hAnsi="Arial" w:cs="Times New Roman"/>
      <w:color w:val="0000FF"/>
      <w:kern w:val="0"/>
      <w:sz w:val="24"/>
      <w:szCs w:val="20"/>
      <w:lang w:eastAsia="en-US"/>
    </w:rPr>
  </w:style>
  <w:style w:type="paragraph" w:customStyle="1" w:styleId="ParaCharCharChar1Char">
    <w:name w:val="默认段落字体 Para Char Char Char1 Char"/>
    <w:basedOn w:val="a"/>
    <w:qFormat/>
    <w:pPr>
      <w:spacing w:line="240" w:lineRule="atLeast"/>
      <w:ind w:left="420" w:firstLine="420"/>
    </w:pPr>
    <w:rPr>
      <w:rFonts w:ascii="Calibri" w:eastAsia="宋体" w:hAnsi="Calibri" w:cs="Times New Roman"/>
      <w:kern w:val="0"/>
      <w:szCs w:val="21"/>
    </w:rPr>
  </w:style>
  <w:style w:type="paragraph" w:customStyle="1" w:styleId="CharChar4CharCharCharCharCharCharCharCharCharCharCharCharCharCharCharCharCharChar1">
    <w:name w:val="Char Char4 Char Char Char Char Char Char Char Char Char Char Char Char Char Char Char Char Char Char1"/>
    <w:basedOn w:val="a"/>
    <w:qFormat/>
    <w:rPr>
      <w:rFonts w:ascii="Calibri" w:eastAsia="宋体" w:hAnsi="Calibri" w:cs="Times New Roman"/>
      <w:sz w:val="24"/>
      <w:szCs w:val="24"/>
    </w:rPr>
  </w:style>
  <w:style w:type="paragraph" w:customStyle="1" w:styleId="xl340">
    <w:name w:val="xl340"/>
    <w:basedOn w:val="a"/>
    <w:qFormat/>
    <w:pPr>
      <w:widowControl/>
      <w:pBdr>
        <w:top w:val="single" w:sz="4" w:space="0" w:color="auto"/>
        <w:left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100157878">
    <w:name w:val="样式 样式 标题 1 + 段前: 0 磅 段后: 0 磅 行距: 1.5 倍行距 + 段前: 7.8 磅 段后: 7.8 磅"/>
    <w:basedOn w:val="a"/>
    <w:qFormat/>
    <w:pPr>
      <w:keepNext/>
      <w:keepLines/>
      <w:spacing w:before="156" w:after="156" w:line="480" w:lineRule="auto"/>
      <w:jc w:val="center"/>
      <w:outlineLvl w:val="0"/>
    </w:pPr>
    <w:rPr>
      <w:rFonts w:ascii="Calibri" w:eastAsia="宋体" w:hAnsi="Calibri" w:cs="宋体"/>
      <w:b/>
      <w:bCs/>
      <w:kern w:val="44"/>
      <w:sz w:val="32"/>
      <w:szCs w:val="20"/>
    </w:rPr>
  </w:style>
  <w:style w:type="paragraph" w:customStyle="1" w:styleId="reader-word-layerreader-word-s2-1">
    <w:name w:val="reader-word-layer reader-word-s2-1"/>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afffffffffffffffffffffffffffffa">
    <w:name w:val="小标题"/>
    <w:basedOn w:val="a"/>
    <w:qFormat/>
    <w:pPr>
      <w:adjustRightInd w:val="0"/>
      <w:spacing w:beforeLines="20" w:afterLines="20" w:line="480" w:lineRule="atLeast"/>
      <w:jc w:val="left"/>
    </w:pPr>
    <w:rPr>
      <w:rFonts w:ascii="Abadi MT Condensed" w:eastAsia="宋体" w:hAnsi="Abadi MT Condensed" w:cs="Times New Roman"/>
      <w:bCs/>
      <w:kern w:val="0"/>
      <w:sz w:val="24"/>
      <w:szCs w:val="20"/>
    </w:rPr>
  </w:style>
  <w:style w:type="paragraph" w:customStyle="1" w:styleId="22Char22Char1Charb2Char1Char11CharCh">
    <w:name w:val="样式 标题 2标题 2 Char2标题 2 Char1 Charb2 Char1 Char节标题 1.1 Char Ch..."/>
    <w:basedOn w:val="2"/>
    <w:qFormat/>
    <w:pPr>
      <w:tabs>
        <w:tab w:val="left" w:pos="0"/>
        <w:tab w:val="left" w:pos="240"/>
      </w:tabs>
      <w:spacing w:before="0" w:after="0" w:line="360" w:lineRule="auto"/>
      <w:jc w:val="left"/>
    </w:pPr>
    <w:rPr>
      <w:rFonts w:ascii="Times New Roman" w:eastAsia="宋体" w:hAnsi="Times New Roman" w:cs="Times New Roman"/>
      <w:kern w:val="0"/>
      <w:sz w:val="24"/>
      <w:szCs w:val="24"/>
    </w:rPr>
  </w:style>
  <w:style w:type="paragraph" w:customStyle="1" w:styleId="xl325">
    <w:name w:val="xl32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FF00FF"/>
      <w:kern w:val="0"/>
      <w:sz w:val="18"/>
      <w:szCs w:val="18"/>
    </w:rPr>
  </w:style>
  <w:style w:type="paragraph" w:customStyle="1" w:styleId="CharCharCharCharCharCharCharCharChar3">
    <w:name w:val="Char Char Char Char Char Char Char Char Char3"/>
    <w:basedOn w:val="a"/>
    <w:qFormat/>
    <w:rPr>
      <w:rFonts w:ascii="Calibri" w:eastAsia="宋体" w:hAnsi="Calibri" w:cs="Times New Roman"/>
      <w:sz w:val="24"/>
      <w:szCs w:val="24"/>
    </w:rPr>
  </w:style>
  <w:style w:type="paragraph" w:customStyle="1" w:styleId="CharCharfffff6">
    <w:name w:val="无间隔 Char Char"/>
    <w:qFormat/>
    <w:rPr>
      <w:rFonts w:ascii="Calibri" w:eastAsia="宋体" w:hAnsi="Calibri" w:cs="Times New Roman"/>
      <w:sz w:val="22"/>
      <w:szCs w:val="21"/>
    </w:rPr>
  </w:style>
  <w:style w:type="paragraph" w:customStyle="1" w:styleId="afffffffffffffffffffffffffffffb">
    <w:name w:val="分标题"/>
    <w:basedOn w:val="a"/>
    <w:next w:val="1ff"/>
    <w:qFormat/>
    <w:pPr>
      <w:widowControl/>
      <w:spacing w:line="500" w:lineRule="exact"/>
      <w:ind w:firstLineChars="202" w:firstLine="566"/>
      <w:jc w:val="left"/>
    </w:pPr>
    <w:rPr>
      <w:rFonts w:ascii="Calibri" w:eastAsia="宋体" w:hAnsi="Calibri" w:cs="Times New Roman"/>
      <w:kern w:val="0"/>
      <w:sz w:val="28"/>
      <w:szCs w:val="30"/>
    </w:rPr>
  </w:style>
  <w:style w:type="paragraph" w:customStyle="1" w:styleId="2fffffff9">
    <w:name w:val="技术标题2"/>
    <w:basedOn w:val="a"/>
    <w:qFormat/>
    <w:pPr>
      <w:keepNext/>
      <w:keepLines/>
      <w:adjustRightInd w:val="0"/>
      <w:snapToGrid w:val="0"/>
      <w:spacing w:beforeLines="150" w:afterLines="50"/>
      <w:outlineLvl w:val="3"/>
    </w:pPr>
    <w:rPr>
      <w:rFonts w:ascii="Arial" w:eastAsia="宋体" w:hAnsi="Arial" w:cs="Times New Roman"/>
      <w:b/>
      <w:bCs/>
      <w:color w:val="000000"/>
      <w:sz w:val="32"/>
      <w:szCs w:val="28"/>
    </w:rPr>
  </w:style>
  <w:style w:type="paragraph" w:customStyle="1" w:styleId="afffffffffffffffffffffffffffffc">
    <w:name w:val="报告格式—正文"/>
    <w:basedOn w:val="a"/>
    <w:qFormat/>
    <w:pPr>
      <w:adjustRightInd w:val="0"/>
      <w:spacing w:line="580" w:lineRule="exact"/>
      <w:ind w:firstLineChars="200" w:firstLine="584"/>
      <w:jc w:val="left"/>
    </w:pPr>
    <w:rPr>
      <w:rFonts w:ascii="Calibri" w:eastAsia="宋体" w:hAnsi="Calibri" w:cs="Times New Roman"/>
      <w:spacing w:val="6"/>
      <w:kern w:val="0"/>
      <w:sz w:val="28"/>
      <w:szCs w:val="36"/>
    </w:rPr>
  </w:style>
  <w:style w:type="paragraph" w:customStyle="1" w:styleId="xl339">
    <w:name w:val="xl33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z-111">
    <w:name w:val="z-窗体底端11"/>
    <w:basedOn w:val="a"/>
    <w:next w:val="a"/>
    <w:qFormat/>
    <w:pPr>
      <w:widowControl/>
      <w:pBdr>
        <w:top w:val="single" w:sz="6" w:space="1" w:color="auto"/>
      </w:pBdr>
      <w:jc w:val="center"/>
    </w:pPr>
    <w:rPr>
      <w:rFonts w:ascii="Arial" w:eastAsia="Arial Unicode MS" w:hAnsi="Arial" w:cs="Times New Roman"/>
      <w:vanish/>
      <w:kern w:val="0"/>
      <w:sz w:val="16"/>
      <w:szCs w:val="16"/>
    </w:rPr>
  </w:style>
  <w:style w:type="paragraph" w:customStyle="1" w:styleId="T21">
    <w:name w:val="T2标题"/>
    <w:basedOn w:val="2"/>
    <w:qFormat/>
    <w:pPr>
      <w:widowControl/>
      <w:tabs>
        <w:tab w:val="left" w:pos="0"/>
      </w:tabs>
      <w:spacing w:before="0" w:after="0" w:line="360" w:lineRule="auto"/>
      <w:ind w:left="643" w:hanging="643"/>
      <w:jc w:val="left"/>
    </w:pPr>
    <w:rPr>
      <w:rFonts w:ascii="宋体" w:eastAsia="宋体" w:hAnsi="宋体" w:cs="宋体"/>
      <w:szCs w:val="20"/>
    </w:rPr>
  </w:style>
  <w:style w:type="paragraph" w:customStyle="1" w:styleId="AODocTxt">
    <w:name w:val="AODocTxt"/>
    <w:basedOn w:val="a"/>
    <w:qFormat/>
    <w:pPr>
      <w:widowControl/>
      <w:tabs>
        <w:tab w:val="left" w:pos="1425"/>
      </w:tabs>
      <w:spacing w:before="240" w:line="260" w:lineRule="atLeast"/>
      <w:ind w:left="1425" w:hanging="720"/>
    </w:pPr>
    <w:rPr>
      <w:rFonts w:ascii="Calibri" w:eastAsia="宋体" w:hAnsi="Calibri" w:cs="Times New Roman"/>
      <w:kern w:val="0"/>
      <w:sz w:val="22"/>
      <w:szCs w:val="20"/>
      <w:lang w:eastAsia="en-US"/>
    </w:rPr>
  </w:style>
  <w:style w:type="paragraph" w:customStyle="1" w:styleId="xl336">
    <w:name w:val="xl336"/>
    <w:basedOn w:val="a"/>
    <w:qFormat/>
    <w:pPr>
      <w:widowControl/>
      <w:pBdr>
        <w:left w:val="single" w:sz="4" w:space="0" w:color="auto"/>
        <w:right w:val="single" w:sz="4" w:space="0" w:color="auto"/>
      </w:pBdr>
      <w:spacing w:before="100" w:beforeAutospacing="1" w:after="100" w:afterAutospacing="1"/>
      <w:jc w:val="center"/>
    </w:pPr>
    <w:rPr>
      <w:rFonts w:ascii="宋体" w:eastAsia="宋体" w:hAnsi="宋体" w:cs="宋体"/>
      <w:color w:val="000000"/>
      <w:kern w:val="0"/>
      <w:sz w:val="18"/>
      <w:szCs w:val="18"/>
    </w:rPr>
  </w:style>
  <w:style w:type="paragraph" w:customStyle="1" w:styleId="afffffffffffffffffffffffffffffd">
    <w:name w:val="页眉下"/>
    <w:basedOn w:val="aff5"/>
    <w:qFormat/>
    <w:pPr>
      <w:adjustRightInd w:val="0"/>
      <w:snapToGrid/>
      <w:spacing w:before="60"/>
      <w:jc w:val="right"/>
    </w:pPr>
    <w:rPr>
      <w:rFonts w:ascii="Calibri" w:eastAsia="宋体" w:hAnsi="Calibri" w:cs="Times New Roman"/>
      <w:kern w:val="0"/>
      <w:szCs w:val="20"/>
      <w:lang w:val="en-GB"/>
    </w:rPr>
  </w:style>
  <w:style w:type="paragraph" w:customStyle="1" w:styleId="CharCharCharCharCharCharCharCharCharCharCharCharCharCharCharCharCharCharCharCharCharCharCharCharCharChar4">
    <w:name w:val="Char Char Char Char Char Char Char Char Char Char Char Char Char Char Char Char Char Char Char Char Char Char Char Char Char Char4"/>
    <w:basedOn w:val="a"/>
    <w:qFormat/>
    <w:rPr>
      <w:rFonts w:ascii="Calibri" w:eastAsia="宋体" w:hAnsi="Calibri" w:cs="Times New Roman"/>
      <w:sz w:val="24"/>
      <w:szCs w:val="24"/>
    </w:rPr>
  </w:style>
  <w:style w:type="paragraph" w:customStyle="1" w:styleId="-13">
    <w:name w:val="附件标题-1"/>
    <w:basedOn w:val="a"/>
    <w:qFormat/>
    <w:pPr>
      <w:spacing w:beforeLines="50" w:afterLines="50"/>
      <w:jc w:val="center"/>
    </w:pPr>
    <w:rPr>
      <w:rFonts w:ascii="Calibri" w:eastAsia="黑体" w:hAnsi="Calibri" w:cs="Times New Roman"/>
      <w:sz w:val="32"/>
      <w:szCs w:val="24"/>
    </w:rPr>
  </w:style>
  <w:style w:type="paragraph" w:customStyle="1" w:styleId="CM14">
    <w:name w:val="CM14"/>
    <w:basedOn w:val="a"/>
    <w:next w:val="a"/>
    <w:qFormat/>
    <w:pPr>
      <w:autoSpaceDE w:val="0"/>
      <w:autoSpaceDN w:val="0"/>
      <w:adjustRightInd w:val="0"/>
      <w:spacing w:line="533" w:lineRule="atLeast"/>
      <w:jc w:val="left"/>
    </w:pPr>
    <w:rPr>
      <w:rFonts w:ascii="华文中宋" w:eastAsia="华文中宋" w:hAnsi="Calibri" w:cs="华文中宋"/>
      <w:kern w:val="0"/>
      <w:sz w:val="24"/>
      <w:szCs w:val="24"/>
    </w:rPr>
  </w:style>
  <w:style w:type="paragraph" w:customStyle="1" w:styleId="xl354">
    <w:name w:val="xl35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CharCharChar140">
    <w:name w:val="Char Char Char14"/>
    <w:basedOn w:val="a"/>
    <w:qFormat/>
    <w:rPr>
      <w:rFonts w:ascii="Calibri" w:eastAsia="宋体" w:hAnsi="Calibri" w:cs="Times New Roman"/>
      <w:sz w:val="24"/>
      <w:szCs w:val="24"/>
    </w:rPr>
  </w:style>
  <w:style w:type="paragraph" w:customStyle="1" w:styleId="reader-word-layerreader-word-s2-45">
    <w:name w:val="reader-word-layer reader-word-s2-45"/>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1CharCharCharCharCharCharCharCharCharChar1">
    <w:name w:val="Char Char Char Char Char Char Char Char1 Char Char Char Char Char Char Char Char Char Char1"/>
    <w:basedOn w:val="a"/>
    <w:qFormat/>
    <w:rPr>
      <w:rFonts w:ascii="Calibri" w:eastAsia="宋体" w:hAnsi="Calibri" w:cs="Times New Roman"/>
      <w:sz w:val="24"/>
      <w:szCs w:val="24"/>
    </w:rPr>
  </w:style>
  <w:style w:type="paragraph" w:customStyle="1" w:styleId="puces">
    <w:name w:val="puces"/>
    <w:basedOn w:val="Normalpuces"/>
    <w:qFormat/>
    <w:pPr>
      <w:spacing w:before="40" w:after="160" w:line="360" w:lineRule="auto"/>
    </w:pPr>
    <w:rPr>
      <w:sz w:val="22"/>
    </w:rPr>
  </w:style>
  <w:style w:type="paragraph" w:customStyle="1" w:styleId="Normalpuces">
    <w:name w:val="Normal puces"/>
    <w:basedOn w:val="a"/>
    <w:qFormat/>
    <w:pPr>
      <w:widowControl/>
      <w:tabs>
        <w:tab w:val="left" w:pos="360"/>
      </w:tabs>
      <w:spacing w:before="360"/>
      <w:ind w:left="360" w:hanging="360"/>
    </w:pPr>
    <w:rPr>
      <w:rFonts w:ascii="Arial" w:eastAsia="宋体" w:hAnsi="Arial" w:cs="Times New Roman"/>
      <w:b/>
      <w:kern w:val="0"/>
      <w:sz w:val="24"/>
      <w:szCs w:val="20"/>
    </w:rPr>
  </w:style>
  <w:style w:type="paragraph" w:customStyle="1" w:styleId="2fffffffa">
    <w:name w:val="宏福2"/>
    <w:basedOn w:val="2"/>
    <w:qFormat/>
    <w:pPr>
      <w:snapToGrid w:val="0"/>
      <w:spacing w:before="240" w:after="0" w:line="240" w:lineRule="auto"/>
    </w:pPr>
    <w:rPr>
      <w:rFonts w:ascii="Arial" w:eastAsia="宋体" w:hAnsi="Arial" w:cs="Times New Roman"/>
      <w:bCs w:val="0"/>
      <w:sz w:val="30"/>
      <w:szCs w:val="20"/>
    </w:rPr>
  </w:style>
  <w:style w:type="paragraph" w:customStyle="1" w:styleId="CharChar4CharCharCharCharCharCharCharCharCharCharCharCharCharCharCharCharCharChar">
    <w:name w:val="Char Char4 Char Char Char Char Char Char Char Char Char Char Char Char Char Char Char Char Char Char"/>
    <w:basedOn w:val="a"/>
    <w:qFormat/>
    <w:rPr>
      <w:rFonts w:ascii="Calibri" w:eastAsia="宋体" w:hAnsi="Calibri" w:cs="Times New Roman"/>
      <w:sz w:val="24"/>
      <w:szCs w:val="24"/>
    </w:rPr>
  </w:style>
  <w:style w:type="paragraph" w:customStyle="1" w:styleId="CharCharCharCharCharCharCharCharCharCharChar1CharCharCharCharCharChar1CharCharCharCharCharCharCharCharCharCharCharChar2">
    <w:name w:val="Char Char Char Char Char Char Char Char Char Char Char1 Char Char Char Char Char Char1 Char Char Char Char Char Char Char Char Char Char Char Char2"/>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2"/>
    <w:basedOn w:val="a"/>
    <w:qFormat/>
    <w:rPr>
      <w:rFonts w:ascii="Calibri" w:eastAsia="宋体" w:hAnsi="Calibri" w:cs="Times New Roman"/>
      <w:sz w:val="24"/>
      <w:szCs w:val="24"/>
    </w:rPr>
  </w:style>
  <w:style w:type="paragraph" w:customStyle="1" w:styleId="reader-word-layerreader-word-s2-47">
    <w:name w:val="reader-word-layer reader-word-s2-47"/>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4CharCharCharCharCharChar1">
    <w:name w:val="Char Char4 Char Char Char Char Char Char1"/>
    <w:basedOn w:val="a"/>
    <w:qFormat/>
    <w:pPr>
      <w:spacing w:beforeLines="50" w:afterLines="100"/>
      <w:jc w:val="center"/>
    </w:pPr>
    <w:rPr>
      <w:rFonts w:ascii="Calibri" w:eastAsia="宋体" w:hAnsi="Calibri" w:cs="Times New Roman"/>
      <w:szCs w:val="24"/>
    </w:rPr>
  </w:style>
  <w:style w:type="paragraph" w:customStyle="1" w:styleId="xl332">
    <w:name w:val="xl332"/>
    <w:basedOn w:val="a"/>
    <w:qFormat/>
    <w:pPr>
      <w:widowControl/>
      <w:pBdr>
        <w:left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reader-word-layerreader-word-s2-3">
    <w:name w:val="reader-word-layer reader-word-s2-3"/>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Char2">
    <w:name w:val="Char Char Char Char Char Char Char Char Char Char Char Char Char Char Char2"/>
    <w:basedOn w:val="a"/>
    <w:qFormat/>
    <w:rPr>
      <w:rFonts w:ascii="Calibri" w:eastAsia="宋体" w:hAnsi="Calibri" w:cs="Times New Roman"/>
      <w:sz w:val="24"/>
      <w:szCs w:val="24"/>
    </w:rPr>
  </w:style>
  <w:style w:type="paragraph" w:customStyle="1" w:styleId="CharCharCharCharCharCharCharCharCharCharCharCharChar9">
    <w:name w:val="Char Char Char Char Char Char Char Char Char Char Char Char Char9"/>
    <w:basedOn w:val="a"/>
    <w:qFormat/>
    <w:pPr>
      <w:widowControl/>
      <w:spacing w:after="160" w:line="240" w:lineRule="exact"/>
      <w:jc w:val="left"/>
    </w:pPr>
    <w:rPr>
      <w:rFonts w:ascii="Arial" w:eastAsia="Times New Roman" w:hAnsi="Arial" w:cs="Verdana"/>
      <w:b/>
      <w:kern w:val="0"/>
      <w:sz w:val="24"/>
      <w:szCs w:val="24"/>
      <w:lang w:eastAsia="en-US"/>
    </w:rPr>
  </w:style>
  <w:style w:type="paragraph" w:customStyle="1" w:styleId="xl320">
    <w:name w:val="xl32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CharChar6CharChar4">
    <w:name w:val="Char Char6 Char Char4"/>
    <w:basedOn w:val="a"/>
    <w:qFormat/>
    <w:pPr>
      <w:widowControl/>
      <w:spacing w:after="160" w:line="240" w:lineRule="exact"/>
      <w:jc w:val="left"/>
    </w:pPr>
    <w:rPr>
      <w:rFonts w:ascii="Arial" w:eastAsia="Times New Roman" w:hAnsi="Arial" w:cs="Verdana"/>
      <w:b/>
      <w:spacing w:val="-6"/>
      <w:kern w:val="0"/>
      <w:sz w:val="28"/>
      <w:szCs w:val="24"/>
      <w:lang w:eastAsia="en-US"/>
    </w:rPr>
  </w:style>
  <w:style w:type="paragraph" w:customStyle="1" w:styleId="Char290">
    <w:name w:val="Char29"/>
    <w:basedOn w:val="a"/>
    <w:qFormat/>
    <w:rPr>
      <w:rFonts w:ascii="Arial" w:eastAsia="楷体_GB2312" w:hAnsi="Calibri" w:cs="Times New Roman"/>
      <w:spacing w:val="-6"/>
      <w:sz w:val="28"/>
      <w:szCs w:val="24"/>
    </w:rPr>
  </w:style>
  <w:style w:type="paragraph" w:customStyle="1" w:styleId="reader-word-layerreader-word-s2-50">
    <w:name w:val="reader-word-layer reader-word-s2-50"/>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MainParanoChapter">
    <w:name w:val="Main Para no Chapter #"/>
    <w:basedOn w:val="a"/>
    <w:qFormat/>
    <w:pPr>
      <w:widowControl/>
      <w:spacing w:after="240"/>
      <w:jc w:val="left"/>
      <w:outlineLvl w:val="1"/>
    </w:pPr>
    <w:rPr>
      <w:rFonts w:ascii="Calibri" w:eastAsia="Times New Roman" w:hAnsi="Calibri" w:cs="Times New Roman"/>
      <w:kern w:val="0"/>
      <w:sz w:val="24"/>
      <w:szCs w:val="20"/>
    </w:rPr>
  </w:style>
  <w:style w:type="paragraph" w:customStyle="1" w:styleId="242">
    <w:name w:val="正文文本缩进 24"/>
    <w:basedOn w:val="a"/>
    <w:qFormat/>
    <w:pPr>
      <w:adjustRightInd w:val="0"/>
      <w:spacing w:line="480" w:lineRule="atLeast"/>
      <w:ind w:firstLine="630"/>
    </w:pPr>
    <w:rPr>
      <w:rFonts w:ascii="宋体" w:eastAsia="宋体" w:hAnsi="Calibri" w:cs="Times New Roman"/>
      <w:sz w:val="28"/>
      <w:szCs w:val="20"/>
    </w:rPr>
  </w:style>
  <w:style w:type="paragraph" w:customStyle="1" w:styleId="Char1CharCharChar3">
    <w:name w:val="Char1 Char Char Char3"/>
    <w:basedOn w:val="a"/>
    <w:qFormat/>
    <w:rPr>
      <w:rFonts w:ascii="Calibri" w:eastAsia="宋体" w:hAnsi="Calibri" w:cs="Times New Roman"/>
      <w:szCs w:val="24"/>
    </w:rPr>
  </w:style>
  <w:style w:type="paragraph" w:customStyle="1" w:styleId="3ffff3">
    <w:name w:val="正文文字3"/>
    <w:basedOn w:val="a"/>
    <w:qFormat/>
    <w:pPr>
      <w:spacing w:before="60" w:after="60" w:line="500" w:lineRule="exact"/>
      <w:ind w:left="1021" w:firstLine="567"/>
    </w:pPr>
    <w:rPr>
      <w:rFonts w:ascii="Calibri" w:eastAsia="宋体" w:hAnsi="Calibri" w:cs="Times New Roman"/>
      <w:sz w:val="28"/>
      <w:szCs w:val="20"/>
    </w:rPr>
  </w:style>
  <w:style w:type="paragraph" w:customStyle="1" w:styleId="CharCharCharCharCharCharCharCharCharCharCharCharCharChar2">
    <w:name w:val="Char Char Char Char Char Char Char Char Char Char Char Char Char Char2"/>
    <w:basedOn w:val="a"/>
    <w:qFormat/>
    <w:rPr>
      <w:rFonts w:ascii="Calibri" w:eastAsia="宋体" w:hAnsi="Calibri" w:cs="Times New Roman"/>
      <w:sz w:val="24"/>
      <w:szCs w:val="24"/>
    </w:rPr>
  </w:style>
  <w:style w:type="paragraph" w:customStyle="1" w:styleId="Lgende1">
    <w:name w:val="Légende1"/>
    <w:basedOn w:val="a"/>
    <w:next w:val="a"/>
    <w:qFormat/>
    <w:pPr>
      <w:widowControl/>
      <w:tabs>
        <w:tab w:val="left" w:pos="1276"/>
      </w:tabs>
      <w:suppressAutoHyphens/>
      <w:spacing w:before="40" w:after="40"/>
    </w:pPr>
    <w:rPr>
      <w:rFonts w:ascii="Arial" w:eastAsia="宋体" w:hAnsi="Arial" w:cs="Arial"/>
      <w:b/>
      <w:bCs/>
      <w:kern w:val="0"/>
      <w:sz w:val="24"/>
      <w:szCs w:val="24"/>
      <w:lang w:eastAsia="ar-SA"/>
    </w:rPr>
  </w:style>
  <w:style w:type="paragraph" w:customStyle="1" w:styleId="p9">
    <w:name w:val="p9"/>
    <w:basedOn w:val="a"/>
    <w:qFormat/>
    <w:pPr>
      <w:widowControl/>
      <w:spacing w:before="100" w:beforeAutospacing="1" w:after="100" w:afterAutospacing="1" w:line="432" w:lineRule="auto"/>
      <w:jc w:val="left"/>
    </w:pPr>
    <w:rPr>
      <w:rFonts w:ascii="ˎ̥" w:eastAsia="宋体" w:hAnsi="ˎ̥" w:cs="宋体"/>
      <w:color w:val="000000"/>
      <w:kern w:val="0"/>
      <w:sz w:val="18"/>
      <w:szCs w:val="18"/>
    </w:rPr>
  </w:style>
  <w:style w:type="paragraph" w:customStyle="1" w:styleId="1fffffff9">
    <w:name w:val="正文1缩进"/>
    <w:basedOn w:val="1ff"/>
    <w:qFormat/>
    <w:pPr>
      <w:snapToGrid w:val="0"/>
      <w:spacing w:beforeLines="50" w:afterLines="50" w:line="380" w:lineRule="atLeast"/>
      <w:ind w:leftChars="410" w:left="984" w:firstLineChars="2" w:firstLine="5"/>
    </w:pPr>
    <w:rPr>
      <w:rFonts w:ascii="宋体" w:hAnsi="宋体"/>
      <w:color w:val="000000"/>
      <w:kern w:val="0"/>
      <w:sz w:val="24"/>
      <w:szCs w:val="24"/>
    </w:rPr>
  </w:style>
  <w:style w:type="paragraph" w:customStyle="1" w:styleId="CharCharCharCharCharCharCharCharChar1CharCharCharCharCharCharCharCharCharCharCharCharChar1">
    <w:name w:val="Char Char Char Char Char Char Char Char Char1 Char Char Char Char Char Char Char Char Char Char Char Char Char1"/>
    <w:basedOn w:val="a"/>
    <w:qFormat/>
    <w:rPr>
      <w:rFonts w:ascii="Calibri" w:eastAsia="宋体" w:hAnsi="Calibri" w:cs="Times New Roman"/>
      <w:szCs w:val="21"/>
    </w:rPr>
  </w:style>
  <w:style w:type="paragraph" w:customStyle="1" w:styleId="afffffffffffffffffffffffffffffe">
    <w:name w:val="a)"/>
    <w:basedOn w:val="a"/>
    <w:qFormat/>
    <w:pPr>
      <w:autoSpaceDE w:val="0"/>
      <w:autoSpaceDN w:val="0"/>
      <w:adjustRightInd w:val="0"/>
      <w:spacing w:line="360" w:lineRule="auto"/>
      <w:ind w:firstLine="567"/>
    </w:pPr>
    <w:rPr>
      <w:rFonts w:ascii="Calibri" w:eastAsia="宋体" w:hAnsi="Calibri" w:cs="Times New Roman"/>
      <w:kern w:val="0"/>
      <w:sz w:val="28"/>
      <w:szCs w:val="20"/>
    </w:rPr>
  </w:style>
  <w:style w:type="paragraph" w:customStyle="1" w:styleId="CharCharCharCharCharCharCharChar1CharCharCharCharCharCharCharCharCharCharCharChar1Char3">
    <w:name w:val="Char Char Char Char Char Char Char Char1 Char Char Char Char Char Char Char Char Char Char Char Char1 Char3"/>
    <w:basedOn w:val="a"/>
    <w:qFormat/>
    <w:rPr>
      <w:rFonts w:ascii="Calibri" w:eastAsia="宋体" w:hAnsi="Calibri" w:cs="Times New Roman"/>
      <w:sz w:val="24"/>
      <w:szCs w:val="24"/>
    </w:rPr>
  </w:style>
  <w:style w:type="paragraph" w:customStyle="1" w:styleId="6c">
    <w:name w:val="列出段落6"/>
    <w:basedOn w:val="a"/>
    <w:qFormat/>
    <w:pPr>
      <w:ind w:firstLineChars="200" w:firstLine="420"/>
    </w:pPr>
    <w:rPr>
      <w:rFonts w:ascii="Calibri" w:eastAsia="宋体" w:hAnsi="Calibri" w:cs="Times New Roman"/>
    </w:rPr>
  </w:style>
  <w:style w:type="paragraph" w:customStyle="1" w:styleId="CharCharCharCharCharCharCharCharCharCharChar1CharCharCharCharCharChar13">
    <w:name w:val="Char Char Char Char Char Char Char Char Char Char Char1 Char Char Char Char Char Char13"/>
    <w:basedOn w:val="a"/>
    <w:qFormat/>
    <w:rPr>
      <w:rFonts w:ascii="Calibri" w:eastAsia="宋体" w:hAnsi="Calibri" w:cs="Times New Roman"/>
      <w:sz w:val="24"/>
      <w:szCs w:val="24"/>
    </w:rPr>
  </w:style>
  <w:style w:type="paragraph" w:customStyle="1" w:styleId="CharCharCharChar112">
    <w:name w:val="Char Char Char Char112"/>
    <w:basedOn w:val="a"/>
    <w:qFormat/>
    <w:pPr>
      <w:widowControl/>
      <w:jc w:val="left"/>
    </w:pPr>
    <w:rPr>
      <w:rFonts w:ascii="Calibri" w:eastAsia="宋体" w:hAnsi="Calibri" w:cs="Times New Roman"/>
      <w:kern w:val="0"/>
      <w:sz w:val="24"/>
      <w:szCs w:val="20"/>
    </w:rPr>
  </w:style>
  <w:style w:type="paragraph" w:customStyle="1" w:styleId="CM83">
    <w:name w:val="CM83"/>
    <w:basedOn w:val="Default"/>
    <w:next w:val="Default"/>
    <w:qFormat/>
    <w:pPr>
      <w:spacing w:line="626" w:lineRule="atLeast"/>
    </w:pPr>
    <w:rPr>
      <w:rFonts w:ascii="华文中宋" w:eastAsia="华文中宋" w:hAnsi="Calibri" w:cs="华文中宋"/>
      <w:color w:val="auto"/>
    </w:rPr>
  </w:style>
  <w:style w:type="paragraph" w:customStyle="1" w:styleId="CM180">
    <w:name w:val="CM180"/>
    <w:basedOn w:val="Default"/>
    <w:next w:val="Default"/>
    <w:qFormat/>
    <w:pPr>
      <w:spacing w:after="338"/>
    </w:pPr>
    <w:rPr>
      <w:rFonts w:ascii="华文中宋" w:eastAsia="华文中宋" w:hAnsi="Calibri" w:cs="华文中宋"/>
      <w:color w:val="auto"/>
    </w:rPr>
  </w:style>
  <w:style w:type="paragraph" w:customStyle="1" w:styleId="1114">
    <w:name w:val="无间隔111"/>
    <w:qFormat/>
    <w:pPr>
      <w:widowControl w:val="0"/>
      <w:jc w:val="both"/>
    </w:pPr>
    <w:rPr>
      <w:rFonts w:ascii="Arial" w:eastAsia="仿宋" w:hAnsi="Arial" w:cs="Times New Roman"/>
      <w:w w:val="90"/>
      <w:kern w:val="2"/>
      <w:sz w:val="24"/>
      <w:szCs w:val="24"/>
    </w:rPr>
  </w:style>
  <w:style w:type="paragraph" w:customStyle="1" w:styleId="CharCharCharCharCharCharCharCharCharCharCharCharCharCharCharCharCharCharCharCharCharCharCharCharCharChar11">
    <w:name w:val="Char Char Char Char Char Char Char Char Char Char Char Char Char Char Char Char Char Char Char Char Char Char Char Char Char Char11"/>
    <w:basedOn w:val="a"/>
    <w:qFormat/>
    <w:rPr>
      <w:rFonts w:ascii="Calibri" w:eastAsia="宋体" w:hAnsi="Calibri" w:cs="Times New Roman"/>
      <w:sz w:val="24"/>
      <w:szCs w:val="24"/>
    </w:rPr>
  </w:style>
  <w:style w:type="paragraph" w:customStyle="1" w:styleId="22c">
    <w:name w:val="22"/>
    <w:next w:val="a"/>
    <w:qFormat/>
    <w:rPr>
      <w:rFonts w:ascii="Calibri" w:eastAsia="宋体" w:hAnsi="Calibri" w:cs="Times New Roman"/>
      <w:sz w:val="24"/>
    </w:rPr>
  </w:style>
  <w:style w:type="paragraph" w:customStyle="1" w:styleId="CharCharCharCharCharCharCharCharCharCharCharCharCharCharCharCharCharCharChar3">
    <w:name w:val="Char Char Char Char Char Char Char Char Char Char Char Char Char Char Char Char Char Char Char3"/>
    <w:basedOn w:val="a"/>
    <w:qFormat/>
    <w:rPr>
      <w:rFonts w:ascii="Calibri" w:eastAsia="宋体" w:hAnsi="Calibri" w:cs="Times New Roman"/>
      <w:sz w:val="24"/>
      <w:szCs w:val="24"/>
    </w:rPr>
  </w:style>
  <w:style w:type="paragraph" w:customStyle="1" w:styleId="4ffd">
    <w:name w:val="正文首行缩进4"/>
    <w:basedOn w:val="af5"/>
    <w:qFormat/>
    <w:pPr>
      <w:spacing w:after="0" w:line="500" w:lineRule="exact"/>
      <w:ind w:firstLineChars="200" w:firstLine="420"/>
    </w:pPr>
    <w:rPr>
      <w:rFonts w:ascii="Times New Roman" w:eastAsia="宋体" w:hAnsi="Calibri" w:cs="Times New Roman"/>
      <w:szCs w:val="20"/>
    </w:rPr>
  </w:style>
  <w:style w:type="paragraph" w:customStyle="1" w:styleId="2250">
    <w:name w:val="样式 正文 + 首行缩进:  2 字符 行距: 固定值 25 磅"/>
    <w:basedOn w:val="a"/>
    <w:qFormat/>
    <w:pPr>
      <w:widowControl/>
      <w:wordWrap w:val="0"/>
      <w:topLinePunct/>
      <w:spacing w:line="500" w:lineRule="exact"/>
      <w:ind w:firstLineChars="200" w:firstLine="200"/>
      <w:jc w:val="left"/>
    </w:pPr>
    <w:rPr>
      <w:rFonts w:ascii="Calibri" w:eastAsia="宋体" w:hAnsi="Calibri" w:cs="宋体"/>
      <w:sz w:val="28"/>
      <w:szCs w:val="20"/>
    </w:rPr>
  </w:style>
  <w:style w:type="paragraph" w:customStyle="1" w:styleId="affffffffffffffffffffffffffffff">
    <w:name w:val="正文缩近"/>
    <w:basedOn w:val="a"/>
    <w:qFormat/>
    <w:pPr>
      <w:spacing w:line="360" w:lineRule="auto"/>
      <w:ind w:firstLineChars="200" w:firstLine="560"/>
    </w:pPr>
    <w:rPr>
      <w:rFonts w:ascii="Calibri" w:eastAsia="宋体" w:hAnsi="Calibri" w:cs="Times New Roman"/>
      <w:sz w:val="28"/>
      <w:szCs w:val="28"/>
    </w:rPr>
  </w:style>
  <w:style w:type="paragraph" w:customStyle="1" w:styleId="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2"/>
    <w:basedOn w:val="a"/>
    <w:qFormat/>
    <w:rPr>
      <w:rFonts w:ascii="Calibri" w:eastAsia="宋体" w:hAnsi="Calibri" w:cs="Times New Roman"/>
      <w:sz w:val="24"/>
      <w:szCs w:val="24"/>
    </w:rPr>
  </w:style>
  <w:style w:type="paragraph" w:customStyle="1" w:styleId="CharCharCharCharCharCharCharCharCharCharCharCharCharCharCharCharCharChar2">
    <w:name w:val="Char Char Char Char Char Char Char Char Char Char Char Char Char Char Char Char Char Char2"/>
    <w:basedOn w:val="a"/>
    <w:qFormat/>
    <w:rPr>
      <w:rFonts w:ascii="Calibri" w:eastAsia="宋体" w:hAnsi="Calibri" w:cs="Times New Roman"/>
      <w:sz w:val="24"/>
      <w:szCs w:val="24"/>
    </w:rPr>
  </w:style>
  <w:style w:type="paragraph" w:customStyle="1" w:styleId="affffffffffffffffffffffffffffff0">
    <w:name w:val="正文标准样式"/>
    <w:basedOn w:val="a"/>
    <w:qFormat/>
    <w:pPr>
      <w:adjustRightInd w:val="0"/>
      <w:spacing w:line="300" w:lineRule="auto"/>
      <w:ind w:firstLine="482"/>
    </w:pPr>
    <w:rPr>
      <w:rFonts w:ascii="Calibri" w:eastAsia="宋体" w:hAnsi="Calibri" w:cs="Times New Roman"/>
      <w:kern w:val="0"/>
      <w:sz w:val="24"/>
      <w:szCs w:val="20"/>
    </w:rPr>
  </w:style>
  <w:style w:type="paragraph" w:customStyle="1" w:styleId="CM8">
    <w:name w:val="CM8"/>
    <w:basedOn w:val="Default"/>
    <w:next w:val="Default"/>
    <w:qFormat/>
    <w:pPr>
      <w:spacing w:line="260" w:lineRule="atLeast"/>
    </w:pPr>
    <w:rPr>
      <w:rFonts w:ascii="Sim Hei" w:eastAsia="Sim Hei" w:hAnsi="Calibri" w:cs="Times New Roman"/>
      <w:color w:val="auto"/>
    </w:rPr>
  </w:style>
  <w:style w:type="paragraph" w:customStyle="1" w:styleId="CharCharCharCharCharCharCharCharCharCharCharCharCharCharCharCharChar3">
    <w:name w:val="Char Char Char Char Char Char Char Char Char Char Char Char Char Char Char Char Char3"/>
    <w:basedOn w:val="a"/>
    <w:qFormat/>
    <w:rPr>
      <w:rFonts w:ascii="Calibri" w:eastAsia="宋体" w:hAnsi="Calibri" w:cs="Times New Roman"/>
      <w:sz w:val="24"/>
      <w:szCs w:val="24"/>
    </w:rPr>
  </w:style>
  <w:style w:type="paragraph" w:customStyle="1" w:styleId="xl364">
    <w:name w:val="xl364"/>
    <w:basedOn w:val="a"/>
    <w:qFormat/>
    <w:pPr>
      <w:widowControl/>
      <w:pBdr>
        <w:bottom w:val="single" w:sz="4"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affffffffffffffffffffffffffffff1">
    <w:name w:val="正文表"/>
    <w:basedOn w:val="a"/>
    <w:qFormat/>
    <w:pPr>
      <w:adjustRightInd w:val="0"/>
      <w:spacing w:line="288" w:lineRule="auto"/>
      <w:jc w:val="left"/>
    </w:pPr>
    <w:rPr>
      <w:rFonts w:ascii="Calibri" w:eastAsia="宋体" w:hAnsi="Calibri" w:cs="Times New Roman"/>
      <w:kern w:val="0"/>
      <w:sz w:val="24"/>
      <w:szCs w:val="20"/>
      <w:lang w:val="en-GB"/>
    </w:rPr>
  </w:style>
  <w:style w:type="paragraph" w:customStyle="1" w:styleId="reader-word-layerreader-word-s2-24">
    <w:name w:val="reader-word-layer reader-word-s2-24"/>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10215">
    <w:name w:val="样式 四号 首行缩进:  1.02 厘米 行距: 1.5 倍行距"/>
    <w:basedOn w:val="a"/>
    <w:qFormat/>
    <w:pPr>
      <w:adjustRightInd w:val="0"/>
      <w:snapToGrid w:val="0"/>
      <w:spacing w:line="360" w:lineRule="auto"/>
      <w:ind w:firstLine="454"/>
    </w:pPr>
    <w:rPr>
      <w:rFonts w:ascii="Calibri" w:eastAsia="宋体" w:hAnsi="Calibri" w:cs="Times New Roman"/>
      <w:sz w:val="24"/>
      <w:szCs w:val="24"/>
    </w:rPr>
  </w:style>
  <w:style w:type="paragraph" w:customStyle="1" w:styleId="CharChar4CharCharCharCharCharChar">
    <w:name w:val="Char Char4 Char Char Char Char Char Char"/>
    <w:basedOn w:val="a"/>
    <w:qFormat/>
    <w:pPr>
      <w:spacing w:beforeLines="50" w:afterLines="100"/>
      <w:jc w:val="center"/>
    </w:pPr>
    <w:rPr>
      <w:rFonts w:ascii="Calibri" w:eastAsia="宋体" w:hAnsi="Calibri" w:cs="Times New Roman"/>
      <w:szCs w:val="24"/>
    </w:rPr>
  </w:style>
  <w:style w:type="paragraph" w:customStyle="1" w:styleId="3ffff4">
    <w:name w:val="字元3"/>
    <w:basedOn w:val="a"/>
    <w:qFormat/>
    <w:rPr>
      <w:rFonts w:ascii="Calibri" w:eastAsia="宋体" w:hAnsi="Calibri" w:cs="Times New Roman"/>
      <w:sz w:val="24"/>
      <w:szCs w:val="24"/>
    </w:rPr>
  </w:style>
  <w:style w:type="paragraph" w:customStyle="1" w:styleId="xl328">
    <w:name w:val="xl32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reader-word-layerreader-word-s1-45">
    <w:name w:val="reader-word-layer reader-word-s1-45"/>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1CharCharCharChar11">
    <w:name w:val="Char Char Char Char Char Char Char Char Char1 Char Char Char Char11"/>
    <w:basedOn w:val="a"/>
    <w:qFormat/>
    <w:rPr>
      <w:rFonts w:ascii="Calibri" w:eastAsia="宋体" w:hAnsi="Calibri" w:cs="Times New Roman"/>
      <w:szCs w:val="21"/>
    </w:rPr>
  </w:style>
  <w:style w:type="paragraph" w:customStyle="1" w:styleId="CharCharCharCharCharCharCharCharCharCharCharCharCharChar3">
    <w:name w:val="Char Char Char Char Char Char Char Char Char Char Char Char Char Char3"/>
    <w:basedOn w:val="a"/>
    <w:qFormat/>
    <w:rPr>
      <w:rFonts w:ascii="Calibri" w:eastAsia="宋体" w:hAnsi="Calibri" w:cs="Times New Roman"/>
      <w:sz w:val="24"/>
      <w:szCs w:val="24"/>
    </w:rPr>
  </w:style>
  <w:style w:type="paragraph" w:customStyle="1" w:styleId="CharCharCharCharCharCharCharCharCharCharChar5">
    <w:name w:val="Char Char Char Char Char Char Char Char Char Char Char5"/>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3"/>
    <w:basedOn w:val="a"/>
    <w:qFormat/>
    <w:rPr>
      <w:rFonts w:ascii="Calibri" w:eastAsia="宋体" w:hAnsi="Calibri" w:cs="Times New Roman"/>
      <w:szCs w:val="24"/>
    </w:rPr>
  </w:style>
  <w:style w:type="paragraph" w:customStyle="1" w:styleId="CharCharChar1CharCharCharCharCharCharChar21">
    <w:name w:val="Char Char Char1 Char Char Char Char Char Char Char21"/>
    <w:basedOn w:val="a"/>
    <w:qFormat/>
    <w:rPr>
      <w:rFonts w:ascii="Tahoma" w:eastAsia="楷体_GB2312" w:hAnsi="Tahoma" w:cs="Times New Roman"/>
      <w:spacing w:val="-6"/>
      <w:sz w:val="28"/>
      <w:szCs w:val="20"/>
    </w:rPr>
  </w:style>
  <w:style w:type="paragraph" w:customStyle="1" w:styleId="CharCharCharCharCharCharCharCharChar1CharCharCharCharCharCharChar1">
    <w:name w:val="Char Char Char Char Char Char Char Char Char1 Char Char Char Char Char Char Char1"/>
    <w:basedOn w:val="a"/>
    <w:qFormat/>
    <w:rPr>
      <w:rFonts w:ascii="Calibri" w:eastAsia="宋体" w:hAnsi="Calibri" w:cs="Times New Roman"/>
      <w:szCs w:val="21"/>
    </w:rPr>
  </w:style>
  <w:style w:type="paragraph" w:customStyle="1" w:styleId="11fe">
    <w:name w:val="字元 字元11"/>
    <w:basedOn w:val="a"/>
    <w:qFormat/>
    <w:pPr>
      <w:tabs>
        <w:tab w:val="left" w:pos="780"/>
      </w:tabs>
      <w:ind w:left="780" w:hanging="360"/>
    </w:pPr>
    <w:rPr>
      <w:rFonts w:ascii="Calibri" w:eastAsia="宋体" w:hAnsi="Calibri" w:cs="Times New Roman"/>
      <w:sz w:val="24"/>
      <w:szCs w:val="24"/>
    </w:rPr>
  </w:style>
  <w:style w:type="paragraph" w:customStyle="1" w:styleId="xl334">
    <w:name w:val="xl33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color w:val="000000"/>
      <w:kern w:val="0"/>
      <w:sz w:val="18"/>
      <w:szCs w:val="18"/>
    </w:rPr>
  </w:style>
  <w:style w:type="paragraph" w:customStyle="1" w:styleId="normalpuces0">
    <w:name w:val="normal puces"/>
    <w:basedOn w:val="a"/>
    <w:qFormat/>
    <w:pPr>
      <w:widowControl/>
      <w:tabs>
        <w:tab w:val="left" w:pos="360"/>
      </w:tabs>
      <w:spacing w:before="40"/>
      <w:ind w:left="360" w:hanging="360"/>
    </w:pPr>
    <w:rPr>
      <w:rFonts w:ascii="Arial" w:eastAsia="宋体" w:hAnsi="Arial" w:cs="Times New Roman"/>
      <w:kern w:val="0"/>
      <w:sz w:val="24"/>
      <w:szCs w:val="20"/>
    </w:rPr>
  </w:style>
  <w:style w:type="paragraph" w:customStyle="1" w:styleId="xl317">
    <w:name w:val="xl31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8"/>
      <w:szCs w:val="18"/>
    </w:rPr>
  </w:style>
  <w:style w:type="paragraph" w:customStyle="1" w:styleId="affffffffffffffffffffffffffffff2">
    <w:name w:val="页眉右"/>
    <w:basedOn w:val="affffffffffffffffffffffb"/>
    <w:qFormat/>
    <w:pPr>
      <w:spacing w:before="0" w:after="0" w:line="240" w:lineRule="auto"/>
      <w:jc w:val="right"/>
      <w:textAlignment w:val="auto"/>
    </w:pPr>
    <w:rPr>
      <w:rFonts w:ascii="Calibri" w:hAnsi="Calibri"/>
      <w:sz w:val="18"/>
    </w:rPr>
  </w:style>
  <w:style w:type="paragraph" w:customStyle="1" w:styleId="Char1CharCharChar1">
    <w:name w:val="Char1 Char Char Char1"/>
    <w:basedOn w:val="a"/>
    <w:qFormat/>
    <w:rPr>
      <w:rFonts w:ascii="Calibri" w:eastAsia="宋体" w:hAnsi="Calibri" w:cs="Times New Roman"/>
      <w:szCs w:val="24"/>
    </w:rPr>
  </w:style>
  <w:style w:type="paragraph" w:customStyle="1" w:styleId="CharCharCharCharCharCharCharChar1CharCharCharCharCharCharCharCharCharCharCharChar1Char2">
    <w:name w:val="Char Char Char Char Char Char Char Char1 Char Char Char Char Char Char Char Char Char Char Char Char1 Char2"/>
    <w:basedOn w:val="a"/>
    <w:qFormat/>
    <w:rPr>
      <w:rFonts w:ascii="Calibri" w:eastAsia="宋体" w:hAnsi="Calibri" w:cs="Times New Roman"/>
      <w:sz w:val="24"/>
      <w:szCs w:val="24"/>
    </w:rPr>
  </w:style>
  <w:style w:type="paragraph" w:customStyle="1" w:styleId="CharCharCharCharCharCharCharChar1CharCharCharChar11">
    <w:name w:val="Char Char Char Char Char Char Char Char1 Char Char Char Char11"/>
    <w:basedOn w:val="a"/>
    <w:qFormat/>
    <w:rPr>
      <w:rFonts w:ascii="Arial" w:eastAsia="楷体_GB2312" w:hAnsi="Calibri" w:cs="Times New Roman"/>
      <w:spacing w:val="-6"/>
      <w:szCs w:val="24"/>
    </w:rPr>
  </w:style>
  <w:style w:type="paragraph" w:customStyle="1" w:styleId="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1"/>
    <w:basedOn w:val="a"/>
    <w:qFormat/>
    <w:rPr>
      <w:rFonts w:ascii="Calibri" w:eastAsia="宋体" w:hAnsi="Calibri" w:cs="Times New Roman"/>
      <w:sz w:val="24"/>
      <w:szCs w:val="24"/>
    </w:rPr>
  </w:style>
  <w:style w:type="paragraph" w:customStyle="1" w:styleId="xl327">
    <w:name w:val="xl327"/>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2222">
    <w:name w:val="样式 样式 样式 正文 + (符号) 宋体 首行缩进:  2 字符 + 首行缩进:  2 字符 + 首行缩进:  2 字符"/>
    <w:basedOn w:val="a"/>
    <w:qFormat/>
    <w:pPr>
      <w:widowControl/>
      <w:spacing w:line="500" w:lineRule="exact"/>
      <w:ind w:firstLineChars="200" w:firstLine="200"/>
      <w:jc w:val="left"/>
    </w:pPr>
    <w:rPr>
      <w:rFonts w:ascii="Calibri" w:eastAsia="宋体" w:hAnsi="Calibri" w:cs="宋体"/>
      <w:sz w:val="28"/>
      <w:szCs w:val="20"/>
    </w:rPr>
  </w:style>
  <w:style w:type="paragraph" w:customStyle="1" w:styleId="CharCharChar1CharCharCharCharCharChar1">
    <w:name w:val="Char Char Char1 Char Char Char Char Char Char1"/>
    <w:basedOn w:val="a"/>
    <w:qFormat/>
    <w:rPr>
      <w:rFonts w:ascii="黑体" w:eastAsia="黑体" w:hAnsi="黑体" w:cs="Times New Roman"/>
      <w:b/>
      <w:spacing w:val="10"/>
      <w:sz w:val="28"/>
      <w:szCs w:val="20"/>
    </w:rPr>
  </w:style>
  <w:style w:type="paragraph" w:customStyle="1" w:styleId="CharChar4CharCharCharCharCharCharCharCharCharCharCharCharCharCharCharChar2">
    <w:name w:val="Char Char4 Char Char Char Char Char Char Char Char Char Char Char Char Char Char Char Char2"/>
    <w:basedOn w:val="a"/>
    <w:qFormat/>
    <w:rPr>
      <w:rFonts w:ascii="Calibri" w:eastAsia="宋体" w:hAnsi="Calibri" w:cs="Times New Roman"/>
      <w:sz w:val="24"/>
      <w:szCs w:val="24"/>
    </w:rPr>
  </w:style>
  <w:style w:type="paragraph" w:customStyle="1" w:styleId="imagesubtitle">
    <w:name w:val="image_subtitle"/>
    <w:basedOn w:val="a"/>
    <w:qFormat/>
    <w:pPr>
      <w:widowControl/>
      <w:jc w:val="left"/>
    </w:pPr>
    <w:rPr>
      <w:rFonts w:ascii="宋体" w:eastAsia="宋体" w:hAnsi="宋体" w:cs="宋体"/>
      <w:kern w:val="0"/>
      <w:sz w:val="15"/>
      <w:szCs w:val="15"/>
    </w:rPr>
  </w:style>
  <w:style w:type="paragraph" w:customStyle="1" w:styleId="chen2">
    <w:name w:val="谏壁表头（chen）"/>
    <w:basedOn w:val="a"/>
    <w:qFormat/>
    <w:pPr>
      <w:spacing w:line="360" w:lineRule="auto"/>
      <w:ind w:firstLineChars="200" w:firstLine="200"/>
      <w:jc w:val="center"/>
    </w:pPr>
    <w:rPr>
      <w:rFonts w:ascii="Calibri" w:eastAsia="宋体" w:hAnsi="Calibri" w:cs="Times New Roman"/>
      <w:b/>
      <w:bCs/>
      <w:sz w:val="24"/>
      <w:szCs w:val="24"/>
    </w:rPr>
  </w:style>
  <w:style w:type="paragraph" w:customStyle="1" w:styleId="CharCharCharCharCharCharCharCharCharCharChar1CharCharCharCharCharChar1Char3">
    <w:name w:val="Char Char Char Char Char Char Char Char Char Char Char1 Char Char Char Char Char Char1 Char3"/>
    <w:basedOn w:val="a"/>
    <w:qFormat/>
    <w:rPr>
      <w:rFonts w:ascii="Calibri" w:eastAsia="宋体" w:hAnsi="Calibri" w:cs="Times New Roman"/>
      <w:sz w:val="24"/>
      <w:szCs w:val="24"/>
    </w:rPr>
  </w:style>
  <w:style w:type="paragraph" w:customStyle="1" w:styleId="xl357">
    <w:name w:val="xl35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xl321">
    <w:name w:val="xl32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宋体" w:hAnsi="Calibri" w:cs="Times New Roman"/>
      <w:kern w:val="0"/>
      <w:sz w:val="18"/>
      <w:szCs w:val="18"/>
    </w:rPr>
  </w:style>
  <w:style w:type="paragraph" w:customStyle="1" w:styleId="4ffe">
    <w:name w:val="样式 标题4"/>
    <w:basedOn w:val="affffffffffffffffffffffffffff3"/>
    <w:qFormat/>
    <w:pPr>
      <w:tabs>
        <w:tab w:val="left" w:pos="105"/>
      </w:tabs>
      <w:ind w:left="105" w:firstLineChars="0" w:firstLine="0"/>
      <w:outlineLvl w:val="3"/>
    </w:pPr>
    <w:rPr>
      <w:rFonts w:hAnsi="Times New Roman"/>
    </w:rPr>
  </w:style>
  <w:style w:type="paragraph" w:customStyle="1" w:styleId="1fffffffa">
    <w:name w:val="标书正文1"/>
    <w:basedOn w:val="a"/>
    <w:qFormat/>
    <w:pPr>
      <w:spacing w:before="100" w:after="100" w:line="440" w:lineRule="atLeast"/>
      <w:ind w:leftChars="85" w:left="180" w:hanging="2"/>
    </w:pPr>
    <w:rPr>
      <w:rFonts w:ascii="仿宋_GB2312" w:eastAsia="仿宋_GB2312" w:hAnsi="宋体" w:cs="Times New Roman"/>
      <w:bCs/>
      <w:color w:val="000000"/>
      <w:spacing w:val="20"/>
      <w:sz w:val="28"/>
      <w:szCs w:val="20"/>
    </w:rPr>
  </w:style>
  <w:style w:type="paragraph" w:customStyle="1" w:styleId="CharCharCharCharCharCharCharCharChar1CharCharChar1">
    <w:name w:val="Char Char Char Char Char Char Char Char Char1 Char Char Char1"/>
    <w:basedOn w:val="a"/>
    <w:qFormat/>
    <w:rPr>
      <w:rFonts w:ascii="Calibri" w:eastAsia="宋体" w:hAnsi="Calibri" w:cs="Times New Roman"/>
      <w:sz w:val="24"/>
      <w:szCs w:val="24"/>
    </w:rPr>
  </w:style>
  <w:style w:type="paragraph" w:customStyle="1" w:styleId="CharCharCharCharCharCharCharCharCharCharCharCharCharCharCharCharCharCharCharCharCharCharCharCharCharChar2">
    <w:name w:val="Char Char Char Char Char Char Char Char Char Char Char Char Char Char Char Char Char Char Char Char Char Char Char Char Char Char2"/>
    <w:basedOn w:val="a"/>
    <w:qFormat/>
    <w:rPr>
      <w:rFonts w:ascii="Calibri" w:eastAsia="宋体" w:hAnsi="Calibri" w:cs="Times New Roman"/>
      <w:sz w:val="24"/>
      <w:szCs w:val="24"/>
    </w:rPr>
  </w:style>
  <w:style w:type="paragraph" w:customStyle="1" w:styleId="-3">
    <w:name w:val="图-说明"/>
    <w:qFormat/>
    <w:pPr>
      <w:snapToGrid w:val="0"/>
      <w:spacing w:line="312" w:lineRule="auto"/>
      <w:jc w:val="center"/>
    </w:pPr>
    <w:rPr>
      <w:rFonts w:ascii="黑体" w:eastAsia="黑体" w:hAnsi="Calibri" w:cs="Times New Roman"/>
      <w:b/>
      <w:kern w:val="2"/>
      <w:sz w:val="21"/>
    </w:rPr>
  </w:style>
  <w:style w:type="paragraph" w:customStyle="1" w:styleId="2fffffffb">
    <w:name w:val="样式 标题2"/>
    <w:basedOn w:val="affffffffffffffffffffffffffff3"/>
    <w:qFormat/>
    <w:pPr>
      <w:tabs>
        <w:tab w:val="left" w:pos="315"/>
      </w:tabs>
      <w:ind w:left="315" w:firstLineChars="0" w:firstLine="0"/>
      <w:outlineLvl w:val="1"/>
    </w:pPr>
    <w:rPr>
      <w:b/>
    </w:rPr>
  </w:style>
  <w:style w:type="paragraph" w:customStyle="1" w:styleId="Char430">
    <w:name w:val="Char43"/>
    <w:basedOn w:val="a"/>
    <w:qFormat/>
    <w:rPr>
      <w:rFonts w:ascii="Arial" w:eastAsia="楷体_GB2312" w:hAnsi="Calibri" w:cs="Times New Roman"/>
      <w:spacing w:val="-6"/>
      <w:sz w:val="28"/>
      <w:szCs w:val="24"/>
    </w:rPr>
  </w:style>
  <w:style w:type="paragraph" w:customStyle="1" w:styleId="reader-word-layerreader-word-s3-16">
    <w:name w:val="reader-word-layer reader-word-s3-16"/>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2fffffffc">
    <w:name w:val="样式 正文 + (符号) 宋体 首行缩进:  2 字符"/>
    <w:basedOn w:val="a"/>
    <w:qFormat/>
    <w:pPr>
      <w:widowControl/>
      <w:spacing w:line="500" w:lineRule="exact"/>
      <w:ind w:firstLineChars="200" w:firstLine="200"/>
      <w:jc w:val="left"/>
    </w:pPr>
    <w:rPr>
      <w:rFonts w:ascii="Calibri" w:eastAsia="宋体" w:hAnsi="Calibri" w:cs="宋体"/>
      <w:sz w:val="28"/>
      <w:szCs w:val="20"/>
    </w:rPr>
  </w:style>
  <w:style w:type="paragraph" w:customStyle="1" w:styleId="163">
    <w:name w:val="正文16"/>
    <w:qFormat/>
    <w:pPr>
      <w:widowControl w:val="0"/>
      <w:adjustRightInd w:val="0"/>
      <w:spacing w:line="312" w:lineRule="atLeast"/>
      <w:jc w:val="both"/>
      <w:textAlignment w:val="baseline"/>
    </w:pPr>
    <w:rPr>
      <w:rFonts w:ascii="Arial" w:eastAsia="楷体_GB2312" w:hAnsi="Calibri" w:cs="Times New Roman"/>
      <w:spacing w:val="-6"/>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56623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2.emf"/><Relationship Id="rId21" Type="http://schemas.openxmlformats.org/officeDocument/2006/relationships/image" Target="media/image10.emf"/><Relationship Id="rId42" Type="http://schemas.openxmlformats.org/officeDocument/2006/relationships/image" Target="media/image24.emf"/><Relationship Id="rId47" Type="http://schemas.openxmlformats.org/officeDocument/2006/relationships/oleObject" Target="embeddings/oleObject9.bin"/><Relationship Id="rId63" Type="http://schemas.openxmlformats.org/officeDocument/2006/relationships/hyperlink" Target="https://baike.baidu.com/item/%E6%AD%A7%E5%8C%96%E5%8F%8D%E5%BA%94/9066087" TargetMode="External"/><Relationship Id="rId68" Type="http://schemas.openxmlformats.org/officeDocument/2006/relationships/image" Target="media/image38.png"/><Relationship Id="rId84" Type="http://schemas.openxmlformats.org/officeDocument/2006/relationships/image" Target="media/image51.wmf"/><Relationship Id="rId89" Type="http://schemas.openxmlformats.org/officeDocument/2006/relationships/image" Target="media/image55.png"/><Relationship Id="rId112" Type="http://schemas.openxmlformats.org/officeDocument/2006/relationships/image" Target="media/image77.png"/><Relationship Id="rId16" Type="http://schemas.openxmlformats.org/officeDocument/2006/relationships/oleObject" Target="embeddings/oleObject1.bin"/><Relationship Id="rId107" Type="http://schemas.openxmlformats.org/officeDocument/2006/relationships/image" Target="media/image72.png"/><Relationship Id="rId11" Type="http://schemas.openxmlformats.org/officeDocument/2006/relationships/header" Target="header1.xml"/><Relationship Id="rId32" Type="http://schemas.openxmlformats.org/officeDocument/2006/relationships/image" Target="media/image16.emf"/><Relationship Id="rId37" Type="http://schemas.openxmlformats.org/officeDocument/2006/relationships/oleObject" Target="embeddings/oleObject8.bin"/><Relationship Id="rId53" Type="http://schemas.openxmlformats.org/officeDocument/2006/relationships/hyperlink" Target="https://baike.baidu.com/item/%E4%B9%99%E9%86%87" TargetMode="External"/><Relationship Id="rId58" Type="http://schemas.openxmlformats.org/officeDocument/2006/relationships/hyperlink" Target="https://baike.baidu.com/item/%E7%A1%BC/400485" TargetMode="External"/><Relationship Id="rId74" Type="http://schemas.openxmlformats.org/officeDocument/2006/relationships/oleObject" Target="embeddings/oleObject11.bin"/><Relationship Id="rId79" Type="http://schemas.openxmlformats.org/officeDocument/2006/relationships/image" Target="media/image47.png"/><Relationship Id="rId102" Type="http://schemas.openxmlformats.org/officeDocument/2006/relationships/image" Target="media/image67.png"/><Relationship Id="rId123" Type="http://schemas.openxmlformats.org/officeDocument/2006/relationships/image" Target="media/image88.emf"/><Relationship Id="rId128" Type="http://schemas.openxmlformats.org/officeDocument/2006/relationships/oleObject" Target="embeddings/oleObject16.bin"/><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oleObject" Target="embeddings/oleObject4.bin"/><Relationship Id="rId27" Type="http://schemas.openxmlformats.org/officeDocument/2006/relationships/image" Target="media/image13.emf"/><Relationship Id="rId43" Type="http://schemas.openxmlformats.org/officeDocument/2006/relationships/image" Target="media/image25.png"/><Relationship Id="rId48" Type="http://schemas.openxmlformats.org/officeDocument/2006/relationships/image" Target="media/image29.emf"/><Relationship Id="rId64" Type="http://schemas.openxmlformats.org/officeDocument/2006/relationships/image" Target="media/image34.emf"/><Relationship Id="rId69" Type="http://schemas.openxmlformats.org/officeDocument/2006/relationships/image" Target="media/image39.wmf"/><Relationship Id="rId113" Type="http://schemas.openxmlformats.org/officeDocument/2006/relationships/image" Target="media/image78.png"/><Relationship Id="rId118" Type="http://schemas.openxmlformats.org/officeDocument/2006/relationships/image" Target="media/image83.emf"/><Relationship Id="rId80" Type="http://schemas.openxmlformats.org/officeDocument/2006/relationships/image" Target="media/image48.jpeg"/><Relationship Id="rId85" Type="http://schemas.openxmlformats.org/officeDocument/2006/relationships/oleObject" Target="embeddings/oleObject13.bin"/><Relationship Id="rId12" Type="http://schemas.openxmlformats.org/officeDocument/2006/relationships/image" Target="media/image4.jpeg"/><Relationship Id="rId17" Type="http://schemas.openxmlformats.org/officeDocument/2006/relationships/image" Target="media/image8.wmf"/><Relationship Id="rId33" Type="http://schemas.openxmlformats.org/officeDocument/2006/relationships/image" Target="media/image17.emf"/><Relationship Id="rId38" Type="http://schemas.openxmlformats.org/officeDocument/2006/relationships/image" Target="media/image20.emf"/><Relationship Id="rId59" Type="http://schemas.openxmlformats.org/officeDocument/2006/relationships/hyperlink" Target="https://baike.baidu.com/item/%E7%A1%85/2142941" TargetMode="External"/><Relationship Id="rId103" Type="http://schemas.openxmlformats.org/officeDocument/2006/relationships/image" Target="media/image68.jpeg"/><Relationship Id="rId108" Type="http://schemas.openxmlformats.org/officeDocument/2006/relationships/image" Target="media/image73.png"/><Relationship Id="rId124" Type="http://schemas.openxmlformats.org/officeDocument/2006/relationships/image" Target="media/image89.emf"/><Relationship Id="rId129" Type="http://schemas.openxmlformats.org/officeDocument/2006/relationships/image" Target="media/image92.jpeg"/><Relationship Id="rId54" Type="http://schemas.openxmlformats.org/officeDocument/2006/relationships/hyperlink" Target="https://baike.baidu.com/item/%E4%B8%99%E9%85%AE" TargetMode="External"/><Relationship Id="rId70" Type="http://schemas.openxmlformats.org/officeDocument/2006/relationships/image" Target="media/image40.png"/><Relationship Id="rId75" Type="http://schemas.openxmlformats.org/officeDocument/2006/relationships/image" Target="media/image43.png"/><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image" Target="media/image14.emf"/><Relationship Id="rId49" Type="http://schemas.openxmlformats.org/officeDocument/2006/relationships/image" Target="media/image30.emf"/><Relationship Id="rId114" Type="http://schemas.openxmlformats.org/officeDocument/2006/relationships/image" Target="media/image79.png"/><Relationship Id="rId119" Type="http://schemas.openxmlformats.org/officeDocument/2006/relationships/image" Target="media/image84.emf"/><Relationship Id="rId44" Type="http://schemas.openxmlformats.org/officeDocument/2006/relationships/image" Target="media/image26.emf"/><Relationship Id="rId60" Type="http://schemas.openxmlformats.org/officeDocument/2006/relationships/hyperlink" Target="https://baike.baidu.com/item/%E6%B0%AF/721741" TargetMode="External"/><Relationship Id="rId65" Type="http://schemas.openxmlformats.org/officeDocument/2006/relationships/image" Target="media/image35.emf"/><Relationship Id="rId81" Type="http://schemas.openxmlformats.org/officeDocument/2006/relationships/image" Target="media/image49.wmf"/><Relationship Id="rId86" Type="http://schemas.openxmlformats.org/officeDocument/2006/relationships/image" Target="media/image52.png"/><Relationship Id="rId130" Type="http://schemas.openxmlformats.org/officeDocument/2006/relationships/image" Target="media/image93.jpeg"/><Relationship Id="rId13" Type="http://schemas.openxmlformats.org/officeDocument/2006/relationships/image" Target="media/image5.jpeg"/><Relationship Id="rId18" Type="http://schemas.openxmlformats.org/officeDocument/2006/relationships/oleObject" Target="embeddings/oleObject2.bin"/><Relationship Id="rId39" Type="http://schemas.openxmlformats.org/officeDocument/2006/relationships/image" Target="media/image21.emf"/><Relationship Id="rId109" Type="http://schemas.openxmlformats.org/officeDocument/2006/relationships/image" Target="media/image74.png"/><Relationship Id="rId34" Type="http://schemas.openxmlformats.org/officeDocument/2006/relationships/image" Target="media/image18.emf"/><Relationship Id="rId50" Type="http://schemas.openxmlformats.org/officeDocument/2006/relationships/image" Target="media/image31.emf"/><Relationship Id="rId55" Type="http://schemas.openxmlformats.org/officeDocument/2006/relationships/hyperlink" Target="https://baike.baidu.com/item/%E5%90%B8%E6%B9%BF%E6%80%A7/10930709" TargetMode="External"/><Relationship Id="rId76" Type="http://schemas.openxmlformats.org/officeDocument/2006/relationships/image" Target="media/image44.png"/><Relationship Id="rId97" Type="http://schemas.openxmlformats.org/officeDocument/2006/relationships/image" Target="media/image63.png"/><Relationship Id="rId104" Type="http://schemas.openxmlformats.org/officeDocument/2006/relationships/image" Target="media/image69.jpeg"/><Relationship Id="rId120" Type="http://schemas.openxmlformats.org/officeDocument/2006/relationships/image" Target="media/image85.emf"/><Relationship Id="rId125" Type="http://schemas.openxmlformats.org/officeDocument/2006/relationships/image" Target="media/image90.emf"/><Relationship Id="rId7" Type="http://schemas.openxmlformats.org/officeDocument/2006/relationships/endnotes" Target="endnotes.xml"/><Relationship Id="rId71" Type="http://schemas.openxmlformats.org/officeDocument/2006/relationships/image" Target="media/image41.wmf"/><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oleObject" Target="embeddings/oleObject5.bin"/><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36.emf"/><Relationship Id="rId87" Type="http://schemas.openxmlformats.org/officeDocument/2006/relationships/image" Target="media/image53.wmf"/><Relationship Id="rId110" Type="http://schemas.openxmlformats.org/officeDocument/2006/relationships/image" Target="media/image75.emf"/><Relationship Id="rId115" Type="http://schemas.openxmlformats.org/officeDocument/2006/relationships/image" Target="media/image80.emf"/><Relationship Id="rId131" Type="http://schemas.openxmlformats.org/officeDocument/2006/relationships/fontTable" Target="fontTable.xml"/><Relationship Id="rId61" Type="http://schemas.openxmlformats.org/officeDocument/2006/relationships/hyperlink" Target="https://baike.baidu.com/item/%E6%BA%B4/85149" TargetMode="External"/><Relationship Id="rId82" Type="http://schemas.openxmlformats.org/officeDocument/2006/relationships/image" Target="media/image50.wmf"/><Relationship Id="rId19" Type="http://schemas.openxmlformats.org/officeDocument/2006/relationships/image" Target="media/image9.emf"/><Relationship Id="rId14" Type="http://schemas.openxmlformats.org/officeDocument/2006/relationships/image" Target="media/image6.jpeg"/><Relationship Id="rId30" Type="http://schemas.openxmlformats.org/officeDocument/2006/relationships/footer" Target="footer1.xml"/><Relationship Id="rId35" Type="http://schemas.openxmlformats.org/officeDocument/2006/relationships/oleObject" Target="embeddings/oleObject7.bin"/><Relationship Id="rId56" Type="http://schemas.openxmlformats.org/officeDocument/2006/relationships/hyperlink" Target="https://baike.baidu.com/item/%E9%93%9D/7206938" TargetMode="External"/><Relationship Id="rId77" Type="http://schemas.openxmlformats.org/officeDocument/2006/relationships/image" Target="media/image45.png"/><Relationship Id="rId100" Type="http://schemas.openxmlformats.org/officeDocument/2006/relationships/image" Target="media/image66.wmf"/><Relationship Id="rId105" Type="http://schemas.openxmlformats.org/officeDocument/2006/relationships/image" Target="media/image70.png"/><Relationship Id="rId126" Type="http://schemas.openxmlformats.org/officeDocument/2006/relationships/oleObject" Target="embeddings/oleObject15.bin"/><Relationship Id="rId8" Type="http://schemas.openxmlformats.org/officeDocument/2006/relationships/image" Target="media/image1.emf"/><Relationship Id="rId51" Type="http://schemas.openxmlformats.org/officeDocument/2006/relationships/image" Target="media/image32.emf"/><Relationship Id="rId72" Type="http://schemas.openxmlformats.org/officeDocument/2006/relationships/oleObject" Target="embeddings/oleObject10.bin"/><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6.emf"/><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28.emf"/><Relationship Id="rId67" Type="http://schemas.openxmlformats.org/officeDocument/2006/relationships/image" Target="media/image37.emf"/><Relationship Id="rId116" Type="http://schemas.openxmlformats.org/officeDocument/2006/relationships/image" Target="media/image81.emf"/><Relationship Id="rId20" Type="http://schemas.openxmlformats.org/officeDocument/2006/relationships/oleObject" Target="embeddings/oleObject3.bin"/><Relationship Id="rId41" Type="http://schemas.openxmlformats.org/officeDocument/2006/relationships/image" Target="media/image23.emf"/><Relationship Id="rId62" Type="http://schemas.openxmlformats.org/officeDocument/2006/relationships/hyperlink" Target="https://baike.baidu.com/item/%E7%A2%98/457545" TargetMode="External"/><Relationship Id="rId83" Type="http://schemas.openxmlformats.org/officeDocument/2006/relationships/oleObject" Target="embeddings/oleObject12.bin"/><Relationship Id="rId88" Type="http://schemas.openxmlformats.org/officeDocument/2006/relationships/image" Target="media/image54.png"/><Relationship Id="rId111" Type="http://schemas.openxmlformats.org/officeDocument/2006/relationships/image" Target="media/image76.emf"/><Relationship Id="rId132" Type="http://schemas.openxmlformats.org/officeDocument/2006/relationships/theme" Target="theme/theme1.xml"/><Relationship Id="rId15" Type="http://schemas.openxmlformats.org/officeDocument/2006/relationships/image" Target="media/image7.wmf"/><Relationship Id="rId36" Type="http://schemas.openxmlformats.org/officeDocument/2006/relationships/image" Target="media/image19.emf"/><Relationship Id="rId57" Type="http://schemas.openxmlformats.org/officeDocument/2006/relationships/hyperlink" Target="https://baike.baidu.com/item/%E9%94%8C/171194" TargetMode="External"/><Relationship Id="rId106" Type="http://schemas.openxmlformats.org/officeDocument/2006/relationships/image" Target="media/image71.png"/><Relationship Id="rId127" Type="http://schemas.openxmlformats.org/officeDocument/2006/relationships/image" Target="media/image91.emf"/><Relationship Id="rId10" Type="http://schemas.openxmlformats.org/officeDocument/2006/relationships/image" Target="media/image3.jpeg"/><Relationship Id="rId31" Type="http://schemas.openxmlformats.org/officeDocument/2006/relationships/footer" Target="footer2.xml"/><Relationship Id="rId52" Type="http://schemas.openxmlformats.org/officeDocument/2006/relationships/image" Target="media/image33.emf"/><Relationship Id="rId73" Type="http://schemas.openxmlformats.org/officeDocument/2006/relationships/image" Target="media/image42.wmf"/><Relationship Id="rId78" Type="http://schemas.openxmlformats.org/officeDocument/2006/relationships/image" Target="media/image46.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oleObject" Target="embeddings/oleObject14.bin"/><Relationship Id="rId122" Type="http://schemas.openxmlformats.org/officeDocument/2006/relationships/image" Target="media/image87.emf"/><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oleObject" Target="embeddings/oleObject6.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58"/>
    <customShpInfo spid="_x0000_s105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13296</TotalTime>
  <Pages>273</Pages>
  <Words>31615</Words>
  <Characters>180210</Characters>
  <Application>Microsoft Office Word</Application>
  <DocSecurity>0</DocSecurity>
  <Lines>1501</Lines>
  <Paragraphs>422</Paragraphs>
  <ScaleCrop>false</ScaleCrop>
  <Company/>
  <LinksUpToDate>false</LinksUpToDate>
  <CharactersWithSpaces>211403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324</cp:revision>
  <cp:lastPrinted>2021-06-10T01:03:00Z</cp:lastPrinted>
  <dcterms:created xsi:type="dcterms:W3CDTF">2021-02-24T06:53:00Z</dcterms:created>
  <dcterms:modified xsi:type="dcterms:W3CDTF">2021-07-09T06:12:00Z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